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4D8A7F" w14:textId="77777777" w:rsidR="00C36646" w:rsidRPr="009F6D1E" w:rsidRDefault="00C36646" w:rsidP="0084747F">
      <w:pPr>
        <w:spacing w:after="60" w:line="264" w:lineRule="auto"/>
        <w:rPr>
          <w:rFonts w:cs="Times New Roman"/>
        </w:rPr>
      </w:pPr>
    </w:p>
    <w:p w14:paraId="64C6FDE8" w14:textId="77777777" w:rsidR="001529ED" w:rsidRPr="009F6D1E" w:rsidRDefault="001529ED" w:rsidP="0084747F">
      <w:pPr>
        <w:spacing w:after="60" w:line="264" w:lineRule="auto"/>
        <w:jc w:val="center"/>
        <w:rPr>
          <w:rFonts w:cs="Times New Roman"/>
          <w:b/>
          <w:bCs/>
          <w:sz w:val="32"/>
          <w:szCs w:val="32"/>
        </w:rPr>
      </w:pPr>
    </w:p>
    <w:p w14:paraId="410789F8" w14:textId="77777777" w:rsidR="001529ED" w:rsidRPr="009F6D1E" w:rsidRDefault="001529ED" w:rsidP="0084747F">
      <w:pPr>
        <w:spacing w:after="60" w:line="264" w:lineRule="auto"/>
        <w:jc w:val="center"/>
        <w:rPr>
          <w:rFonts w:cs="Times New Roman"/>
          <w:b/>
          <w:bCs/>
          <w:sz w:val="32"/>
          <w:szCs w:val="32"/>
        </w:rPr>
      </w:pPr>
    </w:p>
    <w:p w14:paraId="5944BD05" w14:textId="77777777" w:rsidR="001529ED" w:rsidRPr="009F6D1E" w:rsidRDefault="001529ED" w:rsidP="0084747F">
      <w:pPr>
        <w:spacing w:after="60" w:line="264" w:lineRule="auto"/>
        <w:jc w:val="center"/>
        <w:rPr>
          <w:rFonts w:cs="Times New Roman"/>
          <w:b/>
          <w:bCs/>
          <w:sz w:val="32"/>
          <w:szCs w:val="32"/>
        </w:rPr>
      </w:pPr>
    </w:p>
    <w:p w14:paraId="3D143F0F" w14:textId="77777777" w:rsidR="000F3DB6" w:rsidRPr="009F6D1E" w:rsidRDefault="000F3DB6" w:rsidP="0084747F">
      <w:pPr>
        <w:spacing w:after="60" w:line="264" w:lineRule="auto"/>
        <w:jc w:val="center"/>
        <w:rPr>
          <w:rFonts w:cs="Times New Roman"/>
          <w:b/>
          <w:bCs/>
          <w:sz w:val="32"/>
          <w:szCs w:val="32"/>
        </w:rPr>
      </w:pPr>
      <w:r w:rsidRPr="009F6D1E">
        <w:rPr>
          <w:rFonts w:cs="Times New Roman"/>
          <w:b/>
          <w:bCs/>
          <w:sz w:val="32"/>
          <w:szCs w:val="32"/>
        </w:rPr>
        <w:t xml:space="preserve">ДОКЛАД </w:t>
      </w:r>
    </w:p>
    <w:p w14:paraId="4CC3FEE9" w14:textId="77777777" w:rsidR="000F3DB6" w:rsidRPr="009F6D1E" w:rsidRDefault="000F3DB6" w:rsidP="0084747F">
      <w:pPr>
        <w:spacing w:after="60" w:line="264" w:lineRule="auto"/>
        <w:jc w:val="center"/>
        <w:rPr>
          <w:rFonts w:cs="Times New Roman"/>
          <w:b/>
          <w:bCs/>
          <w:sz w:val="32"/>
          <w:szCs w:val="32"/>
        </w:rPr>
      </w:pPr>
      <w:r w:rsidRPr="009F6D1E">
        <w:rPr>
          <w:rFonts w:cs="Times New Roman"/>
          <w:b/>
          <w:bCs/>
          <w:sz w:val="32"/>
          <w:szCs w:val="32"/>
        </w:rPr>
        <w:t xml:space="preserve">ЗА </w:t>
      </w:r>
    </w:p>
    <w:p w14:paraId="16171008" w14:textId="77777777" w:rsidR="000F3DB6" w:rsidRPr="009F6D1E" w:rsidRDefault="000F3DB6" w:rsidP="0084747F">
      <w:pPr>
        <w:spacing w:after="60" w:line="264" w:lineRule="auto"/>
        <w:jc w:val="center"/>
        <w:rPr>
          <w:rFonts w:cs="Times New Roman"/>
          <w:b/>
          <w:bCs/>
          <w:sz w:val="32"/>
          <w:szCs w:val="32"/>
        </w:rPr>
      </w:pPr>
      <w:r w:rsidRPr="009F6D1E">
        <w:rPr>
          <w:rFonts w:cs="Times New Roman"/>
          <w:b/>
          <w:bCs/>
          <w:sz w:val="32"/>
          <w:szCs w:val="32"/>
        </w:rPr>
        <w:t xml:space="preserve">ЕКОЛОГИЧНА ОЦЕНКА НА </w:t>
      </w:r>
    </w:p>
    <w:p w14:paraId="0DCEBF27" w14:textId="77777777" w:rsidR="00CD4045" w:rsidRPr="009F6D1E" w:rsidRDefault="00CD4045" w:rsidP="0084747F">
      <w:pPr>
        <w:spacing w:after="60" w:line="264" w:lineRule="auto"/>
        <w:jc w:val="center"/>
        <w:rPr>
          <w:rFonts w:eastAsia="Arial" w:cs="Times New Roman"/>
          <w:b/>
          <w:bCs/>
          <w:color w:val="000000"/>
          <w:sz w:val="32"/>
          <w:szCs w:val="32"/>
          <w:lang w:eastAsia="bg-BG" w:bidi="bg-BG"/>
        </w:rPr>
      </w:pPr>
      <w:r w:rsidRPr="009F6D1E">
        <w:rPr>
          <w:rFonts w:eastAsia="Arial" w:cs="Times New Roman"/>
          <w:b/>
          <w:bCs/>
          <w:color w:val="000000"/>
          <w:sz w:val="32"/>
          <w:szCs w:val="32"/>
          <w:lang w:eastAsia="bg-BG" w:bidi="bg-BG"/>
        </w:rPr>
        <w:t xml:space="preserve">СТРАТЕГИЧЕСКИЯ ПЛАН ЗА РАЗВИТИЕ НА ЗЕМЕДЕЛИЕТО И СЕЛСКИТЕ РАЙОНИ В Р.БЪЛГАРИЯ </w:t>
      </w:r>
    </w:p>
    <w:p w14:paraId="4F87F024" w14:textId="77777777" w:rsidR="000F3DB6" w:rsidRPr="009F6D1E" w:rsidRDefault="000F3DB6" w:rsidP="0084747F">
      <w:pPr>
        <w:spacing w:after="60" w:line="264" w:lineRule="auto"/>
        <w:jc w:val="center"/>
        <w:rPr>
          <w:rFonts w:cs="Times New Roman"/>
          <w:iCs/>
          <w:sz w:val="32"/>
          <w:szCs w:val="32"/>
        </w:rPr>
      </w:pPr>
      <w:r w:rsidRPr="009F6D1E">
        <w:rPr>
          <w:rFonts w:eastAsia="Arial" w:cs="Times New Roman"/>
          <w:b/>
          <w:bCs/>
          <w:color w:val="000000"/>
          <w:sz w:val="32"/>
          <w:szCs w:val="32"/>
          <w:lang w:eastAsia="bg-BG" w:bidi="bg-BG"/>
        </w:rPr>
        <w:t>ЗА ПЕРИОДА  202</w:t>
      </w:r>
      <w:r w:rsidR="00C00EA1" w:rsidRPr="009F6D1E">
        <w:rPr>
          <w:rFonts w:eastAsia="Arial" w:cs="Times New Roman"/>
          <w:b/>
          <w:bCs/>
          <w:color w:val="000000"/>
          <w:sz w:val="32"/>
          <w:szCs w:val="32"/>
          <w:lang w:eastAsia="bg-BG" w:bidi="bg-BG"/>
        </w:rPr>
        <w:t>3</w:t>
      </w:r>
      <w:r w:rsidRPr="009F6D1E">
        <w:rPr>
          <w:rFonts w:eastAsia="Arial" w:cs="Times New Roman"/>
          <w:b/>
          <w:bCs/>
          <w:color w:val="000000"/>
          <w:sz w:val="32"/>
          <w:szCs w:val="32"/>
          <w:lang w:eastAsia="bg-BG" w:bidi="bg-BG"/>
        </w:rPr>
        <w:t xml:space="preserve"> – 2027 Г.</w:t>
      </w:r>
    </w:p>
    <w:p w14:paraId="2D147F07" w14:textId="77777777" w:rsidR="00897511" w:rsidRPr="009F6D1E" w:rsidRDefault="00897511" w:rsidP="0084747F">
      <w:pPr>
        <w:spacing w:after="60" w:line="264" w:lineRule="auto"/>
        <w:contextualSpacing/>
        <w:jc w:val="both"/>
        <w:rPr>
          <w:rFonts w:eastAsia="Calibri" w:cs="Times New Roman"/>
          <w:i/>
          <w:iCs/>
          <w:szCs w:val="24"/>
        </w:rPr>
      </w:pPr>
    </w:p>
    <w:p w14:paraId="065A033E" w14:textId="77777777" w:rsidR="001529ED" w:rsidRPr="009F6D1E" w:rsidRDefault="001529ED" w:rsidP="0084747F">
      <w:pPr>
        <w:spacing w:after="60" w:line="264" w:lineRule="auto"/>
        <w:contextualSpacing/>
        <w:jc w:val="both"/>
        <w:rPr>
          <w:rFonts w:eastAsia="Calibri" w:cs="Times New Roman"/>
          <w:i/>
          <w:iCs/>
          <w:szCs w:val="24"/>
        </w:rPr>
      </w:pPr>
    </w:p>
    <w:p w14:paraId="463B10E1" w14:textId="77777777" w:rsidR="001529ED" w:rsidRPr="009F6D1E" w:rsidRDefault="001529ED" w:rsidP="0084747F">
      <w:pPr>
        <w:spacing w:after="60" w:line="264" w:lineRule="auto"/>
        <w:contextualSpacing/>
        <w:jc w:val="both"/>
        <w:rPr>
          <w:rFonts w:eastAsia="Calibri" w:cs="Times New Roman"/>
          <w:i/>
          <w:iCs/>
          <w:szCs w:val="24"/>
        </w:rPr>
      </w:pPr>
    </w:p>
    <w:p w14:paraId="630359C8" w14:textId="77777777" w:rsidR="001529ED" w:rsidRPr="009F6D1E" w:rsidRDefault="001529ED" w:rsidP="0084747F">
      <w:pPr>
        <w:spacing w:after="60" w:line="264" w:lineRule="auto"/>
        <w:contextualSpacing/>
        <w:jc w:val="both"/>
        <w:rPr>
          <w:rFonts w:eastAsia="Calibri" w:cs="Times New Roman"/>
          <w:i/>
          <w:iCs/>
          <w:szCs w:val="24"/>
        </w:rPr>
      </w:pPr>
    </w:p>
    <w:p w14:paraId="129849E4" w14:textId="77777777" w:rsidR="001529ED" w:rsidRPr="009F6D1E" w:rsidRDefault="001529ED" w:rsidP="0084747F">
      <w:pPr>
        <w:spacing w:after="60" w:line="264" w:lineRule="auto"/>
        <w:contextualSpacing/>
        <w:jc w:val="both"/>
        <w:rPr>
          <w:rFonts w:eastAsia="Calibri" w:cs="Times New Roman"/>
          <w:i/>
          <w:iCs/>
          <w:szCs w:val="24"/>
        </w:rPr>
      </w:pPr>
    </w:p>
    <w:p w14:paraId="77576972" w14:textId="77777777" w:rsidR="001529ED" w:rsidRPr="009F6D1E" w:rsidRDefault="001529ED" w:rsidP="0084747F">
      <w:pPr>
        <w:spacing w:after="60" w:line="264" w:lineRule="auto"/>
        <w:contextualSpacing/>
        <w:jc w:val="both"/>
        <w:rPr>
          <w:rFonts w:eastAsia="Calibri" w:cs="Times New Roman"/>
          <w:i/>
          <w:iCs/>
          <w:szCs w:val="24"/>
        </w:rPr>
      </w:pPr>
    </w:p>
    <w:p w14:paraId="6F752E67" w14:textId="77777777" w:rsidR="001529ED" w:rsidRPr="009F6D1E" w:rsidRDefault="001529ED" w:rsidP="0084747F">
      <w:pPr>
        <w:spacing w:after="60" w:line="264" w:lineRule="auto"/>
        <w:contextualSpacing/>
        <w:jc w:val="both"/>
        <w:rPr>
          <w:rFonts w:eastAsia="Calibri" w:cs="Times New Roman"/>
          <w:i/>
          <w:iCs/>
          <w:szCs w:val="24"/>
        </w:rPr>
      </w:pPr>
    </w:p>
    <w:p w14:paraId="7D820626" w14:textId="77777777" w:rsidR="001529ED" w:rsidRPr="009F6D1E" w:rsidRDefault="001529ED" w:rsidP="0084747F">
      <w:pPr>
        <w:spacing w:after="60" w:line="264" w:lineRule="auto"/>
        <w:contextualSpacing/>
        <w:jc w:val="both"/>
        <w:rPr>
          <w:rFonts w:eastAsia="Calibri" w:cs="Times New Roman"/>
          <w:i/>
          <w:iCs/>
          <w:szCs w:val="24"/>
        </w:rPr>
      </w:pPr>
    </w:p>
    <w:p w14:paraId="0032CCD4" w14:textId="77777777" w:rsidR="001529ED" w:rsidRPr="009F6D1E" w:rsidRDefault="001529ED" w:rsidP="0084747F">
      <w:pPr>
        <w:spacing w:after="60" w:line="264" w:lineRule="auto"/>
        <w:contextualSpacing/>
        <w:jc w:val="both"/>
        <w:rPr>
          <w:rFonts w:eastAsia="Calibri" w:cs="Times New Roman"/>
          <w:i/>
          <w:iCs/>
          <w:szCs w:val="24"/>
        </w:rPr>
      </w:pPr>
    </w:p>
    <w:p w14:paraId="37E89F95" w14:textId="77777777" w:rsidR="001529ED" w:rsidRPr="009F6D1E" w:rsidRDefault="001529ED" w:rsidP="0084747F">
      <w:pPr>
        <w:spacing w:after="60" w:line="264" w:lineRule="auto"/>
        <w:contextualSpacing/>
        <w:jc w:val="both"/>
        <w:rPr>
          <w:rFonts w:eastAsia="Calibri" w:cs="Times New Roman"/>
          <w:b/>
          <w:bCs/>
          <w:szCs w:val="24"/>
        </w:rPr>
      </w:pPr>
      <w:r w:rsidRPr="009F6D1E">
        <w:rPr>
          <w:rFonts w:eastAsia="Calibri" w:cs="Times New Roman"/>
          <w:b/>
          <w:bCs/>
          <w:szCs w:val="24"/>
        </w:rPr>
        <w:t>Възложител: Министерство на земеделието</w:t>
      </w:r>
    </w:p>
    <w:p w14:paraId="723EE44E" w14:textId="77777777" w:rsidR="001529ED" w:rsidRPr="009F6D1E" w:rsidRDefault="001529ED" w:rsidP="0084747F">
      <w:pPr>
        <w:spacing w:after="60" w:line="264" w:lineRule="auto"/>
        <w:contextualSpacing/>
        <w:jc w:val="both"/>
        <w:rPr>
          <w:rFonts w:eastAsia="Calibri" w:cs="Times New Roman"/>
          <w:i/>
          <w:iCs/>
          <w:szCs w:val="24"/>
        </w:rPr>
      </w:pPr>
    </w:p>
    <w:p w14:paraId="71C97001" w14:textId="77777777" w:rsidR="001529ED" w:rsidRPr="009F6D1E" w:rsidRDefault="001529ED" w:rsidP="0084747F">
      <w:pPr>
        <w:spacing w:after="60" w:line="264" w:lineRule="auto"/>
        <w:contextualSpacing/>
        <w:jc w:val="both"/>
        <w:rPr>
          <w:rFonts w:eastAsia="Calibri" w:cs="Times New Roman"/>
          <w:i/>
          <w:iCs/>
          <w:szCs w:val="24"/>
        </w:rPr>
      </w:pPr>
    </w:p>
    <w:p w14:paraId="57DAD750" w14:textId="77777777" w:rsidR="001529ED" w:rsidRPr="009F6D1E" w:rsidRDefault="001529ED" w:rsidP="0084747F">
      <w:pPr>
        <w:spacing w:after="60" w:line="264" w:lineRule="auto"/>
        <w:contextualSpacing/>
        <w:jc w:val="both"/>
        <w:rPr>
          <w:rFonts w:eastAsia="Calibri" w:cs="Times New Roman"/>
          <w:i/>
          <w:iCs/>
          <w:szCs w:val="24"/>
        </w:rPr>
      </w:pPr>
    </w:p>
    <w:p w14:paraId="01830922" w14:textId="77777777" w:rsidR="001529ED" w:rsidRPr="009F6D1E" w:rsidRDefault="001529ED" w:rsidP="0084747F">
      <w:pPr>
        <w:spacing w:after="60" w:line="264" w:lineRule="auto"/>
        <w:contextualSpacing/>
        <w:jc w:val="both"/>
        <w:rPr>
          <w:rFonts w:eastAsia="Calibri" w:cs="Times New Roman"/>
          <w:i/>
          <w:iCs/>
          <w:szCs w:val="24"/>
        </w:rPr>
      </w:pPr>
    </w:p>
    <w:p w14:paraId="1B021480" w14:textId="77777777" w:rsidR="001529ED" w:rsidRPr="009F6D1E" w:rsidRDefault="001529ED" w:rsidP="0084747F">
      <w:pPr>
        <w:spacing w:after="60" w:line="264" w:lineRule="auto"/>
        <w:contextualSpacing/>
        <w:jc w:val="both"/>
        <w:rPr>
          <w:rFonts w:eastAsia="Calibri" w:cs="Times New Roman"/>
          <w:i/>
          <w:iCs/>
          <w:szCs w:val="24"/>
        </w:rPr>
      </w:pPr>
    </w:p>
    <w:p w14:paraId="39D9405A" w14:textId="77777777" w:rsidR="001529ED" w:rsidRPr="009F6D1E" w:rsidRDefault="001529ED" w:rsidP="0084747F">
      <w:pPr>
        <w:spacing w:after="60" w:line="264" w:lineRule="auto"/>
        <w:contextualSpacing/>
        <w:jc w:val="both"/>
        <w:rPr>
          <w:rFonts w:eastAsia="Calibri" w:cs="Times New Roman"/>
          <w:i/>
          <w:iCs/>
          <w:szCs w:val="24"/>
        </w:rPr>
      </w:pPr>
    </w:p>
    <w:p w14:paraId="5E869778" w14:textId="77777777" w:rsidR="001529ED" w:rsidRPr="009F6D1E" w:rsidRDefault="001529ED" w:rsidP="0084747F">
      <w:pPr>
        <w:spacing w:after="60" w:line="264" w:lineRule="auto"/>
        <w:contextualSpacing/>
        <w:jc w:val="both"/>
        <w:rPr>
          <w:rFonts w:eastAsia="Calibri" w:cs="Times New Roman"/>
          <w:i/>
          <w:iCs/>
          <w:szCs w:val="24"/>
        </w:rPr>
      </w:pPr>
    </w:p>
    <w:p w14:paraId="6C6DC5C9" w14:textId="77777777" w:rsidR="001529ED" w:rsidRPr="009F6D1E" w:rsidRDefault="001529ED" w:rsidP="0084747F">
      <w:pPr>
        <w:spacing w:after="60" w:line="264" w:lineRule="auto"/>
        <w:contextualSpacing/>
        <w:jc w:val="both"/>
        <w:rPr>
          <w:rFonts w:eastAsia="Calibri" w:cs="Times New Roman"/>
          <w:i/>
          <w:iCs/>
          <w:szCs w:val="24"/>
        </w:rPr>
      </w:pPr>
    </w:p>
    <w:p w14:paraId="4A499F23" w14:textId="77777777" w:rsidR="001529ED" w:rsidRPr="009F6D1E" w:rsidRDefault="001529ED" w:rsidP="0084747F">
      <w:pPr>
        <w:spacing w:after="60" w:line="264" w:lineRule="auto"/>
        <w:contextualSpacing/>
        <w:jc w:val="both"/>
        <w:rPr>
          <w:rFonts w:eastAsia="Calibri" w:cs="Times New Roman"/>
          <w:i/>
          <w:iCs/>
          <w:szCs w:val="24"/>
        </w:rPr>
      </w:pPr>
    </w:p>
    <w:p w14:paraId="056AE9F2" w14:textId="77777777" w:rsidR="001529ED" w:rsidRPr="009F6D1E" w:rsidRDefault="001529ED" w:rsidP="0084747F">
      <w:pPr>
        <w:spacing w:after="60" w:line="264" w:lineRule="auto"/>
        <w:contextualSpacing/>
        <w:jc w:val="both"/>
        <w:rPr>
          <w:rFonts w:eastAsia="Calibri" w:cs="Times New Roman"/>
          <w:i/>
          <w:iCs/>
          <w:szCs w:val="24"/>
        </w:rPr>
      </w:pPr>
    </w:p>
    <w:p w14:paraId="719D8F6D" w14:textId="77777777" w:rsidR="001529ED" w:rsidRPr="009F6D1E" w:rsidRDefault="001529ED" w:rsidP="0084747F">
      <w:pPr>
        <w:spacing w:after="60" w:line="264" w:lineRule="auto"/>
        <w:contextualSpacing/>
        <w:jc w:val="both"/>
        <w:rPr>
          <w:rFonts w:eastAsia="Calibri" w:cs="Times New Roman"/>
          <w:i/>
          <w:iCs/>
          <w:szCs w:val="24"/>
        </w:rPr>
      </w:pPr>
    </w:p>
    <w:p w14:paraId="44943060" w14:textId="77777777" w:rsidR="001529ED" w:rsidRPr="009F6D1E" w:rsidRDefault="001529ED" w:rsidP="0084747F">
      <w:pPr>
        <w:spacing w:after="60" w:line="264" w:lineRule="auto"/>
        <w:contextualSpacing/>
        <w:jc w:val="both"/>
        <w:rPr>
          <w:rFonts w:eastAsia="Calibri" w:cs="Times New Roman"/>
          <w:i/>
          <w:iCs/>
          <w:szCs w:val="24"/>
        </w:rPr>
      </w:pPr>
    </w:p>
    <w:p w14:paraId="04109C62" w14:textId="77777777" w:rsidR="001529ED" w:rsidRPr="009F6D1E" w:rsidRDefault="001529ED" w:rsidP="0084747F">
      <w:pPr>
        <w:spacing w:after="60" w:line="264" w:lineRule="auto"/>
        <w:contextualSpacing/>
        <w:jc w:val="both"/>
        <w:rPr>
          <w:rFonts w:eastAsia="Calibri" w:cs="Times New Roman"/>
          <w:i/>
          <w:iCs/>
          <w:szCs w:val="24"/>
        </w:rPr>
      </w:pPr>
    </w:p>
    <w:p w14:paraId="0C4C1659" w14:textId="77777777" w:rsidR="007663AC" w:rsidRPr="009F6D1E" w:rsidRDefault="007663AC" w:rsidP="0084747F">
      <w:pPr>
        <w:spacing w:after="60" w:line="264" w:lineRule="auto"/>
        <w:contextualSpacing/>
        <w:jc w:val="both"/>
        <w:rPr>
          <w:rFonts w:eastAsia="Calibri" w:cs="Times New Roman"/>
          <w:i/>
          <w:iCs/>
          <w:szCs w:val="24"/>
        </w:rPr>
      </w:pPr>
    </w:p>
    <w:p w14:paraId="5E021764" w14:textId="77777777" w:rsidR="001529ED" w:rsidRPr="009F6D1E" w:rsidRDefault="001529ED" w:rsidP="0084747F">
      <w:pPr>
        <w:spacing w:after="60" w:line="264" w:lineRule="auto"/>
        <w:contextualSpacing/>
        <w:jc w:val="both"/>
        <w:rPr>
          <w:rFonts w:eastAsia="Calibri" w:cs="Times New Roman"/>
          <w:i/>
          <w:iCs/>
          <w:szCs w:val="24"/>
        </w:rPr>
      </w:pPr>
    </w:p>
    <w:p w14:paraId="114846F9" w14:textId="77777777" w:rsidR="001529ED" w:rsidRPr="009F6D1E" w:rsidRDefault="001529ED" w:rsidP="0084747F">
      <w:pPr>
        <w:spacing w:after="60" w:line="264" w:lineRule="auto"/>
        <w:contextualSpacing/>
        <w:jc w:val="center"/>
        <w:rPr>
          <w:rFonts w:eastAsia="Calibri" w:cs="Times New Roman"/>
          <w:i/>
          <w:iCs/>
          <w:szCs w:val="24"/>
        </w:rPr>
      </w:pPr>
      <w:r w:rsidRPr="009F6D1E">
        <w:rPr>
          <w:rFonts w:eastAsia="Calibri" w:cs="Times New Roman"/>
          <w:i/>
          <w:iCs/>
          <w:szCs w:val="24"/>
        </w:rPr>
        <w:t>2022 г.</w:t>
      </w:r>
    </w:p>
    <w:p w14:paraId="1CD78AA9" w14:textId="77777777" w:rsidR="001529ED" w:rsidRPr="009F6D1E" w:rsidRDefault="001529ED" w:rsidP="0084747F">
      <w:pPr>
        <w:spacing w:after="60" w:line="264" w:lineRule="auto"/>
        <w:contextualSpacing/>
        <w:jc w:val="both"/>
        <w:rPr>
          <w:rFonts w:eastAsia="Calibri" w:cs="Times New Roman"/>
          <w:i/>
          <w:iCs/>
          <w:szCs w:val="24"/>
        </w:rPr>
      </w:pPr>
    </w:p>
    <w:p w14:paraId="13EF44D2" w14:textId="77777777" w:rsidR="00D14FFB" w:rsidRPr="009F6D1E" w:rsidRDefault="000F3DB6"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lastRenderedPageBreak/>
        <w:t>СЪДЪРЖАНИЕ:</w:t>
      </w:r>
    </w:p>
    <w:sdt>
      <w:sdtPr>
        <w:rPr>
          <w:rFonts w:ascii="Times New Roman" w:eastAsiaTheme="minorHAnsi" w:hAnsi="Times New Roman" w:cs="Times New Roman"/>
          <w:color w:val="auto"/>
          <w:sz w:val="22"/>
          <w:szCs w:val="22"/>
          <w:lang w:val="bg-BG"/>
        </w:rPr>
        <w:id w:val="235900616"/>
        <w:docPartObj>
          <w:docPartGallery w:val="Table of Contents"/>
          <w:docPartUnique/>
        </w:docPartObj>
      </w:sdtPr>
      <w:sdtEndPr>
        <w:rPr>
          <w:b/>
          <w:bCs/>
          <w:noProof/>
          <w:color w:val="000000" w:themeColor="text1"/>
          <w:sz w:val="24"/>
        </w:rPr>
      </w:sdtEndPr>
      <w:sdtContent>
        <w:p w14:paraId="5D2FF472" w14:textId="77777777" w:rsidR="00983EC6" w:rsidRPr="009F6D1E" w:rsidRDefault="00983EC6" w:rsidP="0084747F">
          <w:pPr>
            <w:pStyle w:val="TOCHeading"/>
            <w:spacing w:before="0" w:after="60" w:line="264" w:lineRule="auto"/>
            <w:rPr>
              <w:rFonts w:ascii="Times New Roman" w:hAnsi="Times New Roman" w:cs="Times New Roman"/>
              <w:lang w:val="bg-BG"/>
            </w:rPr>
          </w:pPr>
        </w:p>
        <w:p w14:paraId="441E7BC5" w14:textId="326D4355" w:rsidR="00A43EF3" w:rsidRDefault="003F3D71">
          <w:pPr>
            <w:pStyle w:val="TOC1"/>
            <w:tabs>
              <w:tab w:val="left" w:pos="709"/>
              <w:tab w:val="right" w:leader="dot" w:pos="9628"/>
            </w:tabs>
            <w:rPr>
              <w:rFonts w:asciiTheme="minorHAnsi" w:eastAsiaTheme="minorEastAsia" w:hAnsiTheme="minorHAnsi"/>
              <w:b w:val="0"/>
              <w:noProof/>
              <w:color w:val="auto"/>
              <w:sz w:val="22"/>
              <w:lang w:eastAsia="bg-BG"/>
            </w:rPr>
          </w:pPr>
          <w:r w:rsidRPr="009F6D1E">
            <w:rPr>
              <w:rFonts w:cs="Times New Roman"/>
            </w:rPr>
            <w:fldChar w:fldCharType="begin"/>
          </w:r>
          <w:r w:rsidR="00983EC6" w:rsidRPr="009F6D1E">
            <w:rPr>
              <w:rFonts w:cs="Times New Roman"/>
            </w:rPr>
            <w:instrText xml:space="preserve"> TOC \o "1-3" \h \z \u </w:instrText>
          </w:r>
          <w:r w:rsidRPr="009F6D1E">
            <w:rPr>
              <w:rFonts w:cs="Times New Roman"/>
            </w:rPr>
            <w:fldChar w:fldCharType="separate"/>
          </w:r>
          <w:hyperlink w:anchor="_Toc115254979" w:history="1">
            <w:r w:rsidR="00A43EF3" w:rsidRPr="00672D00">
              <w:rPr>
                <w:rStyle w:val="Hyperlink"/>
                <w:noProof/>
                <w:lang w:bidi="bg-BG"/>
              </w:rPr>
              <w:t>1.</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ВЪВЕДЕНИЕ</w:t>
            </w:r>
            <w:r w:rsidR="00A43EF3">
              <w:rPr>
                <w:noProof/>
                <w:webHidden/>
              </w:rPr>
              <w:tab/>
            </w:r>
            <w:r w:rsidR="00A43EF3">
              <w:rPr>
                <w:noProof/>
                <w:webHidden/>
              </w:rPr>
              <w:fldChar w:fldCharType="begin"/>
            </w:r>
            <w:r w:rsidR="00A43EF3">
              <w:rPr>
                <w:noProof/>
                <w:webHidden/>
              </w:rPr>
              <w:instrText xml:space="preserve"> PAGEREF _Toc115254979 \h </w:instrText>
            </w:r>
            <w:r w:rsidR="00A43EF3">
              <w:rPr>
                <w:noProof/>
                <w:webHidden/>
              </w:rPr>
            </w:r>
            <w:r w:rsidR="00A43EF3">
              <w:rPr>
                <w:noProof/>
                <w:webHidden/>
              </w:rPr>
              <w:fldChar w:fldCharType="separate"/>
            </w:r>
            <w:r w:rsidR="00A43EF3">
              <w:rPr>
                <w:noProof/>
                <w:webHidden/>
              </w:rPr>
              <w:t>10</w:t>
            </w:r>
            <w:r w:rsidR="00A43EF3">
              <w:rPr>
                <w:noProof/>
                <w:webHidden/>
              </w:rPr>
              <w:fldChar w:fldCharType="end"/>
            </w:r>
          </w:hyperlink>
        </w:p>
        <w:p w14:paraId="607EFF45" w14:textId="6367C7AB"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0" w:history="1">
            <w:r w:rsidR="00A43EF3" w:rsidRPr="00672D00">
              <w:rPr>
                <w:rStyle w:val="Hyperlink"/>
                <w:rFonts w:eastAsia="Times New Roman"/>
                <w:b/>
                <w:i/>
                <w:noProof/>
                <w:lang w:val="bg-BG"/>
              </w:rPr>
              <w:t>1.1.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Обща информация</w:t>
            </w:r>
            <w:r w:rsidR="00A43EF3">
              <w:rPr>
                <w:noProof/>
                <w:webHidden/>
              </w:rPr>
              <w:tab/>
            </w:r>
            <w:r w:rsidR="00A43EF3">
              <w:rPr>
                <w:noProof/>
                <w:webHidden/>
              </w:rPr>
              <w:fldChar w:fldCharType="begin"/>
            </w:r>
            <w:r w:rsidR="00A43EF3">
              <w:rPr>
                <w:noProof/>
                <w:webHidden/>
              </w:rPr>
              <w:instrText xml:space="preserve"> PAGEREF _Toc115254980 \h </w:instrText>
            </w:r>
            <w:r w:rsidR="00A43EF3">
              <w:rPr>
                <w:noProof/>
                <w:webHidden/>
              </w:rPr>
            </w:r>
            <w:r w:rsidR="00A43EF3">
              <w:rPr>
                <w:noProof/>
                <w:webHidden/>
              </w:rPr>
              <w:fldChar w:fldCharType="separate"/>
            </w:r>
            <w:r w:rsidR="00A43EF3">
              <w:rPr>
                <w:noProof/>
                <w:webHidden/>
              </w:rPr>
              <w:t>11</w:t>
            </w:r>
            <w:r w:rsidR="00A43EF3">
              <w:rPr>
                <w:noProof/>
                <w:webHidden/>
              </w:rPr>
              <w:fldChar w:fldCharType="end"/>
            </w:r>
          </w:hyperlink>
        </w:p>
        <w:p w14:paraId="0313D795" w14:textId="37DE83F4"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4981" w:history="1">
            <w:r w:rsidR="00A43EF3" w:rsidRPr="00672D00">
              <w:rPr>
                <w:rStyle w:val="Hyperlink"/>
                <w:noProof/>
                <w:lang w:bidi="bg-BG"/>
              </w:rPr>
              <w:t>2.</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ИНФОРМАЦИЯ ЗА КОНТАКТ С ВЪЗЛОЖИТЕЛЯ</w:t>
            </w:r>
            <w:r w:rsidR="00A43EF3">
              <w:rPr>
                <w:noProof/>
                <w:webHidden/>
              </w:rPr>
              <w:tab/>
            </w:r>
            <w:r w:rsidR="00A43EF3">
              <w:rPr>
                <w:noProof/>
                <w:webHidden/>
              </w:rPr>
              <w:fldChar w:fldCharType="begin"/>
            </w:r>
            <w:r w:rsidR="00A43EF3">
              <w:rPr>
                <w:noProof/>
                <w:webHidden/>
              </w:rPr>
              <w:instrText xml:space="preserve"> PAGEREF _Toc115254981 \h </w:instrText>
            </w:r>
            <w:r w:rsidR="00A43EF3">
              <w:rPr>
                <w:noProof/>
                <w:webHidden/>
              </w:rPr>
            </w:r>
            <w:r w:rsidR="00A43EF3">
              <w:rPr>
                <w:noProof/>
                <w:webHidden/>
              </w:rPr>
              <w:fldChar w:fldCharType="separate"/>
            </w:r>
            <w:r w:rsidR="00A43EF3">
              <w:rPr>
                <w:noProof/>
                <w:webHidden/>
              </w:rPr>
              <w:t>12</w:t>
            </w:r>
            <w:r w:rsidR="00A43EF3">
              <w:rPr>
                <w:noProof/>
                <w:webHidden/>
              </w:rPr>
              <w:fldChar w:fldCharType="end"/>
            </w:r>
          </w:hyperlink>
        </w:p>
        <w:p w14:paraId="2B42169E" w14:textId="58ABC042"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2" w:history="1">
            <w:r w:rsidR="00A43EF3" w:rsidRPr="00672D00">
              <w:rPr>
                <w:rStyle w:val="Hyperlink"/>
                <w:rFonts w:eastAsia="Times New Roman"/>
                <w:b/>
                <w:i/>
                <w:noProof/>
                <w:lang w:val="bg-BG"/>
              </w:rPr>
              <w:t>2.1.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Име, седалище и единен идентификационен номер на юридическото лице:</w:t>
            </w:r>
            <w:r w:rsidR="00A43EF3">
              <w:rPr>
                <w:noProof/>
                <w:webHidden/>
              </w:rPr>
              <w:tab/>
            </w:r>
            <w:r w:rsidR="00A43EF3">
              <w:rPr>
                <w:noProof/>
                <w:webHidden/>
              </w:rPr>
              <w:fldChar w:fldCharType="begin"/>
            </w:r>
            <w:r w:rsidR="00A43EF3">
              <w:rPr>
                <w:noProof/>
                <w:webHidden/>
              </w:rPr>
              <w:instrText xml:space="preserve"> PAGEREF _Toc115254982 \h </w:instrText>
            </w:r>
            <w:r w:rsidR="00A43EF3">
              <w:rPr>
                <w:noProof/>
                <w:webHidden/>
              </w:rPr>
            </w:r>
            <w:r w:rsidR="00A43EF3">
              <w:rPr>
                <w:noProof/>
                <w:webHidden/>
              </w:rPr>
              <w:fldChar w:fldCharType="separate"/>
            </w:r>
            <w:r w:rsidR="00A43EF3">
              <w:rPr>
                <w:noProof/>
                <w:webHidden/>
              </w:rPr>
              <w:t>12</w:t>
            </w:r>
            <w:r w:rsidR="00A43EF3">
              <w:rPr>
                <w:noProof/>
                <w:webHidden/>
              </w:rPr>
              <w:fldChar w:fldCharType="end"/>
            </w:r>
          </w:hyperlink>
        </w:p>
        <w:p w14:paraId="216A7AAD" w14:textId="61A5FCAC"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3" w:history="1">
            <w:r w:rsidR="00A43EF3" w:rsidRPr="00672D00">
              <w:rPr>
                <w:rStyle w:val="Hyperlink"/>
                <w:rFonts w:eastAsia="Times New Roman"/>
                <w:b/>
                <w:i/>
                <w:noProof/>
              </w:rPr>
              <w:t>Лице за контакт съобразно Договор за възлагане:</w:t>
            </w:r>
            <w:r w:rsidR="00A43EF3">
              <w:rPr>
                <w:noProof/>
                <w:webHidden/>
              </w:rPr>
              <w:tab/>
            </w:r>
            <w:r w:rsidR="00A43EF3">
              <w:rPr>
                <w:noProof/>
                <w:webHidden/>
              </w:rPr>
              <w:fldChar w:fldCharType="begin"/>
            </w:r>
            <w:r w:rsidR="00A43EF3">
              <w:rPr>
                <w:noProof/>
                <w:webHidden/>
              </w:rPr>
              <w:instrText xml:space="preserve"> PAGEREF _Toc115254983 \h </w:instrText>
            </w:r>
            <w:r w:rsidR="00A43EF3">
              <w:rPr>
                <w:noProof/>
                <w:webHidden/>
              </w:rPr>
            </w:r>
            <w:r w:rsidR="00A43EF3">
              <w:rPr>
                <w:noProof/>
                <w:webHidden/>
              </w:rPr>
              <w:fldChar w:fldCharType="separate"/>
            </w:r>
            <w:r w:rsidR="00A43EF3">
              <w:rPr>
                <w:noProof/>
                <w:webHidden/>
              </w:rPr>
              <w:t>13</w:t>
            </w:r>
            <w:r w:rsidR="00A43EF3">
              <w:rPr>
                <w:noProof/>
                <w:webHidden/>
              </w:rPr>
              <w:fldChar w:fldCharType="end"/>
            </w:r>
          </w:hyperlink>
        </w:p>
        <w:p w14:paraId="0CF11013" w14:textId="2D982E02"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4984" w:history="1">
            <w:r w:rsidR="00A43EF3" w:rsidRPr="00672D00">
              <w:rPr>
                <w:rStyle w:val="Hyperlink"/>
                <w:noProof/>
                <w:lang w:bidi="bg-BG"/>
              </w:rPr>
              <w:t>3.</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ОПИСАНИЕ НА СЪДЪРЖАНИЕТО НА ОСНОВНИТЕ ЦЕЛИ НА СПРЗСР И ВРЪЗКА С ДРУГИ СЪОТНОСИМИ ПЛАНОВЕ И ПРОГРАМИ</w:t>
            </w:r>
            <w:r w:rsidR="00A43EF3">
              <w:rPr>
                <w:noProof/>
                <w:webHidden/>
              </w:rPr>
              <w:tab/>
            </w:r>
            <w:r w:rsidR="00A43EF3">
              <w:rPr>
                <w:noProof/>
                <w:webHidden/>
              </w:rPr>
              <w:fldChar w:fldCharType="begin"/>
            </w:r>
            <w:r w:rsidR="00A43EF3">
              <w:rPr>
                <w:noProof/>
                <w:webHidden/>
              </w:rPr>
              <w:instrText xml:space="preserve"> PAGEREF _Toc115254984 \h </w:instrText>
            </w:r>
            <w:r w:rsidR="00A43EF3">
              <w:rPr>
                <w:noProof/>
                <w:webHidden/>
              </w:rPr>
            </w:r>
            <w:r w:rsidR="00A43EF3">
              <w:rPr>
                <w:noProof/>
                <w:webHidden/>
              </w:rPr>
              <w:fldChar w:fldCharType="separate"/>
            </w:r>
            <w:r w:rsidR="00A43EF3">
              <w:rPr>
                <w:noProof/>
                <w:webHidden/>
              </w:rPr>
              <w:t>13</w:t>
            </w:r>
            <w:r w:rsidR="00A43EF3">
              <w:rPr>
                <w:noProof/>
                <w:webHidden/>
              </w:rPr>
              <w:fldChar w:fldCharType="end"/>
            </w:r>
          </w:hyperlink>
        </w:p>
        <w:p w14:paraId="1702587C" w14:textId="728EF4A6"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5" w:history="1">
            <w:r w:rsidR="00A43EF3" w:rsidRPr="00672D00">
              <w:rPr>
                <w:rStyle w:val="Hyperlink"/>
                <w:rFonts w:eastAsia="Times New Roman"/>
                <w:b/>
                <w:i/>
                <w:noProof/>
                <w:lang w:val="bg-BG"/>
              </w:rPr>
              <w:t>3.1.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Основание за изготвяне на СПРЗСР</w:t>
            </w:r>
            <w:r w:rsidR="00A43EF3">
              <w:rPr>
                <w:noProof/>
                <w:webHidden/>
              </w:rPr>
              <w:tab/>
            </w:r>
            <w:r w:rsidR="00A43EF3">
              <w:rPr>
                <w:noProof/>
                <w:webHidden/>
              </w:rPr>
              <w:fldChar w:fldCharType="begin"/>
            </w:r>
            <w:r w:rsidR="00A43EF3">
              <w:rPr>
                <w:noProof/>
                <w:webHidden/>
              </w:rPr>
              <w:instrText xml:space="preserve"> PAGEREF _Toc115254985 \h </w:instrText>
            </w:r>
            <w:r w:rsidR="00A43EF3">
              <w:rPr>
                <w:noProof/>
                <w:webHidden/>
              </w:rPr>
            </w:r>
            <w:r w:rsidR="00A43EF3">
              <w:rPr>
                <w:noProof/>
                <w:webHidden/>
              </w:rPr>
              <w:fldChar w:fldCharType="separate"/>
            </w:r>
            <w:r w:rsidR="00A43EF3">
              <w:rPr>
                <w:noProof/>
                <w:webHidden/>
              </w:rPr>
              <w:t>13</w:t>
            </w:r>
            <w:r w:rsidR="00A43EF3">
              <w:rPr>
                <w:noProof/>
                <w:webHidden/>
              </w:rPr>
              <w:fldChar w:fldCharType="end"/>
            </w:r>
          </w:hyperlink>
        </w:p>
        <w:p w14:paraId="50094DA2" w14:textId="09F27C23"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6" w:history="1">
            <w:r w:rsidR="00A43EF3" w:rsidRPr="00672D00">
              <w:rPr>
                <w:rStyle w:val="Hyperlink"/>
                <w:rFonts w:eastAsia="Times New Roman"/>
                <w:b/>
                <w:i/>
                <w:noProof/>
                <w:lang w:val="bg-BG"/>
              </w:rPr>
              <w:t>3.2.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Основни цели и предвиждания на СПРЗСР 2023-2027г.</w:t>
            </w:r>
            <w:r w:rsidR="00A43EF3">
              <w:rPr>
                <w:noProof/>
                <w:webHidden/>
              </w:rPr>
              <w:tab/>
            </w:r>
            <w:r w:rsidR="00A43EF3">
              <w:rPr>
                <w:noProof/>
                <w:webHidden/>
              </w:rPr>
              <w:fldChar w:fldCharType="begin"/>
            </w:r>
            <w:r w:rsidR="00A43EF3">
              <w:rPr>
                <w:noProof/>
                <w:webHidden/>
              </w:rPr>
              <w:instrText xml:space="preserve"> PAGEREF _Toc115254986 \h </w:instrText>
            </w:r>
            <w:r w:rsidR="00A43EF3">
              <w:rPr>
                <w:noProof/>
                <w:webHidden/>
              </w:rPr>
            </w:r>
            <w:r w:rsidR="00A43EF3">
              <w:rPr>
                <w:noProof/>
                <w:webHidden/>
              </w:rPr>
              <w:fldChar w:fldCharType="separate"/>
            </w:r>
            <w:r w:rsidR="00A43EF3">
              <w:rPr>
                <w:noProof/>
                <w:webHidden/>
              </w:rPr>
              <w:t>15</w:t>
            </w:r>
            <w:r w:rsidR="00A43EF3">
              <w:rPr>
                <w:noProof/>
                <w:webHidden/>
              </w:rPr>
              <w:fldChar w:fldCharType="end"/>
            </w:r>
          </w:hyperlink>
        </w:p>
        <w:p w14:paraId="0FF42FB9" w14:textId="5D7CB561"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7" w:history="1">
            <w:r w:rsidR="00A43EF3" w:rsidRPr="00672D00">
              <w:rPr>
                <w:rStyle w:val="Hyperlink"/>
                <w:rFonts w:eastAsia="Times New Roman"/>
                <w:b/>
                <w:i/>
                <w:noProof/>
                <w:lang w:val="bg-BG"/>
              </w:rPr>
              <w:t>3.3.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Алтернативи за СПРЗСР</w:t>
            </w:r>
            <w:r w:rsidR="00A43EF3">
              <w:rPr>
                <w:noProof/>
                <w:webHidden/>
              </w:rPr>
              <w:tab/>
            </w:r>
            <w:r w:rsidR="00A43EF3">
              <w:rPr>
                <w:noProof/>
                <w:webHidden/>
              </w:rPr>
              <w:fldChar w:fldCharType="begin"/>
            </w:r>
            <w:r w:rsidR="00A43EF3">
              <w:rPr>
                <w:noProof/>
                <w:webHidden/>
              </w:rPr>
              <w:instrText xml:space="preserve"> PAGEREF _Toc115254987 \h </w:instrText>
            </w:r>
            <w:r w:rsidR="00A43EF3">
              <w:rPr>
                <w:noProof/>
                <w:webHidden/>
              </w:rPr>
            </w:r>
            <w:r w:rsidR="00A43EF3">
              <w:rPr>
                <w:noProof/>
                <w:webHidden/>
              </w:rPr>
              <w:fldChar w:fldCharType="separate"/>
            </w:r>
            <w:r w:rsidR="00A43EF3">
              <w:rPr>
                <w:noProof/>
                <w:webHidden/>
              </w:rPr>
              <w:t>60</w:t>
            </w:r>
            <w:r w:rsidR="00A43EF3">
              <w:rPr>
                <w:noProof/>
                <w:webHidden/>
              </w:rPr>
              <w:fldChar w:fldCharType="end"/>
            </w:r>
          </w:hyperlink>
        </w:p>
        <w:p w14:paraId="25D786F4" w14:textId="20CB085B"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8" w:history="1">
            <w:r w:rsidR="00A43EF3" w:rsidRPr="00672D00">
              <w:rPr>
                <w:rStyle w:val="Hyperlink"/>
                <w:rFonts w:eastAsia="Times New Roman"/>
                <w:b/>
                <w:i/>
                <w:noProof/>
                <w:lang w:val="bg-BG"/>
              </w:rPr>
              <w:t>3.4.</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Връзка на СПРЗСР с други съотносими планове, програми и стратегии</w:t>
            </w:r>
            <w:r w:rsidR="00A43EF3">
              <w:rPr>
                <w:noProof/>
                <w:webHidden/>
              </w:rPr>
              <w:tab/>
            </w:r>
            <w:r w:rsidR="00A43EF3">
              <w:rPr>
                <w:noProof/>
                <w:webHidden/>
              </w:rPr>
              <w:fldChar w:fldCharType="begin"/>
            </w:r>
            <w:r w:rsidR="00A43EF3">
              <w:rPr>
                <w:noProof/>
                <w:webHidden/>
              </w:rPr>
              <w:instrText xml:space="preserve"> PAGEREF _Toc115254988 \h </w:instrText>
            </w:r>
            <w:r w:rsidR="00A43EF3">
              <w:rPr>
                <w:noProof/>
                <w:webHidden/>
              </w:rPr>
            </w:r>
            <w:r w:rsidR="00A43EF3">
              <w:rPr>
                <w:noProof/>
                <w:webHidden/>
              </w:rPr>
              <w:fldChar w:fldCharType="separate"/>
            </w:r>
            <w:r w:rsidR="00A43EF3">
              <w:rPr>
                <w:noProof/>
                <w:webHidden/>
              </w:rPr>
              <w:t>103</w:t>
            </w:r>
            <w:r w:rsidR="00A43EF3">
              <w:rPr>
                <w:noProof/>
                <w:webHidden/>
              </w:rPr>
              <w:fldChar w:fldCharType="end"/>
            </w:r>
          </w:hyperlink>
        </w:p>
        <w:p w14:paraId="586101B3" w14:textId="18EFFF01"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89" w:history="1">
            <w:r w:rsidR="00A43EF3" w:rsidRPr="00672D00">
              <w:rPr>
                <w:rStyle w:val="Hyperlink"/>
                <w:rFonts w:eastAsia="Times New Roman"/>
                <w:b/>
                <w:bCs/>
                <w:i/>
                <w:noProof/>
                <w:lang w:val="bg-BG"/>
              </w:rPr>
              <w:t>3.4.1.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b/>
                <w:bCs/>
                <w:noProof/>
                <w:lang w:val="bg-BG"/>
              </w:rPr>
              <w:t>Основни стратегически документи на ЕС</w:t>
            </w:r>
            <w:r w:rsidR="00A43EF3">
              <w:rPr>
                <w:noProof/>
                <w:webHidden/>
              </w:rPr>
              <w:tab/>
            </w:r>
            <w:r w:rsidR="00A43EF3">
              <w:rPr>
                <w:noProof/>
                <w:webHidden/>
              </w:rPr>
              <w:fldChar w:fldCharType="begin"/>
            </w:r>
            <w:r w:rsidR="00A43EF3">
              <w:rPr>
                <w:noProof/>
                <w:webHidden/>
              </w:rPr>
              <w:instrText xml:space="preserve"> PAGEREF _Toc115254989 \h </w:instrText>
            </w:r>
            <w:r w:rsidR="00A43EF3">
              <w:rPr>
                <w:noProof/>
                <w:webHidden/>
              </w:rPr>
            </w:r>
            <w:r w:rsidR="00A43EF3">
              <w:rPr>
                <w:noProof/>
                <w:webHidden/>
              </w:rPr>
              <w:fldChar w:fldCharType="separate"/>
            </w:r>
            <w:r w:rsidR="00A43EF3">
              <w:rPr>
                <w:noProof/>
                <w:webHidden/>
              </w:rPr>
              <w:t>103</w:t>
            </w:r>
            <w:r w:rsidR="00A43EF3">
              <w:rPr>
                <w:noProof/>
                <w:webHidden/>
              </w:rPr>
              <w:fldChar w:fldCharType="end"/>
            </w:r>
          </w:hyperlink>
        </w:p>
        <w:p w14:paraId="1C8B1FAC" w14:textId="19464E89"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0" w:history="1">
            <w:r w:rsidR="00A43EF3" w:rsidRPr="00672D00">
              <w:rPr>
                <w:rStyle w:val="Hyperlink"/>
                <w:noProof/>
              </w:rPr>
              <w:t>3.4.2.</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Национални стратегии, планове и програми</w:t>
            </w:r>
            <w:r w:rsidR="00A43EF3">
              <w:rPr>
                <w:noProof/>
                <w:webHidden/>
              </w:rPr>
              <w:tab/>
            </w:r>
            <w:r w:rsidR="00A43EF3">
              <w:rPr>
                <w:noProof/>
                <w:webHidden/>
              </w:rPr>
              <w:fldChar w:fldCharType="begin"/>
            </w:r>
            <w:r w:rsidR="00A43EF3">
              <w:rPr>
                <w:noProof/>
                <w:webHidden/>
              </w:rPr>
              <w:instrText xml:space="preserve"> PAGEREF _Toc115254990 \h </w:instrText>
            </w:r>
            <w:r w:rsidR="00A43EF3">
              <w:rPr>
                <w:noProof/>
                <w:webHidden/>
              </w:rPr>
            </w:r>
            <w:r w:rsidR="00A43EF3">
              <w:rPr>
                <w:noProof/>
                <w:webHidden/>
              </w:rPr>
              <w:fldChar w:fldCharType="separate"/>
            </w:r>
            <w:r w:rsidR="00A43EF3">
              <w:rPr>
                <w:noProof/>
                <w:webHidden/>
              </w:rPr>
              <w:t>128</w:t>
            </w:r>
            <w:r w:rsidR="00A43EF3">
              <w:rPr>
                <w:noProof/>
                <w:webHidden/>
              </w:rPr>
              <w:fldChar w:fldCharType="end"/>
            </w:r>
          </w:hyperlink>
        </w:p>
        <w:p w14:paraId="204AD5B0" w14:textId="21CD69BE"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4991" w:history="1">
            <w:r w:rsidR="00A43EF3" w:rsidRPr="00672D00">
              <w:rPr>
                <w:rStyle w:val="Hyperlink"/>
                <w:noProof/>
                <w:lang w:bidi="bg-BG"/>
              </w:rPr>
              <w:t>4.</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ТЕКУЩО СЪСТОЯНИЕ НА ОКОЛНАТА СРЕДА И ЕВЕНТУАЛНО РАЗВИТИЕ БЕЗ ПРИЛАГАНЕТО НА СПРЗСР</w:t>
            </w:r>
            <w:r w:rsidR="00A43EF3">
              <w:rPr>
                <w:noProof/>
                <w:webHidden/>
              </w:rPr>
              <w:tab/>
            </w:r>
            <w:r w:rsidR="00A43EF3">
              <w:rPr>
                <w:noProof/>
                <w:webHidden/>
              </w:rPr>
              <w:fldChar w:fldCharType="begin"/>
            </w:r>
            <w:r w:rsidR="00A43EF3">
              <w:rPr>
                <w:noProof/>
                <w:webHidden/>
              </w:rPr>
              <w:instrText xml:space="preserve"> PAGEREF _Toc115254991 \h </w:instrText>
            </w:r>
            <w:r w:rsidR="00A43EF3">
              <w:rPr>
                <w:noProof/>
                <w:webHidden/>
              </w:rPr>
            </w:r>
            <w:r w:rsidR="00A43EF3">
              <w:rPr>
                <w:noProof/>
                <w:webHidden/>
              </w:rPr>
              <w:fldChar w:fldCharType="separate"/>
            </w:r>
            <w:r w:rsidR="00A43EF3">
              <w:rPr>
                <w:noProof/>
                <w:webHidden/>
              </w:rPr>
              <w:t>157</w:t>
            </w:r>
            <w:r w:rsidR="00A43EF3">
              <w:rPr>
                <w:noProof/>
                <w:webHidden/>
              </w:rPr>
              <w:fldChar w:fldCharType="end"/>
            </w:r>
          </w:hyperlink>
        </w:p>
        <w:p w14:paraId="71F4905C" w14:textId="138BF6BC"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4992" w:history="1">
            <w:r w:rsidR="00A43EF3" w:rsidRPr="00672D00">
              <w:rPr>
                <w:rStyle w:val="Hyperlink"/>
                <w:rFonts w:eastAsia="Times New Roman"/>
                <w:b/>
                <w:i/>
                <w:noProof/>
                <w:lang w:val="bg-BG"/>
              </w:rPr>
              <w:t>4.1.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Текущо състояние на околната среда</w:t>
            </w:r>
            <w:r w:rsidR="00A43EF3">
              <w:rPr>
                <w:noProof/>
                <w:webHidden/>
              </w:rPr>
              <w:tab/>
            </w:r>
            <w:r w:rsidR="00A43EF3">
              <w:rPr>
                <w:noProof/>
                <w:webHidden/>
              </w:rPr>
              <w:fldChar w:fldCharType="begin"/>
            </w:r>
            <w:r w:rsidR="00A43EF3">
              <w:rPr>
                <w:noProof/>
                <w:webHidden/>
              </w:rPr>
              <w:instrText xml:space="preserve"> PAGEREF _Toc115254992 \h </w:instrText>
            </w:r>
            <w:r w:rsidR="00A43EF3">
              <w:rPr>
                <w:noProof/>
                <w:webHidden/>
              </w:rPr>
            </w:r>
            <w:r w:rsidR="00A43EF3">
              <w:rPr>
                <w:noProof/>
                <w:webHidden/>
              </w:rPr>
              <w:fldChar w:fldCharType="separate"/>
            </w:r>
            <w:r w:rsidR="00A43EF3">
              <w:rPr>
                <w:noProof/>
                <w:webHidden/>
              </w:rPr>
              <w:t>157</w:t>
            </w:r>
            <w:r w:rsidR="00A43EF3">
              <w:rPr>
                <w:noProof/>
                <w:webHidden/>
              </w:rPr>
              <w:fldChar w:fldCharType="end"/>
            </w:r>
          </w:hyperlink>
        </w:p>
        <w:p w14:paraId="4E5307F1" w14:textId="76F11B4E"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3" w:history="1">
            <w:r w:rsidR="00A43EF3" w:rsidRPr="00672D00">
              <w:rPr>
                <w:rStyle w:val="Hyperlink"/>
                <w:noProof/>
              </w:rPr>
              <w:t>4.1.1.</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Атмосферен въздух и климат</w:t>
            </w:r>
            <w:r w:rsidR="00A43EF3">
              <w:rPr>
                <w:noProof/>
                <w:webHidden/>
              </w:rPr>
              <w:tab/>
            </w:r>
            <w:r w:rsidR="00A43EF3">
              <w:rPr>
                <w:noProof/>
                <w:webHidden/>
              </w:rPr>
              <w:fldChar w:fldCharType="begin"/>
            </w:r>
            <w:r w:rsidR="00A43EF3">
              <w:rPr>
                <w:noProof/>
                <w:webHidden/>
              </w:rPr>
              <w:instrText xml:space="preserve"> PAGEREF _Toc115254993 \h </w:instrText>
            </w:r>
            <w:r w:rsidR="00A43EF3">
              <w:rPr>
                <w:noProof/>
                <w:webHidden/>
              </w:rPr>
            </w:r>
            <w:r w:rsidR="00A43EF3">
              <w:rPr>
                <w:noProof/>
                <w:webHidden/>
              </w:rPr>
              <w:fldChar w:fldCharType="separate"/>
            </w:r>
            <w:r w:rsidR="00A43EF3">
              <w:rPr>
                <w:noProof/>
                <w:webHidden/>
              </w:rPr>
              <w:t>157</w:t>
            </w:r>
            <w:r w:rsidR="00A43EF3">
              <w:rPr>
                <w:noProof/>
                <w:webHidden/>
              </w:rPr>
              <w:fldChar w:fldCharType="end"/>
            </w:r>
          </w:hyperlink>
        </w:p>
        <w:p w14:paraId="62647F64" w14:textId="60E7AA83"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4" w:history="1">
            <w:r w:rsidR="00A43EF3" w:rsidRPr="00672D00">
              <w:rPr>
                <w:rStyle w:val="Hyperlink"/>
                <w:noProof/>
              </w:rPr>
              <w:t>4.1.2.</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Повърхностни и подземни води</w:t>
            </w:r>
            <w:r w:rsidR="00A43EF3">
              <w:rPr>
                <w:noProof/>
                <w:webHidden/>
              </w:rPr>
              <w:tab/>
            </w:r>
            <w:r w:rsidR="00A43EF3">
              <w:rPr>
                <w:noProof/>
                <w:webHidden/>
              </w:rPr>
              <w:fldChar w:fldCharType="begin"/>
            </w:r>
            <w:r w:rsidR="00A43EF3">
              <w:rPr>
                <w:noProof/>
                <w:webHidden/>
              </w:rPr>
              <w:instrText xml:space="preserve"> PAGEREF _Toc115254994 \h </w:instrText>
            </w:r>
            <w:r w:rsidR="00A43EF3">
              <w:rPr>
                <w:noProof/>
                <w:webHidden/>
              </w:rPr>
            </w:r>
            <w:r w:rsidR="00A43EF3">
              <w:rPr>
                <w:noProof/>
                <w:webHidden/>
              </w:rPr>
              <w:fldChar w:fldCharType="separate"/>
            </w:r>
            <w:r w:rsidR="00A43EF3">
              <w:rPr>
                <w:noProof/>
                <w:webHidden/>
              </w:rPr>
              <w:t>197</w:t>
            </w:r>
            <w:r w:rsidR="00A43EF3">
              <w:rPr>
                <w:noProof/>
                <w:webHidden/>
              </w:rPr>
              <w:fldChar w:fldCharType="end"/>
            </w:r>
          </w:hyperlink>
        </w:p>
        <w:p w14:paraId="44780D2C" w14:textId="724BEC97"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5" w:history="1">
            <w:r w:rsidR="00A43EF3" w:rsidRPr="00672D00">
              <w:rPr>
                <w:rStyle w:val="Hyperlink"/>
                <w:noProof/>
              </w:rPr>
              <w:t>4.1.3.</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Геоложка среда, земни недра, Сеизмична опасност</w:t>
            </w:r>
            <w:r w:rsidR="00A43EF3">
              <w:rPr>
                <w:noProof/>
                <w:webHidden/>
              </w:rPr>
              <w:tab/>
            </w:r>
            <w:r w:rsidR="00A43EF3">
              <w:rPr>
                <w:noProof/>
                <w:webHidden/>
              </w:rPr>
              <w:fldChar w:fldCharType="begin"/>
            </w:r>
            <w:r w:rsidR="00A43EF3">
              <w:rPr>
                <w:noProof/>
                <w:webHidden/>
              </w:rPr>
              <w:instrText xml:space="preserve"> PAGEREF _Toc115254995 \h </w:instrText>
            </w:r>
            <w:r w:rsidR="00A43EF3">
              <w:rPr>
                <w:noProof/>
                <w:webHidden/>
              </w:rPr>
            </w:r>
            <w:r w:rsidR="00A43EF3">
              <w:rPr>
                <w:noProof/>
                <w:webHidden/>
              </w:rPr>
              <w:fldChar w:fldCharType="separate"/>
            </w:r>
            <w:r w:rsidR="00A43EF3">
              <w:rPr>
                <w:noProof/>
                <w:webHidden/>
              </w:rPr>
              <w:t>260</w:t>
            </w:r>
            <w:r w:rsidR="00A43EF3">
              <w:rPr>
                <w:noProof/>
                <w:webHidden/>
              </w:rPr>
              <w:fldChar w:fldCharType="end"/>
            </w:r>
          </w:hyperlink>
        </w:p>
        <w:p w14:paraId="4C9E35C3" w14:textId="36DB941F"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6" w:history="1">
            <w:r w:rsidR="00A43EF3" w:rsidRPr="00672D00">
              <w:rPr>
                <w:rStyle w:val="Hyperlink"/>
                <w:noProof/>
              </w:rPr>
              <w:t>4.1.4.</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Почви и земеползване</w:t>
            </w:r>
            <w:r w:rsidR="00A43EF3">
              <w:rPr>
                <w:noProof/>
                <w:webHidden/>
              </w:rPr>
              <w:tab/>
            </w:r>
            <w:r w:rsidR="00A43EF3">
              <w:rPr>
                <w:noProof/>
                <w:webHidden/>
              </w:rPr>
              <w:fldChar w:fldCharType="begin"/>
            </w:r>
            <w:r w:rsidR="00A43EF3">
              <w:rPr>
                <w:noProof/>
                <w:webHidden/>
              </w:rPr>
              <w:instrText xml:space="preserve"> PAGEREF _Toc115254996 \h </w:instrText>
            </w:r>
            <w:r w:rsidR="00A43EF3">
              <w:rPr>
                <w:noProof/>
                <w:webHidden/>
              </w:rPr>
            </w:r>
            <w:r w:rsidR="00A43EF3">
              <w:rPr>
                <w:noProof/>
                <w:webHidden/>
              </w:rPr>
              <w:fldChar w:fldCharType="separate"/>
            </w:r>
            <w:r w:rsidR="00A43EF3">
              <w:rPr>
                <w:noProof/>
                <w:webHidden/>
              </w:rPr>
              <w:t>265</w:t>
            </w:r>
            <w:r w:rsidR="00A43EF3">
              <w:rPr>
                <w:noProof/>
                <w:webHidden/>
              </w:rPr>
              <w:fldChar w:fldCharType="end"/>
            </w:r>
          </w:hyperlink>
        </w:p>
        <w:p w14:paraId="6C815F71" w14:textId="2A9398A6"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7" w:history="1">
            <w:r w:rsidR="00A43EF3" w:rsidRPr="00672D00">
              <w:rPr>
                <w:rStyle w:val="Hyperlink"/>
                <w:noProof/>
              </w:rPr>
              <w:t>4.1.5.</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Ландшафт</w:t>
            </w:r>
            <w:r w:rsidR="00A43EF3">
              <w:rPr>
                <w:noProof/>
                <w:webHidden/>
              </w:rPr>
              <w:tab/>
            </w:r>
            <w:r w:rsidR="00A43EF3">
              <w:rPr>
                <w:noProof/>
                <w:webHidden/>
              </w:rPr>
              <w:fldChar w:fldCharType="begin"/>
            </w:r>
            <w:r w:rsidR="00A43EF3">
              <w:rPr>
                <w:noProof/>
                <w:webHidden/>
              </w:rPr>
              <w:instrText xml:space="preserve"> PAGEREF _Toc115254997 \h </w:instrText>
            </w:r>
            <w:r w:rsidR="00A43EF3">
              <w:rPr>
                <w:noProof/>
                <w:webHidden/>
              </w:rPr>
            </w:r>
            <w:r w:rsidR="00A43EF3">
              <w:rPr>
                <w:noProof/>
                <w:webHidden/>
              </w:rPr>
              <w:fldChar w:fldCharType="separate"/>
            </w:r>
            <w:r w:rsidR="00A43EF3">
              <w:rPr>
                <w:noProof/>
                <w:webHidden/>
              </w:rPr>
              <w:t>273</w:t>
            </w:r>
            <w:r w:rsidR="00A43EF3">
              <w:rPr>
                <w:noProof/>
                <w:webHidden/>
              </w:rPr>
              <w:fldChar w:fldCharType="end"/>
            </w:r>
          </w:hyperlink>
        </w:p>
        <w:p w14:paraId="3A375794" w14:textId="49891936"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8" w:history="1">
            <w:r w:rsidR="00A43EF3" w:rsidRPr="00672D00">
              <w:rPr>
                <w:rStyle w:val="Hyperlink"/>
                <w:noProof/>
              </w:rPr>
              <w:t>4.1.6.</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Отпадъци</w:t>
            </w:r>
            <w:r w:rsidR="00A43EF3">
              <w:rPr>
                <w:noProof/>
                <w:webHidden/>
              </w:rPr>
              <w:tab/>
            </w:r>
            <w:r w:rsidR="00A43EF3">
              <w:rPr>
                <w:noProof/>
                <w:webHidden/>
              </w:rPr>
              <w:fldChar w:fldCharType="begin"/>
            </w:r>
            <w:r w:rsidR="00A43EF3">
              <w:rPr>
                <w:noProof/>
                <w:webHidden/>
              </w:rPr>
              <w:instrText xml:space="preserve"> PAGEREF _Toc115254998 \h </w:instrText>
            </w:r>
            <w:r w:rsidR="00A43EF3">
              <w:rPr>
                <w:noProof/>
                <w:webHidden/>
              </w:rPr>
            </w:r>
            <w:r w:rsidR="00A43EF3">
              <w:rPr>
                <w:noProof/>
                <w:webHidden/>
              </w:rPr>
              <w:fldChar w:fldCharType="separate"/>
            </w:r>
            <w:r w:rsidR="00A43EF3">
              <w:rPr>
                <w:noProof/>
                <w:webHidden/>
              </w:rPr>
              <w:t>278</w:t>
            </w:r>
            <w:r w:rsidR="00A43EF3">
              <w:rPr>
                <w:noProof/>
                <w:webHidden/>
              </w:rPr>
              <w:fldChar w:fldCharType="end"/>
            </w:r>
          </w:hyperlink>
        </w:p>
        <w:p w14:paraId="7827A766" w14:textId="2709CC9A"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4999" w:history="1">
            <w:r w:rsidR="00A43EF3" w:rsidRPr="00672D00">
              <w:rPr>
                <w:rStyle w:val="Hyperlink"/>
                <w:noProof/>
              </w:rPr>
              <w:t>4.1.7.</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Опасни химични вещества и предприятия с висок и нисък рисков потенциал</w:t>
            </w:r>
            <w:r w:rsidR="00A43EF3">
              <w:rPr>
                <w:noProof/>
                <w:webHidden/>
              </w:rPr>
              <w:tab/>
            </w:r>
            <w:r w:rsidR="00A43EF3">
              <w:rPr>
                <w:noProof/>
                <w:webHidden/>
              </w:rPr>
              <w:fldChar w:fldCharType="begin"/>
            </w:r>
            <w:r w:rsidR="00A43EF3">
              <w:rPr>
                <w:noProof/>
                <w:webHidden/>
              </w:rPr>
              <w:instrText xml:space="preserve"> PAGEREF _Toc115254999 \h </w:instrText>
            </w:r>
            <w:r w:rsidR="00A43EF3">
              <w:rPr>
                <w:noProof/>
                <w:webHidden/>
              </w:rPr>
            </w:r>
            <w:r w:rsidR="00A43EF3">
              <w:rPr>
                <w:noProof/>
                <w:webHidden/>
              </w:rPr>
              <w:fldChar w:fldCharType="separate"/>
            </w:r>
            <w:r w:rsidR="00A43EF3">
              <w:rPr>
                <w:noProof/>
                <w:webHidden/>
              </w:rPr>
              <w:t>299</w:t>
            </w:r>
            <w:r w:rsidR="00A43EF3">
              <w:rPr>
                <w:noProof/>
                <w:webHidden/>
              </w:rPr>
              <w:fldChar w:fldCharType="end"/>
            </w:r>
          </w:hyperlink>
        </w:p>
        <w:p w14:paraId="244DDDB5" w14:textId="7E2D4A36"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0" w:history="1">
            <w:r w:rsidR="00A43EF3" w:rsidRPr="00672D00">
              <w:rPr>
                <w:rStyle w:val="Hyperlink"/>
                <w:noProof/>
              </w:rPr>
              <w:t>4.1.8.</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Вредни физични фактори</w:t>
            </w:r>
            <w:r w:rsidR="00A43EF3">
              <w:rPr>
                <w:noProof/>
                <w:webHidden/>
              </w:rPr>
              <w:tab/>
            </w:r>
            <w:r w:rsidR="00A43EF3">
              <w:rPr>
                <w:noProof/>
                <w:webHidden/>
              </w:rPr>
              <w:fldChar w:fldCharType="begin"/>
            </w:r>
            <w:r w:rsidR="00A43EF3">
              <w:rPr>
                <w:noProof/>
                <w:webHidden/>
              </w:rPr>
              <w:instrText xml:space="preserve"> PAGEREF _Toc115255000 \h </w:instrText>
            </w:r>
            <w:r w:rsidR="00A43EF3">
              <w:rPr>
                <w:noProof/>
                <w:webHidden/>
              </w:rPr>
            </w:r>
            <w:r w:rsidR="00A43EF3">
              <w:rPr>
                <w:noProof/>
                <w:webHidden/>
              </w:rPr>
              <w:fldChar w:fldCharType="separate"/>
            </w:r>
            <w:r w:rsidR="00A43EF3">
              <w:rPr>
                <w:noProof/>
                <w:webHidden/>
              </w:rPr>
              <w:t>300</w:t>
            </w:r>
            <w:r w:rsidR="00A43EF3">
              <w:rPr>
                <w:noProof/>
                <w:webHidden/>
              </w:rPr>
              <w:fldChar w:fldCharType="end"/>
            </w:r>
          </w:hyperlink>
        </w:p>
        <w:p w14:paraId="5A3F20B9" w14:textId="123467BC"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1" w:history="1">
            <w:r w:rsidR="00A43EF3" w:rsidRPr="00672D00">
              <w:rPr>
                <w:rStyle w:val="Hyperlink"/>
                <w:noProof/>
              </w:rPr>
              <w:t>4.1.9.</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Горски територии</w:t>
            </w:r>
            <w:r w:rsidR="00A43EF3">
              <w:rPr>
                <w:noProof/>
                <w:webHidden/>
              </w:rPr>
              <w:tab/>
            </w:r>
            <w:r w:rsidR="00A43EF3">
              <w:rPr>
                <w:noProof/>
                <w:webHidden/>
              </w:rPr>
              <w:fldChar w:fldCharType="begin"/>
            </w:r>
            <w:r w:rsidR="00A43EF3">
              <w:rPr>
                <w:noProof/>
                <w:webHidden/>
              </w:rPr>
              <w:instrText xml:space="preserve"> PAGEREF _Toc115255001 \h </w:instrText>
            </w:r>
            <w:r w:rsidR="00A43EF3">
              <w:rPr>
                <w:noProof/>
                <w:webHidden/>
              </w:rPr>
            </w:r>
            <w:r w:rsidR="00A43EF3">
              <w:rPr>
                <w:noProof/>
                <w:webHidden/>
              </w:rPr>
              <w:fldChar w:fldCharType="separate"/>
            </w:r>
            <w:r w:rsidR="00A43EF3">
              <w:rPr>
                <w:noProof/>
                <w:webHidden/>
              </w:rPr>
              <w:t>304</w:t>
            </w:r>
            <w:r w:rsidR="00A43EF3">
              <w:rPr>
                <w:noProof/>
                <w:webHidden/>
              </w:rPr>
              <w:fldChar w:fldCharType="end"/>
            </w:r>
          </w:hyperlink>
        </w:p>
        <w:p w14:paraId="42D74D59" w14:textId="219EE638"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2" w:history="1">
            <w:r w:rsidR="00A43EF3" w:rsidRPr="00672D00">
              <w:rPr>
                <w:rStyle w:val="Hyperlink"/>
                <w:noProof/>
              </w:rPr>
              <w:t>4.1.10.</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Биологично разнообразие</w:t>
            </w:r>
            <w:r w:rsidR="00A43EF3">
              <w:rPr>
                <w:noProof/>
                <w:webHidden/>
              </w:rPr>
              <w:tab/>
            </w:r>
            <w:r w:rsidR="00A43EF3">
              <w:rPr>
                <w:noProof/>
                <w:webHidden/>
              </w:rPr>
              <w:fldChar w:fldCharType="begin"/>
            </w:r>
            <w:r w:rsidR="00A43EF3">
              <w:rPr>
                <w:noProof/>
                <w:webHidden/>
              </w:rPr>
              <w:instrText xml:space="preserve"> PAGEREF _Toc115255002 \h </w:instrText>
            </w:r>
            <w:r w:rsidR="00A43EF3">
              <w:rPr>
                <w:noProof/>
                <w:webHidden/>
              </w:rPr>
            </w:r>
            <w:r w:rsidR="00A43EF3">
              <w:rPr>
                <w:noProof/>
                <w:webHidden/>
              </w:rPr>
              <w:fldChar w:fldCharType="separate"/>
            </w:r>
            <w:r w:rsidR="00A43EF3">
              <w:rPr>
                <w:noProof/>
                <w:webHidden/>
              </w:rPr>
              <w:t>313</w:t>
            </w:r>
            <w:r w:rsidR="00A43EF3">
              <w:rPr>
                <w:noProof/>
                <w:webHidden/>
              </w:rPr>
              <w:fldChar w:fldCharType="end"/>
            </w:r>
          </w:hyperlink>
        </w:p>
        <w:p w14:paraId="58BF17A3" w14:textId="60276B72"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3" w:history="1">
            <w:r w:rsidR="00A43EF3" w:rsidRPr="00672D00">
              <w:rPr>
                <w:rStyle w:val="Hyperlink"/>
                <w:noProof/>
              </w:rPr>
              <w:t>4.1.11.</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Културно-историческо наследство</w:t>
            </w:r>
            <w:r w:rsidR="00A43EF3">
              <w:rPr>
                <w:noProof/>
                <w:webHidden/>
              </w:rPr>
              <w:tab/>
            </w:r>
            <w:r w:rsidR="00A43EF3">
              <w:rPr>
                <w:noProof/>
                <w:webHidden/>
              </w:rPr>
              <w:fldChar w:fldCharType="begin"/>
            </w:r>
            <w:r w:rsidR="00A43EF3">
              <w:rPr>
                <w:noProof/>
                <w:webHidden/>
              </w:rPr>
              <w:instrText xml:space="preserve"> PAGEREF _Toc115255003 \h </w:instrText>
            </w:r>
            <w:r w:rsidR="00A43EF3">
              <w:rPr>
                <w:noProof/>
                <w:webHidden/>
              </w:rPr>
            </w:r>
            <w:r w:rsidR="00A43EF3">
              <w:rPr>
                <w:noProof/>
                <w:webHidden/>
              </w:rPr>
              <w:fldChar w:fldCharType="separate"/>
            </w:r>
            <w:r w:rsidR="00A43EF3">
              <w:rPr>
                <w:noProof/>
                <w:webHidden/>
              </w:rPr>
              <w:t>327</w:t>
            </w:r>
            <w:r w:rsidR="00A43EF3">
              <w:rPr>
                <w:noProof/>
                <w:webHidden/>
              </w:rPr>
              <w:fldChar w:fldCharType="end"/>
            </w:r>
          </w:hyperlink>
        </w:p>
        <w:p w14:paraId="35FAACEB" w14:textId="14CA8C3C"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4" w:history="1">
            <w:r w:rsidR="00A43EF3" w:rsidRPr="00672D00">
              <w:rPr>
                <w:rStyle w:val="Hyperlink"/>
                <w:noProof/>
              </w:rPr>
              <w:t>4.1.12.</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Материални активи</w:t>
            </w:r>
            <w:r w:rsidR="00A43EF3">
              <w:rPr>
                <w:noProof/>
                <w:webHidden/>
              </w:rPr>
              <w:tab/>
            </w:r>
            <w:r w:rsidR="00A43EF3">
              <w:rPr>
                <w:noProof/>
                <w:webHidden/>
              </w:rPr>
              <w:fldChar w:fldCharType="begin"/>
            </w:r>
            <w:r w:rsidR="00A43EF3">
              <w:rPr>
                <w:noProof/>
                <w:webHidden/>
              </w:rPr>
              <w:instrText xml:space="preserve"> PAGEREF _Toc115255004 \h </w:instrText>
            </w:r>
            <w:r w:rsidR="00A43EF3">
              <w:rPr>
                <w:noProof/>
                <w:webHidden/>
              </w:rPr>
            </w:r>
            <w:r w:rsidR="00A43EF3">
              <w:rPr>
                <w:noProof/>
                <w:webHidden/>
              </w:rPr>
              <w:fldChar w:fldCharType="separate"/>
            </w:r>
            <w:r w:rsidR="00A43EF3">
              <w:rPr>
                <w:noProof/>
                <w:webHidden/>
              </w:rPr>
              <w:t>330</w:t>
            </w:r>
            <w:r w:rsidR="00A43EF3">
              <w:rPr>
                <w:noProof/>
                <w:webHidden/>
              </w:rPr>
              <w:fldChar w:fldCharType="end"/>
            </w:r>
          </w:hyperlink>
        </w:p>
        <w:p w14:paraId="6CC89201" w14:textId="6462BB6C"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5" w:history="1">
            <w:r w:rsidR="00A43EF3" w:rsidRPr="00672D00">
              <w:rPr>
                <w:rStyle w:val="Hyperlink"/>
                <w:noProof/>
              </w:rPr>
              <w:t>4.1.13.</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Население и човешко здраве</w:t>
            </w:r>
            <w:r w:rsidR="00A43EF3">
              <w:rPr>
                <w:noProof/>
                <w:webHidden/>
              </w:rPr>
              <w:tab/>
            </w:r>
            <w:r w:rsidR="00A43EF3">
              <w:rPr>
                <w:noProof/>
                <w:webHidden/>
              </w:rPr>
              <w:fldChar w:fldCharType="begin"/>
            </w:r>
            <w:r w:rsidR="00A43EF3">
              <w:rPr>
                <w:noProof/>
                <w:webHidden/>
              </w:rPr>
              <w:instrText xml:space="preserve"> PAGEREF _Toc115255005 \h </w:instrText>
            </w:r>
            <w:r w:rsidR="00A43EF3">
              <w:rPr>
                <w:noProof/>
                <w:webHidden/>
              </w:rPr>
            </w:r>
            <w:r w:rsidR="00A43EF3">
              <w:rPr>
                <w:noProof/>
                <w:webHidden/>
              </w:rPr>
              <w:fldChar w:fldCharType="separate"/>
            </w:r>
            <w:r w:rsidR="00A43EF3">
              <w:rPr>
                <w:noProof/>
                <w:webHidden/>
              </w:rPr>
              <w:t>336</w:t>
            </w:r>
            <w:r w:rsidR="00A43EF3">
              <w:rPr>
                <w:noProof/>
                <w:webHidden/>
              </w:rPr>
              <w:fldChar w:fldCharType="end"/>
            </w:r>
          </w:hyperlink>
        </w:p>
        <w:p w14:paraId="65961A03" w14:textId="53DB25D7"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06" w:history="1">
            <w:r w:rsidR="00A43EF3" w:rsidRPr="00672D00">
              <w:rPr>
                <w:rStyle w:val="Hyperlink"/>
                <w:noProof/>
              </w:rPr>
              <w:t>4.1.13.</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Социални аспекти</w:t>
            </w:r>
            <w:r w:rsidR="00A43EF3">
              <w:rPr>
                <w:noProof/>
                <w:webHidden/>
              </w:rPr>
              <w:tab/>
            </w:r>
            <w:r w:rsidR="00A43EF3">
              <w:rPr>
                <w:noProof/>
                <w:webHidden/>
              </w:rPr>
              <w:fldChar w:fldCharType="begin"/>
            </w:r>
            <w:r w:rsidR="00A43EF3">
              <w:rPr>
                <w:noProof/>
                <w:webHidden/>
              </w:rPr>
              <w:instrText xml:space="preserve"> PAGEREF _Toc115255006 \h </w:instrText>
            </w:r>
            <w:r w:rsidR="00A43EF3">
              <w:rPr>
                <w:noProof/>
                <w:webHidden/>
              </w:rPr>
            </w:r>
            <w:r w:rsidR="00A43EF3">
              <w:rPr>
                <w:noProof/>
                <w:webHidden/>
              </w:rPr>
              <w:fldChar w:fldCharType="separate"/>
            </w:r>
            <w:r w:rsidR="00A43EF3">
              <w:rPr>
                <w:noProof/>
                <w:webHidden/>
              </w:rPr>
              <w:t>367</w:t>
            </w:r>
            <w:r w:rsidR="00A43EF3">
              <w:rPr>
                <w:noProof/>
                <w:webHidden/>
              </w:rPr>
              <w:fldChar w:fldCharType="end"/>
            </w:r>
          </w:hyperlink>
        </w:p>
        <w:p w14:paraId="4A70C36D" w14:textId="7EF7072B"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07" w:history="1">
            <w:r w:rsidR="00A43EF3" w:rsidRPr="00672D00">
              <w:rPr>
                <w:rStyle w:val="Hyperlink"/>
                <w:rFonts w:eastAsia="Times New Roman"/>
                <w:b/>
                <w:i/>
                <w:noProof/>
                <w:lang w:val="bg-BG"/>
              </w:rPr>
              <w:t>4.2.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Евентуално развитие на околната среда без прилагането на СПРЗСР</w:t>
            </w:r>
            <w:r w:rsidR="00A43EF3">
              <w:rPr>
                <w:noProof/>
                <w:webHidden/>
              </w:rPr>
              <w:tab/>
            </w:r>
            <w:r w:rsidR="00A43EF3">
              <w:rPr>
                <w:noProof/>
                <w:webHidden/>
              </w:rPr>
              <w:fldChar w:fldCharType="begin"/>
            </w:r>
            <w:r w:rsidR="00A43EF3">
              <w:rPr>
                <w:noProof/>
                <w:webHidden/>
              </w:rPr>
              <w:instrText xml:space="preserve"> PAGEREF _Toc115255007 \h </w:instrText>
            </w:r>
            <w:r w:rsidR="00A43EF3">
              <w:rPr>
                <w:noProof/>
                <w:webHidden/>
              </w:rPr>
            </w:r>
            <w:r w:rsidR="00A43EF3">
              <w:rPr>
                <w:noProof/>
                <w:webHidden/>
              </w:rPr>
              <w:fldChar w:fldCharType="separate"/>
            </w:r>
            <w:r w:rsidR="00A43EF3">
              <w:rPr>
                <w:noProof/>
                <w:webHidden/>
              </w:rPr>
              <w:t>367</w:t>
            </w:r>
            <w:r w:rsidR="00A43EF3">
              <w:rPr>
                <w:noProof/>
                <w:webHidden/>
              </w:rPr>
              <w:fldChar w:fldCharType="end"/>
            </w:r>
          </w:hyperlink>
        </w:p>
        <w:p w14:paraId="6305FA5F" w14:textId="6A65817C"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08" w:history="1">
            <w:r w:rsidR="00A43EF3" w:rsidRPr="00672D00">
              <w:rPr>
                <w:rStyle w:val="Hyperlink"/>
                <w:noProof/>
                <w:lang w:bidi="bg-BG"/>
              </w:rPr>
              <w:t>5.</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ХАРАКТЕРИСТИКА НА ОКОЛНАТА СРЕДА ЗА ТЕРИТОРИИ, КОИТО ВЕРОЯТНО ЩЕ БЪДАТ ЗНАЧИТЕЛНО ЗАСЕГНАТИ С РЕАЛИЗАЦИЯТА НА СПРЗСР</w:t>
            </w:r>
            <w:r w:rsidR="00A43EF3">
              <w:rPr>
                <w:noProof/>
                <w:webHidden/>
              </w:rPr>
              <w:tab/>
            </w:r>
            <w:r w:rsidR="00A43EF3">
              <w:rPr>
                <w:noProof/>
                <w:webHidden/>
              </w:rPr>
              <w:fldChar w:fldCharType="begin"/>
            </w:r>
            <w:r w:rsidR="00A43EF3">
              <w:rPr>
                <w:noProof/>
                <w:webHidden/>
              </w:rPr>
              <w:instrText xml:space="preserve"> PAGEREF _Toc115255008 \h </w:instrText>
            </w:r>
            <w:r w:rsidR="00A43EF3">
              <w:rPr>
                <w:noProof/>
                <w:webHidden/>
              </w:rPr>
            </w:r>
            <w:r w:rsidR="00A43EF3">
              <w:rPr>
                <w:noProof/>
                <w:webHidden/>
              </w:rPr>
              <w:fldChar w:fldCharType="separate"/>
            </w:r>
            <w:r w:rsidR="00A43EF3">
              <w:rPr>
                <w:noProof/>
                <w:webHidden/>
              </w:rPr>
              <w:t>371</w:t>
            </w:r>
            <w:r w:rsidR="00A43EF3">
              <w:rPr>
                <w:noProof/>
                <w:webHidden/>
              </w:rPr>
              <w:fldChar w:fldCharType="end"/>
            </w:r>
          </w:hyperlink>
        </w:p>
        <w:p w14:paraId="7762FD2E" w14:textId="4BE3B0F1"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09" w:history="1">
            <w:r w:rsidR="00A43EF3" w:rsidRPr="00672D00">
              <w:rPr>
                <w:rStyle w:val="Hyperlink"/>
                <w:rFonts w:eastAsia="Times New Roman"/>
                <w:b/>
                <w:i/>
                <w:noProof/>
                <w:lang w:val="bg-BG"/>
              </w:rPr>
              <w:t>5.1.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НЕМ, биоразнообразие и горски територии</w:t>
            </w:r>
            <w:r w:rsidR="00A43EF3">
              <w:rPr>
                <w:noProof/>
                <w:webHidden/>
              </w:rPr>
              <w:tab/>
            </w:r>
            <w:r w:rsidR="00A43EF3">
              <w:rPr>
                <w:noProof/>
                <w:webHidden/>
              </w:rPr>
              <w:fldChar w:fldCharType="begin"/>
            </w:r>
            <w:r w:rsidR="00A43EF3">
              <w:rPr>
                <w:noProof/>
                <w:webHidden/>
              </w:rPr>
              <w:instrText xml:space="preserve"> PAGEREF _Toc115255009 \h </w:instrText>
            </w:r>
            <w:r w:rsidR="00A43EF3">
              <w:rPr>
                <w:noProof/>
                <w:webHidden/>
              </w:rPr>
            </w:r>
            <w:r w:rsidR="00A43EF3">
              <w:rPr>
                <w:noProof/>
                <w:webHidden/>
              </w:rPr>
              <w:fldChar w:fldCharType="separate"/>
            </w:r>
            <w:r w:rsidR="00A43EF3">
              <w:rPr>
                <w:noProof/>
                <w:webHidden/>
              </w:rPr>
              <w:t>372</w:t>
            </w:r>
            <w:r w:rsidR="00A43EF3">
              <w:rPr>
                <w:noProof/>
                <w:webHidden/>
              </w:rPr>
              <w:fldChar w:fldCharType="end"/>
            </w:r>
          </w:hyperlink>
        </w:p>
        <w:p w14:paraId="2B97B26B" w14:textId="6726CE29"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0" w:history="1">
            <w:r w:rsidR="00A43EF3" w:rsidRPr="00672D00">
              <w:rPr>
                <w:rStyle w:val="Hyperlink"/>
                <w:rFonts w:eastAsia="Times New Roman"/>
                <w:b/>
                <w:i/>
                <w:noProof/>
                <w:lang w:val="bg-BG"/>
              </w:rPr>
              <w:t>5.2.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Зони за защита на водите, съгласно чл. 119а, ал. 1 от закона за водите</w:t>
            </w:r>
            <w:r w:rsidR="00A43EF3">
              <w:rPr>
                <w:noProof/>
                <w:webHidden/>
              </w:rPr>
              <w:tab/>
            </w:r>
            <w:r w:rsidR="00A43EF3">
              <w:rPr>
                <w:noProof/>
                <w:webHidden/>
              </w:rPr>
              <w:fldChar w:fldCharType="begin"/>
            </w:r>
            <w:r w:rsidR="00A43EF3">
              <w:rPr>
                <w:noProof/>
                <w:webHidden/>
              </w:rPr>
              <w:instrText xml:space="preserve"> PAGEREF _Toc115255010 \h </w:instrText>
            </w:r>
            <w:r w:rsidR="00A43EF3">
              <w:rPr>
                <w:noProof/>
                <w:webHidden/>
              </w:rPr>
            </w:r>
            <w:r w:rsidR="00A43EF3">
              <w:rPr>
                <w:noProof/>
                <w:webHidden/>
              </w:rPr>
              <w:fldChar w:fldCharType="separate"/>
            </w:r>
            <w:r w:rsidR="00A43EF3">
              <w:rPr>
                <w:noProof/>
                <w:webHidden/>
              </w:rPr>
              <w:t>374</w:t>
            </w:r>
            <w:r w:rsidR="00A43EF3">
              <w:rPr>
                <w:noProof/>
                <w:webHidden/>
              </w:rPr>
              <w:fldChar w:fldCharType="end"/>
            </w:r>
          </w:hyperlink>
        </w:p>
        <w:p w14:paraId="75A46B24" w14:textId="330C8D4D"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11" w:history="1">
            <w:r w:rsidR="00A43EF3" w:rsidRPr="00672D00">
              <w:rPr>
                <w:rStyle w:val="Hyperlink"/>
                <w:noProof/>
              </w:rPr>
              <w:t>5.2.13.</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Зони, повлияни от плана</w:t>
            </w:r>
            <w:r w:rsidR="00A43EF3">
              <w:rPr>
                <w:noProof/>
                <w:webHidden/>
              </w:rPr>
              <w:tab/>
            </w:r>
            <w:r w:rsidR="00A43EF3">
              <w:rPr>
                <w:noProof/>
                <w:webHidden/>
              </w:rPr>
              <w:fldChar w:fldCharType="begin"/>
            </w:r>
            <w:r w:rsidR="00A43EF3">
              <w:rPr>
                <w:noProof/>
                <w:webHidden/>
              </w:rPr>
              <w:instrText xml:space="preserve"> PAGEREF _Toc115255011 \h </w:instrText>
            </w:r>
            <w:r w:rsidR="00A43EF3">
              <w:rPr>
                <w:noProof/>
                <w:webHidden/>
              </w:rPr>
            </w:r>
            <w:r w:rsidR="00A43EF3">
              <w:rPr>
                <w:noProof/>
                <w:webHidden/>
              </w:rPr>
              <w:fldChar w:fldCharType="separate"/>
            </w:r>
            <w:r w:rsidR="00A43EF3">
              <w:rPr>
                <w:noProof/>
                <w:webHidden/>
              </w:rPr>
              <w:t>385</w:t>
            </w:r>
            <w:r w:rsidR="00A43EF3">
              <w:rPr>
                <w:noProof/>
                <w:webHidden/>
              </w:rPr>
              <w:fldChar w:fldCharType="end"/>
            </w:r>
          </w:hyperlink>
        </w:p>
        <w:p w14:paraId="3FAF2DBA" w14:textId="60814058"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12" w:history="1">
            <w:r w:rsidR="00A43EF3" w:rsidRPr="00672D00">
              <w:rPr>
                <w:rStyle w:val="Hyperlink"/>
                <w:noProof/>
              </w:rPr>
              <w:t>5.2.14.</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Зони с риск от наводнения</w:t>
            </w:r>
            <w:r w:rsidR="00A43EF3">
              <w:rPr>
                <w:noProof/>
                <w:webHidden/>
              </w:rPr>
              <w:tab/>
            </w:r>
            <w:r w:rsidR="00A43EF3">
              <w:rPr>
                <w:noProof/>
                <w:webHidden/>
              </w:rPr>
              <w:fldChar w:fldCharType="begin"/>
            </w:r>
            <w:r w:rsidR="00A43EF3">
              <w:rPr>
                <w:noProof/>
                <w:webHidden/>
              </w:rPr>
              <w:instrText xml:space="preserve"> PAGEREF _Toc115255012 \h </w:instrText>
            </w:r>
            <w:r w:rsidR="00A43EF3">
              <w:rPr>
                <w:noProof/>
                <w:webHidden/>
              </w:rPr>
            </w:r>
            <w:r w:rsidR="00A43EF3">
              <w:rPr>
                <w:noProof/>
                <w:webHidden/>
              </w:rPr>
              <w:fldChar w:fldCharType="separate"/>
            </w:r>
            <w:r w:rsidR="00A43EF3">
              <w:rPr>
                <w:noProof/>
                <w:webHidden/>
              </w:rPr>
              <w:t>386</w:t>
            </w:r>
            <w:r w:rsidR="00A43EF3">
              <w:rPr>
                <w:noProof/>
                <w:webHidden/>
              </w:rPr>
              <w:fldChar w:fldCharType="end"/>
            </w:r>
          </w:hyperlink>
        </w:p>
        <w:p w14:paraId="3E7A16E8" w14:textId="0084C2E6"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3" w:history="1">
            <w:r w:rsidR="00A43EF3" w:rsidRPr="00672D00">
              <w:rPr>
                <w:rStyle w:val="Hyperlink"/>
                <w:rFonts w:eastAsia="Times New Roman"/>
                <w:b/>
                <w:i/>
                <w:noProof/>
                <w:lang w:val="bg-BG"/>
              </w:rPr>
              <w:t>5.3.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Подземни води</w:t>
            </w:r>
            <w:r w:rsidR="00A43EF3">
              <w:rPr>
                <w:noProof/>
                <w:webHidden/>
              </w:rPr>
              <w:tab/>
            </w:r>
            <w:r w:rsidR="00A43EF3">
              <w:rPr>
                <w:noProof/>
                <w:webHidden/>
              </w:rPr>
              <w:fldChar w:fldCharType="begin"/>
            </w:r>
            <w:r w:rsidR="00A43EF3">
              <w:rPr>
                <w:noProof/>
                <w:webHidden/>
              </w:rPr>
              <w:instrText xml:space="preserve"> PAGEREF _Toc115255013 \h </w:instrText>
            </w:r>
            <w:r w:rsidR="00A43EF3">
              <w:rPr>
                <w:noProof/>
                <w:webHidden/>
              </w:rPr>
            </w:r>
            <w:r w:rsidR="00A43EF3">
              <w:rPr>
                <w:noProof/>
                <w:webHidden/>
              </w:rPr>
              <w:fldChar w:fldCharType="separate"/>
            </w:r>
            <w:r w:rsidR="00A43EF3">
              <w:rPr>
                <w:noProof/>
                <w:webHidden/>
              </w:rPr>
              <w:t>388</w:t>
            </w:r>
            <w:r w:rsidR="00A43EF3">
              <w:rPr>
                <w:noProof/>
                <w:webHidden/>
              </w:rPr>
              <w:fldChar w:fldCharType="end"/>
            </w:r>
          </w:hyperlink>
        </w:p>
        <w:p w14:paraId="6CCD900E" w14:textId="346E3560"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4" w:history="1">
            <w:r w:rsidR="00A43EF3" w:rsidRPr="00672D00">
              <w:rPr>
                <w:rStyle w:val="Hyperlink"/>
                <w:rFonts w:eastAsia="Times New Roman"/>
                <w:b/>
                <w:i/>
                <w:noProof/>
                <w:lang w:val="bg-BG"/>
              </w:rPr>
              <w:t>5.4.</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Обекти, които подлежат на здравна защита и обекти със специфичен хигиенно-охранителен статут</w:t>
            </w:r>
            <w:r w:rsidR="00A43EF3">
              <w:rPr>
                <w:noProof/>
                <w:webHidden/>
              </w:rPr>
              <w:tab/>
            </w:r>
            <w:r w:rsidR="00A43EF3">
              <w:rPr>
                <w:noProof/>
                <w:webHidden/>
              </w:rPr>
              <w:fldChar w:fldCharType="begin"/>
            </w:r>
            <w:r w:rsidR="00A43EF3">
              <w:rPr>
                <w:noProof/>
                <w:webHidden/>
              </w:rPr>
              <w:instrText xml:space="preserve"> PAGEREF _Toc115255014 \h </w:instrText>
            </w:r>
            <w:r w:rsidR="00A43EF3">
              <w:rPr>
                <w:noProof/>
                <w:webHidden/>
              </w:rPr>
            </w:r>
            <w:r w:rsidR="00A43EF3">
              <w:rPr>
                <w:noProof/>
                <w:webHidden/>
              </w:rPr>
              <w:fldChar w:fldCharType="separate"/>
            </w:r>
            <w:r w:rsidR="00A43EF3">
              <w:rPr>
                <w:noProof/>
                <w:webHidden/>
              </w:rPr>
              <w:t>388</w:t>
            </w:r>
            <w:r w:rsidR="00A43EF3">
              <w:rPr>
                <w:noProof/>
                <w:webHidden/>
              </w:rPr>
              <w:fldChar w:fldCharType="end"/>
            </w:r>
          </w:hyperlink>
        </w:p>
        <w:p w14:paraId="251C57C2" w14:textId="3DF909D4"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15" w:history="1">
            <w:r w:rsidR="00A43EF3" w:rsidRPr="00672D00">
              <w:rPr>
                <w:rStyle w:val="Hyperlink"/>
                <w:rFonts w:eastAsia="Calibri"/>
                <w:i/>
                <w:iCs/>
                <w:noProof/>
                <w:lang w:bidi="bg-BG"/>
              </w:rPr>
              <w:t>6.</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СЪЩЕСТВУВАЩИ ЕКОЛОГИЧНИ ПРОБЛЕМИ, УСТАНОВЕНИ НА РАЗЛИЧНО НИВО, ИМАЩИ ОТНОШЕНИЕ КЪМ СПРЗСР ВКЛЮЧИТЕЛНО ОТНАСЯЩИТЕ СЕ ДО РАЙОНИ С ОСОБЕНО ЕКОЛОГИЧНО ЗНАЧЕНИЕ, КАТО ЗАЩИТЕНИТЕ ЗОНИ ПО ЗАКОНА ЗА БИОЛОГИЧНОТО РАЗНООБРАЗИЕ</w:t>
            </w:r>
            <w:r w:rsidR="00A43EF3">
              <w:rPr>
                <w:noProof/>
                <w:webHidden/>
              </w:rPr>
              <w:tab/>
            </w:r>
            <w:r w:rsidR="00A43EF3">
              <w:rPr>
                <w:noProof/>
                <w:webHidden/>
              </w:rPr>
              <w:fldChar w:fldCharType="begin"/>
            </w:r>
            <w:r w:rsidR="00A43EF3">
              <w:rPr>
                <w:noProof/>
                <w:webHidden/>
              </w:rPr>
              <w:instrText xml:space="preserve"> PAGEREF _Toc115255015 \h </w:instrText>
            </w:r>
            <w:r w:rsidR="00A43EF3">
              <w:rPr>
                <w:noProof/>
                <w:webHidden/>
              </w:rPr>
            </w:r>
            <w:r w:rsidR="00A43EF3">
              <w:rPr>
                <w:noProof/>
                <w:webHidden/>
              </w:rPr>
              <w:fldChar w:fldCharType="separate"/>
            </w:r>
            <w:r w:rsidR="00A43EF3">
              <w:rPr>
                <w:noProof/>
                <w:webHidden/>
              </w:rPr>
              <w:t>389</w:t>
            </w:r>
            <w:r w:rsidR="00A43EF3">
              <w:rPr>
                <w:noProof/>
                <w:webHidden/>
              </w:rPr>
              <w:fldChar w:fldCharType="end"/>
            </w:r>
          </w:hyperlink>
        </w:p>
        <w:p w14:paraId="4B5F6BE4" w14:textId="2FEC387C"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6" w:history="1">
            <w:r w:rsidR="00A43EF3" w:rsidRPr="00672D00">
              <w:rPr>
                <w:rStyle w:val="Hyperlink"/>
                <w:rFonts w:eastAsia="Times New Roman"/>
                <w:b/>
                <w:i/>
                <w:noProof/>
                <w:lang w:val="bg-BG"/>
              </w:rPr>
              <w:t>6.1.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Качество на атмосферния въздух</w:t>
            </w:r>
            <w:r w:rsidR="00A43EF3">
              <w:rPr>
                <w:noProof/>
                <w:webHidden/>
              </w:rPr>
              <w:tab/>
            </w:r>
            <w:r w:rsidR="00A43EF3">
              <w:rPr>
                <w:noProof/>
                <w:webHidden/>
              </w:rPr>
              <w:fldChar w:fldCharType="begin"/>
            </w:r>
            <w:r w:rsidR="00A43EF3">
              <w:rPr>
                <w:noProof/>
                <w:webHidden/>
              </w:rPr>
              <w:instrText xml:space="preserve"> PAGEREF _Toc115255016 \h </w:instrText>
            </w:r>
            <w:r w:rsidR="00A43EF3">
              <w:rPr>
                <w:noProof/>
                <w:webHidden/>
              </w:rPr>
            </w:r>
            <w:r w:rsidR="00A43EF3">
              <w:rPr>
                <w:noProof/>
                <w:webHidden/>
              </w:rPr>
              <w:fldChar w:fldCharType="separate"/>
            </w:r>
            <w:r w:rsidR="00A43EF3">
              <w:rPr>
                <w:noProof/>
                <w:webHidden/>
              </w:rPr>
              <w:t>389</w:t>
            </w:r>
            <w:r w:rsidR="00A43EF3">
              <w:rPr>
                <w:noProof/>
                <w:webHidden/>
              </w:rPr>
              <w:fldChar w:fldCharType="end"/>
            </w:r>
          </w:hyperlink>
        </w:p>
        <w:p w14:paraId="26BAEF6F" w14:textId="3DE6BE39"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7" w:history="1">
            <w:r w:rsidR="00A43EF3" w:rsidRPr="00672D00">
              <w:rPr>
                <w:rStyle w:val="Hyperlink"/>
                <w:rFonts w:eastAsia="Times New Roman"/>
                <w:b/>
                <w:i/>
                <w:noProof/>
                <w:lang w:val="bg-BG"/>
              </w:rPr>
              <w:t>6.2.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Води– повърхностни и подземни</w:t>
            </w:r>
            <w:r w:rsidR="00A43EF3">
              <w:rPr>
                <w:noProof/>
                <w:webHidden/>
              </w:rPr>
              <w:tab/>
            </w:r>
            <w:r w:rsidR="00A43EF3">
              <w:rPr>
                <w:noProof/>
                <w:webHidden/>
              </w:rPr>
              <w:fldChar w:fldCharType="begin"/>
            </w:r>
            <w:r w:rsidR="00A43EF3">
              <w:rPr>
                <w:noProof/>
                <w:webHidden/>
              </w:rPr>
              <w:instrText xml:space="preserve"> PAGEREF _Toc115255017 \h </w:instrText>
            </w:r>
            <w:r w:rsidR="00A43EF3">
              <w:rPr>
                <w:noProof/>
                <w:webHidden/>
              </w:rPr>
            </w:r>
            <w:r w:rsidR="00A43EF3">
              <w:rPr>
                <w:noProof/>
                <w:webHidden/>
              </w:rPr>
              <w:fldChar w:fldCharType="separate"/>
            </w:r>
            <w:r w:rsidR="00A43EF3">
              <w:rPr>
                <w:noProof/>
                <w:webHidden/>
              </w:rPr>
              <w:t>391</w:t>
            </w:r>
            <w:r w:rsidR="00A43EF3">
              <w:rPr>
                <w:noProof/>
                <w:webHidden/>
              </w:rPr>
              <w:fldChar w:fldCharType="end"/>
            </w:r>
          </w:hyperlink>
        </w:p>
        <w:p w14:paraId="6C80347D" w14:textId="224FEF46"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8" w:history="1">
            <w:r w:rsidR="00A43EF3" w:rsidRPr="00672D00">
              <w:rPr>
                <w:rStyle w:val="Hyperlink"/>
                <w:rFonts w:eastAsia="Times New Roman"/>
                <w:b/>
                <w:i/>
                <w:noProof/>
                <w:lang w:val="bg-BG"/>
              </w:rPr>
              <w:t>6.3.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Земни недра, Геоложки строеж, Сеизмична опасност</w:t>
            </w:r>
            <w:r w:rsidR="00A43EF3">
              <w:rPr>
                <w:noProof/>
                <w:webHidden/>
              </w:rPr>
              <w:tab/>
            </w:r>
            <w:r w:rsidR="00A43EF3">
              <w:rPr>
                <w:noProof/>
                <w:webHidden/>
              </w:rPr>
              <w:fldChar w:fldCharType="begin"/>
            </w:r>
            <w:r w:rsidR="00A43EF3">
              <w:rPr>
                <w:noProof/>
                <w:webHidden/>
              </w:rPr>
              <w:instrText xml:space="preserve"> PAGEREF _Toc115255018 \h </w:instrText>
            </w:r>
            <w:r w:rsidR="00A43EF3">
              <w:rPr>
                <w:noProof/>
                <w:webHidden/>
              </w:rPr>
            </w:r>
            <w:r w:rsidR="00A43EF3">
              <w:rPr>
                <w:noProof/>
                <w:webHidden/>
              </w:rPr>
              <w:fldChar w:fldCharType="separate"/>
            </w:r>
            <w:r w:rsidR="00A43EF3">
              <w:rPr>
                <w:noProof/>
                <w:webHidden/>
              </w:rPr>
              <w:t>392</w:t>
            </w:r>
            <w:r w:rsidR="00A43EF3">
              <w:rPr>
                <w:noProof/>
                <w:webHidden/>
              </w:rPr>
              <w:fldChar w:fldCharType="end"/>
            </w:r>
          </w:hyperlink>
        </w:p>
        <w:p w14:paraId="0D6A7DF9" w14:textId="1677042D"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19" w:history="1">
            <w:r w:rsidR="00A43EF3" w:rsidRPr="00672D00">
              <w:rPr>
                <w:rStyle w:val="Hyperlink"/>
                <w:rFonts w:eastAsia="Times New Roman"/>
                <w:b/>
                <w:i/>
                <w:noProof/>
                <w:lang w:val="bg-BG"/>
              </w:rPr>
              <w:t>6.4.</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Почви</w:t>
            </w:r>
            <w:r w:rsidR="00A43EF3">
              <w:rPr>
                <w:noProof/>
                <w:webHidden/>
              </w:rPr>
              <w:tab/>
            </w:r>
            <w:r w:rsidR="00A43EF3">
              <w:rPr>
                <w:noProof/>
                <w:webHidden/>
              </w:rPr>
              <w:fldChar w:fldCharType="begin"/>
            </w:r>
            <w:r w:rsidR="00A43EF3">
              <w:rPr>
                <w:noProof/>
                <w:webHidden/>
              </w:rPr>
              <w:instrText xml:space="preserve"> PAGEREF _Toc115255019 \h </w:instrText>
            </w:r>
            <w:r w:rsidR="00A43EF3">
              <w:rPr>
                <w:noProof/>
                <w:webHidden/>
              </w:rPr>
            </w:r>
            <w:r w:rsidR="00A43EF3">
              <w:rPr>
                <w:noProof/>
                <w:webHidden/>
              </w:rPr>
              <w:fldChar w:fldCharType="separate"/>
            </w:r>
            <w:r w:rsidR="00A43EF3">
              <w:rPr>
                <w:noProof/>
                <w:webHidden/>
              </w:rPr>
              <w:t>392</w:t>
            </w:r>
            <w:r w:rsidR="00A43EF3">
              <w:rPr>
                <w:noProof/>
                <w:webHidden/>
              </w:rPr>
              <w:fldChar w:fldCharType="end"/>
            </w:r>
          </w:hyperlink>
        </w:p>
        <w:p w14:paraId="496F75ED" w14:textId="50C46F75"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0" w:history="1">
            <w:r w:rsidR="00A43EF3" w:rsidRPr="00672D00">
              <w:rPr>
                <w:rStyle w:val="Hyperlink"/>
                <w:rFonts w:eastAsia="Times New Roman"/>
                <w:b/>
                <w:i/>
                <w:noProof/>
                <w:lang w:val="bg-BG"/>
              </w:rPr>
              <w:t>6.5.</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Ландшафт</w:t>
            </w:r>
            <w:r w:rsidR="00A43EF3">
              <w:rPr>
                <w:noProof/>
                <w:webHidden/>
              </w:rPr>
              <w:tab/>
            </w:r>
            <w:r w:rsidR="00A43EF3">
              <w:rPr>
                <w:noProof/>
                <w:webHidden/>
              </w:rPr>
              <w:fldChar w:fldCharType="begin"/>
            </w:r>
            <w:r w:rsidR="00A43EF3">
              <w:rPr>
                <w:noProof/>
                <w:webHidden/>
              </w:rPr>
              <w:instrText xml:space="preserve"> PAGEREF _Toc115255020 \h </w:instrText>
            </w:r>
            <w:r w:rsidR="00A43EF3">
              <w:rPr>
                <w:noProof/>
                <w:webHidden/>
              </w:rPr>
            </w:r>
            <w:r w:rsidR="00A43EF3">
              <w:rPr>
                <w:noProof/>
                <w:webHidden/>
              </w:rPr>
              <w:fldChar w:fldCharType="separate"/>
            </w:r>
            <w:r w:rsidR="00A43EF3">
              <w:rPr>
                <w:noProof/>
                <w:webHidden/>
              </w:rPr>
              <w:t>393</w:t>
            </w:r>
            <w:r w:rsidR="00A43EF3">
              <w:rPr>
                <w:noProof/>
                <w:webHidden/>
              </w:rPr>
              <w:fldChar w:fldCharType="end"/>
            </w:r>
          </w:hyperlink>
        </w:p>
        <w:p w14:paraId="540BCEFA" w14:textId="1A54329B"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1" w:history="1">
            <w:r w:rsidR="00A43EF3" w:rsidRPr="00672D00">
              <w:rPr>
                <w:rStyle w:val="Hyperlink"/>
                <w:rFonts w:eastAsia="Times New Roman"/>
                <w:b/>
                <w:i/>
                <w:noProof/>
                <w:lang w:val="bg-BG"/>
              </w:rPr>
              <w:t>6.6.</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Отпадъци</w:t>
            </w:r>
            <w:r w:rsidR="00A43EF3">
              <w:rPr>
                <w:noProof/>
                <w:webHidden/>
              </w:rPr>
              <w:tab/>
            </w:r>
            <w:r w:rsidR="00A43EF3">
              <w:rPr>
                <w:noProof/>
                <w:webHidden/>
              </w:rPr>
              <w:fldChar w:fldCharType="begin"/>
            </w:r>
            <w:r w:rsidR="00A43EF3">
              <w:rPr>
                <w:noProof/>
                <w:webHidden/>
              </w:rPr>
              <w:instrText xml:space="preserve"> PAGEREF _Toc115255021 \h </w:instrText>
            </w:r>
            <w:r w:rsidR="00A43EF3">
              <w:rPr>
                <w:noProof/>
                <w:webHidden/>
              </w:rPr>
            </w:r>
            <w:r w:rsidR="00A43EF3">
              <w:rPr>
                <w:noProof/>
                <w:webHidden/>
              </w:rPr>
              <w:fldChar w:fldCharType="separate"/>
            </w:r>
            <w:r w:rsidR="00A43EF3">
              <w:rPr>
                <w:noProof/>
                <w:webHidden/>
              </w:rPr>
              <w:t>394</w:t>
            </w:r>
            <w:r w:rsidR="00A43EF3">
              <w:rPr>
                <w:noProof/>
                <w:webHidden/>
              </w:rPr>
              <w:fldChar w:fldCharType="end"/>
            </w:r>
          </w:hyperlink>
        </w:p>
        <w:p w14:paraId="64102A67" w14:textId="75960FEE"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2" w:history="1">
            <w:r w:rsidR="00A43EF3" w:rsidRPr="00672D00">
              <w:rPr>
                <w:rStyle w:val="Hyperlink"/>
                <w:rFonts w:eastAsia="Times New Roman"/>
                <w:b/>
                <w:i/>
                <w:noProof/>
                <w:lang w:val="bg-BG"/>
              </w:rPr>
              <w:t>6.7.</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Вредни физични фактори – Шум, Вибрации, Йонизиращи лъчения, Нейонизиращи лъчения</w:t>
            </w:r>
            <w:r w:rsidR="00A43EF3">
              <w:rPr>
                <w:noProof/>
                <w:webHidden/>
              </w:rPr>
              <w:tab/>
            </w:r>
            <w:r w:rsidR="00A43EF3">
              <w:rPr>
                <w:noProof/>
                <w:webHidden/>
              </w:rPr>
              <w:fldChar w:fldCharType="begin"/>
            </w:r>
            <w:r w:rsidR="00A43EF3">
              <w:rPr>
                <w:noProof/>
                <w:webHidden/>
              </w:rPr>
              <w:instrText xml:space="preserve"> PAGEREF _Toc115255022 \h </w:instrText>
            </w:r>
            <w:r w:rsidR="00A43EF3">
              <w:rPr>
                <w:noProof/>
                <w:webHidden/>
              </w:rPr>
            </w:r>
            <w:r w:rsidR="00A43EF3">
              <w:rPr>
                <w:noProof/>
                <w:webHidden/>
              </w:rPr>
              <w:fldChar w:fldCharType="separate"/>
            </w:r>
            <w:r w:rsidR="00A43EF3">
              <w:rPr>
                <w:noProof/>
                <w:webHidden/>
              </w:rPr>
              <w:t>395</w:t>
            </w:r>
            <w:r w:rsidR="00A43EF3">
              <w:rPr>
                <w:noProof/>
                <w:webHidden/>
              </w:rPr>
              <w:fldChar w:fldCharType="end"/>
            </w:r>
          </w:hyperlink>
        </w:p>
        <w:p w14:paraId="5B37AC99" w14:textId="5BB806D9"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3" w:history="1">
            <w:r w:rsidR="00A43EF3" w:rsidRPr="00672D00">
              <w:rPr>
                <w:rStyle w:val="Hyperlink"/>
                <w:rFonts w:eastAsia="Times New Roman"/>
                <w:b/>
                <w:i/>
                <w:noProof/>
                <w:lang w:val="bg-BG"/>
              </w:rPr>
              <w:t>6.8.</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Горски територии</w:t>
            </w:r>
            <w:r w:rsidR="00A43EF3">
              <w:rPr>
                <w:noProof/>
                <w:webHidden/>
              </w:rPr>
              <w:tab/>
            </w:r>
            <w:r w:rsidR="00A43EF3">
              <w:rPr>
                <w:noProof/>
                <w:webHidden/>
              </w:rPr>
              <w:fldChar w:fldCharType="begin"/>
            </w:r>
            <w:r w:rsidR="00A43EF3">
              <w:rPr>
                <w:noProof/>
                <w:webHidden/>
              </w:rPr>
              <w:instrText xml:space="preserve"> PAGEREF _Toc115255023 \h </w:instrText>
            </w:r>
            <w:r w:rsidR="00A43EF3">
              <w:rPr>
                <w:noProof/>
                <w:webHidden/>
              </w:rPr>
            </w:r>
            <w:r w:rsidR="00A43EF3">
              <w:rPr>
                <w:noProof/>
                <w:webHidden/>
              </w:rPr>
              <w:fldChar w:fldCharType="separate"/>
            </w:r>
            <w:r w:rsidR="00A43EF3">
              <w:rPr>
                <w:noProof/>
                <w:webHidden/>
              </w:rPr>
              <w:t>395</w:t>
            </w:r>
            <w:r w:rsidR="00A43EF3">
              <w:rPr>
                <w:noProof/>
                <w:webHidden/>
              </w:rPr>
              <w:fldChar w:fldCharType="end"/>
            </w:r>
          </w:hyperlink>
        </w:p>
        <w:p w14:paraId="01E55B1A" w14:textId="1BBF87FD"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4" w:history="1">
            <w:r w:rsidR="00A43EF3" w:rsidRPr="00672D00">
              <w:rPr>
                <w:rStyle w:val="Hyperlink"/>
                <w:rFonts w:eastAsia="Times New Roman"/>
                <w:b/>
                <w:i/>
                <w:noProof/>
                <w:lang w:val="bg-BG"/>
              </w:rPr>
              <w:t>6.9.</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Биологично разнообразие</w:t>
            </w:r>
            <w:r w:rsidR="00A43EF3">
              <w:rPr>
                <w:noProof/>
                <w:webHidden/>
              </w:rPr>
              <w:tab/>
            </w:r>
            <w:r w:rsidR="00A43EF3">
              <w:rPr>
                <w:noProof/>
                <w:webHidden/>
              </w:rPr>
              <w:fldChar w:fldCharType="begin"/>
            </w:r>
            <w:r w:rsidR="00A43EF3">
              <w:rPr>
                <w:noProof/>
                <w:webHidden/>
              </w:rPr>
              <w:instrText xml:space="preserve"> PAGEREF _Toc115255024 \h </w:instrText>
            </w:r>
            <w:r w:rsidR="00A43EF3">
              <w:rPr>
                <w:noProof/>
                <w:webHidden/>
              </w:rPr>
            </w:r>
            <w:r w:rsidR="00A43EF3">
              <w:rPr>
                <w:noProof/>
                <w:webHidden/>
              </w:rPr>
              <w:fldChar w:fldCharType="separate"/>
            </w:r>
            <w:r w:rsidR="00A43EF3">
              <w:rPr>
                <w:noProof/>
                <w:webHidden/>
              </w:rPr>
              <w:t>396</w:t>
            </w:r>
            <w:r w:rsidR="00A43EF3">
              <w:rPr>
                <w:noProof/>
                <w:webHidden/>
              </w:rPr>
              <w:fldChar w:fldCharType="end"/>
            </w:r>
          </w:hyperlink>
        </w:p>
        <w:p w14:paraId="56E4AF0A" w14:textId="23FA5CFA"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5" w:history="1">
            <w:r w:rsidR="00A43EF3" w:rsidRPr="00672D00">
              <w:rPr>
                <w:rStyle w:val="Hyperlink"/>
                <w:rFonts w:eastAsia="Times New Roman"/>
                <w:b/>
                <w:i/>
                <w:noProof/>
                <w:lang w:val="bg-BG"/>
              </w:rPr>
              <w:t>6.10.</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НЕМ</w:t>
            </w:r>
            <w:r w:rsidR="00A43EF3">
              <w:rPr>
                <w:noProof/>
                <w:webHidden/>
              </w:rPr>
              <w:tab/>
            </w:r>
            <w:r w:rsidR="00A43EF3">
              <w:rPr>
                <w:noProof/>
                <w:webHidden/>
              </w:rPr>
              <w:fldChar w:fldCharType="begin"/>
            </w:r>
            <w:r w:rsidR="00A43EF3">
              <w:rPr>
                <w:noProof/>
                <w:webHidden/>
              </w:rPr>
              <w:instrText xml:space="preserve"> PAGEREF _Toc115255025 \h </w:instrText>
            </w:r>
            <w:r w:rsidR="00A43EF3">
              <w:rPr>
                <w:noProof/>
                <w:webHidden/>
              </w:rPr>
            </w:r>
            <w:r w:rsidR="00A43EF3">
              <w:rPr>
                <w:noProof/>
                <w:webHidden/>
              </w:rPr>
              <w:fldChar w:fldCharType="separate"/>
            </w:r>
            <w:r w:rsidR="00A43EF3">
              <w:rPr>
                <w:noProof/>
                <w:webHidden/>
              </w:rPr>
              <w:t>397</w:t>
            </w:r>
            <w:r w:rsidR="00A43EF3">
              <w:rPr>
                <w:noProof/>
                <w:webHidden/>
              </w:rPr>
              <w:fldChar w:fldCharType="end"/>
            </w:r>
          </w:hyperlink>
        </w:p>
        <w:p w14:paraId="1E1BEE20" w14:textId="2B82D013"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6" w:history="1">
            <w:r w:rsidR="00A43EF3" w:rsidRPr="00672D00">
              <w:rPr>
                <w:rStyle w:val="Hyperlink"/>
                <w:rFonts w:eastAsia="Times New Roman"/>
                <w:b/>
                <w:i/>
                <w:noProof/>
                <w:lang w:val="bg-BG"/>
              </w:rPr>
              <w:t>6.11.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Културно-историческо наследство</w:t>
            </w:r>
            <w:r w:rsidR="00A43EF3">
              <w:rPr>
                <w:noProof/>
                <w:webHidden/>
              </w:rPr>
              <w:tab/>
            </w:r>
            <w:r w:rsidR="00A43EF3">
              <w:rPr>
                <w:noProof/>
                <w:webHidden/>
              </w:rPr>
              <w:fldChar w:fldCharType="begin"/>
            </w:r>
            <w:r w:rsidR="00A43EF3">
              <w:rPr>
                <w:noProof/>
                <w:webHidden/>
              </w:rPr>
              <w:instrText xml:space="preserve"> PAGEREF _Toc115255026 \h </w:instrText>
            </w:r>
            <w:r w:rsidR="00A43EF3">
              <w:rPr>
                <w:noProof/>
                <w:webHidden/>
              </w:rPr>
            </w:r>
            <w:r w:rsidR="00A43EF3">
              <w:rPr>
                <w:noProof/>
                <w:webHidden/>
              </w:rPr>
              <w:fldChar w:fldCharType="separate"/>
            </w:r>
            <w:r w:rsidR="00A43EF3">
              <w:rPr>
                <w:noProof/>
                <w:webHidden/>
              </w:rPr>
              <w:t>398</w:t>
            </w:r>
            <w:r w:rsidR="00A43EF3">
              <w:rPr>
                <w:noProof/>
                <w:webHidden/>
              </w:rPr>
              <w:fldChar w:fldCharType="end"/>
            </w:r>
          </w:hyperlink>
        </w:p>
        <w:p w14:paraId="308B03CA" w14:textId="6C2B4D07"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7" w:history="1">
            <w:r w:rsidR="00A43EF3" w:rsidRPr="00672D00">
              <w:rPr>
                <w:rStyle w:val="Hyperlink"/>
                <w:rFonts w:eastAsia="Times New Roman"/>
                <w:b/>
                <w:i/>
                <w:noProof/>
                <w:lang w:val="bg-BG"/>
              </w:rPr>
              <w:t>6.12.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Материални активи</w:t>
            </w:r>
            <w:r w:rsidR="00A43EF3">
              <w:rPr>
                <w:noProof/>
                <w:webHidden/>
              </w:rPr>
              <w:tab/>
            </w:r>
            <w:r w:rsidR="00A43EF3">
              <w:rPr>
                <w:noProof/>
                <w:webHidden/>
              </w:rPr>
              <w:fldChar w:fldCharType="begin"/>
            </w:r>
            <w:r w:rsidR="00A43EF3">
              <w:rPr>
                <w:noProof/>
                <w:webHidden/>
              </w:rPr>
              <w:instrText xml:space="preserve"> PAGEREF _Toc115255027 \h </w:instrText>
            </w:r>
            <w:r w:rsidR="00A43EF3">
              <w:rPr>
                <w:noProof/>
                <w:webHidden/>
              </w:rPr>
            </w:r>
            <w:r w:rsidR="00A43EF3">
              <w:rPr>
                <w:noProof/>
                <w:webHidden/>
              </w:rPr>
              <w:fldChar w:fldCharType="separate"/>
            </w:r>
            <w:r w:rsidR="00A43EF3">
              <w:rPr>
                <w:noProof/>
                <w:webHidden/>
              </w:rPr>
              <w:t>399</w:t>
            </w:r>
            <w:r w:rsidR="00A43EF3">
              <w:rPr>
                <w:noProof/>
                <w:webHidden/>
              </w:rPr>
              <w:fldChar w:fldCharType="end"/>
            </w:r>
          </w:hyperlink>
        </w:p>
        <w:p w14:paraId="601D1EC5" w14:textId="2A7061AB"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8" w:history="1">
            <w:r w:rsidR="00A43EF3" w:rsidRPr="00672D00">
              <w:rPr>
                <w:rStyle w:val="Hyperlink"/>
                <w:rFonts w:eastAsia="Times New Roman"/>
                <w:b/>
                <w:i/>
                <w:noProof/>
                <w:lang w:val="bg-BG"/>
              </w:rPr>
              <w:t>6.13.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Население и Човешко здраве</w:t>
            </w:r>
            <w:r w:rsidR="00A43EF3">
              <w:rPr>
                <w:noProof/>
                <w:webHidden/>
              </w:rPr>
              <w:tab/>
            </w:r>
            <w:r w:rsidR="00A43EF3">
              <w:rPr>
                <w:noProof/>
                <w:webHidden/>
              </w:rPr>
              <w:fldChar w:fldCharType="begin"/>
            </w:r>
            <w:r w:rsidR="00A43EF3">
              <w:rPr>
                <w:noProof/>
                <w:webHidden/>
              </w:rPr>
              <w:instrText xml:space="preserve"> PAGEREF _Toc115255028 \h </w:instrText>
            </w:r>
            <w:r w:rsidR="00A43EF3">
              <w:rPr>
                <w:noProof/>
                <w:webHidden/>
              </w:rPr>
            </w:r>
            <w:r w:rsidR="00A43EF3">
              <w:rPr>
                <w:noProof/>
                <w:webHidden/>
              </w:rPr>
              <w:fldChar w:fldCharType="separate"/>
            </w:r>
            <w:r w:rsidR="00A43EF3">
              <w:rPr>
                <w:noProof/>
                <w:webHidden/>
              </w:rPr>
              <w:t>399</w:t>
            </w:r>
            <w:r w:rsidR="00A43EF3">
              <w:rPr>
                <w:noProof/>
                <w:webHidden/>
              </w:rPr>
              <w:fldChar w:fldCharType="end"/>
            </w:r>
          </w:hyperlink>
        </w:p>
        <w:p w14:paraId="583242DB" w14:textId="30324215"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29" w:history="1">
            <w:r w:rsidR="00A43EF3" w:rsidRPr="00672D00">
              <w:rPr>
                <w:rStyle w:val="Hyperlink"/>
                <w:rFonts w:eastAsia="Times New Roman"/>
                <w:b/>
                <w:i/>
                <w:noProof/>
                <w:lang w:val="bg-BG"/>
              </w:rPr>
              <w:t>6.14.</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Социални аспекти</w:t>
            </w:r>
            <w:r w:rsidR="00A43EF3">
              <w:rPr>
                <w:noProof/>
                <w:webHidden/>
              </w:rPr>
              <w:tab/>
            </w:r>
            <w:r w:rsidR="00A43EF3">
              <w:rPr>
                <w:noProof/>
                <w:webHidden/>
              </w:rPr>
              <w:fldChar w:fldCharType="begin"/>
            </w:r>
            <w:r w:rsidR="00A43EF3">
              <w:rPr>
                <w:noProof/>
                <w:webHidden/>
              </w:rPr>
              <w:instrText xml:space="preserve"> PAGEREF _Toc115255029 \h </w:instrText>
            </w:r>
            <w:r w:rsidR="00A43EF3">
              <w:rPr>
                <w:noProof/>
                <w:webHidden/>
              </w:rPr>
            </w:r>
            <w:r w:rsidR="00A43EF3">
              <w:rPr>
                <w:noProof/>
                <w:webHidden/>
              </w:rPr>
              <w:fldChar w:fldCharType="separate"/>
            </w:r>
            <w:r w:rsidR="00A43EF3">
              <w:rPr>
                <w:noProof/>
                <w:webHidden/>
              </w:rPr>
              <w:t>400</w:t>
            </w:r>
            <w:r w:rsidR="00A43EF3">
              <w:rPr>
                <w:noProof/>
                <w:webHidden/>
              </w:rPr>
              <w:fldChar w:fldCharType="end"/>
            </w:r>
          </w:hyperlink>
        </w:p>
        <w:p w14:paraId="1B3BBCDA" w14:textId="33C5A2B3"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30" w:history="1">
            <w:r w:rsidR="00A43EF3" w:rsidRPr="00672D00">
              <w:rPr>
                <w:rStyle w:val="Hyperlink"/>
                <w:noProof/>
                <w:lang w:bidi="bg-BG"/>
              </w:rPr>
              <w:t>7.</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ЦЕЛИ НА ОПАЗВАНЕ НА ОКОЛНАТА СРЕДА НА НАЦИОНАЛНО И МЕЖДУНАРОДНО РАВНИЩЕ, ИМАЩИ ОТНОШЕНИЕ КЪМ СПРЗСР И НАЧИН, ПО КОЙТО ТЕЗИ ЦЕЛИ И ВСИЧКИ ЕКОЛОГИЧНИ СЪОБРАЖЕНИЯ СА ВЗЕТИ ПОД ВНИМАНИЕ ПРИ ИЗГОТВЯНЕТО НА ПРОГРАМАТА И СТРАТЕГИЯТА</w:t>
            </w:r>
            <w:r w:rsidR="00A43EF3">
              <w:rPr>
                <w:noProof/>
                <w:webHidden/>
              </w:rPr>
              <w:tab/>
            </w:r>
            <w:r w:rsidR="00A43EF3">
              <w:rPr>
                <w:noProof/>
                <w:webHidden/>
              </w:rPr>
              <w:fldChar w:fldCharType="begin"/>
            </w:r>
            <w:r w:rsidR="00A43EF3">
              <w:rPr>
                <w:noProof/>
                <w:webHidden/>
              </w:rPr>
              <w:instrText xml:space="preserve"> PAGEREF _Toc115255030 \h </w:instrText>
            </w:r>
            <w:r w:rsidR="00A43EF3">
              <w:rPr>
                <w:noProof/>
                <w:webHidden/>
              </w:rPr>
            </w:r>
            <w:r w:rsidR="00A43EF3">
              <w:rPr>
                <w:noProof/>
                <w:webHidden/>
              </w:rPr>
              <w:fldChar w:fldCharType="separate"/>
            </w:r>
            <w:r w:rsidR="00A43EF3">
              <w:rPr>
                <w:noProof/>
                <w:webHidden/>
              </w:rPr>
              <w:t>400</w:t>
            </w:r>
            <w:r w:rsidR="00A43EF3">
              <w:rPr>
                <w:noProof/>
                <w:webHidden/>
              </w:rPr>
              <w:fldChar w:fldCharType="end"/>
            </w:r>
          </w:hyperlink>
        </w:p>
        <w:p w14:paraId="5DC8C33F" w14:textId="214E18ED"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31" w:history="1">
            <w:r w:rsidR="00A43EF3" w:rsidRPr="00672D00">
              <w:rPr>
                <w:rStyle w:val="Hyperlink"/>
                <w:rFonts w:eastAsia="Times New Roman"/>
                <w:b/>
                <w:i/>
                <w:noProof/>
                <w:lang w:val="bg-BG"/>
              </w:rPr>
              <w:t>7.1.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Цели на опазване на околната среда на европейско равнище</w:t>
            </w:r>
            <w:r w:rsidR="00A43EF3">
              <w:rPr>
                <w:noProof/>
                <w:webHidden/>
              </w:rPr>
              <w:tab/>
            </w:r>
            <w:r w:rsidR="00A43EF3">
              <w:rPr>
                <w:noProof/>
                <w:webHidden/>
              </w:rPr>
              <w:fldChar w:fldCharType="begin"/>
            </w:r>
            <w:r w:rsidR="00A43EF3">
              <w:rPr>
                <w:noProof/>
                <w:webHidden/>
              </w:rPr>
              <w:instrText xml:space="preserve"> PAGEREF _Toc115255031 \h </w:instrText>
            </w:r>
            <w:r w:rsidR="00A43EF3">
              <w:rPr>
                <w:noProof/>
                <w:webHidden/>
              </w:rPr>
            </w:r>
            <w:r w:rsidR="00A43EF3">
              <w:rPr>
                <w:noProof/>
                <w:webHidden/>
              </w:rPr>
              <w:fldChar w:fldCharType="separate"/>
            </w:r>
            <w:r w:rsidR="00A43EF3">
              <w:rPr>
                <w:noProof/>
                <w:webHidden/>
              </w:rPr>
              <w:t>401</w:t>
            </w:r>
            <w:r w:rsidR="00A43EF3">
              <w:rPr>
                <w:noProof/>
                <w:webHidden/>
              </w:rPr>
              <w:fldChar w:fldCharType="end"/>
            </w:r>
          </w:hyperlink>
        </w:p>
        <w:p w14:paraId="79F72FBC" w14:textId="6F418D12"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32" w:history="1">
            <w:r w:rsidR="00A43EF3" w:rsidRPr="00672D00">
              <w:rPr>
                <w:rStyle w:val="Hyperlink"/>
                <w:rFonts w:eastAsia="Times New Roman"/>
                <w:b/>
                <w:i/>
                <w:noProof/>
                <w:lang w:val="bg-BG"/>
              </w:rPr>
              <w:t>7.2.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Цели на опазване на околната среда на национално равнище</w:t>
            </w:r>
            <w:r w:rsidR="00A43EF3">
              <w:rPr>
                <w:noProof/>
                <w:webHidden/>
              </w:rPr>
              <w:tab/>
            </w:r>
            <w:r w:rsidR="00A43EF3">
              <w:rPr>
                <w:noProof/>
                <w:webHidden/>
              </w:rPr>
              <w:fldChar w:fldCharType="begin"/>
            </w:r>
            <w:r w:rsidR="00A43EF3">
              <w:rPr>
                <w:noProof/>
                <w:webHidden/>
              </w:rPr>
              <w:instrText xml:space="preserve"> PAGEREF _Toc115255032 \h </w:instrText>
            </w:r>
            <w:r w:rsidR="00A43EF3">
              <w:rPr>
                <w:noProof/>
                <w:webHidden/>
              </w:rPr>
            </w:r>
            <w:r w:rsidR="00A43EF3">
              <w:rPr>
                <w:noProof/>
                <w:webHidden/>
              </w:rPr>
              <w:fldChar w:fldCharType="separate"/>
            </w:r>
            <w:r w:rsidR="00A43EF3">
              <w:rPr>
                <w:noProof/>
                <w:webHidden/>
              </w:rPr>
              <w:t>467</w:t>
            </w:r>
            <w:r w:rsidR="00A43EF3">
              <w:rPr>
                <w:noProof/>
                <w:webHidden/>
              </w:rPr>
              <w:fldChar w:fldCharType="end"/>
            </w:r>
          </w:hyperlink>
        </w:p>
        <w:p w14:paraId="1AEF3610" w14:textId="5750CC11"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33" w:history="1">
            <w:r w:rsidR="00A43EF3" w:rsidRPr="00672D00">
              <w:rPr>
                <w:rStyle w:val="Hyperlink"/>
                <w:noProof/>
                <w:lang w:bidi="bg-BG"/>
              </w:rPr>
              <w:t>8.</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ВЕРОЯТНИ ЗНАЧИТЕЛНИ ВЪЗДЕЙСТВИЯ ВЪРХУ ОКОЛНАТА СРЕДА И ЧОВЕШКОТО ЗДРАВЕ, В Т.Ч. И ТРАНСГРАНИЧНИ ВЪЗДЕЙСТВИЯ ВЪРХУ ОКОЛНАТА СРЕДА В ДРУГИ ДЪРЖАВИ</w:t>
            </w:r>
            <w:r w:rsidR="00A43EF3">
              <w:rPr>
                <w:noProof/>
                <w:webHidden/>
              </w:rPr>
              <w:tab/>
            </w:r>
            <w:r w:rsidR="00A43EF3">
              <w:rPr>
                <w:noProof/>
                <w:webHidden/>
              </w:rPr>
              <w:fldChar w:fldCharType="begin"/>
            </w:r>
            <w:r w:rsidR="00A43EF3">
              <w:rPr>
                <w:noProof/>
                <w:webHidden/>
              </w:rPr>
              <w:instrText xml:space="preserve"> PAGEREF _Toc115255033 \h </w:instrText>
            </w:r>
            <w:r w:rsidR="00A43EF3">
              <w:rPr>
                <w:noProof/>
                <w:webHidden/>
              </w:rPr>
            </w:r>
            <w:r w:rsidR="00A43EF3">
              <w:rPr>
                <w:noProof/>
                <w:webHidden/>
              </w:rPr>
              <w:fldChar w:fldCharType="separate"/>
            </w:r>
            <w:r w:rsidR="00A43EF3">
              <w:rPr>
                <w:noProof/>
                <w:webHidden/>
              </w:rPr>
              <w:t>509</w:t>
            </w:r>
            <w:r w:rsidR="00A43EF3">
              <w:rPr>
                <w:noProof/>
                <w:webHidden/>
              </w:rPr>
              <w:fldChar w:fldCharType="end"/>
            </w:r>
          </w:hyperlink>
        </w:p>
        <w:p w14:paraId="65F9B38A" w14:textId="4DCBC271"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34" w:history="1">
            <w:r w:rsidR="00A43EF3" w:rsidRPr="00672D00">
              <w:rPr>
                <w:rStyle w:val="Hyperlink"/>
                <w:rFonts w:eastAsia="Times New Roman"/>
                <w:b/>
                <w:i/>
                <w:noProof/>
                <w:lang w:val="bg-BG"/>
              </w:rPr>
              <w:t>8.1.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Оценка на вероятните въздействия на Стратегическо ниво</w:t>
            </w:r>
            <w:r w:rsidR="00A43EF3">
              <w:rPr>
                <w:noProof/>
                <w:webHidden/>
              </w:rPr>
              <w:tab/>
            </w:r>
            <w:r w:rsidR="00A43EF3">
              <w:rPr>
                <w:noProof/>
                <w:webHidden/>
              </w:rPr>
              <w:fldChar w:fldCharType="begin"/>
            </w:r>
            <w:r w:rsidR="00A43EF3">
              <w:rPr>
                <w:noProof/>
                <w:webHidden/>
              </w:rPr>
              <w:instrText xml:space="preserve"> PAGEREF _Toc115255034 \h </w:instrText>
            </w:r>
            <w:r w:rsidR="00A43EF3">
              <w:rPr>
                <w:noProof/>
                <w:webHidden/>
              </w:rPr>
            </w:r>
            <w:r w:rsidR="00A43EF3">
              <w:rPr>
                <w:noProof/>
                <w:webHidden/>
              </w:rPr>
              <w:fldChar w:fldCharType="separate"/>
            </w:r>
            <w:r w:rsidR="00A43EF3">
              <w:rPr>
                <w:noProof/>
                <w:webHidden/>
              </w:rPr>
              <w:t>510</w:t>
            </w:r>
            <w:r w:rsidR="00A43EF3">
              <w:rPr>
                <w:noProof/>
                <w:webHidden/>
              </w:rPr>
              <w:fldChar w:fldCharType="end"/>
            </w:r>
          </w:hyperlink>
        </w:p>
        <w:p w14:paraId="3769AA06" w14:textId="461A21F7"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35" w:history="1">
            <w:r w:rsidR="00A43EF3" w:rsidRPr="00672D00">
              <w:rPr>
                <w:rStyle w:val="Hyperlink"/>
                <w:rFonts w:eastAsia="Times New Roman"/>
                <w:b/>
                <w:i/>
                <w:noProof/>
                <w:lang w:val="bg-BG"/>
              </w:rPr>
              <w:t>8.2.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Оценка на вероятните въздействия на ниво „дейности/мерки“</w:t>
            </w:r>
            <w:r w:rsidR="00A43EF3">
              <w:rPr>
                <w:noProof/>
                <w:webHidden/>
              </w:rPr>
              <w:tab/>
            </w:r>
            <w:r w:rsidR="00A43EF3">
              <w:rPr>
                <w:noProof/>
                <w:webHidden/>
              </w:rPr>
              <w:fldChar w:fldCharType="begin"/>
            </w:r>
            <w:r w:rsidR="00A43EF3">
              <w:rPr>
                <w:noProof/>
                <w:webHidden/>
              </w:rPr>
              <w:instrText xml:space="preserve"> PAGEREF _Toc115255035 \h </w:instrText>
            </w:r>
            <w:r w:rsidR="00A43EF3">
              <w:rPr>
                <w:noProof/>
                <w:webHidden/>
              </w:rPr>
            </w:r>
            <w:r w:rsidR="00A43EF3">
              <w:rPr>
                <w:noProof/>
                <w:webHidden/>
              </w:rPr>
              <w:fldChar w:fldCharType="separate"/>
            </w:r>
            <w:r w:rsidR="00A43EF3">
              <w:rPr>
                <w:noProof/>
                <w:webHidden/>
              </w:rPr>
              <w:t>534</w:t>
            </w:r>
            <w:r w:rsidR="00A43EF3">
              <w:rPr>
                <w:noProof/>
                <w:webHidden/>
              </w:rPr>
              <w:fldChar w:fldCharType="end"/>
            </w:r>
          </w:hyperlink>
        </w:p>
        <w:p w14:paraId="6BAC6971" w14:textId="4F9CFC39"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36" w:history="1">
            <w:r w:rsidR="00A43EF3" w:rsidRPr="00672D00">
              <w:rPr>
                <w:rStyle w:val="Hyperlink"/>
                <w:noProof/>
              </w:rPr>
              <w:t>8.2.1.</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Потребности/Интервенции, обект на подкрепа по Специфична цел №1:</w:t>
            </w:r>
            <w:r w:rsidR="00A43EF3">
              <w:rPr>
                <w:noProof/>
                <w:webHidden/>
              </w:rPr>
              <w:tab/>
            </w:r>
            <w:r w:rsidR="00A43EF3">
              <w:rPr>
                <w:noProof/>
                <w:webHidden/>
              </w:rPr>
              <w:fldChar w:fldCharType="begin"/>
            </w:r>
            <w:r w:rsidR="00A43EF3">
              <w:rPr>
                <w:noProof/>
                <w:webHidden/>
              </w:rPr>
              <w:instrText xml:space="preserve"> PAGEREF _Toc115255036 \h </w:instrText>
            </w:r>
            <w:r w:rsidR="00A43EF3">
              <w:rPr>
                <w:noProof/>
                <w:webHidden/>
              </w:rPr>
            </w:r>
            <w:r w:rsidR="00A43EF3">
              <w:rPr>
                <w:noProof/>
                <w:webHidden/>
              </w:rPr>
              <w:fldChar w:fldCharType="separate"/>
            </w:r>
            <w:r w:rsidR="00A43EF3">
              <w:rPr>
                <w:noProof/>
                <w:webHidden/>
              </w:rPr>
              <w:t>535</w:t>
            </w:r>
            <w:r w:rsidR="00A43EF3">
              <w:rPr>
                <w:noProof/>
                <w:webHidden/>
              </w:rPr>
              <w:fldChar w:fldCharType="end"/>
            </w:r>
          </w:hyperlink>
        </w:p>
        <w:p w14:paraId="5055F5E8" w14:textId="665092AE"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37" w:history="1">
            <w:r w:rsidR="00A43EF3" w:rsidRPr="00672D00">
              <w:rPr>
                <w:rStyle w:val="Hyperlink"/>
                <w:noProof/>
              </w:rPr>
              <w:t>8.2.2.</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Потребности/Интервенции, обект на подкрепа по Специфична цел №2</w:t>
            </w:r>
            <w:r w:rsidR="00A43EF3">
              <w:rPr>
                <w:noProof/>
                <w:webHidden/>
              </w:rPr>
              <w:tab/>
            </w:r>
            <w:r w:rsidR="00A43EF3">
              <w:rPr>
                <w:noProof/>
                <w:webHidden/>
              </w:rPr>
              <w:fldChar w:fldCharType="begin"/>
            </w:r>
            <w:r w:rsidR="00A43EF3">
              <w:rPr>
                <w:noProof/>
                <w:webHidden/>
              </w:rPr>
              <w:instrText xml:space="preserve"> PAGEREF _Toc115255037 \h </w:instrText>
            </w:r>
            <w:r w:rsidR="00A43EF3">
              <w:rPr>
                <w:noProof/>
                <w:webHidden/>
              </w:rPr>
            </w:r>
            <w:r w:rsidR="00A43EF3">
              <w:rPr>
                <w:noProof/>
                <w:webHidden/>
              </w:rPr>
              <w:fldChar w:fldCharType="separate"/>
            </w:r>
            <w:r w:rsidR="00A43EF3">
              <w:rPr>
                <w:noProof/>
                <w:webHidden/>
              </w:rPr>
              <w:t>545</w:t>
            </w:r>
            <w:r w:rsidR="00A43EF3">
              <w:rPr>
                <w:noProof/>
                <w:webHidden/>
              </w:rPr>
              <w:fldChar w:fldCharType="end"/>
            </w:r>
          </w:hyperlink>
        </w:p>
        <w:p w14:paraId="0CC7A7D1" w14:textId="6AFCC9AB"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38" w:history="1">
            <w:r w:rsidR="00A43EF3" w:rsidRPr="00672D00">
              <w:rPr>
                <w:rStyle w:val="Hyperlink"/>
                <w:noProof/>
              </w:rPr>
              <w:t>8.2.3.</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Потребности/Интервенции, обект на подкрепа по Специфична цел №3</w:t>
            </w:r>
            <w:r w:rsidR="00A43EF3">
              <w:rPr>
                <w:noProof/>
                <w:webHidden/>
              </w:rPr>
              <w:tab/>
            </w:r>
            <w:r w:rsidR="00A43EF3">
              <w:rPr>
                <w:noProof/>
                <w:webHidden/>
              </w:rPr>
              <w:fldChar w:fldCharType="begin"/>
            </w:r>
            <w:r w:rsidR="00A43EF3">
              <w:rPr>
                <w:noProof/>
                <w:webHidden/>
              </w:rPr>
              <w:instrText xml:space="preserve"> PAGEREF _Toc115255038 \h </w:instrText>
            </w:r>
            <w:r w:rsidR="00A43EF3">
              <w:rPr>
                <w:noProof/>
                <w:webHidden/>
              </w:rPr>
            </w:r>
            <w:r w:rsidR="00A43EF3">
              <w:rPr>
                <w:noProof/>
                <w:webHidden/>
              </w:rPr>
              <w:fldChar w:fldCharType="separate"/>
            </w:r>
            <w:r w:rsidR="00A43EF3">
              <w:rPr>
                <w:noProof/>
                <w:webHidden/>
              </w:rPr>
              <w:t>560</w:t>
            </w:r>
            <w:r w:rsidR="00A43EF3">
              <w:rPr>
                <w:noProof/>
                <w:webHidden/>
              </w:rPr>
              <w:fldChar w:fldCharType="end"/>
            </w:r>
          </w:hyperlink>
        </w:p>
        <w:p w14:paraId="627DAAEE" w14:textId="378436AB"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39" w:history="1">
            <w:r w:rsidR="00A43EF3" w:rsidRPr="00672D00">
              <w:rPr>
                <w:rStyle w:val="Hyperlink"/>
                <w:noProof/>
              </w:rPr>
              <w:t>8.2.4.</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noProof/>
              </w:rPr>
              <w:t>Потребности/Интервенции, обект на подкрепа по Специфична цел №4</w:t>
            </w:r>
            <w:r w:rsidR="00A43EF3">
              <w:rPr>
                <w:noProof/>
                <w:webHidden/>
              </w:rPr>
              <w:tab/>
            </w:r>
            <w:r w:rsidR="00A43EF3">
              <w:rPr>
                <w:noProof/>
                <w:webHidden/>
              </w:rPr>
              <w:fldChar w:fldCharType="begin"/>
            </w:r>
            <w:r w:rsidR="00A43EF3">
              <w:rPr>
                <w:noProof/>
                <w:webHidden/>
              </w:rPr>
              <w:instrText xml:space="preserve"> PAGEREF _Toc115255039 \h </w:instrText>
            </w:r>
            <w:r w:rsidR="00A43EF3">
              <w:rPr>
                <w:noProof/>
                <w:webHidden/>
              </w:rPr>
            </w:r>
            <w:r w:rsidR="00A43EF3">
              <w:rPr>
                <w:noProof/>
                <w:webHidden/>
              </w:rPr>
              <w:fldChar w:fldCharType="separate"/>
            </w:r>
            <w:r w:rsidR="00A43EF3">
              <w:rPr>
                <w:noProof/>
                <w:webHidden/>
              </w:rPr>
              <w:t>569</w:t>
            </w:r>
            <w:r w:rsidR="00A43EF3">
              <w:rPr>
                <w:noProof/>
                <w:webHidden/>
              </w:rPr>
              <w:fldChar w:fldCharType="end"/>
            </w:r>
          </w:hyperlink>
        </w:p>
        <w:p w14:paraId="0A135A89" w14:textId="247B4279"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0" w:history="1">
            <w:r w:rsidR="00A43EF3" w:rsidRPr="00672D00">
              <w:rPr>
                <w:rStyle w:val="Hyperlink"/>
                <w:rFonts w:eastAsia="Times New Roman"/>
                <w:noProof/>
                <w:lang w:bidi="bg-BG"/>
              </w:rPr>
              <w:t>8.2.5.</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Специфична цел №5</w:t>
            </w:r>
            <w:r w:rsidR="00A43EF3">
              <w:rPr>
                <w:noProof/>
                <w:webHidden/>
              </w:rPr>
              <w:tab/>
            </w:r>
            <w:r w:rsidR="00A43EF3">
              <w:rPr>
                <w:noProof/>
                <w:webHidden/>
              </w:rPr>
              <w:fldChar w:fldCharType="begin"/>
            </w:r>
            <w:r w:rsidR="00A43EF3">
              <w:rPr>
                <w:noProof/>
                <w:webHidden/>
              </w:rPr>
              <w:instrText xml:space="preserve"> PAGEREF _Toc115255040 \h </w:instrText>
            </w:r>
            <w:r w:rsidR="00A43EF3">
              <w:rPr>
                <w:noProof/>
                <w:webHidden/>
              </w:rPr>
            </w:r>
            <w:r w:rsidR="00A43EF3">
              <w:rPr>
                <w:noProof/>
                <w:webHidden/>
              </w:rPr>
              <w:fldChar w:fldCharType="separate"/>
            </w:r>
            <w:r w:rsidR="00A43EF3">
              <w:rPr>
                <w:noProof/>
                <w:webHidden/>
              </w:rPr>
              <w:t>598</w:t>
            </w:r>
            <w:r w:rsidR="00A43EF3">
              <w:rPr>
                <w:noProof/>
                <w:webHidden/>
              </w:rPr>
              <w:fldChar w:fldCharType="end"/>
            </w:r>
          </w:hyperlink>
        </w:p>
        <w:p w14:paraId="2384E6BB" w14:textId="52904671"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1" w:history="1">
            <w:r w:rsidR="00A43EF3" w:rsidRPr="00672D00">
              <w:rPr>
                <w:rStyle w:val="Hyperlink"/>
                <w:rFonts w:eastAsia="Times New Roman"/>
                <w:noProof/>
                <w:lang w:bidi="bg-BG"/>
              </w:rPr>
              <w:t>8.2.6.</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Специфична цел №6</w:t>
            </w:r>
            <w:r w:rsidR="00A43EF3">
              <w:rPr>
                <w:noProof/>
                <w:webHidden/>
              </w:rPr>
              <w:tab/>
            </w:r>
            <w:r w:rsidR="00A43EF3">
              <w:rPr>
                <w:noProof/>
                <w:webHidden/>
              </w:rPr>
              <w:fldChar w:fldCharType="begin"/>
            </w:r>
            <w:r w:rsidR="00A43EF3">
              <w:rPr>
                <w:noProof/>
                <w:webHidden/>
              </w:rPr>
              <w:instrText xml:space="preserve"> PAGEREF _Toc115255041 \h </w:instrText>
            </w:r>
            <w:r w:rsidR="00A43EF3">
              <w:rPr>
                <w:noProof/>
                <w:webHidden/>
              </w:rPr>
            </w:r>
            <w:r w:rsidR="00A43EF3">
              <w:rPr>
                <w:noProof/>
                <w:webHidden/>
              </w:rPr>
              <w:fldChar w:fldCharType="separate"/>
            </w:r>
            <w:r w:rsidR="00A43EF3">
              <w:rPr>
                <w:noProof/>
                <w:webHidden/>
              </w:rPr>
              <w:t>618</w:t>
            </w:r>
            <w:r w:rsidR="00A43EF3">
              <w:rPr>
                <w:noProof/>
                <w:webHidden/>
              </w:rPr>
              <w:fldChar w:fldCharType="end"/>
            </w:r>
          </w:hyperlink>
        </w:p>
        <w:p w14:paraId="3C9446CF" w14:textId="6B840144"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2" w:history="1">
            <w:r w:rsidR="00A43EF3" w:rsidRPr="00672D00">
              <w:rPr>
                <w:rStyle w:val="Hyperlink"/>
                <w:rFonts w:eastAsia="Times New Roman"/>
                <w:noProof/>
                <w:lang w:bidi="bg-BG"/>
              </w:rPr>
              <w:t>8.2.7.</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Специфична цел №7</w:t>
            </w:r>
            <w:r w:rsidR="00A43EF3">
              <w:rPr>
                <w:noProof/>
                <w:webHidden/>
              </w:rPr>
              <w:tab/>
            </w:r>
            <w:r w:rsidR="00A43EF3">
              <w:rPr>
                <w:noProof/>
                <w:webHidden/>
              </w:rPr>
              <w:fldChar w:fldCharType="begin"/>
            </w:r>
            <w:r w:rsidR="00A43EF3">
              <w:rPr>
                <w:noProof/>
                <w:webHidden/>
              </w:rPr>
              <w:instrText xml:space="preserve"> PAGEREF _Toc115255042 \h </w:instrText>
            </w:r>
            <w:r w:rsidR="00A43EF3">
              <w:rPr>
                <w:noProof/>
                <w:webHidden/>
              </w:rPr>
            </w:r>
            <w:r w:rsidR="00A43EF3">
              <w:rPr>
                <w:noProof/>
                <w:webHidden/>
              </w:rPr>
              <w:fldChar w:fldCharType="separate"/>
            </w:r>
            <w:r w:rsidR="00A43EF3">
              <w:rPr>
                <w:noProof/>
                <w:webHidden/>
              </w:rPr>
              <w:t>643</w:t>
            </w:r>
            <w:r w:rsidR="00A43EF3">
              <w:rPr>
                <w:noProof/>
                <w:webHidden/>
              </w:rPr>
              <w:fldChar w:fldCharType="end"/>
            </w:r>
          </w:hyperlink>
        </w:p>
        <w:p w14:paraId="1F6D59DA" w14:textId="6114C41B"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3" w:history="1">
            <w:r w:rsidR="00A43EF3" w:rsidRPr="00672D00">
              <w:rPr>
                <w:rStyle w:val="Hyperlink"/>
                <w:rFonts w:eastAsia="Times New Roman"/>
                <w:noProof/>
                <w:lang w:bidi="bg-BG"/>
              </w:rPr>
              <w:t>8.2.8.</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Специфична цел №8</w:t>
            </w:r>
            <w:r w:rsidR="00A43EF3">
              <w:rPr>
                <w:noProof/>
                <w:webHidden/>
              </w:rPr>
              <w:tab/>
            </w:r>
            <w:r w:rsidR="00A43EF3">
              <w:rPr>
                <w:noProof/>
                <w:webHidden/>
              </w:rPr>
              <w:fldChar w:fldCharType="begin"/>
            </w:r>
            <w:r w:rsidR="00A43EF3">
              <w:rPr>
                <w:noProof/>
                <w:webHidden/>
              </w:rPr>
              <w:instrText xml:space="preserve"> PAGEREF _Toc115255043 \h </w:instrText>
            </w:r>
            <w:r w:rsidR="00A43EF3">
              <w:rPr>
                <w:noProof/>
                <w:webHidden/>
              </w:rPr>
            </w:r>
            <w:r w:rsidR="00A43EF3">
              <w:rPr>
                <w:noProof/>
                <w:webHidden/>
              </w:rPr>
              <w:fldChar w:fldCharType="separate"/>
            </w:r>
            <w:r w:rsidR="00A43EF3">
              <w:rPr>
                <w:noProof/>
                <w:webHidden/>
              </w:rPr>
              <w:t>652</w:t>
            </w:r>
            <w:r w:rsidR="00A43EF3">
              <w:rPr>
                <w:noProof/>
                <w:webHidden/>
              </w:rPr>
              <w:fldChar w:fldCharType="end"/>
            </w:r>
          </w:hyperlink>
        </w:p>
        <w:p w14:paraId="411CD431" w14:textId="1063321A"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4" w:history="1">
            <w:r w:rsidR="00A43EF3" w:rsidRPr="00672D00">
              <w:rPr>
                <w:rStyle w:val="Hyperlink"/>
                <w:rFonts w:eastAsia="Times New Roman"/>
                <w:noProof/>
                <w:lang w:bidi="bg-BG"/>
              </w:rPr>
              <w:t>8.2.9.</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Специфична цел №9</w:t>
            </w:r>
            <w:r w:rsidR="00A43EF3">
              <w:rPr>
                <w:noProof/>
                <w:webHidden/>
              </w:rPr>
              <w:tab/>
            </w:r>
            <w:r w:rsidR="00A43EF3">
              <w:rPr>
                <w:noProof/>
                <w:webHidden/>
              </w:rPr>
              <w:fldChar w:fldCharType="begin"/>
            </w:r>
            <w:r w:rsidR="00A43EF3">
              <w:rPr>
                <w:noProof/>
                <w:webHidden/>
              </w:rPr>
              <w:instrText xml:space="preserve"> PAGEREF _Toc115255044 \h </w:instrText>
            </w:r>
            <w:r w:rsidR="00A43EF3">
              <w:rPr>
                <w:noProof/>
                <w:webHidden/>
              </w:rPr>
            </w:r>
            <w:r w:rsidR="00A43EF3">
              <w:rPr>
                <w:noProof/>
                <w:webHidden/>
              </w:rPr>
              <w:fldChar w:fldCharType="separate"/>
            </w:r>
            <w:r w:rsidR="00A43EF3">
              <w:rPr>
                <w:noProof/>
                <w:webHidden/>
              </w:rPr>
              <w:t>661</w:t>
            </w:r>
            <w:r w:rsidR="00A43EF3">
              <w:rPr>
                <w:noProof/>
                <w:webHidden/>
              </w:rPr>
              <w:fldChar w:fldCharType="end"/>
            </w:r>
          </w:hyperlink>
        </w:p>
        <w:p w14:paraId="0A052708" w14:textId="1526F035"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45" w:history="1">
            <w:r w:rsidR="00A43EF3" w:rsidRPr="00672D00">
              <w:rPr>
                <w:rStyle w:val="Hyperlink"/>
                <w:rFonts w:eastAsia="Times New Roman"/>
                <w:noProof/>
                <w:lang w:bidi="bg-BG"/>
              </w:rPr>
              <w:t>8.2.10.</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noProof/>
                <w:lang w:bidi="bg-BG"/>
              </w:rPr>
              <w:t>Потребности/Интервенции, обект на подкрепа по Хоризонтална цел на СПОС 2023-2027г.</w:t>
            </w:r>
            <w:r w:rsidR="00A43EF3">
              <w:rPr>
                <w:noProof/>
                <w:webHidden/>
              </w:rPr>
              <w:tab/>
            </w:r>
            <w:r w:rsidR="00A43EF3">
              <w:rPr>
                <w:noProof/>
                <w:webHidden/>
              </w:rPr>
              <w:fldChar w:fldCharType="begin"/>
            </w:r>
            <w:r w:rsidR="00A43EF3">
              <w:rPr>
                <w:noProof/>
                <w:webHidden/>
              </w:rPr>
              <w:instrText xml:space="preserve"> PAGEREF _Toc115255045 \h </w:instrText>
            </w:r>
            <w:r w:rsidR="00A43EF3">
              <w:rPr>
                <w:noProof/>
                <w:webHidden/>
              </w:rPr>
            </w:r>
            <w:r w:rsidR="00A43EF3">
              <w:rPr>
                <w:noProof/>
                <w:webHidden/>
              </w:rPr>
              <w:fldChar w:fldCharType="separate"/>
            </w:r>
            <w:r w:rsidR="00A43EF3">
              <w:rPr>
                <w:noProof/>
                <w:webHidden/>
              </w:rPr>
              <w:t>676</w:t>
            </w:r>
            <w:r w:rsidR="00A43EF3">
              <w:rPr>
                <w:noProof/>
                <w:webHidden/>
              </w:rPr>
              <w:fldChar w:fldCharType="end"/>
            </w:r>
          </w:hyperlink>
        </w:p>
        <w:p w14:paraId="02B71F79" w14:textId="5BDAB007"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46" w:history="1">
            <w:r w:rsidR="00A43EF3" w:rsidRPr="00672D00">
              <w:rPr>
                <w:rStyle w:val="Hyperlink"/>
                <w:rFonts w:eastAsia="Times New Roman"/>
                <w:b/>
                <w:i/>
                <w:noProof/>
                <w:lang w:val="bg-BG"/>
              </w:rPr>
              <w:t>8.3.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Кумулативно въздействие</w:t>
            </w:r>
            <w:r w:rsidR="00A43EF3">
              <w:rPr>
                <w:noProof/>
                <w:webHidden/>
              </w:rPr>
              <w:tab/>
            </w:r>
            <w:r w:rsidR="00A43EF3">
              <w:rPr>
                <w:noProof/>
                <w:webHidden/>
              </w:rPr>
              <w:fldChar w:fldCharType="begin"/>
            </w:r>
            <w:r w:rsidR="00A43EF3">
              <w:rPr>
                <w:noProof/>
                <w:webHidden/>
              </w:rPr>
              <w:instrText xml:space="preserve"> PAGEREF _Toc115255046 \h </w:instrText>
            </w:r>
            <w:r w:rsidR="00A43EF3">
              <w:rPr>
                <w:noProof/>
                <w:webHidden/>
              </w:rPr>
            </w:r>
            <w:r w:rsidR="00A43EF3">
              <w:rPr>
                <w:noProof/>
                <w:webHidden/>
              </w:rPr>
              <w:fldChar w:fldCharType="separate"/>
            </w:r>
            <w:r w:rsidR="00A43EF3">
              <w:rPr>
                <w:noProof/>
                <w:webHidden/>
              </w:rPr>
              <w:t>687</w:t>
            </w:r>
            <w:r w:rsidR="00A43EF3">
              <w:rPr>
                <w:noProof/>
                <w:webHidden/>
              </w:rPr>
              <w:fldChar w:fldCharType="end"/>
            </w:r>
          </w:hyperlink>
        </w:p>
        <w:p w14:paraId="463F15F6" w14:textId="72AABEDE"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47" w:history="1">
            <w:r w:rsidR="00A43EF3" w:rsidRPr="00672D00">
              <w:rPr>
                <w:rStyle w:val="Hyperlink"/>
                <w:rFonts w:eastAsia="Times New Roman"/>
                <w:b/>
                <w:i/>
                <w:noProof/>
                <w:lang w:val="bg-BG"/>
              </w:rPr>
              <w:t>8.4.</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Трансгранично въздействие на СПРЗСР</w:t>
            </w:r>
            <w:r w:rsidR="00A43EF3">
              <w:rPr>
                <w:noProof/>
                <w:webHidden/>
              </w:rPr>
              <w:tab/>
            </w:r>
            <w:r w:rsidR="00A43EF3">
              <w:rPr>
                <w:noProof/>
                <w:webHidden/>
              </w:rPr>
              <w:fldChar w:fldCharType="begin"/>
            </w:r>
            <w:r w:rsidR="00A43EF3">
              <w:rPr>
                <w:noProof/>
                <w:webHidden/>
              </w:rPr>
              <w:instrText xml:space="preserve"> PAGEREF _Toc115255047 \h </w:instrText>
            </w:r>
            <w:r w:rsidR="00A43EF3">
              <w:rPr>
                <w:noProof/>
                <w:webHidden/>
              </w:rPr>
            </w:r>
            <w:r w:rsidR="00A43EF3">
              <w:rPr>
                <w:noProof/>
                <w:webHidden/>
              </w:rPr>
              <w:fldChar w:fldCharType="separate"/>
            </w:r>
            <w:r w:rsidR="00A43EF3">
              <w:rPr>
                <w:noProof/>
                <w:webHidden/>
              </w:rPr>
              <w:t>689</w:t>
            </w:r>
            <w:r w:rsidR="00A43EF3">
              <w:rPr>
                <w:noProof/>
                <w:webHidden/>
              </w:rPr>
              <w:fldChar w:fldCharType="end"/>
            </w:r>
          </w:hyperlink>
        </w:p>
        <w:p w14:paraId="7D3A5043" w14:textId="07566DF3"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48" w:history="1">
            <w:r w:rsidR="00A43EF3" w:rsidRPr="00672D00">
              <w:rPr>
                <w:rStyle w:val="Hyperlink"/>
                <w:rFonts w:eastAsia="Times New Roman"/>
                <w:b/>
                <w:i/>
                <w:noProof/>
                <w:lang w:val="bg-BG"/>
              </w:rPr>
              <w:t>8.5.</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Обобщение за очакваното въздействие</w:t>
            </w:r>
            <w:r w:rsidR="00A43EF3">
              <w:rPr>
                <w:noProof/>
                <w:webHidden/>
              </w:rPr>
              <w:tab/>
            </w:r>
            <w:r w:rsidR="00A43EF3">
              <w:rPr>
                <w:noProof/>
                <w:webHidden/>
              </w:rPr>
              <w:fldChar w:fldCharType="begin"/>
            </w:r>
            <w:r w:rsidR="00A43EF3">
              <w:rPr>
                <w:noProof/>
                <w:webHidden/>
              </w:rPr>
              <w:instrText xml:space="preserve"> PAGEREF _Toc115255048 \h </w:instrText>
            </w:r>
            <w:r w:rsidR="00A43EF3">
              <w:rPr>
                <w:noProof/>
                <w:webHidden/>
              </w:rPr>
            </w:r>
            <w:r w:rsidR="00A43EF3">
              <w:rPr>
                <w:noProof/>
                <w:webHidden/>
              </w:rPr>
              <w:fldChar w:fldCharType="separate"/>
            </w:r>
            <w:r w:rsidR="00A43EF3">
              <w:rPr>
                <w:noProof/>
                <w:webHidden/>
              </w:rPr>
              <w:t>690</w:t>
            </w:r>
            <w:r w:rsidR="00A43EF3">
              <w:rPr>
                <w:noProof/>
                <w:webHidden/>
              </w:rPr>
              <w:fldChar w:fldCharType="end"/>
            </w:r>
          </w:hyperlink>
        </w:p>
        <w:p w14:paraId="41261FA3" w14:textId="5B6FE534"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49" w:history="1">
            <w:r w:rsidR="00A43EF3" w:rsidRPr="00672D00">
              <w:rPr>
                <w:rStyle w:val="Hyperlink"/>
                <w:noProof/>
                <w:lang w:bidi="bg-BG"/>
              </w:rPr>
              <w:t>9.</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МЕРКИ, ПРЕДВИДЕНИ ЗА ПРЕДОТВРАТЯВАНЕ, НАМАЛЯВАНЕ И ВЪЗМОЖНО НАЙ-ПЪЛНО КОМПЕНСИРАНЕ НА НЕБЛАГОПРИЯТНИТЕ ПОСЛЕДСТВИЯ ОТ ОСЪЩЕСТВЯВАНЕТО НА СПРЗСР ВЪРХУ ОКОЛНАТА СРЕДА И ЧОВЕШКОТО ЗДРАВЕ</w:t>
            </w:r>
            <w:r w:rsidR="00A43EF3">
              <w:rPr>
                <w:noProof/>
                <w:webHidden/>
              </w:rPr>
              <w:tab/>
            </w:r>
            <w:r w:rsidR="00A43EF3">
              <w:rPr>
                <w:noProof/>
                <w:webHidden/>
              </w:rPr>
              <w:fldChar w:fldCharType="begin"/>
            </w:r>
            <w:r w:rsidR="00A43EF3">
              <w:rPr>
                <w:noProof/>
                <w:webHidden/>
              </w:rPr>
              <w:instrText xml:space="preserve"> PAGEREF _Toc115255049 \h </w:instrText>
            </w:r>
            <w:r w:rsidR="00A43EF3">
              <w:rPr>
                <w:noProof/>
                <w:webHidden/>
              </w:rPr>
            </w:r>
            <w:r w:rsidR="00A43EF3">
              <w:rPr>
                <w:noProof/>
                <w:webHidden/>
              </w:rPr>
              <w:fldChar w:fldCharType="separate"/>
            </w:r>
            <w:r w:rsidR="00A43EF3">
              <w:rPr>
                <w:noProof/>
                <w:webHidden/>
              </w:rPr>
              <w:t>693</w:t>
            </w:r>
            <w:r w:rsidR="00A43EF3">
              <w:rPr>
                <w:noProof/>
                <w:webHidden/>
              </w:rPr>
              <w:fldChar w:fldCharType="end"/>
            </w:r>
          </w:hyperlink>
        </w:p>
        <w:p w14:paraId="6E988F72" w14:textId="4D3B3E69"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50" w:history="1">
            <w:r w:rsidR="00A43EF3" w:rsidRPr="00672D00">
              <w:rPr>
                <w:rStyle w:val="Hyperlink"/>
                <w:rFonts w:eastAsia="Times New Roman"/>
                <w:b/>
                <w:i/>
                <w:noProof/>
                <w:lang w:val="bg-BG"/>
              </w:rPr>
              <w:t>9.1.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Мерки за отразяване в окончателните варианти на СПРЗСР</w:t>
            </w:r>
            <w:r w:rsidR="00A43EF3">
              <w:rPr>
                <w:noProof/>
                <w:webHidden/>
              </w:rPr>
              <w:tab/>
            </w:r>
            <w:r w:rsidR="00A43EF3">
              <w:rPr>
                <w:noProof/>
                <w:webHidden/>
              </w:rPr>
              <w:fldChar w:fldCharType="begin"/>
            </w:r>
            <w:r w:rsidR="00A43EF3">
              <w:rPr>
                <w:noProof/>
                <w:webHidden/>
              </w:rPr>
              <w:instrText xml:space="preserve"> PAGEREF _Toc115255050 \h </w:instrText>
            </w:r>
            <w:r w:rsidR="00A43EF3">
              <w:rPr>
                <w:noProof/>
                <w:webHidden/>
              </w:rPr>
            </w:r>
            <w:r w:rsidR="00A43EF3">
              <w:rPr>
                <w:noProof/>
                <w:webHidden/>
              </w:rPr>
              <w:fldChar w:fldCharType="separate"/>
            </w:r>
            <w:r w:rsidR="00A43EF3">
              <w:rPr>
                <w:noProof/>
                <w:webHidden/>
              </w:rPr>
              <w:t>693</w:t>
            </w:r>
            <w:r w:rsidR="00A43EF3">
              <w:rPr>
                <w:noProof/>
                <w:webHidden/>
              </w:rPr>
              <w:fldChar w:fldCharType="end"/>
            </w:r>
          </w:hyperlink>
        </w:p>
        <w:p w14:paraId="6DC40372" w14:textId="2199D16C"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51" w:history="1">
            <w:r w:rsidR="00A43EF3" w:rsidRPr="00672D00">
              <w:rPr>
                <w:rStyle w:val="Hyperlink"/>
                <w:rFonts w:eastAsia="Times New Roman"/>
                <w:b/>
                <w:i/>
                <w:noProof/>
                <w:lang w:val="bg-BG"/>
              </w:rPr>
              <w:t>9.2.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Мерки за изпълнение при прилагането на СПРЗСР</w:t>
            </w:r>
            <w:r w:rsidR="00A43EF3">
              <w:rPr>
                <w:noProof/>
                <w:webHidden/>
              </w:rPr>
              <w:tab/>
            </w:r>
            <w:r w:rsidR="00A43EF3">
              <w:rPr>
                <w:noProof/>
                <w:webHidden/>
              </w:rPr>
              <w:fldChar w:fldCharType="begin"/>
            </w:r>
            <w:r w:rsidR="00A43EF3">
              <w:rPr>
                <w:noProof/>
                <w:webHidden/>
              </w:rPr>
              <w:instrText xml:space="preserve"> PAGEREF _Toc115255051 \h </w:instrText>
            </w:r>
            <w:r w:rsidR="00A43EF3">
              <w:rPr>
                <w:noProof/>
                <w:webHidden/>
              </w:rPr>
            </w:r>
            <w:r w:rsidR="00A43EF3">
              <w:rPr>
                <w:noProof/>
                <w:webHidden/>
              </w:rPr>
              <w:fldChar w:fldCharType="separate"/>
            </w:r>
            <w:r w:rsidR="00A43EF3">
              <w:rPr>
                <w:noProof/>
                <w:webHidden/>
              </w:rPr>
              <w:t>693</w:t>
            </w:r>
            <w:r w:rsidR="00A43EF3">
              <w:rPr>
                <w:noProof/>
                <w:webHidden/>
              </w:rPr>
              <w:fldChar w:fldCharType="end"/>
            </w:r>
          </w:hyperlink>
        </w:p>
        <w:p w14:paraId="13C51026" w14:textId="6D9DB84F"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52" w:history="1">
            <w:r w:rsidR="00A43EF3" w:rsidRPr="00672D00">
              <w:rPr>
                <w:rStyle w:val="Hyperlink"/>
                <w:noProof/>
                <w:lang w:bidi="bg-BG"/>
              </w:rPr>
              <w:t>10.</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ОПИСАНИЕ НА МОТИВИТЕ ЗА ИЗБОР НА РАЗГЛЕДАНИТЕ АЛТЕРНАТИВИ И НА МЕТОДИТЕ НА ИЗВЪРШВАНЕ НА ЕКОЛОГИЧНА ОЦЕНКА, ВКЛЮЧИТЕЛНО ТРУДНОСТИТЕ ПРИ СЪБИРАНЕ НА НЕОБХОДИМАТА ЗА ТОВА ИНФОРМАЦИЯ, КАТО ТЕХНИЧЕСКИ НЕДОСТАТЪЦИ И ЛИПСА НА НОУ-ХАУ</w:t>
            </w:r>
            <w:r w:rsidR="00A43EF3">
              <w:rPr>
                <w:noProof/>
                <w:webHidden/>
              </w:rPr>
              <w:tab/>
            </w:r>
            <w:r w:rsidR="00A43EF3">
              <w:rPr>
                <w:noProof/>
                <w:webHidden/>
              </w:rPr>
              <w:fldChar w:fldCharType="begin"/>
            </w:r>
            <w:r w:rsidR="00A43EF3">
              <w:rPr>
                <w:noProof/>
                <w:webHidden/>
              </w:rPr>
              <w:instrText xml:space="preserve"> PAGEREF _Toc115255052 \h </w:instrText>
            </w:r>
            <w:r w:rsidR="00A43EF3">
              <w:rPr>
                <w:noProof/>
                <w:webHidden/>
              </w:rPr>
            </w:r>
            <w:r w:rsidR="00A43EF3">
              <w:rPr>
                <w:noProof/>
                <w:webHidden/>
              </w:rPr>
              <w:fldChar w:fldCharType="separate"/>
            </w:r>
            <w:r w:rsidR="00A43EF3">
              <w:rPr>
                <w:noProof/>
                <w:webHidden/>
              </w:rPr>
              <w:t>697</w:t>
            </w:r>
            <w:r w:rsidR="00A43EF3">
              <w:rPr>
                <w:noProof/>
                <w:webHidden/>
              </w:rPr>
              <w:fldChar w:fldCharType="end"/>
            </w:r>
          </w:hyperlink>
        </w:p>
        <w:p w14:paraId="0A092C4B" w14:textId="7BF684D0"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53" w:history="1">
            <w:r w:rsidR="00A43EF3" w:rsidRPr="00672D00">
              <w:rPr>
                <w:rStyle w:val="Hyperlink"/>
                <w:rFonts w:eastAsia="Times New Roman"/>
                <w:b/>
                <w:i/>
                <w:noProof/>
                <w:lang w:val="bg-BG"/>
              </w:rPr>
              <w:t>10.1.</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Мотиви за избор на разгледаните алтернативи</w:t>
            </w:r>
            <w:r w:rsidR="00A43EF3">
              <w:rPr>
                <w:noProof/>
                <w:webHidden/>
              </w:rPr>
              <w:tab/>
            </w:r>
            <w:r w:rsidR="00A43EF3">
              <w:rPr>
                <w:noProof/>
                <w:webHidden/>
              </w:rPr>
              <w:fldChar w:fldCharType="begin"/>
            </w:r>
            <w:r w:rsidR="00A43EF3">
              <w:rPr>
                <w:noProof/>
                <w:webHidden/>
              </w:rPr>
              <w:instrText xml:space="preserve"> PAGEREF _Toc115255053 \h </w:instrText>
            </w:r>
            <w:r w:rsidR="00A43EF3">
              <w:rPr>
                <w:noProof/>
                <w:webHidden/>
              </w:rPr>
            </w:r>
            <w:r w:rsidR="00A43EF3">
              <w:rPr>
                <w:noProof/>
                <w:webHidden/>
              </w:rPr>
              <w:fldChar w:fldCharType="separate"/>
            </w:r>
            <w:r w:rsidR="00A43EF3">
              <w:rPr>
                <w:noProof/>
                <w:webHidden/>
              </w:rPr>
              <w:t>697</w:t>
            </w:r>
            <w:r w:rsidR="00A43EF3">
              <w:rPr>
                <w:noProof/>
                <w:webHidden/>
              </w:rPr>
              <w:fldChar w:fldCharType="end"/>
            </w:r>
          </w:hyperlink>
        </w:p>
        <w:p w14:paraId="1CF4EC5A" w14:textId="7B7B0507"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54" w:history="1">
            <w:r w:rsidR="00A43EF3" w:rsidRPr="00672D00">
              <w:rPr>
                <w:rStyle w:val="Hyperlink"/>
                <w:rFonts w:eastAsia="Times New Roman"/>
                <w:b/>
                <w:i/>
                <w:noProof/>
                <w:lang w:val="bg-BG"/>
              </w:rPr>
              <w:t>10.2.</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Методи на извършване на екологичната оценка</w:t>
            </w:r>
            <w:r w:rsidR="00A43EF3">
              <w:rPr>
                <w:noProof/>
                <w:webHidden/>
              </w:rPr>
              <w:tab/>
            </w:r>
            <w:r w:rsidR="00A43EF3">
              <w:rPr>
                <w:noProof/>
                <w:webHidden/>
              </w:rPr>
              <w:fldChar w:fldCharType="begin"/>
            </w:r>
            <w:r w:rsidR="00A43EF3">
              <w:rPr>
                <w:noProof/>
                <w:webHidden/>
              </w:rPr>
              <w:instrText xml:space="preserve"> PAGEREF _Toc115255054 \h </w:instrText>
            </w:r>
            <w:r w:rsidR="00A43EF3">
              <w:rPr>
                <w:noProof/>
                <w:webHidden/>
              </w:rPr>
            </w:r>
            <w:r w:rsidR="00A43EF3">
              <w:rPr>
                <w:noProof/>
                <w:webHidden/>
              </w:rPr>
              <w:fldChar w:fldCharType="separate"/>
            </w:r>
            <w:r w:rsidR="00A43EF3">
              <w:rPr>
                <w:noProof/>
                <w:webHidden/>
              </w:rPr>
              <w:t>698</w:t>
            </w:r>
            <w:r w:rsidR="00A43EF3">
              <w:rPr>
                <w:noProof/>
                <w:webHidden/>
              </w:rPr>
              <w:fldChar w:fldCharType="end"/>
            </w:r>
          </w:hyperlink>
        </w:p>
        <w:p w14:paraId="7B1BE786" w14:textId="06A32C27" w:rsidR="00A43EF3" w:rsidRDefault="00000000">
          <w:pPr>
            <w:pStyle w:val="TOC2"/>
            <w:rPr>
              <w:rFonts w:asciiTheme="minorHAnsi" w:eastAsiaTheme="minorEastAsia" w:hAnsiTheme="minorHAnsi" w:cstheme="minorBidi"/>
              <w:smallCaps w:val="0"/>
              <w:noProof/>
              <w:color w:val="auto"/>
              <w:sz w:val="22"/>
              <w:szCs w:val="22"/>
              <w:lang w:val="bg-BG" w:eastAsia="bg-BG"/>
            </w:rPr>
          </w:pPr>
          <w:hyperlink w:anchor="_Toc115255055" w:history="1">
            <w:r w:rsidR="00A43EF3" w:rsidRPr="00672D00">
              <w:rPr>
                <w:rStyle w:val="Hyperlink"/>
                <w:rFonts w:eastAsia="Times New Roman"/>
                <w:b/>
                <w:i/>
                <w:noProof/>
                <w:lang w:val="bg-BG"/>
              </w:rPr>
              <w:t>10.3.</w:t>
            </w:r>
            <w:r w:rsidR="00A43EF3">
              <w:rPr>
                <w:rFonts w:asciiTheme="minorHAnsi" w:eastAsiaTheme="minorEastAsia" w:hAnsiTheme="minorHAnsi" w:cstheme="minorBidi"/>
                <w:smallCaps w:val="0"/>
                <w:noProof/>
                <w:color w:val="auto"/>
                <w:sz w:val="22"/>
                <w:szCs w:val="22"/>
                <w:lang w:val="bg-BG" w:eastAsia="bg-BG"/>
              </w:rPr>
              <w:tab/>
            </w:r>
            <w:r w:rsidR="00A43EF3" w:rsidRPr="00672D00">
              <w:rPr>
                <w:rStyle w:val="Hyperlink"/>
                <w:rFonts w:eastAsia="Times New Roman"/>
                <w:b/>
                <w:i/>
                <w:noProof/>
                <w:lang w:val="bg-BG"/>
              </w:rPr>
              <w:t>Трудности при събиране на необходимата информация, като технически недостатъци и липса на ноу-хау</w:t>
            </w:r>
            <w:r w:rsidR="00A43EF3">
              <w:rPr>
                <w:noProof/>
                <w:webHidden/>
              </w:rPr>
              <w:tab/>
            </w:r>
            <w:r w:rsidR="00A43EF3">
              <w:rPr>
                <w:noProof/>
                <w:webHidden/>
              </w:rPr>
              <w:fldChar w:fldCharType="begin"/>
            </w:r>
            <w:r w:rsidR="00A43EF3">
              <w:rPr>
                <w:noProof/>
                <w:webHidden/>
              </w:rPr>
              <w:instrText xml:space="preserve"> PAGEREF _Toc115255055 \h </w:instrText>
            </w:r>
            <w:r w:rsidR="00A43EF3">
              <w:rPr>
                <w:noProof/>
                <w:webHidden/>
              </w:rPr>
            </w:r>
            <w:r w:rsidR="00A43EF3">
              <w:rPr>
                <w:noProof/>
                <w:webHidden/>
              </w:rPr>
              <w:fldChar w:fldCharType="separate"/>
            </w:r>
            <w:r w:rsidR="00A43EF3">
              <w:rPr>
                <w:noProof/>
                <w:webHidden/>
              </w:rPr>
              <w:t>704</w:t>
            </w:r>
            <w:r w:rsidR="00A43EF3">
              <w:rPr>
                <w:noProof/>
                <w:webHidden/>
              </w:rPr>
              <w:fldChar w:fldCharType="end"/>
            </w:r>
          </w:hyperlink>
        </w:p>
        <w:p w14:paraId="788DEDAC" w14:textId="44568C12"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56" w:history="1">
            <w:r w:rsidR="00A43EF3" w:rsidRPr="00672D00">
              <w:rPr>
                <w:rStyle w:val="Hyperlink"/>
                <w:noProof/>
                <w:lang w:bidi="bg-BG"/>
              </w:rPr>
              <w:t>11.</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ОПИСАНИЕ НА НЕОБХОДИМИТЕ МЕРКИ ВЪВ ВРЪЗКА С НАБЛЮДЕНИЕТО ПО ВРЕМЕ НА ПРИЛАГАНЕТО НА СПРЗСР</w:t>
            </w:r>
            <w:r w:rsidR="00A43EF3">
              <w:rPr>
                <w:noProof/>
                <w:webHidden/>
              </w:rPr>
              <w:tab/>
            </w:r>
            <w:r w:rsidR="00A43EF3">
              <w:rPr>
                <w:noProof/>
                <w:webHidden/>
              </w:rPr>
              <w:fldChar w:fldCharType="begin"/>
            </w:r>
            <w:r w:rsidR="00A43EF3">
              <w:rPr>
                <w:noProof/>
                <w:webHidden/>
              </w:rPr>
              <w:instrText xml:space="preserve"> PAGEREF _Toc115255056 \h </w:instrText>
            </w:r>
            <w:r w:rsidR="00A43EF3">
              <w:rPr>
                <w:noProof/>
                <w:webHidden/>
              </w:rPr>
            </w:r>
            <w:r w:rsidR="00A43EF3">
              <w:rPr>
                <w:noProof/>
                <w:webHidden/>
              </w:rPr>
              <w:fldChar w:fldCharType="separate"/>
            </w:r>
            <w:r w:rsidR="00A43EF3">
              <w:rPr>
                <w:noProof/>
                <w:webHidden/>
              </w:rPr>
              <w:t>704</w:t>
            </w:r>
            <w:r w:rsidR="00A43EF3">
              <w:rPr>
                <w:noProof/>
                <w:webHidden/>
              </w:rPr>
              <w:fldChar w:fldCharType="end"/>
            </w:r>
          </w:hyperlink>
        </w:p>
        <w:p w14:paraId="77E3D232" w14:textId="7C541A3B"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57" w:history="1">
            <w:r w:rsidR="00A43EF3" w:rsidRPr="00672D00">
              <w:rPr>
                <w:rStyle w:val="Hyperlink"/>
                <w:noProof/>
                <w:lang w:bidi="bg-BG"/>
              </w:rPr>
              <w:t>12.</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ЗАКЛЮЧЕНИЕ НА ЕКОЛОГИЧНАТА ОЦЕНКА</w:t>
            </w:r>
            <w:r w:rsidR="00A43EF3">
              <w:rPr>
                <w:noProof/>
                <w:webHidden/>
              </w:rPr>
              <w:tab/>
            </w:r>
            <w:r w:rsidR="00A43EF3">
              <w:rPr>
                <w:noProof/>
                <w:webHidden/>
              </w:rPr>
              <w:fldChar w:fldCharType="begin"/>
            </w:r>
            <w:r w:rsidR="00A43EF3">
              <w:rPr>
                <w:noProof/>
                <w:webHidden/>
              </w:rPr>
              <w:instrText xml:space="preserve"> PAGEREF _Toc115255057 \h </w:instrText>
            </w:r>
            <w:r w:rsidR="00A43EF3">
              <w:rPr>
                <w:noProof/>
                <w:webHidden/>
              </w:rPr>
            </w:r>
            <w:r w:rsidR="00A43EF3">
              <w:rPr>
                <w:noProof/>
                <w:webHidden/>
              </w:rPr>
              <w:fldChar w:fldCharType="separate"/>
            </w:r>
            <w:r w:rsidR="00A43EF3">
              <w:rPr>
                <w:noProof/>
                <w:webHidden/>
              </w:rPr>
              <w:t>706</w:t>
            </w:r>
            <w:r w:rsidR="00A43EF3">
              <w:rPr>
                <w:noProof/>
                <w:webHidden/>
              </w:rPr>
              <w:fldChar w:fldCharType="end"/>
            </w:r>
          </w:hyperlink>
        </w:p>
        <w:p w14:paraId="7A03CBF6" w14:textId="01F8211F"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58" w:history="1">
            <w:r w:rsidR="00A43EF3" w:rsidRPr="00672D00">
              <w:rPr>
                <w:rStyle w:val="Hyperlink"/>
                <w:noProof/>
                <w:lang w:bidi="bg-BG"/>
              </w:rPr>
              <w:t>13.</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СПРАВКА ЗА РЕЗУЛТАТИТЕ ОТ ПРОВЕДЕНИТЕ КОНСУЛТАЦИИ В ПРОЦЕСА НА ИЗГОТВЯНЕ НА СПРЗСР И ИЗВЪРШВАНЕ НА ЕКОЛОГИЧНАТА ОЦЕНКА</w:t>
            </w:r>
            <w:r w:rsidR="00A43EF3">
              <w:rPr>
                <w:noProof/>
                <w:webHidden/>
              </w:rPr>
              <w:tab/>
            </w:r>
            <w:r w:rsidR="00A43EF3">
              <w:rPr>
                <w:noProof/>
                <w:webHidden/>
              </w:rPr>
              <w:fldChar w:fldCharType="begin"/>
            </w:r>
            <w:r w:rsidR="00A43EF3">
              <w:rPr>
                <w:noProof/>
                <w:webHidden/>
              </w:rPr>
              <w:instrText xml:space="preserve"> PAGEREF _Toc115255058 \h </w:instrText>
            </w:r>
            <w:r w:rsidR="00A43EF3">
              <w:rPr>
                <w:noProof/>
                <w:webHidden/>
              </w:rPr>
            </w:r>
            <w:r w:rsidR="00A43EF3">
              <w:rPr>
                <w:noProof/>
                <w:webHidden/>
              </w:rPr>
              <w:fldChar w:fldCharType="separate"/>
            </w:r>
            <w:r w:rsidR="00A43EF3">
              <w:rPr>
                <w:noProof/>
                <w:webHidden/>
              </w:rPr>
              <w:t>708</w:t>
            </w:r>
            <w:r w:rsidR="00A43EF3">
              <w:rPr>
                <w:noProof/>
                <w:webHidden/>
              </w:rPr>
              <w:fldChar w:fldCharType="end"/>
            </w:r>
          </w:hyperlink>
        </w:p>
        <w:p w14:paraId="7EB489AF" w14:textId="6671C816" w:rsidR="00A43EF3" w:rsidRDefault="00000000">
          <w:pPr>
            <w:pStyle w:val="TOC3"/>
            <w:rPr>
              <w:rFonts w:asciiTheme="minorHAnsi" w:eastAsiaTheme="minorEastAsia" w:hAnsiTheme="minorHAnsi" w:cstheme="minorBidi"/>
              <w:i w:val="0"/>
              <w:smallCaps w:val="0"/>
              <w:noProof/>
              <w:color w:val="auto"/>
              <w:sz w:val="22"/>
              <w:szCs w:val="22"/>
              <w:lang w:val="bg-BG" w:eastAsia="bg-BG"/>
            </w:rPr>
          </w:pPr>
          <w:hyperlink w:anchor="_Toc115255059" w:history="1">
            <w:r w:rsidR="00A43EF3" w:rsidRPr="00672D00">
              <w:rPr>
                <w:rStyle w:val="Hyperlink"/>
                <w:rFonts w:eastAsia="Times New Roman"/>
                <w:b/>
                <w:noProof/>
                <w:lang w:val="bg-BG"/>
              </w:rPr>
              <w:t>13.1.</w:t>
            </w:r>
            <w:r w:rsidR="00A43EF3">
              <w:rPr>
                <w:rFonts w:asciiTheme="minorHAnsi" w:eastAsiaTheme="minorEastAsia" w:hAnsiTheme="minorHAnsi" w:cstheme="minorBidi"/>
                <w:i w:val="0"/>
                <w:smallCaps w:val="0"/>
                <w:noProof/>
                <w:color w:val="auto"/>
                <w:sz w:val="22"/>
                <w:szCs w:val="22"/>
                <w:lang w:val="bg-BG" w:eastAsia="bg-BG"/>
              </w:rPr>
              <w:tab/>
            </w:r>
            <w:r w:rsidR="00A43EF3" w:rsidRPr="00672D00">
              <w:rPr>
                <w:rStyle w:val="Hyperlink"/>
                <w:rFonts w:eastAsia="Times New Roman"/>
                <w:b/>
                <w:noProof/>
                <w:lang w:val="bg-BG"/>
              </w:rPr>
              <w:t>Резултати от консултациите по Заданието за определяне на обхвата и съдържанието на ДЕО</w:t>
            </w:r>
            <w:r w:rsidR="00A43EF3">
              <w:rPr>
                <w:noProof/>
                <w:webHidden/>
              </w:rPr>
              <w:tab/>
            </w:r>
            <w:r w:rsidR="00A43EF3">
              <w:rPr>
                <w:noProof/>
                <w:webHidden/>
              </w:rPr>
              <w:fldChar w:fldCharType="begin"/>
            </w:r>
            <w:r w:rsidR="00A43EF3">
              <w:rPr>
                <w:noProof/>
                <w:webHidden/>
              </w:rPr>
              <w:instrText xml:space="preserve"> PAGEREF _Toc115255059 \h </w:instrText>
            </w:r>
            <w:r w:rsidR="00A43EF3">
              <w:rPr>
                <w:noProof/>
                <w:webHidden/>
              </w:rPr>
            </w:r>
            <w:r w:rsidR="00A43EF3">
              <w:rPr>
                <w:noProof/>
                <w:webHidden/>
              </w:rPr>
              <w:fldChar w:fldCharType="separate"/>
            </w:r>
            <w:r w:rsidR="00A43EF3">
              <w:rPr>
                <w:noProof/>
                <w:webHidden/>
              </w:rPr>
              <w:t>711</w:t>
            </w:r>
            <w:r w:rsidR="00A43EF3">
              <w:rPr>
                <w:noProof/>
                <w:webHidden/>
              </w:rPr>
              <w:fldChar w:fldCharType="end"/>
            </w:r>
          </w:hyperlink>
        </w:p>
        <w:p w14:paraId="6F12FF60" w14:textId="776093B7"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60" w:history="1">
            <w:r w:rsidR="00A43EF3" w:rsidRPr="00672D00">
              <w:rPr>
                <w:rStyle w:val="Hyperlink"/>
                <w:noProof/>
                <w:lang w:bidi="bg-BG"/>
              </w:rPr>
              <w:t>13.</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ПРИЛОЖЕНИЯ</w:t>
            </w:r>
            <w:r w:rsidR="00A43EF3">
              <w:rPr>
                <w:noProof/>
                <w:webHidden/>
              </w:rPr>
              <w:tab/>
            </w:r>
            <w:r w:rsidR="00A43EF3">
              <w:rPr>
                <w:noProof/>
                <w:webHidden/>
              </w:rPr>
              <w:fldChar w:fldCharType="begin"/>
            </w:r>
            <w:r w:rsidR="00A43EF3">
              <w:rPr>
                <w:noProof/>
                <w:webHidden/>
              </w:rPr>
              <w:instrText xml:space="preserve"> PAGEREF _Toc115255060 \h </w:instrText>
            </w:r>
            <w:r w:rsidR="00A43EF3">
              <w:rPr>
                <w:noProof/>
                <w:webHidden/>
              </w:rPr>
            </w:r>
            <w:r w:rsidR="00A43EF3">
              <w:rPr>
                <w:noProof/>
                <w:webHidden/>
              </w:rPr>
              <w:fldChar w:fldCharType="separate"/>
            </w:r>
            <w:r w:rsidR="00A43EF3">
              <w:rPr>
                <w:noProof/>
                <w:webHidden/>
              </w:rPr>
              <w:t>754</w:t>
            </w:r>
            <w:r w:rsidR="00A43EF3">
              <w:rPr>
                <w:noProof/>
                <w:webHidden/>
              </w:rPr>
              <w:fldChar w:fldCharType="end"/>
            </w:r>
          </w:hyperlink>
        </w:p>
        <w:p w14:paraId="46DBE901" w14:textId="6CC8F4F4" w:rsidR="00A43EF3" w:rsidRDefault="00000000">
          <w:pPr>
            <w:pStyle w:val="TOC1"/>
            <w:tabs>
              <w:tab w:val="left" w:pos="709"/>
              <w:tab w:val="right" w:leader="dot" w:pos="9628"/>
            </w:tabs>
            <w:rPr>
              <w:rFonts w:asciiTheme="minorHAnsi" w:eastAsiaTheme="minorEastAsia" w:hAnsiTheme="minorHAnsi"/>
              <w:b w:val="0"/>
              <w:noProof/>
              <w:color w:val="auto"/>
              <w:sz w:val="22"/>
              <w:lang w:eastAsia="bg-BG"/>
            </w:rPr>
          </w:pPr>
          <w:hyperlink w:anchor="_Toc115255061" w:history="1">
            <w:r w:rsidR="00A43EF3" w:rsidRPr="00672D00">
              <w:rPr>
                <w:rStyle w:val="Hyperlink"/>
                <w:noProof/>
                <w:lang w:bidi="bg-BG"/>
              </w:rPr>
              <w:t>14.</w:t>
            </w:r>
            <w:r w:rsidR="00A43EF3">
              <w:rPr>
                <w:rFonts w:asciiTheme="minorHAnsi" w:eastAsiaTheme="minorEastAsia" w:hAnsiTheme="minorHAnsi"/>
                <w:b w:val="0"/>
                <w:noProof/>
                <w:color w:val="auto"/>
                <w:sz w:val="22"/>
                <w:lang w:eastAsia="bg-BG"/>
              </w:rPr>
              <w:tab/>
            </w:r>
            <w:r w:rsidR="00A43EF3" w:rsidRPr="00672D00">
              <w:rPr>
                <w:rStyle w:val="Hyperlink"/>
                <w:noProof/>
                <w:lang w:bidi="bg-BG"/>
              </w:rPr>
              <w:t>НЕТЕХНИЧЕСКО РЕЗЮМЕ</w:t>
            </w:r>
            <w:r w:rsidR="00A43EF3">
              <w:rPr>
                <w:noProof/>
                <w:webHidden/>
              </w:rPr>
              <w:tab/>
            </w:r>
            <w:r w:rsidR="00A43EF3">
              <w:rPr>
                <w:noProof/>
                <w:webHidden/>
              </w:rPr>
              <w:fldChar w:fldCharType="begin"/>
            </w:r>
            <w:r w:rsidR="00A43EF3">
              <w:rPr>
                <w:noProof/>
                <w:webHidden/>
              </w:rPr>
              <w:instrText xml:space="preserve"> PAGEREF _Toc115255061 \h </w:instrText>
            </w:r>
            <w:r w:rsidR="00A43EF3">
              <w:rPr>
                <w:noProof/>
                <w:webHidden/>
              </w:rPr>
            </w:r>
            <w:r w:rsidR="00A43EF3">
              <w:rPr>
                <w:noProof/>
                <w:webHidden/>
              </w:rPr>
              <w:fldChar w:fldCharType="separate"/>
            </w:r>
            <w:r w:rsidR="00A43EF3">
              <w:rPr>
                <w:noProof/>
                <w:webHidden/>
              </w:rPr>
              <w:t>754</w:t>
            </w:r>
            <w:r w:rsidR="00A43EF3">
              <w:rPr>
                <w:noProof/>
                <w:webHidden/>
              </w:rPr>
              <w:fldChar w:fldCharType="end"/>
            </w:r>
          </w:hyperlink>
        </w:p>
        <w:p w14:paraId="3FB350D2" w14:textId="7D86B130" w:rsidR="00983EC6" w:rsidRPr="009F6D1E" w:rsidRDefault="003F3D71" w:rsidP="0084747F">
          <w:pPr>
            <w:spacing w:after="60" w:line="264" w:lineRule="auto"/>
            <w:rPr>
              <w:rFonts w:cs="Times New Roman"/>
            </w:rPr>
          </w:pPr>
          <w:r w:rsidRPr="009F6D1E">
            <w:rPr>
              <w:rFonts w:cs="Times New Roman"/>
              <w:b/>
              <w:bCs/>
              <w:noProof/>
            </w:rPr>
            <w:fldChar w:fldCharType="end"/>
          </w:r>
        </w:p>
      </w:sdtContent>
    </w:sdt>
    <w:p w14:paraId="5D304ECC" w14:textId="77777777" w:rsidR="005E6ACF" w:rsidRPr="009F6D1E" w:rsidRDefault="005E6ACF"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t>СПИСЪК НА ФИГУРИТЕ:</w:t>
      </w:r>
    </w:p>
    <w:p w14:paraId="3463FC3B" w14:textId="6B0C0DA0" w:rsidR="00A43EF3" w:rsidRDefault="003F3D71">
      <w:pPr>
        <w:pStyle w:val="TableofFigures"/>
        <w:tabs>
          <w:tab w:val="right" w:leader="dot" w:pos="9628"/>
        </w:tabs>
        <w:rPr>
          <w:rFonts w:asciiTheme="minorHAnsi" w:eastAsiaTheme="minorEastAsia" w:hAnsiTheme="minorHAnsi"/>
          <w:smallCaps w:val="0"/>
          <w:noProof/>
          <w:color w:val="auto"/>
          <w:sz w:val="22"/>
          <w:lang w:eastAsia="bg-BG"/>
        </w:rPr>
      </w:pPr>
      <w:r w:rsidRPr="009F6D1E">
        <w:rPr>
          <w:rFonts w:eastAsia="Calibri" w:cs="Times New Roman"/>
          <w:b/>
          <w:bCs/>
          <w:i/>
          <w:iCs/>
          <w:sz w:val="24"/>
          <w:szCs w:val="24"/>
        </w:rPr>
        <w:fldChar w:fldCharType="begin"/>
      </w:r>
      <w:r w:rsidR="005E6ACF" w:rsidRPr="009F6D1E">
        <w:rPr>
          <w:rFonts w:eastAsia="Calibri" w:cs="Times New Roman"/>
          <w:b/>
          <w:bCs/>
          <w:i/>
          <w:iCs/>
          <w:sz w:val="24"/>
          <w:szCs w:val="24"/>
        </w:rPr>
        <w:instrText xml:space="preserve"> TOC \h \z \c "Фигура" </w:instrText>
      </w:r>
      <w:r w:rsidRPr="009F6D1E">
        <w:rPr>
          <w:rFonts w:eastAsia="Calibri" w:cs="Times New Roman"/>
          <w:b/>
          <w:bCs/>
          <w:i/>
          <w:iCs/>
          <w:sz w:val="24"/>
          <w:szCs w:val="24"/>
        </w:rPr>
        <w:fldChar w:fldCharType="separate"/>
      </w:r>
      <w:hyperlink w:anchor="_Toc115255062" w:history="1">
        <w:r w:rsidR="00A43EF3" w:rsidRPr="006F5EF0">
          <w:rPr>
            <w:rStyle w:val="Hyperlink"/>
            <w:noProof/>
          </w:rPr>
          <w:t>Фигура 1: Климатични райони в България</w:t>
        </w:r>
        <w:r w:rsidR="00A43EF3">
          <w:rPr>
            <w:noProof/>
            <w:webHidden/>
          </w:rPr>
          <w:tab/>
        </w:r>
        <w:r w:rsidR="00A43EF3">
          <w:rPr>
            <w:noProof/>
            <w:webHidden/>
          </w:rPr>
          <w:fldChar w:fldCharType="begin"/>
        </w:r>
        <w:r w:rsidR="00A43EF3">
          <w:rPr>
            <w:noProof/>
            <w:webHidden/>
          </w:rPr>
          <w:instrText xml:space="preserve"> PAGEREF _Toc115255062 \h </w:instrText>
        </w:r>
        <w:r w:rsidR="00A43EF3">
          <w:rPr>
            <w:noProof/>
            <w:webHidden/>
          </w:rPr>
        </w:r>
        <w:r w:rsidR="00A43EF3">
          <w:rPr>
            <w:noProof/>
            <w:webHidden/>
          </w:rPr>
          <w:fldChar w:fldCharType="separate"/>
        </w:r>
        <w:r w:rsidR="00A43EF3">
          <w:rPr>
            <w:noProof/>
            <w:webHidden/>
          </w:rPr>
          <w:t>157</w:t>
        </w:r>
        <w:r w:rsidR="00A43EF3">
          <w:rPr>
            <w:noProof/>
            <w:webHidden/>
          </w:rPr>
          <w:fldChar w:fldCharType="end"/>
        </w:r>
      </w:hyperlink>
    </w:p>
    <w:p w14:paraId="7AD024D8" w14:textId="7E797E6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3" w:history="1">
        <w:r w:rsidR="00A43EF3" w:rsidRPr="006F5EF0">
          <w:rPr>
            <w:rStyle w:val="Hyperlink"/>
            <w:noProof/>
          </w:rPr>
          <w:t>Фигура 2:  Колебания на средната годишна температура на въздуха (</w:t>
        </w:r>
        <w:r w:rsidR="00A43EF3" w:rsidRPr="006F5EF0">
          <w:rPr>
            <w:rStyle w:val="Hyperlink"/>
            <w:noProof/>
          </w:rPr>
          <w:sym w:font="Symbol" w:char="F0B0"/>
        </w:r>
        <w:r w:rsidR="00A43EF3" w:rsidRPr="006F5EF0">
          <w:rPr>
            <w:rStyle w:val="Hyperlink"/>
            <w:noProof/>
          </w:rPr>
          <w:t>С) през периода 1988-2020г.</w:t>
        </w:r>
        <w:r w:rsidR="00A43EF3">
          <w:rPr>
            <w:noProof/>
            <w:webHidden/>
          </w:rPr>
          <w:tab/>
        </w:r>
        <w:r w:rsidR="00A43EF3">
          <w:rPr>
            <w:noProof/>
            <w:webHidden/>
          </w:rPr>
          <w:fldChar w:fldCharType="begin"/>
        </w:r>
        <w:r w:rsidR="00A43EF3">
          <w:rPr>
            <w:noProof/>
            <w:webHidden/>
          </w:rPr>
          <w:instrText xml:space="preserve"> PAGEREF _Toc115255063 \h </w:instrText>
        </w:r>
        <w:r w:rsidR="00A43EF3">
          <w:rPr>
            <w:noProof/>
            <w:webHidden/>
          </w:rPr>
        </w:r>
        <w:r w:rsidR="00A43EF3">
          <w:rPr>
            <w:noProof/>
            <w:webHidden/>
          </w:rPr>
          <w:fldChar w:fldCharType="separate"/>
        </w:r>
        <w:r w:rsidR="00A43EF3">
          <w:rPr>
            <w:noProof/>
            <w:webHidden/>
          </w:rPr>
          <w:t>159</w:t>
        </w:r>
        <w:r w:rsidR="00A43EF3">
          <w:rPr>
            <w:noProof/>
            <w:webHidden/>
          </w:rPr>
          <w:fldChar w:fldCharType="end"/>
        </w:r>
      </w:hyperlink>
    </w:p>
    <w:p w14:paraId="1E226244" w14:textId="2684D4D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4" w:history="1">
        <w:r w:rsidR="00A43EF3" w:rsidRPr="006F5EF0">
          <w:rPr>
            <w:rStyle w:val="Hyperlink"/>
            <w:noProof/>
          </w:rPr>
          <w:t>Фигура 3: Отклонения на средната годишна температура на въздуха (в °С) през 2020 г. спрямо климатичните норми 1961-1990 г.</w:t>
        </w:r>
        <w:r w:rsidR="00A43EF3">
          <w:rPr>
            <w:noProof/>
            <w:webHidden/>
          </w:rPr>
          <w:tab/>
        </w:r>
        <w:r w:rsidR="00A43EF3">
          <w:rPr>
            <w:noProof/>
            <w:webHidden/>
          </w:rPr>
          <w:fldChar w:fldCharType="begin"/>
        </w:r>
        <w:r w:rsidR="00A43EF3">
          <w:rPr>
            <w:noProof/>
            <w:webHidden/>
          </w:rPr>
          <w:instrText xml:space="preserve"> PAGEREF _Toc115255064 \h </w:instrText>
        </w:r>
        <w:r w:rsidR="00A43EF3">
          <w:rPr>
            <w:noProof/>
            <w:webHidden/>
          </w:rPr>
        </w:r>
        <w:r w:rsidR="00A43EF3">
          <w:rPr>
            <w:noProof/>
            <w:webHidden/>
          </w:rPr>
          <w:fldChar w:fldCharType="separate"/>
        </w:r>
        <w:r w:rsidR="00A43EF3">
          <w:rPr>
            <w:noProof/>
            <w:webHidden/>
          </w:rPr>
          <w:t>160</w:t>
        </w:r>
        <w:r w:rsidR="00A43EF3">
          <w:rPr>
            <w:noProof/>
            <w:webHidden/>
          </w:rPr>
          <w:fldChar w:fldCharType="end"/>
        </w:r>
      </w:hyperlink>
    </w:p>
    <w:p w14:paraId="28207E7B" w14:textId="3BB7D20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5" w:history="1">
        <w:r w:rsidR="00A43EF3" w:rsidRPr="006F5EF0">
          <w:rPr>
            <w:rStyle w:val="Hyperlink"/>
            <w:noProof/>
          </w:rPr>
          <w:t>Фигура 4:  Колебания на средногодишната сума на валежа (в mm) в периода 1988-2020г.</w:t>
        </w:r>
        <w:r w:rsidR="00A43EF3">
          <w:rPr>
            <w:noProof/>
            <w:webHidden/>
          </w:rPr>
          <w:tab/>
        </w:r>
        <w:r w:rsidR="00A43EF3">
          <w:rPr>
            <w:noProof/>
            <w:webHidden/>
          </w:rPr>
          <w:fldChar w:fldCharType="begin"/>
        </w:r>
        <w:r w:rsidR="00A43EF3">
          <w:rPr>
            <w:noProof/>
            <w:webHidden/>
          </w:rPr>
          <w:instrText xml:space="preserve"> PAGEREF _Toc115255065 \h </w:instrText>
        </w:r>
        <w:r w:rsidR="00A43EF3">
          <w:rPr>
            <w:noProof/>
            <w:webHidden/>
          </w:rPr>
        </w:r>
        <w:r w:rsidR="00A43EF3">
          <w:rPr>
            <w:noProof/>
            <w:webHidden/>
          </w:rPr>
          <w:fldChar w:fldCharType="separate"/>
        </w:r>
        <w:r w:rsidR="00A43EF3">
          <w:rPr>
            <w:noProof/>
            <w:webHidden/>
          </w:rPr>
          <w:t>160</w:t>
        </w:r>
        <w:r w:rsidR="00A43EF3">
          <w:rPr>
            <w:noProof/>
            <w:webHidden/>
          </w:rPr>
          <w:fldChar w:fldCharType="end"/>
        </w:r>
      </w:hyperlink>
    </w:p>
    <w:p w14:paraId="01A0FBDF" w14:textId="732AF38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6" w:history="1">
        <w:r w:rsidR="00A43EF3" w:rsidRPr="006F5EF0">
          <w:rPr>
            <w:rStyle w:val="Hyperlink"/>
            <w:noProof/>
          </w:rPr>
          <w:t xml:space="preserve">Фигура 5: </w:t>
        </w:r>
        <w:r w:rsidR="00A43EF3" w:rsidRPr="006F5EF0">
          <w:rPr>
            <w:rStyle w:val="Hyperlink"/>
            <w:rFonts w:eastAsia="Times New Roman"/>
            <w:noProof/>
          </w:rPr>
          <w:t xml:space="preserve"> </w:t>
        </w:r>
        <w:r w:rsidR="00A43EF3" w:rsidRPr="006F5EF0">
          <w:rPr>
            <w:rStyle w:val="Hyperlink"/>
            <w:noProof/>
          </w:rPr>
          <w:t>Отклонения на годишния валеж в % през 2020 г. спрямо климатичните норми 1961-1990 г.</w:t>
        </w:r>
        <w:r w:rsidR="00A43EF3">
          <w:rPr>
            <w:noProof/>
            <w:webHidden/>
          </w:rPr>
          <w:tab/>
        </w:r>
        <w:r w:rsidR="00A43EF3">
          <w:rPr>
            <w:noProof/>
            <w:webHidden/>
          </w:rPr>
          <w:fldChar w:fldCharType="begin"/>
        </w:r>
        <w:r w:rsidR="00A43EF3">
          <w:rPr>
            <w:noProof/>
            <w:webHidden/>
          </w:rPr>
          <w:instrText xml:space="preserve"> PAGEREF _Toc115255066 \h </w:instrText>
        </w:r>
        <w:r w:rsidR="00A43EF3">
          <w:rPr>
            <w:noProof/>
            <w:webHidden/>
          </w:rPr>
        </w:r>
        <w:r w:rsidR="00A43EF3">
          <w:rPr>
            <w:noProof/>
            <w:webHidden/>
          </w:rPr>
          <w:fldChar w:fldCharType="separate"/>
        </w:r>
        <w:r w:rsidR="00A43EF3">
          <w:rPr>
            <w:noProof/>
            <w:webHidden/>
          </w:rPr>
          <w:t>161</w:t>
        </w:r>
        <w:r w:rsidR="00A43EF3">
          <w:rPr>
            <w:noProof/>
            <w:webHidden/>
          </w:rPr>
          <w:fldChar w:fldCharType="end"/>
        </w:r>
      </w:hyperlink>
    </w:p>
    <w:p w14:paraId="17EB3C8E" w14:textId="0F08A13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7" w:history="1">
        <w:r w:rsidR="00A43EF3" w:rsidRPr="006F5EF0">
          <w:rPr>
            <w:rStyle w:val="Hyperlink"/>
            <w:noProof/>
          </w:rPr>
          <w:t>Фигура 6 :</w:t>
        </w:r>
        <w:r w:rsidR="00A43EF3" w:rsidRPr="006F5EF0">
          <w:rPr>
            <w:rStyle w:val="Hyperlink"/>
            <w:rFonts w:eastAsia="Times New Roman"/>
            <w:noProof/>
            <w:lang w:bidi="bg-BG"/>
          </w:rPr>
          <w:t xml:space="preserve"> Тенденция на емисиите на основните ПГ – CO</w:t>
        </w:r>
        <w:r w:rsidR="00A43EF3" w:rsidRPr="006F5EF0">
          <w:rPr>
            <w:rStyle w:val="Hyperlink"/>
            <w:rFonts w:eastAsia="Times New Roman"/>
            <w:noProof/>
            <w:vertAlign w:val="subscript"/>
            <w:lang w:bidi="bg-BG"/>
          </w:rPr>
          <w:t>2</w:t>
        </w:r>
        <w:r w:rsidR="00A43EF3" w:rsidRPr="006F5EF0">
          <w:rPr>
            <w:rStyle w:val="Hyperlink"/>
            <w:rFonts w:eastAsia="Times New Roman"/>
            <w:noProof/>
            <w:lang w:bidi="bg-BG"/>
          </w:rPr>
          <w:t>, CH</w:t>
        </w:r>
        <w:r w:rsidR="00A43EF3" w:rsidRPr="006F5EF0">
          <w:rPr>
            <w:rStyle w:val="Hyperlink"/>
            <w:rFonts w:eastAsia="Times New Roman"/>
            <w:noProof/>
            <w:vertAlign w:val="subscript"/>
            <w:lang w:bidi="bg-BG"/>
          </w:rPr>
          <w:t>4</w:t>
        </w:r>
        <w:r w:rsidR="00A43EF3" w:rsidRPr="006F5EF0">
          <w:rPr>
            <w:rStyle w:val="Hyperlink"/>
            <w:rFonts w:eastAsia="Times New Roman"/>
            <w:noProof/>
            <w:lang w:bidi="bg-BG"/>
          </w:rPr>
          <w:t xml:space="preserve"> и N</w:t>
        </w:r>
        <w:r w:rsidR="00A43EF3" w:rsidRPr="006F5EF0">
          <w:rPr>
            <w:rStyle w:val="Hyperlink"/>
            <w:rFonts w:eastAsia="Times New Roman"/>
            <w:noProof/>
            <w:vertAlign w:val="subscript"/>
            <w:lang w:bidi="bg-BG"/>
          </w:rPr>
          <w:t>2</w:t>
        </w:r>
        <w:r w:rsidR="00A43EF3" w:rsidRPr="006F5EF0">
          <w:rPr>
            <w:rStyle w:val="Hyperlink"/>
            <w:rFonts w:eastAsia="Times New Roman"/>
            <w:noProof/>
            <w:lang w:bidi="bg-BG"/>
          </w:rPr>
          <w:t>O и общата емисия на ПГ (в това число HFCs, PFCs и SF6) за периода 1988-2020 г., Gg CO</w:t>
        </w:r>
        <w:r w:rsidR="00A43EF3" w:rsidRPr="006F5EF0">
          <w:rPr>
            <w:rStyle w:val="Hyperlink"/>
            <w:rFonts w:eastAsia="Times New Roman"/>
            <w:noProof/>
            <w:vertAlign w:val="subscript"/>
            <w:lang w:bidi="bg-BG"/>
          </w:rPr>
          <w:t>2</w:t>
        </w:r>
        <w:r w:rsidR="00A43EF3" w:rsidRPr="006F5EF0">
          <w:rPr>
            <w:rStyle w:val="Hyperlink"/>
            <w:rFonts w:eastAsia="Times New Roman"/>
            <w:noProof/>
            <w:lang w:bidi="bg-BG"/>
          </w:rPr>
          <w:t xml:space="preserve"> - екв.</w:t>
        </w:r>
        <w:r w:rsidR="00A43EF3">
          <w:rPr>
            <w:noProof/>
            <w:webHidden/>
          </w:rPr>
          <w:tab/>
        </w:r>
        <w:r w:rsidR="00A43EF3">
          <w:rPr>
            <w:noProof/>
            <w:webHidden/>
          </w:rPr>
          <w:fldChar w:fldCharType="begin"/>
        </w:r>
        <w:r w:rsidR="00A43EF3">
          <w:rPr>
            <w:noProof/>
            <w:webHidden/>
          </w:rPr>
          <w:instrText xml:space="preserve"> PAGEREF _Toc115255067 \h </w:instrText>
        </w:r>
        <w:r w:rsidR="00A43EF3">
          <w:rPr>
            <w:noProof/>
            <w:webHidden/>
          </w:rPr>
        </w:r>
        <w:r w:rsidR="00A43EF3">
          <w:rPr>
            <w:noProof/>
            <w:webHidden/>
          </w:rPr>
          <w:fldChar w:fldCharType="separate"/>
        </w:r>
        <w:r w:rsidR="00A43EF3">
          <w:rPr>
            <w:noProof/>
            <w:webHidden/>
          </w:rPr>
          <w:t>163</w:t>
        </w:r>
        <w:r w:rsidR="00A43EF3">
          <w:rPr>
            <w:noProof/>
            <w:webHidden/>
          </w:rPr>
          <w:fldChar w:fldCharType="end"/>
        </w:r>
      </w:hyperlink>
    </w:p>
    <w:p w14:paraId="367EE350" w14:textId="7D979ED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8" w:history="1">
        <w:r w:rsidR="00A43EF3" w:rsidRPr="006F5EF0">
          <w:rPr>
            <w:rStyle w:val="Hyperlink"/>
            <w:noProof/>
          </w:rPr>
          <w:t>Фигура 7:</w:t>
        </w:r>
        <w:r w:rsidR="00A43EF3" w:rsidRPr="006F5EF0">
          <w:rPr>
            <w:rStyle w:val="Hyperlink"/>
            <w:rFonts w:eastAsia="Times New Roman"/>
            <w:noProof/>
            <w:lang w:bidi="bg-BG"/>
          </w:rPr>
          <w:t xml:space="preserve"> Общи емисии на парникови газове по сектори за периода 1988 – 2020 г., Gg CO</w:t>
        </w:r>
        <w:r w:rsidR="00A43EF3" w:rsidRPr="006F5EF0">
          <w:rPr>
            <w:rStyle w:val="Hyperlink"/>
            <w:rFonts w:eastAsia="Times New Roman"/>
            <w:noProof/>
            <w:vertAlign w:val="subscript"/>
            <w:lang w:bidi="bg-BG"/>
          </w:rPr>
          <w:t xml:space="preserve">2 </w:t>
        </w:r>
        <w:r w:rsidR="00A43EF3" w:rsidRPr="006F5EF0">
          <w:rPr>
            <w:rStyle w:val="Hyperlink"/>
            <w:rFonts w:eastAsia="Times New Roman"/>
            <w:noProof/>
            <w:lang w:bidi="bg-BG"/>
          </w:rPr>
          <w:t>- екв.</w:t>
        </w:r>
        <w:r w:rsidR="00A43EF3">
          <w:rPr>
            <w:noProof/>
            <w:webHidden/>
          </w:rPr>
          <w:tab/>
        </w:r>
        <w:r w:rsidR="00A43EF3">
          <w:rPr>
            <w:noProof/>
            <w:webHidden/>
          </w:rPr>
          <w:fldChar w:fldCharType="begin"/>
        </w:r>
        <w:r w:rsidR="00A43EF3">
          <w:rPr>
            <w:noProof/>
            <w:webHidden/>
          </w:rPr>
          <w:instrText xml:space="preserve"> PAGEREF _Toc115255068 \h </w:instrText>
        </w:r>
        <w:r w:rsidR="00A43EF3">
          <w:rPr>
            <w:noProof/>
            <w:webHidden/>
          </w:rPr>
        </w:r>
        <w:r w:rsidR="00A43EF3">
          <w:rPr>
            <w:noProof/>
            <w:webHidden/>
          </w:rPr>
          <w:fldChar w:fldCharType="separate"/>
        </w:r>
        <w:r w:rsidR="00A43EF3">
          <w:rPr>
            <w:noProof/>
            <w:webHidden/>
          </w:rPr>
          <w:t>166</w:t>
        </w:r>
        <w:r w:rsidR="00A43EF3">
          <w:rPr>
            <w:noProof/>
            <w:webHidden/>
          </w:rPr>
          <w:fldChar w:fldCharType="end"/>
        </w:r>
      </w:hyperlink>
    </w:p>
    <w:p w14:paraId="3CE33D3B" w14:textId="09FD29B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69" w:history="1">
        <w:r w:rsidR="00A43EF3" w:rsidRPr="006F5EF0">
          <w:rPr>
            <w:rStyle w:val="Hyperlink"/>
            <w:noProof/>
          </w:rPr>
          <w:t>Фигура 8:</w:t>
        </w:r>
        <w:r w:rsidR="00A43EF3" w:rsidRPr="006F5EF0">
          <w:rPr>
            <w:rStyle w:val="Hyperlink"/>
            <w:rFonts w:eastAsia="Times New Roman"/>
            <w:noProof/>
            <w:lang w:bidi="bg-BG"/>
          </w:rPr>
          <w:t xml:space="preserve"> Дял на основните източници на емисии на ПГ през 2020 г., %</w:t>
        </w:r>
        <w:r w:rsidR="00A43EF3">
          <w:rPr>
            <w:noProof/>
            <w:webHidden/>
          </w:rPr>
          <w:tab/>
        </w:r>
        <w:r w:rsidR="00A43EF3">
          <w:rPr>
            <w:noProof/>
            <w:webHidden/>
          </w:rPr>
          <w:fldChar w:fldCharType="begin"/>
        </w:r>
        <w:r w:rsidR="00A43EF3">
          <w:rPr>
            <w:noProof/>
            <w:webHidden/>
          </w:rPr>
          <w:instrText xml:space="preserve"> PAGEREF _Toc115255069 \h </w:instrText>
        </w:r>
        <w:r w:rsidR="00A43EF3">
          <w:rPr>
            <w:noProof/>
            <w:webHidden/>
          </w:rPr>
        </w:r>
        <w:r w:rsidR="00A43EF3">
          <w:rPr>
            <w:noProof/>
            <w:webHidden/>
          </w:rPr>
          <w:fldChar w:fldCharType="separate"/>
        </w:r>
        <w:r w:rsidR="00A43EF3">
          <w:rPr>
            <w:noProof/>
            <w:webHidden/>
          </w:rPr>
          <w:t>167</w:t>
        </w:r>
        <w:r w:rsidR="00A43EF3">
          <w:rPr>
            <w:noProof/>
            <w:webHidden/>
          </w:rPr>
          <w:fldChar w:fldCharType="end"/>
        </w:r>
      </w:hyperlink>
    </w:p>
    <w:p w14:paraId="74B0D566" w14:textId="033D797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0" w:history="1">
        <w:r w:rsidR="00A43EF3" w:rsidRPr="006F5EF0">
          <w:rPr>
            <w:rStyle w:val="Hyperlink"/>
            <w:noProof/>
          </w:rPr>
          <w:t>Фигура 9:</w:t>
        </w:r>
        <w:r w:rsidR="00A43EF3" w:rsidRPr="006F5EF0">
          <w:rPr>
            <w:rStyle w:val="Hyperlink"/>
            <w:rFonts w:eastAsia="Times New Roman"/>
            <w:b/>
            <w:bCs/>
            <w:noProof/>
            <w:lang w:bidi="bg-BG"/>
          </w:rPr>
          <w:t xml:space="preserve"> </w:t>
        </w:r>
        <w:r w:rsidR="00A43EF3" w:rsidRPr="006F5EF0">
          <w:rPr>
            <w:rStyle w:val="Hyperlink"/>
            <w:rFonts w:eastAsia="Times New Roman"/>
            <w:noProof/>
            <w:lang w:bidi="bg-BG"/>
          </w:rPr>
          <w:t>Годишни емисии на парникови газове на човек от населението, тона СО</w:t>
        </w:r>
        <w:r w:rsidR="00A43EF3" w:rsidRPr="006F5EF0">
          <w:rPr>
            <w:rStyle w:val="Hyperlink"/>
            <w:rFonts w:eastAsia="Times New Roman"/>
            <w:noProof/>
            <w:vertAlign w:val="subscript"/>
            <w:lang w:bidi="bg-BG"/>
          </w:rPr>
          <w:t xml:space="preserve">2 </w:t>
        </w:r>
        <w:r w:rsidR="00A43EF3" w:rsidRPr="006F5EF0">
          <w:rPr>
            <w:rStyle w:val="Hyperlink"/>
            <w:rFonts w:eastAsia="Times New Roman"/>
            <w:noProof/>
            <w:lang w:bidi="bg-BG"/>
          </w:rPr>
          <w:t>- екв.</w:t>
        </w:r>
        <w:r w:rsidR="00A43EF3">
          <w:rPr>
            <w:noProof/>
            <w:webHidden/>
          </w:rPr>
          <w:tab/>
        </w:r>
        <w:r w:rsidR="00A43EF3">
          <w:rPr>
            <w:noProof/>
            <w:webHidden/>
          </w:rPr>
          <w:fldChar w:fldCharType="begin"/>
        </w:r>
        <w:r w:rsidR="00A43EF3">
          <w:rPr>
            <w:noProof/>
            <w:webHidden/>
          </w:rPr>
          <w:instrText xml:space="preserve"> PAGEREF _Toc115255070 \h </w:instrText>
        </w:r>
        <w:r w:rsidR="00A43EF3">
          <w:rPr>
            <w:noProof/>
            <w:webHidden/>
          </w:rPr>
        </w:r>
        <w:r w:rsidR="00A43EF3">
          <w:rPr>
            <w:noProof/>
            <w:webHidden/>
          </w:rPr>
          <w:fldChar w:fldCharType="separate"/>
        </w:r>
        <w:r w:rsidR="00A43EF3">
          <w:rPr>
            <w:noProof/>
            <w:webHidden/>
          </w:rPr>
          <w:t>167</w:t>
        </w:r>
        <w:r w:rsidR="00A43EF3">
          <w:rPr>
            <w:noProof/>
            <w:webHidden/>
          </w:rPr>
          <w:fldChar w:fldCharType="end"/>
        </w:r>
      </w:hyperlink>
    </w:p>
    <w:p w14:paraId="3EF7A982" w14:textId="120DB70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1" w:history="1">
        <w:r w:rsidR="00A43EF3" w:rsidRPr="006F5EF0">
          <w:rPr>
            <w:rStyle w:val="Hyperlink"/>
            <w:noProof/>
          </w:rPr>
          <w:t xml:space="preserve">Фигура 10: </w:t>
        </w:r>
        <w:r w:rsidR="00A43EF3" w:rsidRPr="006F5EF0">
          <w:rPr>
            <w:rStyle w:val="Hyperlink"/>
            <w:rFonts w:eastAsia="Times New Roman"/>
            <w:noProof/>
            <w:lang w:bidi="bg-BG"/>
          </w:rPr>
          <w:t>Годишни емисии на парникови газове за единица БВП, тона СО</w:t>
        </w:r>
        <w:r w:rsidR="00A43EF3" w:rsidRPr="006F5EF0">
          <w:rPr>
            <w:rStyle w:val="Hyperlink"/>
            <w:rFonts w:eastAsia="Times New Roman"/>
            <w:noProof/>
            <w:vertAlign w:val="subscript"/>
            <w:lang w:bidi="bg-BG"/>
          </w:rPr>
          <w:t>2</w:t>
        </w:r>
        <w:r w:rsidR="00A43EF3" w:rsidRPr="006F5EF0">
          <w:rPr>
            <w:rStyle w:val="Hyperlink"/>
            <w:rFonts w:eastAsia="Times New Roman"/>
            <w:noProof/>
            <w:lang w:bidi="bg-BG"/>
          </w:rPr>
          <w:t xml:space="preserve"> - екв. за 1000 лева</w:t>
        </w:r>
        <w:r w:rsidR="00A43EF3">
          <w:rPr>
            <w:noProof/>
            <w:webHidden/>
          </w:rPr>
          <w:tab/>
        </w:r>
        <w:r w:rsidR="00A43EF3">
          <w:rPr>
            <w:noProof/>
            <w:webHidden/>
          </w:rPr>
          <w:fldChar w:fldCharType="begin"/>
        </w:r>
        <w:r w:rsidR="00A43EF3">
          <w:rPr>
            <w:noProof/>
            <w:webHidden/>
          </w:rPr>
          <w:instrText xml:space="preserve"> PAGEREF _Toc115255071 \h </w:instrText>
        </w:r>
        <w:r w:rsidR="00A43EF3">
          <w:rPr>
            <w:noProof/>
            <w:webHidden/>
          </w:rPr>
        </w:r>
        <w:r w:rsidR="00A43EF3">
          <w:rPr>
            <w:noProof/>
            <w:webHidden/>
          </w:rPr>
          <w:fldChar w:fldCharType="separate"/>
        </w:r>
        <w:r w:rsidR="00A43EF3">
          <w:rPr>
            <w:noProof/>
            <w:webHidden/>
          </w:rPr>
          <w:t>168</w:t>
        </w:r>
        <w:r w:rsidR="00A43EF3">
          <w:rPr>
            <w:noProof/>
            <w:webHidden/>
          </w:rPr>
          <w:fldChar w:fldCharType="end"/>
        </w:r>
      </w:hyperlink>
    </w:p>
    <w:p w14:paraId="3E2EB904" w14:textId="5C646A7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2" w:history="1">
        <w:r w:rsidR="00A43EF3" w:rsidRPr="006F5EF0">
          <w:rPr>
            <w:rStyle w:val="Hyperlink"/>
            <w:noProof/>
          </w:rPr>
          <w:t>Фигура 11:</w:t>
        </w:r>
        <w:r w:rsidR="00A43EF3" w:rsidRPr="006F5EF0">
          <w:rPr>
            <w:rStyle w:val="Hyperlink"/>
            <w:b/>
            <w:bCs/>
            <w:noProof/>
          </w:rPr>
          <w:t xml:space="preserve"> </w:t>
        </w:r>
        <w:r w:rsidR="00A43EF3" w:rsidRPr="006F5EF0">
          <w:rPr>
            <w:rStyle w:val="Hyperlink"/>
            <w:noProof/>
          </w:rPr>
          <w:t>Емисии на основни замърсители на национално ниво</w:t>
        </w:r>
        <w:r w:rsidR="00A43EF3">
          <w:rPr>
            <w:noProof/>
            <w:webHidden/>
          </w:rPr>
          <w:tab/>
        </w:r>
        <w:r w:rsidR="00A43EF3">
          <w:rPr>
            <w:noProof/>
            <w:webHidden/>
          </w:rPr>
          <w:fldChar w:fldCharType="begin"/>
        </w:r>
        <w:r w:rsidR="00A43EF3">
          <w:rPr>
            <w:noProof/>
            <w:webHidden/>
          </w:rPr>
          <w:instrText xml:space="preserve"> PAGEREF _Toc115255072 \h </w:instrText>
        </w:r>
        <w:r w:rsidR="00A43EF3">
          <w:rPr>
            <w:noProof/>
            <w:webHidden/>
          </w:rPr>
        </w:r>
        <w:r w:rsidR="00A43EF3">
          <w:rPr>
            <w:noProof/>
            <w:webHidden/>
          </w:rPr>
          <w:fldChar w:fldCharType="separate"/>
        </w:r>
        <w:r w:rsidR="00A43EF3">
          <w:rPr>
            <w:noProof/>
            <w:webHidden/>
          </w:rPr>
          <w:t>171</w:t>
        </w:r>
        <w:r w:rsidR="00A43EF3">
          <w:rPr>
            <w:noProof/>
            <w:webHidden/>
          </w:rPr>
          <w:fldChar w:fldCharType="end"/>
        </w:r>
      </w:hyperlink>
    </w:p>
    <w:p w14:paraId="217CB1A9" w14:textId="5D413347"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3" w:history="1">
        <w:r w:rsidR="00A43EF3" w:rsidRPr="006F5EF0">
          <w:rPr>
            <w:rStyle w:val="Hyperlink"/>
            <w:noProof/>
          </w:rPr>
          <w:t>Фигура 12:</w:t>
        </w:r>
        <w:r w:rsidR="00A43EF3" w:rsidRPr="006F5EF0">
          <w:rPr>
            <w:rStyle w:val="Hyperlink"/>
            <w:b/>
            <w:bCs/>
            <w:noProof/>
          </w:rPr>
          <w:t xml:space="preserve"> </w:t>
        </w:r>
        <w:r w:rsidR="00A43EF3" w:rsidRPr="006F5EF0">
          <w:rPr>
            <w:rStyle w:val="Hyperlink"/>
            <w:noProof/>
          </w:rPr>
          <w:t>Емисии на основни замърсители на европейско ниво</w:t>
        </w:r>
        <w:r w:rsidR="00A43EF3">
          <w:rPr>
            <w:noProof/>
            <w:webHidden/>
          </w:rPr>
          <w:tab/>
        </w:r>
        <w:r w:rsidR="00A43EF3">
          <w:rPr>
            <w:noProof/>
            <w:webHidden/>
          </w:rPr>
          <w:fldChar w:fldCharType="begin"/>
        </w:r>
        <w:r w:rsidR="00A43EF3">
          <w:rPr>
            <w:noProof/>
            <w:webHidden/>
          </w:rPr>
          <w:instrText xml:space="preserve"> PAGEREF _Toc115255073 \h </w:instrText>
        </w:r>
        <w:r w:rsidR="00A43EF3">
          <w:rPr>
            <w:noProof/>
            <w:webHidden/>
          </w:rPr>
        </w:r>
        <w:r w:rsidR="00A43EF3">
          <w:rPr>
            <w:noProof/>
            <w:webHidden/>
          </w:rPr>
          <w:fldChar w:fldCharType="separate"/>
        </w:r>
        <w:r w:rsidR="00A43EF3">
          <w:rPr>
            <w:noProof/>
            <w:webHidden/>
          </w:rPr>
          <w:t>172</w:t>
        </w:r>
        <w:r w:rsidR="00A43EF3">
          <w:rPr>
            <w:noProof/>
            <w:webHidden/>
          </w:rPr>
          <w:fldChar w:fldCharType="end"/>
        </w:r>
      </w:hyperlink>
    </w:p>
    <w:p w14:paraId="47B866C1" w14:textId="292E091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4" w:history="1">
        <w:r w:rsidR="00A43EF3" w:rsidRPr="006F5EF0">
          <w:rPr>
            <w:rStyle w:val="Hyperlink"/>
            <w:noProof/>
          </w:rPr>
          <w:t>Фигура 13: Разпределение на дела на емисиите на вредни вещества по основните групи източници през 2020 г., %</w:t>
        </w:r>
        <w:r w:rsidR="00A43EF3">
          <w:rPr>
            <w:noProof/>
            <w:webHidden/>
          </w:rPr>
          <w:tab/>
        </w:r>
        <w:r w:rsidR="00A43EF3">
          <w:rPr>
            <w:noProof/>
            <w:webHidden/>
          </w:rPr>
          <w:fldChar w:fldCharType="begin"/>
        </w:r>
        <w:r w:rsidR="00A43EF3">
          <w:rPr>
            <w:noProof/>
            <w:webHidden/>
          </w:rPr>
          <w:instrText xml:space="preserve"> PAGEREF _Toc115255074 \h </w:instrText>
        </w:r>
        <w:r w:rsidR="00A43EF3">
          <w:rPr>
            <w:noProof/>
            <w:webHidden/>
          </w:rPr>
        </w:r>
        <w:r w:rsidR="00A43EF3">
          <w:rPr>
            <w:noProof/>
            <w:webHidden/>
          </w:rPr>
          <w:fldChar w:fldCharType="separate"/>
        </w:r>
        <w:r w:rsidR="00A43EF3">
          <w:rPr>
            <w:noProof/>
            <w:webHidden/>
          </w:rPr>
          <w:t>174</w:t>
        </w:r>
        <w:r w:rsidR="00A43EF3">
          <w:rPr>
            <w:noProof/>
            <w:webHidden/>
          </w:rPr>
          <w:fldChar w:fldCharType="end"/>
        </w:r>
      </w:hyperlink>
    </w:p>
    <w:p w14:paraId="084AC319" w14:textId="637E6B44"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5" w:history="1">
        <w:r w:rsidR="00A43EF3" w:rsidRPr="006F5EF0">
          <w:rPr>
            <w:rStyle w:val="Hyperlink"/>
            <w:noProof/>
          </w:rPr>
          <w:t xml:space="preserve">Фигура 14: </w:t>
        </w:r>
        <w:r w:rsidR="00A43EF3" w:rsidRPr="006F5EF0">
          <w:rPr>
            <w:rStyle w:val="Hyperlink"/>
            <w:b/>
            <w:bCs/>
            <w:noProof/>
          </w:rPr>
          <w:t xml:space="preserve"> </w:t>
        </w:r>
        <w:r w:rsidR="00A43EF3" w:rsidRPr="006F5EF0">
          <w:rPr>
            <w:rStyle w:val="Hyperlink"/>
            <w:noProof/>
          </w:rPr>
          <w:t>Пунктове за мониторинг на качеството на атмосферния въздух на България, разпределени по райони за оценка и управление на КАВ</w:t>
        </w:r>
        <w:r w:rsidR="00A43EF3">
          <w:rPr>
            <w:noProof/>
            <w:webHidden/>
          </w:rPr>
          <w:tab/>
        </w:r>
        <w:r w:rsidR="00A43EF3">
          <w:rPr>
            <w:noProof/>
            <w:webHidden/>
          </w:rPr>
          <w:fldChar w:fldCharType="begin"/>
        </w:r>
        <w:r w:rsidR="00A43EF3">
          <w:rPr>
            <w:noProof/>
            <w:webHidden/>
          </w:rPr>
          <w:instrText xml:space="preserve"> PAGEREF _Toc115255075 \h </w:instrText>
        </w:r>
        <w:r w:rsidR="00A43EF3">
          <w:rPr>
            <w:noProof/>
            <w:webHidden/>
          </w:rPr>
        </w:r>
        <w:r w:rsidR="00A43EF3">
          <w:rPr>
            <w:noProof/>
            <w:webHidden/>
          </w:rPr>
          <w:fldChar w:fldCharType="separate"/>
        </w:r>
        <w:r w:rsidR="00A43EF3">
          <w:rPr>
            <w:noProof/>
            <w:webHidden/>
          </w:rPr>
          <w:t>175</w:t>
        </w:r>
        <w:r w:rsidR="00A43EF3">
          <w:rPr>
            <w:noProof/>
            <w:webHidden/>
          </w:rPr>
          <w:fldChar w:fldCharType="end"/>
        </w:r>
      </w:hyperlink>
    </w:p>
    <w:p w14:paraId="372B4669" w14:textId="6AD89AE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6" w:history="1">
        <w:r w:rsidR="00A43EF3" w:rsidRPr="006F5EF0">
          <w:rPr>
            <w:rStyle w:val="Hyperlink"/>
            <w:noProof/>
          </w:rPr>
          <w:t>Фигура 15:</w:t>
        </w:r>
        <w:r w:rsidR="00A43EF3" w:rsidRPr="006F5EF0">
          <w:rPr>
            <w:rStyle w:val="Hyperlink"/>
            <w:b/>
            <w:bCs/>
            <w:noProof/>
          </w:rPr>
          <w:t xml:space="preserve"> </w:t>
        </w:r>
        <w:r w:rsidR="00A43EF3" w:rsidRPr="006F5EF0">
          <w:rPr>
            <w:rStyle w:val="Hyperlink"/>
            <w:noProof/>
          </w:rPr>
          <w:t>Пунктове за мониторинг на качеството на атмосферния въздух в България, измерващи ФПЧ10, разпределени по район за оценка и управление на КАВ</w:t>
        </w:r>
        <w:r w:rsidR="00A43EF3">
          <w:rPr>
            <w:noProof/>
            <w:webHidden/>
          </w:rPr>
          <w:tab/>
        </w:r>
        <w:r w:rsidR="00A43EF3">
          <w:rPr>
            <w:noProof/>
            <w:webHidden/>
          </w:rPr>
          <w:fldChar w:fldCharType="begin"/>
        </w:r>
        <w:r w:rsidR="00A43EF3">
          <w:rPr>
            <w:noProof/>
            <w:webHidden/>
          </w:rPr>
          <w:instrText xml:space="preserve"> PAGEREF _Toc115255076 \h </w:instrText>
        </w:r>
        <w:r w:rsidR="00A43EF3">
          <w:rPr>
            <w:noProof/>
            <w:webHidden/>
          </w:rPr>
        </w:r>
        <w:r w:rsidR="00A43EF3">
          <w:rPr>
            <w:noProof/>
            <w:webHidden/>
          </w:rPr>
          <w:fldChar w:fldCharType="separate"/>
        </w:r>
        <w:r w:rsidR="00A43EF3">
          <w:rPr>
            <w:noProof/>
            <w:webHidden/>
          </w:rPr>
          <w:t>178</w:t>
        </w:r>
        <w:r w:rsidR="00A43EF3">
          <w:rPr>
            <w:noProof/>
            <w:webHidden/>
          </w:rPr>
          <w:fldChar w:fldCharType="end"/>
        </w:r>
      </w:hyperlink>
    </w:p>
    <w:p w14:paraId="12390A0E" w14:textId="76B3315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7" w:history="1">
        <w:r w:rsidR="00A43EF3" w:rsidRPr="006F5EF0">
          <w:rPr>
            <w:rStyle w:val="Hyperlink"/>
            <w:noProof/>
          </w:rPr>
          <w:t>Фигура 16:  Брой превишения на СДН за ФПЧ10 през 2020 г.</w:t>
        </w:r>
        <w:r w:rsidR="00A43EF3">
          <w:rPr>
            <w:noProof/>
            <w:webHidden/>
          </w:rPr>
          <w:tab/>
        </w:r>
        <w:r w:rsidR="00A43EF3">
          <w:rPr>
            <w:noProof/>
            <w:webHidden/>
          </w:rPr>
          <w:fldChar w:fldCharType="begin"/>
        </w:r>
        <w:r w:rsidR="00A43EF3">
          <w:rPr>
            <w:noProof/>
            <w:webHidden/>
          </w:rPr>
          <w:instrText xml:space="preserve"> PAGEREF _Toc115255077 \h </w:instrText>
        </w:r>
        <w:r w:rsidR="00A43EF3">
          <w:rPr>
            <w:noProof/>
            <w:webHidden/>
          </w:rPr>
        </w:r>
        <w:r w:rsidR="00A43EF3">
          <w:rPr>
            <w:noProof/>
            <w:webHidden/>
          </w:rPr>
          <w:fldChar w:fldCharType="separate"/>
        </w:r>
        <w:r w:rsidR="00A43EF3">
          <w:rPr>
            <w:noProof/>
            <w:webHidden/>
          </w:rPr>
          <w:t>179</w:t>
        </w:r>
        <w:r w:rsidR="00A43EF3">
          <w:rPr>
            <w:noProof/>
            <w:webHidden/>
          </w:rPr>
          <w:fldChar w:fldCharType="end"/>
        </w:r>
      </w:hyperlink>
    </w:p>
    <w:p w14:paraId="314381BF" w14:textId="0639653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8" w:history="1">
        <w:r w:rsidR="00A43EF3" w:rsidRPr="006F5EF0">
          <w:rPr>
            <w:rStyle w:val="Hyperlink"/>
            <w:noProof/>
          </w:rPr>
          <w:t>Фигура 17:  Перцентил 90,4, съответстващ на 36 най-висока стойност за ФПЧ10 по пунктове през 2020 год.</w:t>
        </w:r>
        <w:r w:rsidR="00A43EF3">
          <w:rPr>
            <w:noProof/>
            <w:webHidden/>
          </w:rPr>
          <w:tab/>
        </w:r>
        <w:r w:rsidR="00A43EF3">
          <w:rPr>
            <w:noProof/>
            <w:webHidden/>
          </w:rPr>
          <w:fldChar w:fldCharType="begin"/>
        </w:r>
        <w:r w:rsidR="00A43EF3">
          <w:rPr>
            <w:noProof/>
            <w:webHidden/>
          </w:rPr>
          <w:instrText xml:space="preserve"> PAGEREF _Toc115255078 \h </w:instrText>
        </w:r>
        <w:r w:rsidR="00A43EF3">
          <w:rPr>
            <w:noProof/>
            <w:webHidden/>
          </w:rPr>
        </w:r>
        <w:r w:rsidR="00A43EF3">
          <w:rPr>
            <w:noProof/>
            <w:webHidden/>
          </w:rPr>
          <w:fldChar w:fldCharType="separate"/>
        </w:r>
        <w:r w:rsidR="00A43EF3">
          <w:rPr>
            <w:noProof/>
            <w:webHidden/>
          </w:rPr>
          <w:t>179</w:t>
        </w:r>
        <w:r w:rsidR="00A43EF3">
          <w:rPr>
            <w:noProof/>
            <w:webHidden/>
          </w:rPr>
          <w:fldChar w:fldCharType="end"/>
        </w:r>
      </w:hyperlink>
    </w:p>
    <w:p w14:paraId="05D53AE1" w14:textId="7F55C46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79" w:history="1">
        <w:r w:rsidR="00A43EF3" w:rsidRPr="006F5EF0">
          <w:rPr>
            <w:rStyle w:val="Hyperlink"/>
            <w:noProof/>
          </w:rPr>
          <w:t>Фигура 18:  Средногодишна концентрация на ФПЧ10 за 2020 в населени места,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_Toc115255079 \h </w:instrText>
        </w:r>
        <w:r w:rsidR="00A43EF3">
          <w:rPr>
            <w:noProof/>
            <w:webHidden/>
          </w:rPr>
        </w:r>
        <w:r w:rsidR="00A43EF3">
          <w:rPr>
            <w:noProof/>
            <w:webHidden/>
          </w:rPr>
          <w:fldChar w:fldCharType="separate"/>
        </w:r>
        <w:r w:rsidR="00A43EF3">
          <w:rPr>
            <w:noProof/>
            <w:webHidden/>
          </w:rPr>
          <w:t>180</w:t>
        </w:r>
        <w:r w:rsidR="00A43EF3">
          <w:rPr>
            <w:noProof/>
            <w:webHidden/>
          </w:rPr>
          <w:fldChar w:fldCharType="end"/>
        </w:r>
      </w:hyperlink>
    </w:p>
    <w:p w14:paraId="60408FF2" w14:textId="43DED89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0" w:history="1">
        <w:r w:rsidR="00A43EF3" w:rsidRPr="006F5EF0">
          <w:rPr>
            <w:rStyle w:val="Hyperlink"/>
            <w:noProof/>
          </w:rPr>
          <w:t>Фигура 19:  Разпределение на броя на превишенията на средноденонощната норма за ФПЧ10 за 2020 г. в зависимост от класификацията на областта и станцията</w:t>
        </w:r>
        <w:r w:rsidR="00A43EF3">
          <w:rPr>
            <w:noProof/>
            <w:webHidden/>
          </w:rPr>
          <w:tab/>
        </w:r>
        <w:r w:rsidR="00A43EF3">
          <w:rPr>
            <w:noProof/>
            <w:webHidden/>
          </w:rPr>
          <w:fldChar w:fldCharType="begin"/>
        </w:r>
        <w:r w:rsidR="00A43EF3">
          <w:rPr>
            <w:noProof/>
            <w:webHidden/>
          </w:rPr>
          <w:instrText xml:space="preserve"> PAGEREF _Toc115255080 \h </w:instrText>
        </w:r>
        <w:r w:rsidR="00A43EF3">
          <w:rPr>
            <w:noProof/>
            <w:webHidden/>
          </w:rPr>
        </w:r>
        <w:r w:rsidR="00A43EF3">
          <w:rPr>
            <w:noProof/>
            <w:webHidden/>
          </w:rPr>
          <w:fldChar w:fldCharType="separate"/>
        </w:r>
        <w:r w:rsidR="00A43EF3">
          <w:rPr>
            <w:noProof/>
            <w:webHidden/>
          </w:rPr>
          <w:t>180</w:t>
        </w:r>
        <w:r w:rsidR="00A43EF3">
          <w:rPr>
            <w:noProof/>
            <w:webHidden/>
          </w:rPr>
          <w:fldChar w:fldCharType="end"/>
        </w:r>
      </w:hyperlink>
    </w:p>
    <w:p w14:paraId="27DF1853" w14:textId="1A1A6D5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1" w:history="1">
        <w:r w:rsidR="00A43EF3" w:rsidRPr="006F5EF0">
          <w:rPr>
            <w:rStyle w:val="Hyperlink"/>
            <w:noProof/>
          </w:rPr>
          <w:t>Фигура 20:  Брой на превишенията в населените места на СДН за ФПЧ10 за 2020 г., разпределени по зимен период (01.01 – 31.03.2020 г.; 01.10 – 31.12.2020 г.) и летен период (01.04 – 31.09.2020 г.)</w:t>
        </w:r>
        <w:r w:rsidR="00A43EF3">
          <w:rPr>
            <w:noProof/>
            <w:webHidden/>
          </w:rPr>
          <w:tab/>
        </w:r>
        <w:r w:rsidR="00A43EF3">
          <w:rPr>
            <w:noProof/>
            <w:webHidden/>
          </w:rPr>
          <w:fldChar w:fldCharType="begin"/>
        </w:r>
        <w:r w:rsidR="00A43EF3">
          <w:rPr>
            <w:noProof/>
            <w:webHidden/>
          </w:rPr>
          <w:instrText xml:space="preserve"> PAGEREF _Toc115255081 \h </w:instrText>
        </w:r>
        <w:r w:rsidR="00A43EF3">
          <w:rPr>
            <w:noProof/>
            <w:webHidden/>
          </w:rPr>
        </w:r>
        <w:r w:rsidR="00A43EF3">
          <w:rPr>
            <w:noProof/>
            <w:webHidden/>
          </w:rPr>
          <w:fldChar w:fldCharType="separate"/>
        </w:r>
        <w:r w:rsidR="00A43EF3">
          <w:rPr>
            <w:noProof/>
            <w:webHidden/>
          </w:rPr>
          <w:t>181</w:t>
        </w:r>
        <w:r w:rsidR="00A43EF3">
          <w:rPr>
            <w:noProof/>
            <w:webHidden/>
          </w:rPr>
          <w:fldChar w:fldCharType="end"/>
        </w:r>
      </w:hyperlink>
    </w:p>
    <w:p w14:paraId="34B4E0B9" w14:textId="2D11148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2" w:history="1">
        <w:r w:rsidR="00A43EF3" w:rsidRPr="006F5EF0">
          <w:rPr>
            <w:rStyle w:val="Hyperlink"/>
            <w:noProof/>
          </w:rPr>
          <w:t>Фигура 21:  Брой превишения на СДН на ФПЧ10 за периода 2016 – 2020 г.</w:t>
        </w:r>
        <w:r w:rsidR="00A43EF3">
          <w:rPr>
            <w:noProof/>
            <w:webHidden/>
          </w:rPr>
          <w:tab/>
        </w:r>
        <w:r w:rsidR="00A43EF3">
          <w:rPr>
            <w:noProof/>
            <w:webHidden/>
          </w:rPr>
          <w:fldChar w:fldCharType="begin"/>
        </w:r>
        <w:r w:rsidR="00A43EF3">
          <w:rPr>
            <w:noProof/>
            <w:webHidden/>
          </w:rPr>
          <w:instrText xml:space="preserve"> PAGEREF _Toc115255082 \h </w:instrText>
        </w:r>
        <w:r w:rsidR="00A43EF3">
          <w:rPr>
            <w:noProof/>
            <w:webHidden/>
          </w:rPr>
        </w:r>
        <w:r w:rsidR="00A43EF3">
          <w:rPr>
            <w:noProof/>
            <w:webHidden/>
          </w:rPr>
          <w:fldChar w:fldCharType="separate"/>
        </w:r>
        <w:r w:rsidR="00A43EF3">
          <w:rPr>
            <w:noProof/>
            <w:webHidden/>
          </w:rPr>
          <w:t>182</w:t>
        </w:r>
        <w:r w:rsidR="00A43EF3">
          <w:rPr>
            <w:noProof/>
            <w:webHidden/>
          </w:rPr>
          <w:fldChar w:fldCharType="end"/>
        </w:r>
      </w:hyperlink>
    </w:p>
    <w:p w14:paraId="1A1DF85E" w14:textId="48C36667"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3" w:history="1">
        <w:r w:rsidR="00A43EF3" w:rsidRPr="006F5EF0">
          <w:rPr>
            <w:rStyle w:val="Hyperlink"/>
            <w:noProof/>
          </w:rPr>
          <w:t>Фигура 22:  Средногодишна концентрация на ФПЧ10 за периода 2016 – 2020 г. , μg/m</w:t>
        </w:r>
        <w:r w:rsidR="00A43EF3" w:rsidRPr="006F5EF0">
          <w:rPr>
            <w:rStyle w:val="Hyperlink"/>
            <w:b/>
            <w:bCs/>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_Toc115255083 \h </w:instrText>
        </w:r>
        <w:r w:rsidR="00A43EF3">
          <w:rPr>
            <w:noProof/>
            <w:webHidden/>
          </w:rPr>
        </w:r>
        <w:r w:rsidR="00A43EF3">
          <w:rPr>
            <w:noProof/>
            <w:webHidden/>
          </w:rPr>
          <w:fldChar w:fldCharType="separate"/>
        </w:r>
        <w:r w:rsidR="00A43EF3">
          <w:rPr>
            <w:noProof/>
            <w:webHidden/>
          </w:rPr>
          <w:t>182</w:t>
        </w:r>
        <w:r w:rsidR="00A43EF3">
          <w:rPr>
            <w:noProof/>
            <w:webHidden/>
          </w:rPr>
          <w:fldChar w:fldCharType="end"/>
        </w:r>
      </w:hyperlink>
    </w:p>
    <w:p w14:paraId="0ACDFBDA" w14:textId="2DDEE8B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4" w:history="1">
        <w:r w:rsidR="00A43EF3" w:rsidRPr="006F5EF0">
          <w:rPr>
            <w:rStyle w:val="Hyperlink"/>
            <w:noProof/>
          </w:rPr>
          <w:t>Фигура 23: Средногодишни концентрации на ФПЧ2.5, регистрирани през 2020 г.,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_Toc115255084 \h </w:instrText>
        </w:r>
        <w:r w:rsidR="00A43EF3">
          <w:rPr>
            <w:noProof/>
            <w:webHidden/>
          </w:rPr>
        </w:r>
        <w:r w:rsidR="00A43EF3">
          <w:rPr>
            <w:noProof/>
            <w:webHidden/>
          </w:rPr>
          <w:fldChar w:fldCharType="separate"/>
        </w:r>
        <w:r w:rsidR="00A43EF3">
          <w:rPr>
            <w:noProof/>
            <w:webHidden/>
          </w:rPr>
          <w:t>183</w:t>
        </w:r>
        <w:r w:rsidR="00A43EF3">
          <w:rPr>
            <w:noProof/>
            <w:webHidden/>
          </w:rPr>
          <w:fldChar w:fldCharType="end"/>
        </w:r>
      </w:hyperlink>
    </w:p>
    <w:p w14:paraId="1B439B89" w14:textId="051EF47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5" w:history="1">
        <w:r w:rsidR="00A43EF3" w:rsidRPr="006F5EF0">
          <w:rPr>
            <w:rStyle w:val="Hyperlink"/>
            <w:noProof/>
          </w:rPr>
          <w:t>Фигура 24:  Средногодишни концентрации на ФПЧ2.5, регистрирани за периода 2016 -2020 г. ,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_Toc115255085 \h </w:instrText>
        </w:r>
        <w:r w:rsidR="00A43EF3">
          <w:rPr>
            <w:noProof/>
            <w:webHidden/>
          </w:rPr>
        </w:r>
        <w:r w:rsidR="00A43EF3">
          <w:rPr>
            <w:noProof/>
            <w:webHidden/>
          </w:rPr>
          <w:fldChar w:fldCharType="separate"/>
        </w:r>
        <w:r w:rsidR="00A43EF3">
          <w:rPr>
            <w:noProof/>
            <w:webHidden/>
          </w:rPr>
          <w:t>183</w:t>
        </w:r>
        <w:r w:rsidR="00A43EF3">
          <w:rPr>
            <w:noProof/>
            <w:webHidden/>
          </w:rPr>
          <w:fldChar w:fldCharType="end"/>
        </w:r>
      </w:hyperlink>
    </w:p>
    <w:p w14:paraId="0BB2993C" w14:textId="78558D1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6" w:history="1">
        <w:r w:rsidR="00A43EF3" w:rsidRPr="006F5EF0">
          <w:rPr>
            <w:rStyle w:val="Hyperlink"/>
            <w:noProof/>
          </w:rPr>
          <w:t>Фигура 25: Показател за средна експозиция на населението с ФПЧ2.5 за периода 2010 – 2020 г.,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_Toc115255086 \h </w:instrText>
        </w:r>
        <w:r w:rsidR="00A43EF3">
          <w:rPr>
            <w:noProof/>
            <w:webHidden/>
          </w:rPr>
        </w:r>
        <w:r w:rsidR="00A43EF3">
          <w:rPr>
            <w:noProof/>
            <w:webHidden/>
          </w:rPr>
          <w:fldChar w:fldCharType="separate"/>
        </w:r>
        <w:r w:rsidR="00A43EF3">
          <w:rPr>
            <w:noProof/>
            <w:webHidden/>
          </w:rPr>
          <w:t>184</w:t>
        </w:r>
        <w:r w:rsidR="00A43EF3">
          <w:rPr>
            <w:noProof/>
            <w:webHidden/>
          </w:rPr>
          <w:fldChar w:fldCharType="end"/>
        </w:r>
      </w:hyperlink>
    </w:p>
    <w:p w14:paraId="5DAD4AB1" w14:textId="0A2F01A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7" w:history="1">
        <w:r w:rsidR="00A43EF3" w:rsidRPr="006F5EF0">
          <w:rPr>
            <w:rStyle w:val="Hyperlink"/>
            <w:noProof/>
          </w:rPr>
          <w:t>Фигура 26:  Карта с превишения на краткосрочна целева норма за озон, 120 μg/m</w:t>
        </w:r>
        <w:r w:rsidR="00A43EF3" w:rsidRPr="006F5EF0">
          <w:rPr>
            <w:rStyle w:val="Hyperlink"/>
            <w:noProof/>
            <w:vertAlign w:val="superscript"/>
          </w:rPr>
          <w:t>3</w:t>
        </w:r>
        <w:r w:rsidR="00A43EF3" w:rsidRPr="006F5EF0">
          <w:rPr>
            <w:rStyle w:val="Hyperlink"/>
            <w:noProof/>
          </w:rPr>
          <w:t>, осреднена за 3 години</w:t>
        </w:r>
        <w:r w:rsidR="00A43EF3">
          <w:rPr>
            <w:noProof/>
            <w:webHidden/>
          </w:rPr>
          <w:tab/>
        </w:r>
        <w:r w:rsidR="00A43EF3">
          <w:rPr>
            <w:noProof/>
            <w:webHidden/>
          </w:rPr>
          <w:fldChar w:fldCharType="begin"/>
        </w:r>
        <w:r w:rsidR="00A43EF3">
          <w:rPr>
            <w:noProof/>
            <w:webHidden/>
          </w:rPr>
          <w:instrText xml:space="preserve"> PAGEREF _Toc115255087 \h </w:instrText>
        </w:r>
        <w:r w:rsidR="00A43EF3">
          <w:rPr>
            <w:noProof/>
            <w:webHidden/>
          </w:rPr>
        </w:r>
        <w:r w:rsidR="00A43EF3">
          <w:rPr>
            <w:noProof/>
            <w:webHidden/>
          </w:rPr>
          <w:fldChar w:fldCharType="separate"/>
        </w:r>
        <w:r w:rsidR="00A43EF3">
          <w:rPr>
            <w:noProof/>
            <w:webHidden/>
          </w:rPr>
          <w:t>185</w:t>
        </w:r>
        <w:r w:rsidR="00A43EF3">
          <w:rPr>
            <w:noProof/>
            <w:webHidden/>
          </w:rPr>
          <w:fldChar w:fldCharType="end"/>
        </w:r>
      </w:hyperlink>
    </w:p>
    <w:p w14:paraId="5C175578" w14:textId="1A2F002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8" w:history="1">
        <w:r w:rsidR="00A43EF3" w:rsidRPr="006F5EF0">
          <w:rPr>
            <w:rStyle w:val="Hyperlink"/>
            <w:noProof/>
          </w:rPr>
          <w:t>Фигура 27: Брой дни с превишения на краткосрочната целева норма за озон, осреднени за периода 2018 – 2020 г.</w:t>
        </w:r>
        <w:r w:rsidR="00A43EF3">
          <w:rPr>
            <w:noProof/>
            <w:webHidden/>
          </w:rPr>
          <w:tab/>
        </w:r>
        <w:r w:rsidR="00A43EF3">
          <w:rPr>
            <w:noProof/>
            <w:webHidden/>
          </w:rPr>
          <w:fldChar w:fldCharType="begin"/>
        </w:r>
        <w:r w:rsidR="00A43EF3">
          <w:rPr>
            <w:noProof/>
            <w:webHidden/>
          </w:rPr>
          <w:instrText xml:space="preserve"> PAGEREF _Toc115255088 \h </w:instrText>
        </w:r>
        <w:r w:rsidR="00A43EF3">
          <w:rPr>
            <w:noProof/>
            <w:webHidden/>
          </w:rPr>
        </w:r>
        <w:r w:rsidR="00A43EF3">
          <w:rPr>
            <w:noProof/>
            <w:webHidden/>
          </w:rPr>
          <w:fldChar w:fldCharType="separate"/>
        </w:r>
        <w:r w:rsidR="00A43EF3">
          <w:rPr>
            <w:noProof/>
            <w:webHidden/>
          </w:rPr>
          <w:t>186</w:t>
        </w:r>
        <w:r w:rsidR="00A43EF3">
          <w:rPr>
            <w:noProof/>
            <w:webHidden/>
          </w:rPr>
          <w:fldChar w:fldCharType="end"/>
        </w:r>
      </w:hyperlink>
    </w:p>
    <w:p w14:paraId="0636CF63" w14:textId="03BC8DF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89" w:history="1">
        <w:r w:rsidR="00A43EF3" w:rsidRPr="006F5EF0">
          <w:rPr>
            <w:rStyle w:val="Hyperlink"/>
            <w:noProof/>
          </w:rPr>
          <w:t>Фигура 28: Нива на замърсяване на атмосферния въздух със серен диоксид по РОУКАВ през 2020 год.</w:t>
        </w:r>
        <w:r w:rsidR="00A43EF3">
          <w:rPr>
            <w:noProof/>
            <w:webHidden/>
          </w:rPr>
          <w:tab/>
        </w:r>
        <w:r w:rsidR="00A43EF3">
          <w:rPr>
            <w:noProof/>
            <w:webHidden/>
          </w:rPr>
          <w:fldChar w:fldCharType="begin"/>
        </w:r>
        <w:r w:rsidR="00A43EF3">
          <w:rPr>
            <w:noProof/>
            <w:webHidden/>
          </w:rPr>
          <w:instrText xml:space="preserve"> PAGEREF _Toc115255089 \h </w:instrText>
        </w:r>
        <w:r w:rsidR="00A43EF3">
          <w:rPr>
            <w:noProof/>
            <w:webHidden/>
          </w:rPr>
        </w:r>
        <w:r w:rsidR="00A43EF3">
          <w:rPr>
            <w:noProof/>
            <w:webHidden/>
          </w:rPr>
          <w:fldChar w:fldCharType="separate"/>
        </w:r>
        <w:r w:rsidR="00A43EF3">
          <w:rPr>
            <w:noProof/>
            <w:webHidden/>
          </w:rPr>
          <w:t>187</w:t>
        </w:r>
        <w:r w:rsidR="00A43EF3">
          <w:rPr>
            <w:noProof/>
            <w:webHidden/>
          </w:rPr>
          <w:fldChar w:fldCharType="end"/>
        </w:r>
      </w:hyperlink>
    </w:p>
    <w:p w14:paraId="7FBEC6ED" w14:textId="7304BE5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0" w:history="1">
        <w:r w:rsidR="00A43EF3" w:rsidRPr="006F5EF0">
          <w:rPr>
            <w:rStyle w:val="Hyperlink"/>
            <w:noProof/>
          </w:rPr>
          <w:t xml:space="preserve">Фигура 29: </w:t>
        </w:r>
        <w:r w:rsidR="00A43EF3" w:rsidRPr="006F5EF0">
          <w:rPr>
            <w:rStyle w:val="Hyperlink"/>
            <w:rFonts w:eastAsia="Times New Roman,Bold"/>
            <w:noProof/>
          </w:rPr>
          <w:t xml:space="preserve"> Превишения на нормите за SO</w:t>
        </w:r>
        <w:r w:rsidR="00A43EF3" w:rsidRPr="006F5EF0">
          <w:rPr>
            <w:rStyle w:val="Hyperlink"/>
            <w:rFonts w:eastAsia="Times New Roman,Bold"/>
            <w:noProof/>
            <w:vertAlign w:val="subscript"/>
          </w:rPr>
          <w:t>2</w:t>
        </w:r>
        <w:r w:rsidR="00A43EF3" w:rsidRPr="006F5EF0">
          <w:rPr>
            <w:rStyle w:val="Hyperlink"/>
            <w:rFonts w:eastAsia="Times New Roman,Bold"/>
            <w:noProof/>
          </w:rPr>
          <w:t xml:space="preserve"> за 2020 г.</w:t>
        </w:r>
        <w:r w:rsidR="00A43EF3">
          <w:rPr>
            <w:noProof/>
            <w:webHidden/>
          </w:rPr>
          <w:tab/>
        </w:r>
        <w:r w:rsidR="00A43EF3">
          <w:rPr>
            <w:noProof/>
            <w:webHidden/>
          </w:rPr>
          <w:fldChar w:fldCharType="begin"/>
        </w:r>
        <w:r w:rsidR="00A43EF3">
          <w:rPr>
            <w:noProof/>
            <w:webHidden/>
          </w:rPr>
          <w:instrText xml:space="preserve"> PAGEREF _Toc115255090 \h </w:instrText>
        </w:r>
        <w:r w:rsidR="00A43EF3">
          <w:rPr>
            <w:noProof/>
            <w:webHidden/>
          </w:rPr>
        </w:r>
        <w:r w:rsidR="00A43EF3">
          <w:rPr>
            <w:noProof/>
            <w:webHidden/>
          </w:rPr>
          <w:fldChar w:fldCharType="separate"/>
        </w:r>
        <w:r w:rsidR="00A43EF3">
          <w:rPr>
            <w:noProof/>
            <w:webHidden/>
          </w:rPr>
          <w:t>187</w:t>
        </w:r>
        <w:r w:rsidR="00A43EF3">
          <w:rPr>
            <w:noProof/>
            <w:webHidden/>
          </w:rPr>
          <w:fldChar w:fldCharType="end"/>
        </w:r>
      </w:hyperlink>
    </w:p>
    <w:p w14:paraId="54E27A9E" w14:textId="5784CBA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1" w:history="1">
        <w:r w:rsidR="00A43EF3" w:rsidRPr="006F5EF0">
          <w:rPr>
            <w:rStyle w:val="Hyperlink"/>
            <w:noProof/>
          </w:rPr>
          <w:t>Фигура 30: Пунктове с превишения на средночасовата норма за SO</w:t>
        </w:r>
        <w:r w:rsidR="00A43EF3" w:rsidRPr="006F5EF0">
          <w:rPr>
            <w:rStyle w:val="Hyperlink"/>
            <w:noProof/>
            <w:vertAlign w:val="subscript"/>
          </w:rPr>
          <w:t>2</w:t>
        </w:r>
        <w:r w:rsidR="00A43EF3" w:rsidRPr="006F5EF0">
          <w:rPr>
            <w:rStyle w:val="Hyperlink"/>
            <w:noProof/>
          </w:rPr>
          <w:t xml:space="preserve"> за периода 2016 г. – 2020 г.</w:t>
        </w:r>
        <w:r w:rsidR="00A43EF3">
          <w:rPr>
            <w:noProof/>
            <w:webHidden/>
          </w:rPr>
          <w:tab/>
        </w:r>
        <w:r w:rsidR="00A43EF3">
          <w:rPr>
            <w:noProof/>
            <w:webHidden/>
          </w:rPr>
          <w:fldChar w:fldCharType="begin"/>
        </w:r>
        <w:r w:rsidR="00A43EF3">
          <w:rPr>
            <w:noProof/>
            <w:webHidden/>
          </w:rPr>
          <w:instrText xml:space="preserve"> PAGEREF _Toc115255091 \h </w:instrText>
        </w:r>
        <w:r w:rsidR="00A43EF3">
          <w:rPr>
            <w:noProof/>
            <w:webHidden/>
          </w:rPr>
        </w:r>
        <w:r w:rsidR="00A43EF3">
          <w:rPr>
            <w:noProof/>
            <w:webHidden/>
          </w:rPr>
          <w:fldChar w:fldCharType="separate"/>
        </w:r>
        <w:r w:rsidR="00A43EF3">
          <w:rPr>
            <w:noProof/>
            <w:webHidden/>
          </w:rPr>
          <w:t>188</w:t>
        </w:r>
        <w:r w:rsidR="00A43EF3">
          <w:rPr>
            <w:noProof/>
            <w:webHidden/>
          </w:rPr>
          <w:fldChar w:fldCharType="end"/>
        </w:r>
      </w:hyperlink>
    </w:p>
    <w:p w14:paraId="0F86D771" w14:textId="43A21EE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2" w:history="1">
        <w:r w:rsidR="00A43EF3" w:rsidRPr="006F5EF0">
          <w:rPr>
            <w:rStyle w:val="Hyperlink"/>
            <w:noProof/>
          </w:rPr>
          <w:t>Фигура 31: Нива на замърсяване на атмосферния въздух с азотен диоксид през 2020 год.</w:t>
        </w:r>
        <w:r w:rsidR="00A43EF3">
          <w:rPr>
            <w:noProof/>
            <w:webHidden/>
          </w:rPr>
          <w:tab/>
        </w:r>
        <w:r w:rsidR="00A43EF3">
          <w:rPr>
            <w:noProof/>
            <w:webHidden/>
          </w:rPr>
          <w:fldChar w:fldCharType="begin"/>
        </w:r>
        <w:r w:rsidR="00A43EF3">
          <w:rPr>
            <w:noProof/>
            <w:webHidden/>
          </w:rPr>
          <w:instrText xml:space="preserve"> PAGEREF _Toc115255092 \h </w:instrText>
        </w:r>
        <w:r w:rsidR="00A43EF3">
          <w:rPr>
            <w:noProof/>
            <w:webHidden/>
          </w:rPr>
        </w:r>
        <w:r w:rsidR="00A43EF3">
          <w:rPr>
            <w:noProof/>
            <w:webHidden/>
          </w:rPr>
          <w:fldChar w:fldCharType="separate"/>
        </w:r>
        <w:r w:rsidR="00A43EF3">
          <w:rPr>
            <w:noProof/>
            <w:webHidden/>
          </w:rPr>
          <w:t>189</w:t>
        </w:r>
        <w:r w:rsidR="00A43EF3">
          <w:rPr>
            <w:noProof/>
            <w:webHidden/>
          </w:rPr>
          <w:fldChar w:fldCharType="end"/>
        </w:r>
      </w:hyperlink>
    </w:p>
    <w:p w14:paraId="4303CDF0" w14:textId="3D348A2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3" w:history="1">
        <w:r w:rsidR="00A43EF3" w:rsidRPr="006F5EF0">
          <w:rPr>
            <w:rStyle w:val="Hyperlink"/>
            <w:noProof/>
          </w:rPr>
          <w:t>Фигура 32: Пунктове с превишения на средночасовата норма за азотен диоксид за 2020 г.</w:t>
        </w:r>
        <w:r w:rsidR="00A43EF3">
          <w:rPr>
            <w:noProof/>
            <w:webHidden/>
          </w:rPr>
          <w:tab/>
        </w:r>
        <w:r w:rsidR="00A43EF3">
          <w:rPr>
            <w:noProof/>
            <w:webHidden/>
          </w:rPr>
          <w:fldChar w:fldCharType="begin"/>
        </w:r>
        <w:r w:rsidR="00A43EF3">
          <w:rPr>
            <w:noProof/>
            <w:webHidden/>
          </w:rPr>
          <w:instrText xml:space="preserve"> PAGEREF _Toc115255093 \h </w:instrText>
        </w:r>
        <w:r w:rsidR="00A43EF3">
          <w:rPr>
            <w:noProof/>
            <w:webHidden/>
          </w:rPr>
        </w:r>
        <w:r w:rsidR="00A43EF3">
          <w:rPr>
            <w:noProof/>
            <w:webHidden/>
          </w:rPr>
          <w:fldChar w:fldCharType="separate"/>
        </w:r>
        <w:r w:rsidR="00A43EF3">
          <w:rPr>
            <w:noProof/>
            <w:webHidden/>
          </w:rPr>
          <w:t>189</w:t>
        </w:r>
        <w:r w:rsidR="00A43EF3">
          <w:rPr>
            <w:noProof/>
            <w:webHidden/>
          </w:rPr>
          <w:fldChar w:fldCharType="end"/>
        </w:r>
      </w:hyperlink>
    </w:p>
    <w:p w14:paraId="04003965" w14:textId="2304EC8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4" w:history="1">
        <w:r w:rsidR="00A43EF3" w:rsidRPr="006F5EF0">
          <w:rPr>
            <w:rStyle w:val="Hyperlink"/>
            <w:noProof/>
          </w:rPr>
          <w:t>Фигура 33: Средногодишни стойности на концентрацията на азотен диоксид в АИС "Пловдив - ж.к. Тракия" за периода 2016-2020 г. ,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_Toc115255094 \h </w:instrText>
        </w:r>
        <w:r w:rsidR="00A43EF3">
          <w:rPr>
            <w:noProof/>
            <w:webHidden/>
          </w:rPr>
        </w:r>
        <w:r w:rsidR="00A43EF3">
          <w:rPr>
            <w:noProof/>
            <w:webHidden/>
          </w:rPr>
          <w:fldChar w:fldCharType="separate"/>
        </w:r>
        <w:r w:rsidR="00A43EF3">
          <w:rPr>
            <w:noProof/>
            <w:webHidden/>
          </w:rPr>
          <w:t>190</w:t>
        </w:r>
        <w:r w:rsidR="00A43EF3">
          <w:rPr>
            <w:noProof/>
            <w:webHidden/>
          </w:rPr>
          <w:fldChar w:fldCharType="end"/>
        </w:r>
      </w:hyperlink>
    </w:p>
    <w:p w14:paraId="17A69CEE" w14:textId="79B3D34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5" w:history="1">
        <w:r w:rsidR="00A43EF3" w:rsidRPr="006F5EF0">
          <w:rPr>
            <w:rStyle w:val="Hyperlink"/>
            <w:noProof/>
          </w:rPr>
          <w:t>Фигура 34: Пунктове с превишение на средногодишната целева норма на бензо(а)пирен за периода 2018 – 2020 г., ng/m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_Toc115255095 \h </w:instrText>
        </w:r>
        <w:r w:rsidR="00A43EF3">
          <w:rPr>
            <w:noProof/>
            <w:webHidden/>
          </w:rPr>
        </w:r>
        <w:r w:rsidR="00A43EF3">
          <w:rPr>
            <w:noProof/>
            <w:webHidden/>
          </w:rPr>
          <w:fldChar w:fldCharType="separate"/>
        </w:r>
        <w:r w:rsidR="00A43EF3">
          <w:rPr>
            <w:noProof/>
            <w:webHidden/>
          </w:rPr>
          <w:t>190</w:t>
        </w:r>
        <w:r w:rsidR="00A43EF3">
          <w:rPr>
            <w:noProof/>
            <w:webHidden/>
          </w:rPr>
          <w:fldChar w:fldCharType="end"/>
        </w:r>
      </w:hyperlink>
    </w:p>
    <w:p w14:paraId="6DDF03A4" w14:textId="619FD1C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6" w:history="1">
        <w:r w:rsidR="00A43EF3" w:rsidRPr="006F5EF0">
          <w:rPr>
            <w:rStyle w:val="Hyperlink"/>
            <w:noProof/>
          </w:rPr>
          <w:t>Фигура 35: Средногодишна концентрация на бензо(а)пирен за 2020 г. ng/m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_Toc115255096 \h </w:instrText>
        </w:r>
        <w:r w:rsidR="00A43EF3">
          <w:rPr>
            <w:noProof/>
            <w:webHidden/>
          </w:rPr>
        </w:r>
        <w:r w:rsidR="00A43EF3">
          <w:rPr>
            <w:noProof/>
            <w:webHidden/>
          </w:rPr>
          <w:fldChar w:fldCharType="separate"/>
        </w:r>
        <w:r w:rsidR="00A43EF3">
          <w:rPr>
            <w:noProof/>
            <w:webHidden/>
          </w:rPr>
          <w:t>191</w:t>
        </w:r>
        <w:r w:rsidR="00A43EF3">
          <w:rPr>
            <w:noProof/>
            <w:webHidden/>
          </w:rPr>
          <w:fldChar w:fldCharType="end"/>
        </w:r>
      </w:hyperlink>
    </w:p>
    <w:p w14:paraId="1F9B98BA" w14:textId="174F4BB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7" w:history="1">
        <w:r w:rsidR="00A43EF3" w:rsidRPr="006F5EF0">
          <w:rPr>
            <w:rStyle w:val="Hyperlink"/>
            <w:noProof/>
          </w:rPr>
          <w:t xml:space="preserve">Фигура 36:  </w:t>
        </w:r>
        <w:r w:rsidR="00A43EF3" w:rsidRPr="006F5EF0">
          <w:rPr>
            <w:rStyle w:val="Hyperlink"/>
            <w:rFonts w:eastAsia="Times New Roman,Bold"/>
            <w:noProof/>
          </w:rPr>
          <w:t>Ниво на замърсяване на атмосферния въздух с олово в Долни Воден, μg/m</w:t>
        </w:r>
        <w:r w:rsidR="00A43EF3" w:rsidRPr="006F5EF0">
          <w:rPr>
            <w:rStyle w:val="Hyperlink"/>
            <w:rFonts w:eastAsia="Times New Roman,Bold"/>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_Toc115255097 \h </w:instrText>
        </w:r>
        <w:r w:rsidR="00A43EF3">
          <w:rPr>
            <w:noProof/>
            <w:webHidden/>
          </w:rPr>
        </w:r>
        <w:r w:rsidR="00A43EF3">
          <w:rPr>
            <w:noProof/>
            <w:webHidden/>
          </w:rPr>
          <w:fldChar w:fldCharType="separate"/>
        </w:r>
        <w:r w:rsidR="00A43EF3">
          <w:rPr>
            <w:noProof/>
            <w:webHidden/>
          </w:rPr>
          <w:t>192</w:t>
        </w:r>
        <w:r w:rsidR="00A43EF3">
          <w:rPr>
            <w:noProof/>
            <w:webHidden/>
          </w:rPr>
          <w:fldChar w:fldCharType="end"/>
        </w:r>
      </w:hyperlink>
    </w:p>
    <w:p w14:paraId="2F3ECBA6" w14:textId="61199F7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8" w:history="1">
        <w:r w:rsidR="00A43EF3" w:rsidRPr="006F5EF0">
          <w:rPr>
            <w:rStyle w:val="Hyperlink"/>
            <w:noProof/>
          </w:rPr>
          <w:t xml:space="preserve">Фигура 37: </w:t>
        </w:r>
        <w:r w:rsidR="00A43EF3" w:rsidRPr="006F5EF0">
          <w:rPr>
            <w:rStyle w:val="Hyperlink"/>
            <w:rFonts w:eastAsia="Times New Roman,Bold"/>
            <w:noProof/>
          </w:rPr>
          <w:t>Средногодишни стойности на концентрацията на олово за 2020 г. μg/m</w:t>
        </w:r>
        <w:r w:rsidR="00A43EF3" w:rsidRPr="006F5EF0">
          <w:rPr>
            <w:rStyle w:val="Hyperlink"/>
            <w:rFonts w:eastAsia="Times New Roman,Bold"/>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_Toc115255098 \h </w:instrText>
        </w:r>
        <w:r w:rsidR="00A43EF3">
          <w:rPr>
            <w:noProof/>
            <w:webHidden/>
          </w:rPr>
        </w:r>
        <w:r w:rsidR="00A43EF3">
          <w:rPr>
            <w:noProof/>
            <w:webHidden/>
          </w:rPr>
          <w:fldChar w:fldCharType="separate"/>
        </w:r>
        <w:r w:rsidR="00A43EF3">
          <w:rPr>
            <w:noProof/>
            <w:webHidden/>
          </w:rPr>
          <w:t>192</w:t>
        </w:r>
        <w:r w:rsidR="00A43EF3">
          <w:rPr>
            <w:noProof/>
            <w:webHidden/>
          </w:rPr>
          <w:fldChar w:fldCharType="end"/>
        </w:r>
      </w:hyperlink>
    </w:p>
    <w:p w14:paraId="17175C00" w14:textId="5DE37D3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099" w:history="1">
        <w:r w:rsidR="00A43EF3" w:rsidRPr="006F5EF0">
          <w:rPr>
            <w:rStyle w:val="Hyperlink"/>
            <w:noProof/>
          </w:rPr>
          <w:t>Фигура 38: Средногодишни стойности на концентрацията на кадмий за 2019 г., ng/m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_Toc115255099 \h </w:instrText>
        </w:r>
        <w:r w:rsidR="00A43EF3">
          <w:rPr>
            <w:noProof/>
            <w:webHidden/>
          </w:rPr>
        </w:r>
        <w:r w:rsidR="00A43EF3">
          <w:rPr>
            <w:noProof/>
            <w:webHidden/>
          </w:rPr>
          <w:fldChar w:fldCharType="separate"/>
        </w:r>
        <w:r w:rsidR="00A43EF3">
          <w:rPr>
            <w:noProof/>
            <w:webHidden/>
          </w:rPr>
          <w:t>193</w:t>
        </w:r>
        <w:r w:rsidR="00A43EF3">
          <w:rPr>
            <w:noProof/>
            <w:webHidden/>
          </w:rPr>
          <w:fldChar w:fldCharType="end"/>
        </w:r>
      </w:hyperlink>
    </w:p>
    <w:p w14:paraId="7631246B" w14:textId="76B1F82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0" w:history="1">
        <w:r w:rsidR="00A43EF3" w:rsidRPr="006F5EF0">
          <w:rPr>
            <w:rStyle w:val="Hyperlink"/>
            <w:noProof/>
          </w:rPr>
          <w:t>Фигура 39: Средногодишни стойности на концентрацията на никел за 2020 г., ng/m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_Toc115255100 \h </w:instrText>
        </w:r>
        <w:r w:rsidR="00A43EF3">
          <w:rPr>
            <w:noProof/>
            <w:webHidden/>
          </w:rPr>
        </w:r>
        <w:r w:rsidR="00A43EF3">
          <w:rPr>
            <w:noProof/>
            <w:webHidden/>
          </w:rPr>
          <w:fldChar w:fldCharType="separate"/>
        </w:r>
        <w:r w:rsidR="00A43EF3">
          <w:rPr>
            <w:noProof/>
            <w:webHidden/>
          </w:rPr>
          <w:t>194</w:t>
        </w:r>
        <w:r w:rsidR="00A43EF3">
          <w:rPr>
            <w:noProof/>
            <w:webHidden/>
          </w:rPr>
          <w:fldChar w:fldCharType="end"/>
        </w:r>
      </w:hyperlink>
    </w:p>
    <w:p w14:paraId="564F1475" w14:textId="1B5D082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1" w:history="1">
        <w:r w:rsidR="00A43EF3" w:rsidRPr="006F5EF0">
          <w:rPr>
            <w:rStyle w:val="Hyperlink"/>
            <w:noProof/>
          </w:rPr>
          <w:t>Фигура 40: Средногодишни концентрации на арсен за 2020 г., ng/m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_Toc115255101 \h </w:instrText>
        </w:r>
        <w:r w:rsidR="00A43EF3">
          <w:rPr>
            <w:noProof/>
            <w:webHidden/>
          </w:rPr>
        </w:r>
        <w:r w:rsidR="00A43EF3">
          <w:rPr>
            <w:noProof/>
            <w:webHidden/>
          </w:rPr>
          <w:fldChar w:fldCharType="separate"/>
        </w:r>
        <w:r w:rsidR="00A43EF3">
          <w:rPr>
            <w:noProof/>
            <w:webHidden/>
          </w:rPr>
          <w:t>194</w:t>
        </w:r>
        <w:r w:rsidR="00A43EF3">
          <w:rPr>
            <w:noProof/>
            <w:webHidden/>
          </w:rPr>
          <w:fldChar w:fldCharType="end"/>
        </w:r>
      </w:hyperlink>
    </w:p>
    <w:p w14:paraId="32D0A273" w14:textId="2A96010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2" w:history="1">
        <w:r w:rsidR="00A43EF3" w:rsidRPr="006F5EF0">
          <w:rPr>
            <w:rStyle w:val="Hyperlink"/>
            <w:noProof/>
          </w:rPr>
          <w:t>Фигура 41: Максимални осемчасови концентрации на СО за 2020 г., mg/m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_Toc115255102 \h </w:instrText>
        </w:r>
        <w:r w:rsidR="00A43EF3">
          <w:rPr>
            <w:noProof/>
            <w:webHidden/>
          </w:rPr>
        </w:r>
        <w:r w:rsidR="00A43EF3">
          <w:rPr>
            <w:noProof/>
            <w:webHidden/>
          </w:rPr>
          <w:fldChar w:fldCharType="separate"/>
        </w:r>
        <w:r w:rsidR="00A43EF3">
          <w:rPr>
            <w:noProof/>
            <w:webHidden/>
          </w:rPr>
          <w:t>195</w:t>
        </w:r>
        <w:r w:rsidR="00A43EF3">
          <w:rPr>
            <w:noProof/>
            <w:webHidden/>
          </w:rPr>
          <w:fldChar w:fldCharType="end"/>
        </w:r>
      </w:hyperlink>
    </w:p>
    <w:p w14:paraId="08F4D65F" w14:textId="62A59EEE"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3" w:history="1">
        <w:r w:rsidR="00A43EF3" w:rsidRPr="006F5EF0">
          <w:rPr>
            <w:rStyle w:val="Hyperlink"/>
            <w:noProof/>
          </w:rPr>
          <w:t>Фигура 42: Характеристика на пунктовете по отношение на замърсяването на атмосферния въздух с бензен за 2020 г., μg/m</w:t>
        </w:r>
        <w:r w:rsidR="00A43EF3" w:rsidRPr="006F5EF0">
          <w:rPr>
            <w:rStyle w:val="Hyperlink"/>
            <w:noProof/>
            <w:vertAlign w:val="superscript"/>
          </w:rPr>
          <w:t>3</w:t>
        </w:r>
        <w:r w:rsidR="00A43EF3">
          <w:rPr>
            <w:noProof/>
            <w:webHidden/>
          </w:rPr>
          <w:tab/>
        </w:r>
        <w:r w:rsidR="00A43EF3">
          <w:rPr>
            <w:noProof/>
            <w:webHidden/>
          </w:rPr>
          <w:fldChar w:fldCharType="begin"/>
        </w:r>
        <w:r w:rsidR="00A43EF3">
          <w:rPr>
            <w:noProof/>
            <w:webHidden/>
          </w:rPr>
          <w:instrText xml:space="preserve"> PAGEREF _Toc115255103 \h </w:instrText>
        </w:r>
        <w:r w:rsidR="00A43EF3">
          <w:rPr>
            <w:noProof/>
            <w:webHidden/>
          </w:rPr>
        </w:r>
        <w:r w:rsidR="00A43EF3">
          <w:rPr>
            <w:noProof/>
            <w:webHidden/>
          </w:rPr>
          <w:fldChar w:fldCharType="separate"/>
        </w:r>
        <w:r w:rsidR="00A43EF3">
          <w:rPr>
            <w:noProof/>
            <w:webHidden/>
          </w:rPr>
          <w:t>196</w:t>
        </w:r>
        <w:r w:rsidR="00A43EF3">
          <w:rPr>
            <w:noProof/>
            <w:webHidden/>
          </w:rPr>
          <w:fldChar w:fldCharType="end"/>
        </w:r>
      </w:hyperlink>
    </w:p>
    <w:p w14:paraId="33D09DA7" w14:textId="13F755F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4" w:history="1">
        <w:r w:rsidR="00A43EF3" w:rsidRPr="006F5EF0">
          <w:rPr>
            <w:rStyle w:val="Hyperlink"/>
            <w:noProof/>
          </w:rPr>
          <w:t>Фигура 43: Карта на България с границите на четирите Басейнови дирекции</w:t>
        </w:r>
        <w:r w:rsidR="00A43EF3">
          <w:rPr>
            <w:noProof/>
            <w:webHidden/>
          </w:rPr>
          <w:tab/>
        </w:r>
        <w:r w:rsidR="00A43EF3">
          <w:rPr>
            <w:noProof/>
            <w:webHidden/>
          </w:rPr>
          <w:fldChar w:fldCharType="begin"/>
        </w:r>
        <w:r w:rsidR="00A43EF3">
          <w:rPr>
            <w:noProof/>
            <w:webHidden/>
          </w:rPr>
          <w:instrText xml:space="preserve"> PAGEREF _Toc115255104 \h </w:instrText>
        </w:r>
        <w:r w:rsidR="00A43EF3">
          <w:rPr>
            <w:noProof/>
            <w:webHidden/>
          </w:rPr>
        </w:r>
        <w:r w:rsidR="00A43EF3">
          <w:rPr>
            <w:noProof/>
            <w:webHidden/>
          </w:rPr>
          <w:fldChar w:fldCharType="separate"/>
        </w:r>
        <w:r w:rsidR="00A43EF3">
          <w:rPr>
            <w:noProof/>
            <w:webHidden/>
          </w:rPr>
          <w:t>198</w:t>
        </w:r>
        <w:r w:rsidR="00A43EF3">
          <w:rPr>
            <w:noProof/>
            <w:webHidden/>
          </w:rPr>
          <w:fldChar w:fldCharType="end"/>
        </w:r>
      </w:hyperlink>
    </w:p>
    <w:p w14:paraId="653CF0C6" w14:textId="3EC021E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5" w:history="1">
        <w:r w:rsidR="00A43EF3" w:rsidRPr="006F5EF0">
          <w:rPr>
            <w:rStyle w:val="Hyperlink"/>
            <w:noProof/>
          </w:rPr>
          <w:t>Фигура 44: Райони за първоначална оценка в бентала на Българската акватория на Черно море</w:t>
        </w:r>
        <w:r w:rsidR="00A43EF3">
          <w:rPr>
            <w:noProof/>
            <w:webHidden/>
          </w:rPr>
          <w:tab/>
        </w:r>
        <w:r w:rsidR="00A43EF3">
          <w:rPr>
            <w:noProof/>
            <w:webHidden/>
          </w:rPr>
          <w:fldChar w:fldCharType="begin"/>
        </w:r>
        <w:r w:rsidR="00A43EF3">
          <w:rPr>
            <w:noProof/>
            <w:webHidden/>
          </w:rPr>
          <w:instrText xml:space="preserve"> PAGEREF _Toc115255105 \h </w:instrText>
        </w:r>
        <w:r w:rsidR="00A43EF3">
          <w:rPr>
            <w:noProof/>
            <w:webHidden/>
          </w:rPr>
        </w:r>
        <w:r w:rsidR="00A43EF3">
          <w:rPr>
            <w:noProof/>
            <w:webHidden/>
          </w:rPr>
          <w:fldChar w:fldCharType="separate"/>
        </w:r>
        <w:r w:rsidR="00A43EF3">
          <w:rPr>
            <w:noProof/>
            <w:webHidden/>
          </w:rPr>
          <w:t>241</w:t>
        </w:r>
        <w:r w:rsidR="00A43EF3">
          <w:rPr>
            <w:noProof/>
            <w:webHidden/>
          </w:rPr>
          <w:fldChar w:fldCharType="end"/>
        </w:r>
      </w:hyperlink>
    </w:p>
    <w:p w14:paraId="6DEDC55A" w14:textId="4065F9B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6" w:history="1">
        <w:r w:rsidR="00A43EF3" w:rsidRPr="006F5EF0">
          <w:rPr>
            <w:rStyle w:val="Hyperlink"/>
            <w:noProof/>
          </w:rPr>
          <w:t>Фигура 45: Находища с полезни изкопаеми в Р България</w:t>
        </w:r>
        <w:r w:rsidR="00A43EF3">
          <w:rPr>
            <w:noProof/>
            <w:webHidden/>
          </w:rPr>
          <w:tab/>
        </w:r>
        <w:r w:rsidR="00A43EF3">
          <w:rPr>
            <w:noProof/>
            <w:webHidden/>
          </w:rPr>
          <w:fldChar w:fldCharType="begin"/>
        </w:r>
        <w:r w:rsidR="00A43EF3">
          <w:rPr>
            <w:noProof/>
            <w:webHidden/>
          </w:rPr>
          <w:instrText xml:space="preserve"> PAGEREF _Toc115255106 \h </w:instrText>
        </w:r>
        <w:r w:rsidR="00A43EF3">
          <w:rPr>
            <w:noProof/>
            <w:webHidden/>
          </w:rPr>
        </w:r>
        <w:r w:rsidR="00A43EF3">
          <w:rPr>
            <w:noProof/>
            <w:webHidden/>
          </w:rPr>
          <w:fldChar w:fldCharType="separate"/>
        </w:r>
        <w:r w:rsidR="00A43EF3">
          <w:rPr>
            <w:noProof/>
            <w:webHidden/>
          </w:rPr>
          <w:t>261</w:t>
        </w:r>
        <w:r w:rsidR="00A43EF3">
          <w:rPr>
            <w:noProof/>
            <w:webHidden/>
          </w:rPr>
          <w:fldChar w:fldCharType="end"/>
        </w:r>
      </w:hyperlink>
    </w:p>
    <w:p w14:paraId="55B8FD56" w14:textId="164CB45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7" w:history="1">
        <w:r w:rsidR="00A43EF3" w:rsidRPr="006F5EF0">
          <w:rPr>
            <w:rStyle w:val="Hyperlink"/>
            <w:noProof/>
          </w:rPr>
          <w:t>Фигура 46:  Инженерно-геоложки региони и области</w:t>
        </w:r>
        <w:r w:rsidR="00A43EF3">
          <w:rPr>
            <w:noProof/>
            <w:webHidden/>
          </w:rPr>
          <w:tab/>
        </w:r>
        <w:r w:rsidR="00A43EF3">
          <w:rPr>
            <w:noProof/>
            <w:webHidden/>
          </w:rPr>
          <w:fldChar w:fldCharType="begin"/>
        </w:r>
        <w:r w:rsidR="00A43EF3">
          <w:rPr>
            <w:noProof/>
            <w:webHidden/>
          </w:rPr>
          <w:instrText xml:space="preserve"> PAGEREF _Toc115255107 \h </w:instrText>
        </w:r>
        <w:r w:rsidR="00A43EF3">
          <w:rPr>
            <w:noProof/>
            <w:webHidden/>
          </w:rPr>
        </w:r>
        <w:r w:rsidR="00A43EF3">
          <w:rPr>
            <w:noProof/>
            <w:webHidden/>
          </w:rPr>
          <w:fldChar w:fldCharType="separate"/>
        </w:r>
        <w:r w:rsidR="00A43EF3">
          <w:rPr>
            <w:noProof/>
            <w:webHidden/>
          </w:rPr>
          <w:t>262</w:t>
        </w:r>
        <w:r w:rsidR="00A43EF3">
          <w:rPr>
            <w:noProof/>
            <w:webHidden/>
          </w:rPr>
          <w:fldChar w:fldCharType="end"/>
        </w:r>
      </w:hyperlink>
    </w:p>
    <w:p w14:paraId="34DBBEF5" w14:textId="534D783E"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8" w:history="1">
        <w:r w:rsidR="00A43EF3" w:rsidRPr="006F5EF0">
          <w:rPr>
            <w:rStyle w:val="Hyperlink"/>
            <w:noProof/>
          </w:rPr>
          <w:t xml:space="preserve">Фигура 47: </w:t>
        </w:r>
        <w:r w:rsidR="00A43EF3" w:rsidRPr="006F5EF0">
          <w:rPr>
            <w:rStyle w:val="Hyperlink"/>
            <w:rFonts w:eastAsia="Calibri"/>
            <w:b/>
            <w:bCs/>
            <w:noProof/>
          </w:rPr>
          <w:t xml:space="preserve"> </w:t>
        </w:r>
        <w:r w:rsidR="00A43EF3" w:rsidRPr="006F5EF0">
          <w:rPr>
            <w:rStyle w:val="Hyperlink"/>
            <w:rFonts w:eastAsia="Calibri"/>
            <w:noProof/>
          </w:rPr>
          <w:t>Карта на геоложките опасности в България, по И. Бручев и колектив</w:t>
        </w:r>
        <w:r w:rsidR="00A43EF3">
          <w:rPr>
            <w:noProof/>
            <w:webHidden/>
          </w:rPr>
          <w:tab/>
        </w:r>
        <w:r w:rsidR="00A43EF3">
          <w:rPr>
            <w:noProof/>
            <w:webHidden/>
          </w:rPr>
          <w:fldChar w:fldCharType="begin"/>
        </w:r>
        <w:r w:rsidR="00A43EF3">
          <w:rPr>
            <w:noProof/>
            <w:webHidden/>
          </w:rPr>
          <w:instrText xml:space="preserve"> PAGEREF _Toc115255108 \h </w:instrText>
        </w:r>
        <w:r w:rsidR="00A43EF3">
          <w:rPr>
            <w:noProof/>
            <w:webHidden/>
          </w:rPr>
        </w:r>
        <w:r w:rsidR="00A43EF3">
          <w:rPr>
            <w:noProof/>
            <w:webHidden/>
          </w:rPr>
          <w:fldChar w:fldCharType="separate"/>
        </w:r>
        <w:r w:rsidR="00A43EF3">
          <w:rPr>
            <w:noProof/>
            <w:webHidden/>
          </w:rPr>
          <w:t>263</w:t>
        </w:r>
        <w:r w:rsidR="00A43EF3">
          <w:rPr>
            <w:noProof/>
            <w:webHidden/>
          </w:rPr>
          <w:fldChar w:fldCharType="end"/>
        </w:r>
      </w:hyperlink>
    </w:p>
    <w:p w14:paraId="6D399A5D" w14:textId="69E7853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09" w:history="1">
        <w:r w:rsidR="00A43EF3" w:rsidRPr="006F5EF0">
          <w:rPr>
            <w:rStyle w:val="Hyperlink"/>
            <w:noProof/>
          </w:rPr>
          <w:t xml:space="preserve">Фигура 48: </w:t>
        </w:r>
        <w:r w:rsidR="00A43EF3" w:rsidRPr="006F5EF0">
          <w:rPr>
            <w:rStyle w:val="Hyperlink"/>
            <w:rFonts w:eastAsia="Calibri"/>
            <w:b/>
            <w:bCs/>
            <w:noProof/>
          </w:rPr>
          <w:t xml:space="preserve"> </w:t>
        </w:r>
        <w:r w:rsidR="00A43EF3" w:rsidRPr="006F5EF0">
          <w:rPr>
            <w:rStyle w:val="Hyperlink"/>
            <w:rFonts w:eastAsia="Calibri"/>
            <w:noProof/>
          </w:rPr>
          <w:t>Карта на сеизмичните източници в България</w:t>
        </w:r>
        <w:r w:rsidR="00A43EF3">
          <w:rPr>
            <w:noProof/>
            <w:webHidden/>
          </w:rPr>
          <w:tab/>
        </w:r>
        <w:r w:rsidR="00A43EF3">
          <w:rPr>
            <w:noProof/>
            <w:webHidden/>
          </w:rPr>
          <w:fldChar w:fldCharType="begin"/>
        </w:r>
        <w:r w:rsidR="00A43EF3">
          <w:rPr>
            <w:noProof/>
            <w:webHidden/>
          </w:rPr>
          <w:instrText xml:space="preserve"> PAGEREF _Toc115255109 \h </w:instrText>
        </w:r>
        <w:r w:rsidR="00A43EF3">
          <w:rPr>
            <w:noProof/>
            <w:webHidden/>
          </w:rPr>
        </w:r>
        <w:r w:rsidR="00A43EF3">
          <w:rPr>
            <w:noProof/>
            <w:webHidden/>
          </w:rPr>
          <w:fldChar w:fldCharType="separate"/>
        </w:r>
        <w:r w:rsidR="00A43EF3">
          <w:rPr>
            <w:noProof/>
            <w:webHidden/>
          </w:rPr>
          <w:t>264</w:t>
        </w:r>
        <w:r w:rsidR="00A43EF3">
          <w:rPr>
            <w:noProof/>
            <w:webHidden/>
          </w:rPr>
          <w:fldChar w:fldCharType="end"/>
        </w:r>
      </w:hyperlink>
    </w:p>
    <w:p w14:paraId="55E3C810" w14:textId="732061F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0" w:history="1">
        <w:r w:rsidR="00A43EF3" w:rsidRPr="006F5EF0">
          <w:rPr>
            <w:rStyle w:val="Hyperlink"/>
            <w:noProof/>
          </w:rPr>
          <w:t>Фигура 49:</w:t>
        </w:r>
        <w:r w:rsidR="00A43EF3" w:rsidRPr="006F5EF0">
          <w:rPr>
            <w:rStyle w:val="Hyperlink"/>
            <w:rFonts w:eastAsia="Times New Roman"/>
            <w:b/>
            <w:bCs/>
            <w:noProof/>
          </w:rPr>
          <w:t xml:space="preserve"> </w:t>
        </w:r>
        <w:r w:rsidR="00A43EF3" w:rsidRPr="006F5EF0">
          <w:rPr>
            <w:rStyle w:val="Hyperlink"/>
            <w:rFonts w:eastAsia="Times New Roman"/>
            <w:noProof/>
          </w:rPr>
          <w:t>Почвени провинции в България (Нинов, 1997)</w:t>
        </w:r>
        <w:r w:rsidR="00A43EF3">
          <w:rPr>
            <w:noProof/>
            <w:webHidden/>
          </w:rPr>
          <w:tab/>
        </w:r>
        <w:r w:rsidR="00A43EF3">
          <w:rPr>
            <w:noProof/>
            <w:webHidden/>
          </w:rPr>
          <w:fldChar w:fldCharType="begin"/>
        </w:r>
        <w:r w:rsidR="00A43EF3">
          <w:rPr>
            <w:noProof/>
            <w:webHidden/>
          </w:rPr>
          <w:instrText xml:space="preserve"> PAGEREF _Toc115255110 \h </w:instrText>
        </w:r>
        <w:r w:rsidR="00A43EF3">
          <w:rPr>
            <w:noProof/>
            <w:webHidden/>
          </w:rPr>
        </w:r>
        <w:r w:rsidR="00A43EF3">
          <w:rPr>
            <w:noProof/>
            <w:webHidden/>
          </w:rPr>
          <w:fldChar w:fldCharType="separate"/>
        </w:r>
        <w:r w:rsidR="00A43EF3">
          <w:rPr>
            <w:noProof/>
            <w:webHidden/>
          </w:rPr>
          <w:t>267</w:t>
        </w:r>
        <w:r w:rsidR="00A43EF3">
          <w:rPr>
            <w:noProof/>
            <w:webHidden/>
          </w:rPr>
          <w:fldChar w:fldCharType="end"/>
        </w:r>
      </w:hyperlink>
    </w:p>
    <w:p w14:paraId="1E7EE568" w14:textId="0B9E4A8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1" w:history="1">
        <w:r w:rsidR="00A43EF3" w:rsidRPr="006F5EF0">
          <w:rPr>
            <w:rStyle w:val="Hyperlink"/>
            <w:noProof/>
          </w:rPr>
          <w:t xml:space="preserve">Фигура 50: </w:t>
        </w:r>
        <w:r w:rsidR="00A43EF3" w:rsidRPr="006F5EF0">
          <w:rPr>
            <w:rStyle w:val="Hyperlink"/>
            <w:rFonts w:eastAsia="Times New Roman"/>
            <w:noProof/>
          </w:rPr>
          <w:t>Схема на ландшафтно-екологичното райониране на България</w:t>
        </w:r>
        <w:r w:rsidR="00A43EF3">
          <w:rPr>
            <w:noProof/>
            <w:webHidden/>
          </w:rPr>
          <w:tab/>
        </w:r>
        <w:r w:rsidR="00A43EF3">
          <w:rPr>
            <w:noProof/>
            <w:webHidden/>
          </w:rPr>
          <w:fldChar w:fldCharType="begin"/>
        </w:r>
        <w:r w:rsidR="00A43EF3">
          <w:rPr>
            <w:noProof/>
            <w:webHidden/>
          </w:rPr>
          <w:instrText xml:space="preserve"> PAGEREF _Toc115255111 \h </w:instrText>
        </w:r>
        <w:r w:rsidR="00A43EF3">
          <w:rPr>
            <w:noProof/>
            <w:webHidden/>
          </w:rPr>
        </w:r>
        <w:r w:rsidR="00A43EF3">
          <w:rPr>
            <w:noProof/>
            <w:webHidden/>
          </w:rPr>
          <w:fldChar w:fldCharType="separate"/>
        </w:r>
        <w:r w:rsidR="00A43EF3">
          <w:rPr>
            <w:noProof/>
            <w:webHidden/>
          </w:rPr>
          <w:t>274</w:t>
        </w:r>
        <w:r w:rsidR="00A43EF3">
          <w:rPr>
            <w:noProof/>
            <w:webHidden/>
          </w:rPr>
          <w:fldChar w:fldCharType="end"/>
        </w:r>
      </w:hyperlink>
    </w:p>
    <w:p w14:paraId="05338739" w14:textId="233C65E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2" w:history="1">
        <w:r w:rsidR="00A43EF3" w:rsidRPr="006F5EF0">
          <w:rPr>
            <w:rStyle w:val="Hyperlink"/>
            <w:noProof/>
          </w:rPr>
          <w:t>Фигура 51:</w:t>
        </w:r>
        <w:r w:rsidR="00A43EF3" w:rsidRPr="006F5EF0">
          <w:rPr>
            <w:rStyle w:val="Hyperlink"/>
            <w:bCs/>
            <w:noProof/>
          </w:rPr>
          <w:t xml:space="preserve"> Регионални сдружения за управление на отпадъците на територията на Р България</w:t>
        </w:r>
        <w:r w:rsidR="00A43EF3">
          <w:rPr>
            <w:noProof/>
            <w:webHidden/>
          </w:rPr>
          <w:tab/>
        </w:r>
        <w:r w:rsidR="00A43EF3">
          <w:rPr>
            <w:noProof/>
            <w:webHidden/>
          </w:rPr>
          <w:fldChar w:fldCharType="begin"/>
        </w:r>
        <w:r w:rsidR="00A43EF3">
          <w:rPr>
            <w:noProof/>
            <w:webHidden/>
          </w:rPr>
          <w:instrText xml:space="preserve"> PAGEREF _Toc115255112 \h </w:instrText>
        </w:r>
        <w:r w:rsidR="00A43EF3">
          <w:rPr>
            <w:noProof/>
            <w:webHidden/>
          </w:rPr>
        </w:r>
        <w:r w:rsidR="00A43EF3">
          <w:rPr>
            <w:noProof/>
            <w:webHidden/>
          </w:rPr>
          <w:fldChar w:fldCharType="separate"/>
        </w:r>
        <w:r w:rsidR="00A43EF3">
          <w:rPr>
            <w:noProof/>
            <w:webHidden/>
          </w:rPr>
          <w:t>278</w:t>
        </w:r>
        <w:r w:rsidR="00A43EF3">
          <w:rPr>
            <w:noProof/>
            <w:webHidden/>
          </w:rPr>
          <w:fldChar w:fldCharType="end"/>
        </w:r>
      </w:hyperlink>
    </w:p>
    <w:p w14:paraId="24D75147" w14:textId="320A4E7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3" w:history="1">
        <w:r w:rsidR="00A43EF3" w:rsidRPr="006F5EF0">
          <w:rPr>
            <w:rStyle w:val="Hyperlink"/>
            <w:noProof/>
          </w:rPr>
          <w:t>Фигура 52:</w:t>
        </w:r>
        <w:r w:rsidR="00A43EF3" w:rsidRPr="006F5EF0">
          <w:rPr>
            <w:rStyle w:val="Hyperlink"/>
            <w:bCs/>
            <w:noProof/>
          </w:rPr>
          <w:t xml:space="preserve"> Образувани битови отпадъци по статистически региони</w:t>
        </w:r>
        <w:r w:rsidR="00A43EF3">
          <w:rPr>
            <w:noProof/>
            <w:webHidden/>
          </w:rPr>
          <w:tab/>
        </w:r>
        <w:r w:rsidR="00A43EF3">
          <w:rPr>
            <w:noProof/>
            <w:webHidden/>
          </w:rPr>
          <w:fldChar w:fldCharType="begin"/>
        </w:r>
        <w:r w:rsidR="00A43EF3">
          <w:rPr>
            <w:noProof/>
            <w:webHidden/>
          </w:rPr>
          <w:instrText xml:space="preserve"> PAGEREF _Toc115255113 \h </w:instrText>
        </w:r>
        <w:r w:rsidR="00A43EF3">
          <w:rPr>
            <w:noProof/>
            <w:webHidden/>
          </w:rPr>
        </w:r>
        <w:r w:rsidR="00A43EF3">
          <w:rPr>
            <w:noProof/>
            <w:webHidden/>
          </w:rPr>
          <w:fldChar w:fldCharType="separate"/>
        </w:r>
        <w:r w:rsidR="00A43EF3">
          <w:rPr>
            <w:noProof/>
            <w:webHidden/>
          </w:rPr>
          <w:t>279</w:t>
        </w:r>
        <w:r w:rsidR="00A43EF3">
          <w:rPr>
            <w:noProof/>
            <w:webHidden/>
          </w:rPr>
          <w:fldChar w:fldCharType="end"/>
        </w:r>
      </w:hyperlink>
    </w:p>
    <w:p w14:paraId="7355D3C7" w14:textId="2BB9BFB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4" w:history="1">
        <w:r w:rsidR="00A43EF3" w:rsidRPr="006F5EF0">
          <w:rPr>
            <w:rStyle w:val="Hyperlink"/>
            <w:noProof/>
          </w:rPr>
          <w:t>Фигура 53:</w:t>
        </w:r>
        <w:r w:rsidR="00A43EF3" w:rsidRPr="006F5EF0">
          <w:rPr>
            <w:rStyle w:val="Hyperlink"/>
            <w:bCs/>
            <w:noProof/>
          </w:rPr>
          <w:t xml:space="preserve"> </w:t>
        </w:r>
        <w:r w:rsidR="00A43EF3" w:rsidRPr="006F5EF0">
          <w:rPr>
            <w:rStyle w:val="Hyperlink"/>
            <w:noProof/>
          </w:rPr>
          <w:t>Образувани отпадъци от опаковки за 2020г.</w:t>
        </w:r>
        <w:r w:rsidR="00A43EF3">
          <w:rPr>
            <w:noProof/>
            <w:webHidden/>
          </w:rPr>
          <w:tab/>
        </w:r>
        <w:r w:rsidR="00A43EF3">
          <w:rPr>
            <w:noProof/>
            <w:webHidden/>
          </w:rPr>
          <w:fldChar w:fldCharType="begin"/>
        </w:r>
        <w:r w:rsidR="00A43EF3">
          <w:rPr>
            <w:noProof/>
            <w:webHidden/>
          </w:rPr>
          <w:instrText xml:space="preserve"> PAGEREF _Toc115255114 \h </w:instrText>
        </w:r>
        <w:r w:rsidR="00A43EF3">
          <w:rPr>
            <w:noProof/>
            <w:webHidden/>
          </w:rPr>
        </w:r>
        <w:r w:rsidR="00A43EF3">
          <w:rPr>
            <w:noProof/>
            <w:webHidden/>
          </w:rPr>
          <w:fldChar w:fldCharType="separate"/>
        </w:r>
        <w:r w:rsidR="00A43EF3">
          <w:rPr>
            <w:noProof/>
            <w:webHidden/>
          </w:rPr>
          <w:t>280</w:t>
        </w:r>
        <w:r w:rsidR="00A43EF3">
          <w:rPr>
            <w:noProof/>
            <w:webHidden/>
          </w:rPr>
          <w:fldChar w:fldCharType="end"/>
        </w:r>
      </w:hyperlink>
    </w:p>
    <w:p w14:paraId="3EAA61F8" w14:textId="5C770B2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5" w:history="1">
        <w:r w:rsidR="00A43EF3" w:rsidRPr="006F5EF0">
          <w:rPr>
            <w:rStyle w:val="Hyperlink"/>
            <w:noProof/>
          </w:rPr>
          <w:t>Фигура 54:</w:t>
        </w:r>
        <w:r w:rsidR="00A43EF3" w:rsidRPr="006F5EF0">
          <w:rPr>
            <w:rStyle w:val="Hyperlink"/>
            <w:bCs/>
            <w:noProof/>
          </w:rPr>
          <w:t xml:space="preserve"> </w:t>
        </w:r>
        <w:r w:rsidR="00A43EF3" w:rsidRPr="006F5EF0">
          <w:rPr>
            <w:rStyle w:val="Hyperlink"/>
            <w:noProof/>
          </w:rPr>
          <w:t>Образувани отпадъци от опаковки за 2020г.</w:t>
        </w:r>
        <w:r w:rsidR="00A43EF3">
          <w:rPr>
            <w:noProof/>
            <w:webHidden/>
          </w:rPr>
          <w:tab/>
        </w:r>
        <w:r w:rsidR="00A43EF3">
          <w:rPr>
            <w:noProof/>
            <w:webHidden/>
          </w:rPr>
          <w:fldChar w:fldCharType="begin"/>
        </w:r>
        <w:r w:rsidR="00A43EF3">
          <w:rPr>
            <w:noProof/>
            <w:webHidden/>
          </w:rPr>
          <w:instrText xml:space="preserve"> PAGEREF _Toc115255115 \h </w:instrText>
        </w:r>
        <w:r w:rsidR="00A43EF3">
          <w:rPr>
            <w:noProof/>
            <w:webHidden/>
          </w:rPr>
        </w:r>
        <w:r w:rsidR="00A43EF3">
          <w:rPr>
            <w:noProof/>
            <w:webHidden/>
          </w:rPr>
          <w:fldChar w:fldCharType="separate"/>
        </w:r>
        <w:r w:rsidR="00A43EF3">
          <w:rPr>
            <w:noProof/>
            <w:webHidden/>
          </w:rPr>
          <w:t>280</w:t>
        </w:r>
        <w:r w:rsidR="00A43EF3">
          <w:rPr>
            <w:noProof/>
            <w:webHidden/>
          </w:rPr>
          <w:fldChar w:fldCharType="end"/>
        </w:r>
      </w:hyperlink>
    </w:p>
    <w:p w14:paraId="297D377E" w14:textId="77A8809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6" w:history="1">
        <w:r w:rsidR="00A43EF3" w:rsidRPr="006F5EF0">
          <w:rPr>
            <w:rStyle w:val="Hyperlink"/>
            <w:noProof/>
          </w:rPr>
          <w:t>Фигура 55: Обхванати общини от системите за разделно събиране.</w:t>
        </w:r>
        <w:r w:rsidR="00A43EF3">
          <w:rPr>
            <w:noProof/>
            <w:webHidden/>
          </w:rPr>
          <w:tab/>
        </w:r>
        <w:r w:rsidR="00A43EF3">
          <w:rPr>
            <w:noProof/>
            <w:webHidden/>
          </w:rPr>
          <w:fldChar w:fldCharType="begin"/>
        </w:r>
        <w:r w:rsidR="00A43EF3">
          <w:rPr>
            <w:noProof/>
            <w:webHidden/>
          </w:rPr>
          <w:instrText xml:space="preserve"> PAGEREF _Toc115255116 \h </w:instrText>
        </w:r>
        <w:r w:rsidR="00A43EF3">
          <w:rPr>
            <w:noProof/>
            <w:webHidden/>
          </w:rPr>
        </w:r>
        <w:r w:rsidR="00A43EF3">
          <w:rPr>
            <w:noProof/>
            <w:webHidden/>
          </w:rPr>
          <w:fldChar w:fldCharType="separate"/>
        </w:r>
        <w:r w:rsidR="00A43EF3">
          <w:rPr>
            <w:noProof/>
            <w:webHidden/>
          </w:rPr>
          <w:t>281</w:t>
        </w:r>
        <w:r w:rsidR="00A43EF3">
          <w:rPr>
            <w:noProof/>
            <w:webHidden/>
          </w:rPr>
          <w:fldChar w:fldCharType="end"/>
        </w:r>
      </w:hyperlink>
    </w:p>
    <w:p w14:paraId="43C6B2CB" w14:textId="309D9D1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7" w:history="1">
        <w:r w:rsidR="00A43EF3" w:rsidRPr="006F5EF0">
          <w:rPr>
            <w:rStyle w:val="Hyperlink"/>
            <w:noProof/>
          </w:rPr>
          <w:t xml:space="preserve">Фигура 56: </w:t>
        </w:r>
        <w:r w:rsidR="00A43EF3" w:rsidRPr="006F5EF0">
          <w:rPr>
            <w:rStyle w:val="Hyperlink"/>
            <w:bCs/>
            <w:noProof/>
          </w:rPr>
          <w:t>Съотношение между заложената и изпълнената цел по оползотворяване на ОМ на национално ниво за целия период от влизане в сила на нормативен акт за управление на отпадъците от отработени масла</w:t>
        </w:r>
        <w:r w:rsidR="00A43EF3">
          <w:rPr>
            <w:noProof/>
            <w:webHidden/>
          </w:rPr>
          <w:tab/>
        </w:r>
        <w:r w:rsidR="00A43EF3">
          <w:rPr>
            <w:noProof/>
            <w:webHidden/>
          </w:rPr>
          <w:fldChar w:fldCharType="begin"/>
        </w:r>
        <w:r w:rsidR="00A43EF3">
          <w:rPr>
            <w:noProof/>
            <w:webHidden/>
          </w:rPr>
          <w:instrText xml:space="preserve"> PAGEREF _Toc115255117 \h </w:instrText>
        </w:r>
        <w:r w:rsidR="00A43EF3">
          <w:rPr>
            <w:noProof/>
            <w:webHidden/>
          </w:rPr>
        </w:r>
        <w:r w:rsidR="00A43EF3">
          <w:rPr>
            <w:noProof/>
            <w:webHidden/>
          </w:rPr>
          <w:fldChar w:fldCharType="separate"/>
        </w:r>
        <w:r w:rsidR="00A43EF3">
          <w:rPr>
            <w:noProof/>
            <w:webHidden/>
          </w:rPr>
          <w:t>282</w:t>
        </w:r>
        <w:r w:rsidR="00A43EF3">
          <w:rPr>
            <w:noProof/>
            <w:webHidden/>
          </w:rPr>
          <w:fldChar w:fldCharType="end"/>
        </w:r>
      </w:hyperlink>
    </w:p>
    <w:p w14:paraId="38C5DD4E" w14:textId="3891BDD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8" w:history="1">
        <w:r w:rsidR="00A43EF3" w:rsidRPr="006F5EF0">
          <w:rPr>
            <w:rStyle w:val="Hyperlink"/>
            <w:noProof/>
          </w:rPr>
          <w:t xml:space="preserve">Фигура 57: </w:t>
        </w:r>
        <w:r w:rsidR="00A43EF3" w:rsidRPr="006F5EF0">
          <w:rPr>
            <w:rStyle w:val="Hyperlink"/>
            <w:bCs/>
            <w:noProof/>
          </w:rPr>
          <w:t>Дялово разпределение на оползотворените през 2019 г. ИУГ.</w:t>
        </w:r>
        <w:r w:rsidR="00A43EF3">
          <w:rPr>
            <w:noProof/>
            <w:webHidden/>
          </w:rPr>
          <w:tab/>
        </w:r>
        <w:r w:rsidR="00A43EF3">
          <w:rPr>
            <w:noProof/>
            <w:webHidden/>
          </w:rPr>
          <w:fldChar w:fldCharType="begin"/>
        </w:r>
        <w:r w:rsidR="00A43EF3">
          <w:rPr>
            <w:noProof/>
            <w:webHidden/>
          </w:rPr>
          <w:instrText xml:space="preserve"> PAGEREF _Toc115255118 \h </w:instrText>
        </w:r>
        <w:r w:rsidR="00A43EF3">
          <w:rPr>
            <w:noProof/>
            <w:webHidden/>
          </w:rPr>
        </w:r>
        <w:r w:rsidR="00A43EF3">
          <w:rPr>
            <w:noProof/>
            <w:webHidden/>
          </w:rPr>
          <w:fldChar w:fldCharType="separate"/>
        </w:r>
        <w:r w:rsidR="00A43EF3">
          <w:rPr>
            <w:noProof/>
            <w:webHidden/>
          </w:rPr>
          <w:t>283</w:t>
        </w:r>
        <w:r w:rsidR="00A43EF3">
          <w:rPr>
            <w:noProof/>
            <w:webHidden/>
          </w:rPr>
          <w:fldChar w:fldCharType="end"/>
        </w:r>
      </w:hyperlink>
    </w:p>
    <w:p w14:paraId="19C7BEB9" w14:textId="0C9AE43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19" w:history="1">
        <w:r w:rsidR="00A43EF3" w:rsidRPr="006F5EF0">
          <w:rPr>
            <w:rStyle w:val="Hyperlink"/>
            <w:noProof/>
          </w:rPr>
          <w:t xml:space="preserve">Фигура 58: </w:t>
        </w:r>
        <w:r w:rsidR="00A43EF3" w:rsidRPr="006F5EF0">
          <w:rPr>
            <w:rStyle w:val="Hyperlink"/>
            <w:bCs/>
            <w:noProof/>
          </w:rPr>
          <w:t>Съотношение между заложената и изпълнената цел по оползотворяване</w:t>
        </w:r>
        <w:r w:rsidR="00A43EF3">
          <w:rPr>
            <w:noProof/>
            <w:webHidden/>
          </w:rPr>
          <w:tab/>
        </w:r>
        <w:r w:rsidR="00A43EF3">
          <w:rPr>
            <w:noProof/>
            <w:webHidden/>
          </w:rPr>
          <w:fldChar w:fldCharType="begin"/>
        </w:r>
        <w:r w:rsidR="00A43EF3">
          <w:rPr>
            <w:noProof/>
            <w:webHidden/>
          </w:rPr>
          <w:instrText xml:space="preserve"> PAGEREF _Toc115255119 \h </w:instrText>
        </w:r>
        <w:r w:rsidR="00A43EF3">
          <w:rPr>
            <w:noProof/>
            <w:webHidden/>
          </w:rPr>
        </w:r>
        <w:r w:rsidR="00A43EF3">
          <w:rPr>
            <w:noProof/>
            <w:webHidden/>
          </w:rPr>
          <w:fldChar w:fldCharType="separate"/>
        </w:r>
        <w:r w:rsidR="00A43EF3">
          <w:rPr>
            <w:noProof/>
            <w:webHidden/>
          </w:rPr>
          <w:t>284</w:t>
        </w:r>
        <w:r w:rsidR="00A43EF3">
          <w:rPr>
            <w:noProof/>
            <w:webHidden/>
          </w:rPr>
          <w:fldChar w:fldCharType="end"/>
        </w:r>
      </w:hyperlink>
    </w:p>
    <w:p w14:paraId="1EEC7A54" w14:textId="2976061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0" w:history="1">
        <w:r w:rsidR="00A43EF3" w:rsidRPr="006F5EF0">
          <w:rPr>
            <w:rStyle w:val="Hyperlink"/>
            <w:noProof/>
          </w:rPr>
          <w:t xml:space="preserve">Фигура 59: </w:t>
        </w:r>
        <w:r w:rsidR="00A43EF3" w:rsidRPr="006F5EF0">
          <w:rPr>
            <w:rStyle w:val="Hyperlink"/>
            <w:bCs/>
            <w:noProof/>
          </w:rPr>
          <w:t xml:space="preserve"> Съотношение между заложената и изпълнената цел по регенериране и/или рециклиране</w:t>
        </w:r>
        <w:r w:rsidR="00A43EF3">
          <w:rPr>
            <w:noProof/>
            <w:webHidden/>
          </w:rPr>
          <w:tab/>
        </w:r>
        <w:r w:rsidR="00A43EF3">
          <w:rPr>
            <w:noProof/>
            <w:webHidden/>
          </w:rPr>
          <w:fldChar w:fldCharType="begin"/>
        </w:r>
        <w:r w:rsidR="00A43EF3">
          <w:rPr>
            <w:noProof/>
            <w:webHidden/>
          </w:rPr>
          <w:instrText xml:space="preserve"> PAGEREF _Toc115255120 \h </w:instrText>
        </w:r>
        <w:r w:rsidR="00A43EF3">
          <w:rPr>
            <w:noProof/>
            <w:webHidden/>
          </w:rPr>
        </w:r>
        <w:r w:rsidR="00A43EF3">
          <w:rPr>
            <w:noProof/>
            <w:webHidden/>
          </w:rPr>
          <w:fldChar w:fldCharType="separate"/>
        </w:r>
        <w:r w:rsidR="00A43EF3">
          <w:rPr>
            <w:noProof/>
            <w:webHidden/>
          </w:rPr>
          <w:t>285</w:t>
        </w:r>
        <w:r w:rsidR="00A43EF3">
          <w:rPr>
            <w:noProof/>
            <w:webHidden/>
          </w:rPr>
          <w:fldChar w:fldCharType="end"/>
        </w:r>
      </w:hyperlink>
    </w:p>
    <w:p w14:paraId="711DA80D" w14:textId="74F7DE2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1" w:history="1">
        <w:r w:rsidR="00A43EF3" w:rsidRPr="006F5EF0">
          <w:rPr>
            <w:rStyle w:val="Hyperlink"/>
            <w:noProof/>
          </w:rPr>
          <w:t xml:space="preserve">Фигура 60: </w:t>
        </w:r>
        <w:r w:rsidR="00A43EF3" w:rsidRPr="006F5EF0">
          <w:rPr>
            <w:rStyle w:val="Hyperlink"/>
            <w:bCs/>
            <w:noProof/>
          </w:rPr>
          <w:t>Съотношение между оползотворените (в т.ч. рециклирани и повторно употребени), обезвредените и временно съхранените материали по категории, получени в резултат на предварителното третиране на ИУЕЕО</w:t>
        </w:r>
        <w:r w:rsidR="00A43EF3">
          <w:rPr>
            <w:noProof/>
            <w:webHidden/>
          </w:rPr>
          <w:tab/>
        </w:r>
        <w:r w:rsidR="00A43EF3">
          <w:rPr>
            <w:noProof/>
            <w:webHidden/>
          </w:rPr>
          <w:fldChar w:fldCharType="begin"/>
        </w:r>
        <w:r w:rsidR="00A43EF3">
          <w:rPr>
            <w:noProof/>
            <w:webHidden/>
          </w:rPr>
          <w:instrText xml:space="preserve"> PAGEREF _Toc115255121 \h </w:instrText>
        </w:r>
        <w:r w:rsidR="00A43EF3">
          <w:rPr>
            <w:noProof/>
            <w:webHidden/>
          </w:rPr>
        </w:r>
        <w:r w:rsidR="00A43EF3">
          <w:rPr>
            <w:noProof/>
            <w:webHidden/>
          </w:rPr>
          <w:fldChar w:fldCharType="separate"/>
        </w:r>
        <w:r w:rsidR="00A43EF3">
          <w:rPr>
            <w:noProof/>
            <w:webHidden/>
          </w:rPr>
          <w:t>286</w:t>
        </w:r>
        <w:r w:rsidR="00A43EF3">
          <w:rPr>
            <w:noProof/>
            <w:webHidden/>
          </w:rPr>
          <w:fldChar w:fldCharType="end"/>
        </w:r>
      </w:hyperlink>
    </w:p>
    <w:p w14:paraId="19C4FC20" w14:textId="3CEC80F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2" w:history="1">
        <w:r w:rsidR="00A43EF3" w:rsidRPr="006F5EF0">
          <w:rPr>
            <w:rStyle w:val="Hyperlink"/>
            <w:noProof/>
          </w:rPr>
          <w:t xml:space="preserve">Фигура 61: </w:t>
        </w:r>
        <w:r w:rsidR="00A43EF3" w:rsidRPr="006F5EF0">
          <w:rPr>
            <w:rStyle w:val="Hyperlink"/>
            <w:bCs/>
            <w:noProof/>
          </w:rPr>
          <w:t>Нормативно заложени и постигнати цели по оползотворяване на ИУЕЕО за 2019 г.</w:t>
        </w:r>
        <w:r w:rsidR="00A43EF3">
          <w:rPr>
            <w:noProof/>
            <w:webHidden/>
          </w:rPr>
          <w:tab/>
        </w:r>
        <w:r w:rsidR="00A43EF3">
          <w:rPr>
            <w:noProof/>
            <w:webHidden/>
          </w:rPr>
          <w:fldChar w:fldCharType="begin"/>
        </w:r>
        <w:r w:rsidR="00A43EF3">
          <w:rPr>
            <w:noProof/>
            <w:webHidden/>
          </w:rPr>
          <w:instrText xml:space="preserve"> PAGEREF _Toc115255122 \h </w:instrText>
        </w:r>
        <w:r w:rsidR="00A43EF3">
          <w:rPr>
            <w:noProof/>
            <w:webHidden/>
          </w:rPr>
        </w:r>
        <w:r w:rsidR="00A43EF3">
          <w:rPr>
            <w:noProof/>
            <w:webHidden/>
          </w:rPr>
          <w:fldChar w:fldCharType="separate"/>
        </w:r>
        <w:r w:rsidR="00A43EF3">
          <w:rPr>
            <w:noProof/>
            <w:webHidden/>
          </w:rPr>
          <w:t>287</w:t>
        </w:r>
        <w:r w:rsidR="00A43EF3">
          <w:rPr>
            <w:noProof/>
            <w:webHidden/>
          </w:rPr>
          <w:fldChar w:fldCharType="end"/>
        </w:r>
      </w:hyperlink>
    </w:p>
    <w:p w14:paraId="350925C7" w14:textId="74E1D17E"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3" w:history="1">
        <w:r w:rsidR="00A43EF3" w:rsidRPr="006F5EF0">
          <w:rPr>
            <w:rStyle w:val="Hyperlink"/>
            <w:noProof/>
          </w:rPr>
          <w:t xml:space="preserve">Фигура 62: </w:t>
        </w:r>
        <w:r w:rsidR="00A43EF3" w:rsidRPr="006F5EF0">
          <w:rPr>
            <w:rStyle w:val="Hyperlink"/>
            <w:bCs/>
            <w:noProof/>
          </w:rPr>
          <w:t>Нормативно заложени и постигнати цели по рециклиране на ИУЕЕО за 2019 г.</w:t>
        </w:r>
        <w:r w:rsidR="00A43EF3">
          <w:rPr>
            <w:noProof/>
            <w:webHidden/>
          </w:rPr>
          <w:tab/>
        </w:r>
        <w:r w:rsidR="00A43EF3">
          <w:rPr>
            <w:noProof/>
            <w:webHidden/>
          </w:rPr>
          <w:fldChar w:fldCharType="begin"/>
        </w:r>
        <w:r w:rsidR="00A43EF3">
          <w:rPr>
            <w:noProof/>
            <w:webHidden/>
          </w:rPr>
          <w:instrText xml:space="preserve"> PAGEREF _Toc115255123 \h </w:instrText>
        </w:r>
        <w:r w:rsidR="00A43EF3">
          <w:rPr>
            <w:noProof/>
            <w:webHidden/>
          </w:rPr>
        </w:r>
        <w:r w:rsidR="00A43EF3">
          <w:rPr>
            <w:noProof/>
            <w:webHidden/>
          </w:rPr>
          <w:fldChar w:fldCharType="separate"/>
        </w:r>
        <w:r w:rsidR="00A43EF3">
          <w:rPr>
            <w:noProof/>
            <w:webHidden/>
          </w:rPr>
          <w:t>287</w:t>
        </w:r>
        <w:r w:rsidR="00A43EF3">
          <w:rPr>
            <w:noProof/>
            <w:webHidden/>
          </w:rPr>
          <w:fldChar w:fldCharType="end"/>
        </w:r>
      </w:hyperlink>
    </w:p>
    <w:p w14:paraId="3AFB0814" w14:textId="50572DB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4" w:history="1">
        <w:r w:rsidR="00A43EF3" w:rsidRPr="006F5EF0">
          <w:rPr>
            <w:rStyle w:val="Hyperlink"/>
            <w:noProof/>
          </w:rPr>
          <w:t xml:space="preserve">Фигура 63: </w:t>
        </w:r>
        <w:r w:rsidR="00A43EF3" w:rsidRPr="006F5EF0">
          <w:rPr>
            <w:rStyle w:val="Hyperlink"/>
            <w:bCs/>
            <w:noProof/>
          </w:rPr>
          <w:t>Събрано количество ИУМПС, броя</w:t>
        </w:r>
        <w:r w:rsidR="00A43EF3">
          <w:rPr>
            <w:noProof/>
            <w:webHidden/>
          </w:rPr>
          <w:tab/>
        </w:r>
        <w:r w:rsidR="00A43EF3">
          <w:rPr>
            <w:noProof/>
            <w:webHidden/>
          </w:rPr>
          <w:fldChar w:fldCharType="begin"/>
        </w:r>
        <w:r w:rsidR="00A43EF3">
          <w:rPr>
            <w:noProof/>
            <w:webHidden/>
          </w:rPr>
          <w:instrText xml:space="preserve"> PAGEREF _Toc115255124 \h </w:instrText>
        </w:r>
        <w:r w:rsidR="00A43EF3">
          <w:rPr>
            <w:noProof/>
            <w:webHidden/>
          </w:rPr>
        </w:r>
        <w:r w:rsidR="00A43EF3">
          <w:rPr>
            <w:noProof/>
            <w:webHidden/>
          </w:rPr>
          <w:fldChar w:fldCharType="separate"/>
        </w:r>
        <w:r w:rsidR="00A43EF3">
          <w:rPr>
            <w:noProof/>
            <w:webHidden/>
          </w:rPr>
          <w:t>288</w:t>
        </w:r>
        <w:r w:rsidR="00A43EF3">
          <w:rPr>
            <w:noProof/>
            <w:webHidden/>
          </w:rPr>
          <w:fldChar w:fldCharType="end"/>
        </w:r>
      </w:hyperlink>
    </w:p>
    <w:p w14:paraId="4B71B75D" w14:textId="3D75E75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5" w:history="1">
        <w:r w:rsidR="00A43EF3" w:rsidRPr="006F5EF0">
          <w:rPr>
            <w:rStyle w:val="Hyperlink"/>
            <w:noProof/>
          </w:rPr>
          <w:t xml:space="preserve">Фигура 64: </w:t>
        </w:r>
        <w:r w:rsidR="00A43EF3" w:rsidRPr="006F5EF0">
          <w:rPr>
            <w:rStyle w:val="Hyperlink"/>
            <w:bCs/>
            <w:noProof/>
          </w:rPr>
          <w:t xml:space="preserve"> Предназначение на материалите и компонентите получени от предварително третираните ИУМПС, %</w:t>
        </w:r>
        <w:r w:rsidR="00A43EF3">
          <w:rPr>
            <w:noProof/>
            <w:webHidden/>
          </w:rPr>
          <w:tab/>
        </w:r>
        <w:r w:rsidR="00A43EF3">
          <w:rPr>
            <w:noProof/>
            <w:webHidden/>
          </w:rPr>
          <w:fldChar w:fldCharType="begin"/>
        </w:r>
        <w:r w:rsidR="00A43EF3">
          <w:rPr>
            <w:noProof/>
            <w:webHidden/>
          </w:rPr>
          <w:instrText xml:space="preserve"> PAGEREF _Toc115255125 \h </w:instrText>
        </w:r>
        <w:r w:rsidR="00A43EF3">
          <w:rPr>
            <w:noProof/>
            <w:webHidden/>
          </w:rPr>
        </w:r>
        <w:r w:rsidR="00A43EF3">
          <w:rPr>
            <w:noProof/>
            <w:webHidden/>
          </w:rPr>
          <w:fldChar w:fldCharType="separate"/>
        </w:r>
        <w:r w:rsidR="00A43EF3">
          <w:rPr>
            <w:noProof/>
            <w:webHidden/>
          </w:rPr>
          <w:t>289</w:t>
        </w:r>
        <w:r w:rsidR="00A43EF3">
          <w:rPr>
            <w:noProof/>
            <w:webHidden/>
          </w:rPr>
          <w:fldChar w:fldCharType="end"/>
        </w:r>
      </w:hyperlink>
    </w:p>
    <w:p w14:paraId="64944B4A" w14:textId="537DCDA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6" w:history="1">
        <w:r w:rsidR="00A43EF3" w:rsidRPr="006F5EF0">
          <w:rPr>
            <w:rStyle w:val="Hyperlink"/>
            <w:noProof/>
          </w:rPr>
          <w:t xml:space="preserve">Фигура 65: </w:t>
        </w:r>
        <w:r w:rsidR="00A43EF3" w:rsidRPr="006F5EF0">
          <w:rPr>
            <w:rStyle w:val="Hyperlink"/>
            <w:bCs/>
            <w:noProof/>
          </w:rPr>
          <w:t>Съотношение между заложените и изпълнените цели</w:t>
        </w:r>
        <w:r w:rsidR="00A43EF3">
          <w:rPr>
            <w:noProof/>
            <w:webHidden/>
          </w:rPr>
          <w:tab/>
        </w:r>
        <w:r w:rsidR="00A43EF3">
          <w:rPr>
            <w:noProof/>
            <w:webHidden/>
          </w:rPr>
          <w:fldChar w:fldCharType="begin"/>
        </w:r>
        <w:r w:rsidR="00A43EF3">
          <w:rPr>
            <w:noProof/>
            <w:webHidden/>
          </w:rPr>
          <w:instrText xml:space="preserve"> PAGEREF _Toc115255126 \h </w:instrText>
        </w:r>
        <w:r w:rsidR="00A43EF3">
          <w:rPr>
            <w:noProof/>
            <w:webHidden/>
          </w:rPr>
        </w:r>
        <w:r w:rsidR="00A43EF3">
          <w:rPr>
            <w:noProof/>
            <w:webHidden/>
          </w:rPr>
          <w:fldChar w:fldCharType="separate"/>
        </w:r>
        <w:r w:rsidR="00A43EF3">
          <w:rPr>
            <w:noProof/>
            <w:webHidden/>
          </w:rPr>
          <w:t>289</w:t>
        </w:r>
        <w:r w:rsidR="00A43EF3">
          <w:rPr>
            <w:noProof/>
            <w:webHidden/>
          </w:rPr>
          <w:fldChar w:fldCharType="end"/>
        </w:r>
      </w:hyperlink>
    </w:p>
    <w:p w14:paraId="2819544A" w14:textId="2D0B88D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7" w:history="1">
        <w:r w:rsidR="00A43EF3" w:rsidRPr="006F5EF0">
          <w:rPr>
            <w:rStyle w:val="Hyperlink"/>
            <w:noProof/>
          </w:rPr>
          <w:t xml:space="preserve">Фигура 66: </w:t>
        </w:r>
        <w:r w:rsidR="00A43EF3" w:rsidRPr="006F5EF0">
          <w:rPr>
            <w:rStyle w:val="Hyperlink"/>
            <w:bCs/>
            <w:noProof/>
          </w:rPr>
          <w:t>Дейности по управление на утайките в процентно съотношение</w:t>
        </w:r>
        <w:r w:rsidR="00A43EF3">
          <w:rPr>
            <w:noProof/>
            <w:webHidden/>
          </w:rPr>
          <w:tab/>
        </w:r>
        <w:r w:rsidR="00A43EF3">
          <w:rPr>
            <w:noProof/>
            <w:webHidden/>
          </w:rPr>
          <w:fldChar w:fldCharType="begin"/>
        </w:r>
        <w:r w:rsidR="00A43EF3">
          <w:rPr>
            <w:noProof/>
            <w:webHidden/>
          </w:rPr>
          <w:instrText xml:space="preserve"> PAGEREF _Toc115255127 \h </w:instrText>
        </w:r>
        <w:r w:rsidR="00A43EF3">
          <w:rPr>
            <w:noProof/>
            <w:webHidden/>
          </w:rPr>
        </w:r>
        <w:r w:rsidR="00A43EF3">
          <w:rPr>
            <w:noProof/>
            <w:webHidden/>
          </w:rPr>
          <w:fldChar w:fldCharType="separate"/>
        </w:r>
        <w:r w:rsidR="00A43EF3">
          <w:rPr>
            <w:noProof/>
            <w:webHidden/>
          </w:rPr>
          <w:t>291</w:t>
        </w:r>
        <w:r w:rsidR="00A43EF3">
          <w:rPr>
            <w:noProof/>
            <w:webHidden/>
          </w:rPr>
          <w:fldChar w:fldCharType="end"/>
        </w:r>
      </w:hyperlink>
    </w:p>
    <w:p w14:paraId="6EC35EC4" w14:textId="6539DBC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8" w:history="1">
        <w:r w:rsidR="00A43EF3" w:rsidRPr="006F5EF0">
          <w:rPr>
            <w:rStyle w:val="Hyperlink"/>
            <w:noProof/>
          </w:rPr>
          <w:t xml:space="preserve">Фигура 67: </w:t>
        </w:r>
        <w:r w:rsidR="00A43EF3" w:rsidRPr="006F5EF0">
          <w:rPr>
            <w:rStyle w:val="Hyperlink"/>
            <w:bCs/>
            <w:noProof/>
          </w:rPr>
          <w:t>В процентно съотношение утайките, които са използвани за подобряване продуктивността на земеделските земи; за рекултивация, укрепване и стабилизиране на нарушени терени (горски терени, депа, мини)</w:t>
        </w:r>
        <w:r w:rsidR="00A43EF3">
          <w:rPr>
            <w:noProof/>
            <w:webHidden/>
          </w:rPr>
          <w:tab/>
        </w:r>
        <w:r w:rsidR="00A43EF3">
          <w:rPr>
            <w:noProof/>
            <w:webHidden/>
          </w:rPr>
          <w:fldChar w:fldCharType="begin"/>
        </w:r>
        <w:r w:rsidR="00A43EF3">
          <w:rPr>
            <w:noProof/>
            <w:webHidden/>
          </w:rPr>
          <w:instrText xml:space="preserve"> PAGEREF _Toc115255128 \h </w:instrText>
        </w:r>
        <w:r w:rsidR="00A43EF3">
          <w:rPr>
            <w:noProof/>
            <w:webHidden/>
          </w:rPr>
        </w:r>
        <w:r w:rsidR="00A43EF3">
          <w:rPr>
            <w:noProof/>
            <w:webHidden/>
          </w:rPr>
          <w:fldChar w:fldCharType="separate"/>
        </w:r>
        <w:r w:rsidR="00A43EF3">
          <w:rPr>
            <w:noProof/>
            <w:webHidden/>
          </w:rPr>
          <w:t>291</w:t>
        </w:r>
        <w:r w:rsidR="00A43EF3">
          <w:rPr>
            <w:noProof/>
            <w:webHidden/>
          </w:rPr>
          <w:fldChar w:fldCharType="end"/>
        </w:r>
      </w:hyperlink>
    </w:p>
    <w:p w14:paraId="581774C5" w14:textId="311C1A94"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29" w:history="1">
        <w:r w:rsidR="00A43EF3" w:rsidRPr="006F5EF0">
          <w:rPr>
            <w:rStyle w:val="Hyperlink"/>
            <w:noProof/>
          </w:rPr>
          <w:t>Фигура 68: Тенденции в количествата на общо образуваните и общо третираните утайки през годините</w:t>
        </w:r>
        <w:r w:rsidR="00A43EF3">
          <w:rPr>
            <w:noProof/>
            <w:webHidden/>
          </w:rPr>
          <w:tab/>
        </w:r>
        <w:r w:rsidR="00A43EF3">
          <w:rPr>
            <w:noProof/>
            <w:webHidden/>
          </w:rPr>
          <w:fldChar w:fldCharType="begin"/>
        </w:r>
        <w:r w:rsidR="00A43EF3">
          <w:rPr>
            <w:noProof/>
            <w:webHidden/>
          </w:rPr>
          <w:instrText xml:space="preserve"> PAGEREF _Toc115255129 \h </w:instrText>
        </w:r>
        <w:r w:rsidR="00A43EF3">
          <w:rPr>
            <w:noProof/>
            <w:webHidden/>
          </w:rPr>
        </w:r>
        <w:r w:rsidR="00A43EF3">
          <w:rPr>
            <w:noProof/>
            <w:webHidden/>
          </w:rPr>
          <w:fldChar w:fldCharType="separate"/>
        </w:r>
        <w:r w:rsidR="00A43EF3">
          <w:rPr>
            <w:noProof/>
            <w:webHidden/>
          </w:rPr>
          <w:t>292</w:t>
        </w:r>
        <w:r w:rsidR="00A43EF3">
          <w:rPr>
            <w:noProof/>
            <w:webHidden/>
          </w:rPr>
          <w:fldChar w:fldCharType="end"/>
        </w:r>
      </w:hyperlink>
    </w:p>
    <w:p w14:paraId="16E7953E" w14:textId="217EDECE"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0" w:history="1">
        <w:r w:rsidR="00A43EF3" w:rsidRPr="006F5EF0">
          <w:rPr>
            <w:rStyle w:val="Hyperlink"/>
            <w:noProof/>
          </w:rPr>
          <w:t>Фигура 69: Цялостна тенденция при управлението на утайките за периода от годината на влизане в сила на Наредбата за утайките до този момент.</w:t>
        </w:r>
        <w:r w:rsidR="00A43EF3">
          <w:rPr>
            <w:noProof/>
            <w:webHidden/>
          </w:rPr>
          <w:tab/>
        </w:r>
        <w:r w:rsidR="00A43EF3">
          <w:rPr>
            <w:noProof/>
            <w:webHidden/>
          </w:rPr>
          <w:fldChar w:fldCharType="begin"/>
        </w:r>
        <w:r w:rsidR="00A43EF3">
          <w:rPr>
            <w:noProof/>
            <w:webHidden/>
          </w:rPr>
          <w:instrText xml:space="preserve"> PAGEREF _Toc115255130 \h </w:instrText>
        </w:r>
        <w:r w:rsidR="00A43EF3">
          <w:rPr>
            <w:noProof/>
            <w:webHidden/>
          </w:rPr>
        </w:r>
        <w:r w:rsidR="00A43EF3">
          <w:rPr>
            <w:noProof/>
            <w:webHidden/>
          </w:rPr>
          <w:fldChar w:fldCharType="separate"/>
        </w:r>
        <w:r w:rsidR="00A43EF3">
          <w:rPr>
            <w:noProof/>
            <w:webHidden/>
          </w:rPr>
          <w:t>292</w:t>
        </w:r>
        <w:r w:rsidR="00A43EF3">
          <w:rPr>
            <w:noProof/>
            <w:webHidden/>
          </w:rPr>
          <w:fldChar w:fldCharType="end"/>
        </w:r>
      </w:hyperlink>
    </w:p>
    <w:p w14:paraId="4D551FAC" w14:textId="2F3CFA9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1" w:history="1">
        <w:r w:rsidR="00A43EF3" w:rsidRPr="006F5EF0">
          <w:rPr>
            <w:rStyle w:val="Hyperlink"/>
            <w:noProof/>
          </w:rPr>
          <w:t>Фигура 70: Процент на предприятията - промишлени източници на шум, отговарящи на нормативните изисквания</w:t>
        </w:r>
        <w:r w:rsidR="00A43EF3">
          <w:rPr>
            <w:noProof/>
            <w:webHidden/>
          </w:rPr>
          <w:tab/>
        </w:r>
        <w:r w:rsidR="00A43EF3">
          <w:rPr>
            <w:noProof/>
            <w:webHidden/>
          </w:rPr>
          <w:fldChar w:fldCharType="begin"/>
        </w:r>
        <w:r w:rsidR="00A43EF3">
          <w:rPr>
            <w:noProof/>
            <w:webHidden/>
          </w:rPr>
          <w:instrText xml:space="preserve"> PAGEREF _Toc115255131 \h </w:instrText>
        </w:r>
        <w:r w:rsidR="00A43EF3">
          <w:rPr>
            <w:noProof/>
            <w:webHidden/>
          </w:rPr>
        </w:r>
        <w:r w:rsidR="00A43EF3">
          <w:rPr>
            <w:noProof/>
            <w:webHidden/>
          </w:rPr>
          <w:fldChar w:fldCharType="separate"/>
        </w:r>
        <w:r w:rsidR="00A43EF3">
          <w:rPr>
            <w:noProof/>
            <w:webHidden/>
          </w:rPr>
          <w:t>304</w:t>
        </w:r>
        <w:r w:rsidR="00A43EF3">
          <w:rPr>
            <w:noProof/>
            <w:webHidden/>
          </w:rPr>
          <w:fldChar w:fldCharType="end"/>
        </w:r>
      </w:hyperlink>
    </w:p>
    <w:p w14:paraId="55ACF382" w14:textId="5B898A1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2" w:history="1">
        <w:r w:rsidR="00A43EF3" w:rsidRPr="006F5EF0">
          <w:rPr>
            <w:rStyle w:val="Hyperlink"/>
            <w:noProof/>
          </w:rPr>
          <w:t>Фигура 71:  Площ на горите и горските територии 1960-2020г. Източник: ИАГ</w:t>
        </w:r>
        <w:r w:rsidR="00A43EF3">
          <w:rPr>
            <w:noProof/>
            <w:webHidden/>
          </w:rPr>
          <w:tab/>
        </w:r>
        <w:r w:rsidR="00A43EF3">
          <w:rPr>
            <w:noProof/>
            <w:webHidden/>
          </w:rPr>
          <w:fldChar w:fldCharType="begin"/>
        </w:r>
        <w:r w:rsidR="00A43EF3">
          <w:rPr>
            <w:noProof/>
            <w:webHidden/>
          </w:rPr>
          <w:instrText xml:space="preserve"> PAGEREF _Toc115255132 \h </w:instrText>
        </w:r>
        <w:r w:rsidR="00A43EF3">
          <w:rPr>
            <w:noProof/>
            <w:webHidden/>
          </w:rPr>
        </w:r>
        <w:r w:rsidR="00A43EF3">
          <w:rPr>
            <w:noProof/>
            <w:webHidden/>
          </w:rPr>
          <w:fldChar w:fldCharType="separate"/>
        </w:r>
        <w:r w:rsidR="00A43EF3">
          <w:rPr>
            <w:noProof/>
            <w:webHidden/>
          </w:rPr>
          <w:t>305</w:t>
        </w:r>
        <w:r w:rsidR="00A43EF3">
          <w:rPr>
            <w:noProof/>
            <w:webHidden/>
          </w:rPr>
          <w:fldChar w:fldCharType="end"/>
        </w:r>
      </w:hyperlink>
    </w:p>
    <w:p w14:paraId="67069CE3" w14:textId="5BEDFAA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3" w:history="1">
        <w:r w:rsidR="00A43EF3" w:rsidRPr="006F5EF0">
          <w:rPr>
            <w:rStyle w:val="Hyperlink"/>
            <w:noProof/>
          </w:rPr>
          <w:t>Фигура 72:  Лесистост в България в периода 1960-2020 г. Източник: ИАГ</w:t>
        </w:r>
        <w:r w:rsidR="00A43EF3">
          <w:rPr>
            <w:noProof/>
            <w:webHidden/>
          </w:rPr>
          <w:tab/>
        </w:r>
        <w:r w:rsidR="00A43EF3">
          <w:rPr>
            <w:noProof/>
            <w:webHidden/>
          </w:rPr>
          <w:fldChar w:fldCharType="begin"/>
        </w:r>
        <w:r w:rsidR="00A43EF3">
          <w:rPr>
            <w:noProof/>
            <w:webHidden/>
          </w:rPr>
          <w:instrText xml:space="preserve"> PAGEREF _Toc115255133 \h </w:instrText>
        </w:r>
        <w:r w:rsidR="00A43EF3">
          <w:rPr>
            <w:noProof/>
            <w:webHidden/>
          </w:rPr>
        </w:r>
        <w:r w:rsidR="00A43EF3">
          <w:rPr>
            <w:noProof/>
            <w:webHidden/>
          </w:rPr>
          <w:fldChar w:fldCharType="separate"/>
        </w:r>
        <w:r w:rsidR="00A43EF3">
          <w:rPr>
            <w:noProof/>
            <w:webHidden/>
          </w:rPr>
          <w:t>306</w:t>
        </w:r>
        <w:r w:rsidR="00A43EF3">
          <w:rPr>
            <w:noProof/>
            <w:webHidden/>
          </w:rPr>
          <w:fldChar w:fldCharType="end"/>
        </w:r>
      </w:hyperlink>
    </w:p>
    <w:p w14:paraId="03BDA86E" w14:textId="27A09E5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4" w:history="1">
        <w:r w:rsidR="00A43EF3" w:rsidRPr="006F5EF0">
          <w:rPr>
            <w:rStyle w:val="Hyperlink"/>
            <w:noProof/>
          </w:rPr>
          <w:t>Фигура 73: Обща и залесена площ на горите и горските територии 1960-2020г. Източник: ИАГ</w:t>
        </w:r>
        <w:r w:rsidR="00A43EF3">
          <w:rPr>
            <w:noProof/>
            <w:webHidden/>
          </w:rPr>
          <w:tab/>
        </w:r>
        <w:r w:rsidR="00A43EF3">
          <w:rPr>
            <w:noProof/>
            <w:webHidden/>
          </w:rPr>
          <w:fldChar w:fldCharType="begin"/>
        </w:r>
        <w:r w:rsidR="00A43EF3">
          <w:rPr>
            <w:noProof/>
            <w:webHidden/>
          </w:rPr>
          <w:instrText xml:space="preserve"> PAGEREF _Toc115255134 \h </w:instrText>
        </w:r>
        <w:r w:rsidR="00A43EF3">
          <w:rPr>
            <w:noProof/>
            <w:webHidden/>
          </w:rPr>
        </w:r>
        <w:r w:rsidR="00A43EF3">
          <w:rPr>
            <w:noProof/>
            <w:webHidden/>
          </w:rPr>
          <w:fldChar w:fldCharType="separate"/>
        </w:r>
        <w:r w:rsidR="00A43EF3">
          <w:rPr>
            <w:noProof/>
            <w:webHidden/>
          </w:rPr>
          <w:t>307</w:t>
        </w:r>
        <w:r w:rsidR="00A43EF3">
          <w:rPr>
            <w:noProof/>
            <w:webHidden/>
          </w:rPr>
          <w:fldChar w:fldCharType="end"/>
        </w:r>
      </w:hyperlink>
    </w:p>
    <w:p w14:paraId="1DF33005" w14:textId="4EF015E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5" w:history="1">
        <w:r w:rsidR="00A43EF3" w:rsidRPr="006F5EF0">
          <w:rPr>
            <w:rStyle w:val="Hyperlink"/>
            <w:noProof/>
          </w:rPr>
          <w:t>Фигура 74: Собственост на горските територии, 2020 г. Източник: ИАГ</w:t>
        </w:r>
        <w:r w:rsidR="00A43EF3">
          <w:rPr>
            <w:noProof/>
            <w:webHidden/>
          </w:rPr>
          <w:tab/>
        </w:r>
        <w:r w:rsidR="00A43EF3">
          <w:rPr>
            <w:noProof/>
            <w:webHidden/>
          </w:rPr>
          <w:fldChar w:fldCharType="begin"/>
        </w:r>
        <w:r w:rsidR="00A43EF3">
          <w:rPr>
            <w:noProof/>
            <w:webHidden/>
          </w:rPr>
          <w:instrText xml:space="preserve"> PAGEREF _Toc115255135 \h </w:instrText>
        </w:r>
        <w:r w:rsidR="00A43EF3">
          <w:rPr>
            <w:noProof/>
            <w:webHidden/>
          </w:rPr>
        </w:r>
        <w:r w:rsidR="00A43EF3">
          <w:rPr>
            <w:noProof/>
            <w:webHidden/>
          </w:rPr>
          <w:fldChar w:fldCharType="separate"/>
        </w:r>
        <w:r w:rsidR="00A43EF3">
          <w:rPr>
            <w:noProof/>
            <w:webHidden/>
          </w:rPr>
          <w:t>308</w:t>
        </w:r>
        <w:r w:rsidR="00A43EF3">
          <w:rPr>
            <w:noProof/>
            <w:webHidden/>
          </w:rPr>
          <w:fldChar w:fldCharType="end"/>
        </w:r>
      </w:hyperlink>
    </w:p>
    <w:p w14:paraId="1586022A" w14:textId="0717884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6" w:history="1">
        <w:r w:rsidR="00A43EF3" w:rsidRPr="006F5EF0">
          <w:rPr>
            <w:rStyle w:val="Hyperlink"/>
            <w:noProof/>
          </w:rPr>
          <w:t>Фигура 75:  Средна възраст на дървостоя, 1960-2020 г., Източник: ИАГ</w:t>
        </w:r>
        <w:r w:rsidR="00A43EF3">
          <w:rPr>
            <w:noProof/>
            <w:webHidden/>
          </w:rPr>
          <w:tab/>
        </w:r>
        <w:r w:rsidR="00A43EF3">
          <w:rPr>
            <w:noProof/>
            <w:webHidden/>
          </w:rPr>
          <w:fldChar w:fldCharType="begin"/>
        </w:r>
        <w:r w:rsidR="00A43EF3">
          <w:rPr>
            <w:noProof/>
            <w:webHidden/>
          </w:rPr>
          <w:instrText xml:space="preserve"> PAGEREF _Toc115255136 \h </w:instrText>
        </w:r>
        <w:r w:rsidR="00A43EF3">
          <w:rPr>
            <w:noProof/>
            <w:webHidden/>
          </w:rPr>
        </w:r>
        <w:r w:rsidR="00A43EF3">
          <w:rPr>
            <w:noProof/>
            <w:webHidden/>
          </w:rPr>
          <w:fldChar w:fldCharType="separate"/>
        </w:r>
        <w:r w:rsidR="00A43EF3">
          <w:rPr>
            <w:noProof/>
            <w:webHidden/>
          </w:rPr>
          <w:t>309</w:t>
        </w:r>
        <w:r w:rsidR="00A43EF3">
          <w:rPr>
            <w:noProof/>
            <w:webHidden/>
          </w:rPr>
          <w:fldChar w:fldCharType="end"/>
        </w:r>
      </w:hyperlink>
    </w:p>
    <w:p w14:paraId="510DD0A3" w14:textId="06F9A3E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7" w:history="1">
        <w:r w:rsidR="00A43EF3" w:rsidRPr="006F5EF0">
          <w:rPr>
            <w:rStyle w:val="Hyperlink"/>
            <w:noProof/>
          </w:rPr>
          <w:t>Фигура 76:  Запас на горите в България в периода 1960-2020 г. Източник: ИАГ</w:t>
        </w:r>
        <w:r w:rsidR="00A43EF3">
          <w:rPr>
            <w:noProof/>
            <w:webHidden/>
          </w:rPr>
          <w:tab/>
        </w:r>
        <w:r w:rsidR="00A43EF3">
          <w:rPr>
            <w:noProof/>
            <w:webHidden/>
          </w:rPr>
          <w:fldChar w:fldCharType="begin"/>
        </w:r>
        <w:r w:rsidR="00A43EF3">
          <w:rPr>
            <w:noProof/>
            <w:webHidden/>
          </w:rPr>
          <w:instrText xml:space="preserve"> PAGEREF _Toc115255137 \h </w:instrText>
        </w:r>
        <w:r w:rsidR="00A43EF3">
          <w:rPr>
            <w:noProof/>
            <w:webHidden/>
          </w:rPr>
        </w:r>
        <w:r w:rsidR="00A43EF3">
          <w:rPr>
            <w:noProof/>
            <w:webHidden/>
          </w:rPr>
          <w:fldChar w:fldCharType="separate"/>
        </w:r>
        <w:r w:rsidR="00A43EF3">
          <w:rPr>
            <w:noProof/>
            <w:webHidden/>
          </w:rPr>
          <w:t>310</w:t>
        </w:r>
        <w:r w:rsidR="00A43EF3">
          <w:rPr>
            <w:noProof/>
            <w:webHidden/>
          </w:rPr>
          <w:fldChar w:fldCharType="end"/>
        </w:r>
      </w:hyperlink>
    </w:p>
    <w:p w14:paraId="1A09CCB7" w14:textId="0F5FE05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8" w:history="1">
        <w:r w:rsidR="00A43EF3" w:rsidRPr="006F5EF0">
          <w:rPr>
            <w:rStyle w:val="Hyperlink"/>
            <w:noProof/>
          </w:rPr>
          <w:t>Фигура 77:  Действително  ползване на дървесина като процент от запаса в периода 1960- 2020, Източник: ИАГ</w:t>
        </w:r>
        <w:r w:rsidR="00A43EF3">
          <w:rPr>
            <w:noProof/>
            <w:webHidden/>
          </w:rPr>
          <w:tab/>
        </w:r>
        <w:r w:rsidR="00A43EF3">
          <w:rPr>
            <w:noProof/>
            <w:webHidden/>
          </w:rPr>
          <w:fldChar w:fldCharType="begin"/>
        </w:r>
        <w:r w:rsidR="00A43EF3">
          <w:rPr>
            <w:noProof/>
            <w:webHidden/>
          </w:rPr>
          <w:instrText xml:space="preserve"> PAGEREF _Toc115255138 \h </w:instrText>
        </w:r>
        <w:r w:rsidR="00A43EF3">
          <w:rPr>
            <w:noProof/>
            <w:webHidden/>
          </w:rPr>
        </w:r>
        <w:r w:rsidR="00A43EF3">
          <w:rPr>
            <w:noProof/>
            <w:webHidden/>
          </w:rPr>
          <w:fldChar w:fldCharType="separate"/>
        </w:r>
        <w:r w:rsidR="00A43EF3">
          <w:rPr>
            <w:noProof/>
            <w:webHidden/>
          </w:rPr>
          <w:t>310</w:t>
        </w:r>
        <w:r w:rsidR="00A43EF3">
          <w:rPr>
            <w:noProof/>
            <w:webHidden/>
          </w:rPr>
          <w:fldChar w:fldCharType="end"/>
        </w:r>
      </w:hyperlink>
    </w:p>
    <w:p w14:paraId="04FF579C" w14:textId="3A526CB4"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39" w:history="1">
        <w:r w:rsidR="00A43EF3" w:rsidRPr="006F5EF0">
          <w:rPr>
            <w:rStyle w:val="Hyperlink"/>
            <w:rFonts w:cs="Times New Roman"/>
            <w:i/>
            <w:noProof/>
          </w:rPr>
          <w:t xml:space="preserve">Площите по дървесни видове и бонитети към декември 2020 са дадени на </w:t>
        </w:r>
        <w:r w:rsidR="00A43EF3" w:rsidRPr="006F5EF0">
          <w:rPr>
            <w:rStyle w:val="Hyperlink"/>
            <w:noProof/>
          </w:rPr>
          <w:t>Фигура 78.</w:t>
        </w:r>
        <w:r w:rsidR="00A43EF3">
          <w:rPr>
            <w:noProof/>
            <w:webHidden/>
          </w:rPr>
          <w:tab/>
        </w:r>
        <w:r w:rsidR="00A43EF3">
          <w:rPr>
            <w:noProof/>
            <w:webHidden/>
          </w:rPr>
          <w:fldChar w:fldCharType="begin"/>
        </w:r>
        <w:r w:rsidR="00A43EF3">
          <w:rPr>
            <w:noProof/>
            <w:webHidden/>
          </w:rPr>
          <w:instrText xml:space="preserve"> PAGEREF _Toc115255139 \h </w:instrText>
        </w:r>
        <w:r w:rsidR="00A43EF3">
          <w:rPr>
            <w:noProof/>
            <w:webHidden/>
          </w:rPr>
        </w:r>
        <w:r w:rsidR="00A43EF3">
          <w:rPr>
            <w:noProof/>
            <w:webHidden/>
          </w:rPr>
          <w:fldChar w:fldCharType="separate"/>
        </w:r>
        <w:r w:rsidR="00A43EF3">
          <w:rPr>
            <w:noProof/>
            <w:webHidden/>
          </w:rPr>
          <w:t>312</w:t>
        </w:r>
        <w:r w:rsidR="00A43EF3">
          <w:rPr>
            <w:noProof/>
            <w:webHidden/>
          </w:rPr>
          <w:fldChar w:fldCharType="end"/>
        </w:r>
      </w:hyperlink>
    </w:p>
    <w:p w14:paraId="52D0A7F4" w14:textId="399E61F2"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0" w:history="1">
        <w:r w:rsidR="00A43EF3" w:rsidRPr="006F5EF0">
          <w:rPr>
            <w:rStyle w:val="Hyperlink"/>
            <w:noProof/>
          </w:rPr>
          <w:t>Фигура 79: Площите по дървесни видове и бонитети към декември 2020 (ИАГ)</w:t>
        </w:r>
        <w:r w:rsidR="00A43EF3">
          <w:rPr>
            <w:noProof/>
            <w:webHidden/>
          </w:rPr>
          <w:tab/>
        </w:r>
        <w:r w:rsidR="00A43EF3">
          <w:rPr>
            <w:noProof/>
            <w:webHidden/>
          </w:rPr>
          <w:fldChar w:fldCharType="begin"/>
        </w:r>
        <w:r w:rsidR="00A43EF3">
          <w:rPr>
            <w:noProof/>
            <w:webHidden/>
          </w:rPr>
          <w:instrText xml:space="preserve"> PAGEREF _Toc115255140 \h </w:instrText>
        </w:r>
        <w:r w:rsidR="00A43EF3">
          <w:rPr>
            <w:noProof/>
            <w:webHidden/>
          </w:rPr>
        </w:r>
        <w:r w:rsidR="00A43EF3">
          <w:rPr>
            <w:noProof/>
            <w:webHidden/>
          </w:rPr>
          <w:fldChar w:fldCharType="separate"/>
        </w:r>
        <w:r w:rsidR="00A43EF3">
          <w:rPr>
            <w:noProof/>
            <w:webHidden/>
          </w:rPr>
          <w:t>312</w:t>
        </w:r>
        <w:r w:rsidR="00A43EF3">
          <w:rPr>
            <w:noProof/>
            <w:webHidden/>
          </w:rPr>
          <w:fldChar w:fldCharType="end"/>
        </w:r>
      </w:hyperlink>
    </w:p>
    <w:p w14:paraId="29C822E5" w14:textId="2C9A92E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1" w:history="1">
        <w:r w:rsidR="00A43EF3" w:rsidRPr="006F5EF0">
          <w:rPr>
            <w:rStyle w:val="Hyperlink"/>
            <w:noProof/>
          </w:rPr>
          <w:t xml:space="preserve">Фигура 80: </w:t>
        </w:r>
        <w:r w:rsidR="00A43EF3" w:rsidRPr="006F5EF0">
          <w:rPr>
            <w:rStyle w:val="Hyperlink"/>
            <w:rFonts w:eastAsia="Times New Roman"/>
            <w:noProof/>
          </w:rPr>
          <w:t xml:space="preserve"> </w:t>
        </w:r>
        <w:r w:rsidR="00A43EF3" w:rsidRPr="006F5EF0">
          <w:rPr>
            <w:rStyle w:val="Hyperlink"/>
            <w:noProof/>
          </w:rPr>
          <w:t>Разходи за ДМА-ЕП за опазване и възстановяване на околната среда - общо за страната.</w:t>
        </w:r>
        <w:r w:rsidR="00A43EF3">
          <w:rPr>
            <w:noProof/>
            <w:webHidden/>
          </w:rPr>
          <w:tab/>
        </w:r>
        <w:r w:rsidR="00A43EF3">
          <w:rPr>
            <w:noProof/>
            <w:webHidden/>
          </w:rPr>
          <w:fldChar w:fldCharType="begin"/>
        </w:r>
        <w:r w:rsidR="00A43EF3">
          <w:rPr>
            <w:noProof/>
            <w:webHidden/>
          </w:rPr>
          <w:instrText xml:space="preserve"> PAGEREF _Toc115255141 \h </w:instrText>
        </w:r>
        <w:r w:rsidR="00A43EF3">
          <w:rPr>
            <w:noProof/>
            <w:webHidden/>
          </w:rPr>
        </w:r>
        <w:r w:rsidR="00A43EF3">
          <w:rPr>
            <w:noProof/>
            <w:webHidden/>
          </w:rPr>
          <w:fldChar w:fldCharType="separate"/>
        </w:r>
        <w:r w:rsidR="00A43EF3">
          <w:rPr>
            <w:noProof/>
            <w:webHidden/>
          </w:rPr>
          <w:t>332</w:t>
        </w:r>
        <w:r w:rsidR="00A43EF3">
          <w:rPr>
            <w:noProof/>
            <w:webHidden/>
          </w:rPr>
          <w:fldChar w:fldCharType="end"/>
        </w:r>
      </w:hyperlink>
    </w:p>
    <w:p w14:paraId="7DEF6A34" w14:textId="053FDE5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2" w:history="1">
        <w:r w:rsidR="00A43EF3" w:rsidRPr="006F5EF0">
          <w:rPr>
            <w:rStyle w:val="Hyperlink"/>
            <w:noProof/>
          </w:rPr>
          <w:t>Фигура 81:  Разходи за придобиване на (ДМА-ЕП) по направления за околната среда - общо за страната</w:t>
        </w:r>
        <w:r w:rsidR="00A43EF3" w:rsidRPr="006F5EF0">
          <w:rPr>
            <w:rStyle w:val="Hyperlink"/>
            <w:rFonts w:eastAsia="Times New Roman"/>
            <w:noProof/>
          </w:rPr>
          <w:t>.</w:t>
        </w:r>
        <w:r w:rsidR="00A43EF3">
          <w:rPr>
            <w:noProof/>
            <w:webHidden/>
          </w:rPr>
          <w:tab/>
        </w:r>
        <w:r w:rsidR="00A43EF3">
          <w:rPr>
            <w:noProof/>
            <w:webHidden/>
          </w:rPr>
          <w:fldChar w:fldCharType="begin"/>
        </w:r>
        <w:r w:rsidR="00A43EF3">
          <w:rPr>
            <w:noProof/>
            <w:webHidden/>
          </w:rPr>
          <w:instrText xml:space="preserve"> PAGEREF _Toc115255142 \h </w:instrText>
        </w:r>
        <w:r w:rsidR="00A43EF3">
          <w:rPr>
            <w:noProof/>
            <w:webHidden/>
          </w:rPr>
        </w:r>
        <w:r w:rsidR="00A43EF3">
          <w:rPr>
            <w:noProof/>
            <w:webHidden/>
          </w:rPr>
          <w:fldChar w:fldCharType="separate"/>
        </w:r>
        <w:r w:rsidR="00A43EF3">
          <w:rPr>
            <w:noProof/>
            <w:webHidden/>
          </w:rPr>
          <w:t>333</w:t>
        </w:r>
        <w:r w:rsidR="00A43EF3">
          <w:rPr>
            <w:noProof/>
            <w:webHidden/>
          </w:rPr>
          <w:fldChar w:fldCharType="end"/>
        </w:r>
      </w:hyperlink>
    </w:p>
    <w:p w14:paraId="64CA43E0" w14:textId="3FC3579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3" w:history="1">
        <w:r w:rsidR="00A43EF3" w:rsidRPr="006F5EF0">
          <w:rPr>
            <w:rStyle w:val="Hyperlink"/>
            <w:noProof/>
          </w:rPr>
          <w:t>Фигура 82:  Наличност на дълготрайните материални активи с екологично предназначение (ДМА-ЕП) към края на 2020г. по статистически зони, райони и области в хил. левове.</w:t>
        </w:r>
        <w:r w:rsidR="00A43EF3">
          <w:rPr>
            <w:noProof/>
            <w:webHidden/>
          </w:rPr>
          <w:tab/>
        </w:r>
        <w:r w:rsidR="00A43EF3">
          <w:rPr>
            <w:noProof/>
            <w:webHidden/>
          </w:rPr>
          <w:fldChar w:fldCharType="begin"/>
        </w:r>
        <w:r w:rsidR="00A43EF3">
          <w:rPr>
            <w:noProof/>
            <w:webHidden/>
          </w:rPr>
          <w:instrText xml:space="preserve"> PAGEREF _Toc115255143 \h </w:instrText>
        </w:r>
        <w:r w:rsidR="00A43EF3">
          <w:rPr>
            <w:noProof/>
            <w:webHidden/>
          </w:rPr>
        </w:r>
        <w:r w:rsidR="00A43EF3">
          <w:rPr>
            <w:noProof/>
            <w:webHidden/>
          </w:rPr>
          <w:fldChar w:fldCharType="separate"/>
        </w:r>
        <w:r w:rsidR="00A43EF3">
          <w:rPr>
            <w:noProof/>
            <w:webHidden/>
          </w:rPr>
          <w:t>334</w:t>
        </w:r>
        <w:r w:rsidR="00A43EF3">
          <w:rPr>
            <w:noProof/>
            <w:webHidden/>
          </w:rPr>
          <w:fldChar w:fldCharType="end"/>
        </w:r>
      </w:hyperlink>
    </w:p>
    <w:p w14:paraId="3E9AD34C" w14:textId="50A7011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4" w:history="1">
        <w:r w:rsidR="00A43EF3" w:rsidRPr="006F5EF0">
          <w:rPr>
            <w:rStyle w:val="Hyperlink"/>
            <w:noProof/>
          </w:rPr>
          <w:t>Фигура 83: Основните причини за смъртност на 100 000 души от населението през 2020 год.</w:t>
        </w:r>
        <w:r w:rsidR="00A43EF3">
          <w:rPr>
            <w:noProof/>
            <w:webHidden/>
          </w:rPr>
          <w:tab/>
        </w:r>
        <w:r w:rsidR="00A43EF3">
          <w:rPr>
            <w:noProof/>
            <w:webHidden/>
          </w:rPr>
          <w:fldChar w:fldCharType="begin"/>
        </w:r>
        <w:r w:rsidR="00A43EF3">
          <w:rPr>
            <w:noProof/>
            <w:webHidden/>
          </w:rPr>
          <w:instrText xml:space="preserve"> PAGEREF _Toc115255144 \h </w:instrText>
        </w:r>
        <w:r w:rsidR="00A43EF3">
          <w:rPr>
            <w:noProof/>
            <w:webHidden/>
          </w:rPr>
        </w:r>
        <w:r w:rsidR="00A43EF3">
          <w:rPr>
            <w:noProof/>
            <w:webHidden/>
          </w:rPr>
          <w:fldChar w:fldCharType="separate"/>
        </w:r>
        <w:r w:rsidR="00A43EF3">
          <w:rPr>
            <w:noProof/>
            <w:webHidden/>
          </w:rPr>
          <w:t>340</w:t>
        </w:r>
        <w:r w:rsidR="00A43EF3">
          <w:rPr>
            <w:noProof/>
            <w:webHidden/>
          </w:rPr>
          <w:fldChar w:fldCharType="end"/>
        </w:r>
      </w:hyperlink>
    </w:p>
    <w:p w14:paraId="54A8EC2A" w14:textId="4029A91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5" w:history="1">
        <w:r w:rsidR="00A43EF3" w:rsidRPr="006F5EF0">
          <w:rPr>
            <w:rStyle w:val="Hyperlink"/>
            <w:noProof/>
          </w:rPr>
          <w:t>Фигура 84:  Детска смъртност по основни причини на 100 000 живородени през 2020 год.</w:t>
        </w:r>
        <w:r w:rsidR="00A43EF3">
          <w:rPr>
            <w:noProof/>
            <w:webHidden/>
          </w:rPr>
          <w:tab/>
        </w:r>
        <w:r w:rsidR="00A43EF3">
          <w:rPr>
            <w:noProof/>
            <w:webHidden/>
          </w:rPr>
          <w:fldChar w:fldCharType="begin"/>
        </w:r>
        <w:r w:rsidR="00A43EF3">
          <w:rPr>
            <w:noProof/>
            <w:webHidden/>
          </w:rPr>
          <w:instrText xml:space="preserve"> PAGEREF _Toc115255145 \h </w:instrText>
        </w:r>
        <w:r w:rsidR="00A43EF3">
          <w:rPr>
            <w:noProof/>
            <w:webHidden/>
          </w:rPr>
        </w:r>
        <w:r w:rsidR="00A43EF3">
          <w:rPr>
            <w:noProof/>
            <w:webHidden/>
          </w:rPr>
          <w:fldChar w:fldCharType="separate"/>
        </w:r>
        <w:r w:rsidR="00A43EF3">
          <w:rPr>
            <w:noProof/>
            <w:webHidden/>
          </w:rPr>
          <w:t>341</w:t>
        </w:r>
        <w:r w:rsidR="00A43EF3">
          <w:rPr>
            <w:noProof/>
            <w:webHidden/>
          </w:rPr>
          <w:fldChar w:fldCharType="end"/>
        </w:r>
      </w:hyperlink>
    </w:p>
    <w:p w14:paraId="6F78F420" w14:textId="14F5F835"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6" w:history="1">
        <w:r w:rsidR="00A43EF3" w:rsidRPr="006F5EF0">
          <w:rPr>
            <w:rStyle w:val="Hyperlink"/>
            <w:noProof/>
          </w:rPr>
          <w:t>Фигура 85:  Естествен прираст на населението през 2020 год.</w:t>
        </w:r>
        <w:r w:rsidR="00A43EF3">
          <w:rPr>
            <w:noProof/>
            <w:webHidden/>
          </w:rPr>
          <w:tab/>
        </w:r>
        <w:r w:rsidR="00A43EF3">
          <w:rPr>
            <w:noProof/>
            <w:webHidden/>
          </w:rPr>
          <w:fldChar w:fldCharType="begin"/>
        </w:r>
        <w:r w:rsidR="00A43EF3">
          <w:rPr>
            <w:noProof/>
            <w:webHidden/>
          </w:rPr>
          <w:instrText xml:space="preserve"> PAGEREF _Toc115255146 \h </w:instrText>
        </w:r>
        <w:r w:rsidR="00A43EF3">
          <w:rPr>
            <w:noProof/>
            <w:webHidden/>
          </w:rPr>
        </w:r>
        <w:r w:rsidR="00A43EF3">
          <w:rPr>
            <w:noProof/>
            <w:webHidden/>
          </w:rPr>
          <w:fldChar w:fldCharType="separate"/>
        </w:r>
        <w:r w:rsidR="00A43EF3">
          <w:rPr>
            <w:noProof/>
            <w:webHidden/>
          </w:rPr>
          <w:t>343</w:t>
        </w:r>
        <w:r w:rsidR="00A43EF3">
          <w:rPr>
            <w:noProof/>
            <w:webHidden/>
          </w:rPr>
          <w:fldChar w:fldCharType="end"/>
        </w:r>
      </w:hyperlink>
    </w:p>
    <w:p w14:paraId="0E3A6CE9" w14:textId="7F26D4B7"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7" w:history="1">
        <w:r w:rsidR="00A43EF3" w:rsidRPr="006F5EF0">
          <w:rPr>
            <w:rStyle w:val="Hyperlink"/>
            <w:noProof/>
          </w:rPr>
          <w:t>Фигура 86: Регистрираните заболявания от заразни болести на 100 000 души от населението през 2020 год.</w:t>
        </w:r>
        <w:r w:rsidR="00A43EF3">
          <w:rPr>
            <w:noProof/>
            <w:webHidden/>
          </w:rPr>
          <w:tab/>
        </w:r>
        <w:r w:rsidR="00A43EF3">
          <w:rPr>
            <w:noProof/>
            <w:webHidden/>
          </w:rPr>
          <w:fldChar w:fldCharType="begin"/>
        </w:r>
        <w:r w:rsidR="00A43EF3">
          <w:rPr>
            <w:noProof/>
            <w:webHidden/>
          </w:rPr>
          <w:instrText xml:space="preserve"> PAGEREF _Toc115255147 \h </w:instrText>
        </w:r>
        <w:r w:rsidR="00A43EF3">
          <w:rPr>
            <w:noProof/>
            <w:webHidden/>
          </w:rPr>
        </w:r>
        <w:r w:rsidR="00A43EF3">
          <w:rPr>
            <w:noProof/>
            <w:webHidden/>
          </w:rPr>
          <w:fldChar w:fldCharType="separate"/>
        </w:r>
        <w:r w:rsidR="00A43EF3">
          <w:rPr>
            <w:noProof/>
            <w:webHidden/>
          </w:rPr>
          <w:t>345</w:t>
        </w:r>
        <w:r w:rsidR="00A43EF3">
          <w:rPr>
            <w:noProof/>
            <w:webHidden/>
          </w:rPr>
          <w:fldChar w:fldCharType="end"/>
        </w:r>
      </w:hyperlink>
    </w:p>
    <w:p w14:paraId="7270CEBA" w14:textId="4FFE2EA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8" w:history="1">
        <w:r w:rsidR="00A43EF3" w:rsidRPr="006F5EF0">
          <w:rPr>
            <w:rStyle w:val="Hyperlink"/>
            <w:noProof/>
          </w:rPr>
          <w:t>Фигура 87:  Случаи на активна туберкулоза на 100 000 души от населението през 2020 год.</w:t>
        </w:r>
        <w:r w:rsidR="00A43EF3">
          <w:rPr>
            <w:noProof/>
            <w:webHidden/>
          </w:rPr>
          <w:tab/>
        </w:r>
        <w:r w:rsidR="00A43EF3">
          <w:rPr>
            <w:noProof/>
            <w:webHidden/>
          </w:rPr>
          <w:fldChar w:fldCharType="begin"/>
        </w:r>
        <w:r w:rsidR="00A43EF3">
          <w:rPr>
            <w:noProof/>
            <w:webHidden/>
          </w:rPr>
          <w:instrText xml:space="preserve"> PAGEREF _Toc115255148 \h </w:instrText>
        </w:r>
        <w:r w:rsidR="00A43EF3">
          <w:rPr>
            <w:noProof/>
            <w:webHidden/>
          </w:rPr>
        </w:r>
        <w:r w:rsidR="00A43EF3">
          <w:rPr>
            <w:noProof/>
            <w:webHidden/>
          </w:rPr>
          <w:fldChar w:fldCharType="separate"/>
        </w:r>
        <w:r w:rsidR="00A43EF3">
          <w:rPr>
            <w:noProof/>
            <w:webHidden/>
          </w:rPr>
          <w:t>345</w:t>
        </w:r>
        <w:r w:rsidR="00A43EF3">
          <w:rPr>
            <w:noProof/>
            <w:webHidden/>
          </w:rPr>
          <w:fldChar w:fldCharType="end"/>
        </w:r>
      </w:hyperlink>
    </w:p>
    <w:p w14:paraId="6CB7BC97" w14:textId="748F457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49" w:history="1">
        <w:r w:rsidR="00A43EF3" w:rsidRPr="006F5EF0">
          <w:rPr>
            <w:rStyle w:val="Hyperlink"/>
            <w:noProof/>
          </w:rPr>
          <w:t>Фигура 88: Регистрирани случаи на злокачествени новообразувания през 2020 год. на 100 000 души от населението</w:t>
        </w:r>
        <w:r w:rsidR="00A43EF3">
          <w:rPr>
            <w:noProof/>
            <w:webHidden/>
          </w:rPr>
          <w:tab/>
        </w:r>
        <w:r w:rsidR="00A43EF3">
          <w:rPr>
            <w:noProof/>
            <w:webHidden/>
          </w:rPr>
          <w:fldChar w:fldCharType="begin"/>
        </w:r>
        <w:r w:rsidR="00A43EF3">
          <w:rPr>
            <w:noProof/>
            <w:webHidden/>
          </w:rPr>
          <w:instrText xml:space="preserve"> PAGEREF _Toc115255149 \h </w:instrText>
        </w:r>
        <w:r w:rsidR="00A43EF3">
          <w:rPr>
            <w:noProof/>
            <w:webHidden/>
          </w:rPr>
        </w:r>
        <w:r w:rsidR="00A43EF3">
          <w:rPr>
            <w:noProof/>
            <w:webHidden/>
          </w:rPr>
          <w:fldChar w:fldCharType="separate"/>
        </w:r>
        <w:r w:rsidR="00A43EF3">
          <w:rPr>
            <w:noProof/>
            <w:webHidden/>
          </w:rPr>
          <w:t>346</w:t>
        </w:r>
        <w:r w:rsidR="00A43EF3">
          <w:rPr>
            <w:noProof/>
            <w:webHidden/>
          </w:rPr>
          <w:fldChar w:fldCharType="end"/>
        </w:r>
      </w:hyperlink>
    </w:p>
    <w:p w14:paraId="5FCAD2FB" w14:textId="153862CF"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0" w:history="1">
        <w:r w:rsidR="00A43EF3" w:rsidRPr="006F5EF0">
          <w:rPr>
            <w:rStyle w:val="Hyperlink"/>
            <w:noProof/>
          </w:rPr>
          <w:t>Фигура 89: Леглови фонд на здравните заведения на 100 000 души от населението</w:t>
        </w:r>
        <w:r w:rsidR="00A43EF3">
          <w:rPr>
            <w:noProof/>
            <w:webHidden/>
          </w:rPr>
          <w:tab/>
        </w:r>
        <w:r w:rsidR="00A43EF3">
          <w:rPr>
            <w:noProof/>
            <w:webHidden/>
          </w:rPr>
          <w:fldChar w:fldCharType="begin"/>
        </w:r>
        <w:r w:rsidR="00A43EF3">
          <w:rPr>
            <w:noProof/>
            <w:webHidden/>
          </w:rPr>
          <w:instrText xml:space="preserve"> PAGEREF _Toc115255150 \h </w:instrText>
        </w:r>
        <w:r w:rsidR="00A43EF3">
          <w:rPr>
            <w:noProof/>
            <w:webHidden/>
          </w:rPr>
        </w:r>
        <w:r w:rsidR="00A43EF3">
          <w:rPr>
            <w:noProof/>
            <w:webHidden/>
          </w:rPr>
          <w:fldChar w:fldCharType="separate"/>
        </w:r>
        <w:r w:rsidR="00A43EF3">
          <w:rPr>
            <w:noProof/>
            <w:webHidden/>
          </w:rPr>
          <w:t>350</w:t>
        </w:r>
        <w:r w:rsidR="00A43EF3">
          <w:rPr>
            <w:noProof/>
            <w:webHidden/>
          </w:rPr>
          <w:fldChar w:fldCharType="end"/>
        </w:r>
      </w:hyperlink>
    </w:p>
    <w:p w14:paraId="030CD735" w14:textId="7F7944C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1" w:history="1">
        <w:r w:rsidR="00A43EF3" w:rsidRPr="006F5EF0">
          <w:rPr>
            <w:rStyle w:val="Hyperlink"/>
            <w:noProof/>
          </w:rPr>
          <w:t>Фигура 90: Информация за осигуреността с медицински персонал на 100 000 души от населението през 2020 год.</w:t>
        </w:r>
        <w:r w:rsidR="00A43EF3">
          <w:rPr>
            <w:noProof/>
            <w:webHidden/>
          </w:rPr>
          <w:tab/>
        </w:r>
        <w:r w:rsidR="00A43EF3">
          <w:rPr>
            <w:noProof/>
            <w:webHidden/>
          </w:rPr>
          <w:fldChar w:fldCharType="begin"/>
        </w:r>
        <w:r w:rsidR="00A43EF3">
          <w:rPr>
            <w:noProof/>
            <w:webHidden/>
          </w:rPr>
          <w:instrText xml:space="preserve"> PAGEREF _Toc115255151 \h </w:instrText>
        </w:r>
        <w:r w:rsidR="00A43EF3">
          <w:rPr>
            <w:noProof/>
            <w:webHidden/>
          </w:rPr>
        </w:r>
        <w:r w:rsidR="00A43EF3">
          <w:rPr>
            <w:noProof/>
            <w:webHidden/>
          </w:rPr>
          <w:fldChar w:fldCharType="separate"/>
        </w:r>
        <w:r w:rsidR="00A43EF3">
          <w:rPr>
            <w:noProof/>
            <w:webHidden/>
          </w:rPr>
          <w:t>351</w:t>
        </w:r>
        <w:r w:rsidR="00A43EF3">
          <w:rPr>
            <w:noProof/>
            <w:webHidden/>
          </w:rPr>
          <w:fldChar w:fldCharType="end"/>
        </w:r>
      </w:hyperlink>
    </w:p>
    <w:p w14:paraId="20E1614B" w14:textId="1EA8AE93" w:rsidR="005E6ACF" w:rsidRPr="009F6D1E" w:rsidRDefault="003F3D71"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fldChar w:fldCharType="end"/>
      </w:r>
    </w:p>
    <w:p w14:paraId="015E3212" w14:textId="77777777" w:rsidR="00F663D2" w:rsidRPr="009F6D1E" w:rsidRDefault="00F663D2"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t>СПИСЪК НА ТАБЛИЦИТЕ:</w:t>
      </w:r>
    </w:p>
    <w:p w14:paraId="08A6CCBF" w14:textId="19E61148" w:rsidR="00A43EF3" w:rsidRDefault="003F3D71">
      <w:pPr>
        <w:pStyle w:val="TableofFigures"/>
        <w:tabs>
          <w:tab w:val="right" w:leader="dot" w:pos="9628"/>
        </w:tabs>
        <w:rPr>
          <w:rFonts w:asciiTheme="minorHAnsi" w:eastAsiaTheme="minorEastAsia" w:hAnsiTheme="minorHAnsi"/>
          <w:smallCaps w:val="0"/>
          <w:noProof/>
          <w:color w:val="auto"/>
          <w:sz w:val="22"/>
          <w:lang w:eastAsia="bg-BG"/>
        </w:rPr>
      </w:pPr>
      <w:r w:rsidRPr="009F6D1E">
        <w:rPr>
          <w:rFonts w:eastAsia="Calibri" w:cs="Times New Roman"/>
          <w:b/>
          <w:bCs/>
          <w:i/>
          <w:iCs/>
          <w:sz w:val="24"/>
          <w:szCs w:val="24"/>
        </w:rPr>
        <w:fldChar w:fldCharType="begin"/>
      </w:r>
      <w:r w:rsidR="00F663D2" w:rsidRPr="009F6D1E">
        <w:rPr>
          <w:rFonts w:eastAsia="Calibri" w:cs="Times New Roman"/>
          <w:b/>
          <w:bCs/>
          <w:i/>
          <w:iCs/>
          <w:sz w:val="24"/>
          <w:szCs w:val="24"/>
        </w:rPr>
        <w:instrText xml:space="preserve"> TOC \h \z \c "Таблица" </w:instrText>
      </w:r>
      <w:r w:rsidRPr="009F6D1E">
        <w:rPr>
          <w:rFonts w:eastAsia="Calibri" w:cs="Times New Roman"/>
          <w:b/>
          <w:bCs/>
          <w:i/>
          <w:iCs/>
          <w:sz w:val="24"/>
          <w:szCs w:val="24"/>
        </w:rPr>
        <w:fldChar w:fldCharType="separate"/>
      </w:r>
      <w:hyperlink w:anchor="_Toc115255152" w:history="1">
        <w:r w:rsidR="00A43EF3" w:rsidRPr="000F54FB">
          <w:rPr>
            <w:rStyle w:val="Hyperlink"/>
            <w:noProof/>
          </w:rPr>
          <w:t>Таблица 1: Варианти на СПРЗСР 2023-2027</w:t>
        </w:r>
        <w:r w:rsidR="00A43EF3">
          <w:rPr>
            <w:noProof/>
            <w:webHidden/>
          </w:rPr>
          <w:tab/>
        </w:r>
        <w:r w:rsidR="00A43EF3">
          <w:rPr>
            <w:noProof/>
            <w:webHidden/>
          </w:rPr>
          <w:fldChar w:fldCharType="begin"/>
        </w:r>
        <w:r w:rsidR="00A43EF3">
          <w:rPr>
            <w:noProof/>
            <w:webHidden/>
          </w:rPr>
          <w:instrText xml:space="preserve"> PAGEREF _Toc115255152 \h </w:instrText>
        </w:r>
        <w:r w:rsidR="00A43EF3">
          <w:rPr>
            <w:noProof/>
            <w:webHidden/>
          </w:rPr>
        </w:r>
        <w:r w:rsidR="00A43EF3">
          <w:rPr>
            <w:noProof/>
            <w:webHidden/>
          </w:rPr>
          <w:fldChar w:fldCharType="separate"/>
        </w:r>
        <w:r w:rsidR="00A43EF3">
          <w:rPr>
            <w:noProof/>
            <w:webHidden/>
          </w:rPr>
          <w:t>61</w:t>
        </w:r>
        <w:r w:rsidR="00A43EF3">
          <w:rPr>
            <w:noProof/>
            <w:webHidden/>
          </w:rPr>
          <w:fldChar w:fldCharType="end"/>
        </w:r>
      </w:hyperlink>
    </w:p>
    <w:p w14:paraId="020964FA" w14:textId="1D5F594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3" w:history="1">
        <w:r w:rsidR="00A43EF3" w:rsidRPr="000F54FB">
          <w:rPr>
            <w:rStyle w:val="Hyperlink"/>
            <w:noProof/>
          </w:rPr>
          <w:t xml:space="preserve">Таблица 2 : </w:t>
        </w:r>
        <w:r w:rsidR="00A43EF3" w:rsidRPr="000F54FB">
          <w:rPr>
            <w:rStyle w:val="Hyperlink"/>
            <w:rFonts w:eastAsia="Times New Roman"/>
            <w:noProof/>
            <w:lang w:bidi="bg-BG"/>
          </w:rPr>
          <w:t>Агрегирани емисии на ПГ (без сектор “Земеползване, промяна в земеползването и горско стопанство”), Gg CO</w:t>
        </w:r>
        <w:r w:rsidR="00A43EF3" w:rsidRPr="000F54FB">
          <w:rPr>
            <w:rStyle w:val="Hyperlink"/>
            <w:rFonts w:eastAsia="Times New Roman"/>
            <w:noProof/>
            <w:vertAlign w:val="subscript"/>
            <w:lang w:bidi="bg-BG"/>
          </w:rPr>
          <w:t>2</w:t>
        </w:r>
        <w:r w:rsidR="00A43EF3" w:rsidRPr="000F54FB">
          <w:rPr>
            <w:rStyle w:val="Hyperlink"/>
            <w:rFonts w:eastAsia="Times New Roman"/>
            <w:noProof/>
            <w:lang w:bidi="bg-BG"/>
          </w:rPr>
          <w:t>-екв. и дял в проценти на общите годишни емисии спрямо базовата година</w:t>
        </w:r>
        <w:r w:rsidR="00A43EF3">
          <w:rPr>
            <w:noProof/>
            <w:webHidden/>
          </w:rPr>
          <w:tab/>
        </w:r>
        <w:r w:rsidR="00A43EF3">
          <w:rPr>
            <w:noProof/>
            <w:webHidden/>
          </w:rPr>
          <w:fldChar w:fldCharType="begin"/>
        </w:r>
        <w:r w:rsidR="00A43EF3">
          <w:rPr>
            <w:noProof/>
            <w:webHidden/>
          </w:rPr>
          <w:instrText xml:space="preserve"> PAGEREF _Toc115255153 \h </w:instrText>
        </w:r>
        <w:r w:rsidR="00A43EF3">
          <w:rPr>
            <w:noProof/>
            <w:webHidden/>
          </w:rPr>
        </w:r>
        <w:r w:rsidR="00A43EF3">
          <w:rPr>
            <w:noProof/>
            <w:webHidden/>
          </w:rPr>
          <w:fldChar w:fldCharType="separate"/>
        </w:r>
        <w:r w:rsidR="00A43EF3">
          <w:rPr>
            <w:noProof/>
            <w:webHidden/>
          </w:rPr>
          <w:t>162</w:t>
        </w:r>
        <w:r w:rsidR="00A43EF3">
          <w:rPr>
            <w:noProof/>
            <w:webHidden/>
          </w:rPr>
          <w:fldChar w:fldCharType="end"/>
        </w:r>
      </w:hyperlink>
    </w:p>
    <w:p w14:paraId="3D737707" w14:textId="00759CF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4" w:history="1">
        <w:r w:rsidR="00A43EF3" w:rsidRPr="000F54FB">
          <w:rPr>
            <w:rStyle w:val="Hyperlink"/>
            <w:noProof/>
          </w:rPr>
          <w:t>Таблица 3:</w:t>
        </w:r>
        <w:r w:rsidR="00A43EF3" w:rsidRPr="000F54FB">
          <w:rPr>
            <w:rStyle w:val="Hyperlink"/>
            <w:b/>
            <w:bCs/>
            <w:noProof/>
          </w:rPr>
          <w:t xml:space="preserve">  </w:t>
        </w:r>
        <w:r w:rsidR="00A43EF3" w:rsidRPr="000F54FB">
          <w:rPr>
            <w:rStyle w:val="Hyperlink"/>
            <w:noProof/>
          </w:rPr>
          <w:t>Емисии на вредни вещества в атмосферния въздух за 2019 г. по групи</w:t>
        </w:r>
        <w:r w:rsidR="00A43EF3">
          <w:rPr>
            <w:noProof/>
            <w:webHidden/>
          </w:rPr>
          <w:tab/>
        </w:r>
        <w:r w:rsidR="00A43EF3">
          <w:rPr>
            <w:noProof/>
            <w:webHidden/>
          </w:rPr>
          <w:fldChar w:fldCharType="begin"/>
        </w:r>
        <w:r w:rsidR="00A43EF3">
          <w:rPr>
            <w:noProof/>
            <w:webHidden/>
          </w:rPr>
          <w:instrText xml:space="preserve"> PAGEREF _Toc115255154 \h </w:instrText>
        </w:r>
        <w:r w:rsidR="00A43EF3">
          <w:rPr>
            <w:noProof/>
            <w:webHidden/>
          </w:rPr>
        </w:r>
        <w:r w:rsidR="00A43EF3">
          <w:rPr>
            <w:noProof/>
            <w:webHidden/>
          </w:rPr>
          <w:fldChar w:fldCharType="separate"/>
        </w:r>
        <w:r w:rsidR="00A43EF3">
          <w:rPr>
            <w:noProof/>
            <w:webHidden/>
          </w:rPr>
          <w:t>173</w:t>
        </w:r>
        <w:r w:rsidR="00A43EF3">
          <w:rPr>
            <w:noProof/>
            <w:webHidden/>
          </w:rPr>
          <w:fldChar w:fldCharType="end"/>
        </w:r>
      </w:hyperlink>
    </w:p>
    <w:p w14:paraId="11AA27D5" w14:textId="1BC94831"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5" w:history="1">
        <w:r w:rsidR="00A43EF3" w:rsidRPr="000F54FB">
          <w:rPr>
            <w:rStyle w:val="Hyperlink"/>
            <w:noProof/>
          </w:rPr>
          <w:t>Таблица 4: Повърхностни водни тела, определени в лошо или много лошо екологично състояние, съгласно БДДР, 2020 г.</w:t>
        </w:r>
        <w:r w:rsidR="00A43EF3">
          <w:rPr>
            <w:noProof/>
            <w:webHidden/>
          </w:rPr>
          <w:tab/>
        </w:r>
        <w:r w:rsidR="00A43EF3">
          <w:rPr>
            <w:noProof/>
            <w:webHidden/>
          </w:rPr>
          <w:fldChar w:fldCharType="begin"/>
        </w:r>
        <w:r w:rsidR="00A43EF3">
          <w:rPr>
            <w:noProof/>
            <w:webHidden/>
          </w:rPr>
          <w:instrText xml:space="preserve"> PAGEREF _Toc115255155 \h </w:instrText>
        </w:r>
        <w:r w:rsidR="00A43EF3">
          <w:rPr>
            <w:noProof/>
            <w:webHidden/>
          </w:rPr>
        </w:r>
        <w:r w:rsidR="00A43EF3">
          <w:rPr>
            <w:noProof/>
            <w:webHidden/>
          </w:rPr>
          <w:fldChar w:fldCharType="separate"/>
        </w:r>
        <w:r w:rsidR="00A43EF3">
          <w:rPr>
            <w:noProof/>
            <w:webHidden/>
          </w:rPr>
          <w:t>206</w:t>
        </w:r>
        <w:r w:rsidR="00A43EF3">
          <w:rPr>
            <w:noProof/>
            <w:webHidden/>
          </w:rPr>
          <w:fldChar w:fldCharType="end"/>
        </w:r>
      </w:hyperlink>
    </w:p>
    <w:p w14:paraId="47C6CA27" w14:textId="5DCE8FC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6" w:history="1">
        <w:r w:rsidR="00A43EF3" w:rsidRPr="000F54FB">
          <w:rPr>
            <w:rStyle w:val="Hyperlink"/>
            <w:noProof/>
          </w:rPr>
          <w:t>Таблица 5: Повърхностни водни тела, определени в лошо химично състояние, съгласно междинна оценка на БДДР за периода 2019 - 2020 г.</w:t>
        </w:r>
        <w:r w:rsidR="00A43EF3">
          <w:rPr>
            <w:noProof/>
            <w:webHidden/>
          </w:rPr>
          <w:tab/>
        </w:r>
        <w:r w:rsidR="00A43EF3">
          <w:rPr>
            <w:noProof/>
            <w:webHidden/>
          </w:rPr>
          <w:fldChar w:fldCharType="begin"/>
        </w:r>
        <w:r w:rsidR="00A43EF3">
          <w:rPr>
            <w:noProof/>
            <w:webHidden/>
          </w:rPr>
          <w:instrText xml:space="preserve"> PAGEREF _Toc115255156 \h </w:instrText>
        </w:r>
        <w:r w:rsidR="00A43EF3">
          <w:rPr>
            <w:noProof/>
            <w:webHidden/>
          </w:rPr>
        </w:r>
        <w:r w:rsidR="00A43EF3">
          <w:rPr>
            <w:noProof/>
            <w:webHidden/>
          </w:rPr>
          <w:fldChar w:fldCharType="separate"/>
        </w:r>
        <w:r w:rsidR="00A43EF3">
          <w:rPr>
            <w:noProof/>
            <w:webHidden/>
          </w:rPr>
          <w:t>208</w:t>
        </w:r>
        <w:r w:rsidR="00A43EF3">
          <w:rPr>
            <w:noProof/>
            <w:webHidden/>
          </w:rPr>
          <w:fldChar w:fldCharType="end"/>
        </w:r>
      </w:hyperlink>
    </w:p>
    <w:p w14:paraId="304627B7" w14:textId="3CE22DE7"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7" w:history="1">
        <w:r w:rsidR="00A43EF3" w:rsidRPr="000F54FB">
          <w:rPr>
            <w:rStyle w:val="Hyperlink"/>
            <w:noProof/>
          </w:rPr>
          <w:t>Таблица 6: Оценка на химично и екологично състояние на повърхностни водни тела, категория „реки“ на територията на Басейнова дирекция „Дунавски район“, съгласно ПУРБ 2016-2021 г.</w:t>
        </w:r>
        <w:r w:rsidR="00A43EF3">
          <w:rPr>
            <w:noProof/>
            <w:webHidden/>
          </w:rPr>
          <w:tab/>
        </w:r>
        <w:r w:rsidR="00A43EF3">
          <w:rPr>
            <w:noProof/>
            <w:webHidden/>
          </w:rPr>
          <w:fldChar w:fldCharType="begin"/>
        </w:r>
        <w:r w:rsidR="00A43EF3">
          <w:rPr>
            <w:noProof/>
            <w:webHidden/>
          </w:rPr>
          <w:instrText xml:space="preserve"> PAGEREF _Toc115255157 \h </w:instrText>
        </w:r>
        <w:r w:rsidR="00A43EF3">
          <w:rPr>
            <w:noProof/>
            <w:webHidden/>
          </w:rPr>
        </w:r>
        <w:r w:rsidR="00A43EF3">
          <w:rPr>
            <w:noProof/>
            <w:webHidden/>
          </w:rPr>
          <w:fldChar w:fldCharType="separate"/>
        </w:r>
        <w:r w:rsidR="00A43EF3">
          <w:rPr>
            <w:noProof/>
            <w:webHidden/>
          </w:rPr>
          <w:t>209</w:t>
        </w:r>
        <w:r w:rsidR="00A43EF3">
          <w:rPr>
            <w:noProof/>
            <w:webHidden/>
          </w:rPr>
          <w:fldChar w:fldCharType="end"/>
        </w:r>
      </w:hyperlink>
    </w:p>
    <w:p w14:paraId="0E6E6064" w14:textId="5C6D300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8" w:history="1">
        <w:r w:rsidR="00A43EF3" w:rsidRPr="000F54FB">
          <w:rPr>
            <w:rStyle w:val="Hyperlink"/>
            <w:noProof/>
          </w:rPr>
          <w:t>Таблица 7: Повърхностни водни тела, категория „реки“, определени в лошо или много лошо екологично състояние към 2020 г.</w:t>
        </w:r>
        <w:r w:rsidR="00A43EF3">
          <w:rPr>
            <w:noProof/>
            <w:webHidden/>
          </w:rPr>
          <w:tab/>
        </w:r>
        <w:r w:rsidR="00A43EF3">
          <w:rPr>
            <w:noProof/>
            <w:webHidden/>
          </w:rPr>
          <w:fldChar w:fldCharType="begin"/>
        </w:r>
        <w:r w:rsidR="00A43EF3">
          <w:rPr>
            <w:noProof/>
            <w:webHidden/>
          </w:rPr>
          <w:instrText xml:space="preserve"> PAGEREF _Toc115255158 \h </w:instrText>
        </w:r>
        <w:r w:rsidR="00A43EF3">
          <w:rPr>
            <w:noProof/>
            <w:webHidden/>
          </w:rPr>
        </w:r>
        <w:r w:rsidR="00A43EF3">
          <w:rPr>
            <w:noProof/>
            <w:webHidden/>
          </w:rPr>
          <w:fldChar w:fldCharType="separate"/>
        </w:r>
        <w:r w:rsidR="00A43EF3">
          <w:rPr>
            <w:noProof/>
            <w:webHidden/>
          </w:rPr>
          <w:t>216</w:t>
        </w:r>
        <w:r w:rsidR="00A43EF3">
          <w:rPr>
            <w:noProof/>
            <w:webHidden/>
          </w:rPr>
          <w:fldChar w:fldCharType="end"/>
        </w:r>
      </w:hyperlink>
    </w:p>
    <w:p w14:paraId="3B7485B0" w14:textId="4458A75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59" w:history="1">
        <w:r w:rsidR="00A43EF3" w:rsidRPr="000F54FB">
          <w:rPr>
            <w:rStyle w:val="Hyperlink"/>
            <w:noProof/>
          </w:rPr>
          <w:t>Таблица 8: Повърхностни водни тела, определени в „недостостигащи добро“ състояние към 2020г., на територията на БДЧР</w:t>
        </w:r>
        <w:r w:rsidR="00A43EF3">
          <w:rPr>
            <w:noProof/>
            <w:webHidden/>
          </w:rPr>
          <w:tab/>
        </w:r>
        <w:r w:rsidR="00A43EF3">
          <w:rPr>
            <w:noProof/>
            <w:webHidden/>
          </w:rPr>
          <w:fldChar w:fldCharType="begin"/>
        </w:r>
        <w:r w:rsidR="00A43EF3">
          <w:rPr>
            <w:noProof/>
            <w:webHidden/>
          </w:rPr>
          <w:instrText xml:space="preserve"> PAGEREF _Toc115255159 \h </w:instrText>
        </w:r>
        <w:r w:rsidR="00A43EF3">
          <w:rPr>
            <w:noProof/>
            <w:webHidden/>
          </w:rPr>
        </w:r>
        <w:r w:rsidR="00A43EF3">
          <w:rPr>
            <w:noProof/>
            <w:webHidden/>
          </w:rPr>
          <w:fldChar w:fldCharType="separate"/>
        </w:r>
        <w:r w:rsidR="00A43EF3">
          <w:rPr>
            <w:noProof/>
            <w:webHidden/>
          </w:rPr>
          <w:t>217</w:t>
        </w:r>
        <w:r w:rsidR="00A43EF3">
          <w:rPr>
            <w:noProof/>
            <w:webHidden/>
          </w:rPr>
          <w:fldChar w:fldCharType="end"/>
        </w:r>
      </w:hyperlink>
    </w:p>
    <w:p w14:paraId="003994F9" w14:textId="2CD70CE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0" w:history="1">
        <w:r w:rsidR="00A43EF3" w:rsidRPr="000F54FB">
          <w:rPr>
            <w:rStyle w:val="Hyperlink"/>
            <w:noProof/>
          </w:rPr>
          <w:t>Таблица 9: Оценка на химично и екологично състояние на повърхностни водни тела, категория "реки" в Черноморски басейнов район, съгласно ПУРБ 2016-2021г.</w:t>
        </w:r>
        <w:r w:rsidR="00A43EF3">
          <w:rPr>
            <w:noProof/>
            <w:webHidden/>
          </w:rPr>
          <w:tab/>
        </w:r>
        <w:r w:rsidR="00A43EF3">
          <w:rPr>
            <w:noProof/>
            <w:webHidden/>
          </w:rPr>
          <w:fldChar w:fldCharType="begin"/>
        </w:r>
        <w:r w:rsidR="00A43EF3">
          <w:rPr>
            <w:noProof/>
            <w:webHidden/>
          </w:rPr>
          <w:instrText xml:space="preserve"> PAGEREF _Toc115255160 \h </w:instrText>
        </w:r>
        <w:r w:rsidR="00A43EF3">
          <w:rPr>
            <w:noProof/>
            <w:webHidden/>
          </w:rPr>
        </w:r>
        <w:r w:rsidR="00A43EF3">
          <w:rPr>
            <w:noProof/>
            <w:webHidden/>
          </w:rPr>
          <w:fldChar w:fldCharType="separate"/>
        </w:r>
        <w:r w:rsidR="00A43EF3">
          <w:rPr>
            <w:noProof/>
            <w:webHidden/>
          </w:rPr>
          <w:t>218</w:t>
        </w:r>
        <w:r w:rsidR="00A43EF3">
          <w:rPr>
            <w:noProof/>
            <w:webHidden/>
          </w:rPr>
          <w:fldChar w:fldCharType="end"/>
        </w:r>
      </w:hyperlink>
    </w:p>
    <w:p w14:paraId="3C14B461" w14:textId="5AB5A5A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1" w:history="1">
        <w:r w:rsidR="00A43EF3" w:rsidRPr="000F54FB">
          <w:rPr>
            <w:rStyle w:val="Hyperlink"/>
            <w:noProof/>
          </w:rPr>
          <w:t>Таблица 10: Повърхностни водни тела, определени в лошо или много лошо екологично състояние, съгласно БДИБР, 2020 г.</w:t>
        </w:r>
        <w:r w:rsidR="00A43EF3">
          <w:rPr>
            <w:noProof/>
            <w:webHidden/>
          </w:rPr>
          <w:tab/>
        </w:r>
        <w:r w:rsidR="00A43EF3">
          <w:rPr>
            <w:noProof/>
            <w:webHidden/>
          </w:rPr>
          <w:fldChar w:fldCharType="begin"/>
        </w:r>
        <w:r w:rsidR="00A43EF3">
          <w:rPr>
            <w:noProof/>
            <w:webHidden/>
          </w:rPr>
          <w:instrText xml:space="preserve"> PAGEREF _Toc115255161 \h </w:instrText>
        </w:r>
        <w:r w:rsidR="00A43EF3">
          <w:rPr>
            <w:noProof/>
            <w:webHidden/>
          </w:rPr>
        </w:r>
        <w:r w:rsidR="00A43EF3">
          <w:rPr>
            <w:noProof/>
            <w:webHidden/>
          </w:rPr>
          <w:fldChar w:fldCharType="separate"/>
        </w:r>
        <w:r w:rsidR="00A43EF3">
          <w:rPr>
            <w:noProof/>
            <w:webHidden/>
          </w:rPr>
          <w:t>224</w:t>
        </w:r>
        <w:r w:rsidR="00A43EF3">
          <w:rPr>
            <w:noProof/>
            <w:webHidden/>
          </w:rPr>
          <w:fldChar w:fldCharType="end"/>
        </w:r>
      </w:hyperlink>
    </w:p>
    <w:p w14:paraId="0158AF41" w14:textId="5B4920D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2" w:history="1">
        <w:r w:rsidR="00A43EF3" w:rsidRPr="000F54FB">
          <w:rPr>
            <w:rStyle w:val="Hyperlink"/>
            <w:noProof/>
          </w:rPr>
          <w:t>Таблица 11: Повърхностни водни тела, определени в лошо химично състояние за 2020 г.</w:t>
        </w:r>
        <w:r w:rsidR="00A43EF3">
          <w:rPr>
            <w:noProof/>
            <w:webHidden/>
          </w:rPr>
          <w:tab/>
        </w:r>
        <w:r w:rsidR="00A43EF3">
          <w:rPr>
            <w:noProof/>
            <w:webHidden/>
          </w:rPr>
          <w:fldChar w:fldCharType="begin"/>
        </w:r>
        <w:r w:rsidR="00A43EF3">
          <w:rPr>
            <w:noProof/>
            <w:webHidden/>
          </w:rPr>
          <w:instrText xml:space="preserve"> PAGEREF _Toc115255162 \h </w:instrText>
        </w:r>
        <w:r w:rsidR="00A43EF3">
          <w:rPr>
            <w:noProof/>
            <w:webHidden/>
          </w:rPr>
        </w:r>
        <w:r w:rsidR="00A43EF3">
          <w:rPr>
            <w:noProof/>
            <w:webHidden/>
          </w:rPr>
          <w:fldChar w:fldCharType="separate"/>
        </w:r>
        <w:r w:rsidR="00A43EF3">
          <w:rPr>
            <w:noProof/>
            <w:webHidden/>
          </w:rPr>
          <w:t>227</w:t>
        </w:r>
        <w:r w:rsidR="00A43EF3">
          <w:rPr>
            <w:noProof/>
            <w:webHidden/>
          </w:rPr>
          <w:fldChar w:fldCharType="end"/>
        </w:r>
      </w:hyperlink>
    </w:p>
    <w:p w14:paraId="42481373" w14:textId="29965A9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3" w:history="1">
        <w:r w:rsidR="00A43EF3" w:rsidRPr="000F54FB">
          <w:rPr>
            <w:rStyle w:val="Hyperlink"/>
            <w:noProof/>
          </w:rPr>
          <w:t>Таблица 12: Повърхностни водни тела, определени в лошо екологично състояние/потенциал през 2020 г.</w:t>
        </w:r>
        <w:r w:rsidR="00A43EF3">
          <w:rPr>
            <w:noProof/>
            <w:webHidden/>
          </w:rPr>
          <w:tab/>
        </w:r>
        <w:r w:rsidR="00A43EF3">
          <w:rPr>
            <w:noProof/>
            <w:webHidden/>
          </w:rPr>
          <w:fldChar w:fldCharType="begin"/>
        </w:r>
        <w:r w:rsidR="00A43EF3">
          <w:rPr>
            <w:noProof/>
            <w:webHidden/>
          </w:rPr>
          <w:instrText xml:space="preserve"> PAGEREF _Toc115255163 \h </w:instrText>
        </w:r>
        <w:r w:rsidR="00A43EF3">
          <w:rPr>
            <w:noProof/>
            <w:webHidden/>
          </w:rPr>
        </w:r>
        <w:r w:rsidR="00A43EF3">
          <w:rPr>
            <w:noProof/>
            <w:webHidden/>
          </w:rPr>
          <w:fldChar w:fldCharType="separate"/>
        </w:r>
        <w:r w:rsidR="00A43EF3">
          <w:rPr>
            <w:noProof/>
            <w:webHidden/>
          </w:rPr>
          <w:t>229</w:t>
        </w:r>
        <w:r w:rsidR="00A43EF3">
          <w:rPr>
            <w:noProof/>
            <w:webHidden/>
          </w:rPr>
          <w:fldChar w:fldCharType="end"/>
        </w:r>
      </w:hyperlink>
    </w:p>
    <w:p w14:paraId="621EFD84" w14:textId="381FE7C7"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4" w:history="1">
        <w:r w:rsidR="00A43EF3" w:rsidRPr="000F54FB">
          <w:rPr>
            <w:rStyle w:val="Hyperlink"/>
            <w:noProof/>
          </w:rPr>
          <w:t>Таблица 13: Повърхностни водни тела, определени в лошо химично състояние за 2020 г.</w:t>
        </w:r>
        <w:r w:rsidR="00A43EF3">
          <w:rPr>
            <w:noProof/>
            <w:webHidden/>
          </w:rPr>
          <w:tab/>
        </w:r>
        <w:r w:rsidR="00A43EF3">
          <w:rPr>
            <w:noProof/>
            <w:webHidden/>
          </w:rPr>
          <w:fldChar w:fldCharType="begin"/>
        </w:r>
        <w:r w:rsidR="00A43EF3">
          <w:rPr>
            <w:noProof/>
            <w:webHidden/>
          </w:rPr>
          <w:instrText xml:space="preserve"> PAGEREF _Toc115255164 \h </w:instrText>
        </w:r>
        <w:r w:rsidR="00A43EF3">
          <w:rPr>
            <w:noProof/>
            <w:webHidden/>
          </w:rPr>
        </w:r>
        <w:r w:rsidR="00A43EF3">
          <w:rPr>
            <w:noProof/>
            <w:webHidden/>
          </w:rPr>
          <w:fldChar w:fldCharType="separate"/>
        </w:r>
        <w:r w:rsidR="00A43EF3">
          <w:rPr>
            <w:noProof/>
            <w:webHidden/>
          </w:rPr>
          <w:t>231</w:t>
        </w:r>
        <w:r w:rsidR="00A43EF3">
          <w:rPr>
            <w:noProof/>
            <w:webHidden/>
          </w:rPr>
          <w:fldChar w:fldCharType="end"/>
        </w:r>
      </w:hyperlink>
    </w:p>
    <w:p w14:paraId="59F094FB" w14:textId="10D8702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5" w:history="1">
        <w:r w:rsidR="00A43EF3" w:rsidRPr="000F54FB">
          <w:rPr>
            <w:rStyle w:val="Hyperlink"/>
            <w:noProof/>
          </w:rPr>
          <w:t>Таблица 14: Оценка на химично и екологично състояние на повърхностни водни тела, категория „реки“ на територията на БДЗБР,съгласно ПУРБ 2016-2021 г.</w:t>
        </w:r>
        <w:r w:rsidR="00A43EF3">
          <w:rPr>
            <w:noProof/>
            <w:webHidden/>
          </w:rPr>
          <w:tab/>
        </w:r>
        <w:r w:rsidR="00A43EF3">
          <w:rPr>
            <w:noProof/>
            <w:webHidden/>
          </w:rPr>
          <w:fldChar w:fldCharType="begin"/>
        </w:r>
        <w:r w:rsidR="00A43EF3">
          <w:rPr>
            <w:noProof/>
            <w:webHidden/>
          </w:rPr>
          <w:instrText xml:space="preserve"> PAGEREF _Toc115255165 \h </w:instrText>
        </w:r>
        <w:r w:rsidR="00A43EF3">
          <w:rPr>
            <w:noProof/>
            <w:webHidden/>
          </w:rPr>
        </w:r>
        <w:r w:rsidR="00A43EF3">
          <w:rPr>
            <w:noProof/>
            <w:webHidden/>
          </w:rPr>
          <w:fldChar w:fldCharType="separate"/>
        </w:r>
        <w:r w:rsidR="00A43EF3">
          <w:rPr>
            <w:noProof/>
            <w:webHidden/>
          </w:rPr>
          <w:t>232</w:t>
        </w:r>
        <w:r w:rsidR="00A43EF3">
          <w:rPr>
            <w:noProof/>
            <w:webHidden/>
          </w:rPr>
          <w:fldChar w:fldCharType="end"/>
        </w:r>
      </w:hyperlink>
    </w:p>
    <w:p w14:paraId="7D904DD4" w14:textId="227E920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6" w:history="1">
        <w:r w:rsidR="00A43EF3" w:rsidRPr="000F54FB">
          <w:rPr>
            <w:rStyle w:val="Hyperlink"/>
            <w:noProof/>
          </w:rPr>
          <w:t>Таблица 15: Крайбрежни водни тела за района на Черноморски район за басейново управление</w:t>
        </w:r>
        <w:r w:rsidR="00A43EF3">
          <w:rPr>
            <w:noProof/>
            <w:webHidden/>
          </w:rPr>
          <w:tab/>
        </w:r>
        <w:r w:rsidR="00A43EF3">
          <w:rPr>
            <w:noProof/>
            <w:webHidden/>
          </w:rPr>
          <w:fldChar w:fldCharType="begin"/>
        </w:r>
        <w:r w:rsidR="00A43EF3">
          <w:rPr>
            <w:noProof/>
            <w:webHidden/>
          </w:rPr>
          <w:instrText xml:space="preserve"> PAGEREF _Toc115255166 \h </w:instrText>
        </w:r>
        <w:r w:rsidR="00A43EF3">
          <w:rPr>
            <w:noProof/>
            <w:webHidden/>
          </w:rPr>
        </w:r>
        <w:r w:rsidR="00A43EF3">
          <w:rPr>
            <w:noProof/>
            <w:webHidden/>
          </w:rPr>
          <w:fldChar w:fldCharType="separate"/>
        </w:r>
        <w:r w:rsidR="00A43EF3">
          <w:rPr>
            <w:noProof/>
            <w:webHidden/>
          </w:rPr>
          <w:t>242</w:t>
        </w:r>
        <w:r w:rsidR="00A43EF3">
          <w:rPr>
            <w:noProof/>
            <w:webHidden/>
          </w:rPr>
          <w:fldChar w:fldCharType="end"/>
        </w:r>
      </w:hyperlink>
    </w:p>
    <w:p w14:paraId="2406A665" w14:textId="76D86C3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7" w:history="1">
        <w:r w:rsidR="00A43EF3" w:rsidRPr="000F54FB">
          <w:rPr>
            <w:rStyle w:val="Hyperlink"/>
            <w:noProof/>
          </w:rPr>
          <w:t>Таблица 16: Оценка за екологичното състояние на крайбрежни води съгласно ПУРБ 2016-2021г. и спрямо 2019 г.</w:t>
        </w:r>
        <w:r w:rsidR="00A43EF3">
          <w:rPr>
            <w:noProof/>
            <w:webHidden/>
          </w:rPr>
          <w:tab/>
        </w:r>
        <w:r w:rsidR="00A43EF3">
          <w:rPr>
            <w:noProof/>
            <w:webHidden/>
          </w:rPr>
          <w:fldChar w:fldCharType="begin"/>
        </w:r>
        <w:r w:rsidR="00A43EF3">
          <w:rPr>
            <w:noProof/>
            <w:webHidden/>
          </w:rPr>
          <w:instrText xml:space="preserve"> PAGEREF _Toc115255167 \h </w:instrText>
        </w:r>
        <w:r w:rsidR="00A43EF3">
          <w:rPr>
            <w:noProof/>
            <w:webHidden/>
          </w:rPr>
        </w:r>
        <w:r w:rsidR="00A43EF3">
          <w:rPr>
            <w:noProof/>
            <w:webHidden/>
          </w:rPr>
          <w:fldChar w:fldCharType="separate"/>
        </w:r>
        <w:r w:rsidR="00A43EF3">
          <w:rPr>
            <w:noProof/>
            <w:webHidden/>
          </w:rPr>
          <w:t>244</w:t>
        </w:r>
        <w:r w:rsidR="00A43EF3">
          <w:rPr>
            <w:noProof/>
            <w:webHidden/>
          </w:rPr>
          <w:fldChar w:fldCharType="end"/>
        </w:r>
      </w:hyperlink>
    </w:p>
    <w:p w14:paraId="2E2A2538" w14:textId="50B6BF8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8" w:history="1">
        <w:r w:rsidR="00A43EF3" w:rsidRPr="000F54FB">
          <w:rPr>
            <w:rStyle w:val="Hyperlink"/>
            <w:noProof/>
          </w:rPr>
          <w:t xml:space="preserve">Таблица 17: </w:t>
        </w:r>
        <w:r w:rsidR="00A43EF3" w:rsidRPr="000F54FB">
          <w:rPr>
            <w:rStyle w:val="Hyperlink"/>
            <w:b/>
            <w:noProof/>
          </w:rPr>
          <w:t xml:space="preserve"> </w:t>
        </w:r>
        <w:r w:rsidR="00A43EF3" w:rsidRPr="000F54FB">
          <w:rPr>
            <w:rStyle w:val="Hyperlink"/>
            <w:bCs/>
            <w:noProof/>
          </w:rPr>
          <w:t>Справка за пуснатите на пазара БА</w:t>
        </w:r>
        <w:r w:rsidR="00A43EF3">
          <w:rPr>
            <w:noProof/>
            <w:webHidden/>
          </w:rPr>
          <w:tab/>
        </w:r>
        <w:r w:rsidR="00A43EF3">
          <w:rPr>
            <w:noProof/>
            <w:webHidden/>
          </w:rPr>
          <w:fldChar w:fldCharType="begin"/>
        </w:r>
        <w:r w:rsidR="00A43EF3">
          <w:rPr>
            <w:noProof/>
            <w:webHidden/>
          </w:rPr>
          <w:instrText xml:space="preserve"> PAGEREF _Toc115255168 \h </w:instrText>
        </w:r>
        <w:r w:rsidR="00A43EF3">
          <w:rPr>
            <w:noProof/>
            <w:webHidden/>
          </w:rPr>
        </w:r>
        <w:r w:rsidR="00A43EF3">
          <w:rPr>
            <w:noProof/>
            <w:webHidden/>
          </w:rPr>
          <w:fldChar w:fldCharType="separate"/>
        </w:r>
        <w:r w:rsidR="00A43EF3">
          <w:rPr>
            <w:noProof/>
            <w:webHidden/>
          </w:rPr>
          <w:t>293</w:t>
        </w:r>
        <w:r w:rsidR="00A43EF3">
          <w:rPr>
            <w:noProof/>
            <w:webHidden/>
          </w:rPr>
          <w:fldChar w:fldCharType="end"/>
        </w:r>
      </w:hyperlink>
    </w:p>
    <w:p w14:paraId="21E2957C" w14:textId="67D3918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69" w:history="1">
        <w:r w:rsidR="00A43EF3" w:rsidRPr="000F54FB">
          <w:rPr>
            <w:rStyle w:val="Hyperlink"/>
            <w:noProof/>
          </w:rPr>
          <w:t>Таблица 18: Образувани количества отпадъци от селския, горския и рибния сектор за период от пет години – от 2016 до 2020 год.</w:t>
        </w:r>
        <w:r w:rsidR="00A43EF3">
          <w:rPr>
            <w:noProof/>
            <w:webHidden/>
          </w:rPr>
          <w:tab/>
        </w:r>
        <w:r w:rsidR="00A43EF3">
          <w:rPr>
            <w:noProof/>
            <w:webHidden/>
          </w:rPr>
          <w:fldChar w:fldCharType="begin"/>
        </w:r>
        <w:r w:rsidR="00A43EF3">
          <w:rPr>
            <w:noProof/>
            <w:webHidden/>
          </w:rPr>
          <w:instrText xml:space="preserve"> PAGEREF _Toc115255169 \h </w:instrText>
        </w:r>
        <w:r w:rsidR="00A43EF3">
          <w:rPr>
            <w:noProof/>
            <w:webHidden/>
          </w:rPr>
        </w:r>
        <w:r w:rsidR="00A43EF3">
          <w:rPr>
            <w:noProof/>
            <w:webHidden/>
          </w:rPr>
          <w:fldChar w:fldCharType="separate"/>
        </w:r>
        <w:r w:rsidR="00A43EF3">
          <w:rPr>
            <w:noProof/>
            <w:webHidden/>
          </w:rPr>
          <w:t>296</w:t>
        </w:r>
        <w:r w:rsidR="00A43EF3">
          <w:rPr>
            <w:noProof/>
            <w:webHidden/>
          </w:rPr>
          <w:fldChar w:fldCharType="end"/>
        </w:r>
      </w:hyperlink>
    </w:p>
    <w:p w14:paraId="0C8D7C1C" w14:textId="3A3BCA3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0" w:history="1">
        <w:r w:rsidR="00A43EF3" w:rsidRPr="000F54FB">
          <w:rPr>
            <w:rStyle w:val="Hyperlink"/>
            <w:noProof/>
          </w:rPr>
          <w:t>Таблица 19: Третиране на образуваните от секторите селско, горско и рибно стопанство отпадъци за 2020</w:t>
        </w:r>
        <w:r w:rsidR="00A43EF3">
          <w:rPr>
            <w:noProof/>
            <w:webHidden/>
          </w:rPr>
          <w:tab/>
        </w:r>
        <w:r w:rsidR="00A43EF3">
          <w:rPr>
            <w:noProof/>
            <w:webHidden/>
          </w:rPr>
          <w:fldChar w:fldCharType="begin"/>
        </w:r>
        <w:r w:rsidR="00A43EF3">
          <w:rPr>
            <w:noProof/>
            <w:webHidden/>
          </w:rPr>
          <w:instrText xml:space="preserve"> PAGEREF _Toc115255170 \h </w:instrText>
        </w:r>
        <w:r w:rsidR="00A43EF3">
          <w:rPr>
            <w:noProof/>
            <w:webHidden/>
          </w:rPr>
        </w:r>
        <w:r w:rsidR="00A43EF3">
          <w:rPr>
            <w:noProof/>
            <w:webHidden/>
          </w:rPr>
          <w:fldChar w:fldCharType="separate"/>
        </w:r>
        <w:r w:rsidR="00A43EF3">
          <w:rPr>
            <w:noProof/>
            <w:webHidden/>
          </w:rPr>
          <w:t>296</w:t>
        </w:r>
        <w:r w:rsidR="00A43EF3">
          <w:rPr>
            <w:noProof/>
            <w:webHidden/>
          </w:rPr>
          <w:fldChar w:fldCharType="end"/>
        </w:r>
      </w:hyperlink>
    </w:p>
    <w:p w14:paraId="2ADEEB48" w14:textId="62D4D0A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1" w:history="1">
        <w:r w:rsidR="00A43EF3" w:rsidRPr="000F54FB">
          <w:rPr>
            <w:rStyle w:val="Hyperlink"/>
            <w:noProof/>
          </w:rPr>
          <w:t>Таблица 20: Образуваните по вид отпадъци, типични за сектора на селското, горското и рибното стопанство за последните пет години</w:t>
        </w:r>
        <w:r w:rsidR="00A43EF3">
          <w:rPr>
            <w:noProof/>
            <w:webHidden/>
          </w:rPr>
          <w:tab/>
        </w:r>
        <w:r w:rsidR="00A43EF3">
          <w:rPr>
            <w:noProof/>
            <w:webHidden/>
          </w:rPr>
          <w:fldChar w:fldCharType="begin"/>
        </w:r>
        <w:r w:rsidR="00A43EF3">
          <w:rPr>
            <w:noProof/>
            <w:webHidden/>
          </w:rPr>
          <w:instrText xml:space="preserve"> PAGEREF _Toc115255171 \h </w:instrText>
        </w:r>
        <w:r w:rsidR="00A43EF3">
          <w:rPr>
            <w:noProof/>
            <w:webHidden/>
          </w:rPr>
        </w:r>
        <w:r w:rsidR="00A43EF3">
          <w:rPr>
            <w:noProof/>
            <w:webHidden/>
          </w:rPr>
          <w:fldChar w:fldCharType="separate"/>
        </w:r>
        <w:r w:rsidR="00A43EF3">
          <w:rPr>
            <w:noProof/>
            <w:webHidden/>
          </w:rPr>
          <w:t>297</w:t>
        </w:r>
        <w:r w:rsidR="00A43EF3">
          <w:rPr>
            <w:noProof/>
            <w:webHidden/>
          </w:rPr>
          <w:fldChar w:fldCharType="end"/>
        </w:r>
      </w:hyperlink>
    </w:p>
    <w:p w14:paraId="44F4E9F8" w14:textId="0C9DC388"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2" w:history="1">
        <w:r w:rsidR="00A43EF3" w:rsidRPr="000F54FB">
          <w:rPr>
            <w:rStyle w:val="Hyperlink"/>
            <w:noProof/>
          </w:rPr>
          <w:t>Таблица 21: Третиране на образуваните по вид отпадъци, типични за сектора на селското, горското и рибното стопанство за последните пет години</w:t>
        </w:r>
        <w:r w:rsidR="00A43EF3">
          <w:rPr>
            <w:noProof/>
            <w:webHidden/>
          </w:rPr>
          <w:tab/>
        </w:r>
        <w:r w:rsidR="00A43EF3">
          <w:rPr>
            <w:noProof/>
            <w:webHidden/>
          </w:rPr>
          <w:fldChar w:fldCharType="begin"/>
        </w:r>
        <w:r w:rsidR="00A43EF3">
          <w:rPr>
            <w:noProof/>
            <w:webHidden/>
          </w:rPr>
          <w:instrText xml:space="preserve"> PAGEREF _Toc115255172 \h </w:instrText>
        </w:r>
        <w:r w:rsidR="00A43EF3">
          <w:rPr>
            <w:noProof/>
            <w:webHidden/>
          </w:rPr>
        </w:r>
        <w:r w:rsidR="00A43EF3">
          <w:rPr>
            <w:noProof/>
            <w:webHidden/>
          </w:rPr>
          <w:fldChar w:fldCharType="separate"/>
        </w:r>
        <w:r w:rsidR="00A43EF3">
          <w:rPr>
            <w:noProof/>
            <w:webHidden/>
          </w:rPr>
          <w:t>297</w:t>
        </w:r>
        <w:r w:rsidR="00A43EF3">
          <w:rPr>
            <w:noProof/>
            <w:webHidden/>
          </w:rPr>
          <w:fldChar w:fldCharType="end"/>
        </w:r>
      </w:hyperlink>
    </w:p>
    <w:p w14:paraId="02C0AD82" w14:textId="61ADFCD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3" w:history="1">
        <w:r w:rsidR="00A43EF3" w:rsidRPr="000F54FB">
          <w:rPr>
            <w:rStyle w:val="Hyperlink"/>
            <w:noProof/>
          </w:rPr>
          <w:t>Таблица 22: Предприятия с висок и нисък рисков потенциал по РИОСВ</w:t>
        </w:r>
        <w:r w:rsidR="00A43EF3">
          <w:rPr>
            <w:noProof/>
            <w:webHidden/>
          </w:rPr>
          <w:tab/>
        </w:r>
        <w:r w:rsidR="00A43EF3">
          <w:rPr>
            <w:noProof/>
            <w:webHidden/>
          </w:rPr>
          <w:fldChar w:fldCharType="begin"/>
        </w:r>
        <w:r w:rsidR="00A43EF3">
          <w:rPr>
            <w:noProof/>
            <w:webHidden/>
          </w:rPr>
          <w:instrText xml:space="preserve"> PAGEREF _Toc115255173 \h </w:instrText>
        </w:r>
        <w:r w:rsidR="00A43EF3">
          <w:rPr>
            <w:noProof/>
            <w:webHidden/>
          </w:rPr>
        </w:r>
        <w:r w:rsidR="00A43EF3">
          <w:rPr>
            <w:noProof/>
            <w:webHidden/>
          </w:rPr>
          <w:fldChar w:fldCharType="separate"/>
        </w:r>
        <w:r w:rsidR="00A43EF3">
          <w:rPr>
            <w:noProof/>
            <w:webHidden/>
          </w:rPr>
          <w:t>300</w:t>
        </w:r>
        <w:r w:rsidR="00A43EF3">
          <w:rPr>
            <w:noProof/>
            <w:webHidden/>
          </w:rPr>
          <w:fldChar w:fldCharType="end"/>
        </w:r>
      </w:hyperlink>
    </w:p>
    <w:p w14:paraId="34CD029C" w14:textId="48CA226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4" w:history="1">
        <w:r w:rsidR="00A43EF3" w:rsidRPr="000F54FB">
          <w:rPr>
            <w:rStyle w:val="Hyperlink"/>
            <w:noProof/>
          </w:rPr>
          <w:t>Таблица 23: Фаунистично разнообразие на гръбначните животни в България</w:t>
        </w:r>
        <w:r w:rsidR="00A43EF3">
          <w:rPr>
            <w:noProof/>
            <w:webHidden/>
          </w:rPr>
          <w:tab/>
        </w:r>
        <w:r w:rsidR="00A43EF3">
          <w:rPr>
            <w:noProof/>
            <w:webHidden/>
          </w:rPr>
          <w:fldChar w:fldCharType="begin"/>
        </w:r>
        <w:r w:rsidR="00A43EF3">
          <w:rPr>
            <w:noProof/>
            <w:webHidden/>
          </w:rPr>
          <w:instrText xml:space="preserve"> PAGEREF _Toc115255174 \h </w:instrText>
        </w:r>
        <w:r w:rsidR="00A43EF3">
          <w:rPr>
            <w:noProof/>
            <w:webHidden/>
          </w:rPr>
        </w:r>
        <w:r w:rsidR="00A43EF3">
          <w:rPr>
            <w:noProof/>
            <w:webHidden/>
          </w:rPr>
          <w:fldChar w:fldCharType="separate"/>
        </w:r>
        <w:r w:rsidR="00A43EF3">
          <w:rPr>
            <w:noProof/>
            <w:webHidden/>
          </w:rPr>
          <w:t>319</w:t>
        </w:r>
        <w:r w:rsidR="00A43EF3">
          <w:rPr>
            <w:noProof/>
            <w:webHidden/>
          </w:rPr>
          <w:fldChar w:fldCharType="end"/>
        </w:r>
      </w:hyperlink>
    </w:p>
    <w:p w14:paraId="37E9DEDC" w14:textId="6656C3D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5" w:history="1">
        <w:r w:rsidR="00A43EF3" w:rsidRPr="000F54FB">
          <w:rPr>
            <w:rStyle w:val="Hyperlink"/>
            <w:noProof/>
          </w:rPr>
          <w:t>Таблица 24:  Фаунистично разнообразие на безгръбначните животни в България</w:t>
        </w:r>
        <w:r w:rsidR="00A43EF3">
          <w:rPr>
            <w:noProof/>
            <w:webHidden/>
          </w:rPr>
          <w:tab/>
        </w:r>
        <w:r w:rsidR="00A43EF3">
          <w:rPr>
            <w:noProof/>
            <w:webHidden/>
          </w:rPr>
          <w:fldChar w:fldCharType="begin"/>
        </w:r>
        <w:r w:rsidR="00A43EF3">
          <w:rPr>
            <w:noProof/>
            <w:webHidden/>
          </w:rPr>
          <w:instrText xml:space="preserve"> PAGEREF _Toc115255175 \h </w:instrText>
        </w:r>
        <w:r w:rsidR="00A43EF3">
          <w:rPr>
            <w:noProof/>
            <w:webHidden/>
          </w:rPr>
        </w:r>
        <w:r w:rsidR="00A43EF3">
          <w:rPr>
            <w:noProof/>
            <w:webHidden/>
          </w:rPr>
          <w:fldChar w:fldCharType="separate"/>
        </w:r>
        <w:r w:rsidR="00A43EF3">
          <w:rPr>
            <w:noProof/>
            <w:webHidden/>
          </w:rPr>
          <w:t>322</w:t>
        </w:r>
        <w:r w:rsidR="00A43EF3">
          <w:rPr>
            <w:noProof/>
            <w:webHidden/>
          </w:rPr>
          <w:fldChar w:fldCharType="end"/>
        </w:r>
      </w:hyperlink>
    </w:p>
    <w:p w14:paraId="221773A4" w14:textId="0A831134"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6" w:history="1">
        <w:r w:rsidR="00A43EF3" w:rsidRPr="000F54FB">
          <w:rPr>
            <w:rStyle w:val="Hyperlink"/>
            <w:noProof/>
          </w:rPr>
          <w:t>Таблица 25:  Натура 2000 в България</w:t>
        </w:r>
        <w:r w:rsidR="00A43EF3">
          <w:rPr>
            <w:noProof/>
            <w:webHidden/>
          </w:rPr>
          <w:tab/>
        </w:r>
        <w:r w:rsidR="00A43EF3">
          <w:rPr>
            <w:noProof/>
            <w:webHidden/>
          </w:rPr>
          <w:fldChar w:fldCharType="begin"/>
        </w:r>
        <w:r w:rsidR="00A43EF3">
          <w:rPr>
            <w:noProof/>
            <w:webHidden/>
          </w:rPr>
          <w:instrText xml:space="preserve"> PAGEREF _Toc115255176 \h </w:instrText>
        </w:r>
        <w:r w:rsidR="00A43EF3">
          <w:rPr>
            <w:noProof/>
            <w:webHidden/>
          </w:rPr>
        </w:r>
        <w:r w:rsidR="00A43EF3">
          <w:rPr>
            <w:noProof/>
            <w:webHidden/>
          </w:rPr>
          <w:fldChar w:fldCharType="separate"/>
        </w:r>
        <w:r w:rsidR="00A43EF3">
          <w:rPr>
            <w:noProof/>
            <w:webHidden/>
          </w:rPr>
          <w:t>327</w:t>
        </w:r>
        <w:r w:rsidR="00A43EF3">
          <w:rPr>
            <w:noProof/>
            <w:webHidden/>
          </w:rPr>
          <w:fldChar w:fldCharType="end"/>
        </w:r>
      </w:hyperlink>
    </w:p>
    <w:p w14:paraId="78BC2C9F" w14:textId="16C410E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7" w:history="1">
        <w:r w:rsidR="00A43EF3" w:rsidRPr="000F54FB">
          <w:rPr>
            <w:rStyle w:val="Hyperlink"/>
            <w:noProof/>
          </w:rPr>
          <w:t>Таблица 26: Динамика на предприятията в сектор Производство и разпределение на електрическа и топлинна енергия и на газообразни горива за периода 2015-2018г.</w:t>
        </w:r>
        <w:r w:rsidR="00A43EF3">
          <w:rPr>
            <w:noProof/>
            <w:webHidden/>
          </w:rPr>
          <w:tab/>
        </w:r>
        <w:r w:rsidR="00A43EF3">
          <w:rPr>
            <w:noProof/>
            <w:webHidden/>
          </w:rPr>
          <w:fldChar w:fldCharType="begin"/>
        </w:r>
        <w:r w:rsidR="00A43EF3">
          <w:rPr>
            <w:noProof/>
            <w:webHidden/>
          </w:rPr>
          <w:instrText xml:space="preserve"> PAGEREF _Toc115255177 \h </w:instrText>
        </w:r>
        <w:r w:rsidR="00A43EF3">
          <w:rPr>
            <w:noProof/>
            <w:webHidden/>
          </w:rPr>
        </w:r>
        <w:r w:rsidR="00A43EF3">
          <w:rPr>
            <w:noProof/>
            <w:webHidden/>
          </w:rPr>
          <w:fldChar w:fldCharType="separate"/>
        </w:r>
        <w:r w:rsidR="00A43EF3">
          <w:rPr>
            <w:noProof/>
            <w:webHidden/>
          </w:rPr>
          <w:t>331</w:t>
        </w:r>
        <w:r w:rsidR="00A43EF3">
          <w:rPr>
            <w:noProof/>
            <w:webHidden/>
          </w:rPr>
          <w:fldChar w:fldCharType="end"/>
        </w:r>
      </w:hyperlink>
    </w:p>
    <w:p w14:paraId="6608CBFE" w14:textId="4DA949A9"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8" w:history="1">
        <w:r w:rsidR="00A43EF3" w:rsidRPr="000F54FB">
          <w:rPr>
            <w:rStyle w:val="Hyperlink"/>
            <w:noProof/>
          </w:rPr>
          <w:t xml:space="preserve">Таблица 27: </w:t>
        </w:r>
        <w:r w:rsidR="00A43EF3" w:rsidRPr="000F54FB">
          <w:rPr>
            <w:rStyle w:val="Hyperlink"/>
            <w:rFonts w:eastAsia="Times New Roman"/>
            <w:noProof/>
          </w:rPr>
          <w:t xml:space="preserve"> </w:t>
        </w:r>
        <w:r w:rsidR="00A43EF3" w:rsidRPr="000F54FB">
          <w:rPr>
            <w:rStyle w:val="Hyperlink"/>
            <w:noProof/>
          </w:rPr>
          <w:t>Най-висок дял инвестиции в три направления на околната среда.</w:t>
        </w:r>
        <w:r w:rsidR="00A43EF3">
          <w:rPr>
            <w:noProof/>
            <w:webHidden/>
          </w:rPr>
          <w:tab/>
        </w:r>
        <w:r w:rsidR="00A43EF3">
          <w:rPr>
            <w:noProof/>
            <w:webHidden/>
          </w:rPr>
          <w:fldChar w:fldCharType="begin"/>
        </w:r>
        <w:r w:rsidR="00A43EF3">
          <w:rPr>
            <w:noProof/>
            <w:webHidden/>
          </w:rPr>
          <w:instrText xml:space="preserve"> PAGEREF _Toc115255178 \h </w:instrText>
        </w:r>
        <w:r w:rsidR="00A43EF3">
          <w:rPr>
            <w:noProof/>
            <w:webHidden/>
          </w:rPr>
        </w:r>
        <w:r w:rsidR="00A43EF3">
          <w:rPr>
            <w:noProof/>
            <w:webHidden/>
          </w:rPr>
          <w:fldChar w:fldCharType="separate"/>
        </w:r>
        <w:r w:rsidR="00A43EF3">
          <w:rPr>
            <w:noProof/>
            <w:webHidden/>
          </w:rPr>
          <w:t>333</w:t>
        </w:r>
        <w:r w:rsidR="00A43EF3">
          <w:rPr>
            <w:noProof/>
            <w:webHidden/>
          </w:rPr>
          <w:fldChar w:fldCharType="end"/>
        </w:r>
      </w:hyperlink>
    </w:p>
    <w:p w14:paraId="7A86AF67" w14:textId="13B501DA"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79" w:history="1">
        <w:r w:rsidR="00A43EF3" w:rsidRPr="000F54FB">
          <w:rPr>
            <w:rStyle w:val="Hyperlink"/>
            <w:noProof/>
          </w:rPr>
          <w:t>Таблица 28:  Наличност и движение на ДМА-ЕП по икономически дейности през 2010-2020г. (в млн. левове).</w:t>
        </w:r>
        <w:r w:rsidR="00A43EF3">
          <w:rPr>
            <w:noProof/>
            <w:webHidden/>
          </w:rPr>
          <w:tab/>
        </w:r>
        <w:r w:rsidR="00A43EF3">
          <w:rPr>
            <w:noProof/>
            <w:webHidden/>
          </w:rPr>
          <w:fldChar w:fldCharType="begin"/>
        </w:r>
        <w:r w:rsidR="00A43EF3">
          <w:rPr>
            <w:noProof/>
            <w:webHidden/>
          </w:rPr>
          <w:instrText xml:space="preserve"> PAGEREF _Toc115255179 \h </w:instrText>
        </w:r>
        <w:r w:rsidR="00A43EF3">
          <w:rPr>
            <w:noProof/>
            <w:webHidden/>
          </w:rPr>
        </w:r>
        <w:r w:rsidR="00A43EF3">
          <w:rPr>
            <w:noProof/>
            <w:webHidden/>
          </w:rPr>
          <w:fldChar w:fldCharType="separate"/>
        </w:r>
        <w:r w:rsidR="00A43EF3">
          <w:rPr>
            <w:noProof/>
            <w:webHidden/>
          </w:rPr>
          <w:t>335</w:t>
        </w:r>
        <w:r w:rsidR="00A43EF3">
          <w:rPr>
            <w:noProof/>
            <w:webHidden/>
          </w:rPr>
          <w:fldChar w:fldCharType="end"/>
        </w:r>
      </w:hyperlink>
    </w:p>
    <w:p w14:paraId="1C040459" w14:textId="2075250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0" w:history="1">
        <w:r w:rsidR="00A43EF3" w:rsidRPr="000F54FB">
          <w:rPr>
            <w:rStyle w:val="Hyperlink"/>
            <w:noProof/>
          </w:rPr>
          <w:t>Таблица 29: Раждаемост по полове, общо за страната и за всеки един от регионите (брой) за 2020 год.</w:t>
        </w:r>
        <w:r w:rsidR="00A43EF3">
          <w:rPr>
            <w:noProof/>
            <w:webHidden/>
          </w:rPr>
          <w:tab/>
        </w:r>
        <w:r w:rsidR="00A43EF3">
          <w:rPr>
            <w:noProof/>
            <w:webHidden/>
          </w:rPr>
          <w:fldChar w:fldCharType="begin"/>
        </w:r>
        <w:r w:rsidR="00A43EF3">
          <w:rPr>
            <w:noProof/>
            <w:webHidden/>
          </w:rPr>
          <w:instrText xml:space="preserve"> PAGEREF _Toc115255180 \h </w:instrText>
        </w:r>
        <w:r w:rsidR="00A43EF3">
          <w:rPr>
            <w:noProof/>
            <w:webHidden/>
          </w:rPr>
        </w:r>
        <w:r w:rsidR="00A43EF3">
          <w:rPr>
            <w:noProof/>
            <w:webHidden/>
          </w:rPr>
          <w:fldChar w:fldCharType="separate"/>
        </w:r>
        <w:r w:rsidR="00A43EF3">
          <w:rPr>
            <w:noProof/>
            <w:webHidden/>
          </w:rPr>
          <w:t>337</w:t>
        </w:r>
        <w:r w:rsidR="00A43EF3">
          <w:rPr>
            <w:noProof/>
            <w:webHidden/>
          </w:rPr>
          <w:fldChar w:fldCharType="end"/>
        </w:r>
      </w:hyperlink>
    </w:p>
    <w:p w14:paraId="61277C9B" w14:textId="451AAE2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1" w:history="1">
        <w:r w:rsidR="00A43EF3" w:rsidRPr="000F54FB">
          <w:rPr>
            <w:rStyle w:val="Hyperlink"/>
            <w:noProof/>
          </w:rPr>
          <w:t>Таблица 30: Смъртност по полове и области (брой)</w:t>
        </w:r>
        <w:r w:rsidR="00A43EF3">
          <w:rPr>
            <w:noProof/>
            <w:webHidden/>
          </w:rPr>
          <w:tab/>
        </w:r>
        <w:r w:rsidR="00A43EF3">
          <w:rPr>
            <w:noProof/>
            <w:webHidden/>
          </w:rPr>
          <w:fldChar w:fldCharType="begin"/>
        </w:r>
        <w:r w:rsidR="00A43EF3">
          <w:rPr>
            <w:noProof/>
            <w:webHidden/>
          </w:rPr>
          <w:instrText xml:space="preserve"> PAGEREF _Toc115255181 \h </w:instrText>
        </w:r>
        <w:r w:rsidR="00A43EF3">
          <w:rPr>
            <w:noProof/>
            <w:webHidden/>
          </w:rPr>
        </w:r>
        <w:r w:rsidR="00A43EF3">
          <w:rPr>
            <w:noProof/>
            <w:webHidden/>
          </w:rPr>
          <w:fldChar w:fldCharType="separate"/>
        </w:r>
        <w:r w:rsidR="00A43EF3">
          <w:rPr>
            <w:noProof/>
            <w:webHidden/>
          </w:rPr>
          <w:t>338</w:t>
        </w:r>
        <w:r w:rsidR="00A43EF3">
          <w:rPr>
            <w:noProof/>
            <w:webHidden/>
          </w:rPr>
          <w:fldChar w:fldCharType="end"/>
        </w:r>
      </w:hyperlink>
    </w:p>
    <w:p w14:paraId="42E441F1" w14:textId="194EF030"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2" w:history="1">
        <w:r w:rsidR="00A43EF3" w:rsidRPr="000F54FB">
          <w:rPr>
            <w:rStyle w:val="Hyperlink"/>
            <w:noProof/>
          </w:rPr>
          <w:t>Таблица 31: Естествено движение на населението през 2020 г. по области и пол (брой)</w:t>
        </w:r>
        <w:r w:rsidR="00A43EF3">
          <w:rPr>
            <w:noProof/>
            <w:webHidden/>
          </w:rPr>
          <w:tab/>
        </w:r>
        <w:r w:rsidR="00A43EF3">
          <w:rPr>
            <w:noProof/>
            <w:webHidden/>
          </w:rPr>
          <w:fldChar w:fldCharType="begin"/>
        </w:r>
        <w:r w:rsidR="00A43EF3">
          <w:rPr>
            <w:noProof/>
            <w:webHidden/>
          </w:rPr>
          <w:instrText xml:space="preserve"> PAGEREF _Toc115255182 \h </w:instrText>
        </w:r>
        <w:r w:rsidR="00A43EF3">
          <w:rPr>
            <w:noProof/>
            <w:webHidden/>
          </w:rPr>
        </w:r>
        <w:r w:rsidR="00A43EF3">
          <w:rPr>
            <w:noProof/>
            <w:webHidden/>
          </w:rPr>
          <w:fldChar w:fldCharType="separate"/>
        </w:r>
        <w:r w:rsidR="00A43EF3">
          <w:rPr>
            <w:noProof/>
            <w:webHidden/>
          </w:rPr>
          <w:t>342</w:t>
        </w:r>
        <w:r w:rsidR="00A43EF3">
          <w:rPr>
            <w:noProof/>
            <w:webHidden/>
          </w:rPr>
          <w:fldChar w:fldCharType="end"/>
        </w:r>
      </w:hyperlink>
    </w:p>
    <w:p w14:paraId="49C28926" w14:textId="03D9B4DB"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3" w:history="1">
        <w:r w:rsidR="00A43EF3" w:rsidRPr="000F54FB">
          <w:rPr>
            <w:rStyle w:val="Hyperlink"/>
            <w:noProof/>
          </w:rPr>
          <w:t>Таблица 32: Механично движение на населението през 2020 г. по области и пол* (брой)</w:t>
        </w:r>
        <w:r w:rsidR="00A43EF3">
          <w:rPr>
            <w:noProof/>
            <w:webHidden/>
          </w:rPr>
          <w:tab/>
        </w:r>
        <w:r w:rsidR="00A43EF3">
          <w:rPr>
            <w:noProof/>
            <w:webHidden/>
          </w:rPr>
          <w:fldChar w:fldCharType="begin"/>
        </w:r>
        <w:r w:rsidR="00A43EF3">
          <w:rPr>
            <w:noProof/>
            <w:webHidden/>
          </w:rPr>
          <w:instrText xml:space="preserve"> PAGEREF _Toc115255183 \h </w:instrText>
        </w:r>
        <w:r w:rsidR="00A43EF3">
          <w:rPr>
            <w:noProof/>
            <w:webHidden/>
          </w:rPr>
        </w:r>
        <w:r w:rsidR="00A43EF3">
          <w:rPr>
            <w:noProof/>
            <w:webHidden/>
          </w:rPr>
          <w:fldChar w:fldCharType="separate"/>
        </w:r>
        <w:r w:rsidR="00A43EF3">
          <w:rPr>
            <w:noProof/>
            <w:webHidden/>
          </w:rPr>
          <w:t>343</w:t>
        </w:r>
        <w:r w:rsidR="00A43EF3">
          <w:rPr>
            <w:noProof/>
            <w:webHidden/>
          </w:rPr>
          <w:fldChar w:fldCharType="end"/>
        </w:r>
      </w:hyperlink>
    </w:p>
    <w:p w14:paraId="47146566" w14:textId="7E81255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4" w:history="1">
        <w:r w:rsidR="00A43EF3" w:rsidRPr="000F54FB">
          <w:rPr>
            <w:rStyle w:val="Hyperlink"/>
            <w:noProof/>
          </w:rPr>
          <w:t>Таблица 33: Евентуално развитие на околната среда без прилагането на СПРЗСР</w:t>
        </w:r>
        <w:r w:rsidR="00A43EF3">
          <w:rPr>
            <w:noProof/>
            <w:webHidden/>
          </w:rPr>
          <w:tab/>
        </w:r>
        <w:r w:rsidR="00A43EF3">
          <w:rPr>
            <w:noProof/>
            <w:webHidden/>
          </w:rPr>
          <w:fldChar w:fldCharType="begin"/>
        </w:r>
        <w:r w:rsidR="00A43EF3">
          <w:rPr>
            <w:noProof/>
            <w:webHidden/>
          </w:rPr>
          <w:instrText xml:space="preserve"> PAGEREF _Toc115255184 \h </w:instrText>
        </w:r>
        <w:r w:rsidR="00A43EF3">
          <w:rPr>
            <w:noProof/>
            <w:webHidden/>
          </w:rPr>
        </w:r>
        <w:r w:rsidR="00A43EF3">
          <w:rPr>
            <w:noProof/>
            <w:webHidden/>
          </w:rPr>
          <w:fldChar w:fldCharType="separate"/>
        </w:r>
        <w:r w:rsidR="00A43EF3">
          <w:rPr>
            <w:noProof/>
            <w:webHidden/>
          </w:rPr>
          <w:t>368</w:t>
        </w:r>
        <w:r w:rsidR="00A43EF3">
          <w:rPr>
            <w:noProof/>
            <w:webHidden/>
          </w:rPr>
          <w:fldChar w:fldCharType="end"/>
        </w:r>
      </w:hyperlink>
    </w:p>
    <w:p w14:paraId="7482D7C9" w14:textId="704BEA4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5" w:history="1">
        <w:r w:rsidR="00A43EF3" w:rsidRPr="000F54FB">
          <w:rPr>
            <w:rStyle w:val="Hyperlink"/>
            <w:noProof/>
          </w:rPr>
          <w:t>Таблица 34: Обобщена информация за разпределението на зоните за защита на водите в БДДР</w:t>
        </w:r>
        <w:r w:rsidR="00A43EF3">
          <w:rPr>
            <w:noProof/>
            <w:webHidden/>
          </w:rPr>
          <w:tab/>
        </w:r>
        <w:r w:rsidR="00A43EF3">
          <w:rPr>
            <w:noProof/>
            <w:webHidden/>
          </w:rPr>
          <w:fldChar w:fldCharType="begin"/>
        </w:r>
        <w:r w:rsidR="00A43EF3">
          <w:rPr>
            <w:noProof/>
            <w:webHidden/>
          </w:rPr>
          <w:instrText xml:space="preserve"> PAGEREF _Toc115255185 \h </w:instrText>
        </w:r>
        <w:r w:rsidR="00A43EF3">
          <w:rPr>
            <w:noProof/>
            <w:webHidden/>
          </w:rPr>
        </w:r>
        <w:r w:rsidR="00A43EF3">
          <w:rPr>
            <w:noProof/>
            <w:webHidden/>
          </w:rPr>
          <w:fldChar w:fldCharType="separate"/>
        </w:r>
        <w:r w:rsidR="00A43EF3">
          <w:rPr>
            <w:noProof/>
            <w:webHidden/>
          </w:rPr>
          <w:t>375</w:t>
        </w:r>
        <w:r w:rsidR="00A43EF3">
          <w:rPr>
            <w:noProof/>
            <w:webHidden/>
          </w:rPr>
          <w:fldChar w:fldCharType="end"/>
        </w:r>
      </w:hyperlink>
    </w:p>
    <w:p w14:paraId="5A9D4323" w14:textId="30B040C6"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6" w:history="1">
        <w:r w:rsidR="00A43EF3" w:rsidRPr="000F54FB">
          <w:rPr>
            <w:rStyle w:val="Hyperlink"/>
            <w:noProof/>
          </w:rPr>
          <w:t>Таблица 35: Разпределение на зоните за защита на водите по поречия и водосборната им площ</w:t>
        </w:r>
        <w:r w:rsidR="00A43EF3">
          <w:rPr>
            <w:noProof/>
            <w:webHidden/>
          </w:rPr>
          <w:tab/>
        </w:r>
        <w:r w:rsidR="00A43EF3">
          <w:rPr>
            <w:noProof/>
            <w:webHidden/>
          </w:rPr>
          <w:fldChar w:fldCharType="begin"/>
        </w:r>
        <w:r w:rsidR="00A43EF3">
          <w:rPr>
            <w:noProof/>
            <w:webHidden/>
          </w:rPr>
          <w:instrText xml:space="preserve"> PAGEREF _Toc115255186 \h </w:instrText>
        </w:r>
        <w:r w:rsidR="00A43EF3">
          <w:rPr>
            <w:noProof/>
            <w:webHidden/>
          </w:rPr>
        </w:r>
        <w:r w:rsidR="00A43EF3">
          <w:rPr>
            <w:noProof/>
            <w:webHidden/>
          </w:rPr>
          <w:fldChar w:fldCharType="separate"/>
        </w:r>
        <w:r w:rsidR="00A43EF3">
          <w:rPr>
            <w:noProof/>
            <w:webHidden/>
          </w:rPr>
          <w:t>376</w:t>
        </w:r>
        <w:r w:rsidR="00A43EF3">
          <w:rPr>
            <w:noProof/>
            <w:webHidden/>
          </w:rPr>
          <w:fldChar w:fldCharType="end"/>
        </w:r>
      </w:hyperlink>
    </w:p>
    <w:p w14:paraId="5E257F23" w14:textId="03EBB2EE"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7" w:history="1">
        <w:r w:rsidR="00A43EF3" w:rsidRPr="000F54FB">
          <w:rPr>
            <w:rStyle w:val="Hyperlink"/>
            <w:noProof/>
          </w:rPr>
          <w:t>Таблица 36: Зони за къпане БДИБР</w:t>
        </w:r>
        <w:r w:rsidR="00A43EF3">
          <w:rPr>
            <w:noProof/>
            <w:webHidden/>
          </w:rPr>
          <w:tab/>
        </w:r>
        <w:r w:rsidR="00A43EF3">
          <w:rPr>
            <w:noProof/>
            <w:webHidden/>
          </w:rPr>
          <w:fldChar w:fldCharType="begin"/>
        </w:r>
        <w:r w:rsidR="00A43EF3">
          <w:rPr>
            <w:noProof/>
            <w:webHidden/>
          </w:rPr>
          <w:instrText xml:space="preserve"> PAGEREF _Toc115255187 \h </w:instrText>
        </w:r>
        <w:r w:rsidR="00A43EF3">
          <w:rPr>
            <w:noProof/>
            <w:webHidden/>
          </w:rPr>
        </w:r>
        <w:r w:rsidR="00A43EF3">
          <w:rPr>
            <w:noProof/>
            <w:webHidden/>
          </w:rPr>
          <w:fldChar w:fldCharType="separate"/>
        </w:r>
        <w:r w:rsidR="00A43EF3">
          <w:rPr>
            <w:noProof/>
            <w:webHidden/>
          </w:rPr>
          <w:t>378</w:t>
        </w:r>
        <w:r w:rsidR="00A43EF3">
          <w:rPr>
            <w:noProof/>
            <w:webHidden/>
          </w:rPr>
          <w:fldChar w:fldCharType="end"/>
        </w:r>
      </w:hyperlink>
    </w:p>
    <w:p w14:paraId="5F8B515B" w14:textId="73A2562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8" w:history="1">
        <w:r w:rsidR="00A43EF3" w:rsidRPr="000F54FB">
          <w:rPr>
            <w:rStyle w:val="Hyperlink"/>
            <w:noProof/>
          </w:rPr>
          <w:t>Таблица 37: Списък на общините в ИБР, определени като уязвими зони за опазване на водите от замърсяване с нитрати от земеделски източници като извадка от Приложение 2 към Заповед № РД-660/28.08.2019 г</w:t>
        </w:r>
        <w:r w:rsidR="00A43EF3">
          <w:rPr>
            <w:noProof/>
            <w:webHidden/>
          </w:rPr>
          <w:tab/>
        </w:r>
        <w:r w:rsidR="00A43EF3">
          <w:rPr>
            <w:noProof/>
            <w:webHidden/>
          </w:rPr>
          <w:fldChar w:fldCharType="begin"/>
        </w:r>
        <w:r w:rsidR="00A43EF3">
          <w:rPr>
            <w:noProof/>
            <w:webHidden/>
          </w:rPr>
          <w:instrText xml:space="preserve"> PAGEREF _Toc115255188 \h </w:instrText>
        </w:r>
        <w:r w:rsidR="00A43EF3">
          <w:rPr>
            <w:noProof/>
            <w:webHidden/>
          </w:rPr>
        </w:r>
        <w:r w:rsidR="00A43EF3">
          <w:rPr>
            <w:noProof/>
            <w:webHidden/>
          </w:rPr>
          <w:fldChar w:fldCharType="separate"/>
        </w:r>
        <w:r w:rsidR="00A43EF3">
          <w:rPr>
            <w:noProof/>
            <w:webHidden/>
          </w:rPr>
          <w:t>381</w:t>
        </w:r>
        <w:r w:rsidR="00A43EF3">
          <w:rPr>
            <w:noProof/>
            <w:webHidden/>
          </w:rPr>
          <w:fldChar w:fldCharType="end"/>
        </w:r>
      </w:hyperlink>
    </w:p>
    <w:p w14:paraId="7EBD029F" w14:textId="724595BD"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89" w:history="1">
        <w:r w:rsidR="00A43EF3" w:rsidRPr="000F54FB">
          <w:rPr>
            <w:rStyle w:val="Hyperlink"/>
            <w:noProof/>
          </w:rPr>
          <w:t>Таблица 38: Относимост и степен на съобразяване на целите по опазване на околната среда на международно ниво</w:t>
        </w:r>
        <w:r w:rsidR="00A43EF3">
          <w:rPr>
            <w:noProof/>
            <w:webHidden/>
          </w:rPr>
          <w:tab/>
        </w:r>
        <w:r w:rsidR="00A43EF3">
          <w:rPr>
            <w:noProof/>
            <w:webHidden/>
          </w:rPr>
          <w:fldChar w:fldCharType="begin"/>
        </w:r>
        <w:r w:rsidR="00A43EF3">
          <w:rPr>
            <w:noProof/>
            <w:webHidden/>
          </w:rPr>
          <w:instrText xml:space="preserve"> PAGEREF _Toc115255189 \h </w:instrText>
        </w:r>
        <w:r w:rsidR="00A43EF3">
          <w:rPr>
            <w:noProof/>
            <w:webHidden/>
          </w:rPr>
        </w:r>
        <w:r w:rsidR="00A43EF3">
          <w:rPr>
            <w:noProof/>
            <w:webHidden/>
          </w:rPr>
          <w:fldChar w:fldCharType="separate"/>
        </w:r>
        <w:r w:rsidR="00A43EF3">
          <w:rPr>
            <w:noProof/>
            <w:webHidden/>
          </w:rPr>
          <w:t>401</w:t>
        </w:r>
        <w:r w:rsidR="00A43EF3">
          <w:rPr>
            <w:noProof/>
            <w:webHidden/>
          </w:rPr>
          <w:fldChar w:fldCharType="end"/>
        </w:r>
      </w:hyperlink>
    </w:p>
    <w:p w14:paraId="341A838D" w14:textId="2994F0AC"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90" w:history="1">
        <w:r w:rsidR="00A43EF3" w:rsidRPr="000F54FB">
          <w:rPr>
            <w:rStyle w:val="Hyperlink"/>
            <w:noProof/>
          </w:rPr>
          <w:t>Таблица 39: О</w:t>
        </w:r>
        <w:r w:rsidR="00A43EF3" w:rsidRPr="000F54FB">
          <w:rPr>
            <w:rStyle w:val="Hyperlink"/>
            <w:rFonts w:eastAsia="Calibri"/>
            <w:noProof/>
          </w:rPr>
          <w:t>тносимост и степен на съобразяване на целите по опазване на околната среда на национално равнище</w:t>
        </w:r>
        <w:r w:rsidR="00A43EF3">
          <w:rPr>
            <w:noProof/>
            <w:webHidden/>
          </w:rPr>
          <w:tab/>
        </w:r>
        <w:r w:rsidR="00A43EF3">
          <w:rPr>
            <w:noProof/>
            <w:webHidden/>
          </w:rPr>
          <w:fldChar w:fldCharType="begin"/>
        </w:r>
        <w:r w:rsidR="00A43EF3">
          <w:rPr>
            <w:noProof/>
            <w:webHidden/>
          </w:rPr>
          <w:instrText xml:space="preserve"> PAGEREF _Toc115255190 \h </w:instrText>
        </w:r>
        <w:r w:rsidR="00A43EF3">
          <w:rPr>
            <w:noProof/>
            <w:webHidden/>
          </w:rPr>
        </w:r>
        <w:r w:rsidR="00A43EF3">
          <w:rPr>
            <w:noProof/>
            <w:webHidden/>
          </w:rPr>
          <w:fldChar w:fldCharType="separate"/>
        </w:r>
        <w:r w:rsidR="00A43EF3">
          <w:rPr>
            <w:noProof/>
            <w:webHidden/>
          </w:rPr>
          <w:t>467</w:t>
        </w:r>
        <w:r w:rsidR="00A43EF3">
          <w:rPr>
            <w:noProof/>
            <w:webHidden/>
          </w:rPr>
          <w:fldChar w:fldCharType="end"/>
        </w:r>
      </w:hyperlink>
    </w:p>
    <w:p w14:paraId="78358060" w14:textId="67F28A24"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91" w:history="1">
        <w:r w:rsidR="00A43EF3" w:rsidRPr="000F54FB">
          <w:rPr>
            <w:rStyle w:val="Hyperlink"/>
            <w:rFonts w:cs="Times New Roman"/>
            <w:i/>
            <w:noProof/>
          </w:rPr>
          <w:t>Таблица 40: Мерки по наблюдение и контрол на въздействието върху околната среда и човешкото здраве при прилагане на СПРЗСР</w:t>
        </w:r>
        <w:r w:rsidR="00A43EF3">
          <w:rPr>
            <w:noProof/>
            <w:webHidden/>
          </w:rPr>
          <w:tab/>
        </w:r>
        <w:r w:rsidR="00A43EF3">
          <w:rPr>
            <w:noProof/>
            <w:webHidden/>
          </w:rPr>
          <w:fldChar w:fldCharType="begin"/>
        </w:r>
        <w:r w:rsidR="00A43EF3">
          <w:rPr>
            <w:noProof/>
            <w:webHidden/>
          </w:rPr>
          <w:instrText xml:space="preserve"> PAGEREF _Toc115255191 \h </w:instrText>
        </w:r>
        <w:r w:rsidR="00A43EF3">
          <w:rPr>
            <w:noProof/>
            <w:webHidden/>
          </w:rPr>
        </w:r>
        <w:r w:rsidR="00A43EF3">
          <w:rPr>
            <w:noProof/>
            <w:webHidden/>
          </w:rPr>
          <w:fldChar w:fldCharType="separate"/>
        </w:r>
        <w:r w:rsidR="00A43EF3">
          <w:rPr>
            <w:noProof/>
            <w:webHidden/>
          </w:rPr>
          <w:t>704</w:t>
        </w:r>
        <w:r w:rsidR="00A43EF3">
          <w:rPr>
            <w:noProof/>
            <w:webHidden/>
          </w:rPr>
          <w:fldChar w:fldCharType="end"/>
        </w:r>
      </w:hyperlink>
    </w:p>
    <w:p w14:paraId="378AE002" w14:textId="630A0D23" w:rsidR="00A43EF3" w:rsidRDefault="00000000">
      <w:pPr>
        <w:pStyle w:val="TableofFigures"/>
        <w:tabs>
          <w:tab w:val="right" w:leader="dot" w:pos="9628"/>
        </w:tabs>
        <w:rPr>
          <w:rFonts w:asciiTheme="minorHAnsi" w:eastAsiaTheme="minorEastAsia" w:hAnsiTheme="minorHAnsi"/>
          <w:smallCaps w:val="0"/>
          <w:noProof/>
          <w:color w:val="auto"/>
          <w:sz w:val="22"/>
          <w:lang w:eastAsia="bg-BG"/>
        </w:rPr>
      </w:pPr>
      <w:hyperlink w:anchor="_Toc115255192" w:history="1">
        <w:r w:rsidR="00A43EF3" w:rsidRPr="000F54FB">
          <w:rPr>
            <w:rStyle w:val="Hyperlink"/>
            <w:rFonts w:cs="Times New Roman"/>
            <w:i/>
            <w:iCs/>
            <w:noProof/>
          </w:rPr>
          <w:t>Таблица 41 Получени становища в резултат на консултациите по Заданието за обхват и съдържание на ДЕО и начин на отразяването им</w:t>
        </w:r>
        <w:r w:rsidR="00A43EF3">
          <w:rPr>
            <w:noProof/>
            <w:webHidden/>
          </w:rPr>
          <w:tab/>
        </w:r>
        <w:r w:rsidR="00A43EF3">
          <w:rPr>
            <w:noProof/>
            <w:webHidden/>
          </w:rPr>
          <w:fldChar w:fldCharType="begin"/>
        </w:r>
        <w:r w:rsidR="00A43EF3">
          <w:rPr>
            <w:noProof/>
            <w:webHidden/>
          </w:rPr>
          <w:instrText xml:space="preserve"> PAGEREF _Toc115255192 \h </w:instrText>
        </w:r>
        <w:r w:rsidR="00A43EF3">
          <w:rPr>
            <w:noProof/>
            <w:webHidden/>
          </w:rPr>
        </w:r>
        <w:r w:rsidR="00A43EF3">
          <w:rPr>
            <w:noProof/>
            <w:webHidden/>
          </w:rPr>
          <w:fldChar w:fldCharType="separate"/>
        </w:r>
        <w:r w:rsidR="00A43EF3">
          <w:rPr>
            <w:noProof/>
            <w:webHidden/>
          </w:rPr>
          <w:t>712</w:t>
        </w:r>
        <w:r w:rsidR="00A43EF3">
          <w:rPr>
            <w:noProof/>
            <w:webHidden/>
          </w:rPr>
          <w:fldChar w:fldCharType="end"/>
        </w:r>
      </w:hyperlink>
    </w:p>
    <w:p w14:paraId="4B1DF14B" w14:textId="65C06D63" w:rsidR="00F663D2" w:rsidRPr="009F6D1E" w:rsidRDefault="003F3D71"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fldChar w:fldCharType="end"/>
      </w:r>
    </w:p>
    <w:p w14:paraId="56BEA3C9" w14:textId="77777777" w:rsidR="005E6ACF" w:rsidRPr="009F6D1E" w:rsidRDefault="005E6ACF" w:rsidP="0084747F">
      <w:pPr>
        <w:spacing w:after="60" w:line="264" w:lineRule="auto"/>
        <w:contextualSpacing/>
        <w:jc w:val="both"/>
        <w:rPr>
          <w:rFonts w:eastAsia="Calibri" w:cs="Times New Roman"/>
          <w:b/>
          <w:bCs/>
          <w:i/>
          <w:iCs/>
          <w:szCs w:val="24"/>
        </w:rPr>
      </w:pPr>
    </w:p>
    <w:p w14:paraId="6A9E322E" w14:textId="77777777" w:rsidR="000F3DB6" w:rsidRPr="009F6D1E" w:rsidRDefault="000F3DB6" w:rsidP="0084747F">
      <w:pPr>
        <w:spacing w:after="60" w:line="264" w:lineRule="auto"/>
        <w:contextualSpacing/>
        <w:jc w:val="both"/>
        <w:rPr>
          <w:rFonts w:eastAsia="Calibri" w:cs="Times New Roman"/>
          <w:b/>
          <w:bCs/>
          <w:i/>
          <w:iCs/>
          <w:szCs w:val="24"/>
        </w:rPr>
      </w:pPr>
    </w:p>
    <w:p w14:paraId="51F7F895" w14:textId="77777777" w:rsidR="000F3DB6" w:rsidRPr="009F6D1E" w:rsidRDefault="000F3DB6" w:rsidP="0084747F">
      <w:pPr>
        <w:spacing w:after="60" w:line="264" w:lineRule="auto"/>
        <w:contextualSpacing/>
        <w:jc w:val="both"/>
        <w:rPr>
          <w:rFonts w:eastAsia="Calibri" w:cs="Times New Roman"/>
          <w:b/>
          <w:bCs/>
          <w:i/>
          <w:iCs/>
          <w:szCs w:val="24"/>
        </w:rPr>
      </w:pPr>
      <w:bookmarkStart w:id="0" w:name="_Hlk94277220"/>
    </w:p>
    <w:bookmarkEnd w:id="0"/>
    <w:p w14:paraId="31085F38" w14:textId="77777777" w:rsidR="000F3DB6" w:rsidRPr="009F6D1E" w:rsidRDefault="000F3DB6" w:rsidP="0084747F">
      <w:pPr>
        <w:spacing w:after="60" w:line="264" w:lineRule="auto"/>
        <w:contextualSpacing/>
        <w:jc w:val="both"/>
        <w:rPr>
          <w:rFonts w:eastAsia="Calibri" w:cs="Times New Roman"/>
          <w:i/>
          <w:iCs/>
          <w:szCs w:val="24"/>
        </w:rPr>
      </w:pPr>
    </w:p>
    <w:p w14:paraId="2939C12F" w14:textId="77777777" w:rsidR="000F3DB6" w:rsidRPr="009F6D1E" w:rsidRDefault="000F3DB6" w:rsidP="0084747F">
      <w:pPr>
        <w:spacing w:after="60" w:line="264" w:lineRule="auto"/>
        <w:contextualSpacing/>
        <w:jc w:val="both"/>
        <w:rPr>
          <w:rFonts w:eastAsia="Calibri" w:cs="Times New Roman"/>
          <w:b/>
          <w:bCs/>
          <w:i/>
          <w:iCs/>
          <w:szCs w:val="24"/>
        </w:rPr>
      </w:pPr>
    </w:p>
    <w:p w14:paraId="27B4F9BF" w14:textId="77777777" w:rsidR="005E6ACF" w:rsidRPr="009F6D1E" w:rsidRDefault="005E6ACF" w:rsidP="0084747F">
      <w:pPr>
        <w:spacing w:after="60" w:line="264" w:lineRule="auto"/>
        <w:contextualSpacing/>
        <w:jc w:val="both"/>
        <w:rPr>
          <w:rFonts w:eastAsia="Calibri" w:cs="Times New Roman"/>
          <w:b/>
          <w:bCs/>
          <w:i/>
          <w:iCs/>
          <w:szCs w:val="24"/>
        </w:rPr>
      </w:pPr>
    </w:p>
    <w:p w14:paraId="64DDEDC6" w14:textId="77777777" w:rsidR="005E6ACF" w:rsidRPr="009F6D1E" w:rsidRDefault="005E6ACF" w:rsidP="0084747F">
      <w:pPr>
        <w:spacing w:after="60" w:line="264" w:lineRule="auto"/>
        <w:contextualSpacing/>
        <w:jc w:val="both"/>
        <w:rPr>
          <w:rFonts w:eastAsia="Calibri" w:cs="Times New Roman"/>
          <w:b/>
          <w:bCs/>
          <w:i/>
          <w:iCs/>
          <w:szCs w:val="24"/>
        </w:rPr>
      </w:pPr>
    </w:p>
    <w:p w14:paraId="30F7B985" w14:textId="13A6F00D" w:rsidR="00315464" w:rsidRPr="009F6D1E" w:rsidRDefault="00000000" w:rsidP="0084747F">
      <w:pPr>
        <w:spacing w:after="60" w:line="264" w:lineRule="auto"/>
        <w:contextualSpacing/>
        <w:jc w:val="both"/>
        <w:rPr>
          <w:rFonts w:eastAsia="Calibri" w:cs="Times New Roman"/>
          <w:b/>
          <w:bCs/>
          <w:i/>
          <w:iCs/>
          <w:szCs w:val="24"/>
        </w:rPr>
      </w:pPr>
      <w:hyperlink r:id="rId8" w:history="1">
        <w:r w:rsidR="00983EC6" w:rsidRPr="009F6D1E">
          <w:rPr>
            <w:rFonts w:eastAsia="Calibri" w:cs="Times New Roman"/>
            <w:b/>
            <w:bCs/>
            <w:i/>
            <w:iCs/>
            <w:szCs w:val="24"/>
          </w:rPr>
          <w:t>АБРЕАВИАТУРИ</w:t>
        </w:r>
      </w:hyperlink>
    </w:p>
    <w:tbl>
      <w:tblPr>
        <w:tblW w:w="8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6930"/>
      </w:tblGrid>
      <w:tr w:rsidR="0070171D" w:rsidRPr="009F6D1E" w14:paraId="70D815D5" w14:textId="77777777" w:rsidTr="00981F7B">
        <w:trPr>
          <w:trHeight w:val="247"/>
          <w:jc w:val="center"/>
        </w:trPr>
        <w:tc>
          <w:tcPr>
            <w:tcW w:w="2031" w:type="dxa"/>
            <w:vAlign w:val="center"/>
          </w:tcPr>
          <w:p w14:paraId="2A94EF12"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lastRenderedPageBreak/>
              <w:t>БДДР</w:t>
            </w:r>
          </w:p>
        </w:tc>
        <w:tc>
          <w:tcPr>
            <w:tcW w:w="6930" w:type="dxa"/>
            <w:vAlign w:val="center"/>
          </w:tcPr>
          <w:p w14:paraId="2EA45185" w14:textId="77777777" w:rsidR="0070171D" w:rsidRPr="009F6D1E" w:rsidRDefault="0070171D" w:rsidP="0084747F">
            <w:pPr>
              <w:spacing w:after="60" w:line="264" w:lineRule="auto"/>
              <w:jc w:val="both"/>
              <w:rPr>
                <w:rFonts w:eastAsia="Calibri" w:cs="Times New Roman"/>
                <w:bCs/>
                <w:szCs w:val="24"/>
              </w:rPr>
            </w:pPr>
            <w:r w:rsidRPr="009F6D1E">
              <w:rPr>
                <w:rFonts w:eastAsia="Calibri" w:cs="Times New Roman"/>
                <w:bCs/>
                <w:szCs w:val="24"/>
              </w:rPr>
              <w:t>Басейнова дирекция „Дунавски район”, с център Плевен</w:t>
            </w:r>
          </w:p>
        </w:tc>
      </w:tr>
      <w:tr w:rsidR="0070171D" w:rsidRPr="009F6D1E" w14:paraId="414A90A0" w14:textId="77777777" w:rsidTr="00981F7B">
        <w:trPr>
          <w:trHeight w:val="508"/>
          <w:jc w:val="center"/>
        </w:trPr>
        <w:tc>
          <w:tcPr>
            <w:tcW w:w="2031" w:type="dxa"/>
            <w:vAlign w:val="center"/>
          </w:tcPr>
          <w:p w14:paraId="2CCA8743"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БДЗБР</w:t>
            </w:r>
          </w:p>
        </w:tc>
        <w:tc>
          <w:tcPr>
            <w:tcW w:w="6930" w:type="dxa"/>
            <w:vAlign w:val="center"/>
          </w:tcPr>
          <w:p w14:paraId="70B3EAFB" w14:textId="77777777" w:rsidR="0070171D" w:rsidRPr="009F6D1E" w:rsidRDefault="0070171D" w:rsidP="0084747F">
            <w:pPr>
              <w:spacing w:after="60" w:line="264" w:lineRule="auto"/>
              <w:jc w:val="both"/>
              <w:rPr>
                <w:rFonts w:eastAsia="Calibri" w:cs="Times New Roman"/>
                <w:bCs/>
                <w:szCs w:val="24"/>
              </w:rPr>
            </w:pPr>
            <w:r w:rsidRPr="009F6D1E">
              <w:rPr>
                <w:rFonts w:eastAsia="Calibri" w:cs="Times New Roman"/>
                <w:bCs/>
                <w:szCs w:val="24"/>
              </w:rPr>
              <w:t>Басейнова дирекция „</w:t>
            </w:r>
            <w:proofErr w:type="spellStart"/>
            <w:r w:rsidRPr="009F6D1E">
              <w:rPr>
                <w:rFonts w:eastAsia="Calibri" w:cs="Times New Roman"/>
                <w:bCs/>
                <w:szCs w:val="24"/>
              </w:rPr>
              <w:t>Западнобеломорски</w:t>
            </w:r>
            <w:proofErr w:type="spellEnd"/>
            <w:r w:rsidRPr="009F6D1E">
              <w:rPr>
                <w:rFonts w:eastAsia="Calibri" w:cs="Times New Roman"/>
                <w:bCs/>
                <w:szCs w:val="24"/>
              </w:rPr>
              <w:t xml:space="preserve"> район“, с център Благоевград</w:t>
            </w:r>
          </w:p>
        </w:tc>
      </w:tr>
      <w:tr w:rsidR="0070171D" w:rsidRPr="009F6D1E" w14:paraId="3E93CC5F" w14:textId="77777777" w:rsidTr="00981F7B">
        <w:trPr>
          <w:trHeight w:val="247"/>
          <w:jc w:val="center"/>
        </w:trPr>
        <w:tc>
          <w:tcPr>
            <w:tcW w:w="2031" w:type="dxa"/>
            <w:vAlign w:val="center"/>
          </w:tcPr>
          <w:p w14:paraId="649B2443"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БДИБР</w:t>
            </w:r>
          </w:p>
        </w:tc>
        <w:tc>
          <w:tcPr>
            <w:tcW w:w="6930" w:type="dxa"/>
            <w:vAlign w:val="center"/>
          </w:tcPr>
          <w:p w14:paraId="2ECB0BE3" w14:textId="77777777" w:rsidR="0070171D" w:rsidRPr="009F6D1E" w:rsidRDefault="0070171D" w:rsidP="0084747F">
            <w:pPr>
              <w:spacing w:after="60" w:line="264" w:lineRule="auto"/>
              <w:jc w:val="both"/>
              <w:rPr>
                <w:rFonts w:eastAsia="Calibri" w:cs="Times New Roman"/>
                <w:bCs/>
                <w:szCs w:val="24"/>
              </w:rPr>
            </w:pPr>
            <w:r w:rsidRPr="009F6D1E">
              <w:rPr>
                <w:rFonts w:eastAsia="Calibri" w:cs="Times New Roman"/>
                <w:bCs/>
                <w:szCs w:val="24"/>
              </w:rPr>
              <w:t>Басейнова дирекция „Източнобеломорски район“, с център Пловдив</w:t>
            </w:r>
          </w:p>
        </w:tc>
      </w:tr>
      <w:tr w:rsidR="0070171D" w:rsidRPr="009F6D1E" w14:paraId="39E0B04D" w14:textId="77777777" w:rsidTr="00981F7B">
        <w:trPr>
          <w:trHeight w:val="247"/>
          <w:jc w:val="center"/>
        </w:trPr>
        <w:tc>
          <w:tcPr>
            <w:tcW w:w="2031" w:type="dxa"/>
            <w:tcBorders>
              <w:bottom w:val="single" w:sz="4" w:space="0" w:color="auto"/>
            </w:tcBorders>
            <w:vAlign w:val="center"/>
          </w:tcPr>
          <w:p w14:paraId="4714283C"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БДЧР</w:t>
            </w:r>
          </w:p>
        </w:tc>
        <w:tc>
          <w:tcPr>
            <w:tcW w:w="6930" w:type="dxa"/>
            <w:tcBorders>
              <w:bottom w:val="single" w:sz="4" w:space="0" w:color="auto"/>
            </w:tcBorders>
            <w:vAlign w:val="center"/>
          </w:tcPr>
          <w:p w14:paraId="6B5869D3" w14:textId="77777777" w:rsidR="0070171D" w:rsidRPr="009F6D1E" w:rsidRDefault="0070171D" w:rsidP="0084747F">
            <w:pPr>
              <w:spacing w:after="60" w:line="264" w:lineRule="auto"/>
              <w:jc w:val="both"/>
              <w:rPr>
                <w:rFonts w:eastAsia="Calibri" w:cs="Times New Roman"/>
                <w:bCs/>
                <w:szCs w:val="24"/>
              </w:rPr>
            </w:pPr>
            <w:r w:rsidRPr="009F6D1E">
              <w:rPr>
                <w:rFonts w:eastAsia="Calibri" w:cs="Times New Roman"/>
                <w:bCs/>
                <w:szCs w:val="24"/>
              </w:rPr>
              <w:t>Басейнова дирекция „Черноморски район“, с център Варна</w:t>
            </w:r>
          </w:p>
        </w:tc>
      </w:tr>
      <w:tr w:rsidR="00DC0D0E" w:rsidRPr="009F6D1E" w14:paraId="41D435E3" w14:textId="77777777" w:rsidTr="00981F7B">
        <w:trPr>
          <w:trHeight w:val="247"/>
          <w:jc w:val="center"/>
        </w:trPr>
        <w:tc>
          <w:tcPr>
            <w:tcW w:w="2031" w:type="dxa"/>
            <w:tcBorders>
              <w:bottom w:val="single" w:sz="4" w:space="0" w:color="auto"/>
            </w:tcBorders>
            <w:vAlign w:val="center"/>
          </w:tcPr>
          <w:p w14:paraId="7BD83C22" w14:textId="77777777" w:rsidR="00DC0D0E" w:rsidRPr="009F6D1E" w:rsidRDefault="00DC0D0E" w:rsidP="0084747F">
            <w:pPr>
              <w:spacing w:after="60" w:line="264" w:lineRule="auto"/>
              <w:jc w:val="both"/>
              <w:rPr>
                <w:rFonts w:eastAsia="Calibri" w:cs="Times New Roman"/>
                <w:b/>
                <w:szCs w:val="24"/>
              </w:rPr>
            </w:pPr>
            <w:r w:rsidRPr="009F6D1E">
              <w:rPr>
                <w:rFonts w:eastAsia="Calibri" w:cs="Times New Roman"/>
                <w:b/>
                <w:szCs w:val="24"/>
              </w:rPr>
              <w:t>БЕК</w:t>
            </w:r>
          </w:p>
        </w:tc>
        <w:tc>
          <w:tcPr>
            <w:tcW w:w="6930" w:type="dxa"/>
            <w:tcBorders>
              <w:bottom w:val="single" w:sz="4" w:space="0" w:color="auto"/>
            </w:tcBorders>
            <w:vAlign w:val="center"/>
          </w:tcPr>
          <w:p w14:paraId="3187CD1A" w14:textId="77777777" w:rsidR="00DC0D0E" w:rsidRPr="009F6D1E" w:rsidRDefault="00DC0D0E" w:rsidP="0084747F">
            <w:pPr>
              <w:spacing w:after="60" w:line="264" w:lineRule="auto"/>
              <w:jc w:val="both"/>
              <w:rPr>
                <w:rFonts w:eastAsia="Calibri" w:cs="Times New Roman"/>
                <w:bCs/>
                <w:szCs w:val="24"/>
              </w:rPr>
            </w:pPr>
            <w:r w:rsidRPr="009F6D1E">
              <w:rPr>
                <w:rFonts w:eastAsia="Calibri" w:cs="Times New Roman"/>
                <w:bCs/>
                <w:iCs/>
                <w:szCs w:val="24"/>
              </w:rPr>
              <w:t>Биологичните елементи за качество</w:t>
            </w:r>
          </w:p>
        </w:tc>
      </w:tr>
      <w:tr w:rsidR="002F0BB1" w:rsidRPr="009F6D1E" w14:paraId="51EC5689" w14:textId="77777777" w:rsidTr="00981F7B">
        <w:trPr>
          <w:trHeight w:val="130"/>
          <w:jc w:val="center"/>
        </w:trPr>
        <w:tc>
          <w:tcPr>
            <w:tcW w:w="2031" w:type="dxa"/>
            <w:vAlign w:val="center"/>
          </w:tcPr>
          <w:p w14:paraId="05241E55"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БПК</w:t>
            </w:r>
          </w:p>
        </w:tc>
        <w:tc>
          <w:tcPr>
            <w:tcW w:w="6930" w:type="dxa"/>
            <w:vAlign w:val="center"/>
          </w:tcPr>
          <w:p w14:paraId="55AC66B0"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Биохимична потребност от кислород</w:t>
            </w:r>
          </w:p>
        </w:tc>
      </w:tr>
      <w:tr w:rsidR="002F0BB1" w:rsidRPr="009F6D1E" w14:paraId="0E9CD296" w14:textId="77777777" w:rsidTr="00981F7B">
        <w:trPr>
          <w:trHeight w:val="130"/>
          <w:jc w:val="center"/>
        </w:trPr>
        <w:tc>
          <w:tcPr>
            <w:tcW w:w="2031" w:type="dxa"/>
            <w:vAlign w:val="center"/>
          </w:tcPr>
          <w:p w14:paraId="72C0B57C"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ВЕЦ</w:t>
            </w:r>
          </w:p>
        </w:tc>
        <w:tc>
          <w:tcPr>
            <w:tcW w:w="6930" w:type="dxa"/>
            <w:vAlign w:val="center"/>
          </w:tcPr>
          <w:p w14:paraId="65FF4F94"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Водно електрическа централа</w:t>
            </w:r>
          </w:p>
        </w:tc>
      </w:tr>
      <w:tr w:rsidR="00DC0D0E" w:rsidRPr="009F6D1E" w14:paraId="422B3983" w14:textId="77777777" w:rsidTr="00981F7B">
        <w:trPr>
          <w:trHeight w:val="130"/>
          <w:jc w:val="center"/>
        </w:trPr>
        <w:tc>
          <w:tcPr>
            <w:tcW w:w="2031" w:type="dxa"/>
            <w:vAlign w:val="center"/>
          </w:tcPr>
          <w:p w14:paraId="31477499" w14:textId="77777777" w:rsidR="00DC0D0E" w:rsidRPr="009F6D1E" w:rsidRDefault="00DC0D0E" w:rsidP="0084747F">
            <w:pPr>
              <w:spacing w:after="60" w:line="264" w:lineRule="auto"/>
              <w:jc w:val="both"/>
              <w:rPr>
                <w:rFonts w:eastAsia="Calibri" w:cs="Times New Roman"/>
                <w:b/>
                <w:szCs w:val="24"/>
              </w:rPr>
            </w:pPr>
            <w:r w:rsidRPr="009F6D1E">
              <w:rPr>
                <w:rFonts w:eastAsia="Calibri" w:cs="Times New Roman"/>
                <w:b/>
                <w:szCs w:val="24"/>
              </w:rPr>
              <w:t>ВиК</w:t>
            </w:r>
          </w:p>
        </w:tc>
        <w:tc>
          <w:tcPr>
            <w:tcW w:w="6930" w:type="dxa"/>
            <w:vAlign w:val="center"/>
          </w:tcPr>
          <w:p w14:paraId="1D50DC96" w14:textId="77777777" w:rsidR="00DC0D0E" w:rsidRPr="009F6D1E" w:rsidRDefault="00DC0D0E" w:rsidP="0084747F">
            <w:pPr>
              <w:spacing w:after="60" w:line="264" w:lineRule="auto"/>
              <w:jc w:val="both"/>
              <w:rPr>
                <w:rFonts w:eastAsia="Calibri" w:cs="Times New Roman"/>
                <w:szCs w:val="24"/>
              </w:rPr>
            </w:pPr>
            <w:r w:rsidRPr="009F6D1E">
              <w:rPr>
                <w:rFonts w:eastAsia="Calibri" w:cs="Times New Roman"/>
                <w:szCs w:val="24"/>
              </w:rPr>
              <w:t>Водоснабдяване и канализация</w:t>
            </w:r>
          </w:p>
        </w:tc>
      </w:tr>
      <w:tr w:rsidR="00BB6160" w:rsidRPr="009F6D1E" w14:paraId="413662CF" w14:textId="77777777" w:rsidTr="00981F7B">
        <w:trPr>
          <w:trHeight w:val="130"/>
          <w:jc w:val="center"/>
        </w:trPr>
        <w:tc>
          <w:tcPr>
            <w:tcW w:w="2031" w:type="dxa"/>
            <w:vAlign w:val="center"/>
          </w:tcPr>
          <w:p w14:paraId="0F4A3A53" w14:textId="77777777" w:rsidR="00BB6160" w:rsidRPr="009F6D1E" w:rsidRDefault="00BB6160" w:rsidP="0084747F">
            <w:pPr>
              <w:spacing w:after="60" w:line="264" w:lineRule="auto"/>
              <w:jc w:val="both"/>
              <w:rPr>
                <w:rFonts w:eastAsia="Calibri" w:cs="Times New Roman"/>
                <w:b/>
                <w:szCs w:val="24"/>
              </w:rPr>
            </w:pPr>
            <w:r w:rsidRPr="009F6D1E">
              <w:rPr>
                <w:rFonts w:eastAsia="Calibri" w:cs="Times New Roman"/>
                <w:b/>
                <w:szCs w:val="24"/>
              </w:rPr>
              <w:t>ВТ</w:t>
            </w:r>
          </w:p>
        </w:tc>
        <w:tc>
          <w:tcPr>
            <w:tcW w:w="6930" w:type="dxa"/>
            <w:vAlign w:val="center"/>
          </w:tcPr>
          <w:p w14:paraId="2DAC2C90" w14:textId="77777777" w:rsidR="00BB6160" w:rsidRPr="009F6D1E" w:rsidRDefault="00BB6160" w:rsidP="0084747F">
            <w:pPr>
              <w:spacing w:after="60" w:line="264" w:lineRule="auto"/>
              <w:jc w:val="both"/>
              <w:rPr>
                <w:rFonts w:eastAsia="Calibri" w:cs="Times New Roman"/>
                <w:szCs w:val="24"/>
              </w:rPr>
            </w:pPr>
            <w:r w:rsidRPr="009F6D1E">
              <w:rPr>
                <w:rFonts w:eastAsia="Calibri" w:cs="Times New Roman"/>
                <w:szCs w:val="24"/>
              </w:rPr>
              <w:t>Водно тяло</w:t>
            </w:r>
          </w:p>
        </w:tc>
      </w:tr>
      <w:tr w:rsidR="002F0BB1" w:rsidRPr="009F6D1E" w14:paraId="2E1A127E" w14:textId="77777777" w:rsidTr="00981F7B">
        <w:trPr>
          <w:trHeight w:val="130"/>
          <w:jc w:val="center"/>
        </w:trPr>
        <w:tc>
          <w:tcPr>
            <w:tcW w:w="2031" w:type="dxa"/>
            <w:vAlign w:val="center"/>
          </w:tcPr>
          <w:p w14:paraId="5E797883"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ВУЗ</w:t>
            </w:r>
          </w:p>
        </w:tc>
        <w:tc>
          <w:tcPr>
            <w:tcW w:w="6930" w:type="dxa"/>
            <w:vAlign w:val="center"/>
          </w:tcPr>
          <w:p w14:paraId="75112735"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Висши учебни заведения</w:t>
            </w:r>
          </w:p>
        </w:tc>
      </w:tr>
      <w:tr w:rsidR="002F0BB1" w:rsidRPr="009F6D1E" w14:paraId="39415AB3" w14:textId="77777777" w:rsidTr="00981F7B">
        <w:trPr>
          <w:trHeight w:val="130"/>
          <w:jc w:val="center"/>
        </w:trPr>
        <w:tc>
          <w:tcPr>
            <w:tcW w:w="2031" w:type="dxa"/>
            <w:vAlign w:val="center"/>
          </w:tcPr>
          <w:p w14:paraId="39443787"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ГМО</w:t>
            </w:r>
          </w:p>
        </w:tc>
        <w:tc>
          <w:tcPr>
            <w:tcW w:w="6930" w:type="dxa"/>
            <w:vAlign w:val="center"/>
          </w:tcPr>
          <w:p w14:paraId="09130206"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Генетично модифицирани организми</w:t>
            </w:r>
          </w:p>
        </w:tc>
      </w:tr>
      <w:tr w:rsidR="00BB6160" w:rsidRPr="009F6D1E" w14:paraId="074C90F2" w14:textId="77777777" w:rsidTr="00981F7B">
        <w:trPr>
          <w:trHeight w:val="130"/>
          <w:jc w:val="center"/>
        </w:trPr>
        <w:tc>
          <w:tcPr>
            <w:tcW w:w="2031" w:type="dxa"/>
            <w:vAlign w:val="center"/>
          </w:tcPr>
          <w:p w14:paraId="1B41598D" w14:textId="77777777" w:rsidR="00BB6160" w:rsidRPr="009F6D1E" w:rsidRDefault="00BB6160" w:rsidP="0084747F">
            <w:pPr>
              <w:spacing w:after="60" w:line="264" w:lineRule="auto"/>
              <w:jc w:val="both"/>
              <w:rPr>
                <w:rFonts w:eastAsia="Calibri" w:cs="Times New Roman"/>
                <w:b/>
                <w:szCs w:val="24"/>
              </w:rPr>
            </w:pPr>
            <w:r w:rsidRPr="009F6D1E">
              <w:rPr>
                <w:rFonts w:eastAsia="Calibri" w:cs="Times New Roman"/>
                <w:b/>
                <w:szCs w:val="24"/>
              </w:rPr>
              <w:t>ГПСОВ</w:t>
            </w:r>
          </w:p>
        </w:tc>
        <w:tc>
          <w:tcPr>
            <w:tcW w:w="6930" w:type="dxa"/>
            <w:vAlign w:val="center"/>
          </w:tcPr>
          <w:p w14:paraId="35152581" w14:textId="77777777" w:rsidR="00BB6160" w:rsidRPr="009F6D1E" w:rsidRDefault="00BB6160" w:rsidP="0084747F">
            <w:pPr>
              <w:spacing w:after="60" w:line="264" w:lineRule="auto"/>
              <w:jc w:val="both"/>
              <w:rPr>
                <w:rFonts w:eastAsia="Calibri" w:cs="Times New Roman"/>
                <w:szCs w:val="24"/>
              </w:rPr>
            </w:pPr>
            <w:r w:rsidRPr="009F6D1E">
              <w:rPr>
                <w:rFonts w:eastAsia="Calibri" w:cs="Times New Roman"/>
                <w:szCs w:val="24"/>
              </w:rPr>
              <w:t>Градска пречиствателна станция за отпадъчни води</w:t>
            </w:r>
          </w:p>
        </w:tc>
      </w:tr>
      <w:tr w:rsidR="0070171D" w:rsidRPr="009F6D1E" w14:paraId="5F13422B" w14:textId="77777777" w:rsidTr="00981F7B">
        <w:trPr>
          <w:trHeight w:val="247"/>
          <w:jc w:val="center"/>
        </w:trPr>
        <w:tc>
          <w:tcPr>
            <w:tcW w:w="2031" w:type="dxa"/>
            <w:vAlign w:val="center"/>
          </w:tcPr>
          <w:p w14:paraId="1F61478B"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ДЕО</w:t>
            </w:r>
          </w:p>
        </w:tc>
        <w:tc>
          <w:tcPr>
            <w:tcW w:w="6930" w:type="dxa"/>
            <w:vAlign w:val="center"/>
          </w:tcPr>
          <w:p w14:paraId="720258BD"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Доклад за Екологична оценка</w:t>
            </w:r>
          </w:p>
        </w:tc>
      </w:tr>
      <w:tr w:rsidR="0070171D" w:rsidRPr="009F6D1E" w14:paraId="43E36C4A" w14:textId="77777777" w:rsidTr="00981F7B">
        <w:trPr>
          <w:trHeight w:val="247"/>
          <w:jc w:val="center"/>
        </w:trPr>
        <w:tc>
          <w:tcPr>
            <w:tcW w:w="2031" w:type="dxa"/>
            <w:vAlign w:val="center"/>
          </w:tcPr>
          <w:p w14:paraId="00DE610A"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ДОСВ</w:t>
            </w:r>
          </w:p>
        </w:tc>
        <w:tc>
          <w:tcPr>
            <w:tcW w:w="6930" w:type="dxa"/>
            <w:vAlign w:val="center"/>
          </w:tcPr>
          <w:p w14:paraId="6E3D61F2"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Доклад за оценка на степента на въздействие</w:t>
            </w:r>
          </w:p>
        </w:tc>
      </w:tr>
      <w:tr w:rsidR="00BB6160" w:rsidRPr="009F6D1E" w14:paraId="69FB35DE" w14:textId="77777777" w:rsidTr="00981F7B">
        <w:trPr>
          <w:trHeight w:val="247"/>
          <w:jc w:val="center"/>
        </w:trPr>
        <w:tc>
          <w:tcPr>
            <w:tcW w:w="2031" w:type="dxa"/>
            <w:vAlign w:val="center"/>
          </w:tcPr>
          <w:p w14:paraId="06BE1D24" w14:textId="77777777" w:rsidR="00BB6160" w:rsidRPr="009F6D1E" w:rsidRDefault="00BB6160" w:rsidP="0084747F">
            <w:pPr>
              <w:spacing w:after="60" w:line="264" w:lineRule="auto"/>
              <w:jc w:val="both"/>
              <w:rPr>
                <w:rFonts w:eastAsia="Calibri" w:cs="Times New Roman"/>
                <w:b/>
                <w:szCs w:val="24"/>
              </w:rPr>
            </w:pPr>
            <w:r w:rsidRPr="009F6D1E">
              <w:rPr>
                <w:rFonts w:eastAsia="Calibri" w:cs="Times New Roman"/>
                <w:b/>
                <w:szCs w:val="24"/>
              </w:rPr>
              <w:t>ДРБУ</w:t>
            </w:r>
          </w:p>
        </w:tc>
        <w:tc>
          <w:tcPr>
            <w:tcW w:w="6930" w:type="dxa"/>
            <w:vAlign w:val="center"/>
          </w:tcPr>
          <w:p w14:paraId="4670A1C7" w14:textId="77777777" w:rsidR="00BB6160" w:rsidRPr="009F6D1E" w:rsidRDefault="00BB6160" w:rsidP="0084747F">
            <w:pPr>
              <w:spacing w:after="60" w:line="264" w:lineRule="auto"/>
              <w:jc w:val="both"/>
              <w:rPr>
                <w:rFonts w:eastAsia="Calibri" w:cs="Times New Roman"/>
                <w:szCs w:val="24"/>
              </w:rPr>
            </w:pPr>
            <w:r w:rsidRPr="009F6D1E">
              <w:rPr>
                <w:rFonts w:eastAsia="Calibri" w:cs="Times New Roman"/>
                <w:szCs w:val="24"/>
              </w:rPr>
              <w:t>Дунавския район за басейново управление</w:t>
            </w:r>
          </w:p>
        </w:tc>
      </w:tr>
      <w:tr w:rsidR="00E27F28" w:rsidRPr="009F6D1E" w14:paraId="4FEADBBC" w14:textId="77777777" w:rsidTr="00981F7B">
        <w:trPr>
          <w:trHeight w:val="247"/>
          <w:jc w:val="center"/>
        </w:trPr>
        <w:tc>
          <w:tcPr>
            <w:tcW w:w="2031" w:type="dxa"/>
            <w:vAlign w:val="center"/>
          </w:tcPr>
          <w:p w14:paraId="654E7909" w14:textId="77777777" w:rsidR="00E27F28" w:rsidRPr="009F6D1E" w:rsidRDefault="00E27F28" w:rsidP="0084747F">
            <w:pPr>
              <w:spacing w:after="60" w:line="264" w:lineRule="auto"/>
              <w:jc w:val="both"/>
              <w:rPr>
                <w:rFonts w:eastAsia="Calibri" w:cs="Times New Roman"/>
                <w:b/>
                <w:szCs w:val="24"/>
              </w:rPr>
            </w:pPr>
            <w:r w:rsidRPr="009F6D1E">
              <w:rPr>
                <w:rFonts w:eastAsia="Calibri" w:cs="Times New Roman"/>
                <w:b/>
                <w:szCs w:val="24"/>
              </w:rPr>
              <w:t>ДСМОС</w:t>
            </w:r>
          </w:p>
        </w:tc>
        <w:tc>
          <w:tcPr>
            <w:tcW w:w="6930" w:type="dxa"/>
            <w:vAlign w:val="center"/>
          </w:tcPr>
          <w:p w14:paraId="0E8643FC" w14:textId="77777777" w:rsidR="00E27F28" w:rsidRPr="009F6D1E" w:rsidRDefault="00E27F28" w:rsidP="0084747F">
            <w:pPr>
              <w:spacing w:after="60" w:line="264" w:lineRule="auto"/>
              <w:jc w:val="both"/>
              <w:rPr>
                <w:rFonts w:eastAsia="Calibri" w:cs="Times New Roman"/>
                <w:szCs w:val="24"/>
              </w:rPr>
            </w:pPr>
            <w:r w:rsidRPr="009F6D1E">
              <w:rPr>
                <w:rFonts w:eastAsia="Calibri" w:cs="Times New Roman"/>
                <w:szCs w:val="24"/>
              </w:rPr>
              <w:t>Добро състояние на морската околна среда</w:t>
            </w:r>
          </w:p>
        </w:tc>
      </w:tr>
      <w:tr w:rsidR="0070171D" w:rsidRPr="009F6D1E" w14:paraId="493746D3" w14:textId="77777777" w:rsidTr="00981F7B">
        <w:trPr>
          <w:trHeight w:val="130"/>
          <w:jc w:val="center"/>
        </w:trPr>
        <w:tc>
          <w:tcPr>
            <w:tcW w:w="2031" w:type="dxa"/>
            <w:vAlign w:val="center"/>
          </w:tcPr>
          <w:p w14:paraId="7FFC962E"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ЕЗФГЗ</w:t>
            </w:r>
          </w:p>
        </w:tc>
        <w:tc>
          <w:tcPr>
            <w:tcW w:w="6930" w:type="dxa"/>
            <w:vAlign w:val="center"/>
          </w:tcPr>
          <w:p w14:paraId="181A6F94"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Европейски фонд за гарантиране на земеделието</w:t>
            </w:r>
          </w:p>
        </w:tc>
      </w:tr>
      <w:tr w:rsidR="0070171D" w:rsidRPr="009F6D1E" w14:paraId="0E19631A" w14:textId="77777777" w:rsidTr="00981F7B">
        <w:trPr>
          <w:trHeight w:val="130"/>
          <w:jc w:val="center"/>
        </w:trPr>
        <w:tc>
          <w:tcPr>
            <w:tcW w:w="2031" w:type="dxa"/>
            <w:vAlign w:val="center"/>
          </w:tcPr>
          <w:p w14:paraId="68A4E01F"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ЕЗФРС</w:t>
            </w:r>
            <w:r w:rsidR="00F637D5" w:rsidRPr="009F6D1E">
              <w:rPr>
                <w:rFonts w:eastAsia="Calibri" w:cs="Times New Roman"/>
                <w:b/>
                <w:szCs w:val="24"/>
              </w:rPr>
              <w:t>Р</w:t>
            </w:r>
          </w:p>
        </w:tc>
        <w:tc>
          <w:tcPr>
            <w:tcW w:w="6930" w:type="dxa"/>
            <w:vAlign w:val="center"/>
          </w:tcPr>
          <w:p w14:paraId="1836EC71"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Европейски земеделски фонд за развитие на селските райони</w:t>
            </w:r>
          </w:p>
        </w:tc>
      </w:tr>
      <w:tr w:rsidR="0070171D" w:rsidRPr="009F6D1E" w14:paraId="74F9A8C1" w14:textId="77777777" w:rsidTr="00981F7B">
        <w:trPr>
          <w:trHeight w:val="247"/>
          <w:jc w:val="center"/>
        </w:trPr>
        <w:tc>
          <w:tcPr>
            <w:tcW w:w="2031" w:type="dxa"/>
            <w:vAlign w:val="center"/>
          </w:tcPr>
          <w:p w14:paraId="7EFB8AD3"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ЕО</w:t>
            </w:r>
            <w:r w:rsidRPr="009F6D1E">
              <w:rPr>
                <w:rFonts w:eastAsia="Calibri" w:cs="Times New Roman"/>
                <w:b/>
                <w:szCs w:val="24"/>
              </w:rPr>
              <w:tab/>
            </w:r>
          </w:p>
        </w:tc>
        <w:tc>
          <w:tcPr>
            <w:tcW w:w="6930" w:type="dxa"/>
            <w:vAlign w:val="center"/>
          </w:tcPr>
          <w:p w14:paraId="1309AB34"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Екологична оценка</w:t>
            </w:r>
          </w:p>
        </w:tc>
      </w:tr>
      <w:tr w:rsidR="0070171D" w:rsidRPr="009F6D1E" w14:paraId="33CE1D00" w14:textId="77777777" w:rsidTr="00981F7B">
        <w:trPr>
          <w:trHeight w:val="247"/>
          <w:jc w:val="center"/>
        </w:trPr>
        <w:tc>
          <w:tcPr>
            <w:tcW w:w="2031" w:type="dxa"/>
            <w:vAlign w:val="center"/>
          </w:tcPr>
          <w:p w14:paraId="28CBDD2A"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ЕС</w:t>
            </w:r>
          </w:p>
        </w:tc>
        <w:tc>
          <w:tcPr>
            <w:tcW w:w="6930" w:type="dxa"/>
            <w:vAlign w:val="center"/>
          </w:tcPr>
          <w:p w14:paraId="2FF06136"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Европейски съюз</w:t>
            </w:r>
          </w:p>
        </w:tc>
      </w:tr>
      <w:tr w:rsidR="0070171D" w:rsidRPr="009F6D1E" w14:paraId="33798CA4" w14:textId="77777777" w:rsidTr="00981F7B">
        <w:trPr>
          <w:trHeight w:val="247"/>
          <w:jc w:val="center"/>
        </w:trPr>
        <w:tc>
          <w:tcPr>
            <w:tcW w:w="2031" w:type="dxa"/>
            <w:vAlign w:val="center"/>
          </w:tcPr>
          <w:p w14:paraId="053B4E50"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ЗБР</w:t>
            </w:r>
          </w:p>
        </w:tc>
        <w:tc>
          <w:tcPr>
            <w:tcW w:w="6930" w:type="dxa"/>
            <w:vAlign w:val="center"/>
          </w:tcPr>
          <w:p w14:paraId="4F380736"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Закон за биологичното разнообразие</w:t>
            </w:r>
          </w:p>
        </w:tc>
      </w:tr>
      <w:tr w:rsidR="0070171D" w:rsidRPr="009F6D1E" w14:paraId="199ABDAF" w14:textId="77777777" w:rsidTr="00981F7B">
        <w:trPr>
          <w:trHeight w:val="247"/>
          <w:jc w:val="center"/>
        </w:trPr>
        <w:tc>
          <w:tcPr>
            <w:tcW w:w="2031" w:type="dxa"/>
            <w:vAlign w:val="center"/>
          </w:tcPr>
          <w:p w14:paraId="59154A3D"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ЗВ</w:t>
            </w:r>
          </w:p>
        </w:tc>
        <w:tc>
          <w:tcPr>
            <w:tcW w:w="6930" w:type="dxa"/>
            <w:vAlign w:val="center"/>
          </w:tcPr>
          <w:p w14:paraId="20CDFE1F"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Закон за водите</w:t>
            </w:r>
          </w:p>
        </w:tc>
      </w:tr>
      <w:tr w:rsidR="0070171D" w:rsidRPr="009F6D1E" w14:paraId="261A6109" w14:textId="77777777" w:rsidTr="00981F7B">
        <w:trPr>
          <w:trHeight w:val="247"/>
          <w:jc w:val="center"/>
        </w:trPr>
        <w:tc>
          <w:tcPr>
            <w:tcW w:w="2031" w:type="dxa"/>
            <w:vAlign w:val="center"/>
          </w:tcPr>
          <w:p w14:paraId="606BB4EB"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ЗЗ</w:t>
            </w:r>
          </w:p>
        </w:tc>
        <w:tc>
          <w:tcPr>
            <w:tcW w:w="6930" w:type="dxa"/>
            <w:vAlign w:val="center"/>
          </w:tcPr>
          <w:p w14:paraId="1F088D1D"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Защитена зона  /по смисъла на ЗБР/</w:t>
            </w:r>
          </w:p>
        </w:tc>
      </w:tr>
      <w:tr w:rsidR="00E27F28" w:rsidRPr="009F6D1E" w14:paraId="7191187E" w14:textId="77777777" w:rsidTr="00981F7B">
        <w:trPr>
          <w:trHeight w:val="247"/>
          <w:jc w:val="center"/>
        </w:trPr>
        <w:tc>
          <w:tcPr>
            <w:tcW w:w="2031" w:type="dxa"/>
            <w:vAlign w:val="center"/>
          </w:tcPr>
          <w:p w14:paraId="5D096564" w14:textId="77777777" w:rsidR="00E27F28" w:rsidRPr="009F6D1E" w:rsidRDefault="00E27F28" w:rsidP="0084747F">
            <w:pPr>
              <w:spacing w:after="60" w:line="264" w:lineRule="auto"/>
              <w:jc w:val="both"/>
              <w:rPr>
                <w:rFonts w:eastAsia="Calibri" w:cs="Times New Roman"/>
                <w:b/>
                <w:szCs w:val="24"/>
              </w:rPr>
            </w:pPr>
            <w:r w:rsidRPr="009F6D1E">
              <w:rPr>
                <w:rFonts w:eastAsia="Calibri" w:cs="Times New Roman"/>
                <w:b/>
                <w:szCs w:val="24"/>
              </w:rPr>
              <w:t>ЗЗВ</w:t>
            </w:r>
          </w:p>
        </w:tc>
        <w:tc>
          <w:tcPr>
            <w:tcW w:w="6930" w:type="dxa"/>
            <w:vAlign w:val="center"/>
          </w:tcPr>
          <w:p w14:paraId="4C83A656" w14:textId="77777777" w:rsidR="00E27F28" w:rsidRPr="009F6D1E" w:rsidRDefault="00E27F28"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Зони за защита на водите</w:t>
            </w:r>
          </w:p>
        </w:tc>
      </w:tr>
      <w:tr w:rsidR="0070171D" w:rsidRPr="009F6D1E" w14:paraId="4B58CF2D" w14:textId="77777777" w:rsidTr="00981F7B">
        <w:trPr>
          <w:trHeight w:val="247"/>
          <w:jc w:val="center"/>
        </w:trPr>
        <w:tc>
          <w:tcPr>
            <w:tcW w:w="2031" w:type="dxa"/>
            <w:vAlign w:val="center"/>
          </w:tcPr>
          <w:p w14:paraId="66657F26"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ЗЗТ</w:t>
            </w:r>
          </w:p>
        </w:tc>
        <w:tc>
          <w:tcPr>
            <w:tcW w:w="6930" w:type="dxa"/>
            <w:vAlign w:val="center"/>
          </w:tcPr>
          <w:p w14:paraId="5ECBCBDD"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Закон за защитените територии</w:t>
            </w:r>
          </w:p>
        </w:tc>
      </w:tr>
      <w:tr w:rsidR="0070171D" w:rsidRPr="009F6D1E" w14:paraId="300A6051" w14:textId="77777777" w:rsidTr="00981F7B">
        <w:trPr>
          <w:trHeight w:val="130"/>
          <w:jc w:val="center"/>
        </w:trPr>
        <w:tc>
          <w:tcPr>
            <w:tcW w:w="2031" w:type="dxa"/>
            <w:vAlign w:val="center"/>
          </w:tcPr>
          <w:p w14:paraId="2910CEC9"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ЗЗШОС</w:t>
            </w:r>
          </w:p>
        </w:tc>
        <w:tc>
          <w:tcPr>
            <w:tcW w:w="6930" w:type="dxa"/>
            <w:vAlign w:val="center"/>
          </w:tcPr>
          <w:p w14:paraId="04D9BBE8"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Закона за защита от шума в околната среда</w:t>
            </w:r>
          </w:p>
        </w:tc>
      </w:tr>
      <w:tr w:rsidR="0070171D" w:rsidRPr="009F6D1E" w14:paraId="14EBDBF4" w14:textId="77777777" w:rsidTr="00981F7B">
        <w:trPr>
          <w:trHeight w:val="247"/>
          <w:jc w:val="center"/>
        </w:trPr>
        <w:tc>
          <w:tcPr>
            <w:tcW w:w="2031" w:type="dxa"/>
            <w:vAlign w:val="center"/>
          </w:tcPr>
          <w:p w14:paraId="191DBD46"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ЗООС</w:t>
            </w:r>
          </w:p>
        </w:tc>
        <w:tc>
          <w:tcPr>
            <w:tcW w:w="6930" w:type="dxa"/>
            <w:vAlign w:val="center"/>
          </w:tcPr>
          <w:p w14:paraId="24F2E299" w14:textId="77777777" w:rsidR="0070171D" w:rsidRPr="009F6D1E" w:rsidRDefault="0070171D" w:rsidP="0084747F">
            <w:pPr>
              <w:spacing w:after="60" w:line="264" w:lineRule="auto"/>
              <w:jc w:val="both"/>
              <w:rPr>
                <w:rFonts w:eastAsia="Calibri" w:cs="Times New Roman"/>
                <w:szCs w:val="24"/>
              </w:rPr>
            </w:pPr>
            <w:r w:rsidRPr="009F6D1E">
              <w:rPr>
                <w:rStyle w:val="2105pt"/>
                <w:rFonts w:ascii="Times New Roman" w:eastAsiaTheme="minorHAnsi" w:hAnsi="Times New Roman" w:cs="Times New Roman"/>
                <w:i w:val="0"/>
                <w:iCs w:val="0"/>
                <w:sz w:val="24"/>
                <w:szCs w:val="24"/>
              </w:rPr>
              <w:t>Закон за опазване на околната среда</w:t>
            </w:r>
          </w:p>
        </w:tc>
      </w:tr>
      <w:tr w:rsidR="006E6067" w:rsidRPr="009F6D1E" w14:paraId="722623E8" w14:textId="77777777" w:rsidTr="00981F7B">
        <w:trPr>
          <w:trHeight w:val="247"/>
          <w:jc w:val="center"/>
        </w:trPr>
        <w:tc>
          <w:tcPr>
            <w:tcW w:w="2031" w:type="dxa"/>
            <w:vAlign w:val="center"/>
          </w:tcPr>
          <w:p w14:paraId="3761E759" w14:textId="77777777" w:rsidR="006E6067" w:rsidRPr="009F6D1E" w:rsidRDefault="006E6067" w:rsidP="0084747F">
            <w:pPr>
              <w:spacing w:after="60" w:line="264" w:lineRule="auto"/>
              <w:jc w:val="both"/>
              <w:rPr>
                <w:rFonts w:eastAsia="Calibri" w:cs="Times New Roman"/>
                <w:b/>
                <w:szCs w:val="24"/>
              </w:rPr>
            </w:pPr>
            <w:r w:rsidRPr="009F6D1E">
              <w:rPr>
                <w:rFonts w:eastAsia="Calibri" w:cs="Times New Roman"/>
                <w:b/>
                <w:szCs w:val="24"/>
              </w:rPr>
              <w:t>ЗРА</w:t>
            </w:r>
          </w:p>
        </w:tc>
        <w:tc>
          <w:tcPr>
            <w:tcW w:w="6930" w:type="dxa"/>
            <w:vAlign w:val="center"/>
          </w:tcPr>
          <w:p w14:paraId="41F514A7" w14:textId="77777777" w:rsidR="006E6067" w:rsidRPr="009F6D1E" w:rsidRDefault="006E6067"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Закона за рибарството и аквакултурите</w:t>
            </w:r>
          </w:p>
        </w:tc>
      </w:tr>
      <w:tr w:rsidR="0070171D" w:rsidRPr="009F6D1E" w14:paraId="723AC041" w14:textId="77777777" w:rsidTr="00981F7B">
        <w:trPr>
          <w:trHeight w:val="247"/>
          <w:jc w:val="center"/>
        </w:trPr>
        <w:tc>
          <w:tcPr>
            <w:tcW w:w="2031" w:type="dxa"/>
            <w:vAlign w:val="center"/>
          </w:tcPr>
          <w:p w14:paraId="3C3C61EF"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ЗТ</w:t>
            </w:r>
          </w:p>
        </w:tc>
        <w:tc>
          <w:tcPr>
            <w:tcW w:w="6930" w:type="dxa"/>
            <w:vAlign w:val="center"/>
          </w:tcPr>
          <w:p w14:paraId="7385E1F7"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Защитена територия /по смисъла на ЗЗТ/</w:t>
            </w:r>
          </w:p>
        </w:tc>
      </w:tr>
      <w:tr w:rsidR="00315464" w:rsidRPr="009F6D1E" w14:paraId="6FEB9A18" w14:textId="77777777" w:rsidTr="00981F7B">
        <w:trPr>
          <w:trHeight w:val="247"/>
          <w:jc w:val="center"/>
        </w:trPr>
        <w:tc>
          <w:tcPr>
            <w:tcW w:w="2031" w:type="dxa"/>
            <w:vAlign w:val="center"/>
          </w:tcPr>
          <w:p w14:paraId="52EE83CF"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ИАОС</w:t>
            </w:r>
          </w:p>
        </w:tc>
        <w:tc>
          <w:tcPr>
            <w:tcW w:w="6930" w:type="dxa"/>
            <w:vAlign w:val="center"/>
          </w:tcPr>
          <w:p w14:paraId="23438254"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Изпълнителна агенция но околна среда</w:t>
            </w:r>
          </w:p>
        </w:tc>
      </w:tr>
      <w:tr w:rsidR="00887B6B" w:rsidRPr="009F6D1E" w14:paraId="04328B40" w14:textId="77777777" w:rsidTr="00981F7B">
        <w:trPr>
          <w:trHeight w:val="247"/>
          <w:jc w:val="center"/>
        </w:trPr>
        <w:tc>
          <w:tcPr>
            <w:tcW w:w="2031" w:type="dxa"/>
            <w:vAlign w:val="center"/>
          </w:tcPr>
          <w:p w14:paraId="3C8372CB" w14:textId="77777777" w:rsidR="00887B6B" w:rsidRPr="009F6D1E" w:rsidRDefault="00887B6B" w:rsidP="0084747F">
            <w:pPr>
              <w:spacing w:after="60" w:line="264" w:lineRule="auto"/>
              <w:jc w:val="both"/>
              <w:rPr>
                <w:rFonts w:eastAsia="Calibri" w:cs="Times New Roman"/>
                <w:b/>
                <w:szCs w:val="24"/>
              </w:rPr>
            </w:pPr>
            <w:r w:rsidRPr="009F6D1E">
              <w:rPr>
                <w:rFonts w:eastAsia="Calibri" w:cs="Times New Roman"/>
                <w:b/>
                <w:szCs w:val="24"/>
              </w:rPr>
              <w:t>ИВТ</w:t>
            </w:r>
          </w:p>
        </w:tc>
        <w:tc>
          <w:tcPr>
            <w:tcW w:w="6930" w:type="dxa"/>
            <w:vAlign w:val="center"/>
          </w:tcPr>
          <w:p w14:paraId="19D7BB20" w14:textId="77777777" w:rsidR="00887B6B" w:rsidRPr="009F6D1E" w:rsidRDefault="00887B6B" w:rsidP="0084747F">
            <w:pPr>
              <w:spacing w:after="60" w:line="264" w:lineRule="auto"/>
              <w:jc w:val="both"/>
              <w:rPr>
                <w:rFonts w:eastAsia="Calibri" w:cs="Times New Roman"/>
                <w:szCs w:val="24"/>
              </w:rPr>
            </w:pPr>
            <w:r w:rsidRPr="009F6D1E">
              <w:rPr>
                <w:rFonts w:eastAsia="Calibri" w:cs="Times New Roman"/>
                <w:szCs w:val="24"/>
              </w:rPr>
              <w:t>Изкуствени водни тела</w:t>
            </w:r>
          </w:p>
        </w:tc>
      </w:tr>
      <w:tr w:rsidR="009B0811" w:rsidRPr="009F6D1E" w14:paraId="4B9190FC" w14:textId="77777777" w:rsidTr="00981F7B">
        <w:trPr>
          <w:trHeight w:val="247"/>
          <w:jc w:val="center"/>
        </w:trPr>
        <w:tc>
          <w:tcPr>
            <w:tcW w:w="2031" w:type="dxa"/>
            <w:vAlign w:val="center"/>
          </w:tcPr>
          <w:p w14:paraId="2214DAD0" w14:textId="77777777" w:rsidR="009B0811" w:rsidRPr="009F6D1E" w:rsidRDefault="009B0811" w:rsidP="0084747F">
            <w:pPr>
              <w:spacing w:after="60" w:line="264" w:lineRule="auto"/>
              <w:jc w:val="both"/>
              <w:rPr>
                <w:rFonts w:eastAsia="Calibri" w:cs="Times New Roman"/>
                <w:b/>
                <w:szCs w:val="24"/>
              </w:rPr>
            </w:pPr>
            <w:r w:rsidRPr="009F6D1E">
              <w:rPr>
                <w:rFonts w:eastAsia="Calibri" w:cs="Times New Roman"/>
                <w:b/>
                <w:szCs w:val="24"/>
              </w:rPr>
              <w:t>ИИЗ</w:t>
            </w:r>
          </w:p>
        </w:tc>
        <w:tc>
          <w:tcPr>
            <w:tcW w:w="6930" w:type="dxa"/>
            <w:vAlign w:val="center"/>
          </w:tcPr>
          <w:p w14:paraId="151B18C2" w14:textId="77777777" w:rsidR="009B0811" w:rsidRPr="009F6D1E" w:rsidRDefault="009B0811" w:rsidP="0084747F">
            <w:pPr>
              <w:spacing w:after="60" w:line="264" w:lineRule="auto"/>
              <w:jc w:val="both"/>
              <w:rPr>
                <w:rFonts w:eastAsia="Calibri" w:cs="Times New Roman"/>
                <w:szCs w:val="24"/>
              </w:rPr>
            </w:pPr>
            <w:r w:rsidRPr="009F6D1E">
              <w:rPr>
                <w:rFonts w:eastAsia="Calibri" w:cs="Times New Roman"/>
                <w:szCs w:val="24"/>
              </w:rPr>
              <w:t>Изключителна икономическа зона</w:t>
            </w:r>
          </w:p>
        </w:tc>
      </w:tr>
      <w:tr w:rsidR="009B0811" w:rsidRPr="009F6D1E" w14:paraId="003EE4DF" w14:textId="77777777" w:rsidTr="00981F7B">
        <w:trPr>
          <w:trHeight w:val="247"/>
          <w:jc w:val="center"/>
        </w:trPr>
        <w:tc>
          <w:tcPr>
            <w:tcW w:w="2031" w:type="dxa"/>
            <w:vAlign w:val="center"/>
          </w:tcPr>
          <w:p w14:paraId="2A73EA77" w14:textId="77777777" w:rsidR="009B0811" w:rsidRPr="009F6D1E" w:rsidRDefault="009B0811" w:rsidP="0084747F">
            <w:pPr>
              <w:spacing w:after="60" w:line="264" w:lineRule="auto"/>
              <w:jc w:val="both"/>
              <w:rPr>
                <w:rFonts w:eastAsia="Calibri" w:cs="Times New Roman"/>
                <w:b/>
                <w:szCs w:val="24"/>
              </w:rPr>
            </w:pPr>
            <w:r w:rsidRPr="009F6D1E">
              <w:rPr>
                <w:rFonts w:eastAsia="Calibri" w:cs="Times New Roman"/>
                <w:b/>
                <w:szCs w:val="24"/>
              </w:rPr>
              <w:lastRenderedPageBreak/>
              <w:t>ИО</w:t>
            </w:r>
          </w:p>
        </w:tc>
        <w:tc>
          <w:tcPr>
            <w:tcW w:w="6930" w:type="dxa"/>
            <w:vAlign w:val="center"/>
          </w:tcPr>
          <w:p w14:paraId="3BF6A5AE" w14:textId="77777777" w:rsidR="009B0811" w:rsidRPr="009F6D1E" w:rsidRDefault="009B0811" w:rsidP="0084747F">
            <w:pPr>
              <w:spacing w:after="60" w:line="264" w:lineRule="auto"/>
              <w:jc w:val="both"/>
              <w:rPr>
                <w:rFonts w:eastAsia="Calibri" w:cs="Times New Roman"/>
                <w:szCs w:val="24"/>
              </w:rPr>
            </w:pPr>
            <w:r w:rsidRPr="009F6D1E">
              <w:rPr>
                <w:rFonts w:eastAsia="Calibri" w:cs="Times New Roman"/>
                <w:szCs w:val="24"/>
              </w:rPr>
              <w:t>Институт по океанология - БАН</w:t>
            </w:r>
          </w:p>
        </w:tc>
      </w:tr>
      <w:tr w:rsidR="0070171D" w:rsidRPr="009F6D1E" w14:paraId="41B94AAF" w14:textId="77777777" w:rsidTr="00981F7B">
        <w:trPr>
          <w:trHeight w:val="247"/>
          <w:jc w:val="center"/>
        </w:trPr>
        <w:tc>
          <w:tcPr>
            <w:tcW w:w="2031" w:type="dxa"/>
            <w:vAlign w:val="center"/>
          </w:tcPr>
          <w:p w14:paraId="07DEFEA1"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ИП</w:t>
            </w:r>
          </w:p>
        </w:tc>
        <w:tc>
          <w:tcPr>
            <w:tcW w:w="6930" w:type="dxa"/>
            <w:vAlign w:val="center"/>
          </w:tcPr>
          <w:p w14:paraId="10DB2223"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Fonts w:cs="Times New Roman"/>
                <w:szCs w:val="24"/>
              </w:rPr>
              <w:t>Инвестиционно предложение</w:t>
            </w:r>
          </w:p>
        </w:tc>
      </w:tr>
      <w:tr w:rsidR="009E4B7E" w:rsidRPr="009F6D1E" w14:paraId="761F6FA5" w14:textId="77777777" w:rsidTr="00981F7B">
        <w:trPr>
          <w:trHeight w:val="247"/>
          <w:jc w:val="center"/>
        </w:trPr>
        <w:tc>
          <w:tcPr>
            <w:tcW w:w="2031" w:type="dxa"/>
            <w:vAlign w:val="center"/>
          </w:tcPr>
          <w:p w14:paraId="7C72EC15" w14:textId="77777777" w:rsidR="009E4B7E" w:rsidRPr="009F6D1E" w:rsidRDefault="009E4B7E" w:rsidP="0084747F">
            <w:pPr>
              <w:spacing w:after="60" w:line="264" w:lineRule="auto"/>
              <w:jc w:val="both"/>
              <w:rPr>
                <w:rFonts w:eastAsia="Calibri" w:cs="Times New Roman"/>
                <w:b/>
                <w:szCs w:val="24"/>
              </w:rPr>
            </w:pPr>
            <w:r w:rsidRPr="009F6D1E">
              <w:rPr>
                <w:rFonts w:eastAsia="Calibri" w:cs="Times New Roman"/>
                <w:b/>
                <w:szCs w:val="24"/>
              </w:rPr>
              <w:t>ИПОЕК</w:t>
            </w:r>
          </w:p>
        </w:tc>
        <w:tc>
          <w:tcPr>
            <w:tcW w:w="6930" w:type="dxa"/>
            <w:vAlign w:val="center"/>
          </w:tcPr>
          <w:p w14:paraId="5FD7D551" w14:textId="77777777" w:rsidR="009E4B7E" w:rsidRPr="009F6D1E" w:rsidRDefault="009E4B7E" w:rsidP="0084747F">
            <w:pPr>
              <w:spacing w:after="60" w:line="264" w:lineRule="auto"/>
              <w:jc w:val="both"/>
              <w:rPr>
                <w:rFonts w:cs="Times New Roman"/>
                <w:szCs w:val="24"/>
              </w:rPr>
            </w:pPr>
            <w:r w:rsidRPr="009F6D1E">
              <w:rPr>
                <w:rFonts w:cs="Times New Roman"/>
                <w:szCs w:val="24"/>
              </w:rPr>
              <w:t>Интегриран план в областта на енергетиката и климата</w:t>
            </w:r>
          </w:p>
        </w:tc>
      </w:tr>
      <w:tr w:rsidR="006C478E" w:rsidRPr="009F6D1E" w14:paraId="05A9A1B7" w14:textId="77777777" w:rsidTr="00981F7B">
        <w:trPr>
          <w:trHeight w:val="130"/>
          <w:jc w:val="center"/>
        </w:trPr>
        <w:tc>
          <w:tcPr>
            <w:tcW w:w="2031" w:type="dxa"/>
            <w:vAlign w:val="center"/>
          </w:tcPr>
          <w:p w14:paraId="2F0B0A5F" w14:textId="77777777" w:rsidR="006C478E" w:rsidRPr="009F6D1E" w:rsidRDefault="006C478E" w:rsidP="0084747F">
            <w:pPr>
              <w:spacing w:after="60" w:line="264" w:lineRule="auto"/>
              <w:jc w:val="both"/>
              <w:rPr>
                <w:rFonts w:eastAsia="Calibri" w:cs="Times New Roman"/>
                <w:b/>
                <w:bCs/>
                <w:szCs w:val="24"/>
              </w:rPr>
            </w:pPr>
            <w:r w:rsidRPr="009F6D1E">
              <w:rPr>
                <w:rFonts w:eastAsia="Calibri" w:cs="Times New Roman"/>
                <w:b/>
                <w:bCs/>
                <w:szCs w:val="24"/>
              </w:rPr>
              <w:t>ИЧВ</w:t>
            </w:r>
          </w:p>
        </w:tc>
        <w:tc>
          <w:tcPr>
            <w:tcW w:w="6930" w:type="dxa"/>
            <w:vAlign w:val="center"/>
          </w:tcPr>
          <w:p w14:paraId="5599BB0C" w14:textId="77777777" w:rsidR="006C478E" w:rsidRPr="009F6D1E" w:rsidRDefault="006C478E" w:rsidP="0084747F">
            <w:pPr>
              <w:spacing w:after="60" w:line="264" w:lineRule="auto"/>
              <w:jc w:val="both"/>
              <w:rPr>
                <w:rFonts w:eastAsia="Calibri" w:cs="Times New Roman"/>
                <w:szCs w:val="24"/>
              </w:rPr>
            </w:pPr>
            <w:r w:rsidRPr="009F6D1E">
              <w:rPr>
                <w:rFonts w:eastAsia="Calibri" w:cs="Times New Roman"/>
                <w:szCs w:val="24"/>
              </w:rPr>
              <w:t xml:space="preserve">Инвазивни и чужди видове </w:t>
            </w:r>
          </w:p>
        </w:tc>
      </w:tr>
      <w:tr w:rsidR="0070171D" w:rsidRPr="009F6D1E" w14:paraId="72DE4F75" w14:textId="77777777" w:rsidTr="00981F7B">
        <w:trPr>
          <w:trHeight w:val="130"/>
          <w:jc w:val="center"/>
        </w:trPr>
        <w:tc>
          <w:tcPr>
            <w:tcW w:w="2031" w:type="dxa"/>
            <w:vAlign w:val="center"/>
          </w:tcPr>
          <w:p w14:paraId="57ADA19A"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КАВ</w:t>
            </w:r>
          </w:p>
        </w:tc>
        <w:tc>
          <w:tcPr>
            <w:tcW w:w="6930" w:type="dxa"/>
            <w:vAlign w:val="center"/>
          </w:tcPr>
          <w:p w14:paraId="3B1D6CA8"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Качество на атмосферния въздух</w:t>
            </w:r>
          </w:p>
        </w:tc>
      </w:tr>
      <w:tr w:rsidR="00026129" w:rsidRPr="009F6D1E" w14:paraId="74AA23C2" w14:textId="77777777" w:rsidTr="00290706">
        <w:trPr>
          <w:trHeight w:val="247"/>
          <w:jc w:val="center"/>
        </w:trPr>
        <w:tc>
          <w:tcPr>
            <w:tcW w:w="2031" w:type="dxa"/>
            <w:vAlign w:val="center"/>
          </w:tcPr>
          <w:p w14:paraId="559B20F5" w14:textId="77777777" w:rsidR="00026129" w:rsidRPr="009F6D1E" w:rsidRDefault="00026129" w:rsidP="0084747F">
            <w:pPr>
              <w:spacing w:after="60" w:line="264" w:lineRule="auto"/>
              <w:jc w:val="both"/>
              <w:rPr>
                <w:rFonts w:eastAsia="Calibri" w:cs="Times New Roman"/>
                <w:b/>
                <w:szCs w:val="24"/>
              </w:rPr>
            </w:pPr>
            <w:r w:rsidRPr="009F6D1E">
              <w:rPr>
                <w:rFonts w:eastAsia="Calibri" w:cs="Times New Roman"/>
                <w:b/>
                <w:szCs w:val="24"/>
              </w:rPr>
              <w:t>МЗ</w:t>
            </w:r>
          </w:p>
        </w:tc>
        <w:tc>
          <w:tcPr>
            <w:tcW w:w="6930" w:type="dxa"/>
            <w:vAlign w:val="center"/>
          </w:tcPr>
          <w:p w14:paraId="3B4C2EBF" w14:textId="77777777" w:rsidR="00026129" w:rsidRPr="009F6D1E" w:rsidRDefault="00026129"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Министерство на здравеопазването</w:t>
            </w:r>
          </w:p>
        </w:tc>
      </w:tr>
      <w:tr w:rsidR="00026129" w:rsidRPr="009F6D1E" w14:paraId="3E9A6895" w14:textId="77777777" w:rsidTr="00290706">
        <w:trPr>
          <w:trHeight w:val="130"/>
          <w:jc w:val="center"/>
        </w:trPr>
        <w:tc>
          <w:tcPr>
            <w:tcW w:w="2031" w:type="dxa"/>
            <w:vAlign w:val="center"/>
          </w:tcPr>
          <w:p w14:paraId="3E2AC988" w14:textId="77777777" w:rsidR="00026129" w:rsidRPr="009F6D1E" w:rsidRDefault="00D0185C" w:rsidP="0084747F">
            <w:pPr>
              <w:spacing w:after="60" w:line="264" w:lineRule="auto"/>
              <w:jc w:val="both"/>
              <w:rPr>
                <w:rFonts w:eastAsia="Calibri" w:cs="Times New Roman"/>
                <w:b/>
                <w:szCs w:val="24"/>
              </w:rPr>
            </w:pPr>
            <w:proofErr w:type="spellStart"/>
            <w:r w:rsidRPr="009F6D1E">
              <w:rPr>
                <w:rFonts w:eastAsia="Calibri" w:cs="Times New Roman"/>
                <w:b/>
                <w:szCs w:val="24"/>
              </w:rPr>
              <w:t>МЗм</w:t>
            </w:r>
            <w:proofErr w:type="spellEnd"/>
          </w:p>
        </w:tc>
        <w:tc>
          <w:tcPr>
            <w:tcW w:w="6930" w:type="dxa"/>
            <w:vAlign w:val="center"/>
          </w:tcPr>
          <w:p w14:paraId="0A822A38" w14:textId="77777777" w:rsidR="00026129" w:rsidRPr="009F6D1E" w:rsidRDefault="00026129" w:rsidP="0084747F">
            <w:pPr>
              <w:spacing w:after="60" w:line="264" w:lineRule="auto"/>
              <w:jc w:val="both"/>
              <w:rPr>
                <w:rFonts w:eastAsia="Calibri" w:cs="Times New Roman"/>
                <w:szCs w:val="24"/>
              </w:rPr>
            </w:pPr>
            <w:r w:rsidRPr="009F6D1E">
              <w:rPr>
                <w:rFonts w:eastAsia="Calibri" w:cs="Times New Roman"/>
                <w:szCs w:val="24"/>
              </w:rPr>
              <w:t>Министерство на земеделието</w:t>
            </w:r>
          </w:p>
        </w:tc>
      </w:tr>
      <w:tr w:rsidR="00026129" w:rsidRPr="009F6D1E" w14:paraId="0F2CC4A6" w14:textId="77777777" w:rsidTr="00290706">
        <w:trPr>
          <w:trHeight w:val="130"/>
          <w:jc w:val="center"/>
        </w:trPr>
        <w:tc>
          <w:tcPr>
            <w:tcW w:w="2031" w:type="dxa"/>
            <w:vAlign w:val="center"/>
          </w:tcPr>
          <w:p w14:paraId="44AAE57C" w14:textId="77777777" w:rsidR="00026129" w:rsidRPr="009F6D1E" w:rsidRDefault="00026129" w:rsidP="0084747F">
            <w:pPr>
              <w:spacing w:after="60" w:line="264" w:lineRule="auto"/>
              <w:jc w:val="both"/>
              <w:rPr>
                <w:rFonts w:eastAsia="Calibri" w:cs="Times New Roman"/>
                <w:b/>
                <w:szCs w:val="24"/>
              </w:rPr>
            </w:pPr>
            <w:r w:rsidRPr="009F6D1E">
              <w:rPr>
                <w:rFonts w:eastAsia="Calibri" w:cs="Times New Roman"/>
                <w:b/>
                <w:szCs w:val="24"/>
              </w:rPr>
              <w:t>МКОРД</w:t>
            </w:r>
          </w:p>
        </w:tc>
        <w:tc>
          <w:tcPr>
            <w:tcW w:w="6930" w:type="dxa"/>
            <w:vAlign w:val="center"/>
          </w:tcPr>
          <w:p w14:paraId="6B329937" w14:textId="77777777" w:rsidR="00026129" w:rsidRPr="009F6D1E" w:rsidRDefault="00026129" w:rsidP="0084747F">
            <w:pPr>
              <w:spacing w:after="60" w:line="264" w:lineRule="auto"/>
              <w:jc w:val="both"/>
              <w:rPr>
                <w:rFonts w:eastAsia="Calibri" w:cs="Times New Roman"/>
                <w:szCs w:val="24"/>
              </w:rPr>
            </w:pPr>
            <w:r w:rsidRPr="009F6D1E">
              <w:rPr>
                <w:rFonts w:eastAsia="Calibri" w:cs="Times New Roman"/>
                <w:szCs w:val="24"/>
              </w:rPr>
              <w:t>Международен комитет за опазване на р. Дунав</w:t>
            </w:r>
          </w:p>
        </w:tc>
      </w:tr>
      <w:tr w:rsidR="00675A36" w:rsidRPr="009F6D1E" w14:paraId="5938B612" w14:textId="77777777" w:rsidTr="00981F7B">
        <w:trPr>
          <w:trHeight w:val="130"/>
          <w:jc w:val="center"/>
        </w:trPr>
        <w:tc>
          <w:tcPr>
            <w:tcW w:w="2031" w:type="dxa"/>
            <w:vAlign w:val="center"/>
          </w:tcPr>
          <w:p w14:paraId="4380DCE9" w14:textId="77777777" w:rsidR="00675A36" w:rsidRPr="009F6D1E" w:rsidRDefault="00675A36" w:rsidP="0084747F">
            <w:pPr>
              <w:spacing w:after="60" w:line="264" w:lineRule="auto"/>
              <w:jc w:val="both"/>
              <w:rPr>
                <w:rFonts w:eastAsia="Calibri" w:cs="Times New Roman"/>
                <w:b/>
                <w:szCs w:val="24"/>
              </w:rPr>
            </w:pPr>
            <w:r w:rsidRPr="009F6D1E">
              <w:rPr>
                <w:rFonts w:eastAsia="Calibri" w:cs="Times New Roman"/>
                <w:b/>
                <w:szCs w:val="24"/>
              </w:rPr>
              <w:t>КМ</w:t>
            </w:r>
          </w:p>
        </w:tc>
        <w:tc>
          <w:tcPr>
            <w:tcW w:w="6930" w:type="dxa"/>
            <w:vAlign w:val="center"/>
          </w:tcPr>
          <w:p w14:paraId="41A7B0DC" w14:textId="77777777" w:rsidR="00675A36" w:rsidRPr="009F6D1E" w:rsidRDefault="00675A36" w:rsidP="0084747F">
            <w:pPr>
              <w:spacing w:after="60" w:line="264" w:lineRule="auto"/>
              <w:jc w:val="both"/>
              <w:rPr>
                <w:rFonts w:eastAsia="Calibri" w:cs="Times New Roman"/>
                <w:szCs w:val="24"/>
              </w:rPr>
            </w:pPr>
            <w:r w:rsidRPr="009F6D1E">
              <w:rPr>
                <w:rFonts w:eastAsia="Calibri" w:cs="Times New Roman"/>
                <w:szCs w:val="24"/>
              </w:rPr>
              <w:t>Канализационна мрежа</w:t>
            </w:r>
          </w:p>
        </w:tc>
      </w:tr>
      <w:tr w:rsidR="0070171D" w:rsidRPr="009F6D1E" w14:paraId="40E17CDA" w14:textId="77777777" w:rsidTr="00981F7B">
        <w:trPr>
          <w:trHeight w:val="130"/>
          <w:jc w:val="center"/>
        </w:trPr>
        <w:tc>
          <w:tcPr>
            <w:tcW w:w="2031" w:type="dxa"/>
            <w:vAlign w:val="center"/>
          </w:tcPr>
          <w:p w14:paraId="6FADBBAF"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КМОГЕ</w:t>
            </w:r>
          </w:p>
        </w:tc>
        <w:tc>
          <w:tcPr>
            <w:tcW w:w="6930" w:type="dxa"/>
            <w:vAlign w:val="center"/>
          </w:tcPr>
          <w:p w14:paraId="77061F08"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Конференцията на министрите за опазване на горите в Европа</w:t>
            </w:r>
          </w:p>
        </w:tc>
      </w:tr>
      <w:tr w:rsidR="002F0BB1" w:rsidRPr="009F6D1E" w14:paraId="7F090648" w14:textId="77777777" w:rsidTr="00981F7B">
        <w:trPr>
          <w:trHeight w:val="130"/>
          <w:jc w:val="center"/>
        </w:trPr>
        <w:tc>
          <w:tcPr>
            <w:tcW w:w="2031" w:type="dxa"/>
            <w:vAlign w:val="center"/>
          </w:tcPr>
          <w:p w14:paraId="257F9648"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МОСВ</w:t>
            </w:r>
          </w:p>
        </w:tc>
        <w:tc>
          <w:tcPr>
            <w:tcW w:w="6930" w:type="dxa"/>
            <w:vAlign w:val="center"/>
          </w:tcPr>
          <w:p w14:paraId="2AB50EE4"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Министерство на околната среда и водите</w:t>
            </w:r>
          </w:p>
        </w:tc>
      </w:tr>
      <w:tr w:rsidR="002F0BB1" w:rsidRPr="009F6D1E" w14:paraId="6C11E187" w14:textId="77777777" w:rsidTr="00981F7B">
        <w:trPr>
          <w:trHeight w:val="130"/>
          <w:jc w:val="center"/>
        </w:trPr>
        <w:tc>
          <w:tcPr>
            <w:tcW w:w="2031" w:type="dxa"/>
            <w:vAlign w:val="center"/>
          </w:tcPr>
          <w:p w14:paraId="184306F9"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МРРБ</w:t>
            </w:r>
          </w:p>
        </w:tc>
        <w:tc>
          <w:tcPr>
            <w:tcW w:w="6930" w:type="dxa"/>
            <w:vAlign w:val="center"/>
          </w:tcPr>
          <w:p w14:paraId="5E6F3A06"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Министерство на регионалното развитие и благоустройството</w:t>
            </w:r>
          </w:p>
        </w:tc>
      </w:tr>
      <w:tr w:rsidR="00315464" w:rsidRPr="009F6D1E" w14:paraId="5F70F78A" w14:textId="77777777" w:rsidTr="00981F7B">
        <w:trPr>
          <w:trHeight w:val="247"/>
          <w:jc w:val="center"/>
        </w:trPr>
        <w:tc>
          <w:tcPr>
            <w:tcW w:w="2031" w:type="dxa"/>
            <w:vAlign w:val="center"/>
          </w:tcPr>
          <w:p w14:paraId="0505E0B9"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МС</w:t>
            </w:r>
          </w:p>
        </w:tc>
        <w:tc>
          <w:tcPr>
            <w:tcW w:w="6930" w:type="dxa"/>
            <w:vAlign w:val="center"/>
          </w:tcPr>
          <w:p w14:paraId="4D8AC33E"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Министерски съвет</w:t>
            </w:r>
          </w:p>
        </w:tc>
      </w:tr>
      <w:tr w:rsidR="0070171D" w:rsidRPr="009F6D1E" w14:paraId="5935D213" w14:textId="77777777" w:rsidTr="00981F7B">
        <w:trPr>
          <w:trHeight w:val="247"/>
          <w:jc w:val="center"/>
        </w:trPr>
        <w:tc>
          <w:tcPr>
            <w:tcW w:w="2031" w:type="dxa"/>
            <w:vAlign w:val="center"/>
          </w:tcPr>
          <w:p w14:paraId="0BD5570E"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НДСООС</w:t>
            </w:r>
          </w:p>
        </w:tc>
        <w:tc>
          <w:tcPr>
            <w:tcW w:w="6930" w:type="dxa"/>
            <w:vAlign w:val="center"/>
          </w:tcPr>
          <w:p w14:paraId="12797979"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Национален доклад за състоянието и опазването на околната среда в Р България</w:t>
            </w:r>
          </w:p>
        </w:tc>
      </w:tr>
      <w:tr w:rsidR="002F0BB1" w:rsidRPr="009F6D1E" w14:paraId="7845DC73" w14:textId="77777777" w:rsidTr="00981F7B">
        <w:trPr>
          <w:trHeight w:val="130"/>
          <w:jc w:val="center"/>
        </w:trPr>
        <w:tc>
          <w:tcPr>
            <w:tcW w:w="2031" w:type="dxa"/>
            <w:vAlign w:val="center"/>
          </w:tcPr>
          <w:p w14:paraId="00C908CF"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НИМХ</w:t>
            </w:r>
          </w:p>
        </w:tc>
        <w:tc>
          <w:tcPr>
            <w:tcW w:w="6930" w:type="dxa"/>
            <w:vAlign w:val="center"/>
          </w:tcPr>
          <w:p w14:paraId="3B63A1E0"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Национален институт по метеорология и хидрогеология</w:t>
            </w:r>
          </w:p>
        </w:tc>
      </w:tr>
      <w:tr w:rsidR="0070171D" w:rsidRPr="009F6D1E" w14:paraId="289895DB" w14:textId="77777777" w:rsidTr="00981F7B">
        <w:trPr>
          <w:trHeight w:val="247"/>
          <w:jc w:val="center"/>
        </w:trPr>
        <w:tc>
          <w:tcPr>
            <w:tcW w:w="2031" w:type="dxa"/>
            <w:vAlign w:val="center"/>
          </w:tcPr>
          <w:p w14:paraId="2B27176C"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НКЦ</w:t>
            </w:r>
          </w:p>
        </w:tc>
        <w:tc>
          <w:tcPr>
            <w:tcW w:w="6930" w:type="dxa"/>
            <w:vAlign w:val="center"/>
          </w:tcPr>
          <w:p w14:paraId="15BA5697"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Недвижими културни ценности</w:t>
            </w:r>
          </w:p>
        </w:tc>
      </w:tr>
      <w:tr w:rsidR="0070171D" w:rsidRPr="009F6D1E" w14:paraId="068C38CC" w14:textId="77777777" w:rsidTr="00981F7B">
        <w:trPr>
          <w:trHeight w:val="247"/>
          <w:jc w:val="center"/>
        </w:trPr>
        <w:tc>
          <w:tcPr>
            <w:tcW w:w="2031" w:type="dxa"/>
            <w:vAlign w:val="center"/>
          </w:tcPr>
          <w:p w14:paraId="00B9B27A"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НСИ</w:t>
            </w:r>
          </w:p>
        </w:tc>
        <w:tc>
          <w:tcPr>
            <w:tcW w:w="6930" w:type="dxa"/>
            <w:vAlign w:val="center"/>
          </w:tcPr>
          <w:p w14:paraId="6F00A379"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Национален статистически институт</w:t>
            </w:r>
          </w:p>
        </w:tc>
      </w:tr>
      <w:tr w:rsidR="006E6067" w:rsidRPr="009F6D1E" w14:paraId="3938C6DC" w14:textId="77777777" w:rsidTr="00981F7B">
        <w:trPr>
          <w:trHeight w:val="247"/>
          <w:jc w:val="center"/>
        </w:trPr>
        <w:tc>
          <w:tcPr>
            <w:tcW w:w="2031" w:type="dxa"/>
            <w:vAlign w:val="center"/>
          </w:tcPr>
          <w:p w14:paraId="4C6B8F0C" w14:textId="77777777" w:rsidR="006E6067" w:rsidRPr="009F6D1E" w:rsidRDefault="006E6067" w:rsidP="0084747F">
            <w:pPr>
              <w:spacing w:after="60" w:line="264" w:lineRule="auto"/>
              <w:jc w:val="both"/>
              <w:rPr>
                <w:rFonts w:eastAsia="Calibri" w:cs="Times New Roman"/>
                <w:b/>
                <w:szCs w:val="24"/>
              </w:rPr>
            </w:pPr>
            <w:r w:rsidRPr="009F6D1E">
              <w:rPr>
                <w:rFonts w:eastAsia="Calibri" w:cs="Times New Roman"/>
                <w:b/>
                <w:szCs w:val="24"/>
              </w:rPr>
              <w:t>НСМОС</w:t>
            </w:r>
          </w:p>
        </w:tc>
        <w:tc>
          <w:tcPr>
            <w:tcW w:w="6930" w:type="dxa"/>
            <w:vAlign w:val="center"/>
          </w:tcPr>
          <w:p w14:paraId="555BAE41" w14:textId="77777777" w:rsidR="006E6067" w:rsidRPr="009F6D1E" w:rsidRDefault="006E6067"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Националната система за мониторинг на околната среда</w:t>
            </w:r>
          </w:p>
        </w:tc>
      </w:tr>
      <w:tr w:rsidR="0070171D" w:rsidRPr="009F6D1E" w14:paraId="792C4D05" w14:textId="77777777" w:rsidTr="00981F7B">
        <w:trPr>
          <w:trHeight w:val="247"/>
          <w:jc w:val="center"/>
        </w:trPr>
        <w:tc>
          <w:tcPr>
            <w:tcW w:w="2031" w:type="dxa"/>
            <w:vAlign w:val="center"/>
          </w:tcPr>
          <w:p w14:paraId="5231B831"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ОС</w:t>
            </w:r>
          </w:p>
        </w:tc>
        <w:tc>
          <w:tcPr>
            <w:tcW w:w="6930" w:type="dxa"/>
            <w:vAlign w:val="center"/>
          </w:tcPr>
          <w:p w14:paraId="58741A93" w14:textId="77777777" w:rsidR="0070171D" w:rsidRPr="009F6D1E" w:rsidRDefault="0070171D" w:rsidP="0084747F">
            <w:pPr>
              <w:spacing w:after="60" w:line="264" w:lineRule="auto"/>
              <w:jc w:val="both"/>
              <w:rPr>
                <w:rStyle w:val="2105pt"/>
                <w:rFonts w:ascii="Times New Roman" w:eastAsiaTheme="minorHAnsi" w:hAnsi="Times New Roman" w:cs="Times New Roman"/>
                <w:i w:val="0"/>
                <w:iCs w:val="0"/>
                <w:sz w:val="24"/>
                <w:szCs w:val="24"/>
              </w:rPr>
            </w:pPr>
            <w:r w:rsidRPr="009F6D1E">
              <w:rPr>
                <w:rStyle w:val="2105pt"/>
                <w:rFonts w:ascii="Times New Roman" w:eastAsiaTheme="minorHAnsi" w:hAnsi="Times New Roman" w:cs="Times New Roman"/>
                <w:i w:val="0"/>
                <w:iCs w:val="0"/>
                <w:sz w:val="24"/>
                <w:szCs w:val="24"/>
              </w:rPr>
              <w:t>Оценка за съвместимост</w:t>
            </w:r>
          </w:p>
        </w:tc>
      </w:tr>
      <w:tr w:rsidR="0070171D" w:rsidRPr="009F6D1E" w14:paraId="47722ADA" w14:textId="77777777" w:rsidTr="00981F7B">
        <w:trPr>
          <w:trHeight w:val="247"/>
          <w:jc w:val="center"/>
        </w:trPr>
        <w:tc>
          <w:tcPr>
            <w:tcW w:w="2031" w:type="dxa"/>
            <w:vAlign w:val="center"/>
          </w:tcPr>
          <w:p w14:paraId="3393ADEE" w14:textId="77777777" w:rsidR="0070171D" w:rsidRPr="009F6D1E" w:rsidRDefault="00D809BC" w:rsidP="0084747F">
            <w:pPr>
              <w:spacing w:after="60" w:line="264" w:lineRule="auto"/>
              <w:jc w:val="both"/>
              <w:rPr>
                <w:rFonts w:eastAsia="Calibri" w:cs="Times New Roman"/>
                <w:b/>
                <w:szCs w:val="24"/>
              </w:rPr>
            </w:pPr>
            <w:r w:rsidRPr="009F6D1E">
              <w:rPr>
                <w:rFonts w:eastAsia="Calibri" w:cs="Times New Roman"/>
                <w:b/>
                <w:szCs w:val="24"/>
              </w:rPr>
              <w:t>РЗСР</w:t>
            </w:r>
          </w:p>
        </w:tc>
        <w:tc>
          <w:tcPr>
            <w:tcW w:w="6930" w:type="dxa"/>
            <w:vAlign w:val="center"/>
          </w:tcPr>
          <w:p w14:paraId="438459B4"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Обща селскостопанска политика</w:t>
            </w:r>
          </w:p>
        </w:tc>
      </w:tr>
      <w:tr w:rsidR="002F0BB1" w:rsidRPr="009F6D1E" w14:paraId="4AE613DA" w14:textId="77777777" w:rsidTr="00981F7B">
        <w:trPr>
          <w:trHeight w:val="130"/>
          <w:jc w:val="center"/>
        </w:trPr>
        <w:tc>
          <w:tcPr>
            <w:tcW w:w="2031" w:type="dxa"/>
            <w:vAlign w:val="center"/>
          </w:tcPr>
          <w:p w14:paraId="01E2CC95"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ПАВ</w:t>
            </w:r>
          </w:p>
        </w:tc>
        <w:tc>
          <w:tcPr>
            <w:tcW w:w="6930" w:type="dxa"/>
            <w:vAlign w:val="center"/>
          </w:tcPr>
          <w:p w14:paraId="74CF2C5E" w14:textId="77777777" w:rsidR="002F0BB1" w:rsidRPr="009F6D1E" w:rsidRDefault="002F0BB1" w:rsidP="0084747F">
            <w:pPr>
              <w:spacing w:after="60" w:line="264" w:lineRule="auto"/>
              <w:jc w:val="both"/>
              <w:rPr>
                <w:rFonts w:eastAsia="Calibri" w:cs="Times New Roman"/>
                <w:szCs w:val="24"/>
              </w:rPr>
            </w:pPr>
            <w:proofErr w:type="spellStart"/>
            <w:r w:rsidRPr="009F6D1E">
              <w:rPr>
                <w:rFonts w:eastAsia="Calibri" w:cs="Times New Roman"/>
                <w:szCs w:val="24"/>
              </w:rPr>
              <w:t>Полициклични</w:t>
            </w:r>
            <w:proofErr w:type="spellEnd"/>
            <w:r w:rsidRPr="009F6D1E">
              <w:rPr>
                <w:rFonts w:eastAsia="Calibri" w:cs="Times New Roman"/>
                <w:szCs w:val="24"/>
              </w:rPr>
              <w:t xml:space="preserve"> ароматни въглеводороди</w:t>
            </w:r>
          </w:p>
        </w:tc>
      </w:tr>
      <w:tr w:rsidR="006E6067" w:rsidRPr="009F6D1E" w14:paraId="639727D8" w14:textId="77777777" w:rsidTr="00981F7B">
        <w:trPr>
          <w:trHeight w:val="130"/>
          <w:jc w:val="center"/>
        </w:trPr>
        <w:tc>
          <w:tcPr>
            <w:tcW w:w="2031" w:type="dxa"/>
            <w:vAlign w:val="center"/>
          </w:tcPr>
          <w:p w14:paraId="77946CC8" w14:textId="77777777" w:rsidR="006E6067" w:rsidRPr="009F6D1E" w:rsidRDefault="006E6067" w:rsidP="0084747F">
            <w:pPr>
              <w:spacing w:after="60" w:line="264" w:lineRule="auto"/>
              <w:jc w:val="both"/>
              <w:rPr>
                <w:rFonts w:eastAsia="Calibri" w:cs="Times New Roman"/>
                <w:b/>
                <w:szCs w:val="24"/>
              </w:rPr>
            </w:pPr>
            <w:r w:rsidRPr="009F6D1E">
              <w:rPr>
                <w:rFonts w:eastAsia="Calibri" w:cs="Times New Roman"/>
                <w:b/>
                <w:szCs w:val="24"/>
              </w:rPr>
              <w:t>ПБВ</w:t>
            </w:r>
          </w:p>
        </w:tc>
        <w:tc>
          <w:tcPr>
            <w:tcW w:w="6930" w:type="dxa"/>
            <w:vAlign w:val="center"/>
          </w:tcPr>
          <w:p w14:paraId="141E25A7" w14:textId="77777777" w:rsidR="006E6067" w:rsidRPr="009F6D1E" w:rsidRDefault="006E6067" w:rsidP="0084747F">
            <w:pPr>
              <w:spacing w:after="60" w:line="264" w:lineRule="auto"/>
              <w:jc w:val="both"/>
              <w:rPr>
                <w:rFonts w:eastAsia="Calibri" w:cs="Times New Roman"/>
                <w:szCs w:val="24"/>
              </w:rPr>
            </w:pPr>
            <w:r w:rsidRPr="009F6D1E">
              <w:rPr>
                <w:rFonts w:eastAsia="Calibri" w:cs="Times New Roman"/>
                <w:szCs w:val="24"/>
              </w:rPr>
              <w:t>Питейно-битово водоснабдяване</w:t>
            </w:r>
          </w:p>
        </w:tc>
      </w:tr>
      <w:tr w:rsidR="006E6067" w:rsidRPr="009F6D1E" w14:paraId="1C373267" w14:textId="77777777" w:rsidTr="00981F7B">
        <w:trPr>
          <w:trHeight w:val="130"/>
          <w:jc w:val="center"/>
        </w:trPr>
        <w:tc>
          <w:tcPr>
            <w:tcW w:w="2031" w:type="dxa"/>
            <w:vAlign w:val="center"/>
          </w:tcPr>
          <w:p w14:paraId="38E081CE" w14:textId="77777777" w:rsidR="006E6067" w:rsidRPr="009F6D1E" w:rsidRDefault="006E6067" w:rsidP="0084747F">
            <w:pPr>
              <w:spacing w:after="60" w:line="264" w:lineRule="auto"/>
              <w:jc w:val="both"/>
              <w:rPr>
                <w:rFonts w:eastAsia="Calibri" w:cs="Times New Roman"/>
                <w:b/>
                <w:szCs w:val="24"/>
              </w:rPr>
            </w:pPr>
            <w:r w:rsidRPr="009F6D1E">
              <w:rPr>
                <w:rFonts w:eastAsia="Calibri" w:cs="Times New Roman"/>
                <w:b/>
                <w:szCs w:val="24"/>
              </w:rPr>
              <w:t>ПВТ</w:t>
            </w:r>
          </w:p>
        </w:tc>
        <w:tc>
          <w:tcPr>
            <w:tcW w:w="6930" w:type="dxa"/>
            <w:vAlign w:val="center"/>
          </w:tcPr>
          <w:p w14:paraId="17E08ABD" w14:textId="77777777" w:rsidR="006E6067" w:rsidRPr="009F6D1E" w:rsidRDefault="006E6067" w:rsidP="0084747F">
            <w:pPr>
              <w:spacing w:after="60" w:line="264" w:lineRule="auto"/>
              <w:jc w:val="both"/>
              <w:rPr>
                <w:rFonts w:eastAsia="Calibri" w:cs="Times New Roman"/>
                <w:szCs w:val="24"/>
              </w:rPr>
            </w:pPr>
            <w:r w:rsidRPr="009F6D1E">
              <w:rPr>
                <w:rFonts w:eastAsia="Calibri" w:cs="Times New Roman"/>
                <w:szCs w:val="24"/>
              </w:rPr>
              <w:t>Повърхностни водни тела</w:t>
            </w:r>
          </w:p>
        </w:tc>
      </w:tr>
      <w:tr w:rsidR="002F0BB1" w:rsidRPr="009F6D1E" w14:paraId="774C480F" w14:textId="77777777" w:rsidTr="00981F7B">
        <w:trPr>
          <w:trHeight w:val="130"/>
          <w:jc w:val="center"/>
        </w:trPr>
        <w:tc>
          <w:tcPr>
            <w:tcW w:w="2031" w:type="dxa"/>
            <w:vAlign w:val="center"/>
          </w:tcPr>
          <w:p w14:paraId="0C9566AC"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ПГ</w:t>
            </w:r>
          </w:p>
        </w:tc>
        <w:tc>
          <w:tcPr>
            <w:tcW w:w="6930" w:type="dxa"/>
            <w:vAlign w:val="center"/>
          </w:tcPr>
          <w:p w14:paraId="5A909260"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Парникови газове</w:t>
            </w:r>
          </w:p>
        </w:tc>
      </w:tr>
      <w:tr w:rsidR="002F0BB1" w:rsidRPr="009F6D1E" w14:paraId="5A1C38D3" w14:textId="77777777" w:rsidTr="00981F7B">
        <w:trPr>
          <w:trHeight w:val="130"/>
          <w:jc w:val="center"/>
        </w:trPr>
        <w:tc>
          <w:tcPr>
            <w:tcW w:w="2031" w:type="dxa"/>
            <w:vAlign w:val="center"/>
          </w:tcPr>
          <w:p w14:paraId="447569D3"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ПГЗ</w:t>
            </w:r>
          </w:p>
        </w:tc>
        <w:tc>
          <w:tcPr>
            <w:tcW w:w="6930" w:type="dxa"/>
            <w:vAlign w:val="center"/>
          </w:tcPr>
          <w:p w14:paraId="67699F96"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Потенциал за глобално затопляне</w:t>
            </w:r>
          </w:p>
        </w:tc>
      </w:tr>
      <w:tr w:rsidR="0070171D" w:rsidRPr="009F6D1E" w14:paraId="044322E7" w14:textId="77777777" w:rsidTr="00981F7B">
        <w:trPr>
          <w:trHeight w:val="247"/>
          <w:jc w:val="center"/>
        </w:trPr>
        <w:tc>
          <w:tcPr>
            <w:tcW w:w="2031" w:type="dxa"/>
            <w:tcBorders>
              <w:top w:val="single" w:sz="4" w:space="0" w:color="auto"/>
              <w:left w:val="single" w:sz="4" w:space="0" w:color="auto"/>
              <w:bottom w:val="single" w:sz="4" w:space="0" w:color="auto"/>
              <w:right w:val="single" w:sz="4" w:space="0" w:color="auto"/>
            </w:tcBorders>
            <w:vAlign w:val="center"/>
          </w:tcPr>
          <w:p w14:paraId="07BCCFBF"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ПОРН</w:t>
            </w:r>
          </w:p>
        </w:tc>
        <w:tc>
          <w:tcPr>
            <w:tcW w:w="6930" w:type="dxa"/>
            <w:tcBorders>
              <w:top w:val="single" w:sz="4" w:space="0" w:color="auto"/>
              <w:left w:val="single" w:sz="4" w:space="0" w:color="auto"/>
              <w:bottom w:val="single" w:sz="4" w:space="0" w:color="auto"/>
              <w:right w:val="single" w:sz="4" w:space="0" w:color="auto"/>
            </w:tcBorders>
            <w:vAlign w:val="center"/>
          </w:tcPr>
          <w:p w14:paraId="717A84BC" w14:textId="77777777" w:rsidR="0070171D" w:rsidRPr="009F6D1E" w:rsidRDefault="0070171D" w:rsidP="0084747F">
            <w:pPr>
              <w:spacing w:after="60" w:line="264" w:lineRule="auto"/>
              <w:jc w:val="both"/>
              <w:rPr>
                <w:rFonts w:eastAsia="Calibri" w:cs="Times New Roman"/>
                <w:bCs/>
                <w:szCs w:val="24"/>
              </w:rPr>
            </w:pPr>
            <w:r w:rsidRPr="009F6D1E">
              <w:rPr>
                <w:rFonts w:eastAsia="Calibri" w:cs="Times New Roman"/>
                <w:bCs/>
                <w:szCs w:val="24"/>
              </w:rPr>
              <w:t>Предварителна оценка на риска от наводнения</w:t>
            </w:r>
          </w:p>
        </w:tc>
      </w:tr>
      <w:tr w:rsidR="0070171D" w:rsidRPr="009F6D1E" w14:paraId="7E314E7A" w14:textId="77777777" w:rsidTr="00981F7B">
        <w:trPr>
          <w:trHeight w:val="130"/>
          <w:jc w:val="center"/>
        </w:trPr>
        <w:tc>
          <w:tcPr>
            <w:tcW w:w="2031" w:type="dxa"/>
            <w:vAlign w:val="center"/>
          </w:tcPr>
          <w:p w14:paraId="1E9E9C1C" w14:textId="77777777" w:rsidR="0070171D" w:rsidRPr="009F6D1E" w:rsidRDefault="0070171D" w:rsidP="0084747F">
            <w:pPr>
              <w:spacing w:after="60" w:line="264" w:lineRule="auto"/>
              <w:jc w:val="both"/>
              <w:rPr>
                <w:rFonts w:eastAsia="Calibri" w:cs="Times New Roman"/>
                <w:b/>
                <w:szCs w:val="24"/>
              </w:rPr>
            </w:pPr>
            <w:r w:rsidRPr="009F6D1E">
              <w:rPr>
                <w:rFonts w:eastAsia="Calibri" w:cs="Times New Roman"/>
                <w:b/>
                <w:szCs w:val="24"/>
              </w:rPr>
              <w:t>ПУДООС</w:t>
            </w:r>
          </w:p>
        </w:tc>
        <w:tc>
          <w:tcPr>
            <w:tcW w:w="6930" w:type="dxa"/>
            <w:vAlign w:val="center"/>
          </w:tcPr>
          <w:p w14:paraId="45D7ADBF" w14:textId="77777777" w:rsidR="0070171D" w:rsidRPr="009F6D1E" w:rsidRDefault="0070171D" w:rsidP="0084747F">
            <w:pPr>
              <w:spacing w:after="60" w:line="264" w:lineRule="auto"/>
              <w:jc w:val="both"/>
              <w:rPr>
                <w:rFonts w:eastAsia="Calibri" w:cs="Times New Roman"/>
                <w:szCs w:val="24"/>
              </w:rPr>
            </w:pPr>
            <w:r w:rsidRPr="009F6D1E">
              <w:rPr>
                <w:rFonts w:eastAsia="Calibri" w:cs="Times New Roman"/>
                <w:szCs w:val="24"/>
              </w:rPr>
              <w:t>Предприятие за управление на дейностите по опазване на околната среда</w:t>
            </w:r>
          </w:p>
        </w:tc>
      </w:tr>
      <w:tr w:rsidR="002F0BB1" w:rsidRPr="009F6D1E" w14:paraId="2E477C99" w14:textId="77777777" w:rsidTr="00981F7B">
        <w:trPr>
          <w:trHeight w:val="130"/>
          <w:jc w:val="center"/>
        </w:trPr>
        <w:tc>
          <w:tcPr>
            <w:tcW w:w="2031" w:type="dxa"/>
            <w:vAlign w:val="center"/>
          </w:tcPr>
          <w:p w14:paraId="449C9335"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ПУРБ</w:t>
            </w:r>
          </w:p>
        </w:tc>
        <w:tc>
          <w:tcPr>
            <w:tcW w:w="6930" w:type="dxa"/>
            <w:vAlign w:val="center"/>
          </w:tcPr>
          <w:p w14:paraId="45C83FE1"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План за управление на речните басейни</w:t>
            </w:r>
          </w:p>
        </w:tc>
      </w:tr>
      <w:tr w:rsidR="002F0BB1" w:rsidRPr="009F6D1E" w14:paraId="7787A82F" w14:textId="77777777" w:rsidTr="00981F7B">
        <w:trPr>
          <w:trHeight w:val="130"/>
          <w:jc w:val="center"/>
        </w:trPr>
        <w:tc>
          <w:tcPr>
            <w:tcW w:w="2031" w:type="dxa"/>
            <w:vAlign w:val="center"/>
          </w:tcPr>
          <w:p w14:paraId="0783B59A"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ПУРН</w:t>
            </w:r>
          </w:p>
        </w:tc>
        <w:tc>
          <w:tcPr>
            <w:tcW w:w="6930" w:type="dxa"/>
            <w:vAlign w:val="center"/>
          </w:tcPr>
          <w:p w14:paraId="62DA9B60"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План за управление на риска от наводнения</w:t>
            </w:r>
          </w:p>
        </w:tc>
      </w:tr>
      <w:tr w:rsidR="00336D92" w:rsidRPr="009F6D1E" w14:paraId="321BBAF8" w14:textId="77777777" w:rsidTr="00981F7B">
        <w:trPr>
          <w:trHeight w:val="130"/>
          <w:jc w:val="center"/>
        </w:trPr>
        <w:tc>
          <w:tcPr>
            <w:tcW w:w="2031" w:type="dxa"/>
            <w:vAlign w:val="center"/>
          </w:tcPr>
          <w:p w14:paraId="2A4C0C03" w14:textId="77777777" w:rsidR="00336D92" w:rsidRPr="009F6D1E" w:rsidRDefault="00336D92" w:rsidP="0084747F">
            <w:pPr>
              <w:spacing w:after="60" w:line="264" w:lineRule="auto"/>
              <w:jc w:val="both"/>
              <w:rPr>
                <w:rFonts w:eastAsia="Calibri" w:cs="Times New Roman"/>
                <w:b/>
                <w:szCs w:val="24"/>
              </w:rPr>
            </w:pPr>
            <w:r w:rsidRPr="009F6D1E">
              <w:rPr>
                <w:rFonts w:eastAsia="Calibri" w:cs="Times New Roman"/>
                <w:b/>
                <w:szCs w:val="24"/>
              </w:rPr>
              <w:t>РДВ</w:t>
            </w:r>
          </w:p>
        </w:tc>
        <w:tc>
          <w:tcPr>
            <w:tcW w:w="6930" w:type="dxa"/>
            <w:vAlign w:val="center"/>
          </w:tcPr>
          <w:p w14:paraId="42758929" w14:textId="77777777" w:rsidR="00336D92" w:rsidRPr="009F6D1E" w:rsidRDefault="00336D92" w:rsidP="0084747F">
            <w:pPr>
              <w:spacing w:after="60" w:line="264" w:lineRule="auto"/>
              <w:jc w:val="both"/>
              <w:rPr>
                <w:rFonts w:eastAsia="Calibri" w:cs="Times New Roman"/>
                <w:szCs w:val="24"/>
              </w:rPr>
            </w:pPr>
            <w:r w:rsidRPr="009F6D1E">
              <w:rPr>
                <w:rFonts w:eastAsia="Calibri" w:cs="Times New Roman"/>
                <w:szCs w:val="24"/>
              </w:rPr>
              <w:t>Рамкова директива за водите</w:t>
            </w:r>
          </w:p>
        </w:tc>
      </w:tr>
      <w:tr w:rsidR="00336D92" w:rsidRPr="009F6D1E" w14:paraId="23B6468D" w14:textId="77777777" w:rsidTr="00981F7B">
        <w:trPr>
          <w:trHeight w:val="130"/>
          <w:jc w:val="center"/>
        </w:trPr>
        <w:tc>
          <w:tcPr>
            <w:tcW w:w="2031" w:type="dxa"/>
            <w:vAlign w:val="center"/>
          </w:tcPr>
          <w:p w14:paraId="6CE08419" w14:textId="77777777" w:rsidR="00336D92" w:rsidRPr="009F6D1E" w:rsidRDefault="00336D92" w:rsidP="0084747F">
            <w:pPr>
              <w:spacing w:after="60" w:line="264" w:lineRule="auto"/>
              <w:jc w:val="both"/>
              <w:rPr>
                <w:rFonts w:eastAsia="Calibri" w:cs="Times New Roman"/>
                <w:b/>
                <w:szCs w:val="24"/>
              </w:rPr>
            </w:pPr>
            <w:r w:rsidRPr="009F6D1E">
              <w:rPr>
                <w:rFonts w:eastAsia="Calibri" w:cs="Times New Roman"/>
                <w:b/>
                <w:szCs w:val="24"/>
              </w:rPr>
              <w:t>РДМС</w:t>
            </w:r>
          </w:p>
        </w:tc>
        <w:tc>
          <w:tcPr>
            <w:tcW w:w="6930" w:type="dxa"/>
            <w:vAlign w:val="center"/>
          </w:tcPr>
          <w:p w14:paraId="7C38A246" w14:textId="77777777" w:rsidR="00336D92" w:rsidRPr="009F6D1E" w:rsidRDefault="00336D92" w:rsidP="0084747F">
            <w:pPr>
              <w:spacing w:after="60" w:line="264" w:lineRule="auto"/>
              <w:jc w:val="both"/>
              <w:rPr>
                <w:rFonts w:eastAsia="Calibri" w:cs="Times New Roman"/>
                <w:szCs w:val="24"/>
              </w:rPr>
            </w:pPr>
            <w:r w:rsidRPr="009F6D1E">
              <w:rPr>
                <w:rFonts w:eastAsia="Calibri" w:cs="Times New Roman"/>
                <w:szCs w:val="24"/>
              </w:rPr>
              <w:t>Рамковата директива за морска стратегия</w:t>
            </w:r>
          </w:p>
        </w:tc>
      </w:tr>
      <w:tr w:rsidR="00D8035F" w:rsidRPr="009F6D1E" w14:paraId="4E087D6C" w14:textId="77777777" w:rsidTr="00981F7B">
        <w:trPr>
          <w:trHeight w:val="130"/>
          <w:jc w:val="center"/>
        </w:trPr>
        <w:tc>
          <w:tcPr>
            <w:tcW w:w="2031" w:type="dxa"/>
            <w:vAlign w:val="center"/>
          </w:tcPr>
          <w:p w14:paraId="22BD5116" w14:textId="77777777" w:rsidR="00D8035F" w:rsidRPr="009F6D1E" w:rsidRDefault="00D8035F" w:rsidP="0084747F">
            <w:pPr>
              <w:spacing w:after="60" w:line="264" w:lineRule="auto"/>
              <w:jc w:val="both"/>
              <w:rPr>
                <w:rFonts w:eastAsia="Calibri" w:cs="Times New Roman"/>
                <w:b/>
                <w:szCs w:val="24"/>
              </w:rPr>
            </w:pPr>
            <w:r w:rsidRPr="009F6D1E">
              <w:rPr>
                <w:rFonts w:eastAsia="Calibri" w:cs="Times New Roman"/>
                <w:b/>
                <w:szCs w:val="24"/>
              </w:rPr>
              <w:t>РЗИ</w:t>
            </w:r>
          </w:p>
        </w:tc>
        <w:tc>
          <w:tcPr>
            <w:tcW w:w="6930" w:type="dxa"/>
            <w:vAlign w:val="center"/>
          </w:tcPr>
          <w:p w14:paraId="53DC85DE" w14:textId="77777777" w:rsidR="00D8035F" w:rsidRPr="009F6D1E" w:rsidRDefault="00D8035F" w:rsidP="0084747F">
            <w:pPr>
              <w:spacing w:after="60" w:line="264" w:lineRule="auto"/>
              <w:jc w:val="both"/>
              <w:rPr>
                <w:rFonts w:eastAsia="Calibri" w:cs="Times New Roman"/>
                <w:szCs w:val="24"/>
              </w:rPr>
            </w:pPr>
            <w:r w:rsidRPr="009F6D1E">
              <w:rPr>
                <w:rFonts w:eastAsia="Calibri" w:cs="Times New Roman"/>
                <w:szCs w:val="24"/>
              </w:rPr>
              <w:t>Регионална здравна инспекция</w:t>
            </w:r>
          </w:p>
        </w:tc>
      </w:tr>
      <w:tr w:rsidR="00D8035F" w:rsidRPr="009F6D1E" w14:paraId="18EA56C2" w14:textId="77777777" w:rsidTr="00981F7B">
        <w:trPr>
          <w:trHeight w:val="130"/>
          <w:jc w:val="center"/>
        </w:trPr>
        <w:tc>
          <w:tcPr>
            <w:tcW w:w="2031" w:type="dxa"/>
            <w:vAlign w:val="center"/>
          </w:tcPr>
          <w:p w14:paraId="36C08807" w14:textId="77777777" w:rsidR="00D8035F" w:rsidRPr="009F6D1E" w:rsidRDefault="00D8035F" w:rsidP="0084747F">
            <w:pPr>
              <w:spacing w:after="60" w:line="264" w:lineRule="auto"/>
              <w:jc w:val="both"/>
              <w:rPr>
                <w:rFonts w:eastAsia="Calibri" w:cs="Times New Roman"/>
                <w:b/>
                <w:szCs w:val="24"/>
              </w:rPr>
            </w:pPr>
            <w:r w:rsidRPr="009F6D1E">
              <w:rPr>
                <w:rFonts w:eastAsia="Calibri" w:cs="Times New Roman"/>
                <w:b/>
                <w:szCs w:val="24"/>
              </w:rPr>
              <w:lastRenderedPageBreak/>
              <w:t>РЗПНР</w:t>
            </w:r>
          </w:p>
        </w:tc>
        <w:tc>
          <w:tcPr>
            <w:tcW w:w="6930" w:type="dxa"/>
            <w:vAlign w:val="center"/>
          </w:tcPr>
          <w:p w14:paraId="132F4EAF" w14:textId="77777777" w:rsidR="00D8035F" w:rsidRPr="009F6D1E" w:rsidRDefault="00D8035F" w:rsidP="0084747F">
            <w:pPr>
              <w:spacing w:after="60" w:line="264" w:lineRule="auto"/>
              <w:jc w:val="both"/>
              <w:rPr>
                <w:rFonts w:eastAsia="Calibri" w:cs="Times New Roman"/>
                <w:szCs w:val="24"/>
              </w:rPr>
            </w:pPr>
            <w:r w:rsidRPr="009F6D1E">
              <w:rPr>
                <w:rFonts w:eastAsia="Calibri" w:cs="Times New Roman"/>
                <w:szCs w:val="24"/>
              </w:rPr>
              <w:t>Райони със значителен потенциален риск от наводнения</w:t>
            </w:r>
          </w:p>
        </w:tc>
      </w:tr>
      <w:tr w:rsidR="00315464" w:rsidRPr="009F6D1E" w14:paraId="1A40182F" w14:textId="77777777" w:rsidTr="00981F7B">
        <w:trPr>
          <w:trHeight w:val="247"/>
          <w:jc w:val="center"/>
        </w:trPr>
        <w:tc>
          <w:tcPr>
            <w:tcW w:w="2031" w:type="dxa"/>
            <w:vAlign w:val="center"/>
          </w:tcPr>
          <w:p w14:paraId="710F1961"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РИОСВ</w:t>
            </w:r>
          </w:p>
        </w:tc>
        <w:tc>
          <w:tcPr>
            <w:tcW w:w="6930" w:type="dxa"/>
            <w:vAlign w:val="center"/>
          </w:tcPr>
          <w:p w14:paraId="6B4D9453"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Регионална инспекция по опазване на околната среда и води</w:t>
            </w:r>
          </w:p>
        </w:tc>
      </w:tr>
      <w:tr w:rsidR="00315464" w:rsidRPr="009F6D1E" w14:paraId="0386F708" w14:textId="77777777" w:rsidTr="00981F7B">
        <w:trPr>
          <w:trHeight w:val="247"/>
          <w:jc w:val="center"/>
        </w:trPr>
        <w:tc>
          <w:tcPr>
            <w:tcW w:w="2031" w:type="dxa"/>
            <w:vAlign w:val="center"/>
          </w:tcPr>
          <w:p w14:paraId="27EC896F"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СЕО</w:t>
            </w:r>
          </w:p>
        </w:tc>
        <w:tc>
          <w:tcPr>
            <w:tcW w:w="6930" w:type="dxa"/>
            <w:vAlign w:val="center"/>
          </w:tcPr>
          <w:p w14:paraId="3861304E"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Стратегическа екологична оценка</w:t>
            </w:r>
          </w:p>
        </w:tc>
      </w:tr>
      <w:tr w:rsidR="002F0BB1" w:rsidRPr="009F6D1E" w14:paraId="1FD51E0A" w14:textId="77777777" w:rsidTr="00981F7B">
        <w:trPr>
          <w:trHeight w:val="247"/>
          <w:jc w:val="center"/>
        </w:trPr>
        <w:tc>
          <w:tcPr>
            <w:tcW w:w="2031" w:type="dxa"/>
            <w:vAlign w:val="center"/>
          </w:tcPr>
          <w:p w14:paraId="6BBFA773"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СК</w:t>
            </w:r>
          </w:p>
        </w:tc>
        <w:tc>
          <w:tcPr>
            <w:tcW w:w="6930" w:type="dxa"/>
            <w:vAlign w:val="center"/>
          </w:tcPr>
          <w:p w14:paraId="3287D3CD"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Стандарти за качество</w:t>
            </w:r>
          </w:p>
        </w:tc>
      </w:tr>
      <w:tr w:rsidR="00D26385" w:rsidRPr="009F6D1E" w14:paraId="568BD05B" w14:textId="77777777" w:rsidTr="00981F7B">
        <w:trPr>
          <w:trHeight w:val="247"/>
          <w:jc w:val="center"/>
        </w:trPr>
        <w:tc>
          <w:tcPr>
            <w:tcW w:w="2031" w:type="dxa"/>
            <w:vAlign w:val="center"/>
          </w:tcPr>
          <w:p w14:paraId="4DEE32CF" w14:textId="77777777" w:rsidR="00D26385" w:rsidRPr="009F6D1E" w:rsidRDefault="00D26385" w:rsidP="0084747F">
            <w:pPr>
              <w:spacing w:after="60" w:line="264" w:lineRule="auto"/>
              <w:jc w:val="both"/>
              <w:rPr>
                <w:rFonts w:eastAsia="Calibri" w:cs="Times New Roman"/>
                <w:b/>
                <w:szCs w:val="24"/>
              </w:rPr>
            </w:pPr>
            <w:r w:rsidRPr="009F6D1E">
              <w:rPr>
                <w:rFonts w:eastAsia="Calibri" w:cs="Times New Roman"/>
                <w:b/>
                <w:szCs w:val="24"/>
              </w:rPr>
              <w:t>СКОС</w:t>
            </w:r>
          </w:p>
        </w:tc>
        <w:tc>
          <w:tcPr>
            <w:tcW w:w="6930" w:type="dxa"/>
            <w:vAlign w:val="center"/>
          </w:tcPr>
          <w:p w14:paraId="46200C7C" w14:textId="77777777" w:rsidR="00D26385" w:rsidRPr="009F6D1E" w:rsidRDefault="00D26385" w:rsidP="0084747F">
            <w:pPr>
              <w:spacing w:after="60" w:line="264" w:lineRule="auto"/>
              <w:jc w:val="both"/>
              <w:rPr>
                <w:rFonts w:eastAsia="Calibri" w:cs="Times New Roman"/>
                <w:szCs w:val="24"/>
              </w:rPr>
            </w:pPr>
            <w:r w:rsidRPr="009F6D1E">
              <w:rPr>
                <w:rFonts w:eastAsia="Calibri" w:cs="Times New Roman"/>
                <w:szCs w:val="24"/>
              </w:rPr>
              <w:t>Стандарт за качество на околната среда</w:t>
            </w:r>
          </w:p>
        </w:tc>
      </w:tr>
      <w:tr w:rsidR="00D26385" w:rsidRPr="009F6D1E" w14:paraId="0B4568D7" w14:textId="77777777" w:rsidTr="00981F7B">
        <w:trPr>
          <w:trHeight w:val="247"/>
          <w:jc w:val="center"/>
        </w:trPr>
        <w:tc>
          <w:tcPr>
            <w:tcW w:w="2031" w:type="dxa"/>
            <w:vAlign w:val="center"/>
          </w:tcPr>
          <w:p w14:paraId="4CC50EB2" w14:textId="77777777" w:rsidR="00D26385" w:rsidRPr="009F6D1E" w:rsidRDefault="00D26385" w:rsidP="0084747F">
            <w:pPr>
              <w:spacing w:after="60" w:line="264" w:lineRule="auto"/>
              <w:jc w:val="both"/>
              <w:rPr>
                <w:rFonts w:eastAsia="Calibri" w:cs="Times New Roman"/>
                <w:b/>
                <w:szCs w:val="24"/>
              </w:rPr>
            </w:pPr>
            <w:r w:rsidRPr="009F6D1E">
              <w:rPr>
                <w:rFonts w:eastAsia="Calibri" w:cs="Times New Roman"/>
                <w:b/>
                <w:szCs w:val="24"/>
              </w:rPr>
              <w:t>СМВТ</w:t>
            </w:r>
          </w:p>
        </w:tc>
        <w:tc>
          <w:tcPr>
            <w:tcW w:w="6930" w:type="dxa"/>
            <w:vAlign w:val="center"/>
          </w:tcPr>
          <w:p w14:paraId="3ED1A220" w14:textId="77777777" w:rsidR="00D26385" w:rsidRPr="009F6D1E" w:rsidRDefault="00D26385" w:rsidP="0084747F">
            <w:pPr>
              <w:spacing w:after="60" w:line="264" w:lineRule="auto"/>
              <w:jc w:val="both"/>
              <w:rPr>
                <w:rFonts w:eastAsia="Calibri" w:cs="Times New Roman"/>
                <w:szCs w:val="24"/>
              </w:rPr>
            </w:pPr>
            <w:proofErr w:type="spellStart"/>
            <w:r w:rsidRPr="009F6D1E">
              <w:rPr>
                <w:rFonts w:eastAsia="Calibri" w:cs="Times New Roman"/>
                <w:szCs w:val="24"/>
              </w:rPr>
              <w:t>Силномодифицирани</w:t>
            </w:r>
            <w:proofErr w:type="spellEnd"/>
            <w:r w:rsidRPr="009F6D1E">
              <w:rPr>
                <w:rFonts w:eastAsia="Calibri" w:cs="Times New Roman"/>
                <w:szCs w:val="24"/>
              </w:rPr>
              <w:t xml:space="preserve"> водни тела</w:t>
            </w:r>
          </w:p>
        </w:tc>
      </w:tr>
      <w:tr w:rsidR="002F0BB1" w:rsidRPr="009F6D1E" w14:paraId="192C13B1" w14:textId="77777777" w:rsidTr="00981F7B">
        <w:trPr>
          <w:trHeight w:val="130"/>
          <w:jc w:val="center"/>
        </w:trPr>
        <w:tc>
          <w:tcPr>
            <w:tcW w:w="2031" w:type="dxa"/>
            <w:vAlign w:val="center"/>
          </w:tcPr>
          <w:p w14:paraId="00D3B0F7"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СОЗ</w:t>
            </w:r>
          </w:p>
        </w:tc>
        <w:tc>
          <w:tcPr>
            <w:tcW w:w="6930" w:type="dxa"/>
            <w:vAlign w:val="center"/>
          </w:tcPr>
          <w:p w14:paraId="54389154"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Санитарно охранителни зони</w:t>
            </w:r>
          </w:p>
        </w:tc>
      </w:tr>
      <w:tr w:rsidR="002F0BB1" w:rsidRPr="009F6D1E" w14:paraId="7F9AC57D" w14:textId="77777777" w:rsidTr="00981F7B">
        <w:trPr>
          <w:trHeight w:val="247"/>
          <w:jc w:val="center"/>
        </w:trPr>
        <w:tc>
          <w:tcPr>
            <w:tcW w:w="2031" w:type="dxa"/>
            <w:vAlign w:val="center"/>
          </w:tcPr>
          <w:p w14:paraId="4AFC39E1" w14:textId="77777777" w:rsidR="002F0BB1" w:rsidRPr="009F6D1E" w:rsidRDefault="002F0BB1" w:rsidP="0084747F">
            <w:pPr>
              <w:spacing w:after="60" w:line="264" w:lineRule="auto"/>
              <w:jc w:val="both"/>
              <w:rPr>
                <w:rFonts w:eastAsia="Calibri" w:cs="Times New Roman"/>
                <w:b/>
                <w:szCs w:val="24"/>
              </w:rPr>
            </w:pPr>
            <w:r w:rsidRPr="009F6D1E">
              <w:rPr>
                <w:rFonts w:eastAsia="Calibri" w:cs="Times New Roman"/>
                <w:b/>
                <w:szCs w:val="24"/>
              </w:rPr>
              <w:t>СП</w:t>
            </w:r>
          </w:p>
        </w:tc>
        <w:tc>
          <w:tcPr>
            <w:tcW w:w="6930" w:type="dxa"/>
            <w:vAlign w:val="center"/>
          </w:tcPr>
          <w:p w14:paraId="494538A4" w14:textId="77777777" w:rsidR="002F0BB1" w:rsidRPr="009F6D1E" w:rsidRDefault="002F0BB1" w:rsidP="0084747F">
            <w:pPr>
              <w:spacing w:after="60" w:line="264" w:lineRule="auto"/>
              <w:jc w:val="both"/>
              <w:rPr>
                <w:rFonts w:eastAsia="Calibri" w:cs="Times New Roman"/>
                <w:szCs w:val="24"/>
              </w:rPr>
            </w:pPr>
            <w:r w:rsidRPr="009F6D1E">
              <w:rPr>
                <w:rFonts w:eastAsia="Calibri" w:cs="Times New Roman"/>
                <w:szCs w:val="24"/>
              </w:rPr>
              <w:t>Стратегически план</w:t>
            </w:r>
          </w:p>
        </w:tc>
      </w:tr>
      <w:tr w:rsidR="003A1CB7" w:rsidRPr="009F6D1E" w14:paraId="7CEEDED6" w14:textId="77777777" w:rsidTr="00981F7B">
        <w:trPr>
          <w:trHeight w:val="247"/>
          <w:jc w:val="center"/>
        </w:trPr>
        <w:tc>
          <w:tcPr>
            <w:tcW w:w="2031" w:type="dxa"/>
            <w:vAlign w:val="center"/>
          </w:tcPr>
          <w:p w14:paraId="6F974B69" w14:textId="77777777" w:rsidR="003A1CB7" w:rsidRPr="009F6D1E" w:rsidRDefault="003A1CB7" w:rsidP="0084747F">
            <w:pPr>
              <w:spacing w:after="60" w:line="264" w:lineRule="auto"/>
              <w:jc w:val="both"/>
              <w:rPr>
                <w:rFonts w:eastAsia="Calibri" w:cs="Times New Roman"/>
                <w:b/>
                <w:szCs w:val="24"/>
              </w:rPr>
            </w:pPr>
            <w:r w:rsidRPr="009F6D1E">
              <w:rPr>
                <w:rFonts w:eastAsia="Calibri" w:cs="Times New Roman"/>
                <w:b/>
                <w:szCs w:val="24"/>
              </w:rPr>
              <w:t>СП</w:t>
            </w:r>
            <w:r w:rsidR="00CD4045" w:rsidRPr="009F6D1E">
              <w:rPr>
                <w:rFonts w:eastAsia="Calibri" w:cs="Times New Roman"/>
                <w:b/>
                <w:szCs w:val="24"/>
              </w:rPr>
              <w:t>РЗСР</w:t>
            </w:r>
          </w:p>
        </w:tc>
        <w:tc>
          <w:tcPr>
            <w:tcW w:w="6930" w:type="dxa"/>
            <w:vAlign w:val="center"/>
          </w:tcPr>
          <w:p w14:paraId="1A34F6DB" w14:textId="77777777" w:rsidR="003A1CB7" w:rsidRPr="009F6D1E" w:rsidRDefault="00CD4045" w:rsidP="0084747F">
            <w:pPr>
              <w:spacing w:after="60" w:line="264" w:lineRule="auto"/>
              <w:jc w:val="both"/>
              <w:rPr>
                <w:rFonts w:eastAsia="Calibri" w:cs="Times New Roman"/>
                <w:szCs w:val="24"/>
              </w:rPr>
            </w:pPr>
            <w:r w:rsidRPr="009F6D1E">
              <w:rPr>
                <w:rFonts w:eastAsia="Calibri" w:cs="Times New Roman"/>
                <w:szCs w:val="24"/>
              </w:rPr>
              <w:t xml:space="preserve">Стратегически план </w:t>
            </w:r>
            <w:bookmarkStart w:id="1" w:name="_Hlk107568425"/>
            <w:r w:rsidRPr="009F6D1E">
              <w:rPr>
                <w:rFonts w:eastAsia="Calibri" w:cs="Times New Roman"/>
                <w:szCs w:val="24"/>
              </w:rPr>
              <w:t>за развитие на земеделието и селските райони</w:t>
            </w:r>
            <w:bookmarkEnd w:id="1"/>
          </w:p>
        </w:tc>
      </w:tr>
      <w:tr w:rsidR="004B5067" w:rsidRPr="009F6D1E" w14:paraId="3BF5E73D" w14:textId="77777777" w:rsidTr="00981F7B">
        <w:trPr>
          <w:trHeight w:val="247"/>
          <w:jc w:val="center"/>
        </w:trPr>
        <w:tc>
          <w:tcPr>
            <w:tcW w:w="2031" w:type="dxa"/>
            <w:vAlign w:val="center"/>
          </w:tcPr>
          <w:p w14:paraId="72E7A92E" w14:textId="77777777" w:rsidR="004B5067" w:rsidRPr="009F6D1E" w:rsidRDefault="004B5067" w:rsidP="0084747F">
            <w:pPr>
              <w:spacing w:after="60" w:line="264" w:lineRule="auto"/>
              <w:jc w:val="both"/>
              <w:rPr>
                <w:rFonts w:eastAsia="Calibri" w:cs="Times New Roman"/>
                <w:b/>
                <w:szCs w:val="24"/>
              </w:rPr>
            </w:pPr>
            <w:r w:rsidRPr="009F6D1E">
              <w:rPr>
                <w:rFonts w:eastAsia="Calibri" w:cs="Times New Roman"/>
                <w:b/>
                <w:szCs w:val="24"/>
              </w:rPr>
              <w:t>СПСОВ</w:t>
            </w:r>
          </w:p>
        </w:tc>
        <w:tc>
          <w:tcPr>
            <w:tcW w:w="6930" w:type="dxa"/>
            <w:vAlign w:val="center"/>
          </w:tcPr>
          <w:p w14:paraId="3C524A37" w14:textId="77777777" w:rsidR="004B5067" w:rsidRPr="009F6D1E" w:rsidRDefault="004B5067" w:rsidP="0084747F">
            <w:pPr>
              <w:spacing w:after="60" w:line="264" w:lineRule="auto"/>
              <w:jc w:val="both"/>
              <w:rPr>
                <w:rFonts w:eastAsia="Calibri" w:cs="Times New Roman"/>
                <w:szCs w:val="24"/>
              </w:rPr>
            </w:pPr>
            <w:r w:rsidRPr="009F6D1E">
              <w:rPr>
                <w:rFonts w:eastAsia="Calibri" w:cs="Times New Roman"/>
                <w:szCs w:val="24"/>
              </w:rPr>
              <w:t>Селищна пречиствателна станция за отпадни води</w:t>
            </w:r>
          </w:p>
        </w:tc>
      </w:tr>
      <w:tr w:rsidR="00315464" w:rsidRPr="009F6D1E" w14:paraId="3B4F7A6B" w14:textId="77777777" w:rsidTr="00981F7B">
        <w:trPr>
          <w:trHeight w:val="130"/>
          <w:jc w:val="center"/>
        </w:trPr>
        <w:tc>
          <w:tcPr>
            <w:tcW w:w="2031" w:type="dxa"/>
            <w:tcBorders>
              <w:top w:val="single" w:sz="4" w:space="0" w:color="auto"/>
            </w:tcBorders>
            <w:vAlign w:val="center"/>
          </w:tcPr>
          <w:p w14:paraId="63B4DF08"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ССЗИСС</w:t>
            </w:r>
          </w:p>
        </w:tc>
        <w:tc>
          <w:tcPr>
            <w:tcW w:w="6930" w:type="dxa"/>
            <w:tcBorders>
              <w:top w:val="single" w:sz="4" w:space="0" w:color="auto"/>
            </w:tcBorders>
            <w:vAlign w:val="center"/>
          </w:tcPr>
          <w:p w14:paraId="2CDD27E0"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Система за споделяне на знания и иновации и цифровизация в селското стопанство</w:t>
            </w:r>
          </w:p>
        </w:tc>
      </w:tr>
      <w:tr w:rsidR="00315464" w:rsidRPr="009F6D1E" w14:paraId="47D2E799" w14:textId="77777777" w:rsidTr="00981F7B">
        <w:trPr>
          <w:trHeight w:val="130"/>
          <w:jc w:val="center"/>
        </w:trPr>
        <w:tc>
          <w:tcPr>
            <w:tcW w:w="2031" w:type="dxa"/>
            <w:vAlign w:val="center"/>
          </w:tcPr>
          <w:p w14:paraId="73181DA1"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ССА</w:t>
            </w:r>
          </w:p>
        </w:tc>
        <w:tc>
          <w:tcPr>
            <w:tcW w:w="6930" w:type="dxa"/>
            <w:vAlign w:val="center"/>
          </w:tcPr>
          <w:p w14:paraId="7F35A39E"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Селскостопанска академия</w:t>
            </w:r>
          </w:p>
        </w:tc>
      </w:tr>
      <w:tr w:rsidR="00D26385" w:rsidRPr="009F6D1E" w14:paraId="1504F49D" w14:textId="77777777" w:rsidTr="00981F7B">
        <w:trPr>
          <w:trHeight w:val="130"/>
          <w:jc w:val="center"/>
        </w:trPr>
        <w:tc>
          <w:tcPr>
            <w:tcW w:w="2031" w:type="dxa"/>
            <w:vAlign w:val="center"/>
          </w:tcPr>
          <w:p w14:paraId="010BB486" w14:textId="77777777" w:rsidR="00D26385" w:rsidRPr="009F6D1E" w:rsidRDefault="00D26385" w:rsidP="0084747F">
            <w:pPr>
              <w:spacing w:after="60" w:line="264" w:lineRule="auto"/>
              <w:jc w:val="both"/>
              <w:rPr>
                <w:rFonts w:eastAsia="Calibri" w:cs="Times New Roman"/>
                <w:b/>
                <w:szCs w:val="24"/>
              </w:rPr>
            </w:pPr>
            <w:r w:rsidRPr="009F6D1E">
              <w:rPr>
                <w:rFonts w:eastAsia="Calibri" w:cs="Times New Roman"/>
                <w:b/>
                <w:szCs w:val="24"/>
              </w:rPr>
              <w:t>УРН</w:t>
            </w:r>
          </w:p>
        </w:tc>
        <w:tc>
          <w:tcPr>
            <w:tcW w:w="6930" w:type="dxa"/>
            <w:vAlign w:val="center"/>
          </w:tcPr>
          <w:p w14:paraId="39192749" w14:textId="77777777" w:rsidR="00D26385" w:rsidRPr="009F6D1E" w:rsidRDefault="00D26385" w:rsidP="0084747F">
            <w:pPr>
              <w:spacing w:after="60" w:line="264" w:lineRule="auto"/>
              <w:jc w:val="both"/>
              <w:rPr>
                <w:rFonts w:eastAsia="Calibri" w:cs="Times New Roman"/>
                <w:szCs w:val="24"/>
              </w:rPr>
            </w:pPr>
            <w:r w:rsidRPr="009F6D1E">
              <w:rPr>
                <w:rFonts w:eastAsia="Calibri" w:cs="Times New Roman"/>
                <w:szCs w:val="24"/>
              </w:rPr>
              <w:t>Управление на риска от наводнения</w:t>
            </w:r>
          </w:p>
        </w:tc>
      </w:tr>
      <w:tr w:rsidR="00315464" w:rsidRPr="009F6D1E" w14:paraId="70E40DA3" w14:textId="77777777" w:rsidTr="00981F7B">
        <w:trPr>
          <w:trHeight w:val="130"/>
          <w:jc w:val="center"/>
        </w:trPr>
        <w:tc>
          <w:tcPr>
            <w:tcW w:w="2031" w:type="dxa"/>
            <w:vAlign w:val="center"/>
          </w:tcPr>
          <w:p w14:paraId="7A28E8D9"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ФПЧ</w:t>
            </w:r>
          </w:p>
        </w:tc>
        <w:tc>
          <w:tcPr>
            <w:tcW w:w="6930" w:type="dxa"/>
            <w:vAlign w:val="center"/>
          </w:tcPr>
          <w:p w14:paraId="0E79C76B"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Фини прахови частици</w:t>
            </w:r>
          </w:p>
        </w:tc>
      </w:tr>
      <w:tr w:rsidR="00315464" w:rsidRPr="009F6D1E" w14:paraId="7FC9F92F" w14:textId="77777777" w:rsidTr="00981F7B">
        <w:trPr>
          <w:trHeight w:val="247"/>
          <w:jc w:val="center"/>
        </w:trPr>
        <w:tc>
          <w:tcPr>
            <w:tcW w:w="2031" w:type="dxa"/>
            <w:vAlign w:val="center"/>
          </w:tcPr>
          <w:p w14:paraId="77EC2823"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ХВП</w:t>
            </w:r>
          </w:p>
        </w:tc>
        <w:tc>
          <w:tcPr>
            <w:tcW w:w="6930" w:type="dxa"/>
            <w:vAlign w:val="center"/>
          </w:tcPr>
          <w:p w14:paraId="39CCC5B8"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Хранително вкусова промишленост</w:t>
            </w:r>
          </w:p>
        </w:tc>
      </w:tr>
      <w:tr w:rsidR="00315464" w:rsidRPr="009F6D1E" w14:paraId="28AFDB99" w14:textId="77777777" w:rsidTr="00981F7B">
        <w:trPr>
          <w:trHeight w:val="247"/>
          <w:jc w:val="center"/>
        </w:trPr>
        <w:tc>
          <w:tcPr>
            <w:tcW w:w="2031" w:type="dxa"/>
            <w:vAlign w:val="center"/>
          </w:tcPr>
          <w:p w14:paraId="02697C02" w14:textId="77777777" w:rsidR="00315464" w:rsidRPr="009F6D1E" w:rsidRDefault="00315464" w:rsidP="0084747F">
            <w:pPr>
              <w:spacing w:after="60" w:line="264" w:lineRule="auto"/>
              <w:jc w:val="both"/>
              <w:rPr>
                <w:rFonts w:eastAsia="Calibri" w:cs="Times New Roman"/>
                <w:b/>
                <w:szCs w:val="24"/>
              </w:rPr>
            </w:pPr>
            <w:r w:rsidRPr="009F6D1E">
              <w:rPr>
                <w:rFonts w:eastAsia="Calibri" w:cs="Times New Roman"/>
                <w:b/>
                <w:szCs w:val="24"/>
              </w:rPr>
              <w:t>ХКП</w:t>
            </w:r>
          </w:p>
        </w:tc>
        <w:tc>
          <w:tcPr>
            <w:tcW w:w="6930" w:type="dxa"/>
            <w:vAlign w:val="center"/>
          </w:tcPr>
          <w:p w14:paraId="23C71CFD" w14:textId="77777777" w:rsidR="00315464" w:rsidRPr="009F6D1E" w:rsidRDefault="00315464" w:rsidP="0084747F">
            <w:pPr>
              <w:spacing w:after="60" w:line="264" w:lineRule="auto"/>
              <w:jc w:val="both"/>
              <w:rPr>
                <w:rFonts w:eastAsia="Calibri" w:cs="Times New Roman"/>
                <w:szCs w:val="24"/>
              </w:rPr>
            </w:pPr>
            <w:r w:rsidRPr="009F6D1E">
              <w:rPr>
                <w:rFonts w:eastAsia="Calibri" w:cs="Times New Roman"/>
                <w:szCs w:val="24"/>
              </w:rPr>
              <w:t>Химична потребност от кислород</w:t>
            </w:r>
          </w:p>
        </w:tc>
      </w:tr>
      <w:tr w:rsidR="004B5067" w:rsidRPr="009F6D1E" w14:paraId="776BA050" w14:textId="77777777" w:rsidTr="00981F7B">
        <w:trPr>
          <w:trHeight w:val="247"/>
          <w:jc w:val="center"/>
        </w:trPr>
        <w:tc>
          <w:tcPr>
            <w:tcW w:w="2031" w:type="dxa"/>
            <w:vAlign w:val="center"/>
          </w:tcPr>
          <w:p w14:paraId="7D884436" w14:textId="77777777" w:rsidR="004B5067" w:rsidRPr="009F6D1E" w:rsidRDefault="004B5067" w:rsidP="0084747F">
            <w:pPr>
              <w:spacing w:after="60" w:line="264" w:lineRule="auto"/>
              <w:jc w:val="both"/>
              <w:rPr>
                <w:rFonts w:eastAsia="Calibri" w:cs="Times New Roman"/>
                <w:b/>
                <w:szCs w:val="24"/>
              </w:rPr>
            </w:pPr>
            <w:r w:rsidRPr="009F6D1E">
              <w:rPr>
                <w:rFonts w:eastAsia="Calibri" w:cs="Times New Roman"/>
                <w:b/>
                <w:szCs w:val="24"/>
              </w:rPr>
              <w:t>ЧБРУ</w:t>
            </w:r>
          </w:p>
        </w:tc>
        <w:tc>
          <w:tcPr>
            <w:tcW w:w="6930" w:type="dxa"/>
            <w:vAlign w:val="center"/>
          </w:tcPr>
          <w:p w14:paraId="6FADBE54" w14:textId="77777777" w:rsidR="004B5067" w:rsidRPr="009F6D1E" w:rsidRDefault="004B5067" w:rsidP="0084747F">
            <w:pPr>
              <w:spacing w:after="60" w:line="264" w:lineRule="auto"/>
              <w:jc w:val="both"/>
              <w:rPr>
                <w:rFonts w:eastAsia="Calibri" w:cs="Times New Roman"/>
                <w:szCs w:val="24"/>
              </w:rPr>
            </w:pPr>
            <w:r w:rsidRPr="009F6D1E">
              <w:rPr>
                <w:rFonts w:eastAsia="Calibri" w:cs="Times New Roman"/>
                <w:szCs w:val="24"/>
              </w:rPr>
              <w:t>Черноморски басейнов район на управление</w:t>
            </w:r>
          </w:p>
        </w:tc>
      </w:tr>
    </w:tbl>
    <w:p w14:paraId="76F20A61" w14:textId="77777777" w:rsidR="00315464" w:rsidRPr="009F6D1E" w:rsidRDefault="00315464" w:rsidP="0084747F">
      <w:pPr>
        <w:spacing w:after="60" w:line="264" w:lineRule="auto"/>
        <w:contextualSpacing/>
        <w:jc w:val="both"/>
        <w:rPr>
          <w:rFonts w:eastAsia="Calibri" w:cs="Times New Roman"/>
          <w:b/>
          <w:bCs/>
          <w:i/>
          <w:iCs/>
          <w:szCs w:val="24"/>
        </w:rPr>
      </w:pPr>
    </w:p>
    <w:p w14:paraId="3E852C0A" w14:textId="77777777" w:rsidR="00315464" w:rsidRPr="009F6D1E" w:rsidRDefault="00315464" w:rsidP="0084747F">
      <w:pPr>
        <w:spacing w:after="60" w:line="264" w:lineRule="auto"/>
        <w:contextualSpacing/>
        <w:jc w:val="both"/>
        <w:rPr>
          <w:rFonts w:eastAsia="Calibri" w:cs="Times New Roman"/>
          <w:b/>
          <w:bCs/>
          <w:i/>
          <w:iCs/>
          <w:szCs w:val="24"/>
        </w:rPr>
      </w:pPr>
    </w:p>
    <w:p w14:paraId="15F75EC4" w14:textId="77777777" w:rsidR="00D14FFB" w:rsidRPr="009F6D1E" w:rsidRDefault="00D14FFB" w:rsidP="0084747F">
      <w:pPr>
        <w:spacing w:after="60" w:line="264" w:lineRule="auto"/>
        <w:contextualSpacing/>
        <w:jc w:val="both"/>
        <w:rPr>
          <w:rFonts w:eastAsia="Calibri" w:cs="Times New Roman"/>
          <w:b/>
          <w:bCs/>
          <w:i/>
          <w:iCs/>
          <w:szCs w:val="24"/>
        </w:rPr>
      </w:pPr>
    </w:p>
    <w:p w14:paraId="4DFB4498" w14:textId="77777777" w:rsidR="00D14FFB" w:rsidRPr="009F6D1E" w:rsidRDefault="00D14FFB" w:rsidP="0084747F">
      <w:pPr>
        <w:spacing w:after="60" w:line="264" w:lineRule="auto"/>
        <w:contextualSpacing/>
        <w:jc w:val="both"/>
        <w:rPr>
          <w:rFonts w:eastAsia="Calibri" w:cs="Times New Roman"/>
          <w:b/>
          <w:bCs/>
          <w:i/>
          <w:iCs/>
          <w:szCs w:val="24"/>
        </w:rPr>
      </w:pPr>
    </w:p>
    <w:p w14:paraId="3B834852" w14:textId="77777777" w:rsidR="00D14FFB" w:rsidRPr="009F6D1E" w:rsidRDefault="00D14FFB" w:rsidP="0084747F">
      <w:pPr>
        <w:spacing w:after="60" w:line="264" w:lineRule="auto"/>
        <w:contextualSpacing/>
        <w:jc w:val="both"/>
        <w:rPr>
          <w:rFonts w:eastAsia="Calibri" w:cs="Times New Roman"/>
          <w:b/>
          <w:bCs/>
          <w:i/>
          <w:iCs/>
          <w:szCs w:val="24"/>
        </w:rPr>
      </w:pPr>
    </w:p>
    <w:p w14:paraId="367A481B" w14:textId="77777777" w:rsidR="00D14FFB" w:rsidRPr="009F6D1E" w:rsidRDefault="00D14FFB" w:rsidP="0084747F">
      <w:pPr>
        <w:spacing w:after="60" w:line="264" w:lineRule="auto"/>
        <w:contextualSpacing/>
        <w:jc w:val="both"/>
        <w:rPr>
          <w:rFonts w:eastAsia="Calibri" w:cs="Times New Roman"/>
          <w:b/>
          <w:bCs/>
          <w:i/>
          <w:iCs/>
          <w:szCs w:val="24"/>
        </w:rPr>
      </w:pPr>
    </w:p>
    <w:p w14:paraId="0C2D173E" w14:textId="77777777" w:rsidR="00D14FFB" w:rsidRPr="009F6D1E" w:rsidRDefault="00D14FFB" w:rsidP="0084747F">
      <w:pPr>
        <w:spacing w:after="60" w:line="264" w:lineRule="auto"/>
        <w:contextualSpacing/>
        <w:jc w:val="both"/>
        <w:rPr>
          <w:rFonts w:eastAsia="Calibri" w:cs="Times New Roman"/>
          <w:b/>
          <w:bCs/>
          <w:i/>
          <w:iCs/>
          <w:szCs w:val="24"/>
        </w:rPr>
      </w:pPr>
    </w:p>
    <w:p w14:paraId="38E15A6C" w14:textId="77777777" w:rsidR="00D14FFB" w:rsidRPr="009F6D1E" w:rsidRDefault="00D14FFB" w:rsidP="0084747F">
      <w:pPr>
        <w:spacing w:after="60" w:line="264" w:lineRule="auto"/>
        <w:contextualSpacing/>
        <w:jc w:val="both"/>
        <w:rPr>
          <w:rFonts w:eastAsia="Calibri" w:cs="Times New Roman"/>
          <w:b/>
          <w:bCs/>
          <w:i/>
          <w:iCs/>
          <w:szCs w:val="24"/>
        </w:rPr>
      </w:pPr>
    </w:p>
    <w:p w14:paraId="3856C437" w14:textId="77777777" w:rsidR="00D14FFB" w:rsidRPr="009F6D1E" w:rsidRDefault="00D14FFB" w:rsidP="0084747F">
      <w:pPr>
        <w:spacing w:after="60" w:line="264" w:lineRule="auto"/>
        <w:contextualSpacing/>
        <w:jc w:val="both"/>
        <w:rPr>
          <w:rFonts w:eastAsia="Calibri" w:cs="Times New Roman"/>
          <w:b/>
          <w:bCs/>
          <w:i/>
          <w:iCs/>
          <w:szCs w:val="24"/>
        </w:rPr>
      </w:pPr>
    </w:p>
    <w:p w14:paraId="73B249CB" w14:textId="77777777" w:rsidR="00D14FFB" w:rsidRPr="009F6D1E" w:rsidRDefault="00D14FFB" w:rsidP="0084747F">
      <w:pPr>
        <w:spacing w:after="60" w:line="264" w:lineRule="auto"/>
        <w:contextualSpacing/>
        <w:jc w:val="both"/>
        <w:rPr>
          <w:rFonts w:eastAsia="Calibri" w:cs="Times New Roman"/>
          <w:b/>
          <w:bCs/>
          <w:i/>
          <w:iCs/>
          <w:szCs w:val="24"/>
        </w:rPr>
      </w:pPr>
    </w:p>
    <w:p w14:paraId="19C5EC75" w14:textId="77777777" w:rsidR="00D14FFB" w:rsidRPr="009F6D1E" w:rsidRDefault="00D14FFB" w:rsidP="0084747F">
      <w:pPr>
        <w:spacing w:after="60" w:line="264" w:lineRule="auto"/>
        <w:contextualSpacing/>
        <w:jc w:val="both"/>
        <w:rPr>
          <w:rFonts w:eastAsia="Calibri" w:cs="Times New Roman"/>
          <w:b/>
          <w:bCs/>
          <w:i/>
          <w:iCs/>
          <w:szCs w:val="24"/>
        </w:rPr>
      </w:pPr>
    </w:p>
    <w:p w14:paraId="590CF3C8" w14:textId="77777777" w:rsidR="00D14FFB" w:rsidRPr="009F6D1E" w:rsidRDefault="00D14FFB" w:rsidP="0084747F">
      <w:pPr>
        <w:spacing w:after="60" w:line="264" w:lineRule="auto"/>
        <w:contextualSpacing/>
        <w:jc w:val="both"/>
        <w:rPr>
          <w:rFonts w:eastAsia="Calibri" w:cs="Times New Roman"/>
          <w:b/>
          <w:bCs/>
          <w:i/>
          <w:iCs/>
          <w:szCs w:val="24"/>
        </w:rPr>
      </w:pPr>
    </w:p>
    <w:p w14:paraId="60F13119" w14:textId="5AB5AE6E" w:rsidR="00D14FFB" w:rsidRDefault="00D14FFB" w:rsidP="0084747F">
      <w:pPr>
        <w:spacing w:after="60" w:line="264" w:lineRule="auto"/>
        <w:contextualSpacing/>
        <w:jc w:val="both"/>
        <w:rPr>
          <w:rFonts w:eastAsia="Calibri" w:cs="Times New Roman"/>
          <w:b/>
          <w:bCs/>
          <w:i/>
          <w:iCs/>
          <w:szCs w:val="24"/>
        </w:rPr>
      </w:pPr>
    </w:p>
    <w:p w14:paraId="06F19F83" w14:textId="6CB81689" w:rsidR="00371700" w:rsidRDefault="00371700" w:rsidP="0084747F">
      <w:pPr>
        <w:spacing w:after="60" w:line="264" w:lineRule="auto"/>
        <w:contextualSpacing/>
        <w:jc w:val="both"/>
        <w:rPr>
          <w:rFonts w:eastAsia="Calibri" w:cs="Times New Roman"/>
          <w:b/>
          <w:bCs/>
          <w:i/>
          <w:iCs/>
          <w:szCs w:val="24"/>
        </w:rPr>
      </w:pPr>
    </w:p>
    <w:p w14:paraId="6D457B7B" w14:textId="77777777" w:rsidR="002E17EB" w:rsidRDefault="002E17EB" w:rsidP="0084747F">
      <w:pPr>
        <w:spacing w:after="60" w:line="264" w:lineRule="auto"/>
        <w:contextualSpacing/>
        <w:jc w:val="both"/>
        <w:rPr>
          <w:rFonts w:eastAsia="Calibri" w:cs="Times New Roman"/>
          <w:b/>
          <w:bCs/>
          <w:i/>
          <w:iCs/>
          <w:szCs w:val="24"/>
        </w:rPr>
      </w:pPr>
    </w:p>
    <w:p w14:paraId="36FB7313" w14:textId="77777777" w:rsidR="00371700" w:rsidRPr="009F6D1E" w:rsidRDefault="00371700" w:rsidP="0084747F">
      <w:pPr>
        <w:spacing w:after="60" w:line="264" w:lineRule="auto"/>
        <w:contextualSpacing/>
        <w:jc w:val="both"/>
        <w:rPr>
          <w:rFonts w:eastAsia="Calibri" w:cs="Times New Roman"/>
          <w:b/>
          <w:bCs/>
          <w:i/>
          <w:iCs/>
          <w:szCs w:val="24"/>
        </w:rPr>
      </w:pPr>
    </w:p>
    <w:p w14:paraId="1FF56613" w14:textId="77777777" w:rsidR="00D14FFB" w:rsidRPr="009F6D1E" w:rsidRDefault="00D14FFB" w:rsidP="0084747F">
      <w:pPr>
        <w:spacing w:after="60" w:line="264" w:lineRule="auto"/>
        <w:contextualSpacing/>
        <w:jc w:val="both"/>
        <w:rPr>
          <w:rFonts w:eastAsia="Calibri" w:cs="Times New Roman"/>
          <w:b/>
          <w:bCs/>
          <w:i/>
          <w:iCs/>
          <w:szCs w:val="24"/>
        </w:rPr>
      </w:pPr>
    </w:p>
    <w:p w14:paraId="5470271B" w14:textId="77777777" w:rsidR="005660CA" w:rsidRPr="009F6D1E" w:rsidRDefault="005660CA" w:rsidP="00D02E9D">
      <w:pPr>
        <w:pStyle w:val="Heading1"/>
        <w:numPr>
          <w:ilvl w:val="0"/>
          <w:numId w:val="23"/>
        </w:numPr>
        <w:shd w:val="clear" w:color="auto" w:fill="DBDBDB" w:themeFill="accent3" w:themeFillTint="66"/>
        <w:tabs>
          <w:tab w:val="clear" w:pos="742"/>
        </w:tabs>
        <w:spacing w:before="0" w:after="60" w:line="264" w:lineRule="auto"/>
        <w:ind w:left="0" w:firstLine="0"/>
        <w:rPr>
          <w:sz w:val="24"/>
          <w:szCs w:val="24"/>
        </w:rPr>
      </w:pPr>
      <w:bookmarkStart w:id="2" w:name="_Toc45192999"/>
      <w:bookmarkStart w:id="3" w:name="_Toc89268290"/>
      <w:bookmarkStart w:id="4" w:name="_Toc97639495"/>
      <w:bookmarkStart w:id="5" w:name="_Toc115254979"/>
      <w:r w:rsidRPr="009F6D1E">
        <w:rPr>
          <w:sz w:val="24"/>
          <w:szCs w:val="24"/>
        </w:rPr>
        <w:lastRenderedPageBreak/>
        <w:t>ВЪВЕДЕНИЕ</w:t>
      </w:r>
      <w:bookmarkEnd w:id="2"/>
      <w:bookmarkEnd w:id="3"/>
      <w:bookmarkEnd w:id="4"/>
      <w:bookmarkEnd w:id="5"/>
    </w:p>
    <w:p w14:paraId="6D99264D" w14:textId="77777777" w:rsidR="005660CA" w:rsidRPr="009F6D1E" w:rsidRDefault="005660CA" w:rsidP="0084747F">
      <w:pPr>
        <w:spacing w:after="60" w:line="264" w:lineRule="auto"/>
        <w:rPr>
          <w:rFonts w:cs="Times New Roman"/>
          <w:lang w:bidi="bg-BG"/>
        </w:rPr>
      </w:pPr>
    </w:p>
    <w:p w14:paraId="275F3C9A" w14:textId="77777777" w:rsidR="005660CA" w:rsidRPr="009F6D1E" w:rsidRDefault="009720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6" w:name="_Toc89268291"/>
      <w:r w:rsidRPr="009F6D1E">
        <w:rPr>
          <w:rFonts w:eastAsia="Times New Roman"/>
          <w:b/>
          <w:i/>
          <w:lang w:val="bg-BG"/>
        </w:rPr>
        <w:t xml:space="preserve"> </w:t>
      </w:r>
      <w:bookmarkStart w:id="7" w:name="_Toc97639496"/>
      <w:bookmarkStart w:id="8" w:name="_Toc115254980"/>
      <w:r w:rsidR="005660CA" w:rsidRPr="009F6D1E">
        <w:rPr>
          <w:rFonts w:eastAsia="Times New Roman"/>
          <w:b/>
          <w:i/>
          <w:lang w:val="bg-BG"/>
        </w:rPr>
        <w:t>Обща информация</w:t>
      </w:r>
      <w:bookmarkEnd w:id="6"/>
      <w:bookmarkEnd w:id="7"/>
      <w:bookmarkEnd w:id="8"/>
    </w:p>
    <w:p w14:paraId="0BA4B7B1" w14:textId="77777777" w:rsidR="005660CA" w:rsidRPr="009F6D1E" w:rsidRDefault="005660CA" w:rsidP="0084747F">
      <w:pPr>
        <w:pStyle w:val="22"/>
        <w:shd w:val="clear" w:color="auto" w:fill="auto"/>
        <w:spacing w:before="0" w:after="60" w:line="264" w:lineRule="auto"/>
        <w:ind w:right="26" w:firstLine="720"/>
        <w:rPr>
          <w:rFonts w:eastAsia="Calibri"/>
          <w:szCs w:val="24"/>
        </w:rPr>
      </w:pPr>
    </w:p>
    <w:p w14:paraId="4927A950" w14:textId="77777777" w:rsidR="00FE3E28" w:rsidRPr="009F6D1E" w:rsidRDefault="00EB1A9F" w:rsidP="0084747F">
      <w:pPr>
        <w:pStyle w:val="22"/>
        <w:shd w:val="clear" w:color="auto" w:fill="auto"/>
        <w:spacing w:before="0" w:after="60" w:line="264" w:lineRule="auto"/>
        <w:ind w:right="26" w:firstLine="720"/>
        <w:rPr>
          <w:rFonts w:eastAsia="Calibri"/>
          <w:szCs w:val="24"/>
        </w:rPr>
      </w:pPr>
      <w:r w:rsidRPr="009F6D1E">
        <w:rPr>
          <w:szCs w:val="24"/>
        </w:rPr>
        <w:t>С</w:t>
      </w:r>
      <w:r w:rsidR="007A1E47" w:rsidRPr="009F6D1E">
        <w:rPr>
          <w:szCs w:val="24"/>
        </w:rPr>
        <w:t xml:space="preserve">ъгласно чл. 2, ал. 1 т. 1 от Наредбата  за условията за реда за извършване на  екологична оценка на планове и програми (Наредбата за ЕО), извършването на ЕО е задължително за плановете и програмите, които се изискват по чл. 85, ал. 1 от ЗООС, каквато именно е и </w:t>
      </w:r>
      <w:r w:rsidR="00D809BC" w:rsidRPr="009F6D1E">
        <w:rPr>
          <w:szCs w:val="24"/>
        </w:rPr>
        <w:t>РЗСР</w:t>
      </w:r>
      <w:r w:rsidR="007A1E47" w:rsidRPr="009F6D1E">
        <w:rPr>
          <w:szCs w:val="24"/>
        </w:rPr>
        <w:t xml:space="preserve"> 202</w:t>
      </w:r>
      <w:r w:rsidR="00FE3E28" w:rsidRPr="009F6D1E">
        <w:rPr>
          <w:szCs w:val="24"/>
        </w:rPr>
        <w:t>3</w:t>
      </w:r>
      <w:r w:rsidR="007A1E47" w:rsidRPr="009F6D1E">
        <w:rPr>
          <w:szCs w:val="24"/>
        </w:rPr>
        <w:t xml:space="preserve">-2027г. </w:t>
      </w:r>
      <w:r w:rsidR="00FE3E28" w:rsidRPr="009F6D1E">
        <w:rPr>
          <w:szCs w:val="24"/>
        </w:rPr>
        <w:t xml:space="preserve">Предвид това с писмо </w:t>
      </w:r>
      <w:bookmarkStart w:id="9" w:name="_Hlk95920445"/>
      <w:r w:rsidR="00FE3E28" w:rsidRPr="009F6D1E">
        <w:rPr>
          <w:rFonts w:eastAsia="Calibri"/>
          <w:szCs w:val="24"/>
        </w:rPr>
        <w:t>изх. № ЕО-1/04.10.2021 г.</w:t>
      </w:r>
      <w:bookmarkEnd w:id="9"/>
      <w:r w:rsidR="00FE3E28" w:rsidRPr="009F6D1E">
        <w:rPr>
          <w:rFonts w:eastAsia="Calibri"/>
          <w:szCs w:val="24"/>
        </w:rPr>
        <w:t xml:space="preserve"> Министърът на околната среда и водите е определил да се извърши задължителна екологична оценка на проекта на </w:t>
      </w:r>
      <w:r w:rsidR="00D809BC" w:rsidRPr="009F6D1E">
        <w:rPr>
          <w:rFonts w:eastAsia="Calibri"/>
          <w:szCs w:val="24"/>
        </w:rPr>
        <w:t>РЗСР</w:t>
      </w:r>
      <w:r w:rsidR="00FE3E28" w:rsidRPr="009F6D1E">
        <w:rPr>
          <w:rFonts w:eastAsia="Calibri"/>
          <w:szCs w:val="24"/>
        </w:rPr>
        <w:t xml:space="preserve"> 2023 – 2027 г. Със същото писмо</w:t>
      </w:r>
      <w:r w:rsidR="00FE3E28" w:rsidRPr="009F6D1E">
        <w:rPr>
          <w:szCs w:val="24"/>
          <w:lang w:eastAsia="bg-BG" w:bidi="bg-BG"/>
        </w:rPr>
        <w:t>, на основание чл. 36, ал. 3 от Наредбата за ОС, въз основа на критериите по чл. 16 от същата</w:t>
      </w:r>
      <w:r w:rsidR="003A1CB7" w:rsidRPr="009F6D1E">
        <w:rPr>
          <w:szCs w:val="24"/>
          <w:lang w:eastAsia="bg-BG" w:bidi="bg-BG"/>
        </w:rPr>
        <w:t>,</w:t>
      </w:r>
      <w:r w:rsidR="00FE3E28" w:rsidRPr="009F6D1E">
        <w:rPr>
          <w:szCs w:val="24"/>
          <w:lang w:eastAsia="bg-BG" w:bidi="bg-BG"/>
        </w:rPr>
        <w:t xml:space="preserve"> е направена преценка за вероятната степен на отрицателно въздействие, съгласно която проекта на </w:t>
      </w:r>
      <w:r w:rsidR="00FE3E28" w:rsidRPr="009F6D1E">
        <w:rPr>
          <w:i/>
          <w:iCs/>
          <w:szCs w:val="24"/>
          <w:lang w:eastAsia="bg-BG" w:bidi="bg-BG"/>
        </w:rPr>
        <w:t>Стратегически план</w:t>
      </w:r>
      <w:r w:rsidR="00FE3E28" w:rsidRPr="009F6D1E">
        <w:rPr>
          <w:b/>
          <w:bCs/>
          <w:i/>
          <w:szCs w:val="24"/>
        </w:rPr>
        <w:t xml:space="preserve"> </w:t>
      </w:r>
      <w:r w:rsidR="00FE3E28" w:rsidRPr="009F6D1E">
        <w:rPr>
          <w:bCs/>
          <w:i/>
          <w:szCs w:val="24"/>
        </w:rPr>
        <w:t xml:space="preserve">по </w:t>
      </w:r>
      <w:r w:rsidR="00D809BC" w:rsidRPr="009F6D1E">
        <w:rPr>
          <w:bCs/>
          <w:i/>
          <w:szCs w:val="24"/>
        </w:rPr>
        <w:t>РЗСР</w:t>
      </w:r>
      <w:r w:rsidR="00FE3E28" w:rsidRPr="009F6D1E">
        <w:rPr>
          <w:bCs/>
          <w:i/>
          <w:szCs w:val="24"/>
        </w:rPr>
        <w:t xml:space="preserve"> за периода</w:t>
      </w:r>
      <w:r w:rsidR="00FE3E28" w:rsidRPr="009F6D1E">
        <w:rPr>
          <w:b/>
          <w:bCs/>
          <w:i/>
          <w:szCs w:val="24"/>
        </w:rPr>
        <w:t xml:space="preserve"> </w:t>
      </w:r>
      <w:r w:rsidR="00FE3E28" w:rsidRPr="009F6D1E">
        <w:rPr>
          <w:i/>
          <w:szCs w:val="24"/>
        </w:rPr>
        <w:t xml:space="preserve">2023-2027 </w:t>
      </w:r>
      <w:r w:rsidR="00FE3E28" w:rsidRPr="009F6D1E">
        <w:rPr>
          <w:b/>
          <w:szCs w:val="24"/>
          <w:lang w:eastAsia="bg-BG" w:bidi="bg-BG"/>
        </w:rPr>
        <w:t xml:space="preserve">има вероятност да окаже значително отрицателно въздействие </w:t>
      </w:r>
      <w:r w:rsidR="00FE3E28" w:rsidRPr="009F6D1E">
        <w:rPr>
          <w:szCs w:val="24"/>
          <w:lang w:eastAsia="bg-BG" w:bidi="bg-BG"/>
        </w:rPr>
        <w:t>върху природни местообитания, популации и местообитания на видове, предмет на опазване в защитени зони от екологичната мрежа Натура 2000, поради следните мотиви:</w:t>
      </w:r>
    </w:p>
    <w:p w14:paraId="11973BC1" w14:textId="77777777" w:rsidR="005660CA" w:rsidRPr="009F6D1E" w:rsidRDefault="005660C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Стратегическият план за развитието на земеделието и селските райони (2023-2027 г.) е основен програмен документ, разработен в съответствие с Предложение за Регламент на Европейския парламент и на Съвета за установяване на правила за подпомагане на стратегическите планове, които трябва да бъдат изготвени от държавите членки по линия на </w:t>
      </w:r>
      <w:r w:rsidR="00D809BC" w:rsidRPr="009F6D1E">
        <w:rPr>
          <w:rFonts w:eastAsia="Times New Roman" w:cs="Times New Roman"/>
          <w:szCs w:val="24"/>
          <w:lang w:eastAsia="bg-BG" w:bidi="bg-BG"/>
        </w:rPr>
        <w:t>РЗСР</w:t>
      </w:r>
      <w:r w:rsidRPr="009F6D1E">
        <w:rPr>
          <w:rFonts w:eastAsia="Times New Roman" w:cs="Times New Roman"/>
          <w:szCs w:val="24"/>
          <w:lang w:eastAsia="bg-BG" w:bidi="bg-BG"/>
        </w:rPr>
        <w:t xml:space="preserve">. Стратегическият план по своята същност съдържа основните цели и насоки на </w:t>
      </w:r>
      <w:r w:rsidR="00D809BC" w:rsidRPr="009F6D1E">
        <w:rPr>
          <w:rFonts w:eastAsia="Times New Roman" w:cs="Times New Roman"/>
          <w:szCs w:val="24"/>
          <w:lang w:eastAsia="bg-BG" w:bidi="bg-BG"/>
        </w:rPr>
        <w:t>РЗСР</w:t>
      </w:r>
      <w:r w:rsidRPr="009F6D1E">
        <w:rPr>
          <w:rFonts w:eastAsia="Times New Roman" w:cs="Times New Roman"/>
          <w:szCs w:val="24"/>
          <w:lang w:eastAsia="bg-BG" w:bidi="bg-BG"/>
        </w:rPr>
        <w:t xml:space="preserve"> на национално ниво. Постигането на тези цели предполага реализация на множество планове, програми, проекти и инвестиционни предложения с възможни преки и косвени отрицателни въздействия върху защитени зони за опазване на природните местообитания и на дивата флора и фауна и за опазване на дивите птици, както следва:</w:t>
      </w:r>
    </w:p>
    <w:p w14:paraId="71DC1ED9"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увреждане, унищожаване и загуба на природни местообитания и местообитания на видове, включително птици, предмет на опазване в защитените зони, в резултат от изпълнението на настоящите дейности по програмата и бъдещите интервенции (съхраняване на ландшафта и подобряване на благоприятния статус на пасищата; поддържане на подходящ баланс на земеделските площи според вида на </w:t>
      </w:r>
      <w:proofErr w:type="spellStart"/>
      <w:r w:rsidRPr="009F6D1E">
        <w:rPr>
          <w:rFonts w:eastAsia="Times New Roman"/>
          <w:lang w:val="bg-BG" w:eastAsia="bg-BG" w:bidi="bg-BG"/>
        </w:rPr>
        <w:t>земеползване</w:t>
      </w:r>
      <w:proofErr w:type="spellEnd"/>
      <w:r w:rsidRPr="009F6D1E">
        <w:rPr>
          <w:rFonts w:eastAsia="Times New Roman"/>
          <w:lang w:val="bg-BG" w:eastAsia="bg-BG" w:bidi="bg-BG"/>
        </w:rPr>
        <w:t xml:space="preserve">; насърчаване на практики за справяне с генетична ерозия и неместни видове - инвазивни и чужди видове; подобряване на </w:t>
      </w:r>
      <w:proofErr w:type="spellStart"/>
      <w:r w:rsidRPr="009F6D1E">
        <w:rPr>
          <w:rFonts w:eastAsia="Times New Roman"/>
          <w:lang w:val="bg-BG" w:eastAsia="bg-BG" w:bidi="bg-BG"/>
        </w:rPr>
        <w:t>биоразнообразиего</w:t>
      </w:r>
      <w:proofErr w:type="spellEnd"/>
      <w:r w:rsidRPr="009F6D1E">
        <w:rPr>
          <w:rFonts w:eastAsia="Times New Roman"/>
          <w:lang w:val="bg-BG" w:eastAsia="bg-BG" w:bidi="bg-BG"/>
        </w:rPr>
        <w:t xml:space="preserve"> в горите; намаляване на емисиите на парникови газове от селското стопанство; увеличаване на органичния въглерод в почвата; увеличаване </w:t>
      </w:r>
      <w:r w:rsidR="005D412C" w:rsidRPr="009F6D1E">
        <w:rPr>
          <w:rFonts w:eastAsia="Times New Roman"/>
          <w:lang w:val="bg-BG" w:eastAsia="bg-BG" w:bidi="bg-BG"/>
        </w:rPr>
        <w:t>н</w:t>
      </w:r>
      <w:r w:rsidRPr="009F6D1E">
        <w:rPr>
          <w:rFonts w:eastAsia="Times New Roman"/>
          <w:lang w:val="bg-BG" w:eastAsia="bg-BG" w:bidi="bg-BG"/>
        </w:rPr>
        <w:t>а производството на енергия от възобновяеми източници от селското стопанство; селекция на култури и разработване на култури, приспособими към климата; намаляване на емисиите от амоняк във въздуха; ефективно оползотворяване на биомаса с животински произход; устойчива употреба на препарати за растителна защита, минерални и органични торове; подобряване на публичната инфраструктура и технико-комуникационните системи в селските райони; стимулиране на нови производства в областта на биоикономиката и кръговата икономика и др.);</w:t>
      </w:r>
    </w:p>
    <w:p w14:paraId="24984C77"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фрагментация на </w:t>
      </w:r>
      <w:r w:rsidR="005D412C" w:rsidRPr="009F6D1E">
        <w:rPr>
          <w:rFonts w:eastAsia="Times New Roman"/>
          <w:lang w:val="bg-BG" w:eastAsia="bg-BG" w:bidi="bg-BG"/>
        </w:rPr>
        <w:t>п</w:t>
      </w:r>
      <w:r w:rsidRPr="009F6D1E">
        <w:rPr>
          <w:rFonts w:eastAsia="Times New Roman"/>
          <w:lang w:val="bg-BG" w:eastAsia="bg-BG" w:bidi="bg-BG"/>
        </w:rPr>
        <w:t xml:space="preserve">риродни местообитания и местообитания на видове или </w:t>
      </w:r>
      <w:r w:rsidRPr="009F6D1E">
        <w:rPr>
          <w:rFonts w:eastAsia="Times New Roman"/>
          <w:lang w:val="bg-BG" w:eastAsia="bg-BG" w:bidi="bg-BG"/>
        </w:rPr>
        <w:lastRenderedPageBreak/>
        <w:t>популацията на видовете, предмет на опазване в защитените зони, от реализирането на интервенциите;</w:t>
      </w:r>
    </w:p>
    <w:p w14:paraId="01BA3EC9"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трансформация на природни местообитания и местообитания на видове, включително птици, поради навлизане на неместни видове - инвазивни и чужди видове;</w:t>
      </w:r>
    </w:p>
    <w:p w14:paraId="6107586B"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трайна промяна на ключови елементи на защитените зони, както и на ландшафта;</w:t>
      </w:r>
    </w:p>
    <w:p w14:paraId="71D7F1F0"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промяна на природозащитно състояние на местообитания: загуба/влошаване на природни местообитания к местообитания на видове;</w:t>
      </w:r>
    </w:p>
    <w:p w14:paraId="046978B4"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различно по продължителност и интензитет безпокойство на опазваните животни при изпълнението на интервенциите, изразяващо се в прогонването от местообитанията им;</w:t>
      </w:r>
      <w:r w:rsidRPr="009F6D1E">
        <w:rPr>
          <w:rFonts w:eastAsia="Times New Roman"/>
          <w:lang w:val="bg-BG" w:eastAsia="bg-BG" w:bidi="bg-BG"/>
        </w:rPr>
        <w:tab/>
        <w:t>‘</w:t>
      </w:r>
    </w:p>
    <w:p w14:paraId="5D485640"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промени във видовия състав, числеността .и структурата на популациите на опазваните видове (растения и животни), както поради пряко унищожаване на екземпляри, така и косвено поради изменения в местообитанията им;</w:t>
      </w:r>
    </w:p>
    <w:p w14:paraId="3B21AC51"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на засегнатите местообитания и видове;</w:t>
      </w:r>
    </w:p>
    <w:p w14:paraId="15DC7BD1" w14:textId="77777777" w:rsidR="005660CA" w:rsidRPr="009F6D1E" w:rsidRDefault="005660CA"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бариерен ефект при различни типове миграционни придвижвания (хранителни, размножителни, сезонни, вертикални и хоризонтални) и прекъсване на биокоридори;</w:t>
      </w:r>
    </w:p>
    <w:p w14:paraId="4686B2FA" w14:textId="77777777" w:rsidR="005660CA" w:rsidRPr="009F6D1E" w:rsidRDefault="005660C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Проявлението на посочените по-горе отрицателни въздействия са предпоставка за възможно нарушаване на целостта на защитените зони и до прекъсване на функционалните връзки между тях, до забавяно/възпрепятстване на постигането на </w:t>
      </w:r>
      <w:proofErr w:type="spellStart"/>
      <w:r w:rsidRPr="009F6D1E">
        <w:rPr>
          <w:rFonts w:eastAsia="Times New Roman" w:cs="Times New Roman"/>
          <w:szCs w:val="24"/>
          <w:lang w:eastAsia="bg-BG" w:bidi="bg-BG"/>
        </w:rPr>
        <w:t>консервационните</w:t>
      </w:r>
      <w:proofErr w:type="spellEnd"/>
      <w:r w:rsidRPr="009F6D1E">
        <w:rPr>
          <w:rFonts w:eastAsia="Times New Roman" w:cs="Times New Roman"/>
          <w:szCs w:val="24"/>
          <w:lang w:eastAsia="bg-BG" w:bidi="bg-BG"/>
        </w:rPr>
        <w:t xml:space="preserve"> и реставрационни цели на зоните;</w:t>
      </w:r>
    </w:p>
    <w:p w14:paraId="388D078C" w14:textId="77777777" w:rsidR="005660CA" w:rsidRPr="009F6D1E" w:rsidRDefault="005660C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Възможни са кумулативни въздействия върху защитените зони и предмета на опазване в тях в резултат от сумарното въздействие на прилагащата се програма за развитие на селските райони и на предложените в с</w:t>
      </w:r>
      <w:r w:rsidR="00697236" w:rsidRPr="009F6D1E">
        <w:rPr>
          <w:rFonts w:eastAsia="Times New Roman" w:cs="Times New Roman"/>
          <w:szCs w:val="24"/>
          <w:lang w:eastAsia="bg-BG" w:bidi="bg-BG"/>
        </w:rPr>
        <w:t>т</w:t>
      </w:r>
      <w:r w:rsidRPr="009F6D1E">
        <w:rPr>
          <w:rFonts w:eastAsia="Times New Roman" w:cs="Times New Roman"/>
          <w:szCs w:val="24"/>
          <w:lang w:eastAsia="bg-BG" w:bidi="bg-BG"/>
        </w:rPr>
        <w:t>ратегическия план интервенции;</w:t>
      </w:r>
    </w:p>
    <w:p w14:paraId="156760D3" w14:textId="77777777" w:rsidR="005660CA" w:rsidRPr="009F6D1E" w:rsidRDefault="005660CA" w:rsidP="0084747F">
      <w:pPr>
        <w:widowControl w:val="0"/>
        <w:tabs>
          <w:tab w:val="left" w:pos="5765"/>
        </w:tabs>
        <w:spacing w:after="60" w:line="264" w:lineRule="auto"/>
        <w:ind w:firstLine="720"/>
        <w:jc w:val="both"/>
        <w:rPr>
          <w:rFonts w:eastAsia="Times New Roman" w:cs="Times New Roman"/>
          <w:szCs w:val="24"/>
          <w:lang w:eastAsia="bg-BG" w:bidi="bg-BG"/>
        </w:rPr>
      </w:pPr>
    </w:p>
    <w:p w14:paraId="39FA45C3" w14:textId="77777777" w:rsidR="00471E9F" w:rsidRPr="009F6D1E" w:rsidRDefault="00830DD2" w:rsidP="0084747F">
      <w:pPr>
        <w:spacing w:after="60" w:line="264" w:lineRule="auto"/>
        <w:ind w:firstLine="708"/>
        <w:contextualSpacing/>
        <w:jc w:val="both"/>
        <w:rPr>
          <w:rFonts w:eastAsia="Times New Roman" w:cs="Times New Roman"/>
          <w:color w:val="000000"/>
          <w:szCs w:val="24"/>
          <w:lang w:eastAsia="bg-BG"/>
        </w:rPr>
      </w:pPr>
      <w:r w:rsidRPr="009F6D1E">
        <w:rPr>
          <w:rFonts w:eastAsia="ヒラギノ角ゴ Pro W3" w:cs="Times New Roman"/>
          <w:szCs w:val="24"/>
        </w:rPr>
        <w:t xml:space="preserve">Настоящият </w:t>
      </w:r>
      <w:r w:rsidR="00FE3E28" w:rsidRPr="009F6D1E">
        <w:rPr>
          <w:rFonts w:eastAsia="ヒラギノ角ゴ Pro W3" w:cs="Times New Roman"/>
          <w:szCs w:val="24"/>
        </w:rPr>
        <w:t xml:space="preserve">Доклад за Екологична оценка на </w:t>
      </w:r>
      <w:r w:rsidR="00FE3E28" w:rsidRPr="009F6D1E">
        <w:rPr>
          <w:rFonts w:eastAsia="ヒラギノ角ゴ Pro W3" w:cs="Times New Roman"/>
          <w:bCs/>
          <w:i/>
          <w:iCs/>
          <w:color w:val="000000"/>
          <w:szCs w:val="24"/>
          <w:lang w:bidi="bg-BG"/>
        </w:rPr>
        <w:t>Стратегически план по Общата селскостопанска политика (</w:t>
      </w:r>
      <w:r w:rsidR="00CD4045" w:rsidRPr="009F6D1E">
        <w:rPr>
          <w:rFonts w:eastAsia="ヒラギノ角ゴ Pro W3" w:cs="Times New Roman"/>
          <w:bCs/>
          <w:i/>
          <w:iCs/>
          <w:color w:val="000000"/>
          <w:szCs w:val="24"/>
          <w:lang w:bidi="bg-BG"/>
        </w:rPr>
        <w:t>СПРЗСР</w:t>
      </w:r>
      <w:r w:rsidR="00FE3E28" w:rsidRPr="009F6D1E">
        <w:rPr>
          <w:rFonts w:eastAsia="ヒラギノ角ゴ Pro W3" w:cs="Times New Roman"/>
          <w:bCs/>
          <w:i/>
          <w:iCs/>
          <w:color w:val="000000"/>
          <w:szCs w:val="24"/>
          <w:lang w:bidi="bg-BG"/>
        </w:rPr>
        <w:t xml:space="preserve">) за периода 2023 - 2027 г., </w:t>
      </w:r>
      <w:r w:rsidR="00FE3E28" w:rsidRPr="009F6D1E">
        <w:rPr>
          <w:rFonts w:eastAsia="ヒラギノ角ゴ Pro W3" w:cs="Times New Roman"/>
          <w:szCs w:val="24"/>
        </w:rPr>
        <w:t>е изготвен съгласно</w:t>
      </w:r>
      <w:r w:rsidR="00FE3E28" w:rsidRPr="009F6D1E">
        <w:rPr>
          <w:rFonts w:eastAsia="Times New Roman" w:cs="Times New Roman"/>
          <w:color w:val="000000"/>
          <w:szCs w:val="24"/>
          <w:lang w:eastAsia="bg-BG"/>
        </w:rPr>
        <w:t xml:space="preserve"> чл. 85, ал. 1 от Закона за опазване на околната среда</w:t>
      </w:r>
      <w:r w:rsidRPr="009F6D1E">
        <w:rPr>
          <w:rFonts w:eastAsia="Times New Roman" w:cs="Times New Roman"/>
          <w:color w:val="000000"/>
          <w:szCs w:val="24"/>
          <w:lang w:eastAsia="bg-BG"/>
        </w:rPr>
        <w:t xml:space="preserve"> и</w:t>
      </w:r>
      <w:r w:rsidR="00FE3E28" w:rsidRPr="009F6D1E">
        <w:rPr>
          <w:rFonts w:eastAsia="ヒラギノ角ゴ Pro W3" w:cs="Times New Roman"/>
          <w:szCs w:val="24"/>
        </w:rPr>
        <w:t xml:space="preserve"> </w:t>
      </w:r>
      <w:r w:rsidR="00FE3E28" w:rsidRPr="009F6D1E">
        <w:rPr>
          <w:rFonts w:eastAsia="Times New Roman" w:cs="Times New Roman"/>
          <w:color w:val="000000"/>
          <w:szCs w:val="24"/>
          <w:lang w:eastAsia="bg-BG"/>
        </w:rPr>
        <w:t>чл. 1</w:t>
      </w:r>
      <w:r w:rsidRPr="009F6D1E">
        <w:rPr>
          <w:rFonts w:eastAsia="Times New Roman" w:cs="Times New Roman"/>
          <w:color w:val="000000"/>
          <w:szCs w:val="24"/>
          <w:lang w:eastAsia="bg-BG"/>
        </w:rPr>
        <w:t>7</w:t>
      </w:r>
      <w:r w:rsidR="00FE3E28" w:rsidRPr="009F6D1E">
        <w:rPr>
          <w:rFonts w:eastAsia="Times New Roman" w:cs="Times New Roman"/>
          <w:color w:val="000000"/>
          <w:szCs w:val="24"/>
          <w:lang w:eastAsia="bg-BG"/>
        </w:rPr>
        <w:t xml:space="preserve"> ал. 1 </w:t>
      </w:r>
      <w:r w:rsidR="00FE3E28" w:rsidRPr="009F6D1E">
        <w:rPr>
          <w:rFonts w:eastAsia="ヒラギノ角ゴ Pro W3" w:cs="Times New Roman"/>
          <w:szCs w:val="24"/>
        </w:rPr>
        <w:t xml:space="preserve">от </w:t>
      </w:r>
      <w:r w:rsidR="00FE3E28" w:rsidRPr="009F6D1E">
        <w:rPr>
          <w:rFonts w:eastAsia="Times New Roman" w:cs="Times New Roman"/>
          <w:b/>
          <w:bCs/>
          <w:color w:val="000000"/>
          <w:szCs w:val="24"/>
          <w:lang w:eastAsia="bg-BG"/>
        </w:rPr>
        <w:t>Наредба</w:t>
      </w:r>
      <w:r w:rsidR="00FE3E28" w:rsidRPr="009F6D1E">
        <w:rPr>
          <w:rFonts w:eastAsia="Times New Roman" w:cs="Times New Roman"/>
          <w:i/>
          <w:iCs/>
          <w:color w:val="000000"/>
          <w:szCs w:val="24"/>
          <w:lang w:eastAsia="bg-BG"/>
        </w:rPr>
        <w:t xml:space="preserve"> за условията и реда за извършване на екологична оценка на планове и програми</w:t>
      </w:r>
      <w:r w:rsidR="00FE3E28" w:rsidRPr="009F6D1E">
        <w:rPr>
          <w:rFonts w:eastAsia="Times New Roman" w:cs="Times New Roman"/>
          <w:color w:val="000000"/>
          <w:szCs w:val="24"/>
          <w:lang w:eastAsia="bg-BG"/>
        </w:rPr>
        <w:t>.</w:t>
      </w:r>
      <w:r w:rsidRPr="009F6D1E">
        <w:rPr>
          <w:rFonts w:eastAsia="Times New Roman" w:cs="Times New Roman"/>
          <w:szCs w:val="24"/>
          <w:lang w:eastAsia="bg-BG" w:bidi="bg-BG"/>
        </w:rPr>
        <w:t xml:space="preserve"> Като отделно приложение към Доклада за ЕО, съгласно чл. 34 , ал. 4 от </w:t>
      </w:r>
      <w:r w:rsidR="003A1CB7" w:rsidRPr="009F6D1E">
        <w:rPr>
          <w:rFonts w:cs="Times New Roman"/>
          <w:i/>
          <w:szCs w:val="24"/>
        </w:rPr>
        <w:t>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r w:rsidR="003A1CB7" w:rsidRPr="009F6D1E">
        <w:rPr>
          <w:rFonts w:eastAsia="Times New Roman" w:cs="Times New Roman"/>
          <w:szCs w:val="24"/>
          <w:lang w:eastAsia="bg-BG" w:bidi="bg-BG"/>
        </w:rPr>
        <w:t xml:space="preserve"> (</w:t>
      </w:r>
      <w:r w:rsidRPr="009F6D1E">
        <w:rPr>
          <w:rFonts w:eastAsia="Times New Roman" w:cs="Times New Roman"/>
          <w:szCs w:val="24"/>
          <w:lang w:eastAsia="bg-BG" w:bidi="bg-BG"/>
        </w:rPr>
        <w:t>Наредбата за ОС</w:t>
      </w:r>
      <w:r w:rsidR="003A1CB7" w:rsidRPr="009F6D1E">
        <w:rPr>
          <w:rFonts w:eastAsia="Times New Roman" w:cs="Times New Roman"/>
          <w:szCs w:val="24"/>
          <w:lang w:eastAsia="bg-BG" w:bidi="bg-BG"/>
        </w:rPr>
        <w:t>)</w:t>
      </w:r>
      <w:r w:rsidRPr="009F6D1E">
        <w:rPr>
          <w:rFonts w:eastAsia="Times New Roman" w:cs="Times New Roman"/>
          <w:szCs w:val="24"/>
          <w:lang w:eastAsia="bg-BG" w:bidi="bg-BG"/>
        </w:rPr>
        <w:t xml:space="preserve">, </w:t>
      </w:r>
      <w:r w:rsidR="003A1CB7" w:rsidRPr="009F6D1E">
        <w:rPr>
          <w:rFonts w:eastAsia="Times New Roman" w:cs="Times New Roman"/>
          <w:szCs w:val="24"/>
          <w:lang w:eastAsia="bg-BG" w:bidi="bg-BG"/>
        </w:rPr>
        <w:t>е включен</w:t>
      </w:r>
      <w:r w:rsidRPr="009F6D1E">
        <w:rPr>
          <w:rFonts w:eastAsia="Times New Roman" w:cs="Times New Roman"/>
          <w:szCs w:val="24"/>
          <w:lang w:eastAsia="bg-BG" w:bidi="bg-BG"/>
        </w:rPr>
        <w:t xml:space="preserve"> </w:t>
      </w:r>
      <w:r w:rsidR="00C00EA1" w:rsidRPr="009F6D1E">
        <w:rPr>
          <w:rFonts w:eastAsia="Times New Roman" w:cs="Times New Roman"/>
          <w:szCs w:val="24"/>
          <w:lang w:eastAsia="bg-BG" w:bidi="bg-BG"/>
        </w:rPr>
        <w:t xml:space="preserve">и </w:t>
      </w:r>
      <w:r w:rsidRPr="009F6D1E">
        <w:rPr>
          <w:rFonts w:eastAsia="Times New Roman" w:cs="Times New Roman"/>
          <w:szCs w:val="24"/>
          <w:lang w:eastAsia="bg-BG" w:bidi="bg-BG"/>
        </w:rPr>
        <w:t xml:space="preserve">Доклад за оценка на степента на въздействие /ДОСВ/ на </w:t>
      </w:r>
      <w:r w:rsidRPr="009F6D1E">
        <w:rPr>
          <w:rFonts w:eastAsia="Times New Roman" w:cs="Times New Roman"/>
          <w:i/>
          <w:iCs/>
          <w:szCs w:val="24"/>
          <w:lang w:eastAsia="bg-BG" w:bidi="bg-BG"/>
        </w:rPr>
        <w:t>Стратегически план</w:t>
      </w:r>
      <w:r w:rsidRPr="009F6D1E">
        <w:rPr>
          <w:rFonts w:eastAsia="Times New Roman" w:cs="Times New Roman"/>
          <w:b/>
          <w:bCs/>
          <w:i/>
          <w:szCs w:val="24"/>
        </w:rPr>
        <w:t xml:space="preserve"> </w:t>
      </w:r>
      <w:r w:rsidRPr="009F6D1E">
        <w:rPr>
          <w:rFonts w:eastAsia="Times New Roman" w:cs="Times New Roman"/>
          <w:bCs/>
          <w:i/>
          <w:szCs w:val="24"/>
        </w:rPr>
        <w:t xml:space="preserve">по </w:t>
      </w:r>
      <w:r w:rsidR="00D809BC" w:rsidRPr="009F6D1E">
        <w:rPr>
          <w:rFonts w:eastAsia="Times New Roman" w:cs="Times New Roman"/>
          <w:bCs/>
          <w:i/>
          <w:szCs w:val="24"/>
        </w:rPr>
        <w:t>РЗСР</w:t>
      </w:r>
      <w:r w:rsidRPr="009F6D1E">
        <w:rPr>
          <w:rFonts w:eastAsia="Times New Roman" w:cs="Times New Roman"/>
          <w:bCs/>
          <w:i/>
          <w:szCs w:val="24"/>
        </w:rPr>
        <w:t xml:space="preserve"> за периода</w:t>
      </w:r>
      <w:r w:rsidRPr="009F6D1E">
        <w:rPr>
          <w:rFonts w:eastAsia="Times New Roman" w:cs="Times New Roman"/>
          <w:b/>
          <w:bCs/>
          <w:i/>
          <w:szCs w:val="24"/>
        </w:rPr>
        <w:t xml:space="preserve"> </w:t>
      </w:r>
      <w:r w:rsidRPr="009F6D1E">
        <w:rPr>
          <w:rFonts w:eastAsia="Times New Roman" w:cs="Times New Roman"/>
          <w:i/>
          <w:szCs w:val="24"/>
        </w:rPr>
        <w:t>2023-2027</w:t>
      </w:r>
      <w:r w:rsidRPr="009F6D1E">
        <w:rPr>
          <w:rFonts w:eastAsia="Times New Roman" w:cs="Times New Roman"/>
          <w:szCs w:val="24"/>
          <w:lang w:eastAsia="bg-BG" w:bidi="bg-BG"/>
        </w:rPr>
        <w:t xml:space="preserve">  върху защитени зони, съобразен с указанията на МОСВ, дадени в писмо изх. № ЕО-1/04.10.2021 г.</w:t>
      </w:r>
    </w:p>
    <w:p w14:paraId="51530BC7" w14:textId="77777777" w:rsidR="003A1CB7" w:rsidRPr="009F6D1E" w:rsidRDefault="003A1CB7" w:rsidP="0084747F">
      <w:pPr>
        <w:spacing w:after="60" w:line="264" w:lineRule="auto"/>
        <w:contextualSpacing/>
        <w:jc w:val="both"/>
        <w:rPr>
          <w:rFonts w:eastAsia="Times New Roman" w:cs="Times New Roman"/>
          <w:color w:val="000000"/>
          <w:szCs w:val="24"/>
          <w:lang w:eastAsia="bg-BG"/>
        </w:rPr>
      </w:pPr>
    </w:p>
    <w:p w14:paraId="79F7A522" w14:textId="77777777" w:rsidR="00471E9F" w:rsidRPr="009F6D1E" w:rsidRDefault="00471E9F" w:rsidP="00D02E9D">
      <w:pPr>
        <w:pStyle w:val="Heading1"/>
        <w:numPr>
          <w:ilvl w:val="0"/>
          <w:numId w:val="23"/>
        </w:numPr>
        <w:shd w:val="clear" w:color="auto" w:fill="DBDBDB" w:themeFill="accent3" w:themeFillTint="66"/>
        <w:tabs>
          <w:tab w:val="clear" w:pos="742"/>
        </w:tabs>
        <w:spacing w:before="0" w:after="60" w:line="264" w:lineRule="auto"/>
        <w:ind w:left="0" w:firstLine="0"/>
        <w:jc w:val="left"/>
        <w:rPr>
          <w:sz w:val="24"/>
          <w:szCs w:val="24"/>
        </w:rPr>
      </w:pPr>
      <w:bookmarkStart w:id="10" w:name="_Toc97639497"/>
      <w:bookmarkStart w:id="11" w:name="_Toc115254981"/>
      <w:r w:rsidRPr="009F6D1E">
        <w:rPr>
          <w:sz w:val="24"/>
          <w:szCs w:val="24"/>
        </w:rPr>
        <w:t>ИНФОРМАЦИЯ ЗА КОНТАКТ С ВЪЗЛОЖИТЕЛЯ</w:t>
      </w:r>
      <w:bookmarkEnd w:id="10"/>
      <w:bookmarkEnd w:id="11"/>
      <w:r w:rsidRPr="009F6D1E">
        <w:rPr>
          <w:sz w:val="24"/>
          <w:szCs w:val="24"/>
        </w:rPr>
        <w:tab/>
      </w:r>
    </w:p>
    <w:p w14:paraId="2C87135F" w14:textId="77777777" w:rsidR="00C00EA1" w:rsidRPr="009F6D1E" w:rsidRDefault="00C00EA1" w:rsidP="0084747F">
      <w:pPr>
        <w:spacing w:after="60" w:line="264" w:lineRule="auto"/>
        <w:ind w:firstLine="720"/>
        <w:jc w:val="both"/>
        <w:rPr>
          <w:rFonts w:eastAsia="Calibri" w:cs="Times New Roman"/>
          <w:szCs w:val="24"/>
        </w:rPr>
      </w:pPr>
    </w:p>
    <w:p w14:paraId="54FEED77" w14:textId="77777777" w:rsidR="00C00EA1" w:rsidRPr="009F6D1E" w:rsidRDefault="00C00EA1"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12" w:name="_Toc89268296"/>
      <w:bookmarkStart w:id="13" w:name="_Toc97639498"/>
      <w:bookmarkStart w:id="14" w:name="_Toc115254982"/>
      <w:r w:rsidRPr="009F6D1E">
        <w:rPr>
          <w:rFonts w:eastAsia="Times New Roman"/>
          <w:b/>
          <w:i/>
          <w:lang w:val="bg-BG"/>
        </w:rPr>
        <w:t>Име</w:t>
      </w:r>
      <w:bookmarkStart w:id="15" w:name="_Toc45193001"/>
      <w:r w:rsidRPr="009F6D1E">
        <w:rPr>
          <w:rFonts w:eastAsia="Times New Roman"/>
          <w:b/>
          <w:i/>
          <w:lang w:val="bg-BG"/>
        </w:rPr>
        <w:t>, седалище и единен идентификационен номер на юридическото лице</w:t>
      </w:r>
      <w:bookmarkEnd w:id="15"/>
      <w:r w:rsidRPr="009F6D1E">
        <w:rPr>
          <w:rFonts w:eastAsia="Times New Roman"/>
          <w:b/>
          <w:i/>
          <w:lang w:val="bg-BG"/>
        </w:rPr>
        <w:t>:</w:t>
      </w:r>
      <w:bookmarkEnd w:id="12"/>
      <w:bookmarkEnd w:id="13"/>
      <w:bookmarkEnd w:id="14"/>
    </w:p>
    <w:p w14:paraId="52E8D2C9" w14:textId="102B32EA" w:rsidR="00C00EA1" w:rsidRPr="009F6D1E" w:rsidRDefault="00C00EA1" w:rsidP="0084747F">
      <w:pPr>
        <w:spacing w:after="60" w:line="264" w:lineRule="auto"/>
        <w:jc w:val="both"/>
        <w:rPr>
          <w:rFonts w:cs="Times New Roman"/>
          <w:szCs w:val="24"/>
        </w:rPr>
      </w:pPr>
      <w:r w:rsidRPr="009F6D1E">
        <w:rPr>
          <w:rFonts w:cs="Times New Roman"/>
          <w:szCs w:val="24"/>
        </w:rPr>
        <w:t>Министър на земеделието</w:t>
      </w:r>
    </w:p>
    <w:p w14:paraId="48EB39B8" w14:textId="77777777" w:rsidR="00C00EA1" w:rsidRPr="009F6D1E" w:rsidRDefault="00C00EA1" w:rsidP="0084747F">
      <w:pPr>
        <w:spacing w:after="60" w:line="264" w:lineRule="auto"/>
        <w:jc w:val="both"/>
        <w:rPr>
          <w:rFonts w:cs="Times New Roman"/>
          <w:szCs w:val="24"/>
        </w:rPr>
      </w:pPr>
      <w:r w:rsidRPr="009F6D1E">
        <w:rPr>
          <w:rFonts w:cs="Times New Roman"/>
          <w:szCs w:val="24"/>
        </w:rPr>
        <w:lastRenderedPageBreak/>
        <w:t>Телефон: 02 985 11 354</w:t>
      </w:r>
      <w:r w:rsidRPr="009F6D1E">
        <w:rPr>
          <w:rFonts w:cs="Times New Roman"/>
          <w:szCs w:val="24"/>
        </w:rPr>
        <w:tab/>
      </w:r>
    </w:p>
    <w:p w14:paraId="03121360" w14:textId="77777777" w:rsidR="00C00EA1" w:rsidRPr="009F6D1E" w:rsidRDefault="00C00EA1" w:rsidP="0084747F">
      <w:pPr>
        <w:spacing w:after="60" w:line="264" w:lineRule="auto"/>
        <w:jc w:val="both"/>
        <w:rPr>
          <w:rFonts w:cs="Times New Roman"/>
          <w:szCs w:val="24"/>
        </w:rPr>
      </w:pPr>
      <w:r w:rsidRPr="009F6D1E">
        <w:rPr>
          <w:rFonts w:cs="Times New Roman"/>
          <w:szCs w:val="24"/>
        </w:rPr>
        <w:t>Факс: 02 981 94 23</w:t>
      </w:r>
    </w:p>
    <w:p w14:paraId="677E00F2" w14:textId="0653F1A0" w:rsidR="00C00EA1" w:rsidRPr="009F6D1E" w:rsidRDefault="00C00EA1" w:rsidP="0084747F">
      <w:pPr>
        <w:spacing w:after="60" w:line="264" w:lineRule="auto"/>
        <w:jc w:val="both"/>
        <w:rPr>
          <w:rFonts w:cs="Times New Roman"/>
          <w:szCs w:val="24"/>
        </w:rPr>
      </w:pPr>
      <w:r w:rsidRPr="009F6D1E">
        <w:rPr>
          <w:rFonts w:cs="Times New Roman"/>
          <w:szCs w:val="24"/>
        </w:rPr>
        <w:t xml:space="preserve">Ел. поща: </w:t>
      </w:r>
      <w:hyperlink r:id="rId9" w:history="1">
        <w:r w:rsidRPr="009F6D1E">
          <w:rPr>
            <w:rStyle w:val="Hyperlink"/>
            <w:rFonts w:cs="Times New Roman"/>
            <w:szCs w:val="24"/>
          </w:rPr>
          <w:t>minister@mzhg.government.bg</w:t>
        </w:r>
      </w:hyperlink>
      <w:r w:rsidRPr="009F6D1E">
        <w:rPr>
          <w:rFonts w:cs="Times New Roman"/>
          <w:szCs w:val="24"/>
        </w:rPr>
        <w:t xml:space="preserve"> </w:t>
      </w:r>
    </w:p>
    <w:p w14:paraId="67F73129" w14:textId="77777777" w:rsidR="00C00EA1" w:rsidRPr="009F6D1E" w:rsidRDefault="00C00EA1" w:rsidP="0084747F">
      <w:pPr>
        <w:spacing w:after="60" w:line="264" w:lineRule="auto"/>
        <w:jc w:val="both"/>
        <w:rPr>
          <w:rFonts w:cs="Times New Roman"/>
          <w:szCs w:val="24"/>
        </w:rPr>
      </w:pPr>
      <w:bookmarkStart w:id="16" w:name="_Toc45193002"/>
      <w:r w:rsidRPr="009F6D1E">
        <w:rPr>
          <w:rFonts w:cs="Times New Roman"/>
          <w:i/>
          <w:szCs w:val="24"/>
        </w:rPr>
        <w:t>Пълен пощенски адрес</w:t>
      </w:r>
      <w:bookmarkEnd w:id="16"/>
      <w:r w:rsidRPr="009F6D1E">
        <w:rPr>
          <w:rFonts w:cs="Times New Roman"/>
          <w:i/>
          <w:szCs w:val="24"/>
        </w:rPr>
        <w:t>:</w:t>
      </w:r>
      <w:r w:rsidRPr="009F6D1E">
        <w:rPr>
          <w:rFonts w:cs="Times New Roman"/>
          <w:szCs w:val="24"/>
        </w:rPr>
        <w:t xml:space="preserve"> </w:t>
      </w:r>
    </w:p>
    <w:p w14:paraId="1125DC4C" w14:textId="77777777" w:rsidR="00C00EA1" w:rsidRPr="009F6D1E" w:rsidRDefault="00C00EA1" w:rsidP="0084747F">
      <w:pPr>
        <w:spacing w:after="60" w:line="264" w:lineRule="auto"/>
        <w:jc w:val="both"/>
        <w:rPr>
          <w:rFonts w:cs="Times New Roman"/>
          <w:szCs w:val="24"/>
        </w:rPr>
      </w:pPr>
      <w:r w:rsidRPr="009F6D1E">
        <w:rPr>
          <w:rFonts w:cs="Times New Roman"/>
          <w:szCs w:val="24"/>
        </w:rPr>
        <w:t>гр. София бул. „Христо Ботев”№ 55</w:t>
      </w:r>
    </w:p>
    <w:p w14:paraId="74810063" w14:textId="77777777" w:rsidR="00C00EA1" w:rsidRPr="009F6D1E" w:rsidRDefault="00C00EA1" w:rsidP="0084747F">
      <w:pPr>
        <w:spacing w:after="60" w:line="264" w:lineRule="auto"/>
        <w:jc w:val="both"/>
        <w:rPr>
          <w:rFonts w:cs="Times New Roman"/>
          <w:szCs w:val="24"/>
        </w:rPr>
      </w:pPr>
    </w:p>
    <w:p w14:paraId="13F8B953" w14:textId="77777777" w:rsidR="00C00EA1" w:rsidRPr="009F6D1E" w:rsidRDefault="00C00EA1" w:rsidP="0084747F">
      <w:pPr>
        <w:keepNext/>
        <w:keepLines/>
        <w:shd w:val="clear" w:color="auto" w:fill="E2EFD9" w:themeFill="accent6" w:themeFillTint="33"/>
        <w:spacing w:after="60" w:line="264" w:lineRule="auto"/>
        <w:jc w:val="both"/>
        <w:outlineLvl w:val="1"/>
        <w:rPr>
          <w:rFonts w:eastAsia="Times New Roman" w:cs="Times New Roman"/>
          <w:b/>
          <w:i/>
          <w:szCs w:val="24"/>
        </w:rPr>
      </w:pPr>
      <w:bookmarkStart w:id="17" w:name="_Toc89268297"/>
      <w:bookmarkStart w:id="18" w:name="_Toc97639499"/>
      <w:bookmarkStart w:id="19" w:name="_Toc115254983"/>
      <w:r w:rsidRPr="009F6D1E">
        <w:rPr>
          <w:rFonts w:eastAsia="Times New Roman" w:cs="Times New Roman"/>
          <w:b/>
          <w:i/>
          <w:szCs w:val="24"/>
        </w:rPr>
        <w:t>Лице за контакт съобразно Договор за възлагане:</w:t>
      </w:r>
      <w:bookmarkEnd w:id="17"/>
      <w:bookmarkEnd w:id="18"/>
      <w:bookmarkEnd w:id="19"/>
    </w:p>
    <w:p w14:paraId="47EA533C" w14:textId="77777777" w:rsidR="00C00EA1" w:rsidRPr="009F6D1E" w:rsidRDefault="00C00EA1" w:rsidP="0084747F">
      <w:pPr>
        <w:shd w:val="clear" w:color="auto" w:fill="FFFFFF"/>
        <w:spacing w:after="60" w:line="264" w:lineRule="auto"/>
        <w:rPr>
          <w:rFonts w:eastAsia="Times New Roman" w:cs="Times New Roman"/>
          <w:szCs w:val="24"/>
          <w:lang w:eastAsia="bg-BG"/>
        </w:rPr>
      </w:pPr>
      <w:r w:rsidRPr="009F6D1E">
        <w:rPr>
          <w:rFonts w:eastAsia="Times New Roman" w:cs="Times New Roman"/>
          <w:szCs w:val="24"/>
          <w:lang w:eastAsia="bg-BG"/>
        </w:rPr>
        <w:t>Татяна Петрова – Секретар на Комисията за управление и контрол на проекта</w:t>
      </w:r>
    </w:p>
    <w:p w14:paraId="0387F37A" w14:textId="77777777" w:rsidR="00C00EA1" w:rsidRPr="009F6D1E" w:rsidRDefault="00C00EA1" w:rsidP="0084747F">
      <w:pPr>
        <w:shd w:val="clear" w:color="auto" w:fill="FFFFFF"/>
        <w:spacing w:after="60" w:line="264" w:lineRule="auto"/>
        <w:rPr>
          <w:rFonts w:eastAsia="Times New Roman" w:cs="Times New Roman"/>
          <w:szCs w:val="24"/>
          <w:lang w:eastAsia="bg-BG"/>
        </w:rPr>
      </w:pPr>
      <w:r w:rsidRPr="009F6D1E">
        <w:rPr>
          <w:rFonts w:eastAsia="Times New Roman" w:cs="Times New Roman"/>
          <w:szCs w:val="24"/>
          <w:lang w:eastAsia="bg-BG"/>
        </w:rPr>
        <w:t>Отдел „Програмиране, планиране, наблюдение и техническа помощ“</w:t>
      </w:r>
    </w:p>
    <w:p w14:paraId="11943829" w14:textId="77777777" w:rsidR="00C00EA1" w:rsidRPr="009F6D1E" w:rsidRDefault="00C00EA1" w:rsidP="0084747F">
      <w:pPr>
        <w:shd w:val="clear" w:color="auto" w:fill="FFFFFF"/>
        <w:spacing w:after="60" w:line="264" w:lineRule="auto"/>
        <w:rPr>
          <w:rFonts w:eastAsia="Times New Roman" w:cs="Times New Roman"/>
          <w:szCs w:val="24"/>
          <w:lang w:eastAsia="bg-BG"/>
        </w:rPr>
      </w:pPr>
      <w:r w:rsidRPr="009F6D1E">
        <w:rPr>
          <w:rFonts w:eastAsia="Times New Roman" w:cs="Times New Roman"/>
          <w:szCs w:val="24"/>
          <w:lang w:eastAsia="bg-BG"/>
        </w:rPr>
        <w:t xml:space="preserve">Дирекция „Развитие на селските райони“ </w:t>
      </w:r>
    </w:p>
    <w:p w14:paraId="7E3B3024" w14:textId="77777777" w:rsidR="00C00EA1" w:rsidRPr="009F6D1E" w:rsidRDefault="00C00EA1" w:rsidP="0084747F">
      <w:pPr>
        <w:shd w:val="clear" w:color="auto" w:fill="FFFFFF"/>
        <w:spacing w:after="60" w:line="264" w:lineRule="auto"/>
        <w:rPr>
          <w:rFonts w:eastAsia="Times New Roman" w:cs="Times New Roman"/>
          <w:szCs w:val="24"/>
          <w:lang w:eastAsia="bg-BG"/>
        </w:rPr>
      </w:pPr>
      <w:r w:rsidRPr="009F6D1E">
        <w:rPr>
          <w:rFonts w:eastAsia="Times New Roman" w:cs="Times New Roman"/>
          <w:szCs w:val="24"/>
          <w:lang w:eastAsia="bg-BG"/>
        </w:rPr>
        <w:t>Министерство на земеделието, храните и горите</w:t>
      </w:r>
    </w:p>
    <w:p w14:paraId="3FB2DE92" w14:textId="5D6944DD" w:rsidR="00C00EA1" w:rsidRPr="009F6D1E" w:rsidRDefault="00C00EA1" w:rsidP="0084747F">
      <w:pPr>
        <w:shd w:val="clear" w:color="auto" w:fill="FFFFFF"/>
        <w:spacing w:after="60" w:line="264" w:lineRule="auto"/>
        <w:rPr>
          <w:rFonts w:eastAsia="Times New Roman" w:cs="Times New Roman"/>
          <w:szCs w:val="24"/>
          <w:lang w:eastAsia="bg-BG"/>
        </w:rPr>
      </w:pPr>
      <w:r w:rsidRPr="009F6D1E">
        <w:rPr>
          <w:rFonts w:eastAsia="Times New Roman" w:cs="Times New Roman"/>
          <w:szCs w:val="24"/>
          <w:lang w:eastAsia="bg-BG"/>
        </w:rPr>
        <w:t>e-</w:t>
      </w:r>
      <w:proofErr w:type="spellStart"/>
      <w:r w:rsidRPr="009F6D1E">
        <w:rPr>
          <w:rFonts w:eastAsia="Times New Roman" w:cs="Times New Roman"/>
          <w:szCs w:val="24"/>
          <w:lang w:eastAsia="bg-BG"/>
        </w:rPr>
        <w:t>mail</w:t>
      </w:r>
      <w:proofErr w:type="spellEnd"/>
      <w:r w:rsidRPr="009F6D1E">
        <w:rPr>
          <w:rFonts w:eastAsia="Times New Roman" w:cs="Times New Roman"/>
          <w:szCs w:val="24"/>
          <w:lang w:eastAsia="bg-BG"/>
        </w:rPr>
        <w:t xml:space="preserve">: </w:t>
      </w:r>
      <w:hyperlink r:id="rId10" w:history="1">
        <w:r w:rsidR="002063D6" w:rsidRPr="009F6D1E">
          <w:rPr>
            <w:rStyle w:val="Hyperlink"/>
            <w:rFonts w:eastAsia="Times New Roman" w:cs="Times New Roman"/>
            <w:szCs w:val="24"/>
            <w:lang w:eastAsia="bg-BG"/>
          </w:rPr>
          <w:t>TPPetrova@mzh.government.bg</w:t>
        </w:r>
      </w:hyperlink>
      <w:r w:rsidR="002063D6" w:rsidRPr="009F6D1E">
        <w:rPr>
          <w:rFonts w:eastAsia="Times New Roman" w:cs="Times New Roman"/>
          <w:szCs w:val="24"/>
          <w:lang w:eastAsia="bg-BG"/>
        </w:rPr>
        <w:t xml:space="preserve"> </w:t>
      </w:r>
    </w:p>
    <w:p w14:paraId="4C116CDE" w14:textId="77777777" w:rsidR="00C00EA1" w:rsidRPr="009F6D1E" w:rsidRDefault="00C00EA1" w:rsidP="0084747F">
      <w:pPr>
        <w:shd w:val="clear" w:color="auto" w:fill="FFFFFF"/>
        <w:spacing w:after="60" w:line="264" w:lineRule="auto"/>
        <w:rPr>
          <w:rFonts w:cs="Times New Roman"/>
          <w:szCs w:val="24"/>
        </w:rPr>
      </w:pPr>
      <w:r w:rsidRPr="009F6D1E">
        <w:rPr>
          <w:rFonts w:eastAsia="Times New Roman" w:cs="Times New Roman"/>
          <w:szCs w:val="24"/>
          <w:lang w:eastAsia="bg-BG"/>
        </w:rPr>
        <w:t>Тел. (02) 985 11 590</w:t>
      </w:r>
    </w:p>
    <w:p w14:paraId="538A54B8" w14:textId="77777777" w:rsidR="00471E9F" w:rsidRPr="009F6D1E" w:rsidRDefault="00471E9F" w:rsidP="0084747F">
      <w:pPr>
        <w:spacing w:after="60" w:line="264" w:lineRule="auto"/>
        <w:contextualSpacing/>
        <w:jc w:val="both"/>
        <w:rPr>
          <w:rFonts w:eastAsia="Calibri" w:cs="Times New Roman"/>
          <w:b/>
          <w:bCs/>
          <w:i/>
          <w:iCs/>
          <w:szCs w:val="24"/>
        </w:rPr>
      </w:pPr>
      <w:r w:rsidRPr="009F6D1E">
        <w:rPr>
          <w:rFonts w:eastAsia="Calibri" w:cs="Times New Roman"/>
          <w:b/>
          <w:bCs/>
          <w:i/>
          <w:iCs/>
          <w:szCs w:val="24"/>
        </w:rPr>
        <w:tab/>
      </w:r>
    </w:p>
    <w:p w14:paraId="7CE0E909" w14:textId="77777777" w:rsidR="00471E9F" w:rsidRPr="009F6D1E" w:rsidRDefault="00471E9F" w:rsidP="00D02E9D">
      <w:pPr>
        <w:pStyle w:val="Heading1"/>
        <w:numPr>
          <w:ilvl w:val="0"/>
          <w:numId w:val="23"/>
        </w:numPr>
        <w:shd w:val="clear" w:color="auto" w:fill="DBDBDB" w:themeFill="accent3" w:themeFillTint="66"/>
        <w:tabs>
          <w:tab w:val="clear" w:pos="742"/>
        </w:tabs>
        <w:spacing w:before="0" w:after="60" w:line="264" w:lineRule="auto"/>
        <w:ind w:left="0" w:firstLine="0"/>
        <w:jc w:val="left"/>
        <w:rPr>
          <w:sz w:val="24"/>
          <w:szCs w:val="24"/>
        </w:rPr>
      </w:pPr>
      <w:bookmarkStart w:id="20" w:name="_Toc97639500"/>
      <w:bookmarkStart w:id="21" w:name="_Toc115254984"/>
      <w:r w:rsidRPr="009F6D1E">
        <w:rPr>
          <w:sz w:val="24"/>
          <w:szCs w:val="24"/>
        </w:rPr>
        <w:t xml:space="preserve">ОПИСАНИЕ НА СЪДЪРЖАНИЕТО НА ОСНОВНИТЕ ЦЕЛИ НА </w:t>
      </w:r>
      <w:r w:rsidR="00CD4045" w:rsidRPr="009F6D1E">
        <w:rPr>
          <w:sz w:val="24"/>
          <w:szCs w:val="24"/>
        </w:rPr>
        <w:t>СПРЗСР</w:t>
      </w:r>
      <w:r w:rsidRPr="009F6D1E">
        <w:rPr>
          <w:sz w:val="24"/>
          <w:szCs w:val="24"/>
        </w:rPr>
        <w:t xml:space="preserve"> И ВРЪЗКА С ДРУГИ СЪОТНОСИМИ ПЛАНОВЕ И ПРОГРАМИ</w:t>
      </w:r>
      <w:bookmarkEnd w:id="20"/>
      <w:bookmarkEnd w:id="21"/>
      <w:r w:rsidRPr="009F6D1E">
        <w:rPr>
          <w:sz w:val="24"/>
          <w:szCs w:val="24"/>
        </w:rPr>
        <w:tab/>
      </w:r>
    </w:p>
    <w:p w14:paraId="5B590870" w14:textId="77777777" w:rsidR="002063D6" w:rsidRPr="009F6D1E" w:rsidRDefault="002063D6" w:rsidP="0084747F">
      <w:pPr>
        <w:spacing w:after="60" w:line="264" w:lineRule="auto"/>
        <w:contextualSpacing/>
        <w:jc w:val="both"/>
        <w:rPr>
          <w:rFonts w:eastAsia="Calibri" w:cs="Times New Roman"/>
          <w:b/>
          <w:bCs/>
          <w:i/>
          <w:iCs/>
          <w:szCs w:val="24"/>
        </w:rPr>
      </w:pPr>
    </w:p>
    <w:p w14:paraId="01A5886F" w14:textId="77777777" w:rsidR="00471E9F" w:rsidRPr="009F6D1E" w:rsidRDefault="00471E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22" w:name="_Toc97639501"/>
      <w:bookmarkStart w:id="23" w:name="_Toc115254985"/>
      <w:r w:rsidRPr="009F6D1E">
        <w:rPr>
          <w:rFonts w:eastAsia="Times New Roman"/>
          <w:b/>
          <w:i/>
          <w:lang w:val="bg-BG"/>
        </w:rPr>
        <w:t xml:space="preserve">Основание за изготвяне на </w:t>
      </w:r>
      <w:r w:rsidR="00CD4045" w:rsidRPr="009F6D1E">
        <w:rPr>
          <w:rFonts w:eastAsia="Times New Roman"/>
          <w:b/>
          <w:i/>
          <w:lang w:val="bg-BG"/>
        </w:rPr>
        <w:t>СПРЗСР</w:t>
      </w:r>
      <w:bookmarkEnd w:id="22"/>
      <w:bookmarkEnd w:id="23"/>
    </w:p>
    <w:p w14:paraId="466FB256" w14:textId="77777777" w:rsidR="004D537A" w:rsidRPr="009F6D1E" w:rsidRDefault="004D537A" w:rsidP="0084747F">
      <w:pPr>
        <w:spacing w:after="60" w:line="264" w:lineRule="auto"/>
        <w:ind w:firstLine="708"/>
        <w:jc w:val="both"/>
        <w:rPr>
          <w:rFonts w:eastAsia="Times New Roman" w:cs="Times New Roman"/>
          <w:szCs w:val="24"/>
        </w:rPr>
      </w:pPr>
    </w:p>
    <w:p w14:paraId="461966EF" w14:textId="77777777" w:rsidR="004D537A" w:rsidRPr="009F6D1E" w:rsidRDefault="004D537A" w:rsidP="0084747F">
      <w:pPr>
        <w:pStyle w:val="30"/>
        <w:shd w:val="clear" w:color="auto" w:fill="auto"/>
        <w:spacing w:after="60" w:line="264" w:lineRule="auto"/>
        <w:ind w:firstLine="708"/>
        <w:jc w:val="both"/>
        <w:rPr>
          <w:b w:val="0"/>
          <w:szCs w:val="24"/>
        </w:rPr>
      </w:pPr>
      <w:bookmarkStart w:id="24" w:name="_Hlk115270648"/>
      <w:r w:rsidRPr="009F6D1E">
        <w:rPr>
          <w:bCs w:val="0"/>
          <w:i/>
          <w:iCs/>
          <w:szCs w:val="24"/>
        </w:rPr>
        <w:t xml:space="preserve">Проектът на </w:t>
      </w:r>
      <w:bookmarkStart w:id="25" w:name="_Hlk95919386"/>
      <w:r w:rsidRPr="009F6D1E">
        <w:rPr>
          <w:bCs w:val="0"/>
          <w:i/>
          <w:iCs/>
          <w:szCs w:val="24"/>
          <w:lang w:bidi="bg-BG"/>
        </w:rPr>
        <w:t xml:space="preserve">Стратегически план </w:t>
      </w:r>
      <w:r w:rsidR="00CD4045" w:rsidRPr="009F6D1E">
        <w:rPr>
          <w:bCs w:val="0"/>
          <w:i/>
          <w:iCs/>
          <w:szCs w:val="24"/>
          <w:lang w:bidi="bg-BG"/>
        </w:rPr>
        <w:t>за развитие на земеделието и селските райони</w:t>
      </w:r>
      <w:r w:rsidR="00CD4045" w:rsidRPr="009F6D1E">
        <w:rPr>
          <w:i/>
          <w:iCs/>
          <w:szCs w:val="24"/>
          <w:lang w:bidi="bg-BG"/>
        </w:rPr>
        <w:t xml:space="preserve"> </w:t>
      </w:r>
      <w:r w:rsidRPr="009F6D1E">
        <w:rPr>
          <w:bCs w:val="0"/>
          <w:i/>
          <w:iCs/>
          <w:szCs w:val="24"/>
          <w:lang w:bidi="bg-BG"/>
        </w:rPr>
        <w:t>за периода 2023 - 2027 г.</w:t>
      </w:r>
      <w:bookmarkEnd w:id="24"/>
      <w:bookmarkEnd w:id="25"/>
      <w:r w:rsidRPr="009F6D1E">
        <w:rPr>
          <w:b w:val="0"/>
          <w:szCs w:val="24"/>
        </w:rPr>
        <w:t xml:space="preserve">, е изготвен въз основа на изискванията и правилата, заложени в Дял III на Предложение за Регламент на Европейския парламент и  Съвета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(стратегическите планове по </w:t>
      </w:r>
      <w:r w:rsidR="00D809BC" w:rsidRPr="009F6D1E">
        <w:rPr>
          <w:b w:val="0"/>
          <w:szCs w:val="24"/>
        </w:rPr>
        <w:t>РЗСР</w:t>
      </w:r>
      <w:r w:rsidRPr="009F6D1E">
        <w:rPr>
          <w:b w:val="0"/>
          <w:szCs w:val="24"/>
        </w:rPr>
        <w:t xml:space="preserve">) и финансирани от Европейския фонд за гарантиране на земеделието и от Европейския земеделски фонд за развитие на селските райони, и за отмяна на Регламент (ЕС) № 1305/2013 на Европейския парламент и на Съвета и Регламент (ЕС) № 1307/2013 на Европейския парламент и на Съвета. </w:t>
      </w:r>
    </w:p>
    <w:p w14:paraId="578EAE06" w14:textId="77777777" w:rsidR="004D537A" w:rsidRPr="009F6D1E" w:rsidRDefault="004D537A" w:rsidP="0084747F">
      <w:pPr>
        <w:pStyle w:val="30"/>
        <w:spacing w:after="60" w:line="264" w:lineRule="auto"/>
        <w:ind w:firstLine="708"/>
        <w:jc w:val="both"/>
        <w:rPr>
          <w:i/>
          <w:szCs w:val="24"/>
        </w:rPr>
      </w:pPr>
      <w:r w:rsidRPr="009F6D1E">
        <w:rPr>
          <w:b w:val="0"/>
          <w:szCs w:val="24"/>
        </w:rPr>
        <w:t xml:space="preserve">Тъй като законодателната процедура във връзка със законодателните предложения на ЕК относно </w:t>
      </w:r>
      <w:r w:rsidR="00D809BC" w:rsidRPr="009F6D1E">
        <w:rPr>
          <w:b w:val="0"/>
          <w:szCs w:val="24"/>
        </w:rPr>
        <w:t>РЗСР</w:t>
      </w:r>
      <w:r w:rsidRPr="009F6D1E">
        <w:rPr>
          <w:b w:val="0"/>
          <w:szCs w:val="24"/>
        </w:rPr>
        <w:t xml:space="preserve"> след 2020 г. не е приключила навреме, за да се даде възможност на държавите членки и на ЕК да подготвят всички елементи, необходими за прилагането на новата правна рамка и на стратегическите планове по </w:t>
      </w:r>
      <w:r w:rsidR="00D809BC" w:rsidRPr="009F6D1E">
        <w:rPr>
          <w:b w:val="0"/>
          <w:szCs w:val="24"/>
        </w:rPr>
        <w:t>РЗСР</w:t>
      </w:r>
      <w:r w:rsidRPr="009F6D1E">
        <w:rPr>
          <w:b w:val="0"/>
          <w:szCs w:val="24"/>
        </w:rPr>
        <w:t xml:space="preserve"> от 1 януари 2021 г., както първоначално</w:t>
      </w:r>
      <w:r w:rsidR="00DD209B" w:rsidRPr="009F6D1E">
        <w:rPr>
          <w:b w:val="0"/>
          <w:szCs w:val="24"/>
        </w:rPr>
        <w:t xml:space="preserve"> е</w:t>
      </w:r>
      <w:r w:rsidRPr="009F6D1E">
        <w:rPr>
          <w:b w:val="0"/>
          <w:szCs w:val="24"/>
        </w:rPr>
        <w:t xml:space="preserve"> предложено от ЕК, е </w:t>
      </w:r>
      <w:r w:rsidRPr="009F6D1E">
        <w:rPr>
          <w:i/>
          <w:szCs w:val="24"/>
        </w:rPr>
        <w:t xml:space="preserve">наложило промяна на началната година на влизане в сила на </w:t>
      </w:r>
      <w:r w:rsidR="00CD4045" w:rsidRPr="009F6D1E">
        <w:rPr>
          <w:i/>
          <w:szCs w:val="24"/>
        </w:rPr>
        <w:t>СП</w:t>
      </w:r>
      <w:r w:rsidR="00D809BC" w:rsidRPr="009F6D1E">
        <w:rPr>
          <w:i/>
          <w:szCs w:val="24"/>
        </w:rPr>
        <w:t>РЗСП</w:t>
      </w:r>
      <w:r w:rsidRPr="009F6D1E">
        <w:rPr>
          <w:i/>
          <w:szCs w:val="24"/>
        </w:rPr>
        <w:t xml:space="preserve"> - от 2023г., въз основа на т. нар. „преходен регламент“.</w:t>
      </w:r>
      <w:r w:rsidRPr="009F6D1E">
        <w:rPr>
          <w:b w:val="0"/>
          <w:szCs w:val="24"/>
        </w:rPr>
        <w:t xml:space="preserve"> </w:t>
      </w:r>
      <w:r w:rsidRPr="009F6D1E">
        <w:rPr>
          <w:i/>
          <w:szCs w:val="24"/>
        </w:rPr>
        <w:t xml:space="preserve">Това е Регламент (ЕС) 2020/2220 на Европейския парламент и на Съвета от 23 декември 2020 година, регламентира прилагането на </w:t>
      </w:r>
      <w:r w:rsidR="00D809BC" w:rsidRPr="009F6D1E">
        <w:rPr>
          <w:i/>
          <w:szCs w:val="24"/>
        </w:rPr>
        <w:t>РЗСР</w:t>
      </w:r>
      <w:r w:rsidRPr="009F6D1E">
        <w:rPr>
          <w:i/>
          <w:szCs w:val="24"/>
        </w:rPr>
        <w:t xml:space="preserve"> в ЕС по време на преходния период през 2021 и 2022г.  и има за цел да предостави на държавите членки достатъчно време да подготвят стратегическите си планове по </w:t>
      </w:r>
      <w:r w:rsidR="00D809BC" w:rsidRPr="009F6D1E">
        <w:rPr>
          <w:i/>
          <w:szCs w:val="24"/>
        </w:rPr>
        <w:t>РЗСР</w:t>
      </w:r>
      <w:r w:rsidRPr="009F6D1E">
        <w:rPr>
          <w:i/>
          <w:szCs w:val="24"/>
        </w:rPr>
        <w:t xml:space="preserve"> за периода 2023-2027 г.</w:t>
      </w:r>
    </w:p>
    <w:p w14:paraId="17B6F5CC" w14:textId="77777777" w:rsidR="004D537A" w:rsidRPr="009F6D1E" w:rsidRDefault="004D537A" w:rsidP="0084747F">
      <w:pPr>
        <w:pStyle w:val="30"/>
        <w:spacing w:after="60" w:line="264" w:lineRule="auto"/>
        <w:ind w:firstLine="708"/>
        <w:jc w:val="both"/>
        <w:rPr>
          <w:b w:val="0"/>
          <w:szCs w:val="24"/>
        </w:rPr>
      </w:pPr>
      <w:r w:rsidRPr="009F6D1E">
        <w:rPr>
          <w:i/>
          <w:szCs w:val="24"/>
        </w:rPr>
        <w:lastRenderedPageBreak/>
        <w:t xml:space="preserve">За да се смекчи несигурността и да се запази жизнеността на селските райони и региони, както и да се допринесе за екологичната устойчивост, с Регламент (ЕС) 2020/2220 е предвидено продължаване на прилагането на правилата на настоящата рамка на </w:t>
      </w:r>
      <w:r w:rsidR="00D809BC" w:rsidRPr="009F6D1E">
        <w:rPr>
          <w:i/>
          <w:szCs w:val="24"/>
        </w:rPr>
        <w:t>РЗСР</w:t>
      </w:r>
      <w:r w:rsidRPr="009F6D1E">
        <w:rPr>
          <w:i/>
          <w:szCs w:val="24"/>
        </w:rPr>
        <w:t xml:space="preserve">, която обхваща периода 2014-2020г., и непрекъснатост на плащанията за земеделските стопани и други </w:t>
      </w:r>
      <w:proofErr w:type="spellStart"/>
      <w:r w:rsidRPr="009F6D1E">
        <w:rPr>
          <w:i/>
          <w:szCs w:val="24"/>
        </w:rPr>
        <w:t>бенефициери</w:t>
      </w:r>
      <w:proofErr w:type="spellEnd"/>
      <w:r w:rsidRPr="009F6D1E">
        <w:rPr>
          <w:i/>
          <w:szCs w:val="24"/>
        </w:rPr>
        <w:t>, като по този начин да се осигури предвидимост и стабилност по време на преходния период през 2021 г. и 2022 г. до датата, от която започва да се прилага новата правна рамка, обхващаща периода с начало 1 януари 2023 г.</w:t>
      </w:r>
      <w:bookmarkStart w:id="26" w:name="_Hlk95921056"/>
      <w:r w:rsidRPr="009F6D1E">
        <w:rPr>
          <w:b w:val="0"/>
          <w:szCs w:val="24"/>
        </w:rPr>
        <w:t xml:space="preserve"> </w:t>
      </w:r>
      <w:bookmarkEnd w:id="26"/>
      <w:r w:rsidRPr="009F6D1E">
        <w:rPr>
          <w:b w:val="0"/>
          <w:szCs w:val="24"/>
        </w:rPr>
        <w:t xml:space="preserve"> Земеделските стопани ще могат да получават също така обезщетения за сериозен спад в доходите и за загуби, причинени от неблагоприятни климатични събития, огнища на болести по животните или растенията или нападения от вредители. Дава се повече свобода на държавите членки да подкрепят земеделските стопани, особено по време на кризата с COVID-19.</w:t>
      </w:r>
    </w:p>
    <w:p w14:paraId="61004FE0" w14:textId="77777777" w:rsidR="004D537A" w:rsidRPr="009F6D1E" w:rsidRDefault="004D537A" w:rsidP="0084747F">
      <w:pPr>
        <w:pStyle w:val="30"/>
        <w:spacing w:after="60" w:line="264" w:lineRule="auto"/>
        <w:ind w:firstLine="708"/>
        <w:jc w:val="both"/>
        <w:rPr>
          <w:b w:val="0"/>
          <w:szCs w:val="24"/>
        </w:rPr>
      </w:pPr>
      <w:r w:rsidRPr="009F6D1E">
        <w:rPr>
          <w:b w:val="0"/>
          <w:szCs w:val="24"/>
        </w:rPr>
        <w:t>Чрез този регламент се гарантира, че подпомагането на земеделските стопани чрез директни плащания и на бенефициентите по програмите за развитие на селските райони (ПРСР) и на пазарните мерки ще продължи и през 2021 и 2022г.</w:t>
      </w:r>
      <w:r w:rsidRPr="009F6D1E">
        <w:t xml:space="preserve"> </w:t>
      </w:r>
      <w:r w:rsidRPr="009F6D1E">
        <w:rPr>
          <w:b w:val="0"/>
          <w:szCs w:val="24"/>
        </w:rPr>
        <w:t xml:space="preserve">С този преходен период се цели да се способства за плавен преход за </w:t>
      </w:r>
      <w:proofErr w:type="spellStart"/>
      <w:r w:rsidRPr="009F6D1E">
        <w:rPr>
          <w:b w:val="0"/>
          <w:szCs w:val="24"/>
        </w:rPr>
        <w:t>бенефициерите</w:t>
      </w:r>
      <w:proofErr w:type="spellEnd"/>
      <w:r w:rsidRPr="009F6D1E">
        <w:rPr>
          <w:b w:val="0"/>
          <w:szCs w:val="24"/>
        </w:rPr>
        <w:t xml:space="preserve"> към нов програмен период и да се предвиди възможност да се вземе предвид съобщението на ЕК от 11 декември 2019 г. относно Европейския зелен пакт.</w:t>
      </w:r>
    </w:p>
    <w:p w14:paraId="64052A20" w14:textId="738652CB" w:rsidR="004D537A" w:rsidRPr="009F6D1E" w:rsidRDefault="004D537A" w:rsidP="0084747F">
      <w:pPr>
        <w:pStyle w:val="30"/>
        <w:spacing w:after="60" w:line="264" w:lineRule="auto"/>
        <w:ind w:firstLine="708"/>
        <w:jc w:val="both"/>
        <w:rPr>
          <w:b w:val="0"/>
          <w:szCs w:val="24"/>
        </w:rPr>
      </w:pPr>
      <w:r w:rsidRPr="009F6D1E">
        <w:rPr>
          <w:b w:val="0"/>
          <w:szCs w:val="24"/>
        </w:rPr>
        <w:t xml:space="preserve">Предложението на Европейската комисия за бъдещата </w:t>
      </w:r>
      <w:r w:rsidR="00D809BC" w:rsidRPr="009F6D1E">
        <w:rPr>
          <w:b w:val="0"/>
          <w:szCs w:val="24"/>
        </w:rPr>
        <w:t>РЗСР</w:t>
      </w:r>
      <w:r w:rsidRPr="009F6D1E">
        <w:rPr>
          <w:b w:val="0"/>
          <w:szCs w:val="24"/>
        </w:rPr>
        <w:t xml:space="preserve"> има за цел да стимулира развитието на устойчив и конкурент</w:t>
      </w:r>
      <w:r w:rsidR="00371700">
        <w:rPr>
          <w:b w:val="0"/>
          <w:szCs w:val="24"/>
        </w:rPr>
        <w:t>осп</w:t>
      </w:r>
      <w:r w:rsidRPr="009F6D1E">
        <w:rPr>
          <w:b w:val="0"/>
          <w:szCs w:val="24"/>
        </w:rPr>
        <w:t>особен селскостопански сектор, който може да допринесе значително за постигане на целите на Европейския зелен пакт, по-специално по отношение на „</w:t>
      </w:r>
      <w:r w:rsidRPr="009F6D1E">
        <w:rPr>
          <w:b w:val="0"/>
          <w:i/>
          <w:iCs/>
          <w:szCs w:val="24"/>
        </w:rPr>
        <w:t>Стратегията от фермата до трапезата</w:t>
      </w:r>
      <w:r w:rsidRPr="009F6D1E">
        <w:rPr>
          <w:b w:val="0"/>
          <w:szCs w:val="24"/>
        </w:rPr>
        <w:t>“  и „</w:t>
      </w:r>
      <w:r w:rsidRPr="009F6D1E">
        <w:rPr>
          <w:b w:val="0"/>
          <w:i/>
          <w:iCs/>
          <w:szCs w:val="24"/>
        </w:rPr>
        <w:t>Стратегията за биологичното разнообразие</w:t>
      </w:r>
      <w:r w:rsidRPr="009F6D1E">
        <w:rPr>
          <w:b w:val="0"/>
          <w:szCs w:val="24"/>
        </w:rPr>
        <w:t>“.</w:t>
      </w:r>
    </w:p>
    <w:p w14:paraId="352E0117" w14:textId="77777777" w:rsidR="004D537A" w:rsidRPr="009F6D1E" w:rsidRDefault="004D537A" w:rsidP="0084747F">
      <w:pPr>
        <w:pStyle w:val="30"/>
        <w:spacing w:after="60" w:line="264" w:lineRule="auto"/>
        <w:ind w:firstLine="708"/>
        <w:jc w:val="both"/>
        <w:rPr>
          <w:b w:val="0"/>
          <w:szCs w:val="24"/>
          <w:lang w:bidi="bg-BG"/>
        </w:rPr>
      </w:pPr>
      <w:r w:rsidRPr="009F6D1E">
        <w:rPr>
          <w:b w:val="0"/>
          <w:szCs w:val="24"/>
          <w:lang w:bidi="bg-BG"/>
        </w:rPr>
        <w:t>Предложенията са насочени по-конкретно към:</w:t>
      </w:r>
    </w:p>
    <w:p w14:paraId="40ECA5AC" w14:textId="77777777" w:rsidR="004D537A" w:rsidRPr="009F6D1E" w:rsidRDefault="0058089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w:t>
      </w:r>
      <w:r w:rsidR="004D537A" w:rsidRPr="009F6D1E">
        <w:rPr>
          <w:rFonts w:eastAsia="Times New Roman" w:cs="Times New Roman"/>
          <w:szCs w:val="24"/>
          <w:lang w:eastAsia="bg-BG" w:bidi="bg-BG"/>
        </w:rPr>
        <w:t>сигуряване на справедливи условия и стабилно икономическо бъдеще за земеделските стопани, чрез насърчаване  развитието на интелигентен, устойчив и диверсифициран сектор на селското стопанство и гарантиране на продоволствената сигурност;</w:t>
      </w:r>
    </w:p>
    <w:p w14:paraId="519C9AEA" w14:textId="77777777" w:rsidR="004D537A" w:rsidRPr="009F6D1E" w:rsidRDefault="0058089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w:t>
      </w:r>
      <w:r w:rsidR="004D537A" w:rsidRPr="009F6D1E">
        <w:rPr>
          <w:rFonts w:eastAsia="Times New Roman" w:cs="Times New Roman"/>
          <w:szCs w:val="24"/>
          <w:lang w:eastAsia="bg-BG" w:bidi="bg-BG"/>
        </w:rPr>
        <w:t>пределяне на по-амбициозни цели за действия в областта на околната среда и климата, чрез подкрепа  на грижите за околната среда и действията в областта на климата, което да допринася за постигане на целите на Съюза, свързани с околната среда и климата;</w:t>
      </w:r>
    </w:p>
    <w:p w14:paraId="7FEFDE44" w14:textId="77777777" w:rsidR="004D537A" w:rsidRPr="009F6D1E" w:rsidRDefault="0058089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w:t>
      </w:r>
      <w:r w:rsidR="004D537A" w:rsidRPr="009F6D1E">
        <w:rPr>
          <w:rFonts w:eastAsia="Times New Roman" w:cs="Times New Roman"/>
          <w:szCs w:val="24"/>
          <w:lang w:eastAsia="bg-BG" w:bidi="bg-BG"/>
        </w:rPr>
        <w:t>апазване на централното място на селското стопанство в европейското общество, чрез  укрепване на  социално-икономическата структура на селските райони.</w:t>
      </w:r>
    </w:p>
    <w:p w14:paraId="302EE00C" w14:textId="77777777" w:rsidR="004D537A" w:rsidRPr="009F6D1E" w:rsidRDefault="004D537A" w:rsidP="0084747F">
      <w:pPr>
        <w:spacing w:after="60" w:line="264" w:lineRule="auto"/>
        <w:ind w:firstLine="708"/>
        <w:jc w:val="both"/>
        <w:rPr>
          <w:rFonts w:eastAsia="Times New Roman" w:cs="Times New Roman"/>
          <w:szCs w:val="24"/>
        </w:rPr>
      </w:pPr>
    </w:p>
    <w:p w14:paraId="11560441" w14:textId="77777777" w:rsidR="002063D6" w:rsidRPr="009F6D1E" w:rsidRDefault="002063D6" w:rsidP="0084747F">
      <w:pPr>
        <w:spacing w:after="60" w:line="264" w:lineRule="auto"/>
        <w:ind w:firstLine="708"/>
        <w:jc w:val="both"/>
        <w:rPr>
          <w:rFonts w:eastAsia="Times New Roman" w:cs="Times New Roman"/>
          <w:szCs w:val="24"/>
        </w:rPr>
      </w:pPr>
      <w:r w:rsidRPr="009F6D1E">
        <w:rPr>
          <w:rFonts w:eastAsia="Times New Roman" w:cs="Times New Roman"/>
          <w:szCs w:val="24"/>
        </w:rPr>
        <w:t xml:space="preserve">Проектът на </w:t>
      </w:r>
      <w:r w:rsidR="00CD4045" w:rsidRPr="009F6D1E">
        <w:rPr>
          <w:rFonts w:eastAsia="Times New Roman" w:cs="Times New Roman"/>
          <w:szCs w:val="24"/>
        </w:rPr>
        <w:t>СПРЗСР</w:t>
      </w:r>
      <w:r w:rsidRPr="009F6D1E">
        <w:rPr>
          <w:rFonts w:eastAsia="Times New Roman" w:cs="Times New Roman"/>
          <w:szCs w:val="24"/>
        </w:rPr>
        <w:t xml:space="preserve"> 2023-2027г. е разработен в съответствие с Предложението за Регламент на Европейския парламент и на Съвета за установяване на правила за подпомагане на Стратегическите планове, които трябва да бъдат изготвени от държавите членки по линия на Общата селскостопанска политика и финансирани от Европейския фонд за гарантиране на земеделието (ЕФГЗ) и Европейския земеделски фонд за развитието на селските райони (ЕЗФРСР) и за отмяна на Регламент (ЕС) №1305/2013 на Европейския парламент и на Съвета и Регламент (ЕС) №1307/2013 на Европейския парламент и на Съвета.  </w:t>
      </w:r>
    </w:p>
    <w:p w14:paraId="2BEDE790" w14:textId="77777777" w:rsidR="002063D6" w:rsidRPr="009F6D1E" w:rsidRDefault="002063D6" w:rsidP="0084747F">
      <w:pPr>
        <w:spacing w:after="60" w:line="264" w:lineRule="auto"/>
        <w:ind w:firstLine="708"/>
        <w:jc w:val="both"/>
        <w:rPr>
          <w:rFonts w:eastAsia="Times New Roman" w:cs="Times New Roman"/>
          <w:szCs w:val="24"/>
        </w:rPr>
      </w:pPr>
      <w:r w:rsidRPr="009F6D1E">
        <w:rPr>
          <w:rFonts w:eastAsia="Times New Roman" w:cs="Times New Roman"/>
          <w:szCs w:val="24"/>
        </w:rPr>
        <w:lastRenderedPageBreak/>
        <w:t xml:space="preserve">Проектът на Стратегическият план на </w:t>
      </w:r>
      <w:r w:rsidR="00D809BC" w:rsidRPr="009F6D1E">
        <w:rPr>
          <w:rFonts w:eastAsia="Times New Roman" w:cs="Times New Roman"/>
          <w:szCs w:val="24"/>
        </w:rPr>
        <w:t>РЗСР</w:t>
      </w:r>
      <w:r w:rsidRPr="009F6D1E">
        <w:rPr>
          <w:rFonts w:eastAsia="Times New Roman" w:cs="Times New Roman"/>
          <w:szCs w:val="24"/>
        </w:rPr>
        <w:t xml:space="preserve"> за България е създаден въз основа на цели в социалната, екологичната и икономическата сфера, като се насочват усилията в постигането на деветте специфични цели на </w:t>
      </w:r>
      <w:r w:rsidR="00D809BC" w:rsidRPr="009F6D1E">
        <w:rPr>
          <w:rFonts w:eastAsia="Times New Roman" w:cs="Times New Roman"/>
          <w:szCs w:val="24"/>
        </w:rPr>
        <w:t>РЗСР</w:t>
      </w:r>
      <w:r w:rsidRPr="009F6D1E">
        <w:rPr>
          <w:rFonts w:eastAsia="Times New Roman" w:cs="Times New Roman"/>
          <w:szCs w:val="24"/>
        </w:rPr>
        <w:t xml:space="preserve">.  Тези цели следва да се допълват с между секторната цел за модернизиране на сектора, чрез стимулиране и споделяне на знанията, иновациите и цифровизацията в селското стопанство и селските райони и насърчаване на използването им в по-голяма степен. </w:t>
      </w:r>
    </w:p>
    <w:p w14:paraId="60D950C2" w14:textId="77777777" w:rsidR="002063D6" w:rsidRPr="009F6D1E" w:rsidRDefault="002063D6" w:rsidP="0084747F">
      <w:pPr>
        <w:spacing w:after="60" w:line="264" w:lineRule="auto"/>
        <w:ind w:firstLine="708"/>
        <w:jc w:val="both"/>
        <w:rPr>
          <w:rFonts w:eastAsia="Times New Roman" w:cs="Times New Roman"/>
          <w:szCs w:val="24"/>
        </w:rPr>
      </w:pPr>
    </w:p>
    <w:p w14:paraId="0BFC0D54" w14:textId="77777777" w:rsidR="002063D6" w:rsidRPr="009F6D1E" w:rsidRDefault="002063D6" w:rsidP="0084747F">
      <w:pPr>
        <w:spacing w:after="60" w:line="264" w:lineRule="auto"/>
        <w:jc w:val="center"/>
        <w:rPr>
          <w:rFonts w:eastAsia="Times New Roman" w:cs="Times New Roman"/>
          <w:szCs w:val="24"/>
        </w:rPr>
      </w:pPr>
      <w:r w:rsidRPr="009F6D1E">
        <w:rPr>
          <w:rFonts w:eastAsia="Times New Roman" w:cs="Times New Roman"/>
          <w:noProof/>
          <w:szCs w:val="24"/>
          <w:lang w:val="en-US"/>
        </w:rPr>
        <w:drawing>
          <wp:inline distT="0" distB="0" distL="0" distR="0" wp14:anchorId="5B1B5EBA" wp14:editId="440DE554">
            <wp:extent cx="4796155" cy="3217442"/>
            <wp:effectExtent l="0" t="0" r="4445" b="2540"/>
            <wp:docPr id="1" name="Картина 1" descr="cap-9-objectives_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9-objectives_b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4051" cy="3222739"/>
                    </a:xfrm>
                    <a:prstGeom prst="rect">
                      <a:avLst/>
                    </a:prstGeom>
                    <a:noFill/>
                    <a:ln>
                      <a:noFill/>
                    </a:ln>
                  </pic:spPr>
                </pic:pic>
              </a:graphicData>
            </a:graphic>
          </wp:inline>
        </w:drawing>
      </w:r>
    </w:p>
    <w:p w14:paraId="5F9803BD" w14:textId="77777777" w:rsidR="002063D6" w:rsidRPr="009F6D1E" w:rsidRDefault="002063D6" w:rsidP="0084747F">
      <w:pPr>
        <w:spacing w:after="60" w:line="264" w:lineRule="auto"/>
        <w:ind w:firstLine="708"/>
        <w:jc w:val="both"/>
        <w:rPr>
          <w:rFonts w:eastAsia="Times New Roman" w:cs="Times New Roman"/>
          <w:noProof/>
          <w:szCs w:val="24"/>
        </w:rPr>
      </w:pPr>
      <w:r w:rsidRPr="009F6D1E">
        <w:rPr>
          <w:rFonts w:eastAsia="Times New Roman" w:cs="Times New Roman"/>
          <w:noProof/>
          <w:szCs w:val="24"/>
        </w:rPr>
        <w:t>Преходът към политика, ориентирана в по-голяма степен към качеството на изпълнението, изисква установяването на стабилна рамка за качеството на изпълнението, която въз основа на набор от общи показатели ще позволи на Комисията да извършва оценка и да наблюдава качеството на изпълнението на политиката на нивото на държавите членки.</w:t>
      </w:r>
    </w:p>
    <w:p w14:paraId="65D45AA6" w14:textId="77777777" w:rsidR="002063D6" w:rsidRPr="009F6D1E" w:rsidRDefault="002063D6" w:rsidP="0084747F">
      <w:pPr>
        <w:spacing w:after="60" w:line="264" w:lineRule="auto"/>
        <w:contextualSpacing/>
        <w:jc w:val="both"/>
        <w:rPr>
          <w:rFonts w:eastAsia="Calibri" w:cs="Times New Roman"/>
          <w:b/>
          <w:bCs/>
          <w:i/>
          <w:iCs/>
          <w:szCs w:val="24"/>
        </w:rPr>
      </w:pPr>
    </w:p>
    <w:p w14:paraId="1EA68F36" w14:textId="77777777" w:rsidR="00471E9F" w:rsidRPr="009F6D1E" w:rsidRDefault="00471E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27" w:name="_Toc97639502"/>
      <w:bookmarkStart w:id="28" w:name="_Toc115254986"/>
      <w:r w:rsidRPr="009F6D1E">
        <w:rPr>
          <w:rFonts w:eastAsia="Times New Roman"/>
          <w:b/>
          <w:i/>
          <w:lang w:val="bg-BG"/>
        </w:rPr>
        <w:t xml:space="preserve">Основни цели и предвиждания на </w:t>
      </w:r>
      <w:r w:rsidR="00CD4045" w:rsidRPr="009F6D1E">
        <w:rPr>
          <w:rFonts w:eastAsia="Times New Roman"/>
          <w:b/>
          <w:i/>
          <w:lang w:val="bg-BG"/>
        </w:rPr>
        <w:t>СПРЗСР</w:t>
      </w:r>
      <w:r w:rsidRPr="009F6D1E">
        <w:rPr>
          <w:rFonts w:eastAsia="Times New Roman"/>
          <w:b/>
          <w:i/>
          <w:lang w:val="bg-BG"/>
        </w:rPr>
        <w:t xml:space="preserve"> </w:t>
      </w:r>
      <w:r w:rsidR="00B83EED" w:rsidRPr="009F6D1E">
        <w:rPr>
          <w:rFonts w:eastAsia="Times New Roman"/>
          <w:b/>
          <w:i/>
          <w:lang w:val="bg-BG"/>
        </w:rPr>
        <w:t>2023-2027г.</w:t>
      </w:r>
      <w:bookmarkEnd w:id="27"/>
      <w:bookmarkEnd w:id="28"/>
    </w:p>
    <w:p w14:paraId="76D0DC96" w14:textId="77777777" w:rsidR="002063D6" w:rsidRPr="009F6D1E" w:rsidRDefault="002063D6" w:rsidP="0084747F">
      <w:pPr>
        <w:spacing w:after="60" w:line="264" w:lineRule="auto"/>
        <w:contextualSpacing/>
        <w:jc w:val="both"/>
        <w:rPr>
          <w:rFonts w:eastAsia="Calibri" w:cs="Times New Roman"/>
          <w:b/>
          <w:bCs/>
          <w:i/>
          <w:iCs/>
          <w:szCs w:val="24"/>
        </w:rPr>
      </w:pPr>
    </w:p>
    <w:p w14:paraId="45AB5BC1" w14:textId="77777777" w:rsidR="00BC10BD" w:rsidRPr="009F6D1E" w:rsidRDefault="004D537A"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lang w:bidi="bg-BG"/>
        </w:rPr>
        <w:t xml:space="preserve">Проектът на Стратегически план по </w:t>
      </w:r>
      <w:r w:rsidR="00D809BC" w:rsidRPr="009F6D1E">
        <w:rPr>
          <w:rFonts w:cs="Times New Roman"/>
          <w:szCs w:val="24"/>
          <w:lang w:bidi="bg-BG"/>
        </w:rPr>
        <w:t>РЗСР</w:t>
      </w:r>
      <w:r w:rsidRPr="009F6D1E">
        <w:rPr>
          <w:rFonts w:cs="Times New Roman"/>
          <w:szCs w:val="24"/>
          <w:lang w:bidi="bg-BG"/>
        </w:rPr>
        <w:t xml:space="preserve"> за периода 202</w:t>
      </w:r>
      <w:r w:rsidR="004C27CB" w:rsidRPr="009F6D1E">
        <w:rPr>
          <w:rFonts w:cs="Times New Roman"/>
          <w:szCs w:val="24"/>
          <w:lang w:bidi="bg-BG"/>
        </w:rPr>
        <w:t>3</w:t>
      </w:r>
      <w:r w:rsidRPr="009F6D1E">
        <w:rPr>
          <w:rFonts w:cs="Times New Roman"/>
          <w:szCs w:val="24"/>
          <w:lang w:bidi="bg-BG"/>
        </w:rPr>
        <w:t>-2027</w:t>
      </w:r>
      <w:r w:rsidR="00772BE0" w:rsidRPr="009F6D1E">
        <w:rPr>
          <w:rFonts w:cs="Times New Roman"/>
          <w:szCs w:val="24"/>
          <w:lang w:bidi="bg-BG"/>
        </w:rPr>
        <w:t>г.</w:t>
      </w:r>
      <w:r w:rsidRPr="009F6D1E">
        <w:rPr>
          <w:rFonts w:cs="Times New Roman"/>
          <w:szCs w:val="24"/>
          <w:lang w:bidi="bg-BG"/>
        </w:rPr>
        <w:t xml:space="preserve">  се базира на  </w:t>
      </w:r>
      <w:r w:rsidR="00772BE0" w:rsidRPr="009F6D1E">
        <w:rPr>
          <w:rFonts w:cs="Times New Roman"/>
          <w:szCs w:val="24"/>
          <w:lang w:bidi="bg-BG"/>
        </w:rPr>
        <w:t>девет</w:t>
      </w:r>
      <w:r w:rsidRPr="009F6D1E">
        <w:rPr>
          <w:rFonts w:cs="Times New Roman"/>
          <w:szCs w:val="24"/>
          <w:lang w:bidi="bg-BG"/>
        </w:rPr>
        <w:t xml:space="preserve"> основни цели, определени в плана като „</w:t>
      </w:r>
      <w:bookmarkStart w:id="29" w:name="_Hlk105750912"/>
      <w:r w:rsidRPr="009F6D1E">
        <w:rPr>
          <w:rFonts w:cs="Times New Roman"/>
          <w:i/>
          <w:iCs/>
          <w:szCs w:val="24"/>
          <w:lang w:bidi="bg-BG"/>
        </w:rPr>
        <w:t>специфични цели</w:t>
      </w:r>
      <w:bookmarkEnd w:id="29"/>
      <w:r w:rsidRPr="009F6D1E">
        <w:rPr>
          <w:rFonts w:cs="Times New Roman"/>
          <w:szCs w:val="24"/>
          <w:lang w:bidi="bg-BG"/>
        </w:rPr>
        <w:t>“</w:t>
      </w:r>
      <w:r w:rsidR="000C05DF" w:rsidRPr="009F6D1E">
        <w:rPr>
          <w:rFonts w:cs="Times New Roman"/>
          <w:szCs w:val="24"/>
          <w:lang w:bidi="bg-BG"/>
        </w:rPr>
        <w:t xml:space="preserve"> и </w:t>
      </w:r>
      <w:r w:rsidR="005046C7" w:rsidRPr="009F6D1E">
        <w:rPr>
          <w:rFonts w:cs="Times New Roman"/>
          <w:szCs w:val="24"/>
          <w:lang w:bidi="bg-BG"/>
        </w:rPr>
        <w:t xml:space="preserve">Междусекторна цел </w:t>
      </w:r>
      <w:r w:rsidR="000C05DF" w:rsidRPr="009F6D1E">
        <w:rPr>
          <w:rFonts w:cs="Times New Roman"/>
          <w:szCs w:val="24"/>
          <w:lang w:bidi="bg-BG"/>
        </w:rPr>
        <w:t>на Общата селскостопанска политика.</w:t>
      </w:r>
      <w:r w:rsidRPr="009F6D1E">
        <w:rPr>
          <w:rFonts w:cs="Times New Roman"/>
          <w:szCs w:val="24"/>
          <w:lang w:bidi="bg-BG"/>
        </w:rPr>
        <w:t xml:space="preserve"> </w:t>
      </w:r>
    </w:p>
    <w:p w14:paraId="59EBDF4B" w14:textId="77777777" w:rsidR="000C05DF" w:rsidRPr="009F6D1E" w:rsidRDefault="004D537A"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lang w:bidi="bg-BG"/>
        </w:rPr>
        <w:t xml:space="preserve">Постигането на всяка една от </w:t>
      </w:r>
      <w:r w:rsidR="00BC10BD" w:rsidRPr="009F6D1E">
        <w:rPr>
          <w:rFonts w:cs="Times New Roman"/>
          <w:i/>
          <w:iCs/>
          <w:szCs w:val="24"/>
          <w:lang w:bidi="bg-BG"/>
        </w:rPr>
        <w:t>специфичните цели</w:t>
      </w:r>
      <w:r w:rsidR="00BC10BD" w:rsidRPr="009F6D1E">
        <w:rPr>
          <w:rFonts w:cs="Times New Roman"/>
          <w:szCs w:val="24"/>
          <w:lang w:bidi="bg-BG"/>
        </w:rPr>
        <w:t xml:space="preserve"> </w:t>
      </w:r>
      <w:r w:rsidRPr="009F6D1E">
        <w:rPr>
          <w:rFonts w:cs="Times New Roman"/>
          <w:szCs w:val="24"/>
          <w:lang w:bidi="bg-BG"/>
        </w:rPr>
        <w:t>се свързва с необходимостта, предварително дефинирани към тях, а те от своя страна – чрез интервенциите заложени в плана</w:t>
      </w:r>
      <w:r w:rsidR="00B83EED" w:rsidRPr="009F6D1E">
        <w:rPr>
          <w:rFonts w:cs="Times New Roman"/>
          <w:szCs w:val="24"/>
          <w:lang w:bidi="bg-BG"/>
        </w:rPr>
        <w:t>, които</w:t>
      </w:r>
      <w:r w:rsidRPr="009F6D1E">
        <w:rPr>
          <w:rFonts w:cs="Times New Roman"/>
          <w:szCs w:val="24"/>
          <w:lang w:bidi="bg-BG"/>
        </w:rPr>
        <w:t xml:space="preserve"> създават рамка за реализиране на конкретни инвестиционни предложения на местно ниво.</w:t>
      </w:r>
      <w:r w:rsidR="00BC10BD" w:rsidRPr="009F6D1E">
        <w:rPr>
          <w:rFonts w:cs="Times New Roman"/>
          <w:szCs w:val="24"/>
          <w:lang w:bidi="bg-BG"/>
        </w:rPr>
        <w:t xml:space="preserve"> </w:t>
      </w:r>
      <w:r w:rsidR="000C05DF" w:rsidRPr="009F6D1E">
        <w:rPr>
          <w:rFonts w:cs="Times New Roman"/>
          <w:szCs w:val="24"/>
          <w:lang w:bidi="bg-BG"/>
        </w:rPr>
        <w:t xml:space="preserve">С цел да бъде подобрено в още по-голяма степен устойчивото развитие на селското стопанство, хранително-вкусовата промишленост и селските райони, общите цели на </w:t>
      </w:r>
      <w:r w:rsidR="00D809BC" w:rsidRPr="009F6D1E">
        <w:rPr>
          <w:rFonts w:cs="Times New Roman"/>
          <w:szCs w:val="24"/>
          <w:lang w:bidi="bg-BG"/>
        </w:rPr>
        <w:t>РЗСР</w:t>
      </w:r>
      <w:r w:rsidR="000C05DF" w:rsidRPr="009F6D1E">
        <w:rPr>
          <w:rFonts w:cs="Times New Roman"/>
          <w:szCs w:val="24"/>
          <w:lang w:bidi="bg-BG"/>
        </w:rPr>
        <w:t xml:space="preserve"> са насочени към икономическата тъкан на селските райони, устойчивостта и доходите </w:t>
      </w:r>
      <w:r w:rsidR="000C05DF" w:rsidRPr="009F6D1E">
        <w:rPr>
          <w:rFonts w:cs="Times New Roman"/>
          <w:szCs w:val="24"/>
          <w:lang w:bidi="bg-BG"/>
        </w:rPr>
        <w:lastRenderedPageBreak/>
        <w:t>на земеделските стопанства, по-доброто качество на изпълнението в областта на околната среда и климата и укрепената социално-икономическа структура на селските райони. Освен това стимулирането на знанията, иновациите и цифровизацията в селското стопанство и селските райони е междусекторна цел.</w:t>
      </w:r>
    </w:p>
    <w:p w14:paraId="48E21477" w14:textId="77777777" w:rsidR="00B83EED" w:rsidRPr="009F6D1E" w:rsidRDefault="00D618CA" w:rsidP="0084747F">
      <w:pPr>
        <w:widowControl w:val="0"/>
        <w:tabs>
          <w:tab w:val="left" w:pos="5765"/>
        </w:tabs>
        <w:spacing w:after="60" w:line="264" w:lineRule="auto"/>
        <w:ind w:firstLine="720"/>
        <w:jc w:val="both"/>
        <w:rPr>
          <w:rFonts w:cs="Times New Roman"/>
          <w:szCs w:val="24"/>
          <w:lang w:bidi="bg-BG"/>
        </w:rPr>
      </w:pPr>
      <w:bookmarkStart w:id="30" w:name="_Hlk98252448"/>
      <w:r w:rsidRPr="009F6D1E">
        <w:rPr>
          <w:rFonts w:cs="Times New Roman"/>
          <w:b/>
          <w:bCs/>
          <w:i/>
          <w:iCs/>
          <w:szCs w:val="24"/>
          <w:lang w:bidi="bg-BG"/>
        </w:rPr>
        <w:t xml:space="preserve">Междусекторната цел </w:t>
      </w:r>
      <w:r w:rsidR="00B83EED" w:rsidRPr="009F6D1E">
        <w:rPr>
          <w:rFonts w:cs="Times New Roman"/>
          <w:szCs w:val="24"/>
          <w:lang w:bidi="bg-BG"/>
        </w:rPr>
        <w:t xml:space="preserve">на </w:t>
      </w:r>
      <w:bookmarkStart w:id="31" w:name="_Hlk96084188"/>
      <w:r w:rsidR="00B83EED" w:rsidRPr="009F6D1E">
        <w:rPr>
          <w:rFonts w:cs="Times New Roman"/>
          <w:szCs w:val="24"/>
          <w:lang w:bidi="bg-BG"/>
        </w:rPr>
        <w:t>СП</w:t>
      </w:r>
      <w:r w:rsidR="00D809BC" w:rsidRPr="009F6D1E">
        <w:rPr>
          <w:rFonts w:cs="Times New Roman"/>
          <w:szCs w:val="24"/>
          <w:lang w:bidi="bg-BG"/>
        </w:rPr>
        <w:t>РЗСР</w:t>
      </w:r>
      <w:r w:rsidR="00B83EED" w:rsidRPr="009F6D1E">
        <w:rPr>
          <w:rFonts w:cs="Times New Roman"/>
          <w:szCs w:val="24"/>
          <w:lang w:bidi="bg-BG"/>
        </w:rPr>
        <w:t xml:space="preserve"> 2023-2027г</w:t>
      </w:r>
      <w:bookmarkEnd w:id="31"/>
      <w:r w:rsidR="00B83EED" w:rsidRPr="009F6D1E">
        <w:rPr>
          <w:rFonts w:cs="Times New Roman"/>
          <w:szCs w:val="24"/>
          <w:lang w:bidi="bg-BG"/>
        </w:rPr>
        <w:t>.</w:t>
      </w:r>
      <w:bookmarkEnd w:id="30"/>
      <w:r w:rsidR="00B83EED" w:rsidRPr="009F6D1E">
        <w:rPr>
          <w:rFonts w:cs="Times New Roman"/>
          <w:szCs w:val="24"/>
          <w:lang w:bidi="bg-BG"/>
        </w:rPr>
        <w:t>, е „</w:t>
      </w:r>
      <w:r w:rsidR="000C05DF" w:rsidRPr="009F6D1E">
        <w:rPr>
          <w:rFonts w:cs="Times New Roman"/>
          <w:i/>
          <w:iCs/>
          <w:szCs w:val="24"/>
          <w:lang w:bidi="bg-BG"/>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r w:rsidR="00B83EED" w:rsidRPr="009F6D1E">
        <w:rPr>
          <w:rFonts w:cs="Times New Roman"/>
          <w:szCs w:val="24"/>
          <w:lang w:bidi="bg-BG"/>
        </w:rPr>
        <w:t xml:space="preserve">“. В рамките на </w:t>
      </w:r>
      <w:r w:rsidRPr="009F6D1E">
        <w:rPr>
          <w:rFonts w:cs="Times New Roman"/>
          <w:szCs w:val="24"/>
          <w:lang w:bidi="bg-BG"/>
        </w:rPr>
        <w:t xml:space="preserve">междусекторната </w:t>
      </w:r>
      <w:r w:rsidR="00B83EED" w:rsidRPr="009F6D1E">
        <w:rPr>
          <w:rFonts w:cs="Times New Roman"/>
          <w:szCs w:val="24"/>
          <w:lang w:bidi="bg-BG"/>
        </w:rPr>
        <w:t xml:space="preserve">цел, </w:t>
      </w:r>
      <w:r w:rsidR="00606B99" w:rsidRPr="009F6D1E">
        <w:rPr>
          <w:rFonts w:cs="Times New Roman"/>
          <w:szCs w:val="24"/>
          <w:lang w:bidi="bg-BG"/>
        </w:rPr>
        <w:t xml:space="preserve">Стратегическият план адресира петте, идентифицирани потребности чрез интервенции, целящи: повишаване на квалификацията, знанията и уменията на земеделските и горски стопани и заетите лица в техните стопанства; създаване на по-ефективна системата за споделяне на знания и иновации и цифровизация в селското стопанство чрез въвличане на национално, регионално и областно представителни браншови организации, по-голям брой консултанти и повишаване на техния капацитет и стимулиране на различни форми на сътрудничество, допринасящи за постигане на целите на ЕПИ. Предвидените интервенции, като инструменти за хоризонтална намеса, освен петте идентифицирани потребности, в рамките на </w:t>
      </w:r>
      <w:r w:rsidRPr="009F6D1E">
        <w:rPr>
          <w:rFonts w:cs="Times New Roman"/>
          <w:szCs w:val="24"/>
          <w:lang w:bidi="bg-BG"/>
        </w:rPr>
        <w:t>междусекторната цел</w:t>
      </w:r>
      <w:r w:rsidR="00606B99" w:rsidRPr="009F6D1E">
        <w:rPr>
          <w:rFonts w:cs="Times New Roman"/>
          <w:szCs w:val="24"/>
          <w:lang w:bidi="bg-BG"/>
        </w:rPr>
        <w:t>, адресират чрез специфични дейности, приоритети и задължителни теми и потребности, идентифицирани в рамките на специфични цели № 1, 2, 3, 4, 5, 6, 7 и 9.</w:t>
      </w:r>
    </w:p>
    <w:p w14:paraId="2437F95E" w14:textId="77777777" w:rsidR="002F3F4E" w:rsidRPr="009F6D1E" w:rsidRDefault="002F3F4E"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lang w:bidi="bg-BG"/>
        </w:rPr>
        <w:t xml:space="preserve">Към специфичните цели на стратегията се прилага </w:t>
      </w:r>
      <w:r w:rsidRPr="009F6D1E">
        <w:rPr>
          <w:rFonts w:cs="Times New Roman"/>
          <w:b/>
          <w:bCs/>
          <w:i/>
          <w:iCs/>
          <w:szCs w:val="24"/>
          <w:lang w:bidi="bg-BG"/>
        </w:rPr>
        <w:t>Интервенционната стратегия</w:t>
      </w:r>
      <w:r w:rsidRPr="009F6D1E">
        <w:rPr>
          <w:rFonts w:cs="Times New Roman"/>
          <w:szCs w:val="24"/>
          <w:lang w:bidi="bg-BG"/>
        </w:rPr>
        <w:t xml:space="preserve">, в която за всяка специфична цел, разгледана в Стратегическия план по </w:t>
      </w:r>
      <w:r w:rsidR="00D809BC" w:rsidRPr="009F6D1E">
        <w:rPr>
          <w:rFonts w:cs="Times New Roman"/>
          <w:szCs w:val="24"/>
          <w:lang w:bidi="bg-BG"/>
        </w:rPr>
        <w:t>РЗСР</w:t>
      </w:r>
      <w:r w:rsidRPr="009F6D1E">
        <w:rPr>
          <w:rFonts w:cs="Times New Roman"/>
          <w:szCs w:val="24"/>
          <w:lang w:bidi="bg-BG"/>
        </w:rPr>
        <w:t>, се определят:</w:t>
      </w:r>
    </w:p>
    <w:p w14:paraId="1266405A"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eastAsia="Times New Roman" w:cs="Times New Roman"/>
          <w:szCs w:val="24"/>
          <w:lang w:eastAsia="bg-BG" w:bidi="bg-BG"/>
        </w:rPr>
        <w:t>Целевите</w:t>
      </w:r>
      <w:r w:rsidRPr="009F6D1E">
        <w:rPr>
          <w:rFonts w:cs="Times New Roman"/>
          <w:szCs w:val="24"/>
          <w:lang w:bidi="bg-BG"/>
        </w:rPr>
        <w:t xml:space="preserve"> стойности за всички общи и където е целесъобразно — конкретни за Стратегическия план показатели за резултати и свързани с тях междинни цели.</w:t>
      </w:r>
      <w:r w:rsidRPr="009F6D1E">
        <w:rPr>
          <w:rFonts w:cs="Times New Roman"/>
          <w:szCs w:val="24"/>
          <w:lang w:bidi="bg-BG"/>
        </w:rPr>
        <w:br/>
        <w:t>Стойността на тези целеви стойности се обосновава с оглед на оценката на</w:t>
      </w:r>
      <w:r w:rsidRPr="009F6D1E">
        <w:rPr>
          <w:rFonts w:cs="Times New Roman"/>
          <w:szCs w:val="24"/>
          <w:lang w:bidi="bg-BG"/>
        </w:rPr>
        <w:br/>
        <w:t>потребностите. По отношение на специфичните цели, се извеждат целеви</w:t>
      </w:r>
      <w:r w:rsidRPr="009F6D1E">
        <w:rPr>
          <w:rFonts w:cs="Times New Roman"/>
          <w:szCs w:val="24"/>
          <w:lang w:bidi="bg-BG"/>
        </w:rPr>
        <w:br/>
        <w:t>стойности;</w:t>
      </w:r>
    </w:p>
    <w:p w14:paraId="77BF6ED2" w14:textId="778B30E5"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Интервенциите, основани на видовете интервенция, установени в дял III на</w:t>
      </w:r>
      <w:r w:rsidRPr="009F6D1E">
        <w:rPr>
          <w:rFonts w:cs="Times New Roman"/>
          <w:szCs w:val="24"/>
          <w:lang w:bidi="bg-BG"/>
        </w:rPr>
        <w:br/>
        <w:t xml:space="preserve">Проекта на </w:t>
      </w:r>
      <w:r w:rsidRPr="009F6D1E">
        <w:rPr>
          <w:rFonts w:eastAsia="Times New Roman" w:cs="Times New Roman"/>
          <w:szCs w:val="24"/>
          <w:lang w:eastAsia="bg-BG" w:bidi="bg-BG"/>
        </w:rPr>
        <w:t>регламент</w:t>
      </w:r>
      <w:r w:rsidRPr="009F6D1E">
        <w:rPr>
          <w:rFonts w:cs="Times New Roman"/>
          <w:szCs w:val="24"/>
          <w:lang w:bidi="bg-BG"/>
        </w:rPr>
        <w:t xml:space="preserve"> за Стратегическия план на </w:t>
      </w:r>
      <w:r w:rsidR="00D809BC" w:rsidRPr="009F6D1E">
        <w:rPr>
          <w:rFonts w:cs="Times New Roman"/>
          <w:szCs w:val="24"/>
          <w:lang w:bidi="bg-BG"/>
        </w:rPr>
        <w:t>РЗСР</w:t>
      </w:r>
      <w:r w:rsidRPr="009F6D1E">
        <w:rPr>
          <w:rFonts w:cs="Times New Roman"/>
          <w:szCs w:val="24"/>
          <w:lang w:bidi="bg-BG"/>
        </w:rPr>
        <w:t>, с изключение на</w:t>
      </w:r>
      <w:r w:rsidRPr="009F6D1E">
        <w:rPr>
          <w:rFonts w:cs="Times New Roman"/>
          <w:szCs w:val="24"/>
          <w:lang w:bidi="bg-BG"/>
        </w:rPr>
        <w:br/>
        <w:t>специалното плащане за култура — памук, се изготвят така, че да отговарят на конкретната ситуация в съответната област, като се следва не</w:t>
      </w:r>
      <w:r w:rsidR="00371700">
        <w:rPr>
          <w:rFonts w:cs="Times New Roman"/>
          <w:szCs w:val="24"/>
          <w:lang w:bidi="bg-BG"/>
        </w:rPr>
        <w:t>осп</w:t>
      </w:r>
      <w:r w:rsidRPr="009F6D1E">
        <w:rPr>
          <w:rFonts w:cs="Times New Roman"/>
          <w:szCs w:val="24"/>
          <w:lang w:bidi="bg-BG"/>
        </w:rPr>
        <w:t>орима логика</w:t>
      </w:r>
      <w:r w:rsidRPr="009F6D1E">
        <w:rPr>
          <w:rFonts w:cs="Times New Roman"/>
          <w:szCs w:val="24"/>
          <w:lang w:bidi="bg-BG"/>
        </w:rPr>
        <w:br/>
        <w:t>за интервенциите, подкрепена от предварителната оценка, SWOT анализа и</w:t>
      </w:r>
      <w:r w:rsidRPr="009F6D1E">
        <w:rPr>
          <w:rFonts w:cs="Times New Roman"/>
          <w:szCs w:val="24"/>
          <w:lang w:bidi="bg-BG"/>
        </w:rPr>
        <w:br/>
        <w:t>оценката на потребностите;</w:t>
      </w:r>
    </w:p>
    <w:p w14:paraId="060B5BFD"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Характеристики, които показват как интервенциите позволяват да бъдат</w:t>
      </w:r>
      <w:r w:rsidRPr="009F6D1E">
        <w:rPr>
          <w:rFonts w:cs="Times New Roman"/>
          <w:szCs w:val="24"/>
          <w:lang w:bidi="bg-BG"/>
        </w:rPr>
        <w:br/>
        <w:t xml:space="preserve">постигнати </w:t>
      </w:r>
      <w:r w:rsidRPr="009F6D1E">
        <w:rPr>
          <w:rFonts w:eastAsia="Times New Roman" w:cs="Times New Roman"/>
          <w:szCs w:val="24"/>
          <w:lang w:eastAsia="bg-BG" w:bidi="bg-BG"/>
        </w:rPr>
        <w:t>целевите</w:t>
      </w:r>
      <w:r w:rsidRPr="009F6D1E">
        <w:rPr>
          <w:rFonts w:cs="Times New Roman"/>
          <w:szCs w:val="24"/>
          <w:lang w:bidi="bg-BG"/>
        </w:rPr>
        <w:t xml:space="preserve"> стойности и начина, по който те са взаимно съгласувани и</w:t>
      </w:r>
      <w:r w:rsidRPr="009F6D1E">
        <w:rPr>
          <w:rFonts w:cs="Times New Roman"/>
          <w:szCs w:val="24"/>
          <w:lang w:bidi="bg-BG"/>
        </w:rPr>
        <w:br/>
        <w:t>съвместими;</w:t>
      </w:r>
    </w:p>
    <w:p w14:paraId="7CD4A963"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Характеристики, с които се доказва, че разпределянето на финансови средства за интервенциите по стратегическия план е обосновано и адекватно за</w:t>
      </w:r>
      <w:r w:rsidRPr="009F6D1E">
        <w:rPr>
          <w:rFonts w:cs="Times New Roman"/>
          <w:szCs w:val="24"/>
          <w:lang w:bidi="bg-BG"/>
        </w:rPr>
        <w:br/>
        <w:t>постигането на поставените целеви стойности и че то е в съответствие с</w:t>
      </w:r>
      <w:r w:rsidRPr="009F6D1E">
        <w:rPr>
          <w:rFonts w:cs="Times New Roman"/>
          <w:szCs w:val="24"/>
          <w:lang w:bidi="bg-BG"/>
        </w:rPr>
        <w:br/>
        <w:t>финансовия план.</w:t>
      </w:r>
    </w:p>
    <w:p w14:paraId="057328D0" w14:textId="77777777" w:rsidR="002F3F4E" w:rsidRPr="009F6D1E" w:rsidRDefault="002F3F4E" w:rsidP="0084747F">
      <w:pPr>
        <w:widowControl w:val="0"/>
        <w:tabs>
          <w:tab w:val="left" w:pos="5765"/>
        </w:tabs>
        <w:spacing w:after="60" w:line="264" w:lineRule="auto"/>
        <w:ind w:firstLine="720"/>
        <w:jc w:val="both"/>
        <w:rPr>
          <w:rFonts w:cs="Times New Roman"/>
          <w:szCs w:val="24"/>
        </w:rPr>
      </w:pPr>
      <w:r w:rsidRPr="009F6D1E">
        <w:rPr>
          <w:rFonts w:cs="Times New Roman"/>
          <w:b/>
          <w:bCs/>
          <w:i/>
          <w:iCs/>
          <w:szCs w:val="24"/>
        </w:rPr>
        <w:t>Интервенционната стратегия</w:t>
      </w:r>
      <w:r w:rsidRPr="009F6D1E">
        <w:rPr>
          <w:rFonts w:cs="Times New Roman"/>
          <w:szCs w:val="24"/>
        </w:rPr>
        <w:t xml:space="preserve"> предлага и следните характеристики, доказващи </w:t>
      </w:r>
      <w:r w:rsidRPr="009F6D1E">
        <w:rPr>
          <w:rFonts w:cs="Times New Roman"/>
          <w:szCs w:val="24"/>
          <w:lang w:bidi="bg-BG"/>
        </w:rPr>
        <w:lastRenderedPageBreak/>
        <w:t>последователността</w:t>
      </w:r>
      <w:r w:rsidRPr="009F6D1E">
        <w:rPr>
          <w:rFonts w:cs="Times New Roman"/>
          <w:szCs w:val="24"/>
        </w:rPr>
        <w:t xml:space="preserve"> на стратегията и взаимното допълване на интервенциите в рамките на специфичните цели:</w:t>
      </w:r>
    </w:p>
    <w:p w14:paraId="2DF17221"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Преглед на аспектите от Стратегическия план по </w:t>
      </w:r>
      <w:r w:rsidR="00D809BC" w:rsidRPr="009F6D1E">
        <w:rPr>
          <w:rFonts w:cs="Times New Roman"/>
          <w:szCs w:val="24"/>
          <w:lang w:bidi="bg-BG"/>
        </w:rPr>
        <w:t>РЗСР</w:t>
      </w:r>
      <w:r w:rsidRPr="009F6D1E">
        <w:rPr>
          <w:rFonts w:cs="Times New Roman"/>
          <w:szCs w:val="24"/>
          <w:lang w:bidi="bg-BG"/>
        </w:rPr>
        <w:t xml:space="preserve">, свързани с околната среда и климата, които описват взаимната </w:t>
      </w:r>
      <w:proofErr w:type="spellStart"/>
      <w:r w:rsidRPr="009F6D1E">
        <w:rPr>
          <w:rFonts w:cs="Times New Roman"/>
          <w:szCs w:val="24"/>
          <w:lang w:bidi="bg-BG"/>
        </w:rPr>
        <w:t>допълняемост</w:t>
      </w:r>
      <w:proofErr w:type="spellEnd"/>
      <w:r w:rsidRPr="009F6D1E">
        <w:rPr>
          <w:rFonts w:cs="Times New Roman"/>
          <w:szCs w:val="24"/>
          <w:lang w:bidi="bg-BG"/>
        </w:rPr>
        <w:t xml:space="preserve"> и базовите условия между предварителните условия и различните интервенции, насочени към специфичните цели, свързани с опазването на околната среда и във връзка с климата, както и начините за постигане на по-големия цялостен принос;</w:t>
      </w:r>
    </w:p>
    <w:p w14:paraId="22B4292B"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Обяснение за това как аспектите на Стратегическия план по </w:t>
      </w:r>
      <w:r w:rsidR="00D809BC" w:rsidRPr="009F6D1E">
        <w:rPr>
          <w:rFonts w:cs="Times New Roman"/>
          <w:szCs w:val="24"/>
          <w:lang w:bidi="bg-BG"/>
        </w:rPr>
        <w:t>РЗСР</w:t>
      </w:r>
      <w:r w:rsidRPr="009F6D1E">
        <w:rPr>
          <w:rFonts w:cs="Times New Roman"/>
          <w:szCs w:val="24"/>
          <w:lang w:bidi="bg-BG"/>
        </w:rPr>
        <w:t>, свързани с околната среда и климата, имат за цел да допринесат за вече установени дългосрочни национални целеви стойности, установени във или произтичащи от законодателните актове;</w:t>
      </w:r>
    </w:p>
    <w:p w14:paraId="749C0D8A"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По отношение на специфичната цел „привличане на млади земеделски стопани и улесняване на развитието на стопанската дейност“ се представя преглед на съответните интервенции по Стратегическия план по </w:t>
      </w:r>
      <w:r w:rsidR="00D809BC" w:rsidRPr="009F6D1E">
        <w:rPr>
          <w:rFonts w:cs="Times New Roman"/>
          <w:szCs w:val="24"/>
          <w:lang w:bidi="bg-BG"/>
        </w:rPr>
        <w:t>РЗСР</w:t>
      </w:r>
      <w:r w:rsidRPr="009F6D1E">
        <w:rPr>
          <w:rFonts w:cs="Times New Roman"/>
          <w:szCs w:val="24"/>
          <w:lang w:bidi="bg-BG"/>
        </w:rPr>
        <w:t xml:space="preserve"> и съответните специални условия. В този преглед също така се обяснява взаимодействието с националните актове с оглед на подобряването на последователността между действията на Съюза и националните действия в тази област;</w:t>
      </w:r>
    </w:p>
    <w:p w14:paraId="21C06CCF"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Преглед на свързаните със сектора интервенции, включително обвързано с производството подпомагане на доходите и на секторните интервенции,  като се предоставя обосновка за набелязването на съответните сектори, списъка на интервенциите по сектори, тяхната </w:t>
      </w:r>
      <w:proofErr w:type="spellStart"/>
      <w:r w:rsidRPr="009F6D1E">
        <w:rPr>
          <w:rFonts w:cs="Times New Roman"/>
          <w:szCs w:val="24"/>
          <w:lang w:bidi="bg-BG"/>
        </w:rPr>
        <w:t>допълняемост</w:t>
      </w:r>
      <w:proofErr w:type="spellEnd"/>
      <w:r w:rsidRPr="009F6D1E">
        <w:rPr>
          <w:rFonts w:cs="Times New Roman"/>
          <w:szCs w:val="24"/>
          <w:lang w:bidi="bg-BG"/>
        </w:rPr>
        <w:t>, както и възможните конкретни допълнителни целеви стойности, свързани с интервенциите, основани на секторните видове интервенции;</w:t>
      </w:r>
    </w:p>
    <w:p w14:paraId="6E1AF679"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Обяснение за това кои интервенции ще допринесат за осигуряването на последователен и интегриран подход към управлението на риска;</w:t>
      </w:r>
    </w:p>
    <w:p w14:paraId="1B6E5F6B" w14:textId="77777777" w:rsidR="002F3F4E" w:rsidRPr="009F6D1E" w:rsidRDefault="002F3F4E"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Описание на взаимодействието между националните и регионалните интервенции, включително разпределението на финансовите средства по интервенция и по фонд.</w:t>
      </w:r>
    </w:p>
    <w:p w14:paraId="744F4F3B" w14:textId="77777777" w:rsidR="002F3F4E" w:rsidRPr="009F6D1E" w:rsidRDefault="002F3F4E"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rPr>
        <w:t>Предвидените</w:t>
      </w:r>
      <w:r w:rsidRPr="009F6D1E">
        <w:rPr>
          <w:rFonts w:cs="Times New Roman"/>
          <w:szCs w:val="24"/>
          <w:lang w:bidi="bg-BG"/>
        </w:rPr>
        <w:t xml:space="preserve"> специфични интервенции, са пряко свързани с опазването на</w:t>
      </w:r>
      <w:r w:rsidRPr="009F6D1E">
        <w:rPr>
          <w:rFonts w:cs="Times New Roman"/>
          <w:szCs w:val="24"/>
          <w:lang w:bidi="bg-BG"/>
        </w:rPr>
        <w:br/>
        <w:t xml:space="preserve">околната среда. Така например за земеделски земи, попадащи в обхвата на защитените зони от Националната екологична мрежа - Натура 2000, за които са издадени заповеди за обявяването им, с разписани конкретни режими/ограничения/забрани за земеделски дейности, е предвидена интервенция </w:t>
      </w:r>
      <w:r w:rsidRPr="009F6D1E">
        <w:rPr>
          <w:rFonts w:cs="Times New Roman"/>
          <w:b/>
          <w:bCs/>
          <w:szCs w:val="24"/>
          <w:lang w:bidi="bg-BG"/>
        </w:rPr>
        <w:t xml:space="preserve">Плащания за </w:t>
      </w:r>
      <w:r w:rsidRPr="009F6D1E">
        <w:rPr>
          <w:rFonts w:cs="Times New Roman"/>
          <w:szCs w:val="24"/>
          <w:lang w:bidi="bg-BG"/>
        </w:rPr>
        <w:t xml:space="preserve">земеделски </w:t>
      </w:r>
      <w:r w:rsidRPr="009F6D1E">
        <w:rPr>
          <w:rFonts w:cs="Times New Roman"/>
          <w:b/>
          <w:bCs/>
          <w:szCs w:val="24"/>
          <w:lang w:bidi="bg-BG"/>
        </w:rPr>
        <w:t xml:space="preserve">земи в зони от Натура </w:t>
      </w:r>
      <w:r w:rsidRPr="009F6D1E">
        <w:rPr>
          <w:rFonts w:cs="Times New Roman"/>
          <w:b/>
          <w:szCs w:val="24"/>
          <w:lang w:bidi="bg-BG"/>
        </w:rPr>
        <w:t>2000</w:t>
      </w:r>
      <w:r w:rsidRPr="009F6D1E">
        <w:rPr>
          <w:rFonts w:cs="Times New Roman"/>
          <w:szCs w:val="24"/>
          <w:lang w:bidi="bg-BG"/>
        </w:rPr>
        <w:t>. Интервенцията ще допринесе за съхранението на биологичното разнообразие в България чрез опазването на видовете и местообитанията в естествената им среда. Устойчивите екосистеми в добро състояние притежават голям потенциал за смекчаване на последиците от изменението на климата. Положително ще бъде въздействието при компенсаторни плащания за земеделски земи, влажни зони, гори и т.</w:t>
      </w:r>
      <w:r w:rsidR="00580895" w:rsidRPr="009F6D1E">
        <w:rPr>
          <w:rFonts w:cs="Times New Roman"/>
          <w:szCs w:val="24"/>
          <w:lang w:bidi="bg-BG"/>
        </w:rPr>
        <w:t xml:space="preserve"> </w:t>
      </w:r>
      <w:r w:rsidRPr="009F6D1E">
        <w:rPr>
          <w:rFonts w:cs="Times New Roman"/>
          <w:szCs w:val="24"/>
          <w:lang w:bidi="bg-BG"/>
        </w:rPr>
        <w:t>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w:t>
      </w:r>
    </w:p>
    <w:p w14:paraId="219F6F97" w14:textId="77777777" w:rsidR="002F3F4E" w:rsidRPr="009F6D1E" w:rsidRDefault="002F3F4E"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rPr>
        <w:t>Сходна</w:t>
      </w:r>
      <w:r w:rsidRPr="009F6D1E">
        <w:rPr>
          <w:rFonts w:cs="Times New Roman"/>
          <w:szCs w:val="24"/>
          <w:lang w:bidi="bg-BG"/>
        </w:rPr>
        <w:t xml:space="preserve"> интервенция е предвидена и за гори и горски територии, попадащи в</w:t>
      </w:r>
      <w:r w:rsidRPr="009F6D1E">
        <w:rPr>
          <w:rFonts w:cs="Times New Roman"/>
          <w:szCs w:val="24"/>
          <w:lang w:bidi="bg-BG"/>
        </w:rPr>
        <w:br/>
        <w:t>обхвата на защитените зони по Натура 2000, за които са издадени заповеди за обявяването им, с разписани конкретни режими/ограничения/забрани.</w:t>
      </w:r>
    </w:p>
    <w:p w14:paraId="7C88AFB8" w14:textId="77777777" w:rsidR="002F3F4E" w:rsidRPr="009F6D1E" w:rsidRDefault="002F3F4E" w:rsidP="0084747F">
      <w:pPr>
        <w:widowControl w:val="0"/>
        <w:tabs>
          <w:tab w:val="left" w:pos="5765"/>
        </w:tabs>
        <w:spacing w:after="60" w:line="264" w:lineRule="auto"/>
        <w:ind w:firstLine="720"/>
        <w:jc w:val="both"/>
        <w:rPr>
          <w:rFonts w:cs="Times New Roman"/>
          <w:szCs w:val="24"/>
          <w:lang w:bidi="bg-BG"/>
        </w:rPr>
      </w:pPr>
      <w:r w:rsidRPr="009F6D1E">
        <w:rPr>
          <w:rFonts w:cs="Times New Roman"/>
          <w:szCs w:val="24"/>
          <w:lang w:bidi="bg-BG"/>
        </w:rPr>
        <w:lastRenderedPageBreak/>
        <w:t>Предвидено е също така и спазване на всички забрани или ограничения,</w:t>
      </w:r>
      <w:r w:rsidRPr="009F6D1E">
        <w:rPr>
          <w:rFonts w:cs="Times New Roman"/>
          <w:szCs w:val="24"/>
          <w:lang w:bidi="bg-BG"/>
        </w:rPr>
        <w:br/>
        <w:t>продиктувани от Закона за водите и Плановете за управление на речните басейни, както и от специалното законодателство, характерно за всяка една от областите на интервенция.</w:t>
      </w:r>
    </w:p>
    <w:p w14:paraId="22CA2B12" w14:textId="77777777" w:rsidR="00B83EED" w:rsidRPr="009F6D1E" w:rsidRDefault="00B83EED" w:rsidP="0084747F">
      <w:pPr>
        <w:widowControl w:val="0"/>
        <w:tabs>
          <w:tab w:val="left" w:pos="5765"/>
        </w:tabs>
        <w:spacing w:after="60" w:line="264" w:lineRule="auto"/>
        <w:ind w:firstLine="720"/>
        <w:jc w:val="both"/>
        <w:rPr>
          <w:rFonts w:cs="Times New Roman"/>
          <w:szCs w:val="24"/>
          <w:lang w:bidi="bg-BG"/>
        </w:rPr>
      </w:pPr>
    </w:p>
    <w:p w14:paraId="40E30384" w14:textId="77777777" w:rsidR="004D537A" w:rsidRPr="009F6D1E" w:rsidRDefault="00F637D5" w:rsidP="0084747F">
      <w:pPr>
        <w:widowControl w:val="0"/>
        <w:shd w:val="clear" w:color="auto" w:fill="D9D9D9" w:themeFill="background1" w:themeFillShade="D9"/>
        <w:tabs>
          <w:tab w:val="left" w:pos="5765"/>
        </w:tabs>
        <w:spacing w:after="60" w:line="264" w:lineRule="auto"/>
        <w:jc w:val="both"/>
        <w:rPr>
          <w:rFonts w:eastAsia="Times New Roman" w:cs="Times New Roman"/>
          <w:b/>
          <w:i/>
          <w:szCs w:val="24"/>
        </w:rPr>
      </w:pPr>
      <w:bookmarkStart w:id="32" w:name="_Hlk96518753"/>
      <w:r w:rsidRPr="009F6D1E">
        <w:rPr>
          <w:rFonts w:eastAsia="Times New Roman" w:cs="Times New Roman"/>
          <w:b/>
          <w:i/>
          <w:szCs w:val="24"/>
        </w:rPr>
        <w:t xml:space="preserve">СПЕЦИФИЧНИ ЦЕЛИ НА </w:t>
      </w:r>
      <w:r w:rsidR="00CD4045" w:rsidRPr="009F6D1E">
        <w:rPr>
          <w:rFonts w:eastAsia="Times New Roman" w:cs="Times New Roman"/>
          <w:b/>
          <w:i/>
          <w:szCs w:val="24"/>
        </w:rPr>
        <w:t>СПРЗСР</w:t>
      </w:r>
      <w:r w:rsidRPr="009F6D1E">
        <w:rPr>
          <w:rFonts w:eastAsia="Times New Roman" w:cs="Times New Roman"/>
          <w:b/>
          <w:i/>
          <w:szCs w:val="24"/>
        </w:rPr>
        <w:t xml:space="preserve"> 2023-2027г.:</w:t>
      </w:r>
    </w:p>
    <w:p w14:paraId="600ABEB6" w14:textId="77777777" w:rsidR="004C27CB" w:rsidRPr="009F6D1E" w:rsidRDefault="004C27CB" w:rsidP="0084747F">
      <w:pPr>
        <w:widowControl w:val="0"/>
        <w:tabs>
          <w:tab w:val="left" w:pos="5765"/>
        </w:tabs>
        <w:spacing w:after="60" w:line="264" w:lineRule="auto"/>
        <w:jc w:val="both"/>
        <w:rPr>
          <w:rFonts w:cs="Times New Roman"/>
          <w:b/>
          <w:szCs w:val="24"/>
          <w:lang w:bidi="bg-BG"/>
        </w:rPr>
      </w:pPr>
    </w:p>
    <w:p w14:paraId="17432B34" w14:textId="77777777" w:rsidR="004D537A"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bookmarkStart w:id="33" w:name="_Hlk98251193"/>
      <w:r w:rsidRPr="009F6D1E">
        <w:rPr>
          <w:rFonts w:cs="Times New Roman"/>
          <w:b/>
          <w:i/>
          <w:szCs w:val="24"/>
        </w:rPr>
        <w:t>Специфична цел №1</w:t>
      </w:r>
      <w:r w:rsidRPr="009F6D1E">
        <w:rPr>
          <w:rFonts w:cs="Times New Roman"/>
          <w:i/>
          <w:szCs w:val="24"/>
        </w:rPr>
        <w:t xml:space="preserve">: </w:t>
      </w:r>
      <w:r w:rsidR="00B20E7C" w:rsidRPr="009F6D1E">
        <w:rPr>
          <w:rFonts w:cs="Times New Roman"/>
          <w:b/>
          <w:i/>
          <w:szCs w:val="24"/>
          <w:u w:val="single"/>
        </w:rPr>
        <w:t>Подпомагане за надеждни земеделски доходи и устойчивост на селскостопанския сектор в целия Съюз с цел подобряване на дългосрочната продоволствена сигурност и разнообразието в селското стопанство, както и гарантиране на икономическата устойчивост на селскостопанското производство в Съюза</w:t>
      </w:r>
    </w:p>
    <w:p w14:paraId="06DD30A0" w14:textId="77777777" w:rsidR="00F637D5" w:rsidRPr="009F6D1E" w:rsidRDefault="00F637D5" w:rsidP="0084747F">
      <w:pPr>
        <w:spacing w:after="60" w:line="264" w:lineRule="auto"/>
        <w:ind w:firstLine="708"/>
        <w:jc w:val="both"/>
        <w:rPr>
          <w:rFonts w:cs="Times New Roman"/>
          <w:lang w:bidi="bg-BG"/>
        </w:rPr>
      </w:pPr>
    </w:p>
    <w:tbl>
      <w:tblPr>
        <w:tblStyle w:val="TableGrid"/>
        <w:tblW w:w="5000" w:type="pct"/>
        <w:jc w:val="center"/>
        <w:tblLook w:val="04A0" w:firstRow="1" w:lastRow="0" w:firstColumn="1" w:lastColumn="0" w:noHBand="0" w:noVBand="1"/>
      </w:tblPr>
      <w:tblGrid>
        <w:gridCol w:w="709"/>
        <w:gridCol w:w="4392"/>
        <w:gridCol w:w="4527"/>
      </w:tblGrid>
      <w:tr w:rsidR="007F128A" w:rsidRPr="009F6D1E" w14:paraId="03E81018" w14:textId="77777777" w:rsidTr="008F53B4">
        <w:trPr>
          <w:tblHeader/>
          <w:jc w:val="center"/>
        </w:trPr>
        <w:tc>
          <w:tcPr>
            <w:tcW w:w="368" w:type="pct"/>
            <w:shd w:val="clear" w:color="auto" w:fill="F7CAAC" w:themeFill="accent2" w:themeFillTint="66"/>
          </w:tcPr>
          <w:p w14:paraId="6E9F2F95" w14:textId="77777777" w:rsidR="007F128A" w:rsidRPr="009F6D1E" w:rsidRDefault="00CB1B08" w:rsidP="0084747F">
            <w:pPr>
              <w:widowControl w:val="0"/>
              <w:tabs>
                <w:tab w:val="left" w:pos="1080"/>
              </w:tabs>
              <w:spacing w:after="60" w:line="264" w:lineRule="auto"/>
              <w:jc w:val="center"/>
              <w:rPr>
                <w:rFonts w:eastAsia="Times New Roman" w:cs="Times New Roman"/>
                <w:b/>
                <w:bCs/>
                <w:iCs/>
                <w:lang w:eastAsia="bg-BG" w:bidi="bg-BG"/>
              </w:rPr>
            </w:pPr>
            <w:bookmarkStart w:id="34" w:name="_Hlk96087948"/>
            <w:r w:rsidRPr="009F6D1E">
              <w:rPr>
                <w:rFonts w:eastAsia="Times New Roman" w:cs="Times New Roman"/>
                <w:b/>
                <w:bCs/>
                <w:iCs/>
                <w:lang w:eastAsia="bg-BG" w:bidi="bg-BG"/>
              </w:rPr>
              <w:t>№</w:t>
            </w:r>
          </w:p>
        </w:tc>
        <w:tc>
          <w:tcPr>
            <w:tcW w:w="2281" w:type="pct"/>
            <w:shd w:val="clear" w:color="auto" w:fill="F7CAAC" w:themeFill="accent2" w:themeFillTint="66"/>
          </w:tcPr>
          <w:p w14:paraId="6BF14F94" w14:textId="77777777" w:rsidR="007F128A"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2351" w:type="pct"/>
            <w:shd w:val="clear" w:color="auto" w:fill="F7CAAC" w:themeFill="accent2" w:themeFillTint="66"/>
          </w:tcPr>
          <w:p w14:paraId="2386C2B3" w14:textId="77777777" w:rsidR="007F128A" w:rsidRPr="009F6D1E" w:rsidRDefault="00CB1B08" w:rsidP="0084747F">
            <w:pPr>
              <w:widowControl w:val="0"/>
              <w:tabs>
                <w:tab w:val="left" w:pos="1080"/>
              </w:tabs>
              <w:spacing w:after="60" w:line="264" w:lineRule="auto"/>
              <w:jc w:val="center"/>
              <w:rPr>
                <w:rFonts w:eastAsia="Times New Roman" w:cs="Times New Roman"/>
                <w:b/>
                <w:bCs/>
                <w:iCs/>
                <w:u w:val="single"/>
                <w:lang w:eastAsia="bg-BG" w:bidi="bg-BG"/>
              </w:rPr>
            </w:pPr>
            <w:r w:rsidRPr="009F6D1E">
              <w:rPr>
                <w:rFonts w:eastAsia="Times New Roman" w:cs="Times New Roman"/>
                <w:b/>
                <w:bCs/>
                <w:iCs/>
                <w:lang w:eastAsia="bg-BG" w:bidi="bg-BG"/>
              </w:rPr>
              <w:t>ИНТЕРВЕНЦИЯ</w:t>
            </w:r>
          </w:p>
        </w:tc>
      </w:tr>
      <w:tr w:rsidR="00D05F80" w:rsidRPr="009F6D1E" w14:paraId="74427BA2" w14:textId="77777777" w:rsidTr="008F53B4">
        <w:trPr>
          <w:jc w:val="center"/>
        </w:trPr>
        <w:tc>
          <w:tcPr>
            <w:tcW w:w="368" w:type="pct"/>
          </w:tcPr>
          <w:p w14:paraId="78BE0BA2" w14:textId="77777777" w:rsidR="00D05F80" w:rsidRPr="009F6D1E" w:rsidRDefault="00D05F8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r w:rsidR="00134DD1" w:rsidRPr="009F6D1E">
              <w:rPr>
                <w:rFonts w:eastAsia="Times New Roman" w:cs="Times New Roman"/>
                <w:b/>
                <w:bCs/>
                <w:i/>
                <w:lang w:eastAsia="bg-BG" w:bidi="bg-BG"/>
              </w:rPr>
              <w:t>.</w:t>
            </w:r>
          </w:p>
        </w:tc>
        <w:tc>
          <w:tcPr>
            <w:tcW w:w="2281" w:type="pct"/>
          </w:tcPr>
          <w:p w14:paraId="2DD1386B" w14:textId="77777777" w:rsidR="00D05F80" w:rsidRPr="009F6D1E" w:rsidRDefault="0055253D" w:rsidP="0084747F">
            <w:pPr>
              <w:widowControl w:val="0"/>
              <w:spacing w:after="60" w:line="264" w:lineRule="auto"/>
              <w:jc w:val="both"/>
              <w:rPr>
                <w:rFonts w:eastAsia="Times New Roman" w:cs="Times New Roman"/>
                <w:b/>
                <w:bCs/>
                <w:i/>
                <w:u w:val="single"/>
                <w:lang w:eastAsia="bg-BG" w:bidi="bg-BG"/>
              </w:rPr>
            </w:pPr>
            <w:r w:rsidRPr="009F6D1E">
              <w:rPr>
                <w:rFonts w:eastAsia="Times New Roman" w:cs="Times New Roman"/>
                <w:b/>
                <w:bCs/>
                <w:i/>
                <w:iCs/>
                <w:u w:val="single"/>
                <w:lang w:eastAsia="bg-BG" w:bidi="bg-BG"/>
              </w:rPr>
              <w:t>П.1.1.</w:t>
            </w:r>
            <w:r w:rsidRPr="009F6D1E">
              <w:rPr>
                <w:rFonts w:eastAsia="Times New Roman" w:cs="Times New Roman"/>
                <w:b/>
                <w:bCs/>
                <w:i/>
                <w:iCs/>
                <w:lang w:eastAsia="bg-BG" w:bidi="bg-BG"/>
              </w:rPr>
              <w:t xml:space="preserve"> Необходимост от подпомагане на доходите на земеделските стопани, с цел сближаването им със средното равнище на доходи в другите сектори в икономиката</w:t>
            </w:r>
            <w:r w:rsidR="001411D3" w:rsidRPr="009F6D1E">
              <w:rPr>
                <w:rFonts w:eastAsia="Times New Roman" w:cs="Times New Roman"/>
                <w:b/>
                <w:bCs/>
                <w:i/>
                <w:iCs/>
                <w:lang w:eastAsia="bg-BG" w:bidi="bg-BG"/>
              </w:rPr>
              <w:t>.</w:t>
            </w:r>
          </w:p>
        </w:tc>
        <w:tc>
          <w:tcPr>
            <w:tcW w:w="2351" w:type="pct"/>
          </w:tcPr>
          <w:p w14:paraId="4E6E305F" w14:textId="77777777" w:rsidR="00D05F80" w:rsidRPr="009F6D1E" w:rsidRDefault="00D05F80" w:rsidP="0084747F">
            <w:pPr>
              <w:autoSpaceDE w:val="0"/>
              <w:autoSpaceDN w:val="0"/>
              <w:adjustRightInd w:val="0"/>
              <w:spacing w:after="60" w:line="264" w:lineRule="auto"/>
              <w:jc w:val="both"/>
              <w:rPr>
                <w:rFonts w:eastAsia="Times New Roman" w:cs="Times New Roman"/>
                <w:i/>
                <w:u w:val="single"/>
                <w:lang w:eastAsia="bg-BG" w:bidi="bg-BG"/>
              </w:rPr>
            </w:pPr>
            <w:r w:rsidRPr="009F6D1E">
              <w:rPr>
                <w:rFonts w:cs="Times New Roman"/>
                <w:bCs/>
                <w:i/>
                <w:lang w:bidi="bg-BG"/>
              </w:rPr>
              <w:t>„Основно подпомагане на доходите за устойчивост“</w:t>
            </w:r>
            <w:r w:rsidR="00F637D5" w:rsidRPr="009F6D1E">
              <w:rPr>
                <w:rFonts w:cs="Times New Roman"/>
                <w:bCs/>
                <w:i/>
                <w:lang w:bidi="bg-BG"/>
              </w:rPr>
              <w:t>,</w:t>
            </w:r>
            <w:r w:rsidRPr="009F6D1E">
              <w:rPr>
                <w:rFonts w:cs="Times New Roman"/>
                <w:bCs/>
                <w:i/>
                <w:lang w:bidi="bg-BG"/>
              </w:rPr>
              <w:t xml:space="preserve"> съгл. чл. </w:t>
            </w:r>
            <w:r w:rsidR="001411D3" w:rsidRPr="009F6D1E">
              <w:rPr>
                <w:rFonts w:cs="Times New Roman"/>
                <w:bCs/>
                <w:i/>
                <w:lang w:bidi="bg-BG"/>
              </w:rPr>
              <w:t>20</w:t>
            </w:r>
            <w:r w:rsidRPr="009F6D1E">
              <w:rPr>
                <w:rFonts w:cs="Times New Roman"/>
                <w:bCs/>
                <w:i/>
                <w:lang w:bidi="bg-BG"/>
              </w:rPr>
              <w:t xml:space="preserve"> </w:t>
            </w:r>
            <w:r w:rsidR="00F637D5" w:rsidRPr="009F6D1E">
              <w:rPr>
                <w:rFonts w:cs="Times New Roman"/>
                <w:bCs/>
                <w:i/>
                <w:lang w:bidi="bg-BG"/>
              </w:rPr>
              <w:t xml:space="preserve">от ЕФГЗ </w:t>
            </w:r>
            <w:r w:rsidRPr="009F6D1E">
              <w:rPr>
                <w:rFonts w:cs="Times New Roman"/>
                <w:bCs/>
                <w:i/>
                <w:lang w:bidi="bg-BG"/>
              </w:rPr>
              <w:t xml:space="preserve">„Необвързано с производството директно плащане“ - </w:t>
            </w:r>
            <w:r w:rsidRPr="009F6D1E">
              <w:rPr>
                <w:rFonts w:cs="Times New Roman"/>
                <w:b/>
                <w:lang w:bidi="bg-BG"/>
              </w:rPr>
              <w:t>з</w:t>
            </w:r>
            <w:r w:rsidRPr="009F6D1E">
              <w:rPr>
                <w:rFonts w:cs="Times New Roman"/>
                <w:lang w:bidi="bg-BG"/>
              </w:rPr>
              <w:t>а подпомагане на доходите на земеделските стопани, с цел сближаването им със средното равнище на доходи в другите сектори в икономиката;</w:t>
            </w:r>
          </w:p>
        </w:tc>
      </w:tr>
      <w:bookmarkEnd w:id="34"/>
      <w:tr w:rsidR="004E0B16" w:rsidRPr="009F6D1E" w14:paraId="4905D38F" w14:textId="77777777" w:rsidTr="008F53B4">
        <w:trPr>
          <w:trHeight w:val="952"/>
          <w:jc w:val="center"/>
        </w:trPr>
        <w:tc>
          <w:tcPr>
            <w:tcW w:w="368" w:type="pct"/>
          </w:tcPr>
          <w:p w14:paraId="358DEEDD" w14:textId="77777777" w:rsidR="004E0B16" w:rsidRPr="009F6D1E" w:rsidRDefault="004E0B1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2.</w:t>
            </w:r>
          </w:p>
        </w:tc>
        <w:tc>
          <w:tcPr>
            <w:tcW w:w="2281" w:type="pct"/>
          </w:tcPr>
          <w:p w14:paraId="21115540" w14:textId="77777777" w:rsidR="001411D3" w:rsidRPr="009F6D1E" w:rsidRDefault="0055253D"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П.1.2.</w:t>
            </w:r>
            <w:r w:rsidRPr="009F6D1E">
              <w:rPr>
                <w:rFonts w:eastAsia="Times New Roman" w:cs="Times New Roman"/>
                <w:b/>
                <w:bCs/>
                <w:i/>
                <w:iCs/>
                <w:lang w:eastAsia="bg-BG" w:bidi="bg-BG"/>
              </w:rPr>
              <w:t xml:space="preserve"> Повишаване на ефективността на подкрепата и увеличаване на икономическия потенциал на малките и средни стопанства</w:t>
            </w:r>
            <w:r w:rsidR="001411D3" w:rsidRPr="009F6D1E">
              <w:rPr>
                <w:rFonts w:eastAsia="Times New Roman" w:cs="Times New Roman"/>
                <w:b/>
                <w:bCs/>
                <w:i/>
                <w:iCs/>
                <w:lang w:eastAsia="bg-BG" w:bidi="bg-BG"/>
              </w:rPr>
              <w:t>.</w:t>
            </w:r>
          </w:p>
          <w:p w14:paraId="31003E3C" w14:textId="77777777" w:rsidR="001411D3" w:rsidRPr="009F6D1E" w:rsidRDefault="001411D3" w:rsidP="0084747F">
            <w:pPr>
              <w:widowControl w:val="0"/>
              <w:spacing w:after="60" w:line="264" w:lineRule="auto"/>
              <w:jc w:val="both"/>
              <w:rPr>
                <w:rFonts w:eastAsia="Times New Roman" w:cs="Times New Roman"/>
                <w:b/>
                <w:bCs/>
                <w:i/>
                <w:iCs/>
                <w:lang w:eastAsia="bg-BG" w:bidi="bg-BG"/>
              </w:rPr>
            </w:pPr>
          </w:p>
          <w:p w14:paraId="7160504C" w14:textId="77777777" w:rsidR="001411D3" w:rsidRPr="009F6D1E" w:rsidRDefault="001411D3" w:rsidP="0084747F">
            <w:pPr>
              <w:widowControl w:val="0"/>
              <w:spacing w:after="60" w:line="264" w:lineRule="auto"/>
              <w:jc w:val="both"/>
              <w:rPr>
                <w:rFonts w:eastAsia="Times New Roman" w:cs="Times New Roman"/>
                <w:b/>
                <w:bCs/>
                <w:i/>
                <w:iCs/>
                <w:lang w:eastAsia="bg-BG" w:bidi="bg-BG"/>
              </w:rPr>
            </w:pPr>
          </w:p>
          <w:p w14:paraId="16F55EE9" w14:textId="77777777" w:rsidR="001411D3" w:rsidRPr="009F6D1E" w:rsidRDefault="001411D3" w:rsidP="0084747F">
            <w:pPr>
              <w:widowControl w:val="0"/>
              <w:spacing w:after="60" w:line="264" w:lineRule="auto"/>
              <w:jc w:val="both"/>
              <w:rPr>
                <w:rFonts w:eastAsia="Times New Roman" w:cs="Times New Roman"/>
                <w:b/>
                <w:bCs/>
                <w:i/>
                <w:iCs/>
                <w:lang w:eastAsia="bg-BG" w:bidi="bg-BG"/>
              </w:rPr>
            </w:pPr>
          </w:p>
          <w:p w14:paraId="5E46C851" w14:textId="77777777" w:rsidR="001411D3" w:rsidRPr="009F6D1E" w:rsidRDefault="001411D3" w:rsidP="0084747F">
            <w:pPr>
              <w:widowControl w:val="0"/>
              <w:spacing w:after="60" w:line="264" w:lineRule="auto"/>
              <w:jc w:val="both"/>
              <w:rPr>
                <w:rFonts w:eastAsia="Times New Roman" w:cs="Times New Roman"/>
                <w:b/>
                <w:bCs/>
                <w:i/>
                <w:iCs/>
                <w:lang w:eastAsia="bg-BG" w:bidi="bg-BG"/>
              </w:rPr>
            </w:pPr>
          </w:p>
        </w:tc>
        <w:tc>
          <w:tcPr>
            <w:tcW w:w="2351" w:type="pct"/>
          </w:tcPr>
          <w:p w14:paraId="5C7FA3B1" w14:textId="77777777" w:rsidR="001411D3" w:rsidRPr="009F6D1E" w:rsidRDefault="004E0B16" w:rsidP="0084747F">
            <w:pPr>
              <w:widowControl w:val="0"/>
              <w:tabs>
                <w:tab w:val="left" w:pos="1080"/>
              </w:tabs>
              <w:spacing w:after="60" w:line="264" w:lineRule="auto"/>
              <w:jc w:val="both"/>
              <w:rPr>
                <w:rFonts w:cs="Times New Roman"/>
                <w:lang w:bidi="bg-BG"/>
              </w:rPr>
            </w:pPr>
            <w:r w:rsidRPr="009F6D1E">
              <w:rPr>
                <w:rFonts w:cs="Times New Roman"/>
                <w:bCs/>
                <w:i/>
                <w:lang w:bidi="bg-BG"/>
              </w:rPr>
              <w:t>„Допълнително преразпределително подпомагане на доходите за устойчивост“</w:t>
            </w:r>
            <w:r w:rsidRPr="009F6D1E">
              <w:rPr>
                <w:rFonts w:cs="Times New Roman"/>
                <w:bCs/>
                <w:lang w:bidi="bg-BG"/>
              </w:rPr>
              <w:t>,</w:t>
            </w:r>
            <w:r w:rsidRPr="009F6D1E">
              <w:rPr>
                <w:rFonts w:cs="Times New Roman"/>
                <w:b/>
                <w:lang w:bidi="bg-BG"/>
              </w:rPr>
              <w:t xml:space="preserve"> </w:t>
            </w:r>
            <w:r w:rsidRPr="009F6D1E">
              <w:rPr>
                <w:rFonts w:cs="Times New Roman"/>
                <w:lang w:bidi="bg-BG"/>
              </w:rPr>
              <w:t>тип интервенция</w:t>
            </w:r>
            <w:r w:rsidRPr="009F6D1E">
              <w:rPr>
                <w:rFonts w:cs="Times New Roman"/>
                <w:b/>
                <w:lang w:bidi="bg-BG"/>
              </w:rPr>
              <w:t xml:space="preserve"> </w:t>
            </w:r>
            <w:r w:rsidRPr="009F6D1E">
              <w:rPr>
                <w:rFonts w:cs="Times New Roman"/>
                <w:lang w:bidi="bg-BG"/>
              </w:rPr>
              <w:t xml:space="preserve">Допълнително необвързано с производството директно плащане </w:t>
            </w:r>
          </w:p>
          <w:p w14:paraId="27B79618" w14:textId="77777777" w:rsidR="004E0B16" w:rsidRPr="009F6D1E" w:rsidRDefault="001411D3" w:rsidP="0084747F">
            <w:pPr>
              <w:widowControl w:val="0"/>
              <w:tabs>
                <w:tab w:val="left" w:pos="1080"/>
              </w:tabs>
              <w:spacing w:after="60" w:line="264" w:lineRule="auto"/>
              <w:jc w:val="both"/>
              <w:rPr>
                <w:rFonts w:eastAsia="Times New Roman" w:cs="Times New Roman"/>
                <w:i/>
                <w:u w:val="single"/>
                <w:lang w:eastAsia="bg-BG" w:bidi="bg-BG"/>
              </w:rPr>
            </w:pPr>
            <w:r w:rsidRPr="009F6D1E">
              <w:rPr>
                <w:rFonts w:cs="Times New Roman"/>
                <w:lang w:bidi="bg-BG"/>
              </w:rPr>
              <w:t>Тази потребност ще бъде адресирана и с интервенцията „</w:t>
            </w:r>
            <w:r w:rsidRPr="009F6D1E">
              <w:rPr>
                <w:rFonts w:cs="Times New Roman"/>
                <w:i/>
                <w:iCs/>
                <w:lang w:bidi="bg-BG"/>
              </w:rPr>
              <w:t>Плащания за малки земеделски стопани</w:t>
            </w:r>
            <w:r w:rsidRPr="009F6D1E">
              <w:rPr>
                <w:rFonts w:cs="Times New Roman"/>
                <w:lang w:bidi="bg-BG"/>
              </w:rPr>
              <w:t xml:space="preserve">“, съгласно чл. 28. </w:t>
            </w:r>
            <w:r w:rsidR="004E0B16" w:rsidRPr="009F6D1E">
              <w:rPr>
                <w:rFonts w:cs="Times New Roman"/>
                <w:b/>
                <w:lang w:bidi="bg-BG"/>
              </w:rPr>
              <w:t xml:space="preserve">от </w:t>
            </w:r>
            <w:r w:rsidR="004E0B16" w:rsidRPr="009F6D1E">
              <w:rPr>
                <w:rFonts w:cs="Times New Roman"/>
                <w:lang w:bidi="bg-BG"/>
              </w:rPr>
              <w:t>ЕФГЗ</w:t>
            </w:r>
            <w:r w:rsidRPr="009F6D1E">
              <w:rPr>
                <w:rFonts w:cs="Times New Roman"/>
                <w:lang w:bidi="bg-BG"/>
              </w:rPr>
              <w:t>.</w:t>
            </w:r>
          </w:p>
        </w:tc>
      </w:tr>
      <w:tr w:rsidR="004E0B16" w:rsidRPr="009F6D1E" w14:paraId="0EAC5C62" w14:textId="77777777" w:rsidTr="008F53B4">
        <w:trPr>
          <w:jc w:val="center"/>
        </w:trPr>
        <w:tc>
          <w:tcPr>
            <w:tcW w:w="368" w:type="pct"/>
          </w:tcPr>
          <w:p w14:paraId="7F9201AB" w14:textId="77777777" w:rsidR="004E0B16" w:rsidRPr="009F6D1E" w:rsidRDefault="004E0B1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3.</w:t>
            </w:r>
          </w:p>
        </w:tc>
        <w:tc>
          <w:tcPr>
            <w:tcW w:w="2281" w:type="pct"/>
          </w:tcPr>
          <w:p w14:paraId="1F56EC78" w14:textId="77777777" w:rsidR="0055253D" w:rsidRPr="009F6D1E" w:rsidRDefault="0055253D"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П.1.3.</w:t>
            </w:r>
            <w:r w:rsidRPr="009F6D1E">
              <w:rPr>
                <w:rFonts w:eastAsia="Times New Roman" w:cs="Times New Roman"/>
                <w:b/>
                <w:bCs/>
                <w:i/>
                <w:iCs/>
                <w:lang w:eastAsia="bg-BG" w:bidi="bg-BG"/>
              </w:rPr>
              <w:t xml:space="preserve"> Потребност от подпомагане на земеделските стопанства в секторите зеленчуци, трайни насаждения и преживни животни за увеличаване на икономическия им потенциал;</w:t>
            </w:r>
          </w:p>
          <w:p w14:paraId="64BA6812" w14:textId="77777777" w:rsidR="004E0B16" w:rsidRPr="009F6D1E" w:rsidRDefault="004E0B16" w:rsidP="0084747F">
            <w:pPr>
              <w:widowControl w:val="0"/>
              <w:spacing w:after="60" w:line="264" w:lineRule="auto"/>
              <w:ind w:left="720"/>
              <w:jc w:val="both"/>
              <w:rPr>
                <w:rFonts w:eastAsia="Times New Roman" w:cs="Times New Roman"/>
                <w:b/>
                <w:bCs/>
                <w:i/>
                <w:iCs/>
                <w:lang w:eastAsia="bg-BG" w:bidi="bg-BG"/>
              </w:rPr>
            </w:pPr>
          </w:p>
        </w:tc>
        <w:tc>
          <w:tcPr>
            <w:tcW w:w="2351" w:type="pct"/>
          </w:tcPr>
          <w:p w14:paraId="5E376862" w14:textId="5AD565ED" w:rsidR="004E0B16" w:rsidRPr="009F6D1E" w:rsidRDefault="001411D3" w:rsidP="0084747F">
            <w:pPr>
              <w:widowControl w:val="0"/>
              <w:tabs>
                <w:tab w:val="left" w:pos="1080"/>
              </w:tabs>
              <w:spacing w:after="60" w:line="264" w:lineRule="auto"/>
              <w:jc w:val="both"/>
              <w:rPr>
                <w:rFonts w:cs="Times New Roman"/>
                <w:bCs/>
                <w:lang w:bidi="bg-BG"/>
              </w:rPr>
            </w:pPr>
            <w:r w:rsidRPr="009F6D1E">
              <w:rPr>
                <w:rFonts w:cs="Times New Roman"/>
                <w:lang w:bidi="bg-BG"/>
              </w:rPr>
              <w:t>„</w:t>
            </w:r>
            <w:r w:rsidRPr="009F6D1E">
              <w:rPr>
                <w:rFonts w:cs="Times New Roman"/>
                <w:i/>
                <w:iCs/>
                <w:lang w:bidi="bg-BG"/>
              </w:rPr>
              <w:t>Обвързано с производството подпомагане на доходите</w:t>
            </w:r>
            <w:r w:rsidRPr="009F6D1E">
              <w:rPr>
                <w:rFonts w:cs="Times New Roman"/>
                <w:lang w:bidi="bg-BG"/>
              </w:rPr>
              <w:t xml:space="preserve">, съгласно чл. 32-34 </w:t>
            </w:r>
            <w:r w:rsidRPr="009F6D1E">
              <w:rPr>
                <w:rFonts w:cs="Times New Roman"/>
                <w:b/>
                <w:lang w:bidi="bg-BG"/>
              </w:rPr>
              <w:t xml:space="preserve">от </w:t>
            </w:r>
            <w:r w:rsidRPr="009F6D1E">
              <w:rPr>
                <w:rFonts w:cs="Times New Roman"/>
                <w:lang w:bidi="bg-BG"/>
              </w:rPr>
              <w:t>ЕФГЗ. Чрез подкрепата на сектори и производства, изпитващи трудности, ще се подобрява тяхната конкурентос</w:t>
            </w:r>
            <w:r w:rsidR="004C4004">
              <w:rPr>
                <w:rFonts w:cs="Times New Roman"/>
                <w:lang w:bidi="bg-BG"/>
              </w:rPr>
              <w:t>п</w:t>
            </w:r>
            <w:r w:rsidRPr="009F6D1E">
              <w:rPr>
                <w:rFonts w:cs="Times New Roman"/>
                <w:lang w:bidi="bg-BG"/>
              </w:rPr>
              <w:t>о</w:t>
            </w:r>
            <w:r w:rsidR="004C4004">
              <w:rPr>
                <w:rFonts w:cs="Times New Roman"/>
                <w:lang w:bidi="bg-BG"/>
              </w:rPr>
              <w:t>со</w:t>
            </w:r>
            <w:r w:rsidRPr="009F6D1E">
              <w:rPr>
                <w:rFonts w:cs="Times New Roman"/>
                <w:lang w:bidi="bg-BG"/>
              </w:rPr>
              <w:t>бност, устойчивост, качество и икономически потенциал.</w:t>
            </w:r>
          </w:p>
        </w:tc>
      </w:tr>
      <w:tr w:rsidR="007F128A" w:rsidRPr="009F6D1E" w14:paraId="06EA369E" w14:textId="77777777" w:rsidTr="008F53B4">
        <w:trPr>
          <w:jc w:val="center"/>
        </w:trPr>
        <w:tc>
          <w:tcPr>
            <w:tcW w:w="368" w:type="pct"/>
          </w:tcPr>
          <w:p w14:paraId="0560DAD8" w14:textId="77777777" w:rsidR="007F128A" w:rsidRPr="009F6D1E" w:rsidRDefault="004E0B1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2281" w:type="pct"/>
          </w:tcPr>
          <w:p w14:paraId="6FB84FA1" w14:textId="77777777" w:rsidR="0055253D" w:rsidRPr="009F6D1E" w:rsidRDefault="0055253D"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П.1.4.</w:t>
            </w:r>
            <w:r w:rsidRPr="009F6D1E">
              <w:rPr>
                <w:rFonts w:eastAsia="Times New Roman" w:cs="Times New Roman"/>
                <w:b/>
                <w:bCs/>
                <w:i/>
                <w:iCs/>
                <w:lang w:eastAsia="bg-BG" w:bidi="bg-BG"/>
              </w:rPr>
              <w:t xml:space="preserve"> Укрепване жизнеспособността на земеделските стопанства в </w:t>
            </w:r>
            <w:r w:rsidRPr="009F6D1E">
              <w:rPr>
                <w:rFonts w:eastAsia="Times New Roman" w:cs="Times New Roman"/>
                <w:b/>
                <w:bCs/>
                <w:i/>
                <w:iCs/>
                <w:lang w:eastAsia="bg-BG" w:bidi="bg-BG"/>
              </w:rPr>
              <w:lastRenderedPageBreak/>
              <w:t xml:space="preserve">районите с природни и други ограничения; </w:t>
            </w:r>
          </w:p>
          <w:p w14:paraId="0CD3D86A" w14:textId="77777777" w:rsidR="007F128A" w:rsidRPr="009F6D1E" w:rsidRDefault="007F128A" w:rsidP="0084747F">
            <w:pPr>
              <w:widowControl w:val="0"/>
              <w:spacing w:after="60" w:line="264" w:lineRule="auto"/>
              <w:jc w:val="both"/>
              <w:rPr>
                <w:rFonts w:eastAsia="Times New Roman" w:cs="Times New Roman"/>
                <w:b/>
                <w:bCs/>
                <w:i/>
                <w:u w:val="single"/>
                <w:lang w:eastAsia="bg-BG" w:bidi="bg-BG"/>
              </w:rPr>
            </w:pPr>
          </w:p>
        </w:tc>
        <w:tc>
          <w:tcPr>
            <w:tcW w:w="2351" w:type="pct"/>
          </w:tcPr>
          <w:p w14:paraId="362216FA" w14:textId="77777777" w:rsidR="007F128A" w:rsidRPr="009F6D1E" w:rsidRDefault="00EC4B14" w:rsidP="0084747F">
            <w:pPr>
              <w:autoSpaceDE w:val="0"/>
              <w:autoSpaceDN w:val="0"/>
              <w:adjustRightInd w:val="0"/>
              <w:spacing w:after="60" w:line="264" w:lineRule="auto"/>
              <w:jc w:val="both"/>
              <w:rPr>
                <w:rFonts w:cs="Times New Roman"/>
                <w:bCs/>
                <w:lang w:bidi="bg-BG"/>
              </w:rPr>
            </w:pPr>
            <w:r w:rsidRPr="009F6D1E">
              <w:rPr>
                <w:rFonts w:cs="Times New Roman"/>
                <w:bCs/>
                <w:i/>
                <w:iCs/>
                <w:lang w:bidi="bg-BG"/>
              </w:rPr>
              <w:lastRenderedPageBreak/>
              <w:t xml:space="preserve">„Подпомагане за райони, изправени пред природни или други специфични </w:t>
            </w:r>
            <w:r w:rsidRPr="009F6D1E">
              <w:rPr>
                <w:rFonts w:cs="Times New Roman"/>
                <w:bCs/>
                <w:i/>
                <w:iCs/>
                <w:lang w:bidi="bg-BG"/>
              </w:rPr>
              <w:lastRenderedPageBreak/>
              <w:t>ограничения― – член 71</w:t>
            </w:r>
            <w:r w:rsidRPr="009F6D1E">
              <w:rPr>
                <w:rFonts w:cs="Times New Roman"/>
              </w:rPr>
              <w:t xml:space="preserve"> </w:t>
            </w:r>
            <w:r w:rsidRPr="009F6D1E">
              <w:rPr>
                <w:rFonts w:cs="Times New Roman"/>
                <w:bCs/>
                <w:i/>
                <w:iCs/>
                <w:lang w:bidi="bg-BG"/>
              </w:rPr>
              <w:t xml:space="preserve">от ЕЗФРСР – </w:t>
            </w:r>
            <w:r w:rsidRPr="009F6D1E">
              <w:rPr>
                <w:rFonts w:cs="Times New Roman"/>
                <w:bCs/>
                <w:lang w:bidi="bg-BG"/>
              </w:rPr>
              <w:t>за попадащи изцяло в райони с природни или други специфични ограничения, е насочена към компенсиране на земеделските стопани изцяло или частично за направените допълнителни разходи и пропуснатите приходи, свързани с ограниченията в съответния район.</w:t>
            </w:r>
          </w:p>
          <w:p w14:paraId="54D83EB3" w14:textId="77777777" w:rsidR="00EC4B14" w:rsidRPr="009F6D1E" w:rsidRDefault="00EC4B14" w:rsidP="0084747F">
            <w:pPr>
              <w:autoSpaceDE w:val="0"/>
              <w:autoSpaceDN w:val="0"/>
              <w:adjustRightInd w:val="0"/>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„Плащания за земеделски земи в зони от Натура 2000―. </w:t>
            </w:r>
            <w:r w:rsidRPr="009F6D1E">
              <w:rPr>
                <w:rFonts w:eastAsia="Times New Roman" w:cs="Times New Roman"/>
                <w:iCs/>
                <w:lang w:eastAsia="bg-BG" w:bidi="bg-BG"/>
              </w:rPr>
              <w:t>Обхватът на тази интервенция включва всички земеделски земи (обработваеми земи, трайни насаждения и постоянно затревени площи), попадащи в обхвата на защитените зони по Натура 2000, за които са издадени заповеди за обявяването им, с разписани конкретни режими/</w:t>
            </w:r>
            <w:r w:rsidR="009D09B5" w:rsidRPr="009F6D1E">
              <w:rPr>
                <w:rFonts w:eastAsia="Times New Roman" w:cs="Times New Roman"/>
                <w:iCs/>
                <w:lang w:eastAsia="bg-BG" w:bidi="bg-BG"/>
              </w:rPr>
              <w:t xml:space="preserve"> </w:t>
            </w:r>
            <w:r w:rsidRPr="009F6D1E">
              <w:rPr>
                <w:rFonts w:eastAsia="Times New Roman" w:cs="Times New Roman"/>
                <w:iCs/>
                <w:lang w:eastAsia="bg-BG" w:bidi="bg-BG"/>
              </w:rPr>
              <w:t>ограничения/забрани за земеделски дейности.</w:t>
            </w:r>
            <w:r w:rsidRPr="009F6D1E">
              <w:rPr>
                <w:rFonts w:eastAsia="Times New Roman" w:cs="Times New Roman"/>
                <w:i/>
                <w:lang w:eastAsia="bg-BG" w:bidi="bg-BG"/>
              </w:rPr>
              <w:t xml:space="preserve"> </w:t>
            </w:r>
          </w:p>
        </w:tc>
      </w:tr>
      <w:tr w:rsidR="007F128A" w:rsidRPr="009F6D1E" w14:paraId="5DF6BB6E" w14:textId="77777777" w:rsidTr="008F53B4">
        <w:trPr>
          <w:jc w:val="center"/>
        </w:trPr>
        <w:tc>
          <w:tcPr>
            <w:tcW w:w="368" w:type="pct"/>
          </w:tcPr>
          <w:p w14:paraId="623DF9DA" w14:textId="77777777" w:rsidR="007F128A" w:rsidRPr="009F6D1E" w:rsidRDefault="004E0B1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5.</w:t>
            </w:r>
          </w:p>
        </w:tc>
        <w:tc>
          <w:tcPr>
            <w:tcW w:w="2281" w:type="pct"/>
          </w:tcPr>
          <w:p w14:paraId="7EA711B5" w14:textId="77777777" w:rsidR="008A40E3" w:rsidRPr="009F6D1E" w:rsidRDefault="008A40E3"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П.1.5.</w:t>
            </w:r>
            <w:r w:rsidRPr="009F6D1E">
              <w:rPr>
                <w:rFonts w:eastAsia="Times New Roman" w:cs="Times New Roman"/>
                <w:b/>
                <w:bCs/>
                <w:i/>
                <w:iCs/>
                <w:lang w:eastAsia="bg-BG" w:bidi="bg-BG"/>
              </w:rPr>
              <w:t>Надграждане и диверсифициране на системата за управление на риска и управление на</w:t>
            </w:r>
            <w:r w:rsidR="001D7139"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кризите в земеделието;</w:t>
            </w:r>
          </w:p>
          <w:p w14:paraId="6A5F5412" w14:textId="77777777" w:rsidR="008A40E3" w:rsidRPr="009F6D1E" w:rsidRDefault="008A40E3" w:rsidP="0084747F">
            <w:pPr>
              <w:widowControl w:val="0"/>
              <w:spacing w:after="60" w:line="264" w:lineRule="auto"/>
              <w:jc w:val="both"/>
              <w:rPr>
                <w:rFonts w:eastAsia="Times New Roman" w:cs="Times New Roman"/>
                <w:b/>
                <w:bCs/>
                <w:i/>
                <w:iCs/>
                <w:lang w:eastAsia="bg-BG" w:bidi="bg-BG"/>
              </w:rPr>
            </w:pPr>
          </w:p>
        </w:tc>
        <w:tc>
          <w:tcPr>
            <w:tcW w:w="2351" w:type="pct"/>
          </w:tcPr>
          <w:p w14:paraId="6629388A" w14:textId="77777777" w:rsidR="007F128A" w:rsidRPr="009F6D1E" w:rsidRDefault="004E0B16" w:rsidP="0084747F">
            <w:pPr>
              <w:widowControl w:val="0"/>
              <w:tabs>
                <w:tab w:val="left" w:pos="1080"/>
              </w:tabs>
              <w:spacing w:after="60" w:line="264" w:lineRule="auto"/>
              <w:jc w:val="both"/>
              <w:rPr>
                <w:rFonts w:cs="Times New Roman"/>
                <w:bCs/>
                <w:iCs/>
                <w:lang w:bidi="bg-BG"/>
              </w:rPr>
            </w:pPr>
            <w:r w:rsidRPr="009F6D1E">
              <w:rPr>
                <w:rFonts w:cs="Times New Roman"/>
                <w:bCs/>
                <w:lang w:bidi="bg-BG"/>
              </w:rPr>
              <w:t>„</w:t>
            </w:r>
            <w:r w:rsidR="009D09B5" w:rsidRPr="009F6D1E">
              <w:rPr>
                <w:rFonts w:cs="Times New Roman"/>
                <w:bCs/>
                <w:i/>
                <w:iCs/>
                <w:lang w:bidi="bg-BG"/>
              </w:rPr>
              <w:t xml:space="preserve">„Възстановяването на земеделски потенциал след природни бедствия или катастрофични събития и инвестиции в подходящи превантивни действия“, съгласно чл. 73 </w:t>
            </w:r>
            <w:r w:rsidRPr="009F6D1E">
              <w:rPr>
                <w:rFonts w:cs="Times New Roman"/>
                <w:bCs/>
                <w:i/>
                <w:iCs/>
                <w:lang w:bidi="bg-BG"/>
              </w:rPr>
              <w:t xml:space="preserve">от ЕЗФРСР. </w:t>
            </w:r>
            <w:r w:rsidR="009D09B5" w:rsidRPr="009F6D1E">
              <w:rPr>
                <w:rFonts w:cs="Times New Roman"/>
                <w:bCs/>
                <w:iCs/>
                <w:lang w:bidi="bg-BG"/>
              </w:rPr>
              <w:t>Интервенцията ще осигури подкрепа, която ще повиши нивото на превенция в земеделските стопанства, а също така и подкрепа за възстановяването на земеделски производствен потенциал в случаите, в които той е бил нарушен в резултат от природни бедствия или катастрофични събития, свързани с неблагоприятни климатични събития, природни бедствия, заболявания по растенията и животните, нестабилност на цените, трудности при намиране на пазари и други.</w:t>
            </w:r>
          </w:p>
          <w:p w14:paraId="566AE597" w14:textId="77777777" w:rsidR="009D09B5" w:rsidRPr="009F6D1E" w:rsidRDefault="009D09B5" w:rsidP="0084747F">
            <w:pPr>
              <w:widowControl w:val="0"/>
              <w:tabs>
                <w:tab w:val="left" w:pos="1080"/>
              </w:tabs>
              <w:spacing w:after="60" w:line="264" w:lineRule="auto"/>
              <w:jc w:val="both"/>
              <w:rPr>
                <w:rFonts w:eastAsia="Times New Roman" w:cs="Times New Roman"/>
                <w:bCs/>
                <w:i/>
                <w:lang w:eastAsia="bg-BG" w:bidi="bg-BG"/>
              </w:rPr>
            </w:pPr>
            <w:r w:rsidRPr="009F6D1E">
              <w:rPr>
                <w:rFonts w:eastAsia="Times New Roman" w:cs="Times New Roman"/>
                <w:bCs/>
                <w:iCs/>
                <w:lang w:eastAsia="bg-BG" w:bidi="bg-BG"/>
              </w:rPr>
              <w:t>Интервенция</w:t>
            </w:r>
            <w:r w:rsidRPr="009F6D1E">
              <w:rPr>
                <w:rFonts w:eastAsia="Times New Roman" w:cs="Times New Roman"/>
                <w:bCs/>
                <w:i/>
                <w:lang w:eastAsia="bg-BG" w:bidi="bg-BG"/>
              </w:rPr>
              <w:t xml:space="preserve"> „Събиране на реколтата на </w:t>
            </w:r>
            <w:r w:rsidRPr="009F6D1E">
              <w:rPr>
                <w:rFonts w:eastAsia="Times New Roman" w:cs="Times New Roman"/>
                <w:bCs/>
                <w:i/>
                <w:lang w:eastAsia="bg-BG" w:bidi="bg-BG"/>
              </w:rPr>
              <w:lastRenderedPageBreak/>
              <w:t xml:space="preserve">зелено“ </w:t>
            </w:r>
            <w:r w:rsidRPr="009F6D1E">
              <w:rPr>
                <w:rFonts w:eastAsia="Times New Roman" w:cs="Times New Roman"/>
                <w:bCs/>
                <w:iCs/>
                <w:lang w:eastAsia="bg-BG" w:bidi="bg-BG"/>
              </w:rPr>
              <w:t>и интервенция</w:t>
            </w:r>
            <w:r w:rsidRPr="009F6D1E">
              <w:rPr>
                <w:rFonts w:eastAsia="Times New Roman" w:cs="Times New Roman"/>
                <w:bCs/>
                <w:i/>
                <w:lang w:eastAsia="bg-BG" w:bidi="bg-BG"/>
              </w:rPr>
              <w:t xml:space="preserve"> „Застраховане на реколтата“, </w:t>
            </w:r>
            <w:r w:rsidRPr="009F6D1E">
              <w:rPr>
                <w:rFonts w:eastAsia="Times New Roman" w:cs="Times New Roman"/>
                <w:bCs/>
                <w:iCs/>
                <w:lang w:eastAsia="bg-BG" w:bidi="bg-BG"/>
              </w:rPr>
              <w:t>имат принос към ефективното управление на рисковете в земеделието</w:t>
            </w:r>
          </w:p>
        </w:tc>
      </w:tr>
      <w:tr w:rsidR="007F128A" w:rsidRPr="009F6D1E" w14:paraId="04FBC483" w14:textId="77777777" w:rsidTr="008F53B4">
        <w:trPr>
          <w:jc w:val="center"/>
        </w:trPr>
        <w:tc>
          <w:tcPr>
            <w:tcW w:w="368" w:type="pct"/>
          </w:tcPr>
          <w:p w14:paraId="5D81422D" w14:textId="77777777" w:rsidR="007F128A" w:rsidRPr="009F6D1E" w:rsidRDefault="004E0B1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6.</w:t>
            </w:r>
          </w:p>
        </w:tc>
        <w:tc>
          <w:tcPr>
            <w:tcW w:w="2281" w:type="pct"/>
          </w:tcPr>
          <w:p w14:paraId="42D4A2AC" w14:textId="77777777" w:rsidR="007F128A" w:rsidRPr="009F6D1E" w:rsidRDefault="001D7139"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iCs/>
                <w:u w:val="single"/>
                <w:lang w:eastAsia="bg-BG" w:bidi="bg-BG"/>
              </w:rPr>
              <w:t>П.1.6.</w:t>
            </w:r>
            <w:r w:rsidRPr="009F6D1E">
              <w:rPr>
                <w:rFonts w:eastAsia="Times New Roman" w:cs="Times New Roman"/>
                <w:b/>
                <w:bCs/>
                <w:i/>
                <w:iCs/>
                <w:lang w:eastAsia="bg-BG" w:bidi="bg-BG"/>
              </w:rPr>
              <w:t xml:space="preserve"> Оптимизиране на възможностите за напояване за намаляване на негативните последици от проявлението на </w:t>
            </w:r>
            <w:proofErr w:type="spellStart"/>
            <w:r w:rsidRPr="009F6D1E">
              <w:rPr>
                <w:rFonts w:eastAsia="Times New Roman" w:cs="Times New Roman"/>
                <w:b/>
                <w:bCs/>
                <w:i/>
                <w:iCs/>
                <w:lang w:eastAsia="bg-BG" w:bidi="bg-BG"/>
              </w:rPr>
              <w:t>природо</w:t>
            </w:r>
            <w:proofErr w:type="spellEnd"/>
            <w:r w:rsidRPr="009F6D1E">
              <w:rPr>
                <w:rFonts w:eastAsia="Times New Roman" w:cs="Times New Roman"/>
                <w:b/>
                <w:bCs/>
                <w:i/>
                <w:iCs/>
                <w:lang w:eastAsia="bg-BG" w:bidi="bg-BG"/>
              </w:rPr>
              <w:t xml:space="preserve">-климатичните рискове и увеличаване на добивите, включително чрез изграждане, възстановяване и модернизиране на хидромелиоративната  </w:t>
            </w:r>
            <w:r w:rsidR="009F1EA0" w:rsidRPr="009F6D1E">
              <w:rPr>
                <w:rFonts w:eastAsia="Times New Roman" w:cs="Times New Roman"/>
                <w:b/>
                <w:bCs/>
                <w:i/>
                <w:iCs/>
                <w:lang w:eastAsia="bg-BG" w:bidi="bg-BG"/>
              </w:rPr>
              <w:t>и</w:t>
            </w:r>
            <w:r w:rsidRPr="009F6D1E">
              <w:rPr>
                <w:rFonts w:eastAsia="Times New Roman" w:cs="Times New Roman"/>
                <w:b/>
                <w:bCs/>
                <w:i/>
                <w:iCs/>
                <w:lang w:eastAsia="bg-BG" w:bidi="bg-BG"/>
              </w:rPr>
              <w:t>нфраструктура в стопанствата;</w:t>
            </w:r>
          </w:p>
        </w:tc>
        <w:tc>
          <w:tcPr>
            <w:tcW w:w="2351" w:type="pct"/>
          </w:tcPr>
          <w:p w14:paraId="727170A8" w14:textId="77777777" w:rsidR="007F128A" w:rsidRPr="009F6D1E" w:rsidRDefault="009D09B5"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„Инвестиции в земеделски стопанства“ – чл. 73 и чл. 74 от ЕЗФРСР. </w:t>
            </w:r>
            <w:r w:rsidRPr="009F6D1E">
              <w:rPr>
                <w:rFonts w:eastAsia="Times New Roman" w:cs="Times New Roman"/>
                <w:iCs/>
                <w:lang w:eastAsia="bg-BG" w:bidi="bg-BG"/>
              </w:rPr>
              <w:t>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w:t>
            </w:r>
          </w:p>
        </w:tc>
      </w:tr>
    </w:tbl>
    <w:p w14:paraId="656DC11D" w14:textId="77777777" w:rsidR="00F621B5" w:rsidRPr="009F6D1E" w:rsidRDefault="00F621B5" w:rsidP="0084747F">
      <w:pPr>
        <w:widowControl w:val="0"/>
        <w:tabs>
          <w:tab w:val="left" w:pos="1080"/>
        </w:tabs>
        <w:spacing w:after="60" w:line="264" w:lineRule="auto"/>
        <w:ind w:left="720"/>
        <w:jc w:val="both"/>
        <w:rPr>
          <w:rFonts w:eastAsia="Times New Roman" w:cs="Times New Roman"/>
          <w:i/>
          <w:u w:val="single"/>
          <w:lang w:eastAsia="bg-BG" w:bidi="bg-BG"/>
        </w:rPr>
      </w:pPr>
    </w:p>
    <w:p w14:paraId="3E966DCC" w14:textId="12C2EAC8" w:rsidR="004D537A"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 xml:space="preserve">Специфична цел №2: </w:t>
      </w:r>
      <w:r w:rsidR="00B20E7C" w:rsidRPr="009F6D1E">
        <w:rPr>
          <w:rFonts w:cs="Times New Roman"/>
          <w:b/>
          <w:i/>
          <w:szCs w:val="24"/>
          <w:u w:val="single"/>
        </w:rPr>
        <w:t>Засилване на пазарната ориентация и повишаване на конкурент</w:t>
      </w:r>
      <w:r w:rsidR="00371700">
        <w:rPr>
          <w:rFonts w:cs="Times New Roman"/>
          <w:b/>
          <w:i/>
          <w:szCs w:val="24"/>
          <w:u w:val="single"/>
        </w:rPr>
        <w:t>осп</w:t>
      </w:r>
      <w:r w:rsidR="00B20E7C" w:rsidRPr="009F6D1E">
        <w:rPr>
          <w:rFonts w:cs="Times New Roman"/>
          <w:b/>
          <w:i/>
          <w:szCs w:val="24"/>
          <w:u w:val="single"/>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p>
    <w:p w14:paraId="2BFEF30B" w14:textId="77777777" w:rsidR="00CB1B08" w:rsidRPr="009F6D1E" w:rsidRDefault="00CB1B08"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CB1B08" w:rsidRPr="009F6D1E" w14:paraId="5641CCA3" w14:textId="77777777" w:rsidTr="00936942">
        <w:trPr>
          <w:tblHeader/>
        </w:trPr>
        <w:tc>
          <w:tcPr>
            <w:tcW w:w="709" w:type="dxa"/>
            <w:shd w:val="clear" w:color="auto" w:fill="F7CAAC" w:themeFill="accent2" w:themeFillTint="66"/>
          </w:tcPr>
          <w:p w14:paraId="6EBEAEDB" w14:textId="77777777" w:rsidR="00CB1B08" w:rsidRPr="009F6D1E" w:rsidRDefault="00CB1B08" w:rsidP="0084747F">
            <w:pPr>
              <w:widowControl w:val="0"/>
              <w:tabs>
                <w:tab w:val="left" w:pos="1080"/>
              </w:tabs>
              <w:spacing w:after="60" w:line="264" w:lineRule="auto"/>
              <w:jc w:val="center"/>
              <w:rPr>
                <w:rFonts w:eastAsia="Times New Roman" w:cs="Times New Roman"/>
                <w:b/>
                <w:bCs/>
                <w:iCs/>
                <w:lang w:eastAsia="bg-BG" w:bidi="bg-BG"/>
              </w:rPr>
            </w:pPr>
            <w:bookmarkStart w:id="35" w:name="_Hlk96091000"/>
            <w:r w:rsidRPr="009F6D1E">
              <w:rPr>
                <w:rFonts w:eastAsia="Times New Roman" w:cs="Times New Roman"/>
                <w:b/>
                <w:bCs/>
                <w:iCs/>
                <w:lang w:eastAsia="bg-BG" w:bidi="bg-BG"/>
              </w:rPr>
              <w:t>№</w:t>
            </w:r>
          </w:p>
        </w:tc>
        <w:tc>
          <w:tcPr>
            <w:tcW w:w="4394" w:type="dxa"/>
            <w:shd w:val="clear" w:color="auto" w:fill="F7CAAC" w:themeFill="accent2" w:themeFillTint="66"/>
          </w:tcPr>
          <w:p w14:paraId="2446FACD"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52104C09" w14:textId="77777777" w:rsidR="00CB1B08" w:rsidRPr="009F6D1E" w:rsidRDefault="00CB1B08" w:rsidP="0084747F">
            <w:pPr>
              <w:widowControl w:val="0"/>
              <w:tabs>
                <w:tab w:val="left" w:pos="1080"/>
              </w:tabs>
              <w:spacing w:after="60" w:line="264" w:lineRule="auto"/>
              <w:jc w:val="center"/>
              <w:rPr>
                <w:rFonts w:eastAsia="Times New Roman" w:cs="Times New Roman"/>
                <w:b/>
                <w:bCs/>
                <w:iCs/>
                <w:u w:val="single"/>
                <w:lang w:eastAsia="bg-BG" w:bidi="bg-BG"/>
              </w:rPr>
            </w:pPr>
            <w:r w:rsidRPr="009F6D1E">
              <w:rPr>
                <w:rFonts w:eastAsia="Times New Roman" w:cs="Times New Roman"/>
                <w:b/>
                <w:bCs/>
                <w:iCs/>
                <w:lang w:eastAsia="bg-BG" w:bidi="bg-BG"/>
              </w:rPr>
              <w:t>ИНТЕРВЕНЦИЯ</w:t>
            </w:r>
          </w:p>
        </w:tc>
      </w:tr>
      <w:tr w:rsidR="00CB1B08" w:rsidRPr="009F6D1E" w14:paraId="65CCABEC" w14:textId="77777777" w:rsidTr="00981F7B">
        <w:tc>
          <w:tcPr>
            <w:tcW w:w="709" w:type="dxa"/>
          </w:tcPr>
          <w:p w14:paraId="35545B1D"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00382F78" w14:textId="7552A5FB" w:rsidR="001D7139" w:rsidRPr="009F6D1E" w:rsidRDefault="001D7139"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П.2.1.</w:t>
            </w:r>
            <w:r w:rsidRPr="009F6D1E">
              <w:rPr>
                <w:rFonts w:eastAsia="Times New Roman" w:cs="Times New Roman"/>
                <w:b/>
                <w:bCs/>
                <w:i/>
                <w:lang w:eastAsia="bg-BG" w:bidi="bg-BG"/>
              </w:rPr>
              <w:t xml:space="preserve"> Повишаване на </w:t>
            </w:r>
            <w:r w:rsidR="004C4004" w:rsidRPr="004C4004">
              <w:rPr>
                <w:rFonts w:eastAsia="Times New Roman" w:cs="Times New Roman"/>
                <w:b/>
                <w:bCs/>
                <w:i/>
                <w:lang w:eastAsia="bg-BG" w:bidi="bg-BG"/>
              </w:rPr>
              <w:t>конкурентоспособност</w:t>
            </w:r>
            <w:r w:rsidRPr="009F6D1E">
              <w:rPr>
                <w:rFonts w:eastAsia="Times New Roman" w:cs="Times New Roman"/>
                <w:b/>
                <w:bCs/>
                <w:i/>
                <w:lang w:eastAsia="bg-BG" w:bidi="bg-BG"/>
              </w:rPr>
              <w:t xml:space="preserve"> на стопанствата, приоритетно в секторите</w:t>
            </w:r>
            <w:r w:rsidR="00341C37" w:rsidRPr="009F6D1E">
              <w:rPr>
                <w:rFonts w:eastAsia="Times New Roman" w:cs="Times New Roman"/>
                <w:b/>
                <w:bCs/>
                <w:i/>
                <w:lang w:eastAsia="bg-BG" w:bidi="bg-BG"/>
              </w:rPr>
              <w:t xml:space="preserve"> </w:t>
            </w:r>
            <w:r w:rsidRPr="009F6D1E">
              <w:rPr>
                <w:rFonts w:eastAsia="Times New Roman" w:cs="Times New Roman"/>
                <w:b/>
                <w:bCs/>
                <w:i/>
                <w:lang w:eastAsia="bg-BG" w:bidi="bg-BG"/>
              </w:rPr>
              <w:t>производство на зеленчуци, плодове, мляко и месо от преживни животни;</w:t>
            </w:r>
          </w:p>
          <w:p w14:paraId="0681D076" w14:textId="77777777" w:rsidR="001D7139" w:rsidRPr="009F6D1E" w:rsidRDefault="001D7139" w:rsidP="0084747F">
            <w:pPr>
              <w:widowControl w:val="0"/>
              <w:spacing w:after="60" w:line="264" w:lineRule="auto"/>
              <w:jc w:val="both"/>
              <w:rPr>
                <w:rFonts w:eastAsia="Times New Roman" w:cs="Times New Roman"/>
                <w:b/>
                <w:bCs/>
                <w:i/>
                <w:u w:val="single"/>
                <w:lang w:eastAsia="bg-BG" w:bidi="bg-BG"/>
              </w:rPr>
            </w:pPr>
          </w:p>
        </w:tc>
        <w:tc>
          <w:tcPr>
            <w:tcW w:w="4530" w:type="dxa"/>
          </w:tcPr>
          <w:p w14:paraId="3D26E562" w14:textId="360B8992" w:rsidR="00CB1B08" w:rsidRPr="009F6D1E" w:rsidRDefault="00CB1B08" w:rsidP="0084747F">
            <w:pPr>
              <w:autoSpaceDE w:val="0"/>
              <w:autoSpaceDN w:val="0"/>
              <w:adjustRightInd w:val="0"/>
              <w:spacing w:after="60" w:line="264" w:lineRule="auto"/>
              <w:jc w:val="both"/>
              <w:rPr>
                <w:rFonts w:cs="Times New Roman"/>
                <w:lang w:bidi="bg-BG"/>
              </w:rPr>
            </w:pPr>
            <w:r w:rsidRPr="009F6D1E">
              <w:rPr>
                <w:rFonts w:cs="Times New Roman"/>
                <w:lang w:bidi="bg-BG"/>
              </w:rPr>
              <w:t>„</w:t>
            </w:r>
            <w:r w:rsidRPr="009F6D1E">
              <w:rPr>
                <w:rFonts w:cs="Times New Roman"/>
                <w:i/>
                <w:iCs/>
                <w:lang w:bidi="bg-BG"/>
              </w:rPr>
              <w:t xml:space="preserve">Обвързано с производството подпомагане на доходите“, съгласно чл. </w:t>
            </w:r>
            <w:r w:rsidR="009F1EA0" w:rsidRPr="009F6D1E">
              <w:rPr>
                <w:rFonts w:cs="Times New Roman"/>
                <w:i/>
                <w:iCs/>
                <w:lang w:bidi="bg-BG"/>
              </w:rPr>
              <w:t>32-34</w:t>
            </w:r>
            <w:r w:rsidRPr="009F6D1E">
              <w:rPr>
                <w:rFonts w:cs="Times New Roman"/>
              </w:rPr>
              <w:t xml:space="preserve"> </w:t>
            </w:r>
            <w:r w:rsidRPr="009F6D1E">
              <w:rPr>
                <w:rFonts w:cs="Times New Roman"/>
                <w:i/>
                <w:iCs/>
                <w:lang w:bidi="bg-BG"/>
              </w:rPr>
              <w:t xml:space="preserve">от ЕФГЗ. </w:t>
            </w:r>
            <w:r w:rsidRPr="009F6D1E">
              <w:rPr>
                <w:rFonts w:cs="Times New Roman"/>
                <w:lang w:bidi="bg-BG"/>
              </w:rPr>
              <w:t xml:space="preserve">Чрез подкрепата на сектори и производства, изправени пред затруднение, ще се подобрява тяхната </w:t>
            </w:r>
            <w:r w:rsidR="004C4004" w:rsidRPr="009F6D1E">
              <w:rPr>
                <w:rFonts w:cs="Times New Roman"/>
                <w:lang w:bidi="bg-BG"/>
              </w:rPr>
              <w:t>конкурентос</w:t>
            </w:r>
            <w:r w:rsidR="004C4004">
              <w:rPr>
                <w:rFonts w:cs="Times New Roman"/>
                <w:lang w:bidi="bg-BG"/>
              </w:rPr>
              <w:t>п</w:t>
            </w:r>
            <w:r w:rsidR="004C4004" w:rsidRPr="009F6D1E">
              <w:rPr>
                <w:rFonts w:cs="Times New Roman"/>
                <w:lang w:bidi="bg-BG"/>
              </w:rPr>
              <w:t>о</w:t>
            </w:r>
            <w:r w:rsidR="004C4004">
              <w:rPr>
                <w:rFonts w:cs="Times New Roman"/>
                <w:lang w:bidi="bg-BG"/>
              </w:rPr>
              <w:t>со</w:t>
            </w:r>
            <w:r w:rsidR="004C4004" w:rsidRPr="009F6D1E">
              <w:rPr>
                <w:rFonts w:cs="Times New Roman"/>
                <w:lang w:bidi="bg-BG"/>
              </w:rPr>
              <w:t>бност</w:t>
            </w:r>
            <w:r w:rsidRPr="009F6D1E">
              <w:rPr>
                <w:rFonts w:cs="Times New Roman"/>
                <w:lang w:bidi="bg-BG"/>
              </w:rPr>
              <w:t>, устойчивост, качество и икономически потенциал.</w:t>
            </w:r>
          </w:p>
          <w:p w14:paraId="183AB064" w14:textId="4150C336" w:rsidR="009F1EA0" w:rsidRPr="009F6D1E" w:rsidRDefault="009F1EA0" w:rsidP="0084747F">
            <w:pPr>
              <w:spacing w:after="60" w:line="264" w:lineRule="auto"/>
              <w:jc w:val="both"/>
              <w:rPr>
                <w:rFonts w:eastAsia="Calibri" w:cs="Times New Roman"/>
                <w:lang w:eastAsia="en-GB" w:bidi="bg-BG"/>
              </w:rPr>
            </w:pPr>
            <w:r w:rsidRPr="009F6D1E">
              <w:rPr>
                <w:rFonts w:eastAsia="Calibri" w:cs="Times New Roman"/>
                <w:lang w:eastAsia="en-GB" w:bidi="bg-BG"/>
              </w:rPr>
              <w:t xml:space="preserve">С цел повишаване на </w:t>
            </w:r>
            <w:r w:rsidR="004C4004" w:rsidRPr="009F6D1E">
              <w:rPr>
                <w:rFonts w:cs="Times New Roman"/>
                <w:lang w:bidi="bg-BG"/>
              </w:rPr>
              <w:t>конкурентос</w:t>
            </w:r>
            <w:r w:rsidR="004C4004">
              <w:rPr>
                <w:rFonts w:cs="Times New Roman"/>
                <w:lang w:bidi="bg-BG"/>
              </w:rPr>
              <w:t>п</w:t>
            </w:r>
            <w:r w:rsidR="004C4004" w:rsidRPr="009F6D1E">
              <w:rPr>
                <w:rFonts w:cs="Times New Roman"/>
                <w:lang w:bidi="bg-BG"/>
              </w:rPr>
              <w:t>о</w:t>
            </w:r>
            <w:r w:rsidR="004C4004">
              <w:rPr>
                <w:rFonts w:cs="Times New Roman"/>
                <w:lang w:bidi="bg-BG"/>
              </w:rPr>
              <w:t>со</w:t>
            </w:r>
            <w:r w:rsidR="004C4004" w:rsidRPr="009F6D1E">
              <w:rPr>
                <w:rFonts w:cs="Times New Roman"/>
                <w:lang w:bidi="bg-BG"/>
              </w:rPr>
              <w:t>бност</w:t>
            </w:r>
            <w:r w:rsidRPr="009F6D1E">
              <w:rPr>
                <w:rFonts w:eastAsia="Calibri" w:cs="Times New Roman"/>
                <w:lang w:eastAsia="en-GB" w:bidi="bg-BG"/>
              </w:rPr>
              <w:t xml:space="preserve">та и устойчивостта застрашени от изчезване породи е разработена отделна интервенция за </w:t>
            </w:r>
            <w:r w:rsidRPr="009F6D1E">
              <w:rPr>
                <w:rFonts w:eastAsia="Calibri" w:cs="Times New Roman"/>
                <w:i/>
                <w:iCs/>
                <w:lang w:eastAsia="en-GB" w:bidi="bg-BG"/>
              </w:rPr>
              <w:t>Обвързано с производството подпомагане на доходите за крави от застрашени от изчезване породи</w:t>
            </w:r>
            <w:r w:rsidRPr="009F6D1E">
              <w:rPr>
                <w:rFonts w:eastAsia="Calibri" w:cs="Times New Roman"/>
                <w:lang w:eastAsia="en-GB" w:bidi="bg-BG"/>
              </w:rPr>
              <w:t>.</w:t>
            </w:r>
          </w:p>
          <w:p w14:paraId="1E8D9A1D" w14:textId="77777777" w:rsidR="009F1EA0" w:rsidRPr="009F6D1E" w:rsidRDefault="004B570C" w:rsidP="0084747F">
            <w:pPr>
              <w:spacing w:after="60" w:line="264" w:lineRule="auto"/>
              <w:jc w:val="both"/>
              <w:rPr>
                <w:rFonts w:eastAsia="Calibri" w:cs="Times New Roman"/>
                <w:lang w:eastAsia="en-GB" w:bidi="bg-BG"/>
              </w:rPr>
            </w:pPr>
            <w:r w:rsidRPr="009F6D1E">
              <w:rPr>
                <w:rFonts w:eastAsia="Calibri" w:cs="Times New Roman"/>
                <w:lang w:eastAsia="en-GB" w:bidi="bg-BG"/>
              </w:rPr>
              <w:t>Обвързаното с производството подпомагане на доходите в сектор „Растениевъдство― ще бъде насочено по-</w:t>
            </w:r>
            <w:r w:rsidRPr="009F6D1E">
              <w:rPr>
                <w:rFonts w:eastAsia="Calibri" w:cs="Times New Roman"/>
                <w:lang w:eastAsia="en-GB" w:bidi="bg-BG"/>
              </w:rPr>
              <w:lastRenderedPageBreak/>
              <w:t xml:space="preserve">конкретно към производството на плодове и зеленчуци полско и оранжерийно производство и производство на протеинови култури. При плодовете ще се прилагат две отделни интервенции – Обвързано с производството подпомагане на доходите – плодове и Обвързано с производството подпомагане на доходите – плодови насаждения до встъпване в </w:t>
            </w:r>
            <w:proofErr w:type="spellStart"/>
            <w:r w:rsidRPr="009F6D1E">
              <w:rPr>
                <w:rFonts w:eastAsia="Calibri" w:cs="Times New Roman"/>
                <w:lang w:eastAsia="en-GB" w:bidi="bg-BG"/>
              </w:rPr>
              <w:t>плододаване</w:t>
            </w:r>
            <w:proofErr w:type="spellEnd"/>
            <w:r w:rsidRPr="009F6D1E">
              <w:rPr>
                <w:rFonts w:eastAsia="Calibri" w:cs="Times New Roman"/>
                <w:lang w:eastAsia="en-GB" w:bidi="bg-BG"/>
              </w:rPr>
              <w:t>, с еднакъв обхват на включените по интервенциите култури, покриващи целия жизнен цикъл на насажденията. При зеленчуците полско производство ще се прилагат 4 отделни интервенции – обвързано с производството подпомагане на доходите за зеленчуци: 1. домати, краставици, корнишони и патладжани; 2. пипер; 3. картофи, лук и чесън; 4. моркови, зеле, дини и пъпеши.</w:t>
            </w:r>
          </w:p>
          <w:p w14:paraId="395DFD56" w14:textId="77777777" w:rsidR="00CB1B08" w:rsidRPr="009F6D1E" w:rsidRDefault="004B570C" w:rsidP="0084747F">
            <w:pPr>
              <w:autoSpaceDE w:val="0"/>
              <w:autoSpaceDN w:val="0"/>
              <w:adjustRightInd w:val="0"/>
              <w:spacing w:after="60" w:line="264" w:lineRule="auto"/>
              <w:jc w:val="both"/>
              <w:rPr>
                <w:rFonts w:eastAsia="Times New Roman" w:cs="Times New Roman"/>
                <w:i/>
                <w:u w:val="single"/>
                <w:lang w:eastAsia="bg-BG" w:bidi="bg-BG"/>
              </w:rPr>
            </w:pPr>
            <w:r w:rsidRPr="009F6D1E">
              <w:rPr>
                <w:rFonts w:eastAsia="Calibri" w:cs="Times New Roman"/>
                <w:lang w:eastAsia="en-GB" w:bidi="bg-BG"/>
              </w:rPr>
              <w:t>На отделна интервенция за оранжерийно производство на някои плодове и зеленчуци ще могат да разчитат земеделските стопани чрез интервенцията за обвързано с производството подпомагане на доходите за оранжерийно производство. Ще се прилага и отделна интервенция, подпомагаща производство на протеинови култури.</w:t>
            </w:r>
          </w:p>
        </w:tc>
      </w:tr>
      <w:bookmarkEnd w:id="35"/>
      <w:tr w:rsidR="00CB1B08" w:rsidRPr="009F6D1E" w14:paraId="1CE236D9" w14:textId="77777777" w:rsidTr="00981F7B">
        <w:tc>
          <w:tcPr>
            <w:tcW w:w="709" w:type="dxa"/>
          </w:tcPr>
          <w:p w14:paraId="77EC7B36"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2.</w:t>
            </w:r>
          </w:p>
        </w:tc>
        <w:tc>
          <w:tcPr>
            <w:tcW w:w="4394" w:type="dxa"/>
          </w:tcPr>
          <w:p w14:paraId="463FB7D5" w14:textId="77777777" w:rsidR="000901D3" w:rsidRPr="009F6D1E" w:rsidRDefault="000901D3"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П.2.2.</w:t>
            </w:r>
            <w:r w:rsidRPr="009F6D1E">
              <w:rPr>
                <w:rFonts w:eastAsia="Times New Roman" w:cs="Times New Roman"/>
                <w:b/>
                <w:bCs/>
                <w:i/>
                <w:lang w:eastAsia="bg-BG" w:bidi="bg-BG"/>
              </w:rPr>
              <w:t xml:space="preserve"> Подобряване на производителността и добивите в секторите на селското стопанство, осигуряващи продукти с по-висока добавена стойност;</w:t>
            </w:r>
          </w:p>
          <w:p w14:paraId="157C51E7" w14:textId="77777777" w:rsidR="000901D3" w:rsidRPr="009F6D1E" w:rsidRDefault="000901D3" w:rsidP="0084747F">
            <w:pPr>
              <w:widowControl w:val="0"/>
              <w:spacing w:after="60" w:line="264" w:lineRule="auto"/>
              <w:jc w:val="both"/>
              <w:rPr>
                <w:rFonts w:eastAsia="Times New Roman" w:cs="Times New Roman"/>
                <w:b/>
                <w:bCs/>
                <w:i/>
                <w:lang w:eastAsia="bg-BG" w:bidi="bg-BG"/>
              </w:rPr>
            </w:pPr>
          </w:p>
        </w:tc>
        <w:tc>
          <w:tcPr>
            <w:tcW w:w="4530" w:type="dxa"/>
          </w:tcPr>
          <w:p w14:paraId="5D5ED77E" w14:textId="77777777" w:rsidR="00CB1B08" w:rsidRPr="009F6D1E" w:rsidRDefault="00C72723" w:rsidP="0084747F">
            <w:pPr>
              <w:autoSpaceDE w:val="0"/>
              <w:autoSpaceDN w:val="0"/>
              <w:adjustRightInd w:val="0"/>
              <w:spacing w:after="60" w:line="264" w:lineRule="auto"/>
              <w:jc w:val="both"/>
              <w:rPr>
                <w:rFonts w:cs="Times New Roman"/>
                <w:iCs/>
                <w:lang w:bidi="bg-BG"/>
              </w:rPr>
            </w:pPr>
            <w:r w:rsidRPr="009F6D1E">
              <w:rPr>
                <w:rFonts w:cs="Times New Roman"/>
                <w:lang w:bidi="bg-BG"/>
              </w:rPr>
              <w:t>„</w:t>
            </w:r>
            <w:r w:rsidRPr="009F6D1E">
              <w:rPr>
                <w:rFonts w:cs="Times New Roman"/>
                <w:i/>
                <w:lang w:bidi="bg-BG"/>
              </w:rPr>
              <w:t xml:space="preserve">Инвестиции в земеделски стопанства“ - член </w:t>
            </w:r>
            <w:r w:rsidR="004B570C" w:rsidRPr="009F6D1E">
              <w:rPr>
                <w:rFonts w:cs="Times New Roman"/>
                <w:i/>
                <w:lang w:bidi="bg-BG"/>
              </w:rPr>
              <w:t>73</w:t>
            </w:r>
            <w:r w:rsidRPr="009F6D1E">
              <w:rPr>
                <w:rFonts w:cs="Times New Roman"/>
                <w:i/>
                <w:lang w:bidi="bg-BG"/>
              </w:rPr>
              <w:t xml:space="preserve"> </w:t>
            </w:r>
            <w:r w:rsidR="00B77042" w:rsidRPr="009F6D1E">
              <w:rPr>
                <w:rFonts w:cs="Times New Roman"/>
                <w:i/>
                <w:lang w:bidi="bg-BG"/>
              </w:rPr>
              <w:t xml:space="preserve">от </w:t>
            </w:r>
            <w:r w:rsidRPr="009F6D1E">
              <w:rPr>
                <w:rFonts w:cs="Times New Roman"/>
                <w:i/>
                <w:lang w:bidi="bg-BG"/>
              </w:rPr>
              <w:t>ЕЗФРСР</w:t>
            </w:r>
            <w:r w:rsidR="00B77042" w:rsidRPr="009F6D1E">
              <w:rPr>
                <w:rFonts w:cs="Times New Roman"/>
                <w:i/>
                <w:lang w:bidi="bg-BG"/>
              </w:rPr>
              <w:t xml:space="preserve">, </w:t>
            </w:r>
            <w:r w:rsidR="00B77042" w:rsidRPr="009F6D1E">
              <w:rPr>
                <w:rFonts w:cs="Times New Roman"/>
                <w:iCs/>
                <w:lang w:bidi="bg-BG"/>
              </w:rPr>
              <w:t xml:space="preserve">чрез която </w:t>
            </w:r>
            <w:r w:rsidRPr="009F6D1E">
              <w:rPr>
                <w:rFonts w:cs="Times New Roman"/>
                <w:iCs/>
                <w:lang w:bidi="bg-BG"/>
              </w:rPr>
              <w:t>ще се осигури инвестиционна подкрепа за различни видове стопанства с цел разширяване и модернизиране на производството, включително осъвременяване на производствените мощности, за увеличаване на продуктивността на тези стопанства.</w:t>
            </w:r>
          </w:p>
          <w:p w14:paraId="1A7DEF0B" w14:textId="77777777" w:rsidR="00B77042" w:rsidRPr="009F6D1E" w:rsidRDefault="00B77042" w:rsidP="0084747F">
            <w:pPr>
              <w:autoSpaceDE w:val="0"/>
              <w:autoSpaceDN w:val="0"/>
              <w:adjustRightInd w:val="0"/>
              <w:spacing w:after="60" w:line="264" w:lineRule="auto"/>
              <w:jc w:val="both"/>
              <w:rPr>
                <w:rFonts w:cs="Times New Roman"/>
                <w:iCs/>
                <w:lang w:bidi="bg-BG"/>
              </w:rPr>
            </w:pPr>
            <w:r w:rsidRPr="009F6D1E">
              <w:rPr>
                <w:rFonts w:cs="Times New Roman"/>
                <w:iCs/>
                <w:u w:val="words"/>
                <w:lang w:bidi="bg-BG"/>
              </w:rPr>
              <w:lastRenderedPageBreak/>
              <w:t>„</w:t>
            </w:r>
            <w:r w:rsidRPr="009F6D1E">
              <w:rPr>
                <w:rFonts w:cs="Times New Roman"/>
                <w:i/>
                <w:lang w:bidi="bg-BG"/>
              </w:rPr>
              <w:t xml:space="preserve">Подпомагане развитието на малки земеделски стопанства“, съгласно чл. 64, б. „д“ от (ЕЗФРСР). </w:t>
            </w:r>
            <w:r w:rsidRPr="009F6D1E">
              <w:rPr>
                <w:rFonts w:cs="Times New Roman"/>
                <w:iCs/>
                <w:lang w:bidi="bg-BG"/>
              </w:rPr>
              <w:t>Подкрепата за развитието на тези стопанства ще спомогне за разрастване на  тяхното производство и по този начин за реализирането на икономии от мащаба и подобряване на производителността.</w:t>
            </w:r>
          </w:p>
          <w:p w14:paraId="6C482C8B" w14:textId="23E93534" w:rsidR="00B77042" w:rsidRPr="009F6D1E" w:rsidRDefault="00B77042" w:rsidP="0084747F">
            <w:pPr>
              <w:autoSpaceDE w:val="0"/>
              <w:autoSpaceDN w:val="0"/>
              <w:adjustRightInd w:val="0"/>
              <w:spacing w:after="60" w:line="264" w:lineRule="auto"/>
              <w:jc w:val="both"/>
              <w:rPr>
                <w:rFonts w:cs="Times New Roman"/>
                <w:iCs/>
                <w:lang w:bidi="bg-BG"/>
              </w:rPr>
            </w:pPr>
            <w:r w:rsidRPr="009F6D1E">
              <w:rPr>
                <w:rFonts w:cs="Times New Roman"/>
                <w:iCs/>
                <w:lang w:bidi="bg-BG"/>
              </w:rPr>
              <w:t>„</w:t>
            </w:r>
            <w:r w:rsidRPr="009F6D1E">
              <w:rPr>
                <w:rFonts w:cs="Times New Roman"/>
                <w:i/>
                <w:lang w:bidi="bg-BG"/>
              </w:rPr>
              <w:t>Консултантски услуги и повишаване на консултантския капацитет“, съгласно чл. 72 "Обмен на знания и информация</w:t>
            </w:r>
            <w:r w:rsidRPr="009F6D1E">
              <w:rPr>
                <w:rFonts w:cs="Times New Roman"/>
                <w:iCs/>
                <w:lang w:bidi="bg-BG"/>
              </w:rPr>
              <w:t>"(</w:t>
            </w:r>
            <w:r w:rsidRPr="009F6D1E">
              <w:rPr>
                <w:rFonts w:cs="Times New Roman"/>
                <w:i/>
                <w:lang w:bidi="bg-BG"/>
              </w:rPr>
              <w:t>ЕЗФРСР)</w:t>
            </w:r>
            <w:r w:rsidRPr="009F6D1E">
              <w:rPr>
                <w:rFonts w:cs="Times New Roman"/>
                <w:iCs/>
                <w:lang w:bidi="bg-BG"/>
              </w:rPr>
              <w:t xml:space="preserve">. Предвидената подкрепа ще осигури възможност за консултиране на земеделските стопанства по теми, свързани с устойчивото развитие на земеделските стопанствата, вкл. интервенции на равнище стопанство, които са насочени към модернизиране на стопанството, изграждане на </w:t>
            </w:r>
            <w:r w:rsidR="004C4004" w:rsidRPr="009F6D1E">
              <w:rPr>
                <w:rFonts w:cs="Times New Roman"/>
                <w:lang w:bidi="bg-BG"/>
              </w:rPr>
              <w:t>конкурентос</w:t>
            </w:r>
            <w:r w:rsidR="004C4004">
              <w:rPr>
                <w:rFonts w:cs="Times New Roman"/>
                <w:lang w:bidi="bg-BG"/>
              </w:rPr>
              <w:t>п</w:t>
            </w:r>
            <w:r w:rsidR="004C4004" w:rsidRPr="009F6D1E">
              <w:rPr>
                <w:rFonts w:cs="Times New Roman"/>
                <w:lang w:bidi="bg-BG"/>
              </w:rPr>
              <w:t>о</w:t>
            </w:r>
            <w:r w:rsidR="004C4004">
              <w:rPr>
                <w:rFonts w:cs="Times New Roman"/>
                <w:lang w:bidi="bg-BG"/>
              </w:rPr>
              <w:t>со</w:t>
            </w:r>
            <w:r w:rsidR="004C4004" w:rsidRPr="009F6D1E">
              <w:rPr>
                <w:rFonts w:cs="Times New Roman"/>
                <w:lang w:bidi="bg-BG"/>
              </w:rPr>
              <w:t>бност</w:t>
            </w:r>
            <w:r w:rsidRPr="009F6D1E">
              <w:rPr>
                <w:rFonts w:cs="Times New Roman"/>
                <w:iCs/>
                <w:lang w:bidi="bg-BG"/>
              </w:rPr>
              <w:t xml:space="preserve">, секторна интеграция, иновации и пазарно ориентиране;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w:t>
            </w:r>
            <w:r w:rsidR="004C4004" w:rsidRPr="009F6D1E">
              <w:rPr>
                <w:rFonts w:cs="Times New Roman"/>
                <w:lang w:bidi="bg-BG"/>
              </w:rPr>
              <w:t>конкурентос</w:t>
            </w:r>
            <w:r w:rsidR="004C4004">
              <w:rPr>
                <w:rFonts w:cs="Times New Roman"/>
                <w:lang w:bidi="bg-BG"/>
              </w:rPr>
              <w:t>п</w:t>
            </w:r>
            <w:r w:rsidR="004C4004" w:rsidRPr="009F6D1E">
              <w:rPr>
                <w:rFonts w:cs="Times New Roman"/>
                <w:lang w:bidi="bg-BG"/>
              </w:rPr>
              <w:t>о</w:t>
            </w:r>
            <w:r w:rsidR="004C4004">
              <w:rPr>
                <w:rFonts w:cs="Times New Roman"/>
                <w:lang w:bidi="bg-BG"/>
              </w:rPr>
              <w:t>со</w:t>
            </w:r>
            <w:r w:rsidR="004C4004" w:rsidRPr="009F6D1E">
              <w:rPr>
                <w:rFonts w:cs="Times New Roman"/>
                <w:lang w:bidi="bg-BG"/>
              </w:rPr>
              <w:t>бност</w:t>
            </w:r>
            <w:r w:rsidR="004C4004" w:rsidRPr="009F6D1E">
              <w:rPr>
                <w:rFonts w:cs="Times New Roman"/>
                <w:iCs/>
                <w:lang w:bidi="bg-BG"/>
              </w:rPr>
              <w:t xml:space="preserve"> </w:t>
            </w:r>
            <w:r w:rsidRPr="009F6D1E">
              <w:rPr>
                <w:rFonts w:cs="Times New Roman"/>
                <w:iCs/>
                <w:lang w:bidi="bg-BG"/>
              </w:rPr>
              <w:t>та и маркетинга и реализация на произвежданите земеделски продукти; управление на риска в земеделското стопанството, като по този начин се очаква да бъде постигнат ефект по отношение на подобряване на производителността и добивите на малките земеделски стопанства.</w:t>
            </w:r>
          </w:p>
          <w:p w14:paraId="27E1CF80" w14:textId="77777777" w:rsidR="00A67558" w:rsidRPr="009F6D1E" w:rsidRDefault="00A67558" w:rsidP="0084747F">
            <w:pPr>
              <w:autoSpaceDE w:val="0"/>
              <w:autoSpaceDN w:val="0"/>
              <w:adjustRightInd w:val="0"/>
              <w:spacing w:after="60" w:line="264" w:lineRule="auto"/>
              <w:jc w:val="both"/>
              <w:rPr>
                <w:rFonts w:cs="Times New Roman"/>
                <w:bCs/>
                <w:i/>
                <w:lang w:bidi="bg-BG"/>
              </w:rPr>
            </w:pPr>
            <w:r w:rsidRPr="009F6D1E">
              <w:rPr>
                <w:rFonts w:cs="Times New Roman"/>
                <w:bCs/>
                <w:iCs/>
                <w:lang w:bidi="bg-BG"/>
              </w:rPr>
              <w:t>В допълнение ще бъде включена интервенция „</w:t>
            </w:r>
            <w:r w:rsidRPr="009F6D1E">
              <w:rPr>
                <w:rFonts w:cs="Times New Roman"/>
                <w:bCs/>
                <w:i/>
                <w:lang w:bidi="bg-BG"/>
              </w:rPr>
              <w:t>Професионално обучение и придобиване на умения“,</w:t>
            </w:r>
            <w:r w:rsidRPr="009F6D1E">
              <w:rPr>
                <w:rFonts w:cs="Times New Roman"/>
                <w:bCs/>
                <w:iCs/>
                <w:lang w:bidi="bg-BG"/>
              </w:rPr>
              <w:t xml:space="preserve"> </w:t>
            </w:r>
            <w:r w:rsidRPr="009F6D1E">
              <w:rPr>
                <w:rFonts w:cs="Times New Roman"/>
                <w:bCs/>
                <w:i/>
                <w:lang w:bidi="bg-BG"/>
              </w:rPr>
              <w:t>съгласно чл. 72 "Обмен на знания и информация</w:t>
            </w:r>
            <w:r w:rsidRPr="009F6D1E">
              <w:rPr>
                <w:rFonts w:cs="Times New Roman"/>
                <w:bCs/>
                <w:iCs/>
                <w:lang w:bidi="bg-BG"/>
              </w:rPr>
              <w:t xml:space="preserve">" от </w:t>
            </w:r>
            <w:r w:rsidRPr="009F6D1E">
              <w:rPr>
                <w:rFonts w:cs="Times New Roman"/>
                <w:bCs/>
                <w:i/>
                <w:lang w:bidi="bg-BG"/>
              </w:rPr>
              <w:t>ЕЗФРСР, н</w:t>
            </w:r>
            <w:r w:rsidRPr="009F6D1E">
              <w:rPr>
                <w:rFonts w:cs="Times New Roman"/>
                <w:bCs/>
                <w:iCs/>
                <w:lang w:bidi="bg-BG"/>
              </w:rPr>
              <w:t>асочена към лица, ангажирани в сектора на селското стопанство.</w:t>
            </w:r>
          </w:p>
        </w:tc>
      </w:tr>
      <w:tr w:rsidR="00CB1B08" w:rsidRPr="009F6D1E" w14:paraId="0BA81CE7" w14:textId="77777777" w:rsidTr="00981F7B">
        <w:tc>
          <w:tcPr>
            <w:tcW w:w="709" w:type="dxa"/>
          </w:tcPr>
          <w:p w14:paraId="2D5ED20A"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29AC8DBF" w14:textId="77777777" w:rsidR="000901D3" w:rsidRPr="009F6D1E" w:rsidRDefault="000901D3"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П.2.3</w:t>
            </w:r>
            <w:r w:rsidRPr="009F6D1E">
              <w:rPr>
                <w:rFonts w:eastAsia="Times New Roman" w:cs="Times New Roman"/>
                <w:b/>
                <w:bCs/>
                <w:i/>
                <w:lang w:eastAsia="bg-BG" w:bidi="bg-BG"/>
              </w:rPr>
              <w:t>.Ускоряване на модернизацията и технологично обновяване на малките и средни стопанства;</w:t>
            </w:r>
          </w:p>
          <w:p w14:paraId="5BC69022" w14:textId="77777777" w:rsidR="00CB1B08" w:rsidRPr="009F6D1E" w:rsidRDefault="00CB1B08" w:rsidP="0084747F">
            <w:pPr>
              <w:widowControl w:val="0"/>
              <w:tabs>
                <w:tab w:val="left" w:pos="1080"/>
              </w:tabs>
              <w:spacing w:after="60" w:line="264" w:lineRule="auto"/>
              <w:jc w:val="both"/>
              <w:rPr>
                <w:rFonts w:eastAsia="Times New Roman" w:cs="Times New Roman"/>
                <w:b/>
                <w:bCs/>
                <w:i/>
                <w:lang w:eastAsia="bg-BG" w:bidi="bg-BG"/>
              </w:rPr>
            </w:pPr>
          </w:p>
        </w:tc>
        <w:tc>
          <w:tcPr>
            <w:tcW w:w="4530" w:type="dxa"/>
          </w:tcPr>
          <w:p w14:paraId="6B944795" w14:textId="77777777" w:rsidR="00CB1B08" w:rsidRPr="009F6D1E" w:rsidRDefault="007F4FC8" w:rsidP="0084747F">
            <w:pPr>
              <w:autoSpaceDE w:val="0"/>
              <w:autoSpaceDN w:val="0"/>
              <w:adjustRightInd w:val="0"/>
              <w:spacing w:after="60" w:line="264" w:lineRule="auto"/>
              <w:jc w:val="both"/>
              <w:rPr>
                <w:rFonts w:cs="Times New Roman"/>
                <w:iCs/>
                <w:lang w:bidi="bg-BG"/>
              </w:rPr>
            </w:pPr>
            <w:r w:rsidRPr="009F6D1E">
              <w:rPr>
                <w:rFonts w:cs="Times New Roman"/>
                <w:lang w:bidi="bg-BG"/>
              </w:rPr>
              <w:t>„</w:t>
            </w:r>
            <w:r w:rsidRPr="009F6D1E">
              <w:rPr>
                <w:rFonts w:cs="Times New Roman"/>
                <w:i/>
                <w:lang w:bidi="bg-BG"/>
              </w:rPr>
              <w:t xml:space="preserve">Инвестиции в земеделски стопанства“ - член </w:t>
            </w:r>
            <w:r w:rsidR="00E7280A" w:rsidRPr="009F6D1E">
              <w:rPr>
                <w:rFonts w:cs="Times New Roman"/>
                <w:i/>
                <w:lang w:bidi="bg-BG"/>
              </w:rPr>
              <w:t>73</w:t>
            </w:r>
            <w:r w:rsidRPr="009F6D1E">
              <w:rPr>
                <w:rFonts w:cs="Times New Roman"/>
                <w:i/>
                <w:lang w:bidi="bg-BG"/>
              </w:rPr>
              <w:t xml:space="preserve"> от ЕЗФРСР, ч</w:t>
            </w:r>
            <w:r w:rsidRPr="009F6D1E">
              <w:rPr>
                <w:rFonts w:cs="Times New Roman"/>
                <w:iCs/>
                <w:lang w:bidi="bg-BG"/>
              </w:rPr>
              <w:t>рез която  ще се осигури инвестиционна подкрепа за стопанствата с цел разширяване и модернизиране на производството, включително осъвременяване на производствените мощности, за увеличаване продуктивността на стопанствата.</w:t>
            </w:r>
          </w:p>
          <w:p w14:paraId="328B1A2A" w14:textId="77777777" w:rsidR="007F4FC8" w:rsidRPr="009F6D1E" w:rsidRDefault="00E7280A" w:rsidP="0084747F">
            <w:pPr>
              <w:autoSpaceDE w:val="0"/>
              <w:autoSpaceDN w:val="0"/>
              <w:adjustRightInd w:val="0"/>
              <w:spacing w:after="60" w:line="264" w:lineRule="auto"/>
              <w:jc w:val="both"/>
              <w:rPr>
                <w:rFonts w:cs="Times New Roman"/>
                <w:iCs/>
                <w:lang w:bidi="bg-BG"/>
              </w:rPr>
            </w:pPr>
            <w:r w:rsidRPr="009F6D1E">
              <w:rPr>
                <w:rFonts w:cs="Times New Roman"/>
                <w:iCs/>
                <w:lang w:bidi="bg-BG"/>
              </w:rPr>
              <w:t>„</w:t>
            </w:r>
            <w:r w:rsidRPr="009F6D1E">
              <w:rPr>
                <w:rFonts w:cs="Times New Roman"/>
                <w:i/>
                <w:lang w:bidi="bg-BG"/>
              </w:rPr>
              <w:t>Стартова помощ за установяване на млади земеделски стопани в селското стопанство“</w:t>
            </w:r>
            <w:r w:rsidRPr="009F6D1E">
              <w:rPr>
                <w:rFonts w:cs="Times New Roman"/>
                <w:iCs/>
                <w:lang w:bidi="bg-BG"/>
              </w:rPr>
              <w:t>, съгласно „</w:t>
            </w:r>
            <w:r w:rsidRPr="009F6D1E">
              <w:rPr>
                <w:rFonts w:cs="Times New Roman"/>
                <w:i/>
                <w:lang w:bidi="bg-BG"/>
              </w:rPr>
              <w:t>Установяване на млади земеделски стопани, помощ за стартиране на стопанска дейност в селските райони и развитие на малки стопанства“</w:t>
            </w:r>
            <w:r w:rsidRPr="009F6D1E">
              <w:rPr>
                <w:rFonts w:cs="Times New Roman"/>
                <w:iCs/>
                <w:lang w:bidi="bg-BG"/>
              </w:rPr>
              <w:t xml:space="preserve">- </w:t>
            </w:r>
            <w:r w:rsidRPr="009F6D1E">
              <w:rPr>
                <w:rFonts w:cs="Times New Roman"/>
                <w:i/>
                <w:lang w:bidi="bg-BG"/>
              </w:rPr>
              <w:t>член 75</w:t>
            </w:r>
            <w:r w:rsidRPr="009F6D1E">
              <w:rPr>
                <w:rFonts w:cs="Times New Roman"/>
                <w:iCs/>
                <w:lang w:bidi="bg-BG"/>
              </w:rPr>
              <w:t xml:space="preserve"> </w:t>
            </w:r>
            <w:r w:rsidRPr="009F6D1E">
              <w:rPr>
                <w:rFonts w:cs="Times New Roman"/>
                <w:i/>
                <w:lang w:bidi="bg-BG"/>
              </w:rPr>
              <w:t>от ЕЗФРСР.</w:t>
            </w:r>
            <w:r w:rsidRPr="009F6D1E">
              <w:rPr>
                <w:rFonts w:cs="Times New Roman"/>
                <w:iCs/>
                <w:lang w:bidi="bg-BG"/>
              </w:rPr>
              <w:t xml:space="preserve">  Интервенцията ще осигури по-добра пазарна ориентация на малките стопанства и повишаване на тяхната жизнеспособност.</w:t>
            </w:r>
          </w:p>
          <w:p w14:paraId="1D777AA0" w14:textId="77777777" w:rsidR="00E7280A" w:rsidRPr="009F6D1E" w:rsidRDefault="00E7280A" w:rsidP="0084747F">
            <w:pPr>
              <w:autoSpaceDE w:val="0"/>
              <w:autoSpaceDN w:val="0"/>
              <w:adjustRightInd w:val="0"/>
              <w:spacing w:after="60" w:line="264" w:lineRule="auto"/>
              <w:jc w:val="both"/>
              <w:rPr>
                <w:rFonts w:cs="Times New Roman"/>
                <w:i/>
                <w:lang w:bidi="bg-BG"/>
              </w:rPr>
            </w:pPr>
            <w:r w:rsidRPr="009F6D1E">
              <w:rPr>
                <w:rFonts w:cs="Times New Roman"/>
                <w:i/>
                <w:lang w:bidi="bg-BG"/>
              </w:rPr>
              <w:t xml:space="preserve">„Подпомагане на много малки земеделски стопанства“ по член 75 от ЕЗФРСР. </w:t>
            </w:r>
            <w:r w:rsidRPr="009F6D1E">
              <w:rPr>
                <w:rFonts w:cs="Times New Roman"/>
                <w:iCs/>
                <w:lang w:bidi="bg-BG"/>
              </w:rPr>
              <w:t>Интервенцията има за цел да обхване големия брой малки и полупазарни стопанства, които имат потенциал за развитие от гледна точка на мотивация и наличен фамилен труд.</w:t>
            </w:r>
          </w:p>
        </w:tc>
      </w:tr>
      <w:tr w:rsidR="00CB1B08" w:rsidRPr="009F6D1E" w14:paraId="0C3BE2B5" w14:textId="77777777" w:rsidTr="00981F7B">
        <w:tc>
          <w:tcPr>
            <w:tcW w:w="709" w:type="dxa"/>
          </w:tcPr>
          <w:p w14:paraId="4B69760D"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27E2AA0A" w14:textId="4C9B3F1F" w:rsidR="006767FD" w:rsidRPr="009F6D1E" w:rsidRDefault="006767FD"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П.2.4.</w:t>
            </w:r>
            <w:r w:rsidRPr="009F6D1E">
              <w:rPr>
                <w:rFonts w:eastAsia="Times New Roman" w:cs="Times New Roman"/>
                <w:b/>
                <w:bCs/>
                <w:i/>
                <w:lang w:eastAsia="bg-BG" w:bidi="bg-BG"/>
              </w:rPr>
              <w:t xml:space="preserve"> Повишаване на ефективността, подобряване на пазарната ориентация и реализацията на по</w:t>
            </w:r>
            <w:r w:rsidR="004C4004">
              <w:rPr>
                <w:rFonts w:eastAsia="Times New Roman" w:cs="Times New Roman"/>
                <w:b/>
                <w:bCs/>
                <w:i/>
                <w:lang w:eastAsia="bg-BG" w:bidi="bg-BG"/>
              </w:rPr>
              <w:t>-</w:t>
            </w:r>
            <w:r w:rsidRPr="009F6D1E">
              <w:rPr>
                <w:rFonts w:eastAsia="Times New Roman" w:cs="Times New Roman"/>
                <w:b/>
                <w:bCs/>
                <w:i/>
                <w:lang w:eastAsia="bg-BG" w:bidi="bg-BG"/>
              </w:rPr>
              <w:t>висока добавена стойност в малките стопанства;</w:t>
            </w:r>
          </w:p>
        </w:tc>
        <w:tc>
          <w:tcPr>
            <w:tcW w:w="4530" w:type="dxa"/>
          </w:tcPr>
          <w:p w14:paraId="3DA208E4" w14:textId="77777777" w:rsidR="00A961A7" w:rsidRPr="009F6D1E" w:rsidRDefault="00E7280A" w:rsidP="0084747F">
            <w:pPr>
              <w:autoSpaceDE w:val="0"/>
              <w:autoSpaceDN w:val="0"/>
              <w:adjustRightInd w:val="0"/>
              <w:spacing w:after="60" w:line="264" w:lineRule="auto"/>
              <w:jc w:val="both"/>
              <w:rPr>
                <w:rFonts w:cs="Times New Roman"/>
                <w:bCs/>
                <w:iCs/>
                <w:lang w:bidi="bg-BG"/>
              </w:rPr>
            </w:pPr>
            <w:r w:rsidRPr="009F6D1E">
              <w:rPr>
                <w:rFonts w:cs="Times New Roman"/>
                <w:bCs/>
                <w:i/>
                <w:lang w:bidi="bg-BG"/>
              </w:rPr>
              <w:t>„Подпомагане на много малки земеделски стопанства“</w:t>
            </w:r>
            <w:r w:rsidR="00AB2FB2" w:rsidRPr="009F6D1E">
              <w:rPr>
                <w:rFonts w:cs="Times New Roman"/>
                <w:bCs/>
                <w:i/>
                <w:lang w:bidi="bg-BG"/>
              </w:rPr>
              <w:t xml:space="preserve"> по </w:t>
            </w:r>
            <w:r w:rsidRPr="009F6D1E">
              <w:rPr>
                <w:rFonts w:cs="Times New Roman"/>
                <w:bCs/>
                <w:i/>
                <w:lang w:bidi="bg-BG"/>
              </w:rPr>
              <w:t>член 75</w:t>
            </w:r>
            <w:r w:rsidRPr="009F6D1E">
              <w:rPr>
                <w:rFonts w:cs="Times New Roman"/>
                <w:bCs/>
                <w:iCs/>
                <w:lang w:bidi="bg-BG"/>
              </w:rPr>
              <w:t xml:space="preserve"> </w:t>
            </w:r>
            <w:r w:rsidR="00EE38DB" w:rsidRPr="009F6D1E">
              <w:rPr>
                <w:rFonts w:cs="Times New Roman"/>
                <w:bCs/>
                <w:i/>
                <w:lang w:bidi="bg-BG"/>
              </w:rPr>
              <w:t xml:space="preserve">от ЕЗФРСР. </w:t>
            </w:r>
            <w:r w:rsidR="00AB2FB2" w:rsidRPr="009F6D1E">
              <w:rPr>
                <w:rFonts w:cs="Times New Roman"/>
                <w:bCs/>
                <w:iCs/>
                <w:lang w:bidi="bg-BG"/>
              </w:rPr>
              <w:t xml:space="preserve">Интервенцията има за цел да обхване големия брой малки и полупазарни стопанства, които имат потенциал за развитие от гледна точка на мотивация и наличен фамилен труд. </w:t>
            </w:r>
          </w:p>
        </w:tc>
      </w:tr>
      <w:tr w:rsidR="00CB1B08" w:rsidRPr="009F6D1E" w14:paraId="123E85AA" w14:textId="77777777" w:rsidTr="00981F7B">
        <w:tc>
          <w:tcPr>
            <w:tcW w:w="709" w:type="dxa"/>
          </w:tcPr>
          <w:p w14:paraId="7074DEFE"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4E9B9AAD" w14:textId="77777777" w:rsidR="006767FD" w:rsidRPr="009F6D1E" w:rsidRDefault="006767FD"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П.2.5.</w:t>
            </w:r>
            <w:r w:rsidRPr="009F6D1E">
              <w:rPr>
                <w:rFonts w:eastAsia="Times New Roman" w:cs="Times New Roman"/>
                <w:b/>
                <w:bCs/>
                <w:i/>
                <w:lang w:eastAsia="bg-BG" w:bidi="bg-BG"/>
              </w:rPr>
              <w:t xml:space="preserve"> Повишаване на износа на селскостопански продукти с висока добавена стойност;</w:t>
            </w:r>
          </w:p>
          <w:p w14:paraId="4289C7F9" w14:textId="77777777" w:rsidR="006767FD" w:rsidRPr="009F6D1E" w:rsidRDefault="006767FD" w:rsidP="0084747F">
            <w:pPr>
              <w:widowControl w:val="0"/>
              <w:spacing w:after="60" w:line="264" w:lineRule="auto"/>
              <w:jc w:val="both"/>
              <w:rPr>
                <w:rFonts w:eastAsia="Times New Roman" w:cs="Times New Roman"/>
                <w:b/>
                <w:bCs/>
                <w:i/>
                <w:iCs/>
                <w:lang w:eastAsia="bg-BG" w:bidi="bg-BG"/>
              </w:rPr>
            </w:pPr>
          </w:p>
        </w:tc>
        <w:tc>
          <w:tcPr>
            <w:tcW w:w="4530" w:type="dxa"/>
          </w:tcPr>
          <w:p w14:paraId="3AC96F3A" w14:textId="3F8261A1" w:rsidR="00AB2FB2" w:rsidRPr="009F6D1E" w:rsidRDefault="00AB2FB2" w:rsidP="0084747F">
            <w:pPr>
              <w:autoSpaceDE w:val="0"/>
              <w:autoSpaceDN w:val="0"/>
              <w:adjustRightInd w:val="0"/>
              <w:spacing w:after="60" w:line="264" w:lineRule="auto"/>
              <w:jc w:val="both"/>
              <w:rPr>
                <w:rFonts w:cs="Times New Roman"/>
                <w:bCs/>
                <w:iCs/>
                <w:lang w:bidi="bg-BG"/>
              </w:rPr>
            </w:pPr>
            <w:r w:rsidRPr="009F6D1E">
              <w:rPr>
                <w:rFonts w:cs="Times New Roman"/>
                <w:bCs/>
                <w:iCs/>
                <w:lang w:bidi="bg-BG"/>
              </w:rPr>
              <w:t xml:space="preserve">Интервенциите, удовлетворяващи тази потребност, имат за цел да повишат </w:t>
            </w:r>
            <w:r w:rsidR="004C4004" w:rsidRPr="009F6D1E">
              <w:rPr>
                <w:rFonts w:cs="Times New Roman"/>
                <w:lang w:bidi="bg-BG"/>
              </w:rPr>
              <w:t>конкурентос</w:t>
            </w:r>
            <w:r w:rsidR="004C4004">
              <w:rPr>
                <w:rFonts w:cs="Times New Roman"/>
                <w:lang w:bidi="bg-BG"/>
              </w:rPr>
              <w:t>п</w:t>
            </w:r>
            <w:r w:rsidR="004C4004" w:rsidRPr="009F6D1E">
              <w:rPr>
                <w:rFonts w:cs="Times New Roman"/>
                <w:lang w:bidi="bg-BG"/>
              </w:rPr>
              <w:t>о</w:t>
            </w:r>
            <w:r w:rsidR="004C4004">
              <w:rPr>
                <w:rFonts w:cs="Times New Roman"/>
                <w:lang w:bidi="bg-BG"/>
              </w:rPr>
              <w:t>со</w:t>
            </w:r>
            <w:r w:rsidR="004C4004" w:rsidRPr="009F6D1E">
              <w:rPr>
                <w:rFonts w:cs="Times New Roman"/>
                <w:lang w:bidi="bg-BG"/>
              </w:rPr>
              <w:t>бност</w:t>
            </w:r>
            <w:r w:rsidRPr="009F6D1E">
              <w:rPr>
                <w:rFonts w:cs="Times New Roman"/>
                <w:bCs/>
                <w:iCs/>
                <w:lang w:bidi="bg-BG"/>
              </w:rPr>
              <w:t>та</w:t>
            </w:r>
            <w:r w:rsidR="004C4004">
              <w:rPr>
                <w:rFonts w:cs="Times New Roman"/>
                <w:bCs/>
                <w:iCs/>
                <w:lang w:bidi="bg-BG"/>
              </w:rPr>
              <w:t xml:space="preserve"> </w:t>
            </w:r>
            <w:r w:rsidRPr="009F6D1E">
              <w:rPr>
                <w:rFonts w:cs="Times New Roman"/>
                <w:bCs/>
                <w:iCs/>
                <w:lang w:bidi="bg-BG"/>
              </w:rPr>
              <w:t xml:space="preserve">на селскостопанските продукти от Съюза и тяхното потребление, да подобрят </w:t>
            </w:r>
            <w:r w:rsidRPr="009F6D1E">
              <w:rPr>
                <w:rFonts w:cs="Times New Roman"/>
                <w:bCs/>
                <w:iCs/>
                <w:lang w:bidi="bg-BG"/>
              </w:rPr>
              <w:lastRenderedPageBreak/>
              <w:t xml:space="preserve">репутацията им както в рамките на Съюза, така и извън него, и да увеличат пазарния дял на тези продукти, като се обърне специално внимание на пазарите в трети държави, които имат най-голям потенциал за растеж. </w:t>
            </w:r>
          </w:p>
          <w:p w14:paraId="5CBCE0C1" w14:textId="77777777" w:rsidR="00B52E6D" w:rsidRPr="009F6D1E" w:rsidRDefault="00AB2FB2" w:rsidP="0084747F">
            <w:pPr>
              <w:autoSpaceDE w:val="0"/>
              <w:autoSpaceDN w:val="0"/>
              <w:adjustRightInd w:val="0"/>
              <w:spacing w:after="60" w:line="264" w:lineRule="auto"/>
              <w:jc w:val="both"/>
              <w:rPr>
                <w:rFonts w:cs="Times New Roman"/>
                <w:bCs/>
                <w:iCs/>
                <w:lang w:bidi="bg-BG"/>
              </w:rPr>
            </w:pPr>
            <w:r w:rsidRPr="009F6D1E">
              <w:rPr>
                <w:rFonts w:cs="Times New Roman"/>
                <w:bCs/>
                <w:iCs/>
                <w:lang w:bidi="bg-BG"/>
              </w:rPr>
              <w:t xml:space="preserve">В допълнение прилагане на </w:t>
            </w:r>
            <w:r w:rsidRPr="009F6D1E">
              <w:rPr>
                <w:rFonts w:cs="Times New Roman"/>
                <w:bCs/>
                <w:i/>
                <w:lang w:bidi="bg-BG"/>
              </w:rPr>
              <w:t>Схема за държавна помощ „Помощ за участие в изложения“</w:t>
            </w:r>
            <w:r w:rsidR="00B52E6D" w:rsidRPr="009F6D1E">
              <w:rPr>
                <w:rFonts w:cs="Times New Roman"/>
                <w:bCs/>
                <w:iCs/>
                <w:lang w:bidi="bg-BG"/>
              </w:rPr>
              <w:t>.</w:t>
            </w:r>
          </w:p>
          <w:p w14:paraId="55074067" w14:textId="77777777" w:rsidR="00B52E6D" w:rsidRPr="009F6D1E" w:rsidRDefault="00B52E6D" w:rsidP="0084747F">
            <w:pPr>
              <w:autoSpaceDE w:val="0"/>
              <w:autoSpaceDN w:val="0"/>
              <w:adjustRightInd w:val="0"/>
              <w:spacing w:after="60" w:line="264" w:lineRule="auto"/>
              <w:jc w:val="both"/>
              <w:rPr>
                <w:rFonts w:cs="Times New Roman"/>
                <w:bCs/>
                <w:i/>
                <w:lang w:bidi="bg-BG"/>
              </w:rPr>
            </w:pPr>
            <w:r w:rsidRPr="009F6D1E">
              <w:rPr>
                <w:rFonts w:cs="Times New Roman"/>
                <w:bCs/>
              </w:rPr>
              <w:t xml:space="preserve"> </w:t>
            </w:r>
            <w:r w:rsidRPr="009F6D1E">
              <w:rPr>
                <w:rFonts w:cs="Times New Roman"/>
                <w:bCs/>
                <w:iCs/>
                <w:lang w:bidi="bg-BG"/>
              </w:rPr>
              <w:t>Допълнителна възможност за адресиране на потребността би могла да бъде и схемата за държавна помощ „</w:t>
            </w:r>
            <w:r w:rsidRPr="009F6D1E">
              <w:rPr>
                <w:rFonts w:cs="Times New Roman"/>
                <w:bCs/>
                <w:i/>
                <w:lang w:bidi="bg-BG"/>
              </w:rPr>
              <w:t>Помощ за сертифициране на стопанства в сектор „Плодове и зеленчуци“ по стандарта GLOBALG.A.P</w:t>
            </w:r>
            <w:r w:rsidRPr="009F6D1E">
              <w:rPr>
                <w:rFonts w:cs="Times New Roman"/>
                <w:bCs/>
                <w:iCs/>
                <w:lang w:bidi="bg-BG"/>
              </w:rPr>
              <w:t>“.</w:t>
            </w:r>
          </w:p>
        </w:tc>
      </w:tr>
      <w:tr w:rsidR="00CB1B08" w:rsidRPr="009F6D1E" w14:paraId="27BCF399" w14:textId="77777777" w:rsidTr="00981F7B">
        <w:tc>
          <w:tcPr>
            <w:tcW w:w="709" w:type="dxa"/>
          </w:tcPr>
          <w:p w14:paraId="039A80DC"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6.</w:t>
            </w:r>
          </w:p>
        </w:tc>
        <w:tc>
          <w:tcPr>
            <w:tcW w:w="4394" w:type="dxa"/>
          </w:tcPr>
          <w:p w14:paraId="594E30F1" w14:textId="77777777" w:rsidR="006767FD" w:rsidRPr="009F6D1E" w:rsidRDefault="006767FD"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П.2.6.</w:t>
            </w:r>
            <w:r w:rsidRPr="009F6D1E">
              <w:rPr>
                <w:rFonts w:eastAsia="Times New Roman" w:cs="Times New Roman"/>
                <w:b/>
                <w:bCs/>
                <w:i/>
                <w:lang w:eastAsia="bg-BG" w:bidi="bg-BG"/>
              </w:rPr>
              <w:t xml:space="preserve"> Модернизация и внедряване на иновации и цифровизация в устойчиви стопанства,</w:t>
            </w:r>
            <w:r w:rsidR="00FB0881" w:rsidRPr="009F6D1E">
              <w:rPr>
                <w:rFonts w:eastAsia="Times New Roman" w:cs="Times New Roman"/>
                <w:b/>
                <w:bCs/>
                <w:i/>
                <w:lang w:eastAsia="bg-BG" w:bidi="bg-BG"/>
              </w:rPr>
              <w:t xml:space="preserve"> </w:t>
            </w:r>
            <w:r w:rsidRPr="009F6D1E">
              <w:rPr>
                <w:rFonts w:eastAsia="Times New Roman" w:cs="Times New Roman"/>
                <w:b/>
                <w:bCs/>
                <w:i/>
                <w:lang w:eastAsia="bg-BG" w:bidi="bg-BG"/>
              </w:rPr>
              <w:t>насърчаване на връзките между производителите и науката и създаване на условия за обмен на</w:t>
            </w:r>
            <w:r w:rsidR="00FB0881" w:rsidRPr="009F6D1E">
              <w:rPr>
                <w:rFonts w:eastAsia="Times New Roman" w:cs="Times New Roman"/>
                <w:b/>
                <w:bCs/>
                <w:i/>
                <w:lang w:eastAsia="bg-BG" w:bidi="bg-BG"/>
              </w:rPr>
              <w:t xml:space="preserve"> </w:t>
            </w:r>
            <w:r w:rsidRPr="009F6D1E">
              <w:rPr>
                <w:rFonts w:eastAsia="Times New Roman" w:cs="Times New Roman"/>
                <w:b/>
                <w:bCs/>
                <w:i/>
                <w:lang w:eastAsia="bg-BG" w:bidi="bg-BG"/>
              </w:rPr>
              <w:t>знания, иновации;</w:t>
            </w:r>
          </w:p>
          <w:p w14:paraId="27B87029" w14:textId="77777777" w:rsidR="006767FD" w:rsidRPr="009F6D1E" w:rsidRDefault="006767FD" w:rsidP="0084747F">
            <w:pPr>
              <w:widowControl w:val="0"/>
              <w:spacing w:after="60" w:line="264" w:lineRule="auto"/>
              <w:jc w:val="both"/>
              <w:rPr>
                <w:rFonts w:eastAsia="Times New Roman" w:cs="Times New Roman"/>
                <w:b/>
                <w:bCs/>
                <w:i/>
                <w:iCs/>
                <w:lang w:eastAsia="bg-BG" w:bidi="bg-BG"/>
              </w:rPr>
            </w:pPr>
          </w:p>
        </w:tc>
        <w:tc>
          <w:tcPr>
            <w:tcW w:w="4530" w:type="dxa"/>
          </w:tcPr>
          <w:p w14:paraId="69B389DE" w14:textId="77777777" w:rsidR="00915757" w:rsidRPr="009F6D1E" w:rsidRDefault="00915757" w:rsidP="0084747F">
            <w:pPr>
              <w:autoSpaceDE w:val="0"/>
              <w:autoSpaceDN w:val="0"/>
              <w:adjustRightInd w:val="0"/>
              <w:spacing w:after="60" w:line="264" w:lineRule="auto"/>
              <w:jc w:val="both"/>
              <w:rPr>
                <w:rFonts w:cs="Times New Roman"/>
                <w:bCs/>
                <w:iCs/>
                <w:lang w:bidi="bg-BG"/>
              </w:rPr>
            </w:pPr>
            <w:r w:rsidRPr="009F6D1E">
              <w:rPr>
                <w:rFonts w:cs="Times New Roman"/>
                <w:bCs/>
                <w:iCs/>
                <w:lang w:bidi="bg-BG"/>
              </w:rPr>
              <w:t>„</w:t>
            </w:r>
            <w:r w:rsidRPr="009F6D1E">
              <w:rPr>
                <w:rFonts w:cs="Times New Roman"/>
                <w:bCs/>
                <w:i/>
                <w:lang w:bidi="bg-BG"/>
              </w:rPr>
              <w:t xml:space="preserve">Инвестиции в земеделски стопанства“ – чл. </w:t>
            </w:r>
            <w:r w:rsidR="006E33B5" w:rsidRPr="009F6D1E">
              <w:rPr>
                <w:rFonts w:cs="Times New Roman"/>
                <w:bCs/>
                <w:i/>
                <w:lang w:bidi="bg-BG"/>
              </w:rPr>
              <w:t>73</w:t>
            </w:r>
            <w:r w:rsidRPr="009F6D1E">
              <w:rPr>
                <w:rFonts w:cs="Times New Roman"/>
                <w:bCs/>
                <w:i/>
                <w:lang w:bidi="bg-BG"/>
              </w:rPr>
              <w:t xml:space="preserve"> (ЕЗФРСР). </w:t>
            </w:r>
            <w:r w:rsidRPr="009F6D1E">
              <w:rPr>
                <w:rFonts w:cs="Times New Roman"/>
                <w:bCs/>
                <w:iCs/>
                <w:lang w:bidi="bg-BG"/>
              </w:rPr>
              <w:t>Подпомагането ще бъде насочено към  адресиране на необходимостта от внедряване на нови технологии в стопанства, които са пазарно ориентирани и насочени към инвестиции и диверсификация на производствата.</w:t>
            </w:r>
          </w:p>
        </w:tc>
      </w:tr>
      <w:tr w:rsidR="00CB1B08" w:rsidRPr="009F6D1E" w14:paraId="19900AD6" w14:textId="77777777" w:rsidTr="00981F7B">
        <w:tc>
          <w:tcPr>
            <w:tcW w:w="709" w:type="dxa"/>
          </w:tcPr>
          <w:p w14:paraId="16DA0848"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7.</w:t>
            </w:r>
          </w:p>
        </w:tc>
        <w:tc>
          <w:tcPr>
            <w:tcW w:w="4394" w:type="dxa"/>
          </w:tcPr>
          <w:p w14:paraId="457C6183" w14:textId="576DE386" w:rsidR="00CB1B08" w:rsidRPr="009F6D1E" w:rsidRDefault="00FB0881"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П.2.7.</w:t>
            </w:r>
            <w:r w:rsidRPr="009F6D1E">
              <w:rPr>
                <w:rFonts w:eastAsia="Times New Roman" w:cs="Times New Roman"/>
                <w:b/>
                <w:bCs/>
                <w:i/>
                <w:lang w:eastAsia="bg-BG" w:bidi="bg-BG"/>
              </w:rPr>
              <w:t xml:space="preserve">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4C4004">
              <w:rPr>
                <w:rFonts w:eastAsia="Times New Roman" w:cs="Times New Roman"/>
                <w:b/>
                <w:bCs/>
                <w:i/>
                <w:lang w:eastAsia="bg-BG" w:bidi="bg-BG"/>
              </w:rPr>
              <w:t>оспо</w:t>
            </w:r>
            <w:r w:rsidRPr="009F6D1E">
              <w:rPr>
                <w:rFonts w:eastAsia="Times New Roman" w:cs="Times New Roman"/>
                <w:b/>
                <w:bCs/>
                <w:i/>
                <w:lang w:eastAsia="bg-BG" w:bidi="bg-BG"/>
              </w:rPr>
              <w:t>собност чрез модернизация на стопанствата, използване на цифровизацията, както и по-широкото прилагане на подвижното пчеларство</w:t>
            </w:r>
          </w:p>
        </w:tc>
        <w:tc>
          <w:tcPr>
            <w:tcW w:w="4530" w:type="dxa"/>
          </w:tcPr>
          <w:p w14:paraId="4FB5B0A3" w14:textId="77777777" w:rsidR="00CB1B08" w:rsidRPr="009F6D1E" w:rsidRDefault="00F45390" w:rsidP="0084747F">
            <w:pPr>
              <w:autoSpaceDE w:val="0"/>
              <w:autoSpaceDN w:val="0"/>
              <w:adjustRightInd w:val="0"/>
              <w:spacing w:after="60" w:line="264" w:lineRule="auto"/>
              <w:jc w:val="both"/>
              <w:rPr>
                <w:rFonts w:cs="Times New Roman"/>
                <w:bCs/>
                <w:iCs/>
                <w:lang w:bidi="bg-BG"/>
              </w:rPr>
            </w:pPr>
            <w:r w:rsidRPr="009F6D1E">
              <w:rPr>
                <w:rFonts w:cs="Times New Roman"/>
                <w:bCs/>
                <w:iCs/>
                <w:lang w:bidi="bg-BG"/>
              </w:rPr>
              <w:t>Интервенция „</w:t>
            </w:r>
            <w:r w:rsidRPr="009F6D1E">
              <w:rPr>
                <w:rFonts w:cs="Times New Roman"/>
                <w:bCs/>
                <w:i/>
                <w:lang w:bidi="bg-BG"/>
              </w:rPr>
              <w:t xml:space="preserve">Консултантски услуги, техническа помощ, обучение, информация и обмен на добри практики за пчелари и пчеларски организации, включително относно агресорите и болестите в кошера, особено </w:t>
            </w:r>
            <w:proofErr w:type="spellStart"/>
            <w:r w:rsidRPr="009F6D1E">
              <w:rPr>
                <w:rFonts w:cs="Times New Roman"/>
                <w:bCs/>
                <w:i/>
                <w:lang w:bidi="bg-BG"/>
              </w:rPr>
              <w:t>вароатозата</w:t>
            </w:r>
            <w:proofErr w:type="spellEnd"/>
            <w:r w:rsidRPr="009F6D1E">
              <w:rPr>
                <w:rFonts w:cs="Times New Roman"/>
                <w:bCs/>
                <w:i/>
                <w:lang w:bidi="bg-BG"/>
              </w:rPr>
              <w:t xml:space="preserve">“ </w:t>
            </w:r>
            <w:r w:rsidRPr="009F6D1E">
              <w:rPr>
                <w:rFonts w:cs="Times New Roman"/>
                <w:bCs/>
                <w:iCs/>
                <w:lang w:bidi="bg-BG"/>
              </w:rPr>
              <w:t xml:space="preserve"> ще адресира необходимостта  от повишаване на знанията, уменията и  информираността на пчеларите и пчеларските организации при справянето им с икономически  значимите заболявания по пчелните семейства,  повишаване на добива на мед и други пчелни продукти, подобряване на здравословното състояние на пчелните семейства и ползата от достъпа до разнообразни източници на нектар.</w:t>
            </w:r>
          </w:p>
          <w:p w14:paraId="08463316" w14:textId="77777777" w:rsidR="00284D46" w:rsidRPr="009F6D1E" w:rsidRDefault="00284D46"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lastRenderedPageBreak/>
              <w:t>Интервенция „</w:t>
            </w:r>
            <w:r w:rsidRPr="009F6D1E">
              <w:rPr>
                <w:rFonts w:eastAsia="Calibri" w:cs="Times New Roman"/>
                <w:bCs/>
                <w:i/>
                <w:lang w:eastAsia="en-GB" w:bidi="bg-BG"/>
              </w:rPr>
              <w:t xml:space="preserve">Борба срещу агресорите и болестите в кошера, особено срещу </w:t>
            </w:r>
            <w:proofErr w:type="spellStart"/>
            <w:r w:rsidRPr="009F6D1E">
              <w:rPr>
                <w:rFonts w:eastAsia="Calibri" w:cs="Times New Roman"/>
                <w:bCs/>
                <w:i/>
                <w:lang w:eastAsia="en-GB" w:bidi="bg-BG"/>
              </w:rPr>
              <w:t>вароатозата</w:t>
            </w:r>
            <w:proofErr w:type="spellEnd"/>
            <w:r w:rsidRPr="009F6D1E">
              <w:rPr>
                <w:rFonts w:eastAsia="Calibri" w:cs="Times New Roman"/>
                <w:bCs/>
                <w:i/>
                <w:lang w:eastAsia="en-GB" w:bidi="bg-BG"/>
              </w:rPr>
              <w:t>“</w:t>
            </w:r>
            <w:r w:rsidRPr="009F6D1E">
              <w:rPr>
                <w:rFonts w:eastAsia="Calibri" w:cs="Times New Roman"/>
                <w:bCs/>
                <w:iCs/>
                <w:lang w:eastAsia="en-GB" w:bidi="bg-BG"/>
              </w:rPr>
              <w:t>- чл.</w:t>
            </w:r>
            <w:r w:rsidRPr="009F6D1E">
              <w:rPr>
                <w:rFonts w:cs="Times New Roman"/>
              </w:rPr>
              <w:t xml:space="preserve"> </w:t>
            </w:r>
            <w:r w:rsidRPr="009F6D1E">
              <w:rPr>
                <w:rFonts w:eastAsia="Calibri" w:cs="Times New Roman"/>
                <w:bCs/>
                <w:iCs/>
                <w:lang w:eastAsia="en-GB" w:bidi="bg-BG"/>
              </w:rPr>
              <w:t xml:space="preserve">55 </w:t>
            </w:r>
            <w:r w:rsidRPr="009F6D1E">
              <w:rPr>
                <w:rFonts w:cs="Times New Roman"/>
                <w:bCs/>
                <w:i/>
                <w:lang w:bidi="bg-BG"/>
              </w:rPr>
              <w:t>(ЕЗФРСР)</w:t>
            </w:r>
            <w:r w:rsidRPr="009F6D1E">
              <w:rPr>
                <w:rFonts w:eastAsia="Calibri" w:cs="Times New Roman"/>
                <w:bCs/>
                <w:iCs/>
                <w:lang w:eastAsia="en-GB" w:bidi="bg-BG"/>
              </w:rPr>
              <w:t>, ще подобри ефективността на пчелното стопанство и ще допринесе за задоволяване на потребностите по избраните специфични цели.</w:t>
            </w:r>
          </w:p>
          <w:p w14:paraId="08228C9E" w14:textId="77777777" w:rsidR="00284D46" w:rsidRPr="009F6D1E" w:rsidRDefault="00284D46" w:rsidP="0084747F">
            <w:pPr>
              <w:autoSpaceDE w:val="0"/>
              <w:autoSpaceDN w:val="0"/>
              <w:adjustRightInd w:val="0"/>
              <w:spacing w:after="60" w:line="264" w:lineRule="auto"/>
              <w:jc w:val="both"/>
              <w:rPr>
                <w:rFonts w:cs="Times New Roman"/>
                <w:bCs/>
                <w:i/>
                <w:lang w:bidi="bg-BG"/>
              </w:rPr>
            </w:pPr>
            <w:r w:rsidRPr="009F6D1E">
              <w:rPr>
                <w:rFonts w:cs="Times New Roman"/>
                <w:bCs/>
                <w:iCs/>
                <w:lang w:bidi="bg-BG"/>
              </w:rPr>
              <w:t>Интервенция „</w:t>
            </w:r>
            <w:r w:rsidRPr="009F6D1E">
              <w:rPr>
                <w:rFonts w:cs="Times New Roman"/>
                <w:bCs/>
                <w:i/>
                <w:lang w:bidi="bg-BG"/>
              </w:rPr>
              <w:t>Сътрудничество със специализирани органи за изпълнението на изследователски програми в областта на пчеларството и пчелните продукти“.</w:t>
            </w:r>
            <w:r w:rsidRPr="009F6D1E">
              <w:rPr>
                <w:rFonts w:cs="Times New Roman"/>
              </w:rPr>
              <w:t xml:space="preserve"> </w:t>
            </w:r>
            <w:r w:rsidRPr="009F6D1E">
              <w:rPr>
                <w:rFonts w:cs="Times New Roman"/>
                <w:bCs/>
                <w:i/>
                <w:lang w:bidi="bg-BG"/>
              </w:rPr>
              <w:t xml:space="preserve">– чл. 55 (ЕЗФРСР), </w:t>
            </w:r>
            <w:r w:rsidRPr="009F6D1E">
              <w:rPr>
                <w:rFonts w:cs="Times New Roman"/>
                <w:bCs/>
                <w:iCs/>
                <w:lang w:bidi="bg-BG"/>
              </w:rPr>
              <w:t>ще допринесе в най-голяма степен за засилване и укрепване на връзките между пчеларите, национално и регионално представителни браншови организации и специализираните органи за изследователска дейност чрез прилагането на проекти с потенциал за развитие на сектора.</w:t>
            </w:r>
          </w:p>
          <w:p w14:paraId="307930AA" w14:textId="77777777" w:rsidR="00284D46" w:rsidRPr="009F6D1E" w:rsidRDefault="00284D46"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t>Интервенция „</w:t>
            </w:r>
            <w:r w:rsidRPr="009F6D1E">
              <w:rPr>
                <w:rFonts w:eastAsia="Calibri" w:cs="Times New Roman"/>
                <w:bCs/>
                <w:i/>
                <w:lang w:eastAsia="en-GB" w:bidi="bg-BG"/>
              </w:rPr>
              <w:t xml:space="preserve">Популяризиране, комуникация и маркетинг, включително действия за наблюдение на пазара и дейности, насочени по-специално към повишаване на осведомеността на потребителите относно качеството на пчелните продукти и значението на здравословния начин на хранене“. </w:t>
            </w:r>
          </w:p>
          <w:p w14:paraId="344CA421" w14:textId="77777777" w:rsidR="00284D46" w:rsidRPr="009F6D1E" w:rsidRDefault="00284D46"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t>Интервенция „</w:t>
            </w:r>
            <w:r w:rsidRPr="009F6D1E">
              <w:rPr>
                <w:rFonts w:eastAsia="Calibri" w:cs="Times New Roman"/>
                <w:bCs/>
                <w:i/>
                <w:lang w:eastAsia="en-GB" w:bidi="bg-BG"/>
              </w:rPr>
              <w:t>Действия за запазване или увеличаване на наличния брой пчелни кошери в Съюза, включително развъждане на пчели</w:t>
            </w:r>
            <w:r w:rsidRPr="009F6D1E">
              <w:rPr>
                <w:rFonts w:eastAsia="Calibri" w:cs="Times New Roman"/>
                <w:bCs/>
                <w:iCs/>
                <w:lang w:eastAsia="en-GB" w:bidi="bg-BG"/>
              </w:rPr>
              <w:t xml:space="preserve">“ – </w:t>
            </w:r>
            <w:r w:rsidRPr="009F6D1E">
              <w:rPr>
                <w:rFonts w:eastAsia="Calibri" w:cs="Times New Roman"/>
                <w:bCs/>
                <w:i/>
                <w:lang w:eastAsia="en-GB" w:bidi="bg-BG"/>
              </w:rPr>
              <w:t xml:space="preserve">чл. 55 </w:t>
            </w:r>
            <w:r w:rsidRPr="009F6D1E">
              <w:rPr>
                <w:rFonts w:cs="Times New Roman"/>
                <w:bCs/>
                <w:i/>
                <w:lang w:bidi="bg-BG"/>
              </w:rPr>
              <w:t>(ЕЗФРСР)</w:t>
            </w:r>
            <w:r w:rsidRPr="009F6D1E">
              <w:rPr>
                <w:rFonts w:eastAsia="Calibri" w:cs="Times New Roman"/>
                <w:bCs/>
                <w:iCs/>
                <w:lang w:eastAsia="en-GB" w:bidi="bg-BG"/>
              </w:rPr>
              <w:t>, ще допринесе за запазване на пчелната популация и устойчивост на сектора, както и запазване на биоразнообразието и екосистемите.</w:t>
            </w:r>
          </w:p>
          <w:p w14:paraId="7B414C91" w14:textId="77777777" w:rsidR="00F45390" w:rsidRPr="009F6D1E" w:rsidRDefault="00CC59ED"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t xml:space="preserve">Интервенция </w:t>
            </w:r>
            <w:r w:rsidR="00F45390" w:rsidRPr="009F6D1E">
              <w:rPr>
                <w:rFonts w:eastAsia="Calibri" w:cs="Times New Roman"/>
                <w:bCs/>
                <w:iCs/>
                <w:lang w:eastAsia="en-GB" w:bidi="bg-BG"/>
              </w:rPr>
              <w:t>за</w:t>
            </w:r>
            <w:r w:rsidR="00F45390" w:rsidRPr="009F6D1E">
              <w:rPr>
                <w:rFonts w:eastAsia="Calibri" w:cs="Times New Roman"/>
                <w:bCs/>
                <w:i/>
                <w:lang w:eastAsia="en-GB" w:bidi="bg-BG"/>
              </w:rPr>
              <w:t xml:space="preserve"> </w:t>
            </w:r>
            <w:r w:rsidRPr="009F6D1E">
              <w:rPr>
                <w:rFonts w:eastAsia="Calibri" w:cs="Times New Roman"/>
                <w:bCs/>
                <w:i/>
                <w:lang w:eastAsia="en-GB" w:bidi="bg-BG"/>
              </w:rPr>
              <w:t>„Инвестиции в материални и нематериални активи“ – чл</w:t>
            </w:r>
            <w:r w:rsidR="00820AD8" w:rsidRPr="009F6D1E">
              <w:rPr>
                <w:rFonts w:eastAsia="Calibri" w:cs="Times New Roman"/>
                <w:bCs/>
                <w:i/>
                <w:lang w:eastAsia="en-GB" w:bidi="bg-BG"/>
              </w:rPr>
              <w:t>.</w:t>
            </w:r>
            <w:r w:rsidRPr="009F6D1E">
              <w:rPr>
                <w:rFonts w:eastAsia="Calibri" w:cs="Times New Roman"/>
                <w:bCs/>
                <w:i/>
                <w:lang w:eastAsia="en-GB" w:bidi="bg-BG"/>
              </w:rPr>
              <w:t xml:space="preserve"> 55 (ЕЗФРСР), </w:t>
            </w:r>
            <w:r w:rsidRPr="009F6D1E">
              <w:rPr>
                <w:rFonts w:eastAsia="Calibri" w:cs="Times New Roman"/>
                <w:bCs/>
                <w:iCs/>
                <w:lang w:eastAsia="en-GB" w:bidi="bg-BG"/>
              </w:rPr>
              <w:t xml:space="preserve">ще създаде възможност за пчеларите за закупуване на пчеларски </w:t>
            </w:r>
            <w:r w:rsidRPr="009F6D1E">
              <w:rPr>
                <w:rFonts w:eastAsia="Calibri" w:cs="Times New Roman"/>
                <w:bCs/>
                <w:iCs/>
                <w:lang w:eastAsia="en-GB" w:bidi="bg-BG"/>
              </w:rPr>
              <w:lastRenderedPageBreak/>
              <w:t>инвентар, необходим при първичния добив на пчелен мед и други пчелни продукти, като част от подобряване на общите условия за производство в сектора.</w:t>
            </w:r>
          </w:p>
          <w:p w14:paraId="13235AED" w14:textId="77777777" w:rsidR="00CC59ED" w:rsidRPr="009F6D1E" w:rsidRDefault="00820AD8"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t>Интервенция „</w:t>
            </w:r>
            <w:r w:rsidRPr="009F6D1E">
              <w:rPr>
                <w:rFonts w:eastAsia="Calibri" w:cs="Times New Roman"/>
                <w:bCs/>
                <w:i/>
                <w:lang w:eastAsia="en-GB" w:bidi="bg-BG"/>
              </w:rPr>
              <w:t>Подновяване на пчелните кошери в Съюза, включително развъждане на пчели</w:t>
            </w:r>
            <w:r w:rsidRPr="009F6D1E">
              <w:rPr>
                <w:rFonts w:eastAsia="Calibri" w:cs="Times New Roman"/>
                <w:bCs/>
                <w:iCs/>
                <w:lang w:eastAsia="en-GB" w:bidi="bg-BG"/>
              </w:rPr>
              <w:t xml:space="preserve">“ – </w:t>
            </w:r>
            <w:r w:rsidRPr="009F6D1E">
              <w:rPr>
                <w:rFonts w:eastAsia="Calibri" w:cs="Times New Roman"/>
                <w:bCs/>
                <w:i/>
                <w:lang w:eastAsia="en-GB" w:bidi="bg-BG"/>
              </w:rPr>
              <w:t>чл. 55 (ЕЗФРСР)</w:t>
            </w:r>
            <w:r w:rsidRPr="009F6D1E">
              <w:rPr>
                <w:rFonts w:eastAsia="Calibri" w:cs="Times New Roman"/>
                <w:bCs/>
                <w:iCs/>
                <w:lang w:eastAsia="en-GB" w:bidi="bg-BG"/>
              </w:rPr>
              <w:t>, ще допринесе за увеличаване на пчелните семейства и подновяване на наличните амортизирани кошери.</w:t>
            </w:r>
          </w:p>
          <w:p w14:paraId="4E640080" w14:textId="77777777" w:rsidR="00F45390" w:rsidRPr="009F6D1E" w:rsidRDefault="00820AD8" w:rsidP="0084747F">
            <w:pPr>
              <w:spacing w:after="60" w:line="264" w:lineRule="auto"/>
              <w:jc w:val="both"/>
              <w:rPr>
                <w:rFonts w:eastAsia="Calibri" w:cs="Times New Roman"/>
                <w:bCs/>
                <w:i/>
                <w:iCs/>
                <w:lang w:eastAsia="en-GB" w:bidi="bg-BG"/>
              </w:rPr>
            </w:pPr>
            <w:r w:rsidRPr="009F6D1E">
              <w:rPr>
                <w:rFonts w:eastAsia="Calibri" w:cs="Times New Roman"/>
                <w:bCs/>
                <w:i/>
                <w:iCs/>
                <w:lang w:eastAsia="en-GB" w:bidi="bg-BG"/>
              </w:rPr>
              <w:t xml:space="preserve">Интервенция „Рационализиране на подвижното пчеларство“ – чл. 55 от </w:t>
            </w:r>
            <w:r w:rsidRPr="009F6D1E">
              <w:rPr>
                <w:rFonts w:eastAsia="Calibri" w:cs="Times New Roman"/>
                <w:bCs/>
                <w:iCs/>
                <w:lang w:eastAsia="en-GB" w:bidi="bg-BG"/>
              </w:rPr>
              <w:t xml:space="preserve"> ЕЗФРСР</w:t>
            </w:r>
            <w:r w:rsidRPr="009F6D1E">
              <w:rPr>
                <w:rFonts w:eastAsia="Calibri" w:cs="Times New Roman"/>
                <w:bCs/>
                <w:i/>
                <w:iCs/>
                <w:lang w:eastAsia="en-GB" w:bidi="bg-BG"/>
              </w:rPr>
              <w:t xml:space="preserve">, </w:t>
            </w:r>
            <w:r w:rsidRPr="009F6D1E">
              <w:rPr>
                <w:rFonts w:eastAsia="Calibri" w:cs="Times New Roman"/>
                <w:bCs/>
                <w:lang w:eastAsia="en-GB" w:bidi="bg-BG"/>
              </w:rPr>
              <w:t>ще улесни и стимулира прилагането на подвижното пчеларство</w:t>
            </w:r>
            <w:r w:rsidR="00F45390" w:rsidRPr="009F6D1E">
              <w:rPr>
                <w:rFonts w:eastAsia="Calibri" w:cs="Times New Roman"/>
                <w:bCs/>
                <w:i/>
                <w:iCs/>
                <w:lang w:eastAsia="en-GB" w:bidi="bg-BG"/>
              </w:rPr>
              <w:t>.</w:t>
            </w:r>
          </w:p>
          <w:p w14:paraId="6D74167F" w14:textId="77777777" w:rsidR="00820AD8" w:rsidRPr="009F6D1E" w:rsidRDefault="00820AD8" w:rsidP="0084747F">
            <w:pPr>
              <w:spacing w:after="60" w:line="264" w:lineRule="auto"/>
              <w:jc w:val="both"/>
              <w:rPr>
                <w:rFonts w:cs="Times New Roman"/>
                <w:bCs/>
                <w:i/>
                <w:lang w:bidi="bg-BG"/>
              </w:rPr>
            </w:pPr>
            <w:r w:rsidRPr="009F6D1E">
              <w:rPr>
                <w:rFonts w:cs="Times New Roman"/>
                <w:bCs/>
                <w:i/>
                <w:lang w:bidi="bg-BG"/>
              </w:rPr>
              <w:t>Интервенция „Действия за подпомагане на лабораториите за анализ на пчелните продукти, загубата на пчели или спада на производителността, както и потенциално токсичните за пчелите вещества“ – член 55</w:t>
            </w:r>
            <w:r w:rsidRPr="009F6D1E">
              <w:rPr>
                <w:rFonts w:eastAsia="Calibri" w:cs="Times New Roman"/>
                <w:bCs/>
                <w:i/>
                <w:iCs/>
                <w:lang w:eastAsia="en-GB" w:bidi="bg-BG"/>
              </w:rPr>
              <w:t xml:space="preserve"> от </w:t>
            </w:r>
            <w:r w:rsidRPr="009F6D1E">
              <w:rPr>
                <w:rFonts w:eastAsia="Calibri" w:cs="Times New Roman"/>
                <w:bCs/>
                <w:iCs/>
                <w:lang w:eastAsia="en-GB" w:bidi="bg-BG"/>
              </w:rPr>
              <w:t xml:space="preserve"> ЕЗФРСР</w:t>
            </w:r>
            <w:r w:rsidRPr="009F6D1E">
              <w:rPr>
                <w:rFonts w:cs="Times New Roman"/>
                <w:bCs/>
                <w:i/>
                <w:lang w:bidi="bg-BG"/>
              </w:rPr>
              <w:t xml:space="preserve">, </w:t>
            </w:r>
            <w:r w:rsidRPr="009F6D1E">
              <w:rPr>
                <w:rFonts w:cs="Times New Roman"/>
                <w:bCs/>
                <w:iCs/>
                <w:lang w:bidi="bg-BG"/>
              </w:rPr>
              <w:t>ще подобри проследяемостта на пчелния мед и пчелните продукти, да улесни тяхната реализация, както и самоконтрола на пчеларите относно безопасността и качеството на предлаганата от тях продукция.</w:t>
            </w:r>
          </w:p>
        </w:tc>
      </w:tr>
      <w:tr w:rsidR="00CB1B08" w:rsidRPr="009F6D1E" w14:paraId="78E09A62" w14:textId="77777777" w:rsidTr="00981F7B">
        <w:tc>
          <w:tcPr>
            <w:tcW w:w="709" w:type="dxa"/>
          </w:tcPr>
          <w:p w14:paraId="45FC8198" w14:textId="77777777" w:rsidR="00CB1B08" w:rsidRPr="009F6D1E" w:rsidRDefault="00CB1B0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8.</w:t>
            </w:r>
          </w:p>
        </w:tc>
        <w:tc>
          <w:tcPr>
            <w:tcW w:w="4394" w:type="dxa"/>
          </w:tcPr>
          <w:p w14:paraId="0304737F" w14:textId="308B82C8" w:rsidR="00FB0881" w:rsidRPr="009F6D1E" w:rsidRDefault="00FB0881" w:rsidP="0084747F">
            <w:pPr>
              <w:widowControl w:val="0"/>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П.2.8.</w:t>
            </w:r>
            <w:r w:rsidRPr="009F6D1E">
              <w:rPr>
                <w:rFonts w:eastAsia="Times New Roman" w:cs="Times New Roman"/>
                <w:b/>
                <w:bCs/>
                <w:i/>
                <w:lang w:eastAsia="bg-BG" w:bidi="bg-BG"/>
              </w:rPr>
              <w:t xml:space="preserve"> Повишаване на конкурен</w:t>
            </w:r>
            <w:r w:rsidR="006E0FF0">
              <w:rPr>
                <w:rFonts w:eastAsia="Times New Roman" w:cs="Times New Roman"/>
                <w:b/>
                <w:bCs/>
                <w:i/>
                <w:lang w:eastAsia="bg-BG" w:bidi="bg-BG"/>
              </w:rPr>
              <w:t>тоспо</w:t>
            </w:r>
            <w:r w:rsidRPr="009F6D1E">
              <w:rPr>
                <w:rFonts w:eastAsia="Times New Roman" w:cs="Times New Roman"/>
                <w:b/>
                <w:bCs/>
                <w:i/>
                <w:lang w:eastAsia="bg-BG" w:bidi="bg-BG"/>
              </w:rPr>
              <w:t xml:space="preserve">собността на производителите и преработвателите в </w:t>
            </w:r>
            <w:proofErr w:type="spellStart"/>
            <w:r w:rsidRPr="009F6D1E">
              <w:rPr>
                <w:rFonts w:eastAsia="Times New Roman" w:cs="Times New Roman"/>
                <w:b/>
                <w:bCs/>
                <w:i/>
                <w:lang w:eastAsia="bg-BG" w:bidi="bg-BG"/>
              </w:rPr>
              <w:t>лозаро</w:t>
            </w:r>
            <w:proofErr w:type="spellEnd"/>
            <w:r w:rsidR="006E0FF0">
              <w:rPr>
                <w:rFonts w:eastAsia="Times New Roman" w:cs="Times New Roman"/>
                <w:b/>
                <w:bCs/>
                <w:i/>
                <w:lang w:eastAsia="bg-BG" w:bidi="bg-BG"/>
              </w:rPr>
              <w:t>-</w:t>
            </w:r>
            <w:r w:rsidRPr="009F6D1E">
              <w:rPr>
                <w:rFonts w:eastAsia="Times New Roman" w:cs="Times New Roman"/>
                <w:b/>
                <w:bCs/>
                <w:i/>
                <w:lang w:eastAsia="bg-BG" w:bidi="bg-BG"/>
              </w:rPr>
              <w:t>винарския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p w14:paraId="5CCF895B" w14:textId="77777777" w:rsidR="00FB0881" w:rsidRPr="009F6D1E" w:rsidRDefault="00FB0881" w:rsidP="0084747F">
            <w:pPr>
              <w:widowControl w:val="0"/>
              <w:spacing w:after="60" w:line="264" w:lineRule="auto"/>
              <w:jc w:val="both"/>
              <w:rPr>
                <w:rFonts w:eastAsia="Times New Roman" w:cs="Times New Roman"/>
                <w:b/>
                <w:bCs/>
                <w:i/>
                <w:iCs/>
                <w:lang w:eastAsia="bg-BG" w:bidi="bg-BG"/>
              </w:rPr>
            </w:pPr>
          </w:p>
          <w:p w14:paraId="20D54712" w14:textId="77777777" w:rsidR="00CB1B08" w:rsidRPr="009F6D1E" w:rsidRDefault="00CB1B08" w:rsidP="0084747F">
            <w:pPr>
              <w:widowControl w:val="0"/>
              <w:spacing w:after="60" w:line="264" w:lineRule="auto"/>
              <w:ind w:left="720"/>
              <w:jc w:val="both"/>
              <w:rPr>
                <w:rFonts w:eastAsia="Times New Roman" w:cs="Times New Roman"/>
                <w:b/>
                <w:bCs/>
                <w:i/>
                <w:iCs/>
                <w:lang w:eastAsia="bg-BG" w:bidi="bg-BG"/>
              </w:rPr>
            </w:pPr>
          </w:p>
        </w:tc>
        <w:tc>
          <w:tcPr>
            <w:tcW w:w="4530" w:type="dxa"/>
          </w:tcPr>
          <w:p w14:paraId="3114544F" w14:textId="0759F736" w:rsidR="00F45390" w:rsidRPr="009F6D1E" w:rsidRDefault="00A20AD9" w:rsidP="0084747F">
            <w:pPr>
              <w:spacing w:after="60" w:line="264" w:lineRule="auto"/>
              <w:jc w:val="both"/>
              <w:rPr>
                <w:rFonts w:eastAsia="Calibri" w:cs="Times New Roman"/>
                <w:iCs/>
                <w:lang w:eastAsia="en-GB" w:bidi="bg-BG"/>
              </w:rPr>
            </w:pPr>
            <w:r w:rsidRPr="009F6D1E">
              <w:rPr>
                <w:rFonts w:cs="Times New Roman"/>
                <w:bCs/>
                <w:i/>
                <w:lang w:bidi="bg-BG"/>
              </w:rPr>
              <w:t xml:space="preserve">Интервенция </w:t>
            </w:r>
            <w:r w:rsidR="00F45390" w:rsidRPr="009F6D1E">
              <w:rPr>
                <w:rFonts w:eastAsia="Calibri" w:cs="Times New Roman"/>
                <w:i/>
                <w:iCs/>
                <w:lang w:eastAsia="en-GB" w:bidi="bg-BG"/>
              </w:rPr>
              <w:t xml:space="preserve">„Преструктуриране и конверсия на лозя“ </w:t>
            </w:r>
            <w:r w:rsidR="00F45390" w:rsidRPr="009F6D1E">
              <w:rPr>
                <w:rFonts w:eastAsia="Calibri" w:cs="Times New Roman"/>
                <w:iCs/>
                <w:lang w:eastAsia="en-GB" w:bidi="bg-BG"/>
              </w:rPr>
              <w:t>(чл. 5</w:t>
            </w:r>
            <w:r w:rsidR="004823A5" w:rsidRPr="009F6D1E">
              <w:rPr>
                <w:rFonts w:eastAsia="Calibri" w:cs="Times New Roman"/>
                <w:iCs/>
                <w:lang w:eastAsia="en-GB" w:bidi="bg-BG"/>
              </w:rPr>
              <w:t>8</w:t>
            </w:r>
            <w:r w:rsidR="00F45390" w:rsidRPr="009F6D1E">
              <w:rPr>
                <w:rFonts w:eastAsia="Calibri" w:cs="Times New Roman"/>
                <w:bCs/>
                <w:iCs/>
                <w:lang w:eastAsia="en-GB" w:bidi="bg-BG"/>
              </w:rPr>
              <w:t xml:space="preserve"> от ЕЗФРСР</w:t>
            </w:r>
            <w:r w:rsidR="00F45390" w:rsidRPr="009F6D1E">
              <w:rPr>
                <w:rFonts w:eastAsia="Calibri" w:cs="Times New Roman"/>
                <w:iCs/>
                <w:lang w:eastAsia="en-GB" w:bidi="bg-BG"/>
              </w:rPr>
              <w:t xml:space="preserve">), която ще доведе до повишаване на  жизнеспособността на </w:t>
            </w:r>
            <w:proofErr w:type="spellStart"/>
            <w:r w:rsidR="00F45390" w:rsidRPr="009F6D1E">
              <w:rPr>
                <w:rFonts w:eastAsia="Calibri" w:cs="Times New Roman"/>
                <w:iCs/>
                <w:lang w:eastAsia="en-GB" w:bidi="bg-BG"/>
              </w:rPr>
              <w:t>гроздопроизводителите</w:t>
            </w:r>
            <w:proofErr w:type="spellEnd"/>
            <w:r w:rsidR="00F45390" w:rsidRPr="009F6D1E">
              <w:rPr>
                <w:rFonts w:eastAsia="Calibri" w:cs="Times New Roman"/>
                <w:iCs/>
                <w:lang w:eastAsia="en-GB" w:bidi="bg-BG"/>
              </w:rPr>
              <w:t xml:space="preserve"> в България; устойчивост на конкурент</w:t>
            </w:r>
            <w:r w:rsidR="006E0FF0">
              <w:rPr>
                <w:rFonts w:eastAsia="Calibri" w:cs="Times New Roman"/>
                <w:iCs/>
                <w:lang w:eastAsia="en-GB" w:bidi="bg-BG"/>
              </w:rPr>
              <w:t>осп</w:t>
            </w:r>
            <w:r w:rsidR="00F45390" w:rsidRPr="009F6D1E">
              <w:rPr>
                <w:rFonts w:eastAsia="Calibri" w:cs="Times New Roman"/>
                <w:iCs/>
                <w:lang w:eastAsia="en-GB" w:bidi="bg-BG"/>
              </w:rPr>
              <w:t>особността и пазарната ориентация на стопанствата, обновяване на производствения потенциал в лозарството, поддържане и изграждане на неговата модерна и конкурентна структура.</w:t>
            </w:r>
          </w:p>
          <w:p w14:paraId="73F31B36" w14:textId="63553549" w:rsidR="004823A5" w:rsidRPr="009F6D1E" w:rsidRDefault="004823A5" w:rsidP="0084747F">
            <w:pPr>
              <w:spacing w:after="60" w:line="264" w:lineRule="auto"/>
              <w:jc w:val="both"/>
              <w:rPr>
                <w:rFonts w:eastAsia="Calibri" w:cs="Times New Roman"/>
                <w:iCs/>
                <w:lang w:eastAsia="en-GB" w:bidi="bg-BG"/>
              </w:rPr>
            </w:pPr>
            <w:r w:rsidRPr="009F6D1E">
              <w:rPr>
                <w:rFonts w:eastAsia="Calibri" w:cs="Times New Roman"/>
                <w:i/>
                <w:iCs/>
                <w:lang w:eastAsia="en-GB" w:bidi="bg-BG"/>
              </w:rPr>
              <w:lastRenderedPageBreak/>
              <w:t>Интервенция</w:t>
            </w:r>
            <w:r w:rsidRPr="009F6D1E">
              <w:rPr>
                <w:rFonts w:eastAsia="Calibri" w:cs="Times New Roman"/>
                <w:iCs/>
                <w:lang w:eastAsia="en-GB" w:bidi="bg-BG"/>
              </w:rPr>
              <w:t xml:space="preserve"> „</w:t>
            </w:r>
            <w:r w:rsidRPr="009F6D1E">
              <w:rPr>
                <w:rFonts w:eastAsia="Calibri" w:cs="Times New Roman"/>
                <w:i/>
                <w:lang w:eastAsia="en-GB" w:bidi="bg-BG"/>
              </w:rPr>
              <w:t xml:space="preserve">Инвестиции в </w:t>
            </w:r>
            <w:proofErr w:type="spellStart"/>
            <w:r w:rsidRPr="009F6D1E">
              <w:rPr>
                <w:rFonts w:eastAsia="Calibri" w:cs="Times New Roman"/>
                <w:i/>
                <w:lang w:eastAsia="en-GB" w:bidi="bg-BG"/>
              </w:rPr>
              <w:t>лозаро</w:t>
            </w:r>
            <w:proofErr w:type="spellEnd"/>
            <w:r w:rsidRPr="009F6D1E">
              <w:rPr>
                <w:rFonts w:eastAsia="Calibri" w:cs="Times New Roman"/>
                <w:i/>
                <w:lang w:eastAsia="en-GB" w:bidi="bg-BG"/>
              </w:rPr>
              <w:t>-винарския сектор</w:t>
            </w:r>
            <w:r w:rsidRPr="009F6D1E">
              <w:rPr>
                <w:rFonts w:eastAsia="Calibri" w:cs="Times New Roman"/>
                <w:iCs/>
                <w:lang w:eastAsia="en-GB" w:bidi="bg-BG"/>
              </w:rPr>
              <w:t>“ (чл. 58</w:t>
            </w:r>
            <w:r w:rsidRPr="009F6D1E">
              <w:rPr>
                <w:rFonts w:cs="Times New Roman"/>
              </w:rPr>
              <w:t xml:space="preserve"> </w:t>
            </w:r>
            <w:r w:rsidRPr="009F6D1E">
              <w:rPr>
                <w:rFonts w:eastAsia="Calibri" w:cs="Times New Roman"/>
                <w:iCs/>
                <w:lang w:eastAsia="en-GB" w:bidi="bg-BG"/>
              </w:rPr>
              <w:t>от ЕЗФРСР), която чрез материални и нематериални инвестиции в преработвателни съоръжения, винарска и маркетингова инфраструктура ще доведе до подобряването на общите резултати на винарските предприятията и адаптирането им към изискванията на пазара, както и повишаване на тяхната конкурент</w:t>
            </w:r>
            <w:r w:rsidR="006E0FF0">
              <w:rPr>
                <w:rFonts w:eastAsia="Calibri" w:cs="Times New Roman"/>
                <w:iCs/>
                <w:lang w:eastAsia="en-GB" w:bidi="bg-BG"/>
              </w:rPr>
              <w:t>осп</w:t>
            </w:r>
            <w:r w:rsidRPr="009F6D1E">
              <w:rPr>
                <w:rFonts w:eastAsia="Calibri" w:cs="Times New Roman"/>
                <w:iCs/>
                <w:lang w:eastAsia="en-GB" w:bidi="bg-BG"/>
              </w:rPr>
              <w:t>особност.</w:t>
            </w:r>
          </w:p>
          <w:p w14:paraId="5067CF84" w14:textId="77777777" w:rsidR="004823A5" w:rsidRPr="009F6D1E" w:rsidRDefault="004823A5" w:rsidP="0084747F">
            <w:pPr>
              <w:spacing w:after="60" w:line="264" w:lineRule="auto"/>
              <w:jc w:val="both"/>
              <w:rPr>
                <w:rFonts w:eastAsia="Calibri" w:cs="Times New Roman"/>
                <w:iCs/>
                <w:lang w:eastAsia="en-GB" w:bidi="bg-BG"/>
              </w:rPr>
            </w:pPr>
            <w:r w:rsidRPr="009F6D1E">
              <w:rPr>
                <w:rFonts w:eastAsia="Calibri" w:cs="Times New Roman"/>
                <w:i/>
                <w:iCs/>
                <w:lang w:eastAsia="en-GB" w:bidi="bg-BG"/>
              </w:rPr>
              <w:t>Интервенция</w:t>
            </w:r>
            <w:r w:rsidRPr="009F6D1E">
              <w:rPr>
                <w:rFonts w:eastAsia="Calibri" w:cs="Times New Roman"/>
                <w:iCs/>
                <w:lang w:eastAsia="en-GB" w:bidi="bg-BG"/>
              </w:rPr>
              <w:t xml:space="preserve"> „</w:t>
            </w:r>
            <w:r w:rsidRPr="009F6D1E">
              <w:rPr>
                <w:rFonts w:eastAsia="Calibri" w:cs="Times New Roman"/>
                <w:i/>
                <w:lang w:eastAsia="en-GB" w:bidi="bg-BG"/>
              </w:rPr>
              <w:t>Насърчаване на винения туризъм</w:t>
            </w:r>
            <w:r w:rsidRPr="009F6D1E">
              <w:rPr>
                <w:rFonts w:eastAsia="Calibri" w:cs="Times New Roman"/>
                <w:iCs/>
                <w:lang w:eastAsia="en-GB" w:bidi="bg-BG"/>
              </w:rPr>
              <w:t>“</w:t>
            </w:r>
            <w:r w:rsidR="00804F70" w:rsidRPr="009F6D1E">
              <w:rPr>
                <w:rFonts w:eastAsia="Calibri" w:cs="Times New Roman"/>
                <w:iCs/>
                <w:lang w:eastAsia="en-GB" w:bidi="bg-BG"/>
              </w:rPr>
              <w:t xml:space="preserve"> </w:t>
            </w:r>
            <w:r w:rsidRPr="009F6D1E">
              <w:rPr>
                <w:rFonts w:eastAsia="Calibri" w:cs="Times New Roman"/>
                <w:iCs/>
                <w:lang w:eastAsia="en-GB" w:bidi="bg-BG"/>
              </w:rPr>
              <w:t xml:space="preserve">– член 58. Изпълнението на интервенцията ще допринесе за подобряване на репутацията на винения сектор, запознаване на обществото с туристическия потенциал на </w:t>
            </w:r>
            <w:proofErr w:type="spellStart"/>
            <w:r w:rsidRPr="009F6D1E">
              <w:rPr>
                <w:rFonts w:eastAsia="Calibri" w:cs="Times New Roman"/>
                <w:iCs/>
                <w:lang w:eastAsia="en-GB" w:bidi="bg-BG"/>
              </w:rPr>
              <w:t>лозаро</w:t>
            </w:r>
            <w:proofErr w:type="spellEnd"/>
            <w:r w:rsidRPr="009F6D1E">
              <w:rPr>
                <w:rFonts w:eastAsia="Calibri" w:cs="Times New Roman"/>
                <w:iCs/>
                <w:lang w:eastAsia="en-GB" w:bidi="bg-BG"/>
              </w:rPr>
              <w:t>-винарските региони в страната и популяризиране на техните специфики.</w:t>
            </w:r>
          </w:p>
          <w:p w14:paraId="3990E02F" w14:textId="77777777" w:rsidR="004823A5" w:rsidRPr="009F6D1E" w:rsidRDefault="004823A5" w:rsidP="0084747F">
            <w:pPr>
              <w:spacing w:after="60" w:line="264" w:lineRule="auto"/>
              <w:jc w:val="both"/>
              <w:rPr>
                <w:rFonts w:eastAsia="Calibri" w:cs="Times New Roman"/>
                <w:iCs/>
                <w:lang w:eastAsia="en-GB" w:bidi="bg-BG"/>
              </w:rPr>
            </w:pPr>
            <w:r w:rsidRPr="009F6D1E">
              <w:rPr>
                <w:rFonts w:eastAsia="Calibri" w:cs="Times New Roman"/>
                <w:i/>
                <w:iCs/>
                <w:lang w:eastAsia="en-GB" w:bidi="bg-BG"/>
              </w:rPr>
              <w:t>Интервенция</w:t>
            </w:r>
            <w:r w:rsidRPr="009F6D1E">
              <w:rPr>
                <w:rFonts w:eastAsia="Calibri" w:cs="Times New Roman"/>
                <w:iCs/>
                <w:lang w:eastAsia="en-GB" w:bidi="bg-BG"/>
              </w:rPr>
              <w:t xml:space="preserve"> „</w:t>
            </w:r>
            <w:r w:rsidRPr="009F6D1E">
              <w:rPr>
                <w:rFonts w:eastAsia="Calibri" w:cs="Times New Roman"/>
                <w:i/>
                <w:lang w:eastAsia="en-GB" w:bidi="bg-BG"/>
              </w:rPr>
              <w:t>Популяризиране в трети държави“</w:t>
            </w:r>
            <w:r w:rsidRPr="009F6D1E">
              <w:rPr>
                <w:rFonts w:eastAsia="Calibri" w:cs="Times New Roman"/>
                <w:iCs/>
                <w:lang w:eastAsia="en-GB" w:bidi="bg-BG"/>
              </w:rPr>
              <w:t xml:space="preserve"> за </w:t>
            </w:r>
            <w:proofErr w:type="spellStart"/>
            <w:r w:rsidRPr="009F6D1E">
              <w:rPr>
                <w:rFonts w:eastAsia="Calibri" w:cs="Times New Roman"/>
                <w:iCs/>
                <w:lang w:eastAsia="en-GB" w:bidi="bg-BG"/>
              </w:rPr>
              <w:t>лозаро</w:t>
            </w:r>
            <w:proofErr w:type="spellEnd"/>
            <w:r w:rsidRPr="009F6D1E">
              <w:rPr>
                <w:rFonts w:eastAsia="Calibri" w:cs="Times New Roman"/>
                <w:iCs/>
                <w:lang w:eastAsia="en-GB" w:bidi="bg-BG"/>
              </w:rPr>
              <w:t>-винарския сектор – член 58. Интервенцията ще допринесе, чрез реклама и популяризация, за повишаване на търсенето на целевите пазари вина със ЗНП, ЗГУ и сортови вина.</w:t>
            </w:r>
          </w:p>
          <w:p w14:paraId="05F52DC4" w14:textId="77777777" w:rsidR="004823A5" w:rsidRPr="009F6D1E" w:rsidRDefault="00A20AD9" w:rsidP="0084747F">
            <w:pPr>
              <w:spacing w:after="60" w:line="264" w:lineRule="auto"/>
              <w:jc w:val="both"/>
              <w:rPr>
                <w:rFonts w:eastAsia="Calibri" w:cs="Times New Roman"/>
                <w:iCs/>
                <w:lang w:eastAsia="en-GB" w:bidi="bg-BG"/>
              </w:rPr>
            </w:pPr>
            <w:r w:rsidRPr="009F6D1E">
              <w:rPr>
                <w:rFonts w:cs="Times New Roman"/>
                <w:bCs/>
                <w:i/>
                <w:lang w:bidi="bg-BG"/>
              </w:rPr>
              <w:t xml:space="preserve">Интервенция </w:t>
            </w:r>
            <w:r w:rsidR="004823A5" w:rsidRPr="009F6D1E">
              <w:rPr>
                <w:rFonts w:eastAsia="Calibri" w:cs="Times New Roman"/>
                <w:iCs/>
                <w:lang w:eastAsia="en-GB" w:bidi="bg-BG"/>
              </w:rPr>
              <w:t>„</w:t>
            </w:r>
            <w:r w:rsidR="004823A5" w:rsidRPr="009F6D1E">
              <w:rPr>
                <w:rFonts w:eastAsia="Calibri" w:cs="Times New Roman"/>
                <w:i/>
                <w:iCs/>
                <w:lang w:eastAsia="en-GB" w:bidi="bg-BG"/>
              </w:rPr>
              <w:t xml:space="preserve">Информиране в държавите-членки“ </w:t>
            </w:r>
            <w:r w:rsidR="004823A5" w:rsidRPr="009F6D1E">
              <w:rPr>
                <w:rFonts w:eastAsia="Calibri" w:cs="Times New Roman"/>
                <w:iCs/>
                <w:lang w:eastAsia="en-GB" w:bidi="bg-BG"/>
              </w:rPr>
              <w:t>(чл. 52, б. „ж“). В рамките на тази интервенция потребителите от държавите-членки на ЕС ще бъдат информирани за отговорната консумация на вино, както и за схемите на Съюза за качество, обхващащи защитени наименования за произход и защитени географски указания по отношение на специфичното качество, репутацията или други характеристики на виното, дължащи се на специфичната му географска среда или неговия произход.</w:t>
            </w:r>
          </w:p>
          <w:p w14:paraId="29E95EA5" w14:textId="77777777" w:rsidR="00CB1B08" w:rsidRPr="009F6D1E" w:rsidRDefault="004823A5" w:rsidP="0084747F">
            <w:pPr>
              <w:spacing w:after="60" w:line="264" w:lineRule="auto"/>
              <w:jc w:val="both"/>
              <w:rPr>
                <w:rFonts w:eastAsia="Calibri" w:cs="Times New Roman"/>
                <w:iCs/>
                <w:lang w:eastAsia="en-GB" w:bidi="bg-BG"/>
              </w:rPr>
            </w:pPr>
            <w:r w:rsidRPr="009F6D1E">
              <w:rPr>
                <w:rFonts w:eastAsia="Calibri" w:cs="Times New Roman"/>
                <w:i/>
                <w:iCs/>
                <w:lang w:eastAsia="en-GB" w:bidi="bg-BG"/>
              </w:rPr>
              <w:lastRenderedPageBreak/>
              <w:t>Интервенция</w:t>
            </w:r>
            <w:r w:rsidRPr="009F6D1E">
              <w:rPr>
                <w:rFonts w:eastAsia="Calibri" w:cs="Times New Roman"/>
                <w:i/>
                <w:lang w:eastAsia="en-GB" w:bidi="bg-BG"/>
              </w:rPr>
              <w:t xml:space="preserve"> „Инвестиции в екологични съоръжения“</w:t>
            </w:r>
            <w:r w:rsidR="003A20C4" w:rsidRPr="009F6D1E">
              <w:rPr>
                <w:rFonts w:eastAsia="Calibri" w:cs="Times New Roman"/>
                <w:i/>
                <w:lang w:eastAsia="en-GB" w:bidi="bg-BG"/>
              </w:rPr>
              <w:t>, чрез</w:t>
            </w:r>
            <w:r w:rsidR="003A20C4" w:rsidRPr="009F6D1E">
              <w:rPr>
                <w:rFonts w:eastAsia="Calibri" w:cs="Times New Roman"/>
                <w:iCs/>
                <w:lang w:eastAsia="en-GB" w:bidi="bg-BG"/>
              </w:rPr>
              <w:t xml:space="preserve"> която се </w:t>
            </w:r>
            <w:r w:rsidRPr="009F6D1E">
              <w:rPr>
                <w:rFonts w:eastAsia="Calibri" w:cs="Times New Roman"/>
                <w:iCs/>
                <w:lang w:eastAsia="en-GB" w:bidi="bg-BG"/>
              </w:rPr>
              <w:t>цели да допринесе за повишаване на устойчивостта на винарските предприятия и в икономическото и ек</w:t>
            </w:r>
            <w:r w:rsidR="003A20C4" w:rsidRPr="009F6D1E">
              <w:rPr>
                <w:rFonts w:eastAsia="Calibri" w:cs="Times New Roman"/>
                <w:iCs/>
                <w:lang w:eastAsia="en-GB" w:bidi="bg-BG"/>
              </w:rPr>
              <w:t>о</w:t>
            </w:r>
            <w:r w:rsidRPr="009F6D1E">
              <w:rPr>
                <w:rFonts w:eastAsia="Calibri" w:cs="Times New Roman"/>
                <w:iCs/>
                <w:lang w:eastAsia="en-GB" w:bidi="bg-BG"/>
              </w:rPr>
              <w:t>логичното й измерение.</w:t>
            </w:r>
          </w:p>
        </w:tc>
      </w:tr>
      <w:tr w:rsidR="00FB0881" w:rsidRPr="009F6D1E" w14:paraId="2C915D43" w14:textId="77777777" w:rsidTr="00981F7B">
        <w:tc>
          <w:tcPr>
            <w:tcW w:w="709" w:type="dxa"/>
          </w:tcPr>
          <w:p w14:paraId="5B8F9584" w14:textId="77777777" w:rsidR="00FB0881" w:rsidRPr="009F6D1E" w:rsidRDefault="00FB0881"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9.</w:t>
            </w:r>
          </w:p>
        </w:tc>
        <w:tc>
          <w:tcPr>
            <w:tcW w:w="4394" w:type="dxa"/>
          </w:tcPr>
          <w:p w14:paraId="2E67C2CB" w14:textId="77777777" w:rsidR="00FB0881" w:rsidRPr="009F6D1E" w:rsidRDefault="00FB0881" w:rsidP="0084747F">
            <w:pPr>
              <w:widowControl w:val="0"/>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П.2.9.</w:t>
            </w:r>
            <w:r w:rsidRPr="009F6D1E">
              <w:rPr>
                <w:rFonts w:eastAsia="Times New Roman" w:cs="Times New Roman"/>
                <w:b/>
                <w:bCs/>
                <w:i/>
                <w:lang w:eastAsia="bg-BG" w:bidi="bg-BG"/>
              </w:rPr>
              <w:t xml:space="preserve"> Подобряване на достъпа до финансиране</w:t>
            </w:r>
          </w:p>
        </w:tc>
        <w:tc>
          <w:tcPr>
            <w:tcW w:w="4530" w:type="dxa"/>
          </w:tcPr>
          <w:p w14:paraId="5DA8B76B" w14:textId="77777777" w:rsidR="00FB0881" w:rsidRPr="009F6D1E" w:rsidRDefault="003A20C4" w:rsidP="0084747F">
            <w:pPr>
              <w:spacing w:after="60" w:line="264" w:lineRule="auto"/>
              <w:jc w:val="both"/>
              <w:rPr>
                <w:rFonts w:eastAsia="Calibri" w:cs="Times New Roman"/>
                <w:lang w:eastAsia="en-GB" w:bidi="bg-BG"/>
              </w:rPr>
            </w:pPr>
            <w:r w:rsidRPr="009F6D1E">
              <w:rPr>
                <w:rFonts w:eastAsia="Calibri" w:cs="Times New Roman"/>
                <w:lang w:eastAsia="en-GB" w:bidi="bg-BG"/>
              </w:rPr>
              <w:t>Необходимост от разработване на гаранционна схема, насочена новите, малките и средните земеделски стопанства, поради липсата на достатъчен ресурс за обезпечаване на средствата</w:t>
            </w:r>
          </w:p>
        </w:tc>
      </w:tr>
    </w:tbl>
    <w:p w14:paraId="5FB3A190" w14:textId="77777777" w:rsidR="00CB1B08" w:rsidRPr="009F6D1E" w:rsidRDefault="00CB1B08" w:rsidP="0084747F">
      <w:pPr>
        <w:widowControl w:val="0"/>
        <w:tabs>
          <w:tab w:val="left" w:pos="1080"/>
        </w:tabs>
        <w:spacing w:after="60" w:line="264" w:lineRule="auto"/>
        <w:ind w:left="720"/>
        <w:jc w:val="both"/>
        <w:rPr>
          <w:rFonts w:eastAsia="Times New Roman" w:cs="Times New Roman"/>
          <w:i/>
          <w:szCs w:val="24"/>
          <w:u w:val="single"/>
          <w:lang w:eastAsia="bg-BG" w:bidi="bg-BG"/>
        </w:rPr>
      </w:pPr>
    </w:p>
    <w:p w14:paraId="094A036F" w14:textId="77777777" w:rsidR="004D537A"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 xml:space="preserve">Специфична цел №3: </w:t>
      </w:r>
      <w:r w:rsidRPr="009F6D1E">
        <w:rPr>
          <w:rFonts w:cs="Times New Roman"/>
          <w:b/>
          <w:i/>
          <w:szCs w:val="24"/>
          <w:u w:val="single"/>
        </w:rPr>
        <w:t>Подобряване позицията на земеделските стопани във веригата на стойността</w:t>
      </w:r>
    </w:p>
    <w:p w14:paraId="77725EEF" w14:textId="77777777" w:rsidR="00F45390" w:rsidRPr="009F6D1E" w:rsidRDefault="00F45390"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F45390" w:rsidRPr="009F6D1E" w14:paraId="0AB34390" w14:textId="77777777" w:rsidTr="003446CF">
        <w:trPr>
          <w:tblHeader/>
        </w:trPr>
        <w:tc>
          <w:tcPr>
            <w:tcW w:w="709" w:type="dxa"/>
            <w:shd w:val="clear" w:color="auto" w:fill="F7CAAC" w:themeFill="accent2" w:themeFillTint="66"/>
          </w:tcPr>
          <w:p w14:paraId="79B0FE11" w14:textId="77777777" w:rsidR="00F45390" w:rsidRPr="009F6D1E" w:rsidRDefault="00F45390" w:rsidP="0084747F">
            <w:pPr>
              <w:widowControl w:val="0"/>
              <w:tabs>
                <w:tab w:val="left" w:pos="1080"/>
              </w:tabs>
              <w:spacing w:after="60" w:line="264" w:lineRule="auto"/>
              <w:jc w:val="center"/>
              <w:rPr>
                <w:rFonts w:eastAsia="Times New Roman" w:cs="Times New Roman"/>
                <w:b/>
                <w:bCs/>
                <w:iCs/>
                <w:lang w:eastAsia="bg-BG" w:bidi="bg-BG"/>
              </w:rPr>
            </w:pPr>
            <w:bookmarkStart w:id="36" w:name="_Hlk96091570"/>
            <w:r w:rsidRPr="009F6D1E">
              <w:rPr>
                <w:rFonts w:eastAsia="Times New Roman" w:cs="Times New Roman"/>
                <w:b/>
                <w:bCs/>
                <w:iCs/>
                <w:lang w:eastAsia="bg-BG" w:bidi="bg-BG"/>
              </w:rPr>
              <w:t>№</w:t>
            </w:r>
          </w:p>
        </w:tc>
        <w:tc>
          <w:tcPr>
            <w:tcW w:w="4394" w:type="dxa"/>
            <w:shd w:val="clear" w:color="auto" w:fill="F7CAAC" w:themeFill="accent2" w:themeFillTint="66"/>
          </w:tcPr>
          <w:p w14:paraId="160FCD23" w14:textId="77777777" w:rsidR="00F45390" w:rsidRPr="009F6D1E" w:rsidRDefault="00F4539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773D6E09" w14:textId="77777777" w:rsidR="00F45390" w:rsidRPr="009F6D1E" w:rsidRDefault="00F45390" w:rsidP="0084747F">
            <w:pPr>
              <w:widowControl w:val="0"/>
              <w:tabs>
                <w:tab w:val="left" w:pos="1080"/>
              </w:tabs>
              <w:spacing w:after="60" w:line="264" w:lineRule="auto"/>
              <w:jc w:val="center"/>
              <w:rPr>
                <w:rFonts w:eastAsia="Times New Roman" w:cs="Times New Roman"/>
                <w:iCs/>
                <w:u w:val="single"/>
                <w:lang w:eastAsia="bg-BG" w:bidi="bg-BG"/>
              </w:rPr>
            </w:pPr>
            <w:r w:rsidRPr="009F6D1E">
              <w:rPr>
                <w:rFonts w:eastAsia="Times New Roman" w:cs="Times New Roman"/>
                <w:iCs/>
                <w:lang w:eastAsia="bg-BG" w:bidi="bg-BG"/>
              </w:rPr>
              <w:t>ИНТЕРВЕНЦИЯ</w:t>
            </w:r>
          </w:p>
        </w:tc>
      </w:tr>
      <w:tr w:rsidR="00F45390" w:rsidRPr="009F6D1E" w14:paraId="4A92767D" w14:textId="77777777" w:rsidTr="00981F7B">
        <w:tc>
          <w:tcPr>
            <w:tcW w:w="709" w:type="dxa"/>
          </w:tcPr>
          <w:p w14:paraId="1A339B32"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48D58343" w14:textId="77777777" w:rsidR="00F45390"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u w:val="single"/>
                <w:lang w:eastAsia="bg-BG" w:bidi="bg-BG"/>
              </w:rPr>
              <w:t>П.3.1.</w:t>
            </w:r>
            <w:r w:rsidR="00F45390" w:rsidRPr="009F6D1E">
              <w:rPr>
                <w:rFonts w:eastAsia="Times New Roman" w:cs="Times New Roman"/>
                <w:b/>
                <w:bCs/>
                <w:i/>
                <w:iCs/>
                <w:lang w:eastAsia="bg-BG" w:bidi="bg-BG"/>
              </w:rPr>
              <w:t>Повишаване на нивото на организираност на земеделските производители</w:t>
            </w:r>
          </w:p>
          <w:p w14:paraId="421980B9" w14:textId="77777777" w:rsidR="00E214FC" w:rsidRPr="009F6D1E" w:rsidRDefault="00E214FC" w:rsidP="0084747F">
            <w:pPr>
              <w:widowControl w:val="0"/>
              <w:spacing w:after="60" w:line="264" w:lineRule="auto"/>
              <w:jc w:val="both"/>
              <w:rPr>
                <w:rFonts w:eastAsia="Times New Roman" w:cs="Times New Roman"/>
                <w:b/>
                <w:bCs/>
                <w:i/>
                <w:iCs/>
                <w:lang w:eastAsia="bg-BG" w:bidi="bg-BG"/>
              </w:rPr>
            </w:pPr>
          </w:p>
          <w:p w14:paraId="676C1BD0" w14:textId="77777777" w:rsidR="00F45390" w:rsidRPr="009F6D1E" w:rsidRDefault="00F45390"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3973D5E7" w14:textId="361D39CE" w:rsidR="00F45390" w:rsidRPr="009F6D1E" w:rsidRDefault="004B3088" w:rsidP="0084747F">
            <w:pPr>
              <w:autoSpaceDE w:val="0"/>
              <w:autoSpaceDN w:val="0"/>
              <w:adjustRightInd w:val="0"/>
              <w:spacing w:after="60" w:line="264" w:lineRule="auto"/>
              <w:jc w:val="both"/>
              <w:rPr>
                <w:rFonts w:cs="Times New Roman"/>
                <w:lang w:bidi="bg-BG"/>
              </w:rPr>
            </w:pPr>
            <w:r w:rsidRPr="009F6D1E">
              <w:rPr>
                <w:rFonts w:cs="Times New Roman"/>
                <w:i/>
                <w:iCs/>
                <w:lang w:bidi="bg-BG"/>
              </w:rPr>
              <w:t>Оперативни програми в сектори "Плодове и зеленчуци", „Мляко и млечни продукти“, „Месо“ и „Зърнени култури“, съгласно чл. 39,б. а) и е)</w:t>
            </w:r>
            <w:r w:rsidR="00574231" w:rsidRPr="009F6D1E">
              <w:rPr>
                <w:rFonts w:cs="Times New Roman"/>
                <w:i/>
                <w:iCs/>
                <w:lang w:bidi="bg-BG"/>
              </w:rPr>
              <w:t xml:space="preserve"> от </w:t>
            </w:r>
            <w:r w:rsidRPr="009F6D1E">
              <w:rPr>
                <w:rFonts w:cs="Times New Roman"/>
                <w:i/>
                <w:iCs/>
                <w:lang w:bidi="bg-BG"/>
              </w:rPr>
              <w:t xml:space="preserve">ЕФГЗ.  </w:t>
            </w:r>
            <w:r w:rsidRPr="009F6D1E">
              <w:rPr>
                <w:rFonts w:cs="Times New Roman"/>
                <w:lang w:bidi="bg-BG"/>
              </w:rPr>
              <w:t>За адресиране на тази потребност се предвижда подкрепа за използване на съществуващия потенциал за развитие на организации  и/или групи на производителите, развитие на структурите за предлагане на продукцията на пазара с цел директно повишаване на конкурент</w:t>
            </w:r>
            <w:r w:rsidR="006E0FF0">
              <w:rPr>
                <w:rFonts w:cs="Times New Roman"/>
                <w:lang w:bidi="bg-BG"/>
              </w:rPr>
              <w:t>осп</w:t>
            </w:r>
            <w:r w:rsidRPr="009F6D1E">
              <w:rPr>
                <w:rFonts w:cs="Times New Roman"/>
                <w:lang w:bidi="bg-BG"/>
              </w:rPr>
              <w:t>особността на производителите и техните организации.</w:t>
            </w:r>
          </w:p>
          <w:p w14:paraId="2BE1C281" w14:textId="77777777" w:rsidR="00574231" w:rsidRPr="009F6D1E" w:rsidRDefault="00A20AD9" w:rsidP="0084747F">
            <w:pPr>
              <w:spacing w:after="60" w:line="264" w:lineRule="auto"/>
              <w:jc w:val="both"/>
              <w:rPr>
                <w:rFonts w:eastAsia="Calibri" w:cs="Times New Roman"/>
                <w:lang w:eastAsia="en-GB" w:bidi="bg-BG"/>
              </w:rPr>
            </w:pPr>
            <w:r w:rsidRPr="009F6D1E">
              <w:rPr>
                <w:rFonts w:cs="Times New Roman"/>
                <w:bCs/>
                <w:i/>
                <w:lang w:bidi="bg-BG"/>
              </w:rPr>
              <w:t xml:space="preserve">Интервенция </w:t>
            </w:r>
            <w:r w:rsidR="00574231" w:rsidRPr="009F6D1E">
              <w:rPr>
                <w:rFonts w:eastAsia="Calibri" w:cs="Times New Roman"/>
                <w:lang w:eastAsia="en-GB" w:bidi="bg-BG"/>
              </w:rPr>
              <w:t>„</w:t>
            </w:r>
            <w:r w:rsidR="00574231" w:rsidRPr="009F6D1E">
              <w:rPr>
                <w:rFonts w:eastAsia="Calibri" w:cs="Times New Roman"/>
                <w:i/>
                <w:iCs/>
                <w:lang w:eastAsia="en-GB" w:bidi="bg-BG"/>
              </w:rPr>
              <w:t xml:space="preserve">Подкрепа на организации на производители или групи от производители“, Сътрудничество,  съгласно чл. </w:t>
            </w:r>
            <w:r w:rsidR="009D1429" w:rsidRPr="009F6D1E">
              <w:rPr>
                <w:rFonts w:eastAsia="Calibri" w:cs="Times New Roman"/>
                <w:i/>
                <w:iCs/>
                <w:lang w:eastAsia="en-GB" w:bidi="bg-BG"/>
              </w:rPr>
              <w:t>77</w:t>
            </w:r>
            <w:r w:rsidR="00574231" w:rsidRPr="009F6D1E">
              <w:rPr>
                <w:rFonts w:eastAsia="Calibri" w:cs="Times New Roman"/>
                <w:i/>
                <w:iCs/>
                <w:lang w:eastAsia="en-GB" w:bidi="bg-BG"/>
              </w:rPr>
              <w:t xml:space="preserve"> от ЕЗФРСР. </w:t>
            </w:r>
            <w:r w:rsidR="00574231" w:rsidRPr="009F6D1E">
              <w:rPr>
                <w:rFonts w:eastAsia="Calibri" w:cs="Times New Roman"/>
                <w:lang w:eastAsia="en-GB" w:bidi="bg-BG"/>
              </w:rPr>
              <w:t xml:space="preserve">Обединяването на земеделските стопани в организации и групи на производители е механизъм, чрез които ще се постигне концентрирането на произведената земеделска продукция, планиране и </w:t>
            </w:r>
            <w:r w:rsidR="00574231" w:rsidRPr="009F6D1E">
              <w:rPr>
                <w:rFonts w:eastAsia="Calibri" w:cs="Times New Roman"/>
                <w:lang w:eastAsia="en-GB" w:bidi="bg-BG"/>
              </w:rPr>
              <w:lastRenderedPageBreak/>
              <w:t>адаптиране на производството в съответствие с търсенето на пазара по отношение на качество и количество, намаляване на производствените разходи, увеличаване на  договорната сила на производителите на селскостопанска продукция във взаимоотношенията им с търговци на едро и дребно и постигане на по-добра пазарна реализация.</w:t>
            </w:r>
          </w:p>
          <w:p w14:paraId="0EEFA290" w14:textId="77777777" w:rsidR="009D1429" w:rsidRPr="009F6D1E" w:rsidRDefault="00A20AD9" w:rsidP="0084747F">
            <w:pPr>
              <w:autoSpaceDE w:val="0"/>
              <w:autoSpaceDN w:val="0"/>
              <w:adjustRightInd w:val="0"/>
              <w:spacing w:after="60" w:line="264" w:lineRule="auto"/>
              <w:jc w:val="both"/>
              <w:rPr>
                <w:rFonts w:eastAsia="Calibri" w:cs="Times New Roman"/>
                <w:lang w:eastAsia="en-GB" w:bidi="bg-BG"/>
              </w:rPr>
            </w:pPr>
            <w:r w:rsidRPr="009F6D1E">
              <w:rPr>
                <w:rFonts w:cs="Times New Roman"/>
                <w:bCs/>
                <w:i/>
                <w:lang w:bidi="bg-BG"/>
              </w:rPr>
              <w:t xml:space="preserve">Интервенция </w:t>
            </w:r>
            <w:r w:rsidR="00574231" w:rsidRPr="009F6D1E">
              <w:rPr>
                <w:rFonts w:eastAsia="Calibri" w:cs="Times New Roman"/>
                <w:lang w:eastAsia="en-GB" w:bidi="bg-BG"/>
              </w:rPr>
              <w:t>„</w:t>
            </w:r>
            <w:r w:rsidR="00574231" w:rsidRPr="009F6D1E">
              <w:rPr>
                <w:rFonts w:eastAsia="Calibri" w:cs="Times New Roman"/>
                <w:i/>
                <w:iCs/>
                <w:lang w:eastAsia="en-GB" w:bidi="bg-BG"/>
              </w:rPr>
              <w:t xml:space="preserve">Сътрудничество за къси вериги на доставки и местни пазари“, Сътрудничество, съгласно чл. </w:t>
            </w:r>
            <w:r w:rsidR="009D1429" w:rsidRPr="009F6D1E">
              <w:rPr>
                <w:rFonts w:eastAsia="Calibri" w:cs="Times New Roman"/>
                <w:i/>
                <w:iCs/>
                <w:lang w:eastAsia="en-GB" w:bidi="bg-BG"/>
              </w:rPr>
              <w:t>77</w:t>
            </w:r>
            <w:r w:rsidR="00574231" w:rsidRPr="009F6D1E">
              <w:rPr>
                <w:rFonts w:eastAsia="Calibri" w:cs="Times New Roman"/>
                <w:i/>
                <w:iCs/>
                <w:lang w:eastAsia="en-GB" w:bidi="bg-BG"/>
              </w:rPr>
              <w:t xml:space="preserve"> от ЕЗФРСР. </w:t>
            </w:r>
            <w:r w:rsidR="00574231" w:rsidRPr="009F6D1E">
              <w:rPr>
                <w:rFonts w:eastAsia="Calibri" w:cs="Times New Roman"/>
                <w:lang w:eastAsia="en-GB" w:bidi="bg-BG"/>
              </w:rPr>
              <w:t>Избраната интервенция цели създаването, организацията и укрепването на местните пазари и къси вериги за доставки чрез хоризонтално и вертикално сътрудничество между участниците в тях.</w:t>
            </w:r>
          </w:p>
          <w:p w14:paraId="1A3C1DAB" w14:textId="77777777" w:rsidR="004B3088" w:rsidRPr="009F6D1E" w:rsidRDefault="00574231" w:rsidP="0084747F">
            <w:pPr>
              <w:autoSpaceDE w:val="0"/>
              <w:autoSpaceDN w:val="0"/>
              <w:adjustRightInd w:val="0"/>
              <w:spacing w:after="60" w:line="264" w:lineRule="auto"/>
              <w:jc w:val="both"/>
              <w:rPr>
                <w:rFonts w:eastAsia="Calibri" w:cs="Times New Roman"/>
                <w:lang w:eastAsia="en-GB" w:bidi="bg-BG"/>
              </w:rPr>
            </w:pPr>
            <w:r w:rsidRPr="009F6D1E">
              <w:rPr>
                <w:rFonts w:eastAsia="Calibri" w:cs="Times New Roman"/>
                <w:lang w:eastAsia="en-GB" w:bidi="bg-BG"/>
              </w:rPr>
              <w:t xml:space="preserve"> </w:t>
            </w:r>
            <w:r w:rsidR="009D1429" w:rsidRPr="009F6D1E">
              <w:rPr>
                <w:rFonts w:eastAsia="Calibri" w:cs="Times New Roman"/>
                <w:lang w:eastAsia="en-GB" w:bidi="bg-BG"/>
              </w:rPr>
              <w:t xml:space="preserve">С цел подобряване на позицията на земеделските стопани във веригата за храни е насочена интервенция </w:t>
            </w:r>
            <w:r w:rsidR="009D1429" w:rsidRPr="009F6D1E">
              <w:rPr>
                <w:rFonts w:eastAsia="Calibri" w:cs="Times New Roman"/>
                <w:i/>
                <w:iCs/>
                <w:lang w:eastAsia="en-GB" w:bidi="bg-BG"/>
              </w:rPr>
              <w:t>в сектор Плодове и зеленчуци – член 43</w:t>
            </w:r>
            <w:r w:rsidR="009D1429" w:rsidRPr="009F6D1E">
              <w:rPr>
                <w:rFonts w:eastAsia="Calibri" w:cs="Times New Roman"/>
                <w:lang w:eastAsia="en-GB" w:bidi="bg-BG"/>
              </w:rPr>
              <w:t>,</w:t>
            </w:r>
            <w:r w:rsidR="009D1429" w:rsidRPr="009F6D1E">
              <w:rPr>
                <w:rFonts w:cs="Times New Roman"/>
              </w:rPr>
              <w:t xml:space="preserve"> </w:t>
            </w:r>
            <w:r w:rsidR="009D1429" w:rsidRPr="009F6D1E">
              <w:rPr>
                <w:rFonts w:eastAsia="Calibri" w:cs="Times New Roman"/>
                <w:lang w:eastAsia="en-GB" w:bidi="bg-BG"/>
              </w:rPr>
              <w:t>която в рамките на оперативните програми се предвижда подкрепа за подобряване на пазарната позиция на земеделските стопани в сектор „Плодове и зеленчуци“ и увеличаване на дела им във веригата на стойността.</w:t>
            </w:r>
          </w:p>
          <w:p w14:paraId="0F4AFB2C" w14:textId="77777777" w:rsidR="009D1429" w:rsidRPr="009F6D1E" w:rsidRDefault="009D1429" w:rsidP="0084747F">
            <w:pPr>
              <w:autoSpaceDE w:val="0"/>
              <w:autoSpaceDN w:val="0"/>
              <w:adjustRightInd w:val="0"/>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в </w:t>
            </w:r>
            <w:r w:rsidRPr="009F6D1E">
              <w:rPr>
                <w:rFonts w:eastAsia="Times New Roman" w:cs="Times New Roman"/>
                <w:i/>
                <w:lang w:eastAsia="bg-BG" w:bidi="bg-BG"/>
              </w:rPr>
              <w:t>сектор „Мляко и млечни продукти“</w:t>
            </w:r>
            <w:r w:rsidRPr="009F6D1E">
              <w:rPr>
                <w:rFonts w:eastAsia="Times New Roman" w:cs="Times New Roman"/>
                <w:iCs/>
                <w:lang w:eastAsia="bg-BG" w:bidi="bg-BG"/>
              </w:rPr>
              <w:t xml:space="preserve"> </w:t>
            </w:r>
            <w:r w:rsidRPr="009F6D1E">
              <w:rPr>
                <w:rFonts w:eastAsia="Times New Roman" w:cs="Times New Roman"/>
                <w:i/>
                <w:lang w:eastAsia="bg-BG" w:bidi="bg-BG"/>
              </w:rPr>
              <w:t>– член 67</w:t>
            </w:r>
            <w:r w:rsidRPr="009F6D1E">
              <w:rPr>
                <w:rFonts w:cs="Times New Roman"/>
                <w:i/>
              </w:rPr>
              <w:t xml:space="preserve"> </w:t>
            </w:r>
            <w:r w:rsidRPr="009F6D1E">
              <w:rPr>
                <w:rFonts w:eastAsia="Times New Roman" w:cs="Times New Roman"/>
                <w:i/>
                <w:lang w:eastAsia="bg-BG" w:bidi="bg-BG"/>
              </w:rPr>
              <w:t>от ЕЗФРСР</w:t>
            </w:r>
            <w:r w:rsidRPr="009F6D1E">
              <w:rPr>
                <w:rFonts w:eastAsia="Times New Roman" w:cs="Times New Roman"/>
                <w:iCs/>
                <w:lang w:eastAsia="bg-BG" w:bidi="bg-BG"/>
              </w:rPr>
              <w:t>, която в рамките на оперативните програми предвижда подкрепа за подобряване на пазарната позиция на земеделските стопани в сектор „Мляко и млечни продукти“ и увеличаване на дела им във веригата на стойността.</w:t>
            </w:r>
          </w:p>
        </w:tc>
      </w:tr>
      <w:bookmarkEnd w:id="36"/>
      <w:tr w:rsidR="00F45390" w:rsidRPr="009F6D1E" w14:paraId="7BB8C1C8" w14:textId="77777777" w:rsidTr="00981F7B">
        <w:tc>
          <w:tcPr>
            <w:tcW w:w="709" w:type="dxa"/>
          </w:tcPr>
          <w:p w14:paraId="6FD87964"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2.</w:t>
            </w:r>
          </w:p>
        </w:tc>
        <w:tc>
          <w:tcPr>
            <w:tcW w:w="4394" w:type="dxa"/>
          </w:tcPr>
          <w:p w14:paraId="5EB5E551" w14:textId="77777777" w:rsidR="00E214FC"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lang w:eastAsia="bg-BG" w:bidi="bg-BG"/>
              </w:rPr>
              <w:t>П.3.2.Подобряване пазарния достъп на малките земеделски стопанства;</w:t>
            </w:r>
          </w:p>
        </w:tc>
        <w:tc>
          <w:tcPr>
            <w:tcW w:w="4530" w:type="dxa"/>
          </w:tcPr>
          <w:p w14:paraId="032B352A" w14:textId="77777777" w:rsidR="00574231" w:rsidRPr="009F6D1E" w:rsidRDefault="00574231" w:rsidP="0084747F">
            <w:pPr>
              <w:spacing w:after="60" w:line="264" w:lineRule="auto"/>
              <w:jc w:val="both"/>
              <w:rPr>
                <w:rFonts w:eastAsia="Calibri" w:cs="Times New Roman"/>
                <w:lang w:eastAsia="en-GB" w:bidi="bg-BG"/>
              </w:rPr>
            </w:pPr>
            <w:r w:rsidRPr="009F6D1E">
              <w:rPr>
                <w:rFonts w:eastAsia="Calibri" w:cs="Times New Roman"/>
                <w:lang w:eastAsia="en-GB" w:bidi="bg-BG"/>
              </w:rPr>
              <w:t xml:space="preserve"> </w:t>
            </w:r>
            <w:r w:rsidRPr="009F6D1E">
              <w:rPr>
                <w:rFonts w:cs="Times New Roman"/>
                <w:i/>
                <w:iCs/>
                <w:lang w:bidi="bg-BG"/>
              </w:rPr>
              <w:t xml:space="preserve">Оперативни програми </w:t>
            </w:r>
            <w:r w:rsidR="009D1429" w:rsidRPr="009F6D1E">
              <w:rPr>
                <w:rFonts w:cs="Times New Roman"/>
                <w:i/>
                <w:iCs/>
                <w:lang w:bidi="bg-BG"/>
              </w:rPr>
              <w:t>в сектори "Плодове и зеленчуци" и „Мляко и млечни продукти“.</w:t>
            </w:r>
            <w:r w:rsidRPr="009F6D1E">
              <w:rPr>
                <w:rFonts w:cs="Times New Roman"/>
                <w:i/>
                <w:iCs/>
                <w:lang w:bidi="bg-BG"/>
              </w:rPr>
              <w:t xml:space="preserve">. </w:t>
            </w:r>
            <w:r w:rsidRPr="009F6D1E">
              <w:rPr>
                <w:rFonts w:cs="Times New Roman"/>
                <w:iCs/>
                <w:lang w:bidi="bg-BG"/>
              </w:rPr>
              <w:t xml:space="preserve">За адресиране на тази потребност се предвижда повишаване на </w:t>
            </w:r>
            <w:r w:rsidRPr="009F6D1E">
              <w:rPr>
                <w:rFonts w:cs="Times New Roman"/>
                <w:iCs/>
                <w:lang w:bidi="bg-BG"/>
              </w:rPr>
              <w:lastRenderedPageBreak/>
              <w:t>мотивацията за сдружаване на малките земеделски стопани в организации и групи на производители, чрез което ще се постигне увеличаване на  договорната сила на малките производители на селскостопанска продукция във взаимоотношенията им с търговци на едро и дребно и постигане на по-добра пазарна реализация.</w:t>
            </w:r>
          </w:p>
          <w:p w14:paraId="2BA32C7B" w14:textId="77777777" w:rsidR="00F45390" w:rsidRPr="009F6D1E" w:rsidRDefault="00A20AD9" w:rsidP="0084747F">
            <w:pPr>
              <w:autoSpaceDE w:val="0"/>
              <w:autoSpaceDN w:val="0"/>
              <w:adjustRightInd w:val="0"/>
              <w:spacing w:after="60" w:line="264" w:lineRule="auto"/>
              <w:jc w:val="both"/>
              <w:rPr>
                <w:rFonts w:cs="Times New Roman"/>
                <w:iCs/>
                <w:lang w:bidi="bg-BG"/>
              </w:rPr>
            </w:pPr>
            <w:r w:rsidRPr="009F6D1E">
              <w:rPr>
                <w:rFonts w:cs="Times New Roman"/>
                <w:bCs/>
                <w:i/>
                <w:lang w:bidi="bg-BG"/>
              </w:rPr>
              <w:t xml:space="preserve">Интервенция </w:t>
            </w:r>
            <w:r w:rsidR="00DB27D1" w:rsidRPr="009F6D1E">
              <w:rPr>
                <w:rFonts w:cs="Times New Roman"/>
                <w:i/>
                <w:lang w:bidi="bg-BG"/>
              </w:rPr>
              <w:t>„Подпомагане на много малки земеделски стопанства</w:t>
            </w:r>
            <w:r w:rsidR="00574231" w:rsidRPr="009F6D1E">
              <w:rPr>
                <w:rFonts w:cs="Times New Roman"/>
                <w:i/>
                <w:lang w:bidi="bg-BG"/>
              </w:rPr>
              <w:t xml:space="preserve">“, съгласно чл. </w:t>
            </w:r>
            <w:r w:rsidR="00DB27D1" w:rsidRPr="009F6D1E">
              <w:rPr>
                <w:rFonts w:cs="Times New Roman"/>
                <w:i/>
                <w:lang w:bidi="bg-BG"/>
              </w:rPr>
              <w:t xml:space="preserve">75 от </w:t>
            </w:r>
            <w:r w:rsidR="00574231" w:rsidRPr="009F6D1E">
              <w:rPr>
                <w:rFonts w:cs="Times New Roman"/>
                <w:i/>
                <w:lang w:bidi="bg-BG"/>
              </w:rPr>
              <w:t>ЕЗФРСР.</w:t>
            </w:r>
            <w:r w:rsidR="00574231" w:rsidRPr="009F6D1E">
              <w:rPr>
                <w:rFonts w:cs="Times New Roman"/>
                <w:iCs/>
                <w:lang w:bidi="bg-BG"/>
              </w:rPr>
              <w:t xml:space="preserve"> Интервенцията ще осигури по-добра пазарна ориентация на малките стопанства и повишаване на тяхната жизнеспособност, както и устойчиво развитие с цел достъп до ресурси за развитие.</w:t>
            </w:r>
          </w:p>
          <w:p w14:paraId="2DEE2236" w14:textId="77777777" w:rsidR="00574231" w:rsidRPr="009F6D1E" w:rsidRDefault="00A20AD9" w:rsidP="0084747F">
            <w:pPr>
              <w:spacing w:after="60" w:line="264" w:lineRule="auto"/>
              <w:jc w:val="both"/>
              <w:rPr>
                <w:rFonts w:eastAsia="Calibri" w:cs="Times New Roman"/>
                <w:lang w:eastAsia="en-GB" w:bidi="bg-BG"/>
              </w:rPr>
            </w:pPr>
            <w:r w:rsidRPr="009F6D1E">
              <w:rPr>
                <w:rFonts w:cs="Times New Roman"/>
                <w:bCs/>
                <w:i/>
                <w:lang w:bidi="bg-BG"/>
              </w:rPr>
              <w:t xml:space="preserve">Интервенция </w:t>
            </w:r>
            <w:r w:rsidR="00574231" w:rsidRPr="009F6D1E">
              <w:rPr>
                <w:rFonts w:eastAsia="Calibri" w:cs="Times New Roman"/>
                <w:lang w:eastAsia="en-GB" w:bidi="bg-BG"/>
              </w:rPr>
              <w:t>„</w:t>
            </w:r>
            <w:r w:rsidR="00574231" w:rsidRPr="009F6D1E">
              <w:rPr>
                <w:rFonts w:eastAsia="Calibri" w:cs="Times New Roman"/>
                <w:i/>
                <w:iCs/>
                <w:lang w:eastAsia="en-GB" w:bidi="bg-BG"/>
              </w:rPr>
              <w:t xml:space="preserve">Подкрепа на организации на производители или групи от производители“, Сътрудничество - съгласно член </w:t>
            </w:r>
            <w:r w:rsidR="005D711E" w:rsidRPr="009F6D1E">
              <w:rPr>
                <w:rFonts w:eastAsia="Calibri" w:cs="Times New Roman"/>
                <w:i/>
                <w:iCs/>
                <w:lang w:eastAsia="en-GB" w:bidi="bg-BG"/>
              </w:rPr>
              <w:t>77</w:t>
            </w:r>
            <w:r w:rsidR="00574231" w:rsidRPr="009F6D1E">
              <w:rPr>
                <w:rFonts w:eastAsia="Calibri" w:cs="Times New Roman"/>
                <w:i/>
                <w:iCs/>
                <w:lang w:eastAsia="en-GB" w:bidi="bg-BG"/>
              </w:rPr>
              <w:t xml:space="preserve"> </w:t>
            </w:r>
            <w:r w:rsidR="00FB3AF8" w:rsidRPr="009F6D1E">
              <w:rPr>
                <w:rFonts w:eastAsia="Calibri" w:cs="Times New Roman"/>
                <w:i/>
                <w:iCs/>
                <w:lang w:eastAsia="en-GB" w:bidi="bg-BG"/>
              </w:rPr>
              <w:t xml:space="preserve">от </w:t>
            </w:r>
            <w:r w:rsidR="00574231" w:rsidRPr="009F6D1E">
              <w:rPr>
                <w:rFonts w:eastAsia="Calibri" w:cs="Times New Roman"/>
                <w:i/>
                <w:iCs/>
                <w:lang w:eastAsia="en-GB" w:bidi="bg-BG"/>
              </w:rPr>
              <w:t xml:space="preserve">ЕЗФРСР. </w:t>
            </w:r>
            <w:r w:rsidR="00574231" w:rsidRPr="009F6D1E">
              <w:rPr>
                <w:rFonts w:eastAsia="Calibri" w:cs="Times New Roman"/>
                <w:lang w:eastAsia="en-GB" w:bidi="bg-BG"/>
              </w:rPr>
              <w:t>Обединяването на земеделските стопани в организации и групи на производители е механизъм, чрез които ще се постигне концентрирането на произведената земеделска продукция, планиране и адаптиране на производството в съответствие с търсенето на пазара по отношение на качество и количество, намаляване на производствените разходи, увеличаване на  договорната сила на производителите на селскостопанска продукция във взаимоотношенията им с търговци на едро и дребно и постигане на по-добра пазарна реализация.</w:t>
            </w:r>
          </w:p>
          <w:p w14:paraId="23A32C96" w14:textId="77777777" w:rsidR="005D711E" w:rsidRPr="009F6D1E" w:rsidRDefault="005D711E" w:rsidP="0084747F">
            <w:pPr>
              <w:spacing w:after="60" w:line="264" w:lineRule="auto"/>
              <w:jc w:val="both"/>
              <w:rPr>
                <w:rFonts w:cs="Times New Roman"/>
                <w:lang w:bidi="bg-BG"/>
              </w:rPr>
            </w:pPr>
            <w:r w:rsidRPr="009F6D1E">
              <w:rPr>
                <w:rFonts w:cs="Times New Roman"/>
                <w:i/>
                <w:lang w:bidi="bg-BG"/>
              </w:rPr>
              <w:t>Интервенция</w:t>
            </w:r>
            <w:r w:rsidRPr="009F6D1E">
              <w:rPr>
                <w:rFonts w:cs="Times New Roman"/>
                <w:lang w:bidi="bg-BG"/>
              </w:rPr>
              <w:t xml:space="preserve"> </w:t>
            </w:r>
            <w:r w:rsidRPr="009F6D1E">
              <w:rPr>
                <w:rFonts w:cs="Times New Roman"/>
                <w:i/>
                <w:iCs/>
                <w:lang w:bidi="bg-BG"/>
              </w:rPr>
              <w:t>в сектор „Плодове и зеленчуци“</w:t>
            </w:r>
            <w:r w:rsidRPr="009F6D1E">
              <w:rPr>
                <w:rFonts w:cs="Times New Roman"/>
                <w:lang w:bidi="bg-BG"/>
              </w:rPr>
              <w:t xml:space="preserve"> – член 43, която в рамките на оперативните програми се предвижда подкрепа за подобряване на пазарната позиция на земеделските стопани в </w:t>
            </w:r>
            <w:r w:rsidRPr="009F6D1E">
              <w:rPr>
                <w:rFonts w:cs="Times New Roman"/>
                <w:lang w:bidi="bg-BG"/>
              </w:rPr>
              <w:lastRenderedPageBreak/>
              <w:t>сектора и увеличаване на дела им във веригата на стойността.</w:t>
            </w:r>
          </w:p>
          <w:p w14:paraId="45F24E75" w14:textId="77777777" w:rsidR="005D711E" w:rsidRPr="009F6D1E" w:rsidRDefault="005D711E" w:rsidP="0084747F">
            <w:pPr>
              <w:spacing w:after="60" w:line="264" w:lineRule="auto"/>
              <w:jc w:val="both"/>
              <w:rPr>
                <w:rFonts w:cs="Times New Roman"/>
                <w:lang w:bidi="bg-BG"/>
              </w:rPr>
            </w:pPr>
            <w:r w:rsidRPr="009F6D1E">
              <w:rPr>
                <w:rFonts w:cs="Times New Roman"/>
                <w:lang w:bidi="bg-BG"/>
              </w:rPr>
              <w:t>Интервенция в сектор „</w:t>
            </w:r>
            <w:r w:rsidRPr="009F6D1E">
              <w:rPr>
                <w:rFonts w:cs="Times New Roman"/>
                <w:i/>
                <w:iCs/>
                <w:lang w:bidi="bg-BG"/>
              </w:rPr>
              <w:t>Мляко и млечни продукти“</w:t>
            </w:r>
            <w:r w:rsidRPr="009F6D1E">
              <w:rPr>
                <w:rFonts w:cs="Times New Roman"/>
                <w:lang w:bidi="bg-BG"/>
              </w:rPr>
              <w:t xml:space="preserve"> – член 67, която в рамките на оперативните програми предвижда подкрепа за подобряване на пазарната позиция на земеделските стопани в сектора и увеличаване на дела им във веригата на стойността.</w:t>
            </w:r>
          </w:p>
        </w:tc>
      </w:tr>
      <w:tr w:rsidR="00F45390" w:rsidRPr="009F6D1E" w14:paraId="432A9693" w14:textId="77777777" w:rsidTr="00981F7B">
        <w:tc>
          <w:tcPr>
            <w:tcW w:w="709" w:type="dxa"/>
          </w:tcPr>
          <w:p w14:paraId="79EF0958"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62466030" w14:textId="77777777" w:rsidR="00E214FC"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П.3.3.</w:t>
            </w:r>
            <w:r w:rsidRPr="009F6D1E">
              <w:rPr>
                <w:rFonts w:eastAsia="Times New Roman" w:cs="Times New Roman"/>
                <w:b/>
                <w:bCs/>
                <w:i/>
                <w:iCs/>
                <w:lang w:eastAsia="bg-BG" w:bidi="bg-BG"/>
              </w:rPr>
              <w:t xml:space="preserve"> Допълване и подобряване на регулацията за директните продажби</w:t>
            </w:r>
          </w:p>
          <w:p w14:paraId="40E50EF1" w14:textId="77777777" w:rsidR="00F45390" w:rsidRPr="009F6D1E" w:rsidRDefault="00F45390" w:rsidP="0084747F">
            <w:pPr>
              <w:widowControl w:val="0"/>
              <w:spacing w:after="60" w:line="264" w:lineRule="auto"/>
              <w:jc w:val="both"/>
              <w:rPr>
                <w:rFonts w:eastAsia="Times New Roman" w:cs="Times New Roman"/>
                <w:b/>
                <w:bCs/>
                <w:i/>
                <w:lang w:eastAsia="bg-BG" w:bidi="bg-BG"/>
              </w:rPr>
            </w:pPr>
          </w:p>
        </w:tc>
        <w:tc>
          <w:tcPr>
            <w:tcW w:w="4530" w:type="dxa"/>
          </w:tcPr>
          <w:p w14:paraId="2E7B16E8" w14:textId="77777777" w:rsidR="00F45390" w:rsidRPr="009F6D1E" w:rsidRDefault="005D711E" w:rsidP="0084747F">
            <w:pPr>
              <w:autoSpaceDE w:val="0"/>
              <w:autoSpaceDN w:val="0"/>
              <w:adjustRightInd w:val="0"/>
              <w:spacing w:after="60" w:line="264" w:lineRule="auto"/>
              <w:jc w:val="both"/>
              <w:rPr>
                <w:rFonts w:cs="Times New Roman"/>
                <w:lang w:bidi="bg-BG"/>
              </w:rPr>
            </w:pPr>
            <w:r w:rsidRPr="009F6D1E">
              <w:rPr>
                <w:rFonts w:cs="Times New Roman"/>
                <w:lang w:bidi="bg-BG"/>
              </w:rPr>
              <w:t xml:space="preserve">Изготвен </w:t>
            </w:r>
            <w:r w:rsidRPr="009F6D1E">
              <w:rPr>
                <w:rFonts w:cs="Times New Roman"/>
                <w:i/>
                <w:iCs/>
                <w:lang w:bidi="bg-BG"/>
              </w:rPr>
              <w:t>проект на Наредба за изискванията за директни доставки от производителя на малки количества първични продукти и храни от животински произход.</w:t>
            </w:r>
          </w:p>
        </w:tc>
      </w:tr>
      <w:tr w:rsidR="00F45390" w:rsidRPr="009F6D1E" w14:paraId="2BCFFBB4" w14:textId="77777777" w:rsidTr="00981F7B">
        <w:tc>
          <w:tcPr>
            <w:tcW w:w="709" w:type="dxa"/>
          </w:tcPr>
          <w:p w14:paraId="53DF6C81"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3D52684E" w14:textId="77777777" w:rsidR="00F45390"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П.3.4.</w:t>
            </w:r>
            <w:r w:rsidRPr="009F6D1E">
              <w:rPr>
                <w:rFonts w:eastAsia="Times New Roman" w:cs="Times New Roman"/>
                <w:b/>
                <w:bCs/>
                <w:i/>
                <w:iCs/>
                <w:lang w:eastAsia="bg-BG" w:bidi="bg-BG"/>
              </w:rPr>
              <w:t>Разширяване и развитие на мерките и механизмите за борба с нелоялните търговски</w:t>
            </w:r>
            <w:r w:rsidR="00A20AD9"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практики;</w:t>
            </w:r>
          </w:p>
        </w:tc>
        <w:tc>
          <w:tcPr>
            <w:tcW w:w="4530" w:type="dxa"/>
          </w:tcPr>
          <w:p w14:paraId="1D785134" w14:textId="77777777" w:rsidR="00F45390" w:rsidRPr="009F6D1E" w:rsidRDefault="005D711E" w:rsidP="0084747F">
            <w:pPr>
              <w:autoSpaceDE w:val="0"/>
              <w:autoSpaceDN w:val="0"/>
              <w:adjustRightInd w:val="0"/>
              <w:spacing w:after="60" w:line="264" w:lineRule="auto"/>
              <w:jc w:val="both"/>
              <w:rPr>
                <w:rFonts w:cs="Times New Roman"/>
                <w:lang w:bidi="bg-BG"/>
              </w:rPr>
            </w:pPr>
            <w:r w:rsidRPr="009F6D1E">
              <w:rPr>
                <w:rFonts w:cs="Times New Roman"/>
                <w:lang w:bidi="bg-BG"/>
              </w:rPr>
              <w:t>Транспониране и прилагане на Директива (ЕС) 2019/633 относно нелоялните търговски практики (НТП) в отношенията между предприятията във веригата за доставки на селскостопански продукти и храни</w:t>
            </w:r>
            <w:r w:rsidR="00A20AD9" w:rsidRPr="009F6D1E">
              <w:rPr>
                <w:rFonts w:cs="Times New Roman"/>
                <w:lang w:bidi="bg-BG"/>
              </w:rPr>
              <w:t>.</w:t>
            </w:r>
          </w:p>
        </w:tc>
      </w:tr>
      <w:tr w:rsidR="00F45390" w:rsidRPr="009F6D1E" w14:paraId="1CAADCA2" w14:textId="77777777" w:rsidTr="00981F7B">
        <w:tc>
          <w:tcPr>
            <w:tcW w:w="709" w:type="dxa"/>
          </w:tcPr>
          <w:p w14:paraId="64F7EAA0"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15F0EBD9" w14:textId="77777777" w:rsidR="00E214FC"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П.3.5.</w:t>
            </w:r>
            <w:r w:rsidRPr="009F6D1E">
              <w:rPr>
                <w:rFonts w:eastAsia="Times New Roman" w:cs="Times New Roman"/>
                <w:b/>
                <w:bCs/>
                <w:i/>
                <w:iCs/>
                <w:lang w:eastAsia="bg-BG" w:bidi="bg-BG"/>
              </w:rPr>
              <w:t>Засилване на контрола над вноса на суровини.</w:t>
            </w:r>
          </w:p>
          <w:p w14:paraId="569490A3" w14:textId="77777777" w:rsidR="00F45390" w:rsidRPr="009F6D1E" w:rsidRDefault="00F45390" w:rsidP="0084747F">
            <w:pPr>
              <w:widowControl w:val="0"/>
              <w:spacing w:after="60" w:line="264" w:lineRule="auto"/>
              <w:jc w:val="both"/>
              <w:rPr>
                <w:rFonts w:eastAsia="Times New Roman" w:cs="Times New Roman"/>
                <w:b/>
                <w:bCs/>
                <w:i/>
                <w:iCs/>
                <w:lang w:eastAsia="bg-BG" w:bidi="bg-BG"/>
              </w:rPr>
            </w:pPr>
          </w:p>
        </w:tc>
        <w:tc>
          <w:tcPr>
            <w:tcW w:w="4530" w:type="dxa"/>
          </w:tcPr>
          <w:p w14:paraId="1C7DAEE2" w14:textId="77777777" w:rsidR="00F45390" w:rsidRPr="009F6D1E" w:rsidRDefault="005D711E" w:rsidP="0084747F">
            <w:pPr>
              <w:autoSpaceDE w:val="0"/>
              <w:autoSpaceDN w:val="0"/>
              <w:adjustRightInd w:val="0"/>
              <w:spacing w:after="60" w:line="264" w:lineRule="auto"/>
              <w:jc w:val="both"/>
              <w:rPr>
                <w:rFonts w:cs="Times New Roman"/>
                <w:lang w:bidi="bg-BG"/>
              </w:rPr>
            </w:pPr>
            <w:r w:rsidRPr="009F6D1E">
              <w:rPr>
                <w:rFonts w:cs="Times New Roman"/>
                <w:lang w:bidi="bg-BG"/>
              </w:rPr>
              <w:t xml:space="preserve">Прилагане на засилен контрол при </w:t>
            </w:r>
            <w:proofErr w:type="spellStart"/>
            <w:r w:rsidRPr="009F6D1E">
              <w:rPr>
                <w:rFonts w:cs="Times New Roman"/>
                <w:lang w:bidi="bg-BG"/>
              </w:rPr>
              <w:t>вътреобщностна</w:t>
            </w:r>
            <w:proofErr w:type="spellEnd"/>
            <w:r w:rsidRPr="009F6D1E">
              <w:rPr>
                <w:rFonts w:cs="Times New Roman"/>
                <w:lang w:bidi="bg-BG"/>
              </w:rPr>
              <w:t xml:space="preserve"> търговия на месо и яйца, насочен към държави, определени на база оценка на риска (получени нотификации и наличие на огнища на заразни заболявания по животните).</w:t>
            </w:r>
          </w:p>
        </w:tc>
      </w:tr>
      <w:tr w:rsidR="00F45390" w:rsidRPr="009F6D1E" w14:paraId="04DED9BC" w14:textId="77777777" w:rsidTr="00981F7B">
        <w:tc>
          <w:tcPr>
            <w:tcW w:w="709" w:type="dxa"/>
          </w:tcPr>
          <w:p w14:paraId="61DF0618" w14:textId="77777777" w:rsidR="00F45390" w:rsidRPr="009F6D1E" w:rsidRDefault="004B308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6.</w:t>
            </w:r>
          </w:p>
        </w:tc>
        <w:tc>
          <w:tcPr>
            <w:tcW w:w="4394" w:type="dxa"/>
          </w:tcPr>
          <w:p w14:paraId="43F9BF5A" w14:textId="1A3F76AB" w:rsidR="00E214FC" w:rsidRPr="009F6D1E" w:rsidRDefault="00E214FC"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lang w:eastAsia="bg-BG" w:bidi="bg-BG"/>
              </w:rPr>
              <w:t>П.3.6.Осигуряване на необходимото количество и качество</w:t>
            </w:r>
            <w:r w:rsidR="006E0FF0">
              <w:rPr>
                <w:rFonts w:eastAsia="Times New Roman" w:cs="Times New Roman"/>
                <w:b/>
                <w:bCs/>
                <w:i/>
                <w:iCs/>
                <w:lang w:eastAsia="bg-BG" w:bidi="bg-BG"/>
              </w:rPr>
              <w:t xml:space="preserve"> </w:t>
            </w:r>
            <w:r w:rsidRPr="009F6D1E">
              <w:rPr>
                <w:rFonts w:eastAsia="Times New Roman" w:cs="Times New Roman"/>
                <w:b/>
                <w:bCs/>
                <w:i/>
                <w:iCs/>
                <w:lang w:eastAsia="bg-BG" w:bidi="bg-BG"/>
              </w:rPr>
              <w:t>местни суровини за по-пълно</w:t>
            </w:r>
            <w:r w:rsidR="00C80F64"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използване на капацитета на предприятията и повишаване добавената стойност и ефективността на</w:t>
            </w:r>
            <w:r w:rsidR="00C80F64"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предприятията от ХВП;</w:t>
            </w:r>
          </w:p>
          <w:p w14:paraId="5F2ECA77" w14:textId="77777777" w:rsidR="00F45390" w:rsidRPr="009F6D1E" w:rsidRDefault="00F45390" w:rsidP="0084747F">
            <w:pPr>
              <w:widowControl w:val="0"/>
              <w:spacing w:after="60" w:line="264" w:lineRule="auto"/>
              <w:ind w:left="720"/>
              <w:jc w:val="both"/>
              <w:rPr>
                <w:rFonts w:eastAsia="Times New Roman" w:cs="Times New Roman"/>
                <w:b/>
                <w:bCs/>
                <w:i/>
                <w:iCs/>
                <w:lang w:eastAsia="bg-BG" w:bidi="bg-BG"/>
              </w:rPr>
            </w:pPr>
          </w:p>
        </w:tc>
        <w:tc>
          <w:tcPr>
            <w:tcW w:w="4530" w:type="dxa"/>
          </w:tcPr>
          <w:p w14:paraId="211A3137" w14:textId="77777777" w:rsidR="00574231" w:rsidRPr="009F6D1E" w:rsidRDefault="00A20AD9" w:rsidP="0084747F">
            <w:pPr>
              <w:autoSpaceDE w:val="0"/>
              <w:autoSpaceDN w:val="0"/>
              <w:adjustRightInd w:val="0"/>
              <w:spacing w:after="60" w:line="264" w:lineRule="auto"/>
              <w:jc w:val="both"/>
              <w:rPr>
                <w:rFonts w:cs="Times New Roman"/>
                <w:lang w:bidi="bg-BG"/>
              </w:rPr>
            </w:pPr>
            <w:r w:rsidRPr="009F6D1E">
              <w:rPr>
                <w:rFonts w:cs="Times New Roman"/>
                <w:bCs/>
                <w:i/>
                <w:lang w:bidi="bg-BG"/>
              </w:rPr>
              <w:t xml:space="preserve">Интервенция </w:t>
            </w:r>
            <w:r w:rsidR="00574231" w:rsidRPr="009F6D1E">
              <w:rPr>
                <w:rFonts w:cs="Times New Roman"/>
                <w:lang w:bidi="bg-BG"/>
              </w:rPr>
              <w:t>„</w:t>
            </w:r>
            <w:r w:rsidR="00574231" w:rsidRPr="009F6D1E">
              <w:rPr>
                <w:rFonts w:cs="Times New Roman"/>
                <w:i/>
                <w:iCs/>
                <w:lang w:bidi="bg-BG"/>
              </w:rPr>
              <w:t xml:space="preserve">Инвестиции за преработка на селскостопански продукти“, съгласно чл. </w:t>
            </w:r>
            <w:r w:rsidR="008426F3" w:rsidRPr="009F6D1E">
              <w:rPr>
                <w:rFonts w:cs="Times New Roman"/>
                <w:i/>
                <w:iCs/>
                <w:lang w:bidi="bg-BG"/>
              </w:rPr>
              <w:t>73</w:t>
            </w:r>
            <w:r w:rsidR="00574231" w:rsidRPr="009F6D1E">
              <w:rPr>
                <w:rFonts w:cs="Times New Roman"/>
                <w:i/>
                <w:iCs/>
                <w:lang w:bidi="bg-BG"/>
              </w:rPr>
              <w:t xml:space="preserve"> </w:t>
            </w:r>
            <w:r w:rsidR="00FB3AF8" w:rsidRPr="009F6D1E">
              <w:rPr>
                <w:rFonts w:cs="Times New Roman"/>
                <w:i/>
                <w:iCs/>
                <w:lang w:bidi="bg-BG"/>
              </w:rPr>
              <w:t xml:space="preserve">от </w:t>
            </w:r>
            <w:r w:rsidR="00574231" w:rsidRPr="009F6D1E">
              <w:rPr>
                <w:rFonts w:cs="Times New Roman"/>
                <w:i/>
                <w:iCs/>
                <w:lang w:bidi="bg-BG"/>
              </w:rPr>
              <w:t xml:space="preserve">ЕЗФРСР. </w:t>
            </w:r>
            <w:r w:rsidR="00574231" w:rsidRPr="009F6D1E">
              <w:rPr>
                <w:rFonts w:cs="Times New Roman"/>
                <w:lang w:bidi="bg-BG"/>
              </w:rPr>
              <w:t xml:space="preserve">От ключово значение за повишаване на добавената стойност в ХВП е ефективната инвестиционната подкрепа, която с интервенцията е насочена към предприятия от ХВП и земеделските стопани, свързани с преработка на селскостопански продукти. Чрез интервенцията ще се осигури възможност на предприятията от ХВП да внедряват в своите производства нови машини, </w:t>
            </w:r>
            <w:r w:rsidR="00574231" w:rsidRPr="009F6D1E">
              <w:rPr>
                <w:rFonts w:cs="Times New Roman"/>
                <w:lang w:bidi="bg-BG"/>
              </w:rPr>
              <w:lastRenderedPageBreak/>
              <w:t xml:space="preserve">съоръжения и оборудване, които имат  високо ниво на ефективност. </w:t>
            </w:r>
          </w:p>
        </w:tc>
      </w:tr>
    </w:tbl>
    <w:p w14:paraId="7453B119" w14:textId="77777777" w:rsidR="00F45390" w:rsidRPr="009F6D1E" w:rsidRDefault="00F45390" w:rsidP="0084747F">
      <w:pPr>
        <w:widowControl w:val="0"/>
        <w:tabs>
          <w:tab w:val="left" w:pos="1080"/>
        </w:tabs>
        <w:spacing w:after="60" w:line="264" w:lineRule="auto"/>
        <w:ind w:left="720"/>
        <w:jc w:val="both"/>
        <w:rPr>
          <w:rFonts w:eastAsia="Times New Roman" w:cs="Times New Roman"/>
          <w:i/>
          <w:u w:val="single"/>
          <w:lang w:eastAsia="bg-BG" w:bidi="bg-BG"/>
        </w:rPr>
      </w:pPr>
    </w:p>
    <w:p w14:paraId="49BE07F0" w14:textId="77777777" w:rsidR="008A5636"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Специфична цел №4:</w:t>
      </w:r>
      <w:r w:rsidR="008A5636" w:rsidRPr="009F6D1E">
        <w:rPr>
          <w:rFonts w:cs="Times New Roman"/>
          <w:b/>
          <w:i/>
          <w:szCs w:val="24"/>
        </w:rPr>
        <w:t xml:space="preserve"> </w:t>
      </w:r>
      <w:r w:rsidR="008A5636" w:rsidRPr="009F6D1E">
        <w:rPr>
          <w:rFonts w:cs="Times New Roman"/>
          <w:b/>
          <w:i/>
          <w:szCs w:val="24"/>
          <w:u w:val="single"/>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1A4365C5" w14:textId="77777777" w:rsidR="00801A6D" w:rsidRPr="009F6D1E" w:rsidRDefault="00801A6D" w:rsidP="0084747F">
      <w:pPr>
        <w:widowControl w:val="0"/>
        <w:shd w:val="clear" w:color="auto" w:fill="FFFFFF" w:themeFill="background1"/>
        <w:tabs>
          <w:tab w:val="left" w:pos="5765"/>
        </w:tabs>
        <w:spacing w:after="60" w:line="264" w:lineRule="auto"/>
        <w:jc w:val="both"/>
        <w:rPr>
          <w:rFonts w:cs="Times New Roman"/>
          <w:b/>
          <w:i/>
          <w:u w:val="single"/>
        </w:rPr>
      </w:pPr>
    </w:p>
    <w:tbl>
      <w:tblPr>
        <w:tblStyle w:val="TableGrid"/>
        <w:tblW w:w="0" w:type="auto"/>
        <w:tblInd w:w="-5" w:type="dxa"/>
        <w:tblLook w:val="04A0" w:firstRow="1" w:lastRow="0" w:firstColumn="1" w:lastColumn="0" w:noHBand="0" w:noVBand="1"/>
      </w:tblPr>
      <w:tblGrid>
        <w:gridCol w:w="709"/>
        <w:gridCol w:w="4394"/>
        <w:gridCol w:w="4530"/>
      </w:tblGrid>
      <w:tr w:rsidR="00801A6D" w:rsidRPr="009F6D1E" w14:paraId="35669F88" w14:textId="77777777" w:rsidTr="00936942">
        <w:trPr>
          <w:tblHeader/>
        </w:trPr>
        <w:tc>
          <w:tcPr>
            <w:tcW w:w="709" w:type="dxa"/>
            <w:shd w:val="clear" w:color="auto" w:fill="F7CAAC" w:themeFill="accent2" w:themeFillTint="66"/>
          </w:tcPr>
          <w:p w14:paraId="26A3F968" w14:textId="77777777" w:rsidR="00801A6D" w:rsidRPr="009F6D1E" w:rsidRDefault="00801A6D" w:rsidP="0084747F">
            <w:pPr>
              <w:widowControl w:val="0"/>
              <w:tabs>
                <w:tab w:val="left" w:pos="1080"/>
              </w:tabs>
              <w:spacing w:after="60" w:line="264" w:lineRule="auto"/>
              <w:jc w:val="center"/>
              <w:rPr>
                <w:rFonts w:eastAsia="Times New Roman" w:cs="Times New Roman"/>
                <w:b/>
                <w:bCs/>
                <w:iCs/>
                <w:lang w:eastAsia="bg-BG" w:bidi="bg-BG"/>
              </w:rPr>
            </w:pPr>
            <w:bookmarkStart w:id="37" w:name="_Hlk96092756"/>
            <w:r w:rsidRPr="009F6D1E">
              <w:rPr>
                <w:rFonts w:eastAsia="Times New Roman" w:cs="Times New Roman"/>
                <w:b/>
                <w:bCs/>
                <w:iCs/>
                <w:lang w:eastAsia="bg-BG" w:bidi="bg-BG"/>
              </w:rPr>
              <w:t>№</w:t>
            </w:r>
          </w:p>
        </w:tc>
        <w:tc>
          <w:tcPr>
            <w:tcW w:w="4394" w:type="dxa"/>
            <w:shd w:val="clear" w:color="auto" w:fill="F7CAAC" w:themeFill="accent2" w:themeFillTint="66"/>
          </w:tcPr>
          <w:p w14:paraId="7BA3BF27" w14:textId="77777777" w:rsidR="00801A6D" w:rsidRPr="009F6D1E" w:rsidRDefault="00801A6D"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53E93A18" w14:textId="77777777" w:rsidR="00801A6D" w:rsidRPr="009F6D1E" w:rsidRDefault="00801A6D"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801A6D" w:rsidRPr="009F6D1E" w14:paraId="2CB6F194" w14:textId="77777777" w:rsidTr="00981F7B">
        <w:tc>
          <w:tcPr>
            <w:tcW w:w="709" w:type="dxa"/>
          </w:tcPr>
          <w:p w14:paraId="3D030510" w14:textId="77777777" w:rsidR="00801A6D" w:rsidRPr="009F6D1E" w:rsidRDefault="000D76C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37E61CCA" w14:textId="77777777" w:rsidR="008A5636" w:rsidRPr="009F6D1E" w:rsidRDefault="008A5636" w:rsidP="0084747F">
            <w:pPr>
              <w:widowControl w:val="0"/>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П.4.1.</w:t>
            </w:r>
            <w:r w:rsidRPr="009F6D1E">
              <w:rPr>
                <w:rFonts w:eastAsia="Times New Roman" w:cs="Times New Roman"/>
                <w:b/>
                <w:bCs/>
                <w:i/>
                <w:iCs/>
                <w:lang w:eastAsia="bg-BG" w:bidi="bg-BG"/>
              </w:rPr>
              <w:t>Намаляване на емисиите на парникови газове от селското стопанство.</w:t>
            </w:r>
          </w:p>
          <w:p w14:paraId="11EB5364" w14:textId="77777777" w:rsidR="00801A6D" w:rsidRPr="009F6D1E" w:rsidRDefault="00801A6D"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0BEAED49" w14:textId="77777777" w:rsidR="000D76C9" w:rsidRPr="009F6D1E" w:rsidRDefault="000D76C9"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Потребността от намаляване на емисиите на парникови газове от селското стопанство ще се адресира чрез комплекс от интервенции по ЕФГЗ и ЕЗФРСР:</w:t>
            </w:r>
          </w:p>
          <w:p w14:paraId="4E9DC7B6" w14:textId="77777777" w:rsidR="005C7723" w:rsidRPr="009F6D1E" w:rsidRDefault="00A20AD9" w:rsidP="0084747F">
            <w:pPr>
              <w:spacing w:after="60" w:line="264" w:lineRule="auto"/>
              <w:jc w:val="both"/>
              <w:rPr>
                <w:rFonts w:eastAsia="Calibri" w:cs="Times New Roman"/>
                <w:bCs/>
                <w:iCs/>
                <w:lang w:eastAsia="en-GB" w:bidi="bg-BG"/>
              </w:rPr>
            </w:pPr>
            <w:r w:rsidRPr="009F6D1E">
              <w:rPr>
                <w:rFonts w:cs="Times New Roman"/>
                <w:bCs/>
                <w:i/>
                <w:lang w:bidi="bg-BG"/>
              </w:rPr>
              <w:t xml:space="preserve">Интервенция </w:t>
            </w:r>
            <w:r w:rsidR="005C7723" w:rsidRPr="009F6D1E">
              <w:rPr>
                <w:rFonts w:eastAsia="Calibri" w:cs="Times New Roman"/>
                <w:bCs/>
                <w:i/>
                <w:lang w:eastAsia="en-GB" w:bidi="bg-BG"/>
              </w:rPr>
              <w:t xml:space="preserve">„Инвестиции в земеделските стопанства насочени към опазване на компонентите на околната среда“ – член 73 и член 74. </w:t>
            </w:r>
            <w:r w:rsidR="005C7723" w:rsidRPr="009F6D1E">
              <w:rPr>
                <w:rFonts w:eastAsia="Calibri" w:cs="Times New Roman"/>
                <w:bCs/>
                <w:iCs/>
                <w:lang w:eastAsia="en-GB" w:bidi="bg-BG"/>
              </w:rPr>
              <w:t>Интервенцията е насочена към прилагането на различни практики, с които може да бъде постигнато ограничаване</w:t>
            </w:r>
            <w:r w:rsidR="00AF1909" w:rsidRPr="009F6D1E">
              <w:rPr>
                <w:rFonts w:eastAsia="Calibri" w:cs="Times New Roman"/>
                <w:bCs/>
                <w:iCs/>
                <w:lang w:eastAsia="en-GB" w:bidi="bg-BG"/>
              </w:rPr>
              <w:t xml:space="preserve"> </w:t>
            </w:r>
            <w:r w:rsidR="005C7723" w:rsidRPr="009F6D1E">
              <w:rPr>
                <w:rFonts w:eastAsia="Calibri" w:cs="Times New Roman"/>
                <w:bCs/>
                <w:iCs/>
                <w:lang w:eastAsia="en-GB" w:bidi="bg-BG"/>
              </w:rPr>
              <w:t>отделянето на емисии на</w:t>
            </w:r>
            <w:r w:rsidR="005C7723" w:rsidRPr="009F6D1E">
              <w:rPr>
                <w:rFonts w:eastAsia="Calibri" w:cs="Times New Roman"/>
                <w:bCs/>
                <w:i/>
                <w:lang w:eastAsia="en-GB" w:bidi="bg-BG"/>
              </w:rPr>
              <w:t xml:space="preserve"> </w:t>
            </w:r>
            <w:r w:rsidR="005C7723" w:rsidRPr="009F6D1E">
              <w:rPr>
                <w:rFonts w:eastAsia="Calibri" w:cs="Times New Roman"/>
                <w:bCs/>
                <w:iCs/>
                <w:lang w:eastAsia="en-GB" w:bidi="bg-BG"/>
              </w:rPr>
              <w:t>ПГ от почвите, както и за запазване на органичното вещество.</w:t>
            </w:r>
          </w:p>
          <w:p w14:paraId="160361D1" w14:textId="77777777" w:rsidR="005C7723" w:rsidRPr="009F6D1E" w:rsidRDefault="005C7723" w:rsidP="0084747F">
            <w:pPr>
              <w:spacing w:after="60" w:line="264" w:lineRule="auto"/>
              <w:jc w:val="both"/>
              <w:rPr>
                <w:rFonts w:eastAsia="Calibri" w:cs="Times New Roman"/>
                <w:bCs/>
                <w:iCs/>
                <w:lang w:eastAsia="en-GB" w:bidi="bg-BG"/>
              </w:rPr>
            </w:pPr>
            <w:r w:rsidRPr="009F6D1E">
              <w:rPr>
                <w:rFonts w:eastAsia="Calibri" w:cs="Times New Roman"/>
                <w:bCs/>
                <w:iCs/>
                <w:lang w:eastAsia="en-GB" w:bidi="bg-BG"/>
              </w:rPr>
              <w:t>Инвестиции в управлението на оборския тор и въвеждане на нисковъглеродни практики за преработка на оборски тор в стопанства и/или мерки посочени в Правилата за добра земеделска практика за контролиране на емисиите от амоняк във въздуха, отделени от селскостопански източници.</w:t>
            </w:r>
          </w:p>
          <w:p w14:paraId="1ACC5A75" w14:textId="77777777" w:rsidR="00801A6D" w:rsidRPr="009F6D1E" w:rsidRDefault="005C7723" w:rsidP="0084747F">
            <w:pPr>
              <w:spacing w:after="60" w:line="264" w:lineRule="auto"/>
              <w:jc w:val="both"/>
              <w:rPr>
                <w:rFonts w:eastAsia="Times New Roman" w:cs="Times New Roman"/>
                <w:i/>
                <w:u w:val="single"/>
                <w:lang w:eastAsia="bg-BG" w:bidi="bg-BG"/>
              </w:rPr>
            </w:pPr>
            <w:r w:rsidRPr="009F6D1E">
              <w:rPr>
                <w:rFonts w:eastAsia="Calibri" w:cs="Times New Roman"/>
                <w:bCs/>
                <w:i/>
                <w:iCs/>
                <w:lang w:eastAsia="en-GB" w:bidi="bg-BG"/>
              </w:rPr>
              <w:t>Интервенции</w:t>
            </w:r>
            <w:r w:rsidRPr="009F6D1E">
              <w:rPr>
                <w:rFonts w:eastAsia="Calibri" w:cs="Times New Roman"/>
                <w:bCs/>
                <w:i/>
                <w:lang w:eastAsia="en-GB" w:bidi="bg-BG"/>
              </w:rPr>
              <w:t xml:space="preserve"> „Консултантски услуги и повишаване на консултантския капацитет“ и „Професионално обучение и придобиване на знания са имат принос към постигане на специфичната цел“, </w:t>
            </w:r>
            <w:r w:rsidRPr="009F6D1E">
              <w:rPr>
                <w:rFonts w:eastAsia="Calibri" w:cs="Times New Roman"/>
                <w:bCs/>
                <w:iCs/>
                <w:lang w:eastAsia="en-GB" w:bidi="bg-BG"/>
              </w:rPr>
              <w:t>чрез насочване на знания, иновации и обучения по теми, свързани с намаляване на емисиите от парникови газове.</w:t>
            </w:r>
          </w:p>
        </w:tc>
      </w:tr>
      <w:bookmarkEnd w:id="37"/>
      <w:tr w:rsidR="00801A6D" w:rsidRPr="009F6D1E" w14:paraId="1AA7DD18" w14:textId="77777777" w:rsidTr="00981F7B">
        <w:tc>
          <w:tcPr>
            <w:tcW w:w="709" w:type="dxa"/>
          </w:tcPr>
          <w:p w14:paraId="015E81A7" w14:textId="77777777" w:rsidR="00801A6D" w:rsidRPr="009F6D1E" w:rsidRDefault="000D76C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2.</w:t>
            </w:r>
          </w:p>
        </w:tc>
        <w:tc>
          <w:tcPr>
            <w:tcW w:w="4394" w:type="dxa"/>
          </w:tcPr>
          <w:p w14:paraId="21A090B4" w14:textId="77777777" w:rsidR="008A5636" w:rsidRPr="009F6D1E" w:rsidRDefault="008A5636" w:rsidP="0084747F">
            <w:pPr>
              <w:widowControl w:val="0"/>
              <w:tabs>
                <w:tab w:val="left" w:pos="90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П.4.2.</w:t>
            </w:r>
            <w:r w:rsidRPr="009F6D1E">
              <w:rPr>
                <w:rFonts w:eastAsia="Times New Roman" w:cs="Times New Roman"/>
                <w:b/>
                <w:bCs/>
                <w:i/>
                <w:iCs/>
                <w:lang w:eastAsia="bg-BG" w:bidi="bg-BG"/>
              </w:rPr>
              <w:t xml:space="preserve"> Увеличаване на органичния въглерод в почвата</w:t>
            </w:r>
          </w:p>
          <w:p w14:paraId="27DC033D" w14:textId="77777777" w:rsidR="00801A6D" w:rsidRPr="009F6D1E" w:rsidRDefault="00801A6D"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3E7502D4" w14:textId="77777777" w:rsidR="005C7723" w:rsidRPr="009F6D1E" w:rsidRDefault="000D76C9"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Потребността от увеличаване на органичния въглерод в почвата ще се адресира чрез въведените задължения в системата за предварителни условия и комплекс от интервенции по ЕФГЗ и ЕЗФРСР.</w:t>
            </w:r>
          </w:p>
          <w:p w14:paraId="29FA6209" w14:textId="77777777" w:rsidR="00801A6D" w:rsidRPr="009F6D1E" w:rsidRDefault="000D76C9"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 </w:t>
            </w:r>
            <w:r w:rsidR="005C7723" w:rsidRPr="009F6D1E">
              <w:rPr>
                <w:rFonts w:eastAsia="Calibri" w:cs="Times New Roman"/>
                <w:bCs/>
                <w:lang w:eastAsia="en-GB" w:bidi="bg-BG"/>
              </w:rPr>
              <w:t xml:space="preserve">Еко схема за екологично поддържане на трайните насаждения (по чл. 31 от Регламент (ЕС) 2021/2115). С отглеждането на </w:t>
            </w:r>
            <w:proofErr w:type="spellStart"/>
            <w:r w:rsidR="005C7723" w:rsidRPr="009F6D1E">
              <w:rPr>
                <w:rFonts w:eastAsia="Calibri" w:cs="Times New Roman"/>
                <w:bCs/>
                <w:lang w:eastAsia="en-GB" w:bidi="bg-BG"/>
              </w:rPr>
              <w:t>азотфиксиращи</w:t>
            </w:r>
            <w:proofErr w:type="spellEnd"/>
            <w:r w:rsidR="005C7723" w:rsidRPr="009F6D1E">
              <w:rPr>
                <w:rFonts w:eastAsia="Calibri" w:cs="Times New Roman"/>
                <w:bCs/>
                <w:lang w:eastAsia="en-GB" w:bidi="bg-BG"/>
              </w:rPr>
              <w:t xml:space="preserve"> култури в рамките на парцелите с трайни насаждения се цели създаването на растителна покривка, която за задържи органичния въглерод в почвата. Еко схемата за разнообразяване на отглежданите култури (по чл. 31 от Регламент (ЕС) 2021/2115) в директните плащания се фокусира върху създаване на стимули за отглеждане на повече и по-разнообразни култури в стопанството, което допринася за поддържане на органичния въглерод в почвата. Еко схема за екстензивно поддържане на постоянно затревените площи (по чл. 31 от Регламент (ЕС) 2021/2115) също е планирано да окаже въздействие върху удовлетворяване на потребността. Интервенцията надгражда в качествен аспект състоянието на постоянно затревените площи и въвежда екстензивен режим на управление на пасищната екосистема.</w:t>
            </w:r>
          </w:p>
          <w:p w14:paraId="058FBB5B" w14:textId="77777777" w:rsidR="005C7723" w:rsidRPr="009F6D1E" w:rsidRDefault="005C7723"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„Възстановяване и поддържане на деградирали пасищни територии“ – член 70, </w:t>
            </w:r>
            <w:r w:rsidRPr="009F6D1E">
              <w:rPr>
                <w:rFonts w:eastAsia="Times New Roman" w:cs="Times New Roman"/>
                <w:iCs/>
                <w:lang w:eastAsia="bg-BG" w:bidi="bg-BG"/>
              </w:rPr>
              <w:t xml:space="preserve">насочена към дейности и практики, които увеличат почвения органичен въглерод, имат благоприятен ефект както върху почвата и пасищните територии, които с течение на </w:t>
            </w:r>
            <w:r w:rsidRPr="009F6D1E">
              <w:rPr>
                <w:rFonts w:eastAsia="Times New Roman" w:cs="Times New Roman"/>
                <w:iCs/>
                <w:lang w:eastAsia="bg-BG" w:bidi="bg-BG"/>
              </w:rPr>
              <w:lastRenderedPageBreak/>
              <w:t>годините намаляват производствения си капацитет.</w:t>
            </w:r>
          </w:p>
          <w:p w14:paraId="76133B7E" w14:textId="77777777" w:rsidR="005C7723" w:rsidRPr="009F6D1E" w:rsidRDefault="005C7723" w:rsidP="0084747F">
            <w:pPr>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„Плащания за земеделски земи в зони от Натура 2000“ – член 72.</w:t>
            </w:r>
          </w:p>
          <w:p w14:paraId="5ADE3BC5" w14:textId="77777777" w:rsidR="00B26212" w:rsidRPr="009F6D1E" w:rsidRDefault="00B26212" w:rsidP="0084747F">
            <w:pPr>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за „Професионално обучение и придобиване на знания“</w:t>
            </w:r>
            <w:r w:rsidRPr="009F6D1E">
              <w:rPr>
                <w:rFonts w:eastAsia="Times New Roman" w:cs="Times New Roman"/>
                <w:iCs/>
                <w:lang w:eastAsia="bg-BG" w:bidi="bg-BG"/>
              </w:rPr>
              <w:t xml:space="preserve"> предвижда придобиване на знания и умения от страна на земеделските стопани по за прилагане на природосъобразни практики върху земите, попадащи в обхвата на мрежата Натура 2000, допринася за стабилна тенденция на природозащитният статус на земеделските местообитания, свързани със селското стопанство.</w:t>
            </w:r>
          </w:p>
        </w:tc>
      </w:tr>
      <w:tr w:rsidR="00801A6D" w:rsidRPr="009F6D1E" w14:paraId="14AD02C2" w14:textId="77777777" w:rsidTr="00981F7B">
        <w:tc>
          <w:tcPr>
            <w:tcW w:w="709" w:type="dxa"/>
          </w:tcPr>
          <w:p w14:paraId="34D9A41B" w14:textId="77777777" w:rsidR="00801A6D" w:rsidRPr="009F6D1E" w:rsidRDefault="000D76C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1C79771A" w14:textId="77777777" w:rsidR="008A5636" w:rsidRPr="009F6D1E" w:rsidRDefault="008A5636" w:rsidP="0084747F">
            <w:pPr>
              <w:widowControl w:val="0"/>
              <w:tabs>
                <w:tab w:val="left" w:pos="90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П.4.3.</w:t>
            </w:r>
            <w:r w:rsidRPr="009F6D1E">
              <w:rPr>
                <w:rFonts w:eastAsia="Times New Roman" w:cs="Times New Roman"/>
                <w:b/>
                <w:bCs/>
                <w:i/>
                <w:iCs/>
                <w:lang w:eastAsia="bg-BG" w:bidi="bg-BG"/>
              </w:rPr>
              <w:t>Производство на енергия от възобновяеми източници от селското стопанство (от водна, вятърна, слънчева, геотермална енергия и остатъчна/отпадъчна биомаса от селското стопанство)</w:t>
            </w:r>
          </w:p>
          <w:p w14:paraId="7ADAEB5F" w14:textId="77777777" w:rsidR="00801A6D" w:rsidRPr="009F6D1E" w:rsidRDefault="00801A6D"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3B848DEE" w14:textId="77777777" w:rsidR="00801A6D" w:rsidRPr="009F6D1E" w:rsidRDefault="000D76C9" w:rsidP="0084747F">
            <w:pPr>
              <w:autoSpaceDE w:val="0"/>
              <w:autoSpaceDN w:val="0"/>
              <w:adjustRightInd w:val="0"/>
              <w:spacing w:after="60" w:line="264" w:lineRule="auto"/>
              <w:jc w:val="both"/>
              <w:rPr>
                <w:rFonts w:cs="Times New Roman"/>
                <w:bCs/>
                <w:lang w:bidi="bg-BG"/>
              </w:rPr>
            </w:pPr>
            <w:r w:rsidRPr="009F6D1E">
              <w:rPr>
                <w:rFonts w:cs="Times New Roman"/>
                <w:bCs/>
                <w:lang w:bidi="bg-BG"/>
              </w:rPr>
              <w:t xml:space="preserve">Когато кандидатите за инвестиране са млади земеделски или горски стопани, могат да получат подкрепа и чрез интервенцията за </w:t>
            </w:r>
            <w:r w:rsidR="00C75BB0" w:rsidRPr="009F6D1E">
              <w:rPr>
                <w:rFonts w:cs="Times New Roman"/>
                <w:bCs/>
                <w:lang w:bidi="bg-BG"/>
              </w:rPr>
              <w:t>„</w:t>
            </w:r>
            <w:r w:rsidRPr="009F6D1E">
              <w:rPr>
                <w:rFonts w:cs="Times New Roman"/>
                <w:i/>
                <w:lang w:bidi="bg-BG"/>
              </w:rPr>
              <w:t>стартиране на стопанска дейност и разнообразяване на дейностите</w:t>
            </w:r>
            <w:r w:rsidR="00C75BB0" w:rsidRPr="009F6D1E">
              <w:rPr>
                <w:rFonts w:cs="Times New Roman"/>
                <w:i/>
                <w:lang w:bidi="bg-BG"/>
              </w:rPr>
              <w:t>“</w:t>
            </w:r>
            <w:r w:rsidRPr="009F6D1E">
              <w:rPr>
                <w:rFonts w:cs="Times New Roman"/>
                <w:lang w:bidi="bg-BG"/>
              </w:rPr>
              <w:t>, ако</w:t>
            </w:r>
            <w:r w:rsidRPr="009F6D1E">
              <w:rPr>
                <w:rFonts w:cs="Times New Roman"/>
                <w:bCs/>
                <w:lang w:bidi="bg-BG"/>
              </w:rPr>
              <w:t xml:space="preserve"> размерът на инвестицията е в границите на подкрепата по мярката за млади земеделски стопани.</w:t>
            </w:r>
          </w:p>
          <w:p w14:paraId="6745A505" w14:textId="77777777" w:rsidR="005C66FD" w:rsidRPr="009F6D1E" w:rsidRDefault="005C66FD" w:rsidP="0084747F">
            <w:pPr>
              <w:autoSpaceDE w:val="0"/>
              <w:autoSpaceDN w:val="0"/>
              <w:adjustRightInd w:val="0"/>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„Инвестиции за преработка на селскостопански продукти, насочени към опазване на компонентите на околната среда“ – член 73. </w:t>
            </w:r>
            <w:r w:rsidRPr="009F6D1E">
              <w:rPr>
                <w:rFonts w:eastAsia="Times New Roman" w:cs="Times New Roman"/>
                <w:iCs/>
                <w:lang w:eastAsia="bg-BG" w:bidi="bg-BG"/>
              </w:rPr>
              <w:t xml:space="preserve">Чрез интервенцията ще се подпомагат единствено инвестиции свързани с околна среда и климат, като например: пречиствателни съоръжения и съоръжения за третиране на отпадъци, съоръжения за съхраняване или оползотворяване на различни отпадъчни суровини от селскостопански продукти получени в резултат на извършваната преработка, инсталации за пречистване на отпадъчни води в преработката и маркетинга, инсталации за ВЕИ за </w:t>
            </w:r>
            <w:r w:rsidRPr="009F6D1E">
              <w:rPr>
                <w:rFonts w:eastAsia="Times New Roman" w:cs="Times New Roman"/>
                <w:iCs/>
                <w:lang w:eastAsia="bg-BG" w:bidi="bg-BG"/>
              </w:rPr>
              <w:lastRenderedPageBreak/>
              <w:t>производство на енергия за собствено потребление, включително такива използващи биомаса, включително инвестиции и дейности свързани с подобряване на енергийната ефективност на съществуващи предприятия.</w:t>
            </w:r>
          </w:p>
          <w:p w14:paraId="75D8AE8B" w14:textId="77777777" w:rsidR="005C66FD" w:rsidRPr="009F6D1E" w:rsidRDefault="005C66FD" w:rsidP="0084747F">
            <w:pPr>
              <w:autoSpaceDE w:val="0"/>
              <w:autoSpaceDN w:val="0"/>
              <w:adjustRightInd w:val="0"/>
              <w:spacing w:after="60" w:line="264" w:lineRule="auto"/>
              <w:jc w:val="both"/>
              <w:rPr>
                <w:rFonts w:eastAsia="Times New Roman" w:cs="Times New Roman"/>
                <w:i/>
                <w:lang w:eastAsia="bg-BG" w:bidi="bg-BG"/>
              </w:rPr>
            </w:pPr>
            <w:r w:rsidRPr="009F6D1E">
              <w:rPr>
                <w:rFonts w:eastAsia="Times New Roman" w:cs="Times New Roman"/>
                <w:iCs/>
                <w:lang w:eastAsia="bg-BG" w:bidi="bg-BG"/>
              </w:rPr>
              <w:t xml:space="preserve">За ефективно постигане на тази потребност, ще бъдат прилагани дейности по придобиване на знания чрез консултации, обмен на знания по </w:t>
            </w:r>
            <w:r w:rsidRPr="009F6D1E">
              <w:rPr>
                <w:rFonts w:eastAsia="Times New Roman" w:cs="Times New Roman"/>
                <w:i/>
                <w:iCs/>
                <w:lang w:eastAsia="bg-BG" w:bidi="bg-BG"/>
              </w:rPr>
              <w:t>интервенции</w:t>
            </w:r>
            <w:r w:rsidRPr="009F6D1E">
              <w:rPr>
                <w:rFonts w:eastAsia="Times New Roman" w:cs="Times New Roman"/>
                <w:iCs/>
                <w:lang w:eastAsia="bg-BG" w:bidi="bg-BG"/>
              </w:rPr>
              <w:t xml:space="preserve"> „</w:t>
            </w:r>
            <w:r w:rsidRPr="009F6D1E">
              <w:rPr>
                <w:rFonts w:eastAsia="Times New Roman" w:cs="Times New Roman"/>
                <w:i/>
                <w:lang w:eastAsia="bg-BG" w:bidi="bg-BG"/>
              </w:rPr>
              <w:t>Консултантски услуги и повишаване на консултантския капацитет“ и „Професионално обучение и придобиване на знания“.</w:t>
            </w:r>
            <w:r w:rsidRPr="009F6D1E">
              <w:rPr>
                <w:rFonts w:eastAsia="Times New Roman" w:cs="Times New Roman"/>
                <w:iCs/>
                <w:lang w:eastAsia="bg-BG" w:bidi="bg-BG"/>
              </w:rPr>
              <w:t xml:space="preserve"> За постигането на тази потребност ще допринесе и заложената в </w:t>
            </w:r>
            <w:proofErr w:type="spellStart"/>
            <w:r w:rsidRPr="009F6D1E">
              <w:rPr>
                <w:rFonts w:eastAsia="Times New Roman" w:cs="Times New Roman"/>
                <w:iCs/>
                <w:lang w:eastAsia="bg-BG" w:bidi="bg-BG"/>
              </w:rPr>
              <w:t>лозаро</w:t>
            </w:r>
            <w:proofErr w:type="spellEnd"/>
            <w:r w:rsidRPr="009F6D1E">
              <w:rPr>
                <w:rFonts w:eastAsia="Times New Roman" w:cs="Times New Roman"/>
                <w:iCs/>
                <w:lang w:eastAsia="bg-BG" w:bidi="bg-BG"/>
              </w:rPr>
              <w:t>-винарския сектор интервенция</w:t>
            </w:r>
            <w:r w:rsidRPr="009F6D1E">
              <w:rPr>
                <w:rFonts w:eastAsia="Times New Roman" w:cs="Times New Roman"/>
                <w:i/>
                <w:lang w:eastAsia="bg-BG" w:bidi="bg-BG"/>
              </w:rPr>
              <w:t xml:space="preserve"> „Инвестиции в екологични съоръжения“, </w:t>
            </w:r>
            <w:r w:rsidRPr="009F6D1E">
              <w:rPr>
                <w:rFonts w:eastAsia="Times New Roman" w:cs="Times New Roman"/>
                <w:iCs/>
                <w:lang w:eastAsia="bg-BG" w:bidi="bg-BG"/>
              </w:rPr>
              <w:t>сред чиито допустими дейности е възможността за изграждане на инсталации за производство на енергия от възобновяеми енергийни източници.</w:t>
            </w:r>
          </w:p>
        </w:tc>
      </w:tr>
      <w:tr w:rsidR="00801A6D" w:rsidRPr="009F6D1E" w14:paraId="09B90D5B" w14:textId="77777777" w:rsidTr="00981F7B">
        <w:tc>
          <w:tcPr>
            <w:tcW w:w="709" w:type="dxa"/>
          </w:tcPr>
          <w:p w14:paraId="4C4F947B" w14:textId="77777777" w:rsidR="00801A6D" w:rsidRPr="009F6D1E" w:rsidRDefault="000D76C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4.</w:t>
            </w:r>
          </w:p>
        </w:tc>
        <w:tc>
          <w:tcPr>
            <w:tcW w:w="4394" w:type="dxa"/>
          </w:tcPr>
          <w:p w14:paraId="240021E1" w14:textId="77777777" w:rsidR="008A5636" w:rsidRPr="009F6D1E" w:rsidRDefault="008A5636" w:rsidP="0084747F">
            <w:pPr>
              <w:widowControl w:val="0"/>
              <w:tabs>
                <w:tab w:val="left" w:pos="90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П.4.4.</w:t>
            </w:r>
            <w:r w:rsidRPr="009F6D1E">
              <w:rPr>
                <w:rFonts w:eastAsia="Times New Roman" w:cs="Times New Roman"/>
                <w:b/>
                <w:bCs/>
                <w:i/>
                <w:iCs/>
                <w:lang w:eastAsia="bg-BG" w:bidi="bg-BG"/>
              </w:rPr>
              <w:t>Потребност от използването на култури и сортове, приспособени към климата</w:t>
            </w:r>
          </w:p>
          <w:p w14:paraId="34207D7F" w14:textId="77777777" w:rsidR="00801A6D" w:rsidRPr="009F6D1E" w:rsidRDefault="00801A6D"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5D7B32EC" w14:textId="77777777" w:rsidR="000D76C9" w:rsidRPr="009F6D1E" w:rsidRDefault="000D76C9"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За осигуряване на принос на Стратегическия план за смекчаване на последиците от изменението на климата се предвижда включването на </w:t>
            </w:r>
            <w:r w:rsidRPr="009F6D1E">
              <w:rPr>
                <w:rFonts w:eastAsia="Calibri" w:cs="Times New Roman"/>
                <w:bCs/>
                <w:i/>
                <w:lang w:eastAsia="en-GB" w:bidi="bg-BG"/>
              </w:rPr>
              <w:t>интервенциите</w:t>
            </w:r>
            <w:r w:rsidRPr="009F6D1E">
              <w:rPr>
                <w:rFonts w:eastAsia="Calibri" w:cs="Times New Roman"/>
                <w:bCs/>
                <w:lang w:eastAsia="en-GB" w:bidi="bg-BG"/>
              </w:rPr>
              <w:t xml:space="preserve">: </w:t>
            </w:r>
          </w:p>
          <w:p w14:paraId="5A5D7401" w14:textId="77777777" w:rsidR="000D76C9" w:rsidRPr="009F6D1E" w:rsidRDefault="00A20AD9" w:rsidP="0084747F">
            <w:pPr>
              <w:spacing w:after="60" w:line="264" w:lineRule="auto"/>
              <w:jc w:val="both"/>
              <w:rPr>
                <w:rFonts w:eastAsia="Calibri" w:cs="Times New Roman"/>
                <w:bCs/>
                <w:i/>
                <w:iCs/>
                <w:lang w:eastAsia="en-GB" w:bidi="bg-BG"/>
              </w:rPr>
            </w:pPr>
            <w:r w:rsidRPr="009F6D1E">
              <w:rPr>
                <w:rFonts w:cs="Times New Roman"/>
                <w:bCs/>
                <w:i/>
                <w:lang w:bidi="bg-BG"/>
              </w:rPr>
              <w:t>Интервенция „</w:t>
            </w:r>
            <w:r w:rsidR="000D76C9" w:rsidRPr="009F6D1E">
              <w:rPr>
                <w:rFonts w:eastAsia="Calibri" w:cs="Times New Roman"/>
                <w:bCs/>
                <w:i/>
                <w:iCs/>
                <w:lang w:eastAsia="en-GB" w:bidi="bg-BG"/>
              </w:rPr>
              <w:t xml:space="preserve">Насърчаване използването на култури и сортове, подходящи за отглеждане при специфични климатични условия,  чл. </w:t>
            </w:r>
            <w:r w:rsidR="009D66C7" w:rsidRPr="009F6D1E">
              <w:rPr>
                <w:rFonts w:eastAsia="Calibri" w:cs="Times New Roman"/>
                <w:bCs/>
                <w:i/>
                <w:iCs/>
                <w:lang w:eastAsia="en-GB" w:bidi="bg-BG"/>
              </w:rPr>
              <w:t>70</w:t>
            </w:r>
            <w:r w:rsidR="000D76C9" w:rsidRPr="009F6D1E">
              <w:rPr>
                <w:rFonts w:eastAsia="Calibri" w:cs="Times New Roman"/>
                <w:bCs/>
                <w:i/>
                <w:iCs/>
                <w:lang w:eastAsia="en-GB" w:bidi="bg-BG"/>
              </w:rPr>
              <w:t xml:space="preserve"> (ЕЗФРСР)</w:t>
            </w:r>
            <w:r w:rsidRPr="009F6D1E">
              <w:rPr>
                <w:rFonts w:eastAsia="Calibri" w:cs="Times New Roman"/>
                <w:bCs/>
                <w:i/>
                <w:iCs/>
                <w:lang w:eastAsia="en-GB" w:bidi="bg-BG"/>
              </w:rPr>
              <w:t>“</w:t>
            </w:r>
          </w:p>
          <w:p w14:paraId="4E383642" w14:textId="77777777" w:rsidR="009D66C7" w:rsidRPr="009F6D1E" w:rsidRDefault="009D66C7" w:rsidP="0084747F">
            <w:pPr>
              <w:spacing w:after="60" w:line="264" w:lineRule="auto"/>
              <w:jc w:val="both"/>
              <w:rPr>
                <w:rFonts w:eastAsia="Calibri" w:cs="Times New Roman"/>
                <w:bCs/>
                <w:i/>
                <w:iCs/>
                <w:lang w:eastAsia="en-GB" w:bidi="bg-BG"/>
              </w:rPr>
            </w:pPr>
            <w:r w:rsidRPr="009F6D1E">
              <w:rPr>
                <w:rFonts w:eastAsia="Calibri" w:cs="Times New Roman"/>
                <w:bCs/>
                <w:i/>
                <w:lang w:eastAsia="en-GB" w:bidi="bg-BG"/>
              </w:rPr>
              <w:t>Интервенция</w:t>
            </w:r>
            <w:r w:rsidRPr="009F6D1E">
              <w:rPr>
                <w:rFonts w:eastAsia="Calibri" w:cs="Times New Roman"/>
                <w:bCs/>
                <w:i/>
                <w:iCs/>
                <w:lang w:eastAsia="en-GB" w:bidi="bg-BG"/>
              </w:rPr>
              <w:t xml:space="preserve"> „Използване на устойчиви практики и сортове, отглеждани при специфични условия“ – член 70.</w:t>
            </w:r>
          </w:p>
          <w:p w14:paraId="5D867165" w14:textId="77777777" w:rsidR="00801A6D" w:rsidRPr="009F6D1E" w:rsidRDefault="009D66C7" w:rsidP="0084747F">
            <w:pPr>
              <w:autoSpaceDE w:val="0"/>
              <w:autoSpaceDN w:val="0"/>
              <w:adjustRightInd w:val="0"/>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„Насърчаване намалението на употребата на продукти за растителна защита и торове</w:t>
            </w:r>
            <w:r w:rsidRPr="009F6D1E">
              <w:rPr>
                <w:rFonts w:cs="Times New Roman"/>
              </w:rPr>
              <w:t xml:space="preserve"> </w:t>
            </w:r>
            <w:r w:rsidRPr="009F6D1E">
              <w:rPr>
                <w:rFonts w:eastAsia="Times New Roman" w:cs="Times New Roman"/>
                <w:i/>
                <w:lang w:eastAsia="bg-BG" w:bidi="bg-BG"/>
              </w:rPr>
              <w:t>през контрол в краен продукт“ – член 70:</w:t>
            </w:r>
          </w:p>
        </w:tc>
      </w:tr>
      <w:tr w:rsidR="00C75BB0" w:rsidRPr="009F6D1E" w14:paraId="54D6EB0D" w14:textId="77777777" w:rsidTr="00981F7B">
        <w:tc>
          <w:tcPr>
            <w:tcW w:w="709" w:type="dxa"/>
          </w:tcPr>
          <w:p w14:paraId="1B42117C" w14:textId="77777777" w:rsidR="00C75BB0" w:rsidRPr="009F6D1E" w:rsidRDefault="00C75BB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5.</w:t>
            </w:r>
          </w:p>
        </w:tc>
        <w:tc>
          <w:tcPr>
            <w:tcW w:w="4394" w:type="dxa"/>
          </w:tcPr>
          <w:p w14:paraId="50A58914" w14:textId="77777777" w:rsidR="008A5636" w:rsidRPr="009F6D1E" w:rsidRDefault="008A5636" w:rsidP="0084747F">
            <w:pPr>
              <w:widowControl w:val="0"/>
              <w:tabs>
                <w:tab w:val="left" w:pos="90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П.4.5.</w:t>
            </w:r>
            <w:r w:rsidRPr="009F6D1E">
              <w:rPr>
                <w:rFonts w:eastAsia="Times New Roman" w:cs="Times New Roman"/>
                <w:b/>
                <w:bCs/>
                <w:i/>
                <w:iCs/>
                <w:lang w:eastAsia="bg-BG" w:bidi="bg-BG"/>
              </w:rPr>
              <w:t xml:space="preserve"> Потребност от прилагане на нискоинтензивни земеделски практики като </w:t>
            </w:r>
            <w:proofErr w:type="spellStart"/>
            <w:r w:rsidRPr="009F6D1E">
              <w:rPr>
                <w:rFonts w:eastAsia="Times New Roman" w:cs="Times New Roman"/>
                <w:b/>
                <w:bCs/>
                <w:i/>
                <w:iCs/>
                <w:lang w:eastAsia="bg-BG" w:bidi="bg-BG"/>
              </w:rPr>
              <w:t>консервационно</w:t>
            </w:r>
            <w:proofErr w:type="spellEnd"/>
            <w:r w:rsidRPr="009F6D1E">
              <w:rPr>
                <w:rFonts w:eastAsia="Times New Roman" w:cs="Times New Roman"/>
                <w:b/>
                <w:bCs/>
                <w:i/>
                <w:iCs/>
                <w:lang w:eastAsia="bg-BG" w:bidi="bg-BG"/>
              </w:rPr>
              <w:t>, интегрирано и биологично земеделие</w:t>
            </w:r>
          </w:p>
        </w:tc>
        <w:tc>
          <w:tcPr>
            <w:tcW w:w="4530" w:type="dxa"/>
          </w:tcPr>
          <w:p w14:paraId="7988A598" w14:textId="77777777" w:rsidR="00FE7DAD" w:rsidRPr="009F6D1E" w:rsidRDefault="009D66C7"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Интервенциите, насочени към тази потребност са:</w:t>
            </w:r>
          </w:p>
          <w:p w14:paraId="0A45B68D" w14:textId="77777777" w:rsidR="00FE7DAD" w:rsidRPr="009F6D1E" w:rsidRDefault="00A20AD9" w:rsidP="0084747F">
            <w:pPr>
              <w:spacing w:after="60" w:line="264" w:lineRule="auto"/>
              <w:jc w:val="both"/>
              <w:rPr>
                <w:rFonts w:eastAsia="Calibri" w:cs="Times New Roman"/>
                <w:bCs/>
                <w:lang w:eastAsia="en-GB" w:bidi="bg-BG"/>
              </w:rPr>
            </w:pPr>
            <w:r w:rsidRPr="009F6D1E">
              <w:rPr>
                <w:rFonts w:cs="Times New Roman"/>
                <w:bCs/>
                <w:i/>
                <w:lang w:bidi="bg-BG"/>
              </w:rPr>
              <w:t>Интервенция</w:t>
            </w:r>
            <w:r w:rsidR="009D66C7" w:rsidRPr="009F6D1E">
              <w:rPr>
                <w:rFonts w:eastAsia="Calibri" w:cs="Times New Roman"/>
                <w:bCs/>
                <w:lang w:eastAsia="en-GB" w:bidi="bg-BG"/>
              </w:rPr>
              <w:t xml:space="preserve"> „</w:t>
            </w:r>
            <w:r w:rsidR="009D66C7" w:rsidRPr="009F6D1E">
              <w:rPr>
                <w:rFonts w:eastAsia="Calibri" w:cs="Times New Roman"/>
                <w:bCs/>
                <w:i/>
                <w:iCs/>
                <w:lang w:eastAsia="en-GB" w:bidi="bg-BG"/>
              </w:rPr>
              <w:t>Насърчаване използването на култури и сортове, устойчиви към климатичните условия</w:t>
            </w:r>
            <w:r w:rsidR="009D66C7" w:rsidRPr="009F6D1E">
              <w:rPr>
                <w:rFonts w:eastAsia="Calibri" w:cs="Times New Roman"/>
                <w:bCs/>
                <w:lang w:eastAsia="en-GB" w:bidi="bg-BG"/>
              </w:rPr>
              <w:t xml:space="preserve"> член 70: Въвеждането на устойчиви култури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w:t>
            </w:r>
          </w:p>
          <w:p w14:paraId="2F78FC4A" w14:textId="77777777" w:rsidR="00FE7DAD" w:rsidRPr="009F6D1E" w:rsidRDefault="00FE7DAD" w:rsidP="0084747F">
            <w:pPr>
              <w:spacing w:after="60" w:line="264" w:lineRule="auto"/>
              <w:jc w:val="both"/>
              <w:rPr>
                <w:rFonts w:eastAsia="Calibri" w:cs="Times New Roman"/>
                <w:bCs/>
                <w:lang w:eastAsia="en-GB" w:bidi="bg-BG"/>
              </w:rPr>
            </w:pPr>
            <w:r w:rsidRPr="009F6D1E">
              <w:rPr>
                <w:rFonts w:eastAsia="Calibri" w:cs="Times New Roman"/>
                <w:bCs/>
                <w:i/>
                <w:lang w:eastAsia="en-GB" w:bidi="bg-BG"/>
              </w:rPr>
              <w:t>Интервенция</w:t>
            </w:r>
            <w:r w:rsidRPr="009F6D1E">
              <w:rPr>
                <w:rFonts w:eastAsia="Calibri" w:cs="Times New Roman"/>
                <w:bCs/>
                <w:lang w:eastAsia="en-GB" w:bidi="bg-BG"/>
              </w:rPr>
              <w:t xml:space="preserve"> "</w:t>
            </w:r>
            <w:r w:rsidRPr="009F6D1E">
              <w:rPr>
                <w:rFonts w:eastAsia="Calibri" w:cs="Times New Roman"/>
                <w:bCs/>
                <w:i/>
                <w:iCs/>
                <w:lang w:eastAsia="en-GB" w:bidi="bg-BG"/>
              </w:rPr>
              <w:t>Биологично производство</w:t>
            </w:r>
            <w:r w:rsidRPr="009F6D1E">
              <w:rPr>
                <w:rFonts w:eastAsia="Calibri" w:cs="Times New Roman"/>
                <w:bCs/>
                <w:lang w:eastAsia="en-GB" w:bidi="bg-BG"/>
              </w:rPr>
              <w:t>" – член 70: Чрез прилагане на интервенцията се цели да се подпомогнат земеделските стопани, които искат да прилагат методите на биологичното производство в съответствие с изискванията на Регламент (ЕС) 2018/848 относно биологичното производство и етикетирането на биологични продукти в стопанствата, като се покрият разликите в допълнителните разходи и пропуснатите приходи при биологичния начин на отглеждане на земеделската продукция, сравнени с конвенционалните методи на производство.</w:t>
            </w:r>
          </w:p>
          <w:p w14:paraId="4F737E25" w14:textId="77777777" w:rsidR="00FE7DAD" w:rsidRPr="009F6D1E" w:rsidRDefault="00FE7DAD" w:rsidP="0084747F">
            <w:pPr>
              <w:spacing w:after="60" w:line="264" w:lineRule="auto"/>
              <w:jc w:val="both"/>
              <w:rPr>
                <w:rFonts w:eastAsia="Calibri" w:cs="Times New Roman"/>
                <w:bCs/>
                <w:lang w:eastAsia="en-GB" w:bidi="bg-BG"/>
              </w:rPr>
            </w:pPr>
            <w:r w:rsidRPr="009F6D1E">
              <w:rPr>
                <w:rFonts w:eastAsia="Calibri" w:cs="Times New Roman"/>
                <w:bCs/>
                <w:i/>
                <w:lang w:eastAsia="en-GB" w:bidi="bg-BG"/>
              </w:rPr>
              <w:t>Интервенция</w:t>
            </w:r>
            <w:r w:rsidRPr="009F6D1E">
              <w:rPr>
                <w:rFonts w:eastAsia="Calibri" w:cs="Times New Roman"/>
                <w:bCs/>
                <w:lang w:eastAsia="en-GB" w:bidi="bg-BG"/>
              </w:rPr>
              <w:t xml:space="preserve"> „</w:t>
            </w:r>
            <w:r w:rsidRPr="009F6D1E">
              <w:rPr>
                <w:rFonts w:eastAsia="Calibri" w:cs="Times New Roman"/>
                <w:bCs/>
                <w:i/>
                <w:iCs/>
                <w:lang w:eastAsia="en-GB" w:bidi="bg-BG"/>
              </w:rPr>
              <w:t>Създаване и възстановяване на екологична инфраструктура“</w:t>
            </w:r>
            <w:r w:rsidRPr="009F6D1E">
              <w:rPr>
                <w:rFonts w:eastAsia="Calibri" w:cs="Times New Roman"/>
                <w:bCs/>
                <w:lang w:eastAsia="en-GB" w:bidi="bg-BG"/>
              </w:rPr>
              <w:t xml:space="preserve"> – член 70.</w:t>
            </w:r>
          </w:p>
          <w:p w14:paraId="1CBB346D" w14:textId="2BAF0596" w:rsidR="00FE7DAD" w:rsidRPr="009F6D1E" w:rsidRDefault="00FE7DAD"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За ефективно адресиране на тази потребност, ще бъдат прилагани дейности по придобиване на знания чрез консултации, обмен на знания и иновации по </w:t>
            </w:r>
            <w:r w:rsidRPr="009F6D1E">
              <w:rPr>
                <w:rFonts w:eastAsia="Calibri" w:cs="Times New Roman"/>
                <w:bCs/>
                <w:i/>
                <w:lang w:eastAsia="en-GB" w:bidi="bg-BG"/>
              </w:rPr>
              <w:t>интервенции</w:t>
            </w:r>
            <w:r w:rsidRPr="009F6D1E">
              <w:rPr>
                <w:rFonts w:eastAsia="Calibri" w:cs="Times New Roman"/>
                <w:bCs/>
                <w:lang w:eastAsia="en-GB" w:bidi="bg-BG"/>
              </w:rPr>
              <w:t xml:space="preserve"> „</w:t>
            </w:r>
            <w:r w:rsidRPr="009F6D1E">
              <w:rPr>
                <w:rFonts w:eastAsia="Calibri" w:cs="Times New Roman"/>
                <w:bCs/>
                <w:i/>
                <w:iCs/>
                <w:lang w:eastAsia="en-GB" w:bidi="bg-BG"/>
              </w:rPr>
              <w:t>Консултантски услуги и повишаване на консултантския капацитет“</w:t>
            </w:r>
            <w:r w:rsidRPr="009F6D1E">
              <w:rPr>
                <w:rFonts w:eastAsia="Calibri" w:cs="Times New Roman"/>
                <w:bCs/>
                <w:lang w:eastAsia="en-GB" w:bidi="bg-BG"/>
              </w:rPr>
              <w:t xml:space="preserve"> и „</w:t>
            </w:r>
            <w:r w:rsidRPr="009F6D1E">
              <w:rPr>
                <w:rFonts w:eastAsia="Calibri" w:cs="Times New Roman"/>
                <w:bCs/>
                <w:i/>
                <w:iCs/>
                <w:lang w:eastAsia="en-GB" w:bidi="bg-BG"/>
              </w:rPr>
              <w:t>Професио</w:t>
            </w:r>
            <w:r w:rsidR="006E0FF0">
              <w:rPr>
                <w:rFonts w:eastAsia="Calibri" w:cs="Times New Roman"/>
                <w:bCs/>
                <w:i/>
                <w:iCs/>
                <w:lang w:eastAsia="en-GB" w:bidi="bg-BG"/>
              </w:rPr>
              <w:t>н</w:t>
            </w:r>
            <w:r w:rsidRPr="009F6D1E">
              <w:rPr>
                <w:rFonts w:eastAsia="Calibri" w:cs="Times New Roman"/>
                <w:bCs/>
                <w:i/>
                <w:iCs/>
                <w:lang w:eastAsia="en-GB" w:bidi="bg-BG"/>
              </w:rPr>
              <w:t>ално обучение и придобиване на знания</w:t>
            </w:r>
            <w:r w:rsidR="00612CF7" w:rsidRPr="009F6D1E">
              <w:rPr>
                <w:rFonts w:eastAsia="Calibri" w:cs="Times New Roman"/>
                <w:bCs/>
                <w:i/>
                <w:iCs/>
                <w:lang w:eastAsia="en-GB" w:bidi="bg-BG"/>
              </w:rPr>
              <w:t>“</w:t>
            </w:r>
            <w:r w:rsidRPr="009F6D1E">
              <w:rPr>
                <w:rFonts w:eastAsia="Calibri" w:cs="Times New Roman"/>
                <w:bCs/>
                <w:lang w:eastAsia="en-GB" w:bidi="bg-BG"/>
              </w:rPr>
              <w:t>.</w:t>
            </w:r>
          </w:p>
        </w:tc>
      </w:tr>
      <w:tr w:rsidR="00801A6D" w:rsidRPr="009F6D1E" w14:paraId="1E17C940" w14:textId="77777777" w:rsidTr="00981F7B">
        <w:tc>
          <w:tcPr>
            <w:tcW w:w="709" w:type="dxa"/>
          </w:tcPr>
          <w:p w14:paraId="54042711" w14:textId="77777777" w:rsidR="00801A6D" w:rsidRPr="009F6D1E" w:rsidRDefault="00C75BB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6.</w:t>
            </w:r>
          </w:p>
        </w:tc>
        <w:tc>
          <w:tcPr>
            <w:tcW w:w="4394" w:type="dxa"/>
          </w:tcPr>
          <w:p w14:paraId="3E5B8CBF" w14:textId="77777777" w:rsidR="008A5636" w:rsidRPr="009F6D1E" w:rsidRDefault="008A5636" w:rsidP="0084747F">
            <w:pPr>
              <w:widowControl w:val="0"/>
              <w:tabs>
                <w:tab w:val="left" w:pos="90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П.4.6.</w:t>
            </w:r>
            <w:r w:rsidRPr="009F6D1E">
              <w:rPr>
                <w:rFonts w:eastAsia="Times New Roman" w:cs="Times New Roman"/>
                <w:b/>
                <w:bCs/>
                <w:i/>
                <w:iCs/>
                <w:lang w:eastAsia="bg-BG" w:bidi="bg-BG"/>
              </w:rPr>
              <w:t>Увеличаване на производството на биомаса с животински произход</w:t>
            </w:r>
          </w:p>
        </w:tc>
        <w:tc>
          <w:tcPr>
            <w:tcW w:w="4530" w:type="dxa"/>
          </w:tcPr>
          <w:p w14:paraId="59333F7F" w14:textId="72C26836" w:rsidR="00801A6D" w:rsidRPr="009F6D1E" w:rsidRDefault="00612CF7" w:rsidP="0084747F">
            <w:pPr>
              <w:spacing w:after="60" w:line="264" w:lineRule="auto"/>
              <w:jc w:val="both"/>
              <w:rPr>
                <w:rFonts w:eastAsia="Times New Roman" w:cs="Times New Roman"/>
                <w:i/>
                <w:lang w:eastAsia="bg-BG" w:bidi="bg-BG"/>
              </w:rPr>
            </w:pPr>
            <w:r w:rsidRPr="009F6D1E">
              <w:rPr>
                <w:rFonts w:eastAsia="Times New Roman" w:cs="Times New Roman"/>
                <w:iCs/>
                <w:lang w:eastAsia="bg-BG" w:bidi="bg-BG"/>
              </w:rPr>
              <w:t xml:space="preserve">За ефективно адресиране на тази потребност, ще бъдат прилагани дейности по придобиване на знания чрез консултации, обмен на знания и иновации по </w:t>
            </w:r>
            <w:r w:rsidRPr="009F6D1E">
              <w:rPr>
                <w:rFonts w:eastAsia="Times New Roman" w:cs="Times New Roman"/>
                <w:i/>
                <w:iCs/>
                <w:lang w:eastAsia="bg-BG" w:bidi="bg-BG"/>
              </w:rPr>
              <w:t>интервенции</w:t>
            </w:r>
            <w:r w:rsidRPr="009F6D1E">
              <w:rPr>
                <w:rFonts w:eastAsia="Times New Roman" w:cs="Times New Roman"/>
                <w:i/>
                <w:lang w:eastAsia="bg-BG" w:bidi="bg-BG"/>
              </w:rPr>
              <w:t xml:space="preserve"> „Консултантски услуги и повишаване на консултантския капацитет“ и „Професио</w:t>
            </w:r>
            <w:r w:rsidR="006E0FF0">
              <w:rPr>
                <w:rFonts w:eastAsia="Times New Roman" w:cs="Times New Roman"/>
                <w:i/>
                <w:lang w:eastAsia="bg-BG" w:bidi="bg-BG"/>
              </w:rPr>
              <w:t>н</w:t>
            </w:r>
            <w:r w:rsidRPr="009F6D1E">
              <w:rPr>
                <w:rFonts w:eastAsia="Times New Roman" w:cs="Times New Roman"/>
                <w:i/>
                <w:lang w:eastAsia="bg-BG" w:bidi="bg-BG"/>
              </w:rPr>
              <w:t>ално обучение и придобиване на знания“.</w:t>
            </w:r>
          </w:p>
        </w:tc>
      </w:tr>
      <w:tr w:rsidR="008A5636" w:rsidRPr="009F6D1E" w14:paraId="480CA8D5" w14:textId="77777777" w:rsidTr="00981F7B">
        <w:tc>
          <w:tcPr>
            <w:tcW w:w="709" w:type="dxa"/>
          </w:tcPr>
          <w:p w14:paraId="11905520" w14:textId="77777777" w:rsidR="008A5636" w:rsidRPr="009F6D1E" w:rsidRDefault="008A563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7.</w:t>
            </w:r>
          </w:p>
        </w:tc>
        <w:tc>
          <w:tcPr>
            <w:tcW w:w="4394" w:type="dxa"/>
          </w:tcPr>
          <w:p w14:paraId="691E5AEE" w14:textId="77777777" w:rsidR="008A5636" w:rsidRPr="009F6D1E" w:rsidRDefault="008A5636" w:rsidP="0084747F">
            <w:pPr>
              <w:widowControl w:val="0"/>
              <w:tabs>
                <w:tab w:val="left" w:pos="90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П.4.7.</w:t>
            </w:r>
            <w:r w:rsidRPr="009F6D1E">
              <w:rPr>
                <w:rFonts w:eastAsia="Times New Roman" w:cs="Times New Roman"/>
                <w:b/>
                <w:bCs/>
                <w:i/>
                <w:iCs/>
                <w:lang w:eastAsia="bg-BG" w:bidi="bg-BG"/>
              </w:rPr>
              <w:t>Противодействие с болестите по животните и борба с патогенните заболявания</w:t>
            </w:r>
          </w:p>
        </w:tc>
        <w:tc>
          <w:tcPr>
            <w:tcW w:w="4530" w:type="dxa"/>
          </w:tcPr>
          <w:p w14:paraId="4C93400A" w14:textId="77777777" w:rsidR="008A5636" w:rsidRPr="009F6D1E" w:rsidRDefault="00612CF7" w:rsidP="0084747F">
            <w:pPr>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„Хуманно отношение към животните и антимикробна резистентност“ – член 70</w:t>
            </w:r>
          </w:p>
        </w:tc>
      </w:tr>
      <w:tr w:rsidR="008A5636" w:rsidRPr="009F6D1E" w14:paraId="16C9C021" w14:textId="77777777" w:rsidTr="00981F7B">
        <w:tc>
          <w:tcPr>
            <w:tcW w:w="709" w:type="dxa"/>
          </w:tcPr>
          <w:p w14:paraId="28B5CE1E" w14:textId="77777777" w:rsidR="008A5636" w:rsidRPr="009F6D1E" w:rsidRDefault="008A563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8.</w:t>
            </w:r>
          </w:p>
        </w:tc>
        <w:tc>
          <w:tcPr>
            <w:tcW w:w="4394" w:type="dxa"/>
          </w:tcPr>
          <w:p w14:paraId="61B12D76" w14:textId="77777777" w:rsidR="008A5636" w:rsidRPr="009F6D1E" w:rsidRDefault="008A5636" w:rsidP="0084747F">
            <w:pPr>
              <w:widowControl w:val="0"/>
              <w:tabs>
                <w:tab w:val="left" w:pos="90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 xml:space="preserve">П.4.8. </w:t>
            </w:r>
            <w:r w:rsidRPr="009F6D1E">
              <w:rPr>
                <w:rFonts w:eastAsia="Times New Roman" w:cs="Times New Roman"/>
                <w:b/>
                <w:bCs/>
                <w:i/>
                <w:iCs/>
                <w:lang w:eastAsia="bg-BG" w:bidi="bg-BG"/>
              </w:rPr>
              <w:t>Устойчиво управление на горските територии, запасите от дървесина и въглерод в горската</w:t>
            </w:r>
            <w:r w:rsidR="00A20AD9"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биомаса, за адаптиране към промените на климата.</w:t>
            </w:r>
          </w:p>
        </w:tc>
        <w:tc>
          <w:tcPr>
            <w:tcW w:w="4530" w:type="dxa"/>
          </w:tcPr>
          <w:p w14:paraId="6529FC87" w14:textId="77777777" w:rsidR="008A5636" w:rsidRPr="009F6D1E" w:rsidRDefault="00612CF7" w:rsidP="0084747F">
            <w:pPr>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„Намаляване загубата на биологично разнообразие, опазване на горските местообитания и намаляване на незаконните дейности в горските територии“ – член 73.</w:t>
            </w:r>
          </w:p>
        </w:tc>
      </w:tr>
      <w:tr w:rsidR="008A5636" w:rsidRPr="009F6D1E" w14:paraId="62725EB9" w14:textId="77777777" w:rsidTr="00981F7B">
        <w:tc>
          <w:tcPr>
            <w:tcW w:w="709" w:type="dxa"/>
          </w:tcPr>
          <w:p w14:paraId="54DC79D8" w14:textId="77777777" w:rsidR="008A5636" w:rsidRPr="009F6D1E" w:rsidRDefault="008A563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9.</w:t>
            </w:r>
          </w:p>
        </w:tc>
        <w:tc>
          <w:tcPr>
            <w:tcW w:w="4394" w:type="dxa"/>
          </w:tcPr>
          <w:p w14:paraId="293B34BA" w14:textId="77777777" w:rsidR="008A5636" w:rsidRPr="009F6D1E" w:rsidRDefault="008A5636" w:rsidP="0084747F">
            <w:pPr>
              <w:widowControl w:val="0"/>
              <w:tabs>
                <w:tab w:val="left" w:pos="90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 xml:space="preserve">П.4.9. </w:t>
            </w:r>
            <w:r w:rsidRPr="009F6D1E">
              <w:rPr>
                <w:rFonts w:eastAsia="Times New Roman" w:cs="Times New Roman"/>
                <w:b/>
                <w:bCs/>
                <w:i/>
                <w:iCs/>
                <w:lang w:eastAsia="bg-BG" w:bidi="bg-BG"/>
              </w:rPr>
              <w:t>Устойчиво управление на горите, включително увеличаване на залесените площи в страната,</w:t>
            </w:r>
            <w:r w:rsidR="00341C37" w:rsidRPr="009F6D1E">
              <w:rPr>
                <w:rFonts w:eastAsia="Times New Roman" w:cs="Times New Roman"/>
                <w:b/>
                <w:bCs/>
                <w:i/>
                <w:iCs/>
                <w:lang w:eastAsia="bg-BG" w:bidi="bg-BG"/>
              </w:rPr>
              <w:t xml:space="preserve"> </w:t>
            </w:r>
            <w:r w:rsidRPr="009F6D1E">
              <w:rPr>
                <w:rFonts w:eastAsia="Times New Roman" w:cs="Times New Roman"/>
                <w:b/>
                <w:bCs/>
                <w:i/>
                <w:iCs/>
                <w:lang w:eastAsia="bg-BG" w:bidi="bg-BG"/>
              </w:rPr>
              <w:t>опазване на горските местообитания, биоразнообразието и екосистемните услуги от горите</w:t>
            </w:r>
          </w:p>
        </w:tc>
        <w:tc>
          <w:tcPr>
            <w:tcW w:w="4530" w:type="dxa"/>
          </w:tcPr>
          <w:p w14:paraId="5F629491" w14:textId="77777777" w:rsidR="00A20AD9" w:rsidRPr="009F6D1E" w:rsidRDefault="002F117D"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Интервенциите</w:t>
            </w:r>
            <w:r w:rsidRPr="009F6D1E">
              <w:rPr>
                <w:rFonts w:eastAsia="Times New Roman" w:cs="Times New Roman"/>
                <w:iCs/>
                <w:lang w:eastAsia="bg-BG" w:bidi="bg-BG"/>
              </w:rPr>
              <w:t xml:space="preserve">, насочени към удовлетворяване на потребността са: </w:t>
            </w:r>
            <w:r w:rsidR="00A20AD9" w:rsidRPr="009F6D1E">
              <w:rPr>
                <w:rFonts w:cs="Times New Roman"/>
                <w:bCs/>
                <w:i/>
                <w:lang w:bidi="bg-BG"/>
              </w:rPr>
              <w:t xml:space="preserve">Интервенция </w:t>
            </w:r>
            <w:r w:rsidRPr="009F6D1E">
              <w:rPr>
                <w:rFonts w:eastAsia="Times New Roman" w:cs="Times New Roman"/>
                <w:iCs/>
                <w:lang w:eastAsia="bg-BG" w:bidi="bg-BG"/>
              </w:rPr>
              <w:t xml:space="preserve">„Горско екологични дейности в горите― – член 70: Тази интервенция има за цели да се намали традиционното горскостопанско въздействие върху горите, чрез промяна в традиционните </w:t>
            </w:r>
            <w:proofErr w:type="spellStart"/>
            <w:r w:rsidRPr="009F6D1E">
              <w:rPr>
                <w:rFonts w:eastAsia="Times New Roman" w:cs="Times New Roman"/>
                <w:iCs/>
                <w:lang w:eastAsia="bg-BG" w:bidi="bg-BG"/>
              </w:rPr>
              <w:t>дървопроизводствени</w:t>
            </w:r>
            <w:proofErr w:type="spellEnd"/>
            <w:r w:rsidRPr="009F6D1E">
              <w:rPr>
                <w:rFonts w:eastAsia="Times New Roman" w:cs="Times New Roman"/>
                <w:iCs/>
                <w:lang w:eastAsia="bg-BG" w:bidi="bg-BG"/>
              </w:rPr>
              <w:t xml:space="preserve">, лесовъдски цели; да се стимулира опазването естествения им характер, чрез подпомагане на съхраняването на естествени, природосъобразни видов състав и структура на насажденията и да се подобрят условията за поддържане и възстановяване на биологичното разнообразие, чрез създаване на необходимите за това екологични условия. </w:t>
            </w:r>
            <w:r w:rsidR="00A20AD9" w:rsidRPr="009F6D1E">
              <w:rPr>
                <w:rFonts w:cs="Times New Roman"/>
                <w:bCs/>
                <w:i/>
                <w:lang w:bidi="bg-BG"/>
              </w:rPr>
              <w:t xml:space="preserve">Интервенция </w:t>
            </w:r>
            <w:r w:rsidRPr="009F6D1E">
              <w:rPr>
                <w:rFonts w:eastAsia="Times New Roman" w:cs="Times New Roman"/>
                <w:iCs/>
                <w:lang w:eastAsia="bg-BG" w:bidi="bg-BG"/>
              </w:rPr>
              <w:t>„Залесяване и презалесяване</w:t>
            </w:r>
            <w:r w:rsidR="00A20AD9" w:rsidRPr="009F6D1E">
              <w:rPr>
                <w:rFonts w:eastAsia="Times New Roman" w:cs="Times New Roman"/>
                <w:iCs/>
                <w:lang w:eastAsia="bg-BG" w:bidi="bg-BG"/>
              </w:rPr>
              <w:t>“</w:t>
            </w:r>
            <w:r w:rsidRPr="009F6D1E">
              <w:rPr>
                <w:rFonts w:eastAsia="Times New Roman" w:cs="Times New Roman"/>
                <w:iCs/>
                <w:lang w:eastAsia="bg-BG" w:bidi="bg-BG"/>
              </w:rPr>
              <w:t xml:space="preserve"> – член 73: Интервенцията ще подпомага залесяване на земеделски и неземеделски земи, както и поддръжка на новосъздадените култури. Поддръжката на новосъздадените култури включва </w:t>
            </w:r>
            <w:r w:rsidRPr="009F6D1E">
              <w:rPr>
                <w:rFonts w:eastAsia="Times New Roman" w:cs="Times New Roman"/>
                <w:iCs/>
                <w:lang w:eastAsia="bg-BG" w:bidi="bg-BG"/>
              </w:rPr>
              <w:lastRenderedPageBreak/>
              <w:t xml:space="preserve">отглеждане до петата година след създаването и попълване до третата година след създаването. Ще се подпомага и възстановяването на пострадали от горски пожари, природни бедствия и катастрофични събития гори. </w:t>
            </w:r>
          </w:p>
          <w:p w14:paraId="63EA6613" w14:textId="77777777" w:rsidR="00A20AD9" w:rsidRPr="009F6D1E" w:rsidRDefault="00A20AD9" w:rsidP="0084747F">
            <w:pPr>
              <w:spacing w:after="60" w:line="264" w:lineRule="auto"/>
              <w:jc w:val="both"/>
              <w:rPr>
                <w:rFonts w:eastAsia="Times New Roman" w:cs="Times New Roman"/>
                <w:iCs/>
                <w:lang w:eastAsia="bg-BG" w:bidi="bg-BG"/>
              </w:rPr>
            </w:pPr>
            <w:r w:rsidRPr="009F6D1E">
              <w:rPr>
                <w:rFonts w:cs="Times New Roman"/>
                <w:bCs/>
                <w:i/>
                <w:lang w:bidi="bg-BG"/>
              </w:rPr>
              <w:t xml:space="preserve">Интервенция </w:t>
            </w:r>
            <w:r w:rsidR="002F117D" w:rsidRPr="009F6D1E">
              <w:rPr>
                <w:rFonts w:eastAsia="Times New Roman" w:cs="Times New Roman"/>
                <w:iCs/>
                <w:lang w:eastAsia="bg-BG" w:bidi="bg-BG"/>
              </w:rPr>
              <w:t>„</w:t>
            </w:r>
            <w:r w:rsidR="002F117D" w:rsidRPr="009F6D1E">
              <w:rPr>
                <w:rFonts w:eastAsia="Times New Roman" w:cs="Times New Roman"/>
                <w:i/>
                <w:iCs/>
                <w:lang w:eastAsia="bg-BG" w:bidi="bg-BG"/>
              </w:rPr>
              <w:t>Предотвратяване на щети по горите от горски пожари, природни б</w:t>
            </w:r>
            <w:r w:rsidRPr="009F6D1E">
              <w:rPr>
                <w:rFonts w:eastAsia="Times New Roman" w:cs="Times New Roman"/>
                <w:i/>
                <w:iCs/>
                <w:lang w:eastAsia="bg-BG" w:bidi="bg-BG"/>
              </w:rPr>
              <w:t>едствия и катастрофични събития“</w:t>
            </w:r>
            <w:r w:rsidR="002F117D" w:rsidRPr="009F6D1E">
              <w:rPr>
                <w:rFonts w:eastAsia="Times New Roman" w:cs="Times New Roman"/>
                <w:i/>
                <w:iCs/>
                <w:lang w:eastAsia="bg-BG" w:bidi="bg-BG"/>
              </w:rPr>
              <w:t xml:space="preserve"> – член 73</w:t>
            </w:r>
            <w:r w:rsidR="002F117D" w:rsidRPr="009F6D1E">
              <w:rPr>
                <w:rFonts w:eastAsia="Times New Roman" w:cs="Times New Roman"/>
                <w:iCs/>
                <w:lang w:eastAsia="bg-BG" w:bidi="bg-BG"/>
              </w:rPr>
              <w:t>: Предвижда се по тази интервенция да се подпомогне създаване, подобряване и поддръжка на противопожарна инфраструктура – бариерни прегради,</w:t>
            </w:r>
            <w:r w:rsidR="00FA77F9" w:rsidRPr="009F6D1E">
              <w:rPr>
                <w:rFonts w:cs="Times New Roman"/>
              </w:rPr>
              <w:t xml:space="preserve"> </w:t>
            </w:r>
            <w:proofErr w:type="spellStart"/>
            <w:r w:rsidR="00FA77F9" w:rsidRPr="009F6D1E">
              <w:rPr>
                <w:rFonts w:eastAsia="Times New Roman" w:cs="Times New Roman"/>
                <w:iCs/>
                <w:lang w:eastAsia="bg-BG" w:bidi="bg-BG"/>
              </w:rPr>
              <w:t>лесокултурни</w:t>
            </w:r>
            <w:proofErr w:type="spellEnd"/>
            <w:r w:rsidR="00FA77F9" w:rsidRPr="009F6D1E">
              <w:rPr>
                <w:rFonts w:eastAsia="Times New Roman" w:cs="Times New Roman"/>
                <w:iCs/>
                <w:lang w:eastAsia="bg-BG" w:bidi="bg-BG"/>
              </w:rPr>
              <w:t xml:space="preserve"> прегради, противопожарни просеки, </w:t>
            </w:r>
            <w:proofErr w:type="spellStart"/>
            <w:r w:rsidR="00FA77F9" w:rsidRPr="009F6D1E">
              <w:rPr>
                <w:rFonts w:eastAsia="Times New Roman" w:cs="Times New Roman"/>
                <w:iCs/>
                <w:lang w:eastAsia="bg-BG" w:bidi="bg-BG"/>
              </w:rPr>
              <w:t>минерализовани</w:t>
            </w:r>
            <w:proofErr w:type="spellEnd"/>
            <w:r w:rsidR="00FA77F9" w:rsidRPr="009F6D1E">
              <w:rPr>
                <w:rFonts w:eastAsia="Times New Roman" w:cs="Times New Roman"/>
                <w:iCs/>
                <w:lang w:eastAsia="bg-BG" w:bidi="bg-BG"/>
              </w:rPr>
              <w:t xml:space="preserve"> ивици и санитарни ивици; изграждане/подобряване на водоизточници за нуждите на опазването и защитата на горите от пожари; изграждане/подобряване на стационарни наблюдателни пунктове; закупуване на комуникационно оборудване и средства за откриване и наблюдение на горски пожари, вредители и болести; изграждане и подобряване на пътища за движение на противопожарни автомобили. </w:t>
            </w:r>
          </w:p>
          <w:p w14:paraId="325ADA38" w14:textId="1D00D047" w:rsidR="008A5636" w:rsidRPr="009F6D1E" w:rsidRDefault="00FA77F9"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Подобряване на здравословното състояние и устойчивостта на горските екосистеми чрез подпомагане провеждането на сечи в горските територии</w:t>
            </w:r>
            <w:r w:rsidRPr="009F6D1E">
              <w:rPr>
                <w:rFonts w:eastAsia="Times New Roman" w:cs="Times New Roman"/>
                <w:iCs/>
                <w:lang w:eastAsia="bg-BG" w:bidi="bg-BG"/>
              </w:rPr>
              <w:t>“ – член 73. Настоящата интервенция цели да се подсигурят средства за подпомагане извеждането на планираните сечи в горските територии, като по този начин горите ще могат да запазят както</w:t>
            </w:r>
            <w:r w:rsidR="006E0FF0">
              <w:rPr>
                <w:rFonts w:eastAsia="Times New Roman" w:cs="Times New Roman"/>
                <w:iCs/>
                <w:lang w:eastAsia="bg-BG" w:bidi="bg-BG"/>
              </w:rPr>
              <w:t xml:space="preserve"> </w:t>
            </w:r>
            <w:r w:rsidRPr="009F6D1E">
              <w:rPr>
                <w:rFonts w:eastAsia="Times New Roman" w:cs="Times New Roman"/>
                <w:iCs/>
                <w:lang w:eastAsia="bg-BG" w:bidi="bg-BG"/>
              </w:rPr>
              <w:t xml:space="preserve">своята </w:t>
            </w:r>
            <w:proofErr w:type="spellStart"/>
            <w:r w:rsidRPr="009F6D1E">
              <w:rPr>
                <w:rFonts w:eastAsia="Times New Roman" w:cs="Times New Roman"/>
                <w:iCs/>
                <w:lang w:eastAsia="bg-BG" w:bidi="bg-BG"/>
              </w:rPr>
              <w:t>многофункционалност</w:t>
            </w:r>
            <w:proofErr w:type="spellEnd"/>
            <w:r w:rsidRPr="009F6D1E">
              <w:rPr>
                <w:rFonts w:eastAsia="Times New Roman" w:cs="Times New Roman"/>
                <w:iCs/>
                <w:lang w:eastAsia="bg-BG" w:bidi="bg-BG"/>
              </w:rPr>
              <w:t>, така и конкурентос</w:t>
            </w:r>
            <w:r w:rsidR="006E0FF0">
              <w:rPr>
                <w:rFonts w:eastAsia="Times New Roman" w:cs="Times New Roman"/>
                <w:iCs/>
                <w:lang w:eastAsia="bg-BG" w:bidi="bg-BG"/>
              </w:rPr>
              <w:t>п</w:t>
            </w:r>
            <w:r w:rsidRPr="009F6D1E">
              <w:rPr>
                <w:rFonts w:eastAsia="Times New Roman" w:cs="Times New Roman"/>
                <w:iCs/>
                <w:lang w:eastAsia="bg-BG" w:bidi="bg-BG"/>
              </w:rPr>
              <w:t>о</w:t>
            </w:r>
            <w:r w:rsidR="006E0FF0">
              <w:rPr>
                <w:rFonts w:eastAsia="Times New Roman" w:cs="Times New Roman"/>
                <w:iCs/>
                <w:lang w:eastAsia="bg-BG" w:bidi="bg-BG"/>
              </w:rPr>
              <w:t>со</w:t>
            </w:r>
            <w:r w:rsidRPr="009F6D1E">
              <w:rPr>
                <w:rFonts w:eastAsia="Times New Roman" w:cs="Times New Roman"/>
                <w:iCs/>
                <w:lang w:eastAsia="bg-BG" w:bidi="bg-BG"/>
              </w:rPr>
              <w:t xml:space="preserve">бността на собствениците си, за да продължат с устойчивото им управление. За целта, </w:t>
            </w:r>
            <w:r w:rsidRPr="009F6D1E">
              <w:rPr>
                <w:rFonts w:eastAsia="Times New Roman" w:cs="Times New Roman"/>
                <w:iCs/>
                <w:lang w:eastAsia="bg-BG" w:bidi="bg-BG"/>
              </w:rPr>
              <w:lastRenderedPageBreak/>
              <w:t>предвиждаме и подпомагане закупуването на горска техника за провеждане на планираните сечи във горите.</w:t>
            </w:r>
          </w:p>
        </w:tc>
      </w:tr>
    </w:tbl>
    <w:p w14:paraId="58A8CAE1" w14:textId="77777777" w:rsidR="00801A6D" w:rsidRPr="009F6D1E" w:rsidRDefault="00801A6D" w:rsidP="0084747F">
      <w:pPr>
        <w:widowControl w:val="0"/>
        <w:tabs>
          <w:tab w:val="left" w:pos="1080"/>
        </w:tabs>
        <w:spacing w:after="60" w:line="264" w:lineRule="auto"/>
        <w:ind w:left="720"/>
        <w:jc w:val="both"/>
        <w:rPr>
          <w:rFonts w:eastAsia="Times New Roman" w:cs="Times New Roman"/>
          <w:i/>
          <w:u w:val="single"/>
          <w:lang w:eastAsia="bg-BG" w:bidi="bg-BG"/>
        </w:rPr>
      </w:pPr>
    </w:p>
    <w:p w14:paraId="5E7BF440" w14:textId="77777777" w:rsidR="00B46426"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 xml:space="preserve">Специфична цел №5: </w:t>
      </w:r>
      <w:r w:rsidR="00B46426" w:rsidRPr="009F6D1E">
        <w:rPr>
          <w:rFonts w:cs="Times New Roman"/>
          <w:b/>
          <w:i/>
          <w:szCs w:val="24"/>
          <w:u w:val="single"/>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54562546" w14:textId="77777777" w:rsidR="00F320CE" w:rsidRPr="009F6D1E" w:rsidRDefault="00F320CE"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F320CE" w:rsidRPr="009F6D1E" w14:paraId="0B2D7F2F" w14:textId="77777777" w:rsidTr="00343BEA">
        <w:trPr>
          <w:tblHeader/>
        </w:trPr>
        <w:tc>
          <w:tcPr>
            <w:tcW w:w="709" w:type="dxa"/>
            <w:shd w:val="clear" w:color="auto" w:fill="F7CAAC" w:themeFill="accent2" w:themeFillTint="66"/>
          </w:tcPr>
          <w:p w14:paraId="07E0C919" w14:textId="77777777" w:rsidR="00F320CE" w:rsidRPr="009F6D1E" w:rsidRDefault="00F320CE" w:rsidP="0084747F">
            <w:pPr>
              <w:widowControl w:val="0"/>
              <w:tabs>
                <w:tab w:val="left" w:pos="1080"/>
              </w:tabs>
              <w:spacing w:after="60" w:line="264" w:lineRule="auto"/>
              <w:jc w:val="center"/>
              <w:rPr>
                <w:rFonts w:eastAsia="Times New Roman" w:cs="Times New Roman"/>
                <w:b/>
                <w:bCs/>
                <w:iCs/>
                <w:lang w:eastAsia="bg-BG" w:bidi="bg-BG"/>
              </w:rPr>
            </w:pPr>
            <w:r w:rsidRPr="009F6D1E">
              <w:rPr>
                <w:rFonts w:eastAsia="Times New Roman" w:cs="Times New Roman"/>
                <w:b/>
                <w:bCs/>
                <w:iCs/>
                <w:lang w:eastAsia="bg-BG" w:bidi="bg-BG"/>
              </w:rPr>
              <w:t>№</w:t>
            </w:r>
          </w:p>
        </w:tc>
        <w:tc>
          <w:tcPr>
            <w:tcW w:w="4394" w:type="dxa"/>
            <w:shd w:val="clear" w:color="auto" w:fill="F7CAAC" w:themeFill="accent2" w:themeFillTint="66"/>
          </w:tcPr>
          <w:p w14:paraId="558F6F51"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7AAE48D8" w14:textId="77777777" w:rsidR="00F320CE" w:rsidRPr="009F6D1E" w:rsidRDefault="00F320CE"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F320CE" w:rsidRPr="009F6D1E" w14:paraId="634FBCDD" w14:textId="77777777" w:rsidTr="00981F7B">
        <w:tc>
          <w:tcPr>
            <w:tcW w:w="709" w:type="dxa"/>
          </w:tcPr>
          <w:p w14:paraId="6B74D329"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7BD5C8B9"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П.5.1</w:t>
            </w:r>
            <w:r w:rsidRPr="009F6D1E">
              <w:rPr>
                <w:rFonts w:eastAsia="Times New Roman" w:cs="Times New Roman"/>
                <w:b/>
                <w:bCs/>
                <w:i/>
                <w:iCs/>
                <w:lang w:eastAsia="bg-BG" w:bidi="bg-BG"/>
              </w:rPr>
              <w:t xml:space="preserve">. Поддържане на подходящ баланс на земеделските площи според вида на </w:t>
            </w:r>
            <w:proofErr w:type="spellStart"/>
            <w:r w:rsidRPr="009F6D1E">
              <w:rPr>
                <w:rFonts w:eastAsia="Times New Roman" w:cs="Times New Roman"/>
                <w:b/>
                <w:bCs/>
                <w:i/>
                <w:iCs/>
                <w:lang w:eastAsia="bg-BG" w:bidi="bg-BG"/>
              </w:rPr>
              <w:t>земеползване</w:t>
            </w:r>
            <w:proofErr w:type="spellEnd"/>
            <w:r w:rsidRPr="009F6D1E">
              <w:rPr>
                <w:rFonts w:eastAsia="Times New Roman" w:cs="Times New Roman"/>
                <w:b/>
                <w:bCs/>
                <w:i/>
                <w:iCs/>
                <w:lang w:eastAsia="bg-BG" w:bidi="bg-BG"/>
              </w:rPr>
              <w:t xml:space="preserve"> и поддържане на разнообразие на културите</w:t>
            </w:r>
          </w:p>
          <w:p w14:paraId="538252B9" w14:textId="77777777" w:rsidR="00F320CE" w:rsidRPr="009F6D1E" w:rsidRDefault="00F320CE"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49AC643D" w14:textId="77777777" w:rsidR="00F320CE" w:rsidRPr="009F6D1E" w:rsidRDefault="00F74274" w:rsidP="0084747F">
            <w:pPr>
              <w:spacing w:after="60" w:line="264" w:lineRule="auto"/>
              <w:jc w:val="both"/>
              <w:rPr>
                <w:rFonts w:cs="Times New Roman"/>
                <w:bCs/>
                <w:lang w:bidi="bg-BG"/>
              </w:rPr>
            </w:pPr>
            <w:r w:rsidRPr="009F6D1E">
              <w:rPr>
                <w:rFonts w:cs="Times New Roman"/>
                <w:bCs/>
                <w:lang w:bidi="bg-BG"/>
              </w:rPr>
              <w:t xml:space="preserve">Посредством интервенции в рамките на директните плащания потребността ще бъде </w:t>
            </w:r>
            <w:proofErr w:type="spellStart"/>
            <w:r w:rsidRPr="009F6D1E">
              <w:rPr>
                <w:rFonts w:cs="Times New Roman"/>
                <w:bCs/>
                <w:lang w:bidi="bg-BG"/>
              </w:rPr>
              <w:t>таргетирана</w:t>
            </w:r>
            <w:proofErr w:type="spellEnd"/>
            <w:r w:rsidRPr="009F6D1E">
              <w:rPr>
                <w:rFonts w:cs="Times New Roman"/>
                <w:bCs/>
                <w:lang w:bidi="bg-BG"/>
              </w:rPr>
              <w:t xml:space="preserve"> с прилагането на </w:t>
            </w:r>
            <w:r w:rsidRPr="009F6D1E">
              <w:rPr>
                <w:rFonts w:cs="Times New Roman"/>
                <w:bCs/>
                <w:i/>
                <w:iCs/>
                <w:lang w:bidi="bg-BG"/>
              </w:rPr>
              <w:t>Еко схема за разнообразяване на отглежданите култури</w:t>
            </w:r>
            <w:r w:rsidRPr="009F6D1E">
              <w:rPr>
                <w:rFonts w:cs="Times New Roman"/>
                <w:bCs/>
                <w:lang w:bidi="bg-BG"/>
              </w:rPr>
              <w:t xml:space="preserve"> (по чл. 31 от Регламент (ЕС) 2021/2115). Изискванията в интервенцията осигуряват по-голям брой на отглежданите в земеделското стопанство земеделски култури в сравнение с базовите изисквания, което допринася за диверсифициране на стопанството и по-добър </w:t>
            </w:r>
            <w:proofErr w:type="spellStart"/>
            <w:r w:rsidRPr="009F6D1E">
              <w:rPr>
                <w:rFonts w:cs="Times New Roman"/>
                <w:bCs/>
                <w:lang w:bidi="bg-BG"/>
              </w:rPr>
              <w:t>сеитбооборот</w:t>
            </w:r>
            <w:proofErr w:type="spellEnd"/>
            <w:r w:rsidRPr="009F6D1E">
              <w:rPr>
                <w:rFonts w:cs="Times New Roman"/>
                <w:bCs/>
                <w:lang w:bidi="bg-BG"/>
              </w:rPr>
              <w:t xml:space="preserve"> на културите.</w:t>
            </w:r>
          </w:p>
          <w:p w14:paraId="758E5A9D" w14:textId="77777777" w:rsidR="00F74274" w:rsidRPr="009F6D1E" w:rsidRDefault="00F74274" w:rsidP="0084747F">
            <w:pPr>
              <w:spacing w:after="60" w:line="264" w:lineRule="auto"/>
              <w:jc w:val="both"/>
              <w:rPr>
                <w:rFonts w:eastAsia="Times New Roman" w:cs="Times New Roman"/>
                <w:iCs/>
                <w:lang w:eastAsia="bg-BG" w:bidi="bg-BG"/>
              </w:rPr>
            </w:pPr>
            <w:r w:rsidRPr="009F6D1E">
              <w:rPr>
                <w:rFonts w:eastAsia="Times New Roman" w:cs="Times New Roman"/>
                <w:iCs/>
                <w:lang w:eastAsia="bg-BG" w:bidi="bg-BG"/>
              </w:rPr>
              <w:t xml:space="preserve">Чрез </w:t>
            </w:r>
            <w:r w:rsidRPr="009F6D1E">
              <w:rPr>
                <w:rFonts w:eastAsia="Times New Roman" w:cs="Times New Roman"/>
                <w:i/>
                <w:lang w:eastAsia="bg-BG" w:bidi="bg-BG"/>
              </w:rPr>
              <w:t>интервенции по чл. 65 от РСП</w:t>
            </w:r>
            <w:r w:rsidRPr="009F6D1E">
              <w:rPr>
                <w:rFonts w:eastAsia="Times New Roman" w:cs="Times New Roman"/>
                <w:iCs/>
                <w:lang w:eastAsia="bg-BG" w:bidi="bg-BG"/>
              </w:rPr>
              <w:t xml:space="preserve"> може да се стимулират дейности, допринасящи за подходящ баланс на земеделските площи според </w:t>
            </w:r>
            <w:proofErr w:type="spellStart"/>
            <w:r w:rsidRPr="009F6D1E">
              <w:rPr>
                <w:rFonts w:eastAsia="Times New Roman" w:cs="Times New Roman"/>
                <w:iCs/>
                <w:lang w:eastAsia="bg-BG" w:bidi="bg-BG"/>
              </w:rPr>
              <w:t>земеползването</w:t>
            </w:r>
            <w:proofErr w:type="spellEnd"/>
            <w:r w:rsidRPr="009F6D1E">
              <w:rPr>
                <w:rFonts w:eastAsia="Times New Roman" w:cs="Times New Roman"/>
                <w:iCs/>
                <w:lang w:eastAsia="bg-BG" w:bidi="bg-BG"/>
              </w:rPr>
              <w:t>, които са насочени и към разнообразяване на културите.</w:t>
            </w:r>
          </w:p>
          <w:p w14:paraId="71372CCC" w14:textId="77777777" w:rsidR="00F74274" w:rsidRPr="009F6D1E" w:rsidRDefault="00F74274" w:rsidP="0084747F">
            <w:pPr>
              <w:spacing w:after="60" w:line="264" w:lineRule="auto"/>
              <w:jc w:val="both"/>
              <w:rPr>
                <w:rFonts w:eastAsia="Times New Roman" w:cs="Times New Roman"/>
                <w:iCs/>
                <w:lang w:eastAsia="bg-BG" w:bidi="bg-BG"/>
              </w:rPr>
            </w:pPr>
            <w:r w:rsidRPr="009F6D1E">
              <w:rPr>
                <w:rFonts w:eastAsia="Times New Roman" w:cs="Times New Roman"/>
                <w:iCs/>
                <w:lang w:eastAsia="bg-BG" w:bidi="bg-BG"/>
              </w:rPr>
              <w:t xml:space="preserve">Предвидени са и следните интервенции: </w:t>
            </w: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Създаване и възстановяване на екологична инфраструктура“</w:t>
            </w:r>
            <w:r w:rsidRPr="009F6D1E">
              <w:rPr>
                <w:rFonts w:eastAsia="Times New Roman" w:cs="Times New Roman"/>
                <w:iCs/>
                <w:lang w:eastAsia="bg-BG" w:bidi="bg-BG"/>
              </w:rPr>
              <w:t xml:space="preserve"> – член 70.</w:t>
            </w:r>
          </w:p>
          <w:p w14:paraId="6CBE805F" w14:textId="77777777" w:rsidR="00F74274" w:rsidRPr="009F6D1E" w:rsidRDefault="00F74274"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Плащания за земеделски земи в зони от Натура 2000</w:t>
            </w:r>
            <w:r w:rsidRPr="009F6D1E">
              <w:rPr>
                <w:rFonts w:eastAsia="Times New Roman" w:cs="Times New Roman"/>
                <w:iCs/>
                <w:lang w:eastAsia="bg-BG" w:bidi="bg-BG"/>
              </w:rPr>
              <w:t>“ - член 72.</w:t>
            </w:r>
          </w:p>
        </w:tc>
      </w:tr>
      <w:tr w:rsidR="00F320CE" w:rsidRPr="009F6D1E" w14:paraId="4593E968" w14:textId="77777777" w:rsidTr="00981F7B">
        <w:tc>
          <w:tcPr>
            <w:tcW w:w="709" w:type="dxa"/>
          </w:tcPr>
          <w:p w14:paraId="050D49F9"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2.</w:t>
            </w:r>
          </w:p>
        </w:tc>
        <w:tc>
          <w:tcPr>
            <w:tcW w:w="4394" w:type="dxa"/>
          </w:tcPr>
          <w:p w14:paraId="69DB8735"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 xml:space="preserve">П.5.2. </w:t>
            </w:r>
            <w:r w:rsidRPr="009F6D1E">
              <w:rPr>
                <w:rFonts w:eastAsia="Times New Roman" w:cs="Times New Roman"/>
                <w:b/>
                <w:bCs/>
                <w:i/>
                <w:iCs/>
                <w:lang w:eastAsia="bg-BG" w:bidi="bg-BG"/>
              </w:rPr>
              <w:t xml:space="preserve">Подобряване качеството на почвите чрез продължаване на усилията за ограничаване на </w:t>
            </w:r>
            <w:r w:rsidRPr="009F6D1E">
              <w:rPr>
                <w:rFonts w:eastAsia="Times New Roman" w:cs="Times New Roman"/>
                <w:b/>
                <w:bCs/>
                <w:i/>
                <w:iCs/>
                <w:lang w:eastAsia="bg-BG" w:bidi="bg-BG"/>
              </w:rPr>
              <w:lastRenderedPageBreak/>
              <w:t>процесите на водна и ветрова ерозия</w:t>
            </w:r>
          </w:p>
          <w:p w14:paraId="25DEED79" w14:textId="77777777" w:rsidR="00F320CE" w:rsidRPr="009F6D1E" w:rsidRDefault="00F320CE"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7449000A" w14:textId="77777777" w:rsidR="00F320CE" w:rsidRPr="009F6D1E" w:rsidRDefault="003D278F" w:rsidP="0084747F">
            <w:pPr>
              <w:spacing w:after="60" w:line="264" w:lineRule="auto"/>
              <w:jc w:val="both"/>
              <w:rPr>
                <w:rFonts w:eastAsia="Calibri" w:cs="Times New Roman"/>
                <w:bCs/>
                <w:lang w:eastAsia="en-GB" w:bidi="bg-BG"/>
              </w:rPr>
            </w:pPr>
            <w:r w:rsidRPr="009F6D1E">
              <w:rPr>
                <w:rFonts w:eastAsia="Calibri" w:cs="Times New Roman"/>
                <w:bCs/>
                <w:lang w:eastAsia="en-GB" w:bidi="bg-BG"/>
              </w:rPr>
              <w:lastRenderedPageBreak/>
              <w:t xml:space="preserve">В интервенцията по чл. 65 от РСП могат да се включат дейности, които надграждат въведените  изисквания в ДЗЕС 4, ДЗЕС 6 </w:t>
            </w:r>
            <w:r w:rsidRPr="009F6D1E">
              <w:rPr>
                <w:rFonts w:eastAsia="Calibri" w:cs="Times New Roman"/>
                <w:bCs/>
                <w:lang w:eastAsia="en-GB" w:bidi="bg-BG"/>
              </w:rPr>
              <w:lastRenderedPageBreak/>
              <w:t xml:space="preserve">и ДЗЕС 7, задължителни са и могат да бъдат обособени на база териториалния им обхват на прилагане. Според спецификата на райони и площта и въз основа на изготвяне на план за противоерозионни мероприятия към задължителните дейности, предвидени в ДЗЕС 4, ДЗЕС 6 и ДЗЕС 7 могат да се включат практики за: поясно земеделие, затревяване на междуредията в трайни насаждения и лозя (в т.ч. цялостно затревяване), преобразуване на обработваеми земи в постоянно затревени площи; </w:t>
            </w:r>
            <w:proofErr w:type="spellStart"/>
            <w:r w:rsidRPr="009F6D1E">
              <w:rPr>
                <w:rFonts w:eastAsia="Calibri" w:cs="Times New Roman"/>
                <w:bCs/>
                <w:lang w:eastAsia="en-GB" w:bidi="bg-BG"/>
              </w:rPr>
              <w:t>контурно</w:t>
            </w:r>
            <w:proofErr w:type="spellEnd"/>
            <w:r w:rsidRPr="009F6D1E">
              <w:rPr>
                <w:rFonts w:eastAsia="Calibri" w:cs="Times New Roman"/>
                <w:bCs/>
                <w:lang w:eastAsia="en-GB" w:bidi="bg-BG"/>
              </w:rPr>
              <w:t xml:space="preserve"> земеделие, вертикално </w:t>
            </w:r>
            <w:proofErr w:type="spellStart"/>
            <w:r w:rsidRPr="009F6D1E">
              <w:rPr>
                <w:rFonts w:eastAsia="Calibri" w:cs="Times New Roman"/>
                <w:bCs/>
                <w:lang w:eastAsia="en-GB" w:bidi="bg-BG"/>
              </w:rPr>
              <w:t>мулчиране</w:t>
            </w:r>
            <w:proofErr w:type="spellEnd"/>
            <w:r w:rsidRPr="009F6D1E">
              <w:rPr>
                <w:rFonts w:eastAsia="Calibri" w:cs="Times New Roman"/>
                <w:bCs/>
                <w:lang w:eastAsia="en-GB" w:bidi="bg-BG"/>
              </w:rPr>
              <w:t xml:space="preserve">; изграждане на </w:t>
            </w:r>
            <w:proofErr w:type="spellStart"/>
            <w:r w:rsidRPr="009F6D1E">
              <w:rPr>
                <w:rFonts w:eastAsia="Calibri" w:cs="Times New Roman"/>
                <w:bCs/>
                <w:lang w:eastAsia="en-GB" w:bidi="bg-BG"/>
              </w:rPr>
              <w:t>отокоотвеждащи</w:t>
            </w:r>
            <w:proofErr w:type="spellEnd"/>
            <w:r w:rsidRPr="009F6D1E">
              <w:rPr>
                <w:rFonts w:eastAsia="Calibri" w:cs="Times New Roman"/>
                <w:bCs/>
                <w:lang w:eastAsia="en-GB" w:bidi="bg-BG"/>
              </w:rPr>
              <w:t xml:space="preserve"> и </w:t>
            </w:r>
            <w:proofErr w:type="spellStart"/>
            <w:r w:rsidRPr="009F6D1E">
              <w:rPr>
                <w:rFonts w:eastAsia="Calibri" w:cs="Times New Roman"/>
                <w:bCs/>
                <w:lang w:eastAsia="en-GB" w:bidi="bg-BG"/>
              </w:rPr>
              <w:t>отокозадържащи</w:t>
            </w:r>
            <w:proofErr w:type="spellEnd"/>
            <w:r w:rsidRPr="009F6D1E">
              <w:rPr>
                <w:rFonts w:eastAsia="Calibri" w:cs="Times New Roman"/>
                <w:bCs/>
                <w:lang w:eastAsia="en-GB" w:bidi="bg-BG"/>
              </w:rPr>
              <w:t xml:space="preserve"> бразди; минимални или нулеви обработки; противоерозионна организация на площите като се намаляват площта на парцелите чрез включване на други земеделски култури; изграждане на тревни буферни ивици, мултифункционални растителни буферни ивици, допринасящи също за биоразнообразието и подобряване на опрашването, както и изграждане и поддържане на полезащитни пояси.</w:t>
            </w:r>
          </w:p>
          <w:p w14:paraId="2F936B9B" w14:textId="77777777" w:rsidR="00F74274" w:rsidRPr="009F6D1E" w:rsidRDefault="00D20892" w:rsidP="0084747F">
            <w:pPr>
              <w:spacing w:after="60" w:line="264" w:lineRule="auto"/>
              <w:jc w:val="both"/>
              <w:rPr>
                <w:rFonts w:eastAsia="Times New Roman" w:cs="Times New Roman"/>
                <w:i/>
                <w:lang w:eastAsia="bg-BG" w:bidi="bg-BG"/>
              </w:rPr>
            </w:pPr>
            <w:r w:rsidRPr="009F6D1E">
              <w:rPr>
                <w:rFonts w:eastAsia="Times New Roman" w:cs="Times New Roman"/>
                <w:i/>
                <w:iCs/>
                <w:lang w:eastAsia="bg-BG" w:bidi="bg-BG"/>
              </w:rPr>
              <w:t>Интервенция</w:t>
            </w:r>
            <w:r w:rsidRPr="009F6D1E">
              <w:rPr>
                <w:rFonts w:eastAsia="Times New Roman" w:cs="Times New Roman"/>
                <w:i/>
                <w:lang w:eastAsia="bg-BG" w:bidi="bg-BG"/>
              </w:rPr>
              <w:t xml:space="preserve"> „Възстановяване и поддържане на деградирали пасищни територии“ – член 70, </w:t>
            </w:r>
            <w:r w:rsidRPr="009F6D1E">
              <w:rPr>
                <w:rFonts w:eastAsia="Times New Roman" w:cs="Times New Roman"/>
                <w:iCs/>
                <w:lang w:eastAsia="bg-BG" w:bidi="bg-BG"/>
              </w:rPr>
              <w:t>насочена към дейности и практики, които увеличат почвения органичен въглерод, имат благоприятен ефект както върху почвата и пасищните територии, които с течение на годините намаляват производствения си капацитет.</w:t>
            </w:r>
          </w:p>
        </w:tc>
      </w:tr>
      <w:tr w:rsidR="00F320CE" w:rsidRPr="009F6D1E" w14:paraId="470912E1" w14:textId="77777777" w:rsidTr="00981F7B">
        <w:tc>
          <w:tcPr>
            <w:tcW w:w="709" w:type="dxa"/>
          </w:tcPr>
          <w:p w14:paraId="566E1B4A"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5919BDEC"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П.5.3.</w:t>
            </w:r>
            <w:r w:rsidRPr="009F6D1E">
              <w:rPr>
                <w:rFonts w:eastAsia="Times New Roman" w:cs="Times New Roman"/>
                <w:b/>
                <w:bCs/>
                <w:i/>
                <w:iCs/>
                <w:lang w:eastAsia="bg-BG" w:bidi="bg-BG"/>
              </w:rPr>
              <w:t xml:space="preserve"> Поддържане на добър баланс на </w:t>
            </w:r>
            <w:proofErr w:type="spellStart"/>
            <w:r w:rsidRPr="009F6D1E">
              <w:rPr>
                <w:rFonts w:eastAsia="Times New Roman" w:cs="Times New Roman"/>
                <w:b/>
                <w:bCs/>
                <w:i/>
                <w:iCs/>
                <w:lang w:eastAsia="bg-BG" w:bidi="bg-BG"/>
              </w:rPr>
              <w:t>запасеност</w:t>
            </w:r>
            <w:proofErr w:type="spellEnd"/>
            <w:r w:rsidRPr="009F6D1E">
              <w:rPr>
                <w:rFonts w:eastAsia="Times New Roman" w:cs="Times New Roman"/>
                <w:b/>
                <w:bCs/>
                <w:i/>
                <w:iCs/>
                <w:lang w:eastAsia="bg-BG" w:bidi="bg-BG"/>
              </w:rPr>
              <w:t xml:space="preserve"> на почвите с органично вещество</w:t>
            </w:r>
          </w:p>
          <w:p w14:paraId="4B97F0FB" w14:textId="77777777" w:rsidR="00F320CE" w:rsidRPr="009F6D1E" w:rsidRDefault="00F320CE"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1F04BCC1" w14:textId="77777777" w:rsidR="00F320CE" w:rsidRPr="009F6D1E" w:rsidRDefault="00A20AD9" w:rsidP="0084747F">
            <w:pPr>
              <w:spacing w:after="60" w:line="264" w:lineRule="auto"/>
              <w:jc w:val="both"/>
              <w:rPr>
                <w:rFonts w:cs="Times New Roman"/>
                <w:bCs/>
                <w:i/>
                <w:iCs/>
                <w:lang w:bidi="bg-BG"/>
              </w:rPr>
            </w:pPr>
            <w:r w:rsidRPr="009F6D1E">
              <w:rPr>
                <w:rFonts w:cs="Times New Roman"/>
                <w:bCs/>
                <w:i/>
                <w:lang w:bidi="bg-BG"/>
              </w:rPr>
              <w:lastRenderedPageBreak/>
              <w:t xml:space="preserve">Интервенция </w:t>
            </w:r>
            <w:r w:rsidR="000138DB" w:rsidRPr="009F6D1E">
              <w:rPr>
                <w:rFonts w:cs="Times New Roman"/>
                <w:bCs/>
                <w:i/>
                <w:iCs/>
                <w:lang w:bidi="bg-BG"/>
              </w:rPr>
              <w:t>„</w:t>
            </w:r>
            <w:r w:rsidR="002559D4" w:rsidRPr="009F6D1E">
              <w:rPr>
                <w:rFonts w:cs="Times New Roman"/>
                <w:bCs/>
                <w:i/>
                <w:iCs/>
                <w:lang w:bidi="bg-BG"/>
              </w:rPr>
              <w:t xml:space="preserve">Еко схема за разнообразяване на отглежданите култури и Еко схема за запазване и възстановяване на почвения потенциал. </w:t>
            </w:r>
            <w:r w:rsidR="002559D4" w:rsidRPr="009F6D1E">
              <w:rPr>
                <w:rFonts w:cs="Times New Roman"/>
                <w:bCs/>
                <w:lang w:bidi="bg-BG"/>
              </w:rPr>
              <w:lastRenderedPageBreak/>
              <w:t>Изискванията в интервенцията за разнообразяване на отглежданите култури допринасят за наличието на по-голям брой на отглежданите в стопанството земеделски култури в сравнение със стандарта за добро земеделско и екологично състояние</w:t>
            </w:r>
            <w:r w:rsidR="002559D4" w:rsidRPr="009F6D1E">
              <w:rPr>
                <w:rFonts w:cs="Times New Roman"/>
                <w:bCs/>
                <w:i/>
                <w:iCs/>
                <w:lang w:bidi="bg-BG"/>
              </w:rPr>
              <w:t>.</w:t>
            </w:r>
          </w:p>
          <w:p w14:paraId="13C9FD5A" w14:textId="77777777" w:rsidR="002559D4" w:rsidRPr="009F6D1E" w:rsidRDefault="002559D4" w:rsidP="0084747F">
            <w:pPr>
              <w:spacing w:after="60" w:line="264" w:lineRule="auto"/>
              <w:jc w:val="both"/>
              <w:rPr>
                <w:rFonts w:eastAsia="Times New Roman" w:cs="Times New Roman"/>
                <w:bCs/>
                <w:i/>
                <w:lang w:eastAsia="bg-BG" w:bidi="bg-BG"/>
              </w:rPr>
            </w:pPr>
            <w:r w:rsidRPr="009F6D1E">
              <w:rPr>
                <w:rFonts w:eastAsia="Times New Roman" w:cs="Times New Roman"/>
                <w:bCs/>
                <w:i/>
                <w:iCs/>
                <w:lang w:eastAsia="bg-BG" w:bidi="bg-BG"/>
              </w:rPr>
              <w:t>Интервенция</w:t>
            </w:r>
            <w:r w:rsidRPr="009F6D1E">
              <w:rPr>
                <w:rFonts w:eastAsia="Times New Roman" w:cs="Times New Roman"/>
                <w:bCs/>
                <w:i/>
                <w:lang w:eastAsia="bg-BG" w:bidi="bg-BG"/>
              </w:rPr>
              <w:t xml:space="preserve"> „Насърчаване използването на култури и сортове, устойчиви към климатичните условия“ – член 70</w:t>
            </w:r>
          </w:p>
        </w:tc>
      </w:tr>
      <w:tr w:rsidR="00F320CE" w:rsidRPr="009F6D1E" w14:paraId="7D54D436" w14:textId="77777777" w:rsidTr="00981F7B">
        <w:tc>
          <w:tcPr>
            <w:tcW w:w="709" w:type="dxa"/>
          </w:tcPr>
          <w:p w14:paraId="42260985"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4.</w:t>
            </w:r>
          </w:p>
        </w:tc>
        <w:tc>
          <w:tcPr>
            <w:tcW w:w="4394" w:type="dxa"/>
          </w:tcPr>
          <w:p w14:paraId="48480D9B" w14:textId="77777777" w:rsidR="00F320CE" w:rsidRPr="009F6D1E" w:rsidRDefault="00B46426" w:rsidP="0084747F">
            <w:pPr>
              <w:widowControl w:val="0"/>
              <w:tabs>
                <w:tab w:val="left" w:pos="108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П.5.4</w:t>
            </w:r>
            <w:r w:rsidRPr="009F6D1E">
              <w:rPr>
                <w:rFonts w:eastAsia="Times New Roman" w:cs="Times New Roman"/>
                <w:b/>
                <w:bCs/>
                <w:i/>
                <w:iCs/>
                <w:lang w:eastAsia="bg-BG" w:bidi="bg-BG"/>
              </w:rPr>
              <w:t>. Продължаване на поддържането на нисък азотен и фосфорен отпечатък в почвите</w:t>
            </w:r>
          </w:p>
        </w:tc>
        <w:tc>
          <w:tcPr>
            <w:tcW w:w="4530" w:type="dxa"/>
          </w:tcPr>
          <w:p w14:paraId="0F3EC86E" w14:textId="77777777" w:rsidR="00656F5D" w:rsidRPr="009F6D1E" w:rsidRDefault="00656F5D" w:rsidP="0084747F">
            <w:pPr>
              <w:spacing w:after="60" w:line="264" w:lineRule="auto"/>
              <w:jc w:val="both"/>
              <w:rPr>
                <w:rFonts w:cs="Times New Roman"/>
                <w:bCs/>
                <w:lang w:bidi="bg-BG"/>
              </w:rPr>
            </w:pPr>
            <w:r w:rsidRPr="009F6D1E">
              <w:rPr>
                <w:rFonts w:cs="Times New Roman"/>
                <w:bCs/>
                <w:i/>
                <w:iCs/>
                <w:lang w:bidi="bg-BG"/>
              </w:rPr>
              <w:t>Еко схема за запазване и възстановяване на почвения потенциал; Еко схема за разнообразяване на отглежданите култури и Еко схема за екологично поддържане на трайните насаждения</w:t>
            </w:r>
            <w:r w:rsidRPr="009F6D1E">
              <w:rPr>
                <w:rFonts w:cs="Times New Roman"/>
                <w:bCs/>
                <w:lang w:bidi="bg-BG"/>
              </w:rPr>
              <w:t xml:space="preserve">. </w:t>
            </w:r>
          </w:p>
          <w:p w14:paraId="769BE49F" w14:textId="77777777" w:rsidR="00656F5D" w:rsidRPr="009F6D1E" w:rsidRDefault="00656F5D" w:rsidP="0084747F">
            <w:pPr>
              <w:spacing w:after="60" w:line="264" w:lineRule="auto"/>
              <w:jc w:val="both"/>
              <w:rPr>
                <w:rFonts w:cs="Times New Roman"/>
                <w:bCs/>
                <w:i/>
                <w:iCs/>
                <w:lang w:bidi="bg-BG"/>
              </w:rPr>
            </w:pPr>
            <w:r w:rsidRPr="009F6D1E">
              <w:rPr>
                <w:rFonts w:cs="Times New Roman"/>
                <w:bCs/>
                <w:i/>
                <w:lang w:bidi="bg-BG"/>
              </w:rPr>
              <w:t>Интервенция</w:t>
            </w:r>
            <w:r w:rsidRPr="009F6D1E">
              <w:rPr>
                <w:rFonts w:cs="Times New Roman"/>
                <w:bCs/>
                <w:lang w:bidi="bg-BG"/>
              </w:rPr>
              <w:t xml:space="preserve"> „</w:t>
            </w:r>
            <w:r w:rsidRPr="009F6D1E">
              <w:rPr>
                <w:rFonts w:cs="Times New Roman"/>
                <w:bCs/>
                <w:i/>
                <w:iCs/>
                <w:lang w:bidi="bg-BG"/>
              </w:rPr>
              <w:t>Използване на устойчиви практики и сортове, отглеждани при специфични условия“ – член 70</w:t>
            </w:r>
          </w:p>
          <w:p w14:paraId="559E9E99" w14:textId="77777777" w:rsidR="00656F5D" w:rsidRPr="009F6D1E" w:rsidRDefault="00656F5D" w:rsidP="0084747F">
            <w:pPr>
              <w:spacing w:after="60" w:line="264" w:lineRule="auto"/>
              <w:jc w:val="both"/>
              <w:rPr>
                <w:rFonts w:cs="Times New Roman"/>
                <w:bCs/>
                <w:lang w:bidi="bg-BG"/>
              </w:rPr>
            </w:pPr>
            <w:r w:rsidRPr="009F6D1E">
              <w:rPr>
                <w:rFonts w:cs="Times New Roman"/>
                <w:bCs/>
                <w:i/>
                <w:lang w:bidi="bg-BG"/>
              </w:rPr>
              <w:t>Интервенция</w:t>
            </w:r>
            <w:r w:rsidRPr="009F6D1E">
              <w:rPr>
                <w:rFonts w:cs="Times New Roman"/>
                <w:bCs/>
                <w:lang w:bidi="bg-BG"/>
              </w:rPr>
              <w:t xml:space="preserve"> „</w:t>
            </w:r>
            <w:r w:rsidRPr="009F6D1E">
              <w:rPr>
                <w:rFonts w:cs="Times New Roman"/>
                <w:bCs/>
                <w:i/>
                <w:iCs/>
                <w:lang w:bidi="bg-BG"/>
              </w:rPr>
              <w:t>Насърчаване намалението на употребата на продукти за растителна защита и торове през контрол в краен продукт“</w:t>
            </w:r>
            <w:r w:rsidRPr="009F6D1E">
              <w:rPr>
                <w:rFonts w:cs="Times New Roman"/>
                <w:bCs/>
                <w:lang w:bidi="bg-BG"/>
              </w:rPr>
              <w:t xml:space="preserve"> – член 70;</w:t>
            </w:r>
          </w:p>
          <w:p w14:paraId="413730B8" w14:textId="77777777" w:rsidR="00F320CE" w:rsidRPr="009F6D1E" w:rsidRDefault="00656F5D" w:rsidP="0084747F">
            <w:pPr>
              <w:spacing w:after="60" w:line="264" w:lineRule="auto"/>
              <w:jc w:val="both"/>
              <w:rPr>
                <w:rFonts w:cs="Times New Roman"/>
                <w:bCs/>
                <w:lang w:bidi="bg-BG"/>
              </w:rPr>
            </w:pPr>
            <w:r w:rsidRPr="009F6D1E">
              <w:rPr>
                <w:rFonts w:cs="Times New Roman"/>
                <w:bCs/>
                <w:i/>
                <w:lang w:bidi="bg-BG"/>
              </w:rPr>
              <w:t>Интервенция</w:t>
            </w:r>
            <w:r w:rsidRPr="009F6D1E">
              <w:rPr>
                <w:rFonts w:cs="Times New Roman"/>
                <w:bCs/>
                <w:lang w:bidi="bg-BG"/>
              </w:rPr>
              <w:t xml:space="preserve"> „</w:t>
            </w:r>
            <w:r w:rsidRPr="009F6D1E">
              <w:rPr>
                <w:rFonts w:cs="Times New Roman"/>
                <w:bCs/>
                <w:i/>
                <w:iCs/>
                <w:lang w:bidi="bg-BG"/>
              </w:rPr>
              <w:t>Биологично производство</w:t>
            </w:r>
            <w:r w:rsidRPr="009F6D1E">
              <w:rPr>
                <w:rFonts w:cs="Times New Roman"/>
                <w:bCs/>
                <w:lang w:bidi="bg-BG"/>
              </w:rPr>
              <w:t>"– член 70</w:t>
            </w:r>
            <w:r w:rsidR="00905C4C" w:rsidRPr="009F6D1E">
              <w:rPr>
                <w:rFonts w:cs="Times New Roman"/>
                <w:bCs/>
                <w:lang w:bidi="bg-BG"/>
              </w:rPr>
              <w:t>.</w:t>
            </w:r>
          </w:p>
        </w:tc>
      </w:tr>
      <w:tr w:rsidR="00F320CE" w:rsidRPr="009F6D1E" w14:paraId="6E0E3BC3" w14:textId="77777777" w:rsidTr="00981F7B">
        <w:tc>
          <w:tcPr>
            <w:tcW w:w="709" w:type="dxa"/>
          </w:tcPr>
          <w:p w14:paraId="3A5E25DC"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48DF47B5" w14:textId="77777777" w:rsidR="00F320CE" w:rsidRPr="009F6D1E" w:rsidRDefault="00B46426" w:rsidP="0084747F">
            <w:pPr>
              <w:widowControl w:val="0"/>
              <w:tabs>
                <w:tab w:val="left" w:pos="1080"/>
              </w:tabs>
              <w:spacing w:after="60" w:line="264" w:lineRule="auto"/>
              <w:jc w:val="both"/>
              <w:rPr>
                <w:rFonts w:eastAsia="Times New Roman" w:cs="Times New Roman"/>
                <w:b/>
                <w:bCs/>
                <w:i/>
                <w:iCs/>
                <w:u w:val="single"/>
                <w:lang w:eastAsia="bg-BG" w:bidi="bg-BG"/>
              </w:rPr>
            </w:pPr>
            <w:r w:rsidRPr="009F6D1E">
              <w:rPr>
                <w:rFonts w:eastAsia="Times New Roman" w:cs="Times New Roman"/>
                <w:b/>
                <w:bCs/>
                <w:i/>
                <w:iCs/>
                <w:u w:val="single"/>
                <w:lang w:eastAsia="bg-BG" w:bidi="bg-BG"/>
              </w:rPr>
              <w:t xml:space="preserve">П.5.5. </w:t>
            </w:r>
            <w:r w:rsidRPr="009F6D1E">
              <w:rPr>
                <w:rFonts w:eastAsia="Times New Roman" w:cs="Times New Roman"/>
                <w:b/>
                <w:bCs/>
                <w:i/>
                <w:iCs/>
                <w:lang w:eastAsia="bg-BG" w:bidi="bg-BG"/>
              </w:rPr>
              <w:t>Продължаване на прилагане на оптимизирана и устойчива употреба на ПРЗ, минерални и органични торове с цел опазване на водите</w:t>
            </w:r>
          </w:p>
        </w:tc>
        <w:tc>
          <w:tcPr>
            <w:tcW w:w="4530" w:type="dxa"/>
          </w:tcPr>
          <w:p w14:paraId="38CEBBFA" w14:textId="77777777" w:rsidR="00F320CE" w:rsidRPr="009F6D1E" w:rsidRDefault="00905C4C"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Планира се тази потребност да бъде </w:t>
            </w:r>
            <w:proofErr w:type="spellStart"/>
            <w:r w:rsidRPr="009F6D1E">
              <w:rPr>
                <w:rFonts w:eastAsia="Calibri" w:cs="Times New Roman"/>
                <w:bCs/>
                <w:lang w:eastAsia="en-GB" w:bidi="bg-BG"/>
              </w:rPr>
              <w:t>таргетирана</w:t>
            </w:r>
            <w:proofErr w:type="spellEnd"/>
            <w:r w:rsidRPr="009F6D1E">
              <w:rPr>
                <w:rFonts w:eastAsia="Calibri" w:cs="Times New Roman"/>
                <w:bCs/>
                <w:lang w:eastAsia="en-GB" w:bidi="bg-BG"/>
              </w:rPr>
              <w:t xml:space="preserve"> посредством прилагането на 4 еко схеми по чл. 31 от Регламент (ЕС) 2021/2115 – </w:t>
            </w:r>
            <w:r w:rsidRPr="009F6D1E">
              <w:rPr>
                <w:rFonts w:eastAsia="Calibri" w:cs="Times New Roman"/>
                <w:bCs/>
                <w:i/>
                <w:iCs/>
                <w:lang w:eastAsia="en-GB" w:bidi="bg-BG"/>
              </w:rPr>
              <w:t xml:space="preserve">Еко схема за намаляване използването на пестициди; Еко схема за поддържане и подобряване на биологичното разнообразие и екологичната инфраструктура; Еко схема за буферни екологични ивици и Еко схема за запазване и възстановяване на почвения </w:t>
            </w:r>
            <w:r w:rsidR="003D278F" w:rsidRPr="009F6D1E">
              <w:rPr>
                <w:rFonts w:eastAsia="Calibri" w:cs="Times New Roman"/>
                <w:i/>
                <w:iCs/>
                <w:lang w:eastAsia="en-GB" w:bidi="bg-BG"/>
              </w:rPr>
              <w:t>по чл. 65</w:t>
            </w:r>
            <w:r w:rsidR="003D278F" w:rsidRPr="009F6D1E">
              <w:rPr>
                <w:rFonts w:eastAsia="Calibri" w:cs="Times New Roman"/>
                <w:b/>
                <w:bCs/>
                <w:i/>
                <w:lang w:eastAsia="en-GB" w:bidi="bg-BG"/>
              </w:rPr>
              <w:t>,</w:t>
            </w:r>
            <w:r w:rsidR="003D278F" w:rsidRPr="009F6D1E">
              <w:rPr>
                <w:rFonts w:eastAsia="Calibri" w:cs="Times New Roman"/>
                <w:bCs/>
                <w:lang w:eastAsia="en-GB" w:bidi="bg-BG"/>
              </w:rPr>
              <w:t xml:space="preserve"> с които може да бъде адресирана потребността: биологично земеделие, като се прилагат методи, които ограничават използването на продукти за </w:t>
            </w:r>
            <w:r w:rsidR="003D278F" w:rsidRPr="009F6D1E">
              <w:rPr>
                <w:rFonts w:eastAsia="Calibri" w:cs="Times New Roman"/>
                <w:bCs/>
                <w:lang w:eastAsia="en-GB" w:bidi="bg-BG"/>
              </w:rPr>
              <w:lastRenderedPageBreak/>
              <w:t xml:space="preserve">растителна защита в сравнение с конвенционалните методи за производство; стимулиране на практики за употреба на органични/естествени пестициди; интегриране на подбрани растения в ротацията на култури – </w:t>
            </w:r>
            <w:proofErr w:type="spellStart"/>
            <w:r w:rsidR="003D278F" w:rsidRPr="009F6D1E">
              <w:rPr>
                <w:rFonts w:eastAsia="Calibri" w:cs="Times New Roman"/>
                <w:bCs/>
                <w:lang w:eastAsia="en-GB" w:bidi="bg-BG"/>
              </w:rPr>
              <w:t>алеопатични</w:t>
            </w:r>
            <w:proofErr w:type="spellEnd"/>
            <w:r w:rsidR="003D278F" w:rsidRPr="009F6D1E">
              <w:rPr>
                <w:rFonts w:eastAsia="Calibri" w:cs="Times New Roman"/>
                <w:bCs/>
                <w:lang w:eastAsia="en-GB" w:bidi="bg-BG"/>
              </w:rPr>
              <w:t xml:space="preserve"> растения</w:t>
            </w:r>
            <w:r w:rsidR="000138DB" w:rsidRPr="009F6D1E">
              <w:rPr>
                <w:rFonts w:eastAsia="Calibri" w:cs="Times New Roman"/>
                <w:bCs/>
                <w:lang w:eastAsia="en-GB" w:bidi="bg-BG"/>
              </w:rPr>
              <w:t>.</w:t>
            </w:r>
          </w:p>
        </w:tc>
      </w:tr>
      <w:tr w:rsidR="00F320CE" w:rsidRPr="009F6D1E" w14:paraId="36FE09BC" w14:textId="77777777" w:rsidTr="00981F7B">
        <w:tc>
          <w:tcPr>
            <w:tcW w:w="709" w:type="dxa"/>
          </w:tcPr>
          <w:p w14:paraId="33178ECB"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6.</w:t>
            </w:r>
          </w:p>
        </w:tc>
        <w:tc>
          <w:tcPr>
            <w:tcW w:w="4394" w:type="dxa"/>
          </w:tcPr>
          <w:p w14:paraId="29CDCB67"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П.5.6.</w:t>
            </w:r>
            <w:r w:rsidRPr="009F6D1E">
              <w:rPr>
                <w:rFonts w:eastAsia="Times New Roman" w:cs="Times New Roman"/>
                <w:b/>
                <w:bCs/>
                <w:i/>
                <w:iCs/>
                <w:lang w:eastAsia="bg-BG" w:bidi="bg-BG"/>
              </w:rPr>
              <w:t xml:space="preserve"> Намаляване на емисиите на амоняк от селското стопанство</w:t>
            </w:r>
          </w:p>
          <w:p w14:paraId="5700F719"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p>
        </w:tc>
        <w:tc>
          <w:tcPr>
            <w:tcW w:w="4530" w:type="dxa"/>
          </w:tcPr>
          <w:p w14:paraId="5B145B43" w14:textId="77777777" w:rsidR="00F320CE" w:rsidRPr="009F6D1E" w:rsidRDefault="00484FD3" w:rsidP="0084747F">
            <w:pPr>
              <w:spacing w:after="60" w:line="264" w:lineRule="auto"/>
              <w:jc w:val="both"/>
              <w:rPr>
                <w:rFonts w:eastAsia="Calibri" w:cs="Times New Roman"/>
                <w:bCs/>
                <w:lang w:eastAsia="en-GB" w:bidi="bg-BG"/>
              </w:rPr>
            </w:pPr>
            <w:r w:rsidRPr="009F6D1E">
              <w:rPr>
                <w:rFonts w:cs="Times New Roman"/>
                <w:bCs/>
                <w:i/>
                <w:lang w:bidi="bg-BG"/>
              </w:rPr>
              <w:t xml:space="preserve">Интервенция </w:t>
            </w:r>
            <w:r w:rsidR="00905C4C" w:rsidRPr="009F6D1E">
              <w:rPr>
                <w:rFonts w:eastAsia="Calibri" w:cs="Times New Roman"/>
                <w:bCs/>
                <w:lang w:eastAsia="en-GB" w:bidi="bg-BG"/>
              </w:rPr>
              <w:t>„</w:t>
            </w:r>
            <w:r w:rsidR="00905C4C" w:rsidRPr="009F6D1E">
              <w:rPr>
                <w:rFonts w:eastAsia="Calibri" w:cs="Times New Roman"/>
                <w:bCs/>
                <w:i/>
                <w:iCs/>
                <w:lang w:eastAsia="en-GB" w:bidi="bg-BG"/>
              </w:rPr>
              <w:t>Инвестиции в земеделските стопанства насочени към опазване на компонентите на околната среда“</w:t>
            </w:r>
            <w:r w:rsidR="00905C4C" w:rsidRPr="009F6D1E">
              <w:rPr>
                <w:rFonts w:eastAsia="Calibri" w:cs="Times New Roman"/>
                <w:bCs/>
                <w:lang w:eastAsia="en-GB" w:bidi="bg-BG"/>
              </w:rPr>
              <w:t xml:space="preserve"> – член 73 и член 74. Интервенцията е насочена към прилагането на различни практики, с които може да бъде постигнато ограничаване отделянето на емисии на ПГ от почвите, както и за запазване на органичното вещество.</w:t>
            </w:r>
          </w:p>
        </w:tc>
      </w:tr>
      <w:tr w:rsidR="00B46426" w:rsidRPr="009F6D1E" w14:paraId="748AF43C" w14:textId="77777777" w:rsidTr="00981F7B">
        <w:tc>
          <w:tcPr>
            <w:tcW w:w="709" w:type="dxa"/>
          </w:tcPr>
          <w:p w14:paraId="4AC83675" w14:textId="77777777" w:rsidR="00B46426" w:rsidRPr="009F6D1E" w:rsidRDefault="00B46426"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7.</w:t>
            </w:r>
          </w:p>
        </w:tc>
        <w:tc>
          <w:tcPr>
            <w:tcW w:w="4394" w:type="dxa"/>
          </w:tcPr>
          <w:p w14:paraId="7DDDF314" w14:textId="77777777" w:rsidR="00B46426" w:rsidRPr="009F6D1E" w:rsidRDefault="00B46426" w:rsidP="0084747F">
            <w:pPr>
              <w:widowControl w:val="0"/>
              <w:tabs>
                <w:tab w:val="left" w:pos="1080"/>
              </w:tabs>
              <w:spacing w:after="60" w:line="264" w:lineRule="auto"/>
              <w:jc w:val="both"/>
              <w:rPr>
                <w:rFonts w:eastAsia="Times New Roman" w:cs="Times New Roman"/>
                <w:b/>
                <w:bCs/>
                <w:i/>
                <w:iCs/>
                <w:lang w:eastAsia="bg-BG" w:bidi="bg-BG"/>
              </w:rPr>
            </w:pPr>
            <w:r w:rsidRPr="009F6D1E">
              <w:rPr>
                <w:rFonts w:eastAsia="Times New Roman" w:cs="Times New Roman"/>
                <w:b/>
                <w:bCs/>
                <w:i/>
                <w:iCs/>
                <w:u w:val="single"/>
                <w:lang w:eastAsia="bg-BG" w:bidi="bg-BG"/>
              </w:rPr>
              <w:t>П.5.7.</w:t>
            </w:r>
            <w:r w:rsidRPr="009F6D1E">
              <w:rPr>
                <w:rFonts w:eastAsia="Times New Roman" w:cs="Times New Roman"/>
                <w:b/>
                <w:bCs/>
                <w:i/>
                <w:iCs/>
                <w:lang w:eastAsia="bg-BG" w:bidi="bg-BG"/>
              </w:rPr>
              <w:t xml:space="preserve">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p>
          <w:p w14:paraId="46C33888" w14:textId="77777777" w:rsidR="00B46426" w:rsidRPr="009F6D1E" w:rsidRDefault="00B46426" w:rsidP="0084747F">
            <w:pPr>
              <w:widowControl w:val="0"/>
              <w:tabs>
                <w:tab w:val="left" w:pos="1080"/>
              </w:tabs>
              <w:spacing w:after="60" w:line="264" w:lineRule="auto"/>
              <w:jc w:val="both"/>
              <w:rPr>
                <w:rFonts w:eastAsia="Times New Roman" w:cs="Times New Roman"/>
                <w:b/>
                <w:bCs/>
                <w:i/>
                <w:iCs/>
                <w:u w:val="single"/>
                <w:lang w:eastAsia="bg-BG" w:bidi="bg-BG"/>
              </w:rPr>
            </w:pPr>
          </w:p>
        </w:tc>
        <w:tc>
          <w:tcPr>
            <w:tcW w:w="4530" w:type="dxa"/>
          </w:tcPr>
          <w:p w14:paraId="4A5C9365" w14:textId="77777777" w:rsidR="00B46426" w:rsidRPr="009F6D1E" w:rsidRDefault="00905C4C"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Интервенциите по тази потребност могат да бъдат адресирани чрез практики за задържането на вода в орния слой на насажденията чрез мерките, които увеличават нивата на органична материя в почвите (по чл. 65).</w:t>
            </w:r>
          </w:p>
          <w:p w14:paraId="5C8F694C" w14:textId="77777777" w:rsidR="00905C4C" w:rsidRPr="009F6D1E" w:rsidRDefault="00905C4C" w:rsidP="0084747F">
            <w:pPr>
              <w:spacing w:after="60" w:line="264" w:lineRule="auto"/>
              <w:jc w:val="both"/>
              <w:rPr>
                <w:rFonts w:eastAsia="Calibri" w:cs="Times New Roman"/>
                <w:bCs/>
                <w:lang w:eastAsia="en-GB" w:bidi="bg-BG"/>
              </w:rPr>
            </w:pPr>
            <w:r w:rsidRPr="009F6D1E">
              <w:rPr>
                <w:rFonts w:eastAsia="Calibri" w:cs="Times New Roman"/>
                <w:bCs/>
                <w:i/>
                <w:lang w:eastAsia="en-GB" w:bidi="bg-BG"/>
              </w:rPr>
              <w:t>Интервенция</w:t>
            </w:r>
            <w:r w:rsidRPr="009F6D1E">
              <w:rPr>
                <w:rFonts w:eastAsia="Calibri" w:cs="Times New Roman"/>
                <w:bCs/>
                <w:lang w:eastAsia="en-GB" w:bidi="bg-BG"/>
              </w:rPr>
              <w:t xml:space="preserve"> „</w:t>
            </w:r>
            <w:r w:rsidRPr="009F6D1E">
              <w:rPr>
                <w:rFonts w:eastAsia="Calibri" w:cs="Times New Roman"/>
                <w:bCs/>
                <w:i/>
                <w:iCs/>
                <w:lang w:eastAsia="en-GB" w:bidi="bg-BG"/>
              </w:rPr>
              <w:t>Инвестиции в инфраструктура за напояване</w:t>
            </w:r>
            <w:r w:rsidRPr="009F6D1E">
              <w:rPr>
                <w:rFonts w:eastAsia="Calibri" w:cs="Times New Roman"/>
                <w:bCs/>
                <w:lang w:eastAsia="en-GB" w:bidi="bg-BG"/>
              </w:rPr>
              <w:t>“ – член 74 - насочена към инфраструктура за напояване, чрез която, от една страна, се постига икономическа устойчивост чрез увеличаване на съотношението между ползите за сектора на селското стопанство и от друга страна постигане на екологична устойчивост чрез ефективно използване на водните ресурси.</w:t>
            </w:r>
          </w:p>
          <w:p w14:paraId="04C78020" w14:textId="77777777" w:rsidR="00905C4C" w:rsidRPr="009F6D1E" w:rsidRDefault="001B76FC" w:rsidP="0084747F">
            <w:pPr>
              <w:spacing w:after="60" w:line="264" w:lineRule="auto"/>
              <w:jc w:val="both"/>
              <w:rPr>
                <w:rFonts w:eastAsia="Calibri" w:cs="Times New Roman"/>
                <w:bCs/>
                <w:lang w:eastAsia="en-GB" w:bidi="bg-BG"/>
              </w:rPr>
            </w:pPr>
            <w:r w:rsidRPr="009F6D1E">
              <w:rPr>
                <w:rFonts w:eastAsia="Calibri" w:cs="Times New Roman"/>
                <w:bCs/>
                <w:i/>
                <w:lang w:eastAsia="en-GB" w:bidi="bg-BG"/>
              </w:rPr>
              <w:t>И</w:t>
            </w:r>
            <w:r w:rsidR="00905C4C" w:rsidRPr="009F6D1E">
              <w:rPr>
                <w:rFonts w:eastAsia="Calibri" w:cs="Times New Roman"/>
                <w:bCs/>
                <w:i/>
                <w:lang w:eastAsia="en-GB" w:bidi="bg-BG"/>
              </w:rPr>
              <w:t>нтервенции</w:t>
            </w:r>
            <w:r w:rsidR="00905C4C" w:rsidRPr="009F6D1E">
              <w:rPr>
                <w:rFonts w:eastAsia="Calibri" w:cs="Times New Roman"/>
                <w:bCs/>
                <w:lang w:eastAsia="en-GB" w:bidi="bg-BG"/>
              </w:rPr>
              <w:t xml:space="preserve"> „</w:t>
            </w:r>
            <w:r w:rsidR="00905C4C" w:rsidRPr="009F6D1E">
              <w:rPr>
                <w:rFonts w:eastAsia="Calibri" w:cs="Times New Roman"/>
                <w:bCs/>
                <w:i/>
                <w:iCs/>
                <w:lang w:eastAsia="en-GB" w:bidi="bg-BG"/>
              </w:rPr>
              <w:t>Консултантски услуги и повишаване на консултантския капацитет“</w:t>
            </w:r>
            <w:r w:rsidR="00905C4C" w:rsidRPr="009F6D1E">
              <w:rPr>
                <w:rFonts w:eastAsia="Calibri" w:cs="Times New Roman"/>
                <w:bCs/>
                <w:lang w:eastAsia="en-GB" w:bidi="bg-BG"/>
              </w:rPr>
              <w:t xml:space="preserve"> и „</w:t>
            </w:r>
            <w:r w:rsidR="00905C4C" w:rsidRPr="009F6D1E">
              <w:rPr>
                <w:rFonts w:eastAsia="Calibri" w:cs="Times New Roman"/>
                <w:bCs/>
                <w:i/>
                <w:iCs/>
                <w:lang w:eastAsia="en-GB" w:bidi="bg-BG"/>
              </w:rPr>
              <w:t>Професионално обучение и придобиване на умения“</w:t>
            </w:r>
            <w:r w:rsidR="00905C4C" w:rsidRPr="009F6D1E">
              <w:rPr>
                <w:rFonts w:eastAsia="Calibri" w:cs="Times New Roman"/>
                <w:bCs/>
                <w:lang w:eastAsia="en-GB" w:bidi="bg-BG"/>
              </w:rPr>
              <w:t xml:space="preserve">, в рамките на които за земеделските и горски стопани ще бъдат предвидени консултантски </w:t>
            </w:r>
            <w:r w:rsidR="00905C4C" w:rsidRPr="009F6D1E">
              <w:rPr>
                <w:rFonts w:eastAsia="Calibri" w:cs="Times New Roman"/>
                <w:bCs/>
                <w:lang w:eastAsia="en-GB" w:bidi="bg-BG"/>
              </w:rPr>
              <w:lastRenderedPageBreak/>
              <w:t>пакети и обучения по специфични въпроси, имащи отношение към потребностите.</w:t>
            </w:r>
          </w:p>
        </w:tc>
      </w:tr>
    </w:tbl>
    <w:p w14:paraId="3FDE7650" w14:textId="77777777" w:rsidR="00484FD3" w:rsidRPr="009F6D1E" w:rsidRDefault="00484FD3" w:rsidP="0084747F">
      <w:pPr>
        <w:widowControl w:val="0"/>
        <w:tabs>
          <w:tab w:val="left" w:pos="1080"/>
        </w:tabs>
        <w:spacing w:after="60" w:line="264" w:lineRule="auto"/>
        <w:ind w:left="720"/>
        <w:jc w:val="both"/>
        <w:rPr>
          <w:rFonts w:eastAsia="Times New Roman" w:cs="Times New Roman"/>
          <w:i/>
          <w:u w:val="single"/>
          <w:lang w:eastAsia="bg-BG" w:bidi="bg-BG"/>
        </w:rPr>
      </w:pPr>
    </w:p>
    <w:p w14:paraId="546DA2D8" w14:textId="77777777" w:rsidR="00B46426"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Специфична цел № 6:</w:t>
      </w:r>
      <w:r w:rsidR="00B46426" w:rsidRPr="009F6D1E">
        <w:rPr>
          <w:rFonts w:cs="Times New Roman"/>
          <w:b/>
          <w:i/>
          <w:szCs w:val="24"/>
        </w:rPr>
        <w:t xml:space="preserve"> </w:t>
      </w:r>
      <w:r w:rsidR="00B46426" w:rsidRPr="009F6D1E">
        <w:rPr>
          <w:rFonts w:cs="Times New Roman"/>
          <w:b/>
          <w:i/>
          <w:szCs w:val="24"/>
          <w:u w:val="single"/>
        </w:rPr>
        <w:t>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p>
    <w:p w14:paraId="0D0D12C3" w14:textId="77777777" w:rsidR="00F320CE" w:rsidRPr="009F6D1E" w:rsidRDefault="00F320CE"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F320CE" w:rsidRPr="009F6D1E" w14:paraId="0B831669" w14:textId="77777777" w:rsidTr="00294F4C">
        <w:trPr>
          <w:tblHeader/>
        </w:trPr>
        <w:tc>
          <w:tcPr>
            <w:tcW w:w="709" w:type="dxa"/>
            <w:shd w:val="clear" w:color="auto" w:fill="F7CAAC" w:themeFill="accent2" w:themeFillTint="66"/>
          </w:tcPr>
          <w:p w14:paraId="49957198" w14:textId="77777777" w:rsidR="00F320CE" w:rsidRPr="009F6D1E" w:rsidRDefault="00F320CE" w:rsidP="0084747F">
            <w:pPr>
              <w:widowControl w:val="0"/>
              <w:tabs>
                <w:tab w:val="left" w:pos="1080"/>
              </w:tabs>
              <w:spacing w:after="60" w:line="264" w:lineRule="auto"/>
              <w:jc w:val="center"/>
              <w:rPr>
                <w:rFonts w:eastAsia="Times New Roman" w:cs="Times New Roman"/>
                <w:b/>
                <w:bCs/>
                <w:iCs/>
                <w:lang w:eastAsia="bg-BG" w:bidi="bg-BG"/>
              </w:rPr>
            </w:pPr>
            <w:bookmarkStart w:id="38" w:name="_Hlk96094403"/>
            <w:r w:rsidRPr="009F6D1E">
              <w:rPr>
                <w:rFonts w:eastAsia="Times New Roman" w:cs="Times New Roman"/>
                <w:b/>
                <w:bCs/>
                <w:iCs/>
                <w:lang w:eastAsia="bg-BG" w:bidi="bg-BG"/>
              </w:rPr>
              <w:t>№</w:t>
            </w:r>
          </w:p>
        </w:tc>
        <w:tc>
          <w:tcPr>
            <w:tcW w:w="4394" w:type="dxa"/>
            <w:shd w:val="clear" w:color="auto" w:fill="F7CAAC" w:themeFill="accent2" w:themeFillTint="66"/>
          </w:tcPr>
          <w:p w14:paraId="0533BB40"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2CA3305C" w14:textId="77777777" w:rsidR="00F320CE" w:rsidRPr="009F6D1E" w:rsidRDefault="00F320CE"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F320CE" w:rsidRPr="009F6D1E" w14:paraId="627CE046" w14:textId="77777777" w:rsidTr="00981F7B">
        <w:tc>
          <w:tcPr>
            <w:tcW w:w="709" w:type="dxa"/>
          </w:tcPr>
          <w:p w14:paraId="3EFF7D95" w14:textId="77777777" w:rsidR="00F320CE" w:rsidRPr="009F6D1E" w:rsidRDefault="00F320CE" w:rsidP="0084747F">
            <w:pPr>
              <w:widowControl w:val="0"/>
              <w:tabs>
                <w:tab w:val="left" w:pos="1080"/>
              </w:tabs>
              <w:spacing w:after="60" w:line="264" w:lineRule="auto"/>
              <w:jc w:val="center"/>
              <w:rPr>
                <w:rFonts w:eastAsia="Times New Roman" w:cs="Times New Roman"/>
                <w:b/>
                <w:bCs/>
                <w:i/>
                <w:lang w:eastAsia="bg-BG" w:bidi="bg-BG"/>
              </w:rPr>
            </w:pPr>
            <w:bookmarkStart w:id="39" w:name="_Hlk96094384"/>
            <w:r w:rsidRPr="009F6D1E">
              <w:rPr>
                <w:rFonts w:eastAsia="Times New Roman" w:cs="Times New Roman"/>
                <w:b/>
                <w:bCs/>
                <w:i/>
                <w:lang w:eastAsia="bg-BG" w:bidi="bg-BG"/>
              </w:rPr>
              <w:t>1.</w:t>
            </w:r>
          </w:p>
        </w:tc>
        <w:tc>
          <w:tcPr>
            <w:tcW w:w="4394" w:type="dxa"/>
          </w:tcPr>
          <w:p w14:paraId="6A8182E3" w14:textId="77777777" w:rsidR="00B46426" w:rsidRPr="009F6D1E" w:rsidRDefault="00B46426"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 xml:space="preserve">П.6.1. </w:t>
            </w:r>
            <w:r w:rsidRPr="009F6D1E">
              <w:rPr>
                <w:rFonts w:eastAsia="Times New Roman" w:cs="Times New Roman"/>
                <w:b/>
                <w:bCs/>
                <w:i/>
                <w:lang w:eastAsia="bg-BG" w:bidi="bg-BG"/>
              </w:rPr>
              <w:t>Опазване и подобряване на природозащитното състояние на естествените местообитания и на дивата флора и фауна от Европейски интерес</w:t>
            </w:r>
          </w:p>
          <w:p w14:paraId="05871C6E" w14:textId="77777777" w:rsidR="00F320CE" w:rsidRPr="009F6D1E" w:rsidRDefault="00F320CE"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2B5A52E5" w14:textId="77777777" w:rsidR="00484FD3" w:rsidRPr="009F6D1E" w:rsidRDefault="00536EBE"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Устойчиво управление на пасища в земеделски земи с ВПС“ – член 70</w:t>
            </w:r>
            <w:r w:rsidRPr="009F6D1E">
              <w:rPr>
                <w:rFonts w:eastAsia="Times New Roman" w:cs="Times New Roman"/>
                <w:iCs/>
                <w:lang w:eastAsia="bg-BG" w:bidi="bg-BG"/>
              </w:rPr>
              <w:t xml:space="preserve">: Подпомагането на дейността ще допринесе за съхраняване на тревните екосистеми и свързаните с тях ценни местообитания и видове в земи с висока природна стойност, чрез прилагане на практика за екстензивна паша. </w:t>
            </w:r>
          </w:p>
          <w:p w14:paraId="432AF81A" w14:textId="77777777" w:rsidR="00536EBE" w:rsidRPr="009F6D1E" w:rsidRDefault="00536EBE"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Плащания за земеделски земи в зони от Натура 2000“ -</w:t>
            </w:r>
            <w:r w:rsidRPr="009F6D1E">
              <w:rPr>
                <w:rFonts w:eastAsia="Times New Roman" w:cs="Times New Roman"/>
                <w:iCs/>
                <w:lang w:eastAsia="bg-BG" w:bidi="bg-BG"/>
              </w:rPr>
              <w:t xml:space="preserve"> член 72. Приносът на интервенцията за опазването на биологичното разнообразие в България, чрез опазването на видовете и местообитанията в естествената им среда е от съществено значение.</w:t>
            </w:r>
          </w:p>
        </w:tc>
      </w:tr>
      <w:bookmarkEnd w:id="38"/>
      <w:bookmarkEnd w:id="39"/>
      <w:tr w:rsidR="003D278F" w:rsidRPr="009F6D1E" w14:paraId="178C7BCD" w14:textId="77777777" w:rsidTr="00981F7B">
        <w:tc>
          <w:tcPr>
            <w:tcW w:w="709" w:type="dxa"/>
          </w:tcPr>
          <w:p w14:paraId="6BB4CDAC"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2.</w:t>
            </w:r>
          </w:p>
        </w:tc>
        <w:tc>
          <w:tcPr>
            <w:tcW w:w="4394" w:type="dxa"/>
          </w:tcPr>
          <w:p w14:paraId="12431D13" w14:textId="77777777" w:rsidR="00B46426" w:rsidRPr="009F6D1E" w:rsidRDefault="00B46426"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П.6.2</w:t>
            </w:r>
            <w:r w:rsidRPr="009F6D1E">
              <w:rPr>
                <w:rFonts w:eastAsia="Times New Roman" w:cs="Times New Roman"/>
                <w:b/>
                <w:bCs/>
                <w:i/>
                <w:lang w:eastAsia="bg-BG" w:bidi="bg-BG"/>
              </w:rPr>
              <w:t>. Опазване и подобряване на природозащитното състояние на видове птици, свързани с</w:t>
            </w:r>
          </w:p>
          <w:p w14:paraId="33BF106F" w14:textId="77777777" w:rsidR="003D278F" w:rsidRPr="009F6D1E" w:rsidRDefault="00B46426"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lang w:eastAsia="bg-BG" w:bidi="bg-BG"/>
              </w:rPr>
              <w:t>обработваеми земи и тревни площи в земеделски земи.</w:t>
            </w:r>
          </w:p>
        </w:tc>
        <w:tc>
          <w:tcPr>
            <w:tcW w:w="4530" w:type="dxa"/>
          </w:tcPr>
          <w:p w14:paraId="43E64472" w14:textId="77777777" w:rsidR="003D278F" w:rsidRPr="009F6D1E" w:rsidRDefault="00C81058" w:rsidP="0084747F">
            <w:pPr>
              <w:spacing w:after="60" w:line="264" w:lineRule="auto"/>
              <w:jc w:val="both"/>
              <w:rPr>
                <w:rFonts w:eastAsia="Times New Roman" w:cs="Times New Roman"/>
                <w:bCs/>
                <w:lang w:bidi="bg-BG"/>
              </w:rPr>
            </w:pPr>
            <w:r w:rsidRPr="009F6D1E">
              <w:rPr>
                <w:rFonts w:eastAsia="Times New Roman" w:cs="Times New Roman"/>
                <w:lang w:bidi="bg-BG"/>
              </w:rPr>
              <w:t xml:space="preserve">Потребността може да бъде адресирана чрез </w:t>
            </w:r>
            <w:r w:rsidRPr="009F6D1E">
              <w:rPr>
                <w:rFonts w:eastAsia="Times New Roman" w:cs="Times New Roman"/>
                <w:i/>
                <w:iCs/>
                <w:lang w:bidi="bg-BG"/>
              </w:rPr>
              <w:t>интервенция по чл. 65/67 от РСП</w:t>
            </w:r>
            <w:r w:rsidRPr="009F6D1E">
              <w:rPr>
                <w:rFonts w:eastAsia="Times New Roman" w:cs="Times New Roman"/>
                <w:lang w:bidi="bg-BG"/>
              </w:rPr>
              <w:t xml:space="preserve">, като включва избор на подходящи мерки и дейности, предвидени в Националната рамка за приоритетни действия 2021-2027 г., като териториалният обхват на интервенцията и дейностите съответстват и отразяват ограничения в конкретни зони от мрежата Натура 2000 и </w:t>
            </w:r>
            <w:r w:rsidRPr="009F6D1E">
              <w:rPr>
                <w:rFonts w:eastAsia="Times New Roman" w:cs="Times New Roman"/>
                <w:bCs/>
                <w:lang w:bidi="bg-BG"/>
              </w:rPr>
              <w:t>Планове за действия на МОСВ за опазване на видове</w:t>
            </w:r>
            <w:r w:rsidR="00536EBE" w:rsidRPr="009F6D1E">
              <w:rPr>
                <w:rFonts w:eastAsia="Times New Roman" w:cs="Times New Roman"/>
                <w:bCs/>
                <w:lang w:bidi="bg-BG"/>
              </w:rPr>
              <w:t>.</w:t>
            </w:r>
          </w:p>
          <w:p w14:paraId="73DCA63F" w14:textId="77777777" w:rsidR="00536EBE" w:rsidRPr="009F6D1E" w:rsidRDefault="00536EBE" w:rsidP="0084747F">
            <w:pPr>
              <w:spacing w:after="60" w:line="264" w:lineRule="auto"/>
              <w:jc w:val="both"/>
              <w:rPr>
                <w:rFonts w:eastAsia="Times New Roman" w:cs="Times New Roman"/>
                <w:lang w:eastAsia="en-GB" w:bidi="bg-BG"/>
              </w:rPr>
            </w:pPr>
            <w:r w:rsidRPr="009F6D1E">
              <w:rPr>
                <w:rFonts w:eastAsia="Times New Roman" w:cs="Times New Roman"/>
                <w:lang w:eastAsia="en-GB" w:bidi="bg-BG"/>
              </w:rPr>
              <w:t xml:space="preserve">Прилагане на 2 еко схеми по чл. 31 от Регламент (ЕС) 2021/2115 – </w:t>
            </w:r>
            <w:r w:rsidRPr="009F6D1E">
              <w:rPr>
                <w:rFonts w:eastAsia="Times New Roman" w:cs="Times New Roman"/>
                <w:i/>
                <w:iCs/>
                <w:lang w:eastAsia="en-GB" w:bidi="bg-BG"/>
              </w:rPr>
              <w:t xml:space="preserve">Еко схема за поддържане и подобряване на биологичното разнообразие и </w:t>
            </w:r>
            <w:r w:rsidRPr="009F6D1E">
              <w:rPr>
                <w:rFonts w:eastAsia="Times New Roman" w:cs="Times New Roman"/>
                <w:i/>
                <w:iCs/>
                <w:lang w:eastAsia="en-GB" w:bidi="bg-BG"/>
              </w:rPr>
              <w:lastRenderedPageBreak/>
              <w:t>екологичната инфраструктура и Еко схема за буферни екологични ивици</w:t>
            </w:r>
            <w:r w:rsidRPr="009F6D1E">
              <w:rPr>
                <w:rFonts w:eastAsia="Times New Roman" w:cs="Times New Roman"/>
                <w:lang w:eastAsia="en-GB" w:bidi="bg-BG"/>
              </w:rPr>
              <w:t>.</w:t>
            </w:r>
          </w:p>
          <w:p w14:paraId="72E2C11C" w14:textId="77777777" w:rsidR="006C7307" w:rsidRPr="009F6D1E" w:rsidRDefault="006C7307"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Плащания за земеделски земи в зони от Натура 2000</w:t>
            </w:r>
            <w:r w:rsidRPr="009F6D1E">
              <w:rPr>
                <w:rFonts w:eastAsia="Times New Roman" w:cs="Times New Roman"/>
                <w:lang w:eastAsia="en-GB" w:bidi="bg-BG"/>
              </w:rPr>
              <w:t>“ - член 72. Приносът на интервенцията за опазването на биологичното разнообразие в България, чрез опазването на видовете и местообитанията в естествената им среда е от съществено значение.</w:t>
            </w:r>
          </w:p>
          <w:p w14:paraId="001743B1" w14:textId="77777777" w:rsidR="006C7307" w:rsidRPr="009F6D1E" w:rsidRDefault="006C7307"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 xml:space="preserve">Поддържане на местообитания на </w:t>
            </w:r>
            <w:proofErr w:type="spellStart"/>
            <w:r w:rsidRPr="009F6D1E">
              <w:rPr>
                <w:rFonts w:eastAsia="Times New Roman" w:cs="Times New Roman"/>
                <w:i/>
                <w:iCs/>
                <w:lang w:eastAsia="en-GB" w:bidi="bg-BG"/>
              </w:rPr>
              <w:t>червеногушата</w:t>
            </w:r>
            <w:proofErr w:type="spellEnd"/>
            <w:r w:rsidRPr="009F6D1E">
              <w:rPr>
                <w:rFonts w:eastAsia="Times New Roman" w:cs="Times New Roman"/>
                <w:i/>
                <w:iCs/>
                <w:lang w:eastAsia="en-GB" w:bidi="bg-BG"/>
              </w:rPr>
              <w:t xml:space="preserve"> гъска“</w:t>
            </w:r>
            <w:r w:rsidRPr="009F6D1E">
              <w:rPr>
                <w:rFonts w:eastAsia="Times New Roman" w:cs="Times New Roman"/>
                <w:lang w:eastAsia="en-GB" w:bidi="bg-BG"/>
              </w:rPr>
              <w:t xml:space="preserve"> – член 70: Мярката е насочена към поддържане и подобряване на местообитанията на </w:t>
            </w:r>
            <w:proofErr w:type="spellStart"/>
            <w:r w:rsidRPr="009F6D1E">
              <w:rPr>
                <w:rFonts w:eastAsia="Times New Roman" w:cs="Times New Roman"/>
                <w:lang w:eastAsia="en-GB" w:bidi="bg-BG"/>
              </w:rPr>
              <w:t>червеногушата</w:t>
            </w:r>
            <w:proofErr w:type="spellEnd"/>
            <w:r w:rsidRPr="009F6D1E">
              <w:rPr>
                <w:rFonts w:eastAsia="Times New Roman" w:cs="Times New Roman"/>
                <w:lang w:eastAsia="en-GB" w:bidi="bg-BG"/>
              </w:rPr>
              <w:t xml:space="preserve"> гъска (</w:t>
            </w:r>
            <w:proofErr w:type="spellStart"/>
            <w:r w:rsidRPr="006E0FF0">
              <w:rPr>
                <w:rFonts w:eastAsia="Times New Roman" w:cs="Times New Roman"/>
                <w:i/>
                <w:iCs/>
                <w:lang w:eastAsia="en-GB" w:bidi="bg-BG"/>
              </w:rPr>
              <w:t>Branta</w:t>
            </w:r>
            <w:proofErr w:type="spellEnd"/>
            <w:r w:rsidRPr="006E0FF0">
              <w:rPr>
                <w:rFonts w:eastAsia="Times New Roman" w:cs="Times New Roman"/>
                <w:i/>
                <w:iCs/>
                <w:lang w:eastAsia="en-GB" w:bidi="bg-BG"/>
              </w:rPr>
              <w:t xml:space="preserve"> </w:t>
            </w:r>
            <w:proofErr w:type="spellStart"/>
            <w:r w:rsidRPr="006E0FF0">
              <w:rPr>
                <w:rFonts w:eastAsia="Times New Roman" w:cs="Times New Roman"/>
                <w:i/>
                <w:iCs/>
                <w:lang w:eastAsia="en-GB" w:bidi="bg-BG"/>
              </w:rPr>
              <w:t>ruficollis</w:t>
            </w:r>
            <w:proofErr w:type="spellEnd"/>
            <w:r w:rsidRPr="009F6D1E">
              <w:rPr>
                <w:rFonts w:eastAsia="Times New Roman" w:cs="Times New Roman"/>
                <w:lang w:eastAsia="en-GB" w:bidi="bg-BG"/>
              </w:rPr>
              <w:t xml:space="preserve">) в </w:t>
            </w:r>
            <w:proofErr w:type="spellStart"/>
            <w:r w:rsidRPr="009F6D1E">
              <w:rPr>
                <w:rFonts w:eastAsia="Times New Roman" w:cs="Times New Roman"/>
                <w:lang w:eastAsia="en-GB" w:bidi="bg-BG"/>
              </w:rPr>
              <w:t>орнитологично</w:t>
            </w:r>
            <w:proofErr w:type="spellEnd"/>
            <w:r w:rsidRPr="009F6D1E">
              <w:rPr>
                <w:rFonts w:eastAsia="Times New Roman" w:cs="Times New Roman"/>
                <w:lang w:eastAsia="en-GB" w:bidi="bg-BG"/>
              </w:rPr>
              <w:t xml:space="preserve"> важни места в обработваеми земи, чрез прилагане на подходящи мерки и дейности за изхранване в зимния период на вида, съобразен с екологичните му потребности с цел поддържане и подобряване на местообитания и местата за хранене.</w:t>
            </w:r>
          </w:p>
        </w:tc>
      </w:tr>
      <w:tr w:rsidR="003D278F" w:rsidRPr="009F6D1E" w14:paraId="3AE92F9A" w14:textId="77777777" w:rsidTr="00981F7B">
        <w:tc>
          <w:tcPr>
            <w:tcW w:w="709" w:type="dxa"/>
          </w:tcPr>
          <w:p w14:paraId="0376182E"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648A6063" w14:textId="77777777" w:rsidR="00E80119" w:rsidRPr="009F6D1E" w:rsidRDefault="00E80119"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 xml:space="preserve">П.6.3. </w:t>
            </w:r>
            <w:r w:rsidRPr="009F6D1E">
              <w:rPr>
                <w:rFonts w:eastAsia="Times New Roman" w:cs="Times New Roman"/>
                <w:b/>
                <w:bCs/>
                <w:i/>
                <w:lang w:eastAsia="bg-BG" w:bidi="bg-BG"/>
              </w:rPr>
              <w:t>Съхраняване и възстановяване на елементи на ландшафта и постигане на благоприятен природозащитен статус на постоянно затревените площи</w:t>
            </w:r>
          </w:p>
          <w:p w14:paraId="2BA0AF25" w14:textId="77777777" w:rsidR="003D278F" w:rsidRPr="009F6D1E" w:rsidRDefault="003D278F"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4E6BE566" w14:textId="77777777" w:rsidR="006C7307" w:rsidRPr="009F6D1E" w:rsidRDefault="006C7307" w:rsidP="0084747F">
            <w:pPr>
              <w:spacing w:after="60" w:line="264" w:lineRule="auto"/>
              <w:jc w:val="both"/>
              <w:rPr>
                <w:rFonts w:eastAsia="Times New Roman" w:cs="Times New Roman"/>
                <w:bCs/>
                <w:i/>
                <w:iCs/>
                <w:lang w:eastAsia="en-GB" w:bidi="bg-BG"/>
              </w:rPr>
            </w:pPr>
            <w:r w:rsidRPr="009F6D1E">
              <w:rPr>
                <w:rFonts w:eastAsia="Times New Roman" w:cs="Times New Roman"/>
                <w:bCs/>
                <w:lang w:eastAsia="en-GB" w:bidi="bg-BG"/>
              </w:rPr>
              <w:t>Прилагане на 2 еко схеми по чл. 31 от Регламент (ЕС) 2021/2115</w:t>
            </w:r>
            <w:r w:rsidRPr="009F6D1E">
              <w:rPr>
                <w:rFonts w:eastAsia="Times New Roman" w:cs="Times New Roman"/>
                <w:bCs/>
                <w:i/>
                <w:iCs/>
                <w:lang w:eastAsia="en-GB" w:bidi="bg-BG"/>
              </w:rPr>
              <w:t xml:space="preserve"> – Еко схема за поддържане и подобряване на биологичното разнообразие и екологичната инфраструктура и Еко схема за буферни екологични ивици.</w:t>
            </w:r>
          </w:p>
          <w:p w14:paraId="1C4C546C" w14:textId="77777777" w:rsidR="006C7307" w:rsidRPr="009F6D1E" w:rsidRDefault="006C7307" w:rsidP="0084747F">
            <w:pPr>
              <w:spacing w:after="60" w:line="264" w:lineRule="auto"/>
              <w:jc w:val="both"/>
              <w:rPr>
                <w:rFonts w:eastAsia="Times New Roman" w:cs="Times New Roman"/>
                <w:bCs/>
                <w:lang w:eastAsia="en-GB" w:bidi="bg-BG"/>
              </w:rPr>
            </w:pPr>
            <w:r w:rsidRPr="009F6D1E">
              <w:rPr>
                <w:rFonts w:eastAsia="Times New Roman" w:cs="Times New Roman"/>
                <w:bCs/>
                <w:i/>
                <w:iCs/>
                <w:lang w:eastAsia="en-GB" w:bidi="bg-BG"/>
              </w:rPr>
              <w:t xml:space="preserve">Интервенции по чл. 65, </w:t>
            </w:r>
            <w:r w:rsidRPr="009F6D1E">
              <w:rPr>
                <w:rFonts w:eastAsia="Times New Roman" w:cs="Times New Roman"/>
                <w:bCs/>
                <w:lang w:eastAsia="en-GB" w:bidi="bg-BG"/>
              </w:rPr>
              <w:t>като се включат дейности, насочени към съхраняване и възстановяване на елементи на ландшафта, както и дейности за по извършване на екстензивна паша.</w:t>
            </w:r>
          </w:p>
          <w:p w14:paraId="374F68F5" w14:textId="77777777" w:rsidR="00C81058" w:rsidRPr="009F6D1E" w:rsidRDefault="00C81058" w:rsidP="0084747F">
            <w:p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t>Интервенции:</w:t>
            </w:r>
          </w:p>
          <w:p w14:paraId="7C7A61E8" w14:textId="77777777" w:rsidR="00C81058" w:rsidRPr="009F6D1E" w:rsidRDefault="006C7307" w:rsidP="0084747F">
            <w:pPr>
              <w:numPr>
                <w:ilvl w:val="0"/>
                <w:numId w:val="8"/>
              </w:num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t>Традиционни практики за сезонна паша (</w:t>
            </w:r>
            <w:proofErr w:type="spellStart"/>
            <w:r w:rsidRPr="009F6D1E">
              <w:rPr>
                <w:rFonts w:eastAsia="Times New Roman" w:cs="Times New Roman"/>
                <w:bCs/>
                <w:i/>
                <w:iCs/>
                <w:lang w:eastAsia="en-GB" w:bidi="bg-BG"/>
              </w:rPr>
              <w:t>пасторализъм</w:t>
            </w:r>
            <w:proofErr w:type="spellEnd"/>
            <w:r w:rsidRPr="009F6D1E">
              <w:rPr>
                <w:rFonts w:eastAsia="Times New Roman" w:cs="Times New Roman"/>
                <w:bCs/>
                <w:i/>
                <w:iCs/>
                <w:lang w:eastAsia="en-GB" w:bidi="bg-BG"/>
              </w:rPr>
              <w:t>)“</w:t>
            </w:r>
            <w:r w:rsidR="00C81058" w:rsidRPr="009F6D1E">
              <w:rPr>
                <w:rFonts w:eastAsia="Times New Roman" w:cs="Times New Roman"/>
                <w:bCs/>
                <w:i/>
                <w:iCs/>
                <w:lang w:eastAsia="en-GB" w:bidi="bg-BG"/>
              </w:rPr>
              <w:t xml:space="preserve">- чл. </w:t>
            </w:r>
            <w:r w:rsidRPr="009F6D1E">
              <w:rPr>
                <w:rFonts w:eastAsia="Times New Roman" w:cs="Times New Roman"/>
                <w:bCs/>
                <w:i/>
                <w:iCs/>
                <w:lang w:eastAsia="en-GB" w:bidi="bg-BG"/>
              </w:rPr>
              <w:t>70</w:t>
            </w:r>
            <w:r w:rsidR="00C81058" w:rsidRPr="009F6D1E">
              <w:rPr>
                <w:rFonts w:eastAsia="Times New Roman" w:cs="Times New Roman"/>
                <w:bCs/>
                <w:i/>
                <w:iCs/>
                <w:lang w:eastAsia="en-GB" w:bidi="bg-BG"/>
              </w:rPr>
              <w:t xml:space="preserve"> (ЕЗФРСР)</w:t>
            </w:r>
          </w:p>
          <w:p w14:paraId="7E0AF87D" w14:textId="77777777" w:rsidR="006C7307" w:rsidRPr="009F6D1E" w:rsidRDefault="006C7307" w:rsidP="0084747F">
            <w:pPr>
              <w:numPr>
                <w:ilvl w:val="0"/>
                <w:numId w:val="8"/>
              </w:num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lastRenderedPageBreak/>
              <w:t>Възстановяване и поддържане на деградирали пасищни територии“ - член 70</w:t>
            </w:r>
            <w:r w:rsidR="007A5BC8" w:rsidRPr="009F6D1E">
              <w:rPr>
                <w:rFonts w:eastAsia="Times New Roman" w:cs="Times New Roman"/>
                <w:bCs/>
                <w:i/>
                <w:iCs/>
                <w:lang w:eastAsia="en-GB" w:bidi="bg-BG"/>
              </w:rPr>
              <w:t xml:space="preserve"> от ЕЗФРСР</w:t>
            </w:r>
          </w:p>
          <w:p w14:paraId="05EBD351" w14:textId="77777777" w:rsidR="007A5BC8" w:rsidRPr="009F6D1E" w:rsidRDefault="007A5BC8" w:rsidP="0084747F">
            <w:pPr>
              <w:pStyle w:val="ListParagraph"/>
              <w:numPr>
                <w:ilvl w:val="0"/>
                <w:numId w:val="8"/>
              </w:numPr>
              <w:spacing w:after="60" w:line="264" w:lineRule="auto"/>
              <w:jc w:val="both"/>
              <w:rPr>
                <w:rFonts w:eastAsia="Times New Roman"/>
                <w:bCs/>
                <w:i/>
                <w:iCs/>
                <w:sz w:val="22"/>
                <w:szCs w:val="22"/>
                <w:lang w:val="bg-BG" w:eastAsia="en-GB" w:bidi="bg-BG"/>
              </w:rPr>
            </w:pPr>
            <w:r w:rsidRPr="009F6D1E">
              <w:rPr>
                <w:rFonts w:eastAsia="Times New Roman"/>
                <w:bCs/>
                <w:i/>
                <w:iCs/>
                <w:sz w:val="22"/>
                <w:szCs w:val="22"/>
                <w:lang w:val="bg-BG" w:eastAsia="en-GB" w:bidi="bg-BG"/>
              </w:rPr>
              <w:t>По създаване на допълнителни ивици от медоносни растения - чл. 65 (ЕЗФРСР)</w:t>
            </w:r>
          </w:p>
          <w:p w14:paraId="4316804D" w14:textId="77777777" w:rsidR="007A5BC8" w:rsidRPr="009F6D1E" w:rsidRDefault="007A5BC8" w:rsidP="0084747F">
            <w:pPr>
              <w:pStyle w:val="ListParagraph"/>
              <w:numPr>
                <w:ilvl w:val="0"/>
                <w:numId w:val="8"/>
              </w:numPr>
              <w:spacing w:after="60" w:line="264" w:lineRule="auto"/>
              <w:jc w:val="both"/>
              <w:rPr>
                <w:rFonts w:eastAsia="Times New Roman"/>
                <w:bCs/>
                <w:i/>
                <w:iCs/>
                <w:sz w:val="22"/>
                <w:szCs w:val="22"/>
                <w:lang w:val="bg-BG" w:eastAsia="en-GB" w:bidi="bg-BG"/>
              </w:rPr>
            </w:pPr>
            <w:r w:rsidRPr="009F6D1E">
              <w:rPr>
                <w:rFonts w:eastAsia="Times New Roman"/>
                <w:bCs/>
                <w:i/>
                <w:iCs/>
                <w:sz w:val="22"/>
                <w:szCs w:val="22"/>
                <w:lang w:val="bg-BG" w:eastAsia="en-GB" w:bidi="bg-BG"/>
              </w:rPr>
              <w:t xml:space="preserve">поддържане и изграждане на мултифункционални (растителни) буферни ивици около обработваемите площи и зони по Натура 2000 - чл. 65 ЕЗФРСР) </w:t>
            </w:r>
          </w:p>
          <w:p w14:paraId="5144D473" w14:textId="77777777" w:rsidR="007A5BC8" w:rsidRPr="009F6D1E" w:rsidRDefault="007A5BC8" w:rsidP="0084747F">
            <w:pPr>
              <w:pStyle w:val="ListParagraph"/>
              <w:numPr>
                <w:ilvl w:val="0"/>
                <w:numId w:val="8"/>
              </w:numPr>
              <w:spacing w:after="60" w:line="264" w:lineRule="auto"/>
              <w:jc w:val="both"/>
              <w:rPr>
                <w:rFonts w:eastAsia="Times New Roman"/>
                <w:bCs/>
                <w:i/>
                <w:iCs/>
                <w:sz w:val="22"/>
                <w:szCs w:val="22"/>
                <w:lang w:val="bg-BG" w:eastAsia="en-GB" w:bidi="bg-BG"/>
              </w:rPr>
            </w:pPr>
            <w:r w:rsidRPr="009F6D1E">
              <w:rPr>
                <w:rFonts w:eastAsia="Times New Roman"/>
                <w:bCs/>
                <w:i/>
                <w:iCs/>
                <w:sz w:val="22"/>
                <w:szCs w:val="22"/>
                <w:lang w:val="bg-BG" w:eastAsia="en-GB" w:bidi="bg-BG"/>
              </w:rPr>
              <w:t xml:space="preserve">поддържането на съществуващи елементи на ландшафта, в т.ч. полски синори, полезащитни пояси, ливади и пасища - чл. 65, чл. 66 (ЕЗФРСР) </w:t>
            </w:r>
          </w:p>
          <w:p w14:paraId="58972EBF" w14:textId="77777777" w:rsidR="003D278F" w:rsidRPr="009F6D1E" w:rsidRDefault="007A5BC8" w:rsidP="0084747F">
            <w:pPr>
              <w:pStyle w:val="ListParagraph"/>
              <w:numPr>
                <w:ilvl w:val="0"/>
                <w:numId w:val="8"/>
              </w:numPr>
              <w:spacing w:after="60" w:line="264" w:lineRule="auto"/>
              <w:jc w:val="both"/>
              <w:rPr>
                <w:rFonts w:eastAsia="Times New Roman"/>
                <w:bCs/>
                <w:i/>
                <w:iCs/>
                <w:sz w:val="22"/>
                <w:szCs w:val="22"/>
                <w:lang w:val="bg-BG" w:eastAsia="en-GB" w:bidi="bg-BG"/>
              </w:rPr>
            </w:pPr>
            <w:r w:rsidRPr="009F6D1E">
              <w:rPr>
                <w:rFonts w:eastAsia="Times New Roman"/>
                <w:bCs/>
                <w:i/>
                <w:iCs/>
                <w:sz w:val="22"/>
                <w:szCs w:val="22"/>
                <w:lang w:val="bg-BG" w:eastAsia="en-GB" w:bidi="bg-BG"/>
              </w:rPr>
              <w:t>дейности в съответствие с тези планирани в НРПД 2021-2027 (ЕФГЗ и ЕЗФРСР)</w:t>
            </w:r>
          </w:p>
        </w:tc>
      </w:tr>
      <w:tr w:rsidR="003D278F" w:rsidRPr="009F6D1E" w14:paraId="201867E6" w14:textId="77777777" w:rsidTr="00981F7B">
        <w:tc>
          <w:tcPr>
            <w:tcW w:w="709" w:type="dxa"/>
          </w:tcPr>
          <w:p w14:paraId="1ED3F519"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4.</w:t>
            </w:r>
          </w:p>
        </w:tc>
        <w:tc>
          <w:tcPr>
            <w:tcW w:w="4394" w:type="dxa"/>
          </w:tcPr>
          <w:p w14:paraId="446E84DE" w14:textId="77777777" w:rsidR="003D278F" w:rsidRPr="009F6D1E" w:rsidRDefault="00E80119"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П.6.4. </w:t>
            </w:r>
            <w:r w:rsidRPr="009F6D1E">
              <w:rPr>
                <w:rFonts w:eastAsia="Times New Roman" w:cs="Times New Roman"/>
                <w:b/>
                <w:bCs/>
                <w:i/>
                <w:lang w:eastAsia="bg-BG" w:bidi="bg-BG"/>
              </w:rPr>
              <w:t>Насърчаване на извършването на земеделски дейности в райони с природни и други специфични ограничения</w:t>
            </w:r>
          </w:p>
        </w:tc>
        <w:tc>
          <w:tcPr>
            <w:tcW w:w="4530" w:type="dxa"/>
          </w:tcPr>
          <w:p w14:paraId="5EEC08BF" w14:textId="77777777" w:rsidR="003D278F" w:rsidRPr="009F6D1E" w:rsidRDefault="00C81058" w:rsidP="0084747F">
            <w:pPr>
              <w:spacing w:after="60" w:line="264" w:lineRule="auto"/>
              <w:jc w:val="both"/>
              <w:rPr>
                <w:rFonts w:eastAsia="Times New Roman" w:cs="Times New Roman"/>
                <w:lang w:eastAsia="en-GB" w:bidi="bg-BG"/>
              </w:rPr>
            </w:pPr>
            <w:r w:rsidRPr="009F6D1E">
              <w:rPr>
                <w:rFonts w:eastAsia="Times New Roman" w:cs="Times New Roman"/>
                <w:bCs/>
                <w:lang w:eastAsia="en-GB" w:bidi="bg-BG"/>
              </w:rPr>
              <w:t>Предвижда се включването на</w:t>
            </w:r>
            <w:r w:rsidRPr="009F6D1E">
              <w:rPr>
                <w:rFonts w:eastAsia="Times New Roman" w:cs="Times New Roman"/>
                <w:b/>
                <w:bCs/>
                <w:i/>
                <w:iCs/>
                <w:lang w:eastAsia="en-GB" w:bidi="bg-BG"/>
              </w:rPr>
              <w:t xml:space="preserve"> </w:t>
            </w:r>
            <w:r w:rsidRPr="009F6D1E">
              <w:rPr>
                <w:rFonts w:eastAsia="Times New Roman" w:cs="Times New Roman"/>
                <w:bCs/>
                <w:i/>
                <w:lang w:eastAsia="en-GB" w:bidi="bg-BG"/>
              </w:rPr>
              <w:t>интервенция за компенсиране на земеделските стопани</w:t>
            </w:r>
            <w:r w:rsidRPr="009F6D1E">
              <w:rPr>
                <w:rFonts w:eastAsia="Times New Roman" w:cs="Times New Roman"/>
                <w:bCs/>
                <w:lang w:eastAsia="en-GB" w:bidi="bg-BG"/>
              </w:rPr>
              <w:t xml:space="preserve"> изцяло или частично за направените допълнителни разходи и пропуснатите приходи, свързани с ограниченията в съответния район.</w:t>
            </w:r>
            <w:r w:rsidRPr="009F6D1E">
              <w:rPr>
                <w:rFonts w:eastAsia="Times New Roman" w:cs="Times New Roman"/>
                <w:b/>
                <w:bCs/>
                <w:i/>
                <w:iCs/>
                <w:lang w:eastAsia="en-GB" w:bidi="bg-BG"/>
              </w:rPr>
              <w:t xml:space="preserve"> </w:t>
            </w:r>
          </w:p>
        </w:tc>
      </w:tr>
      <w:tr w:rsidR="003D278F" w:rsidRPr="009F6D1E" w14:paraId="04D6A3B2" w14:textId="77777777" w:rsidTr="00981F7B">
        <w:tc>
          <w:tcPr>
            <w:tcW w:w="709" w:type="dxa"/>
          </w:tcPr>
          <w:p w14:paraId="6356943B"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0B8185AF" w14:textId="77777777" w:rsidR="00E80119" w:rsidRPr="009F6D1E" w:rsidRDefault="00E80119"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П.6.5. </w:t>
            </w:r>
            <w:r w:rsidRPr="009F6D1E">
              <w:rPr>
                <w:rFonts w:eastAsia="Times New Roman" w:cs="Times New Roman"/>
                <w:b/>
                <w:bCs/>
                <w:i/>
                <w:lang w:eastAsia="bg-BG" w:bidi="bg-BG"/>
              </w:rPr>
              <w:t>Насърчаване на практиките за разширяване биологично земеделие</w:t>
            </w:r>
          </w:p>
          <w:p w14:paraId="02F253C9" w14:textId="77777777" w:rsidR="003D278F" w:rsidRPr="009F6D1E" w:rsidRDefault="003D278F"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2584E4E4" w14:textId="77777777" w:rsidR="003D278F" w:rsidRPr="009F6D1E" w:rsidRDefault="002F56A1" w:rsidP="0084747F">
            <w:pPr>
              <w:spacing w:after="60" w:line="264" w:lineRule="auto"/>
              <w:jc w:val="both"/>
              <w:rPr>
                <w:rFonts w:eastAsia="Times New Roman" w:cs="Times New Roman"/>
                <w:bCs/>
                <w:lang w:bidi="bg-BG"/>
              </w:rPr>
            </w:pPr>
            <w:r w:rsidRPr="009F6D1E">
              <w:rPr>
                <w:rFonts w:eastAsia="Times New Roman" w:cs="Times New Roman"/>
                <w:bCs/>
                <w:lang w:bidi="bg-BG"/>
              </w:rPr>
              <w:t>Прилагане на 2 еко схеми по чл. 31 от Регламент (ЕС) 2021/2115 – Еко схема за поддържане на биологично земеделие (земеделски площи) и Еко схема за поддържане на биологично земеделие (селскостопански животни).</w:t>
            </w:r>
          </w:p>
          <w:p w14:paraId="764DD25F" w14:textId="77777777" w:rsidR="002F56A1" w:rsidRPr="009F6D1E" w:rsidRDefault="002F56A1"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Биологично производство</w:t>
            </w:r>
            <w:r w:rsidRPr="009F6D1E">
              <w:rPr>
                <w:rFonts w:eastAsia="Times New Roman" w:cs="Times New Roman"/>
                <w:lang w:eastAsia="en-GB" w:bidi="bg-BG"/>
              </w:rPr>
              <w:t>" – член 70.</w:t>
            </w:r>
          </w:p>
          <w:p w14:paraId="228C8BA9" w14:textId="77777777" w:rsidR="002F56A1" w:rsidRPr="009F6D1E" w:rsidRDefault="002F56A1"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Използване на устойчиви практики и сортове, отглеждани при специфични условия“</w:t>
            </w:r>
            <w:r w:rsidRPr="009F6D1E">
              <w:rPr>
                <w:rFonts w:eastAsia="Times New Roman" w:cs="Times New Roman"/>
                <w:lang w:eastAsia="en-GB" w:bidi="bg-BG"/>
              </w:rPr>
              <w:t xml:space="preserve"> – член 70</w:t>
            </w:r>
          </w:p>
        </w:tc>
      </w:tr>
      <w:tr w:rsidR="003D278F" w:rsidRPr="009F6D1E" w14:paraId="0DD3AD4C" w14:textId="77777777" w:rsidTr="00981F7B">
        <w:tc>
          <w:tcPr>
            <w:tcW w:w="709" w:type="dxa"/>
          </w:tcPr>
          <w:p w14:paraId="39529A36"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6.</w:t>
            </w:r>
          </w:p>
        </w:tc>
        <w:tc>
          <w:tcPr>
            <w:tcW w:w="4394" w:type="dxa"/>
          </w:tcPr>
          <w:p w14:paraId="30F2EC73" w14:textId="77777777" w:rsidR="00E80119" w:rsidRPr="009F6D1E" w:rsidRDefault="00E80119"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П.6.6.</w:t>
            </w:r>
            <w:r w:rsidRPr="009F6D1E">
              <w:rPr>
                <w:rFonts w:eastAsia="Times New Roman" w:cs="Times New Roman"/>
                <w:b/>
                <w:bCs/>
                <w:i/>
                <w:lang w:eastAsia="bg-BG" w:bidi="bg-BG"/>
              </w:rPr>
              <w:t xml:space="preserve"> Насърчаване на практики за справяне с генетична ерозия и внасяне на Инвазивни чужди видове (ИЧВ) и неместни, съгласно националното законодателство видове</w:t>
            </w:r>
          </w:p>
        </w:tc>
        <w:tc>
          <w:tcPr>
            <w:tcW w:w="4530" w:type="dxa"/>
          </w:tcPr>
          <w:p w14:paraId="7265C1A7" w14:textId="77777777" w:rsidR="003D278F" w:rsidRPr="009F6D1E" w:rsidRDefault="002F56A1" w:rsidP="0084747F">
            <w:pPr>
              <w:spacing w:after="60" w:line="264" w:lineRule="auto"/>
              <w:jc w:val="both"/>
              <w:rPr>
                <w:rFonts w:eastAsia="Times New Roman" w:cs="Times New Roman"/>
                <w:i/>
                <w:iCs/>
                <w:lang w:eastAsia="en-GB" w:bidi="bg-BG"/>
              </w:rPr>
            </w:pPr>
            <w:r w:rsidRPr="009F6D1E">
              <w:rPr>
                <w:rFonts w:eastAsia="Times New Roman" w:cs="Times New Roman"/>
                <w:i/>
                <w:lang w:eastAsia="en-GB" w:bidi="bg-BG"/>
              </w:rPr>
              <w:t>Интервенция</w:t>
            </w:r>
            <w:r w:rsidRPr="009F6D1E">
              <w:rPr>
                <w:rFonts w:eastAsia="Times New Roman" w:cs="Times New Roman"/>
                <w:i/>
                <w:iCs/>
                <w:lang w:eastAsia="en-GB" w:bidi="bg-BG"/>
              </w:rPr>
              <w:t xml:space="preserve"> „Създаване и възстановяване на екологична инфраструктура“ – член 70.</w:t>
            </w:r>
          </w:p>
          <w:p w14:paraId="44C3279E" w14:textId="77777777" w:rsidR="002F56A1" w:rsidRPr="009F6D1E" w:rsidRDefault="002F56A1"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i/>
                <w:iCs/>
                <w:lang w:eastAsia="en-GB" w:bidi="bg-BG"/>
              </w:rPr>
              <w:t xml:space="preserve"> „Насърчаване използването на култури и сортове, </w:t>
            </w:r>
            <w:r w:rsidRPr="009F6D1E">
              <w:rPr>
                <w:rFonts w:eastAsia="Times New Roman" w:cs="Times New Roman"/>
                <w:i/>
                <w:iCs/>
                <w:lang w:eastAsia="en-GB" w:bidi="bg-BG"/>
              </w:rPr>
              <w:lastRenderedPageBreak/>
              <w:t>устойчиви към климатичните условия“ – член 70</w:t>
            </w:r>
          </w:p>
        </w:tc>
      </w:tr>
      <w:tr w:rsidR="003D278F" w:rsidRPr="009F6D1E" w14:paraId="00A87603" w14:textId="77777777" w:rsidTr="00981F7B">
        <w:tc>
          <w:tcPr>
            <w:tcW w:w="709" w:type="dxa"/>
          </w:tcPr>
          <w:p w14:paraId="0CABE85F"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7.</w:t>
            </w:r>
          </w:p>
        </w:tc>
        <w:tc>
          <w:tcPr>
            <w:tcW w:w="4394" w:type="dxa"/>
          </w:tcPr>
          <w:p w14:paraId="39FE3AFC" w14:textId="77777777" w:rsidR="00E80119" w:rsidRPr="009F6D1E" w:rsidRDefault="00E80119"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 xml:space="preserve">П.6.7. </w:t>
            </w:r>
            <w:r w:rsidRPr="009F6D1E">
              <w:rPr>
                <w:rFonts w:eastAsia="Times New Roman" w:cs="Times New Roman"/>
                <w:b/>
                <w:bCs/>
                <w:i/>
                <w:lang w:eastAsia="bg-BG" w:bidi="bg-BG"/>
              </w:rPr>
              <w:t xml:space="preserve">Запазване и подобряване на генетичното разнообразие в животновъдството и растениевъдството в селското стопанство. </w:t>
            </w:r>
          </w:p>
          <w:p w14:paraId="6929B168" w14:textId="77777777" w:rsidR="00E80119" w:rsidRPr="009F6D1E" w:rsidRDefault="00E80119"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7F87D724" w14:textId="77777777" w:rsidR="00D91758" w:rsidRPr="009F6D1E" w:rsidRDefault="00D91758" w:rsidP="0084747F">
            <w:pPr>
              <w:spacing w:after="60" w:line="264" w:lineRule="auto"/>
              <w:jc w:val="both"/>
              <w:rPr>
                <w:rFonts w:eastAsia="Times New Roman" w:cs="Times New Roman"/>
                <w:bCs/>
                <w:lang w:eastAsia="en-GB" w:bidi="bg-BG"/>
              </w:rPr>
            </w:pPr>
            <w:r w:rsidRPr="009F6D1E">
              <w:rPr>
                <w:rFonts w:eastAsia="Times New Roman" w:cs="Times New Roman"/>
                <w:bCs/>
                <w:i/>
                <w:lang w:eastAsia="en-GB" w:bidi="bg-BG"/>
              </w:rPr>
              <w:t>Интервенция</w:t>
            </w:r>
            <w:r w:rsidRPr="009F6D1E">
              <w:rPr>
                <w:rFonts w:eastAsia="Times New Roman" w:cs="Times New Roman"/>
                <w:bCs/>
                <w:lang w:eastAsia="en-GB" w:bidi="bg-BG"/>
              </w:rPr>
              <w:t xml:space="preserve"> „</w:t>
            </w:r>
            <w:r w:rsidRPr="009F6D1E">
              <w:rPr>
                <w:rFonts w:eastAsia="Times New Roman" w:cs="Times New Roman"/>
                <w:bCs/>
                <w:i/>
                <w:iCs/>
                <w:lang w:eastAsia="en-GB" w:bidi="bg-BG"/>
              </w:rPr>
              <w:t>Опазване на местни породи (автохтонни), важни за селското стопанство“</w:t>
            </w:r>
            <w:r w:rsidRPr="009F6D1E">
              <w:rPr>
                <w:rFonts w:eastAsia="Times New Roman" w:cs="Times New Roman"/>
                <w:bCs/>
                <w:lang w:eastAsia="en-GB" w:bidi="bg-BG"/>
              </w:rPr>
              <w:t xml:space="preserve"> – член 70: Основната цел на мярката е опазване на местни (автохтонни) породи, важни за селското стопанство, като се насърчи отглеждането на традиционни за територията на Република България застрашени местни породи от видове животни: говеда, биволи, овце, кози, коне и свине, като това следва да доведе до подобряване на екологичната устойчивост в животновъдния сектор чрез запазване на генетичните ресурси.</w:t>
            </w:r>
          </w:p>
          <w:p w14:paraId="195583A8" w14:textId="77777777" w:rsidR="003D278F" w:rsidRPr="009F6D1E" w:rsidRDefault="00D91758" w:rsidP="0084747F">
            <w:pPr>
              <w:spacing w:after="60" w:line="264" w:lineRule="auto"/>
              <w:jc w:val="both"/>
              <w:rPr>
                <w:rFonts w:eastAsia="Times New Roman" w:cs="Times New Roman"/>
                <w:lang w:eastAsia="en-GB" w:bidi="bg-BG"/>
              </w:rPr>
            </w:pPr>
            <w:r w:rsidRPr="009F6D1E">
              <w:rPr>
                <w:rFonts w:eastAsia="Times New Roman" w:cs="Times New Roman"/>
                <w:bCs/>
                <w:lang w:eastAsia="en-GB" w:bidi="bg-BG"/>
              </w:rPr>
              <w:t xml:space="preserve"> </w:t>
            </w:r>
            <w:r w:rsidRPr="009F6D1E">
              <w:rPr>
                <w:rFonts w:eastAsia="Times New Roman" w:cs="Times New Roman"/>
                <w:bCs/>
                <w:i/>
                <w:lang w:eastAsia="en-GB" w:bidi="bg-BG"/>
              </w:rPr>
              <w:t>Интервенция</w:t>
            </w:r>
            <w:r w:rsidRPr="009F6D1E">
              <w:rPr>
                <w:rFonts w:eastAsia="Times New Roman" w:cs="Times New Roman"/>
                <w:bCs/>
                <w:lang w:eastAsia="en-GB" w:bidi="bg-BG"/>
              </w:rPr>
              <w:t xml:space="preserve"> „</w:t>
            </w:r>
            <w:r w:rsidRPr="009F6D1E">
              <w:rPr>
                <w:rFonts w:eastAsia="Times New Roman" w:cs="Times New Roman"/>
                <w:bCs/>
                <w:i/>
                <w:iCs/>
                <w:lang w:eastAsia="en-GB" w:bidi="bg-BG"/>
              </w:rPr>
              <w:t>Опазване на застрашени от изчезване местни сортове, важни за селското стопанство</w:t>
            </w:r>
            <w:r w:rsidR="000F14AE" w:rsidRPr="009F6D1E">
              <w:rPr>
                <w:rFonts w:eastAsia="Times New Roman" w:cs="Times New Roman"/>
                <w:bCs/>
                <w:lang w:eastAsia="en-GB" w:bidi="bg-BG"/>
              </w:rPr>
              <w:t xml:space="preserve">“ - </w:t>
            </w:r>
            <w:r w:rsidRPr="009F6D1E">
              <w:rPr>
                <w:rFonts w:eastAsia="Times New Roman" w:cs="Times New Roman"/>
                <w:bCs/>
                <w:lang w:eastAsia="en-GB" w:bidi="bg-BG"/>
              </w:rPr>
              <w:t>член 70: Основната цел на мярката е да се увеличи отглеждането застрашените от изчезване местни сортове растения. Ангажимента по управляването главно е свързан с инициативи в областта на околната среда и климата и биоразнообразието.</w:t>
            </w:r>
          </w:p>
        </w:tc>
      </w:tr>
      <w:tr w:rsidR="003D278F" w:rsidRPr="009F6D1E" w14:paraId="24E1A5EA" w14:textId="77777777" w:rsidTr="00981F7B">
        <w:tc>
          <w:tcPr>
            <w:tcW w:w="709" w:type="dxa"/>
          </w:tcPr>
          <w:p w14:paraId="59C40A7C"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8.</w:t>
            </w:r>
          </w:p>
        </w:tc>
        <w:tc>
          <w:tcPr>
            <w:tcW w:w="4394" w:type="dxa"/>
          </w:tcPr>
          <w:p w14:paraId="50D31622" w14:textId="77777777" w:rsidR="003D278F" w:rsidRPr="009F6D1E" w:rsidRDefault="00E80119"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П.6.8. </w:t>
            </w:r>
            <w:r w:rsidRPr="009F6D1E">
              <w:rPr>
                <w:rFonts w:eastAsia="Times New Roman" w:cs="Times New Roman"/>
                <w:b/>
                <w:bCs/>
                <w:i/>
                <w:lang w:eastAsia="bg-BG" w:bidi="bg-BG"/>
              </w:rPr>
              <w:t xml:space="preserve">Подобряване на </w:t>
            </w:r>
            <w:proofErr w:type="spellStart"/>
            <w:r w:rsidRPr="009F6D1E">
              <w:rPr>
                <w:rFonts w:eastAsia="Times New Roman" w:cs="Times New Roman"/>
                <w:b/>
                <w:bCs/>
                <w:i/>
                <w:lang w:eastAsia="bg-BG" w:bidi="bg-BG"/>
              </w:rPr>
              <w:t>опрашителния</w:t>
            </w:r>
            <w:proofErr w:type="spellEnd"/>
            <w:r w:rsidRPr="009F6D1E">
              <w:rPr>
                <w:rFonts w:eastAsia="Times New Roman" w:cs="Times New Roman"/>
                <w:b/>
                <w:bCs/>
                <w:i/>
                <w:lang w:eastAsia="bg-BG" w:bidi="bg-BG"/>
              </w:rPr>
              <w:t xml:space="preserve"> потенциал на екосистемите и наличието на подходящи растения.</w:t>
            </w:r>
          </w:p>
        </w:tc>
        <w:tc>
          <w:tcPr>
            <w:tcW w:w="4530" w:type="dxa"/>
          </w:tcPr>
          <w:p w14:paraId="4D04E88C" w14:textId="77777777" w:rsidR="000F14AE" w:rsidRPr="009F6D1E" w:rsidRDefault="000F14AE" w:rsidP="0084747F">
            <w:pPr>
              <w:spacing w:after="60" w:line="264" w:lineRule="auto"/>
              <w:jc w:val="both"/>
              <w:rPr>
                <w:rFonts w:eastAsia="Times New Roman" w:cs="Times New Roman"/>
                <w:bCs/>
                <w:lang w:eastAsia="en-GB" w:bidi="bg-BG"/>
              </w:rPr>
            </w:pPr>
            <w:r w:rsidRPr="009F6D1E">
              <w:rPr>
                <w:rFonts w:eastAsia="Times New Roman" w:cs="Times New Roman"/>
                <w:bCs/>
                <w:i/>
                <w:lang w:eastAsia="en-GB" w:bidi="bg-BG"/>
              </w:rPr>
              <w:t>Интервенция</w:t>
            </w:r>
            <w:r w:rsidRPr="009F6D1E">
              <w:rPr>
                <w:rFonts w:eastAsia="Times New Roman" w:cs="Times New Roman"/>
                <w:bCs/>
                <w:lang w:eastAsia="en-GB" w:bidi="bg-BG"/>
              </w:rPr>
              <w:t xml:space="preserve"> „</w:t>
            </w:r>
            <w:r w:rsidRPr="009F6D1E">
              <w:rPr>
                <w:rFonts w:eastAsia="Times New Roman" w:cs="Times New Roman"/>
                <w:bCs/>
                <w:i/>
                <w:iCs/>
                <w:lang w:eastAsia="en-GB" w:bidi="bg-BG"/>
              </w:rPr>
              <w:t>Действия за запазване или увеличаване на наличния брой пчелни кошери в Съюза, включително развъждане на пчели“</w:t>
            </w:r>
            <w:r w:rsidRPr="009F6D1E">
              <w:rPr>
                <w:rFonts w:eastAsia="Times New Roman" w:cs="Times New Roman"/>
                <w:bCs/>
                <w:lang w:eastAsia="en-GB" w:bidi="bg-BG"/>
              </w:rPr>
              <w:t xml:space="preserve"> - член 55, ще допринесе за запазване на пчелната популация и устойчивост на сектора, както и запазване на биоразнообразието и екосистемите. </w:t>
            </w:r>
          </w:p>
          <w:p w14:paraId="505A26AA" w14:textId="77777777" w:rsidR="003D278F" w:rsidRPr="009F6D1E" w:rsidRDefault="000F14AE" w:rsidP="0084747F">
            <w:pPr>
              <w:spacing w:after="60" w:line="264" w:lineRule="auto"/>
              <w:jc w:val="both"/>
              <w:rPr>
                <w:rFonts w:eastAsia="Times New Roman" w:cs="Times New Roman"/>
                <w:bCs/>
                <w:lang w:eastAsia="en-GB" w:bidi="bg-BG"/>
              </w:rPr>
            </w:pPr>
            <w:r w:rsidRPr="009F6D1E">
              <w:rPr>
                <w:rFonts w:eastAsia="Times New Roman" w:cs="Times New Roman"/>
                <w:bCs/>
                <w:i/>
                <w:lang w:eastAsia="en-GB" w:bidi="bg-BG"/>
              </w:rPr>
              <w:t>Интервенция</w:t>
            </w:r>
            <w:r w:rsidRPr="009F6D1E">
              <w:rPr>
                <w:rFonts w:eastAsia="Times New Roman" w:cs="Times New Roman"/>
                <w:bCs/>
                <w:lang w:eastAsia="en-GB" w:bidi="bg-BG"/>
              </w:rPr>
              <w:t xml:space="preserve"> „</w:t>
            </w:r>
            <w:r w:rsidRPr="009F6D1E">
              <w:rPr>
                <w:rFonts w:eastAsia="Times New Roman" w:cs="Times New Roman"/>
                <w:bCs/>
                <w:i/>
                <w:iCs/>
                <w:lang w:eastAsia="en-GB" w:bidi="bg-BG"/>
              </w:rPr>
              <w:t>Инвестиции в материални и нематериални активи“</w:t>
            </w:r>
            <w:r w:rsidRPr="009F6D1E">
              <w:rPr>
                <w:rFonts w:eastAsia="Times New Roman" w:cs="Times New Roman"/>
                <w:bCs/>
                <w:lang w:eastAsia="en-GB" w:bidi="bg-BG"/>
              </w:rPr>
              <w:t xml:space="preserve"> – член 55, ще създаде възможност за пчеларите за закупуване на пчеларски инвентар, необходим при първичния добив на пчелен мед и други пчелни продукти, като </w:t>
            </w:r>
            <w:r w:rsidRPr="009F6D1E">
              <w:rPr>
                <w:rFonts w:eastAsia="Times New Roman" w:cs="Times New Roman"/>
                <w:bCs/>
                <w:lang w:eastAsia="en-GB" w:bidi="bg-BG"/>
              </w:rPr>
              <w:lastRenderedPageBreak/>
              <w:t>част от подобряване на общите условия за производство в сектора.</w:t>
            </w:r>
          </w:p>
          <w:p w14:paraId="2D8A1F80" w14:textId="77777777" w:rsidR="000F14AE" w:rsidRPr="009F6D1E" w:rsidRDefault="000F14AE"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Подновяване на пчелните кошери в Съюза, включително развъждане на пчели“</w:t>
            </w:r>
            <w:r w:rsidRPr="009F6D1E">
              <w:rPr>
                <w:rFonts w:eastAsia="Times New Roman" w:cs="Times New Roman"/>
                <w:lang w:eastAsia="en-GB" w:bidi="bg-BG"/>
              </w:rPr>
              <w:t xml:space="preserve"> – член 55, ще допринесе за увеличаване на пчелните семейства и подновяване на наличните амортизирани кошери.</w:t>
            </w:r>
          </w:p>
          <w:p w14:paraId="26E73FE0" w14:textId="77777777" w:rsidR="000F14AE" w:rsidRPr="009F6D1E" w:rsidRDefault="000F14AE"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Рационализиране на подвижното пчеларство“</w:t>
            </w:r>
            <w:r w:rsidRPr="009F6D1E">
              <w:rPr>
                <w:rFonts w:eastAsia="Times New Roman" w:cs="Times New Roman"/>
                <w:lang w:eastAsia="en-GB" w:bidi="bg-BG"/>
              </w:rPr>
              <w:t xml:space="preserve"> – член 55, ще осигури постигането на специфични цели б) и e) като улесни и стимулира прилагането на подвижното пчеларство, което от своя страна ще подобри ефективността на пчелното стопанство, чрез осигуряване на разнообразна паша на пчелите, повишаване на добивите и екологичния потенциал.</w:t>
            </w:r>
          </w:p>
          <w:p w14:paraId="108A4E11" w14:textId="77777777" w:rsidR="000F14AE" w:rsidRPr="009F6D1E" w:rsidRDefault="000F14AE" w:rsidP="0084747F">
            <w:pPr>
              <w:spacing w:after="60" w:line="264" w:lineRule="auto"/>
              <w:jc w:val="both"/>
              <w:rPr>
                <w:rFonts w:eastAsia="Times New Roman" w:cs="Times New Roman"/>
                <w:lang w:eastAsia="en-GB" w:bidi="bg-BG"/>
              </w:rPr>
            </w:pPr>
            <w:r w:rsidRPr="009F6D1E">
              <w:rPr>
                <w:rFonts w:eastAsia="Times New Roman" w:cs="Times New Roman"/>
                <w:i/>
                <w:lang w:eastAsia="en-GB" w:bidi="bg-BG"/>
              </w:rPr>
              <w:t>Интервенция</w:t>
            </w:r>
            <w:r w:rsidRPr="009F6D1E">
              <w:rPr>
                <w:rFonts w:eastAsia="Times New Roman" w:cs="Times New Roman"/>
                <w:lang w:eastAsia="en-GB" w:bidi="bg-BG"/>
              </w:rPr>
              <w:t xml:space="preserve"> „</w:t>
            </w:r>
            <w:r w:rsidRPr="009F6D1E">
              <w:rPr>
                <w:rFonts w:eastAsia="Times New Roman" w:cs="Times New Roman"/>
                <w:i/>
                <w:iCs/>
                <w:lang w:eastAsia="en-GB" w:bidi="bg-BG"/>
              </w:rPr>
              <w:t>Насърчаване на естественото опрашване“</w:t>
            </w:r>
            <w:r w:rsidRPr="009F6D1E">
              <w:rPr>
                <w:rFonts w:eastAsia="Times New Roman" w:cs="Times New Roman"/>
                <w:lang w:eastAsia="en-GB" w:bidi="bg-BG"/>
              </w:rPr>
              <w:t xml:space="preserve"> – член 70</w:t>
            </w:r>
          </w:p>
        </w:tc>
      </w:tr>
      <w:tr w:rsidR="003D278F" w:rsidRPr="009F6D1E" w14:paraId="05D7AF18" w14:textId="77777777" w:rsidTr="00981F7B">
        <w:tc>
          <w:tcPr>
            <w:tcW w:w="709" w:type="dxa"/>
          </w:tcPr>
          <w:p w14:paraId="7FA6BD46" w14:textId="77777777" w:rsidR="003D278F"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9.</w:t>
            </w:r>
          </w:p>
        </w:tc>
        <w:tc>
          <w:tcPr>
            <w:tcW w:w="4394" w:type="dxa"/>
          </w:tcPr>
          <w:p w14:paraId="3AB81A45" w14:textId="77777777" w:rsidR="00E80119" w:rsidRPr="009F6D1E" w:rsidRDefault="00E80119"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П.6.9.</w:t>
            </w:r>
            <w:r w:rsidRPr="009F6D1E">
              <w:rPr>
                <w:rFonts w:eastAsia="Times New Roman" w:cs="Times New Roman"/>
                <w:b/>
                <w:bCs/>
                <w:i/>
                <w:lang w:eastAsia="bg-BG" w:bidi="bg-BG"/>
              </w:rPr>
              <w:t xml:space="preserve">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w:t>
            </w:r>
          </w:p>
          <w:p w14:paraId="43D49C03" w14:textId="77777777" w:rsidR="003D278F" w:rsidRPr="009F6D1E" w:rsidRDefault="003D278F"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4E71FBDA" w14:textId="77777777" w:rsidR="00C81058" w:rsidRPr="009F6D1E" w:rsidRDefault="000F14AE" w:rsidP="0084747F">
            <w:pPr>
              <w:spacing w:after="60" w:line="264" w:lineRule="auto"/>
              <w:jc w:val="both"/>
              <w:rPr>
                <w:rFonts w:eastAsia="Times New Roman" w:cs="Times New Roman"/>
                <w:lang w:eastAsia="en-GB" w:bidi="bg-BG"/>
              </w:rPr>
            </w:pPr>
            <w:r w:rsidRPr="009F6D1E">
              <w:rPr>
                <w:rFonts w:eastAsia="Times New Roman" w:cs="Times New Roman"/>
                <w:lang w:eastAsia="en-GB" w:bidi="bg-BG"/>
              </w:rPr>
              <w:t xml:space="preserve">Прилагане на </w:t>
            </w:r>
            <w:r w:rsidRPr="009F6D1E">
              <w:rPr>
                <w:rFonts w:eastAsia="Times New Roman" w:cs="Times New Roman"/>
                <w:i/>
                <w:iCs/>
                <w:lang w:eastAsia="en-GB" w:bidi="bg-BG"/>
              </w:rPr>
              <w:t>Еко схема за поддържане и подобряване на биоразнообразието в горски екосистеми</w:t>
            </w:r>
            <w:r w:rsidRPr="009F6D1E">
              <w:rPr>
                <w:rFonts w:eastAsia="Times New Roman" w:cs="Times New Roman"/>
                <w:lang w:eastAsia="en-GB" w:bidi="bg-BG"/>
              </w:rPr>
              <w:t xml:space="preserve"> (по чл. 31 от Регламент (ЕС) 2021/2115). Интервенцията е насочена към поддържане и подобряване на биоразнообразието в горски екосистеми като въвежда практика в граничните земеделски земи да се отглеждат култури достигнали степен на зрялост, които са благоприятни за изхранване на диви животни.</w:t>
            </w:r>
          </w:p>
        </w:tc>
      </w:tr>
    </w:tbl>
    <w:p w14:paraId="3E64D77A" w14:textId="4342FAE6" w:rsidR="00C65397" w:rsidRDefault="00C65397" w:rsidP="0084747F">
      <w:pPr>
        <w:widowControl w:val="0"/>
        <w:shd w:val="clear" w:color="auto" w:fill="FFFFFF" w:themeFill="background1"/>
        <w:tabs>
          <w:tab w:val="left" w:pos="5765"/>
        </w:tabs>
        <w:spacing w:after="60" w:line="264" w:lineRule="auto"/>
        <w:jc w:val="both"/>
        <w:rPr>
          <w:rFonts w:cs="Times New Roman"/>
          <w:b/>
          <w:i/>
        </w:rPr>
      </w:pPr>
    </w:p>
    <w:p w14:paraId="7BA031DA" w14:textId="4BA57267" w:rsidR="006E0FF0" w:rsidRDefault="006E0FF0" w:rsidP="0084747F">
      <w:pPr>
        <w:widowControl w:val="0"/>
        <w:shd w:val="clear" w:color="auto" w:fill="FFFFFF" w:themeFill="background1"/>
        <w:tabs>
          <w:tab w:val="left" w:pos="5765"/>
        </w:tabs>
        <w:spacing w:after="60" w:line="264" w:lineRule="auto"/>
        <w:jc w:val="both"/>
        <w:rPr>
          <w:rFonts w:cs="Times New Roman"/>
          <w:b/>
          <w:i/>
        </w:rPr>
      </w:pPr>
    </w:p>
    <w:p w14:paraId="2522BD26" w14:textId="40BF2B94" w:rsidR="006E0FF0" w:rsidRDefault="006E0FF0" w:rsidP="0084747F">
      <w:pPr>
        <w:widowControl w:val="0"/>
        <w:shd w:val="clear" w:color="auto" w:fill="FFFFFF" w:themeFill="background1"/>
        <w:tabs>
          <w:tab w:val="left" w:pos="5765"/>
        </w:tabs>
        <w:spacing w:after="60" w:line="264" w:lineRule="auto"/>
        <w:jc w:val="both"/>
        <w:rPr>
          <w:rFonts w:cs="Times New Roman"/>
          <w:b/>
          <w:i/>
        </w:rPr>
      </w:pPr>
    </w:p>
    <w:p w14:paraId="00F79F44" w14:textId="36A5A6A8" w:rsidR="006E0FF0" w:rsidRDefault="006E0FF0" w:rsidP="0084747F">
      <w:pPr>
        <w:widowControl w:val="0"/>
        <w:shd w:val="clear" w:color="auto" w:fill="FFFFFF" w:themeFill="background1"/>
        <w:tabs>
          <w:tab w:val="left" w:pos="5765"/>
        </w:tabs>
        <w:spacing w:after="60" w:line="264" w:lineRule="auto"/>
        <w:jc w:val="both"/>
        <w:rPr>
          <w:rFonts w:cs="Times New Roman"/>
          <w:b/>
          <w:i/>
        </w:rPr>
      </w:pPr>
    </w:p>
    <w:p w14:paraId="0BF7424B" w14:textId="27B6EC39" w:rsidR="006E0FF0" w:rsidRDefault="006E0FF0" w:rsidP="0084747F">
      <w:pPr>
        <w:widowControl w:val="0"/>
        <w:shd w:val="clear" w:color="auto" w:fill="FFFFFF" w:themeFill="background1"/>
        <w:tabs>
          <w:tab w:val="left" w:pos="5765"/>
        </w:tabs>
        <w:spacing w:after="60" w:line="264" w:lineRule="auto"/>
        <w:jc w:val="both"/>
        <w:rPr>
          <w:rFonts w:cs="Times New Roman"/>
          <w:b/>
          <w:i/>
        </w:rPr>
      </w:pPr>
    </w:p>
    <w:p w14:paraId="2F910A4B" w14:textId="77777777" w:rsidR="006E0FF0" w:rsidRPr="009F6D1E" w:rsidRDefault="006E0FF0" w:rsidP="0084747F">
      <w:pPr>
        <w:widowControl w:val="0"/>
        <w:shd w:val="clear" w:color="auto" w:fill="FFFFFF" w:themeFill="background1"/>
        <w:tabs>
          <w:tab w:val="left" w:pos="5765"/>
        </w:tabs>
        <w:spacing w:after="60" w:line="264" w:lineRule="auto"/>
        <w:jc w:val="both"/>
        <w:rPr>
          <w:rFonts w:cs="Times New Roman"/>
          <w:b/>
          <w:i/>
        </w:rPr>
      </w:pPr>
    </w:p>
    <w:p w14:paraId="3DAB4028" w14:textId="77777777" w:rsidR="00E80119"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lastRenderedPageBreak/>
        <w:t xml:space="preserve">Специфична цел №: 7 </w:t>
      </w:r>
      <w:r w:rsidR="00E80119" w:rsidRPr="009F6D1E">
        <w:rPr>
          <w:rFonts w:cs="Times New Roman"/>
          <w:b/>
          <w:i/>
          <w:szCs w:val="24"/>
          <w:u w:val="single"/>
        </w:rPr>
        <w:t>Привличане и подкрепа на млади земеделски стопани и други нови земеделски стопани и улесняване на устойчивото развитие на стопанска дейност в селските райони</w:t>
      </w:r>
    </w:p>
    <w:p w14:paraId="6DC91A64" w14:textId="77777777" w:rsidR="00C81058" w:rsidRPr="009F6D1E" w:rsidRDefault="00C81058"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C81058" w:rsidRPr="009F6D1E" w14:paraId="6EEC8E1C" w14:textId="77777777" w:rsidTr="00DA2D41">
        <w:trPr>
          <w:tblHeader/>
        </w:trPr>
        <w:tc>
          <w:tcPr>
            <w:tcW w:w="709" w:type="dxa"/>
            <w:shd w:val="clear" w:color="auto" w:fill="F7CAAC" w:themeFill="accent2" w:themeFillTint="66"/>
          </w:tcPr>
          <w:p w14:paraId="570662B1" w14:textId="77777777" w:rsidR="00C81058" w:rsidRPr="009F6D1E" w:rsidRDefault="00C81058" w:rsidP="0084747F">
            <w:pPr>
              <w:widowControl w:val="0"/>
              <w:tabs>
                <w:tab w:val="left" w:pos="1080"/>
              </w:tabs>
              <w:spacing w:after="60" w:line="264" w:lineRule="auto"/>
              <w:jc w:val="center"/>
              <w:rPr>
                <w:rFonts w:eastAsia="Times New Roman" w:cs="Times New Roman"/>
                <w:b/>
                <w:bCs/>
                <w:iCs/>
                <w:lang w:eastAsia="bg-BG" w:bidi="bg-BG"/>
              </w:rPr>
            </w:pPr>
            <w:bookmarkStart w:id="40" w:name="_Hlk96094776"/>
            <w:r w:rsidRPr="009F6D1E">
              <w:rPr>
                <w:rFonts w:eastAsia="Times New Roman" w:cs="Times New Roman"/>
                <w:b/>
                <w:bCs/>
                <w:iCs/>
                <w:lang w:eastAsia="bg-BG" w:bidi="bg-BG"/>
              </w:rPr>
              <w:t>№</w:t>
            </w:r>
          </w:p>
        </w:tc>
        <w:tc>
          <w:tcPr>
            <w:tcW w:w="4394" w:type="dxa"/>
            <w:shd w:val="clear" w:color="auto" w:fill="F7CAAC" w:themeFill="accent2" w:themeFillTint="66"/>
          </w:tcPr>
          <w:p w14:paraId="2B04FD97"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798142CC" w14:textId="77777777" w:rsidR="00C81058" w:rsidRPr="009F6D1E" w:rsidRDefault="00C81058"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C81058" w:rsidRPr="009F6D1E" w14:paraId="3179B9EA" w14:textId="77777777" w:rsidTr="00981F7B">
        <w:tc>
          <w:tcPr>
            <w:tcW w:w="709" w:type="dxa"/>
          </w:tcPr>
          <w:p w14:paraId="0414A7B6"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27729502" w14:textId="77777777" w:rsidR="00E80119" w:rsidRPr="009F6D1E" w:rsidRDefault="00E80119"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П.7.1. </w:t>
            </w:r>
            <w:r w:rsidRPr="009F6D1E">
              <w:rPr>
                <w:rFonts w:eastAsia="Times New Roman" w:cs="Times New Roman"/>
                <w:b/>
                <w:bCs/>
                <w:i/>
                <w:lang w:eastAsia="bg-BG" w:bidi="bg-BG"/>
              </w:rPr>
              <w:t>Ускоряване на модернизацията на земеделските стопанства на младите стопани</w:t>
            </w:r>
          </w:p>
          <w:p w14:paraId="71CB47CA" w14:textId="77777777" w:rsidR="00C81058" w:rsidRPr="009F6D1E" w:rsidRDefault="00C81058"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1E8DF6F6" w14:textId="77777777" w:rsidR="00C81058" w:rsidRPr="009F6D1E" w:rsidRDefault="00484FD3" w:rsidP="0084747F">
            <w:pPr>
              <w:spacing w:after="60" w:line="264" w:lineRule="auto"/>
              <w:jc w:val="both"/>
              <w:rPr>
                <w:rFonts w:cs="Times New Roman"/>
                <w:bCs/>
                <w:i/>
                <w:iCs/>
                <w:lang w:bidi="bg-BG"/>
              </w:rPr>
            </w:pPr>
            <w:r w:rsidRPr="009F6D1E">
              <w:rPr>
                <w:rFonts w:cs="Times New Roman"/>
                <w:bCs/>
                <w:i/>
                <w:lang w:bidi="bg-BG"/>
              </w:rPr>
              <w:t>Интервенция „</w:t>
            </w:r>
            <w:r w:rsidR="001E737D" w:rsidRPr="009F6D1E">
              <w:rPr>
                <w:rFonts w:cs="Times New Roman"/>
                <w:bCs/>
                <w:i/>
                <w:iCs/>
                <w:lang w:bidi="bg-BG"/>
              </w:rPr>
              <w:t xml:space="preserve">Стартова помощ за установяване на млади земеделски стопани в селското стопанство, Установяване на млади земеделски стопани, съгласно член 75 </w:t>
            </w:r>
            <w:r w:rsidR="00C81058" w:rsidRPr="009F6D1E">
              <w:rPr>
                <w:rFonts w:cs="Times New Roman"/>
                <w:bCs/>
                <w:i/>
                <w:iCs/>
                <w:lang w:bidi="bg-BG"/>
              </w:rPr>
              <w:t xml:space="preserve"> </w:t>
            </w:r>
            <w:r w:rsidR="008E7C13" w:rsidRPr="009F6D1E">
              <w:rPr>
                <w:rFonts w:cs="Times New Roman"/>
                <w:bCs/>
                <w:i/>
                <w:iCs/>
                <w:lang w:bidi="bg-BG"/>
              </w:rPr>
              <w:t xml:space="preserve">от </w:t>
            </w:r>
            <w:r w:rsidR="00C81058" w:rsidRPr="009F6D1E">
              <w:rPr>
                <w:rFonts w:cs="Times New Roman"/>
                <w:bCs/>
                <w:i/>
                <w:iCs/>
                <w:lang w:bidi="bg-BG"/>
              </w:rPr>
              <w:t>ЕЗФРСР.</w:t>
            </w:r>
            <w:r w:rsidRPr="009F6D1E">
              <w:rPr>
                <w:rFonts w:cs="Times New Roman"/>
                <w:bCs/>
                <w:i/>
                <w:iCs/>
                <w:lang w:bidi="bg-BG"/>
              </w:rPr>
              <w:t>“</w:t>
            </w:r>
          </w:p>
          <w:p w14:paraId="47480878" w14:textId="77777777" w:rsidR="00000070" w:rsidRPr="009F6D1E" w:rsidRDefault="00000070" w:rsidP="0084747F">
            <w:pPr>
              <w:spacing w:after="60" w:line="264" w:lineRule="auto"/>
              <w:jc w:val="both"/>
              <w:rPr>
                <w:rFonts w:eastAsia="Times New Roman" w:cs="Times New Roman"/>
                <w:bCs/>
                <w:i/>
                <w:iCs/>
                <w:lang w:eastAsia="bg-BG" w:bidi="bg-BG"/>
              </w:rPr>
            </w:pPr>
            <w:r w:rsidRPr="009F6D1E">
              <w:rPr>
                <w:rFonts w:eastAsia="Times New Roman" w:cs="Times New Roman"/>
                <w:bCs/>
                <w:lang w:eastAsia="bg-BG" w:bidi="bg-BG"/>
              </w:rPr>
              <w:t>Интервенцията ще бъде комбинирана с интервенцията</w:t>
            </w:r>
            <w:r w:rsidRPr="009F6D1E">
              <w:rPr>
                <w:rFonts w:eastAsia="Times New Roman" w:cs="Times New Roman"/>
                <w:bCs/>
                <w:i/>
                <w:iCs/>
                <w:lang w:eastAsia="bg-BG" w:bidi="bg-BG"/>
              </w:rPr>
              <w:t xml:space="preserve"> „Допълнително подпомагане на доходите за млади земеделски стопани, съгл. чл. 30 (ЕФГЗ), с цел удовлетворяване на потребност </w:t>
            </w:r>
          </w:p>
        </w:tc>
      </w:tr>
      <w:bookmarkEnd w:id="40"/>
      <w:tr w:rsidR="00C81058" w:rsidRPr="009F6D1E" w14:paraId="307C70D4" w14:textId="77777777" w:rsidTr="00981F7B">
        <w:tc>
          <w:tcPr>
            <w:tcW w:w="709" w:type="dxa"/>
          </w:tcPr>
          <w:p w14:paraId="25DE0314"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2.</w:t>
            </w:r>
          </w:p>
        </w:tc>
        <w:tc>
          <w:tcPr>
            <w:tcW w:w="4394" w:type="dxa"/>
          </w:tcPr>
          <w:p w14:paraId="5128CB2A" w14:textId="77777777" w:rsidR="00C81058" w:rsidRPr="009F6D1E" w:rsidRDefault="001B36C7"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П.7.2. </w:t>
            </w:r>
            <w:r w:rsidRPr="009F6D1E">
              <w:rPr>
                <w:rFonts w:eastAsia="Times New Roman" w:cs="Times New Roman"/>
                <w:b/>
                <w:bCs/>
                <w:i/>
                <w:lang w:eastAsia="bg-BG" w:bidi="bg-BG"/>
              </w:rPr>
              <w:t>Увеличаване подкрепата за младите стопани и на фермерския доход и улесняване стартирането на стопанство</w:t>
            </w:r>
          </w:p>
        </w:tc>
        <w:tc>
          <w:tcPr>
            <w:tcW w:w="4530" w:type="dxa"/>
          </w:tcPr>
          <w:p w14:paraId="2506ED3D" w14:textId="77777777" w:rsidR="00000070" w:rsidRPr="009F6D1E" w:rsidRDefault="000821E8" w:rsidP="0084747F">
            <w:pPr>
              <w:spacing w:after="60" w:line="264" w:lineRule="auto"/>
              <w:jc w:val="both"/>
              <w:rPr>
                <w:rFonts w:eastAsia="Times New Roman" w:cs="Times New Roman"/>
                <w:bCs/>
                <w:i/>
                <w:iCs/>
                <w:lang w:eastAsia="bg-BG" w:bidi="bg-BG"/>
              </w:rPr>
            </w:pPr>
            <w:r w:rsidRPr="009F6D1E">
              <w:rPr>
                <w:rFonts w:eastAsia="Times New Roman" w:cs="Times New Roman"/>
                <w:bCs/>
                <w:i/>
                <w:lang w:eastAsia="bg-BG" w:bidi="bg-BG"/>
              </w:rPr>
              <w:t>Интервенция</w:t>
            </w:r>
            <w:r w:rsidRPr="009F6D1E">
              <w:rPr>
                <w:rFonts w:eastAsia="Times New Roman" w:cs="Times New Roman"/>
                <w:bCs/>
                <w:i/>
                <w:iCs/>
                <w:lang w:eastAsia="bg-BG" w:bidi="bg-BG"/>
              </w:rPr>
              <w:t xml:space="preserve"> „</w:t>
            </w:r>
            <w:r w:rsidR="00000070" w:rsidRPr="009F6D1E">
              <w:rPr>
                <w:rFonts w:eastAsia="Times New Roman" w:cs="Times New Roman"/>
                <w:bCs/>
                <w:i/>
                <w:iCs/>
                <w:lang w:eastAsia="bg-BG" w:bidi="bg-BG"/>
              </w:rPr>
              <w:t>Увеличаване подкрепата за младите стопани и на фермерския доход и улесняване стартирането на стопанство.</w:t>
            </w:r>
            <w:r w:rsidRPr="009F6D1E">
              <w:rPr>
                <w:rFonts w:eastAsia="Times New Roman" w:cs="Times New Roman"/>
                <w:bCs/>
                <w:i/>
                <w:iCs/>
                <w:lang w:eastAsia="bg-BG" w:bidi="bg-BG"/>
              </w:rPr>
              <w:t>“</w:t>
            </w:r>
          </w:p>
          <w:p w14:paraId="15C814FB" w14:textId="77777777" w:rsidR="00000070" w:rsidRPr="009F6D1E" w:rsidRDefault="000821E8" w:rsidP="0084747F">
            <w:pPr>
              <w:spacing w:after="60" w:line="264" w:lineRule="auto"/>
              <w:jc w:val="both"/>
              <w:rPr>
                <w:rFonts w:eastAsia="Times New Roman" w:cs="Times New Roman"/>
                <w:bCs/>
                <w:i/>
                <w:iCs/>
                <w:lang w:eastAsia="bg-BG" w:bidi="bg-BG"/>
              </w:rPr>
            </w:pPr>
            <w:r w:rsidRPr="009F6D1E">
              <w:rPr>
                <w:rFonts w:eastAsia="Times New Roman" w:cs="Times New Roman"/>
                <w:bCs/>
                <w:i/>
                <w:lang w:eastAsia="bg-BG" w:bidi="bg-BG"/>
              </w:rPr>
              <w:t>Интервенция</w:t>
            </w:r>
            <w:r w:rsidRPr="009F6D1E">
              <w:rPr>
                <w:rFonts w:eastAsia="Times New Roman" w:cs="Times New Roman"/>
                <w:bCs/>
                <w:i/>
                <w:iCs/>
                <w:lang w:eastAsia="bg-BG" w:bidi="bg-BG"/>
              </w:rPr>
              <w:t xml:space="preserve"> </w:t>
            </w:r>
            <w:r w:rsidR="00000070" w:rsidRPr="009F6D1E">
              <w:rPr>
                <w:rFonts w:eastAsia="Times New Roman" w:cs="Times New Roman"/>
                <w:bCs/>
                <w:i/>
                <w:iCs/>
                <w:lang w:eastAsia="bg-BG" w:bidi="bg-BG"/>
              </w:rPr>
              <w:t>„Консултантски услуги и повишаване на консултантския капацитет съгл. чл. 72 "Обмен на знания и информация" (ЕЗФРСР).</w:t>
            </w:r>
          </w:p>
          <w:p w14:paraId="37D9902A" w14:textId="77777777" w:rsidR="00C81058" w:rsidRPr="009F6D1E" w:rsidRDefault="00000070" w:rsidP="0084747F">
            <w:pPr>
              <w:spacing w:after="60" w:line="264" w:lineRule="auto"/>
              <w:jc w:val="both"/>
              <w:rPr>
                <w:rFonts w:eastAsia="Times New Roman" w:cs="Times New Roman"/>
                <w:i/>
                <w:u w:val="single"/>
                <w:lang w:eastAsia="bg-BG" w:bidi="bg-BG"/>
              </w:rPr>
            </w:pPr>
            <w:r w:rsidRPr="009F6D1E">
              <w:rPr>
                <w:rFonts w:eastAsia="Times New Roman" w:cs="Times New Roman"/>
                <w:bCs/>
                <w:i/>
                <w:lang w:eastAsia="bg-BG" w:bidi="bg-BG"/>
              </w:rPr>
              <w:t>Интервенция</w:t>
            </w:r>
            <w:r w:rsidRPr="009F6D1E">
              <w:rPr>
                <w:rFonts w:eastAsia="Times New Roman" w:cs="Times New Roman"/>
                <w:bCs/>
                <w:i/>
                <w:iCs/>
                <w:lang w:eastAsia="bg-BG" w:bidi="bg-BG"/>
              </w:rPr>
              <w:t xml:space="preserve"> „Стартова помощ за установяване на млади земеделски стопани в селското стопанство“.</w:t>
            </w:r>
          </w:p>
        </w:tc>
      </w:tr>
      <w:tr w:rsidR="00C81058" w:rsidRPr="009F6D1E" w14:paraId="6182BE9F" w14:textId="77777777" w:rsidTr="00981F7B">
        <w:tc>
          <w:tcPr>
            <w:tcW w:w="709" w:type="dxa"/>
          </w:tcPr>
          <w:p w14:paraId="31013920"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3.</w:t>
            </w:r>
          </w:p>
        </w:tc>
        <w:tc>
          <w:tcPr>
            <w:tcW w:w="4394" w:type="dxa"/>
          </w:tcPr>
          <w:p w14:paraId="16F95EBD" w14:textId="77777777" w:rsidR="001B36C7" w:rsidRPr="009F6D1E" w:rsidRDefault="001B36C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П.7.3.</w:t>
            </w:r>
            <w:r w:rsidRPr="009F6D1E">
              <w:rPr>
                <w:rFonts w:eastAsia="Times New Roman" w:cs="Times New Roman"/>
                <w:b/>
                <w:bCs/>
                <w:i/>
                <w:lang w:eastAsia="bg-BG" w:bidi="bg-BG"/>
              </w:rPr>
              <w:t xml:space="preserve"> Повишаване на професионално-квалификационното равнище на мениджърите и останалите</w:t>
            </w:r>
          </w:p>
          <w:p w14:paraId="77B43187" w14:textId="77777777" w:rsidR="001B36C7" w:rsidRPr="009F6D1E" w:rsidRDefault="001B36C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заети в отрасъла</w:t>
            </w:r>
          </w:p>
          <w:p w14:paraId="56DD0313" w14:textId="77777777" w:rsidR="001B36C7" w:rsidRPr="009F6D1E" w:rsidRDefault="001B36C7" w:rsidP="0084747F">
            <w:pPr>
              <w:widowControl w:val="0"/>
              <w:tabs>
                <w:tab w:val="left" w:pos="1080"/>
              </w:tabs>
              <w:spacing w:after="60" w:line="264" w:lineRule="auto"/>
              <w:jc w:val="both"/>
              <w:rPr>
                <w:rFonts w:eastAsia="Times New Roman" w:cs="Times New Roman"/>
                <w:b/>
                <w:bCs/>
                <w:i/>
                <w:lang w:eastAsia="bg-BG" w:bidi="bg-BG"/>
              </w:rPr>
            </w:pPr>
          </w:p>
        </w:tc>
        <w:tc>
          <w:tcPr>
            <w:tcW w:w="4530" w:type="dxa"/>
          </w:tcPr>
          <w:p w14:paraId="77CBD3A1" w14:textId="77777777" w:rsidR="00C81058" w:rsidRPr="009F6D1E" w:rsidRDefault="00484FD3" w:rsidP="0084747F">
            <w:pPr>
              <w:spacing w:after="60" w:line="264" w:lineRule="auto"/>
              <w:jc w:val="both"/>
              <w:rPr>
                <w:rFonts w:eastAsia="Times New Roman" w:cs="Times New Roman"/>
                <w:bCs/>
                <w:i/>
                <w:u w:val="single"/>
                <w:lang w:eastAsia="bg-BG" w:bidi="bg-BG"/>
              </w:rPr>
            </w:pPr>
            <w:r w:rsidRPr="009F6D1E">
              <w:rPr>
                <w:rFonts w:cs="Times New Roman"/>
                <w:bCs/>
                <w:i/>
                <w:lang w:bidi="bg-BG"/>
              </w:rPr>
              <w:t>Интервенция „</w:t>
            </w:r>
            <w:r w:rsidR="00C81058" w:rsidRPr="009F6D1E">
              <w:rPr>
                <w:rFonts w:cs="Times New Roman"/>
                <w:bCs/>
                <w:i/>
                <w:lang w:bidi="bg-BG"/>
              </w:rPr>
              <w:t>Професионално обучение и придобиване на умения</w:t>
            </w:r>
            <w:r w:rsidR="00C81058" w:rsidRPr="009F6D1E">
              <w:rPr>
                <w:rFonts w:cs="Times New Roman"/>
                <w:bCs/>
                <w:iCs/>
                <w:lang w:bidi="bg-BG"/>
              </w:rPr>
              <w:t xml:space="preserve"> </w:t>
            </w:r>
            <w:r w:rsidR="00C81058" w:rsidRPr="009F6D1E">
              <w:rPr>
                <w:rFonts w:cs="Times New Roman"/>
                <w:bCs/>
                <w:i/>
                <w:lang w:bidi="bg-BG"/>
              </w:rPr>
              <w:t>съгл. чл. 7</w:t>
            </w:r>
            <w:r w:rsidR="000821E8" w:rsidRPr="009F6D1E">
              <w:rPr>
                <w:rFonts w:cs="Times New Roman"/>
                <w:bCs/>
                <w:i/>
                <w:lang w:bidi="bg-BG"/>
              </w:rPr>
              <w:t>8</w:t>
            </w:r>
            <w:r w:rsidR="00C81058" w:rsidRPr="009F6D1E">
              <w:rPr>
                <w:rFonts w:cs="Times New Roman"/>
                <w:bCs/>
                <w:i/>
                <w:lang w:bidi="bg-BG"/>
              </w:rPr>
              <w:t xml:space="preserve"> "Обмен на знания и информация</w:t>
            </w:r>
            <w:r w:rsidR="00C81058" w:rsidRPr="009F6D1E">
              <w:rPr>
                <w:rFonts w:cs="Times New Roman"/>
                <w:bCs/>
                <w:iCs/>
                <w:lang w:bidi="bg-BG"/>
              </w:rPr>
              <w:t>"</w:t>
            </w:r>
            <w:r w:rsidR="00C81058" w:rsidRPr="009F6D1E">
              <w:rPr>
                <w:rFonts w:cs="Times New Roman"/>
                <w:bCs/>
                <w:i/>
                <w:lang w:bidi="bg-BG"/>
              </w:rPr>
              <w:t>(ЕЗФРСР).</w:t>
            </w:r>
            <w:r w:rsidRPr="009F6D1E">
              <w:rPr>
                <w:rFonts w:cs="Times New Roman"/>
                <w:bCs/>
                <w:i/>
                <w:lang w:bidi="bg-BG"/>
              </w:rPr>
              <w:t>“</w:t>
            </w:r>
          </w:p>
        </w:tc>
      </w:tr>
      <w:tr w:rsidR="00C81058" w:rsidRPr="009F6D1E" w14:paraId="0ADBB2B6" w14:textId="77777777" w:rsidTr="00981F7B">
        <w:tc>
          <w:tcPr>
            <w:tcW w:w="709" w:type="dxa"/>
          </w:tcPr>
          <w:p w14:paraId="6FD7D2C5"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45BDB6D1" w14:textId="77777777" w:rsidR="00C81058" w:rsidRPr="009F6D1E" w:rsidRDefault="001B36C7"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П.7.4.</w:t>
            </w:r>
            <w:r w:rsidRPr="009F6D1E">
              <w:rPr>
                <w:rFonts w:eastAsia="Times New Roman" w:cs="Times New Roman"/>
                <w:b/>
                <w:bCs/>
                <w:i/>
                <w:lang w:eastAsia="bg-BG" w:bidi="bg-BG"/>
              </w:rPr>
              <w:t xml:space="preserve"> Намаляване диспропорциите в земеделската заетост на младите стопани между различните райони и аграрни сектори</w:t>
            </w:r>
          </w:p>
        </w:tc>
        <w:tc>
          <w:tcPr>
            <w:tcW w:w="4530" w:type="dxa"/>
          </w:tcPr>
          <w:p w14:paraId="1A1B5575" w14:textId="77777777" w:rsidR="00C81058" w:rsidRPr="009F6D1E" w:rsidRDefault="00484FD3" w:rsidP="0084747F">
            <w:pPr>
              <w:spacing w:after="60" w:line="264" w:lineRule="auto"/>
              <w:jc w:val="both"/>
              <w:rPr>
                <w:rFonts w:cs="Times New Roman"/>
                <w:bCs/>
                <w:lang w:bidi="bg-BG"/>
              </w:rPr>
            </w:pPr>
            <w:r w:rsidRPr="009F6D1E">
              <w:rPr>
                <w:rFonts w:cs="Times New Roman"/>
                <w:bCs/>
                <w:i/>
                <w:lang w:bidi="bg-BG"/>
              </w:rPr>
              <w:t>Интервенция „</w:t>
            </w:r>
            <w:r w:rsidR="00C81058" w:rsidRPr="009F6D1E">
              <w:rPr>
                <w:rFonts w:cs="Times New Roman"/>
                <w:bCs/>
                <w:i/>
                <w:lang w:bidi="bg-BG"/>
              </w:rPr>
              <w:t>Подкрепа на организации на производители или групи от производители, Сътрудничество съгл. член 64, б. „ж“ (ЕЗФРСР)</w:t>
            </w:r>
            <w:r w:rsidRPr="009F6D1E">
              <w:rPr>
                <w:rFonts w:cs="Times New Roman"/>
                <w:bCs/>
                <w:i/>
                <w:lang w:bidi="bg-BG"/>
              </w:rPr>
              <w:t>“</w:t>
            </w:r>
            <w:r w:rsidR="00C81058" w:rsidRPr="009F6D1E">
              <w:rPr>
                <w:rFonts w:cs="Times New Roman"/>
                <w:bCs/>
                <w:i/>
                <w:lang w:bidi="bg-BG"/>
              </w:rPr>
              <w:t>.</w:t>
            </w:r>
            <w:r w:rsidR="00C81058" w:rsidRPr="009F6D1E">
              <w:rPr>
                <w:rFonts w:cs="Times New Roman"/>
                <w:bCs/>
                <w:lang w:bidi="bg-BG"/>
              </w:rPr>
              <w:t xml:space="preserve"> Подкрепата за обединяването на млади земеделските стопани в организации и групи на производители на регионален и отраслов </w:t>
            </w:r>
            <w:r w:rsidR="00C81058" w:rsidRPr="009F6D1E">
              <w:rPr>
                <w:rFonts w:cs="Times New Roman"/>
                <w:bCs/>
                <w:lang w:bidi="bg-BG"/>
              </w:rPr>
              <w:lastRenderedPageBreak/>
              <w:t>принцип е механизъм, чрез който ще се постигне намаляване на диспропорциите.</w:t>
            </w:r>
          </w:p>
          <w:p w14:paraId="25AA21B4" w14:textId="77777777" w:rsidR="00C81058" w:rsidRPr="009F6D1E" w:rsidRDefault="000821E8" w:rsidP="0084747F">
            <w:pPr>
              <w:spacing w:after="60" w:line="264" w:lineRule="auto"/>
              <w:jc w:val="both"/>
              <w:rPr>
                <w:rFonts w:cs="Times New Roman"/>
                <w:bCs/>
                <w:lang w:bidi="bg-BG"/>
              </w:rPr>
            </w:pPr>
            <w:r w:rsidRPr="009F6D1E">
              <w:rPr>
                <w:rFonts w:cs="Times New Roman"/>
                <w:bCs/>
                <w:lang w:bidi="bg-BG"/>
              </w:rPr>
              <w:t xml:space="preserve">Интервенцията ще бъде комбинирана с </w:t>
            </w:r>
            <w:r w:rsidRPr="009F6D1E">
              <w:rPr>
                <w:rFonts w:cs="Times New Roman"/>
                <w:bCs/>
                <w:i/>
                <w:lang w:bidi="bg-BG"/>
              </w:rPr>
              <w:t>интервенцията</w:t>
            </w:r>
            <w:r w:rsidRPr="009F6D1E">
              <w:rPr>
                <w:rFonts w:cs="Times New Roman"/>
                <w:bCs/>
                <w:lang w:bidi="bg-BG"/>
              </w:rPr>
              <w:t xml:space="preserve">: </w:t>
            </w:r>
            <w:r w:rsidRPr="009F6D1E">
              <w:rPr>
                <w:rFonts w:cs="Times New Roman"/>
                <w:bCs/>
                <w:i/>
                <w:iCs/>
                <w:lang w:bidi="bg-BG"/>
              </w:rPr>
              <w:t>Допълнително подпомагане на  доходите за млади земеделски стопани, съгл. чл. 30 от ЕФГЗ.</w:t>
            </w:r>
            <w:r w:rsidRPr="009F6D1E">
              <w:rPr>
                <w:rFonts w:cs="Times New Roman"/>
                <w:b/>
                <w:i/>
                <w:iCs/>
                <w:lang w:bidi="bg-BG"/>
              </w:rPr>
              <w:t xml:space="preserve"> </w:t>
            </w:r>
            <w:r w:rsidRPr="009F6D1E">
              <w:rPr>
                <w:rFonts w:cs="Times New Roman"/>
                <w:bCs/>
                <w:lang w:bidi="bg-BG"/>
              </w:rPr>
              <w:t>Изплащане на годишно допълнително подпомагане на доходите (с ежегодно нарастваща ставка) за първите 30 хектара от стопанствата на земеделски стопани (ФЛ и ЮЛ), които не са навършили повече от 40 год. и са създали стопанство не по-рано от 5 год. преди първото кандидатстване по интервенцията.</w:t>
            </w:r>
          </w:p>
        </w:tc>
      </w:tr>
      <w:tr w:rsidR="00C81058" w:rsidRPr="009F6D1E" w14:paraId="6D83D63A" w14:textId="77777777" w:rsidTr="00981F7B">
        <w:tc>
          <w:tcPr>
            <w:tcW w:w="709" w:type="dxa"/>
          </w:tcPr>
          <w:p w14:paraId="2963AC10"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5.</w:t>
            </w:r>
          </w:p>
        </w:tc>
        <w:tc>
          <w:tcPr>
            <w:tcW w:w="4394" w:type="dxa"/>
          </w:tcPr>
          <w:p w14:paraId="6FCCA146" w14:textId="77777777" w:rsidR="001B36C7" w:rsidRPr="009F6D1E" w:rsidRDefault="001B36C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П.7.5.</w:t>
            </w:r>
            <w:r w:rsidRPr="009F6D1E">
              <w:rPr>
                <w:rFonts w:eastAsia="Times New Roman" w:cs="Times New Roman"/>
                <w:b/>
                <w:bCs/>
                <w:i/>
                <w:lang w:eastAsia="bg-BG" w:bidi="bg-BG"/>
              </w:rPr>
              <w:t xml:space="preserve"> Улесняване развитието на стопанска дейност в селските райони и създаване и подпомагане на стартирането на стопански и неземеделски дейности</w:t>
            </w:r>
          </w:p>
          <w:p w14:paraId="1853F4DE" w14:textId="77777777" w:rsidR="00C81058" w:rsidRPr="009F6D1E" w:rsidRDefault="00C81058"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67E594A1" w14:textId="77777777" w:rsidR="00C81058" w:rsidRPr="009F6D1E" w:rsidRDefault="004019B9" w:rsidP="0084747F">
            <w:pPr>
              <w:spacing w:after="60" w:line="264" w:lineRule="auto"/>
              <w:jc w:val="both"/>
              <w:rPr>
                <w:rFonts w:eastAsia="Times New Roman" w:cs="Times New Roman"/>
                <w:bCs/>
                <w:i/>
                <w:u w:val="single"/>
                <w:lang w:eastAsia="bg-BG" w:bidi="bg-BG"/>
              </w:rPr>
            </w:pPr>
            <w:r w:rsidRPr="009F6D1E">
              <w:rPr>
                <w:rFonts w:cs="Times New Roman"/>
                <w:bCs/>
                <w:lang w:bidi="bg-BG"/>
              </w:rPr>
              <w:t xml:space="preserve">За адресиране на тази потребност ще бъде включена </w:t>
            </w:r>
            <w:r w:rsidRPr="009F6D1E">
              <w:rPr>
                <w:rFonts w:cs="Times New Roman"/>
                <w:bCs/>
                <w:i/>
                <w:lang w:bidi="bg-BG"/>
              </w:rPr>
              <w:t>интервенция</w:t>
            </w:r>
            <w:r w:rsidR="008B6D53" w:rsidRPr="009F6D1E">
              <w:rPr>
                <w:rFonts w:cs="Times New Roman"/>
                <w:bCs/>
                <w:lang w:bidi="bg-BG"/>
              </w:rPr>
              <w:t>:</w:t>
            </w:r>
            <w:r w:rsidR="000821E8" w:rsidRPr="009F6D1E">
              <w:rPr>
                <w:rFonts w:cs="Times New Roman"/>
                <w:bCs/>
                <w:lang w:bidi="bg-BG"/>
              </w:rPr>
              <w:t xml:space="preserve"> </w:t>
            </w:r>
            <w:r w:rsidRPr="009F6D1E">
              <w:rPr>
                <w:rFonts w:cs="Times New Roman"/>
                <w:bCs/>
                <w:i/>
                <w:iCs/>
                <w:lang w:bidi="bg-BG"/>
              </w:rPr>
              <w:t>Инвестиции за неселскостопански  дейности  в селските райони</w:t>
            </w:r>
            <w:r w:rsidRPr="009F6D1E">
              <w:rPr>
                <w:rFonts w:cs="Times New Roman"/>
                <w:bCs/>
                <w:lang w:bidi="bg-BG"/>
              </w:rPr>
              <w:t>. Предвижда се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p>
        </w:tc>
      </w:tr>
      <w:tr w:rsidR="00C81058" w:rsidRPr="009F6D1E" w14:paraId="0FAC25C0" w14:textId="77777777" w:rsidTr="00981F7B">
        <w:tc>
          <w:tcPr>
            <w:tcW w:w="709" w:type="dxa"/>
          </w:tcPr>
          <w:p w14:paraId="75BE64EE" w14:textId="77777777" w:rsidR="00C81058" w:rsidRPr="009F6D1E" w:rsidRDefault="00C81058"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6.</w:t>
            </w:r>
          </w:p>
        </w:tc>
        <w:tc>
          <w:tcPr>
            <w:tcW w:w="4394" w:type="dxa"/>
          </w:tcPr>
          <w:p w14:paraId="2432F407" w14:textId="77777777" w:rsidR="001B36C7" w:rsidRPr="009F6D1E" w:rsidRDefault="001B36C7"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П.7.6. </w:t>
            </w:r>
            <w:r w:rsidRPr="009F6D1E">
              <w:rPr>
                <w:rFonts w:eastAsia="Times New Roman" w:cs="Times New Roman"/>
                <w:b/>
                <w:bCs/>
                <w:i/>
                <w:lang w:eastAsia="bg-BG" w:bidi="bg-BG"/>
              </w:rPr>
              <w:t>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w:t>
            </w:r>
          </w:p>
        </w:tc>
        <w:tc>
          <w:tcPr>
            <w:tcW w:w="4530" w:type="dxa"/>
          </w:tcPr>
          <w:p w14:paraId="51C863DE" w14:textId="77777777" w:rsidR="00C81058" w:rsidRPr="009F6D1E" w:rsidRDefault="004019B9" w:rsidP="0084747F">
            <w:pPr>
              <w:spacing w:after="60" w:line="264" w:lineRule="auto"/>
              <w:jc w:val="both"/>
              <w:rPr>
                <w:rFonts w:eastAsia="Times New Roman" w:cs="Times New Roman"/>
                <w:bCs/>
                <w:i/>
                <w:u w:val="single"/>
                <w:lang w:eastAsia="bg-BG" w:bidi="bg-BG"/>
              </w:rPr>
            </w:pPr>
            <w:r w:rsidRPr="009F6D1E">
              <w:rPr>
                <w:rFonts w:cs="Times New Roman"/>
                <w:bCs/>
                <w:i/>
                <w:lang w:bidi="bg-BG"/>
              </w:rPr>
              <w:t xml:space="preserve">Инвестиции за неселскостопански  дейности  в селските райони. </w:t>
            </w:r>
            <w:r w:rsidRPr="009F6D1E">
              <w:rPr>
                <w:rFonts w:cs="Times New Roman"/>
                <w:bCs/>
                <w:lang w:bidi="bg-BG"/>
              </w:rPr>
              <w:t>С инвестиции за въвеждане на нови технологии и цифровизация на бизнес процесите ще се подобрят позициите на микропредприятията на местния и международния пазар, както и тяхната рентабилност.</w:t>
            </w:r>
          </w:p>
        </w:tc>
      </w:tr>
    </w:tbl>
    <w:p w14:paraId="5A30F204" w14:textId="6A44B2F0" w:rsidR="00C81058" w:rsidRDefault="00C81058" w:rsidP="0084747F">
      <w:pPr>
        <w:widowControl w:val="0"/>
        <w:tabs>
          <w:tab w:val="left" w:pos="1080"/>
        </w:tabs>
        <w:spacing w:after="60" w:line="264" w:lineRule="auto"/>
        <w:ind w:left="720"/>
        <w:jc w:val="both"/>
        <w:rPr>
          <w:rFonts w:eastAsia="Times New Roman" w:cs="Times New Roman"/>
          <w:i/>
          <w:u w:val="single"/>
          <w:lang w:eastAsia="bg-BG" w:bidi="bg-BG"/>
        </w:rPr>
      </w:pPr>
    </w:p>
    <w:p w14:paraId="68919D44" w14:textId="354B321D" w:rsidR="006E0FF0" w:rsidRDefault="006E0FF0" w:rsidP="0084747F">
      <w:pPr>
        <w:widowControl w:val="0"/>
        <w:tabs>
          <w:tab w:val="left" w:pos="1080"/>
        </w:tabs>
        <w:spacing w:after="60" w:line="264" w:lineRule="auto"/>
        <w:ind w:left="720"/>
        <w:jc w:val="both"/>
        <w:rPr>
          <w:rFonts w:eastAsia="Times New Roman" w:cs="Times New Roman"/>
          <w:i/>
          <w:u w:val="single"/>
          <w:lang w:eastAsia="bg-BG" w:bidi="bg-BG"/>
        </w:rPr>
      </w:pPr>
    </w:p>
    <w:p w14:paraId="20CE5868" w14:textId="27224767" w:rsidR="006E0FF0" w:rsidRDefault="006E0FF0" w:rsidP="0084747F">
      <w:pPr>
        <w:widowControl w:val="0"/>
        <w:tabs>
          <w:tab w:val="left" w:pos="1080"/>
        </w:tabs>
        <w:spacing w:after="60" w:line="264" w:lineRule="auto"/>
        <w:ind w:left="720"/>
        <w:jc w:val="both"/>
        <w:rPr>
          <w:rFonts w:eastAsia="Times New Roman" w:cs="Times New Roman"/>
          <w:i/>
          <w:u w:val="single"/>
          <w:lang w:eastAsia="bg-BG" w:bidi="bg-BG"/>
        </w:rPr>
      </w:pPr>
    </w:p>
    <w:p w14:paraId="691A080B" w14:textId="26B36EBB" w:rsidR="006E0FF0" w:rsidRDefault="006E0FF0" w:rsidP="0084747F">
      <w:pPr>
        <w:widowControl w:val="0"/>
        <w:tabs>
          <w:tab w:val="left" w:pos="1080"/>
        </w:tabs>
        <w:spacing w:after="60" w:line="264" w:lineRule="auto"/>
        <w:ind w:left="720"/>
        <w:jc w:val="both"/>
        <w:rPr>
          <w:rFonts w:eastAsia="Times New Roman" w:cs="Times New Roman"/>
          <w:i/>
          <w:u w:val="single"/>
          <w:lang w:eastAsia="bg-BG" w:bidi="bg-BG"/>
        </w:rPr>
      </w:pPr>
    </w:p>
    <w:p w14:paraId="4CABC284" w14:textId="74521FD6" w:rsidR="006E0FF0" w:rsidRDefault="006E0FF0" w:rsidP="0084747F">
      <w:pPr>
        <w:widowControl w:val="0"/>
        <w:tabs>
          <w:tab w:val="left" w:pos="1080"/>
        </w:tabs>
        <w:spacing w:after="60" w:line="264" w:lineRule="auto"/>
        <w:ind w:left="720"/>
        <w:jc w:val="both"/>
        <w:rPr>
          <w:rFonts w:eastAsia="Times New Roman" w:cs="Times New Roman"/>
          <w:i/>
          <w:u w:val="single"/>
          <w:lang w:eastAsia="bg-BG" w:bidi="bg-BG"/>
        </w:rPr>
      </w:pPr>
    </w:p>
    <w:p w14:paraId="0D9C4570" w14:textId="77777777" w:rsidR="006E0FF0" w:rsidRPr="009F6D1E" w:rsidRDefault="006E0FF0" w:rsidP="0084747F">
      <w:pPr>
        <w:widowControl w:val="0"/>
        <w:tabs>
          <w:tab w:val="left" w:pos="1080"/>
        </w:tabs>
        <w:spacing w:after="60" w:line="264" w:lineRule="auto"/>
        <w:ind w:left="720"/>
        <w:jc w:val="both"/>
        <w:rPr>
          <w:rFonts w:eastAsia="Times New Roman" w:cs="Times New Roman"/>
          <w:i/>
          <w:u w:val="single"/>
          <w:lang w:eastAsia="bg-BG" w:bidi="bg-BG"/>
        </w:rPr>
      </w:pPr>
    </w:p>
    <w:p w14:paraId="22C1774B" w14:textId="77777777" w:rsidR="001B36C7"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lastRenderedPageBreak/>
        <w:t xml:space="preserve">Специфична цел № 8: </w:t>
      </w:r>
      <w:r w:rsidR="001B36C7" w:rsidRPr="009F6D1E">
        <w:rPr>
          <w:rFonts w:cs="Times New Roman"/>
          <w:b/>
          <w:i/>
          <w:szCs w:val="24"/>
          <w:u w:val="single"/>
        </w:rPr>
        <w:t>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w:t>
      </w:r>
    </w:p>
    <w:p w14:paraId="730A4B0A" w14:textId="77777777" w:rsidR="004019B9" w:rsidRPr="009F6D1E" w:rsidRDefault="004019B9" w:rsidP="0084747F">
      <w:pPr>
        <w:widowControl w:val="0"/>
        <w:tabs>
          <w:tab w:val="left" w:pos="1080"/>
        </w:tabs>
        <w:spacing w:after="60" w:line="264" w:lineRule="auto"/>
        <w:ind w:left="720"/>
        <w:jc w:val="both"/>
        <w:rPr>
          <w:rFonts w:eastAsia="Times New Roman" w:cs="Times New Roman"/>
          <w:i/>
          <w:u w:val="single"/>
          <w:lang w:eastAsia="bg-BG" w:bidi="bg-BG"/>
        </w:rPr>
      </w:pPr>
    </w:p>
    <w:tbl>
      <w:tblPr>
        <w:tblStyle w:val="TableGrid"/>
        <w:tblW w:w="0" w:type="auto"/>
        <w:tblInd w:w="-5" w:type="dxa"/>
        <w:tblLook w:val="04A0" w:firstRow="1" w:lastRow="0" w:firstColumn="1" w:lastColumn="0" w:noHBand="0" w:noVBand="1"/>
      </w:tblPr>
      <w:tblGrid>
        <w:gridCol w:w="709"/>
        <w:gridCol w:w="4394"/>
        <w:gridCol w:w="4530"/>
      </w:tblGrid>
      <w:tr w:rsidR="004019B9" w:rsidRPr="009F6D1E" w14:paraId="217BF7EC" w14:textId="77777777" w:rsidTr="00DA2D41">
        <w:trPr>
          <w:tblHeader/>
        </w:trPr>
        <w:tc>
          <w:tcPr>
            <w:tcW w:w="709" w:type="dxa"/>
            <w:shd w:val="clear" w:color="auto" w:fill="F7CAAC" w:themeFill="accent2" w:themeFillTint="66"/>
          </w:tcPr>
          <w:p w14:paraId="6CEDB3D1" w14:textId="77777777" w:rsidR="004019B9" w:rsidRPr="009F6D1E" w:rsidRDefault="004019B9" w:rsidP="0084747F">
            <w:pPr>
              <w:widowControl w:val="0"/>
              <w:tabs>
                <w:tab w:val="left" w:pos="1080"/>
              </w:tabs>
              <w:spacing w:after="60" w:line="264" w:lineRule="auto"/>
              <w:jc w:val="center"/>
              <w:rPr>
                <w:rFonts w:eastAsia="Times New Roman" w:cs="Times New Roman"/>
                <w:b/>
                <w:bCs/>
                <w:iCs/>
                <w:lang w:eastAsia="bg-BG" w:bidi="bg-BG"/>
              </w:rPr>
            </w:pPr>
            <w:bookmarkStart w:id="41" w:name="_Hlk96094888"/>
            <w:r w:rsidRPr="009F6D1E">
              <w:rPr>
                <w:rFonts w:eastAsia="Times New Roman" w:cs="Times New Roman"/>
                <w:b/>
                <w:bCs/>
                <w:iCs/>
                <w:lang w:eastAsia="bg-BG" w:bidi="bg-BG"/>
              </w:rPr>
              <w:t>№</w:t>
            </w:r>
          </w:p>
        </w:tc>
        <w:tc>
          <w:tcPr>
            <w:tcW w:w="4394" w:type="dxa"/>
            <w:shd w:val="clear" w:color="auto" w:fill="F7CAAC" w:themeFill="accent2" w:themeFillTint="66"/>
          </w:tcPr>
          <w:p w14:paraId="76185C6C"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1F9E930C" w14:textId="77777777" w:rsidR="004019B9" w:rsidRPr="009F6D1E" w:rsidRDefault="004019B9"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4019B9" w:rsidRPr="009F6D1E" w14:paraId="64DE2AEA" w14:textId="77777777" w:rsidTr="00981F7B">
        <w:tc>
          <w:tcPr>
            <w:tcW w:w="709" w:type="dxa"/>
          </w:tcPr>
          <w:p w14:paraId="2BE2D3EE"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37E917F8" w14:textId="77777777" w:rsidR="00F14455" w:rsidRPr="009F6D1E" w:rsidRDefault="00F144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П.8.1.</w:t>
            </w:r>
            <w:r w:rsidRPr="009F6D1E">
              <w:rPr>
                <w:rFonts w:eastAsia="Times New Roman" w:cs="Times New Roman"/>
                <w:b/>
                <w:bCs/>
                <w:i/>
                <w:lang w:eastAsia="bg-BG" w:bidi="bg-BG"/>
              </w:rPr>
              <w:t xml:space="preserve"> Диверсификация на икономическата дейност. Стимулиране на нови производства в областта на биоикономиката и кръговата икономика</w:t>
            </w:r>
          </w:p>
          <w:p w14:paraId="04495C04" w14:textId="77777777" w:rsidR="004019B9" w:rsidRPr="009F6D1E" w:rsidRDefault="004019B9" w:rsidP="0084747F">
            <w:pPr>
              <w:widowControl w:val="0"/>
              <w:tabs>
                <w:tab w:val="left" w:pos="1080"/>
              </w:tabs>
              <w:spacing w:after="60" w:line="264" w:lineRule="auto"/>
              <w:jc w:val="both"/>
              <w:rPr>
                <w:rFonts w:eastAsia="Times New Roman" w:cs="Times New Roman"/>
                <w:b/>
                <w:bCs/>
                <w:i/>
                <w:lang w:eastAsia="bg-BG" w:bidi="bg-BG"/>
              </w:rPr>
            </w:pPr>
          </w:p>
          <w:p w14:paraId="0D5BAD8B" w14:textId="77777777" w:rsidR="004019B9" w:rsidRPr="009F6D1E" w:rsidRDefault="004019B9" w:rsidP="0084747F">
            <w:pPr>
              <w:widowControl w:val="0"/>
              <w:tabs>
                <w:tab w:val="left" w:pos="1080"/>
              </w:tabs>
              <w:spacing w:after="60" w:line="264" w:lineRule="auto"/>
              <w:jc w:val="both"/>
              <w:rPr>
                <w:rFonts w:eastAsia="Times New Roman" w:cs="Times New Roman"/>
                <w:b/>
                <w:bCs/>
                <w:i/>
                <w:u w:val="single"/>
                <w:lang w:eastAsia="bg-BG" w:bidi="bg-BG"/>
              </w:rPr>
            </w:pPr>
          </w:p>
        </w:tc>
        <w:tc>
          <w:tcPr>
            <w:tcW w:w="4530" w:type="dxa"/>
          </w:tcPr>
          <w:p w14:paraId="111D67CB" w14:textId="77777777" w:rsidR="00A67800" w:rsidRPr="009F6D1E" w:rsidRDefault="00484FD3" w:rsidP="0084747F">
            <w:pPr>
              <w:spacing w:after="60" w:line="264" w:lineRule="auto"/>
              <w:jc w:val="both"/>
              <w:rPr>
                <w:rFonts w:eastAsia="Calibri" w:cs="Times New Roman"/>
                <w:bCs/>
                <w:lang w:eastAsia="en-GB" w:bidi="bg-BG"/>
              </w:rPr>
            </w:pPr>
            <w:r w:rsidRPr="009F6D1E">
              <w:rPr>
                <w:rFonts w:cs="Times New Roman"/>
                <w:bCs/>
                <w:i/>
                <w:lang w:bidi="bg-BG"/>
              </w:rPr>
              <w:t xml:space="preserve">Интервенция </w:t>
            </w:r>
            <w:r w:rsidR="00CC69A1" w:rsidRPr="009F6D1E">
              <w:rPr>
                <w:rFonts w:cs="Times New Roman"/>
                <w:bCs/>
                <w:i/>
                <w:iCs/>
                <w:lang w:bidi="bg-BG"/>
              </w:rPr>
              <w:t>„</w:t>
            </w:r>
            <w:r w:rsidR="00043ED3" w:rsidRPr="009F6D1E">
              <w:rPr>
                <w:rFonts w:cs="Times New Roman"/>
                <w:bCs/>
                <w:i/>
                <w:iCs/>
                <w:lang w:bidi="bg-BG"/>
              </w:rPr>
              <w:t>Инвестиции за неселскостопански  дейности  в селските райони.</w:t>
            </w:r>
            <w:r w:rsidR="00CC69A1" w:rsidRPr="009F6D1E">
              <w:rPr>
                <w:rFonts w:cs="Times New Roman"/>
                <w:bCs/>
                <w:i/>
                <w:iCs/>
                <w:lang w:bidi="bg-BG"/>
              </w:rPr>
              <w:t>“</w:t>
            </w:r>
            <w:r w:rsidR="00043ED3" w:rsidRPr="009F6D1E">
              <w:rPr>
                <w:rFonts w:cs="Times New Roman"/>
                <w:bCs/>
                <w:lang w:bidi="bg-BG"/>
              </w:rPr>
              <w:t xml:space="preserve"> Предвижда се предоставяне на подкрепа за инвестиции за развитие на икономически дейности, свързани с търговия, услуги, преработваща промишленост. </w:t>
            </w:r>
          </w:p>
          <w:p w14:paraId="3023965D" w14:textId="77777777" w:rsidR="00CC69A1" w:rsidRPr="009F6D1E" w:rsidRDefault="00484FD3" w:rsidP="0084747F">
            <w:pPr>
              <w:spacing w:after="60" w:line="264" w:lineRule="auto"/>
              <w:jc w:val="both"/>
              <w:rPr>
                <w:rFonts w:eastAsia="Calibri" w:cs="Times New Roman"/>
                <w:bCs/>
                <w:lang w:eastAsia="en-GB" w:bidi="bg-BG"/>
              </w:rPr>
            </w:pPr>
            <w:r w:rsidRPr="009F6D1E">
              <w:rPr>
                <w:rFonts w:cs="Times New Roman"/>
                <w:bCs/>
                <w:i/>
                <w:lang w:bidi="bg-BG"/>
              </w:rPr>
              <w:t xml:space="preserve">Интервенция </w:t>
            </w:r>
            <w:r w:rsidR="00CC69A1" w:rsidRPr="009F6D1E">
              <w:rPr>
                <w:rFonts w:eastAsia="Calibri" w:cs="Times New Roman"/>
                <w:bCs/>
                <w:lang w:eastAsia="en-GB" w:bidi="bg-BG"/>
              </w:rPr>
              <w:t>„</w:t>
            </w:r>
            <w:r w:rsidR="00CC69A1" w:rsidRPr="009F6D1E">
              <w:rPr>
                <w:rFonts w:eastAsia="Calibri" w:cs="Times New Roman"/>
                <w:bCs/>
                <w:i/>
                <w:iCs/>
                <w:lang w:eastAsia="en-GB" w:bidi="bg-BG"/>
              </w:rPr>
              <w:t>Инвестиции в земеделските стопанства</w:t>
            </w:r>
            <w:r w:rsidR="00CC69A1" w:rsidRPr="009F6D1E">
              <w:rPr>
                <w:rFonts w:eastAsia="Calibri" w:cs="Times New Roman"/>
                <w:bCs/>
                <w:lang w:eastAsia="en-GB" w:bidi="bg-BG"/>
              </w:rPr>
              <w:t>“ – чл. 73 и „</w:t>
            </w:r>
            <w:r w:rsidR="00CC69A1" w:rsidRPr="009F6D1E">
              <w:rPr>
                <w:rFonts w:eastAsia="Calibri" w:cs="Times New Roman"/>
                <w:bCs/>
                <w:i/>
                <w:iCs/>
                <w:lang w:eastAsia="en-GB" w:bidi="bg-BG"/>
              </w:rPr>
              <w:t>Инвестиции за преработка на селскостопански продукти</w:t>
            </w:r>
            <w:r w:rsidR="00CC69A1" w:rsidRPr="009F6D1E">
              <w:rPr>
                <w:rFonts w:eastAsia="Calibri" w:cs="Times New Roman"/>
                <w:bCs/>
                <w:lang w:eastAsia="en-GB" w:bidi="bg-BG"/>
              </w:rPr>
              <w:t>“ – член 73, могат да се насърчат дейностите, свързани с оползотворяване в рамките на стопанствата и предприятията на остатъчната биомаса, получена в резултат на производствените процеси.</w:t>
            </w:r>
          </w:p>
          <w:p w14:paraId="604C296D" w14:textId="77777777" w:rsidR="00043ED3" w:rsidRPr="009F6D1E" w:rsidRDefault="00CC69A1" w:rsidP="0084747F">
            <w:pPr>
              <w:spacing w:after="60" w:line="264" w:lineRule="auto"/>
              <w:jc w:val="both"/>
              <w:rPr>
                <w:rFonts w:eastAsia="Times New Roman" w:cs="Times New Roman"/>
                <w:i/>
                <w:u w:val="single"/>
                <w:lang w:eastAsia="bg-BG" w:bidi="bg-BG"/>
              </w:rPr>
            </w:pPr>
            <w:r w:rsidRPr="009F6D1E">
              <w:rPr>
                <w:rFonts w:cs="Times New Roman"/>
                <w:bCs/>
                <w:i/>
                <w:lang w:bidi="bg-BG"/>
              </w:rPr>
              <w:t>Интервенция</w:t>
            </w:r>
            <w:r w:rsidRPr="009F6D1E">
              <w:rPr>
                <w:rFonts w:cs="Times New Roman"/>
                <w:bCs/>
                <w:i/>
                <w:iCs/>
                <w:lang w:bidi="bg-BG"/>
              </w:rPr>
              <w:t xml:space="preserve"> „Първична преработка и маркетинг на дървесина“, съгл. чл. 73 (ЕЗФРСР). </w:t>
            </w:r>
            <w:r w:rsidRPr="009F6D1E">
              <w:rPr>
                <w:rFonts w:cs="Times New Roman"/>
                <w:bCs/>
                <w:lang w:bidi="bg-BG"/>
              </w:rPr>
              <w:t>Добиването и преработката на биомаса от горското стопанство дават възможност за диверсификация на приходите, работни места и бизнес възможности, както и за предоставяне на нови услуги в селските райони.</w:t>
            </w:r>
          </w:p>
        </w:tc>
      </w:tr>
      <w:bookmarkEnd w:id="41"/>
      <w:tr w:rsidR="004019B9" w:rsidRPr="009F6D1E" w14:paraId="109F3586" w14:textId="77777777" w:rsidTr="00981F7B">
        <w:tc>
          <w:tcPr>
            <w:tcW w:w="709" w:type="dxa"/>
          </w:tcPr>
          <w:p w14:paraId="3A213790"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2.</w:t>
            </w:r>
          </w:p>
        </w:tc>
        <w:tc>
          <w:tcPr>
            <w:tcW w:w="4394" w:type="dxa"/>
          </w:tcPr>
          <w:p w14:paraId="275D6003"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П.8.2.</w:t>
            </w:r>
            <w:r w:rsidRPr="009F6D1E">
              <w:rPr>
                <w:rFonts w:eastAsia="Times New Roman" w:cs="Times New Roman"/>
                <w:b/>
                <w:bCs/>
                <w:i/>
                <w:lang w:eastAsia="bg-BG" w:bidi="bg-BG"/>
              </w:rPr>
              <w:t xml:space="preserve"> Подобряване на здравните и социалните услуги</w:t>
            </w:r>
          </w:p>
          <w:p w14:paraId="44391E9E"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cr/>
            </w:r>
          </w:p>
          <w:p w14:paraId="5E5870D5" w14:textId="77777777" w:rsidR="004019B9" w:rsidRPr="009F6D1E" w:rsidRDefault="004019B9" w:rsidP="0084747F">
            <w:pPr>
              <w:widowControl w:val="0"/>
              <w:tabs>
                <w:tab w:val="left" w:pos="1080"/>
              </w:tabs>
              <w:spacing w:after="60" w:line="264" w:lineRule="auto"/>
              <w:jc w:val="both"/>
              <w:rPr>
                <w:rFonts w:eastAsia="Times New Roman" w:cs="Times New Roman"/>
                <w:b/>
                <w:bCs/>
                <w:i/>
                <w:lang w:eastAsia="bg-BG" w:bidi="bg-BG"/>
              </w:rPr>
            </w:pPr>
          </w:p>
        </w:tc>
        <w:tc>
          <w:tcPr>
            <w:tcW w:w="4530" w:type="dxa"/>
          </w:tcPr>
          <w:p w14:paraId="01ED88A1" w14:textId="77777777" w:rsidR="004019B9" w:rsidRPr="009F6D1E" w:rsidRDefault="00266F69" w:rsidP="0084747F">
            <w:pPr>
              <w:spacing w:after="60" w:line="264" w:lineRule="auto"/>
              <w:jc w:val="both"/>
              <w:rPr>
                <w:rFonts w:eastAsia="Times New Roman" w:cs="Times New Roman"/>
                <w:bCs/>
                <w:i/>
                <w:u w:val="single"/>
                <w:lang w:eastAsia="bg-BG" w:bidi="bg-BG"/>
              </w:rPr>
            </w:pPr>
            <w:r w:rsidRPr="009F6D1E">
              <w:rPr>
                <w:rFonts w:cs="Times New Roman"/>
                <w:bCs/>
                <w:i/>
                <w:iCs/>
                <w:lang w:bidi="bg-BG"/>
              </w:rPr>
              <w:t xml:space="preserve">Интервенция „Инвестиции за неселскостопански дейности в селските райони“. </w:t>
            </w:r>
            <w:r w:rsidRPr="009F6D1E">
              <w:rPr>
                <w:rFonts w:cs="Times New Roman"/>
                <w:bCs/>
                <w:lang w:bidi="bg-BG"/>
              </w:rPr>
              <w:t>Осигуряването на инвестиции за бизнеса в областта на здравеопазването и социалните услуги за преодоляване на множество здравни проблеми и предизвикателства в селските райони като достъпни, качествени, здравни и социални услуги.</w:t>
            </w:r>
          </w:p>
        </w:tc>
      </w:tr>
      <w:tr w:rsidR="004019B9" w:rsidRPr="009F6D1E" w14:paraId="78EE48FD" w14:textId="77777777" w:rsidTr="00981F7B">
        <w:tc>
          <w:tcPr>
            <w:tcW w:w="709" w:type="dxa"/>
          </w:tcPr>
          <w:p w14:paraId="46D50F87"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76C18136"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w:t>
            </w:r>
            <w:r w:rsidRPr="009F6D1E">
              <w:rPr>
                <w:rFonts w:eastAsia="Times New Roman" w:cs="Times New Roman"/>
                <w:b/>
                <w:bCs/>
                <w:i/>
                <w:lang w:eastAsia="bg-BG" w:bidi="bg-BG"/>
              </w:rPr>
              <w:t xml:space="preserve"> Подобряване на публична инфраструктурата и технико-комуникационните системи в</w:t>
            </w:r>
          </w:p>
          <w:p w14:paraId="7886E648"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селските райони чрез:</w:t>
            </w:r>
          </w:p>
          <w:p w14:paraId="6A3D471F" w14:textId="77777777" w:rsidR="004019B9" w:rsidRPr="009F6D1E" w:rsidRDefault="00341C3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П.8.3.1.</w:t>
            </w:r>
            <w:r w:rsidRPr="009F6D1E">
              <w:rPr>
                <w:rFonts w:eastAsia="Times New Roman" w:cs="Times New Roman"/>
                <w:b/>
                <w:bCs/>
                <w:i/>
                <w:lang w:eastAsia="bg-BG" w:bidi="bg-BG"/>
              </w:rPr>
              <w:t xml:space="preserve"> Подобряване качеството на общинските пътищата чрез изграждане, реконструкция и/или рехабилитация на нови и съществуващи общински пътища, съоръжения и принадлежностите към тях на територията на общини от селските райони.</w:t>
            </w:r>
          </w:p>
          <w:p w14:paraId="4BDE70EA" w14:textId="77777777" w:rsidR="00341C37"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П.8.3.2.</w:t>
            </w:r>
            <w:r w:rsidRPr="009F6D1E">
              <w:rPr>
                <w:rFonts w:eastAsia="Times New Roman" w:cs="Times New Roman"/>
                <w:b/>
                <w:bCs/>
                <w:i/>
                <w:lang w:eastAsia="bg-BG" w:bidi="bg-BG"/>
              </w:rPr>
              <w:t xml:space="preserve"> Подобряване на водоснабдяването и пречистването на водите чрез изграждане, реконструкция и/или рехабилитация на водоснабдителни системи и съоръжения в селата и население места до 2000 жители .</w:t>
            </w:r>
          </w:p>
          <w:p w14:paraId="2F9E9621" w14:textId="77777777" w:rsidR="00B43E5C"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П.8.3.3.</w:t>
            </w:r>
            <w:r w:rsidRPr="009F6D1E">
              <w:rPr>
                <w:rFonts w:eastAsia="Times New Roman" w:cs="Times New Roman"/>
                <w:b/>
                <w:bCs/>
                <w:i/>
                <w:lang w:eastAsia="bg-BG" w:bidi="bg-BG"/>
              </w:rPr>
              <w:t>Подобряване качеството на</w:t>
            </w:r>
            <w:r w:rsidRPr="009F6D1E">
              <w:rPr>
                <w:rFonts w:cs="Times New Roman"/>
              </w:rPr>
              <w:t xml:space="preserve"> </w:t>
            </w:r>
            <w:r w:rsidRPr="009F6D1E">
              <w:rPr>
                <w:rFonts w:eastAsia="Times New Roman" w:cs="Times New Roman"/>
                <w:b/>
                <w:bCs/>
                <w:i/>
                <w:lang w:eastAsia="bg-BG" w:bidi="bg-BG"/>
              </w:rPr>
              <w:t>улиците на територията на общини от селските райони (изграждане, реконструкция и/или рехабилитация на нови и съществуващи улици и тротоари и съоръженията и принадлежностите към тях).</w:t>
            </w:r>
          </w:p>
          <w:p w14:paraId="71F230A6" w14:textId="77777777" w:rsidR="00B43E5C"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П.8.3.4.</w:t>
            </w:r>
            <w:r w:rsidRPr="009F6D1E">
              <w:rPr>
                <w:rFonts w:eastAsia="Times New Roman" w:cs="Times New Roman"/>
                <w:b/>
                <w:bCs/>
                <w:i/>
                <w:lang w:eastAsia="bg-BG" w:bidi="bg-BG"/>
              </w:rPr>
              <w:t xml:space="preserve"> Подобряване и облагородяване на публичните пространства чрез: изграждане или обновяване на паркове, градинки, улично озеленяване, детски площадки и спортни съоръжения.</w:t>
            </w:r>
          </w:p>
          <w:p w14:paraId="73414723" w14:textId="77777777" w:rsidR="00B43E5C"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П.8.3.5.</w:t>
            </w:r>
            <w:r w:rsidRPr="009F6D1E">
              <w:rPr>
                <w:rFonts w:eastAsia="Times New Roman" w:cs="Times New Roman"/>
                <w:b/>
                <w:bCs/>
                <w:i/>
                <w:lang w:eastAsia="bg-BG" w:bidi="bg-BG"/>
              </w:rPr>
              <w:t xml:space="preserve"> Подобряване енергийната ефективност на сгради, стопанисвани от местната власт.</w:t>
            </w:r>
          </w:p>
          <w:p w14:paraId="2A530D37" w14:textId="77777777" w:rsidR="00B43E5C"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П.8.3.6.</w:t>
            </w:r>
            <w:r w:rsidRPr="009F6D1E">
              <w:rPr>
                <w:rFonts w:eastAsia="Times New Roman" w:cs="Times New Roman"/>
                <w:b/>
                <w:bCs/>
                <w:i/>
                <w:lang w:eastAsia="bg-BG" w:bidi="bg-BG"/>
              </w:rPr>
              <w:t xml:space="preserve">Доизграждане на съществуващи </w:t>
            </w:r>
            <w:proofErr w:type="spellStart"/>
            <w:r w:rsidRPr="009F6D1E">
              <w:rPr>
                <w:rFonts w:eastAsia="Times New Roman" w:cs="Times New Roman"/>
                <w:b/>
                <w:bCs/>
                <w:i/>
                <w:lang w:eastAsia="bg-BG" w:bidi="bg-BG"/>
              </w:rPr>
              <w:t>канализацион</w:t>
            </w:r>
            <w:proofErr w:type="spellEnd"/>
            <w:r w:rsidRPr="009F6D1E">
              <w:rPr>
                <w:rFonts w:cs="Times New Roman"/>
              </w:rPr>
              <w:t xml:space="preserve"> </w:t>
            </w:r>
            <w:r w:rsidRPr="009F6D1E">
              <w:rPr>
                <w:rFonts w:eastAsia="Times New Roman" w:cs="Times New Roman"/>
                <w:b/>
                <w:bCs/>
                <w:i/>
                <w:lang w:eastAsia="bg-BG" w:bidi="bg-BG"/>
              </w:rPr>
              <w:t>ни системи и осигуряване на подходящо пречистване за населените места под 2000 е. ж.</w:t>
            </w:r>
          </w:p>
          <w:p w14:paraId="4F2EC86D" w14:textId="77777777" w:rsidR="00B43E5C" w:rsidRPr="009F6D1E" w:rsidRDefault="00B43E5C"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lastRenderedPageBreak/>
              <w:t>П.8.3.7.</w:t>
            </w:r>
            <w:r w:rsidRPr="009F6D1E">
              <w:rPr>
                <w:rFonts w:eastAsia="Times New Roman" w:cs="Times New Roman"/>
                <w:b/>
                <w:bCs/>
                <w:i/>
                <w:lang w:eastAsia="bg-BG" w:bidi="bg-BG"/>
              </w:rPr>
              <w:t xml:space="preserve"> Осигуряване на високоскоростен широколентов достъп и изграждане на сигурна публична изграждане на сигурна публична инфраструктура</w:t>
            </w:r>
          </w:p>
        </w:tc>
        <w:tc>
          <w:tcPr>
            <w:tcW w:w="4530" w:type="dxa"/>
          </w:tcPr>
          <w:p w14:paraId="50CBE872" w14:textId="77777777" w:rsidR="00266F69" w:rsidRPr="009F6D1E" w:rsidRDefault="00484FD3" w:rsidP="0084747F">
            <w:pPr>
              <w:spacing w:after="60" w:line="264" w:lineRule="auto"/>
              <w:jc w:val="both"/>
              <w:rPr>
                <w:rFonts w:eastAsia="Calibri" w:cs="Times New Roman"/>
                <w:bCs/>
                <w:lang w:eastAsia="en-GB" w:bidi="bg-BG"/>
              </w:rPr>
            </w:pPr>
            <w:r w:rsidRPr="009F6D1E">
              <w:rPr>
                <w:rFonts w:cs="Times New Roman"/>
                <w:bCs/>
                <w:i/>
                <w:lang w:bidi="bg-BG"/>
              </w:rPr>
              <w:lastRenderedPageBreak/>
              <w:t>Интервенция „</w:t>
            </w:r>
            <w:r w:rsidR="00043ED3" w:rsidRPr="009F6D1E">
              <w:rPr>
                <w:rFonts w:eastAsia="Calibri" w:cs="Times New Roman"/>
                <w:bCs/>
                <w:i/>
                <w:iCs/>
                <w:lang w:eastAsia="en-GB" w:bidi="bg-BG"/>
              </w:rPr>
              <w:t>Инвестиции в основни услуги и дребна по мащаби инфраструктура в селските райони</w:t>
            </w:r>
            <w:r w:rsidRPr="009F6D1E">
              <w:rPr>
                <w:rFonts w:eastAsia="Calibri" w:cs="Times New Roman"/>
                <w:bCs/>
                <w:i/>
                <w:iCs/>
                <w:lang w:eastAsia="en-GB" w:bidi="bg-BG"/>
              </w:rPr>
              <w:t>“</w:t>
            </w:r>
            <w:r w:rsidR="00266F69" w:rsidRPr="009F6D1E">
              <w:rPr>
                <w:rFonts w:eastAsia="Calibri" w:cs="Times New Roman"/>
                <w:bCs/>
                <w:i/>
                <w:iCs/>
                <w:lang w:eastAsia="en-GB" w:bidi="bg-BG"/>
              </w:rPr>
              <w:t xml:space="preserve">. </w:t>
            </w:r>
            <w:r w:rsidR="00266F69" w:rsidRPr="009F6D1E">
              <w:rPr>
                <w:rFonts w:eastAsia="Calibri" w:cs="Times New Roman"/>
                <w:bCs/>
                <w:lang w:eastAsia="en-GB" w:bidi="bg-BG"/>
              </w:rPr>
              <w:t>В рамките на тази интервенция ще се прилага подход за насочване на инвестиции в малки по мащаби инфраструктура, който се състои в предварително определяне на разполагаем бюджет за съответната общинска територия съобразно обективни и недискриминационни критерии.</w:t>
            </w:r>
          </w:p>
          <w:p w14:paraId="39A13801" w14:textId="77777777" w:rsidR="00043ED3" w:rsidRPr="009F6D1E" w:rsidRDefault="00043ED3" w:rsidP="0084747F">
            <w:pPr>
              <w:spacing w:after="60" w:line="264" w:lineRule="auto"/>
              <w:jc w:val="both"/>
              <w:rPr>
                <w:rFonts w:cs="Times New Roman"/>
                <w:bCs/>
                <w:lang w:bidi="bg-BG"/>
              </w:rPr>
            </w:pPr>
            <w:r w:rsidRPr="009F6D1E">
              <w:rPr>
                <w:rFonts w:cs="Times New Roman"/>
                <w:bCs/>
                <w:lang w:bidi="bg-BG"/>
              </w:rPr>
              <w:t xml:space="preserve"> </w:t>
            </w:r>
            <w:r w:rsidR="00900120" w:rsidRPr="009F6D1E">
              <w:rPr>
                <w:rFonts w:cs="Times New Roman"/>
                <w:bCs/>
                <w:lang w:bidi="bg-BG"/>
              </w:rPr>
              <w:t xml:space="preserve">Част от инвестициите по интервенцията ще се допълват през подхода ВОМР, който ще подпомага </w:t>
            </w:r>
            <w:r w:rsidR="00900120" w:rsidRPr="009F6D1E">
              <w:rPr>
                <w:rFonts w:cs="Times New Roman"/>
                <w:bCs/>
                <w:i/>
                <w:lang w:bidi="bg-BG"/>
              </w:rPr>
              <w:t>„Подобряване на обектите за развитие на традициите и на културно-историческ</w:t>
            </w:r>
            <w:r w:rsidR="00484FD3" w:rsidRPr="009F6D1E">
              <w:rPr>
                <w:rFonts w:cs="Times New Roman"/>
                <w:bCs/>
                <w:i/>
                <w:lang w:bidi="bg-BG"/>
              </w:rPr>
              <w:t>ите обекти</w:t>
            </w:r>
            <w:r w:rsidR="00900120" w:rsidRPr="009F6D1E">
              <w:rPr>
                <w:rFonts w:cs="Times New Roman"/>
                <w:bCs/>
                <w:i/>
                <w:lang w:bidi="bg-BG"/>
              </w:rPr>
              <w:t>, чрез инвестиции за обекти, свързани с културния живот</w:t>
            </w:r>
            <w:r w:rsidR="00900120" w:rsidRPr="009F6D1E">
              <w:rPr>
                <w:rFonts w:cs="Times New Roman"/>
                <w:bCs/>
                <w:lang w:bidi="bg-BG"/>
              </w:rPr>
              <w:t>.</w:t>
            </w:r>
            <w:r w:rsidR="00484FD3" w:rsidRPr="009F6D1E">
              <w:rPr>
                <w:rFonts w:cs="Times New Roman"/>
                <w:bCs/>
                <w:lang w:bidi="bg-BG"/>
              </w:rPr>
              <w:t>“</w:t>
            </w:r>
          </w:p>
        </w:tc>
      </w:tr>
      <w:tr w:rsidR="004019B9" w:rsidRPr="009F6D1E" w14:paraId="52F73D48" w14:textId="77777777" w:rsidTr="00981F7B">
        <w:tc>
          <w:tcPr>
            <w:tcW w:w="709" w:type="dxa"/>
          </w:tcPr>
          <w:p w14:paraId="68730ED0"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210C39F9"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П.8.4.</w:t>
            </w:r>
            <w:r w:rsidRPr="009F6D1E">
              <w:rPr>
                <w:rFonts w:eastAsia="Times New Roman" w:cs="Times New Roman"/>
                <w:b/>
                <w:bCs/>
                <w:i/>
                <w:lang w:eastAsia="bg-BG" w:bidi="bg-BG"/>
              </w:rPr>
              <w:t xml:space="preserve"> Подобряване на обектите за развитие на традициите и на културно-историческите обекти</w:t>
            </w:r>
          </w:p>
          <w:p w14:paraId="6D18DB53" w14:textId="77777777" w:rsidR="004019B9" w:rsidRPr="009F6D1E" w:rsidRDefault="004019B9" w:rsidP="0084747F">
            <w:pPr>
              <w:widowControl w:val="0"/>
              <w:tabs>
                <w:tab w:val="left" w:pos="1080"/>
              </w:tabs>
              <w:spacing w:after="60" w:line="264" w:lineRule="auto"/>
              <w:jc w:val="both"/>
              <w:rPr>
                <w:rFonts w:eastAsia="Times New Roman" w:cs="Times New Roman"/>
                <w:b/>
                <w:bCs/>
                <w:i/>
                <w:color w:val="000000"/>
                <w:lang w:eastAsia="bg-BG" w:bidi="bg-BG"/>
              </w:rPr>
            </w:pPr>
          </w:p>
        </w:tc>
        <w:tc>
          <w:tcPr>
            <w:tcW w:w="4530" w:type="dxa"/>
          </w:tcPr>
          <w:p w14:paraId="6DA2DF22" w14:textId="77777777" w:rsidR="004019B9" w:rsidRPr="009F6D1E" w:rsidRDefault="00900120" w:rsidP="0084747F">
            <w:pPr>
              <w:spacing w:after="60" w:line="264" w:lineRule="auto"/>
              <w:jc w:val="both"/>
              <w:rPr>
                <w:rFonts w:eastAsia="Calibri" w:cs="Times New Roman"/>
                <w:bCs/>
                <w:lang w:eastAsia="en-GB" w:bidi="bg-BG"/>
              </w:rPr>
            </w:pPr>
            <w:r w:rsidRPr="009F6D1E">
              <w:rPr>
                <w:rFonts w:eastAsia="Calibri" w:cs="Times New Roman"/>
                <w:bCs/>
                <w:i/>
                <w:lang w:eastAsia="en-GB" w:bidi="bg-BG"/>
              </w:rPr>
              <w:t>Интервенция</w:t>
            </w:r>
            <w:r w:rsidRPr="009F6D1E">
              <w:rPr>
                <w:rFonts w:eastAsia="Calibri" w:cs="Times New Roman"/>
                <w:bCs/>
                <w:i/>
                <w:iCs/>
                <w:lang w:eastAsia="en-GB" w:bidi="bg-BG"/>
              </w:rPr>
              <w:t xml:space="preserve"> „Запазването на духовния и културния живот на населението в селските райони“, </w:t>
            </w:r>
            <w:r w:rsidRPr="009F6D1E">
              <w:rPr>
                <w:rFonts w:eastAsia="Calibri" w:cs="Times New Roman"/>
                <w:bCs/>
                <w:lang w:eastAsia="en-GB" w:bidi="bg-BG"/>
              </w:rPr>
              <w:t>съгл. чл. 73 (ЕЗФРСР</w:t>
            </w:r>
            <w:r w:rsidRPr="009F6D1E">
              <w:rPr>
                <w:rFonts w:eastAsia="Calibri" w:cs="Times New Roman"/>
                <w:bCs/>
                <w:i/>
                <w:iCs/>
                <w:lang w:eastAsia="en-GB" w:bidi="bg-BG"/>
              </w:rPr>
              <w:t>).</w:t>
            </w:r>
            <w:r w:rsidRPr="009F6D1E">
              <w:rPr>
                <w:rFonts w:cs="Times New Roman"/>
              </w:rPr>
              <w:t xml:space="preserve"> </w:t>
            </w:r>
            <w:r w:rsidRPr="009F6D1E">
              <w:rPr>
                <w:rFonts w:eastAsia="Calibri" w:cs="Times New Roman"/>
                <w:bCs/>
                <w:lang w:eastAsia="en-GB" w:bidi="bg-BG"/>
              </w:rPr>
              <w:t>Част от инвестициите по интервенцията ще се допълват през подхода ВОМР, който ще подпомага посрещането на потребността чрез инвестиции за обекти, свързани с културния живот.</w:t>
            </w:r>
          </w:p>
          <w:p w14:paraId="1C570F6B" w14:textId="77777777" w:rsidR="00900120" w:rsidRPr="009F6D1E" w:rsidRDefault="00900120" w:rsidP="0084747F">
            <w:pPr>
              <w:spacing w:after="60" w:line="264" w:lineRule="auto"/>
              <w:jc w:val="both"/>
              <w:rPr>
                <w:rFonts w:eastAsia="Times New Roman" w:cs="Times New Roman"/>
                <w:lang w:eastAsia="bg-BG" w:bidi="bg-BG"/>
              </w:rPr>
            </w:pPr>
            <w:r w:rsidRPr="009F6D1E">
              <w:rPr>
                <w:rFonts w:eastAsia="Times New Roman" w:cs="Times New Roman"/>
                <w:i/>
                <w:lang w:eastAsia="bg-BG" w:bidi="bg-BG"/>
              </w:rPr>
              <w:t>Интервенция</w:t>
            </w:r>
            <w:r w:rsidRPr="009F6D1E">
              <w:rPr>
                <w:rFonts w:eastAsia="Times New Roman" w:cs="Times New Roman"/>
                <w:lang w:eastAsia="bg-BG" w:bidi="bg-BG"/>
              </w:rPr>
              <w:t xml:space="preserve"> „</w:t>
            </w:r>
            <w:r w:rsidRPr="009F6D1E">
              <w:rPr>
                <w:rFonts w:eastAsia="Times New Roman" w:cs="Times New Roman"/>
                <w:i/>
                <w:iCs/>
                <w:lang w:eastAsia="bg-BG" w:bidi="bg-BG"/>
              </w:rPr>
              <w:t>Инвестиции за неселскостопански дейности в селските райони</w:t>
            </w:r>
            <w:r w:rsidRPr="009F6D1E">
              <w:rPr>
                <w:rFonts w:eastAsia="Times New Roman" w:cs="Times New Roman"/>
                <w:lang w:eastAsia="bg-BG" w:bidi="bg-BG"/>
              </w:rPr>
              <w:t>“. Предвижда се подкрепа за стимулиране на творческите занаяти, които са част от културното наследство и традиции и инвестиции за развитие на алтернативни форми на туризъм, допълващи местата за настаняване.</w:t>
            </w:r>
          </w:p>
        </w:tc>
      </w:tr>
      <w:tr w:rsidR="00A34057" w:rsidRPr="009F6D1E" w14:paraId="03092CE4" w14:textId="77777777" w:rsidTr="00981F7B">
        <w:tc>
          <w:tcPr>
            <w:tcW w:w="709" w:type="dxa"/>
          </w:tcPr>
          <w:p w14:paraId="71F6E2F2" w14:textId="77777777" w:rsidR="00A34057" w:rsidRPr="009F6D1E" w:rsidRDefault="005D3BA4"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276D5E6B"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П.8.5.</w:t>
            </w:r>
            <w:r w:rsidRPr="009F6D1E">
              <w:rPr>
                <w:rFonts w:eastAsia="Times New Roman" w:cs="Times New Roman"/>
                <w:b/>
                <w:bCs/>
                <w:i/>
                <w:lang w:eastAsia="bg-BG" w:bidi="bg-BG"/>
              </w:rPr>
              <w:t xml:space="preserve"> Подобряване на състоянието на образователната инфраструктура с цел увеличаване на дела на населението, което има достъп до подобрени услуги</w:t>
            </w:r>
          </w:p>
          <w:p w14:paraId="29CBF621"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p>
        </w:tc>
        <w:tc>
          <w:tcPr>
            <w:tcW w:w="4530" w:type="dxa"/>
          </w:tcPr>
          <w:p w14:paraId="10AE1FDD" w14:textId="77777777" w:rsidR="00A34057" w:rsidRPr="009F6D1E" w:rsidRDefault="00900120" w:rsidP="0084747F">
            <w:pPr>
              <w:spacing w:after="60" w:line="264" w:lineRule="auto"/>
              <w:jc w:val="both"/>
              <w:rPr>
                <w:rFonts w:eastAsia="Calibri" w:cs="Times New Roman"/>
                <w:bCs/>
                <w:i/>
                <w:iCs/>
                <w:lang w:eastAsia="en-GB" w:bidi="bg-BG"/>
              </w:rPr>
            </w:pPr>
            <w:r w:rsidRPr="009F6D1E">
              <w:rPr>
                <w:rFonts w:eastAsia="Calibri" w:cs="Times New Roman"/>
                <w:bCs/>
                <w:i/>
                <w:lang w:eastAsia="en-GB" w:bidi="bg-BG"/>
              </w:rPr>
              <w:t>Интервенция</w:t>
            </w:r>
            <w:r w:rsidRPr="009F6D1E">
              <w:rPr>
                <w:rFonts w:eastAsia="Calibri" w:cs="Times New Roman"/>
                <w:bCs/>
                <w:i/>
                <w:iCs/>
                <w:lang w:eastAsia="en-GB" w:bidi="bg-BG"/>
              </w:rPr>
              <w:t xml:space="preserve"> „Инвестиции в основни услуги и дребна по мащаби инфраструктура в селските райони</w:t>
            </w:r>
            <w:r w:rsidRPr="009F6D1E">
              <w:rPr>
                <w:rFonts w:eastAsia="Calibri" w:cs="Times New Roman"/>
                <w:bCs/>
                <w:lang w:eastAsia="en-GB" w:bidi="bg-BG"/>
              </w:rPr>
              <w:t>" е адресирана потребността от инвестиции в общинска образователна инфраструктура (детски градини и училища)</w:t>
            </w:r>
            <w:r w:rsidR="00484FD3" w:rsidRPr="009F6D1E">
              <w:rPr>
                <w:rFonts w:eastAsia="Calibri" w:cs="Times New Roman"/>
                <w:bCs/>
                <w:lang w:eastAsia="en-GB" w:bidi="bg-BG"/>
              </w:rPr>
              <w:t>.</w:t>
            </w:r>
          </w:p>
        </w:tc>
      </w:tr>
      <w:tr w:rsidR="00A34057" w:rsidRPr="009F6D1E" w14:paraId="5DBA1416" w14:textId="77777777" w:rsidTr="00981F7B">
        <w:tc>
          <w:tcPr>
            <w:tcW w:w="709" w:type="dxa"/>
          </w:tcPr>
          <w:p w14:paraId="120BE4DF" w14:textId="77777777" w:rsidR="00A34057" w:rsidRPr="009F6D1E" w:rsidRDefault="005D3BA4"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6.</w:t>
            </w:r>
          </w:p>
        </w:tc>
        <w:tc>
          <w:tcPr>
            <w:tcW w:w="4394" w:type="dxa"/>
          </w:tcPr>
          <w:p w14:paraId="6D5801C6" w14:textId="77777777" w:rsidR="00A34057" w:rsidRPr="009F6D1E" w:rsidRDefault="00A34057"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u w:val="single"/>
                <w:lang w:eastAsia="bg-BG" w:bidi="bg-BG"/>
              </w:rPr>
              <w:t>П.8.6.</w:t>
            </w:r>
            <w:r w:rsidRPr="009F6D1E">
              <w:rPr>
                <w:rFonts w:eastAsia="Times New Roman" w:cs="Times New Roman"/>
                <w:b/>
                <w:bCs/>
                <w:i/>
                <w:lang w:eastAsia="bg-BG" w:bidi="bg-BG"/>
              </w:rPr>
              <w:t xml:space="preserve"> Запазване на многофондовото финансиране, разширяване на териториалното прилагане и опростяване на пр</w:t>
            </w:r>
            <w:r w:rsidR="00484FD3" w:rsidRPr="009F6D1E">
              <w:rPr>
                <w:rFonts w:eastAsia="Times New Roman" w:cs="Times New Roman"/>
                <w:b/>
                <w:bCs/>
                <w:i/>
                <w:lang w:eastAsia="bg-BG" w:bidi="bg-BG"/>
              </w:rPr>
              <w:t>илагането на подхода ЛИДЕР/ВОМР</w:t>
            </w:r>
          </w:p>
        </w:tc>
        <w:tc>
          <w:tcPr>
            <w:tcW w:w="4530" w:type="dxa"/>
          </w:tcPr>
          <w:p w14:paraId="6448F3B3" w14:textId="77777777" w:rsidR="00A34057" w:rsidRPr="009F6D1E" w:rsidRDefault="00900120"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Подкрепата за ВОМР/ЛИДЕР се извършва чрез подкрепа на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 Интервенцията е съгласно чл. 77 от Регламент 2021/2115 на Европейския парламент и Съвета за установяване на правила за подкрепа на стратегическите планове, които да бъдат изготвени от държавите-членки в рамките </w:t>
            </w:r>
            <w:r w:rsidRPr="009F6D1E">
              <w:rPr>
                <w:rFonts w:eastAsia="Calibri" w:cs="Times New Roman"/>
                <w:bCs/>
                <w:lang w:eastAsia="en-GB" w:bidi="bg-BG"/>
              </w:rPr>
              <w:lastRenderedPageBreak/>
              <w:t xml:space="preserve">на Общата селскостопанска политика (Стратегически планове за </w:t>
            </w:r>
            <w:r w:rsidR="00D809BC" w:rsidRPr="009F6D1E">
              <w:rPr>
                <w:rFonts w:eastAsia="Calibri" w:cs="Times New Roman"/>
                <w:bCs/>
                <w:lang w:eastAsia="en-GB" w:bidi="bg-BG"/>
              </w:rPr>
              <w:t>РЗСР</w:t>
            </w:r>
            <w:r w:rsidRPr="009F6D1E">
              <w:rPr>
                <w:rFonts w:eastAsia="Calibri" w:cs="Times New Roman"/>
                <w:bCs/>
                <w:lang w:eastAsia="en-GB" w:bidi="bg-BG"/>
              </w:rPr>
              <w:t>)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 (ЕС) № 1305/2013 на Европейския парламент и на Съвета и Регламент (ЕС) № 1307/2013 на Европейския парламент и на Съвета.</w:t>
            </w:r>
          </w:p>
        </w:tc>
      </w:tr>
    </w:tbl>
    <w:p w14:paraId="46A165B6" w14:textId="77777777" w:rsidR="004D537A" w:rsidRPr="009F6D1E" w:rsidRDefault="004D537A" w:rsidP="0084747F">
      <w:pPr>
        <w:autoSpaceDE w:val="0"/>
        <w:autoSpaceDN w:val="0"/>
        <w:adjustRightInd w:val="0"/>
        <w:spacing w:after="60" w:line="264" w:lineRule="auto"/>
        <w:jc w:val="both"/>
        <w:rPr>
          <w:rFonts w:cs="Times New Roman"/>
          <w:b/>
          <w:i/>
        </w:rPr>
      </w:pPr>
    </w:p>
    <w:p w14:paraId="38C7C92A" w14:textId="77777777" w:rsidR="00E8106A" w:rsidRPr="009F6D1E" w:rsidRDefault="004D537A"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 xml:space="preserve">Специфична цел № 9: </w:t>
      </w:r>
      <w:r w:rsidR="00E8106A" w:rsidRPr="009F6D1E">
        <w:rPr>
          <w:rFonts w:cs="Times New Roman"/>
          <w:b/>
          <w:i/>
          <w:szCs w:val="24"/>
          <w:u w:val="single"/>
        </w:rPr>
        <w:t>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637D2620" w14:textId="77777777" w:rsidR="00E8106A" w:rsidRPr="009F6D1E" w:rsidRDefault="00E8106A" w:rsidP="0084747F">
      <w:pPr>
        <w:widowControl w:val="0"/>
        <w:shd w:val="clear" w:color="auto" w:fill="D9D9D9" w:themeFill="background1" w:themeFillShade="D9"/>
        <w:tabs>
          <w:tab w:val="left" w:pos="5765"/>
        </w:tabs>
        <w:spacing w:after="60" w:line="264" w:lineRule="auto"/>
        <w:jc w:val="both"/>
        <w:rPr>
          <w:rFonts w:cs="Times New Roman"/>
          <w:b/>
          <w:i/>
          <w:u w:val="single"/>
        </w:rPr>
      </w:pPr>
    </w:p>
    <w:p w14:paraId="532C799B" w14:textId="77777777" w:rsidR="004019B9" w:rsidRPr="009F6D1E" w:rsidRDefault="004019B9" w:rsidP="0084747F">
      <w:pPr>
        <w:widowControl w:val="0"/>
        <w:tabs>
          <w:tab w:val="left" w:pos="5765"/>
        </w:tabs>
        <w:spacing w:after="60" w:line="264" w:lineRule="auto"/>
        <w:ind w:firstLine="720"/>
        <w:jc w:val="both"/>
        <w:rPr>
          <w:rFonts w:cs="Times New Roman"/>
        </w:rPr>
      </w:pPr>
    </w:p>
    <w:p w14:paraId="6C42234C" w14:textId="77777777" w:rsidR="004019B9" w:rsidRPr="009F6D1E" w:rsidRDefault="004019B9" w:rsidP="0084747F">
      <w:pPr>
        <w:widowControl w:val="0"/>
        <w:tabs>
          <w:tab w:val="left" w:pos="5765"/>
        </w:tabs>
        <w:spacing w:after="60" w:line="264" w:lineRule="auto"/>
        <w:ind w:firstLine="720"/>
        <w:jc w:val="both"/>
        <w:rPr>
          <w:rFonts w:cs="Times New Roman"/>
        </w:rPr>
      </w:pPr>
      <w:r w:rsidRPr="009F6D1E">
        <w:rPr>
          <w:rFonts w:cs="Times New Roman"/>
        </w:rPr>
        <w:t xml:space="preserve">Тази специфична цел </w:t>
      </w:r>
      <w:proofErr w:type="spellStart"/>
      <w:r w:rsidRPr="009F6D1E">
        <w:rPr>
          <w:rFonts w:cs="Times New Roman"/>
        </w:rPr>
        <w:t>тангентира</w:t>
      </w:r>
      <w:proofErr w:type="spellEnd"/>
      <w:r w:rsidRPr="009F6D1E">
        <w:rPr>
          <w:rFonts w:cs="Times New Roman"/>
        </w:rPr>
        <w:t xml:space="preserve"> с цел № 5 и № 6. Поставя се акцент върху храните, здравето, хуманното отношение към животните и биологичното производство.</w:t>
      </w:r>
    </w:p>
    <w:tbl>
      <w:tblPr>
        <w:tblStyle w:val="TableGrid"/>
        <w:tblW w:w="0" w:type="auto"/>
        <w:tblInd w:w="-5" w:type="dxa"/>
        <w:tblLook w:val="04A0" w:firstRow="1" w:lastRow="0" w:firstColumn="1" w:lastColumn="0" w:noHBand="0" w:noVBand="1"/>
      </w:tblPr>
      <w:tblGrid>
        <w:gridCol w:w="709"/>
        <w:gridCol w:w="4394"/>
        <w:gridCol w:w="4530"/>
      </w:tblGrid>
      <w:tr w:rsidR="004019B9" w:rsidRPr="009F6D1E" w14:paraId="5338168A" w14:textId="77777777" w:rsidTr="00DA2D41">
        <w:trPr>
          <w:tblHeader/>
        </w:trPr>
        <w:tc>
          <w:tcPr>
            <w:tcW w:w="709" w:type="dxa"/>
            <w:shd w:val="clear" w:color="auto" w:fill="F7CAAC" w:themeFill="accent2" w:themeFillTint="66"/>
          </w:tcPr>
          <w:p w14:paraId="4050FB58" w14:textId="77777777" w:rsidR="004019B9" w:rsidRPr="009F6D1E" w:rsidRDefault="004019B9" w:rsidP="0084747F">
            <w:pPr>
              <w:widowControl w:val="0"/>
              <w:tabs>
                <w:tab w:val="left" w:pos="1080"/>
              </w:tabs>
              <w:spacing w:after="60" w:line="264" w:lineRule="auto"/>
              <w:jc w:val="center"/>
              <w:rPr>
                <w:rFonts w:eastAsia="Times New Roman" w:cs="Times New Roman"/>
                <w:b/>
                <w:bCs/>
                <w:iCs/>
                <w:lang w:eastAsia="bg-BG" w:bidi="bg-BG"/>
              </w:rPr>
            </w:pPr>
            <w:bookmarkStart w:id="42" w:name="_Hlk96094986"/>
            <w:r w:rsidRPr="009F6D1E">
              <w:rPr>
                <w:rFonts w:eastAsia="Times New Roman" w:cs="Times New Roman"/>
                <w:b/>
                <w:bCs/>
                <w:iCs/>
                <w:lang w:eastAsia="bg-BG" w:bidi="bg-BG"/>
              </w:rPr>
              <w:t>№</w:t>
            </w:r>
          </w:p>
        </w:tc>
        <w:tc>
          <w:tcPr>
            <w:tcW w:w="4394" w:type="dxa"/>
            <w:shd w:val="clear" w:color="auto" w:fill="F7CAAC" w:themeFill="accent2" w:themeFillTint="66"/>
          </w:tcPr>
          <w:p w14:paraId="7DC7259F"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5BFB4FFA" w14:textId="77777777" w:rsidR="004019B9" w:rsidRPr="009F6D1E" w:rsidRDefault="004019B9"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4019B9" w:rsidRPr="009F6D1E" w14:paraId="0A7EDAAD" w14:textId="77777777" w:rsidTr="00981F7B">
        <w:tc>
          <w:tcPr>
            <w:tcW w:w="709" w:type="dxa"/>
          </w:tcPr>
          <w:p w14:paraId="29C59B7A"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1CEA6E04" w14:textId="77777777" w:rsidR="00E8106A" w:rsidRPr="009F6D1E" w:rsidRDefault="00E8106A"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П.9.1</w:t>
            </w:r>
            <w:r w:rsidRPr="009F6D1E">
              <w:rPr>
                <w:rFonts w:eastAsia="Times New Roman" w:cs="Times New Roman"/>
                <w:b/>
                <w:bCs/>
                <w:i/>
                <w:color w:val="000000"/>
                <w:lang w:eastAsia="bg-BG" w:bidi="bg-BG"/>
              </w:rPr>
              <w:t>.Насърчаване и подпомагане на биологичното земеделие, както и на научните изследвания в тази посока;</w:t>
            </w:r>
          </w:p>
          <w:p w14:paraId="688B48FF" w14:textId="77777777" w:rsidR="00E8106A" w:rsidRPr="009F6D1E" w:rsidRDefault="00E8106A" w:rsidP="0084747F">
            <w:pPr>
              <w:widowControl w:val="0"/>
              <w:tabs>
                <w:tab w:val="left" w:pos="1080"/>
              </w:tabs>
              <w:spacing w:after="60" w:line="264" w:lineRule="auto"/>
              <w:jc w:val="both"/>
              <w:rPr>
                <w:rFonts w:eastAsia="Times New Roman" w:cs="Times New Roman"/>
                <w:b/>
                <w:bCs/>
                <w:i/>
                <w:color w:val="000000"/>
                <w:lang w:eastAsia="bg-BG" w:bidi="bg-BG"/>
              </w:rPr>
            </w:pPr>
          </w:p>
        </w:tc>
        <w:tc>
          <w:tcPr>
            <w:tcW w:w="4530" w:type="dxa"/>
          </w:tcPr>
          <w:p w14:paraId="427C4BA8" w14:textId="77777777" w:rsidR="00043ED3" w:rsidRPr="009F6D1E" w:rsidRDefault="00761C93" w:rsidP="0084747F">
            <w:pPr>
              <w:spacing w:after="60" w:line="264" w:lineRule="auto"/>
              <w:jc w:val="both"/>
              <w:rPr>
                <w:rFonts w:eastAsia="Calibri" w:cs="Times New Roman"/>
                <w:b/>
                <w:i/>
                <w:iCs/>
                <w:lang w:eastAsia="en-GB" w:bidi="bg-BG"/>
              </w:rPr>
            </w:pPr>
            <w:r w:rsidRPr="009F6D1E">
              <w:rPr>
                <w:rFonts w:eastAsia="Calibri" w:cs="Times New Roman"/>
                <w:bCs/>
                <w:lang w:eastAsia="en-GB" w:bidi="bg-BG"/>
              </w:rPr>
              <w:t xml:space="preserve">Прилагане на 2 еко схеми по чл. 31 от Регламент (ЕС) 2021/2115 – </w:t>
            </w:r>
            <w:r w:rsidRPr="009F6D1E">
              <w:rPr>
                <w:rFonts w:eastAsia="Calibri" w:cs="Times New Roman"/>
                <w:bCs/>
                <w:i/>
                <w:iCs/>
                <w:lang w:eastAsia="en-GB" w:bidi="bg-BG"/>
              </w:rPr>
              <w:t>Еко схема за поддържане на биологично земеделие (земеделски площи) и Еко схема за поддържане на биологично земеделие (селскостопански животни)</w:t>
            </w:r>
            <w:r w:rsidRPr="009F6D1E">
              <w:rPr>
                <w:rFonts w:eastAsia="Calibri" w:cs="Times New Roman"/>
                <w:bCs/>
                <w:lang w:eastAsia="en-GB" w:bidi="bg-BG"/>
              </w:rPr>
              <w:t xml:space="preserve">. Интервенциите създават преки финансови стимули под формата на директни плащания, които са насочени към насърчаване и подпомагане на биологичното земеделие. </w:t>
            </w:r>
            <w:r w:rsidR="00043ED3" w:rsidRPr="009F6D1E">
              <w:rPr>
                <w:rFonts w:eastAsia="Calibri" w:cs="Times New Roman"/>
                <w:lang w:eastAsia="en-GB" w:bidi="bg-BG"/>
              </w:rPr>
              <w:t>конвенционалните методи на производство.</w:t>
            </w:r>
          </w:p>
          <w:p w14:paraId="356F50E3" w14:textId="77777777" w:rsidR="00043ED3" w:rsidRPr="009F6D1E" w:rsidRDefault="00761C93" w:rsidP="0084747F">
            <w:pPr>
              <w:spacing w:after="60" w:line="264" w:lineRule="auto"/>
              <w:jc w:val="both"/>
              <w:rPr>
                <w:rFonts w:cs="Times New Roman"/>
                <w:b/>
                <w:i/>
                <w:lang w:bidi="bg-BG"/>
              </w:rPr>
            </w:pPr>
            <w:r w:rsidRPr="009F6D1E">
              <w:rPr>
                <w:rFonts w:cs="Times New Roman"/>
                <w:bCs/>
                <w:i/>
                <w:iCs/>
                <w:lang w:bidi="bg-BG"/>
              </w:rPr>
              <w:t>Интервенция</w:t>
            </w:r>
            <w:r w:rsidRPr="009F6D1E">
              <w:rPr>
                <w:rFonts w:cs="Times New Roman"/>
                <w:bCs/>
                <w:i/>
                <w:lang w:bidi="bg-BG"/>
              </w:rPr>
              <w:t xml:space="preserve"> „Биологично производство― - чл. 70 (ЕЗФРСР), </w:t>
            </w:r>
            <w:r w:rsidRPr="009F6D1E">
              <w:rPr>
                <w:rFonts w:cs="Times New Roman"/>
                <w:bCs/>
                <w:iCs/>
                <w:lang w:bidi="bg-BG"/>
              </w:rPr>
              <w:t xml:space="preserve">която цели да се подпомогнат земеделските стопани, които искат да прилагат </w:t>
            </w:r>
            <w:r w:rsidRPr="009F6D1E">
              <w:rPr>
                <w:rFonts w:cs="Times New Roman"/>
                <w:bCs/>
                <w:iCs/>
                <w:lang w:bidi="bg-BG"/>
              </w:rPr>
              <w:lastRenderedPageBreak/>
              <w:t>методите на биологичното земеделие в техните стопанства, като по този начин да се покрият разликите в допълнителните разходи и пропуснатите приходи при биологичния начин на отглеждане на земеделската продукция, сравнени с конвенционалните методи на производство.</w:t>
            </w:r>
          </w:p>
        </w:tc>
      </w:tr>
      <w:bookmarkEnd w:id="42"/>
      <w:tr w:rsidR="004019B9" w:rsidRPr="009F6D1E" w14:paraId="7A3B61BA" w14:textId="77777777" w:rsidTr="00981F7B">
        <w:tc>
          <w:tcPr>
            <w:tcW w:w="709" w:type="dxa"/>
          </w:tcPr>
          <w:p w14:paraId="3F97D9E4" w14:textId="77777777" w:rsidR="004019B9" w:rsidRPr="009F6D1E" w:rsidRDefault="004019B9"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2.</w:t>
            </w:r>
          </w:p>
        </w:tc>
        <w:tc>
          <w:tcPr>
            <w:tcW w:w="4394" w:type="dxa"/>
          </w:tcPr>
          <w:p w14:paraId="3F8EDEC3" w14:textId="77777777" w:rsidR="004019B9" w:rsidRPr="009F6D1E" w:rsidRDefault="00E8106A" w:rsidP="0084747F">
            <w:pPr>
              <w:widowControl w:val="0"/>
              <w:tabs>
                <w:tab w:val="left" w:pos="1080"/>
              </w:tabs>
              <w:spacing w:after="60" w:line="264" w:lineRule="auto"/>
              <w:jc w:val="both"/>
              <w:rPr>
                <w:rFonts w:cs="Times New Roman"/>
                <w:lang w:bidi="bg-BG"/>
              </w:rPr>
            </w:pPr>
            <w:r w:rsidRPr="009F6D1E">
              <w:rPr>
                <w:rFonts w:eastAsia="Times New Roman" w:cs="Times New Roman"/>
                <w:b/>
                <w:bCs/>
                <w:i/>
                <w:color w:val="000000"/>
                <w:u w:val="single"/>
                <w:lang w:eastAsia="bg-BG" w:bidi="bg-BG"/>
              </w:rPr>
              <w:t>П.9.2</w:t>
            </w:r>
            <w:r w:rsidRPr="009F6D1E">
              <w:rPr>
                <w:rFonts w:eastAsia="Times New Roman" w:cs="Times New Roman"/>
                <w:b/>
                <w:bCs/>
                <w:i/>
                <w:color w:val="000000"/>
                <w:lang w:eastAsia="bg-BG" w:bidi="bg-BG"/>
              </w:rPr>
              <w:t>.Подобряване на контрола (лабораторна дейност), пазарна организация, реализация и маркетинг в биологичното производство;</w:t>
            </w:r>
          </w:p>
        </w:tc>
        <w:tc>
          <w:tcPr>
            <w:tcW w:w="4530" w:type="dxa"/>
          </w:tcPr>
          <w:p w14:paraId="6704BDFF" w14:textId="77777777" w:rsidR="004019B9" w:rsidRPr="009F6D1E" w:rsidRDefault="00484FD3" w:rsidP="0084747F">
            <w:pPr>
              <w:spacing w:after="60" w:line="264" w:lineRule="auto"/>
              <w:jc w:val="both"/>
              <w:rPr>
                <w:rFonts w:cs="Times New Roman"/>
                <w:bCs/>
                <w:lang w:bidi="bg-BG"/>
              </w:rPr>
            </w:pPr>
            <w:r w:rsidRPr="009F6D1E">
              <w:rPr>
                <w:rFonts w:cs="Times New Roman"/>
                <w:bCs/>
                <w:i/>
                <w:lang w:bidi="bg-BG"/>
              </w:rPr>
              <w:t>Интервенция „</w:t>
            </w:r>
            <w:r w:rsidR="00043ED3" w:rsidRPr="009F6D1E">
              <w:rPr>
                <w:rFonts w:cs="Times New Roman"/>
                <w:bCs/>
                <w:i/>
                <w:iCs/>
                <w:lang w:bidi="bg-BG"/>
              </w:rPr>
              <w:t xml:space="preserve">Подкрепа на организации на производители или групи от производители, Сътрудничество съгл. чл. </w:t>
            </w:r>
            <w:r w:rsidR="00761C93" w:rsidRPr="009F6D1E">
              <w:rPr>
                <w:rFonts w:cs="Times New Roman"/>
                <w:bCs/>
                <w:i/>
                <w:iCs/>
                <w:lang w:bidi="bg-BG"/>
              </w:rPr>
              <w:t>77</w:t>
            </w:r>
            <w:r w:rsidR="00043ED3" w:rsidRPr="009F6D1E">
              <w:rPr>
                <w:rFonts w:cs="Times New Roman"/>
                <w:bCs/>
                <w:i/>
                <w:iCs/>
                <w:lang w:bidi="bg-BG"/>
              </w:rPr>
              <w:t xml:space="preserve"> (ЕЗФРСР)</w:t>
            </w:r>
            <w:r w:rsidRPr="009F6D1E">
              <w:rPr>
                <w:rFonts w:cs="Times New Roman"/>
                <w:bCs/>
                <w:i/>
                <w:iCs/>
                <w:lang w:bidi="bg-BG"/>
              </w:rPr>
              <w:t>“</w:t>
            </w:r>
            <w:r w:rsidR="00043ED3" w:rsidRPr="009F6D1E">
              <w:rPr>
                <w:rFonts w:cs="Times New Roman"/>
                <w:bCs/>
                <w:i/>
                <w:iCs/>
                <w:lang w:bidi="bg-BG"/>
              </w:rPr>
              <w:t xml:space="preserve">. </w:t>
            </w:r>
            <w:r w:rsidR="00043ED3" w:rsidRPr="009F6D1E">
              <w:rPr>
                <w:rFonts w:cs="Times New Roman"/>
                <w:bCs/>
                <w:lang w:bidi="bg-BG"/>
              </w:rPr>
              <w:t>Обединяването на земеделските стопани в организации и групи на производители е механизъм, чрез които ще се постигне концентрирането на произведената земеделска продукция, планиране и адаптиране на производството в съответствие с търсенето на пазара по отношение на качество и количество, намаляване на производствените разходи, увеличаване на  договорната сила на производителите на селскостопанска продукция във взаимоотношенията им с търговци на едро и дребно и постигане на по-добра пазарна реализация.</w:t>
            </w:r>
          </w:p>
          <w:p w14:paraId="3BF9D3B4" w14:textId="77777777" w:rsidR="00043ED3" w:rsidRPr="009F6D1E" w:rsidRDefault="00761C93" w:rsidP="0084747F">
            <w:pPr>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Прилагане на схема „Промоционални програми“ </w:t>
            </w:r>
            <w:r w:rsidRPr="009F6D1E">
              <w:rPr>
                <w:rFonts w:eastAsia="Times New Roman" w:cs="Times New Roman"/>
                <w:iCs/>
                <w:lang w:eastAsia="bg-BG" w:bidi="bg-BG"/>
              </w:rPr>
              <w:t>чрез подкрепа на браншови/междубраншови организации, групи, определени в чл. 3, точка 2 от Регламент (ЕС) № 1151/2012 на Европейския парламент и на Съвета (13) и посочена в чл. 7, параграф 1, буква а) от Регламент (ЕС) № 1144/2014, организации на производители или асоциации на организации на производители, посочени в чл. 152 и 156 от Регламент (ЕС) № 1308/2013.</w:t>
            </w:r>
          </w:p>
        </w:tc>
      </w:tr>
      <w:tr w:rsidR="00043ED3" w:rsidRPr="009F6D1E" w14:paraId="4BF64B7F" w14:textId="77777777" w:rsidTr="00981F7B">
        <w:tc>
          <w:tcPr>
            <w:tcW w:w="709" w:type="dxa"/>
          </w:tcPr>
          <w:p w14:paraId="53210565" w14:textId="77777777" w:rsidR="00043ED3" w:rsidRPr="009F6D1E" w:rsidRDefault="005B1381"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34D8D207" w14:textId="77777777" w:rsidR="00E8106A" w:rsidRPr="009F6D1E" w:rsidRDefault="00E8106A" w:rsidP="0084747F">
            <w:pPr>
              <w:widowControl w:val="0"/>
              <w:tabs>
                <w:tab w:val="left" w:pos="1080"/>
              </w:tabs>
              <w:spacing w:after="60" w:line="264" w:lineRule="auto"/>
              <w:jc w:val="both"/>
              <w:rPr>
                <w:rFonts w:cs="Times New Roman"/>
                <w:lang w:bidi="bg-BG"/>
              </w:rPr>
            </w:pPr>
            <w:r w:rsidRPr="009F6D1E">
              <w:rPr>
                <w:rFonts w:eastAsia="Times New Roman" w:cs="Times New Roman"/>
                <w:b/>
                <w:bCs/>
                <w:i/>
                <w:color w:val="000000"/>
                <w:u w:val="single"/>
                <w:lang w:eastAsia="bg-BG" w:bidi="bg-BG"/>
              </w:rPr>
              <w:t>П.9.3.</w:t>
            </w:r>
            <w:r w:rsidRPr="009F6D1E">
              <w:rPr>
                <w:rFonts w:eastAsia="Times New Roman" w:cs="Times New Roman"/>
                <w:b/>
                <w:bCs/>
                <w:i/>
                <w:color w:val="000000"/>
                <w:lang w:eastAsia="bg-BG" w:bidi="bg-BG"/>
              </w:rPr>
              <w:t xml:space="preserve">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p>
        </w:tc>
        <w:tc>
          <w:tcPr>
            <w:tcW w:w="4530" w:type="dxa"/>
          </w:tcPr>
          <w:p w14:paraId="7CFE2451" w14:textId="77777777" w:rsidR="00043ED3" w:rsidRPr="009F6D1E" w:rsidRDefault="009C2146" w:rsidP="0084747F">
            <w:pPr>
              <w:spacing w:after="60" w:line="264" w:lineRule="auto"/>
              <w:jc w:val="both"/>
              <w:rPr>
                <w:rFonts w:cs="Times New Roman"/>
                <w:bCs/>
                <w:lang w:bidi="bg-BG"/>
              </w:rPr>
            </w:pPr>
            <w:r w:rsidRPr="009F6D1E">
              <w:rPr>
                <w:rFonts w:cs="Times New Roman"/>
                <w:bCs/>
                <w:lang w:bidi="bg-BG"/>
              </w:rPr>
              <w:t>Схеми "</w:t>
            </w:r>
            <w:r w:rsidRPr="009F6D1E">
              <w:rPr>
                <w:rFonts w:cs="Times New Roman"/>
                <w:bCs/>
                <w:i/>
                <w:iCs/>
                <w:lang w:bidi="bg-BG"/>
              </w:rPr>
              <w:t>Училищен плод</w:t>
            </w:r>
            <w:r w:rsidRPr="009F6D1E">
              <w:rPr>
                <w:rFonts w:cs="Times New Roman"/>
                <w:bCs/>
                <w:lang w:bidi="bg-BG"/>
              </w:rPr>
              <w:t>" и "</w:t>
            </w:r>
            <w:r w:rsidRPr="009F6D1E">
              <w:rPr>
                <w:rFonts w:cs="Times New Roman"/>
                <w:bCs/>
                <w:i/>
                <w:iCs/>
                <w:lang w:bidi="bg-BG"/>
              </w:rPr>
              <w:t>Училищно мляко</w:t>
            </w:r>
            <w:r w:rsidRPr="009F6D1E">
              <w:rPr>
                <w:rFonts w:cs="Times New Roman"/>
                <w:bCs/>
                <w:lang w:bidi="bg-BG"/>
              </w:rPr>
              <w:t>", чиято цел е насърчаване на здравословни хранителни навици на децата от I до подготвителна група включително и учениците от І до IV клас включително, като всяка година се предоставят определен брой биологично произведени плодове, зеленчуци, прясно пастьоризирано мляко или млечни продукти в учебните заведения.</w:t>
            </w:r>
          </w:p>
          <w:p w14:paraId="3CC42618" w14:textId="77777777" w:rsidR="009C2146" w:rsidRPr="009F6D1E" w:rsidRDefault="009C2146" w:rsidP="0084747F">
            <w:pPr>
              <w:spacing w:after="60" w:line="264" w:lineRule="auto"/>
              <w:jc w:val="both"/>
              <w:rPr>
                <w:rFonts w:cs="Times New Roman"/>
                <w:bCs/>
                <w:lang w:bidi="bg-BG"/>
              </w:rPr>
            </w:pPr>
            <w:r w:rsidRPr="009F6D1E">
              <w:rPr>
                <w:rFonts w:cs="Times New Roman"/>
                <w:bCs/>
                <w:lang w:bidi="bg-BG"/>
              </w:rPr>
              <w:t xml:space="preserve">Към потребността ще допринесе </w:t>
            </w:r>
            <w:r w:rsidRPr="009F6D1E">
              <w:rPr>
                <w:rFonts w:cs="Times New Roman"/>
                <w:bCs/>
                <w:i/>
                <w:lang w:bidi="bg-BG"/>
              </w:rPr>
              <w:t>интервенцията</w:t>
            </w:r>
            <w:r w:rsidRPr="009F6D1E">
              <w:rPr>
                <w:rFonts w:cs="Times New Roman"/>
                <w:bCs/>
                <w:lang w:bidi="bg-BG"/>
              </w:rPr>
              <w:t xml:space="preserve"> „</w:t>
            </w:r>
            <w:r w:rsidRPr="009F6D1E">
              <w:rPr>
                <w:rFonts w:cs="Times New Roman"/>
                <w:bCs/>
                <w:i/>
                <w:iCs/>
                <w:lang w:bidi="bg-BG"/>
              </w:rPr>
              <w:t>Биологично производство</w:t>
            </w:r>
            <w:r w:rsidRPr="009F6D1E">
              <w:rPr>
                <w:rFonts w:cs="Times New Roman"/>
                <w:bCs/>
                <w:lang w:bidi="bg-BG"/>
              </w:rPr>
              <w:t>“.</w:t>
            </w:r>
          </w:p>
        </w:tc>
      </w:tr>
      <w:tr w:rsidR="004019B9" w:rsidRPr="009F6D1E" w14:paraId="0242E5D0" w14:textId="77777777" w:rsidTr="00981F7B">
        <w:tc>
          <w:tcPr>
            <w:tcW w:w="709" w:type="dxa"/>
          </w:tcPr>
          <w:p w14:paraId="42BB2CBD" w14:textId="77777777" w:rsidR="004019B9" w:rsidRPr="009F6D1E" w:rsidRDefault="005B1381"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21B03431" w14:textId="77777777" w:rsidR="00E8106A" w:rsidRPr="009F6D1E" w:rsidRDefault="00E8106A" w:rsidP="0084747F">
            <w:pPr>
              <w:widowControl w:val="0"/>
              <w:tabs>
                <w:tab w:val="left" w:pos="1080"/>
              </w:tabs>
              <w:spacing w:after="60" w:line="264" w:lineRule="auto"/>
              <w:jc w:val="both"/>
              <w:rPr>
                <w:rFonts w:cs="Times New Roman"/>
                <w:lang w:bidi="bg-BG"/>
              </w:rPr>
            </w:pPr>
            <w:r w:rsidRPr="009F6D1E">
              <w:rPr>
                <w:rFonts w:eastAsia="Times New Roman" w:cs="Times New Roman"/>
                <w:b/>
                <w:bCs/>
                <w:i/>
                <w:color w:val="000000"/>
                <w:u w:val="single"/>
                <w:lang w:eastAsia="bg-BG" w:bidi="bg-BG"/>
              </w:rPr>
              <w:t>П.9.4.</w:t>
            </w:r>
            <w:r w:rsidRPr="009F6D1E">
              <w:rPr>
                <w:rFonts w:eastAsia="Times New Roman" w:cs="Times New Roman"/>
                <w:b/>
                <w:bCs/>
                <w:i/>
                <w:color w:val="000000"/>
                <w:lang w:eastAsia="bg-BG" w:bidi="bg-BG"/>
              </w:rPr>
              <w:t xml:space="preserve"> Подобряване качеството на храните, насърчаване консумацията на здравословна храна, повишаване информираността на потребителите относно етикирането на храните и засилване на контрола при внос на суровини и храни;</w:t>
            </w:r>
          </w:p>
        </w:tc>
        <w:tc>
          <w:tcPr>
            <w:tcW w:w="4530" w:type="dxa"/>
          </w:tcPr>
          <w:p w14:paraId="7FCEF3FE" w14:textId="77777777" w:rsidR="004019B9" w:rsidRPr="009F6D1E" w:rsidRDefault="009C2146" w:rsidP="0084747F">
            <w:pPr>
              <w:spacing w:after="60" w:line="264" w:lineRule="auto"/>
              <w:jc w:val="both"/>
              <w:rPr>
                <w:rFonts w:eastAsia="Times New Roman" w:cs="Times New Roman"/>
                <w:iCs/>
                <w:lang w:eastAsia="bg-BG" w:bidi="bg-BG"/>
              </w:rPr>
            </w:pPr>
            <w:r w:rsidRPr="009F6D1E">
              <w:rPr>
                <w:rFonts w:eastAsia="Times New Roman" w:cs="Times New Roman"/>
                <w:i/>
                <w:lang w:eastAsia="bg-BG" w:bidi="bg-BG"/>
              </w:rPr>
              <w:t xml:space="preserve">Схеми "Училищен плод" и "Училищно мляко", </w:t>
            </w:r>
            <w:r w:rsidRPr="009F6D1E">
              <w:rPr>
                <w:rFonts w:eastAsia="Times New Roman" w:cs="Times New Roman"/>
                <w:iCs/>
                <w:lang w:eastAsia="bg-BG" w:bidi="bg-BG"/>
              </w:rPr>
              <w:t>чиято цел е насърчаване на здравословни хранителни навици на децата от I до подготвителна група включително и учениците от І до IV клас.</w:t>
            </w:r>
          </w:p>
          <w:p w14:paraId="41736051" w14:textId="5FE84983" w:rsidR="009C2146" w:rsidRPr="009F6D1E" w:rsidRDefault="009C2146" w:rsidP="0084747F">
            <w:pPr>
              <w:spacing w:after="60" w:line="264" w:lineRule="auto"/>
              <w:jc w:val="both"/>
              <w:rPr>
                <w:rFonts w:eastAsia="Times New Roman" w:cs="Times New Roman"/>
                <w:i/>
                <w:lang w:eastAsia="bg-BG" w:bidi="bg-BG"/>
              </w:rPr>
            </w:pPr>
            <w:r w:rsidRPr="009F6D1E">
              <w:rPr>
                <w:rFonts w:eastAsia="Times New Roman" w:cs="Times New Roman"/>
                <w:i/>
                <w:lang w:eastAsia="bg-BG" w:bidi="bg-BG"/>
              </w:rPr>
              <w:t>Интервенция „</w:t>
            </w:r>
            <w:r w:rsidR="006E0FF0" w:rsidRPr="009F6D1E">
              <w:rPr>
                <w:rFonts w:eastAsia="Times New Roman" w:cs="Times New Roman"/>
                <w:i/>
                <w:lang w:eastAsia="bg-BG" w:bidi="bg-BG"/>
              </w:rPr>
              <w:t>Консултантски</w:t>
            </w:r>
            <w:r w:rsidRPr="009F6D1E">
              <w:rPr>
                <w:rFonts w:eastAsia="Times New Roman" w:cs="Times New Roman"/>
                <w:i/>
                <w:lang w:eastAsia="bg-BG" w:bidi="bg-BG"/>
              </w:rPr>
              <w:t xml:space="preserve"> услуги и повишаване на консултантския капацитет“, </w:t>
            </w:r>
            <w:r w:rsidRPr="009F6D1E">
              <w:rPr>
                <w:rFonts w:eastAsia="Times New Roman" w:cs="Times New Roman"/>
                <w:iCs/>
                <w:lang w:eastAsia="bg-BG" w:bidi="bg-BG"/>
              </w:rPr>
              <w:t xml:space="preserve">както и </w:t>
            </w:r>
            <w:r w:rsidRPr="009F6D1E">
              <w:rPr>
                <w:rFonts w:eastAsia="Times New Roman" w:cs="Times New Roman"/>
                <w:i/>
                <w:iCs/>
                <w:lang w:eastAsia="bg-BG" w:bidi="bg-BG"/>
              </w:rPr>
              <w:t>интервенцията</w:t>
            </w:r>
            <w:r w:rsidRPr="009F6D1E">
              <w:rPr>
                <w:rFonts w:eastAsia="Times New Roman" w:cs="Times New Roman"/>
                <w:iCs/>
                <w:lang w:eastAsia="bg-BG" w:bidi="bg-BG"/>
              </w:rPr>
              <w:t xml:space="preserve"> за „Подкрепа на организации на производители или групи от производители― – член 78 (ЕЗФРСР)</w:t>
            </w:r>
          </w:p>
        </w:tc>
      </w:tr>
      <w:tr w:rsidR="004019B9" w:rsidRPr="009F6D1E" w14:paraId="0183AFA8" w14:textId="77777777" w:rsidTr="00981F7B">
        <w:tc>
          <w:tcPr>
            <w:tcW w:w="709" w:type="dxa"/>
          </w:tcPr>
          <w:p w14:paraId="5B76FCA1" w14:textId="77777777" w:rsidR="004019B9"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7EC6A2CD" w14:textId="77777777" w:rsidR="004019B9" w:rsidRPr="009F6D1E" w:rsidRDefault="00E8106A" w:rsidP="0084747F">
            <w:pPr>
              <w:widowControl w:val="0"/>
              <w:tabs>
                <w:tab w:val="left" w:pos="1080"/>
              </w:tabs>
              <w:spacing w:after="60" w:line="264" w:lineRule="auto"/>
              <w:jc w:val="both"/>
              <w:rPr>
                <w:rFonts w:cs="Times New Roman"/>
                <w:lang w:bidi="bg-BG"/>
              </w:rPr>
            </w:pPr>
            <w:r w:rsidRPr="009F6D1E">
              <w:rPr>
                <w:rFonts w:eastAsia="Times New Roman" w:cs="Times New Roman"/>
                <w:b/>
                <w:bCs/>
                <w:i/>
                <w:color w:val="000000"/>
                <w:u w:val="single"/>
                <w:lang w:eastAsia="bg-BG" w:bidi="bg-BG"/>
              </w:rPr>
              <w:t>П.9.5.</w:t>
            </w:r>
            <w:r w:rsidRPr="009F6D1E">
              <w:rPr>
                <w:rFonts w:eastAsia="Times New Roman" w:cs="Times New Roman"/>
                <w:b/>
                <w:bCs/>
                <w:i/>
                <w:color w:val="000000"/>
                <w:lang w:eastAsia="bg-BG" w:bidi="bg-BG"/>
              </w:rPr>
              <w:t xml:space="preserve"> Подкрепа на производителите, участващи в схемите за качество съгласно Европейската регулация относно схемите за качество на селскостопански продукти и храни.</w:t>
            </w:r>
          </w:p>
        </w:tc>
        <w:tc>
          <w:tcPr>
            <w:tcW w:w="4530" w:type="dxa"/>
          </w:tcPr>
          <w:p w14:paraId="25607C0C" w14:textId="77777777" w:rsidR="004019B9" w:rsidRPr="009F6D1E" w:rsidRDefault="009C2146" w:rsidP="0084747F">
            <w:pPr>
              <w:spacing w:after="60" w:line="264" w:lineRule="auto"/>
              <w:jc w:val="both"/>
              <w:rPr>
                <w:rFonts w:eastAsia="Times New Roman" w:cs="Times New Roman"/>
                <w:i/>
                <w:u w:val="single"/>
                <w:lang w:eastAsia="bg-BG" w:bidi="bg-BG"/>
              </w:rPr>
            </w:pPr>
            <w:r w:rsidRPr="009F6D1E">
              <w:rPr>
                <w:rFonts w:eastAsia="Times New Roman" w:cs="Times New Roman"/>
                <w:iCs/>
                <w:lang w:eastAsia="bg-BG" w:bidi="bg-BG"/>
              </w:rPr>
              <w:t>Схеми за качество, вкл. и незадължителния термин за качество "</w:t>
            </w:r>
            <w:r w:rsidRPr="009F6D1E">
              <w:rPr>
                <w:rFonts w:eastAsia="Times New Roman" w:cs="Times New Roman"/>
                <w:i/>
                <w:lang w:eastAsia="bg-BG" w:bidi="bg-BG"/>
              </w:rPr>
              <w:t>планински продукт</w:t>
            </w:r>
            <w:r w:rsidRPr="009F6D1E">
              <w:rPr>
                <w:rFonts w:eastAsia="Times New Roman" w:cs="Times New Roman"/>
                <w:iCs/>
                <w:lang w:eastAsia="bg-BG" w:bidi="bg-BG"/>
              </w:rPr>
              <w:t>", чрез разработване на мярка „</w:t>
            </w:r>
            <w:r w:rsidRPr="009F6D1E">
              <w:rPr>
                <w:rFonts w:eastAsia="Times New Roman" w:cs="Times New Roman"/>
                <w:i/>
                <w:lang w:eastAsia="bg-BG" w:bidi="bg-BG"/>
              </w:rPr>
              <w:t>Схеми за качество на селскостопански продукти и храни“</w:t>
            </w:r>
            <w:r w:rsidRPr="009F6D1E">
              <w:rPr>
                <w:rFonts w:eastAsia="Times New Roman" w:cs="Times New Roman"/>
                <w:iCs/>
                <w:lang w:eastAsia="bg-BG" w:bidi="bg-BG"/>
              </w:rPr>
              <w:t>. Потребността може да се адресира и чрез Интервенция Насърчаване на схемите за качество, чл. 77 Сътрудничество</w:t>
            </w:r>
            <w:r w:rsidRPr="009F6D1E">
              <w:rPr>
                <w:rFonts w:eastAsia="Times New Roman" w:cs="Times New Roman"/>
                <w:i/>
                <w:u w:val="single"/>
                <w:lang w:eastAsia="bg-BG" w:bidi="bg-BG"/>
              </w:rPr>
              <w:t>.</w:t>
            </w:r>
          </w:p>
        </w:tc>
      </w:tr>
      <w:tr w:rsidR="004019B9" w:rsidRPr="009F6D1E" w14:paraId="4DEE778C" w14:textId="77777777" w:rsidTr="00981F7B">
        <w:tc>
          <w:tcPr>
            <w:tcW w:w="709" w:type="dxa"/>
          </w:tcPr>
          <w:p w14:paraId="33F66499" w14:textId="77777777" w:rsidR="004019B9"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6</w:t>
            </w:r>
            <w:r w:rsidR="004019B9" w:rsidRPr="009F6D1E">
              <w:rPr>
                <w:rFonts w:eastAsia="Times New Roman" w:cs="Times New Roman"/>
                <w:b/>
                <w:bCs/>
                <w:i/>
                <w:lang w:eastAsia="bg-BG" w:bidi="bg-BG"/>
              </w:rPr>
              <w:t>.</w:t>
            </w:r>
          </w:p>
        </w:tc>
        <w:tc>
          <w:tcPr>
            <w:tcW w:w="4394" w:type="dxa"/>
          </w:tcPr>
          <w:p w14:paraId="0E7E0DA4"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П.9.6.</w:t>
            </w:r>
            <w:r w:rsidRPr="009F6D1E">
              <w:rPr>
                <w:rFonts w:eastAsia="Times New Roman" w:cs="Times New Roman"/>
                <w:b/>
                <w:bCs/>
                <w:i/>
                <w:color w:val="000000"/>
                <w:lang w:eastAsia="bg-BG" w:bidi="bg-BG"/>
              </w:rPr>
              <w:t xml:space="preserve"> Подобряване отглеждането на животните;</w:t>
            </w:r>
          </w:p>
          <w:p w14:paraId="14DDF335"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lang w:eastAsia="bg-BG" w:bidi="bg-BG"/>
              </w:rPr>
            </w:pPr>
          </w:p>
        </w:tc>
        <w:tc>
          <w:tcPr>
            <w:tcW w:w="4530" w:type="dxa"/>
          </w:tcPr>
          <w:p w14:paraId="21C7F0F0" w14:textId="77777777" w:rsidR="009C2146" w:rsidRPr="009F6D1E" w:rsidRDefault="00484FD3" w:rsidP="0084747F">
            <w:pPr>
              <w:spacing w:after="60" w:line="264" w:lineRule="auto"/>
              <w:jc w:val="both"/>
              <w:rPr>
                <w:rFonts w:cs="Times New Roman"/>
                <w:bCs/>
                <w:i/>
                <w:iCs/>
                <w:lang w:bidi="bg-BG"/>
              </w:rPr>
            </w:pPr>
            <w:r w:rsidRPr="009F6D1E">
              <w:rPr>
                <w:rFonts w:cs="Times New Roman"/>
                <w:bCs/>
                <w:i/>
                <w:lang w:bidi="bg-BG"/>
              </w:rPr>
              <w:t>Интервенция „</w:t>
            </w:r>
            <w:r w:rsidR="009C2146" w:rsidRPr="009F6D1E">
              <w:rPr>
                <w:rFonts w:cs="Times New Roman"/>
                <w:bCs/>
                <w:i/>
                <w:iCs/>
                <w:lang w:bidi="bg-BG"/>
              </w:rPr>
              <w:t>Еко схема за поддържане на биологично земеделие (селскостопански животни) (по чл. 31 от Регламент (ЕС) 2021/2115).</w:t>
            </w:r>
            <w:r w:rsidRPr="009F6D1E">
              <w:rPr>
                <w:rFonts w:cs="Times New Roman"/>
                <w:bCs/>
                <w:i/>
                <w:iCs/>
                <w:lang w:bidi="bg-BG"/>
              </w:rPr>
              <w:t>“</w:t>
            </w:r>
            <w:r w:rsidR="009C2146" w:rsidRPr="009F6D1E">
              <w:rPr>
                <w:rFonts w:cs="Times New Roman"/>
                <w:bCs/>
                <w:i/>
                <w:iCs/>
                <w:lang w:bidi="bg-BG"/>
              </w:rPr>
              <w:t xml:space="preserve"> </w:t>
            </w:r>
            <w:r w:rsidR="009C2146" w:rsidRPr="009F6D1E">
              <w:rPr>
                <w:rFonts w:cs="Times New Roman"/>
                <w:bCs/>
                <w:iCs/>
                <w:lang w:bidi="bg-BG"/>
              </w:rPr>
              <w:t xml:space="preserve">Чрез прилагане на интервенцията се цели да се подпомогнат земеделските стопани, които прилагат методите на биологичното </w:t>
            </w:r>
            <w:r w:rsidR="009C2146" w:rsidRPr="009F6D1E">
              <w:rPr>
                <w:rFonts w:cs="Times New Roman"/>
                <w:bCs/>
                <w:iCs/>
                <w:lang w:bidi="bg-BG"/>
              </w:rPr>
              <w:lastRenderedPageBreak/>
              <w:t>земеделие към селскостопанските животни, които отглеждат в техните стопанства.</w:t>
            </w:r>
          </w:p>
          <w:p w14:paraId="0E72FD9F" w14:textId="77777777" w:rsidR="004019B9" w:rsidRPr="009F6D1E" w:rsidRDefault="00043ED3" w:rsidP="0084747F">
            <w:pPr>
              <w:spacing w:after="60" w:line="264" w:lineRule="auto"/>
              <w:jc w:val="both"/>
              <w:rPr>
                <w:rFonts w:cs="Times New Roman"/>
                <w:bCs/>
                <w:lang w:bidi="bg-BG"/>
              </w:rPr>
            </w:pPr>
            <w:r w:rsidRPr="009F6D1E">
              <w:rPr>
                <w:rFonts w:cs="Times New Roman"/>
                <w:bCs/>
                <w:i/>
                <w:iCs/>
                <w:lang w:bidi="bg-BG"/>
              </w:rPr>
              <w:t xml:space="preserve">Интервенция насочена към хуманно отношение съгл. чл. </w:t>
            </w:r>
            <w:r w:rsidR="001300C1" w:rsidRPr="009F6D1E">
              <w:rPr>
                <w:rFonts w:cs="Times New Roman"/>
                <w:bCs/>
                <w:i/>
                <w:iCs/>
                <w:lang w:bidi="bg-BG"/>
              </w:rPr>
              <w:t>70</w:t>
            </w:r>
            <w:r w:rsidRPr="009F6D1E">
              <w:rPr>
                <w:rFonts w:cs="Times New Roman"/>
                <w:bCs/>
                <w:i/>
                <w:iCs/>
                <w:lang w:bidi="bg-BG"/>
              </w:rPr>
              <w:t xml:space="preserve"> (ЕЗФРСР).</w:t>
            </w:r>
            <w:r w:rsidRPr="009F6D1E">
              <w:rPr>
                <w:rFonts w:cs="Times New Roman"/>
                <w:b/>
                <w:i/>
                <w:iCs/>
                <w:lang w:bidi="bg-BG"/>
              </w:rPr>
              <w:t xml:space="preserve"> </w:t>
            </w:r>
            <w:r w:rsidRPr="009F6D1E">
              <w:rPr>
                <w:rFonts w:cs="Times New Roman"/>
                <w:bCs/>
                <w:lang w:bidi="bg-BG"/>
              </w:rPr>
              <w:t>Чрез подкрепата за производителите ще се повиши благосъстоянието на животните при спазване на принципите на петте свободи залегнали, като основни в законодателството за хуманно отношение към животните.</w:t>
            </w:r>
          </w:p>
          <w:p w14:paraId="6C787119" w14:textId="77777777" w:rsidR="005B1381" w:rsidRPr="009F6D1E" w:rsidRDefault="00043ED3"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Потребността от подобряване на отглеждането на животните ще се адресира чрез</w:t>
            </w:r>
            <w:r w:rsidR="005B1381" w:rsidRPr="009F6D1E">
              <w:rPr>
                <w:rFonts w:eastAsia="Calibri" w:cs="Times New Roman"/>
                <w:bCs/>
                <w:lang w:eastAsia="en-GB" w:bidi="bg-BG"/>
              </w:rPr>
              <w:t>:</w:t>
            </w:r>
          </w:p>
          <w:p w14:paraId="6397B458" w14:textId="77777777" w:rsidR="00043ED3" w:rsidRPr="009F6D1E" w:rsidRDefault="00043ED3" w:rsidP="0084747F">
            <w:pPr>
              <w:spacing w:after="60" w:line="264" w:lineRule="auto"/>
              <w:jc w:val="both"/>
              <w:rPr>
                <w:rFonts w:eastAsia="Times New Roman" w:cs="Times New Roman"/>
                <w:i/>
                <w:u w:val="single"/>
                <w:lang w:eastAsia="bg-BG" w:bidi="bg-BG"/>
              </w:rPr>
            </w:pPr>
            <w:r w:rsidRPr="009F6D1E">
              <w:rPr>
                <w:rFonts w:eastAsia="Calibri" w:cs="Times New Roman"/>
                <w:i/>
                <w:iCs/>
                <w:lang w:eastAsia="en-GB" w:bidi="bg-BG"/>
              </w:rPr>
              <w:t xml:space="preserve">Инвестиции за превантивни действия и възстановяването на земеделски потенциал след природни бедствия или катастрофични събития - член </w:t>
            </w:r>
            <w:r w:rsidR="001300C1" w:rsidRPr="009F6D1E">
              <w:rPr>
                <w:rFonts w:eastAsia="Calibri" w:cs="Times New Roman"/>
                <w:i/>
                <w:iCs/>
                <w:lang w:eastAsia="en-GB" w:bidi="bg-BG"/>
              </w:rPr>
              <w:t>73</w:t>
            </w:r>
            <w:r w:rsidRPr="009F6D1E">
              <w:rPr>
                <w:rFonts w:eastAsia="Calibri" w:cs="Times New Roman"/>
                <w:i/>
                <w:iCs/>
                <w:lang w:eastAsia="en-GB" w:bidi="bg-BG"/>
              </w:rPr>
              <w:t>.</w:t>
            </w:r>
            <w:r w:rsidRPr="009F6D1E">
              <w:rPr>
                <w:rFonts w:eastAsia="Calibri" w:cs="Times New Roman"/>
                <w:lang w:eastAsia="en-GB" w:bidi="bg-BG"/>
              </w:rPr>
              <w:t xml:space="preserve"> Биосигурността</w:t>
            </w:r>
            <w:r w:rsidRPr="009F6D1E">
              <w:rPr>
                <w:rFonts w:eastAsia="Calibri" w:cs="Times New Roman"/>
                <w:bCs/>
                <w:lang w:eastAsia="en-GB" w:bidi="bg-BG"/>
              </w:rPr>
              <w:t xml:space="preserve"> е важен компонент от мерките прилагани за осигуряване на благосъстоянието на животните в животновъдните обекти. Финансовата подкрепа за инвестиции насочени към повишаване на биосигурността в стопанствата ще се подпомогне здравния статус и биологичната сигурност в животновъдните с оглед като се предотврати постоянната опасност от разпространение на заразни заболявания на територията на страната и съседните държави.</w:t>
            </w:r>
            <w:r w:rsidRPr="009F6D1E" w:rsidDel="00B557C5">
              <w:rPr>
                <w:rFonts w:eastAsia="Calibri" w:cs="Times New Roman"/>
                <w:bCs/>
                <w:lang w:eastAsia="en-GB" w:bidi="bg-BG"/>
              </w:rPr>
              <w:t xml:space="preserve"> </w:t>
            </w:r>
          </w:p>
        </w:tc>
      </w:tr>
      <w:tr w:rsidR="00CE4F17" w:rsidRPr="009F6D1E" w14:paraId="7ED7E063" w14:textId="77777777" w:rsidTr="00981F7B">
        <w:tc>
          <w:tcPr>
            <w:tcW w:w="709" w:type="dxa"/>
          </w:tcPr>
          <w:p w14:paraId="506D1F0F" w14:textId="77777777" w:rsidR="00CE4F17" w:rsidRPr="009F6D1E" w:rsidRDefault="00CE4F17"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7.</w:t>
            </w:r>
          </w:p>
        </w:tc>
        <w:tc>
          <w:tcPr>
            <w:tcW w:w="4394" w:type="dxa"/>
          </w:tcPr>
          <w:p w14:paraId="054D5D31"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П.9.7.</w:t>
            </w:r>
            <w:r w:rsidRPr="009F6D1E">
              <w:rPr>
                <w:rFonts w:eastAsia="Times New Roman" w:cs="Times New Roman"/>
                <w:b/>
                <w:bCs/>
                <w:i/>
                <w:color w:val="000000"/>
                <w:lang w:eastAsia="bg-BG" w:bidi="bg-BG"/>
              </w:rPr>
              <w:t xml:space="preserve"> Намаляване употребата на антимикробни средства в селското стопанство;</w:t>
            </w:r>
          </w:p>
          <w:p w14:paraId="03FCD302"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u w:val="single"/>
                <w:lang w:eastAsia="bg-BG" w:bidi="bg-BG"/>
              </w:rPr>
            </w:pPr>
          </w:p>
        </w:tc>
        <w:tc>
          <w:tcPr>
            <w:tcW w:w="4530" w:type="dxa"/>
          </w:tcPr>
          <w:p w14:paraId="15379BAB" w14:textId="77777777" w:rsidR="00CE4F17" w:rsidRPr="009F6D1E" w:rsidRDefault="002566E1" w:rsidP="0084747F">
            <w:pPr>
              <w:spacing w:after="60" w:line="264" w:lineRule="auto"/>
              <w:jc w:val="both"/>
              <w:rPr>
                <w:rFonts w:cs="Times New Roman"/>
                <w:bCs/>
                <w:lang w:bidi="bg-BG"/>
              </w:rPr>
            </w:pPr>
            <w:r w:rsidRPr="009F6D1E">
              <w:rPr>
                <w:rFonts w:cs="Times New Roman"/>
                <w:bCs/>
                <w:i/>
                <w:iCs/>
                <w:lang w:bidi="bg-BG"/>
              </w:rPr>
              <w:t>Интервенция насочена към хуманно отношение</w:t>
            </w:r>
            <w:r w:rsidRPr="009F6D1E">
              <w:rPr>
                <w:rFonts w:cs="Times New Roman"/>
                <w:bCs/>
                <w:lang w:bidi="bg-BG"/>
              </w:rPr>
              <w:t xml:space="preserve"> съгл. чл. 70. (ЕЗФРСР)</w:t>
            </w:r>
          </w:p>
          <w:p w14:paraId="115B9B7B" w14:textId="77777777" w:rsidR="002566E1" w:rsidRPr="009F6D1E" w:rsidRDefault="00484FD3" w:rsidP="0084747F">
            <w:pPr>
              <w:spacing w:after="60" w:line="264" w:lineRule="auto"/>
              <w:jc w:val="both"/>
              <w:rPr>
                <w:rFonts w:cs="Times New Roman"/>
                <w:bCs/>
                <w:lang w:bidi="bg-BG"/>
              </w:rPr>
            </w:pPr>
            <w:r w:rsidRPr="009F6D1E">
              <w:rPr>
                <w:rFonts w:cs="Times New Roman"/>
                <w:bCs/>
                <w:i/>
                <w:lang w:bidi="bg-BG"/>
              </w:rPr>
              <w:t xml:space="preserve">Интервенция </w:t>
            </w:r>
            <w:r w:rsidR="002566E1" w:rsidRPr="009F6D1E">
              <w:rPr>
                <w:rFonts w:cs="Times New Roman"/>
                <w:bCs/>
                <w:lang w:bidi="bg-BG"/>
              </w:rPr>
              <w:t>„</w:t>
            </w:r>
            <w:r w:rsidR="002566E1" w:rsidRPr="009F6D1E">
              <w:rPr>
                <w:rFonts w:cs="Times New Roman"/>
                <w:bCs/>
                <w:i/>
                <w:iCs/>
                <w:lang w:bidi="bg-BG"/>
              </w:rPr>
              <w:t>Възстановяването на земеделски потенциал след природни бедствия или катастрофични събития и инвестиции в подходящи превантивни действия</w:t>
            </w:r>
            <w:r w:rsidR="002566E1" w:rsidRPr="009F6D1E">
              <w:rPr>
                <w:rFonts w:cs="Times New Roman"/>
                <w:bCs/>
                <w:lang w:bidi="bg-BG"/>
              </w:rPr>
              <w:t>“ съгл. чл. 73.</w:t>
            </w:r>
          </w:p>
          <w:p w14:paraId="0268858B" w14:textId="77777777" w:rsidR="002566E1" w:rsidRPr="009F6D1E" w:rsidRDefault="002566E1" w:rsidP="0084747F">
            <w:pPr>
              <w:spacing w:after="60" w:line="264" w:lineRule="auto"/>
              <w:jc w:val="both"/>
              <w:rPr>
                <w:rFonts w:cs="Times New Roman"/>
                <w:bCs/>
                <w:lang w:bidi="bg-BG"/>
              </w:rPr>
            </w:pPr>
            <w:r w:rsidRPr="009F6D1E">
              <w:rPr>
                <w:rFonts w:cs="Times New Roman"/>
                <w:bCs/>
                <w:lang w:bidi="bg-BG"/>
              </w:rPr>
              <w:lastRenderedPageBreak/>
              <w:t xml:space="preserve">За адресиране на идентифицираната потребност от намаляване на употребата на антимикробни средства ще се прилага </w:t>
            </w:r>
            <w:r w:rsidRPr="009F6D1E">
              <w:rPr>
                <w:rFonts w:cs="Times New Roman"/>
                <w:bCs/>
                <w:i/>
                <w:lang w:bidi="bg-BG"/>
              </w:rPr>
              <w:t>интервенция</w:t>
            </w:r>
            <w:r w:rsidRPr="009F6D1E">
              <w:rPr>
                <w:rFonts w:cs="Times New Roman"/>
                <w:bCs/>
                <w:lang w:bidi="bg-BG"/>
              </w:rPr>
              <w:t xml:space="preserve"> </w:t>
            </w:r>
            <w:r w:rsidR="00484FD3" w:rsidRPr="009F6D1E">
              <w:rPr>
                <w:rFonts w:cs="Times New Roman"/>
                <w:bCs/>
                <w:i/>
                <w:iCs/>
                <w:lang w:bidi="bg-BG"/>
              </w:rPr>
              <w:t>„</w:t>
            </w:r>
            <w:r w:rsidRPr="009F6D1E">
              <w:rPr>
                <w:rFonts w:cs="Times New Roman"/>
                <w:bCs/>
                <w:i/>
                <w:iCs/>
                <w:lang w:bidi="bg-BG"/>
              </w:rPr>
              <w:t>Инвестиции в земеделски стопанства</w:t>
            </w:r>
            <w:r w:rsidRPr="009F6D1E">
              <w:rPr>
                <w:rFonts w:cs="Times New Roman"/>
                <w:bCs/>
                <w:lang w:bidi="bg-BG"/>
              </w:rPr>
              <w:t>- член 73 (ЕЗФРСР)</w:t>
            </w:r>
            <w:r w:rsidR="00484FD3" w:rsidRPr="009F6D1E">
              <w:rPr>
                <w:rFonts w:cs="Times New Roman"/>
                <w:bCs/>
                <w:lang w:bidi="bg-BG"/>
              </w:rPr>
              <w:t>“.</w:t>
            </w:r>
          </w:p>
        </w:tc>
      </w:tr>
      <w:tr w:rsidR="00CE4F17" w:rsidRPr="009F6D1E" w14:paraId="74D4BD82" w14:textId="77777777" w:rsidTr="00981F7B">
        <w:tc>
          <w:tcPr>
            <w:tcW w:w="709" w:type="dxa"/>
          </w:tcPr>
          <w:p w14:paraId="3AC82D54" w14:textId="77777777" w:rsidR="00CE4F17" w:rsidRPr="009F6D1E" w:rsidRDefault="00CE4F17"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8.</w:t>
            </w:r>
          </w:p>
        </w:tc>
        <w:tc>
          <w:tcPr>
            <w:tcW w:w="4394" w:type="dxa"/>
          </w:tcPr>
          <w:p w14:paraId="2C7FC78F"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u w:val="single"/>
                <w:lang w:eastAsia="bg-BG" w:bidi="bg-BG"/>
              </w:rPr>
            </w:pPr>
            <w:r w:rsidRPr="009F6D1E">
              <w:rPr>
                <w:rFonts w:eastAsia="Times New Roman" w:cs="Times New Roman"/>
                <w:b/>
                <w:bCs/>
                <w:i/>
                <w:color w:val="000000"/>
                <w:u w:val="single"/>
                <w:lang w:eastAsia="bg-BG" w:bidi="bg-BG"/>
              </w:rPr>
              <w:t>П.9.8.</w:t>
            </w:r>
            <w:r w:rsidRPr="009F6D1E">
              <w:rPr>
                <w:rFonts w:eastAsia="Times New Roman" w:cs="Times New Roman"/>
                <w:b/>
                <w:bCs/>
                <w:i/>
                <w:color w:val="000000"/>
                <w:lang w:eastAsia="bg-BG" w:bidi="bg-BG"/>
              </w:rPr>
              <w:t xml:space="preserve">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p>
        </w:tc>
        <w:tc>
          <w:tcPr>
            <w:tcW w:w="4530" w:type="dxa"/>
          </w:tcPr>
          <w:p w14:paraId="3D177CD6" w14:textId="77777777" w:rsidR="00CE4F17" w:rsidRPr="009F6D1E" w:rsidRDefault="00813FE6" w:rsidP="0084747F">
            <w:pPr>
              <w:spacing w:after="60" w:line="264" w:lineRule="auto"/>
              <w:jc w:val="both"/>
              <w:rPr>
                <w:rFonts w:cs="Times New Roman"/>
                <w:bCs/>
                <w:lang w:bidi="bg-BG"/>
              </w:rPr>
            </w:pPr>
            <w:r w:rsidRPr="009F6D1E">
              <w:rPr>
                <w:rFonts w:cs="Times New Roman"/>
                <w:bCs/>
                <w:lang w:bidi="bg-BG"/>
              </w:rPr>
              <w:t>Прилагане на 2 еко схеми по чл. 31 от Регламент (ЕС) 2021/2115 – Еко схема за намаляване използването на пестициди и Еко схема за запазване и възстановяване на почвения потенциал</w:t>
            </w:r>
          </w:p>
          <w:p w14:paraId="491CE6F2" w14:textId="77777777" w:rsidR="00813FE6" w:rsidRPr="009F6D1E" w:rsidRDefault="00813FE6" w:rsidP="0084747F">
            <w:pPr>
              <w:spacing w:after="60" w:line="264" w:lineRule="auto"/>
              <w:jc w:val="both"/>
              <w:rPr>
                <w:rFonts w:cs="Times New Roman"/>
                <w:bCs/>
                <w:lang w:bidi="bg-BG"/>
              </w:rPr>
            </w:pPr>
          </w:p>
        </w:tc>
      </w:tr>
    </w:tbl>
    <w:p w14:paraId="20771E23" w14:textId="77777777" w:rsidR="004019B9" w:rsidRPr="009F6D1E" w:rsidRDefault="004019B9" w:rsidP="0084747F">
      <w:pPr>
        <w:widowControl w:val="0"/>
        <w:tabs>
          <w:tab w:val="left" w:pos="1080"/>
        </w:tabs>
        <w:spacing w:after="60" w:line="264" w:lineRule="auto"/>
        <w:ind w:left="720"/>
        <w:jc w:val="both"/>
        <w:rPr>
          <w:rFonts w:eastAsia="Times New Roman" w:cs="Times New Roman"/>
          <w:i/>
          <w:szCs w:val="24"/>
          <w:u w:val="single"/>
          <w:lang w:eastAsia="bg-BG" w:bidi="bg-BG"/>
        </w:rPr>
      </w:pPr>
    </w:p>
    <w:p w14:paraId="14CBEC93" w14:textId="77777777" w:rsidR="00CE4F17" w:rsidRPr="009F6D1E" w:rsidRDefault="00B43E5C" w:rsidP="0084747F">
      <w:pPr>
        <w:widowControl w:val="0"/>
        <w:shd w:val="clear" w:color="auto" w:fill="D9D9D9" w:themeFill="background1" w:themeFillShade="D9"/>
        <w:tabs>
          <w:tab w:val="left" w:pos="5765"/>
        </w:tabs>
        <w:spacing w:after="60" w:line="264" w:lineRule="auto"/>
        <w:jc w:val="both"/>
        <w:rPr>
          <w:rFonts w:cs="Times New Roman"/>
          <w:b/>
          <w:i/>
          <w:szCs w:val="24"/>
          <w:u w:val="single"/>
        </w:rPr>
      </w:pPr>
      <w:r w:rsidRPr="009F6D1E">
        <w:rPr>
          <w:rFonts w:cs="Times New Roman"/>
          <w:b/>
          <w:i/>
          <w:szCs w:val="24"/>
        </w:rPr>
        <w:t>Междусекторна цел 10</w:t>
      </w:r>
      <w:r w:rsidR="004D537A" w:rsidRPr="009F6D1E">
        <w:rPr>
          <w:rFonts w:cs="Times New Roman"/>
          <w:b/>
          <w:i/>
          <w:szCs w:val="24"/>
        </w:rPr>
        <w:t xml:space="preserve">: </w:t>
      </w:r>
      <w:bookmarkStart w:id="43" w:name="_Hlk106091389"/>
      <w:r w:rsidR="00CE4F17" w:rsidRPr="009F6D1E">
        <w:rPr>
          <w:rFonts w:cs="Times New Roman"/>
          <w:b/>
          <w:i/>
          <w:szCs w:val="24"/>
          <w:u w:val="single"/>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bookmarkEnd w:id="43"/>
    </w:p>
    <w:p w14:paraId="6E3F7E4B" w14:textId="77777777" w:rsidR="00C7615F" w:rsidRPr="009F6D1E" w:rsidRDefault="00C7615F" w:rsidP="0084747F">
      <w:pPr>
        <w:widowControl w:val="0"/>
        <w:tabs>
          <w:tab w:val="left" w:pos="1080"/>
        </w:tabs>
        <w:spacing w:after="60" w:line="264" w:lineRule="auto"/>
        <w:jc w:val="both"/>
        <w:rPr>
          <w:rFonts w:eastAsia="Times New Roman" w:cs="Times New Roman"/>
          <w:i/>
          <w:u w:val="single"/>
          <w:lang w:eastAsia="bg-BG" w:bidi="bg-BG"/>
        </w:rPr>
      </w:pPr>
    </w:p>
    <w:p w14:paraId="14DCFA9C" w14:textId="77777777" w:rsidR="00857D60" w:rsidRPr="009F6D1E" w:rsidRDefault="00C7615F"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Cs/>
          <w:lang w:eastAsia="bg-BG" w:bidi="bg-BG"/>
        </w:rPr>
        <w:t>Предвидените интервенции, като инструменти за хоризонтална намеса, освен петте</w:t>
      </w:r>
      <w:r w:rsidRPr="009F6D1E">
        <w:rPr>
          <w:rFonts w:eastAsia="Times New Roman" w:cs="Times New Roman"/>
          <w:i/>
          <w:u w:val="single"/>
          <w:lang w:eastAsia="bg-BG" w:bidi="bg-BG"/>
        </w:rPr>
        <w:t xml:space="preserve"> </w:t>
      </w:r>
      <w:r w:rsidRPr="009F6D1E">
        <w:rPr>
          <w:rFonts w:eastAsia="Times New Roman" w:cs="Times New Roman"/>
          <w:iCs/>
          <w:lang w:eastAsia="bg-BG" w:bidi="bg-BG"/>
        </w:rPr>
        <w:t xml:space="preserve">идентифицирани потребности, в рамките на </w:t>
      </w:r>
      <w:r w:rsidR="00D618CA" w:rsidRPr="009F6D1E">
        <w:rPr>
          <w:rFonts w:eastAsia="Times New Roman" w:cs="Times New Roman"/>
          <w:iCs/>
          <w:lang w:eastAsia="bg-BG" w:bidi="bg-BG"/>
        </w:rPr>
        <w:t>Междусекторна цел 10</w:t>
      </w:r>
      <w:r w:rsidRPr="009F6D1E">
        <w:rPr>
          <w:rFonts w:eastAsia="Times New Roman" w:cs="Times New Roman"/>
          <w:iCs/>
          <w:lang w:eastAsia="bg-BG" w:bidi="bg-BG"/>
        </w:rPr>
        <w:t>, адресират чрез специфични дейности, приоритети и задължителни теми и потребности, идентифицирани в рамките на специфични цели № 1, 2, 3, 4, 5, 6, 7 и 9.</w:t>
      </w:r>
    </w:p>
    <w:tbl>
      <w:tblPr>
        <w:tblStyle w:val="TableGrid"/>
        <w:tblW w:w="0" w:type="auto"/>
        <w:tblInd w:w="-5" w:type="dxa"/>
        <w:tblLook w:val="04A0" w:firstRow="1" w:lastRow="0" w:firstColumn="1" w:lastColumn="0" w:noHBand="0" w:noVBand="1"/>
      </w:tblPr>
      <w:tblGrid>
        <w:gridCol w:w="709"/>
        <w:gridCol w:w="4394"/>
        <w:gridCol w:w="4530"/>
      </w:tblGrid>
      <w:tr w:rsidR="00857D60" w:rsidRPr="009F6D1E" w14:paraId="7A306F3E" w14:textId="77777777" w:rsidTr="00C65397">
        <w:trPr>
          <w:tblHeader/>
        </w:trPr>
        <w:tc>
          <w:tcPr>
            <w:tcW w:w="709" w:type="dxa"/>
            <w:shd w:val="clear" w:color="auto" w:fill="F7CAAC" w:themeFill="accent2" w:themeFillTint="66"/>
          </w:tcPr>
          <w:p w14:paraId="7C86F3C8" w14:textId="77777777" w:rsidR="00857D60" w:rsidRPr="009F6D1E" w:rsidRDefault="00857D60" w:rsidP="0084747F">
            <w:pPr>
              <w:widowControl w:val="0"/>
              <w:tabs>
                <w:tab w:val="left" w:pos="1080"/>
              </w:tabs>
              <w:spacing w:after="60" w:line="264" w:lineRule="auto"/>
              <w:jc w:val="center"/>
              <w:rPr>
                <w:rFonts w:eastAsia="Times New Roman" w:cs="Times New Roman"/>
                <w:b/>
                <w:bCs/>
                <w:iCs/>
                <w:lang w:eastAsia="bg-BG" w:bidi="bg-BG"/>
              </w:rPr>
            </w:pPr>
            <w:r w:rsidRPr="009F6D1E">
              <w:rPr>
                <w:rFonts w:eastAsia="Times New Roman" w:cs="Times New Roman"/>
                <w:b/>
                <w:bCs/>
                <w:iCs/>
                <w:lang w:eastAsia="bg-BG" w:bidi="bg-BG"/>
              </w:rPr>
              <w:t>№</w:t>
            </w:r>
          </w:p>
        </w:tc>
        <w:tc>
          <w:tcPr>
            <w:tcW w:w="4394" w:type="dxa"/>
            <w:shd w:val="clear" w:color="auto" w:fill="F7CAAC" w:themeFill="accent2" w:themeFillTint="66"/>
          </w:tcPr>
          <w:p w14:paraId="604339F0" w14:textId="77777777" w:rsidR="00857D60" w:rsidRPr="009F6D1E" w:rsidRDefault="00857D6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ПОТРЕБНОСТИ</w:t>
            </w:r>
          </w:p>
        </w:tc>
        <w:tc>
          <w:tcPr>
            <w:tcW w:w="4530" w:type="dxa"/>
            <w:shd w:val="clear" w:color="auto" w:fill="F7CAAC" w:themeFill="accent2" w:themeFillTint="66"/>
          </w:tcPr>
          <w:p w14:paraId="0E1296D0" w14:textId="77777777" w:rsidR="00857D60" w:rsidRPr="009F6D1E" w:rsidRDefault="00857D60" w:rsidP="0084747F">
            <w:pPr>
              <w:widowControl w:val="0"/>
              <w:tabs>
                <w:tab w:val="left" w:pos="1080"/>
              </w:tabs>
              <w:spacing w:after="60" w:line="264" w:lineRule="auto"/>
              <w:jc w:val="center"/>
              <w:rPr>
                <w:rFonts w:eastAsia="Times New Roman" w:cs="Times New Roman"/>
                <w:b/>
                <w:bCs/>
                <w:i/>
                <w:u w:val="single"/>
                <w:lang w:eastAsia="bg-BG" w:bidi="bg-BG"/>
              </w:rPr>
            </w:pPr>
            <w:r w:rsidRPr="009F6D1E">
              <w:rPr>
                <w:rFonts w:eastAsia="Times New Roman" w:cs="Times New Roman"/>
                <w:b/>
                <w:bCs/>
                <w:i/>
                <w:lang w:eastAsia="bg-BG" w:bidi="bg-BG"/>
              </w:rPr>
              <w:t>ИНТЕРВЕНЦИЯ</w:t>
            </w:r>
          </w:p>
        </w:tc>
      </w:tr>
      <w:tr w:rsidR="00857D60" w:rsidRPr="009F6D1E" w14:paraId="2672226C" w14:textId="77777777" w:rsidTr="00981F7B">
        <w:tc>
          <w:tcPr>
            <w:tcW w:w="709" w:type="dxa"/>
          </w:tcPr>
          <w:p w14:paraId="2F289AE1" w14:textId="77777777" w:rsidR="00857D60" w:rsidRPr="009F6D1E" w:rsidRDefault="00857D60"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1.</w:t>
            </w:r>
          </w:p>
        </w:tc>
        <w:tc>
          <w:tcPr>
            <w:tcW w:w="4394" w:type="dxa"/>
          </w:tcPr>
          <w:p w14:paraId="43CA7F3B" w14:textId="77777777" w:rsidR="00CE4F17" w:rsidRPr="009F6D1E" w:rsidRDefault="00CE4F17"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П.10.1.</w:t>
            </w:r>
            <w:r w:rsidRPr="009F6D1E">
              <w:rPr>
                <w:rFonts w:eastAsia="Times New Roman" w:cs="Times New Roman"/>
                <w:b/>
                <w:bCs/>
                <w:i/>
                <w:color w:val="000000"/>
                <w:lang w:eastAsia="bg-BG" w:bidi="bg-BG"/>
              </w:rPr>
              <w:t xml:space="preserve"> Осигуряване на ефективни методи за събиране, систематизиране и анализ на цялостна и представителна информация за състоянието и развитието на Системата за споделяне на знания и иновации и цифровизация в селското стопанство /ССЗИСС/, включително чрез 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tc>
        <w:tc>
          <w:tcPr>
            <w:tcW w:w="4530" w:type="dxa"/>
          </w:tcPr>
          <w:p w14:paraId="4A7FDDF0" w14:textId="77777777" w:rsidR="00857D60" w:rsidRPr="009F6D1E" w:rsidRDefault="00486A07"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Консултантски услуги и повишаване на консултантския капацитет“</w:t>
            </w:r>
            <w:r w:rsidRPr="009F6D1E">
              <w:rPr>
                <w:rFonts w:eastAsia="Times New Roman" w:cs="Times New Roman"/>
                <w:iCs/>
                <w:lang w:eastAsia="bg-BG" w:bidi="bg-BG"/>
              </w:rPr>
              <w:t xml:space="preserve"> съгл. чл. 78 (ЕЗФРСР). Посредством интервенцията ще бъде осигурена подкрепа за функциониране на общински мобилни центрове към НССЗ, които ще имат ангажимент съвместно с областните си структури да събират и да разпространяват информация сред различни заинтересовани страни в рамките на AKIS посредством различни информационни събития, дейности и канали, въвличайки активно представители на научната общност (ВУЗ/ССА/БАН), както и чрез </w:t>
            </w:r>
            <w:r w:rsidRPr="009F6D1E">
              <w:rPr>
                <w:rFonts w:eastAsia="Times New Roman" w:cs="Times New Roman"/>
                <w:iCs/>
                <w:lang w:eastAsia="bg-BG" w:bidi="bg-BG"/>
              </w:rPr>
              <w:lastRenderedPageBreak/>
              <w:t>предоставяне на информация и съдействие на земеделските стопани на терен.</w:t>
            </w:r>
          </w:p>
        </w:tc>
      </w:tr>
      <w:tr w:rsidR="00857D60" w:rsidRPr="009F6D1E" w14:paraId="14D7341A" w14:textId="77777777" w:rsidTr="00981F7B">
        <w:tc>
          <w:tcPr>
            <w:tcW w:w="709" w:type="dxa"/>
          </w:tcPr>
          <w:p w14:paraId="039F41BC" w14:textId="77777777" w:rsidR="00857D60"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2.</w:t>
            </w:r>
          </w:p>
        </w:tc>
        <w:tc>
          <w:tcPr>
            <w:tcW w:w="4394" w:type="dxa"/>
          </w:tcPr>
          <w:p w14:paraId="0FA97B21" w14:textId="77777777" w:rsidR="00857D60" w:rsidRPr="009F6D1E" w:rsidRDefault="00CE4F17"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П.10.2.</w:t>
            </w:r>
            <w:r w:rsidRPr="009F6D1E">
              <w:rPr>
                <w:rFonts w:eastAsia="Times New Roman" w:cs="Times New Roman"/>
                <w:b/>
                <w:bCs/>
                <w:i/>
                <w:color w:val="000000"/>
                <w:lang w:eastAsia="bg-BG" w:bidi="bg-BG"/>
              </w:rPr>
              <w:t>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tc>
        <w:tc>
          <w:tcPr>
            <w:tcW w:w="4530" w:type="dxa"/>
          </w:tcPr>
          <w:p w14:paraId="73E54C72" w14:textId="77777777" w:rsidR="00857D60" w:rsidRPr="009F6D1E" w:rsidRDefault="00486A07"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Подкрепа за оперативни групи в рамките на Европейското партньорство за иновации</w:t>
            </w:r>
            <w:r w:rsidRPr="009F6D1E">
              <w:rPr>
                <w:rFonts w:eastAsia="Times New Roman" w:cs="Times New Roman"/>
                <w:iCs/>
                <w:lang w:eastAsia="bg-BG" w:bidi="bg-BG"/>
              </w:rPr>
              <w:t>“ съгл. чл. 77 (ЕЗФРСР), включително навременното стартиране на първи етап, насочен към сформиране на оперативните групи. Чрез интервенцията за сформиране на оперативни групи директно се насърчава създаване и укрепване на връзките между земеделските производители, научните среди, браншови организации, консултантски организации и други партньори, съобразно спецификата на конкретния иновативен проект.</w:t>
            </w:r>
          </w:p>
          <w:p w14:paraId="3EB298BE" w14:textId="77777777" w:rsidR="00486A07" w:rsidRPr="009F6D1E" w:rsidRDefault="00484FD3"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w:t>
            </w:r>
            <w:r w:rsidR="00486A07" w:rsidRPr="009F6D1E">
              <w:rPr>
                <w:rFonts w:eastAsia="Times New Roman" w:cs="Times New Roman"/>
                <w:i/>
                <w:iCs/>
                <w:lang w:eastAsia="bg-BG" w:bidi="bg-BG"/>
              </w:rPr>
              <w:t>нтервенция</w:t>
            </w:r>
            <w:r w:rsidR="00486A07" w:rsidRPr="009F6D1E">
              <w:rPr>
                <w:rFonts w:eastAsia="Times New Roman" w:cs="Times New Roman"/>
                <w:iCs/>
                <w:lang w:eastAsia="bg-BG" w:bidi="bg-BG"/>
              </w:rPr>
              <w:t xml:space="preserve"> „</w:t>
            </w:r>
            <w:r w:rsidR="00486A07" w:rsidRPr="009F6D1E">
              <w:rPr>
                <w:rFonts w:eastAsia="Times New Roman" w:cs="Times New Roman"/>
                <w:i/>
                <w:lang w:eastAsia="bg-BG" w:bidi="bg-BG"/>
              </w:rPr>
              <w:t xml:space="preserve">Консултантски услуги и повишаване на консултантския капацитет“ - </w:t>
            </w:r>
            <w:r w:rsidR="00486A07" w:rsidRPr="009F6D1E">
              <w:rPr>
                <w:rFonts w:eastAsia="Times New Roman" w:cs="Times New Roman"/>
                <w:iCs/>
                <w:lang w:eastAsia="bg-BG" w:bidi="bg-BG"/>
              </w:rPr>
              <w:t>чл. 78 (ЕЗФРСР). Предвижда се интервенцията да осигури подпомагане за консултантски организации, с цел предоставяне на различни консултантски пакети на земеделски стопани, в т.ч. консултации по отношение на възможността за сформиране и функциониране на оперативни групи в рамките на ЕПИ</w:t>
            </w:r>
            <w:r w:rsidR="00EC5F88" w:rsidRPr="009F6D1E">
              <w:rPr>
                <w:rFonts w:eastAsia="Times New Roman" w:cs="Times New Roman"/>
                <w:iCs/>
                <w:lang w:eastAsia="bg-BG" w:bidi="bg-BG"/>
              </w:rPr>
              <w:t>.</w:t>
            </w:r>
          </w:p>
          <w:p w14:paraId="649A7714" w14:textId="77777777" w:rsidR="00EC5F8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Професионално обучение и придобиване на умения“ -</w:t>
            </w:r>
            <w:r w:rsidRPr="009F6D1E">
              <w:rPr>
                <w:rFonts w:eastAsia="Times New Roman" w:cs="Times New Roman"/>
                <w:iCs/>
                <w:lang w:eastAsia="bg-BG" w:bidi="bg-BG"/>
              </w:rPr>
              <w:t xml:space="preserve"> чл. 78 (ЕЗФРСР), по която Националната служба за съвети в земеделието, представителите на научните среди, неправителствени организации в сферата на селското стопанство и др. участници в AKIS ще имат възможност да си партнират при провеждане на различни обучителни, информационни и демонстрационни събития, имащи за цел да повишат </w:t>
            </w:r>
            <w:r w:rsidRPr="009F6D1E">
              <w:rPr>
                <w:rFonts w:eastAsia="Times New Roman" w:cs="Times New Roman"/>
                <w:iCs/>
                <w:lang w:eastAsia="bg-BG" w:bidi="bg-BG"/>
              </w:rPr>
              <w:lastRenderedPageBreak/>
              <w:t>знанията и уменията на земеделските стопани по отношение на новите предизвикателства и възможности.</w:t>
            </w:r>
          </w:p>
        </w:tc>
      </w:tr>
      <w:tr w:rsidR="00857D60" w:rsidRPr="009F6D1E" w14:paraId="5429D060" w14:textId="77777777" w:rsidTr="00981F7B">
        <w:tc>
          <w:tcPr>
            <w:tcW w:w="709" w:type="dxa"/>
          </w:tcPr>
          <w:p w14:paraId="1EF68A43" w14:textId="77777777" w:rsidR="00857D60"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lastRenderedPageBreak/>
              <w:t>3.</w:t>
            </w:r>
          </w:p>
        </w:tc>
        <w:tc>
          <w:tcPr>
            <w:tcW w:w="4394" w:type="dxa"/>
          </w:tcPr>
          <w:p w14:paraId="7322E462" w14:textId="77777777" w:rsidR="000A13AC" w:rsidRPr="009F6D1E" w:rsidRDefault="000A13AC" w:rsidP="0084747F">
            <w:pPr>
              <w:widowControl w:val="0"/>
              <w:tabs>
                <w:tab w:val="left" w:pos="1080"/>
              </w:tabs>
              <w:spacing w:after="60" w:line="264" w:lineRule="auto"/>
              <w:jc w:val="both"/>
              <w:rPr>
                <w:rFonts w:eastAsia="Times New Roman" w:cs="Times New Roman"/>
                <w:b/>
                <w:bCs/>
                <w:i/>
                <w:color w:val="000000"/>
                <w:lang w:eastAsia="bg-BG" w:bidi="bg-BG"/>
              </w:rPr>
            </w:pPr>
            <w:r w:rsidRPr="009F6D1E">
              <w:rPr>
                <w:rFonts w:eastAsia="Times New Roman" w:cs="Times New Roman"/>
                <w:b/>
                <w:bCs/>
                <w:i/>
                <w:color w:val="000000"/>
                <w:u w:val="single"/>
                <w:lang w:eastAsia="bg-BG" w:bidi="bg-BG"/>
              </w:rPr>
              <w:t>П.10.3.</w:t>
            </w:r>
            <w:r w:rsidRPr="009F6D1E">
              <w:rPr>
                <w:rFonts w:eastAsia="Times New Roman" w:cs="Times New Roman"/>
                <w:b/>
                <w:bCs/>
                <w:i/>
                <w:color w:val="000000"/>
                <w:lang w:eastAsia="bg-BG" w:bidi="bg-BG"/>
              </w:rPr>
              <w:t xml:space="preserve"> Повишаване на професионалната квалификация на предприемачите и заетите лица в селскостопанския отрасъл чрез адаптиране на формите за трансфер на знания към специфичните секторни особености;</w:t>
            </w:r>
          </w:p>
        </w:tc>
        <w:tc>
          <w:tcPr>
            <w:tcW w:w="4530" w:type="dxa"/>
          </w:tcPr>
          <w:p w14:paraId="1CA07EB6" w14:textId="77777777" w:rsidR="00857D60" w:rsidRPr="009F6D1E" w:rsidRDefault="00EC5F88" w:rsidP="0084747F">
            <w:pPr>
              <w:spacing w:after="60" w:line="264" w:lineRule="auto"/>
              <w:jc w:val="both"/>
              <w:rPr>
                <w:rFonts w:eastAsia="Times New Roman" w:cs="Times New Roman"/>
                <w:i/>
                <w:u w:val="single"/>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Професионално обучение и придобиване на умения“</w:t>
            </w:r>
            <w:r w:rsidRPr="009F6D1E">
              <w:rPr>
                <w:rFonts w:eastAsia="Times New Roman" w:cs="Times New Roman"/>
                <w:iCs/>
                <w:lang w:eastAsia="bg-BG" w:bidi="bg-BG"/>
              </w:rPr>
              <w:t>, съгл. чл. 78 (ЕЗФРСР), предвижда подкрепата да се предоставя за обучение и придобиване на умения в областта на селското и горското стопанство, в т.ч. за заетите лица в производствения процес.</w:t>
            </w:r>
          </w:p>
        </w:tc>
      </w:tr>
      <w:tr w:rsidR="00857D60" w:rsidRPr="009F6D1E" w14:paraId="1B807FC5" w14:textId="77777777" w:rsidTr="00981F7B">
        <w:tc>
          <w:tcPr>
            <w:tcW w:w="709" w:type="dxa"/>
          </w:tcPr>
          <w:p w14:paraId="632BDEEB" w14:textId="77777777" w:rsidR="00857D60"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4.</w:t>
            </w:r>
          </w:p>
        </w:tc>
        <w:tc>
          <w:tcPr>
            <w:tcW w:w="4394" w:type="dxa"/>
          </w:tcPr>
          <w:p w14:paraId="2513DABA" w14:textId="77777777" w:rsidR="000A13AC" w:rsidRPr="009F6D1E" w:rsidRDefault="000A13AC"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u w:val="single"/>
                <w:lang w:eastAsia="bg-BG" w:bidi="bg-BG"/>
              </w:rPr>
              <w:t xml:space="preserve">П.10.4. </w:t>
            </w:r>
            <w:r w:rsidRPr="009F6D1E">
              <w:rPr>
                <w:rFonts w:eastAsia="Times New Roman" w:cs="Times New Roman"/>
                <w:b/>
                <w:bCs/>
                <w:i/>
                <w:lang w:eastAsia="bg-BG" w:bidi="bg-BG"/>
              </w:rPr>
              <w:t>Насърчаване на различни форми на коопериране между различните участници в системата на ССЗИСС за подобряване ефективността от внедряването, разпространението и приложението на иновативни решения базирани на дигитални технологии и споделяне на знания, специфични за различните секторни производства;</w:t>
            </w:r>
          </w:p>
        </w:tc>
        <w:tc>
          <w:tcPr>
            <w:tcW w:w="4530" w:type="dxa"/>
          </w:tcPr>
          <w:p w14:paraId="05BAE6FE" w14:textId="77777777" w:rsidR="00857D60"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Подкрепа за оперативни групи в рамките на Европейското партньорство за иновации“ -</w:t>
            </w:r>
            <w:r w:rsidRPr="009F6D1E">
              <w:rPr>
                <w:rFonts w:eastAsia="Times New Roman" w:cs="Times New Roman"/>
                <w:iCs/>
                <w:lang w:eastAsia="bg-BG" w:bidi="bg-BG"/>
              </w:rPr>
              <w:t xml:space="preserve"> чл. 77 (ЕЗФРСР). Подкрепата се предоставя за сформиране и функциониране на оперативни групи за постигането на целите на Европейското партньорство за иновации за селскостопанска производителност и устойчивост.</w:t>
            </w:r>
          </w:p>
          <w:p w14:paraId="6E3C5472" w14:textId="77777777" w:rsidR="00EC5F8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Cs/>
                <w:lang w:eastAsia="bg-BG" w:bidi="bg-BG"/>
              </w:rPr>
              <w:t xml:space="preserve">С цел насърчаване на сътрудничеството в рамките на AKIS се предвижда </w:t>
            </w: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Професионално обучение и придобиване на умения“ -</w:t>
            </w:r>
            <w:r w:rsidRPr="009F6D1E">
              <w:rPr>
                <w:rFonts w:eastAsia="Times New Roman" w:cs="Times New Roman"/>
                <w:iCs/>
                <w:lang w:eastAsia="bg-BG" w:bidi="bg-BG"/>
              </w:rPr>
              <w:t xml:space="preserve"> съгл. чл. 78 (ЕЗФРСР).</w:t>
            </w:r>
          </w:p>
        </w:tc>
      </w:tr>
      <w:tr w:rsidR="00857D60" w:rsidRPr="009F6D1E" w14:paraId="393A4F69" w14:textId="77777777" w:rsidTr="00981F7B">
        <w:tc>
          <w:tcPr>
            <w:tcW w:w="709" w:type="dxa"/>
          </w:tcPr>
          <w:p w14:paraId="2BB260D7" w14:textId="77777777" w:rsidR="00857D60" w:rsidRPr="009F6D1E" w:rsidRDefault="00E90BBB" w:rsidP="0084747F">
            <w:pPr>
              <w:widowControl w:val="0"/>
              <w:tabs>
                <w:tab w:val="left" w:pos="1080"/>
              </w:tabs>
              <w:spacing w:after="60" w:line="264" w:lineRule="auto"/>
              <w:jc w:val="center"/>
              <w:rPr>
                <w:rFonts w:eastAsia="Times New Roman" w:cs="Times New Roman"/>
                <w:b/>
                <w:bCs/>
                <w:i/>
                <w:lang w:eastAsia="bg-BG" w:bidi="bg-BG"/>
              </w:rPr>
            </w:pPr>
            <w:r w:rsidRPr="009F6D1E">
              <w:rPr>
                <w:rFonts w:eastAsia="Times New Roman" w:cs="Times New Roman"/>
                <w:b/>
                <w:bCs/>
                <w:i/>
                <w:lang w:eastAsia="bg-BG" w:bidi="bg-BG"/>
              </w:rPr>
              <w:t>5.</w:t>
            </w:r>
          </w:p>
        </w:tc>
        <w:tc>
          <w:tcPr>
            <w:tcW w:w="4394" w:type="dxa"/>
          </w:tcPr>
          <w:p w14:paraId="7539DB63" w14:textId="77777777" w:rsidR="00857D60" w:rsidRPr="009F6D1E" w:rsidRDefault="000A13AC" w:rsidP="0084747F">
            <w:pPr>
              <w:widowControl w:val="0"/>
              <w:tabs>
                <w:tab w:val="left" w:pos="1080"/>
              </w:tabs>
              <w:spacing w:after="60" w:line="264" w:lineRule="auto"/>
              <w:jc w:val="both"/>
              <w:rPr>
                <w:rFonts w:eastAsia="Times New Roman" w:cs="Times New Roman"/>
                <w:b/>
                <w:bCs/>
                <w:i/>
                <w:u w:val="single"/>
                <w:lang w:eastAsia="bg-BG" w:bidi="bg-BG"/>
              </w:rPr>
            </w:pPr>
            <w:r w:rsidRPr="009F6D1E">
              <w:rPr>
                <w:rFonts w:eastAsia="Times New Roman" w:cs="Times New Roman"/>
                <w:b/>
                <w:bCs/>
                <w:i/>
                <w:color w:val="000000"/>
                <w:u w:val="single"/>
                <w:lang w:eastAsia="bg-BG" w:bidi="bg-BG"/>
              </w:rPr>
              <w:t>П.10.5.</w:t>
            </w:r>
            <w:r w:rsidRPr="009F6D1E">
              <w:rPr>
                <w:rFonts w:eastAsia="Times New Roman" w:cs="Times New Roman"/>
                <w:b/>
                <w:bCs/>
                <w:i/>
                <w:color w:val="000000"/>
                <w:lang w:eastAsia="bg-BG" w:bidi="bg-BG"/>
              </w:rPr>
              <w:t xml:space="preserve">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p>
        </w:tc>
        <w:tc>
          <w:tcPr>
            <w:tcW w:w="4530" w:type="dxa"/>
          </w:tcPr>
          <w:p w14:paraId="47A26983" w14:textId="77777777" w:rsidR="00C3377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Инвестиции в земеделски стопанства</w:t>
            </w:r>
            <w:r w:rsidRPr="009F6D1E">
              <w:rPr>
                <w:rFonts w:eastAsia="Times New Roman" w:cs="Times New Roman"/>
                <w:iCs/>
                <w:lang w:eastAsia="bg-BG" w:bidi="bg-BG"/>
              </w:rPr>
              <w:t>“ - член 73 (ЕЗФРСР). Ще се подкрепя внедряване на нови технологии, които са пазарно ориентирани и насочени към инвестиции и диверсификация на производствата.</w:t>
            </w:r>
          </w:p>
          <w:p w14:paraId="3CB6ACDE" w14:textId="77777777" w:rsidR="00EC5F8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Консултантски услуги и повишаване на консултантския капацитет</w:t>
            </w:r>
            <w:r w:rsidRPr="009F6D1E">
              <w:rPr>
                <w:rFonts w:eastAsia="Times New Roman" w:cs="Times New Roman"/>
                <w:iCs/>
                <w:lang w:eastAsia="bg-BG" w:bidi="bg-BG"/>
              </w:rPr>
              <w:t>“ член 78 (ЕЗФРСР) чрез специален консултантски пакет предвижда възможност земеделските стопани да бъдат съветвани как да използват в своите стопанства дигитални инструменти и технологии.</w:t>
            </w:r>
          </w:p>
          <w:p w14:paraId="4712982A" w14:textId="77777777" w:rsidR="00EC5F8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Cs/>
                <w:lang w:eastAsia="bg-BG" w:bidi="bg-BG"/>
              </w:rPr>
              <w:lastRenderedPageBreak/>
              <w:t xml:space="preserve">Чрез </w:t>
            </w: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Професионално образование и придобиване на умения</w:t>
            </w:r>
            <w:r w:rsidRPr="009F6D1E">
              <w:rPr>
                <w:rFonts w:eastAsia="Times New Roman" w:cs="Times New Roman"/>
                <w:iCs/>
                <w:lang w:eastAsia="bg-BG" w:bidi="bg-BG"/>
              </w:rPr>
              <w:t>“ - член 78 (ЕЗФРСР) ще се подпомагат дейности по образование и обучение, включващи задължителни часове за използване на цифрови технологии.</w:t>
            </w:r>
          </w:p>
          <w:p w14:paraId="2F646318" w14:textId="77777777" w:rsidR="00EC5F88" w:rsidRPr="009F6D1E" w:rsidRDefault="00EC5F88" w:rsidP="0084747F">
            <w:pPr>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w:t>
            </w:r>
            <w:r w:rsidRPr="009F6D1E">
              <w:rPr>
                <w:rFonts w:eastAsia="Times New Roman" w:cs="Times New Roman"/>
                <w:iCs/>
                <w:lang w:eastAsia="bg-BG" w:bidi="bg-BG"/>
              </w:rPr>
              <w:t xml:space="preserve"> „</w:t>
            </w:r>
            <w:r w:rsidRPr="009F6D1E">
              <w:rPr>
                <w:rFonts w:eastAsia="Times New Roman" w:cs="Times New Roman"/>
                <w:i/>
                <w:lang w:eastAsia="bg-BG" w:bidi="bg-BG"/>
              </w:rPr>
              <w:t>Подкрепа за оперативни групи в рамките на ЕПИ</w:t>
            </w:r>
            <w:r w:rsidRPr="009F6D1E">
              <w:rPr>
                <w:rFonts w:eastAsia="Times New Roman" w:cs="Times New Roman"/>
                <w:iCs/>
                <w:lang w:eastAsia="bg-BG" w:bidi="bg-BG"/>
              </w:rPr>
              <w:t>“ - член 77 (ЕЗФРСР) предвижда възможността в състава на оперативните групи да бъдат включвани юридически лица с нестопанска цел в сферата на цифровите технологии, като в допълнение се предвижда предимство за проекти, свързани с прилагане на цифрови технологии, за да се насърчи разработването и прилагането на такъв тип проекти с потенциал за иновации.</w:t>
            </w:r>
          </w:p>
        </w:tc>
      </w:tr>
      <w:bookmarkEnd w:id="33"/>
    </w:tbl>
    <w:p w14:paraId="0D0531C2" w14:textId="77777777" w:rsidR="00857D60" w:rsidRPr="009F6D1E" w:rsidRDefault="00857D60" w:rsidP="0084747F">
      <w:pPr>
        <w:widowControl w:val="0"/>
        <w:tabs>
          <w:tab w:val="left" w:pos="1080"/>
        </w:tabs>
        <w:spacing w:after="60" w:line="264" w:lineRule="auto"/>
        <w:ind w:left="720"/>
        <w:jc w:val="both"/>
        <w:rPr>
          <w:rFonts w:eastAsia="Times New Roman" w:cs="Times New Roman"/>
          <w:i/>
          <w:szCs w:val="24"/>
          <w:u w:val="single"/>
          <w:lang w:eastAsia="bg-BG" w:bidi="bg-BG"/>
        </w:rPr>
      </w:pPr>
    </w:p>
    <w:p w14:paraId="1B52A550" w14:textId="77777777" w:rsidR="00471E9F" w:rsidRPr="009F6D1E" w:rsidRDefault="00471E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44" w:name="_Toc97639503"/>
      <w:bookmarkStart w:id="45" w:name="_Toc115254987"/>
      <w:bookmarkEnd w:id="32"/>
      <w:r w:rsidRPr="009F6D1E">
        <w:rPr>
          <w:rFonts w:eastAsia="Times New Roman"/>
          <w:b/>
          <w:i/>
          <w:lang w:val="bg-BG"/>
        </w:rPr>
        <w:t xml:space="preserve">Алтернативи за </w:t>
      </w:r>
      <w:r w:rsidR="00CD4045" w:rsidRPr="009F6D1E">
        <w:rPr>
          <w:rFonts w:eastAsia="Times New Roman"/>
          <w:b/>
          <w:i/>
          <w:lang w:val="bg-BG"/>
        </w:rPr>
        <w:t>СПРЗСР</w:t>
      </w:r>
      <w:bookmarkEnd w:id="44"/>
      <w:bookmarkEnd w:id="45"/>
      <w:r w:rsidRPr="009F6D1E">
        <w:rPr>
          <w:rFonts w:eastAsia="Times New Roman"/>
          <w:b/>
          <w:i/>
          <w:lang w:val="bg-BG"/>
        </w:rPr>
        <w:tab/>
      </w:r>
    </w:p>
    <w:p w14:paraId="4C9CACA1" w14:textId="77777777" w:rsidR="00ED6F1D" w:rsidRPr="009F6D1E" w:rsidRDefault="00ED6F1D" w:rsidP="0084747F">
      <w:pPr>
        <w:widowControl w:val="0"/>
        <w:tabs>
          <w:tab w:val="left" w:pos="5765"/>
        </w:tabs>
        <w:spacing w:after="60" w:line="264" w:lineRule="auto"/>
        <w:ind w:firstLine="720"/>
        <w:jc w:val="both"/>
        <w:rPr>
          <w:rFonts w:cs="Times New Roman"/>
          <w:szCs w:val="24"/>
          <w:highlight w:val="yellow"/>
        </w:rPr>
      </w:pPr>
    </w:p>
    <w:p w14:paraId="319769AA" w14:textId="77777777" w:rsidR="0057677C" w:rsidRPr="009F6D1E" w:rsidRDefault="0057677C" w:rsidP="0084747F">
      <w:pPr>
        <w:widowControl w:val="0"/>
        <w:autoSpaceDE w:val="0"/>
        <w:autoSpaceDN w:val="0"/>
        <w:adjustRightInd w:val="0"/>
        <w:spacing w:after="60" w:line="264" w:lineRule="auto"/>
        <w:ind w:firstLine="708"/>
        <w:jc w:val="both"/>
        <w:rPr>
          <w:rFonts w:cs="Times New Roman"/>
          <w:szCs w:val="24"/>
        </w:rPr>
      </w:pPr>
      <w:r w:rsidRPr="009F6D1E">
        <w:rPr>
          <w:rFonts w:cs="Times New Roman"/>
          <w:szCs w:val="24"/>
        </w:rPr>
        <w:t xml:space="preserve">Изготвянето на </w:t>
      </w:r>
      <w:bookmarkStart w:id="46" w:name="_Hlk105765577"/>
      <w:r w:rsidR="00CD4045" w:rsidRPr="009F6D1E">
        <w:rPr>
          <w:rFonts w:cs="Times New Roman"/>
          <w:szCs w:val="24"/>
        </w:rPr>
        <w:t>СПРЗСР</w:t>
      </w:r>
      <w:r w:rsidRPr="009F6D1E">
        <w:rPr>
          <w:rFonts w:cs="Times New Roman"/>
          <w:szCs w:val="24"/>
        </w:rPr>
        <w:t xml:space="preserve"> 2023-2027 </w:t>
      </w:r>
      <w:bookmarkEnd w:id="46"/>
      <w:r w:rsidRPr="009F6D1E">
        <w:rPr>
          <w:rFonts w:cs="Times New Roman"/>
          <w:szCs w:val="24"/>
        </w:rPr>
        <w:t xml:space="preserve">включва разработване на различни варианти (версии) на </w:t>
      </w:r>
      <w:bookmarkStart w:id="47" w:name="_Hlk105765717"/>
      <w:r w:rsidRPr="009F6D1E">
        <w:rPr>
          <w:rFonts w:cs="Times New Roman"/>
          <w:szCs w:val="24"/>
        </w:rPr>
        <w:t>Стратегическия план</w:t>
      </w:r>
      <w:bookmarkEnd w:id="47"/>
      <w:r w:rsidRPr="009F6D1E">
        <w:rPr>
          <w:rFonts w:cs="Times New Roman"/>
          <w:szCs w:val="24"/>
        </w:rPr>
        <w:t xml:space="preserve">. Окончателният проект на </w:t>
      </w:r>
      <w:r w:rsidR="00CD4045" w:rsidRPr="009F6D1E">
        <w:rPr>
          <w:rFonts w:cs="Times New Roman"/>
          <w:szCs w:val="24"/>
        </w:rPr>
        <w:t>СПРЗСР</w:t>
      </w:r>
      <w:r w:rsidRPr="009F6D1E">
        <w:rPr>
          <w:rFonts w:cs="Times New Roman"/>
          <w:szCs w:val="24"/>
        </w:rPr>
        <w:t xml:space="preserve"> 2023-2027</w:t>
      </w:r>
      <w:r w:rsidR="00023E30" w:rsidRPr="009F6D1E">
        <w:rPr>
          <w:rFonts w:cs="Times New Roman"/>
          <w:szCs w:val="24"/>
        </w:rPr>
        <w:t>г.,</w:t>
      </w:r>
      <w:r w:rsidR="00023E30" w:rsidRPr="009F6D1E">
        <w:rPr>
          <w:rFonts w:cs="Times New Roman"/>
        </w:rPr>
        <w:t xml:space="preserve"> </w:t>
      </w:r>
      <w:r w:rsidR="00023E30" w:rsidRPr="009F6D1E">
        <w:rPr>
          <w:rFonts w:cs="Times New Roman"/>
          <w:szCs w:val="24"/>
        </w:rPr>
        <w:t xml:space="preserve">изпратен в ЕК на 25.02.2022г. </w:t>
      </w:r>
      <w:r w:rsidRPr="009F6D1E">
        <w:rPr>
          <w:rFonts w:cs="Times New Roman"/>
          <w:szCs w:val="24"/>
        </w:rPr>
        <w:t xml:space="preserve"> след </w:t>
      </w:r>
      <w:r w:rsidR="00023E30" w:rsidRPr="009F6D1E">
        <w:rPr>
          <w:rFonts w:cs="Times New Roman"/>
          <w:szCs w:val="24"/>
        </w:rPr>
        <w:t xml:space="preserve">обществени консултации, </w:t>
      </w:r>
      <w:r w:rsidRPr="009F6D1E">
        <w:rPr>
          <w:rFonts w:cs="Times New Roman"/>
          <w:szCs w:val="24"/>
        </w:rPr>
        <w:t xml:space="preserve"> представлява изискваната от Директива 2001/42/EО алтернативна опция и същият е подложен на детайлна оценка в настоящия ДЕО.</w:t>
      </w:r>
    </w:p>
    <w:p w14:paraId="18BD7C0C" w14:textId="77777777" w:rsidR="0057677C" w:rsidRPr="009F6D1E" w:rsidRDefault="0057677C" w:rsidP="0084747F">
      <w:pPr>
        <w:widowControl w:val="0"/>
        <w:autoSpaceDE w:val="0"/>
        <w:autoSpaceDN w:val="0"/>
        <w:adjustRightInd w:val="0"/>
        <w:spacing w:after="60" w:line="264" w:lineRule="auto"/>
        <w:ind w:firstLine="349"/>
        <w:jc w:val="both"/>
        <w:rPr>
          <w:rFonts w:cs="Times New Roman"/>
          <w:szCs w:val="24"/>
        </w:rPr>
      </w:pPr>
      <w:r w:rsidRPr="009F6D1E">
        <w:rPr>
          <w:rFonts w:cs="Times New Roman"/>
          <w:szCs w:val="24"/>
        </w:rPr>
        <w:t xml:space="preserve">Към момента са разработени </w:t>
      </w:r>
      <w:r w:rsidR="00506C87" w:rsidRPr="009F6D1E">
        <w:rPr>
          <w:rFonts w:cs="Times New Roman"/>
          <w:szCs w:val="24"/>
        </w:rPr>
        <w:t>2</w:t>
      </w:r>
      <w:r w:rsidRPr="009F6D1E">
        <w:rPr>
          <w:rFonts w:cs="Times New Roman"/>
          <w:szCs w:val="24"/>
        </w:rPr>
        <w:t xml:space="preserve"> проектни варианти на </w:t>
      </w:r>
      <w:r w:rsidR="00506C87" w:rsidRPr="009F6D1E">
        <w:rPr>
          <w:rFonts w:cs="Times New Roman"/>
          <w:szCs w:val="24"/>
        </w:rPr>
        <w:t>Стратегическия план</w:t>
      </w:r>
      <w:r w:rsidRPr="009F6D1E">
        <w:rPr>
          <w:rFonts w:cs="Times New Roman"/>
          <w:szCs w:val="24"/>
        </w:rPr>
        <w:t xml:space="preserve">, </w:t>
      </w:r>
      <w:r w:rsidR="00D11943" w:rsidRPr="009F6D1E">
        <w:rPr>
          <w:rFonts w:cs="Times New Roman"/>
          <w:szCs w:val="24"/>
        </w:rPr>
        <w:t>разгледани</w:t>
      </w:r>
      <w:r w:rsidRPr="009F6D1E">
        <w:rPr>
          <w:rFonts w:cs="Times New Roman"/>
          <w:szCs w:val="24"/>
        </w:rPr>
        <w:t xml:space="preserve"> в рамките на Тематичната работна група</w:t>
      </w:r>
      <w:r w:rsidR="00D11943" w:rsidRPr="009F6D1E">
        <w:rPr>
          <w:rFonts w:cs="Times New Roman"/>
          <w:szCs w:val="24"/>
        </w:rPr>
        <w:t>, както следва:</w:t>
      </w:r>
    </w:p>
    <w:p w14:paraId="384C914E" w14:textId="77777777" w:rsidR="0057677C" w:rsidRPr="009F6D1E" w:rsidRDefault="00D11943">
      <w:pPr>
        <w:pStyle w:val="ListParagraph"/>
        <w:widowControl w:val="0"/>
        <w:numPr>
          <w:ilvl w:val="0"/>
          <w:numId w:val="77"/>
        </w:numPr>
        <w:spacing w:after="60" w:line="264" w:lineRule="auto"/>
        <w:ind w:left="709"/>
        <w:contextualSpacing w:val="0"/>
        <w:jc w:val="both"/>
        <w:rPr>
          <w:lang w:val="bg-BG"/>
        </w:rPr>
      </w:pPr>
      <w:r w:rsidRPr="009F6D1E">
        <w:rPr>
          <w:lang w:val="bg-BG"/>
        </w:rPr>
        <w:t>Версия 1</w:t>
      </w:r>
      <w:r w:rsidR="0057677C" w:rsidRPr="009F6D1E">
        <w:rPr>
          <w:lang w:val="bg-BG"/>
        </w:rPr>
        <w:t xml:space="preserve"> – </w:t>
      </w:r>
      <w:r w:rsidR="00D72000" w:rsidRPr="009F6D1E">
        <w:rPr>
          <w:lang w:val="bg-BG"/>
        </w:rPr>
        <w:t>разработен</w:t>
      </w:r>
      <w:r w:rsidRPr="009F6D1E">
        <w:rPr>
          <w:lang w:val="bg-BG"/>
        </w:rPr>
        <w:t>а</w:t>
      </w:r>
      <w:r w:rsidR="00D72000" w:rsidRPr="009F6D1E">
        <w:rPr>
          <w:lang w:val="bg-BG"/>
        </w:rPr>
        <w:t xml:space="preserve"> към  10.04.2021г.</w:t>
      </w:r>
      <w:r w:rsidRPr="009F6D1E">
        <w:rPr>
          <w:lang w:val="bg-BG"/>
        </w:rPr>
        <w:t>, по ко</w:t>
      </w:r>
      <w:r w:rsidR="00023E30" w:rsidRPr="009F6D1E">
        <w:rPr>
          <w:lang w:val="bg-BG"/>
        </w:rPr>
        <w:t>я</w:t>
      </w:r>
      <w:r w:rsidRPr="009F6D1E">
        <w:rPr>
          <w:lang w:val="bg-BG"/>
        </w:rPr>
        <w:t>то е изготвен</w:t>
      </w:r>
      <w:r w:rsidR="00023E30" w:rsidRPr="009F6D1E">
        <w:rPr>
          <w:lang w:val="bg-BG"/>
        </w:rPr>
        <w:t>о</w:t>
      </w:r>
      <w:r w:rsidRPr="009F6D1E">
        <w:rPr>
          <w:lang w:val="bg-BG"/>
        </w:rPr>
        <w:t xml:space="preserve"> заданието за обхват на ЕО</w:t>
      </w:r>
    </w:p>
    <w:p w14:paraId="6C6F38F9" w14:textId="77777777" w:rsidR="0057677C" w:rsidRPr="009F6D1E" w:rsidRDefault="00D11943">
      <w:pPr>
        <w:pStyle w:val="ListParagraph"/>
        <w:widowControl w:val="0"/>
        <w:numPr>
          <w:ilvl w:val="0"/>
          <w:numId w:val="77"/>
        </w:numPr>
        <w:spacing w:after="60" w:line="264" w:lineRule="auto"/>
        <w:ind w:left="709"/>
        <w:contextualSpacing w:val="0"/>
        <w:jc w:val="both"/>
        <w:rPr>
          <w:lang w:val="bg-BG"/>
        </w:rPr>
      </w:pPr>
      <w:r w:rsidRPr="009F6D1E">
        <w:rPr>
          <w:lang w:val="bg-BG"/>
        </w:rPr>
        <w:t>Първи</w:t>
      </w:r>
      <w:r w:rsidR="0057677C" w:rsidRPr="009F6D1E">
        <w:rPr>
          <w:lang w:val="bg-BG"/>
        </w:rPr>
        <w:t xml:space="preserve"> вариант – </w:t>
      </w:r>
      <w:bookmarkStart w:id="48" w:name="_Hlk105766469"/>
      <w:r w:rsidRPr="009F6D1E">
        <w:rPr>
          <w:lang w:val="bg-BG"/>
        </w:rPr>
        <w:t xml:space="preserve">одобрен от МС на 24.02.2022г., </w:t>
      </w:r>
      <w:bookmarkStart w:id="49" w:name="_Hlk106090192"/>
      <w:r w:rsidRPr="009F6D1E">
        <w:rPr>
          <w:lang w:val="bg-BG"/>
        </w:rPr>
        <w:t xml:space="preserve">изпратен в ЕК на </w:t>
      </w:r>
      <w:bookmarkStart w:id="50" w:name="_Hlk106111163"/>
      <w:r w:rsidRPr="009F6D1E">
        <w:rPr>
          <w:lang w:val="bg-BG"/>
        </w:rPr>
        <w:t xml:space="preserve">25.02.2022г. </w:t>
      </w:r>
      <w:bookmarkEnd w:id="49"/>
      <w:r w:rsidRPr="009F6D1E">
        <w:rPr>
          <w:lang w:val="bg-BG"/>
        </w:rPr>
        <w:t xml:space="preserve">и </w:t>
      </w:r>
      <w:r w:rsidR="003961B5" w:rsidRPr="009F6D1E">
        <w:rPr>
          <w:lang w:val="bg-BG"/>
        </w:rPr>
        <w:t>публикуван на 01.03.2022г.</w:t>
      </w:r>
      <w:bookmarkEnd w:id="48"/>
      <w:bookmarkEnd w:id="50"/>
      <w:r w:rsidR="00023E30" w:rsidRPr="009F6D1E">
        <w:rPr>
          <w:lang w:val="bg-BG"/>
        </w:rPr>
        <w:t>, който е подложен на детайлна оценка в настоящия ДЕО.</w:t>
      </w:r>
    </w:p>
    <w:p w14:paraId="01E987EB" w14:textId="77777777" w:rsidR="00D72000" w:rsidRPr="009F6D1E" w:rsidRDefault="00D72000" w:rsidP="0084747F">
      <w:pPr>
        <w:widowControl w:val="0"/>
        <w:tabs>
          <w:tab w:val="left" w:pos="5765"/>
        </w:tabs>
        <w:spacing w:after="60" w:line="264" w:lineRule="auto"/>
        <w:ind w:firstLine="720"/>
        <w:jc w:val="both"/>
        <w:rPr>
          <w:rFonts w:cs="Times New Roman"/>
          <w:szCs w:val="24"/>
        </w:rPr>
      </w:pPr>
    </w:p>
    <w:p w14:paraId="771005BB" w14:textId="77777777" w:rsidR="00F92FD2" w:rsidRPr="009F6D1E" w:rsidRDefault="00D72000" w:rsidP="0084747F">
      <w:pPr>
        <w:widowControl w:val="0"/>
        <w:tabs>
          <w:tab w:val="left" w:pos="5765"/>
        </w:tabs>
        <w:spacing w:after="60" w:line="264" w:lineRule="auto"/>
        <w:ind w:firstLine="720"/>
        <w:jc w:val="both"/>
        <w:rPr>
          <w:rFonts w:cs="Times New Roman"/>
          <w:szCs w:val="24"/>
        </w:rPr>
        <w:sectPr w:rsidR="00F92FD2" w:rsidRPr="009F6D1E" w:rsidSect="00981F7B">
          <w:headerReference w:type="default" r:id="rId12"/>
          <w:footerReference w:type="default" r:id="rId13"/>
          <w:pgSz w:w="11907" w:h="16840" w:code="9"/>
          <w:pgMar w:top="1418" w:right="851" w:bottom="1134" w:left="1418" w:header="709" w:footer="709" w:gutter="0"/>
          <w:cols w:space="720"/>
          <w:docGrid w:linePitch="360"/>
        </w:sectPr>
      </w:pPr>
      <w:r w:rsidRPr="009F6D1E">
        <w:rPr>
          <w:rFonts w:cs="Times New Roman"/>
          <w:szCs w:val="24"/>
        </w:rPr>
        <w:t xml:space="preserve">Предвижданията по двата </w:t>
      </w:r>
      <w:r w:rsidR="00D11943" w:rsidRPr="009F6D1E">
        <w:rPr>
          <w:rFonts w:cs="Times New Roman"/>
          <w:szCs w:val="24"/>
        </w:rPr>
        <w:t>документа</w:t>
      </w:r>
      <w:r w:rsidRPr="009F6D1E">
        <w:rPr>
          <w:rFonts w:cs="Times New Roman"/>
          <w:szCs w:val="24"/>
        </w:rPr>
        <w:t xml:space="preserve"> са представени в следващата таблица, като </w:t>
      </w:r>
      <w:r w:rsidR="00290706" w:rsidRPr="009F6D1E">
        <w:rPr>
          <w:rFonts w:cs="Times New Roman"/>
          <w:szCs w:val="24"/>
        </w:rPr>
        <w:t xml:space="preserve">промените са отбелязани с </w:t>
      </w:r>
      <w:r w:rsidR="00290706" w:rsidRPr="009F6D1E">
        <w:rPr>
          <w:rFonts w:cs="Times New Roman"/>
          <w:color w:val="FF0000"/>
          <w:szCs w:val="24"/>
        </w:rPr>
        <w:t>червен</w:t>
      </w:r>
      <w:r w:rsidRPr="009F6D1E">
        <w:rPr>
          <w:rFonts w:cs="Times New Roman"/>
          <w:color w:val="FF0000"/>
          <w:szCs w:val="24"/>
        </w:rPr>
        <w:t xml:space="preserve"> </w:t>
      </w:r>
      <w:r w:rsidRPr="009F6D1E">
        <w:rPr>
          <w:rFonts w:cs="Times New Roman"/>
          <w:szCs w:val="24"/>
        </w:rPr>
        <w:t>шрифт.</w:t>
      </w:r>
    </w:p>
    <w:p w14:paraId="3CB8BC17" w14:textId="56245DFA" w:rsidR="00C66201" w:rsidRPr="009F6D1E" w:rsidRDefault="001E44D1" w:rsidP="0084747F">
      <w:pPr>
        <w:pStyle w:val="Caption"/>
        <w:spacing w:after="60" w:line="264" w:lineRule="auto"/>
      </w:pPr>
      <w:bookmarkStart w:id="51" w:name="_Ref106448309"/>
      <w:bookmarkStart w:id="52" w:name="_Toc115255152"/>
      <w:r w:rsidRPr="009F6D1E">
        <w:lastRenderedPageBreak/>
        <w:t xml:space="preserve">Таблица </w:t>
      </w:r>
      <w:fldSimple w:instr=" SEQ Таблица \* ARABIC ">
        <w:r w:rsidR="00A43EF3">
          <w:rPr>
            <w:noProof/>
          </w:rPr>
          <w:t>1</w:t>
        </w:r>
      </w:fldSimple>
      <w:bookmarkEnd w:id="51"/>
      <w:r w:rsidRPr="009F6D1E">
        <w:t xml:space="preserve">: </w:t>
      </w:r>
      <w:bookmarkStart w:id="53" w:name="_Toc89242729"/>
      <w:r w:rsidR="00C66201" w:rsidRPr="009F6D1E">
        <w:t xml:space="preserve">Варианти на </w:t>
      </w:r>
      <w:r w:rsidR="00CD4045" w:rsidRPr="009F6D1E">
        <w:t>СПРЗСР</w:t>
      </w:r>
      <w:r w:rsidR="00C66201" w:rsidRPr="009F6D1E">
        <w:t xml:space="preserve"> 2023-2027</w:t>
      </w:r>
      <w:bookmarkEnd w:id="52"/>
    </w:p>
    <w:tbl>
      <w:tblPr>
        <w:tblStyle w:val="TableGrid"/>
        <w:tblW w:w="14879" w:type="dxa"/>
        <w:tblLook w:val="04A0" w:firstRow="1" w:lastRow="0" w:firstColumn="1" w:lastColumn="0" w:noHBand="0" w:noVBand="1"/>
      </w:tblPr>
      <w:tblGrid>
        <w:gridCol w:w="7366"/>
        <w:gridCol w:w="7513"/>
      </w:tblGrid>
      <w:tr w:rsidR="00F92FD2" w:rsidRPr="009F6D1E" w14:paraId="69D01468" w14:textId="77777777" w:rsidTr="00C66201">
        <w:trPr>
          <w:tblHeader/>
        </w:trPr>
        <w:tc>
          <w:tcPr>
            <w:tcW w:w="7366" w:type="dxa"/>
            <w:shd w:val="clear" w:color="auto" w:fill="BDD6EE" w:themeFill="accent5" w:themeFillTint="66"/>
          </w:tcPr>
          <w:bookmarkEnd w:id="53"/>
          <w:p w14:paraId="16149127" w14:textId="77777777" w:rsidR="00F92FD2" w:rsidRPr="009F6D1E" w:rsidRDefault="00354FC3" w:rsidP="0084747F">
            <w:pPr>
              <w:widowControl w:val="0"/>
              <w:tabs>
                <w:tab w:val="left" w:pos="5765"/>
              </w:tabs>
              <w:spacing w:after="60" w:line="264" w:lineRule="auto"/>
              <w:jc w:val="center"/>
              <w:rPr>
                <w:rFonts w:cs="Times New Roman"/>
                <w:b/>
                <w:bCs/>
              </w:rPr>
            </w:pPr>
            <w:r w:rsidRPr="009F6D1E">
              <w:rPr>
                <w:rFonts w:cs="Times New Roman"/>
                <w:b/>
                <w:bCs/>
              </w:rPr>
              <w:t>В</w:t>
            </w:r>
            <w:r w:rsidR="00D11943" w:rsidRPr="009F6D1E">
              <w:rPr>
                <w:rFonts w:cs="Times New Roman"/>
                <w:b/>
                <w:bCs/>
              </w:rPr>
              <w:t xml:space="preserve">ЕРСИЯ </w:t>
            </w:r>
            <w:r w:rsidRPr="009F6D1E">
              <w:rPr>
                <w:rFonts w:cs="Times New Roman"/>
                <w:b/>
                <w:bCs/>
              </w:rPr>
              <w:t xml:space="preserve"> 1</w:t>
            </w:r>
          </w:p>
        </w:tc>
        <w:tc>
          <w:tcPr>
            <w:tcW w:w="7513" w:type="dxa"/>
            <w:shd w:val="clear" w:color="auto" w:fill="BDD6EE" w:themeFill="accent5" w:themeFillTint="66"/>
          </w:tcPr>
          <w:p w14:paraId="2E1153FE" w14:textId="77777777" w:rsidR="00F92FD2" w:rsidRPr="009F6D1E" w:rsidRDefault="00354FC3" w:rsidP="0084747F">
            <w:pPr>
              <w:widowControl w:val="0"/>
              <w:tabs>
                <w:tab w:val="left" w:pos="5765"/>
              </w:tabs>
              <w:spacing w:after="60" w:line="264" w:lineRule="auto"/>
              <w:jc w:val="center"/>
              <w:rPr>
                <w:rFonts w:cs="Times New Roman"/>
                <w:b/>
                <w:bCs/>
              </w:rPr>
            </w:pPr>
            <w:r w:rsidRPr="009F6D1E">
              <w:rPr>
                <w:rFonts w:cs="Times New Roman"/>
                <w:b/>
                <w:bCs/>
              </w:rPr>
              <w:t>В</w:t>
            </w:r>
            <w:r w:rsidR="00D11943" w:rsidRPr="009F6D1E">
              <w:rPr>
                <w:rFonts w:cs="Times New Roman"/>
                <w:b/>
                <w:bCs/>
              </w:rPr>
              <w:t>АРИАНТ 1</w:t>
            </w:r>
          </w:p>
        </w:tc>
      </w:tr>
      <w:tr w:rsidR="00F92FD2" w:rsidRPr="009F6D1E" w14:paraId="7CA10229" w14:textId="77777777" w:rsidTr="00F92FD2">
        <w:tc>
          <w:tcPr>
            <w:tcW w:w="7366" w:type="dxa"/>
          </w:tcPr>
          <w:p w14:paraId="6EABD184" w14:textId="77777777" w:rsidR="00F92FD2" w:rsidRPr="009F6D1E" w:rsidRDefault="00D121EC" w:rsidP="0084747F">
            <w:pPr>
              <w:widowControl w:val="0"/>
              <w:tabs>
                <w:tab w:val="left" w:pos="5765"/>
              </w:tabs>
              <w:spacing w:after="60" w:line="264" w:lineRule="auto"/>
              <w:jc w:val="both"/>
              <w:rPr>
                <w:rFonts w:cs="Times New Roman"/>
                <w:color w:val="FF0000"/>
                <w:highlight w:val="yellow"/>
              </w:rPr>
            </w:pPr>
            <w:r w:rsidRPr="009F6D1E">
              <w:rPr>
                <w:rFonts w:cs="Times New Roman"/>
                <w:b/>
                <w:bCs/>
                <w:i/>
              </w:rPr>
              <w:t xml:space="preserve">Специфична цел №1: Подпомагане </w:t>
            </w:r>
            <w:r w:rsidRPr="009F6D1E">
              <w:rPr>
                <w:rFonts w:cs="Times New Roman"/>
                <w:b/>
                <w:bCs/>
                <w:i/>
                <w:color w:val="FF0000"/>
              </w:rPr>
              <w:t xml:space="preserve">на достатъчно </w:t>
            </w:r>
            <w:r w:rsidRPr="009F6D1E">
              <w:rPr>
                <w:rFonts w:cs="Times New Roman"/>
                <w:b/>
                <w:bCs/>
                <w:i/>
              </w:rPr>
              <w:t>надеждни земеделски доходи и устойчивост в целия ЕС с цел подобряване на производствената сигурност.</w:t>
            </w:r>
          </w:p>
        </w:tc>
        <w:tc>
          <w:tcPr>
            <w:tcW w:w="7513" w:type="dxa"/>
          </w:tcPr>
          <w:p w14:paraId="509198D5" w14:textId="77777777" w:rsidR="00F92FD2" w:rsidRPr="009F6D1E" w:rsidRDefault="00354FC3" w:rsidP="0084747F">
            <w:pPr>
              <w:spacing w:after="60" w:line="264" w:lineRule="auto"/>
              <w:jc w:val="both"/>
              <w:rPr>
                <w:rFonts w:cs="Times New Roman"/>
                <w:b/>
                <w:i/>
                <w:highlight w:val="yellow"/>
              </w:rPr>
            </w:pPr>
            <w:r w:rsidRPr="009F6D1E">
              <w:rPr>
                <w:rFonts w:cs="Times New Roman"/>
                <w:b/>
                <w:i/>
              </w:rPr>
              <w:t xml:space="preserve">Специфична цел №1: Подпомагане за надеждни земеделски доходи и устойчивост </w:t>
            </w:r>
            <w:r w:rsidRPr="009F6D1E">
              <w:rPr>
                <w:rFonts w:cs="Times New Roman"/>
                <w:b/>
                <w:i/>
                <w:color w:val="FF0000"/>
              </w:rPr>
              <w:t xml:space="preserve">на селскостопанския сектор </w:t>
            </w:r>
            <w:r w:rsidRPr="009F6D1E">
              <w:rPr>
                <w:rFonts w:cs="Times New Roman"/>
                <w:b/>
                <w:i/>
              </w:rPr>
              <w:t xml:space="preserve">в целия </w:t>
            </w:r>
            <w:r w:rsidRPr="009F6D1E">
              <w:rPr>
                <w:rFonts w:cs="Times New Roman"/>
                <w:b/>
                <w:i/>
                <w:color w:val="FF0000"/>
              </w:rPr>
              <w:t xml:space="preserve">Съюз </w:t>
            </w:r>
            <w:r w:rsidRPr="009F6D1E">
              <w:rPr>
                <w:rFonts w:cs="Times New Roman"/>
                <w:b/>
                <w:i/>
              </w:rPr>
              <w:t xml:space="preserve">с цел подобряване на </w:t>
            </w:r>
            <w:r w:rsidRPr="009F6D1E">
              <w:rPr>
                <w:rFonts w:cs="Times New Roman"/>
                <w:b/>
                <w:i/>
                <w:color w:val="FF0000"/>
              </w:rPr>
              <w:t xml:space="preserve">дългосрочната </w:t>
            </w:r>
            <w:r w:rsidRPr="009F6D1E">
              <w:rPr>
                <w:rFonts w:cs="Times New Roman"/>
                <w:b/>
                <w:i/>
              </w:rPr>
              <w:t xml:space="preserve">продоволствена сигурност </w:t>
            </w:r>
            <w:r w:rsidRPr="009F6D1E">
              <w:rPr>
                <w:rFonts w:cs="Times New Roman"/>
                <w:b/>
                <w:i/>
                <w:color w:val="FF0000"/>
              </w:rPr>
              <w:t>и разнообразието в селското стопанство, както и гарантиране на икономическата устойчивост на селскостопанското производство в Съюза</w:t>
            </w:r>
          </w:p>
        </w:tc>
      </w:tr>
      <w:tr w:rsidR="00354FC3" w:rsidRPr="009F6D1E" w14:paraId="4AA111FC" w14:textId="77777777" w:rsidTr="00F92FD2">
        <w:tc>
          <w:tcPr>
            <w:tcW w:w="7366" w:type="dxa"/>
          </w:tcPr>
          <w:p w14:paraId="47DCD67B"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xml:space="preserve">: </w:t>
            </w:r>
            <w:r w:rsidRPr="009F6D1E">
              <w:rPr>
                <w:rFonts w:cs="Times New Roman"/>
                <w:b/>
                <w:bCs/>
                <w:i/>
                <w:color w:val="FF0000"/>
              </w:rPr>
              <w:t xml:space="preserve">Сближаване </w:t>
            </w:r>
            <w:r w:rsidRPr="009F6D1E">
              <w:rPr>
                <w:rFonts w:cs="Times New Roman"/>
                <w:b/>
                <w:bCs/>
                <w:i/>
              </w:rPr>
              <w:t>на доходите на земеделските стопани със средното равнище на доходите в другите сектори на икономиката</w:t>
            </w:r>
          </w:p>
          <w:p w14:paraId="7E1D029F"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39FA9B14" w14:textId="77777777" w:rsidR="00F370CD" w:rsidRPr="009F6D1E" w:rsidRDefault="00D121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rPr>
              <w:t>Основно подпома</w:t>
            </w:r>
            <w:r w:rsidR="00290706" w:rsidRPr="009F6D1E">
              <w:rPr>
                <w:rFonts w:cs="Times New Roman"/>
                <w:i/>
              </w:rPr>
              <w:t>гане на доходите за устойчивост</w:t>
            </w:r>
            <w:r w:rsidRPr="009F6D1E">
              <w:rPr>
                <w:rFonts w:cs="Times New Roman"/>
                <w:i/>
              </w:rPr>
              <w:t xml:space="preserve"> </w:t>
            </w:r>
          </w:p>
          <w:p w14:paraId="5E1C17EB" w14:textId="77777777" w:rsidR="00354FC3" w:rsidRPr="009F6D1E" w:rsidRDefault="00D121EC" w:rsidP="0084747F">
            <w:pPr>
              <w:spacing w:after="60" w:line="264" w:lineRule="auto"/>
              <w:jc w:val="both"/>
              <w:rPr>
                <w:rFonts w:cs="Times New Roman"/>
                <w:highlight w:val="yellow"/>
              </w:rPr>
            </w:pPr>
            <w:r w:rsidRPr="009F6D1E">
              <w:rPr>
                <w:rFonts w:cs="Times New Roman"/>
                <w:i/>
              </w:rPr>
              <w:t xml:space="preserve">- </w:t>
            </w:r>
            <w:r w:rsidRPr="009F6D1E">
              <w:rPr>
                <w:rFonts w:cs="Times New Roman"/>
                <w:i/>
                <w:color w:val="FF0000"/>
              </w:rPr>
              <w:t>Прилагане на Схема за държавна помощ „Помощ под формата на отстъпка от стойността на акциза на газьола използван в първичното селскостопанско производство“</w:t>
            </w:r>
          </w:p>
        </w:tc>
        <w:tc>
          <w:tcPr>
            <w:tcW w:w="7513" w:type="dxa"/>
          </w:tcPr>
          <w:p w14:paraId="76CE8169" w14:textId="77777777" w:rsidR="00B436FA" w:rsidRPr="009F6D1E" w:rsidRDefault="00B436FA" w:rsidP="0084747F">
            <w:pPr>
              <w:spacing w:after="60" w:line="264" w:lineRule="auto"/>
              <w:jc w:val="both"/>
              <w:rPr>
                <w:rFonts w:cs="Times New Roman"/>
                <w:b/>
                <w:bCs/>
                <w:i/>
              </w:rPr>
            </w:pPr>
            <w:r w:rsidRPr="009F6D1E">
              <w:rPr>
                <w:rFonts w:cs="Times New Roman"/>
                <w:b/>
                <w:bCs/>
                <w:i/>
              </w:rPr>
              <w:t xml:space="preserve">П.1.1. </w:t>
            </w:r>
            <w:r w:rsidRPr="009F6D1E">
              <w:rPr>
                <w:rFonts w:cs="Times New Roman"/>
                <w:b/>
                <w:bCs/>
                <w:i/>
                <w:color w:val="FF0000"/>
              </w:rPr>
              <w:t xml:space="preserve">Необходимост от подпомагане </w:t>
            </w:r>
            <w:r w:rsidRPr="009F6D1E">
              <w:rPr>
                <w:rFonts w:cs="Times New Roman"/>
                <w:b/>
                <w:bCs/>
                <w:i/>
              </w:rPr>
              <w:t xml:space="preserve">на доходите на земеделските стопани, </w:t>
            </w:r>
            <w:r w:rsidRPr="009F6D1E">
              <w:rPr>
                <w:rFonts w:cs="Times New Roman"/>
                <w:b/>
                <w:bCs/>
                <w:i/>
                <w:color w:val="FF0000"/>
              </w:rPr>
              <w:t xml:space="preserve">с цел сближаването им </w:t>
            </w:r>
            <w:r w:rsidRPr="009F6D1E">
              <w:rPr>
                <w:rFonts w:cs="Times New Roman"/>
                <w:b/>
                <w:bCs/>
                <w:i/>
              </w:rPr>
              <w:t>със средното равнище на доходи в другите сектори в икономиката</w:t>
            </w:r>
          </w:p>
          <w:p w14:paraId="6B47A0B0" w14:textId="77777777" w:rsidR="00B436FA" w:rsidRPr="009F6D1E" w:rsidRDefault="00B436FA"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35EC7068" w14:textId="77777777" w:rsidR="00354FC3" w:rsidRPr="009F6D1E" w:rsidRDefault="00B436FA" w:rsidP="0084747F">
            <w:pPr>
              <w:spacing w:after="60" w:line="264" w:lineRule="auto"/>
              <w:jc w:val="both"/>
              <w:rPr>
                <w:rFonts w:cs="Times New Roman"/>
              </w:rPr>
            </w:pPr>
            <w:r w:rsidRPr="009F6D1E">
              <w:rPr>
                <w:rFonts w:cs="Times New Roman"/>
                <w:i/>
              </w:rPr>
              <w:t>- Основно подпомагане на доходите за устойчивост</w:t>
            </w:r>
            <w:r w:rsidR="00354FC3" w:rsidRPr="009F6D1E">
              <w:rPr>
                <w:rFonts w:cs="Times New Roman"/>
              </w:rPr>
              <w:t>.</w:t>
            </w:r>
          </w:p>
        </w:tc>
      </w:tr>
      <w:tr w:rsidR="00354FC3" w:rsidRPr="009F6D1E" w14:paraId="4562DD2D" w14:textId="77777777" w:rsidTr="00F92FD2">
        <w:tc>
          <w:tcPr>
            <w:tcW w:w="7366" w:type="dxa"/>
          </w:tcPr>
          <w:p w14:paraId="203BBFF9" w14:textId="77777777" w:rsidR="00D121EC" w:rsidRPr="009F6D1E" w:rsidRDefault="00D121EC" w:rsidP="0084747F">
            <w:pPr>
              <w:widowControl w:val="0"/>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xml:space="preserve">: Повишаване на ефективността на подкрепата на </w:t>
            </w:r>
            <w:r w:rsidRPr="009F6D1E">
              <w:rPr>
                <w:rFonts w:cs="Times New Roman"/>
                <w:b/>
                <w:bCs/>
                <w:i/>
                <w:color w:val="FF0000"/>
              </w:rPr>
              <w:t xml:space="preserve">земеделските </w:t>
            </w:r>
            <w:r w:rsidRPr="009F6D1E">
              <w:rPr>
                <w:rFonts w:cs="Times New Roman"/>
                <w:b/>
                <w:bCs/>
                <w:i/>
              </w:rPr>
              <w:t>стопанства;</w:t>
            </w:r>
          </w:p>
          <w:p w14:paraId="2F407B9D"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57D30CCD" w14:textId="77777777" w:rsidR="00D121EC" w:rsidRPr="009F6D1E" w:rsidRDefault="00D121EC" w:rsidP="0084747F">
            <w:pPr>
              <w:spacing w:after="60" w:line="264" w:lineRule="auto"/>
              <w:jc w:val="both"/>
              <w:rPr>
                <w:rFonts w:cs="Times New Roman"/>
                <w:i/>
              </w:rPr>
            </w:pPr>
            <w:r w:rsidRPr="009F6D1E">
              <w:rPr>
                <w:rFonts w:cs="Times New Roman"/>
                <w:b/>
                <w:bCs/>
                <w:i/>
              </w:rPr>
              <w:t xml:space="preserve">- </w:t>
            </w:r>
            <w:r w:rsidRPr="009F6D1E">
              <w:rPr>
                <w:rFonts w:cs="Times New Roman"/>
                <w:i/>
              </w:rPr>
              <w:t>Допълнително преразпределително подпомагане на доходите за устойчивост;</w:t>
            </w:r>
          </w:p>
          <w:p w14:paraId="569EFB59" w14:textId="77777777" w:rsidR="00354FC3"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i/>
              </w:rPr>
              <w:t xml:space="preserve">- Плащане за </w:t>
            </w:r>
            <w:r w:rsidRPr="009F6D1E">
              <w:rPr>
                <w:rFonts w:cs="Times New Roman"/>
                <w:i/>
                <w:color w:val="FF0000"/>
              </w:rPr>
              <w:t xml:space="preserve">дребни </w:t>
            </w:r>
            <w:r w:rsidRPr="009F6D1E">
              <w:rPr>
                <w:rFonts w:cs="Times New Roman"/>
                <w:i/>
              </w:rPr>
              <w:t>земеделски стопани</w:t>
            </w:r>
          </w:p>
        </w:tc>
        <w:tc>
          <w:tcPr>
            <w:tcW w:w="7513" w:type="dxa"/>
          </w:tcPr>
          <w:p w14:paraId="2C1D6E3C" w14:textId="77777777" w:rsidR="009322EA" w:rsidRPr="009F6D1E" w:rsidRDefault="009322EA" w:rsidP="0084747F">
            <w:pPr>
              <w:widowControl w:val="0"/>
              <w:spacing w:after="60" w:line="264" w:lineRule="auto"/>
              <w:jc w:val="both"/>
              <w:rPr>
                <w:rFonts w:cs="Times New Roman"/>
                <w:b/>
                <w:bCs/>
                <w:i/>
              </w:rPr>
            </w:pPr>
            <w:r w:rsidRPr="009F6D1E">
              <w:rPr>
                <w:rFonts w:cs="Times New Roman"/>
                <w:b/>
                <w:bCs/>
                <w:i/>
              </w:rPr>
              <w:t xml:space="preserve">П.1.2. Повишаване на ефективността на подкрепата и увеличаване на </w:t>
            </w:r>
            <w:r w:rsidRPr="009F6D1E">
              <w:rPr>
                <w:rFonts w:cs="Times New Roman"/>
                <w:b/>
                <w:bCs/>
                <w:i/>
                <w:color w:val="FF0000"/>
              </w:rPr>
              <w:t xml:space="preserve">икономическия потенциал на малките и средни </w:t>
            </w:r>
            <w:r w:rsidRPr="009F6D1E">
              <w:rPr>
                <w:rFonts w:cs="Times New Roman"/>
                <w:b/>
                <w:bCs/>
                <w:i/>
              </w:rPr>
              <w:t>стопанства</w:t>
            </w:r>
          </w:p>
          <w:p w14:paraId="001AB2AA" w14:textId="77777777" w:rsidR="009322EA" w:rsidRPr="009F6D1E" w:rsidRDefault="009322EA"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1B44E672" w14:textId="77777777" w:rsidR="009322EA" w:rsidRPr="009F6D1E" w:rsidRDefault="009322EA" w:rsidP="0084747F">
            <w:pPr>
              <w:spacing w:after="60" w:line="264" w:lineRule="auto"/>
              <w:jc w:val="both"/>
              <w:rPr>
                <w:rFonts w:cs="Times New Roman"/>
                <w:i/>
              </w:rPr>
            </w:pPr>
            <w:r w:rsidRPr="009F6D1E">
              <w:rPr>
                <w:rFonts w:cs="Times New Roman"/>
                <w:b/>
                <w:bCs/>
                <w:i/>
              </w:rPr>
              <w:t xml:space="preserve">- </w:t>
            </w:r>
            <w:r w:rsidRPr="009F6D1E">
              <w:rPr>
                <w:rFonts w:cs="Times New Roman"/>
                <w:i/>
              </w:rPr>
              <w:t>Допълнително преразпределително подпомагане на доходите за устойчивост;</w:t>
            </w:r>
          </w:p>
          <w:p w14:paraId="3D497038" w14:textId="77777777" w:rsidR="00354FC3" w:rsidRPr="009F6D1E" w:rsidRDefault="009322EA" w:rsidP="0084747F">
            <w:pPr>
              <w:spacing w:after="60" w:line="264" w:lineRule="auto"/>
              <w:jc w:val="both"/>
              <w:rPr>
                <w:rFonts w:cs="Times New Roman"/>
              </w:rPr>
            </w:pPr>
            <w:r w:rsidRPr="009F6D1E">
              <w:rPr>
                <w:rFonts w:cs="Times New Roman"/>
                <w:i/>
              </w:rPr>
              <w:t xml:space="preserve">- Плащания за </w:t>
            </w:r>
            <w:r w:rsidRPr="009F6D1E">
              <w:rPr>
                <w:rFonts w:cs="Times New Roman"/>
                <w:i/>
                <w:color w:val="FF0000"/>
              </w:rPr>
              <w:t xml:space="preserve">малки </w:t>
            </w:r>
            <w:r w:rsidRPr="009F6D1E">
              <w:rPr>
                <w:rFonts w:cs="Times New Roman"/>
                <w:i/>
              </w:rPr>
              <w:t>земеделски стопани</w:t>
            </w:r>
          </w:p>
        </w:tc>
      </w:tr>
      <w:tr w:rsidR="00354FC3" w:rsidRPr="009F6D1E" w14:paraId="6E446394" w14:textId="77777777" w:rsidTr="00F92FD2">
        <w:tc>
          <w:tcPr>
            <w:tcW w:w="7366" w:type="dxa"/>
          </w:tcPr>
          <w:p w14:paraId="7CCBD01A"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lastRenderedPageBreak/>
              <w:t>Потребност 3:</w:t>
            </w:r>
            <w:r w:rsidRPr="009F6D1E">
              <w:rPr>
                <w:rFonts w:cs="Times New Roman"/>
                <w:b/>
                <w:bCs/>
                <w:i/>
              </w:rPr>
              <w:t xml:space="preserve"> Увеличаване на икономическия потенциал </w:t>
            </w:r>
            <w:r w:rsidRPr="009F6D1E">
              <w:rPr>
                <w:rFonts w:cs="Times New Roman"/>
                <w:b/>
                <w:bCs/>
                <w:i/>
                <w:color w:val="FF0000"/>
              </w:rPr>
              <w:t>на малките и средните стопанства</w:t>
            </w:r>
            <w:r w:rsidRPr="009F6D1E">
              <w:rPr>
                <w:rFonts w:cs="Times New Roman"/>
                <w:b/>
                <w:bCs/>
                <w:i/>
              </w:rPr>
              <w:t>;</w:t>
            </w:r>
          </w:p>
          <w:p w14:paraId="31FB5D99"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3427CA5" w14:textId="77777777" w:rsidR="00D121EC" w:rsidRPr="009F6D1E" w:rsidRDefault="00D121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Допълнително преразпределително подпомагане на доходите за устойчивост;</w:t>
            </w:r>
          </w:p>
          <w:p w14:paraId="78B4730C" w14:textId="77777777" w:rsidR="00354FC3"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i/>
                <w:color w:val="FF0000"/>
              </w:rPr>
              <w:t>- Плащане за дребни земеделски стопани</w:t>
            </w:r>
          </w:p>
        </w:tc>
        <w:tc>
          <w:tcPr>
            <w:tcW w:w="7513" w:type="dxa"/>
          </w:tcPr>
          <w:p w14:paraId="3DAE7A89" w14:textId="77777777" w:rsidR="009322EA" w:rsidRPr="009F6D1E" w:rsidRDefault="009322EA" w:rsidP="0084747F">
            <w:pPr>
              <w:spacing w:after="60" w:line="264" w:lineRule="auto"/>
              <w:jc w:val="both"/>
              <w:rPr>
                <w:rFonts w:cs="Times New Roman"/>
                <w:b/>
                <w:bCs/>
                <w:i/>
              </w:rPr>
            </w:pPr>
            <w:r w:rsidRPr="009F6D1E">
              <w:rPr>
                <w:rFonts w:cs="Times New Roman"/>
                <w:b/>
                <w:bCs/>
                <w:i/>
              </w:rPr>
              <w:t xml:space="preserve">П.1.3. </w:t>
            </w:r>
            <w:r w:rsidRPr="009F6D1E">
              <w:rPr>
                <w:rFonts w:cs="Times New Roman"/>
                <w:b/>
                <w:bCs/>
                <w:i/>
                <w:color w:val="FF0000"/>
              </w:rPr>
              <w:t xml:space="preserve">Потребност от подпомагане на земеделските стопанства в секторите зеленчуци, трайни насаждения и преживни животни за </w:t>
            </w:r>
            <w:r w:rsidRPr="009F6D1E">
              <w:rPr>
                <w:rFonts w:cs="Times New Roman"/>
                <w:b/>
                <w:bCs/>
                <w:i/>
              </w:rPr>
              <w:t>увеличаване на икономическия им потенциал</w:t>
            </w:r>
          </w:p>
          <w:p w14:paraId="699FB840" w14:textId="77777777" w:rsidR="009322EA" w:rsidRPr="009F6D1E" w:rsidRDefault="009322EA"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F6C7154" w14:textId="77777777" w:rsidR="00354FC3" w:rsidRPr="009F6D1E" w:rsidRDefault="009322EA" w:rsidP="0084747F">
            <w:pPr>
              <w:spacing w:after="60" w:line="264" w:lineRule="auto"/>
              <w:jc w:val="both"/>
              <w:rPr>
                <w:rFonts w:cs="Times New Roman"/>
              </w:rPr>
            </w:pPr>
            <w:r w:rsidRPr="009F6D1E">
              <w:rPr>
                <w:rFonts w:cs="Times New Roman"/>
                <w:b/>
                <w:bCs/>
                <w:i/>
                <w:color w:val="FF0000"/>
              </w:rPr>
              <w:t xml:space="preserve">- </w:t>
            </w:r>
            <w:r w:rsidRPr="009F6D1E">
              <w:rPr>
                <w:rFonts w:cs="Times New Roman"/>
                <w:i/>
                <w:color w:val="FF0000"/>
              </w:rPr>
              <w:t>Обвързано с производството подпомагане на доходите</w:t>
            </w:r>
          </w:p>
        </w:tc>
      </w:tr>
      <w:tr w:rsidR="00354FC3" w:rsidRPr="009F6D1E" w14:paraId="187D2784" w14:textId="77777777" w:rsidTr="00F92FD2">
        <w:tc>
          <w:tcPr>
            <w:tcW w:w="7366" w:type="dxa"/>
          </w:tcPr>
          <w:p w14:paraId="50AD0A38"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Потребност 4</w:t>
            </w:r>
            <w:r w:rsidRPr="009F6D1E">
              <w:rPr>
                <w:rFonts w:cs="Times New Roman"/>
                <w:b/>
                <w:bCs/>
                <w:i/>
                <w:color w:val="FF0000"/>
              </w:rPr>
              <w:t>: Увеличаване на икономическия потенциал на зеленчуци, трайни насаждения и тревопасни животни;</w:t>
            </w:r>
          </w:p>
          <w:p w14:paraId="196DDE16"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26EDC05E" w14:textId="77777777" w:rsidR="00D121EC" w:rsidRPr="009F6D1E" w:rsidRDefault="00D121EC"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Обвързано с производството подпомагане на доходите</w:t>
            </w:r>
          </w:p>
          <w:p w14:paraId="09F9AFD7" w14:textId="77777777" w:rsidR="00D121EC" w:rsidRPr="009F6D1E" w:rsidRDefault="00D121EC" w:rsidP="0084747F">
            <w:pPr>
              <w:spacing w:after="60" w:line="264" w:lineRule="auto"/>
              <w:jc w:val="both"/>
              <w:rPr>
                <w:rFonts w:cs="Times New Roman"/>
                <w:i/>
                <w:color w:val="FF0000"/>
              </w:rPr>
            </w:pPr>
            <w:r w:rsidRPr="009F6D1E">
              <w:rPr>
                <w:rFonts w:cs="Times New Roman"/>
                <w:i/>
                <w:color w:val="FF0000"/>
              </w:rPr>
              <w:t>- Допълнително преразпределително подпомагане на доходите за устойчивост</w:t>
            </w:r>
          </w:p>
          <w:p w14:paraId="4ADB8ED7" w14:textId="77777777" w:rsidR="00354FC3" w:rsidRPr="009F6D1E" w:rsidRDefault="00D121EC" w:rsidP="0084747F">
            <w:pPr>
              <w:widowControl w:val="0"/>
              <w:tabs>
                <w:tab w:val="left" w:pos="5765"/>
              </w:tabs>
              <w:spacing w:after="60" w:line="264" w:lineRule="auto"/>
              <w:jc w:val="both"/>
              <w:rPr>
                <w:rFonts w:cs="Times New Roman"/>
                <w:color w:val="FF0000"/>
                <w:highlight w:val="yellow"/>
              </w:rPr>
            </w:pPr>
            <w:r w:rsidRPr="009F6D1E">
              <w:rPr>
                <w:rFonts w:cs="Times New Roman"/>
                <w:i/>
                <w:color w:val="FF0000"/>
              </w:rPr>
              <w:t>- Инвестиции в земеделски стопанства чрез преотстъпване на корпоративен данък</w:t>
            </w:r>
          </w:p>
        </w:tc>
        <w:tc>
          <w:tcPr>
            <w:tcW w:w="7513" w:type="dxa"/>
          </w:tcPr>
          <w:p w14:paraId="6403AFBC" w14:textId="77777777" w:rsidR="009322EA" w:rsidRPr="009F6D1E" w:rsidRDefault="009322EA" w:rsidP="0084747F">
            <w:pPr>
              <w:spacing w:after="60" w:line="264" w:lineRule="auto"/>
              <w:jc w:val="both"/>
              <w:rPr>
                <w:rFonts w:cs="Times New Roman"/>
                <w:b/>
                <w:bCs/>
                <w:i/>
                <w:color w:val="FF0000"/>
              </w:rPr>
            </w:pPr>
            <w:r w:rsidRPr="009F6D1E">
              <w:rPr>
                <w:rFonts w:cs="Times New Roman"/>
                <w:b/>
                <w:bCs/>
                <w:i/>
                <w:color w:val="FF0000"/>
              </w:rPr>
              <w:t>П.1.4. Укрепване жизнеспособността на земеделските стопанства в районите с природни и други ограничения</w:t>
            </w:r>
          </w:p>
          <w:p w14:paraId="7C79B322" w14:textId="77777777" w:rsidR="009322EA" w:rsidRPr="009F6D1E" w:rsidRDefault="009322EA"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63DA1882" w14:textId="77777777" w:rsidR="009322EA" w:rsidRPr="009F6D1E" w:rsidRDefault="009322EA"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Подпомагане за райони, изправени пред природни или други специфични ограничения</w:t>
            </w:r>
          </w:p>
          <w:p w14:paraId="40EB287D" w14:textId="77777777" w:rsidR="00354FC3" w:rsidRPr="009F6D1E" w:rsidRDefault="009322EA" w:rsidP="0084747F">
            <w:pPr>
              <w:spacing w:after="60" w:line="264" w:lineRule="auto"/>
              <w:jc w:val="both"/>
              <w:rPr>
                <w:rFonts w:cs="Times New Roman"/>
                <w:color w:val="FF0000"/>
              </w:rPr>
            </w:pPr>
            <w:r w:rsidRPr="009F6D1E">
              <w:rPr>
                <w:rFonts w:cs="Times New Roman"/>
                <w:i/>
                <w:color w:val="FF0000"/>
              </w:rPr>
              <w:t>- Плащания за земеделски земи в зони от Натура 2000</w:t>
            </w:r>
          </w:p>
        </w:tc>
      </w:tr>
      <w:tr w:rsidR="00354FC3" w:rsidRPr="009F6D1E" w14:paraId="0EF40A0F" w14:textId="77777777" w:rsidTr="00F92FD2">
        <w:tc>
          <w:tcPr>
            <w:tcW w:w="7366" w:type="dxa"/>
          </w:tcPr>
          <w:p w14:paraId="1461C035" w14:textId="77777777" w:rsidR="00D121EC" w:rsidRPr="009F6D1E" w:rsidRDefault="00D121EC" w:rsidP="0084747F">
            <w:pPr>
              <w:widowControl w:val="0"/>
              <w:spacing w:after="60" w:line="264" w:lineRule="auto"/>
              <w:jc w:val="both"/>
              <w:rPr>
                <w:rFonts w:cs="Times New Roman"/>
                <w:b/>
                <w:bCs/>
                <w:i/>
                <w:color w:val="FF0000"/>
              </w:rPr>
            </w:pPr>
            <w:r w:rsidRPr="009F6D1E">
              <w:rPr>
                <w:rFonts w:cs="Times New Roman"/>
                <w:b/>
                <w:bCs/>
                <w:i/>
                <w:color w:val="FF0000"/>
                <w:u w:val="single"/>
              </w:rPr>
              <w:t>Потребност 5</w:t>
            </w:r>
            <w:r w:rsidRPr="009F6D1E">
              <w:rPr>
                <w:rFonts w:cs="Times New Roman"/>
                <w:b/>
                <w:bCs/>
                <w:i/>
                <w:color w:val="FF0000"/>
              </w:rPr>
              <w:t>: Укрепване жизнеспособността на земеделските стопанства в районите с природни и други ограничения;</w:t>
            </w:r>
          </w:p>
          <w:p w14:paraId="05176F26"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Интервенция</w:t>
            </w:r>
            <w:r w:rsidRPr="009F6D1E">
              <w:rPr>
                <w:rFonts w:cs="Times New Roman"/>
                <w:b/>
                <w:bCs/>
                <w:i/>
                <w:color w:val="FF0000"/>
              </w:rPr>
              <w:t xml:space="preserve">: </w:t>
            </w:r>
          </w:p>
          <w:p w14:paraId="6F0FB9A0" w14:textId="77777777" w:rsidR="00354FC3" w:rsidRPr="009F6D1E" w:rsidRDefault="00D121EC" w:rsidP="0084747F">
            <w:pPr>
              <w:spacing w:after="60" w:line="264" w:lineRule="auto"/>
              <w:jc w:val="both"/>
              <w:rPr>
                <w:rFonts w:cs="Times New Roman"/>
                <w:color w:val="FF0000"/>
                <w:highlight w:val="yellow"/>
              </w:rPr>
            </w:pPr>
            <w:r w:rsidRPr="009F6D1E">
              <w:rPr>
                <w:rFonts w:cs="Times New Roman"/>
                <w:b/>
                <w:bCs/>
                <w:i/>
                <w:color w:val="FF0000"/>
              </w:rPr>
              <w:t xml:space="preserve">- </w:t>
            </w:r>
            <w:r w:rsidRPr="009F6D1E">
              <w:rPr>
                <w:rFonts w:cs="Times New Roman"/>
                <w:i/>
                <w:color w:val="FF0000"/>
              </w:rPr>
              <w:t>Природни или други спе</w:t>
            </w:r>
            <w:r w:rsidR="00F370CD" w:rsidRPr="009F6D1E">
              <w:rPr>
                <w:rFonts w:cs="Times New Roman"/>
                <w:i/>
                <w:color w:val="FF0000"/>
              </w:rPr>
              <w:t>цифични за района ограничения</w:t>
            </w:r>
          </w:p>
        </w:tc>
        <w:tc>
          <w:tcPr>
            <w:tcW w:w="7513" w:type="dxa"/>
          </w:tcPr>
          <w:p w14:paraId="49513180" w14:textId="77777777" w:rsidR="009322EA" w:rsidRPr="009F6D1E" w:rsidRDefault="009322EA" w:rsidP="0084747F">
            <w:pPr>
              <w:widowControl w:val="0"/>
              <w:spacing w:after="60" w:line="264" w:lineRule="auto"/>
              <w:jc w:val="both"/>
              <w:rPr>
                <w:rFonts w:cs="Times New Roman"/>
                <w:b/>
                <w:bCs/>
                <w:i/>
                <w:color w:val="FF0000"/>
              </w:rPr>
            </w:pPr>
            <w:r w:rsidRPr="009F6D1E">
              <w:rPr>
                <w:rFonts w:cs="Times New Roman"/>
                <w:b/>
                <w:bCs/>
                <w:i/>
                <w:color w:val="FF0000"/>
              </w:rPr>
              <w:t>П.1.5.Надграждане и диверсифициране на системата за управление на риска и управление на кризите в земеделието</w:t>
            </w:r>
          </w:p>
          <w:p w14:paraId="4AE4D770" w14:textId="77777777" w:rsidR="009322EA" w:rsidRPr="009F6D1E" w:rsidRDefault="009322EA" w:rsidP="0084747F">
            <w:pPr>
              <w:spacing w:after="60" w:line="264" w:lineRule="auto"/>
              <w:jc w:val="both"/>
              <w:rPr>
                <w:rFonts w:cs="Times New Roman"/>
                <w:b/>
                <w:bCs/>
                <w:i/>
                <w:color w:val="FF0000"/>
              </w:rPr>
            </w:pPr>
            <w:r w:rsidRPr="009F6D1E">
              <w:rPr>
                <w:rFonts w:cs="Times New Roman"/>
                <w:b/>
                <w:bCs/>
                <w:i/>
                <w:color w:val="FF0000"/>
                <w:u w:val="single"/>
              </w:rPr>
              <w:t>Интервенция</w:t>
            </w:r>
            <w:r w:rsidRPr="009F6D1E">
              <w:rPr>
                <w:rFonts w:cs="Times New Roman"/>
                <w:b/>
                <w:bCs/>
                <w:i/>
                <w:color w:val="FF0000"/>
              </w:rPr>
              <w:t>:</w:t>
            </w:r>
          </w:p>
          <w:p w14:paraId="4829B8A8" w14:textId="77777777" w:rsidR="009322EA" w:rsidRPr="009F6D1E" w:rsidRDefault="009322EA"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Възстановяването на земеделски потенциал след природни бедствия или катастрофични събития и инвестиции в подходящи превантивни действия;</w:t>
            </w:r>
          </w:p>
          <w:p w14:paraId="039DDE20" w14:textId="77777777" w:rsidR="009322EA" w:rsidRPr="009F6D1E" w:rsidRDefault="009322EA" w:rsidP="0084747F">
            <w:pPr>
              <w:spacing w:after="60" w:line="264" w:lineRule="auto"/>
              <w:jc w:val="both"/>
              <w:rPr>
                <w:rFonts w:cs="Times New Roman"/>
                <w:i/>
                <w:color w:val="FF0000"/>
              </w:rPr>
            </w:pPr>
            <w:r w:rsidRPr="009F6D1E">
              <w:rPr>
                <w:rFonts w:cs="Times New Roman"/>
                <w:i/>
                <w:color w:val="FF0000"/>
              </w:rPr>
              <w:t>-</w:t>
            </w:r>
            <w:r w:rsidRPr="009F6D1E">
              <w:rPr>
                <w:rFonts w:cs="Times New Roman"/>
                <w:color w:val="FF0000"/>
              </w:rPr>
              <w:t xml:space="preserve"> </w:t>
            </w:r>
            <w:r w:rsidRPr="009F6D1E">
              <w:rPr>
                <w:rFonts w:cs="Times New Roman"/>
                <w:i/>
                <w:color w:val="FF0000"/>
              </w:rPr>
              <w:t xml:space="preserve">Събиране на реколтата на зелено </w:t>
            </w:r>
          </w:p>
          <w:p w14:paraId="5A5F23FA" w14:textId="77777777" w:rsidR="00354FC3" w:rsidRPr="009F6D1E" w:rsidRDefault="009322EA" w:rsidP="0084747F">
            <w:pPr>
              <w:spacing w:after="60" w:line="264" w:lineRule="auto"/>
              <w:jc w:val="both"/>
              <w:rPr>
                <w:rFonts w:cs="Times New Roman"/>
                <w:color w:val="FF0000"/>
              </w:rPr>
            </w:pPr>
            <w:r w:rsidRPr="009F6D1E">
              <w:rPr>
                <w:rFonts w:cs="Times New Roman"/>
                <w:i/>
                <w:color w:val="FF0000"/>
              </w:rPr>
              <w:lastRenderedPageBreak/>
              <w:t>- Застраховане на реколтата</w:t>
            </w:r>
          </w:p>
        </w:tc>
      </w:tr>
      <w:tr w:rsidR="00354FC3" w:rsidRPr="009F6D1E" w14:paraId="7148FCA3" w14:textId="77777777" w:rsidTr="00F92FD2">
        <w:tc>
          <w:tcPr>
            <w:tcW w:w="7366" w:type="dxa"/>
          </w:tcPr>
          <w:p w14:paraId="4332ABEE"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lastRenderedPageBreak/>
              <w:t>Потребност 6:</w:t>
            </w:r>
            <w:r w:rsidRPr="009F6D1E">
              <w:rPr>
                <w:rFonts w:cs="Times New Roman"/>
                <w:b/>
                <w:bCs/>
                <w:i/>
                <w:color w:val="FF0000"/>
              </w:rPr>
              <w:t xml:space="preserve"> </w:t>
            </w:r>
            <w:r w:rsidRPr="009F6D1E">
              <w:rPr>
                <w:rFonts w:cs="Times New Roman"/>
                <w:b/>
                <w:bCs/>
                <w:i/>
                <w:color w:val="FF0000"/>
              </w:rPr>
              <w:tab/>
              <w:t>Адаптиране на системата за използването на трансфера на знания към нуждите на земеделските стопанства, включително свързани с възможностите за внедряване на иновации и цифрови технологии, и иновациите в селското стопанство с оглед повишаване на тяхната доходност;</w:t>
            </w:r>
          </w:p>
          <w:p w14:paraId="09FA9212" w14:textId="77777777" w:rsidR="00354FC3" w:rsidRPr="009F6D1E" w:rsidRDefault="00D121EC" w:rsidP="0084747F">
            <w:pPr>
              <w:widowControl w:val="0"/>
              <w:tabs>
                <w:tab w:val="left" w:pos="5765"/>
              </w:tabs>
              <w:spacing w:after="60" w:line="264" w:lineRule="auto"/>
              <w:jc w:val="both"/>
              <w:rPr>
                <w:rFonts w:cs="Times New Roman"/>
                <w:color w:val="FF0000"/>
                <w:highlight w:val="yellow"/>
              </w:rPr>
            </w:pPr>
            <w:r w:rsidRPr="009F6D1E">
              <w:rPr>
                <w:rFonts w:cs="Times New Roman"/>
                <w:b/>
                <w:bCs/>
                <w:i/>
                <w:color w:val="FF0000"/>
                <w:u w:val="single"/>
              </w:rPr>
              <w:t>Интервенции</w:t>
            </w:r>
            <w:r w:rsidRPr="009F6D1E">
              <w:rPr>
                <w:rFonts w:cs="Times New Roman"/>
                <w:b/>
                <w:bCs/>
                <w:i/>
                <w:color w:val="FF0000"/>
              </w:rPr>
              <w:t>: -</w:t>
            </w:r>
          </w:p>
        </w:tc>
        <w:tc>
          <w:tcPr>
            <w:tcW w:w="7513" w:type="dxa"/>
          </w:tcPr>
          <w:p w14:paraId="6CC27063" w14:textId="77777777" w:rsidR="009322EA" w:rsidRPr="009F6D1E" w:rsidRDefault="009322EA" w:rsidP="0084747F">
            <w:pPr>
              <w:spacing w:after="60" w:line="264" w:lineRule="auto"/>
              <w:jc w:val="both"/>
              <w:rPr>
                <w:rFonts w:cs="Times New Roman"/>
                <w:b/>
                <w:bCs/>
                <w:i/>
                <w:color w:val="FF0000"/>
              </w:rPr>
            </w:pPr>
            <w:r w:rsidRPr="009F6D1E">
              <w:rPr>
                <w:rFonts w:cs="Times New Roman"/>
                <w:b/>
                <w:bCs/>
                <w:i/>
                <w:color w:val="FF0000"/>
              </w:rPr>
              <w:t xml:space="preserve">П.1.6. Оптимизиране на възможностите за напояване за намаляване на негативните последици от проявлението на </w:t>
            </w:r>
            <w:proofErr w:type="spellStart"/>
            <w:r w:rsidRPr="009F6D1E">
              <w:rPr>
                <w:rFonts w:cs="Times New Roman"/>
                <w:b/>
                <w:bCs/>
                <w:i/>
                <w:color w:val="FF0000"/>
              </w:rPr>
              <w:t>природо</w:t>
            </w:r>
            <w:proofErr w:type="spellEnd"/>
            <w:r w:rsidRPr="009F6D1E">
              <w:rPr>
                <w:rFonts w:cs="Times New Roman"/>
                <w:b/>
                <w:bCs/>
                <w:i/>
                <w:color w:val="FF0000"/>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p>
          <w:p w14:paraId="7A5E7A7A" w14:textId="77777777" w:rsidR="009322EA" w:rsidRPr="009F6D1E" w:rsidRDefault="009322EA" w:rsidP="0084747F">
            <w:pPr>
              <w:spacing w:after="60" w:line="264" w:lineRule="auto"/>
              <w:jc w:val="both"/>
              <w:rPr>
                <w:rFonts w:cs="Times New Roman"/>
                <w:i/>
                <w:color w:val="FF0000"/>
              </w:rPr>
            </w:pPr>
            <w:r w:rsidRPr="009F6D1E">
              <w:rPr>
                <w:rFonts w:cs="Times New Roman"/>
                <w:b/>
                <w:bCs/>
                <w:i/>
                <w:color w:val="FF0000"/>
                <w:u w:val="single"/>
              </w:rPr>
              <w:t>Интервенции:</w:t>
            </w:r>
            <w:r w:rsidRPr="009F6D1E">
              <w:rPr>
                <w:rFonts w:cs="Times New Roman"/>
                <w:i/>
                <w:color w:val="FF0000"/>
              </w:rPr>
              <w:t xml:space="preserve"> </w:t>
            </w:r>
          </w:p>
          <w:p w14:paraId="158D858C" w14:textId="77777777" w:rsidR="00354FC3" w:rsidRPr="009F6D1E" w:rsidRDefault="009322EA" w:rsidP="0084747F">
            <w:pPr>
              <w:pStyle w:val="ListParagraph"/>
              <w:numPr>
                <w:ilvl w:val="0"/>
                <w:numId w:val="7"/>
              </w:numPr>
              <w:spacing w:after="60" w:line="264" w:lineRule="auto"/>
              <w:jc w:val="both"/>
              <w:rPr>
                <w:color w:val="FF0000"/>
                <w:sz w:val="22"/>
                <w:szCs w:val="22"/>
                <w:lang w:val="bg-BG"/>
              </w:rPr>
            </w:pPr>
            <w:r w:rsidRPr="009F6D1E">
              <w:rPr>
                <w:rFonts w:eastAsiaTheme="minorHAnsi"/>
                <w:i/>
                <w:color w:val="FF0000"/>
                <w:sz w:val="22"/>
                <w:szCs w:val="22"/>
                <w:lang w:val="bg-BG"/>
              </w:rPr>
              <w:t>Инвестиции в земеделски стопанства</w:t>
            </w:r>
          </w:p>
        </w:tc>
      </w:tr>
      <w:tr w:rsidR="00D121EC" w:rsidRPr="009F6D1E" w14:paraId="796E80D1" w14:textId="77777777" w:rsidTr="00F92FD2">
        <w:tc>
          <w:tcPr>
            <w:tcW w:w="7366" w:type="dxa"/>
          </w:tcPr>
          <w:p w14:paraId="1810DC93"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Потребност 7</w:t>
            </w:r>
            <w:r w:rsidRPr="009F6D1E">
              <w:rPr>
                <w:rFonts w:cs="Times New Roman"/>
                <w:b/>
                <w:bCs/>
                <w:i/>
                <w:color w:val="FF0000"/>
              </w:rPr>
              <w:t>: Надграждане и диверсификация на системата за управление на риска в земеделието;</w:t>
            </w:r>
          </w:p>
          <w:p w14:paraId="59EAA17B"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1941E0B9" w14:textId="77777777" w:rsidR="00D121EC" w:rsidRPr="009F6D1E" w:rsidRDefault="00F370CD" w:rsidP="0084747F">
            <w:pPr>
              <w:spacing w:after="60" w:line="264" w:lineRule="auto"/>
              <w:jc w:val="both"/>
              <w:rPr>
                <w:rFonts w:cs="Times New Roman"/>
                <w:i/>
                <w:color w:val="FF0000"/>
              </w:rPr>
            </w:pPr>
            <w:r w:rsidRPr="009F6D1E">
              <w:rPr>
                <w:rFonts w:cs="Times New Roman"/>
                <w:i/>
                <w:color w:val="FF0000"/>
              </w:rPr>
              <w:t xml:space="preserve">- </w:t>
            </w:r>
            <w:r w:rsidR="00D121EC" w:rsidRPr="009F6D1E">
              <w:rPr>
                <w:rFonts w:cs="Times New Roman"/>
                <w:i/>
                <w:color w:val="FF0000"/>
              </w:rPr>
              <w:t xml:space="preserve">Възстановяването на земеделски потенциал след природни бедствия или катастрофични събития и инвестиции в подходящи превантивни </w:t>
            </w:r>
            <w:r w:rsidRPr="009F6D1E">
              <w:rPr>
                <w:rFonts w:cs="Times New Roman"/>
                <w:i/>
                <w:color w:val="FF0000"/>
              </w:rPr>
              <w:t>действия</w:t>
            </w:r>
          </w:p>
          <w:p w14:paraId="0F56E869" w14:textId="77777777" w:rsidR="00D121EC" w:rsidRPr="009F6D1E" w:rsidRDefault="00F370CD" w:rsidP="0084747F">
            <w:pPr>
              <w:spacing w:after="60" w:line="264" w:lineRule="auto"/>
              <w:jc w:val="both"/>
              <w:rPr>
                <w:rFonts w:cs="Times New Roman"/>
                <w:b/>
                <w:bCs/>
                <w:i/>
                <w:color w:val="FF0000"/>
                <w:u w:val="single"/>
              </w:rPr>
            </w:pPr>
            <w:r w:rsidRPr="009F6D1E">
              <w:rPr>
                <w:rFonts w:cs="Times New Roman"/>
                <w:i/>
                <w:color w:val="FF0000"/>
              </w:rPr>
              <w:t xml:space="preserve">-  </w:t>
            </w:r>
            <w:r w:rsidR="00D121EC" w:rsidRPr="009F6D1E">
              <w:rPr>
                <w:rFonts w:cs="Times New Roman"/>
                <w:i/>
                <w:color w:val="FF0000"/>
              </w:rPr>
              <w:t>Инструменти за управление на риска</w:t>
            </w:r>
            <w:r w:rsidR="00D121EC" w:rsidRPr="009F6D1E">
              <w:rPr>
                <w:rFonts w:cs="Times New Roman"/>
                <w:b/>
                <w:bCs/>
                <w:i/>
                <w:color w:val="FF0000"/>
              </w:rPr>
              <w:t xml:space="preserve"> </w:t>
            </w:r>
          </w:p>
        </w:tc>
        <w:tc>
          <w:tcPr>
            <w:tcW w:w="7513" w:type="dxa"/>
          </w:tcPr>
          <w:p w14:paraId="141EB766" w14:textId="77777777" w:rsidR="00D121EC" w:rsidRPr="009F6D1E" w:rsidRDefault="00290706" w:rsidP="0084747F">
            <w:pPr>
              <w:spacing w:after="60" w:line="264" w:lineRule="auto"/>
              <w:jc w:val="both"/>
              <w:rPr>
                <w:rFonts w:cs="Times New Roman"/>
                <w:b/>
                <w:bCs/>
                <w:i/>
                <w:color w:val="FF0000"/>
              </w:rPr>
            </w:pPr>
            <w:r w:rsidRPr="009F6D1E">
              <w:rPr>
                <w:rFonts w:cs="Times New Roman"/>
                <w:b/>
                <w:bCs/>
                <w:i/>
                <w:color w:val="FF0000"/>
              </w:rPr>
              <w:t>-</w:t>
            </w:r>
          </w:p>
        </w:tc>
      </w:tr>
      <w:tr w:rsidR="00D121EC" w:rsidRPr="009F6D1E" w14:paraId="46FF4675" w14:textId="77777777" w:rsidTr="00F92FD2">
        <w:tc>
          <w:tcPr>
            <w:tcW w:w="7366" w:type="dxa"/>
          </w:tcPr>
          <w:p w14:paraId="1F50DE0B" w14:textId="77777777" w:rsidR="00D121EC" w:rsidRPr="009F6D1E" w:rsidRDefault="00D121EC" w:rsidP="0084747F">
            <w:pPr>
              <w:widowControl w:val="0"/>
              <w:spacing w:after="60" w:line="264" w:lineRule="auto"/>
              <w:jc w:val="both"/>
              <w:rPr>
                <w:rFonts w:cs="Times New Roman"/>
                <w:b/>
                <w:bCs/>
                <w:i/>
                <w:color w:val="FF0000"/>
              </w:rPr>
            </w:pPr>
            <w:r w:rsidRPr="009F6D1E">
              <w:rPr>
                <w:rFonts w:cs="Times New Roman"/>
                <w:b/>
                <w:bCs/>
                <w:i/>
                <w:color w:val="FF0000"/>
                <w:u w:val="single"/>
              </w:rPr>
              <w:t>Потребност 8</w:t>
            </w:r>
            <w:r w:rsidRPr="009F6D1E">
              <w:rPr>
                <w:rFonts w:cs="Times New Roman"/>
                <w:b/>
                <w:bCs/>
                <w:i/>
                <w:color w:val="FF0000"/>
              </w:rPr>
              <w:t>: Оптимизиране на възможностите за напояване за намаляване на негативните последици от проявлението на природно-климатичните рискове и увеличаване на добивите.</w:t>
            </w:r>
          </w:p>
          <w:p w14:paraId="7C63193E"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color w:val="FF0000"/>
                <w:u w:val="single"/>
              </w:rPr>
              <w:t>Интервенция</w:t>
            </w:r>
            <w:r w:rsidRPr="009F6D1E">
              <w:rPr>
                <w:rFonts w:cs="Times New Roman"/>
                <w:b/>
                <w:bCs/>
                <w:i/>
                <w:color w:val="FF0000"/>
              </w:rPr>
              <w:t xml:space="preserve">: </w:t>
            </w:r>
          </w:p>
          <w:p w14:paraId="00CC6A25" w14:textId="77777777" w:rsidR="00D121EC" w:rsidRPr="009F6D1E" w:rsidRDefault="00D121EC" w:rsidP="0084747F">
            <w:pPr>
              <w:spacing w:after="60" w:line="264" w:lineRule="auto"/>
              <w:jc w:val="both"/>
              <w:rPr>
                <w:rFonts w:cs="Times New Roman"/>
                <w:b/>
                <w:bCs/>
                <w:i/>
                <w:color w:val="FF0000"/>
                <w:u w:val="single"/>
              </w:rPr>
            </w:pPr>
            <w:r w:rsidRPr="009F6D1E">
              <w:rPr>
                <w:rFonts w:cs="Times New Roman"/>
                <w:i/>
                <w:color w:val="FF0000"/>
              </w:rPr>
              <w:t>- Инвестиции в земеделски стопанства“ – чл. 64, б. „г“ от ЕЗФРСР</w:t>
            </w:r>
          </w:p>
        </w:tc>
        <w:tc>
          <w:tcPr>
            <w:tcW w:w="7513" w:type="dxa"/>
          </w:tcPr>
          <w:p w14:paraId="3D10C26B" w14:textId="77777777" w:rsidR="00D121EC" w:rsidRPr="009F6D1E" w:rsidRDefault="00290706" w:rsidP="0084747F">
            <w:pPr>
              <w:spacing w:after="60" w:line="264" w:lineRule="auto"/>
              <w:jc w:val="both"/>
              <w:rPr>
                <w:rFonts w:cs="Times New Roman"/>
                <w:b/>
                <w:bCs/>
                <w:i/>
                <w:color w:val="FF0000"/>
              </w:rPr>
            </w:pPr>
            <w:r w:rsidRPr="009F6D1E">
              <w:rPr>
                <w:rFonts w:cs="Times New Roman"/>
                <w:b/>
                <w:bCs/>
                <w:i/>
                <w:color w:val="FF0000"/>
              </w:rPr>
              <w:t>-</w:t>
            </w:r>
          </w:p>
        </w:tc>
      </w:tr>
      <w:tr w:rsidR="00354FC3" w:rsidRPr="009F6D1E" w14:paraId="40267834" w14:textId="77777777" w:rsidTr="00F92FD2">
        <w:tc>
          <w:tcPr>
            <w:tcW w:w="7366" w:type="dxa"/>
          </w:tcPr>
          <w:p w14:paraId="4A3ED5AA" w14:textId="3479BFDB" w:rsidR="00354FC3"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t>Специфична цел №2: Засилване на пазарната ориентация и повишаване на конкурент</w:t>
            </w:r>
            <w:r w:rsidR="006E0FF0">
              <w:rPr>
                <w:rFonts w:cs="Times New Roman"/>
                <w:b/>
                <w:bCs/>
                <w:i/>
              </w:rPr>
              <w:t>осп</w:t>
            </w:r>
            <w:r w:rsidRPr="009F6D1E">
              <w:rPr>
                <w:rFonts w:cs="Times New Roman"/>
                <w:b/>
                <w:bCs/>
                <w:i/>
              </w:rPr>
              <w:t xml:space="preserve">особността, включително </w:t>
            </w:r>
            <w:r w:rsidRPr="009F6D1E">
              <w:rPr>
                <w:rFonts w:cs="Times New Roman"/>
                <w:b/>
                <w:bCs/>
                <w:i/>
              </w:rPr>
              <w:lastRenderedPageBreak/>
              <w:t>поставяне на по-голям акцент върху научните изследвания, технологии и цифровизация.</w:t>
            </w:r>
          </w:p>
        </w:tc>
        <w:tc>
          <w:tcPr>
            <w:tcW w:w="7513" w:type="dxa"/>
          </w:tcPr>
          <w:p w14:paraId="6797A875" w14:textId="5CB1E292" w:rsidR="00354FC3" w:rsidRPr="009F6D1E" w:rsidRDefault="000B17F1" w:rsidP="0084747F">
            <w:pPr>
              <w:spacing w:after="60" w:line="264" w:lineRule="auto"/>
              <w:jc w:val="both"/>
              <w:rPr>
                <w:rFonts w:cs="Times New Roman"/>
              </w:rPr>
            </w:pPr>
            <w:r w:rsidRPr="009F6D1E">
              <w:rPr>
                <w:rFonts w:cs="Times New Roman"/>
                <w:b/>
                <w:bCs/>
                <w:i/>
              </w:rPr>
              <w:lastRenderedPageBreak/>
              <w:t>Специфична цел №2: Засилване на пазарната ориентация и повишаване на конкурент</w:t>
            </w:r>
            <w:r w:rsidR="006E0FF0">
              <w:rPr>
                <w:rFonts w:cs="Times New Roman"/>
                <w:b/>
                <w:bCs/>
                <w:i/>
              </w:rPr>
              <w:t>осп</w:t>
            </w:r>
            <w:r w:rsidRPr="009F6D1E">
              <w:rPr>
                <w:rFonts w:cs="Times New Roman"/>
                <w:b/>
                <w:bCs/>
                <w:i/>
              </w:rPr>
              <w:t xml:space="preserve">особността </w:t>
            </w:r>
            <w:r w:rsidRPr="009F6D1E">
              <w:rPr>
                <w:rFonts w:cs="Times New Roman"/>
                <w:b/>
                <w:bCs/>
                <w:i/>
                <w:color w:val="FF0000"/>
              </w:rPr>
              <w:t>на стопанствата</w:t>
            </w:r>
            <w:r w:rsidRPr="009F6D1E">
              <w:rPr>
                <w:rFonts w:cs="Times New Roman"/>
                <w:b/>
                <w:bCs/>
                <w:i/>
              </w:rPr>
              <w:t xml:space="preserve">, </w:t>
            </w:r>
            <w:r w:rsidRPr="009F6D1E">
              <w:rPr>
                <w:rFonts w:cs="Times New Roman"/>
                <w:b/>
                <w:bCs/>
                <w:i/>
                <w:color w:val="FF0000"/>
              </w:rPr>
              <w:t xml:space="preserve">както </w:t>
            </w:r>
            <w:r w:rsidRPr="009F6D1E">
              <w:rPr>
                <w:rFonts w:cs="Times New Roman"/>
                <w:b/>
                <w:bCs/>
                <w:i/>
                <w:color w:val="FF0000"/>
              </w:rPr>
              <w:lastRenderedPageBreak/>
              <w:t>в краткосрочен, така и в дългосрочен план,</w:t>
            </w:r>
            <w:r w:rsidRPr="009F6D1E">
              <w:rPr>
                <w:rFonts w:cs="Times New Roman"/>
                <w:b/>
                <w:bCs/>
                <w:i/>
              </w:rPr>
              <w:t xml:space="preserve"> включително поставяне на по-голям акцент върху научните изследвания, технологиите и цифровизацията</w:t>
            </w:r>
          </w:p>
        </w:tc>
      </w:tr>
      <w:tr w:rsidR="00354FC3" w:rsidRPr="009F6D1E" w14:paraId="651211ED" w14:textId="77777777" w:rsidTr="00F92FD2">
        <w:tc>
          <w:tcPr>
            <w:tcW w:w="7366" w:type="dxa"/>
          </w:tcPr>
          <w:p w14:paraId="1EDE4BB8" w14:textId="5ED112DF" w:rsidR="00D121EC" w:rsidRPr="009F6D1E" w:rsidRDefault="00D121EC" w:rsidP="0084747F">
            <w:pPr>
              <w:spacing w:after="60" w:line="264" w:lineRule="auto"/>
              <w:jc w:val="both"/>
              <w:rPr>
                <w:rFonts w:cs="Times New Roman"/>
                <w:b/>
                <w:bCs/>
                <w:i/>
                <w:color w:val="FF0000"/>
              </w:rPr>
            </w:pPr>
            <w:r w:rsidRPr="009F6D1E">
              <w:rPr>
                <w:rFonts w:cs="Times New Roman"/>
                <w:b/>
                <w:bCs/>
                <w:i/>
                <w:u w:val="single"/>
              </w:rPr>
              <w:lastRenderedPageBreak/>
              <w:t>Потребност 1</w:t>
            </w:r>
            <w:r w:rsidRPr="009F6D1E">
              <w:rPr>
                <w:rFonts w:cs="Times New Roman"/>
                <w:b/>
                <w:bCs/>
                <w:i/>
              </w:rPr>
              <w:t>: Повишаване на конкурент</w:t>
            </w:r>
            <w:r w:rsidR="006E0FF0">
              <w:rPr>
                <w:rFonts w:cs="Times New Roman"/>
                <w:b/>
                <w:bCs/>
                <w:i/>
              </w:rPr>
              <w:t>осп</w:t>
            </w:r>
            <w:r w:rsidRPr="009F6D1E">
              <w:rPr>
                <w:rFonts w:cs="Times New Roman"/>
                <w:b/>
                <w:bCs/>
                <w:i/>
              </w:rPr>
              <w:t>особността на стопанствата в секторите</w:t>
            </w:r>
            <w:r w:rsidR="00EE6F8B" w:rsidRPr="009F6D1E">
              <w:rPr>
                <w:rFonts w:cs="Times New Roman"/>
                <w:b/>
                <w:bCs/>
                <w:i/>
              </w:rPr>
              <w:t xml:space="preserve"> </w:t>
            </w:r>
            <w:r w:rsidRPr="009F6D1E">
              <w:rPr>
                <w:rFonts w:cs="Times New Roman"/>
                <w:b/>
                <w:bCs/>
                <w:i/>
              </w:rPr>
              <w:t xml:space="preserve">производство на зеленчуци, плодове, мляко и месо от преживни животни, </w:t>
            </w:r>
            <w:r w:rsidRPr="009F6D1E">
              <w:rPr>
                <w:rFonts w:cs="Times New Roman"/>
                <w:b/>
                <w:bCs/>
                <w:i/>
                <w:color w:val="FF0000"/>
              </w:rPr>
              <w:t>които са със стопанско значение за страната;</w:t>
            </w:r>
          </w:p>
          <w:p w14:paraId="510B89BD"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2B004D5" w14:textId="77777777" w:rsidR="00D121EC" w:rsidRPr="009F6D1E" w:rsidRDefault="00D121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rPr>
              <w:t>Обвързано с производс</w:t>
            </w:r>
            <w:r w:rsidR="00F370CD" w:rsidRPr="009F6D1E">
              <w:rPr>
                <w:rFonts w:cs="Times New Roman"/>
                <w:i/>
              </w:rPr>
              <w:t>твото подпомагане на доходите</w:t>
            </w:r>
          </w:p>
          <w:p w14:paraId="75B62BCE" w14:textId="77777777" w:rsidR="00D121EC" w:rsidRPr="009F6D1E" w:rsidRDefault="00D121EC"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Инвестиции в земеделски стопанства</w:t>
            </w:r>
          </w:p>
          <w:p w14:paraId="68BB622A" w14:textId="77777777" w:rsidR="00D121EC" w:rsidRPr="009F6D1E" w:rsidRDefault="00D121EC" w:rsidP="0084747F">
            <w:pPr>
              <w:spacing w:after="60" w:line="264" w:lineRule="auto"/>
              <w:jc w:val="both"/>
              <w:rPr>
                <w:rFonts w:cs="Times New Roman"/>
                <w:i/>
                <w:color w:val="FF0000"/>
              </w:rPr>
            </w:pPr>
            <w:r w:rsidRPr="009F6D1E">
              <w:rPr>
                <w:rFonts w:cs="Times New Roman"/>
                <w:i/>
                <w:color w:val="FF0000"/>
              </w:rPr>
              <w:t xml:space="preserve">- Разработване на финансови инструменти, </w:t>
            </w:r>
          </w:p>
          <w:p w14:paraId="77B1C77C" w14:textId="77777777" w:rsidR="00354FC3"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i/>
                <w:color w:val="FF0000"/>
              </w:rPr>
              <w:t>- Инвестиции в земеделски стопанства чрез преотстъпване на корпоративен данък</w:t>
            </w:r>
          </w:p>
        </w:tc>
        <w:tc>
          <w:tcPr>
            <w:tcW w:w="7513" w:type="dxa"/>
          </w:tcPr>
          <w:p w14:paraId="7A3EE544" w14:textId="6FEB71C6" w:rsidR="009322EA" w:rsidRPr="009F6D1E" w:rsidRDefault="009322EA" w:rsidP="0084747F">
            <w:pPr>
              <w:spacing w:after="60" w:line="264" w:lineRule="auto"/>
              <w:jc w:val="both"/>
              <w:rPr>
                <w:rFonts w:cs="Times New Roman"/>
                <w:b/>
                <w:bCs/>
                <w:i/>
              </w:rPr>
            </w:pPr>
            <w:r w:rsidRPr="009F6D1E">
              <w:rPr>
                <w:rFonts w:cs="Times New Roman"/>
                <w:b/>
                <w:bCs/>
                <w:i/>
              </w:rPr>
              <w:t>П.2.1. Повишаване на конкурент</w:t>
            </w:r>
            <w:r w:rsidR="006E0FF0">
              <w:rPr>
                <w:rFonts w:cs="Times New Roman"/>
                <w:b/>
                <w:bCs/>
                <w:i/>
              </w:rPr>
              <w:t>осп</w:t>
            </w:r>
            <w:r w:rsidRPr="009F6D1E">
              <w:rPr>
                <w:rFonts w:cs="Times New Roman"/>
                <w:b/>
                <w:bCs/>
                <w:i/>
              </w:rPr>
              <w:t>особността на стопанствата, приоритетно в секторите производство на зеленчуци, плодове, мляко и месо от преживни животни</w:t>
            </w:r>
          </w:p>
          <w:p w14:paraId="59EE6068" w14:textId="77777777" w:rsidR="009322EA" w:rsidRPr="009F6D1E" w:rsidRDefault="009322EA"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8F5559E" w14:textId="77777777" w:rsidR="009322EA" w:rsidRPr="009F6D1E" w:rsidRDefault="009322EA" w:rsidP="0084747F">
            <w:pPr>
              <w:spacing w:after="60" w:line="264" w:lineRule="auto"/>
              <w:jc w:val="both"/>
              <w:rPr>
                <w:rFonts w:cs="Times New Roman"/>
                <w:i/>
              </w:rPr>
            </w:pPr>
            <w:r w:rsidRPr="009F6D1E">
              <w:rPr>
                <w:rFonts w:cs="Times New Roman"/>
                <w:b/>
                <w:bCs/>
                <w:i/>
              </w:rPr>
              <w:t xml:space="preserve">- </w:t>
            </w:r>
            <w:r w:rsidRPr="009F6D1E">
              <w:rPr>
                <w:rFonts w:cs="Times New Roman"/>
                <w:i/>
              </w:rPr>
              <w:t>Обвързано с производството подпомагане на доходите</w:t>
            </w:r>
          </w:p>
          <w:p w14:paraId="66E24E16" w14:textId="77777777" w:rsidR="009322EA" w:rsidRPr="009F6D1E" w:rsidRDefault="009322EA" w:rsidP="0084747F">
            <w:pPr>
              <w:spacing w:after="60" w:line="264" w:lineRule="auto"/>
              <w:jc w:val="both"/>
              <w:rPr>
                <w:rFonts w:cs="Times New Roman"/>
                <w:i/>
                <w:color w:val="FF0000"/>
              </w:rPr>
            </w:pPr>
            <w:r w:rsidRPr="009F6D1E">
              <w:rPr>
                <w:rFonts w:cs="Times New Roman"/>
                <w:i/>
              </w:rPr>
              <w:t xml:space="preserve">-  </w:t>
            </w:r>
            <w:r w:rsidR="000945FA" w:rsidRPr="009F6D1E">
              <w:rPr>
                <w:rFonts w:cs="Times New Roman"/>
                <w:i/>
                <w:color w:val="FF0000"/>
              </w:rPr>
              <w:t>Д</w:t>
            </w:r>
            <w:r w:rsidRPr="009F6D1E">
              <w:rPr>
                <w:rFonts w:cs="Times New Roman"/>
                <w:i/>
                <w:color w:val="FF0000"/>
              </w:rPr>
              <w:t xml:space="preserve">ве отделни интервенции при плодовете </w:t>
            </w:r>
          </w:p>
          <w:p w14:paraId="12DA8AF8" w14:textId="77777777" w:rsidR="00354FC3" w:rsidRPr="009F6D1E" w:rsidRDefault="009322EA" w:rsidP="0084747F">
            <w:pPr>
              <w:spacing w:after="60" w:line="264" w:lineRule="auto"/>
              <w:jc w:val="both"/>
              <w:rPr>
                <w:rFonts w:cs="Times New Roman"/>
              </w:rPr>
            </w:pPr>
            <w:r w:rsidRPr="009F6D1E">
              <w:rPr>
                <w:rFonts w:cs="Times New Roman"/>
                <w:i/>
                <w:color w:val="FF0000"/>
              </w:rPr>
              <w:t xml:space="preserve">- </w:t>
            </w:r>
            <w:r w:rsidR="000945FA" w:rsidRPr="009F6D1E">
              <w:rPr>
                <w:rFonts w:cs="Times New Roman"/>
                <w:i/>
                <w:color w:val="FF0000"/>
              </w:rPr>
              <w:t>Ч</w:t>
            </w:r>
            <w:r w:rsidRPr="009F6D1E">
              <w:rPr>
                <w:rFonts w:cs="Times New Roman"/>
                <w:i/>
                <w:color w:val="FF0000"/>
              </w:rPr>
              <w:t>етири отделни интервенции при зеленчуците полско производство</w:t>
            </w:r>
          </w:p>
        </w:tc>
      </w:tr>
      <w:tr w:rsidR="00354FC3" w:rsidRPr="009F6D1E" w14:paraId="16946744" w14:textId="77777777" w:rsidTr="00F92FD2">
        <w:tc>
          <w:tcPr>
            <w:tcW w:w="7366" w:type="dxa"/>
          </w:tcPr>
          <w:p w14:paraId="01469608" w14:textId="77777777" w:rsidR="00D121EC" w:rsidRPr="009F6D1E" w:rsidRDefault="00D121EC" w:rsidP="0084747F">
            <w:pPr>
              <w:widowControl w:val="0"/>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xml:space="preserve">: Подобряване на производителността и добивите на </w:t>
            </w:r>
            <w:r w:rsidRPr="009F6D1E">
              <w:rPr>
                <w:rFonts w:cs="Times New Roman"/>
                <w:b/>
                <w:bCs/>
                <w:i/>
                <w:color w:val="FF0000"/>
              </w:rPr>
              <w:t xml:space="preserve">малки и средни стопанства </w:t>
            </w:r>
            <w:r w:rsidRPr="009F6D1E">
              <w:rPr>
                <w:rFonts w:cs="Times New Roman"/>
                <w:b/>
                <w:bCs/>
                <w:i/>
              </w:rPr>
              <w:t>в секторите на селското стопанство, осигуряващи продукти с по-висока добавена стойност;</w:t>
            </w:r>
          </w:p>
          <w:p w14:paraId="0BF657B9"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04900B22" w14:textId="77777777" w:rsidR="00D121EC" w:rsidRPr="009F6D1E" w:rsidRDefault="00D121EC"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w:t>
            </w:r>
            <w:r w:rsidR="00F370CD" w:rsidRPr="009F6D1E">
              <w:rPr>
                <w:rFonts w:cs="Times New Roman"/>
                <w:i/>
              </w:rPr>
              <w:t>естиции в земеделски стопанства</w:t>
            </w:r>
          </w:p>
          <w:p w14:paraId="2507DBCD" w14:textId="77777777" w:rsidR="00D121EC" w:rsidRPr="009F6D1E" w:rsidRDefault="00D121EC" w:rsidP="0084747F">
            <w:pPr>
              <w:spacing w:after="60" w:line="264" w:lineRule="auto"/>
              <w:jc w:val="both"/>
              <w:rPr>
                <w:rFonts w:cs="Times New Roman"/>
                <w:i/>
              </w:rPr>
            </w:pPr>
            <w:r w:rsidRPr="009F6D1E">
              <w:rPr>
                <w:rFonts w:cs="Times New Roman"/>
                <w:i/>
              </w:rPr>
              <w:t>- Подпомагане развитието на малки земеделски стопанства</w:t>
            </w:r>
          </w:p>
          <w:p w14:paraId="39880B65" w14:textId="77777777" w:rsidR="00F370CD" w:rsidRPr="009F6D1E" w:rsidRDefault="00D121EC" w:rsidP="0084747F">
            <w:pPr>
              <w:spacing w:after="60" w:line="264" w:lineRule="auto"/>
              <w:jc w:val="both"/>
              <w:rPr>
                <w:rFonts w:cs="Times New Roman"/>
                <w:i/>
              </w:rPr>
            </w:pPr>
            <w:r w:rsidRPr="009F6D1E">
              <w:rPr>
                <w:rFonts w:cs="Times New Roman"/>
                <w:i/>
              </w:rPr>
              <w:t>- Консултантски услуги и повишаване на консултантския капацитет</w:t>
            </w:r>
          </w:p>
          <w:p w14:paraId="332A0190" w14:textId="77777777" w:rsidR="00354FC3" w:rsidRPr="009F6D1E" w:rsidRDefault="00F370CD" w:rsidP="0084747F">
            <w:pPr>
              <w:spacing w:after="60" w:line="264" w:lineRule="auto"/>
              <w:jc w:val="both"/>
              <w:rPr>
                <w:rFonts w:cs="Times New Roman"/>
                <w:highlight w:val="yellow"/>
              </w:rPr>
            </w:pPr>
            <w:r w:rsidRPr="009F6D1E">
              <w:rPr>
                <w:rFonts w:cs="Times New Roman"/>
                <w:i/>
              </w:rPr>
              <w:lastRenderedPageBreak/>
              <w:t>-</w:t>
            </w:r>
            <w:r w:rsidR="00D121EC" w:rsidRPr="009F6D1E">
              <w:rPr>
                <w:rFonts w:cs="Times New Roman"/>
                <w:i/>
              </w:rPr>
              <w:t xml:space="preserve"> Професионално обучение и придобиване на умения</w:t>
            </w:r>
          </w:p>
        </w:tc>
        <w:tc>
          <w:tcPr>
            <w:tcW w:w="7513" w:type="dxa"/>
          </w:tcPr>
          <w:p w14:paraId="6D8AC7A1"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rPr>
              <w:lastRenderedPageBreak/>
              <w:t>П.2.2. Подобряване на производителността и добивите в секторите на селското стопанство, осигуряващи продукти с по-висока добавена стойност</w:t>
            </w:r>
          </w:p>
          <w:p w14:paraId="00194EEC"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5F568B5" w14:textId="77777777" w:rsidR="00ED1CA9" w:rsidRPr="009F6D1E" w:rsidRDefault="00ED1CA9"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Инвестиции в земеделски стопанства;</w:t>
            </w:r>
          </w:p>
          <w:p w14:paraId="12BED1B5" w14:textId="77777777" w:rsidR="00ED1CA9" w:rsidRPr="009F6D1E" w:rsidRDefault="00ED1CA9" w:rsidP="0084747F">
            <w:pPr>
              <w:spacing w:after="60" w:line="264" w:lineRule="auto"/>
              <w:jc w:val="both"/>
              <w:rPr>
                <w:rFonts w:cs="Times New Roman"/>
                <w:i/>
              </w:rPr>
            </w:pPr>
            <w:r w:rsidRPr="009F6D1E">
              <w:rPr>
                <w:rFonts w:cs="Times New Roman"/>
                <w:i/>
              </w:rPr>
              <w:t>- Подпомагане развитието на малки земеделски стопанства;</w:t>
            </w:r>
          </w:p>
          <w:p w14:paraId="3D7FC7B9" w14:textId="77777777" w:rsidR="00ED1CA9" w:rsidRPr="009F6D1E" w:rsidRDefault="00ED1CA9" w:rsidP="0084747F">
            <w:pPr>
              <w:spacing w:after="60" w:line="264" w:lineRule="auto"/>
              <w:jc w:val="both"/>
              <w:rPr>
                <w:rFonts w:cs="Times New Roman"/>
                <w:i/>
              </w:rPr>
            </w:pPr>
            <w:r w:rsidRPr="009F6D1E">
              <w:rPr>
                <w:rFonts w:cs="Times New Roman"/>
                <w:i/>
              </w:rPr>
              <w:t>- Консултантски услуги и повишаване на консултантския капацитет.</w:t>
            </w:r>
          </w:p>
          <w:p w14:paraId="6A1DDC2C" w14:textId="77777777" w:rsidR="00354FC3" w:rsidRPr="009F6D1E" w:rsidRDefault="00ED1CA9" w:rsidP="0084747F">
            <w:pPr>
              <w:spacing w:after="60" w:line="264" w:lineRule="auto"/>
              <w:jc w:val="both"/>
              <w:rPr>
                <w:rFonts w:cs="Times New Roman"/>
              </w:rPr>
            </w:pPr>
            <w:r w:rsidRPr="009F6D1E">
              <w:rPr>
                <w:rFonts w:cs="Times New Roman"/>
                <w:i/>
              </w:rPr>
              <w:t>- Професионално обучение и придобиване на умения</w:t>
            </w:r>
          </w:p>
        </w:tc>
      </w:tr>
      <w:tr w:rsidR="00354FC3" w:rsidRPr="009F6D1E" w14:paraId="4D860D33" w14:textId="77777777" w:rsidTr="00F92FD2">
        <w:tc>
          <w:tcPr>
            <w:tcW w:w="7366" w:type="dxa"/>
          </w:tcPr>
          <w:p w14:paraId="564A6907" w14:textId="77777777" w:rsidR="00D121EC" w:rsidRPr="009F6D1E" w:rsidRDefault="00D121EC" w:rsidP="0084747F">
            <w:pPr>
              <w:spacing w:after="60" w:line="264" w:lineRule="auto"/>
              <w:jc w:val="both"/>
              <w:rPr>
                <w:rFonts w:cs="Times New Roman"/>
                <w:b/>
                <w:bCs/>
                <w:i/>
                <w:color w:val="FF0000"/>
              </w:rPr>
            </w:pPr>
            <w:r w:rsidRPr="009F6D1E">
              <w:rPr>
                <w:rFonts w:cs="Times New Roman"/>
                <w:b/>
                <w:bCs/>
                <w:i/>
                <w:u w:val="single"/>
              </w:rPr>
              <w:t xml:space="preserve">Потребност 3: </w:t>
            </w:r>
            <w:r w:rsidRPr="009F6D1E">
              <w:rPr>
                <w:rFonts w:cs="Times New Roman"/>
                <w:b/>
                <w:bCs/>
                <w:i/>
              </w:rPr>
              <w:t>Ускоряване на модернизацията и технологичното обновяване на малките и средни стопанства</w:t>
            </w:r>
            <w:r w:rsidRPr="009F6D1E">
              <w:rPr>
                <w:rFonts w:cs="Times New Roman"/>
                <w:b/>
                <w:bCs/>
                <w:i/>
                <w:color w:val="FF0000"/>
              </w:rPr>
              <w:t xml:space="preserve">, включително чрез технологии, постигащи по-високи екологични стандарти и водещи до </w:t>
            </w:r>
            <w:r w:rsidR="00F370CD" w:rsidRPr="009F6D1E">
              <w:rPr>
                <w:rFonts w:cs="Times New Roman"/>
                <w:b/>
                <w:bCs/>
                <w:i/>
                <w:color w:val="FF0000"/>
              </w:rPr>
              <w:t>сравнителни пазарни предимства</w:t>
            </w:r>
          </w:p>
          <w:p w14:paraId="7FAC1CC3" w14:textId="77777777" w:rsidR="00D121EC" w:rsidRPr="009F6D1E" w:rsidRDefault="00D121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08D86246" w14:textId="77777777" w:rsidR="00D121EC" w:rsidRPr="009F6D1E" w:rsidRDefault="00D121EC"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Инвестиции в земеделски стопанства</w:t>
            </w:r>
          </w:p>
          <w:p w14:paraId="703ECD9A" w14:textId="77777777" w:rsidR="00354FC3" w:rsidRPr="009F6D1E" w:rsidRDefault="00F370CD" w:rsidP="0084747F">
            <w:pPr>
              <w:widowControl w:val="0"/>
              <w:tabs>
                <w:tab w:val="left" w:pos="5765"/>
              </w:tabs>
              <w:spacing w:after="60" w:line="264" w:lineRule="auto"/>
              <w:jc w:val="both"/>
              <w:rPr>
                <w:rFonts w:cs="Times New Roman"/>
                <w:highlight w:val="yellow"/>
              </w:rPr>
            </w:pPr>
            <w:r w:rsidRPr="009F6D1E">
              <w:rPr>
                <w:rFonts w:cs="Times New Roman"/>
                <w:i/>
              </w:rPr>
              <w:t xml:space="preserve">- </w:t>
            </w:r>
            <w:r w:rsidR="00D121EC" w:rsidRPr="009F6D1E">
              <w:rPr>
                <w:rFonts w:cs="Times New Roman"/>
                <w:i/>
              </w:rPr>
              <w:t>Подпомагане развитието</w:t>
            </w:r>
            <w:r w:rsidRPr="009F6D1E">
              <w:rPr>
                <w:rFonts w:cs="Times New Roman"/>
                <w:i/>
              </w:rPr>
              <w:t xml:space="preserve"> на малки земеделски стопанства</w:t>
            </w:r>
            <w:r w:rsidR="00D121EC" w:rsidRPr="009F6D1E">
              <w:rPr>
                <w:rFonts w:cs="Times New Roman"/>
                <w:i/>
              </w:rPr>
              <w:t xml:space="preserve">,  </w:t>
            </w:r>
            <w:r w:rsidR="00D121EC" w:rsidRPr="009F6D1E">
              <w:rPr>
                <w:rFonts w:cs="Times New Roman"/>
                <w:i/>
                <w:color w:val="FF0000"/>
              </w:rPr>
              <w:t>съгласно „Установяване на млади земеделски стопани, помощ за стартиране на стопанска дейност в селските райони и развитие на малки стопанс</w:t>
            </w:r>
            <w:r w:rsidRPr="009F6D1E">
              <w:rPr>
                <w:rFonts w:cs="Times New Roman"/>
                <w:i/>
                <w:color w:val="FF0000"/>
              </w:rPr>
              <w:t>тва“</w:t>
            </w:r>
          </w:p>
        </w:tc>
        <w:tc>
          <w:tcPr>
            <w:tcW w:w="7513" w:type="dxa"/>
          </w:tcPr>
          <w:p w14:paraId="3462734C" w14:textId="77777777" w:rsidR="00ED1CA9" w:rsidRPr="009F6D1E" w:rsidRDefault="00ED1CA9" w:rsidP="0084747F">
            <w:pPr>
              <w:spacing w:after="60" w:line="264" w:lineRule="auto"/>
              <w:jc w:val="both"/>
              <w:rPr>
                <w:rFonts w:cs="Times New Roman"/>
                <w:b/>
                <w:bCs/>
                <w:i/>
              </w:rPr>
            </w:pPr>
            <w:r w:rsidRPr="009F6D1E">
              <w:rPr>
                <w:rFonts w:cs="Times New Roman"/>
                <w:b/>
                <w:bCs/>
                <w:i/>
              </w:rPr>
              <w:t>П.2.3.Ускоряване на модернизацията и технологично обновяване на малките и средни стопанства</w:t>
            </w:r>
          </w:p>
          <w:p w14:paraId="3FEE093E"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9E5792D" w14:textId="77777777" w:rsidR="00ED1CA9" w:rsidRPr="009F6D1E" w:rsidRDefault="00ED1CA9" w:rsidP="0084747F">
            <w:pPr>
              <w:spacing w:after="60" w:line="264" w:lineRule="auto"/>
              <w:jc w:val="both"/>
              <w:rPr>
                <w:rFonts w:cs="Times New Roman"/>
                <w:i/>
              </w:rPr>
            </w:pPr>
            <w:r w:rsidRPr="009F6D1E">
              <w:rPr>
                <w:rFonts w:cs="Times New Roman"/>
                <w:i/>
              </w:rPr>
              <w:t>- Инвестиции в земеделски стопанства;</w:t>
            </w:r>
          </w:p>
          <w:p w14:paraId="63666B2B" w14:textId="77777777" w:rsidR="00ED1CA9" w:rsidRPr="009F6D1E" w:rsidRDefault="00ED1CA9" w:rsidP="0084747F">
            <w:pPr>
              <w:spacing w:after="60" w:line="264" w:lineRule="auto"/>
              <w:jc w:val="both"/>
              <w:rPr>
                <w:rFonts w:cs="Times New Roman"/>
                <w:i/>
              </w:rPr>
            </w:pPr>
            <w:r w:rsidRPr="009F6D1E">
              <w:rPr>
                <w:rFonts w:cs="Times New Roman"/>
                <w:i/>
              </w:rPr>
              <w:t xml:space="preserve">- </w:t>
            </w:r>
            <w:r w:rsidRPr="009F6D1E">
              <w:rPr>
                <w:rFonts w:cs="Times New Roman"/>
                <w:i/>
                <w:color w:val="FF0000"/>
              </w:rPr>
              <w:t>Стартова помощ за установяване на млади земеделски стопани в селското стопанство</w:t>
            </w:r>
          </w:p>
          <w:p w14:paraId="6B2A36D2" w14:textId="77777777" w:rsidR="00354FC3" w:rsidRPr="009F6D1E" w:rsidRDefault="00ED1CA9" w:rsidP="0084747F">
            <w:pPr>
              <w:spacing w:after="60" w:line="264" w:lineRule="auto"/>
              <w:jc w:val="both"/>
              <w:rPr>
                <w:rFonts w:cs="Times New Roman"/>
              </w:rPr>
            </w:pPr>
            <w:r w:rsidRPr="009F6D1E">
              <w:rPr>
                <w:rFonts w:cs="Times New Roman"/>
                <w:i/>
              </w:rPr>
              <w:t xml:space="preserve">- Подпомагане на </w:t>
            </w:r>
            <w:r w:rsidRPr="009F6D1E">
              <w:rPr>
                <w:rFonts w:cs="Times New Roman"/>
                <w:i/>
                <w:color w:val="FF0000"/>
              </w:rPr>
              <w:t xml:space="preserve">много </w:t>
            </w:r>
            <w:r w:rsidRPr="009F6D1E">
              <w:rPr>
                <w:rFonts w:cs="Times New Roman"/>
                <w:i/>
              </w:rPr>
              <w:t>малки земеделски стопанства</w:t>
            </w:r>
          </w:p>
        </w:tc>
      </w:tr>
      <w:tr w:rsidR="00354FC3" w:rsidRPr="009F6D1E" w14:paraId="43C4DAEB" w14:textId="77777777" w:rsidTr="00F92FD2">
        <w:tc>
          <w:tcPr>
            <w:tcW w:w="7366" w:type="dxa"/>
          </w:tcPr>
          <w:p w14:paraId="2AB5418F"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xml:space="preserve">: Повишаване на ефективността, подобряване на пазарната ориентация и реализацията на по-висока добавена стойност в малките стопанства </w:t>
            </w:r>
          </w:p>
          <w:p w14:paraId="06A0D13C"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287ACCF" w14:textId="77777777" w:rsidR="00D53DB5" w:rsidRPr="009F6D1E" w:rsidRDefault="00D53DB5" w:rsidP="0084747F">
            <w:pPr>
              <w:spacing w:after="60" w:line="264" w:lineRule="auto"/>
              <w:jc w:val="both"/>
              <w:rPr>
                <w:rFonts w:cs="Times New Roman"/>
                <w:i/>
              </w:rPr>
            </w:pPr>
            <w:r w:rsidRPr="009F6D1E">
              <w:rPr>
                <w:rFonts w:cs="Times New Roman"/>
                <w:i/>
              </w:rPr>
              <w:t>- Подпомагане развитието на малки земеделски стопанства</w:t>
            </w:r>
            <w:r w:rsidRPr="009F6D1E">
              <w:rPr>
                <w:rFonts w:cs="Times New Roman"/>
                <w:i/>
                <w:color w:val="FF0000"/>
              </w:rPr>
              <w:t xml:space="preserve">, съгласно „Установяване на млади земеделски стопани, помощ за стартиране на стопанска дейност в селските райони и </w:t>
            </w:r>
            <w:r w:rsidR="00F370CD" w:rsidRPr="009F6D1E">
              <w:rPr>
                <w:rFonts w:cs="Times New Roman"/>
                <w:i/>
                <w:color w:val="FF0000"/>
              </w:rPr>
              <w:t>развитие на малки стопанства“</w:t>
            </w:r>
          </w:p>
          <w:p w14:paraId="09FD5C04" w14:textId="77777777" w:rsidR="00D53DB5" w:rsidRPr="009F6D1E" w:rsidRDefault="00D53DB5" w:rsidP="0084747F">
            <w:pPr>
              <w:spacing w:after="60" w:line="264" w:lineRule="auto"/>
              <w:jc w:val="both"/>
              <w:rPr>
                <w:rFonts w:cs="Times New Roman"/>
                <w:i/>
                <w:color w:val="FF0000"/>
              </w:rPr>
            </w:pPr>
            <w:r w:rsidRPr="009F6D1E">
              <w:rPr>
                <w:rFonts w:cs="Times New Roman"/>
                <w:i/>
                <w:color w:val="FF0000"/>
              </w:rPr>
              <w:t>- „Консултантски услуги и повишаване на консултантския капацитет“, съгласно чл. 72 "Обмен на знания и информация" от ЕЗФРСР.</w:t>
            </w:r>
          </w:p>
          <w:p w14:paraId="57BFBE9F" w14:textId="77777777" w:rsidR="00354FC3" w:rsidRPr="009F6D1E" w:rsidRDefault="00D53DB5" w:rsidP="0084747F">
            <w:pPr>
              <w:widowControl w:val="0"/>
              <w:tabs>
                <w:tab w:val="left" w:pos="5765"/>
              </w:tabs>
              <w:spacing w:after="60" w:line="264" w:lineRule="auto"/>
              <w:jc w:val="both"/>
              <w:rPr>
                <w:rFonts w:cs="Times New Roman"/>
                <w:highlight w:val="yellow"/>
              </w:rPr>
            </w:pPr>
            <w:r w:rsidRPr="009F6D1E">
              <w:rPr>
                <w:rFonts w:cs="Times New Roman"/>
                <w:i/>
                <w:color w:val="FF0000"/>
              </w:rPr>
              <w:lastRenderedPageBreak/>
              <w:t>- Подпомагане развитието на малки земеделски стопанства и инвестиции за малки земеделски стопанства</w:t>
            </w:r>
          </w:p>
        </w:tc>
        <w:tc>
          <w:tcPr>
            <w:tcW w:w="7513" w:type="dxa"/>
          </w:tcPr>
          <w:p w14:paraId="7200CA4D" w14:textId="77777777" w:rsidR="00F370CD" w:rsidRPr="009F6D1E" w:rsidRDefault="00ED1CA9" w:rsidP="0084747F">
            <w:pPr>
              <w:widowControl w:val="0"/>
              <w:spacing w:after="60" w:line="264" w:lineRule="auto"/>
              <w:jc w:val="both"/>
              <w:rPr>
                <w:rFonts w:cs="Times New Roman"/>
                <w:b/>
                <w:bCs/>
                <w:i/>
              </w:rPr>
            </w:pPr>
            <w:r w:rsidRPr="009F6D1E">
              <w:rPr>
                <w:rFonts w:cs="Times New Roman"/>
                <w:b/>
                <w:bCs/>
                <w:i/>
              </w:rPr>
              <w:lastRenderedPageBreak/>
              <w:t>П.2.4. Повишаване на ефективността, подобряване на пазарната ориентация и реализацията на по-висока добавена стойност в малките стопанства</w:t>
            </w:r>
          </w:p>
          <w:p w14:paraId="235DE56F"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u w:val="single"/>
              </w:rPr>
              <w:t xml:space="preserve"> Интервенции</w:t>
            </w:r>
            <w:r w:rsidRPr="009F6D1E">
              <w:rPr>
                <w:rFonts w:cs="Times New Roman"/>
                <w:b/>
                <w:bCs/>
                <w:i/>
              </w:rPr>
              <w:t>:</w:t>
            </w:r>
          </w:p>
          <w:p w14:paraId="643797BB" w14:textId="77777777" w:rsidR="00354FC3" w:rsidRPr="009F6D1E" w:rsidRDefault="00ED1CA9" w:rsidP="0084747F">
            <w:pPr>
              <w:spacing w:after="60" w:line="264" w:lineRule="auto"/>
              <w:jc w:val="both"/>
              <w:rPr>
                <w:rFonts w:cs="Times New Roman"/>
              </w:rPr>
            </w:pPr>
            <w:r w:rsidRPr="009F6D1E">
              <w:rPr>
                <w:rFonts w:cs="Times New Roman"/>
                <w:i/>
              </w:rPr>
              <w:t xml:space="preserve">- Подпомагане на </w:t>
            </w:r>
            <w:r w:rsidRPr="009F6D1E">
              <w:rPr>
                <w:rFonts w:cs="Times New Roman"/>
                <w:i/>
                <w:color w:val="FF0000"/>
              </w:rPr>
              <w:t xml:space="preserve">много </w:t>
            </w:r>
            <w:r w:rsidRPr="009F6D1E">
              <w:rPr>
                <w:rFonts w:cs="Times New Roman"/>
                <w:i/>
              </w:rPr>
              <w:t>малки земеделски стопанства</w:t>
            </w:r>
          </w:p>
        </w:tc>
      </w:tr>
      <w:tr w:rsidR="00354FC3" w:rsidRPr="009F6D1E" w14:paraId="244F9253" w14:textId="77777777" w:rsidTr="00F92FD2">
        <w:tc>
          <w:tcPr>
            <w:tcW w:w="7366" w:type="dxa"/>
          </w:tcPr>
          <w:p w14:paraId="720F381E" w14:textId="77777777" w:rsidR="00D53DB5" w:rsidRPr="009F6D1E" w:rsidRDefault="00D53DB5" w:rsidP="0084747F">
            <w:pPr>
              <w:widowControl w:val="0"/>
              <w:spacing w:after="60" w:line="264" w:lineRule="auto"/>
              <w:jc w:val="both"/>
              <w:rPr>
                <w:rFonts w:cs="Times New Roman"/>
                <w:b/>
                <w:bCs/>
                <w:i/>
              </w:rPr>
            </w:pPr>
            <w:r w:rsidRPr="009F6D1E">
              <w:rPr>
                <w:rFonts w:cs="Times New Roman"/>
                <w:b/>
                <w:bCs/>
                <w:i/>
                <w:u w:val="single"/>
              </w:rPr>
              <w:t>Потребност 5</w:t>
            </w:r>
            <w:r w:rsidRPr="009F6D1E">
              <w:rPr>
                <w:rFonts w:cs="Times New Roman"/>
                <w:b/>
                <w:bCs/>
                <w:i/>
              </w:rPr>
              <w:t xml:space="preserve">: Повишаване на износа на селскостопански продукти с </w:t>
            </w:r>
            <w:r w:rsidRPr="009F6D1E">
              <w:rPr>
                <w:rFonts w:cs="Times New Roman"/>
                <w:b/>
                <w:bCs/>
                <w:i/>
                <w:color w:val="FF0000"/>
              </w:rPr>
              <w:t>по-</w:t>
            </w:r>
            <w:r w:rsidRPr="009F6D1E">
              <w:rPr>
                <w:rFonts w:cs="Times New Roman"/>
                <w:b/>
                <w:bCs/>
                <w:i/>
              </w:rPr>
              <w:t>висока добавена стойност;</w:t>
            </w:r>
          </w:p>
          <w:p w14:paraId="4CE8D36E"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B03F89B" w14:textId="77777777" w:rsidR="00D53DB5" w:rsidRPr="009F6D1E" w:rsidRDefault="00D53DB5" w:rsidP="0084747F">
            <w:pPr>
              <w:spacing w:after="60" w:line="264" w:lineRule="auto"/>
              <w:jc w:val="both"/>
              <w:rPr>
                <w:rFonts w:cs="Times New Roman"/>
                <w:i/>
              </w:rPr>
            </w:pPr>
            <w:r w:rsidRPr="009F6D1E">
              <w:rPr>
                <w:rFonts w:cs="Times New Roman"/>
                <w:b/>
                <w:bCs/>
                <w:i/>
              </w:rPr>
              <w:t xml:space="preserve">- </w:t>
            </w:r>
            <w:r w:rsidRPr="009F6D1E">
              <w:rPr>
                <w:rFonts w:cs="Times New Roman"/>
                <w:i/>
                <w:color w:val="FF0000"/>
              </w:rPr>
              <w:t>интервенция съгласно чл. 41б, буква е) от Регламента за СП</w:t>
            </w:r>
            <w:r w:rsidRPr="009F6D1E">
              <w:rPr>
                <w:rFonts w:cs="Times New Roman"/>
                <w:i/>
              </w:rPr>
              <w:t>;</w:t>
            </w:r>
          </w:p>
          <w:p w14:paraId="02651D64" w14:textId="77777777" w:rsidR="00D53DB5" w:rsidRPr="009F6D1E" w:rsidRDefault="00D53DB5" w:rsidP="0084747F">
            <w:pPr>
              <w:spacing w:after="60" w:line="264" w:lineRule="auto"/>
              <w:jc w:val="both"/>
              <w:rPr>
                <w:rFonts w:cs="Times New Roman"/>
                <w:i/>
              </w:rPr>
            </w:pPr>
            <w:r w:rsidRPr="009F6D1E">
              <w:rPr>
                <w:rFonts w:cs="Times New Roman"/>
                <w:i/>
              </w:rPr>
              <w:t>- Схема за държавна помощ „Помощ за участие в изложения“;</w:t>
            </w:r>
          </w:p>
          <w:p w14:paraId="7C2538F3" w14:textId="77777777" w:rsidR="00354FC3" w:rsidRPr="009F6D1E" w:rsidRDefault="00D53DB5" w:rsidP="0084747F">
            <w:pPr>
              <w:widowControl w:val="0"/>
              <w:tabs>
                <w:tab w:val="left" w:pos="5765"/>
              </w:tabs>
              <w:spacing w:after="60" w:line="264" w:lineRule="auto"/>
              <w:jc w:val="both"/>
              <w:rPr>
                <w:rFonts w:cs="Times New Roman"/>
                <w:highlight w:val="yellow"/>
              </w:rPr>
            </w:pPr>
            <w:r w:rsidRPr="009F6D1E">
              <w:rPr>
                <w:rFonts w:cs="Times New Roman"/>
                <w:i/>
              </w:rPr>
              <w:t>- Схемата за държавна помощ „Помощ за сертифициране на стопанства в сектор „Плодове и зеленчуци“ по стандарта GLOBALG.A.P“.</w:t>
            </w:r>
          </w:p>
        </w:tc>
        <w:tc>
          <w:tcPr>
            <w:tcW w:w="7513" w:type="dxa"/>
          </w:tcPr>
          <w:p w14:paraId="3B06C841"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rPr>
              <w:t>П.2.5. Повишаване на износа на селскостопански продукти с висока добавена стойност</w:t>
            </w:r>
          </w:p>
          <w:p w14:paraId="0E3D277B"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5B204032" w14:textId="546F60CE" w:rsidR="00ED1CA9" w:rsidRPr="009F6D1E" w:rsidRDefault="00ED1CA9" w:rsidP="0084747F">
            <w:pPr>
              <w:widowControl w:val="0"/>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повишат конкурент</w:t>
            </w:r>
            <w:r w:rsidR="00371700">
              <w:rPr>
                <w:rFonts w:cs="Times New Roman"/>
                <w:i/>
                <w:color w:val="FF0000"/>
              </w:rPr>
              <w:t>осп</w:t>
            </w:r>
            <w:r w:rsidRPr="009F6D1E">
              <w:rPr>
                <w:rFonts w:cs="Times New Roman"/>
                <w:i/>
                <w:color w:val="FF0000"/>
              </w:rPr>
              <w:t>особността на селскостопанските продукти от Съюза и тяхното потребление;</w:t>
            </w:r>
          </w:p>
          <w:p w14:paraId="7F4BA5F0" w14:textId="77777777" w:rsidR="00ED1CA9" w:rsidRPr="009F6D1E" w:rsidRDefault="00ED1CA9" w:rsidP="0084747F">
            <w:pPr>
              <w:widowControl w:val="0"/>
              <w:spacing w:after="60" w:line="264" w:lineRule="auto"/>
              <w:jc w:val="both"/>
              <w:rPr>
                <w:rFonts w:cs="Times New Roman"/>
                <w:i/>
              </w:rPr>
            </w:pPr>
            <w:r w:rsidRPr="009F6D1E">
              <w:rPr>
                <w:rFonts w:cs="Times New Roman"/>
                <w:i/>
              </w:rPr>
              <w:t>- Схема за държавна помощ „Помощ за участие в изложения“;</w:t>
            </w:r>
          </w:p>
          <w:p w14:paraId="1429D7FC" w14:textId="77777777" w:rsidR="00354FC3" w:rsidRPr="009F6D1E" w:rsidRDefault="00ED1CA9" w:rsidP="0084747F">
            <w:pPr>
              <w:spacing w:after="60" w:line="264" w:lineRule="auto"/>
              <w:jc w:val="both"/>
              <w:rPr>
                <w:rFonts w:cs="Times New Roman"/>
              </w:rPr>
            </w:pPr>
            <w:r w:rsidRPr="009F6D1E">
              <w:rPr>
                <w:rFonts w:cs="Times New Roman"/>
                <w:i/>
              </w:rPr>
              <w:t>- Схемата за държавна помощ „Помощ за сертифициране на стопанства в сектор „Плодове и зеленчуци“ по стандарта GLOBALG.A.P“.</w:t>
            </w:r>
          </w:p>
        </w:tc>
      </w:tr>
      <w:tr w:rsidR="00354FC3" w:rsidRPr="009F6D1E" w14:paraId="57DD6382" w14:textId="77777777" w:rsidTr="00F92FD2">
        <w:tc>
          <w:tcPr>
            <w:tcW w:w="7366" w:type="dxa"/>
          </w:tcPr>
          <w:p w14:paraId="1BAD4156"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 xml:space="preserve">Потребност 6:  </w:t>
            </w:r>
            <w:r w:rsidRPr="009F6D1E">
              <w:rPr>
                <w:rFonts w:cs="Times New Roman"/>
                <w:b/>
                <w:bCs/>
                <w:i/>
              </w:rPr>
              <w:tab/>
              <w:t>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 иновации;</w:t>
            </w:r>
          </w:p>
          <w:p w14:paraId="60B04925"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5F30687" w14:textId="77777777" w:rsidR="00D53DB5" w:rsidRPr="009F6D1E" w:rsidRDefault="00D53DB5"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Инвестиции в земеделски стопанства</w:t>
            </w:r>
          </w:p>
          <w:p w14:paraId="374E4D13" w14:textId="77777777" w:rsidR="00D53DB5" w:rsidRPr="009F6D1E" w:rsidRDefault="00D53DB5"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Дигитализация на земеделските стопанства“, в съответствие с чл. 68от ЕЗФРСР;</w:t>
            </w:r>
          </w:p>
          <w:p w14:paraId="51EF982F" w14:textId="77777777" w:rsidR="00354FC3" w:rsidRPr="009F6D1E" w:rsidRDefault="00D53DB5" w:rsidP="0084747F">
            <w:pPr>
              <w:widowControl w:val="0"/>
              <w:tabs>
                <w:tab w:val="left" w:pos="5765"/>
              </w:tabs>
              <w:spacing w:after="60" w:line="264" w:lineRule="auto"/>
              <w:jc w:val="both"/>
              <w:rPr>
                <w:rFonts w:cs="Times New Roman"/>
                <w:highlight w:val="yellow"/>
              </w:rPr>
            </w:pPr>
            <w:r w:rsidRPr="009F6D1E">
              <w:rPr>
                <w:rFonts w:cs="Times New Roman"/>
                <w:i/>
                <w:color w:val="FF0000"/>
              </w:rPr>
              <w:t>- Подкрепа за оперативни групи в рамките на Европейското партньорство з</w:t>
            </w:r>
            <w:r w:rsidR="00F370CD" w:rsidRPr="009F6D1E">
              <w:rPr>
                <w:rFonts w:cs="Times New Roman"/>
                <w:i/>
                <w:color w:val="FF0000"/>
              </w:rPr>
              <w:t>а иновации</w:t>
            </w:r>
          </w:p>
        </w:tc>
        <w:tc>
          <w:tcPr>
            <w:tcW w:w="7513" w:type="dxa"/>
          </w:tcPr>
          <w:p w14:paraId="6FAE2B72"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rPr>
              <w:t>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p>
          <w:p w14:paraId="07C5B598"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46D44164" w14:textId="77777777" w:rsidR="00354FC3" w:rsidRPr="009F6D1E" w:rsidRDefault="00ED1CA9" w:rsidP="0084747F">
            <w:pPr>
              <w:spacing w:after="60" w:line="264" w:lineRule="auto"/>
              <w:jc w:val="both"/>
              <w:rPr>
                <w:rFonts w:cs="Times New Roman"/>
              </w:rPr>
            </w:pPr>
            <w:r w:rsidRPr="009F6D1E">
              <w:rPr>
                <w:rFonts w:cs="Times New Roman"/>
                <w:b/>
                <w:bCs/>
                <w:i/>
              </w:rPr>
              <w:t xml:space="preserve">-  </w:t>
            </w:r>
            <w:r w:rsidRPr="009F6D1E">
              <w:rPr>
                <w:rFonts w:cs="Times New Roman"/>
                <w:i/>
              </w:rPr>
              <w:t>Инвестиции в земеделски стопанства</w:t>
            </w:r>
          </w:p>
        </w:tc>
      </w:tr>
      <w:tr w:rsidR="00F92FD2" w:rsidRPr="009F6D1E" w14:paraId="6E0412A8" w14:textId="77777777" w:rsidTr="00F92FD2">
        <w:tc>
          <w:tcPr>
            <w:tcW w:w="7366" w:type="dxa"/>
          </w:tcPr>
          <w:p w14:paraId="633F4552"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lastRenderedPageBreak/>
              <w:t>Потребност 7</w:t>
            </w:r>
            <w:r w:rsidRPr="009F6D1E">
              <w:rPr>
                <w:rFonts w:cs="Times New Roman"/>
                <w:b/>
                <w:bCs/>
                <w:i/>
              </w:rPr>
              <w:t>: Гарантиране на по-добри условия за устойчиво развитие на сектор</w:t>
            </w:r>
            <w:r w:rsidRPr="009F6D1E">
              <w:rPr>
                <w:rFonts w:cs="Times New Roman"/>
                <w:b/>
                <w:bCs/>
                <w:i/>
                <w:color w:val="FF0000"/>
              </w:rPr>
              <w:t>а</w:t>
            </w:r>
            <w:r w:rsidRPr="009F6D1E">
              <w:rPr>
                <w:rFonts w:cs="Times New Roman"/>
                <w:b/>
                <w:bCs/>
                <w:i/>
              </w:rPr>
              <w:t xml:space="preserve"> на пчеларство</w:t>
            </w:r>
            <w:r w:rsidRPr="009F6D1E">
              <w:rPr>
                <w:rFonts w:cs="Times New Roman"/>
                <w:b/>
                <w:bCs/>
                <w:i/>
                <w:color w:val="FF0000"/>
              </w:rPr>
              <w:t>то</w:t>
            </w:r>
            <w:r w:rsidRPr="009F6D1E">
              <w:rPr>
                <w:rFonts w:cs="Times New Roman"/>
                <w:b/>
                <w:bCs/>
                <w:i/>
              </w:rPr>
              <w:t xml:space="preserve"> и повишаване на доходите, чрез модернизация на стопанствата, използване на цифровизацията, както и по-ши</w:t>
            </w:r>
            <w:r w:rsidR="00F370CD" w:rsidRPr="009F6D1E">
              <w:rPr>
                <w:rFonts w:cs="Times New Roman"/>
                <w:b/>
                <w:bCs/>
                <w:i/>
              </w:rPr>
              <w:t>роко п</w:t>
            </w:r>
            <w:r w:rsidRPr="009F6D1E">
              <w:rPr>
                <w:rFonts w:cs="Times New Roman"/>
                <w:b/>
                <w:bCs/>
                <w:i/>
              </w:rPr>
              <w:t>рилагане на подвижното пчеларство;</w:t>
            </w:r>
          </w:p>
          <w:p w14:paraId="0D53457E"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E9D9910" w14:textId="77777777" w:rsidR="00D53DB5" w:rsidRPr="009F6D1E" w:rsidRDefault="00F77014" w:rsidP="0084747F">
            <w:pPr>
              <w:spacing w:after="60" w:line="264" w:lineRule="auto"/>
              <w:jc w:val="both"/>
              <w:rPr>
                <w:rFonts w:cs="Times New Roman"/>
                <w:i/>
              </w:rPr>
            </w:pPr>
            <w:r w:rsidRPr="009F6D1E">
              <w:rPr>
                <w:rFonts w:cs="Times New Roman"/>
                <w:b/>
                <w:bCs/>
                <w:i/>
              </w:rPr>
              <w:t xml:space="preserve">- </w:t>
            </w:r>
            <w:r w:rsidR="00D53DB5" w:rsidRPr="009F6D1E">
              <w:rPr>
                <w:rFonts w:cs="Times New Roman"/>
                <w:i/>
              </w:rPr>
              <w:t>Консултантски услуги, техническа помощ, обучение, информация и обмен на добри практики за пчелари и пчеларски организации, включително относно агресорите и болестит</w:t>
            </w:r>
            <w:r w:rsidRPr="009F6D1E">
              <w:rPr>
                <w:rFonts w:cs="Times New Roman"/>
                <w:i/>
              </w:rPr>
              <w:t xml:space="preserve">е в кошера, особено </w:t>
            </w:r>
            <w:proofErr w:type="spellStart"/>
            <w:r w:rsidRPr="009F6D1E">
              <w:rPr>
                <w:rFonts w:cs="Times New Roman"/>
                <w:i/>
              </w:rPr>
              <w:t>вароатозата</w:t>
            </w:r>
            <w:proofErr w:type="spellEnd"/>
          </w:p>
          <w:p w14:paraId="0F05CDB0" w14:textId="77777777" w:rsidR="00D53DB5" w:rsidRPr="009F6D1E" w:rsidRDefault="00D53DB5" w:rsidP="0084747F">
            <w:pPr>
              <w:spacing w:after="60" w:line="264" w:lineRule="auto"/>
              <w:jc w:val="both"/>
              <w:rPr>
                <w:rFonts w:cs="Times New Roman"/>
                <w:i/>
                <w:color w:val="FF0000"/>
              </w:rPr>
            </w:pPr>
            <w:r w:rsidRPr="009F6D1E">
              <w:rPr>
                <w:rFonts w:cs="Times New Roman"/>
                <w:i/>
              </w:rPr>
              <w:t>-</w:t>
            </w:r>
            <w:r w:rsidR="00F77014" w:rsidRPr="009F6D1E">
              <w:rPr>
                <w:rFonts w:cs="Times New Roman"/>
                <w:i/>
              </w:rPr>
              <w:t xml:space="preserve"> </w:t>
            </w:r>
            <w:r w:rsidRPr="009F6D1E">
              <w:rPr>
                <w:rFonts w:cs="Times New Roman"/>
                <w:i/>
                <w:color w:val="FF0000"/>
              </w:rPr>
              <w:t>Инвестиции в материални и нематериални</w:t>
            </w:r>
            <w:r w:rsidR="00F77014" w:rsidRPr="009F6D1E">
              <w:rPr>
                <w:rFonts w:cs="Times New Roman"/>
                <w:i/>
                <w:color w:val="FF0000"/>
              </w:rPr>
              <w:t xml:space="preserve"> активи, както и други действия</w:t>
            </w:r>
          </w:p>
          <w:p w14:paraId="6CB0885D" w14:textId="77777777" w:rsidR="00D53DB5" w:rsidRPr="009F6D1E" w:rsidRDefault="00F77014" w:rsidP="0084747F">
            <w:pPr>
              <w:spacing w:after="60" w:line="264" w:lineRule="auto"/>
              <w:jc w:val="both"/>
              <w:rPr>
                <w:rFonts w:cs="Times New Roman"/>
                <w:i/>
                <w:color w:val="FF0000"/>
              </w:rPr>
            </w:pPr>
            <w:r w:rsidRPr="009F6D1E">
              <w:rPr>
                <w:rFonts w:cs="Times New Roman"/>
                <w:i/>
              </w:rPr>
              <w:t xml:space="preserve">- </w:t>
            </w:r>
            <w:r w:rsidR="00D53DB5" w:rsidRPr="009F6D1E">
              <w:rPr>
                <w:rFonts w:cs="Times New Roman"/>
                <w:i/>
                <w:color w:val="FF0000"/>
              </w:rPr>
              <w:t>Действия за подпомагане на лабораториите</w:t>
            </w:r>
            <w:r w:rsidRPr="009F6D1E">
              <w:rPr>
                <w:rFonts w:cs="Times New Roman"/>
                <w:i/>
                <w:color w:val="FF0000"/>
              </w:rPr>
              <w:t xml:space="preserve"> за анализ на пчелните продукти</w:t>
            </w:r>
          </w:p>
          <w:p w14:paraId="4B6C572A"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00D53DB5" w:rsidRPr="009F6D1E">
              <w:rPr>
                <w:rFonts w:cs="Times New Roman"/>
                <w:i/>
              </w:rPr>
              <w:t>Сътрудничество със специализирани органи за изпълнението на изследователски програми в областта на пчела</w:t>
            </w:r>
            <w:r w:rsidRPr="009F6D1E">
              <w:rPr>
                <w:rFonts w:cs="Times New Roman"/>
                <w:i/>
              </w:rPr>
              <w:t>рството и пчелните продукти</w:t>
            </w:r>
            <w:r w:rsidR="00D53DB5" w:rsidRPr="009F6D1E">
              <w:rPr>
                <w:rFonts w:cs="Times New Roman"/>
                <w:i/>
              </w:rPr>
              <w:t>.</w:t>
            </w:r>
          </w:p>
          <w:p w14:paraId="1658B802"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00D53DB5" w:rsidRPr="009F6D1E">
              <w:rPr>
                <w:rFonts w:cs="Times New Roman"/>
                <w:i/>
              </w:rPr>
              <w:t>Популяризиране, комуникация и маркетинг, включително действия за наблюдение на пазара и дейности, насочени по-специално към повишаване на осведомеността на потребителите относно качеството на пчелните продукти и значението на здравословния начин на хранене</w:t>
            </w:r>
          </w:p>
          <w:p w14:paraId="6497DEB8" w14:textId="77777777" w:rsidR="00D53DB5" w:rsidRPr="009F6D1E" w:rsidRDefault="00D53DB5" w:rsidP="0084747F">
            <w:pPr>
              <w:spacing w:after="60" w:line="264" w:lineRule="auto"/>
              <w:jc w:val="both"/>
              <w:rPr>
                <w:rFonts w:cs="Times New Roman"/>
                <w:i/>
                <w:color w:val="FF0000"/>
              </w:rPr>
            </w:pPr>
            <w:r w:rsidRPr="009F6D1E">
              <w:rPr>
                <w:rFonts w:cs="Times New Roman"/>
                <w:i/>
              </w:rPr>
              <w:lastRenderedPageBreak/>
              <w:t>- „</w:t>
            </w:r>
            <w:r w:rsidRPr="009F6D1E">
              <w:rPr>
                <w:rFonts w:cs="Times New Roman"/>
                <w:i/>
                <w:color w:val="FF0000"/>
              </w:rPr>
              <w:t>Подпомагане развитието на малки земеделски стопанства“, съгласно член 64, б. „д“ и Установяване на млади земеделски стопани - член 64, б. „д“.</w:t>
            </w:r>
          </w:p>
          <w:p w14:paraId="31482950" w14:textId="77777777" w:rsidR="00F92FD2" w:rsidRPr="009F6D1E" w:rsidRDefault="00D53DB5" w:rsidP="0084747F">
            <w:pPr>
              <w:widowControl w:val="0"/>
              <w:tabs>
                <w:tab w:val="left" w:pos="5765"/>
              </w:tabs>
              <w:spacing w:after="60" w:line="264" w:lineRule="auto"/>
              <w:jc w:val="both"/>
              <w:rPr>
                <w:rFonts w:cs="Times New Roman"/>
                <w:highlight w:val="yellow"/>
              </w:rPr>
            </w:pPr>
            <w:r w:rsidRPr="009F6D1E">
              <w:rPr>
                <w:rFonts w:cs="Times New Roman"/>
                <w:i/>
                <w:color w:val="FF0000"/>
              </w:rPr>
              <w:t>- „Инвестиции за модернизация на земеделски стопанства“ – чл. 64, б. „г“ от  ЕЗФРСР.</w:t>
            </w:r>
          </w:p>
        </w:tc>
        <w:tc>
          <w:tcPr>
            <w:tcW w:w="7513" w:type="dxa"/>
          </w:tcPr>
          <w:p w14:paraId="3865AE31" w14:textId="200563E5" w:rsidR="00ED1CA9" w:rsidRPr="009F6D1E" w:rsidRDefault="00ED1CA9" w:rsidP="0084747F">
            <w:pPr>
              <w:widowControl w:val="0"/>
              <w:spacing w:after="60" w:line="264" w:lineRule="auto"/>
              <w:jc w:val="both"/>
              <w:rPr>
                <w:rFonts w:cs="Times New Roman"/>
                <w:b/>
                <w:bCs/>
                <w:i/>
              </w:rPr>
            </w:pPr>
            <w:r w:rsidRPr="009F6D1E">
              <w:rPr>
                <w:rFonts w:cs="Times New Roman"/>
                <w:b/>
                <w:bCs/>
                <w:i/>
              </w:rPr>
              <w:lastRenderedPageBreak/>
              <w:t xml:space="preserve">П.2.7. Гарантиране на по-добри условия за устойчиво развитие на сектор пчеларство и повишаване на доходите </w:t>
            </w:r>
            <w:r w:rsidRPr="009F6D1E">
              <w:rPr>
                <w:rFonts w:cs="Times New Roman"/>
                <w:b/>
                <w:bCs/>
                <w:i/>
                <w:color w:val="FF0000"/>
              </w:rPr>
              <w:t>на стопанствата</w:t>
            </w:r>
            <w:r w:rsidRPr="009F6D1E">
              <w:rPr>
                <w:rFonts w:cs="Times New Roman"/>
                <w:b/>
                <w:bCs/>
                <w:i/>
              </w:rPr>
              <w:t xml:space="preserve">, </w:t>
            </w:r>
            <w:r w:rsidRPr="009F6D1E">
              <w:rPr>
                <w:rFonts w:cs="Times New Roman"/>
                <w:b/>
                <w:bCs/>
                <w:i/>
                <w:color w:val="FF0000"/>
              </w:rPr>
              <w:t>повишаване на тяхната устойчивост и конкурент</w:t>
            </w:r>
            <w:r w:rsidR="00371700">
              <w:rPr>
                <w:rFonts w:cs="Times New Roman"/>
                <w:b/>
                <w:bCs/>
                <w:i/>
                <w:color w:val="FF0000"/>
              </w:rPr>
              <w:t>осп</w:t>
            </w:r>
            <w:r w:rsidRPr="009F6D1E">
              <w:rPr>
                <w:rFonts w:cs="Times New Roman"/>
                <w:b/>
                <w:bCs/>
                <w:i/>
                <w:color w:val="FF0000"/>
              </w:rPr>
              <w:t>особност</w:t>
            </w:r>
            <w:r w:rsidRPr="009F6D1E">
              <w:rPr>
                <w:rFonts w:cs="Times New Roman"/>
                <w:b/>
                <w:bCs/>
                <w:i/>
              </w:rPr>
              <w:t xml:space="preserve"> чрез модернизация на стопанствата, използване на цифровизацията, както и по-широкото прилагане на подвижното пчеларство</w:t>
            </w:r>
          </w:p>
          <w:p w14:paraId="2FD85642"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1971EE42" w14:textId="77777777" w:rsidR="00ED1CA9" w:rsidRPr="009F6D1E" w:rsidRDefault="00ED1CA9" w:rsidP="0084747F">
            <w:pPr>
              <w:widowControl w:val="0"/>
              <w:spacing w:after="60" w:line="264" w:lineRule="auto"/>
              <w:jc w:val="both"/>
              <w:rPr>
                <w:rFonts w:cs="Times New Roman"/>
                <w:i/>
              </w:rPr>
            </w:pPr>
            <w:r w:rsidRPr="009F6D1E">
              <w:rPr>
                <w:rFonts w:cs="Times New Roman"/>
                <w:b/>
                <w:bCs/>
                <w:i/>
              </w:rPr>
              <w:t xml:space="preserve">- </w:t>
            </w:r>
            <w:r w:rsidRPr="009F6D1E">
              <w:rPr>
                <w:rFonts w:cs="Times New Roman"/>
                <w:i/>
              </w:rPr>
              <w:t xml:space="preserve">Консултантски услуги, техническа помощ, обучение, информация и обмен на добри практики за пчелари и пчеларски организации, включително относно агресорите и болестите в кошера, особено </w:t>
            </w:r>
            <w:proofErr w:type="spellStart"/>
            <w:r w:rsidRPr="009F6D1E">
              <w:rPr>
                <w:rFonts w:cs="Times New Roman"/>
                <w:i/>
              </w:rPr>
              <w:t>вароатозата</w:t>
            </w:r>
            <w:proofErr w:type="spellEnd"/>
          </w:p>
          <w:p w14:paraId="42CE0A01" w14:textId="77777777" w:rsidR="00ED1CA9" w:rsidRPr="009F6D1E" w:rsidRDefault="00ED1CA9" w:rsidP="0084747F">
            <w:pPr>
              <w:widowControl w:val="0"/>
              <w:spacing w:after="60" w:line="264" w:lineRule="auto"/>
              <w:jc w:val="both"/>
              <w:rPr>
                <w:rFonts w:cs="Times New Roman"/>
                <w:i/>
              </w:rPr>
            </w:pPr>
            <w:r w:rsidRPr="009F6D1E">
              <w:rPr>
                <w:rFonts w:cs="Times New Roman"/>
                <w:i/>
              </w:rPr>
              <w:t xml:space="preserve">- </w:t>
            </w:r>
            <w:r w:rsidRPr="009F6D1E">
              <w:rPr>
                <w:rFonts w:cs="Times New Roman"/>
                <w:i/>
                <w:color w:val="FF0000"/>
              </w:rPr>
              <w:t xml:space="preserve">Борба срещу агресорите и болестите в кошера, особено срещу </w:t>
            </w:r>
            <w:proofErr w:type="spellStart"/>
            <w:r w:rsidRPr="009F6D1E">
              <w:rPr>
                <w:rFonts w:cs="Times New Roman"/>
                <w:i/>
                <w:color w:val="FF0000"/>
              </w:rPr>
              <w:t>вароатозата</w:t>
            </w:r>
            <w:proofErr w:type="spellEnd"/>
          </w:p>
          <w:p w14:paraId="7562B2C2" w14:textId="77777777" w:rsidR="00ED1CA9" w:rsidRPr="009F6D1E" w:rsidRDefault="00ED1CA9" w:rsidP="0084747F">
            <w:pPr>
              <w:widowControl w:val="0"/>
              <w:spacing w:after="60" w:line="264" w:lineRule="auto"/>
              <w:jc w:val="both"/>
              <w:rPr>
                <w:rFonts w:cs="Times New Roman"/>
                <w:i/>
              </w:rPr>
            </w:pPr>
            <w:r w:rsidRPr="009F6D1E">
              <w:rPr>
                <w:rFonts w:cs="Times New Roman"/>
                <w:i/>
              </w:rPr>
              <w:t>- Сътрудничество със специализирани органи за изпълнението на изследователски програми в областта на пчеларството и пчелните продукти</w:t>
            </w:r>
          </w:p>
          <w:p w14:paraId="6670B9FB" w14:textId="77777777" w:rsidR="00ED1CA9" w:rsidRPr="009F6D1E" w:rsidRDefault="00ED1CA9" w:rsidP="0084747F">
            <w:pPr>
              <w:widowControl w:val="0"/>
              <w:spacing w:after="60" w:line="264" w:lineRule="auto"/>
              <w:jc w:val="both"/>
              <w:rPr>
                <w:rFonts w:cs="Times New Roman"/>
                <w:i/>
              </w:rPr>
            </w:pPr>
            <w:r w:rsidRPr="009F6D1E">
              <w:rPr>
                <w:rFonts w:cs="Times New Roman"/>
                <w:i/>
              </w:rPr>
              <w:t>- Популяризиране, комуникация и маркетинг, включително действия за наблюдение на пазара и дейности, насочени по-специално към повишаване на осведомеността на потребителите относно качеството на пчелните продукти и значението на здравословния начин на хранене</w:t>
            </w:r>
          </w:p>
          <w:p w14:paraId="0D9BB59E" w14:textId="77777777" w:rsidR="00ED1CA9" w:rsidRPr="009F6D1E" w:rsidRDefault="00ED1CA9" w:rsidP="0084747F">
            <w:pPr>
              <w:widowControl w:val="0"/>
              <w:spacing w:after="60" w:line="264" w:lineRule="auto"/>
              <w:jc w:val="both"/>
              <w:rPr>
                <w:rFonts w:cs="Times New Roman"/>
                <w:i/>
              </w:rPr>
            </w:pPr>
            <w:r w:rsidRPr="009F6D1E">
              <w:rPr>
                <w:rFonts w:cs="Times New Roman"/>
                <w:i/>
              </w:rPr>
              <w:t xml:space="preserve">- </w:t>
            </w:r>
            <w:r w:rsidRPr="009F6D1E">
              <w:rPr>
                <w:rFonts w:cs="Times New Roman"/>
                <w:i/>
                <w:color w:val="FF0000"/>
              </w:rPr>
              <w:t xml:space="preserve">Действия за запазване или увеличаване на наличния брой пчелни </w:t>
            </w:r>
            <w:r w:rsidRPr="009F6D1E">
              <w:rPr>
                <w:rFonts w:cs="Times New Roman"/>
                <w:i/>
                <w:color w:val="FF0000"/>
              </w:rPr>
              <w:lastRenderedPageBreak/>
              <w:t>кошери в Съюза, включително развъждане на пчели</w:t>
            </w:r>
          </w:p>
          <w:p w14:paraId="2993234D" w14:textId="77777777" w:rsidR="00ED1CA9" w:rsidRPr="009F6D1E" w:rsidRDefault="00ED1CA9" w:rsidP="0084747F">
            <w:pPr>
              <w:widowControl w:val="0"/>
              <w:spacing w:after="60" w:line="264" w:lineRule="auto"/>
              <w:jc w:val="both"/>
              <w:rPr>
                <w:rFonts w:cs="Times New Roman"/>
                <w:i/>
                <w:color w:val="FF0000"/>
              </w:rPr>
            </w:pPr>
            <w:r w:rsidRPr="009F6D1E">
              <w:rPr>
                <w:rFonts w:cs="Times New Roman"/>
                <w:i/>
              </w:rPr>
              <w:t>-</w:t>
            </w:r>
            <w:r w:rsidRPr="009F6D1E">
              <w:rPr>
                <w:rFonts w:cs="Times New Roman"/>
              </w:rPr>
              <w:t xml:space="preserve"> </w:t>
            </w:r>
            <w:r w:rsidRPr="009F6D1E">
              <w:rPr>
                <w:rFonts w:cs="Times New Roman"/>
                <w:i/>
                <w:color w:val="FF0000"/>
              </w:rPr>
              <w:t>Инвестиции в материални и нематериални активи</w:t>
            </w:r>
          </w:p>
          <w:p w14:paraId="0CBDFD98" w14:textId="77777777" w:rsidR="00ED1CA9" w:rsidRPr="009F6D1E" w:rsidRDefault="00ED1CA9" w:rsidP="0084747F">
            <w:pPr>
              <w:widowControl w:val="0"/>
              <w:spacing w:after="60" w:line="264" w:lineRule="auto"/>
              <w:jc w:val="both"/>
              <w:rPr>
                <w:rFonts w:cs="Times New Roman"/>
                <w:i/>
                <w:color w:val="FF0000"/>
              </w:rPr>
            </w:pPr>
            <w:r w:rsidRPr="009F6D1E">
              <w:rPr>
                <w:rFonts w:cs="Times New Roman"/>
                <w:i/>
                <w:color w:val="FF0000"/>
              </w:rPr>
              <w:t>- Подновяване на пчелните кошери в Съюза, включително развъждане на пчели</w:t>
            </w:r>
          </w:p>
          <w:p w14:paraId="6FB661AB" w14:textId="77777777" w:rsidR="00ED1CA9" w:rsidRPr="009F6D1E" w:rsidRDefault="00ED1CA9" w:rsidP="0084747F">
            <w:pPr>
              <w:widowControl w:val="0"/>
              <w:spacing w:after="60" w:line="264" w:lineRule="auto"/>
              <w:jc w:val="both"/>
              <w:rPr>
                <w:rFonts w:cs="Times New Roman"/>
                <w:i/>
                <w:color w:val="FF0000"/>
              </w:rPr>
            </w:pPr>
            <w:r w:rsidRPr="009F6D1E">
              <w:rPr>
                <w:rFonts w:cs="Times New Roman"/>
                <w:i/>
                <w:color w:val="FF0000"/>
              </w:rPr>
              <w:t>-</w:t>
            </w:r>
            <w:r w:rsidRPr="009F6D1E">
              <w:rPr>
                <w:rFonts w:cs="Times New Roman"/>
                <w:color w:val="FF0000"/>
              </w:rPr>
              <w:t xml:space="preserve"> </w:t>
            </w:r>
            <w:r w:rsidRPr="009F6D1E">
              <w:rPr>
                <w:rFonts w:cs="Times New Roman"/>
                <w:i/>
                <w:color w:val="FF0000"/>
              </w:rPr>
              <w:t>Рационализиране на подвижното пчеларство</w:t>
            </w:r>
          </w:p>
          <w:p w14:paraId="42CDD8D4" w14:textId="77777777" w:rsidR="00F92FD2" w:rsidRPr="009F6D1E" w:rsidRDefault="00ED1CA9" w:rsidP="0084747F">
            <w:pPr>
              <w:widowControl w:val="0"/>
              <w:tabs>
                <w:tab w:val="left" w:pos="5765"/>
              </w:tabs>
              <w:spacing w:after="60" w:line="264" w:lineRule="auto"/>
              <w:jc w:val="both"/>
              <w:rPr>
                <w:rFonts w:cs="Times New Roman"/>
                <w:highlight w:val="yellow"/>
              </w:rPr>
            </w:pPr>
            <w:r w:rsidRPr="009F6D1E">
              <w:rPr>
                <w:rFonts w:cs="Times New Roman"/>
                <w:i/>
                <w:color w:val="FF0000"/>
              </w:rPr>
              <w:t>-</w:t>
            </w:r>
            <w:r w:rsidRPr="009F6D1E">
              <w:rPr>
                <w:rFonts w:cs="Times New Roman"/>
                <w:color w:val="FF0000"/>
              </w:rPr>
              <w:t xml:space="preserve"> </w:t>
            </w:r>
            <w:r w:rsidRPr="009F6D1E">
              <w:rPr>
                <w:rFonts w:cs="Times New Roman"/>
                <w:i/>
                <w:color w:val="FF0000"/>
              </w:rPr>
              <w:t>Действия за подпомагане на лабораториите за анализ на пчелните продукти, загубата на пчели или спада на производителността, както и потенциално токсичните за пчелите вещества</w:t>
            </w:r>
          </w:p>
        </w:tc>
      </w:tr>
      <w:tr w:rsidR="00F92FD2" w:rsidRPr="009F6D1E" w14:paraId="1EC10B21" w14:textId="77777777" w:rsidTr="00F92FD2">
        <w:tc>
          <w:tcPr>
            <w:tcW w:w="7366" w:type="dxa"/>
          </w:tcPr>
          <w:p w14:paraId="2D4CA879" w14:textId="240D6A43" w:rsidR="00D53DB5" w:rsidRPr="009F6D1E" w:rsidRDefault="00D53DB5" w:rsidP="0084747F">
            <w:pPr>
              <w:widowControl w:val="0"/>
              <w:spacing w:after="60" w:line="264" w:lineRule="auto"/>
              <w:jc w:val="both"/>
              <w:rPr>
                <w:rFonts w:cs="Times New Roman"/>
                <w:b/>
                <w:bCs/>
                <w:i/>
              </w:rPr>
            </w:pPr>
            <w:r w:rsidRPr="009F6D1E">
              <w:rPr>
                <w:rFonts w:cs="Times New Roman"/>
                <w:b/>
                <w:bCs/>
                <w:i/>
                <w:u w:val="single"/>
              </w:rPr>
              <w:lastRenderedPageBreak/>
              <w:t>Потребност 8</w:t>
            </w:r>
            <w:r w:rsidRPr="009F6D1E">
              <w:rPr>
                <w:rFonts w:cs="Times New Roman"/>
                <w:b/>
                <w:bCs/>
                <w:i/>
              </w:rPr>
              <w:t>: Повишаване на конкурент</w:t>
            </w:r>
            <w:r w:rsidR="006E0FF0">
              <w:rPr>
                <w:rFonts w:cs="Times New Roman"/>
                <w:b/>
                <w:bCs/>
                <w:i/>
              </w:rPr>
              <w:t>осп</w:t>
            </w:r>
            <w:r w:rsidRPr="009F6D1E">
              <w:rPr>
                <w:rFonts w:cs="Times New Roman"/>
                <w:b/>
                <w:bCs/>
                <w:i/>
              </w:rPr>
              <w:t xml:space="preserve">особността на производителите и преработвателите в </w:t>
            </w:r>
            <w:proofErr w:type="spellStart"/>
            <w:r w:rsidRPr="009F6D1E">
              <w:rPr>
                <w:rFonts w:cs="Times New Roman"/>
                <w:b/>
                <w:bCs/>
                <w:i/>
              </w:rPr>
              <w:t>лозаро</w:t>
            </w:r>
            <w:proofErr w:type="spellEnd"/>
            <w:r w:rsidRPr="009F6D1E">
              <w:rPr>
                <w:rFonts w:cs="Times New Roman"/>
                <w:b/>
                <w:bCs/>
                <w:i/>
              </w:rPr>
              <w:t>-винарския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p w14:paraId="70E80418"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0FF1FA44" w14:textId="77777777" w:rsidR="00D53DB5" w:rsidRPr="009F6D1E" w:rsidRDefault="00D53DB5" w:rsidP="0084747F">
            <w:pPr>
              <w:spacing w:after="60" w:line="264" w:lineRule="auto"/>
              <w:jc w:val="both"/>
              <w:rPr>
                <w:rFonts w:cs="Times New Roman"/>
                <w:i/>
              </w:rPr>
            </w:pPr>
            <w:r w:rsidRPr="009F6D1E">
              <w:rPr>
                <w:rFonts w:cs="Times New Roman"/>
                <w:b/>
                <w:bCs/>
                <w:i/>
              </w:rPr>
              <w:t xml:space="preserve">- </w:t>
            </w:r>
            <w:r w:rsidRPr="009F6D1E">
              <w:rPr>
                <w:rFonts w:cs="Times New Roman"/>
                <w:i/>
              </w:rPr>
              <w:t>Преструктуриране и конверсия на лозя</w:t>
            </w:r>
          </w:p>
          <w:p w14:paraId="511ACBC2"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00D53DB5" w:rsidRPr="009F6D1E">
              <w:rPr>
                <w:rFonts w:cs="Times New Roman"/>
                <w:i/>
                <w:color w:val="FF0000"/>
              </w:rPr>
              <w:t>Инвестиции в предприятия</w:t>
            </w:r>
          </w:p>
          <w:p w14:paraId="0C07AF24"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Pr="009F6D1E">
              <w:rPr>
                <w:rFonts w:cs="Times New Roman"/>
                <w:i/>
                <w:color w:val="FF0000"/>
              </w:rPr>
              <w:t>Събиране на реколтата на зелено</w:t>
            </w:r>
            <w:r w:rsidR="00D53DB5" w:rsidRPr="009F6D1E">
              <w:rPr>
                <w:rFonts w:cs="Times New Roman"/>
                <w:i/>
                <w:color w:val="FF0000"/>
              </w:rPr>
              <w:t>.</w:t>
            </w:r>
          </w:p>
          <w:p w14:paraId="1DD6AD81"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00D53DB5" w:rsidRPr="009F6D1E">
              <w:rPr>
                <w:rFonts w:cs="Times New Roman"/>
                <w:i/>
                <w:color w:val="FF0000"/>
              </w:rPr>
              <w:t>Застраховане на реколтата</w:t>
            </w:r>
          </w:p>
          <w:p w14:paraId="4FCAF4E5" w14:textId="77777777" w:rsidR="00D53DB5" w:rsidRPr="009F6D1E" w:rsidRDefault="00F77014" w:rsidP="0084747F">
            <w:pPr>
              <w:spacing w:after="60" w:line="264" w:lineRule="auto"/>
              <w:jc w:val="both"/>
              <w:rPr>
                <w:rFonts w:cs="Times New Roman"/>
                <w:i/>
              </w:rPr>
            </w:pPr>
            <w:r w:rsidRPr="009F6D1E">
              <w:rPr>
                <w:rFonts w:cs="Times New Roman"/>
                <w:i/>
              </w:rPr>
              <w:t xml:space="preserve">- </w:t>
            </w:r>
            <w:r w:rsidR="00D53DB5" w:rsidRPr="009F6D1E">
              <w:rPr>
                <w:rFonts w:cs="Times New Roman"/>
                <w:i/>
              </w:rPr>
              <w:t>Информиране в държавите-членки</w:t>
            </w:r>
          </w:p>
          <w:p w14:paraId="3821D686" w14:textId="77777777" w:rsidR="00F92FD2" w:rsidRPr="009F6D1E" w:rsidRDefault="00F77014" w:rsidP="0084747F">
            <w:pPr>
              <w:widowControl w:val="0"/>
              <w:tabs>
                <w:tab w:val="left" w:pos="5765"/>
              </w:tabs>
              <w:spacing w:after="60" w:line="264" w:lineRule="auto"/>
              <w:jc w:val="both"/>
              <w:rPr>
                <w:rFonts w:cs="Times New Roman"/>
                <w:highlight w:val="yellow"/>
              </w:rPr>
            </w:pPr>
            <w:r w:rsidRPr="009F6D1E">
              <w:rPr>
                <w:rFonts w:cs="Times New Roman"/>
                <w:i/>
              </w:rPr>
              <w:t xml:space="preserve">- </w:t>
            </w:r>
            <w:r w:rsidR="00D53DB5" w:rsidRPr="009F6D1E">
              <w:rPr>
                <w:rFonts w:cs="Times New Roman"/>
                <w:i/>
              </w:rPr>
              <w:t>Популяризиране в трети държави</w:t>
            </w:r>
          </w:p>
        </w:tc>
        <w:tc>
          <w:tcPr>
            <w:tcW w:w="7513" w:type="dxa"/>
          </w:tcPr>
          <w:p w14:paraId="052FAAA6" w14:textId="3682E57C" w:rsidR="00ED1CA9" w:rsidRPr="009F6D1E" w:rsidRDefault="00ED1CA9" w:rsidP="0084747F">
            <w:pPr>
              <w:widowControl w:val="0"/>
              <w:spacing w:after="60" w:line="264" w:lineRule="auto"/>
              <w:jc w:val="both"/>
              <w:rPr>
                <w:rFonts w:cs="Times New Roman"/>
                <w:b/>
                <w:bCs/>
                <w:i/>
              </w:rPr>
            </w:pPr>
            <w:r w:rsidRPr="009F6D1E">
              <w:rPr>
                <w:rFonts w:cs="Times New Roman"/>
                <w:b/>
                <w:bCs/>
                <w:i/>
              </w:rPr>
              <w:t>П.2.8. Повишаване на конкурент</w:t>
            </w:r>
            <w:r w:rsidR="006E0FF0">
              <w:rPr>
                <w:rFonts w:cs="Times New Roman"/>
                <w:b/>
                <w:bCs/>
                <w:i/>
              </w:rPr>
              <w:t>осп</w:t>
            </w:r>
            <w:r w:rsidRPr="009F6D1E">
              <w:rPr>
                <w:rFonts w:cs="Times New Roman"/>
                <w:b/>
                <w:bCs/>
                <w:i/>
              </w:rPr>
              <w:t xml:space="preserve">особността на производителите и преработвателите в </w:t>
            </w:r>
            <w:proofErr w:type="spellStart"/>
            <w:r w:rsidRPr="009F6D1E">
              <w:rPr>
                <w:rFonts w:cs="Times New Roman"/>
                <w:b/>
                <w:bCs/>
                <w:i/>
              </w:rPr>
              <w:t>лозаро</w:t>
            </w:r>
            <w:proofErr w:type="spellEnd"/>
            <w:r w:rsidR="006E0FF0">
              <w:rPr>
                <w:rFonts w:cs="Times New Roman"/>
                <w:b/>
                <w:bCs/>
                <w:i/>
              </w:rPr>
              <w:t>-</w:t>
            </w:r>
            <w:r w:rsidRPr="009F6D1E">
              <w:rPr>
                <w:rFonts w:cs="Times New Roman"/>
                <w:b/>
                <w:bCs/>
                <w:i/>
              </w:rPr>
              <w:t>винарския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p w14:paraId="10B25F39"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5FBDB09" w14:textId="77777777" w:rsidR="00ED1CA9" w:rsidRPr="009F6D1E" w:rsidRDefault="00ED1CA9" w:rsidP="0084747F">
            <w:pPr>
              <w:widowControl w:val="0"/>
              <w:spacing w:after="60" w:line="264" w:lineRule="auto"/>
              <w:jc w:val="both"/>
              <w:rPr>
                <w:rFonts w:cs="Times New Roman"/>
                <w:i/>
              </w:rPr>
            </w:pPr>
            <w:r w:rsidRPr="009F6D1E">
              <w:rPr>
                <w:rFonts w:cs="Times New Roman"/>
                <w:b/>
                <w:bCs/>
                <w:i/>
              </w:rPr>
              <w:t xml:space="preserve">- </w:t>
            </w:r>
            <w:r w:rsidRPr="009F6D1E">
              <w:rPr>
                <w:rFonts w:cs="Times New Roman"/>
                <w:i/>
              </w:rPr>
              <w:t>Преструктуриране и конверсия на лозя</w:t>
            </w:r>
          </w:p>
          <w:p w14:paraId="4A0EAD21" w14:textId="77777777" w:rsidR="00ED1CA9" w:rsidRPr="009F6D1E" w:rsidRDefault="00ED1CA9" w:rsidP="0084747F">
            <w:pPr>
              <w:widowControl w:val="0"/>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 xml:space="preserve">Инвестиции в </w:t>
            </w:r>
            <w:proofErr w:type="spellStart"/>
            <w:r w:rsidRPr="009F6D1E">
              <w:rPr>
                <w:rFonts w:cs="Times New Roman"/>
                <w:i/>
                <w:color w:val="FF0000"/>
              </w:rPr>
              <w:t>лозаро</w:t>
            </w:r>
            <w:proofErr w:type="spellEnd"/>
            <w:r w:rsidRPr="009F6D1E">
              <w:rPr>
                <w:rFonts w:cs="Times New Roman"/>
                <w:i/>
                <w:color w:val="FF0000"/>
              </w:rPr>
              <w:t>-винарския сектор</w:t>
            </w:r>
          </w:p>
          <w:p w14:paraId="3014A20E" w14:textId="77777777" w:rsidR="00ED1CA9" w:rsidRPr="009F6D1E" w:rsidRDefault="00ED1CA9" w:rsidP="0084747F">
            <w:pPr>
              <w:widowControl w:val="0"/>
              <w:spacing w:after="60" w:line="264" w:lineRule="auto"/>
              <w:jc w:val="both"/>
              <w:rPr>
                <w:rFonts w:cs="Times New Roman"/>
                <w:i/>
              </w:rPr>
            </w:pPr>
            <w:r w:rsidRPr="009F6D1E">
              <w:rPr>
                <w:rFonts w:cs="Times New Roman"/>
                <w:i/>
                <w:color w:val="FF0000"/>
              </w:rPr>
              <w:t>- Насърчаване на винения туризъм</w:t>
            </w:r>
            <w:r w:rsidRPr="009F6D1E">
              <w:rPr>
                <w:rFonts w:cs="Times New Roman"/>
                <w:i/>
              </w:rPr>
              <w:t>.</w:t>
            </w:r>
          </w:p>
          <w:p w14:paraId="2299CF7A" w14:textId="77777777" w:rsidR="00ED1CA9" w:rsidRPr="009F6D1E" w:rsidRDefault="00ED1CA9" w:rsidP="0084747F">
            <w:pPr>
              <w:widowControl w:val="0"/>
              <w:spacing w:after="60" w:line="264" w:lineRule="auto"/>
              <w:jc w:val="both"/>
              <w:rPr>
                <w:rFonts w:cs="Times New Roman"/>
                <w:i/>
                <w:color w:val="FF0000"/>
              </w:rPr>
            </w:pPr>
            <w:r w:rsidRPr="009F6D1E">
              <w:rPr>
                <w:rFonts w:cs="Times New Roman"/>
                <w:i/>
              </w:rPr>
              <w:t xml:space="preserve">- Популяризиране в трети държави </w:t>
            </w:r>
          </w:p>
          <w:p w14:paraId="01B92D60" w14:textId="77777777" w:rsidR="00ED1CA9" w:rsidRPr="009F6D1E" w:rsidRDefault="00ED1CA9" w:rsidP="0084747F">
            <w:pPr>
              <w:widowControl w:val="0"/>
              <w:spacing w:after="60" w:line="264" w:lineRule="auto"/>
              <w:jc w:val="both"/>
              <w:rPr>
                <w:rFonts w:cs="Times New Roman"/>
                <w:i/>
              </w:rPr>
            </w:pPr>
            <w:r w:rsidRPr="009F6D1E">
              <w:rPr>
                <w:rFonts w:cs="Times New Roman"/>
                <w:i/>
              </w:rPr>
              <w:t>- Информиране в държавите-членки</w:t>
            </w:r>
          </w:p>
          <w:p w14:paraId="380E7C3D" w14:textId="77777777" w:rsidR="00F92FD2" w:rsidRPr="009F6D1E" w:rsidRDefault="00ED1CA9" w:rsidP="0084747F">
            <w:pPr>
              <w:widowControl w:val="0"/>
              <w:tabs>
                <w:tab w:val="left" w:pos="5765"/>
              </w:tabs>
              <w:spacing w:after="60" w:line="264" w:lineRule="auto"/>
              <w:jc w:val="both"/>
              <w:rPr>
                <w:rFonts w:cs="Times New Roman"/>
                <w:highlight w:val="yellow"/>
              </w:rPr>
            </w:pPr>
            <w:r w:rsidRPr="009F6D1E">
              <w:rPr>
                <w:rFonts w:cs="Times New Roman"/>
                <w:i/>
                <w:color w:val="FF0000"/>
              </w:rPr>
              <w:t>- Инвестиции в екологични съоръжения</w:t>
            </w:r>
          </w:p>
        </w:tc>
      </w:tr>
      <w:tr w:rsidR="00F92FD2" w:rsidRPr="009F6D1E" w14:paraId="0493B2B9" w14:textId="77777777" w:rsidTr="00F92FD2">
        <w:tc>
          <w:tcPr>
            <w:tcW w:w="7366" w:type="dxa"/>
          </w:tcPr>
          <w:p w14:paraId="6ED4A8BB" w14:textId="77777777" w:rsidR="00F92FD2" w:rsidRPr="009F6D1E" w:rsidRDefault="00F92FD2" w:rsidP="0084747F">
            <w:pPr>
              <w:widowControl w:val="0"/>
              <w:tabs>
                <w:tab w:val="left" w:pos="5765"/>
              </w:tabs>
              <w:spacing w:after="60" w:line="264" w:lineRule="auto"/>
              <w:jc w:val="both"/>
              <w:rPr>
                <w:rFonts w:cs="Times New Roman"/>
                <w:highlight w:val="yellow"/>
              </w:rPr>
            </w:pPr>
          </w:p>
        </w:tc>
        <w:tc>
          <w:tcPr>
            <w:tcW w:w="7513" w:type="dxa"/>
          </w:tcPr>
          <w:p w14:paraId="6F5A1387" w14:textId="77777777" w:rsidR="00ED1CA9" w:rsidRPr="009F6D1E" w:rsidRDefault="00ED1CA9" w:rsidP="0084747F">
            <w:pPr>
              <w:widowControl w:val="0"/>
              <w:spacing w:after="60" w:line="264" w:lineRule="auto"/>
              <w:jc w:val="both"/>
              <w:rPr>
                <w:rFonts w:cs="Times New Roman"/>
                <w:b/>
                <w:bCs/>
                <w:i/>
                <w:color w:val="FF0000"/>
              </w:rPr>
            </w:pPr>
            <w:r w:rsidRPr="009F6D1E">
              <w:rPr>
                <w:rFonts w:cs="Times New Roman"/>
                <w:b/>
                <w:bCs/>
                <w:i/>
                <w:color w:val="FF0000"/>
              </w:rPr>
              <w:t>П.2.9. Подобряване на достъпа до финансиране</w:t>
            </w:r>
          </w:p>
          <w:p w14:paraId="6DAC1D26" w14:textId="77777777" w:rsidR="00ED1CA9" w:rsidRPr="009F6D1E" w:rsidRDefault="00ED1CA9" w:rsidP="0084747F">
            <w:pPr>
              <w:widowControl w:val="0"/>
              <w:spacing w:after="60" w:line="264" w:lineRule="auto"/>
              <w:jc w:val="both"/>
              <w:rPr>
                <w:rFonts w:cs="Times New Roman"/>
                <w:b/>
                <w:bCs/>
                <w:i/>
                <w:color w:val="FF0000"/>
              </w:rPr>
            </w:pPr>
            <w:r w:rsidRPr="009F6D1E">
              <w:rPr>
                <w:rFonts w:cs="Times New Roman"/>
                <w:b/>
                <w:bCs/>
                <w:i/>
                <w:color w:val="FF0000"/>
                <w:u w:val="single"/>
              </w:rPr>
              <w:lastRenderedPageBreak/>
              <w:t>Интервенции</w:t>
            </w:r>
            <w:r w:rsidRPr="009F6D1E">
              <w:rPr>
                <w:rFonts w:cs="Times New Roman"/>
                <w:b/>
                <w:bCs/>
                <w:i/>
                <w:color w:val="FF0000"/>
              </w:rPr>
              <w:t>:</w:t>
            </w:r>
          </w:p>
          <w:p w14:paraId="7EE7256D" w14:textId="77777777" w:rsidR="00F92FD2" w:rsidRPr="009F6D1E" w:rsidRDefault="00ED1CA9" w:rsidP="0084747F">
            <w:pPr>
              <w:widowControl w:val="0"/>
              <w:tabs>
                <w:tab w:val="left" w:pos="5765"/>
              </w:tabs>
              <w:spacing w:after="60" w:line="264" w:lineRule="auto"/>
              <w:jc w:val="both"/>
              <w:rPr>
                <w:rFonts w:cs="Times New Roman"/>
                <w:highlight w:val="yellow"/>
              </w:rPr>
            </w:pPr>
            <w:r w:rsidRPr="009F6D1E">
              <w:rPr>
                <w:rFonts w:cs="Times New Roman"/>
                <w:i/>
                <w:color w:val="FF0000"/>
              </w:rPr>
              <w:t>Необходимост от разработване на гаранционна схема, насочена новите, малките и средните земеделски стопанства, поради липсата на достатъчен ресурс за обезпечаване на средствата</w:t>
            </w:r>
          </w:p>
        </w:tc>
      </w:tr>
      <w:tr w:rsidR="00F92FD2" w:rsidRPr="009F6D1E" w14:paraId="51B9B927" w14:textId="77777777" w:rsidTr="00F92FD2">
        <w:tc>
          <w:tcPr>
            <w:tcW w:w="7366" w:type="dxa"/>
          </w:tcPr>
          <w:p w14:paraId="313C1AE1" w14:textId="77777777" w:rsidR="00F92FD2"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lastRenderedPageBreak/>
              <w:t>Специфична цел №3: Подобряване позицията на земеделските стопани във веригата на стойността.</w:t>
            </w:r>
          </w:p>
        </w:tc>
        <w:tc>
          <w:tcPr>
            <w:tcW w:w="7513" w:type="dxa"/>
          </w:tcPr>
          <w:p w14:paraId="69E00200" w14:textId="77777777" w:rsidR="00F92FD2" w:rsidRPr="009F6D1E" w:rsidRDefault="000B17F1" w:rsidP="0084747F">
            <w:pPr>
              <w:widowControl w:val="0"/>
              <w:tabs>
                <w:tab w:val="left" w:pos="5765"/>
              </w:tabs>
              <w:spacing w:after="60" w:line="264" w:lineRule="auto"/>
              <w:jc w:val="both"/>
              <w:rPr>
                <w:rFonts w:cs="Times New Roman"/>
                <w:b/>
                <w:bCs/>
                <w:i/>
              </w:rPr>
            </w:pPr>
            <w:r w:rsidRPr="009F6D1E">
              <w:rPr>
                <w:rFonts w:cs="Times New Roman"/>
                <w:b/>
                <w:bCs/>
                <w:i/>
              </w:rPr>
              <w:t>Специфична цел №3: Подобряване позицията на земеделските стопани във веригата на стойността</w:t>
            </w:r>
          </w:p>
        </w:tc>
      </w:tr>
      <w:tr w:rsidR="00F92FD2" w:rsidRPr="009F6D1E" w14:paraId="4D5AD16E" w14:textId="77777777" w:rsidTr="00F92FD2">
        <w:tc>
          <w:tcPr>
            <w:tcW w:w="7366" w:type="dxa"/>
          </w:tcPr>
          <w:p w14:paraId="5D00F05F"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xml:space="preserve">: Повишаване на нивото на организираност на земеделските производители </w:t>
            </w:r>
          </w:p>
          <w:p w14:paraId="0812593D"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2F61BC7" w14:textId="77777777" w:rsidR="00D53DB5" w:rsidRPr="009F6D1E" w:rsidRDefault="00D53DB5" w:rsidP="0084747F">
            <w:pPr>
              <w:spacing w:after="60" w:line="264" w:lineRule="auto"/>
              <w:jc w:val="both"/>
              <w:rPr>
                <w:rFonts w:cs="Times New Roman"/>
                <w:i/>
              </w:rPr>
            </w:pPr>
            <w:r w:rsidRPr="009F6D1E">
              <w:rPr>
                <w:rFonts w:cs="Times New Roman"/>
                <w:b/>
                <w:bCs/>
                <w:i/>
              </w:rPr>
              <w:t xml:space="preserve">- </w:t>
            </w:r>
            <w:r w:rsidRPr="009F6D1E">
              <w:rPr>
                <w:rFonts w:cs="Times New Roman"/>
                <w:i/>
              </w:rPr>
              <w:t>Оперативни програми в сектори "Плодове и зеленчуци", „Мляко и млечни продук</w:t>
            </w:r>
            <w:r w:rsidR="005300C9" w:rsidRPr="009F6D1E">
              <w:rPr>
                <w:rFonts w:cs="Times New Roman"/>
                <w:i/>
              </w:rPr>
              <w:t>ти“, „Месо“ и „Зърнени култури“</w:t>
            </w:r>
            <w:r w:rsidRPr="009F6D1E">
              <w:rPr>
                <w:rFonts w:cs="Times New Roman"/>
                <w:i/>
              </w:rPr>
              <w:t xml:space="preserve">.  </w:t>
            </w:r>
          </w:p>
          <w:p w14:paraId="769477FB" w14:textId="77777777" w:rsidR="00D53DB5" w:rsidRPr="009F6D1E" w:rsidRDefault="005300C9" w:rsidP="0084747F">
            <w:pPr>
              <w:spacing w:after="60" w:line="264" w:lineRule="auto"/>
              <w:jc w:val="both"/>
              <w:rPr>
                <w:rFonts w:cs="Times New Roman"/>
                <w:i/>
              </w:rPr>
            </w:pPr>
            <w:r w:rsidRPr="009F6D1E">
              <w:rPr>
                <w:rFonts w:cs="Times New Roman"/>
                <w:i/>
              </w:rPr>
              <w:t xml:space="preserve">- </w:t>
            </w:r>
            <w:r w:rsidR="00D53DB5" w:rsidRPr="009F6D1E">
              <w:rPr>
                <w:rFonts w:cs="Times New Roman"/>
                <w:i/>
              </w:rPr>
              <w:t>Подкрепа на организации на производители или групи от производители</w:t>
            </w:r>
          </w:p>
          <w:p w14:paraId="38CBDE75" w14:textId="77777777" w:rsidR="00F92FD2" w:rsidRPr="009F6D1E" w:rsidRDefault="005300C9" w:rsidP="0084747F">
            <w:pPr>
              <w:spacing w:after="60" w:line="264" w:lineRule="auto"/>
              <w:jc w:val="both"/>
              <w:rPr>
                <w:rFonts w:cs="Times New Roman"/>
                <w:highlight w:val="yellow"/>
              </w:rPr>
            </w:pPr>
            <w:r w:rsidRPr="009F6D1E">
              <w:rPr>
                <w:rFonts w:cs="Times New Roman"/>
                <w:i/>
              </w:rPr>
              <w:t xml:space="preserve">- </w:t>
            </w:r>
            <w:r w:rsidR="00D53DB5" w:rsidRPr="009F6D1E">
              <w:rPr>
                <w:rFonts w:cs="Times New Roman"/>
                <w:i/>
              </w:rPr>
              <w:t>Сътрудничество за къси вериги на доставки и местни пазари</w:t>
            </w:r>
          </w:p>
        </w:tc>
        <w:tc>
          <w:tcPr>
            <w:tcW w:w="7513" w:type="dxa"/>
          </w:tcPr>
          <w:p w14:paraId="0021F52A" w14:textId="77777777" w:rsidR="00ED1CA9" w:rsidRPr="009F6D1E" w:rsidRDefault="00ED1CA9" w:rsidP="0084747F">
            <w:pPr>
              <w:spacing w:after="60" w:line="264" w:lineRule="auto"/>
              <w:jc w:val="both"/>
              <w:rPr>
                <w:rFonts w:cs="Times New Roman"/>
                <w:b/>
                <w:bCs/>
                <w:i/>
              </w:rPr>
            </w:pPr>
            <w:r w:rsidRPr="009F6D1E">
              <w:rPr>
                <w:rFonts w:cs="Times New Roman"/>
                <w:b/>
                <w:bCs/>
                <w:i/>
              </w:rPr>
              <w:t>П.3.1.Повишаване на нивото на организираност на земеделските производители</w:t>
            </w:r>
          </w:p>
          <w:p w14:paraId="31C70AC0"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3BF42DF6" w14:textId="77777777" w:rsidR="00ED1CA9" w:rsidRPr="009F6D1E" w:rsidRDefault="00ED1CA9" w:rsidP="0084747F">
            <w:pPr>
              <w:spacing w:after="60" w:line="264" w:lineRule="auto"/>
              <w:jc w:val="both"/>
              <w:rPr>
                <w:rFonts w:cs="Times New Roman"/>
                <w:i/>
              </w:rPr>
            </w:pPr>
            <w:r w:rsidRPr="009F6D1E">
              <w:rPr>
                <w:rFonts w:cs="Times New Roman"/>
                <w:b/>
                <w:bCs/>
                <w:i/>
              </w:rPr>
              <w:t xml:space="preserve">- </w:t>
            </w:r>
            <w:r w:rsidRPr="009F6D1E">
              <w:rPr>
                <w:rFonts w:cs="Times New Roman"/>
                <w:i/>
              </w:rPr>
              <w:t>Оперативни програми в сектори "Плодове и зеленчуци", „Мляко и млечни продукти“, „Месо“ и „Зърнени култури“.</w:t>
            </w:r>
          </w:p>
          <w:p w14:paraId="2193FFCD" w14:textId="77777777" w:rsidR="00ED1CA9" w:rsidRPr="009F6D1E" w:rsidRDefault="00ED1CA9" w:rsidP="0084747F">
            <w:pPr>
              <w:spacing w:after="60" w:line="264" w:lineRule="auto"/>
              <w:jc w:val="both"/>
              <w:rPr>
                <w:rFonts w:cs="Times New Roman"/>
                <w:i/>
              </w:rPr>
            </w:pPr>
            <w:r w:rsidRPr="009F6D1E">
              <w:rPr>
                <w:rFonts w:cs="Times New Roman"/>
                <w:i/>
              </w:rPr>
              <w:t>- Подкрепа на организации на производители или групи от производители</w:t>
            </w:r>
          </w:p>
          <w:p w14:paraId="45C90F40" w14:textId="77777777" w:rsidR="00F92FD2" w:rsidRPr="009F6D1E" w:rsidRDefault="00ED1CA9" w:rsidP="0084747F">
            <w:pPr>
              <w:widowControl w:val="0"/>
              <w:tabs>
                <w:tab w:val="left" w:pos="5765"/>
              </w:tabs>
              <w:spacing w:after="60" w:line="264" w:lineRule="auto"/>
              <w:jc w:val="both"/>
              <w:rPr>
                <w:rFonts w:cs="Times New Roman"/>
                <w:highlight w:val="yellow"/>
              </w:rPr>
            </w:pPr>
            <w:r w:rsidRPr="009F6D1E">
              <w:rPr>
                <w:rFonts w:cs="Times New Roman"/>
                <w:i/>
              </w:rPr>
              <w:t>- Сътрудничество за къси вериги на доставки и местни пазари</w:t>
            </w:r>
          </w:p>
        </w:tc>
      </w:tr>
      <w:tr w:rsidR="00ED1CA9" w:rsidRPr="009F6D1E" w14:paraId="09528B76" w14:textId="77777777" w:rsidTr="00F92FD2">
        <w:tc>
          <w:tcPr>
            <w:tcW w:w="7366" w:type="dxa"/>
          </w:tcPr>
          <w:p w14:paraId="3021583B" w14:textId="77777777" w:rsidR="00D53DB5" w:rsidRPr="009F6D1E" w:rsidRDefault="00D53DB5" w:rsidP="0084747F">
            <w:pPr>
              <w:widowControl w:val="0"/>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Подобряване пазарния достъп на малките земеделски стопанства;</w:t>
            </w:r>
          </w:p>
          <w:p w14:paraId="0A429F29"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38E0A590" w14:textId="77777777" w:rsidR="00D53DB5" w:rsidRPr="009F6D1E" w:rsidRDefault="00D53DB5" w:rsidP="0084747F">
            <w:pPr>
              <w:spacing w:after="60" w:line="264" w:lineRule="auto"/>
              <w:jc w:val="both"/>
              <w:rPr>
                <w:rFonts w:cs="Times New Roman"/>
                <w:i/>
              </w:rPr>
            </w:pPr>
            <w:r w:rsidRPr="009F6D1E">
              <w:rPr>
                <w:rFonts w:cs="Times New Roman"/>
                <w:b/>
                <w:bCs/>
                <w:i/>
              </w:rPr>
              <w:t xml:space="preserve">- </w:t>
            </w:r>
            <w:r w:rsidRPr="009F6D1E">
              <w:rPr>
                <w:rFonts w:cs="Times New Roman"/>
                <w:i/>
              </w:rPr>
              <w:t>Оперативни програми в сектори "Плодове и зеленчуци", „Мляко и млечни продук</w:t>
            </w:r>
            <w:r w:rsidR="005300C9" w:rsidRPr="009F6D1E">
              <w:rPr>
                <w:rFonts w:cs="Times New Roman"/>
                <w:i/>
              </w:rPr>
              <w:t>ти“, „</w:t>
            </w:r>
            <w:r w:rsidR="005300C9" w:rsidRPr="009F6D1E">
              <w:rPr>
                <w:rFonts w:cs="Times New Roman"/>
                <w:i/>
                <w:color w:val="FF0000"/>
              </w:rPr>
              <w:t>Месо“ и „Зърнени култури“</w:t>
            </w:r>
            <w:r w:rsidRPr="009F6D1E">
              <w:rPr>
                <w:rFonts w:cs="Times New Roman"/>
                <w:i/>
                <w:color w:val="FF0000"/>
              </w:rPr>
              <w:t>.</w:t>
            </w:r>
          </w:p>
          <w:p w14:paraId="1D3C4B99" w14:textId="77777777" w:rsidR="005300C9" w:rsidRPr="009F6D1E" w:rsidRDefault="005300C9" w:rsidP="0084747F">
            <w:pPr>
              <w:spacing w:after="60" w:line="264" w:lineRule="auto"/>
              <w:jc w:val="both"/>
              <w:rPr>
                <w:rFonts w:cs="Times New Roman"/>
                <w:i/>
              </w:rPr>
            </w:pPr>
            <w:r w:rsidRPr="009F6D1E">
              <w:rPr>
                <w:rFonts w:cs="Times New Roman"/>
                <w:i/>
              </w:rPr>
              <w:t xml:space="preserve">- </w:t>
            </w:r>
            <w:r w:rsidR="00D53DB5" w:rsidRPr="009F6D1E">
              <w:rPr>
                <w:rFonts w:cs="Times New Roman"/>
                <w:i/>
              </w:rPr>
              <w:t>Подпомагане развитието на малки земеделски стопанства</w:t>
            </w:r>
          </w:p>
          <w:p w14:paraId="2D2CEE98" w14:textId="77777777" w:rsidR="00ED1CA9" w:rsidRPr="009F6D1E" w:rsidRDefault="00D53DB5" w:rsidP="0084747F">
            <w:pPr>
              <w:spacing w:after="60" w:line="264" w:lineRule="auto"/>
              <w:jc w:val="both"/>
              <w:rPr>
                <w:rFonts w:cs="Times New Roman"/>
                <w:highlight w:val="yellow"/>
              </w:rPr>
            </w:pPr>
            <w:r w:rsidRPr="009F6D1E">
              <w:rPr>
                <w:rFonts w:cs="Times New Roman"/>
                <w:i/>
              </w:rPr>
              <w:lastRenderedPageBreak/>
              <w:t>-</w:t>
            </w:r>
            <w:r w:rsidR="005300C9" w:rsidRPr="009F6D1E">
              <w:rPr>
                <w:rFonts w:cs="Times New Roman"/>
                <w:i/>
              </w:rPr>
              <w:t xml:space="preserve"> </w:t>
            </w:r>
            <w:r w:rsidRPr="009F6D1E">
              <w:rPr>
                <w:rFonts w:cs="Times New Roman"/>
                <w:i/>
              </w:rPr>
              <w:t>Подкрепа на организации на производители или групи от производители</w:t>
            </w:r>
          </w:p>
        </w:tc>
        <w:tc>
          <w:tcPr>
            <w:tcW w:w="7513" w:type="dxa"/>
          </w:tcPr>
          <w:p w14:paraId="2FCA1808"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rPr>
              <w:lastRenderedPageBreak/>
              <w:t>П.3.2.Подобряване пазарния достъп на малките земеделски стопанства</w:t>
            </w:r>
          </w:p>
          <w:p w14:paraId="7708CA70"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74B1B3B" w14:textId="77777777" w:rsidR="00ED1CA9" w:rsidRPr="009F6D1E" w:rsidRDefault="00ED1CA9" w:rsidP="0084747F">
            <w:pPr>
              <w:spacing w:after="60" w:line="264" w:lineRule="auto"/>
              <w:jc w:val="both"/>
              <w:rPr>
                <w:rFonts w:cs="Times New Roman"/>
                <w:i/>
              </w:rPr>
            </w:pPr>
            <w:r w:rsidRPr="009F6D1E">
              <w:rPr>
                <w:rFonts w:cs="Times New Roman"/>
                <w:b/>
                <w:bCs/>
                <w:i/>
              </w:rPr>
              <w:t xml:space="preserve">- </w:t>
            </w:r>
            <w:r w:rsidRPr="009F6D1E">
              <w:rPr>
                <w:rFonts w:cs="Times New Roman"/>
                <w:i/>
              </w:rPr>
              <w:t>Оперативни програми в сектори "Плодове и зеленчуци" и „Мляко и млечни продукти“</w:t>
            </w:r>
          </w:p>
          <w:p w14:paraId="076079AF" w14:textId="77777777" w:rsidR="00ED1CA9" w:rsidRPr="009F6D1E" w:rsidRDefault="00ED1CA9" w:rsidP="0084747F">
            <w:pPr>
              <w:spacing w:after="60" w:line="264" w:lineRule="auto"/>
              <w:jc w:val="both"/>
              <w:rPr>
                <w:rFonts w:cs="Times New Roman"/>
                <w:i/>
              </w:rPr>
            </w:pPr>
            <w:r w:rsidRPr="009F6D1E">
              <w:rPr>
                <w:rFonts w:cs="Times New Roman"/>
                <w:i/>
              </w:rPr>
              <w:t>- Подпомагане на много малки земеделски стопанства</w:t>
            </w:r>
          </w:p>
          <w:p w14:paraId="1B28DA7C" w14:textId="77777777" w:rsidR="00ED1CA9" w:rsidRPr="009F6D1E" w:rsidRDefault="00ED1CA9" w:rsidP="0084747F">
            <w:pPr>
              <w:spacing w:after="60" w:line="264" w:lineRule="auto"/>
              <w:jc w:val="both"/>
              <w:rPr>
                <w:rFonts w:cs="Times New Roman"/>
                <w:b/>
                <w:bCs/>
                <w:i/>
              </w:rPr>
            </w:pPr>
            <w:r w:rsidRPr="009F6D1E">
              <w:rPr>
                <w:rFonts w:cs="Times New Roman"/>
                <w:i/>
              </w:rPr>
              <w:lastRenderedPageBreak/>
              <w:t>- Подкрепа на организации на производители или групи от производители</w:t>
            </w:r>
          </w:p>
        </w:tc>
      </w:tr>
      <w:tr w:rsidR="00ED1CA9" w:rsidRPr="009F6D1E" w14:paraId="44256FBF" w14:textId="77777777" w:rsidTr="00F92FD2">
        <w:tc>
          <w:tcPr>
            <w:tcW w:w="7366" w:type="dxa"/>
          </w:tcPr>
          <w:p w14:paraId="3EBCDB20" w14:textId="77777777" w:rsidR="00D53DB5" w:rsidRPr="009F6D1E" w:rsidRDefault="00D53DB5" w:rsidP="0084747F">
            <w:pPr>
              <w:spacing w:after="60" w:line="264" w:lineRule="auto"/>
              <w:jc w:val="both"/>
              <w:rPr>
                <w:rFonts w:cs="Times New Roman"/>
                <w:b/>
                <w:bCs/>
                <w:i/>
              </w:rPr>
            </w:pPr>
            <w:r w:rsidRPr="009F6D1E">
              <w:rPr>
                <w:rFonts w:cs="Times New Roman"/>
                <w:b/>
                <w:bCs/>
                <w:i/>
                <w:u w:val="single"/>
              </w:rPr>
              <w:lastRenderedPageBreak/>
              <w:t xml:space="preserve">Потребност 3: </w:t>
            </w:r>
            <w:r w:rsidRPr="009F6D1E">
              <w:rPr>
                <w:rFonts w:cs="Times New Roman"/>
                <w:b/>
                <w:bCs/>
                <w:i/>
              </w:rPr>
              <w:t>Допълване и подобряване на регулацията на директните продажби;</w:t>
            </w:r>
          </w:p>
          <w:p w14:paraId="6E2F295F" w14:textId="77777777" w:rsidR="005300C9" w:rsidRPr="009F6D1E" w:rsidRDefault="00D53DB5"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22531E0B" w14:textId="77777777" w:rsidR="00ED1CA9" w:rsidRPr="009F6D1E" w:rsidRDefault="005300C9" w:rsidP="0084747F">
            <w:pPr>
              <w:spacing w:after="60" w:line="264" w:lineRule="auto"/>
              <w:jc w:val="both"/>
              <w:rPr>
                <w:rFonts w:cs="Times New Roman"/>
                <w:highlight w:val="yellow"/>
              </w:rPr>
            </w:pPr>
            <w:r w:rsidRPr="009F6D1E">
              <w:rPr>
                <w:rFonts w:cs="Times New Roman"/>
                <w:b/>
                <w:bCs/>
                <w:i/>
              </w:rPr>
              <w:t xml:space="preserve">- </w:t>
            </w:r>
            <w:r w:rsidRPr="009F6D1E">
              <w:rPr>
                <w:rFonts w:cs="Times New Roman"/>
                <w:i/>
              </w:rPr>
              <w:t>проект на Наредба за изискванията за директни доставки от производителя на малки количества първични продукти и храни от животински произход</w:t>
            </w:r>
          </w:p>
        </w:tc>
        <w:tc>
          <w:tcPr>
            <w:tcW w:w="7513" w:type="dxa"/>
          </w:tcPr>
          <w:p w14:paraId="69B461A3" w14:textId="77777777" w:rsidR="00ED1CA9" w:rsidRPr="009F6D1E" w:rsidRDefault="00ED1CA9" w:rsidP="0084747F">
            <w:pPr>
              <w:spacing w:after="60" w:line="264" w:lineRule="auto"/>
              <w:jc w:val="both"/>
              <w:rPr>
                <w:rFonts w:cs="Times New Roman"/>
                <w:b/>
                <w:bCs/>
                <w:i/>
              </w:rPr>
            </w:pPr>
            <w:r w:rsidRPr="009F6D1E">
              <w:rPr>
                <w:rFonts w:cs="Times New Roman"/>
                <w:b/>
                <w:bCs/>
                <w:i/>
              </w:rPr>
              <w:t>П.3.3. Допълване и подобряване на регулацията за директните продажби</w:t>
            </w:r>
          </w:p>
          <w:p w14:paraId="48129BA8"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CEA5606" w14:textId="77777777" w:rsidR="00ED1CA9" w:rsidRPr="009F6D1E" w:rsidRDefault="00ED1CA9" w:rsidP="0084747F">
            <w:pPr>
              <w:spacing w:after="60" w:line="264" w:lineRule="auto"/>
              <w:jc w:val="both"/>
              <w:rPr>
                <w:rFonts w:cs="Times New Roman"/>
                <w:i/>
              </w:rPr>
            </w:pPr>
            <w:r w:rsidRPr="009F6D1E">
              <w:rPr>
                <w:rFonts w:cs="Times New Roman"/>
                <w:i/>
              </w:rPr>
              <w:t>- проект на Наредба за изискванията за директни доставки от производителя на малки количества първични продукти и храни от животински произход</w:t>
            </w:r>
          </w:p>
          <w:p w14:paraId="14F2DD6E" w14:textId="77777777" w:rsidR="00ED1CA9" w:rsidRPr="009F6D1E" w:rsidRDefault="00ED1CA9" w:rsidP="0084747F">
            <w:pPr>
              <w:spacing w:after="60" w:line="264" w:lineRule="auto"/>
              <w:jc w:val="both"/>
              <w:rPr>
                <w:rFonts w:cs="Times New Roman"/>
                <w:b/>
                <w:bCs/>
                <w:i/>
              </w:rPr>
            </w:pPr>
          </w:p>
        </w:tc>
      </w:tr>
      <w:tr w:rsidR="00ED1CA9" w:rsidRPr="009F6D1E" w14:paraId="2CB41AE2" w14:textId="77777777" w:rsidTr="00F92FD2">
        <w:tc>
          <w:tcPr>
            <w:tcW w:w="7366" w:type="dxa"/>
          </w:tcPr>
          <w:p w14:paraId="6B3CC15C"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Разширяване и развитие на мерките и механизмите за борба с нелоялните търговски практики;</w:t>
            </w:r>
          </w:p>
          <w:p w14:paraId="14D2D17F" w14:textId="77777777" w:rsidR="005300C9" w:rsidRPr="009F6D1E" w:rsidRDefault="00765B26" w:rsidP="0084747F">
            <w:pPr>
              <w:widowControl w:val="0"/>
              <w:tabs>
                <w:tab w:val="left" w:pos="5765"/>
              </w:tabs>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76BBBE57" w14:textId="77777777" w:rsidR="00ED1CA9" w:rsidRPr="009F6D1E" w:rsidRDefault="00765B26" w:rsidP="0084747F">
            <w:pPr>
              <w:widowControl w:val="0"/>
              <w:tabs>
                <w:tab w:val="left" w:pos="5765"/>
              </w:tabs>
              <w:spacing w:after="60" w:line="264" w:lineRule="auto"/>
              <w:jc w:val="both"/>
              <w:rPr>
                <w:rFonts w:cs="Times New Roman"/>
                <w:highlight w:val="yellow"/>
              </w:rPr>
            </w:pPr>
            <w:r w:rsidRPr="009F6D1E">
              <w:rPr>
                <w:rFonts w:cs="Times New Roman"/>
                <w:b/>
                <w:bCs/>
                <w:i/>
              </w:rPr>
              <w:t>-</w:t>
            </w:r>
            <w:r w:rsidR="005300C9" w:rsidRPr="009F6D1E">
              <w:rPr>
                <w:rFonts w:cs="Times New Roman"/>
                <w:i/>
              </w:rPr>
              <w:t xml:space="preserve"> Транспониране и прилагане на Директива (ЕС) 2019/633 относно нелоялните търговски практики (НТП) в отношенията между предприятията във веригата за доставки на селскостопански продукти и храни</w:t>
            </w:r>
          </w:p>
        </w:tc>
        <w:tc>
          <w:tcPr>
            <w:tcW w:w="7513" w:type="dxa"/>
          </w:tcPr>
          <w:p w14:paraId="1B81FB34" w14:textId="77777777" w:rsidR="00ED1CA9" w:rsidRPr="009F6D1E" w:rsidRDefault="00ED1CA9" w:rsidP="0084747F">
            <w:pPr>
              <w:spacing w:after="60" w:line="264" w:lineRule="auto"/>
              <w:jc w:val="both"/>
              <w:rPr>
                <w:rFonts w:cs="Times New Roman"/>
                <w:b/>
                <w:bCs/>
                <w:i/>
              </w:rPr>
            </w:pPr>
            <w:r w:rsidRPr="009F6D1E">
              <w:rPr>
                <w:rFonts w:cs="Times New Roman"/>
                <w:b/>
                <w:bCs/>
                <w:i/>
              </w:rPr>
              <w:t>П.3.4.Разширяване и развитие на мерките и механизмите за борба с нелоялните търговски практики;</w:t>
            </w:r>
          </w:p>
          <w:p w14:paraId="648ECD6F"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556C0978" w14:textId="77777777" w:rsidR="00ED1CA9" w:rsidRPr="009F6D1E" w:rsidRDefault="00ED1CA9" w:rsidP="0084747F">
            <w:pPr>
              <w:spacing w:after="60" w:line="264" w:lineRule="auto"/>
              <w:jc w:val="both"/>
              <w:rPr>
                <w:rFonts w:cs="Times New Roman"/>
                <w:b/>
                <w:bCs/>
                <w:i/>
              </w:rPr>
            </w:pPr>
            <w:r w:rsidRPr="009F6D1E">
              <w:rPr>
                <w:rFonts w:cs="Times New Roman"/>
                <w:i/>
              </w:rPr>
              <w:t>- Транспониране и прилагане на Директива (ЕС) 2019/633 относно нелоялните търговски практики (НТП) в отношенията между предприятията във веригата за доставки на селскостопански продукти и храни</w:t>
            </w:r>
          </w:p>
        </w:tc>
      </w:tr>
      <w:tr w:rsidR="00ED1CA9" w:rsidRPr="009F6D1E" w14:paraId="710E2DE1" w14:textId="77777777" w:rsidTr="00F92FD2">
        <w:tc>
          <w:tcPr>
            <w:tcW w:w="7366" w:type="dxa"/>
          </w:tcPr>
          <w:p w14:paraId="14782539" w14:textId="77777777" w:rsidR="00765B26" w:rsidRPr="009F6D1E" w:rsidRDefault="00765B26" w:rsidP="0084747F">
            <w:pPr>
              <w:widowControl w:val="0"/>
              <w:spacing w:after="60" w:line="264" w:lineRule="auto"/>
              <w:jc w:val="both"/>
              <w:rPr>
                <w:rFonts w:cs="Times New Roman"/>
                <w:b/>
                <w:bCs/>
                <w:i/>
              </w:rPr>
            </w:pPr>
            <w:r w:rsidRPr="009F6D1E">
              <w:rPr>
                <w:rFonts w:cs="Times New Roman"/>
                <w:b/>
                <w:bCs/>
                <w:i/>
                <w:u w:val="single"/>
              </w:rPr>
              <w:t>Потребност 5</w:t>
            </w:r>
            <w:r w:rsidRPr="009F6D1E">
              <w:rPr>
                <w:rFonts w:cs="Times New Roman"/>
                <w:b/>
                <w:bCs/>
                <w:i/>
              </w:rPr>
              <w:t>: Засилване на контрола над вноса на суровини;</w:t>
            </w:r>
          </w:p>
          <w:p w14:paraId="6038BC5E" w14:textId="77777777" w:rsidR="00ED1CA9" w:rsidRPr="009F6D1E" w:rsidRDefault="00765B26"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7B9F58FB" w14:textId="77777777" w:rsidR="00ED1CA9" w:rsidRPr="009F6D1E" w:rsidRDefault="00ED1CA9" w:rsidP="0084747F">
            <w:pPr>
              <w:widowControl w:val="0"/>
              <w:spacing w:after="60" w:line="264" w:lineRule="auto"/>
              <w:jc w:val="both"/>
              <w:rPr>
                <w:rFonts w:cs="Times New Roman"/>
                <w:b/>
                <w:bCs/>
                <w:i/>
              </w:rPr>
            </w:pPr>
            <w:r w:rsidRPr="009F6D1E">
              <w:rPr>
                <w:rFonts w:cs="Times New Roman"/>
                <w:b/>
                <w:bCs/>
                <w:i/>
              </w:rPr>
              <w:t>П.3.5.Засилване на контрола над вноса на суровини</w:t>
            </w:r>
          </w:p>
          <w:p w14:paraId="2B259889"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5C598347" w14:textId="77777777" w:rsidR="00ED1CA9" w:rsidRPr="009F6D1E" w:rsidRDefault="00ED1CA9" w:rsidP="0084747F">
            <w:pPr>
              <w:spacing w:after="60" w:line="264" w:lineRule="auto"/>
              <w:jc w:val="both"/>
              <w:rPr>
                <w:rFonts w:cs="Times New Roman"/>
                <w:b/>
                <w:bCs/>
                <w:i/>
              </w:rPr>
            </w:pPr>
            <w:r w:rsidRPr="009F6D1E">
              <w:rPr>
                <w:rFonts w:cs="Times New Roman"/>
                <w:i/>
                <w:color w:val="FF0000"/>
              </w:rPr>
              <w:t xml:space="preserve">- Прилагане на засилен контрол при </w:t>
            </w:r>
            <w:proofErr w:type="spellStart"/>
            <w:r w:rsidRPr="009F6D1E">
              <w:rPr>
                <w:rFonts w:cs="Times New Roman"/>
                <w:i/>
                <w:color w:val="FF0000"/>
              </w:rPr>
              <w:t>вътреобщностна</w:t>
            </w:r>
            <w:proofErr w:type="spellEnd"/>
            <w:r w:rsidRPr="009F6D1E">
              <w:rPr>
                <w:rFonts w:cs="Times New Roman"/>
                <w:i/>
                <w:color w:val="FF0000"/>
              </w:rPr>
              <w:t xml:space="preserve"> търговия на месо и яйца, насочен към държави, определени на база оценка на риска</w:t>
            </w:r>
          </w:p>
        </w:tc>
      </w:tr>
      <w:tr w:rsidR="00ED1CA9" w:rsidRPr="009F6D1E" w14:paraId="444C0088" w14:textId="77777777" w:rsidTr="00F92FD2">
        <w:tc>
          <w:tcPr>
            <w:tcW w:w="7366" w:type="dxa"/>
          </w:tcPr>
          <w:p w14:paraId="480310F1"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lastRenderedPageBreak/>
              <w:t>Потребност 6</w:t>
            </w:r>
            <w:r w:rsidRPr="009F6D1E">
              <w:rPr>
                <w:rFonts w:cs="Times New Roman"/>
                <w:b/>
                <w:bCs/>
                <w:i/>
              </w:rPr>
              <w:t>:</w:t>
            </w:r>
            <w:r w:rsidRPr="009F6D1E">
              <w:rPr>
                <w:rFonts w:cs="Times New Roman"/>
                <w:b/>
                <w:bCs/>
                <w:i/>
                <w:u w:val="single"/>
              </w:rPr>
              <w:t xml:space="preserve"> </w:t>
            </w:r>
            <w:r w:rsidRPr="009F6D1E">
              <w:rPr>
                <w:rFonts w:cs="Times New Roman"/>
                <w:b/>
                <w:bCs/>
                <w:i/>
              </w:rPr>
              <w:t xml:space="preserve">Осигуряване на необходимото количество и качество на местни суровини за по-пълно използване на капацитета на предприятията от ХВП </w:t>
            </w:r>
          </w:p>
          <w:p w14:paraId="38ADBF4C"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C90A6F7" w14:textId="77777777" w:rsidR="00ED1CA9" w:rsidRPr="009F6D1E" w:rsidRDefault="00765B26" w:rsidP="0084747F">
            <w:pPr>
              <w:spacing w:after="60" w:line="264" w:lineRule="auto"/>
              <w:jc w:val="both"/>
              <w:rPr>
                <w:rFonts w:cs="Times New Roman"/>
                <w:highlight w:val="yellow"/>
              </w:rPr>
            </w:pPr>
            <w:r w:rsidRPr="009F6D1E">
              <w:rPr>
                <w:rFonts w:cs="Times New Roman"/>
                <w:b/>
                <w:bCs/>
                <w:i/>
              </w:rPr>
              <w:t xml:space="preserve"> - </w:t>
            </w:r>
            <w:r w:rsidRPr="009F6D1E">
              <w:rPr>
                <w:rFonts w:cs="Times New Roman"/>
                <w:i/>
              </w:rPr>
              <w:t>Инвестиции за преработка на селскостопански продукти</w:t>
            </w:r>
          </w:p>
        </w:tc>
        <w:tc>
          <w:tcPr>
            <w:tcW w:w="7513" w:type="dxa"/>
          </w:tcPr>
          <w:p w14:paraId="54624232" w14:textId="77777777" w:rsidR="00ED1CA9" w:rsidRPr="009F6D1E" w:rsidRDefault="00ED1CA9" w:rsidP="0084747F">
            <w:pPr>
              <w:spacing w:after="60" w:line="264" w:lineRule="auto"/>
              <w:jc w:val="both"/>
              <w:rPr>
                <w:rFonts w:cs="Times New Roman"/>
                <w:b/>
                <w:bCs/>
                <w:i/>
              </w:rPr>
            </w:pPr>
            <w:r w:rsidRPr="009F6D1E">
              <w:rPr>
                <w:rFonts w:cs="Times New Roman"/>
                <w:b/>
                <w:bCs/>
                <w:i/>
              </w:rPr>
              <w:t xml:space="preserve">П.3.6.Осигуряване на необходимото количество и качество местни суровини за по-пълно използване на капацитета на предприятията </w:t>
            </w:r>
            <w:r w:rsidRPr="009F6D1E">
              <w:rPr>
                <w:rFonts w:cs="Times New Roman"/>
                <w:b/>
                <w:bCs/>
                <w:i/>
                <w:color w:val="FF0000"/>
              </w:rPr>
              <w:t xml:space="preserve">и повишаване добавената стойност и ефективността на предприятията </w:t>
            </w:r>
            <w:r w:rsidRPr="009F6D1E">
              <w:rPr>
                <w:rFonts w:cs="Times New Roman"/>
                <w:b/>
                <w:bCs/>
                <w:i/>
              </w:rPr>
              <w:t xml:space="preserve">от ХВП </w:t>
            </w:r>
          </w:p>
          <w:p w14:paraId="58926ABA"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415575D" w14:textId="77777777" w:rsidR="00ED1CA9" w:rsidRPr="009F6D1E" w:rsidRDefault="00ED1CA9" w:rsidP="0084747F">
            <w:pPr>
              <w:spacing w:after="60" w:line="264" w:lineRule="auto"/>
              <w:jc w:val="both"/>
              <w:rPr>
                <w:rFonts w:cs="Times New Roman"/>
                <w:i/>
              </w:rPr>
            </w:pPr>
            <w:r w:rsidRPr="009F6D1E">
              <w:rPr>
                <w:rFonts w:cs="Times New Roman"/>
                <w:i/>
              </w:rPr>
              <w:t>- Инвестиции за преработка на селскостопански продукти</w:t>
            </w:r>
          </w:p>
          <w:p w14:paraId="41C52C94" w14:textId="77777777" w:rsidR="00ED1CA9" w:rsidRPr="009F6D1E" w:rsidRDefault="00ED1CA9" w:rsidP="0084747F">
            <w:pPr>
              <w:spacing w:after="60" w:line="264" w:lineRule="auto"/>
              <w:jc w:val="both"/>
              <w:rPr>
                <w:rFonts w:cs="Times New Roman"/>
                <w:b/>
                <w:bCs/>
                <w:i/>
              </w:rPr>
            </w:pPr>
          </w:p>
        </w:tc>
      </w:tr>
      <w:tr w:rsidR="00765B26" w:rsidRPr="009F6D1E" w14:paraId="30F41F1D" w14:textId="77777777" w:rsidTr="00F92FD2">
        <w:tc>
          <w:tcPr>
            <w:tcW w:w="7366" w:type="dxa"/>
          </w:tcPr>
          <w:p w14:paraId="32BD4849" w14:textId="77777777" w:rsidR="00765B26" w:rsidRPr="009F6D1E" w:rsidRDefault="00765B26" w:rsidP="0084747F">
            <w:pPr>
              <w:widowControl w:val="0"/>
              <w:spacing w:after="60" w:line="264" w:lineRule="auto"/>
              <w:jc w:val="both"/>
              <w:rPr>
                <w:rFonts w:cs="Times New Roman"/>
                <w:bCs/>
                <w:i/>
                <w:color w:val="FF0000"/>
                <w:u w:val="single"/>
              </w:rPr>
            </w:pPr>
            <w:r w:rsidRPr="009F6D1E">
              <w:rPr>
                <w:rFonts w:cs="Times New Roman"/>
                <w:b/>
                <w:bCs/>
                <w:i/>
                <w:color w:val="FF0000"/>
                <w:u w:val="single"/>
              </w:rPr>
              <w:t xml:space="preserve">Потребност 7: </w:t>
            </w:r>
            <w:r w:rsidRPr="009F6D1E">
              <w:rPr>
                <w:rFonts w:cs="Times New Roman"/>
                <w:bCs/>
                <w:i/>
                <w:color w:val="FF0000"/>
              </w:rPr>
              <w:t>Повишаване на добавената стойност и ефективността на предприятията от ХВП.</w:t>
            </w:r>
          </w:p>
          <w:p w14:paraId="228ADB0F" w14:textId="77777777" w:rsidR="00765B26" w:rsidRPr="009F6D1E" w:rsidRDefault="00765B26" w:rsidP="0084747F">
            <w:pPr>
              <w:spacing w:after="60" w:line="264" w:lineRule="auto"/>
              <w:jc w:val="both"/>
              <w:rPr>
                <w:rFonts w:cs="Times New Roman"/>
                <w:b/>
                <w:bCs/>
                <w:i/>
                <w:u w:val="single"/>
              </w:rPr>
            </w:pPr>
            <w:r w:rsidRPr="009F6D1E">
              <w:rPr>
                <w:rFonts w:cs="Times New Roman"/>
                <w:b/>
                <w:bCs/>
                <w:i/>
                <w:color w:val="FF0000"/>
                <w:u w:val="single"/>
              </w:rPr>
              <w:t>Интервенции</w:t>
            </w:r>
            <w:r w:rsidRPr="009F6D1E">
              <w:rPr>
                <w:rFonts w:cs="Times New Roman"/>
                <w:b/>
                <w:bCs/>
                <w:i/>
                <w:color w:val="FF0000"/>
              </w:rPr>
              <w:t>: -</w:t>
            </w:r>
          </w:p>
        </w:tc>
        <w:tc>
          <w:tcPr>
            <w:tcW w:w="7513" w:type="dxa"/>
          </w:tcPr>
          <w:p w14:paraId="44028D50" w14:textId="77777777" w:rsidR="00765B26" w:rsidRPr="009F6D1E" w:rsidRDefault="00765B26" w:rsidP="0084747F">
            <w:pPr>
              <w:spacing w:after="60" w:line="264" w:lineRule="auto"/>
              <w:jc w:val="both"/>
              <w:rPr>
                <w:rFonts w:cs="Times New Roman"/>
                <w:b/>
                <w:bCs/>
                <w:i/>
              </w:rPr>
            </w:pPr>
          </w:p>
        </w:tc>
      </w:tr>
      <w:tr w:rsidR="00ED1CA9" w:rsidRPr="009F6D1E" w14:paraId="04469C47" w14:textId="77777777" w:rsidTr="00F92FD2">
        <w:tc>
          <w:tcPr>
            <w:tcW w:w="7366" w:type="dxa"/>
          </w:tcPr>
          <w:p w14:paraId="205A6857" w14:textId="77777777" w:rsidR="00ED1CA9"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Специфична цел №4: Принос за смекчаване последиците от изменение на климата и за </w:t>
            </w:r>
            <w:r w:rsidRPr="009F6D1E">
              <w:rPr>
                <w:rFonts w:cs="Times New Roman"/>
                <w:b/>
                <w:bCs/>
                <w:i/>
                <w:color w:val="FF0000"/>
              </w:rPr>
              <w:t xml:space="preserve">адаптация </w:t>
            </w:r>
            <w:r w:rsidRPr="009F6D1E">
              <w:rPr>
                <w:rFonts w:cs="Times New Roman"/>
                <w:b/>
                <w:bCs/>
                <w:i/>
              </w:rPr>
              <w:t xml:space="preserve">към него, както и </w:t>
            </w:r>
            <w:r w:rsidRPr="009F6D1E">
              <w:rPr>
                <w:rFonts w:cs="Times New Roman"/>
                <w:b/>
                <w:bCs/>
                <w:i/>
                <w:color w:val="FF0000"/>
              </w:rPr>
              <w:t>за</w:t>
            </w:r>
            <w:r w:rsidRPr="009F6D1E">
              <w:rPr>
                <w:rFonts w:cs="Times New Roman"/>
                <w:b/>
                <w:bCs/>
                <w:i/>
              </w:rPr>
              <w:t xml:space="preserve"> устойчива енергия.</w:t>
            </w:r>
          </w:p>
        </w:tc>
        <w:tc>
          <w:tcPr>
            <w:tcW w:w="7513" w:type="dxa"/>
          </w:tcPr>
          <w:p w14:paraId="47618C0D" w14:textId="77777777" w:rsidR="00ED1CA9" w:rsidRPr="009F6D1E" w:rsidRDefault="000B17F1" w:rsidP="0084747F">
            <w:pPr>
              <w:spacing w:after="60" w:line="264" w:lineRule="auto"/>
              <w:jc w:val="both"/>
              <w:rPr>
                <w:rFonts w:cs="Times New Roman"/>
                <w:b/>
                <w:bCs/>
                <w:i/>
              </w:rPr>
            </w:pPr>
            <w:r w:rsidRPr="009F6D1E">
              <w:rPr>
                <w:rFonts w:cs="Times New Roman"/>
                <w:b/>
                <w:bCs/>
                <w:i/>
              </w:rPr>
              <w:t xml:space="preserve">Специфична цел №4: Принос за смекчаване на изменението на климата и за </w:t>
            </w:r>
            <w:r w:rsidRPr="009F6D1E">
              <w:rPr>
                <w:rFonts w:cs="Times New Roman"/>
                <w:b/>
                <w:bCs/>
                <w:i/>
                <w:color w:val="FF0000"/>
              </w:rPr>
              <w:t xml:space="preserve">адаптиране </w:t>
            </w:r>
            <w:r w:rsidRPr="009F6D1E">
              <w:rPr>
                <w:rFonts w:cs="Times New Roman"/>
                <w:b/>
                <w:bCs/>
                <w:i/>
              </w:rPr>
              <w:t xml:space="preserve">към него, </w:t>
            </w:r>
            <w:r w:rsidRPr="009F6D1E">
              <w:rPr>
                <w:rFonts w:cs="Times New Roman"/>
                <w:b/>
                <w:bCs/>
                <w:i/>
                <w:color w:val="FF0000"/>
              </w:rPr>
              <w:t>включително чрез намаляване на емисиите на парникови газове и повишаване на улавянето на въглерод</w:t>
            </w:r>
            <w:r w:rsidRPr="009F6D1E">
              <w:rPr>
                <w:rFonts w:cs="Times New Roman"/>
                <w:b/>
                <w:bCs/>
                <w:i/>
              </w:rPr>
              <w:t xml:space="preserve">, както и </w:t>
            </w:r>
            <w:r w:rsidRPr="009F6D1E">
              <w:rPr>
                <w:rFonts w:cs="Times New Roman"/>
                <w:b/>
                <w:bCs/>
                <w:i/>
                <w:color w:val="FF0000"/>
              </w:rPr>
              <w:t xml:space="preserve">насърчаване на </w:t>
            </w:r>
            <w:r w:rsidRPr="009F6D1E">
              <w:rPr>
                <w:rFonts w:cs="Times New Roman"/>
                <w:b/>
                <w:bCs/>
                <w:i/>
              </w:rPr>
              <w:t>устойчивата енергия</w:t>
            </w:r>
          </w:p>
        </w:tc>
      </w:tr>
      <w:tr w:rsidR="00ED1CA9" w:rsidRPr="009F6D1E" w14:paraId="06393A79" w14:textId="77777777" w:rsidTr="00F92FD2">
        <w:tc>
          <w:tcPr>
            <w:tcW w:w="7366" w:type="dxa"/>
          </w:tcPr>
          <w:p w14:paraId="23E60332"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Намаляване на емисиите на парников</w:t>
            </w:r>
            <w:r w:rsidR="005300C9" w:rsidRPr="009F6D1E">
              <w:rPr>
                <w:rFonts w:cs="Times New Roman"/>
                <w:b/>
                <w:bCs/>
                <w:i/>
              </w:rPr>
              <w:t>и газове от селското стопанство</w:t>
            </w:r>
          </w:p>
          <w:p w14:paraId="4A155FDE"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310BA529" w14:textId="77777777" w:rsidR="00765B26" w:rsidRPr="009F6D1E" w:rsidRDefault="005300C9" w:rsidP="0084747F">
            <w:pPr>
              <w:spacing w:after="60" w:line="264" w:lineRule="auto"/>
              <w:jc w:val="both"/>
              <w:rPr>
                <w:rFonts w:cs="Times New Roman"/>
                <w:i/>
              </w:rPr>
            </w:pPr>
            <w:r w:rsidRPr="009F6D1E">
              <w:rPr>
                <w:rFonts w:cs="Times New Roman"/>
                <w:i/>
              </w:rPr>
              <w:t xml:space="preserve">- </w:t>
            </w:r>
            <w:r w:rsidR="00765B26" w:rsidRPr="009F6D1E">
              <w:rPr>
                <w:rFonts w:cs="Times New Roman"/>
                <w:i/>
                <w:color w:val="FF0000"/>
              </w:rPr>
              <w:t>Агроекология и климат</w:t>
            </w:r>
          </w:p>
          <w:p w14:paraId="26CBE3BF" w14:textId="77777777" w:rsidR="00765B26" w:rsidRPr="009F6D1E" w:rsidRDefault="005300C9" w:rsidP="0084747F">
            <w:pPr>
              <w:spacing w:after="60" w:line="264" w:lineRule="auto"/>
              <w:jc w:val="both"/>
              <w:rPr>
                <w:rFonts w:cs="Times New Roman"/>
                <w:i/>
                <w:color w:val="FF0000"/>
              </w:rPr>
            </w:pPr>
            <w:r w:rsidRPr="009F6D1E">
              <w:rPr>
                <w:rFonts w:cs="Times New Roman"/>
                <w:i/>
              </w:rPr>
              <w:t xml:space="preserve">- </w:t>
            </w:r>
            <w:r w:rsidR="00765B26" w:rsidRPr="009F6D1E">
              <w:rPr>
                <w:rFonts w:cs="Times New Roman"/>
                <w:i/>
                <w:color w:val="FF0000"/>
              </w:rPr>
              <w:t>Подпомагане н</w:t>
            </w:r>
            <w:r w:rsidRPr="009F6D1E">
              <w:rPr>
                <w:rFonts w:cs="Times New Roman"/>
                <w:i/>
                <w:color w:val="FF0000"/>
              </w:rPr>
              <w:t xml:space="preserve">а площи за екстензивно </w:t>
            </w:r>
            <w:proofErr w:type="spellStart"/>
            <w:r w:rsidRPr="009F6D1E">
              <w:rPr>
                <w:rFonts w:cs="Times New Roman"/>
                <w:i/>
                <w:color w:val="FF0000"/>
              </w:rPr>
              <w:t>пашуване</w:t>
            </w:r>
            <w:proofErr w:type="spellEnd"/>
            <w:r w:rsidR="00765B26" w:rsidRPr="009F6D1E">
              <w:rPr>
                <w:rFonts w:cs="Times New Roman"/>
                <w:i/>
                <w:color w:val="FF0000"/>
              </w:rPr>
              <w:t>.</w:t>
            </w:r>
          </w:p>
          <w:p w14:paraId="76ECE5A8" w14:textId="77777777" w:rsidR="00765B26" w:rsidRPr="009F6D1E" w:rsidRDefault="005300C9" w:rsidP="0084747F">
            <w:pPr>
              <w:spacing w:after="60" w:line="264" w:lineRule="auto"/>
              <w:jc w:val="both"/>
              <w:rPr>
                <w:rFonts w:cs="Times New Roman"/>
                <w:i/>
                <w:color w:val="FF0000"/>
              </w:rPr>
            </w:pPr>
            <w:r w:rsidRPr="009F6D1E">
              <w:rPr>
                <w:rFonts w:cs="Times New Roman"/>
                <w:i/>
              </w:rPr>
              <w:t xml:space="preserve">- </w:t>
            </w:r>
            <w:r w:rsidR="00765B26" w:rsidRPr="009F6D1E">
              <w:rPr>
                <w:rFonts w:cs="Times New Roman"/>
                <w:i/>
                <w:color w:val="FF0000"/>
              </w:rPr>
              <w:t xml:space="preserve">Насърчаване на практики за обработки на почвата/стърнищата, биологичната рекултивация с характерни за района тревни видове </w:t>
            </w:r>
            <w:r w:rsidR="00765B26" w:rsidRPr="009F6D1E">
              <w:rPr>
                <w:rFonts w:cs="Times New Roman"/>
                <w:i/>
                <w:color w:val="FF0000"/>
              </w:rPr>
              <w:lastRenderedPageBreak/>
              <w:t>на деградиралите земеделски земи и поддържане н</w:t>
            </w:r>
            <w:r w:rsidRPr="009F6D1E">
              <w:rPr>
                <w:rFonts w:cs="Times New Roman"/>
                <w:i/>
                <w:color w:val="FF0000"/>
              </w:rPr>
              <w:t>а елементи на ландшафта</w:t>
            </w:r>
          </w:p>
          <w:p w14:paraId="793364F9" w14:textId="77777777" w:rsidR="00ED1CA9" w:rsidRPr="009F6D1E" w:rsidRDefault="005300C9" w:rsidP="0084747F">
            <w:pPr>
              <w:widowControl w:val="0"/>
              <w:tabs>
                <w:tab w:val="left" w:pos="5765"/>
              </w:tabs>
              <w:spacing w:after="60" w:line="264" w:lineRule="auto"/>
              <w:jc w:val="both"/>
              <w:rPr>
                <w:rFonts w:cs="Times New Roman"/>
                <w:highlight w:val="yellow"/>
              </w:rPr>
            </w:pPr>
            <w:r w:rsidRPr="009F6D1E">
              <w:rPr>
                <w:rFonts w:cs="Times New Roman"/>
                <w:i/>
                <w:color w:val="FF0000"/>
              </w:rPr>
              <w:t xml:space="preserve">- </w:t>
            </w:r>
            <w:r w:rsidR="00765B26" w:rsidRPr="009F6D1E">
              <w:rPr>
                <w:rFonts w:cs="Times New Roman"/>
                <w:i/>
                <w:color w:val="FF0000"/>
              </w:rPr>
              <w:t>Насърчаване модернизацията на съоръжения за съхран</w:t>
            </w:r>
            <w:r w:rsidRPr="009F6D1E">
              <w:rPr>
                <w:rFonts w:cs="Times New Roman"/>
                <w:i/>
                <w:color w:val="FF0000"/>
              </w:rPr>
              <w:t>ение и прилагане на оборски тор</w:t>
            </w:r>
            <w:r w:rsidR="00765B26" w:rsidRPr="009F6D1E">
              <w:rPr>
                <w:rFonts w:cs="Times New Roman"/>
                <w:i/>
                <w:color w:val="FF0000"/>
              </w:rPr>
              <w:t>.</w:t>
            </w:r>
          </w:p>
        </w:tc>
        <w:tc>
          <w:tcPr>
            <w:tcW w:w="7513" w:type="dxa"/>
          </w:tcPr>
          <w:p w14:paraId="43B5A9E8" w14:textId="77777777" w:rsidR="00ED1CA9" w:rsidRPr="009F6D1E" w:rsidRDefault="00ED1CA9" w:rsidP="0084747F">
            <w:pPr>
              <w:spacing w:after="60" w:line="264" w:lineRule="auto"/>
              <w:jc w:val="both"/>
              <w:rPr>
                <w:rFonts w:cs="Times New Roman"/>
                <w:b/>
                <w:bCs/>
                <w:i/>
              </w:rPr>
            </w:pPr>
            <w:r w:rsidRPr="009F6D1E">
              <w:rPr>
                <w:rFonts w:cs="Times New Roman"/>
                <w:b/>
                <w:bCs/>
                <w:i/>
              </w:rPr>
              <w:lastRenderedPageBreak/>
              <w:t>П.4.1.Намаляване на емисиите на парникови газове от селското стопанство</w:t>
            </w:r>
          </w:p>
          <w:p w14:paraId="2B43F017" w14:textId="77777777" w:rsidR="00ED1CA9" w:rsidRPr="009F6D1E" w:rsidRDefault="00ED1CA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85E6EC8" w14:textId="77777777" w:rsidR="00ED1CA9" w:rsidRPr="009F6D1E" w:rsidRDefault="00ED1CA9"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Инвестиции в земеделските стопанства насочени към опазване на компонентите на околната среда</w:t>
            </w:r>
          </w:p>
          <w:p w14:paraId="09CCD2FD" w14:textId="77777777" w:rsidR="00ED1CA9" w:rsidRPr="009F6D1E" w:rsidRDefault="00ED1CA9" w:rsidP="0084747F">
            <w:pPr>
              <w:spacing w:after="60" w:line="264" w:lineRule="auto"/>
              <w:jc w:val="both"/>
              <w:rPr>
                <w:rFonts w:cs="Times New Roman"/>
                <w:i/>
                <w:color w:val="FF0000"/>
              </w:rPr>
            </w:pPr>
            <w:r w:rsidRPr="009F6D1E">
              <w:rPr>
                <w:rFonts w:cs="Times New Roman"/>
                <w:i/>
                <w:color w:val="FF0000"/>
              </w:rPr>
              <w:t>- Инвестиции в управлението на оборския тор и въвеждане на нисковъглеродни практики за преработка на оборски тор в стопанства</w:t>
            </w:r>
          </w:p>
          <w:p w14:paraId="11C6EFB5" w14:textId="77777777" w:rsidR="00ED1CA9" w:rsidRPr="009F6D1E" w:rsidRDefault="00ED1CA9" w:rsidP="0084747F">
            <w:pPr>
              <w:spacing w:after="60" w:line="264" w:lineRule="auto"/>
              <w:jc w:val="both"/>
              <w:rPr>
                <w:rFonts w:cs="Times New Roman"/>
                <w:i/>
                <w:color w:val="FF0000"/>
              </w:rPr>
            </w:pPr>
            <w:r w:rsidRPr="009F6D1E">
              <w:rPr>
                <w:rFonts w:cs="Times New Roman"/>
                <w:i/>
                <w:color w:val="FF0000"/>
              </w:rPr>
              <w:lastRenderedPageBreak/>
              <w:t>- Консултантски услуги и повишаване на консултантския капацитет</w:t>
            </w:r>
          </w:p>
          <w:p w14:paraId="17E6A449" w14:textId="77777777" w:rsidR="00ED1CA9" w:rsidRPr="009F6D1E" w:rsidRDefault="00ED1CA9" w:rsidP="0084747F">
            <w:pPr>
              <w:spacing w:after="60" w:line="264" w:lineRule="auto"/>
              <w:jc w:val="both"/>
              <w:rPr>
                <w:rFonts w:cs="Times New Roman"/>
                <w:b/>
                <w:bCs/>
                <w:i/>
              </w:rPr>
            </w:pPr>
            <w:r w:rsidRPr="009F6D1E">
              <w:rPr>
                <w:rFonts w:cs="Times New Roman"/>
                <w:i/>
                <w:color w:val="FF0000"/>
              </w:rPr>
              <w:t>- Професионално обучение и придобиване на знания</w:t>
            </w:r>
          </w:p>
        </w:tc>
      </w:tr>
      <w:tr w:rsidR="00ED1CA9" w:rsidRPr="009F6D1E" w14:paraId="4B5D88C8" w14:textId="77777777" w:rsidTr="00F92FD2">
        <w:tc>
          <w:tcPr>
            <w:tcW w:w="7366" w:type="dxa"/>
          </w:tcPr>
          <w:p w14:paraId="5C84DF0A" w14:textId="77777777" w:rsidR="00765B26" w:rsidRPr="009F6D1E" w:rsidRDefault="00765B26" w:rsidP="0084747F">
            <w:pPr>
              <w:widowControl w:val="0"/>
              <w:spacing w:after="60" w:line="264" w:lineRule="auto"/>
              <w:jc w:val="both"/>
              <w:rPr>
                <w:rFonts w:cs="Times New Roman"/>
                <w:b/>
                <w:bCs/>
                <w:i/>
                <w:color w:val="FF0000"/>
              </w:rPr>
            </w:pPr>
            <w:r w:rsidRPr="009F6D1E">
              <w:rPr>
                <w:rFonts w:cs="Times New Roman"/>
                <w:b/>
                <w:bCs/>
                <w:i/>
                <w:color w:val="FF0000"/>
                <w:u w:val="single"/>
              </w:rPr>
              <w:lastRenderedPageBreak/>
              <w:t>Потребност 2</w:t>
            </w:r>
            <w:r w:rsidRPr="009F6D1E">
              <w:rPr>
                <w:rFonts w:cs="Times New Roman"/>
                <w:b/>
                <w:bCs/>
                <w:i/>
                <w:color w:val="FF0000"/>
              </w:rPr>
              <w:t>: Увеличаване на органичния въглерод в почвата;</w:t>
            </w:r>
          </w:p>
          <w:p w14:paraId="706D6D7A" w14:textId="77777777" w:rsidR="00765B26" w:rsidRPr="009F6D1E" w:rsidRDefault="00765B26"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310DE246" w14:textId="77777777" w:rsidR="00ED1CA9" w:rsidRPr="009F6D1E" w:rsidRDefault="00765B26" w:rsidP="0084747F">
            <w:pPr>
              <w:widowControl w:val="0"/>
              <w:tabs>
                <w:tab w:val="left" w:pos="5765"/>
              </w:tabs>
              <w:spacing w:after="60" w:line="264" w:lineRule="auto"/>
              <w:jc w:val="both"/>
              <w:rPr>
                <w:rFonts w:cs="Times New Roman"/>
                <w:color w:val="FF0000"/>
                <w:highlight w:val="yellow"/>
              </w:rPr>
            </w:pPr>
            <w:r w:rsidRPr="009F6D1E">
              <w:rPr>
                <w:rFonts w:cs="Times New Roman"/>
                <w:b/>
                <w:bCs/>
                <w:i/>
                <w:color w:val="FF0000"/>
              </w:rPr>
              <w:t xml:space="preserve">- </w:t>
            </w:r>
            <w:r w:rsidR="000945FA" w:rsidRPr="009F6D1E">
              <w:rPr>
                <w:rFonts w:cs="Times New Roman"/>
                <w:i/>
                <w:color w:val="FF0000"/>
              </w:rPr>
              <w:t>К</w:t>
            </w:r>
            <w:r w:rsidRPr="009F6D1E">
              <w:rPr>
                <w:rFonts w:cs="Times New Roman"/>
                <w:i/>
                <w:color w:val="FF0000"/>
              </w:rPr>
              <w:t>омплекс от интервенции по ЕФГЗ и ЕЗФРСР</w:t>
            </w:r>
          </w:p>
        </w:tc>
        <w:tc>
          <w:tcPr>
            <w:tcW w:w="7513" w:type="dxa"/>
          </w:tcPr>
          <w:p w14:paraId="7CAE6221" w14:textId="77777777" w:rsidR="00ED1CA9" w:rsidRPr="009F6D1E" w:rsidRDefault="00ED1CA9" w:rsidP="0084747F">
            <w:pPr>
              <w:widowControl w:val="0"/>
              <w:spacing w:after="60" w:line="264" w:lineRule="auto"/>
              <w:jc w:val="both"/>
              <w:rPr>
                <w:rFonts w:cs="Times New Roman"/>
                <w:b/>
                <w:bCs/>
                <w:i/>
                <w:color w:val="FF0000"/>
              </w:rPr>
            </w:pPr>
            <w:r w:rsidRPr="009F6D1E">
              <w:rPr>
                <w:rFonts w:cs="Times New Roman"/>
                <w:b/>
                <w:bCs/>
                <w:i/>
                <w:color w:val="FF0000"/>
              </w:rPr>
              <w:t>П.4.2. Увеличаване на органичния въглерод в почвата</w:t>
            </w:r>
          </w:p>
          <w:p w14:paraId="48F78FDD" w14:textId="77777777" w:rsidR="00ED1CA9" w:rsidRPr="009F6D1E" w:rsidRDefault="00ED1CA9" w:rsidP="0084747F">
            <w:pPr>
              <w:spacing w:after="60" w:line="264" w:lineRule="auto"/>
              <w:jc w:val="both"/>
              <w:rPr>
                <w:rFonts w:cs="Times New Roman"/>
                <w:b/>
                <w:bCs/>
                <w:i/>
                <w:color w:val="FF0000"/>
                <w:u w:val="single"/>
              </w:rPr>
            </w:pPr>
            <w:r w:rsidRPr="009F6D1E">
              <w:rPr>
                <w:rFonts w:cs="Times New Roman"/>
                <w:b/>
                <w:bCs/>
                <w:i/>
                <w:color w:val="FF0000"/>
                <w:u w:val="single"/>
              </w:rPr>
              <w:t>Интервенции:</w:t>
            </w:r>
          </w:p>
          <w:p w14:paraId="5C56DF22" w14:textId="77777777" w:rsidR="00ED1CA9" w:rsidRPr="009F6D1E" w:rsidRDefault="00ED1CA9" w:rsidP="0084747F">
            <w:pPr>
              <w:spacing w:after="60" w:line="264" w:lineRule="auto"/>
              <w:jc w:val="both"/>
              <w:rPr>
                <w:rFonts w:cs="Times New Roman"/>
                <w:i/>
                <w:color w:val="FF0000"/>
              </w:rPr>
            </w:pPr>
            <w:r w:rsidRPr="009F6D1E">
              <w:rPr>
                <w:rFonts w:cs="Times New Roman"/>
                <w:i/>
                <w:color w:val="FF0000"/>
              </w:rPr>
              <w:t>- Еко схема за екологично поддържане на трайните насаждения (по чл. 31 от Регламент (ЕС) 2021/2115)</w:t>
            </w:r>
          </w:p>
          <w:p w14:paraId="0BBB10FE" w14:textId="77777777" w:rsidR="00ED1CA9" w:rsidRPr="009F6D1E" w:rsidRDefault="00ED1CA9" w:rsidP="0084747F">
            <w:pPr>
              <w:spacing w:after="60" w:line="264" w:lineRule="auto"/>
              <w:jc w:val="both"/>
              <w:rPr>
                <w:rFonts w:cs="Times New Roman"/>
                <w:i/>
                <w:color w:val="FF0000"/>
              </w:rPr>
            </w:pPr>
            <w:r w:rsidRPr="009F6D1E">
              <w:rPr>
                <w:rFonts w:cs="Times New Roman"/>
                <w:i/>
                <w:color w:val="FF0000"/>
              </w:rPr>
              <w:t>- Възстановяване и поддържане на деградирали пасищни територии</w:t>
            </w:r>
          </w:p>
          <w:p w14:paraId="22879A7F" w14:textId="77777777" w:rsidR="00ED1CA9" w:rsidRPr="009F6D1E" w:rsidRDefault="00ED1CA9" w:rsidP="0084747F">
            <w:pPr>
              <w:spacing w:after="60" w:line="264" w:lineRule="auto"/>
              <w:jc w:val="both"/>
              <w:rPr>
                <w:rFonts w:cs="Times New Roman"/>
                <w:i/>
                <w:color w:val="FF0000"/>
              </w:rPr>
            </w:pPr>
            <w:r w:rsidRPr="009F6D1E">
              <w:rPr>
                <w:rFonts w:cs="Times New Roman"/>
                <w:i/>
                <w:color w:val="FF0000"/>
              </w:rPr>
              <w:t>- Плащания за земеделски земи в зони от Натура 2000</w:t>
            </w:r>
          </w:p>
          <w:p w14:paraId="473EB2C8" w14:textId="77777777" w:rsidR="00ED1CA9" w:rsidRPr="009F6D1E" w:rsidRDefault="00ED1CA9" w:rsidP="0084747F">
            <w:pPr>
              <w:spacing w:after="60" w:line="264" w:lineRule="auto"/>
              <w:jc w:val="both"/>
              <w:rPr>
                <w:rFonts w:cs="Times New Roman"/>
                <w:b/>
                <w:bCs/>
                <w:i/>
                <w:color w:val="FF0000"/>
              </w:rPr>
            </w:pPr>
            <w:r w:rsidRPr="009F6D1E">
              <w:rPr>
                <w:rFonts w:cs="Times New Roman"/>
                <w:i/>
                <w:color w:val="FF0000"/>
              </w:rPr>
              <w:t>- Професионално обучение и придобиване на знания</w:t>
            </w:r>
          </w:p>
        </w:tc>
      </w:tr>
      <w:tr w:rsidR="00ED1CA9" w:rsidRPr="009F6D1E" w14:paraId="24B8268E" w14:textId="77777777" w:rsidTr="00F92FD2">
        <w:tc>
          <w:tcPr>
            <w:tcW w:w="7366" w:type="dxa"/>
          </w:tcPr>
          <w:p w14:paraId="5E555099" w14:textId="77777777" w:rsidR="00765B26" w:rsidRPr="009F6D1E" w:rsidRDefault="00765B26" w:rsidP="0084747F">
            <w:pPr>
              <w:spacing w:after="60" w:line="264" w:lineRule="auto"/>
              <w:jc w:val="both"/>
              <w:rPr>
                <w:rFonts w:cs="Times New Roman"/>
                <w:b/>
                <w:bCs/>
                <w:i/>
                <w:u w:val="single"/>
              </w:rPr>
            </w:pPr>
            <w:r w:rsidRPr="009F6D1E">
              <w:rPr>
                <w:rFonts w:cs="Times New Roman"/>
                <w:b/>
                <w:bCs/>
                <w:i/>
                <w:u w:val="single"/>
              </w:rPr>
              <w:t>Потребност 3</w:t>
            </w:r>
            <w:r w:rsidRPr="009F6D1E">
              <w:rPr>
                <w:rFonts w:cs="Times New Roman"/>
                <w:b/>
                <w:bCs/>
                <w:i/>
              </w:rPr>
              <w:t xml:space="preserve">: </w:t>
            </w:r>
            <w:r w:rsidRPr="009F6D1E">
              <w:rPr>
                <w:rFonts w:cs="Times New Roman"/>
                <w:b/>
                <w:bCs/>
                <w:i/>
                <w:color w:val="FF0000"/>
              </w:rPr>
              <w:t xml:space="preserve">Увеличаване на </w:t>
            </w:r>
            <w:r w:rsidRPr="009F6D1E">
              <w:rPr>
                <w:rFonts w:cs="Times New Roman"/>
                <w:b/>
                <w:bCs/>
                <w:i/>
              </w:rPr>
              <w:t>производството на енергия от възобновяеми източници от</w:t>
            </w:r>
            <w:r w:rsidR="005300C9" w:rsidRPr="009F6D1E">
              <w:rPr>
                <w:rFonts w:cs="Times New Roman"/>
                <w:b/>
                <w:bCs/>
                <w:i/>
              </w:rPr>
              <w:t xml:space="preserve"> </w:t>
            </w:r>
            <w:r w:rsidRPr="009F6D1E">
              <w:rPr>
                <w:rFonts w:cs="Times New Roman"/>
                <w:b/>
                <w:bCs/>
                <w:i/>
              </w:rPr>
              <w:t>селското стопанство</w:t>
            </w:r>
            <w:r w:rsidRPr="009F6D1E">
              <w:rPr>
                <w:rFonts w:cs="Times New Roman"/>
                <w:b/>
                <w:bCs/>
                <w:i/>
                <w:u w:val="single"/>
              </w:rPr>
              <w:t xml:space="preserve"> </w:t>
            </w:r>
          </w:p>
          <w:p w14:paraId="0A01E5A9"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05D44357" w14:textId="77777777" w:rsidR="00765B26" w:rsidRPr="009F6D1E" w:rsidRDefault="00765B26"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Стартиране на стопанска дейност и разнообразяване на дейностите</w:t>
            </w:r>
          </w:p>
          <w:p w14:paraId="3B2803E6" w14:textId="77777777" w:rsidR="00ED1CA9" w:rsidRPr="009F6D1E" w:rsidRDefault="00ED1CA9" w:rsidP="0084747F">
            <w:pPr>
              <w:widowControl w:val="0"/>
              <w:tabs>
                <w:tab w:val="left" w:pos="5765"/>
              </w:tabs>
              <w:spacing w:after="60" w:line="264" w:lineRule="auto"/>
              <w:jc w:val="both"/>
              <w:rPr>
                <w:rFonts w:cs="Times New Roman"/>
                <w:highlight w:val="yellow"/>
              </w:rPr>
            </w:pPr>
          </w:p>
        </w:tc>
        <w:tc>
          <w:tcPr>
            <w:tcW w:w="7513" w:type="dxa"/>
          </w:tcPr>
          <w:p w14:paraId="092A573D" w14:textId="77777777" w:rsidR="00C671AA" w:rsidRPr="009F6D1E" w:rsidRDefault="00C671AA" w:rsidP="0084747F">
            <w:pPr>
              <w:spacing w:after="60" w:line="264" w:lineRule="auto"/>
              <w:jc w:val="both"/>
              <w:rPr>
                <w:rFonts w:cs="Times New Roman"/>
                <w:b/>
                <w:bCs/>
                <w:i/>
                <w:u w:val="single"/>
              </w:rPr>
            </w:pPr>
            <w:r w:rsidRPr="009F6D1E">
              <w:rPr>
                <w:rFonts w:cs="Times New Roman"/>
                <w:b/>
                <w:bCs/>
                <w:i/>
              </w:rPr>
              <w:t xml:space="preserve">П.4.3.Производство на енергия от възобновяеми източници от селското стопанство </w:t>
            </w:r>
            <w:r w:rsidRPr="009F6D1E">
              <w:rPr>
                <w:rFonts w:cs="Times New Roman"/>
                <w:b/>
                <w:bCs/>
                <w:i/>
                <w:color w:val="FF0000"/>
              </w:rPr>
              <w:t>(от водна, вятърна, слънчева, геотермална енергия и остатъчна/отпадъчна биомаса от селското стопанство)</w:t>
            </w:r>
          </w:p>
          <w:p w14:paraId="386179FB" w14:textId="77777777" w:rsidR="00C671AA" w:rsidRPr="009F6D1E" w:rsidRDefault="00C671AA"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E915C37" w14:textId="77777777" w:rsidR="00C671AA" w:rsidRPr="009F6D1E" w:rsidRDefault="00C671AA"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Инвестиции за преработка на селскостопански продукти, насочени към опазване на компонентите на околната среда</w:t>
            </w:r>
          </w:p>
          <w:p w14:paraId="798B6F23" w14:textId="77777777" w:rsidR="00C671AA" w:rsidRPr="009F6D1E" w:rsidRDefault="00C671AA" w:rsidP="0084747F">
            <w:pPr>
              <w:spacing w:after="60" w:line="264" w:lineRule="auto"/>
              <w:jc w:val="both"/>
              <w:rPr>
                <w:rFonts w:cs="Times New Roman"/>
                <w:i/>
                <w:color w:val="FF0000"/>
              </w:rPr>
            </w:pPr>
            <w:r w:rsidRPr="009F6D1E">
              <w:rPr>
                <w:rFonts w:cs="Times New Roman"/>
                <w:i/>
                <w:color w:val="FF0000"/>
              </w:rPr>
              <w:t>-</w:t>
            </w:r>
            <w:r w:rsidRPr="009F6D1E">
              <w:rPr>
                <w:rFonts w:cs="Times New Roman"/>
                <w:color w:val="FF0000"/>
              </w:rPr>
              <w:t xml:space="preserve"> </w:t>
            </w:r>
            <w:r w:rsidRPr="009F6D1E">
              <w:rPr>
                <w:rFonts w:cs="Times New Roman"/>
                <w:i/>
                <w:color w:val="FF0000"/>
              </w:rPr>
              <w:t>Консултантски услуги и повишаване на консултантския капацитет</w:t>
            </w:r>
          </w:p>
          <w:p w14:paraId="753384A7" w14:textId="77777777" w:rsidR="00C671AA" w:rsidRPr="009F6D1E" w:rsidRDefault="00C671AA" w:rsidP="0084747F">
            <w:pPr>
              <w:spacing w:after="60" w:line="264" w:lineRule="auto"/>
              <w:jc w:val="both"/>
              <w:rPr>
                <w:rFonts w:cs="Times New Roman"/>
                <w:i/>
                <w:color w:val="FF0000"/>
              </w:rPr>
            </w:pPr>
            <w:r w:rsidRPr="009F6D1E">
              <w:rPr>
                <w:rFonts w:cs="Times New Roman"/>
                <w:i/>
                <w:color w:val="FF0000"/>
              </w:rPr>
              <w:t>-Професионално обучение и придобиване на знания</w:t>
            </w:r>
          </w:p>
          <w:p w14:paraId="5474ED15" w14:textId="77777777" w:rsidR="00ED1CA9" w:rsidRPr="009F6D1E" w:rsidRDefault="00C671AA" w:rsidP="0084747F">
            <w:pPr>
              <w:spacing w:after="60" w:line="264" w:lineRule="auto"/>
              <w:jc w:val="both"/>
              <w:rPr>
                <w:rFonts w:cs="Times New Roman"/>
                <w:b/>
                <w:bCs/>
                <w:i/>
              </w:rPr>
            </w:pPr>
            <w:r w:rsidRPr="009F6D1E">
              <w:rPr>
                <w:rFonts w:cs="Times New Roman"/>
                <w:i/>
                <w:color w:val="FF0000"/>
              </w:rPr>
              <w:t>-</w:t>
            </w:r>
            <w:r w:rsidRPr="009F6D1E">
              <w:rPr>
                <w:rFonts w:cs="Times New Roman"/>
                <w:color w:val="FF0000"/>
              </w:rPr>
              <w:t xml:space="preserve"> </w:t>
            </w:r>
            <w:r w:rsidRPr="009F6D1E">
              <w:rPr>
                <w:rFonts w:cs="Times New Roman"/>
                <w:i/>
                <w:color w:val="FF0000"/>
              </w:rPr>
              <w:t>Инвестиции в екологични съоръжения</w:t>
            </w:r>
          </w:p>
        </w:tc>
      </w:tr>
      <w:tr w:rsidR="00ED1CA9" w:rsidRPr="009F6D1E" w14:paraId="5F1BB0A5" w14:textId="77777777" w:rsidTr="00F92FD2">
        <w:tc>
          <w:tcPr>
            <w:tcW w:w="7366" w:type="dxa"/>
          </w:tcPr>
          <w:p w14:paraId="47ABECF4"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lastRenderedPageBreak/>
              <w:t>Потребност 4</w:t>
            </w:r>
            <w:r w:rsidRPr="009F6D1E">
              <w:rPr>
                <w:rFonts w:cs="Times New Roman"/>
                <w:b/>
                <w:bCs/>
                <w:i/>
              </w:rPr>
              <w:t xml:space="preserve">: </w:t>
            </w:r>
            <w:r w:rsidRPr="009F6D1E">
              <w:rPr>
                <w:rFonts w:cs="Times New Roman"/>
                <w:b/>
                <w:bCs/>
                <w:i/>
                <w:color w:val="FF0000"/>
              </w:rPr>
              <w:t>Селекция на култури и разработване на култури</w:t>
            </w:r>
            <w:r w:rsidRPr="009F6D1E">
              <w:rPr>
                <w:rFonts w:cs="Times New Roman"/>
                <w:b/>
                <w:bCs/>
                <w:i/>
              </w:rPr>
              <w:t>, приспособени към климата;</w:t>
            </w:r>
          </w:p>
          <w:p w14:paraId="29AE1E8A" w14:textId="77777777" w:rsidR="00765B26" w:rsidRPr="009F6D1E" w:rsidRDefault="00765B26"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7D65C11" w14:textId="77777777" w:rsidR="00ED1CA9" w:rsidRPr="009F6D1E" w:rsidRDefault="00765B26"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Насърчаване използването на култури и сортове, подходящи за отглеждане при специфични климатични условия</w:t>
            </w:r>
          </w:p>
        </w:tc>
        <w:tc>
          <w:tcPr>
            <w:tcW w:w="7513" w:type="dxa"/>
          </w:tcPr>
          <w:p w14:paraId="1596BA0A" w14:textId="77777777" w:rsidR="00657FB1" w:rsidRPr="009F6D1E" w:rsidRDefault="00657FB1" w:rsidP="0084747F">
            <w:pPr>
              <w:spacing w:after="60" w:line="264" w:lineRule="auto"/>
              <w:jc w:val="both"/>
              <w:rPr>
                <w:rFonts w:cs="Times New Roman"/>
                <w:b/>
                <w:bCs/>
                <w:i/>
              </w:rPr>
            </w:pPr>
            <w:r w:rsidRPr="009F6D1E">
              <w:rPr>
                <w:rFonts w:cs="Times New Roman"/>
                <w:b/>
                <w:bCs/>
                <w:i/>
              </w:rPr>
              <w:t>П.4.4.</w:t>
            </w:r>
            <w:r w:rsidRPr="009F6D1E">
              <w:rPr>
                <w:rFonts w:cs="Times New Roman"/>
                <w:b/>
                <w:bCs/>
                <w:i/>
                <w:color w:val="FF0000"/>
              </w:rPr>
              <w:t>Потребност от използването на култури и сортове</w:t>
            </w:r>
            <w:r w:rsidRPr="009F6D1E">
              <w:rPr>
                <w:rFonts w:cs="Times New Roman"/>
                <w:b/>
                <w:bCs/>
                <w:i/>
              </w:rPr>
              <w:t>, приспособени към климата</w:t>
            </w:r>
          </w:p>
          <w:p w14:paraId="526BDE82"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F440901" w14:textId="77777777" w:rsidR="00657FB1" w:rsidRPr="009F6D1E" w:rsidRDefault="00657FB1" w:rsidP="0084747F">
            <w:pPr>
              <w:spacing w:after="60" w:line="264" w:lineRule="auto"/>
              <w:jc w:val="both"/>
              <w:rPr>
                <w:rFonts w:cs="Times New Roman"/>
                <w:i/>
              </w:rPr>
            </w:pPr>
            <w:r w:rsidRPr="009F6D1E">
              <w:rPr>
                <w:rFonts w:cs="Times New Roman"/>
                <w:b/>
                <w:bCs/>
                <w:i/>
              </w:rPr>
              <w:t xml:space="preserve">- </w:t>
            </w:r>
            <w:r w:rsidRPr="009F6D1E">
              <w:rPr>
                <w:rFonts w:cs="Times New Roman"/>
                <w:i/>
              </w:rPr>
              <w:t>Насърчаване използването на култури и сортове, подходящи за отглеждане при специфични климатични условия</w:t>
            </w:r>
          </w:p>
          <w:p w14:paraId="401A34CB" w14:textId="77777777" w:rsidR="00657FB1" w:rsidRPr="009F6D1E" w:rsidRDefault="00657FB1"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Използване на устойчиви практики и сортове, отглеждани при специфични условия</w:t>
            </w:r>
          </w:p>
          <w:p w14:paraId="486829E2" w14:textId="77777777" w:rsidR="00ED1CA9" w:rsidRPr="009F6D1E" w:rsidRDefault="00657FB1" w:rsidP="0084747F">
            <w:pPr>
              <w:spacing w:after="60" w:line="264" w:lineRule="auto"/>
              <w:jc w:val="both"/>
              <w:rPr>
                <w:rFonts w:cs="Times New Roman"/>
                <w:b/>
                <w:bCs/>
                <w:i/>
              </w:rPr>
            </w:pPr>
            <w:r w:rsidRPr="009F6D1E">
              <w:rPr>
                <w:rFonts w:cs="Times New Roman"/>
                <w:i/>
                <w:color w:val="FF0000"/>
              </w:rPr>
              <w:t>- Насърчаване намалението на употребата на продукти за растителна защита и торове през контрол в краен продукт</w:t>
            </w:r>
          </w:p>
        </w:tc>
      </w:tr>
      <w:tr w:rsidR="00ED1CA9" w:rsidRPr="009F6D1E" w14:paraId="4F28EDA8" w14:textId="77777777" w:rsidTr="00F92FD2">
        <w:tc>
          <w:tcPr>
            <w:tcW w:w="7366" w:type="dxa"/>
          </w:tcPr>
          <w:p w14:paraId="44549936" w14:textId="77777777" w:rsidR="00765B26" w:rsidRPr="009F6D1E" w:rsidRDefault="00765B26" w:rsidP="0084747F">
            <w:pPr>
              <w:widowControl w:val="0"/>
              <w:spacing w:after="60" w:line="264" w:lineRule="auto"/>
              <w:jc w:val="both"/>
              <w:rPr>
                <w:rFonts w:cs="Times New Roman"/>
                <w:b/>
                <w:bCs/>
                <w:i/>
              </w:rPr>
            </w:pPr>
            <w:r w:rsidRPr="009F6D1E">
              <w:rPr>
                <w:rFonts w:cs="Times New Roman"/>
                <w:b/>
                <w:bCs/>
                <w:i/>
                <w:u w:val="single"/>
              </w:rPr>
              <w:t>Потребност 5</w:t>
            </w:r>
            <w:r w:rsidRPr="009F6D1E">
              <w:rPr>
                <w:rFonts w:cs="Times New Roman"/>
                <w:b/>
                <w:bCs/>
                <w:i/>
              </w:rPr>
              <w:t xml:space="preserve">: </w:t>
            </w:r>
            <w:r w:rsidRPr="009F6D1E">
              <w:rPr>
                <w:rFonts w:cs="Times New Roman"/>
                <w:b/>
                <w:bCs/>
                <w:i/>
                <w:color w:val="FF0000"/>
              </w:rPr>
              <w:t>Намаляване на емисиите от амоняк във въздуха;</w:t>
            </w:r>
          </w:p>
          <w:p w14:paraId="7C867C56" w14:textId="77777777" w:rsidR="00ED1CA9" w:rsidRPr="009F6D1E" w:rsidRDefault="00765B26"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4E5CF9A2" w14:textId="77777777" w:rsidR="00657FB1" w:rsidRPr="009F6D1E" w:rsidRDefault="00657FB1" w:rsidP="0084747F">
            <w:pPr>
              <w:widowControl w:val="0"/>
              <w:spacing w:after="60" w:line="264" w:lineRule="auto"/>
              <w:jc w:val="both"/>
              <w:rPr>
                <w:rFonts w:cs="Times New Roman"/>
                <w:b/>
                <w:bCs/>
                <w:i/>
              </w:rPr>
            </w:pPr>
            <w:r w:rsidRPr="009F6D1E">
              <w:rPr>
                <w:rFonts w:cs="Times New Roman"/>
                <w:b/>
                <w:bCs/>
                <w:i/>
              </w:rPr>
              <w:t xml:space="preserve">П.4.5. </w:t>
            </w:r>
            <w:r w:rsidRPr="009F6D1E">
              <w:rPr>
                <w:rFonts w:cs="Times New Roman"/>
                <w:b/>
                <w:bCs/>
                <w:i/>
                <w:color w:val="FF0000"/>
              </w:rPr>
              <w:t xml:space="preserve">Потребност от прилагане на нискоинтензивни земеделски практики като </w:t>
            </w:r>
            <w:proofErr w:type="spellStart"/>
            <w:r w:rsidRPr="009F6D1E">
              <w:rPr>
                <w:rFonts w:cs="Times New Roman"/>
                <w:b/>
                <w:bCs/>
                <w:i/>
                <w:color w:val="FF0000"/>
              </w:rPr>
              <w:t>консервационно</w:t>
            </w:r>
            <w:proofErr w:type="spellEnd"/>
            <w:r w:rsidRPr="009F6D1E">
              <w:rPr>
                <w:rFonts w:cs="Times New Roman"/>
                <w:b/>
                <w:bCs/>
                <w:i/>
                <w:color w:val="FF0000"/>
              </w:rPr>
              <w:t>, интегрирано и биологично земеделие</w:t>
            </w:r>
          </w:p>
          <w:p w14:paraId="5FE1A892"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F0CD861" w14:textId="77777777" w:rsidR="00657FB1" w:rsidRPr="009F6D1E" w:rsidRDefault="00657FB1"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Насърчаване използването на култури и сортове, устойчиви към климатичните условия</w:t>
            </w:r>
          </w:p>
          <w:p w14:paraId="5AD5FE4B"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Биологично производство</w:t>
            </w:r>
          </w:p>
          <w:p w14:paraId="5E89633A"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Създаване и възстановяване на екологична инфраструктура</w:t>
            </w:r>
          </w:p>
          <w:p w14:paraId="57B09C0F"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Консултантски услуги и повишаване на консултантския капацитет</w:t>
            </w:r>
          </w:p>
          <w:p w14:paraId="2D5FCC2F" w14:textId="77777777" w:rsidR="00ED1CA9" w:rsidRPr="009F6D1E" w:rsidRDefault="00657FB1" w:rsidP="0084747F">
            <w:pPr>
              <w:spacing w:after="60" w:line="264" w:lineRule="auto"/>
              <w:jc w:val="both"/>
              <w:rPr>
                <w:rFonts w:cs="Times New Roman"/>
                <w:b/>
                <w:bCs/>
                <w:i/>
              </w:rPr>
            </w:pPr>
            <w:r w:rsidRPr="009F6D1E">
              <w:rPr>
                <w:rFonts w:cs="Times New Roman"/>
                <w:i/>
                <w:color w:val="FF0000"/>
              </w:rPr>
              <w:t>- Професионално обучение и придобиване на знания</w:t>
            </w:r>
          </w:p>
        </w:tc>
      </w:tr>
      <w:tr w:rsidR="00F92FD2" w:rsidRPr="009F6D1E" w14:paraId="13D8DD5E" w14:textId="77777777" w:rsidTr="00F92FD2">
        <w:tc>
          <w:tcPr>
            <w:tcW w:w="7366" w:type="dxa"/>
          </w:tcPr>
          <w:p w14:paraId="703223EA" w14:textId="77777777" w:rsidR="00765B26" w:rsidRPr="009F6D1E" w:rsidRDefault="00765B26" w:rsidP="0084747F">
            <w:pPr>
              <w:spacing w:after="60" w:line="264" w:lineRule="auto"/>
              <w:jc w:val="both"/>
              <w:rPr>
                <w:rFonts w:cs="Times New Roman"/>
                <w:b/>
                <w:bCs/>
                <w:i/>
                <w:u w:val="single"/>
              </w:rPr>
            </w:pPr>
            <w:r w:rsidRPr="009F6D1E">
              <w:rPr>
                <w:rFonts w:cs="Times New Roman"/>
                <w:b/>
                <w:bCs/>
                <w:i/>
                <w:u w:val="single"/>
              </w:rPr>
              <w:t>Потребност 6:</w:t>
            </w:r>
            <w:r w:rsidRPr="009F6D1E">
              <w:rPr>
                <w:rFonts w:cs="Times New Roman"/>
                <w:b/>
                <w:bCs/>
                <w:i/>
              </w:rPr>
              <w:tab/>
            </w:r>
            <w:r w:rsidRPr="009F6D1E">
              <w:rPr>
                <w:rFonts w:cs="Times New Roman"/>
                <w:b/>
                <w:bCs/>
                <w:i/>
                <w:color w:val="FF0000"/>
              </w:rPr>
              <w:t>Ефективно  оползотворяване</w:t>
            </w:r>
            <w:r w:rsidRPr="009F6D1E">
              <w:rPr>
                <w:rFonts w:cs="Times New Roman"/>
                <w:b/>
                <w:bCs/>
                <w:i/>
              </w:rPr>
              <w:t xml:space="preserve"> на биомаса с животински произход</w:t>
            </w:r>
          </w:p>
          <w:p w14:paraId="4E98B8B3" w14:textId="77777777" w:rsidR="00F92FD2" w:rsidRPr="009F6D1E" w:rsidRDefault="00765B26" w:rsidP="0084747F">
            <w:pPr>
              <w:widowControl w:val="0"/>
              <w:tabs>
                <w:tab w:val="left" w:pos="5765"/>
              </w:tabs>
              <w:spacing w:after="60" w:line="264" w:lineRule="auto"/>
              <w:jc w:val="both"/>
              <w:rPr>
                <w:rFonts w:cs="Times New Roman"/>
                <w:highlight w:val="yellow"/>
              </w:rPr>
            </w:pPr>
            <w:r w:rsidRPr="009F6D1E">
              <w:rPr>
                <w:rFonts w:cs="Times New Roman"/>
                <w:b/>
                <w:bCs/>
                <w:i/>
                <w:u w:val="single"/>
              </w:rPr>
              <w:lastRenderedPageBreak/>
              <w:t>Интервенции</w:t>
            </w:r>
            <w:r w:rsidRPr="009F6D1E">
              <w:rPr>
                <w:rFonts w:cs="Times New Roman"/>
                <w:b/>
                <w:bCs/>
                <w:i/>
              </w:rPr>
              <w:t>: -</w:t>
            </w:r>
          </w:p>
        </w:tc>
        <w:tc>
          <w:tcPr>
            <w:tcW w:w="7513" w:type="dxa"/>
          </w:tcPr>
          <w:p w14:paraId="53F28C0F" w14:textId="77777777" w:rsidR="00657FB1" w:rsidRPr="009F6D1E" w:rsidRDefault="00657FB1" w:rsidP="0084747F">
            <w:pPr>
              <w:spacing w:after="60" w:line="264" w:lineRule="auto"/>
              <w:jc w:val="both"/>
              <w:rPr>
                <w:rFonts w:cs="Times New Roman"/>
                <w:b/>
                <w:bCs/>
                <w:i/>
                <w:u w:val="single"/>
              </w:rPr>
            </w:pPr>
            <w:r w:rsidRPr="009F6D1E">
              <w:rPr>
                <w:rFonts w:cs="Times New Roman"/>
                <w:b/>
                <w:bCs/>
                <w:i/>
              </w:rPr>
              <w:lastRenderedPageBreak/>
              <w:t>П.4.6.</w:t>
            </w:r>
            <w:r w:rsidRPr="009F6D1E">
              <w:rPr>
                <w:rFonts w:cs="Times New Roman"/>
                <w:b/>
                <w:bCs/>
                <w:i/>
                <w:color w:val="FF0000"/>
              </w:rPr>
              <w:t xml:space="preserve">Увеличаване на производството </w:t>
            </w:r>
            <w:r w:rsidRPr="009F6D1E">
              <w:rPr>
                <w:rFonts w:cs="Times New Roman"/>
                <w:b/>
                <w:bCs/>
                <w:i/>
              </w:rPr>
              <w:t>на биомаса с животински произход</w:t>
            </w:r>
          </w:p>
          <w:p w14:paraId="1AF3FDE8"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w:t>
            </w:r>
          </w:p>
          <w:p w14:paraId="1D607AAF" w14:textId="77777777" w:rsidR="00657FB1" w:rsidRPr="009F6D1E" w:rsidRDefault="00657FB1"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Консултантски услуги и повишаване на консултантския капацитет</w:t>
            </w:r>
          </w:p>
          <w:p w14:paraId="194F5768" w14:textId="77777777" w:rsidR="00F92FD2"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color w:val="FF0000"/>
              </w:rPr>
              <w:t>- Професионално обучение и придобиване на знания</w:t>
            </w:r>
          </w:p>
        </w:tc>
      </w:tr>
      <w:tr w:rsidR="00657FB1" w:rsidRPr="009F6D1E" w14:paraId="6A55F18A" w14:textId="77777777" w:rsidTr="00F92FD2">
        <w:tc>
          <w:tcPr>
            <w:tcW w:w="7366" w:type="dxa"/>
          </w:tcPr>
          <w:p w14:paraId="01B1158D"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019470C2" w14:textId="77777777" w:rsidR="00657FB1" w:rsidRPr="009F6D1E" w:rsidRDefault="00657FB1" w:rsidP="0084747F">
            <w:pPr>
              <w:spacing w:after="60" w:line="264" w:lineRule="auto"/>
              <w:jc w:val="both"/>
              <w:rPr>
                <w:rFonts w:cs="Times New Roman"/>
                <w:b/>
                <w:bCs/>
                <w:i/>
                <w:color w:val="FF0000"/>
              </w:rPr>
            </w:pPr>
            <w:r w:rsidRPr="009F6D1E">
              <w:rPr>
                <w:rFonts w:cs="Times New Roman"/>
                <w:b/>
                <w:bCs/>
                <w:i/>
                <w:color w:val="FF0000"/>
              </w:rPr>
              <w:t xml:space="preserve">П.4.7.Противодействие с болестите по животните и борба с патогенните заболявания </w:t>
            </w:r>
          </w:p>
          <w:p w14:paraId="36B66E3D" w14:textId="77777777" w:rsidR="00657FB1" w:rsidRPr="009F6D1E" w:rsidRDefault="00657FB1"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0FAFE7A2" w14:textId="77777777" w:rsidR="00657FB1" w:rsidRPr="009F6D1E" w:rsidRDefault="00657FB1" w:rsidP="0084747F">
            <w:pPr>
              <w:widowControl w:val="0"/>
              <w:tabs>
                <w:tab w:val="left" w:pos="5765"/>
              </w:tabs>
              <w:spacing w:after="60" w:line="264" w:lineRule="auto"/>
              <w:jc w:val="both"/>
              <w:rPr>
                <w:rFonts w:cs="Times New Roman"/>
                <w:color w:val="FF0000"/>
                <w:highlight w:val="yellow"/>
              </w:rPr>
            </w:pPr>
            <w:r w:rsidRPr="009F6D1E">
              <w:rPr>
                <w:rFonts w:cs="Times New Roman"/>
                <w:i/>
                <w:color w:val="FF0000"/>
              </w:rPr>
              <w:t>- Хуманно отношение към животните и антимикробна резистентност</w:t>
            </w:r>
          </w:p>
        </w:tc>
      </w:tr>
      <w:tr w:rsidR="00657FB1" w:rsidRPr="009F6D1E" w14:paraId="2F7F8D85" w14:textId="77777777" w:rsidTr="00F92FD2">
        <w:tc>
          <w:tcPr>
            <w:tcW w:w="7366" w:type="dxa"/>
          </w:tcPr>
          <w:p w14:paraId="7E20241B"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32160C02" w14:textId="77777777" w:rsidR="00657FB1" w:rsidRPr="009F6D1E" w:rsidRDefault="00657FB1" w:rsidP="0084747F">
            <w:pPr>
              <w:widowControl w:val="0"/>
              <w:spacing w:after="60" w:line="264" w:lineRule="auto"/>
              <w:jc w:val="both"/>
              <w:rPr>
                <w:rFonts w:cs="Times New Roman"/>
                <w:b/>
                <w:bCs/>
                <w:i/>
                <w:color w:val="FF0000"/>
                <w:u w:val="single"/>
              </w:rPr>
            </w:pPr>
            <w:r w:rsidRPr="009F6D1E">
              <w:rPr>
                <w:rFonts w:cs="Times New Roman"/>
                <w:b/>
                <w:bCs/>
                <w:i/>
                <w:color w:val="FF0000"/>
              </w:rPr>
              <w:t>П.4.8. Устойчиво управление на горските територии, запасите от дървесина и въглерод в горската биомаса, за адаптиране към промените на климата</w:t>
            </w:r>
          </w:p>
          <w:p w14:paraId="12D7674B" w14:textId="77777777" w:rsidR="00657FB1" w:rsidRPr="009F6D1E" w:rsidRDefault="00657FB1"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6CA2756B" w14:textId="77777777" w:rsidR="00657FB1" w:rsidRPr="009F6D1E" w:rsidRDefault="00657FB1" w:rsidP="0084747F">
            <w:pPr>
              <w:widowControl w:val="0"/>
              <w:tabs>
                <w:tab w:val="left" w:pos="5765"/>
              </w:tabs>
              <w:spacing w:after="60" w:line="264" w:lineRule="auto"/>
              <w:jc w:val="both"/>
              <w:rPr>
                <w:rFonts w:cs="Times New Roman"/>
                <w:color w:val="FF0000"/>
                <w:highlight w:val="yellow"/>
              </w:rPr>
            </w:pPr>
            <w:r w:rsidRPr="009F6D1E">
              <w:rPr>
                <w:rFonts w:cs="Times New Roman"/>
                <w:i/>
                <w:color w:val="FF0000"/>
              </w:rPr>
              <w:t>- Намаляване загубата на биологично  разнообразие, опазване на горските местообитания и намаляване на незаконните дейности в горските територии</w:t>
            </w:r>
          </w:p>
        </w:tc>
      </w:tr>
      <w:tr w:rsidR="00657FB1" w:rsidRPr="009F6D1E" w14:paraId="09C236A1" w14:textId="77777777" w:rsidTr="00F92FD2">
        <w:tc>
          <w:tcPr>
            <w:tcW w:w="7366" w:type="dxa"/>
          </w:tcPr>
          <w:p w14:paraId="4B6506B3"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7DBEE3A1" w14:textId="77777777" w:rsidR="00657FB1" w:rsidRPr="009F6D1E" w:rsidRDefault="00657FB1" w:rsidP="0084747F">
            <w:pPr>
              <w:spacing w:after="60" w:line="264" w:lineRule="auto"/>
              <w:jc w:val="both"/>
              <w:rPr>
                <w:rFonts w:cs="Times New Roman"/>
                <w:b/>
                <w:bCs/>
                <w:i/>
                <w:color w:val="FF0000"/>
              </w:rPr>
            </w:pPr>
            <w:r w:rsidRPr="009F6D1E">
              <w:rPr>
                <w:rFonts w:cs="Times New Roman"/>
                <w:b/>
                <w:bCs/>
                <w:i/>
                <w:color w:val="FF0000"/>
              </w:rPr>
              <w:t>П.4.9. Устойчиво управление на горите, включително увеличаване на залесените площи в страната,</w:t>
            </w:r>
          </w:p>
          <w:p w14:paraId="1F2F9931" w14:textId="77777777" w:rsidR="00657FB1" w:rsidRPr="009F6D1E" w:rsidRDefault="00657FB1" w:rsidP="0084747F">
            <w:pPr>
              <w:spacing w:after="60" w:line="264" w:lineRule="auto"/>
              <w:jc w:val="both"/>
              <w:rPr>
                <w:rFonts w:cs="Times New Roman"/>
                <w:b/>
                <w:bCs/>
                <w:i/>
                <w:color w:val="FF0000"/>
                <w:u w:val="single"/>
              </w:rPr>
            </w:pPr>
            <w:r w:rsidRPr="009F6D1E">
              <w:rPr>
                <w:rFonts w:cs="Times New Roman"/>
                <w:b/>
                <w:bCs/>
                <w:i/>
                <w:color w:val="FF0000"/>
              </w:rPr>
              <w:t>опазване на горските местообитания, биоразнообразието и екосистемните услуги от горите</w:t>
            </w:r>
            <w:r w:rsidRPr="009F6D1E">
              <w:rPr>
                <w:rFonts w:cs="Times New Roman"/>
                <w:b/>
                <w:bCs/>
                <w:i/>
                <w:color w:val="FF0000"/>
                <w:u w:val="single"/>
              </w:rPr>
              <w:t xml:space="preserve"> </w:t>
            </w:r>
          </w:p>
          <w:p w14:paraId="0014B077" w14:textId="77777777" w:rsidR="00657FB1" w:rsidRPr="009F6D1E" w:rsidRDefault="00657FB1"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34C27988"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Горско екологични дейности в горите</w:t>
            </w:r>
          </w:p>
          <w:p w14:paraId="23BD2802"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lastRenderedPageBreak/>
              <w:t>-Залесяване и презалесяване</w:t>
            </w:r>
          </w:p>
          <w:p w14:paraId="2AB48E6C"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Предотвратяване на щети по горите от горски пожари, природни бедствия и катастрофични събития</w:t>
            </w:r>
          </w:p>
          <w:p w14:paraId="6BC899D3" w14:textId="77777777" w:rsidR="00657FB1" w:rsidRPr="009F6D1E" w:rsidRDefault="00657FB1" w:rsidP="0084747F">
            <w:pPr>
              <w:widowControl w:val="0"/>
              <w:tabs>
                <w:tab w:val="left" w:pos="5765"/>
              </w:tabs>
              <w:spacing w:after="60" w:line="264" w:lineRule="auto"/>
              <w:jc w:val="both"/>
              <w:rPr>
                <w:rFonts w:cs="Times New Roman"/>
                <w:color w:val="FF0000"/>
                <w:highlight w:val="yellow"/>
              </w:rPr>
            </w:pPr>
            <w:r w:rsidRPr="009F6D1E">
              <w:rPr>
                <w:rFonts w:cs="Times New Roman"/>
                <w:i/>
                <w:color w:val="FF0000"/>
              </w:rPr>
              <w:t>- Подобряване на здравословното състояние и устойчивостта на горските екосистеми чрез подпомагане провеждането на сечи в горските територии</w:t>
            </w:r>
          </w:p>
        </w:tc>
      </w:tr>
      <w:tr w:rsidR="000B17F1" w:rsidRPr="009F6D1E" w14:paraId="3B03EE88" w14:textId="77777777" w:rsidTr="00F92FD2">
        <w:tc>
          <w:tcPr>
            <w:tcW w:w="7366" w:type="dxa"/>
          </w:tcPr>
          <w:p w14:paraId="7AB68571" w14:textId="77777777" w:rsidR="000B17F1" w:rsidRPr="009F6D1E" w:rsidRDefault="00D121EC" w:rsidP="0084747F">
            <w:pPr>
              <w:widowControl w:val="0"/>
              <w:tabs>
                <w:tab w:val="left" w:pos="5765"/>
              </w:tabs>
              <w:spacing w:after="60" w:line="264" w:lineRule="auto"/>
              <w:jc w:val="both"/>
              <w:rPr>
                <w:rFonts w:cs="Times New Roman"/>
                <w:b/>
                <w:bCs/>
                <w:i/>
              </w:rPr>
            </w:pPr>
            <w:r w:rsidRPr="009F6D1E">
              <w:rPr>
                <w:rFonts w:cs="Times New Roman"/>
                <w:b/>
                <w:bCs/>
                <w:i/>
              </w:rPr>
              <w:lastRenderedPageBreak/>
              <w:t>Специфична цел №5: Насърчаване на устойчивото развитие и ефективно управление на природните ресурси като вода, почва и въздух</w:t>
            </w:r>
          </w:p>
        </w:tc>
        <w:tc>
          <w:tcPr>
            <w:tcW w:w="7513" w:type="dxa"/>
          </w:tcPr>
          <w:p w14:paraId="472A40C7" w14:textId="77777777" w:rsidR="000B17F1" w:rsidRPr="009F6D1E" w:rsidRDefault="000B17F1" w:rsidP="0084747F">
            <w:pPr>
              <w:spacing w:after="60" w:line="264" w:lineRule="auto"/>
              <w:jc w:val="both"/>
              <w:rPr>
                <w:rFonts w:cs="Times New Roman"/>
                <w:b/>
                <w:bCs/>
                <w:i/>
              </w:rPr>
            </w:pPr>
            <w:r w:rsidRPr="009F6D1E">
              <w:rPr>
                <w:rFonts w:cs="Times New Roman"/>
                <w:b/>
                <w:bCs/>
                <w:i/>
              </w:rPr>
              <w:t xml:space="preserve">Специфична цел №5: Насърчаване на устойчиво развитие и ефективно управление на природните ресурси като вода, почва и въздух, </w:t>
            </w:r>
            <w:r w:rsidRPr="009F6D1E">
              <w:rPr>
                <w:rFonts w:cs="Times New Roman"/>
                <w:b/>
                <w:bCs/>
                <w:i/>
                <w:color w:val="FF0000"/>
              </w:rPr>
              <w:t>включително чрез намаляване на зависимостта от химикали</w:t>
            </w:r>
          </w:p>
        </w:tc>
      </w:tr>
      <w:tr w:rsidR="00657FB1" w:rsidRPr="009F6D1E" w14:paraId="404039B7" w14:textId="77777777" w:rsidTr="00F92FD2">
        <w:tc>
          <w:tcPr>
            <w:tcW w:w="7366" w:type="dxa"/>
          </w:tcPr>
          <w:p w14:paraId="20E2A1E3"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xml:space="preserve">: Поддържане на подходящ баланс на земеделските площи според вида на </w:t>
            </w:r>
            <w:proofErr w:type="spellStart"/>
            <w:r w:rsidRPr="009F6D1E">
              <w:rPr>
                <w:rFonts w:cs="Times New Roman"/>
                <w:b/>
                <w:bCs/>
                <w:i/>
              </w:rPr>
              <w:t>земеползване</w:t>
            </w:r>
            <w:proofErr w:type="spellEnd"/>
            <w:r w:rsidRPr="009F6D1E">
              <w:rPr>
                <w:rFonts w:cs="Times New Roman"/>
                <w:b/>
                <w:bCs/>
                <w:i/>
              </w:rPr>
              <w:t xml:space="preserve"> и поддържане на разнообразие на културите;</w:t>
            </w:r>
          </w:p>
          <w:p w14:paraId="31694A12"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2F4B6EC1" w14:textId="77777777" w:rsidR="00657FB1" w:rsidRPr="009F6D1E" w:rsidRDefault="006F54F9"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color w:val="FF0000"/>
              </w:rPr>
              <w:t>Еко схема за засиле</w:t>
            </w:r>
            <w:r w:rsidR="00965062" w:rsidRPr="009F6D1E">
              <w:rPr>
                <w:rFonts w:cs="Times New Roman"/>
                <w:i/>
                <w:color w:val="FF0000"/>
              </w:rPr>
              <w:t>на диверсификация на културите</w:t>
            </w:r>
          </w:p>
        </w:tc>
        <w:tc>
          <w:tcPr>
            <w:tcW w:w="7513" w:type="dxa"/>
          </w:tcPr>
          <w:p w14:paraId="7BE4B043" w14:textId="77777777" w:rsidR="00657FB1" w:rsidRPr="009F6D1E" w:rsidRDefault="00657FB1" w:rsidP="0084747F">
            <w:pPr>
              <w:spacing w:after="60" w:line="264" w:lineRule="auto"/>
              <w:jc w:val="both"/>
              <w:rPr>
                <w:rFonts w:cs="Times New Roman"/>
                <w:b/>
                <w:bCs/>
                <w:i/>
              </w:rPr>
            </w:pPr>
            <w:r w:rsidRPr="009F6D1E">
              <w:rPr>
                <w:rFonts w:cs="Times New Roman"/>
                <w:b/>
                <w:bCs/>
                <w:i/>
              </w:rPr>
              <w:t xml:space="preserve">П.5.1. Поддържане на подходящ баланс на земеделските площи според вида на </w:t>
            </w:r>
            <w:proofErr w:type="spellStart"/>
            <w:r w:rsidRPr="009F6D1E">
              <w:rPr>
                <w:rFonts w:cs="Times New Roman"/>
                <w:b/>
                <w:bCs/>
                <w:i/>
              </w:rPr>
              <w:t>земеползване</w:t>
            </w:r>
            <w:proofErr w:type="spellEnd"/>
            <w:r w:rsidRPr="009F6D1E">
              <w:rPr>
                <w:rFonts w:cs="Times New Roman"/>
                <w:b/>
                <w:bCs/>
                <w:i/>
              </w:rPr>
              <w:t xml:space="preserve"> и поддържане на разнообразие на културите</w:t>
            </w:r>
          </w:p>
          <w:p w14:paraId="0F4AE57E"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4752BCA9" w14:textId="77777777" w:rsidR="00657FB1" w:rsidRPr="009F6D1E" w:rsidRDefault="00657FB1"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Еко схема за разнообразяване на отглежданите култури (по чл. 31 от Регламент (ЕС) 2021/2115)</w:t>
            </w:r>
          </w:p>
          <w:p w14:paraId="4C1C677A"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интервенции по чл. 65 от РСП</w:t>
            </w:r>
          </w:p>
          <w:p w14:paraId="78BA831E"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Създаване и възстановяване на екологична инфраструктура</w:t>
            </w:r>
          </w:p>
          <w:p w14:paraId="264500E6" w14:textId="77777777" w:rsidR="00657FB1"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color w:val="FF0000"/>
              </w:rPr>
              <w:t>- Плащания за земеделски земи в зони от Натура 2000</w:t>
            </w:r>
          </w:p>
        </w:tc>
      </w:tr>
      <w:tr w:rsidR="00657FB1" w:rsidRPr="009F6D1E" w14:paraId="5802C7BC" w14:textId="77777777" w:rsidTr="00F92FD2">
        <w:tc>
          <w:tcPr>
            <w:tcW w:w="7366" w:type="dxa"/>
          </w:tcPr>
          <w:p w14:paraId="7AF30A3A"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Подобряване на качеството на почвите чрез продължаване на усилията по ограничаване на процесите на водна и ветрова ерозия;</w:t>
            </w:r>
          </w:p>
          <w:p w14:paraId="58DC50B9"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 xml:space="preserve">: </w:t>
            </w:r>
          </w:p>
          <w:p w14:paraId="1711BA94" w14:textId="77777777" w:rsidR="00657FB1" w:rsidRPr="009F6D1E" w:rsidRDefault="006F54F9" w:rsidP="0084747F">
            <w:pPr>
              <w:widowControl w:val="0"/>
              <w:tabs>
                <w:tab w:val="left" w:pos="5765"/>
              </w:tabs>
              <w:spacing w:after="60" w:line="264" w:lineRule="auto"/>
              <w:jc w:val="both"/>
              <w:rPr>
                <w:rFonts w:cs="Times New Roman"/>
                <w:highlight w:val="yellow"/>
              </w:rPr>
            </w:pPr>
            <w:r w:rsidRPr="009F6D1E">
              <w:rPr>
                <w:rFonts w:cs="Times New Roman"/>
                <w:i/>
              </w:rPr>
              <w:t xml:space="preserve">- </w:t>
            </w:r>
            <w:r w:rsidR="000945FA" w:rsidRPr="009F6D1E">
              <w:rPr>
                <w:rFonts w:cs="Times New Roman"/>
                <w:i/>
              </w:rPr>
              <w:t>И</w:t>
            </w:r>
            <w:r w:rsidRPr="009F6D1E">
              <w:rPr>
                <w:rFonts w:cs="Times New Roman"/>
                <w:i/>
              </w:rPr>
              <w:t>нтервенцията по чл. 65 от РСП</w:t>
            </w:r>
          </w:p>
        </w:tc>
        <w:tc>
          <w:tcPr>
            <w:tcW w:w="7513" w:type="dxa"/>
          </w:tcPr>
          <w:p w14:paraId="1E2F6C6D" w14:textId="77777777" w:rsidR="00657FB1" w:rsidRPr="009F6D1E" w:rsidRDefault="00657FB1" w:rsidP="0084747F">
            <w:pPr>
              <w:spacing w:after="60" w:line="264" w:lineRule="auto"/>
              <w:jc w:val="both"/>
              <w:rPr>
                <w:rFonts w:cs="Times New Roman"/>
                <w:b/>
                <w:bCs/>
                <w:i/>
              </w:rPr>
            </w:pPr>
            <w:r w:rsidRPr="009F6D1E">
              <w:rPr>
                <w:rFonts w:cs="Times New Roman"/>
                <w:b/>
                <w:bCs/>
                <w:i/>
              </w:rPr>
              <w:lastRenderedPageBreak/>
              <w:t>П.5.2. Подобряване качеството на почвите чрез продължаване на усилията за ограничаване на процесите на водна и ветрова ерозия</w:t>
            </w:r>
          </w:p>
          <w:p w14:paraId="1C5F4EF7"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w:t>
            </w:r>
          </w:p>
          <w:p w14:paraId="0F652A82" w14:textId="77777777" w:rsidR="00657FB1" w:rsidRPr="009F6D1E" w:rsidRDefault="00657FB1" w:rsidP="0084747F">
            <w:pPr>
              <w:spacing w:after="60" w:line="264" w:lineRule="auto"/>
              <w:jc w:val="both"/>
              <w:rPr>
                <w:rFonts w:cs="Times New Roman"/>
                <w:i/>
              </w:rPr>
            </w:pPr>
            <w:r w:rsidRPr="009F6D1E">
              <w:rPr>
                <w:rFonts w:cs="Times New Roman"/>
                <w:i/>
              </w:rPr>
              <w:t>- Интервенция по чл. 65 от РСП</w:t>
            </w:r>
          </w:p>
          <w:p w14:paraId="371C695C" w14:textId="77777777" w:rsidR="00657FB1"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rPr>
              <w:t>-</w:t>
            </w:r>
            <w:r w:rsidRPr="009F6D1E">
              <w:rPr>
                <w:rFonts w:cs="Times New Roman"/>
              </w:rPr>
              <w:t xml:space="preserve"> </w:t>
            </w:r>
            <w:r w:rsidRPr="009F6D1E">
              <w:rPr>
                <w:rFonts w:cs="Times New Roman"/>
                <w:i/>
                <w:color w:val="FF0000"/>
              </w:rPr>
              <w:t>Възстановяване и поддържане на деградирали пасищни територии</w:t>
            </w:r>
          </w:p>
        </w:tc>
      </w:tr>
      <w:tr w:rsidR="00657FB1" w:rsidRPr="009F6D1E" w14:paraId="6A5EF21E" w14:textId="77777777" w:rsidTr="00F92FD2">
        <w:tc>
          <w:tcPr>
            <w:tcW w:w="7366" w:type="dxa"/>
          </w:tcPr>
          <w:p w14:paraId="7DB564EA"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lastRenderedPageBreak/>
              <w:t>Потребност 3</w:t>
            </w:r>
            <w:r w:rsidRPr="009F6D1E">
              <w:rPr>
                <w:rFonts w:cs="Times New Roman"/>
                <w:b/>
                <w:bCs/>
                <w:i/>
              </w:rPr>
              <w:t xml:space="preserve">: Поддържане на добър баланс на </w:t>
            </w:r>
            <w:proofErr w:type="spellStart"/>
            <w:r w:rsidRPr="009F6D1E">
              <w:rPr>
                <w:rFonts w:cs="Times New Roman"/>
                <w:b/>
                <w:bCs/>
                <w:i/>
              </w:rPr>
              <w:t>запасеност</w:t>
            </w:r>
            <w:proofErr w:type="spellEnd"/>
            <w:r w:rsidRPr="009F6D1E">
              <w:rPr>
                <w:rFonts w:cs="Times New Roman"/>
                <w:b/>
                <w:bCs/>
                <w:i/>
              </w:rPr>
              <w:t xml:space="preserve"> на почвите с органично вещество</w:t>
            </w:r>
          </w:p>
          <w:p w14:paraId="32ED5B3F"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56D24BA3" w14:textId="77777777" w:rsidR="006F54F9" w:rsidRPr="009F6D1E" w:rsidRDefault="006F54F9" w:rsidP="0084747F">
            <w:pPr>
              <w:spacing w:after="60" w:line="264" w:lineRule="auto"/>
              <w:jc w:val="both"/>
              <w:rPr>
                <w:rFonts w:cs="Times New Roman"/>
                <w:i/>
              </w:rPr>
            </w:pPr>
            <w:r w:rsidRPr="009F6D1E">
              <w:rPr>
                <w:rFonts w:cs="Times New Roman"/>
                <w:b/>
                <w:bCs/>
                <w:i/>
              </w:rPr>
              <w:t xml:space="preserve">- </w:t>
            </w:r>
            <w:r w:rsidRPr="009F6D1E">
              <w:rPr>
                <w:rFonts w:cs="Times New Roman"/>
                <w:i/>
                <w:color w:val="FF0000"/>
              </w:rPr>
              <w:t>Еко схема за засиле</w:t>
            </w:r>
            <w:r w:rsidR="00965062" w:rsidRPr="009F6D1E">
              <w:rPr>
                <w:rFonts w:cs="Times New Roman"/>
                <w:i/>
                <w:color w:val="FF0000"/>
              </w:rPr>
              <w:t>на диверсификация на културите</w:t>
            </w:r>
          </w:p>
          <w:p w14:paraId="5CAC9E8E"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654B8E77" w14:textId="77777777" w:rsidR="00657FB1" w:rsidRPr="009F6D1E" w:rsidRDefault="00657FB1" w:rsidP="0084747F">
            <w:pPr>
              <w:spacing w:after="60" w:line="264" w:lineRule="auto"/>
              <w:jc w:val="both"/>
              <w:rPr>
                <w:rFonts w:cs="Times New Roman"/>
                <w:b/>
                <w:bCs/>
                <w:i/>
              </w:rPr>
            </w:pPr>
            <w:r w:rsidRPr="009F6D1E">
              <w:rPr>
                <w:rFonts w:cs="Times New Roman"/>
                <w:b/>
                <w:bCs/>
                <w:i/>
              </w:rPr>
              <w:t xml:space="preserve">П.5.3. Поддържане на добър баланс на </w:t>
            </w:r>
            <w:proofErr w:type="spellStart"/>
            <w:r w:rsidRPr="009F6D1E">
              <w:rPr>
                <w:rFonts w:cs="Times New Roman"/>
                <w:b/>
                <w:bCs/>
                <w:i/>
              </w:rPr>
              <w:t>запасеност</w:t>
            </w:r>
            <w:proofErr w:type="spellEnd"/>
            <w:r w:rsidRPr="009F6D1E">
              <w:rPr>
                <w:rFonts w:cs="Times New Roman"/>
                <w:b/>
                <w:bCs/>
                <w:i/>
              </w:rPr>
              <w:t xml:space="preserve"> на почвите с органично вещество</w:t>
            </w:r>
          </w:p>
          <w:p w14:paraId="1EA5661D"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4A4B3C2E" w14:textId="77777777" w:rsidR="00657FB1" w:rsidRPr="009F6D1E" w:rsidRDefault="00657FB1"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 xml:space="preserve">Еко схема за разнообразяване на отглежданите култури </w:t>
            </w:r>
          </w:p>
          <w:p w14:paraId="43507BCA"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Еко схема за запазване и възстановяване на почвения потенциал</w:t>
            </w:r>
          </w:p>
          <w:p w14:paraId="01A9CE60" w14:textId="77777777" w:rsidR="00657FB1"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color w:val="FF0000"/>
              </w:rPr>
              <w:t>-</w:t>
            </w:r>
            <w:r w:rsidRPr="009F6D1E">
              <w:rPr>
                <w:rFonts w:cs="Times New Roman"/>
                <w:color w:val="FF0000"/>
              </w:rPr>
              <w:t xml:space="preserve"> </w:t>
            </w:r>
            <w:r w:rsidRPr="009F6D1E">
              <w:rPr>
                <w:rFonts w:cs="Times New Roman"/>
                <w:i/>
                <w:color w:val="FF0000"/>
              </w:rPr>
              <w:t>Насърчаване използването на култури и сортове, устойчиви към климатичните условия</w:t>
            </w:r>
          </w:p>
        </w:tc>
      </w:tr>
      <w:tr w:rsidR="00657FB1" w:rsidRPr="009F6D1E" w14:paraId="5FEAAB3E" w14:textId="77777777" w:rsidTr="00F92FD2">
        <w:tc>
          <w:tcPr>
            <w:tcW w:w="7366" w:type="dxa"/>
          </w:tcPr>
          <w:p w14:paraId="577B6069"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Продължаване на нисък азотен</w:t>
            </w:r>
            <w:r w:rsidR="00965062" w:rsidRPr="009F6D1E">
              <w:rPr>
                <w:rFonts w:cs="Times New Roman"/>
                <w:b/>
                <w:bCs/>
                <w:i/>
              </w:rPr>
              <w:t xml:space="preserve"> и фосфорен отпечатък в почвите</w:t>
            </w:r>
          </w:p>
          <w:p w14:paraId="332E7696"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8881530" w14:textId="77777777" w:rsidR="00657FB1" w:rsidRPr="009F6D1E" w:rsidRDefault="006F54F9" w:rsidP="0084747F">
            <w:pPr>
              <w:widowControl w:val="0"/>
              <w:tabs>
                <w:tab w:val="left" w:pos="5765"/>
              </w:tabs>
              <w:spacing w:after="60" w:line="264" w:lineRule="auto"/>
              <w:jc w:val="both"/>
              <w:rPr>
                <w:rFonts w:cs="Times New Roman"/>
                <w:highlight w:val="yellow"/>
              </w:rPr>
            </w:pPr>
            <w:r w:rsidRPr="009F6D1E">
              <w:rPr>
                <w:rFonts w:cs="Times New Roman"/>
                <w:b/>
                <w:bCs/>
                <w:i/>
                <w:color w:val="FF0000"/>
              </w:rPr>
              <w:t xml:space="preserve">- </w:t>
            </w:r>
            <w:r w:rsidR="000945FA" w:rsidRPr="009F6D1E">
              <w:rPr>
                <w:rFonts w:cs="Times New Roman"/>
                <w:i/>
                <w:color w:val="FF0000"/>
              </w:rPr>
              <w:t>И</w:t>
            </w:r>
            <w:r w:rsidRPr="009F6D1E">
              <w:rPr>
                <w:rFonts w:cs="Times New Roman"/>
                <w:i/>
                <w:color w:val="FF0000"/>
              </w:rPr>
              <w:t>нтервенции по чл. 65 от РСП</w:t>
            </w:r>
          </w:p>
        </w:tc>
        <w:tc>
          <w:tcPr>
            <w:tcW w:w="7513" w:type="dxa"/>
          </w:tcPr>
          <w:p w14:paraId="37A18ADC" w14:textId="77777777" w:rsidR="00657FB1" w:rsidRPr="009F6D1E" w:rsidRDefault="00657FB1" w:rsidP="0084747F">
            <w:pPr>
              <w:spacing w:after="60" w:line="264" w:lineRule="auto"/>
              <w:jc w:val="both"/>
              <w:rPr>
                <w:rFonts w:cs="Times New Roman"/>
                <w:b/>
                <w:bCs/>
                <w:i/>
              </w:rPr>
            </w:pPr>
            <w:r w:rsidRPr="009F6D1E">
              <w:rPr>
                <w:rFonts w:cs="Times New Roman"/>
                <w:b/>
                <w:bCs/>
                <w:i/>
              </w:rPr>
              <w:t xml:space="preserve">П.5.4. Продължаване </w:t>
            </w:r>
            <w:r w:rsidRPr="009F6D1E">
              <w:rPr>
                <w:rFonts w:cs="Times New Roman"/>
                <w:b/>
                <w:bCs/>
                <w:i/>
                <w:color w:val="FF0000"/>
              </w:rPr>
              <w:t xml:space="preserve">на поддържането </w:t>
            </w:r>
            <w:r w:rsidRPr="009F6D1E">
              <w:rPr>
                <w:rFonts w:cs="Times New Roman"/>
                <w:b/>
                <w:bCs/>
                <w:i/>
              </w:rPr>
              <w:t>на нисък азотен и фосфорен отпечатък в почвите</w:t>
            </w:r>
          </w:p>
          <w:p w14:paraId="4B58EB25"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D41C063" w14:textId="77777777" w:rsidR="00657FB1" w:rsidRPr="009F6D1E" w:rsidRDefault="00657FB1"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Еко схема за запазване и възстановяване на почвения потенциал</w:t>
            </w:r>
          </w:p>
          <w:p w14:paraId="4E7E568D"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Еко схема за разнообразяване на отглежданите култури</w:t>
            </w:r>
          </w:p>
          <w:p w14:paraId="5FCB4F17"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xml:space="preserve">-  Еко схема за екологично поддържане на трайните насаждения. </w:t>
            </w:r>
          </w:p>
          <w:p w14:paraId="15A60677"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Използване на устойчиви практики и сортове, отглеждани при специфични условия</w:t>
            </w:r>
          </w:p>
          <w:p w14:paraId="1D52C64B"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xml:space="preserve">- Насърчаване намалението на употребата на продукти за растителна защита и торове през контрол в краен продукт </w:t>
            </w:r>
          </w:p>
          <w:p w14:paraId="0B8DF488" w14:textId="77777777" w:rsidR="00657FB1"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color w:val="FF0000"/>
              </w:rPr>
              <w:t>- Биологично производство</w:t>
            </w:r>
          </w:p>
        </w:tc>
      </w:tr>
      <w:tr w:rsidR="00657FB1" w:rsidRPr="009F6D1E" w14:paraId="1E774C2A" w14:textId="77777777" w:rsidTr="00F92FD2">
        <w:tc>
          <w:tcPr>
            <w:tcW w:w="7366" w:type="dxa"/>
          </w:tcPr>
          <w:p w14:paraId="48B85F4F"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lastRenderedPageBreak/>
              <w:t>Потребност 5</w:t>
            </w:r>
            <w:r w:rsidRPr="009F6D1E">
              <w:rPr>
                <w:rFonts w:cs="Times New Roman"/>
                <w:b/>
                <w:bCs/>
                <w:i/>
              </w:rPr>
              <w:t>: Продължаване на прилагане на оптимизирана и устойчива употреба на ПРЗ, минерални и органични торове с цел опазване на водите</w:t>
            </w:r>
          </w:p>
          <w:p w14:paraId="642D4837"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3838631D" w14:textId="77777777" w:rsidR="006F54F9" w:rsidRPr="009F6D1E" w:rsidRDefault="006F54F9"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Еко схема за създаване и поддържане на мултифункционални вегетативни ивици при трайните насаждения</w:t>
            </w:r>
          </w:p>
          <w:p w14:paraId="663F100C" w14:textId="77777777" w:rsidR="00657FB1" w:rsidRPr="009F6D1E" w:rsidRDefault="006F54F9" w:rsidP="0084747F">
            <w:pPr>
              <w:widowControl w:val="0"/>
              <w:tabs>
                <w:tab w:val="left" w:pos="5765"/>
              </w:tabs>
              <w:spacing w:after="60" w:line="264" w:lineRule="auto"/>
              <w:jc w:val="both"/>
              <w:rPr>
                <w:rFonts w:cs="Times New Roman"/>
                <w:highlight w:val="yellow"/>
              </w:rPr>
            </w:pPr>
            <w:r w:rsidRPr="009F6D1E">
              <w:rPr>
                <w:rFonts w:cs="Times New Roman"/>
                <w:i/>
                <w:color w:val="FF0000"/>
              </w:rPr>
              <w:t xml:space="preserve">- </w:t>
            </w:r>
            <w:r w:rsidRPr="009F6D1E">
              <w:rPr>
                <w:rFonts w:eastAsia="Calibri" w:cs="Times New Roman"/>
                <w:i/>
                <w:iCs/>
                <w:color w:val="FF0000"/>
                <w:lang w:eastAsia="en-GB" w:bidi="bg-BG"/>
              </w:rPr>
              <w:t>Интервенция по чл. 65 от ЕЗФРСР</w:t>
            </w:r>
          </w:p>
        </w:tc>
        <w:tc>
          <w:tcPr>
            <w:tcW w:w="7513" w:type="dxa"/>
          </w:tcPr>
          <w:p w14:paraId="1C578543" w14:textId="77777777" w:rsidR="00657FB1" w:rsidRPr="009F6D1E" w:rsidRDefault="00657FB1" w:rsidP="0084747F">
            <w:pPr>
              <w:spacing w:after="60" w:line="264" w:lineRule="auto"/>
              <w:jc w:val="both"/>
              <w:rPr>
                <w:rFonts w:cs="Times New Roman"/>
                <w:b/>
                <w:bCs/>
                <w:i/>
              </w:rPr>
            </w:pPr>
            <w:r w:rsidRPr="009F6D1E">
              <w:rPr>
                <w:rFonts w:cs="Times New Roman"/>
                <w:b/>
                <w:bCs/>
                <w:i/>
              </w:rPr>
              <w:t>П.5.5. Продължаване на прилагане на оптимизирана и устойчива употреба на ПРЗ, минерални и органични торове с цел опазване на водите</w:t>
            </w:r>
          </w:p>
          <w:p w14:paraId="64A01A34" w14:textId="77777777" w:rsidR="00657FB1" w:rsidRPr="009F6D1E" w:rsidRDefault="00657FB1"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D1A25F0" w14:textId="77777777" w:rsidR="00657FB1" w:rsidRPr="009F6D1E" w:rsidRDefault="00657FB1"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Еко схема за намаляване използването на пестициди</w:t>
            </w:r>
          </w:p>
          <w:p w14:paraId="1F2E5B5B"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Еко схема за поддържане и подобряване на биологичното разнообразие и екологичната инфраструктура</w:t>
            </w:r>
          </w:p>
          <w:p w14:paraId="50736C94" w14:textId="77777777" w:rsidR="00657FB1" w:rsidRPr="009F6D1E" w:rsidRDefault="00657FB1" w:rsidP="0084747F">
            <w:pPr>
              <w:spacing w:after="60" w:line="264" w:lineRule="auto"/>
              <w:jc w:val="both"/>
              <w:rPr>
                <w:rFonts w:cs="Times New Roman"/>
                <w:i/>
                <w:color w:val="FF0000"/>
              </w:rPr>
            </w:pPr>
            <w:r w:rsidRPr="009F6D1E">
              <w:rPr>
                <w:rFonts w:cs="Times New Roman"/>
                <w:i/>
                <w:color w:val="FF0000"/>
              </w:rPr>
              <w:t>-  Еко схема за буферни екологични ивици</w:t>
            </w:r>
          </w:p>
          <w:p w14:paraId="77193E48" w14:textId="77777777" w:rsidR="00657FB1" w:rsidRPr="009F6D1E" w:rsidRDefault="00657FB1" w:rsidP="0084747F">
            <w:pPr>
              <w:widowControl w:val="0"/>
              <w:tabs>
                <w:tab w:val="left" w:pos="5765"/>
              </w:tabs>
              <w:spacing w:after="60" w:line="264" w:lineRule="auto"/>
              <w:jc w:val="both"/>
              <w:rPr>
                <w:rFonts w:cs="Times New Roman"/>
                <w:highlight w:val="yellow"/>
              </w:rPr>
            </w:pPr>
            <w:r w:rsidRPr="009F6D1E">
              <w:rPr>
                <w:rFonts w:cs="Times New Roman"/>
                <w:i/>
              </w:rPr>
              <w:t xml:space="preserve">- </w:t>
            </w:r>
            <w:r w:rsidRPr="009F6D1E">
              <w:rPr>
                <w:rFonts w:cs="Times New Roman"/>
                <w:i/>
                <w:color w:val="FF0000"/>
              </w:rPr>
              <w:t>Еко схема за запазване и възстановяване на почвения потенциал</w:t>
            </w:r>
          </w:p>
        </w:tc>
      </w:tr>
      <w:tr w:rsidR="00657FB1" w:rsidRPr="009F6D1E" w14:paraId="2879659E" w14:textId="77777777" w:rsidTr="00F92FD2">
        <w:tc>
          <w:tcPr>
            <w:tcW w:w="7366" w:type="dxa"/>
          </w:tcPr>
          <w:p w14:paraId="61B1B269"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Потребност 6</w:t>
            </w:r>
            <w:r w:rsidRPr="009F6D1E">
              <w:rPr>
                <w:rFonts w:cs="Times New Roman"/>
                <w:b/>
                <w:bCs/>
                <w:i/>
              </w:rPr>
              <w:t>: Намаляване на емисиите на амоняк от селското стопанство.</w:t>
            </w:r>
          </w:p>
          <w:p w14:paraId="79164719" w14:textId="77777777" w:rsidR="006F54F9" w:rsidRPr="009F6D1E" w:rsidRDefault="006F54F9"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w:t>
            </w:r>
          </w:p>
          <w:p w14:paraId="66B28BEE"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6AAF216B" w14:textId="77777777" w:rsidR="00AF5FEC" w:rsidRPr="009F6D1E" w:rsidRDefault="00AF5FEC" w:rsidP="0084747F">
            <w:pPr>
              <w:spacing w:after="60" w:line="264" w:lineRule="auto"/>
              <w:jc w:val="both"/>
              <w:rPr>
                <w:rFonts w:cs="Times New Roman"/>
                <w:b/>
                <w:bCs/>
                <w:i/>
              </w:rPr>
            </w:pPr>
            <w:r w:rsidRPr="009F6D1E">
              <w:rPr>
                <w:rFonts w:cs="Times New Roman"/>
                <w:b/>
                <w:bCs/>
                <w:i/>
              </w:rPr>
              <w:t>П.5.6. Намаляване на емисиите на амоняк от селското стопанство</w:t>
            </w:r>
          </w:p>
          <w:p w14:paraId="5BA1FEA7" w14:textId="77777777" w:rsidR="00AF5FEC" w:rsidRPr="009F6D1E" w:rsidRDefault="00AF5FEC" w:rsidP="0084747F">
            <w:pPr>
              <w:spacing w:after="60" w:line="264" w:lineRule="auto"/>
              <w:jc w:val="both"/>
              <w:rPr>
                <w:rFonts w:cs="Times New Roman"/>
                <w:lang w:bidi="bg-BG"/>
              </w:rPr>
            </w:pPr>
            <w:r w:rsidRPr="009F6D1E">
              <w:rPr>
                <w:rFonts w:cs="Times New Roman"/>
                <w:b/>
                <w:bCs/>
                <w:i/>
                <w:u w:val="single"/>
              </w:rPr>
              <w:t>Интервенции</w:t>
            </w:r>
            <w:r w:rsidRPr="009F6D1E">
              <w:rPr>
                <w:rFonts w:cs="Times New Roman"/>
                <w:b/>
                <w:bCs/>
                <w:i/>
              </w:rPr>
              <w:t>:</w:t>
            </w:r>
          </w:p>
          <w:p w14:paraId="70B34560" w14:textId="77777777" w:rsidR="00657FB1"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rPr>
              <w:t xml:space="preserve">- </w:t>
            </w:r>
            <w:r w:rsidRPr="009F6D1E">
              <w:rPr>
                <w:rFonts w:cs="Times New Roman"/>
                <w:i/>
                <w:color w:val="FF0000"/>
              </w:rPr>
              <w:t>Инвестиции в земеделските стопанства насочени към опазване на компонентите на околната среда</w:t>
            </w:r>
          </w:p>
        </w:tc>
      </w:tr>
      <w:tr w:rsidR="00657FB1" w:rsidRPr="009F6D1E" w14:paraId="49B109A1" w14:textId="77777777" w:rsidTr="00F92FD2">
        <w:tc>
          <w:tcPr>
            <w:tcW w:w="7366" w:type="dxa"/>
          </w:tcPr>
          <w:p w14:paraId="543C2E0C" w14:textId="77777777" w:rsidR="00657FB1" w:rsidRPr="009F6D1E" w:rsidRDefault="00657FB1" w:rsidP="0084747F">
            <w:pPr>
              <w:widowControl w:val="0"/>
              <w:tabs>
                <w:tab w:val="left" w:pos="5765"/>
              </w:tabs>
              <w:spacing w:after="60" w:line="264" w:lineRule="auto"/>
              <w:jc w:val="both"/>
              <w:rPr>
                <w:rFonts w:cs="Times New Roman"/>
                <w:highlight w:val="yellow"/>
              </w:rPr>
            </w:pPr>
          </w:p>
        </w:tc>
        <w:tc>
          <w:tcPr>
            <w:tcW w:w="7513" w:type="dxa"/>
          </w:tcPr>
          <w:p w14:paraId="23BF5F6C" w14:textId="77777777" w:rsidR="00AF5FEC" w:rsidRPr="009F6D1E" w:rsidRDefault="00AF5FEC" w:rsidP="0084747F">
            <w:pPr>
              <w:spacing w:after="60" w:line="264" w:lineRule="auto"/>
              <w:jc w:val="both"/>
              <w:rPr>
                <w:rFonts w:cs="Times New Roman"/>
                <w:b/>
                <w:bCs/>
                <w:i/>
                <w:color w:val="FF0000"/>
              </w:rPr>
            </w:pPr>
            <w:r w:rsidRPr="009F6D1E">
              <w:rPr>
                <w:rFonts w:cs="Times New Roman"/>
                <w:b/>
                <w:bCs/>
                <w:i/>
                <w:color w:val="FF0000"/>
              </w:rPr>
              <w:t>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p>
          <w:p w14:paraId="7FBC7CA2" w14:textId="77777777" w:rsidR="00AF5FEC" w:rsidRPr="009F6D1E" w:rsidRDefault="00AF5FEC"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7D066136" w14:textId="77777777" w:rsidR="00AF5FEC" w:rsidRPr="009F6D1E" w:rsidRDefault="00AF5FEC" w:rsidP="0084747F">
            <w:pPr>
              <w:spacing w:after="60" w:line="264" w:lineRule="auto"/>
              <w:jc w:val="both"/>
              <w:rPr>
                <w:rFonts w:cs="Times New Roman"/>
                <w:i/>
                <w:color w:val="FF0000"/>
              </w:rPr>
            </w:pPr>
            <w:r w:rsidRPr="009F6D1E">
              <w:rPr>
                <w:rFonts w:cs="Times New Roman"/>
                <w:b/>
                <w:bCs/>
                <w:i/>
                <w:color w:val="FF0000"/>
              </w:rPr>
              <w:t xml:space="preserve">- </w:t>
            </w:r>
            <w:r w:rsidRPr="009F6D1E">
              <w:rPr>
                <w:rFonts w:cs="Times New Roman"/>
                <w:i/>
                <w:color w:val="FF0000"/>
              </w:rPr>
              <w:t>Практики за задържането на вода в орния слой на насажденията чрез мерките, които увеличават нивата на органична материя в почвите</w:t>
            </w:r>
          </w:p>
          <w:p w14:paraId="78CC5950"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Инвестиции в инфраструктура за напояване</w:t>
            </w:r>
          </w:p>
          <w:p w14:paraId="528B4647"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lastRenderedPageBreak/>
              <w:t>- Консултантски услуги и повишаване на консултантския капацитет</w:t>
            </w:r>
          </w:p>
          <w:p w14:paraId="4413E124" w14:textId="77777777" w:rsidR="00657FB1" w:rsidRPr="009F6D1E" w:rsidRDefault="00965062" w:rsidP="0084747F">
            <w:pPr>
              <w:spacing w:after="60" w:line="264" w:lineRule="auto"/>
              <w:jc w:val="both"/>
              <w:rPr>
                <w:rFonts w:cs="Times New Roman"/>
                <w:highlight w:val="yellow"/>
              </w:rPr>
            </w:pPr>
            <w:r w:rsidRPr="009F6D1E">
              <w:rPr>
                <w:rFonts w:cs="Times New Roman"/>
                <w:i/>
                <w:color w:val="FF0000"/>
              </w:rPr>
              <w:t xml:space="preserve">- </w:t>
            </w:r>
            <w:r w:rsidR="00AF5FEC" w:rsidRPr="009F6D1E">
              <w:rPr>
                <w:rFonts w:cs="Times New Roman"/>
                <w:i/>
                <w:color w:val="FF0000"/>
              </w:rPr>
              <w:t>Професионално обучение и придобиване на умения</w:t>
            </w:r>
          </w:p>
        </w:tc>
      </w:tr>
      <w:tr w:rsidR="00657FB1" w:rsidRPr="009F6D1E" w14:paraId="0DB0144D" w14:textId="77777777" w:rsidTr="00F92FD2">
        <w:tc>
          <w:tcPr>
            <w:tcW w:w="7366" w:type="dxa"/>
          </w:tcPr>
          <w:p w14:paraId="27CB4061" w14:textId="77777777" w:rsidR="00657FB1" w:rsidRPr="009F6D1E" w:rsidRDefault="00D121EC" w:rsidP="0084747F">
            <w:pPr>
              <w:widowControl w:val="0"/>
              <w:tabs>
                <w:tab w:val="left" w:pos="5765"/>
              </w:tabs>
              <w:spacing w:after="60" w:line="264" w:lineRule="auto"/>
              <w:jc w:val="both"/>
              <w:rPr>
                <w:rFonts w:cs="Times New Roman"/>
                <w:b/>
                <w:bCs/>
                <w:i/>
              </w:rPr>
            </w:pPr>
            <w:r w:rsidRPr="009F6D1E">
              <w:rPr>
                <w:rFonts w:cs="Times New Roman"/>
                <w:b/>
                <w:bCs/>
                <w:i/>
              </w:rPr>
              <w:lastRenderedPageBreak/>
              <w:t xml:space="preserve">Специфична цел № 6: Принос </w:t>
            </w:r>
            <w:r w:rsidRPr="009F6D1E">
              <w:rPr>
                <w:rFonts w:cs="Times New Roman"/>
                <w:b/>
                <w:bCs/>
                <w:i/>
                <w:color w:val="FF0000"/>
              </w:rPr>
              <w:t xml:space="preserve">за защита </w:t>
            </w:r>
            <w:r w:rsidRPr="009F6D1E">
              <w:rPr>
                <w:rFonts w:cs="Times New Roman"/>
                <w:b/>
                <w:bCs/>
                <w:i/>
              </w:rPr>
              <w:t>на биологичното разнообразие, подобряване на екосистемните услуги и опазване на местообитанията и ландшафта.</w:t>
            </w:r>
          </w:p>
        </w:tc>
        <w:tc>
          <w:tcPr>
            <w:tcW w:w="7513" w:type="dxa"/>
          </w:tcPr>
          <w:p w14:paraId="3B718961" w14:textId="77777777" w:rsidR="00657FB1" w:rsidRPr="009F6D1E" w:rsidRDefault="000B17F1" w:rsidP="0084747F">
            <w:pPr>
              <w:spacing w:after="60" w:line="264" w:lineRule="auto"/>
              <w:jc w:val="both"/>
              <w:rPr>
                <w:rFonts w:cs="Times New Roman"/>
                <w:b/>
                <w:bCs/>
                <w:i/>
              </w:rPr>
            </w:pPr>
            <w:r w:rsidRPr="009F6D1E">
              <w:rPr>
                <w:rFonts w:cs="Times New Roman"/>
                <w:b/>
                <w:bCs/>
                <w:i/>
              </w:rPr>
              <w:t xml:space="preserve">Специфична цел № 6: Принос </w:t>
            </w:r>
            <w:r w:rsidRPr="009F6D1E">
              <w:rPr>
                <w:rFonts w:cs="Times New Roman"/>
                <w:b/>
                <w:bCs/>
                <w:i/>
                <w:color w:val="FF0000"/>
              </w:rPr>
              <w:t xml:space="preserve">за спиране на загубата </w:t>
            </w:r>
            <w:r w:rsidRPr="009F6D1E">
              <w:rPr>
                <w:rFonts w:cs="Times New Roman"/>
                <w:b/>
                <w:bCs/>
                <w:i/>
              </w:rPr>
              <w:t xml:space="preserve">на биологично разнообразие </w:t>
            </w:r>
            <w:r w:rsidRPr="009F6D1E">
              <w:rPr>
                <w:rFonts w:cs="Times New Roman"/>
                <w:b/>
                <w:bCs/>
                <w:i/>
                <w:color w:val="FF0000"/>
              </w:rPr>
              <w:t>и обръщане на тази тенденция</w:t>
            </w:r>
            <w:r w:rsidRPr="009F6D1E">
              <w:rPr>
                <w:rFonts w:cs="Times New Roman"/>
                <w:b/>
                <w:bCs/>
                <w:i/>
              </w:rPr>
              <w:t>, подобряване на екосистемните услуги и опазване на местообитанията и ландшафта</w:t>
            </w:r>
          </w:p>
        </w:tc>
      </w:tr>
      <w:tr w:rsidR="00657FB1" w:rsidRPr="009F6D1E" w14:paraId="66CBDE60" w14:textId="77777777" w:rsidTr="00F92FD2">
        <w:tc>
          <w:tcPr>
            <w:tcW w:w="7366" w:type="dxa"/>
          </w:tcPr>
          <w:p w14:paraId="37077B15"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Опазване и подобряване на природозащи</w:t>
            </w:r>
            <w:r w:rsidR="00965062" w:rsidRPr="009F6D1E">
              <w:rPr>
                <w:rFonts w:cs="Times New Roman"/>
                <w:b/>
                <w:bCs/>
                <w:i/>
              </w:rPr>
              <w:t>тното състояние на естествените</w:t>
            </w:r>
            <w:r w:rsidRPr="009F6D1E">
              <w:rPr>
                <w:rFonts w:cs="Times New Roman"/>
                <w:b/>
                <w:bCs/>
                <w:i/>
              </w:rPr>
              <w:t xml:space="preserve"> местообитания и на дивата флора и фауна от Европейски интерес;</w:t>
            </w:r>
          </w:p>
          <w:p w14:paraId="35099571"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BB6EE76" w14:textId="77777777" w:rsidR="00657FB1"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000945FA" w:rsidRPr="009F6D1E">
              <w:rPr>
                <w:rFonts w:cs="Times New Roman"/>
                <w:i/>
                <w:color w:val="FF0000"/>
              </w:rPr>
              <w:t>И</w:t>
            </w:r>
            <w:r w:rsidRPr="009F6D1E">
              <w:rPr>
                <w:rFonts w:cs="Times New Roman"/>
                <w:i/>
                <w:color w:val="FF0000"/>
              </w:rPr>
              <w:t>нтервенция по чл. 65/67 от РСП</w:t>
            </w:r>
          </w:p>
        </w:tc>
        <w:tc>
          <w:tcPr>
            <w:tcW w:w="7513" w:type="dxa"/>
          </w:tcPr>
          <w:p w14:paraId="43E6F99C" w14:textId="77777777" w:rsidR="00AF5FEC" w:rsidRPr="009F6D1E" w:rsidRDefault="00AF5FEC" w:rsidP="0084747F">
            <w:pPr>
              <w:spacing w:after="60" w:line="264" w:lineRule="auto"/>
              <w:jc w:val="both"/>
              <w:rPr>
                <w:rFonts w:cs="Times New Roman"/>
                <w:b/>
                <w:bCs/>
                <w:i/>
              </w:rPr>
            </w:pPr>
            <w:r w:rsidRPr="009F6D1E">
              <w:rPr>
                <w:rFonts w:cs="Times New Roman"/>
                <w:b/>
                <w:bCs/>
                <w:i/>
              </w:rPr>
              <w:t>П.6.1. Опазване и подобряване на природозащитното състояние на естествените местообитания и на дивата флора и фауна от Европейски интерес</w:t>
            </w:r>
          </w:p>
          <w:p w14:paraId="0F02C039"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795096B" w14:textId="77777777" w:rsidR="00AF5FEC" w:rsidRPr="009F6D1E" w:rsidRDefault="00AF5F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Устойчиво управление на пасища в земеделски земи с ВПС</w:t>
            </w:r>
          </w:p>
          <w:p w14:paraId="2B974F59" w14:textId="77777777" w:rsidR="00657FB1"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Плащания за земеделски земи в зони от Натура 2000</w:t>
            </w:r>
          </w:p>
        </w:tc>
      </w:tr>
      <w:tr w:rsidR="00657FB1" w:rsidRPr="009F6D1E" w14:paraId="03CFD869" w14:textId="77777777" w:rsidTr="00F92FD2">
        <w:tc>
          <w:tcPr>
            <w:tcW w:w="7366" w:type="dxa"/>
          </w:tcPr>
          <w:p w14:paraId="361EE8EF"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Опазване и подобряване на природозащитното състояние на видове птици, свързани с обработваеми земи и тревни площи в земеделските земи;</w:t>
            </w:r>
          </w:p>
          <w:p w14:paraId="5ADAED6B"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BD2FE7C" w14:textId="77777777" w:rsidR="00657FB1"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i/>
              </w:rPr>
              <w:t>- интервенцията по чл. 65/67 от РСП</w:t>
            </w:r>
          </w:p>
        </w:tc>
        <w:tc>
          <w:tcPr>
            <w:tcW w:w="7513" w:type="dxa"/>
          </w:tcPr>
          <w:p w14:paraId="0879A202" w14:textId="77777777" w:rsidR="00AF5FEC" w:rsidRPr="009F6D1E" w:rsidRDefault="00AF5FEC" w:rsidP="0084747F">
            <w:pPr>
              <w:spacing w:after="60" w:line="264" w:lineRule="auto"/>
              <w:jc w:val="both"/>
              <w:rPr>
                <w:rFonts w:cs="Times New Roman"/>
                <w:b/>
                <w:bCs/>
                <w:i/>
              </w:rPr>
            </w:pPr>
            <w:r w:rsidRPr="009F6D1E">
              <w:rPr>
                <w:rFonts w:cs="Times New Roman"/>
                <w:b/>
                <w:bCs/>
                <w:i/>
              </w:rPr>
              <w:t>П.6.2. Опазване и подобряване на природозащитното състояние на видове птици, свързани с обработваеми земи и тревни площи в земеделски земи.</w:t>
            </w:r>
          </w:p>
          <w:p w14:paraId="3D48DABA"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EFBEDA9" w14:textId="77777777" w:rsidR="00AF5FEC" w:rsidRPr="009F6D1E" w:rsidRDefault="00AF5FEC" w:rsidP="0084747F">
            <w:pPr>
              <w:spacing w:after="60" w:line="264" w:lineRule="auto"/>
              <w:jc w:val="both"/>
              <w:rPr>
                <w:rFonts w:cs="Times New Roman"/>
                <w:i/>
                <w:color w:val="FF0000"/>
              </w:rPr>
            </w:pPr>
            <w:r w:rsidRPr="009F6D1E">
              <w:rPr>
                <w:rFonts w:cs="Times New Roman"/>
                <w:i/>
              </w:rPr>
              <w:t xml:space="preserve">- Интервенция по чл. 65/67 от РСП, </w:t>
            </w:r>
            <w:r w:rsidRPr="009F6D1E">
              <w:rPr>
                <w:rFonts w:cs="Times New Roman"/>
                <w:i/>
                <w:color w:val="FF0000"/>
              </w:rPr>
              <w:t>като включва избор на подходящи мерки и дейности, предвидени в Националната рамка за приоритетни действия 2021-2027 г.</w:t>
            </w:r>
          </w:p>
          <w:p w14:paraId="11D928F1" w14:textId="77777777" w:rsidR="00AF5FEC" w:rsidRPr="009F6D1E" w:rsidRDefault="00AF5FEC"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Еко схема за поддържане и подобряване на биологичното разнообразие и екологичната инфраструктура</w:t>
            </w:r>
          </w:p>
          <w:p w14:paraId="53045009"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lastRenderedPageBreak/>
              <w:t>- Еко схема за буферни екологични ивици</w:t>
            </w:r>
          </w:p>
          <w:p w14:paraId="677F42BB"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Плащания за земеделски земи в зони от Натура 2000</w:t>
            </w:r>
          </w:p>
          <w:p w14:paraId="182FFB7E" w14:textId="77777777" w:rsidR="00657FB1"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xml:space="preserve">- Поддържане на местообитания на </w:t>
            </w:r>
            <w:proofErr w:type="spellStart"/>
            <w:r w:rsidRPr="009F6D1E">
              <w:rPr>
                <w:rFonts w:cs="Times New Roman"/>
                <w:i/>
                <w:color w:val="FF0000"/>
              </w:rPr>
              <w:t>червеногушата</w:t>
            </w:r>
            <w:proofErr w:type="spellEnd"/>
            <w:r w:rsidRPr="009F6D1E">
              <w:rPr>
                <w:rFonts w:cs="Times New Roman"/>
                <w:i/>
                <w:color w:val="FF0000"/>
              </w:rPr>
              <w:t xml:space="preserve"> гъска</w:t>
            </w:r>
          </w:p>
        </w:tc>
      </w:tr>
      <w:tr w:rsidR="00657FB1" w:rsidRPr="009F6D1E" w14:paraId="7734AF0E" w14:textId="77777777" w:rsidTr="00F92FD2">
        <w:tc>
          <w:tcPr>
            <w:tcW w:w="7366" w:type="dxa"/>
          </w:tcPr>
          <w:p w14:paraId="57ADDA22" w14:textId="77777777" w:rsidR="00A111A7" w:rsidRPr="009F6D1E" w:rsidRDefault="00A111A7" w:rsidP="0084747F">
            <w:pPr>
              <w:spacing w:after="60" w:line="264" w:lineRule="auto"/>
              <w:jc w:val="both"/>
              <w:rPr>
                <w:rFonts w:cs="Times New Roman"/>
                <w:b/>
                <w:bCs/>
                <w:i/>
                <w:color w:val="FF0000"/>
              </w:rPr>
            </w:pPr>
            <w:r w:rsidRPr="009F6D1E">
              <w:rPr>
                <w:rFonts w:cs="Times New Roman"/>
                <w:b/>
                <w:bCs/>
                <w:i/>
                <w:u w:val="single"/>
              </w:rPr>
              <w:lastRenderedPageBreak/>
              <w:t>Потребност 3</w:t>
            </w:r>
            <w:r w:rsidRPr="009F6D1E">
              <w:rPr>
                <w:rFonts w:cs="Times New Roman"/>
                <w:b/>
                <w:bCs/>
                <w:i/>
              </w:rPr>
              <w:t xml:space="preserve">: Съхранение на ландшафта </w:t>
            </w:r>
            <w:r w:rsidRPr="009F6D1E">
              <w:rPr>
                <w:rFonts w:cs="Times New Roman"/>
                <w:b/>
                <w:bCs/>
                <w:i/>
                <w:color w:val="FF0000"/>
              </w:rPr>
              <w:t>и подобряване на благоприятния статус на пасищата</w:t>
            </w:r>
          </w:p>
          <w:p w14:paraId="439627B6"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727E5764" w14:textId="77777777" w:rsidR="00A111A7" w:rsidRPr="009F6D1E" w:rsidRDefault="00A111A7" w:rsidP="0084747F">
            <w:pPr>
              <w:spacing w:after="60" w:line="264" w:lineRule="auto"/>
              <w:jc w:val="both"/>
              <w:rPr>
                <w:rFonts w:eastAsia="Times New Roman" w:cs="Times New Roman"/>
                <w:i/>
                <w:iCs/>
                <w:lang w:eastAsia="en-GB" w:bidi="bg-BG"/>
              </w:rPr>
            </w:pPr>
            <w:r w:rsidRPr="009F6D1E">
              <w:rPr>
                <w:rFonts w:cs="Times New Roman"/>
                <w:i/>
              </w:rPr>
              <w:t xml:space="preserve">- </w:t>
            </w:r>
            <w:r w:rsidRPr="009F6D1E">
              <w:rPr>
                <w:rFonts w:eastAsia="Times New Roman" w:cs="Times New Roman"/>
                <w:i/>
                <w:iCs/>
                <w:color w:val="FF0000"/>
                <w:lang w:eastAsia="en-GB" w:bidi="bg-BG"/>
              </w:rPr>
              <w:t>Извършване на екстензивна паша</w:t>
            </w:r>
          </w:p>
          <w:p w14:paraId="73EB9534" w14:textId="77777777" w:rsidR="00A111A7" w:rsidRPr="009F6D1E" w:rsidRDefault="00A111A7"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xml:space="preserve">- По създаване на допълнителни ивици от медоносни растения </w:t>
            </w:r>
          </w:p>
          <w:p w14:paraId="2FC7F217" w14:textId="77777777" w:rsidR="00A111A7" w:rsidRPr="009F6D1E" w:rsidRDefault="00A111A7"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xml:space="preserve">- Поддържане и изграждане на мултифункционални (растителни) буферни ивици около обработваемите площи и зони по Натура 2000 </w:t>
            </w:r>
          </w:p>
          <w:p w14:paraId="249F1C1F" w14:textId="77777777" w:rsidR="00A111A7" w:rsidRPr="009F6D1E" w:rsidRDefault="00A111A7"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xml:space="preserve">- Поддържането на съществуващи елементи на ландшафта, в т.ч. полски синори, полезащитни пояси, ливади и пасища </w:t>
            </w:r>
          </w:p>
          <w:p w14:paraId="07069AD8" w14:textId="77777777" w:rsidR="00657FB1" w:rsidRPr="009F6D1E" w:rsidRDefault="00A111A7" w:rsidP="0084747F">
            <w:pPr>
              <w:widowControl w:val="0"/>
              <w:tabs>
                <w:tab w:val="left" w:pos="5765"/>
              </w:tabs>
              <w:spacing w:after="60" w:line="264" w:lineRule="auto"/>
              <w:jc w:val="both"/>
              <w:rPr>
                <w:rFonts w:cs="Times New Roman"/>
                <w:highlight w:val="yellow"/>
              </w:rPr>
            </w:pPr>
            <w:r w:rsidRPr="009F6D1E">
              <w:rPr>
                <w:rFonts w:eastAsia="Times New Roman" w:cs="Times New Roman"/>
                <w:i/>
                <w:iCs/>
                <w:lang w:eastAsia="en-GB" w:bidi="bg-BG"/>
              </w:rPr>
              <w:t>- Дейности в съответствие с тези планирани в НРПД 2021-2027 (ЕФГЗ и ЕЗФРСР)</w:t>
            </w:r>
          </w:p>
        </w:tc>
        <w:tc>
          <w:tcPr>
            <w:tcW w:w="7513" w:type="dxa"/>
          </w:tcPr>
          <w:p w14:paraId="236F122F" w14:textId="77777777" w:rsidR="00AF5FEC" w:rsidRPr="009F6D1E" w:rsidRDefault="00AF5FEC" w:rsidP="0084747F">
            <w:pPr>
              <w:spacing w:after="60" w:line="264" w:lineRule="auto"/>
              <w:jc w:val="both"/>
              <w:rPr>
                <w:rFonts w:cs="Times New Roman"/>
                <w:b/>
                <w:bCs/>
                <w:i/>
                <w:color w:val="FF0000"/>
              </w:rPr>
            </w:pPr>
            <w:r w:rsidRPr="009F6D1E">
              <w:rPr>
                <w:rFonts w:cs="Times New Roman"/>
                <w:b/>
                <w:bCs/>
                <w:i/>
              </w:rPr>
              <w:t xml:space="preserve">П.6.3. Съхраняване </w:t>
            </w:r>
            <w:r w:rsidRPr="009F6D1E">
              <w:rPr>
                <w:rFonts w:cs="Times New Roman"/>
                <w:b/>
                <w:bCs/>
                <w:i/>
                <w:color w:val="FF0000"/>
              </w:rPr>
              <w:t xml:space="preserve">и възстановяване на елементи </w:t>
            </w:r>
            <w:r w:rsidRPr="009F6D1E">
              <w:rPr>
                <w:rFonts w:cs="Times New Roman"/>
                <w:b/>
                <w:bCs/>
                <w:i/>
              </w:rPr>
              <w:t xml:space="preserve">на ландшафта </w:t>
            </w:r>
            <w:r w:rsidRPr="009F6D1E">
              <w:rPr>
                <w:rFonts w:cs="Times New Roman"/>
                <w:b/>
                <w:bCs/>
                <w:i/>
                <w:color w:val="FF0000"/>
              </w:rPr>
              <w:t>и постигане на благоприятен природозащитен статус на постоянно затревените площи</w:t>
            </w:r>
          </w:p>
          <w:p w14:paraId="77195403"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1B8E71C"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cs="Times New Roman"/>
                <w:i/>
              </w:rPr>
              <w:t xml:space="preserve">- </w:t>
            </w:r>
            <w:r w:rsidRPr="009F6D1E">
              <w:rPr>
                <w:rFonts w:eastAsia="Times New Roman" w:cs="Times New Roman"/>
                <w:i/>
                <w:iCs/>
                <w:color w:val="FF0000"/>
                <w:lang w:eastAsia="en-GB" w:bidi="bg-BG"/>
              </w:rPr>
              <w:t>Еко схема за поддържане и подобряване на биологичното разнообразие и екологичната инфраструктура</w:t>
            </w:r>
          </w:p>
          <w:p w14:paraId="4D86E5ED" w14:textId="77777777" w:rsidR="00AF5FEC" w:rsidRPr="009F6D1E" w:rsidRDefault="00AF5FEC" w:rsidP="0084747F">
            <w:pPr>
              <w:spacing w:after="60" w:line="264" w:lineRule="auto"/>
              <w:jc w:val="both"/>
              <w:rPr>
                <w:rFonts w:eastAsia="Times New Roman" w:cs="Times New Roman"/>
                <w:i/>
                <w:iCs/>
                <w:color w:val="FF0000"/>
                <w:lang w:eastAsia="en-GB" w:bidi="bg-BG"/>
              </w:rPr>
            </w:pPr>
            <w:r w:rsidRPr="009F6D1E">
              <w:rPr>
                <w:rFonts w:eastAsia="Times New Roman" w:cs="Times New Roman"/>
                <w:i/>
                <w:iCs/>
                <w:lang w:eastAsia="en-GB" w:bidi="bg-BG"/>
              </w:rPr>
              <w:t xml:space="preserve">-  </w:t>
            </w:r>
            <w:r w:rsidRPr="009F6D1E">
              <w:rPr>
                <w:rFonts w:eastAsia="Times New Roman" w:cs="Times New Roman"/>
                <w:i/>
                <w:iCs/>
                <w:color w:val="FF0000"/>
                <w:lang w:eastAsia="en-GB" w:bidi="bg-BG"/>
              </w:rPr>
              <w:t>Еко схема за буферни екологични ивици.</w:t>
            </w:r>
          </w:p>
          <w:p w14:paraId="4B2F9D3F"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eastAsia="Times New Roman" w:cs="Times New Roman"/>
                <w:i/>
                <w:iCs/>
                <w:color w:val="FF0000"/>
                <w:lang w:eastAsia="en-GB" w:bidi="bg-BG"/>
              </w:rPr>
              <w:t>- Интервенции по чл. 65 от  ЕЗФРСР</w:t>
            </w:r>
          </w:p>
          <w:p w14:paraId="7CB06628"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xml:space="preserve">- </w:t>
            </w:r>
            <w:r w:rsidRPr="009F6D1E">
              <w:rPr>
                <w:rFonts w:eastAsia="Times New Roman" w:cs="Times New Roman"/>
                <w:i/>
                <w:iCs/>
                <w:color w:val="FF0000"/>
                <w:lang w:eastAsia="en-GB" w:bidi="bg-BG"/>
              </w:rPr>
              <w:t>Традиционни практики за сезонна паша (</w:t>
            </w:r>
            <w:proofErr w:type="spellStart"/>
            <w:r w:rsidRPr="009F6D1E">
              <w:rPr>
                <w:rFonts w:eastAsia="Times New Roman" w:cs="Times New Roman"/>
                <w:i/>
                <w:iCs/>
                <w:color w:val="FF0000"/>
                <w:lang w:eastAsia="en-GB" w:bidi="bg-BG"/>
              </w:rPr>
              <w:t>пасторализъм</w:t>
            </w:r>
            <w:proofErr w:type="spellEnd"/>
            <w:r w:rsidRPr="009F6D1E">
              <w:rPr>
                <w:rFonts w:eastAsia="Times New Roman" w:cs="Times New Roman"/>
                <w:i/>
                <w:iCs/>
                <w:color w:val="FF0000"/>
                <w:lang w:eastAsia="en-GB" w:bidi="bg-BG"/>
              </w:rPr>
              <w:t>)</w:t>
            </w:r>
          </w:p>
          <w:p w14:paraId="164BF86E" w14:textId="77777777" w:rsidR="00AF5FEC" w:rsidRPr="009F6D1E" w:rsidRDefault="00AF5FEC" w:rsidP="0084747F">
            <w:pPr>
              <w:spacing w:after="60" w:line="264" w:lineRule="auto"/>
              <w:jc w:val="both"/>
              <w:rPr>
                <w:rFonts w:eastAsia="Times New Roman" w:cs="Times New Roman"/>
                <w:i/>
                <w:iCs/>
                <w:color w:val="FF0000"/>
                <w:lang w:eastAsia="en-GB" w:bidi="bg-BG"/>
              </w:rPr>
            </w:pPr>
            <w:r w:rsidRPr="009F6D1E">
              <w:rPr>
                <w:rFonts w:eastAsia="Times New Roman" w:cs="Times New Roman"/>
                <w:i/>
                <w:iCs/>
                <w:color w:val="FF0000"/>
                <w:lang w:eastAsia="en-GB" w:bidi="bg-BG"/>
              </w:rPr>
              <w:t>- Възстановяване и поддържане на деградирали пасищни територии</w:t>
            </w:r>
          </w:p>
          <w:p w14:paraId="7B865D03"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По създаване на допълнителни ивици от медоносни растения</w:t>
            </w:r>
          </w:p>
          <w:p w14:paraId="6CAB401C"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Поддържане и изграждане на мултифункционални (растителни) буферни ивици около обработваемите площи и зони по Натура 2000</w:t>
            </w:r>
          </w:p>
          <w:p w14:paraId="00C7747A" w14:textId="77777777" w:rsidR="00AF5FEC" w:rsidRPr="009F6D1E" w:rsidRDefault="00AF5FEC" w:rsidP="0084747F">
            <w:pPr>
              <w:spacing w:after="60" w:line="264" w:lineRule="auto"/>
              <w:jc w:val="both"/>
              <w:rPr>
                <w:rFonts w:eastAsia="Times New Roman" w:cs="Times New Roman"/>
                <w:i/>
                <w:iCs/>
                <w:lang w:eastAsia="en-GB" w:bidi="bg-BG"/>
              </w:rPr>
            </w:pPr>
            <w:r w:rsidRPr="009F6D1E">
              <w:rPr>
                <w:rFonts w:eastAsia="Times New Roman" w:cs="Times New Roman"/>
                <w:i/>
                <w:iCs/>
                <w:lang w:eastAsia="en-GB" w:bidi="bg-BG"/>
              </w:rPr>
              <w:t xml:space="preserve">- Поддържане на съществуващи елементи на ландшафта, в т.ч. полски синори, полезащитни пояси, ливади и пасища </w:t>
            </w:r>
          </w:p>
          <w:p w14:paraId="7ECC1AFF" w14:textId="77777777" w:rsidR="00657FB1" w:rsidRPr="009F6D1E" w:rsidRDefault="00AF5FEC" w:rsidP="0084747F">
            <w:pPr>
              <w:widowControl w:val="0"/>
              <w:tabs>
                <w:tab w:val="left" w:pos="5765"/>
              </w:tabs>
              <w:spacing w:after="60" w:line="264" w:lineRule="auto"/>
              <w:jc w:val="both"/>
              <w:rPr>
                <w:rFonts w:cs="Times New Roman"/>
                <w:highlight w:val="yellow"/>
              </w:rPr>
            </w:pPr>
            <w:r w:rsidRPr="009F6D1E">
              <w:rPr>
                <w:rFonts w:eastAsia="Times New Roman" w:cs="Times New Roman"/>
                <w:i/>
                <w:iCs/>
                <w:lang w:eastAsia="en-GB" w:bidi="bg-BG"/>
              </w:rPr>
              <w:t>- Дейности в съответствие с тези планирани в НРПД 2021-2027</w:t>
            </w:r>
          </w:p>
        </w:tc>
      </w:tr>
      <w:tr w:rsidR="00657FB1" w:rsidRPr="009F6D1E" w14:paraId="5319B53E" w14:textId="77777777" w:rsidTr="00F92FD2">
        <w:tc>
          <w:tcPr>
            <w:tcW w:w="7366" w:type="dxa"/>
          </w:tcPr>
          <w:p w14:paraId="3B2CB295"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Извършване на земеделска дейност в райони с природни и други специфични ограничения</w:t>
            </w:r>
          </w:p>
          <w:p w14:paraId="3CCBD9C4" w14:textId="77777777" w:rsidR="00A111A7" w:rsidRPr="009F6D1E" w:rsidRDefault="00A111A7" w:rsidP="0084747F">
            <w:pPr>
              <w:spacing w:after="60" w:line="264" w:lineRule="auto"/>
              <w:jc w:val="both"/>
              <w:rPr>
                <w:rFonts w:cs="Times New Roman"/>
                <w:b/>
                <w:bCs/>
                <w:i/>
              </w:rPr>
            </w:pPr>
            <w:r w:rsidRPr="009F6D1E">
              <w:rPr>
                <w:rFonts w:cs="Times New Roman"/>
                <w:b/>
                <w:bCs/>
                <w:i/>
              </w:rPr>
              <w:lastRenderedPageBreak/>
              <w:t xml:space="preserve"> </w:t>
            </w:r>
            <w:r w:rsidRPr="009F6D1E">
              <w:rPr>
                <w:rFonts w:cs="Times New Roman"/>
                <w:b/>
                <w:bCs/>
                <w:i/>
                <w:u w:val="single"/>
              </w:rPr>
              <w:t>Интервенции</w:t>
            </w:r>
            <w:r w:rsidRPr="009F6D1E">
              <w:rPr>
                <w:rFonts w:cs="Times New Roman"/>
                <w:b/>
                <w:bCs/>
                <w:i/>
              </w:rPr>
              <w:t xml:space="preserve">: </w:t>
            </w:r>
          </w:p>
          <w:p w14:paraId="736E13A9" w14:textId="77777777" w:rsidR="00657FB1"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интервенция за компенсиране на земеделските стопани</w:t>
            </w:r>
            <w:r w:rsidRPr="009F6D1E">
              <w:rPr>
                <w:rFonts w:cs="Times New Roman"/>
              </w:rPr>
              <w:t xml:space="preserve"> </w:t>
            </w:r>
          </w:p>
        </w:tc>
        <w:tc>
          <w:tcPr>
            <w:tcW w:w="7513" w:type="dxa"/>
          </w:tcPr>
          <w:p w14:paraId="60F523F8" w14:textId="77777777" w:rsidR="00AF5FEC" w:rsidRPr="009F6D1E" w:rsidRDefault="00AF5FEC" w:rsidP="0084747F">
            <w:pPr>
              <w:spacing w:after="60" w:line="264" w:lineRule="auto"/>
              <w:jc w:val="both"/>
              <w:rPr>
                <w:rFonts w:cs="Times New Roman"/>
                <w:b/>
                <w:bCs/>
                <w:i/>
              </w:rPr>
            </w:pPr>
            <w:r w:rsidRPr="009F6D1E">
              <w:rPr>
                <w:rFonts w:cs="Times New Roman"/>
                <w:b/>
                <w:bCs/>
                <w:i/>
              </w:rPr>
              <w:lastRenderedPageBreak/>
              <w:t xml:space="preserve">П.6.4. </w:t>
            </w:r>
            <w:r w:rsidRPr="009F6D1E">
              <w:rPr>
                <w:rFonts w:cs="Times New Roman"/>
                <w:b/>
                <w:bCs/>
                <w:i/>
                <w:color w:val="FF0000"/>
              </w:rPr>
              <w:t xml:space="preserve">Насърчаване на </w:t>
            </w:r>
            <w:r w:rsidRPr="009F6D1E">
              <w:rPr>
                <w:rFonts w:cs="Times New Roman"/>
                <w:b/>
                <w:bCs/>
                <w:i/>
              </w:rPr>
              <w:t>извършването на земеделски дейности в райони с природни и други специфични ограничения</w:t>
            </w:r>
          </w:p>
          <w:p w14:paraId="3771B863"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w:t>
            </w:r>
          </w:p>
          <w:p w14:paraId="20BB78E5" w14:textId="77777777" w:rsidR="00657FB1"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интервенция за компенсиране на земеделските стопани</w:t>
            </w:r>
          </w:p>
        </w:tc>
      </w:tr>
      <w:tr w:rsidR="00AF5FEC" w:rsidRPr="009F6D1E" w14:paraId="7F158E27" w14:textId="77777777" w:rsidTr="00F92FD2">
        <w:tc>
          <w:tcPr>
            <w:tcW w:w="7366" w:type="dxa"/>
          </w:tcPr>
          <w:p w14:paraId="1C4AF360"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lastRenderedPageBreak/>
              <w:t>Потребност 5</w:t>
            </w:r>
            <w:r w:rsidRPr="009F6D1E">
              <w:rPr>
                <w:rFonts w:cs="Times New Roman"/>
                <w:b/>
                <w:bCs/>
                <w:i/>
              </w:rPr>
              <w:t>: Насърчаване на практиките за биологично земеделие;</w:t>
            </w:r>
          </w:p>
          <w:p w14:paraId="02677A47"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56CAA572" w14:textId="77777777" w:rsidR="00AF5FEC"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000945FA" w:rsidRPr="009F6D1E">
              <w:rPr>
                <w:rFonts w:cs="Times New Roman"/>
                <w:i/>
                <w:color w:val="FF0000"/>
              </w:rPr>
              <w:t>И</w:t>
            </w:r>
            <w:r w:rsidR="00965062" w:rsidRPr="009F6D1E">
              <w:rPr>
                <w:rFonts w:cs="Times New Roman"/>
                <w:i/>
                <w:color w:val="FF0000"/>
              </w:rPr>
              <w:t xml:space="preserve">нтервенция </w:t>
            </w:r>
            <w:r w:rsidRPr="009F6D1E">
              <w:rPr>
                <w:rFonts w:cs="Times New Roman"/>
                <w:i/>
                <w:color w:val="FF0000"/>
              </w:rPr>
              <w:t>по чл. 65 от РСП</w:t>
            </w:r>
          </w:p>
        </w:tc>
        <w:tc>
          <w:tcPr>
            <w:tcW w:w="7513" w:type="dxa"/>
          </w:tcPr>
          <w:p w14:paraId="3739F456" w14:textId="77777777" w:rsidR="00AF5FEC" w:rsidRPr="009F6D1E" w:rsidRDefault="00AF5FEC" w:rsidP="0084747F">
            <w:pPr>
              <w:spacing w:after="60" w:line="264" w:lineRule="auto"/>
              <w:jc w:val="both"/>
              <w:rPr>
                <w:rFonts w:cs="Times New Roman"/>
                <w:b/>
                <w:bCs/>
                <w:i/>
              </w:rPr>
            </w:pPr>
            <w:r w:rsidRPr="009F6D1E">
              <w:rPr>
                <w:rFonts w:cs="Times New Roman"/>
                <w:b/>
                <w:bCs/>
                <w:i/>
              </w:rPr>
              <w:t xml:space="preserve">П.6.5. Насърчаване на практиките </w:t>
            </w:r>
            <w:r w:rsidRPr="009F6D1E">
              <w:rPr>
                <w:rFonts w:cs="Times New Roman"/>
                <w:b/>
                <w:bCs/>
                <w:i/>
                <w:color w:val="FF0000"/>
              </w:rPr>
              <w:t xml:space="preserve">за разширяване </w:t>
            </w:r>
            <w:r w:rsidRPr="009F6D1E">
              <w:rPr>
                <w:rFonts w:cs="Times New Roman"/>
                <w:b/>
                <w:bCs/>
                <w:i/>
              </w:rPr>
              <w:t>биологично земеделие;</w:t>
            </w:r>
          </w:p>
          <w:p w14:paraId="455F63A1"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77DEFE7" w14:textId="77777777" w:rsidR="00AF5FEC" w:rsidRPr="009F6D1E" w:rsidRDefault="00AF5F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 xml:space="preserve">Еко схема за поддържане на биологично земеделие (земеделски площи) </w:t>
            </w:r>
          </w:p>
          <w:p w14:paraId="356957A5"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Еко схема за поддържане на биологично земеделие (селскостопански животни).</w:t>
            </w:r>
          </w:p>
          <w:p w14:paraId="25542FFB"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-Биологично производство.</w:t>
            </w:r>
          </w:p>
          <w:p w14:paraId="29C17E43"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Използване на устойчиви практики и сортове, отглеждани при специфични условия</w:t>
            </w:r>
          </w:p>
        </w:tc>
      </w:tr>
      <w:tr w:rsidR="00AF5FEC" w:rsidRPr="009F6D1E" w14:paraId="48F58B4F" w14:textId="77777777" w:rsidTr="00F92FD2">
        <w:tc>
          <w:tcPr>
            <w:tcW w:w="7366" w:type="dxa"/>
          </w:tcPr>
          <w:p w14:paraId="78FB68BF"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6</w:t>
            </w:r>
            <w:r w:rsidRPr="009F6D1E">
              <w:rPr>
                <w:rFonts w:cs="Times New Roman"/>
                <w:b/>
                <w:bCs/>
                <w:i/>
              </w:rPr>
              <w:t xml:space="preserve">: Насърчаване на практики за справяне с генетична ерозия и </w:t>
            </w:r>
            <w:r w:rsidRPr="009F6D1E">
              <w:rPr>
                <w:rFonts w:cs="Times New Roman"/>
                <w:b/>
                <w:bCs/>
                <w:i/>
                <w:color w:val="FF0000"/>
              </w:rPr>
              <w:t xml:space="preserve">неместни видове </w:t>
            </w:r>
            <w:r w:rsidRPr="009F6D1E">
              <w:rPr>
                <w:rFonts w:cs="Times New Roman"/>
                <w:b/>
                <w:bCs/>
                <w:i/>
              </w:rPr>
              <w:t>- Инвазивни и Чужди видове (ИЧВ);</w:t>
            </w:r>
          </w:p>
          <w:p w14:paraId="5FEE6DE2" w14:textId="77777777" w:rsidR="00AF5FEC"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58FA52BD" w14:textId="77777777" w:rsidR="00AF5FEC" w:rsidRPr="009F6D1E" w:rsidRDefault="00AF5FEC" w:rsidP="0084747F">
            <w:pPr>
              <w:spacing w:after="60" w:line="264" w:lineRule="auto"/>
              <w:jc w:val="both"/>
              <w:rPr>
                <w:rFonts w:cs="Times New Roman"/>
                <w:b/>
                <w:bCs/>
                <w:i/>
                <w:color w:val="FF0000"/>
              </w:rPr>
            </w:pPr>
            <w:r w:rsidRPr="009F6D1E">
              <w:rPr>
                <w:rFonts w:cs="Times New Roman"/>
                <w:b/>
                <w:bCs/>
                <w:i/>
              </w:rPr>
              <w:t xml:space="preserve">П.6.6. Насърчаване на практики за справяне с генетична ерозия </w:t>
            </w:r>
            <w:r w:rsidRPr="009F6D1E">
              <w:rPr>
                <w:rFonts w:cs="Times New Roman"/>
                <w:b/>
                <w:bCs/>
                <w:i/>
                <w:color w:val="FF0000"/>
              </w:rPr>
              <w:t>и внасяне на</w:t>
            </w:r>
            <w:r w:rsidRPr="009F6D1E">
              <w:rPr>
                <w:rFonts w:cs="Times New Roman"/>
                <w:b/>
                <w:bCs/>
                <w:i/>
              </w:rPr>
              <w:t xml:space="preserve"> </w:t>
            </w:r>
            <w:r w:rsidR="00965062" w:rsidRPr="009F6D1E">
              <w:rPr>
                <w:rFonts w:cs="Times New Roman"/>
                <w:b/>
                <w:bCs/>
                <w:i/>
              </w:rPr>
              <w:t>и</w:t>
            </w:r>
            <w:r w:rsidRPr="009F6D1E">
              <w:rPr>
                <w:rFonts w:cs="Times New Roman"/>
                <w:b/>
                <w:bCs/>
                <w:i/>
              </w:rPr>
              <w:t xml:space="preserve">нвазивни чужди видове (ИЧВ) </w:t>
            </w:r>
            <w:r w:rsidRPr="009F6D1E">
              <w:rPr>
                <w:rFonts w:cs="Times New Roman"/>
                <w:b/>
                <w:bCs/>
                <w:i/>
                <w:color w:val="FF0000"/>
              </w:rPr>
              <w:t>и неместни, съгласно националното законодателство видове);</w:t>
            </w:r>
          </w:p>
          <w:p w14:paraId="1644FC1F"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F88F478" w14:textId="77777777" w:rsidR="00AF5FEC" w:rsidRPr="009F6D1E" w:rsidRDefault="00AF5FEC"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Създаване и възстановяване на екологична инфраструктура</w:t>
            </w:r>
          </w:p>
          <w:p w14:paraId="74179D2C"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Насърчаване използването на култури и сортове, устойчиви към климатичните условия</w:t>
            </w:r>
          </w:p>
        </w:tc>
      </w:tr>
      <w:tr w:rsidR="00AF5FEC" w:rsidRPr="009F6D1E" w14:paraId="6B54F34F" w14:textId="77777777" w:rsidTr="00F92FD2">
        <w:tc>
          <w:tcPr>
            <w:tcW w:w="7366" w:type="dxa"/>
          </w:tcPr>
          <w:p w14:paraId="0EEE25F3"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lastRenderedPageBreak/>
              <w:t>Потребност 7</w:t>
            </w:r>
            <w:r w:rsidRPr="009F6D1E">
              <w:rPr>
                <w:rFonts w:cs="Times New Roman"/>
                <w:b/>
                <w:bCs/>
                <w:i/>
              </w:rPr>
              <w:t>: Запазване и подобряване на генетичното разнообразие в животновъдството и</w:t>
            </w:r>
            <w:r w:rsidR="00965062" w:rsidRPr="009F6D1E">
              <w:rPr>
                <w:rFonts w:cs="Times New Roman"/>
                <w:b/>
                <w:bCs/>
                <w:i/>
              </w:rPr>
              <w:t xml:space="preserve"> </w:t>
            </w:r>
            <w:r w:rsidRPr="009F6D1E">
              <w:rPr>
                <w:rFonts w:cs="Times New Roman"/>
                <w:b/>
                <w:bCs/>
                <w:i/>
              </w:rPr>
              <w:t>растениевъдството в селското стопанство</w:t>
            </w:r>
          </w:p>
          <w:p w14:paraId="6132A35B" w14:textId="77777777" w:rsidR="00A111A7" w:rsidRPr="009F6D1E" w:rsidRDefault="00A111A7" w:rsidP="0084747F">
            <w:pPr>
              <w:spacing w:after="60" w:line="264" w:lineRule="auto"/>
              <w:jc w:val="both"/>
              <w:rPr>
                <w:rFonts w:cs="Times New Roman"/>
                <w:b/>
                <w:bCs/>
                <w:i/>
              </w:rPr>
            </w:pPr>
            <w:r w:rsidRPr="009F6D1E">
              <w:rPr>
                <w:rFonts w:cs="Times New Roman"/>
                <w:b/>
                <w:bCs/>
                <w:i/>
              </w:rPr>
              <w:t xml:space="preserve"> </w:t>
            </w:r>
            <w:r w:rsidRPr="009F6D1E">
              <w:rPr>
                <w:rFonts w:cs="Times New Roman"/>
                <w:b/>
                <w:bCs/>
                <w:i/>
                <w:u w:val="single"/>
              </w:rPr>
              <w:t>Интервенции</w:t>
            </w:r>
            <w:r w:rsidRPr="009F6D1E">
              <w:rPr>
                <w:rFonts w:cs="Times New Roman"/>
                <w:b/>
                <w:bCs/>
                <w:i/>
              </w:rPr>
              <w:t xml:space="preserve">: </w:t>
            </w:r>
          </w:p>
          <w:p w14:paraId="6EB1D038" w14:textId="77777777" w:rsidR="00AF5FEC"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000945FA" w:rsidRPr="009F6D1E">
              <w:rPr>
                <w:rFonts w:cs="Times New Roman"/>
                <w:i/>
                <w:color w:val="FF0000"/>
              </w:rPr>
              <w:t>П</w:t>
            </w:r>
            <w:r w:rsidRPr="009F6D1E">
              <w:rPr>
                <w:rFonts w:cs="Times New Roman"/>
                <w:i/>
                <w:color w:val="FF0000"/>
              </w:rPr>
              <w:t>одпомагане по чл. 65 от РСП.</w:t>
            </w:r>
          </w:p>
        </w:tc>
        <w:tc>
          <w:tcPr>
            <w:tcW w:w="7513" w:type="dxa"/>
          </w:tcPr>
          <w:p w14:paraId="368DDF58" w14:textId="77777777" w:rsidR="00AF5FEC" w:rsidRPr="009F6D1E" w:rsidRDefault="00AF5FEC" w:rsidP="0084747F">
            <w:pPr>
              <w:spacing w:after="60" w:line="264" w:lineRule="auto"/>
              <w:jc w:val="both"/>
              <w:rPr>
                <w:rFonts w:cs="Times New Roman"/>
                <w:b/>
                <w:bCs/>
                <w:i/>
              </w:rPr>
            </w:pPr>
            <w:r w:rsidRPr="009F6D1E">
              <w:rPr>
                <w:rFonts w:cs="Times New Roman"/>
                <w:b/>
                <w:bCs/>
                <w:i/>
              </w:rPr>
              <w:t>П.6.7. Запазване и подобряване на генетичното разнообразие в животновъдството и растениевъдството в селското стопанство.</w:t>
            </w:r>
          </w:p>
          <w:p w14:paraId="7BBDF521"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4171DBBD" w14:textId="77777777" w:rsidR="00AF5FEC" w:rsidRPr="009F6D1E" w:rsidRDefault="00AF5FEC"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Опазване на местни породи (автохтонни), важни за селското стопанство</w:t>
            </w:r>
          </w:p>
          <w:p w14:paraId="4807B91A"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Опазване на застрашени от изчезване местни сортове, важни за селското стопанство</w:t>
            </w:r>
          </w:p>
        </w:tc>
      </w:tr>
      <w:tr w:rsidR="00AF5FEC" w:rsidRPr="009F6D1E" w14:paraId="5EFC6853" w14:textId="77777777" w:rsidTr="00F92FD2">
        <w:tc>
          <w:tcPr>
            <w:tcW w:w="7366" w:type="dxa"/>
          </w:tcPr>
          <w:p w14:paraId="350707E0"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8</w:t>
            </w:r>
            <w:r w:rsidRPr="009F6D1E">
              <w:rPr>
                <w:rFonts w:cs="Times New Roman"/>
                <w:b/>
                <w:bCs/>
                <w:i/>
              </w:rPr>
              <w:t xml:space="preserve">: Подобряване на </w:t>
            </w:r>
            <w:proofErr w:type="spellStart"/>
            <w:r w:rsidRPr="009F6D1E">
              <w:rPr>
                <w:rFonts w:cs="Times New Roman"/>
                <w:b/>
                <w:bCs/>
                <w:i/>
              </w:rPr>
              <w:t>опрашителиия</w:t>
            </w:r>
            <w:proofErr w:type="spellEnd"/>
            <w:r w:rsidRPr="009F6D1E">
              <w:rPr>
                <w:rFonts w:cs="Times New Roman"/>
                <w:b/>
                <w:bCs/>
                <w:i/>
              </w:rPr>
              <w:t xml:space="preserve"> потенциал на екосистемите и наличието на подходящите растения;</w:t>
            </w:r>
          </w:p>
          <w:p w14:paraId="69C5DEAF"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6FCD642" w14:textId="77777777" w:rsidR="00AF5FEC"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i/>
                <w:color w:val="FF0000"/>
              </w:rPr>
              <w:t>- Еко схема за създаване и поддържане на мултифункционални вегетативни ивици при трайните насаждения</w:t>
            </w:r>
          </w:p>
        </w:tc>
        <w:tc>
          <w:tcPr>
            <w:tcW w:w="7513" w:type="dxa"/>
          </w:tcPr>
          <w:p w14:paraId="0CB49765" w14:textId="77777777" w:rsidR="00AF5FEC" w:rsidRPr="009F6D1E" w:rsidRDefault="00AF5FEC" w:rsidP="0084747F">
            <w:pPr>
              <w:spacing w:after="60" w:line="264" w:lineRule="auto"/>
              <w:jc w:val="both"/>
              <w:rPr>
                <w:rFonts w:cs="Times New Roman"/>
                <w:b/>
                <w:bCs/>
                <w:i/>
              </w:rPr>
            </w:pPr>
            <w:r w:rsidRPr="009F6D1E">
              <w:rPr>
                <w:rFonts w:cs="Times New Roman"/>
                <w:b/>
                <w:bCs/>
                <w:i/>
              </w:rPr>
              <w:t xml:space="preserve">П.6.8. Подобряване на </w:t>
            </w:r>
            <w:proofErr w:type="spellStart"/>
            <w:r w:rsidRPr="009F6D1E">
              <w:rPr>
                <w:rFonts w:cs="Times New Roman"/>
                <w:b/>
                <w:bCs/>
                <w:i/>
              </w:rPr>
              <w:t>опрашителния</w:t>
            </w:r>
            <w:proofErr w:type="spellEnd"/>
            <w:r w:rsidRPr="009F6D1E">
              <w:rPr>
                <w:rFonts w:cs="Times New Roman"/>
                <w:b/>
                <w:bCs/>
                <w:i/>
              </w:rPr>
              <w:t xml:space="preserve"> потенциал на екосистемите и наличието на подходящи растения;</w:t>
            </w:r>
          </w:p>
          <w:p w14:paraId="0720A302"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A1A48BD"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Действия за запазване или увеличаване на наличния брой пчелни кошери в Съюза, включително развъждане на пчели</w:t>
            </w:r>
          </w:p>
          <w:p w14:paraId="2D65394D"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Инвестиции в материални и нематериални активи</w:t>
            </w:r>
          </w:p>
          <w:p w14:paraId="1F54131F"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Подновяване на пчелните кошери в Съюза, включително развъждане на пчели</w:t>
            </w:r>
          </w:p>
          <w:p w14:paraId="776E3F0F" w14:textId="77777777" w:rsidR="00AF5FEC" w:rsidRPr="009F6D1E" w:rsidRDefault="00AF5FEC" w:rsidP="0084747F">
            <w:pPr>
              <w:spacing w:after="60" w:line="264" w:lineRule="auto"/>
              <w:jc w:val="both"/>
              <w:rPr>
                <w:rFonts w:cs="Times New Roman"/>
                <w:i/>
                <w:color w:val="FF0000"/>
              </w:rPr>
            </w:pPr>
            <w:r w:rsidRPr="009F6D1E">
              <w:rPr>
                <w:rFonts w:cs="Times New Roman"/>
                <w:i/>
                <w:color w:val="FF0000"/>
              </w:rPr>
              <w:t>- Рационализиране на подвижното пчеларство</w:t>
            </w:r>
          </w:p>
          <w:p w14:paraId="5B76287F"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t>- Насърчаване на естественото опрашване</w:t>
            </w:r>
          </w:p>
        </w:tc>
      </w:tr>
      <w:tr w:rsidR="00AF5FEC" w:rsidRPr="009F6D1E" w14:paraId="3215BA72" w14:textId="77777777" w:rsidTr="00F92FD2">
        <w:tc>
          <w:tcPr>
            <w:tcW w:w="7366" w:type="dxa"/>
          </w:tcPr>
          <w:p w14:paraId="143B3057"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Потребност 9</w:t>
            </w:r>
            <w:r w:rsidRPr="009F6D1E">
              <w:rPr>
                <w:rFonts w:cs="Times New Roman"/>
                <w:b/>
                <w:bCs/>
                <w:i/>
              </w:rPr>
              <w:t xml:space="preserve">: Опазване и подобряване на </w:t>
            </w:r>
            <w:r w:rsidRPr="009F6D1E">
              <w:rPr>
                <w:rFonts w:cs="Times New Roman"/>
                <w:b/>
                <w:bCs/>
                <w:i/>
                <w:color w:val="FF0000"/>
              </w:rPr>
              <w:t>биоразнообразието в</w:t>
            </w:r>
            <w:r w:rsidRPr="009F6D1E">
              <w:rPr>
                <w:rFonts w:cs="Times New Roman"/>
                <w:b/>
                <w:bCs/>
                <w:i/>
              </w:rPr>
              <w:t xml:space="preserve"> горите;</w:t>
            </w:r>
          </w:p>
          <w:p w14:paraId="3DBA3A92" w14:textId="77777777" w:rsidR="00A111A7" w:rsidRPr="009F6D1E" w:rsidRDefault="00A111A7"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2C65B906" w14:textId="77777777" w:rsidR="00A111A7" w:rsidRPr="009F6D1E" w:rsidRDefault="001010F3" w:rsidP="0084747F">
            <w:pPr>
              <w:spacing w:after="60" w:line="264" w:lineRule="auto"/>
              <w:jc w:val="both"/>
              <w:rPr>
                <w:rFonts w:cs="Times New Roman"/>
                <w:i/>
                <w:color w:val="FF0000"/>
              </w:rPr>
            </w:pPr>
            <w:r w:rsidRPr="009F6D1E">
              <w:rPr>
                <w:rFonts w:cs="Times New Roman"/>
                <w:i/>
                <w:color w:val="FF0000"/>
              </w:rPr>
              <w:t xml:space="preserve">- </w:t>
            </w:r>
            <w:r w:rsidR="00A111A7" w:rsidRPr="009F6D1E">
              <w:rPr>
                <w:rFonts w:cs="Times New Roman"/>
                <w:i/>
                <w:color w:val="FF0000"/>
              </w:rPr>
              <w:t>Горс</w:t>
            </w:r>
            <w:r w:rsidRPr="009F6D1E">
              <w:rPr>
                <w:rFonts w:cs="Times New Roman"/>
                <w:i/>
                <w:color w:val="FF0000"/>
              </w:rPr>
              <w:t>ко-екологични дейности в горите</w:t>
            </w:r>
          </w:p>
          <w:p w14:paraId="5577E7AE" w14:textId="77777777" w:rsidR="00A111A7" w:rsidRPr="009F6D1E" w:rsidRDefault="00A111A7" w:rsidP="0084747F">
            <w:pPr>
              <w:spacing w:after="60" w:line="264" w:lineRule="auto"/>
              <w:jc w:val="both"/>
              <w:rPr>
                <w:rFonts w:cs="Times New Roman"/>
                <w:i/>
                <w:color w:val="FF0000"/>
              </w:rPr>
            </w:pPr>
            <w:r w:rsidRPr="009F6D1E">
              <w:rPr>
                <w:rFonts w:cs="Times New Roman"/>
                <w:i/>
                <w:color w:val="FF0000"/>
              </w:rPr>
              <w:lastRenderedPageBreak/>
              <w:t>- Залесяване на земеделски и неземеделски земи;</w:t>
            </w:r>
          </w:p>
          <w:p w14:paraId="73FFE981" w14:textId="77777777" w:rsidR="00A111A7" w:rsidRPr="009F6D1E" w:rsidRDefault="00A111A7" w:rsidP="0084747F">
            <w:pPr>
              <w:spacing w:after="60" w:line="264" w:lineRule="auto"/>
              <w:jc w:val="both"/>
              <w:rPr>
                <w:rFonts w:cs="Times New Roman"/>
                <w:i/>
                <w:color w:val="FF0000"/>
              </w:rPr>
            </w:pPr>
            <w:r w:rsidRPr="009F6D1E">
              <w:rPr>
                <w:rFonts w:cs="Times New Roman"/>
                <w:i/>
                <w:color w:val="FF0000"/>
              </w:rPr>
              <w:t xml:space="preserve">- Предотвратяване и възстановяване на щети по горите от горски пожари, природни бедствия и катастрофични събития и </w:t>
            </w:r>
          </w:p>
          <w:p w14:paraId="3BADFE43" w14:textId="77777777" w:rsidR="00AF5FEC" w:rsidRPr="009F6D1E" w:rsidRDefault="00A111A7" w:rsidP="0084747F">
            <w:pPr>
              <w:widowControl w:val="0"/>
              <w:tabs>
                <w:tab w:val="left" w:pos="5765"/>
              </w:tabs>
              <w:spacing w:after="60" w:line="264" w:lineRule="auto"/>
              <w:jc w:val="both"/>
              <w:rPr>
                <w:rFonts w:cs="Times New Roman"/>
                <w:highlight w:val="yellow"/>
              </w:rPr>
            </w:pPr>
            <w:r w:rsidRPr="009F6D1E">
              <w:rPr>
                <w:rFonts w:cs="Times New Roman"/>
                <w:i/>
                <w:color w:val="FF0000"/>
              </w:rPr>
              <w:t>- Инвестиции, подобряващи устойчивостта и екологичната стойност на горските екосистеми</w:t>
            </w:r>
            <w:r w:rsidRPr="009F6D1E">
              <w:rPr>
                <w:rFonts w:cs="Times New Roman"/>
                <w:i/>
              </w:rPr>
              <w:t>.</w:t>
            </w:r>
          </w:p>
        </w:tc>
        <w:tc>
          <w:tcPr>
            <w:tcW w:w="7513" w:type="dxa"/>
          </w:tcPr>
          <w:p w14:paraId="1D0028AF" w14:textId="77777777" w:rsidR="00AF5FEC" w:rsidRPr="009F6D1E" w:rsidRDefault="00AF5FEC" w:rsidP="0084747F">
            <w:pPr>
              <w:spacing w:after="60" w:line="264" w:lineRule="auto"/>
              <w:jc w:val="both"/>
              <w:rPr>
                <w:rFonts w:cs="Times New Roman"/>
                <w:b/>
                <w:bCs/>
                <w:i/>
              </w:rPr>
            </w:pPr>
            <w:r w:rsidRPr="009F6D1E">
              <w:rPr>
                <w:rFonts w:cs="Times New Roman"/>
                <w:b/>
                <w:bCs/>
                <w:i/>
              </w:rPr>
              <w:lastRenderedPageBreak/>
              <w:t xml:space="preserve">П.6.9. Опазване и подобряване на </w:t>
            </w:r>
            <w:r w:rsidRPr="009F6D1E">
              <w:rPr>
                <w:rFonts w:cs="Times New Roman"/>
                <w:b/>
                <w:bCs/>
                <w:i/>
                <w:color w:val="FF0000"/>
              </w:rPr>
              <w:t xml:space="preserve">биологичното разнообразие, устойчиво управление на </w:t>
            </w:r>
            <w:r w:rsidRPr="009F6D1E">
              <w:rPr>
                <w:rFonts w:cs="Times New Roman"/>
                <w:b/>
                <w:bCs/>
                <w:i/>
              </w:rPr>
              <w:t xml:space="preserve">горите, </w:t>
            </w:r>
            <w:r w:rsidRPr="009F6D1E">
              <w:rPr>
                <w:rFonts w:cs="Times New Roman"/>
                <w:b/>
                <w:bCs/>
                <w:i/>
                <w:color w:val="FF0000"/>
              </w:rPr>
              <w:t>горските местообитания и подобряване на екосистемните услуги, предоставяни от горите</w:t>
            </w:r>
            <w:r w:rsidRPr="009F6D1E">
              <w:rPr>
                <w:rFonts w:cs="Times New Roman"/>
                <w:b/>
                <w:bCs/>
                <w:i/>
              </w:rPr>
              <w:t>.</w:t>
            </w:r>
          </w:p>
          <w:p w14:paraId="2A257AF9"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AEB5B2D"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i/>
                <w:color w:val="FF0000"/>
              </w:rPr>
              <w:lastRenderedPageBreak/>
              <w:t>-  Еко схема за поддържане и подобряване на биоразнообразието в горски екосистеми (по чл. 31 от Регламент (ЕС) 2021/2115).</w:t>
            </w:r>
          </w:p>
        </w:tc>
      </w:tr>
      <w:tr w:rsidR="00A111A7" w:rsidRPr="009F6D1E" w14:paraId="5FBE52B7" w14:textId="77777777" w:rsidTr="00F92FD2">
        <w:tc>
          <w:tcPr>
            <w:tcW w:w="7366" w:type="dxa"/>
          </w:tcPr>
          <w:p w14:paraId="069E6CE0" w14:textId="77777777" w:rsidR="00A111A7" w:rsidRPr="009F6D1E" w:rsidRDefault="00A111A7" w:rsidP="0084747F">
            <w:pPr>
              <w:spacing w:after="60" w:line="264" w:lineRule="auto"/>
              <w:jc w:val="both"/>
              <w:rPr>
                <w:rFonts w:cs="Times New Roman"/>
                <w:b/>
                <w:bCs/>
                <w:i/>
                <w:color w:val="FF0000"/>
              </w:rPr>
            </w:pPr>
            <w:r w:rsidRPr="009F6D1E">
              <w:rPr>
                <w:rFonts w:cs="Times New Roman"/>
                <w:b/>
                <w:bCs/>
                <w:i/>
                <w:color w:val="FF0000"/>
                <w:u w:val="single"/>
              </w:rPr>
              <w:lastRenderedPageBreak/>
              <w:t>Потребност 10:</w:t>
            </w:r>
            <w:r w:rsidRPr="009F6D1E">
              <w:rPr>
                <w:rFonts w:cs="Times New Roman"/>
                <w:b/>
                <w:bCs/>
                <w:i/>
                <w:color w:val="FF0000"/>
              </w:rPr>
              <w:t xml:space="preserve"> Обучения, свързани с качеството на изпълнение, с оглед опазване на околната среда и климата, и биоразнообразието.</w:t>
            </w:r>
          </w:p>
          <w:p w14:paraId="06C38F77" w14:textId="77777777" w:rsidR="00A111A7" w:rsidRPr="009F6D1E" w:rsidRDefault="00A111A7" w:rsidP="0084747F">
            <w:pPr>
              <w:spacing w:after="60" w:line="264" w:lineRule="auto"/>
              <w:jc w:val="both"/>
              <w:rPr>
                <w:rFonts w:cs="Times New Roman"/>
                <w:b/>
                <w:bCs/>
                <w:i/>
                <w:u w:val="single"/>
              </w:rPr>
            </w:pPr>
            <w:r w:rsidRPr="009F6D1E">
              <w:rPr>
                <w:rFonts w:cs="Times New Roman"/>
                <w:b/>
                <w:bCs/>
                <w:i/>
                <w:color w:val="FF0000"/>
                <w:u w:val="single"/>
              </w:rPr>
              <w:t>Интервенции</w:t>
            </w:r>
            <w:r w:rsidRPr="009F6D1E">
              <w:rPr>
                <w:rFonts w:cs="Times New Roman"/>
                <w:b/>
                <w:bCs/>
                <w:i/>
                <w:color w:val="FF0000"/>
              </w:rPr>
              <w:t>: -</w:t>
            </w:r>
          </w:p>
        </w:tc>
        <w:tc>
          <w:tcPr>
            <w:tcW w:w="7513" w:type="dxa"/>
          </w:tcPr>
          <w:p w14:paraId="176383A7" w14:textId="77777777" w:rsidR="00A111A7" w:rsidRPr="009F6D1E" w:rsidRDefault="00A111A7" w:rsidP="0084747F">
            <w:pPr>
              <w:spacing w:after="60" w:line="264" w:lineRule="auto"/>
              <w:jc w:val="both"/>
              <w:rPr>
                <w:rFonts w:cs="Times New Roman"/>
                <w:b/>
                <w:bCs/>
                <w:i/>
              </w:rPr>
            </w:pPr>
          </w:p>
        </w:tc>
      </w:tr>
      <w:tr w:rsidR="00AF5FEC" w:rsidRPr="009F6D1E" w14:paraId="470B4D95" w14:textId="77777777" w:rsidTr="00F92FD2">
        <w:tc>
          <w:tcPr>
            <w:tcW w:w="7366" w:type="dxa"/>
          </w:tcPr>
          <w:p w14:paraId="23782766" w14:textId="77777777" w:rsidR="00AF5FEC"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Специфична цел №: 7 Привличане на млади </w:t>
            </w:r>
            <w:r w:rsidRPr="009F6D1E">
              <w:rPr>
                <w:rFonts w:cs="Times New Roman"/>
                <w:b/>
                <w:bCs/>
                <w:i/>
                <w:color w:val="FF0000"/>
              </w:rPr>
              <w:t xml:space="preserve">фермери </w:t>
            </w:r>
            <w:r w:rsidRPr="009F6D1E">
              <w:rPr>
                <w:rFonts w:cs="Times New Roman"/>
                <w:b/>
                <w:bCs/>
                <w:i/>
              </w:rPr>
              <w:t xml:space="preserve">и улесняване на развитие на </w:t>
            </w:r>
            <w:r w:rsidRPr="009F6D1E">
              <w:rPr>
                <w:rFonts w:cs="Times New Roman"/>
                <w:b/>
                <w:bCs/>
                <w:i/>
                <w:color w:val="FF0000"/>
              </w:rPr>
              <w:t xml:space="preserve">бизнеса </w:t>
            </w:r>
            <w:r w:rsidRPr="009F6D1E">
              <w:rPr>
                <w:rFonts w:cs="Times New Roman"/>
                <w:b/>
                <w:bCs/>
                <w:i/>
              </w:rPr>
              <w:t>в селските райони</w:t>
            </w:r>
          </w:p>
        </w:tc>
        <w:tc>
          <w:tcPr>
            <w:tcW w:w="7513" w:type="dxa"/>
          </w:tcPr>
          <w:p w14:paraId="538C43A1" w14:textId="77777777" w:rsidR="00AF5FEC" w:rsidRPr="009F6D1E" w:rsidRDefault="00026ECE" w:rsidP="0084747F">
            <w:pPr>
              <w:spacing w:after="60" w:line="264" w:lineRule="auto"/>
              <w:jc w:val="both"/>
              <w:rPr>
                <w:rFonts w:cs="Times New Roman"/>
                <w:b/>
                <w:bCs/>
                <w:i/>
              </w:rPr>
            </w:pPr>
            <w:r w:rsidRPr="009F6D1E">
              <w:rPr>
                <w:rFonts w:cs="Times New Roman"/>
                <w:b/>
                <w:bCs/>
                <w:i/>
              </w:rPr>
              <w:t xml:space="preserve">Специфична цел №: 7 Привличане </w:t>
            </w:r>
            <w:r w:rsidRPr="009F6D1E">
              <w:rPr>
                <w:rFonts w:cs="Times New Roman"/>
                <w:b/>
                <w:bCs/>
                <w:i/>
                <w:color w:val="FF0000"/>
              </w:rPr>
              <w:t xml:space="preserve">и подкрепа на </w:t>
            </w:r>
            <w:r w:rsidRPr="009F6D1E">
              <w:rPr>
                <w:rFonts w:cs="Times New Roman"/>
                <w:b/>
                <w:bCs/>
                <w:i/>
              </w:rPr>
              <w:t xml:space="preserve">млади </w:t>
            </w:r>
            <w:r w:rsidRPr="009F6D1E">
              <w:rPr>
                <w:rFonts w:cs="Times New Roman"/>
                <w:b/>
                <w:bCs/>
                <w:i/>
                <w:color w:val="FF0000"/>
              </w:rPr>
              <w:t>земеделски стопани и други нови земеделски стопани</w:t>
            </w:r>
            <w:r w:rsidRPr="009F6D1E">
              <w:rPr>
                <w:rFonts w:cs="Times New Roman"/>
                <w:b/>
                <w:bCs/>
                <w:i/>
              </w:rPr>
              <w:t xml:space="preserve"> и улесняване на </w:t>
            </w:r>
            <w:r w:rsidRPr="009F6D1E">
              <w:rPr>
                <w:rFonts w:cs="Times New Roman"/>
                <w:b/>
                <w:bCs/>
                <w:i/>
                <w:color w:val="FF0000"/>
              </w:rPr>
              <w:t>устойчивото</w:t>
            </w:r>
            <w:r w:rsidRPr="009F6D1E">
              <w:rPr>
                <w:rFonts w:cs="Times New Roman"/>
                <w:b/>
                <w:bCs/>
                <w:i/>
              </w:rPr>
              <w:t xml:space="preserve"> развитие на </w:t>
            </w:r>
            <w:r w:rsidRPr="009F6D1E">
              <w:rPr>
                <w:rFonts w:cs="Times New Roman"/>
                <w:b/>
                <w:bCs/>
                <w:i/>
                <w:color w:val="FF0000"/>
              </w:rPr>
              <w:t xml:space="preserve">стопанска дейност </w:t>
            </w:r>
            <w:r w:rsidRPr="009F6D1E">
              <w:rPr>
                <w:rFonts w:cs="Times New Roman"/>
                <w:b/>
                <w:bCs/>
                <w:i/>
              </w:rPr>
              <w:t>в селските райони</w:t>
            </w:r>
          </w:p>
        </w:tc>
      </w:tr>
      <w:tr w:rsidR="00AF5FEC" w:rsidRPr="009F6D1E" w14:paraId="20E6FF25" w14:textId="77777777" w:rsidTr="00F92FD2">
        <w:tc>
          <w:tcPr>
            <w:tcW w:w="7366" w:type="dxa"/>
          </w:tcPr>
          <w:p w14:paraId="17AC1BA8"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Ускоряване на модернизацията на земеделските ст</w:t>
            </w:r>
            <w:r w:rsidR="001010F3" w:rsidRPr="009F6D1E">
              <w:rPr>
                <w:rFonts w:cs="Times New Roman"/>
                <w:b/>
                <w:bCs/>
                <w:i/>
              </w:rPr>
              <w:t>опанства на младите стопани</w:t>
            </w:r>
          </w:p>
          <w:p w14:paraId="40ADBD4B"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443C81A" w14:textId="77777777" w:rsidR="00AF5FEC"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eastAsia="Times New Roman" w:cs="Times New Roman"/>
                <w:bCs/>
                <w:i/>
                <w:iCs/>
                <w:lang w:eastAsia="en-GB" w:bidi="bg-BG"/>
              </w:rPr>
              <w:t xml:space="preserve">Стартова помощ за установяване на млади земеделски стопани в селското стопанство, Установяване на млади земеделски стопани </w:t>
            </w:r>
          </w:p>
        </w:tc>
        <w:tc>
          <w:tcPr>
            <w:tcW w:w="7513" w:type="dxa"/>
          </w:tcPr>
          <w:p w14:paraId="17606FD4" w14:textId="77777777" w:rsidR="00AF5FEC" w:rsidRPr="009F6D1E" w:rsidRDefault="00AF5FEC" w:rsidP="0084747F">
            <w:pPr>
              <w:spacing w:after="60" w:line="264" w:lineRule="auto"/>
              <w:jc w:val="both"/>
              <w:rPr>
                <w:rFonts w:cs="Times New Roman"/>
                <w:b/>
                <w:bCs/>
                <w:i/>
              </w:rPr>
            </w:pPr>
            <w:r w:rsidRPr="009F6D1E">
              <w:rPr>
                <w:rFonts w:cs="Times New Roman"/>
                <w:b/>
                <w:bCs/>
                <w:i/>
              </w:rPr>
              <w:t>П.7.1. Ускоряване на модернизацията на земеделските стопанства на младите стопани</w:t>
            </w:r>
          </w:p>
          <w:p w14:paraId="69AEDE72"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498B1B9"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eastAsia="Times New Roman" w:cs="Times New Roman"/>
                <w:bCs/>
                <w:i/>
                <w:iCs/>
                <w:lang w:eastAsia="en-GB" w:bidi="bg-BG"/>
              </w:rPr>
              <w:t>Стартова помощ за установяване на млади земеделски стопани в селското стопанство, Установяване на млади земеделски стопани</w:t>
            </w:r>
          </w:p>
        </w:tc>
      </w:tr>
      <w:tr w:rsidR="00AF5FEC" w:rsidRPr="009F6D1E" w14:paraId="5F669DE9" w14:textId="77777777" w:rsidTr="00F92FD2">
        <w:tc>
          <w:tcPr>
            <w:tcW w:w="7366" w:type="dxa"/>
          </w:tcPr>
          <w:p w14:paraId="58D6E882"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xml:space="preserve">: Увеличаване </w:t>
            </w:r>
            <w:r w:rsidRPr="009F6D1E">
              <w:rPr>
                <w:rFonts w:cs="Times New Roman"/>
                <w:b/>
                <w:bCs/>
                <w:i/>
                <w:color w:val="FF0000"/>
              </w:rPr>
              <w:t>на</w:t>
            </w:r>
            <w:r w:rsidRPr="009F6D1E">
              <w:rPr>
                <w:rFonts w:cs="Times New Roman"/>
                <w:b/>
                <w:bCs/>
                <w:i/>
              </w:rPr>
              <w:t xml:space="preserve"> подкрепата на младите стопани и на фермерския доход и</w:t>
            </w:r>
            <w:r w:rsidR="00C7482F" w:rsidRPr="009F6D1E">
              <w:rPr>
                <w:rFonts w:cs="Times New Roman"/>
                <w:b/>
                <w:bCs/>
                <w:i/>
              </w:rPr>
              <w:t xml:space="preserve"> </w:t>
            </w:r>
            <w:r w:rsidRPr="009F6D1E">
              <w:rPr>
                <w:rFonts w:cs="Times New Roman"/>
                <w:b/>
                <w:bCs/>
                <w:i/>
              </w:rPr>
              <w:t>улесняване стартирането на стопанство;</w:t>
            </w:r>
          </w:p>
          <w:p w14:paraId="47A2BAAA"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8DFD3C4" w14:textId="77777777" w:rsidR="001E18A3" w:rsidRPr="009F6D1E" w:rsidRDefault="001E18A3" w:rsidP="0084747F">
            <w:pPr>
              <w:spacing w:after="60" w:line="264" w:lineRule="auto"/>
              <w:jc w:val="both"/>
              <w:rPr>
                <w:rFonts w:eastAsia="Times New Roman" w:cs="Times New Roman"/>
                <w:bCs/>
                <w:i/>
                <w:iCs/>
                <w:lang w:eastAsia="en-GB" w:bidi="bg-BG"/>
              </w:rPr>
            </w:pPr>
            <w:r w:rsidRPr="009F6D1E">
              <w:rPr>
                <w:rFonts w:cs="Times New Roman"/>
                <w:b/>
                <w:bCs/>
                <w:i/>
              </w:rPr>
              <w:lastRenderedPageBreak/>
              <w:t xml:space="preserve">- </w:t>
            </w:r>
            <w:r w:rsidRPr="009F6D1E">
              <w:rPr>
                <w:rFonts w:eastAsia="Times New Roman" w:cs="Times New Roman"/>
                <w:bCs/>
                <w:i/>
                <w:iCs/>
                <w:lang w:eastAsia="en-GB" w:bidi="bg-BG"/>
              </w:rPr>
              <w:t>Стартова помощ за установяване на млади земеделски</w:t>
            </w:r>
            <w:r w:rsidR="00C7482F" w:rsidRPr="009F6D1E">
              <w:rPr>
                <w:rFonts w:eastAsia="Times New Roman" w:cs="Times New Roman"/>
                <w:bCs/>
                <w:i/>
                <w:iCs/>
                <w:lang w:eastAsia="en-GB" w:bidi="bg-BG"/>
              </w:rPr>
              <w:t xml:space="preserve"> стопани в селското стопанство</w:t>
            </w:r>
          </w:p>
          <w:p w14:paraId="4DCBCF08" w14:textId="77777777" w:rsidR="001E18A3" w:rsidRPr="009F6D1E" w:rsidRDefault="001E18A3" w:rsidP="0084747F">
            <w:p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t xml:space="preserve">- </w:t>
            </w:r>
            <w:r w:rsidRPr="009F6D1E">
              <w:rPr>
                <w:rFonts w:eastAsia="Times New Roman" w:cs="Times New Roman"/>
                <w:bCs/>
                <w:i/>
                <w:iCs/>
                <w:color w:val="FF0000"/>
                <w:lang w:eastAsia="en-GB" w:bidi="bg-BG"/>
              </w:rPr>
              <w:t>Допълнително подпомагане на  доходите за млади зе</w:t>
            </w:r>
            <w:r w:rsidR="00C7482F" w:rsidRPr="009F6D1E">
              <w:rPr>
                <w:rFonts w:eastAsia="Times New Roman" w:cs="Times New Roman"/>
                <w:bCs/>
                <w:i/>
                <w:iCs/>
                <w:color w:val="FF0000"/>
                <w:lang w:eastAsia="en-GB" w:bidi="bg-BG"/>
              </w:rPr>
              <w:t>меделски стопани</w:t>
            </w:r>
            <w:r w:rsidRPr="009F6D1E">
              <w:rPr>
                <w:rFonts w:eastAsia="Times New Roman" w:cs="Times New Roman"/>
                <w:bCs/>
                <w:i/>
                <w:iCs/>
                <w:color w:val="FF0000"/>
                <w:lang w:eastAsia="en-GB" w:bidi="bg-BG"/>
              </w:rPr>
              <w:t>.</w:t>
            </w:r>
          </w:p>
          <w:p w14:paraId="1ED25507" w14:textId="77777777" w:rsidR="00AF5FEC" w:rsidRPr="009F6D1E" w:rsidRDefault="001E18A3" w:rsidP="0084747F">
            <w:p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t>- Консултантски услуги и повишаване на консултантския капацитет съгл. чл. 72 "Обмен на знания и информация" (ЕЗФРСР)</w:t>
            </w:r>
          </w:p>
        </w:tc>
        <w:tc>
          <w:tcPr>
            <w:tcW w:w="7513" w:type="dxa"/>
          </w:tcPr>
          <w:p w14:paraId="0614AF55" w14:textId="77777777" w:rsidR="00AF5FEC" w:rsidRPr="009F6D1E" w:rsidRDefault="00AF5FEC" w:rsidP="0084747F">
            <w:pPr>
              <w:spacing w:after="60" w:line="264" w:lineRule="auto"/>
              <w:jc w:val="both"/>
              <w:rPr>
                <w:rFonts w:cs="Times New Roman"/>
                <w:b/>
                <w:bCs/>
                <w:i/>
              </w:rPr>
            </w:pPr>
            <w:r w:rsidRPr="009F6D1E">
              <w:rPr>
                <w:rFonts w:cs="Times New Roman"/>
                <w:b/>
                <w:bCs/>
                <w:i/>
              </w:rPr>
              <w:lastRenderedPageBreak/>
              <w:t>П.7.2. Увеличаване подкрепата за младите стопани и на фермерския доход и улесняване стартирането на стопанство</w:t>
            </w:r>
          </w:p>
          <w:p w14:paraId="629715C9" w14:textId="77777777" w:rsidR="00AF5FEC" w:rsidRPr="009F6D1E" w:rsidRDefault="00AF5FEC" w:rsidP="0084747F">
            <w:pPr>
              <w:spacing w:after="60" w:line="264" w:lineRule="auto"/>
              <w:jc w:val="both"/>
              <w:rPr>
                <w:rFonts w:cs="Times New Roman"/>
                <w:b/>
                <w:bCs/>
                <w:i/>
              </w:rPr>
            </w:pPr>
            <w:r w:rsidRPr="009F6D1E">
              <w:rPr>
                <w:rFonts w:cs="Times New Roman"/>
                <w:b/>
                <w:bCs/>
                <w:i/>
              </w:rPr>
              <w:t xml:space="preserve"> </w:t>
            </w:r>
            <w:r w:rsidRPr="009F6D1E">
              <w:rPr>
                <w:rFonts w:cs="Times New Roman"/>
                <w:b/>
                <w:bCs/>
                <w:i/>
                <w:u w:val="single"/>
              </w:rPr>
              <w:t>Интервенции</w:t>
            </w:r>
            <w:r w:rsidRPr="009F6D1E">
              <w:rPr>
                <w:rFonts w:cs="Times New Roman"/>
                <w:b/>
                <w:bCs/>
                <w:i/>
              </w:rPr>
              <w:t>:</w:t>
            </w:r>
          </w:p>
          <w:p w14:paraId="592BABEA" w14:textId="77777777" w:rsidR="00AF5FEC" w:rsidRPr="009F6D1E" w:rsidRDefault="00AF5FEC" w:rsidP="0084747F">
            <w:pPr>
              <w:spacing w:after="60" w:line="264" w:lineRule="auto"/>
              <w:jc w:val="both"/>
              <w:rPr>
                <w:rFonts w:eastAsia="Times New Roman" w:cs="Times New Roman"/>
                <w:bCs/>
                <w:i/>
                <w:iCs/>
                <w:lang w:eastAsia="en-GB" w:bidi="bg-BG"/>
              </w:rPr>
            </w:pPr>
            <w:r w:rsidRPr="009F6D1E">
              <w:rPr>
                <w:rFonts w:cs="Times New Roman"/>
                <w:b/>
                <w:bCs/>
                <w:i/>
              </w:rPr>
              <w:lastRenderedPageBreak/>
              <w:t xml:space="preserve">- </w:t>
            </w:r>
            <w:r w:rsidRPr="009F6D1E">
              <w:rPr>
                <w:rFonts w:eastAsia="Times New Roman" w:cs="Times New Roman"/>
                <w:bCs/>
                <w:i/>
                <w:iCs/>
                <w:color w:val="FF0000"/>
                <w:lang w:eastAsia="en-GB" w:bidi="bg-BG"/>
              </w:rPr>
              <w:t>Увеличаване подкрепата за младите стопани и на фермерския доход и улесняване стартирането на стопанство</w:t>
            </w:r>
          </w:p>
          <w:p w14:paraId="7B6F1F6C" w14:textId="77777777" w:rsidR="00AF5FEC" w:rsidRPr="009F6D1E" w:rsidRDefault="00AF5FEC" w:rsidP="0084747F">
            <w:pPr>
              <w:spacing w:after="60" w:line="264" w:lineRule="auto"/>
              <w:jc w:val="both"/>
              <w:rPr>
                <w:rFonts w:eastAsia="Times New Roman" w:cs="Times New Roman"/>
                <w:bCs/>
                <w:i/>
                <w:iCs/>
                <w:lang w:eastAsia="en-GB" w:bidi="bg-BG"/>
              </w:rPr>
            </w:pPr>
            <w:r w:rsidRPr="009F6D1E">
              <w:rPr>
                <w:rFonts w:eastAsia="Times New Roman" w:cs="Times New Roman"/>
                <w:bCs/>
                <w:i/>
                <w:iCs/>
                <w:lang w:eastAsia="en-GB" w:bidi="bg-BG"/>
              </w:rPr>
              <w:t>- Консултантски услуги и повишаване на консултантския капацитет съгл. чл. 72 "Обмен на знания и информация" (ЕЗФРСР).</w:t>
            </w:r>
          </w:p>
          <w:p w14:paraId="71157641" w14:textId="67B7EC0B" w:rsidR="00AF5FEC" w:rsidRPr="009F6D1E" w:rsidRDefault="00AF5FEC" w:rsidP="0084747F">
            <w:pPr>
              <w:widowControl w:val="0"/>
              <w:tabs>
                <w:tab w:val="left" w:pos="5765"/>
              </w:tabs>
              <w:spacing w:after="60" w:line="264" w:lineRule="auto"/>
              <w:jc w:val="both"/>
              <w:rPr>
                <w:rFonts w:cs="Times New Roman"/>
                <w:highlight w:val="yellow"/>
              </w:rPr>
            </w:pPr>
          </w:p>
        </w:tc>
      </w:tr>
      <w:tr w:rsidR="00AF5FEC" w:rsidRPr="009F6D1E" w14:paraId="76FDE44A" w14:textId="77777777" w:rsidTr="00F92FD2">
        <w:tc>
          <w:tcPr>
            <w:tcW w:w="7366" w:type="dxa"/>
          </w:tcPr>
          <w:p w14:paraId="7EC4EF0C"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Потребност 3</w:t>
            </w:r>
            <w:r w:rsidRPr="009F6D1E">
              <w:rPr>
                <w:rFonts w:cs="Times New Roman"/>
                <w:b/>
                <w:bCs/>
                <w:i/>
              </w:rPr>
              <w:t>: Повишаване на професионално-квалификационното равнище на мениджърите и останалите заети в отрасъла</w:t>
            </w:r>
          </w:p>
          <w:p w14:paraId="6413A5C7"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0CBBE66" w14:textId="77777777" w:rsidR="00AF5FEC"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eastAsia="Times New Roman" w:cs="Times New Roman"/>
                <w:bCs/>
                <w:i/>
                <w:iCs/>
                <w:lang w:eastAsia="en-GB" w:bidi="bg-BG"/>
              </w:rPr>
              <w:t>Професионално обучение и придобиване на умения съгл. чл. 72 "Обмен на знания и информация"(ЕЗФРСР).</w:t>
            </w:r>
          </w:p>
        </w:tc>
        <w:tc>
          <w:tcPr>
            <w:tcW w:w="7513" w:type="dxa"/>
          </w:tcPr>
          <w:p w14:paraId="0354399B" w14:textId="77777777" w:rsidR="00AF5FEC" w:rsidRPr="009F6D1E" w:rsidRDefault="00AF5FEC" w:rsidP="0084747F">
            <w:pPr>
              <w:spacing w:after="60" w:line="264" w:lineRule="auto"/>
              <w:jc w:val="both"/>
              <w:rPr>
                <w:rFonts w:cs="Times New Roman"/>
                <w:b/>
                <w:bCs/>
                <w:i/>
              </w:rPr>
            </w:pPr>
            <w:r w:rsidRPr="009F6D1E">
              <w:rPr>
                <w:rFonts w:cs="Times New Roman"/>
                <w:b/>
                <w:bCs/>
                <w:i/>
              </w:rPr>
              <w:t>П.7.3. Повишаване на професионално-квалификационното равнище на мениджърите и останалите заети в отрасъла</w:t>
            </w:r>
          </w:p>
          <w:p w14:paraId="5132AE06" w14:textId="77777777" w:rsidR="00AF5FEC" w:rsidRPr="009F6D1E" w:rsidRDefault="00AF5FEC"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04AF74C" w14:textId="77777777" w:rsidR="00AF5FEC" w:rsidRPr="009F6D1E" w:rsidRDefault="00AF5F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eastAsia="Times New Roman" w:cs="Times New Roman"/>
                <w:bCs/>
                <w:i/>
                <w:iCs/>
                <w:lang w:eastAsia="en-GB" w:bidi="bg-BG"/>
              </w:rPr>
              <w:t>Професионално обучение и придобиване на умения съгл. чл. 72 "Обмен на знания и информация"(ЕЗФРСР).</w:t>
            </w:r>
          </w:p>
        </w:tc>
      </w:tr>
      <w:tr w:rsidR="00AF5FEC" w:rsidRPr="009F6D1E" w14:paraId="2A156E14" w14:textId="77777777" w:rsidTr="00F92FD2">
        <w:tc>
          <w:tcPr>
            <w:tcW w:w="7366" w:type="dxa"/>
          </w:tcPr>
          <w:p w14:paraId="052BE83E"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Намаляване на диспропорциите в земеделската заетост на младите стопани между различните райони и аграрни сектори;</w:t>
            </w:r>
          </w:p>
          <w:p w14:paraId="007941A8"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6D8872C" w14:textId="77777777" w:rsidR="001E18A3" w:rsidRPr="009F6D1E" w:rsidRDefault="001E18A3" w:rsidP="0084747F">
            <w:pPr>
              <w:spacing w:after="60" w:line="264" w:lineRule="auto"/>
              <w:jc w:val="both"/>
              <w:rPr>
                <w:rFonts w:cs="Times New Roman"/>
                <w:i/>
              </w:rPr>
            </w:pPr>
            <w:r w:rsidRPr="009F6D1E">
              <w:rPr>
                <w:rFonts w:cs="Times New Roman"/>
                <w:b/>
                <w:bCs/>
                <w:i/>
              </w:rPr>
              <w:t xml:space="preserve">- </w:t>
            </w:r>
            <w:r w:rsidRPr="009F6D1E">
              <w:rPr>
                <w:rFonts w:cs="Times New Roman"/>
                <w:i/>
              </w:rPr>
              <w:t>Подкрепа на организации на производители или групи от производители, Сътрудничество съгл. член 64, б. „ж“ (ЕЗФРСР).</w:t>
            </w:r>
          </w:p>
          <w:p w14:paraId="7BC68537" w14:textId="77777777" w:rsidR="001E18A3" w:rsidRPr="009F6D1E" w:rsidRDefault="001E18A3" w:rsidP="0084747F">
            <w:pPr>
              <w:spacing w:after="60" w:line="264" w:lineRule="auto"/>
              <w:jc w:val="both"/>
              <w:rPr>
                <w:rFonts w:cs="Times New Roman"/>
                <w:i/>
                <w:color w:val="FF0000"/>
              </w:rPr>
            </w:pPr>
            <w:r w:rsidRPr="009F6D1E">
              <w:rPr>
                <w:rFonts w:cs="Times New Roman"/>
                <w:i/>
                <w:color w:val="FF0000"/>
              </w:rPr>
              <w:t xml:space="preserve">- Стартова помощ за установяване на млади земеделски стопани в селското стопанство, стартиране на стопанска дейност за неселскостопански дейности в селските райони, които са част от </w:t>
            </w:r>
            <w:r w:rsidRPr="009F6D1E">
              <w:rPr>
                <w:rFonts w:cs="Times New Roman"/>
                <w:i/>
                <w:color w:val="FF0000"/>
              </w:rPr>
              <w:lastRenderedPageBreak/>
              <w:t>стратегиите за местно развитие, Установява</w:t>
            </w:r>
            <w:r w:rsidR="00C7482F" w:rsidRPr="009F6D1E">
              <w:rPr>
                <w:rFonts w:cs="Times New Roman"/>
                <w:i/>
                <w:color w:val="FF0000"/>
              </w:rPr>
              <w:t>не на млади земеделски стопани</w:t>
            </w:r>
            <w:r w:rsidRPr="009F6D1E">
              <w:rPr>
                <w:rFonts w:cs="Times New Roman"/>
                <w:i/>
                <w:color w:val="FF0000"/>
              </w:rPr>
              <w:t>.</w:t>
            </w:r>
          </w:p>
          <w:p w14:paraId="09F1794F" w14:textId="77777777" w:rsidR="001E18A3" w:rsidRPr="009F6D1E" w:rsidRDefault="001E18A3" w:rsidP="0084747F">
            <w:pPr>
              <w:spacing w:after="60" w:line="264" w:lineRule="auto"/>
              <w:jc w:val="both"/>
              <w:rPr>
                <w:rFonts w:cs="Times New Roman"/>
                <w:i/>
                <w:color w:val="FF0000"/>
              </w:rPr>
            </w:pPr>
            <w:r w:rsidRPr="009F6D1E">
              <w:rPr>
                <w:rFonts w:cs="Times New Roman"/>
                <w:i/>
                <w:color w:val="FF0000"/>
              </w:rPr>
              <w:t>- Допълнително подпомагане на  доход</w:t>
            </w:r>
            <w:r w:rsidR="00C7482F" w:rsidRPr="009F6D1E">
              <w:rPr>
                <w:rFonts w:cs="Times New Roman"/>
                <w:i/>
                <w:color w:val="FF0000"/>
              </w:rPr>
              <w:t>ите за млади земеделски стопани</w:t>
            </w:r>
            <w:r w:rsidRPr="009F6D1E">
              <w:rPr>
                <w:rFonts w:cs="Times New Roman"/>
                <w:i/>
                <w:color w:val="FF0000"/>
              </w:rPr>
              <w:t>.</w:t>
            </w:r>
          </w:p>
          <w:p w14:paraId="0FC77596" w14:textId="77777777" w:rsidR="00AF5FEC" w:rsidRPr="009F6D1E" w:rsidRDefault="001E18A3" w:rsidP="0084747F">
            <w:pPr>
              <w:spacing w:after="60" w:line="264" w:lineRule="auto"/>
              <w:jc w:val="both"/>
              <w:rPr>
                <w:rFonts w:cs="Times New Roman"/>
                <w:highlight w:val="yellow"/>
              </w:rPr>
            </w:pPr>
            <w:r w:rsidRPr="009F6D1E">
              <w:rPr>
                <w:rFonts w:cs="Times New Roman"/>
                <w:i/>
                <w:color w:val="FF0000"/>
              </w:rPr>
              <w:t>- Консултантски услуги и повишаване на консултантския капацитет съгл. Чл. 72 "Обмен на знания и информация" (ЕЗФРСР)</w:t>
            </w:r>
          </w:p>
        </w:tc>
        <w:tc>
          <w:tcPr>
            <w:tcW w:w="7513" w:type="dxa"/>
          </w:tcPr>
          <w:p w14:paraId="71F6C392" w14:textId="77777777" w:rsidR="006554E3" w:rsidRPr="009F6D1E" w:rsidRDefault="006554E3" w:rsidP="0084747F">
            <w:pPr>
              <w:spacing w:after="60" w:line="264" w:lineRule="auto"/>
              <w:jc w:val="both"/>
              <w:rPr>
                <w:rFonts w:cs="Times New Roman"/>
                <w:b/>
                <w:bCs/>
                <w:i/>
              </w:rPr>
            </w:pPr>
            <w:r w:rsidRPr="009F6D1E">
              <w:rPr>
                <w:rFonts w:cs="Times New Roman"/>
                <w:b/>
                <w:bCs/>
                <w:i/>
              </w:rPr>
              <w:lastRenderedPageBreak/>
              <w:t>П.7.4. Намаляване диспропорциите в земеделската заетост на младите стопани между различните райони и аграрни сектори</w:t>
            </w:r>
          </w:p>
          <w:p w14:paraId="22B9AE34"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485CC59A" w14:textId="77777777" w:rsidR="00AF5FEC" w:rsidRPr="009F6D1E" w:rsidRDefault="006554E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Подкрепа на организации на производители или групи от производители, Сътрудничество съгл. член 64, б. „ж“ (ЕЗФРСР</w:t>
            </w:r>
          </w:p>
        </w:tc>
      </w:tr>
      <w:tr w:rsidR="00AF5FEC" w:rsidRPr="009F6D1E" w14:paraId="28C455D0" w14:textId="77777777" w:rsidTr="00F92FD2">
        <w:tc>
          <w:tcPr>
            <w:tcW w:w="7366" w:type="dxa"/>
          </w:tcPr>
          <w:p w14:paraId="132CB389"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5</w:t>
            </w:r>
            <w:r w:rsidRPr="009F6D1E">
              <w:rPr>
                <w:rFonts w:cs="Times New Roman"/>
                <w:b/>
                <w:bCs/>
                <w:i/>
              </w:rPr>
              <w:t>: Улесняване развитието на стопанска дейност в селските райони, създаване и</w:t>
            </w:r>
            <w:r w:rsidR="00C7482F" w:rsidRPr="009F6D1E">
              <w:rPr>
                <w:rFonts w:cs="Times New Roman"/>
                <w:b/>
                <w:bCs/>
                <w:i/>
              </w:rPr>
              <w:t xml:space="preserve"> </w:t>
            </w:r>
            <w:r w:rsidRPr="009F6D1E">
              <w:rPr>
                <w:rFonts w:cs="Times New Roman"/>
                <w:b/>
                <w:bCs/>
                <w:i/>
              </w:rPr>
              <w:t>подпомагане на стартирането на стопански и неземеделски дейности;</w:t>
            </w:r>
          </w:p>
          <w:p w14:paraId="34F0401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7FD6E04E" w14:textId="77777777" w:rsidR="001E18A3" w:rsidRPr="009F6D1E" w:rsidRDefault="001E18A3" w:rsidP="0084747F">
            <w:pPr>
              <w:spacing w:after="60" w:line="264" w:lineRule="auto"/>
              <w:jc w:val="both"/>
              <w:rPr>
                <w:rFonts w:cs="Times New Roman"/>
                <w:i/>
                <w:color w:val="FF0000"/>
              </w:rPr>
            </w:pPr>
            <w:r w:rsidRPr="009F6D1E">
              <w:rPr>
                <w:rFonts w:cs="Times New Roman"/>
                <w:b/>
                <w:bCs/>
                <w:i/>
              </w:rPr>
              <w:t xml:space="preserve">- </w:t>
            </w:r>
            <w:r w:rsidRPr="009F6D1E">
              <w:rPr>
                <w:rFonts w:cs="Times New Roman"/>
                <w:i/>
                <w:color w:val="FF0000"/>
              </w:rPr>
              <w:t>Стартова помощ за установяване на млади земеделски стопани в селското стопанство, стартиране на стопанска дейност за неселскостопански дейности в селските райони, които са част от стратегиите за местно развитие, Установява</w:t>
            </w:r>
            <w:r w:rsidR="00C7482F" w:rsidRPr="009F6D1E">
              <w:rPr>
                <w:rFonts w:cs="Times New Roman"/>
                <w:i/>
                <w:color w:val="FF0000"/>
              </w:rPr>
              <w:t>не на млади земеделски стопани</w:t>
            </w:r>
          </w:p>
          <w:p w14:paraId="71681482" w14:textId="77777777" w:rsidR="00AF5FEC" w:rsidRPr="009F6D1E" w:rsidRDefault="001E18A3" w:rsidP="0084747F">
            <w:pPr>
              <w:spacing w:after="60" w:line="264" w:lineRule="auto"/>
              <w:jc w:val="both"/>
              <w:rPr>
                <w:rFonts w:cs="Times New Roman"/>
                <w:highlight w:val="yellow"/>
              </w:rPr>
            </w:pPr>
            <w:r w:rsidRPr="009F6D1E">
              <w:rPr>
                <w:rFonts w:cs="Times New Roman"/>
                <w:i/>
              </w:rPr>
              <w:t xml:space="preserve">- Инвестиции за неселскостопански  дейности  в селските райони </w:t>
            </w:r>
          </w:p>
        </w:tc>
        <w:tc>
          <w:tcPr>
            <w:tcW w:w="7513" w:type="dxa"/>
          </w:tcPr>
          <w:p w14:paraId="40E7A8F3" w14:textId="77777777" w:rsidR="006554E3" w:rsidRPr="009F6D1E" w:rsidRDefault="006554E3" w:rsidP="0084747F">
            <w:pPr>
              <w:spacing w:after="60" w:line="264" w:lineRule="auto"/>
              <w:jc w:val="both"/>
              <w:rPr>
                <w:rFonts w:cs="Times New Roman"/>
                <w:b/>
                <w:bCs/>
                <w:i/>
              </w:rPr>
            </w:pPr>
            <w:r w:rsidRPr="009F6D1E">
              <w:rPr>
                <w:rFonts w:cs="Times New Roman"/>
                <w:b/>
                <w:bCs/>
                <w:i/>
              </w:rPr>
              <w:t xml:space="preserve">П.7.5. Улесняване развитието на стопанска дейност в селските райони </w:t>
            </w:r>
            <w:r w:rsidRPr="009F6D1E">
              <w:rPr>
                <w:rFonts w:cs="Times New Roman"/>
                <w:b/>
                <w:bCs/>
                <w:i/>
                <w:color w:val="FF0000"/>
              </w:rPr>
              <w:t xml:space="preserve">и </w:t>
            </w:r>
            <w:r w:rsidRPr="009F6D1E">
              <w:rPr>
                <w:rFonts w:cs="Times New Roman"/>
                <w:b/>
                <w:bCs/>
                <w:i/>
              </w:rPr>
              <w:t>създаване и подпомагане на стартирането на стопански и неземеделски дейности</w:t>
            </w:r>
          </w:p>
          <w:p w14:paraId="12495782"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2AED8EA" w14:textId="77777777" w:rsidR="00AF5FEC" w:rsidRPr="009F6D1E" w:rsidRDefault="006554E3" w:rsidP="0084747F">
            <w:pPr>
              <w:widowControl w:val="0"/>
              <w:tabs>
                <w:tab w:val="left" w:pos="5765"/>
              </w:tabs>
              <w:spacing w:after="60" w:line="264" w:lineRule="auto"/>
              <w:jc w:val="both"/>
              <w:rPr>
                <w:rFonts w:cs="Times New Roman"/>
                <w:highlight w:val="yellow"/>
              </w:rPr>
            </w:pPr>
            <w:r w:rsidRPr="009F6D1E">
              <w:rPr>
                <w:rFonts w:cs="Times New Roman"/>
                <w:i/>
              </w:rPr>
              <w:t>- Инвестиции за неселскостопански  дейности  в селските райони</w:t>
            </w:r>
          </w:p>
        </w:tc>
      </w:tr>
      <w:tr w:rsidR="00AF5FEC" w:rsidRPr="009F6D1E" w14:paraId="63AC217A" w14:textId="77777777" w:rsidTr="00F92FD2">
        <w:tc>
          <w:tcPr>
            <w:tcW w:w="7366" w:type="dxa"/>
          </w:tcPr>
          <w:p w14:paraId="0F1CC70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6</w:t>
            </w:r>
            <w:r w:rsidRPr="009F6D1E">
              <w:rPr>
                <w:rFonts w:cs="Times New Roman"/>
                <w:b/>
                <w:bCs/>
                <w:i/>
              </w:rPr>
              <w:t>: Стимулиране на иновативни или технологично интензивни производства и</w:t>
            </w:r>
            <w:r w:rsidR="00C3666F" w:rsidRPr="009F6D1E">
              <w:rPr>
                <w:rFonts w:cs="Times New Roman"/>
                <w:b/>
                <w:bCs/>
                <w:i/>
              </w:rPr>
              <w:t xml:space="preserve"> </w:t>
            </w:r>
            <w:r w:rsidRPr="009F6D1E">
              <w:rPr>
                <w:rFonts w:cs="Times New Roman"/>
                <w:b/>
                <w:bCs/>
                <w:i/>
              </w:rPr>
              <w:t>развиване на дейности в секторите на индустрията и на информационните услуги, които да допринасят за повишаване на добавената стойност.</w:t>
            </w:r>
          </w:p>
          <w:p w14:paraId="5E0B6547"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76392E8E" w14:textId="77777777" w:rsidR="00AF5FEC"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Инвестиции за неселскостопанск</w:t>
            </w:r>
            <w:r w:rsidR="00C3666F" w:rsidRPr="009F6D1E">
              <w:rPr>
                <w:rFonts w:cs="Times New Roman"/>
                <w:i/>
              </w:rPr>
              <w:t>и  дейности  в селските райони</w:t>
            </w:r>
          </w:p>
        </w:tc>
        <w:tc>
          <w:tcPr>
            <w:tcW w:w="7513" w:type="dxa"/>
          </w:tcPr>
          <w:p w14:paraId="0ABBEEA8" w14:textId="77777777" w:rsidR="006554E3" w:rsidRPr="009F6D1E" w:rsidRDefault="006554E3" w:rsidP="0084747F">
            <w:pPr>
              <w:spacing w:after="60" w:line="264" w:lineRule="auto"/>
              <w:jc w:val="both"/>
              <w:rPr>
                <w:rFonts w:cs="Times New Roman"/>
                <w:b/>
                <w:bCs/>
                <w:i/>
              </w:rPr>
            </w:pPr>
            <w:r w:rsidRPr="009F6D1E">
              <w:rPr>
                <w:rFonts w:cs="Times New Roman"/>
                <w:b/>
                <w:bCs/>
                <w:i/>
              </w:rPr>
              <w:t>П.7.6. 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w:t>
            </w:r>
          </w:p>
          <w:p w14:paraId="66BF5A40"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55F6446E" w14:textId="77777777" w:rsidR="00AF5FEC" w:rsidRPr="009F6D1E" w:rsidRDefault="006554E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Инвестиции за неселскостопански  дейности  в селските райони</w:t>
            </w:r>
          </w:p>
        </w:tc>
      </w:tr>
      <w:tr w:rsidR="00AF5FEC" w:rsidRPr="009F6D1E" w14:paraId="725B94AD" w14:textId="77777777" w:rsidTr="00F92FD2">
        <w:tc>
          <w:tcPr>
            <w:tcW w:w="7366" w:type="dxa"/>
          </w:tcPr>
          <w:p w14:paraId="5D8D2647" w14:textId="77777777" w:rsidR="00AF5FEC"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lastRenderedPageBreak/>
              <w:t>Специфична цел № 8: Насърчаване на заетостта, растежа, социалното приобщаване и местното развитие в селските райони, включително биоикономиката и устойчиво горско стопанство.</w:t>
            </w:r>
          </w:p>
        </w:tc>
        <w:tc>
          <w:tcPr>
            <w:tcW w:w="7513" w:type="dxa"/>
          </w:tcPr>
          <w:p w14:paraId="0B024D49" w14:textId="77777777" w:rsidR="00AF5FEC" w:rsidRPr="009F6D1E" w:rsidRDefault="00682A7B" w:rsidP="0084747F">
            <w:pPr>
              <w:spacing w:after="60" w:line="264" w:lineRule="auto"/>
              <w:jc w:val="both"/>
              <w:rPr>
                <w:rFonts w:cs="Times New Roman"/>
                <w:b/>
                <w:bCs/>
                <w:i/>
              </w:rPr>
            </w:pPr>
            <w:r w:rsidRPr="009F6D1E">
              <w:rPr>
                <w:rFonts w:cs="Times New Roman"/>
                <w:b/>
                <w:bCs/>
                <w:i/>
              </w:rPr>
              <w:t xml:space="preserve">Специфична цел № 8: Насърчаване на заетостта, растежа, </w:t>
            </w:r>
            <w:r w:rsidRPr="009F6D1E">
              <w:rPr>
                <w:rFonts w:cs="Times New Roman"/>
                <w:b/>
                <w:bCs/>
                <w:i/>
                <w:color w:val="FF0000"/>
              </w:rPr>
              <w:t>равенството между половете, включително участието на жените в селскостопанската дейност</w:t>
            </w:r>
            <w:r w:rsidRPr="009F6D1E">
              <w:rPr>
                <w:rFonts w:cs="Times New Roman"/>
                <w:b/>
                <w:bCs/>
                <w:i/>
              </w:rPr>
              <w:t xml:space="preserve">, социалното приобщаване и местното развитие в селските райони, включително </w:t>
            </w:r>
            <w:r w:rsidRPr="009F6D1E">
              <w:rPr>
                <w:rFonts w:cs="Times New Roman"/>
                <w:b/>
                <w:bCs/>
                <w:i/>
                <w:color w:val="FF0000"/>
              </w:rPr>
              <w:t xml:space="preserve">кръговата </w:t>
            </w:r>
            <w:r w:rsidRPr="009F6D1E">
              <w:rPr>
                <w:rFonts w:cs="Times New Roman"/>
                <w:b/>
                <w:bCs/>
                <w:i/>
              </w:rPr>
              <w:t>биоикономика и устойчивото горско стопанство</w:t>
            </w:r>
          </w:p>
        </w:tc>
      </w:tr>
      <w:tr w:rsidR="00AF5FEC" w:rsidRPr="009F6D1E" w14:paraId="7909CD30" w14:textId="77777777" w:rsidTr="00F92FD2">
        <w:tc>
          <w:tcPr>
            <w:tcW w:w="7366" w:type="dxa"/>
          </w:tcPr>
          <w:p w14:paraId="3E63A2AA"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xml:space="preserve">: Диверсификация на икономическата дейност. Стимулиране на нови производства в областта на биоикономиката и кръговата икономика, </w:t>
            </w:r>
            <w:r w:rsidRPr="009F6D1E">
              <w:rPr>
                <w:rFonts w:cs="Times New Roman"/>
                <w:b/>
                <w:bCs/>
                <w:i/>
                <w:color w:val="FF0000"/>
              </w:rPr>
              <w:t>които да бъдат насочени към сектори извън туризма, хотелиерството и ресторантьорството</w:t>
            </w:r>
          </w:p>
          <w:p w14:paraId="0F642A4E"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0B79DF3" w14:textId="77777777" w:rsidR="001E18A3" w:rsidRPr="009F6D1E" w:rsidRDefault="001E18A3" w:rsidP="0084747F">
            <w:pPr>
              <w:spacing w:after="60" w:line="264" w:lineRule="auto"/>
              <w:jc w:val="both"/>
              <w:rPr>
                <w:rFonts w:cs="Times New Roman"/>
                <w:i/>
              </w:rPr>
            </w:pPr>
            <w:r w:rsidRPr="009F6D1E">
              <w:rPr>
                <w:rFonts w:cs="Times New Roman"/>
                <w:b/>
                <w:bCs/>
                <w:i/>
              </w:rPr>
              <w:t xml:space="preserve">- </w:t>
            </w:r>
            <w:r w:rsidRPr="009F6D1E">
              <w:rPr>
                <w:rFonts w:cs="Times New Roman"/>
                <w:i/>
              </w:rPr>
              <w:t xml:space="preserve">Инвестиции за неселскостопански  дейности  в селските </w:t>
            </w:r>
          </w:p>
          <w:p w14:paraId="6F331BD0" w14:textId="77777777" w:rsidR="00C3666F" w:rsidRPr="009F6D1E" w:rsidRDefault="001E18A3" w:rsidP="0084747F">
            <w:pPr>
              <w:spacing w:after="60" w:line="264" w:lineRule="auto"/>
              <w:jc w:val="both"/>
              <w:rPr>
                <w:rFonts w:cs="Times New Roman"/>
                <w:i/>
              </w:rPr>
            </w:pPr>
            <w:r w:rsidRPr="009F6D1E">
              <w:rPr>
                <w:rFonts w:cs="Times New Roman"/>
                <w:i/>
              </w:rPr>
              <w:t xml:space="preserve">- Инвестиции </w:t>
            </w:r>
            <w:r w:rsidRPr="009F6D1E">
              <w:rPr>
                <w:rFonts w:cs="Times New Roman"/>
                <w:i/>
                <w:color w:val="FF0000"/>
              </w:rPr>
              <w:t xml:space="preserve">за модернизация на </w:t>
            </w:r>
            <w:r w:rsidRPr="009F6D1E">
              <w:rPr>
                <w:rFonts w:cs="Times New Roman"/>
                <w:i/>
              </w:rPr>
              <w:t xml:space="preserve">земеделски стопанства </w:t>
            </w:r>
          </w:p>
          <w:p w14:paraId="16BEDEAB" w14:textId="77777777" w:rsidR="001E18A3" w:rsidRPr="009F6D1E" w:rsidRDefault="00C3666F" w:rsidP="0084747F">
            <w:pPr>
              <w:spacing w:after="60" w:line="264" w:lineRule="auto"/>
              <w:jc w:val="both"/>
              <w:rPr>
                <w:rFonts w:cs="Times New Roman"/>
                <w:i/>
              </w:rPr>
            </w:pPr>
            <w:r w:rsidRPr="009F6D1E">
              <w:rPr>
                <w:rFonts w:cs="Times New Roman"/>
                <w:i/>
              </w:rPr>
              <w:t xml:space="preserve">- </w:t>
            </w:r>
            <w:r w:rsidR="001E18A3" w:rsidRPr="009F6D1E">
              <w:rPr>
                <w:rFonts w:cs="Times New Roman"/>
                <w:i/>
                <w:color w:val="FF0000"/>
              </w:rPr>
              <w:t xml:space="preserve">Инвестиции за преработка на селскостопански продукти </w:t>
            </w:r>
          </w:p>
          <w:p w14:paraId="33711360" w14:textId="77777777" w:rsidR="00AF5FEC"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i/>
              </w:rPr>
              <w:t>- Първична преработка и маркетинг на дървесина</w:t>
            </w:r>
          </w:p>
        </w:tc>
        <w:tc>
          <w:tcPr>
            <w:tcW w:w="7513" w:type="dxa"/>
          </w:tcPr>
          <w:p w14:paraId="140107C5" w14:textId="77777777" w:rsidR="006554E3" w:rsidRPr="009F6D1E" w:rsidRDefault="006554E3" w:rsidP="0084747F">
            <w:pPr>
              <w:spacing w:after="60" w:line="264" w:lineRule="auto"/>
              <w:jc w:val="both"/>
              <w:rPr>
                <w:rFonts w:cs="Times New Roman"/>
                <w:b/>
                <w:bCs/>
                <w:i/>
              </w:rPr>
            </w:pPr>
            <w:r w:rsidRPr="009F6D1E">
              <w:rPr>
                <w:rFonts w:cs="Times New Roman"/>
                <w:b/>
                <w:bCs/>
                <w:i/>
              </w:rPr>
              <w:t>П.8.1. Диверсификация на икономическата дейност. Стимулиране на нови производства в областта на биоикономиката и кръговата икономика</w:t>
            </w:r>
          </w:p>
          <w:p w14:paraId="0693C565"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E086956" w14:textId="77777777" w:rsidR="006554E3" w:rsidRPr="009F6D1E" w:rsidRDefault="006554E3" w:rsidP="0084747F">
            <w:pPr>
              <w:spacing w:after="60" w:line="264" w:lineRule="auto"/>
              <w:jc w:val="both"/>
              <w:rPr>
                <w:rFonts w:cs="Times New Roman"/>
                <w:i/>
              </w:rPr>
            </w:pPr>
            <w:r w:rsidRPr="009F6D1E">
              <w:rPr>
                <w:rFonts w:cs="Times New Roman"/>
                <w:i/>
              </w:rPr>
              <w:t>- Инвестиции за неселскостопански  дейности  в селските райони</w:t>
            </w:r>
          </w:p>
          <w:p w14:paraId="53BE0A8B" w14:textId="77777777" w:rsidR="006554E3" w:rsidRPr="009F6D1E" w:rsidRDefault="006554E3" w:rsidP="0084747F">
            <w:pPr>
              <w:spacing w:after="60" w:line="264" w:lineRule="auto"/>
              <w:jc w:val="both"/>
              <w:rPr>
                <w:rFonts w:cs="Times New Roman"/>
                <w:i/>
              </w:rPr>
            </w:pPr>
            <w:r w:rsidRPr="009F6D1E">
              <w:rPr>
                <w:rFonts w:cs="Times New Roman"/>
                <w:i/>
              </w:rPr>
              <w:t>- Инвестиции в земеделските стопанства</w:t>
            </w:r>
          </w:p>
          <w:p w14:paraId="3CA74B8A" w14:textId="77777777" w:rsidR="00AF5FEC" w:rsidRPr="009F6D1E" w:rsidRDefault="006554E3" w:rsidP="0084747F">
            <w:pPr>
              <w:widowControl w:val="0"/>
              <w:tabs>
                <w:tab w:val="left" w:pos="5765"/>
              </w:tabs>
              <w:spacing w:after="60" w:line="264" w:lineRule="auto"/>
              <w:jc w:val="both"/>
              <w:rPr>
                <w:rFonts w:cs="Times New Roman"/>
                <w:highlight w:val="yellow"/>
              </w:rPr>
            </w:pPr>
            <w:r w:rsidRPr="009F6D1E">
              <w:rPr>
                <w:rFonts w:cs="Times New Roman"/>
                <w:i/>
              </w:rPr>
              <w:t>- Първична преработка и маркетинг на дървесина</w:t>
            </w:r>
          </w:p>
        </w:tc>
      </w:tr>
      <w:tr w:rsidR="00AF5FEC" w:rsidRPr="009F6D1E" w14:paraId="481FAA5B" w14:textId="77777777" w:rsidTr="00F92FD2">
        <w:tc>
          <w:tcPr>
            <w:tcW w:w="7366" w:type="dxa"/>
          </w:tcPr>
          <w:p w14:paraId="0811A566" w14:textId="77777777" w:rsidR="001E18A3" w:rsidRPr="009F6D1E" w:rsidRDefault="001E18A3" w:rsidP="0084747F">
            <w:pPr>
              <w:spacing w:after="60" w:line="264" w:lineRule="auto"/>
              <w:jc w:val="both"/>
              <w:rPr>
                <w:rFonts w:cs="Times New Roman"/>
                <w:b/>
                <w:bCs/>
                <w:i/>
                <w:color w:val="FF0000"/>
              </w:rPr>
            </w:pPr>
            <w:r w:rsidRPr="009F6D1E">
              <w:rPr>
                <w:rFonts w:cs="Times New Roman"/>
                <w:b/>
                <w:bCs/>
                <w:i/>
                <w:u w:val="single"/>
              </w:rPr>
              <w:t>Потребност 2</w:t>
            </w:r>
            <w:r w:rsidRPr="009F6D1E">
              <w:rPr>
                <w:rFonts w:cs="Times New Roman"/>
                <w:b/>
                <w:bCs/>
                <w:i/>
              </w:rPr>
              <w:t xml:space="preserve">: Подобряване на здравните и социалните услуги </w:t>
            </w:r>
            <w:r w:rsidRPr="009F6D1E">
              <w:rPr>
                <w:rFonts w:cs="Times New Roman"/>
                <w:b/>
                <w:bCs/>
                <w:i/>
                <w:color w:val="FF0000"/>
              </w:rPr>
              <w:t>и разширяване на здравните и социални мобилни услуги;</w:t>
            </w:r>
          </w:p>
          <w:p w14:paraId="2802F061"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13CC872B" w14:textId="77777777" w:rsidR="00AF5FEC"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 xml:space="preserve">Инвестиции  за  неселскостопански  дейности в селските райони </w:t>
            </w:r>
          </w:p>
        </w:tc>
        <w:tc>
          <w:tcPr>
            <w:tcW w:w="7513" w:type="dxa"/>
          </w:tcPr>
          <w:p w14:paraId="286A2C81" w14:textId="77777777" w:rsidR="006554E3" w:rsidRPr="009F6D1E" w:rsidRDefault="006554E3" w:rsidP="0084747F">
            <w:pPr>
              <w:spacing w:after="60" w:line="264" w:lineRule="auto"/>
              <w:jc w:val="both"/>
              <w:rPr>
                <w:rFonts w:cs="Times New Roman"/>
                <w:b/>
                <w:bCs/>
                <w:i/>
              </w:rPr>
            </w:pPr>
            <w:r w:rsidRPr="009F6D1E">
              <w:rPr>
                <w:rFonts w:cs="Times New Roman"/>
                <w:b/>
                <w:bCs/>
                <w:i/>
              </w:rPr>
              <w:t>П.8.2. Подобряване на здравните и социалните услуги</w:t>
            </w:r>
          </w:p>
          <w:p w14:paraId="0C3A06F7"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2929EAC1" w14:textId="77777777" w:rsidR="00AF5FEC" w:rsidRPr="009F6D1E" w:rsidRDefault="006554E3"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 </w:t>
            </w:r>
            <w:r w:rsidRPr="009F6D1E">
              <w:rPr>
                <w:rFonts w:cs="Times New Roman"/>
                <w:i/>
              </w:rPr>
              <w:t>Инвестиции за неселскостопански дейности в селските райони</w:t>
            </w:r>
          </w:p>
        </w:tc>
      </w:tr>
      <w:tr w:rsidR="006554E3" w:rsidRPr="009F6D1E" w14:paraId="0D1B1F2D" w14:textId="77777777" w:rsidTr="00F92FD2">
        <w:tc>
          <w:tcPr>
            <w:tcW w:w="7366" w:type="dxa"/>
          </w:tcPr>
          <w:p w14:paraId="01D74066"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3</w:t>
            </w:r>
            <w:r w:rsidRPr="009F6D1E">
              <w:rPr>
                <w:rFonts w:cs="Times New Roman"/>
                <w:b/>
                <w:bCs/>
                <w:i/>
              </w:rPr>
              <w:t>: Подобряване на публичната инфраструктура и технико-комуникационните системи в селските райони</w:t>
            </w:r>
          </w:p>
          <w:p w14:paraId="39CE4CA4" w14:textId="77777777" w:rsidR="00287955" w:rsidRPr="009F6D1E" w:rsidRDefault="00287955" w:rsidP="0084747F">
            <w:pPr>
              <w:spacing w:after="60" w:line="264" w:lineRule="auto"/>
              <w:jc w:val="both"/>
              <w:rPr>
                <w:rFonts w:cs="Times New Roman"/>
                <w:b/>
                <w:bCs/>
                <w:i/>
              </w:rPr>
            </w:pPr>
            <w:r w:rsidRPr="009F6D1E">
              <w:rPr>
                <w:rFonts w:cs="Times New Roman"/>
                <w:b/>
                <w:bCs/>
                <w:i/>
              </w:rPr>
              <w:lastRenderedPageBreak/>
              <w:t>3.1. Подобряване качеството на общинските пътищата чрез изграждане, реконструкция и/или рехабилитация на нови и съществуващи общински пътища</w:t>
            </w:r>
          </w:p>
          <w:p w14:paraId="3A5F0347" w14:textId="77777777" w:rsidR="00287955" w:rsidRPr="009F6D1E" w:rsidRDefault="00287955" w:rsidP="0084747F">
            <w:pPr>
              <w:spacing w:after="60" w:line="264" w:lineRule="auto"/>
              <w:jc w:val="both"/>
              <w:rPr>
                <w:rFonts w:cs="Times New Roman"/>
                <w:b/>
                <w:bCs/>
                <w:i/>
              </w:rPr>
            </w:pPr>
            <w:r w:rsidRPr="009F6D1E">
              <w:rPr>
                <w:rFonts w:cs="Times New Roman"/>
                <w:b/>
                <w:bCs/>
                <w:i/>
              </w:rPr>
              <w:t>3.2. Подобряване на водоснабдяването и пречистването на водите чрез изграждане, реконструкция и/или рехабилитация на водоснабдителни системи и съоръжения в селата и население места до 2000 жители .</w:t>
            </w:r>
          </w:p>
          <w:p w14:paraId="6A0D8126" w14:textId="77777777" w:rsidR="00287955" w:rsidRPr="009F6D1E" w:rsidRDefault="00287955" w:rsidP="0084747F">
            <w:pPr>
              <w:spacing w:after="60" w:line="264" w:lineRule="auto"/>
              <w:jc w:val="both"/>
              <w:rPr>
                <w:rFonts w:cs="Times New Roman"/>
                <w:b/>
                <w:bCs/>
                <w:i/>
              </w:rPr>
            </w:pPr>
            <w:r w:rsidRPr="009F6D1E">
              <w:rPr>
                <w:rFonts w:cs="Times New Roman"/>
                <w:b/>
                <w:bCs/>
                <w:i/>
              </w:rPr>
              <w:t>3.3. Подобряване качеството на улиците на територията на общини от селските райони (изграждане, реконструкция и/или рехабилитация на нови и съществуващи улици и тротоари и съоръженията и принадлежностите към тях).</w:t>
            </w:r>
          </w:p>
          <w:p w14:paraId="23207E26" w14:textId="77777777" w:rsidR="00287955" w:rsidRPr="009F6D1E" w:rsidRDefault="00287955" w:rsidP="0084747F">
            <w:pPr>
              <w:spacing w:after="60" w:line="264" w:lineRule="auto"/>
              <w:jc w:val="both"/>
              <w:rPr>
                <w:rFonts w:cs="Times New Roman"/>
                <w:b/>
                <w:bCs/>
                <w:i/>
              </w:rPr>
            </w:pPr>
            <w:r w:rsidRPr="009F6D1E">
              <w:rPr>
                <w:rFonts w:cs="Times New Roman"/>
                <w:b/>
                <w:bCs/>
                <w:i/>
              </w:rPr>
              <w:t>3.4. Подобряване и облагородяване на публичните пространства чрез: изграждане или обновяване на паркове, градинки, улично озеленяване, детски площадки и спортни съоръжения.</w:t>
            </w:r>
          </w:p>
          <w:p w14:paraId="30944E7F" w14:textId="77777777" w:rsidR="00287955" w:rsidRPr="009F6D1E" w:rsidRDefault="00287955" w:rsidP="0084747F">
            <w:pPr>
              <w:spacing w:after="60" w:line="264" w:lineRule="auto"/>
              <w:jc w:val="both"/>
              <w:rPr>
                <w:rFonts w:cs="Times New Roman"/>
                <w:b/>
                <w:bCs/>
                <w:i/>
              </w:rPr>
            </w:pPr>
            <w:r w:rsidRPr="009F6D1E">
              <w:rPr>
                <w:rFonts w:cs="Times New Roman"/>
                <w:b/>
                <w:bCs/>
                <w:i/>
              </w:rPr>
              <w:t>3.5. Подобряване енергийната ефективност на сгради, стопанисвани от местната власт.</w:t>
            </w:r>
          </w:p>
          <w:p w14:paraId="44943E0C"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061D1905" w14:textId="77777777" w:rsidR="001E18A3" w:rsidRPr="009F6D1E" w:rsidRDefault="001E18A3"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Инвестиции в основни услуги и дребна по мащаби инфраструктура в селските райони.</w:t>
            </w:r>
          </w:p>
          <w:p w14:paraId="2555934F" w14:textId="77777777" w:rsidR="006554E3" w:rsidRPr="009F6D1E" w:rsidRDefault="001E18A3" w:rsidP="0084747F">
            <w:pPr>
              <w:spacing w:after="60" w:line="264" w:lineRule="auto"/>
              <w:jc w:val="both"/>
              <w:rPr>
                <w:rFonts w:cs="Times New Roman"/>
                <w:highlight w:val="yellow"/>
              </w:rPr>
            </w:pPr>
            <w:r w:rsidRPr="009F6D1E">
              <w:rPr>
                <w:rFonts w:cs="Times New Roman"/>
                <w:i/>
              </w:rPr>
              <w:t xml:space="preserve">- </w:t>
            </w:r>
            <w:r w:rsidRPr="009F6D1E">
              <w:rPr>
                <w:rFonts w:cs="Times New Roman"/>
                <w:i/>
                <w:color w:val="FF0000"/>
              </w:rPr>
              <w:t>Инвестиции  за  неселскостопанск</w:t>
            </w:r>
            <w:r w:rsidR="00FE67B8" w:rsidRPr="009F6D1E">
              <w:rPr>
                <w:rFonts w:cs="Times New Roman"/>
                <w:i/>
                <w:color w:val="FF0000"/>
              </w:rPr>
              <w:t>и  дейности  в селските райони</w:t>
            </w:r>
          </w:p>
        </w:tc>
        <w:tc>
          <w:tcPr>
            <w:tcW w:w="7513" w:type="dxa"/>
          </w:tcPr>
          <w:p w14:paraId="5F0103E8" w14:textId="77777777" w:rsidR="006554E3" w:rsidRPr="009F6D1E" w:rsidRDefault="006554E3" w:rsidP="0084747F">
            <w:pPr>
              <w:spacing w:after="60" w:line="264" w:lineRule="auto"/>
              <w:jc w:val="both"/>
              <w:rPr>
                <w:rFonts w:cs="Times New Roman"/>
                <w:b/>
                <w:bCs/>
                <w:i/>
              </w:rPr>
            </w:pPr>
            <w:r w:rsidRPr="009F6D1E">
              <w:rPr>
                <w:rFonts w:cs="Times New Roman"/>
                <w:b/>
                <w:bCs/>
                <w:i/>
              </w:rPr>
              <w:lastRenderedPageBreak/>
              <w:t>П.8.3. Подобряв</w:t>
            </w:r>
            <w:r w:rsidR="00287955" w:rsidRPr="009F6D1E">
              <w:rPr>
                <w:rFonts w:cs="Times New Roman"/>
                <w:b/>
                <w:bCs/>
                <w:i/>
              </w:rPr>
              <w:t>ане на публичната инфраструктура</w:t>
            </w:r>
            <w:r w:rsidRPr="009F6D1E">
              <w:rPr>
                <w:rFonts w:cs="Times New Roman"/>
                <w:b/>
                <w:bCs/>
                <w:i/>
              </w:rPr>
              <w:t xml:space="preserve"> и технико-комуникационните системи в селските райони</w:t>
            </w:r>
          </w:p>
          <w:p w14:paraId="44FFBCB0" w14:textId="77777777" w:rsidR="00287955" w:rsidRPr="009F6D1E" w:rsidRDefault="002879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 xml:space="preserve">П.8.3.1. Подобряване качеството на общинските пътища чрез </w:t>
            </w:r>
            <w:r w:rsidRPr="009F6D1E">
              <w:rPr>
                <w:rFonts w:eastAsia="Times New Roman" w:cs="Times New Roman"/>
                <w:b/>
                <w:bCs/>
                <w:i/>
                <w:lang w:eastAsia="bg-BG" w:bidi="bg-BG"/>
              </w:rPr>
              <w:lastRenderedPageBreak/>
              <w:t xml:space="preserve">изграждане, реконструкция и/или рехабилитация на нови и съществуващи общински пътища, </w:t>
            </w:r>
            <w:r w:rsidRPr="009F6D1E">
              <w:rPr>
                <w:rFonts w:eastAsia="Times New Roman" w:cs="Times New Roman"/>
                <w:b/>
                <w:bCs/>
                <w:i/>
                <w:color w:val="FF0000"/>
                <w:lang w:eastAsia="bg-BG" w:bidi="bg-BG"/>
              </w:rPr>
              <w:t>съоръжения и принадлежностите към тях на територията на общини от селските райони</w:t>
            </w:r>
            <w:r w:rsidRPr="009F6D1E">
              <w:rPr>
                <w:rFonts w:eastAsia="Times New Roman" w:cs="Times New Roman"/>
                <w:b/>
                <w:bCs/>
                <w:i/>
                <w:lang w:eastAsia="bg-BG" w:bidi="bg-BG"/>
              </w:rPr>
              <w:t>.</w:t>
            </w:r>
          </w:p>
          <w:p w14:paraId="21F68AE0" w14:textId="77777777" w:rsidR="00287955" w:rsidRPr="009F6D1E" w:rsidRDefault="002879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П.8.3.2. Подобряване на водоснабдяването и пречистването на водите чрез изграждане, реконструкция и/или рехабилитация на водоснабдителни системи и съоръжения в селата и население места до 2000 жители .</w:t>
            </w:r>
          </w:p>
          <w:p w14:paraId="0A3A6C2D" w14:textId="77777777" w:rsidR="00287955" w:rsidRPr="009F6D1E" w:rsidRDefault="002879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П.8.3.3.Подобряване качеството на</w:t>
            </w:r>
            <w:r w:rsidRPr="009F6D1E">
              <w:rPr>
                <w:rFonts w:cs="Times New Roman"/>
              </w:rPr>
              <w:t xml:space="preserve"> </w:t>
            </w:r>
            <w:r w:rsidRPr="009F6D1E">
              <w:rPr>
                <w:rFonts w:eastAsia="Times New Roman" w:cs="Times New Roman"/>
                <w:b/>
                <w:bCs/>
                <w:i/>
                <w:lang w:eastAsia="bg-BG" w:bidi="bg-BG"/>
              </w:rPr>
              <w:t>улиците на територията на общини от селските райони (изграждане, реконструкция и/или рехабилитация на нови и съществуващи улици и тротоари и съоръженията и принадлежностите към тях).</w:t>
            </w:r>
          </w:p>
          <w:p w14:paraId="7E54A1AE" w14:textId="77777777" w:rsidR="00287955" w:rsidRPr="009F6D1E" w:rsidRDefault="002879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П.8.3.4. Подобряване и облагородяване на публичните пространства чрез: изграждане или обновяване на паркове, градинки, улично озеленяване, детски площадки и спортни съоръжения.</w:t>
            </w:r>
          </w:p>
          <w:p w14:paraId="0FCB9E47" w14:textId="77777777" w:rsidR="00287955" w:rsidRPr="009F6D1E" w:rsidRDefault="0028795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b/>
                <w:bCs/>
                <w:i/>
                <w:lang w:eastAsia="bg-BG" w:bidi="bg-BG"/>
              </w:rPr>
              <w:t>П.8.3.5. Подобряване енергийната ефективност на сгради, стопанисвани от местната власт.</w:t>
            </w:r>
          </w:p>
          <w:p w14:paraId="1183CC42" w14:textId="77777777" w:rsidR="00287955" w:rsidRPr="009F6D1E" w:rsidRDefault="00287955" w:rsidP="0084747F">
            <w:pPr>
              <w:widowControl w:val="0"/>
              <w:tabs>
                <w:tab w:val="left" w:pos="1080"/>
              </w:tabs>
              <w:spacing w:after="60" w:line="264" w:lineRule="auto"/>
              <w:jc w:val="both"/>
              <w:rPr>
                <w:rFonts w:eastAsia="Times New Roman" w:cs="Times New Roman"/>
                <w:b/>
                <w:bCs/>
                <w:i/>
                <w:color w:val="FF0000"/>
                <w:lang w:eastAsia="bg-BG" w:bidi="bg-BG"/>
              </w:rPr>
            </w:pPr>
            <w:r w:rsidRPr="009F6D1E">
              <w:rPr>
                <w:rFonts w:eastAsia="Times New Roman" w:cs="Times New Roman"/>
                <w:b/>
                <w:bCs/>
                <w:i/>
                <w:color w:val="FF0000"/>
                <w:lang w:eastAsia="bg-BG" w:bidi="bg-BG"/>
              </w:rPr>
              <w:t xml:space="preserve">П.8.3.6.Доизграждане на съществуващи </w:t>
            </w:r>
            <w:proofErr w:type="spellStart"/>
            <w:r w:rsidRPr="009F6D1E">
              <w:rPr>
                <w:rFonts w:eastAsia="Times New Roman" w:cs="Times New Roman"/>
                <w:b/>
                <w:bCs/>
                <w:i/>
                <w:color w:val="FF0000"/>
                <w:lang w:eastAsia="bg-BG" w:bidi="bg-BG"/>
              </w:rPr>
              <w:t>канализацион</w:t>
            </w:r>
            <w:proofErr w:type="spellEnd"/>
            <w:r w:rsidRPr="009F6D1E">
              <w:rPr>
                <w:rFonts w:cs="Times New Roman"/>
                <w:color w:val="FF0000"/>
              </w:rPr>
              <w:t xml:space="preserve"> </w:t>
            </w:r>
            <w:r w:rsidRPr="009F6D1E">
              <w:rPr>
                <w:rFonts w:eastAsia="Times New Roman" w:cs="Times New Roman"/>
                <w:b/>
                <w:bCs/>
                <w:i/>
                <w:color w:val="FF0000"/>
                <w:lang w:eastAsia="bg-BG" w:bidi="bg-BG"/>
              </w:rPr>
              <w:t>ни системи и осигуряване на подходящо пречистване за населените места под 2000 е. ж.</w:t>
            </w:r>
          </w:p>
          <w:p w14:paraId="083FB7E0" w14:textId="77777777" w:rsidR="00287955" w:rsidRPr="009F6D1E" w:rsidRDefault="00287955" w:rsidP="0084747F">
            <w:pPr>
              <w:spacing w:after="60" w:line="264" w:lineRule="auto"/>
              <w:jc w:val="both"/>
              <w:rPr>
                <w:rFonts w:cs="Times New Roman"/>
                <w:b/>
                <w:bCs/>
                <w:i/>
                <w:color w:val="FF0000"/>
              </w:rPr>
            </w:pPr>
            <w:r w:rsidRPr="009F6D1E">
              <w:rPr>
                <w:rFonts w:eastAsia="Times New Roman" w:cs="Times New Roman"/>
                <w:b/>
                <w:bCs/>
                <w:i/>
                <w:color w:val="FF0000"/>
                <w:lang w:eastAsia="bg-BG" w:bidi="bg-BG"/>
              </w:rPr>
              <w:lastRenderedPageBreak/>
              <w:t>П.8.3.7. Осигуряване на високоскоростен широколентов достъп и изграждане на сигурна публична изграждане на сигурна публична инфраструктура</w:t>
            </w:r>
          </w:p>
          <w:p w14:paraId="0F7DD32F"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691B7E80" w14:textId="77777777" w:rsidR="006554E3" w:rsidRPr="009F6D1E" w:rsidRDefault="006554E3" w:rsidP="0084747F">
            <w:pPr>
              <w:spacing w:after="60" w:line="264" w:lineRule="auto"/>
              <w:jc w:val="both"/>
              <w:rPr>
                <w:rFonts w:cs="Times New Roman"/>
                <w:i/>
              </w:rPr>
            </w:pPr>
            <w:r w:rsidRPr="009F6D1E">
              <w:rPr>
                <w:rFonts w:cs="Times New Roman"/>
                <w:b/>
                <w:bCs/>
                <w:i/>
              </w:rPr>
              <w:t xml:space="preserve">- </w:t>
            </w:r>
            <w:r w:rsidRPr="009F6D1E">
              <w:rPr>
                <w:rFonts w:cs="Times New Roman"/>
                <w:i/>
              </w:rPr>
              <w:t>Инвестиции в основни услуги и дребна по мащаби инфраструктура в селските райони</w:t>
            </w:r>
          </w:p>
          <w:p w14:paraId="5ED0D8D4" w14:textId="77777777" w:rsidR="006554E3" w:rsidRPr="009F6D1E" w:rsidRDefault="006554E3" w:rsidP="0084747F">
            <w:pPr>
              <w:spacing w:after="60" w:line="264" w:lineRule="auto"/>
              <w:jc w:val="both"/>
              <w:rPr>
                <w:rFonts w:cs="Times New Roman"/>
                <w:b/>
                <w:bCs/>
                <w:i/>
              </w:rPr>
            </w:pPr>
            <w:r w:rsidRPr="009F6D1E">
              <w:rPr>
                <w:rFonts w:cs="Times New Roman"/>
                <w:i/>
              </w:rPr>
              <w:t>-</w:t>
            </w:r>
            <w:r w:rsidRPr="009F6D1E">
              <w:rPr>
                <w:rFonts w:cs="Times New Roman"/>
              </w:rPr>
              <w:t xml:space="preserve"> </w:t>
            </w:r>
            <w:r w:rsidRPr="009F6D1E">
              <w:rPr>
                <w:rFonts w:cs="Times New Roman"/>
                <w:i/>
              </w:rPr>
              <w:t>Прилагане на подхода ВОМР, който ще подпомага „Подобряване на обектите за развитие на традициите и на културно-историческите обекти“</w:t>
            </w:r>
          </w:p>
        </w:tc>
      </w:tr>
      <w:tr w:rsidR="006554E3" w:rsidRPr="009F6D1E" w14:paraId="0EC78FB8" w14:textId="77777777" w:rsidTr="00F92FD2">
        <w:tc>
          <w:tcPr>
            <w:tcW w:w="7366" w:type="dxa"/>
          </w:tcPr>
          <w:p w14:paraId="6487B2E0" w14:textId="77777777" w:rsidR="001E18A3" w:rsidRPr="009F6D1E" w:rsidRDefault="001E18A3" w:rsidP="0084747F">
            <w:pPr>
              <w:spacing w:after="60" w:line="264" w:lineRule="auto"/>
              <w:jc w:val="both"/>
              <w:rPr>
                <w:rFonts w:cs="Times New Roman"/>
                <w:b/>
                <w:bCs/>
                <w:i/>
                <w:color w:val="FF0000"/>
              </w:rPr>
            </w:pPr>
            <w:r w:rsidRPr="009F6D1E">
              <w:rPr>
                <w:rFonts w:cs="Times New Roman"/>
                <w:b/>
                <w:bCs/>
                <w:i/>
                <w:color w:val="FF0000"/>
                <w:u w:val="single"/>
              </w:rPr>
              <w:lastRenderedPageBreak/>
              <w:t>Потребност 4</w:t>
            </w:r>
            <w:r w:rsidRPr="009F6D1E">
              <w:rPr>
                <w:rFonts w:cs="Times New Roman"/>
                <w:b/>
                <w:bCs/>
                <w:i/>
                <w:color w:val="FF0000"/>
              </w:rPr>
              <w:t>:</w:t>
            </w:r>
            <w:r w:rsidRPr="009F6D1E">
              <w:rPr>
                <w:rFonts w:cs="Times New Roman"/>
                <w:color w:val="FF0000"/>
              </w:rPr>
              <w:t xml:space="preserve"> </w:t>
            </w:r>
            <w:r w:rsidRPr="009F6D1E">
              <w:rPr>
                <w:rFonts w:cs="Times New Roman"/>
                <w:b/>
                <w:bCs/>
                <w:i/>
                <w:color w:val="FF0000"/>
              </w:rPr>
              <w:t>Разширяване прилагането на подхода ЛИДЕР/ВОМР, поради изградения административен и управленски капацитет и възможността за финансиране на</w:t>
            </w:r>
            <w:r w:rsidR="00FE67B8" w:rsidRPr="009F6D1E">
              <w:rPr>
                <w:rFonts w:cs="Times New Roman"/>
                <w:b/>
                <w:bCs/>
                <w:i/>
                <w:color w:val="FF0000"/>
              </w:rPr>
              <w:t xml:space="preserve"> </w:t>
            </w:r>
            <w:r w:rsidRPr="009F6D1E">
              <w:rPr>
                <w:rFonts w:cs="Times New Roman"/>
                <w:b/>
                <w:bCs/>
                <w:i/>
                <w:color w:val="FF0000"/>
              </w:rPr>
              <w:t>проекти, които отговарят на местните потребности и създават или запазват заетост за местното население.</w:t>
            </w:r>
          </w:p>
          <w:p w14:paraId="44E617B0" w14:textId="77777777" w:rsidR="001E18A3" w:rsidRPr="009F6D1E" w:rsidRDefault="001E18A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4A278C62"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i/>
                <w:color w:val="FF0000"/>
              </w:rPr>
              <w:t>Интервенцията е съгласно чл. 64 (ж) и чл. 71, параграф 1 от предложение за Регламент на Европейския парламент и Съвета</w:t>
            </w:r>
          </w:p>
        </w:tc>
        <w:tc>
          <w:tcPr>
            <w:tcW w:w="7513" w:type="dxa"/>
          </w:tcPr>
          <w:p w14:paraId="6A417672"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П.8.4. Подобряване на обектите за развитие на традициите и на културно-историческите обекти</w:t>
            </w:r>
          </w:p>
          <w:p w14:paraId="6C69F45D"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37D084C7"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 Запазването на духовния и културния живот на населението в селските райони</w:t>
            </w:r>
          </w:p>
          <w:p w14:paraId="55829CD6" w14:textId="77777777" w:rsidR="006554E3" w:rsidRPr="009F6D1E" w:rsidRDefault="006554E3" w:rsidP="0084747F">
            <w:pPr>
              <w:spacing w:after="60" w:line="264" w:lineRule="auto"/>
              <w:jc w:val="both"/>
              <w:rPr>
                <w:rFonts w:cs="Times New Roman"/>
                <w:b/>
                <w:bCs/>
                <w:i/>
              </w:rPr>
            </w:pPr>
            <w:r w:rsidRPr="009F6D1E">
              <w:rPr>
                <w:rFonts w:cs="Times New Roman"/>
                <w:i/>
                <w:color w:val="FF0000"/>
              </w:rPr>
              <w:t>- Инвестиции за неселскостопански дейности в селските райони</w:t>
            </w:r>
          </w:p>
        </w:tc>
      </w:tr>
      <w:tr w:rsidR="006554E3" w:rsidRPr="009F6D1E" w14:paraId="49C944C5" w14:textId="77777777" w:rsidTr="00F92FD2">
        <w:tc>
          <w:tcPr>
            <w:tcW w:w="7366" w:type="dxa"/>
          </w:tcPr>
          <w:p w14:paraId="18E12E62" w14:textId="77777777" w:rsidR="006554E3" w:rsidRPr="009F6D1E" w:rsidRDefault="006554E3" w:rsidP="0084747F">
            <w:pPr>
              <w:widowControl w:val="0"/>
              <w:tabs>
                <w:tab w:val="left" w:pos="5765"/>
              </w:tabs>
              <w:spacing w:after="60" w:line="264" w:lineRule="auto"/>
              <w:jc w:val="both"/>
              <w:rPr>
                <w:rFonts w:cs="Times New Roman"/>
                <w:highlight w:val="yellow"/>
              </w:rPr>
            </w:pPr>
          </w:p>
        </w:tc>
        <w:tc>
          <w:tcPr>
            <w:tcW w:w="7513" w:type="dxa"/>
          </w:tcPr>
          <w:p w14:paraId="11BD2358"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П.8.5. Подобряване на състоянието на образователната инфраструктура с цел увеличаване на дела на населението, което има достъп до подобрени услуги</w:t>
            </w:r>
          </w:p>
          <w:p w14:paraId="2001B439"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7C6BAC98"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lastRenderedPageBreak/>
              <w:t xml:space="preserve">- </w:t>
            </w:r>
            <w:r w:rsidRPr="009F6D1E">
              <w:rPr>
                <w:rFonts w:cs="Times New Roman"/>
                <w:i/>
                <w:color w:val="FF0000"/>
              </w:rPr>
              <w:t>Инвестиции в основни услуги и дребна по мащаби инфраструктура в селските райони</w:t>
            </w:r>
          </w:p>
        </w:tc>
      </w:tr>
      <w:tr w:rsidR="006554E3" w:rsidRPr="009F6D1E" w14:paraId="576C3BAC" w14:textId="77777777" w:rsidTr="00F92FD2">
        <w:tc>
          <w:tcPr>
            <w:tcW w:w="7366" w:type="dxa"/>
          </w:tcPr>
          <w:p w14:paraId="496015A7" w14:textId="77777777" w:rsidR="006554E3" w:rsidRPr="009F6D1E" w:rsidRDefault="006554E3" w:rsidP="0084747F">
            <w:pPr>
              <w:widowControl w:val="0"/>
              <w:tabs>
                <w:tab w:val="left" w:pos="5765"/>
              </w:tabs>
              <w:spacing w:after="60" w:line="264" w:lineRule="auto"/>
              <w:jc w:val="both"/>
              <w:rPr>
                <w:rFonts w:cs="Times New Roman"/>
                <w:highlight w:val="yellow"/>
              </w:rPr>
            </w:pPr>
          </w:p>
        </w:tc>
        <w:tc>
          <w:tcPr>
            <w:tcW w:w="7513" w:type="dxa"/>
          </w:tcPr>
          <w:p w14:paraId="062B8A94"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 xml:space="preserve">П.8.6. Запазване на многофондовото финансиране, разширяване на териториалното прилагане и опростяване на прилагането на подхода ЛИДЕР/ВОМР </w:t>
            </w:r>
          </w:p>
          <w:p w14:paraId="4F6FFA40"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15E042B8"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 xml:space="preserve">- </w:t>
            </w:r>
            <w:r w:rsidRPr="009F6D1E">
              <w:rPr>
                <w:rFonts w:cs="Times New Roman"/>
                <w:i/>
                <w:color w:val="FF0000"/>
              </w:rPr>
              <w:t>Подкрепата за ВОМР/ЛИДЕР се извършва чрез подкрепа на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tc>
      </w:tr>
      <w:tr w:rsidR="006554E3" w:rsidRPr="009F6D1E" w14:paraId="2CA520B5" w14:textId="77777777" w:rsidTr="00F92FD2">
        <w:tc>
          <w:tcPr>
            <w:tcW w:w="7366" w:type="dxa"/>
          </w:tcPr>
          <w:p w14:paraId="6E3A237A" w14:textId="77777777" w:rsidR="006554E3"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rPr>
              <w:t xml:space="preserve">Специфична цел № 9: Подобряване на реакцията на селското стопанство в </w:t>
            </w:r>
            <w:r w:rsidRPr="009F6D1E">
              <w:rPr>
                <w:rFonts w:cs="Times New Roman"/>
                <w:b/>
                <w:bCs/>
                <w:i/>
                <w:color w:val="FF0000"/>
              </w:rPr>
              <w:t xml:space="preserve">ЕС </w:t>
            </w:r>
            <w:r w:rsidRPr="009F6D1E">
              <w:rPr>
                <w:rFonts w:cs="Times New Roman"/>
                <w:b/>
                <w:bCs/>
                <w:i/>
              </w:rPr>
              <w:t xml:space="preserve">в отговор на обществените изисквания по отношение на храните, здравето включително </w:t>
            </w:r>
            <w:r w:rsidRPr="009F6D1E">
              <w:rPr>
                <w:rFonts w:cs="Times New Roman"/>
                <w:b/>
                <w:bCs/>
                <w:i/>
                <w:color w:val="FF0000"/>
              </w:rPr>
              <w:t>за безвредна</w:t>
            </w:r>
            <w:r w:rsidRPr="009F6D1E">
              <w:rPr>
                <w:rFonts w:cs="Times New Roman"/>
                <w:b/>
                <w:bCs/>
                <w:i/>
              </w:rPr>
              <w:t xml:space="preserve">, питателна и </w:t>
            </w:r>
            <w:r w:rsidRPr="009F6D1E">
              <w:rPr>
                <w:rFonts w:cs="Times New Roman"/>
                <w:b/>
                <w:bCs/>
                <w:i/>
                <w:color w:val="FF0000"/>
              </w:rPr>
              <w:t xml:space="preserve">устойчива </w:t>
            </w:r>
            <w:r w:rsidRPr="009F6D1E">
              <w:rPr>
                <w:rFonts w:cs="Times New Roman"/>
                <w:b/>
                <w:bCs/>
                <w:i/>
              </w:rPr>
              <w:t xml:space="preserve">храна, както и </w:t>
            </w:r>
            <w:r w:rsidRPr="009F6D1E">
              <w:rPr>
                <w:rFonts w:cs="Times New Roman"/>
                <w:b/>
                <w:bCs/>
                <w:i/>
                <w:color w:val="FF0000"/>
              </w:rPr>
              <w:t>за</w:t>
            </w:r>
            <w:r w:rsidRPr="009F6D1E">
              <w:rPr>
                <w:rFonts w:cs="Times New Roman"/>
                <w:b/>
                <w:bCs/>
                <w:i/>
              </w:rPr>
              <w:t xml:space="preserve"> хуманно отношение към животните.</w:t>
            </w:r>
          </w:p>
        </w:tc>
        <w:tc>
          <w:tcPr>
            <w:tcW w:w="7513" w:type="dxa"/>
          </w:tcPr>
          <w:p w14:paraId="476FF209" w14:textId="77777777" w:rsidR="006554E3" w:rsidRPr="009F6D1E" w:rsidRDefault="00682A7B" w:rsidP="0084747F">
            <w:pPr>
              <w:spacing w:after="60" w:line="264" w:lineRule="auto"/>
              <w:jc w:val="both"/>
              <w:rPr>
                <w:rFonts w:cs="Times New Roman"/>
                <w:b/>
                <w:bCs/>
                <w:i/>
              </w:rPr>
            </w:pPr>
            <w:r w:rsidRPr="009F6D1E">
              <w:rPr>
                <w:rFonts w:cs="Times New Roman"/>
                <w:b/>
                <w:bCs/>
                <w:i/>
              </w:rPr>
              <w:t xml:space="preserve">Специфична цел № 9: Подобряване на реакцията на селското стопанство в </w:t>
            </w:r>
            <w:r w:rsidRPr="009F6D1E">
              <w:rPr>
                <w:rFonts w:cs="Times New Roman"/>
                <w:b/>
                <w:bCs/>
                <w:i/>
                <w:color w:val="FF0000"/>
              </w:rPr>
              <w:t xml:space="preserve">Съюза </w:t>
            </w:r>
            <w:r w:rsidRPr="009F6D1E">
              <w:rPr>
                <w:rFonts w:cs="Times New Roman"/>
                <w:b/>
                <w:bCs/>
                <w:i/>
              </w:rPr>
              <w:t xml:space="preserve">в отговор на обществените изисквания по отношение на храните </w:t>
            </w:r>
            <w:r w:rsidRPr="009F6D1E">
              <w:rPr>
                <w:rFonts w:cs="Times New Roman"/>
                <w:b/>
                <w:bCs/>
                <w:i/>
                <w:color w:val="FF0000"/>
              </w:rPr>
              <w:t>и</w:t>
            </w:r>
            <w:r w:rsidRPr="009F6D1E">
              <w:rPr>
                <w:rFonts w:cs="Times New Roman"/>
                <w:b/>
                <w:bCs/>
                <w:i/>
              </w:rPr>
              <w:t xml:space="preserve"> здравето, включително </w:t>
            </w:r>
            <w:r w:rsidRPr="009F6D1E">
              <w:rPr>
                <w:rFonts w:cs="Times New Roman"/>
                <w:b/>
                <w:bCs/>
                <w:i/>
                <w:color w:val="FF0000"/>
              </w:rPr>
              <w:t xml:space="preserve">висококачествена, безопасна </w:t>
            </w:r>
            <w:r w:rsidRPr="009F6D1E">
              <w:rPr>
                <w:rFonts w:cs="Times New Roman"/>
                <w:b/>
                <w:bCs/>
                <w:i/>
              </w:rPr>
              <w:t xml:space="preserve">и питателна храна, </w:t>
            </w:r>
            <w:r w:rsidRPr="009F6D1E">
              <w:rPr>
                <w:rFonts w:cs="Times New Roman"/>
                <w:b/>
                <w:bCs/>
                <w:i/>
                <w:color w:val="FF0000"/>
              </w:rPr>
              <w:t>произведена по устойчив начин, намаляване на хранителните отпадъци,</w:t>
            </w:r>
            <w:r w:rsidRPr="009F6D1E">
              <w:rPr>
                <w:rFonts w:cs="Times New Roman"/>
                <w:b/>
                <w:bCs/>
                <w:i/>
              </w:rPr>
              <w:t xml:space="preserve"> както и </w:t>
            </w:r>
            <w:r w:rsidRPr="009F6D1E">
              <w:rPr>
                <w:rFonts w:cs="Times New Roman"/>
                <w:b/>
                <w:bCs/>
                <w:i/>
                <w:color w:val="FF0000"/>
              </w:rPr>
              <w:t xml:space="preserve">подобряване на </w:t>
            </w:r>
            <w:r w:rsidRPr="009F6D1E">
              <w:rPr>
                <w:rFonts w:cs="Times New Roman"/>
                <w:b/>
                <w:bCs/>
                <w:i/>
              </w:rPr>
              <w:t xml:space="preserve">хуманното отношение към животните </w:t>
            </w:r>
            <w:r w:rsidRPr="009F6D1E">
              <w:rPr>
                <w:rFonts w:cs="Times New Roman"/>
                <w:b/>
                <w:bCs/>
                <w:i/>
                <w:color w:val="FF0000"/>
              </w:rPr>
              <w:t>и борба с антимикробната резистентност</w:t>
            </w:r>
          </w:p>
        </w:tc>
      </w:tr>
      <w:tr w:rsidR="006554E3" w:rsidRPr="009F6D1E" w14:paraId="4F4D2B06" w14:textId="77777777" w:rsidTr="00F92FD2">
        <w:tc>
          <w:tcPr>
            <w:tcW w:w="7366" w:type="dxa"/>
          </w:tcPr>
          <w:p w14:paraId="55E486A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Насърчаване и подпомагане на биологичното земеделие, както и на научните изследвания в тази посока;</w:t>
            </w:r>
          </w:p>
          <w:p w14:paraId="3B0DEE9C"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2087B6E2" w14:textId="77777777" w:rsidR="001E18A3" w:rsidRPr="009F6D1E" w:rsidRDefault="001E18A3" w:rsidP="0084747F">
            <w:pPr>
              <w:spacing w:after="60" w:line="264" w:lineRule="auto"/>
              <w:jc w:val="both"/>
              <w:rPr>
                <w:rFonts w:cs="Times New Roman"/>
                <w:i/>
              </w:rPr>
            </w:pPr>
            <w:r w:rsidRPr="009F6D1E">
              <w:rPr>
                <w:rFonts w:cs="Times New Roman"/>
                <w:b/>
                <w:bCs/>
                <w:i/>
              </w:rPr>
              <w:t xml:space="preserve">- </w:t>
            </w:r>
            <w:r w:rsidR="0096787A" w:rsidRPr="009F6D1E">
              <w:rPr>
                <w:rFonts w:cs="Times New Roman"/>
                <w:i/>
              </w:rPr>
              <w:t xml:space="preserve">Биологично производство </w:t>
            </w:r>
          </w:p>
          <w:p w14:paraId="117FB846" w14:textId="77777777" w:rsidR="001E18A3" w:rsidRPr="009F6D1E" w:rsidRDefault="001E18A3" w:rsidP="0084747F">
            <w:pPr>
              <w:spacing w:after="60" w:line="264" w:lineRule="auto"/>
              <w:jc w:val="both"/>
              <w:rPr>
                <w:rFonts w:cs="Times New Roman"/>
                <w:i/>
                <w:color w:val="FF0000"/>
              </w:rPr>
            </w:pPr>
            <w:r w:rsidRPr="009F6D1E">
              <w:rPr>
                <w:rFonts w:cs="Times New Roman"/>
                <w:i/>
              </w:rPr>
              <w:lastRenderedPageBreak/>
              <w:t xml:space="preserve">- </w:t>
            </w:r>
            <w:r w:rsidRPr="009F6D1E">
              <w:rPr>
                <w:rFonts w:cs="Times New Roman"/>
                <w:i/>
                <w:color w:val="FF0000"/>
              </w:rPr>
              <w:t>Интервенция по чл. 65 (ЕЗФРСР) за прилагане на методите за биологично земеделие;</w:t>
            </w:r>
          </w:p>
          <w:p w14:paraId="6BCD036F" w14:textId="77777777" w:rsidR="001E18A3" w:rsidRPr="009F6D1E" w:rsidRDefault="001E18A3" w:rsidP="0084747F">
            <w:pPr>
              <w:spacing w:after="60" w:line="264" w:lineRule="auto"/>
              <w:jc w:val="both"/>
              <w:rPr>
                <w:rFonts w:cs="Times New Roman"/>
                <w:i/>
                <w:color w:val="FF0000"/>
              </w:rPr>
            </w:pPr>
            <w:r w:rsidRPr="009F6D1E">
              <w:rPr>
                <w:rFonts w:cs="Times New Roman"/>
                <w:i/>
                <w:color w:val="FF0000"/>
              </w:rPr>
              <w:t>- Подпомагане развитието на малки земеделски стопанства съгл. Установяване на млади земеделски стопани, помощ за стартиране на стопанска дейност в селските райони и</w:t>
            </w:r>
            <w:r w:rsidR="0096787A" w:rsidRPr="009F6D1E">
              <w:rPr>
                <w:rFonts w:cs="Times New Roman"/>
                <w:i/>
                <w:color w:val="FF0000"/>
              </w:rPr>
              <w:t xml:space="preserve"> развитие на малки стопанства</w:t>
            </w:r>
          </w:p>
          <w:p w14:paraId="3309A765" w14:textId="77777777" w:rsidR="0096787A" w:rsidRPr="009F6D1E" w:rsidRDefault="001E18A3" w:rsidP="0084747F">
            <w:pPr>
              <w:spacing w:after="60" w:line="264" w:lineRule="auto"/>
              <w:jc w:val="both"/>
              <w:rPr>
                <w:rFonts w:cs="Times New Roman"/>
                <w:i/>
                <w:color w:val="FF0000"/>
              </w:rPr>
            </w:pPr>
            <w:r w:rsidRPr="009F6D1E">
              <w:rPr>
                <w:rFonts w:cs="Times New Roman"/>
                <w:i/>
                <w:color w:val="FF0000"/>
              </w:rPr>
              <w:t>- Сътрудничество за къси вери</w:t>
            </w:r>
            <w:r w:rsidR="0096787A" w:rsidRPr="009F6D1E">
              <w:rPr>
                <w:rFonts w:cs="Times New Roman"/>
                <w:i/>
                <w:color w:val="FF0000"/>
              </w:rPr>
              <w:t>ги на доставки и местни пазари</w:t>
            </w:r>
          </w:p>
          <w:p w14:paraId="1467A117" w14:textId="77777777" w:rsidR="006554E3" w:rsidRPr="009F6D1E" w:rsidRDefault="001E18A3" w:rsidP="0084747F">
            <w:pPr>
              <w:spacing w:after="60" w:line="264" w:lineRule="auto"/>
              <w:jc w:val="both"/>
              <w:rPr>
                <w:rFonts w:cs="Times New Roman"/>
                <w:highlight w:val="yellow"/>
              </w:rPr>
            </w:pPr>
            <w:r w:rsidRPr="009F6D1E">
              <w:rPr>
                <w:rFonts w:cs="Times New Roman"/>
                <w:i/>
                <w:color w:val="FF0000"/>
              </w:rPr>
              <w:t xml:space="preserve">- Професионално обучение и придобиване на умения съгл. </w:t>
            </w:r>
            <w:r w:rsidR="0096787A" w:rsidRPr="009F6D1E">
              <w:rPr>
                <w:rFonts w:cs="Times New Roman"/>
                <w:i/>
                <w:color w:val="FF0000"/>
              </w:rPr>
              <w:t>ч</w:t>
            </w:r>
            <w:r w:rsidRPr="009F6D1E">
              <w:rPr>
                <w:rFonts w:cs="Times New Roman"/>
                <w:i/>
                <w:color w:val="FF0000"/>
              </w:rPr>
              <w:t>л. 72 "Обмен на знания и информация"(ЕЗФРСР)</w:t>
            </w:r>
          </w:p>
        </w:tc>
        <w:tc>
          <w:tcPr>
            <w:tcW w:w="7513" w:type="dxa"/>
          </w:tcPr>
          <w:p w14:paraId="669BA933" w14:textId="77777777" w:rsidR="006554E3" w:rsidRPr="009F6D1E" w:rsidRDefault="006554E3" w:rsidP="0084747F">
            <w:pPr>
              <w:spacing w:after="60" w:line="264" w:lineRule="auto"/>
              <w:jc w:val="both"/>
              <w:rPr>
                <w:rFonts w:cs="Times New Roman"/>
                <w:b/>
                <w:bCs/>
                <w:i/>
              </w:rPr>
            </w:pPr>
            <w:r w:rsidRPr="009F6D1E">
              <w:rPr>
                <w:rFonts w:cs="Times New Roman"/>
                <w:b/>
                <w:bCs/>
                <w:i/>
              </w:rPr>
              <w:lastRenderedPageBreak/>
              <w:t>П.9.1.Насърчаване и подпомагане на биологичното земеделие, както и на научните изследвания в тази посока</w:t>
            </w:r>
          </w:p>
          <w:p w14:paraId="7CB6EC0E"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108ACFD2" w14:textId="77777777" w:rsidR="006554E3" w:rsidRPr="009F6D1E" w:rsidRDefault="006554E3" w:rsidP="0084747F">
            <w:pPr>
              <w:spacing w:after="60" w:line="264" w:lineRule="auto"/>
              <w:jc w:val="both"/>
              <w:rPr>
                <w:rFonts w:cs="Times New Roman"/>
                <w:i/>
              </w:rPr>
            </w:pPr>
            <w:r w:rsidRPr="009F6D1E">
              <w:rPr>
                <w:rFonts w:cs="Times New Roman"/>
                <w:b/>
                <w:bCs/>
                <w:i/>
              </w:rPr>
              <w:t xml:space="preserve">- </w:t>
            </w:r>
            <w:r w:rsidRPr="009F6D1E">
              <w:rPr>
                <w:rFonts w:cs="Times New Roman"/>
                <w:i/>
                <w:color w:val="FF0000"/>
              </w:rPr>
              <w:t>Еко схема за поддържане на биологично земеделие (земеделски площи)</w:t>
            </w:r>
          </w:p>
          <w:p w14:paraId="38537325" w14:textId="77777777" w:rsidR="006554E3" w:rsidRPr="009F6D1E" w:rsidRDefault="006554E3" w:rsidP="0084747F">
            <w:pPr>
              <w:spacing w:after="60" w:line="264" w:lineRule="auto"/>
              <w:jc w:val="both"/>
              <w:rPr>
                <w:rFonts w:cs="Times New Roman"/>
                <w:i/>
                <w:color w:val="FF0000"/>
              </w:rPr>
            </w:pPr>
            <w:r w:rsidRPr="009F6D1E">
              <w:rPr>
                <w:rFonts w:cs="Times New Roman"/>
                <w:i/>
              </w:rPr>
              <w:lastRenderedPageBreak/>
              <w:t xml:space="preserve">-  </w:t>
            </w:r>
            <w:r w:rsidRPr="009F6D1E">
              <w:rPr>
                <w:rFonts w:cs="Times New Roman"/>
                <w:i/>
                <w:color w:val="FF0000"/>
              </w:rPr>
              <w:t>Еко схема за поддържане на биологично земеделие (селскостопански животни)</w:t>
            </w:r>
          </w:p>
          <w:p w14:paraId="747533B2" w14:textId="77777777" w:rsidR="006554E3" w:rsidRPr="009F6D1E" w:rsidRDefault="006554E3" w:rsidP="0084747F">
            <w:pPr>
              <w:spacing w:after="60" w:line="264" w:lineRule="auto"/>
              <w:jc w:val="both"/>
              <w:rPr>
                <w:rFonts w:cs="Times New Roman"/>
                <w:b/>
                <w:bCs/>
                <w:i/>
              </w:rPr>
            </w:pPr>
            <w:r w:rsidRPr="009F6D1E">
              <w:rPr>
                <w:rFonts w:cs="Times New Roman"/>
                <w:i/>
              </w:rPr>
              <w:t>- Биологично производство</w:t>
            </w:r>
          </w:p>
        </w:tc>
      </w:tr>
      <w:tr w:rsidR="006554E3" w:rsidRPr="009F6D1E" w14:paraId="3B8A10B8" w14:textId="77777777" w:rsidTr="00F92FD2">
        <w:tc>
          <w:tcPr>
            <w:tcW w:w="7366" w:type="dxa"/>
          </w:tcPr>
          <w:p w14:paraId="5E786CA7"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Потребност 2</w:t>
            </w:r>
            <w:r w:rsidRPr="009F6D1E">
              <w:rPr>
                <w:rFonts w:cs="Times New Roman"/>
                <w:b/>
                <w:bCs/>
                <w:i/>
              </w:rPr>
              <w:t xml:space="preserve">: Подобряване на контрола (лабораторна дейност), пазарна организация, реализация и маркетинг в </w:t>
            </w:r>
            <w:r w:rsidRPr="009F6D1E">
              <w:rPr>
                <w:rFonts w:cs="Times New Roman"/>
                <w:b/>
                <w:bCs/>
                <w:i/>
                <w:color w:val="FF0000"/>
              </w:rPr>
              <w:t xml:space="preserve">конвенционалното </w:t>
            </w:r>
            <w:r w:rsidRPr="009F6D1E">
              <w:rPr>
                <w:rFonts w:cs="Times New Roman"/>
                <w:b/>
                <w:bCs/>
                <w:i/>
              </w:rPr>
              <w:t>и биологичното производство;</w:t>
            </w:r>
          </w:p>
          <w:p w14:paraId="4CED3CF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444820E6" w14:textId="77777777" w:rsidR="0096787A" w:rsidRPr="009F6D1E" w:rsidRDefault="001E18A3" w:rsidP="0084747F">
            <w:pPr>
              <w:spacing w:after="60" w:line="264" w:lineRule="auto"/>
              <w:jc w:val="both"/>
              <w:rPr>
                <w:rFonts w:cs="Times New Roman"/>
                <w:i/>
                <w:color w:val="FF0000"/>
              </w:rPr>
            </w:pPr>
            <w:r w:rsidRPr="009F6D1E">
              <w:rPr>
                <w:rFonts w:cs="Times New Roman"/>
                <w:i/>
              </w:rPr>
              <w:t xml:space="preserve">- Подкрепа на организации на производители или групи от производители, Сътрудничество </w:t>
            </w:r>
            <w:r w:rsidRPr="009F6D1E">
              <w:rPr>
                <w:rFonts w:cs="Times New Roman"/>
                <w:i/>
                <w:color w:val="FF0000"/>
              </w:rPr>
              <w:t>съгл. чл. 64, б. „ж“ (ЕЗФРСР).</w:t>
            </w:r>
          </w:p>
          <w:p w14:paraId="1E23039B" w14:textId="77777777" w:rsidR="006554E3" w:rsidRPr="009F6D1E" w:rsidRDefault="001E18A3" w:rsidP="0084747F">
            <w:pPr>
              <w:spacing w:after="60" w:line="264" w:lineRule="auto"/>
              <w:jc w:val="both"/>
              <w:rPr>
                <w:rFonts w:cs="Times New Roman"/>
                <w:highlight w:val="yellow"/>
              </w:rPr>
            </w:pPr>
            <w:r w:rsidRPr="009F6D1E">
              <w:rPr>
                <w:rFonts w:cs="Times New Roman"/>
                <w:i/>
              </w:rPr>
              <w:t>- Сътрудничество за къси вериги на доставки и местни пазари, съгл. чл. 71, § 1, буква „д“ (ЕЗФРСР).</w:t>
            </w:r>
          </w:p>
        </w:tc>
        <w:tc>
          <w:tcPr>
            <w:tcW w:w="7513" w:type="dxa"/>
          </w:tcPr>
          <w:p w14:paraId="404E01F0" w14:textId="77777777" w:rsidR="006554E3" w:rsidRPr="009F6D1E" w:rsidRDefault="006554E3" w:rsidP="0084747F">
            <w:pPr>
              <w:spacing w:after="60" w:line="264" w:lineRule="auto"/>
              <w:jc w:val="both"/>
              <w:rPr>
                <w:rFonts w:cs="Times New Roman"/>
                <w:b/>
                <w:bCs/>
                <w:i/>
              </w:rPr>
            </w:pPr>
            <w:r w:rsidRPr="009F6D1E">
              <w:rPr>
                <w:rFonts w:cs="Times New Roman"/>
                <w:b/>
                <w:bCs/>
                <w:i/>
              </w:rPr>
              <w:t>П.9.2.Подобряване на контрола (лабораторна дейност), пазарна организация, реализация и маркетинг в биологичното производство</w:t>
            </w:r>
          </w:p>
          <w:p w14:paraId="0BAD299C"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0D21FBD9" w14:textId="77777777" w:rsidR="006554E3" w:rsidRPr="009F6D1E" w:rsidRDefault="006554E3" w:rsidP="0084747F">
            <w:pPr>
              <w:spacing w:after="60" w:line="264" w:lineRule="auto"/>
              <w:jc w:val="both"/>
              <w:rPr>
                <w:rFonts w:cs="Times New Roman"/>
                <w:i/>
              </w:rPr>
            </w:pPr>
            <w:r w:rsidRPr="009F6D1E">
              <w:rPr>
                <w:rFonts w:cs="Times New Roman"/>
                <w:i/>
              </w:rPr>
              <w:t xml:space="preserve">- Подкрепа на организации на производители или групи от производители, Сътрудничество </w:t>
            </w:r>
            <w:r w:rsidRPr="009F6D1E">
              <w:rPr>
                <w:rFonts w:cs="Times New Roman"/>
                <w:i/>
                <w:color w:val="FF0000"/>
              </w:rPr>
              <w:t>съгл. чл.77 (ЕЗФРСР</w:t>
            </w:r>
            <w:r w:rsidRPr="009F6D1E">
              <w:rPr>
                <w:rFonts w:cs="Times New Roman"/>
                <w:i/>
              </w:rPr>
              <w:t>).</w:t>
            </w:r>
          </w:p>
          <w:p w14:paraId="6BC773D2" w14:textId="77777777" w:rsidR="006554E3" w:rsidRPr="009F6D1E" w:rsidRDefault="006554E3" w:rsidP="0084747F">
            <w:pPr>
              <w:spacing w:after="60" w:line="264" w:lineRule="auto"/>
              <w:jc w:val="both"/>
              <w:rPr>
                <w:rFonts w:cs="Times New Roman"/>
                <w:i/>
              </w:rPr>
            </w:pPr>
            <w:r w:rsidRPr="009F6D1E">
              <w:rPr>
                <w:rFonts w:cs="Times New Roman"/>
                <w:i/>
              </w:rPr>
              <w:t xml:space="preserve">- </w:t>
            </w:r>
            <w:r w:rsidR="000945FA" w:rsidRPr="009F6D1E">
              <w:rPr>
                <w:rFonts w:cs="Times New Roman"/>
                <w:i/>
                <w:color w:val="FF0000"/>
              </w:rPr>
              <w:t>С</w:t>
            </w:r>
            <w:r w:rsidRPr="009F6D1E">
              <w:rPr>
                <w:rFonts w:cs="Times New Roman"/>
                <w:i/>
                <w:color w:val="FF0000"/>
              </w:rPr>
              <w:t>хема „Промоционални програми</w:t>
            </w:r>
            <w:r w:rsidRPr="009F6D1E">
              <w:rPr>
                <w:rFonts w:cs="Times New Roman"/>
                <w:i/>
              </w:rPr>
              <w:t>“</w:t>
            </w:r>
          </w:p>
          <w:p w14:paraId="5DB31DC6" w14:textId="77777777" w:rsidR="006554E3" w:rsidRPr="009F6D1E" w:rsidRDefault="006554E3" w:rsidP="0084747F">
            <w:pPr>
              <w:spacing w:after="60" w:line="264" w:lineRule="auto"/>
              <w:jc w:val="both"/>
              <w:rPr>
                <w:rFonts w:cs="Times New Roman"/>
                <w:b/>
                <w:bCs/>
                <w:i/>
              </w:rPr>
            </w:pPr>
          </w:p>
        </w:tc>
      </w:tr>
      <w:tr w:rsidR="006554E3" w:rsidRPr="009F6D1E" w14:paraId="65E9BE91" w14:textId="77777777" w:rsidTr="00F92FD2">
        <w:tc>
          <w:tcPr>
            <w:tcW w:w="7366" w:type="dxa"/>
          </w:tcPr>
          <w:p w14:paraId="3AB029E0"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3</w:t>
            </w:r>
            <w:r w:rsidRPr="009F6D1E">
              <w:rPr>
                <w:rFonts w:cs="Times New Roman"/>
                <w:b/>
                <w:bCs/>
                <w:i/>
              </w:rPr>
              <w:t>: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p>
          <w:p w14:paraId="134357B6"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u w:val="single"/>
              </w:rPr>
              <w:lastRenderedPageBreak/>
              <w:t>Интервенции</w:t>
            </w:r>
            <w:r w:rsidRPr="009F6D1E">
              <w:rPr>
                <w:rFonts w:cs="Times New Roman"/>
                <w:b/>
                <w:bCs/>
                <w:i/>
              </w:rPr>
              <w:t xml:space="preserve">: </w:t>
            </w:r>
            <w:r w:rsidRPr="009F6D1E">
              <w:rPr>
                <w:rFonts w:cs="Times New Roman"/>
                <w:i/>
              </w:rPr>
              <w:t>-</w:t>
            </w:r>
          </w:p>
        </w:tc>
        <w:tc>
          <w:tcPr>
            <w:tcW w:w="7513" w:type="dxa"/>
          </w:tcPr>
          <w:p w14:paraId="198892B9" w14:textId="77777777" w:rsidR="006554E3" w:rsidRPr="009F6D1E" w:rsidRDefault="006554E3" w:rsidP="0084747F">
            <w:pPr>
              <w:spacing w:after="60" w:line="264" w:lineRule="auto"/>
              <w:jc w:val="both"/>
              <w:rPr>
                <w:rFonts w:cs="Times New Roman"/>
                <w:b/>
                <w:bCs/>
                <w:i/>
              </w:rPr>
            </w:pPr>
            <w:r w:rsidRPr="009F6D1E">
              <w:rPr>
                <w:rFonts w:cs="Times New Roman"/>
                <w:b/>
                <w:bCs/>
                <w:i/>
              </w:rPr>
              <w:lastRenderedPageBreak/>
              <w:t>П.9.3.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p>
          <w:p w14:paraId="27718020"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 xml:space="preserve">: </w:t>
            </w:r>
          </w:p>
          <w:p w14:paraId="484D18F3" w14:textId="77777777" w:rsidR="006554E3" w:rsidRPr="009F6D1E" w:rsidRDefault="006554E3" w:rsidP="0084747F">
            <w:pPr>
              <w:spacing w:after="60" w:line="264" w:lineRule="auto"/>
              <w:jc w:val="both"/>
              <w:rPr>
                <w:rFonts w:cs="Times New Roman"/>
                <w:i/>
                <w:color w:val="FF0000"/>
              </w:rPr>
            </w:pPr>
            <w:r w:rsidRPr="009F6D1E">
              <w:rPr>
                <w:rFonts w:cs="Times New Roman"/>
                <w:i/>
              </w:rPr>
              <w:t>-</w:t>
            </w:r>
            <w:r w:rsidRPr="009F6D1E">
              <w:rPr>
                <w:rFonts w:cs="Times New Roman"/>
              </w:rPr>
              <w:t xml:space="preserve"> </w:t>
            </w:r>
            <w:r w:rsidRPr="009F6D1E">
              <w:rPr>
                <w:rFonts w:cs="Times New Roman"/>
                <w:i/>
                <w:color w:val="FF0000"/>
              </w:rPr>
              <w:t>Схеми "Училищен плод" и "Училищно мляко"</w:t>
            </w:r>
          </w:p>
          <w:p w14:paraId="50C30D80" w14:textId="77777777" w:rsidR="006554E3" w:rsidRPr="009F6D1E" w:rsidRDefault="006554E3" w:rsidP="0084747F">
            <w:pPr>
              <w:spacing w:after="60" w:line="264" w:lineRule="auto"/>
              <w:jc w:val="both"/>
              <w:rPr>
                <w:rFonts w:cs="Times New Roman"/>
                <w:b/>
                <w:bCs/>
                <w:i/>
              </w:rPr>
            </w:pPr>
            <w:r w:rsidRPr="009F6D1E">
              <w:rPr>
                <w:rFonts w:cs="Times New Roman"/>
                <w:i/>
                <w:color w:val="FF0000"/>
              </w:rPr>
              <w:t>- Биологично производство</w:t>
            </w:r>
          </w:p>
        </w:tc>
      </w:tr>
      <w:tr w:rsidR="006554E3" w:rsidRPr="009F6D1E" w14:paraId="02A164FE" w14:textId="77777777" w:rsidTr="00F92FD2">
        <w:tc>
          <w:tcPr>
            <w:tcW w:w="7366" w:type="dxa"/>
          </w:tcPr>
          <w:p w14:paraId="53409D10"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Потребност 4</w:t>
            </w:r>
            <w:r w:rsidRPr="009F6D1E">
              <w:rPr>
                <w:rFonts w:cs="Times New Roman"/>
                <w:b/>
                <w:bCs/>
                <w:i/>
              </w:rPr>
              <w:t>: Подобряване качеството на храните, насърчаване консумацията на здравословна храна, повишаване информираността на потребителите, относно етикетиране на храните и засилване контрола при внос на суровини и храни;</w:t>
            </w:r>
          </w:p>
          <w:p w14:paraId="70D6473A"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677762CC" w14:textId="77777777" w:rsidR="006554E3" w:rsidRPr="009F6D1E" w:rsidRDefault="006554E3" w:rsidP="0084747F">
            <w:pPr>
              <w:spacing w:after="60" w:line="264" w:lineRule="auto"/>
              <w:jc w:val="both"/>
              <w:rPr>
                <w:rFonts w:cs="Times New Roman"/>
                <w:b/>
                <w:bCs/>
                <w:i/>
              </w:rPr>
            </w:pPr>
            <w:r w:rsidRPr="009F6D1E">
              <w:rPr>
                <w:rFonts w:cs="Times New Roman"/>
                <w:b/>
                <w:bCs/>
                <w:i/>
              </w:rPr>
              <w:t>П.9.4. Подобряване качеството на храните, насърчаване консумацията на здравословна храна, повишаване информираността на потребителите относно етикирането на храните и засилване на контрола при внос на суровини и храни;</w:t>
            </w:r>
          </w:p>
          <w:p w14:paraId="6A160725"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A1D0AE1" w14:textId="77777777" w:rsidR="006554E3" w:rsidRPr="009F6D1E" w:rsidRDefault="006554E3"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Схеми "Училищен плод" и "Училищно мляко"</w:t>
            </w:r>
          </w:p>
          <w:p w14:paraId="77373DEA"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 Консултантски услуги и повишаване на консултантския капацитет“</w:t>
            </w:r>
          </w:p>
          <w:p w14:paraId="1D4F3498" w14:textId="77777777" w:rsidR="006554E3" w:rsidRPr="009F6D1E" w:rsidRDefault="006554E3" w:rsidP="0084747F">
            <w:pPr>
              <w:spacing w:after="60" w:line="264" w:lineRule="auto"/>
              <w:jc w:val="both"/>
              <w:rPr>
                <w:rFonts w:cs="Times New Roman"/>
                <w:b/>
                <w:bCs/>
                <w:i/>
              </w:rPr>
            </w:pPr>
            <w:r w:rsidRPr="009F6D1E">
              <w:rPr>
                <w:rFonts w:cs="Times New Roman"/>
                <w:i/>
                <w:color w:val="FF0000"/>
              </w:rPr>
              <w:t xml:space="preserve"> - Подкрепа на организации на производители или групи от производители</w:t>
            </w:r>
          </w:p>
        </w:tc>
      </w:tr>
      <w:tr w:rsidR="006554E3" w:rsidRPr="009F6D1E" w14:paraId="437CAD05" w14:textId="77777777" w:rsidTr="00F92FD2">
        <w:tc>
          <w:tcPr>
            <w:tcW w:w="7366" w:type="dxa"/>
          </w:tcPr>
          <w:p w14:paraId="04AC197A"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5</w:t>
            </w:r>
            <w:r w:rsidRPr="009F6D1E">
              <w:rPr>
                <w:rFonts w:cs="Times New Roman"/>
                <w:b/>
                <w:bCs/>
                <w:i/>
              </w:rPr>
              <w:t>: Подкрепа на производителите, участващи в схемите за качество съгласно</w:t>
            </w:r>
            <w:r w:rsidR="0096787A" w:rsidRPr="009F6D1E">
              <w:rPr>
                <w:rFonts w:cs="Times New Roman"/>
                <w:b/>
                <w:bCs/>
                <w:i/>
              </w:rPr>
              <w:t xml:space="preserve"> </w:t>
            </w:r>
            <w:r w:rsidRPr="009F6D1E">
              <w:rPr>
                <w:rFonts w:cs="Times New Roman"/>
                <w:b/>
                <w:bCs/>
                <w:i/>
                <w:color w:val="FF0000"/>
              </w:rPr>
              <w:t xml:space="preserve">Регламент (ЕС) № 1151/2012 </w:t>
            </w:r>
            <w:r w:rsidRPr="009F6D1E">
              <w:rPr>
                <w:rFonts w:cs="Times New Roman"/>
                <w:b/>
                <w:bCs/>
                <w:i/>
              </w:rPr>
              <w:t>относно схемите за качество на селскостопански</w:t>
            </w:r>
            <w:r w:rsidR="0096787A" w:rsidRPr="009F6D1E">
              <w:rPr>
                <w:rFonts w:cs="Times New Roman"/>
                <w:b/>
                <w:bCs/>
                <w:i/>
              </w:rPr>
              <w:t xml:space="preserve"> </w:t>
            </w:r>
            <w:r w:rsidRPr="009F6D1E">
              <w:rPr>
                <w:rFonts w:cs="Times New Roman"/>
                <w:b/>
                <w:bCs/>
                <w:i/>
              </w:rPr>
              <w:t>продукти и храни;</w:t>
            </w:r>
          </w:p>
          <w:p w14:paraId="595A0F7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6F0F8D1A"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i/>
              </w:rPr>
              <w:t xml:space="preserve">- Насърчаване на схемите за качество, </w:t>
            </w:r>
            <w:r w:rsidRPr="009F6D1E">
              <w:rPr>
                <w:rFonts w:cs="Times New Roman"/>
                <w:i/>
                <w:color w:val="FF0000"/>
              </w:rPr>
              <w:t xml:space="preserve">чл. 71 </w:t>
            </w:r>
            <w:r w:rsidRPr="009F6D1E">
              <w:rPr>
                <w:rFonts w:cs="Times New Roman"/>
                <w:i/>
              </w:rPr>
              <w:t>Сътрудничество</w:t>
            </w:r>
          </w:p>
        </w:tc>
        <w:tc>
          <w:tcPr>
            <w:tcW w:w="7513" w:type="dxa"/>
          </w:tcPr>
          <w:p w14:paraId="42A5034D" w14:textId="77777777" w:rsidR="006554E3" w:rsidRPr="009F6D1E" w:rsidRDefault="006554E3" w:rsidP="0084747F">
            <w:pPr>
              <w:spacing w:after="60" w:line="264" w:lineRule="auto"/>
              <w:jc w:val="both"/>
              <w:rPr>
                <w:rFonts w:cs="Times New Roman"/>
                <w:b/>
                <w:bCs/>
                <w:i/>
              </w:rPr>
            </w:pPr>
            <w:r w:rsidRPr="009F6D1E">
              <w:rPr>
                <w:rFonts w:cs="Times New Roman"/>
                <w:b/>
                <w:bCs/>
                <w:i/>
              </w:rPr>
              <w:t xml:space="preserve">П.9.5. Подкрепа на производителите, участващи в схемите за качество съгласно </w:t>
            </w:r>
            <w:r w:rsidRPr="009F6D1E">
              <w:rPr>
                <w:rFonts w:cs="Times New Roman"/>
                <w:b/>
                <w:bCs/>
                <w:i/>
                <w:color w:val="FF0000"/>
              </w:rPr>
              <w:t xml:space="preserve">Европейската регулация </w:t>
            </w:r>
            <w:r w:rsidRPr="009F6D1E">
              <w:rPr>
                <w:rFonts w:cs="Times New Roman"/>
                <w:b/>
                <w:bCs/>
                <w:i/>
              </w:rPr>
              <w:t>относно схемите за качество на селскостопански продукти и храни</w:t>
            </w:r>
          </w:p>
          <w:p w14:paraId="4F7C6754"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294F0DB"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 Схеми за качество, вкл. и незадължителния термин за качество "планински продукт", чрез разработване на мярка „Схеми за качество на селскостопански продукти и храни“</w:t>
            </w:r>
          </w:p>
          <w:p w14:paraId="56E8FE9D" w14:textId="77777777" w:rsidR="006554E3" w:rsidRPr="009F6D1E" w:rsidRDefault="006554E3" w:rsidP="0084747F">
            <w:pPr>
              <w:spacing w:after="60" w:line="264" w:lineRule="auto"/>
              <w:jc w:val="both"/>
              <w:rPr>
                <w:rFonts w:cs="Times New Roman"/>
                <w:b/>
                <w:bCs/>
                <w:i/>
              </w:rPr>
            </w:pPr>
            <w:r w:rsidRPr="009F6D1E">
              <w:rPr>
                <w:rFonts w:cs="Times New Roman"/>
                <w:i/>
              </w:rPr>
              <w:t>- Насърчаване на схемите за качество</w:t>
            </w:r>
            <w:r w:rsidRPr="009F6D1E">
              <w:rPr>
                <w:rFonts w:cs="Times New Roman"/>
                <w:i/>
                <w:color w:val="FF0000"/>
              </w:rPr>
              <w:t xml:space="preserve">, чл. 77 </w:t>
            </w:r>
            <w:r w:rsidRPr="009F6D1E">
              <w:rPr>
                <w:rFonts w:cs="Times New Roman"/>
                <w:i/>
              </w:rPr>
              <w:t>Сътрудничество.</w:t>
            </w:r>
          </w:p>
        </w:tc>
      </w:tr>
      <w:tr w:rsidR="006554E3" w:rsidRPr="009F6D1E" w14:paraId="209CDF38" w14:textId="77777777" w:rsidTr="00F92FD2">
        <w:tc>
          <w:tcPr>
            <w:tcW w:w="7366" w:type="dxa"/>
          </w:tcPr>
          <w:p w14:paraId="21066672"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6</w:t>
            </w:r>
            <w:r w:rsidRPr="009F6D1E">
              <w:rPr>
                <w:rFonts w:cs="Times New Roman"/>
                <w:b/>
                <w:bCs/>
                <w:i/>
              </w:rPr>
              <w:t>: Подобряване отглеждането на животни.;</w:t>
            </w:r>
          </w:p>
          <w:p w14:paraId="0D94DDC9"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 xml:space="preserve">: </w:t>
            </w:r>
          </w:p>
          <w:p w14:paraId="230D2E9B" w14:textId="77777777" w:rsidR="0096787A" w:rsidRPr="009F6D1E" w:rsidRDefault="001E18A3" w:rsidP="0084747F">
            <w:pPr>
              <w:spacing w:after="60" w:line="264" w:lineRule="auto"/>
              <w:jc w:val="both"/>
              <w:rPr>
                <w:rFonts w:cs="Times New Roman"/>
                <w:b/>
                <w:bCs/>
                <w:i/>
              </w:rPr>
            </w:pPr>
            <w:r w:rsidRPr="009F6D1E">
              <w:rPr>
                <w:rFonts w:cs="Times New Roman"/>
                <w:b/>
                <w:bCs/>
                <w:i/>
              </w:rPr>
              <w:t xml:space="preserve">- </w:t>
            </w:r>
            <w:r w:rsidRPr="009F6D1E">
              <w:rPr>
                <w:rFonts w:cs="Times New Roman"/>
                <w:bCs/>
                <w:i/>
              </w:rPr>
              <w:t>Интервенция насочена към хуманно отношение</w:t>
            </w:r>
            <w:r w:rsidRPr="009F6D1E">
              <w:rPr>
                <w:rFonts w:cs="Times New Roman"/>
                <w:b/>
                <w:bCs/>
                <w:i/>
              </w:rPr>
              <w:t xml:space="preserve"> </w:t>
            </w:r>
          </w:p>
          <w:p w14:paraId="4BC1A7D4" w14:textId="77777777" w:rsidR="006554E3" w:rsidRPr="009F6D1E" w:rsidRDefault="001E18A3" w:rsidP="0084747F">
            <w:pPr>
              <w:spacing w:after="60" w:line="264" w:lineRule="auto"/>
              <w:jc w:val="both"/>
              <w:rPr>
                <w:rFonts w:cs="Times New Roman"/>
                <w:highlight w:val="yellow"/>
              </w:rPr>
            </w:pPr>
            <w:r w:rsidRPr="009F6D1E">
              <w:rPr>
                <w:rFonts w:cs="Times New Roman"/>
                <w:i/>
              </w:rPr>
              <w:t xml:space="preserve">- Инвестиции за превантивни действия и възстановяването на земеделски потенциал след природни бедствия или катастрофични събития </w:t>
            </w:r>
          </w:p>
        </w:tc>
        <w:tc>
          <w:tcPr>
            <w:tcW w:w="7513" w:type="dxa"/>
          </w:tcPr>
          <w:p w14:paraId="5F5060B5" w14:textId="77777777" w:rsidR="006554E3" w:rsidRPr="009F6D1E" w:rsidRDefault="006554E3" w:rsidP="0084747F">
            <w:pPr>
              <w:spacing w:after="60" w:line="264" w:lineRule="auto"/>
              <w:jc w:val="both"/>
              <w:rPr>
                <w:rFonts w:cs="Times New Roman"/>
                <w:b/>
                <w:bCs/>
                <w:i/>
              </w:rPr>
            </w:pPr>
            <w:r w:rsidRPr="009F6D1E">
              <w:rPr>
                <w:rFonts w:cs="Times New Roman"/>
                <w:b/>
                <w:bCs/>
                <w:i/>
              </w:rPr>
              <w:lastRenderedPageBreak/>
              <w:t>П.9.6. Подобряване отглеждането на животните</w:t>
            </w:r>
          </w:p>
          <w:p w14:paraId="299AE0CA" w14:textId="77777777" w:rsidR="006554E3" w:rsidRPr="009F6D1E" w:rsidRDefault="006554E3"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w:t>
            </w:r>
          </w:p>
          <w:p w14:paraId="35AE617A" w14:textId="77777777" w:rsidR="006554E3" w:rsidRPr="009F6D1E" w:rsidRDefault="006554E3"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Еко схема за поддържане на биологично земеделие (селскостопански животни) (по чл. 31 от Регламент (ЕС) 2021/2115)</w:t>
            </w:r>
          </w:p>
          <w:p w14:paraId="7DDE52B8" w14:textId="77777777" w:rsidR="006554E3" w:rsidRPr="009F6D1E" w:rsidRDefault="006554E3" w:rsidP="0084747F">
            <w:pPr>
              <w:spacing w:after="60" w:line="264" w:lineRule="auto"/>
              <w:jc w:val="both"/>
              <w:rPr>
                <w:rFonts w:cs="Times New Roman"/>
                <w:i/>
              </w:rPr>
            </w:pPr>
            <w:r w:rsidRPr="009F6D1E">
              <w:rPr>
                <w:rFonts w:cs="Times New Roman"/>
                <w:i/>
              </w:rPr>
              <w:t>- Интервенция насочена към хуманно отношение</w:t>
            </w:r>
          </w:p>
          <w:p w14:paraId="55184F09" w14:textId="77777777" w:rsidR="006554E3" w:rsidRPr="009F6D1E" w:rsidRDefault="006554E3" w:rsidP="0084747F">
            <w:pPr>
              <w:spacing w:after="60" w:line="264" w:lineRule="auto"/>
              <w:jc w:val="both"/>
              <w:rPr>
                <w:rFonts w:cs="Times New Roman"/>
                <w:b/>
                <w:bCs/>
                <w:i/>
              </w:rPr>
            </w:pPr>
            <w:r w:rsidRPr="009F6D1E">
              <w:rPr>
                <w:rFonts w:cs="Times New Roman"/>
                <w:i/>
              </w:rPr>
              <w:t>- Инвестиции за превантивни действия и възстановяването на земеделски потенциал след природни бедст</w:t>
            </w:r>
            <w:r w:rsidR="0096787A" w:rsidRPr="009F6D1E">
              <w:rPr>
                <w:rFonts w:cs="Times New Roman"/>
                <w:i/>
              </w:rPr>
              <w:t xml:space="preserve">вия или катастрофични събития </w:t>
            </w:r>
          </w:p>
        </w:tc>
      </w:tr>
      <w:tr w:rsidR="006554E3" w:rsidRPr="009F6D1E" w14:paraId="02354C86" w14:textId="77777777" w:rsidTr="00F92FD2">
        <w:tc>
          <w:tcPr>
            <w:tcW w:w="7366" w:type="dxa"/>
          </w:tcPr>
          <w:p w14:paraId="3D2C1DBE" w14:textId="77777777" w:rsidR="006554E3" w:rsidRPr="009F6D1E" w:rsidRDefault="006554E3" w:rsidP="0084747F">
            <w:pPr>
              <w:widowControl w:val="0"/>
              <w:tabs>
                <w:tab w:val="left" w:pos="5765"/>
              </w:tabs>
              <w:spacing w:after="60" w:line="264" w:lineRule="auto"/>
              <w:jc w:val="both"/>
              <w:rPr>
                <w:rFonts w:cs="Times New Roman"/>
                <w:highlight w:val="yellow"/>
              </w:rPr>
            </w:pPr>
          </w:p>
        </w:tc>
        <w:tc>
          <w:tcPr>
            <w:tcW w:w="7513" w:type="dxa"/>
          </w:tcPr>
          <w:p w14:paraId="607DD6EA"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П.9.7. Намаляване употребата на антимикробни средства в селското стопанство;</w:t>
            </w:r>
          </w:p>
          <w:p w14:paraId="56AAC77E"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 xml:space="preserve">: </w:t>
            </w:r>
          </w:p>
          <w:p w14:paraId="70B4099B"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w:t>
            </w:r>
            <w:r w:rsidRPr="009F6D1E">
              <w:rPr>
                <w:rFonts w:cs="Times New Roman"/>
                <w:color w:val="FF0000"/>
              </w:rPr>
              <w:t xml:space="preserve"> </w:t>
            </w:r>
            <w:r w:rsidRPr="009F6D1E">
              <w:rPr>
                <w:rFonts w:cs="Times New Roman"/>
                <w:i/>
                <w:color w:val="FF0000"/>
              </w:rPr>
              <w:t>Интервенция насочена към хуманно отношение съгл. чл. 70. (ЕЗФРСР)</w:t>
            </w:r>
          </w:p>
          <w:p w14:paraId="45E18189"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 Възстановяването на земеделски потенциал след природни бедствия или катастрофични събития и инвестиции в подходящи превантивни действия</w:t>
            </w:r>
          </w:p>
          <w:p w14:paraId="773332EB" w14:textId="77777777" w:rsidR="006554E3" w:rsidRPr="009F6D1E" w:rsidRDefault="006554E3" w:rsidP="0084747F">
            <w:pPr>
              <w:spacing w:after="60" w:line="264" w:lineRule="auto"/>
              <w:jc w:val="both"/>
              <w:rPr>
                <w:rFonts w:cs="Times New Roman"/>
                <w:b/>
                <w:bCs/>
                <w:i/>
                <w:color w:val="FF0000"/>
              </w:rPr>
            </w:pPr>
            <w:r w:rsidRPr="009F6D1E">
              <w:rPr>
                <w:rFonts w:cs="Times New Roman"/>
                <w:i/>
                <w:color w:val="FF0000"/>
              </w:rPr>
              <w:t>- Инвестиции в земеделски стопанства- член 73 (ЕЗФРСР)</w:t>
            </w:r>
          </w:p>
        </w:tc>
      </w:tr>
      <w:tr w:rsidR="006554E3" w:rsidRPr="009F6D1E" w14:paraId="5ACA4267" w14:textId="77777777" w:rsidTr="00F92FD2">
        <w:tc>
          <w:tcPr>
            <w:tcW w:w="7366" w:type="dxa"/>
          </w:tcPr>
          <w:p w14:paraId="51C55A90" w14:textId="77777777" w:rsidR="006554E3" w:rsidRPr="009F6D1E" w:rsidRDefault="006554E3" w:rsidP="0084747F">
            <w:pPr>
              <w:widowControl w:val="0"/>
              <w:tabs>
                <w:tab w:val="left" w:pos="5765"/>
              </w:tabs>
              <w:spacing w:after="60" w:line="264" w:lineRule="auto"/>
              <w:jc w:val="both"/>
              <w:rPr>
                <w:rFonts w:cs="Times New Roman"/>
                <w:highlight w:val="yellow"/>
              </w:rPr>
            </w:pPr>
          </w:p>
        </w:tc>
        <w:tc>
          <w:tcPr>
            <w:tcW w:w="7513" w:type="dxa"/>
          </w:tcPr>
          <w:p w14:paraId="1B3034C3"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rPr>
              <w:t>П.9.8.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p>
          <w:p w14:paraId="2364DD48" w14:textId="77777777" w:rsidR="006554E3" w:rsidRPr="009F6D1E" w:rsidRDefault="006554E3" w:rsidP="0084747F">
            <w:pPr>
              <w:spacing w:after="60" w:line="264" w:lineRule="auto"/>
              <w:jc w:val="both"/>
              <w:rPr>
                <w:rFonts w:cs="Times New Roman"/>
                <w:b/>
                <w:bCs/>
                <w:i/>
                <w:color w:val="FF0000"/>
              </w:rPr>
            </w:pPr>
            <w:r w:rsidRPr="009F6D1E">
              <w:rPr>
                <w:rFonts w:cs="Times New Roman"/>
                <w:b/>
                <w:bCs/>
                <w:i/>
                <w:color w:val="FF0000"/>
                <w:u w:val="single"/>
              </w:rPr>
              <w:t>Интервенции</w:t>
            </w:r>
            <w:r w:rsidRPr="009F6D1E">
              <w:rPr>
                <w:rFonts w:cs="Times New Roman"/>
                <w:b/>
                <w:bCs/>
                <w:i/>
                <w:color w:val="FF0000"/>
              </w:rPr>
              <w:t>:</w:t>
            </w:r>
          </w:p>
          <w:p w14:paraId="6F89CEB9"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lastRenderedPageBreak/>
              <w:t xml:space="preserve"> - Еко схема за намаляване използването на пестициди</w:t>
            </w:r>
          </w:p>
          <w:p w14:paraId="14CC788F" w14:textId="77777777" w:rsidR="006554E3" w:rsidRPr="009F6D1E" w:rsidRDefault="006554E3" w:rsidP="0084747F">
            <w:pPr>
              <w:spacing w:after="60" w:line="264" w:lineRule="auto"/>
              <w:jc w:val="both"/>
              <w:rPr>
                <w:rFonts w:cs="Times New Roman"/>
                <w:i/>
                <w:color w:val="FF0000"/>
              </w:rPr>
            </w:pPr>
            <w:r w:rsidRPr="009F6D1E">
              <w:rPr>
                <w:rFonts w:cs="Times New Roman"/>
                <w:i/>
                <w:color w:val="FF0000"/>
              </w:rPr>
              <w:t>- Еко схема за запазване и възстановяване на почвения потенциал</w:t>
            </w:r>
          </w:p>
          <w:p w14:paraId="0339C86A" w14:textId="77777777" w:rsidR="006554E3" w:rsidRPr="009F6D1E" w:rsidRDefault="006554E3" w:rsidP="0084747F">
            <w:pPr>
              <w:spacing w:after="60" w:line="264" w:lineRule="auto"/>
              <w:jc w:val="both"/>
              <w:rPr>
                <w:rFonts w:cs="Times New Roman"/>
                <w:b/>
                <w:bCs/>
                <w:i/>
                <w:color w:val="FF0000"/>
              </w:rPr>
            </w:pPr>
          </w:p>
        </w:tc>
      </w:tr>
      <w:tr w:rsidR="005F67AC" w:rsidRPr="009F6D1E" w14:paraId="494A45C8" w14:textId="77777777" w:rsidTr="00F92FD2">
        <w:tc>
          <w:tcPr>
            <w:tcW w:w="7366" w:type="dxa"/>
          </w:tcPr>
          <w:p w14:paraId="1C625698" w14:textId="77777777" w:rsidR="005F67AC" w:rsidRPr="009F6D1E" w:rsidRDefault="00D121EC" w:rsidP="0084747F">
            <w:pPr>
              <w:widowControl w:val="0"/>
              <w:tabs>
                <w:tab w:val="left" w:pos="5765"/>
              </w:tabs>
              <w:spacing w:after="60" w:line="264" w:lineRule="auto"/>
              <w:jc w:val="both"/>
              <w:rPr>
                <w:rFonts w:cs="Times New Roman"/>
                <w:highlight w:val="yellow"/>
              </w:rPr>
            </w:pPr>
            <w:r w:rsidRPr="009F6D1E">
              <w:rPr>
                <w:rFonts w:cs="Times New Roman"/>
                <w:b/>
                <w:bCs/>
                <w:i/>
                <w:color w:val="FF0000"/>
              </w:rPr>
              <w:lastRenderedPageBreak/>
              <w:t xml:space="preserve">ХОРИЗОНТАЛНА ЦЕЛ: </w:t>
            </w:r>
            <w:r w:rsidRPr="009F6D1E">
              <w:rPr>
                <w:rFonts w:cs="Times New Roman"/>
                <w:b/>
                <w:bCs/>
                <w:i/>
              </w:rPr>
              <w:t>Модернизиране на сектора чрез стимулиране и споделяне на знанията, иновациите и цифровизацията в селското стопанство и селските райони и насърчаване на използването им в по-голяма степен</w:t>
            </w:r>
          </w:p>
        </w:tc>
        <w:tc>
          <w:tcPr>
            <w:tcW w:w="7513" w:type="dxa"/>
          </w:tcPr>
          <w:p w14:paraId="03A0C24A" w14:textId="77777777" w:rsidR="005F67AC" w:rsidRPr="009F6D1E" w:rsidRDefault="005F67AC" w:rsidP="0084747F">
            <w:pPr>
              <w:spacing w:after="60" w:line="264" w:lineRule="auto"/>
              <w:jc w:val="both"/>
              <w:rPr>
                <w:rFonts w:cs="Times New Roman"/>
                <w:b/>
                <w:bCs/>
                <w:i/>
              </w:rPr>
            </w:pPr>
            <w:bookmarkStart w:id="54" w:name="_Hlk105770350"/>
            <w:r w:rsidRPr="009F6D1E">
              <w:rPr>
                <w:rFonts w:cs="Times New Roman"/>
                <w:b/>
                <w:bCs/>
                <w:i/>
                <w:color w:val="FF0000"/>
              </w:rPr>
              <w:t>Междусекторна цел 10</w:t>
            </w:r>
            <w:bookmarkEnd w:id="54"/>
            <w:r w:rsidRPr="009F6D1E">
              <w:rPr>
                <w:rFonts w:cs="Times New Roman"/>
                <w:b/>
                <w:bCs/>
                <w:i/>
              </w:rPr>
              <w:t xml:space="preserve">: Модернизиране на </w:t>
            </w:r>
            <w:r w:rsidRPr="009F6D1E">
              <w:rPr>
                <w:rFonts w:cs="Times New Roman"/>
                <w:b/>
                <w:bCs/>
                <w:i/>
                <w:color w:val="FF0000"/>
              </w:rPr>
              <w:t xml:space="preserve">селското стопанство и селските райони </w:t>
            </w:r>
            <w:r w:rsidRPr="009F6D1E">
              <w:rPr>
                <w:rFonts w:cs="Times New Roman"/>
                <w:b/>
                <w:bCs/>
                <w:i/>
              </w:rPr>
              <w:t xml:space="preserve">чрез стимулиране и споделяне на знания, иновации и цифровизация в селското стопанство и селските райони и </w:t>
            </w:r>
            <w:r w:rsidRPr="009F6D1E">
              <w:rPr>
                <w:rFonts w:cs="Times New Roman"/>
                <w:b/>
                <w:bCs/>
                <w:i/>
                <w:color w:val="FF0000"/>
              </w:rPr>
              <w:t xml:space="preserve">чрез </w:t>
            </w:r>
            <w:r w:rsidRPr="009F6D1E">
              <w:rPr>
                <w:rFonts w:cs="Times New Roman"/>
                <w:b/>
                <w:bCs/>
                <w:i/>
              </w:rPr>
              <w:t xml:space="preserve">насърчаване на използването им в по-голяма степен </w:t>
            </w:r>
            <w:r w:rsidRPr="009F6D1E">
              <w:rPr>
                <w:rFonts w:cs="Times New Roman"/>
                <w:b/>
                <w:bCs/>
                <w:i/>
                <w:color w:val="FF0000"/>
              </w:rPr>
              <w:t>от земеделските стопани чрез по-добър достъп до научни изследвания, иновации, обмен на знания и обучение</w:t>
            </w:r>
          </w:p>
        </w:tc>
      </w:tr>
      <w:tr w:rsidR="006554E3" w:rsidRPr="009F6D1E" w14:paraId="21F4B82B" w14:textId="77777777" w:rsidTr="00F92FD2">
        <w:tc>
          <w:tcPr>
            <w:tcW w:w="7366" w:type="dxa"/>
          </w:tcPr>
          <w:p w14:paraId="4163ECA3"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1</w:t>
            </w:r>
            <w:r w:rsidRPr="009F6D1E">
              <w:rPr>
                <w:rFonts w:cs="Times New Roman"/>
                <w:b/>
                <w:bCs/>
                <w:i/>
              </w:rPr>
              <w:t xml:space="preserve">: Осигуряване на ефективни методи за събираме, систематизиране и анализ на цялостна и представителна информация </w:t>
            </w:r>
            <w:r w:rsidRPr="009F6D1E">
              <w:rPr>
                <w:rFonts w:cs="Times New Roman"/>
                <w:b/>
                <w:bCs/>
                <w:i/>
                <w:color w:val="FF0000"/>
              </w:rPr>
              <w:t xml:space="preserve">и данни </w:t>
            </w:r>
            <w:r w:rsidRPr="009F6D1E">
              <w:rPr>
                <w:rFonts w:cs="Times New Roman"/>
                <w:b/>
                <w:bCs/>
                <w:i/>
              </w:rPr>
              <w:t>за състоянието и развитието на Системата за споделяне на знания и иновации, и цифровизация в селското стопанство/ССЗИСС;</w:t>
            </w:r>
          </w:p>
          <w:p w14:paraId="317A0108"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30866540" w14:textId="77777777" w:rsidR="0039682E" w:rsidRPr="009F6D1E" w:rsidRDefault="0039682E" w:rsidP="0084747F">
            <w:pPr>
              <w:spacing w:after="60" w:line="264" w:lineRule="auto"/>
              <w:jc w:val="both"/>
              <w:rPr>
                <w:rFonts w:cs="Times New Roman"/>
                <w:b/>
                <w:bCs/>
                <w:i/>
                <w:color w:val="FF0000"/>
              </w:rPr>
            </w:pPr>
            <w:r w:rsidRPr="009F6D1E">
              <w:rPr>
                <w:rFonts w:cs="Times New Roman"/>
                <w:b/>
                <w:bCs/>
                <w:i/>
              </w:rPr>
              <w:t xml:space="preserve">П.10.1. Осигуряване на ефективни методи за събиране, систематизиране и анализ на цялостна и представителна информация за състоянието и развитието на Системата за споделяне на знания и иновации и цифровизация в селското стопанство /ССЗИСС/, </w:t>
            </w:r>
            <w:r w:rsidRPr="009F6D1E">
              <w:rPr>
                <w:rFonts w:cs="Times New Roman"/>
                <w:b/>
                <w:bCs/>
                <w:i/>
                <w:color w:val="FF0000"/>
              </w:rPr>
              <w:t>включително чрез 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2EE71DD2" w14:textId="77777777" w:rsidR="0039682E" w:rsidRPr="009F6D1E" w:rsidRDefault="0039682E"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36FC565" w14:textId="77777777" w:rsidR="006554E3" w:rsidRPr="009F6D1E" w:rsidRDefault="0039682E" w:rsidP="0084747F">
            <w:pPr>
              <w:spacing w:after="60" w:line="264" w:lineRule="auto"/>
              <w:jc w:val="both"/>
              <w:rPr>
                <w:rFonts w:cs="Times New Roman"/>
                <w:b/>
                <w:bCs/>
                <w:i/>
              </w:rPr>
            </w:pPr>
            <w:r w:rsidRPr="009F6D1E">
              <w:rPr>
                <w:rFonts w:cs="Times New Roman"/>
                <w:i/>
              </w:rPr>
              <w:t>-</w:t>
            </w:r>
            <w:r w:rsidRPr="009F6D1E">
              <w:rPr>
                <w:rFonts w:cs="Times New Roman"/>
              </w:rPr>
              <w:t xml:space="preserve"> </w:t>
            </w:r>
            <w:r w:rsidRPr="009F6D1E">
              <w:rPr>
                <w:rFonts w:cs="Times New Roman"/>
                <w:i/>
                <w:color w:val="FF0000"/>
              </w:rPr>
              <w:t>Консултантски услуги и повишаване на консултантския капацитет</w:t>
            </w:r>
          </w:p>
        </w:tc>
      </w:tr>
      <w:tr w:rsidR="006554E3" w:rsidRPr="009F6D1E" w14:paraId="4E2A4430" w14:textId="77777777" w:rsidTr="00F92FD2">
        <w:tc>
          <w:tcPr>
            <w:tcW w:w="7366" w:type="dxa"/>
          </w:tcPr>
          <w:p w14:paraId="444A027E"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2</w:t>
            </w:r>
            <w:r w:rsidRPr="009F6D1E">
              <w:rPr>
                <w:rFonts w:cs="Times New Roman"/>
                <w:b/>
                <w:bCs/>
                <w:i/>
              </w:rPr>
              <w:t xml:space="preserve">: Укрепване на взаимовръзките между участниците, подобряване функционирането на ССЗИСС (AKIS) </w:t>
            </w:r>
            <w:r w:rsidRPr="009F6D1E">
              <w:rPr>
                <w:rFonts w:cs="Times New Roman"/>
                <w:b/>
                <w:bCs/>
                <w:i/>
              </w:rPr>
              <w:lastRenderedPageBreak/>
              <w:t>и насърчаване разпространението на знания и иновации в селското стопанство;</w:t>
            </w:r>
          </w:p>
          <w:p w14:paraId="664E7071"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w:t>
            </w:r>
          </w:p>
          <w:p w14:paraId="6A3C82A1" w14:textId="77777777" w:rsidR="006554E3" w:rsidRPr="009F6D1E" w:rsidRDefault="006554E3" w:rsidP="0084747F">
            <w:pPr>
              <w:widowControl w:val="0"/>
              <w:tabs>
                <w:tab w:val="left" w:pos="5765"/>
              </w:tabs>
              <w:spacing w:after="60" w:line="264" w:lineRule="auto"/>
              <w:jc w:val="both"/>
              <w:rPr>
                <w:rFonts w:cs="Times New Roman"/>
                <w:highlight w:val="yellow"/>
              </w:rPr>
            </w:pPr>
          </w:p>
        </w:tc>
        <w:tc>
          <w:tcPr>
            <w:tcW w:w="7513" w:type="dxa"/>
          </w:tcPr>
          <w:p w14:paraId="2E6C43B0" w14:textId="77777777" w:rsidR="0039682E" w:rsidRPr="009F6D1E" w:rsidRDefault="0039682E" w:rsidP="0084747F">
            <w:pPr>
              <w:spacing w:after="60" w:line="264" w:lineRule="auto"/>
              <w:jc w:val="both"/>
              <w:rPr>
                <w:rFonts w:cs="Times New Roman"/>
                <w:b/>
                <w:bCs/>
                <w:i/>
              </w:rPr>
            </w:pPr>
            <w:r w:rsidRPr="009F6D1E">
              <w:rPr>
                <w:rFonts w:cs="Times New Roman"/>
                <w:b/>
                <w:bCs/>
                <w:i/>
              </w:rPr>
              <w:lastRenderedPageBreak/>
              <w:t>П.10.2.Укрепване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0A6D91AE" w14:textId="77777777" w:rsidR="0039682E" w:rsidRPr="009F6D1E" w:rsidRDefault="0039682E" w:rsidP="0084747F">
            <w:pPr>
              <w:spacing w:after="60" w:line="264" w:lineRule="auto"/>
              <w:jc w:val="both"/>
              <w:rPr>
                <w:rFonts w:cs="Times New Roman"/>
                <w:b/>
                <w:bCs/>
                <w:i/>
              </w:rPr>
            </w:pPr>
            <w:r w:rsidRPr="009F6D1E">
              <w:rPr>
                <w:rFonts w:cs="Times New Roman"/>
                <w:b/>
                <w:bCs/>
                <w:i/>
                <w:u w:val="single"/>
              </w:rPr>
              <w:lastRenderedPageBreak/>
              <w:t>Интервенции</w:t>
            </w:r>
            <w:r w:rsidRPr="009F6D1E">
              <w:rPr>
                <w:rFonts w:cs="Times New Roman"/>
                <w:b/>
                <w:bCs/>
                <w:i/>
              </w:rPr>
              <w:t>:</w:t>
            </w:r>
          </w:p>
          <w:p w14:paraId="287A726A" w14:textId="77777777" w:rsidR="0039682E" w:rsidRPr="009F6D1E" w:rsidRDefault="0039682E"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Подкрепа за оперативни групи в рамките на Европейското партньорство за иновации</w:t>
            </w:r>
          </w:p>
          <w:p w14:paraId="7C841ACE" w14:textId="77777777" w:rsidR="0039682E" w:rsidRPr="009F6D1E" w:rsidRDefault="0039682E" w:rsidP="0084747F">
            <w:pPr>
              <w:spacing w:after="60" w:line="264" w:lineRule="auto"/>
              <w:jc w:val="both"/>
              <w:rPr>
                <w:rFonts w:cs="Times New Roman"/>
                <w:i/>
                <w:color w:val="FF0000"/>
              </w:rPr>
            </w:pPr>
            <w:r w:rsidRPr="009F6D1E">
              <w:rPr>
                <w:rFonts w:cs="Times New Roman"/>
                <w:i/>
                <w:color w:val="FF0000"/>
              </w:rPr>
              <w:t>- Консултантски услуги и повишаване на консултантския капацитет</w:t>
            </w:r>
          </w:p>
          <w:p w14:paraId="730549EB" w14:textId="77777777" w:rsidR="0039682E" w:rsidRPr="009F6D1E" w:rsidRDefault="0039682E" w:rsidP="0084747F">
            <w:pPr>
              <w:spacing w:after="60" w:line="264" w:lineRule="auto"/>
              <w:jc w:val="both"/>
              <w:rPr>
                <w:rFonts w:cs="Times New Roman"/>
                <w:i/>
                <w:color w:val="FF0000"/>
              </w:rPr>
            </w:pPr>
            <w:r w:rsidRPr="009F6D1E">
              <w:rPr>
                <w:rFonts w:cs="Times New Roman"/>
                <w:i/>
                <w:color w:val="FF0000"/>
              </w:rPr>
              <w:t>- Професионално обучение и придобиване на умения</w:t>
            </w:r>
          </w:p>
          <w:p w14:paraId="2CF1AA98" w14:textId="77777777" w:rsidR="006554E3" w:rsidRPr="009F6D1E" w:rsidRDefault="006554E3" w:rsidP="0084747F">
            <w:pPr>
              <w:spacing w:after="60" w:line="264" w:lineRule="auto"/>
              <w:jc w:val="both"/>
              <w:rPr>
                <w:rFonts w:cs="Times New Roman"/>
                <w:b/>
                <w:bCs/>
                <w:i/>
              </w:rPr>
            </w:pPr>
          </w:p>
        </w:tc>
      </w:tr>
      <w:tr w:rsidR="006554E3" w:rsidRPr="009F6D1E" w14:paraId="13D8A514" w14:textId="77777777" w:rsidTr="00F92FD2">
        <w:tc>
          <w:tcPr>
            <w:tcW w:w="7366" w:type="dxa"/>
          </w:tcPr>
          <w:p w14:paraId="4686BD67"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Потребност 3</w:t>
            </w:r>
            <w:r w:rsidRPr="009F6D1E">
              <w:rPr>
                <w:rFonts w:cs="Times New Roman"/>
                <w:b/>
                <w:bCs/>
                <w:i/>
              </w:rPr>
              <w:t>: Повишаване на професионалната квалификация на предприемачите и заетите лица в селскостопанския отрасъл чрез адаптиране на формите за трансфер на знания към специфичните секторни особености;</w:t>
            </w:r>
          </w:p>
          <w:p w14:paraId="3A1CFBB3" w14:textId="77777777" w:rsidR="006554E3"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04F0CF5B" w14:textId="77777777" w:rsidR="0039682E" w:rsidRPr="009F6D1E" w:rsidRDefault="0039682E" w:rsidP="0084747F">
            <w:pPr>
              <w:spacing w:after="60" w:line="264" w:lineRule="auto"/>
              <w:jc w:val="both"/>
              <w:rPr>
                <w:rFonts w:cs="Times New Roman"/>
                <w:b/>
                <w:bCs/>
                <w:i/>
              </w:rPr>
            </w:pPr>
            <w:r w:rsidRPr="009F6D1E">
              <w:rPr>
                <w:rFonts w:cs="Times New Roman"/>
                <w:b/>
                <w:bCs/>
                <w:i/>
              </w:rPr>
              <w:t>П.10.3. Повишаване на професионалната квалификация на предприемачите и заетите лица в селскостопанския отрасъл чрез адаптиране на формите за трансфер на знания към специфичните секторни особености</w:t>
            </w:r>
          </w:p>
          <w:p w14:paraId="254F9AEB" w14:textId="77777777" w:rsidR="0039682E" w:rsidRPr="009F6D1E" w:rsidRDefault="0039682E"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79F7006F" w14:textId="77777777" w:rsidR="006554E3" w:rsidRPr="009F6D1E" w:rsidRDefault="0039682E" w:rsidP="0084747F">
            <w:pPr>
              <w:spacing w:after="60" w:line="264" w:lineRule="auto"/>
              <w:jc w:val="both"/>
              <w:rPr>
                <w:rFonts w:cs="Times New Roman"/>
                <w:b/>
                <w:bCs/>
                <w:i/>
              </w:rPr>
            </w:pPr>
            <w:r w:rsidRPr="009F6D1E">
              <w:rPr>
                <w:rFonts w:cs="Times New Roman"/>
                <w:b/>
                <w:bCs/>
                <w:i/>
              </w:rPr>
              <w:t xml:space="preserve"> -</w:t>
            </w:r>
            <w:r w:rsidRPr="009F6D1E">
              <w:rPr>
                <w:rFonts w:cs="Times New Roman"/>
              </w:rPr>
              <w:t xml:space="preserve"> </w:t>
            </w:r>
            <w:r w:rsidRPr="009F6D1E">
              <w:rPr>
                <w:rFonts w:cs="Times New Roman"/>
                <w:i/>
                <w:color w:val="FF0000"/>
              </w:rPr>
              <w:t>Професионално обучение и придобиване на умения</w:t>
            </w:r>
          </w:p>
        </w:tc>
      </w:tr>
      <w:tr w:rsidR="0039682E" w:rsidRPr="009F6D1E" w14:paraId="2A86E306" w14:textId="77777777" w:rsidTr="00F92FD2">
        <w:tc>
          <w:tcPr>
            <w:tcW w:w="7366" w:type="dxa"/>
          </w:tcPr>
          <w:p w14:paraId="7941A264"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Потребност 4</w:t>
            </w:r>
            <w:r w:rsidRPr="009F6D1E">
              <w:rPr>
                <w:rFonts w:cs="Times New Roman"/>
                <w:b/>
                <w:bCs/>
                <w:i/>
              </w:rPr>
              <w:t>: Насърчаване на различни форми на коопериране между различните участници в системата на ССЗИСС за подобряване ефективността от внедряването, разпространението и приложението на иновативни решения, базирани на</w:t>
            </w:r>
            <w:r w:rsidR="00D70AE6" w:rsidRPr="009F6D1E">
              <w:rPr>
                <w:rFonts w:cs="Times New Roman"/>
                <w:b/>
                <w:bCs/>
                <w:i/>
              </w:rPr>
              <w:t xml:space="preserve"> </w:t>
            </w:r>
            <w:r w:rsidRPr="009F6D1E">
              <w:rPr>
                <w:rFonts w:cs="Times New Roman"/>
                <w:b/>
                <w:bCs/>
                <w:i/>
              </w:rPr>
              <w:t>дигитални технологии и споделяне на знания, специфични за различните секторни производства;</w:t>
            </w:r>
          </w:p>
          <w:p w14:paraId="65FFC405" w14:textId="77777777" w:rsidR="0039682E" w:rsidRPr="009F6D1E" w:rsidRDefault="001E18A3" w:rsidP="0084747F">
            <w:pPr>
              <w:widowControl w:val="0"/>
              <w:tabs>
                <w:tab w:val="left" w:pos="5765"/>
              </w:tabs>
              <w:spacing w:after="60" w:line="264" w:lineRule="auto"/>
              <w:jc w:val="both"/>
              <w:rPr>
                <w:rFonts w:cs="Times New Roman"/>
                <w:highlight w:val="yellow"/>
              </w:rPr>
            </w:pPr>
            <w:r w:rsidRPr="009F6D1E">
              <w:rPr>
                <w:rFonts w:cs="Times New Roman"/>
                <w:b/>
                <w:bCs/>
                <w:i/>
                <w:u w:val="single"/>
              </w:rPr>
              <w:t>Интервенции</w:t>
            </w:r>
            <w:r w:rsidRPr="009F6D1E">
              <w:rPr>
                <w:rFonts w:cs="Times New Roman"/>
                <w:b/>
                <w:bCs/>
                <w:i/>
              </w:rPr>
              <w:t>: -</w:t>
            </w:r>
          </w:p>
        </w:tc>
        <w:tc>
          <w:tcPr>
            <w:tcW w:w="7513" w:type="dxa"/>
          </w:tcPr>
          <w:p w14:paraId="200FF106" w14:textId="77777777" w:rsidR="0039682E" w:rsidRPr="009F6D1E" w:rsidRDefault="0039682E" w:rsidP="0084747F">
            <w:pPr>
              <w:spacing w:after="60" w:line="264" w:lineRule="auto"/>
              <w:jc w:val="both"/>
              <w:rPr>
                <w:rFonts w:cs="Times New Roman"/>
                <w:b/>
                <w:bCs/>
                <w:i/>
              </w:rPr>
            </w:pPr>
            <w:r w:rsidRPr="009F6D1E">
              <w:rPr>
                <w:rFonts w:cs="Times New Roman"/>
                <w:b/>
                <w:bCs/>
                <w:i/>
              </w:rPr>
              <w:t>П.10.4. Насърчаване на различни форми на коопериране между различните участници в системата на ССЗИСС за подобряване ефективността от внедряването, разпространението и приложението на иновативни решения базирани на дигитални технологии и споделяне на знания, специфични за различните секторни производства</w:t>
            </w:r>
          </w:p>
          <w:p w14:paraId="1E9E3AAA" w14:textId="77777777" w:rsidR="0039682E" w:rsidRPr="009F6D1E" w:rsidRDefault="0039682E"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w:t>
            </w:r>
          </w:p>
          <w:p w14:paraId="373D4A2D" w14:textId="77777777" w:rsidR="0039682E" w:rsidRPr="009F6D1E" w:rsidRDefault="0039682E"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w:t>
            </w:r>
            <w:r w:rsidRPr="009F6D1E">
              <w:rPr>
                <w:rFonts w:cs="Times New Roman"/>
                <w:color w:val="FF0000"/>
              </w:rPr>
              <w:t xml:space="preserve"> </w:t>
            </w:r>
            <w:r w:rsidRPr="009F6D1E">
              <w:rPr>
                <w:rFonts w:cs="Times New Roman"/>
                <w:i/>
                <w:color w:val="FF0000"/>
              </w:rPr>
              <w:t>Подкрепа за оперативни групи в рамките на Европейското партньорство за иновации</w:t>
            </w:r>
          </w:p>
          <w:p w14:paraId="45535F96" w14:textId="77777777" w:rsidR="0039682E" w:rsidRPr="009F6D1E" w:rsidRDefault="0039682E" w:rsidP="0084747F">
            <w:pPr>
              <w:spacing w:after="60" w:line="264" w:lineRule="auto"/>
              <w:jc w:val="both"/>
              <w:rPr>
                <w:rFonts w:cs="Times New Roman"/>
                <w:b/>
                <w:bCs/>
                <w:i/>
              </w:rPr>
            </w:pPr>
            <w:r w:rsidRPr="009F6D1E">
              <w:rPr>
                <w:rFonts w:cs="Times New Roman"/>
                <w:i/>
                <w:color w:val="FF0000"/>
              </w:rPr>
              <w:lastRenderedPageBreak/>
              <w:t>- Професионално обучение и придобиване на умения</w:t>
            </w:r>
          </w:p>
        </w:tc>
      </w:tr>
      <w:tr w:rsidR="0039682E" w:rsidRPr="009F6D1E" w14:paraId="03C63576" w14:textId="77777777" w:rsidTr="00F92FD2">
        <w:tc>
          <w:tcPr>
            <w:tcW w:w="7366" w:type="dxa"/>
          </w:tcPr>
          <w:p w14:paraId="13C01561"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lastRenderedPageBreak/>
              <w:t>Потребност 5</w:t>
            </w:r>
            <w:r w:rsidRPr="009F6D1E">
              <w:rPr>
                <w:rFonts w:cs="Times New Roman"/>
                <w:b/>
                <w:bCs/>
                <w:i/>
              </w:rPr>
              <w:t xml:space="preserve">: Цифровизация и дигитализация </w:t>
            </w:r>
            <w:r w:rsidRPr="009F6D1E">
              <w:rPr>
                <w:rFonts w:cs="Times New Roman"/>
                <w:b/>
                <w:bCs/>
                <w:i/>
                <w:color w:val="FF0000"/>
              </w:rPr>
              <w:t>на аграрното управление и продоволствената</w:t>
            </w:r>
            <w:r w:rsidR="00D70AE6" w:rsidRPr="009F6D1E">
              <w:rPr>
                <w:rFonts w:cs="Times New Roman"/>
                <w:b/>
                <w:bCs/>
                <w:i/>
                <w:color w:val="FF0000"/>
              </w:rPr>
              <w:t xml:space="preserve"> </w:t>
            </w:r>
            <w:r w:rsidRPr="009F6D1E">
              <w:rPr>
                <w:rFonts w:cs="Times New Roman"/>
                <w:b/>
                <w:bCs/>
                <w:i/>
                <w:color w:val="FF0000"/>
              </w:rPr>
              <w:t>обезпеченост</w:t>
            </w:r>
            <w:r w:rsidRPr="009F6D1E">
              <w:rPr>
                <w:rFonts w:cs="Times New Roman"/>
                <w:b/>
                <w:bCs/>
                <w:i/>
              </w:rPr>
              <w:t>. Подкрепа за внедряването на цифрови технологии за управление на стопанствата и оптимизация на производствените и административните процеси;</w:t>
            </w:r>
          </w:p>
          <w:p w14:paraId="4B00E68E" w14:textId="77777777" w:rsidR="001E18A3" w:rsidRPr="009F6D1E" w:rsidRDefault="001E18A3"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w:t>
            </w:r>
          </w:p>
          <w:p w14:paraId="7C99B7E3" w14:textId="77777777" w:rsidR="0039682E" w:rsidRPr="009F6D1E" w:rsidRDefault="0039682E" w:rsidP="0084747F">
            <w:pPr>
              <w:widowControl w:val="0"/>
              <w:tabs>
                <w:tab w:val="left" w:pos="5765"/>
              </w:tabs>
              <w:spacing w:after="60" w:line="264" w:lineRule="auto"/>
              <w:jc w:val="both"/>
              <w:rPr>
                <w:rFonts w:cs="Times New Roman"/>
                <w:highlight w:val="yellow"/>
              </w:rPr>
            </w:pPr>
          </w:p>
        </w:tc>
        <w:tc>
          <w:tcPr>
            <w:tcW w:w="7513" w:type="dxa"/>
          </w:tcPr>
          <w:p w14:paraId="30308BA8" w14:textId="77777777" w:rsidR="0039682E" w:rsidRPr="009F6D1E" w:rsidRDefault="0039682E" w:rsidP="0084747F">
            <w:pPr>
              <w:spacing w:after="60" w:line="264" w:lineRule="auto"/>
              <w:jc w:val="both"/>
              <w:rPr>
                <w:rFonts w:cs="Times New Roman"/>
                <w:b/>
                <w:bCs/>
                <w:i/>
              </w:rPr>
            </w:pPr>
            <w:r w:rsidRPr="009F6D1E">
              <w:rPr>
                <w:rFonts w:cs="Times New Roman"/>
                <w:b/>
                <w:bCs/>
                <w:i/>
              </w:rPr>
              <w:t>П.10.5.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p>
          <w:p w14:paraId="516A802D" w14:textId="77777777" w:rsidR="0039682E" w:rsidRPr="009F6D1E" w:rsidRDefault="0039682E" w:rsidP="0084747F">
            <w:pPr>
              <w:spacing w:after="60" w:line="264" w:lineRule="auto"/>
              <w:jc w:val="both"/>
              <w:rPr>
                <w:rFonts w:cs="Times New Roman"/>
                <w:b/>
                <w:bCs/>
                <w:i/>
              </w:rPr>
            </w:pPr>
            <w:r w:rsidRPr="009F6D1E">
              <w:rPr>
                <w:rFonts w:cs="Times New Roman"/>
                <w:b/>
                <w:bCs/>
                <w:i/>
                <w:u w:val="single"/>
              </w:rPr>
              <w:t>Интервенции</w:t>
            </w:r>
            <w:r w:rsidRPr="009F6D1E">
              <w:rPr>
                <w:rFonts w:cs="Times New Roman"/>
                <w:b/>
                <w:bCs/>
                <w:i/>
              </w:rPr>
              <w:t xml:space="preserve">: </w:t>
            </w:r>
          </w:p>
          <w:p w14:paraId="7DC41782" w14:textId="77777777" w:rsidR="0039682E" w:rsidRPr="009F6D1E" w:rsidRDefault="0039682E" w:rsidP="0084747F">
            <w:pPr>
              <w:spacing w:after="60" w:line="264" w:lineRule="auto"/>
              <w:jc w:val="both"/>
              <w:rPr>
                <w:rFonts w:cs="Times New Roman"/>
                <w:i/>
                <w:color w:val="FF0000"/>
              </w:rPr>
            </w:pPr>
            <w:r w:rsidRPr="009F6D1E">
              <w:rPr>
                <w:rFonts w:cs="Times New Roman"/>
                <w:i/>
              </w:rPr>
              <w:t xml:space="preserve">- </w:t>
            </w:r>
            <w:r w:rsidRPr="009F6D1E">
              <w:rPr>
                <w:rFonts w:cs="Times New Roman"/>
                <w:i/>
                <w:color w:val="FF0000"/>
              </w:rPr>
              <w:t>Инвестиции в земеделски стопанства</w:t>
            </w:r>
          </w:p>
          <w:p w14:paraId="66C6DC45" w14:textId="77777777" w:rsidR="0039682E" w:rsidRPr="009F6D1E" w:rsidRDefault="0039682E" w:rsidP="0084747F">
            <w:pPr>
              <w:spacing w:after="60" w:line="264" w:lineRule="auto"/>
              <w:jc w:val="both"/>
              <w:rPr>
                <w:rFonts w:cs="Times New Roman"/>
                <w:i/>
                <w:color w:val="FF0000"/>
              </w:rPr>
            </w:pPr>
            <w:r w:rsidRPr="009F6D1E">
              <w:rPr>
                <w:rFonts w:cs="Times New Roman"/>
                <w:i/>
                <w:color w:val="FF0000"/>
              </w:rPr>
              <w:t>- Консултантски услуги и повишаване на консултантския капацитет</w:t>
            </w:r>
          </w:p>
          <w:p w14:paraId="75FD419E" w14:textId="77777777" w:rsidR="0039682E" w:rsidRPr="009F6D1E" w:rsidRDefault="0039682E" w:rsidP="0084747F">
            <w:pPr>
              <w:spacing w:after="60" w:line="264" w:lineRule="auto"/>
              <w:jc w:val="both"/>
              <w:rPr>
                <w:rFonts w:cs="Times New Roman"/>
                <w:i/>
                <w:color w:val="FF0000"/>
              </w:rPr>
            </w:pPr>
            <w:r w:rsidRPr="009F6D1E">
              <w:rPr>
                <w:rFonts w:cs="Times New Roman"/>
                <w:i/>
                <w:color w:val="FF0000"/>
              </w:rPr>
              <w:t>- Професионално образование и придобиване на умения</w:t>
            </w:r>
          </w:p>
          <w:p w14:paraId="0FCB4296" w14:textId="77777777" w:rsidR="0039682E" w:rsidRPr="009F6D1E" w:rsidRDefault="0039682E" w:rsidP="0084747F">
            <w:pPr>
              <w:spacing w:after="60" w:line="264" w:lineRule="auto"/>
              <w:jc w:val="both"/>
              <w:rPr>
                <w:rFonts w:cs="Times New Roman"/>
                <w:i/>
              </w:rPr>
            </w:pPr>
            <w:r w:rsidRPr="009F6D1E">
              <w:rPr>
                <w:rFonts w:cs="Times New Roman"/>
                <w:i/>
                <w:color w:val="FF0000"/>
              </w:rPr>
              <w:t>- Подкрепа за оперативни групи в рамките на ЕПИ</w:t>
            </w:r>
          </w:p>
        </w:tc>
      </w:tr>
    </w:tbl>
    <w:p w14:paraId="65FD8F7C" w14:textId="77777777" w:rsidR="00D72000" w:rsidRPr="009F6D1E" w:rsidRDefault="00D72000" w:rsidP="0084747F">
      <w:pPr>
        <w:widowControl w:val="0"/>
        <w:tabs>
          <w:tab w:val="left" w:pos="5765"/>
        </w:tabs>
        <w:spacing w:after="60" w:line="264" w:lineRule="auto"/>
        <w:ind w:firstLine="720"/>
        <w:jc w:val="both"/>
        <w:rPr>
          <w:rFonts w:cs="Times New Roman"/>
          <w:szCs w:val="24"/>
          <w:highlight w:val="yellow"/>
        </w:rPr>
      </w:pPr>
    </w:p>
    <w:p w14:paraId="4B767AE9" w14:textId="77777777" w:rsidR="00D72000" w:rsidRPr="009F6D1E" w:rsidRDefault="00D72000" w:rsidP="0084747F">
      <w:pPr>
        <w:widowControl w:val="0"/>
        <w:tabs>
          <w:tab w:val="left" w:pos="5765"/>
        </w:tabs>
        <w:spacing w:after="60" w:line="264" w:lineRule="auto"/>
        <w:ind w:firstLine="720"/>
        <w:jc w:val="both"/>
        <w:rPr>
          <w:rFonts w:cs="Times New Roman"/>
          <w:szCs w:val="24"/>
        </w:rPr>
      </w:pPr>
    </w:p>
    <w:p w14:paraId="1B5627F2" w14:textId="77777777" w:rsidR="00F92FD2" w:rsidRPr="009F6D1E" w:rsidRDefault="00F92FD2" w:rsidP="0084747F">
      <w:pPr>
        <w:widowControl w:val="0"/>
        <w:tabs>
          <w:tab w:val="left" w:pos="5765"/>
        </w:tabs>
        <w:spacing w:after="60" w:line="264" w:lineRule="auto"/>
        <w:ind w:firstLine="720"/>
        <w:jc w:val="both"/>
        <w:rPr>
          <w:rFonts w:cs="Times New Roman"/>
          <w:szCs w:val="24"/>
        </w:rPr>
        <w:sectPr w:rsidR="00F92FD2" w:rsidRPr="009F6D1E" w:rsidSect="00F92FD2">
          <w:pgSz w:w="16840" w:h="11907" w:orient="landscape" w:code="9"/>
          <w:pgMar w:top="1418" w:right="1418" w:bottom="851" w:left="1134" w:header="709" w:footer="709" w:gutter="0"/>
          <w:cols w:space="720"/>
          <w:docGrid w:linePitch="360"/>
        </w:sectPr>
      </w:pPr>
    </w:p>
    <w:p w14:paraId="53472696" w14:textId="77777777" w:rsidR="009D5D1B" w:rsidRPr="009F6D1E" w:rsidRDefault="009D5D1B" w:rsidP="0084747F">
      <w:pPr>
        <w:widowControl w:val="0"/>
        <w:tabs>
          <w:tab w:val="left" w:pos="5765"/>
        </w:tabs>
        <w:spacing w:after="60" w:line="264" w:lineRule="auto"/>
        <w:ind w:firstLine="720"/>
        <w:jc w:val="both"/>
        <w:rPr>
          <w:rFonts w:cs="Times New Roman"/>
          <w:szCs w:val="24"/>
        </w:rPr>
      </w:pPr>
      <w:r w:rsidRPr="009F6D1E">
        <w:rPr>
          <w:rFonts w:cs="Times New Roman"/>
          <w:szCs w:val="24"/>
        </w:rPr>
        <w:lastRenderedPageBreak/>
        <w:t xml:space="preserve">При разработването на </w:t>
      </w:r>
      <w:r w:rsidR="00CD4045" w:rsidRPr="009F6D1E">
        <w:rPr>
          <w:rFonts w:cs="Times New Roman"/>
          <w:szCs w:val="24"/>
        </w:rPr>
        <w:t>СПРЗСР</w:t>
      </w:r>
      <w:r w:rsidRPr="009F6D1E">
        <w:rPr>
          <w:rFonts w:cs="Times New Roman"/>
          <w:szCs w:val="24"/>
        </w:rPr>
        <w:t xml:space="preserve"> 2023-2027г., са следвани насоките на Европейската комисия, съгласно които приоритизирането следва да се извърши на ниво специфични цели като на база SWOT анализа и </w:t>
      </w:r>
      <w:proofErr w:type="spellStart"/>
      <w:r w:rsidRPr="009F6D1E">
        <w:rPr>
          <w:rFonts w:cs="Times New Roman"/>
          <w:szCs w:val="24"/>
        </w:rPr>
        <w:t>приоритизираните</w:t>
      </w:r>
      <w:proofErr w:type="spellEnd"/>
      <w:r w:rsidRPr="009F6D1E">
        <w:rPr>
          <w:rFonts w:cs="Times New Roman"/>
          <w:szCs w:val="24"/>
        </w:rPr>
        <w:t xml:space="preserve"> потребности се извършва селекция от интервенции и необходимия финансов ресурс за съответните интервенции и за изпълнение на целите.</w:t>
      </w:r>
    </w:p>
    <w:p w14:paraId="6BA020C1" w14:textId="77777777" w:rsidR="009D5D1B" w:rsidRPr="009F6D1E" w:rsidRDefault="009D5D1B"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Важно е да се отбележи, че съгласно насоките на ЕК по-високо </w:t>
      </w:r>
      <w:proofErr w:type="spellStart"/>
      <w:r w:rsidRPr="009F6D1E">
        <w:rPr>
          <w:rFonts w:cs="Times New Roman"/>
          <w:szCs w:val="24"/>
        </w:rPr>
        <w:t>приоритизираните</w:t>
      </w:r>
      <w:proofErr w:type="spellEnd"/>
      <w:r w:rsidRPr="009F6D1E">
        <w:rPr>
          <w:rFonts w:cs="Times New Roman"/>
          <w:szCs w:val="24"/>
        </w:rPr>
        <w:t xml:space="preserve"> потребности не следва задължително да се обвързват с по-висок размер на финансовия ресурс. Интервенциите, допринасящи за посрещане на нуждите с по-висока стратегическа стойност, могат да бъдат претеглени по-високо по отношение на приоритета за финансово разпределение. Това обаче не означава, че има пряка и непосредствена връзка между приоритизирането на нуждите и стойностите на финансовите средства. Например, интервенциите, които допринасят за нуждите с висок приоритет, но подкрепят действия с ниски единични разходи (напр. дейности за обучение), може да не се нуждаят от големи финансови средства, докато интервенциите, свързани със средни или ниско приоритетни нужди, но подкрепящи много скъпи проекти (напр. инвестиции) може да изисква значителни финансови средства.</w:t>
      </w:r>
    </w:p>
    <w:p w14:paraId="79158B43" w14:textId="0906DE14" w:rsidR="00346DA4" w:rsidRPr="009F6D1E" w:rsidRDefault="009D5D1B" w:rsidP="0084747F">
      <w:pPr>
        <w:widowControl w:val="0"/>
        <w:spacing w:after="60" w:line="264" w:lineRule="auto"/>
        <w:ind w:firstLine="720"/>
        <w:jc w:val="both"/>
        <w:rPr>
          <w:rFonts w:cs="Times New Roman"/>
          <w:szCs w:val="24"/>
        </w:rPr>
      </w:pPr>
      <w:r w:rsidRPr="009F6D1E">
        <w:rPr>
          <w:rFonts w:cs="Times New Roman"/>
          <w:szCs w:val="24"/>
        </w:rPr>
        <w:t xml:space="preserve"> </w:t>
      </w:r>
      <w:r w:rsidR="00346DA4" w:rsidRPr="009F6D1E">
        <w:rPr>
          <w:rFonts w:cs="Times New Roman"/>
          <w:szCs w:val="24"/>
        </w:rPr>
        <w:t xml:space="preserve">Видно от сравнителния анализ, направен в </w:t>
      </w:r>
      <w:r>
        <w:fldChar w:fldCharType="begin"/>
      </w:r>
      <w:r>
        <w:instrText xml:space="preserve"> REF _Ref106448309 \h  \* MERGEFORMAT </w:instrText>
      </w:r>
      <w:r>
        <w:fldChar w:fldCharType="separate"/>
      </w:r>
      <w:r w:rsidR="00A43EF3" w:rsidRPr="00A43EF3">
        <w:rPr>
          <w:rFonts w:cs="Times New Roman"/>
          <w:szCs w:val="24"/>
        </w:rPr>
        <w:t>Таблица 1</w:t>
      </w:r>
      <w:r>
        <w:fldChar w:fldCharType="end"/>
      </w:r>
      <w:r w:rsidR="001E44D1" w:rsidRPr="009F6D1E">
        <w:rPr>
          <w:rFonts w:cs="Times New Roman"/>
          <w:szCs w:val="24"/>
        </w:rPr>
        <w:t xml:space="preserve"> </w:t>
      </w:r>
      <w:r w:rsidR="00346DA4" w:rsidRPr="009F6D1E">
        <w:rPr>
          <w:rFonts w:cs="Times New Roman"/>
          <w:szCs w:val="24"/>
        </w:rPr>
        <w:t xml:space="preserve">в процеса на изготвяне на </w:t>
      </w:r>
      <w:r w:rsidR="00CD4045" w:rsidRPr="009F6D1E">
        <w:rPr>
          <w:rFonts w:cs="Times New Roman"/>
          <w:szCs w:val="24"/>
        </w:rPr>
        <w:t>СПРЗСР</w:t>
      </w:r>
      <w:r w:rsidR="00346DA4" w:rsidRPr="009F6D1E">
        <w:rPr>
          <w:rFonts w:cs="Times New Roman"/>
          <w:szCs w:val="24"/>
        </w:rPr>
        <w:t xml:space="preserve"> 2023-2027 специфичните цели, потребностите и интервенциите по тях са доуточнявани, конкретизирани, допълвани или преформулирани така, че да обхванат в максимална степен допустимите дейности по Стратегическия план.</w:t>
      </w:r>
    </w:p>
    <w:p w14:paraId="4A8C92FC" w14:textId="77777777" w:rsidR="00B94F6C" w:rsidRPr="009F6D1E" w:rsidRDefault="00212BE7" w:rsidP="0084747F">
      <w:pPr>
        <w:widowControl w:val="0"/>
        <w:spacing w:after="60" w:line="264" w:lineRule="auto"/>
        <w:ind w:firstLine="720"/>
        <w:jc w:val="both"/>
        <w:rPr>
          <w:rFonts w:cs="Times New Roman"/>
          <w:szCs w:val="24"/>
        </w:rPr>
      </w:pPr>
      <w:r w:rsidRPr="009F6D1E">
        <w:rPr>
          <w:rFonts w:cs="Times New Roman"/>
          <w:szCs w:val="24"/>
        </w:rPr>
        <w:t xml:space="preserve">При разработването на Вариант </w:t>
      </w:r>
      <w:r w:rsidR="00D11943" w:rsidRPr="009F6D1E">
        <w:rPr>
          <w:rFonts w:cs="Times New Roman"/>
          <w:szCs w:val="24"/>
        </w:rPr>
        <w:t>1</w:t>
      </w:r>
      <w:r w:rsidRPr="009F6D1E">
        <w:rPr>
          <w:rFonts w:cs="Times New Roman"/>
          <w:szCs w:val="24"/>
        </w:rPr>
        <w:t xml:space="preserve"> на </w:t>
      </w:r>
      <w:r w:rsidR="00CD4045" w:rsidRPr="009F6D1E">
        <w:rPr>
          <w:rFonts w:cs="Times New Roman"/>
          <w:szCs w:val="24"/>
        </w:rPr>
        <w:t>СПРЗСР</w:t>
      </w:r>
      <w:r w:rsidRPr="009F6D1E">
        <w:rPr>
          <w:rFonts w:cs="Times New Roman"/>
          <w:szCs w:val="24"/>
        </w:rPr>
        <w:t xml:space="preserve"> 2023-2027г., </w:t>
      </w:r>
      <w:r w:rsidR="00D11943" w:rsidRPr="009F6D1E">
        <w:rPr>
          <w:rFonts w:cs="Times New Roman"/>
          <w:szCs w:val="24"/>
        </w:rPr>
        <w:t>изпратен в ЕК</w:t>
      </w:r>
      <w:r w:rsidR="00597562" w:rsidRPr="009F6D1E">
        <w:rPr>
          <w:rFonts w:cs="Times New Roman"/>
          <w:szCs w:val="24"/>
        </w:rPr>
        <w:t>,</w:t>
      </w:r>
      <w:r w:rsidR="00D11943" w:rsidRPr="009F6D1E">
        <w:rPr>
          <w:rFonts w:cs="Times New Roman"/>
          <w:szCs w:val="24"/>
        </w:rPr>
        <w:t xml:space="preserve"> </w:t>
      </w:r>
      <w:r w:rsidRPr="009F6D1E">
        <w:rPr>
          <w:rFonts w:cs="Times New Roman"/>
          <w:szCs w:val="24"/>
        </w:rPr>
        <w:t xml:space="preserve">е извършено </w:t>
      </w:r>
      <w:r w:rsidR="00B94F6C" w:rsidRPr="009F6D1E">
        <w:rPr>
          <w:rFonts w:cs="Times New Roman"/>
          <w:szCs w:val="24"/>
        </w:rPr>
        <w:t>приоритизиране на потребностите</w:t>
      </w:r>
      <w:r w:rsidRPr="009F6D1E">
        <w:rPr>
          <w:rFonts w:cs="Times New Roman"/>
          <w:szCs w:val="24"/>
        </w:rPr>
        <w:t>,</w:t>
      </w:r>
      <w:r w:rsidR="00B94F6C" w:rsidRPr="009F6D1E">
        <w:rPr>
          <w:rFonts w:cs="Times New Roman"/>
          <w:szCs w:val="24"/>
        </w:rPr>
        <w:t xml:space="preserve"> изведени от SWOT анализа по деветте специфични цели и междусекторната цел, определени в Регламента за Стратегическите планове за </w:t>
      </w:r>
      <w:r w:rsidR="00D809BC" w:rsidRPr="009F6D1E">
        <w:rPr>
          <w:rFonts w:cs="Times New Roman"/>
          <w:szCs w:val="24"/>
        </w:rPr>
        <w:t>РЗСР</w:t>
      </w:r>
      <w:r w:rsidRPr="009F6D1E">
        <w:rPr>
          <w:rFonts w:cs="Times New Roman"/>
          <w:szCs w:val="24"/>
        </w:rPr>
        <w:t>, включващо:</w:t>
      </w:r>
    </w:p>
    <w:p w14:paraId="0DEF9AF4" w14:textId="77777777" w:rsidR="00B94F6C" w:rsidRPr="009F6D1E" w:rsidRDefault="00B94F6C"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1.</w:t>
      </w:r>
      <w:r w:rsidR="00212BE7" w:rsidRPr="009F6D1E">
        <w:rPr>
          <w:rFonts w:cs="Times New Roman"/>
          <w:i/>
          <w:szCs w:val="24"/>
        </w:rPr>
        <w:t xml:space="preserve"> </w:t>
      </w:r>
      <w:r w:rsidRPr="009F6D1E">
        <w:rPr>
          <w:rFonts w:cs="Times New Roman"/>
          <w:i/>
          <w:szCs w:val="24"/>
        </w:rPr>
        <w:t xml:space="preserve">Общи изисквания за анализ на потребностите (съгласно чл. 108 от Регламента за стратегическите планове за </w:t>
      </w:r>
      <w:r w:rsidR="00D809BC" w:rsidRPr="009F6D1E">
        <w:rPr>
          <w:rFonts w:cs="Times New Roman"/>
          <w:i/>
          <w:szCs w:val="24"/>
        </w:rPr>
        <w:t>РЗСР</w:t>
      </w:r>
      <w:r w:rsidRPr="009F6D1E">
        <w:rPr>
          <w:rFonts w:cs="Times New Roman"/>
          <w:i/>
          <w:szCs w:val="24"/>
        </w:rPr>
        <w:t>):</w:t>
      </w:r>
    </w:p>
    <w:p w14:paraId="3C18281B"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-Дефиниране на потребностите за всяка специфична цел въз основа на данни от SWOT анализа. </w:t>
      </w:r>
    </w:p>
    <w:p w14:paraId="05C766C2"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-Всички идентифицирани потребности се основават на прозрачни (логически обосновани) критерии, определени от съответна държава–членка като приоритет.</w:t>
      </w:r>
    </w:p>
    <w:p w14:paraId="4DBDD6E0"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-Приоритизиране на потребн</w:t>
      </w:r>
      <w:r w:rsidR="00212BE7" w:rsidRPr="009F6D1E">
        <w:rPr>
          <w:rFonts w:cs="Times New Roman"/>
          <w:szCs w:val="24"/>
        </w:rPr>
        <w:t xml:space="preserve">остите чрез </w:t>
      </w:r>
      <w:r w:rsidRPr="009F6D1E">
        <w:rPr>
          <w:rFonts w:cs="Times New Roman"/>
          <w:szCs w:val="24"/>
        </w:rPr>
        <w:t xml:space="preserve">описание на приоритизирането на потребностите и критериите по който е направено, както и обосновка за това как са определени приоритетите. </w:t>
      </w:r>
    </w:p>
    <w:p w14:paraId="06E92446" w14:textId="77777777" w:rsidR="00B94F6C" w:rsidRPr="009F6D1E" w:rsidRDefault="00B94F6C"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2.Концепция за приоритизиране:</w:t>
      </w:r>
    </w:p>
    <w:p w14:paraId="39213D30"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Приоритизирането на потребностите е разделено в четири групи:</w:t>
      </w:r>
    </w:p>
    <w:p w14:paraId="4B353746"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i/>
          <w:szCs w:val="24"/>
          <w:u w:val="single"/>
        </w:rPr>
        <w:t>Много висок приоритет:</w:t>
      </w:r>
      <w:r w:rsidR="00212BE7" w:rsidRPr="009F6D1E">
        <w:rPr>
          <w:rFonts w:cs="Times New Roman"/>
          <w:szCs w:val="24"/>
        </w:rPr>
        <w:t xml:space="preserve"> </w:t>
      </w:r>
      <w:r w:rsidRPr="009F6D1E">
        <w:rPr>
          <w:rFonts w:cs="Times New Roman"/>
          <w:szCs w:val="24"/>
        </w:rPr>
        <w:t xml:space="preserve">Задоволяването на потребността е много важна за постигане на националните цели в рамките на Стратегическия план за </w:t>
      </w:r>
      <w:r w:rsidR="00D809BC" w:rsidRPr="009F6D1E">
        <w:rPr>
          <w:rFonts w:cs="Times New Roman"/>
          <w:szCs w:val="24"/>
        </w:rPr>
        <w:t>РЗСР</w:t>
      </w:r>
      <w:r w:rsidRPr="009F6D1E">
        <w:rPr>
          <w:rFonts w:cs="Times New Roman"/>
          <w:szCs w:val="24"/>
        </w:rPr>
        <w:t xml:space="preserve"> и спешно трябва да бъде задоволена.</w:t>
      </w:r>
    </w:p>
    <w:p w14:paraId="5396544A"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i/>
          <w:szCs w:val="24"/>
          <w:u w:val="single"/>
        </w:rPr>
        <w:t>Висок приоритет:</w:t>
      </w:r>
      <w:r w:rsidR="00212BE7" w:rsidRPr="009F6D1E">
        <w:rPr>
          <w:rFonts w:cs="Times New Roman"/>
          <w:i/>
          <w:szCs w:val="24"/>
          <w:u w:val="single"/>
        </w:rPr>
        <w:t xml:space="preserve"> </w:t>
      </w:r>
      <w:r w:rsidRPr="009F6D1E">
        <w:rPr>
          <w:rFonts w:cs="Times New Roman"/>
          <w:szCs w:val="24"/>
        </w:rPr>
        <w:t xml:space="preserve">Потребността е важна за постигане на национални цели в рамките </w:t>
      </w:r>
      <w:r w:rsidRPr="009F6D1E">
        <w:rPr>
          <w:rFonts w:cs="Times New Roman"/>
          <w:szCs w:val="24"/>
        </w:rPr>
        <w:lastRenderedPageBreak/>
        <w:t xml:space="preserve">на Стратегическия план за </w:t>
      </w:r>
      <w:r w:rsidR="00D809BC" w:rsidRPr="009F6D1E">
        <w:rPr>
          <w:rFonts w:cs="Times New Roman"/>
          <w:szCs w:val="24"/>
        </w:rPr>
        <w:t>РЗСР</w:t>
      </w:r>
      <w:r w:rsidRPr="009F6D1E">
        <w:rPr>
          <w:rFonts w:cs="Times New Roman"/>
          <w:szCs w:val="24"/>
        </w:rPr>
        <w:t xml:space="preserve"> и трябва да бъде разгледана с приоритет пред всички останали след потребностите определени като такива с много висок приоритет.</w:t>
      </w:r>
    </w:p>
    <w:p w14:paraId="492C8F3F"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i/>
          <w:szCs w:val="24"/>
          <w:u w:val="single"/>
        </w:rPr>
        <w:t>Среден приоритет:</w:t>
      </w:r>
      <w:r w:rsidR="00212BE7" w:rsidRPr="009F6D1E">
        <w:rPr>
          <w:rFonts w:cs="Times New Roman"/>
          <w:i/>
          <w:szCs w:val="24"/>
          <w:u w:val="single"/>
        </w:rPr>
        <w:t xml:space="preserve"> </w:t>
      </w:r>
      <w:r w:rsidRPr="009F6D1E">
        <w:rPr>
          <w:rFonts w:cs="Times New Roman"/>
          <w:szCs w:val="24"/>
        </w:rPr>
        <w:t xml:space="preserve">Потребността може да допринесе за постигане на национални /и или/ регионални цели на Стратегическия план за </w:t>
      </w:r>
      <w:r w:rsidR="00D809BC" w:rsidRPr="009F6D1E">
        <w:rPr>
          <w:rFonts w:cs="Times New Roman"/>
          <w:szCs w:val="24"/>
        </w:rPr>
        <w:t>РЗСР</w:t>
      </w:r>
      <w:r w:rsidRPr="009F6D1E">
        <w:rPr>
          <w:rFonts w:cs="Times New Roman"/>
          <w:szCs w:val="24"/>
        </w:rPr>
        <w:t xml:space="preserve">, не е наложително да ѝ се дава приоритет. (не е необходимо да се финансира непременно чрез </w:t>
      </w:r>
      <w:r w:rsidR="00D809BC" w:rsidRPr="009F6D1E">
        <w:rPr>
          <w:rFonts w:cs="Times New Roman"/>
          <w:szCs w:val="24"/>
        </w:rPr>
        <w:t>РЗСР</w:t>
      </w:r>
      <w:r w:rsidRPr="009F6D1E">
        <w:rPr>
          <w:rFonts w:cs="Times New Roman"/>
          <w:szCs w:val="24"/>
        </w:rPr>
        <w:t>).</w:t>
      </w:r>
    </w:p>
    <w:p w14:paraId="4D804119"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i/>
          <w:szCs w:val="24"/>
          <w:u w:val="single"/>
        </w:rPr>
        <w:t>Нисък приоритет:</w:t>
      </w:r>
      <w:r w:rsidR="00212BE7" w:rsidRPr="009F6D1E">
        <w:rPr>
          <w:rFonts w:cs="Times New Roman"/>
          <w:i/>
          <w:szCs w:val="24"/>
          <w:u w:val="single"/>
        </w:rPr>
        <w:t xml:space="preserve"> </w:t>
      </w:r>
      <w:r w:rsidRPr="009F6D1E">
        <w:rPr>
          <w:rFonts w:cs="Times New Roman"/>
          <w:szCs w:val="24"/>
        </w:rPr>
        <w:t xml:space="preserve">Потребността вече се насърчава чрез други типове инструменти на национално ниво и не следва да се разглежда като приоритет и потребност за адресиране основно чрез </w:t>
      </w:r>
      <w:r w:rsidR="00D809BC" w:rsidRPr="009F6D1E">
        <w:rPr>
          <w:rFonts w:cs="Times New Roman"/>
          <w:szCs w:val="24"/>
        </w:rPr>
        <w:t>РЗСР</w:t>
      </w:r>
      <w:r w:rsidRPr="009F6D1E">
        <w:rPr>
          <w:rFonts w:cs="Times New Roman"/>
          <w:szCs w:val="24"/>
        </w:rPr>
        <w:t>.</w:t>
      </w:r>
    </w:p>
    <w:p w14:paraId="4C4E346C" w14:textId="77777777" w:rsidR="00B94F6C" w:rsidRPr="009F6D1E" w:rsidRDefault="00B94F6C"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3. Критерии за приоритизиране:</w:t>
      </w:r>
    </w:p>
    <w:p w14:paraId="6F3DF2FD"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Критериите за приоритизиране на потребностите трябва да включват важността на идентифицираната потребност по отношение на преследваната (конкретна) цел:</w:t>
      </w:r>
    </w:p>
    <w:p w14:paraId="369FD95C"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а) Адресира ли препоръките на ЕК за из</w:t>
      </w:r>
      <w:r w:rsidR="00BC7096" w:rsidRPr="009F6D1E">
        <w:rPr>
          <w:rFonts w:cs="Times New Roman"/>
          <w:b/>
          <w:i/>
          <w:szCs w:val="24"/>
        </w:rPr>
        <w:t>готвяне на Стратегическия план:</w:t>
      </w:r>
      <w:r w:rsidR="00BC7096" w:rsidRPr="009F6D1E">
        <w:rPr>
          <w:rFonts w:cs="Times New Roman"/>
          <w:szCs w:val="24"/>
        </w:rPr>
        <w:t xml:space="preserve"> В документ </w:t>
      </w:r>
      <w:r w:rsidRPr="009F6D1E">
        <w:rPr>
          <w:rFonts w:cs="Times New Roman"/>
          <w:i/>
          <w:szCs w:val="24"/>
        </w:rPr>
        <w:t xml:space="preserve">Препоръки към държавите членки по отношение на техните стратегически планове по Общата селскостопанска политика /COM(2020) 846 </w:t>
      </w:r>
      <w:proofErr w:type="spellStart"/>
      <w:r w:rsidRPr="009F6D1E">
        <w:rPr>
          <w:rFonts w:cs="Times New Roman"/>
          <w:i/>
          <w:szCs w:val="24"/>
        </w:rPr>
        <w:t>final</w:t>
      </w:r>
      <w:proofErr w:type="spellEnd"/>
      <w:r w:rsidRPr="009F6D1E">
        <w:rPr>
          <w:rFonts w:cs="Times New Roman"/>
          <w:szCs w:val="24"/>
        </w:rPr>
        <w:t xml:space="preserve">/ Комисията анализира положението в различните държави членки по отношение на деветте конкретни цели на бъдещата </w:t>
      </w:r>
      <w:r w:rsidR="00D809BC" w:rsidRPr="009F6D1E">
        <w:rPr>
          <w:rFonts w:cs="Times New Roman"/>
          <w:szCs w:val="24"/>
        </w:rPr>
        <w:t>РЗСР</w:t>
      </w:r>
      <w:r w:rsidRPr="009F6D1E">
        <w:rPr>
          <w:rFonts w:cs="Times New Roman"/>
          <w:szCs w:val="24"/>
        </w:rPr>
        <w:t xml:space="preserve"> и междусекторната цел относно знанията, иновациите и цифровизацията въз основа на най-новите налични доказателства и, където е уместно, вземайки предвид допълнителна информация, предоставена от държавите членки. Въз основа на този анализ Комисията</w:t>
      </w:r>
      <w:r w:rsidR="00BC7096" w:rsidRPr="009F6D1E">
        <w:rPr>
          <w:rFonts w:cs="Times New Roman"/>
          <w:szCs w:val="24"/>
        </w:rPr>
        <w:t xml:space="preserve"> е</w:t>
      </w:r>
      <w:r w:rsidRPr="009F6D1E">
        <w:rPr>
          <w:rFonts w:cs="Times New Roman"/>
          <w:szCs w:val="24"/>
        </w:rPr>
        <w:t xml:space="preserve"> изготви</w:t>
      </w:r>
      <w:r w:rsidR="00BC7096" w:rsidRPr="009F6D1E">
        <w:rPr>
          <w:rFonts w:cs="Times New Roman"/>
          <w:szCs w:val="24"/>
        </w:rPr>
        <w:t>ла</w:t>
      </w:r>
      <w:r w:rsidRPr="009F6D1E">
        <w:rPr>
          <w:rFonts w:cs="Times New Roman"/>
          <w:szCs w:val="24"/>
        </w:rPr>
        <w:t xml:space="preserve"> препоръки за България. Препоръките имат за цел да покажат посоката, която стратегическият план по </w:t>
      </w:r>
      <w:r w:rsidR="00D809BC" w:rsidRPr="009F6D1E">
        <w:rPr>
          <w:rFonts w:cs="Times New Roman"/>
          <w:szCs w:val="24"/>
        </w:rPr>
        <w:t>РЗСР</w:t>
      </w:r>
      <w:r w:rsidRPr="009F6D1E">
        <w:rPr>
          <w:rFonts w:cs="Times New Roman"/>
          <w:szCs w:val="24"/>
        </w:rPr>
        <w:t xml:space="preserve"> трябва да поеме при изпълнението на конкретните цели на </w:t>
      </w:r>
      <w:r w:rsidR="00D809BC" w:rsidRPr="009F6D1E">
        <w:rPr>
          <w:rFonts w:cs="Times New Roman"/>
          <w:szCs w:val="24"/>
        </w:rPr>
        <w:t>РЗСР</w:t>
      </w:r>
      <w:r w:rsidRPr="009F6D1E">
        <w:rPr>
          <w:rFonts w:cs="Times New Roman"/>
          <w:szCs w:val="24"/>
        </w:rPr>
        <w:t>, за да допринесат съвместно за постигането на целите на Зеления пакт.</w:t>
      </w:r>
    </w:p>
    <w:p w14:paraId="2D62653B"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б) Адресир</w:t>
      </w:r>
      <w:r w:rsidR="00BC7096" w:rsidRPr="009F6D1E">
        <w:rPr>
          <w:rFonts w:cs="Times New Roman"/>
          <w:b/>
          <w:i/>
          <w:szCs w:val="24"/>
        </w:rPr>
        <w:t>а ли целите на Зелената сделка:</w:t>
      </w:r>
      <w:r w:rsidR="00BC7096" w:rsidRPr="009F6D1E">
        <w:rPr>
          <w:rFonts w:cs="Times New Roman"/>
          <w:szCs w:val="24"/>
        </w:rPr>
        <w:t xml:space="preserve"> </w:t>
      </w:r>
      <w:r w:rsidRPr="009F6D1E">
        <w:rPr>
          <w:rFonts w:cs="Times New Roman"/>
          <w:szCs w:val="24"/>
        </w:rPr>
        <w:t>Този критерии е ограничен до шестте индикатора за Зелената сделка, съгласно представените насоки в препоръките: целите, свързани с използването на пестициди, както и рисковете, свързани с тях, продажбите на антимикробни средства, загубите на хранителни вещества (намаляване на прекомерното използване на торове), площите за биологично земеделие, особеностите на ландшафта, характеризиращи се с високо разнообразие, върху земеделските земи и достъпа до високоскоростен широколентов интернет в селските райони. Изборът на критерия се обосновава с представените през 2020 г. стратегия „От фермата до трапезата― и стратегията на ЕС за биологичното разнообразие за 2030 г. Тези ключови стратегически документи дават комплексен отговор на предизвикателствата пред устойчивите продоволствени системи, признават</w:t>
      </w:r>
      <w:r w:rsidRPr="009F6D1E">
        <w:rPr>
          <w:rFonts w:cs="Times New Roman"/>
        </w:rPr>
        <w:t xml:space="preserve"> </w:t>
      </w:r>
      <w:r w:rsidRPr="009F6D1E">
        <w:rPr>
          <w:rFonts w:cs="Times New Roman"/>
          <w:szCs w:val="24"/>
        </w:rPr>
        <w:t>неразривните връзки между здравето на хората, здравето на обществата и здравето на планетата, улесняват преминаването към по-здравословни и устойчиви начини на хранене и спомагат за напредък при осигуряване на полагащо се място на природата в нашия живот.</w:t>
      </w:r>
    </w:p>
    <w:p w14:paraId="32D254DD" w14:textId="3D2C2D2D" w:rsidR="00B94F6C" w:rsidRPr="009F6D1E" w:rsidRDefault="00BC7096"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в) Неотложност от адресиране:</w:t>
      </w:r>
      <w:r w:rsidRPr="009F6D1E">
        <w:rPr>
          <w:rFonts w:cs="Times New Roman"/>
          <w:szCs w:val="24"/>
        </w:rPr>
        <w:t xml:space="preserve"> </w:t>
      </w:r>
      <w:r w:rsidR="00B94F6C" w:rsidRPr="009F6D1E">
        <w:rPr>
          <w:rFonts w:cs="Times New Roman"/>
          <w:szCs w:val="24"/>
        </w:rPr>
        <w:t xml:space="preserve">Критерият е свързан с прехвърлянето на отговорността към държавите членки за оценяване на потребностите и постигане на целевите стойности, което върви ръка за ръка с по-голяма гъвкавост за създаване на комбинация от видове интервенции под формата на директни плащания, видове интервенции в определени сектори и видове интервенции в областта на развитието на селските райони. В тази връзка критерият следва да бъде насочен към онези потребности, чието адресиране е неотложно чрез </w:t>
      </w:r>
      <w:r w:rsidR="00B94F6C" w:rsidRPr="009F6D1E">
        <w:rPr>
          <w:rFonts w:cs="Times New Roman"/>
          <w:szCs w:val="24"/>
        </w:rPr>
        <w:lastRenderedPageBreak/>
        <w:t>комплекс от действия и интервенции в рамките на Стратегическия план.</w:t>
      </w:r>
    </w:p>
    <w:p w14:paraId="4A0E6040" w14:textId="10BBFAD9"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г)</w:t>
      </w:r>
      <w:r w:rsidR="0067070B" w:rsidRPr="009F6D1E">
        <w:rPr>
          <w:rFonts w:cs="Times New Roman"/>
          <w:b/>
          <w:i/>
          <w:szCs w:val="24"/>
        </w:rPr>
        <w:t xml:space="preserve"> </w:t>
      </w:r>
      <w:r w:rsidRPr="009F6D1E">
        <w:rPr>
          <w:rFonts w:cs="Times New Roman"/>
          <w:b/>
          <w:i/>
          <w:szCs w:val="24"/>
        </w:rPr>
        <w:t>Адресира ли Н</w:t>
      </w:r>
      <w:r w:rsidR="00BC7096" w:rsidRPr="009F6D1E">
        <w:rPr>
          <w:rFonts w:cs="Times New Roman"/>
          <w:b/>
          <w:i/>
          <w:szCs w:val="24"/>
        </w:rPr>
        <w:t>ационални стратегии, приоритети:</w:t>
      </w:r>
      <w:r w:rsidR="00BC7096" w:rsidRPr="009F6D1E">
        <w:rPr>
          <w:rFonts w:cs="Times New Roman"/>
          <w:szCs w:val="24"/>
        </w:rPr>
        <w:t xml:space="preserve"> </w:t>
      </w:r>
      <w:r w:rsidRPr="009F6D1E">
        <w:rPr>
          <w:rFonts w:cs="Times New Roman"/>
          <w:szCs w:val="24"/>
        </w:rPr>
        <w:t>Критерият Национални стратегии и прио</w:t>
      </w:r>
      <w:r w:rsidR="00D865C3">
        <w:rPr>
          <w:rFonts w:cs="Times New Roman"/>
          <w:szCs w:val="24"/>
        </w:rPr>
        <w:t>р</w:t>
      </w:r>
      <w:r w:rsidRPr="009F6D1E">
        <w:rPr>
          <w:rFonts w:cs="Times New Roman"/>
          <w:szCs w:val="24"/>
        </w:rPr>
        <w:t>итети обхваща поети ангажименти на национално ниво, които са заложени в стратегически документи</w:t>
      </w:r>
      <w:r w:rsidR="0067070B" w:rsidRPr="009F6D1E">
        <w:rPr>
          <w:rFonts w:cs="Times New Roman"/>
          <w:szCs w:val="24"/>
        </w:rPr>
        <w:t>, анализирани в т.7.2 на настоящия ДЕО</w:t>
      </w:r>
      <w:r w:rsidRPr="009F6D1E">
        <w:rPr>
          <w:rFonts w:cs="Times New Roman"/>
          <w:szCs w:val="24"/>
        </w:rPr>
        <w:t xml:space="preserve">. </w:t>
      </w:r>
    </w:p>
    <w:p w14:paraId="248F5968" w14:textId="742DB5B9"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д) Има ли връзка със системата за знания и иновации</w:t>
      </w:r>
      <w:r w:rsidR="0067070B" w:rsidRPr="009F6D1E">
        <w:rPr>
          <w:rFonts w:cs="Times New Roman"/>
          <w:b/>
          <w:i/>
          <w:szCs w:val="24"/>
        </w:rPr>
        <w:t>:</w:t>
      </w:r>
      <w:r w:rsidR="0067070B" w:rsidRPr="009F6D1E">
        <w:rPr>
          <w:rFonts w:cs="Times New Roman"/>
          <w:szCs w:val="24"/>
        </w:rPr>
        <w:t xml:space="preserve"> </w:t>
      </w:r>
      <w:r w:rsidRPr="009F6D1E">
        <w:rPr>
          <w:rFonts w:cs="Times New Roman"/>
          <w:szCs w:val="24"/>
        </w:rPr>
        <w:t>В съобщението „</w:t>
      </w:r>
      <w:r w:rsidRPr="009F6D1E">
        <w:rPr>
          <w:rFonts w:cs="Times New Roman"/>
          <w:i/>
          <w:szCs w:val="24"/>
        </w:rPr>
        <w:t>Бъдещето на прехраната и селското стопанство</w:t>
      </w:r>
      <w:r w:rsidR="0067070B" w:rsidRPr="009F6D1E">
        <w:rPr>
          <w:rFonts w:cs="Times New Roman"/>
          <w:i/>
          <w:szCs w:val="24"/>
        </w:rPr>
        <w:t>“</w:t>
      </w:r>
      <w:r w:rsidRPr="009F6D1E">
        <w:rPr>
          <w:rFonts w:cs="Times New Roman"/>
          <w:szCs w:val="24"/>
        </w:rPr>
        <w:t xml:space="preserve"> обменът на знания и акцентът върху иновациите се определят като междусекторна цел за новата </w:t>
      </w:r>
      <w:r w:rsidR="00D809BC" w:rsidRPr="009F6D1E">
        <w:rPr>
          <w:rFonts w:cs="Times New Roman"/>
          <w:szCs w:val="24"/>
        </w:rPr>
        <w:t>РЗСР</w:t>
      </w:r>
      <w:r w:rsidRPr="009F6D1E">
        <w:rPr>
          <w:rFonts w:cs="Times New Roman"/>
          <w:szCs w:val="24"/>
        </w:rPr>
        <w:t xml:space="preserve">. Устойчив и модерен стратегически план следва да бъде отворен за научните изследвания и иновациите, за да послужи за постигането на </w:t>
      </w:r>
      <w:proofErr w:type="spellStart"/>
      <w:r w:rsidRPr="009F6D1E">
        <w:rPr>
          <w:rFonts w:cs="Times New Roman"/>
          <w:szCs w:val="24"/>
        </w:rPr>
        <w:t>многофункционалност</w:t>
      </w:r>
      <w:proofErr w:type="spellEnd"/>
      <w:r w:rsidRPr="009F6D1E">
        <w:rPr>
          <w:rFonts w:cs="Times New Roman"/>
          <w:szCs w:val="24"/>
        </w:rPr>
        <w:t xml:space="preserve"> на </w:t>
      </w:r>
      <w:r w:rsidR="00D865C3" w:rsidRPr="009F6D1E">
        <w:rPr>
          <w:rFonts w:cs="Times New Roman"/>
          <w:szCs w:val="24"/>
        </w:rPr>
        <w:t>селскостопанската</w:t>
      </w:r>
      <w:r w:rsidRPr="009F6D1E">
        <w:rPr>
          <w:rFonts w:cs="Times New Roman"/>
          <w:szCs w:val="24"/>
        </w:rPr>
        <w:t xml:space="preserve">, горската и </w:t>
      </w:r>
      <w:proofErr w:type="spellStart"/>
      <w:r w:rsidRPr="009F6D1E">
        <w:rPr>
          <w:rFonts w:cs="Times New Roman"/>
          <w:szCs w:val="24"/>
        </w:rPr>
        <w:t>хранителн</w:t>
      </w:r>
      <w:r w:rsidR="00D865C3">
        <w:rPr>
          <w:rFonts w:cs="Times New Roman"/>
          <w:szCs w:val="24"/>
        </w:rPr>
        <w:t>-</w:t>
      </w:r>
      <w:r w:rsidRPr="009F6D1E">
        <w:rPr>
          <w:rFonts w:cs="Times New Roman"/>
          <w:szCs w:val="24"/>
        </w:rPr>
        <w:t>овкусов</w:t>
      </w:r>
      <w:r w:rsidR="00D865C3">
        <w:rPr>
          <w:rFonts w:cs="Times New Roman"/>
          <w:szCs w:val="24"/>
        </w:rPr>
        <w:t>а</w:t>
      </w:r>
      <w:r w:rsidRPr="009F6D1E">
        <w:rPr>
          <w:rFonts w:cs="Times New Roman"/>
          <w:szCs w:val="24"/>
        </w:rPr>
        <w:t>та</w:t>
      </w:r>
      <w:proofErr w:type="spellEnd"/>
      <w:r w:rsidRPr="009F6D1E">
        <w:rPr>
          <w:rFonts w:cs="Times New Roman"/>
          <w:szCs w:val="24"/>
        </w:rPr>
        <w:t xml:space="preserve"> системи в страната, посредством инвестиране в технологично развитие и цифровизация и подобряване на възприемането и ефективното внедряване на технологии, по-специално на цифрови технологии, и на достъпа до и по-активния обмен на безпристрастни, надеждни, относими и нови знания. Критерият е насочен към онези идентифицирани потребности, чието адресиране ще допринесе за 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w:t>
      </w:r>
    </w:p>
    <w:p w14:paraId="2A65C2AC" w14:textId="18A17265"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b/>
          <w:i/>
          <w:szCs w:val="24"/>
        </w:rPr>
        <w:t>е) Потребността има ли социален ефект</w:t>
      </w:r>
      <w:r w:rsidR="0067070B" w:rsidRPr="009F6D1E">
        <w:rPr>
          <w:rFonts w:cs="Times New Roman"/>
          <w:b/>
          <w:i/>
          <w:szCs w:val="24"/>
        </w:rPr>
        <w:t xml:space="preserve">: </w:t>
      </w:r>
      <w:r w:rsidRPr="009F6D1E">
        <w:rPr>
          <w:rFonts w:cs="Times New Roman"/>
          <w:szCs w:val="24"/>
        </w:rPr>
        <w:t xml:space="preserve">Критерият социален ефект се свързва с предвидените цели в </w:t>
      </w:r>
      <w:r w:rsidRPr="009F6D1E">
        <w:rPr>
          <w:rFonts w:cs="Times New Roman"/>
          <w:i/>
          <w:szCs w:val="24"/>
        </w:rPr>
        <w:t xml:space="preserve">Стратегията </w:t>
      </w:r>
      <w:r w:rsidR="0067070B" w:rsidRPr="009F6D1E">
        <w:rPr>
          <w:rFonts w:cs="Times New Roman"/>
          <w:i/>
          <w:szCs w:val="24"/>
        </w:rPr>
        <w:t>„О</w:t>
      </w:r>
      <w:r w:rsidRPr="009F6D1E">
        <w:rPr>
          <w:rFonts w:cs="Times New Roman"/>
          <w:i/>
          <w:szCs w:val="24"/>
        </w:rPr>
        <w:t>т фермата до трапезата</w:t>
      </w:r>
      <w:r w:rsidR="0067070B" w:rsidRPr="009F6D1E">
        <w:rPr>
          <w:rFonts w:cs="Times New Roman"/>
          <w:i/>
          <w:szCs w:val="24"/>
        </w:rPr>
        <w:t>“</w:t>
      </w:r>
      <w:r w:rsidRPr="009F6D1E">
        <w:rPr>
          <w:rFonts w:cs="Times New Roman"/>
          <w:szCs w:val="24"/>
        </w:rPr>
        <w:t xml:space="preserve"> за усто</w:t>
      </w:r>
      <w:r w:rsidR="00D865C3">
        <w:rPr>
          <w:rFonts w:cs="Times New Roman"/>
          <w:szCs w:val="24"/>
        </w:rPr>
        <w:t>й</w:t>
      </w:r>
      <w:r w:rsidRPr="009F6D1E">
        <w:rPr>
          <w:rFonts w:cs="Times New Roman"/>
          <w:szCs w:val="24"/>
        </w:rPr>
        <w:t xml:space="preserve">чиви продоволствени системи и препоръките за България по отношение на Укрепване на социално-икономическата структура на селските райони и решаване на социалните проблеми. </w:t>
      </w:r>
    </w:p>
    <w:p w14:paraId="1CEA1CCC" w14:textId="77777777" w:rsidR="00B94F6C" w:rsidRPr="009F6D1E" w:rsidRDefault="00B94F6C" w:rsidP="0084747F">
      <w:pPr>
        <w:widowControl w:val="0"/>
        <w:tabs>
          <w:tab w:val="left" w:pos="5652"/>
          <w:tab w:val="left" w:pos="5765"/>
        </w:tabs>
        <w:spacing w:after="60" w:line="264" w:lineRule="auto"/>
        <w:ind w:firstLine="720"/>
        <w:jc w:val="both"/>
        <w:rPr>
          <w:rFonts w:cs="Times New Roman"/>
          <w:b/>
          <w:i/>
          <w:szCs w:val="24"/>
        </w:rPr>
      </w:pPr>
      <w:r w:rsidRPr="009F6D1E">
        <w:rPr>
          <w:rFonts w:cs="Times New Roman"/>
          <w:b/>
          <w:i/>
          <w:szCs w:val="24"/>
        </w:rPr>
        <w:t>ж) За адресиране на потребността не е налич</w:t>
      </w:r>
      <w:r w:rsidR="0067070B" w:rsidRPr="009F6D1E">
        <w:rPr>
          <w:rFonts w:cs="Times New Roman"/>
          <w:b/>
          <w:i/>
          <w:szCs w:val="24"/>
        </w:rPr>
        <w:t xml:space="preserve">ен друг източник за финансиране: </w:t>
      </w:r>
      <w:r w:rsidRPr="009F6D1E">
        <w:rPr>
          <w:rFonts w:cs="Times New Roman"/>
          <w:szCs w:val="24"/>
        </w:rPr>
        <w:t xml:space="preserve">Както се припомня в </w:t>
      </w:r>
      <w:r w:rsidR="0067070B" w:rsidRPr="009F6D1E">
        <w:rPr>
          <w:rFonts w:cs="Times New Roman"/>
          <w:i/>
          <w:szCs w:val="24"/>
        </w:rPr>
        <w:t>С</w:t>
      </w:r>
      <w:r w:rsidRPr="009F6D1E">
        <w:rPr>
          <w:rFonts w:cs="Times New Roman"/>
          <w:i/>
          <w:szCs w:val="24"/>
        </w:rPr>
        <w:t>тратегията</w:t>
      </w:r>
      <w:r w:rsidRPr="009F6D1E">
        <w:rPr>
          <w:rFonts w:cs="Times New Roman"/>
          <w:szCs w:val="24"/>
        </w:rPr>
        <w:t xml:space="preserve"> „</w:t>
      </w:r>
      <w:r w:rsidRPr="009F6D1E">
        <w:rPr>
          <w:rFonts w:cs="Times New Roman"/>
          <w:i/>
          <w:szCs w:val="24"/>
        </w:rPr>
        <w:t>От фермата до трапезата</w:t>
      </w:r>
      <w:r w:rsidR="0067070B" w:rsidRPr="009F6D1E">
        <w:rPr>
          <w:rFonts w:cs="Times New Roman"/>
          <w:i/>
          <w:szCs w:val="24"/>
        </w:rPr>
        <w:t>“</w:t>
      </w:r>
      <w:r w:rsidRPr="009F6D1E">
        <w:rPr>
          <w:rFonts w:cs="Times New Roman"/>
          <w:szCs w:val="24"/>
        </w:rPr>
        <w:t>, ускореното преобразуване на селскостопанското производство, необходимо за изграждане на устойчиви продоволствени системи, изисква икономически жизнеспособен и устойчив селскостопански сектор.</w:t>
      </w:r>
    </w:p>
    <w:p w14:paraId="5C5F8F8E" w14:textId="77777777" w:rsidR="00B94F6C" w:rsidRPr="009F6D1E" w:rsidRDefault="00B94F6C" w:rsidP="0084747F">
      <w:pPr>
        <w:widowControl w:val="0"/>
        <w:tabs>
          <w:tab w:val="left" w:pos="5765"/>
        </w:tabs>
        <w:spacing w:after="60" w:line="264" w:lineRule="auto"/>
        <w:ind w:firstLine="720"/>
        <w:jc w:val="both"/>
        <w:rPr>
          <w:rFonts w:cs="Times New Roman"/>
          <w:szCs w:val="24"/>
        </w:rPr>
      </w:pPr>
      <w:r w:rsidRPr="009F6D1E">
        <w:rPr>
          <w:rFonts w:cs="Times New Roman"/>
          <w:szCs w:val="24"/>
        </w:rPr>
        <w:t>На база изведените приоритети и критерии е приложена схема за определяне на степента на приоритетите</w:t>
      </w:r>
      <w:r w:rsidR="00A7351B" w:rsidRPr="009F6D1E">
        <w:rPr>
          <w:rFonts w:cs="Times New Roman"/>
          <w:szCs w:val="24"/>
        </w:rPr>
        <w:t>,</w:t>
      </w:r>
      <w:r w:rsidRPr="009F6D1E">
        <w:rPr>
          <w:rFonts w:cs="Times New Roman"/>
          <w:szCs w:val="24"/>
        </w:rPr>
        <w:t xml:space="preserve"> като всеки от седемте идентифицирани критерии е с равна тежест:</w:t>
      </w:r>
    </w:p>
    <w:p w14:paraId="5913256F" w14:textId="77777777" w:rsidR="00B94F6C" w:rsidRPr="009F6D1E" w:rsidRDefault="00B94F6C" w:rsidP="0084747F">
      <w:pPr>
        <w:widowControl w:val="0"/>
        <w:tabs>
          <w:tab w:val="left" w:pos="5765"/>
        </w:tabs>
        <w:spacing w:after="60" w:line="264" w:lineRule="auto"/>
        <w:ind w:firstLine="720"/>
        <w:jc w:val="both"/>
        <w:rPr>
          <w:rFonts w:cs="Times New Roman"/>
          <w:szCs w:val="24"/>
        </w:rPr>
      </w:pPr>
    </w:p>
    <w:tbl>
      <w:tblPr>
        <w:tblStyle w:val="TableGrid"/>
        <w:tblW w:w="0" w:type="auto"/>
        <w:jc w:val="center"/>
        <w:tblLook w:val="04A0" w:firstRow="1" w:lastRow="0" w:firstColumn="1" w:lastColumn="0" w:noHBand="0" w:noVBand="1"/>
      </w:tblPr>
      <w:tblGrid>
        <w:gridCol w:w="3114"/>
        <w:gridCol w:w="3827"/>
      </w:tblGrid>
      <w:tr w:rsidR="00520007" w:rsidRPr="009F6D1E" w14:paraId="62DECF73" w14:textId="77777777" w:rsidTr="001E44D1">
        <w:trPr>
          <w:jc w:val="center"/>
        </w:trPr>
        <w:tc>
          <w:tcPr>
            <w:tcW w:w="3114" w:type="dxa"/>
            <w:shd w:val="clear" w:color="auto" w:fill="FBE4D5" w:themeFill="accent2" w:themeFillTint="33"/>
          </w:tcPr>
          <w:p w14:paraId="4E8FEDE9" w14:textId="77777777" w:rsidR="00520007" w:rsidRPr="009F6D1E" w:rsidRDefault="00520007" w:rsidP="0084747F">
            <w:pPr>
              <w:widowControl w:val="0"/>
              <w:tabs>
                <w:tab w:val="left" w:pos="5765"/>
              </w:tabs>
              <w:spacing w:after="60" w:line="264" w:lineRule="auto"/>
              <w:jc w:val="center"/>
              <w:rPr>
                <w:rFonts w:cs="Times New Roman"/>
                <w:b/>
                <w:szCs w:val="24"/>
                <w:highlight w:val="yellow"/>
              </w:rPr>
            </w:pPr>
            <w:r w:rsidRPr="009F6D1E">
              <w:rPr>
                <w:rFonts w:cs="Times New Roman"/>
                <w:b/>
                <w:szCs w:val="24"/>
              </w:rPr>
              <w:t xml:space="preserve">Степен на </w:t>
            </w:r>
            <w:proofErr w:type="spellStart"/>
            <w:r w:rsidRPr="009F6D1E">
              <w:rPr>
                <w:rFonts w:cs="Times New Roman"/>
                <w:b/>
                <w:szCs w:val="24"/>
              </w:rPr>
              <w:t>приоритизация</w:t>
            </w:r>
            <w:proofErr w:type="spellEnd"/>
          </w:p>
        </w:tc>
        <w:tc>
          <w:tcPr>
            <w:tcW w:w="3827" w:type="dxa"/>
            <w:shd w:val="clear" w:color="auto" w:fill="FBE4D5" w:themeFill="accent2" w:themeFillTint="33"/>
          </w:tcPr>
          <w:p w14:paraId="02A6F4A4" w14:textId="77777777" w:rsidR="0029516D" w:rsidRPr="009F6D1E" w:rsidRDefault="00520007" w:rsidP="0084747F">
            <w:pPr>
              <w:widowControl w:val="0"/>
              <w:tabs>
                <w:tab w:val="left" w:pos="5765"/>
              </w:tabs>
              <w:spacing w:after="60" w:line="264" w:lineRule="auto"/>
              <w:jc w:val="center"/>
              <w:rPr>
                <w:rFonts w:cs="Times New Roman"/>
                <w:b/>
                <w:szCs w:val="24"/>
              </w:rPr>
            </w:pPr>
            <w:r w:rsidRPr="009F6D1E">
              <w:rPr>
                <w:rFonts w:cs="Times New Roman"/>
                <w:b/>
                <w:szCs w:val="24"/>
              </w:rPr>
              <w:t>Стойности</w:t>
            </w:r>
          </w:p>
          <w:p w14:paraId="5A03E7C1" w14:textId="77777777" w:rsidR="00520007" w:rsidRPr="009F6D1E" w:rsidRDefault="00520007" w:rsidP="0084747F">
            <w:pPr>
              <w:widowControl w:val="0"/>
              <w:tabs>
                <w:tab w:val="left" w:pos="5765"/>
              </w:tabs>
              <w:spacing w:after="60" w:line="264" w:lineRule="auto"/>
              <w:jc w:val="center"/>
              <w:rPr>
                <w:rFonts w:cs="Times New Roman"/>
                <w:b/>
                <w:szCs w:val="24"/>
                <w:highlight w:val="yellow"/>
              </w:rPr>
            </w:pPr>
            <w:r w:rsidRPr="009F6D1E">
              <w:rPr>
                <w:rFonts w:cs="Times New Roman"/>
                <w:b/>
                <w:szCs w:val="24"/>
              </w:rPr>
              <w:t>(покриване на критерии)</w:t>
            </w:r>
          </w:p>
        </w:tc>
      </w:tr>
      <w:tr w:rsidR="00520007" w:rsidRPr="009F6D1E" w14:paraId="04A5CF54" w14:textId="77777777" w:rsidTr="001E44D1">
        <w:trPr>
          <w:jc w:val="center"/>
        </w:trPr>
        <w:tc>
          <w:tcPr>
            <w:tcW w:w="3114" w:type="dxa"/>
          </w:tcPr>
          <w:p w14:paraId="18C954AF" w14:textId="77777777" w:rsidR="00520007" w:rsidRPr="009F6D1E" w:rsidRDefault="00520007" w:rsidP="0084747F">
            <w:pPr>
              <w:widowControl w:val="0"/>
              <w:tabs>
                <w:tab w:val="left" w:pos="5765"/>
              </w:tabs>
              <w:spacing w:after="60" w:line="264" w:lineRule="auto"/>
              <w:jc w:val="both"/>
              <w:rPr>
                <w:rFonts w:cs="Times New Roman"/>
                <w:b/>
                <w:i/>
                <w:szCs w:val="24"/>
                <w:highlight w:val="yellow"/>
              </w:rPr>
            </w:pPr>
            <w:r w:rsidRPr="009F6D1E">
              <w:rPr>
                <w:rFonts w:cs="Times New Roman"/>
                <w:b/>
                <w:i/>
                <w:szCs w:val="24"/>
              </w:rPr>
              <w:t>Нисък</w:t>
            </w:r>
          </w:p>
        </w:tc>
        <w:tc>
          <w:tcPr>
            <w:tcW w:w="3827" w:type="dxa"/>
          </w:tcPr>
          <w:p w14:paraId="7EC2723F" w14:textId="77777777" w:rsidR="00520007" w:rsidRPr="009F6D1E" w:rsidRDefault="00520007" w:rsidP="0084747F">
            <w:pPr>
              <w:widowControl w:val="0"/>
              <w:tabs>
                <w:tab w:val="left" w:pos="5765"/>
              </w:tabs>
              <w:spacing w:after="60" w:line="264" w:lineRule="auto"/>
              <w:jc w:val="both"/>
              <w:rPr>
                <w:rFonts w:cs="Times New Roman"/>
                <w:szCs w:val="24"/>
                <w:highlight w:val="yellow"/>
              </w:rPr>
            </w:pPr>
            <w:r w:rsidRPr="009F6D1E">
              <w:rPr>
                <w:rFonts w:cs="Times New Roman"/>
                <w:szCs w:val="24"/>
              </w:rPr>
              <w:t>от 0 до 2 критерия</w:t>
            </w:r>
          </w:p>
        </w:tc>
      </w:tr>
      <w:tr w:rsidR="00520007" w:rsidRPr="009F6D1E" w14:paraId="7F491EFE" w14:textId="77777777" w:rsidTr="001E44D1">
        <w:trPr>
          <w:jc w:val="center"/>
        </w:trPr>
        <w:tc>
          <w:tcPr>
            <w:tcW w:w="3114" w:type="dxa"/>
          </w:tcPr>
          <w:p w14:paraId="680F877B" w14:textId="77777777" w:rsidR="00520007" w:rsidRPr="009F6D1E" w:rsidRDefault="00520007" w:rsidP="0084747F">
            <w:pPr>
              <w:widowControl w:val="0"/>
              <w:tabs>
                <w:tab w:val="left" w:pos="5765"/>
              </w:tabs>
              <w:spacing w:after="60" w:line="264" w:lineRule="auto"/>
              <w:jc w:val="both"/>
              <w:rPr>
                <w:rFonts w:cs="Times New Roman"/>
                <w:b/>
                <w:i/>
                <w:szCs w:val="24"/>
                <w:highlight w:val="yellow"/>
              </w:rPr>
            </w:pPr>
            <w:r w:rsidRPr="009F6D1E">
              <w:rPr>
                <w:rFonts w:cs="Times New Roman"/>
                <w:b/>
                <w:i/>
                <w:szCs w:val="24"/>
              </w:rPr>
              <w:t>Среден</w:t>
            </w:r>
          </w:p>
        </w:tc>
        <w:tc>
          <w:tcPr>
            <w:tcW w:w="3827" w:type="dxa"/>
          </w:tcPr>
          <w:p w14:paraId="36CD5BD7" w14:textId="77777777" w:rsidR="00520007" w:rsidRPr="009F6D1E" w:rsidRDefault="00520007" w:rsidP="0084747F">
            <w:pPr>
              <w:widowControl w:val="0"/>
              <w:tabs>
                <w:tab w:val="left" w:pos="5765"/>
              </w:tabs>
              <w:spacing w:after="60" w:line="264" w:lineRule="auto"/>
              <w:jc w:val="both"/>
              <w:rPr>
                <w:rFonts w:cs="Times New Roman"/>
                <w:szCs w:val="24"/>
                <w:highlight w:val="yellow"/>
              </w:rPr>
            </w:pPr>
            <w:r w:rsidRPr="009F6D1E">
              <w:rPr>
                <w:rFonts w:cs="Times New Roman"/>
                <w:szCs w:val="24"/>
              </w:rPr>
              <w:t>от 3 до 4 критерия</w:t>
            </w:r>
          </w:p>
        </w:tc>
      </w:tr>
      <w:tr w:rsidR="00520007" w:rsidRPr="009F6D1E" w14:paraId="1E0DCB0F" w14:textId="77777777" w:rsidTr="001E44D1">
        <w:trPr>
          <w:jc w:val="center"/>
        </w:trPr>
        <w:tc>
          <w:tcPr>
            <w:tcW w:w="3114" w:type="dxa"/>
          </w:tcPr>
          <w:p w14:paraId="3336F8F3" w14:textId="77777777" w:rsidR="00520007" w:rsidRPr="009F6D1E" w:rsidRDefault="00520007" w:rsidP="0084747F">
            <w:pPr>
              <w:widowControl w:val="0"/>
              <w:tabs>
                <w:tab w:val="left" w:pos="5765"/>
              </w:tabs>
              <w:spacing w:after="60" w:line="264" w:lineRule="auto"/>
              <w:jc w:val="both"/>
              <w:rPr>
                <w:rFonts w:cs="Times New Roman"/>
                <w:b/>
                <w:i/>
                <w:szCs w:val="24"/>
                <w:highlight w:val="yellow"/>
              </w:rPr>
            </w:pPr>
            <w:r w:rsidRPr="009F6D1E">
              <w:rPr>
                <w:rFonts w:cs="Times New Roman"/>
                <w:b/>
                <w:i/>
                <w:szCs w:val="24"/>
              </w:rPr>
              <w:t>Висок</w:t>
            </w:r>
          </w:p>
        </w:tc>
        <w:tc>
          <w:tcPr>
            <w:tcW w:w="3827" w:type="dxa"/>
          </w:tcPr>
          <w:p w14:paraId="5EF953B9" w14:textId="77777777" w:rsidR="00520007" w:rsidRPr="009F6D1E" w:rsidRDefault="00520007" w:rsidP="0084747F">
            <w:pPr>
              <w:widowControl w:val="0"/>
              <w:tabs>
                <w:tab w:val="left" w:pos="5765"/>
              </w:tabs>
              <w:spacing w:after="60" w:line="264" w:lineRule="auto"/>
              <w:jc w:val="both"/>
              <w:rPr>
                <w:rFonts w:cs="Times New Roman"/>
                <w:szCs w:val="24"/>
                <w:highlight w:val="yellow"/>
              </w:rPr>
            </w:pPr>
            <w:r w:rsidRPr="009F6D1E">
              <w:rPr>
                <w:rFonts w:cs="Times New Roman"/>
                <w:szCs w:val="24"/>
              </w:rPr>
              <w:t>5 критерия</w:t>
            </w:r>
          </w:p>
        </w:tc>
      </w:tr>
      <w:tr w:rsidR="00520007" w:rsidRPr="009F6D1E" w14:paraId="7A5A5BDC" w14:textId="77777777" w:rsidTr="001E44D1">
        <w:trPr>
          <w:jc w:val="center"/>
        </w:trPr>
        <w:tc>
          <w:tcPr>
            <w:tcW w:w="3114" w:type="dxa"/>
          </w:tcPr>
          <w:p w14:paraId="1233B2AD" w14:textId="77777777" w:rsidR="00520007" w:rsidRPr="009F6D1E" w:rsidRDefault="00520007" w:rsidP="0084747F">
            <w:pPr>
              <w:widowControl w:val="0"/>
              <w:tabs>
                <w:tab w:val="left" w:pos="5765"/>
              </w:tabs>
              <w:spacing w:after="60" w:line="264" w:lineRule="auto"/>
              <w:jc w:val="both"/>
              <w:rPr>
                <w:rFonts w:cs="Times New Roman"/>
                <w:b/>
                <w:i/>
                <w:szCs w:val="24"/>
                <w:highlight w:val="yellow"/>
              </w:rPr>
            </w:pPr>
            <w:r w:rsidRPr="009F6D1E">
              <w:rPr>
                <w:rFonts w:cs="Times New Roman"/>
                <w:b/>
                <w:i/>
                <w:szCs w:val="24"/>
              </w:rPr>
              <w:t>Много висок</w:t>
            </w:r>
          </w:p>
        </w:tc>
        <w:tc>
          <w:tcPr>
            <w:tcW w:w="3827" w:type="dxa"/>
          </w:tcPr>
          <w:p w14:paraId="645A6179" w14:textId="77777777" w:rsidR="00520007" w:rsidRPr="009F6D1E" w:rsidRDefault="00520007" w:rsidP="0084747F">
            <w:pPr>
              <w:widowControl w:val="0"/>
              <w:tabs>
                <w:tab w:val="left" w:pos="5765"/>
              </w:tabs>
              <w:spacing w:after="60" w:line="264" w:lineRule="auto"/>
              <w:jc w:val="both"/>
              <w:rPr>
                <w:rFonts w:cs="Times New Roman"/>
                <w:szCs w:val="24"/>
                <w:highlight w:val="yellow"/>
              </w:rPr>
            </w:pPr>
            <w:r w:rsidRPr="009F6D1E">
              <w:rPr>
                <w:rFonts w:cs="Times New Roman"/>
                <w:szCs w:val="24"/>
              </w:rPr>
              <w:t>6 и повече</w:t>
            </w:r>
          </w:p>
        </w:tc>
      </w:tr>
    </w:tbl>
    <w:p w14:paraId="7782FF41" w14:textId="77777777" w:rsidR="00346DA4" w:rsidRPr="009F6D1E" w:rsidRDefault="00346DA4" w:rsidP="0084747F">
      <w:pPr>
        <w:widowControl w:val="0"/>
        <w:tabs>
          <w:tab w:val="left" w:pos="5765"/>
        </w:tabs>
        <w:spacing w:after="60" w:line="264" w:lineRule="auto"/>
        <w:ind w:firstLine="720"/>
        <w:jc w:val="both"/>
        <w:rPr>
          <w:rFonts w:cs="Times New Roman"/>
          <w:szCs w:val="24"/>
        </w:rPr>
      </w:pPr>
    </w:p>
    <w:p w14:paraId="77875606" w14:textId="77777777" w:rsidR="00B94F6C" w:rsidRPr="009F6D1E" w:rsidRDefault="00346DA4" w:rsidP="0084747F">
      <w:pPr>
        <w:widowControl w:val="0"/>
        <w:tabs>
          <w:tab w:val="left" w:pos="5765"/>
        </w:tabs>
        <w:spacing w:after="60" w:line="264" w:lineRule="auto"/>
        <w:ind w:firstLine="720"/>
        <w:jc w:val="both"/>
        <w:rPr>
          <w:rFonts w:cs="Times New Roman"/>
          <w:szCs w:val="24"/>
          <w:highlight w:val="yellow"/>
        </w:rPr>
      </w:pPr>
      <w:r w:rsidRPr="009F6D1E">
        <w:rPr>
          <w:rFonts w:cs="Times New Roman"/>
          <w:szCs w:val="24"/>
        </w:rPr>
        <w:t xml:space="preserve">Приоритизиране на потребностите при Вариант </w:t>
      </w:r>
      <w:r w:rsidR="00D11943" w:rsidRPr="009F6D1E">
        <w:rPr>
          <w:rFonts w:cs="Times New Roman"/>
          <w:szCs w:val="24"/>
        </w:rPr>
        <w:t>1</w:t>
      </w:r>
      <w:r w:rsidRPr="009F6D1E">
        <w:rPr>
          <w:rFonts w:cs="Times New Roman"/>
          <w:szCs w:val="24"/>
        </w:rPr>
        <w:t xml:space="preserve"> на </w:t>
      </w:r>
      <w:r w:rsidR="00CD4045" w:rsidRPr="009F6D1E">
        <w:rPr>
          <w:rFonts w:cs="Times New Roman"/>
          <w:szCs w:val="24"/>
        </w:rPr>
        <w:t>СПРЗСР</w:t>
      </w:r>
      <w:r w:rsidRPr="009F6D1E">
        <w:rPr>
          <w:rFonts w:cs="Times New Roman"/>
          <w:szCs w:val="24"/>
        </w:rPr>
        <w:t xml:space="preserve"> 2023-2027г.: </w:t>
      </w:r>
    </w:p>
    <w:p w14:paraId="1DFC164C" w14:textId="77777777"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1:</w:t>
      </w:r>
      <w:r w:rsidR="00346DA4" w:rsidRPr="009F6D1E">
        <w:rPr>
          <w:rFonts w:cs="Times New Roman"/>
          <w:i/>
          <w:szCs w:val="24"/>
        </w:rPr>
        <w:t xml:space="preserve"> </w:t>
      </w:r>
      <w:r w:rsidRPr="009F6D1E">
        <w:rPr>
          <w:rFonts w:cs="Times New Roman"/>
          <w:i/>
          <w:szCs w:val="24"/>
        </w:rPr>
        <w:t>Подпомагане за надеждни земеделски доходи и устойчивост на селскостопанския сектор в целия Съюз с цел подобряване на дългосрочната продоволствена сигурност и разнообразието в селското стопанство, както и гарантиране на икономическата устойчивост на селскостопанското производство в Съюза</w:t>
      </w:r>
    </w:p>
    <w:p w14:paraId="6AF02DA9"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lastRenderedPageBreak/>
        <w:t>Висок приоритет:</w:t>
      </w:r>
    </w:p>
    <w:p w14:paraId="1B14943F"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П.1.1.Необходимост от подпомагане на доходите на земеделските стопани, с цел сближаването им със средното равнище на доходи в другите сектори в икономиката;</w:t>
      </w:r>
    </w:p>
    <w:p w14:paraId="7F88056E"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П.1.3. Потребност от подпомагане на земеделските стопанства в секторите зеленчуци, трайни насаждения и преживни животни за увеличаване на икономическия им потенциал;</w:t>
      </w:r>
    </w:p>
    <w:p w14:paraId="20455748"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П.1.4. Укрепване жизнеспособността на земеделските стопанства в районите с природни и други ограничения;</w:t>
      </w:r>
    </w:p>
    <w:p w14:paraId="1F32249F"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61B3BBD4"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П.1.2.Повишаване на ефективността на подкрепата и увеличаване на икономическия потенциал на малките и средни стопанства;</w:t>
      </w:r>
    </w:p>
    <w:p w14:paraId="4739AC93"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П.1.5.Надграждане и диверсифициране на системата за управление на риска и управление на кризите в земеделието;</w:t>
      </w:r>
    </w:p>
    <w:p w14:paraId="0A9E6736"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П.1.6.Оптимизиране на възможностите за напояване за намаляване на негативните последици от проявлението на </w:t>
      </w:r>
      <w:proofErr w:type="spellStart"/>
      <w:r w:rsidRPr="009F6D1E">
        <w:rPr>
          <w:rFonts w:cs="Times New Roman"/>
          <w:szCs w:val="24"/>
        </w:rPr>
        <w:t>природо</w:t>
      </w:r>
      <w:proofErr w:type="spellEnd"/>
      <w:r w:rsidRPr="009F6D1E">
        <w:rPr>
          <w:rFonts w:cs="Times New Roman"/>
          <w:szCs w:val="24"/>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p>
    <w:p w14:paraId="79EA33FE" w14:textId="59E8583F"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2:</w:t>
      </w:r>
      <w:r w:rsidR="00BC142F" w:rsidRPr="009F6D1E">
        <w:rPr>
          <w:rFonts w:cs="Times New Roman"/>
          <w:i/>
          <w:szCs w:val="24"/>
        </w:rPr>
        <w:t xml:space="preserve"> </w:t>
      </w:r>
      <w:r w:rsidRPr="009F6D1E">
        <w:rPr>
          <w:rFonts w:cs="Times New Roman"/>
          <w:i/>
          <w:szCs w:val="24"/>
        </w:rPr>
        <w:t>Засилване на пазарната ориентация и повишаване на конкурент</w:t>
      </w:r>
      <w:r w:rsidR="00D865C3">
        <w:rPr>
          <w:rFonts w:cs="Times New Roman"/>
          <w:i/>
          <w:szCs w:val="24"/>
        </w:rPr>
        <w:t>осп</w:t>
      </w:r>
      <w:r w:rsidRPr="009F6D1E">
        <w:rPr>
          <w:rFonts w:cs="Times New Roman"/>
          <w:i/>
          <w:szCs w:val="24"/>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p>
    <w:p w14:paraId="28D98C03"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3CDD28EE" w14:textId="24B27FB8"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П.2.1. Повишаване на конкурент</w:t>
      </w:r>
      <w:r w:rsidR="00D865C3">
        <w:rPr>
          <w:rFonts w:cs="Times New Roman"/>
          <w:szCs w:val="24"/>
        </w:rPr>
        <w:t>осп</w:t>
      </w:r>
      <w:r w:rsidRPr="009F6D1E">
        <w:rPr>
          <w:rFonts w:cs="Times New Roman"/>
          <w:szCs w:val="24"/>
        </w:rPr>
        <w:t>особността на стопанствата, приоритетно в секторите производство на зеленчуци, плодове, мляко и месо от преживни животни;</w:t>
      </w:r>
    </w:p>
    <w:p w14:paraId="0B780423"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П.2.4. Повишаване на ефективността, подобряване на пазарната ориентация и реализацията на по-висока добавена стойност в малките стопанства;</w:t>
      </w:r>
    </w:p>
    <w:p w14:paraId="164365BE"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p>
    <w:p w14:paraId="32A2F840" w14:textId="3A02C6EA"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П.2.7.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D865C3">
        <w:rPr>
          <w:rFonts w:cs="Times New Roman"/>
          <w:szCs w:val="24"/>
        </w:rPr>
        <w:t>осп</w:t>
      </w:r>
      <w:r w:rsidRPr="009F6D1E">
        <w:rPr>
          <w:rFonts w:cs="Times New Roman"/>
          <w:szCs w:val="24"/>
        </w:rPr>
        <w:t>особност чрез модернизация на стопанствата, използване на цифровизацията, както и по-широкото прилагане на подвижното пчеларство</w:t>
      </w:r>
    </w:p>
    <w:p w14:paraId="311A7B01" w14:textId="187DCF2C"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П.2.8. Повишаване на конкурент</w:t>
      </w:r>
      <w:r w:rsidR="00D865C3">
        <w:rPr>
          <w:rFonts w:cs="Times New Roman"/>
          <w:szCs w:val="24"/>
        </w:rPr>
        <w:t>осп</w:t>
      </w:r>
      <w:r w:rsidRPr="009F6D1E">
        <w:rPr>
          <w:rFonts w:cs="Times New Roman"/>
          <w:szCs w:val="24"/>
        </w:rPr>
        <w:t xml:space="preserve">особността на производителите и преработвателите в </w:t>
      </w:r>
      <w:proofErr w:type="spellStart"/>
      <w:r w:rsidRPr="009F6D1E">
        <w:rPr>
          <w:rFonts w:cs="Times New Roman"/>
          <w:szCs w:val="24"/>
        </w:rPr>
        <w:t>лозаро</w:t>
      </w:r>
      <w:proofErr w:type="spellEnd"/>
      <w:r w:rsidRPr="009F6D1E">
        <w:rPr>
          <w:rFonts w:cs="Times New Roman"/>
          <w:szCs w:val="24"/>
        </w:rPr>
        <w:t>-винарския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p w14:paraId="5FEDA157"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3A53677D"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П.2.2.Подобряване на производителността и добивите в секторите на селското стопанство, осигуряващи продукти с по-висока добавена стойност;</w:t>
      </w:r>
    </w:p>
    <w:p w14:paraId="2CB5FAEE"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lastRenderedPageBreak/>
        <w:t>П.2.3.Ускоряване на модернизацията и технологично обновяване на малките и средни стопанства;</w:t>
      </w:r>
    </w:p>
    <w:p w14:paraId="5C68521A"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П.2.5. Повишаване на износа на селскостопански продукти с висока добавена стойност;</w:t>
      </w:r>
    </w:p>
    <w:p w14:paraId="2922A0E3"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П.2.9. Подобряване на достъпа до финансиране</w:t>
      </w:r>
    </w:p>
    <w:p w14:paraId="3082FE74" w14:textId="77777777"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3:</w:t>
      </w:r>
      <w:r w:rsidR="00BC142F" w:rsidRPr="009F6D1E">
        <w:rPr>
          <w:rFonts w:cs="Times New Roman"/>
          <w:i/>
          <w:szCs w:val="24"/>
        </w:rPr>
        <w:t xml:space="preserve"> </w:t>
      </w:r>
      <w:r w:rsidRPr="009F6D1E">
        <w:rPr>
          <w:rFonts w:cs="Times New Roman"/>
          <w:i/>
          <w:szCs w:val="24"/>
        </w:rPr>
        <w:t>Подобряване на позицията на земеделските стопани във веригата на стойността</w:t>
      </w:r>
    </w:p>
    <w:p w14:paraId="2C6887C0"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412CA1E6"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П.3.2.Подобряване пазарния достъп на малките земеделски стопанства;</w:t>
      </w:r>
    </w:p>
    <w:p w14:paraId="684BC387"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3D98FD1E"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П.3.1.Повишаване нивото на организираност на земеделските производители;</w:t>
      </w:r>
    </w:p>
    <w:p w14:paraId="31333108" w14:textId="2D817C5D"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П.3.6.Осигуряване на необходимото количество и качество</w:t>
      </w:r>
      <w:r w:rsidR="00D865C3">
        <w:rPr>
          <w:rFonts w:cs="Times New Roman"/>
          <w:szCs w:val="24"/>
        </w:rPr>
        <w:t xml:space="preserve"> </w:t>
      </w:r>
      <w:r w:rsidRPr="009F6D1E">
        <w:rPr>
          <w:rFonts w:cs="Times New Roman"/>
          <w:szCs w:val="24"/>
        </w:rPr>
        <w:t>местни суровини за по-пълно използване на капацитета на предприятията и повишаване добавената стойност и ефективността на предприятията от ХВП;</w:t>
      </w:r>
    </w:p>
    <w:p w14:paraId="13ECBE2D"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Нисък приоритет:</w:t>
      </w:r>
    </w:p>
    <w:p w14:paraId="7C4875A6"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П.3.3. Допълване и подобряване на регулацията за директните продажби</w:t>
      </w:r>
    </w:p>
    <w:p w14:paraId="02D64F14"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П.3.4.Разширяване и развитие на мерките и механизмите за борба с нелоялните търговски практики;</w:t>
      </w:r>
    </w:p>
    <w:p w14:paraId="72A469C9"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П.3.5.Засилване на контрола над вноса на суровини.</w:t>
      </w:r>
    </w:p>
    <w:p w14:paraId="287B34B7" w14:textId="77777777"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4:</w:t>
      </w:r>
      <w:r w:rsidR="00BC142F" w:rsidRPr="009F6D1E">
        <w:rPr>
          <w:rFonts w:cs="Times New Roman"/>
          <w:i/>
          <w:szCs w:val="24"/>
        </w:rPr>
        <w:t xml:space="preserve"> </w:t>
      </w:r>
      <w:r w:rsidRPr="009F6D1E">
        <w:rPr>
          <w:rFonts w:cs="Times New Roman"/>
          <w:i/>
          <w:szCs w:val="24"/>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19A2223B"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Много висок приоритет:</w:t>
      </w:r>
    </w:p>
    <w:p w14:paraId="7C07EB6D"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П.4.2. Увеличаване на органичния въглерод в почвата</w:t>
      </w:r>
    </w:p>
    <w:p w14:paraId="56DFA510"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П.4.4.Потребност от използването на култури и сортове, приспособени към климата</w:t>
      </w:r>
    </w:p>
    <w:p w14:paraId="5CCC4960"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П.4.5. Потребност от прилагане на нискоинтензивни земеделски практики като </w:t>
      </w:r>
      <w:proofErr w:type="spellStart"/>
      <w:r w:rsidRPr="009F6D1E">
        <w:rPr>
          <w:rFonts w:cs="Times New Roman"/>
          <w:szCs w:val="24"/>
        </w:rPr>
        <w:t>консервационно</w:t>
      </w:r>
      <w:proofErr w:type="spellEnd"/>
      <w:r w:rsidRPr="009F6D1E">
        <w:rPr>
          <w:rFonts w:cs="Times New Roman"/>
          <w:szCs w:val="24"/>
        </w:rPr>
        <w:t>, интегрирано и биологично земеделие</w:t>
      </w:r>
    </w:p>
    <w:p w14:paraId="2427DDAA"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П.4.8. Устойчиво управление на горските територии, запасите от дървесина и въглерод в горската биомаса, за адаптиране към промените на климата.</w:t>
      </w:r>
    </w:p>
    <w:p w14:paraId="286F8AEA"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w:t>
      </w:r>
    </w:p>
    <w:p w14:paraId="5A3109C6"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2650D7CF"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П.4.1.Намаляване на емисиите на парникови газове от селското стопанство.</w:t>
      </w:r>
    </w:p>
    <w:p w14:paraId="0673E2BD"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П.4.7.Противодействие с болестите по животните и борба с патогенните заболявания</w:t>
      </w:r>
    </w:p>
    <w:p w14:paraId="26CE2B87"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4E689CBB"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П.4.3.Производство на енергия от възобновяеми източници от селското стопанство (от водна, вятърна, слънчева, геотермална енергия и остатъчна/отпадъчна биомаса от селското </w:t>
      </w:r>
      <w:r w:rsidRPr="009F6D1E">
        <w:rPr>
          <w:rFonts w:cs="Times New Roman"/>
          <w:szCs w:val="24"/>
        </w:rPr>
        <w:lastRenderedPageBreak/>
        <w:t>стопанство)</w:t>
      </w:r>
    </w:p>
    <w:p w14:paraId="1E517EBD"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П.4.6.Увеличаване на производството на биомаса с животински произход</w:t>
      </w:r>
    </w:p>
    <w:p w14:paraId="3777D31B" w14:textId="77777777"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5:</w:t>
      </w:r>
      <w:r w:rsidR="00BC142F" w:rsidRPr="009F6D1E">
        <w:rPr>
          <w:rFonts w:cs="Times New Roman"/>
          <w:i/>
          <w:szCs w:val="24"/>
        </w:rPr>
        <w:t xml:space="preserve"> </w:t>
      </w:r>
      <w:r w:rsidRPr="009F6D1E">
        <w:rPr>
          <w:rFonts w:cs="Times New Roman"/>
          <w:i/>
          <w:szCs w:val="24"/>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0AEA805D"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Много висок приоритет:</w:t>
      </w:r>
    </w:p>
    <w:p w14:paraId="614B232F"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П.5.5. Продължаване на прилагане на оптимизирана и устойчива употреба на ПРЗ, минерални и органични торове с цел опазване на водите</w:t>
      </w:r>
    </w:p>
    <w:p w14:paraId="1A91B325"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62924996"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П.5.1. Поддържане на подходящ баланс на земеделските площи според вида на </w:t>
      </w:r>
      <w:proofErr w:type="spellStart"/>
      <w:r w:rsidRPr="009F6D1E">
        <w:rPr>
          <w:rFonts w:cs="Times New Roman"/>
          <w:szCs w:val="24"/>
        </w:rPr>
        <w:t>земеползване</w:t>
      </w:r>
      <w:proofErr w:type="spellEnd"/>
      <w:r w:rsidRPr="009F6D1E">
        <w:rPr>
          <w:rFonts w:cs="Times New Roman"/>
          <w:szCs w:val="24"/>
        </w:rPr>
        <w:t xml:space="preserve"> и поддържане на разнообразие на културите</w:t>
      </w:r>
    </w:p>
    <w:p w14:paraId="211DF3B5"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П.5.2. Подобряване качеството на почвите чрез продължаване на усилията за ограничаване на процесите на водна и ветрова ерозия</w:t>
      </w:r>
    </w:p>
    <w:p w14:paraId="151B3608"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П.5.3. Поддържане на добър баланс на </w:t>
      </w:r>
      <w:proofErr w:type="spellStart"/>
      <w:r w:rsidRPr="009F6D1E">
        <w:rPr>
          <w:rFonts w:cs="Times New Roman"/>
          <w:szCs w:val="24"/>
        </w:rPr>
        <w:t>запасеност</w:t>
      </w:r>
      <w:proofErr w:type="spellEnd"/>
      <w:r w:rsidRPr="009F6D1E">
        <w:rPr>
          <w:rFonts w:cs="Times New Roman"/>
          <w:szCs w:val="24"/>
        </w:rPr>
        <w:t xml:space="preserve"> на почвите с органично вещество</w:t>
      </w:r>
    </w:p>
    <w:p w14:paraId="4FF48B20"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П.5.6. Намаляване на емисиите на амоняк от селското стопанство</w:t>
      </w:r>
    </w:p>
    <w:p w14:paraId="738A29A2"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p>
    <w:p w14:paraId="166C11FB"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4AFA93D6"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П.5.4. Продължаване на поддържането на нисък азотен и фосфорен отпечатък в почвите</w:t>
      </w:r>
    </w:p>
    <w:p w14:paraId="0A0667CA" w14:textId="77777777" w:rsidR="00520007" w:rsidRPr="009F6D1E" w:rsidRDefault="00520007"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6:</w:t>
      </w:r>
      <w:r w:rsidR="00BC142F" w:rsidRPr="009F6D1E">
        <w:rPr>
          <w:rFonts w:cs="Times New Roman"/>
          <w:i/>
          <w:szCs w:val="24"/>
        </w:rPr>
        <w:t xml:space="preserve"> </w:t>
      </w:r>
      <w:r w:rsidRPr="009F6D1E">
        <w:rPr>
          <w:rFonts w:cs="Times New Roman"/>
          <w:i/>
          <w:szCs w:val="24"/>
        </w:rPr>
        <w:t>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p>
    <w:p w14:paraId="32C86B34"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Много висок приоритет:</w:t>
      </w:r>
    </w:p>
    <w:p w14:paraId="4DC573EB"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П.6.5. Насърчаване на практиките за разширяване биологично земеделие</w:t>
      </w:r>
    </w:p>
    <w:p w14:paraId="2AFCE9E5"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П.6.7. Запазване и подобряване на генетичното разнообразие в животновъдството и растениевъдството в селското стопанство. П.6.8. Подобряване на </w:t>
      </w:r>
      <w:proofErr w:type="spellStart"/>
      <w:r w:rsidRPr="009F6D1E">
        <w:rPr>
          <w:rFonts w:cs="Times New Roman"/>
          <w:szCs w:val="24"/>
        </w:rPr>
        <w:t>опрашителния</w:t>
      </w:r>
      <w:proofErr w:type="spellEnd"/>
      <w:r w:rsidRPr="009F6D1E">
        <w:rPr>
          <w:rFonts w:cs="Times New Roman"/>
          <w:szCs w:val="24"/>
        </w:rPr>
        <w:t xml:space="preserve"> потенциал на екосистемите и наличието на подходящи растения.</w:t>
      </w:r>
    </w:p>
    <w:p w14:paraId="43A5C2C5" w14:textId="77777777" w:rsidR="00520007" w:rsidRPr="009F6D1E" w:rsidRDefault="00520007"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492DCB78" w14:textId="77777777" w:rsidR="00520007"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П.6.3. Съхраняване и възстановяване на елементи на ландшафта и постигане на благоприятен природозащитен статус на постоянно затревените площи</w:t>
      </w:r>
    </w:p>
    <w:p w14:paraId="7CE39481" w14:textId="77777777" w:rsidR="00720D56" w:rsidRPr="009F6D1E" w:rsidRDefault="00520007" w:rsidP="0084747F">
      <w:pPr>
        <w:widowControl w:val="0"/>
        <w:tabs>
          <w:tab w:val="left" w:pos="5765"/>
        </w:tabs>
        <w:spacing w:after="60" w:line="264" w:lineRule="auto"/>
        <w:ind w:firstLine="720"/>
        <w:jc w:val="both"/>
        <w:rPr>
          <w:rFonts w:cs="Times New Roman"/>
          <w:szCs w:val="24"/>
        </w:rPr>
      </w:pPr>
      <w:r w:rsidRPr="009F6D1E">
        <w:rPr>
          <w:rFonts w:cs="Times New Roman"/>
          <w:szCs w:val="24"/>
        </w:rPr>
        <w:t>П.6.4. Насърчаване на извършването на земеделски дейности в райони с природни и други специфични ограничения</w:t>
      </w:r>
      <w:r w:rsidR="00720D56" w:rsidRPr="009F6D1E">
        <w:rPr>
          <w:rFonts w:cs="Times New Roman"/>
        </w:rPr>
        <w:t xml:space="preserve"> </w:t>
      </w:r>
      <w:r w:rsidR="00720D56" w:rsidRPr="009F6D1E">
        <w:rPr>
          <w:rFonts w:cs="Times New Roman"/>
          <w:szCs w:val="24"/>
        </w:rPr>
        <w:t>П.6.6. Насърчаване на практики за справяне с генетична ерозия и внасяне на Инвазивни чужди видове (ИЧВ) и неместни, съгласно националното законодателство видове.</w:t>
      </w:r>
    </w:p>
    <w:p w14:paraId="41C517DE"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П.6.9.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w:t>
      </w:r>
    </w:p>
    <w:p w14:paraId="413174FE" w14:textId="43346095"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lastRenderedPageBreak/>
        <w:t xml:space="preserve">Среден </w:t>
      </w:r>
      <w:r w:rsidR="00D865C3" w:rsidRPr="009F6D1E">
        <w:rPr>
          <w:rFonts w:cs="Times New Roman"/>
          <w:b/>
          <w:i/>
          <w:szCs w:val="24"/>
        </w:rPr>
        <w:t>приоритет</w:t>
      </w:r>
      <w:r w:rsidRPr="009F6D1E">
        <w:rPr>
          <w:rFonts w:cs="Times New Roman"/>
          <w:b/>
          <w:i/>
          <w:szCs w:val="24"/>
        </w:rPr>
        <w:t>:</w:t>
      </w:r>
    </w:p>
    <w:p w14:paraId="216209D8"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П.6.1. Опазване и подобряване на природозащитното състояние на естествените местообитания и на дивата флора и фауна от Европейски интерес</w:t>
      </w:r>
    </w:p>
    <w:p w14:paraId="49206794"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6.2. Опазване и подобряване на природозащитното състояние на видове птици, свързани с обработваеми земи и тревни площи в земеделски земи.</w:t>
      </w:r>
    </w:p>
    <w:p w14:paraId="7B3276DF" w14:textId="77777777" w:rsidR="00720D56" w:rsidRPr="009F6D1E" w:rsidRDefault="00720D56"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7:</w:t>
      </w:r>
      <w:r w:rsidR="00BC142F" w:rsidRPr="009F6D1E">
        <w:rPr>
          <w:rFonts w:cs="Times New Roman"/>
          <w:i/>
          <w:szCs w:val="24"/>
        </w:rPr>
        <w:t xml:space="preserve"> </w:t>
      </w:r>
      <w:r w:rsidRPr="009F6D1E">
        <w:rPr>
          <w:rFonts w:cs="Times New Roman"/>
          <w:i/>
          <w:szCs w:val="24"/>
        </w:rPr>
        <w:t>Привличане и подкрепа на млади земеделски стопани и други нови земеделски стопани и улесняване на устойчивото развитие на стопанска дейност в селските райони</w:t>
      </w:r>
    </w:p>
    <w:p w14:paraId="5A074E9C"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Много висок приоритет:</w:t>
      </w:r>
    </w:p>
    <w:p w14:paraId="655F8B6A"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П.7.1. Ускоряване на модернизацията на земеделските стопанства на младите стопани</w:t>
      </w:r>
    </w:p>
    <w:p w14:paraId="1D744C0F"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П.7.2. Увеличаване подкрепата за младите стопани и на фермерския доход и улесняване стартирането на стопанство</w:t>
      </w:r>
    </w:p>
    <w:p w14:paraId="11969A2B"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59A5185F" w14:textId="3137D15B"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П.7.5. Улесняване развитието на стопанска дейност </w:t>
      </w:r>
      <w:r w:rsidR="00D865C3">
        <w:rPr>
          <w:rFonts w:cs="Times New Roman"/>
          <w:szCs w:val="24"/>
        </w:rPr>
        <w:t>в селските</w:t>
      </w:r>
      <w:r w:rsidRPr="009F6D1E">
        <w:rPr>
          <w:rFonts w:cs="Times New Roman"/>
          <w:szCs w:val="24"/>
        </w:rPr>
        <w:t xml:space="preserve"> райони и създаване и подпомагане на стартирането на стопански и неземеделски дейности</w:t>
      </w:r>
    </w:p>
    <w:p w14:paraId="2DA4C98F"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25D52CA5"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П.7.3. Повишаване на професионално-квалификационното равнище на мениджърите и останалите заети в отрасъла</w:t>
      </w:r>
    </w:p>
    <w:p w14:paraId="7E1E8A88"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П.7.4. Намаляване диспропорциите в земеделската заетост на младите стопани между различните райони и аграрни сектори</w:t>
      </w:r>
    </w:p>
    <w:p w14:paraId="74B58661"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П.7.6. 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w:t>
      </w:r>
    </w:p>
    <w:p w14:paraId="72F1248E" w14:textId="77777777" w:rsidR="00720D56" w:rsidRPr="009F6D1E" w:rsidRDefault="00720D56"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8:</w:t>
      </w:r>
      <w:r w:rsidR="00BC142F" w:rsidRPr="009F6D1E">
        <w:rPr>
          <w:rFonts w:cs="Times New Roman"/>
          <w:i/>
          <w:szCs w:val="24"/>
        </w:rPr>
        <w:t xml:space="preserve"> </w:t>
      </w:r>
      <w:r w:rsidRPr="009F6D1E">
        <w:rPr>
          <w:rFonts w:cs="Times New Roman"/>
          <w:i/>
          <w:szCs w:val="24"/>
        </w:rPr>
        <w:t>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w:t>
      </w:r>
    </w:p>
    <w:p w14:paraId="28145C64"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30292519"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П.8.2. Подобряване на здравните и социалните услуги</w:t>
      </w:r>
    </w:p>
    <w:p w14:paraId="3580EF79"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П.8.3. Подобряване на публична инфраструктурата и технико-комуникационните системи в селските райони чрез:</w:t>
      </w:r>
    </w:p>
    <w:p w14:paraId="2E6FC20F"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П.8.4. Подобряване на обектите за развитие на традициите и на културно-историческите обекти</w:t>
      </w:r>
    </w:p>
    <w:p w14:paraId="10748FC5"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П.8.5. Подобряване на състоянието на образователната инфраструктура с цел увеличаване на дела на населението, което има достъп до подобрени услуги</w:t>
      </w:r>
    </w:p>
    <w:p w14:paraId="62BC35A2" w14:textId="6E5364E9" w:rsidR="00720D56"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П.8.6. Запазване на многофондовото финансиране, разширяване на териториалното прилагане и опростяване на прилагането на подхода ЛИДЕР/ВОМР</w:t>
      </w:r>
      <w:r w:rsidR="00D865C3">
        <w:rPr>
          <w:rFonts w:cs="Times New Roman"/>
          <w:szCs w:val="24"/>
        </w:rPr>
        <w:t>.</w:t>
      </w:r>
    </w:p>
    <w:p w14:paraId="10532D77" w14:textId="77777777" w:rsidR="00D865C3" w:rsidRPr="009F6D1E" w:rsidRDefault="00D865C3" w:rsidP="0084747F">
      <w:pPr>
        <w:widowControl w:val="0"/>
        <w:tabs>
          <w:tab w:val="left" w:pos="5765"/>
        </w:tabs>
        <w:spacing w:after="60" w:line="264" w:lineRule="auto"/>
        <w:ind w:firstLine="720"/>
        <w:jc w:val="both"/>
        <w:rPr>
          <w:rFonts w:cs="Times New Roman"/>
          <w:szCs w:val="24"/>
        </w:rPr>
      </w:pPr>
    </w:p>
    <w:p w14:paraId="6962631D"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lastRenderedPageBreak/>
        <w:t>Среден приоритет:</w:t>
      </w:r>
    </w:p>
    <w:p w14:paraId="7E813283"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П.8.1.Диверсификация на икономическата дейност. Стимулиране на нови производства в областта на биоикономиката и кръговата икономика</w:t>
      </w:r>
    </w:p>
    <w:p w14:paraId="3D7BC9C5" w14:textId="77777777" w:rsidR="00720D56" w:rsidRPr="009F6D1E" w:rsidRDefault="00720D56"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Специфична цел 9:</w:t>
      </w:r>
      <w:r w:rsidR="00BC142F" w:rsidRPr="009F6D1E">
        <w:rPr>
          <w:rFonts w:cs="Times New Roman"/>
          <w:i/>
          <w:szCs w:val="24"/>
        </w:rPr>
        <w:t xml:space="preserve"> </w:t>
      </w:r>
      <w:r w:rsidRPr="009F6D1E">
        <w:rPr>
          <w:rFonts w:cs="Times New Roman"/>
          <w:i/>
          <w:szCs w:val="24"/>
        </w:rPr>
        <w:t>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устойчив начин, намаляване на хранителните отпадъци,</w:t>
      </w:r>
      <w:r w:rsidRPr="009F6D1E">
        <w:rPr>
          <w:rFonts w:cs="Times New Roman"/>
          <w:i/>
        </w:rPr>
        <w:t xml:space="preserve"> </w:t>
      </w:r>
      <w:r w:rsidRPr="009F6D1E">
        <w:rPr>
          <w:rFonts w:cs="Times New Roman"/>
          <w:i/>
          <w:szCs w:val="24"/>
        </w:rPr>
        <w:t>както и подобряване на хуманното отношение към животните и борба с антимикробната резистентност.</w:t>
      </w:r>
    </w:p>
    <w:p w14:paraId="50F85FE9"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Много висок приоритет:</w:t>
      </w:r>
    </w:p>
    <w:p w14:paraId="63844336"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П.9.3.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p>
    <w:p w14:paraId="64135917"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П.9.6. Подобряване отглеждането на животните;</w:t>
      </w:r>
    </w:p>
    <w:p w14:paraId="554DA577"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П.9.7. Намаляване употребата на антимикробни средства в селското стопанство;</w:t>
      </w:r>
    </w:p>
    <w:p w14:paraId="1ED1A577"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П.9.8.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p>
    <w:p w14:paraId="6BC59AE6"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16D44D23"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П.9.1.Насърчаване и подпомагане на биологичното земеделие, както и на научните изследвания в тази посока;</w:t>
      </w:r>
    </w:p>
    <w:p w14:paraId="699FFAA0"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Среден приоритет:</w:t>
      </w:r>
    </w:p>
    <w:p w14:paraId="395EADD5"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П.9.2.Подобряване на контрола (лабораторна дейност),пазарна организация, реализация и маркетинг в биологичното производство;</w:t>
      </w:r>
    </w:p>
    <w:p w14:paraId="003F98D4"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П.9.4. Подобряване качеството на храните, насърчаване консумацията на здравословна храна, повишаване информираността на потребителите относно етикирането на храните и засилване на контрола при внос на суровини и храни;</w:t>
      </w:r>
    </w:p>
    <w:p w14:paraId="22D6A554"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П.9.5. Подкрепа на производителите, участващи в схемите за качество съгласно Европейската регулация относно схемите за качество на селскостопански продукти и храни.</w:t>
      </w:r>
    </w:p>
    <w:p w14:paraId="1F9156B8" w14:textId="77777777" w:rsidR="00720D56" w:rsidRPr="009F6D1E" w:rsidRDefault="00720D56" w:rsidP="0084747F">
      <w:pPr>
        <w:widowControl w:val="0"/>
        <w:tabs>
          <w:tab w:val="left" w:pos="5765"/>
        </w:tabs>
        <w:spacing w:after="60" w:line="264" w:lineRule="auto"/>
        <w:ind w:firstLine="720"/>
        <w:jc w:val="both"/>
        <w:rPr>
          <w:rFonts w:cs="Times New Roman"/>
          <w:i/>
          <w:szCs w:val="24"/>
        </w:rPr>
      </w:pPr>
      <w:r w:rsidRPr="009F6D1E">
        <w:rPr>
          <w:rFonts w:cs="Times New Roman"/>
          <w:i/>
          <w:szCs w:val="24"/>
        </w:rPr>
        <w:t xml:space="preserve">Специфична </w:t>
      </w:r>
      <w:r w:rsidR="00BC142F" w:rsidRPr="009F6D1E">
        <w:rPr>
          <w:rFonts w:cs="Times New Roman"/>
          <w:i/>
          <w:szCs w:val="24"/>
        </w:rPr>
        <w:t xml:space="preserve">(междусекторна) </w:t>
      </w:r>
      <w:r w:rsidRPr="009F6D1E">
        <w:rPr>
          <w:rFonts w:cs="Times New Roman"/>
          <w:i/>
          <w:szCs w:val="24"/>
        </w:rPr>
        <w:t>цел 10:</w:t>
      </w:r>
      <w:r w:rsidR="00BC142F" w:rsidRPr="009F6D1E">
        <w:rPr>
          <w:rFonts w:cs="Times New Roman"/>
          <w:i/>
          <w:szCs w:val="24"/>
        </w:rPr>
        <w:t xml:space="preserve"> </w:t>
      </w:r>
      <w:r w:rsidRPr="009F6D1E">
        <w:rPr>
          <w:rFonts w:cs="Times New Roman"/>
          <w:i/>
          <w:szCs w:val="24"/>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p>
    <w:p w14:paraId="25B8927C" w14:textId="77777777" w:rsidR="00720D56" w:rsidRPr="009F6D1E" w:rsidRDefault="00720D56" w:rsidP="0084747F">
      <w:pPr>
        <w:widowControl w:val="0"/>
        <w:tabs>
          <w:tab w:val="left" w:pos="5765"/>
        </w:tabs>
        <w:spacing w:after="60" w:line="264" w:lineRule="auto"/>
        <w:ind w:firstLine="720"/>
        <w:jc w:val="both"/>
        <w:rPr>
          <w:rFonts w:cs="Times New Roman"/>
          <w:b/>
          <w:i/>
          <w:szCs w:val="24"/>
        </w:rPr>
      </w:pPr>
      <w:r w:rsidRPr="009F6D1E">
        <w:rPr>
          <w:rFonts w:cs="Times New Roman"/>
          <w:b/>
          <w:i/>
          <w:szCs w:val="24"/>
        </w:rPr>
        <w:t>Висок приоритет:</w:t>
      </w:r>
    </w:p>
    <w:p w14:paraId="34D85705"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 xml:space="preserve">П.10.1. Осигуряване на ефективни методи за събиране, систематизиране и анализ на цялостна и представителна информация за състоянието и развитието на Системата за споделяне на знания и иновации и цифровизация в селското стопанство /ССЗИСС/, </w:t>
      </w:r>
      <w:r w:rsidRPr="009F6D1E">
        <w:rPr>
          <w:rFonts w:cs="Times New Roman"/>
          <w:szCs w:val="24"/>
        </w:rPr>
        <w:lastRenderedPageBreak/>
        <w:t>включително чрез 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6A8F2897"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П.10.2.Укрепване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11151787"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П.10.3.Повишаване на професионалната квалификация на предприемачите и заетите лица в селскостопанския отрасъл чрез адаптиране на формите за трансфер на знания към специфичните секторни особености;</w:t>
      </w:r>
    </w:p>
    <w:p w14:paraId="71345461" w14:textId="77777777" w:rsidR="00720D56"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П.10.4. Насърчаване на различни форми на коопериране между различните участници в системата на ССЗИСС за подобряване ефективността от внедряването, разпространението и приложението на иновативни решения базирани на дигитални технологии и споделяне на знания, специфични за различните секторни производства;</w:t>
      </w:r>
    </w:p>
    <w:p w14:paraId="7F96123C" w14:textId="77777777" w:rsidR="00520007" w:rsidRPr="009F6D1E" w:rsidRDefault="00720D56" w:rsidP="0084747F">
      <w:pPr>
        <w:widowControl w:val="0"/>
        <w:tabs>
          <w:tab w:val="left" w:pos="5765"/>
        </w:tabs>
        <w:spacing w:after="60" w:line="264" w:lineRule="auto"/>
        <w:ind w:firstLine="720"/>
        <w:jc w:val="both"/>
        <w:rPr>
          <w:rFonts w:cs="Times New Roman"/>
          <w:szCs w:val="24"/>
        </w:rPr>
      </w:pPr>
      <w:r w:rsidRPr="009F6D1E">
        <w:rPr>
          <w:rFonts w:cs="Times New Roman"/>
          <w:szCs w:val="24"/>
        </w:rPr>
        <w:t>П.10.5.Цифровизация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p>
    <w:p w14:paraId="3B467185" w14:textId="77777777" w:rsidR="00BC142F" w:rsidRPr="009F6D1E" w:rsidRDefault="00BC142F" w:rsidP="0084747F">
      <w:pPr>
        <w:widowControl w:val="0"/>
        <w:tabs>
          <w:tab w:val="left" w:pos="5765"/>
        </w:tabs>
        <w:spacing w:after="60" w:line="264" w:lineRule="auto"/>
        <w:ind w:firstLine="720"/>
        <w:jc w:val="both"/>
        <w:rPr>
          <w:rFonts w:cs="Times New Roman"/>
          <w:szCs w:val="24"/>
        </w:rPr>
      </w:pPr>
    </w:p>
    <w:p w14:paraId="187DE08C" w14:textId="77777777" w:rsidR="00E87CE2" w:rsidRPr="009F6D1E" w:rsidRDefault="00E87CE2" w:rsidP="0084747F">
      <w:pPr>
        <w:widowControl w:val="0"/>
        <w:tabs>
          <w:tab w:val="left" w:pos="5765"/>
        </w:tabs>
        <w:spacing w:after="60" w:line="264" w:lineRule="auto"/>
        <w:ind w:firstLine="720"/>
        <w:jc w:val="both"/>
        <w:rPr>
          <w:rFonts w:cs="Times New Roman"/>
          <w:szCs w:val="24"/>
        </w:rPr>
      </w:pPr>
      <w:r w:rsidRPr="009F6D1E">
        <w:rPr>
          <w:rFonts w:cs="Times New Roman"/>
          <w:szCs w:val="24"/>
        </w:rPr>
        <w:t>Нулевата опция, която се дефинира като “</w:t>
      </w:r>
      <w:r w:rsidRPr="009F6D1E">
        <w:rPr>
          <w:rFonts w:cs="Times New Roman"/>
          <w:i/>
          <w:szCs w:val="24"/>
        </w:rPr>
        <w:t>съществуващо състояние</w:t>
      </w:r>
      <w:r w:rsidRPr="009F6D1E">
        <w:rPr>
          <w:rFonts w:cs="Times New Roman"/>
          <w:szCs w:val="24"/>
        </w:rPr>
        <w:t xml:space="preserve">”,  представлява алтернатива в съответствие с Директива 2001/42/EО и е разгледана в раздел 4.2 от настоящия документ (Евентуално развитие без прилагането на </w:t>
      </w:r>
      <w:r w:rsidR="00CD4045" w:rsidRPr="009F6D1E">
        <w:rPr>
          <w:rFonts w:cs="Times New Roman"/>
          <w:szCs w:val="24"/>
        </w:rPr>
        <w:t>СПРЗСР</w:t>
      </w:r>
      <w:r w:rsidRPr="009F6D1E">
        <w:rPr>
          <w:rFonts w:cs="Times New Roman"/>
          <w:szCs w:val="24"/>
        </w:rPr>
        <w:t>).</w:t>
      </w:r>
    </w:p>
    <w:p w14:paraId="301C1D8C" w14:textId="77777777" w:rsidR="002063D6" w:rsidRPr="009F6D1E" w:rsidRDefault="002063D6" w:rsidP="0084747F">
      <w:pPr>
        <w:spacing w:after="60" w:line="264" w:lineRule="auto"/>
        <w:contextualSpacing/>
        <w:jc w:val="both"/>
        <w:rPr>
          <w:rFonts w:eastAsia="Calibri" w:cs="Times New Roman"/>
          <w:b/>
          <w:bCs/>
          <w:i/>
          <w:iCs/>
          <w:szCs w:val="24"/>
        </w:rPr>
      </w:pPr>
    </w:p>
    <w:p w14:paraId="41A650A9" w14:textId="77777777" w:rsidR="00DB4C0F" w:rsidRPr="009F6D1E" w:rsidRDefault="00471E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55" w:name="_Toc97639504"/>
      <w:bookmarkStart w:id="56" w:name="_Toc115254988"/>
      <w:r w:rsidRPr="009F6D1E">
        <w:rPr>
          <w:rFonts w:eastAsia="Times New Roman"/>
          <w:b/>
          <w:i/>
          <w:lang w:val="bg-BG"/>
        </w:rPr>
        <w:t xml:space="preserve">Връзка на </w:t>
      </w:r>
      <w:r w:rsidR="00CD4045" w:rsidRPr="009F6D1E">
        <w:rPr>
          <w:rFonts w:eastAsia="Times New Roman"/>
          <w:b/>
          <w:i/>
          <w:lang w:val="bg-BG"/>
        </w:rPr>
        <w:t>СПРЗСР</w:t>
      </w:r>
      <w:r w:rsidRPr="009F6D1E">
        <w:rPr>
          <w:rFonts w:eastAsia="Times New Roman"/>
          <w:b/>
          <w:i/>
          <w:lang w:val="bg-BG"/>
        </w:rPr>
        <w:t xml:space="preserve"> с други </w:t>
      </w:r>
      <w:proofErr w:type="spellStart"/>
      <w:r w:rsidRPr="009F6D1E">
        <w:rPr>
          <w:rFonts w:eastAsia="Times New Roman"/>
          <w:b/>
          <w:i/>
          <w:lang w:val="bg-BG"/>
        </w:rPr>
        <w:t>съотносими</w:t>
      </w:r>
      <w:proofErr w:type="spellEnd"/>
      <w:r w:rsidRPr="009F6D1E">
        <w:rPr>
          <w:rFonts w:eastAsia="Times New Roman"/>
          <w:b/>
          <w:i/>
          <w:lang w:val="bg-BG"/>
        </w:rPr>
        <w:t xml:space="preserve"> планове, програми и стратегии</w:t>
      </w:r>
      <w:bookmarkEnd w:id="55"/>
      <w:bookmarkEnd w:id="56"/>
      <w:r w:rsidRPr="009F6D1E">
        <w:rPr>
          <w:rFonts w:eastAsia="Times New Roman"/>
          <w:b/>
          <w:i/>
          <w:lang w:val="bg-BG"/>
        </w:rPr>
        <w:tab/>
      </w:r>
      <w:bookmarkStart w:id="57" w:name="_Toc97639590"/>
      <w:bookmarkStart w:id="58" w:name="_Toc97640620"/>
      <w:bookmarkStart w:id="59" w:name="_Toc97640671"/>
      <w:bookmarkStart w:id="60" w:name="_Toc97640707"/>
      <w:bookmarkStart w:id="61" w:name="_Toc97645434"/>
      <w:bookmarkStart w:id="62" w:name="_Toc97657025"/>
      <w:bookmarkStart w:id="63" w:name="_Toc97657311"/>
      <w:bookmarkStart w:id="64" w:name="_Toc97657415"/>
      <w:bookmarkStart w:id="65" w:name="_Toc97657997"/>
      <w:bookmarkStart w:id="66" w:name="_Toc97658111"/>
      <w:bookmarkStart w:id="67" w:name="_Toc97639593"/>
      <w:bookmarkStart w:id="68" w:name="_Toc97640623"/>
      <w:bookmarkStart w:id="69" w:name="_Toc97640674"/>
      <w:bookmarkStart w:id="70" w:name="_Toc97640710"/>
      <w:bookmarkStart w:id="71" w:name="_Toc97645437"/>
      <w:bookmarkStart w:id="72" w:name="_Toc97657028"/>
      <w:bookmarkStart w:id="73" w:name="_Toc97657314"/>
      <w:bookmarkStart w:id="74" w:name="_Toc97657418"/>
      <w:bookmarkStart w:id="75" w:name="_Toc97658000"/>
      <w:bookmarkStart w:id="76" w:name="_Toc97658114"/>
      <w:bookmarkStart w:id="77" w:name="_Toc396139633"/>
      <w:bookmarkStart w:id="78" w:name="_Toc456859536"/>
      <w:bookmarkStart w:id="79" w:name="_Toc62825687"/>
      <w:bookmarkStart w:id="80" w:name="_Toc71800540"/>
      <w:bookmarkStart w:id="81" w:name="_Toc88359558"/>
      <w:bookmarkStart w:id="82" w:name="_Toc97639505"/>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4714434" w14:textId="77777777" w:rsidR="00DB4C0F" w:rsidRPr="009F6D1E" w:rsidRDefault="00DB4C0F" w:rsidP="0084747F">
      <w:pPr>
        <w:pStyle w:val="ListParagraph"/>
        <w:keepNext/>
        <w:keepLines/>
        <w:spacing w:after="60" w:line="264" w:lineRule="auto"/>
        <w:ind w:left="0"/>
        <w:jc w:val="both"/>
        <w:outlineLvl w:val="1"/>
        <w:rPr>
          <w:rFonts w:eastAsia="Times New Roman"/>
          <w:b/>
          <w:i/>
          <w:lang w:val="bg-BG"/>
        </w:rPr>
      </w:pPr>
    </w:p>
    <w:p w14:paraId="28524C71" w14:textId="77777777" w:rsidR="00816A9A" w:rsidRPr="009F6D1E" w:rsidRDefault="001931F5">
      <w:pPr>
        <w:pStyle w:val="ListParagraph"/>
        <w:keepNext/>
        <w:keepLines/>
        <w:numPr>
          <w:ilvl w:val="2"/>
          <w:numId w:val="76"/>
        </w:numPr>
        <w:shd w:val="clear" w:color="auto" w:fill="E2EFD9" w:themeFill="accent6" w:themeFillTint="33"/>
        <w:spacing w:after="60" w:line="264" w:lineRule="auto"/>
        <w:jc w:val="both"/>
        <w:outlineLvl w:val="1"/>
        <w:rPr>
          <w:rFonts w:eastAsia="Times New Roman"/>
          <w:b/>
          <w:bCs/>
          <w:i/>
          <w:lang w:val="bg-BG"/>
        </w:rPr>
      </w:pPr>
      <w:bookmarkStart w:id="83" w:name="_Toc115254989"/>
      <w:r w:rsidRPr="009F6D1E">
        <w:rPr>
          <w:b/>
          <w:bCs/>
          <w:lang w:val="bg-BG"/>
        </w:rPr>
        <w:t>Основни стратегически документи на ЕС</w:t>
      </w:r>
      <w:bookmarkEnd w:id="77"/>
      <w:bookmarkEnd w:id="78"/>
      <w:bookmarkEnd w:id="79"/>
      <w:bookmarkEnd w:id="80"/>
      <w:bookmarkEnd w:id="81"/>
      <w:bookmarkEnd w:id="82"/>
      <w:bookmarkEnd w:id="83"/>
    </w:p>
    <w:p w14:paraId="784B64D0" w14:textId="77777777" w:rsidR="00186D8E" w:rsidRPr="009F6D1E" w:rsidRDefault="00186D8E" w:rsidP="0084747F">
      <w:pPr>
        <w:pStyle w:val="22"/>
        <w:shd w:val="clear" w:color="auto" w:fill="auto"/>
        <w:spacing w:before="0" w:after="60" w:line="264" w:lineRule="auto"/>
        <w:ind w:right="26" w:firstLine="720"/>
        <w:rPr>
          <w:b/>
          <w:bCs/>
          <w:smallCaps/>
          <w:color w:val="262626" w:themeColor="text1" w:themeTint="D9"/>
        </w:rPr>
      </w:pPr>
      <w:bookmarkStart w:id="84" w:name="_Hlk94531234"/>
      <w:bookmarkStart w:id="85" w:name="_Toc88359559"/>
      <w:bookmarkStart w:id="86" w:name="_Hlk96354230"/>
    </w:p>
    <w:p w14:paraId="7F6770A0"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План за възстановяване на Европа</w:t>
      </w:r>
      <w:bookmarkEnd w:id="84"/>
    </w:p>
    <w:p w14:paraId="3E58AE13" w14:textId="77777777" w:rsidR="0094794D" w:rsidRPr="009F6D1E" w:rsidRDefault="0094794D" w:rsidP="0084747F">
      <w:pPr>
        <w:pStyle w:val="22"/>
        <w:shd w:val="clear" w:color="auto" w:fill="auto"/>
        <w:spacing w:before="0" w:after="60" w:line="264" w:lineRule="auto"/>
        <w:ind w:right="26" w:firstLine="720"/>
        <w:rPr>
          <w:szCs w:val="24"/>
        </w:rPr>
      </w:pPr>
    </w:p>
    <w:p w14:paraId="6B1AE3CB" w14:textId="77777777" w:rsidR="001931F5" w:rsidRPr="009F6D1E" w:rsidRDefault="001931F5" w:rsidP="0084747F">
      <w:pPr>
        <w:pStyle w:val="22"/>
        <w:shd w:val="clear" w:color="auto" w:fill="auto"/>
        <w:spacing w:before="0" w:after="60" w:line="264" w:lineRule="auto"/>
        <w:ind w:right="26" w:firstLine="720"/>
        <w:rPr>
          <w:szCs w:val="24"/>
        </w:rPr>
      </w:pPr>
      <w:r w:rsidRPr="009F6D1E">
        <w:rPr>
          <w:szCs w:val="24"/>
        </w:rPr>
        <w:t>В следствие на кризата, породена от пандемията от COVID-19 и необходимостта за справяне с нея, е одобрен от ЕК План за възстановяване на Европа, който се основава на 2 стълба – Многогодишна финансова рамка (МФР) 2021-2027 г. и нов Инструмент за възстановяване „Следващо поколение ЕС“</w:t>
      </w:r>
      <w:r w:rsidRPr="009F6D1E">
        <w:rPr>
          <w:b/>
          <w:bCs/>
          <w:i/>
          <w:iCs/>
          <w:smallCaps/>
          <w:color w:val="223770"/>
          <w:szCs w:val="24"/>
        </w:rPr>
        <w:t xml:space="preserve"> </w:t>
      </w:r>
      <w:r w:rsidRPr="009F6D1E">
        <w:rPr>
          <w:i/>
          <w:iCs/>
          <w:smallCaps/>
          <w:color w:val="223770"/>
          <w:szCs w:val="24"/>
        </w:rPr>
        <w:t>(</w:t>
      </w:r>
      <w:proofErr w:type="spellStart"/>
      <w:r w:rsidRPr="009F6D1E">
        <w:rPr>
          <w:szCs w:val="24"/>
        </w:rPr>
        <w:t>NextGenerationEU</w:t>
      </w:r>
      <w:proofErr w:type="spellEnd"/>
      <w:r w:rsidRPr="009F6D1E">
        <w:rPr>
          <w:szCs w:val="24"/>
        </w:rPr>
        <w:t xml:space="preserve">) </w:t>
      </w:r>
      <w:r w:rsidRPr="009F6D1E">
        <w:rPr>
          <w:smallCaps/>
          <w:szCs w:val="24"/>
        </w:rPr>
        <w:t>2021-2026 г.</w:t>
      </w:r>
      <w:r w:rsidRPr="009F6D1E">
        <w:rPr>
          <w:szCs w:val="24"/>
        </w:rPr>
        <w:t>, който ще бъде извън МФР и ще се генерира посредством увеличаване на собствените ресурси на ЕС.</w:t>
      </w:r>
    </w:p>
    <w:p w14:paraId="01A1DB3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cs="Times New Roman"/>
          <w:b/>
          <w:bCs/>
          <w:szCs w:val="24"/>
        </w:rPr>
      </w:pPr>
      <w:bookmarkStart w:id="87" w:name="_Hlk94521567"/>
      <w:r w:rsidRPr="009F6D1E">
        <w:rPr>
          <w:rFonts w:eastAsia="Times New Roman" w:cs="Times New Roman"/>
          <w:b/>
          <w:bCs/>
          <w:szCs w:val="24"/>
          <w:lang w:eastAsia="bg-BG" w:bidi="bg-BG"/>
        </w:rPr>
        <w:t>Многогодишна</w:t>
      </w:r>
      <w:r w:rsidRPr="009F6D1E">
        <w:rPr>
          <w:rFonts w:cs="Times New Roman"/>
          <w:b/>
          <w:bCs/>
          <w:color w:val="000000"/>
          <w:szCs w:val="24"/>
          <w:lang w:eastAsia="bg-BG" w:bidi="bg-BG"/>
        </w:rPr>
        <w:t xml:space="preserve"> финансова рамка (МФР)</w:t>
      </w:r>
      <w:bookmarkEnd w:id="87"/>
      <w:r w:rsidRPr="009F6D1E">
        <w:rPr>
          <w:rFonts w:cs="Times New Roman"/>
          <w:b/>
          <w:bCs/>
          <w:color w:val="000000"/>
          <w:szCs w:val="24"/>
          <w:lang w:eastAsia="bg-BG" w:bidi="bg-BG"/>
        </w:rPr>
        <w:t xml:space="preserve"> 2021-2027 г</w:t>
      </w:r>
      <w:r w:rsidRPr="009F6D1E">
        <w:rPr>
          <w:rFonts w:cs="Times New Roman"/>
          <w:b/>
          <w:bCs/>
          <w:szCs w:val="24"/>
        </w:rPr>
        <w:t>.</w:t>
      </w:r>
      <w:r w:rsidRPr="009F6D1E">
        <w:rPr>
          <w:rFonts w:cs="Times New Roman"/>
          <w:b/>
          <w:bCs/>
          <w:szCs w:val="24"/>
          <w:vertAlign w:val="superscript"/>
        </w:rPr>
        <w:footnoteReference w:id="1"/>
      </w:r>
      <w:bookmarkEnd w:id="85"/>
    </w:p>
    <w:p w14:paraId="39644345" w14:textId="77777777" w:rsidR="001931F5" w:rsidRPr="009F6D1E" w:rsidRDefault="001931F5" w:rsidP="0084747F">
      <w:pPr>
        <w:pStyle w:val="22"/>
        <w:shd w:val="clear" w:color="auto" w:fill="auto"/>
        <w:spacing w:before="0" w:after="60" w:line="264" w:lineRule="auto"/>
        <w:ind w:right="26" w:firstLine="720"/>
        <w:rPr>
          <w:szCs w:val="24"/>
        </w:rPr>
      </w:pPr>
      <w:r w:rsidRPr="009F6D1E">
        <w:rPr>
          <w:szCs w:val="24"/>
        </w:rPr>
        <w:t xml:space="preserve">В приетите текстове на </w:t>
      </w:r>
      <w:r w:rsidRPr="009F6D1E">
        <w:rPr>
          <w:b/>
          <w:bCs/>
          <w:szCs w:val="24"/>
        </w:rPr>
        <w:t>Регламент (ЕС, Евратом) 2020/2093</w:t>
      </w:r>
      <w:r w:rsidRPr="009F6D1E">
        <w:rPr>
          <w:szCs w:val="24"/>
        </w:rPr>
        <w:t xml:space="preserve"> на Съвета от 17 декември 2020 година </w:t>
      </w:r>
      <w:r w:rsidRPr="009F6D1E">
        <w:rPr>
          <w:i/>
          <w:iCs/>
          <w:szCs w:val="24"/>
        </w:rPr>
        <w:t xml:space="preserve">за определяне на многогодишната финансова рамка за годините 2021—2027г., </w:t>
      </w:r>
      <w:r w:rsidRPr="009F6D1E">
        <w:rPr>
          <w:szCs w:val="24"/>
        </w:rPr>
        <w:lastRenderedPageBreak/>
        <w:t>са определени новите засилени приоритети</w:t>
      </w:r>
      <w:r w:rsidRPr="009F6D1E">
        <w:rPr>
          <w:szCs w:val="24"/>
          <w:vertAlign w:val="superscript"/>
        </w:rPr>
        <w:footnoteReference w:id="2"/>
      </w:r>
      <w:r w:rsidRPr="009F6D1E">
        <w:rPr>
          <w:szCs w:val="24"/>
          <w:vertAlign w:val="superscript"/>
        </w:rPr>
        <w:t>,</w:t>
      </w:r>
      <w:r w:rsidRPr="009F6D1E">
        <w:rPr>
          <w:i/>
          <w:iCs/>
          <w:szCs w:val="24"/>
          <w:vertAlign w:val="superscript"/>
        </w:rPr>
        <w:footnoteReference w:id="3"/>
      </w:r>
      <w:r w:rsidRPr="009F6D1E">
        <w:rPr>
          <w:szCs w:val="24"/>
        </w:rPr>
        <w:t>:</w:t>
      </w:r>
    </w:p>
    <w:p w14:paraId="567589EE" w14:textId="77777777" w:rsidR="001931F5" w:rsidRPr="009F6D1E" w:rsidRDefault="001931F5" w:rsidP="0084747F">
      <w:pPr>
        <w:spacing w:after="60" w:line="264" w:lineRule="auto"/>
        <w:ind w:left="1296" w:hanging="445"/>
        <w:jc w:val="both"/>
        <w:rPr>
          <w:rFonts w:cs="Times New Roman"/>
          <w:b/>
          <w:bCs/>
          <w:szCs w:val="24"/>
        </w:rPr>
      </w:pPr>
      <w:r w:rsidRPr="009F6D1E">
        <w:rPr>
          <w:rFonts w:cs="Times New Roman"/>
          <w:b/>
          <w:bCs/>
          <w:szCs w:val="24"/>
        </w:rPr>
        <w:sym w:font="Wingdings" w:char="F08C"/>
      </w:r>
      <w:r w:rsidRPr="009F6D1E">
        <w:rPr>
          <w:rFonts w:cs="Times New Roman"/>
          <w:b/>
          <w:bCs/>
          <w:szCs w:val="24"/>
        </w:rPr>
        <w:tab/>
        <w:t xml:space="preserve">Бюджетни кредити за поети задължения </w:t>
      </w:r>
      <w:r w:rsidRPr="009F6D1E">
        <w:rPr>
          <w:rFonts w:cs="Times New Roman"/>
          <w:szCs w:val="24"/>
        </w:rPr>
        <w:t>(Приложение I):</w:t>
      </w:r>
    </w:p>
    <w:p w14:paraId="763948EC" w14:textId="77777777" w:rsidR="001931F5" w:rsidRPr="009F6D1E" w:rsidRDefault="001931F5" w:rsidP="0084747F">
      <w:pPr>
        <w:spacing w:after="60" w:line="264" w:lineRule="auto"/>
        <w:ind w:left="1560" w:hanging="234"/>
        <w:contextualSpacing/>
        <w:jc w:val="both"/>
        <w:rPr>
          <w:rFonts w:cs="Times New Roman"/>
          <w:szCs w:val="24"/>
        </w:rPr>
      </w:pPr>
      <w:bookmarkStart w:id="88" w:name="_Hlk74312884"/>
      <w:r w:rsidRPr="009F6D1E">
        <w:rPr>
          <w:rFonts w:cs="Times New Roman"/>
          <w:szCs w:val="24"/>
        </w:rPr>
        <w:t>1. Единен пазар, иновации и цифрова сфера;</w:t>
      </w:r>
    </w:p>
    <w:bookmarkEnd w:id="88"/>
    <w:p w14:paraId="0EAF814B" w14:textId="77777777" w:rsidR="001931F5" w:rsidRPr="009F6D1E" w:rsidRDefault="001931F5" w:rsidP="0084747F">
      <w:pPr>
        <w:spacing w:after="60" w:line="264" w:lineRule="auto"/>
        <w:ind w:left="1560" w:hanging="234"/>
        <w:contextualSpacing/>
        <w:jc w:val="both"/>
        <w:rPr>
          <w:rFonts w:cs="Times New Roman"/>
          <w:szCs w:val="24"/>
        </w:rPr>
      </w:pPr>
      <w:r w:rsidRPr="009F6D1E">
        <w:rPr>
          <w:rFonts w:cs="Times New Roman"/>
          <w:szCs w:val="24"/>
        </w:rPr>
        <w:t>2. Сближаване, устойчивост и ценности;</w:t>
      </w:r>
    </w:p>
    <w:p w14:paraId="7DFFE1F3" w14:textId="77777777" w:rsidR="001931F5" w:rsidRPr="009F6D1E" w:rsidRDefault="001931F5" w:rsidP="0084747F">
      <w:pPr>
        <w:spacing w:after="60" w:line="264" w:lineRule="auto"/>
        <w:ind w:left="1560"/>
        <w:contextualSpacing/>
        <w:jc w:val="both"/>
        <w:rPr>
          <w:rFonts w:cs="Times New Roman"/>
          <w:i/>
          <w:iCs/>
          <w:szCs w:val="24"/>
        </w:rPr>
      </w:pPr>
      <w:r w:rsidRPr="009F6D1E">
        <w:rPr>
          <w:rFonts w:cs="Times New Roman"/>
          <w:i/>
          <w:iCs/>
          <w:szCs w:val="24"/>
        </w:rPr>
        <w:t>2a. Икономическо, социално и териториално сближаване,</w:t>
      </w:r>
    </w:p>
    <w:p w14:paraId="5C8C20F6" w14:textId="77777777" w:rsidR="001931F5" w:rsidRPr="009F6D1E" w:rsidRDefault="001931F5" w:rsidP="0084747F">
      <w:pPr>
        <w:spacing w:after="60" w:line="264" w:lineRule="auto"/>
        <w:ind w:left="1560"/>
        <w:contextualSpacing/>
        <w:jc w:val="both"/>
        <w:rPr>
          <w:rFonts w:cs="Times New Roman"/>
          <w:i/>
          <w:iCs/>
          <w:szCs w:val="24"/>
        </w:rPr>
      </w:pPr>
      <w:r w:rsidRPr="009F6D1E">
        <w:rPr>
          <w:rFonts w:cs="Times New Roman"/>
          <w:i/>
          <w:iCs/>
          <w:szCs w:val="24"/>
        </w:rPr>
        <w:t>2б. Устойчивост и ценности,</w:t>
      </w:r>
    </w:p>
    <w:p w14:paraId="06D9569C" w14:textId="77777777" w:rsidR="001931F5" w:rsidRPr="009F6D1E" w:rsidRDefault="001931F5" w:rsidP="0084747F">
      <w:pPr>
        <w:spacing w:after="60" w:line="264" w:lineRule="auto"/>
        <w:ind w:left="1560" w:hanging="234"/>
        <w:contextualSpacing/>
        <w:jc w:val="both"/>
        <w:rPr>
          <w:rFonts w:cs="Times New Roman"/>
          <w:szCs w:val="24"/>
        </w:rPr>
      </w:pPr>
      <w:r w:rsidRPr="009F6D1E">
        <w:rPr>
          <w:rFonts w:cs="Times New Roman"/>
          <w:szCs w:val="24"/>
        </w:rPr>
        <w:t>3. Природни ресурси и околна среда;</w:t>
      </w:r>
    </w:p>
    <w:p w14:paraId="5ADC5EF6" w14:textId="77777777" w:rsidR="001931F5" w:rsidRPr="009F6D1E" w:rsidRDefault="001931F5" w:rsidP="0084747F">
      <w:pPr>
        <w:spacing w:after="60" w:line="264" w:lineRule="auto"/>
        <w:ind w:left="1560" w:hanging="234"/>
        <w:contextualSpacing/>
        <w:jc w:val="both"/>
        <w:rPr>
          <w:rFonts w:cs="Times New Roman"/>
          <w:szCs w:val="24"/>
        </w:rPr>
      </w:pPr>
      <w:r w:rsidRPr="009F6D1E">
        <w:rPr>
          <w:rFonts w:cs="Times New Roman"/>
          <w:szCs w:val="24"/>
        </w:rPr>
        <w:t>4. Миграция и управление на границите ;</w:t>
      </w:r>
    </w:p>
    <w:p w14:paraId="5333D75C" w14:textId="77777777" w:rsidR="001931F5" w:rsidRPr="009F6D1E" w:rsidRDefault="001931F5" w:rsidP="0084747F">
      <w:pPr>
        <w:spacing w:after="60" w:line="264" w:lineRule="auto"/>
        <w:ind w:left="1560" w:hanging="234"/>
        <w:contextualSpacing/>
        <w:jc w:val="both"/>
        <w:rPr>
          <w:rFonts w:cs="Times New Roman"/>
          <w:szCs w:val="24"/>
        </w:rPr>
      </w:pPr>
      <w:r w:rsidRPr="009F6D1E">
        <w:rPr>
          <w:rFonts w:cs="Times New Roman"/>
          <w:szCs w:val="24"/>
        </w:rPr>
        <w:t>5. Сигурност и отбрана;</w:t>
      </w:r>
    </w:p>
    <w:p w14:paraId="06D9D604" w14:textId="77777777" w:rsidR="001931F5" w:rsidRPr="009F6D1E" w:rsidRDefault="001931F5" w:rsidP="0084747F">
      <w:pPr>
        <w:spacing w:after="60" w:line="264" w:lineRule="auto"/>
        <w:ind w:left="1560" w:hanging="234"/>
        <w:contextualSpacing/>
        <w:jc w:val="both"/>
        <w:rPr>
          <w:rFonts w:cs="Times New Roman"/>
          <w:szCs w:val="24"/>
        </w:rPr>
      </w:pPr>
      <w:r w:rsidRPr="009F6D1E">
        <w:rPr>
          <w:rFonts w:cs="Times New Roman"/>
          <w:szCs w:val="24"/>
        </w:rPr>
        <w:t>6. Съседните региони и светът;</w:t>
      </w:r>
    </w:p>
    <w:p w14:paraId="6DF41903" w14:textId="77777777" w:rsidR="001931F5" w:rsidRPr="009F6D1E" w:rsidRDefault="001931F5" w:rsidP="0084747F">
      <w:pPr>
        <w:spacing w:after="60" w:line="264" w:lineRule="auto"/>
        <w:ind w:left="1560" w:hanging="234"/>
        <w:jc w:val="both"/>
        <w:rPr>
          <w:rFonts w:cs="Times New Roman"/>
          <w:szCs w:val="24"/>
        </w:rPr>
      </w:pPr>
      <w:r w:rsidRPr="009F6D1E">
        <w:rPr>
          <w:rFonts w:cs="Times New Roman"/>
          <w:szCs w:val="24"/>
        </w:rPr>
        <w:t>7. Европейска публична администрация.</w:t>
      </w:r>
    </w:p>
    <w:p w14:paraId="487085D2" w14:textId="77777777" w:rsidR="001931F5" w:rsidRPr="009F6D1E" w:rsidRDefault="001931F5" w:rsidP="0084747F">
      <w:pPr>
        <w:spacing w:after="60" w:line="264" w:lineRule="auto"/>
        <w:ind w:left="1296" w:hanging="445"/>
        <w:jc w:val="both"/>
        <w:rPr>
          <w:rFonts w:cs="Times New Roman"/>
          <w:b/>
          <w:bCs/>
          <w:szCs w:val="24"/>
        </w:rPr>
      </w:pPr>
      <w:r w:rsidRPr="009F6D1E">
        <w:rPr>
          <w:rFonts w:cs="Times New Roman"/>
          <w:b/>
          <w:bCs/>
          <w:szCs w:val="24"/>
        </w:rPr>
        <w:sym w:font="Wingdings" w:char="F08D"/>
      </w:r>
      <w:r w:rsidRPr="009F6D1E">
        <w:rPr>
          <w:rFonts w:cs="Times New Roman"/>
          <w:b/>
          <w:bCs/>
          <w:szCs w:val="24"/>
        </w:rPr>
        <w:tab/>
        <w:t xml:space="preserve">Специфична корекция на програмите и фондовете – списък </w:t>
      </w:r>
      <w:r w:rsidRPr="009F6D1E">
        <w:rPr>
          <w:rFonts w:cs="Times New Roman"/>
          <w:szCs w:val="24"/>
        </w:rPr>
        <w:t>(Приложение II, съгласно член 5):</w:t>
      </w:r>
    </w:p>
    <w:p w14:paraId="1FCA9B56" w14:textId="77777777" w:rsidR="001931F5" w:rsidRPr="009F6D1E" w:rsidRDefault="00B7645A" w:rsidP="0084747F">
      <w:pPr>
        <w:numPr>
          <w:ilvl w:val="0"/>
          <w:numId w:val="10"/>
        </w:numPr>
        <w:spacing w:after="60" w:line="264" w:lineRule="auto"/>
        <w:ind w:left="1701"/>
        <w:contextualSpacing/>
        <w:jc w:val="both"/>
        <w:rPr>
          <w:rFonts w:cs="Times New Roman"/>
          <w:szCs w:val="24"/>
        </w:rPr>
      </w:pPr>
      <w:r w:rsidRPr="009F6D1E">
        <w:rPr>
          <w:rFonts w:cs="Times New Roman"/>
          <w:szCs w:val="24"/>
        </w:rPr>
        <w:t>К</w:t>
      </w:r>
      <w:r w:rsidR="001931F5" w:rsidRPr="009F6D1E">
        <w:rPr>
          <w:rFonts w:cs="Times New Roman"/>
          <w:szCs w:val="24"/>
        </w:rPr>
        <w:t xml:space="preserve">ъм кредит </w:t>
      </w:r>
      <w:r w:rsidR="001931F5" w:rsidRPr="009F6D1E">
        <w:rPr>
          <w:rFonts w:cs="Times New Roman"/>
          <w:b/>
          <w:bCs/>
          <w:szCs w:val="24"/>
        </w:rPr>
        <w:t>1</w:t>
      </w:r>
      <w:r w:rsidR="001931F5" w:rsidRPr="009F6D1E">
        <w:rPr>
          <w:rFonts w:cs="Times New Roman"/>
          <w:szCs w:val="24"/>
        </w:rPr>
        <w:t>:</w:t>
      </w:r>
    </w:p>
    <w:p w14:paraId="3AB6081C" w14:textId="77777777" w:rsidR="001931F5" w:rsidRPr="009F6D1E" w:rsidRDefault="001931F5" w:rsidP="0084747F">
      <w:pPr>
        <w:numPr>
          <w:ilvl w:val="1"/>
          <w:numId w:val="11"/>
        </w:numPr>
        <w:tabs>
          <w:tab w:val="left" w:pos="1800"/>
        </w:tabs>
        <w:spacing w:after="60" w:line="264" w:lineRule="auto"/>
        <w:ind w:left="1440"/>
        <w:jc w:val="both"/>
        <w:rPr>
          <w:rFonts w:cs="Times New Roman"/>
          <w:szCs w:val="24"/>
        </w:rPr>
      </w:pPr>
      <w:r w:rsidRPr="009F6D1E">
        <w:rPr>
          <w:rFonts w:cs="Times New Roman"/>
          <w:szCs w:val="24"/>
        </w:rPr>
        <w:t>Програма „</w:t>
      </w:r>
      <w:r w:rsidRPr="009F6D1E">
        <w:rPr>
          <w:rFonts w:cs="Times New Roman"/>
          <w:szCs w:val="24"/>
          <w:u w:val="single"/>
        </w:rPr>
        <w:t>Хоризонт Европа</w:t>
      </w:r>
      <w:r w:rsidRPr="009F6D1E">
        <w:rPr>
          <w:rFonts w:cs="Times New Roman"/>
          <w:szCs w:val="24"/>
        </w:rPr>
        <w:t xml:space="preserve">“ - </w:t>
      </w:r>
      <w:bookmarkStart w:id="89" w:name="_Hlk74391099"/>
      <w:r w:rsidRPr="009F6D1E">
        <w:rPr>
          <w:rFonts w:cs="Times New Roman"/>
          <w:b/>
          <w:bCs/>
          <w:szCs w:val="24"/>
        </w:rPr>
        <w:t>Регламент (EС) 2021/695</w:t>
      </w:r>
      <w:r w:rsidRPr="009F6D1E">
        <w:rPr>
          <w:rFonts w:cs="Times New Roman"/>
          <w:szCs w:val="24"/>
        </w:rPr>
        <w:t xml:space="preserve"> на Европейския парламент и на Съвета от 28 април 2021 година </w:t>
      </w:r>
      <w:r w:rsidRPr="009F6D1E">
        <w:rPr>
          <w:rFonts w:cs="Times New Roman"/>
          <w:i/>
          <w:iCs/>
          <w:szCs w:val="24"/>
        </w:rPr>
        <w:t>за създаване на рамковата програма за научни изследвания и иновации „Хоризонт Европа“, за определяне на нейните правила за участие и разпространение на резултатите</w:t>
      </w:r>
      <w:bookmarkEnd w:id="89"/>
      <w:r w:rsidRPr="009F6D1E">
        <w:rPr>
          <w:rFonts w:cs="Times New Roman"/>
          <w:i/>
          <w:iCs/>
          <w:szCs w:val="24"/>
        </w:rPr>
        <w:t>;</w:t>
      </w:r>
    </w:p>
    <w:p w14:paraId="7461FA27" w14:textId="77777777" w:rsidR="001931F5" w:rsidRPr="009F6D1E" w:rsidRDefault="001931F5" w:rsidP="0084747F">
      <w:pPr>
        <w:numPr>
          <w:ilvl w:val="1"/>
          <w:numId w:val="11"/>
        </w:numPr>
        <w:tabs>
          <w:tab w:val="left" w:pos="1800"/>
        </w:tabs>
        <w:spacing w:after="60" w:line="264" w:lineRule="auto"/>
        <w:ind w:left="1440"/>
        <w:jc w:val="both"/>
        <w:rPr>
          <w:rFonts w:cs="Times New Roman"/>
          <w:szCs w:val="24"/>
        </w:rPr>
      </w:pPr>
      <w:r w:rsidRPr="009F6D1E">
        <w:rPr>
          <w:rFonts w:cs="Times New Roman"/>
          <w:szCs w:val="24"/>
        </w:rPr>
        <w:t xml:space="preserve">Фонд </w:t>
      </w:r>
      <w:proofErr w:type="spellStart"/>
      <w:r w:rsidRPr="009F6D1E">
        <w:rPr>
          <w:rFonts w:cs="Times New Roman"/>
          <w:szCs w:val="24"/>
          <w:u w:val="single"/>
        </w:rPr>
        <w:t>Invest</w:t>
      </w:r>
      <w:proofErr w:type="spellEnd"/>
      <w:r w:rsidR="00186D8E" w:rsidRPr="009F6D1E">
        <w:rPr>
          <w:rFonts w:cs="Times New Roman"/>
          <w:szCs w:val="24"/>
          <w:u w:val="single"/>
        </w:rPr>
        <w:t xml:space="preserve"> </w:t>
      </w:r>
      <w:r w:rsidRPr="009F6D1E">
        <w:rPr>
          <w:rFonts w:cs="Times New Roman"/>
          <w:szCs w:val="24"/>
          <w:u w:val="single"/>
        </w:rPr>
        <w:t>EU</w:t>
      </w:r>
      <w:r w:rsidRPr="009F6D1E">
        <w:rPr>
          <w:rFonts w:cs="Times New Roman"/>
          <w:szCs w:val="24"/>
        </w:rPr>
        <w:t xml:space="preserve"> - насърчаване на стратегически, устойчиви и иновативни инвестиции.</w:t>
      </w:r>
    </w:p>
    <w:p w14:paraId="6DC69E28" w14:textId="77777777" w:rsidR="001931F5" w:rsidRPr="009F6D1E" w:rsidRDefault="00B7645A" w:rsidP="0084747F">
      <w:pPr>
        <w:numPr>
          <w:ilvl w:val="0"/>
          <w:numId w:val="10"/>
        </w:numPr>
        <w:spacing w:after="60" w:line="264" w:lineRule="auto"/>
        <w:ind w:left="1701" w:hanging="357"/>
        <w:jc w:val="both"/>
        <w:rPr>
          <w:rFonts w:cs="Times New Roman"/>
          <w:szCs w:val="24"/>
        </w:rPr>
      </w:pPr>
      <w:r w:rsidRPr="009F6D1E">
        <w:rPr>
          <w:rFonts w:cs="Times New Roman"/>
          <w:szCs w:val="24"/>
        </w:rPr>
        <w:t>К</w:t>
      </w:r>
      <w:r w:rsidR="001931F5" w:rsidRPr="009F6D1E">
        <w:rPr>
          <w:rFonts w:cs="Times New Roman"/>
          <w:szCs w:val="24"/>
        </w:rPr>
        <w:t xml:space="preserve">ъм кредит </w:t>
      </w:r>
      <w:r w:rsidR="001931F5" w:rsidRPr="009F6D1E">
        <w:rPr>
          <w:rFonts w:cs="Times New Roman"/>
          <w:b/>
          <w:bCs/>
          <w:szCs w:val="24"/>
        </w:rPr>
        <w:t>2б</w:t>
      </w:r>
      <w:r w:rsidR="001931F5" w:rsidRPr="009F6D1E">
        <w:rPr>
          <w:rFonts w:cs="Times New Roman"/>
          <w:szCs w:val="24"/>
        </w:rPr>
        <w:t xml:space="preserve">: </w:t>
      </w:r>
    </w:p>
    <w:p w14:paraId="77AE4543" w14:textId="77777777" w:rsidR="001931F5" w:rsidRPr="009F6D1E" w:rsidRDefault="001931F5" w:rsidP="0084747F">
      <w:pPr>
        <w:numPr>
          <w:ilvl w:val="1"/>
          <w:numId w:val="11"/>
        </w:numPr>
        <w:tabs>
          <w:tab w:val="left" w:pos="1800"/>
        </w:tabs>
        <w:spacing w:after="60" w:line="264" w:lineRule="auto"/>
        <w:ind w:left="1440"/>
        <w:jc w:val="both"/>
        <w:rPr>
          <w:rFonts w:cs="Times New Roman"/>
          <w:i/>
          <w:iCs/>
          <w:szCs w:val="24"/>
        </w:rPr>
      </w:pPr>
      <w:r w:rsidRPr="009F6D1E">
        <w:rPr>
          <w:rFonts w:cs="Times New Roman"/>
          <w:i/>
          <w:iCs/>
          <w:szCs w:val="24"/>
          <w:u w:val="single"/>
        </w:rPr>
        <w:t>Програма ЕС в подкрепа на здравето</w:t>
      </w:r>
      <w:r w:rsidRPr="009F6D1E">
        <w:rPr>
          <w:rFonts w:eastAsia="Times New Roman" w:cs="Times New Roman"/>
          <w:color w:val="000000"/>
          <w:szCs w:val="24"/>
          <w:lang w:eastAsia="bg-BG"/>
        </w:rPr>
        <w:t xml:space="preserve"> -</w:t>
      </w:r>
      <w:r w:rsidRPr="009F6D1E">
        <w:rPr>
          <w:rFonts w:eastAsia="Times New Roman" w:cs="Times New Roman"/>
          <w:b/>
          <w:bCs/>
          <w:color w:val="000000"/>
          <w:szCs w:val="24"/>
          <w:lang w:eastAsia="bg-BG"/>
        </w:rPr>
        <w:t xml:space="preserve"> </w:t>
      </w:r>
      <w:r w:rsidRPr="009F6D1E">
        <w:rPr>
          <w:rFonts w:cs="Times New Roman"/>
          <w:b/>
          <w:bCs/>
          <w:szCs w:val="24"/>
        </w:rPr>
        <w:t>Регламент (ЕС) 2021/522</w:t>
      </w:r>
      <w:r w:rsidRPr="009F6D1E">
        <w:rPr>
          <w:rFonts w:cs="Times New Roman"/>
          <w:i/>
          <w:iCs/>
          <w:szCs w:val="24"/>
        </w:rPr>
        <w:t xml:space="preserve"> </w:t>
      </w:r>
      <w:r w:rsidRPr="009F6D1E">
        <w:rPr>
          <w:rFonts w:cs="Times New Roman"/>
          <w:szCs w:val="24"/>
        </w:rPr>
        <w:t>на Европейския парламент и на Съвета от 24 март 2021 година</w:t>
      </w:r>
      <w:r w:rsidRPr="009F6D1E">
        <w:rPr>
          <w:rFonts w:cs="Times New Roman"/>
          <w:i/>
          <w:iCs/>
          <w:szCs w:val="24"/>
        </w:rPr>
        <w:t xml:space="preserve"> за създаване на програма за действията на Съюза в областта на здравето </w:t>
      </w:r>
      <w:r w:rsidRPr="009F6D1E">
        <w:rPr>
          <w:rFonts w:eastAsia="Times New Roman" w:cs="Times New Roman"/>
          <w:color w:val="000000"/>
          <w:szCs w:val="24"/>
          <w:lang w:eastAsia="bg-BG"/>
        </w:rPr>
        <w:t>(</w:t>
      </w:r>
      <w:r w:rsidRPr="009F6D1E">
        <w:rPr>
          <w:rFonts w:eastAsia="Times New Roman" w:cs="Times New Roman"/>
          <w:b/>
          <w:bCs/>
          <w:color w:val="000000"/>
          <w:szCs w:val="24"/>
          <w:lang w:eastAsia="bg-BG"/>
        </w:rPr>
        <w:t>EU4Health</w:t>
      </w:r>
      <w:r w:rsidRPr="009F6D1E">
        <w:rPr>
          <w:rFonts w:eastAsia="Times New Roman" w:cs="Times New Roman"/>
          <w:color w:val="000000"/>
          <w:szCs w:val="24"/>
          <w:lang w:eastAsia="bg-BG"/>
        </w:rPr>
        <w:t>)</w:t>
      </w:r>
      <w:r w:rsidRPr="009F6D1E">
        <w:rPr>
          <w:rFonts w:eastAsia="Times New Roman" w:cs="Times New Roman"/>
          <w:b/>
          <w:bCs/>
          <w:color w:val="000000"/>
          <w:szCs w:val="24"/>
          <w:lang w:eastAsia="bg-BG"/>
        </w:rPr>
        <w:t xml:space="preserve"> </w:t>
      </w:r>
      <w:r w:rsidRPr="009F6D1E">
        <w:rPr>
          <w:rFonts w:cs="Times New Roman"/>
          <w:szCs w:val="24"/>
        </w:rPr>
        <w:t>за периода 2021–2027 г.;</w:t>
      </w:r>
    </w:p>
    <w:p w14:paraId="73A4085C" w14:textId="77777777" w:rsidR="001931F5" w:rsidRPr="009F6D1E" w:rsidRDefault="001931F5" w:rsidP="0084747F">
      <w:pPr>
        <w:numPr>
          <w:ilvl w:val="1"/>
          <w:numId w:val="11"/>
        </w:numPr>
        <w:tabs>
          <w:tab w:val="left" w:pos="1800"/>
        </w:tabs>
        <w:spacing w:after="60" w:line="264" w:lineRule="auto"/>
        <w:ind w:left="1440"/>
        <w:jc w:val="both"/>
        <w:rPr>
          <w:rFonts w:cs="Times New Roman"/>
          <w:i/>
          <w:iCs/>
          <w:szCs w:val="24"/>
        </w:rPr>
      </w:pPr>
      <w:r w:rsidRPr="009F6D1E">
        <w:rPr>
          <w:rFonts w:cs="Times New Roman"/>
          <w:i/>
          <w:iCs/>
          <w:szCs w:val="24"/>
          <w:u w:val="single"/>
        </w:rPr>
        <w:t>Еразъм+</w:t>
      </w:r>
      <w:r w:rsidRPr="009F6D1E">
        <w:rPr>
          <w:rFonts w:cs="Times New Roman"/>
          <w:i/>
          <w:iCs/>
          <w:szCs w:val="24"/>
        </w:rPr>
        <w:t xml:space="preserve"> - Европейската програма за образование, обучение, младеж и спорт;</w:t>
      </w:r>
    </w:p>
    <w:p w14:paraId="76E19659" w14:textId="77777777" w:rsidR="001931F5" w:rsidRPr="009F6D1E" w:rsidRDefault="001931F5" w:rsidP="0084747F">
      <w:pPr>
        <w:numPr>
          <w:ilvl w:val="1"/>
          <w:numId w:val="11"/>
        </w:numPr>
        <w:tabs>
          <w:tab w:val="left" w:pos="1800"/>
        </w:tabs>
        <w:spacing w:after="60" w:line="264" w:lineRule="auto"/>
        <w:ind w:left="1440"/>
        <w:jc w:val="both"/>
        <w:rPr>
          <w:rFonts w:eastAsia="Times New Roman" w:cs="Times New Roman"/>
          <w:szCs w:val="24"/>
        </w:rPr>
      </w:pPr>
      <w:r w:rsidRPr="009F6D1E">
        <w:rPr>
          <w:rFonts w:cs="Times New Roman"/>
          <w:i/>
          <w:iCs/>
          <w:szCs w:val="24"/>
          <w:u w:val="single"/>
        </w:rPr>
        <w:t>Програма „Творческа Европа“</w:t>
      </w:r>
      <w:r w:rsidRPr="009F6D1E">
        <w:rPr>
          <w:rFonts w:cs="Times New Roman"/>
          <w:i/>
          <w:iCs/>
          <w:szCs w:val="24"/>
        </w:rPr>
        <w:t xml:space="preserve"> - </w:t>
      </w:r>
      <w:r w:rsidRPr="009F6D1E">
        <w:rPr>
          <w:rFonts w:eastAsia="Times New Roman" w:cs="Times New Roman"/>
          <w:b/>
          <w:bCs/>
          <w:szCs w:val="24"/>
        </w:rPr>
        <w:t>Регламент (ЕС) 2021/818</w:t>
      </w:r>
      <w:r w:rsidRPr="009F6D1E">
        <w:rPr>
          <w:rFonts w:eastAsia="Times New Roman" w:cs="Times New Roman"/>
          <w:szCs w:val="24"/>
        </w:rPr>
        <w:t xml:space="preserve"> на Европейския парламент и на Съвета </w:t>
      </w:r>
      <w:r w:rsidRPr="009F6D1E">
        <w:rPr>
          <w:rFonts w:cs="Times New Roman"/>
          <w:i/>
          <w:iCs/>
          <w:szCs w:val="24"/>
        </w:rPr>
        <w:t>от</w:t>
      </w:r>
      <w:r w:rsidRPr="009F6D1E">
        <w:rPr>
          <w:rFonts w:eastAsia="Times New Roman" w:cs="Times New Roman"/>
          <w:szCs w:val="24"/>
        </w:rPr>
        <w:t xml:space="preserve"> 20 май 2021 година </w:t>
      </w:r>
      <w:r w:rsidRPr="009F6D1E">
        <w:rPr>
          <w:rFonts w:eastAsia="Times New Roman" w:cs="Times New Roman"/>
          <w:i/>
          <w:iCs/>
          <w:szCs w:val="24"/>
        </w:rPr>
        <w:t>за създаване на програма „Творческа Европа“ (2021</w:t>
      </w:r>
      <w:r w:rsidRPr="009F6D1E">
        <w:rPr>
          <w:rFonts w:cs="Times New Roman"/>
          <w:i/>
          <w:iCs/>
          <w:szCs w:val="24"/>
        </w:rPr>
        <w:t>–</w:t>
      </w:r>
      <w:r w:rsidRPr="009F6D1E">
        <w:rPr>
          <w:rFonts w:eastAsia="Times New Roman" w:cs="Times New Roman"/>
          <w:i/>
          <w:iCs/>
          <w:szCs w:val="24"/>
        </w:rPr>
        <w:t>2027 г.)</w:t>
      </w:r>
      <w:r w:rsidRPr="009F6D1E">
        <w:rPr>
          <w:rFonts w:eastAsia="Times New Roman" w:cs="Times New Roman"/>
          <w:szCs w:val="24"/>
        </w:rPr>
        <w:t>;</w:t>
      </w:r>
    </w:p>
    <w:p w14:paraId="4751C7F2" w14:textId="77777777" w:rsidR="001931F5" w:rsidRPr="009F6D1E" w:rsidRDefault="001931F5" w:rsidP="0084747F">
      <w:pPr>
        <w:numPr>
          <w:ilvl w:val="1"/>
          <w:numId w:val="11"/>
        </w:numPr>
        <w:tabs>
          <w:tab w:val="left" w:pos="1800"/>
        </w:tabs>
        <w:spacing w:after="60" w:line="264" w:lineRule="auto"/>
        <w:ind w:left="1440"/>
        <w:jc w:val="both"/>
        <w:rPr>
          <w:rFonts w:cs="Times New Roman"/>
          <w:i/>
          <w:iCs/>
          <w:szCs w:val="24"/>
        </w:rPr>
      </w:pPr>
      <w:r w:rsidRPr="009F6D1E">
        <w:rPr>
          <w:rFonts w:cs="Times New Roman"/>
          <w:i/>
          <w:iCs/>
          <w:szCs w:val="24"/>
          <w:u w:val="single"/>
        </w:rPr>
        <w:t>Програма Права и ценности</w:t>
      </w:r>
      <w:r w:rsidRPr="009F6D1E">
        <w:rPr>
          <w:rFonts w:cs="Times New Roman"/>
          <w:i/>
          <w:iCs/>
          <w:szCs w:val="24"/>
        </w:rPr>
        <w:t xml:space="preserve"> -</w:t>
      </w:r>
      <w:r w:rsidRPr="009F6D1E">
        <w:rPr>
          <w:rFonts w:eastAsia="Times New Roman" w:cs="Times New Roman"/>
          <w:szCs w:val="24"/>
        </w:rPr>
        <w:t xml:space="preserve"> </w:t>
      </w:r>
      <w:r w:rsidRPr="009F6D1E">
        <w:rPr>
          <w:rFonts w:cs="Times New Roman"/>
          <w:b/>
          <w:bCs/>
          <w:szCs w:val="24"/>
        </w:rPr>
        <w:t>Резолюция</w:t>
      </w:r>
      <w:r w:rsidRPr="009F6D1E">
        <w:rPr>
          <w:rFonts w:cs="Times New Roman"/>
          <w:szCs w:val="24"/>
        </w:rPr>
        <w:t xml:space="preserve"> на Европейския парламент от 7 октомври 2020 г. </w:t>
      </w:r>
      <w:r w:rsidRPr="009F6D1E">
        <w:rPr>
          <w:rFonts w:cs="Times New Roman"/>
          <w:i/>
          <w:iCs/>
          <w:szCs w:val="24"/>
        </w:rPr>
        <w:t>относно създаването на механизъм на ЕС за демокрацията, принципите на правовата държава и основните права.</w:t>
      </w:r>
    </w:p>
    <w:p w14:paraId="2770733F" w14:textId="77777777" w:rsidR="001931F5" w:rsidRPr="009F6D1E" w:rsidRDefault="00B7645A" w:rsidP="0084747F">
      <w:pPr>
        <w:numPr>
          <w:ilvl w:val="0"/>
          <w:numId w:val="10"/>
        </w:numPr>
        <w:spacing w:after="60" w:line="264" w:lineRule="auto"/>
        <w:ind w:left="1701" w:hanging="357"/>
        <w:jc w:val="both"/>
        <w:rPr>
          <w:rFonts w:cs="Times New Roman"/>
          <w:szCs w:val="24"/>
        </w:rPr>
      </w:pPr>
      <w:r w:rsidRPr="009F6D1E">
        <w:rPr>
          <w:rFonts w:cs="Times New Roman"/>
          <w:szCs w:val="24"/>
        </w:rPr>
        <w:t>К</w:t>
      </w:r>
      <w:r w:rsidR="001931F5" w:rsidRPr="009F6D1E">
        <w:rPr>
          <w:rFonts w:cs="Times New Roman"/>
          <w:szCs w:val="24"/>
        </w:rPr>
        <w:t xml:space="preserve">ъм кредит </w:t>
      </w:r>
      <w:r w:rsidR="001931F5" w:rsidRPr="009F6D1E">
        <w:rPr>
          <w:rFonts w:cs="Times New Roman"/>
          <w:b/>
          <w:bCs/>
          <w:szCs w:val="24"/>
        </w:rPr>
        <w:t>4</w:t>
      </w:r>
      <w:r w:rsidR="001931F5" w:rsidRPr="009F6D1E">
        <w:rPr>
          <w:rFonts w:cs="Times New Roman"/>
          <w:szCs w:val="24"/>
        </w:rPr>
        <w:t>: - Фонд „</w:t>
      </w:r>
      <w:r w:rsidR="001931F5" w:rsidRPr="009F6D1E">
        <w:rPr>
          <w:rFonts w:cs="Times New Roman"/>
          <w:szCs w:val="24"/>
          <w:u w:val="single"/>
        </w:rPr>
        <w:t>Интегрирано управление на границите</w:t>
      </w:r>
      <w:r w:rsidR="001931F5" w:rsidRPr="009F6D1E">
        <w:rPr>
          <w:rFonts w:cs="Times New Roman"/>
          <w:szCs w:val="24"/>
        </w:rPr>
        <w:t>“.</w:t>
      </w:r>
    </w:p>
    <w:p w14:paraId="2001F3AF"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b/>
          <w:bCs/>
          <w:szCs w:val="24"/>
          <w:lang w:eastAsia="bg-BG" w:bidi="bg-BG"/>
        </w:rPr>
      </w:pPr>
      <w:bookmarkStart w:id="90" w:name="_Toc88359560"/>
      <w:r w:rsidRPr="009F6D1E">
        <w:rPr>
          <w:rFonts w:eastAsia="Times New Roman" w:cs="Times New Roman"/>
          <w:b/>
          <w:bCs/>
          <w:szCs w:val="24"/>
          <w:lang w:eastAsia="bg-BG" w:bidi="bg-BG"/>
        </w:rPr>
        <w:t>Следващо поколение ЕС (</w:t>
      </w:r>
      <w:proofErr w:type="spellStart"/>
      <w:r w:rsidRPr="009F6D1E">
        <w:rPr>
          <w:rFonts w:eastAsia="Times New Roman" w:cs="Times New Roman"/>
          <w:b/>
          <w:bCs/>
          <w:szCs w:val="24"/>
          <w:lang w:eastAsia="bg-BG" w:bidi="bg-BG"/>
        </w:rPr>
        <w:t>Next</w:t>
      </w:r>
      <w:proofErr w:type="spellEnd"/>
      <w:r w:rsidRPr="009F6D1E">
        <w:rPr>
          <w:rFonts w:eastAsia="Times New Roman" w:cs="Times New Roman"/>
          <w:b/>
          <w:bCs/>
          <w:szCs w:val="24"/>
          <w:lang w:eastAsia="bg-BG" w:bidi="bg-BG"/>
        </w:rPr>
        <w:t xml:space="preserve"> </w:t>
      </w:r>
      <w:proofErr w:type="spellStart"/>
      <w:r w:rsidRPr="009F6D1E">
        <w:rPr>
          <w:rFonts w:eastAsia="Times New Roman" w:cs="Times New Roman"/>
          <w:b/>
          <w:bCs/>
          <w:szCs w:val="24"/>
          <w:lang w:eastAsia="bg-BG" w:bidi="bg-BG"/>
        </w:rPr>
        <w:t>Generation</w:t>
      </w:r>
      <w:proofErr w:type="spellEnd"/>
      <w:r w:rsidRPr="009F6D1E">
        <w:rPr>
          <w:rFonts w:eastAsia="Times New Roman" w:cs="Times New Roman"/>
          <w:b/>
          <w:bCs/>
          <w:szCs w:val="24"/>
          <w:lang w:eastAsia="bg-BG" w:bidi="bg-BG"/>
        </w:rPr>
        <w:t xml:space="preserve"> EU)</w:t>
      </w:r>
      <w:bookmarkEnd w:id="90"/>
      <w:r w:rsidRPr="009F6D1E">
        <w:rPr>
          <w:rFonts w:eastAsia="Times New Roman" w:cs="Times New Roman"/>
          <w:b/>
          <w:bCs/>
          <w:szCs w:val="24"/>
          <w:lang w:eastAsia="bg-BG" w:bidi="bg-BG"/>
        </w:rPr>
        <w:t xml:space="preserve"> 2021-2026г.</w:t>
      </w:r>
    </w:p>
    <w:p w14:paraId="05EE321B" w14:textId="77777777" w:rsidR="001931F5" w:rsidRPr="009F6D1E" w:rsidRDefault="001931F5" w:rsidP="0084747F">
      <w:pPr>
        <w:spacing w:after="60" w:line="264" w:lineRule="auto"/>
        <w:ind w:firstLine="851"/>
        <w:jc w:val="both"/>
        <w:rPr>
          <w:rFonts w:cs="Times New Roman"/>
          <w:szCs w:val="24"/>
        </w:rPr>
      </w:pPr>
      <w:r w:rsidRPr="009F6D1E">
        <w:rPr>
          <w:rFonts w:cs="Times New Roman"/>
          <w:szCs w:val="24"/>
        </w:rPr>
        <w:lastRenderedPageBreak/>
        <w:t xml:space="preserve">В пакета влизат (подредени по големина на финансиране): </w:t>
      </w:r>
    </w:p>
    <w:p w14:paraId="1E04EBC2" w14:textId="77777777" w:rsidR="001931F5" w:rsidRPr="009F6D1E" w:rsidRDefault="001931F5" w:rsidP="0084747F">
      <w:pPr>
        <w:pStyle w:val="ListParagraph"/>
        <w:widowControl w:val="0"/>
        <w:numPr>
          <w:ilvl w:val="0"/>
          <w:numId w:val="4"/>
        </w:numPr>
        <w:spacing w:after="60" w:line="264" w:lineRule="auto"/>
        <w:ind w:left="0" w:firstLine="900"/>
        <w:jc w:val="both"/>
        <w:rPr>
          <w:lang w:val="bg-BG"/>
        </w:rPr>
      </w:pPr>
      <w:r w:rsidRPr="009F6D1E">
        <w:rPr>
          <w:b/>
          <w:bCs/>
          <w:i/>
          <w:iCs/>
          <w:lang w:val="bg-BG"/>
        </w:rPr>
        <w:t>Механизъм за възстановяване и устойчивост -</w:t>
      </w:r>
      <w:r w:rsidRPr="009F6D1E">
        <w:rPr>
          <w:lang w:val="bg-BG"/>
        </w:rPr>
        <w:t xml:space="preserve"> основен елемент на </w:t>
      </w:r>
      <w:proofErr w:type="spellStart"/>
      <w:r w:rsidRPr="009F6D1E">
        <w:rPr>
          <w:lang w:val="bg-BG"/>
        </w:rPr>
        <w:t>NextGenerationEU</w:t>
      </w:r>
      <w:proofErr w:type="spellEnd"/>
      <w:r w:rsidRPr="009F6D1E">
        <w:rPr>
          <w:lang w:val="bg-BG"/>
        </w:rPr>
        <w:t>, чиято цел е да се смекчат икономическите и социалните последици от пандемията от коронавирус и да се повишат устойчивостта, издръжливостта и подготвеността на европейските икономики и общества за предизвикателствата и възможностите на екологичния и цифровия преход. Одобрените Планове за възстановяване и устойчивост на всяка Държава членка на ЕС са условия за получаване на достъп до средствата в рамките на Механизма за възстановяване и устойчивост.</w:t>
      </w:r>
    </w:p>
    <w:p w14:paraId="3DD542ED" w14:textId="77777777" w:rsidR="001931F5" w:rsidRPr="009F6D1E" w:rsidRDefault="001931F5" w:rsidP="0084747F">
      <w:pPr>
        <w:pStyle w:val="ListParagraph"/>
        <w:widowControl w:val="0"/>
        <w:numPr>
          <w:ilvl w:val="0"/>
          <w:numId w:val="4"/>
        </w:numPr>
        <w:spacing w:after="60" w:line="264" w:lineRule="auto"/>
        <w:ind w:left="0" w:firstLine="900"/>
        <w:jc w:val="both"/>
        <w:rPr>
          <w:lang w:val="bg-BG"/>
        </w:rPr>
      </w:pPr>
      <w:r w:rsidRPr="009F6D1E">
        <w:rPr>
          <w:b/>
          <w:bCs/>
          <w:i/>
          <w:iCs/>
          <w:lang w:val="bg-BG"/>
        </w:rPr>
        <w:t>Помощ за възстановяване в полза за сближаване на териториите на Европа</w:t>
      </w:r>
      <w:r w:rsidRPr="009F6D1E">
        <w:rPr>
          <w:lang w:val="bg-BG"/>
        </w:rPr>
        <w:t xml:space="preserve"> (REACT-EU) - Това е нова инициатива, в рамките на която се запазват и разширяват мерките за реакция и възстановяване, изпълнявани по линия на Инвестиционната инициатива в отговор на коронавируса. REACT-EU ще допринесе за екологично, цифрово и устойчиво възстановяване на икономиката. </w:t>
      </w:r>
    </w:p>
    <w:p w14:paraId="39754295" w14:textId="77777777" w:rsidR="001931F5" w:rsidRPr="009F6D1E" w:rsidRDefault="001931F5" w:rsidP="0084747F">
      <w:pPr>
        <w:numPr>
          <w:ilvl w:val="1"/>
          <w:numId w:val="11"/>
        </w:numPr>
        <w:tabs>
          <w:tab w:val="left" w:pos="1800"/>
        </w:tabs>
        <w:spacing w:after="60" w:line="264" w:lineRule="auto"/>
        <w:ind w:left="1440"/>
        <w:jc w:val="both"/>
        <w:rPr>
          <w:rFonts w:cs="Times New Roman"/>
          <w:szCs w:val="24"/>
        </w:rPr>
      </w:pPr>
      <w:r w:rsidRPr="009F6D1E">
        <w:rPr>
          <w:rFonts w:cs="Times New Roman"/>
          <w:i/>
          <w:iCs/>
          <w:szCs w:val="24"/>
        </w:rPr>
        <w:t>Цел</w:t>
      </w:r>
      <w:r w:rsidRPr="009F6D1E">
        <w:rPr>
          <w:rFonts w:cs="Times New Roman"/>
          <w:szCs w:val="24"/>
        </w:rPr>
        <w:t xml:space="preserve">: </w:t>
      </w:r>
      <w:r w:rsidRPr="009F6D1E">
        <w:rPr>
          <w:rFonts w:eastAsia="Times New Roman" w:cs="Times New Roman"/>
          <w:szCs w:val="24"/>
        </w:rPr>
        <w:t>Инвестиции</w:t>
      </w:r>
      <w:r w:rsidRPr="009F6D1E">
        <w:rPr>
          <w:rFonts w:cs="Times New Roman"/>
          <w:szCs w:val="24"/>
        </w:rPr>
        <w:t xml:space="preserve"> в краткосрочни действия за преодоляване на последиците от кризата.</w:t>
      </w:r>
    </w:p>
    <w:p w14:paraId="628828B7" w14:textId="77777777" w:rsidR="001931F5" w:rsidRPr="009F6D1E" w:rsidRDefault="001931F5" w:rsidP="0084747F">
      <w:pPr>
        <w:numPr>
          <w:ilvl w:val="1"/>
          <w:numId w:val="11"/>
        </w:numPr>
        <w:tabs>
          <w:tab w:val="left" w:pos="1800"/>
        </w:tabs>
        <w:spacing w:after="60" w:line="264" w:lineRule="auto"/>
        <w:ind w:left="1440"/>
        <w:jc w:val="both"/>
        <w:rPr>
          <w:rFonts w:cs="Times New Roman"/>
          <w:color w:val="223770"/>
          <w:szCs w:val="24"/>
        </w:rPr>
      </w:pPr>
      <w:r w:rsidRPr="009F6D1E">
        <w:rPr>
          <w:rFonts w:cs="Times New Roman"/>
          <w:i/>
          <w:iCs/>
          <w:szCs w:val="24"/>
        </w:rPr>
        <w:t>Механизъм</w:t>
      </w:r>
      <w:r w:rsidRPr="009F6D1E">
        <w:rPr>
          <w:rFonts w:cs="Times New Roman"/>
          <w:szCs w:val="24"/>
        </w:rPr>
        <w:t xml:space="preserve">: </w:t>
      </w:r>
      <w:r w:rsidRPr="009F6D1E">
        <w:rPr>
          <w:rFonts w:eastAsia="Times New Roman" w:cs="Times New Roman"/>
          <w:szCs w:val="24"/>
        </w:rPr>
        <w:t>Предимно</w:t>
      </w:r>
      <w:r w:rsidRPr="009F6D1E">
        <w:rPr>
          <w:rFonts w:cs="Times New Roman"/>
          <w:szCs w:val="24"/>
        </w:rPr>
        <w:t xml:space="preserve"> безвъзмездни средства.</w:t>
      </w:r>
    </w:p>
    <w:p w14:paraId="1C8EE57A" w14:textId="77777777" w:rsidR="001931F5" w:rsidRPr="009F6D1E" w:rsidRDefault="001931F5" w:rsidP="0084747F">
      <w:pPr>
        <w:spacing w:after="60" w:line="264" w:lineRule="auto"/>
        <w:ind w:firstLine="708"/>
        <w:jc w:val="both"/>
        <w:rPr>
          <w:rFonts w:cs="Times New Roman"/>
          <w:szCs w:val="24"/>
        </w:rPr>
      </w:pPr>
      <w:r w:rsidRPr="009F6D1E">
        <w:rPr>
          <w:rFonts w:cs="Times New Roman"/>
          <w:szCs w:val="24"/>
        </w:rPr>
        <w:t xml:space="preserve">Чрез </w:t>
      </w:r>
      <w:proofErr w:type="spellStart"/>
      <w:r w:rsidRPr="009F6D1E">
        <w:rPr>
          <w:rFonts w:cs="Times New Roman"/>
          <w:szCs w:val="24"/>
        </w:rPr>
        <w:t>NextGenerationEU</w:t>
      </w:r>
      <w:proofErr w:type="spellEnd"/>
      <w:r w:rsidRPr="009F6D1E">
        <w:rPr>
          <w:rFonts w:cs="Times New Roman"/>
          <w:szCs w:val="24"/>
        </w:rPr>
        <w:t xml:space="preserve"> ще бъдат предоставени допълнителни средства и на други европейски програми или фондове, като: </w:t>
      </w:r>
    </w:p>
    <w:p w14:paraId="31062980" w14:textId="77777777" w:rsidR="001931F5" w:rsidRPr="009F6D1E" w:rsidRDefault="001931F5" w:rsidP="0084747F">
      <w:pPr>
        <w:pStyle w:val="ListParagraph"/>
        <w:widowControl w:val="0"/>
        <w:numPr>
          <w:ilvl w:val="0"/>
          <w:numId w:val="4"/>
        </w:numPr>
        <w:spacing w:after="60" w:line="264" w:lineRule="auto"/>
        <w:ind w:left="0" w:firstLine="900"/>
        <w:jc w:val="both"/>
        <w:rPr>
          <w:lang w:val="bg-BG"/>
        </w:rPr>
      </w:pPr>
      <w:r w:rsidRPr="009F6D1E">
        <w:rPr>
          <w:b/>
          <w:bCs/>
          <w:i/>
          <w:iCs/>
          <w:lang w:val="bg-BG"/>
        </w:rPr>
        <w:t xml:space="preserve">Фонд за справедлив преход (ФСП, </w:t>
      </w:r>
      <w:r w:rsidRPr="009F6D1E">
        <w:rPr>
          <w:b/>
          <w:bCs/>
          <w:lang w:val="bg-BG"/>
        </w:rPr>
        <w:t>Регламент (ЕС) 2021/1056</w:t>
      </w:r>
      <w:r w:rsidRPr="009F6D1E">
        <w:rPr>
          <w:rFonts w:eastAsia="Times New Roman"/>
          <w:color w:val="444444"/>
          <w:shd w:val="clear" w:color="auto" w:fill="FFFFFF"/>
          <w:lang w:val="bg-BG"/>
        </w:rPr>
        <w:t xml:space="preserve"> </w:t>
      </w:r>
      <w:r w:rsidRPr="009F6D1E">
        <w:rPr>
          <w:lang w:val="bg-BG"/>
        </w:rPr>
        <w:t xml:space="preserve">на Европейския парламент и на Съвета от 24 юни 2021 година </w:t>
      </w:r>
      <w:r w:rsidRPr="009F6D1E">
        <w:rPr>
          <w:i/>
          <w:iCs/>
          <w:lang w:val="bg-BG"/>
        </w:rPr>
        <w:t>за създаване на Фонда за справедлив преход)</w:t>
      </w:r>
      <w:r w:rsidRPr="009F6D1E">
        <w:rPr>
          <w:b/>
          <w:bCs/>
          <w:lang w:val="bg-BG"/>
        </w:rPr>
        <w:t xml:space="preserve"> - </w:t>
      </w:r>
      <w:r w:rsidRPr="009F6D1E">
        <w:rPr>
          <w:lang w:val="bg-BG"/>
        </w:rPr>
        <w:t xml:space="preserve">първи стълб от </w:t>
      </w:r>
      <w:r w:rsidRPr="009F6D1E">
        <w:rPr>
          <w:b/>
          <w:bCs/>
          <w:lang w:val="bg-BG"/>
        </w:rPr>
        <w:t>Механизма за справедлив преход</w:t>
      </w:r>
      <w:r w:rsidRPr="009F6D1E">
        <w:rPr>
          <w:lang w:val="bg-BG"/>
        </w:rPr>
        <w:t xml:space="preserve"> (МСП), който се ангажира с целите на </w:t>
      </w:r>
      <w:r w:rsidRPr="009F6D1E">
        <w:rPr>
          <w:b/>
          <w:bCs/>
          <w:lang w:val="bg-BG"/>
        </w:rPr>
        <w:t>Европейския зелен пакт</w:t>
      </w:r>
      <w:r w:rsidRPr="009F6D1E">
        <w:rPr>
          <w:lang w:val="bg-BG"/>
        </w:rPr>
        <w:t xml:space="preserve"> и на </w:t>
      </w:r>
      <w:r w:rsidRPr="009F6D1E">
        <w:rPr>
          <w:b/>
          <w:bCs/>
          <w:lang w:val="bg-BG"/>
        </w:rPr>
        <w:t>Парижкото споразумение</w:t>
      </w:r>
      <w:r w:rsidRPr="009F6D1E">
        <w:rPr>
          <w:lang w:val="bg-BG"/>
        </w:rPr>
        <w:t xml:space="preserve">, като гарантира, че няма да има изоставени по пътя на ЕС към </w:t>
      </w:r>
      <w:r w:rsidRPr="009F6D1E">
        <w:rPr>
          <w:b/>
          <w:bCs/>
          <w:lang w:val="bg-BG"/>
        </w:rPr>
        <w:t xml:space="preserve">климатична неутралност до 2050 г. </w:t>
      </w:r>
      <w:r w:rsidRPr="009F6D1E">
        <w:rPr>
          <w:lang w:val="bg-BG"/>
        </w:rPr>
        <w:t xml:space="preserve">Механизмът ще се съсредоточи върху регионите и секторите </w:t>
      </w:r>
      <w:r w:rsidRPr="009F6D1E">
        <w:rPr>
          <w:i/>
          <w:iCs/>
          <w:lang w:val="bg-BG"/>
        </w:rPr>
        <w:t xml:space="preserve">най-силно засегнати от прехода, </w:t>
      </w:r>
      <w:r w:rsidRPr="009F6D1E">
        <w:rPr>
          <w:lang w:val="bg-BG"/>
        </w:rPr>
        <w:t xml:space="preserve">поради зависимостта си от изкопаеми горива или въглеродно интензивни процеси. Втори стълб обхваща гаранционна схема в рамките на </w:t>
      </w:r>
      <w:proofErr w:type="spellStart"/>
      <w:r w:rsidRPr="009F6D1E">
        <w:rPr>
          <w:b/>
          <w:bCs/>
          <w:lang w:val="bg-BG"/>
        </w:rPr>
        <w:t>InvestEU</w:t>
      </w:r>
      <w:proofErr w:type="spellEnd"/>
      <w:r w:rsidRPr="009F6D1E">
        <w:rPr>
          <w:b/>
          <w:bCs/>
          <w:lang w:val="bg-BG"/>
        </w:rPr>
        <w:t xml:space="preserve"> </w:t>
      </w:r>
      <w:r w:rsidRPr="009F6D1E">
        <w:rPr>
          <w:lang w:val="bg-BG"/>
        </w:rPr>
        <w:t xml:space="preserve">- насърчаване на стратегически, устойчиви и иновативни инвестиции, а трети стълб – заемен ресурс по линия на </w:t>
      </w:r>
      <w:r w:rsidRPr="009F6D1E">
        <w:rPr>
          <w:b/>
          <w:bCs/>
          <w:lang w:val="bg-BG"/>
        </w:rPr>
        <w:t>Европейска инвестиционна банка</w:t>
      </w:r>
      <w:r w:rsidRPr="009F6D1E">
        <w:rPr>
          <w:lang w:val="bg-BG"/>
        </w:rPr>
        <w:t xml:space="preserve"> (ЕИБ).</w:t>
      </w:r>
    </w:p>
    <w:p w14:paraId="5472E578" w14:textId="77777777" w:rsidR="001931F5" w:rsidRPr="009F6D1E" w:rsidRDefault="001931F5" w:rsidP="0084747F">
      <w:pPr>
        <w:pStyle w:val="22"/>
        <w:shd w:val="clear" w:color="auto" w:fill="auto"/>
        <w:spacing w:before="0" w:after="60" w:line="264" w:lineRule="auto"/>
        <w:ind w:right="26" w:firstLine="720"/>
        <w:rPr>
          <w:szCs w:val="24"/>
        </w:rPr>
      </w:pPr>
      <w:r w:rsidRPr="009F6D1E">
        <w:rPr>
          <w:szCs w:val="24"/>
        </w:rPr>
        <w:t xml:space="preserve">ФСП цели да допринесе за смекчаване на социално-икономическото въздействие в най-засегнатите от прехода региони и сектори. Създаден е в рамките на политиката за сближаване. Ще се изпълнява при споделено управление в тясно сътрудничество с националните, регионалните и местните органи и заинтересованите страни. </w:t>
      </w:r>
    </w:p>
    <w:p w14:paraId="56DA21DB" w14:textId="77777777" w:rsidR="001931F5"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подсилване </w:t>
      </w:r>
      <w:r w:rsidR="001931F5" w:rsidRPr="009F6D1E">
        <w:rPr>
          <w:lang w:val="bg-BG"/>
        </w:rPr>
        <w:t xml:space="preserve">на </w:t>
      </w:r>
      <w:r w:rsidR="001931F5" w:rsidRPr="009F6D1E">
        <w:rPr>
          <w:b/>
          <w:bCs/>
          <w:i/>
          <w:iCs/>
          <w:lang w:val="bg-BG"/>
        </w:rPr>
        <w:t>Програмите за развитие на селските райони (ПРСР)</w:t>
      </w:r>
      <w:r w:rsidR="001931F5" w:rsidRPr="009F6D1E">
        <w:rPr>
          <w:lang w:val="bg-BG"/>
        </w:rPr>
        <w:t xml:space="preserve"> - Европейски земеделски фонд за развитие на селските райони (ЕЗФРСР)</w:t>
      </w:r>
    </w:p>
    <w:p w14:paraId="0951B2AB" w14:textId="77777777" w:rsidR="001931F5" w:rsidRPr="009F6D1E" w:rsidRDefault="001931F5" w:rsidP="0084747F">
      <w:pPr>
        <w:pStyle w:val="ListParagraph"/>
        <w:widowControl w:val="0"/>
        <w:numPr>
          <w:ilvl w:val="0"/>
          <w:numId w:val="4"/>
        </w:numPr>
        <w:spacing w:after="60" w:line="264" w:lineRule="auto"/>
        <w:ind w:left="0" w:firstLine="900"/>
        <w:jc w:val="both"/>
        <w:rPr>
          <w:lang w:val="bg-BG"/>
        </w:rPr>
      </w:pPr>
      <w:r w:rsidRPr="009F6D1E">
        <w:rPr>
          <w:b/>
          <w:bCs/>
          <w:i/>
          <w:iCs/>
          <w:lang w:val="bg-BG"/>
        </w:rPr>
        <w:t>Хоризонт Европа</w:t>
      </w:r>
      <w:r w:rsidRPr="009F6D1E">
        <w:rPr>
          <w:lang w:val="bg-BG"/>
        </w:rPr>
        <w:t xml:space="preserve"> - </w:t>
      </w:r>
      <w:r w:rsidRPr="009F6D1E">
        <w:rPr>
          <w:b/>
          <w:bCs/>
          <w:lang w:val="bg-BG"/>
        </w:rPr>
        <w:t>Регламент (EС) 2021/695</w:t>
      </w:r>
      <w:r w:rsidRPr="009F6D1E">
        <w:rPr>
          <w:lang w:val="bg-BG"/>
        </w:rPr>
        <w:t xml:space="preserve"> на Европейския парламент и на Съвета от 28 април 2021 година </w:t>
      </w:r>
      <w:r w:rsidRPr="009F6D1E">
        <w:rPr>
          <w:i/>
          <w:iCs/>
          <w:lang w:val="bg-BG"/>
        </w:rPr>
        <w:t xml:space="preserve">за създаване на рамковата програма за научни изследвания и иновации </w:t>
      </w:r>
      <w:r w:rsidR="00D6463C" w:rsidRPr="009F6D1E">
        <w:rPr>
          <w:i/>
          <w:iCs/>
          <w:lang w:val="bg-BG"/>
        </w:rPr>
        <w:t>„</w:t>
      </w:r>
      <w:r w:rsidRPr="009F6D1E">
        <w:rPr>
          <w:i/>
          <w:iCs/>
          <w:lang w:val="bg-BG"/>
        </w:rPr>
        <w:t xml:space="preserve">Хоризонт </w:t>
      </w:r>
      <w:r w:rsidR="00D6463C" w:rsidRPr="009F6D1E">
        <w:rPr>
          <w:i/>
          <w:iCs/>
          <w:lang w:val="bg-BG"/>
        </w:rPr>
        <w:t>Европа“</w:t>
      </w:r>
      <w:r w:rsidRPr="009F6D1E">
        <w:rPr>
          <w:i/>
          <w:iCs/>
          <w:lang w:val="bg-BG"/>
        </w:rPr>
        <w:t>, за определяне на нейните правила за участие и разпространение на резултатите</w:t>
      </w:r>
    </w:p>
    <w:p w14:paraId="1E3FF103" w14:textId="77777777" w:rsidR="001931F5" w:rsidRPr="009F6D1E" w:rsidRDefault="001931F5" w:rsidP="0084747F">
      <w:pPr>
        <w:pStyle w:val="ListParagraph"/>
        <w:widowControl w:val="0"/>
        <w:numPr>
          <w:ilvl w:val="0"/>
          <w:numId w:val="4"/>
        </w:numPr>
        <w:spacing w:after="60" w:line="264" w:lineRule="auto"/>
        <w:ind w:left="0" w:firstLine="900"/>
        <w:jc w:val="both"/>
        <w:rPr>
          <w:lang w:val="bg-BG"/>
        </w:rPr>
      </w:pPr>
      <w:r w:rsidRPr="009F6D1E">
        <w:rPr>
          <w:b/>
          <w:bCs/>
          <w:i/>
          <w:iCs/>
          <w:lang w:val="bg-BG"/>
        </w:rPr>
        <w:t>Механизъм за гражданска защита на Съюза (</w:t>
      </w:r>
      <w:proofErr w:type="spellStart"/>
      <w:r w:rsidRPr="009F6D1E">
        <w:rPr>
          <w:b/>
          <w:bCs/>
          <w:i/>
          <w:iCs/>
          <w:lang w:val="bg-BG"/>
        </w:rPr>
        <w:t>RescEU</w:t>
      </w:r>
      <w:proofErr w:type="spellEnd"/>
      <w:r w:rsidRPr="009F6D1E">
        <w:rPr>
          <w:b/>
          <w:bCs/>
          <w:i/>
          <w:iCs/>
          <w:lang w:val="bg-BG"/>
        </w:rPr>
        <w:t>)</w:t>
      </w:r>
      <w:r w:rsidRPr="009F6D1E">
        <w:rPr>
          <w:lang w:val="bg-BG"/>
        </w:rPr>
        <w:t xml:space="preserve">- </w:t>
      </w:r>
      <w:r w:rsidRPr="009F6D1E">
        <w:rPr>
          <w:b/>
          <w:bCs/>
          <w:lang w:val="bg-BG"/>
        </w:rPr>
        <w:t>Решение (ЕС) 2019/420</w:t>
      </w:r>
      <w:r w:rsidRPr="009F6D1E">
        <w:rPr>
          <w:lang w:val="bg-BG"/>
        </w:rPr>
        <w:t xml:space="preserve"> на Европейския </w:t>
      </w:r>
      <w:r w:rsidRPr="009F6D1E">
        <w:rPr>
          <w:b/>
          <w:bCs/>
          <w:i/>
          <w:iCs/>
          <w:lang w:val="bg-BG"/>
        </w:rPr>
        <w:t>парламент</w:t>
      </w:r>
      <w:r w:rsidRPr="009F6D1E">
        <w:rPr>
          <w:lang w:val="bg-BG"/>
        </w:rPr>
        <w:t xml:space="preserve"> и на Съвета от 13 март 2019 година </w:t>
      </w:r>
      <w:r w:rsidRPr="009F6D1E">
        <w:rPr>
          <w:i/>
          <w:iCs/>
          <w:lang w:val="bg-BG"/>
        </w:rPr>
        <w:t xml:space="preserve">за изменение на </w:t>
      </w:r>
      <w:r w:rsidRPr="009F6D1E">
        <w:rPr>
          <w:i/>
          <w:iCs/>
          <w:lang w:val="bg-BG"/>
        </w:rPr>
        <w:lastRenderedPageBreak/>
        <w:t>Решение № 1313/2013/ЕС относно Механизъм за гражданска защита на Съюза</w:t>
      </w:r>
      <w:r w:rsidRPr="009F6D1E">
        <w:rPr>
          <w:lang w:val="bg-BG"/>
        </w:rPr>
        <w:t>.</w:t>
      </w:r>
    </w:p>
    <w:p w14:paraId="160DBDFC" w14:textId="77777777" w:rsidR="001931F5" w:rsidRPr="009F6D1E" w:rsidRDefault="001931F5" w:rsidP="0084747F">
      <w:pPr>
        <w:spacing w:after="60" w:line="264" w:lineRule="auto"/>
        <w:ind w:firstLine="708"/>
        <w:jc w:val="both"/>
        <w:rPr>
          <w:rFonts w:cs="Times New Roman"/>
          <w:szCs w:val="24"/>
        </w:rPr>
      </w:pPr>
      <w:bookmarkStart w:id="91" w:name="_Hlk96339042"/>
      <w:r w:rsidRPr="009F6D1E">
        <w:rPr>
          <w:rFonts w:cs="Times New Roman"/>
          <w:szCs w:val="24"/>
        </w:rPr>
        <w:t xml:space="preserve">Планът за възстановяване на Европа </w:t>
      </w:r>
      <w:r w:rsidR="00BD21F6" w:rsidRPr="009F6D1E">
        <w:rPr>
          <w:rFonts w:cs="Times New Roman"/>
          <w:szCs w:val="24"/>
        </w:rPr>
        <w:t xml:space="preserve">е съобразен при разработването на </w:t>
      </w:r>
      <w:r w:rsidRPr="009F6D1E">
        <w:rPr>
          <w:rFonts w:cs="Times New Roman"/>
          <w:szCs w:val="24"/>
        </w:rPr>
        <w:t xml:space="preserve"> </w:t>
      </w:r>
      <w:r w:rsidR="00CD4045" w:rsidRPr="009F6D1E">
        <w:rPr>
          <w:rFonts w:cs="Times New Roman"/>
          <w:szCs w:val="24"/>
        </w:rPr>
        <w:t>СПРЗСР</w:t>
      </w:r>
      <w:r w:rsidRPr="009F6D1E">
        <w:rPr>
          <w:rFonts w:cs="Times New Roman"/>
          <w:szCs w:val="24"/>
        </w:rPr>
        <w:t>.</w:t>
      </w:r>
    </w:p>
    <w:bookmarkEnd w:id="91"/>
    <w:p w14:paraId="283E2160" w14:textId="77777777" w:rsidR="00A47D80" w:rsidRPr="009F6D1E" w:rsidRDefault="00A47D80" w:rsidP="0084747F">
      <w:pPr>
        <w:spacing w:after="60" w:line="264" w:lineRule="auto"/>
        <w:ind w:firstLine="708"/>
        <w:jc w:val="both"/>
        <w:rPr>
          <w:rFonts w:cs="Times New Roman"/>
          <w:szCs w:val="24"/>
        </w:rPr>
      </w:pPr>
    </w:p>
    <w:p w14:paraId="72931585"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Препоръки към Държавите членки по отношение на техните стратегически планове по общата селскостопанска политика </w:t>
      </w:r>
      <w:bookmarkStart w:id="92" w:name="_Hlk96333752"/>
      <w:r w:rsidRPr="009F6D1E">
        <w:rPr>
          <w:b/>
          <w:bCs/>
          <w:smallCaps w:val="0"/>
          <w:color w:val="262626" w:themeColor="text1" w:themeTint="D9"/>
          <w:lang w:eastAsia="en-US" w:bidi="ar-SA"/>
        </w:rPr>
        <w:t xml:space="preserve">(СОМ (2020) 846/18.12.2020г.) </w:t>
      </w:r>
    </w:p>
    <w:bookmarkEnd w:id="92"/>
    <w:p w14:paraId="0FAD919F" w14:textId="77777777" w:rsidR="0094794D" w:rsidRPr="009F6D1E" w:rsidRDefault="0094794D" w:rsidP="0084747F">
      <w:pPr>
        <w:spacing w:after="60" w:line="264" w:lineRule="auto"/>
        <w:ind w:firstLine="708"/>
        <w:jc w:val="both"/>
        <w:rPr>
          <w:rFonts w:cs="Times New Roman"/>
          <w:szCs w:val="24"/>
        </w:rPr>
      </w:pPr>
    </w:p>
    <w:p w14:paraId="10B82F72" w14:textId="77777777" w:rsidR="00362D8E" w:rsidRPr="009F6D1E" w:rsidRDefault="00362D8E" w:rsidP="0084747F">
      <w:pPr>
        <w:spacing w:after="60" w:line="264" w:lineRule="auto"/>
        <w:ind w:firstLine="708"/>
        <w:jc w:val="both"/>
        <w:rPr>
          <w:rFonts w:cs="Times New Roman"/>
          <w:szCs w:val="24"/>
        </w:rPr>
      </w:pPr>
      <w:r w:rsidRPr="009F6D1E">
        <w:rPr>
          <w:rFonts w:cs="Times New Roman"/>
          <w:szCs w:val="24"/>
        </w:rPr>
        <w:t xml:space="preserve">Тези препоръки са част от диалога между </w:t>
      </w:r>
      <w:r w:rsidR="00A47D80" w:rsidRPr="009F6D1E">
        <w:rPr>
          <w:rFonts w:cs="Times New Roman"/>
          <w:szCs w:val="24"/>
        </w:rPr>
        <w:t>ЕК</w:t>
      </w:r>
      <w:r w:rsidRPr="009F6D1E">
        <w:rPr>
          <w:rFonts w:cs="Times New Roman"/>
          <w:szCs w:val="24"/>
        </w:rPr>
        <w:t xml:space="preserve"> и държавите членки, за да им се осигури подкрепа при прилагането на </w:t>
      </w:r>
      <w:r w:rsidR="00D809BC" w:rsidRPr="009F6D1E">
        <w:rPr>
          <w:rFonts w:cs="Times New Roman"/>
          <w:szCs w:val="24"/>
        </w:rPr>
        <w:t>РЗСР</w:t>
      </w:r>
      <w:r w:rsidRPr="009F6D1E">
        <w:rPr>
          <w:rFonts w:cs="Times New Roman"/>
          <w:szCs w:val="24"/>
        </w:rPr>
        <w:t xml:space="preserve"> от 2023 г. нататък, както и да се гарантира амбициозният принос на националните им стратегически планове по </w:t>
      </w:r>
      <w:r w:rsidR="00D809BC" w:rsidRPr="009F6D1E">
        <w:rPr>
          <w:rFonts w:cs="Times New Roman"/>
          <w:szCs w:val="24"/>
        </w:rPr>
        <w:t>РЗСР</w:t>
      </w:r>
      <w:r w:rsidRPr="009F6D1E">
        <w:rPr>
          <w:rFonts w:cs="Times New Roman"/>
          <w:szCs w:val="24"/>
        </w:rPr>
        <w:t xml:space="preserve"> към </w:t>
      </w:r>
      <w:r w:rsidRPr="009F6D1E">
        <w:rPr>
          <w:rFonts w:cs="Times New Roman"/>
          <w:b/>
          <w:bCs/>
          <w:i/>
          <w:iCs/>
          <w:szCs w:val="24"/>
        </w:rPr>
        <w:t>Европейския зелен пакт</w:t>
      </w:r>
      <w:r w:rsidRPr="009F6D1E">
        <w:rPr>
          <w:rFonts w:cs="Times New Roman"/>
          <w:szCs w:val="24"/>
        </w:rPr>
        <w:t>.</w:t>
      </w:r>
    </w:p>
    <w:p w14:paraId="0500E21D" w14:textId="77777777" w:rsidR="00A47D80" w:rsidRPr="009F6D1E" w:rsidRDefault="00362D8E" w:rsidP="0084747F">
      <w:pPr>
        <w:spacing w:after="60" w:line="264" w:lineRule="auto"/>
        <w:ind w:firstLine="708"/>
        <w:jc w:val="both"/>
        <w:rPr>
          <w:rFonts w:cs="Times New Roman"/>
          <w:szCs w:val="24"/>
        </w:rPr>
      </w:pPr>
      <w:r w:rsidRPr="009F6D1E">
        <w:rPr>
          <w:rFonts w:cs="Times New Roman"/>
          <w:szCs w:val="24"/>
        </w:rPr>
        <w:t xml:space="preserve">Тези стратегически планове са основен елемент от реформата на </w:t>
      </w:r>
      <w:r w:rsidR="00D809BC" w:rsidRPr="009F6D1E">
        <w:rPr>
          <w:rFonts w:cs="Times New Roman"/>
          <w:szCs w:val="24"/>
        </w:rPr>
        <w:t>РЗСР</w:t>
      </w:r>
      <w:r w:rsidRPr="009F6D1E">
        <w:rPr>
          <w:rFonts w:cs="Times New Roman"/>
          <w:szCs w:val="24"/>
        </w:rPr>
        <w:t xml:space="preserve"> и ще определят как всяка държава членка ще използва инструментите на </w:t>
      </w:r>
      <w:r w:rsidR="00D809BC" w:rsidRPr="009F6D1E">
        <w:rPr>
          <w:rFonts w:cs="Times New Roman"/>
          <w:szCs w:val="24"/>
        </w:rPr>
        <w:t>РЗСР</w:t>
      </w:r>
      <w:r w:rsidRPr="009F6D1E">
        <w:rPr>
          <w:rFonts w:cs="Times New Roman"/>
          <w:szCs w:val="24"/>
        </w:rPr>
        <w:t xml:space="preserve"> въз основа на анализ на своите условия и потребности и за постигане на конкретните цели на </w:t>
      </w:r>
      <w:r w:rsidR="00D809BC" w:rsidRPr="009F6D1E">
        <w:rPr>
          <w:rFonts w:cs="Times New Roman"/>
          <w:szCs w:val="24"/>
        </w:rPr>
        <w:t>РЗСР</w:t>
      </w:r>
      <w:r w:rsidRPr="009F6D1E">
        <w:rPr>
          <w:rFonts w:cs="Times New Roman"/>
          <w:szCs w:val="24"/>
        </w:rPr>
        <w:t xml:space="preserve"> и на Европейския зелен пакт.</w:t>
      </w:r>
      <w:r w:rsidR="008C2D46" w:rsidRPr="009F6D1E">
        <w:rPr>
          <w:rFonts w:cs="Times New Roman"/>
          <w:szCs w:val="24"/>
        </w:rPr>
        <w:t xml:space="preserve"> </w:t>
      </w:r>
      <w:r w:rsidRPr="009F6D1E">
        <w:rPr>
          <w:rFonts w:cs="Times New Roman"/>
          <w:szCs w:val="24"/>
        </w:rPr>
        <w:t xml:space="preserve">Комисията предоставя препоръки за всяка държава членка въз основа на анализ на селскостопанския ѝ сектор и селските райони. Тези препоръки са свързани с </w:t>
      </w:r>
      <w:r w:rsidR="008C2D46" w:rsidRPr="009F6D1E">
        <w:rPr>
          <w:rFonts w:cs="Times New Roman"/>
          <w:szCs w:val="24"/>
        </w:rPr>
        <w:t>десе</w:t>
      </w:r>
      <w:r w:rsidRPr="009F6D1E">
        <w:rPr>
          <w:rFonts w:cs="Times New Roman"/>
          <w:szCs w:val="24"/>
        </w:rPr>
        <w:t xml:space="preserve">тте специфични цели на </w:t>
      </w:r>
      <w:r w:rsidR="00D809BC" w:rsidRPr="009F6D1E">
        <w:rPr>
          <w:rFonts w:cs="Times New Roman"/>
          <w:szCs w:val="24"/>
        </w:rPr>
        <w:t>РЗСР</w:t>
      </w:r>
      <w:r w:rsidRPr="009F6D1E">
        <w:rPr>
          <w:rFonts w:cs="Times New Roman"/>
          <w:szCs w:val="24"/>
        </w:rPr>
        <w:t>, които засягат екологичните, социалните и икономическите предизвикателства, както и с междусекторната цел за знания и иновации.</w:t>
      </w:r>
      <w:r w:rsidR="00A47D80" w:rsidRPr="009F6D1E">
        <w:rPr>
          <w:rFonts w:cs="Times New Roman"/>
          <w:szCs w:val="24"/>
        </w:rPr>
        <w:t xml:space="preserve"> </w:t>
      </w:r>
      <w:r w:rsidRPr="009F6D1E">
        <w:rPr>
          <w:rFonts w:cs="Times New Roman"/>
          <w:szCs w:val="24"/>
        </w:rPr>
        <w:t>Освен това препоръките вземат предвид амбициите на Европейския зелен пакт и по-конкретно шестте количествени цели на стратегията „</w:t>
      </w:r>
      <w:r w:rsidRPr="009F6D1E">
        <w:rPr>
          <w:rFonts w:cs="Times New Roman"/>
          <w:b/>
          <w:bCs/>
          <w:i/>
          <w:iCs/>
          <w:szCs w:val="24"/>
        </w:rPr>
        <w:t>От фермата до трапезата</w:t>
      </w:r>
      <w:r w:rsidRPr="009F6D1E">
        <w:rPr>
          <w:rFonts w:cs="Times New Roman"/>
          <w:szCs w:val="24"/>
        </w:rPr>
        <w:t xml:space="preserve">“ и </w:t>
      </w:r>
      <w:r w:rsidR="00A47D80" w:rsidRPr="009F6D1E">
        <w:rPr>
          <w:rFonts w:cs="Times New Roman"/>
          <w:b/>
          <w:bCs/>
          <w:i/>
          <w:iCs/>
          <w:szCs w:val="24"/>
        </w:rPr>
        <w:t>С</w:t>
      </w:r>
      <w:r w:rsidRPr="009F6D1E">
        <w:rPr>
          <w:rFonts w:cs="Times New Roman"/>
          <w:b/>
          <w:bCs/>
          <w:i/>
          <w:iCs/>
          <w:szCs w:val="24"/>
        </w:rPr>
        <w:t>тратегията за биологичното разнообразие</w:t>
      </w:r>
      <w:r w:rsidRPr="009F6D1E">
        <w:rPr>
          <w:rFonts w:cs="Times New Roman"/>
          <w:szCs w:val="24"/>
        </w:rPr>
        <w:t xml:space="preserve">. </w:t>
      </w:r>
      <w:r w:rsidR="00A47D80" w:rsidRPr="009F6D1E">
        <w:rPr>
          <w:rFonts w:cs="Times New Roman"/>
          <w:szCs w:val="24"/>
        </w:rPr>
        <w:t xml:space="preserve">Тези две стратегии </w:t>
      </w:r>
      <w:r w:rsidR="008C2D46" w:rsidRPr="009F6D1E">
        <w:rPr>
          <w:rFonts w:cs="Times New Roman"/>
          <w:szCs w:val="24"/>
        </w:rPr>
        <w:t>с</w:t>
      </w:r>
      <w:r w:rsidR="00A47D80" w:rsidRPr="009F6D1E">
        <w:rPr>
          <w:rFonts w:cs="Times New Roman"/>
          <w:szCs w:val="24"/>
        </w:rPr>
        <w:t>а представени в контекста на Европейския зелен пакт, за да подпомогнат прехода към по-голяма устойчивост на продоволствените системи и да преодолеят основните фактори за загубата на биологично разнообразие. Те включват целите, които да се постигнат до 2030 г.:</w:t>
      </w:r>
    </w:p>
    <w:p w14:paraId="0DEF20C5" w14:textId="77777777" w:rsidR="00A47D80" w:rsidRPr="009F6D1E" w:rsidRDefault="00B7645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w:t>
      </w:r>
      <w:r w:rsidR="00A47D80" w:rsidRPr="009F6D1E">
        <w:rPr>
          <w:rFonts w:eastAsia="Times New Roman" w:cs="Times New Roman"/>
          <w:szCs w:val="24"/>
          <w:lang w:eastAsia="bg-BG" w:bidi="bg-BG"/>
        </w:rPr>
        <w:t>амаляване с 50 % на употребата и риска от пестициди, намаляване с поне 20 % на употребата на торове</w:t>
      </w:r>
      <w:r w:rsidR="00573C31" w:rsidRPr="009F6D1E">
        <w:rPr>
          <w:rFonts w:eastAsia="Times New Roman" w:cs="Times New Roman"/>
          <w:szCs w:val="24"/>
          <w:lang w:eastAsia="bg-BG" w:bidi="bg-BG"/>
        </w:rPr>
        <w:t>;</w:t>
      </w:r>
    </w:p>
    <w:p w14:paraId="29C8DBD1" w14:textId="77777777" w:rsidR="00A47D80" w:rsidRPr="009F6D1E" w:rsidRDefault="00B7645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Намаляване </w:t>
      </w:r>
      <w:r w:rsidR="00A47D80" w:rsidRPr="009F6D1E">
        <w:rPr>
          <w:rFonts w:eastAsia="Times New Roman" w:cs="Times New Roman"/>
          <w:szCs w:val="24"/>
          <w:lang w:eastAsia="bg-BG" w:bidi="bg-BG"/>
        </w:rPr>
        <w:t>с 50 % на продажбите на антимикробни средства, използвани за селскостопански животни и аквакултури;</w:t>
      </w:r>
    </w:p>
    <w:p w14:paraId="19A5A7E3" w14:textId="77777777" w:rsidR="00A47D80" w:rsidRPr="009F6D1E" w:rsidRDefault="00B7645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Увеличаване </w:t>
      </w:r>
      <w:r w:rsidR="00A47D80" w:rsidRPr="009F6D1E">
        <w:rPr>
          <w:rFonts w:eastAsia="Times New Roman" w:cs="Times New Roman"/>
          <w:szCs w:val="24"/>
          <w:lang w:eastAsia="bg-BG" w:bidi="bg-BG"/>
        </w:rPr>
        <w:t xml:space="preserve">на дела на земеделските земи, използвани за биологично земеделие, до 25 % и </w:t>
      </w:r>
    </w:p>
    <w:p w14:paraId="03266378" w14:textId="77777777" w:rsidR="00A47D80" w:rsidRPr="009F6D1E" w:rsidRDefault="00B7645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Осигуряване </w:t>
      </w:r>
      <w:r w:rsidR="00A47D80" w:rsidRPr="009F6D1E">
        <w:rPr>
          <w:rFonts w:eastAsia="Times New Roman" w:cs="Times New Roman"/>
          <w:szCs w:val="24"/>
          <w:lang w:eastAsia="bg-BG" w:bidi="bg-BG"/>
        </w:rPr>
        <w:t>на 100 % достъп до бърз широколентов интернет в селските райони до 2025 г.</w:t>
      </w:r>
    </w:p>
    <w:p w14:paraId="72C2A851" w14:textId="77777777" w:rsidR="00CF13F7" w:rsidRPr="009F6D1E" w:rsidRDefault="00CF13F7" w:rsidP="0084747F">
      <w:pPr>
        <w:spacing w:after="60" w:line="264" w:lineRule="auto"/>
        <w:ind w:firstLine="708"/>
        <w:jc w:val="both"/>
        <w:rPr>
          <w:rFonts w:cs="Times New Roman"/>
          <w:szCs w:val="24"/>
        </w:rPr>
      </w:pPr>
      <w:bookmarkStart w:id="93" w:name="_Hlk96339116"/>
      <w:r w:rsidRPr="009F6D1E">
        <w:rPr>
          <w:rFonts w:cs="Times New Roman"/>
          <w:szCs w:val="24"/>
        </w:rPr>
        <w:t xml:space="preserve">Препоръките са от основните документи, на който е базиран </w:t>
      </w:r>
      <w:r w:rsidR="00CD4045" w:rsidRPr="009F6D1E">
        <w:rPr>
          <w:rFonts w:cs="Times New Roman"/>
          <w:szCs w:val="24"/>
        </w:rPr>
        <w:t>СПРЗСР</w:t>
      </w:r>
      <w:r w:rsidRPr="009F6D1E">
        <w:rPr>
          <w:rFonts w:cs="Times New Roman"/>
          <w:szCs w:val="24"/>
        </w:rPr>
        <w:t xml:space="preserve">, като анализът е представен в точка </w:t>
      </w:r>
      <w:r w:rsidR="00D5130D" w:rsidRPr="009F6D1E">
        <w:rPr>
          <w:rFonts w:cs="Times New Roman"/>
          <w:szCs w:val="24"/>
        </w:rPr>
        <w:t>7</w:t>
      </w:r>
      <w:r w:rsidRPr="009F6D1E">
        <w:rPr>
          <w:rFonts w:cs="Times New Roman"/>
          <w:szCs w:val="24"/>
        </w:rPr>
        <w:t>.1. от ДЕО</w:t>
      </w:r>
      <w:bookmarkEnd w:id="93"/>
      <w:r w:rsidRPr="009F6D1E">
        <w:rPr>
          <w:rFonts w:cs="Times New Roman"/>
          <w:szCs w:val="24"/>
        </w:rPr>
        <w:t>.</w:t>
      </w:r>
    </w:p>
    <w:p w14:paraId="30C00E56" w14:textId="77777777" w:rsidR="008C2D46" w:rsidRPr="009F6D1E" w:rsidRDefault="008C2D46" w:rsidP="0084747F">
      <w:pPr>
        <w:pStyle w:val="ListParagraph"/>
        <w:spacing w:after="60" w:line="264" w:lineRule="auto"/>
        <w:ind w:left="1068"/>
        <w:jc w:val="both"/>
        <w:rPr>
          <w:lang w:val="bg-BG"/>
        </w:rPr>
      </w:pPr>
    </w:p>
    <w:p w14:paraId="52F2BACE" w14:textId="77777777" w:rsidR="00462EEE" w:rsidRPr="009F6D1E" w:rsidRDefault="00462EEE">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Препоръки на Комисията относно стратегическия план по </w:t>
      </w:r>
      <w:r w:rsidR="00D809BC" w:rsidRPr="009F6D1E">
        <w:rPr>
          <w:b/>
          <w:bCs/>
          <w:smallCaps w:val="0"/>
          <w:color w:val="262626" w:themeColor="text1" w:themeTint="D9"/>
          <w:lang w:eastAsia="en-US" w:bidi="ar-SA"/>
        </w:rPr>
        <w:t>РЗСР</w:t>
      </w:r>
      <w:r w:rsidRPr="009F6D1E">
        <w:rPr>
          <w:b/>
          <w:bCs/>
          <w:smallCaps w:val="0"/>
          <w:color w:val="262626" w:themeColor="text1" w:themeTint="D9"/>
          <w:lang w:eastAsia="en-US" w:bidi="ar-SA"/>
        </w:rPr>
        <w:t xml:space="preserve"> на България (SWD (2020) 369/18.12.2020г.) </w:t>
      </w:r>
    </w:p>
    <w:p w14:paraId="44F54834" w14:textId="77777777" w:rsidR="0094794D" w:rsidRPr="009F6D1E" w:rsidRDefault="0094794D" w:rsidP="0084747F">
      <w:pPr>
        <w:spacing w:after="60" w:line="264" w:lineRule="auto"/>
        <w:ind w:firstLine="708"/>
        <w:jc w:val="both"/>
        <w:rPr>
          <w:rFonts w:cs="Times New Roman"/>
          <w:noProof/>
          <w:szCs w:val="24"/>
        </w:rPr>
      </w:pPr>
    </w:p>
    <w:p w14:paraId="10DFC4CA" w14:textId="77777777" w:rsidR="008C2D46" w:rsidRPr="009F6D1E" w:rsidRDefault="008C2D46" w:rsidP="0084747F">
      <w:pPr>
        <w:spacing w:after="60" w:line="264" w:lineRule="auto"/>
        <w:ind w:firstLine="708"/>
        <w:jc w:val="both"/>
        <w:rPr>
          <w:rFonts w:eastAsiaTheme="majorEastAsia" w:cs="Times New Roman"/>
          <w:b/>
          <w:noProof/>
          <w:color w:val="2F5496" w:themeColor="accent1" w:themeShade="BF"/>
          <w:szCs w:val="24"/>
        </w:rPr>
      </w:pPr>
      <w:r w:rsidRPr="009F6D1E">
        <w:rPr>
          <w:rFonts w:cs="Times New Roman"/>
          <w:noProof/>
          <w:szCs w:val="24"/>
        </w:rPr>
        <w:t xml:space="preserve">Препоръките се основават на анализа на актуалното състояние, нуждите и приоритетите на селското стопанство и селските райони в България. Препоръките са насочени към конкретните икономически, екологични и социални цели на бъдещата </w:t>
      </w:r>
      <w:r w:rsidR="00D809BC" w:rsidRPr="009F6D1E">
        <w:rPr>
          <w:rFonts w:cs="Times New Roman"/>
          <w:noProof/>
          <w:szCs w:val="24"/>
        </w:rPr>
        <w:t>РЗСР</w:t>
      </w:r>
      <w:r w:rsidRPr="009F6D1E">
        <w:rPr>
          <w:rFonts w:cs="Times New Roman"/>
          <w:noProof/>
          <w:szCs w:val="24"/>
        </w:rPr>
        <w:t>, и по-</w:t>
      </w:r>
      <w:r w:rsidRPr="009F6D1E">
        <w:rPr>
          <w:rFonts w:cs="Times New Roman"/>
          <w:noProof/>
          <w:szCs w:val="24"/>
        </w:rPr>
        <w:lastRenderedPageBreak/>
        <w:t xml:space="preserve">специално амбицията и конкретните цели на стратегията „От фермата до трапезата“ и стратегията за биологичното разнообразие за 2030 г. Както се посочва в стратегията „От фермата до трапезата“, Комисията приканва България в своя стратегически план по </w:t>
      </w:r>
      <w:r w:rsidR="00D809BC" w:rsidRPr="009F6D1E">
        <w:rPr>
          <w:rFonts w:cs="Times New Roman"/>
          <w:noProof/>
          <w:szCs w:val="24"/>
        </w:rPr>
        <w:t>РЗСР</w:t>
      </w:r>
      <w:r w:rsidRPr="009F6D1E">
        <w:rPr>
          <w:rFonts w:cs="Times New Roman"/>
          <w:noProof/>
          <w:szCs w:val="24"/>
        </w:rPr>
        <w:t xml:space="preserve"> да определи изрични национални стойности по отношение на целите на Зеления пакт</w:t>
      </w:r>
      <w:r w:rsidRPr="009F6D1E">
        <w:rPr>
          <w:rStyle w:val="FootnoteReference"/>
          <w:rFonts w:cs="Times New Roman"/>
          <w:noProof/>
          <w:szCs w:val="24"/>
        </w:rPr>
        <w:footnoteReference w:id="4"/>
      </w:r>
      <w:r w:rsidRPr="009F6D1E">
        <w:rPr>
          <w:rFonts w:cs="Times New Roman"/>
          <w:noProof/>
          <w:szCs w:val="24"/>
        </w:rPr>
        <w:t>, като се вземат предвид конкретното положение в страната и настоящите препоръки.</w:t>
      </w:r>
    </w:p>
    <w:p w14:paraId="738D4150" w14:textId="77777777" w:rsidR="00FC32CF" w:rsidRPr="009F6D1E" w:rsidRDefault="00FC32CF" w:rsidP="0084747F">
      <w:pPr>
        <w:spacing w:after="60" w:line="264" w:lineRule="auto"/>
        <w:ind w:firstLine="708"/>
        <w:jc w:val="both"/>
        <w:rPr>
          <w:rFonts w:cs="Times New Roman"/>
          <w:noProof/>
          <w:szCs w:val="24"/>
        </w:rPr>
      </w:pPr>
      <w:r w:rsidRPr="009F6D1E">
        <w:rPr>
          <w:rFonts w:cs="Times New Roman"/>
          <w:noProof/>
          <w:szCs w:val="24"/>
        </w:rPr>
        <w:t xml:space="preserve">С цел справяне с взаимосвързаните икономически, екологични/климатични и социални предизвикателства, Комисията счита, че стратегическият план по </w:t>
      </w:r>
      <w:r w:rsidR="00D809BC" w:rsidRPr="009F6D1E">
        <w:rPr>
          <w:rFonts w:cs="Times New Roman"/>
          <w:noProof/>
          <w:szCs w:val="24"/>
        </w:rPr>
        <w:t>РЗСР</w:t>
      </w:r>
      <w:r w:rsidRPr="009F6D1E">
        <w:rPr>
          <w:rFonts w:cs="Times New Roman"/>
          <w:noProof/>
          <w:szCs w:val="24"/>
        </w:rPr>
        <w:t xml:space="preserve"> на България трябва да се съсредоточи върху приоритетите си и да насочи интервенциите си върху следните точки:</w:t>
      </w:r>
    </w:p>
    <w:p w14:paraId="0D0F824B" w14:textId="77777777" w:rsidR="00FC32CF" w:rsidRPr="009F6D1E" w:rsidRDefault="00FC32CF" w:rsidP="0084747F">
      <w:pPr>
        <w:widowControl w:val="0"/>
        <w:numPr>
          <w:ilvl w:val="0"/>
          <w:numId w:val="5"/>
        </w:numPr>
        <w:tabs>
          <w:tab w:val="left" w:pos="720"/>
          <w:tab w:val="left" w:pos="1080"/>
        </w:tabs>
        <w:spacing w:after="60" w:line="264" w:lineRule="auto"/>
        <w:ind w:firstLine="720"/>
        <w:jc w:val="both"/>
        <w:rPr>
          <w:rFonts w:eastAsia="Times New Roman" w:cs="Times New Roman"/>
          <w:b/>
          <w:bCs/>
          <w:i/>
          <w:iCs/>
          <w:szCs w:val="24"/>
          <w:lang w:eastAsia="bg-BG" w:bidi="bg-BG"/>
        </w:rPr>
      </w:pPr>
      <w:r w:rsidRPr="009F6D1E">
        <w:rPr>
          <w:rFonts w:eastAsia="Times New Roman" w:cs="Times New Roman"/>
          <w:b/>
          <w:bCs/>
          <w:i/>
          <w:iCs/>
          <w:szCs w:val="24"/>
          <w:lang w:eastAsia="bg-BG" w:bidi="bg-BG"/>
        </w:rPr>
        <w:t>Насърчаване на развитието на интелигентен устойчив и диверсифициран сектор на селското стопанство с цел гарантиране на продоволствената сигурност</w:t>
      </w:r>
    </w:p>
    <w:p w14:paraId="27061DD6" w14:textId="77777777" w:rsidR="00FC32CF"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п</w:t>
      </w:r>
      <w:r w:rsidR="00FC32CF" w:rsidRPr="009F6D1E">
        <w:rPr>
          <w:lang w:val="bg-BG"/>
        </w:rPr>
        <w:t>одобряване на жизнеспособността и рентабилността на сектора чрез подпомагане на оптимизацията на структурата на земеделските стопанства, на развитието на сектори като зеленчукопроизводство, отглеждане на овощни насаждения и тревопасни животни и инвестиции в модернизацията на производството.</w:t>
      </w:r>
    </w:p>
    <w:p w14:paraId="30B36320" w14:textId="03895635" w:rsidR="00FC32CF"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повишаване </w:t>
      </w:r>
      <w:r w:rsidR="00FC32CF" w:rsidRPr="009F6D1E">
        <w:rPr>
          <w:lang w:val="bg-BG"/>
        </w:rPr>
        <w:t>на конкурент</w:t>
      </w:r>
      <w:r w:rsidR="00D865C3">
        <w:rPr>
          <w:lang w:val="bg-BG"/>
        </w:rPr>
        <w:t>осп</w:t>
      </w:r>
      <w:r w:rsidR="00FC32CF" w:rsidRPr="009F6D1E">
        <w:rPr>
          <w:lang w:val="bg-BG"/>
        </w:rPr>
        <w:t>особността и пазарната ориентация на сектора чрез подпомагане по-специално на по-голямата достъпност и използване на технологии, иновации, търговски инициативи, професионално обучение на земеделските стопани и по-широко използване на инструменти за управление на риска.</w:t>
      </w:r>
    </w:p>
    <w:p w14:paraId="6CEE87EE" w14:textId="77777777" w:rsidR="00FC32CF"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подобряване </w:t>
      </w:r>
      <w:r w:rsidR="00FC32CF" w:rsidRPr="009F6D1E">
        <w:rPr>
          <w:lang w:val="bg-BG"/>
        </w:rPr>
        <w:t>на жизнеспособността на по-малките и средните земеделски стопанства с по-висок потенциал за развитие чрез по-ефективно насочване на подпомагането на доходите, например чрез прилагане на допълнителното преразпределително подпомагане на доходите за устойчивост и намаляване на плащанията.</w:t>
      </w:r>
    </w:p>
    <w:p w14:paraId="15E1B657" w14:textId="77777777" w:rsidR="00FC32CF"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подобряване </w:t>
      </w:r>
      <w:r w:rsidR="00FC32CF" w:rsidRPr="009F6D1E">
        <w:rPr>
          <w:lang w:val="bg-BG"/>
        </w:rPr>
        <w:t>на положението на земеделските стопани във веригата за доставки на храни. Препоръчаните подходи включват: подпомагане на преработката и търговията със селскостопански продукти с висока добавена стойност (например съгласно схемите за качество на ЕС и националните схеми за качество); и подобряване на позицията на земеделските стопани чрез стимулиране на обмена на знания и насърчаване на различни форми на сътрудничество, по-специално между биологичните земеделски стопани.</w:t>
      </w:r>
    </w:p>
    <w:p w14:paraId="0F1CEB45" w14:textId="77777777" w:rsidR="008C2D46" w:rsidRPr="009F6D1E" w:rsidRDefault="00FC32CF" w:rsidP="0084747F">
      <w:pPr>
        <w:widowControl w:val="0"/>
        <w:numPr>
          <w:ilvl w:val="0"/>
          <w:numId w:val="5"/>
        </w:numPr>
        <w:tabs>
          <w:tab w:val="left" w:pos="720"/>
          <w:tab w:val="left" w:pos="1080"/>
        </w:tabs>
        <w:spacing w:after="60" w:line="264" w:lineRule="auto"/>
        <w:ind w:firstLine="720"/>
        <w:jc w:val="both"/>
        <w:rPr>
          <w:rFonts w:eastAsia="Times New Roman" w:cs="Times New Roman"/>
          <w:b/>
          <w:bCs/>
          <w:i/>
          <w:iCs/>
          <w:szCs w:val="24"/>
          <w:lang w:eastAsia="bg-BG" w:bidi="bg-BG"/>
        </w:rPr>
      </w:pPr>
      <w:r w:rsidRPr="009F6D1E">
        <w:rPr>
          <w:rFonts w:eastAsia="Times New Roman" w:cs="Times New Roman"/>
          <w:b/>
          <w:bCs/>
          <w:i/>
          <w:iCs/>
          <w:szCs w:val="24"/>
          <w:lang w:eastAsia="bg-BG" w:bidi="bg-BG"/>
        </w:rPr>
        <w:t>Укрепване на грижите за околната среда и действията в областта на климата и принос за постигането на целите на Съюза, свързани с околната среда и климата</w:t>
      </w:r>
    </w:p>
    <w:p w14:paraId="637A6A5D" w14:textId="7C891B1C" w:rsidR="006C5C18"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справяне </w:t>
      </w:r>
      <w:r w:rsidR="00FC32CF" w:rsidRPr="009F6D1E">
        <w:rPr>
          <w:lang w:val="bg-BG"/>
        </w:rPr>
        <w:t>с тенденциите за увеличаване на различни от С02 емисии на парникови газове и емисии на амоняк от почвите, по-специално предизвикани от увеличеното наторяване. За тази цел България следва да повиши съдържанието на органични</w:t>
      </w:r>
      <w:r w:rsidR="006C5C18" w:rsidRPr="009F6D1E">
        <w:rPr>
          <w:lang w:val="bg-BG"/>
        </w:rPr>
        <w:t xml:space="preserve"> </w:t>
      </w:r>
      <w:r w:rsidR="00FC32CF" w:rsidRPr="009F6D1E">
        <w:rPr>
          <w:lang w:val="bg-BG"/>
        </w:rPr>
        <w:t>вещества в почвата и да съхрани плодородието на почвата чрез насърчаване на по-удължен и по</w:t>
      </w:r>
      <w:r w:rsidR="00D865C3">
        <w:rPr>
          <w:lang w:val="bg-BG"/>
        </w:rPr>
        <w:t>-</w:t>
      </w:r>
      <w:r w:rsidR="00FC32CF" w:rsidRPr="009F6D1E">
        <w:rPr>
          <w:lang w:val="bg-BG"/>
        </w:rPr>
        <w:t xml:space="preserve">разнообразен </w:t>
      </w:r>
      <w:proofErr w:type="spellStart"/>
      <w:r w:rsidR="00FC32CF" w:rsidRPr="009F6D1E">
        <w:rPr>
          <w:lang w:val="bg-BG"/>
        </w:rPr>
        <w:t>сеитбооборот</w:t>
      </w:r>
      <w:proofErr w:type="spellEnd"/>
      <w:r w:rsidR="00FC32CF" w:rsidRPr="009F6D1E">
        <w:rPr>
          <w:lang w:val="bg-BG"/>
        </w:rPr>
        <w:t>,</w:t>
      </w:r>
      <w:r w:rsidR="006C5C18" w:rsidRPr="009F6D1E">
        <w:rPr>
          <w:lang w:val="bg-BG"/>
        </w:rPr>
        <w:t xml:space="preserve"> </w:t>
      </w:r>
      <w:r w:rsidR="00FC32CF" w:rsidRPr="009F6D1E">
        <w:rPr>
          <w:lang w:val="bg-BG"/>
        </w:rPr>
        <w:t>подходяща почвена покривка, по-добро управление на остатъците, по-</w:t>
      </w:r>
      <w:r w:rsidR="00FC32CF" w:rsidRPr="009F6D1E">
        <w:rPr>
          <w:lang w:val="bg-BG"/>
        </w:rPr>
        <w:lastRenderedPageBreak/>
        <w:t>балансирано и по-ефикасно управление на хранителните</w:t>
      </w:r>
      <w:r w:rsidR="006C5C18" w:rsidRPr="009F6D1E">
        <w:rPr>
          <w:lang w:val="bg-BG"/>
        </w:rPr>
        <w:t xml:space="preserve"> </w:t>
      </w:r>
      <w:r w:rsidR="00FC32CF" w:rsidRPr="009F6D1E">
        <w:rPr>
          <w:lang w:val="bg-BG"/>
        </w:rPr>
        <w:t>вещества и алтернативни мерки за преодоляване на продължаващите случаи на изгаряне на открито на селскостопански</w:t>
      </w:r>
      <w:r w:rsidR="006C5C18" w:rsidRPr="009F6D1E">
        <w:rPr>
          <w:lang w:val="bg-BG"/>
        </w:rPr>
        <w:t xml:space="preserve"> </w:t>
      </w:r>
      <w:r w:rsidR="00FC32CF" w:rsidRPr="009F6D1E">
        <w:rPr>
          <w:lang w:val="bg-BG"/>
        </w:rPr>
        <w:t>остатъци. България следва да обмисли комбинирането на тези мерки с по</w:t>
      </w:r>
      <w:r w:rsidR="00D865C3">
        <w:rPr>
          <w:lang w:val="bg-BG"/>
        </w:rPr>
        <w:t>-</w:t>
      </w:r>
      <w:r w:rsidR="00FC32CF" w:rsidRPr="009F6D1E">
        <w:rPr>
          <w:lang w:val="bg-BG"/>
        </w:rPr>
        <w:t>амбициозни техники за управление на почвата с цел</w:t>
      </w:r>
      <w:r w:rsidR="006C5C18" w:rsidRPr="009F6D1E">
        <w:rPr>
          <w:lang w:val="bg-BG"/>
        </w:rPr>
        <w:t xml:space="preserve"> </w:t>
      </w:r>
      <w:r w:rsidR="00FC32CF" w:rsidRPr="009F6D1E">
        <w:rPr>
          <w:lang w:val="bg-BG"/>
        </w:rPr>
        <w:t>обръщане на хода на ерозията на почвите в районите, които са най-силно засегнати от този проблем.</w:t>
      </w:r>
    </w:p>
    <w:p w14:paraId="6A4F69BE" w14:textId="77777777" w:rsidR="006C5C18" w:rsidRPr="009F6D1E" w:rsidRDefault="00B7645A" w:rsidP="0084747F">
      <w:pPr>
        <w:pStyle w:val="ListParagraph"/>
        <w:widowControl w:val="0"/>
        <w:numPr>
          <w:ilvl w:val="0"/>
          <w:numId w:val="4"/>
        </w:numPr>
        <w:tabs>
          <w:tab w:val="left" w:pos="1440"/>
        </w:tabs>
        <w:spacing w:after="60" w:line="264" w:lineRule="auto"/>
        <w:ind w:left="0" w:firstLine="900"/>
        <w:jc w:val="both"/>
        <w:rPr>
          <w:lang w:val="bg-BG"/>
        </w:rPr>
      </w:pPr>
      <w:r w:rsidRPr="009F6D1E">
        <w:rPr>
          <w:lang w:val="bg-BG"/>
        </w:rPr>
        <w:t xml:space="preserve">намаляване </w:t>
      </w:r>
      <w:r w:rsidR="00FC32CF" w:rsidRPr="009F6D1E">
        <w:rPr>
          <w:lang w:val="bg-BG"/>
        </w:rPr>
        <w:t>на замърсяването на въздуха и на различните от С02 емисии на парникови газове чрез подобряване на</w:t>
      </w:r>
      <w:r w:rsidR="006C5C18" w:rsidRPr="009F6D1E">
        <w:rPr>
          <w:lang w:val="bg-BG"/>
        </w:rPr>
        <w:t xml:space="preserve"> </w:t>
      </w:r>
      <w:r w:rsidR="00FC32CF" w:rsidRPr="009F6D1E">
        <w:rPr>
          <w:lang w:val="bg-BG"/>
        </w:rPr>
        <w:t>управлението на оборския тор (разпръскване, съхранение) и чрез използване на оборския тор за устойчиво производство на</w:t>
      </w:r>
      <w:r w:rsidR="006C5C18" w:rsidRPr="009F6D1E">
        <w:rPr>
          <w:lang w:val="bg-BG"/>
        </w:rPr>
        <w:t xml:space="preserve"> </w:t>
      </w:r>
      <w:r w:rsidR="00FC32CF" w:rsidRPr="009F6D1E">
        <w:rPr>
          <w:lang w:val="bg-BG"/>
        </w:rPr>
        <w:t>биогаз в съответствие със стратегията на ЕС за метана.</w:t>
      </w:r>
    </w:p>
    <w:p w14:paraId="039896D0" w14:textId="77777777" w:rsidR="006C5C18"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подобряване </w:t>
      </w:r>
      <w:r w:rsidR="00FC32CF" w:rsidRPr="009F6D1E">
        <w:rPr>
          <w:lang w:val="bg-BG"/>
        </w:rPr>
        <w:t>на адаптивността на секторите на селското и горското стопанство към изменението на климата чрез подкрепа на</w:t>
      </w:r>
      <w:r w:rsidR="006C5C18" w:rsidRPr="009F6D1E">
        <w:rPr>
          <w:lang w:val="bg-BG"/>
        </w:rPr>
        <w:t xml:space="preserve"> </w:t>
      </w:r>
      <w:r w:rsidR="00FC32CF" w:rsidRPr="009F6D1E">
        <w:rPr>
          <w:lang w:val="bg-BG"/>
        </w:rPr>
        <w:t>плановете за устойчивост на земеделските стопанства/засушаването; икономии на вода чрез адаптиране на културите,</w:t>
      </w:r>
      <w:r w:rsidR="006C5C18" w:rsidRPr="009F6D1E">
        <w:rPr>
          <w:lang w:val="bg-BG"/>
        </w:rPr>
        <w:t xml:space="preserve"> </w:t>
      </w:r>
      <w:r w:rsidR="00FC32CF" w:rsidRPr="009F6D1E">
        <w:rPr>
          <w:lang w:val="bg-BG"/>
        </w:rPr>
        <w:t>екологосъобразно повторно използване на водата и ефикасни напоителни системи в регионите, които зависят от напояването;</w:t>
      </w:r>
      <w:r w:rsidR="006C5C18" w:rsidRPr="009F6D1E">
        <w:rPr>
          <w:lang w:val="bg-BG"/>
        </w:rPr>
        <w:t xml:space="preserve"> </w:t>
      </w:r>
      <w:r w:rsidR="00FC32CF" w:rsidRPr="009F6D1E">
        <w:rPr>
          <w:lang w:val="bg-BG"/>
        </w:rPr>
        <w:t>оползотворяване/увеличаване на особеностите на ландшафта, като например дървета, позволяващи защита срещу градушки или</w:t>
      </w:r>
      <w:r w:rsidR="006C5C18" w:rsidRPr="009F6D1E">
        <w:rPr>
          <w:lang w:val="bg-BG"/>
        </w:rPr>
        <w:t xml:space="preserve"> </w:t>
      </w:r>
      <w:r w:rsidR="00FC32CF" w:rsidRPr="009F6D1E">
        <w:rPr>
          <w:lang w:val="bg-BG"/>
        </w:rPr>
        <w:t>други екстремни метеорологични явления.</w:t>
      </w:r>
    </w:p>
    <w:p w14:paraId="0FDE558C" w14:textId="77777777" w:rsidR="00E67B35"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принос </w:t>
      </w:r>
      <w:r w:rsidR="00FC32CF" w:rsidRPr="009F6D1E">
        <w:rPr>
          <w:lang w:val="bg-BG"/>
        </w:rPr>
        <w:t>към целта на Зеления пакт на ЕС за зони с високо разнообразие в селскостопанския ландшафт чрез подкрепа за</w:t>
      </w:r>
      <w:r w:rsidR="006C5C18" w:rsidRPr="009F6D1E">
        <w:rPr>
          <w:lang w:val="bg-BG"/>
        </w:rPr>
        <w:t xml:space="preserve"> </w:t>
      </w:r>
      <w:r w:rsidR="00FC32CF" w:rsidRPr="009F6D1E">
        <w:rPr>
          <w:lang w:val="bg-BG"/>
        </w:rPr>
        <w:t>подходящи</w:t>
      </w:r>
      <w:r w:rsidR="006C5C18" w:rsidRPr="009F6D1E">
        <w:rPr>
          <w:lang w:val="bg-BG"/>
        </w:rPr>
        <w:t xml:space="preserve"> </w:t>
      </w:r>
      <w:r w:rsidR="00FC32CF" w:rsidRPr="009F6D1E">
        <w:rPr>
          <w:lang w:val="bg-BG"/>
        </w:rPr>
        <w:t>селскостопански практики, включително създаване и поддържане на особености на ландшафта върху земеделските земи и</w:t>
      </w:r>
      <w:r w:rsidR="006C5C18" w:rsidRPr="009F6D1E">
        <w:rPr>
          <w:lang w:val="bg-BG"/>
        </w:rPr>
        <w:t xml:space="preserve"> </w:t>
      </w:r>
      <w:r w:rsidR="00FC32CF" w:rsidRPr="009F6D1E">
        <w:rPr>
          <w:lang w:val="bg-BG"/>
        </w:rPr>
        <w:t>увеличаване на</w:t>
      </w:r>
      <w:r w:rsidR="006C5C18" w:rsidRPr="009F6D1E">
        <w:rPr>
          <w:lang w:val="bg-BG"/>
        </w:rPr>
        <w:t xml:space="preserve">  </w:t>
      </w:r>
      <w:r w:rsidR="00FC32CF" w:rsidRPr="009F6D1E">
        <w:rPr>
          <w:lang w:val="bg-BG"/>
        </w:rPr>
        <w:t>подкрепата за поддържане и подобряване на земеделските земи с висока природна стойност. Тези усилия следва също така да</w:t>
      </w:r>
      <w:r w:rsidR="006C5C18" w:rsidRPr="009F6D1E">
        <w:rPr>
          <w:lang w:val="bg-BG"/>
        </w:rPr>
        <w:t xml:space="preserve"> </w:t>
      </w:r>
      <w:r w:rsidR="00FC32CF" w:rsidRPr="009F6D1E">
        <w:rPr>
          <w:lang w:val="bg-BG"/>
        </w:rPr>
        <w:t>подпомогнат</w:t>
      </w:r>
      <w:r w:rsidR="00E67B35" w:rsidRPr="009F6D1E">
        <w:rPr>
          <w:lang w:val="bg-BG"/>
        </w:rPr>
        <w:t xml:space="preserve"> възстановяването и поддържането на защитените местообитания и видове, включително тези, посочени в рамката за приоритетни действия (РПД) за финансиране по линия на </w:t>
      </w:r>
      <w:r w:rsidR="00D809BC" w:rsidRPr="009F6D1E">
        <w:rPr>
          <w:lang w:val="bg-BG"/>
        </w:rPr>
        <w:t>РЗСР</w:t>
      </w:r>
      <w:r w:rsidR="00E67B35" w:rsidRPr="009F6D1E">
        <w:rPr>
          <w:lang w:val="bg-BG"/>
        </w:rPr>
        <w:t>.</w:t>
      </w:r>
    </w:p>
    <w:p w14:paraId="5F84A73C"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насърчаване </w:t>
      </w:r>
      <w:r w:rsidR="00E67B35" w:rsidRPr="009F6D1E">
        <w:rPr>
          <w:lang w:val="bg-BG"/>
        </w:rPr>
        <w:t xml:space="preserve">на устойчиво управление на горските земи и залесяването, подобряване на </w:t>
      </w:r>
      <w:proofErr w:type="spellStart"/>
      <w:r w:rsidR="00E67B35" w:rsidRPr="009F6D1E">
        <w:rPr>
          <w:lang w:val="bg-BG"/>
        </w:rPr>
        <w:t>многофункционалността</w:t>
      </w:r>
      <w:proofErr w:type="spellEnd"/>
      <w:r w:rsidR="00E67B35" w:rsidRPr="009F6D1E">
        <w:rPr>
          <w:lang w:val="bg-BG"/>
        </w:rPr>
        <w:t>, защитата на горите и възстановяването на горските екосистеми с цел постигане на добро състояние на местообитанията и видовете, свързани с горите и изграждане на устойчивост на заплахи като въздействието на изменението на климата. За тази цел следва да се насърчават стратегии за управление на горите, които да увеличат максимално видовото, генетичното и структурното разнообразие.</w:t>
      </w:r>
    </w:p>
    <w:p w14:paraId="7F109EA8" w14:textId="32E206D8" w:rsidR="00E67B35"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принос </w:t>
      </w:r>
      <w:r w:rsidR="00205A44" w:rsidRPr="009F6D1E">
        <w:rPr>
          <w:lang w:val="bg-BG"/>
        </w:rPr>
        <w:t>към целта на Зеления пакт на ЕС относно биологичното земеделие чрез подпомагане на преобразуването и поддържането на</w:t>
      </w:r>
      <w:r w:rsidR="00D865C3">
        <w:rPr>
          <w:lang w:val="bg-BG"/>
        </w:rPr>
        <w:t xml:space="preserve"> </w:t>
      </w:r>
      <w:r w:rsidR="00205A44" w:rsidRPr="009F6D1E">
        <w:rPr>
          <w:lang w:val="bg-BG"/>
        </w:rPr>
        <w:t>биологично земеделие в полза на дивата флора и фауна и екосистемите (както и потенциалните икономически печалби).</w:t>
      </w:r>
    </w:p>
    <w:p w14:paraId="3BA38885" w14:textId="77777777" w:rsidR="00205A44" w:rsidRPr="009F6D1E" w:rsidRDefault="00205A44" w:rsidP="0084747F">
      <w:pPr>
        <w:widowControl w:val="0"/>
        <w:numPr>
          <w:ilvl w:val="0"/>
          <w:numId w:val="5"/>
        </w:numPr>
        <w:tabs>
          <w:tab w:val="left" w:pos="720"/>
          <w:tab w:val="left" w:pos="1080"/>
        </w:tabs>
        <w:spacing w:after="60" w:line="264" w:lineRule="auto"/>
        <w:ind w:firstLine="720"/>
        <w:jc w:val="both"/>
        <w:rPr>
          <w:rFonts w:eastAsia="Times New Roman" w:cs="Times New Roman"/>
          <w:b/>
          <w:bCs/>
          <w:i/>
          <w:iCs/>
          <w:szCs w:val="24"/>
          <w:lang w:eastAsia="bg-BG" w:bidi="bg-BG"/>
        </w:rPr>
      </w:pPr>
      <w:r w:rsidRPr="009F6D1E">
        <w:rPr>
          <w:rFonts w:eastAsia="Times New Roman" w:cs="Times New Roman"/>
          <w:b/>
          <w:bCs/>
          <w:i/>
          <w:iCs/>
          <w:szCs w:val="24"/>
          <w:lang w:eastAsia="bg-BG" w:bidi="bg-BG"/>
        </w:rPr>
        <w:t>Укрепване на социално-икономическата структура на селските райони и решаване на социалните проблеми</w:t>
      </w:r>
    </w:p>
    <w:p w14:paraId="0BB928F7"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създаване </w:t>
      </w:r>
      <w:r w:rsidR="00205A44" w:rsidRPr="009F6D1E">
        <w:rPr>
          <w:lang w:val="bg-BG"/>
        </w:rPr>
        <w:t>на възможности за заетост и подобряване на условията за развитие на стопанска дейност в селските райони чрез целенасочени инвестиции в биоикономиката, горското стопанство, подобряването на широколентовата мрежа от ново поколение (NGA) и подобряване на достъпа до финансиране за новите участници и младите земеделски стопани.</w:t>
      </w:r>
    </w:p>
    <w:p w14:paraId="59654C9E"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намаляване </w:t>
      </w:r>
      <w:r w:rsidR="00205A44" w:rsidRPr="009F6D1E">
        <w:rPr>
          <w:lang w:val="bg-BG"/>
        </w:rPr>
        <w:t xml:space="preserve">на бедността, обезлюдяването и социалното изключване в селските райони чрез продължаване на подкрепата за стратегически дългосрочни инвестиции в инфраструктура (например пътищата и канализационните системи в селските райони) и услуги (свързани с предоставяне на медицински грижи, образование и свободно време). </w:t>
      </w:r>
      <w:r w:rsidR="00205A44" w:rsidRPr="009F6D1E">
        <w:rPr>
          <w:lang w:val="bg-BG"/>
        </w:rPr>
        <w:lastRenderedPageBreak/>
        <w:t>Цялата тази подкрепа следва да отчита динамично променящата се ситуация в тези райони и възможното взаимодействие с други европейски и национални фондове.</w:t>
      </w:r>
    </w:p>
    <w:p w14:paraId="1E392EC7"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принос </w:t>
      </w:r>
      <w:r w:rsidR="00205A44" w:rsidRPr="009F6D1E">
        <w:rPr>
          <w:lang w:val="bg-BG"/>
        </w:rPr>
        <w:t xml:space="preserve">за постигането на целта на Зеления пакт на ЕС относно продажбите на антимикробни средства чрез полагане на значителни усилия за чувствително намаляване на употребата на антимикробни средства в животновъдството, като се има предвид, че продажбите в България са над средното за ЕС, чрез използване на всички налични инструменти, включително инструментите по </w:t>
      </w:r>
      <w:r w:rsidR="00D809BC" w:rsidRPr="009F6D1E">
        <w:rPr>
          <w:lang w:val="bg-BG"/>
        </w:rPr>
        <w:t>РЗСР</w:t>
      </w:r>
      <w:r w:rsidR="00205A44" w:rsidRPr="009F6D1E">
        <w:rPr>
          <w:lang w:val="bg-BG"/>
        </w:rPr>
        <w:t>, с цел подпомагане на земеделските стопани, като например насърчаване на най-добрите практики за намаляване и разумна употреба на антимикробни средства, заедно с подобряване на управлението на животновъдството, биологичната сигурност, профилактиката и контрола на инфекциите.</w:t>
      </w:r>
    </w:p>
    <w:p w14:paraId="12C458EB"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значително </w:t>
      </w:r>
      <w:r w:rsidR="00205A44" w:rsidRPr="009F6D1E">
        <w:rPr>
          <w:lang w:val="bg-BG"/>
        </w:rPr>
        <w:t>подобряване на биологичната сигурност и хуманното отношение към животните чрез подпомагане на подобряването на практиките за управление на животновъдството, особено по отношение на свинете, и чрез насърчаване на най- добрите практики за подобряване на отглеждането на животните, профилактиката и контрола на инфекциите.</w:t>
      </w:r>
    </w:p>
    <w:p w14:paraId="1193F3EF" w14:textId="77777777" w:rsidR="00205A44"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принос </w:t>
      </w:r>
      <w:r w:rsidR="00205A44" w:rsidRPr="009F6D1E">
        <w:rPr>
          <w:lang w:val="bg-BG"/>
        </w:rPr>
        <w:t>към целите на Зеления пакт на ЕС относно пестицидите чрез увеличаване на усилията за намаляване на количествата най-опасни използвани пестициди, както и рисковете, свързани с тях, и чрез насърчаване на устойчивото използване на пестициди, по-специално като се гарантира въвеждането на практики за интегрирано управление на вредителите.</w:t>
      </w:r>
    </w:p>
    <w:p w14:paraId="7401D304" w14:textId="77777777" w:rsidR="00CF13F7" w:rsidRPr="009F6D1E" w:rsidRDefault="00CF13F7" w:rsidP="0084747F">
      <w:pPr>
        <w:widowControl w:val="0"/>
        <w:numPr>
          <w:ilvl w:val="0"/>
          <w:numId w:val="5"/>
        </w:numPr>
        <w:tabs>
          <w:tab w:val="left" w:pos="720"/>
          <w:tab w:val="left" w:pos="1080"/>
        </w:tabs>
        <w:spacing w:after="60" w:line="264" w:lineRule="auto"/>
        <w:ind w:firstLine="720"/>
        <w:jc w:val="both"/>
        <w:rPr>
          <w:rFonts w:eastAsia="Times New Roman" w:cs="Times New Roman"/>
          <w:b/>
          <w:bCs/>
          <w:i/>
          <w:iCs/>
          <w:szCs w:val="24"/>
          <w:lang w:eastAsia="bg-BG" w:bidi="bg-BG"/>
        </w:rPr>
      </w:pPr>
      <w:r w:rsidRPr="009F6D1E">
        <w:rPr>
          <w:rFonts w:eastAsia="Times New Roman" w:cs="Times New Roman"/>
          <w:b/>
          <w:bCs/>
          <w:i/>
          <w:iCs/>
          <w:szCs w:val="24"/>
          <w:lang w:eastAsia="bg-BG" w:bidi="bg-BG"/>
        </w:rPr>
        <w:t>Стимулиране и споделяне на знанията, иновациите и цифровизацията в селското стопанство и селските райони и насърчаване на използването им в по-голяма степен</w:t>
      </w:r>
    </w:p>
    <w:p w14:paraId="05092D54" w14:textId="77777777" w:rsidR="00CF13F7"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принос </w:t>
      </w:r>
      <w:r w:rsidR="00CF13F7" w:rsidRPr="009F6D1E">
        <w:rPr>
          <w:lang w:val="bg-BG"/>
        </w:rPr>
        <w:t>към целта на Зеления пакт на ЕС относно широколентовата мрежа чрез своевременно извършване на инвестициите във връзка със 100 % покритие на селските райони с високоскоростна широколентова мрежа, като същевременно се ускори развитието на цифровите знания и умения в селските райони и селското стопанство. При изпълнението на тази препоръка следва да се осигури взаимодействие с наличното финансиране от други европейски и национални фондове.</w:t>
      </w:r>
    </w:p>
    <w:p w14:paraId="4C1CA025" w14:textId="2DF1F3C3" w:rsidR="00573C31" w:rsidRPr="009F6D1E" w:rsidRDefault="00B7645A"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 справяне </w:t>
      </w:r>
      <w:r w:rsidR="00CF13F7" w:rsidRPr="009F6D1E">
        <w:rPr>
          <w:lang w:val="bg-BG"/>
        </w:rPr>
        <w:t>с разпокъсаността на системата за трансфер на знания и иновации в селското стопанство чрез използване на интервенции, насочени към укрепване на консултантските услуги и тяхното свързване, включително с другите компоненти на системата за ТЗИСС, насърчаване на изграждането на знания и обмена на знания, инвестиране в услуги за подкрепа на иновациите и обучение на консултанти и земеделски стопани. Това би увеличило използването на устойчиви селскостопански практики, равнището на цифровизация и съвместното създаване на иновации, които могат да насърчат екологичната устойчивост и конкурент</w:t>
      </w:r>
      <w:r w:rsidR="00D865C3">
        <w:rPr>
          <w:lang w:val="bg-BG"/>
        </w:rPr>
        <w:t>осп</w:t>
      </w:r>
      <w:r w:rsidR="00CF13F7" w:rsidRPr="009F6D1E">
        <w:rPr>
          <w:lang w:val="bg-BG"/>
        </w:rPr>
        <w:t>особността на селскостопанския сектор.</w:t>
      </w:r>
    </w:p>
    <w:p w14:paraId="013880DD" w14:textId="77777777" w:rsidR="00CF13F7" w:rsidRPr="009F6D1E" w:rsidRDefault="00CD4045" w:rsidP="0084747F">
      <w:pPr>
        <w:spacing w:after="60" w:line="264" w:lineRule="auto"/>
        <w:ind w:firstLine="708"/>
        <w:jc w:val="both"/>
        <w:rPr>
          <w:rFonts w:cs="Times New Roman"/>
          <w:szCs w:val="24"/>
        </w:rPr>
      </w:pPr>
      <w:r w:rsidRPr="009F6D1E">
        <w:rPr>
          <w:rFonts w:cs="Times New Roman"/>
          <w:szCs w:val="24"/>
        </w:rPr>
        <w:t>СПРЗСР</w:t>
      </w:r>
      <w:r w:rsidR="00CF13F7" w:rsidRPr="009F6D1E">
        <w:rPr>
          <w:rFonts w:cs="Times New Roman"/>
          <w:szCs w:val="24"/>
        </w:rPr>
        <w:t xml:space="preserve"> е </w:t>
      </w:r>
      <w:r w:rsidR="000C2AE9" w:rsidRPr="009F6D1E">
        <w:rPr>
          <w:rFonts w:cs="Times New Roman"/>
          <w:szCs w:val="24"/>
        </w:rPr>
        <w:t>изцяло базиран на п</w:t>
      </w:r>
      <w:r w:rsidR="00CF13F7" w:rsidRPr="009F6D1E">
        <w:rPr>
          <w:rFonts w:cs="Times New Roman"/>
          <w:szCs w:val="24"/>
        </w:rPr>
        <w:t xml:space="preserve">репоръките </w:t>
      </w:r>
      <w:r w:rsidR="000C2AE9" w:rsidRPr="009F6D1E">
        <w:rPr>
          <w:rFonts w:cs="Times New Roman"/>
          <w:szCs w:val="24"/>
        </w:rPr>
        <w:t>на ЕК</w:t>
      </w:r>
      <w:r w:rsidR="00CF13F7" w:rsidRPr="009F6D1E">
        <w:rPr>
          <w:rFonts w:cs="Times New Roman"/>
          <w:szCs w:val="24"/>
        </w:rPr>
        <w:t xml:space="preserve">, като анализът е представен в точка </w:t>
      </w:r>
      <w:r w:rsidR="00D5130D" w:rsidRPr="009F6D1E">
        <w:rPr>
          <w:rFonts w:cs="Times New Roman"/>
          <w:szCs w:val="24"/>
        </w:rPr>
        <w:t>7</w:t>
      </w:r>
      <w:r w:rsidR="00CF13F7" w:rsidRPr="009F6D1E">
        <w:rPr>
          <w:rFonts w:cs="Times New Roman"/>
          <w:szCs w:val="24"/>
        </w:rPr>
        <w:t>.1. от ДЕО</w:t>
      </w:r>
      <w:r w:rsidR="000C2AE9" w:rsidRPr="009F6D1E">
        <w:rPr>
          <w:rFonts w:cs="Times New Roman"/>
          <w:szCs w:val="24"/>
        </w:rPr>
        <w:t>.</w:t>
      </w:r>
    </w:p>
    <w:p w14:paraId="6FB45475" w14:textId="77777777" w:rsidR="00573C31" w:rsidRPr="009F6D1E" w:rsidRDefault="00573C31" w:rsidP="0084747F">
      <w:pPr>
        <w:spacing w:after="60" w:line="264" w:lineRule="auto"/>
        <w:ind w:firstLine="708"/>
        <w:jc w:val="both"/>
        <w:rPr>
          <w:rFonts w:cs="Times New Roman"/>
          <w:szCs w:val="24"/>
        </w:rPr>
      </w:pPr>
    </w:p>
    <w:p w14:paraId="7418F2DB" w14:textId="77777777" w:rsidR="00B25F93" w:rsidRPr="009F6D1E" w:rsidRDefault="00B25F93">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 xml:space="preserve">Съобщение на </w:t>
      </w:r>
      <w:bookmarkStart w:id="94" w:name="_Hlk106111086"/>
      <w:r w:rsidRPr="009F6D1E">
        <w:rPr>
          <w:b/>
          <w:bCs/>
          <w:smallCaps w:val="0"/>
          <w:color w:val="262626" w:themeColor="text1" w:themeTint="D9"/>
          <w:lang w:eastAsia="en-US" w:bidi="ar-SA"/>
        </w:rPr>
        <w:t xml:space="preserve">Европейската комисия за Европейски зелен пакт </w:t>
      </w:r>
      <w:r w:rsidRPr="009F6D1E">
        <w:rPr>
          <w:b/>
          <w:bCs/>
          <w:smallCaps w:val="0"/>
          <w:color w:val="262626" w:themeColor="text1" w:themeTint="D9"/>
          <w:vertAlign w:val="superscript"/>
          <w:lang w:eastAsia="en-US" w:bidi="ar-SA"/>
        </w:rPr>
        <w:footnoteReference w:id="5"/>
      </w:r>
    </w:p>
    <w:bookmarkEnd w:id="94"/>
    <w:p w14:paraId="7C29A594" w14:textId="77777777" w:rsidR="0094794D" w:rsidRPr="009F6D1E" w:rsidRDefault="0094794D" w:rsidP="0084747F">
      <w:pPr>
        <w:spacing w:after="60" w:line="264" w:lineRule="auto"/>
        <w:ind w:firstLine="720"/>
        <w:jc w:val="both"/>
        <w:rPr>
          <w:rFonts w:cs="Times New Roman"/>
          <w:szCs w:val="24"/>
        </w:rPr>
      </w:pPr>
    </w:p>
    <w:p w14:paraId="64C21FDD" w14:textId="732B93D3" w:rsidR="00B25F93" w:rsidRPr="009F6D1E" w:rsidRDefault="00B25F93" w:rsidP="0084747F">
      <w:pPr>
        <w:spacing w:after="60" w:line="264" w:lineRule="auto"/>
        <w:ind w:firstLine="720"/>
        <w:jc w:val="both"/>
        <w:rPr>
          <w:rFonts w:cs="Times New Roman"/>
          <w:szCs w:val="24"/>
        </w:rPr>
      </w:pPr>
      <w:r w:rsidRPr="009F6D1E">
        <w:rPr>
          <w:rFonts w:cs="Times New Roman"/>
          <w:szCs w:val="24"/>
        </w:rPr>
        <w:t xml:space="preserve">Съгласно документа, изменението на климата и влошаването на състоянието на  околната среда са </w:t>
      </w:r>
      <w:r w:rsidRPr="009F6D1E">
        <w:rPr>
          <w:rFonts w:eastAsia="Times New Roman" w:cs="Times New Roman"/>
          <w:szCs w:val="24"/>
        </w:rPr>
        <w:t>заплаха</w:t>
      </w:r>
      <w:r w:rsidRPr="009F6D1E">
        <w:rPr>
          <w:rFonts w:cs="Times New Roman"/>
          <w:szCs w:val="24"/>
        </w:rPr>
        <w:t xml:space="preserve"> за самото съществуване на Европа и света. За да преодолее тези  предизвикателства, Европа се нуждае от нова стратегия за растеж, насочена към превръщането на Съюза в модерна, ефективно използваща ресурсите и конкурент</w:t>
      </w:r>
      <w:r w:rsidR="00D865C3">
        <w:rPr>
          <w:rFonts w:cs="Times New Roman"/>
          <w:szCs w:val="24"/>
        </w:rPr>
        <w:t>осп</w:t>
      </w:r>
      <w:r w:rsidRPr="009F6D1E">
        <w:rPr>
          <w:rFonts w:cs="Times New Roman"/>
          <w:szCs w:val="24"/>
        </w:rPr>
        <w:t>особна икономика, в която:</w:t>
      </w:r>
    </w:p>
    <w:p w14:paraId="064D604B" w14:textId="77777777" w:rsidR="00B25F93"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До </w:t>
      </w:r>
      <w:r w:rsidR="00B25F93" w:rsidRPr="009F6D1E">
        <w:rPr>
          <w:rFonts w:eastAsia="Times New Roman" w:cs="Times New Roman"/>
          <w:szCs w:val="24"/>
          <w:lang w:eastAsia="bg-BG" w:bidi="bg-BG"/>
        </w:rPr>
        <w:t>2050 г. няма нетни емисии на парникови газове;</w:t>
      </w:r>
    </w:p>
    <w:p w14:paraId="6173CC26" w14:textId="77777777" w:rsidR="00B25F93"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Икономическият </w:t>
      </w:r>
      <w:r w:rsidR="00B25F93" w:rsidRPr="009F6D1E">
        <w:rPr>
          <w:rFonts w:eastAsia="Times New Roman" w:cs="Times New Roman"/>
          <w:szCs w:val="24"/>
          <w:lang w:eastAsia="bg-BG" w:bidi="bg-BG"/>
        </w:rPr>
        <w:t>растеж не зависи от използването на ресурси;</w:t>
      </w:r>
    </w:p>
    <w:p w14:paraId="326BC2C5" w14:textId="77777777" w:rsidR="00B25F93"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Никое </w:t>
      </w:r>
      <w:r w:rsidR="00B25F93" w:rsidRPr="009F6D1E">
        <w:rPr>
          <w:rFonts w:eastAsia="Times New Roman" w:cs="Times New Roman"/>
          <w:szCs w:val="24"/>
          <w:lang w:eastAsia="bg-BG" w:bidi="bg-BG"/>
        </w:rPr>
        <w:t>лице или регион не са пренебрегнати.</w:t>
      </w:r>
    </w:p>
    <w:p w14:paraId="6B1BC7CC" w14:textId="77777777" w:rsidR="00B25F93" w:rsidRPr="009F6D1E" w:rsidRDefault="00B25F93" w:rsidP="0084747F">
      <w:pPr>
        <w:spacing w:after="60" w:line="264" w:lineRule="auto"/>
        <w:ind w:firstLine="426"/>
        <w:rPr>
          <w:rFonts w:cs="Times New Roman"/>
          <w:szCs w:val="24"/>
        </w:rPr>
      </w:pPr>
      <w:r w:rsidRPr="009F6D1E">
        <w:rPr>
          <w:rFonts w:cs="Times New Roman"/>
          <w:szCs w:val="24"/>
        </w:rPr>
        <w:t>Европейският зелен пакт предоставя план за действие за:</w:t>
      </w:r>
    </w:p>
    <w:p w14:paraId="23CCBAD9" w14:textId="77777777" w:rsidR="00B25F93"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Повишаване </w:t>
      </w:r>
      <w:r w:rsidR="00B25F93" w:rsidRPr="009F6D1E">
        <w:rPr>
          <w:rFonts w:eastAsia="Times New Roman" w:cs="Times New Roman"/>
          <w:szCs w:val="24"/>
          <w:lang w:eastAsia="bg-BG" w:bidi="bg-BG"/>
        </w:rPr>
        <w:t>на ефективното използване на ресурсите чрез преминаване към чиста, кръгова икономика и</w:t>
      </w:r>
    </w:p>
    <w:p w14:paraId="0028D34E" w14:textId="77777777" w:rsidR="00B25F93"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Възстановяване </w:t>
      </w:r>
      <w:r w:rsidR="00B25F93" w:rsidRPr="009F6D1E">
        <w:rPr>
          <w:rFonts w:eastAsia="Times New Roman" w:cs="Times New Roman"/>
          <w:szCs w:val="24"/>
          <w:lang w:eastAsia="bg-BG" w:bidi="bg-BG"/>
        </w:rPr>
        <w:t>на биологичното разнообразие и намаляване на замърсяването.</w:t>
      </w:r>
    </w:p>
    <w:p w14:paraId="393EFADA" w14:textId="77777777" w:rsidR="00B25F93" w:rsidRPr="009F6D1E" w:rsidRDefault="00B25F93" w:rsidP="0084747F">
      <w:pPr>
        <w:spacing w:after="60" w:line="264" w:lineRule="auto"/>
        <w:ind w:firstLine="709"/>
        <w:jc w:val="both"/>
        <w:rPr>
          <w:rFonts w:cs="Times New Roman"/>
          <w:szCs w:val="24"/>
        </w:rPr>
      </w:pPr>
      <w:bookmarkStart w:id="95" w:name="_Hlk95226084"/>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w:t>
      </w:r>
      <w:r w:rsidR="00BD21F6" w:rsidRPr="009F6D1E">
        <w:rPr>
          <w:rFonts w:cs="Times New Roman"/>
          <w:szCs w:val="24"/>
        </w:rPr>
        <w:t>специфични цели, потребности и интервенции</w:t>
      </w:r>
      <w:r w:rsidRPr="009F6D1E">
        <w:rPr>
          <w:rFonts w:cs="Times New Roman"/>
          <w:szCs w:val="24"/>
        </w:rPr>
        <w:t xml:space="preserve">, са съобразени с основните принципи на Европейския зелен пакт и не влизат в противоречие с него, като анализът е представен в точка </w:t>
      </w:r>
      <w:r w:rsidR="00D5130D" w:rsidRPr="009F6D1E">
        <w:rPr>
          <w:rFonts w:cs="Times New Roman"/>
          <w:szCs w:val="24"/>
        </w:rPr>
        <w:t>7</w:t>
      </w:r>
      <w:r w:rsidRPr="009F6D1E">
        <w:rPr>
          <w:rFonts w:cs="Times New Roman"/>
          <w:szCs w:val="24"/>
        </w:rPr>
        <w:t>.1. от ДЕО.</w:t>
      </w:r>
    </w:p>
    <w:p w14:paraId="402A5AC8" w14:textId="77777777" w:rsidR="00B25F93" w:rsidRPr="009F6D1E" w:rsidRDefault="00B25F93" w:rsidP="0084747F">
      <w:pPr>
        <w:spacing w:after="60" w:line="264" w:lineRule="auto"/>
        <w:ind w:firstLine="709"/>
        <w:jc w:val="both"/>
        <w:rPr>
          <w:rFonts w:cs="Times New Roman"/>
          <w:szCs w:val="24"/>
        </w:rPr>
      </w:pPr>
    </w:p>
    <w:bookmarkEnd w:id="95"/>
    <w:p w14:paraId="33E98DDD" w14:textId="77777777" w:rsidR="00B25F93" w:rsidRPr="009F6D1E" w:rsidRDefault="00B25F93">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Съобщение на Европейската комисия „Стратегия „От фермата до трапезата“ за справедлива, здравословна и екологосъобразна продоволствена система“, COM(2020) 381  </w:t>
      </w:r>
      <w:r w:rsidRPr="009F6D1E">
        <w:rPr>
          <w:b/>
          <w:bCs/>
          <w:smallCaps w:val="0"/>
          <w:color w:val="262626" w:themeColor="text1" w:themeTint="D9"/>
          <w:vertAlign w:val="superscript"/>
          <w:lang w:eastAsia="en-US" w:bidi="ar-SA"/>
        </w:rPr>
        <w:footnoteReference w:id="6"/>
      </w:r>
    </w:p>
    <w:p w14:paraId="21F41DA5" w14:textId="77777777" w:rsidR="0094794D" w:rsidRPr="009F6D1E" w:rsidRDefault="0094794D" w:rsidP="0084747F">
      <w:pPr>
        <w:spacing w:after="60" w:line="264" w:lineRule="auto"/>
        <w:ind w:firstLine="709"/>
        <w:contextualSpacing/>
        <w:jc w:val="both"/>
        <w:rPr>
          <w:rFonts w:cs="Times New Roman"/>
          <w:bCs/>
          <w:iCs/>
          <w:szCs w:val="24"/>
        </w:rPr>
      </w:pPr>
    </w:p>
    <w:p w14:paraId="2D220BEC" w14:textId="67825930" w:rsidR="00B25F93" w:rsidRPr="009F6D1E" w:rsidRDefault="00B25F93" w:rsidP="0084747F">
      <w:pPr>
        <w:spacing w:after="60" w:line="264" w:lineRule="auto"/>
        <w:ind w:firstLine="709"/>
        <w:contextualSpacing/>
        <w:jc w:val="both"/>
        <w:rPr>
          <w:rFonts w:cs="Times New Roman"/>
          <w:bCs/>
          <w:iCs/>
          <w:szCs w:val="24"/>
        </w:rPr>
      </w:pPr>
      <w:r w:rsidRPr="009F6D1E">
        <w:rPr>
          <w:rFonts w:cs="Times New Roman"/>
          <w:bCs/>
          <w:iCs/>
          <w:szCs w:val="24"/>
        </w:rPr>
        <w:t>Със </w:t>
      </w:r>
      <w:hyperlink r:id="rId14" w:tgtFrame="_blank" w:history="1">
        <w:r w:rsidRPr="009F6D1E">
          <w:rPr>
            <w:rFonts w:cs="Times New Roman"/>
            <w:bCs/>
            <w:iCs/>
            <w:szCs w:val="24"/>
          </w:rPr>
          <w:t>стратегията “От фермата до трапезата</w:t>
        </w:r>
      </w:hyperlink>
      <w:r w:rsidRPr="009F6D1E">
        <w:rPr>
          <w:rFonts w:cs="Times New Roman"/>
          <w:bCs/>
          <w:iCs/>
          <w:szCs w:val="24"/>
        </w:rPr>
        <w:t>”, Европейската комисия предлага модернизиране на хранителните вериги с цел осигуряване на безопасни храни и защита на хората и природата.</w:t>
      </w:r>
    </w:p>
    <w:p w14:paraId="0E30336E" w14:textId="77777777" w:rsidR="00B25F93" w:rsidRPr="009F6D1E" w:rsidRDefault="00B25F93" w:rsidP="0084747F">
      <w:pPr>
        <w:spacing w:after="60" w:line="264" w:lineRule="auto"/>
        <w:ind w:firstLine="709"/>
        <w:contextualSpacing/>
        <w:jc w:val="both"/>
        <w:rPr>
          <w:rFonts w:cs="Times New Roman"/>
          <w:bCs/>
          <w:iCs/>
          <w:szCs w:val="24"/>
        </w:rPr>
      </w:pPr>
      <w:r w:rsidRPr="009F6D1E">
        <w:rPr>
          <w:rFonts w:cs="Times New Roman"/>
          <w:bCs/>
          <w:iCs/>
          <w:szCs w:val="24"/>
        </w:rPr>
        <w:t>Стратегията обхваща цялата верига на доставки на храни и изгражда рамка за серия от законодателни предложения, които се очакват от Комисията. Те включват промени в правилата за пестицидите и отношението към животните, мерки за намаляване на хранителните отпадъци и за етикетирането на храни, инициатива за улавяне на въглероден диоксид в земеделието и реформа на селскостопанската политика на ЕС.</w:t>
      </w:r>
    </w:p>
    <w:p w14:paraId="6A31BC81" w14:textId="77777777" w:rsidR="00B25F93" w:rsidRPr="009F6D1E" w:rsidRDefault="00B25F93" w:rsidP="0084747F">
      <w:pPr>
        <w:spacing w:after="60" w:line="264" w:lineRule="auto"/>
        <w:ind w:firstLine="709"/>
        <w:contextualSpacing/>
        <w:jc w:val="both"/>
        <w:rPr>
          <w:rFonts w:cs="Times New Roman"/>
          <w:bCs/>
          <w:iCs/>
          <w:szCs w:val="24"/>
        </w:rPr>
      </w:pPr>
      <w:r w:rsidRPr="009F6D1E">
        <w:rPr>
          <w:rFonts w:cs="Times New Roman"/>
          <w:bCs/>
          <w:iCs/>
          <w:szCs w:val="24"/>
        </w:rPr>
        <w:t>Цели в стратегията за 2030 г.</w:t>
      </w:r>
    </w:p>
    <w:p w14:paraId="11198DE3"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50% намаление на използването на пестициди</w:t>
      </w:r>
    </w:p>
    <w:p w14:paraId="1C64FBF5"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Поне 20% намаление на използването на изкуствени торове</w:t>
      </w:r>
    </w:p>
    <w:p w14:paraId="6922AC36"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50% намаление на продажбите на антимикробни средства за селскостопанските животни</w:t>
      </w:r>
    </w:p>
    <w:p w14:paraId="72357505"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cs="Times New Roman"/>
          <w:bCs/>
          <w:iCs/>
          <w:szCs w:val="24"/>
        </w:rPr>
      </w:pPr>
      <w:r w:rsidRPr="009F6D1E">
        <w:rPr>
          <w:rFonts w:eastAsia="Times New Roman" w:cs="Times New Roman"/>
          <w:szCs w:val="24"/>
          <w:lang w:eastAsia="bg-BG" w:bidi="bg-BG"/>
        </w:rPr>
        <w:t>25% от земеделската</w:t>
      </w:r>
      <w:r w:rsidRPr="009F6D1E">
        <w:rPr>
          <w:rFonts w:cs="Times New Roman"/>
          <w:bCs/>
          <w:iCs/>
          <w:szCs w:val="24"/>
        </w:rPr>
        <w:t xml:space="preserve"> земя да бъде обработвана по правилата за био земеделие</w:t>
      </w:r>
    </w:p>
    <w:p w14:paraId="07D7461E" w14:textId="69D2EE66" w:rsidR="00B25F93" w:rsidRPr="009F6D1E" w:rsidRDefault="00B25F93" w:rsidP="0084747F">
      <w:pPr>
        <w:spacing w:after="60" w:line="264" w:lineRule="auto"/>
        <w:ind w:firstLine="709"/>
        <w:contextualSpacing/>
        <w:jc w:val="both"/>
        <w:rPr>
          <w:rFonts w:cs="Times New Roman"/>
          <w:bCs/>
          <w:iCs/>
          <w:szCs w:val="24"/>
        </w:rPr>
      </w:pPr>
      <w:r w:rsidRPr="009F6D1E">
        <w:rPr>
          <w:rFonts w:cs="Times New Roman"/>
          <w:bCs/>
          <w:iCs/>
          <w:szCs w:val="24"/>
        </w:rPr>
        <w:lastRenderedPageBreak/>
        <w:t>Стратегията "От фермата до трапезата" е част от Европейския зелен пакт, който цели да направи ЕС неутрален спрямо климата до 2050 г. Тя е също така тясно свързана със стратегията на ЕС за опазване на биоразно</w:t>
      </w:r>
      <w:r w:rsidR="00D865C3">
        <w:rPr>
          <w:rFonts w:cs="Times New Roman"/>
          <w:bCs/>
          <w:iCs/>
          <w:szCs w:val="24"/>
        </w:rPr>
        <w:t>о</w:t>
      </w:r>
      <w:r w:rsidRPr="009F6D1E">
        <w:rPr>
          <w:rFonts w:cs="Times New Roman"/>
          <w:bCs/>
          <w:iCs/>
          <w:szCs w:val="24"/>
        </w:rPr>
        <w:t>бразието и новите правила за Общата селскостопанска политика.</w:t>
      </w:r>
    </w:p>
    <w:p w14:paraId="68A9A5C4" w14:textId="77777777" w:rsidR="007A5455" w:rsidRPr="009F6D1E" w:rsidRDefault="007A5455" w:rsidP="0084747F">
      <w:pPr>
        <w:spacing w:after="60" w:line="264" w:lineRule="auto"/>
        <w:ind w:firstLine="709"/>
        <w:jc w:val="both"/>
        <w:rPr>
          <w:rFonts w:cs="Times New Roman"/>
          <w:szCs w:val="24"/>
        </w:rPr>
      </w:pPr>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специфични цели, потребности и интервенции, са съобразени с основните принципи на Стратегията и не влизат в противоречие с нея, като анализът е представен в точка </w:t>
      </w:r>
      <w:r w:rsidR="00D5130D" w:rsidRPr="009F6D1E">
        <w:rPr>
          <w:rFonts w:cs="Times New Roman"/>
          <w:szCs w:val="24"/>
        </w:rPr>
        <w:t>7</w:t>
      </w:r>
      <w:r w:rsidRPr="009F6D1E">
        <w:rPr>
          <w:rFonts w:cs="Times New Roman"/>
          <w:szCs w:val="24"/>
        </w:rPr>
        <w:t>.1. от ДЕО .</w:t>
      </w:r>
    </w:p>
    <w:p w14:paraId="4F494B3C" w14:textId="77777777" w:rsidR="00B25F93" w:rsidRPr="009F6D1E" w:rsidRDefault="00B25F93" w:rsidP="0084747F">
      <w:pPr>
        <w:spacing w:after="60" w:line="264" w:lineRule="auto"/>
        <w:ind w:firstLine="709"/>
        <w:jc w:val="both"/>
        <w:rPr>
          <w:rFonts w:cs="Times New Roman"/>
          <w:bCs/>
          <w:iCs/>
          <w:szCs w:val="24"/>
        </w:rPr>
      </w:pPr>
    </w:p>
    <w:p w14:paraId="49D82060" w14:textId="77777777" w:rsidR="00B25F93" w:rsidRPr="009F6D1E" w:rsidRDefault="00B25F93">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Стратегия на ЕС за биологичното разнообразие до 2030 г.</w:t>
      </w:r>
      <w:r w:rsidRPr="009F6D1E">
        <w:rPr>
          <w:b/>
          <w:bCs/>
          <w:smallCaps w:val="0"/>
          <w:color w:val="262626" w:themeColor="text1" w:themeTint="D9"/>
          <w:vertAlign w:val="superscript"/>
          <w:lang w:eastAsia="en-US" w:bidi="ar-SA"/>
        </w:rPr>
        <w:footnoteReference w:id="7"/>
      </w:r>
    </w:p>
    <w:p w14:paraId="035EEC14" w14:textId="77777777" w:rsidR="0094794D" w:rsidRPr="009F6D1E" w:rsidRDefault="0094794D" w:rsidP="0084747F">
      <w:pPr>
        <w:spacing w:after="60" w:line="264" w:lineRule="auto"/>
        <w:ind w:firstLine="720"/>
        <w:jc w:val="both"/>
        <w:rPr>
          <w:rFonts w:cs="Times New Roman"/>
          <w:szCs w:val="24"/>
        </w:rPr>
      </w:pPr>
    </w:p>
    <w:p w14:paraId="6B936FA3" w14:textId="77777777" w:rsidR="00B25F93" w:rsidRPr="009F6D1E" w:rsidRDefault="00B25F93" w:rsidP="0084747F">
      <w:pPr>
        <w:spacing w:after="60" w:line="264" w:lineRule="auto"/>
        <w:ind w:firstLine="720"/>
        <w:jc w:val="both"/>
        <w:rPr>
          <w:rFonts w:cs="Times New Roman"/>
          <w:szCs w:val="24"/>
        </w:rPr>
      </w:pPr>
      <w:r w:rsidRPr="009F6D1E">
        <w:rPr>
          <w:rFonts w:cs="Times New Roman"/>
          <w:szCs w:val="24"/>
        </w:rPr>
        <w:t xml:space="preserve">В стратегията се разглеждат петте основни фактора за загубата на биологично разнообразие (промени в </w:t>
      </w:r>
      <w:proofErr w:type="spellStart"/>
      <w:r w:rsidRPr="009F6D1E">
        <w:rPr>
          <w:rFonts w:cs="Times New Roman"/>
          <w:szCs w:val="24"/>
        </w:rPr>
        <w:t>земеползването</w:t>
      </w:r>
      <w:proofErr w:type="spellEnd"/>
      <w:r w:rsidRPr="009F6D1E">
        <w:rPr>
          <w:rFonts w:cs="Times New Roman"/>
          <w:szCs w:val="24"/>
        </w:rPr>
        <w:t xml:space="preserve"> и </w:t>
      </w:r>
      <w:proofErr w:type="spellStart"/>
      <w:r w:rsidRPr="009F6D1E">
        <w:rPr>
          <w:rFonts w:cs="Times New Roman"/>
          <w:szCs w:val="24"/>
        </w:rPr>
        <w:t>мореползването</w:t>
      </w:r>
      <w:proofErr w:type="spellEnd"/>
      <w:r w:rsidRPr="009F6D1E">
        <w:rPr>
          <w:rFonts w:cs="Times New Roman"/>
          <w:szCs w:val="24"/>
        </w:rPr>
        <w:t>, прекомерна експлоатация, изменение на климата, замърсяване и инвазивни чужди видове), определя се по-ефективна рамка за управление, насочена към отстраняване на оставащите пропуски, гарантира се цялостно прилагане на законодателството на ЕС и се обединяват всички съществуващи действия. Приемайки за база основната амбициозна цел, според която до 2050 г. всички екосистеми в света трябва да бъдат възстановени, устойчиви и защитени по подходящ начин, в Стратегията са набелязани начините, по които Европа може да помогне за постигане на посочената цел, като една от основните цели, заложени в нея, е да се гарантира, че до 2030 г. биологичното разнообразие в Европа ще поеме по пътя на възстановяването в полза за хората, планетата, климата и икономиката. Ключовите усилия са насочени към:</w:t>
      </w:r>
    </w:p>
    <w:p w14:paraId="122EBF26"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Опазване и възстановяване на природата в ЕС, вкл.:</w:t>
      </w:r>
    </w:p>
    <w:p w14:paraId="2667BCE5" w14:textId="77777777" w:rsidR="00B25F93" w:rsidRPr="009F6D1E" w:rsidRDefault="00ED6F1D"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хармонизирана </w:t>
      </w:r>
      <w:r w:rsidR="00B25F93" w:rsidRPr="009F6D1E">
        <w:rPr>
          <w:lang w:val="bg-BG"/>
        </w:rPr>
        <w:t>мрежа от защитени зони;</w:t>
      </w:r>
    </w:p>
    <w:p w14:paraId="74C6577C" w14:textId="77777777" w:rsidR="00B25F93" w:rsidRPr="009F6D1E" w:rsidRDefault="00ED6F1D"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план </w:t>
      </w:r>
      <w:r w:rsidR="00B25F93" w:rsidRPr="009F6D1E">
        <w:rPr>
          <w:lang w:val="bg-BG"/>
        </w:rPr>
        <w:t>на ЕС за възстановяване на природата.</w:t>
      </w:r>
    </w:p>
    <w:p w14:paraId="78171605"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Създаване на условия за преобразяваща промяна, вкл.:</w:t>
      </w:r>
    </w:p>
    <w:p w14:paraId="28B4C643" w14:textId="77777777" w:rsidR="00B25F93" w:rsidRPr="009F6D1E" w:rsidRDefault="00ED6F1D"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нова </w:t>
      </w:r>
      <w:r w:rsidR="00B25F93" w:rsidRPr="009F6D1E">
        <w:rPr>
          <w:lang w:val="bg-BG"/>
        </w:rPr>
        <w:t>рамка за управление;</w:t>
      </w:r>
    </w:p>
    <w:p w14:paraId="3A26C957" w14:textId="77777777" w:rsidR="00B25F93" w:rsidRPr="009F6D1E" w:rsidRDefault="00ED6F1D" w:rsidP="0084747F">
      <w:pPr>
        <w:pStyle w:val="ListParagraph"/>
        <w:widowControl w:val="0"/>
        <w:numPr>
          <w:ilvl w:val="0"/>
          <w:numId w:val="4"/>
        </w:numPr>
        <w:spacing w:after="60" w:line="264" w:lineRule="auto"/>
        <w:ind w:left="0" w:firstLine="900"/>
        <w:jc w:val="both"/>
        <w:rPr>
          <w:lang w:val="bg-BG"/>
        </w:rPr>
      </w:pPr>
      <w:r w:rsidRPr="009F6D1E">
        <w:rPr>
          <w:lang w:val="bg-BG"/>
        </w:rPr>
        <w:t xml:space="preserve">нов </w:t>
      </w:r>
      <w:r w:rsidR="00B25F93" w:rsidRPr="009F6D1E">
        <w:rPr>
          <w:lang w:val="bg-BG"/>
        </w:rPr>
        <w:t>тласък на изпълнението и правоприлагането на законодателството на ЕС в областта на околната среда;</w:t>
      </w:r>
    </w:p>
    <w:p w14:paraId="7D06CFA4" w14:textId="77777777" w:rsidR="00B25F93" w:rsidRPr="009F6D1E" w:rsidRDefault="00ED6F1D" w:rsidP="0084747F">
      <w:pPr>
        <w:pStyle w:val="ListParagraph"/>
        <w:widowControl w:val="0"/>
        <w:numPr>
          <w:ilvl w:val="0"/>
          <w:numId w:val="4"/>
        </w:numPr>
        <w:spacing w:after="60" w:line="264" w:lineRule="auto"/>
        <w:ind w:left="0" w:firstLine="900"/>
        <w:jc w:val="both"/>
        <w:rPr>
          <w:rFonts w:eastAsia="Times New Roman"/>
          <w:lang w:val="bg-BG"/>
        </w:rPr>
      </w:pPr>
      <w:r w:rsidRPr="009F6D1E">
        <w:rPr>
          <w:lang w:val="bg-BG"/>
        </w:rPr>
        <w:t xml:space="preserve">изграждане </w:t>
      </w:r>
      <w:r w:rsidR="00B25F93" w:rsidRPr="009F6D1E">
        <w:rPr>
          <w:lang w:val="bg-BG"/>
        </w:rPr>
        <w:t>на интегриран</w:t>
      </w:r>
      <w:r w:rsidR="00B25F93" w:rsidRPr="009F6D1E">
        <w:rPr>
          <w:rFonts w:eastAsia="Times New Roman"/>
          <w:lang w:val="bg-BG"/>
        </w:rPr>
        <w:t xml:space="preserve"> подход, обхващащ цялото общество.</w:t>
      </w:r>
    </w:p>
    <w:p w14:paraId="0958B9E5" w14:textId="77777777" w:rsidR="00B25F93" w:rsidRPr="009F6D1E" w:rsidRDefault="00B25F93"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rPr>
      </w:pPr>
      <w:r w:rsidRPr="009F6D1E">
        <w:rPr>
          <w:rFonts w:eastAsia="Times New Roman" w:cs="Times New Roman"/>
          <w:szCs w:val="24"/>
          <w:lang w:eastAsia="bg-BG" w:bidi="bg-BG"/>
        </w:rPr>
        <w:t>Усилия</w:t>
      </w:r>
      <w:r w:rsidRPr="009F6D1E">
        <w:rPr>
          <w:rFonts w:eastAsia="Times New Roman" w:cs="Times New Roman"/>
          <w:szCs w:val="24"/>
        </w:rPr>
        <w:t xml:space="preserve"> на ЕС за прилагане на амбициозна световна програма за биологичното разнообразие, вкл.:</w:t>
      </w:r>
    </w:p>
    <w:p w14:paraId="2BE04EA6" w14:textId="77777777" w:rsidR="00B25F93" w:rsidRPr="009F6D1E" w:rsidRDefault="00ED6F1D" w:rsidP="0084747F">
      <w:pPr>
        <w:pStyle w:val="ListParagraph"/>
        <w:widowControl w:val="0"/>
        <w:numPr>
          <w:ilvl w:val="0"/>
          <w:numId w:val="4"/>
        </w:numPr>
        <w:spacing w:after="60" w:line="264" w:lineRule="auto"/>
        <w:ind w:left="0" w:firstLine="900"/>
        <w:jc w:val="both"/>
        <w:rPr>
          <w:rFonts w:eastAsia="Times New Roman"/>
          <w:lang w:val="bg-BG"/>
        </w:rPr>
      </w:pPr>
      <w:r w:rsidRPr="009F6D1E">
        <w:rPr>
          <w:lang w:val="bg-BG"/>
        </w:rPr>
        <w:t>повишаване</w:t>
      </w:r>
      <w:r w:rsidRPr="009F6D1E">
        <w:rPr>
          <w:rFonts w:eastAsia="Times New Roman"/>
          <w:lang w:val="bg-BG"/>
        </w:rPr>
        <w:t xml:space="preserve"> </w:t>
      </w:r>
      <w:r w:rsidR="00B25F93" w:rsidRPr="009F6D1E">
        <w:rPr>
          <w:rFonts w:eastAsia="Times New Roman"/>
          <w:lang w:val="bg-BG"/>
        </w:rPr>
        <w:t>на равнището на амбиция и ангажираност в световен мащаб;</w:t>
      </w:r>
    </w:p>
    <w:p w14:paraId="57360295" w14:textId="77777777" w:rsidR="00B25F93" w:rsidRPr="009F6D1E" w:rsidRDefault="00817D24" w:rsidP="0084747F">
      <w:pPr>
        <w:spacing w:after="60" w:line="264" w:lineRule="auto"/>
        <w:ind w:firstLine="708"/>
        <w:jc w:val="both"/>
        <w:rPr>
          <w:rFonts w:cs="Times New Roman"/>
          <w:szCs w:val="24"/>
        </w:rPr>
      </w:pPr>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специфични цели, потребности и интервенции, са съобразени с основните принципи на </w:t>
      </w:r>
      <w:r w:rsidR="007561F5" w:rsidRPr="009F6D1E">
        <w:rPr>
          <w:rFonts w:cs="Times New Roman"/>
          <w:szCs w:val="24"/>
        </w:rPr>
        <w:t>Стратегията</w:t>
      </w:r>
      <w:r w:rsidRPr="009F6D1E">
        <w:rPr>
          <w:rFonts w:cs="Times New Roman"/>
          <w:szCs w:val="24"/>
        </w:rPr>
        <w:t xml:space="preserve"> и не влизат в противоречие с н</w:t>
      </w:r>
      <w:r w:rsidR="007561F5" w:rsidRPr="009F6D1E">
        <w:rPr>
          <w:rFonts w:cs="Times New Roman"/>
          <w:szCs w:val="24"/>
        </w:rPr>
        <w:t>ея</w:t>
      </w:r>
      <w:r w:rsidRPr="009F6D1E">
        <w:rPr>
          <w:rFonts w:cs="Times New Roman"/>
          <w:szCs w:val="24"/>
        </w:rPr>
        <w:t xml:space="preserve">, като анализът е представен в точка </w:t>
      </w:r>
      <w:r w:rsidR="00D5130D" w:rsidRPr="009F6D1E">
        <w:rPr>
          <w:rFonts w:cs="Times New Roman"/>
          <w:szCs w:val="24"/>
        </w:rPr>
        <w:t>7</w:t>
      </w:r>
      <w:r w:rsidRPr="009F6D1E">
        <w:rPr>
          <w:rFonts w:cs="Times New Roman"/>
          <w:szCs w:val="24"/>
        </w:rPr>
        <w:t>.1. от ДЕО.</w:t>
      </w:r>
    </w:p>
    <w:p w14:paraId="4E0DE485" w14:textId="77777777" w:rsidR="00573C31" w:rsidRPr="009F6D1E" w:rsidRDefault="00573C31" w:rsidP="0084747F">
      <w:pPr>
        <w:spacing w:after="60" w:line="264" w:lineRule="auto"/>
        <w:ind w:firstLine="708"/>
        <w:jc w:val="both"/>
        <w:rPr>
          <w:rFonts w:cs="Times New Roman"/>
          <w:noProof/>
          <w:szCs w:val="24"/>
        </w:rPr>
      </w:pPr>
    </w:p>
    <w:p w14:paraId="0604ACB8" w14:textId="77777777" w:rsidR="00340AE1" w:rsidRPr="009F6D1E" w:rsidRDefault="00817D24">
      <w:pPr>
        <w:pStyle w:val="Heading4"/>
        <w:keepLines w:val="0"/>
        <w:numPr>
          <w:ilvl w:val="3"/>
          <w:numId w:val="76"/>
        </w:numPr>
        <w:shd w:val="clear" w:color="auto" w:fill="FFF2CC" w:themeFill="accent4" w:themeFillTint="33"/>
        <w:spacing w:before="0" w:after="60" w:line="264" w:lineRule="auto"/>
        <w:rPr>
          <w:b/>
          <w:bCs/>
          <w:i w:val="0"/>
          <w:iCs w:val="0"/>
        </w:rPr>
      </w:pPr>
      <w:bookmarkStart w:id="96" w:name="_Toc88359561"/>
      <w:r w:rsidRPr="009F6D1E">
        <w:rPr>
          <w:b/>
          <w:bCs/>
        </w:rPr>
        <w:lastRenderedPageBreak/>
        <w:t xml:space="preserve"> </w:t>
      </w:r>
      <w:r w:rsidR="00340AE1" w:rsidRPr="009F6D1E">
        <w:rPr>
          <w:b/>
          <w:bCs/>
          <w:smallCaps w:val="0"/>
          <w:color w:val="262626" w:themeColor="text1" w:themeTint="D9"/>
          <w:lang w:eastAsia="en-US" w:bidi="ar-SA"/>
        </w:rPr>
        <w:t>Политика  на сближаване през периода 2021-2027г.</w:t>
      </w:r>
      <w:bookmarkEnd w:id="96"/>
      <w:r w:rsidR="00340AE1" w:rsidRPr="009F6D1E">
        <w:rPr>
          <w:b/>
          <w:bCs/>
          <w:smallCaps w:val="0"/>
          <w:color w:val="262626" w:themeColor="text1" w:themeTint="D9"/>
          <w:lang w:eastAsia="en-US" w:bidi="ar-SA"/>
        </w:rPr>
        <w:t xml:space="preserve"> (Регламент (ЕС) 2021/1060 на Европейския парламент и на Съвета от 24 юни 2021 година)</w:t>
      </w:r>
    </w:p>
    <w:p w14:paraId="7C62BF9E" w14:textId="77777777" w:rsidR="0094794D" w:rsidRPr="009F6D1E" w:rsidRDefault="0094794D" w:rsidP="0084747F">
      <w:pPr>
        <w:spacing w:after="60" w:line="264" w:lineRule="auto"/>
        <w:ind w:firstLine="720"/>
        <w:jc w:val="both"/>
        <w:rPr>
          <w:rFonts w:cs="Times New Roman"/>
          <w:b/>
          <w:bCs/>
          <w:i/>
          <w:iCs/>
          <w:szCs w:val="24"/>
        </w:rPr>
      </w:pPr>
      <w:bookmarkStart w:id="97" w:name="_Hlk94532499"/>
    </w:p>
    <w:p w14:paraId="735E1A1D" w14:textId="77777777" w:rsidR="001931F5" w:rsidRPr="009F6D1E" w:rsidRDefault="001931F5" w:rsidP="0084747F">
      <w:pPr>
        <w:spacing w:after="60" w:line="264" w:lineRule="auto"/>
        <w:ind w:firstLine="720"/>
        <w:jc w:val="both"/>
        <w:rPr>
          <w:rFonts w:cs="Times New Roman"/>
          <w:szCs w:val="24"/>
        </w:rPr>
      </w:pPr>
      <w:r w:rsidRPr="009F6D1E">
        <w:rPr>
          <w:rFonts w:cs="Times New Roman"/>
          <w:b/>
          <w:bCs/>
          <w:i/>
          <w:iCs/>
          <w:szCs w:val="24"/>
        </w:rPr>
        <w:t>Политиката на сближаване на ЕС</w:t>
      </w:r>
      <w:r w:rsidRPr="009F6D1E">
        <w:rPr>
          <w:rFonts w:cs="Times New Roman"/>
          <w:szCs w:val="24"/>
        </w:rPr>
        <w:t xml:space="preserve"> определя 5 политически цели, подкрепящи растежа за периода 2021-2027 г.</w:t>
      </w:r>
    </w:p>
    <w:p w14:paraId="7C1CC557" w14:textId="7772FC32" w:rsidR="001931F5" w:rsidRPr="009F6D1E" w:rsidRDefault="00ED6F1D" w:rsidP="00D02E9D">
      <w:pPr>
        <w:widowControl w:val="0"/>
        <w:numPr>
          <w:ilvl w:val="0"/>
          <w:numId w:val="24"/>
        </w:numPr>
        <w:tabs>
          <w:tab w:val="left" w:pos="720"/>
          <w:tab w:val="left" w:pos="1080"/>
        </w:tabs>
        <w:spacing w:after="60" w:line="264" w:lineRule="auto"/>
        <w:ind w:left="1211" w:hanging="360"/>
        <w:jc w:val="both"/>
        <w:rPr>
          <w:rFonts w:eastAsia="Times New Roman" w:cs="Times New Roman"/>
          <w:szCs w:val="24"/>
          <w:lang w:eastAsia="bg-BG" w:bidi="bg-BG"/>
        </w:rPr>
      </w:pPr>
      <w:r w:rsidRPr="009F6D1E">
        <w:rPr>
          <w:rFonts w:eastAsia="Times New Roman" w:cs="Times New Roman"/>
          <w:szCs w:val="24"/>
          <w:lang w:eastAsia="bg-BG" w:bidi="bg-BG"/>
        </w:rPr>
        <w:t>По</w:t>
      </w:r>
      <w:r w:rsidR="001931F5" w:rsidRPr="009F6D1E">
        <w:rPr>
          <w:rFonts w:eastAsia="Times New Roman" w:cs="Times New Roman"/>
          <w:szCs w:val="24"/>
          <w:lang w:eastAsia="bg-BG" w:bidi="bg-BG"/>
        </w:rPr>
        <w:t>-конкурент</w:t>
      </w:r>
      <w:r w:rsidR="000853BF">
        <w:rPr>
          <w:rFonts w:eastAsia="Times New Roman" w:cs="Times New Roman"/>
          <w:szCs w:val="24"/>
          <w:lang w:eastAsia="bg-BG" w:bidi="bg-BG"/>
        </w:rPr>
        <w:t>осп</w:t>
      </w:r>
      <w:r w:rsidR="001931F5" w:rsidRPr="009F6D1E">
        <w:rPr>
          <w:rFonts w:eastAsia="Times New Roman" w:cs="Times New Roman"/>
          <w:szCs w:val="24"/>
          <w:lang w:eastAsia="bg-BG" w:bidi="bg-BG"/>
        </w:rPr>
        <w:t xml:space="preserve">особна и по-интелигентна Европа чрез насърчаване на иновативна и интелигентна икономическа трансформация и регионална свързаност на ИКТ; </w:t>
      </w:r>
    </w:p>
    <w:p w14:paraId="76CB8FB7" w14:textId="77777777" w:rsidR="001931F5" w:rsidRPr="009F6D1E" w:rsidRDefault="00ED6F1D" w:rsidP="00D02E9D">
      <w:pPr>
        <w:widowControl w:val="0"/>
        <w:numPr>
          <w:ilvl w:val="0"/>
          <w:numId w:val="24"/>
        </w:numPr>
        <w:tabs>
          <w:tab w:val="left" w:pos="720"/>
          <w:tab w:val="left" w:pos="1080"/>
        </w:tabs>
        <w:spacing w:after="60" w:line="264" w:lineRule="auto"/>
        <w:ind w:left="1211" w:hanging="360"/>
        <w:jc w:val="both"/>
        <w:rPr>
          <w:rFonts w:eastAsia="Times New Roman" w:cs="Times New Roman"/>
          <w:szCs w:val="24"/>
          <w:lang w:eastAsia="bg-BG" w:bidi="bg-BG"/>
        </w:rPr>
      </w:pPr>
      <w:r w:rsidRPr="009F6D1E">
        <w:rPr>
          <w:rFonts w:eastAsia="Times New Roman" w:cs="Times New Roman"/>
          <w:szCs w:val="24"/>
          <w:lang w:eastAsia="bg-BG" w:bidi="bg-BG"/>
        </w:rPr>
        <w:t>По</w:t>
      </w:r>
      <w:r w:rsidR="001931F5" w:rsidRPr="009F6D1E">
        <w:rPr>
          <w:rFonts w:eastAsia="Times New Roman" w:cs="Times New Roman"/>
          <w:szCs w:val="24"/>
          <w:lang w:eastAsia="bg-BG" w:bidi="bg-BG"/>
        </w:rPr>
        <w:t>-зелена, нисковъглеродна и устойчива Европа с икономика в преход към нулеви нетни въглеродни емисии чрез насърчаване на чист и справедлив енергиен преход, зелени и сини инвестиции, кръгова икономика, смекчаване на последиците от изменението на климата и приспособяване към него, превенция и управление на риска и устойчива градска мобилност;</w:t>
      </w:r>
      <w:bookmarkEnd w:id="97"/>
    </w:p>
    <w:p w14:paraId="7A555C15" w14:textId="77777777" w:rsidR="001931F5" w:rsidRPr="009F6D1E" w:rsidRDefault="00ED6F1D" w:rsidP="00D02E9D">
      <w:pPr>
        <w:widowControl w:val="0"/>
        <w:numPr>
          <w:ilvl w:val="0"/>
          <w:numId w:val="24"/>
        </w:numPr>
        <w:tabs>
          <w:tab w:val="left" w:pos="720"/>
          <w:tab w:val="left" w:pos="1080"/>
        </w:tabs>
        <w:spacing w:after="60" w:line="264" w:lineRule="auto"/>
        <w:ind w:left="1211" w:hanging="360"/>
        <w:jc w:val="both"/>
        <w:rPr>
          <w:rFonts w:eastAsia="Times New Roman" w:cs="Times New Roman"/>
          <w:szCs w:val="24"/>
          <w:lang w:eastAsia="bg-BG" w:bidi="bg-BG"/>
        </w:rPr>
      </w:pPr>
      <w:r w:rsidRPr="009F6D1E">
        <w:rPr>
          <w:rFonts w:eastAsia="Times New Roman" w:cs="Times New Roman"/>
          <w:szCs w:val="24"/>
          <w:lang w:eastAsia="bg-BG" w:bidi="bg-BG"/>
        </w:rPr>
        <w:t>По</w:t>
      </w:r>
      <w:r w:rsidR="001931F5" w:rsidRPr="009F6D1E">
        <w:rPr>
          <w:rFonts w:eastAsia="Times New Roman" w:cs="Times New Roman"/>
          <w:szCs w:val="24"/>
          <w:lang w:eastAsia="bg-BG" w:bidi="bg-BG"/>
        </w:rPr>
        <w:t xml:space="preserve">-добре свързана Европа чрез подобряване на мобилността; </w:t>
      </w:r>
    </w:p>
    <w:p w14:paraId="37BA9488" w14:textId="77777777" w:rsidR="001931F5" w:rsidRPr="009F6D1E" w:rsidRDefault="00ED6F1D" w:rsidP="00D02E9D">
      <w:pPr>
        <w:widowControl w:val="0"/>
        <w:numPr>
          <w:ilvl w:val="0"/>
          <w:numId w:val="24"/>
        </w:numPr>
        <w:tabs>
          <w:tab w:val="left" w:pos="720"/>
          <w:tab w:val="left" w:pos="1080"/>
        </w:tabs>
        <w:spacing w:after="60" w:line="264" w:lineRule="auto"/>
        <w:ind w:left="1211" w:hanging="360"/>
        <w:jc w:val="both"/>
        <w:rPr>
          <w:rFonts w:eastAsia="Times New Roman" w:cs="Times New Roman"/>
          <w:szCs w:val="24"/>
          <w:lang w:eastAsia="bg-BG" w:bidi="bg-BG"/>
        </w:rPr>
      </w:pPr>
      <w:r w:rsidRPr="009F6D1E">
        <w:rPr>
          <w:rFonts w:eastAsia="Times New Roman" w:cs="Times New Roman"/>
          <w:szCs w:val="24"/>
          <w:lang w:eastAsia="bg-BG" w:bidi="bg-BG"/>
        </w:rPr>
        <w:t>По</w:t>
      </w:r>
      <w:r w:rsidR="001931F5" w:rsidRPr="009F6D1E">
        <w:rPr>
          <w:rFonts w:eastAsia="Times New Roman" w:cs="Times New Roman"/>
          <w:szCs w:val="24"/>
          <w:lang w:eastAsia="bg-BG" w:bidi="bg-BG"/>
        </w:rPr>
        <w:t xml:space="preserve">-социална и по-приобщаваща Европа чрез реализиране на Европейския стълб на социалните права; </w:t>
      </w:r>
    </w:p>
    <w:p w14:paraId="0BE0E579" w14:textId="77777777" w:rsidR="001931F5" w:rsidRPr="009F6D1E" w:rsidRDefault="001931F5" w:rsidP="00D02E9D">
      <w:pPr>
        <w:widowControl w:val="0"/>
        <w:numPr>
          <w:ilvl w:val="0"/>
          <w:numId w:val="24"/>
        </w:numPr>
        <w:tabs>
          <w:tab w:val="left" w:pos="720"/>
          <w:tab w:val="left" w:pos="1080"/>
        </w:tabs>
        <w:spacing w:after="60" w:line="264" w:lineRule="auto"/>
        <w:ind w:left="1211" w:hanging="360"/>
        <w:jc w:val="both"/>
        <w:rPr>
          <w:rFonts w:eastAsia="Times New Roman" w:cs="Times New Roman"/>
          <w:szCs w:val="24"/>
          <w:lang w:eastAsia="bg-BG" w:bidi="bg-BG"/>
        </w:rPr>
      </w:pPr>
      <w:r w:rsidRPr="009F6D1E">
        <w:rPr>
          <w:rFonts w:eastAsia="Times New Roman" w:cs="Times New Roman"/>
          <w:szCs w:val="24"/>
          <w:lang w:eastAsia="bg-BG" w:bidi="bg-BG"/>
        </w:rPr>
        <w:t>Европа по-близо до гражданите чрез насърчаване на устойчивото и интегрирано развитие на всички видове територии и местни инициативи.</w:t>
      </w:r>
    </w:p>
    <w:p w14:paraId="4DD0120C" w14:textId="03FF11A3" w:rsidR="001931F5" w:rsidRPr="009F6D1E" w:rsidRDefault="001931F5" w:rsidP="0084747F">
      <w:pPr>
        <w:spacing w:after="60" w:line="264" w:lineRule="auto"/>
        <w:ind w:firstLine="720"/>
        <w:jc w:val="both"/>
        <w:rPr>
          <w:rFonts w:cs="Times New Roman"/>
          <w:szCs w:val="24"/>
        </w:rPr>
      </w:pPr>
      <w:r w:rsidRPr="009F6D1E">
        <w:rPr>
          <w:rFonts w:cs="Times New Roman"/>
          <w:szCs w:val="24"/>
        </w:rPr>
        <w:t>В основата на политиката на сближаване на ЕС за периода 2021—2027 г. от една страна е икономическото, социалното и териториалното сближаване чрез устойчива конкурент</w:t>
      </w:r>
      <w:r w:rsidR="000853BF">
        <w:rPr>
          <w:rFonts w:cs="Times New Roman"/>
          <w:szCs w:val="24"/>
        </w:rPr>
        <w:t>осп</w:t>
      </w:r>
      <w:r w:rsidRPr="009F6D1E">
        <w:rPr>
          <w:rFonts w:cs="Times New Roman"/>
          <w:szCs w:val="24"/>
        </w:rPr>
        <w:t>особност, научни изследвания и иновации, цифров преход и целите на Европейския зелен пакт, и от друга - на Европейския стълб на социалните права.</w:t>
      </w:r>
    </w:p>
    <w:p w14:paraId="42512DF3"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Новото законодателство засилва подкрепата за подготвеността на здравните системи и позволява по-добре да се оползотвори потенциалът на културата и туризма, които се оказаха сериозно засегнати от неотдавнашната криза. Същевременно то предоставя подкрепа за работещите и за мерките за справяне с младежката безработица и детската бедност.</w:t>
      </w:r>
    </w:p>
    <w:p w14:paraId="3F5CAA14"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Държавите членки ще разполагат с допълнителна гъвкавост за прехвърляне на средства между фондовете във всеки един момент от програмния период и ще се създадат повече възможности за държавите членки за завършване на операциите, които не са приключили по програмите за периода 2014—2020 г.</w:t>
      </w:r>
    </w:p>
    <w:p w14:paraId="60F5A332"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Политиката на сближаване включва пълноценно функциониращ механизъм за реакция при кризи, така че да се осигури възможност за временни мерки за използването на средствата в отговор на извънредни и необичайни обстоятелства.</w:t>
      </w:r>
    </w:p>
    <w:p w14:paraId="4A829E83" w14:textId="77777777" w:rsidR="001931F5" w:rsidRPr="009F6D1E" w:rsidRDefault="00CD4045" w:rsidP="0084747F">
      <w:pPr>
        <w:spacing w:after="60" w:line="264" w:lineRule="auto"/>
        <w:ind w:firstLine="720"/>
        <w:jc w:val="both"/>
        <w:rPr>
          <w:rFonts w:cs="Times New Roman"/>
          <w:szCs w:val="24"/>
        </w:rPr>
      </w:pPr>
      <w:r w:rsidRPr="009F6D1E">
        <w:rPr>
          <w:rFonts w:cs="Times New Roman"/>
          <w:szCs w:val="24"/>
        </w:rPr>
        <w:t>СПРЗСР</w:t>
      </w:r>
      <w:r w:rsidR="001931F5" w:rsidRPr="009F6D1E">
        <w:rPr>
          <w:rFonts w:cs="Times New Roman"/>
          <w:szCs w:val="24"/>
        </w:rPr>
        <w:t xml:space="preserve"> ще допринесе за постигане на целите на</w:t>
      </w:r>
      <w:r w:rsidR="001931F5" w:rsidRPr="009F6D1E">
        <w:rPr>
          <w:rFonts w:cs="Times New Roman"/>
          <w:b/>
          <w:bCs/>
          <w:i/>
          <w:iCs/>
          <w:szCs w:val="24"/>
        </w:rPr>
        <w:t xml:space="preserve"> Политиката на сближаване на ЕС</w:t>
      </w:r>
      <w:r w:rsidR="001931F5" w:rsidRPr="009F6D1E">
        <w:rPr>
          <w:rFonts w:cs="Times New Roman"/>
          <w:szCs w:val="24"/>
        </w:rPr>
        <w:t xml:space="preserve"> за периода 2021-2027 г. и не влиза в противоречие с нея, като анализът е представен в точка </w:t>
      </w:r>
      <w:r w:rsidR="00D5130D" w:rsidRPr="009F6D1E">
        <w:rPr>
          <w:rFonts w:cs="Times New Roman"/>
          <w:szCs w:val="24"/>
        </w:rPr>
        <w:t>7</w:t>
      </w:r>
      <w:r w:rsidR="001931F5" w:rsidRPr="009F6D1E">
        <w:rPr>
          <w:rFonts w:cs="Times New Roman"/>
          <w:szCs w:val="24"/>
        </w:rPr>
        <w:t>.1. от ДЕО.</w:t>
      </w:r>
    </w:p>
    <w:p w14:paraId="1007F045" w14:textId="77777777" w:rsidR="00816A9A" w:rsidRPr="009F6D1E" w:rsidRDefault="00816A9A" w:rsidP="0084747F">
      <w:pPr>
        <w:widowControl w:val="0"/>
        <w:spacing w:after="60" w:line="264" w:lineRule="auto"/>
        <w:ind w:firstLine="709"/>
        <w:jc w:val="both"/>
        <w:rPr>
          <w:rFonts w:cs="Times New Roman"/>
          <w:szCs w:val="24"/>
        </w:rPr>
      </w:pPr>
    </w:p>
    <w:p w14:paraId="1B993107" w14:textId="77777777" w:rsidR="00CD2BA4" w:rsidRPr="009F6D1E" w:rsidRDefault="00CD2BA4" w:rsidP="0084747F">
      <w:pPr>
        <w:widowControl w:val="0"/>
        <w:spacing w:after="60" w:line="264" w:lineRule="auto"/>
        <w:ind w:firstLine="709"/>
        <w:jc w:val="both"/>
        <w:rPr>
          <w:rFonts w:cs="Times New Roman"/>
          <w:szCs w:val="24"/>
        </w:rPr>
      </w:pPr>
    </w:p>
    <w:p w14:paraId="5EFAA897"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Законодателен пакет „Чиста енергия за всички европейци“ (Публикуван от Европейската комисия на 30 ноември 2016 г.)</w:t>
      </w:r>
    </w:p>
    <w:p w14:paraId="51229AE5" w14:textId="77777777" w:rsidR="0094794D" w:rsidRPr="009F6D1E" w:rsidRDefault="0094794D" w:rsidP="0084747F">
      <w:pPr>
        <w:spacing w:after="60" w:line="264" w:lineRule="auto"/>
        <w:ind w:firstLine="709"/>
        <w:jc w:val="both"/>
        <w:rPr>
          <w:rFonts w:cs="Times New Roman"/>
          <w:szCs w:val="24"/>
        </w:rPr>
      </w:pPr>
    </w:p>
    <w:p w14:paraId="379D2E91"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Пакетът "Чиста енергия за всички европейци" е ключов елемент в една от приоритетните области, предложени от Комисията "Юнкер", а именно - "устойчив енергиен съюз и перспективна политика в областта на изменението на климата", целящ да даде на всички европейци достъп до сигурни, достъпни и екологични енергии и да превърне Европейския съюз в световен лидер в областта на възобновяемите енергийни източници.</w:t>
      </w:r>
    </w:p>
    <w:p w14:paraId="24102F51"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Пакетът „Чиста енергия за всички европейци“ се състои от законодателни актове в следните области:</w:t>
      </w:r>
    </w:p>
    <w:p w14:paraId="1BF40A93" w14:textId="5CDFC7EA"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Енергийната ефективност: Изменената директива за енергийна ефективност поставя нова, по-висока цел за повишаване на енергийната ефективност с 32,5% до 2030 г., а новата директива за енергийните характеристики на сградите увеличава потенциала за енерг</w:t>
      </w:r>
      <w:r w:rsidR="000853BF">
        <w:rPr>
          <w:rFonts w:eastAsia="Times New Roman" w:cs="Times New Roman"/>
          <w:szCs w:val="24"/>
          <w:lang w:eastAsia="bg-BG" w:bidi="bg-BG"/>
        </w:rPr>
        <w:t>осп</w:t>
      </w:r>
      <w:r w:rsidRPr="009F6D1E">
        <w:rPr>
          <w:rFonts w:eastAsia="Times New Roman" w:cs="Times New Roman"/>
          <w:szCs w:val="24"/>
          <w:lang w:eastAsia="bg-BG" w:bidi="bg-BG"/>
        </w:rPr>
        <w:t>естяване на по-интелигентните и екологични сгради.</w:t>
      </w:r>
    </w:p>
    <w:p w14:paraId="7C465C3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Нова цел за енергията от възобновяемите източници: Определена е нова амбициозна цел от поне 32% дял на енергията от възобновяеми източници в брутното крайно потребление на енергия до 2030 г. Предвижда се насърчаване на публичните и частните инвестиции, за да може ЕС да запази своето световно лидерство във възобновяемите енергийни източници.</w:t>
      </w:r>
    </w:p>
    <w:p w14:paraId="324C169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По-добро управление на Енергийния съюз: Приет е нов регламент за управление на Енергийния съюз и действия в областта на климата, съгласно който всяка държава членка изготвя интегриран план в областта на енергетиката и климата, с който определя индивидуалните си цели в областта на енергийната ефективност, енергията от възобновяеми източници и междусистемната електроенергийна свързаност и посочва политиките и мерките за тяхното постигане, като принос към общите европейски цели. </w:t>
      </w:r>
    </w:p>
    <w:p w14:paraId="2C0ADD98"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Повече права за потребителите: Новите законодателни актове насърчават хората да произвеждат, потребяват, съхраняват и/или продават произведената от тях енергия и допълват правата на потребителите с повече прозрачност по отношение на сметките, и по-голяма гъвкавост при избора на начина на доставка и потребление на енергия.</w:t>
      </w:r>
    </w:p>
    <w:p w14:paraId="37E3E20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eastAsia="Times New Roman" w:cs="Times New Roman"/>
          <w:szCs w:val="24"/>
          <w:lang w:eastAsia="bg-BG" w:bidi="bg-BG"/>
        </w:rPr>
        <w:t>По-интелигентен и по-ефективен пазар на електрическа енергия: С новите законодателни промени се цели повишаване сигурността на доставките на енергия чрез подпомагане</w:t>
      </w:r>
      <w:r w:rsidRPr="009F6D1E">
        <w:rPr>
          <w:rFonts w:cs="Times New Roman"/>
          <w:szCs w:val="24"/>
        </w:rPr>
        <w:t xml:space="preserve"> интегрирането на електрическата енергия от възобновяемите източници в електрическите мрежи, подобряване на трансграничното сътрудничество и управление на рисковете.</w:t>
      </w:r>
    </w:p>
    <w:p w14:paraId="3C6380F6"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w:t>
      </w:r>
      <w:bookmarkStart w:id="98" w:name="_Hlk96341773"/>
      <w:r w:rsidR="007561F5" w:rsidRPr="009F6D1E">
        <w:rPr>
          <w:rFonts w:cs="Times New Roman"/>
          <w:szCs w:val="24"/>
        </w:rPr>
        <w:t xml:space="preserve">специфични </w:t>
      </w:r>
      <w:r w:rsidRPr="009F6D1E">
        <w:rPr>
          <w:rFonts w:cs="Times New Roman"/>
          <w:szCs w:val="24"/>
        </w:rPr>
        <w:t xml:space="preserve">цели, </w:t>
      </w:r>
      <w:r w:rsidR="007561F5" w:rsidRPr="009F6D1E">
        <w:rPr>
          <w:rFonts w:cs="Times New Roman"/>
          <w:szCs w:val="24"/>
        </w:rPr>
        <w:t>потребности</w:t>
      </w:r>
      <w:r w:rsidRPr="009F6D1E">
        <w:rPr>
          <w:rFonts w:cs="Times New Roman"/>
          <w:szCs w:val="24"/>
        </w:rPr>
        <w:t xml:space="preserve"> и </w:t>
      </w:r>
      <w:r w:rsidR="007561F5" w:rsidRPr="009F6D1E">
        <w:rPr>
          <w:rFonts w:cs="Times New Roman"/>
          <w:szCs w:val="24"/>
        </w:rPr>
        <w:t>интервенции</w:t>
      </w:r>
      <w:bookmarkEnd w:id="98"/>
      <w:r w:rsidRPr="009F6D1E">
        <w:rPr>
          <w:rFonts w:cs="Times New Roman"/>
          <w:szCs w:val="24"/>
        </w:rPr>
        <w:t xml:space="preserve">, са изцяло съобразени с основните области на Законодателния пакет и не влизат в противоречие с него, като анализът е представен в точка </w:t>
      </w:r>
      <w:r w:rsidR="00D5130D" w:rsidRPr="009F6D1E">
        <w:rPr>
          <w:rFonts w:cs="Times New Roman"/>
          <w:szCs w:val="24"/>
        </w:rPr>
        <w:t>7</w:t>
      </w:r>
      <w:r w:rsidRPr="009F6D1E">
        <w:rPr>
          <w:rFonts w:cs="Times New Roman"/>
          <w:szCs w:val="24"/>
        </w:rPr>
        <w:t>.1. от ДЕО.</w:t>
      </w:r>
    </w:p>
    <w:p w14:paraId="50572359" w14:textId="77777777" w:rsidR="00340AE1" w:rsidRPr="009F6D1E" w:rsidRDefault="00340AE1" w:rsidP="0084747F">
      <w:pPr>
        <w:spacing w:after="60" w:line="264" w:lineRule="auto"/>
        <w:ind w:firstLine="709"/>
        <w:jc w:val="both"/>
        <w:rPr>
          <w:rFonts w:cs="Times New Roman"/>
          <w:szCs w:val="24"/>
        </w:rPr>
      </w:pPr>
    </w:p>
    <w:p w14:paraId="39F40033" w14:textId="77777777" w:rsidR="00CD2BA4" w:rsidRPr="009F6D1E" w:rsidRDefault="00CD2BA4" w:rsidP="0084747F">
      <w:pPr>
        <w:spacing w:after="60" w:line="264" w:lineRule="auto"/>
        <w:ind w:firstLine="709"/>
        <w:jc w:val="both"/>
        <w:rPr>
          <w:rFonts w:cs="Times New Roman"/>
          <w:szCs w:val="24"/>
        </w:rPr>
      </w:pPr>
    </w:p>
    <w:p w14:paraId="60B86976"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Финансов инструмент на ЕС е „Механизмът за свързване на Европа“</w:t>
      </w:r>
    </w:p>
    <w:p w14:paraId="1DB2B1E8" w14:textId="77777777" w:rsidR="0094794D" w:rsidRPr="009F6D1E" w:rsidRDefault="0094794D" w:rsidP="0084747F">
      <w:pPr>
        <w:spacing w:after="60" w:line="264" w:lineRule="auto"/>
        <w:ind w:firstLine="708"/>
        <w:jc w:val="both"/>
        <w:rPr>
          <w:rFonts w:cs="Times New Roman"/>
          <w:szCs w:val="24"/>
        </w:rPr>
      </w:pPr>
    </w:p>
    <w:p w14:paraId="6B5FC32E" w14:textId="77777777" w:rsidR="001931F5" w:rsidRPr="009F6D1E" w:rsidRDefault="001931F5" w:rsidP="0084747F">
      <w:pPr>
        <w:spacing w:after="60" w:line="264" w:lineRule="auto"/>
        <w:ind w:firstLine="708"/>
        <w:jc w:val="both"/>
        <w:rPr>
          <w:rFonts w:cs="Times New Roman"/>
          <w:szCs w:val="24"/>
        </w:rPr>
      </w:pPr>
      <w:r w:rsidRPr="009F6D1E">
        <w:rPr>
          <w:rFonts w:cs="Times New Roman"/>
          <w:szCs w:val="24"/>
        </w:rPr>
        <w:t>Чрез финансовия инструмент се определят целите за изпълнение на бюджета за периода 2021 - 2027 г., формите и правилата за предоставяне на финансиране от ЕС. Финансовата подкрепа ще допринесе за изпълнение на целите за разработване на проектите от общ интерес, свързани с по-нататъшната интеграция на вътрешния енергиен пазар на ЕС, както и с трансграничната и междусекторната оперативна съвместимост на енергийните мрежи, които гарантират сигурността на енергийните доставки и улесняват трансграничното сътрудничество в областта на енергията от възобновяеми източници. Наличието на надеждни инфраструктурни проекти за електрическа енергия и природен газ е от ключово значение за постигане на целта за подобряване на енергийните междусистемни връзки между държавите членки на ЕС и съседните страни, както и обезпечаване на адекватното балансиране на електроенергийната система (ЕЕС) във връзка с нарастване електрическата енергия, произведена от възобновяеми източници.</w:t>
      </w:r>
    </w:p>
    <w:p w14:paraId="53CFBADD" w14:textId="77777777" w:rsidR="001931F5" w:rsidRPr="009F6D1E" w:rsidRDefault="001931F5" w:rsidP="0084747F">
      <w:pPr>
        <w:spacing w:after="60" w:line="264" w:lineRule="auto"/>
        <w:ind w:firstLine="708"/>
        <w:jc w:val="both"/>
        <w:rPr>
          <w:rFonts w:cs="Times New Roman"/>
          <w:szCs w:val="24"/>
        </w:rPr>
      </w:pPr>
      <w:bookmarkStart w:id="99" w:name="_Hlk94533295"/>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w:t>
      </w:r>
      <w:bookmarkEnd w:id="99"/>
      <w:r w:rsidR="007561F5" w:rsidRPr="009F6D1E">
        <w:rPr>
          <w:rFonts w:cs="Times New Roman"/>
          <w:szCs w:val="24"/>
        </w:rPr>
        <w:t>специфични цели, потребности и интервенции</w:t>
      </w:r>
      <w:r w:rsidRPr="009F6D1E">
        <w:rPr>
          <w:rFonts w:cs="Times New Roman"/>
          <w:szCs w:val="24"/>
        </w:rPr>
        <w:t>, са изцяло съобразени с основните области на Финансовия инструмент и не влизат в противоречие с него.</w:t>
      </w:r>
    </w:p>
    <w:p w14:paraId="63409390" w14:textId="77777777" w:rsidR="00076B8C" w:rsidRPr="009F6D1E" w:rsidRDefault="00076B8C" w:rsidP="0084747F">
      <w:pPr>
        <w:spacing w:after="60" w:line="264" w:lineRule="auto"/>
        <w:ind w:firstLine="708"/>
        <w:jc w:val="both"/>
        <w:rPr>
          <w:rFonts w:cs="Times New Roman"/>
          <w:szCs w:val="24"/>
        </w:rPr>
      </w:pPr>
    </w:p>
    <w:p w14:paraId="3F69EF01" w14:textId="64080A79"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Съобщение на Европейската комисия: Нов план за действие относно кръговата икономика – За по-чиста и по конкурент</w:t>
      </w:r>
      <w:r w:rsidR="000853BF">
        <w:rPr>
          <w:b/>
          <w:bCs/>
          <w:smallCaps w:val="0"/>
          <w:color w:val="262626" w:themeColor="text1" w:themeTint="D9"/>
          <w:lang w:eastAsia="en-US" w:bidi="ar-SA"/>
        </w:rPr>
        <w:t>осп</w:t>
      </w:r>
      <w:r w:rsidRPr="009F6D1E">
        <w:rPr>
          <w:b/>
          <w:bCs/>
          <w:smallCaps w:val="0"/>
          <w:color w:val="262626" w:themeColor="text1" w:themeTint="D9"/>
          <w:lang w:eastAsia="en-US" w:bidi="ar-SA"/>
        </w:rPr>
        <w:t xml:space="preserve">особна Европа </w:t>
      </w:r>
      <w:r w:rsidRPr="009F6D1E">
        <w:rPr>
          <w:b/>
          <w:bCs/>
          <w:smallCaps w:val="0"/>
          <w:color w:val="262626" w:themeColor="text1" w:themeTint="D9"/>
          <w:vertAlign w:val="superscript"/>
          <w:lang w:eastAsia="en-US" w:bidi="ar-SA"/>
        </w:rPr>
        <w:footnoteReference w:id="8"/>
      </w:r>
    </w:p>
    <w:p w14:paraId="5E02BE39" w14:textId="77777777" w:rsidR="0094794D" w:rsidRPr="009F6D1E" w:rsidRDefault="0094794D" w:rsidP="0084747F">
      <w:pPr>
        <w:spacing w:after="60" w:line="264" w:lineRule="auto"/>
        <w:ind w:firstLine="708"/>
        <w:jc w:val="both"/>
        <w:rPr>
          <w:rFonts w:cs="Times New Roman"/>
          <w:szCs w:val="24"/>
        </w:rPr>
      </w:pPr>
    </w:p>
    <w:p w14:paraId="2A4867C6" w14:textId="77777777" w:rsidR="001931F5" w:rsidRPr="009F6D1E" w:rsidRDefault="001931F5" w:rsidP="0084747F">
      <w:pPr>
        <w:spacing w:after="60" w:line="264" w:lineRule="auto"/>
        <w:ind w:firstLine="708"/>
        <w:jc w:val="both"/>
        <w:rPr>
          <w:rFonts w:cs="Times New Roman"/>
          <w:szCs w:val="24"/>
        </w:rPr>
      </w:pPr>
      <w:r w:rsidRPr="009F6D1E">
        <w:rPr>
          <w:rFonts w:cs="Times New Roman"/>
          <w:szCs w:val="24"/>
        </w:rPr>
        <w:t>В новият план за действие относно кръговата икономика са представени нови инициативи по време на целия жизнен цикъл на продуктите, за да се модернизира и трансформира икономиката ни, като същевременно се опазва околната среда. Той се ръководи от амбицията да се произвеждат устойчиви продукти, които могат да се ползват дълго време, и да се даде възможност на нашите граждани да участват пълноценно в кръговата икономика и да се възползват от положителната промяна, която носи:</w:t>
      </w:r>
    </w:p>
    <w:p w14:paraId="36C1F351"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Превръщане на устойчивите продукти в норма в ЕС – чрез законодателство в областта на политиката за устойчиви продукти, което да гарантира, че продуктите на пазара на ЕС са проектирани да издържат по-дълго, по-лесни са за повторна употреба, ремонт и рециклиране, и включват възможно най-много рециклирани материали, а не първични суровини. Еднократната употреба се ограничава, преждевременното излизане от употреба се поставя под контрол, а унищожаването на непродадените дълготрайни стоки ще бъде забранено.</w:t>
      </w:r>
    </w:p>
    <w:p w14:paraId="49A042D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Повече права за потребителите – вкл. достъп до надеждна информация по въпроси като възможностите за ремонт и трайността на продуктите, за да могат потребителите да взимат устойчиви от екологична гледна точка решения.</w:t>
      </w:r>
    </w:p>
    <w:p w14:paraId="243118D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eastAsia="Times New Roman" w:cs="Times New Roman"/>
          <w:szCs w:val="24"/>
          <w:lang w:eastAsia="bg-BG" w:bidi="bg-BG"/>
        </w:rPr>
        <w:t xml:space="preserve">Гаранция за по-малко отпадъци – усилията са насочени към избягване на производството на отпадъци като цяло и преобразуването им във висококачествени вторични </w:t>
      </w:r>
      <w:r w:rsidRPr="009F6D1E">
        <w:rPr>
          <w:rFonts w:eastAsia="Times New Roman" w:cs="Times New Roman"/>
          <w:szCs w:val="24"/>
          <w:lang w:eastAsia="bg-BG" w:bidi="bg-BG"/>
        </w:rPr>
        <w:lastRenderedPageBreak/>
        <w:t>ресурси, за които е необходим добре функциониращ пазар на вторични суровини. Планът за действие съдържа</w:t>
      </w:r>
      <w:r w:rsidRPr="009F6D1E">
        <w:rPr>
          <w:rFonts w:cs="Times New Roman"/>
          <w:szCs w:val="24"/>
        </w:rPr>
        <w:t xml:space="preserve"> и поредица от действия за свеждане до минимум на износа на отпадъци от ЕС и за справяне с незаконния превоз на отпадъци. </w:t>
      </w:r>
    </w:p>
    <w:p w14:paraId="0A927E58" w14:textId="77777777" w:rsidR="001931F5" w:rsidRPr="009F6D1E" w:rsidRDefault="001931F5" w:rsidP="0084747F">
      <w:pPr>
        <w:spacing w:after="60" w:line="264" w:lineRule="auto"/>
        <w:ind w:firstLine="708"/>
        <w:jc w:val="both"/>
        <w:rPr>
          <w:rFonts w:cs="Times New Roman"/>
          <w:szCs w:val="24"/>
        </w:rPr>
      </w:pPr>
      <w:bookmarkStart w:id="100" w:name="_Hlk94700943"/>
      <w:r w:rsidRPr="009F6D1E">
        <w:rPr>
          <w:rFonts w:cs="Times New Roman"/>
          <w:szCs w:val="24"/>
        </w:rPr>
        <w:t xml:space="preserve">Заложените в </w:t>
      </w:r>
      <w:r w:rsidR="00CD4045" w:rsidRPr="009F6D1E">
        <w:rPr>
          <w:rFonts w:cs="Times New Roman"/>
          <w:szCs w:val="24"/>
        </w:rPr>
        <w:t>СПРЗСР</w:t>
      </w:r>
      <w:r w:rsidRPr="009F6D1E">
        <w:rPr>
          <w:rFonts w:cs="Times New Roman"/>
          <w:szCs w:val="24"/>
        </w:rPr>
        <w:t xml:space="preserve"> </w:t>
      </w:r>
      <w:r w:rsidR="007561F5" w:rsidRPr="009F6D1E">
        <w:rPr>
          <w:rFonts w:cs="Times New Roman"/>
          <w:szCs w:val="24"/>
        </w:rPr>
        <w:t>специфични цели, потребности и интервенции</w:t>
      </w:r>
      <w:r w:rsidRPr="009F6D1E">
        <w:rPr>
          <w:rFonts w:cs="Times New Roman"/>
          <w:szCs w:val="24"/>
        </w:rPr>
        <w:t xml:space="preserve">, са съобразени с основните принципи на План за действие относно кръговата икономика и не влизат в противоречие с него, като анализът е представен в точка </w:t>
      </w:r>
      <w:r w:rsidR="00D5130D" w:rsidRPr="009F6D1E">
        <w:rPr>
          <w:rFonts w:cs="Times New Roman"/>
          <w:szCs w:val="24"/>
        </w:rPr>
        <w:t>7</w:t>
      </w:r>
      <w:r w:rsidRPr="009F6D1E">
        <w:rPr>
          <w:rFonts w:cs="Times New Roman"/>
          <w:szCs w:val="24"/>
        </w:rPr>
        <w:t>.1. от ДЕО.</w:t>
      </w:r>
    </w:p>
    <w:bookmarkEnd w:id="100"/>
    <w:p w14:paraId="3105BD14" w14:textId="77777777" w:rsidR="00076B8C" w:rsidRPr="009F6D1E" w:rsidRDefault="00076B8C" w:rsidP="0084747F">
      <w:pPr>
        <w:keepNext/>
        <w:keepLines/>
        <w:spacing w:after="60" w:line="264" w:lineRule="auto"/>
        <w:jc w:val="both"/>
        <w:outlineLvl w:val="3"/>
        <w:rPr>
          <w:rFonts w:cs="Times New Roman"/>
          <w:b/>
          <w:bCs/>
          <w:i/>
          <w:iCs/>
          <w:smallCaps/>
          <w:color w:val="223770"/>
        </w:rPr>
      </w:pPr>
    </w:p>
    <w:p w14:paraId="44336A34" w14:textId="77777777" w:rsidR="001931F5" w:rsidRPr="009F6D1E" w:rsidRDefault="00076B8C">
      <w:pPr>
        <w:pStyle w:val="Heading4"/>
        <w:keepLines w:val="0"/>
        <w:numPr>
          <w:ilvl w:val="3"/>
          <w:numId w:val="76"/>
        </w:numPr>
        <w:shd w:val="clear" w:color="auto" w:fill="FFF2CC" w:themeFill="accent4" w:themeFillTint="33"/>
        <w:spacing w:before="0" w:after="60" w:line="264" w:lineRule="auto"/>
        <w:rPr>
          <w:rFonts w:eastAsiaTheme="minorHAnsi"/>
          <w:b/>
          <w:bCs/>
          <w:i w:val="0"/>
          <w:iCs w:val="0"/>
        </w:rPr>
      </w:pPr>
      <w:r w:rsidRPr="009F6D1E">
        <w:rPr>
          <w:rFonts w:eastAsiaTheme="minorHAnsi"/>
          <w:b/>
          <w:bCs/>
        </w:rPr>
        <w:t xml:space="preserve"> </w:t>
      </w:r>
      <w:r w:rsidR="001931F5" w:rsidRPr="009F6D1E">
        <w:rPr>
          <w:b/>
          <w:bCs/>
          <w:smallCaps w:val="0"/>
          <w:color w:val="262626" w:themeColor="text1" w:themeTint="D9"/>
          <w:lang w:eastAsia="en-US" w:bidi="ar-SA"/>
        </w:rPr>
        <w:t>Териториален дневен ред 2030 „Бъдеще за всички места“</w:t>
      </w:r>
      <w:r w:rsidR="001931F5" w:rsidRPr="009F6D1E">
        <w:rPr>
          <w:b/>
          <w:bCs/>
          <w:smallCaps w:val="0"/>
          <w:color w:val="262626" w:themeColor="text1" w:themeTint="D9"/>
          <w:vertAlign w:val="superscript"/>
          <w:lang w:eastAsia="en-US" w:bidi="ar-SA"/>
        </w:rPr>
        <w:footnoteReference w:id="9"/>
      </w:r>
    </w:p>
    <w:p w14:paraId="037E20BD" w14:textId="77777777" w:rsidR="0094794D" w:rsidRPr="009F6D1E" w:rsidRDefault="0094794D" w:rsidP="0084747F">
      <w:pPr>
        <w:spacing w:after="60" w:line="264" w:lineRule="auto"/>
        <w:ind w:firstLine="709"/>
        <w:jc w:val="both"/>
        <w:rPr>
          <w:rFonts w:cs="Times New Roman"/>
          <w:i/>
          <w:iCs/>
          <w:szCs w:val="24"/>
        </w:rPr>
      </w:pPr>
      <w:bookmarkStart w:id="101" w:name="_Hlk94537355"/>
    </w:p>
    <w:p w14:paraId="18BAAFF4" w14:textId="77777777" w:rsidR="001931F5" w:rsidRPr="009F6D1E" w:rsidRDefault="001931F5" w:rsidP="0084747F">
      <w:pPr>
        <w:spacing w:after="60" w:line="264" w:lineRule="auto"/>
        <w:ind w:firstLine="709"/>
        <w:jc w:val="both"/>
        <w:rPr>
          <w:rFonts w:cs="Times New Roman"/>
          <w:szCs w:val="24"/>
        </w:rPr>
      </w:pPr>
      <w:r w:rsidRPr="009F6D1E">
        <w:rPr>
          <w:rFonts w:cs="Times New Roman"/>
          <w:i/>
          <w:iCs/>
          <w:szCs w:val="24"/>
        </w:rPr>
        <w:t>Териториалният  дневен ред 2030</w:t>
      </w:r>
      <w:r w:rsidRPr="009F6D1E">
        <w:rPr>
          <w:rFonts w:cs="Times New Roman"/>
          <w:szCs w:val="24"/>
        </w:rPr>
        <w:t xml:space="preserve"> е основния стратегически документ за провеждането на регионална политика в ЕС, в който са заложени шест основни приоритета за устойчиво развитие на регионите в  Европа в следващите десет години: </w:t>
      </w:r>
    </w:p>
    <w:p w14:paraId="4CFCED72"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Балансирано </w:t>
      </w:r>
      <w:r w:rsidR="001931F5" w:rsidRPr="009F6D1E">
        <w:rPr>
          <w:rFonts w:eastAsia="Times New Roman" w:cs="Times New Roman"/>
          <w:szCs w:val="24"/>
          <w:lang w:eastAsia="bg-BG" w:bidi="bg-BG"/>
        </w:rPr>
        <w:t>териториално развитие;</w:t>
      </w:r>
    </w:p>
    <w:p w14:paraId="1E2E0509"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Функционални </w:t>
      </w:r>
      <w:r w:rsidR="001931F5" w:rsidRPr="009F6D1E">
        <w:rPr>
          <w:rFonts w:eastAsia="Times New Roman" w:cs="Times New Roman"/>
          <w:szCs w:val="24"/>
          <w:lang w:eastAsia="bg-BG" w:bidi="bg-BG"/>
        </w:rPr>
        <w:t>райони с по-малко неравенства;</w:t>
      </w:r>
    </w:p>
    <w:p w14:paraId="6683DCD8"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Интеграция </w:t>
      </w:r>
      <w:r w:rsidR="001931F5" w:rsidRPr="009F6D1E">
        <w:rPr>
          <w:rFonts w:eastAsia="Times New Roman" w:cs="Times New Roman"/>
          <w:szCs w:val="24"/>
          <w:lang w:eastAsia="bg-BG" w:bidi="bg-BG"/>
        </w:rPr>
        <w:t>и сътрудничество извън административно-териториалните и националните граници;</w:t>
      </w:r>
    </w:p>
    <w:p w14:paraId="6BBC3B9C"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Здравословна </w:t>
      </w:r>
      <w:r w:rsidR="001931F5" w:rsidRPr="009F6D1E">
        <w:rPr>
          <w:rFonts w:eastAsia="Times New Roman" w:cs="Times New Roman"/>
          <w:szCs w:val="24"/>
          <w:lang w:eastAsia="bg-BG" w:bidi="bg-BG"/>
        </w:rPr>
        <w:t>среда;</w:t>
      </w:r>
    </w:p>
    <w:p w14:paraId="2F47B427"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Кръгова </w:t>
      </w:r>
      <w:r w:rsidR="001931F5" w:rsidRPr="009F6D1E">
        <w:rPr>
          <w:rFonts w:eastAsia="Times New Roman" w:cs="Times New Roman"/>
          <w:szCs w:val="24"/>
          <w:lang w:eastAsia="bg-BG" w:bidi="bg-BG"/>
        </w:rPr>
        <w:t>икономика;</w:t>
      </w:r>
    </w:p>
    <w:p w14:paraId="6CD705F8"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Устойчива </w:t>
      </w:r>
      <w:r w:rsidR="001931F5" w:rsidRPr="009F6D1E">
        <w:rPr>
          <w:rFonts w:eastAsia="Times New Roman" w:cs="Times New Roman"/>
          <w:szCs w:val="24"/>
          <w:lang w:eastAsia="bg-BG" w:bidi="bg-BG"/>
        </w:rPr>
        <w:t>цифрова и физическа свързаност.</w:t>
      </w:r>
    </w:p>
    <w:p w14:paraId="100CF814"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Приоритетите са насочени към постигането на две основни цели – Справедлива Европа и Зелена Европа. </w:t>
      </w:r>
    </w:p>
    <w:p w14:paraId="5C95C9D7"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Документът е определя рамката за стратегическото пространствено планиране, с акцент на засилването на териториалното измерение на секторните политики на всички нива на управление. Целта на Териториалния дневен ред на ЕС 2030 е да се насърчи приобщаващо и устойчиво бъдеще за всички места и да се подпомогне постигането на целите за устойчиво развитие в Европа.</w:t>
      </w:r>
    </w:p>
    <w:p w14:paraId="796D2E3E" w14:textId="77777777" w:rsidR="001931F5" w:rsidRPr="009F6D1E" w:rsidRDefault="00CD4045" w:rsidP="0084747F">
      <w:pPr>
        <w:spacing w:after="60" w:line="264" w:lineRule="auto"/>
        <w:ind w:firstLine="720"/>
        <w:jc w:val="both"/>
        <w:rPr>
          <w:rFonts w:cs="Times New Roman"/>
          <w:szCs w:val="24"/>
        </w:rPr>
      </w:pPr>
      <w:r w:rsidRPr="009F6D1E">
        <w:rPr>
          <w:rFonts w:cs="Times New Roman"/>
          <w:szCs w:val="24"/>
        </w:rPr>
        <w:t>СПРЗСР</w:t>
      </w:r>
      <w:r w:rsidR="001931F5" w:rsidRPr="009F6D1E">
        <w:rPr>
          <w:rFonts w:cs="Times New Roman"/>
          <w:szCs w:val="24"/>
        </w:rPr>
        <w:t xml:space="preserve"> е в синхрон с Териториалния дневен ред 2030 и не влиза в противоречие с него, като анализът е представен в точка </w:t>
      </w:r>
      <w:r w:rsidR="00D5130D" w:rsidRPr="009F6D1E">
        <w:rPr>
          <w:rFonts w:cs="Times New Roman"/>
          <w:szCs w:val="24"/>
        </w:rPr>
        <w:t>7</w:t>
      </w:r>
      <w:r w:rsidR="001931F5" w:rsidRPr="009F6D1E">
        <w:rPr>
          <w:rFonts w:cs="Times New Roman"/>
          <w:szCs w:val="24"/>
        </w:rPr>
        <w:t xml:space="preserve">.1. от ДЕО. </w:t>
      </w:r>
      <w:bookmarkStart w:id="102" w:name="_Toc88359562"/>
    </w:p>
    <w:p w14:paraId="6C940B5D" w14:textId="77777777" w:rsidR="007561F5" w:rsidRPr="009F6D1E" w:rsidRDefault="007561F5" w:rsidP="0084747F">
      <w:pPr>
        <w:spacing w:after="60" w:line="264" w:lineRule="auto"/>
        <w:ind w:firstLine="360"/>
        <w:jc w:val="both"/>
        <w:rPr>
          <w:rFonts w:cs="Times New Roman"/>
          <w:szCs w:val="24"/>
        </w:rPr>
      </w:pPr>
    </w:p>
    <w:bookmarkEnd w:id="101"/>
    <w:p w14:paraId="0684DEF5"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Програмата за устойчиво развитие за периода до 2030 г. на Организацията на обединените нации (ООН) „Да преобразим света“</w:t>
      </w:r>
      <w:r w:rsidRPr="009F6D1E">
        <w:rPr>
          <w:b/>
          <w:bCs/>
          <w:smallCaps w:val="0"/>
          <w:color w:val="262626" w:themeColor="text1" w:themeTint="D9"/>
          <w:vertAlign w:val="superscript"/>
          <w:lang w:eastAsia="en-US" w:bidi="ar-SA"/>
        </w:rPr>
        <w:footnoteReference w:id="10"/>
      </w:r>
      <w:r w:rsidRPr="009F6D1E">
        <w:rPr>
          <w:b/>
          <w:bCs/>
          <w:smallCaps w:val="0"/>
          <w:color w:val="262626" w:themeColor="text1" w:themeTint="D9"/>
          <w:vertAlign w:val="superscript"/>
          <w:lang w:eastAsia="en-US" w:bidi="ar-SA"/>
        </w:rPr>
        <w:t xml:space="preserve"> </w:t>
      </w:r>
    </w:p>
    <w:p w14:paraId="326A0D55" w14:textId="77777777" w:rsidR="0094794D" w:rsidRPr="009F6D1E" w:rsidRDefault="0094794D" w:rsidP="0084747F">
      <w:pPr>
        <w:spacing w:after="60" w:line="264" w:lineRule="auto"/>
        <w:ind w:firstLine="720"/>
        <w:jc w:val="both"/>
        <w:rPr>
          <w:rFonts w:cs="Times New Roman"/>
          <w:szCs w:val="24"/>
        </w:rPr>
      </w:pPr>
    </w:p>
    <w:p w14:paraId="298E55CA"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 xml:space="preserve">Програмата за устойчиво развитие за периода до 2030 г., приета от ООН през септември 2015 г., представлява нова и амбициозна рамка за постигане на устойчиво развитие и </w:t>
      </w:r>
      <w:r w:rsidRPr="009F6D1E">
        <w:rPr>
          <w:rFonts w:cs="Times New Roman"/>
          <w:szCs w:val="24"/>
        </w:rPr>
        <w:lastRenderedPageBreak/>
        <w:t>изкореняване на бедността. Същността на Програмата до 2030 г. се състои в определянето на набор от Цели за устойчиво развитие (ЦУР) и свързаните с тях практически насочени задачи.</w:t>
      </w:r>
    </w:p>
    <w:p w14:paraId="547DED0A"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 xml:space="preserve">Целите за устойчиво развитие, които се поставят в Програмата, са: </w:t>
      </w:r>
    </w:p>
    <w:p w14:paraId="7DFB7D7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 Изкореняване на бедността; </w:t>
      </w:r>
    </w:p>
    <w:p w14:paraId="3409EA9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2: Премахване на глада; </w:t>
      </w:r>
    </w:p>
    <w:p w14:paraId="7B7A90E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3: Добро здраве и благоденствие;</w:t>
      </w:r>
    </w:p>
    <w:p w14:paraId="2814EDA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4: Качествено образование; </w:t>
      </w:r>
    </w:p>
    <w:p w14:paraId="45ED879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5: Равенство между половете; </w:t>
      </w:r>
    </w:p>
    <w:p w14:paraId="4478867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6: Чиста вода и канализация;</w:t>
      </w:r>
    </w:p>
    <w:p w14:paraId="5ECBB42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7: Икономически достъпна и чиста енергия;</w:t>
      </w:r>
    </w:p>
    <w:p w14:paraId="47CA76EF"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8: Достоен труд и икономически растеж: </w:t>
      </w:r>
    </w:p>
    <w:p w14:paraId="3D418EF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9: Промишленост, иновации и инфраструктура;</w:t>
      </w:r>
    </w:p>
    <w:p w14:paraId="1716289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10: Намаляване на неравенствата; </w:t>
      </w:r>
    </w:p>
    <w:p w14:paraId="481F1B2A"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11: Устойчиви градове и общности </w:t>
      </w:r>
    </w:p>
    <w:p w14:paraId="6C6207F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12: Отговорно потребление и производство </w:t>
      </w:r>
    </w:p>
    <w:p w14:paraId="07D7F27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13: Дейности във връзка с климата </w:t>
      </w:r>
    </w:p>
    <w:p w14:paraId="027E469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14: Живот под водата </w:t>
      </w:r>
    </w:p>
    <w:p w14:paraId="41676DB1"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15: Живот на земята </w:t>
      </w:r>
    </w:p>
    <w:p w14:paraId="37E800C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16: Мир, правосъдие и силни институции; </w:t>
      </w:r>
    </w:p>
    <w:p w14:paraId="5A72F58F"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17: Партньорство за изпълнение на целите.</w:t>
      </w:r>
    </w:p>
    <w:p w14:paraId="0743674A"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 xml:space="preserve">Анализът на </w:t>
      </w:r>
      <w:proofErr w:type="spellStart"/>
      <w:r w:rsidRPr="009F6D1E">
        <w:rPr>
          <w:rFonts w:cs="Times New Roman"/>
          <w:szCs w:val="24"/>
        </w:rPr>
        <w:t>относимостта</w:t>
      </w:r>
      <w:proofErr w:type="spellEnd"/>
      <w:r w:rsidRPr="009F6D1E">
        <w:rPr>
          <w:rFonts w:cs="Times New Roman"/>
          <w:szCs w:val="24"/>
        </w:rPr>
        <w:t xml:space="preserve"> на целите за устойчиво развитие, представляващи цели по опазване на околната среда на международно ниво, е направен в т. </w:t>
      </w:r>
      <w:r w:rsidR="00D5130D" w:rsidRPr="009F6D1E">
        <w:rPr>
          <w:rFonts w:cs="Times New Roman"/>
          <w:szCs w:val="24"/>
        </w:rPr>
        <w:t>7</w:t>
      </w:r>
      <w:r w:rsidRPr="009F6D1E">
        <w:rPr>
          <w:rFonts w:cs="Times New Roman"/>
          <w:szCs w:val="24"/>
        </w:rPr>
        <w:t>.1. на ДЕО.</w:t>
      </w:r>
    </w:p>
    <w:p w14:paraId="3FDE2A6B" w14:textId="77777777" w:rsidR="007561F5" w:rsidRPr="009F6D1E" w:rsidRDefault="007561F5" w:rsidP="0084747F">
      <w:pPr>
        <w:spacing w:after="60" w:line="264" w:lineRule="auto"/>
        <w:ind w:firstLine="360"/>
        <w:jc w:val="both"/>
        <w:rPr>
          <w:rFonts w:cs="Times New Roman"/>
          <w:szCs w:val="24"/>
        </w:rPr>
      </w:pPr>
    </w:p>
    <w:bookmarkEnd w:id="102"/>
    <w:p w14:paraId="490E2EFA"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Предложение за Решение на Европейския парламент и на Съвета относно Обща програма на Европейския съюз за действие за околна среда до 2030 г. (Осма програма за действие на ЕС за околната среда до 2030 г.), СОМ(2020) 652 </w:t>
      </w:r>
      <w:r w:rsidRPr="009F6D1E">
        <w:rPr>
          <w:b/>
          <w:bCs/>
          <w:smallCaps w:val="0"/>
          <w:color w:val="262626" w:themeColor="text1" w:themeTint="D9"/>
          <w:vertAlign w:val="superscript"/>
          <w:lang w:eastAsia="en-US" w:bidi="ar-SA"/>
        </w:rPr>
        <w:footnoteReference w:id="11"/>
      </w:r>
      <w:r w:rsidRPr="009F6D1E">
        <w:rPr>
          <w:b/>
          <w:bCs/>
          <w:smallCaps w:val="0"/>
          <w:color w:val="262626" w:themeColor="text1" w:themeTint="D9"/>
          <w:vertAlign w:val="superscript"/>
          <w:lang w:eastAsia="en-US" w:bidi="ar-SA"/>
        </w:rPr>
        <w:t xml:space="preserve"> </w:t>
      </w:r>
    </w:p>
    <w:p w14:paraId="402CFA12" w14:textId="77777777" w:rsidR="0094794D" w:rsidRPr="009F6D1E" w:rsidRDefault="0094794D" w:rsidP="0084747F">
      <w:pPr>
        <w:spacing w:after="60" w:line="264" w:lineRule="auto"/>
        <w:ind w:firstLine="720"/>
        <w:jc w:val="both"/>
        <w:rPr>
          <w:rFonts w:cs="Times New Roman"/>
          <w:szCs w:val="24"/>
        </w:rPr>
      </w:pPr>
    </w:p>
    <w:p w14:paraId="188268CC"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Програмата представлява основата за постигане на целите в областта на околната среда и климата, заложени в Програмата на ООН до 2030 г. и нейните цели за устойчиво развитие; рамката ѝ за мониторинг е свързаната с околната среда и климата част от усилията на ЕС за измерване на напредъка към по-голяма устойчивост, включително неутралност по отношение на климата, ефективност на ресурсите, благоденствие и издръжливост.</w:t>
      </w:r>
    </w:p>
    <w:p w14:paraId="5DFB0EEF"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 xml:space="preserve">Дългосрочната цел на Програмата се състои в това гражданите да живеят добре в пределите на нашата планета, в регенеративна икономика, в която нищо не се пилее, няма нетни емисии на парникови газове и икономическият растеж не е зависим от използването на </w:t>
      </w:r>
      <w:r w:rsidRPr="009F6D1E">
        <w:rPr>
          <w:rFonts w:cs="Times New Roman"/>
          <w:szCs w:val="24"/>
        </w:rPr>
        <w:lastRenderedPageBreak/>
        <w:t>ресурси и влошаването на околната среда. Здравословната околна среда е в основата на благоденствието на гражданите, тя осигурява, че биологичното разнообразие процъфтява и природният капитал се опазва, цени и възстановява по начини, които повишават устойчивостта спрямо изменението на климата и други свързани с околната среда рискове.</w:t>
      </w:r>
    </w:p>
    <w:p w14:paraId="0378C2D7" w14:textId="77777777" w:rsidR="001931F5" w:rsidRPr="009F6D1E" w:rsidRDefault="001931F5" w:rsidP="0084747F">
      <w:pPr>
        <w:spacing w:after="60" w:line="264" w:lineRule="auto"/>
        <w:ind w:firstLine="720"/>
        <w:jc w:val="both"/>
        <w:rPr>
          <w:rFonts w:cs="Times New Roman"/>
          <w:szCs w:val="24"/>
        </w:rPr>
      </w:pPr>
      <w:r w:rsidRPr="009F6D1E">
        <w:rPr>
          <w:rFonts w:cs="Times New Roman"/>
          <w:szCs w:val="24"/>
        </w:rPr>
        <w:t>Програмата има 6 тематични приоритетни цели, за чието изпълнение са идентифицирани и благоприятстващи условия.</w:t>
      </w:r>
    </w:p>
    <w:p w14:paraId="4AD767AE" w14:textId="77777777" w:rsidR="001931F5" w:rsidRPr="009F6D1E" w:rsidRDefault="00CD4045" w:rsidP="0084747F">
      <w:pPr>
        <w:spacing w:after="60" w:line="264" w:lineRule="auto"/>
        <w:ind w:firstLine="720"/>
        <w:jc w:val="both"/>
        <w:rPr>
          <w:rFonts w:cs="Times New Roman"/>
          <w:szCs w:val="24"/>
        </w:rPr>
      </w:pPr>
      <w:bookmarkStart w:id="103" w:name="_Hlk94540756"/>
      <w:r w:rsidRPr="009F6D1E">
        <w:rPr>
          <w:rFonts w:cs="Times New Roman"/>
          <w:szCs w:val="24"/>
        </w:rPr>
        <w:t>СПРЗСР</w:t>
      </w:r>
      <w:r w:rsidR="001931F5" w:rsidRPr="009F6D1E">
        <w:rPr>
          <w:rFonts w:cs="Times New Roman"/>
          <w:szCs w:val="24"/>
        </w:rPr>
        <w:t xml:space="preserve"> е в синхрон с документа и не влиза в противоречие с него, като анализът е представен в точка </w:t>
      </w:r>
      <w:r w:rsidR="00D5130D" w:rsidRPr="009F6D1E">
        <w:rPr>
          <w:rFonts w:cs="Times New Roman"/>
          <w:szCs w:val="24"/>
        </w:rPr>
        <w:t>7</w:t>
      </w:r>
      <w:r w:rsidR="001931F5" w:rsidRPr="009F6D1E">
        <w:rPr>
          <w:rFonts w:cs="Times New Roman"/>
          <w:szCs w:val="24"/>
        </w:rPr>
        <w:t xml:space="preserve">.1. от ДЕО. </w:t>
      </w:r>
    </w:p>
    <w:p w14:paraId="44B1532E" w14:textId="77777777" w:rsidR="007561F5" w:rsidRPr="009F6D1E" w:rsidRDefault="007561F5" w:rsidP="0084747F">
      <w:pPr>
        <w:spacing w:after="60" w:line="264" w:lineRule="auto"/>
        <w:ind w:firstLine="360"/>
        <w:jc w:val="both"/>
        <w:rPr>
          <w:rFonts w:cs="Times New Roman"/>
          <w:szCs w:val="24"/>
        </w:rPr>
      </w:pPr>
    </w:p>
    <w:bookmarkEnd w:id="103"/>
    <w:p w14:paraId="61D0E4CD" w14:textId="4E80571D"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Съобщение на Европейската комисия „Чиста планета за всички. Европейска стратегическа дългосрочна визия за пр</w:t>
      </w:r>
      <w:r w:rsidR="000853BF">
        <w:rPr>
          <w:b/>
          <w:bCs/>
          <w:smallCaps w:val="0"/>
          <w:color w:val="262626" w:themeColor="text1" w:themeTint="D9"/>
          <w:lang w:eastAsia="en-US" w:bidi="ar-SA"/>
        </w:rPr>
        <w:t>осп</w:t>
      </w:r>
      <w:r w:rsidRPr="009F6D1E">
        <w:rPr>
          <w:b/>
          <w:bCs/>
          <w:smallCaps w:val="0"/>
          <w:color w:val="262626" w:themeColor="text1" w:themeTint="D9"/>
          <w:lang w:eastAsia="en-US" w:bidi="ar-SA"/>
        </w:rPr>
        <w:t>ерираща, модерна, конкурент</w:t>
      </w:r>
      <w:r w:rsidR="000853BF">
        <w:rPr>
          <w:b/>
          <w:bCs/>
          <w:smallCaps w:val="0"/>
          <w:color w:val="262626" w:themeColor="text1" w:themeTint="D9"/>
          <w:lang w:eastAsia="en-US" w:bidi="ar-SA"/>
        </w:rPr>
        <w:t>осп</w:t>
      </w:r>
      <w:r w:rsidRPr="009F6D1E">
        <w:rPr>
          <w:b/>
          <w:bCs/>
          <w:smallCaps w:val="0"/>
          <w:color w:val="262626" w:themeColor="text1" w:themeTint="D9"/>
          <w:lang w:eastAsia="en-US" w:bidi="ar-SA"/>
        </w:rPr>
        <w:t xml:space="preserve">особна и неутрална по отношение на климата икономика“, СОМ (2018) 773 </w:t>
      </w:r>
      <w:r w:rsidRPr="009F6D1E">
        <w:rPr>
          <w:b/>
          <w:bCs/>
          <w:smallCaps w:val="0"/>
          <w:color w:val="262626" w:themeColor="text1" w:themeTint="D9"/>
          <w:vertAlign w:val="superscript"/>
          <w:lang w:eastAsia="en-US" w:bidi="ar-SA"/>
        </w:rPr>
        <w:footnoteReference w:id="12"/>
      </w:r>
    </w:p>
    <w:p w14:paraId="25E66531" w14:textId="77777777" w:rsidR="0094794D" w:rsidRPr="009F6D1E" w:rsidRDefault="0094794D" w:rsidP="0084747F">
      <w:pPr>
        <w:spacing w:after="60" w:line="264" w:lineRule="auto"/>
        <w:ind w:firstLine="720"/>
        <w:contextualSpacing/>
        <w:jc w:val="both"/>
        <w:rPr>
          <w:rFonts w:cs="Times New Roman"/>
          <w:bCs/>
          <w:iCs/>
          <w:szCs w:val="24"/>
        </w:rPr>
      </w:pPr>
    </w:p>
    <w:p w14:paraId="12C4BEAD" w14:textId="77777777" w:rsidR="001931F5" w:rsidRPr="009F6D1E" w:rsidRDefault="001931F5" w:rsidP="0084747F">
      <w:pPr>
        <w:spacing w:after="60" w:line="264" w:lineRule="auto"/>
        <w:ind w:firstLine="720"/>
        <w:contextualSpacing/>
        <w:jc w:val="both"/>
        <w:rPr>
          <w:rFonts w:cs="Times New Roman"/>
          <w:bCs/>
          <w:iCs/>
          <w:szCs w:val="24"/>
        </w:rPr>
      </w:pPr>
      <w:r w:rsidRPr="009F6D1E">
        <w:rPr>
          <w:rFonts w:cs="Times New Roman"/>
          <w:bCs/>
          <w:iCs/>
          <w:szCs w:val="24"/>
        </w:rPr>
        <w:t>Целта на документа, представляващ дългосрочна стратегия, е да потвърди ангажимента на Европа да поеме водеща роля в глобалните действия в областта на климата и да представи визия, която може да доведе до постигане до 2050 г. на нулеви нетни емисии на парникови газове чрез социално справедлив преход по икономически ефективен начин.</w:t>
      </w:r>
    </w:p>
    <w:p w14:paraId="20D3BD54" w14:textId="77777777" w:rsidR="001931F5" w:rsidRPr="009F6D1E" w:rsidRDefault="001931F5" w:rsidP="0084747F">
      <w:pPr>
        <w:spacing w:after="60" w:line="264" w:lineRule="auto"/>
        <w:ind w:firstLine="720"/>
        <w:contextualSpacing/>
        <w:jc w:val="both"/>
        <w:rPr>
          <w:rFonts w:cs="Times New Roman"/>
          <w:bCs/>
          <w:iCs/>
          <w:szCs w:val="24"/>
        </w:rPr>
      </w:pPr>
      <w:r w:rsidRPr="009F6D1E">
        <w:rPr>
          <w:rFonts w:cs="Times New Roman"/>
          <w:bCs/>
          <w:iCs/>
          <w:szCs w:val="24"/>
        </w:rPr>
        <w:t xml:space="preserve">Идентифицирани са 7 основни стратегически градивни елемента за постигане на икономика с нулеви нетни емисии на парникови газове, като анализ на </w:t>
      </w:r>
      <w:proofErr w:type="spellStart"/>
      <w:r w:rsidRPr="009F6D1E">
        <w:rPr>
          <w:rFonts w:cs="Times New Roman"/>
          <w:bCs/>
          <w:iCs/>
          <w:szCs w:val="24"/>
        </w:rPr>
        <w:t>относимостта</w:t>
      </w:r>
      <w:proofErr w:type="spellEnd"/>
      <w:r w:rsidRPr="009F6D1E">
        <w:rPr>
          <w:rFonts w:cs="Times New Roman"/>
          <w:bCs/>
          <w:iCs/>
          <w:szCs w:val="24"/>
        </w:rPr>
        <w:t xml:space="preserve"> и степента на съобразяване в </w:t>
      </w:r>
      <w:r w:rsidR="00CD4045" w:rsidRPr="009F6D1E">
        <w:rPr>
          <w:rFonts w:cs="Times New Roman"/>
          <w:bCs/>
          <w:iCs/>
          <w:szCs w:val="24"/>
        </w:rPr>
        <w:t>СПРЗСР</w:t>
      </w:r>
      <w:r w:rsidRPr="009F6D1E">
        <w:rPr>
          <w:rFonts w:cs="Times New Roman"/>
          <w:bCs/>
          <w:iCs/>
          <w:szCs w:val="24"/>
        </w:rPr>
        <w:t xml:space="preserve"> е направен в т.</w:t>
      </w:r>
      <w:r w:rsidR="00D5130D" w:rsidRPr="009F6D1E">
        <w:rPr>
          <w:rFonts w:cs="Times New Roman"/>
          <w:bCs/>
          <w:iCs/>
          <w:szCs w:val="24"/>
        </w:rPr>
        <w:t>7</w:t>
      </w:r>
      <w:r w:rsidRPr="009F6D1E">
        <w:rPr>
          <w:rFonts w:cs="Times New Roman"/>
          <w:bCs/>
          <w:iCs/>
          <w:szCs w:val="24"/>
        </w:rPr>
        <w:t>.1. на ДЕО.</w:t>
      </w:r>
    </w:p>
    <w:p w14:paraId="7613081E" w14:textId="77777777" w:rsidR="00DA71FA" w:rsidRPr="009F6D1E" w:rsidRDefault="00DA71FA" w:rsidP="0084747F">
      <w:pPr>
        <w:spacing w:after="60" w:line="264" w:lineRule="auto"/>
        <w:ind w:firstLine="426"/>
        <w:contextualSpacing/>
        <w:jc w:val="both"/>
        <w:rPr>
          <w:rFonts w:cs="Times New Roman"/>
          <w:bCs/>
          <w:iCs/>
          <w:szCs w:val="24"/>
        </w:rPr>
      </w:pPr>
    </w:p>
    <w:p w14:paraId="532B6779"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bookmarkStart w:id="104" w:name="_Hlk81351588"/>
      <w:r w:rsidRPr="009F6D1E">
        <w:rPr>
          <w:b/>
          <w:bCs/>
          <w:smallCaps w:val="0"/>
          <w:color w:val="262626" w:themeColor="text1" w:themeTint="D9"/>
          <w:lang w:eastAsia="en-US" w:bidi="ar-SA"/>
        </w:rPr>
        <w:t xml:space="preserve">Съобщение на Европейската комисия: „Изграждане на устойчива към климатичните изменения Европа – новата стратегия на ЕС за адаптиране към изменението на климата“, COM(2021) 82 </w:t>
      </w:r>
      <w:r w:rsidRPr="009F6D1E">
        <w:rPr>
          <w:b/>
          <w:bCs/>
          <w:smallCaps w:val="0"/>
          <w:color w:val="262626" w:themeColor="text1" w:themeTint="D9"/>
          <w:vertAlign w:val="superscript"/>
          <w:lang w:eastAsia="en-US" w:bidi="ar-SA"/>
        </w:rPr>
        <w:footnoteReference w:id="13"/>
      </w:r>
    </w:p>
    <w:bookmarkEnd w:id="104"/>
    <w:p w14:paraId="432D8178" w14:textId="77777777" w:rsidR="0094794D" w:rsidRPr="009F6D1E" w:rsidRDefault="0094794D" w:rsidP="0084747F">
      <w:pPr>
        <w:spacing w:after="60" w:line="264" w:lineRule="auto"/>
        <w:ind w:firstLine="720"/>
        <w:contextualSpacing/>
        <w:jc w:val="both"/>
        <w:rPr>
          <w:rFonts w:cs="Times New Roman"/>
          <w:bCs/>
          <w:iCs/>
          <w:szCs w:val="24"/>
        </w:rPr>
      </w:pPr>
    </w:p>
    <w:p w14:paraId="43CCC3BE" w14:textId="77777777" w:rsidR="001931F5" w:rsidRPr="009F6D1E" w:rsidRDefault="001931F5" w:rsidP="0084747F">
      <w:pPr>
        <w:spacing w:after="60" w:line="264" w:lineRule="auto"/>
        <w:ind w:firstLine="720"/>
        <w:contextualSpacing/>
        <w:jc w:val="both"/>
        <w:rPr>
          <w:rFonts w:cs="Times New Roman"/>
          <w:bCs/>
          <w:iCs/>
          <w:szCs w:val="24"/>
        </w:rPr>
      </w:pPr>
      <w:r w:rsidRPr="009F6D1E">
        <w:rPr>
          <w:rFonts w:cs="Times New Roman"/>
          <w:bCs/>
          <w:iCs/>
          <w:szCs w:val="24"/>
        </w:rPr>
        <w:t>Стратегията очертава начините, по които да бъдат посрещнати неизбежните последствия от изменението на климата. Действията за адаптация към изменението на климата предполагат участието на всички слоеве на обществото и всички равнища на управление в ЕС и извън него. Стремежът е за изграждането на устойчиво на климатичните изменения общество чрез повече и по-добри познания за последствията от тях и необходимата адаптация, по-бързо разработване на планове за адаптация и оценка на климатичните рискове, ускоряване на действията по адаптиране и подпомагане на укрепването на устойчивостта спрямо изменението на климата в световен мащаб.</w:t>
      </w:r>
    </w:p>
    <w:p w14:paraId="217E2020" w14:textId="4056B555" w:rsidR="001931F5" w:rsidRPr="009F6D1E" w:rsidRDefault="001931F5" w:rsidP="0084747F">
      <w:pPr>
        <w:spacing w:after="60" w:line="264" w:lineRule="auto"/>
        <w:ind w:firstLine="720"/>
        <w:contextualSpacing/>
        <w:jc w:val="both"/>
        <w:rPr>
          <w:rFonts w:cs="Times New Roman"/>
          <w:bCs/>
          <w:iCs/>
          <w:szCs w:val="24"/>
        </w:rPr>
      </w:pPr>
      <w:r w:rsidRPr="009F6D1E">
        <w:rPr>
          <w:rFonts w:cs="Times New Roman"/>
          <w:bCs/>
          <w:iCs/>
          <w:szCs w:val="24"/>
        </w:rPr>
        <w:t xml:space="preserve">Анализ на насоките, включени в документа и начина им на съобразяване в </w:t>
      </w:r>
      <w:r w:rsidR="008E512A">
        <w:rPr>
          <w:rFonts w:cs="Times New Roman"/>
          <w:bCs/>
          <w:iCs/>
          <w:szCs w:val="24"/>
        </w:rPr>
        <w:t>СПРЗСР</w:t>
      </w:r>
      <w:r w:rsidRPr="009F6D1E">
        <w:rPr>
          <w:rFonts w:cs="Times New Roman"/>
          <w:bCs/>
          <w:iCs/>
          <w:szCs w:val="24"/>
        </w:rPr>
        <w:t xml:space="preserve"> е направен в т.</w:t>
      </w:r>
      <w:r w:rsidR="00D5130D" w:rsidRPr="009F6D1E">
        <w:rPr>
          <w:rFonts w:cs="Times New Roman"/>
          <w:bCs/>
          <w:iCs/>
          <w:szCs w:val="24"/>
        </w:rPr>
        <w:t>7</w:t>
      </w:r>
      <w:r w:rsidRPr="009F6D1E">
        <w:rPr>
          <w:rFonts w:cs="Times New Roman"/>
          <w:bCs/>
          <w:iCs/>
          <w:szCs w:val="24"/>
        </w:rPr>
        <w:t>.1. на ДЕО.</w:t>
      </w:r>
    </w:p>
    <w:p w14:paraId="7EA325C4" w14:textId="77777777" w:rsidR="001931F5" w:rsidRPr="009F6D1E" w:rsidRDefault="001931F5" w:rsidP="0084747F">
      <w:pPr>
        <w:spacing w:after="60" w:line="264" w:lineRule="auto"/>
        <w:ind w:firstLine="426"/>
        <w:contextualSpacing/>
        <w:jc w:val="both"/>
        <w:rPr>
          <w:rFonts w:cs="Times New Roman"/>
          <w:bCs/>
          <w:iCs/>
          <w:szCs w:val="24"/>
        </w:rPr>
      </w:pPr>
    </w:p>
    <w:p w14:paraId="53ECCE9B"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bookmarkStart w:id="105" w:name="_Hlk81351550"/>
      <w:r w:rsidRPr="009F6D1E">
        <w:rPr>
          <w:b/>
          <w:bCs/>
          <w:smallCaps w:val="0"/>
          <w:color w:val="262626" w:themeColor="text1" w:themeTint="D9"/>
          <w:lang w:eastAsia="en-US" w:bidi="ar-SA"/>
        </w:rPr>
        <w:lastRenderedPageBreak/>
        <w:t xml:space="preserve">Съобщение на Европейската комисия „Актуализиране на новата промишлена стратегия за 2020 г.: Изграждане на по-силен единен пазар за възстановяването на Европа“, COM(2021) 350 </w:t>
      </w:r>
      <w:r w:rsidRPr="009F6D1E">
        <w:rPr>
          <w:b/>
          <w:bCs/>
          <w:smallCaps w:val="0"/>
          <w:color w:val="262626" w:themeColor="text1" w:themeTint="D9"/>
          <w:vertAlign w:val="superscript"/>
          <w:lang w:eastAsia="en-US" w:bidi="ar-SA"/>
        </w:rPr>
        <w:footnoteReference w:id="14"/>
      </w:r>
      <w:bookmarkEnd w:id="105"/>
    </w:p>
    <w:p w14:paraId="3EBEFAA2" w14:textId="77777777" w:rsidR="0094794D" w:rsidRPr="009F6D1E" w:rsidRDefault="0094794D" w:rsidP="0084747F">
      <w:pPr>
        <w:spacing w:after="60" w:line="264" w:lineRule="auto"/>
        <w:ind w:firstLine="708"/>
        <w:contextualSpacing/>
        <w:jc w:val="both"/>
        <w:rPr>
          <w:rFonts w:cs="Times New Roman"/>
          <w:bCs/>
          <w:iCs/>
          <w:szCs w:val="24"/>
        </w:rPr>
      </w:pPr>
    </w:p>
    <w:p w14:paraId="3FA1E906" w14:textId="6884E775" w:rsidR="001931F5" w:rsidRPr="009F6D1E" w:rsidRDefault="001931F5" w:rsidP="0084747F">
      <w:pPr>
        <w:spacing w:after="60" w:line="264" w:lineRule="auto"/>
        <w:ind w:firstLine="708"/>
        <w:contextualSpacing/>
        <w:jc w:val="both"/>
        <w:rPr>
          <w:rFonts w:cs="Times New Roman"/>
          <w:bCs/>
          <w:iCs/>
          <w:szCs w:val="24"/>
        </w:rPr>
      </w:pPr>
      <w:r w:rsidRPr="009F6D1E">
        <w:rPr>
          <w:rFonts w:cs="Times New Roman"/>
          <w:bCs/>
          <w:iCs/>
          <w:szCs w:val="24"/>
        </w:rPr>
        <w:t>С актуализираната стратегия се затвърждават приоритетите, определени в съобщението от март 2020 г., публикувано в деня преди СЗО да обяви пандемията от COVID-19. Същевременно тя е и израз на поуките, извлечени от кризата, за да се даде тласък на възстановяването и да се укрепи отворената стратегическа автономия на ЕС. С нея се предлагат нови мерки за засилване на адаптивността на нашия единен пазар, особено по време на криза. В стратегията се разглежда необходимостта от по-добро познаване на нашите зависимости в стратегически области от възлово значение и се представя набор от средства за справяне с тях. Предлагат се и нови мерки за ускоряване на екологичния и цифровия преход</w:t>
      </w:r>
      <w:r w:rsidRPr="009F6D1E">
        <w:rPr>
          <w:rFonts w:cs="Times New Roman"/>
          <w:color w:val="404040"/>
          <w:szCs w:val="24"/>
          <w:shd w:val="clear" w:color="auto" w:fill="FFFFFF"/>
        </w:rPr>
        <w:t xml:space="preserve"> и </w:t>
      </w:r>
      <w:r w:rsidRPr="009F6D1E">
        <w:rPr>
          <w:rFonts w:cs="Times New Roman"/>
          <w:bCs/>
          <w:iCs/>
          <w:szCs w:val="24"/>
        </w:rPr>
        <w:t>някои мерки, насочени към МСП, като например мерки за повишаване на устойчивостта, борба със забавените плащания и подкрепа на платеж</w:t>
      </w:r>
      <w:r w:rsidR="000853BF">
        <w:rPr>
          <w:rFonts w:cs="Times New Roman"/>
          <w:bCs/>
          <w:iCs/>
          <w:szCs w:val="24"/>
        </w:rPr>
        <w:t>осп</w:t>
      </w:r>
      <w:r w:rsidRPr="009F6D1E">
        <w:rPr>
          <w:rFonts w:cs="Times New Roman"/>
          <w:bCs/>
          <w:iCs/>
          <w:szCs w:val="24"/>
        </w:rPr>
        <w:t>особността, включващи:</w:t>
      </w:r>
    </w:p>
    <w:p w14:paraId="417572A8"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Укрепване на функционирането на единния пазар</w:t>
      </w:r>
      <w:r w:rsidR="001B59FE" w:rsidRPr="009F6D1E">
        <w:rPr>
          <w:rFonts w:eastAsia="Times New Roman" w:cs="Times New Roman"/>
          <w:szCs w:val="24"/>
          <w:lang w:eastAsia="bg-BG" w:bidi="bg-BG"/>
        </w:rPr>
        <w:t>;</w:t>
      </w:r>
    </w:p>
    <w:p w14:paraId="51BC6AF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Подкрепа за отворената стратегическа автономност на Европа чрез преодоляване на зависимостите</w:t>
      </w:r>
      <w:r w:rsidR="001B59FE" w:rsidRPr="009F6D1E">
        <w:rPr>
          <w:rFonts w:eastAsia="Times New Roman" w:cs="Times New Roman"/>
          <w:szCs w:val="24"/>
          <w:lang w:eastAsia="bg-BG" w:bidi="bg-BG"/>
        </w:rPr>
        <w:t>;</w:t>
      </w:r>
    </w:p>
    <w:p w14:paraId="445FD6E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Подкрепа на икономическата обосновка в полза на двойния преход</w:t>
      </w:r>
      <w:r w:rsidR="001B59FE" w:rsidRPr="009F6D1E">
        <w:rPr>
          <w:rFonts w:eastAsia="Times New Roman" w:cs="Times New Roman"/>
          <w:szCs w:val="24"/>
          <w:lang w:eastAsia="bg-BG" w:bidi="bg-BG"/>
        </w:rPr>
        <w:t>.</w:t>
      </w:r>
    </w:p>
    <w:p w14:paraId="2BC4219A" w14:textId="77777777" w:rsidR="001931F5" w:rsidRPr="009F6D1E" w:rsidRDefault="00CD4045" w:rsidP="0084747F">
      <w:pPr>
        <w:spacing w:after="60" w:line="264" w:lineRule="auto"/>
        <w:ind w:firstLine="720"/>
        <w:jc w:val="both"/>
        <w:rPr>
          <w:rFonts w:eastAsia="Calibri" w:cs="Times New Roman"/>
          <w:szCs w:val="24"/>
        </w:rPr>
      </w:pPr>
      <w:r w:rsidRPr="009F6D1E">
        <w:rPr>
          <w:rFonts w:cs="Times New Roman"/>
          <w:szCs w:val="24"/>
        </w:rPr>
        <w:t>СПРЗСР</w:t>
      </w:r>
      <w:r w:rsidR="001931F5" w:rsidRPr="009F6D1E">
        <w:rPr>
          <w:rFonts w:cs="Times New Roman"/>
          <w:szCs w:val="24"/>
        </w:rPr>
        <w:t xml:space="preserve"> е в синхрон с документа и не влиза в противоречие с него,</w:t>
      </w:r>
      <w:r w:rsidR="001931F5" w:rsidRPr="009F6D1E">
        <w:rPr>
          <w:rFonts w:eastAsia="Calibri" w:cs="Times New Roman"/>
          <w:szCs w:val="24"/>
        </w:rPr>
        <w:t xml:space="preserve"> в т.ч. за преход към кръгова икономика. </w:t>
      </w:r>
    </w:p>
    <w:p w14:paraId="1E49E7F0" w14:textId="77777777" w:rsidR="0094794D" w:rsidRPr="009F6D1E" w:rsidRDefault="0094794D" w:rsidP="0084747F">
      <w:pPr>
        <w:spacing w:after="60" w:line="264" w:lineRule="auto"/>
        <w:ind w:firstLine="720"/>
        <w:jc w:val="both"/>
        <w:rPr>
          <w:rFonts w:eastAsia="Calibri" w:cs="Times New Roman"/>
          <w:szCs w:val="24"/>
        </w:rPr>
      </w:pPr>
    </w:p>
    <w:p w14:paraId="1453B79C"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bookmarkStart w:id="106" w:name="_Hlk94607829"/>
      <w:bookmarkStart w:id="107" w:name="_Hlk81351521"/>
      <w:bookmarkStart w:id="108" w:name="_Hlk94602421"/>
      <w:r w:rsidRPr="009F6D1E">
        <w:rPr>
          <w:b/>
          <w:bCs/>
          <w:smallCaps w:val="0"/>
          <w:color w:val="262626" w:themeColor="text1" w:themeTint="D9"/>
          <w:lang w:eastAsia="en-US" w:bidi="ar-SA"/>
        </w:rPr>
        <w:t xml:space="preserve">Съобщение на Европейската комисия </w:t>
      </w:r>
      <w:bookmarkEnd w:id="106"/>
      <w:r w:rsidRPr="009F6D1E">
        <w:rPr>
          <w:b/>
          <w:bCs/>
          <w:smallCaps w:val="0"/>
          <w:color w:val="262626" w:themeColor="text1" w:themeTint="D9"/>
          <w:lang w:eastAsia="en-US" w:bidi="ar-SA"/>
        </w:rPr>
        <w:t xml:space="preserve">„Път към здравословна планета за всички. План за действие на ЕС: Към нулево замърсяване на въздуха, водата и почвата“, СОМ(2021) 400 </w:t>
      </w:r>
      <w:r w:rsidRPr="009F6D1E">
        <w:rPr>
          <w:b/>
          <w:bCs/>
          <w:smallCaps w:val="0"/>
          <w:color w:val="262626" w:themeColor="text1" w:themeTint="D9"/>
          <w:vertAlign w:val="superscript"/>
          <w:lang w:eastAsia="en-US" w:bidi="ar-SA"/>
        </w:rPr>
        <w:footnoteReference w:id="15"/>
      </w:r>
      <w:bookmarkEnd w:id="107"/>
    </w:p>
    <w:bookmarkEnd w:id="108"/>
    <w:p w14:paraId="6AB791D8" w14:textId="77777777" w:rsidR="0094794D" w:rsidRPr="009F6D1E" w:rsidRDefault="0094794D" w:rsidP="0084747F">
      <w:pPr>
        <w:spacing w:after="60" w:line="264" w:lineRule="auto"/>
        <w:ind w:firstLine="720"/>
        <w:jc w:val="both"/>
        <w:rPr>
          <w:rFonts w:cs="Times New Roman"/>
          <w:bCs/>
          <w:iCs/>
          <w:szCs w:val="24"/>
        </w:rPr>
      </w:pPr>
    </w:p>
    <w:p w14:paraId="1F62F1D3"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 xml:space="preserve">Планът за действие за нулево замърсяване е ключов елемент на Европейската зелена сделка и определя визия до 2050 г., според която замърсяването следва да бъде намалено до нива, които вече не се считат за вредни за човешкото здраве и естествените екосистеми, както и стъпките за постигане на тази цел. </w:t>
      </w:r>
    </w:p>
    <w:p w14:paraId="31E3E3C6"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В плана за действие са описани основните насоки, целящи нулево замърсяване:</w:t>
      </w:r>
    </w:p>
    <w:p w14:paraId="0EA5FEA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По-добро и ефективно прилагане на нормите за замърсяване; </w:t>
      </w:r>
    </w:p>
    <w:p w14:paraId="1126C00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Подобряване на законодателството в областта на здравеопазването и околната среда, вкл. по отношение замърсяването на въздуха и водите, както от транспорта и индустриалните емисии, така и от отпадъците и отпадъчни води. В плана ще се разгледат и други форми на замърсяване, като напр. почвеното замърсяване;</w:t>
      </w:r>
    </w:p>
    <w:p w14:paraId="16A0CBD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Подобряване на политиките за управление на замърсяването;</w:t>
      </w:r>
    </w:p>
    <w:p w14:paraId="31B7E88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lastRenderedPageBreak/>
        <w:t>Насърчаване на обществените промени, вкл. ползване на дигитални решения и други, допринасящи за целите на устойчивото потребление с оглед на въздействията от замърсяването.</w:t>
      </w:r>
    </w:p>
    <w:p w14:paraId="775FF6C0" w14:textId="32A9FFA6" w:rsidR="001931F5" w:rsidRPr="009F6D1E" w:rsidRDefault="001931F5" w:rsidP="0084747F">
      <w:pPr>
        <w:spacing w:after="60" w:line="264" w:lineRule="auto"/>
        <w:ind w:firstLine="709"/>
        <w:jc w:val="both"/>
        <w:rPr>
          <w:rFonts w:cs="Times New Roman"/>
          <w:bCs/>
          <w:iCs/>
          <w:szCs w:val="24"/>
        </w:rPr>
      </w:pPr>
      <w:bookmarkStart w:id="109" w:name="_Hlk94702714"/>
      <w:r w:rsidRPr="009F6D1E">
        <w:rPr>
          <w:rFonts w:cs="Times New Roman"/>
          <w:bCs/>
          <w:iCs/>
          <w:szCs w:val="24"/>
        </w:rPr>
        <w:t xml:space="preserve">Разработеният </w:t>
      </w:r>
      <w:r w:rsidR="008E512A">
        <w:rPr>
          <w:rFonts w:cs="Times New Roman"/>
          <w:bCs/>
          <w:iCs/>
          <w:szCs w:val="24"/>
        </w:rPr>
        <w:t>СПРЗСР</w:t>
      </w:r>
      <w:r w:rsidRPr="009F6D1E">
        <w:rPr>
          <w:rFonts w:cs="Times New Roman"/>
          <w:bCs/>
          <w:iCs/>
          <w:szCs w:val="24"/>
        </w:rPr>
        <w:t xml:space="preserve"> е съобразен с основните насоки на документа и не влиза в противоречие с него, като анализът е представен в точка </w:t>
      </w:r>
      <w:r w:rsidR="00D5130D" w:rsidRPr="009F6D1E">
        <w:rPr>
          <w:rFonts w:cs="Times New Roman"/>
          <w:bCs/>
          <w:iCs/>
          <w:szCs w:val="24"/>
        </w:rPr>
        <w:t>7</w:t>
      </w:r>
      <w:r w:rsidRPr="009F6D1E">
        <w:rPr>
          <w:rFonts w:cs="Times New Roman"/>
          <w:bCs/>
          <w:iCs/>
          <w:szCs w:val="24"/>
        </w:rPr>
        <w:t xml:space="preserve"> от ДЕО.</w:t>
      </w:r>
    </w:p>
    <w:p w14:paraId="378A2C0C" w14:textId="77777777" w:rsidR="00DA71FA" w:rsidRPr="009F6D1E" w:rsidRDefault="00DA71FA" w:rsidP="0084747F">
      <w:pPr>
        <w:spacing w:after="60" w:line="264" w:lineRule="auto"/>
        <w:ind w:firstLine="709"/>
        <w:jc w:val="both"/>
        <w:rPr>
          <w:rFonts w:cs="Times New Roman"/>
          <w:bCs/>
          <w:iCs/>
          <w:szCs w:val="24"/>
        </w:rPr>
      </w:pPr>
    </w:p>
    <w:bookmarkEnd w:id="109"/>
    <w:p w14:paraId="4AC88B6B"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Съобщение на Европейската комисия „Нова стратегия на ЕС за горите за 2030 г.“, COM(2021) 572 </w:t>
      </w:r>
      <w:r w:rsidRPr="009F6D1E">
        <w:rPr>
          <w:b/>
          <w:bCs/>
          <w:smallCaps w:val="0"/>
          <w:color w:val="262626" w:themeColor="text1" w:themeTint="D9"/>
          <w:vertAlign w:val="superscript"/>
          <w:lang w:eastAsia="en-US" w:bidi="ar-SA"/>
        </w:rPr>
        <w:footnoteReference w:id="16"/>
      </w:r>
    </w:p>
    <w:p w14:paraId="0A997785" w14:textId="77777777" w:rsidR="0094794D" w:rsidRPr="009F6D1E" w:rsidRDefault="0094794D" w:rsidP="0084747F">
      <w:pPr>
        <w:spacing w:after="60" w:line="264" w:lineRule="auto"/>
        <w:ind w:firstLine="709"/>
        <w:jc w:val="both"/>
        <w:rPr>
          <w:rFonts w:cs="Times New Roman"/>
          <w:bCs/>
          <w:iCs/>
          <w:szCs w:val="24"/>
        </w:rPr>
      </w:pPr>
    </w:p>
    <w:p w14:paraId="3C8ACF28" w14:textId="5171488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Новата </w:t>
      </w:r>
      <w:hyperlink r:id="rId15" w:history="1">
        <w:r w:rsidRPr="009F6D1E">
          <w:rPr>
            <w:rFonts w:cs="Times New Roman"/>
            <w:bCs/>
            <w:iCs/>
            <w:szCs w:val="24"/>
          </w:rPr>
          <w:t>стратегия на ЕС за горите до 2030 г.</w:t>
        </w:r>
      </w:hyperlink>
      <w:r w:rsidRPr="009F6D1E">
        <w:rPr>
          <w:rFonts w:cs="Times New Roman"/>
          <w:bCs/>
          <w:iCs/>
          <w:szCs w:val="24"/>
        </w:rPr>
        <w:t> е една от водещите инициативи на </w:t>
      </w:r>
      <w:hyperlink r:id="rId16" w:history="1">
        <w:r w:rsidRPr="009F6D1E">
          <w:rPr>
            <w:rFonts w:cs="Times New Roman"/>
            <w:bCs/>
            <w:iCs/>
            <w:szCs w:val="24"/>
          </w:rPr>
          <w:t>Европейския зелен пакт</w:t>
        </w:r>
      </w:hyperlink>
      <w:r w:rsidRPr="009F6D1E">
        <w:rPr>
          <w:rFonts w:cs="Times New Roman"/>
          <w:bCs/>
          <w:iCs/>
          <w:szCs w:val="24"/>
        </w:rPr>
        <w:t>. Тя се основава на </w:t>
      </w:r>
      <w:hyperlink r:id="rId17" w:history="1">
        <w:r w:rsidRPr="009F6D1E">
          <w:rPr>
            <w:rFonts w:cs="Times New Roman"/>
            <w:bCs/>
            <w:iCs/>
            <w:szCs w:val="24"/>
          </w:rPr>
          <w:t>Стратегията на ЕС за биологичното разнообразие до 2030 г.</w:t>
        </w:r>
      </w:hyperlink>
      <w:r w:rsidRPr="009F6D1E">
        <w:rPr>
          <w:rFonts w:cs="Times New Roman"/>
          <w:bCs/>
          <w:iCs/>
          <w:szCs w:val="24"/>
        </w:rPr>
        <w:t xml:space="preserve">  и обхваща всички многобройни функции на горите. Същевременно тя допринася за постигането на целта на ЕС за намаляване на емисиите на парникови газове с най-малко 55 % до 2030 г. и на неутралност по отношение на климата до 2050 г. Освен това тя помага на ЕС да изпълни ангажимента си за увеличаване на поглъщането на въглерод от естествени </w:t>
      </w:r>
      <w:proofErr w:type="spellStart"/>
      <w:r w:rsidRPr="009F6D1E">
        <w:rPr>
          <w:rFonts w:cs="Times New Roman"/>
          <w:bCs/>
          <w:iCs/>
          <w:szCs w:val="24"/>
        </w:rPr>
        <w:t>поглътители</w:t>
      </w:r>
      <w:proofErr w:type="spellEnd"/>
      <w:r w:rsidRPr="009F6D1E">
        <w:rPr>
          <w:rFonts w:cs="Times New Roman"/>
          <w:bCs/>
          <w:iCs/>
          <w:szCs w:val="24"/>
        </w:rPr>
        <w:t xml:space="preserve"> в съответствие с Европейския законодателен акт за климата. Като отчита всички социални, икономически и екологични аспекти,  в стратегията за горите са залегнали съответна визия и конкретни действия за увеличаване на количеството и подобряване на качеството на горите в ЕС и за укрепване на тяхното опазване, възстановяване и устойчивост. Целта на стратегията е приспособяване на европейските гори към новите условия, екстремните метеорологични явления и високата степен на несигурност, породена от изменението на климата. Това е предпоставка горите да могат да продължат да изпълняват своите социално-икономически функции и да гарантират жизнеспособни селски райони и преуспяващо население в селските райони.</w:t>
      </w:r>
    </w:p>
    <w:p w14:paraId="343A00F5"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В стратегията се призовава за оптимална употреба на дървесината в съответствие с принципа на каскадно използване, като се дава приоритет на продуктите от дървесина, които могат да заместят съответстващите им продукти от изкопаеми материали, с особен акцент върху дълготрайните продукти от дървесина. Тя също така има за цел да се стимулира горската икономика, която се основава на недървесни горски ресурси, включително екотуризма.</w:t>
      </w:r>
    </w:p>
    <w:p w14:paraId="30437F29"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В стратегията се набелязват действия за затвърждаване на концепцията за устойчиво управление на горите по отношение на аспекти, свързани с климата и биологичното разнообразие, насърчават се най-благоприятните за климата и биологичното разнообразие практики и се предвижда в предстоящия законодателен акт на ЕС за възстановяване на природата да залегнат обвързващи цели за горите във връзка с възстановяването на природата, както бе обявено в стратегията на ЕС за биологичното разнообразие до 2030 г. Стратегията е придружена от пътна карта за засаждане на поне още 3 млрд. дървета в ЕС до 2030 г., при пълно зачитане на екологичните принципи.</w:t>
      </w:r>
    </w:p>
    <w:p w14:paraId="28721EAA"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lastRenderedPageBreak/>
        <w:t xml:space="preserve">В стратегията се предвижда също така разработването на схеми за плащания за собствениците и управителите на гори за предоставяните от тях екосистемни услуги, например като запазват непокътнати части от своите гори. Освен това се предлага набор от други способстващи фактори, които варират от научни изследвания и обучение до насоки и консултантски услуги. </w:t>
      </w:r>
    </w:p>
    <w:p w14:paraId="3D0F2046" w14:textId="77777777" w:rsidR="001931F5" w:rsidRPr="009F6D1E" w:rsidRDefault="001931F5" w:rsidP="0084747F">
      <w:pPr>
        <w:spacing w:after="60" w:line="264" w:lineRule="auto"/>
        <w:ind w:firstLine="709"/>
        <w:jc w:val="both"/>
        <w:rPr>
          <w:rFonts w:cs="Times New Roman"/>
          <w:bCs/>
          <w:iCs/>
          <w:szCs w:val="24"/>
        </w:rPr>
      </w:pPr>
      <w:bookmarkStart w:id="110" w:name="_Hlk94703705"/>
      <w:r w:rsidRPr="009F6D1E">
        <w:rPr>
          <w:rFonts w:cs="Times New Roman"/>
          <w:bCs/>
          <w:iCs/>
          <w:szCs w:val="24"/>
        </w:rPr>
        <w:t xml:space="preserve">Разработеният </w:t>
      </w:r>
      <w:r w:rsidR="00CD4045" w:rsidRPr="009F6D1E">
        <w:rPr>
          <w:rFonts w:cs="Times New Roman"/>
          <w:bCs/>
          <w:iCs/>
          <w:szCs w:val="24"/>
        </w:rPr>
        <w:t>СПРЗСР</w:t>
      </w:r>
      <w:r w:rsidRPr="009F6D1E">
        <w:rPr>
          <w:rFonts w:cs="Times New Roman"/>
          <w:bCs/>
          <w:iCs/>
          <w:szCs w:val="24"/>
        </w:rPr>
        <w:t xml:space="preserve"> е съобразен с основните насоки на документа и не влиза в противоречие с него, като анализът е представен в точка </w:t>
      </w:r>
      <w:r w:rsidR="00D5130D" w:rsidRPr="009F6D1E">
        <w:rPr>
          <w:rFonts w:cs="Times New Roman"/>
          <w:bCs/>
          <w:iCs/>
          <w:szCs w:val="24"/>
        </w:rPr>
        <w:t>7</w:t>
      </w:r>
      <w:r w:rsidRPr="009F6D1E">
        <w:rPr>
          <w:rFonts w:cs="Times New Roman"/>
          <w:bCs/>
          <w:iCs/>
          <w:szCs w:val="24"/>
        </w:rPr>
        <w:t>.1. от ДЕО.</w:t>
      </w:r>
    </w:p>
    <w:p w14:paraId="0855DFF8" w14:textId="77777777" w:rsidR="00DA71FA" w:rsidRPr="009F6D1E" w:rsidRDefault="00DA71FA" w:rsidP="0084747F">
      <w:pPr>
        <w:spacing w:after="60" w:line="264" w:lineRule="auto"/>
        <w:ind w:firstLine="709"/>
        <w:jc w:val="both"/>
        <w:rPr>
          <w:rFonts w:cs="Times New Roman"/>
          <w:bCs/>
          <w:iCs/>
          <w:szCs w:val="24"/>
        </w:rPr>
      </w:pPr>
    </w:p>
    <w:bookmarkEnd w:id="110"/>
    <w:p w14:paraId="617DEBF5"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Регламент (ЕС) 2021/694 на Европейския парламент и на Съвета от 29 април 2021 година за създаване на програмата „Цифрова Европа“ и за отмяна на Решение (ЕС) 2015/2240</w:t>
      </w:r>
      <w:r w:rsidRPr="009F6D1E">
        <w:rPr>
          <w:b/>
          <w:bCs/>
          <w:smallCaps w:val="0"/>
          <w:color w:val="262626" w:themeColor="text1" w:themeTint="D9"/>
          <w:vertAlign w:val="superscript"/>
          <w:lang w:eastAsia="en-US" w:bidi="ar-SA"/>
        </w:rPr>
        <w:footnoteReference w:id="17"/>
      </w:r>
    </w:p>
    <w:p w14:paraId="36D1FF0E" w14:textId="77777777" w:rsidR="0094794D" w:rsidRPr="009F6D1E" w:rsidRDefault="0094794D" w:rsidP="0084747F">
      <w:pPr>
        <w:spacing w:after="60" w:line="264" w:lineRule="auto"/>
        <w:ind w:firstLine="720"/>
        <w:jc w:val="both"/>
        <w:rPr>
          <w:rFonts w:cs="Times New Roman"/>
          <w:bCs/>
          <w:iCs/>
          <w:szCs w:val="24"/>
        </w:rPr>
      </w:pPr>
    </w:p>
    <w:p w14:paraId="313288E3"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С Регламент (ЕС) 2021/694 се създава програмата „Цифрова Европа“ за периода 2021-2027 г. и се определят целите на програмата, бюджетът, формите на финансиране от Европейския Съюз и правилата за предоставяне на такова финансиране. С общ бюджет от 7.588 млрд. евро, програмата ще предоставя финансиране за проекти за внедряването на авангардни технологии в 5 ключови области:</w:t>
      </w:r>
    </w:p>
    <w:p w14:paraId="7ABA4D4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Високопроизводителни изчислителни технологии: 2.2 млрд. евро;</w:t>
      </w:r>
    </w:p>
    <w:p w14:paraId="583343F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Изкуствен интелект: 2 млрд. евро;</w:t>
      </w:r>
    </w:p>
    <w:p w14:paraId="41C3CE0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Киберсигурност и доверие: 1.6 млрд. евро;</w:t>
      </w:r>
    </w:p>
    <w:p w14:paraId="0FC38DD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Задълбочени цифрови умения: 577 млн. евро;</w:t>
      </w:r>
    </w:p>
    <w:p w14:paraId="5C25BD9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Внедряване, използване по най-добрия начин на цифровия капацитет и оперативна съвместимост: 1 млрд. евро.</w:t>
      </w:r>
    </w:p>
    <w:p w14:paraId="2EE6F1B8"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 xml:space="preserve">Разработеният </w:t>
      </w:r>
      <w:r w:rsidR="00CD4045" w:rsidRPr="009F6D1E">
        <w:rPr>
          <w:rFonts w:cs="Times New Roman"/>
          <w:bCs/>
          <w:iCs/>
          <w:szCs w:val="24"/>
        </w:rPr>
        <w:t>СПРЗСР</w:t>
      </w:r>
      <w:r w:rsidRPr="009F6D1E">
        <w:rPr>
          <w:rFonts w:cs="Times New Roman"/>
          <w:bCs/>
          <w:iCs/>
          <w:szCs w:val="24"/>
        </w:rPr>
        <w:t xml:space="preserve"> е съобразен с основните насоки на документа и не влиза в противоречие с него, като анализът е представен в точка </w:t>
      </w:r>
      <w:r w:rsidR="00D5130D" w:rsidRPr="009F6D1E">
        <w:rPr>
          <w:rFonts w:cs="Times New Roman"/>
          <w:bCs/>
          <w:iCs/>
          <w:szCs w:val="24"/>
        </w:rPr>
        <w:t>7</w:t>
      </w:r>
      <w:r w:rsidRPr="009F6D1E">
        <w:rPr>
          <w:rFonts w:cs="Times New Roman"/>
          <w:bCs/>
          <w:iCs/>
          <w:szCs w:val="24"/>
        </w:rPr>
        <w:t>.1. от ДЕО.</w:t>
      </w:r>
    </w:p>
    <w:p w14:paraId="6CD3EB98" w14:textId="77777777" w:rsidR="001931F5" w:rsidRPr="009F6D1E" w:rsidRDefault="001931F5" w:rsidP="0084747F">
      <w:pPr>
        <w:spacing w:after="60" w:line="264" w:lineRule="auto"/>
        <w:ind w:firstLine="709"/>
        <w:jc w:val="both"/>
        <w:rPr>
          <w:rFonts w:cs="Times New Roman"/>
          <w:bCs/>
          <w:iCs/>
          <w:szCs w:val="24"/>
        </w:rPr>
      </w:pPr>
    </w:p>
    <w:p w14:paraId="19021890" w14:textId="77777777" w:rsidR="006C3FC9" w:rsidRPr="009F6D1E" w:rsidRDefault="006C3FC9">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bookmarkStart w:id="111" w:name="_Hlk105425551"/>
      <w:r w:rsidRPr="009F6D1E">
        <w:rPr>
          <w:b/>
          <w:bCs/>
          <w:smallCaps w:val="0"/>
          <w:color w:val="262626" w:themeColor="text1" w:themeTint="D9"/>
          <w:lang w:eastAsia="en-US" w:bidi="ar-SA"/>
        </w:rPr>
        <w:t xml:space="preserve">Съобщение на Европейската комисия „План за действие за развитието на биологичното производство“, COM(2021) 141 </w:t>
      </w:r>
      <w:proofErr w:type="spellStart"/>
      <w:r w:rsidRPr="009F6D1E">
        <w:rPr>
          <w:b/>
          <w:bCs/>
          <w:smallCaps w:val="0"/>
          <w:color w:val="262626" w:themeColor="text1" w:themeTint="D9"/>
          <w:lang w:eastAsia="en-US" w:bidi="ar-SA"/>
        </w:rPr>
        <w:t>final</w:t>
      </w:r>
      <w:proofErr w:type="spellEnd"/>
      <w:r w:rsidR="00BE5FF4" w:rsidRPr="009F6D1E">
        <w:rPr>
          <w:b/>
          <w:bCs/>
          <w:smallCaps w:val="0"/>
          <w:color w:val="262626" w:themeColor="text1" w:themeTint="D9"/>
          <w:lang w:eastAsia="en-US" w:bidi="ar-SA"/>
        </w:rPr>
        <w:t xml:space="preserve"> 18</w:t>
      </w:r>
      <w:r w:rsidR="00BE5FF4" w:rsidRPr="009F6D1E">
        <w:rPr>
          <w:rStyle w:val="FootnoteReference"/>
          <w:b/>
          <w:bCs/>
          <w:smallCaps w:val="0"/>
          <w:color w:val="262626" w:themeColor="text1" w:themeTint="D9"/>
          <w:lang w:eastAsia="en-US" w:bidi="ar-SA"/>
        </w:rPr>
        <w:footnoteReference w:id="18"/>
      </w:r>
    </w:p>
    <w:bookmarkEnd w:id="111"/>
    <w:p w14:paraId="007506FC" w14:textId="77777777" w:rsidR="00FF48F6" w:rsidRPr="009F6D1E" w:rsidRDefault="00FF48F6" w:rsidP="0084747F">
      <w:pPr>
        <w:spacing w:after="60" w:line="264" w:lineRule="auto"/>
        <w:ind w:firstLine="709"/>
        <w:jc w:val="both"/>
        <w:rPr>
          <w:rFonts w:cs="Times New Roman"/>
          <w:szCs w:val="24"/>
        </w:rPr>
      </w:pPr>
    </w:p>
    <w:p w14:paraId="2499ADA4" w14:textId="77777777" w:rsidR="00FF48F6" w:rsidRPr="009F6D1E" w:rsidRDefault="00FF48F6" w:rsidP="0084747F">
      <w:pPr>
        <w:spacing w:after="60" w:line="264" w:lineRule="auto"/>
        <w:ind w:firstLine="709"/>
        <w:jc w:val="both"/>
        <w:rPr>
          <w:rFonts w:cs="Times New Roman"/>
          <w:szCs w:val="24"/>
        </w:rPr>
      </w:pPr>
      <w:r w:rsidRPr="009F6D1E">
        <w:rPr>
          <w:rFonts w:cs="Times New Roman"/>
          <w:szCs w:val="24"/>
        </w:rPr>
        <w:t xml:space="preserve">За да се постигне амбициозната цел до 2030 г. 25 % от земеделската площ да се използва за биологично земеделие и значително да се увеличи биологичната аквакултура, както е предвидено в стратегията „От фермата до трапезата“ и в Стратегията за биологичното разнообразие, е необходимо за биологичния сектор да се осигурят инструменти, с които ще се създадат условията, които могат да предизвикат промяна в селското стопанство и аквакултурата на ЕС за постигане на високите стандарти за качество, които потребителите от ЕС ценят. Освен това целта в областта на биологичното земеделие ще допринесе значително </w:t>
      </w:r>
      <w:r w:rsidRPr="009F6D1E">
        <w:rPr>
          <w:rFonts w:cs="Times New Roman"/>
          <w:szCs w:val="24"/>
        </w:rPr>
        <w:lastRenderedPageBreak/>
        <w:t>за постигането на другите цели, предвидени в Стратегията за биологичното разнообразие и стратегията „От фермата до трапезата“, като например целта за намаляване на използването на пестициди и целта за намаляване на излишъка от хранителни вещества, като в същото време ще спомогне за напредъка на ЕС по отношение на амбицията за нулево замърсяване с оглед постигането на нетоксична околна среда.</w:t>
      </w:r>
    </w:p>
    <w:p w14:paraId="36A739FB" w14:textId="77777777" w:rsidR="006C3FC9" w:rsidRPr="009F6D1E" w:rsidRDefault="003F7BCE" w:rsidP="0084747F">
      <w:pPr>
        <w:spacing w:after="60" w:line="264" w:lineRule="auto"/>
        <w:ind w:firstLine="709"/>
        <w:jc w:val="both"/>
        <w:rPr>
          <w:rFonts w:cs="Times New Roman"/>
          <w:szCs w:val="24"/>
        </w:rPr>
      </w:pPr>
      <w:r w:rsidRPr="009F6D1E">
        <w:rPr>
          <w:rFonts w:cs="Times New Roman"/>
          <w:szCs w:val="24"/>
        </w:rPr>
        <w:t>Водещата цел на плана за действие: „</w:t>
      </w:r>
      <w:r w:rsidRPr="009F6D1E">
        <w:rPr>
          <w:rFonts w:cs="Times New Roman"/>
          <w:i/>
          <w:szCs w:val="24"/>
        </w:rPr>
        <w:t>Да се осигури стабилна основа за бъдещето на сектора</w:t>
      </w:r>
      <w:r w:rsidRPr="009F6D1E">
        <w:rPr>
          <w:rFonts w:cs="Times New Roman"/>
          <w:szCs w:val="24"/>
        </w:rPr>
        <w:t>“.</w:t>
      </w:r>
    </w:p>
    <w:p w14:paraId="48682983" w14:textId="77777777" w:rsidR="003F7BCE" w:rsidRPr="009F6D1E" w:rsidRDefault="003F7BCE" w:rsidP="0084747F">
      <w:pPr>
        <w:spacing w:after="60" w:line="264" w:lineRule="auto"/>
        <w:ind w:firstLine="709"/>
        <w:jc w:val="both"/>
        <w:rPr>
          <w:rFonts w:cs="Times New Roman"/>
          <w:szCs w:val="24"/>
        </w:rPr>
      </w:pPr>
      <w:r w:rsidRPr="009F6D1E">
        <w:rPr>
          <w:rFonts w:cs="Times New Roman"/>
          <w:b/>
          <w:i/>
          <w:szCs w:val="24"/>
        </w:rPr>
        <w:t>Направление 1.</w:t>
      </w:r>
      <w:r w:rsidR="00FF48F6" w:rsidRPr="009F6D1E">
        <w:rPr>
          <w:rFonts w:cs="Times New Roman"/>
          <w:b/>
          <w:szCs w:val="24"/>
        </w:rPr>
        <w:t>:</w:t>
      </w:r>
      <w:r w:rsidRPr="009F6D1E">
        <w:rPr>
          <w:rFonts w:cs="Times New Roman"/>
          <w:szCs w:val="24"/>
        </w:rPr>
        <w:t xml:space="preserve"> Биологични храни и продукти за всички: стимулиране на търсенето и гарантиране на доверието на потребителите</w:t>
      </w:r>
    </w:p>
    <w:p w14:paraId="5F0D6825" w14:textId="77777777" w:rsidR="003F7BCE" w:rsidRPr="009F6D1E" w:rsidRDefault="003F7BCE" w:rsidP="0084747F">
      <w:pPr>
        <w:pStyle w:val="li"/>
        <w:spacing w:before="0" w:beforeAutospacing="0" w:after="60" w:afterAutospacing="0" w:line="264" w:lineRule="auto"/>
        <w:ind w:firstLine="708"/>
        <w:rPr>
          <w:i/>
          <w:lang w:val="bg-BG"/>
        </w:rPr>
      </w:pPr>
      <w:r w:rsidRPr="009F6D1E">
        <w:rPr>
          <w:rStyle w:val="num"/>
          <w:rFonts w:eastAsia="ヒラギノ角ゴ Pro W3"/>
          <w:i/>
          <w:lang w:val="bg-BG"/>
        </w:rPr>
        <w:t>1.1.</w:t>
      </w:r>
      <w:r w:rsidRPr="009F6D1E">
        <w:rPr>
          <w:i/>
          <w:lang w:val="bg-BG"/>
        </w:rPr>
        <w:t xml:space="preserve"> Популяризиране на биологичното земеделие и на логото на ЕС </w:t>
      </w:r>
    </w:p>
    <w:p w14:paraId="20614051"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1:</w:t>
      </w:r>
      <w:r w:rsidRPr="009F6D1E">
        <w:rPr>
          <w:rFonts w:cs="Times New Roman"/>
          <w:szCs w:val="24"/>
        </w:rPr>
        <w:t xml:space="preserve"> По отношение на предоставянето на информация и комуникациите Комисията:</w:t>
      </w:r>
    </w:p>
    <w:p w14:paraId="4DED13FB" w14:textId="77777777" w:rsidR="00FF48F6" w:rsidRPr="009F6D1E" w:rsidRDefault="003F7BCE">
      <w:pPr>
        <w:pStyle w:val="ListParagraph"/>
        <w:numPr>
          <w:ilvl w:val="0"/>
          <w:numId w:val="69"/>
        </w:numPr>
        <w:spacing w:after="60" w:line="264" w:lineRule="auto"/>
        <w:ind w:left="426"/>
        <w:jc w:val="both"/>
        <w:rPr>
          <w:lang w:val="bg-BG"/>
        </w:rPr>
      </w:pPr>
      <w:r w:rsidRPr="009F6D1E">
        <w:rPr>
          <w:lang w:val="bg-BG"/>
        </w:rPr>
        <w:t xml:space="preserve">от 2021 г. нататък ще акцентира в по-голяма степен върху биологичните продукти в контекста на темите, обхванати в годишните покани за представяне на предложения относно информационните мерки в областта на </w:t>
      </w:r>
      <w:r w:rsidR="00D809BC" w:rsidRPr="009F6D1E">
        <w:rPr>
          <w:lang w:val="bg-BG"/>
        </w:rPr>
        <w:t>РЗСР</w:t>
      </w:r>
      <w:r w:rsidRPr="009F6D1E">
        <w:rPr>
          <w:lang w:val="bg-BG"/>
        </w:rPr>
        <w:t>;</w:t>
      </w:r>
    </w:p>
    <w:p w14:paraId="1B2452A3" w14:textId="77777777" w:rsidR="00FF48F6" w:rsidRPr="009F6D1E" w:rsidRDefault="003F7BCE">
      <w:pPr>
        <w:pStyle w:val="ListParagraph"/>
        <w:numPr>
          <w:ilvl w:val="0"/>
          <w:numId w:val="69"/>
        </w:numPr>
        <w:spacing w:after="60" w:line="264" w:lineRule="auto"/>
        <w:ind w:left="426"/>
        <w:jc w:val="both"/>
        <w:rPr>
          <w:lang w:val="bg-BG"/>
        </w:rPr>
      </w:pPr>
      <w:r w:rsidRPr="009F6D1E">
        <w:rPr>
          <w:lang w:val="bg-BG"/>
        </w:rPr>
        <w:t>от 2022 г. нататък ще събира непрекъснато данни относно екологичните, икономическите и социалните ползи от биологичното земеделие и ще информира гражданите, включително земеделските стопани, относно тези ползи, като засили използването на социалните мрежи;</w:t>
      </w:r>
    </w:p>
    <w:p w14:paraId="5B82F182" w14:textId="77777777" w:rsidR="00FF48F6" w:rsidRPr="009F6D1E" w:rsidRDefault="003F7BCE">
      <w:pPr>
        <w:pStyle w:val="ListParagraph"/>
        <w:numPr>
          <w:ilvl w:val="0"/>
          <w:numId w:val="69"/>
        </w:numPr>
        <w:spacing w:after="60" w:line="264" w:lineRule="auto"/>
        <w:ind w:left="426"/>
        <w:jc w:val="both"/>
        <w:rPr>
          <w:lang w:val="bg-BG"/>
        </w:rPr>
      </w:pPr>
      <w:r w:rsidRPr="009F6D1E">
        <w:rPr>
          <w:lang w:val="bg-BG"/>
        </w:rPr>
        <w:t xml:space="preserve">от 2022 г. нататък ще измерва осведомеността на потребителите относно логото на ЕС за биологично производство, за да следи напредъка, постигнат след проучването на Евробарометър от 2020 г.; ще продължи да провежда проучвания на Евробарометър като ценен инструмент за измерване на ефективността на действията на Комисията за популяризиране на логото за биологично производство; както и </w:t>
      </w:r>
    </w:p>
    <w:p w14:paraId="4977EE34" w14:textId="77777777" w:rsidR="003F7BCE" w:rsidRPr="009F6D1E" w:rsidRDefault="003F7BCE">
      <w:pPr>
        <w:pStyle w:val="ListParagraph"/>
        <w:numPr>
          <w:ilvl w:val="0"/>
          <w:numId w:val="69"/>
        </w:numPr>
        <w:spacing w:after="60" w:line="264" w:lineRule="auto"/>
        <w:ind w:left="426"/>
        <w:jc w:val="both"/>
        <w:rPr>
          <w:lang w:val="bg-BG"/>
        </w:rPr>
      </w:pPr>
      <w:r w:rsidRPr="009F6D1E">
        <w:rPr>
          <w:lang w:val="bg-BG"/>
        </w:rPr>
        <w:t>ще набележи основни мероприятия за предоставяне на информация относно биологичните продукти 17 , по-специално в държавите членки, в които търсенето е под средното равнище за ЕС, като си сътрудничи с Европейския парламент и с други органи, като например Европейския икономически и социален комитет, Комитета на регионите и представителствата на Комисията в държавите членки.</w:t>
      </w:r>
    </w:p>
    <w:p w14:paraId="18FA22E6"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2:</w:t>
      </w:r>
      <w:r w:rsidRPr="009F6D1E">
        <w:rPr>
          <w:rFonts w:cs="Times New Roman"/>
          <w:szCs w:val="24"/>
        </w:rPr>
        <w:t xml:space="preserve"> По отношение на насърчаването Комисията ще продължи да осигурява амбициозен бюджет в рамките на политиката на ЕС за насърчаване с цел да се стимулира потреблението на биологични продукти, който съответства на амбицията, политиките и действията по стратегията „От фермата до трапезата“ и Европейския план за борба с рака. </w:t>
      </w:r>
    </w:p>
    <w:p w14:paraId="4F199B82" w14:textId="77777777" w:rsidR="003F7BCE" w:rsidRPr="009F6D1E" w:rsidRDefault="003F7BCE" w:rsidP="0084747F">
      <w:pPr>
        <w:pStyle w:val="li"/>
        <w:spacing w:before="0" w:beforeAutospacing="0" w:after="60" w:afterAutospacing="0" w:line="264" w:lineRule="auto"/>
        <w:ind w:firstLine="708"/>
        <w:rPr>
          <w:i/>
          <w:lang w:val="bg-BG"/>
        </w:rPr>
      </w:pPr>
      <w:r w:rsidRPr="009F6D1E">
        <w:rPr>
          <w:rStyle w:val="num"/>
          <w:rFonts w:eastAsia="ヒラギノ角ゴ Pro W3"/>
          <w:i/>
          <w:lang w:val="bg-BG"/>
        </w:rPr>
        <w:t>1.2.</w:t>
      </w:r>
      <w:r w:rsidRPr="009F6D1E">
        <w:rPr>
          <w:i/>
          <w:lang w:val="bg-BG"/>
        </w:rPr>
        <w:t xml:space="preserve"> Насърчаване на столови с биологични продукти и увеличаване на използването на екологосъобразни обществени поръчки </w:t>
      </w:r>
    </w:p>
    <w:p w14:paraId="246FAEC8"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3:</w:t>
      </w:r>
      <w:r w:rsidRPr="009F6D1E">
        <w:rPr>
          <w:rFonts w:cs="Times New Roman"/>
          <w:szCs w:val="24"/>
        </w:rPr>
        <w:t xml:space="preserve"> За да се стимулира по-широкото използване на биологични </w:t>
      </w:r>
      <w:r w:rsidR="00FF48F6" w:rsidRPr="009F6D1E">
        <w:rPr>
          <w:rFonts w:cs="Times New Roman"/>
          <w:szCs w:val="24"/>
        </w:rPr>
        <w:t>продукти в обществените столови</w:t>
      </w:r>
      <w:r w:rsidRPr="009F6D1E">
        <w:rPr>
          <w:rFonts w:cs="Times New Roman"/>
          <w:szCs w:val="24"/>
        </w:rPr>
        <w:t xml:space="preserve">; </w:t>
      </w:r>
    </w:p>
    <w:p w14:paraId="6B90FF5A" w14:textId="77777777" w:rsidR="003F7BCE" w:rsidRPr="009F6D1E" w:rsidRDefault="003F7BCE" w:rsidP="0084747F">
      <w:pPr>
        <w:pStyle w:val="li"/>
        <w:spacing w:before="0" w:beforeAutospacing="0" w:after="60" w:afterAutospacing="0" w:line="264" w:lineRule="auto"/>
        <w:ind w:firstLine="708"/>
        <w:rPr>
          <w:i/>
          <w:lang w:val="bg-BG"/>
        </w:rPr>
      </w:pPr>
      <w:r w:rsidRPr="009F6D1E">
        <w:rPr>
          <w:rStyle w:val="num"/>
          <w:rFonts w:eastAsia="ヒラギノ角ゴ Pro W3"/>
          <w:i/>
          <w:lang w:val="bg-BG"/>
        </w:rPr>
        <w:t>1.3.</w:t>
      </w:r>
      <w:r w:rsidRPr="009F6D1E">
        <w:rPr>
          <w:i/>
          <w:lang w:val="bg-BG"/>
        </w:rPr>
        <w:t xml:space="preserve"> Засилване на присъствието на биологичните храни в схемите за училищата </w:t>
      </w:r>
    </w:p>
    <w:p w14:paraId="34A11196" w14:textId="77777777" w:rsidR="003F7BCE" w:rsidRPr="009F6D1E" w:rsidRDefault="003F7BCE" w:rsidP="0084747F">
      <w:pPr>
        <w:pStyle w:val="commenttext0"/>
        <w:spacing w:before="0" w:beforeAutospacing="0" w:after="60" w:afterAutospacing="0" w:line="264" w:lineRule="auto"/>
        <w:ind w:firstLine="708"/>
        <w:jc w:val="both"/>
        <w:rPr>
          <w:lang w:val="bg-BG"/>
        </w:rPr>
      </w:pPr>
      <w:r w:rsidRPr="009F6D1E">
        <w:rPr>
          <w:i/>
          <w:lang w:val="bg-BG"/>
        </w:rPr>
        <w:lastRenderedPageBreak/>
        <w:t>Действие 4:</w:t>
      </w:r>
      <w:r w:rsidRPr="009F6D1E">
        <w:rPr>
          <w:lang w:val="bg-BG"/>
        </w:rPr>
        <w:t xml:space="preserve"> Като част от прегледа на уредбата за схемата на ЕС за училищата, планиран за 2023 г. в рамките на стратегията „От фермата до трапезата“, и в съответствие с Европейския план за борба с рака Комисията: </w:t>
      </w:r>
    </w:p>
    <w:p w14:paraId="222C84EE" w14:textId="77777777" w:rsidR="00FF48F6" w:rsidRPr="009F6D1E" w:rsidRDefault="00FF48F6">
      <w:pPr>
        <w:pStyle w:val="commenttext0"/>
        <w:numPr>
          <w:ilvl w:val="0"/>
          <w:numId w:val="70"/>
        </w:numPr>
        <w:spacing w:before="0" w:beforeAutospacing="0" w:after="60" w:afterAutospacing="0" w:line="264" w:lineRule="auto"/>
        <w:jc w:val="both"/>
        <w:rPr>
          <w:lang w:val="bg-BG"/>
        </w:rPr>
      </w:pPr>
      <w:r w:rsidRPr="009F6D1E">
        <w:rPr>
          <w:lang w:val="bg-BG"/>
        </w:rPr>
        <w:t xml:space="preserve">ще се ангажира заедно с държавите членки да набележи начини за допълнително увеличаване на предлагането на биологични продукти в рамките на схемите за училищата. Комисията ще прикани държавите членки да продължат да увеличават този дял, а тези, които са изостанали, ще трябва да положат допълнителни усилия; както и </w:t>
      </w:r>
    </w:p>
    <w:p w14:paraId="20F46558" w14:textId="77777777" w:rsidR="00FF48F6" w:rsidRPr="009F6D1E" w:rsidRDefault="00FF48F6">
      <w:pPr>
        <w:pStyle w:val="commenttext0"/>
        <w:numPr>
          <w:ilvl w:val="0"/>
          <w:numId w:val="70"/>
        </w:numPr>
        <w:spacing w:before="0" w:beforeAutospacing="0" w:after="60" w:afterAutospacing="0" w:line="264" w:lineRule="auto"/>
        <w:jc w:val="both"/>
        <w:rPr>
          <w:lang w:val="bg-BG"/>
        </w:rPr>
      </w:pPr>
      <w:r w:rsidRPr="009F6D1E">
        <w:rPr>
          <w:lang w:val="bg-BG"/>
        </w:rPr>
        <w:t xml:space="preserve">ще проведе проучване относно реалната цена на храните, включително ролята на данъчното облагане, с цел да бъдат изготвени препоръки. </w:t>
      </w:r>
    </w:p>
    <w:p w14:paraId="5AE0B45D" w14:textId="77777777" w:rsidR="003F7BCE" w:rsidRPr="009F6D1E" w:rsidRDefault="003F7BCE" w:rsidP="0084747F">
      <w:pPr>
        <w:pStyle w:val="li"/>
        <w:spacing w:before="0" w:beforeAutospacing="0" w:after="60" w:afterAutospacing="0" w:line="264" w:lineRule="auto"/>
        <w:ind w:firstLine="708"/>
        <w:jc w:val="both"/>
        <w:rPr>
          <w:rStyle w:val="num"/>
          <w:rFonts w:eastAsia="ヒラギノ角ゴ Pro W3"/>
          <w:i/>
          <w:lang w:val="bg-BG"/>
        </w:rPr>
      </w:pPr>
      <w:r w:rsidRPr="009F6D1E">
        <w:rPr>
          <w:rStyle w:val="num"/>
          <w:rFonts w:eastAsia="ヒラギノ角ゴ Pro W3"/>
          <w:i/>
          <w:lang w:val="bg-BG"/>
        </w:rPr>
        <w:t xml:space="preserve">1.4. Предотвратяване на измамите с храни и засилване на доверието на потребителите </w:t>
      </w:r>
    </w:p>
    <w:p w14:paraId="797433FD" w14:textId="77777777" w:rsidR="003F7BCE" w:rsidRPr="009F6D1E" w:rsidRDefault="003F7BCE" w:rsidP="0084747F">
      <w:pPr>
        <w:pStyle w:val="Normal1"/>
        <w:spacing w:before="0" w:beforeAutospacing="0" w:after="60" w:afterAutospacing="0" w:line="264" w:lineRule="auto"/>
        <w:ind w:firstLine="708"/>
        <w:jc w:val="both"/>
        <w:rPr>
          <w:lang w:val="bg-BG"/>
        </w:rPr>
      </w:pPr>
      <w:r w:rsidRPr="009F6D1E">
        <w:rPr>
          <w:i/>
          <w:lang w:val="bg-BG"/>
        </w:rPr>
        <w:t>Действие 5:</w:t>
      </w:r>
      <w:r w:rsidRPr="009F6D1E">
        <w:rPr>
          <w:lang w:val="bg-BG"/>
        </w:rPr>
        <w:t xml:space="preserve"> От 2021 г. нататък Комисията ще засили борбата срещу измамническите практики </w:t>
      </w:r>
    </w:p>
    <w:p w14:paraId="79FB79CD" w14:textId="77777777" w:rsidR="003F7BCE" w:rsidRPr="009F6D1E" w:rsidRDefault="003F7BCE"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 xml:space="preserve">1.5. Подобряване на проследимостта </w:t>
      </w:r>
    </w:p>
    <w:p w14:paraId="3F7CA848" w14:textId="77777777" w:rsidR="003F7BCE" w:rsidRPr="009F6D1E" w:rsidRDefault="003F7BCE" w:rsidP="0084747F">
      <w:pPr>
        <w:spacing w:after="60" w:line="264" w:lineRule="auto"/>
        <w:ind w:firstLine="708"/>
        <w:rPr>
          <w:rFonts w:eastAsia="Times New Roman" w:cs="Times New Roman"/>
          <w:szCs w:val="24"/>
        </w:rPr>
      </w:pPr>
      <w:r w:rsidRPr="009F6D1E">
        <w:rPr>
          <w:rFonts w:eastAsia="Times New Roman" w:cs="Times New Roman"/>
          <w:i/>
          <w:szCs w:val="24"/>
        </w:rPr>
        <w:t>Действие 6:</w:t>
      </w:r>
      <w:r w:rsidRPr="009F6D1E">
        <w:rPr>
          <w:rFonts w:eastAsia="Times New Roman" w:cs="Times New Roman"/>
          <w:szCs w:val="24"/>
        </w:rPr>
        <w:t xml:space="preserve"> От 2021 г. нататък Комисията: </w:t>
      </w:r>
    </w:p>
    <w:p w14:paraId="2C50A0E8" w14:textId="77777777" w:rsidR="00FF48F6" w:rsidRPr="009F6D1E" w:rsidRDefault="003F7BCE">
      <w:pPr>
        <w:pStyle w:val="commenttext0"/>
        <w:numPr>
          <w:ilvl w:val="0"/>
          <w:numId w:val="70"/>
        </w:numPr>
        <w:spacing w:before="0" w:beforeAutospacing="0" w:after="60" w:afterAutospacing="0" w:line="264" w:lineRule="auto"/>
        <w:jc w:val="both"/>
        <w:rPr>
          <w:lang w:val="bg-BG"/>
        </w:rPr>
      </w:pPr>
      <w:r w:rsidRPr="009F6D1E">
        <w:rPr>
          <w:lang w:val="bg-BG"/>
        </w:rPr>
        <w:t>ще разработи база данни със сертифика</w:t>
      </w:r>
      <w:r w:rsidR="00FF48F6" w:rsidRPr="009F6D1E">
        <w:rPr>
          <w:lang w:val="bg-BG"/>
        </w:rPr>
        <w:t>тите на всички оператори от ЕС</w:t>
      </w:r>
    </w:p>
    <w:p w14:paraId="2C39BA73" w14:textId="77777777" w:rsidR="00FF48F6" w:rsidRPr="009F6D1E" w:rsidRDefault="003F7BCE">
      <w:pPr>
        <w:pStyle w:val="commenttext0"/>
        <w:numPr>
          <w:ilvl w:val="0"/>
          <w:numId w:val="70"/>
        </w:numPr>
        <w:spacing w:before="0" w:beforeAutospacing="0" w:after="60" w:afterAutospacing="0" w:line="264" w:lineRule="auto"/>
        <w:jc w:val="both"/>
        <w:rPr>
          <w:lang w:val="bg-BG"/>
        </w:rPr>
      </w:pPr>
      <w:r w:rsidRPr="009F6D1E">
        <w:rPr>
          <w:lang w:val="bg-BG"/>
        </w:rPr>
        <w:t>ще насърчава регистрирането на компетентните органи и на надзорните органи, за да подписват сертификатите за инспе</w:t>
      </w:r>
      <w:r w:rsidR="00FF48F6" w:rsidRPr="009F6D1E">
        <w:rPr>
          <w:lang w:val="bg-BG"/>
        </w:rPr>
        <w:t>кция в TRACES по електронен път</w:t>
      </w:r>
    </w:p>
    <w:p w14:paraId="3DB2A345" w14:textId="77777777" w:rsidR="003F7BCE" w:rsidRPr="009F6D1E" w:rsidRDefault="003F7BCE">
      <w:pPr>
        <w:pStyle w:val="commenttext0"/>
        <w:numPr>
          <w:ilvl w:val="0"/>
          <w:numId w:val="70"/>
        </w:numPr>
        <w:spacing w:before="0" w:beforeAutospacing="0" w:after="60" w:afterAutospacing="0" w:line="264" w:lineRule="auto"/>
        <w:jc w:val="both"/>
        <w:rPr>
          <w:lang w:val="bg-BG"/>
        </w:rPr>
      </w:pPr>
      <w:r w:rsidRPr="009F6D1E">
        <w:rPr>
          <w:lang w:val="bg-BG"/>
        </w:rPr>
        <w:t xml:space="preserve">ще координира редовни проверки на проследимостта по отношение на биологичните продукти в сътрудничество с държавите членки, техните надзорни органи и трети държави, по-специално в случаите на подозрения за измама с храни. </w:t>
      </w:r>
    </w:p>
    <w:p w14:paraId="092E7193"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7:</w:t>
      </w:r>
      <w:r w:rsidRPr="009F6D1E">
        <w:rPr>
          <w:rFonts w:cs="Times New Roman"/>
          <w:szCs w:val="24"/>
        </w:rPr>
        <w:t xml:space="preserve"> От 2021 г. нататък Комисията:</w:t>
      </w:r>
    </w:p>
    <w:p w14:paraId="55C7D045" w14:textId="77777777" w:rsidR="00506BC6" w:rsidRPr="009F6D1E" w:rsidRDefault="003F7BCE">
      <w:pPr>
        <w:pStyle w:val="commenttext0"/>
        <w:numPr>
          <w:ilvl w:val="0"/>
          <w:numId w:val="70"/>
        </w:numPr>
        <w:spacing w:before="0" w:beforeAutospacing="0" w:after="60" w:afterAutospacing="0" w:line="264" w:lineRule="auto"/>
        <w:jc w:val="both"/>
        <w:rPr>
          <w:lang w:val="bg-BG"/>
        </w:rPr>
      </w:pPr>
      <w:r w:rsidRPr="009F6D1E">
        <w:rPr>
          <w:lang w:val="bg-BG"/>
        </w:rPr>
        <w:t xml:space="preserve">постигайки полезно взаимодействие с работата по цифровите продуктови паспорти, Комисията ще изготви оценка до каква степен проследимостта на биологичните продукти може да бъде подпомогната от блоковата верига или други цифрови технологии и като следваща стъпка ще изготви пилотен проект със заинтересованите страни. </w:t>
      </w:r>
    </w:p>
    <w:p w14:paraId="6D8DC5EC" w14:textId="77777777" w:rsidR="003F7BCE" w:rsidRPr="009F6D1E" w:rsidRDefault="003F7BCE"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 xml:space="preserve">1.6. Приносът на частния сектор </w:t>
      </w:r>
    </w:p>
    <w:p w14:paraId="72EEED49"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8:</w:t>
      </w:r>
      <w:r w:rsidRPr="009F6D1E">
        <w:rPr>
          <w:rFonts w:cs="Times New Roman"/>
          <w:szCs w:val="24"/>
        </w:rPr>
        <w:t xml:space="preserve"> С цел да укрепи ролята на търговците на дребно и на едро, кетъринг услугите, ресторантите и други дружества, от 2021 г.</w:t>
      </w:r>
      <w:r w:rsidR="00506BC6" w:rsidRPr="009F6D1E">
        <w:rPr>
          <w:rFonts w:cs="Times New Roman"/>
          <w:szCs w:val="24"/>
        </w:rPr>
        <w:t xml:space="preserve"> нататък Комисията:</w:t>
      </w:r>
    </w:p>
    <w:p w14:paraId="531201C7" w14:textId="77777777" w:rsidR="00506BC6" w:rsidRPr="009F6D1E" w:rsidRDefault="00506BC6">
      <w:pPr>
        <w:pStyle w:val="ListParagraph"/>
        <w:numPr>
          <w:ilvl w:val="0"/>
          <w:numId w:val="71"/>
        </w:numPr>
        <w:spacing w:after="60" w:line="264" w:lineRule="auto"/>
        <w:jc w:val="both"/>
        <w:rPr>
          <w:lang w:val="bg-BG"/>
        </w:rPr>
      </w:pPr>
      <w:r w:rsidRPr="009F6D1E">
        <w:rPr>
          <w:lang w:val="bg-BG"/>
        </w:rPr>
        <w:t xml:space="preserve">ще се стреми да получи ясни ангажименти от съответните заинтересовани страни за подкрепа и увеличаване на разпространението и продажбата на биологични продукти в контекста на заложения в стратегията „От фермата до трапезата“ кодекс за поведение за отговорни стопански и маркетингови практики и ще разпространява най-добрите практики чрез подходящите платформи, като например платформата на заинтересованите страни в областта на кръговата икономика; както и </w:t>
      </w:r>
    </w:p>
    <w:p w14:paraId="74DB1DA9" w14:textId="77777777" w:rsidR="003F7BCE" w:rsidRPr="009F6D1E" w:rsidRDefault="00506BC6">
      <w:pPr>
        <w:pStyle w:val="ListParagraph"/>
        <w:numPr>
          <w:ilvl w:val="0"/>
          <w:numId w:val="71"/>
        </w:numPr>
        <w:spacing w:after="60" w:line="264" w:lineRule="auto"/>
        <w:jc w:val="both"/>
        <w:rPr>
          <w:lang w:val="bg-BG"/>
        </w:rPr>
      </w:pPr>
      <w:r w:rsidRPr="009F6D1E">
        <w:rPr>
          <w:rFonts w:eastAsiaTheme="minorHAnsi"/>
          <w:lang w:val="bg-BG"/>
        </w:rPr>
        <w:t xml:space="preserve">ще създаде партньорства с дружества, които искат да насърчават използването на биологични продукти като част от своята корпоративна политика за устойчивост; </w:t>
      </w:r>
    </w:p>
    <w:p w14:paraId="150DCB97" w14:textId="77777777" w:rsidR="00506BC6" w:rsidRPr="009F6D1E" w:rsidRDefault="00506BC6" w:rsidP="0084747F">
      <w:pPr>
        <w:pStyle w:val="ListParagraph"/>
        <w:spacing w:after="60" w:line="264" w:lineRule="auto"/>
        <w:ind w:left="1069"/>
        <w:jc w:val="both"/>
        <w:rPr>
          <w:lang w:val="bg-BG"/>
        </w:rPr>
      </w:pPr>
    </w:p>
    <w:p w14:paraId="4D48289C" w14:textId="77777777" w:rsidR="003F7BCE" w:rsidRPr="009F6D1E" w:rsidRDefault="003F7BCE" w:rsidP="0084747F">
      <w:pPr>
        <w:spacing w:after="60" w:line="264" w:lineRule="auto"/>
        <w:ind w:firstLine="709"/>
        <w:jc w:val="both"/>
        <w:rPr>
          <w:rFonts w:cs="Times New Roman"/>
          <w:szCs w:val="24"/>
        </w:rPr>
      </w:pPr>
      <w:r w:rsidRPr="009F6D1E">
        <w:rPr>
          <w:rFonts w:cs="Times New Roman"/>
          <w:b/>
          <w:i/>
          <w:szCs w:val="24"/>
        </w:rPr>
        <w:lastRenderedPageBreak/>
        <w:t>Н</w:t>
      </w:r>
      <w:r w:rsidR="00506BC6" w:rsidRPr="009F6D1E">
        <w:rPr>
          <w:rFonts w:cs="Times New Roman"/>
          <w:b/>
          <w:i/>
          <w:szCs w:val="24"/>
        </w:rPr>
        <w:t>аправление</w:t>
      </w:r>
      <w:r w:rsidRPr="009F6D1E">
        <w:rPr>
          <w:rFonts w:cs="Times New Roman"/>
          <w:b/>
          <w:i/>
          <w:szCs w:val="24"/>
        </w:rPr>
        <w:t> 2.</w:t>
      </w:r>
      <w:r w:rsidR="00506BC6" w:rsidRPr="009F6D1E">
        <w:rPr>
          <w:rFonts w:cs="Times New Roman"/>
          <w:b/>
          <w:i/>
          <w:szCs w:val="24"/>
        </w:rPr>
        <w:t>:</w:t>
      </w:r>
      <w:r w:rsidRPr="009F6D1E">
        <w:rPr>
          <w:rFonts w:cs="Times New Roman"/>
          <w:szCs w:val="24"/>
        </w:rPr>
        <w:t xml:space="preserve"> </w:t>
      </w:r>
      <w:r w:rsidR="00506BC6" w:rsidRPr="009F6D1E">
        <w:rPr>
          <w:rFonts w:cs="Times New Roman"/>
          <w:szCs w:val="24"/>
        </w:rPr>
        <w:t>По пътя към 2030 г.: стимулиране на прехода и укрепване на цялата верига за създаване на стойност</w:t>
      </w:r>
    </w:p>
    <w:p w14:paraId="644AD0D2" w14:textId="77777777" w:rsidR="003F7BCE" w:rsidRPr="009F6D1E" w:rsidRDefault="003F7BCE"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2.1 Насърчаване на прехода, инвестициите и обмена на най-добри практики</w:t>
      </w:r>
    </w:p>
    <w:p w14:paraId="2539F490" w14:textId="77777777" w:rsidR="003F7BCE" w:rsidRPr="009F6D1E" w:rsidRDefault="003F7BCE" w:rsidP="0084747F">
      <w:pPr>
        <w:spacing w:after="60" w:line="264" w:lineRule="auto"/>
        <w:ind w:firstLine="709"/>
        <w:jc w:val="both"/>
        <w:rPr>
          <w:rFonts w:cs="Times New Roman"/>
          <w:szCs w:val="24"/>
        </w:rPr>
      </w:pPr>
      <w:r w:rsidRPr="009F6D1E">
        <w:rPr>
          <w:rFonts w:cs="Times New Roman"/>
          <w:i/>
          <w:szCs w:val="24"/>
        </w:rPr>
        <w:t>Действие 9:</w:t>
      </w:r>
      <w:r w:rsidRPr="009F6D1E">
        <w:rPr>
          <w:rFonts w:cs="Times New Roman"/>
          <w:szCs w:val="24"/>
        </w:rPr>
        <w:t xml:space="preserve"> В рамките на новите </w:t>
      </w:r>
      <w:r w:rsidR="00D809BC" w:rsidRPr="009F6D1E">
        <w:rPr>
          <w:rFonts w:cs="Times New Roman"/>
          <w:szCs w:val="24"/>
        </w:rPr>
        <w:t>РЗСР</w:t>
      </w:r>
      <w:r w:rsidRPr="009F6D1E">
        <w:rPr>
          <w:rFonts w:cs="Times New Roman"/>
          <w:szCs w:val="24"/>
        </w:rPr>
        <w:t xml:space="preserve"> и ОПОР Комисията:</w:t>
      </w:r>
    </w:p>
    <w:p w14:paraId="3B67FDD9" w14:textId="77777777" w:rsidR="00506BC6" w:rsidRPr="009F6D1E" w:rsidRDefault="003F7BCE">
      <w:pPr>
        <w:pStyle w:val="ListParagraph"/>
        <w:numPr>
          <w:ilvl w:val="0"/>
          <w:numId w:val="72"/>
        </w:numPr>
        <w:spacing w:after="60" w:line="264" w:lineRule="auto"/>
        <w:jc w:val="both"/>
        <w:rPr>
          <w:lang w:val="bg-BG"/>
        </w:rPr>
      </w:pPr>
      <w:r w:rsidRPr="009F6D1E">
        <w:rPr>
          <w:lang w:val="bg-BG"/>
        </w:rPr>
        <w:t xml:space="preserve">от 2023 г. нататък ще оценява конкретните обстоятелства и потребности на държавите членки по отношението на растежа на сектора на биологичното производство и ще гарантира, че държавите членки използват по оптимален начин възможностите, осигурени от новата </w:t>
      </w:r>
      <w:r w:rsidR="00D809BC" w:rsidRPr="009F6D1E">
        <w:rPr>
          <w:lang w:val="bg-BG"/>
        </w:rPr>
        <w:t>РЗСР</w:t>
      </w:r>
      <w:r w:rsidRPr="009F6D1E">
        <w:rPr>
          <w:lang w:val="bg-BG"/>
        </w:rPr>
        <w:t>, за да подкрепят своя национален сект</w:t>
      </w:r>
      <w:r w:rsidR="00506BC6" w:rsidRPr="009F6D1E">
        <w:rPr>
          <w:lang w:val="bg-BG"/>
        </w:rPr>
        <w:t>ор на биологичното производство</w:t>
      </w:r>
    </w:p>
    <w:p w14:paraId="1F8236E4" w14:textId="77777777" w:rsidR="000F4A50" w:rsidRPr="009F6D1E" w:rsidRDefault="003F7BCE">
      <w:pPr>
        <w:pStyle w:val="ListParagraph"/>
        <w:numPr>
          <w:ilvl w:val="0"/>
          <w:numId w:val="72"/>
        </w:numPr>
        <w:spacing w:after="60" w:line="264" w:lineRule="auto"/>
        <w:jc w:val="both"/>
        <w:rPr>
          <w:lang w:val="bg-BG"/>
        </w:rPr>
      </w:pPr>
      <w:r w:rsidRPr="009F6D1E">
        <w:rPr>
          <w:lang w:val="bg-BG"/>
        </w:rPr>
        <w:t>от 2022 г. нататък ще насърчава обмена на най-добри практики (образователни и обучителни програми, курсове, материали и т.н.) на равнището на ЕС и на национално равнище, което ще даде възможност на доставчиците на образование (напр. технически училища, университети) да разработват курсове по биологично земеделие като част от общия учебен план и да представят иновативни решения, насочени към сектора на биологичното земеделие (производство, преработка, тър</w:t>
      </w:r>
      <w:r w:rsidR="00506BC6" w:rsidRPr="009F6D1E">
        <w:rPr>
          <w:lang w:val="bg-BG"/>
        </w:rPr>
        <w:t xml:space="preserve">говия на дребно и потребление), </w:t>
      </w:r>
      <w:r w:rsidRPr="009F6D1E">
        <w:rPr>
          <w:lang w:val="bg-BG"/>
        </w:rPr>
        <w:t>както и</w:t>
      </w:r>
    </w:p>
    <w:p w14:paraId="61808020" w14:textId="77777777" w:rsidR="003F7BCE" w:rsidRPr="009F6D1E" w:rsidRDefault="003F7BCE">
      <w:pPr>
        <w:pStyle w:val="ListParagraph"/>
        <w:numPr>
          <w:ilvl w:val="0"/>
          <w:numId w:val="72"/>
        </w:numPr>
        <w:spacing w:after="60" w:line="264" w:lineRule="auto"/>
        <w:jc w:val="both"/>
        <w:rPr>
          <w:lang w:val="bg-BG"/>
        </w:rPr>
      </w:pPr>
      <w:r w:rsidRPr="009F6D1E">
        <w:rPr>
          <w:lang w:val="bg-BG"/>
        </w:rPr>
        <w:t>ще насърчи държавите членки да включат увеличаването на биологичната аквакултура в своите преразгледани многогодишни национални стратегически планове в областта на аквакултурата и да използват в максимална степен възможностите, които се предлагат от ЕФМДР за периода 2021—2027 г., за постигането на тази цел.</w:t>
      </w:r>
    </w:p>
    <w:p w14:paraId="19C0276A" w14:textId="77777777" w:rsidR="003F7BCE" w:rsidRPr="009F6D1E" w:rsidRDefault="003F7BCE" w:rsidP="0084747F">
      <w:pPr>
        <w:spacing w:after="60" w:line="264" w:lineRule="auto"/>
        <w:ind w:firstLine="709"/>
        <w:jc w:val="both"/>
        <w:rPr>
          <w:rFonts w:cs="Times New Roman"/>
          <w:szCs w:val="24"/>
        </w:rPr>
      </w:pPr>
    </w:p>
    <w:p w14:paraId="7BB4D489" w14:textId="77777777" w:rsidR="003F7BCE" w:rsidRPr="009F6D1E" w:rsidRDefault="003F7BCE"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2.2. Разработване на секторен анализ, за да се увеличи прозрачността на пазара</w:t>
      </w:r>
    </w:p>
    <w:p w14:paraId="634A9376" w14:textId="77777777" w:rsidR="003F7BCE" w:rsidRPr="009F6D1E" w:rsidRDefault="003F7BCE" w:rsidP="0084747F">
      <w:pPr>
        <w:spacing w:after="60" w:line="264" w:lineRule="auto"/>
        <w:ind w:firstLine="708"/>
        <w:rPr>
          <w:rFonts w:cs="Times New Roman"/>
          <w:szCs w:val="24"/>
        </w:rPr>
      </w:pPr>
      <w:r w:rsidRPr="009F6D1E">
        <w:rPr>
          <w:rFonts w:cs="Times New Roman"/>
          <w:i/>
          <w:szCs w:val="24"/>
        </w:rPr>
        <w:t>Действие 10:</w:t>
      </w:r>
      <w:r w:rsidRPr="009F6D1E">
        <w:rPr>
          <w:rFonts w:cs="Times New Roman"/>
          <w:szCs w:val="24"/>
        </w:rPr>
        <w:t xml:space="preserve"> За да се предостави цялостен обзор на сектора, от 2021 г. нататък Комисията:</w:t>
      </w:r>
    </w:p>
    <w:p w14:paraId="3F081446" w14:textId="77777777" w:rsidR="003F7BCE" w:rsidRPr="009F6D1E" w:rsidRDefault="003F7BCE">
      <w:pPr>
        <w:pStyle w:val="ListParagraph"/>
        <w:numPr>
          <w:ilvl w:val="0"/>
          <w:numId w:val="72"/>
        </w:numPr>
        <w:spacing w:after="60" w:line="264" w:lineRule="auto"/>
        <w:jc w:val="both"/>
        <w:rPr>
          <w:lang w:val="bg-BG"/>
        </w:rPr>
      </w:pPr>
      <w:r w:rsidRPr="009F6D1E">
        <w:rPr>
          <w:lang w:val="bg-BG"/>
        </w:rPr>
        <w:t>ще публикува редовни доклади относно биологичното производство в ЕС въз основа на данни от Евростат, които съдържат по-специално информация за площите и стопанствата, занимаващи се с биологично производство, и за основния производствен сектор; както и</w:t>
      </w:r>
    </w:p>
    <w:p w14:paraId="33FE8551" w14:textId="77777777" w:rsidR="003F7BCE" w:rsidRPr="009F6D1E" w:rsidRDefault="003F7BCE">
      <w:pPr>
        <w:pStyle w:val="ListParagraph"/>
        <w:numPr>
          <w:ilvl w:val="0"/>
          <w:numId w:val="72"/>
        </w:numPr>
        <w:spacing w:after="60" w:line="264" w:lineRule="auto"/>
        <w:jc w:val="both"/>
        <w:rPr>
          <w:lang w:val="bg-BG"/>
        </w:rPr>
      </w:pPr>
      <w:r w:rsidRPr="009F6D1E">
        <w:rPr>
          <w:lang w:val="bg-BG"/>
        </w:rPr>
        <w:t>ще публикува годишен доклад относно вноса на биологични продукти от трети държави.</w:t>
      </w:r>
    </w:p>
    <w:p w14:paraId="464D3DA1" w14:textId="77777777" w:rsidR="003F7BCE" w:rsidRPr="009F6D1E" w:rsidRDefault="003F7BCE" w:rsidP="0084747F">
      <w:pPr>
        <w:spacing w:after="60" w:line="264" w:lineRule="auto"/>
        <w:ind w:firstLine="360"/>
        <w:rPr>
          <w:rFonts w:cs="Times New Roman"/>
          <w:szCs w:val="24"/>
        </w:rPr>
      </w:pPr>
      <w:r w:rsidRPr="009F6D1E">
        <w:rPr>
          <w:rFonts w:cs="Times New Roman"/>
          <w:i/>
          <w:szCs w:val="24"/>
        </w:rPr>
        <w:t xml:space="preserve">Действие 11: </w:t>
      </w:r>
      <w:r w:rsidRPr="009F6D1E">
        <w:rPr>
          <w:rFonts w:cs="Times New Roman"/>
          <w:szCs w:val="24"/>
        </w:rPr>
        <w:t>От 2022 г. нататък Комисията:</w:t>
      </w:r>
    </w:p>
    <w:p w14:paraId="1C423516" w14:textId="77777777" w:rsidR="003F7BCE" w:rsidRPr="009F6D1E" w:rsidRDefault="003F7BCE">
      <w:pPr>
        <w:pStyle w:val="ListParagraph"/>
        <w:numPr>
          <w:ilvl w:val="0"/>
          <w:numId w:val="73"/>
        </w:numPr>
        <w:spacing w:after="60" w:line="264" w:lineRule="auto"/>
        <w:rPr>
          <w:lang w:val="bg-BG"/>
        </w:rPr>
      </w:pPr>
      <w:r w:rsidRPr="009F6D1E">
        <w:rPr>
          <w:lang w:val="bg-BG"/>
        </w:rPr>
        <w:t>ще засили събирането на пазарни данни в сътрудничество с държавите членки и ще включи биологичните продукти в анализите на обсерваториите на пазара на ЕС.</w:t>
      </w:r>
    </w:p>
    <w:p w14:paraId="32FB608A" w14:textId="77777777" w:rsidR="00BE5FF4" w:rsidRPr="009F6D1E" w:rsidRDefault="00BE5FF4"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 xml:space="preserve">2.3. Подкрепа за организацията на веригата за доставки на храни </w:t>
      </w:r>
    </w:p>
    <w:p w14:paraId="70B355E9" w14:textId="77777777" w:rsidR="00BE5FF4" w:rsidRPr="009F6D1E" w:rsidRDefault="00BE5FF4" w:rsidP="0084747F">
      <w:pPr>
        <w:spacing w:after="60" w:line="264" w:lineRule="auto"/>
        <w:ind w:firstLine="708"/>
        <w:rPr>
          <w:rFonts w:eastAsia="Times New Roman" w:cs="Times New Roman"/>
          <w:szCs w:val="24"/>
        </w:rPr>
      </w:pPr>
      <w:r w:rsidRPr="009F6D1E">
        <w:rPr>
          <w:rFonts w:eastAsia="Times New Roman" w:cs="Times New Roman"/>
          <w:i/>
          <w:szCs w:val="24"/>
        </w:rPr>
        <w:t>Действие 12:</w:t>
      </w:r>
      <w:r w:rsidRPr="009F6D1E">
        <w:rPr>
          <w:rFonts w:eastAsia="Times New Roman" w:cs="Times New Roman"/>
          <w:szCs w:val="24"/>
        </w:rPr>
        <w:t xml:space="preserve"> От 2021 г. нататък Комисията: </w:t>
      </w:r>
    </w:p>
    <w:p w14:paraId="2AF3CC4C" w14:textId="77777777" w:rsidR="00BE5FF4" w:rsidRPr="009F6D1E" w:rsidRDefault="00BE5FF4">
      <w:pPr>
        <w:pStyle w:val="ListParagraph"/>
        <w:numPr>
          <w:ilvl w:val="0"/>
          <w:numId w:val="72"/>
        </w:numPr>
        <w:spacing w:after="60" w:line="264" w:lineRule="auto"/>
        <w:jc w:val="both"/>
        <w:rPr>
          <w:rFonts w:eastAsia="Times New Roman"/>
          <w:lang w:val="bg-BG"/>
        </w:rPr>
      </w:pPr>
      <w:r w:rsidRPr="009F6D1E">
        <w:rPr>
          <w:rFonts w:eastAsia="Times New Roman"/>
          <w:lang w:val="bg-BG"/>
        </w:rPr>
        <w:t xml:space="preserve">ще </w:t>
      </w:r>
      <w:r w:rsidRPr="000853BF">
        <w:rPr>
          <w:lang w:val="bg-BG"/>
        </w:rPr>
        <w:t>извърши</w:t>
      </w:r>
      <w:r w:rsidRPr="009F6D1E">
        <w:rPr>
          <w:rFonts w:eastAsia="Times New Roman"/>
          <w:lang w:val="bg-BG"/>
        </w:rPr>
        <w:t xml:space="preserve"> анализ на степента на организация във веригите на доставките в сектора на биологичните продукти и ще определи начини за подобряването ѝ, като за целта ще проведе консултации с организации на производителите, представители и други заинтересовани страни; както и </w:t>
      </w:r>
    </w:p>
    <w:p w14:paraId="65F154CD" w14:textId="77777777" w:rsidR="000F4A50" w:rsidRPr="009F6D1E" w:rsidRDefault="00BE5FF4">
      <w:pPr>
        <w:pStyle w:val="ListParagraph"/>
        <w:numPr>
          <w:ilvl w:val="0"/>
          <w:numId w:val="72"/>
        </w:numPr>
        <w:spacing w:after="60" w:line="264" w:lineRule="auto"/>
        <w:jc w:val="both"/>
        <w:rPr>
          <w:rFonts w:eastAsia="Times New Roman"/>
          <w:lang w:val="bg-BG"/>
        </w:rPr>
      </w:pPr>
      <w:r w:rsidRPr="009F6D1E">
        <w:rPr>
          <w:rFonts w:eastAsia="Times New Roman"/>
          <w:lang w:val="bg-BG"/>
        </w:rPr>
        <w:t xml:space="preserve">·ще </w:t>
      </w:r>
      <w:r w:rsidRPr="000853BF">
        <w:rPr>
          <w:lang w:val="bg-BG"/>
        </w:rPr>
        <w:t>проучи</w:t>
      </w:r>
      <w:r w:rsidRPr="009F6D1E">
        <w:rPr>
          <w:rFonts w:eastAsia="Times New Roman"/>
          <w:lang w:val="bg-BG"/>
        </w:rPr>
        <w:t xml:space="preserve"> правната възможност за създаването или присъединяването към конкретни организации на биологични производители и ако е възможно, ще насърчи държавите членки да заделят средства за тази цел. </w:t>
      </w:r>
    </w:p>
    <w:p w14:paraId="764F2A77" w14:textId="77777777" w:rsidR="00BE5FF4" w:rsidRPr="009F6D1E" w:rsidRDefault="00BE5FF4" w:rsidP="0084747F">
      <w:pPr>
        <w:pStyle w:val="ListParagraph"/>
        <w:spacing w:after="60" w:line="264" w:lineRule="auto"/>
        <w:jc w:val="both"/>
        <w:rPr>
          <w:rFonts w:eastAsia="Times New Roman"/>
          <w:lang w:val="bg-BG"/>
        </w:rPr>
      </w:pPr>
      <w:r w:rsidRPr="009F6D1E">
        <w:rPr>
          <w:rFonts w:eastAsia="Times New Roman"/>
          <w:i/>
          <w:lang w:val="bg-BG"/>
        </w:rPr>
        <w:lastRenderedPageBreak/>
        <w:t>Действие 13:</w:t>
      </w:r>
      <w:r w:rsidRPr="009F6D1E">
        <w:rPr>
          <w:rFonts w:eastAsia="Times New Roman"/>
          <w:lang w:val="bg-BG"/>
        </w:rPr>
        <w:t xml:space="preserve"> От 2022 г. нататък Комисията: </w:t>
      </w:r>
    </w:p>
    <w:p w14:paraId="561D09F2" w14:textId="77777777" w:rsidR="00BE5FF4" w:rsidRPr="009F6D1E" w:rsidRDefault="00BE5FF4">
      <w:pPr>
        <w:pStyle w:val="ListParagraph"/>
        <w:numPr>
          <w:ilvl w:val="0"/>
          <w:numId w:val="72"/>
        </w:numPr>
        <w:spacing w:after="60" w:line="264" w:lineRule="auto"/>
        <w:jc w:val="both"/>
        <w:rPr>
          <w:rFonts w:eastAsia="Times New Roman"/>
          <w:lang w:val="bg-BG"/>
        </w:rPr>
      </w:pPr>
      <w:r w:rsidRPr="009F6D1E">
        <w:rPr>
          <w:rFonts w:eastAsia="Times New Roman"/>
          <w:lang w:val="bg-BG"/>
        </w:rPr>
        <w:t xml:space="preserve">ще повишава осведомеността и ще предоставя по-добра информация относно „груповото сертифициране“, даващо възможност на дребните земеделски стопани да споделят разходите и административната тежест по сертифицирането, в съответствие с Регламент (ЕС) 2018/848 относно биологичното производство. </w:t>
      </w:r>
    </w:p>
    <w:p w14:paraId="3313665A" w14:textId="77777777" w:rsidR="00BE5FF4" w:rsidRPr="009F6D1E" w:rsidRDefault="00BE5FF4" w:rsidP="0084747F">
      <w:pPr>
        <w:pStyle w:val="li"/>
        <w:spacing w:before="0" w:beforeAutospacing="0" w:after="60" w:afterAutospacing="0" w:line="264" w:lineRule="auto"/>
        <w:ind w:firstLine="708"/>
        <w:jc w:val="both"/>
        <w:rPr>
          <w:rStyle w:val="num"/>
          <w:rFonts w:eastAsia="ヒラギノ角ゴ Pro W3"/>
          <w:i/>
          <w:lang w:val="bg-BG"/>
        </w:rPr>
      </w:pPr>
      <w:r w:rsidRPr="009F6D1E">
        <w:rPr>
          <w:rStyle w:val="num"/>
          <w:rFonts w:eastAsia="ヒラギノ角ゴ Pro W3"/>
          <w:i/>
          <w:lang w:val="bg-BG"/>
        </w:rPr>
        <w:t xml:space="preserve">2.4. Укрепване на местната и </w:t>
      </w:r>
      <w:proofErr w:type="spellStart"/>
      <w:r w:rsidRPr="009F6D1E">
        <w:rPr>
          <w:rStyle w:val="num"/>
          <w:rFonts w:eastAsia="ヒラギノ角ゴ Pro W3"/>
          <w:i/>
          <w:lang w:val="bg-BG"/>
        </w:rPr>
        <w:t>дребномащабната</w:t>
      </w:r>
      <w:proofErr w:type="spellEnd"/>
      <w:r w:rsidRPr="009F6D1E">
        <w:rPr>
          <w:rStyle w:val="num"/>
          <w:rFonts w:eastAsia="ヒラギノ角ゴ Pro W3"/>
          <w:i/>
          <w:lang w:val="bg-BG"/>
        </w:rPr>
        <w:t xml:space="preserve"> преработка и насърчаване на късите вериги на търговия</w:t>
      </w:r>
    </w:p>
    <w:p w14:paraId="0A4A5195" w14:textId="77777777" w:rsidR="00BE5FF4" w:rsidRPr="009F6D1E" w:rsidRDefault="00BE5FF4" w:rsidP="0084747F">
      <w:pPr>
        <w:spacing w:after="60" w:line="264" w:lineRule="auto"/>
        <w:ind w:firstLine="708"/>
        <w:rPr>
          <w:rFonts w:cs="Times New Roman"/>
          <w:szCs w:val="24"/>
        </w:rPr>
      </w:pPr>
      <w:r w:rsidRPr="009F6D1E">
        <w:rPr>
          <w:rFonts w:cs="Times New Roman"/>
          <w:i/>
          <w:szCs w:val="24"/>
        </w:rPr>
        <w:t>Действие 14:</w:t>
      </w:r>
      <w:r w:rsidRPr="009F6D1E">
        <w:rPr>
          <w:rFonts w:cs="Times New Roman"/>
          <w:szCs w:val="24"/>
        </w:rPr>
        <w:t xml:space="preserve"> От 2023 г. нататък Комисията:</w:t>
      </w:r>
    </w:p>
    <w:p w14:paraId="60286E29" w14:textId="77777777" w:rsidR="000F4A50" w:rsidRPr="009F6D1E" w:rsidRDefault="00BE5FF4">
      <w:pPr>
        <w:pStyle w:val="ListParagraph"/>
        <w:numPr>
          <w:ilvl w:val="0"/>
          <w:numId w:val="72"/>
        </w:numPr>
        <w:spacing w:after="60" w:line="264" w:lineRule="auto"/>
        <w:jc w:val="both"/>
        <w:rPr>
          <w:lang w:val="bg-BG"/>
        </w:rPr>
      </w:pPr>
      <w:r w:rsidRPr="009F6D1E">
        <w:rPr>
          <w:lang w:val="bg-BG"/>
        </w:rPr>
        <w:t xml:space="preserve">ще </w:t>
      </w:r>
      <w:r w:rsidRPr="000853BF">
        <w:rPr>
          <w:rFonts w:eastAsia="Times New Roman"/>
          <w:lang w:val="bg-BG"/>
        </w:rPr>
        <w:t>работи</w:t>
      </w:r>
      <w:r w:rsidRPr="009F6D1E">
        <w:rPr>
          <w:lang w:val="bg-BG"/>
        </w:rPr>
        <w:t xml:space="preserve"> с държавите членки и заинтересованите страни, за да насърчава местната и </w:t>
      </w:r>
      <w:proofErr w:type="spellStart"/>
      <w:r w:rsidRPr="009F6D1E">
        <w:rPr>
          <w:lang w:val="bg-BG"/>
        </w:rPr>
        <w:t>дребномащабната</w:t>
      </w:r>
      <w:proofErr w:type="spellEnd"/>
      <w:r w:rsidRPr="009F6D1E">
        <w:rPr>
          <w:lang w:val="bg-BG"/>
        </w:rPr>
        <w:t xml:space="preserve"> преработка, в съответствие с целта на Регламент (ЕС) 2018/848 относно биологичното производство, за да бъде постигнат напредък по създаването на „по-къси вериги на доставките на биологични продукти, осигуряващи екологични и социални ползи“, като част от усилията ѝ за подкрепа на търговията с биологични продукти в</w:t>
      </w:r>
      <w:r w:rsidR="000F4A50" w:rsidRPr="009F6D1E">
        <w:rPr>
          <w:lang w:val="bg-BG"/>
        </w:rPr>
        <w:t xml:space="preserve"> рамките на единния пазар на ЕС</w:t>
      </w:r>
      <w:r w:rsidRPr="009F6D1E">
        <w:rPr>
          <w:lang w:val="bg-BG"/>
        </w:rPr>
        <w:t>; както и</w:t>
      </w:r>
    </w:p>
    <w:p w14:paraId="0A16FB1B" w14:textId="77777777" w:rsidR="00BE5FF4" w:rsidRPr="009F6D1E" w:rsidRDefault="00BE5FF4">
      <w:pPr>
        <w:pStyle w:val="ListParagraph"/>
        <w:numPr>
          <w:ilvl w:val="0"/>
          <w:numId w:val="72"/>
        </w:numPr>
        <w:spacing w:after="60" w:line="264" w:lineRule="auto"/>
        <w:jc w:val="both"/>
        <w:rPr>
          <w:lang w:val="bg-BG"/>
        </w:rPr>
      </w:pPr>
      <w:r w:rsidRPr="009F6D1E">
        <w:rPr>
          <w:lang w:val="bg-BG"/>
        </w:rPr>
        <w:t xml:space="preserve">ще </w:t>
      </w:r>
      <w:r w:rsidRPr="000853BF">
        <w:rPr>
          <w:rFonts w:eastAsia="Times New Roman"/>
          <w:lang w:val="bg-BG"/>
        </w:rPr>
        <w:t>насърчава</w:t>
      </w:r>
      <w:r w:rsidRPr="009F6D1E">
        <w:rPr>
          <w:lang w:val="bg-BG"/>
        </w:rPr>
        <w:t xml:space="preserve"> държавите членки да подкрепят развитието и въвеждането на „биообласти“.</w:t>
      </w:r>
    </w:p>
    <w:p w14:paraId="2EABF6FA" w14:textId="77777777" w:rsidR="00BE5FF4" w:rsidRPr="009F6D1E" w:rsidRDefault="00BE5FF4" w:rsidP="0084747F">
      <w:pPr>
        <w:spacing w:after="60" w:line="264" w:lineRule="auto"/>
        <w:ind w:firstLine="708"/>
        <w:jc w:val="both"/>
        <w:rPr>
          <w:rFonts w:cs="Times New Roman"/>
          <w:szCs w:val="24"/>
        </w:rPr>
      </w:pPr>
      <w:r w:rsidRPr="009F6D1E">
        <w:rPr>
          <w:rFonts w:cs="Times New Roman"/>
          <w:i/>
          <w:szCs w:val="24"/>
        </w:rPr>
        <w:t>Действие 15:</w:t>
      </w:r>
      <w:r w:rsidRPr="009F6D1E">
        <w:rPr>
          <w:rFonts w:cs="Times New Roman"/>
          <w:szCs w:val="24"/>
        </w:rPr>
        <w:t xml:space="preserve"> Тъй като биологичното земеделие може да засили социалното приобщаване в селските райони, като в същото време се насърчават достойните условия на труд и живот, от 2022 г. нататък Комисията:</w:t>
      </w:r>
    </w:p>
    <w:p w14:paraId="171D8483" w14:textId="77777777" w:rsidR="00BE5FF4" w:rsidRPr="009F6D1E" w:rsidRDefault="00BE5FF4">
      <w:pPr>
        <w:pStyle w:val="ListParagraph"/>
        <w:numPr>
          <w:ilvl w:val="0"/>
          <w:numId w:val="72"/>
        </w:numPr>
        <w:spacing w:after="60" w:line="264" w:lineRule="auto"/>
        <w:jc w:val="both"/>
        <w:rPr>
          <w:lang w:val="bg-BG"/>
        </w:rPr>
      </w:pPr>
      <w:r w:rsidRPr="009F6D1E">
        <w:rPr>
          <w:lang w:val="bg-BG"/>
        </w:rPr>
        <w:t>ще помага на държавите членки при разработването на мерки за биологично земеделие в селските райони, с които се насърчава равенството между половете и младите земеделски стопани/заетостта, което може да включва споделяне на най-добри практики.</w:t>
      </w:r>
    </w:p>
    <w:p w14:paraId="6271428C" w14:textId="77777777" w:rsidR="00BE5FF4" w:rsidRPr="009F6D1E" w:rsidRDefault="00BE5FF4" w:rsidP="0084747F">
      <w:pPr>
        <w:pStyle w:val="li"/>
        <w:spacing w:before="0" w:beforeAutospacing="0" w:after="60" w:afterAutospacing="0" w:line="264" w:lineRule="auto"/>
        <w:ind w:firstLine="708"/>
        <w:rPr>
          <w:i/>
          <w:lang w:val="bg-BG"/>
        </w:rPr>
      </w:pPr>
      <w:r w:rsidRPr="009F6D1E">
        <w:rPr>
          <w:rStyle w:val="num"/>
          <w:rFonts w:eastAsia="ヒラギノ角ゴ Pro W3"/>
          <w:i/>
          <w:lang w:val="bg-BG"/>
        </w:rPr>
        <w:t>2.5.</w:t>
      </w:r>
      <w:r w:rsidRPr="009F6D1E">
        <w:rPr>
          <w:i/>
          <w:lang w:val="bg-BG"/>
        </w:rPr>
        <w:t xml:space="preserve"> Подобряване на храненето на животните в съответствие с правилата за биологично производство </w:t>
      </w:r>
    </w:p>
    <w:p w14:paraId="2E12CE1A" w14:textId="77777777" w:rsidR="00BE5FF4" w:rsidRPr="009F6D1E" w:rsidRDefault="00BE5FF4" w:rsidP="0084747F">
      <w:pPr>
        <w:pStyle w:val="listbullet2"/>
        <w:spacing w:before="0" w:beforeAutospacing="0" w:after="60" w:afterAutospacing="0" w:line="264" w:lineRule="auto"/>
        <w:ind w:firstLine="708"/>
        <w:rPr>
          <w:lang w:val="bg-BG"/>
        </w:rPr>
      </w:pPr>
      <w:r w:rsidRPr="009F6D1E">
        <w:rPr>
          <w:i/>
          <w:lang w:val="bg-BG"/>
        </w:rPr>
        <w:t>Действие 16:</w:t>
      </w:r>
      <w:r w:rsidRPr="009F6D1E">
        <w:rPr>
          <w:lang w:val="bg-BG"/>
        </w:rPr>
        <w:t xml:space="preserve"> Комисията възнамерява: </w:t>
      </w:r>
    </w:p>
    <w:p w14:paraId="22797BBC"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да подкрепя научните изследвания и иновациите в рамките на „Хоризонт Европа“ в областта на алтернативните източници на биологични витамини и други вещества, които може да се окажат необходими, и в областта на алтернативните източници на протеини, като се отчита тяхната техническа и икономическа осъществимост; </w:t>
      </w:r>
    </w:p>
    <w:p w14:paraId="298CAF4B" w14:textId="77777777" w:rsidR="009D37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да разгледа начините за подкрепа на заявленията за одобряване на фуражните добавки, произведени без ГММ, фуражите на основата на насекоми, както и морските суровини; както и </w:t>
      </w:r>
    </w:p>
    <w:p w14:paraId="152D9B7A"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през 2022 г. да приеме инициатива за водораслите, за да подкрепи производството на водорасли в ЕС и да подпомогне сектора на водораслите в ЕС, за да се гарантира снабдяването с водорасли като алтернативна фуражна суровина за биологичното животновъдство. </w:t>
      </w:r>
    </w:p>
    <w:p w14:paraId="11B258E3" w14:textId="77777777" w:rsidR="003F7BCE" w:rsidRPr="009F6D1E" w:rsidRDefault="00BE5FF4"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2.6. Укрепване на биологичната аквакултура</w:t>
      </w:r>
    </w:p>
    <w:p w14:paraId="0208AD79" w14:textId="77777777" w:rsidR="00BE5FF4" w:rsidRPr="009F6D1E" w:rsidRDefault="00BE5FF4" w:rsidP="0084747F">
      <w:pPr>
        <w:pStyle w:val="Normal1"/>
        <w:spacing w:before="0" w:beforeAutospacing="0" w:after="60" w:afterAutospacing="0" w:line="264" w:lineRule="auto"/>
        <w:ind w:firstLine="708"/>
        <w:rPr>
          <w:lang w:val="bg-BG"/>
        </w:rPr>
      </w:pPr>
      <w:r w:rsidRPr="009F6D1E">
        <w:rPr>
          <w:i/>
          <w:lang w:val="bg-BG"/>
        </w:rPr>
        <w:t>Действие 17:</w:t>
      </w:r>
      <w:r w:rsidRPr="009F6D1E">
        <w:rPr>
          <w:lang w:val="bg-BG"/>
        </w:rPr>
        <w:t xml:space="preserve"> От 2022 г. нататък Комисията възнамерява: </w:t>
      </w:r>
    </w:p>
    <w:p w14:paraId="21F3A67E" w14:textId="77777777" w:rsidR="009D37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да подкрепя научните изследвания и иновациите във връзка с алтернативните източници на хранителни вещества, селекцията и хуманното отношение към животните в сектора на </w:t>
      </w:r>
      <w:r w:rsidRPr="009F6D1E">
        <w:rPr>
          <w:lang w:val="bg-BG"/>
        </w:rPr>
        <w:lastRenderedPageBreak/>
        <w:t xml:space="preserve">аквакултурата; насърчаването на инвестициите в адаптирани системи за </w:t>
      </w:r>
      <w:proofErr w:type="spellStart"/>
      <w:r w:rsidRPr="009F6D1E">
        <w:rPr>
          <w:lang w:val="bg-BG"/>
        </w:rPr>
        <w:t>поликултурно</w:t>
      </w:r>
      <w:proofErr w:type="spellEnd"/>
      <w:r w:rsidRPr="009F6D1E">
        <w:rPr>
          <w:lang w:val="bg-BG"/>
        </w:rPr>
        <w:t xml:space="preserve"> отглеждане и </w:t>
      </w:r>
      <w:proofErr w:type="spellStart"/>
      <w:r w:rsidRPr="009F6D1E">
        <w:rPr>
          <w:lang w:val="bg-BG"/>
        </w:rPr>
        <w:t>мултитрофична</w:t>
      </w:r>
      <w:proofErr w:type="spellEnd"/>
      <w:r w:rsidRPr="009F6D1E">
        <w:rPr>
          <w:lang w:val="bg-BG"/>
        </w:rPr>
        <w:t xml:space="preserve"> аквакултура; както и насърчаването на дейности, свързвани с рибарниците и развъдниците за биологично отглеждани млади екземпляри; както и </w:t>
      </w:r>
    </w:p>
    <w:p w14:paraId="1B46F7B6"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да набележи специфичните препятствия пред растежа на биологичната аквакултура в ЕС и да предприеме подходящи мерки за преодоляването им. </w:t>
      </w:r>
    </w:p>
    <w:p w14:paraId="0C99B39F" w14:textId="77777777" w:rsidR="009D37F4" w:rsidRPr="009F6D1E" w:rsidRDefault="009D37F4" w:rsidP="0084747F">
      <w:pPr>
        <w:spacing w:after="60" w:line="264" w:lineRule="auto"/>
        <w:rPr>
          <w:rFonts w:cs="Times New Roman"/>
          <w:szCs w:val="24"/>
        </w:rPr>
      </w:pPr>
    </w:p>
    <w:p w14:paraId="7F8C9E91" w14:textId="77777777" w:rsidR="00BE5FF4" w:rsidRPr="009F6D1E" w:rsidRDefault="00BE5FF4" w:rsidP="0084747F">
      <w:pPr>
        <w:spacing w:after="60" w:line="264" w:lineRule="auto"/>
        <w:ind w:firstLine="360"/>
        <w:jc w:val="both"/>
        <w:rPr>
          <w:rFonts w:cs="Times New Roman"/>
          <w:szCs w:val="24"/>
        </w:rPr>
      </w:pPr>
      <w:r w:rsidRPr="009F6D1E">
        <w:rPr>
          <w:rFonts w:cs="Times New Roman"/>
          <w:b/>
          <w:szCs w:val="24"/>
        </w:rPr>
        <w:t>Н</w:t>
      </w:r>
      <w:r w:rsidR="009D37F4" w:rsidRPr="009F6D1E">
        <w:rPr>
          <w:rFonts w:cs="Times New Roman"/>
          <w:b/>
          <w:szCs w:val="24"/>
        </w:rPr>
        <w:t>аправление</w:t>
      </w:r>
      <w:r w:rsidRPr="009F6D1E">
        <w:rPr>
          <w:rFonts w:cs="Times New Roman"/>
          <w:b/>
          <w:szCs w:val="24"/>
        </w:rPr>
        <w:t xml:space="preserve"> 3:</w:t>
      </w:r>
      <w:r w:rsidRPr="009F6D1E">
        <w:rPr>
          <w:rFonts w:cs="Times New Roman"/>
          <w:szCs w:val="24"/>
        </w:rPr>
        <w:t xml:space="preserve"> </w:t>
      </w:r>
      <w:r w:rsidR="009D37F4" w:rsidRPr="009F6D1E">
        <w:rPr>
          <w:rFonts w:cs="Times New Roman"/>
          <w:szCs w:val="24"/>
        </w:rPr>
        <w:t>Биологичното производство като пример за подражание: подобряване на приноса на биологичното земеделие за устойчивостта</w:t>
      </w:r>
    </w:p>
    <w:p w14:paraId="50AC2FA3" w14:textId="77777777" w:rsidR="00BE5FF4" w:rsidRPr="009F6D1E" w:rsidRDefault="00BE5FF4"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 xml:space="preserve">3.1. Намаляване на отпечатъка върху климата и околната среда </w:t>
      </w:r>
    </w:p>
    <w:p w14:paraId="78AC6FEE" w14:textId="77777777" w:rsidR="00BE5FF4" w:rsidRPr="009F6D1E" w:rsidRDefault="00BE5FF4" w:rsidP="0084747F">
      <w:pPr>
        <w:spacing w:after="60" w:line="264" w:lineRule="auto"/>
        <w:ind w:firstLine="708"/>
        <w:rPr>
          <w:rFonts w:eastAsia="Times New Roman" w:cs="Times New Roman"/>
          <w:szCs w:val="24"/>
        </w:rPr>
      </w:pPr>
      <w:r w:rsidRPr="009F6D1E">
        <w:rPr>
          <w:rFonts w:eastAsia="Times New Roman" w:cs="Times New Roman"/>
          <w:i/>
          <w:szCs w:val="24"/>
        </w:rPr>
        <w:t>Действие 18:</w:t>
      </w:r>
      <w:r w:rsidRPr="009F6D1E">
        <w:rPr>
          <w:rFonts w:eastAsia="Times New Roman" w:cs="Times New Roman"/>
          <w:szCs w:val="24"/>
        </w:rPr>
        <w:t xml:space="preserve"> От 2022 г. нататък Комисията: </w:t>
      </w:r>
    </w:p>
    <w:p w14:paraId="0A4EF700"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ще предприеме стъпки за създаване, в сътрудничество със заинтересованите страни, на пилотна мрежа от биологични стопанства, които оказват положително въздействие върху климата, с цел споделяне на най-добрите практики. </w:t>
      </w:r>
    </w:p>
    <w:p w14:paraId="12666018" w14:textId="77777777" w:rsidR="00BE5FF4" w:rsidRPr="009F6D1E" w:rsidRDefault="00BE5FF4" w:rsidP="0084747F">
      <w:pPr>
        <w:pStyle w:val="li"/>
        <w:spacing w:before="0" w:beforeAutospacing="0" w:after="60" w:afterAutospacing="0" w:line="264" w:lineRule="auto"/>
        <w:ind w:firstLine="708"/>
        <w:jc w:val="both"/>
        <w:rPr>
          <w:rStyle w:val="num"/>
          <w:rFonts w:eastAsia="ヒラギノ角ゴ Pro W3"/>
          <w:i/>
          <w:lang w:val="bg-BG"/>
        </w:rPr>
      </w:pPr>
      <w:r w:rsidRPr="009F6D1E">
        <w:rPr>
          <w:rStyle w:val="num"/>
          <w:rFonts w:eastAsia="ヒラギノ角ゴ Pro W3"/>
          <w:i/>
          <w:lang w:val="bg-BG"/>
        </w:rPr>
        <w:t xml:space="preserve">3.2. Подобряване на генетичното биологично разнообразие и увеличаване на добивите </w:t>
      </w:r>
    </w:p>
    <w:p w14:paraId="7C8128D2" w14:textId="77777777" w:rsidR="009D37F4" w:rsidRPr="009F6D1E" w:rsidRDefault="00BE5FF4" w:rsidP="0084747F">
      <w:pPr>
        <w:spacing w:after="60" w:line="264" w:lineRule="auto"/>
        <w:ind w:firstLine="708"/>
        <w:jc w:val="both"/>
        <w:rPr>
          <w:rFonts w:cs="Times New Roman"/>
          <w:szCs w:val="24"/>
        </w:rPr>
      </w:pPr>
      <w:r w:rsidRPr="009F6D1E">
        <w:rPr>
          <w:rFonts w:cs="Times New Roman"/>
          <w:i/>
          <w:szCs w:val="24"/>
        </w:rPr>
        <w:t xml:space="preserve">Действие 19: </w:t>
      </w:r>
      <w:r w:rsidRPr="009F6D1E">
        <w:rPr>
          <w:rFonts w:cs="Times New Roman"/>
          <w:szCs w:val="24"/>
        </w:rPr>
        <w:t>За да се подобри биологичното разнообразие и да се увеличат добивите</w:t>
      </w:r>
      <w:r w:rsidR="009D37F4" w:rsidRPr="009F6D1E">
        <w:rPr>
          <w:rFonts w:cs="Times New Roman"/>
          <w:szCs w:val="24"/>
        </w:rPr>
        <w:t xml:space="preserve">, </w:t>
      </w:r>
      <w:r w:rsidR="009D37F4" w:rsidRPr="009F6D1E">
        <w:rPr>
          <w:rFonts w:eastAsia="Times New Roman" w:cs="Times New Roman"/>
          <w:szCs w:val="24"/>
        </w:rPr>
        <w:t xml:space="preserve">Комисията възнамерява: </w:t>
      </w:r>
    </w:p>
    <w:p w14:paraId="0207F1A9" w14:textId="77777777" w:rsidR="009D37F4" w:rsidRPr="009F6D1E" w:rsidRDefault="009D37F4">
      <w:pPr>
        <w:pStyle w:val="commenttext0"/>
        <w:numPr>
          <w:ilvl w:val="0"/>
          <w:numId w:val="70"/>
        </w:numPr>
        <w:spacing w:before="0" w:beforeAutospacing="0" w:after="60" w:afterAutospacing="0" w:line="264" w:lineRule="auto"/>
        <w:jc w:val="both"/>
        <w:rPr>
          <w:lang w:val="bg-BG"/>
        </w:rPr>
      </w:pPr>
      <w:r w:rsidRPr="009F6D1E">
        <w:rPr>
          <w:lang w:val="bg-BG"/>
        </w:rPr>
        <w:t xml:space="preserve">от 2022 г. нататък да задели финансиране по линия на „Хоризонт Европа“, за да се окаже подкрепа за опазването и използването на генетичните ресурси, за дейности по предварителна селекция и селекция на сортове и за осигуряване на наличие на биологични семена, както и за да се допринесе за създаването на биологичен хетерогенен растителен репродуктивен материал и сортове растения, които са подходящи за биологично производство; </w:t>
      </w:r>
    </w:p>
    <w:p w14:paraId="05CE8D21" w14:textId="77777777" w:rsidR="009D37F4" w:rsidRPr="009F6D1E" w:rsidRDefault="009D37F4">
      <w:pPr>
        <w:pStyle w:val="commenttext0"/>
        <w:numPr>
          <w:ilvl w:val="0"/>
          <w:numId w:val="70"/>
        </w:numPr>
        <w:spacing w:before="0" w:beforeAutospacing="0" w:after="60" w:afterAutospacing="0" w:line="264" w:lineRule="auto"/>
        <w:jc w:val="both"/>
        <w:rPr>
          <w:lang w:val="bg-BG"/>
        </w:rPr>
      </w:pPr>
      <w:r w:rsidRPr="009F6D1E">
        <w:rPr>
          <w:lang w:val="bg-BG"/>
        </w:rPr>
        <w:t xml:space="preserve">да създаде мрежи на ЕС от демонстрационни земеделски стопанства, за да се насърчава основан на участието подход (разпространение). Най-добрите практики и полезните взаимодействия с проектите по Европейското партньорство за иновации за селскостопанска производителност и устойчивост ще се популяризират посредством бъдещата мрежа по </w:t>
      </w:r>
      <w:r w:rsidR="00D809BC" w:rsidRPr="009F6D1E">
        <w:rPr>
          <w:lang w:val="bg-BG"/>
        </w:rPr>
        <w:t>РЗСР</w:t>
      </w:r>
      <w:r w:rsidRPr="009F6D1E">
        <w:rPr>
          <w:lang w:val="bg-BG"/>
        </w:rPr>
        <w:t xml:space="preserve">; </w:t>
      </w:r>
    </w:p>
    <w:p w14:paraId="6008EF53" w14:textId="77777777" w:rsidR="009D37F4" w:rsidRPr="009F6D1E" w:rsidRDefault="009D37F4">
      <w:pPr>
        <w:pStyle w:val="commenttext0"/>
        <w:numPr>
          <w:ilvl w:val="0"/>
          <w:numId w:val="70"/>
        </w:numPr>
        <w:spacing w:before="0" w:beforeAutospacing="0" w:after="60" w:afterAutospacing="0" w:line="264" w:lineRule="auto"/>
        <w:jc w:val="both"/>
        <w:rPr>
          <w:lang w:val="bg-BG"/>
        </w:rPr>
      </w:pPr>
      <w:r w:rsidRPr="009F6D1E">
        <w:rPr>
          <w:lang w:val="bg-BG"/>
        </w:rPr>
        <w:t xml:space="preserve">да засили предоставянето на консултантски услуги в областта на селското стопанство, по-специално като част от системата за знания и иновации в селското стопанство (AKIS), за да се насърчи обменът на знания относно материалите, подходящи за биологичното земеделие; както и </w:t>
      </w:r>
    </w:p>
    <w:p w14:paraId="51D226CC" w14:textId="77777777" w:rsidR="009D37F4" w:rsidRPr="009F6D1E" w:rsidRDefault="009D37F4">
      <w:pPr>
        <w:pStyle w:val="commenttext0"/>
        <w:numPr>
          <w:ilvl w:val="0"/>
          <w:numId w:val="70"/>
        </w:numPr>
        <w:spacing w:before="0" w:beforeAutospacing="0" w:after="60" w:afterAutospacing="0" w:line="264" w:lineRule="auto"/>
        <w:jc w:val="both"/>
        <w:rPr>
          <w:lang w:val="bg-BG"/>
        </w:rPr>
      </w:pPr>
      <w:r w:rsidRPr="009F6D1E">
        <w:rPr>
          <w:lang w:val="bg-BG"/>
        </w:rPr>
        <w:t xml:space="preserve">да подкрепя научните изследвания и иновациите във връзка с подобряването на добивите от биологичното земеделие. </w:t>
      </w:r>
    </w:p>
    <w:p w14:paraId="062740FF" w14:textId="77777777" w:rsidR="00BE5FF4" w:rsidRPr="009F6D1E" w:rsidRDefault="00DE6CFB" w:rsidP="0084747F">
      <w:pPr>
        <w:pStyle w:val="li"/>
        <w:spacing w:before="0" w:beforeAutospacing="0" w:after="60" w:afterAutospacing="0" w:line="264" w:lineRule="auto"/>
        <w:ind w:firstLine="708"/>
        <w:jc w:val="both"/>
        <w:rPr>
          <w:rStyle w:val="num"/>
          <w:rFonts w:eastAsia="ヒラギノ角ゴ Pro W3"/>
          <w:i/>
          <w:lang w:val="bg-BG"/>
        </w:rPr>
      </w:pPr>
      <w:r w:rsidRPr="009F6D1E">
        <w:rPr>
          <w:rStyle w:val="num"/>
          <w:rFonts w:eastAsia="ヒラギノ角ゴ Pro W3"/>
          <w:i/>
          <w:lang w:val="bg-BG"/>
        </w:rPr>
        <w:t xml:space="preserve">3.3 </w:t>
      </w:r>
      <w:r w:rsidR="00BE5FF4" w:rsidRPr="009F6D1E">
        <w:rPr>
          <w:rStyle w:val="num"/>
          <w:rFonts w:eastAsia="ヒラギノ角ゴ Pro W3"/>
          <w:i/>
          <w:lang w:val="bg-BG"/>
        </w:rPr>
        <w:t>Алтернативи на спорните влагани ресурси и други продукти за растителна защита</w:t>
      </w:r>
    </w:p>
    <w:p w14:paraId="2AF524CB" w14:textId="77777777" w:rsidR="00BE5FF4" w:rsidRPr="009F6D1E" w:rsidRDefault="00BE5FF4" w:rsidP="0084747F">
      <w:pPr>
        <w:pStyle w:val="ListParagraph"/>
        <w:spacing w:after="60" w:line="264" w:lineRule="auto"/>
        <w:ind w:left="360"/>
        <w:rPr>
          <w:lang w:val="bg-BG"/>
        </w:rPr>
      </w:pPr>
      <w:r w:rsidRPr="009F6D1E">
        <w:rPr>
          <w:i/>
          <w:lang w:val="bg-BG"/>
        </w:rPr>
        <w:t>Действие 20:</w:t>
      </w:r>
      <w:r w:rsidRPr="009F6D1E">
        <w:rPr>
          <w:lang w:val="bg-BG"/>
        </w:rPr>
        <w:t xml:space="preserve"> Комисията:</w:t>
      </w:r>
    </w:p>
    <w:p w14:paraId="19915564" w14:textId="77777777" w:rsidR="00DE6CFB"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от 2023 г. нататък възнамерява да заделя финансиране в рамките на „Хоризонт Европа“ за проекти за научни изследвания и иновации във връзка с алтернативни подходи към спорните влагани ресурси, като ще се обърне специално внимание на медта и на други </w:t>
      </w:r>
      <w:r w:rsidRPr="009F6D1E">
        <w:rPr>
          <w:lang w:val="bg-BG"/>
        </w:rPr>
        <w:lastRenderedPageBreak/>
        <w:t>вещества, за които е изготвена оценка от страна на Европейския орган за безопасност на храните; както и</w:t>
      </w:r>
    </w:p>
    <w:p w14:paraId="7785A867"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от 2022 г. нататък ще насърчава, когато е целесъобразно, използването на алтернативни продукти за растителна защита, като например продукти, съдържащи биологични активни вещества, въз основа на бъдещия регламент относно биопестицидите и чрез засилено предоставяне на консултантски услуги в областта на селското стопанство, по-специално чрез AKIS.</w:t>
      </w:r>
    </w:p>
    <w:p w14:paraId="5D9A77C5" w14:textId="77777777" w:rsidR="00BE5FF4" w:rsidRPr="009F6D1E" w:rsidRDefault="00BE5FF4"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 xml:space="preserve">3.4. Подобряване на хуманното отношение към животните </w:t>
      </w:r>
    </w:p>
    <w:p w14:paraId="09F1A041" w14:textId="77777777" w:rsidR="00BE5FF4" w:rsidRPr="009F6D1E" w:rsidRDefault="00BE5FF4" w:rsidP="0084747F">
      <w:pPr>
        <w:spacing w:after="60" w:line="264" w:lineRule="auto"/>
        <w:ind w:firstLine="708"/>
        <w:jc w:val="both"/>
        <w:rPr>
          <w:rFonts w:cs="Times New Roman"/>
          <w:szCs w:val="24"/>
        </w:rPr>
      </w:pPr>
      <w:r w:rsidRPr="009F6D1E">
        <w:rPr>
          <w:rFonts w:cs="Times New Roman"/>
          <w:i/>
          <w:szCs w:val="24"/>
        </w:rPr>
        <w:t>Действие 21:</w:t>
      </w:r>
      <w:r w:rsidRPr="009F6D1E">
        <w:rPr>
          <w:rFonts w:cs="Times New Roman"/>
          <w:szCs w:val="24"/>
        </w:rPr>
        <w:t xml:space="preserve"> В контекста на Платформата за хуманно отношение към животните Комисията:</w:t>
      </w:r>
    </w:p>
    <w:p w14:paraId="159D8F5E"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ще продължи да работи с държавите членки и гражданското общество, за да открие надеждни и оперативни начини за по-нататъшно подобряване на хуманното отношение към животните в биологичното производство.</w:t>
      </w:r>
    </w:p>
    <w:p w14:paraId="5891D400" w14:textId="77777777" w:rsidR="00BE5FF4" w:rsidRPr="009F6D1E" w:rsidRDefault="00BE5FF4" w:rsidP="0084747F">
      <w:pPr>
        <w:pStyle w:val="li"/>
        <w:spacing w:before="0" w:beforeAutospacing="0" w:after="60" w:afterAutospacing="0" w:line="264" w:lineRule="auto"/>
        <w:ind w:firstLine="708"/>
        <w:rPr>
          <w:rStyle w:val="num"/>
          <w:rFonts w:eastAsia="ヒラギノ角ゴ Pro W3"/>
          <w:i/>
          <w:lang w:val="bg-BG"/>
        </w:rPr>
      </w:pPr>
      <w:r w:rsidRPr="009F6D1E">
        <w:rPr>
          <w:rStyle w:val="num"/>
          <w:rFonts w:eastAsia="ヒラギノ角ゴ Pro W3"/>
          <w:i/>
          <w:lang w:val="bg-BG"/>
        </w:rPr>
        <w:t>3.5. По-ефективно използване на ресурсите</w:t>
      </w:r>
    </w:p>
    <w:p w14:paraId="6D7EEF72" w14:textId="77777777" w:rsidR="00BE5FF4" w:rsidRPr="009F6D1E" w:rsidRDefault="00BE5FF4" w:rsidP="0084747F">
      <w:pPr>
        <w:spacing w:after="60" w:line="264" w:lineRule="auto"/>
        <w:ind w:firstLine="708"/>
        <w:rPr>
          <w:rFonts w:cs="Times New Roman"/>
          <w:szCs w:val="24"/>
        </w:rPr>
      </w:pPr>
      <w:r w:rsidRPr="009F6D1E">
        <w:rPr>
          <w:rFonts w:cs="Times New Roman"/>
          <w:i/>
          <w:szCs w:val="24"/>
        </w:rPr>
        <w:t>Действие 22:</w:t>
      </w:r>
      <w:r w:rsidRPr="009F6D1E">
        <w:rPr>
          <w:rFonts w:cs="Times New Roman"/>
          <w:szCs w:val="24"/>
        </w:rPr>
        <w:t xml:space="preserve"> Комисията възнамерява:</w:t>
      </w:r>
    </w:p>
    <w:p w14:paraId="39B4D463"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да приеме уредба относно пластмасата на биологична основа, пластмасата, подлежаща на компостиране, и биоразградимата пластмаса 34 , която ще включва принципи и критерии, съгласно които използването на устойчиви материали на биологична основа, които са лесно биоразградими в естествени условия, е полезно за околната среда.</w:t>
      </w:r>
    </w:p>
    <w:p w14:paraId="6944AA10" w14:textId="77777777" w:rsidR="00BE5FF4" w:rsidRPr="009F6D1E" w:rsidRDefault="00BE5FF4" w:rsidP="0084747F">
      <w:pPr>
        <w:spacing w:after="60" w:line="264" w:lineRule="auto"/>
        <w:ind w:firstLine="708"/>
        <w:rPr>
          <w:rFonts w:cs="Times New Roman"/>
          <w:szCs w:val="24"/>
        </w:rPr>
      </w:pPr>
      <w:r w:rsidRPr="009F6D1E">
        <w:rPr>
          <w:rFonts w:cs="Times New Roman"/>
          <w:i/>
          <w:szCs w:val="24"/>
        </w:rPr>
        <w:t>Действие 23:</w:t>
      </w:r>
      <w:r w:rsidRPr="009F6D1E">
        <w:rPr>
          <w:rFonts w:cs="Times New Roman"/>
          <w:szCs w:val="24"/>
        </w:rPr>
        <w:t xml:space="preserve"> Комисията:</w:t>
      </w:r>
    </w:p>
    <w:p w14:paraId="627509D4" w14:textId="77777777" w:rsidR="00BE5FF4" w:rsidRPr="009F6D1E" w:rsidRDefault="00BE5FF4">
      <w:pPr>
        <w:pStyle w:val="commenttext0"/>
        <w:numPr>
          <w:ilvl w:val="0"/>
          <w:numId w:val="70"/>
        </w:numPr>
        <w:spacing w:before="0" w:beforeAutospacing="0" w:after="60" w:afterAutospacing="0" w:line="264" w:lineRule="auto"/>
        <w:jc w:val="both"/>
        <w:rPr>
          <w:lang w:val="bg-BG"/>
        </w:rPr>
      </w:pPr>
      <w:r w:rsidRPr="009F6D1E">
        <w:rPr>
          <w:lang w:val="bg-BG"/>
        </w:rPr>
        <w:t xml:space="preserve">ще насърчава по-ефективното и устойчиво използване на водите, увеличаването на използването на възобновяема енергия и чист транспорт и намаляването на освобождаването на хранителни вещества при всички видове земеделие — в което водеща роля ще играе биологичното земеделие — с участието на държавите членки чрез техните стратегически планове по </w:t>
      </w:r>
      <w:r w:rsidR="00D809BC" w:rsidRPr="009F6D1E">
        <w:rPr>
          <w:lang w:val="bg-BG"/>
        </w:rPr>
        <w:t>РЗСР</w:t>
      </w:r>
      <w:r w:rsidRPr="009F6D1E">
        <w:rPr>
          <w:lang w:val="bg-BG"/>
        </w:rPr>
        <w:t xml:space="preserve">, както и посредством новите стратегически насоки относно аквакултурата и ЕФМДР.  </w:t>
      </w:r>
    </w:p>
    <w:p w14:paraId="3F06F444" w14:textId="77777777" w:rsidR="00BE5FF4" w:rsidRPr="009F6D1E" w:rsidRDefault="00111FAC" w:rsidP="0084747F">
      <w:pPr>
        <w:spacing w:after="60" w:line="264" w:lineRule="auto"/>
        <w:ind w:firstLine="708"/>
        <w:jc w:val="both"/>
        <w:rPr>
          <w:rFonts w:cs="Times New Roman"/>
          <w:szCs w:val="24"/>
        </w:rPr>
      </w:pPr>
      <w:r w:rsidRPr="009F6D1E">
        <w:rPr>
          <w:rFonts w:cs="Times New Roman"/>
          <w:szCs w:val="24"/>
        </w:rPr>
        <w:t xml:space="preserve">Разработеният </w:t>
      </w:r>
      <w:r w:rsidR="00CD4045" w:rsidRPr="009F6D1E">
        <w:rPr>
          <w:rFonts w:cs="Times New Roman"/>
          <w:szCs w:val="24"/>
        </w:rPr>
        <w:t>СПРЗСР</w:t>
      </w:r>
      <w:r w:rsidRPr="009F6D1E">
        <w:rPr>
          <w:rFonts w:cs="Times New Roman"/>
          <w:szCs w:val="24"/>
        </w:rPr>
        <w:t xml:space="preserve"> е съобразен с основните насоки на документа и не влиза в противоречие с него, като анализът е представен в точка </w:t>
      </w:r>
      <w:r w:rsidR="00D5130D" w:rsidRPr="009F6D1E">
        <w:rPr>
          <w:rFonts w:cs="Times New Roman"/>
          <w:szCs w:val="24"/>
        </w:rPr>
        <w:t>7</w:t>
      </w:r>
      <w:r w:rsidRPr="009F6D1E">
        <w:rPr>
          <w:rFonts w:cs="Times New Roman"/>
          <w:szCs w:val="24"/>
        </w:rPr>
        <w:t>.1. от ДЕО.</w:t>
      </w:r>
    </w:p>
    <w:p w14:paraId="08D59DE9" w14:textId="77777777" w:rsidR="0094794D" w:rsidRPr="009F6D1E" w:rsidRDefault="0094794D" w:rsidP="0084747F">
      <w:pPr>
        <w:spacing w:after="60" w:line="264" w:lineRule="auto"/>
        <w:ind w:firstLine="708"/>
        <w:jc w:val="both"/>
        <w:rPr>
          <w:rFonts w:cs="Times New Roman"/>
          <w:szCs w:val="24"/>
        </w:rPr>
      </w:pPr>
    </w:p>
    <w:p w14:paraId="0617B8E2" w14:textId="77777777" w:rsidR="00111FAC" w:rsidRPr="009F6D1E" w:rsidRDefault="00111FAC">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Съобщение на Европейската комисия „Стратегия на ЕС за почвите за 2030 г. Извличане на ползите от здравите почви за хората, храните, природата  и климата“, COM(2021) 699 </w:t>
      </w:r>
      <w:proofErr w:type="spellStart"/>
      <w:r w:rsidRPr="009F6D1E">
        <w:rPr>
          <w:b/>
          <w:bCs/>
          <w:smallCaps w:val="0"/>
          <w:color w:val="262626" w:themeColor="text1" w:themeTint="D9"/>
          <w:lang w:eastAsia="en-US" w:bidi="ar-SA"/>
        </w:rPr>
        <w:t>final</w:t>
      </w:r>
      <w:proofErr w:type="spellEnd"/>
      <w:r w:rsidRPr="009F6D1E">
        <w:rPr>
          <w:b/>
          <w:bCs/>
          <w:smallCaps w:val="0"/>
          <w:color w:val="262626" w:themeColor="text1" w:themeTint="D9"/>
          <w:lang w:eastAsia="en-US" w:bidi="ar-SA"/>
        </w:rPr>
        <w:t xml:space="preserve"> 18</w:t>
      </w:r>
      <w:r w:rsidRPr="009F6D1E">
        <w:rPr>
          <w:rStyle w:val="FootnoteReference"/>
          <w:b/>
          <w:bCs/>
          <w:smallCaps w:val="0"/>
          <w:color w:val="262626" w:themeColor="text1" w:themeTint="D9"/>
          <w:lang w:eastAsia="en-US" w:bidi="ar-SA"/>
        </w:rPr>
        <w:footnoteReference w:id="19"/>
      </w:r>
    </w:p>
    <w:p w14:paraId="571C6348" w14:textId="77777777" w:rsidR="0094794D" w:rsidRPr="009F6D1E" w:rsidRDefault="0094794D" w:rsidP="0084747F">
      <w:pPr>
        <w:spacing w:after="60" w:line="264" w:lineRule="auto"/>
        <w:ind w:firstLine="708"/>
        <w:jc w:val="both"/>
        <w:rPr>
          <w:rFonts w:cs="Times New Roman"/>
          <w:b/>
          <w:i/>
          <w:szCs w:val="24"/>
        </w:rPr>
      </w:pPr>
    </w:p>
    <w:p w14:paraId="7719AF4C" w14:textId="77777777" w:rsidR="00111FAC" w:rsidRPr="009F6D1E" w:rsidRDefault="00111FAC" w:rsidP="0084747F">
      <w:pPr>
        <w:spacing w:after="60" w:line="264" w:lineRule="auto"/>
        <w:ind w:firstLine="708"/>
        <w:jc w:val="both"/>
        <w:rPr>
          <w:rFonts w:cs="Times New Roman"/>
          <w:szCs w:val="24"/>
        </w:rPr>
      </w:pPr>
      <w:r w:rsidRPr="009F6D1E">
        <w:rPr>
          <w:rFonts w:cs="Times New Roman"/>
          <w:b/>
          <w:i/>
          <w:szCs w:val="24"/>
        </w:rPr>
        <w:t>Визия и цели:</w:t>
      </w:r>
      <w:r w:rsidRPr="009F6D1E">
        <w:rPr>
          <w:rFonts w:cs="Times New Roman"/>
          <w:szCs w:val="24"/>
        </w:rPr>
        <w:t xml:space="preserve"> Постигане на добро здраве на почвите до 2050 г.</w:t>
      </w:r>
    </w:p>
    <w:p w14:paraId="2F66F743" w14:textId="77777777" w:rsidR="00111FAC" w:rsidRPr="009F6D1E" w:rsidRDefault="00111FAC" w:rsidP="0084747F">
      <w:pPr>
        <w:pStyle w:val="Pagedecouverture"/>
        <w:spacing w:after="60" w:line="264" w:lineRule="auto"/>
        <w:ind w:firstLine="708"/>
        <w:jc w:val="both"/>
        <w:rPr>
          <w:rFonts w:cs="Times New Roman"/>
          <w:noProof/>
          <w:szCs w:val="24"/>
          <w:u w:val="single"/>
          <w:lang w:val="bg-BG"/>
        </w:rPr>
      </w:pPr>
      <w:r w:rsidRPr="009F6D1E">
        <w:rPr>
          <w:rFonts w:cs="Times New Roman"/>
          <w:noProof/>
          <w:szCs w:val="24"/>
          <w:lang w:val="bg-BG"/>
        </w:rPr>
        <w:t>Тази нова визия за почвите е залегнала в основата на Стратегията на ЕС за биологичното разнообразие за 2030 г.</w:t>
      </w:r>
      <w:r w:rsidRPr="009F6D1E">
        <w:rPr>
          <w:rStyle w:val="FootnoteReference"/>
          <w:rFonts w:cs="Times New Roman"/>
          <w:noProof/>
          <w:szCs w:val="24"/>
          <w:lang w:val="bg-BG"/>
        </w:rPr>
        <w:footnoteReference w:id="20"/>
      </w:r>
      <w:r w:rsidRPr="009F6D1E">
        <w:rPr>
          <w:rFonts w:cs="Times New Roman"/>
          <w:noProof/>
          <w:szCs w:val="24"/>
          <w:lang w:val="bg-BG"/>
        </w:rPr>
        <w:t xml:space="preserve"> и Стратегията за адаптиране към изменението на </w:t>
      </w:r>
      <w:r w:rsidRPr="009F6D1E">
        <w:rPr>
          <w:rFonts w:cs="Times New Roman"/>
          <w:noProof/>
          <w:szCs w:val="24"/>
          <w:lang w:val="bg-BG"/>
        </w:rPr>
        <w:lastRenderedPageBreak/>
        <w:t>климата</w:t>
      </w:r>
      <w:r w:rsidRPr="009F6D1E">
        <w:rPr>
          <w:rStyle w:val="FootnoteReference"/>
          <w:rFonts w:cs="Times New Roman"/>
          <w:noProof/>
          <w:szCs w:val="24"/>
          <w:lang w:val="bg-BG"/>
        </w:rPr>
        <w:footnoteReference w:id="21"/>
      </w:r>
      <w:r w:rsidRPr="009F6D1E">
        <w:rPr>
          <w:rFonts w:cs="Times New Roman"/>
          <w:noProof/>
          <w:szCs w:val="24"/>
          <w:lang w:val="bg-BG"/>
        </w:rPr>
        <w:t>. Следователно Стратегията за почвите доразвива и значително ще допринесе за няколко от целите на Европейския зелен пакт и предшестващите го цели:</w:t>
      </w:r>
    </w:p>
    <w:p w14:paraId="1C289A89" w14:textId="77777777" w:rsidR="00111FAC" w:rsidRPr="009F6D1E" w:rsidRDefault="00111FAC" w:rsidP="0084747F">
      <w:pPr>
        <w:pStyle w:val="Pagedecouverture"/>
        <w:spacing w:after="60" w:line="264" w:lineRule="auto"/>
        <w:ind w:firstLine="708"/>
        <w:jc w:val="both"/>
        <w:rPr>
          <w:rFonts w:cs="Times New Roman"/>
          <w:b/>
          <w:i/>
          <w:noProof/>
          <w:szCs w:val="24"/>
          <w:lang w:val="bg-BG"/>
        </w:rPr>
      </w:pPr>
      <w:r w:rsidRPr="009F6D1E">
        <w:rPr>
          <w:rFonts w:cs="Times New Roman"/>
          <w:b/>
          <w:i/>
          <w:noProof/>
          <w:szCs w:val="24"/>
          <w:lang w:val="bg-BG"/>
        </w:rPr>
        <w:t>Средносрочни цели до 2030 г.:</w:t>
      </w:r>
    </w:p>
    <w:p w14:paraId="5CBD4166" w14:textId="77777777" w:rsidR="00111FAC" w:rsidRPr="009F6D1E" w:rsidRDefault="00111FAC">
      <w:pPr>
        <w:pStyle w:val="Pagedecouverture"/>
        <w:numPr>
          <w:ilvl w:val="0"/>
          <w:numId w:val="74"/>
        </w:numPr>
        <w:spacing w:after="60" w:line="264" w:lineRule="auto"/>
        <w:jc w:val="both"/>
        <w:rPr>
          <w:rFonts w:cs="Times New Roman"/>
          <w:noProof/>
          <w:szCs w:val="24"/>
          <w:lang w:val="bg-BG"/>
        </w:rPr>
      </w:pPr>
      <w:r w:rsidRPr="009F6D1E">
        <w:rPr>
          <w:rFonts w:cs="Times New Roman"/>
          <w:noProof/>
          <w:szCs w:val="24"/>
          <w:lang w:val="bg-BG"/>
        </w:rPr>
        <w:t>борба с опустиняването, възстановяване на увредените земи и почви, включително земите, засегнати от опустиняване, суша и наводнения, и стремеж към преустановяване на влошаването на качеството на земите в световен мащаб (цел за устойчиво развитие 15.3)</w:t>
      </w:r>
      <w:r w:rsidRPr="009F6D1E">
        <w:rPr>
          <w:rStyle w:val="FootnoteReference"/>
          <w:rFonts w:cs="Times New Roman"/>
          <w:noProof/>
          <w:szCs w:val="24"/>
          <w:lang w:val="bg-BG"/>
        </w:rPr>
        <w:footnoteReference w:id="22"/>
      </w:r>
      <w:r w:rsidRPr="009F6D1E">
        <w:rPr>
          <w:rFonts w:cs="Times New Roman"/>
          <w:noProof/>
          <w:szCs w:val="24"/>
          <w:lang w:val="bg-BG"/>
        </w:rPr>
        <w:t xml:space="preserve">; </w:t>
      </w:r>
    </w:p>
    <w:p w14:paraId="6382D8C5" w14:textId="77777777" w:rsidR="00111FAC" w:rsidRPr="009F6D1E" w:rsidRDefault="00111FAC">
      <w:pPr>
        <w:pStyle w:val="Pagedecouverture"/>
        <w:numPr>
          <w:ilvl w:val="0"/>
          <w:numId w:val="74"/>
        </w:numPr>
        <w:spacing w:after="60" w:line="264" w:lineRule="auto"/>
        <w:jc w:val="both"/>
        <w:rPr>
          <w:rFonts w:cs="Times New Roman"/>
          <w:noProof/>
          <w:szCs w:val="24"/>
          <w:lang w:val="bg-BG"/>
        </w:rPr>
      </w:pPr>
      <w:r w:rsidRPr="009F6D1E">
        <w:rPr>
          <w:rFonts w:cs="Times New Roman"/>
          <w:noProof/>
          <w:szCs w:val="24"/>
          <w:lang w:val="bg-BG"/>
        </w:rPr>
        <w:t>възстановяване на значителни площи от увредени и богати на въглерод екосистеми, включително почви</w:t>
      </w:r>
      <w:r w:rsidRPr="009F6D1E">
        <w:rPr>
          <w:rStyle w:val="FootnoteReference"/>
          <w:rFonts w:cs="Times New Roman"/>
          <w:noProof/>
          <w:szCs w:val="24"/>
          <w:lang w:val="bg-BG"/>
        </w:rPr>
        <w:footnoteReference w:id="23"/>
      </w:r>
      <w:r w:rsidRPr="009F6D1E">
        <w:rPr>
          <w:rFonts w:cs="Times New Roman"/>
          <w:noProof/>
          <w:szCs w:val="24"/>
          <w:lang w:val="bg-BG"/>
        </w:rPr>
        <w:t>;</w:t>
      </w:r>
    </w:p>
    <w:p w14:paraId="2DC2DAEE" w14:textId="77777777" w:rsidR="00111FAC" w:rsidRPr="009F6D1E" w:rsidRDefault="00111FAC">
      <w:pPr>
        <w:numPr>
          <w:ilvl w:val="0"/>
          <w:numId w:val="74"/>
        </w:numPr>
        <w:spacing w:after="60" w:line="264" w:lineRule="auto"/>
        <w:ind w:left="714" w:hanging="357"/>
        <w:jc w:val="both"/>
        <w:rPr>
          <w:rFonts w:cs="Times New Roman"/>
          <w:noProof/>
          <w:szCs w:val="24"/>
        </w:rPr>
      </w:pPr>
      <w:r w:rsidRPr="009F6D1E">
        <w:rPr>
          <w:rFonts w:cs="Times New Roman"/>
          <w:noProof/>
          <w:szCs w:val="24"/>
        </w:rPr>
        <w:t>постигане на нетни поглъщания на парникови газове в размер на 310 милиона тона CO</w:t>
      </w:r>
      <w:r w:rsidRPr="009F6D1E">
        <w:rPr>
          <w:rFonts w:cs="Times New Roman"/>
          <w:noProof/>
          <w:szCs w:val="24"/>
          <w:vertAlign w:val="subscript"/>
        </w:rPr>
        <w:t>2</w:t>
      </w:r>
      <w:r w:rsidRPr="009F6D1E">
        <w:rPr>
          <w:rFonts w:cs="Times New Roman"/>
          <w:noProof/>
          <w:szCs w:val="24"/>
        </w:rPr>
        <w:t xml:space="preserve"> еквивалент на година в сектора на земеползването, промените в земеползването и горското стопанство (ЗПЗГС)</w:t>
      </w:r>
      <w:r w:rsidRPr="009F6D1E">
        <w:rPr>
          <w:rFonts w:cs="Times New Roman"/>
          <w:noProof/>
          <w:szCs w:val="24"/>
          <w:vertAlign w:val="superscript"/>
        </w:rPr>
        <w:footnoteReference w:id="24"/>
      </w:r>
      <w:r w:rsidRPr="009F6D1E">
        <w:rPr>
          <w:rFonts w:cs="Times New Roman"/>
          <w:noProof/>
          <w:szCs w:val="24"/>
        </w:rPr>
        <w:t>;</w:t>
      </w:r>
    </w:p>
    <w:p w14:paraId="27559C60" w14:textId="77777777" w:rsidR="00111FAC" w:rsidRPr="009F6D1E" w:rsidRDefault="00111FAC">
      <w:pPr>
        <w:pStyle w:val="Pagedecouverture"/>
        <w:numPr>
          <w:ilvl w:val="0"/>
          <w:numId w:val="74"/>
        </w:numPr>
        <w:spacing w:after="60" w:line="264" w:lineRule="auto"/>
        <w:ind w:left="714" w:hanging="357"/>
        <w:jc w:val="both"/>
        <w:rPr>
          <w:rFonts w:cs="Times New Roman"/>
          <w:noProof/>
          <w:szCs w:val="24"/>
          <w:lang w:val="bg-BG"/>
        </w:rPr>
      </w:pPr>
      <w:r w:rsidRPr="009F6D1E">
        <w:rPr>
          <w:rFonts w:cs="Times New Roman"/>
          <w:noProof/>
          <w:szCs w:val="24"/>
          <w:lang w:val="bg-BG"/>
        </w:rPr>
        <w:t>постигане на добро екологично и химично състояние на повърхностните води и добро химично и количествено състояние на подземните води до 2027 г.</w:t>
      </w:r>
      <w:r w:rsidRPr="009F6D1E">
        <w:rPr>
          <w:rFonts w:cs="Times New Roman"/>
          <w:noProof/>
          <w:szCs w:val="24"/>
          <w:vertAlign w:val="superscript"/>
          <w:lang w:val="bg-BG"/>
        </w:rPr>
        <w:footnoteReference w:id="25"/>
      </w:r>
      <w:r w:rsidRPr="009F6D1E">
        <w:rPr>
          <w:rFonts w:cs="Times New Roman"/>
          <w:noProof/>
          <w:szCs w:val="24"/>
          <w:lang w:val="bg-BG"/>
        </w:rPr>
        <w:t>;</w:t>
      </w:r>
    </w:p>
    <w:p w14:paraId="1A5CE665" w14:textId="77777777" w:rsidR="00111FAC" w:rsidRPr="009F6D1E" w:rsidRDefault="00111FAC">
      <w:pPr>
        <w:pStyle w:val="Pagedecouverture"/>
        <w:numPr>
          <w:ilvl w:val="0"/>
          <w:numId w:val="74"/>
        </w:numPr>
        <w:spacing w:after="60" w:line="264" w:lineRule="auto"/>
        <w:ind w:left="714" w:hanging="357"/>
        <w:jc w:val="both"/>
        <w:rPr>
          <w:rFonts w:cs="Times New Roman"/>
          <w:noProof/>
          <w:szCs w:val="24"/>
          <w:lang w:val="bg-BG"/>
        </w:rPr>
      </w:pPr>
      <w:r w:rsidRPr="009F6D1E">
        <w:rPr>
          <w:rFonts w:cs="Times New Roman"/>
          <w:noProof/>
          <w:szCs w:val="24"/>
          <w:lang w:val="bg-BG"/>
        </w:rPr>
        <w:t>намаляване на загубите на хранителни вещества с поне 50 %, на общата употреба на химически пестициди и свързания с тях риск с 50 % и на употребата на по-опасни пестициди с 50 % до 2030 г.</w:t>
      </w:r>
      <w:r w:rsidRPr="009F6D1E">
        <w:rPr>
          <w:rStyle w:val="FootnoteReference"/>
          <w:rFonts w:cs="Times New Roman"/>
          <w:noProof/>
          <w:szCs w:val="24"/>
          <w:lang w:val="bg-BG"/>
        </w:rPr>
        <w:footnoteReference w:id="26"/>
      </w:r>
      <w:r w:rsidRPr="009F6D1E">
        <w:rPr>
          <w:rFonts w:cs="Times New Roman"/>
          <w:noProof/>
          <w:szCs w:val="24"/>
          <w:lang w:val="bg-BG"/>
        </w:rPr>
        <w:t>;</w:t>
      </w:r>
    </w:p>
    <w:p w14:paraId="78FF6A29" w14:textId="77777777" w:rsidR="00111FAC" w:rsidRPr="009F6D1E" w:rsidRDefault="00111FAC">
      <w:pPr>
        <w:pStyle w:val="ListParagraph"/>
        <w:numPr>
          <w:ilvl w:val="0"/>
          <w:numId w:val="74"/>
        </w:numPr>
        <w:spacing w:after="60" w:line="264" w:lineRule="auto"/>
        <w:ind w:left="714" w:hanging="357"/>
        <w:contextualSpacing w:val="0"/>
        <w:jc w:val="both"/>
        <w:rPr>
          <w:noProof/>
          <w:lang w:val="bg-BG"/>
        </w:rPr>
      </w:pPr>
      <w:r w:rsidRPr="009F6D1E">
        <w:rPr>
          <w:noProof/>
          <w:lang w:val="bg-BG"/>
        </w:rPr>
        <w:t>постигане на значителен напредък при възстановяването на замърсени терени</w:t>
      </w:r>
      <w:r w:rsidRPr="009F6D1E">
        <w:rPr>
          <w:rStyle w:val="FootnoteReference"/>
          <w:noProof/>
          <w:lang w:val="bg-BG"/>
        </w:rPr>
        <w:footnoteReference w:id="27"/>
      </w:r>
      <w:r w:rsidRPr="009F6D1E">
        <w:rPr>
          <w:noProof/>
          <w:lang w:val="bg-BG"/>
        </w:rPr>
        <w:t xml:space="preserve">; </w:t>
      </w:r>
    </w:p>
    <w:p w14:paraId="79988CF2" w14:textId="77777777" w:rsidR="00111FAC" w:rsidRPr="009F6D1E" w:rsidRDefault="00111FAC" w:rsidP="0084747F">
      <w:pPr>
        <w:pStyle w:val="Pagedecouverture"/>
        <w:spacing w:after="60" w:line="264" w:lineRule="auto"/>
        <w:ind w:firstLine="708"/>
        <w:jc w:val="both"/>
        <w:rPr>
          <w:rFonts w:cs="Times New Roman"/>
          <w:b/>
          <w:i/>
          <w:noProof/>
          <w:szCs w:val="24"/>
          <w:lang w:val="bg-BG"/>
        </w:rPr>
      </w:pPr>
      <w:r w:rsidRPr="009F6D1E">
        <w:rPr>
          <w:rFonts w:cs="Times New Roman"/>
          <w:b/>
          <w:i/>
          <w:noProof/>
          <w:szCs w:val="24"/>
          <w:lang w:val="bg-BG"/>
        </w:rPr>
        <w:t>Дългосрочни цели до 2050 г.:</w:t>
      </w:r>
    </w:p>
    <w:p w14:paraId="6C640909" w14:textId="77777777" w:rsidR="00111FAC" w:rsidRPr="009F6D1E" w:rsidRDefault="00111FAC">
      <w:pPr>
        <w:pStyle w:val="Pagedecouverture"/>
        <w:numPr>
          <w:ilvl w:val="0"/>
          <w:numId w:val="74"/>
        </w:numPr>
        <w:spacing w:after="60" w:line="264" w:lineRule="auto"/>
        <w:ind w:left="714" w:hanging="357"/>
        <w:jc w:val="both"/>
        <w:rPr>
          <w:rFonts w:cs="Times New Roman"/>
          <w:noProof/>
          <w:szCs w:val="24"/>
          <w:lang w:val="bg-BG"/>
        </w:rPr>
      </w:pPr>
      <w:r w:rsidRPr="009F6D1E">
        <w:rPr>
          <w:rFonts w:cs="Times New Roman"/>
          <w:noProof/>
          <w:szCs w:val="24"/>
          <w:lang w:val="bg-BG"/>
        </w:rPr>
        <w:t>слагане на край на нетното усвояване на земя</w:t>
      </w:r>
      <w:r w:rsidRPr="009F6D1E">
        <w:rPr>
          <w:rStyle w:val="FootnoteReference"/>
          <w:rFonts w:cs="Times New Roman"/>
          <w:noProof/>
          <w:szCs w:val="24"/>
          <w:lang w:val="bg-BG"/>
        </w:rPr>
        <w:footnoteReference w:id="28"/>
      </w:r>
      <w:r w:rsidRPr="009F6D1E">
        <w:rPr>
          <w:rFonts w:cs="Times New Roman"/>
          <w:noProof/>
          <w:szCs w:val="24"/>
          <w:lang w:val="bg-BG"/>
        </w:rPr>
        <w:t xml:space="preserve"> </w:t>
      </w:r>
      <w:r w:rsidRPr="009F6D1E">
        <w:rPr>
          <w:rStyle w:val="FootnoteReference"/>
          <w:rFonts w:cs="Times New Roman"/>
          <w:noProof/>
          <w:szCs w:val="24"/>
          <w:lang w:val="bg-BG"/>
        </w:rPr>
        <w:footnoteReference w:id="29"/>
      </w:r>
      <w:r w:rsidRPr="009F6D1E">
        <w:rPr>
          <w:rFonts w:cs="Times New Roman"/>
          <w:noProof/>
          <w:szCs w:val="24"/>
          <w:lang w:val="bg-BG"/>
        </w:rPr>
        <w:t>;</w:t>
      </w:r>
    </w:p>
    <w:p w14:paraId="54BB987A" w14:textId="77777777" w:rsidR="00111FAC" w:rsidRPr="009F6D1E" w:rsidRDefault="00111FAC">
      <w:pPr>
        <w:pStyle w:val="Pagedecouverture"/>
        <w:numPr>
          <w:ilvl w:val="0"/>
          <w:numId w:val="74"/>
        </w:numPr>
        <w:spacing w:after="60" w:line="264" w:lineRule="auto"/>
        <w:ind w:left="714" w:hanging="357"/>
        <w:jc w:val="both"/>
        <w:rPr>
          <w:rFonts w:cs="Times New Roman"/>
          <w:noProof/>
          <w:szCs w:val="24"/>
          <w:lang w:val="bg-BG"/>
        </w:rPr>
      </w:pPr>
      <w:r w:rsidRPr="009F6D1E">
        <w:rPr>
          <w:rFonts w:cs="Times New Roman"/>
          <w:noProof/>
          <w:szCs w:val="24"/>
          <w:lang w:val="bg-BG"/>
        </w:rPr>
        <w:t>замърсяването на почвата следва да бъде намалено до нива, които вече не се считат за вредни за здравето и за природните екосистеми и които са съобразени с границите, до които нашата планета е в състояние да се справи, като по този начин се създава нетоксична околна среда</w:t>
      </w:r>
      <w:r w:rsidRPr="009F6D1E">
        <w:rPr>
          <w:rStyle w:val="FootnoteReference"/>
          <w:rFonts w:cs="Times New Roman"/>
          <w:noProof/>
          <w:szCs w:val="24"/>
          <w:lang w:val="bg-BG"/>
        </w:rPr>
        <w:footnoteReference w:id="30"/>
      </w:r>
      <w:r w:rsidRPr="009F6D1E">
        <w:rPr>
          <w:rFonts w:cs="Times New Roman"/>
          <w:noProof/>
          <w:szCs w:val="24"/>
          <w:lang w:val="bg-BG"/>
        </w:rPr>
        <w:t>;</w:t>
      </w:r>
    </w:p>
    <w:p w14:paraId="3BD5640D" w14:textId="77777777" w:rsidR="00111FAC" w:rsidRPr="009F6D1E" w:rsidRDefault="00111FAC">
      <w:pPr>
        <w:pStyle w:val="Pagedecouverture"/>
        <w:numPr>
          <w:ilvl w:val="0"/>
          <w:numId w:val="74"/>
        </w:numPr>
        <w:spacing w:after="60" w:line="264" w:lineRule="auto"/>
        <w:jc w:val="both"/>
        <w:rPr>
          <w:rFonts w:cs="Times New Roman"/>
          <w:noProof/>
          <w:szCs w:val="24"/>
          <w:lang w:val="bg-BG"/>
        </w:rPr>
      </w:pPr>
      <w:r w:rsidRPr="009F6D1E">
        <w:rPr>
          <w:rFonts w:cs="Times New Roman"/>
          <w:noProof/>
          <w:szCs w:val="24"/>
          <w:lang w:val="bg-BG"/>
        </w:rPr>
        <w:t>постигане на неутрална по отношение на климата Европа</w:t>
      </w:r>
      <w:r w:rsidRPr="009F6D1E">
        <w:rPr>
          <w:rFonts w:cs="Times New Roman"/>
          <w:noProof/>
          <w:szCs w:val="24"/>
          <w:vertAlign w:val="superscript"/>
          <w:lang w:val="bg-BG"/>
        </w:rPr>
        <w:footnoteReference w:id="31"/>
      </w:r>
      <w:r w:rsidRPr="009F6D1E">
        <w:rPr>
          <w:rFonts w:cs="Times New Roman"/>
          <w:noProof/>
          <w:szCs w:val="24"/>
          <w:lang w:val="bg-BG"/>
        </w:rPr>
        <w:t xml:space="preserve"> и, като първа стъпка, стремеж към постигане на неутралност по отношение на климата на сушата в ЕС до 2035 г.</w:t>
      </w:r>
      <w:r w:rsidRPr="009F6D1E">
        <w:rPr>
          <w:rStyle w:val="FootnoteReference"/>
          <w:rFonts w:cs="Times New Roman"/>
          <w:noProof/>
          <w:szCs w:val="24"/>
          <w:lang w:val="bg-BG"/>
        </w:rPr>
        <w:footnoteReference w:id="32"/>
      </w:r>
      <w:r w:rsidRPr="009F6D1E">
        <w:rPr>
          <w:rFonts w:cs="Times New Roman"/>
          <w:noProof/>
          <w:szCs w:val="24"/>
          <w:lang w:val="bg-BG"/>
        </w:rPr>
        <w:t xml:space="preserve">; </w:t>
      </w:r>
    </w:p>
    <w:p w14:paraId="046C1780" w14:textId="77777777" w:rsidR="00111FAC" w:rsidRPr="009F6D1E" w:rsidRDefault="00111FAC">
      <w:pPr>
        <w:pStyle w:val="Pagedecouverture"/>
        <w:numPr>
          <w:ilvl w:val="0"/>
          <w:numId w:val="74"/>
        </w:numPr>
        <w:spacing w:after="60" w:line="264" w:lineRule="auto"/>
        <w:jc w:val="both"/>
        <w:rPr>
          <w:rFonts w:cs="Times New Roman"/>
          <w:noProof/>
          <w:szCs w:val="24"/>
          <w:lang w:val="bg-BG"/>
        </w:rPr>
      </w:pPr>
      <w:r w:rsidRPr="009F6D1E">
        <w:rPr>
          <w:rFonts w:cs="Times New Roman"/>
          <w:noProof/>
          <w:szCs w:val="24"/>
          <w:lang w:val="bg-BG"/>
        </w:rPr>
        <w:t>постигане на устойчиво на изменението на климата общество, напълно адаптирано към неизбежното въздействие на изменението на климата,</w:t>
      </w:r>
      <w:r w:rsidRPr="009F6D1E">
        <w:rPr>
          <w:rStyle w:val="FootnoteReference"/>
          <w:rFonts w:cs="Times New Roman"/>
          <w:noProof/>
          <w:szCs w:val="24"/>
          <w:lang w:val="bg-BG"/>
        </w:rPr>
        <w:t xml:space="preserve"> </w:t>
      </w:r>
      <w:r w:rsidRPr="009F6D1E">
        <w:rPr>
          <w:rFonts w:cs="Times New Roman"/>
          <w:noProof/>
          <w:szCs w:val="24"/>
          <w:lang w:val="bg-BG"/>
        </w:rPr>
        <w:t>до 2050 г.</w:t>
      </w:r>
      <w:r w:rsidRPr="009F6D1E">
        <w:rPr>
          <w:rStyle w:val="FootnoteReference"/>
          <w:rFonts w:cs="Times New Roman"/>
          <w:noProof/>
          <w:szCs w:val="24"/>
          <w:lang w:val="bg-BG"/>
        </w:rPr>
        <w:footnoteReference w:id="33"/>
      </w:r>
    </w:p>
    <w:p w14:paraId="41CE35A2" w14:textId="77777777" w:rsidR="00111FAC" w:rsidRPr="009F6D1E" w:rsidRDefault="00EE42A9" w:rsidP="0084747F">
      <w:pPr>
        <w:spacing w:after="60" w:line="264" w:lineRule="auto"/>
        <w:ind w:firstLine="708"/>
        <w:jc w:val="both"/>
        <w:rPr>
          <w:rFonts w:cs="Times New Roman"/>
          <w:szCs w:val="24"/>
        </w:rPr>
      </w:pPr>
      <w:r w:rsidRPr="009F6D1E">
        <w:rPr>
          <w:rFonts w:cs="Times New Roman"/>
          <w:szCs w:val="24"/>
        </w:rPr>
        <w:lastRenderedPageBreak/>
        <w:t xml:space="preserve">Разработеният </w:t>
      </w:r>
      <w:r w:rsidR="00CD4045" w:rsidRPr="009F6D1E">
        <w:rPr>
          <w:rFonts w:cs="Times New Roman"/>
          <w:szCs w:val="24"/>
        </w:rPr>
        <w:t>СПРЗСР</w:t>
      </w:r>
      <w:r w:rsidRPr="009F6D1E">
        <w:rPr>
          <w:rFonts w:cs="Times New Roman"/>
          <w:szCs w:val="24"/>
        </w:rPr>
        <w:t xml:space="preserve"> е съобразен с основните насоки на документа и не влиза в противоречие с него, като анализът е представен в точка </w:t>
      </w:r>
      <w:r w:rsidR="00D5130D" w:rsidRPr="009F6D1E">
        <w:rPr>
          <w:rFonts w:cs="Times New Roman"/>
          <w:szCs w:val="24"/>
        </w:rPr>
        <w:t>7</w:t>
      </w:r>
      <w:r w:rsidRPr="009F6D1E">
        <w:rPr>
          <w:rFonts w:cs="Times New Roman"/>
          <w:szCs w:val="24"/>
        </w:rPr>
        <w:t>.1. от ДЕО.</w:t>
      </w:r>
    </w:p>
    <w:p w14:paraId="1EEC612B" w14:textId="77777777" w:rsidR="00DA7644" w:rsidRPr="009F6D1E" w:rsidRDefault="00DA7644" w:rsidP="0084747F">
      <w:pPr>
        <w:spacing w:after="60" w:line="264" w:lineRule="auto"/>
        <w:ind w:firstLine="708"/>
        <w:jc w:val="both"/>
        <w:rPr>
          <w:rFonts w:cs="Times New Roman"/>
          <w:szCs w:val="24"/>
        </w:rPr>
      </w:pPr>
    </w:p>
    <w:p w14:paraId="6D5875E0" w14:textId="77777777" w:rsidR="001931F5" w:rsidRPr="009F6D1E" w:rsidRDefault="001931F5">
      <w:pPr>
        <w:pStyle w:val="Heading3"/>
        <w:numPr>
          <w:ilvl w:val="2"/>
          <w:numId w:val="76"/>
        </w:numPr>
        <w:shd w:val="clear" w:color="auto" w:fill="E2EFD9" w:themeFill="accent6" w:themeFillTint="33"/>
        <w:tabs>
          <w:tab w:val="clear" w:pos="1701"/>
        </w:tabs>
        <w:spacing w:before="0" w:after="60" w:line="264" w:lineRule="auto"/>
        <w:rPr>
          <w:smallCaps w:val="0"/>
          <w:lang w:bidi="ar-SA"/>
        </w:rPr>
      </w:pPr>
      <w:bookmarkStart w:id="112" w:name="_Toc71800541"/>
      <w:bookmarkStart w:id="113" w:name="_Toc88359563"/>
      <w:bookmarkStart w:id="114" w:name="_Toc97639506"/>
      <w:bookmarkStart w:id="115" w:name="_Toc115254990"/>
      <w:r w:rsidRPr="009F6D1E">
        <w:rPr>
          <w:smallCaps w:val="0"/>
          <w:lang w:bidi="ar-SA"/>
        </w:rPr>
        <w:t>Национални стратегии, планове и програми</w:t>
      </w:r>
      <w:bookmarkEnd w:id="112"/>
      <w:bookmarkEnd w:id="113"/>
      <w:bookmarkEnd w:id="114"/>
      <w:bookmarkEnd w:id="115"/>
    </w:p>
    <w:p w14:paraId="75AF089C" w14:textId="77777777" w:rsidR="0033399D" w:rsidRPr="009F6D1E" w:rsidRDefault="0033399D" w:rsidP="0084747F">
      <w:pPr>
        <w:keepNext/>
        <w:keepLines/>
        <w:tabs>
          <w:tab w:val="left" w:pos="1701"/>
        </w:tabs>
        <w:spacing w:after="60" w:line="264" w:lineRule="auto"/>
        <w:jc w:val="both"/>
        <w:outlineLvl w:val="2"/>
        <w:rPr>
          <w:rFonts w:cs="Times New Roman"/>
          <w:b/>
          <w:bCs/>
          <w:i/>
          <w:iCs/>
          <w:smallCaps/>
          <w:color w:val="223770"/>
        </w:rPr>
      </w:pPr>
    </w:p>
    <w:p w14:paraId="56EA3AC9"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Проект на Стратегия за устойчиво енергийно развитие на Република България до 2030 г. с хоризонт до 2050 г.</w:t>
      </w:r>
    </w:p>
    <w:p w14:paraId="72DE236F" w14:textId="77777777" w:rsidR="0094794D" w:rsidRPr="009F6D1E" w:rsidRDefault="0094794D" w:rsidP="0084747F">
      <w:pPr>
        <w:widowControl w:val="0"/>
        <w:spacing w:after="60" w:line="264" w:lineRule="auto"/>
        <w:ind w:firstLine="708"/>
        <w:jc w:val="both"/>
        <w:rPr>
          <w:rFonts w:cs="Times New Roman"/>
          <w:szCs w:val="24"/>
        </w:rPr>
      </w:pPr>
    </w:p>
    <w:p w14:paraId="4F02412D" w14:textId="77777777" w:rsidR="001931F5" w:rsidRPr="009F6D1E" w:rsidRDefault="001931F5" w:rsidP="0084747F">
      <w:pPr>
        <w:widowControl w:val="0"/>
        <w:spacing w:after="60" w:line="264" w:lineRule="auto"/>
        <w:ind w:firstLine="708"/>
        <w:jc w:val="both"/>
        <w:rPr>
          <w:rFonts w:cs="Times New Roman"/>
          <w:szCs w:val="24"/>
        </w:rPr>
      </w:pPr>
      <w:r w:rsidRPr="009F6D1E">
        <w:rPr>
          <w:rFonts w:cs="Times New Roman"/>
          <w:szCs w:val="24"/>
        </w:rPr>
        <w:t>Проектът на Стратегията за устойчиво енергийно развитие на Република България до 2030 г. с хоризонт до 2050 г., отразява ясно тенденциите, мерките и политиките в областта на енергийната сигурност, енергийната ефективност, либерализацията на електроенергийния и газовия пазар и интегрирането им в общия европейски енергиен пазар, развитието и внедряването на нови енергийни технологии. Тези политики намират отражение и в Интегрирания план в областта на енергетиката и климата на Република България 2021-2030, който е изготвен в изпълнение на Регламент (ЕС) 2018/1999 относно управлението на Енергийния съюз и на действията в областта на климата.</w:t>
      </w:r>
    </w:p>
    <w:p w14:paraId="248B2BE6" w14:textId="77777777" w:rsidR="001931F5" w:rsidRPr="009F6D1E" w:rsidRDefault="001931F5" w:rsidP="0084747F">
      <w:pPr>
        <w:widowControl w:val="0"/>
        <w:spacing w:after="60" w:line="264" w:lineRule="auto"/>
        <w:ind w:firstLine="708"/>
        <w:jc w:val="both"/>
        <w:rPr>
          <w:rFonts w:cs="Times New Roman"/>
          <w:szCs w:val="24"/>
        </w:rPr>
      </w:pPr>
      <w:r w:rsidRPr="009F6D1E">
        <w:rPr>
          <w:rFonts w:cs="Times New Roman"/>
          <w:szCs w:val="24"/>
        </w:rPr>
        <w:t xml:space="preserve">Стратегията определя общата рамка за провеждане на енергийната политика в Република България до 2030 г. с хоризонт до 2050 г. и е разработена на базата на анализ за състоянието на сектор Енергетика в страната и региона и оценка на неговия потенциал. </w:t>
      </w:r>
    </w:p>
    <w:p w14:paraId="0A1FD426" w14:textId="77777777" w:rsidR="001931F5" w:rsidRPr="009F6D1E" w:rsidRDefault="001931F5" w:rsidP="0084747F">
      <w:pPr>
        <w:widowControl w:val="0"/>
        <w:spacing w:after="60" w:line="264" w:lineRule="auto"/>
        <w:jc w:val="both"/>
        <w:rPr>
          <w:rFonts w:cs="Times New Roman"/>
          <w:szCs w:val="24"/>
        </w:rPr>
      </w:pPr>
      <w:bookmarkStart w:id="116" w:name="_Hlk64906432"/>
      <w:r w:rsidRPr="009F6D1E">
        <w:rPr>
          <w:rFonts w:cs="Times New Roman"/>
          <w:szCs w:val="24"/>
        </w:rPr>
        <w:t>В Стратегията за устойчиво енергийно развитие на страната до 2030 г. с хоризонт до 2050 г. са заложени следните основни приоритети:</w:t>
      </w:r>
      <w:bookmarkEnd w:id="116"/>
    </w:p>
    <w:p w14:paraId="021A752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Гарантиране на енергийната сигурност и устойчивото енергийно развитие;</w:t>
      </w:r>
    </w:p>
    <w:p w14:paraId="4C0BEC6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Развитие на интегриран и конкурентен енергиен пазар и защита на потребителите чрез гарантиране на прозрачни, конкурентни и недискриминационни условия за ползване на енергийни услуги;</w:t>
      </w:r>
    </w:p>
    <w:p w14:paraId="0078B92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Повишаване на енергийната ефективност в процесите от производство до крайното потребление на енергия; </w:t>
      </w:r>
    </w:p>
    <w:p w14:paraId="3263210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Използване и развитие на енергията от възобновяеми източници, съобразно наличния потенциал, капацитета на мрежите и националните специфики, като част от прехода към нисковъглеродна икономика;</w:t>
      </w:r>
    </w:p>
    <w:p w14:paraId="1FF79F1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Внедряване на иновативни технологии за устойчиво енергийно развитие.</w:t>
      </w:r>
    </w:p>
    <w:p w14:paraId="799E9FCF" w14:textId="77777777" w:rsidR="001931F5" w:rsidRPr="009F6D1E" w:rsidRDefault="001931F5" w:rsidP="0084747F">
      <w:pPr>
        <w:widowControl w:val="0"/>
        <w:spacing w:after="60" w:line="264" w:lineRule="auto"/>
        <w:ind w:firstLine="720"/>
        <w:jc w:val="both"/>
        <w:rPr>
          <w:rFonts w:cs="Times New Roman"/>
          <w:szCs w:val="24"/>
        </w:rPr>
      </w:pPr>
      <w:r w:rsidRPr="009F6D1E">
        <w:rPr>
          <w:rFonts w:cs="Times New Roman"/>
          <w:szCs w:val="24"/>
        </w:rPr>
        <w:t>Във връзка с изпълнението на тези национални енергийни приоритети до 2030 г. с хоризонт до 2050 г. за осигуряване приноса на България за изпълнение на общите европейски енергийни цели са заложени следните цели до 2030 г.:</w:t>
      </w:r>
    </w:p>
    <w:p w14:paraId="5565D31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Намаляване на първичното енергийно потребление в сравнение с базовата прогноза PRIMES 2007</w:t>
      </w:r>
      <w:r w:rsidRPr="009F6D1E">
        <w:rPr>
          <w:rFonts w:eastAsia="Times New Roman" w:cs="Times New Roman"/>
          <w:szCs w:val="24"/>
          <w:lang w:eastAsia="bg-BG" w:bidi="bg-BG"/>
        </w:rPr>
        <w:footnoteReference w:id="34"/>
      </w:r>
      <w:r w:rsidRPr="009F6D1E">
        <w:rPr>
          <w:rFonts w:eastAsia="Times New Roman" w:cs="Times New Roman"/>
          <w:szCs w:val="24"/>
          <w:lang w:eastAsia="bg-BG" w:bidi="bg-BG"/>
        </w:rPr>
        <w:t xml:space="preserve"> - 27.89%;</w:t>
      </w:r>
    </w:p>
    <w:p w14:paraId="3E5F86B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lastRenderedPageBreak/>
        <w:t>Намаляване на крайното енергийно потребление в сравнение с базовата прогноза PRIMES 2007 -31.67%;</w:t>
      </w:r>
    </w:p>
    <w:p w14:paraId="71BF521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27.09% дял на енергията от възобновяеми източници в брутното крайно потребление на енергия; </w:t>
      </w:r>
    </w:p>
    <w:p w14:paraId="53BD777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най-малко 15% междусистемна електроенергийна свързаност. </w:t>
      </w:r>
    </w:p>
    <w:p w14:paraId="269C660C" w14:textId="77777777" w:rsidR="001931F5" w:rsidRPr="009F6D1E" w:rsidRDefault="00CD4045" w:rsidP="0084747F">
      <w:pPr>
        <w:spacing w:after="60" w:line="264" w:lineRule="auto"/>
        <w:ind w:right="57" w:firstLine="720"/>
        <w:jc w:val="both"/>
        <w:rPr>
          <w:rFonts w:cs="Times New Roman"/>
          <w:bCs/>
          <w:iCs/>
          <w:szCs w:val="24"/>
        </w:rPr>
      </w:pPr>
      <w:r w:rsidRPr="009F6D1E">
        <w:rPr>
          <w:rFonts w:cs="Times New Roman"/>
          <w:bCs/>
          <w:iCs/>
          <w:szCs w:val="24"/>
        </w:rPr>
        <w:t>СПРЗСР</w:t>
      </w:r>
      <w:r w:rsidR="001931F5" w:rsidRPr="009F6D1E">
        <w:rPr>
          <w:rFonts w:cs="Times New Roman"/>
          <w:bCs/>
          <w:iCs/>
          <w:szCs w:val="24"/>
        </w:rPr>
        <w:t xml:space="preserve"> е съобразен с целите и приоритетите на проекта на СУЕР и не влиза в противоречие с нея,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p w14:paraId="5903AA15" w14:textId="77777777" w:rsidR="00ED6F1D" w:rsidRPr="009F6D1E" w:rsidRDefault="00ED6F1D" w:rsidP="0084747F">
      <w:pPr>
        <w:spacing w:after="60" w:line="264" w:lineRule="auto"/>
        <w:ind w:right="57" w:firstLine="720"/>
        <w:jc w:val="both"/>
        <w:rPr>
          <w:rFonts w:cs="Times New Roman"/>
          <w:bCs/>
          <w:iCs/>
          <w:szCs w:val="24"/>
        </w:rPr>
      </w:pPr>
    </w:p>
    <w:p w14:paraId="7CA0CBA8" w14:textId="77777777" w:rsidR="001931F5" w:rsidRPr="009F6D1E" w:rsidRDefault="007561F5">
      <w:pPr>
        <w:pStyle w:val="Heading4"/>
        <w:keepLines w:val="0"/>
        <w:numPr>
          <w:ilvl w:val="3"/>
          <w:numId w:val="76"/>
        </w:numPr>
        <w:shd w:val="clear" w:color="auto" w:fill="FFF2CC" w:themeFill="accent4" w:themeFillTint="33"/>
        <w:spacing w:before="0" w:after="60" w:line="264" w:lineRule="auto"/>
        <w:rPr>
          <w:b/>
          <w:bCs/>
          <w:i w:val="0"/>
          <w:iCs w:val="0"/>
        </w:rPr>
      </w:pPr>
      <w:bookmarkStart w:id="117" w:name="_Toc71800528"/>
      <w:r w:rsidRPr="009F6D1E">
        <w:rPr>
          <w:b/>
          <w:bCs/>
        </w:rPr>
        <w:t xml:space="preserve"> </w:t>
      </w:r>
      <w:r w:rsidR="001931F5" w:rsidRPr="009F6D1E">
        <w:rPr>
          <w:b/>
          <w:bCs/>
          <w:smallCaps w:val="0"/>
          <w:color w:val="262626" w:themeColor="text1" w:themeTint="D9"/>
          <w:lang w:eastAsia="en-US" w:bidi="ar-SA"/>
        </w:rPr>
        <w:t>Интегриран план в областта на енергетиката и климата на Република България 2021–2030 г., приет с Протокол № 8 на Министерския съвет от 27.02.2020г.</w:t>
      </w:r>
      <w:bookmarkEnd w:id="117"/>
    </w:p>
    <w:p w14:paraId="3FB1D8AD" w14:textId="77777777" w:rsidR="0094794D" w:rsidRPr="009F6D1E" w:rsidRDefault="0094794D" w:rsidP="0084747F">
      <w:pPr>
        <w:spacing w:after="60" w:line="264" w:lineRule="auto"/>
        <w:ind w:right="57" w:firstLine="720"/>
        <w:jc w:val="both"/>
        <w:rPr>
          <w:rFonts w:cs="Times New Roman"/>
          <w:szCs w:val="24"/>
        </w:rPr>
      </w:pPr>
    </w:p>
    <w:p w14:paraId="24D24D60" w14:textId="77777777" w:rsidR="001931F5" w:rsidRPr="009F6D1E" w:rsidRDefault="001931F5" w:rsidP="0084747F">
      <w:pPr>
        <w:spacing w:after="60" w:line="264" w:lineRule="auto"/>
        <w:ind w:right="57" w:firstLine="720"/>
        <w:jc w:val="both"/>
        <w:rPr>
          <w:rFonts w:cs="Times New Roman"/>
          <w:szCs w:val="24"/>
        </w:rPr>
      </w:pPr>
      <w:r w:rsidRPr="009F6D1E">
        <w:rPr>
          <w:rFonts w:cs="Times New Roman"/>
          <w:szCs w:val="24"/>
        </w:rPr>
        <w:t xml:space="preserve">Основните цели, </w:t>
      </w:r>
      <w:r w:rsidRPr="009F6D1E">
        <w:rPr>
          <w:rFonts w:cs="Times New Roman"/>
          <w:bCs/>
          <w:iCs/>
          <w:szCs w:val="24"/>
        </w:rPr>
        <w:t>заложени</w:t>
      </w:r>
      <w:r w:rsidRPr="009F6D1E">
        <w:rPr>
          <w:rFonts w:cs="Times New Roman"/>
          <w:szCs w:val="24"/>
        </w:rPr>
        <w:t xml:space="preserve"> в ИП</w:t>
      </w:r>
      <w:r w:rsidR="009E4B7E" w:rsidRPr="009F6D1E">
        <w:rPr>
          <w:rFonts w:cs="Times New Roman"/>
          <w:szCs w:val="24"/>
        </w:rPr>
        <w:t>О</w:t>
      </w:r>
      <w:r w:rsidRPr="009F6D1E">
        <w:rPr>
          <w:rFonts w:cs="Times New Roman"/>
          <w:szCs w:val="24"/>
        </w:rPr>
        <w:t>ЕК са:</w:t>
      </w:r>
    </w:p>
    <w:p w14:paraId="32EF1E43"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С</w:t>
      </w:r>
      <w:r w:rsidR="001931F5" w:rsidRPr="009F6D1E">
        <w:rPr>
          <w:rFonts w:eastAsia="Times New Roman" w:cs="Times New Roman"/>
          <w:szCs w:val="24"/>
          <w:lang w:eastAsia="bg-BG" w:bidi="bg-BG"/>
        </w:rPr>
        <w:t>тимулиране на нисковъглеродно развитие на икономиката;</w:t>
      </w:r>
    </w:p>
    <w:p w14:paraId="1A68C7A2" w14:textId="37D18ACB"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w:t>
      </w:r>
      <w:r w:rsidR="001931F5" w:rsidRPr="009F6D1E">
        <w:rPr>
          <w:rFonts w:eastAsia="Times New Roman" w:cs="Times New Roman"/>
          <w:szCs w:val="24"/>
          <w:lang w:eastAsia="bg-BG" w:bidi="bg-BG"/>
        </w:rPr>
        <w:t>азвитие на конкурент</w:t>
      </w:r>
      <w:r w:rsidR="00371700">
        <w:rPr>
          <w:rFonts w:eastAsia="Times New Roman" w:cs="Times New Roman"/>
          <w:szCs w:val="24"/>
          <w:lang w:eastAsia="bg-BG" w:bidi="bg-BG"/>
        </w:rPr>
        <w:t>осп</w:t>
      </w:r>
      <w:r w:rsidR="001931F5" w:rsidRPr="009F6D1E">
        <w:rPr>
          <w:rFonts w:eastAsia="Times New Roman" w:cs="Times New Roman"/>
          <w:szCs w:val="24"/>
          <w:lang w:eastAsia="bg-BG" w:bidi="bg-BG"/>
        </w:rPr>
        <w:t>особна и сигурна енергетика;</w:t>
      </w:r>
    </w:p>
    <w:p w14:paraId="40BF5CC8"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w:t>
      </w:r>
      <w:r w:rsidR="001931F5" w:rsidRPr="009F6D1E">
        <w:rPr>
          <w:rFonts w:eastAsia="Times New Roman" w:cs="Times New Roman"/>
          <w:szCs w:val="24"/>
          <w:lang w:eastAsia="bg-BG" w:bidi="bg-BG"/>
        </w:rPr>
        <w:t>амаляване зависимостта от внос на горива и енергия;</w:t>
      </w:r>
    </w:p>
    <w:p w14:paraId="085730B6"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Г</w:t>
      </w:r>
      <w:r w:rsidR="001931F5" w:rsidRPr="009F6D1E">
        <w:rPr>
          <w:rFonts w:eastAsia="Times New Roman" w:cs="Times New Roman"/>
          <w:szCs w:val="24"/>
          <w:lang w:eastAsia="bg-BG" w:bidi="bg-BG"/>
        </w:rPr>
        <w:t>арантиране на енергия на достъпни цени за всички потребители.</w:t>
      </w:r>
    </w:p>
    <w:p w14:paraId="13F4779C" w14:textId="77777777" w:rsidR="001931F5" w:rsidRPr="009F6D1E" w:rsidRDefault="001931F5" w:rsidP="0084747F">
      <w:pPr>
        <w:widowControl w:val="0"/>
        <w:spacing w:after="60" w:line="264" w:lineRule="auto"/>
        <w:ind w:firstLine="720"/>
        <w:jc w:val="both"/>
        <w:rPr>
          <w:rFonts w:cs="Times New Roman"/>
          <w:szCs w:val="24"/>
        </w:rPr>
      </w:pPr>
      <w:r w:rsidRPr="009F6D1E">
        <w:rPr>
          <w:rFonts w:cs="Times New Roman"/>
          <w:szCs w:val="24"/>
        </w:rPr>
        <w:t>Националните приоритети в областта на енергетиката могат да бъдат обобщени, както следва:</w:t>
      </w:r>
    </w:p>
    <w:p w14:paraId="249D45B5"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w:t>
      </w:r>
      <w:r w:rsidR="001931F5" w:rsidRPr="009F6D1E">
        <w:rPr>
          <w:rFonts w:eastAsia="Times New Roman" w:cs="Times New Roman"/>
          <w:szCs w:val="24"/>
          <w:lang w:eastAsia="bg-BG" w:bidi="bg-BG"/>
        </w:rPr>
        <w:t>овишаване на енергийната сигурност и диверсификация на доставките на енергийни ресурси;</w:t>
      </w:r>
    </w:p>
    <w:p w14:paraId="408806C6"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w:t>
      </w:r>
      <w:r w:rsidR="001931F5" w:rsidRPr="009F6D1E">
        <w:rPr>
          <w:rFonts w:eastAsia="Times New Roman" w:cs="Times New Roman"/>
          <w:szCs w:val="24"/>
          <w:lang w:eastAsia="bg-BG" w:bidi="bg-BG"/>
        </w:rPr>
        <w:t>азвитие на интегриран и конкурентен енергиен пазар;</w:t>
      </w:r>
    </w:p>
    <w:p w14:paraId="3D78A17D"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w:t>
      </w:r>
      <w:r w:rsidR="001931F5" w:rsidRPr="009F6D1E">
        <w:rPr>
          <w:rFonts w:eastAsia="Times New Roman" w:cs="Times New Roman"/>
          <w:szCs w:val="24"/>
          <w:lang w:eastAsia="bg-BG" w:bidi="bg-BG"/>
        </w:rPr>
        <w:t>зползване и развитие на енергията от ВИ, съобразно наличния ресурс, капацитета на мрежите и националните специфики;</w:t>
      </w:r>
    </w:p>
    <w:p w14:paraId="57D7FDCB"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w:t>
      </w:r>
      <w:r w:rsidR="001931F5" w:rsidRPr="009F6D1E">
        <w:rPr>
          <w:rFonts w:eastAsia="Times New Roman" w:cs="Times New Roman"/>
          <w:szCs w:val="24"/>
          <w:lang w:eastAsia="bg-BG" w:bidi="bg-BG"/>
        </w:rPr>
        <w:t>овишаване на енергийната ефективност чрез развитие и прилагане на нови технологии за постигане на модерна и устойчива енергетика;</w:t>
      </w:r>
    </w:p>
    <w:p w14:paraId="1430363B" w14:textId="77777777" w:rsidR="001931F5" w:rsidRPr="009F6D1E" w:rsidRDefault="00ED6F1D"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w:t>
      </w:r>
      <w:r w:rsidR="001931F5" w:rsidRPr="009F6D1E">
        <w:rPr>
          <w:rFonts w:eastAsia="Times New Roman" w:cs="Times New Roman"/>
          <w:szCs w:val="24"/>
          <w:lang w:eastAsia="bg-BG" w:bidi="bg-BG"/>
        </w:rPr>
        <w:t>ащита на потребителите чрез гарантиране на честни, прозрачни и недискриминационни условия за ползване на енергийни услуги.</w:t>
      </w:r>
    </w:p>
    <w:p w14:paraId="189D34FA" w14:textId="77777777" w:rsidR="001931F5" w:rsidRPr="009F6D1E" w:rsidRDefault="00CD4045" w:rsidP="0084747F">
      <w:pPr>
        <w:widowControl w:val="0"/>
        <w:spacing w:after="60" w:line="264" w:lineRule="auto"/>
        <w:ind w:firstLine="720"/>
        <w:jc w:val="both"/>
        <w:rPr>
          <w:rFonts w:cs="Times New Roman"/>
          <w:szCs w:val="24"/>
        </w:rPr>
      </w:pPr>
      <w:r w:rsidRPr="009F6D1E">
        <w:rPr>
          <w:rFonts w:cs="Times New Roman"/>
          <w:bCs/>
          <w:iCs/>
          <w:szCs w:val="24"/>
        </w:rPr>
        <w:t>СПРЗСР</w:t>
      </w:r>
      <w:r w:rsidR="001931F5" w:rsidRPr="009F6D1E">
        <w:rPr>
          <w:rFonts w:cs="Times New Roman"/>
          <w:bCs/>
          <w:iCs/>
          <w:szCs w:val="24"/>
        </w:rPr>
        <w:t xml:space="preserve"> е съобразен с целите и приоритетите на проекта на </w:t>
      </w:r>
      <w:r w:rsidR="009E4B7E" w:rsidRPr="009F6D1E">
        <w:rPr>
          <w:rFonts w:cs="Times New Roman"/>
          <w:bCs/>
          <w:iCs/>
          <w:szCs w:val="24"/>
        </w:rPr>
        <w:t>ИПОЕК</w:t>
      </w:r>
      <w:r w:rsidR="001931F5" w:rsidRPr="009F6D1E">
        <w:rPr>
          <w:rFonts w:cs="Times New Roman"/>
          <w:bCs/>
          <w:iCs/>
          <w:szCs w:val="24"/>
        </w:rPr>
        <w:t xml:space="preserve"> и не влиза в противоречие с него,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p w14:paraId="62060F7E"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1D8D4937"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за развитие България 2030 г. (приета с Протокол № 67 на Министерски съвет от 02.12.2020 г.)</w:t>
      </w:r>
    </w:p>
    <w:p w14:paraId="503E80CC" w14:textId="77777777" w:rsidR="0094794D" w:rsidRPr="009F6D1E" w:rsidRDefault="0094794D" w:rsidP="0084747F">
      <w:pPr>
        <w:widowControl w:val="0"/>
        <w:spacing w:after="60" w:line="264" w:lineRule="auto"/>
        <w:ind w:firstLine="720"/>
        <w:jc w:val="both"/>
        <w:rPr>
          <w:rFonts w:cs="Times New Roman"/>
          <w:bCs/>
          <w:iCs/>
          <w:szCs w:val="24"/>
        </w:rPr>
      </w:pPr>
    </w:p>
    <w:p w14:paraId="08DFE655"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 xml:space="preserve">Националната програма за развитие на България 2030 е рамков стратегически документ от най-висок порядък в йерархията на националните програмни документи, очертаващ визията </w:t>
      </w:r>
      <w:r w:rsidRPr="009F6D1E">
        <w:rPr>
          <w:rFonts w:cs="Times New Roman"/>
          <w:bCs/>
          <w:iCs/>
          <w:szCs w:val="24"/>
        </w:rPr>
        <w:lastRenderedPageBreak/>
        <w:t xml:space="preserve">и общите цели на политиките за развитие във всеки сектор на държавното управление, включително техните териториални измерения. </w:t>
      </w:r>
    </w:p>
    <w:p w14:paraId="109404A7"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 xml:space="preserve">Националната програма за развитие </w:t>
      </w:r>
      <w:r w:rsidR="00E12797" w:rsidRPr="009F6D1E">
        <w:rPr>
          <w:rFonts w:cs="Times New Roman"/>
          <w:bCs/>
          <w:iCs/>
          <w:szCs w:val="24"/>
        </w:rPr>
        <w:t xml:space="preserve">България </w:t>
      </w:r>
      <w:r w:rsidRPr="009F6D1E">
        <w:rPr>
          <w:rFonts w:cs="Times New Roman"/>
          <w:bCs/>
          <w:iCs/>
          <w:szCs w:val="24"/>
        </w:rPr>
        <w:t>2030 стъпва на нарочен Анализ на социално-икономическото развитие на страната след присъединяването и към Европейския съюз, целящ да идентифицира ключовите проблемни области и пропуски в политиките за развитие на страна, обсъден със социално-икономическите партньори в рамките на Икономическия и социален съвет и Националния съвет за тристранно сътрудничество.</w:t>
      </w:r>
    </w:p>
    <w:p w14:paraId="19832FDF"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Документът определя три стратегически цели – ускорено икономическо развитие, демографски подем и намаляване на неравенствата, за реализирането на които са предвидени целенасочени политики и интервенции, групирани в пет взаимосвързани и интегрирани оси на развитие – Иновативна и интелигентна България; Зелена и устойчива България; Свързана и интегрирана България; Отзивчива и справедлива България; Духовна и жизнена България. За постигането на стратегическите цели са дефинирани 13 национални приоритета:</w:t>
      </w:r>
    </w:p>
    <w:p w14:paraId="58D0302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П1. Образование и умения;</w:t>
      </w:r>
    </w:p>
    <w:p w14:paraId="45D39C6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П2. Наука и научна инфраструктура;</w:t>
      </w:r>
    </w:p>
    <w:p w14:paraId="62243EF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П3. Интелигентна индустрия;</w:t>
      </w:r>
    </w:p>
    <w:p w14:paraId="2391376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П4. Кръгова и нисковъглеродна икономика;</w:t>
      </w:r>
    </w:p>
    <w:p w14:paraId="1506DC1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П5. Чист въздух и биоразнообразие;</w:t>
      </w:r>
    </w:p>
    <w:p w14:paraId="4336DD6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П6. Устойчиво селско стопанство;</w:t>
      </w:r>
    </w:p>
    <w:p w14:paraId="2AD8EAAD"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П7. Транспортна свързаност;</w:t>
      </w:r>
    </w:p>
    <w:p w14:paraId="5EAFA70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П8. Цифрова свързаност;</w:t>
      </w:r>
    </w:p>
    <w:p w14:paraId="13A833A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П9. Местно развитие;</w:t>
      </w:r>
    </w:p>
    <w:p w14:paraId="36D35628"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П10. Институционална рамка;</w:t>
      </w:r>
    </w:p>
    <w:p w14:paraId="649CFBF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П11. Социално включване;</w:t>
      </w:r>
    </w:p>
    <w:p w14:paraId="757C39B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П12. Здраве и спорт;</w:t>
      </w:r>
    </w:p>
    <w:p w14:paraId="39BEA6F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П13. Култура, наследство и туризъм.</w:t>
      </w:r>
    </w:p>
    <w:p w14:paraId="62179C28" w14:textId="77777777" w:rsidR="001931F5" w:rsidRPr="009F6D1E" w:rsidRDefault="001931F5" w:rsidP="0084747F">
      <w:pPr>
        <w:pStyle w:val="22"/>
        <w:shd w:val="clear" w:color="auto" w:fill="auto"/>
        <w:spacing w:before="0" w:after="60" w:line="264" w:lineRule="auto"/>
        <w:ind w:right="26" w:firstLine="720"/>
        <w:rPr>
          <w:bCs/>
          <w:iCs/>
          <w:szCs w:val="24"/>
        </w:rPr>
      </w:pPr>
      <w:r w:rsidRPr="009F6D1E">
        <w:rPr>
          <w:szCs w:val="24"/>
        </w:rPr>
        <w:t>Целите</w:t>
      </w:r>
      <w:r w:rsidRPr="009F6D1E">
        <w:rPr>
          <w:bCs/>
          <w:iCs/>
          <w:szCs w:val="24"/>
        </w:rPr>
        <w:t xml:space="preserve"> и приоритетите на Националната програма за развитие: България 2030 са одобрени с Решение №33 на Министерски съвет от 20 януари 2020 г.</w:t>
      </w:r>
    </w:p>
    <w:p w14:paraId="3ECE893E" w14:textId="77777777" w:rsidR="001931F5" w:rsidRPr="009F6D1E" w:rsidRDefault="00CD4045" w:rsidP="0084747F">
      <w:pPr>
        <w:pStyle w:val="22"/>
        <w:shd w:val="clear" w:color="auto" w:fill="auto"/>
        <w:spacing w:before="0" w:after="60" w:line="264" w:lineRule="auto"/>
        <w:ind w:right="26" w:firstLine="720"/>
        <w:rPr>
          <w:bCs/>
          <w:iCs/>
          <w:szCs w:val="24"/>
        </w:rPr>
      </w:pPr>
      <w:bookmarkStart w:id="118" w:name="_Hlk95226414"/>
      <w:r w:rsidRPr="009F6D1E">
        <w:rPr>
          <w:bCs/>
          <w:iCs/>
          <w:szCs w:val="24"/>
        </w:rPr>
        <w:t>СПРЗСР</w:t>
      </w:r>
      <w:r w:rsidR="001931F5" w:rsidRPr="009F6D1E">
        <w:rPr>
          <w:bCs/>
          <w:iCs/>
          <w:szCs w:val="24"/>
        </w:rPr>
        <w:t xml:space="preserve"> е </w:t>
      </w:r>
      <w:r w:rsidR="001931F5" w:rsidRPr="009F6D1E">
        <w:rPr>
          <w:szCs w:val="24"/>
        </w:rPr>
        <w:t>съобразен</w:t>
      </w:r>
      <w:r w:rsidR="001931F5" w:rsidRPr="009F6D1E">
        <w:rPr>
          <w:bCs/>
          <w:iCs/>
          <w:szCs w:val="24"/>
        </w:rPr>
        <w:t xml:space="preserve"> с целите и приоритетите на Националната програма за развитие на България: 2030 г. и не влиза в противоречие с нея, като анализът е представен в точка </w:t>
      </w:r>
      <w:r w:rsidR="00D5130D" w:rsidRPr="009F6D1E">
        <w:rPr>
          <w:bCs/>
          <w:iCs/>
          <w:szCs w:val="24"/>
        </w:rPr>
        <w:t>7</w:t>
      </w:r>
      <w:r w:rsidR="001931F5" w:rsidRPr="009F6D1E">
        <w:rPr>
          <w:bCs/>
          <w:iCs/>
          <w:szCs w:val="24"/>
        </w:rPr>
        <w:t>.2. от ДЕО.</w:t>
      </w:r>
    </w:p>
    <w:bookmarkEnd w:id="118"/>
    <w:p w14:paraId="1473D9C8"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3B76815B"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за контрол на замърсяването на въздуха 2020-2030 г. (НПКЗВ 2020-2030, приета с Решение №541 на Министерски съвет от 13.09.2019 г.)</w:t>
      </w:r>
    </w:p>
    <w:p w14:paraId="4C4D66A3" w14:textId="77777777" w:rsidR="0094794D" w:rsidRPr="009F6D1E" w:rsidRDefault="0094794D" w:rsidP="0084747F">
      <w:pPr>
        <w:spacing w:after="60" w:line="264" w:lineRule="auto"/>
        <w:ind w:right="57" w:firstLine="709"/>
        <w:jc w:val="both"/>
        <w:rPr>
          <w:rFonts w:cs="Times New Roman"/>
          <w:bCs/>
          <w:iCs/>
          <w:szCs w:val="24"/>
        </w:rPr>
      </w:pPr>
    </w:p>
    <w:p w14:paraId="5067483E"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 xml:space="preserve">Програмата е изготвена от екип на Световната банка за оказване на консултантска помощ на Министерство на околната среда и водите в България. Разработването на </w:t>
      </w:r>
      <w:r w:rsidRPr="009F6D1E">
        <w:rPr>
          <w:rFonts w:cs="Times New Roman"/>
          <w:bCs/>
          <w:iCs/>
          <w:szCs w:val="24"/>
        </w:rPr>
        <w:lastRenderedPageBreak/>
        <w:t>програмата е в изпълнение на чл.6 от Директива (ЕС) 2016/2284 на Европейския парламент и на Съвета от 14 декември 2016 г. за намаляване на националните емисии на някои атмосферни замърсители, за изменение на Директива 2003/35/ЕО и за отмяна на Директива 2001/81/ЕО.</w:t>
      </w:r>
    </w:p>
    <w:p w14:paraId="254B41E0" w14:textId="77777777" w:rsidR="001931F5" w:rsidRPr="009F6D1E" w:rsidRDefault="001931F5" w:rsidP="0084747F">
      <w:pPr>
        <w:pStyle w:val="22"/>
        <w:shd w:val="clear" w:color="auto" w:fill="auto"/>
        <w:spacing w:before="0" w:after="60" w:line="264" w:lineRule="auto"/>
        <w:ind w:right="26" w:firstLine="720"/>
        <w:rPr>
          <w:bCs/>
          <w:iCs/>
          <w:szCs w:val="24"/>
        </w:rPr>
      </w:pPr>
      <w:r w:rsidRPr="009F6D1E">
        <w:rPr>
          <w:bCs/>
          <w:iCs/>
          <w:szCs w:val="24"/>
        </w:rPr>
        <w:t xml:space="preserve">Основната цел на програмата е да изпълни задълженията за намаляване към 2020г. и 2030г. на общите годишни антропогенни емисии на следните замърсители на атмосферния въздух: серен диоксид (SO2), азотни оксиди (NOX), неметанови летливи органични съединения (НМЛОС), амоняк (NH3) и фини прахови частици (ФПЧ2.5), спрямо емисиите за определената в Директива (ЕС) 2016/2284 за базова 2005г. Основната цел на Националната </w:t>
      </w:r>
      <w:r w:rsidRPr="009F6D1E">
        <w:rPr>
          <w:szCs w:val="24"/>
        </w:rPr>
        <w:t>програма</w:t>
      </w:r>
      <w:r w:rsidRPr="009F6D1E">
        <w:rPr>
          <w:bCs/>
          <w:iCs/>
          <w:szCs w:val="24"/>
        </w:rPr>
        <w:t xml:space="preserve"> за контрол на замърсяването на въздуха е да изпълни задълженията за намаляване на емисиите спрямо 2005 г., според разпоредбите на Директива (ЕС) 2016/2284, което да доведе до постепенно постигане на нива на КАВ, които не водят до значителни отрицателни въздействия и рискове за човешкото здраве и за околната среда.</w:t>
      </w:r>
    </w:p>
    <w:p w14:paraId="532AEF90" w14:textId="77777777" w:rsidR="001931F5" w:rsidRPr="009F6D1E" w:rsidRDefault="001931F5" w:rsidP="0084747F">
      <w:pPr>
        <w:pStyle w:val="22"/>
        <w:shd w:val="clear" w:color="auto" w:fill="auto"/>
        <w:spacing w:before="0" w:after="60" w:line="264" w:lineRule="auto"/>
        <w:ind w:right="26" w:firstLine="720"/>
        <w:rPr>
          <w:bCs/>
          <w:iCs/>
          <w:szCs w:val="24"/>
        </w:rPr>
      </w:pPr>
      <w:r w:rsidRPr="009F6D1E">
        <w:rPr>
          <w:bCs/>
          <w:iCs/>
          <w:szCs w:val="24"/>
        </w:rPr>
        <w:t xml:space="preserve">В </w:t>
      </w:r>
      <w:r w:rsidRPr="009F6D1E">
        <w:rPr>
          <w:szCs w:val="24"/>
        </w:rPr>
        <w:t>програмата</w:t>
      </w:r>
      <w:r w:rsidRPr="009F6D1E">
        <w:rPr>
          <w:bCs/>
          <w:iCs/>
          <w:szCs w:val="24"/>
        </w:rPr>
        <w:t xml:space="preserve"> са разгледани възможни политики за спазване на ангажиментите за намаляване на емисиите на България, които са насочени към отраслите: битово отопление, сухопътен транспорт и селско стопанство. Националната програма за контрол на замърсяването на въздуха включва всички обсъждани политики, които биха спомогнали за спазване на ангажимента за намаляване на емисиите. Избраните политики и мерки изцяло съответстват на установените планове и програми в други области, като проектът на Стратегия за устойчиво енергийно развитие на Република България (СУЕР) до 2030г. с хоризонт до 2050г., прогнози на емисиите на България за парниковите газове, Програма за климатичните промени и Закона за енергийна ефективност.</w:t>
      </w:r>
    </w:p>
    <w:p w14:paraId="31354234"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szCs w:val="24"/>
        </w:rPr>
        <w:t xml:space="preserve">Заложените в </w:t>
      </w:r>
      <w:r w:rsidR="00CD4045" w:rsidRPr="009F6D1E">
        <w:rPr>
          <w:rFonts w:cs="Times New Roman"/>
          <w:szCs w:val="24"/>
        </w:rPr>
        <w:t>СПРЗСР</w:t>
      </w:r>
      <w:r w:rsidR="007561F5" w:rsidRPr="009F6D1E">
        <w:rPr>
          <w:rFonts w:cs="Times New Roman"/>
          <w:szCs w:val="24"/>
        </w:rPr>
        <w:t xml:space="preserve"> специфични</w:t>
      </w:r>
      <w:r w:rsidRPr="009F6D1E">
        <w:rPr>
          <w:rFonts w:cs="Times New Roman"/>
          <w:szCs w:val="24"/>
        </w:rPr>
        <w:t xml:space="preserve"> цели, </w:t>
      </w:r>
      <w:r w:rsidR="007561F5" w:rsidRPr="009F6D1E">
        <w:rPr>
          <w:rFonts w:cs="Times New Roman"/>
          <w:szCs w:val="24"/>
        </w:rPr>
        <w:t>потребности</w:t>
      </w:r>
      <w:r w:rsidRPr="009F6D1E">
        <w:rPr>
          <w:rFonts w:cs="Times New Roman"/>
          <w:szCs w:val="24"/>
        </w:rPr>
        <w:t xml:space="preserve"> и </w:t>
      </w:r>
      <w:r w:rsidR="007561F5" w:rsidRPr="009F6D1E">
        <w:rPr>
          <w:rFonts w:cs="Times New Roman"/>
          <w:szCs w:val="24"/>
        </w:rPr>
        <w:t>интервенции</w:t>
      </w:r>
      <w:r w:rsidRPr="009F6D1E">
        <w:rPr>
          <w:rFonts w:cs="Times New Roman"/>
          <w:szCs w:val="24"/>
        </w:rPr>
        <w:t xml:space="preserve">, </w:t>
      </w:r>
      <w:r w:rsidRPr="009F6D1E">
        <w:rPr>
          <w:rFonts w:cs="Times New Roman"/>
          <w:bCs/>
          <w:iCs/>
          <w:szCs w:val="24"/>
        </w:rPr>
        <w:t xml:space="preserve">ще имат както директно, така и индиректно положително влияние върху качеството на атмосферния въздух, тъй като същите са насочени към енергийна ефективност и кръговата икономика залегнали към приоритетните оси на НПКЗВ 2020-2030г. Анализът е представен в точка </w:t>
      </w:r>
      <w:r w:rsidR="00D5130D" w:rsidRPr="009F6D1E">
        <w:rPr>
          <w:rFonts w:cs="Times New Roman"/>
          <w:bCs/>
          <w:iCs/>
          <w:szCs w:val="24"/>
        </w:rPr>
        <w:t>7</w:t>
      </w:r>
      <w:r w:rsidRPr="009F6D1E">
        <w:rPr>
          <w:rFonts w:cs="Times New Roman"/>
          <w:bCs/>
          <w:iCs/>
          <w:szCs w:val="24"/>
        </w:rPr>
        <w:t>.2. от ДЕО.</w:t>
      </w:r>
    </w:p>
    <w:p w14:paraId="30B149F7" w14:textId="77777777" w:rsidR="001931F5" w:rsidRPr="009F6D1E" w:rsidRDefault="001931F5" w:rsidP="0084747F">
      <w:pPr>
        <w:spacing w:after="60" w:line="264" w:lineRule="auto"/>
        <w:ind w:firstLine="709"/>
        <w:jc w:val="both"/>
        <w:rPr>
          <w:rFonts w:cs="Times New Roman"/>
          <w:bCs/>
          <w:iCs/>
          <w:szCs w:val="24"/>
        </w:rPr>
      </w:pPr>
    </w:p>
    <w:p w14:paraId="1C6F5C34"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за подобряване качеството на атмосферния въздух 2018-2024 г. (НППКАВ 2018-2024, приета с Решение №334 на Министерски съвет от 07.06.2019 г.)</w:t>
      </w:r>
    </w:p>
    <w:p w14:paraId="7730F7B3"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2C9B92CD"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 xml:space="preserve">Разработването на програмата е извършено посредством договор за консултантски услуги между Световната банка и Министерство на околната среда и водите (МОСВ). Поради неспазване на нормите за качество на въздуха, правителството на България понастоящем е обект на процедура по нарушение пред Съда на ЕС. По-специално, това се отнася до двадесет и осем общини, в които се наблюдава неспазване на изискванията на директивата за по-чист въздух за Европа (Директива 2008/50/ЕО - </w:t>
      </w:r>
      <w:proofErr w:type="spellStart"/>
      <w:r w:rsidRPr="009F6D1E">
        <w:rPr>
          <w:rFonts w:cs="Times New Roman"/>
          <w:bCs/>
          <w:iCs/>
          <w:szCs w:val="24"/>
        </w:rPr>
        <w:t>Directive</w:t>
      </w:r>
      <w:proofErr w:type="spellEnd"/>
      <w:r w:rsidRPr="009F6D1E">
        <w:rPr>
          <w:rFonts w:cs="Times New Roman"/>
          <w:bCs/>
          <w:iCs/>
          <w:szCs w:val="24"/>
        </w:rPr>
        <w:t xml:space="preserve"> CAFE) по отношение на ФПЧ10. В програмата е направен преглед на резултатите от мониторинга на качеството на въздуха на общините, които не са отговаряли на директива CAFE в някакъв момент в периода 2011-2016г. Прегледът показва, че основния проблем за българските общини е броят на дните, в които средноденонощната норма от 50 µg/m</w:t>
      </w:r>
      <w:r w:rsidRPr="009F6D1E">
        <w:rPr>
          <w:rFonts w:cs="Times New Roman"/>
          <w:bCs/>
          <w:iCs/>
          <w:szCs w:val="24"/>
          <w:vertAlign w:val="superscript"/>
        </w:rPr>
        <w:t>3</w:t>
      </w:r>
      <w:r w:rsidRPr="009F6D1E">
        <w:rPr>
          <w:rFonts w:cs="Times New Roman"/>
          <w:bCs/>
          <w:iCs/>
          <w:szCs w:val="24"/>
        </w:rPr>
        <w:t xml:space="preserve"> е превишена. </w:t>
      </w:r>
    </w:p>
    <w:p w14:paraId="675B9737"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lastRenderedPageBreak/>
        <w:t xml:space="preserve">Основната цел на НППКАВ 2018-2024г. е определяне на комплекс от мерки, чието приложение да доведе до постигане на съответствие с нормите за фини прахови частици съгласно изискванията на </w:t>
      </w:r>
      <w:bookmarkStart w:id="119" w:name="_Hlk66108263"/>
      <w:r w:rsidRPr="009F6D1E">
        <w:rPr>
          <w:rFonts w:cs="Times New Roman"/>
          <w:bCs/>
          <w:iCs/>
          <w:szCs w:val="24"/>
        </w:rPr>
        <w:t xml:space="preserve">Директива 2008/50/ЕО </w:t>
      </w:r>
      <w:bookmarkEnd w:id="119"/>
      <w:r w:rsidRPr="009F6D1E">
        <w:rPr>
          <w:rFonts w:cs="Times New Roman"/>
          <w:bCs/>
          <w:iCs/>
          <w:szCs w:val="24"/>
        </w:rPr>
        <w:t xml:space="preserve">на Европейския парламент и на Съвета от 21 май 2008 г. относно качеството на атмосферния въздух и за по-чист въздух за Европа и действащото национално законодателство в областта на качеството на атмосферния въздух в най-кратък възможен срок, но не по-късно от 2024г. </w:t>
      </w:r>
    </w:p>
    <w:p w14:paraId="3FC50387"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 xml:space="preserve">Програмата предлага мерки за достигане на целта чрез намаляване на емисиите на първични ФПЧ10 от определените източници – битово отопление на твърди горива и транспортния сектор (основно дизелови автомобили). Очаква се предложените мерки в същото време да намалят и емисиите на ФПЧ2.5, сажди и </w:t>
      </w:r>
      <w:proofErr w:type="spellStart"/>
      <w:r w:rsidRPr="009F6D1E">
        <w:rPr>
          <w:rFonts w:cs="Times New Roman"/>
          <w:bCs/>
          <w:iCs/>
          <w:szCs w:val="24"/>
        </w:rPr>
        <w:t>полиароматни</w:t>
      </w:r>
      <w:proofErr w:type="spellEnd"/>
      <w:r w:rsidRPr="009F6D1E">
        <w:rPr>
          <w:rFonts w:cs="Times New Roman"/>
          <w:bCs/>
          <w:iCs/>
          <w:szCs w:val="24"/>
        </w:rPr>
        <w:t xml:space="preserve"> въглеводороди, с което да се постигнат още ползи за човешкото здраве.</w:t>
      </w:r>
    </w:p>
    <w:p w14:paraId="04253720"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Предложени са четири мерки за намаляване на емисиите на ФПЧ10 от битовото отопление, отнасящи се до вида гориво, качествата на горивата и технологиите, които се използват за преобразуване на енергия от горивата в полезна топлина. В областта на транспорта са предложени две мерки за намаляване на емисиите на ФПЧ10 - подобряване на качеството на периодичните технически прегледи, както при първоначална регистрация на автомобила, така и по време на нормалната му употреба, комбинирани със санкции.</w:t>
      </w:r>
    </w:p>
    <w:p w14:paraId="22C07B60" w14:textId="77777777" w:rsidR="001931F5" w:rsidRPr="009F6D1E" w:rsidRDefault="00CD4045" w:rsidP="0084747F">
      <w:pPr>
        <w:spacing w:after="60" w:line="264" w:lineRule="auto"/>
        <w:ind w:right="57" w:firstLine="709"/>
        <w:jc w:val="both"/>
        <w:rPr>
          <w:rFonts w:cs="Times New Roman"/>
          <w:bCs/>
          <w:iCs/>
          <w:szCs w:val="24"/>
        </w:rPr>
      </w:pPr>
      <w:r w:rsidRPr="009F6D1E">
        <w:rPr>
          <w:rFonts w:cs="Times New Roman"/>
          <w:bCs/>
          <w:iCs/>
          <w:szCs w:val="24"/>
        </w:rPr>
        <w:t>СПРЗСР</w:t>
      </w:r>
      <w:r w:rsidR="001931F5" w:rsidRPr="009F6D1E">
        <w:rPr>
          <w:rFonts w:cs="Times New Roman"/>
          <w:bCs/>
          <w:iCs/>
          <w:szCs w:val="24"/>
        </w:rPr>
        <w:t xml:space="preserve"> е съобразен със заложени мерки за предотвратяване замърсяването на атмосферния въздух в НППКАВ 2018-2024г. и не влиза в противоречие с нея,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p w14:paraId="4D49E6EB"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272CA56E"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Стратегия за опазване на околната среда в морските води на Черно море на Република България 2016-2021 г. (Морска стратегия, приета с Решение на Министерския съвет № 1111/29.12.2016 г.)</w:t>
      </w:r>
    </w:p>
    <w:p w14:paraId="76D3418D" w14:textId="77777777" w:rsidR="0094794D" w:rsidRPr="009F6D1E" w:rsidRDefault="0094794D" w:rsidP="0084747F">
      <w:pPr>
        <w:spacing w:after="60" w:line="264" w:lineRule="auto"/>
        <w:ind w:right="57" w:firstLine="709"/>
        <w:jc w:val="both"/>
        <w:rPr>
          <w:rFonts w:cs="Times New Roman"/>
          <w:bCs/>
          <w:iCs/>
          <w:szCs w:val="24"/>
        </w:rPr>
      </w:pPr>
    </w:p>
    <w:p w14:paraId="2186C133"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 xml:space="preserve">Основна цел на Рамкова Директива за Морска стратегия (РДМС) - Директива 2008/56/ЕО) е поддържането или постигането на добро състояние на морската околна среда до 2020 г. </w:t>
      </w:r>
    </w:p>
    <w:p w14:paraId="49AE887C" w14:textId="77777777" w:rsidR="001931F5" w:rsidRPr="009F6D1E" w:rsidRDefault="001931F5" w:rsidP="0084747F">
      <w:pPr>
        <w:spacing w:after="60" w:line="264" w:lineRule="auto"/>
        <w:ind w:right="57" w:firstLine="709"/>
        <w:jc w:val="both"/>
        <w:rPr>
          <w:rFonts w:cs="Times New Roman"/>
          <w:bCs/>
          <w:iCs/>
          <w:szCs w:val="24"/>
        </w:rPr>
      </w:pPr>
      <w:r w:rsidRPr="009F6D1E">
        <w:rPr>
          <w:rFonts w:cs="Times New Roman"/>
          <w:bCs/>
          <w:iCs/>
          <w:szCs w:val="24"/>
        </w:rPr>
        <w:t xml:space="preserve">Стратегията се отнася за крайбрежните морски води, териториалните морски води и изключителната икономическа зона на Република България, като в крайбрежните морски води допълва Плана за управление на речните басейни в Черноморски район. </w:t>
      </w:r>
    </w:p>
    <w:p w14:paraId="47B6D769" w14:textId="77777777" w:rsidR="001931F5" w:rsidRPr="009F6D1E" w:rsidRDefault="001931F5" w:rsidP="0084747F">
      <w:pPr>
        <w:spacing w:after="60" w:line="264" w:lineRule="auto"/>
        <w:ind w:right="57" w:firstLine="566"/>
        <w:jc w:val="both"/>
        <w:rPr>
          <w:rFonts w:cs="Times New Roman"/>
          <w:bCs/>
          <w:iCs/>
          <w:szCs w:val="24"/>
        </w:rPr>
      </w:pPr>
      <w:r w:rsidRPr="009F6D1E">
        <w:rPr>
          <w:rFonts w:cs="Times New Roman"/>
          <w:bCs/>
          <w:iCs/>
          <w:szCs w:val="24"/>
        </w:rPr>
        <w:t xml:space="preserve">Морската стратегия е насочена към опазване и подобряване на състоянието на морската околна среда и на съществуващите, или очаквани неблагоприятни въздействия. Целите на стратегията са: </w:t>
      </w:r>
    </w:p>
    <w:p w14:paraId="4C72B33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Постигане и поддържане на „добро състояние“ на морската околна среда; </w:t>
      </w:r>
    </w:p>
    <w:p w14:paraId="6752C15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Защита и съхраняване на морската околна среда, предотвратяване на нейното влошаване или, когато е практически невъзможно, възстановяване на морските екосистеми в територии, които са били неблагоприятно засегнати; </w:t>
      </w:r>
    </w:p>
    <w:p w14:paraId="6CCFF77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Предотвратяване и намаляване на въвеждането и освобождаването на вещества от </w:t>
      </w:r>
      <w:r w:rsidRPr="009F6D1E">
        <w:rPr>
          <w:rFonts w:eastAsia="Times New Roman" w:cs="Times New Roman"/>
          <w:szCs w:val="24"/>
          <w:lang w:eastAsia="bg-BG" w:bidi="bg-BG"/>
        </w:rPr>
        <w:lastRenderedPageBreak/>
        <w:t xml:space="preserve">антропогенен произход в околната среда с цел поетапно премахване на замърсяването и гарантиране липсата на съществено въздействие или опасност за човешкото здраве, биологичното разнообразие на морските екосистеми и законосъобразното използване на морето. </w:t>
      </w:r>
    </w:p>
    <w:p w14:paraId="0154F69C" w14:textId="77777777" w:rsidR="001931F5" w:rsidRPr="009F6D1E" w:rsidRDefault="001931F5" w:rsidP="0084747F">
      <w:pPr>
        <w:spacing w:after="60" w:line="264" w:lineRule="auto"/>
        <w:ind w:right="57" w:firstLine="360"/>
        <w:jc w:val="both"/>
        <w:rPr>
          <w:rFonts w:cs="Times New Roman"/>
          <w:bCs/>
          <w:iCs/>
          <w:szCs w:val="24"/>
        </w:rPr>
      </w:pPr>
      <w:r w:rsidRPr="009F6D1E">
        <w:rPr>
          <w:rFonts w:cs="Times New Roman"/>
          <w:bCs/>
          <w:iCs/>
          <w:szCs w:val="24"/>
        </w:rPr>
        <w:t>Програмата от мерки за поддържане и постигане на добро състояние на морската околна среда включва:</w:t>
      </w:r>
    </w:p>
    <w:p w14:paraId="33856DA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Съществуващи мерки, приети в рамките на други политики. Такива, които са изцяло или частично от значение за постигането на екологичните цели набелязани през 2012 г. Те включват, предприетите мерки в рамките на Директивата за местообитания, на Директивата за птиците, Рамковата директива за водите, Директивата за наводненията (Директива 2007/60/ЕО) и Директивата за градските отпадъчни води (Директива 91/271/ЕИО) или на някои „секторни политики“; </w:t>
      </w:r>
    </w:p>
    <w:p w14:paraId="20CC753D"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cs="Times New Roman"/>
          <w:bCs/>
          <w:iCs/>
          <w:szCs w:val="24"/>
        </w:rPr>
      </w:pPr>
      <w:r w:rsidRPr="009F6D1E">
        <w:rPr>
          <w:rFonts w:eastAsia="Times New Roman" w:cs="Times New Roman"/>
          <w:szCs w:val="24"/>
          <w:lang w:eastAsia="bg-BG" w:bidi="bg-BG"/>
        </w:rPr>
        <w:t>Нови мерки (национални и трансгранични) – мерки, идентифицирани в Програма от мерки (</w:t>
      </w:r>
      <w:proofErr w:type="spellStart"/>
      <w:r w:rsidRPr="009F6D1E">
        <w:rPr>
          <w:rFonts w:eastAsia="Times New Roman" w:cs="Times New Roman"/>
          <w:szCs w:val="24"/>
          <w:lang w:eastAsia="bg-BG" w:bidi="bg-BG"/>
        </w:rPr>
        <w:t>ПоМ</w:t>
      </w:r>
      <w:proofErr w:type="spellEnd"/>
      <w:r w:rsidRPr="009F6D1E">
        <w:rPr>
          <w:rFonts w:eastAsia="Times New Roman" w:cs="Times New Roman"/>
          <w:szCs w:val="24"/>
          <w:lang w:eastAsia="bg-BG" w:bidi="bg-BG"/>
        </w:rPr>
        <w:t>), които са необходими за поддържане или постигне на добро състояние на морската околна среда до 2020 г., когато съществуващите мерки не са достатъчни. Те са мерки за допълване на съществуващите такива (за укрепване, оптимизиране или разширяване</w:t>
      </w:r>
      <w:r w:rsidRPr="009F6D1E">
        <w:rPr>
          <w:rFonts w:cs="Times New Roman"/>
          <w:bCs/>
          <w:iCs/>
          <w:szCs w:val="24"/>
        </w:rPr>
        <w:t xml:space="preserve"> на географския обхват) или изцяло нови. Съдържат препоръки за действия, които да се осъществяват на национално и трансгранично ниво. </w:t>
      </w:r>
    </w:p>
    <w:p w14:paraId="5EBA74C5" w14:textId="77777777" w:rsidR="001931F5" w:rsidRPr="009F6D1E" w:rsidRDefault="00CD4045" w:rsidP="0084747F">
      <w:pPr>
        <w:spacing w:after="60" w:line="264" w:lineRule="auto"/>
        <w:ind w:right="57" w:firstLine="720"/>
        <w:jc w:val="both"/>
        <w:rPr>
          <w:rFonts w:cs="Times New Roman"/>
          <w:bCs/>
          <w:iCs/>
          <w:szCs w:val="24"/>
        </w:rPr>
      </w:pPr>
      <w:bookmarkStart w:id="120" w:name="_Hlk95226595"/>
      <w:r w:rsidRPr="009F6D1E">
        <w:rPr>
          <w:rFonts w:cs="Times New Roman"/>
          <w:bCs/>
          <w:iCs/>
          <w:szCs w:val="24"/>
        </w:rPr>
        <w:t>СПРЗСР</w:t>
      </w:r>
      <w:r w:rsidR="001931F5" w:rsidRPr="009F6D1E">
        <w:rPr>
          <w:rFonts w:cs="Times New Roman"/>
          <w:bCs/>
          <w:iCs/>
          <w:szCs w:val="24"/>
        </w:rPr>
        <w:t xml:space="preserve"> е съобразен с целите на Стратегията и не влиза в противоречие с нея,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p w14:paraId="0DD782FE" w14:textId="77777777" w:rsidR="001931F5" w:rsidRPr="009F6D1E" w:rsidRDefault="001931F5" w:rsidP="0084747F">
      <w:pPr>
        <w:spacing w:after="60" w:line="264" w:lineRule="auto"/>
        <w:ind w:right="57" w:firstLine="464"/>
        <w:jc w:val="both"/>
        <w:rPr>
          <w:rFonts w:cs="Times New Roman"/>
          <w:bCs/>
          <w:iCs/>
          <w:szCs w:val="24"/>
        </w:rPr>
      </w:pPr>
    </w:p>
    <w:bookmarkEnd w:id="120"/>
    <w:p w14:paraId="1FC8F2E3"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Стратегически план за действие за опазване на околната среда и възстановяване на Черно море</w:t>
      </w:r>
    </w:p>
    <w:p w14:paraId="7B1AB32C" w14:textId="77777777" w:rsidR="0094794D" w:rsidRPr="009F6D1E" w:rsidRDefault="0094794D" w:rsidP="0084747F">
      <w:pPr>
        <w:spacing w:after="60" w:line="264" w:lineRule="auto"/>
        <w:ind w:right="57" w:firstLine="720"/>
        <w:jc w:val="both"/>
        <w:rPr>
          <w:rFonts w:cs="Times New Roman"/>
          <w:szCs w:val="24"/>
        </w:rPr>
      </w:pPr>
    </w:p>
    <w:p w14:paraId="4A588E7A" w14:textId="77777777" w:rsidR="001931F5" w:rsidRPr="009F6D1E" w:rsidRDefault="001931F5" w:rsidP="0084747F">
      <w:pPr>
        <w:spacing w:after="60" w:line="264" w:lineRule="auto"/>
        <w:ind w:right="57" w:firstLine="720"/>
        <w:jc w:val="both"/>
        <w:rPr>
          <w:rFonts w:cs="Times New Roman"/>
          <w:szCs w:val="24"/>
          <w:lang w:eastAsia="bg-BG"/>
        </w:rPr>
      </w:pPr>
      <w:r w:rsidRPr="009F6D1E">
        <w:rPr>
          <w:rFonts w:cs="Times New Roman"/>
          <w:szCs w:val="24"/>
        </w:rPr>
        <w:t>Стратегическият план представлява споразумение между шестте държави, граничещи с бреговете на Черно море (Република България, Грузия, Румъния, Руската Федерация, Република Турция и Украйна) с цел да действат в синхрон за подпомагане на продължителното възстановяване на Черно море.</w:t>
      </w:r>
    </w:p>
    <w:p w14:paraId="425EC2F3" w14:textId="77777777" w:rsidR="001931F5" w:rsidRPr="009F6D1E" w:rsidRDefault="001931F5" w:rsidP="0084747F">
      <w:pPr>
        <w:spacing w:after="60" w:line="264" w:lineRule="auto"/>
        <w:ind w:right="57" w:firstLine="720"/>
        <w:jc w:val="both"/>
        <w:rPr>
          <w:rFonts w:cs="Times New Roman"/>
          <w:bCs/>
          <w:szCs w:val="24"/>
        </w:rPr>
      </w:pPr>
      <w:r w:rsidRPr="009F6D1E">
        <w:rPr>
          <w:rFonts w:cs="Times New Roman"/>
          <w:szCs w:val="24"/>
        </w:rPr>
        <w:t xml:space="preserve">В документа се </w:t>
      </w:r>
      <w:r w:rsidRPr="009F6D1E">
        <w:rPr>
          <w:rFonts w:cs="Times New Roman"/>
          <w:bCs/>
          <w:szCs w:val="24"/>
        </w:rPr>
        <w:t xml:space="preserve">описват стратегическите действия, необходими в отговор на </w:t>
      </w:r>
      <w:r w:rsidRPr="009F6D1E">
        <w:rPr>
          <w:rFonts w:cs="Times New Roman"/>
          <w:szCs w:val="24"/>
        </w:rPr>
        <w:t>съществените</w:t>
      </w:r>
      <w:r w:rsidRPr="009F6D1E">
        <w:rPr>
          <w:rFonts w:cs="Times New Roman"/>
          <w:bCs/>
          <w:szCs w:val="24"/>
        </w:rPr>
        <w:t xml:space="preserve"> </w:t>
      </w:r>
      <w:r w:rsidRPr="009F6D1E">
        <w:rPr>
          <w:rFonts w:eastAsia="Times New Roman" w:cs="Times New Roman"/>
          <w:szCs w:val="24"/>
          <w:lang w:eastAsia="bg-BG"/>
        </w:rPr>
        <w:t>предизвикателства</w:t>
      </w:r>
      <w:r w:rsidRPr="009F6D1E">
        <w:rPr>
          <w:rFonts w:cs="Times New Roman"/>
          <w:bCs/>
          <w:szCs w:val="24"/>
        </w:rPr>
        <w:t xml:space="preserve"> на околната среда, пред които е изправено Морето и включва редица цели на управление.</w:t>
      </w:r>
    </w:p>
    <w:p w14:paraId="4869BBF1" w14:textId="77777777" w:rsidR="001931F5" w:rsidRPr="009F6D1E" w:rsidRDefault="001931F5" w:rsidP="0084747F">
      <w:pPr>
        <w:spacing w:after="60" w:line="264" w:lineRule="auto"/>
        <w:ind w:right="57" w:firstLine="720"/>
        <w:jc w:val="both"/>
        <w:rPr>
          <w:rFonts w:cs="Times New Roman"/>
          <w:bCs/>
          <w:szCs w:val="24"/>
        </w:rPr>
      </w:pPr>
      <w:r w:rsidRPr="009F6D1E">
        <w:rPr>
          <w:rFonts w:cs="Times New Roman"/>
          <w:bCs/>
          <w:szCs w:val="24"/>
        </w:rPr>
        <w:t xml:space="preserve">Визията за Черно море включва съхраняване на неговата екосистема като ценен природен </w:t>
      </w:r>
      <w:r w:rsidRPr="009F6D1E">
        <w:rPr>
          <w:rFonts w:cs="Times New Roman"/>
          <w:szCs w:val="24"/>
        </w:rPr>
        <w:t>дар</w:t>
      </w:r>
      <w:r w:rsidRPr="009F6D1E">
        <w:rPr>
          <w:rFonts w:cs="Times New Roman"/>
          <w:bCs/>
          <w:szCs w:val="24"/>
        </w:rPr>
        <w:t xml:space="preserve"> на </w:t>
      </w:r>
      <w:r w:rsidRPr="009F6D1E">
        <w:rPr>
          <w:rFonts w:eastAsia="Times New Roman" w:cs="Times New Roman"/>
          <w:szCs w:val="24"/>
          <w:lang w:eastAsia="bg-BG"/>
        </w:rPr>
        <w:t>региона</w:t>
      </w:r>
      <w:r w:rsidRPr="009F6D1E">
        <w:rPr>
          <w:rFonts w:cs="Times New Roman"/>
          <w:bCs/>
          <w:szCs w:val="24"/>
        </w:rPr>
        <w:t>, като в същото време се осигурява опазването на неговите морски и крайбрежни живи ресурси, като условие за устойчиво развитие на черноморските държави, тяхното добруване, здраве и защита на населението.</w:t>
      </w:r>
    </w:p>
    <w:p w14:paraId="1B5BFA53" w14:textId="467415B9" w:rsidR="001931F5" w:rsidRDefault="001931F5" w:rsidP="0084747F">
      <w:pPr>
        <w:spacing w:after="60" w:line="264" w:lineRule="auto"/>
        <w:ind w:right="57" w:firstLine="720"/>
        <w:jc w:val="both"/>
        <w:rPr>
          <w:rFonts w:cs="Times New Roman"/>
          <w:szCs w:val="24"/>
        </w:rPr>
      </w:pPr>
      <w:r w:rsidRPr="009F6D1E">
        <w:rPr>
          <w:rFonts w:cs="Times New Roman"/>
          <w:szCs w:val="24"/>
        </w:rPr>
        <w:t>В Стратегическия план са формулирани четири Цели по Качеството на Екосистемата (ЦКЕС) и свързаните с тях подцели:</w:t>
      </w:r>
    </w:p>
    <w:p w14:paraId="6E72388A" w14:textId="2EEFFA46" w:rsidR="003446CF" w:rsidRDefault="003446CF" w:rsidP="0084747F">
      <w:pPr>
        <w:spacing w:after="60" w:line="264" w:lineRule="auto"/>
        <w:ind w:right="57" w:firstLine="720"/>
        <w:jc w:val="both"/>
        <w:rPr>
          <w:rFonts w:cs="Times New Roman"/>
          <w:szCs w:val="24"/>
        </w:rPr>
      </w:pPr>
    </w:p>
    <w:p w14:paraId="476117E3" w14:textId="77777777" w:rsidR="003446CF" w:rsidRPr="009F6D1E" w:rsidRDefault="003446CF" w:rsidP="0084747F">
      <w:pPr>
        <w:spacing w:after="60" w:line="264" w:lineRule="auto"/>
        <w:ind w:right="57" w:firstLine="720"/>
        <w:jc w:val="both"/>
        <w:rPr>
          <w:rFonts w:cs="Times New Roman"/>
          <w:szCs w:val="24"/>
        </w:rPr>
      </w:pPr>
    </w:p>
    <w:p w14:paraId="329EF99A" w14:textId="77777777" w:rsidR="001931F5" w:rsidRPr="009F6D1E" w:rsidRDefault="001931F5" w:rsidP="0084747F">
      <w:pPr>
        <w:autoSpaceDE w:val="0"/>
        <w:autoSpaceDN w:val="0"/>
        <w:adjustRightInd w:val="0"/>
        <w:spacing w:after="60" w:line="264" w:lineRule="auto"/>
        <w:ind w:left="566" w:hanging="567"/>
        <w:rPr>
          <w:rFonts w:cs="Times New Roman"/>
          <w:b/>
          <w:bCs/>
          <w:szCs w:val="24"/>
        </w:rPr>
      </w:pPr>
      <w:r w:rsidRPr="009F6D1E">
        <w:rPr>
          <w:rFonts w:cs="Times New Roman"/>
          <w:b/>
          <w:bCs/>
          <w:szCs w:val="24"/>
        </w:rPr>
        <w:lastRenderedPageBreak/>
        <w:t>ЦКЕС 1: Съхраняване на живите търговски морски ресурси</w:t>
      </w:r>
    </w:p>
    <w:p w14:paraId="17DA4C4F"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1а: Устойчиво използване на наличната риба и други живи морски източници за търговски цели.</w:t>
      </w:r>
    </w:p>
    <w:p w14:paraId="2CAE317E"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1б: Възстановяване/</w:t>
      </w:r>
      <w:proofErr w:type="spellStart"/>
      <w:r w:rsidRPr="009F6D1E">
        <w:rPr>
          <w:rFonts w:cs="Times New Roman"/>
          <w:i/>
          <w:iCs/>
          <w:szCs w:val="24"/>
        </w:rPr>
        <w:t>рехабилитиране</w:t>
      </w:r>
      <w:proofErr w:type="spellEnd"/>
      <w:r w:rsidRPr="009F6D1E">
        <w:rPr>
          <w:rFonts w:cs="Times New Roman"/>
          <w:i/>
          <w:iCs/>
          <w:szCs w:val="24"/>
        </w:rPr>
        <w:t xml:space="preserve"> наличието на живи търговски морски ресурси.</w:t>
      </w:r>
    </w:p>
    <w:p w14:paraId="31AD6A7E" w14:textId="77777777" w:rsidR="001931F5" w:rsidRPr="009F6D1E" w:rsidRDefault="001931F5" w:rsidP="0084747F">
      <w:pPr>
        <w:autoSpaceDE w:val="0"/>
        <w:autoSpaceDN w:val="0"/>
        <w:adjustRightInd w:val="0"/>
        <w:spacing w:after="60" w:line="264" w:lineRule="auto"/>
        <w:ind w:left="566" w:hanging="567"/>
        <w:rPr>
          <w:rFonts w:cs="Times New Roman"/>
          <w:b/>
          <w:bCs/>
          <w:szCs w:val="24"/>
        </w:rPr>
      </w:pPr>
      <w:r w:rsidRPr="009F6D1E">
        <w:rPr>
          <w:rFonts w:cs="Times New Roman"/>
          <w:b/>
          <w:bCs/>
          <w:szCs w:val="24"/>
        </w:rPr>
        <w:t>ЦКЕС 2: Опазване на разнообразието и местообитанието на Черно море</w:t>
      </w:r>
    </w:p>
    <w:p w14:paraId="64DB34B2"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2а: Намаляване риска от изчезване на застрашените видове.</w:t>
      </w:r>
    </w:p>
    <w:p w14:paraId="48817119"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2б: Съхраняване на крайбрежния и морски местообитание и природа.</w:t>
      </w:r>
    </w:p>
    <w:p w14:paraId="28DC9D28"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2в: Намаляване и управление на намесата на човека</w:t>
      </w:r>
    </w:p>
    <w:p w14:paraId="3285CF8A" w14:textId="77777777" w:rsidR="001931F5" w:rsidRPr="009F6D1E" w:rsidRDefault="001931F5" w:rsidP="0084747F">
      <w:pPr>
        <w:autoSpaceDE w:val="0"/>
        <w:autoSpaceDN w:val="0"/>
        <w:adjustRightInd w:val="0"/>
        <w:spacing w:after="60" w:line="264" w:lineRule="auto"/>
        <w:ind w:left="566" w:hanging="567"/>
        <w:rPr>
          <w:rFonts w:cs="Times New Roman"/>
          <w:b/>
          <w:bCs/>
          <w:szCs w:val="24"/>
        </w:rPr>
      </w:pPr>
      <w:r w:rsidRPr="009F6D1E">
        <w:rPr>
          <w:rFonts w:cs="Times New Roman"/>
          <w:b/>
          <w:bCs/>
          <w:szCs w:val="24"/>
        </w:rPr>
        <w:t xml:space="preserve">ЦКЕС 3: Намаляване на </w:t>
      </w:r>
      <w:proofErr w:type="spellStart"/>
      <w:r w:rsidRPr="009F6D1E">
        <w:rPr>
          <w:rFonts w:cs="Times New Roman"/>
          <w:b/>
          <w:bCs/>
          <w:szCs w:val="24"/>
        </w:rPr>
        <w:t>еутрофикацията</w:t>
      </w:r>
      <w:proofErr w:type="spellEnd"/>
    </w:p>
    <w:p w14:paraId="5277A9F6" w14:textId="77777777" w:rsidR="001931F5" w:rsidRPr="009F6D1E" w:rsidRDefault="001931F5" w:rsidP="0084747F">
      <w:pPr>
        <w:autoSpaceDE w:val="0"/>
        <w:autoSpaceDN w:val="0"/>
        <w:adjustRightInd w:val="0"/>
        <w:spacing w:after="60" w:line="264" w:lineRule="auto"/>
        <w:ind w:left="566" w:hanging="567"/>
        <w:rPr>
          <w:rFonts w:cs="Times New Roman"/>
          <w:b/>
          <w:bCs/>
          <w:szCs w:val="24"/>
        </w:rPr>
      </w:pPr>
      <w:r w:rsidRPr="009F6D1E">
        <w:rPr>
          <w:rFonts w:cs="Times New Roman"/>
          <w:b/>
          <w:bCs/>
          <w:szCs w:val="24"/>
        </w:rPr>
        <w:t>ЦКЕС 4: Гарантиране на Доброто Качество на Водата за Човешкото Здраве, за използването й при отдих и за аква биотата</w:t>
      </w:r>
    </w:p>
    <w:p w14:paraId="53C0317C"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4а: Намаляване на замърсителите, произлезли от базираните на земята ресурси, включително атмосферните емисии.</w:t>
      </w:r>
    </w:p>
    <w:p w14:paraId="0F374A33" w14:textId="77777777" w:rsidR="001931F5" w:rsidRPr="009F6D1E" w:rsidRDefault="001931F5" w:rsidP="0084747F">
      <w:pPr>
        <w:autoSpaceDE w:val="0"/>
        <w:autoSpaceDN w:val="0"/>
        <w:adjustRightInd w:val="0"/>
        <w:spacing w:after="60" w:line="264" w:lineRule="auto"/>
        <w:ind w:left="1417" w:hanging="697"/>
        <w:rPr>
          <w:rFonts w:cs="Times New Roman"/>
          <w:i/>
          <w:iCs/>
          <w:szCs w:val="24"/>
        </w:rPr>
      </w:pPr>
      <w:r w:rsidRPr="009F6D1E">
        <w:rPr>
          <w:rFonts w:cs="Times New Roman"/>
          <w:szCs w:val="24"/>
        </w:rPr>
        <w:t xml:space="preserve">ЦКЕС </w:t>
      </w:r>
      <w:r w:rsidRPr="009F6D1E">
        <w:rPr>
          <w:rFonts w:cs="Times New Roman"/>
          <w:i/>
          <w:iCs/>
          <w:szCs w:val="24"/>
        </w:rPr>
        <w:t>4б: Намаляване на замърсителите, дошли от плавателните съдове и съоръженията от сушата.</w:t>
      </w:r>
    </w:p>
    <w:p w14:paraId="57264C6F" w14:textId="77777777" w:rsidR="001931F5" w:rsidRPr="009F6D1E" w:rsidRDefault="00CD4045" w:rsidP="0084747F">
      <w:pPr>
        <w:spacing w:after="60" w:line="264" w:lineRule="auto"/>
        <w:ind w:right="57" w:firstLine="720"/>
        <w:jc w:val="both"/>
        <w:rPr>
          <w:rFonts w:cs="Times New Roman"/>
          <w:bCs/>
          <w:iCs/>
          <w:szCs w:val="24"/>
        </w:rPr>
      </w:pPr>
      <w:bookmarkStart w:id="121" w:name="_Hlk95226673"/>
      <w:r w:rsidRPr="009F6D1E">
        <w:rPr>
          <w:rFonts w:cs="Times New Roman"/>
          <w:bCs/>
          <w:iCs/>
          <w:szCs w:val="24"/>
        </w:rPr>
        <w:t>СПРЗСР</w:t>
      </w:r>
      <w:r w:rsidR="001931F5" w:rsidRPr="009F6D1E">
        <w:rPr>
          <w:rFonts w:cs="Times New Roman"/>
          <w:bCs/>
          <w:iCs/>
          <w:szCs w:val="24"/>
        </w:rPr>
        <w:t xml:space="preserve"> е съобразен с целите на Стратегическия план и не влиза в противоречие с него,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bookmarkEnd w:id="121"/>
    <w:p w14:paraId="734F2A38"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3F1395C3"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Морски пространствен план на Република България 2021-2035 г. </w:t>
      </w:r>
      <w:r w:rsidRPr="009F6D1E">
        <w:rPr>
          <w:b/>
          <w:bCs/>
          <w:smallCaps w:val="0"/>
          <w:color w:val="262626" w:themeColor="text1" w:themeTint="D9"/>
          <w:lang w:eastAsia="en-US" w:bidi="ar-SA"/>
        </w:rPr>
        <w:footnoteReference w:id="35"/>
      </w:r>
      <w:r w:rsidRPr="009F6D1E">
        <w:rPr>
          <w:b/>
          <w:bCs/>
          <w:smallCaps w:val="0"/>
          <w:color w:val="262626" w:themeColor="text1" w:themeTint="D9"/>
          <w:lang w:eastAsia="en-US" w:bidi="ar-SA"/>
        </w:rPr>
        <w:t xml:space="preserve"> (проект, септември, 2021 г.)</w:t>
      </w:r>
    </w:p>
    <w:p w14:paraId="6D653793" w14:textId="77777777" w:rsidR="0094794D" w:rsidRPr="009F6D1E" w:rsidRDefault="0094794D" w:rsidP="0084747F">
      <w:pPr>
        <w:spacing w:after="60" w:line="264" w:lineRule="auto"/>
        <w:ind w:firstLine="720"/>
        <w:jc w:val="both"/>
        <w:rPr>
          <w:rFonts w:cs="Times New Roman"/>
          <w:bCs/>
          <w:iCs/>
          <w:szCs w:val="24"/>
        </w:rPr>
      </w:pPr>
    </w:p>
    <w:p w14:paraId="5F11E528"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Планът се разработва във връзка с повишения натиск върху морските пространства, влошаване на състоянието на морската околна среда и загубата на биологично разнообразие, налагащи прилагането на интегрирана морска политика и задължението за прилагане на рамковите директиви на ЕС – за водите (2000/60/ЕО), за морска стратегия (2008/56/ЕО) и за морско пространствено планиране (2014/89/ЕС).</w:t>
      </w:r>
    </w:p>
    <w:p w14:paraId="4C9118F4"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Главна цел на Морския пространствен план на Р. България, е създаването на условия за устойчив растеж на морската икономика, за постигане на стабилно развитие на българския черноморски регион, чрез ефективно използване на природните ресурси, съобразено с изискванията за интегрирано опазване на морската среда. Задача на плана е да съвмести безконфликтно съществуващи и бъдещи дейности по използване на морските пространства, отчитайки мерките за постигане на добро състояние на морската околна среда на Програмата от мерки към Морската стратегия на Р. България.</w:t>
      </w:r>
    </w:p>
    <w:p w14:paraId="75773848"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 xml:space="preserve">Стратегически цели: </w:t>
      </w:r>
    </w:p>
    <w:p w14:paraId="79B714B8"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Стратегическа цел 1: Регулиране и координиране на морските ползвания </w:t>
      </w:r>
    </w:p>
    <w:p w14:paraId="7FA2CCB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lastRenderedPageBreak/>
        <w:t xml:space="preserve">Стратегическа цел 2: Изграждане на диверсифицирана и устойчива морска икономика и жизнени териториални общности </w:t>
      </w:r>
    </w:p>
    <w:p w14:paraId="23940AF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Стратегическа цел 3: Повишаване на морската култура, образование и знание. </w:t>
      </w:r>
    </w:p>
    <w:p w14:paraId="01750C5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Стратегическа цел 4: Международно и регионално сътрудничество за опазване и ползване на черноморските ресурси.</w:t>
      </w:r>
    </w:p>
    <w:p w14:paraId="0266DC9E" w14:textId="77777777" w:rsidR="001931F5" w:rsidRPr="009F6D1E" w:rsidRDefault="00CD4045" w:rsidP="0084747F">
      <w:pPr>
        <w:spacing w:after="60" w:line="264" w:lineRule="auto"/>
        <w:ind w:right="57" w:firstLine="720"/>
        <w:jc w:val="both"/>
        <w:rPr>
          <w:rFonts w:cs="Times New Roman"/>
          <w:bCs/>
          <w:iCs/>
          <w:szCs w:val="24"/>
        </w:rPr>
      </w:pPr>
      <w:bookmarkStart w:id="122" w:name="_Hlk95227435"/>
      <w:r w:rsidRPr="009F6D1E">
        <w:rPr>
          <w:rFonts w:cs="Times New Roman"/>
          <w:bCs/>
          <w:iCs/>
          <w:szCs w:val="24"/>
        </w:rPr>
        <w:t>СПРЗСР</w:t>
      </w:r>
      <w:r w:rsidR="001931F5" w:rsidRPr="009F6D1E">
        <w:rPr>
          <w:rFonts w:cs="Times New Roman"/>
          <w:bCs/>
          <w:iCs/>
          <w:szCs w:val="24"/>
        </w:rPr>
        <w:t xml:space="preserve"> е съобразен с целите на плана и не влиза в противоречие с него, като анализът е представен в точка </w:t>
      </w:r>
      <w:r w:rsidR="00D5130D" w:rsidRPr="009F6D1E">
        <w:rPr>
          <w:rFonts w:cs="Times New Roman"/>
          <w:bCs/>
          <w:iCs/>
          <w:szCs w:val="24"/>
        </w:rPr>
        <w:t>7</w:t>
      </w:r>
      <w:r w:rsidR="001931F5" w:rsidRPr="009F6D1E">
        <w:rPr>
          <w:rFonts w:cs="Times New Roman"/>
          <w:bCs/>
          <w:iCs/>
          <w:szCs w:val="24"/>
        </w:rPr>
        <w:t xml:space="preserve"> от ДЕО.</w:t>
      </w:r>
    </w:p>
    <w:bookmarkEnd w:id="122"/>
    <w:p w14:paraId="3F2A54AB" w14:textId="77777777" w:rsidR="001931F5" w:rsidRPr="009F6D1E" w:rsidRDefault="001931F5" w:rsidP="0084747F">
      <w:pPr>
        <w:pStyle w:val="ListParagraph"/>
        <w:spacing w:after="60" w:line="264" w:lineRule="auto"/>
        <w:jc w:val="both"/>
        <w:rPr>
          <w:b/>
          <w:bCs/>
          <w:i/>
          <w:iCs/>
          <w:color w:val="auto"/>
          <w:lang w:val="bg-BG"/>
        </w:rPr>
      </w:pPr>
    </w:p>
    <w:p w14:paraId="55FEFD18"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Националната рамка за приоритетни действия за Натура 2000 за периода 2021 – 2027 г. (Приета от ЕК – февруари 2022 г.)</w:t>
      </w:r>
      <w:r w:rsidRPr="009F6D1E">
        <w:rPr>
          <w:b/>
          <w:bCs/>
          <w:smallCaps w:val="0"/>
          <w:color w:val="262626" w:themeColor="text1" w:themeTint="D9"/>
          <w:vertAlign w:val="superscript"/>
          <w:lang w:eastAsia="en-US" w:bidi="ar-SA"/>
        </w:rPr>
        <w:footnoteReference w:id="36"/>
      </w:r>
    </w:p>
    <w:p w14:paraId="32407290" w14:textId="77777777" w:rsidR="0094794D" w:rsidRPr="009F6D1E" w:rsidRDefault="0094794D" w:rsidP="0084747F">
      <w:pPr>
        <w:spacing w:after="60" w:line="264" w:lineRule="auto"/>
        <w:ind w:firstLine="720"/>
        <w:jc w:val="both"/>
        <w:rPr>
          <w:rFonts w:cs="Times New Roman"/>
          <w:bCs/>
          <w:iCs/>
          <w:szCs w:val="24"/>
        </w:rPr>
      </w:pPr>
    </w:p>
    <w:p w14:paraId="6D77C6EA"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Документът се изготвя в изпълнение на изискванията на член 8, параграф 1 от Директивата за местообитанията, съгласно който държавите-членки са длъжни да представят на Комисията своите оценки за финансовия принос на Европейския съюз, който считат за необходим за изпълнението на задълженията им, свързани с мрежата Натура 2000.</w:t>
      </w:r>
    </w:p>
    <w:p w14:paraId="2716FF96"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Cs/>
          <w:iCs/>
          <w:szCs w:val="24"/>
        </w:rPr>
        <w:t>Очаквани резултати:</w:t>
      </w:r>
    </w:p>
    <w:p w14:paraId="3857EBA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Разработени мерки за поддържане и подобряване на природозащитния статус на видовете и природните местообитания, подлежащи на опазване в Натура 2000;</w:t>
      </w:r>
    </w:p>
    <w:p w14:paraId="1FF7DDBA"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Оценка на размера на финансовите средства, необходими за изпълнение на разработените мерки, както и източника за тяхното финансиране;</w:t>
      </w:r>
    </w:p>
    <w:p w14:paraId="0301F8A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Разработена система за наблюдение, отчитане и актуализиране на рамката за периода 2021 – 2027 г.;</w:t>
      </w:r>
    </w:p>
    <w:p w14:paraId="7DAD98A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Завършен формат на рамката за периода 2021 - 2027;</w:t>
      </w:r>
    </w:p>
    <w:p w14:paraId="07C5308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Осъществен процес за обсъждане и привеждане в съответствие на рамката за периода 2021 – 2027 г.;</w:t>
      </w:r>
    </w:p>
    <w:p w14:paraId="32E3AC4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Осигурена съгласуваност с приоритетите на фондовете на ЕС и други финансови инструменти.</w:t>
      </w:r>
    </w:p>
    <w:p w14:paraId="63559FBF" w14:textId="5CE1DA12" w:rsidR="001931F5" w:rsidRDefault="00CD4045" w:rsidP="0084747F">
      <w:pPr>
        <w:spacing w:after="60" w:line="264" w:lineRule="auto"/>
        <w:ind w:right="57" w:firstLine="720"/>
        <w:jc w:val="both"/>
        <w:rPr>
          <w:rFonts w:cs="Times New Roman"/>
          <w:bCs/>
          <w:iCs/>
          <w:szCs w:val="24"/>
        </w:rPr>
      </w:pPr>
      <w:bookmarkStart w:id="123" w:name="_Hlk95227606"/>
      <w:r w:rsidRPr="009F6D1E">
        <w:rPr>
          <w:rFonts w:cs="Times New Roman"/>
          <w:bCs/>
          <w:iCs/>
          <w:szCs w:val="24"/>
        </w:rPr>
        <w:t>СПРЗСР</w:t>
      </w:r>
      <w:r w:rsidR="001931F5" w:rsidRPr="009F6D1E">
        <w:rPr>
          <w:rFonts w:cs="Times New Roman"/>
          <w:bCs/>
          <w:iCs/>
          <w:szCs w:val="24"/>
        </w:rPr>
        <w:t xml:space="preserve"> е съобразен с целите на документа и не влиза в противоречие с него,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p w14:paraId="5F77D408" w14:textId="4EE2E487" w:rsidR="0006621A" w:rsidRDefault="0006621A" w:rsidP="0084747F">
      <w:pPr>
        <w:spacing w:after="60" w:line="264" w:lineRule="auto"/>
        <w:ind w:right="57" w:firstLine="720"/>
        <w:jc w:val="both"/>
        <w:rPr>
          <w:rFonts w:cs="Times New Roman"/>
          <w:bCs/>
          <w:iCs/>
          <w:szCs w:val="24"/>
        </w:rPr>
      </w:pPr>
    </w:p>
    <w:p w14:paraId="7165F8C4" w14:textId="709982D0" w:rsidR="0006621A" w:rsidRDefault="0006621A" w:rsidP="0084747F">
      <w:pPr>
        <w:spacing w:after="60" w:line="264" w:lineRule="auto"/>
        <w:ind w:right="57" w:firstLine="720"/>
        <w:jc w:val="both"/>
        <w:rPr>
          <w:rFonts w:cs="Times New Roman"/>
          <w:bCs/>
          <w:iCs/>
          <w:szCs w:val="24"/>
        </w:rPr>
      </w:pPr>
    </w:p>
    <w:p w14:paraId="4C3C6B16" w14:textId="5A1F6A9B" w:rsidR="0006621A" w:rsidRDefault="0006621A" w:rsidP="0084747F">
      <w:pPr>
        <w:spacing w:after="60" w:line="264" w:lineRule="auto"/>
        <w:ind w:right="57" w:firstLine="720"/>
        <w:jc w:val="both"/>
        <w:rPr>
          <w:rFonts w:cs="Times New Roman"/>
          <w:bCs/>
          <w:iCs/>
          <w:szCs w:val="24"/>
        </w:rPr>
      </w:pPr>
    </w:p>
    <w:p w14:paraId="02499B52" w14:textId="77777777" w:rsidR="0006621A" w:rsidRPr="009F6D1E" w:rsidRDefault="0006621A" w:rsidP="0084747F">
      <w:pPr>
        <w:spacing w:after="60" w:line="264" w:lineRule="auto"/>
        <w:ind w:right="57" w:firstLine="720"/>
        <w:jc w:val="both"/>
        <w:rPr>
          <w:rFonts w:cs="Times New Roman"/>
          <w:bCs/>
          <w:iCs/>
          <w:szCs w:val="24"/>
        </w:rPr>
      </w:pPr>
    </w:p>
    <w:bookmarkEnd w:id="123"/>
    <w:p w14:paraId="66DE4ECE" w14:textId="77777777" w:rsidR="001931F5" w:rsidRPr="009F6D1E" w:rsidRDefault="001931F5" w:rsidP="0084747F">
      <w:pPr>
        <w:spacing w:after="60" w:line="264" w:lineRule="auto"/>
        <w:ind w:left="1281"/>
        <w:jc w:val="both"/>
        <w:rPr>
          <w:rFonts w:cs="Times New Roman"/>
          <w:b/>
          <w:iCs/>
          <w:szCs w:val="24"/>
        </w:rPr>
      </w:pPr>
    </w:p>
    <w:p w14:paraId="79822EAB"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Национален план за управление на отпадъците 2021-2028г., приет с Решение № 459 на Министерския съвет от 17.06.2021 г.</w:t>
      </w:r>
    </w:p>
    <w:p w14:paraId="12453D4D" w14:textId="77777777" w:rsidR="0094794D" w:rsidRPr="009F6D1E" w:rsidRDefault="0094794D" w:rsidP="0084747F">
      <w:pPr>
        <w:spacing w:after="60" w:line="264" w:lineRule="auto"/>
        <w:ind w:right="57" w:firstLine="709"/>
        <w:jc w:val="both"/>
        <w:rPr>
          <w:rFonts w:cs="Times New Roman"/>
          <w:szCs w:val="24"/>
        </w:rPr>
      </w:pPr>
    </w:p>
    <w:p w14:paraId="054D6B19" w14:textId="77777777" w:rsidR="001931F5" w:rsidRPr="009F6D1E" w:rsidRDefault="001931F5" w:rsidP="0084747F">
      <w:pPr>
        <w:spacing w:after="60" w:line="264" w:lineRule="auto"/>
        <w:ind w:right="57" w:firstLine="709"/>
        <w:jc w:val="both"/>
        <w:rPr>
          <w:rFonts w:cs="Times New Roman"/>
          <w:szCs w:val="24"/>
        </w:rPr>
      </w:pPr>
      <w:r w:rsidRPr="009F6D1E">
        <w:rPr>
          <w:rFonts w:cs="Times New Roman"/>
          <w:szCs w:val="24"/>
        </w:rPr>
        <w:t>НПУО 2021-2028 е разработен на основание изискванията на чл. 49 от Закона за управление на отпадъците. Планът е съгласуван със Становище №1-1/2021г. на Министъра на околната среда и водите и е одобрен с Решение на МС на 16.06.2021г.</w:t>
      </w:r>
    </w:p>
    <w:p w14:paraId="0612536F" w14:textId="77777777" w:rsidR="001931F5" w:rsidRPr="009F6D1E" w:rsidRDefault="001931F5" w:rsidP="0084747F">
      <w:pPr>
        <w:spacing w:after="60" w:line="264" w:lineRule="auto"/>
        <w:ind w:right="57" w:firstLine="709"/>
        <w:jc w:val="both"/>
        <w:rPr>
          <w:rFonts w:cs="Times New Roman"/>
          <w:szCs w:val="24"/>
        </w:rPr>
      </w:pPr>
      <w:r w:rsidRPr="009F6D1E">
        <w:rPr>
          <w:rFonts w:cs="Times New Roman"/>
          <w:szCs w:val="24"/>
        </w:rPr>
        <w:t>В НПУО 2010-2028 г. са формулирани три основни цели със съответни програми, както следва:</w:t>
      </w:r>
    </w:p>
    <w:p w14:paraId="08178964" w14:textId="77777777" w:rsidR="001931F5" w:rsidRPr="009F6D1E" w:rsidRDefault="001931F5" w:rsidP="0084747F">
      <w:pPr>
        <w:spacing w:after="60" w:line="264" w:lineRule="auto"/>
        <w:ind w:right="57"/>
        <w:jc w:val="both"/>
        <w:rPr>
          <w:rFonts w:cs="Times New Roman"/>
          <w:szCs w:val="24"/>
        </w:rPr>
      </w:pPr>
      <w:r w:rsidRPr="009F6D1E">
        <w:rPr>
          <w:rFonts w:cs="Times New Roman"/>
          <w:b/>
          <w:bCs/>
          <w:szCs w:val="24"/>
        </w:rPr>
        <w:t>Цел 1</w:t>
      </w:r>
      <w:r w:rsidRPr="009F6D1E">
        <w:rPr>
          <w:rFonts w:cs="Times New Roman"/>
          <w:szCs w:val="24"/>
        </w:rPr>
        <w:t>: Намаляване на вредното въздействие на отпадъците чрез предотвратяване образуването им и насърчаване на повторното им използване</w:t>
      </w:r>
    </w:p>
    <w:p w14:paraId="09FE806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Национална програма за предотвратяване образуването на отпадъци с</w:t>
      </w:r>
    </w:p>
    <w:p w14:paraId="0391607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Подпрограма за предотвратяване на образуването на хранителни отпадъци.</w:t>
      </w:r>
    </w:p>
    <w:p w14:paraId="7B2E75AA" w14:textId="77777777" w:rsidR="001931F5" w:rsidRPr="009F6D1E" w:rsidRDefault="001931F5" w:rsidP="0084747F">
      <w:pPr>
        <w:spacing w:after="60" w:line="264" w:lineRule="auto"/>
        <w:ind w:right="57"/>
        <w:jc w:val="both"/>
        <w:rPr>
          <w:rFonts w:cs="Times New Roman"/>
          <w:szCs w:val="24"/>
        </w:rPr>
      </w:pPr>
      <w:r w:rsidRPr="009F6D1E">
        <w:rPr>
          <w:rFonts w:cs="Times New Roman"/>
          <w:b/>
          <w:bCs/>
          <w:szCs w:val="24"/>
        </w:rPr>
        <w:t>Цел 2</w:t>
      </w:r>
      <w:r w:rsidRPr="009F6D1E">
        <w:rPr>
          <w:rFonts w:cs="Times New Roman"/>
          <w:szCs w:val="24"/>
        </w:rPr>
        <w:t>: Увеличаване на количествата на рециклираните и оползотворени отпадъци</w:t>
      </w:r>
    </w:p>
    <w:p w14:paraId="4065030D"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Програма за достигане на целите за подготовка за повторна употреба и за рециклиране на битовите отпадъци</w:t>
      </w:r>
      <w:r w:rsidR="000024C7" w:rsidRPr="009F6D1E">
        <w:rPr>
          <w:rFonts w:eastAsia="Times New Roman" w:cs="Times New Roman"/>
          <w:szCs w:val="24"/>
          <w:lang w:eastAsia="bg-BG" w:bidi="bg-BG"/>
        </w:rPr>
        <w:t>;</w:t>
      </w:r>
    </w:p>
    <w:p w14:paraId="7E32F32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Програма за достигане на целите за рециклиране и оползотворяване на строителни отпадъци и отпадъци от разрушаване на сгради</w:t>
      </w:r>
      <w:r w:rsidR="000024C7" w:rsidRPr="009F6D1E">
        <w:rPr>
          <w:rFonts w:eastAsia="Times New Roman" w:cs="Times New Roman"/>
          <w:szCs w:val="24"/>
          <w:lang w:eastAsia="bg-BG" w:bidi="bg-BG"/>
        </w:rPr>
        <w:t>;</w:t>
      </w:r>
    </w:p>
    <w:p w14:paraId="03A6C21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Програма за достигане на целите за рециклиране и оползотворяване на МРО</w:t>
      </w:r>
      <w:r w:rsidR="000024C7" w:rsidRPr="009F6D1E">
        <w:rPr>
          <w:rFonts w:eastAsia="Times New Roman" w:cs="Times New Roman"/>
          <w:szCs w:val="24"/>
          <w:lang w:eastAsia="bg-BG" w:bidi="bg-BG"/>
        </w:rPr>
        <w:t>;</w:t>
      </w:r>
    </w:p>
    <w:p w14:paraId="2F709258"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Подпрограма за управление на опаковките и отпадъците от опаковки</w:t>
      </w:r>
      <w:r w:rsidR="000024C7" w:rsidRPr="009F6D1E">
        <w:rPr>
          <w:rFonts w:eastAsia="Times New Roman" w:cs="Times New Roman"/>
          <w:szCs w:val="24"/>
          <w:lang w:eastAsia="bg-BG" w:bidi="bg-BG"/>
        </w:rPr>
        <w:t>.</w:t>
      </w:r>
    </w:p>
    <w:p w14:paraId="0CAB1755" w14:textId="77777777" w:rsidR="001931F5" w:rsidRPr="009F6D1E" w:rsidRDefault="001931F5" w:rsidP="0084747F">
      <w:pPr>
        <w:spacing w:after="60" w:line="264" w:lineRule="auto"/>
        <w:ind w:right="57"/>
        <w:jc w:val="both"/>
        <w:rPr>
          <w:rFonts w:cs="Times New Roman"/>
          <w:szCs w:val="24"/>
        </w:rPr>
      </w:pPr>
      <w:r w:rsidRPr="009F6D1E">
        <w:rPr>
          <w:rFonts w:cs="Times New Roman"/>
          <w:b/>
          <w:bCs/>
          <w:szCs w:val="24"/>
        </w:rPr>
        <w:t>Цел 3</w:t>
      </w:r>
      <w:r w:rsidRPr="009F6D1E">
        <w:rPr>
          <w:rFonts w:cs="Times New Roman"/>
          <w:szCs w:val="24"/>
        </w:rPr>
        <w:t>: Намаляване на количествата и на риска от депонираните битови отпадъци</w:t>
      </w:r>
    </w:p>
    <w:p w14:paraId="1AAAD7C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Програма за намаляване на количествата и на риска от депонираните битови отпадъци</w:t>
      </w:r>
      <w:r w:rsidR="000024C7" w:rsidRPr="009F6D1E">
        <w:rPr>
          <w:rFonts w:eastAsia="Times New Roman" w:cs="Times New Roman"/>
          <w:szCs w:val="24"/>
          <w:lang w:eastAsia="bg-BG" w:bidi="bg-BG"/>
        </w:rPr>
        <w:t>.</w:t>
      </w:r>
    </w:p>
    <w:p w14:paraId="27255E44" w14:textId="77777777" w:rsidR="001931F5" w:rsidRPr="009F6D1E" w:rsidRDefault="001931F5" w:rsidP="0084747F">
      <w:pPr>
        <w:spacing w:after="60" w:line="264" w:lineRule="auto"/>
        <w:ind w:right="57" w:firstLine="720"/>
        <w:jc w:val="both"/>
        <w:rPr>
          <w:rFonts w:cs="Times New Roman"/>
          <w:szCs w:val="24"/>
        </w:rPr>
      </w:pPr>
      <w:r w:rsidRPr="009F6D1E">
        <w:rPr>
          <w:rFonts w:cs="Times New Roman"/>
          <w:szCs w:val="24"/>
        </w:rPr>
        <w:t xml:space="preserve">Основната цел на НПУО 2021-2028г. е да се постигне устойчиво управление на отпадъците, чрез което да се осигури добро качество на живот и намаляване до минимум на риска за околната среда и човешкото здраве. </w:t>
      </w:r>
    </w:p>
    <w:p w14:paraId="5F9E102C" w14:textId="77777777" w:rsidR="001931F5" w:rsidRPr="009F6D1E" w:rsidRDefault="00CD4045" w:rsidP="0084747F">
      <w:pPr>
        <w:spacing w:after="60" w:line="264" w:lineRule="auto"/>
        <w:ind w:right="57" w:firstLine="720"/>
        <w:jc w:val="both"/>
        <w:rPr>
          <w:rFonts w:cs="Times New Roman"/>
          <w:bCs/>
          <w:iCs/>
          <w:szCs w:val="24"/>
        </w:rPr>
      </w:pPr>
      <w:bookmarkStart w:id="124" w:name="_Hlk95227739"/>
      <w:r w:rsidRPr="009F6D1E">
        <w:rPr>
          <w:rFonts w:cs="Times New Roman"/>
          <w:bCs/>
          <w:iCs/>
          <w:szCs w:val="24"/>
        </w:rPr>
        <w:t>СПРЗСР</w:t>
      </w:r>
      <w:r w:rsidR="001931F5" w:rsidRPr="009F6D1E">
        <w:rPr>
          <w:rFonts w:cs="Times New Roman"/>
          <w:bCs/>
          <w:iCs/>
          <w:szCs w:val="24"/>
        </w:rPr>
        <w:t xml:space="preserve"> е съобразен с целите на </w:t>
      </w:r>
      <w:r w:rsidR="001931F5" w:rsidRPr="009F6D1E">
        <w:rPr>
          <w:rFonts w:cs="Times New Roman"/>
          <w:szCs w:val="24"/>
        </w:rPr>
        <w:t xml:space="preserve">НПУО 2021-2028г. </w:t>
      </w:r>
      <w:r w:rsidR="001931F5" w:rsidRPr="009F6D1E">
        <w:rPr>
          <w:rFonts w:cs="Times New Roman"/>
          <w:bCs/>
          <w:iCs/>
          <w:szCs w:val="24"/>
        </w:rPr>
        <w:t xml:space="preserve">и не влиза в противоречие с него,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bookmarkEnd w:id="124"/>
    <w:p w14:paraId="4DDF4E09"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0AC1983F"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Оперативна програма „Транспортна свързаност“ за периода 2021-2027 г.</w:t>
      </w:r>
    </w:p>
    <w:p w14:paraId="3FFA6EB8" w14:textId="77777777" w:rsidR="0094794D" w:rsidRPr="009F6D1E" w:rsidRDefault="0094794D" w:rsidP="0084747F">
      <w:pPr>
        <w:spacing w:after="60" w:line="264" w:lineRule="auto"/>
        <w:ind w:firstLine="709"/>
        <w:jc w:val="both"/>
        <w:rPr>
          <w:rFonts w:cs="Times New Roman"/>
          <w:bCs/>
          <w:iCs/>
          <w:szCs w:val="24"/>
        </w:rPr>
      </w:pPr>
    </w:p>
    <w:p w14:paraId="05766DC7" w14:textId="4BCE8F56"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 xml:space="preserve">В съответствие с целите и приоритетите на Интегрираната транспортна стратегия на РБ, Стратегията за устойчива и интелигентна мобилност на ЕС и препоръките на Европейския семестър, програмата предвижда проекти за постигането на устойчива и интелигентна мобилност, спомагайки за навременното завършване на Трансевропейската транспортна мрежа и интегрирането на националната транспортна мрежа в мрежата на ЕС, насърчаването на мултимодалността, повишаването на безопасността на транспорта, дигитализацията и значителното намаляване на вредните емисии, генерирани от транспортния сектор.    </w:t>
      </w:r>
    </w:p>
    <w:p w14:paraId="2B5E121B"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lastRenderedPageBreak/>
        <w:t>Идентифицирани са следните цели на политиката, за реализацията на които програмата ще допринесе:</w:t>
      </w:r>
    </w:p>
    <w:p w14:paraId="52E97318"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
          <w:iCs/>
          <w:szCs w:val="24"/>
        </w:rPr>
        <w:t>Цел на политиката (ЦП 3):</w:t>
      </w:r>
      <w:r w:rsidRPr="009F6D1E">
        <w:rPr>
          <w:rFonts w:cs="Times New Roman"/>
          <w:bCs/>
          <w:iCs/>
          <w:szCs w:val="24"/>
        </w:rPr>
        <w:t xml:space="preserve"> „</w:t>
      </w:r>
      <w:r w:rsidRPr="009F6D1E">
        <w:rPr>
          <w:rFonts w:cs="Times New Roman"/>
          <w:bCs/>
          <w:i/>
          <w:szCs w:val="24"/>
        </w:rPr>
        <w:t>По-добре свързана Европа чрез подобряване на мобилността“ със специфична цел: „Развитие на  устойчива на изменението на климата, интелигентна, сигурна, стабилна и интермодална TEN-T</w:t>
      </w:r>
      <w:r w:rsidRPr="009F6D1E">
        <w:rPr>
          <w:rFonts w:cs="Times New Roman"/>
          <w:bCs/>
          <w:iCs/>
          <w:szCs w:val="24"/>
        </w:rPr>
        <w:t>“.</w:t>
      </w:r>
    </w:p>
    <w:p w14:paraId="60F13F07" w14:textId="77777777" w:rsidR="001931F5" w:rsidRPr="009F6D1E" w:rsidRDefault="001931F5" w:rsidP="0084747F">
      <w:pPr>
        <w:spacing w:after="60" w:line="264" w:lineRule="auto"/>
        <w:ind w:firstLine="709"/>
        <w:jc w:val="both"/>
        <w:rPr>
          <w:rFonts w:cs="Times New Roman"/>
          <w:bCs/>
          <w:iCs/>
          <w:szCs w:val="24"/>
        </w:rPr>
      </w:pPr>
      <w:r w:rsidRPr="009F6D1E">
        <w:rPr>
          <w:rFonts w:cs="Times New Roman"/>
          <w:bCs/>
          <w:iCs/>
          <w:szCs w:val="24"/>
        </w:rPr>
        <w:t>Формулираните приоритети по ЦП 3 по програмата са:</w:t>
      </w:r>
    </w:p>
    <w:p w14:paraId="220BCB2F"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„Развитие на железопътната инфраструктура по „основната“ и „широкообхватната“ Трансевропейска транспортна мрежа“;</w:t>
      </w:r>
    </w:p>
    <w:p w14:paraId="397E832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„Развитие на пътната инфраструктура по „основната“ Трансевропейска транспортна мрежа“ и пътни връзки;</w:t>
      </w:r>
    </w:p>
    <w:p w14:paraId="457AF23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„Подобряване на интермодалността“</w:t>
      </w:r>
      <w:r w:rsidR="000024C7" w:rsidRPr="009F6D1E">
        <w:rPr>
          <w:rFonts w:eastAsia="Times New Roman" w:cs="Times New Roman"/>
          <w:szCs w:val="24"/>
          <w:lang w:eastAsia="bg-BG" w:bidi="bg-BG"/>
        </w:rPr>
        <w:t>.</w:t>
      </w:r>
    </w:p>
    <w:p w14:paraId="18AA3F62" w14:textId="77777777" w:rsidR="001931F5" w:rsidRPr="009F6D1E" w:rsidRDefault="001931F5" w:rsidP="0084747F">
      <w:pPr>
        <w:spacing w:after="60" w:line="264" w:lineRule="auto"/>
        <w:ind w:firstLine="720"/>
        <w:jc w:val="both"/>
        <w:rPr>
          <w:rFonts w:cs="Times New Roman"/>
          <w:bCs/>
          <w:iCs/>
          <w:szCs w:val="24"/>
        </w:rPr>
      </w:pPr>
      <w:r w:rsidRPr="009F6D1E">
        <w:rPr>
          <w:rFonts w:cs="Times New Roman"/>
          <w:b/>
          <w:iCs/>
          <w:szCs w:val="24"/>
        </w:rPr>
        <w:t>Цел на политиката (ЦП 2)</w:t>
      </w:r>
      <w:r w:rsidRPr="009F6D1E">
        <w:rPr>
          <w:rFonts w:cs="Times New Roman"/>
          <w:bCs/>
          <w:iCs/>
          <w:szCs w:val="24"/>
        </w:rPr>
        <w:t>: „</w:t>
      </w:r>
      <w:r w:rsidRPr="009F6D1E">
        <w:rPr>
          <w:rFonts w:cs="Times New Roman"/>
          <w:bCs/>
          <w:i/>
          <w:szCs w:val="24"/>
        </w:rPr>
        <w:t>По-зелена, нисковъглеродна и устойчива Европа с икономика в преход към нулеви нетни въглеродни емисии чрез насърчаване на чист и справедлив енергиен преход, зелени и сини инвестиции, кръгова икономика, смекчаване на последиците от изменението на климата и адаптиране към него, превенция и управление на риска и устойчива градска мобилност“ със специфична цел: „Насърчаване на енергийната ефективност и намаляване на емисиите на парникови газове</w:t>
      </w:r>
      <w:r w:rsidRPr="009F6D1E">
        <w:rPr>
          <w:rFonts w:cs="Times New Roman"/>
          <w:bCs/>
          <w:iCs/>
          <w:szCs w:val="24"/>
        </w:rPr>
        <w:t>“.</w:t>
      </w:r>
    </w:p>
    <w:p w14:paraId="564E568F" w14:textId="77777777" w:rsidR="001931F5" w:rsidRPr="009F6D1E" w:rsidRDefault="00CD4045" w:rsidP="0084747F">
      <w:pPr>
        <w:spacing w:after="60" w:line="264" w:lineRule="auto"/>
        <w:ind w:right="57" w:firstLine="720"/>
        <w:jc w:val="both"/>
        <w:rPr>
          <w:rFonts w:cs="Times New Roman"/>
          <w:szCs w:val="24"/>
        </w:rPr>
      </w:pPr>
      <w:bookmarkStart w:id="125" w:name="_Hlk95229797"/>
      <w:r w:rsidRPr="009F6D1E">
        <w:rPr>
          <w:rFonts w:cs="Times New Roman"/>
          <w:bCs/>
          <w:iCs/>
          <w:szCs w:val="24"/>
        </w:rPr>
        <w:t>СПРЗСР</w:t>
      </w:r>
      <w:r w:rsidR="001931F5" w:rsidRPr="009F6D1E">
        <w:rPr>
          <w:rFonts w:cs="Times New Roman"/>
          <w:bCs/>
          <w:iCs/>
          <w:szCs w:val="24"/>
        </w:rPr>
        <w:t xml:space="preserve"> е съобразен с ОПТС 2021-2027г.  и не влиза в противоречие с нея,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bookmarkEnd w:id="125"/>
    <w:p w14:paraId="165BA27D"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54755686"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стратегия за адаптация към изменението на климата и План за действие до 2030 г.</w:t>
      </w:r>
    </w:p>
    <w:p w14:paraId="3485269A" w14:textId="77777777" w:rsidR="0094794D" w:rsidRPr="009F6D1E" w:rsidRDefault="0094794D" w:rsidP="0084747F">
      <w:pPr>
        <w:widowControl w:val="0"/>
        <w:spacing w:after="60" w:line="264" w:lineRule="auto"/>
        <w:ind w:firstLine="720"/>
        <w:jc w:val="both"/>
        <w:rPr>
          <w:rFonts w:cs="Times New Roman"/>
          <w:szCs w:val="24"/>
        </w:rPr>
      </w:pPr>
    </w:p>
    <w:p w14:paraId="7326A634" w14:textId="77777777" w:rsidR="001931F5" w:rsidRPr="009F6D1E" w:rsidRDefault="001931F5" w:rsidP="0084747F">
      <w:pPr>
        <w:widowControl w:val="0"/>
        <w:spacing w:after="60" w:line="264" w:lineRule="auto"/>
        <w:ind w:firstLine="720"/>
        <w:jc w:val="both"/>
        <w:rPr>
          <w:rFonts w:cs="Times New Roman"/>
          <w:szCs w:val="24"/>
        </w:rPr>
      </w:pPr>
      <w:r w:rsidRPr="009F6D1E">
        <w:rPr>
          <w:rFonts w:cs="Times New Roman"/>
          <w:szCs w:val="24"/>
        </w:rPr>
        <w:t>Документът задава рамка за действия за адаптиране към изменението на климата (АИК) и приоритетни направления до 2030 г, като идентифицира и потвърждава необходимостта от действия за АИК както за цялата икономиката, така и на секторно ниво. Включените сектори са: „Селско стопанство“, „Биологично разнообразие и екосистеми“, „Енергетика“, „Гори“, „Човешко здраве“, „Транспорт“, „Туризъм“, „Градска среда“ и „Води“. Управлението на риска от бедствия се разглежда като междусекторна тема. Генералните стратегически цели са както следва:</w:t>
      </w:r>
    </w:p>
    <w:p w14:paraId="2CC304F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Приобщаване и интегриране на адаптирането към изменението на климата</w:t>
      </w:r>
      <w:r w:rsidR="000024C7" w:rsidRPr="009F6D1E">
        <w:rPr>
          <w:rFonts w:eastAsia="Times New Roman" w:cs="Times New Roman"/>
          <w:szCs w:val="24"/>
          <w:lang w:eastAsia="bg-BG" w:bidi="bg-BG"/>
        </w:rPr>
        <w:t>;</w:t>
      </w:r>
    </w:p>
    <w:p w14:paraId="50A1425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Изграждане на институционален капацитет за адаптиране към изменението на климата</w:t>
      </w:r>
      <w:r w:rsidR="000024C7" w:rsidRPr="009F6D1E">
        <w:rPr>
          <w:rFonts w:eastAsia="Times New Roman" w:cs="Times New Roman"/>
          <w:szCs w:val="24"/>
          <w:lang w:eastAsia="bg-BG" w:bidi="bg-BG"/>
        </w:rPr>
        <w:t>;</w:t>
      </w:r>
    </w:p>
    <w:p w14:paraId="557A73DF"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Повишаване на осведомеността относно адаптирането към изменението на климата</w:t>
      </w:r>
      <w:r w:rsidR="000024C7" w:rsidRPr="009F6D1E">
        <w:rPr>
          <w:rFonts w:eastAsia="Times New Roman" w:cs="Times New Roman"/>
          <w:szCs w:val="24"/>
          <w:lang w:eastAsia="bg-BG" w:bidi="bg-BG"/>
        </w:rPr>
        <w:t>;</w:t>
      </w:r>
    </w:p>
    <w:p w14:paraId="55BC064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Изграждане на устойчивост към изменението на климата</w:t>
      </w:r>
      <w:r w:rsidR="000024C7" w:rsidRPr="009F6D1E">
        <w:rPr>
          <w:rFonts w:eastAsia="Times New Roman" w:cs="Times New Roman"/>
          <w:szCs w:val="24"/>
          <w:lang w:eastAsia="bg-BG" w:bidi="bg-BG"/>
        </w:rPr>
        <w:t>;</w:t>
      </w:r>
    </w:p>
    <w:p w14:paraId="294AC570" w14:textId="77777777" w:rsidR="001931F5" w:rsidRPr="009F6D1E" w:rsidRDefault="00CD4045" w:rsidP="0084747F">
      <w:pPr>
        <w:spacing w:after="60" w:line="264" w:lineRule="auto"/>
        <w:ind w:right="57" w:firstLine="567"/>
        <w:jc w:val="both"/>
        <w:rPr>
          <w:rFonts w:cs="Times New Roman"/>
          <w:szCs w:val="24"/>
        </w:rPr>
      </w:pPr>
      <w:bookmarkStart w:id="126" w:name="_Hlk95229943"/>
      <w:r w:rsidRPr="009F6D1E">
        <w:rPr>
          <w:rFonts w:cs="Times New Roman"/>
          <w:bCs/>
          <w:iCs/>
          <w:szCs w:val="24"/>
        </w:rPr>
        <w:t>СПРЗСР</w:t>
      </w:r>
      <w:r w:rsidR="001931F5" w:rsidRPr="009F6D1E">
        <w:rPr>
          <w:rFonts w:cs="Times New Roman"/>
          <w:bCs/>
          <w:iCs/>
          <w:szCs w:val="24"/>
        </w:rPr>
        <w:t xml:space="preserve"> е съобразен с целите на Стратегията  и не влиза в противоречие с нея, като анализът е представен в точка </w:t>
      </w:r>
      <w:r w:rsidR="00D5130D" w:rsidRPr="009F6D1E">
        <w:rPr>
          <w:rFonts w:cs="Times New Roman"/>
          <w:bCs/>
          <w:iCs/>
          <w:szCs w:val="24"/>
        </w:rPr>
        <w:t>7</w:t>
      </w:r>
      <w:r w:rsidR="001931F5" w:rsidRPr="009F6D1E">
        <w:rPr>
          <w:rFonts w:cs="Times New Roman"/>
          <w:bCs/>
          <w:iCs/>
          <w:szCs w:val="24"/>
        </w:rPr>
        <w:t>.2. от ДЕО.</w:t>
      </w:r>
    </w:p>
    <w:bookmarkEnd w:id="126"/>
    <w:p w14:paraId="34853121"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74BA97DA"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Национална стратегия за управление и развитие на водния сектор</w:t>
      </w:r>
      <w:r w:rsidR="000A5E04" w:rsidRPr="009F6D1E">
        <w:rPr>
          <w:b/>
          <w:bCs/>
          <w:smallCaps w:val="0"/>
          <w:color w:val="262626" w:themeColor="text1" w:themeTint="D9"/>
          <w:lang w:eastAsia="en-US" w:bidi="ar-SA"/>
        </w:rPr>
        <w:t xml:space="preserve"> (обн. ДВ, бр. 96 от 06.12.2012г.)</w:t>
      </w:r>
    </w:p>
    <w:p w14:paraId="3560705F" w14:textId="77777777" w:rsidR="0094794D" w:rsidRPr="009F6D1E" w:rsidRDefault="0094794D" w:rsidP="0084747F">
      <w:pPr>
        <w:widowControl w:val="0"/>
        <w:spacing w:after="60" w:line="264" w:lineRule="auto"/>
        <w:ind w:firstLine="709"/>
        <w:jc w:val="both"/>
        <w:rPr>
          <w:rFonts w:cs="Times New Roman"/>
          <w:szCs w:val="24"/>
        </w:rPr>
      </w:pPr>
    </w:p>
    <w:p w14:paraId="4FC3AED3" w14:textId="77777777" w:rsidR="001931F5" w:rsidRPr="009F6D1E" w:rsidRDefault="001931F5" w:rsidP="0084747F">
      <w:pPr>
        <w:widowControl w:val="0"/>
        <w:spacing w:after="60" w:line="264" w:lineRule="auto"/>
        <w:ind w:firstLine="709"/>
        <w:jc w:val="both"/>
        <w:rPr>
          <w:rFonts w:cs="Times New Roman"/>
          <w:szCs w:val="24"/>
        </w:rPr>
      </w:pPr>
      <w:r w:rsidRPr="009F6D1E">
        <w:rPr>
          <w:rFonts w:cs="Times New Roman"/>
          <w:szCs w:val="24"/>
        </w:rPr>
        <w:t>Стратегията е приета на 21.</w:t>
      </w:r>
      <w:r w:rsidR="000A5E04" w:rsidRPr="009F6D1E">
        <w:rPr>
          <w:rFonts w:cs="Times New Roman"/>
          <w:szCs w:val="24"/>
        </w:rPr>
        <w:t>11.2012</w:t>
      </w:r>
      <w:r w:rsidRPr="009F6D1E">
        <w:rPr>
          <w:rFonts w:cs="Times New Roman"/>
          <w:szCs w:val="24"/>
        </w:rPr>
        <w:t>г</w:t>
      </w:r>
      <w:r w:rsidR="000A5E04" w:rsidRPr="009F6D1E">
        <w:rPr>
          <w:rFonts w:cs="Times New Roman"/>
          <w:szCs w:val="24"/>
        </w:rPr>
        <w:t>. с решение на Народното събрание на Р България</w:t>
      </w:r>
      <w:r w:rsidRPr="009F6D1E">
        <w:rPr>
          <w:rFonts w:cs="Times New Roman"/>
          <w:szCs w:val="24"/>
        </w:rPr>
        <w:t>, като формулираната в нея дългосрочна стратегическа цел на страната в областта на водния сектор е: „</w:t>
      </w:r>
      <w:r w:rsidRPr="009F6D1E">
        <w:rPr>
          <w:rFonts w:cs="Times New Roman"/>
          <w:i/>
          <w:iCs/>
          <w:szCs w:val="24"/>
        </w:rPr>
        <w:t>Устойчиво ползване на водните ресурси, осигуряващо в оптимална степен сегашните и бъдещите нужди на населението и икономиката на страната, както и на водните екосистеми</w:t>
      </w:r>
      <w:r w:rsidRPr="009F6D1E">
        <w:rPr>
          <w:rFonts w:cs="Times New Roman"/>
          <w:szCs w:val="24"/>
        </w:rPr>
        <w:t>“. Съответните цели и подцели са:</w:t>
      </w:r>
    </w:p>
    <w:p w14:paraId="2116A4FA"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Цел 1:</w:t>
      </w:r>
      <w:r w:rsidRPr="009F6D1E">
        <w:rPr>
          <w:rFonts w:eastAsia="Times New Roman" w:cs="Times New Roman"/>
          <w:szCs w:val="24"/>
        </w:rPr>
        <w:t xml:space="preserve"> Гарантирано осигуряване на вода за населението и бизнеса в условията на промени на климата, водещи до засушаване</w:t>
      </w:r>
    </w:p>
    <w:p w14:paraId="7CC3D9DE"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1.1. Осигуряване на непрекъснато водоподаване чрез рехабилитация на съществуващите и изграждане на нови язовири и резервоари, рехабилитация на водопроводната мрежа и водоизточниците.</w:t>
      </w:r>
    </w:p>
    <w:p w14:paraId="008A0BB2" w14:textId="4E5DB27A"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1.2. Намаляване на общите количества използвана вода чрез инвестиции във водно</w:t>
      </w:r>
      <w:r w:rsidR="0006621A">
        <w:rPr>
          <w:rFonts w:eastAsia="Times New Roman" w:cs="Times New Roman"/>
          <w:szCs w:val="24"/>
        </w:rPr>
        <w:t>-</w:t>
      </w:r>
      <w:r w:rsidRPr="009F6D1E">
        <w:rPr>
          <w:rFonts w:eastAsia="Times New Roman" w:cs="Times New Roman"/>
          <w:szCs w:val="24"/>
        </w:rPr>
        <w:t>стопанската инфраструктура и мерки за подобряване на ефективността при използването на водните ресурси.</w:t>
      </w:r>
    </w:p>
    <w:p w14:paraId="4AEF4A76"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Цел 2:</w:t>
      </w:r>
      <w:r w:rsidRPr="009F6D1E">
        <w:rPr>
          <w:rFonts w:eastAsia="Times New Roman" w:cs="Times New Roman"/>
          <w:szCs w:val="24"/>
        </w:rPr>
        <w:t xml:space="preserve"> Запазване и подобряване на състоянието на повърхностните и подземните води</w:t>
      </w:r>
    </w:p>
    <w:p w14:paraId="59085D72"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2.1. Премахване на заустването на необработени отпадъчни води в изкуствени и естествени водоприемници и в Черно море чрез изграждане, реконструкция и модернизация на системи за отвеждане и пречистване на отпадъчни води.</w:t>
      </w:r>
    </w:p>
    <w:p w14:paraId="30F5B5C8"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2.2. Укрепване на институционалната система за мониторинг и контрол, която да гарантира доброто състояние на повърхностните и подземните води.</w:t>
      </w:r>
    </w:p>
    <w:p w14:paraId="5D4B8B8D"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 xml:space="preserve">2.3. Превръщане на Плановете за управление на речните басейни в основен планов документ при интегрираното управление на водите. </w:t>
      </w:r>
    </w:p>
    <w:p w14:paraId="36358E85"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Цел 3:</w:t>
      </w:r>
      <w:r w:rsidRPr="009F6D1E">
        <w:rPr>
          <w:rFonts w:eastAsia="Times New Roman" w:cs="Times New Roman"/>
          <w:szCs w:val="24"/>
        </w:rPr>
        <w:t xml:space="preserve"> Подобряване на ефективността при интегрираното управление на водата като стопански ресурс</w:t>
      </w:r>
    </w:p>
    <w:p w14:paraId="3FA9462E"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 xml:space="preserve">3.1. Създаване на институционална рамка, която да гарантира прехвърляне на отговорността за вземането на решения във връзка с развитието на водния сектор на национално, регионално и местно равнище от стопанските субекти към публичните власти – държава, общини. </w:t>
      </w:r>
    </w:p>
    <w:p w14:paraId="5BF61F96"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3.2. Средствата от населението и бизнеса, средствата от ЕС и изискваното национално съфинансиране да осигуряват самофинансиране на водния сектор, при спазване на принципа „замърсителят и ползвателят плащат”.</w:t>
      </w:r>
    </w:p>
    <w:p w14:paraId="0C26A545"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 xml:space="preserve">3.3. Повишаване на капацитета на всички участници в управлението на водния сектор. </w:t>
      </w:r>
    </w:p>
    <w:p w14:paraId="419F117F"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Цел 4.</w:t>
      </w:r>
      <w:r w:rsidRPr="009F6D1E">
        <w:rPr>
          <w:rFonts w:eastAsia="Times New Roman" w:cs="Times New Roman"/>
          <w:szCs w:val="24"/>
        </w:rPr>
        <w:t xml:space="preserve"> Намаляване на риска от щети при наводнения</w:t>
      </w:r>
    </w:p>
    <w:p w14:paraId="0E6F0F47"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4.1. Идентифициране на рисковите зони.</w:t>
      </w:r>
    </w:p>
    <w:p w14:paraId="55A9DDF9" w14:textId="77777777" w:rsidR="001931F5" w:rsidRPr="009F6D1E" w:rsidRDefault="001931F5" w:rsidP="0084747F">
      <w:pPr>
        <w:widowControl w:val="0"/>
        <w:spacing w:after="60" w:line="264" w:lineRule="auto"/>
        <w:ind w:left="720"/>
        <w:jc w:val="both"/>
        <w:rPr>
          <w:rFonts w:eastAsia="Times New Roman" w:cs="Times New Roman"/>
          <w:szCs w:val="24"/>
        </w:rPr>
      </w:pPr>
      <w:r w:rsidRPr="009F6D1E">
        <w:rPr>
          <w:rFonts w:eastAsia="Times New Roman" w:cs="Times New Roman"/>
          <w:szCs w:val="24"/>
        </w:rPr>
        <w:t>4.2. Осъществяване на мерките от плановете за защита от наводнения.</w:t>
      </w:r>
    </w:p>
    <w:p w14:paraId="70B588B9" w14:textId="77777777" w:rsidR="001931F5" w:rsidRPr="009F6D1E" w:rsidRDefault="00CD4045" w:rsidP="0084747F">
      <w:pPr>
        <w:spacing w:after="60" w:line="264" w:lineRule="auto"/>
        <w:ind w:right="57" w:firstLine="720"/>
        <w:jc w:val="both"/>
        <w:rPr>
          <w:rFonts w:cs="Times New Roman"/>
          <w:szCs w:val="24"/>
        </w:rPr>
      </w:pPr>
      <w:bookmarkStart w:id="127" w:name="_Hlk95230045"/>
      <w:r w:rsidRPr="009F6D1E">
        <w:rPr>
          <w:rFonts w:cs="Times New Roman"/>
          <w:bCs/>
          <w:iCs/>
          <w:szCs w:val="24"/>
        </w:rPr>
        <w:lastRenderedPageBreak/>
        <w:t>СПРЗСР</w:t>
      </w:r>
      <w:r w:rsidR="001931F5" w:rsidRPr="009F6D1E">
        <w:rPr>
          <w:rFonts w:cs="Times New Roman"/>
          <w:bCs/>
          <w:iCs/>
          <w:szCs w:val="24"/>
        </w:rPr>
        <w:t xml:space="preserve"> е съобразен с целите на Стратегията  и не влиза в противоречие с нея, като анализът е представен в точка </w:t>
      </w:r>
      <w:r w:rsidR="000A5E04" w:rsidRPr="009F6D1E">
        <w:rPr>
          <w:rFonts w:cs="Times New Roman"/>
          <w:bCs/>
          <w:iCs/>
          <w:szCs w:val="24"/>
        </w:rPr>
        <w:t>7</w:t>
      </w:r>
      <w:r w:rsidR="001931F5" w:rsidRPr="009F6D1E">
        <w:rPr>
          <w:rFonts w:cs="Times New Roman"/>
          <w:bCs/>
          <w:iCs/>
          <w:szCs w:val="24"/>
        </w:rPr>
        <w:t xml:space="preserve"> от ДЕО.</w:t>
      </w:r>
    </w:p>
    <w:bookmarkEnd w:id="127"/>
    <w:p w14:paraId="7F4B174A"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7EC97C46"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за опазване, устойчиво ползване и възстановяване функциите на почвите (2020-2030 г.)</w:t>
      </w:r>
    </w:p>
    <w:p w14:paraId="12B17627" w14:textId="77777777" w:rsidR="0094794D" w:rsidRPr="009F6D1E" w:rsidRDefault="0094794D" w:rsidP="0084747F">
      <w:pPr>
        <w:widowControl w:val="0"/>
        <w:spacing w:after="60" w:line="264" w:lineRule="auto"/>
        <w:ind w:firstLine="720"/>
        <w:jc w:val="both"/>
        <w:rPr>
          <w:rFonts w:cs="Times New Roman"/>
          <w:bCs/>
          <w:iCs/>
          <w:szCs w:val="24"/>
        </w:rPr>
      </w:pPr>
    </w:p>
    <w:p w14:paraId="3D0E7F39"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Генерална стратегическа цел на страната, свързана с опазването, устойчивото ползване и възстановяване на функциите на почвите е:</w:t>
      </w:r>
    </w:p>
    <w:p w14:paraId="70338B5D"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Устойчиво ползване на почвите, осигуряващо съхраняване функциите на почвата, висока продуктивност, поддържане на екосистемната цялост, а където е необходимо, предотвратяване на вредното въздействие върху почвите.</w:t>
      </w:r>
    </w:p>
    <w:p w14:paraId="047670F1"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Основните приоритети, които са поставени за да се постигне генералната стратегическа цел са:</w:t>
      </w:r>
    </w:p>
    <w:p w14:paraId="4ED76E4B"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Приоритет 1: Подобряване на административния капацитет, правните инструменти по прилагане на екологичното законодателство и информационната обезпеченост с цел устойчиво управление на почвите</w:t>
      </w:r>
      <w:r w:rsidR="000024C7" w:rsidRPr="009F6D1E">
        <w:rPr>
          <w:rFonts w:eastAsia="Times New Roman" w:cs="Times New Roman"/>
          <w:szCs w:val="24"/>
          <w:lang w:eastAsia="bg-BG" w:bidi="bg-BG"/>
        </w:rPr>
        <w:t>;</w:t>
      </w:r>
    </w:p>
    <w:p w14:paraId="39AF1B8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Приоритет 2: </w:t>
      </w:r>
      <w:bookmarkStart w:id="128" w:name="_Hlk86917341"/>
      <w:r w:rsidRPr="009F6D1E">
        <w:rPr>
          <w:rFonts w:eastAsia="Times New Roman" w:cs="Times New Roman"/>
          <w:szCs w:val="24"/>
          <w:lang w:eastAsia="bg-BG" w:bidi="bg-BG"/>
        </w:rPr>
        <w:t xml:space="preserve">Предотвратяване възникване на </w:t>
      </w:r>
      <w:proofErr w:type="spellStart"/>
      <w:r w:rsidRPr="009F6D1E">
        <w:rPr>
          <w:rFonts w:eastAsia="Times New Roman" w:cs="Times New Roman"/>
          <w:szCs w:val="24"/>
          <w:lang w:eastAsia="bg-BG" w:bidi="bg-BG"/>
        </w:rPr>
        <w:t>деградационни</w:t>
      </w:r>
      <w:proofErr w:type="spellEnd"/>
      <w:r w:rsidRPr="009F6D1E">
        <w:rPr>
          <w:rFonts w:eastAsia="Times New Roman" w:cs="Times New Roman"/>
          <w:szCs w:val="24"/>
          <w:lang w:eastAsia="bg-BG" w:bidi="bg-BG"/>
        </w:rPr>
        <w:t xml:space="preserve"> процеси, възстановяване и съхраняване функциите на почвите</w:t>
      </w:r>
      <w:bookmarkEnd w:id="128"/>
      <w:r w:rsidR="000024C7" w:rsidRPr="009F6D1E">
        <w:rPr>
          <w:rFonts w:eastAsia="Times New Roman" w:cs="Times New Roman"/>
          <w:szCs w:val="24"/>
          <w:lang w:eastAsia="bg-BG" w:bidi="bg-BG"/>
        </w:rPr>
        <w:t>;</w:t>
      </w:r>
    </w:p>
    <w:p w14:paraId="0DC09DB5"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Приоритет 3: Устойчиво управление на почвите като природен ресурс и екологосъобразно </w:t>
      </w:r>
      <w:proofErr w:type="spellStart"/>
      <w:r w:rsidRPr="009F6D1E">
        <w:rPr>
          <w:rFonts w:eastAsia="Times New Roman" w:cs="Times New Roman"/>
          <w:szCs w:val="24"/>
          <w:lang w:eastAsia="bg-BG" w:bidi="bg-BG"/>
        </w:rPr>
        <w:t>земеползване</w:t>
      </w:r>
      <w:proofErr w:type="spellEnd"/>
      <w:r w:rsidR="000024C7" w:rsidRPr="009F6D1E">
        <w:rPr>
          <w:rFonts w:eastAsia="Times New Roman" w:cs="Times New Roman"/>
          <w:szCs w:val="24"/>
          <w:lang w:eastAsia="bg-BG" w:bidi="bg-BG"/>
        </w:rPr>
        <w:t>;</w:t>
      </w:r>
    </w:p>
    <w:p w14:paraId="316EE60C"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Приоритет 4: Ангажиране на обществеността в процесите по управление, устойчиво ползване и опазване на почвите.</w:t>
      </w:r>
    </w:p>
    <w:p w14:paraId="067C242B" w14:textId="77777777" w:rsidR="001931F5" w:rsidRPr="009F6D1E" w:rsidRDefault="00CD4045" w:rsidP="0084747F">
      <w:pPr>
        <w:spacing w:after="60" w:line="264" w:lineRule="auto"/>
        <w:ind w:right="57" w:firstLine="720"/>
        <w:jc w:val="both"/>
        <w:rPr>
          <w:rFonts w:cs="Times New Roman"/>
          <w:szCs w:val="24"/>
        </w:rPr>
      </w:pPr>
      <w:bookmarkStart w:id="129" w:name="_Hlk95230158"/>
      <w:r w:rsidRPr="009F6D1E">
        <w:rPr>
          <w:rFonts w:cs="Times New Roman"/>
          <w:bCs/>
          <w:iCs/>
          <w:szCs w:val="24"/>
        </w:rPr>
        <w:t>СПРЗСР</w:t>
      </w:r>
      <w:r w:rsidR="001931F5" w:rsidRPr="009F6D1E">
        <w:rPr>
          <w:rFonts w:cs="Times New Roman"/>
          <w:bCs/>
          <w:iCs/>
          <w:szCs w:val="24"/>
        </w:rPr>
        <w:t xml:space="preserve"> е съобразен с приоритетите на програмата  и не влиза в противоречие с нея, като анализът е представен в точка </w:t>
      </w:r>
      <w:r w:rsidR="000A5E04" w:rsidRPr="009F6D1E">
        <w:rPr>
          <w:rFonts w:cs="Times New Roman"/>
          <w:bCs/>
          <w:iCs/>
          <w:szCs w:val="24"/>
        </w:rPr>
        <w:t>7</w:t>
      </w:r>
      <w:r w:rsidR="001931F5" w:rsidRPr="009F6D1E">
        <w:rPr>
          <w:rFonts w:cs="Times New Roman"/>
          <w:bCs/>
          <w:iCs/>
          <w:szCs w:val="24"/>
        </w:rPr>
        <w:t>.2. от ДЕО.</w:t>
      </w:r>
    </w:p>
    <w:bookmarkEnd w:id="129"/>
    <w:p w14:paraId="638435E0" w14:textId="77777777" w:rsidR="001931F5" w:rsidRPr="009F6D1E" w:rsidRDefault="001931F5" w:rsidP="0084747F">
      <w:pPr>
        <w:spacing w:after="60" w:line="264" w:lineRule="auto"/>
        <w:ind w:left="1080"/>
        <w:contextualSpacing/>
        <w:jc w:val="both"/>
        <w:rPr>
          <w:rFonts w:eastAsia="Times New Roman" w:cs="Times New Roman"/>
          <w:b/>
          <w:iCs/>
          <w:szCs w:val="24"/>
          <w:highlight w:val="yellow"/>
        </w:rPr>
      </w:pPr>
    </w:p>
    <w:p w14:paraId="6213AB50" w14:textId="77777777" w:rsidR="001931F5" w:rsidRPr="009F6D1E" w:rsidRDefault="000024C7">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w:t>
      </w:r>
      <w:r w:rsidR="001931F5" w:rsidRPr="009F6D1E">
        <w:rPr>
          <w:b/>
          <w:bCs/>
          <w:smallCaps w:val="0"/>
          <w:color w:val="262626" w:themeColor="text1" w:themeTint="D9"/>
          <w:lang w:eastAsia="en-US" w:bidi="ar-SA"/>
        </w:rPr>
        <w:t>Национален план за опазване на най-значимите влажни зони в България</w:t>
      </w:r>
      <w:r w:rsidR="000A5E04" w:rsidRPr="009F6D1E">
        <w:t xml:space="preserve"> </w:t>
      </w:r>
      <w:r w:rsidR="000A5E04" w:rsidRPr="009F6D1E">
        <w:rPr>
          <w:b/>
          <w:bCs/>
          <w:smallCaps w:val="0"/>
          <w:color w:val="262626" w:themeColor="text1" w:themeTint="D9"/>
          <w:lang w:eastAsia="en-US" w:bidi="ar-SA"/>
        </w:rPr>
        <w:t>за периода 2013 – 2022 г</w:t>
      </w:r>
    </w:p>
    <w:p w14:paraId="27A00D35" w14:textId="77777777" w:rsidR="0094794D" w:rsidRPr="009F6D1E" w:rsidRDefault="0094794D" w:rsidP="0084747F">
      <w:pPr>
        <w:spacing w:after="60" w:line="264" w:lineRule="auto"/>
        <w:ind w:firstLine="709"/>
        <w:jc w:val="both"/>
        <w:rPr>
          <w:rFonts w:eastAsia="Calibri" w:cs="Times New Roman"/>
          <w:szCs w:val="24"/>
        </w:rPr>
      </w:pPr>
    </w:p>
    <w:p w14:paraId="4227685F" w14:textId="77777777" w:rsidR="001931F5" w:rsidRPr="009F6D1E" w:rsidRDefault="001931F5" w:rsidP="0084747F">
      <w:pPr>
        <w:spacing w:after="60" w:line="264" w:lineRule="auto"/>
        <w:ind w:firstLine="709"/>
        <w:jc w:val="both"/>
        <w:rPr>
          <w:rFonts w:eastAsia="Calibri" w:cs="Times New Roman"/>
          <w:szCs w:val="24"/>
        </w:rPr>
      </w:pPr>
      <w:r w:rsidRPr="009F6D1E">
        <w:rPr>
          <w:rFonts w:eastAsia="Calibri" w:cs="Times New Roman"/>
          <w:szCs w:val="24"/>
        </w:rPr>
        <w:t xml:space="preserve">Националният план включва приоритетно 11-те влажни зони, включени в списъка по </w:t>
      </w:r>
      <w:proofErr w:type="spellStart"/>
      <w:r w:rsidRPr="009F6D1E">
        <w:rPr>
          <w:rFonts w:eastAsia="Calibri" w:cs="Times New Roman"/>
          <w:szCs w:val="24"/>
        </w:rPr>
        <w:t>Рамсарската</w:t>
      </w:r>
      <w:proofErr w:type="spellEnd"/>
      <w:r w:rsidRPr="009F6D1E">
        <w:rPr>
          <w:rFonts w:eastAsia="Calibri" w:cs="Times New Roman"/>
          <w:szCs w:val="24"/>
        </w:rPr>
        <w:t xml:space="preserve"> конвенция. Разглеждат се още 28 влажни зони, които не са включени в </w:t>
      </w:r>
      <w:proofErr w:type="spellStart"/>
      <w:r w:rsidRPr="009F6D1E">
        <w:rPr>
          <w:rFonts w:eastAsia="Calibri" w:cs="Times New Roman"/>
          <w:szCs w:val="24"/>
        </w:rPr>
        <w:t>Рамсарския</w:t>
      </w:r>
      <w:proofErr w:type="spellEnd"/>
      <w:r w:rsidRPr="009F6D1E">
        <w:rPr>
          <w:rFonts w:eastAsia="Calibri" w:cs="Times New Roman"/>
          <w:szCs w:val="24"/>
        </w:rPr>
        <w:t xml:space="preserve"> списък, но за които има информация, че покриват един или повече от критериите за обявяване или имат голям потенциал за опазване и възстановяване. На база на направения анализ са определени хоризонтални и специфични мерки, които да бъдат изпълнени в 10 годишния период на прилагане на плана. </w:t>
      </w:r>
    </w:p>
    <w:p w14:paraId="7CDBCE3D" w14:textId="77777777" w:rsidR="001931F5" w:rsidRPr="009F6D1E" w:rsidRDefault="001931F5" w:rsidP="0084747F">
      <w:pPr>
        <w:spacing w:after="60" w:line="264" w:lineRule="auto"/>
        <w:ind w:firstLine="709"/>
        <w:jc w:val="both"/>
        <w:rPr>
          <w:rFonts w:eastAsia="Calibri" w:cs="Times New Roman"/>
          <w:szCs w:val="24"/>
        </w:rPr>
      </w:pPr>
      <w:r w:rsidRPr="009F6D1E">
        <w:rPr>
          <w:rFonts w:eastAsia="Calibri" w:cs="Times New Roman"/>
          <w:szCs w:val="24"/>
        </w:rPr>
        <w:t xml:space="preserve">В териториалния обхват на </w:t>
      </w:r>
      <w:r w:rsidR="00CD4045" w:rsidRPr="009F6D1E">
        <w:rPr>
          <w:rFonts w:eastAsia="Calibri" w:cs="Times New Roman"/>
          <w:szCs w:val="24"/>
        </w:rPr>
        <w:t>СПРЗСР</w:t>
      </w:r>
      <w:r w:rsidRPr="009F6D1E">
        <w:rPr>
          <w:rFonts w:eastAsia="Calibri" w:cs="Times New Roman"/>
          <w:szCs w:val="24"/>
        </w:rPr>
        <w:t xml:space="preserve"> попадат следните </w:t>
      </w:r>
      <w:r w:rsidRPr="009F6D1E">
        <w:rPr>
          <w:rFonts w:eastAsia="Calibri" w:cs="Times New Roman"/>
          <w:i/>
          <w:iCs/>
          <w:szCs w:val="24"/>
        </w:rPr>
        <w:t xml:space="preserve">влажни зони, включени в списъка на </w:t>
      </w:r>
      <w:proofErr w:type="spellStart"/>
      <w:r w:rsidRPr="009F6D1E">
        <w:rPr>
          <w:rFonts w:eastAsia="Calibri" w:cs="Times New Roman"/>
          <w:i/>
          <w:iCs/>
          <w:szCs w:val="24"/>
        </w:rPr>
        <w:t>Рамсарската</w:t>
      </w:r>
      <w:proofErr w:type="spellEnd"/>
      <w:r w:rsidRPr="009F6D1E">
        <w:rPr>
          <w:rFonts w:eastAsia="Calibri" w:cs="Times New Roman"/>
          <w:i/>
          <w:iCs/>
          <w:szCs w:val="24"/>
        </w:rPr>
        <w:t xml:space="preserve"> конвенция като влажни зони с международно значение – </w:t>
      </w:r>
      <w:proofErr w:type="spellStart"/>
      <w:r w:rsidRPr="009F6D1E">
        <w:rPr>
          <w:rFonts w:eastAsia="Calibri" w:cs="Times New Roman"/>
          <w:i/>
          <w:iCs/>
          <w:szCs w:val="24"/>
        </w:rPr>
        <w:t>Рамсарски</w:t>
      </w:r>
      <w:proofErr w:type="spellEnd"/>
      <w:r w:rsidRPr="009F6D1E">
        <w:rPr>
          <w:rFonts w:eastAsia="Calibri" w:cs="Times New Roman"/>
          <w:i/>
          <w:iCs/>
          <w:szCs w:val="24"/>
        </w:rPr>
        <w:t xml:space="preserve"> места</w:t>
      </w:r>
      <w:r w:rsidRPr="009F6D1E">
        <w:rPr>
          <w:rFonts w:eastAsia="Calibri" w:cs="Times New Roman"/>
          <w:szCs w:val="24"/>
        </w:rPr>
        <w:t xml:space="preserve">: Комплекс Ропотамо, </w:t>
      </w:r>
      <w:proofErr w:type="spellStart"/>
      <w:r w:rsidRPr="009F6D1E">
        <w:rPr>
          <w:rFonts w:eastAsia="Calibri" w:cs="Times New Roman"/>
          <w:szCs w:val="24"/>
        </w:rPr>
        <w:t>Атанасовско</w:t>
      </w:r>
      <w:proofErr w:type="spellEnd"/>
      <w:r w:rsidRPr="009F6D1E">
        <w:rPr>
          <w:rFonts w:eastAsia="Calibri" w:cs="Times New Roman"/>
          <w:szCs w:val="24"/>
        </w:rPr>
        <w:t xml:space="preserve"> езеро, Пода, Поморие, Езеро Вая (Бургаско езеро), както и следните </w:t>
      </w:r>
      <w:r w:rsidRPr="009F6D1E">
        <w:rPr>
          <w:rFonts w:eastAsia="Calibri" w:cs="Times New Roman"/>
          <w:i/>
          <w:iCs/>
          <w:szCs w:val="24"/>
        </w:rPr>
        <w:t xml:space="preserve">потенциални </w:t>
      </w:r>
      <w:proofErr w:type="spellStart"/>
      <w:r w:rsidRPr="009F6D1E">
        <w:rPr>
          <w:rFonts w:eastAsia="Calibri" w:cs="Times New Roman"/>
          <w:i/>
          <w:iCs/>
          <w:szCs w:val="24"/>
        </w:rPr>
        <w:t>Рамсарски</w:t>
      </w:r>
      <w:proofErr w:type="spellEnd"/>
      <w:r w:rsidRPr="009F6D1E">
        <w:rPr>
          <w:rFonts w:eastAsia="Calibri" w:cs="Times New Roman"/>
          <w:i/>
          <w:iCs/>
          <w:szCs w:val="24"/>
        </w:rPr>
        <w:t xml:space="preserve"> места и други влажни зони с национално значение</w:t>
      </w:r>
      <w:r w:rsidRPr="009F6D1E">
        <w:rPr>
          <w:rFonts w:eastAsia="Calibri" w:cs="Times New Roman"/>
          <w:szCs w:val="24"/>
        </w:rPr>
        <w:t xml:space="preserve">: Язовир </w:t>
      </w:r>
      <w:r w:rsidRPr="009F6D1E">
        <w:rPr>
          <w:rFonts w:eastAsia="Calibri" w:cs="Times New Roman"/>
          <w:szCs w:val="24"/>
        </w:rPr>
        <w:lastRenderedPageBreak/>
        <w:t>Мандра/</w:t>
      </w:r>
      <w:proofErr w:type="spellStart"/>
      <w:r w:rsidRPr="009F6D1E">
        <w:rPr>
          <w:rFonts w:eastAsia="Calibri" w:cs="Times New Roman"/>
          <w:szCs w:val="24"/>
        </w:rPr>
        <w:t>Мандренско</w:t>
      </w:r>
      <w:proofErr w:type="spellEnd"/>
      <w:r w:rsidRPr="009F6D1E">
        <w:rPr>
          <w:rFonts w:eastAsia="Calibri" w:cs="Times New Roman"/>
          <w:szCs w:val="24"/>
        </w:rPr>
        <w:t xml:space="preserve"> езеро, Марица – Злато поле, </w:t>
      </w:r>
      <w:proofErr w:type="spellStart"/>
      <w:r w:rsidRPr="009F6D1E">
        <w:rPr>
          <w:rFonts w:eastAsia="Calibri" w:cs="Times New Roman"/>
          <w:szCs w:val="24"/>
        </w:rPr>
        <w:t>Ченгене</w:t>
      </w:r>
      <w:proofErr w:type="spellEnd"/>
      <w:r w:rsidRPr="009F6D1E">
        <w:rPr>
          <w:rFonts w:eastAsia="Calibri" w:cs="Times New Roman"/>
          <w:szCs w:val="24"/>
        </w:rPr>
        <w:t xml:space="preserve"> скеле, Язовир Малко Шарково, Стралджанско блато, Велека-Силистар.</w:t>
      </w:r>
    </w:p>
    <w:p w14:paraId="1783F02D" w14:textId="77777777" w:rsidR="001931F5" w:rsidRPr="009F6D1E" w:rsidRDefault="00CD4045" w:rsidP="0084747F">
      <w:pPr>
        <w:spacing w:after="60" w:line="264" w:lineRule="auto"/>
        <w:ind w:right="57" w:firstLine="709"/>
        <w:jc w:val="both"/>
        <w:rPr>
          <w:rFonts w:cs="Times New Roman"/>
          <w:bCs/>
          <w:iCs/>
          <w:szCs w:val="24"/>
        </w:rPr>
      </w:pPr>
      <w:r w:rsidRPr="009F6D1E">
        <w:rPr>
          <w:rFonts w:cs="Times New Roman"/>
          <w:bCs/>
          <w:iCs/>
          <w:szCs w:val="24"/>
        </w:rPr>
        <w:t>СПРЗСР</w:t>
      </w:r>
      <w:r w:rsidR="001931F5" w:rsidRPr="009F6D1E">
        <w:rPr>
          <w:rFonts w:cs="Times New Roman"/>
          <w:bCs/>
          <w:iCs/>
          <w:szCs w:val="24"/>
        </w:rPr>
        <w:t xml:space="preserve"> е съобразен с приоритетите на плана  и не влиза в противоречие с него, като анализът е представен в точка </w:t>
      </w:r>
      <w:r w:rsidR="000A5E04" w:rsidRPr="009F6D1E">
        <w:rPr>
          <w:rFonts w:cs="Times New Roman"/>
          <w:bCs/>
          <w:iCs/>
          <w:szCs w:val="24"/>
        </w:rPr>
        <w:t>7</w:t>
      </w:r>
      <w:r w:rsidR="001931F5" w:rsidRPr="009F6D1E">
        <w:rPr>
          <w:rFonts w:cs="Times New Roman"/>
          <w:bCs/>
          <w:iCs/>
          <w:szCs w:val="24"/>
        </w:rPr>
        <w:t>.2. от ДЕО.</w:t>
      </w:r>
    </w:p>
    <w:p w14:paraId="3BA1A51F" w14:textId="77777777" w:rsidR="001931F5" w:rsidRPr="009F6D1E" w:rsidRDefault="001931F5" w:rsidP="0084747F">
      <w:pPr>
        <w:spacing w:after="60" w:line="264" w:lineRule="auto"/>
        <w:ind w:right="57" w:firstLine="709"/>
        <w:jc w:val="both"/>
        <w:rPr>
          <w:rFonts w:cs="Times New Roman"/>
          <w:szCs w:val="24"/>
        </w:rPr>
      </w:pPr>
    </w:p>
    <w:p w14:paraId="434867A2"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Стратегия за биологичното разнообразие на Република България и Национален план за опазване и устойчиво ползване на биологичното разнообразие и генетичните ресурси 2021-2025 г. (в процес на разработване) </w:t>
      </w:r>
      <w:r w:rsidR="005468B4" w:rsidRPr="009F6D1E">
        <w:rPr>
          <w:b/>
          <w:bCs/>
          <w:smallCaps w:val="0"/>
          <w:color w:val="262626" w:themeColor="text1" w:themeTint="D9"/>
          <w:lang w:eastAsia="en-US" w:bidi="ar-SA"/>
        </w:rPr>
        <w:t>–</w:t>
      </w:r>
      <w:r w:rsidRPr="009F6D1E">
        <w:rPr>
          <w:b/>
          <w:bCs/>
          <w:smallCaps w:val="0"/>
          <w:color w:val="262626" w:themeColor="text1" w:themeTint="D9"/>
          <w:lang w:eastAsia="en-US" w:bidi="ar-SA"/>
        </w:rPr>
        <w:t xml:space="preserve"> </w:t>
      </w:r>
    </w:p>
    <w:p w14:paraId="4BBC95BB" w14:textId="77777777" w:rsidR="0094794D" w:rsidRPr="009F6D1E" w:rsidRDefault="0094794D" w:rsidP="005468B4">
      <w:pPr>
        <w:spacing w:after="60" w:line="264" w:lineRule="auto"/>
        <w:ind w:right="57" w:firstLine="709"/>
        <w:jc w:val="both"/>
        <w:rPr>
          <w:rFonts w:cs="Times New Roman"/>
          <w:bCs/>
          <w:iCs/>
          <w:szCs w:val="24"/>
        </w:rPr>
      </w:pPr>
    </w:p>
    <w:p w14:paraId="1CC905A5" w14:textId="12BCA697" w:rsidR="005468B4" w:rsidRPr="009F6D1E" w:rsidRDefault="005468B4" w:rsidP="005468B4">
      <w:pPr>
        <w:spacing w:after="60" w:line="264" w:lineRule="auto"/>
        <w:ind w:right="57" w:firstLine="709"/>
        <w:jc w:val="both"/>
        <w:rPr>
          <w:rFonts w:cs="Times New Roman"/>
          <w:bCs/>
          <w:iCs/>
          <w:szCs w:val="24"/>
        </w:rPr>
      </w:pPr>
      <w:r w:rsidRPr="009F6D1E">
        <w:rPr>
          <w:rFonts w:cs="Times New Roman"/>
          <w:bCs/>
          <w:iCs/>
          <w:szCs w:val="24"/>
        </w:rPr>
        <w:t>Документите са в процес на разработване. В случай, че в хода на разработването на доклада за ЕО тези документи станат налични.</w:t>
      </w:r>
    </w:p>
    <w:p w14:paraId="66EA5531" w14:textId="77777777" w:rsidR="005468B4" w:rsidRPr="009F6D1E" w:rsidRDefault="005468B4" w:rsidP="005468B4">
      <w:pPr>
        <w:rPr>
          <w:highlight w:val="yellow"/>
        </w:rPr>
      </w:pPr>
    </w:p>
    <w:p w14:paraId="46D3393A"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Планове за управление на речните басейни (ПУРБ) за четирите района за басейново управление</w:t>
      </w:r>
    </w:p>
    <w:p w14:paraId="30474CA6" w14:textId="77777777" w:rsidR="0094794D" w:rsidRPr="009F6D1E" w:rsidRDefault="0094794D" w:rsidP="0084747F">
      <w:pPr>
        <w:widowControl w:val="0"/>
        <w:spacing w:after="60" w:line="264" w:lineRule="auto"/>
        <w:ind w:firstLine="708"/>
        <w:jc w:val="both"/>
        <w:rPr>
          <w:rFonts w:cs="Times New Roman"/>
          <w:bCs/>
          <w:iCs/>
          <w:szCs w:val="24"/>
        </w:rPr>
      </w:pPr>
    </w:p>
    <w:p w14:paraId="3A544955" w14:textId="77777777" w:rsidR="001931F5" w:rsidRPr="009F6D1E" w:rsidRDefault="001931F5" w:rsidP="0084747F">
      <w:pPr>
        <w:widowControl w:val="0"/>
        <w:spacing w:after="60" w:line="264" w:lineRule="auto"/>
        <w:ind w:firstLine="708"/>
        <w:jc w:val="both"/>
        <w:rPr>
          <w:rFonts w:cs="Times New Roman"/>
          <w:bCs/>
          <w:iCs/>
          <w:szCs w:val="24"/>
        </w:rPr>
      </w:pPr>
      <w:r w:rsidRPr="009F6D1E">
        <w:rPr>
          <w:rFonts w:cs="Times New Roman"/>
          <w:bCs/>
          <w:iCs/>
          <w:szCs w:val="24"/>
        </w:rPr>
        <w:t xml:space="preserve">За всеки от четирите района на басейново управление </w:t>
      </w:r>
      <w:r w:rsidRPr="009F6D1E">
        <w:rPr>
          <w:rFonts w:cs="Times New Roman"/>
          <w:b/>
          <w:bCs/>
          <w:i/>
          <w:iCs/>
          <w:smallCaps/>
          <w:color w:val="223770"/>
          <w:szCs w:val="24"/>
        </w:rPr>
        <w:t xml:space="preserve">- </w:t>
      </w:r>
      <w:r w:rsidRPr="009F6D1E">
        <w:rPr>
          <w:rFonts w:cs="Times New Roman"/>
          <w:bCs/>
          <w:iCs/>
          <w:szCs w:val="24"/>
        </w:rPr>
        <w:t>Източнобеломорски район</w:t>
      </w:r>
      <w:r w:rsidRPr="009F6D1E">
        <w:rPr>
          <w:rFonts w:cs="Times New Roman"/>
          <w:b/>
          <w:bCs/>
          <w:i/>
          <w:iCs/>
          <w:smallCaps/>
          <w:color w:val="223770"/>
          <w:szCs w:val="24"/>
        </w:rPr>
        <w:t xml:space="preserve"> </w:t>
      </w:r>
      <w:r w:rsidRPr="009F6D1E">
        <w:rPr>
          <w:rFonts w:cs="Times New Roman"/>
          <w:smallCaps/>
          <w:color w:val="223770"/>
          <w:szCs w:val="24"/>
          <w:vertAlign w:val="superscript"/>
        </w:rPr>
        <w:footnoteReference w:id="37"/>
      </w:r>
      <w:r w:rsidRPr="009F6D1E">
        <w:rPr>
          <w:rFonts w:cs="Times New Roman"/>
          <w:b/>
          <w:bCs/>
          <w:i/>
          <w:iCs/>
          <w:smallCaps/>
          <w:color w:val="223770"/>
          <w:szCs w:val="24"/>
        </w:rPr>
        <w:t xml:space="preserve">, </w:t>
      </w:r>
      <w:r w:rsidRPr="009F6D1E">
        <w:rPr>
          <w:rFonts w:cs="Times New Roman"/>
          <w:bCs/>
          <w:iCs/>
          <w:szCs w:val="24"/>
        </w:rPr>
        <w:t>Черноморски район</w:t>
      </w:r>
      <w:r w:rsidRPr="009F6D1E">
        <w:rPr>
          <w:rFonts w:cs="Times New Roman"/>
          <w:smallCaps/>
          <w:color w:val="223770"/>
          <w:szCs w:val="24"/>
          <w:vertAlign w:val="superscript"/>
        </w:rPr>
        <w:footnoteReference w:id="38"/>
      </w:r>
      <w:r w:rsidRPr="009F6D1E">
        <w:rPr>
          <w:rFonts w:cs="Times New Roman"/>
          <w:bCs/>
          <w:iCs/>
          <w:szCs w:val="24"/>
        </w:rPr>
        <w:t xml:space="preserve"> (2016-2021 г.),  </w:t>
      </w:r>
      <w:bookmarkStart w:id="130" w:name="_Hlk95231114"/>
      <w:proofErr w:type="spellStart"/>
      <w:r w:rsidRPr="009F6D1E">
        <w:rPr>
          <w:rFonts w:cs="Times New Roman"/>
          <w:bCs/>
          <w:iCs/>
          <w:szCs w:val="24"/>
        </w:rPr>
        <w:t>Западнобеломорски</w:t>
      </w:r>
      <w:proofErr w:type="spellEnd"/>
      <w:r w:rsidRPr="009F6D1E">
        <w:rPr>
          <w:rFonts w:cs="Times New Roman"/>
          <w:bCs/>
          <w:iCs/>
          <w:szCs w:val="24"/>
        </w:rPr>
        <w:t xml:space="preserve"> район </w:t>
      </w:r>
      <w:bookmarkEnd w:id="130"/>
      <w:r w:rsidRPr="009F6D1E">
        <w:rPr>
          <w:rFonts w:cs="Times New Roman"/>
          <w:bCs/>
          <w:iCs/>
          <w:szCs w:val="24"/>
        </w:rPr>
        <w:t>(2016-2021</w:t>
      </w:r>
      <w:r w:rsidRPr="009F6D1E">
        <w:rPr>
          <w:rFonts w:cs="Times New Roman"/>
          <w:b/>
          <w:bCs/>
          <w:i/>
          <w:iCs/>
          <w:smallCaps/>
          <w:color w:val="223770"/>
          <w:szCs w:val="24"/>
        </w:rPr>
        <w:t>г</w:t>
      </w:r>
      <w:r w:rsidRPr="009F6D1E">
        <w:rPr>
          <w:rFonts w:cs="Times New Roman"/>
          <w:bCs/>
          <w:iCs/>
          <w:szCs w:val="24"/>
        </w:rPr>
        <w:t xml:space="preserve">.) </w:t>
      </w:r>
      <w:r w:rsidRPr="009F6D1E">
        <w:rPr>
          <w:rFonts w:cs="Times New Roman"/>
          <w:b/>
          <w:bCs/>
          <w:i/>
          <w:iCs/>
          <w:smallCaps/>
          <w:color w:val="223770"/>
          <w:szCs w:val="24"/>
          <w:vertAlign w:val="superscript"/>
        </w:rPr>
        <w:footnoteReference w:id="39"/>
      </w:r>
      <w:r w:rsidRPr="009F6D1E">
        <w:rPr>
          <w:rFonts w:cs="Times New Roman"/>
          <w:b/>
          <w:bCs/>
          <w:i/>
          <w:iCs/>
          <w:smallCaps/>
          <w:color w:val="223770"/>
          <w:szCs w:val="24"/>
        </w:rPr>
        <w:t xml:space="preserve"> </w:t>
      </w:r>
      <w:r w:rsidRPr="009F6D1E">
        <w:rPr>
          <w:rFonts w:cs="Times New Roman"/>
          <w:bCs/>
          <w:iCs/>
          <w:szCs w:val="24"/>
        </w:rPr>
        <w:t xml:space="preserve">и  Дунавски район (2016-2021 г.) </w:t>
      </w:r>
      <w:r w:rsidRPr="009F6D1E">
        <w:rPr>
          <w:rFonts w:cs="Times New Roman"/>
          <w:smallCaps/>
          <w:color w:val="223770"/>
          <w:szCs w:val="24"/>
          <w:vertAlign w:val="superscript"/>
        </w:rPr>
        <w:footnoteReference w:id="40"/>
      </w:r>
      <w:r w:rsidRPr="009F6D1E">
        <w:rPr>
          <w:rFonts w:cs="Times New Roman"/>
          <w:bCs/>
          <w:iCs/>
          <w:szCs w:val="24"/>
        </w:rPr>
        <w:t>,</w:t>
      </w:r>
      <w:r w:rsidRPr="009F6D1E">
        <w:rPr>
          <w:rFonts w:cs="Times New Roman"/>
          <w:b/>
          <w:bCs/>
          <w:i/>
          <w:iCs/>
          <w:smallCaps/>
          <w:color w:val="223770"/>
          <w:szCs w:val="24"/>
        </w:rPr>
        <w:t xml:space="preserve"> </w:t>
      </w:r>
      <w:r w:rsidRPr="009F6D1E">
        <w:rPr>
          <w:rFonts w:cs="Times New Roman"/>
          <w:bCs/>
          <w:iCs/>
          <w:szCs w:val="24"/>
        </w:rPr>
        <w:t>са изготвени 6-годишни Планове за управление на речните басейни (ПУРБ), които подлежат на актуализация за следващия програмен период (2022-2027 г) -  ПУРБ в Източнобеломорски район (2022-2027 г.</w:t>
      </w:r>
      <w:r w:rsidRPr="009F6D1E">
        <w:rPr>
          <w:rFonts w:cs="Times New Roman"/>
          <w:b/>
          <w:bCs/>
          <w:i/>
          <w:iCs/>
          <w:smallCaps/>
          <w:color w:val="223770"/>
          <w:szCs w:val="24"/>
        </w:rPr>
        <w:t>)</w:t>
      </w:r>
      <w:r w:rsidRPr="009F6D1E">
        <w:rPr>
          <w:rFonts w:cs="Times New Roman"/>
          <w:smallCaps/>
          <w:color w:val="223770"/>
          <w:szCs w:val="24"/>
          <w:vertAlign w:val="superscript"/>
        </w:rPr>
        <w:footnoteReference w:id="41"/>
      </w:r>
      <w:r w:rsidRPr="009F6D1E">
        <w:rPr>
          <w:rFonts w:cs="Times New Roman"/>
          <w:b/>
          <w:bCs/>
          <w:i/>
          <w:iCs/>
          <w:smallCaps/>
          <w:color w:val="223770"/>
          <w:szCs w:val="24"/>
        </w:rPr>
        <w:t xml:space="preserve">, </w:t>
      </w:r>
      <w:r w:rsidRPr="009F6D1E">
        <w:rPr>
          <w:rFonts w:cs="Times New Roman"/>
          <w:bCs/>
          <w:iCs/>
          <w:szCs w:val="24"/>
        </w:rPr>
        <w:t xml:space="preserve">Черноморски район </w:t>
      </w:r>
      <w:r w:rsidRPr="009F6D1E">
        <w:rPr>
          <w:rFonts w:cs="Times New Roman"/>
          <w:smallCaps/>
          <w:color w:val="223770"/>
          <w:szCs w:val="24"/>
          <w:vertAlign w:val="superscript"/>
        </w:rPr>
        <w:footnoteReference w:id="42"/>
      </w:r>
      <w:r w:rsidRPr="009F6D1E">
        <w:rPr>
          <w:rFonts w:cs="Times New Roman"/>
          <w:b/>
          <w:bCs/>
          <w:i/>
          <w:iCs/>
          <w:smallCaps/>
          <w:color w:val="223770"/>
          <w:szCs w:val="24"/>
        </w:rPr>
        <w:t>(</w:t>
      </w:r>
      <w:r w:rsidRPr="009F6D1E">
        <w:rPr>
          <w:rFonts w:cs="Times New Roman"/>
          <w:bCs/>
          <w:iCs/>
          <w:szCs w:val="24"/>
        </w:rPr>
        <w:t>2022-2027 г.),</w:t>
      </w:r>
      <w:r w:rsidRPr="009F6D1E">
        <w:rPr>
          <w:rFonts w:cs="Times New Roman"/>
          <w:b/>
          <w:bCs/>
          <w:i/>
          <w:iCs/>
          <w:smallCaps/>
          <w:color w:val="223770"/>
          <w:szCs w:val="24"/>
        </w:rPr>
        <w:t xml:space="preserve"> </w:t>
      </w:r>
      <w:proofErr w:type="spellStart"/>
      <w:r w:rsidRPr="009F6D1E">
        <w:rPr>
          <w:rFonts w:cs="Times New Roman"/>
          <w:bCs/>
          <w:iCs/>
          <w:szCs w:val="24"/>
        </w:rPr>
        <w:t>Западнобеломорски</w:t>
      </w:r>
      <w:proofErr w:type="spellEnd"/>
      <w:r w:rsidRPr="009F6D1E">
        <w:rPr>
          <w:rFonts w:cs="Times New Roman"/>
          <w:bCs/>
          <w:iCs/>
          <w:szCs w:val="24"/>
        </w:rPr>
        <w:t xml:space="preserve"> район (2022-2027 г.)</w:t>
      </w:r>
      <w:r w:rsidRPr="009F6D1E">
        <w:rPr>
          <w:rFonts w:cs="Times New Roman"/>
          <w:b/>
          <w:bCs/>
          <w:i/>
          <w:iCs/>
          <w:smallCaps/>
          <w:color w:val="223770"/>
          <w:szCs w:val="24"/>
        </w:rPr>
        <w:t xml:space="preserve"> </w:t>
      </w:r>
      <w:r w:rsidRPr="009F6D1E">
        <w:rPr>
          <w:rFonts w:cs="Times New Roman"/>
          <w:b/>
          <w:bCs/>
          <w:i/>
          <w:iCs/>
          <w:smallCaps/>
          <w:color w:val="223770"/>
          <w:szCs w:val="24"/>
          <w:vertAlign w:val="superscript"/>
        </w:rPr>
        <w:footnoteReference w:id="43"/>
      </w:r>
      <w:r w:rsidRPr="009F6D1E">
        <w:rPr>
          <w:rFonts w:cs="Times New Roman"/>
          <w:b/>
          <w:bCs/>
          <w:i/>
          <w:iCs/>
          <w:smallCaps/>
          <w:color w:val="223770"/>
          <w:szCs w:val="24"/>
        </w:rPr>
        <w:t xml:space="preserve"> </w:t>
      </w:r>
      <w:r w:rsidRPr="009F6D1E">
        <w:rPr>
          <w:rFonts w:cs="Times New Roman"/>
          <w:bCs/>
          <w:iCs/>
          <w:szCs w:val="24"/>
        </w:rPr>
        <w:t>в Дунавски район</w:t>
      </w:r>
      <w:r w:rsidRPr="009F6D1E">
        <w:rPr>
          <w:rFonts w:cs="Times New Roman"/>
          <w:smallCaps/>
          <w:color w:val="223770"/>
          <w:szCs w:val="24"/>
          <w:vertAlign w:val="superscript"/>
        </w:rPr>
        <w:footnoteReference w:id="44"/>
      </w:r>
      <w:r w:rsidRPr="009F6D1E">
        <w:rPr>
          <w:rFonts w:cs="Times New Roman"/>
          <w:b/>
          <w:bCs/>
          <w:i/>
          <w:iCs/>
          <w:smallCaps/>
          <w:color w:val="223770"/>
          <w:szCs w:val="24"/>
        </w:rPr>
        <w:t xml:space="preserve"> </w:t>
      </w:r>
      <w:r w:rsidRPr="009F6D1E">
        <w:rPr>
          <w:rFonts w:cs="Times New Roman"/>
          <w:bCs/>
          <w:i/>
          <w:iCs/>
          <w:szCs w:val="24"/>
        </w:rPr>
        <w:t>(в процес на изготвяне)</w:t>
      </w:r>
      <w:r w:rsidRPr="009F6D1E">
        <w:rPr>
          <w:rFonts w:cs="Times New Roman"/>
          <w:bCs/>
          <w:iCs/>
          <w:szCs w:val="24"/>
          <w:vertAlign w:val="superscript"/>
        </w:rPr>
        <w:footnoteReference w:id="45"/>
      </w:r>
      <w:r w:rsidRPr="009F6D1E">
        <w:rPr>
          <w:rFonts w:cs="Times New Roman"/>
          <w:bCs/>
          <w:i/>
          <w:iCs/>
          <w:szCs w:val="24"/>
        </w:rPr>
        <w:t>.</w:t>
      </w:r>
    </w:p>
    <w:p w14:paraId="4E8E113A" w14:textId="77777777" w:rsidR="001931F5" w:rsidRPr="009F6D1E" w:rsidRDefault="001931F5" w:rsidP="0084747F">
      <w:pPr>
        <w:widowControl w:val="0"/>
        <w:spacing w:after="60" w:line="264" w:lineRule="auto"/>
        <w:ind w:firstLine="708"/>
        <w:jc w:val="both"/>
        <w:rPr>
          <w:rFonts w:cs="Times New Roman"/>
          <w:bCs/>
          <w:iCs/>
          <w:szCs w:val="24"/>
        </w:rPr>
      </w:pPr>
      <w:r w:rsidRPr="009F6D1E">
        <w:rPr>
          <w:rFonts w:cs="Times New Roman"/>
          <w:bCs/>
          <w:iCs/>
          <w:szCs w:val="24"/>
        </w:rPr>
        <w:t>Общата цел на ПУРБ е дългосрочно устойчиво управление на водите, основано на висока степен на защита на водната среда, т.е. постигане на добро състояние, като се въвежда принципът за предотвратяване на допълнително влошаване на състоянието.</w:t>
      </w:r>
    </w:p>
    <w:p w14:paraId="3B37C59F" w14:textId="77777777" w:rsidR="001931F5" w:rsidRPr="009F6D1E" w:rsidRDefault="001931F5" w:rsidP="0084747F">
      <w:pPr>
        <w:widowControl w:val="0"/>
        <w:spacing w:after="60" w:line="264" w:lineRule="auto"/>
        <w:ind w:firstLine="708"/>
        <w:jc w:val="both"/>
        <w:rPr>
          <w:rFonts w:cs="Times New Roman"/>
          <w:bCs/>
          <w:iCs/>
          <w:szCs w:val="24"/>
        </w:rPr>
      </w:pPr>
      <w:r w:rsidRPr="009F6D1E">
        <w:rPr>
          <w:rFonts w:cs="Times New Roman"/>
          <w:bCs/>
          <w:iCs/>
          <w:szCs w:val="24"/>
        </w:rPr>
        <w:t xml:space="preserve">Съгласно чл.156а, ал.1, т.1 от 3В, целите за опазване на околната среда при повърхностните води са насочени към:  </w:t>
      </w:r>
    </w:p>
    <w:p w14:paraId="65A53FA6" w14:textId="77777777" w:rsidR="001931F5" w:rsidRPr="009F6D1E" w:rsidRDefault="00AF3E7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Предотвратяване </w:t>
      </w:r>
      <w:r w:rsidR="001931F5" w:rsidRPr="009F6D1E">
        <w:rPr>
          <w:rFonts w:eastAsia="Times New Roman" w:cs="Times New Roman"/>
          <w:szCs w:val="24"/>
          <w:lang w:eastAsia="bg-BG" w:bidi="bg-BG"/>
        </w:rPr>
        <w:t xml:space="preserve">влошаването на състоянието на всички повърхностни водни тела; </w:t>
      </w:r>
    </w:p>
    <w:p w14:paraId="0F87A9CF" w14:textId="77777777" w:rsidR="001931F5" w:rsidRPr="009F6D1E" w:rsidRDefault="00AF3E7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Опазване</w:t>
      </w:r>
      <w:r w:rsidR="001931F5" w:rsidRPr="009F6D1E">
        <w:rPr>
          <w:rFonts w:eastAsia="Times New Roman" w:cs="Times New Roman"/>
          <w:szCs w:val="24"/>
          <w:lang w:eastAsia="bg-BG" w:bidi="bg-BG"/>
        </w:rPr>
        <w:t xml:space="preserve">, подобряване и възстановяване на всички повърхностни водни тела за </w:t>
      </w:r>
      <w:r w:rsidR="001931F5" w:rsidRPr="009F6D1E">
        <w:rPr>
          <w:rFonts w:eastAsia="Times New Roman" w:cs="Times New Roman"/>
          <w:szCs w:val="24"/>
          <w:lang w:eastAsia="bg-BG" w:bidi="bg-BG"/>
        </w:rPr>
        <w:lastRenderedPageBreak/>
        <w:t xml:space="preserve">постигане добро състояние на водите; </w:t>
      </w:r>
    </w:p>
    <w:p w14:paraId="628A3041" w14:textId="77777777" w:rsidR="001931F5" w:rsidRPr="009F6D1E" w:rsidRDefault="00AF3E7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Опазване </w:t>
      </w:r>
      <w:r w:rsidR="001931F5" w:rsidRPr="009F6D1E">
        <w:rPr>
          <w:rFonts w:eastAsia="Times New Roman" w:cs="Times New Roman"/>
          <w:szCs w:val="24"/>
          <w:lang w:eastAsia="bg-BG" w:bidi="bg-BG"/>
        </w:rPr>
        <w:t xml:space="preserve">и подобряване качеството на водите във всички изкуствени и силно модифицирани водни тела и постигане на добър екологичен потенциал и добро      химично състояние на повърхностните води; </w:t>
      </w:r>
    </w:p>
    <w:p w14:paraId="6A6A2772" w14:textId="77777777" w:rsidR="001931F5" w:rsidRPr="009F6D1E" w:rsidRDefault="00AF3E7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Предотвратяване</w:t>
      </w:r>
      <w:r w:rsidR="001931F5" w:rsidRPr="009F6D1E">
        <w:rPr>
          <w:rFonts w:eastAsia="Times New Roman" w:cs="Times New Roman"/>
          <w:szCs w:val="24"/>
          <w:lang w:eastAsia="bg-BG" w:bidi="bg-BG"/>
        </w:rPr>
        <w:t>, прогресивно намаляване и прекратяване наведнъж или на  етапи на замърсяването от емисии, зауствания и изпускания на приоритетни и приоритетно опасни вещества.</w:t>
      </w:r>
    </w:p>
    <w:p w14:paraId="05782798"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Съгласно чл. 156а, ал.1, т.2 от 3В целите за опазване на околната среда при подземните води са насочени към:</w:t>
      </w:r>
    </w:p>
    <w:p w14:paraId="6D93AA4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Недопускане или ограничаване отвеждането на замърсители в подземните води и предотвратяване влошаването на състоянието на всички подземни водни тела;</w:t>
      </w:r>
    </w:p>
    <w:p w14:paraId="54F7C77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Опазване, подобряване и възстановяване на всички подземни водни тела, осигуряване на баланс между водовземането и подхранването на подземните води и постигане доброто им състояние; </w:t>
      </w:r>
    </w:p>
    <w:p w14:paraId="40AB4B0A"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Идентифициране и насочване в обратна посока на всяка значима и устойчива тенденция за повишаване на концентрацията на всеки замърсител с цел непрекъснато намаляване замърсяването на подземните води.</w:t>
      </w:r>
    </w:p>
    <w:p w14:paraId="066A8452"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Заложените в ПУРБ дейности за постигане на целите за повърхностните води се съгласуват  с дейностите, заложени в ПУРН,  главно при съгласуването  на мерките от ПУРН с целите на ПУРБ. Съответните мерки за намаляване риска от наводнения следва да подкрепят целите на РДВ и да предотвратят влошаване на състоянието и ако е възможно да съдействат за постигането на добро екологично състояние /потенциал на водните тела, включително намаляване риска от замърсяване.</w:t>
      </w:r>
    </w:p>
    <w:p w14:paraId="3F62EE6B"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 xml:space="preserve">ПУРБ има за основна цел постигане на дългосрочно устойчиво управление на водите, основано на висока степен на защита на водната среда. Определената обща цел, която следва да бъде постигната за всички водни тела е постигане на добро състояние/ потенциал, като се въвежда принципът за предотвратяване на допълнително влошаване на състоянието. </w:t>
      </w:r>
    </w:p>
    <w:p w14:paraId="5161544A" w14:textId="77777777" w:rsidR="001931F5" w:rsidRPr="009F6D1E" w:rsidRDefault="001931F5" w:rsidP="0084747F">
      <w:pPr>
        <w:widowControl w:val="0"/>
        <w:spacing w:after="60" w:line="264" w:lineRule="auto"/>
        <w:ind w:firstLine="720"/>
        <w:jc w:val="both"/>
        <w:rPr>
          <w:rFonts w:cs="Times New Roman"/>
          <w:bCs/>
          <w:iCs/>
          <w:szCs w:val="24"/>
        </w:rPr>
      </w:pPr>
      <w:r w:rsidRPr="009F6D1E">
        <w:rPr>
          <w:rFonts w:cs="Times New Roman"/>
          <w:bCs/>
          <w:iCs/>
          <w:szCs w:val="24"/>
        </w:rPr>
        <w:t xml:space="preserve">Анализ на съответствието спрямо ПУРБ е направен в разделите на ДЕО за компонент „Води“, както и в т. </w:t>
      </w:r>
      <w:r w:rsidR="000A5E04" w:rsidRPr="009F6D1E">
        <w:rPr>
          <w:rFonts w:cs="Times New Roman"/>
          <w:bCs/>
          <w:iCs/>
          <w:szCs w:val="24"/>
        </w:rPr>
        <w:t>7</w:t>
      </w:r>
      <w:r w:rsidRPr="009F6D1E">
        <w:rPr>
          <w:rFonts w:cs="Times New Roman"/>
          <w:bCs/>
          <w:iCs/>
          <w:szCs w:val="24"/>
        </w:rPr>
        <w:t>.2. на ДЕО.</w:t>
      </w:r>
    </w:p>
    <w:p w14:paraId="1DEB776C" w14:textId="77777777" w:rsidR="001931F5" w:rsidRPr="009F6D1E" w:rsidRDefault="001931F5" w:rsidP="0084747F">
      <w:pPr>
        <w:spacing w:after="60" w:line="264" w:lineRule="auto"/>
        <w:ind w:left="1080"/>
        <w:contextualSpacing/>
        <w:jc w:val="both"/>
        <w:rPr>
          <w:rFonts w:cs="Times New Roman"/>
          <w:b/>
          <w:bCs/>
          <w:i/>
          <w:iCs/>
          <w:smallCaps/>
          <w:color w:val="223770"/>
          <w:szCs w:val="24"/>
        </w:rPr>
      </w:pPr>
    </w:p>
    <w:p w14:paraId="6D512A38"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Плановете да управление на риска от наводнение (ПУРН) </w:t>
      </w:r>
      <w:bookmarkStart w:id="131" w:name="_Hlk95490249"/>
      <w:r w:rsidRPr="009F6D1E">
        <w:rPr>
          <w:b/>
          <w:bCs/>
          <w:smallCaps w:val="0"/>
          <w:color w:val="262626" w:themeColor="text1" w:themeTint="D9"/>
          <w:lang w:eastAsia="en-US" w:bidi="ar-SA"/>
        </w:rPr>
        <w:t>за четирите района за басейново управление</w:t>
      </w:r>
    </w:p>
    <w:bookmarkEnd w:id="131"/>
    <w:p w14:paraId="5DCDAB31" w14:textId="77777777" w:rsidR="0094794D" w:rsidRPr="009F6D1E" w:rsidRDefault="0094794D" w:rsidP="0084747F">
      <w:pPr>
        <w:widowControl w:val="0"/>
        <w:spacing w:after="60" w:line="264" w:lineRule="auto"/>
        <w:ind w:firstLine="709"/>
        <w:jc w:val="both"/>
        <w:rPr>
          <w:rFonts w:cs="Times New Roman"/>
          <w:szCs w:val="24"/>
        </w:rPr>
      </w:pPr>
    </w:p>
    <w:p w14:paraId="362D5297" w14:textId="77777777" w:rsidR="001931F5" w:rsidRPr="009F6D1E" w:rsidRDefault="001931F5" w:rsidP="0084747F">
      <w:pPr>
        <w:widowControl w:val="0"/>
        <w:spacing w:after="60" w:line="264" w:lineRule="auto"/>
        <w:ind w:firstLine="709"/>
        <w:jc w:val="both"/>
        <w:rPr>
          <w:rFonts w:cs="Times New Roman"/>
          <w:szCs w:val="24"/>
        </w:rPr>
      </w:pPr>
      <w:r w:rsidRPr="009F6D1E">
        <w:rPr>
          <w:rFonts w:cs="Times New Roman"/>
          <w:szCs w:val="24"/>
        </w:rPr>
        <w:t xml:space="preserve">За всеки от четирите района на басейново управление – </w:t>
      </w:r>
      <w:r w:rsidRPr="009F6D1E">
        <w:rPr>
          <w:rFonts w:eastAsia="Calibri" w:cs="Times New Roman"/>
          <w:szCs w:val="24"/>
        </w:rPr>
        <w:t>Източнобеломорски район (2016-2021)</w:t>
      </w:r>
      <w:r w:rsidRPr="009F6D1E">
        <w:rPr>
          <w:rFonts w:eastAsia="Calibri" w:cs="Times New Roman"/>
          <w:szCs w:val="24"/>
          <w:vertAlign w:val="superscript"/>
        </w:rPr>
        <w:footnoteReference w:id="46"/>
      </w:r>
      <w:r w:rsidRPr="009F6D1E">
        <w:rPr>
          <w:rFonts w:eastAsia="Calibri" w:cs="Times New Roman"/>
          <w:szCs w:val="24"/>
        </w:rPr>
        <w:t xml:space="preserve">, </w:t>
      </w:r>
      <w:bookmarkStart w:id="132" w:name="_Hlk95490630"/>
      <w:r w:rsidRPr="009F6D1E">
        <w:rPr>
          <w:rFonts w:eastAsia="Calibri" w:cs="Times New Roman"/>
          <w:szCs w:val="24"/>
        </w:rPr>
        <w:t>Черноморски район (2016-2021)</w:t>
      </w:r>
      <w:r w:rsidRPr="009F6D1E">
        <w:rPr>
          <w:rFonts w:eastAsia="Calibri" w:cs="Times New Roman"/>
          <w:szCs w:val="24"/>
          <w:vertAlign w:val="superscript"/>
        </w:rPr>
        <w:footnoteReference w:id="47"/>
      </w:r>
      <w:bookmarkEnd w:id="132"/>
      <w:r w:rsidRPr="009F6D1E">
        <w:rPr>
          <w:rFonts w:eastAsia="Calibri" w:cs="Times New Roman"/>
          <w:szCs w:val="24"/>
        </w:rPr>
        <w:t xml:space="preserve">, </w:t>
      </w:r>
      <w:proofErr w:type="spellStart"/>
      <w:r w:rsidRPr="009F6D1E">
        <w:rPr>
          <w:rFonts w:eastAsia="Calibri" w:cs="Times New Roman"/>
          <w:szCs w:val="24"/>
        </w:rPr>
        <w:t>Западнобеломорски</w:t>
      </w:r>
      <w:proofErr w:type="spellEnd"/>
      <w:r w:rsidRPr="009F6D1E">
        <w:rPr>
          <w:rFonts w:eastAsia="Calibri" w:cs="Times New Roman"/>
          <w:szCs w:val="24"/>
        </w:rPr>
        <w:t xml:space="preserve"> район (2016-2021)</w:t>
      </w:r>
      <w:r w:rsidRPr="009F6D1E">
        <w:rPr>
          <w:rFonts w:cs="Times New Roman"/>
          <w:szCs w:val="24"/>
          <w:vertAlign w:val="superscript"/>
        </w:rPr>
        <w:footnoteReference w:id="48"/>
      </w:r>
      <w:r w:rsidRPr="009F6D1E">
        <w:rPr>
          <w:rFonts w:cs="Times New Roman"/>
          <w:szCs w:val="24"/>
        </w:rPr>
        <w:t xml:space="preserve">  и </w:t>
      </w:r>
      <w:r w:rsidRPr="009F6D1E">
        <w:rPr>
          <w:rFonts w:cs="Times New Roman"/>
          <w:szCs w:val="24"/>
        </w:rPr>
        <w:lastRenderedPageBreak/>
        <w:t>Дунавски</w:t>
      </w:r>
      <w:r w:rsidRPr="009F6D1E">
        <w:rPr>
          <w:rFonts w:eastAsia="Calibri" w:cs="Times New Roman"/>
          <w:szCs w:val="24"/>
        </w:rPr>
        <w:t xml:space="preserve"> район (2016-2021)</w:t>
      </w:r>
      <w:r w:rsidRPr="009F6D1E">
        <w:rPr>
          <w:rFonts w:eastAsia="Calibri" w:cs="Times New Roman"/>
          <w:szCs w:val="24"/>
          <w:vertAlign w:val="superscript"/>
        </w:rPr>
        <w:footnoteReference w:id="49"/>
      </w:r>
      <w:r w:rsidRPr="009F6D1E">
        <w:rPr>
          <w:rFonts w:cs="Times New Roman"/>
          <w:szCs w:val="24"/>
        </w:rPr>
        <w:t xml:space="preserve"> са изготвени 6-годишни Планове за управление на риска от наводнения (ПУРН), които подлежат на актуализация за следващия програмен период (2022-2027 г).</w:t>
      </w:r>
      <w:r w:rsidRPr="009F6D1E">
        <w:rPr>
          <w:rFonts w:cs="Times New Roman"/>
          <w:szCs w:val="24"/>
          <w:vertAlign w:val="superscript"/>
        </w:rPr>
        <w:footnoteReference w:id="50"/>
      </w:r>
      <w:r w:rsidRPr="009F6D1E">
        <w:rPr>
          <w:rFonts w:eastAsia="Calibri" w:cs="Times New Roman"/>
          <w:szCs w:val="24"/>
        </w:rPr>
        <w:t xml:space="preserve"> Към момента са изготвени Проекти на</w:t>
      </w:r>
      <w:r w:rsidRPr="009F6D1E">
        <w:rPr>
          <w:rFonts w:eastAsia="Calibri" w:cs="Times New Roman"/>
          <w:b/>
          <w:bCs/>
          <w:i/>
          <w:iCs/>
          <w:szCs w:val="24"/>
        </w:rPr>
        <w:t xml:space="preserve"> </w:t>
      </w:r>
      <w:r w:rsidRPr="009F6D1E">
        <w:rPr>
          <w:rFonts w:eastAsia="Calibri" w:cs="Times New Roman"/>
          <w:szCs w:val="24"/>
        </w:rPr>
        <w:t>Актуализирана предварителна оценка на риска от наводнения (ПОРН) за Източнобеломорски</w:t>
      </w:r>
      <w:r w:rsidRPr="009F6D1E">
        <w:rPr>
          <w:rFonts w:eastAsia="Calibri" w:cs="Times New Roman"/>
          <w:szCs w:val="24"/>
          <w:vertAlign w:val="superscript"/>
        </w:rPr>
        <w:footnoteReference w:id="51"/>
      </w:r>
      <w:r w:rsidRPr="009F6D1E">
        <w:rPr>
          <w:rFonts w:eastAsia="Calibri" w:cs="Times New Roman"/>
          <w:szCs w:val="24"/>
        </w:rPr>
        <w:t>, Черноморски</w:t>
      </w:r>
      <w:r w:rsidRPr="009F6D1E">
        <w:rPr>
          <w:rFonts w:eastAsia="Calibri" w:cs="Times New Roman"/>
          <w:szCs w:val="24"/>
          <w:vertAlign w:val="superscript"/>
        </w:rPr>
        <w:footnoteReference w:id="52"/>
      </w:r>
      <w:r w:rsidRPr="009F6D1E">
        <w:rPr>
          <w:rFonts w:eastAsia="Calibri" w:cs="Times New Roman"/>
          <w:szCs w:val="24"/>
        </w:rPr>
        <w:t xml:space="preserve">, </w:t>
      </w:r>
      <w:bookmarkStart w:id="133" w:name="_Hlk95490822"/>
      <w:proofErr w:type="spellStart"/>
      <w:r w:rsidRPr="009F6D1E">
        <w:rPr>
          <w:rFonts w:eastAsia="Calibri" w:cs="Times New Roman"/>
          <w:szCs w:val="24"/>
        </w:rPr>
        <w:t>Западнобеломорски</w:t>
      </w:r>
      <w:proofErr w:type="spellEnd"/>
      <w:r w:rsidRPr="009F6D1E">
        <w:rPr>
          <w:rFonts w:cs="Times New Roman"/>
          <w:szCs w:val="24"/>
          <w:vertAlign w:val="superscript"/>
        </w:rPr>
        <w:footnoteReference w:id="53"/>
      </w:r>
      <w:bookmarkEnd w:id="133"/>
      <w:r w:rsidRPr="009F6D1E">
        <w:rPr>
          <w:rFonts w:eastAsia="Calibri" w:cs="Times New Roman"/>
          <w:szCs w:val="24"/>
        </w:rPr>
        <w:t xml:space="preserve"> и Дунавски</w:t>
      </w:r>
      <w:r w:rsidRPr="009F6D1E">
        <w:rPr>
          <w:rFonts w:cs="Times New Roman"/>
          <w:szCs w:val="24"/>
          <w:vertAlign w:val="superscript"/>
        </w:rPr>
        <w:footnoteReference w:id="54"/>
      </w:r>
      <w:r w:rsidRPr="009F6D1E">
        <w:rPr>
          <w:rFonts w:eastAsia="Calibri" w:cs="Times New Roman"/>
          <w:szCs w:val="24"/>
        </w:rPr>
        <w:t xml:space="preserve"> райони за басейново управление</w:t>
      </w:r>
    </w:p>
    <w:p w14:paraId="03C631E4" w14:textId="77777777" w:rsidR="001931F5" w:rsidRPr="009F6D1E" w:rsidRDefault="001931F5" w:rsidP="0084747F">
      <w:pPr>
        <w:keepNext/>
        <w:widowControl w:val="0"/>
        <w:spacing w:after="60" w:line="264" w:lineRule="auto"/>
        <w:ind w:firstLine="709"/>
        <w:jc w:val="both"/>
        <w:rPr>
          <w:rFonts w:cs="Times New Roman"/>
          <w:szCs w:val="24"/>
        </w:rPr>
      </w:pPr>
      <w:r w:rsidRPr="009F6D1E">
        <w:rPr>
          <w:rFonts w:cs="Times New Roman"/>
          <w:szCs w:val="24"/>
        </w:rPr>
        <w:t>С цел прилагане на единен национален подход при определяне на целите и приоритетите за управление на риска от наводнения през 2014 г. са разработени Национални приоритети за управление на риска от наводнения, които са определени и обособени в 5 основни направления/насоки, съгласно заложените изисквания в законодателството. Така определените приоритети предполагат планиране на определени цели (действия) за тяхното постигане, като към определените 5 приоритета са използвани общо 17 възможни цели, както са описани по-долу:</w:t>
      </w:r>
    </w:p>
    <w:p w14:paraId="6574B2CB" w14:textId="77777777" w:rsidR="001931F5" w:rsidRPr="009F6D1E" w:rsidRDefault="001931F5" w:rsidP="0084747F">
      <w:pPr>
        <w:widowControl w:val="0"/>
        <w:spacing w:after="60" w:line="264" w:lineRule="auto"/>
        <w:jc w:val="both"/>
        <w:rPr>
          <w:rFonts w:cs="Times New Roman"/>
          <w:szCs w:val="24"/>
        </w:rPr>
      </w:pPr>
      <w:r w:rsidRPr="009F6D1E">
        <w:rPr>
          <w:rFonts w:cs="Times New Roman"/>
          <w:b/>
          <w:bCs/>
          <w:szCs w:val="24"/>
        </w:rPr>
        <w:t>Приоритет № 1</w:t>
      </w:r>
      <w:r w:rsidRPr="009F6D1E">
        <w:rPr>
          <w:rFonts w:cs="Times New Roman"/>
          <w:szCs w:val="24"/>
        </w:rPr>
        <w:t xml:space="preserve"> Опазване на човешкия живот и на общественото здраве</w:t>
      </w:r>
    </w:p>
    <w:p w14:paraId="48FC141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1.1 Минимизиране броя на засегнатите и пострадали хора от наводнения</w:t>
      </w:r>
    </w:p>
    <w:p w14:paraId="099B003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1.2 Осигуряване бързо отвеждане на водите при интензивни валежи и наводнения от урбанизираните територии</w:t>
      </w:r>
    </w:p>
    <w:p w14:paraId="1A62D86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1.3 Възстановяване на нормалните условия за живот</w:t>
      </w:r>
    </w:p>
    <w:p w14:paraId="5D14AC47"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1.4 Минимизиране броя на засегнатите обекти от социалната инфраструктура </w:t>
      </w:r>
    </w:p>
    <w:p w14:paraId="7D21F6DB"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Приоритет № 2</w:t>
      </w:r>
      <w:r w:rsidRPr="009F6D1E">
        <w:rPr>
          <w:rFonts w:eastAsia="Times New Roman" w:cs="Times New Roman"/>
          <w:szCs w:val="24"/>
        </w:rPr>
        <w:t xml:space="preserve"> По-висока степен на защита на критичната инфраструктура и бизнеса</w:t>
      </w:r>
    </w:p>
    <w:p w14:paraId="1B083250"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2.1 Подобряване на защитата на обекти от техническата инфраструктура</w:t>
      </w:r>
    </w:p>
    <w:p w14:paraId="247ED931"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2.2 Подобряване на защитата на значими стопански и културно-исторически обекти</w:t>
      </w:r>
    </w:p>
    <w:p w14:paraId="315EF422"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Приоритет № 3</w:t>
      </w:r>
      <w:r w:rsidRPr="009F6D1E">
        <w:rPr>
          <w:rFonts w:eastAsia="Times New Roman" w:cs="Times New Roman"/>
          <w:szCs w:val="24"/>
        </w:rPr>
        <w:t xml:space="preserve"> Повишаване на защитата на околната среда</w:t>
      </w:r>
    </w:p>
    <w:p w14:paraId="22C8933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3.1 Подобряване на защитата на канализационните системи</w:t>
      </w:r>
    </w:p>
    <w:p w14:paraId="03C3ACA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3.2 Подобряване на защитата на индустриалните обекти (основно IPPC и SEVESO обекти)</w:t>
      </w:r>
    </w:p>
    <w:p w14:paraId="04C31AB9"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3.3 Минимизиране на засегнатите зони за защита на водите, защитените територии и защитените зони</w:t>
      </w:r>
    </w:p>
    <w:p w14:paraId="4BE4EA72"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Цел 3.4 Подобряване на </w:t>
      </w:r>
      <w:proofErr w:type="spellStart"/>
      <w:r w:rsidRPr="009F6D1E">
        <w:rPr>
          <w:rFonts w:eastAsia="Times New Roman" w:cs="Times New Roman"/>
          <w:szCs w:val="24"/>
          <w:lang w:eastAsia="bg-BG" w:bidi="bg-BG"/>
        </w:rPr>
        <w:t>водозадържащата</w:t>
      </w:r>
      <w:proofErr w:type="spellEnd"/>
      <w:r w:rsidRPr="009F6D1E">
        <w:rPr>
          <w:rFonts w:eastAsia="Times New Roman" w:cs="Times New Roman"/>
          <w:szCs w:val="24"/>
          <w:lang w:eastAsia="bg-BG" w:bidi="bg-BG"/>
        </w:rPr>
        <w:t xml:space="preserve"> способност на земеделските, горски и крайречни територии</w:t>
      </w:r>
    </w:p>
    <w:p w14:paraId="2802FCF2"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lastRenderedPageBreak/>
        <w:t>Приоритет № 4</w:t>
      </w:r>
      <w:r w:rsidRPr="009F6D1E">
        <w:rPr>
          <w:rFonts w:eastAsia="Times New Roman" w:cs="Times New Roman"/>
          <w:szCs w:val="24"/>
        </w:rPr>
        <w:t xml:space="preserve"> Подобряване подготвеността и реакциите на населението</w:t>
      </w:r>
    </w:p>
    <w:p w14:paraId="15AE881D"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4.1 Повишаване на подготвеността на населението за наводнения</w:t>
      </w:r>
    </w:p>
    <w:p w14:paraId="63A87CDA"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4.2 Подобряване на реакциите на населението при наводнения</w:t>
      </w:r>
    </w:p>
    <w:p w14:paraId="51CA9980" w14:textId="77777777" w:rsidR="001931F5" w:rsidRPr="009F6D1E" w:rsidRDefault="001931F5" w:rsidP="0084747F">
      <w:pPr>
        <w:widowControl w:val="0"/>
        <w:spacing w:after="60" w:line="264" w:lineRule="auto"/>
        <w:jc w:val="both"/>
        <w:rPr>
          <w:rFonts w:eastAsia="Times New Roman" w:cs="Times New Roman"/>
          <w:szCs w:val="24"/>
        </w:rPr>
      </w:pPr>
      <w:r w:rsidRPr="009F6D1E">
        <w:rPr>
          <w:rFonts w:eastAsia="Times New Roman" w:cs="Times New Roman"/>
          <w:b/>
          <w:bCs/>
          <w:szCs w:val="24"/>
        </w:rPr>
        <w:t>Приоритет № 5</w:t>
      </w:r>
      <w:r w:rsidRPr="009F6D1E">
        <w:rPr>
          <w:rFonts w:eastAsia="Times New Roman" w:cs="Times New Roman"/>
          <w:szCs w:val="24"/>
        </w:rPr>
        <w:t xml:space="preserve"> Подобряване на административния капацитет за управление на риска от наводнения (УРН)</w:t>
      </w:r>
    </w:p>
    <w:p w14:paraId="646FA953"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5.1 Създаване на съвременна нормативна уредба за устройственото планиране на териториите и УРН</w:t>
      </w:r>
    </w:p>
    <w:p w14:paraId="2ABFCF96"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5.2 Осигуряване на оперативна информация за УРН</w:t>
      </w:r>
    </w:p>
    <w:p w14:paraId="1B8B7FB1"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5.3 Повишаване на квалификацията на персонала, ангажиран с УРН</w:t>
      </w:r>
    </w:p>
    <w:p w14:paraId="51AE66BE"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5.4 Минимизиране на риска от наводнения по водното течение за целия речен басейн</w:t>
      </w:r>
    </w:p>
    <w:p w14:paraId="2AA85EC4" w14:textId="77777777" w:rsidR="001931F5" w:rsidRPr="009F6D1E" w:rsidRDefault="001931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Цел 5.5 Осигуряване адекватно реагиране на публичните институции при наводнения</w:t>
      </w:r>
    </w:p>
    <w:p w14:paraId="18485395" w14:textId="77777777" w:rsidR="001931F5" w:rsidRPr="009F6D1E" w:rsidRDefault="001931F5" w:rsidP="0084747F">
      <w:pPr>
        <w:widowControl w:val="0"/>
        <w:spacing w:after="60" w:line="264" w:lineRule="auto"/>
        <w:ind w:firstLine="708"/>
        <w:jc w:val="both"/>
        <w:rPr>
          <w:rFonts w:cs="Times New Roman"/>
          <w:szCs w:val="24"/>
        </w:rPr>
      </w:pPr>
      <w:r w:rsidRPr="009F6D1E">
        <w:rPr>
          <w:rFonts w:cs="Times New Roman"/>
          <w:szCs w:val="24"/>
        </w:rPr>
        <w:t xml:space="preserve">Към съответните приоритети и цели за всеки район на басейново управление (съответно към всеки ПУРН) са изготвени програми от мерки за намаляване на риска от наводнения. ПУРН разглеждат всички аспекти на управлението на риска от наводнения, отчитайки характеристиките на конкретния речен басейн, и интегрират аспектите на опазване на околната среда, като осигуряват високо ниво на опазването й. </w:t>
      </w:r>
    </w:p>
    <w:p w14:paraId="29BB2E75" w14:textId="77777777" w:rsidR="001931F5" w:rsidRPr="009F6D1E" w:rsidRDefault="00CD4045" w:rsidP="0084747F">
      <w:pPr>
        <w:spacing w:after="60" w:line="264" w:lineRule="auto"/>
        <w:ind w:firstLine="708"/>
        <w:jc w:val="both"/>
        <w:rPr>
          <w:rFonts w:cs="Times New Roman"/>
          <w:szCs w:val="24"/>
        </w:rPr>
      </w:pPr>
      <w:r w:rsidRPr="009F6D1E">
        <w:rPr>
          <w:rFonts w:cs="Times New Roman"/>
          <w:szCs w:val="24"/>
        </w:rPr>
        <w:t>СПРЗСР</w:t>
      </w:r>
      <w:r w:rsidR="001931F5" w:rsidRPr="009F6D1E">
        <w:rPr>
          <w:rFonts w:cs="Times New Roman"/>
          <w:szCs w:val="24"/>
        </w:rPr>
        <w:t xml:space="preserve"> отразява създадената рамка за оценка и управление на риска от наводнения и намаляване на неблагоприятните последици от тях върху човешкото здраве, околната среда и културното наследство. Програмният период на </w:t>
      </w:r>
      <w:r w:rsidRPr="009F6D1E">
        <w:rPr>
          <w:rFonts w:cs="Times New Roman"/>
          <w:szCs w:val="24"/>
        </w:rPr>
        <w:t>СПРЗСР</w:t>
      </w:r>
      <w:r w:rsidR="001931F5" w:rsidRPr="009F6D1E">
        <w:rPr>
          <w:rFonts w:cs="Times New Roman"/>
          <w:szCs w:val="24"/>
        </w:rPr>
        <w:t xml:space="preserve"> съвпада с периода на актуализирането, изготвянето и прилагането на вторите ПУРН за периода 2022-2027 г. Към момента на изготвяне на настоящия ДЕО, проектите на Предварителните оценки на риска от наводнения (ПОРН) с актуализирани райони със значителен потенциален риск от наводнения (РЗПРН), в т, ч. и нови РЗПРН, са съобразени в части „води“ на ДЕО.</w:t>
      </w:r>
    </w:p>
    <w:p w14:paraId="0CF2023E" w14:textId="77777777" w:rsidR="001931F5" w:rsidRPr="009F6D1E" w:rsidRDefault="001931F5" w:rsidP="0084747F">
      <w:pPr>
        <w:spacing w:after="60" w:line="264" w:lineRule="auto"/>
        <w:ind w:firstLine="708"/>
        <w:contextualSpacing/>
        <w:jc w:val="both"/>
        <w:rPr>
          <w:rFonts w:cs="Times New Roman"/>
          <w:szCs w:val="24"/>
        </w:rPr>
      </w:pPr>
      <w:r w:rsidRPr="009F6D1E">
        <w:rPr>
          <w:rFonts w:cs="Times New Roman"/>
          <w:szCs w:val="24"/>
        </w:rPr>
        <w:t xml:space="preserve">Анализ на съответствието спрямо ПУРН и актуализираните ПОРН е направен в разделите на ДЕО за компонент „Води“, както и в т. </w:t>
      </w:r>
      <w:r w:rsidR="000A5E04" w:rsidRPr="009F6D1E">
        <w:rPr>
          <w:rFonts w:cs="Times New Roman"/>
          <w:szCs w:val="24"/>
        </w:rPr>
        <w:t>7</w:t>
      </w:r>
      <w:r w:rsidRPr="009F6D1E">
        <w:rPr>
          <w:rFonts w:cs="Times New Roman"/>
          <w:szCs w:val="24"/>
        </w:rPr>
        <w:t>.2 на ДЕО.</w:t>
      </w:r>
    </w:p>
    <w:p w14:paraId="3B4CBFCB" w14:textId="77777777" w:rsidR="001931F5" w:rsidRPr="009F6D1E" w:rsidRDefault="001931F5" w:rsidP="0084747F">
      <w:pPr>
        <w:spacing w:after="60" w:line="264" w:lineRule="auto"/>
        <w:ind w:firstLine="708"/>
        <w:contextualSpacing/>
        <w:jc w:val="both"/>
        <w:rPr>
          <w:rFonts w:cs="Times New Roman"/>
          <w:szCs w:val="24"/>
        </w:rPr>
      </w:pPr>
    </w:p>
    <w:p w14:paraId="0A669C3A" w14:textId="77777777" w:rsidR="001931F5" w:rsidRPr="009F6D1E" w:rsidRDefault="001931F5">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bookmarkStart w:id="134" w:name="_Hlk86601922"/>
      <w:r w:rsidRPr="009F6D1E">
        <w:rPr>
          <w:b/>
          <w:bCs/>
          <w:smallCaps w:val="0"/>
          <w:color w:val="262626" w:themeColor="text1" w:themeTint="D9"/>
          <w:lang w:eastAsia="en-US" w:bidi="ar-SA"/>
        </w:rPr>
        <w:t>Стратегически план за развитие на горския сектор (2014-2023)</w:t>
      </w:r>
      <w:r w:rsidRPr="009F6D1E">
        <w:rPr>
          <w:b/>
          <w:bCs/>
          <w:smallCaps w:val="0"/>
          <w:color w:val="262626" w:themeColor="text1" w:themeTint="D9"/>
          <w:vertAlign w:val="superscript"/>
          <w:lang w:eastAsia="en-US" w:bidi="ar-SA"/>
        </w:rPr>
        <w:footnoteReference w:id="55"/>
      </w:r>
    </w:p>
    <w:bookmarkEnd w:id="134"/>
    <w:p w14:paraId="1D840981" w14:textId="77777777" w:rsidR="0094794D" w:rsidRPr="009F6D1E" w:rsidRDefault="0094794D" w:rsidP="0084747F">
      <w:pPr>
        <w:spacing w:after="60" w:line="264" w:lineRule="auto"/>
        <w:ind w:firstLine="709"/>
        <w:jc w:val="both"/>
        <w:rPr>
          <w:rFonts w:cs="Times New Roman"/>
          <w:szCs w:val="24"/>
        </w:rPr>
      </w:pPr>
    </w:p>
    <w:p w14:paraId="6D6D68AF" w14:textId="77777777" w:rsidR="001931F5" w:rsidRPr="009F6D1E" w:rsidRDefault="001931F5" w:rsidP="0084747F">
      <w:pPr>
        <w:spacing w:after="60" w:line="264" w:lineRule="auto"/>
        <w:ind w:firstLine="709"/>
        <w:jc w:val="both"/>
        <w:rPr>
          <w:rFonts w:cs="Times New Roman"/>
          <w:szCs w:val="24"/>
        </w:rPr>
      </w:pPr>
      <w:r w:rsidRPr="009F6D1E">
        <w:rPr>
          <w:rFonts w:cs="Times New Roman"/>
          <w:szCs w:val="24"/>
        </w:rPr>
        <w:t xml:space="preserve">С плана се поставя мисията за защита на горите и горските ресурси, природосъобразно развитие, управление по устойчив начин в рамките на екосистемната цялост и предоставяне на многостранни ползи на обществото. </w:t>
      </w:r>
    </w:p>
    <w:p w14:paraId="19560513" w14:textId="0A401250" w:rsidR="001931F5" w:rsidRPr="009F6D1E" w:rsidRDefault="001931F5" w:rsidP="0084747F">
      <w:pPr>
        <w:spacing w:after="60" w:line="264" w:lineRule="auto"/>
        <w:ind w:firstLine="709"/>
        <w:jc w:val="both"/>
        <w:rPr>
          <w:rFonts w:cs="Times New Roman"/>
          <w:szCs w:val="24"/>
        </w:rPr>
      </w:pPr>
      <w:r w:rsidRPr="009F6D1E">
        <w:rPr>
          <w:rFonts w:cs="Times New Roman"/>
          <w:szCs w:val="24"/>
        </w:rPr>
        <w:t xml:space="preserve">Планът има отношение към </w:t>
      </w:r>
      <w:r w:rsidR="00D45010">
        <w:rPr>
          <w:rFonts w:cs="Times New Roman"/>
          <w:bCs/>
          <w:iCs/>
          <w:szCs w:val="24"/>
        </w:rPr>
        <w:t>СПРЗСР</w:t>
      </w:r>
      <w:r w:rsidRPr="009F6D1E">
        <w:rPr>
          <w:rFonts w:cs="Times New Roman"/>
          <w:szCs w:val="24"/>
        </w:rPr>
        <w:t xml:space="preserve"> и по-специално към </w:t>
      </w:r>
      <w:r w:rsidR="00D45010">
        <w:rPr>
          <w:rFonts w:cs="Times New Roman"/>
          <w:i/>
          <w:iCs/>
          <w:szCs w:val="24"/>
        </w:rPr>
        <w:t>Специфични цели 4 и 6</w:t>
      </w:r>
      <w:r w:rsidRPr="009F6D1E">
        <w:rPr>
          <w:rFonts w:cs="Times New Roman"/>
          <w:szCs w:val="24"/>
        </w:rPr>
        <w:t xml:space="preserve">. </w:t>
      </w:r>
    </w:p>
    <w:p w14:paraId="140D7B5A" w14:textId="77777777" w:rsidR="001931F5" w:rsidRPr="009F6D1E" w:rsidRDefault="001931F5" w:rsidP="0084747F">
      <w:pPr>
        <w:spacing w:after="60" w:line="264" w:lineRule="auto"/>
        <w:ind w:firstLine="709"/>
        <w:jc w:val="both"/>
        <w:rPr>
          <w:rFonts w:cs="Times New Roman"/>
          <w:szCs w:val="24"/>
        </w:rPr>
      </w:pPr>
      <w:bookmarkStart w:id="135" w:name="_Hlk98758396"/>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стратегията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bookmarkEnd w:id="135"/>
    <w:p w14:paraId="6441F02E" w14:textId="77777777" w:rsidR="00251F7F" w:rsidRPr="009F6D1E" w:rsidRDefault="00251F7F" w:rsidP="0084747F">
      <w:pPr>
        <w:spacing w:after="60" w:line="264" w:lineRule="auto"/>
        <w:ind w:firstLine="709"/>
        <w:jc w:val="both"/>
        <w:rPr>
          <w:rFonts w:cs="Times New Roman"/>
          <w:szCs w:val="24"/>
        </w:rPr>
      </w:pPr>
    </w:p>
    <w:p w14:paraId="50A7EF4C" w14:textId="77777777" w:rsidR="00251F7F" w:rsidRPr="009F6D1E" w:rsidRDefault="00251F7F">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за предотвратяване и намаляване на загубата на храни 2021 - 2026</w:t>
      </w:r>
    </w:p>
    <w:bookmarkEnd w:id="86"/>
    <w:p w14:paraId="5594279A" w14:textId="77777777" w:rsidR="0094794D" w:rsidRPr="009F6D1E" w:rsidRDefault="0094794D" w:rsidP="0084747F">
      <w:pPr>
        <w:spacing w:after="60" w:line="264" w:lineRule="auto"/>
        <w:ind w:firstLine="708"/>
        <w:jc w:val="both"/>
        <w:rPr>
          <w:rFonts w:cs="Times New Roman"/>
          <w:szCs w:val="24"/>
          <w:lang w:eastAsia="bg-BG"/>
        </w:rPr>
      </w:pPr>
    </w:p>
    <w:p w14:paraId="2FC0157D" w14:textId="77777777" w:rsidR="00251F7F" w:rsidRPr="009F6D1E" w:rsidRDefault="00251F7F" w:rsidP="0084747F">
      <w:pPr>
        <w:spacing w:after="60" w:line="264" w:lineRule="auto"/>
        <w:ind w:firstLine="708"/>
        <w:jc w:val="both"/>
        <w:rPr>
          <w:rFonts w:cs="Times New Roman"/>
          <w:szCs w:val="24"/>
          <w:lang w:eastAsia="bg-BG"/>
        </w:rPr>
      </w:pPr>
      <w:r w:rsidRPr="009F6D1E">
        <w:rPr>
          <w:rFonts w:cs="Times New Roman"/>
          <w:szCs w:val="24"/>
          <w:lang w:eastAsia="bg-BG"/>
        </w:rPr>
        <w:t xml:space="preserve">Националната програма за предотвратяване и намаляване на загубата на храни включва следните области на действие: </w:t>
      </w:r>
    </w:p>
    <w:p w14:paraId="77052E61" w14:textId="77777777" w:rsidR="00251F7F" w:rsidRPr="009F6D1E" w:rsidRDefault="00251F7F">
      <w:pPr>
        <w:pStyle w:val="ListParagraph"/>
        <w:numPr>
          <w:ilvl w:val="0"/>
          <w:numId w:val="55"/>
        </w:numPr>
        <w:spacing w:after="60" w:line="264" w:lineRule="auto"/>
        <w:jc w:val="both"/>
        <w:rPr>
          <w:lang w:val="bg-BG"/>
        </w:rPr>
      </w:pPr>
      <w:r w:rsidRPr="009F6D1E">
        <w:rPr>
          <w:lang w:val="bg-BG"/>
        </w:rPr>
        <w:t xml:space="preserve">предотвратяване (превенция) загуби (нереализиран излишък) на храни; </w:t>
      </w:r>
    </w:p>
    <w:p w14:paraId="1CD13481" w14:textId="77777777" w:rsidR="00251F7F" w:rsidRPr="009F6D1E" w:rsidRDefault="00251F7F">
      <w:pPr>
        <w:pStyle w:val="ListParagraph"/>
        <w:numPr>
          <w:ilvl w:val="0"/>
          <w:numId w:val="55"/>
        </w:numPr>
        <w:spacing w:after="60" w:line="264" w:lineRule="auto"/>
        <w:jc w:val="both"/>
        <w:rPr>
          <w:lang w:val="bg-BG"/>
        </w:rPr>
      </w:pPr>
      <w:r w:rsidRPr="009F6D1E">
        <w:rPr>
          <w:lang w:val="bg-BG"/>
        </w:rPr>
        <w:t xml:space="preserve">преразпределение на нереализирани годни храни за консумация от нуждаещи се лица;  </w:t>
      </w:r>
    </w:p>
    <w:p w14:paraId="20D7F6AE" w14:textId="77777777" w:rsidR="00251F7F" w:rsidRPr="009F6D1E" w:rsidRDefault="00251F7F">
      <w:pPr>
        <w:pStyle w:val="ListParagraph"/>
        <w:numPr>
          <w:ilvl w:val="0"/>
          <w:numId w:val="55"/>
        </w:numPr>
        <w:spacing w:after="60" w:line="264" w:lineRule="auto"/>
        <w:jc w:val="both"/>
        <w:rPr>
          <w:lang w:val="bg-BG"/>
        </w:rPr>
      </w:pPr>
      <w:r w:rsidRPr="009F6D1E">
        <w:rPr>
          <w:lang w:val="bg-BG"/>
        </w:rPr>
        <w:t xml:space="preserve">осведоменост и информиране на обществото за проблема със загубата и разхищението на храни. </w:t>
      </w:r>
    </w:p>
    <w:p w14:paraId="181F456F" w14:textId="77777777" w:rsidR="00251F7F" w:rsidRPr="009F6D1E" w:rsidRDefault="00251F7F" w:rsidP="0084747F">
      <w:pPr>
        <w:spacing w:after="60" w:line="264" w:lineRule="auto"/>
        <w:ind w:firstLine="708"/>
        <w:jc w:val="both"/>
        <w:rPr>
          <w:rFonts w:cs="Times New Roman"/>
          <w:szCs w:val="24"/>
          <w:lang w:eastAsia="bg-BG"/>
        </w:rPr>
      </w:pPr>
      <w:r w:rsidRPr="009F6D1E">
        <w:rPr>
          <w:rFonts w:cs="Times New Roman"/>
          <w:szCs w:val="24"/>
          <w:lang w:eastAsia="bg-BG"/>
        </w:rPr>
        <w:t>За изпълнение на Националната програма е изготвен План за действие, съдържащ конкретни мерки за намаляване на загубите и разхищението на храни, срокове за изпълнение и отговорни институции.</w:t>
      </w:r>
    </w:p>
    <w:p w14:paraId="02B76D19" w14:textId="77777777" w:rsidR="00251F7F" w:rsidRPr="009F6D1E" w:rsidRDefault="00251F7F" w:rsidP="0084747F">
      <w:pPr>
        <w:spacing w:after="60" w:line="264" w:lineRule="auto"/>
        <w:ind w:firstLine="708"/>
        <w:jc w:val="both"/>
        <w:rPr>
          <w:rFonts w:cs="Times New Roman"/>
          <w:bCs/>
          <w:szCs w:val="24"/>
        </w:rPr>
      </w:pPr>
      <w:r w:rsidRPr="009F6D1E">
        <w:rPr>
          <w:rFonts w:cs="Times New Roman"/>
          <w:b/>
          <w:bCs/>
          <w:i/>
          <w:szCs w:val="24"/>
        </w:rPr>
        <w:t xml:space="preserve">Стратегическа цел: </w:t>
      </w:r>
      <w:r w:rsidRPr="009F6D1E">
        <w:rPr>
          <w:rFonts w:cs="Times New Roman"/>
          <w:bCs/>
          <w:szCs w:val="24"/>
        </w:rPr>
        <w:t xml:space="preserve">Поетапно намаляване на загубите и разхищението на храни за постигане на цел 12.3 на ООН чрез формиране и провеждане на национална политика: </w:t>
      </w:r>
    </w:p>
    <w:p w14:paraId="51E10D48" w14:textId="77777777" w:rsidR="00251F7F" w:rsidRPr="009F6D1E" w:rsidRDefault="00251F7F">
      <w:pPr>
        <w:pStyle w:val="ListParagraph"/>
        <w:numPr>
          <w:ilvl w:val="0"/>
          <w:numId w:val="54"/>
        </w:numPr>
        <w:spacing w:after="60" w:line="264" w:lineRule="auto"/>
        <w:jc w:val="both"/>
        <w:rPr>
          <w:bCs/>
          <w:lang w:val="bg-BG"/>
        </w:rPr>
      </w:pPr>
      <w:r w:rsidRPr="009F6D1E">
        <w:rPr>
          <w:bCs/>
          <w:lang w:val="bg-BG"/>
        </w:rPr>
        <w:t xml:space="preserve">до 2026 г. - намаляване на загубите с 25%; </w:t>
      </w:r>
    </w:p>
    <w:p w14:paraId="41C75BA6" w14:textId="77777777" w:rsidR="00251F7F" w:rsidRPr="009F6D1E" w:rsidRDefault="00251F7F">
      <w:pPr>
        <w:pStyle w:val="ListParagraph"/>
        <w:numPr>
          <w:ilvl w:val="0"/>
          <w:numId w:val="54"/>
        </w:numPr>
        <w:spacing w:after="60" w:line="264" w:lineRule="auto"/>
        <w:jc w:val="both"/>
        <w:rPr>
          <w:bCs/>
          <w:lang w:val="bg-BG"/>
        </w:rPr>
      </w:pPr>
      <w:r w:rsidRPr="009F6D1E">
        <w:rPr>
          <w:bCs/>
          <w:lang w:val="bg-BG"/>
        </w:rPr>
        <w:t>до 2030 г. – редуциране на загубите до постигане на заложените цели.</w:t>
      </w:r>
    </w:p>
    <w:p w14:paraId="1813CDA4" w14:textId="77777777" w:rsidR="00251F7F" w:rsidRPr="009F6D1E" w:rsidRDefault="00251F7F" w:rsidP="0084747F">
      <w:pPr>
        <w:tabs>
          <w:tab w:val="left" w:pos="3520"/>
        </w:tabs>
        <w:spacing w:after="60" w:line="264" w:lineRule="auto"/>
        <w:ind w:firstLine="708"/>
        <w:jc w:val="both"/>
        <w:rPr>
          <w:rFonts w:cs="Times New Roman"/>
          <w:b/>
          <w:bCs/>
          <w:i/>
          <w:szCs w:val="24"/>
        </w:rPr>
      </w:pPr>
      <w:r w:rsidRPr="009F6D1E">
        <w:rPr>
          <w:rFonts w:cs="Times New Roman"/>
          <w:b/>
          <w:bCs/>
          <w:i/>
          <w:szCs w:val="24"/>
        </w:rPr>
        <w:t xml:space="preserve">Оперативни цели: </w:t>
      </w:r>
    </w:p>
    <w:p w14:paraId="4AC4DA5A" w14:textId="77777777" w:rsidR="00251F7F" w:rsidRPr="009F6D1E" w:rsidRDefault="00251F7F" w:rsidP="0084747F">
      <w:pPr>
        <w:tabs>
          <w:tab w:val="left" w:pos="3520"/>
        </w:tabs>
        <w:spacing w:after="60" w:line="264" w:lineRule="auto"/>
        <w:ind w:firstLine="708"/>
        <w:jc w:val="both"/>
        <w:rPr>
          <w:rFonts w:cs="Times New Roman"/>
          <w:bCs/>
          <w:szCs w:val="24"/>
        </w:rPr>
      </w:pPr>
      <w:r w:rsidRPr="009F6D1E">
        <w:rPr>
          <w:rFonts w:cs="Times New Roman"/>
          <w:bCs/>
          <w:szCs w:val="24"/>
        </w:rPr>
        <w:t>Националната програма за предотвратяване и намаляване на загубата на храни е съставена от пет оперативни цели:</w:t>
      </w:r>
    </w:p>
    <w:p w14:paraId="7CF99D5C" w14:textId="77777777" w:rsidR="00251F7F" w:rsidRPr="009F6D1E" w:rsidRDefault="00251F7F" w:rsidP="0084747F">
      <w:pPr>
        <w:tabs>
          <w:tab w:val="left" w:pos="3520"/>
        </w:tabs>
        <w:spacing w:after="60" w:line="264" w:lineRule="auto"/>
        <w:ind w:firstLine="708"/>
        <w:jc w:val="both"/>
        <w:rPr>
          <w:rFonts w:cs="Times New Roman"/>
          <w:bCs/>
          <w:szCs w:val="24"/>
        </w:rPr>
      </w:pPr>
      <w:r w:rsidRPr="009F6D1E">
        <w:rPr>
          <w:rFonts w:cs="Times New Roman"/>
          <w:bCs/>
          <w:szCs w:val="24"/>
        </w:rPr>
        <w:t>1. Получаване на адекватна, измерима и съпоставима информация за резултатите от всички измервания, свързани с нивата на загубите на храни.</w:t>
      </w:r>
    </w:p>
    <w:p w14:paraId="0F16DD7E" w14:textId="77777777" w:rsidR="00251F7F" w:rsidRPr="009F6D1E" w:rsidRDefault="00251F7F" w:rsidP="0084747F">
      <w:pPr>
        <w:tabs>
          <w:tab w:val="left" w:pos="3520"/>
        </w:tabs>
        <w:spacing w:after="60" w:line="264" w:lineRule="auto"/>
        <w:ind w:firstLine="708"/>
        <w:jc w:val="both"/>
        <w:rPr>
          <w:rFonts w:cs="Times New Roman"/>
          <w:szCs w:val="24"/>
        </w:rPr>
      </w:pPr>
      <w:r w:rsidRPr="009F6D1E">
        <w:rPr>
          <w:rFonts w:cs="Times New Roman"/>
          <w:szCs w:val="24"/>
        </w:rPr>
        <w:t>2. Подкрепа на участниците в отделните етапи на хранителната верига за предприемане на ефективни мерки за предотвратяване и намаляване на загубите на храни.</w:t>
      </w:r>
    </w:p>
    <w:p w14:paraId="7B3BE30B" w14:textId="77777777" w:rsidR="00251F7F" w:rsidRPr="009F6D1E" w:rsidRDefault="00251F7F" w:rsidP="0084747F">
      <w:pPr>
        <w:spacing w:after="60" w:line="264" w:lineRule="auto"/>
        <w:ind w:firstLine="708"/>
        <w:jc w:val="both"/>
        <w:rPr>
          <w:rFonts w:cs="Times New Roman"/>
          <w:szCs w:val="24"/>
        </w:rPr>
      </w:pPr>
      <w:r w:rsidRPr="009F6D1E">
        <w:rPr>
          <w:rFonts w:cs="Times New Roman"/>
          <w:szCs w:val="24"/>
        </w:rPr>
        <w:t>3.</w:t>
      </w:r>
      <w:r w:rsidRPr="009F6D1E">
        <w:rPr>
          <w:rFonts w:cs="Times New Roman"/>
          <w:b/>
          <w:szCs w:val="24"/>
        </w:rPr>
        <w:t xml:space="preserve"> </w:t>
      </w:r>
      <w:r w:rsidRPr="009F6D1E">
        <w:rPr>
          <w:rFonts w:cs="Times New Roman"/>
          <w:szCs w:val="24"/>
        </w:rPr>
        <w:t>Промяна в поведението и отношението на потребителите към храната.</w:t>
      </w:r>
    </w:p>
    <w:p w14:paraId="438206A5" w14:textId="77777777" w:rsidR="00251F7F" w:rsidRPr="009F6D1E" w:rsidRDefault="00251F7F" w:rsidP="0084747F">
      <w:pPr>
        <w:spacing w:after="60" w:line="264" w:lineRule="auto"/>
        <w:ind w:firstLine="708"/>
        <w:jc w:val="both"/>
        <w:rPr>
          <w:rFonts w:cs="Times New Roman"/>
          <w:szCs w:val="24"/>
        </w:rPr>
      </w:pPr>
      <w:r w:rsidRPr="009F6D1E">
        <w:rPr>
          <w:rFonts w:cs="Times New Roman"/>
          <w:szCs w:val="24"/>
        </w:rPr>
        <w:t>4.</w:t>
      </w:r>
      <w:r w:rsidRPr="009F6D1E">
        <w:rPr>
          <w:rFonts w:cs="Times New Roman"/>
          <w:b/>
          <w:szCs w:val="24"/>
        </w:rPr>
        <w:t xml:space="preserve"> </w:t>
      </w:r>
      <w:r w:rsidRPr="009F6D1E">
        <w:rPr>
          <w:rFonts w:cs="Times New Roman"/>
          <w:szCs w:val="24"/>
        </w:rPr>
        <w:t>Прилагане на мерки за предотвратяване на загубите и разхищението на храни на всички етапи от хранителната верига.</w:t>
      </w:r>
    </w:p>
    <w:p w14:paraId="6E45C646" w14:textId="77777777" w:rsidR="00251F7F" w:rsidRPr="009F6D1E" w:rsidRDefault="00251F7F" w:rsidP="0084747F">
      <w:pPr>
        <w:spacing w:after="60" w:line="264" w:lineRule="auto"/>
        <w:ind w:firstLine="708"/>
        <w:contextualSpacing/>
        <w:jc w:val="both"/>
        <w:rPr>
          <w:rFonts w:cs="Times New Roman"/>
          <w:szCs w:val="24"/>
        </w:rPr>
      </w:pPr>
      <w:r w:rsidRPr="009F6D1E">
        <w:rPr>
          <w:rFonts w:cs="Times New Roman"/>
          <w:szCs w:val="24"/>
        </w:rPr>
        <w:t>5. Подобряване на преразпределянето на излишъка от годни храни за консумация от нуждаещи се лица.</w:t>
      </w:r>
    </w:p>
    <w:p w14:paraId="05D45F93" w14:textId="010C8F0A" w:rsidR="00CF0F2A" w:rsidRDefault="00CF0F2A"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Националната програма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p w14:paraId="59D83611" w14:textId="72DE2BBD" w:rsidR="00BB0ED7" w:rsidRDefault="00BB0ED7" w:rsidP="0084747F">
      <w:pPr>
        <w:spacing w:after="60" w:line="264" w:lineRule="auto"/>
        <w:ind w:firstLine="709"/>
        <w:jc w:val="both"/>
        <w:rPr>
          <w:rFonts w:cs="Times New Roman"/>
          <w:szCs w:val="24"/>
        </w:rPr>
      </w:pPr>
    </w:p>
    <w:p w14:paraId="5040EE6A" w14:textId="77777777" w:rsidR="003446CF" w:rsidRPr="009F6D1E" w:rsidRDefault="003446CF" w:rsidP="0084747F">
      <w:pPr>
        <w:spacing w:after="60" w:line="264" w:lineRule="auto"/>
        <w:ind w:firstLine="709"/>
        <w:jc w:val="both"/>
        <w:rPr>
          <w:rFonts w:cs="Times New Roman"/>
          <w:szCs w:val="24"/>
        </w:rPr>
      </w:pPr>
    </w:p>
    <w:p w14:paraId="3F632C7F" w14:textId="77777777" w:rsidR="00CF0F2A" w:rsidRPr="009F6D1E" w:rsidRDefault="00CF0F2A" w:rsidP="0084747F">
      <w:pPr>
        <w:spacing w:after="60" w:line="264" w:lineRule="auto"/>
        <w:ind w:firstLine="708"/>
        <w:contextualSpacing/>
        <w:jc w:val="both"/>
        <w:rPr>
          <w:rFonts w:cs="Times New Roman"/>
          <w:szCs w:val="24"/>
        </w:rPr>
      </w:pPr>
    </w:p>
    <w:p w14:paraId="5AAED06A" w14:textId="77777777" w:rsidR="00251F7F" w:rsidRPr="009F6D1E" w:rsidRDefault="008C3F83">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Национален план за действие за развитие на биологичното производство до 2027г</w:t>
      </w:r>
      <w:r w:rsidR="002D519A" w:rsidRPr="009F6D1E">
        <w:rPr>
          <w:b/>
          <w:bCs/>
          <w:smallCaps w:val="0"/>
          <w:color w:val="262626" w:themeColor="text1" w:themeTint="D9"/>
          <w:lang w:eastAsia="en-US" w:bidi="ar-SA"/>
        </w:rPr>
        <w:t>.</w:t>
      </w:r>
    </w:p>
    <w:p w14:paraId="7F7E48E6" w14:textId="77777777" w:rsidR="0094794D" w:rsidRPr="009F6D1E" w:rsidRDefault="0094794D" w:rsidP="0084747F">
      <w:pPr>
        <w:spacing w:after="60" w:line="264" w:lineRule="auto"/>
        <w:ind w:firstLine="708"/>
        <w:contextualSpacing/>
        <w:jc w:val="both"/>
        <w:rPr>
          <w:rFonts w:cs="Times New Roman"/>
          <w:szCs w:val="24"/>
        </w:rPr>
      </w:pPr>
    </w:p>
    <w:p w14:paraId="2ABF89F4" w14:textId="30274B09" w:rsidR="002D519A" w:rsidRPr="009F6D1E" w:rsidRDefault="00CF0F2A" w:rsidP="0084747F">
      <w:pPr>
        <w:spacing w:after="60" w:line="264" w:lineRule="auto"/>
        <w:ind w:firstLine="708"/>
        <w:contextualSpacing/>
        <w:jc w:val="both"/>
        <w:rPr>
          <w:rFonts w:cs="Times New Roman"/>
          <w:szCs w:val="24"/>
        </w:rPr>
      </w:pPr>
      <w:r w:rsidRPr="009F6D1E">
        <w:rPr>
          <w:rFonts w:cs="Times New Roman"/>
          <w:szCs w:val="24"/>
        </w:rPr>
        <w:t>Националните стратегически цели за развитие на биологичното произ</w:t>
      </w:r>
      <w:r w:rsidR="00BB0ED7">
        <w:rPr>
          <w:rFonts w:cs="Times New Roman"/>
          <w:szCs w:val="24"/>
        </w:rPr>
        <w:t>в</w:t>
      </w:r>
      <w:r w:rsidRPr="009F6D1E">
        <w:rPr>
          <w:rFonts w:cs="Times New Roman"/>
          <w:szCs w:val="24"/>
        </w:rPr>
        <w:t>одство до 2027 година са формулирани в резултат от постигнат консенсус между всички заинтересовани страни в био-сектора.</w:t>
      </w:r>
    </w:p>
    <w:p w14:paraId="111C2CC9" w14:textId="77777777" w:rsidR="00CF0F2A" w:rsidRPr="009F6D1E" w:rsidRDefault="00CF0F2A" w:rsidP="0084747F">
      <w:pPr>
        <w:widowControl w:val="0"/>
        <w:spacing w:after="60" w:line="264" w:lineRule="auto"/>
        <w:ind w:right="400" w:firstLine="708"/>
        <w:jc w:val="both"/>
        <w:rPr>
          <w:rFonts w:cs="Times New Roman"/>
          <w:szCs w:val="24"/>
        </w:rPr>
      </w:pPr>
      <w:r w:rsidRPr="009F6D1E">
        <w:rPr>
          <w:rFonts w:cs="Times New Roman"/>
          <w:b/>
          <w:bCs/>
          <w:i/>
          <w:iCs/>
          <w:szCs w:val="24"/>
        </w:rPr>
        <w:t>Стратегическа цел 1:</w:t>
      </w:r>
      <w:r w:rsidRPr="009F6D1E">
        <w:rPr>
          <w:rFonts w:cs="Times New Roman"/>
          <w:szCs w:val="24"/>
        </w:rPr>
        <w:t xml:space="preserve"> </w:t>
      </w:r>
      <w:r w:rsidR="005F14CF" w:rsidRPr="009F6D1E">
        <w:rPr>
          <w:rFonts w:cs="Times New Roman"/>
          <w:szCs w:val="24"/>
        </w:rPr>
        <w:t>П</w:t>
      </w:r>
      <w:r w:rsidRPr="009F6D1E">
        <w:rPr>
          <w:rFonts w:cs="Times New Roman"/>
          <w:szCs w:val="24"/>
        </w:rPr>
        <w:t>одобряване на ефективността на биологичното производство и разширяване на националния и външен пазар на биологични продукти</w:t>
      </w:r>
    </w:p>
    <w:p w14:paraId="00EED804" w14:textId="4E892A6D" w:rsidR="00CF0F2A" w:rsidRPr="009F6D1E" w:rsidRDefault="005F14CF" w:rsidP="0084747F">
      <w:pPr>
        <w:widowControl w:val="0"/>
        <w:spacing w:after="60" w:line="264" w:lineRule="auto"/>
        <w:ind w:left="20"/>
        <w:jc w:val="both"/>
        <w:rPr>
          <w:rFonts w:cs="Times New Roman"/>
          <w:szCs w:val="24"/>
        </w:rPr>
      </w:pPr>
      <w:r w:rsidRPr="009F6D1E">
        <w:rPr>
          <w:rFonts w:cs="Times New Roman"/>
          <w:b/>
          <w:bCs/>
          <w:i/>
          <w:iCs/>
          <w:szCs w:val="24"/>
        </w:rPr>
        <w:tab/>
      </w:r>
      <w:r w:rsidR="00CF0F2A" w:rsidRPr="009F6D1E">
        <w:rPr>
          <w:rFonts w:cs="Times New Roman"/>
          <w:b/>
          <w:bCs/>
          <w:i/>
          <w:iCs/>
          <w:szCs w:val="24"/>
        </w:rPr>
        <w:t>Стратегическа цел 2:</w:t>
      </w:r>
      <w:r w:rsidR="00CF0F2A" w:rsidRPr="009F6D1E">
        <w:rPr>
          <w:rFonts w:cs="Times New Roman"/>
          <w:szCs w:val="24"/>
        </w:rPr>
        <w:t xml:space="preserve"> </w:t>
      </w:r>
      <w:r w:rsidRPr="009F6D1E">
        <w:rPr>
          <w:rFonts w:cs="Times New Roman"/>
          <w:szCs w:val="24"/>
        </w:rPr>
        <w:t>П</w:t>
      </w:r>
      <w:r w:rsidR="00CF0F2A" w:rsidRPr="009F6D1E">
        <w:rPr>
          <w:rFonts w:cs="Times New Roman"/>
          <w:szCs w:val="24"/>
        </w:rPr>
        <w:t>оддържане на</w:t>
      </w:r>
      <w:r w:rsidR="00CF0F2A" w:rsidRPr="009F6D1E">
        <w:rPr>
          <w:rFonts w:cs="Times New Roman"/>
          <w:szCs w:val="24"/>
        </w:rPr>
        <w:tab/>
        <w:t xml:space="preserve"> ефективна институционално-нормативна рамка за развитие на биологичното земеделие и на ефективна система на </w:t>
      </w:r>
      <w:r w:rsidR="00BB0ED7">
        <w:rPr>
          <w:rFonts w:cs="Times New Roman"/>
          <w:szCs w:val="24"/>
        </w:rPr>
        <w:t>к</w:t>
      </w:r>
      <w:r w:rsidR="00CF0F2A" w:rsidRPr="009F6D1E">
        <w:rPr>
          <w:rFonts w:cs="Times New Roman"/>
          <w:szCs w:val="24"/>
        </w:rPr>
        <w:t>онтрол и надзор</w:t>
      </w:r>
    </w:p>
    <w:p w14:paraId="65E1BF62" w14:textId="77777777" w:rsidR="00CF0F2A" w:rsidRPr="009F6D1E" w:rsidRDefault="00CF0F2A" w:rsidP="0084747F">
      <w:pPr>
        <w:spacing w:after="60" w:line="264" w:lineRule="auto"/>
        <w:ind w:firstLine="708"/>
        <w:contextualSpacing/>
        <w:jc w:val="both"/>
        <w:rPr>
          <w:rFonts w:eastAsia="Calibri" w:cs="Times New Roman"/>
          <w:b/>
          <w:bCs/>
          <w:i/>
          <w:iCs/>
          <w:szCs w:val="24"/>
        </w:rPr>
      </w:pPr>
      <w:r w:rsidRPr="009F6D1E">
        <w:rPr>
          <w:rFonts w:cs="Times New Roman"/>
          <w:b/>
          <w:bCs/>
          <w:i/>
          <w:iCs/>
          <w:szCs w:val="24"/>
        </w:rPr>
        <w:t xml:space="preserve">Стратегическа цел 3: </w:t>
      </w:r>
      <w:r w:rsidR="005F14CF" w:rsidRPr="009F6D1E">
        <w:rPr>
          <w:rFonts w:cs="Times New Roman"/>
          <w:szCs w:val="24"/>
        </w:rPr>
        <w:t>С</w:t>
      </w:r>
      <w:r w:rsidRPr="009F6D1E">
        <w:rPr>
          <w:rFonts w:cs="Times New Roman"/>
          <w:szCs w:val="24"/>
        </w:rPr>
        <w:t>тимулиране на ориентирали към практиката научни изследвания, образование, обучение и консултантска дейност в областта на биологичното производство</w:t>
      </w:r>
    </w:p>
    <w:p w14:paraId="2077F9B5" w14:textId="77777777" w:rsidR="002D519A" w:rsidRPr="009F6D1E" w:rsidRDefault="002D519A" w:rsidP="0084747F">
      <w:pPr>
        <w:spacing w:after="60" w:line="264" w:lineRule="auto"/>
        <w:contextualSpacing/>
        <w:jc w:val="both"/>
        <w:rPr>
          <w:rFonts w:eastAsia="Calibri" w:cs="Times New Roman"/>
          <w:b/>
          <w:bCs/>
          <w:i/>
          <w:iCs/>
          <w:szCs w:val="24"/>
        </w:rPr>
      </w:pPr>
    </w:p>
    <w:p w14:paraId="35B3514C" w14:textId="77777777" w:rsidR="00CF0F2A" w:rsidRPr="009F6D1E" w:rsidRDefault="00CF0F2A" w:rsidP="0084747F">
      <w:pPr>
        <w:spacing w:after="60" w:line="264" w:lineRule="auto"/>
        <w:ind w:firstLine="709"/>
        <w:jc w:val="both"/>
        <w:rPr>
          <w:rFonts w:cs="Times New Roman"/>
          <w:szCs w:val="24"/>
        </w:rPr>
      </w:pPr>
      <w:bookmarkStart w:id="136" w:name="_Hlk98761008"/>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bookmarkEnd w:id="136"/>
    <w:p w14:paraId="3B42A175" w14:textId="77777777" w:rsidR="00EC0E5C" w:rsidRPr="009F6D1E" w:rsidRDefault="00EC0E5C" w:rsidP="0084747F">
      <w:pPr>
        <w:spacing w:after="60" w:line="264" w:lineRule="auto"/>
        <w:ind w:firstLine="709"/>
        <w:jc w:val="both"/>
        <w:rPr>
          <w:rFonts w:cs="Times New Roman"/>
          <w:szCs w:val="24"/>
        </w:rPr>
      </w:pPr>
    </w:p>
    <w:p w14:paraId="0638DEF9" w14:textId="77777777" w:rsidR="00EC0E5C" w:rsidRPr="009F6D1E" w:rsidRDefault="00EC0E5C">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Актуализиран Национален план за действие за устойчива употреба на пестициди в Република България (период на прилагане 2022 г.)</w:t>
      </w:r>
    </w:p>
    <w:p w14:paraId="4ECEA549" w14:textId="77777777" w:rsidR="0094794D" w:rsidRPr="009F6D1E" w:rsidRDefault="0094794D" w:rsidP="0084747F">
      <w:pPr>
        <w:spacing w:after="60" w:line="264" w:lineRule="auto"/>
        <w:ind w:firstLine="708"/>
        <w:contextualSpacing/>
        <w:jc w:val="both"/>
        <w:rPr>
          <w:rFonts w:cs="Times New Roman"/>
          <w:szCs w:val="24"/>
        </w:rPr>
      </w:pPr>
    </w:p>
    <w:p w14:paraId="68A7CF83" w14:textId="77777777" w:rsidR="00EC0E5C" w:rsidRPr="009F6D1E" w:rsidRDefault="00EC0E5C" w:rsidP="0084747F">
      <w:pPr>
        <w:spacing w:after="60" w:line="264" w:lineRule="auto"/>
        <w:ind w:firstLine="708"/>
        <w:contextualSpacing/>
        <w:jc w:val="both"/>
        <w:rPr>
          <w:rFonts w:cs="Times New Roman"/>
          <w:szCs w:val="24"/>
        </w:rPr>
      </w:pPr>
      <w:r w:rsidRPr="009F6D1E">
        <w:rPr>
          <w:rFonts w:cs="Times New Roman"/>
          <w:szCs w:val="24"/>
        </w:rPr>
        <w:t>За да се намали зависимостта от употребата на пестициди, Националният план за действие за устойчива употреба на пестициди поставя 2 основни цели, всяка от които има дефинирани подцели, както следва:</w:t>
      </w:r>
    </w:p>
    <w:p w14:paraId="08D0C74F" w14:textId="77777777" w:rsidR="00EC0E5C" w:rsidRPr="009F6D1E" w:rsidRDefault="00EC0E5C" w:rsidP="0084747F">
      <w:pPr>
        <w:spacing w:after="60" w:line="264" w:lineRule="auto"/>
        <w:ind w:firstLine="708"/>
        <w:contextualSpacing/>
        <w:jc w:val="both"/>
        <w:rPr>
          <w:rFonts w:cs="Times New Roman"/>
          <w:szCs w:val="24"/>
        </w:rPr>
      </w:pPr>
      <w:bookmarkStart w:id="137" w:name="_Hlk98760956"/>
      <w:r w:rsidRPr="009F6D1E">
        <w:rPr>
          <w:rFonts w:cs="Times New Roman"/>
          <w:b/>
          <w:bCs/>
          <w:szCs w:val="24"/>
        </w:rPr>
        <w:t>Основна цел</w:t>
      </w:r>
      <w:r w:rsidR="001B698A" w:rsidRPr="009F6D1E">
        <w:rPr>
          <w:rFonts w:cs="Times New Roman"/>
          <w:b/>
          <w:bCs/>
          <w:szCs w:val="24"/>
        </w:rPr>
        <w:t xml:space="preserve"> </w:t>
      </w:r>
      <w:r w:rsidRPr="009F6D1E">
        <w:rPr>
          <w:rFonts w:cs="Times New Roman"/>
          <w:b/>
          <w:bCs/>
          <w:szCs w:val="24"/>
        </w:rPr>
        <w:t>1:</w:t>
      </w:r>
      <w:bookmarkEnd w:id="137"/>
      <w:r w:rsidRPr="009F6D1E">
        <w:rPr>
          <w:rFonts w:cs="Times New Roman"/>
          <w:szCs w:val="24"/>
        </w:rPr>
        <w:t xml:space="preserve"> Намаляване на рисковете и въздействието от употребата на пестициди върху здравето на хората и върху околната среда, в т.ч.:</w:t>
      </w:r>
    </w:p>
    <w:p w14:paraId="4C7AD8B2" w14:textId="77777777" w:rsidR="00EC0E5C" w:rsidRPr="009F6D1E" w:rsidRDefault="00EC0E5C">
      <w:pPr>
        <w:pStyle w:val="ListParagraph"/>
        <w:numPr>
          <w:ilvl w:val="0"/>
          <w:numId w:val="57"/>
        </w:numPr>
        <w:spacing w:after="60" w:line="264" w:lineRule="auto"/>
        <w:jc w:val="both"/>
        <w:rPr>
          <w:b/>
          <w:bCs/>
          <w:lang w:val="bg-BG"/>
        </w:rPr>
      </w:pPr>
      <w:r w:rsidRPr="009F6D1E">
        <w:rPr>
          <w:b/>
          <w:bCs/>
          <w:lang w:val="bg-BG"/>
        </w:rPr>
        <w:t>Защита на хората:</w:t>
      </w:r>
    </w:p>
    <w:p w14:paraId="1FD80AF2" w14:textId="77777777" w:rsidR="00EC0E5C" w:rsidRPr="009F6D1E" w:rsidRDefault="00EC0E5C">
      <w:pPr>
        <w:pStyle w:val="ListParagraph"/>
        <w:numPr>
          <w:ilvl w:val="0"/>
          <w:numId w:val="56"/>
        </w:numPr>
        <w:spacing w:after="60" w:line="264" w:lineRule="auto"/>
        <w:jc w:val="both"/>
        <w:rPr>
          <w:lang w:val="bg-BG"/>
        </w:rPr>
      </w:pPr>
      <w:r w:rsidRPr="009F6D1E">
        <w:rPr>
          <w:lang w:val="bg-BG"/>
        </w:rPr>
        <w:t>превантивна защита на консуматорите - чрез намаляване на остатъците от пестициди в храни от растителен произход;</w:t>
      </w:r>
    </w:p>
    <w:p w14:paraId="3E289711" w14:textId="77777777" w:rsidR="00EC0E5C" w:rsidRPr="009F6D1E" w:rsidRDefault="00EC0E5C">
      <w:pPr>
        <w:pStyle w:val="ListParagraph"/>
        <w:numPr>
          <w:ilvl w:val="0"/>
          <w:numId w:val="56"/>
        </w:numPr>
        <w:spacing w:after="60" w:line="264" w:lineRule="auto"/>
        <w:jc w:val="both"/>
        <w:rPr>
          <w:lang w:val="bg-BG"/>
        </w:rPr>
      </w:pPr>
      <w:r w:rsidRPr="009F6D1E">
        <w:rPr>
          <w:lang w:val="bg-BG"/>
        </w:rPr>
        <w:t>намаляване на рисковете от присъствието на остатъци от пестициди в храни, предназначени за децата, като най-уязвима група консуматори;</w:t>
      </w:r>
    </w:p>
    <w:p w14:paraId="36384703" w14:textId="77777777" w:rsidR="00EC0E5C" w:rsidRPr="009F6D1E" w:rsidRDefault="00EC0E5C">
      <w:pPr>
        <w:pStyle w:val="ListParagraph"/>
        <w:numPr>
          <w:ilvl w:val="0"/>
          <w:numId w:val="56"/>
        </w:numPr>
        <w:spacing w:after="60" w:line="264" w:lineRule="auto"/>
        <w:jc w:val="both"/>
        <w:rPr>
          <w:lang w:val="bg-BG"/>
        </w:rPr>
      </w:pPr>
      <w:r w:rsidRPr="009F6D1E">
        <w:rPr>
          <w:lang w:val="bg-BG"/>
        </w:rPr>
        <w:t>предотвратяване и/или намаляване рисковете от присъствието на остатъци от пестициди в питейни води и бутилирани води;</w:t>
      </w:r>
    </w:p>
    <w:p w14:paraId="2808FDC8" w14:textId="77777777" w:rsidR="00EC0E5C" w:rsidRPr="009F6D1E" w:rsidRDefault="00EC0E5C">
      <w:pPr>
        <w:pStyle w:val="ListParagraph"/>
        <w:numPr>
          <w:ilvl w:val="0"/>
          <w:numId w:val="56"/>
        </w:numPr>
        <w:spacing w:after="60" w:line="264" w:lineRule="auto"/>
        <w:jc w:val="both"/>
        <w:rPr>
          <w:lang w:val="bg-BG"/>
        </w:rPr>
      </w:pPr>
      <w:r w:rsidRPr="009F6D1E">
        <w:rPr>
          <w:lang w:val="bg-BG"/>
        </w:rPr>
        <w:t>защита на професионални потребители, оператори и селскостопански работници - чрез намаляване на експозицията на пестициди;</w:t>
      </w:r>
    </w:p>
    <w:p w14:paraId="7BFCA444" w14:textId="77777777" w:rsidR="00EC0E5C" w:rsidRPr="009F6D1E" w:rsidRDefault="00EC0E5C">
      <w:pPr>
        <w:pStyle w:val="ListParagraph"/>
        <w:numPr>
          <w:ilvl w:val="0"/>
          <w:numId w:val="56"/>
        </w:numPr>
        <w:spacing w:after="60" w:line="264" w:lineRule="auto"/>
        <w:jc w:val="both"/>
        <w:rPr>
          <w:lang w:val="bg-BG"/>
        </w:rPr>
      </w:pPr>
      <w:r w:rsidRPr="009F6D1E">
        <w:rPr>
          <w:lang w:val="bg-BG"/>
        </w:rPr>
        <w:t>защита на жители и минувачи (случайно пребиваващи или преминаващи лица) в зони, в които се използват пестициди - чрез предотвратяване и/или намаляване на експозицията на посочените лица на въздействието на пестициди;</w:t>
      </w:r>
    </w:p>
    <w:p w14:paraId="2636B0E7" w14:textId="77777777" w:rsidR="00EC0E5C" w:rsidRPr="009F6D1E" w:rsidRDefault="00EC0E5C">
      <w:pPr>
        <w:pStyle w:val="ListParagraph"/>
        <w:numPr>
          <w:ilvl w:val="0"/>
          <w:numId w:val="56"/>
        </w:numPr>
        <w:spacing w:after="60" w:line="264" w:lineRule="auto"/>
        <w:jc w:val="both"/>
        <w:rPr>
          <w:lang w:val="bg-BG"/>
        </w:rPr>
      </w:pPr>
      <w:r w:rsidRPr="009F6D1E">
        <w:rPr>
          <w:lang w:val="bg-BG"/>
        </w:rPr>
        <w:t>защита на широката общественост и уязвими групи от населението - чрез предотвратяване и/или намаляване на рисковете от пестициди в публични пространства и зони за отдих;</w:t>
      </w:r>
    </w:p>
    <w:p w14:paraId="1B2D4C7C" w14:textId="77777777" w:rsidR="00EC0E5C" w:rsidRPr="009F6D1E" w:rsidRDefault="00EC0E5C">
      <w:pPr>
        <w:pStyle w:val="ListParagraph"/>
        <w:numPr>
          <w:ilvl w:val="0"/>
          <w:numId w:val="56"/>
        </w:numPr>
        <w:spacing w:after="60" w:line="264" w:lineRule="auto"/>
        <w:jc w:val="both"/>
        <w:rPr>
          <w:lang w:val="bg-BG"/>
        </w:rPr>
      </w:pPr>
      <w:r w:rsidRPr="009F6D1E">
        <w:rPr>
          <w:lang w:val="bg-BG"/>
        </w:rPr>
        <w:lastRenderedPageBreak/>
        <w:t>защита на непрофесионални потребители, употребяващи пестициди в лични стопанства, градини, дворове и др.</w:t>
      </w:r>
    </w:p>
    <w:p w14:paraId="33DBFE39" w14:textId="77777777" w:rsidR="00EC0E5C" w:rsidRPr="009F6D1E" w:rsidRDefault="00EC0E5C">
      <w:pPr>
        <w:pStyle w:val="ListParagraph"/>
        <w:numPr>
          <w:ilvl w:val="0"/>
          <w:numId w:val="57"/>
        </w:numPr>
        <w:spacing w:after="60" w:line="264" w:lineRule="auto"/>
        <w:jc w:val="both"/>
        <w:rPr>
          <w:b/>
          <w:bCs/>
          <w:lang w:val="bg-BG"/>
        </w:rPr>
      </w:pPr>
      <w:r w:rsidRPr="009F6D1E">
        <w:rPr>
          <w:b/>
          <w:bCs/>
          <w:lang w:val="bg-BG"/>
        </w:rPr>
        <w:t>Опазване на околната среда:</w:t>
      </w:r>
    </w:p>
    <w:p w14:paraId="19B4ADFF" w14:textId="77777777" w:rsidR="00EC0E5C" w:rsidRPr="009F6D1E" w:rsidRDefault="00EC0E5C">
      <w:pPr>
        <w:pStyle w:val="ListParagraph"/>
        <w:numPr>
          <w:ilvl w:val="0"/>
          <w:numId w:val="58"/>
        </w:numPr>
        <w:spacing w:after="60" w:line="264" w:lineRule="auto"/>
        <w:jc w:val="both"/>
        <w:rPr>
          <w:lang w:val="bg-BG"/>
        </w:rPr>
      </w:pPr>
      <w:r w:rsidRPr="009F6D1E">
        <w:rPr>
          <w:lang w:val="bg-BG"/>
        </w:rPr>
        <w:t>предотвратяване и/или намаляване на замърсяването на водите и почвите с пестициди;</w:t>
      </w:r>
    </w:p>
    <w:p w14:paraId="4383C895" w14:textId="77777777" w:rsidR="00EC0E5C" w:rsidRPr="009F6D1E" w:rsidRDefault="00EC0E5C">
      <w:pPr>
        <w:pStyle w:val="ListParagraph"/>
        <w:numPr>
          <w:ilvl w:val="0"/>
          <w:numId w:val="58"/>
        </w:numPr>
        <w:spacing w:after="60" w:line="264" w:lineRule="auto"/>
        <w:jc w:val="both"/>
        <w:rPr>
          <w:lang w:val="bg-BG"/>
        </w:rPr>
      </w:pPr>
      <w:r w:rsidRPr="009F6D1E">
        <w:rPr>
          <w:lang w:val="bg-BG"/>
        </w:rPr>
        <w:t>предотвратяване и/или намаляване рисковете от присъствието на остатъци от пестициди във водоизточниците - повърхностни и подземни води;</w:t>
      </w:r>
    </w:p>
    <w:p w14:paraId="31B2D7C4" w14:textId="77777777" w:rsidR="00EC0E5C" w:rsidRPr="009F6D1E" w:rsidRDefault="00EC0E5C">
      <w:pPr>
        <w:pStyle w:val="ListParagraph"/>
        <w:numPr>
          <w:ilvl w:val="0"/>
          <w:numId w:val="58"/>
        </w:numPr>
        <w:spacing w:after="60" w:line="264" w:lineRule="auto"/>
        <w:jc w:val="both"/>
        <w:rPr>
          <w:lang w:val="bg-BG"/>
        </w:rPr>
      </w:pPr>
      <w:r w:rsidRPr="009F6D1E">
        <w:rPr>
          <w:lang w:val="bg-BG"/>
        </w:rPr>
        <w:t>предотвратяване и/или намаляване на въздействието на пестицидите върху биологичното разнообразие, като специално внимание се обърне на пчелите и другите неприцелни организми.</w:t>
      </w:r>
    </w:p>
    <w:p w14:paraId="350C59AA" w14:textId="77777777" w:rsidR="00EC0E5C" w:rsidRPr="009F6D1E" w:rsidRDefault="001B698A" w:rsidP="0084747F">
      <w:pPr>
        <w:spacing w:after="60" w:line="264" w:lineRule="auto"/>
        <w:ind w:firstLine="708"/>
        <w:contextualSpacing/>
        <w:jc w:val="both"/>
        <w:rPr>
          <w:rFonts w:cs="Times New Roman"/>
          <w:szCs w:val="24"/>
        </w:rPr>
      </w:pPr>
      <w:bookmarkStart w:id="138" w:name="bookmark10"/>
      <w:r w:rsidRPr="009F6D1E">
        <w:rPr>
          <w:rFonts w:cs="Times New Roman"/>
          <w:b/>
          <w:bCs/>
          <w:szCs w:val="24"/>
        </w:rPr>
        <w:t xml:space="preserve">Основна цел 2: </w:t>
      </w:r>
      <w:r w:rsidR="00EC0E5C" w:rsidRPr="009F6D1E">
        <w:rPr>
          <w:rFonts w:cs="Times New Roman"/>
          <w:szCs w:val="24"/>
        </w:rPr>
        <w:t>Насърчаване на интегрираното управление на вредителите и на алтернативни подходи или методи, в т.ч.:</w:t>
      </w:r>
      <w:bookmarkEnd w:id="138"/>
    </w:p>
    <w:p w14:paraId="35D891F8" w14:textId="77777777" w:rsidR="00EC0E5C" w:rsidRPr="009F6D1E" w:rsidRDefault="00EC0E5C">
      <w:pPr>
        <w:pStyle w:val="ListParagraph"/>
        <w:numPr>
          <w:ilvl w:val="0"/>
          <w:numId w:val="59"/>
        </w:numPr>
        <w:spacing w:after="60" w:line="264" w:lineRule="auto"/>
        <w:jc w:val="both"/>
        <w:rPr>
          <w:lang w:val="bg-BG"/>
        </w:rPr>
      </w:pPr>
      <w:r w:rsidRPr="009F6D1E">
        <w:rPr>
          <w:lang w:val="bg-BG"/>
        </w:rPr>
        <w:t>Разработване на системи за интегрирано управление на вредителите и на алтернативни подходи или методи за защита на растенията;</w:t>
      </w:r>
    </w:p>
    <w:p w14:paraId="5064AE4F" w14:textId="77777777" w:rsidR="00EC0E5C" w:rsidRPr="009F6D1E" w:rsidRDefault="00EC0E5C">
      <w:pPr>
        <w:pStyle w:val="ListParagraph"/>
        <w:numPr>
          <w:ilvl w:val="0"/>
          <w:numId w:val="59"/>
        </w:numPr>
        <w:spacing w:after="60" w:line="264" w:lineRule="auto"/>
        <w:jc w:val="both"/>
        <w:rPr>
          <w:lang w:val="bg-BG"/>
        </w:rPr>
      </w:pPr>
      <w:r w:rsidRPr="009F6D1E">
        <w:rPr>
          <w:lang w:val="bg-BG"/>
        </w:rPr>
        <w:t>Въвеждане на интегрираното управление на вредителите - чрез информационни кампании и чрез стимулиране, включително и финансово, на земеделските стопани, прилагащи общите и/или специфичните принципи на интегрирано управление на вредителите;</w:t>
      </w:r>
    </w:p>
    <w:p w14:paraId="417FF706" w14:textId="77777777" w:rsidR="00EC0E5C" w:rsidRPr="009F6D1E" w:rsidRDefault="00EC0E5C">
      <w:pPr>
        <w:pStyle w:val="ListParagraph"/>
        <w:numPr>
          <w:ilvl w:val="0"/>
          <w:numId w:val="59"/>
        </w:numPr>
        <w:spacing w:after="60" w:line="264" w:lineRule="auto"/>
        <w:jc w:val="both"/>
        <w:rPr>
          <w:lang w:val="bg-BG"/>
        </w:rPr>
      </w:pPr>
      <w:r w:rsidRPr="009F6D1E">
        <w:rPr>
          <w:lang w:val="bg-BG"/>
        </w:rPr>
        <w:t>Насърчаване на използването на нехимични алтернативи на пестицидите, там където е възможно.</w:t>
      </w:r>
    </w:p>
    <w:p w14:paraId="6534715A" w14:textId="77777777" w:rsidR="001B698A" w:rsidRPr="009F6D1E" w:rsidRDefault="001B698A"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p w14:paraId="27ED712C" w14:textId="77777777" w:rsidR="00984131" w:rsidRPr="009F6D1E" w:rsidRDefault="00984131" w:rsidP="0084747F">
      <w:pPr>
        <w:spacing w:after="60" w:line="264" w:lineRule="auto"/>
        <w:ind w:firstLine="709"/>
        <w:jc w:val="both"/>
        <w:rPr>
          <w:rFonts w:cs="Times New Roman"/>
          <w:szCs w:val="24"/>
        </w:rPr>
      </w:pPr>
    </w:p>
    <w:p w14:paraId="5B1B78E7" w14:textId="77777777" w:rsidR="00E55A9E" w:rsidRPr="009F6D1E" w:rsidRDefault="00984131">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Стратегия за развитие и управление на водоснабдяването </w:t>
      </w:r>
      <w:r w:rsidR="00E55A9E" w:rsidRPr="009F6D1E">
        <w:rPr>
          <w:b/>
          <w:bCs/>
          <w:smallCaps w:val="0"/>
          <w:color w:val="262626" w:themeColor="text1" w:themeTint="D9"/>
          <w:lang w:eastAsia="en-US" w:bidi="ar-SA"/>
        </w:rPr>
        <w:t xml:space="preserve"> </w:t>
      </w:r>
      <w:r w:rsidRPr="009F6D1E">
        <w:rPr>
          <w:b/>
          <w:bCs/>
          <w:smallCaps w:val="0"/>
          <w:color w:val="262626" w:themeColor="text1" w:themeTint="D9"/>
          <w:lang w:eastAsia="en-US" w:bidi="ar-SA"/>
        </w:rPr>
        <w:t>и канализацията</w:t>
      </w:r>
      <w:r w:rsidR="00E55A9E" w:rsidRPr="009F6D1E">
        <w:rPr>
          <w:b/>
          <w:bCs/>
          <w:smallCaps w:val="0"/>
          <w:color w:val="262626" w:themeColor="text1" w:themeTint="D9"/>
          <w:lang w:eastAsia="en-US" w:bidi="ar-SA"/>
        </w:rPr>
        <w:t xml:space="preserve"> в Република България</w:t>
      </w:r>
      <w:r w:rsidRPr="009F6D1E">
        <w:rPr>
          <w:b/>
          <w:bCs/>
          <w:smallCaps w:val="0"/>
          <w:color w:val="262626" w:themeColor="text1" w:themeTint="D9"/>
          <w:lang w:eastAsia="en-US" w:bidi="ar-SA"/>
        </w:rPr>
        <w:t xml:space="preserve"> за </w:t>
      </w:r>
      <w:r w:rsidR="00E55A9E" w:rsidRPr="009F6D1E">
        <w:rPr>
          <w:b/>
          <w:bCs/>
          <w:smallCaps w:val="0"/>
          <w:color w:val="262626" w:themeColor="text1" w:themeTint="D9"/>
          <w:lang w:eastAsia="en-US" w:bidi="ar-SA"/>
        </w:rPr>
        <w:t>период</w:t>
      </w:r>
      <w:r w:rsidRPr="009F6D1E">
        <w:rPr>
          <w:b/>
          <w:bCs/>
          <w:smallCaps w:val="0"/>
          <w:color w:val="262626" w:themeColor="text1" w:themeTint="D9"/>
          <w:lang w:eastAsia="en-US" w:bidi="ar-SA"/>
        </w:rPr>
        <w:t>а</w:t>
      </w:r>
      <w:r w:rsidR="00E55A9E" w:rsidRPr="009F6D1E">
        <w:rPr>
          <w:b/>
          <w:bCs/>
          <w:smallCaps w:val="0"/>
          <w:color w:val="262626" w:themeColor="text1" w:themeTint="D9"/>
          <w:lang w:eastAsia="en-US" w:bidi="ar-SA"/>
        </w:rPr>
        <w:t xml:space="preserve"> </w:t>
      </w:r>
      <w:r w:rsidRPr="009F6D1E">
        <w:rPr>
          <w:b/>
          <w:bCs/>
          <w:smallCaps w:val="0"/>
          <w:color w:val="262626" w:themeColor="text1" w:themeTint="D9"/>
          <w:lang w:eastAsia="en-US" w:bidi="ar-SA"/>
        </w:rPr>
        <w:t xml:space="preserve">2014 - </w:t>
      </w:r>
      <w:r w:rsidR="00E55A9E" w:rsidRPr="009F6D1E">
        <w:rPr>
          <w:b/>
          <w:bCs/>
          <w:smallCaps w:val="0"/>
          <w:color w:val="262626" w:themeColor="text1" w:themeTint="D9"/>
          <w:lang w:eastAsia="en-US" w:bidi="ar-SA"/>
        </w:rPr>
        <w:t>20</w:t>
      </w:r>
      <w:r w:rsidRPr="009F6D1E">
        <w:rPr>
          <w:b/>
          <w:bCs/>
          <w:smallCaps w:val="0"/>
          <w:color w:val="262626" w:themeColor="text1" w:themeTint="D9"/>
          <w:lang w:eastAsia="en-US" w:bidi="ar-SA"/>
        </w:rPr>
        <w:t>23 г.</w:t>
      </w:r>
      <w:r w:rsidRPr="009F6D1E">
        <w:t xml:space="preserve"> (</w:t>
      </w:r>
      <w:r w:rsidRPr="009F6D1E">
        <w:rPr>
          <w:b/>
          <w:bCs/>
          <w:smallCaps w:val="0"/>
          <w:color w:val="262626" w:themeColor="text1" w:themeTint="D9"/>
          <w:lang w:eastAsia="en-US" w:bidi="ar-SA"/>
        </w:rPr>
        <w:t>одобрена с Решение № 269 от 07.05.2014 г. на Министерския съвет)</w:t>
      </w:r>
      <w:r w:rsidRPr="009F6D1E">
        <w:rPr>
          <w:rStyle w:val="FootnoteReference"/>
          <w:b/>
          <w:bCs/>
          <w:smallCaps w:val="0"/>
          <w:color w:val="262626" w:themeColor="text1" w:themeTint="D9"/>
          <w:lang w:eastAsia="en-US" w:bidi="ar-SA"/>
        </w:rPr>
        <w:footnoteReference w:id="56"/>
      </w:r>
    </w:p>
    <w:p w14:paraId="47FA208A" w14:textId="77777777" w:rsidR="0094794D" w:rsidRPr="009F6D1E" w:rsidRDefault="0094794D" w:rsidP="0084747F">
      <w:pPr>
        <w:spacing w:after="60" w:line="264" w:lineRule="auto"/>
        <w:ind w:firstLine="708"/>
        <w:contextualSpacing/>
        <w:jc w:val="both"/>
        <w:rPr>
          <w:rFonts w:eastAsia="Calibri" w:cs="Times New Roman"/>
          <w:b/>
          <w:bCs/>
          <w:i/>
          <w:iCs/>
          <w:szCs w:val="24"/>
        </w:rPr>
      </w:pPr>
    </w:p>
    <w:p w14:paraId="61BF3A2D" w14:textId="77777777" w:rsidR="00E55A9E" w:rsidRPr="009F6D1E" w:rsidRDefault="00984131" w:rsidP="0084747F">
      <w:pPr>
        <w:spacing w:after="60" w:line="264" w:lineRule="auto"/>
        <w:ind w:firstLine="708"/>
        <w:contextualSpacing/>
        <w:jc w:val="both"/>
        <w:rPr>
          <w:rFonts w:eastAsia="Calibri" w:cs="Times New Roman"/>
          <w:bCs/>
          <w:i/>
          <w:iCs/>
          <w:szCs w:val="24"/>
        </w:rPr>
      </w:pPr>
      <w:r w:rsidRPr="009F6D1E">
        <w:rPr>
          <w:rFonts w:eastAsia="Calibri" w:cs="Times New Roman"/>
          <w:b/>
          <w:bCs/>
          <w:i/>
          <w:iCs/>
          <w:szCs w:val="24"/>
        </w:rPr>
        <w:t>Визията за отрасъл ВиК:</w:t>
      </w:r>
      <w:r w:rsidRPr="009F6D1E">
        <w:rPr>
          <w:rFonts w:cs="Times New Roman"/>
        </w:rPr>
        <w:t xml:space="preserve"> </w:t>
      </w:r>
      <w:r w:rsidRPr="009F6D1E">
        <w:rPr>
          <w:rFonts w:eastAsia="Calibri" w:cs="Times New Roman"/>
          <w:bCs/>
          <w:i/>
          <w:iCs/>
          <w:szCs w:val="24"/>
        </w:rPr>
        <w:t>Желанието на правителството е България да постигне финансово, технически и екологично устойчив ВиК отрасъл, който предоставя ВиК услуги с високо качество на социално поносими за потребителите цени.</w:t>
      </w:r>
    </w:p>
    <w:p w14:paraId="0027CDB5" w14:textId="77777777" w:rsidR="00984131" w:rsidRPr="009F6D1E" w:rsidRDefault="00984131"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Стратегически цели:</w:t>
      </w:r>
    </w:p>
    <w:p w14:paraId="120B47D0" w14:textId="77777777" w:rsidR="00984131" w:rsidRPr="009F6D1E" w:rsidRDefault="00984131"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Съответствие: </w:t>
      </w:r>
      <w:r w:rsidRPr="009F6D1E">
        <w:rPr>
          <w:rFonts w:eastAsia="Calibri" w:cs="Times New Roman"/>
          <w:bCs/>
          <w:iCs/>
          <w:szCs w:val="24"/>
        </w:rPr>
        <w:t>ВиК отрасълът отговаря на националните/европейските изисквания</w:t>
      </w:r>
    </w:p>
    <w:p w14:paraId="55CEACBC" w14:textId="77777777" w:rsidR="00984131" w:rsidRPr="009F6D1E" w:rsidRDefault="00984131"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Устойчивост: </w:t>
      </w:r>
      <w:r w:rsidRPr="009F6D1E">
        <w:rPr>
          <w:rFonts w:eastAsia="Calibri" w:cs="Times New Roman"/>
          <w:bCs/>
          <w:iCs/>
          <w:szCs w:val="24"/>
        </w:rPr>
        <w:t>ВиК отрасълът е екологосъобразен, финансово и технически жизнеспособен</w:t>
      </w:r>
    </w:p>
    <w:p w14:paraId="74C59D03" w14:textId="7F2D6718" w:rsidR="00984131" w:rsidRPr="009F6D1E" w:rsidRDefault="00984131"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Социална поносимост:</w:t>
      </w:r>
      <w:r w:rsidR="00BB0ED7">
        <w:rPr>
          <w:rFonts w:eastAsia="Calibri" w:cs="Times New Roman"/>
          <w:bCs/>
          <w:i/>
          <w:iCs/>
          <w:szCs w:val="24"/>
        </w:rPr>
        <w:t xml:space="preserve"> </w:t>
      </w:r>
      <w:r w:rsidRPr="009F6D1E">
        <w:rPr>
          <w:rFonts w:eastAsia="Calibri" w:cs="Times New Roman"/>
          <w:bCs/>
          <w:iCs/>
          <w:szCs w:val="24"/>
        </w:rPr>
        <w:t>Цените на ВиК услугите са социално поносими за потребителите</w:t>
      </w:r>
    </w:p>
    <w:p w14:paraId="5C258402" w14:textId="77777777" w:rsidR="00EC0E5C" w:rsidRPr="009F6D1E" w:rsidRDefault="00984131"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Качество/цена: </w:t>
      </w:r>
      <w:r w:rsidRPr="009F6D1E">
        <w:rPr>
          <w:rFonts w:eastAsia="Calibri" w:cs="Times New Roman"/>
          <w:bCs/>
          <w:iCs/>
          <w:szCs w:val="24"/>
        </w:rPr>
        <w:t>Качеството на услугите и ефикасността на ВиК операторите съответстват на добрите европейски практики</w:t>
      </w:r>
    </w:p>
    <w:p w14:paraId="26462DC0" w14:textId="77777777" w:rsidR="00984131" w:rsidRPr="009F6D1E" w:rsidRDefault="00984131"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p w14:paraId="6D55DD3D" w14:textId="77777777" w:rsidR="00984131" w:rsidRPr="009F6D1E" w:rsidRDefault="00984131" w:rsidP="0084747F">
      <w:pPr>
        <w:spacing w:after="60" w:line="264" w:lineRule="auto"/>
        <w:ind w:firstLine="709"/>
        <w:jc w:val="both"/>
        <w:rPr>
          <w:rFonts w:cs="Times New Roman"/>
          <w:szCs w:val="24"/>
        </w:rPr>
      </w:pPr>
    </w:p>
    <w:p w14:paraId="121559BC" w14:textId="01F84008" w:rsidR="00984131" w:rsidRPr="009F6D1E" w:rsidRDefault="00984131">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 xml:space="preserve">Национален инвестиционен план за водоснабдяване и канализация, </w:t>
      </w:r>
      <w:hyperlink r:id="rId18" w:history="1">
        <w:r w:rsidRPr="009F6D1E">
          <w:rPr>
            <w:b/>
            <w:bCs/>
            <w:smallCaps w:val="0"/>
            <w:color w:val="262626" w:themeColor="text1" w:themeTint="D9"/>
            <w:lang w:eastAsia="en-US" w:bidi="ar-SA"/>
          </w:rPr>
          <w:t xml:space="preserve">приет с Протоколно решение на Министерския съвет от 31 март </w:t>
        </w:r>
      </w:hyperlink>
      <w:r w:rsidRPr="009F6D1E">
        <w:rPr>
          <w:b/>
          <w:bCs/>
          <w:smallCaps w:val="0"/>
          <w:color w:val="262626" w:themeColor="text1" w:themeTint="D9"/>
          <w:lang w:eastAsia="en-US" w:bidi="ar-SA"/>
        </w:rPr>
        <w:t>2021г.</w:t>
      </w:r>
      <w:r w:rsidRPr="009F6D1E">
        <w:rPr>
          <w:rStyle w:val="FootnoteReference"/>
          <w:b/>
          <w:bCs/>
          <w:smallCaps w:val="0"/>
          <w:color w:val="262626" w:themeColor="text1" w:themeTint="D9"/>
          <w:lang w:eastAsia="en-US" w:bidi="ar-SA"/>
        </w:rPr>
        <w:footnoteReference w:id="57"/>
      </w:r>
      <w:r w:rsidRPr="009F6D1E">
        <w:rPr>
          <w:b/>
          <w:bCs/>
          <w:smallCaps w:val="0"/>
          <w:color w:val="262626" w:themeColor="text1" w:themeTint="D9"/>
          <w:lang w:eastAsia="en-US" w:bidi="ar-SA"/>
        </w:rPr>
        <w:t xml:space="preserve"> </w:t>
      </w:r>
    </w:p>
    <w:p w14:paraId="58203C6A" w14:textId="77777777" w:rsidR="0094794D" w:rsidRPr="009F6D1E" w:rsidRDefault="0094794D" w:rsidP="0084747F">
      <w:pPr>
        <w:spacing w:after="60" w:line="264" w:lineRule="auto"/>
        <w:contextualSpacing/>
        <w:jc w:val="both"/>
        <w:rPr>
          <w:rFonts w:eastAsia="Calibri" w:cs="Times New Roman"/>
          <w:bCs/>
          <w:iCs/>
          <w:szCs w:val="24"/>
        </w:rPr>
      </w:pPr>
    </w:p>
    <w:p w14:paraId="67BA9468" w14:textId="77777777" w:rsidR="00984131" w:rsidRPr="009F6D1E" w:rsidRDefault="00984131" w:rsidP="0094794D">
      <w:pPr>
        <w:spacing w:after="60" w:line="264" w:lineRule="auto"/>
        <w:ind w:firstLine="709"/>
        <w:jc w:val="both"/>
        <w:rPr>
          <w:rFonts w:eastAsia="Calibri" w:cs="Times New Roman"/>
          <w:bCs/>
          <w:iCs/>
          <w:szCs w:val="24"/>
        </w:rPr>
      </w:pPr>
      <w:r w:rsidRPr="009F6D1E">
        <w:rPr>
          <w:rFonts w:eastAsia="Calibri" w:cs="Times New Roman"/>
          <w:bCs/>
          <w:iCs/>
          <w:szCs w:val="24"/>
        </w:rPr>
        <w:t xml:space="preserve">Национален </w:t>
      </w:r>
      <w:r w:rsidRPr="009F6D1E">
        <w:rPr>
          <w:rFonts w:cs="Times New Roman"/>
          <w:szCs w:val="24"/>
        </w:rPr>
        <w:t>инвестиционен</w:t>
      </w:r>
      <w:r w:rsidRPr="009F6D1E">
        <w:rPr>
          <w:rFonts w:eastAsia="Calibri" w:cs="Times New Roman"/>
          <w:bCs/>
          <w:iCs/>
          <w:szCs w:val="24"/>
        </w:rPr>
        <w:t xml:space="preserve"> план, който включва:</w:t>
      </w:r>
    </w:p>
    <w:p w14:paraId="7BDC5B2E" w14:textId="77777777" w:rsidR="00984131" w:rsidRPr="009F6D1E" w:rsidRDefault="00984131" w:rsidP="0094794D">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Оценка на текущото състояние на прилагането на Директивата за пречистването на градските отпадъчни води (ДПГОВ) 91/271/ЕИО и на преработения текст на Директивата за питейната вода (ДПВ) 98/83/ЕО;</w:t>
      </w:r>
    </w:p>
    <w:p w14:paraId="4FA2E826" w14:textId="77777777" w:rsidR="00984131" w:rsidRPr="009F6D1E" w:rsidRDefault="00984131" w:rsidP="0094794D">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Определянето и планирането на публичните инвестиции, включително индикативна финансова оценка, за постигане на съответствие с европейските/националните изисквания, включително и тези, осигуряващи устойчиво функциониране на изградената ВиК инфраструктура и предоставяне на услугите в бъдеще;</w:t>
      </w:r>
    </w:p>
    <w:p w14:paraId="37B0DE22" w14:textId="7CBC289A" w:rsidR="00984131" w:rsidRPr="009F6D1E" w:rsidRDefault="00984131" w:rsidP="0094794D">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Оценка на инвестициите, необходими за обновяване на съществуващата инфраструктура за </w:t>
      </w:r>
      <w:r w:rsidR="00BB0ED7">
        <w:rPr>
          <w:rFonts w:cs="Times New Roman"/>
          <w:szCs w:val="24"/>
          <w:lang w:bidi="bg-BG"/>
        </w:rPr>
        <w:t>в</w:t>
      </w:r>
      <w:r w:rsidRPr="009F6D1E">
        <w:rPr>
          <w:rFonts w:cs="Times New Roman"/>
          <w:szCs w:val="24"/>
          <w:lang w:bidi="bg-BG"/>
        </w:rPr>
        <w:t>одоснабдяване и за отвеждане на отпадъчни води, включително мрежи, в зависимост от тяхната възраст и амортизационни планове;</w:t>
      </w:r>
    </w:p>
    <w:p w14:paraId="1746A083" w14:textId="77777777" w:rsidR="00984131" w:rsidRPr="009F6D1E" w:rsidRDefault="00984131" w:rsidP="0094794D">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Посочване на потенциалните източници на публично финансиране, когато са необходими в допълнение към приходите, генерирани от цените на услугите.</w:t>
      </w:r>
    </w:p>
    <w:p w14:paraId="0B88731F" w14:textId="77777777" w:rsidR="00984131" w:rsidRPr="009F6D1E" w:rsidRDefault="00984131"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p w14:paraId="0CB52237" w14:textId="77777777" w:rsidR="00984131" w:rsidRPr="009F6D1E" w:rsidRDefault="00984131" w:rsidP="0084747F">
      <w:pPr>
        <w:spacing w:after="60" w:line="264" w:lineRule="auto"/>
        <w:contextualSpacing/>
        <w:jc w:val="both"/>
        <w:rPr>
          <w:rFonts w:eastAsia="Calibri" w:cs="Times New Roman"/>
          <w:b/>
          <w:bCs/>
          <w:i/>
          <w:iCs/>
          <w:szCs w:val="24"/>
        </w:rPr>
      </w:pPr>
    </w:p>
    <w:p w14:paraId="1BEE4311" w14:textId="2B954CE0" w:rsidR="00E1278E" w:rsidRPr="009F6D1E" w:rsidRDefault="00E1278E">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Обща стратегия за управление и развитие на хидромелиорациите и защита от вредното въздействие от водите,</w:t>
      </w:r>
      <w:r w:rsidRPr="009F6D1E">
        <w:rPr>
          <w:rFonts w:eastAsiaTheme="minorHAnsi"/>
          <w:i w:val="0"/>
          <w:iCs w:val="0"/>
          <w:smallCaps w:val="0"/>
          <w:sz w:val="22"/>
          <w:szCs w:val="22"/>
          <w:lang w:eastAsia="en-US" w:bidi="ar-SA"/>
        </w:rPr>
        <w:t xml:space="preserve"> </w:t>
      </w:r>
      <w:r w:rsidRPr="009F6D1E">
        <w:rPr>
          <w:b/>
          <w:bCs/>
          <w:smallCaps w:val="0"/>
          <w:color w:val="262626" w:themeColor="text1" w:themeTint="D9"/>
          <w:lang w:eastAsia="en-US" w:bidi="ar-SA"/>
        </w:rPr>
        <w:t>приет</w:t>
      </w:r>
      <w:r w:rsidR="00736E30">
        <w:rPr>
          <w:b/>
          <w:bCs/>
          <w:smallCaps w:val="0"/>
          <w:color w:val="262626" w:themeColor="text1" w:themeTint="D9"/>
          <w:lang w:eastAsia="en-US" w:bidi="ar-SA"/>
        </w:rPr>
        <w:t>а</w:t>
      </w:r>
      <w:r w:rsidRPr="009F6D1E">
        <w:rPr>
          <w:b/>
          <w:bCs/>
          <w:smallCaps w:val="0"/>
          <w:color w:val="262626" w:themeColor="text1" w:themeTint="D9"/>
          <w:lang w:eastAsia="en-US" w:bidi="ar-SA"/>
        </w:rPr>
        <w:t xml:space="preserve"> с Решение № 688 на Министерския съвет от 18.08.2016 г. </w:t>
      </w:r>
      <w:r w:rsidRPr="009F6D1E">
        <w:rPr>
          <w:rStyle w:val="FootnoteReference"/>
          <w:b/>
          <w:bCs/>
          <w:smallCaps w:val="0"/>
          <w:color w:val="262626" w:themeColor="text1" w:themeTint="D9"/>
          <w:lang w:eastAsia="en-US" w:bidi="ar-SA"/>
        </w:rPr>
        <w:footnoteReference w:id="58"/>
      </w:r>
    </w:p>
    <w:p w14:paraId="1E8FA7AA" w14:textId="77777777" w:rsidR="0094794D" w:rsidRPr="009F6D1E" w:rsidRDefault="0094794D" w:rsidP="0084747F">
      <w:pPr>
        <w:spacing w:after="60" w:line="264" w:lineRule="auto"/>
        <w:ind w:firstLine="708"/>
        <w:contextualSpacing/>
        <w:jc w:val="both"/>
        <w:rPr>
          <w:rFonts w:eastAsia="Calibri" w:cs="Times New Roman"/>
          <w:b/>
          <w:bCs/>
          <w:i/>
          <w:iCs/>
          <w:szCs w:val="24"/>
        </w:rPr>
      </w:pPr>
    </w:p>
    <w:p w14:paraId="081FD8FD" w14:textId="77777777" w:rsidR="004131B4" w:rsidRPr="009F6D1E" w:rsidRDefault="004131B4" w:rsidP="0084747F">
      <w:pPr>
        <w:spacing w:after="60" w:line="264" w:lineRule="auto"/>
        <w:ind w:firstLine="708"/>
        <w:contextualSpacing/>
        <w:jc w:val="both"/>
        <w:rPr>
          <w:rFonts w:eastAsia="Calibri" w:cs="Times New Roman"/>
          <w:bCs/>
          <w:i/>
          <w:iCs/>
          <w:szCs w:val="24"/>
        </w:rPr>
      </w:pPr>
      <w:r w:rsidRPr="009F6D1E">
        <w:rPr>
          <w:rFonts w:eastAsia="Calibri" w:cs="Times New Roman"/>
          <w:b/>
          <w:bCs/>
          <w:i/>
          <w:iCs/>
          <w:szCs w:val="24"/>
        </w:rPr>
        <w:t xml:space="preserve">Визия: </w:t>
      </w:r>
      <w:r w:rsidRPr="009F6D1E">
        <w:rPr>
          <w:rFonts w:eastAsia="Calibri" w:cs="Times New Roman"/>
          <w:bCs/>
          <w:i/>
          <w:iCs/>
          <w:szCs w:val="24"/>
        </w:rPr>
        <w:t xml:space="preserve">Възстановяване на ефективен и ефикасен хидромелиоративен сектор за икономически жизнеспособно, конкурентно земеделие, устойчиво на въздействията от изменението на климата и осигуряващо защита от вредното въздействие на водите. </w:t>
      </w:r>
    </w:p>
    <w:p w14:paraId="48D4062D" w14:textId="77777777" w:rsidR="004131B4" w:rsidRPr="009F6D1E" w:rsidRDefault="004131B4"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 xml:space="preserve">Стратегическа цел 1: </w:t>
      </w:r>
      <w:r w:rsidRPr="009F6D1E">
        <w:rPr>
          <w:rFonts w:eastAsia="Calibri" w:cs="Times New Roman"/>
          <w:bCs/>
          <w:iCs/>
          <w:szCs w:val="24"/>
        </w:rPr>
        <w:t xml:space="preserve">Изграждане на правен и институционален капацитет, който да проправи път към автономни и </w:t>
      </w:r>
      <w:proofErr w:type="spellStart"/>
      <w:r w:rsidRPr="009F6D1E">
        <w:rPr>
          <w:rFonts w:eastAsia="Calibri" w:cs="Times New Roman"/>
          <w:bCs/>
          <w:iCs/>
          <w:szCs w:val="24"/>
        </w:rPr>
        <w:t>самофинансиращи</w:t>
      </w:r>
      <w:proofErr w:type="spellEnd"/>
      <w:r w:rsidRPr="009F6D1E">
        <w:rPr>
          <w:rFonts w:eastAsia="Calibri" w:cs="Times New Roman"/>
          <w:bCs/>
          <w:iCs/>
          <w:szCs w:val="24"/>
        </w:rPr>
        <w:t xml:space="preserve"> се организации за управление на финансово устойчиви хидромелиоративни системи.</w:t>
      </w:r>
    </w:p>
    <w:p w14:paraId="08FDC2E5"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1: </w:t>
      </w:r>
      <w:r w:rsidRPr="009F6D1E">
        <w:rPr>
          <w:rFonts w:eastAsia="Calibri" w:cs="Times New Roman"/>
          <w:bCs/>
          <w:iCs/>
          <w:szCs w:val="24"/>
        </w:rPr>
        <w:t>Основна правна и институционална реформа</w:t>
      </w:r>
    </w:p>
    <w:p w14:paraId="0A2A76CE"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2: </w:t>
      </w:r>
      <w:r w:rsidRPr="009F6D1E">
        <w:rPr>
          <w:rFonts w:eastAsia="Calibri" w:cs="Times New Roman"/>
          <w:bCs/>
          <w:iCs/>
          <w:szCs w:val="24"/>
        </w:rPr>
        <w:t>Учредяване на Управителен комитет по хидромелиорациите</w:t>
      </w:r>
    </w:p>
    <w:p w14:paraId="1A1C6560"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3: </w:t>
      </w:r>
      <w:r w:rsidRPr="009F6D1E">
        <w:rPr>
          <w:rFonts w:eastAsia="Calibri" w:cs="Times New Roman"/>
          <w:bCs/>
          <w:iCs/>
          <w:szCs w:val="24"/>
        </w:rPr>
        <w:t>Звено по изпълнение и координация на хидромелиоративната стратегия</w:t>
      </w:r>
    </w:p>
    <w:p w14:paraId="4E69D19E"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1. 4: </w:t>
      </w:r>
      <w:r w:rsidRPr="009F6D1E">
        <w:rPr>
          <w:rFonts w:eastAsia="Calibri" w:cs="Times New Roman"/>
          <w:bCs/>
          <w:iCs/>
          <w:szCs w:val="24"/>
        </w:rPr>
        <w:t>Оптимизиране ролята на дирекция „Хидромелиорации, инвестиционна</w:t>
      </w:r>
    </w:p>
    <w:p w14:paraId="4C9B67A6"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t>политика и концесии“</w:t>
      </w:r>
    </w:p>
    <w:p w14:paraId="00E42F90"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5 (Първи етап). </w:t>
      </w:r>
      <w:r w:rsidRPr="009F6D1E">
        <w:rPr>
          <w:rFonts w:eastAsia="Calibri" w:cs="Times New Roman"/>
          <w:bCs/>
          <w:iCs/>
          <w:szCs w:val="24"/>
        </w:rPr>
        <w:t>Регионални предприятия по хидромелиорации (РПХ)</w:t>
      </w:r>
    </w:p>
    <w:p w14:paraId="4D015C23"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6 (Първи етап): </w:t>
      </w:r>
      <w:r w:rsidRPr="009F6D1E">
        <w:rPr>
          <w:rFonts w:eastAsia="Calibri" w:cs="Times New Roman"/>
          <w:bCs/>
          <w:iCs/>
          <w:szCs w:val="24"/>
        </w:rPr>
        <w:t>Отношения с частния сектор</w:t>
      </w:r>
    </w:p>
    <w:p w14:paraId="483886BA"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1. 7 (Втори етап): </w:t>
      </w:r>
      <w:r w:rsidRPr="009F6D1E">
        <w:rPr>
          <w:rFonts w:eastAsia="Calibri" w:cs="Times New Roman"/>
          <w:bCs/>
          <w:iCs/>
          <w:szCs w:val="24"/>
        </w:rPr>
        <w:t>Регионални органи за управление по на хидромелиорациите</w:t>
      </w:r>
    </w:p>
    <w:p w14:paraId="3B9574F9"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lastRenderedPageBreak/>
        <w:t>(РОУХ)</w:t>
      </w:r>
    </w:p>
    <w:p w14:paraId="6FB54168"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8: </w:t>
      </w:r>
      <w:r w:rsidRPr="009F6D1E">
        <w:rPr>
          <w:rFonts w:eastAsia="Calibri" w:cs="Times New Roman"/>
          <w:bCs/>
          <w:iCs/>
          <w:szCs w:val="24"/>
        </w:rPr>
        <w:t>Укрепване на капацитета на РПХ</w:t>
      </w:r>
    </w:p>
    <w:p w14:paraId="179B2187"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1. 9: </w:t>
      </w:r>
      <w:r w:rsidRPr="009F6D1E">
        <w:rPr>
          <w:rFonts w:eastAsia="Calibri" w:cs="Times New Roman"/>
          <w:bCs/>
          <w:iCs/>
          <w:szCs w:val="24"/>
        </w:rPr>
        <w:t>Създаване и укрепване на Сдруженията за напояване</w:t>
      </w:r>
    </w:p>
    <w:p w14:paraId="3561FD81"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1. 10: </w:t>
      </w:r>
      <w:r w:rsidRPr="009F6D1E">
        <w:rPr>
          <w:rFonts w:eastAsia="Calibri" w:cs="Times New Roman"/>
          <w:bCs/>
          <w:iCs/>
          <w:szCs w:val="24"/>
        </w:rPr>
        <w:t>Национален център за изследвания и обучение по хидромелиорации</w:t>
      </w:r>
    </w:p>
    <w:p w14:paraId="0B46FFF4"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t>(НЦИОХ)</w:t>
      </w:r>
    </w:p>
    <w:p w14:paraId="3DD5EF0F"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1. 11: </w:t>
      </w:r>
      <w:r w:rsidRPr="009F6D1E">
        <w:rPr>
          <w:rFonts w:eastAsia="Calibri" w:cs="Times New Roman"/>
          <w:bCs/>
          <w:iCs/>
          <w:szCs w:val="24"/>
        </w:rPr>
        <w:t>Ценообразуване на СН</w:t>
      </w:r>
    </w:p>
    <w:p w14:paraId="5340EDDC" w14:textId="77777777" w:rsidR="004131B4" w:rsidRPr="009F6D1E" w:rsidRDefault="004131B4" w:rsidP="0084747F">
      <w:pPr>
        <w:spacing w:after="60" w:line="264" w:lineRule="auto"/>
        <w:contextualSpacing/>
        <w:jc w:val="both"/>
        <w:rPr>
          <w:rFonts w:eastAsia="Calibri" w:cs="Times New Roman"/>
          <w:b/>
          <w:bCs/>
          <w:i/>
          <w:iCs/>
          <w:szCs w:val="24"/>
        </w:rPr>
      </w:pPr>
      <w:r w:rsidRPr="009F6D1E">
        <w:rPr>
          <w:rFonts w:eastAsia="Calibri" w:cs="Times New Roman"/>
          <w:bCs/>
          <w:i/>
          <w:iCs/>
          <w:szCs w:val="24"/>
        </w:rPr>
        <w:t>Политика 1. 12:</w:t>
      </w:r>
      <w:r w:rsidRPr="009F6D1E">
        <w:rPr>
          <w:rFonts w:eastAsia="Calibri" w:cs="Times New Roman"/>
          <w:b/>
          <w:bCs/>
          <w:i/>
          <w:iCs/>
          <w:szCs w:val="24"/>
        </w:rPr>
        <w:t xml:space="preserve"> </w:t>
      </w:r>
      <w:r w:rsidRPr="009F6D1E">
        <w:rPr>
          <w:rFonts w:eastAsia="Calibri" w:cs="Times New Roman"/>
          <w:bCs/>
          <w:iCs/>
          <w:szCs w:val="24"/>
        </w:rPr>
        <w:t>Безопасност на язовирите</w:t>
      </w:r>
    </w:p>
    <w:p w14:paraId="7CF201D6" w14:textId="206DAA15" w:rsidR="004131B4" w:rsidRPr="009F6D1E" w:rsidRDefault="004131B4"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 xml:space="preserve">Стратегическа цел 2: </w:t>
      </w:r>
      <w:r w:rsidRPr="009F6D1E">
        <w:rPr>
          <w:rFonts w:eastAsia="Calibri" w:cs="Times New Roman"/>
          <w:bCs/>
          <w:iCs/>
          <w:szCs w:val="24"/>
        </w:rPr>
        <w:t>Засилване на конкурент</w:t>
      </w:r>
      <w:r w:rsidR="00BB0ED7">
        <w:rPr>
          <w:rFonts w:eastAsia="Calibri" w:cs="Times New Roman"/>
          <w:bCs/>
          <w:iCs/>
          <w:szCs w:val="24"/>
        </w:rPr>
        <w:t>осп</w:t>
      </w:r>
      <w:r w:rsidRPr="009F6D1E">
        <w:rPr>
          <w:rFonts w:eastAsia="Calibri" w:cs="Times New Roman"/>
          <w:bCs/>
          <w:iCs/>
          <w:szCs w:val="24"/>
        </w:rPr>
        <w:t xml:space="preserve">особността на селскостопанския сектор чрез осигуряване на дългосрочна перспектива, определяйки инвестиционните приоритети в напояване и отводняване на земеделските стопанства, както и в свързаните услуги. </w:t>
      </w:r>
    </w:p>
    <w:p w14:paraId="6B3D64AD"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2. 1: </w:t>
      </w:r>
      <w:r w:rsidRPr="009F6D1E">
        <w:rPr>
          <w:rFonts w:eastAsia="Calibri" w:cs="Times New Roman"/>
          <w:bCs/>
          <w:iCs/>
          <w:szCs w:val="24"/>
        </w:rPr>
        <w:t>Пазарно жизнеспособна и устойчива на климата структура на поливно</w:t>
      </w:r>
    </w:p>
    <w:p w14:paraId="2D4C3D74"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t>Земеделие</w:t>
      </w:r>
    </w:p>
    <w:p w14:paraId="60DE67AD"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2.2: </w:t>
      </w:r>
      <w:r w:rsidRPr="009F6D1E">
        <w:rPr>
          <w:rFonts w:eastAsia="Calibri" w:cs="Times New Roman"/>
          <w:bCs/>
          <w:iCs/>
          <w:szCs w:val="24"/>
        </w:rPr>
        <w:t>Прилагането на технологии за напояване в стопанствата</w:t>
      </w:r>
    </w:p>
    <w:p w14:paraId="4F3C3E33"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2.3: </w:t>
      </w:r>
      <w:r w:rsidRPr="009F6D1E">
        <w:rPr>
          <w:rFonts w:eastAsia="Calibri" w:cs="Times New Roman"/>
          <w:bCs/>
          <w:iCs/>
          <w:szCs w:val="24"/>
        </w:rPr>
        <w:t>Насърчаване на използването на отводнителна система в и извън</w:t>
      </w:r>
    </w:p>
    <w:p w14:paraId="552B0903"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t>Стопанството</w:t>
      </w:r>
    </w:p>
    <w:p w14:paraId="6F0593CD"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2.4: </w:t>
      </w:r>
      <w:r w:rsidRPr="009F6D1E">
        <w:rPr>
          <w:rFonts w:eastAsia="Calibri" w:cs="Times New Roman"/>
          <w:bCs/>
          <w:iCs/>
          <w:szCs w:val="24"/>
        </w:rPr>
        <w:t>Връзки напред и назад по веригата на поливните земеделски стопанства и земеделско производство</w:t>
      </w:r>
    </w:p>
    <w:p w14:paraId="440405E6"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2.5: </w:t>
      </w:r>
      <w:r w:rsidRPr="009F6D1E">
        <w:rPr>
          <w:rFonts w:eastAsia="Calibri" w:cs="Times New Roman"/>
          <w:bCs/>
          <w:iCs/>
          <w:szCs w:val="24"/>
        </w:rPr>
        <w:t>Насърчаване на предоставянето на съветнически услуги в поливното</w:t>
      </w:r>
    </w:p>
    <w:p w14:paraId="69632E15"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Cs/>
          <w:szCs w:val="24"/>
        </w:rPr>
        <w:t>Земеделие</w:t>
      </w:r>
    </w:p>
    <w:p w14:paraId="1CEBBA31"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2.6: </w:t>
      </w:r>
      <w:r w:rsidRPr="009F6D1E">
        <w:rPr>
          <w:rFonts w:eastAsia="Calibri" w:cs="Times New Roman"/>
          <w:bCs/>
          <w:iCs/>
          <w:szCs w:val="24"/>
        </w:rPr>
        <w:t>Създаване на рамка за програмиране и определяне на приоритетите</w:t>
      </w:r>
    </w:p>
    <w:p w14:paraId="1A52A61F" w14:textId="77777777" w:rsidR="004131B4" w:rsidRPr="009F6D1E" w:rsidRDefault="004131B4"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 xml:space="preserve">Стратегическа цел 3: </w:t>
      </w:r>
      <w:r w:rsidRPr="009F6D1E">
        <w:rPr>
          <w:rFonts w:eastAsia="Calibri" w:cs="Times New Roman"/>
          <w:bCs/>
          <w:iCs/>
          <w:szCs w:val="24"/>
        </w:rPr>
        <w:t>Възстановяване на достъпа до хидромелиоративната инфраструктура на земеделските земи и нейното устойчивото използване чрез инвестиции във възстановяване и модернизация</w:t>
      </w:r>
      <w:r w:rsidRPr="009F6D1E">
        <w:rPr>
          <w:rFonts w:eastAsia="Calibri" w:cs="Times New Roman"/>
          <w:b/>
          <w:bCs/>
          <w:i/>
          <w:iCs/>
          <w:szCs w:val="24"/>
        </w:rPr>
        <w:t xml:space="preserve"> </w:t>
      </w:r>
    </w:p>
    <w:p w14:paraId="6FBBAF34"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3. 1: </w:t>
      </w:r>
      <w:r w:rsidRPr="009F6D1E">
        <w:rPr>
          <w:rFonts w:eastAsia="Calibri" w:cs="Times New Roman"/>
          <w:bCs/>
          <w:iCs/>
          <w:szCs w:val="24"/>
        </w:rPr>
        <w:t>Рехабилитация и модернизация на главната хидромелиоративна инфраструктура</w:t>
      </w:r>
    </w:p>
    <w:p w14:paraId="0E3D43B9"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3.2: </w:t>
      </w:r>
      <w:r w:rsidRPr="009F6D1E">
        <w:rPr>
          <w:rFonts w:eastAsia="Calibri" w:cs="Times New Roman"/>
          <w:bCs/>
          <w:iCs/>
          <w:szCs w:val="24"/>
        </w:rPr>
        <w:t>Интегрирани планове за модернизация на напояването и отводняването (ИПМНО)</w:t>
      </w:r>
    </w:p>
    <w:p w14:paraId="5F5BBDFD"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3.3: </w:t>
      </w:r>
      <w:r w:rsidRPr="009F6D1E">
        <w:rPr>
          <w:rFonts w:eastAsia="Calibri" w:cs="Times New Roman"/>
          <w:bCs/>
          <w:iCs/>
          <w:szCs w:val="24"/>
        </w:rPr>
        <w:t>Обучение и контрол на качеството</w:t>
      </w:r>
    </w:p>
    <w:p w14:paraId="5D946C13" w14:textId="77777777" w:rsidR="004131B4" w:rsidRPr="009F6D1E" w:rsidRDefault="004131B4"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 xml:space="preserve">Стратегическа цел 4: </w:t>
      </w:r>
      <w:r w:rsidRPr="009F6D1E">
        <w:rPr>
          <w:rFonts w:eastAsia="Calibri" w:cs="Times New Roman"/>
          <w:bCs/>
          <w:iCs/>
          <w:szCs w:val="24"/>
        </w:rPr>
        <w:t>Възстановяване на функциониращата инфраструктура за защита на обработваемите земеделски земи от вредното въздействие на водите (напр. корекции на речни корита, оказващи влияние върху хидроморфологичните характеристики), високи нива на подпочвени води и други вредни въздействия на водите.</w:t>
      </w:r>
    </w:p>
    <w:p w14:paraId="2202F497"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 xml:space="preserve">Политика 4.1: </w:t>
      </w:r>
      <w:r w:rsidRPr="009F6D1E">
        <w:rPr>
          <w:rFonts w:eastAsia="Calibri" w:cs="Times New Roman"/>
          <w:bCs/>
          <w:iCs/>
          <w:szCs w:val="24"/>
        </w:rPr>
        <w:t>Насърчаване на инвестициите във възстановяване на инфраструктурата за защита от наводнения и корекции на реки</w:t>
      </w:r>
    </w:p>
    <w:p w14:paraId="666DF69B" w14:textId="77777777" w:rsidR="004131B4" w:rsidRPr="009F6D1E" w:rsidRDefault="004131B4" w:rsidP="0084747F">
      <w:pPr>
        <w:spacing w:after="60" w:line="264" w:lineRule="auto"/>
        <w:contextualSpacing/>
        <w:jc w:val="both"/>
        <w:rPr>
          <w:rFonts w:eastAsia="Calibri" w:cs="Times New Roman"/>
          <w:bCs/>
          <w:iCs/>
          <w:szCs w:val="24"/>
        </w:rPr>
      </w:pPr>
      <w:r w:rsidRPr="009F6D1E">
        <w:rPr>
          <w:rFonts w:eastAsia="Calibri" w:cs="Times New Roman"/>
          <w:bCs/>
          <w:i/>
          <w:iCs/>
          <w:szCs w:val="24"/>
        </w:rPr>
        <w:t xml:space="preserve">Политика 4. 3: </w:t>
      </w:r>
      <w:r w:rsidRPr="009F6D1E">
        <w:rPr>
          <w:rFonts w:eastAsia="Calibri" w:cs="Times New Roman"/>
          <w:bCs/>
          <w:iCs/>
          <w:szCs w:val="24"/>
        </w:rPr>
        <w:t>Мониторинг на кумулативното въздействие на дейностите по отводняване</w:t>
      </w:r>
    </w:p>
    <w:p w14:paraId="239A8987" w14:textId="77777777" w:rsidR="004131B4" w:rsidRPr="009F6D1E" w:rsidRDefault="004131B4" w:rsidP="0084747F">
      <w:pPr>
        <w:spacing w:after="60" w:line="264" w:lineRule="auto"/>
        <w:contextualSpacing/>
        <w:jc w:val="both"/>
        <w:rPr>
          <w:rFonts w:eastAsia="Calibri" w:cs="Times New Roman"/>
          <w:bCs/>
          <w:i/>
          <w:iCs/>
          <w:szCs w:val="24"/>
        </w:rPr>
      </w:pPr>
      <w:r w:rsidRPr="009F6D1E">
        <w:rPr>
          <w:rFonts w:eastAsia="Calibri" w:cs="Times New Roman"/>
          <w:bCs/>
          <w:i/>
          <w:iCs/>
          <w:szCs w:val="24"/>
        </w:rPr>
        <w:t>Политика 4.4:</w:t>
      </w:r>
      <w:r w:rsidRPr="009F6D1E">
        <w:rPr>
          <w:rFonts w:eastAsia="Calibri" w:cs="Times New Roman"/>
          <w:bCs/>
          <w:iCs/>
          <w:szCs w:val="24"/>
        </w:rPr>
        <w:t>Информираност относно плановете за управление на риска от наводнения</w:t>
      </w:r>
    </w:p>
    <w:p w14:paraId="7A9AC520" w14:textId="77777777" w:rsidR="004131B4" w:rsidRPr="009F6D1E" w:rsidRDefault="004131B4"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w:t>
      </w:r>
      <w:r w:rsidR="000A5E04" w:rsidRPr="009F6D1E">
        <w:rPr>
          <w:rFonts w:cs="Times New Roman"/>
          <w:szCs w:val="24"/>
        </w:rPr>
        <w:t>7</w:t>
      </w:r>
      <w:r w:rsidRPr="009F6D1E">
        <w:rPr>
          <w:rFonts w:cs="Times New Roman"/>
          <w:szCs w:val="24"/>
        </w:rPr>
        <w:t>.2 на ДЕО.</w:t>
      </w:r>
    </w:p>
    <w:p w14:paraId="1E894899" w14:textId="77777777" w:rsidR="004131B4" w:rsidRPr="009F6D1E" w:rsidRDefault="004131B4" w:rsidP="0084747F">
      <w:pPr>
        <w:spacing w:after="60" w:line="264" w:lineRule="auto"/>
        <w:contextualSpacing/>
        <w:jc w:val="both"/>
        <w:rPr>
          <w:rFonts w:eastAsia="Calibri" w:cs="Times New Roman"/>
          <w:b/>
          <w:bCs/>
          <w:i/>
          <w:iCs/>
          <w:szCs w:val="24"/>
        </w:rPr>
      </w:pPr>
    </w:p>
    <w:p w14:paraId="13B2E5AF" w14:textId="77777777" w:rsidR="001E17A1" w:rsidRPr="009F6D1E" w:rsidRDefault="001E17A1">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 xml:space="preserve">Национален план за действие за енергия от горска биомаса (2018-2027 г.). </w:t>
      </w:r>
      <w:r w:rsidRPr="009F6D1E">
        <w:rPr>
          <w:rStyle w:val="FootnoteReference"/>
          <w:b/>
          <w:bCs/>
          <w:smallCaps w:val="0"/>
          <w:color w:val="262626" w:themeColor="text1" w:themeTint="D9"/>
          <w:lang w:eastAsia="en-US" w:bidi="ar-SA"/>
        </w:rPr>
        <w:footnoteReference w:id="59"/>
      </w:r>
    </w:p>
    <w:p w14:paraId="512224B8" w14:textId="77777777" w:rsidR="0094794D" w:rsidRPr="009F6D1E" w:rsidRDefault="0094794D" w:rsidP="0084747F">
      <w:pPr>
        <w:spacing w:after="60" w:line="264" w:lineRule="auto"/>
        <w:ind w:firstLine="708"/>
        <w:contextualSpacing/>
        <w:jc w:val="both"/>
        <w:rPr>
          <w:rFonts w:cs="Times New Roman"/>
          <w:b/>
          <w:szCs w:val="24"/>
        </w:rPr>
      </w:pPr>
    </w:p>
    <w:p w14:paraId="25E77EE3" w14:textId="77777777" w:rsidR="001E17A1" w:rsidRPr="009F6D1E" w:rsidRDefault="004A5402" w:rsidP="0084747F">
      <w:pPr>
        <w:spacing w:after="60" w:line="264" w:lineRule="auto"/>
        <w:ind w:firstLine="708"/>
        <w:contextualSpacing/>
        <w:jc w:val="both"/>
        <w:rPr>
          <w:rFonts w:cs="Times New Roman"/>
          <w:szCs w:val="24"/>
        </w:rPr>
      </w:pPr>
      <w:r w:rsidRPr="009F6D1E">
        <w:rPr>
          <w:rFonts w:cs="Times New Roman"/>
          <w:b/>
          <w:szCs w:val="24"/>
        </w:rPr>
        <w:t>Визия</w:t>
      </w:r>
      <w:r w:rsidRPr="009F6D1E">
        <w:rPr>
          <w:rFonts w:cs="Times New Roman"/>
          <w:szCs w:val="24"/>
        </w:rPr>
        <w:t xml:space="preserve"> на Плана за действие: „</w:t>
      </w:r>
      <w:r w:rsidRPr="009F6D1E">
        <w:rPr>
          <w:rFonts w:cs="Times New Roman"/>
          <w:i/>
          <w:szCs w:val="24"/>
        </w:rPr>
        <w:t>Въз основа на подобрена политическа и нормативна рамка, и чрез въвеждане на необходимите стимули и съвременни зелени технологии, енергията от горска биомаса ще бъде по-ефективна, по-достъпна и по-предпочитана от българското общество. Към 2027 г. производството и потреблението на енергията от горска биомаса ще запази и увеличи своето значение за енергийния баланс на България, ще допринесе за намаляване на енергийната зависимост и на смекчаване на влиянието на климатичните промени</w:t>
      </w:r>
      <w:r w:rsidRPr="009F6D1E">
        <w:rPr>
          <w:rFonts w:cs="Times New Roman"/>
          <w:szCs w:val="24"/>
        </w:rPr>
        <w:t>“.</w:t>
      </w:r>
    </w:p>
    <w:p w14:paraId="3CFB8E5A"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1:</w:t>
      </w:r>
      <w:r w:rsidRPr="009F6D1E">
        <w:rPr>
          <w:rFonts w:cs="Times New Roman"/>
          <w:szCs w:val="24"/>
        </w:rPr>
        <w:t xml:space="preserve"> Устойчиво производство на биомаса като възобновяем енергиен</w:t>
      </w:r>
      <w:r w:rsidRPr="009F6D1E">
        <w:rPr>
          <w:rFonts w:cs="Times New Roman"/>
          <w:szCs w:val="24"/>
        </w:rPr>
        <w:br/>
        <w:t>източник.</w:t>
      </w:r>
    </w:p>
    <w:p w14:paraId="1990DBE7"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i/>
          <w:szCs w:val="24"/>
        </w:rPr>
        <w:t>Мярка 1.1:</w:t>
      </w:r>
      <w:r w:rsidRPr="009F6D1E">
        <w:rPr>
          <w:rFonts w:cs="Times New Roman"/>
          <w:szCs w:val="24"/>
        </w:rPr>
        <w:t xml:space="preserve"> Намаляване на енергийната зависимост на страната от фосилни горива.</w:t>
      </w:r>
    </w:p>
    <w:p w14:paraId="6550F226"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i/>
          <w:szCs w:val="24"/>
        </w:rPr>
        <w:t>Дейност 1.1.1</w:t>
      </w:r>
      <w:r w:rsidRPr="009F6D1E">
        <w:rPr>
          <w:rFonts w:cs="Times New Roman"/>
          <w:szCs w:val="24"/>
        </w:rPr>
        <w:t xml:space="preserve"> Повишаване събирането на отпада от дърводобив с цел производство на енергия</w:t>
      </w:r>
    </w:p>
    <w:p w14:paraId="6D6695B6"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i/>
          <w:szCs w:val="24"/>
        </w:rPr>
        <w:t>Дейност 1.1.2.</w:t>
      </w:r>
      <w:r w:rsidRPr="009F6D1E">
        <w:rPr>
          <w:rFonts w:cs="Times New Roman"/>
          <w:szCs w:val="24"/>
        </w:rPr>
        <w:t xml:space="preserve"> Създаване на енергийни култури/плантации от </w:t>
      </w:r>
      <w:proofErr w:type="spellStart"/>
      <w:r w:rsidRPr="009F6D1E">
        <w:rPr>
          <w:rFonts w:cs="Times New Roman"/>
          <w:szCs w:val="24"/>
        </w:rPr>
        <w:t>бързорастящи</w:t>
      </w:r>
      <w:proofErr w:type="spellEnd"/>
      <w:r w:rsidRPr="009F6D1E">
        <w:rPr>
          <w:rFonts w:cs="Times New Roman"/>
          <w:szCs w:val="24"/>
        </w:rPr>
        <w:t xml:space="preserve"> горско- дървесни видове. </w:t>
      </w:r>
    </w:p>
    <w:p w14:paraId="138A5544" w14:textId="77777777" w:rsidR="00741701" w:rsidRPr="009F6D1E" w:rsidRDefault="00741701" w:rsidP="0084747F">
      <w:pPr>
        <w:spacing w:after="60" w:line="264" w:lineRule="auto"/>
        <w:ind w:left="708"/>
        <w:contextualSpacing/>
        <w:jc w:val="both"/>
        <w:rPr>
          <w:rFonts w:cs="Times New Roman"/>
          <w:szCs w:val="24"/>
        </w:rPr>
      </w:pPr>
      <w:r w:rsidRPr="009F6D1E">
        <w:rPr>
          <w:rFonts w:cs="Times New Roman"/>
          <w:i/>
          <w:szCs w:val="24"/>
        </w:rPr>
        <w:t xml:space="preserve">Дейност 1.1.3. </w:t>
      </w:r>
      <w:r w:rsidRPr="009F6D1E">
        <w:rPr>
          <w:rFonts w:cs="Times New Roman"/>
          <w:szCs w:val="24"/>
        </w:rPr>
        <w:t xml:space="preserve">Увеличаване на горските площи и дървесния запас, чрез залесяване на изоставени земеделски земи, голи и ерозирани или застрашени от ерозия площи, включване на </w:t>
      </w:r>
      <w:proofErr w:type="spellStart"/>
      <w:r w:rsidRPr="009F6D1E">
        <w:rPr>
          <w:rFonts w:cs="Times New Roman"/>
          <w:szCs w:val="24"/>
        </w:rPr>
        <w:t>самозалесили</w:t>
      </w:r>
      <w:proofErr w:type="spellEnd"/>
      <w:r w:rsidRPr="009F6D1E">
        <w:rPr>
          <w:rFonts w:cs="Times New Roman"/>
          <w:szCs w:val="24"/>
        </w:rPr>
        <w:t xml:space="preserve"> се територии и чрез увеличаване гъстотата на изредени естествени и изкуствени насаждения и култури, чрез изкуствено подпомагане.</w:t>
      </w:r>
    </w:p>
    <w:p w14:paraId="3CF5C5C7" w14:textId="77777777" w:rsidR="00741701" w:rsidRPr="009F6D1E" w:rsidRDefault="00741701" w:rsidP="0084747F">
      <w:pPr>
        <w:spacing w:after="60" w:line="264" w:lineRule="auto"/>
        <w:ind w:left="708"/>
        <w:contextualSpacing/>
        <w:jc w:val="both"/>
        <w:rPr>
          <w:rFonts w:cs="Times New Roman"/>
          <w:szCs w:val="24"/>
        </w:rPr>
      </w:pPr>
      <w:r w:rsidRPr="009F6D1E">
        <w:rPr>
          <w:rFonts w:cs="Times New Roman"/>
          <w:b/>
          <w:i/>
          <w:szCs w:val="24"/>
        </w:rPr>
        <w:t xml:space="preserve">Мярка 1.2 </w:t>
      </w:r>
      <w:r w:rsidRPr="009F6D1E">
        <w:rPr>
          <w:rFonts w:cs="Times New Roman"/>
          <w:szCs w:val="24"/>
        </w:rPr>
        <w:t>Увеличаване добива на дървесина и правилно мобилизиране на потреблението ѝ, в рамките на  устойчивото стопанисване на горите.</w:t>
      </w:r>
    </w:p>
    <w:p w14:paraId="3BB14659" w14:textId="77777777" w:rsidR="00741701" w:rsidRPr="009F6D1E" w:rsidRDefault="00741701" w:rsidP="0084747F">
      <w:pPr>
        <w:spacing w:after="60" w:line="264" w:lineRule="auto"/>
        <w:ind w:left="708"/>
        <w:contextualSpacing/>
        <w:jc w:val="both"/>
        <w:rPr>
          <w:rFonts w:cs="Times New Roman"/>
          <w:szCs w:val="24"/>
        </w:rPr>
      </w:pPr>
      <w:r w:rsidRPr="009F6D1E">
        <w:rPr>
          <w:rFonts w:cs="Times New Roman"/>
          <w:i/>
          <w:szCs w:val="24"/>
        </w:rPr>
        <w:t>Дейност 1.2.1</w:t>
      </w:r>
      <w:r w:rsidRPr="009F6D1E">
        <w:rPr>
          <w:rFonts w:cs="Times New Roman"/>
          <w:szCs w:val="24"/>
        </w:rPr>
        <w:t xml:space="preserve"> Създаване на регионални логистични центрове за осигуряване на връзка  между продавачите на обла дървесина, евентуално на отпадъци от дърводобива и  </w:t>
      </w:r>
      <w:proofErr w:type="spellStart"/>
      <w:r w:rsidRPr="009F6D1E">
        <w:rPr>
          <w:rFonts w:cs="Times New Roman"/>
          <w:szCs w:val="24"/>
        </w:rPr>
        <w:t>дървопреработката</w:t>
      </w:r>
      <w:proofErr w:type="spellEnd"/>
      <w:r w:rsidRPr="009F6D1E">
        <w:rPr>
          <w:rFonts w:cs="Times New Roman"/>
          <w:szCs w:val="24"/>
        </w:rPr>
        <w:t xml:space="preserve"> и потребителите на преработена дървесина, в т.ч. дървата за огрев, дървесните трески, </w:t>
      </w:r>
      <w:proofErr w:type="spellStart"/>
      <w:r w:rsidRPr="009F6D1E">
        <w:rPr>
          <w:rFonts w:cs="Times New Roman"/>
          <w:szCs w:val="24"/>
        </w:rPr>
        <w:t>пелетите</w:t>
      </w:r>
      <w:proofErr w:type="spellEnd"/>
      <w:r w:rsidRPr="009F6D1E">
        <w:rPr>
          <w:rFonts w:cs="Times New Roman"/>
          <w:szCs w:val="24"/>
        </w:rPr>
        <w:t xml:space="preserve"> и др.</w:t>
      </w:r>
    </w:p>
    <w:p w14:paraId="1AE4A31E"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1.2.2</w:t>
      </w:r>
      <w:r w:rsidRPr="009F6D1E">
        <w:rPr>
          <w:rFonts w:cs="Times New Roman"/>
          <w:szCs w:val="24"/>
        </w:rPr>
        <w:t xml:space="preserve"> Мобилизиране на повредената дървесина от засегнатите от природни бедствия горски територии.</w:t>
      </w:r>
    </w:p>
    <w:p w14:paraId="5052871F"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1.2.3</w:t>
      </w:r>
      <w:r w:rsidRPr="009F6D1E">
        <w:rPr>
          <w:rFonts w:cs="Times New Roman"/>
          <w:szCs w:val="24"/>
        </w:rPr>
        <w:t xml:space="preserve"> Увеличаване размера на ползването на дървесина в страната при спазване  на принципите на устойчивост и равномерност ;</w:t>
      </w:r>
    </w:p>
    <w:p w14:paraId="09168635"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2</w:t>
      </w:r>
      <w:r w:rsidRPr="009F6D1E">
        <w:rPr>
          <w:rFonts w:cs="Times New Roman"/>
          <w:szCs w:val="24"/>
        </w:rPr>
        <w:t xml:space="preserve"> Ефективно производство на енергия от горска биомаса за</w:t>
      </w:r>
      <w:r w:rsidRPr="009F6D1E">
        <w:rPr>
          <w:rFonts w:cs="Times New Roman"/>
          <w:szCs w:val="24"/>
        </w:rPr>
        <w:br/>
        <w:t>диверсифициране на приходите в горския сектор</w:t>
      </w:r>
    </w:p>
    <w:p w14:paraId="40275FD8"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b/>
          <w:i/>
          <w:szCs w:val="24"/>
        </w:rPr>
        <w:t>Мярка 2.1</w:t>
      </w:r>
      <w:r w:rsidRPr="009F6D1E">
        <w:rPr>
          <w:rFonts w:cs="Times New Roman"/>
          <w:szCs w:val="24"/>
        </w:rPr>
        <w:t xml:space="preserve"> Изпълнение на дейности за въглеродно неутрално производство на енергия.</w:t>
      </w:r>
    </w:p>
    <w:p w14:paraId="4194AAF9"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2.1.1</w:t>
      </w:r>
      <w:r w:rsidRPr="009F6D1E">
        <w:rPr>
          <w:rFonts w:cs="Times New Roman"/>
          <w:szCs w:val="24"/>
        </w:rPr>
        <w:t xml:space="preserve"> Реализиране на конкретни дейности за производство на енергия от горска биомаса.</w:t>
      </w:r>
    </w:p>
    <w:p w14:paraId="7F6FF390"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2.1.2</w:t>
      </w:r>
      <w:r w:rsidRPr="009F6D1E">
        <w:rPr>
          <w:rFonts w:cs="Times New Roman"/>
          <w:szCs w:val="24"/>
        </w:rPr>
        <w:t xml:space="preserve"> Прилагане на принципите на кръговата икономика в горския сектор.</w:t>
      </w:r>
    </w:p>
    <w:p w14:paraId="04DFC4BE"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2.1.3</w:t>
      </w:r>
      <w:r w:rsidRPr="009F6D1E">
        <w:rPr>
          <w:rFonts w:cs="Times New Roman"/>
          <w:szCs w:val="24"/>
        </w:rPr>
        <w:t xml:space="preserve"> Въвеждане на публично частното партньорство като начин за реализиране на проекти за производство на енергия от горска биомаса.</w:t>
      </w:r>
    </w:p>
    <w:p w14:paraId="178B5005"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b/>
          <w:i/>
          <w:szCs w:val="24"/>
        </w:rPr>
        <w:t xml:space="preserve">Мярка 2.2 </w:t>
      </w:r>
      <w:r w:rsidRPr="009F6D1E">
        <w:rPr>
          <w:rFonts w:cs="Times New Roman"/>
          <w:szCs w:val="24"/>
        </w:rPr>
        <w:t>Повишаване ползването на преработена горска биомаса за производство на енергия.</w:t>
      </w:r>
    </w:p>
    <w:p w14:paraId="56897C9F"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lastRenderedPageBreak/>
        <w:t>Дейност 2.2.1</w:t>
      </w:r>
      <w:r w:rsidRPr="009F6D1E">
        <w:rPr>
          <w:rFonts w:cs="Times New Roman"/>
          <w:szCs w:val="24"/>
        </w:rPr>
        <w:t xml:space="preserve"> Реализиране на</w:t>
      </w:r>
      <w:r w:rsidR="0028598C" w:rsidRPr="009F6D1E">
        <w:rPr>
          <w:rFonts w:cs="Times New Roman"/>
          <w:szCs w:val="24"/>
        </w:rPr>
        <w:t xml:space="preserve"> </w:t>
      </w:r>
      <w:r w:rsidRPr="009F6D1E">
        <w:rPr>
          <w:rFonts w:cs="Times New Roman"/>
          <w:szCs w:val="24"/>
        </w:rPr>
        <w:t>производства за повишаване</w:t>
      </w:r>
      <w:r w:rsidR="0028598C" w:rsidRPr="009F6D1E">
        <w:rPr>
          <w:rFonts w:cs="Times New Roman"/>
          <w:szCs w:val="24"/>
        </w:rPr>
        <w:t xml:space="preserve"> </w:t>
      </w:r>
      <w:r w:rsidRPr="009F6D1E">
        <w:rPr>
          <w:rFonts w:cs="Times New Roman"/>
          <w:szCs w:val="24"/>
        </w:rPr>
        <w:t>на ефективността за</w:t>
      </w:r>
      <w:r w:rsidR="0028598C" w:rsidRPr="009F6D1E">
        <w:rPr>
          <w:rFonts w:cs="Times New Roman"/>
          <w:szCs w:val="24"/>
        </w:rPr>
        <w:t xml:space="preserve"> </w:t>
      </w:r>
      <w:r w:rsidRPr="009F6D1E">
        <w:rPr>
          <w:rFonts w:cs="Times New Roman"/>
          <w:szCs w:val="24"/>
        </w:rPr>
        <w:t>използване на дървесина за</w:t>
      </w:r>
      <w:r w:rsidR="0028598C" w:rsidRPr="009F6D1E">
        <w:rPr>
          <w:rFonts w:cs="Times New Roman"/>
          <w:szCs w:val="24"/>
        </w:rPr>
        <w:t xml:space="preserve"> </w:t>
      </w:r>
      <w:r w:rsidRPr="009F6D1E">
        <w:rPr>
          <w:rFonts w:cs="Times New Roman"/>
          <w:szCs w:val="24"/>
        </w:rPr>
        <w:t>производство на енергия.</w:t>
      </w:r>
    </w:p>
    <w:p w14:paraId="737ED16D"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2.2.2</w:t>
      </w:r>
      <w:r w:rsidRPr="009F6D1E">
        <w:rPr>
          <w:rFonts w:cs="Times New Roman"/>
          <w:szCs w:val="24"/>
        </w:rPr>
        <w:t xml:space="preserve"> Въвеждане на</w:t>
      </w:r>
      <w:r w:rsidR="0028598C" w:rsidRPr="009F6D1E">
        <w:rPr>
          <w:rFonts w:cs="Times New Roman"/>
          <w:szCs w:val="24"/>
        </w:rPr>
        <w:t xml:space="preserve"> </w:t>
      </w:r>
      <w:r w:rsidRPr="009F6D1E">
        <w:rPr>
          <w:rFonts w:cs="Times New Roman"/>
          <w:szCs w:val="24"/>
        </w:rPr>
        <w:t>дейности за стимулиране</w:t>
      </w:r>
      <w:r w:rsidR="0028598C" w:rsidRPr="009F6D1E">
        <w:rPr>
          <w:rFonts w:cs="Times New Roman"/>
          <w:szCs w:val="24"/>
        </w:rPr>
        <w:t xml:space="preserve"> </w:t>
      </w:r>
      <w:r w:rsidRPr="009F6D1E">
        <w:rPr>
          <w:rFonts w:cs="Times New Roman"/>
          <w:szCs w:val="24"/>
        </w:rPr>
        <w:t>ползването на преработена</w:t>
      </w:r>
      <w:r w:rsidR="0028598C" w:rsidRPr="009F6D1E">
        <w:rPr>
          <w:rFonts w:cs="Times New Roman"/>
          <w:szCs w:val="24"/>
        </w:rPr>
        <w:t xml:space="preserve"> </w:t>
      </w:r>
      <w:r w:rsidRPr="009F6D1E">
        <w:rPr>
          <w:rFonts w:cs="Times New Roman"/>
          <w:szCs w:val="24"/>
        </w:rPr>
        <w:t>горска биомаса за</w:t>
      </w:r>
      <w:r w:rsidR="0028598C" w:rsidRPr="009F6D1E">
        <w:rPr>
          <w:rFonts w:cs="Times New Roman"/>
          <w:szCs w:val="24"/>
        </w:rPr>
        <w:t xml:space="preserve"> </w:t>
      </w:r>
      <w:r w:rsidRPr="009F6D1E">
        <w:rPr>
          <w:rFonts w:cs="Times New Roman"/>
          <w:szCs w:val="24"/>
        </w:rPr>
        <w:t>производство на енергия.</w:t>
      </w:r>
    </w:p>
    <w:p w14:paraId="6335317D" w14:textId="77777777" w:rsidR="00301AE1" w:rsidRPr="009F6D1E" w:rsidRDefault="00301AE1" w:rsidP="0084747F">
      <w:pPr>
        <w:spacing w:after="60" w:line="264" w:lineRule="auto"/>
        <w:ind w:left="708"/>
        <w:contextualSpacing/>
        <w:jc w:val="both"/>
        <w:rPr>
          <w:rFonts w:cs="Times New Roman"/>
          <w:szCs w:val="24"/>
        </w:rPr>
      </w:pPr>
      <w:r w:rsidRPr="009F6D1E">
        <w:rPr>
          <w:rFonts w:cs="Times New Roman"/>
          <w:i/>
          <w:szCs w:val="24"/>
        </w:rPr>
        <w:t>Дейност 2.2.3</w:t>
      </w:r>
      <w:r w:rsidRPr="009F6D1E">
        <w:rPr>
          <w:rFonts w:cs="Times New Roman"/>
          <w:szCs w:val="24"/>
        </w:rPr>
        <w:t xml:space="preserve"> Разработване</w:t>
      </w:r>
      <w:r w:rsidR="0028598C" w:rsidRPr="009F6D1E">
        <w:rPr>
          <w:rFonts w:cs="Times New Roman"/>
          <w:szCs w:val="24"/>
        </w:rPr>
        <w:t xml:space="preserve"> </w:t>
      </w:r>
      <w:r w:rsidRPr="009F6D1E">
        <w:rPr>
          <w:rFonts w:cs="Times New Roman"/>
          <w:szCs w:val="24"/>
        </w:rPr>
        <w:t>на Програма за усвояване на</w:t>
      </w:r>
      <w:r w:rsidR="0028598C" w:rsidRPr="009F6D1E">
        <w:rPr>
          <w:rFonts w:cs="Times New Roman"/>
          <w:szCs w:val="24"/>
        </w:rPr>
        <w:t xml:space="preserve"> </w:t>
      </w:r>
      <w:r w:rsidRPr="009F6D1E">
        <w:rPr>
          <w:rFonts w:cs="Times New Roman"/>
          <w:szCs w:val="24"/>
        </w:rPr>
        <w:t>продукти от дървесина с</w:t>
      </w:r>
      <w:r w:rsidR="0028598C" w:rsidRPr="009F6D1E">
        <w:rPr>
          <w:rFonts w:cs="Times New Roman"/>
          <w:szCs w:val="24"/>
        </w:rPr>
        <w:t xml:space="preserve"> </w:t>
      </w:r>
      <w:r w:rsidRPr="009F6D1E">
        <w:rPr>
          <w:rFonts w:cs="Times New Roman"/>
          <w:szCs w:val="24"/>
        </w:rPr>
        <w:t>изтекъл жизнен цикъл</w:t>
      </w:r>
      <w:r w:rsidR="0028598C" w:rsidRPr="009F6D1E">
        <w:rPr>
          <w:rFonts w:cs="Times New Roman"/>
          <w:szCs w:val="24"/>
        </w:rPr>
        <w:t>.</w:t>
      </w:r>
    </w:p>
    <w:p w14:paraId="0AB88206"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3</w:t>
      </w:r>
      <w:r w:rsidRPr="009F6D1E">
        <w:rPr>
          <w:rFonts w:cs="Times New Roman"/>
          <w:szCs w:val="24"/>
        </w:rPr>
        <w:t xml:space="preserve"> Намаляване замърсяването на въздуха и </w:t>
      </w:r>
      <w:proofErr w:type="spellStart"/>
      <w:r w:rsidRPr="009F6D1E">
        <w:rPr>
          <w:rFonts w:cs="Times New Roman"/>
          <w:szCs w:val="24"/>
        </w:rPr>
        <w:t>декарбонизация</w:t>
      </w:r>
      <w:proofErr w:type="spellEnd"/>
      <w:r w:rsidRPr="009F6D1E">
        <w:rPr>
          <w:rFonts w:cs="Times New Roman"/>
          <w:szCs w:val="24"/>
        </w:rPr>
        <w:t xml:space="preserve"> на сградния</w:t>
      </w:r>
      <w:r w:rsidRPr="009F6D1E">
        <w:rPr>
          <w:rFonts w:cs="Times New Roman"/>
          <w:szCs w:val="24"/>
        </w:rPr>
        <w:br/>
        <w:t>фонд, чрез осигуряване на възможности за въвеждане на нови методи и начини за</w:t>
      </w:r>
      <w:r w:rsidRPr="009F6D1E">
        <w:rPr>
          <w:rFonts w:cs="Times New Roman"/>
          <w:szCs w:val="24"/>
        </w:rPr>
        <w:br/>
        <w:t>потребление на енергия от горска биомаса.</w:t>
      </w:r>
    </w:p>
    <w:p w14:paraId="6360CC16"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b/>
          <w:i/>
          <w:szCs w:val="24"/>
        </w:rPr>
        <w:t xml:space="preserve">Мярка 3.1 </w:t>
      </w:r>
      <w:r w:rsidRPr="009F6D1E">
        <w:rPr>
          <w:rFonts w:cs="Times New Roman"/>
          <w:szCs w:val="24"/>
        </w:rPr>
        <w:t>Подпомагане прехода от локално (индивидуално) към централно (колективно) и от нискоефективно към високоефективно отопление на горска биомаса</w:t>
      </w:r>
    </w:p>
    <w:p w14:paraId="138252C5"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3.1.1</w:t>
      </w:r>
      <w:r w:rsidRPr="009F6D1E">
        <w:rPr>
          <w:rFonts w:cs="Times New Roman"/>
          <w:szCs w:val="24"/>
        </w:rPr>
        <w:t xml:space="preserve"> Реализиране на пилотни проекти за финансиране на дейности, свързани с производството/разпространението на енергия от горска биомаса.</w:t>
      </w:r>
    </w:p>
    <w:p w14:paraId="09ADFCD4"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3.1.2</w:t>
      </w:r>
      <w:r w:rsidRPr="009F6D1E">
        <w:rPr>
          <w:rFonts w:cs="Times New Roman"/>
          <w:szCs w:val="24"/>
        </w:rPr>
        <w:t xml:space="preserve"> Въвеждане на дейности за стимулиране изграждането на инсталации и преносна мрежа за колективно/ групово производство и ползване на енергия от горска  биомаса.</w:t>
      </w:r>
    </w:p>
    <w:p w14:paraId="72C8F966"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b/>
          <w:i/>
          <w:szCs w:val="24"/>
        </w:rPr>
        <w:t xml:space="preserve">Мярка 3.2 </w:t>
      </w:r>
      <w:r w:rsidRPr="009F6D1E">
        <w:rPr>
          <w:rFonts w:cs="Times New Roman"/>
          <w:szCs w:val="24"/>
        </w:rPr>
        <w:t>Подпомагане на прехода от използване на конвенционални/фосилни горива към използване на горска биомаса.</w:t>
      </w:r>
    </w:p>
    <w:p w14:paraId="2314BA96"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3.2.1</w:t>
      </w:r>
      <w:r w:rsidRPr="009F6D1E">
        <w:rPr>
          <w:rFonts w:cs="Times New Roman"/>
          <w:szCs w:val="24"/>
        </w:rPr>
        <w:t xml:space="preserve"> Реализиране на пилотни проекти за смяна на горивата – от конвенционални/фосилни към горско-дървесна биомаса.</w:t>
      </w:r>
    </w:p>
    <w:p w14:paraId="6D46E222"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3.2.2</w:t>
      </w:r>
      <w:r w:rsidRPr="009F6D1E">
        <w:rPr>
          <w:rFonts w:cs="Times New Roman"/>
          <w:szCs w:val="24"/>
        </w:rPr>
        <w:t xml:space="preserve"> Въвеждане на стимули за преход от конвенционални/фосилни горива  към горска биомаса.</w:t>
      </w:r>
    </w:p>
    <w:p w14:paraId="535E23CB"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4</w:t>
      </w:r>
      <w:r w:rsidRPr="009F6D1E">
        <w:rPr>
          <w:rFonts w:cs="Times New Roman"/>
          <w:szCs w:val="24"/>
        </w:rPr>
        <w:t xml:space="preserve"> Укрепване на правната и политическа рамка за осигуряване устойчиво</w:t>
      </w:r>
      <w:r w:rsidRPr="009F6D1E">
        <w:rPr>
          <w:rFonts w:cs="Times New Roman"/>
          <w:szCs w:val="24"/>
        </w:rPr>
        <w:br/>
        <w:t>развитие на енергията от горска биомаса.</w:t>
      </w:r>
    </w:p>
    <w:p w14:paraId="5D8FFCE2"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b/>
          <w:i/>
          <w:szCs w:val="24"/>
        </w:rPr>
        <w:t xml:space="preserve">Мярка 4.1 </w:t>
      </w:r>
      <w:r w:rsidRPr="009F6D1E">
        <w:rPr>
          <w:rFonts w:cs="Times New Roman"/>
          <w:szCs w:val="24"/>
        </w:rPr>
        <w:t>Хармонизиране с/актуализиране на европейските политики и законодателство в областта на производството на енергия от горска биомаса</w:t>
      </w:r>
    </w:p>
    <w:p w14:paraId="77E557A5"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4.1.1</w:t>
      </w:r>
      <w:r w:rsidRPr="009F6D1E">
        <w:rPr>
          <w:rFonts w:cs="Times New Roman"/>
          <w:szCs w:val="24"/>
        </w:rPr>
        <w:t xml:space="preserve"> Транспониране на</w:t>
      </w:r>
      <w:r w:rsidR="0011368A" w:rsidRPr="009F6D1E">
        <w:rPr>
          <w:rFonts w:cs="Times New Roman"/>
          <w:szCs w:val="24"/>
        </w:rPr>
        <w:t xml:space="preserve"> </w:t>
      </w:r>
      <w:r w:rsidRPr="009F6D1E">
        <w:rPr>
          <w:rFonts w:cs="Times New Roman"/>
          <w:szCs w:val="24"/>
        </w:rPr>
        <w:t>всички европейски политики</w:t>
      </w:r>
      <w:r w:rsidR="0011368A" w:rsidRPr="009F6D1E">
        <w:rPr>
          <w:rFonts w:cs="Times New Roman"/>
          <w:szCs w:val="24"/>
        </w:rPr>
        <w:t xml:space="preserve"> </w:t>
      </w:r>
      <w:r w:rsidRPr="009F6D1E">
        <w:rPr>
          <w:rFonts w:cs="Times New Roman"/>
          <w:szCs w:val="24"/>
        </w:rPr>
        <w:t>и законодателство на</w:t>
      </w:r>
      <w:r w:rsidR="0011368A" w:rsidRPr="009F6D1E">
        <w:rPr>
          <w:rFonts w:cs="Times New Roman"/>
          <w:szCs w:val="24"/>
        </w:rPr>
        <w:t xml:space="preserve"> </w:t>
      </w:r>
      <w:r w:rsidRPr="009F6D1E">
        <w:rPr>
          <w:rFonts w:cs="Times New Roman"/>
          <w:szCs w:val="24"/>
        </w:rPr>
        <w:t>национално ниво</w:t>
      </w:r>
      <w:r w:rsidR="0011368A" w:rsidRPr="009F6D1E">
        <w:rPr>
          <w:rFonts w:cs="Times New Roman"/>
          <w:szCs w:val="24"/>
        </w:rPr>
        <w:t>.</w:t>
      </w:r>
    </w:p>
    <w:p w14:paraId="34604436"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4.1.2</w:t>
      </w:r>
      <w:r w:rsidRPr="009F6D1E">
        <w:rPr>
          <w:rFonts w:cs="Times New Roman"/>
          <w:szCs w:val="24"/>
        </w:rPr>
        <w:t xml:space="preserve"> Повишаване значението</w:t>
      </w:r>
      <w:r w:rsidR="0011368A" w:rsidRPr="009F6D1E">
        <w:rPr>
          <w:rFonts w:cs="Times New Roman"/>
          <w:szCs w:val="24"/>
        </w:rPr>
        <w:t xml:space="preserve"> </w:t>
      </w:r>
      <w:r w:rsidRPr="009F6D1E">
        <w:rPr>
          <w:rFonts w:cs="Times New Roman"/>
          <w:szCs w:val="24"/>
        </w:rPr>
        <w:t>на възможностите и ролята</w:t>
      </w:r>
      <w:r w:rsidR="0011368A" w:rsidRPr="009F6D1E">
        <w:rPr>
          <w:rFonts w:cs="Times New Roman"/>
          <w:szCs w:val="24"/>
        </w:rPr>
        <w:t xml:space="preserve"> </w:t>
      </w:r>
      <w:r w:rsidRPr="009F6D1E">
        <w:rPr>
          <w:rFonts w:cs="Times New Roman"/>
          <w:szCs w:val="24"/>
        </w:rPr>
        <w:t>на горско-</w:t>
      </w:r>
      <w:r w:rsidR="0011368A" w:rsidRPr="009F6D1E">
        <w:rPr>
          <w:rFonts w:cs="Times New Roman"/>
          <w:szCs w:val="24"/>
        </w:rPr>
        <w:t xml:space="preserve"> д</w:t>
      </w:r>
      <w:r w:rsidRPr="009F6D1E">
        <w:rPr>
          <w:rFonts w:cs="Times New Roman"/>
          <w:szCs w:val="24"/>
        </w:rPr>
        <w:t>ървесната</w:t>
      </w:r>
      <w:r w:rsidR="0011368A" w:rsidRPr="009F6D1E">
        <w:rPr>
          <w:rFonts w:cs="Times New Roman"/>
          <w:szCs w:val="24"/>
        </w:rPr>
        <w:t xml:space="preserve">  </w:t>
      </w:r>
      <w:r w:rsidRPr="009F6D1E">
        <w:rPr>
          <w:rFonts w:cs="Times New Roman"/>
          <w:szCs w:val="24"/>
        </w:rPr>
        <w:t>биомаса и използването ѝ за</w:t>
      </w:r>
      <w:r w:rsidR="0011368A" w:rsidRPr="009F6D1E">
        <w:rPr>
          <w:rFonts w:cs="Times New Roman"/>
          <w:szCs w:val="24"/>
        </w:rPr>
        <w:t xml:space="preserve"> </w:t>
      </w:r>
      <w:r w:rsidRPr="009F6D1E">
        <w:rPr>
          <w:rFonts w:cs="Times New Roman"/>
          <w:szCs w:val="24"/>
        </w:rPr>
        <w:t>енергийни цели в</w:t>
      </w:r>
      <w:r w:rsidR="0011368A" w:rsidRPr="009F6D1E">
        <w:rPr>
          <w:rFonts w:cs="Times New Roman"/>
          <w:szCs w:val="24"/>
        </w:rPr>
        <w:t xml:space="preserve"> </w:t>
      </w:r>
      <w:r w:rsidRPr="009F6D1E">
        <w:rPr>
          <w:rFonts w:cs="Times New Roman"/>
          <w:szCs w:val="24"/>
        </w:rPr>
        <w:t>европейските политики и</w:t>
      </w:r>
      <w:r w:rsidR="0011368A" w:rsidRPr="009F6D1E">
        <w:rPr>
          <w:rFonts w:cs="Times New Roman"/>
          <w:szCs w:val="24"/>
        </w:rPr>
        <w:t xml:space="preserve"> </w:t>
      </w:r>
      <w:r w:rsidRPr="009F6D1E">
        <w:rPr>
          <w:rFonts w:cs="Times New Roman"/>
          <w:szCs w:val="24"/>
        </w:rPr>
        <w:t>законодателство</w:t>
      </w:r>
      <w:r w:rsidR="0011368A" w:rsidRPr="009F6D1E">
        <w:rPr>
          <w:rFonts w:cs="Times New Roman"/>
          <w:szCs w:val="24"/>
        </w:rPr>
        <w:t>.</w:t>
      </w:r>
    </w:p>
    <w:p w14:paraId="6C259B6A"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b/>
          <w:i/>
          <w:szCs w:val="24"/>
        </w:rPr>
        <w:t>Мярка 4.2</w:t>
      </w:r>
      <w:r w:rsidRPr="009F6D1E">
        <w:rPr>
          <w:rFonts w:cs="Times New Roman"/>
          <w:szCs w:val="24"/>
        </w:rPr>
        <w:t xml:space="preserve"> Развитие</w:t>
      </w:r>
      <w:r w:rsidR="0011368A" w:rsidRPr="009F6D1E">
        <w:rPr>
          <w:rFonts w:cs="Times New Roman"/>
          <w:szCs w:val="24"/>
        </w:rPr>
        <w:t xml:space="preserve"> </w:t>
      </w:r>
      <w:r w:rsidRPr="009F6D1E">
        <w:rPr>
          <w:rFonts w:cs="Times New Roman"/>
          <w:szCs w:val="24"/>
        </w:rPr>
        <w:t>на националната</w:t>
      </w:r>
      <w:r w:rsidR="0011368A" w:rsidRPr="009F6D1E">
        <w:rPr>
          <w:rFonts w:cs="Times New Roman"/>
          <w:szCs w:val="24"/>
        </w:rPr>
        <w:t xml:space="preserve"> </w:t>
      </w:r>
      <w:r w:rsidRPr="009F6D1E">
        <w:rPr>
          <w:rFonts w:cs="Times New Roman"/>
          <w:szCs w:val="24"/>
        </w:rPr>
        <w:t>нормативна база.</w:t>
      </w:r>
    </w:p>
    <w:p w14:paraId="79C81C81"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4.2.1</w:t>
      </w:r>
      <w:r w:rsidRPr="009F6D1E">
        <w:rPr>
          <w:rFonts w:cs="Times New Roman"/>
          <w:szCs w:val="24"/>
        </w:rPr>
        <w:t xml:space="preserve"> Актуализиране</w:t>
      </w:r>
      <w:r w:rsidR="0011368A" w:rsidRPr="009F6D1E">
        <w:rPr>
          <w:rFonts w:cs="Times New Roman"/>
          <w:szCs w:val="24"/>
        </w:rPr>
        <w:t xml:space="preserve"> </w:t>
      </w:r>
      <w:r w:rsidRPr="009F6D1E">
        <w:rPr>
          <w:rFonts w:cs="Times New Roman"/>
          <w:szCs w:val="24"/>
        </w:rPr>
        <w:t>на националната горска</w:t>
      </w:r>
      <w:r w:rsidR="0011368A" w:rsidRPr="009F6D1E">
        <w:rPr>
          <w:rFonts w:cs="Times New Roman"/>
          <w:szCs w:val="24"/>
        </w:rPr>
        <w:t xml:space="preserve"> </w:t>
      </w:r>
      <w:r w:rsidRPr="009F6D1E">
        <w:rPr>
          <w:rFonts w:cs="Times New Roman"/>
          <w:szCs w:val="24"/>
        </w:rPr>
        <w:t>нормативна уредба.</w:t>
      </w:r>
    </w:p>
    <w:p w14:paraId="0CFA6964"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4.2.2</w:t>
      </w:r>
      <w:r w:rsidRPr="009F6D1E">
        <w:rPr>
          <w:rFonts w:cs="Times New Roman"/>
          <w:szCs w:val="24"/>
        </w:rPr>
        <w:t xml:space="preserve"> Изготвяне на</w:t>
      </w:r>
      <w:r w:rsidR="0011368A" w:rsidRPr="009F6D1E">
        <w:rPr>
          <w:rFonts w:cs="Times New Roman"/>
          <w:szCs w:val="24"/>
        </w:rPr>
        <w:t xml:space="preserve"> </w:t>
      </w:r>
      <w:r w:rsidRPr="009F6D1E">
        <w:rPr>
          <w:rFonts w:cs="Times New Roman"/>
          <w:szCs w:val="24"/>
        </w:rPr>
        <w:t>нормативни и</w:t>
      </w:r>
      <w:r w:rsidR="0011368A" w:rsidRPr="009F6D1E">
        <w:rPr>
          <w:rFonts w:cs="Times New Roman"/>
          <w:szCs w:val="24"/>
        </w:rPr>
        <w:t xml:space="preserve"> </w:t>
      </w:r>
      <w:r w:rsidRPr="009F6D1E">
        <w:rPr>
          <w:rFonts w:cs="Times New Roman"/>
          <w:szCs w:val="24"/>
        </w:rPr>
        <w:t>административни стимули за</w:t>
      </w:r>
      <w:r w:rsidR="0011368A" w:rsidRPr="009F6D1E">
        <w:rPr>
          <w:rFonts w:cs="Times New Roman"/>
          <w:szCs w:val="24"/>
        </w:rPr>
        <w:t xml:space="preserve"> </w:t>
      </w:r>
      <w:r w:rsidRPr="009F6D1E">
        <w:rPr>
          <w:rFonts w:cs="Times New Roman"/>
          <w:szCs w:val="24"/>
        </w:rPr>
        <w:t xml:space="preserve">използването </w:t>
      </w:r>
      <w:r w:rsidR="0011368A" w:rsidRPr="009F6D1E">
        <w:rPr>
          <w:rFonts w:cs="Times New Roman"/>
          <w:szCs w:val="24"/>
        </w:rPr>
        <w:t xml:space="preserve">на </w:t>
      </w:r>
      <w:r w:rsidRPr="009F6D1E">
        <w:rPr>
          <w:rFonts w:cs="Times New Roman"/>
          <w:szCs w:val="24"/>
        </w:rPr>
        <w:t>горско-дървесната биомаса за</w:t>
      </w:r>
      <w:r w:rsidR="0011368A" w:rsidRPr="009F6D1E">
        <w:rPr>
          <w:rFonts w:cs="Times New Roman"/>
          <w:szCs w:val="24"/>
        </w:rPr>
        <w:t xml:space="preserve"> </w:t>
      </w:r>
      <w:r w:rsidRPr="009F6D1E">
        <w:rPr>
          <w:rFonts w:cs="Times New Roman"/>
          <w:szCs w:val="24"/>
        </w:rPr>
        <w:t>производство на</w:t>
      </w:r>
      <w:r w:rsidR="0011368A" w:rsidRPr="009F6D1E">
        <w:rPr>
          <w:rFonts w:cs="Times New Roman"/>
          <w:szCs w:val="24"/>
        </w:rPr>
        <w:t xml:space="preserve"> </w:t>
      </w:r>
      <w:r w:rsidRPr="009F6D1E">
        <w:rPr>
          <w:rFonts w:cs="Times New Roman"/>
          <w:szCs w:val="24"/>
        </w:rPr>
        <w:t>топлоенергия.</w:t>
      </w:r>
    </w:p>
    <w:p w14:paraId="7DA9E3C9"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4.2.3</w:t>
      </w:r>
      <w:r w:rsidRPr="009F6D1E">
        <w:rPr>
          <w:rFonts w:cs="Times New Roman"/>
          <w:szCs w:val="24"/>
        </w:rPr>
        <w:t xml:space="preserve"> Въвеждане на</w:t>
      </w:r>
      <w:r w:rsidR="0011368A" w:rsidRPr="009F6D1E">
        <w:rPr>
          <w:rFonts w:cs="Times New Roman"/>
          <w:szCs w:val="24"/>
        </w:rPr>
        <w:t xml:space="preserve"> </w:t>
      </w:r>
      <w:r w:rsidRPr="009F6D1E">
        <w:rPr>
          <w:rFonts w:cs="Times New Roman"/>
          <w:szCs w:val="24"/>
        </w:rPr>
        <w:t>регулации, задължаващи</w:t>
      </w:r>
      <w:r w:rsidR="0011368A" w:rsidRPr="009F6D1E">
        <w:rPr>
          <w:rFonts w:cs="Times New Roman"/>
          <w:szCs w:val="24"/>
        </w:rPr>
        <w:t xml:space="preserve"> </w:t>
      </w:r>
      <w:r w:rsidRPr="009F6D1E">
        <w:rPr>
          <w:rFonts w:cs="Times New Roman"/>
          <w:szCs w:val="24"/>
        </w:rPr>
        <w:t>новите бизнеси/ инвестиции</w:t>
      </w:r>
      <w:r w:rsidR="0011368A" w:rsidRPr="009F6D1E">
        <w:rPr>
          <w:rFonts w:cs="Times New Roman"/>
          <w:szCs w:val="24"/>
        </w:rPr>
        <w:t xml:space="preserve"> </w:t>
      </w:r>
      <w:r w:rsidRPr="009F6D1E">
        <w:rPr>
          <w:rFonts w:cs="Times New Roman"/>
          <w:szCs w:val="24"/>
        </w:rPr>
        <w:t>да използват задължително</w:t>
      </w:r>
      <w:r w:rsidR="0011368A" w:rsidRPr="009F6D1E">
        <w:rPr>
          <w:rFonts w:cs="Times New Roman"/>
          <w:szCs w:val="24"/>
        </w:rPr>
        <w:t xml:space="preserve"> </w:t>
      </w:r>
      <w:r w:rsidRPr="009F6D1E">
        <w:rPr>
          <w:rFonts w:cs="Times New Roman"/>
          <w:szCs w:val="24"/>
        </w:rPr>
        <w:t>енергийно ефективни</w:t>
      </w:r>
      <w:r w:rsidR="0011368A" w:rsidRPr="009F6D1E">
        <w:rPr>
          <w:rFonts w:cs="Times New Roman"/>
          <w:szCs w:val="24"/>
        </w:rPr>
        <w:t xml:space="preserve"> </w:t>
      </w:r>
      <w:r w:rsidRPr="009F6D1E">
        <w:rPr>
          <w:rFonts w:cs="Times New Roman"/>
          <w:szCs w:val="24"/>
        </w:rPr>
        <w:t>системи и технологии с</w:t>
      </w:r>
      <w:r w:rsidR="0011368A" w:rsidRPr="009F6D1E">
        <w:rPr>
          <w:rFonts w:cs="Times New Roman"/>
          <w:szCs w:val="24"/>
        </w:rPr>
        <w:t xml:space="preserve"> минимално/</w:t>
      </w:r>
      <w:r w:rsidRPr="009F6D1E">
        <w:rPr>
          <w:rFonts w:cs="Times New Roman"/>
          <w:szCs w:val="24"/>
        </w:rPr>
        <w:t>нулево</w:t>
      </w:r>
      <w:r w:rsidR="0011368A" w:rsidRPr="009F6D1E">
        <w:rPr>
          <w:rFonts w:cs="Times New Roman"/>
          <w:szCs w:val="24"/>
        </w:rPr>
        <w:t xml:space="preserve"> </w:t>
      </w:r>
      <w:r w:rsidRPr="009F6D1E">
        <w:rPr>
          <w:rFonts w:cs="Times New Roman"/>
          <w:szCs w:val="24"/>
        </w:rPr>
        <w:t>замърсяване на околната</w:t>
      </w:r>
      <w:r w:rsidR="0011368A" w:rsidRPr="009F6D1E">
        <w:rPr>
          <w:rFonts w:cs="Times New Roman"/>
          <w:szCs w:val="24"/>
        </w:rPr>
        <w:t xml:space="preserve"> </w:t>
      </w:r>
      <w:r w:rsidRPr="009F6D1E">
        <w:rPr>
          <w:rFonts w:cs="Times New Roman"/>
          <w:szCs w:val="24"/>
        </w:rPr>
        <w:t>среда.</w:t>
      </w:r>
    </w:p>
    <w:p w14:paraId="79949AA4"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b/>
          <w:i/>
          <w:szCs w:val="24"/>
        </w:rPr>
        <w:t xml:space="preserve">Мярка 4.3 </w:t>
      </w:r>
      <w:r w:rsidRPr="009F6D1E">
        <w:rPr>
          <w:rFonts w:cs="Times New Roman"/>
          <w:szCs w:val="24"/>
        </w:rPr>
        <w:t>Развитие и</w:t>
      </w:r>
      <w:r w:rsidR="0011368A" w:rsidRPr="009F6D1E">
        <w:rPr>
          <w:rFonts w:cs="Times New Roman"/>
          <w:szCs w:val="24"/>
        </w:rPr>
        <w:t xml:space="preserve"> </w:t>
      </w:r>
      <w:r w:rsidRPr="009F6D1E">
        <w:rPr>
          <w:rFonts w:cs="Times New Roman"/>
          <w:szCs w:val="24"/>
        </w:rPr>
        <w:t>прилагане на</w:t>
      </w:r>
      <w:r w:rsidR="0011368A" w:rsidRPr="009F6D1E">
        <w:rPr>
          <w:rFonts w:cs="Times New Roman"/>
          <w:szCs w:val="24"/>
        </w:rPr>
        <w:t xml:space="preserve"> </w:t>
      </w:r>
      <w:r w:rsidRPr="009F6D1E">
        <w:rPr>
          <w:rFonts w:cs="Times New Roman"/>
          <w:szCs w:val="24"/>
        </w:rPr>
        <w:t>националните</w:t>
      </w:r>
      <w:r w:rsidR="0011368A" w:rsidRPr="009F6D1E">
        <w:rPr>
          <w:rFonts w:cs="Times New Roman"/>
          <w:szCs w:val="24"/>
        </w:rPr>
        <w:t xml:space="preserve"> </w:t>
      </w:r>
      <w:r w:rsidRPr="009F6D1E">
        <w:rPr>
          <w:rFonts w:cs="Times New Roman"/>
          <w:szCs w:val="24"/>
        </w:rPr>
        <w:t>политики и</w:t>
      </w:r>
      <w:r w:rsidR="0011368A" w:rsidRPr="009F6D1E">
        <w:rPr>
          <w:rFonts w:cs="Times New Roman"/>
          <w:szCs w:val="24"/>
        </w:rPr>
        <w:t xml:space="preserve"> </w:t>
      </w:r>
      <w:r w:rsidRPr="009F6D1E">
        <w:rPr>
          <w:rFonts w:cs="Times New Roman"/>
          <w:szCs w:val="24"/>
        </w:rPr>
        <w:t>стратегически</w:t>
      </w:r>
      <w:r w:rsidR="0011368A" w:rsidRPr="009F6D1E">
        <w:rPr>
          <w:rFonts w:cs="Times New Roman"/>
          <w:szCs w:val="24"/>
        </w:rPr>
        <w:t xml:space="preserve"> </w:t>
      </w:r>
      <w:r w:rsidRPr="009F6D1E">
        <w:rPr>
          <w:rFonts w:cs="Times New Roman"/>
          <w:szCs w:val="24"/>
        </w:rPr>
        <w:t xml:space="preserve">документи </w:t>
      </w:r>
      <w:r w:rsidR="0011368A" w:rsidRPr="009F6D1E">
        <w:rPr>
          <w:rFonts w:cs="Times New Roman"/>
          <w:szCs w:val="24"/>
        </w:rPr>
        <w:t xml:space="preserve">в </w:t>
      </w:r>
      <w:r w:rsidRPr="009F6D1E">
        <w:rPr>
          <w:rFonts w:cs="Times New Roman"/>
          <w:szCs w:val="24"/>
        </w:rPr>
        <w:t>областта на горското</w:t>
      </w:r>
      <w:r w:rsidR="0011368A" w:rsidRPr="009F6D1E">
        <w:rPr>
          <w:rFonts w:cs="Times New Roman"/>
          <w:szCs w:val="24"/>
        </w:rPr>
        <w:t xml:space="preserve"> </w:t>
      </w:r>
      <w:r w:rsidRPr="009F6D1E">
        <w:rPr>
          <w:rFonts w:cs="Times New Roman"/>
          <w:szCs w:val="24"/>
        </w:rPr>
        <w:t>стопанство,</w:t>
      </w:r>
      <w:r w:rsidR="0011368A" w:rsidRPr="009F6D1E">
        <w:rPr>
          <w:rFonts w:cs="Times New Roman"/>
          <w:szCs w:val="24"/>
        </w:rPr>
        <w:t xml:space="preserve"> </w:t>
      </w:r>
      <w:r w:rsidRPr="009F6D1E">
        <w:rPr>
          <w:rFonts w:cs="Times New Roman"/>
          <w:szCs w:val="24"/>
        </w:rPr>
        <w:t>дървопреработващата и мебелна</w:t>
      </w:r>
      <w:r w:rsidR="0011368A" w:rsidRPr="009F6D1E">
        <w:rPr>
          <w:rFonts w:cs="Times New Roman"/>
          <w:szCs w:val="24"/>
        </w:rPr>
        <w:t xml:space="preserve"> </w:t>
      </w:r>
      <w:r w:rsidRPr="009F6D1E">
        <w:rPr>
          <w:rFonts w:cs="Times New Roman"/>
          <w:szCs w:val="24"/>
        </w:rPr>
        <w:t>промишленост и</w:t>
      </w:r>
      <w:r w:rsidR="0011368A" w:rsidRPr="009F6D1E">
        <w:rPr>
          <w:rFonts w:cs="Times New Roman"/>
          <w:szCs w:val="24"/>
        </w:rPr>
        <w:t xml:space="preserve"> </w:t>
      </w:r>
      <w:r w:rsidRPr="009F6D1E">
        <w:rPr>
          <w:rFonts w:cs="Times New Roman"/>
          <w:szCs w:val="24"/>
        </w:rPr>
        <w:t>производството на</w:t>
      </w:r>
      <w:r w:rsidR="0011368A" w:rsidRPr="009F6D1E">
        <w:rPr>
          <w:rFonts w:cs="Times New Roman"/>
          <w:szCs w:val="24"/>
        </w:rPr>
        <w:t xml:space="preserve"> </w:t>
      </w:r>
      <w:r w:rsidRPr="009F6D1E">
        <w:rPr>
          <w:rFonts w:cs="Times New Roman"/>
          <w:szCs w:val="24"/>
        </w:rPr>
        <w:t>възобновяема</w:t>
      </w:r>
      <w:r w:rsidR="0011368A" w:rsidRPr="009F6D1E">
        <w:rPr>
          <w:rFonts w:cs="Times New Roman"/>
          <w:szCs w:val="24"/>
        </w:rPr>
        <w:t xml:space="preserve"> </w:t>
      </w:r>
      <w:r w:rsidRPr="009F6D1E">
        <w:rPr>
          <w:rFonts w:cs="Times New Roman"/>
          <w:szCs w:val="24"/>
        </w:rPr>
        <w:t>енергия.</w:t>
      </w:r>
    </w:p>
    <w:p w14:paraId="54FD72E6" w14:textId="29C6DA9F"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lastRenderedPageBreak/>
        <w:t>Дейност 4.3.1</w:t>
      </w:r>
      <w:r w:rsidRPr="009F6D1E">
        <w:rPr>
          <w:rFonts w:cs="Times New Roman"/>
          <w:szCs w:val="24"/>
        </w:rPr>
        <w:t xml:space="preserve"> Допълване на</w:t>
      </w:r>
      <w:r w:rsidR="0011368A" w:rsidRPr="009F6D1E">
        <w:rPr>
          <w:rFonts w:cs="Times New Roman"/>
          <w:szCs w:val="24"/>
        </w:rPr>
        <w:t xml:space="preserve"> </w:t>
      </w:r>
      <w:r w:rsidRPr="009F6D1E">
        <w:rPr>
          <w:rFonts w:cs="Times New Roman"/>
          <w:szCs w:val="24"/>
        </w:rPr>
        <w:t>националните</w:t>
      </w:r>
      <w:r w:rsidR="00BB0ED7">
        <w:rPr>
          <w:rFonts w:cs="Times New Roman"/>
          <w:szCs w:val="24"/>
        </w:rPr>
        <w:t xml:space="preserve"> </w:t>
      </w:r>
      <w:r w:rsidRPr="009F6D1E">
        <w:rPr>
          <w:rFonts w:cs="Times New Roman"/>
          <w:szCs w:val="24"/>
        </w:rPr>
        <w:t>стратегически</w:t>
      </w:r>
      <w:r w:rsidR="0011368A" w:rsidRPr="009F6D1E">
        <w:rPr>
          <w:rFonts w:cs="Times New Roman"/>
          <w:szCs w:val="24"/>
        </w:rPr>
        <w:t xml:space="preserve"> </w:t>
      </w:r>
      <w:r w:rsidRPr="009F6D1E">
        <w:rPr>
          <w:rFonts w:cs="Times New Roman"/>
          <w:szCs w:val="24"/>
        </w:rPr>
        <w:t>документи с конкретни</w:t>
      </w:r>
      <w:r w:rsidR="0011368A" w:rsidRPr="009F6D1E">
        <w:rPr>
          <w:rFonts w:cs="Times New Roman"/>
          <w:szCs w:val="24"/>
        </w:rPr>
        <w:t xml:space="preserve"> </w:t>
      </w:r>
      <w:r w:rsidRPr="009F6D1E">
        <w:rPr>
          <w:rFonts w:cs="Times New Roman"/>
          <w:szCs w:val="24"/>
        </w:rPr>
        <w:t>дейности и мерки за</w:t>
      </w:r>
      <w:r w:rsidR="0011368A" w:rsidRPr="009F6D1E">
        <w:rPr>
          <w:rFonts w:cs="Times New Roman"/>
          <w:szCs w:val="24"/>
        </w:rPr>
        <w:t xml:space="preserve"> </w:t>
      </w:r>
      <w:r w:rsidRPr="009F6D1E">
        <w:rPr>
          <w:rFonts w:cs="Times New Roman"/>
          <w:szCs w:val="24"/>
        </w:rPr>
        <w:t>производство на енергия от</w:t>
      </w:r>
      <w:r w:rsidR="0011368A" w:rsidRPr="009F6D1E">
        <w:rPr>
          <w:rFonts w:cs="Times New Roman"/>
          <w:szCs w:val="24"/>
        </w:rPr>
        <w:t xml:space="preserve"> </w:t>
      </w:r>
      <w:r w:rsidRPr="009F6D1E">
        <w:rPr>
          <w:rFonts w:cs="Times New Roman"/>
          <w:szCs w:val="24"/>
        </w:rPr>
        <w:t>горска биомаса.</w:t>
      </w:r>
    </w:p>
    <w:p w14:paraId="1A2DBBFF"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4.3.2</w:t>
      </w:r>
      <w:r w:rsidRPr="009F6D1E">
        <w:rPr>
          <w:rFonts w:cs="Times New Roman"/>
          <w:szCs w:val="24"/>
        </w:rPr>
        <w:t xml:space="preserve"> Актуализиране</w:t>
      </w:r>
      <w:r w:rsidR="0011368A" w:rsidRPr="009F6D1E">
        <w:rPr>
          <w:rFonts w:cs="Times New Roman"/>
          <w:szCs w:val="24"/>
        </w:rPr>
        <w:t xml:space="preserve"> </w:t>
      </w:r>
      <w:r w:rsidRPr="009F6D1E">
        <w:rPr>
          <w:rFonts w:cs="Times New Roman"/>
          <w:szCs w:val="24"/>
        </w:rPr>
        <w:t>на информацията за</w:t>
      </w:r>
      <w:r w:rsidR="0011368A" w:rsidRPr="009F6D1E">
        <w:rPr>
          <w:rFonts w:cs="Times New Roman"/>
          <w:szCs w:val="24"/>
        </w:rPr>
        <w:t xml:space="preserve"> </w:t>
      </w:r>
      <w:r w:rsidRPr="009F6D1E">
        <w:rPr>
          <w:rFonts w:cs="Times New Roman"/>
          <w:szCs w:val="24"/>
        </w:rPr>
        <w:t>изпълнение на мерките и</w:t>
      </w:r>
      <w:r w:rsidR="0011368A" w:rsidRPr="009F6D1E">
        <w:rPr>
          <w:rFonts w:cs="Times New Roman"/>
          <w:szCs w:val="24"/>
        </w:rPr>
        <w:t xml:space="preserve"> </w:t>
      </w:r>
      <w:r w:rsidRPr="009F6D1E">
        <w:rPr>
          <w:rFonts w:cs="Times New Roman"/>
          <w:szCs w:val="24"/>
        </w:rPr>
        <w:t xml:space="preserve">целите в </w:t>
      </w:r>
      <w:r w:rsidR="0011368A" w:rsidRPr="009F6D1E">
        <w:rPr>
          <w:rFonts w:cs="Times New Roman"/>
          <w:szCs w:val="24"/>
        </w:rPr>
        <w:t xml:space="preserve"> п</w:t>
      </w:r>
      <w:r w:rsidRPr="009F6D1E">
        <w:rPr>
          <w:rFonts w:cs="Times New Roman"/>
          <w:szCs w:val="24"/>
        </w:rPr>
        <w:t>лановите</w:t>
      </w:r>
      <w:r w:rsidR="0011368A" w:rsidRPr="009F6D1E">
        <w:rPr>
          <w:rFonts w:cs="Times New Roman"/>
          <w:szCs w:val="24"/>
        </w:rPr>
        <w:t xml:space="preserve"> </w:t>
      </w:r>
      <w:r w:rsidRPr="009F6D1E">
        <w:rPr>
          <w:rFonts w:cs="Times New Roman"/>
          <w:szCs w:val="24"/>
        </w:rPr>
        <w:t>документи.</w:t>
      </w:r>
    </w:p>
    <w:p w14:paraId="6791E254" w14:textId="77777777" w:rsidR="0028598C" w:rsidRPr="009F6D1E" w:rsidRDefault="0028598C" w:rsidP="0084747F">
      <w:pPr>
        <w:spacing w:after="60" w:line="264" w:lineRule="auto"/>
        <w:ind w:left="708"/>
        <w:contextualSpacing/>
        <w:jc w:val="both"/>
        <w:rPr>
          <w:rFonts w:cs="Times New Roman"/>
          <w:szCs w:val="24"/>
        </w:rPr>
      </w:pPr>
      <w:r w:rsidRPr="009F6D1E">
        <w:rPr>
          <w:rFonts w:cs="Times New Roman"/>
          <w:i/>
          <w:szCs w:val="24"/>
        </w:rPr>
        <w:t>Дейност 4.3.3</w:t>
      </w:r>
      <w:r w:rsidRPr="009F6D1E">
        <w:rPr>
          <w:rFonts w:cs="Times New Roman"/>
          <w:szCs w:val="24"/>
        </w:rPr>
        <w:t xml:space="preserve"> Осигуряване</w:t>
      </w:r>
      <w:r w:rsidR="0011368A" w:rsidRPr="009F6D1E">
        <w:rPr>
          <w:rFonts w:cs="Times New Roman"/>
          <w:szCs w:val="24"/>
        </w:rPr>
        <w:t xml:space="preserve"> </w:t>
      </w:r>
      <w:r w:rsidRPr="009F6D1E">
        <w:rPr>
          <w:rFonts w:cs="Times New Roman"/>
          <w:szCs w:val="24"/>
        </w:rPr>
        <w:t>на баланс на интересите</w:t>
      </w:r>
      <w:r w:rsidR="0011368A" w:rsidRPr="009F6D1E">
        <w:rPr>
          <w:rFonts w:cs="Times New Roman"/>
          <w:szCs w:val="24"/>
        </w:rPr>
        <w:t xml:space="preserve"> </w:t>
      </w:r>
      <w:r w:rsidRPr="009F6D1E">
        <w:rPr>
          <w:rFonts w:cs="Times New Roman"/>
          <w:szCs w:val="24"/>
        </w:rPr>
        <w:t>между</w:t>
      </w:r>
      <w:r w:rsidR="0011368A" w:rsidRPr="009F6D1E">
        <w:rPr>
          <w:rFonts w:cs="Times New Roman"/>
          <w:szCs w:val="24"/>
        </w:rPr>
        <w:t xml:space="preserve"> </w:t>
      </w:r>
      <w:r w:rsidRPr="009F6D1E">
        <w:rPr>
          <w:rFonts w:cs="Times New Roman"/>
          <w:szCs w:val="24"/>
        </w:rPr>
        <w:t>дървопреработвателната и</w:t>
      </w:r>
      <w:r w:rsidR="0011368A" w:rsidRPr="009F6D1E">
        <w:rPr>
          <w:rFonts w:cs="Times New Roman"/>
          <w:szCs w:val="24"/>
        </w:rPr>
        <w:t xml:space="preserve"> </w:t>
      </w:r>
      <w:r w:rsidRPr="009F6D1E">
        <w:rPr>
          <w:rFonts w:cs="Times New Roman"/>
          <w:szCs w:val="24"/>
        </w:rPr>
        <w:t>енергийната индустрия.</w:t>
      </w:r>
    </w:p>
    <w:p w14:paraId="62A48F4C"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5</w:t>
      </w:r>
      <w:r w:rsidRPr="009F6D1E">
        <w:rPr>
          <w:rFonts w:cs="Times New Roman"/>
          <w:szCs w:val="24"/>
        </w:rPr>
        <w:t xml:space="preserve"> Развитие на научно-изследователските дейности и обвързването им с</w:t>
      </w:r>
      <w:r w:rsidRPr="009F6D1E">
        <w:rPr>
          <w:rFonts w:cs="Times New Roman"/>
          <w:szCs w:val="24"/>
        </w:rPr>
        <w:br/>
        <w:t>нуждите на производството на енергия от горска биомаса.</w:t>
      </w:r>
    </w:p>
    <w:p w14:paraId="5E1A4E32"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b/>
          <w:i/>
          <w:szCs w:val="24"/>
        </w:rPr>
        <w:t xml:space="preserve">Мярка 5.1 </w:t>
      </w:r>
      <w:r w:rsidRPr="009F6D1E">
        <w:rPr>
          <w:rFonts w:cs="Times New Roman"/>
          <w:szCs w:val="24"/>
        </w:rPr>
        <w:t>Изпълнение на научно-приложни дейности, свързани с производството на енергия от горска биомаса.</w:t>
      </w:r>
    </w:p>
    <w:p w14:paraId="3236AA1C"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i/>
          <w:szCs w:val="24"/>
        </w:rPr>
        <w:t xml:space="preserve">Дейност 5.1.1 </w:t>
      </w:r>
      <w:r w:rsidRPr="009F6D1E">
        <w:rPr>
          <w:rFonts w:cs="Times New Roman"/>
          <w:szCs w:val="24"/>
        </w:rPr>
        <w:t>Възстановяване и развитие на ведомствената горска научно-</w:t>
      </w:r>
      <w:r w:rsidR="00552ACE" w:rsidRPr="009F6D1E">
        <w:rPr>
          <w:rFonts w:cs="Times New Roman"/>
          <w:szCs w:val="24"/>
        </w:rPr>
        <w:t xml:space="preserve"> </w:t>
      </w:r>
      <w:r w:rsidRPr="009F6D1E">
        <w:rPr>
          <w:rFonts w:cs="Times New Roman"/>
          <w:szCs w:val="24"/>
        </w:rPr>
        <w:t>изследователска</w:t>
      </w:r>
      <w:r w:rsidR="00552ACE" w:rsidRPr="009F6D1E">
        <w:rPr>
          <w:rFonts w:cs="Times New Roman"/>
          <w:szCs w:val="24"/>
        </w:rPr>
        <w:t xml:space="preserve"> </w:t>
      </w:r>
      <w:r w:rsidRPr="009F6D1E">
        <w:rPr>
          <w:rFonts w:cs="Times New Roman"/>
          <w:szCs w:val="24"/>
        </w:rPr>
        <w:t>дейност.</w:t>
      </w:r>
    </w:p>
    <w:p w14:paraId="7628B4C2"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i/>
          <w:szCs w:val="24"/>
        </w:rPr>
        <w:t>Дейност 5.1.2</w:t>
      </w:r>
      <w:r w:rsidRPr="009F6D1E">
        <w:rPr>
          <w:rFonts w:cs="Times New Roman"/>
          <w:szCs w:val="24"/>
        </w:rPr>
        <w:t xml:space="preserve"> Реализиране на</w:t>
      </w:r>
      <w:r w:rsidR="00552ACE" w:rsidRPr="009F6D1E">
        <w:rPr>
          <w:rFonts w:cs="Times New Roman"/>
          <w:szCs w:val="24"/>
        </w:rPr>
        <w:t xml:space="preserve"> </w:t>
      </w:r>
      <w:r w:rsidRPr="009F6D1E">
        <w:rPr>
          <w:rFonts w:cs="Times New Roman"/>
          <w:szCs w:val="24"/>
        </w:rPr>
        <w:t>проекти с външно</w:t>
      </w:r>
      <w:r w:rsidR="00552ACE" w:rsidRPr="009F6D1E">
        <w:rPr>
          <w:rFonts w:cs="Times New Roman"/>
          <w:szCs w:val="24"/>
        </w:rPr>
        <w:t xml:space="preserve"> </w:t>
      </w:r>
      <w:r w:rsidRPr="009F6D1E">
        <w:rPr>
          <w:rFonts w:cs="Times New Roman"/>
          <w:szCs w:val="24"/>
        </w:rPr>
        <w:t>финансиране, свързани с</w:t>
      </w:r>
      <w:r w:rsidR="00552ACE" w:rsidRPr="009F6D1E">
        <w:rPr>
          <w:rFonts w:cs="Times New Roman"/>
          <w:szCs w:val="24"/>
        </w:rPr>
        <w:t xml:space="preserve"> </w:t>
      </w:r>
      <w:r w:rsidRPr="009F6D1E">
        <w:rPr>
          <w:rFonts w:cs="Times New Roman"/>
          <w:szCs w:val="24"/>
        </w:rPr>
        <w:t>научното обслужване на</w:t>
      </w:r>
      <w:r w:rsidR="00552ACE" w:rsidRPr="009F6D1E">
        <w:rPr>
          <w:rFonts w:cs="Times New Roman"/>
          <w:szCs w:val="24"/>
        </w:rPr>
        <w:t xml:space="preserve"> </w:t>
      </w:r>
      <w:r w:rsidRPr="009F6D1E">
        <w:rPr>
          <w:rFonts w:cs="Times New Roman"/>
          <w:szCs w:val="24"/>
        </w:rPr>
        <w:t>горския сектор.</w:t>
      </w:r>
    </w:p>
    <w:p w14:paraId="12AB6659"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b/>
          <w:i/>
          <w:szCs w:val="24"/>
        </w:rPr>
        <w:t>Мярка 5.2</w:t>
      </w:r>
      <w:r w:rsidR="00552ACE" w:rsidRPr="009F6D1E">
        <w:rPr>
          <w:rFonts w:cs="Times New Roman"/>
          <w:b/>
          <w:i/>
          <w:szCs w:val="24"/>
        </w:rPr>
        <w:t xml:space="preserve"> </w:t>
      </w:r>
      <w:r w:rsidRPr="009F6D1E">
        <w:rPr>
          <w:rFonts w:cs="Times New Roman"/>
          <w:szCs w:val="24"/>
        </w:rPr>
        <w:t>Повишаване на</w:t>
      </w:r>
      <w:r w:rsidR="00552ACE" w:rsidRPr="009F6D1E">
        <w:rPr>
          <w:rFonts w:cs="Times New Roman"/>
          <w:szCs w:val="24"/>
        </w:rPr>
        <w:t xml:space="preserve"> </w:t>
      </w:r>
      <w:r w:rsidRPr="009F6D1E">
        <w:rPr>
          <w:rFonts w:cs="Times New Roman"/>
          <w:szCs w:val="24"/>
        </w:rPr>
        <w:t>капацитета за</w:t>
      </w:r>
      <w:r w:rsidR="00552ACE" w:rsidRPr="009F6D1E">
        <w:rPr>
          <w:rFonts w:cs="Times New Roman"/>
          <w:szCs w:val="24"/>
        </w:rPr>
        <w:t xml:space="preserve"> </w:t>
      </w:r>
      <w:r w:rsidRPr="009F6D1E">
        <w:rPr>
          <w:rFonts w:cs="Times New Roman"/>
          <w:szCs w:val="24"/>
        </w:rPr>
        <w:t>изпълнение на</w:t>
      </w:r>
      <w:r w:rsidR="00552ACE" w:rsidRPr="009F6D1E">
        <w:rPr>
          <w:rFonts w:cs="Times New Roman"/>
          <w:szCs w:val="24"/>
        </w:rPr>
        <w:t xml:space="preserve">  </w:t>
      </w:r>
      <w:r w:rsidRPr="009F6D1E">
        <w:rPr>
          <w:rFonts w:cs="Times New Roman"/>
          <w:szCs w:val="24"/>
        </w:rPr>
        <w:t>дейности, свързани с</w:t>
      </w:r>
      <w:r w:rsidR="00552ACE" w:rsidRPr="009F6D1E">
        <w:rPr>
          <w:rFonts w:cs="Times New Roman"/>
          <w:szCs w:val="24"/>
        </w:rPr>
        <w:t xml:space="preserve"> </w:t>
      </w:r>
      <w:r w:rsidRPr="009F6D1E">
        <w:rPr>
          <w:rFonts w:cs="Times New Roman"/>
          <w:szCs w:val="24"/>
        </w:rPr>
        <w:t>производството на</w:t>
      </w:r>
      <w:r w:rsidR="00552ACE" w:rsidRPr="009F6D1E">
        <w:rPr>
          <w:rFonts w:cs="Times New Roman"/>
          <w:szCs w:val="24"/>
        </w:rPr>
        <w:t xml:space="preserve"> </w:t>
      </w:r>
      <w:r w:rsidRPr="009F6D1E">
        <w:rPr>
          <w:rFonts w:cs="Times New Roman"/>
          <w:szCs w:val="24"/>
        </w:rPr>
        <w:t>енергия от горска</w:t>
      </w:r>
      <w:r w:rsidR="00552ACE" w:rsidRPr="009F6D1E">
        <w:rPr>
          <w:rFonts w:cs="Times New Roman"/>
          <w:szCs w:val="24"/>
        </w:rPr>
        <w:t xml:space="preserve"> </w:t>
      </w:r>
      <w:r w:rsidRPr="009F6D1E">
        <w:rPr>
          <w:rFonts w:cs="Times New Roman"/>
          <w:szCs w:val="24"/>
        </w:rPr>
        <w:t>биомаса.</w:t>
      </w:r>
    </w:p>
    <w:p w14:paraId="54821F26"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i/>
          <w:szCs w:val="24"/>
        </w:rPr>
        <w:t>Дейност 5.2.1</w:t>
      </w:r>
      <w:r w:rsidRPr="009F6D1E">
        <w:rPr>
          <w:rFonts w:cs="Times New Roman"/>
          <w:szCs w:val="24"/>
        </w:rPr>
        <w:t xml:space="preserve"> Повишаване на</w:t>
      </w:r>
      <w:r w:rsidR="00552ACE" w:rsidRPr="009F6D1E">
        <w:rPr>
          <w:rFonts w:cs="Times New Roman"/>
          <w:szCs w:val="24"/>
        </w:rPr>
        <w:t xml:space="preserve"> </w:t>
      </w:r>
      <w:r w:rsidRPr="009F6D1E">
        <w:rPr>
          <w:rFonts w:cs="Times New Roman"/>
          <w:szCs w:val="24"/>
        </w:rPr>
        <w:t>капацитета за разработване</w:t>
      </w:r>
      <w:r w:rsidR="00552ACE" w:rsidRPr="009F6D1E">
        <w:rPr>
          <w:rFonts w:cs="Times New Roman"/>
          <w:szCs w:val="24"/>
        </w:rPr>
        <w:t xml:space="preserve"> </w:t>
      </w:r>
      <w:r w:rsidRPr="009F6D1E">
        <w:rPr>
          <w:rFonts w:cs="Times New Roman"/>
          <w:szCs w:val="24"/>
        </w:rPr>
        <w:t>на проекти с външно</w:t>
      </w:r>
      <w:r w:rsidR="00552ACE" w:rsidRPr="009F6D1E">
        <w:rPr>
          <w:rFonts w:cs="Times New Roman"/>
          <w:szCs w:val="24"/>
        </w:rPr>
        <w:t xml:space="preserve"> </w:t>
      </w:r>
      <w:r w:rsidRPr="009F6D1E">
        <w:rPr>
          <w:rFonts w:cs="Times New Roman"/>
          <w:szCs w:val="24"/>
        </w:rPr>
        <w:t>финансиране.</w:t>
      </w:r>
    </w:p>
    <w:p w14:paraId="1EF1E533" w14:textId="77777777" w:rsidR="0011368A" w:rsidRPr="009F6D1E" w:rsidRDefault="0011368A" w:rsidP="0084747F">
      <w:pPr>
        <w:spacing w:after="60" w:line="264" w:lineRule="auto"/>
        <w:ind w:left="708"/>
        <w:contextualSpacing/>
        <w:jc w:val="both"/>
        <w:rPr>
          <w:rFonts w:cs="Times New Roman"/>
          <w:szCs w:val="24"/>
        </w:rPr>
      </w:pPr>
      <w:r w:rsidRPr="009F6D1E">
        <w:rPr>
          <w:rFonts w:cs="Times New Roman"/>
          <w:i/>
          <w:szCs w:val="24"/>
        </w:rPr>
        <w:t>Дейност 5.2.2</w:t>
      </w:r>
      <w:r w:rsidRPr="009F6D1E">
        <w:rPr>
          <w:rFonts w:cs="Times New Roman"/>
          <w:szCs w:val="24"/>
        </w:rPr>
        <w:t xml:space="preserve"> Повишаване на</w:t>
      </w:r>
      <w:r w:rsidR="00552ACE" w:rsidRPr="009F6D1E">
        <w:rPr>
          <w:rFonts w:cs="Times New Roman"/>
          <w:szCs w:val="24"/>
        </w:rPr>
        <w:t xml:space="preserve"> </w:t>
      </w:r>
      <w:r w:rsidRPr="009F6D1E">
        <w:rPr>
          <w:rFonts w:cs="Times New Roman"/>
          <w:szCs w:val="24"/>
        </w:rPr>
        <w:t>капацитета за изпълнение на</w:t>
      </w:r>
      <w:r w:rsidR="00552ACE" w:rsidRPr="009F6D1E">
        <w:rPr>
          <w:rFonts w:cs="Times New Roman"/>
          <w:szCs w:val="24"/>
        </w:rPr>
        <w:t xml:space="preserve"> </w:t>
      </w:r>
      <w:r w:rsidRPr="009F6D1E">
        <w:rPr>
          <w:rFonts w:cs="Times New Roman"/>
          <w:szCs w:val="24"/>
        </w:rPr>
        <w:t>дейности, свързани с</w:t>
      </w:r>
      <w:r w:rsidR="00552ACE" w:rsidRPr="009F6D1E">
        <w:rPr>
          <w:rFonts w:cs="Times New Roman"/>
          <w:szCs w:val="24"/>
        </w:rPr>
        <w:t xml:space="preserve"> </w:t>
      </w:r>
      <w:r w:rsidRPr="009F6D1E">
        <w:rPr>
          <w:rFonts w:cs="Times New Roman"/>
          <w:szCs w:val="24"/>
        </w:rPr>
        <w:t>горското стопанство и</w:t>
      </w:r>
      <w:r w:rsidR="00552ACE" w:rsidRPr="009F6D1E">
        <w:rPr>
          <w:rFonts w:cs="Times New Roman"/>
          <w:szCs w:val="24"/>
        </w:rPr>
        <w:t xml:space="preserve"> </w:t>
      </w:r>
      <w:r w:rsidRPr="009F6D1E">
        <w:rPr>
          <w:rFonts w:cs="Times New Roman"/>
          <w:szCs w:val="24"/>
        </w:rPr>
        <w:t>производството на енергия от</w:t>
      </w:r>
      <w:r w:rsidR="00552ACE" w:rsidRPr="009F6D1E">
        <w:rPr>
          <w:rFonts w:cs="Times New Roman"/>
          <w:szCs w:val="24"/>
        </w:rPr>
        <w:t xml:space="preserve"> </w:t>
      </w:r>
      <w:r w:rsidRPr="009F6D1E">
        <w:rPr>
          <w:rFonts w:cs="Times New Roman"/>
          <w:szCs w:val="24"/>
        </w:rPr>
        <w:t>горска биомаса.</w:t>
      </w:r>
    </w:p>
    <w:p w14:paraId="40F29AB0" w14:textId="77777777" w:rsidR="001B2150" w:rsidRPr="009F6D1E" w:rsidRDefault="001B2150" w:rsidP="0084747F">
      <w:pPr>
        <w:spacing w:after="60" w:line="264" w:lineRule="auto"/>
        <w:ind w:left="708"/>
        <w:contextualSpacing/>
        <w:jc w:val="both"/>
        <w:rPr>
          <w:rFonts w:cs="Times New Roman"/>
          <w:szCs w:val="24"/>
        </w:rPr>
      </w:pPr>
      <w:r w:rsidRPr="009F6D1E">
        <w:rPr>
          <w:rFonts w:cs="Times New Roman"/>
          <w:b/>
          <w:szCs w:val="24"/>
        </w:rPr>
        <w:t>Приоритет 6</w:t>
      </w:r>
      <w:r w:rsidRPr="009F6D1E">
        <w:rPr>
          <w:rFonts w:cs="Times New Roman"/>
          <w:szCs w:val="24"/>
        </w:rPr>
        <w:t xml:space="preserve"> Осигуряване на информация, публичност и прозрачност чрез</w:t>
      </w:r>
      <w:r w:rsidRPr="009F6D1E">
        <w:rPr>
          <w:rFonts w:cs="Times New Roman"/>
          <w:szCs w:val="24"/>
        </w:rPr>
        <w:br/>
        <w:t>прилагане на принципа на партньорство при устойчивото производство на енергия</w:t>
      </w:r>
      <w:r w:rsidRPr="009F6D1E">
        <w:rPr>
          <w:rFonts w:cs="Times New Roman"/>
          <w:szCs w:val="24"/>
        </w:rPr>
        <w:br/>
        <w:t>от горска биомаса.</w:t>
      </w:r>
    </w:p>
    <w:p w14:paraId="36251E84" w14:textId="77777777" w:rsidR="00E46A5A" w:rsidRPr="009F6D1E" w:rsidRDefault="00E46A5A" w:rsidP="0084747F">
      <w:pPr>
        <w:spacing w:after="60" w:line="264" w:lineRule="auto"/>
        <w:ind w:left="708"/>
        <w:contextualSpacing/>
        <w:jc w:val="both"/>
        <w:rPr>
          <w:rFonts w:cs="Times New Roman"/>
          <w:szCs w:val="24"/>
        </w:rPr>
      </w:pPr>
      <w:r w:rsidRPr="009F6D1E">
        <w:rPr>
          <w:rFonts w:cs="Times New Roman"/>
          <w:b/>
          <w:i/>
          <w:szCs w:val="24"/>
        </w:rPr>
        <w:t>Мярка 6.1</w:t>
      </w:r>
      <w:r w:rsidRPr="009F6D1E">
        <w:rPr>
          <w:rFonts w:cs="Times New Roman"/>
          <w:szCs w:val="24"/>
        </w:rPr>
        <w:t xml:space="preserve"> Изготвяне, приемане и изпълнение на Комуникационна стратегия на ИАГ. </w:t>
      </w:r>
      <w:r w:rsidRPr="009F6D1E">
        <w:rPr>
          <w:rFonts w:cs="Times New Roman"/>
          <w:i/>
          <w:szCs w:val="24"/>
        </w:rPr>
        <w:t>Дейност 6.1.1</w:t>
      </w:r>
      <w:r w:rsidRPr="009F6D1E">
        <w:rPr>
          <w:rFonts w:cs="Times New Roman"/>
          <w:szCs w:val="24"/>
        </w:rPr>
        <w:t xml:space="preserve"> Разработване на обособени части в стратегията и годишните медия-планове, свързани с популяризирането на високоефективното използване на горска биомаса за производство на енергия.</w:t>
      </w:r>
    </w:p>
    <w:p w14:paraId="491079DB" w14:textId="77777777" w:rsidR="00E46A5A" w:rsidRPr="009F6D1E" w:rsidRDefault="00E46A5A" w:rsidP="0084747F">
      <w:pPr>
        <w:spacing w:after="60" w:line="264" w:lineRule="auto"/>
        <w:ind w:left="708"/>
        <w:contextualSpacing/>
        <w:jc w:val="both"/>
        <w:rPr>
          <w:rFonts w:cs="Times New Roman"/>
          <w:szCs w:val="24"/>
        </w:rPr>
      </w:pPr>
      <w:r w:rsidRPr="009F6D1E">
        <w:rPr>
          <w:rFonts w:cs="Times New Roman"/>
          <w:i/>
          <w:szCs w:val="24"/>
        </w:rPr>
        <w:t>Дейност 6.1.2</w:t>
      </w:r>
      <w:r w:rsidRPr="009F6D1E">
        <w:rPr>
          <w:rFonts w:cs="Times New Roman"/>
          <w:szCs w:val="24"/>
        </w:rPr>
        <w:t xml:space="preserve"> Обмяна на опит и най-добри европейски практики за производството на енергия от горска биомаса.</w:t>
      </w:r>
    </w:p>
    <w:p w14:paraId="181FA07A" w14:textId="77777777" w:rsidR="00E46A5A" w:rsidRPr="009F6D1E" w:rsidRDefault="00E46A5A" w:rsidP="0084747F">
      <w:pPr>
        <w:spacing w:after="60" w:line="264" w:lineRule="auto"/>
        <w:ind w:left="708"/>
        <w:contextualSpacing/>
        <w:jc w:val="both"/>
        <w:rPr>
          <w:rFonts w:cs="Times New Roman"/>
          <w:szCs w:val="24"/>
        </w:rPr>
      </w:pPr>
      <w:r w:rsidRPr="009F6D1E">
        <w:rPr>
          <w:rFonts w:cs="Times New Roman"/>
          <w:b/>
          <w:i/>
          <w:szCs w:val="24"/>
        </w:rPr>
        <w:t xml:space="preserve">Мярка 6.2 </w:t>
      </w:r>
      <w:r w:rsidRPr="009F6D1E">
        <w:rPr>
          <w:rFonts w:cs="Times New Roman"/>
          <w:szCs w:val="24"/>
        </w:rPr>
        <w:t>Подобряване и хармонизиране на наличната информация за горите, горското стопанство и горската индустрия.</w:t>
      </w:r>
    </w:p>
    <w:p w14:paraId="105C1A9A" w14:textId="77777777" w:rsidR="00E46A5A" w:rsidRPr="009F6D1E" w:rsidRDefault="00E46A5A" w:rsidP="0084747F">
      <w:pPr>
        <w:spacing w:after="60" w:line="264" w:lineRule="auto"/>
        <w:ind w:left="708"/>
        <w:contextualSpacing/>
        <w:jc w:val="both"/>
        <w:rPr>
          <w:rFonts w:cs="Times New Roman"/>
          <w:szCs w:val="24"/>
        </w:rPr>
      </w:pPr>
      <w:r w:rsidRPr="009F6D1E">
        <w:rPr>
          <w:rFonts w:cs="Times New Roman"/>
          <w:i/>
          <w:szCs w:val="24"/>
        </w:rPr>
        <w:t>Дейност 6.2.1</w:t>
      </w:r>
      <w:r w:rsidRPr="009F6D1E">
        <w:rPr>
          <w:rFonts w:cs="Times New Roman"/>
          <w:szCs w:val="24"/>
        </w:rPr>
        <w:t xml:space="preserve"> Подобряване на работата на НСИ с цел предоставяне на хармонизирана информация за горите и горския сектор в България</w:t>
      </w:r>
    </w:p>
    <w:p w14:paraId="387534DA" w14:textId="77777777" w:rsidR="00E46A5A" w:rsidRPr="009F6D1E" w:rsidRDefault="00E46A5A" w:rsidP="0084747F">
      <w:pPr>
        <w:spacing w:after="60" w:line="264" w:lineRule="auto"/>
        <w:ind w:left="708"/>
        <w:contextualSpacing/>
        <w:jc w:val="both"/>
        <w:rPr>
          <w:rFonts w:cs="Times New Roman"/>
          <w:szCs w:val="24"/>
        </w:rPr>
      </w:pPr>
      <w:r w:rsidRPr="009F6D1E">
        <w:rPr>
          <w:rFonts w:cs="Times New Roman"/>
          <w:i/>
          <w:szCs w:val="24"/>
        </w:rPr>
        <w:t>Дейност 6.2.2</w:t>
      </w:r>
      <w:r w:rsidRPr="009F6D1E">
        <w:rPr>
          <w:rFonts w:cs="Times New Roman"/>
          <w:szCs w:val="24"/>
        </w:rPr>
        <w:t xml:space="preserve"> Подобряване на механизмите за събиране на информация и качеството на предоставяната информация от горската индустрия на ИАГ, НСИ и други ведомства.</w:t>
      </w:r>
    </w:p>
    <w:p w14:paraId="03795DCD" w14:textId="77777777" w:rsidR="004131B4" w:rsidRPr="009F6D1E" w:rsidRDefault="004131B4" w:rsidP="0084747F">
      <w:pPr>
        <w:spacing w:after="60" w:line="264" w:lineRule="auto"/>
        <w:contextualSpacing/>
        <w:jc w:val="both"/>
        <w:rPr>
          <w:rFonts w:eastAsia="Calibri" w:cs="Times New Roman"/>
          <w:b/>
          <w:bCs/>
          <w:i/>
          <w:iCs/>
          <w:szCs w:val="24"/>
        </w:rPr>
      </w:pPr>
    </w:p>
    <w:p w14:paraId="62102357" w14:textId="77777777" w:rsidR="00E46A5A" w:rsidRPr="009F6D1E" w:rsidRDefault="00E46A5A"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Националния план в </w:t>
      </w:r>
      <w:r w:rsidR="00CD4045" w:rsidRPr="009F6D1E">
        <w:rPr>
          <w:rFonts w:cs="Times New Roman"/>
          <w:szCs w:val="24"/>
        </w:rPr>
        <w:t>СПРЗСР</w:t>
      </w:r>
      <w:r w:rsidRPr="009F6D1E">
        <w:rPr>
          <w:rFonts w:cs="Times New Roman"/>
          <w:szCs w:val="24"/>
        </w:rPr>
        <w:t xml:space="preserve"> е анализирано в т.7.2 на ДЕО.</w:t>
      </w:r>
    </w:p>
    <w:p w14:paraId="20289E58" w14:textId="4CBDE0F3" w:rsidR="00E46A5A" w:rsidRDefault="00E46A5A" w:rsidP="0084747F">
      <w:pPr>
        <w:spacing w:after="60" w:line="264" w:lineRule="auto"/>
        <w:contextualSpacing/>
        <w:jc w:val="both"/>
        <w:rPr>
          <w:rFonts w:eastAsia="Calibri" w:cs="Times New Roman"/>
          <w:b/>
          <w:bCs/>
          <w:i/>
          <w:iCs/>
          <w:szCs w:val="24"/>
        </w:rPr>
      </w:pPr>
    </w:p>
    <w:p w14:paraId="2B6BA64A" w14:textId="77777777" w:rsidR="00BB0ED7" w:rsidRPr="009F6D1E" w:rsidRDefault="00BB0ED7" w:rsidP="0084747F">
      <w:pPr>
        <w:spacing w:after="60" w:line="264" w:lineRule="auto"/>
        <w:contextualSpacing/>
        <w:jc w:val="both"/>
        <w:rPr>
          <w:rFonts w:eastAsia="Calibri" w:cs="Times New Roman"/>
          <w:b/>
          <w:bCs/>
          <w:i/>
          <w:iCs/>
          <w:szCs w:val="24"/>
        </w:rPr>
      </w:pPr>
    </w:p>
    <w:p w14:paraId="514F525C" w14:textId="77777777" w:rsidR="00E46A5A" w:rsidRPr="009F6D1E" w:rsidRDefault="00E46A5A">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 xml:space="preserve">Стратегия за укрепване ролята на аграрния сектор в биоикономиката </w:t>
      </w:r>
    </w:p>
    <w:p w14:paraId="6B177CB2" w14:textId="77777777" w:rsidR="0094794D" w:rsidRPr="009F6D1E" w:rsidRDefault="0094794D" w:rsidP="0084747F">
      <w:pPr>
        <w:spacing w:after="60" w:line="264" w:lineRule="auto"/>
        <w:ind w:firstLine="708"/>
        <w:jc w:val="both"/>
        <w:rPr>
          <w:rFonts w:eastAsia="Times New Roman" w:cs="Times New Roman"/>
          <w:szCs w:val="24"/>
        </w:rPr>
      </w:pPr>
    </w:p>
    <w:p w14:paraId="7F179A5E" w14:textId="6BDE8D41" w:rsidR="00E46A5A" w:rsidRPr="009F6D1E" w:rsidRDefault="00E46A5A" w:rsidP="0084747F">
      <w:pPr>
        <w:spacing w:after="60" w:line="264" w:lineRule="auto"/>
        <w:ind w:firstLine="708"/>
        <w:jc w:val="both"/>
        <w:rPr>
          <w:rFonts w:eastAsia="Times New Roman" w:cs="Times New Roman"/>
          <w:szCs w:val="24"/>
        </w:rPr>
      </w:pPr>
      <w:r w:rsidRPr="009F6D1E">
        <w:rPr>
          <w:rFonts w:eastAsia="Times New Roman" w:cs="Times New Roman"/>
          <w:szCs w:val="24"/>
        </w:rPr>
        <w:t>Биоикономиката обхваща производството на възобновяеми биологични ресурси (биомаса) и тяхното превръщане в храни, фуражи, биологични продукти и биоенергия. Аграрният сектор (земеделие, гори, риб</w:t>
      </w:r>
      <w:r w:rsidR="00BB0ED7">
        <w:rPr>
          <w:rFonts w:eastAsia="Times New Roman" w:cs="Times New Roman"/>
          <w:szCs w:val="24"/>
        </w:rPr>
        <w:t>а</w:t>
      </w:r>
      <w:r w:rsidRPr="009F6D1E">
        <w:rPr>
          <w:rFonts w:eastAsia="Times New Roman" w:cs="Times New Roman"/>
          <w:szCs w:val="24"/>
        </w:rPr>
        <w:t xml:space="preserve">рство) и хранително-вкусовата промишленост участват в биоикономиката с цялата си дейност, а мебелната, текстилната, фармацевтичната, химическата, строителната и енергийната индустрии - с дейността, свързана с преработка на биомаса и получаване на </w:t>
      </w:r>
      <w:proofErr w:type="spellStart"/>
      <w:r w:rsidRPr="009F6D1E">
        <w:rPr>
          <w:rFonts w:eastAsia="Times New Roman" w:cs="Times New Roman"/>
          <w:szCs w:val="24"/>
        </w:rPr>
        <w:t>биобазирани</w:t>
      </w:r>
      <w:proofErr w:type="spellEnd"/>
      <w:r w:rsidRPr="009F6D1E">
        <w:rPr>
          <w:rFonts w:eastAsia="Times New Roman" w:cs="Times New Roman"/>
          <w:szCs w:val="24"/>
        </w:rPr>
        <w:t xml:space="preserve"> продукти.</w:t>
      </w:r>
    </w:p>
    <w:p w14:paraId="478A02F5" w14:textId="77777777" w:rsidR="005B781E" w:rsidRPr="009F6D1E" w:rsidRDefault="005B781E"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Стратегическа цел 1</w:t>
      </w:r>
      <w:r w:rsidRPr="009F6D1E">
        <w:rPr>
          <w:rFonts w:eastAsia="Calibri" w:cs="Times New Roman"/>
          <w:bCs/>
          <w:iCs/>
          <w:szCs w:val="24"/>
        </w:rPr>
        <w:t xml:space="preserve">: Устойчиво управление и развитие на земеделието, горското стопанство и рибарството за устойчиво производство и предоставяне на възобновяеми ресурси; </w:t>
      </w:r>
    </w:p>
    <w:p w14:paraId="14A03FC2" w14:textId="77777777" w:rsidR="005B781E" w:rsidRPr="009F6D1E" w:rsidRDefault="005B781E"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Стратегическа цел 2:</w:t>
      </w:r>
      <w:r w:rsidRPr="009F6D1E">
        <w:rPr>
          <w:rFonts w:eastAsia="Calibri" w:cs="Times New Roman"/>
          <w:bCs/>
          <w:iCs/>
          <w:szCs w:val="24"/>
        </w:rPr>
        <w:t xml:space="preserve"> Пълноценно използване и развитие на научно-изследователската дейност, на партньорства за обмен и трансфер на иновации, на инфраструктура за експериментиране </w:t>
      </w:r>
    </w:p>
    <w:p w14:paraId="62BAA547" w14:textId="77777777" w:rsidR="005B781E" w:rsidRPr="009F6D1E" w:rsidRDefault="005B781E"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Стратегическа цел 3:</w:t>
      </w:r>
      <w:r w:rsidRPr="009F6D1E">
        <w:rPr>
          <w:rFonts w:eastAsia="Calibri" w:cs="Times New Roman"/>
          <w:bCs/>
          <w:iCs/>
          <w:szCs w:val="24"/>
        </w:rPr>
        <w:t xml:space="preserve"> Подобряване на знанията и уменията.</w:t>
      </w:r>
    </w:p>
    <w:p w14:paraId="2D6390A7" w14:textId="77777777" w:rsidR="005B781E" w:rsidRPr="009F6D1E" w:rsidRDefault="005B781E"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Стратегията  в </w:t>
      </w:r>
      <w:r w:rsidR="00CD4045" w:rsidRPr="009F6D1E">
        <w:rPr>
          <w:rFonts w:cs="Times New Roman"/>
          <w:szCs w:val="24"/>
        </w:rPr>
        <w:t>СПРЗСР</w:t>
      </w:r>
      <w:r w:rsidRPr="009F6D1E">
        <w:rPr>
          <w:rFonts w:cs="Times New Roman"/>
          <w:szCs w:val="24"/>
        </w:rPr>
        <w:t xml:space="preserve"> е анализирано в т.7.2 на ДЕО.</w:t>
      </w:r>
    </w:p>
    <w:p w14:paraId="5FB113CF" w14:textId="77777777" w:rsidR="005B781E" w:rsidRPr="009F6D1E" w:rsidRDefault="005B781E" w:rsidP="0084747F">
      <w:pPr>
        <w:spacing w:after="60" w:line="264" w:lineRule="auto"/>
        <w:contextualSpacing/>
        <w:jc w:val="both"/>
        <w:rPr>
          <w:rFonts w:eastAsia="Calibri" w:cs="Times New Roman"/>
          <w:b/>
          <w:bCs/>
          <w:i/>
          <w:iCs/>
          <w:szCs w:val="24"/>
        </w:rPr>
      </w:pPr>
    </w:p>
    <w:p w14:paraId="2751CE6F" w14:textId="77777777" w:rsidR="005B781E" w:rsidRPr="009F6D1E" w:rsidRDefault="005B781E">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Стратегия за укрепване ролята на аграрния сектор в биоикономиката </w:t>
      </w:r>
      <w:r w:rsidR="00D8574A" w:rsidRPr="009F6D1E">
        <w:rPr>
          <w:b/>
          <w:bCs/>
          <w:smallCaps w:val="0"/>
          <w:color w:val="262626" w:themeColor="text1" w:themeTint="D9"/>
          <w:lang w:eastAsia="en-US" w:bidi="ar-SA"/>
        </w:rPr>
        <w:t>Стратегия за цифровизация на земеделието и селските райони на Република България, приета с Решение № 247 на Министерския съвет от 02.05.2019 г.</w:t>
      </w:r>
      <w:r w:rsidR="00D8574A" w:rsidRPr="009F6D1E">
        <w:rPr>
          <w:rStyle w:val="FootnoteReference"/>
          <w:b/>
          <w:bCs/>
          <w:smallCaps w:val="0"/>
          <w:color w:val="262626" w:themeColor="text1" w:themeTint="D9"/>
          <w:lang w:eastAsia="en-US" w:bidi="ar-SA"/>
        </w:rPr>
        <w:footnoteReference w:id="60"/>
      </w:r>
    </w:p>
    <w:p w14:paraId="086930D3" w14:textId="77777777" w:rsidR="0094794D" w:rsidRPr="009F6D1E" w:rsidRDefault="0094794D" w:rsidP="0084747F">
      <w:pPr>
        <w:spacing w:after="60" w:line="264" w:lineRule="auto"/>
        <w:ind w:firstLine="708"/>
        <w:contextualSpacing/>
        <w:jc w:val="both"/>
        <w:rPr>
          <w:rFonts w:cs="Times New Roman"/>
          <w:b/>
          <w:i/>
          <w:szCs w:val="24"/>
        </w:rPr>
      </w:pPr>
    </w:p>
    <w:p w14:paraId="4682C07B" w14:textId="77777777" w:rsidR="00E46A5A" w:rsidRPr="009F6D1E" w:rsidRDefault="00D8574A" w:rsidP="0084747F">
      <w:pPr>
        <w:spacing w:after="60" w:line="264" w:lineRule="auto"/>
        <w:ind w:firstLine="708"/>
        <w:contextualSpacing/>
        <w:jc w:val="both"/>
        <w:rPr>
          <w:rFonts w:cs="Times New Roman"/>
          <w:szCs w:val="24"/>
        </w:rPr>
      </w:pPr>
      <w:r w:rsidRPr="009F6D1E">
        <w:rPr>
          <w:rFonts w:cs="Times New Roman"/>
          <w:b/>
          <w:i/>
          <w:szCs w:val="24"/>
        </w:rPr>
        <w:t>Основната цел</w:t>
      </w:r>
      <w:r w:rsidRPr="009F6D1E">
        <w:rPr>
          <w:rFonts w:cs="Times New Roman"/>
          <w:szCs w:val="24"/>
        </w:rPr>
        <w:t xml:space="preserve"> на цифровизирането на българското селско стопанство и свързаният с него земеделски бизнес е да го превърне във високо технологична, устойчива, високо продуктивна и атрактивна сфера от световната икономика, която не само подобрява условията на живот на земеделските стопани, но и на селските райони като цяло.</w:t>
      </w:r>
    </w:p>
    <w:p w14:paraId="211F0082" w14:textId="77777777" w:rsidR="00D8574A" w:rsidRPr="009F6D1E" w:rsidRDefault="00D8574A" w:rsidP="0084747F">
      <w:pPr>
        <w:spacing w:after="60" w:line="264" w:lineRule="auto"/>
        <w:ind w:firstLine="708"/>
        <w:contextualSpacing/>
        <w:jc w:val="both"/>
        <w:rPr>
          <w:rFonts w:cs="Times New Roman"/>
          <w:b/>
          <w:i/>
          <w:szCs w:val="24"/>
        </w:rPr>
      </w:pPr>
      <w:r w:rsidRPr="009F6D1E">
        <w:rPr>
          <w:rFonts w:cs="Times New Roman"/>
          <w:b/>
          <w:i/>
          <w:szCs w:val="24"/>
        </w:rPr>
        <w:t>Стратегически цели на цифровизацията</w:t>
      </w:r>
    </w:p>
    <w:p w14:paraId="3D633C31"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1. Повишаване на продуктивността и устойчивостта на земеделското производство;</w:t>
      </w:r>
    </w:p>
    <w:p w14:paraId="2308E9C9"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2. Подобряване на здравето на хората чрез производството на качествена храна;</w:t>
      </w:r>
    </w:p>
    <w:p w14:paraId="27FD9086"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3. Опазване на околната среда и справяне с предизвикателствата с изменението на климата;</w:t>
      </w:r>
    </w:p>
    <w:p w14:paraId="459E299D"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 xml:space="preserve">4. Увеличаване/разширяване на присъствието на българските продукти на Единния европейски пазар и на световните пазари; </w:t>
      </w:r>
    </w:p>
    <w:p w14:paraId="5FAF4A12" w14:textId="77777777" w:rsidR="00E46A5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5. Стимулиране на интереса и привличане на младите да развиват земеделие</w:t>
      </w:r>
    </w:p>
    <w:p w14:paraId="62B96CCE" w14:textId="77777777" w:rsidR="00D8574A" w:rsidRPr="009F6D1E" w:rsidRDefault="00D8574A" w:rsidP="0084747F">
      <w:pPr>
        <w:pStyle w:val="ListParagraph"/>
        <w:spacing w:after="60" w:line="264" w:lineRule="auto"/>
        <w:ind w:left="540"/>
        <w:jc w:val="both"/>
        <w:rPr>
          <w:rFonts w:eastAsiaTheme="minorHAnsi"/>
          <w:b/>
          <w:i/>
          <w:color w:val="auto"/>
          <w:lang w:val="bg-BG"/>
        </w:rPr>
      </w:pPr>
      <w:r w:rsidRPr="009F6D1E">
        <w:rPr>
          <w:rFonts w:eastAsiaTheme="minorHAnsi"/>
          <w:b/>
          <w:i/>
          <w:color w:val="auto"/>
          <w:lang w:val="bg-BG"/>
        </w:rPr>
        <w:t>Конкретни цели в земеделската дейност</w:t>
      </w:r>
    </w:p>
    <w:p w14:paraId="7E8FF39F" w14:textId="77777777" w:rsidR="00D8574A" w:rsidRPr="009F6D1E" w:rsidRDefault="00D8574A" w:rsidP="0084747F">
      <w:pPr>
        <w:pStyle w:val="ListParagraph"/>
        <w:spacing w:after="60" w:line="264" w:lineRule="auto"/>
        <w:ind w:left="540" w:firstLine="168"/>
        <w:jc w:val="both"/>
        <w:rPr>
          <w:rFonts w:eastAsiaTheme="minorHAnsi"/>
          <w:color w:val="auto"/>
          <w:lang w:val="bg-BG"/>
        </w:rPr>
      </w:pPr>
      <w:r w:rsidRPr="009F6D1E">
        <w:rPr>
          <w:rFonts w:eastAsiaTheme="minorHAnsi"/>
          <w:color w:val="auto"/>
          <w:lang w:val="bg-BG"/>
        </w:rPr>
        <w:t>1. Повишаване на доходите на земеделските стопани;</w:t>
      </w:r>
    </w:p>
    <w:p w14:paraId="73822454" w14:textId="77777777" w:rsidR="00D8574A" w:rsidRPr="009F6D1E" w:rsidRDefault="00D8574A" w:rsidP="0084747F">
      <w:pPr>
        <w:pStyle w:val="ListParagraph"/>
        <w:spacing w:after="60" w:line="264" w:lineRule="auto"/>
        <w:ind w:left="540" w:firstLine="168"/>
        <w:jc w:val="both"/>
        <w:rPr>
          <w:rFonts w:eastAsiaTheme="minorHAnsi"/>
          <w:color w:val="auto"/>
          <w:lang w:val="bg-BG"/>
        </w:rPr>
      </w:pPr>
      <w:r w:rsidRPr="009F6D1E">
        <w:rPr>
          <w:rFonts w:eastAsiaTheme="minorHAnsi"/>
          <w:color w:val="auto"/>
          <w:lang w:val="bg-BG"/>
        </w:rPr>
        <w:t>2. Намаляване на производствените разходи;</w:t>
      </w:r>
    </w:p>
    <w:p w14:paraId="62B8973C" w14:textId="77777777" w:rsidR="00D8574A" w:rsidRPr="009F6D1E" w:rsidRDefault="00D8574A" w:rsidP="0084747F">
      <w:pPr>
        <w:pStyle w:val="ListParagraph"/>
        <w:spacing w:after="60" w:line="264" w:lineRule="auto"/>
        <w:ind w:left="0" w:firstLine="708"/>
        <w:jc w:val="both"/>
        <w:rPr>
          <w:rFonts w:eastAsiaTheme="minorHAnsi"/>
          <w:color w:val="auto"/>
          <w:lang w:val="bg-BG"/>
        </w:rPr>
      </w:pPr>
      <w:r w:rsidRPr="009F6D1E">
        <w:rPr>
          <w:rFonts w:eastAsiaTheme="minorHAnsi"/>
          <w:color w:val="auto"/>
          <w:lang w:val="bg-BG"/>
        </w:rPr>
        <w:lastRenderedPageBreak/>
        <w:t>3. Подобряване на проследяемостта и качеството на произведената продукция с оглед търсенето и изискванията на пазара/потребителите;</w:t>
      </w:r>
    </w:p>
    <w:p w14:paraId="5E8EC837" w14:textId="77777777" w:rsidR="00D8574A" w:rsidRPr="009F6D1E" w:rsidRDefault="00D8574A" w:rsidP="0084747F">
      <w:pPr>
        <w:pStyle w:val="ListParagraph"/>
        <w:spacing w:after="60" w:line="264" w:lineRule="auto"/>
        <w:ind w:left="0" w:firstLine="708"/>
        <w:jc w:val="both"/>
        <w:rPr>
          <w:rFonts w:eastAsiaTheme="minorHAnsi"/>
          <w:color w:val="auto"/>
          <w:lang w:val="bg-BG"/>
        </w:rPr>
      </w:pPr>
      <w:r w:rsidRPr="009F6D1E">
        <w:rPr>
          <w:rFonts w:eastAsiaTheme="minorHAnsi"/>
          <w:color w:val="auto"/>
          <w:lang w:val="bg-BG"/>
        </w:rPr>
        <w:t>4. Нови възможности за финансиране.</w:t>
      </w:r>
    </w:p>
    <w:p w14:paraId="26A3C3A5" w14:textId="77777777" w:rsidR="00D8574A" w:rsidRPr="009F6D1E" w:rsidRDefault="00D8574A" w:rsidP="0084747F">
      <w:pPr>
        <w:spacing w:after="60" w:line="264" w:lineRule="auto"/>
        <w:ind w:firstLine="708"/>
        <w:jc w:val="both"/>
        <w:rPr>
          <w:rFonts w:cs="Times New Roman"/>
          <w:b/>
          <w:i/>
          <w:szCs w:val="24"/>
        </w:rPr>
      </w:pPr>
      <w:r w:rsidRPr="009F6D1E">
        <w:rPr>
          <w:rFonts w:cs="Times New Roman"/>
          <w:b/>
          <w:i/>
          <w:szCs w:val="24"/>
        </w:rPr>
        <w:t>Конкретни резултати на цифровизацията</w:t>
      </w:r>
    </w:p>
    <w:p w14:paraId="7395465D"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1. Подобрен достъп до информация;</w:t>
      </w:r>
    </w:p>
    <w:p w14:paraId="40B94B2E"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2. Подобрен достъп до съветническа услуга;</w:t>
      </w:r>
    </w:p>
    <w:p w14:paraId="1F86050C"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3. Подобрен достъп до пазари и дистрибуция на продукцията;</w:t>
      </w:r>
    </w:p>
    <w:p w14:paraId="737C4EF6"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 xml:space="preserve">4. Подобрен достъп до финансиране и намаляване зависимостта от субсидиите по линия на </w:t>
      </w:r>
      <w:r w:rsidR="00D809BC" w:rsidRPr="009F6D1E">
        <w:rPr>
          <w:rFonts w:cs="Times New Roman"/>
          <w:szCs w:val="24"/>
        </w:rPr>
        <w:t>РЗСР</w:t>
      </w:r>
      <w:r w:rsidRPr="009F6D1E">
        <w:rPr>
          <w:rFonts w:cs="Times New Roman"/>
          <w:szCs w:val="24"/>
        </w:rPr>
        <w:t>;</w:t>
      </w:r>
    </w:p>
    <w:p w14:paraId="02EE16A7"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5. Значително ускоряване на административната дейност и намаляване на административния товар;</w:t>
      </w:r>
    </w:p>
    <w:p w14:paraId="02E7ABB6"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6. Привличане на високо технологичен талант към земеделието;</w:t>
      </w:r>
    </w:p>
    <w:p w14:paraId="0CB30A96"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7. Ефективен контрол над качеството на продукцията;</w:t>
      </w:r>
    </w:p>
    <w:p w14:paraId="4BA9E013"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8. Ефективен контрол над въвеждането на нови култури.</w:t>
      </w:r>
    </w:p>
    <w:p w14:paraId="4F0604F9" w14:textId="77777777" w:rsidR="00D8574A" w:rsidRPr="009F6D1E" w:rsidRDefault="00D8574A" w:rsidP="0084747F">
      <w:pPr>
        <w:spacing w:after="60" w:line="264" w:lineRule="auto"/>
        <w:ind w:firstLine="708"/>
        <w:jc w:val="both"/>
        <w:rPr>
          <w:rFonts w:cs="Times New Roman"/>
          <w:b/>
          <w:i/>
          <w:szCs w:val="24"/>
        </w:rPr>
      </w:pPr>
      <w:r w:rsidRPr="009F6D1E">
        <w:rPr>
          <w:rFonts w:cs="Times New Roman"/>
          <w:b/>
          <w:i/>
          <w:szCs w:val="24"/>
        </w:rPr>
        <w:t>Очакван ефект от цифровизацията</w:t>
      </w:r>
    </w:p>
    <w:p w14:paraId="34F9A471"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1. По-високи продажни цени за продукцията на земеделските стопани и производство в обем, който да задоволи търсенето;</w:t>
      </w:r>
    </w:p>
    <w:p w14:paraId="682650AD"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2. По-добро управление на риска, включително и риска от природни бедствия;</w:t>
      </w:r>
    </w:p>
    <w:p w14:paraId="20F1DD95"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3. По-високи добиви;</w:t>
      </w:r>
    </w:p>
    <w:p w14:paraId="79CE63B5"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4. Намаляване на вредните последици от земеделието върху околната среда</w:t>
      </w:r>
    </w:p>
    <w:p w14:paraId="7DD41B00"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5. Намаляване на посредниците в агро-хранителната верига и скъсяване на веригата на доставка;</w:t>
      </w:r>
    </w:p>
    <w:p w14:paraId="4D1CBFC4"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6. По-ефективни канали на дистрибуция на продукцията;</w:t>
      </w:r>
    </w:p>
    <w:p w14:paraId="62F5AA47"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7. Увеличаване на ефикасността и прогнозирането;</w:t>
      </w:r>
    </w:p>
    <w:p w14:paraId="05924B1A"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8. Намаляване на измамите;</w:t>
      </w:r>
    </w:p>
    <w:p w14:paraId="5857C7BC"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9. Разнообразяване на производството и незначителни разходи;</w:t>
      </w:r>
    </w:p>
    <w:p w14:paraId="3A966657" w14:textId="77777777" w:rsidR="00D8574A" w:rsidRPr="009F6D1E" w:rsidRDefault="00D8574A" w:rsidP="0084747F">
      <w:pPr>
        <w:spacing w:after="60" w:line="264" w:lineRule="auto"/>
        <w:ind w:firstLine="708"/>
        <w:jc w:val="both"/>
        <w:rPr>
          <w:rFonts w:cs="Times New Roman"/>
          <w:szCs w:val="24"/>
        </w:rPr>
      </w:pPr>
      <w:r w:rsidRPr="009F6D1E">
        <w:rPr>
          <w:rFonts w:cs="Times New Roman"/>
          <w:szCs w:val="24"/>
        </w:rPr>
        <w:t>10. Подобряване на условията на труд на земеделските стопани.</w:t>
      </w:r>
    </w:p>
    <w:p w14:paraId="36E0F8CA" w14:textId="77777777" w:rsidR="00D8574A" w:rsidRPr="009F6D1E" w:rsidRDefault="00D8574A" w:rsidP="0084747F">
      <w:pPr>
        <w:spacing w:after="60" w:line="264" w:lineRule="auto"/>
        <w:ind w:firstLine="708"/>
        <w:contextualSpacing/>
        <w:jc w:val="both"/>
        <w:rPr>
          <w:rFonts w:cs="Times New Roman"/>
          <w:b/>
          <w:i/>
          <w:szCs w:val="24"/>
        </w:rPr>
      </w:pPr>
      <w:r w:rsidRPr="009F6D1E">
        <w:rPr>
          <w:rFonts w:cs="Times New Roman"/>
          <w:b/>
          <w:i/>
          <w:szCs w:val="24"/>
        </w:rPr>
        <w:t>На база направеният анализ в настоящата Стратегия се предвиждат следните области на въздействие:</w:t>
      </w:r>
    </w:p>
    <w:p w14:paraId="6FB52769"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1. Изграждане и развиване на подходяща цифрова инфраструктура за комуникации и свързаност;</w:t>
      </w:r>
    </w:p>
    <w:p w14:paraId="13B5D2AB"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2. Инвестиции за модернизация и технологии за прецизно земеделие;</w:t>
      </w:r>
    </w:p>
    <w:p w14:paraId="415FB6C6"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3. Развитие на цифрови мрежи и използване на програмни приложения в управлението  на дейността и вземането на решения;</w:t>
      </w:r>
    </w:p>
    <w:p w14:paraId="0FF39CCE"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4. Обучение и консултации за развиване на цифрови умения и квалификация;</w:t>
      </w:r>
    </w:p>
    <w:p w14:paraId="0FD33A45"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5. Научно-изследователска дейност и иновации, партньорство за обмен и трансфер на иновации, развиване на инфраструктура за експериментиране и достъп до нея;</w:t>
      </w:r>
    </w:p>
    <w:p w14:paraId="356F1BB8"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lastRenderedPageBreak/>
        <w:t>6. Развитие на цифровизацията на публичната администрация и административните услуги в сектор „Земеделие“;</w:t>
      </w:r>
    </w:p>
    <w:p w14:paraId="02873398"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7. Използване на „</w:t>
      </w:r>
      <w:proofErr w:type="spellStart"/>
      <w:r w:rsidRPr="009F6D1E">
        <w:rPr>
          <w:rFonts w:cs="Times New Roman"/>
          <w:szCs w:val="24"/>
        </w:rPr>
        <w:t>Blockchain</w:t>
      </w:r>
      <w:proofErr w:type="spellEnd"/>
      <w:r w:rsidRPr="009F6D1E">
        <w:rPr>
          <w:rFonts w:cs="Times New Roman"/>
          <w:szCs w:val="24"/>
        </w:rPr>
        <w:t>” технология в сектор „Земеделие”;</w:t>
      </w:r>
    </w:p>
    <w:p w14:paraId="17D30837" w14:textId="77777777" w:rsidR="00D8574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 xml:space="preserve">8. </w:t>
      </w:r>
      <w:proofErr w:type="spellStart"/>
      <w:r w:rsidRPr="009F6D1E">
        <w:rPr>
          <w:rFonts w:cs="Times New Roman"/>
          <w:szCs w:val="24"/>
        </w:rPr>
        <w:t>Smart</w:t>
      </w:r>
      <w:proofErr w:type="spellEnd"/>
      <w:r w:rsidRPr="009F6D1E">
        <w:rPr>
          <w:rFonts w:cs="Times New Roman"/>
          <w:szCs w:val="24"/>
        </w:rPr>
        <w:t xml:space="preserve"> </w:t>
      </w:r>
      <w:proofErr w:type="spellStart"/>
      <w:r w:rsidRPr="009F6D1E">
        <w:rPr>
          <w:rFonts w:cs="Times New Roman"/>
          <w:szCs w:val="24"/>
        </w:rPr>
        <w:t>Villages</w:t>
      </w:r>
      <w:proofErr w:type="spellEnd"/>
      <w:r w:rsidRPr="009F6D1E">
        <w:rPr>
          <w:rFonts w:cs="Times New Roman"/>
          <w:szCs w:val="24"/>
        </w:rPr>
        <w:t xml:space="preserve"> (Умни села);</w:t>
      </w:r>
    </w:p>
    <w:p w14:paraId="15EEF017" w14:textId="77777777" w:rsidR="00E46A5A" w:rsidRPr="009F6D1E" w:rsidRDefault="00D8574A" w:rsidP="0084747F">
      <w:pPr>
        <w:spacing w:after="60" w:line="264" w:lineRule="auto"/>
        <w:ind w:firstLine="708"/>
        <w:contextualSpacing/>
        <w:jc w:val="both"/>
        <w:rPr>
          <w:rFonts w:cs="Times New Roman"/>
          <w:szCs w:val="24"/>
        </w:rPr>
      </w:pPr>
      <w:r w:rsidRPr="009F6D1E">
        <w:rPr>
          <w:rFonts w:cs="Times New Roman"/>
          <w:szCs w:val="24"/>
        </w:rPr>
        <w:t>9. Обработка, споделяне и защита на данните</w:t>
      </w:r>
    </w:p>
    <w:p w14:paraId="0A7D5F20" w14:textId="77777777" w:rsidR="00D8574A" w:rsidRPr="009F6D1E" w:rsidRDefault="00D8574A" w:rsidP="0084747F">
      <w:pPr>
        <w:spacing w:after="60" w:line="264" w:lineRule="auto"/>
        <w:contextualSpacing/>
        <w:jc w:val="both"/>
        <w:rPr>
          <w:rFonts w:eastAsia="Calibri" w:cs="Times New Roman"/>
          <w:bCs/>
          <w:iCs/>
          <w:szCs w:val="24"/>
        </w:rPr>
      </w:pPr>
    </w:p>
    <w:p w14:paraId="06B70E05" w14:textId="77777777" w:rsidR="00D8574A" w:rsidRPr="009F6D1E" w:rsidRDefault="00D8574A"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Стратегията  в </w:t>
      </w:r>
      <w:r w:rsidR="00CD4045" w:rsidRPr="009F6D1E">
        <w:rPr>
          <w:rFonts w:cs="Times New Roman"/>
          <w:szCs w:val="24"/>
        </w:rPr>
        <w:t>СПРЗСР</w:t>
      </w:r>
      <w:r w:rsidRPr="009F6D1E">
        <w:rPr>
          <w:rFonts w:cs="Times New Roman"/>
          <w:szCs w:val="24"/>
        </w:rPr>
        <w:t xml:space="preserve"> е анализирано в т.7.2 на ДЕО.</w:t>
      </w:r>
    </w:p>
    <w:p w14:paraId="37A17C8E" w14:textId="77777777" w:rsidR="00D8574A" w:rsidRPr="009F6D1E" w:rsidRDefault="00D8574A" w:rsidP="0084747F">
      <w:pPr>
        <w:spacing w:after="60" w:line="264" w:lineRule="auto"/>
        <w:contextualSpacing/>
        <w:jc w:val="both"/>
        <w:rPr>
          <w:rFonts w:eastAsia="Calibri" w:cs="Times New Roman"/>
          <w:b/>
          <w:bCs/>
          <w:i/>
          <w:iCs/>
          <w:szCs w:val="24"/>
        </w:rPr>
      </w:pPr>
    </w:p>
    <w:p w14:paraId="493429E7" w14:textId="77777777" w:rsidR="00D8574A" w:rsidRPr="009F6D1E" w:rsidRDefault="000B4838">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Актуализиран национален план за широколентова инфраструктура за достъп от следващо поколение, 2020г</w:t>
      </w:r>
      <w:r w:rsidR="00D8574A" w:rsidRPr="009F6D1E">
        <w:rPr>
          <w:b/>
          <w:bCs/>
          <w:smallCaps w:val="0"/>
          <w:color w:val="262626" w:themeColor="text1" w:themeTint="D9"/>
          <w:lang w:eastAsia="en-US" w:bidi="ar-SA"/>
        </w:rPr>
        <w:t>.</w:t>
      </w:r>
      <w:r w:rsidR="00D8574A" w:rsidRPr="009F6D1E">
        <w:rPr>
          <w:rStyle w:val="FootnoteReference"/>
          <w:b/>
          <w:bCs/>
          <w:smallCaps w:val="0"/>
          <w:color w:val="262626" w:themeColor="text1" w:themeTint="D9"/>
          <w:lang w:eastAsia="en-US" w:bidi="ar-SA"/>
        </w:rPr>
        <w:footnoteReference w:id="61"/>
      </w:r>
    </w:p>
    <w:p w14:paraId="71386658" w14:textId="77777777" w:rsidR="0094794D" w:rsidRPr="009F6D1E" w:rsidRDefault="0094794D" w:rsidP="0084747F">
      <w:pPr>
        <w:spacing w:after="60" w:line="264" w:lineRule="auto"/>
        <w:ind w:firstLine="708"/>
        <w:contextualSpacing/>
        <w:jc w:val="both"/>
        <w:rPr>
          <w:rFonts w:eastAsia="Calibri" w:cs="Times New Roman"/>
          <w:b/>
          <w:bCs/>
          <w:i/>
          <w:iCs/>
          <w:szCs w:val="24"/>
        </w:rPr>
      </w:pPr>
    </w:p>
    <w:p w14:paraId="1BBB3F99" w14:textId="77777777" w:rsidR="00D8574A" w:rsidRPr="009F6D1E" w:rsidRDefault="000B4838"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Национални цели и приоритети до 2030:</w:t>
      </w:r>
    </w:p>
    <w:p w14:paraId="79838D58" w14:textId="77777777" w:rsidR="000B4838" w:rsidRPr="009F6D1E" w:rsidRDefault="000B4838" w:rsidP="0084747F">
      <w:pPr>
        <w:spacing w:after="60" w:line="264" w:lineRule="auto"/>
        <w:ind w:firstLine="708"/>
        <w:contextualSpacing/>
        <w:jc w:val="both"/>
        <w:rPr>
          <w:rFonts w:eastAsia="Calibri" w:cs="Times New Roman"/>
          <w:bCs/>
          <w:iCs/>
          <w:szCs w:val="24"/>
        </w:rPr>
      </w:pPr>
      <w:r w:rsidRPr="009F6D1E">
        <w:rPr>
          <w:rFonts w:eastAsia="Calibri" w:cs="Times New Roman"/>
          <w:bCs/>
          <w:iCs/>
          <w:szCs w:val="24"/>
        </w:rPr>
        <w:t xml:space="preserve">До 2030 г. България трябва да бъде снабдена със симетрични </w:t>
      </w:r>
      <w:proofErr w:type="spellStart"/>
      <w:r w:rsidRPr="009F6D1E">
        <w:rPr>
          <w:rFonts w:eastAsia="Calibri" w:cs="Times New Roman"/>
          <w:bCs/>
          <w:iCs/>
          <w:szCs w:val="24"/>
        </w:rPr>
        <w:t>гигабитови</w:t>
      </w:r>
      <w:proofErr w:type="spellEnd"/>
      <w:r w:rsidRPr="009F6D1E">
        <w:rPr>
          <w:rFonts w:eastAsia="Calibri" w:cs="Times New Roman"/>
          <w:bCs/>
          <w:iCs/>
          <w:szCs w:val="24"/>
        </w:rPr>
        <w:t xml:space="preserve"> мрежи за достъп в цялата страна. Устойчивата оптична мрежа, комбинирана с универсално достъпна мобилна мрежа, ще позволи на всеки гражданин, всеки бизнес и всяка публична институция да използва възможностите за цифровизация при равни условия в цялата страна. </w:t>
      </w:r>
    </w:p>
    <w:p w14:paraId="46D27516" w14:textId="77777777" w:rsidR="000B4838" w:rsidRPr="009F6D1E" w:rsidRDefault="000B4838" w:rsidP="0084747F">
      <w:pPr>
        <w:spacing w:after="60" w:line="264" w:lineRule="auto"/>
        <w:ind w:firstLine="708"/>
        <w:contextualSpacing/>
        <w:jc w:val="both"/>
        <w:rPr>
          <w:rFonts w:eastAsia="Calibri" w:cs="Times New Roman"/>
          <w:b/>
          <w:bCs/>
          <w:i/>
          <w:iCs/>
          <w:szCs w:val="24"/>
        </w:rPr>
      </w:pPr>
      <w:r w:rsidRPr="009F6D1E">
        <w:rPr>
          <w:rFonts w:eastAsia="Calibri" w:cs="Times New Roman"/>
          <w:b/>
          <w:bCs/>
          <w:i/>
          <w:iCs/>
          <w:szCs w:val="24"/>
        </w:rPr>
        <w:t>Приоритетни области:</w:t>
      </w:r>
    </w:p>
    <w:p w14:paraId="12E29A3F"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Широколентова инфраструктура – ускорено изграждане на широколентова инфраструктура, вкл. за нуждите на държавната администрация</w:t>
      </w:r>
    </w:p>
    <w:p w14:paraId="1A4420C8"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Свръхвисокоскоростна инфраструктура – създаване на условия за разгръщане на мрежи с много голям капацитет</w:t>
      </w:r>
    </w:p>
    <w:p w14:paraId="42AA4D7B"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Ефективно използване на радиочестотния спектър – създаване на условия за изграждане на мрежи от ново поколение</w:t>
      </w:r>
    </w:p>
    <w:p w14:paraId="1A6B43B3"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Подобряване на покритието в населени места, разположени в периферни, слабо населени и селски райони</w:t>
      </w:r>
    </w:p>
    <w:p w14:paraId="2010DF9A"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Преодоляване на цифровото разделение</w:t>
      </w:r>
    </w:p>
    <w:p w14:paraId="425EEBEA" w14:textId="77777777" w:rsidR="000B4838" w:rsidRPr="009F6D1E" w:rsidRDefault="000B4838">
      <w:pPr>
        <w:pStyle w:val="ListParagraph"/>
        <w:numPr>
          <w:ilvl w:val="0"/>
          <w:numId w:val="78"/>
        </w:numPr>
        <w:spacing w:after="60" w:line="264" w:lineRule="auto"/>
        <w:jc w:val="both"/>
        <w:rPr>
          <w:rFonts w:eastAsia="Calibri"/>
          <w:bCs/>
          <w:iCs/>
          <w:lang w:val="bg-BG"/>
        </w:rPr>
      </w:pPr>
      <w:r w:rsidRPr="009F6D1E">
        <w:rPr>
          <w:rFonts w:eastAsia="Calibri"/>
          <w:bCs/>
          <w:iCs/>
          <w:lang w:val="bg-BG"/>
        </w:rPr>
        <w:t>Сигурност на мрежите</w:t>
      </w:r>
    </w:p>
    <w:p w14:paraId="4E8D4919" w14:textId="77777777" w:rsidR="000B4838" w:rsidRPr="009F6D1E" w:rsidRDefault="000B4838"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Стратегията  в </w:t>
      </w:r>
      <w:r w:rsidR="00CD4045" w:rsidRPr="009F6D1E">
        <w:rPr>
          <w:rFonts w:cs="Times New Roman"/>
          <w:szCs w:val="24"/>
        </w:rPr>
        <w:t>СПРЗСР</w:t>
      </w:r>
      <w:r w:rsidRPr="009F6D1E">
        <w:rPr>
          <w:rFonts w:cs="Times New Roman"/>
          <w:szCs w:val="24"/>
        </w:rPr>
        <w:t xml:space="preserve"> е анализирано в т.7.2 на ДЕО.</w:t>
      </w:r>
    </w:p>
    <w:p w14:paraId="1D3A1CCD" w14:textId="77777777" w:rsidR="000B4838" w:rsidRPr="009F6D1E" w:rsidRDefault="000B4838" w:rsidP="0084747F">
      <w:pPr>
        <w:spacing w:after="60" w:line="264" w:lineRule="auto"/>
        <w:contextualSpacing/>
        <w:jc w:val="both"/>
        <w:rPr>
          <w:rFonts w:eastAsia="Calibri" w:cs="Times New Roman"/>
          <w:b/>
          <w:bCs/>
          <w:i/>
          <w:iCs/>
          <w:szCs w:val="24"/>
        </w:rPr>
      </w:pPr>
    </w:p>
    <w:p w14:paraId="596F9A58" w14:textId="77777777" w:rsidR="000B4838" w:rsidRPr="009F6D1E" w:rsidRDefault="000B4838">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Национална програма „Цифрова България 2025“ и Пътна карта до 2025 г.</w:t>
      </w:r>
      <w:r w:rsidRPr="009F6D1E">
        <w:rPr>
          <w:rStyle w:val="FootnoteReference"/>
          <w:b/>
          <w:bCs/>
          <w:smallCaps w:val="0"/>
          <w:color w:val="262626" w:themeColor="text1" w:themeTint="D9"/>
          <w:lang w:eastAsia="en-US" w:bidi="ar-SA"/>
        </w:rPr>
        <w:footnoteReference w:id="62"/>
      </w:r>
    </w:p>
    <w:p w14:paraId="298112D0" w14:textId="77777777" w:rsidR="0094794D" w:rsidRPr="009F6D1E" w:rsidRDefault="0094794D" w:rsidP="0084747F">
      <w:pPr>
        <w:spacing w:after="60" w:line="264" w:lineRule="auto"/>
        <w:ind w:firstLine="708"/>
        <w:contextualSpacing/>
        <w:jc w:val="both"/>
        <w:rPr>
          <w:rFonts w:eastAsia="Calibri" w:cs="Times New Roman"/>
          <w:bCs/>
          <w:iCs/>
          <w:szCs w:val="24"/>
        </w:rPr>
      </w:pPr>
    </w:p>
    <w:p w14:paraId="57BB7E2B" w14:textId="77777777" w:rsidR="000B483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Cs/>
          <w:szCs w:val="24"/>
        </w:rPr>
        <w:t>Програмата включва шест основни приоритетни области на действие за постигане на интелигентен, устойчив и приобщаващ цифров растеж в периода до 2025 г.:</w:t>
      </w:r>
    </w:p>
    <w:p w14:paraId="4EE411D6"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w:t>
      </w:r>
      <w:r w:rsidRPr="009F6D1E">
        <w:rPr>
          <w:rFonts w:eastAsia="Calibri" w:cs="Times New Roman"/>
          <w:bCs/>
          <w:iCs/>
          <w:szCs w:val="24"/>
        </w:rPr>
        <w:t xml:space="preserve"> </w:t>
      </w:r>
      <w:r w:rsidRPr="009F6D1E">
        <w:rPr>
          <w:rFonts w:eastAsia="Calibri" w:cs="Times New Roman"/>
          <w:b/>
          <w:bCs/>
          <w:i/>
          <w:iCs/>
          <w:szCs w:val="24"/>
        </w:rPr>
        <w:t>1</w:t>
      </w:r>
      <w:r w:rsidRPr="009F6D1E">
        <w:rPr>
          <w:rFonts w:eastAsia="Calibri" w:cs="Times New Roman"/>
          <w:bCs/>
          <w:iCs/>
          <w:szCs w:val="24"/>
        </w:rPr>
        <w:t xml:space="preserve"> „Създаване на подходящи условия за развитието на цифровите мрежи и услуги и по-добър достъп до тях“</w:t>
      </w:r>
    </w:p>
    <w:p w14:paraId="1E8D0CE5" w14:textId="77777777" w:rsidR="000B483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lastRenderedPageBreak/>
        <w:t>Цел 1:</w:t>
      </w:r>
      <w:r w:rsidRPr="009F6D1E">
        <w:rPr>
          <w:rFonts w:eastAsia="Calibri" w:cs="Times New Roman"/>
          <w:bCs/>
          <w:iCs/>
          <w:szCs w:val="24"/>
        </w:rPr>
        <w:t xml:space="preserve"> Новата регулаторна рамка в електронните съобщения – ключова предпоставка за гарантиране на устойчиво развитие на сектора на електронните съобщения</w:t>
      </w:r>
    </w:p>
    <w:p w14:paraId="243471FA"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 xml:space="preserve">Цел 2: </w:t>
      </w:r>
      <w:r w:rsidRPr="009F6D1E">
        <w:rPr>
          <w:rFonts w:eastAsia="Calibri" w:cs="Times New Roman"/>
          <w:bCs/>
          <w:iCs/>
          <w:szCs w:val="24"/>
        </w:rPr>
        <w:t>Създаване на благоприятни условия за разгръщане на високоскоростна 5G чрез осигуряване на съответен радиочестотен ресурс и пилотни ленти</w:t>
      </w:r>
    </w:p>
    <w:p w14:paraId="0B0553EC"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3:</w:t>
      </w:r>
      <w:r w:rsidRPr="009F6D1E">
        <w:rPr>
          <w:rFonts w:eastAsia="Calibri" w:cs="Times New Roman"/>
          <w:bCs/>
          <w:iCs/>
          <w:szCs w:val="24"/>
        </w:rPr>
        <w:t xml:space="preserve"> Преодоляване на регионалните различия чрез стимулиране на инвестициите в ИКТ инфраструктури и технологии</w:t>
      </w:r>
    </w:p>
    <w:p w14:paraId="66713EE0"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2</w:t>
      </w:r>
      <w:r w:rsidRPr="009F6D1E">
        <w:rPr>
          <w:rFonts w:eastAsia="Calibri" w:cs="Times New Roman"/>
          <w:bCs/>
          <w:iCs/>
          <w:szCs w:val="24"/>
        </w:rPr>
        <w:t xml:space="preserve"> „Развитие на динамична и иновативна цифрова икономика и увеличаване на потенциала ѝ за растеж“</w:t>
      </w:r>
    </w:p>
    <w:p w14:paraId="218615C8"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4:</w:t>
      </w:r>
      <w:r w:rsidRPr="009F6D1E">
        <w:rPr>
          <w:rFonts w:eastAsia="Calibri" w:cs="Times New Roman"/>
          <w:bCs/>
          <w:iCs/>
          <w:szCs w:val="24"/>
        </w:rPr>
        <w:t xml:space="preserve"> Подкрепа на научните изследвания и иновациите в областта на ИКТ</w:t>
      </w:r>
    </w:p>
    <w:p w14:paraId="2FFE5D8B"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5:</w:t>
      </w:r>
      <w:r w:rsidRPr="009F6D1E">
        <w:rPr>
          <w:rFonts w:eastAsia="Calibri" w:cs="Times New Roman"/>
          <w:bCs/>
          <w:iCs/>
          <w:szCs w:val="24"/>
        </w:rPr>
        <w:t xml:space="preserve"> Цифровизиране на българските промишлени сектори и свързаните с тях услуги и развитие на икономика, основана на данни</w:t>
      </w:r>
    </w:p>
    <w:p w14:paraId="4C5766B3"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 xml:space="preserve">Приоритетна област </w:t>
      </w:r>
      <w:r w:rsidR="0029414C" w:rsidRPr="009F6D1E">
        <w:rPr>
          <w:rFonts w:eastAsia="Calibri" w:cs="Times New Roman"/>
          <w:b/>
          <w:bCs/>
          <w:i/>
          <w:iCs/>
          <w:szCs w:val="24"/>
        </w:rPr>
        <w:t>3</w:t>
      </w:r>
      <w:r w:rsidR="0029414C" w:rsidRPr="009F6D1E">
        <w:rPr>
          <w:rFonts w:eastAsia="Calibri" w:cs="Times New Roman"/>
          <w:bCs/>
          <w:iCs/>
          <w:szCs w:val="24"/>
        </w:rPr>
        <w:t xml:space="preserve"> </w:t>
      </w:r>
      <w:r w:rsidRPr="009F6D1E">
        <w:rPr>
          <w:rFonts w:eastAsia="Calibri" w:cs="Times New Roman"/>
          <w:bCs/>
          <w:iCs/>
          <w:szCs w:val="24"/>
        </w:rPr>
        <w:t>„</w:t>
      </w:r>
      <w:r w:rsidR="0029414C" w:rsidRPr="009F6D1E">
        <w:rPr>
          <w:rFonts w:eastAsia="Calibri" w:cs="Times New Roman"/>
          <w:bCs/>
          <w:iCs/>
          <w:szCs w:val="24"/>
        </w:rPr>
        <w:t>П</w:t>
      </w:r>
      <w:r w:rsidRPr="009F6D1E">
        <w:rPr>
          <w:rFonts w:eastAsia="Calibri" w:cs="Times New Roman"/>
          <w:bCs/>
          <w:iCs/>
          <w:szCs w:val="24"/>
        </w:rPr>
        <w:t>овишаване на цифровите</w:t>
      </w:r>
      <w:r w:rsidR="0029414C" w:rsidRPr="009F6D1E">
        <w:rPr>
          <w:rFonts w:eastAsia="Calibri" w:cs="Times New Roman"/>
          <w:bCs/>
          <w:iCs/>
          <w:szCs w:val="24"/>
        </w:rPr>
        <w:t xml:space="preserve"> </w:t>
      </w:r>
      <w:r w:rsidRPr="009F6D1E">
        <w:rPr>
          <w:rFonts w:eastAsia="Calibri" w:cs="Times New Roman"/>
          <w:bCs/>
          <w:iCs/>
          <w:szCs w:val="24"/>
        </w:rPr>
        <w:t>компетентности и умения“</w:t>
      </w:r>
    </w:p>
    <w:p w14:paraId="500BCCA0"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6:</w:t>
      </w:r>
      <w:r w:rsidRPr="009F6D1E">
        <w:rPr>
          <w:rFonts w:eastAsia="Calibri" w:cs="Times New Roman"/>
          <w:bCs/>
          <w:iCs/>
          <w:szCs w:val="24"/>
        </w:rPr>
        <w:t xml:space="preserve"> Модернизиране на училищното и висшето образование в областта на</w:t>
      </w:r>
      <w:r w:rsidR="0029414C" w:rsidRPr="009F6D1E">
        <w:rPr>
          <w:rFonts w:eastAsia="Calibri" w:cs="Times New Roman"/>
          <w:bCs/>
          <w:iCs/>
          <w:szCs w:val="24"/>
        </w:rPr>
        <w:t xml:space="preserve"> </w:t>
      </w:r>
      <w:r w:rsidRPr="009F6D1E">
        <w:rPr>
          <w:rFonts w:eastAsia="Calibri" w:cs="Times New Roman"/>
          <w:bCs/>
          <w:iCs/>
          <w:szCs w:val="24"/>
        </w:rPr>
        <w:t>информационните и комуникационни технологии</w:t>
      </w:r>
    </w:p>
    <w:p w14:paraId="6FB5E9AB"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7:</w:t>
      </w:r>
      <w:r w:rsidRPr="009F6D1E">
        <w:rPr>
          <w:rFonts w:eastAsia="Calibri" w:cs="Times New Roman"/>
          <w:bCs/>
          <w:iCs/>
          <w:szCs w:val="24"/>
        </w:rPr>
        <w:t xml:space="preserve"> Подобряване на качествените характеристики на работната сила в контекста</w:t>
      </w:r>
      <w:r w:rsidR="0029414C" w:rsidRPr="009F6D1E">
        <w:rPr>
          <w:rFonts w:eastAsia="Calibri" w:cs="Times New Roman"/>
          <w:bCs/>
          <w:iCs/>
          <w:szCs w:val="24"/>
        </w:rPr>
        <w:t xml:space="preserve"> </w:t>
      </w:r>
      <w:r w:rsidRPr="009F6D1E">
        <w:rPr>
          <w:rFonts w:eastAsia="Calibri" w:cs="Times New Roman"/>
          <w:bCs/>
          <w:iCs/>
          <w:szCs w:val="24"/>
        </w:rPr>
        <w:t>на информационните и комуникационните технологии</w:t>
      </w:r>
    </w:p>
    <w:p w14:paraId="30D23344"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8:</w:t>
      </w:r>
      <w:r w:rsidRPr="009F6D1E">
        <w:rPr>
          <w:rFonts w:eastAsia="Calibri" w:cs="Times New Roman"/>
          <w:bCs/>
          <w:iCs/>
          <w:szCs w:val="24"/>
        </w:rPr>
        <w:t xml:space="preserve"> Увеличаване на висококвалифицираните специалисти в областта на ИКТ</w:t>
      </w:r>
    </w:p>
    <w:p w14:paraId="0B059225"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9:</w:t>
      </w:r>
      <w:r w:rsidRPr="009F6D1E">
        <w:rPr>
          <w:rFonts w:eastAsia="Calibri" w:cs="Times New Roman"/>
          <w:bCs/>
          <w:iCs/>
          <w:szCs w:val="24"/>
        </w:rPr>
        <w:t xml:space="preserve"> Гарантиране на правата на децата в цифровата среда</w:t>
      </w:r>
    </w:p>
    <w:p w14:paraId="6FC45221" w14:textId="77777777" w:rsidR="00083EB8" w:rsidRPr="009F6D1E" w:rsidRDefault="0029414C"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4</w:t>
      </w:r>
      <w:r w:rsidRPr="009F6D1E">
        <w:rPr>
          <w:rFonts w:eastAsia="Calibri" w:cs="Times New Roman"/>
          <w:bCs/>
          <w:iCs/>
          <w:szCs w:val="24"/>
        </w:rPr>
        <w:t xml:space="preserve"> „Осигуряване на ефективни и висококачествени публични електронни услуги за бизнеса, гражданите и държавното управление“</w:t>
      </w:r>
    </w:p>
    <w:p w14:paraId="598FC122"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10:</w:t>
      </w:r>
      <w:r w:rsidRPr="009F6D1E">
        <w:rPr>
          <w:rFonts w:eastAsia="Calibri" w:cs="Times New Roman"/>
          <w:bCs/>
          <w:iCs/>
          <w:szCs w:val="24"/>
        </w:rPr>
        <w:t xml:space="preserve"> Ускорено развитие на електронното управление</w:t>
      </w:r>
    </w:p>
    <w:p w14:paraId="7AF12D02"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11:</w:t>
      </w:r>
      <w:r w:rsidRPr="009F6D1E">
        <w:rPr>
          <w:rFonts w:eastAsia="Calibri" w:cs="Times New Roman"/>
          <w:bCs/>
          <w:iCs/>
          <w:szCs w:val="24"/>
        </w:rPr>
        <w:t xml:space="preserve"> Създаване на условия за равен достъп на всички социални групи</w:t>
      </w:r>
      <w:r w:rsidR="0029414C" w:rsidRPr="009F6D1E">
        <w:rPr>
          <w:rFonts w:eastAsia="Calibri" w:cs="Times New Roman"/>
          <w:bCs/>
          <w:iCs/>
          <w:szCs w:val="24"/>
        </w:rPr>
        <w:t xml:space="preserve"> </w:t>
      </w:r>
      <w:r w:rsidRPr="009F6D1E">
        <w:rPr>
          <w:rFonts w:eastAsia="Calibri" w:cs="Times New Roman"/>
          <w:bCs/>
          <w:iCs/>
          <w:szCs w:val="24"/>
        </w:rPr>
        <w:t>включително хора с увреждания до цифрови обществени услуги</w:t>
      </w:r>
    </w:p>
    <w:p w14:paraId="1158A901" w14:textId="77777777" w:rsidR="00083EB8" w:rsidRPr="009F6D1E" w:rsidRDefault="0029414C"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5</w:t>
      </w:r>
      <w:r w:rsidRPr="009F6D1E">
        <w:rPr>
          <w:rFonts w:eastAsia="Calibri" w:cs="Times New Roman"/>
          <w:bCs/>
          <w:iCs/>
          <w:szCs w:val="24"/>
        </w:rPr>
        <w:t xml:space="preserve">„Насърчаване на сигурна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екосистема: справяне с предизвикателствата пред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сигурността“</w:t>
      </w:r>
    </w:p>
    <w:p w14:paraId="115847D5"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12:</w:t>
      </w:r>
      <w:r w:rsidRPr="009F6D1E">
        <w:rPr>
          <w:rFonts w:eastAsia="Calibri" w:cs="Times New Roman"/>
          <w:bCs/>
          <w:iCs/>
          <w:szCs w:val="24"/>
        </w:rPr>
        <w:t xml:space="preserve"> Осигуряване на висока степен на оперативна съвместимост, мрежова и</w:t>
      </w:r>
      <w:r w:rsidR="0029414C" w:rsidRPr="009F6D1E">
        <w:rPr>
          <w:rFonts w:eastAsia="Calibri" w:cs="Times New Roman"/>
          <w:bCs/>
          <w:iCs/>
          <w:szCs w:val="24"/>
        </w:rPr>
        <w:t xml:space="preserve"> </w:t>
      </w:r>
      <w:r w:rsidRPr="009F6D1E">
        <w:rPr>
          <w:rFonts w:eastAsia="Calibri" w:cs="Times New Roman"/>
          <w:bCs/>
          <w:iCs/>
          <w:szCs w:val="24"/>
        </w:rPr>
        <w:t>информационна сигурност</w:t>
      </w:r>
    </w:p>
    <w:p w14:paraId="02C88043"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13:</w:t>
      </w:r>
      <w:r w:rsidRPr="009F6D1E">
        <w:rPr>
          <w:rFonts w:eastAsia="Calibri" w:cs="Times New Roman"/>
          <w:bCs/>
          <w:iCs/>
          <w:szCs w:val="24"/>
        </w:rPr>
        <w:t xml:space="preserve"> Изграждане на устойчивост 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атаки и засилване на капацитета в</w:t>
      </w:r>
      <w:r w:rsidR="0029414C" w:rsidRPr="009F6D1E">
        <w:rPr>
          <w:rFonts w:eastAsia="Calibri" w:cs="Times New Roman"/>
          <w:bCs/>
          <w:iCs/>
          <w:szCs w:val="24"/>
        </w:rPr>
        <w:t xml:space="preserve"> </w:t>
      </w:r>
      <w:r w:rsidRPr="009F6D1E">
        <w:rPr>
          <w:rFonts w:eastAsia="Calibri" w:cs="Times New Roman"/>
          <w:bCs/>
          <w:iCs/>
          <w:szCs w:val="24"/>
        </w:rPr>
        <w:t xml:space="preserve">областта 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сигурността</w:t>
      </w:r>
    </w:p>
    <w:p w14:paraId="60ED418F" w14:textId="77777777" w:rsidR="00083EB8" w:rsidRPr="009F6D1E" w:rsidRDefault="0029414C"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6</w:t>
      </w:r>
      <w:r w:rsidRPr="009F6D1E">
        <w:rPr>
          <w:rFonts w:eastAsia="Calibri" w:cs="Times New Roman"/>
          <w:bCs/>
          <w:iCs/>
          <w:szCs w:val="24"/>
        </w:rPr>
        <w:t xml:space="preserve"> „Интернет управление“</w:t>
      </w:r>
    </w:p>
    <w:p w14:paraId="08F90623"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14:</w:t>
      </w:r>
      <w:r w:rsidRPr="009F6D1E">
        <w:rPr>
          <w:rFonts w:eastAsia="Calibri" w:cs="Times New Roman"/>
          <w:bCs/>
          <w:iCs/>
          <w:szCs w:val="24"/>
        </w:rPr>
        <w:t xml:space="preserve"> Управление на българските домейни от високо ниво (.</w:t>
      </w:r>
      <w:proofErr w:type="spellStart"/>
      <w:r w:rsidRPr="009F6D1E">
        <w:rPr>
          <w:rFonts w:eastAsia="Calibri" w:cs="Times New Roman"/>
          <w:bCs/>
          <w:iCs/>
          <w:szCs w:val="24"/>
        </w:rPr>
        <w:t>bg</w:t>
      </w:r>
      <w:proofErr w:type="spellEnd"/>
      <w:r w:rsidRPr="009F6D1E">
        <w:rPr>
          <w:rFonts w:eastAsia="Calibri" w:cs="Times New Roman"/>
          <w:bCs/>
          <w:iCs/>
          <w:szCs w:val="24"/>
        </w:rPr>
        <w:t xml:space="preserve"> и .бг) в интерес на</w:t>
      </w:r>
      <w:r w:rsidR="0029414C" w:rsidRPr="009F6D1E">
        <w:rPr>
          <w:rFonts w:eastAsia="Calibri" w:cs="Times New Roman"/>
          <w:bCs/>
          <w:iCs/>
          <w:szCs w:val="24"/>
        </w:rPr>
        <w:t xml:space="preserve"> </w:t>
      </w:r>
      <w:r w:rsidRPr="009F6D1E">
        <w:rPr>
          <w:rFonts w:eastAsia="Calibri" w:cs="Times New Roman"/>
          <w:bCs/>
          <w:iCs/>
          <w:szCs w:val="24"/>
        </w:rPr>
        <w:t>обществото и превръщането им в предпочитано място за регистрация на имена от</w:t>
      </w:r>
      <w:r w:rsidR="0029414C" w:rsidRPr="009F6D1E">
        <w:rPr>
          <w:rFonts w:eastAsia="Calibri" w:cs="Times New Roman"/>
          <w:bCs/>
          <w:iCs/>
          <w:szCs w:val="24"/>
        </w:rPr>
        <w:t xml:space="preserve"> </w:t>
      </w:r>
      <w:r w:rsidRPr="009F6D1E">
        <w:rPr>
          <w:rFonts w:eastAsia="Calibri" w:cs="Times New Roman"/>
          <w:bCs/>
          <w:iCs/>
          <w:szCs w:val="24"/>
        </w:rPr>
        <w:t>страна на български граждани и организации</w:t>
      </w:r>
    </w:p>
    <w:p w14:paraId="546D2882" w14:textId="77777777" w:rsidR="00083EB8" w:rsidRPr="009F6D1E" w:rsidRDefault="00083EB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15</w:t>
      </w:r>
      <w:r w:rsidR="0029414C" w:rsidRPr="009F6D1E">
        <w:rPr>
          <w:rFonts w:eastAsia="Calibri" w:cs="Times New Roman"/>
          <w:bCs/>
          <w:i/>
          <w:iCs/>
          <w:szCs w:val="24"/>
        </w:rPr>
        <w:t>:</w:t>
      </w:r>
      <w:r w:rsidRPr="009F6D1E">
        <w:rPr>
          <w:rFonts w:eastAsia="Calibri" w:cs="Times New Roman"/>
          <w:bCs/>
          <w:iCs/>
          <w:szCs w:val="24"/>
        </w:rPr>
        <w:t xml:space="preserve"> Безопасен интернет за деца</w:t>
      </w:r>
    </w:p>
    <w:p w14:paraId="7AB7DB1D" w14:textId="77777777" w:rsidR="0079781C" w:rsidRPr="009F6D1E" w:rsidRDefault="0079781C" w:rsidP="0084747F">
      <w:pPr>
        <w:spacing w:after="60" w:line="264" w:lineRule="auto"/>
        <w:ind w:firstLine="708"/>
        <w:contextualSpacing/>
        <w:jc w:val="both"/>
        <w:rPr>
          <w:rFonts w:eastAsia="Calibri" w:cs="Times New Roman"/>
          <w:bCs/>
          <w:iCs/>
          <w:szCs w:val="24"/>
        </w:rPr>
      </w:pPr>
    </w:p>
    <w:p w14:paraId="7A5DEA35" w14:textId="77777777" w:rsidR="0079781C" w:rsidRPr="009F6D1E" w:rsidRDefault="0079781C" w:rsidP="0084747F">
      <w:pPr>
        <w:spacing w:after="60" w:line="264" w:lineRule="auto"/>
        <w:ind w:firstLine="709"/>
        <w:jc w:val="both"/>
        <w:rPr>
          <w:rFonts w:cs="Times New Roman"/>
          <w:szCs w:val="24"/>
        </w:rPr>
      </w:pPr>
      <w:proofErr w:type="spellStart"/>
      <w:r w:rsidRPr="009F6D1E">
        <w:rPr>
          <w:rFonts w:cs="Times New Roman"/>
          <w:szCs w:val="24"/>
        </w:rPr>
        <w:t>Относимостта</w:t>
      </w:r>
      <w:proofErr w:type="spellEnd"/>
      <w:r w:rsidRPr="009F6D1E">
        <w:rPr>
          <w:rFonts w:cs="Times New Roman"/>
          <w:szCs w:val="24"/>
        </w:rPr>
        <w:t xml:space="preserve"> и начина на съобразяването на Националната програма  в </w:t>
      </w:r>
      <w:r w:rsidR="00CD4045" w:rsidRPr="009F6D1E">
        <w:rPr>
          <w:rFonts w:cs="Times New Roman"/>
          <w:szCs w:val="24"/>
        </w:rPr>
        <w:t>СПРЗСР</w:t>
      </w:r>
      <w:r w:rsidRPr="009F6D1E">
        <w:rPr>
          <w:rFonts w:cs="Times New Roman"/>
          <w:szCs w:val="24"/>
        </w:rPr>
        <w:t xml:space="preserve"> е анализирано в т.7.2 на ДЕО.</w:t>
      </w:r>
    </w:p>
    <w:p w14:paraId="7FEEEB10" w14:textId="77777777" w:rsidR="0079781C" w:rsidRPr="009F6D1E" w:rsidRDefault="0079781C" w:rsidP="0084747F">
      <w:pPr>
        <w:spacing w:after="60" w:line="264" w:lineRule="auto"/>
        <w:contextualSpacing/>
        <w:jc w:val="both"/>
        <w:rPr>
          <w:rFonts w:eastAsia="Calibri" w:cs="Times New Roman"/>
          <w:b/>
          <w:bCs/>
          <w:i/>
          <w:iCs/>
          <w:szCs w:val="24"/>
        </w:rPr>
      </w:pPr>
    </w:p>
    <w:p w14:paraId="0BBCAFBD" w14:textId="77777777" w:rsidR="0079781C" w:rsidRPr="009F6D1E" w:rsidRDefault="0079781C">
      <w:pPr>
        <w:pStyle w:val="Heading4"/>
        <w:keepLines w:val="0"/>
        <w:numPr>
          <w:ilvl w:val="3"/>
          <w:numId w:val="76"/>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Национална програма „Цифрова България 2025“ и Пътна карта до 2025 г.</w:t>
      </w:r>
      <w:r w:rsidRPr="009F6D1E">
        <w:rPr>
          <w:rStyle w:val="FootnoteReference"/>
          <w:b/>
          <w:bCs/>
          <w:smallCaps w:val="0"/>
          <w:color w:val="262626" w:themeColor="text1" w:themeTint="D9"/>
          <w:lang w:eastAsia="en-US" w:bidi="ar-SA"/>
        </w:rPr>
        <w:footnoteReference w:id="63"/>
      </w:r>
    </w:p>
    <w:p w14:paraId="60AEA0ED" w14:textId="77777777" w:rsidR="0094794D" w:rsidRPr="009F6D1E" w:rsidRDefault="0094794D" w:rsidP="0084747F">
      <w:pPr>
        <w:spacing w:after="60" w:line="264" w:lineRule="auto"/>
        <w:ind w:firstLine="708"/>
        <w:contextualSpacing/>
        <w:jc w:val="both"/>
        <w:rPr>
          <w:rFonts w:eastAsia="Calibri" w:cs="Times New Roman"/>
          <w:bCs/>
          <w:iCs/>
          <w:szCs w:val="24"/>
        </w:rPr>
      </w:pPr>
    </w:p>
    <w:p w14:paraId="266097F0"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Cs/>
          <w:szCs w:val="24"/>
        </w:rPr>
        <w:t>Програмата включва шест основни приоритетни области на действие за постигане на интелигентен, устойчив и приобщаващ цифров растеж в периода до 2025 г.:</w:t>
      </w:r>
    </w:p>
    <w:p w14:paraId="62B1A4FB"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w:t>
      </w:r>
      <w:r w:rsidRPr="009F6D1E">
        <w:rPr>
          <w:rFonts w:eastAsia="Calibri" w:cs="Times New Roman"/>
          <w:bCs/>
          <w:iCs/>
          <w:szCs w:val="24"/>
        </w:rPr>
        <w:t xml:space="preserve"> </w:t>
      </w:r>
      <w:r w:rsidRPr="009F6D1E">
        <w:rPr>
          <w:rFonts w:eastAsia="Calibri" w:cs="Times New Roman"/>
          <w:b/>
          <w:bCs/>
          <w:i/>
          <w:iCs/>
          <w:szCs w:val="24"/>
        </w:rPr>
        <w:t>1</w:t>
      </w:r>
      <w:r w:rsidRPr="009F6D1E">
        <w:rPr>
          <w:rFonts w:eastAsia="Calibri" w:cs="Times New Roman"/>
          <w:bCs/>
          <w:iCs/>
          <w:szCs w:val="24"/>
        </w:rPr>
        <w:t xml:space="preserve"> „Създаване на подходящи условия за развитието на цифровите мрежи и услуги и по-добър достъп до тях“</w:t>
      </w:r>
    </w:p>
    <w:p w14:paraId="5413265F"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w:t>
      </w:r>
      <w:r w:rsidRPr="009F6D1E">
        <w:rPr>
          <w:rFonts w:eastAsia="Calibri" w:cs="Times New Roman"/>
          <w:bCs/>
          <w:iCs/>
          <w:szCs w:val="24"/>
        </w:rPr>
        <w:t xml:space="preserve"> Новата регулаторна рамка в електронните съобщения – ключова предпоставка за гарантиране на устойчиво развитие на сектора на електронните съобщения</w:t>
      </w:r>
    </w:p>
    <w:p w14:paraId="7DB3E7A5"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 xml:space="preserve">Цел 2: </w:t>
      </w:r>
      <w:r w:rsidRPr="009F6D1E">
        <w:rPr>
          <w:rFonts w:eastAsia="Calibri" w:cs="Times New Roman"/>
          <w:bCs/>
          <w:iCs/>
          <w:szCs w:val="24"/>
        </w:rPr>
        <w:t>Създаване на благоприятни условия за разгръщане на високоскоростна 5G чрез осигуряване на съответен радиочестотен ресурс и пилотни ленти</w:t>
      </w:r>
    </w:p>
    <w:p w14:paraId="79CA9CAC"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3:</w:t>
      </w:r>
      <w:r w:rsidRPr="009F6D1E">
        <w:rPr>
          <w:rFonts w:eastAsia="Calibri" w:cs="Times New Roman"/>
          <w:bCs/>
          <w:iCs/>
          <w:szCs w:val="24"/>
        </w:rPr>
        <w:t xml:space="preserve"> Преодоляване на регионалните различия чрез стимулиране на инвестициите в ИКТ инфраструктури и технологии</w:t>
      </w:r>
    </w:p>
    <w:p w14:paraId="6CE97CE0"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2</w:t>
      </w:r>
      <w:r w:rsidRPr="009F6D1E">
        <w:rPr>
          <w:rFonts w:eastAsia="Calibri" w:cs="Times New Roman"/>
          <w:bCs/>
          <w:iCs/>
          <w:szCs w:val="24"/>
        </w:rPr>
        <w:t xml:space="preserve"> „Развитие на динамична и иновативна цифрова икономика и увеличаване на потенциала ѝ за растеж“</w:t>
      </w:r>
    </w:p>
    <w:p w14:paraId="54688A18"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4:</w:t>
      </w:r>
      <w:r w:rsidRPr="009F6D1E">
        <w:rPr>
          <w:rFonts w:eastAsia="Calibri" w:cs="Times New Roman"/>
          <w:bCs/>
          <w:iCs/>
          <w:szCs w:val="24"/>
        </w:rPr>
        <w:t xml:space="preserve"> Подкрепа на научните изследвания и иновациите в областта на ИКТ</w:t>
      </w:r>
    </w:p>
    <w:p w14:paraId="4986AA23"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5:</w:t>
      </w:r>
      <w:r w:rsidRPr="009F6D1E">
        <w:rPr>
          <w:rFonts w:eastAsia="Calibri" w:cs="Times New Roman"/>
          <w:bCs/>
          <w:iCs/>
          <w:szCs w:val="24"/>
        </w:rPr>
        <w:t xml:space="preserve"> Цифровизиране на българските промишлени сектори и свързаните с тях услуги и развитие на икономика, основана на данни</w:t>
      </w:r>
    </w:p>
    <w:p w14:paraId="4E39DE60"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3</w:t>
      </w:r>
      <w:r w:rsidRPr="009F6D1E">
        <w:rPr>
          <w:rFonts w:eastAsia="Calibri" w:cs="Times New Roman"/>
          <w:bCs/>
          <w:iCs/>
          <w:szCs w:val="24"/>
        </w:rPr>
        <w:t xml:space="preserve"> „Повишаване на цифровите компетентности и умения“</w:t>
      </w:r>
    </w:p>
    <w:p w14:paraId="1D14E4AA"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6:</w:t>
      </w:r>
      <w:r w:rsidRPr="009F6D1E">
        <w:rPr>
          <w:rFonts w:eastAsia="Calibri" w:cs="Times New Roman"/>
          <w:bCs/>
          <w:iCs/>
          <w:szCs w:val="24"/>
        </w:rPr>
        <w:t xml:space="preserve"> Модернизиране на училищното и висшето образование в областта на информационните и комуникационни технологии</w:t>
      </w:r>
    </w:p>
    <w:p w14:paraId="459514CA"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7:</w:t>
      </w:r>
      <w:r w:rsidRPr="009F6D1E">
        <w:rPr>
          <w:rFonts w:eastAsia="Calibri" w:cs="Times New Roman"/>
          <w:bCs/>
          <w:iCs/>
          <w:szCs w:val="24"/>
        </w:rPr>
        <w:t xml:space="preserve"> Подобряване на качествените характеристики на работната сила в контекста на информационните и комуникационните технологии</w:t>
      </w:r>
    </w:p>
    <w:p w14:paraId="034B6AB8"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8:</w:t>
      </w:r>
      <w:r w:rsidRPr="009F6D1E">
        <w:rPr>
          <w:rFonts w:eastAsia="Calibri" w:cs="Times New Roman"/>
          <w:bCs/>
          <w:iCs/>
          <w:szCs w:val="24"/>
        </w:rPr>
        <w:t xml:space="preserve"> Увеличаване на висококвалифицираните специалисти в областта на ИКТ</w:t>
      </w:r>
    </w:p>
    <w:p w14:paraId="7F49C671"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9:</w:t>
      </w:r>
      <w:r w:rsidRPr="009F6D1E">
        <w:rPr>
          <w:rFonts w:eastAsia="Calibri" w:cs="Times New Roman"/>
          <w:bCs/>
          <w:iCs/>
          <w:szCs w:val="24"/>
        </w:rPr>
        <w:t xml:space="preserve"> Гарантиране на правата на децата в цифровата среда</w:t>
      </w:r>
    </w:p>
    <w:p w14:paraId="4C4EE6B2"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4</w:t>
      </w:r>
      <w:r w:rsidRPr="009F6D1E">
        <w:rPr>
          <w:rFonts w:eastAsia="Calibri" w:cs="Times New Roman"/>
          <w:bCs/>
          <w:iCs/>
          <w:szCs w:val="24"/>
        </w:rPr>
        <w:t xml:space="preserve"> „Осигуряване на ефективни и висококачествени публични електронни услуги за бизнеса, гражданите и държавното управление“</w:t>
      </w:r>
    </w:p>
    <w:p w14:paraId="09F51EFF"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10:</w:t>
      </w:r>
      <w:r w:rsidRPr="009F6D1E">
        <w:rPr>
          <w:rFonts w:eastAsia="Calibri" w:cs="Times New Roman"/>
          <w:bCs/>
          <w:iCs/>
          <w:szCs w:val="24"/>
        </w:rPr>
        <w:t xml:space="preserve"> Ускорено развитие на електронното управление</w:t>
      </w:r>
    </w:p>
    <w:p w14:paraId="1BB2D86F"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11:</w:t>
      </w:r>
      <w:r w:rsidRPr="009F6D1E">
        <w:rPr>
          <w:rFonts w:eastAsia="Calibri" w:cs="Times New Roman"/>
          <w:bCs/>
          <w:iCs/>
          <w:szCs w:val="24"/>
        </w:rPr>
        <w:t xml:space="preserve"> Създаване на условия за равен достъп на всички социални групи включително хора с увреждания до цифрови обществени услуги</w:t>
      </w:r>
    </w:p>
    <w:p w14:paraId="3725CBDA"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5</w:t>
      </w:r>
      <w:r w:rsidR="00DB1656" w:rsidRPr="009F6D1E">
        <w:rPr>
          <w:rFonts w:eastAsia="Calibri" w:cs="Times New Roman"/>
          <w:b/>
          <w:bCs/>
          <w:i/>
          <w:iCs/>
          <w:szCs w:val="24"/>
        </w:rPr>
        <w:t xml:space="preserve"> </w:t>
      </w:r>
      <w:r w:rsidRPr="009F6D1E">
        <w:rPr>
          <w:rFonts w:eastAsia="Calibri" w:cs="Times New Roman"/>
          <w:bCs/>
          <w:iCs/>
          <w:szCs w:val="24"/>
        </w:rPr>
        <w:t xml:space="preserve">„Насърчаване на сигурна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екосистема: справяне с предизвикателствата пред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сигурността“</w:t>
      </w:r>
    </w:p>
    <w:p w14:paraId="400A4682"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12:</w:t>
      </w:r>
      <w:r w:rsidRPr="009F6D1E">
        <w:rPr>
          <w:rFonts w:eastAsia="Calibri" w:cs="Times New Roman"/>
          <w:bCs/>
          <w:iCs/>
          <w:szCs w:val="24"/>
        </w:rPr>
        <w:t xml:space="preserve"> Осигуряване на висока степен на оперативна съвместимост, мрежова и информационна сигурност</w:t>
      </w:r>
    </w:p>
    <w:p w14:paraId="653FBAAC"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13:</w:t>
      </w:r>
      <w:r w:rsidRPr="009F6D1E">
        <w:rPr>
          <w:rFonts w:eastAsia="Calibri" w:cs="Times New Roman"/>
          <w:bCs/>
          <w:iCs/>
          <w:szCs w:val="24"/>
        </w:rPr>
        <w:t xml:space="preserve"> Изграждане на устойчивост 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атаки и засилване на капацитета в областта на </w:t>
      </w:r>
      <w:proofErr w:type="spellStart"/>
      <w:r w:rsidRPr="009F6D1E">
        <w:rPr>
          <w:rFonts w:eastAsia="Calibri" w:cs="Times New Roman"/>
          <w:bCs/>
          <w:iCs/>
          <w:szCs w:val="24"/>
        </w:rPr>
        <w:t>кибер</w:t>
      </w:r>
      <w:proofErr w:type="spellEnd"/>
      <w:r w:rsidRPr="009F6D1E">
        <w:rPr>
          <w:rFonts w:eastAsia="Calibri" w:cs="Times New Roman"/>
          <w:bCs/>
          <w:iCs/>
          <w:szCs w:val="24"/>
        </w:rPr>
        <w:t xml:space="preserve"> сигурността</w:t>
      </w:r>
    </w:p>
    <w:p w14:paraId="58E94355"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
          <w:bCs/>
          <w:i/>
          <w:iCs/>
          <w:szCs w:val="24"/>
        </w:rPr>
        <w:t>Приоритетна област 6</w:t>
      </w:r>
      <w:r w:rsidRPr="009F6D1E">
        <w:rPr>
          <w:rFonts w:eastAsia="Calibri" w:cs="Times New Roman"/>
          <w:bCs/>
          <w:iCs/>
          <w:szCs w:val="24"/>
        </w:rPr>
        <w:t xml:space="preserve"> „Интернет управление“</w:t>
      </w:r>
    </w:p>
    <w:p w14:paraId="07C8EE79"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14:</w:t>
      </w:r>
      <w:r w:rsidRPr="009F6D1E">
        <w:rPr>
          <w:rFonts w:eastAsia="Calibri" w:cs="Times New Roman"/>
          <w:bCs/>
          <w:iCs/>
          <w:szCs w:val="24"/>
        </w:rPr>
        <w:t xml:space="preserve"> Управление на българските домейни от високо ниво (.</w:t>
      </w:r>
      <w:proofErr w:type="spellStart"/>
      <w:r w:rsidRPr="009F6D1E">
        <w:rPr>
          <w:rFonts w:eastAsia="Calibri" w:cs="Times New Roman"/>
          <w:bCs/>
          <w:iCs/>
          <w:szCs w:val="24"/>
        </w:rPr>
        <w:t>bg</w:t>
      </w:r>
      <w:proofErr w:type="spellEnd"/>
      <w:r w:rsidRPr="009F6D1E">
        <w:rPr>
          <w:rFonts w:eastAsia="Calibri" w:cs="Times New Roman"/>
          <w:bCs/>
          <w:iCs/>
          <w:szCs w:val="24"/>
        </w:rPr>
        <w:t xml:space="preserve"> и .бг) в интерес на обществото и превръщането им в предпочитано място за регистрация на имена от страна на български граждани и организации</w:t>
      </w:r>
    </w:p>
    <w:p w14:paraId="42713C39" w14:textId="77777777" w:rsidR="00AE2D98" w:rsidRPr="009F6D1E" w:rsidRDefault="00AE2D98" w:rsidP="0084747F">
      <w:pPr>
        <w:spacing w:after="60" w:line="264" w:lineRule="auto"/>
        <w:ind w:firstLine="708"/>
        <w:contextualSpacing/>
        <w:jc w:val="both"/>
        <w:rPr>
          <w:rFonts w:eastAsia="Calibri" w:cs="Times New Roman"/>
          <w:bCs/>
          <w:iCs/>
          <w:szCs w:val="24"/>
        </w:rPr>
      </w:pPr>
      <w:r w:rsidRPr="009F6D1E">
        <w:rPr>
          <w:rFonts w:eastAsia="Calibri" w:cs="Times New Roman"/>
          <w:bCs/>
          <w:i/>
          <w:iCs/>
          <w:szCs w:val="24"/>
        </w:rPr>
        <w:t>Цел 15:</w:t>
      </w:r>
      <w:r w:rsidRPr="009F6D1E">
        <w:rPr>
          <w:rFonts w:eastAsia="Calibri" w:cs="Times New Roman"/>
          <w:bCs/>
          <w:iCs/>
          <w:szCs w:val="24"/>
        </w:rPr>
        <w:t xml:space="preserve"> Безопасен интернет за деца</w:t>
      </w:r>
    </w:p>
    <w:p w14:paraId="0D202D41" w14:textId="77777777" w:rsidR="0079781C" w:rsidRPr="009F6D1E" w:rsidRDefault="0079781C" w:rsidP="0084747F">
      <w:pPr>
        <w:spacing w:after="60" w:line="264" w:lineRule="auto"/>
        <w:contextualSpacing/>
        <w:jc w:val="both"/>
        <w:rPr>
          <w:rFonts w:eastAsia="Calibri" w:cs="Times New Roman"/>
          <w:bCs/>
          <w:iCs/>
          <w:szCs w:val="24"/>
        </w:rPr>
      </w:pPr>
    </w:p>
    <w:p w14:paraId="2674C239" w14:textId="77777777" w:rsidR="00471E9F" w:rsidRPr="009F6D1E" w:rsidRDefault="00471E9F" w:rsidP="00D02E9D">
      <w:pPr>
        <w:pStyle w:val="Heading1"/>
        <w:numPr>
          <w:ilvl w:val="0"/>
          <w:numId w:val="23"/>
        </w:numPr>
        <w:shd w:val="clear" w:color="auto" w:fill="DBDBDB" w:themeFill="accent3" w:themeFillTint="66"/>
        <w:tabs>
          <w:tab w:val="clear" w:pos="742"/>
        </w:tabs>
        <w:spacing w:before="0" w:after="60" w:line="264" w:lineRule="auto"/>
        <w:ind w:left="0" w:firstLine="0"/>
        <w:jc w:val="left"/>
        <w:rPr>
          <w:sz w:val="24"/>
          <w:szCs w:val="24"/>
        </w:rPr>
      </w:pPr>
      <w:bookmarkStart w:id="139" w:name="_Toc97639507"/>
      <w:bookmarkStart w:id="140" w:name="_Toc115254991"/>
      <w:r w:rsidRPr="009F6D1E">
        <w:rPr>
          <w:sz w:val="24"/>
          <w:szCs w:val="24"/>
        </w:rPr>
        <w:t xml:space="preserve">ТЕКУЩО СЪСТОЯНИЕ НА ОКОЛНАТА СРЕДА И ЕВЕНТУАЛНО РАЗВИТИЕ БЕЗ ПРИЛАГАНЕТО НА </w:t>
      </w:r>
      <w:r w:rsidR="00CD4045" w:rsidRPr="009F6D1E">
        <w:rPr>
          <w:sz w:val="24"/>
          <w:szCs w:val="24"/>
        </w:rPr>
        <w:t>СПРЗСР</w:t>
      </w:r>
      <w:bookmarkEnd w:id="139"/>
      <w:bookmarkEnd w:id="140"/>
    </w:p>
    <w:p w14:paraId="684BD39B" w14:textId="77777777" w:rsidR="00A4013E" w:rsidRPr="009F6D1E" w:rsidRDefault="00A4013E" w:rsidP="0084747F">
      <w:pPr>
        <w:pStyle w:val="ListParagraph"/>
        <w:spacing w:after="60" w:line="264" w:lineRule="auto"/>
        <w:jc w:val="both"/>
        <w:rPr>
          <w:rFonts w:eastAsia="Calibri"/>
          <w:b/>
          <w:bCs/>
          <w:i/>
          <w:iCs/>
          <w:lang w:val="bg-BG"/>
        </w:rPr>
      </w:pPr>
    </w:p>
    <w:p w14:paraId="4001C56A" w14:textId="77777777" w:rsidR="00471E9F" w:rsidRPr="009F6D1E" w:rsidRDefault="00471E9F" w:rsidP="00D02E9D">
      <w:pPr>
        <w:pStyle w:val="ListParagraph"/>
        <w:keepNext/>
        <w:keepLines/>
        <w:numPr>
          <w:ilvl w:val="1"/>
          <w:numId w:val="23"/>
        </w:numPr>
        <w:shd w:val="clear" w:color="auto" w:fill="E2EFD9" w:themeFill="accent6" w:themeFillTint="33"/>
        <w:spacing w:after="60" w:line="264" w:lineRule="auto"/>
        <w:ind w:left="0" w:firstLine="0"/>
        <w:jc w:val="both"/>
        <w:outlineLvl w:val="1"/>
        <w:rPr>
          <w:rFonts w:eastAsia="Times New Roman"/>
          <w:b/>
          <w:i/>
          <w:lang w:val="bg-BG"/>
        </w:rPr>
      </w:pPr>
      <w:bookmarkStart w:id="141" w:name="_Toc97639508"/>
      <w:bookmarkStart w:id="142" w:name="_Toc115254992"/>
      <w:r w:rsidRPr="009F6D1E">
        <w:rPr>
          <w:rFonts w:eastAsia="Times New Roman"/>
          <w:b/>
          <w:i/>
          <w:lang w:val="bg-BG"/>
        </w:rPr>
        <w:t>Текущо състояние на околната среда</w:t>
      </w:r>
      <w:bookmarkEnd w:id="141"/>
      <w:bookmarkEnd w:id="142"/>
      <w:r w:rsidRPr="009F6D1E">
        <w:rPr>
          <w:rFonts w:eastAsia="Times New Roman"/>
          <w:b/>
          <w:i/>
          <w:lang w:val="bg-BG"/>
        </w:rPr>
        <w:tab/>
      </w:r>
    </w:p>
    <w:p w14:paraId="1EFF40C3" w14:textId="77777777" w:rsidR="00A4013E" w:rsidRPr="009F6D1E" w:rsidRDefault="00A4013E" w:rsidP="0084747F">
      <w:pPr>
        <w:spacing w:after="60" w:line="264" w:lineRule="auto"/>
        <w:contextualSpacing/>
        <w:jc w:val="both"/>
        <w:rPr>
          <w:rFonts w:eastAsia="Calibri" w:cs="Times New Roman"/>
          <w:b/>
          <w:bCs/>
          <w:i/>
          <w:iCs/>
          <w:szCs w:val="24"/>
        </w:rPr>
      </w:pPr>
    </w:p>
    <w:p w14:paraId="416436BB" w14:textId="77777777" w:rsidR="00471E9F" w:rsidRPr="009F6D1E" w:rsidRDefault="00471E9F">
      <w:pPr>
        <w:pStyle w:val="Heading3"/>
        <w:numPr>
          <w:ilvl w:val="2"/>
          <w:numId w:val="39"/>
        </w:numPr>
        <w:shd w:val="clear" w:color="auto" w:fill="E2EFD9" w:themeFill="accent6" w:themeFillTint="33"/>
        <w:tabs>
          <w:tab w:val="clear" w:pos="1701"/>
        </w:tabs>
        <w:spacing w:before="0" w:after="60" w:line="264" w:lineRule="auto"/>
        <w:rPr>
          <w:smallCaps w:val="0"/>
          <w:lang w:bidi="ar-SA"/>
        </w:rPr>
      </w:pPr>
      <w:bookmarkStart w:id="143" w:name="_Toc97639509"/>
      <w:bookmarkStart w:id="144" w:name="_Toc115254993"/>
      <w:r w:rsidRPr="009F6D1E">
        <w:rPr>
          <w:smallCaps w:val="0"/>
          <w:lang w:bidi="ar-SA"/>
        </w:rPr>
        <w:t>Атмосферен въздух и климат</w:t>
      </w:r>
      <w:bookmarkEnd w:id="143"/>
      <w:bookmarkEnd w:id="144"/>
    </w:p>
    <w:p w14:paraId="3C947F1F" w14:textId="77777777" w:rsidR="00A4013E" w:rsidRPr="009F6D1E" w:rsidRDefault="00DC0401" w:rsidP="0084747F">
      <w:pPr>
        <w:autoSpaceDE w:val="0"/>
        <w:autoSpaceDN w:val="0"/>
        <w:adjustRightInd w:val="0"/>
        <w:spacing w:after="60" w:line="264" w:lineRule="auto"/>
        <w:jc w:val="both"/>
        <w:rPr>
          <w:rFonts w:cs="Times New Roman"/>
          <w:i/>
          <w:iCs/>
          <w:szCs w:val="24"/>
        </w:rPr>
      </w:pPr>
      <w:r w:rsidRPr="009F6D1E">
        <w:rPr>
          <w:rFonts w:cs="Times New Roman"/>
          <w:i/>
          <w:iCs/>
          <w:szCs w:val="24"/>
        </w:rPr>
        <w:t xml:space="preserve">      </w:t>
      </w:r>
    </w:p>
    <w:p w14:paraId="27DDA447" w14:textId="77777777" w:rsidR="00DC0401" w:rsidRPr="009F6D1E" w:rsidRDefault="00DC0401">
      <w:pPr>
        <w:pStyle w:val="Heading4"/>
        <w:keepLines w:val="0"/>
        <w:numPr>
          <w:ilvl w:val="3"/>
          <w:numId w:val="39"/>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Климат</w:t>
      </w:r>
    </w:p>
    <w:p w14:paraId="7CF3ED5D" w14:textId="77777777" w:rsidR="0094794D" w:rsidRPr="009F6D1E" w:rsidRDefault="0094794D" w:rsidP="0084747F">
      <w:pPr>
        <w:spacing w:after="60" w:line="264" w:lineRule="auto"/>
        <w:jc w:val="both"/>
        <w:rPr>
          <w:rFonts w:cs="Times New Roman"/>
          <w:b/>
          <w:bCs/>
          <w:szCs w:val="24"/>
        </w:rPr>
      </w:pPr>
    </w:p>
    <w:p w14:paraId="34E6041E" w14:textId="77777777" w:rsidR="00510C21" w:rsidRPr="009F6D1E" w:rsidRDefault="00510C21" w:rsidP="0084747F">
      <w:pPr>
        <w:spacing w:after="60" w:line="264" w:lineRule="auto"/>
        <w:jc w:val="both"/>
        <w:rPr>
          <w:rFonts w:cs="Times New Roman"/>
          <w:b/>
          <w:bCs/>
          <w:szCs w:val="24"/>
        </w:rPr>
      </w:pPr>
      <w:r w:rsidRPr="009F6D1E">
        <w:rPr>
          <w:rFonts w:cs="Times New Roman"/>
          <w:b/>
          <w:bCs/>
          <w:szCs w:val="24"/>
        </w:rPr>
        <w:t xml:space="preserve">Климатична характеристика </w:t>
      </w:r>
    </w:p>
    <w:p w14:paraId="7738CC23" w14:textId="77777777" w:rsidR="00510C21" w:rsidRPr="009F6D1E" w:rsidRDefault="00510C21" w:rsidP="0084747F">
      <w:pPr>
        <w:spacing w:after="60" w:line="264" w:lineRule="auto"/>
        <w:ind w:firstLine="709"/>
        <w:jc w:val="both"/>
        <w:rPr>
          <w:rFonts w:cs="Times New Roman"/>
          <w:i/>
          <w:iCs/>
          <w:szCs w:val="24"/>
          <w:u w:val="single"/>
        </w:rPr>
      </w:pPr>
      <w:r w:rsidRPr="009F6D1E">
        <w:rPr>
          <w:rFonts w:cs="Times New Roman"/>
          <w:i/>
          <w:iCs/>
          <w:szCs w:val="24"/>
          <w:u w:val="single"/>
        </w:rPr>
        <w:t>Климатични условия</w:t>
      </w:r>
    </w:p>
    <w:p w14:paraId="58FC415E" w14:textId="56D56E55" w:rsidR="00510C21" w:rsidRPr="009F6D1E" w:rsidRDefault="00510C21" w:rsidP="0084747F">
      <w:pPr>
        <w:spacing w:after="60" w:line="264" w:lineRule="auto"/>
        <w:ind w:firstLine="709"/>
        <w:jc w:val="both"/>
        <w:rPr>
          <w:rFonts w:cs="Times New Roman"/>
          <w:szCs w:val="24"/>
        </w:rPr>
      </w:pPr>
      <w:r w:rsidRPr="009F6D1E">
        <w:rPr>
          <w:rFonts w:cs="Times New Roman"/>
          <w:szCs w:val="24"/>
        </w:rPr>
        <w:t xml:space="preserve">Територията на България спада към две климатични области: европейско-континентална и континентално-средиземноморска климатична области (източник: </w:t>
      </w:r>
      <w:bookmarkStart w:id="145" w:name="_Hlk63848296"/>
      <w:r w:rsidRPr="009F6D1E">
        <w:rPr>
          <w:rFonts w:cs="Times New Roman"/>
          <w:szCs w:val="24"/>
        </w:rPr>
        <w:t>Л. Събев, Св. Станев, 1959;Ж. Гълъбов, 1982</w:t>
      </w:r>
      <w:bookmarkEnd w:id="145"/>
      <w:r w:rsidRPr="009F6D1E">
        <w:rPr>
          <w:rFonts w:cs="Times New Roman"/>
          <w:szCs w:val="24"/>
        </w:rPr>
        <w:t xml:space="preserve">). Климатичните райони в България са представени на </w:t>
      </w:r>
      <w:r>
        <w:fldChar w:fldCharType="begin"/>
      </w:r>
      <w:r>
        <w:instrText xml:space="preserve"> REF _Ref105160692 \h  \* MERGEFORMAT </w:instrText>
      </w:r>
      <w:r>
        <w:fldChar w:fldCharType="separate"/>
      </w:r>
      <w:r w:rsidR="00A43EF3" w:rsidRPr="00A43EF3">
        <w:rPr>
          <w:rFonts w:cs="Times New Roman"/>
          <w:szCs w:val="24"/>
        </w:rPr>
        <w:t>Фигура 1</w:t>
      </w:r>
      <w:r>
        <w:fldChar w:fldCharType="end"/>
      </w:r>
      <w:r w:rsidRPr="009F6D1E">
        <w:rPr>
          <w:rFonts w:cs="Times New Roman"/>
          <w:szCs w:val="24"/>
        </w:rPr>
        <w:t>.</w:t>
      </w:r>
    </w:p>
    <w:p w14:paraId="6064874B" w14:textId="77777777" w:rsidR="00510C21" w:rsidRPr="009F6D1E" w:rsidRDefault="00510C21" w:rsidP="0084747F">
      <w:pPr>
        <w:spacing w:after="60" w:line="264" w:lineRule="auto"/>
        <w:jc w:val="center"/>
        <w:rPr>
          <w:rFonts w:eastAsia="Times New Roman" w:cs="Times New Roman"/>
          <w:color w:val="BF8F00" w:themeColor="accent4" w:themeShade="BF"/>
          <w:szCs w:val="24"/>
          <w:lang w:bidi="bg-BG"/>
        </w:rPr>
      </w:pPr>
      <w:r w:rsidRPr="009F6D1E">
        <w:rPr>
          <w:rFonts w:eastAsia="Times New Roman" w:cs="Times New Roman"/>
          <w:noProof/>
          <w:color w:val="BF8F00" w:themeColor="accent4" w:themeShade="BF"/>
          <w:szCs w:val="24"/>
          <w:lang w:val="en-US"/>
        </w:rPr>
        <w:drawing>
          <wp:inline distT="0" distB="0" distL="0" distR="0" wp14:anchorId="6423A699" wp14:editId="46BB28AD">
            <wp:extent cx="3756660" cy="2468880"/>
            <wp:effectExtent l="0" t="0" r="0" b="7620"/>
            <wp:docPr id="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l="682" t="797" r="894" b="6308"/>
                    <a:stretch>
                      <a:fillRect/>
                    </a:stretch>
                  </pic:blipFill>
                  <pic:spPr bwMode="auto">
                    <a:xfrm>
                      <a:off x="0" y="0"/>
                      <a:ext cx="3756660" cy="2468880"/>
                    </a:xfrm>
                    <a:prstGeom prst="rect">
                      <a:avLst/>
                    </a:prstGeom>
                    <a:noFill/>
                    <a:ln>
                      <a:noFill/>
                    </a:ln>
                  </pic:spPr>
                </pic:pic>
              </a:graphicData>
            </a:graphic>
          </wp:inline>
        </w:drawing>
      </w:r>
    </w:p>
    <w:p w14:paraId="0BA7216A" w14:textId="7392BEFF" w:rsidR="00D6463C" w:rsidRPr="009F6D1E" w:rsidRDefault="00D6463C" w:rsidP="0084747F">
      <w:pPr>
        <w:pStyle w:val="Caption"/>
        <w:spacing w:after="60" w:line="264" w:lineRule="auto"/>
      </w:pPr>
      <w:bookmarkStart w:id="146" w:name="_Ref105160692"/>
      <w:bookmarkStart w:id="147" w:name="_Hlk105160875"/>
      <w:bookmarkStart w:id="148" w:name="_Toc115255062"/>
      <w:r w:rsidRPr="009F6D1E">
        <w:t xml:space="preserve">Фигура </w:t>
      </w:r>
      <w:fldSimple w:instr=" SEQ Фигура \* ARABIC ">
        <w:r w:rsidR="00A43EF3">
          <w:rPr>
            <w:noProof/>
          </w:rPr>
          <w:t>1</w:t>
        </w:r>
      </w:fldSimple>
      <w:bookmarkEnd w:id="146"/>
      <w:r w:rsidRPr="009F6D1E">
        <w:t xml:space="preserve">: </w:t>
      </w:r>
      <w:bookmarkEnd w:id="147"/>
      <w:r w:rsidR="00A62591" w:rsidRPr="009F6D1E">
        <w:t>Климатични райони в България</w:t>
      </w:r>
      <w:bookmarkEnd w:id="148"/>
      <w:r w:rsidR="00A62591" w:rsidRPr="009F6D1E">
        <w:t xml:space="preserve"> </w:t>
      </w:r>
    </w:p>
    <w:tbl>
      <w:tblPr>
        <w:tblStyle w:val="TableGrid3"/>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A62591" w:rsidRPr="009F6D1E" w14:paraId="5C28D521" w14:textId="77777777" w:rsidTr="00A62591">
        <w:trPr>
          <w:trHeight w:val="227"/>
          <w:jc w:val="center"/>
        </w:trPr>
        <w:tc>
          <w:tcPr>
            <w:tcW w:w="9639" w:type="dxa"/>
            <w:gridSpan w:val="2"/>
            <w:shd w:val="clear" w:color="auto" w:fill="auto"/>
            <w:vAlign w:val="center"/>
          </w:tcPr>
          <w:p w14:paraId="25B998D4" w14:textId="77777777" w:rsidR="00510C21" w:rsidRPr="009F6D1E" w:rsidRDefault="00510C21" w:rsidP="0084747F">
            <w:pPr>
              <w:spacing w:after="60" w:line="264" w:lineRule="auto"/>
              <w:jc w:val="center"/>
              <w:rPr>
                <w:rFonts w:eastAsia="Times New Roman" w:cs="Times New Roman"/>
                <w:b/>
                <w:bCs/>
                <w:szCs w:val="24"/>
                <w:u w:val="single"/>
                <w:lang w:bidi="bg-BG"/>
              </w:rPr>
            </w:pPr>
            <w:r w:rsidRPr="009F6D1E">
              <w:rPr>
                <w:rFonts w:eastAsia="Times New Roman" w:cs="Times New Roman"/>
                <w:b/>
                <w:bCs/>
                <w:i/>
                <w:iCs/>
                <w:szCs w:val="24"/>
                <w:lang w:bidi="bg-BG"/>
              </w:rPr>
              <w:t>А – Европейско-континентална климатична област</w:t>
            </w:r>
          </w:p>
        </w:tc>
      </w:tr>
      <w:tr w:rsidR="00A62591" w:rsidRPr="009F6D1E" w14:paraId="197A5137" w14:textId="77777777" w:rsidTr="00A62591">
        <w:trPr>
          <w:trHeight w:val="227"/>
          <w:jc w:val="center"/>
        </w:trPr>
        <w:tc>
          <w:tcPr>
            <w:tcW w:w="4820" w:type="dxa"/>
            <w:shd w:val="clear" w:color="auto" w:fill="auto"/>
            <w:vAlign w:val="center"/>
          </w:tcPr>
          <w:p w14:paraId="25854435" w14:textId="77777777" w:rsidR="00510C21" w:rsidRPr="009F6D1E" w:rsidRDefault="00510C21" w:rsidP="0084747F">
            <w:pPr>
              <w:spacing w:after="60" w:line="264" w:lineRule="auto"/>
              <w:jc w:val="both"/>
              <w:rPr>
                <w:rFonts w:eastAsia="Times New Roman" w:cs="Times New Roman"/>
                <w:b/>
                <w:bCs/>
                <w:szCs w:val="24"/>
                <w:u w:val="single"/>
                <w:lang w:bidi="bg-BG"/>
              </w:rPr>
            </w:pPr>
            <w:r w:rsidRPr="009F6D1E">
              <w:rPr>
                <w:rFonts w:eastAsia="Times New Roman" w:cs="Times New Roman"/>
                <w:i/>
                <w:iCs/>
                <w:szCs w:val="24"/>
                <w:lang w:bidi="bg-BG"/>
              </w:rPr>
              <w:t>А1 – Умерено-континентална климатична подобласт</w:t>
            </w:r>
          </w:p>
        </w:tc>
        <w:tc>
          <w:tcPr>
            <w:tcW w:w="4819" w:type="dxa"/>
            <w:shd w:val="clear" w:color="auto" w:fill="auto"/>
            <w:vAlign w:val="center"/>
          </w:tcPr>
          <w:p w14:paraId="04966A57" w14:textId="77777777" w:rsidR="00510C21" w:rsidRPr="009F6D1E" w:rsidRDefault="00510C21" w:rsidP="0084747F">
            <w:pPr>
              <w:spacing w:after="60" w:line="264" w:lineRule="auto"/>
              <w:jc w:val="both"/>
              <w:rPr>
                <w:rFonts w:eastAsia="Times New Roman" w:cs="Times New Roman"/>
                <w:b/>
                <w:bCs/>
                <w:szCs w:val="24"/>
                <w:u w:val="single"/>
                <w:lang w:bidi="bg-BG"/>
              </w:rPr>
            </w:pPr>
            <w:r w:rsidRPr="009F6D1E">
              <w:rPr>
                <w:rFonts w:eastAsia="Times New Roman" w:cs="Times New Roman"/>
                <w:i/>
                <w:iCs/>
                <w:szCs w:val="24"/>
                <w:lang w:bidi="bg-BG"/>
              </w:rPr>
              <w:t>А2 – Преходно-континентална климатична подобласт</w:t>
            </w:r>
          </w:p>
        </w:tc>
      </w:tr>
      <w:tr w:rsidR="00A62591" w:rsidRPr="009F6D1E" w14:paraId="4F9DAEE7" w14:textId="77777777" w:rsidTr="00A62591">
        <w:trPr>
          <w:trHeight w:val="227"/>
          <w:jc w:val="center"/>
        </w:trPr>
        <w:tc>
          <w:tcPr>
            <w:tcW w:w="9639" w:type="dxa"/>
            <w:gridSpan w:val="2"/>
            <w:shd w:val="clear" w:color="auto" w:fill="auto"/>
            <w:vAlign w:val="center"/>
          </w:tcPr>
          <w:p w14:paraId="048A7B02" w14:textId="77777777" w:rsidR="00510C21" w:rsidRPr="009F6D1E" w:rsidRDefault="00510C21" w:rsidP="0084747F">
            <w:pPr>
              <w:spacing w:after="60" w:line="264" w:lineRule="auto"/>
              <w:jc w:val="center"/>
              <w:rPr>
                <w:rFonts w:eastAsia="Times New Roman" w:cs="Times New Roman"/>
                <w:b/>
                <w:bCs/>
                <w:szCs w:val="24"/>
                <w:u w:val="single"/>
                <w:lang w:bidi="bg-BG"/>
              </w:rPr>
            </w:pPr>
            <w:r w:rsidRPr="009F6D1E">
              <w:rPr>
                <w:rFonts w:eastAsia="Times New Roman" w:cs="Times New Roman"/>
                <w:b/>
                <w:bCs/>
                <w:i/>
                <w:iCs/>
                <w:szCs w:val="24"/>
                <w:lang w:bidi="bg-BG"/>
              </w:rPr>
              <w:t>В – Континентално-средиземноморска климатична област</w:t>
            </w:r>
          </w:p>
        </w:tc>
      </w:tr>
      <w:tr w:rsidR="00A62591" w:rsidRPr="009F6D1E" w14:paraId="5FCD06E1" w14:textId="77777777" w:rsidTr="00A62591">
        <w:trPr>
          <w:trHeight w:val="227"/>
          <w:jc w:val="center"/>
        </w:trPr>
        <w:tc>
          <w:tcPr>
            <w:tcW w:w="4820" w:type="dxa"/>
            <w:shd w:val="clear" w:color="auto" w:fill="auto"/>
            <w:vAlign w:val="center"/>
          </w:tcPr>
          <w:p w14:paraId="6F4BB014" w14:textId="77777777" w:rsidR="00510C21" w:rsidRPr="009F6D1E" w:rsidRDefault="00510C21" w:rsidP="0084747F">
            <w:pPr>
              <w:spacing w:after="60" w:line="264" w:lineRule="auto"/>
              <w:jc w:val="both"/>
              <w:rPr>
                <w:rFonts w:eastAsia="Times New Roman" w:cs="Times New Roman"/>
                <w:b/>
                <w:bCs/>
                <w:szCs w:val="24"/>
                <w:u w:val="single"/>
                <w:lang w:bidi="bg-BG"/>
              </w:rPr>
            </w:pPr>
            <w:r w:rsidRPr="009F6D1E">
              <w:rPr>
                <w:rFonts w:eastAsia="Times New Roman" w:cs="Times New Roman"/>
                <w:i/>
                <w:iCs/>
                <w:szCs w:val="24"/>
                <w:lang w:bidi="bg-BG"/>
              </w:rPr>
              <w:t>В1 – Южнобългарска климатична подобласт</w:t>
            </w:r>
          </w:p>
        </w:tc>
        <w:tc>
          <w:tcPr>
            <w:tcW w:w="4819" w:type="dxa"/>
            <w:shd w:val="clear" w:color="auto" w:fill="auto"/>
            <w:vAlign w:val="center"/>
          </w:tcPr>
          <w:p w14:paraId="45AED924" w14:textId="77777777" w:rsidR="00510C21" w:rsidRPr="009F6D1E" w:rsidRDefault="00510C21" w:rsidP="0084747F">
            <w:pPr>
              <w:spacing w:after="60" w:line="264" w:lineRule="auto"/>
              <w:jc w:val="both"/>
              <w:rPr>
                <w:rFonts w:eastAsia="Times New Roman" w:cs="Times New Roman"/>
                <w:b/>
                <w:bCs/>
                <w:szCs w:val="24"/>
                <w:u w:val="single"/>
                <w:lang w:bidi="bg-BG"/>
              </w:rPr>
            </w:pPr>
            <w:r w:rsidRPr="009F6D1E">
              <w:rPr>
                <w:rFonts w:eastAsia="Times New Roman" w:cs="Times New Roman"/>
                <w:i/>
                <w:iCs/>
                <w:szCs w:val="24"/>
                <w:lang w:bidi="bg-BG"/>
              </w:rPr>
              <w:t>В2 – Черноморска климатична подобласт</w:t>
            </w:r>
          </w:p>
        </w:tc>
      </w:tr>
    </w:tbl>
    <w:p w14:paraId="578DC68B" w14:textId="77777777" w:rsidR="00510C21" w:rsidRPr="009F6D1E" w:rsidRDefault="00510C21" w:rsidP="0084747F">
      <w:pPr>
        <w:spacing w:after="60" w:line="264" w:lineRule="auto"/>
        <w:ind w:firstLine="709"/>
        <w:jc w:val="both"/>
        <w:rPr>
          <w:rFonts w:cs="Times New Roman"/>
          <w:szCs w:val="24"/>
        </w:rPr>
      </w:pPr>
    </w:p>
    <w:p w14:paraId="7506B668" w14:textId="77777777" w:rsidR="00510C21" w:rsidRPr="009F6D1E" w:rsidRDefault="00510C21" w:rsidP="0084747F">
      <w:pPr>
        <w:spacing w:after="60" w:line="264" w:lineRule="auto"/>
        <w:ind w:firstLine="709"/>
        <w:jc w:val="both"/>
        <w:rPr>
          <w:rFonts w:cs="Times New Roman"/>
          <w:szCs w:val="24"/>
        </w:rPr>
      </w:pPr>
      <w:r w:rsidRPr="009F6D1E">
        <w:rPr>
          <w:rFonts w:cs="Times New Roman"/>
          <w:szCs w:val="24"/>
        </w:rPr>
        <w:lastRenderedPageBreak/>
        <w:t xml:space="preserve">Въпреки установените тенденции за увеличаване на температурите и промяна в интензивността на валежите, общото климатично райониране на страната още не е променено, тъй като не са променени основните </w:t>
      </w:r>
      <w:proofErr w:type="spellStart"/>
      <w:r w:rsidRPr="009F6D1E">
        <w:rPr>
          <w:rFonts w:cs="Times New Roman"/>
          <w:szCs w:val="24"/>
        </w:rPr>
        <w:t>климатообразуващи</w:t>
      </w:r>
      <w:proofErr w:type="spellEnd"/>
      <w:r w:rsidRPr="009F6D1E">
        <w:rPr>
          <w:rFonts w:cs="Times New Roman"/>
          <w:szCs w:val="24"/>
        </w:rPr>
        <w:t xml:space="preserve"> фактори (географска ширина, характер на релефа, положение спрямо големите водни басейни и обща атмосферна циркулация), поради което двете климатични области запазват своето местоположение и териториалния си обхват.</w:t>
      </w:r>
    </w:p>
    <w:p w14:paraId="1D90B3E9" w14:textId="77777777" w:rsidR="00510C21" w:rsidRPr="009F6D1E" w:rsidRDefault="00510C21" w:rsidP="0084747F">
      <w:pPr>
        <w:spacing w:after="60" w:line="264" w:lineRule="auto"/>
        <w:ind w:firstLine="709"/>
        <w:jc w:val="both"/>
        <w:rPr>
          <w:rFonts w:cs="Times New Roman"/>
          <w:szCs w:val="24"/>
        </w:rPr>
      </w:pPr>
      <w:r w:rsidRPr="009F6D1E">
        <w:rPr>
          <w:rFonts w:cs="Times New Roman"/>
          <w:szCs w:val="24"/>
        </w:rPr>
        <w:t>Климатичните и метеорологичните условия влияят на природните и антропогенни процеси, които въздействат върху състоянието на околната среда. Те влияят също и на цялостната икономика на страната като подсилват натиска върху околната среда от нейните под-сектори. Екстремните метеорологични условия, като наводнения, дългосрочни периоди на суша и силни ветрове, могат да причинят големи щети на националната икономика.</w:t>
      </w:r>
    </w:p>
    <w:p w14:paraId="5352BC7F" w14:textId="5A8A1847" w:rsidR="00510C21" w:rsidRPr="009F6D1E" w:rsidRDefault="00510C21" w:rsidP="0084747F">
      <w:pPr>
        <w:spacing w:after="60" w:line="264" w:lineRule="auto"/>
        <w:ind w:firstLine="709"/>
        <w:jc w:val="both"/>
        <w:rPr>
          <w:rFonts w:cs="Times New Roman"/>
          <w:szCs w:val="24"/>
        </w:rPr>
      </w:pPr>
      <w:r w:rsidRPr="009F6D1E">
        <w:rPr>
          <w:rFonts w:cs="Times New Roman"/>
          <w:szCs w:val="24"/>
        </w:rPr>
        <w:t>Рекордно високите температури през последните десетилетия, топенето на ледниците, по-влажният въздух и още седем ключови индикатора показват, че глобалното затопляне на климата е не</w:t>
      </w:r>
      <w:r w:rsidR="00EE63F0">
        <w:rPr>
          <w:rFonts w:cs="Times New Roman"/>
          <w:szCs w:val="24"/>
        </w:rPr>
        <w:t>осп</w:t>
      </w:r>
      <w:r w:rsidRPr="009F6D1E">
        <w:rPr>
          <w:rFonts w:cs="Times New Roman"/>
          <w:szCs w:val="24"/>
        </w:rPr>
        <w:t>орим факт. Десетте ключови индикатора, показващи изменението в климата са:</w:t>
      </w:r>
    </w:p>
    <w:p w14:paraId="28163F96"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w:t>
      </w:r>
      <w:r w:rsidR="00510C21" w:rsidRPr="009F6D1E">
        <w:rPr>
          <w:rFonts w:eastAsia="Times New Roman" w:cs="Times New Roman"/>
          <w:szCs w:val="24"/>
          <w:lang w:eastAsia="bg-BG" w:bidi="bg-BG"/>
        </w:rPr>
        <w:t>-високите температури над сушата;</w:t>
      </w:r>
    </w:p>
    <w:p w14:paraId="78922319"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w:t>
      </w:r>
      <w:r w:rsidR="00510C21" w:rsidRPr="009F6D1E">
        <w:rPr>
          <w:rFonts w:eastAsia="Times New Roman" w:cs="Times New Roman"/>
          <w:szCs w:val="24"/>
          <w:lang w:eastAsia="bg-BG" w:bidi="bg-BG"/>
        </w:rPr>
        <w:t>-високите температури над океаните;</w:t>
      </w:r>
    </w:p>
    <w:p w14:paraId="19596C79"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Високото </w:t>
      </w:r>
      <w:r w:rsidR="00510C21" w:rsidRPr="009F6D1E">
        <w:rPr>
          <w:rFonts w:eastAsia="Times New Roman" w:cs="Times New Roman"/>
          <w:szCs w:val="24"/>
          <w:lang w:eastAsia="bg-BG" w:bidi="bg-BG"/>
        </w:rPr>
        <w:t>съдържание на топлина в океаните;</w:t>
      </w:r>
    </w:p>
    <w:p w14:paraId="16A31123"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w:t>
      </w:r>
      <w:r w:rsidR="00510C21" w:rsidRPr="009F6D1E">
        <w:rPr>
          <w:rFonts w:eastAsia="Times New Roman" w:cs="Times New Roman"/>
          <w:szCs w:val="24"/>
          <w:lang w:eastAsia="bg-BG" w:bidi="bg-BG"/>
        </w:rPr>
        <w:t>-високите температури на въздуха близо до повърхността на земята;</w:t>
      </w:r>
    </w:p>
    <w:p w14:paraId="08D52184"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w:t>
      </w:r>
      <w:r w:rsidR="00510C21" w:rsidRPr="009F6D1E">
        <w:rPr>
          <w:rFonts w:eastAsia="Times New Roman" w:cs="Times New Roman"/>
          <w:szCs w:val="24"/>
          <w:lang w:eastAsia="bg-BG" w:bidi="bg-BG"/>
        </w:rPr>
        <w:t>-високата влажност;</w:t>
      </w:r>
    </w:p>
    <w:p w14:paraId="73738876"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w:t>
      </w:r>
      <w:r w:rsidR="00510C21" w:rsidRPr="009F6D1E">
        <w:rPr>
          <w:rFonts w:eastAsia="Times New Roman" w:cs="Times New Roman"/>
          <w:szCs w:val="24"/>
          <w:lang w:eastAsia="bg-BG" w:bidi="bg-BG"/>
        </w:rPr>
        <w:t>-високите температури на морската повърхност;</w:t>
      </w:r>
    </w:p>
    <w:p w14:paraId="324709F5"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Покачването </w:t>
      </w:r>
      <w:r w:rsidR="00510C21" w:rsidRPr="009F6D1E">
        <w:rPr>
          <w:rFonts w:eastAsia="Times New Roman" w:cs="Times New Roman"/>
          <w:szCs w:val="24"/>
          <w:lang w:eastAsia="bg-BG" w:bidi="bg-BG"/>
        </w:rPr>
        <w:t>на морското равнище;</w:t>
      </w:r>
    </w:p>
    <w:p w14:paraId="6A55D5D7"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Намаляването </w:t>
      </w:r>
      <w:r w:rsidR="00510C21" w:rsidRPr="009F6D1E">
        <w:rPr>
          <w:rFonts w:eastAsia="Times New Roman" w:cs="Times New Roman"/>
          <w:szCs w:val="24"/>
          <w:lang w:eastAsia="bg-BG" w:bidi="bg-BG"/>
        </w:rPr>
        <w:t>на морския лед;</w:t>
      </w:r>
    </w:p>
    <w:p w14:paraId="79F99123"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Намаляването </w:t>
      </w:r>
      <w:r w:rsidR="00510C21" w:rsidRPr="009F6D1E">
        <w:rPr>
          <w:rFonts w:eastAsia="Times New Roman" w:cs="Times New Roman"/>
          <w:szCs w:val="24"/>
          <w:lang w:eastAsia="bg-BG" w:bidi="bg-BG"/>
        </w:rPr>
        <w:t>на снежната покривка;</w:t>
      </w:r>
    </w:p>
    <w:p w14:paraId="7641EB77" w14:textId="77777777" w:rsidR="00510C21" w:rsidRPr="009F6D1E" w:rsidRDefault="00A62591"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Свиването </w:t>
      </w:r>
      <w:r w:rsidR="00510C21" w:rsidRPr="009F6D1E">
        <w:rPr>
          <w:rFonts w:eastAsia="Times New Roman" w:cs="Times New Roman"/>
          <w:szCs w:val="24"/>
          <w:lang w:eastAsia="bg-BG" w:bidi="bg-BG"/>
        </w:rPr>
        <w:t>на ледниците.</w:t>
      </w:r>
    </w:p>
    <w:p w14:paraId="59F328E4" w14:textId="77777777" w:rsidR="00510C21" w:rsidRPr="009F6D1E" w:rsidRDefault="00510C21" w:rsidP="0084747F">
      <w:pPr>
        <w:spacing w:after="60" w:line="264" w:lineRule="auto"/>
        <w:ind w:firstLine="709"/>
        <w:jc w:val="both"/>
        <w:rPr>
          <w:rFonts w:cs="Times New Roman"/>
          <w:szCs w:val="24"/>
        </w:rPr>
      </w:pPr>
      <w:r w:rsidRPr="009F6D1E">
        <w:rPr>
          <w:rFonts w:cs="Times New Roman"/>
          <w:szCs w:val="24"/>
        </w:rPr>
        <w:t>Относителното движение на всеки от тези показатели – повишаване при първите седем и спад при последните три от тях – доказва, че несъмнено планетата ни търпи затопляне през последния половин век, както и че всяко десетилетие на Земята от 1980 г. насам е по-горещо от предходното.</w:t>
      </w:r>
    </w:p>
    <w:p w14:paraId="6074ABFC" w14:textId="7ED24537" w:rsidR="00510C21" w:rsidRDefault="00510C21" w:rsidP="0084747F">
      <w:pPr>
        <w:spacing w:after="60" w:line="264" w:lineRule="auto"/>
        <w:ind w:firstLine="709"/>
        <w:jc w:val="both"/>
        <w:rPr>
          <w:rFonts w:cs="Times New Roman"/>
          <w:szCs w:val="24"/>
        </w:rPr>
      </w:pPr>
      <w:r w:rsidRPr="009F6D1E">
        <w:rPr>
          <w:rFonts w:cs="Times New Roman"/>
          <w:szCs w:val="24"/>
        </w:rPr>
        <w:t>Световната Метеорологична Организация (СМО) е дефинирала климатичната норма като средната стойност на даден климатичен елемент за фиксиран базисен период от 30 години. Приетите засега базисни периоди са 1901-1930г., 1931-1960г., 1961-1990г. За описание на съвременния климат се използват средните климатични стойности за периода 1961-1990 г. Поради това месечните и годишни температури и валежи са сравнявани с този период и се отнасят само за равнинната част на страната.</w:t>
      </w:r>
    </w:p>
    <w:p w14:paraId="63B63E9F" w14:textId="618D4C7A" w:rsidR="00EE63F0" w:rsidRDefault="00EE63F0" w:rsidP="0084747F">
      <w:pPr>
        <w:spacing w:after="60" w:line="264" w:lineRule="auto"/>
        <w:ind w:firstLine="709"/>
        <w:jc w:val="both"/>
        <w:rPr>
          <w:rFonts w:cs="Times New Roman"/>
          <w:szCs w:val="24"/>
        </w:rPr>
      </w:pPr>
    </w:p>
    <w:p w14:paraId="04BBC1AF" w14:textId="5D35B3EE" w:rsidR="00EE63F0" w:rsidRDefault="00EE63F0" w:rsidP="0084747F">
      <w:pPr>
        <w:spacing w:after="60" w:line="264" w:lineRule="auto"/>
        <w:ind w:firstLine="709"/>
        <w:jc w:val="both"/>
        <w:rPr>
          <w:rFonts w:cs="Times New Roman"/>
          <w:szCs w:val="24"/>
        </w:rPr>
      </w:pPr>
    </w:p>
    <w:p w14:paraId="70449783" w14:textId="77777777" w:rsidR="00EE63F0" w:rsidRPr="009F6D1E" w:rsidRDefault="00EE63F0" w:rsidP="0084747F">
      <w:pPr>
        <w:spacing w:after="60" w:line="264" w:lineRule="auto"/>
        <w:ind w:firstLine="709"/>
        <w:jc w:val="both"/>
        <w:rPr>
          <w:rFonts w:cs="Times New Roman"/>
          <w:szCs w:val="24"/>
        </w:rPr>
      </w:pPr>
    </w:p>
    <w:p w14:paraId="76F6D7BB" w14:textId="77777777" w:rsidR="00510C21" w:rsidRPr="009F6D1E" w:rsidRDefault="00510C21" w:rsidP="0084747F">
      <w:pPr>
        <w:spacing w:after="60" w:line="264" w:lineRule="auto"/>
        <w:ind w:firstLine="709"/>
        <w:jc w:val="both"/>
        <w:rPr>
          <w:rFonts w:cs="Times New Roman"/>
          <w:i/>
          <w:iCs/>
          <w:szCs w:val="24"/>
          <w:u w:val="single"/>
        </w:rPr>
      </w:pPr>
      <w:bookmarkStart w:id="149" w:name="_Hlk53225617"/>
      <w:r w:rsidRPr="009F6D1E">
        <w:rPr>
          <w:rFonts w:cs="Times New Roman"/>
          <w:i/>
          <w:iCs/>
          <w:szCs w:val="24"/>
          <w:u w:val="single"/>
        </w:rPr>
        <w:lastRenderedPageBreak/>
        <w:t>Средногодишна температура на въздуха</w:t>
      </w:r>
    </w:p>
    <w:bookmarkEnd w:id="149"/>
    <w:p w14:paraId="1DE587C6" w14:textId="511D33EF" w:rsidR="00510C21" w:rsidRPr="009F6D1E" w:rsidRDefault="00EE63F0" w:rsidP="0084747F">
      <w:pPr>
        <w:spacing w:after="60" w:line="264" w:lineRule="auto"/>
        <w:ind w:firstLine="709"/>
        <w:jc w:val="both"/>
        <w:rPr>
          <w:rFonts w:cs="Times New Roman"/>
          <w:szCs w:val="24"/>
        </w:rPr>
      </w:pPr>
      <w:r w:rsidRPr="00EE63F0">
        <w:rPr>
          <w:rFonts w:cs="Times New Roman"/>
          <w:szCs w:val="24"/>
        </w:rPr>
        <w:t>В периода 1988 – 2020 г. средната годишна температура на въздуха за ниската част от страната (за районите с н. в. до 800 m) се колебае в границите от 10.6 °С до 13.3 °С (</w:t>
      </w:r>
      <w:r w:rsidRPr="00EE63F0">
        <w:rPr>
          <w:rFonts w:cs="Times New Roman"/>
          <w:szCs w:val="24"/>
        </w:rPr>
        <w:fldChar w:fldCharType="begin"/>
      </w:r>
      <w:r w:rsidRPr="00EE63F0">
        <w:rPr>
          <w:rFonts w:cs="Times New Roman"/>
          <w:szCs w:val="24"/>
        </w:rPr>
        <w:instrText xml:space="preserve"> REF _Ref105160897 \h  \* MERGEFORMAT </w:instrText>
      </w:r>
      <w:r w:rsidRPr="00EE63F0">
        <w:rPr>
          <w:rFonts w:cs="Times New Roman"/>
          <w:szCs w:val="24"/>
        </w:rPr>
      </w:r>
      <w:r w:rsidRPr="00EE63F0">
        <w:rPr>
          <w:rFonts w:cs="Times New Roman"/>
          <w:szCs w:val="24"/>
        </w:rPr>
        <w:fldChar w:fldCharType="separate"/>
      </w:r>
      <w:r w:rsidR="00A43EF3" w:rsidRPr="00A43EF3">
        <w:rPr>
          <w:rFonts w:cs="Times New Roman"/>
          <w:szCs w:val="24"/>
        </w:rPr>
        <w:t>Фигура 2</w:t>
      </w:r>
      <w:r w:rsidRPr="00EE63F0">
        <w:rPr>
          <w:rFonts w:cs="Times New Roman"/>
          <w:szCs w:val="24"/>
        </w:rPr>
        <w:fldChar w:fldCharType="end"/>
      </w:r>
      <w:r w:rsidRPr="00EE63F0">
        <w:rPr>
          <w:rFonts w:cs="Times New Roman"/>
          <w:szCs w:val="24"/>
        </w:rPr>
        <w:t>) при устойчива положителна тенденция на изменение на този индикатор (+0.035 °С/</w:t>
      </w:r>
      <w:proofErr w:type="spellStart"/>
      <w:r w:rsidRPr="00EE63F0">
        <w:rPr>
          <w:rFonts w:cs="Times New Roman"/>
          <w:szCs w:val="24"/>
        </w:rPr>
        <w:t>год</w:t>
      </w:r>
      <w:proofErr w:type="spellEnd"/>
      <w:r w:rsidRPr="00EE63F0">
        <w:rPr>
          <w:rFonts w:cs="Times New Roman"/>
          <w:szCs w:val="24"/>
        </w:rPr>
        <w:t>).</w:t>
      </w:r>
      <w:r w:rsidRPr="009F6D1E">
        <w:rPr>
          <w:rFonts w:cs="Times New Roman"/>
          <w:szCs w:val="24"/>
        </w:rPr>
        <w:t xml:space="preserve"> </w:t>
      </w:r>
      <w:r w:rsidR="00510C21" w:rsidRPr="009F6D1E">
        <w:rPr>
          <w:rFonts w:cs="Times New Roman"/>
          <w:szCs w:val="24"/>
        </w:rPr>
        <w:t xml:space="preserve"> </w:t>
      </w:r>
    </w:p>
    <w:p w14:paraId="09967B7E" w14:textId="5A7419BC" w:rsidR="00510C21" w:rsidRPr="009F6D1E" w:rsidRDefault="00EE63F0" w:rsidP="0084747F">
      <w:pPr>
        <w:spacing w:after="60" w:line="264" w:lineRule="auto"/>
        <w:jc w:val="center"/>
        <w:rPr>
          <w:rFonts w:eastAsia="Times New Roman" w:cs="Times New Roman"/>
          <w:color w:val="BF8F00" w:themeColor="accent4" w:themeShade="BF"/>
          <w:szCs w:val="24"/>
          <w:lang w:bidi="bg-BG"/>
        </w:rPr>
      </w:pPr>
      <w:r w:rsidRPr="00EE63F0">
        <w:rPr>
          <w:rFonts w:eastAsia="Times New Roman" w:cs="Times New Roman"/>
          <w:noProof/>
          <w:color w:val="BF8F00" w:themeColor="accent4" w:themeShade="BF"/>
          <w:szCs w:val="24"/>
          <w:lang w:val="en-US"/>
        </w:rPr>
        <w:drawing>
          <wp:inline distT="0" distB="0" distL="0" distR="0" wp14:anchorId="330C1B10" wp14:editId="7276FF83">
            <wp:extent cx="5524979" cy="2415749"/>
            <wp:effectExtent l="0" t="0" r="0" b="381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24979" cy="2415749"/>
                    </a:xfrm>
                    <a:prstGeom prst="rect">
                      <a:avLst/>
                    </a:prstGeom>
                  </pic:spPr>
                </pic:pic>
              </a:graphicData>
            </a:graphic>
          </wp:inline>
        </w:drawing>
      </w:r>
    </w:p>
    <w:p w14:paraId="6D0C4BF7" w14:textId="77777777" w:rsidR="00510C21" w:rsidRPr="009F6D1E" w:rsidRDefault="00510C21" w:rsidP="0084747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w:t>
      </w:r>
      <w:bookmarkStart w:id="150" w:name="_Hlk53583697"/>
      <w:r w:rsidRPr="009F6D1E">
        <w:rPr>
          <w:rFonts w:eastAsia="Times New Roman" w:cs="Times New Roman"/>
          <w:i/>
          <w:iCs/>
          <w:szCs w:val="24"/>
          <w:lang w:bidi="bg-BG"/>
        </w:rPr>
        <w:t xml:space="preserve">: </w:t>
      </w:r>
      <w:bookmarkStart w:id="151" w:name="_Hlk53569641"/>
      <w:bookmarkEnd w:id="150"/>
      <w:r w:rsidRPr="009F6D1E">
        <w:rPr>
          <w:rFonts w:eastAsia="Times New Roman" w:cs="Times New Roman"/>
          <w:i/>
          <w:iCs/>
          <w:szCs w:val="24"/>
          <w:lang w:bidi="bg-BG"/>
        </w:rPr>
        <w:t>ИАОС</w:t>
      </w:r>
    </w:p>
    <w:p w14:paraId="0BCB2F9B" w14:textId="12E2A07D" w:rsidR="00510C21" w:rsidRPr="009F6D1E" w:rsidRDefault="00A62591" w:rsidP="0084747F">
      <w:pPr>
        <w:pStyle w:val="Caption"/>
        <w:spacing w:after="60" w:line="264" w:lineRule="auto"/>
      </w:pPr>
      <w:bookmarkStart w:id="152" w:name="_Ref105160897"/>
      <w:bookmarkStart w:id="153" w:name="_Toc54967931"/>
      <w:bookmarkStart w:id="154" w:name="_Toc86755040"/>
      <w:bookmarkStart w:id="155" w:name="_Toc97396191"/>
      <w:bookmarkStart w:id="156" w:name="_Toc115255063"/>
      <w:bookmarkEnd w:id="151"/>
      <w:r w:rsidRPr="009F6D1E">
        <w:t xml:space="preserve">Фигура </w:t>
      </w:r>
      <w:fldSimple w:instr=" SEQ Фигура \* ARABIC ">
        <w:r w:rsidR="00A43EF3">
          <w:rPr>
            <w:noProof/>
          </w:rPr>
          <w:t>2</w:t>
        </w:r>
      </w:fldSimple>
      <w:bookmarkEnd w:id="152"/>
      <w:r w:rsidRPr="009F6D1E">
        <w:t xml:space="preserve">:  </w:t>
      </w:r>
      <w:r w:rsidR="00510C21" w:rsidRPr="009F6D1E">
        <w:t>Колебания на средната годишна температура на въздуха (</w:t>
      </w:r>
      <w:r w:rsidR="00510C21" w:rsidRPr="009F6D1E">
        <w:sym w:font="Symbol" w:char="F0B0"/>
      </w:r>
      <w:r w:rsidR="00510C21" w:rsidRPr="009F6D1E">
        <w:t>С) през периода 1988-20</w:t>
      </w:r>
      <w:r w:rsidR="00EE63F0">
        <w:t>20</w:t>
      </w:r>
      <w:r w:rsidR="00510C21" w:rsidRPr="009F6D1E">
        <w:t>г.</w:t>
      </w:r>
      <w:bookmarkEnd w:id="153"/>
      <w:bookmarkEnd w:id="154"/>
      <w:bookmarkEnd w:id="155"/>
      <w:bookmarkEnd w:id="156"/>
    </w:p>
    <w:p w14:paraId="67A8D69D" w14:textId="77777777" w:rsidR="00EE63F0" w:rsidRPr="00EE63F0" w:rsidRDefault="00EE63F0" w:rsidP="00EE63F0">
      <w:pPr>
        <w:spacing w:after="60" w:line="264" w:lineRule="auto"/>
        <w:ind w:firstLine="709"/>
        <w:jc w:val="both"/>
        <w:rPr>
          <w:rFonts w:cs="Times New Roman"/>
          <w:szCs w:val="24"/>
        </w:rPr>
      </w:pPr>
      <w:r w:rsidRPr="00EE63F0">
        <w:rPr>
          <w:rFonts w:cs="Times New Roman"/>
          <w:szCs w:val="24"/>
        </w:rPr>
        <w:t>През 2020 г. средната годишна температура за ниската част от страната е 13.0 °С, което е с 1.1 °С над нормата. Това е втората най-топла година през периода 1988 – 2020 г., а месец декември е най-топлият за целия период – средно 3.2 °С над месечната норма (от +1.8 °С в Грамада и Белоградчик до +4.6 °С в Божурище). </w:t>
      </w:r>
    </w:p>
    <w:p w14:paraId="533E332E" w14:textId="278DDC0C" w:rsidR="00EE63F0" w:rsidRDefault="00EE63F0" w:rsidP="00EE63F0">
      <w:pPr>
        <w:spacing w:after="60" w:line="264" w:lineRule="auto"/>
        <w:ind w:firstLine="709"/>
        <w:jc w:val="both"/>
        <w:rPr>
          <w:rFonts w:cs="Times New Roman"/>
          <w:szCs w:val="24"/>
        </w:rPr>
      </w:pPr>
      <w:r w:rsidRPr="00EE63F0">
        <w:rPr>
          <w:rFonts w:cs="Times New Roman"/>
          <w:szCs w:val="24"/>
        </w:rPr>
        <w:t xml:space="preserve">Пространственото разпределение на аномалията на средната годишна температура по административни области (за районите с н. в. до 800 m) е представено на </w:t>
      </w:r>
      <w:r w:rsidRPr="00EE63F0">
        <w:rPr>
          <w:rFonts w:cs="Times New Roman"/>
          <w:szCs w:val="24"/>
        </w:rPr>
        <w:fldChar w:fldCharType="begin"/>
      </w:r>
      <w:r w:rsidRPr="00EE63F0">
        <w:rPr>
          <w:rFonts w:cs="Times New Roman"/>
          <w:szCs w:val="24"/>
        </w:rPr>
        <w:instrText xml:space="preserve"> REF _Ref105160951 \h  \* MERGEFORMAT </w:instrText>
      </w:r>
      <w:r w:rsidRPr="00EE63F0">
        <w:rPr>
          <w:rFonts w:cs="Times New Roman"/>
          <w:szCs w:val="24"/>
        </w:rPr>
      </w:r>
      <w:r w:rsidRPr="00EE63F0">
        <w:rPr>
          <w:rFonts w:cs="Times New Roman"/>
          <w:szCs w:val="24"/>
        </w:rPr>
        <w:fldChar w:fldCharType="separate"/>
      </w:r>
      <w:r w:rsidR="00A43EF3" w:rsidRPr="00A43EF3">
        <w:rPr>
          <w:rFonts w:cs="Times New Roman"/>
          <w:szCs w:val="24"/>
        </w:rPr>
        <w:t>Фигура 3</w:t>
      </w:r>
      <w:r w:rsidRPr="00EE63F0">
        <w:rPr>
          <w:rFonts w:cs="Times New Roman"/>
          <w:szCs w:val="24"/>
        </w:rPr>
        <w:fldChar w:fldCharType="end"/>
      </w:r>
      <w:r w:rsidRPr="00EE63F0">
        <w:rPr>
          <w:rFonts w:cs="Times New Roman"/>
          <w:szCs w:val="24"/>
        </w:rPr>
        <w:t>. Отклоненията от нормата са най-големи в Североизточна България (+1.6 °С в областите Силистра и Варна), а най-малки – в областите Кюстендил, Благоевград и Габрово (+0.5 °С).</w:t>
      </w:r>
    </w:p>
    <w:p w14:paraId="305EA50F" w14:textId="5B8652B0" w:rsidR="00EE63F0" w:rsidRPr="00EE63F0" w:rsidRDefault="000E74A6" w:rsidP="000E74A6">
      <w:pPr>
        <w:spacing w:after="60" w:line="264" w:lineRule="auto"/>
        <w:ind w:firstLine="709"/>
        <w:jc w:val="center"/>
        <w:rPr>
          <w:rFonts w:cs="Times New Roman"/>
          <w:szCs w:val="24"/>
        </w:rPr>
      </w:pPr>
      <w:r w:rsidRPr="000E74A6">
        <w:rPr>
          <w:rFonts w:cs="Times New Roman"/>
          <w:noProof/>
          <w:szCs w:val="24"/>
          <w:lang w:val="en-US"/>
        </w:rPr>
        <w:lastRenderedPageBreak/>
        <w:drawing>
          <wp:inline distT="0" distB="0" distL="0" distR="0" wp14:anchorId="4B1F0CC4" wp14:editId="0139AB73">
            <wp:extent cx="5311600" cy="3284505"/>
            <wp:effectExtent l="0" t="0" r="381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11600" cy="3284505"/>
                    </a:xfrm>
                    <a:prstGeom prst="rect">
                      <a:avLst/>
                    </a:prstGeom>
                  </pic:spPr>
                </pic:pic>
              </a:graphicData>
            </a:graphic>
          </wp:inline>
        </w:drawing>
      </w:r>
    </w:p>
    <w:p w14:paraId="1BC75FD3" w14:textId="77777777" w:rsidR="00510C21" w:rsidRPr="009F6D1E" w:rsidRDefault="00510C21" w:rsidP="0084747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p>
    <w:p w14:paraId="4AB3D9C6" w14:textId="4D5CF142" w:rsidR="00510C21" w:rsidRPr="009F6D1E" w:rsidRDefault="00A62591" w:rsidP="0084747F">
      <w:pPr>
        <w:pStyle w:val="Caption"/>
        <w:spacing w:after="60" w:line="264" w:lineRule="auto"/>
      </w:pPr>
      <w:bookmarkStart w:id="157" w:name="_Ref105160951"/>
      <w:bookmarkStart w:id="158" w:name="_Toc54967932"/>
      <w:bookmarkStart w:id="159" w:name="_Toc86755041"/>
      <w:bookmarkStart w:id="160" w:name="_Toc97396192"/>
      <w:bookmarkStart w:id="161" w:name="_Toc115255064"/>
      <w:r w:rsidRPr="009F6D1E">
        <w:t xml:space="preserve">Фигура </w:t>
      </w:r>
      <w:fldSimple w:instr=" SEQ Фигура \* ARABIC ">
        <w:r w:rsidR="00A43EF3">
          <w:rPr>
            <w:noProof/>
          </w:rPr>
          <w:t>3</w:t>
        </w:r>
      </w:fldSimple>
      <w:bookmarkEnd w:id="157"/>
      <w:r w:rsidRPr="009F6D1E">
        <w:t xml:space="preserve">: </w:t>
      </w:r>
      <w:r w:rsidR="00510C21" w:rsidRPr="009F6D1E">
        <w:t>Отклонения на средната годишна температура на въздуха (в °С) през 20</w:t>
      </w:r>
      <w:r w:rsidR="000E74A6">
        <w:t>20</w:t>
      </w:r>
      <w:r w:rsidR="00510C21" w:rsidRPr="009F6D1E">
        <w:t xml:space="preserve"> г. спрямо климатичните норми 1961-1990 г.</w:t>
      </w:r>
      <w:bookmarkEnd w:id="158"/>
      <w:bookmarkEnd w:id="159"/>
      <w:bookmarkEnd w:id="160"/>
      <w:bookmarkEnd w:id="161"/>
    </w:p>
    <w:p w14:paraId="70B65CA4" w14:textId="77777777" w:rsidR="00510C21" w:rsidRPr="009F6D1E" w:rsidRDefault="00510C21" w:rsidP="0084747F">
      <w:pPr>
        <w:spacing w:after="60" w:line="264" w:lineRule="auto"/>
        <w:ind w:firstLine="709"/>
        <w:jc w:val="both"/>
        <w:rPr>
          <w:rFonts w:cs="Times New Roman"/>
          <w:i/>
          <w:iCs/>
          <w:szCs w:val="24"/>
          <w:u w:val="single"/>
        </w:rPr>
      </w:pPr>
      <w:r w:rsidRPr="009F6D1E">
        <w:rPr>
          <w:rFonts w:cs="Times New Roman"/>
          <w:i/>
          <w:iCs/>
          <w:szCs w:val="24"/>
          <w:u w:val="single"/>
        </w:rPr>
        <w:t>Годишни и максимални денонощни валежи</w:t>
      </w:r>
    </w:p>
    <w:p w14:paraId="1F0CE602" w14:textId="2A41EE12" w:rsidR="00510C21" w:rsidRPr="000E74A6" w:rsidRDefault="000E74A6" w:rsidP="0084747F">
      <w:pPr>
        <w:spacing w:after="60" w:line="264" w:lineRule="auto"/>
        <w:ind w:firstLine="851"/>
        <w:jc w:val="both"/>
        <w:rPr>
          <w:rFonts w:cs="Times New Roman"/>
          <w:szCs w:val="24"/>
        </w:rPr>
      </w:pPr>
      <w:r w:rsidRPr="000E74A6">
        <w:rPr>
          <w:rFonts w:cs="Times New Roman"/>
          <w:szCs w:val="24"/>
        </w:rPr>
        <w:t>В периода 1988 – 2020 г. средната за районите с н. в. до 800 m годишна сума на валежа се изменя в границите от 377 mm до 1013 mm (</w:t>
      </w:r>
      <w:r w:rsidRPr="000E74A6">
        <w:rPr>
          <w:rFonts w:cs="Times New Roman"/>
          <w:szCs w:val="24"/>
        </w:rPr>
        <w:fldChar w:fldCharType="begin"/>
      </w:r>
      <w:r w:rsidRPr="000E74A6">
        <w:rPr>
          <w:rFonts w:cs="Times New Roman"/>
          <w:szCs w:val="24"/>
        </w:rPr>
        <w:instrText xml:space="preserve"> REF _Ref107163725 \h  \* MERGEFORMAT </w:instrText>
      </w:r>
      <w:r w:rsidRPr="000E74A6">
        <w:rPr>
          <w:rFonts w:cs="Times New Roman"/>
          <w:szCs w:val="24"/>
        </w:rPr>
      </w:r>
      <w:r w:rsidRPr="000E74A6">
        <w:rPr>
          <w:rFonts w:cs="Times New Roman"/>
          <w:szCs w:val="24"/>
        </w:rPr>
        <w:fldChar w:fldCharType="separate"/>
      </w:r>
      <w:r w:rsidR="00A43EF3" w:rsidRPr="00A43EF3">
        <w:rPr>
          <w:rFonts w:cs="Times New Roman"/>
          <w:szCs w:val="24"/>
        </w:rPr>
        <w:t>Фигура 4</w:t>
      </w:r>
      <w:r w:rsidRPr="000E74A6">
        <w:rPr>
          <w:rFonts w:cs="Times New Roman"/>
          <w:szCs w:val="24"/>
        </w:rPr>
        <w:fldChar w:fldCharType="end"/>
      </w:r>
      <w:r w:rsidRPr="000E74A6">
        <w:rPr>
          <w:rFonts w:cs="Times New Roman"/>
          <w:szCs w:val="24"/>
        </w:rPr>
        <w:t>), като се запазва положителната тенденция на изменение на този индикатор (+3.9 mm/</w:t>
      </w:r>
      <w:proofErr w:type="spellStart"/>
      <w:r w:rsidRPr="000E74A6">
        <w:rPr>
          <w:rFonts w:cs="Times New Roman"/>
          <w:szCs w:val="24"/>
        </w:rPr>
        <w:t>год</w:t>
      </w:r>
      <w:proofErr w:type="spellEnd"/>
      <w:r w:rsidRPr="000E74A6">
        <w:rPr>
          <w:rFonts w:cs="Times New Roman"/>
          <w:szCs w:val="24"/>
        </w:rPr>
        <w:t>). През 2020 г. средната годишна сума на валежа е 574 mm, което е с около 10% под нормата за периода 1991–2020 г.</w:t>
      </w:r>
      <w:r w:rsidR="00510C21" w:rsidRPr="000E74A6">
        <w:rPr>
          <w:rFonts w:cs="Times New Roman"/>
          <w:szCs w:val="24"/>
        </w:rPr>
        <w:t xml:space="preserve"> </w:t>
      </w:r>
    </w:p>
    <w:p w14:paraId="4CE099E4" w14:textId="21051F4D" w:rsidR="00510C21" w:rsidRPr="009F6D1E" w:rsidRDefault="000E74A6" w:rsidP="0084747F">
      <w:pPr>
        <w:spacing w:after="60" w:line="264" w:lineRule="auto"/>
        <w:jc w:val="center"/>
        <w:rPr>
          <w:rFonts w:eastAsia="Times New Roman" w:cs="Times New Roman"/>
          <w:color w:val="BF8F00" w:themeColor="accent4" w:themeShade="BF"/>
          <w:szCs w:val="24"/>
          <w:lang w:bidi="bg-BG"/>
        </w:rPr>
      </w:pPr>
      <w:r w:rsidRPr="000E74A6">
        <w:rPr>
          <w:rFonts w:eastAsia="Times New Roman" w:cs="Times New Roman"/>
          <w:noProof/>
          <w:color w:val="BF8F00" w:themeColor="accent4" w:themeShade="BF"/>
          <w:szCs w:val="24"/>
          <w:lang w:val="en-US"/>
        </w:rPr>
        <w:drawing>
          <wp:inline distT="0" distB="0" distL="0" distR="0" wp14:anchorId="5C8E835F" wp14:editId="6252A867">
            <wp:extent cx="5601185" cy="2377646"/>
            <wp:effectExtent l="0" t="0" r="0" b="381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01185" cy="2377646"/>
                    </a:xfrm>
                    <a:prstGeom prst="rect">
                      <a:avLst/>
                    </a:prstGeom>
                  </pic:spPr>
                </pic:pic>
              </a:graphicData>
            </a:graphic>
          </wp:inline>
        </w:drawing>
      </w:r>
    </w:p>
    <w:p w14:paraId="5F7C9E63" w14:textId="77777777" w:rsidR="00383E85" w:rsidRPr="009F6D1E" w:rsidRDefault="00510C21" w:rsidP="00383E85">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bookmarkStart w:id="162" w:name="_Toc54967933"/>
      <w:bookmarkStart w:id="163" w:name="_Toc86755042"/>
      <w:bookmarkStart w:id="164" w:name="_Toc97396193"/>
    </w:p>
    <w:p w14:paraId="4AD51EA5" w14:textId="11C3AF60" w:rsidR="00510C21" w:rsidRPr="009F6D1E" w:rsidRDefault="00383E85" w:rsidP="00383E85">
      <w:pPr>
        <w:pStyle w:val="Caption"/>
        <w:rPr>
          <w:color w:val="auto"/>
        </w:rPr>
      </w:pPr>
      <w:bookmarkStart w:id="165" w:name="_Ref107163725"/>
      <w:bookmarkStart w:id="166" w:name="_Toc115255065"/>
      <w:r w:rsidRPr="009F6D1E">
        <w:t xml:space="preserve">Фигура </w:t>
      </w:r>
      <w:fldSimple w:instr=" SEQ Фигура \* ARABIC ">
        <w:r w:rsidR="00A43EF3">
          <w:rPr>
            <w:noProof/>
          </w:rPr>
          <w:t>4</w:t>
        </w:r>
      </w:fldSimple>
      <w:bookmarkEnd w:id="165"/>
      <w:r w:rsidRPr="009F6D1E">
        <w:t xml:space="preserve">: </w:t>
      </w:r>
      <w:r w:rsidR="00510C21" w:rsidRPr="009F6D1E">
        <w:rPr>
          <w:color w:val="auto"/>
        </w:rPr>
        <w:t xml:space="preserve"> Колебания на средногодишната сума на валежа (в mm) в периода 1988-</w:t>
      </w:r>
      <w:bookmarkEnd w:id="162"/>
      <w:r w:rsidR="00510C21" w:rsidRPr="009F6D1E">
        <w:rPr>
          <w:color w:val="auto"/>
        </w:rPr>
        <w:t>20</w:t>
      </w:r>
      <w:r w:rsidR="000E74A6">
        <w:rPr>
          <w:color w:val="auto"/>
        </w:rPr>
        <w:t>20</w:t>
      </w:r>
      <w:r w:rsidR="00510C21" w:rsidRPr="009F6D1E">
        <w:rPr>
          <w:color w:val="auto"/>
        </w:rPr>
        <w:t>г.</w:t>
      </w:r>
      <w:bookmarkEnd w:id="163"/>
      <w:bookmarkEnd w:id="164"/>
      <w:bookmarkEnd w:id="166"/>
    </w:p>
    <w:p w14:paraId="00529CA5" w14:textId="0F454635" w:rsidR="000E74A6" w:rsidRPr="000E74A6" w:rsidRDefault="000E74A6" w:rsidP="000E74A6">
      <w:pPr>
        <w:shd w:val="clear" w:color="auto" w:fill="FFFFFF"/>
        <w:spacing w:after="0" w:line="240" w:lineRule="auto"/>
        <w:jc w:val="both"/>
        <w:rPr>
          <w:rFonts w:cs="Times New Roman"/>
          <w:szCs w:val="24"/>
        </w:rPr>
      </w:pPr>
      <w:r w:rsidRPr="000E74A6">
        <w:rPr>
          <w:rFonts w:cs="Times New Roman"/>
          <w:szCs w:val="24"/>
        </w:rPr>
        <w:lastRenderedPageBreak/>
        <w:t xml:space="preserve">По административни области средната годишна сума на валежа варира от 72% (в област Шумен) до 130% от нормата (в област Перник) – </w:t>
      </w:r>
      <w:r w:rsidRPr="000E74A6">
        <w:rPr>
          <w:rFonts w:cs="Times New Roman"/>
          <w:szCs w:val="24"/>
        </w:rPr>
        <w:fldChar w:fldCharType="begin"/>
      </w:r>
      <w:r w:rsidRPr="000E74A6">
        <w:rPr>
          <w:rFonts w:cs="Times New Roman"/>
          <w:szCs w:val="24"/>
        </w:rPr>
        <w:instrText xml:space="preserve"> REF _Ref107164092 \h  \* MERGEFORMAT </w:instrText>
      </w:r>
      <w:r w:rsidRPr="000E74A6">
        <w:rPr>
          <w:rFonts w:cs="Times New Roman"/>
          <w:szCs w:val="24"/>
        </w:rPr>
      </w:r>
      <w:r w:rsidRPr="000E74A6">
        <w:rPr>
          <w:rFonts w:cs="Times New Roman"/>
          <w:szCs w:val="24"/>
        </w:rPr>
        <w:fldChar w:fldCharType="separate"/>
      </w:r>
      <w:r w:rsidR="00A43EF3" w:rsidRPr="00A43EF3">
        <w:rPr>
          <w:rFonts w:cs="Times New Roman"/>
          <w:szCs w:val="24"/>
        </w:rPr>
        <w:t>Фигура 5</w:t>
      </w:r>
      <w:r w:rsidRPr="000E74A6">
        <w:rPr>
          <w:rFonts w:cs="Times New Roman"/>
          <w:szCs w:val="24"/>
        </w:rPr>
        <w:fldChar w:fldCharType="end"/>
      </w:r>
      <w:r w:rsidRPr="000E74A6">
        <w:rPr>
          <w:rFonts w:cs="Times New Roman"/>
          <w:szCs w:val="24"/>
        </w:rPr>
        <w:t>. По станции годишният валеж се колебае от 60% (Ахтопол) до 139% от нормата (Трън). Средно за страната най-валежните месеци са декември и март, съответно 150% и 147% от месечната норма, а най-сух е януари – 18% от месечната норма. </w:t>
      </w:r>
    </w:p>
    <w:p w14:paraId="3C5B84D2" w14:textId="528C3502" w:rsidR="000E74A6" w:rsidRPr="000E74A6" w:rsidRDefault="000E74A6" w:rsidP="000E74A6">
      <w:pPr>
        <w:shd w:val="clear" w:color="auto" w:fill="FFFFFF"/>
        <w:spacing w:after="0" w:line="240" w:lineRule="auto"/>
        <w:jc w:val="both"/>
        <w:rPr>
          <w:rFonts w:cs="Times New Roman"/>
          <w:szCs w:val="24"/>
        </w:rPr>
      </w:pPr>
      <w:r w:rsidRPr="000E74A6">
        <w:rPr>
          <w:rFonts w:cs="Times New Roman"/>
          <w:szCs w:val="24"/>
        </w:rPr>
        <w:t>През 2020 г. в отделни станции и райони месечната сума на валежа превишава около и над три пъти месечната норма: в Трън – 290% през март; в Крумовград – 302% през април; в Генерал Тошево – 305% през юни; в Благоевград – 425% и Сандански – 360% през август; в Съдиево – 321% през декември.</w:t>
      </w:r>
    </w:p>
    <w:p w14:paraId="7F278BD6" w14:textId="77777777" w:rsidR="000E74A6" w:rsidRDefault="000E74A6" w:rsidP="0084747F">
      <w:pPr>
        <w:spacing w:after="60" w:line="264" w:lineRule="auto"/>
        <w:ind w:firstLine="851"/>
        <w:jc w:val="both"/>
        <w:rPr>
          <w:rFonts w:cs="Times New Roman"/>
          <w:color w:val="auto"/>
          <w:szCs w:val="24"/>
        </w:rPr>
      </w:pPr>
    </w:p>
    <w:p w14:paraId="6B56909F" w14:textId="681F7ED0" w:rsidR="00510C21" w:rsidRPr="009F6D1E" w:rsidRDefault="000E74A6" w:rsidP="0084747F">
      <w:pPr>
        <w:spacing w:after="60" w:line="264" w:lineRule="auto"/>
        <w:jc w:val="center"/>
        <w:rPr>
          <w:rFonts w:eastAsia="Times New Roman" w:cs="Times New Roman"/>
          <w:color w:val="BF8F00" w:themeColor="accent4" w:themeShade="BF"/>
          <w:szCs w:val="24"/>
          <w:lang w:bidi="bg-BG"/>
        </w:rPr>
      </w:pPr>
      <w:r w:rsidRPr="000E74A6">
        <w:rPr>
          <w:rFonts w:eastAsia="Times New Roman" w:cs="Times New Roman"/>
          <w:noProof/>
          <w:color w:val="BF8F00" w:themeColor="accent4" w:themeShade="BF"/>
          <w:szCs w:val="24"/>
          <w:lang w:val="en-US"/>
        </w:rPr>
        <w:drawing>
          <wp:inline distT="0" distB="0" distL="0" distR="0" wp14:anchorId="1B50DB83" wp14:editId="0802044A">
            <wp:extent cx="5387807" cy="3391194"/>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87807" cy="3391194"/>
                    </a:xfrm>
                    <a:prstGeom prst="rect">
                      <a:avLst/>
                    </a:prstGeom>
                  </pic:spPr>
                </pic:pic>
              </a:graphicData>
            </a:graphic>
          </wp:inline>
        </w:drawing>
      </w:r>
    </w:p>
    <w:p w14:paraId="72F72349" w14:textId="77777777" w:rsidR="00510C21" w:rsidRPr="009F6D1E" w:rsidRDefault="00510C21" w:rsidP="0084747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p>
    <w:p w14:paraId="0E11ADB8" w14:textId="6ED78EA0" w:rsidR="00510C21" w:rsidRPr="009F6D1E" w:rsidRDefault="00E82EB2" w:rsidP="00E82EB2">
      <w:pPr>
        <w:pStyle w:val="Caption"/>
        <w:rPr>
          <w:color w:val="auto"/>
        </w:rPr>
      </w:pPr>
      <w:bookmarkStart w:id="167" w:name="_Ref107164092"/>
      <w:bookmarkStart w:id="168" w:name="_Toc54967934"/>
      <w:bookmarkStart w:id="169" w:name="_Toc86755043"/>
      <w:bookmarkStart w:id="170" w:name="_Toc97396194"/>
      <w:bookmarkStart w:id="171" w:name="_Toc115255066"/>
      <w:r w:rsidRPr="009F6D1E">
        <w:t xml:space="preserve">Фигура </w:t>
      </w:r>
      <w:fldSimple w:instr=" SEQ Фигура \* ARABIC ">
        <w:r w:rsidR="00A43EF3">
          <w:rPr>
            <w:noProof/>
          </w:rPr>
          <w:t>5</w:t>
        </w:r>
      </w:fldSimple>
      <w:bookmarkEnd w:id="167"/>
      <w:r w:rsidRPr="009F6D1E">
        <w:t xml:space="preserve">: </w:t>
      </w:r>
      <w:r w:rsidR="00510C21" w:rsidRPr="009F6D1E">
        <w:rPr>
          <w:rFonts w:eastAsia="Times New Roman"/>
          <w:smallCaps/>
          <w:color w:val="BF8F00" w:themeColor="accent4" w:themeShade="BF"/>
        </w:rPr>
        <w:t xml:space="preserve"> </w:t>
      </w:r>
      <w:r w:rsidR="00510C21" w:rsidRPr="009F6D1E">
        <w:rPr>
          <w:color w:val="auto"/>
        </w:rPr>
        <w:t>Отклонения на годишния валеж в % през 20</w:t>
      </w:r>
      <w:r w:rsidR="000E74A6">
        <w:rPr>
          <w:color w:val="auto"/>
        </w:rPr>
        <w:t>20</w:t>
      </w:r>
      <w:r w:rsidR="00510C21" w:rsidRPr="009F6D1E">
        <w:rPr>
          <w:color w:val="auto"/>
        </w:rPr>
        <w:t xml:space="preserve"> г. спрямо климатичните норми 1961-1990 г.</w:t>
      </w:r>
      <w:bookmarkEnd w:id="168"/>
      <w:bookmarkEnd w:id="169"/>
      <w:bookmarkEnd w:id="170"/>
      <w:bookmarkEnd w:id="171"/>
    </w:p>
    <w:p w14:paraId="57422B9B" w14:textId="1459954B" w:rsidR="00510C21" w:rsidRPr="000E74A6" w:rsidRDefault="000E74A6" w:rsidP="000E74A6">
      <w:pPr>
        <w:spacing w:after="60" w:line="264" w:lineRule="auto"/>
        <w:ind w:firstLine="851"/>
        <w:jc w:val="both"/>
        <w:rPr>
          <w:rFonts w:eastAsia="Times New Roman" w:cs="Times New Roman"/>
          <w:szCs w:val="24"/>
          <w:lang w:bidi="bg-BG"/>
        </w:rPr>
      </w:pPr>
      <w:r w:rsidRPr="000E74A6">
        <w:rPr>
          <w:rFonts w:eastAsia="Times New Roman" w:cs="Times New Roman"/>
          <w:szCs w:val="24"/>
          <w:lang w:bidi="bg-BG"/>
        </w:rPr>
        <w:t>Като цяло в периода 1988 – 2020 г. се установява нарастваща тенденция в колебанията на максималния 24-часов валеж в районите с н. в. до 800 m. На 10.12.2020 г. в Златоград, област Смолян, е измерен най-големият 24-часов валеж за годината – 168 mm , което е с 30%  над месечната норма.</w:t>
      </w:r>
    </w:p>
    <w:p w14:paraId="47288453"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Снежната покривка</w:t>
      </w:r>
    </w:p>
    <w:p w14:paraId="62764516" w14:textId="4303F940" w:rsidR="00B12F91" w:rsidRDefault="00B12F91" w:rsidP="0084747F">
      <w:pPr>
        <w:spacing w:after="60" w:line="264" w:lineRule="auto"/>
        <w:ind w:firstLine="851"/>
        <w:jc w:val="both"/>
        <w:rPr>
          <w:rFonts w:eastAsia="Times New Roman" w:cs="Times New Roman"/>
          <w:szCs w:val="24"/>
          <w:lang w:bidi="bg-BG"/>
        </w:rPr>
      </w:pPr>
      <w:r w:rsidRPr="00B12F91">
        <w:rPr>
          <w:rFonts w:eastAsia="Times New Roman" w:cs="Times New Roman"/>
          <w:szCs w:val="24"/>
          <w:lang w:bidi="bg-BG"/>
        </w:rPr>
        <w:t>В периода 1988 – 2020 г. не се наблюдава отчетлива намаляваща тенденция в колебанията на средната максимална височина на снежната покривка в районите с надморска височина 800-1800 m. Стойността на този показател за 2020 г. е 41 cm – под средното за периода 1988 – 2020 г. Максималната за сезона височина на снежната покривка е измерена на 08.02.2020 г. в района на с. Манастир, област Пловдив – 105 cm.</w:t>
      </w:r>
    </w:p>
    <w:p w14:paraId="7A33D728"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lastRenderedPageBreak/>
        <w:t>Климатични явления</w:t>
      </w:r>
    </w:p>
    <w:p w14:paraId="73152705" w14:textId="48CB2C0B" w:rsidR="00B12F91" w:rsidRPr="009F6D1E" w:rsidRDefault="00B12F91" w:rsidP="0084747F">
      <w:pPr>
        <w:spacing w:after="60" w:line="264" w:lineRule="auto"/>
        <w:ind w:firstLine="851"/>
        <w:jc w:val="both"/>
        <w:rPr>
          <w:rFonts w:eastAsia="Times New Roman" w:cs="Times New Roman"/>
          <w:szCs w:val="24"/>
          <w:lang w:bidi="bg-BG"/>
        </w:rPr>
      </w:pPr>
      <w:r w:rsidRPr="00B12F91">
        <w:rPr>
          <w:rFonts w:eastAsia="Times New Roman" w:cs="Times New Roman"/>
          <w:szCs w:val="24"/>
          <w:lang w:bidi="bg-BG"/>
        </w:rPr>
        <w:t xml:space="preserve">През май, юни, юли и първата половина на август 2020 г., предимно в западните и централните части на страната бяха регистрирани силни гръмотевични бури, придружени от поройни дъждове, градушки и бурни ветрове, които предизвикаха локални наводнения, повреди по пътищата и електропреносната мрежа. В източната половина на страната валежите в периода юли-септември бяха значително под нормата, което доведе до тежко засушаване в някои райони. Продължителните </w:t>
      </w:r>
      <w:proofErr w:type="spellStart"/>
      <w:r w:rsidRPr="00B12F91">
        <w:rPr>
          <w:rFonts w:eastAsia="Times New Roman" w:cs="Times New Roman"/>
          <w:szCs w:val="24"/>
          <w:lang w:bidi="bg-BG"/>
        </w:rPr>
        <w:t>безвалежни</w:t>
      </w:r>
      <w:proofErr w:type="spellEnd"/>
      <w:r w:rsidRPr="00B12F91">
        <w:rPr>
          <w:rFonts w:eastAsia="Times New Roman" w:cs="Times New Roman"/>
          <w:szCs w:val="24"/>
          <w:lang w:bidi="bg-BG"/>
        </w:rPr>
        <w:t xml:space="preserve"> периоди, съчетани с високи температури и на места със силен, поривист вятър, увеличиха значително риска от пожари, особено в областите Кърджали, Хасково и Ямбол.</w:t>
      </w:r>
    </w:p>
    <w:p w14:paraId="61A2B087"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Емисии на парникови газове</w:t>
      </w:r>
    </w:p>
    <w:p w14:paraId="395B1E49" w14:textId="77777777"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Като страна по Рамковата конвенция на Обединените нации по изменение на климата (РКОНИК), България има задължението да провежда ежегодни инвентаризации на емисиите на парникови газове по източници и </w:t>
      </w:r>
      <w:proofErr w:type="spellStart"/>
      <w:r w:rsidRPr="009F6D1E">
        <w:rPr>
          <w:rFonts w:eastAsia="Times New Roman" w:cs="Times New Roman"/>
          <w:szCs w:val="24"/>
          <w:lang w:bidi="bg-BG"/>
        </w:rPr>
        <w:t>поглътители</w:t>
      </w:r>
      <w:proofErr w:type="spellEnd"/>
      <w:r w:rsidRPr="009F6D1E">
        <w:rPr>
          <w:rFonts w:eastAsia="Times New Roman" w:cs="Times New Roman"/>
          <w:szCs w:val="24"/>
          <w:lang w:bidi="bg-BG"/>
        </w:rPr>
        <w:t>, съгласно утвърдената от РКОНИК методология. Инвентаризациите обхващат емисиите на основните парникови газове: въглероден диоксид (СО</w:t>
      </w:r>
      <w:r w:rsidRPr="009F6D1E">
        <w:rPr>
          <w:rFonts w:eastAsia="Times New Roman" w:cs="Times New Roman"/>
          <w:szCs w:val="24"/>
          <w:vertAlign w:val="subscript"/>
          <w:lang w:bidi="bg-BG"/>
        </w:rPr>
        <w:t>2</w:t>
      </w:r>
      <w:r w:rsidRPr="009F6D1E">
        <w:rPr>
          <w:rFonts w:eastAsia="Times New Roman" w:cs="Times New Roman"/>
          <w:szCs w:val="24"/>
          <w:lang w:bidi="bg-BG"/>
        </w:rPr>
        <w:t>), метан (CH</w:t>
      </w:r>
      <w:r w:rsidRPr="009F6D1E">
        <w:rPr>
          <w:rFonts w:eastAsia="Times New Roman" w:cs="Times New Roman"/>
          <w:szCs w:val="24"/>
          <w:vertAlign w:val="subscript"/>
          <w:lang w:bidi="bg-BG"/>
        </w:rPr>
        <w:t>4</w:t>
      </w:r>
      <w:r w:rsidRPr="009F6D1E">
        <w:rPr>
          <w:rFonts w:eastAsia="Times New Roman" w:cs="Times New Roman"/>
          <w:szCs w:val="24"/>
          <w:lang w:bidi="bg-BG"/>
        </w:rPr>
        <w:t xml:space="preserve">), </w:t>
      </w:r>
      <w:proofErr w:type="spellStart"/>
      <w:r w:rsidRPr="009F6D1E">
        <w:rPr>
          <w:rFonts w:eastAsia="Times New Roman" w:cs="Times New Roman"/>
          <w:szCs w:val="24"/>
          <w:lang w:bidi="bg-BG"/>
        </w:rPr>
        <w:t>диазотен</w:t>
      </w:r>
      <w:proofErr w:type="spellEnd"/>
      <w:r w:rsidRPr="009F6D1E">
        <w:rPr>
          <w:rFonts w:eastAsia="Times New Roman" w:cs="Times New Roman"/>
          <w:szCs w:val="24"/>
          <w:lang w:bidi="bg-BG"/>
        </w:rPr>
        <w:t xml:space="preserve"> оксид (N</w:t>
      </w:r>
      <w:r w:rsidRPr="009F6D1E">
        <w:rPr>
          <w:rFonts w:eastAsia="Times New Roman" w:cs="Times New Roman"/>
          <w:szCs w:val="24"/>
          <w:vertAlign w:val="subscript"/>
          <w:lang w:bidi="bg-BG"/>
        </w:rPr>
        <w:t>2</w:t>
      </w:r>
      <w:r w:rsidRPr="009F6D1E">
        <w:rPr>
          <w:rFonts w:eastAsia="Times New Roman" w:cs="Times New Roman"/>
          <w:szCs w:val="24"/>
          <w:lang w:bidi="bg-BG"/>
        </w:rPr>
        <w:t xml:space="preserve">O), </w:t>
      </w:r>
      <w:proofErr w:type="spellStart"/>
      <w:r w:rsidRPr="009F6D1E">
        <w:rPr>
          <w:rFonts w:eastAsia="Times New Roman" w:cs="Times New Roman"/>
          <w:szCs w:val="24"/>
          <w:lang w:bidi="bg-BG"/>
        </w:rPr>
        <w:t>хидрофлуоркарбони</w:t>
      </w:r>
      <w:proofErr w:type="spellEnd"/>
      <w:r w:rsidRPr="009F6D1E">
        <w:rPr>
          <w:rFonts w:eastAsia="Times New Roman" w:cs="Times New Roman"/>
          <w:szCs w:val="24"/>
          <w:lang w:bidi="bg-BG"/>
        </w:rPr>
        <w:t xml:space="preserve"> (</w:t>
      </w:r>
      <w:proofErr w:type="spellStart"/>
      <w:r w:rsidRPr="009F6D1E">
        <w:rPr>
          <w:rFonts w:eastAsia="Times New Roman" w:cs="Times New Roman"/>
          <w:szCs w:val="24"/>
          <w:lang w:bidi="bg-BG"/>
        </w:rPr>
        <w:t>HFCs</w:t>
      </w:r>
      <w:proofErr w:type="spellEnd"/>
      <w:r w:rsidRPr="009F6D1E">
        <w:rPr>
          <w:rFonts w:eastAsia="Times New Roman" w:cs="Times New Roman"/>
          <w:szCs w:val="24"/>
          <w:lang w:bidi="bg-BG"/>
        </w:rPr>
        <w:t xml:space="preserve">), </w:t>
      </w:r>
      <w:proofErr w:type="spellStart"/>
      <w:r w:rsidRPr="009F6D1E">
        <w:rPr>
          <w:rFonts w:eastAsia="Times New Roman" w:cs="Times New Roman"/>
          <w:szCs w:val="24"/>
          <w:lang w:bidi="bg-BG"/>
        </w:rPr>
        <w:t>перфлуоркарбони</w:t>
      </w:r>
      <w:proofErr w:type="spellEnd"/>
      <w:r w:rsidRPr="009F6D1E">
        <w:rPr>
          <w:rFonts w:eastAsia="Times New Roman" w:cs="Times New Roman"/>
          <w:szCs w:val="24"/>
          <w:lang w:bidi="bg-BG"/>
        </w:rPr>
        <w:t xml:space="preserve"> (</w:t>
      </w:r>
      <w:proofErr w:type="spellStart"/>
      <w:r w:rsidRPr="009F6D1E">
        <w:rPr>
          <w:rFonts w:eastAsia="Times New Roman" w:cs="Times New Roman"/>
          <w:szCs w:val="24"/>
          <w:lang w:bidi="bg-BG"/>
        </w:rPr>
        <w:t>PFCs</w:t>
      </w:r>
      <w:proofErr w:type="spellEnd"/>
      <w:r w:rsidRPr="009F6D1E">
        <w:rPr>
          <w:rFonts w:eastAsia="Times New Roman" w:cs="Times New Roman"/>
          <w:szCs w:val="24"/>
          <w:lang w:bidi="bg-BG"/>
        </w:rPr>
        <w:t xml:space="preserve">) и серен </w:t>
      </w:r>
      <w:proofErr w:type="spellStart"/>
      <w:r w:rsidRPr="009F6D1E">
        <w:rPr>
          <w:rFonts w:eastAsia="Times New Roman" w:cs="Times New Roman"/>
          <w:szCs w:val="24"/>
          <w:lang w:bidi="bg-BG"/>
        </w:rPr>
        <w:t>хексафлуорид</w:t>
      </w:r>
      <w:proofErr w:type="spellEnd"/>
      <w:r w:rsidRPr="009F6D1E">
        <w:rPr>
          <w:rFonts w:eastAsia="Times New Roman" w:cs="Times New Roman"/>
          <w:szCs w:val="24"/>
          <w:lang w:bidi="bg-BG"/>
        </w:rPr>
        <w:t xml:space="preserve"> (SF</w:t>
      </w:r>
      <w:r w:rsidRPr="009F6D1E">
        <w:rPr>
          <w:rFonts w:eastAsia="Times New Roman" w:cs="Times New Roman"/>
          <w:szCs w:val="24"/>
          <w:vertAlign w:val="subscript"/>
          <w:lang w:bidi="bg-BG"/>
        </w:rPr>
        <w:t>6</w:t>
      </w:r>
      <w:r w:rsidRPr="009F6D1E">
        <w:rPr>
          <w:rFonts w:eastAsia="Times New Roman" w:cs="Times New Roman"/>
          <w:szCs w:val="24"/>
          <w:lang w:bidi="bg-BG"/>
        </w:rPr>
        <w:t>), както и предшественици (</w:t>
      </w:r>
      <w:proofErr w:type="spellStart"/>
      <w:r w:rsidRPr="009F6D1E">
        <w:rPr>
          <w:rFonts w:eastAsia="Times New Roman" w:cs="Times New Roman"/>
          <w:szCs w:val="24"/>
          <w:lang w:bidi="bg-BG"/>
        </w:rPr>
        <w:t>прекурсори</w:t>
      </w:r>
      <w:proofErr w:type="spellEnd"/>
      <w:r w:rsidRPr="009F6D1E">
        <w:rPr>
          <w:rFonts w:eastAsia="Times New Roman" w:cs="Times New Roman"/>
          <w:szCs w:val="24"/>
          <w:lang w:bidi="bg-BG"/>
        </w:rPr>
        <w:t>) на парниковите газове (</w:t>
      </w:r>
      <w:proofErr w:type="spellStart"/>
      <w:r w:rsidRPr="009F6D1E">
        <w:rPr>
          <w:rFonts w:eastAsia="Times New Roman" w:cs="Times New Roman"/>
          <w:szCs w:val="24"/>
          <w:lang w:bidi="bg-BG"/>
        </w:rPr>
        <w:t>NOx</w:t>
      </w:r>
      <w:proofErr w:type="spellEnd"/>
      <w:r w:rsidRPr="009F6D1E">
        <w:rPr>
          <w:rFonts w:eastAsia="Times New Roman" w:cs="Times New Roman"/>
          <w:szCs w:val="24"/>
          <w:lang w:bidi="bg-BG"/>
        </w:rPr>
        <w:t>, CO и NMVOC) и серен диоксид (SO</w:t>
      </w:r>
      <w:r w:rsidRPr="009F6D1E">
        <w:rPr>
          <w:rFonts w:eastAsia="Times New Roman" w:cs="Times New Roman"/>
          <w:szCs w:val="24"/>
          <w:vertAlign w:val="subscript"/>
          <w:lang w:bidi="bg-BG"/>
        </w:rPr>
        <w:t>2</w:t>
      </w:r>
      <w:r w:rsidRPr="009F6D1E">
        <w:rPr>
          <w:rFonts w:eastAsia="Times New Roman" w:cs="Times New Roman"/>
          <w:szCs w:val="24"/>
          <w:lang w:bidi="bg-BG"/>
        </w:rPr>
        <w:t>). За сравняване на различните ПГ, чрез различната им сила да ускоряват глобалното затопляне, от Междуправителственият комитет по изменение на климата (IPCC), е създаден индекс, наречен “потенциал за глобално затопляне” (ПГЗ). Въздействието на топлинната енергия на всички ПГ се сравнява с въздействието на СО</w:t>
      </w:r>
      <w:r w:rsidRPr="009F6D1E">
        <w:rPr>
          <w:rFonts w:eastAsia="Times New Roman" w:cs="Times New Roman"/>
          <w:szCs w:val="24"/>
          <w:vertAlign w:val="subscript"/>
          <w:lang w:bidi="bg-BG"/>
        </w:rPr>
        <w:t>2</w:t>
      </w:r>
      <w:r w:rsidRPr="009F6D1E">
        <w:rPr>
          <w:rFonts w:eastAsia="Times New Roman" w:cs="Times New Roman"/>
          <w:szCs w:val="24"/>
          <w:lang w:bidi="bg-BG"/>
        </w:rPr>
        <w:t xml:space="preserve"> (ПГЗ = 1) и се обозначава като СО</w:t>
      </w:r>
      <w:r w:rsidRPr="009F6D1E">
        <w:rPr>
          <w:rFonts w:eastAsia="Times New Roman" w:cs="Times New Roman"/>
          <w:szCs w:val="24"/>
          <w:vertAlign w:val="subscript"/>
          <w:lang w:bidi="bg-BG"/>
        </w:rPr>
        <w:t>2</w:t>
      </w:r>
      <w:r w:rsidRPr="009F6D1E">
        <w:rPr>
          <w:rFonts w:eastAsia="Times New Roman" w:cs="Times New Roman"/>
          <w:szCs w:val="24"/>
          <w:lang w:bidi="bg-BG"/>
        </w:rPr>
        <w:t xml:space="preserve"> еквивалент (CO</w:t>
      </w:r>
      <w:r w:rsidRPr="009F6D1E">
        <w:rPr>
          <w:rFonts w:eastAsia="Times New Roman" w:cs="Times New Roman"/>
          <w:szCs w:val="24"/>
          <w:vertAlign w:val="subscript"/>
          <w:lang w:bidi="bg-BG"/>
        </w:rPr>
        <w:t>2</w:t>
      </w:r>
      <w:r w:rsidRPr="009F6D1E">
        <w:rPr>
          <w:rFonts w:eastAsia="Times New Roman" w:cs="Times New Roman"/>
          <w:szCs w:val="24"/>
          <w:lang w:bidi="bg-BG"/>
        </w:rPr>
        <w:t xml:space="preserve"> - екв.).</w:t>
      </w:r>
    </w:p>
    <w:p w14:paraId="77A597EE"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Общи емисии на парникови газове</w:t>
      </w:r>
    </w:p>
    <w:p w14:paraId="6925E124" w14:textId="77777777" w:rsidR="00444070" w:rsidRPr="00444070" w:rsidRDefault="00444070" w:rsidP="0084747F">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 xml:space="preserve">Данните от инвентаризацията на емисиите на ПГ за 2020 г. показват, че общите емисии на ПГ в CO2 - екв. са 49 152,19 </w:t>
      </w:r>
      <w:proofErr w:type="spellStart"/>
      <w:r w:rsidRPr="00444070">
        <w:rPr>
          <w:rFonts w:eastAsia="Times New Roman" w:cs="Times New Roman"/>
          <w:szCs w:val="24"/>
          <w:lang w:bidi="bg-BG"/>
        </w:rPr>
        <w:t>гигаграма</w:t>
      </w:r>
      <w:proofErr w:type="spellEnd"/>
      <w:r w:rsidRPr="00444070">
        <w:rPr>
          <w:rFonts w:eastAsia="Times New Roman" w:cs="Times New Roman"/>
          <w:szCs w:val="24"/>
          <w:lang w:bidi="bg-BG"/>
        </w:rPr>
        <w:t xml:space="preserve"> (</w:t>
      </w:r>
      <w:proofErr w:type="spellStart"/>
      <w:r w:rsidRPr="00444070">
        <w:rPr>
          <w:rFonts w:eastAsia="Times New Roman" w:cs="Times New Roman"/>
          <w:szCs w:val="24"/>
          <w:lang w:bidi="bg-BG"/>
        </w:rPr>
        <w:t>Gg</w:t>
      </w:r>
      <w:proofErr w:type="spellEnd"/>
      <w:r w:rsidRPr="00444070">
        <w:rPr>
          <w:rFonts w:eastAsia="Times New Roman" w:cs="Times New Roman"/>
          <w:szCs w:val="24"/>
          <w:lang w:bidi="bg-BG"/>
        </w:rPr>
        <w:t>) без отчитане на поглъщането от сектор “</w:t>
      </w:r>
      <w:proofErr w:type="spellStart"/>
      <w:r w:rsidRPr="00444070">
        <w:rPr>
          <w:rFonts w:eastAsia="Times New Roman" w:cs="Times New Roman"/>
          <w:szCs w:val="24"/>
          <w:lang w:bidi="bg-BG"/>
        </w:rPr>
        <w:t>Земеползване</w:t>
      </w:r>
      <w:proofErr w:type="spellEnd"/>
      <w:r w:rsidRPr="00444070">
        <w:rPr>
          <w:rFonts w:eastAsia="Times New Roman" w:cs="Times New Roman"/>
          <w:szCs w:val="24"/>
          <w:lang w:bidi="bg-BG"/>
        </w:rPr>
        <w:t xml:space="preserve">, промяна в </w:t>
      </w:r>
      <w:proofErr w:type="spellStart"/>
      <w:r w:rsidRPr="00444070">
        <w:rPr>
          <w:rFonts w:eastAsia="Times New Roman" w:cs="Times New Roman"/>
          <w:szCs w:val="24"/>
          <w:lang w:bidi="bg-BG"/>
        </w:rPr>
        <w:t>земеползването</w:t>
      </w:r>
      <w:proofErr w:type="spellEnd"/>
      <w:r w:rsidRPr="00444070">
        <w:rPr>
          <w:rFonts w:eastAsia="Times New Roman" w:cs="Times New Roman"/>
          <w:szCs w:val="24"/>
          <w:lang w:bidi="bg-BG"/>
        </w:rPr>
        <w:t xml:space="preserve"> и горско стопанство” (ЗПЗГС). Нетните емисии (с отчитане на поглъщането от ЗПЗГС) са 39 385,72 </w:t>
      </w:r>
      <w:proofErr w:type="spellStart"/>
      <w:r w:rsidRPr="00444070">
        <w:rPr>
          <w:rFonts w:eastAsia="Times New Roman" w:cs="Times New Roman"/>
          <w:szCs w:val="24"/>
          <w:lang w:bidi="bg-BG"/>
        </w:rPr>
        <w:t>Gg</w:t>
      </w:r>
      <w:proofErr w:type="spellEnd"/>
      <w:r w:rsidRPr="00444070">
        <w:rPr>
          <w:rFonts w:eastAsia="Times New Roman" w:cs="Times New Roman"/>
          <w:szCs w:val="24"/>
          <w:lang w:bidi="bg-BG"/>
        </w:rPr>
        <w:t>. </w:t>
      </w:r>
    </w:p>
    <w:p w14:paraId="0D1918C1" w14:textId="37C99456"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В </w:t>
      </w:r>
      <w:r>
        <w:fldChar w:fldCharType="begin"/>
      </w:r>
      <w:r>
        <w:instrText xml:space="preserve"> REF _Ref107164423 \h  \* MERGEFORMAT </w:instrText>
      </w:r>
      <w:r>
        <w:fldChar w:fldCharType="separate"/>
      </w:r>
      <w:r w:rsidR="00A43EF3" w:rsidRPr="009F6D1E">
        <w:t xml:space="preserve">Таблица </w:t>
      </w:r>
      <w:r w:rsidR="00A43EF3">
        <w:t>2</w:t>
      </w:r>
      <w:r>
        <w:fldChar w:fldCharType="end"/>
      </w:r>
      <w:r w:rsidRPr="009F6D1E">
        <w:rPr>
          <w:rFonts w:eastAsia="Times New Roman" w:cs="Times New Roman"/>
          <w:szCs w:val="24"/>
          <w:lang w:bidi="bg-BG"/>
        </w:rPr>
        <w:t xml:space="preserve"> са посочени емисиите на основните ПГ, сумарните емисии (без отчитане на ЗПЗГС) и делът на общите емисии от емисиите през базовата 1988 г., приети за 100%.</w:t>
      </w:r>
    </w:p>
    <w:p w14:paraId="16D76B4C" w14:textId="290781BC" w:rsidR="00510C21" w:rsidRPr="009F6D1E" w:rsidRDefault="00E82EB2" w:rsidP="00E82EB2">
      <w:pPr>
        <w:pStyle w:val="Caption"/>
        <w:keepNext/>
      </w:pPr>
      <w:bookmarkStart w:id="172" w:name="_Ref107164423"/>
      <w:bookmarkStart w:id="173" w:name="_Toc115255153"/>
      <w:r w:rsidRPr="009F6D1E">
        <w:t xml:space="preserve">Таблица </w:t>
      </w:r>
      <w:fldSimple w:instr=" SEQ Таблица \* ARABIC ">
        <w:r w:rsidR="00A43EF3">
          <w:rPr>
            <w:noProof/>
          </w:rPr>
          <w:t>2</w:t>
        </w:r>
      </w:fldSimple>
      <w:bookmarkEnd w:id="172"/>
      <w:r w:rsidRPr="009F6D1E">
        <w:t xml:space="preserve"> : </w:t>
      </w:r>
      <w:proofErr w:type="spellStart"/>
      <w:r w:rsidR="00510C21" w:rsidRPr="009F6D1E">
        <w:rPr>
          <w:rFonts w:eastAsia="Times New Roman"/>
          <w:lang w:bidi="bg-BG"/>
        </w:rPr>
        <w:t>Агрегирани</w:t>
      </w:r>
      <w:proofErr w:type="spellEnd"/>
      <w:r w:rsidR="00510C21" w:rsidRPr="009F6D1E">
        <w:rPr>
          <w:rFonts w:eastAsia="Times New Roman"/>
          <w:lang w:bidi="bg-BG"/>
        </w:rPr>
        <w:t xml:space="preserve"> емисии на ПГ (без сектор “</w:t>
      </w:r>
      <w:proofErr w:type="spellStart"/>
      <w:r w:rsidR="00510C21" w:rsidRPr="009F6D1E">
        <w:rPr>
          <w:rFonts w:eastAsia="Times New Roman"/>
          <w:lang w:bidi="bg-BG"/>
        </w:rPr>
        <w:t>Земеползване</w:t>
      </w:r>
      <w:proofErr w:type="spellEnd"/>
      <w:r w:rsidR="00510C21" w:rsidRPr="009F6D1E">
        <w:rPr>
          <w:rFonts w:eastAsia="Times New Roman"/>
          <w:lang w:bidi="bg-BG"/>
        </w:rPr>
        <w:t xml:space="preserve">, промяна в </w:t>
      </w:r>
      <w:proofErr w:type="spellStart"/>
      <w:r w:rsidR="00510C21" w:rsidRPr="009F6D1E">
        <w:rPr>
          <w:rFonts w:eastAsia="Times New Roman"/>
          <w:lang w:bidi="bg-BG"/>
        </w:rPr>
        <w:t>земеползването</w:t>
      </w:r>
      <w:proofErr w:type="spellEnd"/>
      <w:r w:rsidR="00510C21" w:rsidRPr="009F6D1E">
        <w:rPr>
          <w:rFonts w:eastAsia="Times New Roman"/>
          <w:lang w:bidi="bg-BG"/>
        </w:rPr>
        <w:t xml:space="preserve"> и горско стопанство”), </w:t>
      </w:r>
      <w:proofErr w:type="spellStart"/>
      <w:r w:rsidR="00510C21" w:rsidRPr="009F6D1E">
        <w:rPr>
          <w:rFonts w:eastAsia="Times New Roman"/>
          <w:lang w:bidi="bg-BG"/>
        </w:rPr>
        <w:t>Gg</w:t>
      </w:r>
      <w:proofErr w:type="spellEnd"/>
      <w:r w:rsidR="00510C21" w:rsidRPr="009F6D1E">
        <w:rPr>
          <w:rFonts w:eastAsia="Times New Roman"/>
          <w:lang w:bidi="bg-BG"/>
        </w:rPr>
        <w:t xml:space="preserve"> CO</w:t>
      </w:r>
      <w:r w:rsidR="00510C21" w:rsidRPr="009F6D1E">
        <w:rPr>
          <w:rFonts w:eastAsia="Times New Roman"/>
          <w:vertAlign w:val="subscript"/>
          <w:lang w:bidi="bg-BG"/>
        </w:rPr>
        <w:t>2</w:t>
      </w:r>
      <w:r w:rsidR="00510C21" w:rsidRPr="009F6D1E">
        <w:rPr>
          <w:rFonts w:eastAsia="Times New Roman"/>
          <w:lang w:bidi="bg-BG"/>
        </w:rPr>
        <w:t>-екв. и дял в проценти на общите годишни емисии спрямо базовата година</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42"/>
        <w:gridCol w:w="1157"/>
        <w:gridCol w:w="1096"/>
        <w:gridCol w:w="1094"/>
        <w:gridCol w:w="972"/>
        <w:gridCol w:w="714"/>
        <w:gridCol w:w="738"/>
        <w:gridCol w:w="1227"/>
        <w:gridCol w:w="988"/>
      </w:tblGrid>
      <w:tr w:rsidR="00510C21" w:rsidRPr="009F6D1E" w14:paraId="4B3F8B9E" w14:textId="77777777" w:rsidTr="00444070">
        <w:trPr>
          <w:trHeight w:hRule="exact" w:val="883"/>
          <w:tblHeader/>
        </w:trPr>
        <w:tc>
          <w:tcPr>
            <w:tcW w:w="853" w:type="pct"/>
            <w:shd w:val="clear" w:color="auto" w:fill="D9D9D9" w:themeFill="background1" w:themeFillShade="D9"/>
            <w:vAlign w:val="center"/>
          </w:tcPr>
          <w:p w14:paraId="613C0B83"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Парникови</w:t>
            </w:r>
          </w:p>
          <w:p w14:paraId="579296AD"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газове/години</w:t>
            </w:r>
          </w:p>
        </w:tc>
        <w:tc>
          <w:tcPr>
            <w:tcW w:w="601" w:type="pct"/>
            <w:shd w:val="clear" w:color="auto" w:fill="D9D9D9" w:themeFill="background1" w:themeFillShade="D9"/>
            <w:vAlign w:val="center"/>
          </w:tcPr>
          <w:p w14:paraId="2DAB4EE1"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CO2</w:t>
            </w:r>
          </w:p>
        </w:tc>
        <w:tc>
          <w:tcPr>
            <w:tcW w:w="569" w:type="pct"/>
            <w:shd w:val="clear" w:color="auto" w:fill="D9D9D9" w:themeFill="background1" w:themeFillShade="D9"/>
            <w:vAlign w:val="center"/>
          </w:tcPr>
          <w:p w14:paraId="1FFDD406"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CH4</w:t>
            </w:r>
          </w:p>
        </w:tc>
        <w:tc>
          <w:tcPr>
            <w:tcW w:w="568" w:type="pct"/>
            <w:shd w:val="clear" w:color="auto" w:fill="D9D9D9" w:themeFill="background1" w:themeFillShade="D9"/>
            <w:vAlign w:val="center"/>
          </w:tcPr>
          <w:p w14:paraId="67BBAC30"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N2O</w:t>
            </w:r>
          </w:p>
        </w:tc>
        <w:tc>
          <w:tcPr>
            <w:tcW w:w="505" w:type="pct"/>
            <w:shd w:val="clear" w:color="auto" w:fill="D9D9D9" w:themeFill="background1" w:themeFillShade="D9"/>
            <w:vAlign w:val="center"/>
          </w:tcPr>
          <w:p w14:paraId="25C9AE9E"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proofErr w:type="spellStart"/>
            <w:r w:rsidRPr="009F6D1E">
              <w:rPr>
                <w:rFonts w:eastAsia="Microsoft Sans Serif" w:cs="Times New Roman"/>
                <w:b/>
                <w:color w:val="000000"/>
                <w:sz w:val="20"/>
                <w:szCs w:val="20"/>
                <w:lang w:eastAsia="bg-BG" w:bidi="bg-BG"/>
              </w:rPr>
              <w:t>HFCs</w:t>
            </w:r>
            <w:proofErr w:type="spellEnd"/>
          </w:p>
        </w:tc>
        <w:tc>
          <w:tcPr>
            <w:tcW w:w="371" w:type="pct"/>
            <w:shd w:val="clear" w:color="auto" w:fill="D9D9D9" w:themeFill="background1" w:themeFillShade="D9"/>
            <w:vAlign w:val="center"/>
          </w:tcPr>
          <w:p w14:paraId="453C9C92"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proofErr w:type="spellStart"/>
            <w:r w:rsidRPr="009F6D1E">
              <w:rPr>
                <w:rFonts w:eastAsia="Microsoft Sans Serif" w:cs="Times New Roman"/>
                <w:b/>
                <w:color w:val="000000"/>
                <w:sz w:val="20"/>
                <w:szCs w:val="20"/>
                <w:lang w:eastAsia="bg-BG" w:bidi="bg-BG"/>
              </w:rPr>
              <w:t>PFCs</w:t>
            </w:r>
            <w:proofErr w:type="spellEnd"/>
          </w:p>
        </w:tc>
        <w:tc>
          <w:tcPr>
            <w:tcW w:w="383" w:type="pct"/>
            <w:shd w:val="clear" w:color="auto" w:fill="D9D9D9" w:themeFill="background1" w:themeFillShade="D9"/>
            <w:vAlign w:val="center"/>
          </w:tcPr>
          <w:p w14:paraId="414F5738"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SF6</w:t>
            </w:r>
          </w:p>
        </w:tc>
        <w:tc>
          <w:tcPr>
            <w:tcW w:w="637" w:type="pct"/>
            <w:shd w:val="clear" w:color="auto" w:fill="D9D9D9" w:themeFill="background1" w:themeFillShade="D9"/>
            <w:vAlign w:val="center"/>
          </w:tcPr>
          <w:p w14:paraId="1BD1D271"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Общо</w:t>
            </w:r>
          </w:p>
        </w:tc>
        <w:tc>
          <w:tcPr>
            <w:tcW w:w="513" w:type="pct"/>
            <w:shd w:val="clear" w:color="auto" w:fill="D9D9D9" w:themeFill="background1" w:themeFillShade="D9"/>
            <w:vAlign w:val="center"/>
          </w:tcPr>
          <w:p w14:paraId="5B82FD62" w14:textId="77777777" w:rsidR="00510C21" w:rsidRPr="009F6D1E" w:rsidRDefault="00510C21" w:rsidP="00BD550E">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Дял</w:t>
            </w:r>
          </w:p>
        </w:tc>
      </w:tr>
      <w:tr w:rsidR="00BD550E" w:rsidRPr="009F6D1E" w14:paraId="20CA301F" w14:textId="77777777" w:rsidTr="00444070">
        <w:trPr>
          <w:trHeight w:hRule="exact" w:val="622"/>
        </w:trPr>
        <w:tc>
          <w:tcPr>
            <w:tcW w:w="853" w:type="pct"/>
            <w:shd w:val="clear" w:color="auto" w:fill="FFFFFF"/>
            <w:vAlign w:val="center"/>
          </w:tcPr>
          <w:p w14:paraId="5FDBFF44"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1988</w:t>
            </w:r>
          </w:p>
        </w:tc>
        <w:tc>
          <w:tcPr>
            <w:tcW w:w="601" w:type="pct"/>
            <w:shd w:val="clear" w:color="auto" w:fill="FFFFFF"/>
            <w:vAlign w:val="center"/>
          </w:tcPr>
          <w:p w14:paraId="15DCCFDD"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89606,29</w:t>
            </w:r>
          </w:p>
        </w:tc>
        <w:tc>
          <w:tcPr>
            <w:tcW w:w="569" w:type="pct"/>
            <w:shd w:val="clear" w:color="auto" w:fill="FFFFFF"/>
            <w:vAlign w:val="center"/>
          </w:tcPr>
          <w:p w14:paraId="531F03F0" w14:textId="77777777" w:rsidR="00510C21" w:rsidRPr="009F6D1E" w:rsidRDefault="00510C21" w:rsidP="0084747F">
            <w:pPr>
              <w:spacing w:after="60" w:line="264" w:lineRule="auto"/>
              <w:ind w:left="260"/>
              <w:jc w:val="center"/>
              <w:rPr>
                <w:rFonts w:eastAsia="Times New Roman" w:cs="Times New Roman"/>
                <w:sz w:val="20"/>
                <w:szCs w:val="20"/>
              </w:rPr>
            </w:pPr>
            <w:r w:rsidRPr="009F6D1E">
              <w:rPr>
                <w:rFonts w:eastAsia="Times New Roman" w:cs="Times New Roman"/>
                <w:sz w:val="20"/>
                <w:szCs w:val="20"/>
              </w:rPr>
              <w:t>607,70</w:t>
            </w:r>
          </w:p>
        </w:tc>
        <w:tc>
          <w:tcPr>
            <w:tcW w:w="568" w:type="pct"/>
            <w:shd w:val="clear" w:color="auto" w:fill="FFFFFF"/>
            <w:vAlign w:val="center"/>
          </w:tcPr>
          <w:p w14:paraId="67E6DFEF"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sz w:val="20"/>
                <w:szCs w:val="20"/>
              </w:rPr>
              <w:t>33,55</w:t>
            </w:r>
          </w:p>
        </w:tc>
        <w:tc>
          <w:tcPr>
            <w:tcW w:w="505" w:type="pct"/>
            <w:shd w:val="clear" w:color="auto" w:fill="FFFFFF"/>
            <w:vAlign w:val="center"/>
          </w:tcPr>
          <w:p w14:paraId="1F29B42F"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71" w:type="pct"/>
            <w:shd w:val="clear" w:color="auto" w:fill="FFFFFF"/>
            <w:vAlign w:val="center"/>
          </w:tcPr>
          <w:p w14:paraId="1DF2392E"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83" w:type="pct"/>
            <w:shd w:val="clear" w:color="auto" w:fill="FFFFFF"/>
            <w:vAlign w:val="center"/>
          </w:tcPr>
          <w:p w14:paraId="708865D6"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3,30</w:t>
            </w:r>
          </w:p>
        </w:tc>
        <w:tc>
          <w:tcPr>
            <w:tcW w:w="637" w:type="pct"/>
            <w:shd w:val="clear" w:color="auto" w:fill="FFFFFF"/>
            <w:vAlign w:val="center"/>
          </w:tcPr>
          <w:p w14:paraId="3BB7B190"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114801,00</w:t>
            </w:r>
          </w:p>
        </w:tc>
        <w:tc>
          <w:tcPr>
            <w:tcW w:w="513" w:type="pct"/>
            <w:shd w:val="clear" w:color="auto" w:fill="FFFFFF"/>
            <w:vAlign w:val="center"/>
          </w:tcPr>
          <w:p w14:paraId="1123ADAB"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lang w:eastAsia="bg-BG" w:bidi="bg-BG"/>
              </w:rPr>
              <w:t>100</w:t>
            </w:r>
            <w:r w:rsidRPr="009F6D1E">
              <w:rPr>
                <w:rFonts w:eastAsia="Times New Roman" w:cs="Times New Roman"/>
                <w:sz w:val="20"/>
                <w:szCs w:val="20"/>
              </w:rPr>
              <w:t>%</w:t>
            </w:r>
          </w:p>
        </w:tc>
      </w:tr>
      <w:tr w:rsidR="00BD550E" w:rsidRPr="009F6D1E" w14:paraId="54F6ADB1" w14:textId="77777777" w:rsidTr="00444070">
        <w:trPr>
          <w:trHeight w:hRule="exact" w:val="550"/>
        </w:trPr>
        <w:tc>
          <w:tcPr>
            <w:tcW w:w="853" w:type="pct"/>
            <w:shd w:val="clear" w:color="auto" w:fill="FFFFFF"/>
            <w:vAlign w:val="center"/>
          </w:tcPr>
          <w:p w14:paraId="07A4D52E"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1990</w:t>
            </w:r>
          </w:p>
        </w:tc>
        <w:tc>
          <w:tcPr>
            <w:tcW w:w="601" w:type="pct"/>
            <w:shd w:val="clear" w:color="auto" w:fill="FFFFFF"/>
            <w:vAlign w:val="center"/>
          </w:tcPr>
          <w:p w14:paraId="5992F6DD"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76698,70</w:t>
            </w:r>
          </w:p>
        </w:tc>
        <w:tc>
          <w:tcPr>
            <w:tcW w:w="569" w:type="pct"/>
            <w:shd w:val="clear" w:color="auto" w:fill="FFFFFF"/>
            <w:vAlign w:val="center"/>
          </w:tcPr>
          <w:p w14:paraId="76155C1E"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14623,00</w:t>
            </w:r>
          </w:p>
        </w:tc>
        <w:tc>
          <w:tcPr>
            <w:tcW w:w="568" w:type="pct"/>
            <w:shd w:val="clear" w:color="auto" w:fill="FFFFFF"/>
            <w:vAlign w:val="center"/>
          </w:tcPr>
          <w:p w14:paraId="2C7BD0F4"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8652,69</w:t>
            </w:r>
          </w:p>
        </w:tc>
        <w:tc>
          <w:tcPr>
            <w:tcW w:w="505" w:type="pct"/>
            <w:shd w:val="clear" w:color="auto" w:fill="FFFFFF"/>
            <w:vAlign w:val="center"/>
          </w:tcPr>
          <w:p w14:paraId="250BE367"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71" w:type="pct"/>
            <w:shd w:val="clear" w:color="auto" w:fill="FFFFFF"/>
            <w:vAlign w:val="center"/>
          </w:tcPr>
          <w:p w14:paraId="541FBA30"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83" w:type="pct"/>
            <w:shd w:val="clear" w:color="auto" w:fill="FFFFFF"/>
            <w:vAlign w:val="center"/>
          </w:tcPr>
          <w:p w14:paraId="6036A01F"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3,69</w:t>
            </w:r>
          </w:p>
        </w:tc>
        <w:tc>
          <w:tcPr>
            <w:tcW w:w="637" w:type="pct"/>
            <w:shd w:val="clear" w:color="auto" w:fill="FFFFFF"/>
            <w:vAlign w:val="center"/>
          </w:tcPr>
          <w:p w14:paraId="2AA9B98D"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99978,08</w:t>
            </w:r>
          </w:p>
        </w:tc>
        <w:tc>
          <w:tcPr>
            <w:tcW w:w="513" w:type="pct"/>
            <w:shd w:val="clear" w:color="auto" w:fill="FFFFFF"/>
            <w:vAlign w:val="center"/>
          </w:tcPr>
          <w:p w14:paraId="4C402C77"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87%</w:t>
            </w:r>
          </w:p>
        </w:tc>
      </w:tr>
      <w:tr w:rsidR="00BD550E" w:rsidRPr="009F6D1E" w14:paraId="25FC8603" w14:textId="77777777" w:rsidTr="00444070">
        <w:trPr>
          <w:trHeight w:hRule="exact" w:val="541"/>
        </w:trPr>
        <w:tc>
          <w:tcPr>
            <w:tcW w:w="853" w:type="pct"/>
            <w:shd w:val="clear" w:color="auto" w:fill="FFFFFF"/>
            <w:vAlign w:val="center"/>
          </w:tcPr>
          <w:p w14:paraId="16723EB0"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1995</w:t>
            </w:r>
          </w:p>
        </w:tc>
        <w:tc>
          <w:tcPr>
            <w:tcW w:w="601" w:type="pct"/>
            <w:shd w:val="clear" w:color="auto" w:fill="FFFFFF"/>
            <w:vAlign w:val="center"/>
          </w:tcPr>
          <w:p w14:paraId="37DBA22E"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57950,33</w:t>
            </w:r>
          </w:p>
        </w:tc>
        <w:tc>
          <w:tcPr>
            <w:tcW w:w="569" w:type="pct"/>
            <w:shd w:val="clear" w:color="auto" w:fill="FFFFFF"/>
            <w:vAlign w:val="center"/>
          </w:tcPr>
          <w:p w14:paraId="7FE99A0C"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10116,48</w:t>
            </w:r>
          </w:p>
        </w:tc>
        <w:tc>
          <w:tcPr>
            <w:tcW w:w="568" w:type="pct"/>
            <w:shd w:val="clear" w:color="auto" w:fill="FFFFFF"/>
            <w:vAlign w:val="center"/>
          </w:tcPr>
          <w:p w14:paraId="3FC7A84F"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4833,88</w:t>
            </w:r>
          </w:p>
        </w:tc>
        <w:tc>
          <w:tcPr>
            <w:tcW w:w="505" w:type="pct"/>
            <w:shd w:val="clear" w:color="auto" w:fill="FFFFFF"/>
            <w:vAlign w:val="center"/>
          </w:tcPr>
          <w:p w14:paraId="6990B28B"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3,33</w:t>
            </w:r>
          </w:p>
        </w:tc>
        <w:tc>
          <w:tcPr>
            <w:tcW w:w="371" w:type="pct"/>
            <w:shd w:val="clear" w:color="auto" w:fill="FFFFFF"/>
            <w:vAlign w:val="center"/>
          </w:tcPr>
          <w:p w14:paraId="6F1E6226"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83" w:type="pct"/>
            <w:shd w:val="clear" w:color="auto" w:fill="FFFFFF"/>
            <w:vAlign w:val="center"/>
          </w:tcPr>
          <w:p w14:paraId="7BA83BF8"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4,90</w:t>
            </w:r>
          </w:p>
        </w:tc>
        <w:tc>
          <w:tcPr>
            <w:tcW w:w="637" w:type="pct"/>
            <w:shd w:val="clear" w:color="auto" w:fill="FFFFFF"/>
            <w:vAlign w:val="center"/>
          </w:tcPr>
          <w:p w14:paraId="00119627"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72908,91</w:t>
            </w:r>
          </w:p>
        </w:tc>
        <w:tc>
          <w:tcPr>
            <w:tcW w:w="513" w:type="pct"/>
            <w:shd w:val="clear" w:color="auto" w:fill="FFFFFF"/>
            <w:vAlign w:val="center"/>
          </w:tcPr>
          <w:p w14:paraId="3DBA0FCA"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64%</w:t>
            </w:r>
          </w:p>
        </w:tc>
      </w:tr>
      <w:tr w:rsidR="00BD550E" w:rsidRPr="009F6D1E" w14:paraId="497111BD" w14:textId="77777777" w:rsidTr="00444070">
        <w:trPr>
          <w:trHeight w:hRule="exact" w:val="451"/>
        </w:trPr>
        <w:tc>
          <w:tcPr>
            <w:tcW w:w="853" w:type="pct"/>
            <w:shd w:val="clear" w:color="auto" w:fill="FFFFFF"/>
            <w:vAlign w:val="center"/>
          </w:tcPr>
          <w:p w14:paraId="63ADE918"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lastRenderedPageBreak/>
              <w:t>2000</w:t>
            </w:r>
          </w:p>
        </w:tc>
        <w:tc>
          <w:tcPr>
            <w:tcW w:w="601" w:type="pct"/>
            <w:shd w:val="clear" w:color="auto" w:fill="FFFFFF"/>
            <w:vAlign w:val="center"/>
          </w:tcPr>
          <w:p w14:paraId="21D42CEA"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45465,69</w:t>
            </w:r>
          </w:p>
        </w:tc>
        <w:tc>
          <w:tcPr>
            <w:tcW w:w="569" w:type="pct"/>
            <w:shd w:val="clear" w:color="auto" w:fill="FFFFFF"/>
            <w:vAlign w:val="center"/>
          </w:tcPr>
          <w:p w14:paraId="63CBD5C3"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8439,84</w:t>
            </w:r>
          </w:p>
        </w:tc>
        <w:tc>
          <w:tcPr>
            <w:tcW w:w="568" w:type="pct"/>
            <w:shd w:val="clear" w:color="auto" w:fill="FFFFFF"/>
            <w:vAlign w:val="center"/>
          </w:tcPr>
          <w:p w14:paraId="1DD481FE"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3919,23</w:t>
            </w:r>
          </w:p>
        </w:tc>
        <w:tc>
          <w:tcPr>
            <w:tcW w:w="505" w:type="pct"/>
            <w:shd w:val="clear" w:color="auto" w:fill="FFFFFF"/>
            <w:vAlign w:val="center"/>
          </w:tcPr>
          <w:p w14:paraId="7C8BB32E"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33,02</w:t>
            </w:r>
          </w:p>
        </w:tc>
        <w:tc>
          <w:tcPr>
            <w:tcW w:w="371" w:type="pct"/>
            <w:shd w:val="clear" w:color="auto" w:fill="FFFFFF"/>
            <w:vAlign w:val="center"/>
          </w:tcPr>
          <w:p w14:paraId="1665D79C"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83" w:type="pct"/>
            <w:shd w:val="clear" w:color="auto" w:fill="FFFFFF"/>
            <w:vAlign w:val="center"/>
          </w:tcPr>
          <w:p w14:paraId="5C0D44BA"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6,49</w:t>
            </w:r>
          </w:p>
        </w:tc>
        <w:tc>
          <w:tcPr>
            <w:tcW w:w="637" w:type="pct"/>
            <w:shd w:val="clear" w:color="auto" w:fill="FFFFFF"/>
            <w:vAlign w:val="center"/>
          </w:tcPr>
          <w:p w14:paraId="0412713C"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57864,27</w:t>
            </w:r>
          </w:p>
        </w:tc>
        <w:tc>
          <w:tcPr>
            <w:tcW w:w="513" w:type="pct"/>
            <w:shd w:val="clear" w:color="auto" w:fill="FFFFFF"/>
            <w:vAlign w:val="center"/>
          </w:tcPr>
          <w:p w14:paraId="528EC038"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50%</w:t>
            </w:r>
          </w:p>
        </w:tc>
      </w:tr>
      <w:tr w:rsidR="00BD550E" w:rsidRPr="009F6D1E" w14:paraId="3983E7B8" w14:textId="77777777" w:rsidTr="00444070">
        <w:trPr>
          <w:trHeight w:hRule="exact" w:val="532"/>
        </w:trPr>
        <w:tc>
          <w:tcPr>
            <w:tcW w:w="853" w:type="pct"/>
            <w:shd w:val="clear" w:color="auto" w:fill="FFFFFF"/>
            <w:vAlign w:val="center"/>
          </w:tcPr>
          <w:p w14:paraId="11C260FF"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2005</w:t>
            </w:r>
          </w:p>
        </w:tc>
        <w:tc>
          <w:tcPr>
            <w:tcW w:w="601" w:type="pct"/>
            <w:shd w:val="clear" w:color="auto" w:fill="FFFFFF"/>
            <w:vAlign w:val="center"/>
          </w:tcPr>
          <w:p w14:paraId="690FC83D"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50656,29</w:t>
            </w:r>
          </w:p>
        </w:tc>
        <w:tc>
          <w:tcPr>
            <w:tcW w:w="569" w:type="pct"/>
            <w:shd w:val="clear" w:color="auto" w:fill="FFFFFF"/>
            <w:vAlign w:val="center"/>
          </w:tcPr>
          <w:p w14:paraId="1D81AF71"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7665,75</w:t>
            </w:r>
          </w:p>
        </w:tc>
        <w:tc>
          <w:tcPr>
            <w:tcW w:w="568" w:type="pct"/>
            <w:shd w:val="clear" w:color="auto" w:fill="FFFFFF"/>
            <w:vAlign w:val="center"/>
          </w:tcPr>
          <w:p w14:paraId="13344F61"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4189,50</w:t>
            </w:r>
          </w:p>
        </w:tc>
        <w:tc>
          <w:tcPr>
            <w:tcW w:w="505" w:type="pct"/>
            <w:shd w:val="clear" w:color="auto" w:fill="FFFFFF"/>
            <w:vAlign w:val="center"/>
          </w:tcPr>
          <w:p w14:paraId="58D60119"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195,16</w:t>
            </w:r>
          </w:p>
        </w:tc>
        <w:tc>
          <w:tcPr>
            <w:tcW w:w="371" w:type="pct"/>
            <w:shd w:val="clear" w:color="auto" w:fill="FFFFFF"/>
            <w:vAlign w:val="center"/>
          </w:tcPr>
          <w:p w14:paraId="24F4F327"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0,00</w:t>
            </w:r>
          </w:p>
        </w:tc>
        <w:tc>
          <w:tcPr>
            <w:tcW w:w="383" w:type="pct"/>
            <w:shd w:val="clear" w:color="auto" w:fill="FFFFFF"/>
            <w:vAlign w:val="center"/>
          </w:tcPr>
          <w:p w14:paraId="6420D530"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8,16</w:t>
            </w:r>
          </w:p>
        </w:tc>
        <w:tc>
          <w:tcPr>
            <w:tcW w:w="637" w:type="pct"/>
            <w:shd w:val="clear" w:color="auto" w:fill="FFFFFF"/>
            <w:vAlign w:val="center"/>
          </w:tcPr>
          <w:p w14:paraId="5A9F9137"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62714,87</w:t>
            </w:r>
          </w:p>
        </w:tc>
        <w:tc>
          <w:tcPr>
            <w:tcW w:w="513" w:type="pct"/>
            <w:shd w:val="clear" w:color="auto" w:fill="FFFFFF"/>
            <w:vAlign w:val="center"/>
          </w:tcPr>
          <w:p w14:paraId="3692D1B5"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55%</w:t>
            </w:r>
          </w:p>
        </w:tc>
      </w:tr>
      <w:tr w:rsidR="00BD550E" w:rsidRPr="009F6D1E" w14:paraId="05E15E47" w14:textId="77777777" w:rsidTr="00444070">
        <w:trPr>
          <w:trHeight w:hRule="exact" w:val="451"/>
        </w:trPr>
        <w:tc>
          <w:tcPr>
            <w:tcW w:w="853" w:type="pct"/>
            <w:shd w:val="clear" w:color="auto" w:fill="FFFFFF"/>
            <w:vAlign w:val="center"/>
          </w:tcPr>
          <w:p w14:paraId="145D44F4"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2010</w:t>
            </w:r>
          </w:p>
        </w:tc>
        <w:tc>
          <w:tcPr>
            <w:tcW w:w="601" w:type="pct"/>
            <w:shd w:val="clear" w:color="auto" w:fill="FFFFFF"/>
            <w:vAlign w:val="center"/>
          </w:tcPr>
          <w:p w14:paraId="592B0694"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47860,75</w:t>
            </w:r>
          </w:p>
        </w:tc>
        <w:tc>
          <w:tcPr>
            <w:tcW w:w="569" w:type="pct"/>
            <w:shd w:val="clear" w:color="auto" w:fill="FFFFFF"/>
            <w:vAlign w:val="center"/>
          </w:tcPr>
          <w:p w14:paraId="62A82F9C"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7200,80</w:t>
            </w:r>
          </w:p>
        </w:tc>
        <w:tc>
          <w:tcPr>
            <w:tcW w:w="568" w:type="pct"/>
            <w:shd w:val="clear" w:color="auto" w:fill="FFFFFF"/>
            <w:vAlign w:val="center"/>
          </w:tcPr>
          <w:p w14:paraId="69375753"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4052,96</w:t>
            </w:r>
          </w:p>
        </w:tc>
        <w:tc>
          <w:tcPr>
            <w:tcW w:w="505" w:type="pct"/>
            <w:shd w:val="clear" w:color="auto" w:fill="FFFFFF"/>
            <w:vAlign w:val="center"/>
          </w:tcPr>
          <w:p w14:paraId="0B1DFB53"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663,05</w:t>
            </w:r>
          </w:p>
        </w:tc>
        <w:tc>
          <w:tcPr>
            <w:tcW w:w="371" w:type="pct"/>
            <w:shd w:val="clear" w:color="auto" w:fill="FFFFFF"/>
            <w:vAlign w:val="center"/>
          </w:tcPr>
          <w:p w14:paraId="183F4F69"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rPr>
              <w:t>0,06</w:t>
            </w:r>
          </w:p>
        </w:tc>
        <w:tc>
          <w:tcPr>
            <w:tcW w:w="383" w:type="pct"/>
            <w:shd w:val="clear" w:color="auto" w:fill="FFFFFF"/>
            <w:vAlign w:val="center"/>
          </w:tcPr>
          <w:p w14:paraId="4FD621B8"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18,76</w:t>
            </w:r>
          </w:p>
        </w:tc>
        <w:tc>
          <w:tcPr>
            <w:tcW w:w="637" w:type="pct"/>
            <w:shd w:val="clear" w:color="auto" w:fill="FFFFFF"/>
            <w:vAlign w:val="center"/>
          </w:tcPr>
          <w:p w14:paraId="64D880FC"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59796,37</w:t>
            </w:r>
          </w:p>
        </w:tc>
        <w:tc>
          <w:tcPr>
            <w:tcW w:w="513" w:type="pct"/>
            <w:shd w:val="clear" w:color="auto" w:fill="FFFFFF"/>
            <w:vAlign w:val="center"/>
          </w:tcPr>
          <w:p w14:paraId="60D92806"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52%</w:t>
            </w:r>
          </w:p>
        </w:tc>
      </w:tr>
      <w:tr w:rsidR="00BD550E" w:rsidRPr="009F6D1E" w14:paraId="62CFE101" w14:textId="77777777" w:rsidTr="00444070">
        <w:trPr>
          <w:trHeight w:hRule="exact" w:val="541"/>
        </w:trPr>
        <w:tc>
          <w:tcPr>
            <w:tcW w:w="853" w:type="pct"/>
            <w:shd w:val="clear" w:color="auto" w:fill="FFFFFF"/>
            <w:vAlign w:val="center"/>
          </w:tcPr>
          <w:p w14:paraId="31EA7314"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2015</w:t>
            </w:r>
          </w:p>
        </w:tc>
        <w:tc>
          <w:tcPr>
            <w:tcW w:w="601" w:type="pct"/>
            <w:shd w:val="clear" w:color="auto" w:fill="FFFFFF"/>
            <w:vAlign w:val="center"/>
          </w:tcPr>
          <w:p w14:paraId="0A4DA355"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48275,62</w:t>
            </w:r>
          </w:p>
        </w:tc>
        <w:tc>
          <w:tcPr>
            <w:tcW w:w="569" w:type="pct"/>
            <w:shd w:val="clear" w:color="auto" w:fill="FFFFFF"/>
            <w:vAlign w:val="center"/>
          </w:tcPr>
          <w:p w14:paraId="5F7F97EB"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7097,72</w:t>
            </w:r>
          </w:p>
        </w:tc>
        <w:tc>
          <w:tcPr>
            <w:tcW w:w="568" w:type="pct"/>
            <w:shd w:val="clear" w:color="auto" w:fill="FFFFFF"/>
            <w:vAlign w:val="center"/>
          </w:tcPr>
          <w:p w14:paraId="3CF3FA5F"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4724,85</w:t>
            </w:r>
          </w:p>
        </w:tc>
        <w:tc>
          <w:tcPr>
            <w:tcW w:w="505" w:type="pct"/>
            <w:shd w:val="clear" w:color="auto" w:fill="FFFFFF"/>
            <w:vAlign w:val="center"/>
          </w:tcPr>
          <w:p w14:paraId="76D8ECD8"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1222,08</w:t>
            </w:r>
          </w:p>
        </w:tc>
        <w:tc>
          <w:tcPr>
            <w:tcW w:w="371" w:type="pct"/>
            <w:shd w:val="clear" w:color="auto" w:fill="FFFFFF"/>
            <w:vAlign w:val="center"/>
          </w:tcPr>
          <w:p w14:paraId="7B030E9B"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rPr>
              <w:t>0,03</w:t>
            </w:r>
          </w:p>
        </w:tc>
        <w:tc>
          <w:tcPr>
            <w:tcW w:w="383" w:type="pct"/>
            <w:shd w:val="clear" w:color="auto" w:fill="FFFFFF"/>
            <w:vAlign w:val="center"/>
          </w:tcPr>
          <w:p w14:paraId="3F543F21"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18,07</w:t>
            </w:r>
          </w:p>
        </w:tc>
        <w:tc>
          <w:tcPr>
            <w:tcW w:w="637" w:type="pct"/>
            <w:shd w:val="clear" w:color="auto" w:fill="FFFFFF"/>
            <w:vAlign w:val="center"/>
          </w:tcPr>
          <w:p w14:paraId="1E06A158"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61338,35</w:t>
            </w:r>
          </w:p>
        </w:tc>
        <w:tc>
          <w:tcPr>
            <w:tcW w:w="513" w:type="pct"/>
            <w:shd w:val="clear" w:color="auto" w:fill="FFFFFF"/>
            <w:vAlign w:val="center"/>
          </w:tcPr>
          <w:p w14:paraId="7F6863F6"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53%</w:t>
            </w:r>
          </w:p>
        </w:tc>
      </w:tr>
      <w:tr w:rsidR="00BD550E" w:rsidRPr="009F6D1E" w14:paraId="4E7F9437" w14:textId="77777777" w:rsidTr="00444070">
        <w:trPr>
          <w:trHeight w:hRule="exact" w:val="451"/>
        </w:trPr>
        <w:tc>
          <w:tcPr>
            <w:tcW w:w="853" w:type="pct"/>
            <w:shd w:val="clear" w:color="auto" w:fill="FFFFFF"/>
            <w:vAlign w:val="center"/>
          </w:tcPr>
          <w:p w14:paraId="5BF7E151"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2016</w:t>
            </w:r>
          </w:p>
        </w:tc>
        <w:tc>
          <w:tcPr>
            <w:tcW w:w="601" w:type="pct"/>
            <w:shd w:val="clear" w:color="auto" w:fill="FFFFFF"/>
            <w:vAlign w:val="center"/>
          </w:tcPr>
          <w:p w14:paraId="4F8BC73A"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45502,40</w:t>
            </w:r>
          </w:p>
        </w:tc>
        <w:tc>
          <w:tcPr>
            <w:tcW w:w="569" w:type="pct"/>
            <w:shd w:val="clear" w:color="auto" w:fill="FFFFFF"/>
            <w:vAlign w:val="center"/>
          </w:tcPr>
          <w:p w14:paraId="4066DE00"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6832,39</w:t>
            </w:r>
          </w:p>
        </w:tc>
        <w:tc>
          <w:tcPr>
            <w:tcW w:w="568" w:type="pct"/>
            <w:shd w:val="clear" w:color="auto" w:fill="FFFFFF"/>
            <w:vAlign w:val="center"/>
          </w:tcPr>
          <w:p w14:paraId="455F8F59"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5048,02</w:t>
            </w:r>
          </w:p>
        </w:tc>
        <w:tc>
          <w:tcPr>
            <w:tcW w:w="505" w:type="pct"/>
            <w:shd w:val="clear" w:color="auto" w:fill="FFFFFF"/>
            <w:vAlign w:val="center"/>
          </w:tcPr>
          <w:p w14:paraId="7E0B3201"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1399,33</w:t>
            </w:r>
          </w:p>
        </w:tc>
        <w:tc>
          <w:tcPr>
            <w:tcW w:w="371" w:type="pct"/>
            <w:shd w:val="clear" w:color="auto" w:fill="FFFFFF"/>
            <w:vAlign w:val="center"/>
          </w:tcPr>
          <w:p w14:paraId="0E8A470E"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0,02</w:t>
            </w:r>
          </w:p>
        </w:tc>
        <w:tc>
          <w:tcPr>
            <w:tcW w:w="383" w:type="pct"/>
            <w:shd w:val="clear" w:color="auto" w:fill="FFFFFF"/>
            <w:vAlign w:val="center"/>
          </w:tcPr>
          <w:p w14:paraId="69D48CC5"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18,75</w:t>
            </w:r>
          </w:p>
        </w:tc>
        <w:tc>
          <w:tcPr>
            <w:tcW w:w="637" w:type="pct"/>
            <w:shd w:val="clear" w:color="auto" w:fill="FFFFFF"/>
            <w:vAlign w:val="center"/>
          </w:tcPr>
          <w:p w14:paraId="1A29539C"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58800,91</w:t>
            </w:r>
          </w:p>
        </w:tc>
        <w:tc>
          <w:tcPr>
            <w:tcW w:w="513" w:type="pct"/>
            <w:shd w:val="clear" w:color="auto" w:fill="FFFFFF"/>
            <w:vAlign w:val="center"/>
          </w:tcPr>
          <w:p w14:paraId="3E794CAE"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51%</w:t>
            </w:r>
          </w:p>
        </w:tc>
      </w:tr>
      <w:tr w:rsidR="00BD550E" w:rsidRPr="009F6D1E" w14:paraId="19A4A616" w14:textId="77777777" w:rsidTr="00444070">
        <w:trPr>
          <w:trHeight w:hRule="exact" w:val="550"/>
        </w:trPr>
        <w:tc>
          <w:tcPr>
            <w:tcW w:w="853" w:type="pct"/>
            <w:shd w:val="clear" w:color="auto" w:fill="FFFFFF"/>
            <w:vAlign w:val="center"/>
          </w:tcPr>
          <w:p w14:paraId="0F65D621"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2017</w:t>
            </w:r>
          </w:p>
        </w:tc>
        <w:tc>
          <w:tcPr>
            <w:tcW w:w="601" w:type="pct"/>
            <w:shd w:val="clear" w:color="auto" w:fill="FFFFFF"/>
            <w:vAlign w:val="center"/>
          </w:tcPr>
          <w:p w14:paraId="50D462CA"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47582,29</w:t>
            </w:r>
          </w:p>
        </w:tc>
        <w:tc>
          <w:tcPr>
            <w:tcW w:w="569" w:type="pct"/>
            <w:shd w:val="clear" w:color="auto" w:fill="FFFFFF"/>
            <w:vAlign w:val="center"/>
          </w:tcPr>
          <w:p w14:paraId="7EDEBF10"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6700,44</w:t>
            </w:r>
          </w:p>
        </w:tc>
        <w:tc>
          <w:tcPr>
            <w:tcW w:w="568" w:type="pct"/>
            <w:shd w:val="clear" w:color="auto" w:fill="FFFFFF"/>
            <w:vAlign w:val="center"/>
          </w:tcPr>
          <w:p w14:paraId="4254C74B"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5031,56</w:t>
            </w:r>
          </w:p>
        </w:tc>
        <w:tc>
          <w:tcPr>
            <w:tcW w:w="505" w:type="pct"/>
            <w:shd w:val="clear" w:color="auto" w:fill="FFFFFF"/>
            <w:vAlign w:val="center"/>
          </w:tcPr>
          <w:p w14:paraId="496E5319"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1816,64</w:t>
            </w:r>
          </w:p>
        </w:tc>
        <w:tc>
          <w:tcPr>
            <w:tcW w:w="371" w:type="pct"/>
            <w:shd w:val="clear" w:color="auto" w:fill="FFFFFF"/>
            <w:vAlign w:val="center"/>
          </w:tcPr>
          <w:p w14:paraId="2876D188"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rPr>
              <w:t>0,03</w:t>
            </w:r>
          </w:p>
        </w:tc>
        <w:tc>
          <w:tcPr>
            <w:tcW w:w="383" w:type="pct"/>
            <w:shd w:val="clear" w:color="auto" w:fill="FFFFFF"/>
            <w:vAlign w:val="center"/>
          </w:tcPr>
          <w:p w14:paraId="71511403"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17,51</w:t>
            </w:r>
          </w:p>
        </w:tc>
        <w:tc>
          <w:tcPr>
            <w:tcW w:w="637" w:type="pct"/>
            <w:shd w:val="clear" w:color="auto" w:fill="FFFFFF"/>
            <w:vAlign w:val="center"/>
          </w:tcPr>
          <w:p w14:paraId="4E79AD7A"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61148,47</w:t>
            </w:r>
          </w:p>
        </w:tc>
        <w:tc>
          <w:tcPr>
            <w:tcW w:w="513" w:type="pct"/>
            <w:shd w:val="clear" w:color="auto" w:fill="FFFFFF"/>
            <w:vAlign w:val="center"/>
          </w:tcPr>
          <w:p w14:paraId="2D00FADC"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53%</w:t>
            </w:r>
          </w:p>
        </w:tc>
      </w:tr>
      <w:tr w:rsidR="00BD550E" w:rsidRPr="009F6D1E" w14:paraId="1968DBE6" w14:textId="77777777" w:rsidTr="00444070">
        <w:trPr>
          <w:trHeight w:hRule="exact" w:val="451"/>
        </w:trPr>
        <w:tc>
          <w:tcPr>
            <w:tcW w:w="853" w:type="pct"/>
            <w:shd w:val="clear" w:color="auto" w:fill="FFFFFF"/>
            <w:vAlign w:val="center"/>
          </w:tcPr>
          <w:p w14:paraId="5C845D80"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2018</w:t>
            </w:r>
          </w:p>
        </w:tc>
        <w:tc>
          <w:tcPr>
            <w:tcW w:w="601" w:type="pct"/>
            <w:shd w:val="clear" w:color="auto" w:fill="FFFFFF"/>
            <w:vAlign w:val="center"/>
          </w:tcPr>
          <w:p w14:paraId="5D03EA97"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43637,53</w:t>
            </w:r>
          </w:p>
        </w:tc>
        <w:tc>
          <w:tcPr>
            <w:tcW w:w="569" w:type="pct"/>
            <w:shd w:val="clear" w:color="auto" w:fill="FFFFFF"/>
            <w:vAlign w:val="center"/>
          </w:tcPr>
          <w:p w14:paraId="7A4B7CB1"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6431,35</w:t>
            </w:r>
          </w:p>
        </w:tc>
        <w:tc>
          <w:tcPr>
            <w:tcW w:w="568" w:type="pct"/>
            <w:shd w:val="clear" w:color="auto" w:fill="FFFFFF"/>
            <w:vAlign w:val="center"/>
          </w:tcPr>
          <w:p w14:paraId="3CFB8A56"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4942,36</w:t>
            </w:r>
          </w:p>
        </w:tc>
        <w:tc>
          <w:tcPr>
            <w:tcW w:w="505" w:type="pct"/>
            <w:shd w:val="clear" w:color="auto" w:fill="FFFFFF"/>
            <w:vAlign w:val="center"/>
          </w:tcPr>
          <w:p w14:paraId="18F6DEC9"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2252,53</w:t>
            </w:r>
          </w:p>
        </w:tc>
        <w:tc>
          <w:tcPr>
            <w:tcW w:w="371" w:type="pct"/>
            <w:shd w:val="clear" w:color="auto" w:fill="FFFFFF"/>
            <w:vAlign w:val="center"/>
          </w:tcPr>
          <w:p w14:paraId="51CD7AD1"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0,01</w:t>
            </w:r>
          </w:p>
        </w:tc>
        <w:tc>
          <w:tcPr>
            <w:tcW w:w="383" w:type="pct"/>
            <w:shd w:val="clear" w:color="auto" w:fill="FFFFFF"/>
            <w:vAlign w:val="center"/>
          </w:tcPr>
          <w:p w14:paraId="52ED8DCC"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17,99</w:t>
            </w:r>
          </w:p>
        </w:tc>
        <w:tc>
          <w:tcPr>
            <w:tcW w:w="637" w:type="pct"/>
            <w:shd w:val="clear" w:color="auto" w:fill="FFFFFF"/>
            <w:vAlign w:val="center"/>
          </w:tcPr>
          <w:p w14:paraId="7E65BE32"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57281,77</w:t>
            </w:r>
          </w:p>
        </w:tc>
        <w:tc>
          <w:tcPr>
            <w:tcW w:w="513" w:type="pct"/>
            <w:shd w:val="clear" w:color="auto" w:fill="FFFFFF"/>
            <w:vAlign w:val="center"/>
          </w:tcPr>
          <w:p w14:paraId="203E845E"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50%</w:t>
            </w:r>
          </w:p>
        </w:tc>
      </w:tr>
      <w:tr w:rsidR="00BD550E" w:rsidRPr="009F6D1E" w14:paraId="19548EFB" w14:textId="77777777" w:rsidTr="00444070">
        <w:trPr>
          <w:trHeight w:hRule="exact" w:val="541"/>
        </w:trPr>
        <w:tc>
          <w:tcPr>
            <w:tcW w:w="853" w:type="pct"/>
            <w:shd w:val="clear" w:color="auto" w:fill="FFFFFF"/>
            <w:vAlign w:val="center"/>
          </w:tcPr>
          <w:p w14:paraId="66C8C08C" w14:textId="77777777" w:rsidR="00510C21" w:rsidRPr="009F6D1E" w:rsidRDefault="00510C21" w:rsidP="0084747F">
            <w:pPr>
              <w:spacing w:after="60" w:line="264" w:lineRule="auto"/>
              <w:jc w:val="center"/>
              <w:rPr>
                <w:rFonts w:eastAsia="Times New Roman" w:cs="Times New Roman"/>
                <w:sz w:val="20"/>
                <w:szCs w:val="20"/>
              </w:rPr>
            </w:pPr>
            <w:r w:rsidRPr="009F6D1E">
              <w:rPr>
                <w:rFonts w:eastAsia="Times New Roman" w:cs="Times New Roman"/>
                <w:b/>
                <w:bCs/>
                <w:sz w:val="20"/>
                <w:szCs w:val="20"/>
                <w:lang w:eastAsia="bg-BG" w:bidi="bg-BG"/>
              </w:rPr>
              <w:t>2019</w:t>
            </w:r>
          </w:p>
        </w:tc>
        <w:tc>
          <w:tcPr>
            <w:tcW w:w="601" w:type="pct"/>
            <w:shd w:val="clear" w:color="auto" w:fill="FFFFFF"/>
            <w:vAlign w:val="center"/>
          </w:tcPr>
          <w:p w14:paraId="3E8FAB54"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42222,52</w:t>
            </w:r>
          </w:p>
        </w:tc>
        <w:tc>
          <w:tcPr>
            <w:tcW w:w="569" w:type="pct"/>
            <w:shd w:val="clear" w:color="auto" w:fill="FFFFFF"/>
            <w:vAlign w:val="center"/>
          </w:tcPr>
          <w:p w14:paraId="28AC81A5"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6245,90</w:t>
            </w:r>
          </w:p>
        </w:tc>
        <w:tc>
          <w:tcPr>
            <w:tcW w:w="568" w:type="pct"/>
            <w:shd w:val="clear" w:color="auto" w:fill="FFFFFF"/>
            <w:vAlign w:val="center"/>
          </w:tcPr>
          <w:p w14:paraId="7CF65F65" w14:textId="77777777" w:rsidR="00510C21" w:rsidRPr="009F6D1E" w:rsidRDefault="00510C21" w:rsidP="0084747F">
            <w:pPr>
              <w:spacing w:after="60" w:line="264" w:lineRule="auto"/>
              <w:ind w:left="200"/>
              <w:jc w:val="center"/>
              <w:rPr>
                <w:rFonts w:eastAsia="Times New Roman" w:cs="Times New Roman"/>
                <w:sz w:val="20"/>
                <w:szCs w:val="20"/>
              </w:rPr>
            </w:pPr>
            <w:r w:rsidRPr="009F6D1E">
              <w:rPr>
                <w:rFonts w:eastAsia="Times New Roman" w:cs="Times New Roman"/>
                <w:sz w:val="20"/>
                <w:szCs w:val="20"/>
              </w:rPr>
              <w:t>5650,04</w:t>
            </w:r>
          </w:p>
        </w:tc>
        <w:tc>
          <w:tcPr>
            <w:tcW w:w="505" w:type="pct"/>
            <w:shd w:val="clear" w:color="auto" w:fill="FFFFFF"/>
            <w:vAlign w:val="center"/>
          </w:tcPr>
          <w:p w14:paraId="12B69856"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1818,54</w:t>
            </w:r>
          </w:p>
        </w:tc>
        <w:tc>
          <w:tcPr>
            <w:tcW w:w="371" w:type="pct"/>
            <w:shd w:val="clear" w:color="auto" w:fill="FFFFFF"/>
            <w:vAlign w:val="center"/>
          </w:tcPr>
          <w:p w14:paraId="01FECB6D" w14:textId="77777777" w:rsidR="00510C21" w:rsidRPr="009F6D1E" w:rsidRDefault="00510C21" w:rsidP="0084747F">
            <w:pPr>
              <w:spacing w:after="60" w:line="264" w:lineRule="auto"/>
              <w:ind w:left="160"/>
              <w:jc w:val="center"/>
              <w:rPr>
                <w:rFonts w:eastAsia="Times New Roman" w:cs="Times New Roman"/>
                <w:sz w:val="20"/>
                <w:szCs w:val="20"/>
              </w:rPr>
            </w:pPr>
            <w:r w:rsidRPr="009F6D1E">
              <w:rPr>
                <w:rFonts w:eastAsia="Times New Roman" w:cs="Times New Roman"/>
                <w:sz w:val="20"/>
                <w:szCs w:val="20"/>
                <w:lang w:eastAsia="bg-BG" w:bidi="bg-BG"/>
              </w:rPr>
              <w:t>0,01</w:t>
            </w:r>
          </w:p>
        </w:tc>
        <w:tc>
          <w:tcPr>
            <w:tcW w:w="383" w:type="pct"/>
            <w:shd w:val="clear" w:color="auto" w:fill="FFFFFF"/>
            <w:vAlign w:val="center"/>
          </w:tcPr>
          <w:p w14:paraId="26CEC035" w14:textId="77777777" w:rsidR="00510C21" w:rsidRPr="009F6D1E" w:rsidRDefault="00510C21" w:rsidP="0084747F">
            <w:pPr>
              <w:spacing w:after="60" w:line="264" w:lineRule="auto"/>
              <w:ind w:left="180"/>
              <w:jc w:val="center"/>
              <w:rPr>
                <w:rFonts w:eastAsia="Times New Roman" w:cs="Times New Roman"/>
                <w:sz w:val="20"/>
                <w:szCs w:val="20"/>
              </w:rPr>
            </w:pPr>
            <w:r w:rsidRPr="009F6D1E">
              <w:rPr>
                <w:rFonts w:eastAsia="Times New Roman" w:cs="Times New Roman"/>
                <w:sz w:val="20"/>
                <w:szCs w:val="20"/>
              </w:rPr>
              <w:t>18,26</w:t>
            </w:r>
          </w:p>
        </w:tc>
        <w:tc>
          <w:tcPr>
            <w:tcW w:w="637" w:type="pct"/>
            <w:shd w:val="clear" w:color="auto" w:fill="FFFFFF"/>
            <w:vAlign w:val="center"/>
          </w:tcPr>
          <w:p w14:paraId="64B08027" w14:textId="77777777" w:rsidR="00510C21" w:rsidRPr="009F6D1E" w:rsidRDefault="00510C21" w:rsidP="0084747F">
            <w:pPr>
              <w:spacing w:after="60" w:line="264" w:lineRule="auto"/>
              <w:ind w:left="220"/>
              <w:jc w:val="center"/>
              <w:rPr>
                <w:rFonts w:eastAsia="Times New Roman" w:cs="Times New Roman"/>
                <w:sz w:val="20"/>
                <w:szCs w:val="20"/>
              </w:rPr>
            </w:pPr>
            <w:r w:rsidRPr="009F6D1E">
              <w:rPr>
                <w:rFonts w:eastAsia="Times New Roman" w:cs="Times New Roman"/>
                <w:sz w:val="20"/>
                <w:szCs w:val="20"/>
              </w:rPr>
              <w:t>55955,28</w:t>
            </w:r>
          </w:p>
        </w:tc>
        <w:tc>
          <w:tcPr>
            <w:tcW w:w="513" w:type="pct"/>
            <w:shd w:val="clear" w:color="auto" w:fill="FFFFFF"/>
            <w:vAlign w:val="center"/>
          </w:tcPr>
          <w:p w14:paraId="62315346" w14:textId="77777777" w:rsidR="00510C21" w:rsidRPr="009F6D1E" w:rsidRDefault="00510C21" w:rsidP="0084747F">
            <w:pPr>
              <w:spacing w:after="60" w:line="264" w:lineRule="auto"/>
              <w:ind w:left="300"/>
              <w:jc w:val="center"/>
              <w:rPr>
                <w:rFonts w:eastAsia="Times New Roman" w:cs="Times New Roman"/>
                <w:sz w:val="20"/>
                <w:szCs w:val="20"/>
              </w:rPr>
            </w:pPr>
            <w:r w:rsidRPr="009F6D1E">
              <w:rPr>
                <w:rFonts w:eastAsia="Times New Roman" w:cs="Times New Roman"/>
                <w:sz w:val="20"/>
                <w:szCs w:val="20"/>
              </w:rPr>
              <w:t>49%</w:t>
            </w:r>
          </w:p>
        </w:tc>
      </w:tr>
      <w:tr w:rsidR="00444070" w:rsidRPr="009F6D1E" w14:paraId="40CDD271" w14:textId="77777777" w:rsidTr="00444070">
        <w:trPr>
          <w:trHeight w:hRule="exact" w:val="541"/>
        </w:trPr>
        <w:tc>
          <w:tcPr>
            <w:tcW w:w="853" w:type="pct"/>
            <w:shd w:val="clear" w:color="auto" w:fill="FFFFFF"/>
            <w:vAlign w:val="center"/>
          </w:tcPr>
          <w:p w14:paraId="352AD82D" w14:textId="341217FD" w:rsidR="00444070" w:rsidRPr="009F6D1E" w:rsidRDefault="00444070" w:rsidP="00444070">
            <w:pPr>
              <w:spacing w:after="60" w:line="264" w:lineRule="auto"/>
              <w:jc w:val="center"/>
              <w:rPr>
                <w:rFonts w:eastAsia="Times New Roman" w:cs="Times New Roman"/>
                <w:b/>
                <w:bCs/>
                <w:sz w:val="20"/>
                <w:szCs w:val="20"/>
                <w:lang w:eastAsia="bg-BG" w:bidi="bg-BG"/>
              </w:rPr>
            </w:pPr>
            <w:r>
              <w:rPr>
                <w:rFonts w:eastAsia="Times New Roman" w:cs="Times New Roman"/>
                <w:b/>
                <w:bCs/>
                <w:sz w:val="20"/>
                <w:szCs w:val="20"/>
                <w:lang w:eastAsia="bg-BG" w:bidi="bg-BG"/>
              </w:rPr>
              <w:t>2020</w:t>
            </w:r>
          </w:p>
        </w:tc>
        <w:tc>
          <w:tcPr>
            <w:tcW w:w="601" w:type="pct"/>
            <w:shd w:val="clear" w:color="auto" w:fill="FFFFFF"/>
            <w:vAlign w:val="center"/>
          </w:tcPr>
          <w:p w14:paraId="47B40180" w14:textId="7704421D" w:rsidR="00444070" w:rsidRPr="009F6D1E" w:rsidRDefault="00444070" w:rsidP="00444070">
            <w:pPr>
              <w:spacing w:after="60" w:line="264" w:lineRule="auto"/>
              <w:ind w:left="180"/>
              <w:jc w:val="center"/>
              <w:rPr>
                <w:rFonts w:eastAsia="Times New Roman" w:cs="Times New Roman"/>
                <w:sz w:val="20"/>
                <w:szCs w:val="20"/>
              </w:rPr>
            </w:pPr>
            <w:r w:rsidRPr="00444070">
              <w:rPr>
                <w:rFonts w:eastAsia="Times New Roman" w:cs="Times New Roman"/>
                <w:sz w:val="20"/>
                <w:szCs w:val="20"/>
              </w:rPr>
              <w:t>36967,11</w:t>
            </w:r>
          </w:p>
        </w:tc>
        <w:tc>
          <w:tcPr>
            <w:tcW w:w="569" w:type="pct"/>
            <w:shd w:val="clear" w:color="auto" w:fill="FFFFFF"/>
            <w:vAlign w:val="center"/>
          </w:tcPr>
          <w:p w14:paraId="5FAA6C75" w14:textId="796946F8" w:rsidR="00444070" w:rsidRPr="009F6D1E" w:rsidRDefault="00444070" w:rsidP="00444070">
            <w:pPr>
              <w:spacing w:after="60" w:line="264" w:lineRule="auto"/>
              <w:ind w:left="200"/>
              <w:jc w:val="center"/>
              <w:rPr>
                <w:rFonts w:eastAsia="Times New Roman" w:cs="Times New Roman"/>
                <w:sz w:val="20"/>
                <w:szCs w:val="20"/>
              </w:rPr>
            </w:pPr>
            <w:r w:rsidRPr="00444070">
              <w:rPr>
                <w:rFonts w:eastAsia="Times New Roman" w:cs="Times New Roman"/>
                <w:sz w:val="20"/>
                <w:szCs w:val="20"/>
              </w:rPr>
              <w:t>5698,54</w:t>
            </w:r>
          </w:p>
        </w:tc>
        <w:tc>
          <w:tcPr>
            <w:tcW w:w="568" w:type="pct"/>
            <w:shd w:val="clear" w:color="auto" w:fill="FFFFFF"/>
            <w:vAlign w:val="center"/>
          </w:tcPr>
          <w:p w14:paraId="280F9FFE" w14:textId="56D4A2C9" w:rsidR="00444070" w:rsidRPr="009F6D1E" w:rsidRDefault="00444070" w:rsidP="00444070">
            <w:pPr>
              <w:spacing w:after="60" w:line="264" w:lineRule="auto"/>
              <w:ind w:left="200"/>
              <w:jc w:val="center"/>
              <w:rPr>
                <w:rFonts w:eastAsia="Times New Roman" w:cs="Times New Roman"/>
                <w:sz w:val="20"/>
                <w:szCs w:val="20"/>
              </w:rPr>
            </w:pPr>
            <w:r w:rsidRPr="00444070">
              <w:rPr>
                <w:rFonts w:eastAsia="Times New Roman" w:cs="Times New Roman"/>
                <w:sz w:val="20"/>
                <w:szCs w:val="20"/>
              </w:rPr>
              <w:t>4762,23</w:t>
            </w:r>
          </w:p>
        </w:tc>
        <w:tc>
          <w:tcPr>
            <w:tcW w:w="505" w:type="pct"/>
            <w:shd w:val="clear" w:color="auto" w:fill="FFFFFF"/>
            <w:vAlign w:val="center"/>
          </w:tcPr>
          <w:p w14:paraId="7A79A4CB" w14:textId="3675DB40" w:rsidR="00444070" w:rsidRPr="009F6D1E" w:rsidRDefault="00444070" w:rsidP="00444070">
            <w:pPr>
              <w:spacing w:after="60" w:line="264" w:lineRule="auto"/>
              <w:ind w:left="180"/>
              <w:jc w:val="center"/>
              <w:rPr>
                <w:rFonts w:eastAsia="Times New Roman" w:cs="Times New Roman"/>
                <w:sz w:val="20"/>
                <w:szCs w:val="20"/>
              </w:rPr>
            </w:pPr>
            <w:r w:rsidRPr="00444070">
              <w:rPr>
                <w:rFonts w:eastAsia="Times New Roman" w:cs="Times New Roman"/>
                <w:sz w:val="20"/>
                <w:szCs w:val="20"/>
              </w:rPr>
              <w:t>1704,46</w:t>
            </w:r>
          </w:p>
        </w:tc>
        <w:tc>
          <w:tcPr>
            <w:tcW w:w="371" w:type="pct"/>
            <w:shd w:val="clear" w:color="auto" w:fill="FFFFFF"/>
            <w:vAlign w:val="center"/>
          </w:tcPr>
          <w:p w14:paraId="27B3F190" w14:textId="6269051C" w:rsidR="00444070" w:rsidRPr="009F6D1E" w:rsidRDefault="00444070" w:rsidP="00444070">
            <w:pPr>
              <w:spacing w:after="60" w:line="264" w:lineRule="auto"/>
              <w:ind w:left="160"/>
              <w:jc w:val="center"/>
              <w:rPr>
                <w:rFonts w:eastAsia="Times New Roman" w:cs="Times New Roman"/>
                <w:sz w:val="20"/>
                <w:szCs w:val="20"/>
              </w:rPr>
            </w:pPr>
            <w:r w:rsidRPr="00444070">
              <w:rPr>
                <w:rFonts w:eastAsia="Times New Roman" w:cs="Times New Roman"/>
                <w:sz w:val="20"/>
                <w:szCs w:val="20"/>
              </w:rPr>
              <w:t>0,01</w:t>
            </w:r>
          </w:p>
        </w:tc>
        <w:tc>
          <w:tcPr>
            <w:tcW w:w="383" w:type="pct"/>
            <w:shd w:val="clear" w:color="auto" w:fill="FFFFFF"/>
            <w:vAlign w:val="center"/>
          </w:tcPr>
          <w:p w14:paraId="3D46F7DB" w14:textId="71F5DB5C" w:rsidR="00444070" w:rsidRPr="009F6D1E" w:rsidRDefault="00444070" w:rsidP="00444070">
            <w:pPr>
              <w:spacing w:after="60" w:line="264" w:lineRule="auto"/>
              <w:ind w:left="180"/>
              <w:jc w:val="center"/>
              <w:rPr>
                <w:rFonts w:eastAsia="Times New Roman" w:cs="Times New Roman"/>
                <w:sz w:val="20"/>
                <w:szCs w:val="20"/>
              </w:rPr>
            </w:pPr>
            <w:r w:rsidRPr="00444070">
              <w:rPr>
                <w:rFonts w:eastAsia="Times New Roman" w:cs="Times New Roman"/>
                <w:sz w:val="20"/>
                <w:szCs w:val="20"/>
              </w:rPr>
              <w:t>19,84</w:t>
            </w:r>
          </w:p>
        </w:tc>
        <w:tc>
          <w:tcPr>
            <w:tcW w:w="637" w:type="pct"/>
            <w:shd w:val="clear" w:color="auto" w:fill="FFFFFF"/>
            <w:vAlign w:val="center"/>
          </w:tcPr>
          <w:p w14:paraId="669F5E87" w14:textId="7FED509A" w:rsidR="00444070" w:rsidRPr="009F6D1E" w:rsidRDefault="00444070" w:rsidP="00444070">
            <w:pPr>
              <w:spacing w:after="60" w:line="264" w:lineRule="auto"/>
              <w:ind w:left="220"/>
              <w:jc w:val="center"/>
              <w:rPr>
                <w:rFonts w:eastAsia="Times New Roman" w:cs="Times New Roman"/>
                <w:sz w:val="20"/>
                <w:szCs w:val="20"/>
              </w:rPr>
            </w:pPr>
            <w:r w:rsidRPr="00444070">
              <w:rPr>
                <w:rFonts w:eastAsia="Times New Roman" w:cs="Times New Roman"/>
                <w:sz w:val="20"/>
                <w:szCs w:val="20"/>
              </w:rPr>
              <w:t>49152,19</w:t>
            </w:r>
          </w:p>
        </w:tc>
        <w:tc>
          <w:tcPr>
            <w:tcW w:w="513" w:type="pct"/>
            <w:shd w:val="clear" w:color="auto" w:fill="FFFFFF"/>
            <w:vAlign w:val="center"/>
          </w:tcPr>
          <w:p w14:paraId="0AFA564F" w14:textId="4E3A31A2" w:rsidR="00444070" w:rsidRPr="009F6D1E" w:rsidRDefault="00444070" w:rsidP="00444070">
            <w:pPr>
              <w:spacing w:after="60" w:line="264" w:lineRule="auto"/>
              <w:ind w:left="300"/>
              <w:jc w:val="center"/>
              <w:rPr>
                <w:rFonts w:eastAsia="Times New Roman" w:cs="Times New Roman"/>
                <w:sz w:val="20"/>
                <w:szCs w:val="20"/>
              </w:rPr>
            </w:pPr>
            <w:r w:rsidRPr="00444070">
              <w:rPr>
                <w:rFonts w:eastAsia="Times New Roman" w:cs="Times New Roman"/>
                <w:sz w:val="20"/>
                <w:szCs w:val="20"/>
              </w:rPr>
              <w:t>43%</w:t>
            </w:r>
          </w:p>
        </w:tc>
      </w:tr>
    </w:tbl>
    <w:p w14:paraId="5BFDF1E6" w14:textId="72F3BCA9" w:rsidR="00510C21" w:rsidRPr="009F6D1E" w:rsidRDefault="00510C21" w:rsidP="0084747F">
      <w:pPr>
        <w:widowControl w:val="0"/>
        <w:spacing w:after="60" w:line="264" w:lineRule="auto"/>
        <w:rPr>
          <w:rFonts w:eastAsia="Times New Roman" w:cs="Times New Roman"/>
          <w:i/>
          <w:iCs/>
          <w:szCs w:val="24"/>
        </w:rPr>
      </w:pPr>
      <w:r w:rsidRPr="009F6D1E">
        <w:rPr>
          <w:rFonts w:eastAsia="Times New Roman" w:cs="Times New Roman"/>
          <w:i/>
          <w:iCs/>
          <w:szCs w:val="24"/>
        </w:rPr>
        <w:t>Източник: ИАОС, Национален доклад за инвентаризация на емисиите на ПГ за 20</w:t>
      </w:r>
      <w:r w:rsidR="00444070">
        <w:rPr>
          <w:rFonts w:eastAsia="Times New Roman" w:cs="Times New Roman"/>
          <w:i/>
          <w:iCs/>
          <w:szCs w:val="24"/>
        </w:rPr>
        <w:t>20</w:t>
      </w:r>
      <w:r w:rsidRPr="009F6D1E">
        <w:rPr>
          <w:rFonts w:eastAsia="Times New Roman" w:cs="Times New Roman"/>
          <w:i/>
          <w:iCs/>
          <w:szCs w:val="24"/>
        </w:rPr>
        <w:t xml:space="preserve"> г.</w:t>
      </w:r>
    </w:p>
    <w:p w14:paraId="674028DB" w14:textId="62408109" w:rsidR="00444070" w:rsidRDefault="00444070" w:rsidP="00444070">
      <w:pPr>
        <w:spacing w:after="60" w:line="264" w:lineRule="auto"/>
        <w:ind w:firstLine="851"/>
        <w:jc w:val="both"/>
        <w:rPr>
          <w:rFonts w:ascii="Arial" w:hAnsi="Arial" w:cs="Arial"/>
          <w:color w:val="000000"/>
          <w:sz w:val="19"/>
          <w:szCs w:val="19"/>
          <w:shd w:val="clear" w:color="auto" w:fill="FFFFFF"/>
        </w:rPr>
      </w:pPr>
      <w:r w:rsidRPr="00444070">
        <w:rPr>
          <w:rFonts w:eastAsia="Times New Roman" w:cs="Times New Roman"/>
          <w:szCs w:val="24"/>
          <w:lang w:bidi="bg-BG"/>
        </w:rPr>
        <w:t>Анализът на разпределението на основните ПГ в общите емисии (в CO2 - екв.) за 2020 г. показва, че емисиите на CO</w:t>
      </w:r>
      <w:r w:rsidRPr="00444070">
        <w:rPr>
          <w:rFonts w:eastAsia="Times New Roman" w:cs="Times New Roman"/>
          <w:szCs w:val="24"/>
          <w:vertAlign w:val="subscript"/>
          <w:lang w:bidi="bg-BG"/>
        </w:rPr>
        <w:t>2</w:t>
      </w:r>
      <w:r w:rsidRPr="00444070">
        <w:rPr>
          <w:rFonts w:eastAsia="Times New Roman" w:cs="Times New Roman"/>
          <w:szCs w:val="24"/>
          <w:lang w:bidi="bg-BG"/>
        </w:rPr>
        <w:t> имат най-голям дял от общите емисии на ПГ – 75,21%, емисиите на CH4 са на второ място с 11,59%, емисиите на N2O с дял 9,69 % остават на трето място, F - газове са с дял от 3,47% – на четвърто</w:t>
      </w:r>
      <w:r>
        <w:rPr>
          <w:rFonts w:ascii="Arial" w:hAnsi="Arial" w:cs="Arial"/>
          <w:color w:val="000000"/>
          <w:sz w:val="19"/>
          <w:szCs w:val="19"/>
          <w:shd w:val="clear" w:color="auto" w:fill="FFFFFF"/>
        </w:rPr>
        <w:t>.</w:t>
      </w:r>
    </w:p>
    <w:p w14:paraId="5FA31C3F" w14:textId="037F8A82" w:rsidR="00444070" w:rsidRDefault="00444070" w:rsidP="00444070">
      <w:pPr>
        <w:spacing w:after="60" w:line="264" w:lineRule="auto"/>
        <w:jc w:val="center"/>
        <w:rPr>
          <w:rFonts w:ascii="Arial" w:hAnsi="Arial" w:cs="Arial"/>
          <w:color w:val="000000"/>
          <w:sz w:val="19"/>
          <w:szCs w:val="19"/>
          <w:shd w:val="clear" w:color="auto" w:fill="FFFFFF"/>
        </w:rPr>
      </w:pPr>
      <w:r w:rsidRPr="00444070">
        <w:rPr>
          <w:rFonts w:ascii="Arial" w:hAnsi="Arial" w:cs="Arial"/>
          <w:noProof/>
          <w:color w:val="000000"/>
          <w:sz w:val="19"/>
          <w:szCs w:val="19"/>
          <w:shd w:val="clear" w:color="auto" w:fill="FFFFFF"/>
          <w:lang w:val="en-US"/>
        </w:rPr>
        <w:drawing>
          <wp:inline distT="0" distB="0" distL="0" distR="0" wp14:anchorId="4EF15619" wp14:editId="1B80D1C1">
            <wp:extent cx="5380186" cy="2606266"/>
            <wp:effectExtent l="0" t="0" r="0" b="381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80186" cy="2606266"/>
                    </a:xfrm>
                    <a:prstGeom prst="rect">
                      <a:avLst/>
                    </a:prstGeom>
                  </pic:spPr>
                </pic:pic>
              </a:graphicData>
            </a:graphic>
          </wp:inline>
        </w:drawing>
      </w:r>
    </w:p>
    <w:p w14:paraId="57CD6733" w14:textId="77777777" w:rsidR="008C406F" w:rsidRPr="009F6D1E" w:rsidRDefault="008C406F" w:rsidP="008C406F">
      <w:pPr>
        <w:spacing w:after="60" w:line="264" w:lineRule="auto"/>
        <w:jc w:val="both"/>
        <w:rPr>
          <w:rFonts w:eastAsia="Times New Roman" w:cs="Times New Roman"/>
          <w:i/>
          <w:iCs/>
          <w:szCs w:val="24"/>
          <w:lang w:bidi="bg-BG"/>
        </w:rPr>
      </w:pPr>
      <w:bookmarkStart w:id="174" w:name="_Ref107164624"/>
      <w:r w:rsidRPr="009F6D1E">
        <w:rPr>
          <w:rFonts w:eastAsia="Times New Roman" w:cs="Times New Roman"/>
          <w:i/>
          <w:iCs/>
          <w:szCs w:val="24"/>
          <w:lang w:bidi="bg-BG"/>
        </w:rPr>
        <w:t>Източник: ИАОС</w:t>
      </w:r>
    </w:p>
    <w:p w14:paraId="7658C350" w14:textId="37604E35" w:rsidR="00510C21" w:rsidRPr="009F6D1E" w:rsidRDefault="00BD550E" w:rsidP="00BD550E">
      <w:pPr>
        <w:pStyle w:val="Caption"/>
      </w:pPr>
      <w:bookmarkStart w:id="175" w:name="_Toc115255067"/>
      <w:r w:rsidRPr="009F6D1E">
        <w:t xml:space="preserve">Фигура </w:t>
      </w:r>
      <w:fldSimple w:instr=" SEQ Фигура \* ARABIC ">
        <w:r w:rsidR="00A43EF3">
          <w:rPr>
            <w:noProof/>
          </w:rPr>
          <w:t>6</w:t>
        </w:r>
      </w:fldSimple>
      <w:bookmarkEnd w:id="174"/>
      <w:r w:rsidRPr="009F6D1E">
        <w:t xml:space="preserve"> :</w:t>
      </w:r>
      <w:r w:rsidR="00510C21" w:rsidRPr="009F6D1E">
        <w:rPr>
          <w:rFonts w:eastAsia="Times New Roman"/>
          <w:lang w:bidi="bg-BG"/>
        </w:rPr>
        <w:t xml:space="preserve"> Тенденция на емисиите на основните ПГ – CO</w:t>
      </w:r>
      <w:r w:rsidR="00510C21" w:rsidRPr="009F6D1E">
        <w:rPr>
          <w:rFonts w:eastAsia="Times New Roman"/>
          <w:vertAlign w:val="subscript"/>
          <w:lang w:bidi="bg-BG"/>
        </w:rPr>
        <w:t>2</w:t>
      </w:r>
      <w:r w:rsidR="00510C21" w:rsidRPr="009F6D1E">
        <w:rPr>
          <w:rFonts w:eastAsia="Times New Roman"/>
          <w:lang w:bidi="bg-BG"/>
        </w:rPr>
        <w:t>, CH</w:t>
      </w:r>
      <w:r w:rsidR="00510C21" w:rsidRPr="009F6D1E">
        <w:rPr>
          <w:rFonts w:eastAsia="Times New Roman"/>
          <w:vertAlign w:val="subscript"/>
          <w:lang w:bidi="bg-BG"/>
        </w:rPr>
        <w:t>4</w:t>
      </w:r>
      <w:r w:rsidR="00510C21" w:rsidRPr="009F6D1E">
        <w:rPr>
          <w:rFonts w:eastAsia="Times New Roman"/>
          <w:lang w:bidi="bg-BG"/>
        </w:rPr>
        <w:t xml:space="preserve"> и N</w:t>
      </w:r>
      <w:r w:rsidR="00510C21" w:rsidRPr="009F6D1E">
        <w:rPr>
          <w:rFonts w:eastAsia="Times New Roman"/>
          <w:vertAlign w:val="subscript"/>
          <w:lang w:bidi="bg-BG"/>
        </w:rPr>
        <w:t>2</w:t>
      </w:r>
      <w:r w:rsidR="00510C21" w:rsidRPr="009F6D1E">
        <w:rPr>
          <w:rFonts w:eastAsia="Times New Roman"/>
          <w:lang w:bidi="bg-BG"/>
        </w:rPr>
        <w:t xml:space="preserve">O и общата емисия на ПГ (в това число </w:t>
      </w:r>
      <w:proofErr w:type="spellStart"/>
      <w:r w:rsidR="00510C21" w:rsidRPr="009F6D1E">
        <w:rPr>
          <w:rFonts w:eastAsia="Times New Roman"/>
          <w:lang w:bidi="bg-BG"/>
        </w:rPr>
        <w:t>HFCs</w:t>
      </w:r>
      <w:proofErr w:type="spellEnd"/>
      <w:r w:rsidR="00510C21" w:rsidRPr="009F6D1E">
        <w:rPr>
          <w:rFonts w:eastAsia="Times New Roman"/>
          <w:lang w:bidi="bg-BG"/>
        </w:rPr>
        <w:t xml:space="preserve">, </w:t>
      </w:r>
      <w:proofErr w:type="spellStart"/>
      <w:r w:rsidR="00510C21" w:rsidRPr="009F6D1E">
        <w:rPr>
          <w:rFonts w:eastAsia="Times New Roman"/>
          <w:lang w:bidi="bg-BG"/>
        </w:rPr>
        <w:t>PFCs</w:t>
      </w:r>
      <w:proofErr w:type="spellEnd"/>
      <w:r w:rsidR="00510C21" w:rsidRPr="009F6D1E">
        <w:rPr>
          <w:rFonts w:eastAsia="Times New Roman"/>
          <w:lang w:bidi="bg-BG"/>
        </w:rPr>
        <w:t xml:space="preserve"> и SF6) за периода 1988-20</w:t>
      </w:r>
      <w:r w:rsidR="00444070">
        <w:rPr>
          <w:rFonts w:eastAsia="Times New Roman"/>
          <w:lang w:bidi="bg-BG"/>
        </w:rPr>
        <w:t>20</w:t>
      </w:r>
      <w:r w:rsidR="00510C21" w:rsidRPr="009F6D1E">
        <w:rPr>
          <w:rFonts w:eastAsia="Times New Roman"/>
          <w:lang w:bidi="bg-BG"/>
        </w:rPr>
        <w:t xml:space="preserve"> г., </w:t>
      </w:r>
      <w:proofErr w:type="spellStart"/>
      <w:r w:rsidR="00510C21" w:rsidRPr="009F6D1E">
        <w:rPr>
          <w:rFonts w:eastAsia="Times New Roman"/>
          <w:lang w:bidi="bg-BG"/>
        </w:rPr>
        <w:t>Gg</w:t>
      </w:r>
      <w:proofErr w:type="spellEnd"/>
      <w:r w:rsidR="00510C21" w:rsidRPr="009F6D1E">
        <w:rPr>
          <w:rFonts w:eastAsia="Times New Roman"/>
          <w:lang w:bidi="bg-BG"/>
        </w:rPr>
        <w:t xml:space="preserve"> CO</w:t>
      </w:r>
      <w:r w:rsidR="00510C21" w:rsidRPr="009F6D1E">
        <w:rPr>
          <w:rFonts w:eastAsia="Times New Roman"/>
          <w:vertAlign w:val="subscript"/>
          <w:lang w:bidi="bg-BG"/>
        </w:rPr>
        <w:t>2</w:t>
      </w:r>
      <w:r w:rsidR="00510C21" w:rsidRPr="009F6D1E">
        <w:rPr>
          <w:rFonts w:eastAsia="Times New Roman"/>
          <w:lang w:bidi="bg-BG"/>
        </w:rPr>
        <w:t xml:space="preserve"> - екв.</w:t>
      </w:r>
      <w:bookmarkEnd w:id="175"/>
    </w:p>
    <w:p w14:paraId="48C73210" w14:textId="77777777" w:rsidR="00A43EF3" w:rsidRPr="009F6D1E" w:rsidRDefault="00510C21" w:rsidP="00A43EF3">
      <w:pPr>
        <w:spacing w:after="60" w:line="264" w:lineRule="auto"/>
        <w:ind w:firstLine="851"/>
        <w:jc w:val="both"/>
        <w:rPr>
          <w:rFonts w:eastAsia="Times New Roman" w:cs="Times New Roman"/>
          <w:i/>
          <w:iCs/>
          <w:szCs w:val="24"/>
          <w:lang w:bidi="bg-BG"/>
        </w:rPr>
      </w:pPr>
      <w:r w:rsidRPr="009F6D1E">
        <w:rPr>
          <w:rFonts w:eastAsia="Times New Roman" w:cs="Times New Roman"/>
          <w:szCs w:val="24"/>
          <w:lang w:bidi="bg-BG"/>
        </w:rPr>
        <w:t xml:space="preserve">Анализът на </w:t>
      </w:r>
      <w:r w:rsidR="003F3D71" w:rsidRPr="009F6D1E">
        <w:rPr>
          <w:rFonts w:eastAsia="Times New Roman" w:cs="Times New Roman"/>
          <w:szCs w:val="24"/>
          <w:lang w:bidi="bg-BG"/>
        </w:rPr>
        <w:fldChar w:fldCharType="begin"/>
      </w:r>
      <w:r w:rsidR="00B1468B" w:rsidRPr="009F6D1E">
        <w:rPr>
          <w:rFonts w:eastAsia="Times New Roman" w:cs="Times New Roman"/>
          <w:szCs w:val="24"/>
          <w:lang w:bidi="bg-BG"/>
        </w:rPr>
        <w:instrText xml:space="preserve"> REF _Ref107164624 \h </w:instrText>
      </w:r>
      <w:r w:rsidR="00444070">
        <w:rPr>
          <w:rFonts w:eastAsia="Times New Roman" w:cs="Times New Roman"/>
          <w:szCs w:val="24"/>
          <w:lang w:bidi="bg-BG"/>
        </w:rPr>
        <w:instrText xml:space="preserve"> \* MERGEFORMAT </w:instrText>
      </w:r>
      <w:r w:rsidR="003F3D71" w:rsidRPr="009F6D1E">
        <w:rPr>
          <w:rFonts w:eastAsia="Times New Roman" w:cs="Times New Roman"/>
          <w:szCs w:val="24"/>
          <w:lang w:bidi="bg-BG"/>
        </w:rPr>
      </w:r>
      <w:r w:rsidR="003F3D71" w:rsidRPr="009F6D1E">
        <w:rPr>
          <w:rFonts w:eastAsia="Times New Roman" w:cs="Times New Roman"/>
          <w:szCs w:val="24"/>
          <w:lang w:bidi="bg-BG"/>
        </w:rPr>
        <w:fldChar w:fldCharType="separate"/>
      </w:r>
      <w:r w:rsidR="00A43EF3" w:rsidRPr="00A43EF3">
        <w:rPr>
          <w:rFonts w:eastAsia="Times New Roman" w:cs="Times New Roman"/>
          <w:szCs w:val="24"/>
          <w:lang w:bidi="bg-BG"/>
        </w:rPr>
        <w:t xml:space="preserve">Източник: </w:t>
      </w:r>
      <w:r w:rsidR="00A43EF3" w:rsidRPr="009F6D1E">
        <w:rPr>
          <w:rFonts w:eastAsia="Times New Roman" w:cs="Times New Roman"/>
          <w:i/>
          <w:iCs/>
          <w:szCs w:val="24"/>
          <w:lang w:bidi="bg-BG"/>
        </w:rPr>
        <w:t>ИАОС</w:t>
      </w:r>
    </w:p>
    <w:p w14:paraId="4649CF05" w14:textId="361A94AD" w:rsidR="00510C21" w:rsidRPr="009F6D1E" w:rsidRDefault="00A43EF3" w:rsidP="0084747F">
      <w:pPr>
        <w:spacing w:after="60" w:line="264" w:lineRule="auto"/>
        <w:ind w:firstLine="851"/>
        <w:jc w:val="both"/>
        <w:rPr>
          <w:rFonts w:eastAsia="Times New Roman" w:cs="Times New Roman"/>
          <w:szCs w:val="24"/>
          <w:lang w:bidi="bg-BG"/>
        </w:rPr>
      </w:pPr>
      <w:r w:rsidRPr="009F6D1E">
        <w:lastRenderedPageBreak/>
        <w:t xml:space="preserve">Фигура </w:t>
      </w:r>
      <w:r>
        <w:rPr>
          <w:noProof/>
        </w:rPr>
        <w:t>6</w:t>
      </w:r>
      <w:r w:rsidR="003F3D71" w:rsidRPr="009F6D1E">
        <w:rPr>
          <w:rFonts w:eastAsia="Times New Roman" w:cs="Times New Roman"/>
          <w:szCs w:val="24"/>
          <w:lang w:bidi="bg-BG"/>
        </w:rPr>
        <w:fldChar w:fldCharType="end"/>
      </w:r>
      <w:r w:rsidR="00510C21" w:rsidRPr="009F6D1E">
        <w:rPr>
          <w:rFonts w:eastAsia="Times New Roman" w:cs="Times New Roman"/>
          <w:szCs w:val="24"/>
          <w:lang w:bidi="bg-BG"/>
        </w:rPr>
        <w:t xml:space="preserve"> показва, че за периода 1988 – 20</w:t>
      </w:r>
      <w:r w:rsidR="00444070">
        <w:rPr>
          <w:rFonts w:eastAsia="Times New Roman" w:cs="Times New Roman"/>
          <w:szCs w:val="24"/>
          <w:lang w:bidi="bg-BG"/>
        </w:rPr>
        <w:t>20</w:t>
      </w:r>
      <w:r w:rsidR="00510C21" w:rsidRPr="009F6D1E">
        <w:rPr>
          <w:rFonts w:eastAsia="Times New Roman" w:cs="Times New Roman"/>
          <w:szCs w:val="24"/>
          <w:lang w:bidi="bg-BG"/>
        </w:rPr>
        <w:t xml:space="preserve"> г., </w:t>
      </w:r>
      <w:r w:rsidR="00444070" w:rsidRPr="00444070">
        <w:rPr>
          <w:rFonts w:eastAsia="Times New Roman" w:cs="Times New Roman"/>
          <w:szCs w:val="24"/>
          <w:lang w:bidi="bg-BG"/>
        </w:rPr>
        <w:t xml:space="preserve">емисиите на основните ПГ имат тенденция към намаляване. През 2020 г. са емитирани общи емисии на ПГ – 49 152,19 </w:t>
      </w:r>
      <w:proofErr w:type="spellStart"/>
      <w:r w:rsidR="00444070" w:rsidRPr="00444070">
        <w:rPr>
          <w:rFonts w:eastAsia="Times New Roman" w:cs="Times New Roman"/>
          <w:szCs w:val="24"/>
          <w:lang w:bidi="bg-BG"/>
        </w:rPr>
        <w:t>Gg</w:t>
      </w:r>
      <w:proofErr w:type="spellEnd"/>
      <w:r w:rsidR="00444070" w:rsidRPr="00444070">
        <w:rPr>
          <w:rFonts w:eastAsia="Times New Roman" w:cs="Times New Roman"/>
          <w:szCs w:val="24"/>
          <w:lang w:bidi="bg-BG"/>
        </w:rPr>
        <w:t xml:space="preserve"> CO</w:t>
      </w:r>
      <w:r w:rsidR="00444070" w:rsidRPr="00444070">
        <w:rPr>
          <w:rFonts w:eastAsia="Times New Roman" w:cs="Times New Roman"/>
          <w:szCs w:val="24"/>
          <w:vertAlign w:val="subscript"/>
          <w:lang w:bidi="bg-BG"/>
        </w:rPr>
        <w:t>2</w:t>
      </w:r>
      <w:r w:rsidR="00444070" w:rsidRPr="00444070">
        <w:rPr>
          <w:rFonts w:eastAsia="Times New Roman" w:cs="Times New Roman"/>
          <w:szCs w:val="24"/>
          <w:lang w:bidi="bg-BG"/>
        </w:rPr>
        <w:t>-екв. или 43,44% от емисиите през базовата година, като минимумът e през 2020 г (43%).</w:t>
      </w:r>
      <w:r w:rsidR="00510C21" w:rsidRPr="009F6D1E">
        <w:rPr>
          <w:rFonts w:eastAsia="Times New Roman" w:cs="Times New Roman"/>
          <w:szCs w:val="24"/>
          <w:lang w:bidi="bg-BG"/>
        </w:rPr>
        <w:t>.</w:t>
      </w:r>
    </w:p>
    <w:p w14:paraId="1897CF81"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Тенденции в емисиите на парникови газове по сектори от класификацията на Междуправителствения комитет по изменение на климата (IPCC)</w:t>
      </w:r>
    </w:p>
    <w:p w14:paraId="130055CB" w14:textId="77777777" w:rsidR="00510C21" w:rsidRPr="009F6D1E" w:rsidRDefault="00510C21" w:rsidP="009B3DA8">
      <w:pPr>
        <w:spacing w:after="60" w:line="264" w:lineRule="auto"/>
        <w:jc w:val="both"/>
        <w:rPr>
          <w:rFonts w:cs="Times New Roman"/>
          <w:i/>
          <w:iCs/>
          <w:szCs w:val="24"/>
          <w:u w:val="single"/>
        </w:rPr>
      </w:pPr>
      <w:r w:rsidRPr="009F6D1E">
        <w:rPr>
          <w:rFonts w:cs="Times New Roman"/>
          <w:i/>
          <w:iCs/>
          <w:szCs w:val="24"/>
          <w:u w:val="single"/>
        </w:rPr>
        <w:t>Сектор „Енергетика”</w:t>
      </w:r>
    </w:p>
    <w:p w14:paraId="316D992D"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В съответствие с номенклатурата на IPCC в енергийния сектор са включени емисии от изгаряне на горива за получаване на енергия. В този сектор са включени и неорганизирани емисии при добив, пренос и разпределение на твърди, течни и газообразни горива.</w:t>
      </w:r>
    </w:p>
    <w:p w14:paraId="549A0E04"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 xml:space="preserve">В България сектор „Енергетика” има ключова позиция в националната икономика. Той е източник на 71,34% от </w:t>
      </w:r>
      <w:proofErr w:type="spellStart"/>
      <w:r w:rsidRPr="00444070">
        <w:rPr>
          <w:rFonts w:eastAsia="Times New Roman" w:cs="Times New Roman"/>
          <w:szCs w:val="24"/>
          <w:lang w:bidi="bg-BG"/>
        </w:rPr>
        <w:t>агрегираните</w:t>
      </w:r>
      <w:proofErr w:type="spellEnd"/>
      <w:r w:rsidRPr="00444070">
        <w:rPr>
          <w:rFonts w:eastAsia="Times New Roman" w:cs="Times New Roman"/>
          <w:szCs w:val="24"/>
          <w:lang w:bidi="bg-BG"/>
        </w:rPr>
        <w:t xml:space="preserve"> емисии на ПГ за последната година на инвентаризация – 2020 г. Най-голям дял от </w:t>
      </w:r>
      <w:proofErr w:type="spellStart"/>
      <w:r w:rsidRPr="00444070">
        <w:rPr>
          <w:rFonts w:eastAsia="Times New Roman" w:cs="Times New Roman"/>
          <w:szCs w:val="24"/>
          <w:lang w:bidi="bg-BG"/>
        </w:rPr>
        <w:t>агрегираните</w:t>
      </w:r>
      <w:proofErr w:type="spellEnd"/>
      <w:r w:rsidRPr="00444070">
        <w:rPr>
          <w:rFonts w:eastAsia="Times New Roman" w:cs="Times New Roman"/>
          <w:szCs w:val="24"/>
          <w:lang w:bidi="bg-BG"/>
        </w:rPr>
        <w:t xml:space="preserve"> емисии на ПГ в сектора заемат емисиите на CO</w:t>
      </w:r>
      <w:r w:rsidRPr="00444070">
        <w:rPr>
          <w:rFonts w:eastAsia="Times New Roman" w:cs="Times New Roman"/>
          <w:szCs w:val="24"/>
          <w:vertAlign w:val="subscript"/>
          <w:lang w:bidi="bg-BG"/>
        </w:rPr>
        <w:t>2</w:t>
      </w:r>
      <w:r w:rsidRPr="00444070">
        <w:rPr>
          <w:rFonts w:eastAsia="Times New Roman" w:cs="Times New Roman"/>
          <w:szCs w:val="24"/>
          <w:lang w:bidi="bg-BG"/>
        </w:rPr>
        <w:t> – 90% от емисиите на сектора.</w:t>
      </w:r>
    </w:p>
    <w:p w14:paraId="351891E9"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Най-голям дял от емисиите на ПГ имат горивни процеси за производство на енергия – 52,0% от сумарните емисии на сектора. През 2020 г. се наблюдава намаление на емисиите на ПГ с 12,8% спрямо 2019 г.</w:t>
      </w:r>
    </w:p>
    <w:p w14:paraId="6C79F3E0" w14:textId="77777777" w:rsidR="00510C21" w:rsidRPr="009F6D1E" w:rsidRDefault="00510C21" w:rsidP="009B3DA8">
      <w:pPr>
        <w:spacing w:after="60" w:line="264" w:lineRule="auto"/>
        <w:jc w:val="both"/>
        <w:rPr>
          <w:rFonts w:cs="Times New Roman"/>
          <w:i/>
          <w:iCs/>
          <w:szCs w:val="24"/>
          <w:u w:val="single"/>
        </w:rPr>
      </w:pPr>
      <w:r w:rsidRPr="009F6D1E">
        <w:rPr>
          <w:rFonts w:cs="Times New Roman"/>
          <w:i/>
          <w:iCs/>
          <w:szCs w:val="24"/>
          <w:u w:val="single"/>
        </w:rPr>
        <w:t>Сектор „Индустриални процеси и използване на продукти”</w:t>
      </w:r>
    </w:p>
    <w:p w14:paraId="4CC6D934"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 xml:space="preserve">Емисиите на ПГ от сектор „Индустриални процеси и използване на продукти“ се получават в резултат от технологичните процеси на производство и/или консумация на материални продукти. При този вид емисии не участват процесите на изгаряне. Тези процеси са източник на емисии на всички основни ПГ и </w:t>
      </w:r>
      <w:proofErr w:type="spellStart"/>
      <w:r w:rsidRPr="00444070">
        <w:rPr>
          <w:rFonts w:eastAsia="Times New Roman" w:cs="Times New Roman"/>
          <w:szCs w:val="24"/>
          <w:lang w:bidi="bg-BG"/>
        </w:rPr>
        <w:t>прекурсори</w:t>
      </w:r>
      <w:proofErr w:type="spellEnd"/>
      <w:r w:rsidRPr="00444070">
        <w:rPr>
          <w:rFonts w:eastAsia="Times New Roman" w:cs="Times New Roman"/>
          <w:szCs w:val="24"/>
          <w:lang w:bidi="bg-BG"/>
        </w:rPr>
        <w:t xml:space="preserve"> на ПГ.</w:t>
      </w:r>
    </w:p>
    <w:p w14:paraId="03877264"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Секторът емитира 10,78% от националните емисии на ПГ. Най-голям дял в емисиите на ПГ от сектор „Индустриални процеси и използване на продукти“ за 2020 г. има CO</w:t>
      </w:r>
      <w:r w:rsidRPr="00444070">
        <w:rPr>
          <w:rFonts w:eastAsia="Times New Roman" w:cs="Times New Roman"/>
          <w:szCs w:val="24"/>
          <w:vertAlign w:val="subscript"/>
          <w:lang w:bidi="bg-BG"/>
        </w:rPr>
        <w:t>2</w:t>
      </w:r>
      <w:r w:rsidRPr="00444070">
        <w:rPr>
          <w:rFonts w:eastAsia="Times New Roman" w:cs="Times New Roman"/>
          <w:szCs w:val="24"/>
          <w:lang w:bidi="bg-BG"/>
        </w:rPr>
        <w:t> – 65,7%.</w:t>
      </w:r>
    </w:p>
    <w:p w14:paraId="7E3C1947"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В сектора най-значими източници на ПГ са:</w:t>
      </w:r>
    </w:p>
    <w:p w14:paraId="62A2A669" w14:textId="3D0E76BC" w:rsidR="00444070" w:rsidRPr="00444070" w:rsidRDefault="00444070">
      <w:pPr>
        <w:numPr>
          <w:ilvl w:val="0"/>
          <w:numId w:val="53"/>
        </w:numPr>
        <w:spacing w:after="60" w:line="264" w:lineRule="auto"/>
        <w:contextualSpacing/>
        <w:jc w:val="both"/>
        <w:rPr>
          <w:rFonts w:eastAsia="Times New Roman" w:cs="Times New Roman"/>
          <w:szCs w:val="24"/>
          <w:lang w:bidi="bg-BG"/>
        </w:rPr>
      </w:pPr>
      <w:r w:rsidRPr="00444070">
        <w:rPr>
          <w:rFonts w:eastAsia="Times New Roman" w:cs="Times New Roman"/>
          <w:szCs w:val="24"/>
          <w:lang w:bidi="bg-BG"/>
        </w:rPr>
        <w:t>производството на вар (CO</w:t>
      </w:r>
      <w:r w:rsidRPr="00444070">
        <w:rPr>
          <w:rFonts w:eastAsia="Times New Roman" w:cs="Times New Roman"/>
          <w:szCs w:val="24"/>
          <w:vertAlign w:val="subscript"/>
          <w:lang w:bidi="bg-BG"/>
        </w:rPr>
        <w:t>2</w:t>
      </w:r>
      <w:r w:rsidRPr="00444070">
        <w:rPr>
          <w:rFonts w:eastAsia="Times New Roman" w:cs="Times New Roman"/>
          <w:szCs w:val="24"/>
          <w:lang w:bidi="bg-BG"/>
        </w:rPr>
        <w:t>);</w:t>
      </w:r>
    </w:p>
    <w:p w14:paraId="14D70076" w14:textId="36840DD4" w:rsidR="00444070" w:rsidRPr="00444070" w:rsidRDefault="00444070">
      <w:pPr>
        <w:numPr>
          <w:ilvl w:val="0"/>
          <w:numId w:val="53"/>
        </w:numPr>
        <w:spacing w:after="60" w:line="264" w:lineRule="auto"/>
        <w:contextualSpacing/>
        <w:jc w:val="both"/>
        <w:rPr>
          <w:rFonts w:eastAsia="Times New Roman" w:cs="Times New Roman"/>
          <w:szCs w:val="24"/>
          <w:lang w:bidi="bg-BG"/>
        </w:rPr>
      </w:pPr>
      <w:r w:rsidRPr="00444070">
        <w:rPr>
          <w:rFonts w:eastAsia="Times New Roman" w:cs="Times New Roman"/>
          <w:szCs w:val="24"/>
          <w:lang w:bidi="bg-BG"/>
        </w:rPr>
        <w:t>производството на цимент (CO</w:t>
      </w:r>
      <w:r w:rsidRPr="00444070">
        <w:rPr>
          <w:rFonts w:eastAsia="Times New Roman" w:cs="Times New Roman"/>
          <w:szCs w:val="24"/>
          <w:vertAlign w:val="subscript"/>
          <w:lang w:bidi="bg-BG"/>
        </w:rPr>
        <w:t>2</w:t>
      </w:r>
      <w:r w:rsidRPr="00444070">
        <w:rPr>
          <w:rFonts w:eastAsia="Times New Roman" w:cs="Times New Roman"/>
          <w:szCs w:val="24"/>
          <w:lang w:bidi="bg-BG"/>
        </w:rPr>
        <w:t>);</w:t>
      </w:r>
    </w:p>
    <w:p w14:paraId="17395B14" w14:textId="1727095B" w:rsidR="00444070" w:rsidRPr="00444070" w:rsidRDefault="00444070">
      <w:pPr>
        <w:numPr>
          <w:ilvl w:val="0"/>
          <w:numId w:val="53"/>
        </w:numPr>
        <w:spacing w:after="60" w:line="264" w:lineRule="auto"/>
        <w:contextualSpacing/>
        <w:jc w:val="both"/>
        <w:rPr>
          <w:rFonts w:eastAsia="Times New Roman" w:cs="Times New Roman"/>
          <w:szCs w:val="24"/>
          <w:lang w:bidi="bg-BG"/>
        </w:rPr>
      </w:pPr>
      <w:r w:rsidRPr="00444070">
        <w:rPr>
          <w:rFonts w:eastAsia="Times New Roman" w:cs="Times New Roman"/>
          <w:szCs w:val="24"/>
          <w:lang w:bidi="bg-BG"/>
        </w:rPr>
        <w:t>производството на амоняк (CO</w:t>
      </w:r>
      <w:r w:rsidRPr="00444070">
        <w:rPr>
          <w:rFonts w:eastAsia="Times New Roman" w:cs="Times New Roman"/>
          <w:szCs w:val="24"/>
          <w:vertAlign w:val="subscript"/>
          <w:lang w:bidi="bg-BG"/>
        </w:rPr>
        <w:t>2</w:t>
      </w:r>
      <w:r w:rsidRPr="00444070">
        <w:rPr>
          <w:rFonts w:eastAsia="Times New Roman" w:cs="Times New Roman"/>
          <w:szCs w:val="24"/>
          <w:lang w:bidi="bg-BG"/>
        </w:rPr>
        <w:t>);</w:t>
      </w:r>
    </w:p>
    <w:p w14:paraId="0E67C830" w14:textId="140F3072" w:rsidR="00444070" w:rsidRPr="00444070" w:rsidRDefault="00444070">
      <w:pPr>
        <w:numPr>
          <w:ilvl w:val="0"/>
          <w:numId w:val="53"/>
        </w:numPr>
        <w:spacing w:after="60" w:line="264" w:lineRule="auto"/>
        <w:contextualSpacing/>
        <w:jc w:val="both"/>
        <w:rPr>
          <w:rFonts w:eastAsia="Times New Roman" w:cs="Times New Roman"/>
          <w:szCs w:val="24"/>
          <w:lang w:bidi="bg-BG"/>
        </w:rPr>
      </w:pPr>
      <w:r w:rsidRPr="00444070">
        <w:rPr>
          <w:rFonts w:eastAsia="Times New Roman" w:cs="Times New Roman"/>
          <w:szCs w:val="24"/>
          <w:lang w:bidi="bg-BG"/>
        </w:rPr>
        <w:t xml:space="preserve">употреба на варовици в </w:t>
      </w:r>
      <w:proofErr w:type="spellStart"/>
      <w:r w:rsidRPr="00444070">
        <w:rPr>
          <w:rFonts w:eastAsia="Times New Roman" w:cs="Times New Roman"/>
          <w:szCs w:val="24"/>
          <w:lang w:bidi="bg-BG"/>
        </w:rPr>
        <w:t>десулфуризиращи</w:t>
      </w:r>
      <w:proofErr w:type="spellEnd"/>
      <w:r w:rsidRPr="00444070">
        <w:rPr>
          <w:rFonts w:eastAsia="Times New Roman" w:cs="Times New Roman"/>
          <w:szCs w:val="24"/>
          <w:lang w:bidi="bg-BG"/>
        </w:rPr>
        <w:t xml:space="preserve"> инсталации в енергетиката (CO</w:t>
      </w:r>
      <w:r w:rsidRPr="00444070">
        <w:rPr>
          <w:rFonts w:eastAsia="Times New Roman" w:cs="Times New Roman"/>
          <w:szCs w:val="24"/>
          <w:vertAlign w:val="subscript"/>
          <w:lang w:bidi="bg-BG"/>
        </w:rPr>
        <w:t>2</w:t>
      </w:r>
      <w:r w:rsidRPr="00444070">
        <w:rPr>
          <w:rFonts w:eastAsia="Times New Roman" w:cs="Times New Roman"/>
          <w:szCs w:val="24"/>
          <w:lang w:bidi="bg-BG"/>
        </w:rPr>
        <w:t>);</w:t>
      </w:r>
    </w:p>
    <w:p w14:paraId="3E779C93" w14:textId="77777777" w:rsidR="00444070" w:rsidRPr="00444070" w:rsidRDefault="00444070" w:rsidP="00444070">
      <w:pPr>
        <w:spacing w:after="60" w:line="264" w:lineRule="auto"/>
        <w:ind w:firstLine="851"/>
        <w:jc w:val="both"/>
        <w:rPr>
          <w:rFonts w:eastAsia="Times New Roman" w:cs="Times New Roman"/>
          <w:szCs w:val="24"/>
          <w:lang w:bidi="bg-BG"/>
        </w:rPr>
      </w:pPr>
      <w:r w:rsidRPr="00444070">
        <w:rPr>
          <w:rFonts w:eastAsia="Times New Roman" w:cs="Times New Roman"/>
          <w:szCs w:val="24"/>
          <w:lang w:bidi="bg-BG"/>
        </w:rPr>
        <w:t>Непрекъснато се увеличава делът на емисиите от употребата на флуорирани парникови газове, който през 2020 г. е 32,16% от общите емисии в сектора.</w:t>
      </w:r>
    </w:p>
    <w:p w14:paraId="3686DA15" w14:textId="77777777" w:rsidR="00510C21" w:rsidRPr="009F6D1E" w:rsidRDefault="00510C21" w:rsidP="009B3DA8">
      <w:pPr>
        <w:spacing w:after="60" w:line="264" w:lineRule="auto"/>
        <w:jc w:val="both"/>
        <w:rPr>
          <w:rFonts w:cs="Times New Roman"/>
          <w:i/>
          <w:iCs/>
          <w:szCs w:val="24"/>
          <w:u w:val="single"/>
        </w:rPr>
      </w:pPr>
      <w:r w:rsidRPr="009F6D1E">
        <w:rPr>
          <w:rFonts w:cs="Times New Roman"/>
          <w:i/>
          <w:iCs/>
          <w:szCs w:val="24"/>
          <w:u w:val="single"/>
        </w:rPr>
        <w:t>Сектор „Селско стопанство”</w:t>
      </w:r>
    </w:p>
    <w:p w14:paraId="78905611"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Емисиите на ПГ от сектор “Селско стопанство” се получават в резултат от дейностите и процесите на производство и преработка на селскостопанска продукция, торене на почвите и третиране на животински отпадъци. Процесите и дейностите в този сектор са източници основно на CH</w:t>
      </w:r>
      <w:r w:rsidRPr="00E52671">
        <w:rPr>
          <w:rFonts w:eastAsia="Times New Roman" w:cs="Times New Roman"/>
          <w:szCs w:val="24"/>
          <w:vertAlign w:val="subscript"/>
          <w:lang w:bidi="bg-BG"/>
        </w:rPr>
        <w:t>4</w:t>
      </w:r>
      <w:r w:rsidRPr="00E52671">
        <w:rPr>
          <w:rFonts w:eastAsia="Times New Roman" w:cs="Times New Roman"/>
          <w:szCs w:val="24"/>
          <w:lang w:bidi="bg-BG"/>
        </w:rPr>
        <w:t> и N</w:t>
      </w:r>
      <w:r w:rsidRPr="00E52671">
        <w:rPr>
          <w:rFonts w:eastAsia="Times New Roman" w:cs="Times New Roman"/>
          <w:szCs w:val="24"/>
          <w:vertAlign w:val="subscript"/>
          <w:lang w:bidi="bg-BG"/>
        </w:rPr>
        <w:t>2</w:t>
      </w:r>
      <w:r w:rsidRPr="00E52671">
        <w:rPr>
          <w:rFonts w:eastAsia="Times New Roman" w:cs="Times New Roman"/>
          <w:szCs w:val="24"/>
          <w:lang w:bidi="bg-BG"/>
        </w:rPr>
        <w:t>O.</w:t>
      </w:r>
    </w:p>
    <w:p w14:paraId="5442B9E5"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Най-голям източник на емисии на CH</w:t>
      </w:r>
      <w:r w:rsidRPr="00E52671">
        <w:rPr>
          <w:rFonts w:eastAsia="Times New Roman" w:cs="Times New Roman"/>
          <w:szCs w:val="24"/>
          <w:vertAlign w:val="subscript"/>
          <w:lang w:bidi="bg-BG"/>
        </w:rPr>
        <w:t>4</w:t>
      </w:r>
      <w:r w:rsidRPr="00E52671">
        <w:rPr>
          <w:rFonts w:eastAsia="Times New Roman" w:cs="Times New Roman"/>
          <w:szCs w:val="24"/>
          <w:lang w:bidi="bg-BG"/>
        </w:rPr>
        <w:t> (като СО</w:t>
      </w:r>
      <w:r w:rsidRPr="00E52671">
        <w:rPr>
          <w:rFonts w:eastAsia="Times New Roman" w:cs="Times New Roman"/>
          <w:szCs w:val="24"/>
          <w:vertAlign w:val="subscript"/>
          <w:lang w:bidi="bg-BG"/>
        </w:rPr>
        <w:t>2 </w:t>
      </w:r>
      <w:r w:rsidRPr="00E52671">
        <w:rPr>
          <w:rFonts w:eastAsia="Times New Roman" w:cs="Times New Roman"/>
          <w:szCs w:val="24"/>
          <w:lang w:bidi="bg-BG"/>
        </w:rPr>
        <w:t xml:space="preserve">- екв.)в сектора е </w:t>
      </w:r>
      <w:proofErr w:type="spellStart"/>
      <w:r w:rsidRPr="00E52671">
        <w:rPr>
          <w:rFonts w:eastAsia="Times New Roman" w:cs="Times New Roman"/>
          <w:szCs w:val="24"/>
          <w:lang w:bidi="bg-BG"/>
        </w:rPr>
        <w:t>ентеричната</w:t>
      </w:r>
      <w:proofErr w:type="spellEnd"/>
      <w:r w:rsidRPr="00E52671">
        <w:rPr>
          <w:rFonts w:eastAsia="Times New Roman" w:cs="Times New Roman"/>
          <w:szCs w:val="24"/>
          <w:lang w:bidi="bg-BG"/>
        </w:rPr>
        <w:t xml:space="preserve"> ферментация при селскостопанските животни – 34,05% от емисиите на сектора.</w:t>
      </w:r>
    </w:p>
    <w:p w14:paraId="1EE25970"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lastRenderedPageBreak/>
        <w:t>Най-значителни са емисиите на N</w:t>
      </w:r>
      <w:r w:rsidRPr="00E52671">
        <w:rPr>
          <w:rFonts w:eastAsia="Times New Roman" w:cs="Times New Roman"/>
          <w:szCs w:val="24"/>
          <w:vertAlign w:val="subscript"/>
          <w:lang w:bidi="bg-BG"/>
        </w:rPr>
        <w:t>2</w:t>
      </w:r>
      <w:r w:rsidRPr="00E52671">
        <w:rPr>
          <w:rFonts w:eastAsia="Times New Roman" w:cs="Times New Roman"/>
          <w:szCs w:val="24"/>
          <w:lang w:bidi="bg-BG"/>
        </w:rPr>
        <w:t>O (като СО</w:t>
      </w:r>
      <w:r w:rsidRPr="00E52671">
        <w:rPr>
          <w:rFonts w:eastAsia="Times New Roman" w:cs="Times New Roman"/>
          <w:szCs w:val="24"/>
          <w:vertAlign w:val="subscript"/>
          <w:lang w:bidi="bg-BG"/>
        </w:rPr>
        <w:t>2</w:t>
      </w:r>
      <w:r w:rsidRPr="00E52671">
        <w:rPr>
          <w:rFonts w:eastAsia="Times New Roman" w:cs="Times New Roman"/>
          <w:szCs w:val="24"/>
          <w:lang w:bidi="bg-BG"/>
        </w:rPr>
        <w:t> екв.) от обработваемите земи, като техният дял през 2020 г. е 88,53%.</w:t>
      </w:r>
    </w:p>
    <w:p w14:paraId="6C8DEFF5"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 xml:space="preserve">Въпреки, че законодателството в България забранява изгарянето на растителни отпадъци от стърнища, тази дейност все още съществува ограничено и при нея се емитират известни количества ПГ и </w:t>
      </w:r>
      <w:proofErr w:type="spellStart"/>
      <w:r w:rsidRPr="00E52671">
        <w:rPr>
          <w:rFonts w:eastAsia="Times New Roman" w:cs="Times New Roman"/>
          <w:szCs w:val="24"/>
          <w:lang w:bidi="bg-BG"/>
        </w:rPr>
        <w:t>прекурсори</w:t>
      </w:r>
      <w:proofErr w:type="spellEnd"/>
      <w:r w:rsidRPr="00E52671">
        <w:rPr>
          <w:rFonts w:eastAsia="Times New Roman" w:cs="Times New Roman"/>
          <w:szCs w:val="24"/>
          <w:lang w:bidi="bg-BG"/>
        </w:rPr>
        <w:t xml:space="preserve"> на ПГ – CO и </w:t>
      </w:r>
      <w:proofErr w:type="spellStart"/>
      <w:r w:rsidRPr="00E52671">
        <w:rPr>
          <w:rFonts w:eastAsia="Times New Roman" w:cs="Times New Roman"/>
          <w:szCs w:val="24"/>
          <w:lang w:bidi="bg-BG"/>
        </w:rPr>
        <w:t>NOx</w:t>
      </w:r>
      <w:proofErr w:type="spellEnd"/>
      <w:r w:rsidRPr="00E52671">
        <w:rPr>
          <w:rFonts w:eastAsia="Times New Roman" w:cs="Times New Roman"/>
          <w:szCs w:val="24"/>
          <w:lang w:bidi="bg-BG"/>
        </w:rPr>
        <w:t>.</w:t>
      </w:r>
    </w:p>
    <w:p w14:paraId="1C3B74C7"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Общите емисии от сектора, като CO2-екв. намаляват с 0,71% спрямо 2019 г.</w:t>
      </w:r>
    </w:p>
    <w:p w14:paraId="2FFBC9FD"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Намаляването на емисиите в сектора за периода 1988 – 2020 г. е пряко следствие от общия спад на селскостопанската дейност. Намалението на емисиите в животновъдството следва намалението в броя селскостопански животни.</w:t>
      </w:r>
    </w:p>
    <w:p w14:paraId="33BAC0BE" w14:textId="77777777" w:rsidR="00510C21" w:rsidRPr="009F6D1E" w:rsidRDefault="00510C21" w:rsidP="009B3DA8">
      <w:pPr>
        <w:spacing w:after="60" w:line="264" w:lineRule="auto"/>
        <w:jc w:val="both"/>
        <w:rPr>
          <w:rFonts w:cs="Times New Roman"/>
          <w:i/>
          <w:iCs/>
          <w:szCs w:val="24"/>
          <w:u w:val="single"/>
        </w:rPr>
      </w:pPr>
      <w:r w:rsidRPr="009F6D1E">
        <w:rPr>
          <w:rFonts w:cs="Times New Roman"/>
          <w:i/>
          <w:iCs/>
          <w:szCs w:val="24"/>
          <w:u w:val="single"/>
        </w:rPr>
        <w:t>Сектор „</w:t>
      </w:r>
      <w:proofErr w:type="spellStart"/>
      <w:r w:rsidRPr="009F6D1E">
        <w:rPr>
          <w:rFonts w:cs="Times New Roman"/>
          <w:i/>
          <w:iCs/>
          <w:szCs w:val="24"/>
          <w:u w:val="single"/>
        </w:rPr>
        <w:t>Земеползване</w:t>
      </w:r>
      <w:proofErr w:type="spellEnd"/>
      <w:r w:rsidRPr="009F6D1E">
        <w:rPr>
          <w:rFonts w:cs="Times New Roman"/>
          <w:i/>
          <w:iCs/>
          <w:szCs w:val="24"/>
          <w:u w:val="single"/>
        </w:rPr>
        <w:t xml:space="preserve">, промяна в </w:t>
      </w:r>
      <w:proofErr w:type="spellStart"/>
      <w:r w:rsidRPr="009F6D1E">
        <w:rPr>
          <w:rFonts w:cs="Times New Roman"/>
          <w:i/>
          <w:iCs/>
          <w:szCs w:val="24"/>
          <w:u w:val="single"/>
        </w:rPr>
        <w:t>земеползването</w:t>
      </w:r>
      <w:proofErr w:type="spellEnd"/>
      <w:r w:rsidRPr="009F6D1E">
        <w:rPr>
          <w:rFonts w:cs="Times New Roman"/>
          <w:i/>
          <w:iCs/>
          <w:szCs w:val="24"/>
          <w:u w:val="single"/>
        </w:rPr>
        <w:t xml:space="preserve"> и горско стопанство”</w:t>
      </w:r>
    </w:p>
    <w:p w14:paraId="4D075A68"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Секторът обхваща процесите на обмен на CO</w:t>
      </w:r>
      <w:r w:rsidRPr="00E52671">
        <w:rPr>
          <w:rFonts w:eastAsia="Times New Roman" w:cs="Times New Roman"/>
          <w:szCs w:val="24"/>
          <w:vertAlign w:val="subscript"/>
          <w:lang w:bidi="bg-BG"/>
        </w:rPr>
        <w:t>2</w:t>
      </w:r>
      <w:r w:rsidRPr="00E52671">
        <w:rPr>
          <w:rFonts w:eastAsia="Times New Roman" w:cs="Times New Roman"/>
          <w:szCs w:val="24"/>
          <w:lang w:bidi="bg-BG"/>
        </w:rPr>
        <w:t> между източниците на биомаса (горски насаждения, тревни и други насаждения, почви) и атмосферата. Обменът на потоците CO</w:t>
      </w:r>
      <w:r w:rsidRPr="00E52671">
        <w:rPr>
          <w:rFonts w:eastAsia="Times New Roman" w:cs="Times New Roman"/>
          <w:szCs w:val="24"/>
          <w:vertAlign w:val="subscript"/>
          <w:lang w:bidi="bg-BG"/>
        </w:rPr>
        <w:t>2</w:t>
      </w:r>
      <w:r w:rsidRPr="00E52671">
        <w:rPr>
          <w:rFonts w:eastAsia="Times New Roman" w:cs="Times New Roman"/>
          <w:szCs w:val="24"/>
          <w:lang w:bidi="bg-BG"/>
        </w:rPr>
        <w:t> от и към атмосферата представлява съвкупност от процеси, които са резултат и от антропогенна дейност. Така например поглъщането на CO</w:t>
      </w:r>
      <w:r w:rsidRPr="00E52671">
        <w:rPr>
          <w:rFonts w:eastAsia="Times New Roman" w:cs="Times New Roman"/>
          <w:szCs w:val="24"/>
          <w:vertAlign w:val="subscript"/>
          <w:lang w:bidi="bg-BG"/>
        </w:rPr>
        <w:t>2 </w:t>
      </w:r>
      <w:r w:rsidRPr="00E52671">
        <w:rPr>
          <w:rFonts w:eastAsia="Times New Roman" w:cs="Times New Roman"/>
          <w:szCs w:val="24"/>
          <w:lang w:bidi="bg-BG"/>
        </w:rPr>
        <w:t>в горите е свързано със стопанисването и управлението на горски територии, предназначени за добив на дървесина. Залесяването на пустеещи земи с цел спиране на ерозионни процеси, също води до натрупване на CO</w:t>
      </w:r>
      <w:r w:rsidRPr="00E52671">
        <w:rPr>
          <w:rFonts w:eastAsia="Times New Roman" w:cs="Times New Roman"/>
          <w:szCs w:val="24"/>
          <w:vertAlign w:val="subscript"/>
          <w:lang w:bidi="bg-BG"/>
        </w:rPr>
        <w:t>2</w:t>
      </w:r>
      <w:r w:rsidRPr="00E52671">
        <w:rPr>
          <w:rFonts w:eastAsia="Times New Roman" w:cs="Times New Roman"/>
          <w:szCs w:val="24"/>
          <w:lang w:bidi="bg-BG"/>
        </w:rPr>
        <w:t> в биомаса.</w:t>
      </w:r>
    </w:p>
    <w:p w14:paraId="2E24139C"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Емисиите на CO</w:t>
      </w:r>
      <w:r w:rsidRPr="00E52671">
        <w:rPr>
          <w:rFonts w:eastAsia="Times New Roman" w:cs="Times New Roman"/>
          <w:szCs w:val="24"/>
          <w:vertAlign w:val="subscript"/>
          <w:lang w:bidi="bg-BG"/>
        </w:rPr>
        <w:t>2</w:t>
      </w:r>
      <w:r w:rsidRPr="00E52671">
        <w:rPr>
          <w:rFonts w:eastAsia="Times New Roman" w:cs="Times New Roman"/>
          <w:szCs w:val="24"/>
          <w:lang w:bidi="bg-BG"/>
        </w:rPr>
        <w:t> в атмосферата от сектора са свързани с горските пожари, както и от промени в органичния състав на почвите, вследствие на ерозия или обработка с химикали.</w:t>
      </w:r>
    </w:p>
    <w:p w14:paraId="39111A9E"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В тази категория се включват и дейности, които водят до промени в потоците на CO</w:t>
      </w:r>
      <w:r w:rsidRPr="00E52671">
        <w:rPr>
          <w:rFonts w:eastAsia="Times New Roman" w:cs="Times New Roman"/>
          <w:szCs w:val="24"/>
          <w:vertAlign w:val="subscript"/>
          <w:lang w:bidi="bg-BG"/>
        </w:rPr>
        <w:t>2</w:t>
      </w:r>
      <w:r w:rsidRPr="00E52671">
        <w:rPr>
          <w:rFonts w:eastAsia="Times New Roman" w:cs="Times New Roman"/>
          <w:szCs w:val="24"/>
          <w:lang w:bidi="bg-BG"/>
        </w:rPr>
        <w:t> от и към атмосферата. Това са дренажи на почви, изместване на периодите на култивация на растителни култури, както и редуване на по-дълги и по-къси периоди на култивация, наводняване, вследствие изграждането на хидротехнически съоръжения, изменения в подземните води поради антропогенни или природни въздействия.</w:t>
      </w:r>
    </w:p>
    <w:p w14:paraId="2F8CA037" w14:textId="478D516B" w:rsidR="00510C2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В инвентаризацията на ПГ за 2020 г., както и за предходните години, е определено нетното поглъщане на CO</w:t>
      </w:r>
      <w:r w:rsidRPr="00E52671">
        <w:rPr>
          <w:rFonts w:eastAsia="Times New Roman" w:cs="Times New Roman"/>
          <w:szCs w:val="24"/>
          <w:vertAlign w:val="subscript"/>
          <w:lang w:bidi="bg-BG"/>
        </w:rPr>
        <w:t>2</w:t>
      </w:r>
      <w:r w:rsidRPr="00E52671">
        <w:rPr>
          <w:rFonts w:eastAsia="Times New Roman" w:cs="Times New Roman"/>
          <w:szCs w:val="24"/>
          <w:lang w:bidi="bg-BG"/>
        </w:rPr>
        <w:t> от категория „Изменение на горите и други горски източници на биомаса“. Поглъщането на CO</w:t>
      </w:r>
      <w:r w:rsidRPr="00E52671">
        <w:rPr>
          <w:rFonts w:eastAsia="Times New Roman" w:cs="Times New Roman"/>
          <w:szCs w:val="24"/>
          <w:vertAlign w:val="subscript"/>
          <w:lang w:bidi="bg-BG"/>
        </w:rPr>
        <w:t>2</w:t>
      </w:r>
      <w:r w:rsidRPr="00E52671">
        <w:rPr>
          <w:rFonts w:eastAsia="Times New Roman" w:cs="Times New Roman"/>
          <w:szCs w:val="24"/>
          <w:lang w:bidi="bg-BG"/>
        </w:rPr>
        <w:t> се формира от нетния баланс на усвоявания от атмосферата въглерод и отсечения обем дървесина, който се използва за отопление, производство на хартия и други дейности, консумиращи биомаса</w:t>
      </w:r>
      <w:r w:rsidR="00510C21" w:rsidRPr="009F6D1E">
        <w:rPr>
          <w:rFonts w:eastAsia="Times New Roman" w:cs="Times New Roman"/>
          <w:szCs w:val="24"/>
          <w:lang w:bidi="bg-BG"/>
        </w:rPr>
        <w:t>.</w:t>
      </w:r>
    </w:p>
    <w:p w14:paraId="40EB23E4" w14:textId="77777777" w:rsidR="00510C21" w:rsidRPr="009F6D1E" w:rsidRDefault="00510C21" w:rsidP="009B3DA8">
      <w:pPr>
        <w:spacing w:after="60" w:line="264" w:lineRule="auto"/>
        <w:jc w:val="both"/>
        <w:rPr>
          <w:rFonts w:cs="Times New Roman"/>
          <w:i/>
          <w:iCs/>
          <w:szCs w:val="24"/>
          <w:u w:val="single"/>
        </w:rPr>
      </w:pPr>
      <w:r w:rsidRPr="009F6D1E">
        <w:rPr>
          <w:rFonts w:cs="Times New Roman"/>
          <w:i/>
          <w:iCs/>
          <w:szCs w:val="24"/>
          <w:u w:val="single"/>
        </w:rPr>
        <w:t>Сектор „Отпадъци”</w:t>
      </w:r>
    </w:p>
    <w:p w14:paraId="37BE0DF6"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Емисиите на ПГ в сектор „Отпадъци“ се получават в резултат от процесите на събиране, съхранение и третиране на твърди отпадъци от бита и обществения сектор и след третиране на отпадъчни води от домакинствата и промишлеността.</w:t>
      </w:r>
    </w:p>
    <w:p w14:paraId="112A5982"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Твърдите отпадъци могат да се третират посредством депониране на сметища, рециклиране, изгаряне с цел унищожаване или за получаване на енергия. В този сектор се определят емисиите на ПГ само от процесите на гниене на депонираните твърди отпадъци.</w:t>
      </w:r>
    </w:p>
    <w:p w14:paraId="20B87A1D" w14:textId="77777777" w:rsidR="00E5267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t>Депонираните твърди отпадъци емитират СН</w:t>
      </w:r>
      <w:r w:rsidRPr="00E52671">
        <w:rPr>
          <w:rFonts w:eastAsia="Times New Roman" w:cs="Times New Roman"/>
          <w:szCs w:val="24"/>
          <w:vertAlign w:val="subscript"/>
          <w:lang w:bidi="bg-BG"/>
        </w:rPr>
        <w:t>4</w:t>
      </w:r>
      <w:r w:rsidRPr="00E52671">
        <w:rPr>
          <w:rFonts w:eastAsia="Times New Roman" w:cs="Times New Roman"/>
          <w:szCs w:val="24"/>
          <w:lang w:bidi="bg-BG"/>
        </w:rPr>
        <w:t> в резултат от процесите на анаеробно и аеробно разграждане на органичното им съдържание. В инвентаризацията за 2020г., емисиите на метан от този източник са на първо място – 83%.</w:t>
      </w:r>
    </w:p>
    <w:p w14:paraId="213D63D8" w14:textId="0E6D43F8" w:rsidR="00510C21" w:rsidRPr="00E52671" w:rsidRDefault="00E52671" w:rsidP="00E52671">
      <w:pPr>
        <w:spacing w:after="60" w:line="264" w:lineRule="auto"/>
        <w:ind w:firstLine="851"/>
        <w:jc w:val="both"/>
        <w:rPr>
          <w:rFonts w:eastAsia="Times New Roman" w:cs="Times New Roman"/>
          <w:szCs w:val="24"/>
          <w:lang w:bidi="bg-BG"/>
        </w:rPr>
      </w:pPr>
      <w:r w:rsidRPr="00E52671">
        <w:rPr>
          <w:rFonts w:eastAsia="Times New Roman" w:cs="Times New Roman"/>
          <w:szCs w:val="24"/>
          <w:lang w:bidi="bg-BG"/>
        </w:rPr>
        <w:lastRenderedPageBreak/>
        <w:t>Вторият голям източник на СН</w:t>
      </w:r>
      <w:r w:rsidRPr="00E52671">
        <w:rPr>
          <w:rFonts w:eastAsia="Times New Roman" w:cs="Times New Roman"/>
          <w:szCs w:val="24"/>
          <w:vertAlign w:val="subscript"/>
          <w:lang w:bidi="bg-BG"/>
        </w:rPr>
        <w:t>4</w:t>
      </w:r>
      <w:r w:rsidRPr="00E52671">
        <w:rPr>
          <w:rFonts w:eastAsia="Times New Roman" w:cs="Times New Roman"/>
          <w:szCs w:val="24"/>
          <w:lang w:bidi="bg-BG"/>
        </w:rPr>
        <w:t> в този сектор е третирането на отпадъчните води в пречиствателните съоръжения (16,2%), като се разглеждат самостоятелно третирането на индустриалните отпадъчни води и третирането на отпадъчни води от домакинствата и обществените сгради</w:t>
      </w:r>
      <w:r w:rsidR="00510C21" w:rsidRPr="009F6D1E">
        <w:rPr>
          <w:rFonts w:eastAsia="Times New Roman" w:cs="Times New Roman"/>
          <w:szCs w:val="24"/>
          <w:lang w:bidi="bg-BG"/>
        </w:rPr>
        <w:t>.</w:t>
      </w:r>
    </w:p>
    <w:p w14:paraId="4B2C0CC4" w14:textId="29C03B80" w:rsidR="00510C21" w:rsidRPr="009F6D1E" w:rsidRDefault="00510C21" w:rsidP="009B3DA8">
      <w:pPr>
        <w:spacing w:after="60" w:line="264" w:lineRule="auto"/>
        <w:jc w:val="both"/>
        <w:rPr>
          <w:rFonts w:cs="Times New Roman"/>
          <w:b/>
          <w:bCs/>
          <w:szCs w:val="24"/>
        </w:rPr>
      </w:pPr>
      <w:r w:rsidRPr="009F6D1E">
        <w:rPr>
          <w:rFonts w:cs="Times New Roman"/>
          <w:b/>
          <w:bCs/>
          <w:szCs w:val="24"/>
        </w:rPr>
        <w:t>Тенденции в общите емисии на парникови газове по сектори за периода 1988-20</w:t>
      </w:r>
      <w:r w:rsidR="00A52818">
        <w:rPr>
          <w:rFonts w:cs="Times New Roman"/>
          <w:b/>
          <w:bCs/>
          <w:szCs w:val="24"/>
        </w:rPr>
        <w:t>20</w:t>
      </w:r>
      <w:r w:rsidRPr="009F6D1E">
        <w:rPr>
          <w:rFonts w:cs="Times New Roman"/>
          <w:b/>
          <w:bCs/>
          <w:szCs w:val="24"/>
        </w:rPr>
        <w:t xml:space="preserve"> г.</w:t>
      </w:r>
    </w:p>
    <w:p w14:paraId="58634165" w14:textId="02E037F9" w:rsidR="00A52818" w:rsidRDefault="00A52818" w:rsidP="0084747F">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t xml:space="preserve">На следващата фигура са представени общите емисии на ПГ по сектори за периода 1988 – 2020 г. в </w:t>
      </w:r>
      <w:proofErr w:type="spellStart"/>
      <w:r w:rsidRPr="00A52818">
        <w:rPr>
          <w:rFonts w:eastAsia="Times New Roman" w:cs="Times New Roman"/>
          <w:szCs w:val="24"/>
          <w:lang w:bidi="bg-BG"/>
        </w:rPr>
        <w:t>Gg</w:t>
      </w:r>
      <w:proofErr w:type="spellEnd"/>
      <w:r w:rsidRPr="00A52818">
        <w:rPr>
          <w:rFonts w:eastAsia="Times New Roman" w:cs="Times New Roman"/>
          <w:szCs w:val="24"/>
          <w:lang w:bidi="bg-BG"/>
        </w:rPr>
        <w:t xml:space="preserve"> СО</w:t>
      </w:r>
      <w:r w:rsidRPr="00A52818">
        <w:rPr>
          <w:rFonts w:eastAsia="Times New Roman" w:cs="Times New Roman"/>
          <w:szCs w:val="24"/>
          <w:vertAlign w:val="subscript"/>
          <w:lang w:bidi="bg-BG"/>
        </w:rPr>
        <w:t>2</w:t>
      </w:r>
      <w:r w:rsidRPr="00A52818">
        <w:rPr>
          <w:rFonts w:eastAsia="Times New Roman" w:cs="Times New Roman"/>
          <w:szCs w:val="24"/>
          <w:lang w:bidi="bg-BG"/>
        </w:rPr>
        <w:t>-екв. Включени са и количествата погълнат СО2 от горите, което води до понижаване на емисиите.</w:t>
      </w:r>
    </w:p>
    <w:p w14:paraId="3C97554E" w14:textId="18B1EBC7" w:rsidR="00510C21" w:rsidRPr="009F6D1E" w:rsidRDefault="00A52818" w:rsidP="00A52818">
      <w:pPr>
        <w:spacing w:after="60" w:line="264" w:lineRule="auto"/>
        <w:jc w:val="center"/>
        <w:rPr>
          <w:rFonts w:eastAsia="Times New Roman" w:cs="Times New Roman"/>
          <w:color w:val="BF8F00" w:themeColor="accent4" w:themeShade="BF"/>
          <w:szCs w:val="24"/>
          <w:lang w:bidi="bg-BG"/>
        </w:rPr>
      </w:pPr>
      <w:r w:rsidRPr="00A52818">
        <w:rPr>
          <w:rFonts w:eastAsia="Times New Roman" w:cs="Times New Roman"/>
          <w:noProof/>
          <w:color w:val="BF8F00" w:themeColor="accent4" w:themeShade="BF"/>
          <w:szCs w:val="24"/>
          <w:lang w:val="en-US"/>
        </w:rPr>
        <w:drawing>
          <wp:inline distT="0" distB="0" distL="0" distR="0" wp14:anchorId="7CAEEDD5" wp14:editId="5DE6FB97">
            <wp:extent cx="5494496" cy="2522439"/>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94496" cy="2522439"/>
                    </a:xfrm>
                    <a:prstGeom prst="rect">
                      <a:avLst/>
                    </a:prstGeom>
                  </pic:spPr>
                </pic:pic>
              </a:graphicData>
            </a:graphic>
          </wp:inline>
        </w:drawing>
      </w:r>
    </w:p>
    <w:p w14:paraId="1178E2CE" w14:textId="77777777" w:rsidR="008C406F" w:rsidRPr="009F6D1E" w:rsidRDefault="008C406F" w:rsidP="008C406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p>
    <w:p w14:paraId="14B072AC" w14:textId="2891EB58" w:rsidR="00510C21" w:rsidRPr="009F6D1E" w:rsidRDefault="00B1468B" w:rsidP="00B1468B">
      <w:pPr>
        <w:pStyle w:val="Caption"/>
      </w:pPr>
      <w:bookmarkStart w:id="176" w:name="_Toc115255068"/>
      <w:r w:rsidRPr="009F6D1E">
        <w:t xml:space="preserve">Фигура </w:t>
      </w:r>
      <w:fldSimple w:instr=" SEQ Фигура \* ARABIC ">
        <w:r w:rsidR="00A43EF3">
          <w:rPr>
            <w:noProof/>
          </w:rPr>
          <w:t>7</w:t>
        </w:r>
      </w:fldSimple>
      <w:r w:rsidRPr="009F6D1E">
        <w:t>:</w:t>
      </w:r>
      <w:r w:rsidR="00510C21" w:rsidRPr="009F6D1E">
        <w:rPr>
          <w:rFonts w:eastAsia="Times New Roman"/>
          <w:lang w:bidi="bg-BG"/>
        </w:rPr>
        <w:t xml:space="preserve"> Общи емисии на парникови газове по сектори за периода 1988 – 20</w:t>
      </w:r>
      <w:r w:rsidR="00A52818">
        <w:rPr>
          <w:rFonts w:eastAsia="Times New Roman"/>
          <w:lang w:bidi="bg-BG"/>
        </w:rPr>
        <w:t>20</w:t>
      </w:r>
      <w:r w:rsidR="00510C21" w:rsidRPr="009F6D1E">
        <w:rPr>
          <w:rFonts w:eastAsia="Times New Roman"/>
          <w:lang w:bidi="bg-BG"/>
        </w:rPr>
        <w:t xml:space="preserve"> г., </w:t>
      </w:r>
      <w:proofErr w:type="spellStart"/>
      <w:r w:rsidR="00510C21" w:rsidRPr="009F6D1E">
        <w:rPr>
          <w:rFonts w:eastAsia="Times New Roman"/>
          <w:lang w:bidi="bg-BG"/>
        </w:rPr>
        <w:t>Gg</w:t>
      </w:r>
      <w:proofErr w:type="spellEnd"/>
      <w:r w:rsidR="00510C21" w:rsidRPr="009F6D1E">
        <w:rPr>
          <w:rFonts w:eastAsia="Times New Roman"/>
          <w:lang w:bidi="bg-BG"/>
        </w:rPr>
        <w:t xml:space="preserve"> CO</w:t>
      </w:r>
      <w:r w:rsidR="00510C21" w:rsidRPr="009F6D1E">
        <w:rPr>
          <w:rFonts w:eastAsia="Times New Roman"/>
          <w:vertAlign w:val="subscript"/>
          <w:lang w:bidi="bg-BG"/>
        </w:rPr>
        <w:t xml:space="preserve">2 </w:t>
      </w:r>
      <w:r w:rsidR="00510C21" w:rsidRPr="009F6D1E">
        <w:rPr>
          <w:rFonts w:eastAsia="Times New Roman"/>
          <w:lang w:bidi="bg-BG"/>
        </w:rPr>
        <w:t>- екв.</w:t>
      </w:r>
      <w:bookmarkEnd w:id="176"/>
    </w:p>
    <w:p w14:paraId="56DCA76C" w14:textId="77777777" w:rsidR="00A52818" w:rsidRPr="00A52818" w:rsidRDefault="00A52818" w:rsidP="00A52818">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t>Анализът на данните показва, че най-голям дял от общите емисии на ПГ през 2020 г. има сектор „Енергетика“ – 71,34%, следван от сектор „Индустриални процеси и използване на продукти“ – 10,78%. Сектор „Селско стопанство“ и сектор „Отпадъци“ със съответно по 12,59% и 5,29% от националните емисии.</w:t>
      </w:r>
    </w:p>
    <w:p w14:paraId="6A0FC4C8" w14:textId="77777777" w:rsidR="00A52818" w:rsidRPr="00A52818" w:rsidRDefault="00A52818" w:rsidP="00A52818">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t>Основните причини за наблюдаваното намаление на емисиите на ПГ в България в периода до 2000 г. са структурните изменения на икономиката, поради радикалния икономически преходен процес от централно планирана към пазарна икономика. Това довежда до намаляване на енергия в ТЕЦ (и увеличение на дела на хидро- и атомна енергия), структурни изменения в промишлеността (включващи намаление на енергийно-интензивната продукция и подобряване на енергийната ефективност), по-добро изолиране на сградите и преминаване от твърди и течни горива към природен газ.</w:t>
      </w:r>
    </w:p>
    <w:p w14:paraId="79FD11BB" w14:textId="77777777" w:rsidR="00A52818" w:rsidRPr="00A52818" w:rsidRDefault="00A52818" w:rsidP="00A52818">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t>За намаление на емисиите ПГ от селското стопанство и от сектор „Отпадъци“ основните причини са намаляването на популациите на говеда, овце и свине и намаляването на депонираните битови отпадъци в сметищата.</w:t>
      </w:r>
    </w:p>
    <w:p w14:paraId="7C9E3468" w14:textId="77777777" w:rsidR="00A52818" w:rsidRPr="00A52818" w:rsidRDefault="00A52818" w:rsidP="00A52818">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t>Намалените емисии на ПГ са резултат и от намаление на населението и спад на БВП.</w:t>
      </w:r>
    </w:p>
    <w:p w14:paraId="5C4D7530" w14:textId="77777777" w:rsidR="00A52818" w:rsidRPr="00A52818" w:rsidRDefault="00A52818" w:rsidP="00A52818">
      <w:pPr>
        <w:spacing w:after="60" w:line="264" w:lineRule="auto"/>
        <w:ind w:firstLine="851"/>
        <w:jc w:val="both"/>
        <w:rPr>
          <w:rFonts w:eastAsia="Times New Roman" w:cs="Times New Roman"/>
          <w:szCs w:val="24"/>
          <w:lang w:bidi="bg-BG"/>
        </w:rPr>
      </w:pPr>
      <w:r w:rsidRPr="00A52818">
        <w:rPr>
          <w:rFonts w:eastAsia="Times New Roman" w:cs="Times New Roman"/>
          <w:szCs w:val="24"/>
          <w:lang w:bidi="bg-BG"/>
        </w:rPr>
        <w:lastRenderedPageBreak/>
        <w:t>На следващите три графики са представени количествата на основните парникови газове, емитирани от различните сектори.</w:t>
      </w:r>
    </w:p>
    <w:p w14:paraId="269E1F16" w14:textId="1695B77A" w:rsidR="00510C21" w:rsidRPr="009F6D1E" w:rsidRDefault="008C406F" w:rsidP="008C406F">
      <w:pPr>
        <w:spacing w:after="60" w:line="264" w:lineRule="auto"/>
        <w:jc w:val="center"/>
        <w:rPr>
          <w:rFonts w:eastAsia="Times New Roman" w:cs="Times New Roman"/>
          <w:color w:val="BF8F00" w:themeColor="accent4" w:themeShade="BF"/>
          <w:szCs w:val="24"/>
          <w:lang w:bidi="bg-BG"/>
        </w:rPr>
      </w:pPr>
      <w:r w:rsidRPr="008C406F">
        <w:rPr>
          <w:rFonts w:eastAsia="Times New Roman" w:cs="Times New Roman"/>
          <w:noProof/>
          <w:color w:val="BF8F00" w:themeColor="accent4" w:themeShade="BF"/>
          <w:szCs w:val="24"/>
          <w:lang w:val="en-US"/>
        </w:rPr>
        <w:drawing>
          <wp:inline distT="0" distB="0" distL="0" distR="0" wp14:anchorId="08AC8736" wp14:editId="24059D22">
            <wp:extent cx="6120130" cy="2265045"/>
            <wp:effectExtent l="0" t="0" r="0" b="190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2265045"/>
                    </a:xfrm>
                    <a:prstGeom prst="rect">
                      <a:avLst/>
                    </a:prstGeom>
                  </pic:spPr>
                </pic:pic>
              </a:graphicData>
            </a:graphic>
          </wp:inline>
        </w:drawing>
      </w:r>
    </w:p>
    <w:p w14:paraId="1B1B6769" w14:textId="1B78A28A" w:rsidR="00510C21" w:rsidRPr="009F6D1E" w:rsidRDefault="00B1468B" w:rsidP="00B1468B">
      <w:pPr>
        <w:pStyle w:val="Caption"/>
        <w:rPr>
          <w:rFonts w:eastAsia="Times New Roman"/>
          <w:lang w:bidi="bg-BG"/>
        </w:rPr>
      </w:pPr>
      <w:bookmarkStart w:id="177" w:name="_Toc115255069"/>
      <w:r w:rsidRPr="009F6D1E">
        <w:t xml:space="preserve">Фигура </w:t>
      </w:r>
      <w:fldSimple w:instr=" SEQ Фигура \* ARABIC ">
        <w:r w:rsidR="00A43EF3">
          <w:rPr>
            <w:noProof/>
          </w:rPr>
          <w:t>8</w:t>
        </w:r>
      </w:fldSimple>
      <w:r w:rsidRPr="009F6D1E">
        <w:t>:</w:t>
      </w:r>
      <w:r w:rsidR="00510C21" w:rsidRPr="009F6D1E">
        <w:rPr>
          <w:rFonts w:eastAsia="Times New Roman"/>
          <w:lang w:bidi="bg-BG"/>
        </w:rPr>
        <w:t xml:space="preserve"> Дял на основните източници на емисии на ПГ през 20</w:t>
      </w:r>
      <w:r w:rsidR="008C406F">
        <w:rPr>
          <w:rFonts w:eastAsia="Times New Roman"/>
          <w:lang w:bidi="bg-BG"/>
        </w:rPr>
        <w:t>20</w:t>
      </w:r>
      <w:r w:rsidR="00510C21" w:rsidRPr="009F6D1E">
        <w:rPr>
          <w:rFonts w:eastAsia="Times New Roman"/>
          <w:lang w:bidi="bg-BG"/>
        </w:rPr>
        <w:t xml:space="preserve"> г., %</w:t>
      </w:r>
      <w:bookmarkEnd w:id="177"/>
    </w:p>
    <w:p w14:paraId="055AE783"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Годишни емисии на парникови газове на човек от населението</w:t>
      </w:r>
    </w:p>
    <w:p w14:paraId="0B704131" w14:textId="77777777"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Основен индикатор за оценка на емисиите на парникови газове в международен аспект са емисиите на парникови газове на човек от населението.</w:t>
      </w:r>
    </w:p>
    <w:p w14:paraId="6C81BBE8" w14:textId="4159A05D" w:rsidR="00510C21" w:rsidRPr="009F6D1E" w:rsidRDefault="008C406F" w:rsidP="008C406F">
      <w:pPr>
        <w:spacing w:after="60" w:line="264" w:lineRule="auto"/>
        <w:jc w:val="center"/>
        <w:rPr>
          <w:rFonts w:eastAsia="Times New Roman" w:cs="Times New Roman"/>
          <w:color w:val="BF8F00" w:themeColor="accent4" w:themeShade="BF"/>
          <w:szCs w:val="24"/>
          <w:lang w:bidi="bg-BG"/>
        </w:rPr>
      </w:pPr>
      <w:r w:rsidRPr="008C406F">
        <w:rPr>
          <w:rFonts w:eastAsia="Times New Roman" w:cs="Times New Roman"/>
          <w:noProof/>
          <w:color w:val="BF8F00" w:themeColor="accent4" w:themeShade="BF"/>
          <w:szCs w:val="24"/>
          <w:lang w:val="en-US"/>
        </w:rPr>
        <w:drawing>
          <wp:inline distT="0" distB="0" distL="0" distR="0" wp14:anchorId="2669E6C7" wp14:editId="47C735B6">
            <wp:extent cx="5395428" cy="2682472"/>
            <wp:effectExtent l="0" t="0" r="0" b="381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95428" cy="2682472"/>
                    </a:xfrm>
                    <a:prstGeom prst="rect">
                      <a:avLst/>
                    </a:prstGeom>
                  </pic:spPr>
                </pic:pic>
              </a:graphicData>
            </a:graphic>
          </wp:inline>
        </w:drawing>
      </w:r>
    </w:p>
    <w:p w14:paraId="15085301" w14:textId="77777777" w:rsidR="008C406F" w:rsidRPr="009F6D1E" w:rsidRDefault="008C406F" w:rsidP="008C406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p>
    <w:p w14:paraId="48129B95" w14:textId="2E504972" w:rsidR="00510C21" w:rsidRPr="009F6D1E" w:rsidRDefault="00B1468B" w:rsidP="00B1468B">
      <w:pPr>
        <w:pStyle w:val="Caption"/>
        <w:rPr>
          <w:rFonts w:eastAsia="Times New Roman"/>
          <w:b/>
          <w:bCs/>
          <w:color w:val="BF8F00" w:themeColor="accent4" w:themeShade="BF"/>
          <w:lang w:bidi="bg-BG"/>
        </w:rPr>
      </w:pPr>
      <w:bookmarkStart w:id="178" w:name="_Toc115255070"/>
      <w:r w:rsidRPr="009F6D1E">
        <w:t xml:space="preserve">Фигура </w:t>
      </w:r>
      <w:fldSimple w:instr=" SEQ Фигура \* ARABIC ">
        <w:r w:rsidR="00A43EF3">
          <w:rPr>
            <w:noProof/>
          </w:rPr>
          <w:t>9</w:t>
        </w:r>
      </w:fldSimple>
      <w:r w:rsidRPr="009F6D1E">
        <w:t>:</w:t>
      </w:r>
      <w:r w:rsidR="00510C21" w:rsidRPr="009F6D1E">
        <w:rPr>
          <w:rFonts w:eastAsia="Times New Roman"/>
          <w:b/>
          <w:bCs/>
          <w:color w:val="BF8F00" w:themeColor="accent4" w:themeShade="BF"/>
          <w:lang w:bidi="bg-BG"/>
        </w:rPr>
        <w:t xml:space="preserve"> </w:t>
      </w:r>
      <w:r w:rsidR="00510C21" w:rsidRPr="009F6D1E">
        <w:rPr>
          <w:rFonts w:eastAsia="Times New Roman"/>
          <w:lang w:bidi="bg-BG"/>
        </w:rPr>
        <w:t>Годишни емисии на парникови газове на човек от населението, тона СО</w:t>
      </w:r>
      <w:r w:rsidR="00510C21" w:rsidRPr="009F6D1E">
        <w:rPr>
          <w:rFonts w:eastAsia="Times New Roman"/>
          <w:vertAlign w:val="subscript"/>
          <w:lang w:bidi="bg-BG"/>
        </w:rPr>
        <w:t xml:space="preserve">2 </w:t>
      </w:r>
      <w:r w:rsidR="00510C21" w:rsidRPr="009F6D1E">
        <w:rPr>
          <w:rFonts w:eastAsia="Times New Roman"/>
          <w:lang w:bidi="bg-BG"/>
        </w:rPr>
        <w:t>- екв.</w:t>
      </w:r>
      <w:bookmarkEnd w:id="178"/>
    </w:p>
    <w:p w14:paraId="008CD91C" w14:textId="00C48BB2" w:rsidR="008C406F" w:rsidRDefault="008C406F" w:rsidP="008C406F">
      <w:pPr>
        <w:spacing w:after="60" w:line="264" w:lineRule="auto"/>
        <w:ind w:firstLine="851"/>
        <w:jc w:val="both"/>
        <w:rPr>
          <w:rFonts w:eastAsia="Times New Roman" w:cs="Times New Roman"/>
          <w:szCs w:val="24"/>
          <w:lang w:bidi="bg-BG"/>
        </w:rPr>
      </w:pPr>
      <w:r w:rsidRPr="008C406F">
        <w:rPr>
          <w:rFonts w:eastAsia="Times New Roman" w:cs="Times New Roman"/>
          <w:szCs w:val="24"/>
          <w:lang w:bidi="bg-BG"/>
        </w:rPr>
        <w:t>Емисиите на парникови газове на човек от населението намаляват от 13 тона СО</w:t>
      </w:r>
      <w:r w:rsidRPr="008C406F">
        <w:rPr>
          <w:rFonts w:eastAsia="Times New Roman" w:cs="Times New Roman"/>
          <w:szCs w:val="24"/>
          <w:vertAlign w:val="subscript"/>
          <w:lang w:bidi="bg-BG"/>
        </w:rPr>
        <w:t>2</w:t>
      </w:r>
      <w:r w:rsidRPr="008C406F">
        <w:rPr>
          <w:rFonts w:eastAsia="Times New Roman" w:cs="Times New Roman"/>
          <w:szCs w:val="24"/>
          <w:lang w:bidi="bg-BG"/>
        </w:rPr>
        <w:t>- екв. през 1988 г. до 8,0 тона СО</w:t>
      </w:r>
      <w:r w:rsidRPr="008C406F">
        <w:rPr>
          <w:rFonts w:eastAsia="Times New Roman" w:cs="Times New Roman"/>
          <w:szCs w:val="24"/>
          <w:vertAlign w:val="subscript"/>
          <w:lang w:bidi="bg-BG"/>
        </w:rPr>
        <w:t>2</w:t>
      </w:r>
      <w:r w:rsidRPr="008C406F">
        <w:rPr>
          <w:rFonts w:eastAsia="Times New Roman" w:cs="Times New Roman"/>
          <w:szCs w:val="24"/>
          <w:lang w:bidi="bg-BG"/>
        </w:rPr>
        <w:t>-екв. през 2020 г. Най-ниски са били нивата през 2000 г. – 7,1 тона СО</w:t>
      </w:r>
      <w:r w:rsidRPr="008C406F">
        <w:rPr>
          <w:rFonts w:eastAsia="Times New Roman" w:cs="Times New Roman"/>
          <w:szCs w:val="24"/>
          <w:vertAlign w:val="subscript"/>
          <w:lang w:bidi="bg-BG"/>
        </w:rPr>
        <w:t>2</w:t>
      </w:r>
      <w:r w:rsidRPr="008C406F">
        <w:rPr>
          <w:rFonts w:eastAsia="Times New Roman" w:cs="Times New Roman"/>
          <w:szCs w:val="24"/>
          <w:lang w:bidi="bg-BG"/>
        </w:rPr>
        <w:t>-екв. По този показател България се доближава до средния за Европейския съюз (ЕС) – 7 тона СО</w:t>
      </w:r>
      <w:r w:rsidRPr="008C406F">
        <w:rPr>
          <w:rFonts w:eastAsia="Times New Roman" w:cs="Times New Roman"/>
          <w:szCs w:val="24"/>
          <w:vertAlign w:val="subscript"/>
          <w:lang w:bidi="bg-BG"/>
        </w:rPr>
        <w:t>2</w:t>
      </w:r>
      <w:r w:rsidRPr="008C406F">
        <w:rPr>
          <w:rFonts w:eastAsia="Times New Roman" w:cs="Times New Roman"/>
          <w:szCs w:val="24"/>
          <w:lang w:bidi="bg-BG"/>
        </w:rPr>
        <w:t>-екв.</w:t>
      </w:r>
    </w:p>
    <w:p w14:paraId="0F2FE104" w14:textId="77777777" w:rsidR="008C406F" w:rsidRDefault="008C406F" w:rsidP="008C406F">
      <w:pPr>
        <w:spacing w:after="60" w:line="264" w:lineRule="auto"/>
        <w:ind w:firstLine="851"/>
        <w:jc w:val="both"/>
        <w:rPr>
          <w:rFonts w:eastAsia="Times New Roman" w:cs="Times New Roman"/>
          <w:szCs w:val="24"/>
          <w:lang w:bidi="bg-BG"/>
        </w:rPr>
      </w:pPr>
    </w:p>
    <w:p w14:paraId="26CC121D" w14:textId="3D6C5886" w:rsidR="00510C21" w:rsidRPr="009F6D1E" w:rsidRDefault="00510C21" w:rsidP="009B3DA8">
      <w:pPr>
        <w:spacing w:after="60" w:line="264" w:lineRule="auto"/>
        <w:jc w:val="both"/>
        <w:rPr>
          <w:rFonts w:cs="Times New Roman"/>
          <w:b/>
          <w:bCs/>
          <w:szCs w:val="24"/>
        </w:rPr>
      </w:pPr>
      <w:r w:rsidRPr="009F6D1E">
        <w:rPr>
          <w:rFonts w:cs="Times New Roman"/>
          <w:b/>
          <w:bCs/>
          <w:szCs w:val="24"/>
        </w:rPr>
        <w:lastRenderedPageBreak/>
        <w:t>Годишни емисии на парникови газове за единица БВП</w:t>
      </w:r>
    </w:p>
    <w:p w14:paraId="0EE4B6E9" w14:textId="62881BE8" w:rsidR="008C406F" w:rsidRPr="009F6D1E" w:rsidRDefault="008C406F" w:rsidP="0084747F">
      <w:pPr>
        <w:spacing w:after="60" w:line="264" w:lineRule="auto"/>
        <w:ind w:firstLine="851"/>
        <w:jc w:val="both"/>
        <w:rPr>
          <w:rFonts w:eastAsia="Times New Roman" w:cs="Times New Roman"/>
          <w:szCs w:val="24"/>
          <w:lang w:bidi="bg-BG"/>
        </w:rPr>
      </w:pPr>
      <w:r w:rsidRPr="008C406F">
        <w:rPr>
          <w:rFonts w:eastAsia="Times New Roman" w:cs="Times New Roman"/>
          <w:szCs w:val="24"/>
          <w:lang w:bidi="bg-BG"/>
        </w:rPr>
        <w:t>Емисиите на парникови газове са тясно свързани с икономическия растеж, тъй като с нарастване на икономическата активност нараства и потреблението на енергия и природни ресурси. Намаляването на тази зависимост е признак за устойчивост на развитието, поради което годишните емисии на парникови газове за производство на единица брутен вътрешен продукт (БВП) представляват важен индикатор. На следващата фигура са представени данни за този показател  за България в периода 1999 – 2020 година.</w:t>
      </w:r>
    </w:p>
    <w:p w14:paraId="08E35C3A" w14:textId="7E99FCA3" w:rsidR="00510C21" w:rsidRPr="009F6D1E" w:rsidRDefault="008C406F" w:rsidP="008C406F">
      <w:pPr>
        <w:spacing w:after="60" w:line="264" w:lineRule="auto"/>
        <w:jc w:val="center"/>
        <w:rPr>
          <w:rFonts w:eastAsia="Times New Roman" w:cs="Times New Roman"/>
          <w:color w:val="BF8F00" w:themeColor="accent4" w:themeShade="BF"/>
          <w:szCs w:val="24"/>
          <w:lang w:bidi="bg-BG"/>
        </w:rPr>
      </w:pPr>
      <w:r w:rsidRPr="008C406F">
        <w:rPr>
          <w:rFonts w:eastAsia="Times New Roman" w:cs="Times New Roman"/>
          <w:noProof/>
          <w:color w:val="BF8F00" w:themeColor="accent4" w:themeShade="BF"/>
          <w:szCs w:val="24"/>
          <w:lang w:val="en-US"/>
        </w:rPr>
        <w:drawing>
          <wp:inline distT="0" distB="0" distL="0" distR="0" wp14:anchorId="747DED33" wp14:editId="1E01C4A0">
            <wp:extent cx="5303980" cy="2453853"/>
            <wp:effectExtent l="0" t="0" r="0" b="381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03980" cy="2453853"/>
                    </a:xfrm>
                    <a:prstGeom prst="rect">
                      <a:avLst/>
                    </a:prstGeom>
                  </pic:spPr>
                </pic:pic>
              </a:graphicData>
            </a:graphic>
          </wp:inline>
        </w:drawing>
      </w:r>
    </w:p>
    <w:p w14:paraId="55887788" w14:textId="77777777" w:rsidR="008C406F" w:rsidRPr="009F6D1E" w:rsidRDefault="008C406F" w:rsidP="008C406F">
      <w:pPr>
        <w:spacing w:after="60" w:line="264" w:lineRule="auto"/>
        <w:jc w:val="both"/>
        <w:rPr>
          <w:rFonts w:eastAsia="Times New Roman" w:cs="Times New Roman"/>
          <w:i/>
          <w:iCs/>
          <w:szCs w:val="24"/>
          <w:lang w:bidi="bg-BG"/>
        </w:rPr>
      </w:pPr>
      <w:r w:rsidRPr="009F6D1E">
        <w:rPr>
          <w:rFonts w:eastAsia="Times New Roman" w:cs="Times New Roman"/>
          <w:i/>
          <w:iCs/>
          <w:szCs w:val="24"/>
          <w:lang w:bidi="bg-BG"/>
        </w:rPr>
        <w:t>Източник: ИАОС</w:t>
      </w:r>
    </w:p>
    <w:p w14:paraId="1555CFA6" w14:textId="7A603D8D" w:rsidR="00510C21" w:rsidRPr="009F6D1E" w:rsidRDefault="00B1468B" w:rsidP="00B1468B">
      <w:pPr>
        <w:pStyle w:val="Caption"/>
        <w:rPr>
          <w:rFonts w:eastAsia="Times New Roman"/>
          <w:b/>
          <w:bCs/>
          <w:color w:val="BF8F00" w:themeColor="accent4" w:themeShade="BF"/>
          <w:lang w:bidi="bg-BG"/>
        </w:rPr>
      </w:pPr>
      <w:bookmarkStart w:id="179" w:name="_Toc115255071"/>
      <w:r w:rsidRPr="009F6D1E">
        <w:t xml:space="preserve">Фигура </w:t>
      </w:r>
      <w:fldSimple w:instr=" SEQ Фигура \* ARABIC ">
        <w:r w:rsidR="00A43EF3">
          <w:rPr>
            <w:noProof/>
          </w:rPr>
          <w:t>10</w:t>
        </w:r>
      </w:fldSimple>
      <w:r w:rsidRPr="009F6D1E">
        <w:t xml:space="preserve">: </w:t>
      </w:r>
      <w:r w:rsidR="00510C21" w:rsidRPr="009F6D1E">
        <w:rPr>
          <w:rFonts w:eastAsia="Times New Roman"/>
          <w:lang w:bidi="bg-BG"/>
        </w:rPr>
        <w:t>Годишни емисии на парникови газове за единица БВП, тона СО</w:t>
      </w:r>
      <w:r w:rsidR="00510C21" w:rsidRPr="009F6D1E">
        <w:rPr>
          <w:rFonts w:eastAsia="Times New Roman"/>
          <w:vertAlign w:val="subscript"/>
          <w:lang w:bidi="bg-BG"/>
        </w:rPr>
        <w:t>2</w:t>
      </w:r>
      <w:r w:rsidR="00510C21" w:rsidRPr="009F6D1E">
        <w:rPr>
          <w:rFonts w:eastAsia="Times New Roman"/>
          <w:lang w:bidi="bg-BG"/>
        </w:rPr>
        <w:t xml:space="preserve"> - екв. за 1000 лева</w:t>
      </w:r>
      <w:bookmarkEnd w:id="179"/>
    </w:p>
    <w:p w14:paraId="180BDE16" w14:textId="36E4D723" w:rsidR="00510C21" w:rsidRPr="009F6D1E" w:rsidRDefault="008C406F" w:rsidP="0084747F">
      <w:pPr>
        <w:spacing w:after="60" w:line="264" w:lineRule="auto"/>
        <w:ind w:firstLine="851"/>
        <w:jc w:val="both"/>
        <w:rPr>
          <w:rFonts w:eastAsia="Times New Roman" w:cs="Times New Roman"/>
          <w:szCs w:val="24"/>
          <w:lang w:bidi="bg-BG"/>
        </w:rPr>
      </w:pPr>
      <w:r w:rsidRPr="008C406F">
        <w:rPr>
          <w:rFonts w:eastAsia="Times New Roman" w:cs="Times New Roman"/>
          <w:szCs w:val="24"/>
          <w:lang w:bidi="bg-BG"/>
        </w:rPr>
        <w:t>За периода емисиите на парниковите газове, получени при създаване на 1000 лева брутен вътрешен продукт значително намаляват - от 2,41 тона СО</w:t>
      </w:r>
      <w:r w:rsidRPr="008C406F">
        <w:rPr>
          <w:rFonts w:eastAsia="Times New Roman" w:cs="Times New Roman"/>
          <w:szCs w:val="24"/>
          <w:vertAlign w:val="subscript"/>
          <w:lang w:bidi="bg-BG"/>
        </w:rPr>
        <w:t>2</w:t>
      </w:r>
      <w:r w:rsidRPr="008C406F">
        <w:rPr>
          <w:rFonts w:eastAsia="Times New Roman" w:cs="Times New Roman"/>
          <w:szCs w:val="24"/>
          <w:lang w:bidi="bg-BG"/>
        </w:rPr>
        <w:t> - екв. за 1999 г. през 2020 г. те достигат до 0,43 тона СО</w:t>
      </w:r>
      <w:r w:rsidRPr="008C406F">
        <w:rPr>
          <w:rFonts w:eastAsia="Times New Roman" w:cs="Times New Roman"/>
          <w:szCs w:val="24"/>
          <w:vertAlign w:val="subscript"/>
          <w:lang w:bidi="bg-BG"/>
        </w:rPr>
        <w:t>2 </w:t>
      </w:r>
      <w:r w:rsidRPr="008C406F">
        <w:rPr>
          <w:rFonts w:eastAsia="Times New Roman" w:cs="Times New Roman"/>
          <w:szCs w:val="24"/>
          <w:lang w:bidi="bg-BG"/>
        </w:rPr>
        <w:t>- екв. Между 1990 г. и 2007 г. емисиите на единица БВП намаляват в ЕС-27 с повече от една трета</w:t>
      </w:r>
      <w:r w:rsidR="00510C21" w:rsidRPr="009F6D1E">
        <w:rPr>
          <w:rFonts w:eastAsia="Times New Roman" w:cs="Times New Roman"/>
          <w:szCs w:val="24"/>
          <w:lang w:bidi="bg-BG"/>
        </w:rPr>
        <w:t>.</w:t>
      </w:r>
    </w:p>
    <w:p w14:paraId="1A53B01C" w14:textId="77777777" w:rsidR="00510C21" w:rsidRPr="009F6D1E" w:rsidRDefault="00510C21" w:rsidP="009B3DA8">
      <w:pPr>
        <w:spacing w:after="60" w:line="264" w:lineRule="auto"/>
        <w:jc w:val="both"/>
        <w:rPr>
          <w:rFonts w:cs="Times New Roman"/>
          <w:b/>
          <w:bCs/>
          <w:szCs w:val="24"/>
        </w:rPr>
      </w:pPr>
      <w:r w:rsidRPr="009F6D1E">
        <w:rPr>
          <w:rFonts w:cs="Times New Roman"/>
          <w:b/>
          <w:bCs/>
          <w:szCs w:val="24"/>
        </w:rPr>
        <w:t>Климатични промени в България</w:t>
      </w:r>
    </w:p>
    <w:p w14:paraId="1797EBE7" w14:textId="6C5FCC75"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България е разположена в един от регионите, който е особено уязвим към изменението на климата (главно чрез повишаване на температурата и интензивни валежи) и към нарастващата честота на екстремни събития, свързани с изменението на климата, като суши и наводнения. Рисковете, причинени от явления, свързани с изменението на климата, могат да доведат до загуба на човешки живот или да причинят значителни щети, засягащи икономическия растеж и пр</w:t>
      </w:r>
      <w:r w:rsidR="00CA2678">
        <w:rPr>
          <w:rFonts w:eastAsia="Times New Roman" w:cs="Times New Roman"/>
          <w:szCs w:val="24"/>
          <w:lang w:bidi="bg-BG"/>
        </w:rPr>
        <w:t>осп</w:t>
      </w:r>
      <w:r w:rsidRPr="009F6D1E">
        <w:rPr>
          <w:rFonts w:eastAsia="Times New Roman" w:cs="Times New Roman"/>
          <w:szCs w:val="24"/>
          <w:lang w:bidi="bg-BG"/>
        </w:rPr>
        <w:t>еритета както на национално, така и на трансгранично равнище.</w:t>
      </w:r>
    </w:p>
    <w:p w14:paraId="3A41CC91" w14:textId="3233A6A8"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В научната общност съществува консенсус, че изменението на климата вероятно ще увеличи честотата и величината на екстремни метеорологични явления. През последните десетилетия тази честота в България се е увеличила значително. Най-често срещаните хидрометеорологични и природни бедствия са екстремни валежи и температури, бури, наводнения, горски пожари, свлачища и суша. Броят на смъртните случаи и жертвите, дължащи се на природни бедствия, е значителен, което показва уязвимост към </w:t>
      </w:r>
      <w:r w:rsidRPr="009F6D1E">
        <w:rPr>
          <w:rFonts w:eastAsia="Times New Roman" w:cs="Times New Roman"/>
          <w:szCs w:val="24"/>
          <w:lang w:bidi="bg-BG"/>
        </w:rPr>
        <w:lastRenderedPageBreak/>
        <w:t>метеорологичните условия и климата. Уязвимостта на населението и икономиката на България към въздействията на климатичните промени се усилва от относително високата степен на бедност в най</w:t>
      </w:r>
      <w:r w:rsidR="00CA2678">
        <w:rPr>
          <w:rFonts w:eastAsia="Times New Roman" w:cs="Times New Roman"/>
          <w:szCs w:val="24"/>
          <w:lang w:bidi="bg-BG"/>
        </w:rPr>
        <w:t>-</w:t>
      </w:r>
      <w:r w:rsidRPr="009F6D1E">
        <w:rPr>
          <w:rFonts w:eastAsia="Times New Roman" w:cs="Times New Roman"/>
          <w:szCs w:val="24"/>
          <w:lang w:bidi="bg-BG"/>
        </w:rPr>
        <w:t>засегнатите райони, продължаващата концентрация на населението на страната в няколко индустриални и градски района и различните последици от прехода от държавно-контролирана икономика към свободна пазарна икономика. Все повече доказателства сочат, че икономическите загуби от бедствия, свързани с метеорологични и климатични условия, също нарастват.</w:t>
      </w:r>
    </w:p>
    <w:p w14:paraId="0951B3BE" w14:textId="28E02AB5"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Научните прогнози сочат, че средната температура </w:t>
      </w:r>
      <w:r w:rsidR="00CA2678">
        <w:rPr>
          <w:rFonts w:eastAsia="Times New Roman" w:cs="Times New Roman"/>
          <w:szCs w:val="24"/>
          <w:lang w:bidi="bg-BG"/>
        </w:rPr>
        <w:t>се повишава</w:t>
      </w:r>
      <w:r w:rsidRPr="009F6D1E">
        <w:rPr>
          <w:rFonts w:eastAsia="Times New Roman" w:cs="Times New Roman"/>
          <w:szCs w:val="24"/>
          <w:lang w:bidi="bg-BG"/>
        </w:rPr>
        <w:t xml:space="preserve"> между 1,8°C и 4°C до 2100 г., като покачването в Европа се очаква да бъде дори по-високо от прогнозната глобална средна стойност.</w:t>
      </w:r>
    </w:p>
    <w:p w14:paraId="1E692411" w14:textId="215FA5EC"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Изследванията, проведени от департамента по метеорология на Националния институт по метеорология и хидрология към Българска академия на науките (НИМХ), </w:t>
      </w:r>
      <w:r w:rsidR="00CA2678">
        <w:rPr>
          <w:rFonts w:eastAsia="Times New Roman" w:cs="Times New Roman"/>
          <w:szCs w:val="24"/>
          <w:lang w:bidi="bg-BG"/>
        </w:rPr>
        <w:t>показват</w:t>
      </w:r>
      <w:r w:rsidRPr="009F6D1E">
        <w:rPr>
          <w:rFonts w:eastAsia="Times New Roman" w:cs="Times New Roman"/>
          <w:szCs w:val="24"/>
          <w:lang w:bidi="bg-BG"/>
        </w:rPr>
        <w:t xml:space="preserve"> повишение на годишната температура на въздуха в България от 0,7°C до 1,8°C до 2020 г. Още по-високи температури се очакват до 2050 и 2080 г., като прогнозираните повишения са съответно от 1,6°C до 3,1°C и от 2,9°C до 4,1°C. Като цяло, повишаването на температурата се очаква да бъде по-голямо през летния сезон (от юли до септември).</w:t>
      </w:r>
    </w:p>
    <w:p w14:paraId="429961D0" w14:textId="42DAE28F"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 xml:space="preserve">От гледна точка на очакваните промени в режима на валежите, вероятно е да има намаляване на валежите, което ще доведе до значително намаляване на общите водни запаси в страната. В това отношение </w:t>
      </w:r>
      <w:r w:rsidR="00CA2678">
        <w:rPr>
          <w:rFonts w:eastAsia="Times New Roman" w:cs="Times New Roman"/>
          <w:szCs w:val="24"/>
          <w:lang w:bidi="bg-BG"/>
        </w:rPr>
        <w:t>изследванията показват</w:t>
      </w:r>
      <w:r w:rsidRPr="009F6D1E">
        <w:rPr>
          <w:rFonts w:eastAsia="Times New Roman" w:cs="Times New Roman"/>
          <w:szCs w:val="24"/>
          <w:lang w:bidi="bg-BG"/>
        </w:rPr>
        <w:t xml:space="preserve"> намаляване на валежите с приблизително 10 процента до 2020 г.,</w:t>
      </w:r>
      <w:r w:rsidR="00CA2678">
        <w:rPr>
          <w:rFonts w:eastAsia="Times New Roman" w:cs="Times New Roman"/>
          <w:szCs w:val="24"/>
          <w:lang w:bidi="bg-BG"/>
        </w:rPr>
        <w:t xml:space="preserve"> очаква се намаляване с</w:t>
      </w:r>
      <w:r w:rsidRPr="009F6D1E">
        <w:rPr>
          <w:rFonts w:eastAsia="Times New Roman" w:cs="Times New Roman"/>
          <w:szCs w:val="24"/>
          <w:lang w:bidi="bg-BG"/>
        </w:rPr>
        <w:t xml:space="preserve"> 15 процента до 2050 г. и от 30 процента до 40 процента до 2080 г. При повечето сценарии за изменението на климата валежите през зимните месеци вероятно ще се увеличат до края на века, но се очаква значителното намаляване на валежите през летните месеци да компенсира това увеличение.</w:t>
      </w:r>
    </w:p>
    <w:p w14:paraId="114A46E7" w14:textId="77777777"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Според съществуващите сценарии за климатичните промени за България се наблюдава тенденция към увеличаване честотата на екстремни явления и бедствия, което се доказва от честите интензивни валежи, топли и студени вълни, наводнения и суши, урагани, горски пожари и свлачища.</w:t>
      </w:r>
    </w:p>
    <w:p w14:paraId="698EB354" w14:textId="77777777" w:rsidR="00510C21" w:rsidRPr="009F6D1E" w:rsidRDefault="00510C21" w:rsidP="0084747F">
      <w:pPr>
        <w:spacing w:after="60" w:line="264" w:lineRule="auto"/>
        <w:ind w:firstLine="851"/>
        <w:jc w:val="both"/>
        <w:rPr>
          <w:rFonts w:eastAsia="Times New Roman" w:cs="Times New Roman"/>
          <w:szCs w:val="24"/>
          <w:lang w:bidi="bg-BG"/>
        </w:rPr>
      </w:pPr>
      <w:r w:rsidRPr="009F6D1E">
        <w:rPr>
          <w:rFonts w:eastAsia="Times New Roman" w:cs="Times New Roman"/>
          <w:szCs w:val="24"/>
          <w:lang w:bidi="bg-BG"/>
        </w:rPr>
        <w:t>Очаква се биологичното разнообразие, сухоземните и водните екосистеми, както и секторите на водните ресурси, селското стопанство и горското стопанство да бъдат засегнати от предвижданите промени. Тези промени ще засегнат допълнително обществото и неговите граждани, както и икономиката като цяло. Изменението на климата не засяга всички хора и територии еднакво поради различните нива на експозиция, съответната им уязвимост и адаптивните възможности за справяне. Рискът е по-голям за сегментите на обществото и бизнеса, които са по-малко подготвени и по-уязвими.</w:t>
      </w:r>
    </w:p>
    <w:p w14:paraId="22828C30" w14:textId="77777777" w:rsidR="00510C21" w:rsidRPr="009F6D1E" w:rsidRDefault="00510C21" w:rsidP="0084747F">
      <w:pPr>
        <w:spacing w:after="60" w:line="264" w:lineRule="auto"/>
        <w:ind w:firstLine="851"/>
        <w:jc w:val="both"/>
        <w:rPr>
          <w:rFonts w:eastAsia="Times New Roman" w:cs="Times New Roman"/>
          <w:color w:val="BF8F00" w:themeColor="accent4" w:themeShade="BF"/>
          <w:szCs w:val="24"/>
          <w:lang w:bidi="bg-BG"/>
        </w:rPr>
      </w:pPr>
    </w:p>
    <w:p w14:paraId="0548CBC8" w14:textId="77777777" w:rsidR="00DC0401" w:rsidRPr="009F6D1E" w:rsidRDefault="009B44B7">
      <w:pPr>
        <w:pStyle w:val="Heading4"/>
        <w:keepLines w:val="0"/>
        <w:numPr>
          <w:ilvl w:val="3"/>
          <w:numId w:val="39"/>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Атмосферен в</w:t>
      </w:r>
      <w:r w:rsidR="00DC0401" w:rsidRPr="009F6D1E">
        <w:rPr>
          <w:b/>
          <w:bCs/>
          <w:smallCaps w:val="0"/>
          <w:color w:val="262626" w:themeColor="text1" w:themeTint="D9"/>
          <w:lang w:eastAsia="en-US" w:bidi="ar-SA"/>
        </w:rPr>
        <w:t xml:space="preserve">ъздух </w:t>
      </w:r>
    </w:p>
    <w:p w14:paraId="54BE6FED" w14:textId="77777777" w:rsidR="009B3DA8" w:rsidRPr="009F6D1E" w:rsidRDefault="009B3DA8" w:rsidP="0084747F">
      <w:pPr>
        <w:autoSpaceDE w:val="0"/>
        <w:autoSpaceDN w:val="0"/>
        <w:adjustRightInd w:val="0"/>
        <w:spacing w:after="60" w:line="264" w:lineRule="auto"/>
        <w:ind w:firstLine="708"/>
        <w:jc w:val="both"/>
        <w:rPr>
          <w:rFonts w:cs="Times New Roman"/>
          <w:color w:val="BF8F00" w:themeColor="accent4" w:themeShade="BF"/>
          <w:szCs w:val="24"/>
        </w:rPr>
      </w:pPr>
    </w:p>
    <w:p w14:paraId="28D8C0C0"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Замърсяването на въздуха е една от основните екологични причини за редица заболявания в Европа</w:t>
      </w:r>
      <w:r w:rsidRPr="009F6D1E">
        <w:rPr>
          <w:rFonts w:cs="Times New Roman"/>
          <w:i/>
          <w:iCs/>
          <w:szCs w:val="24"/>
        </w:rPr>
        <w:t xml:space="preserve">. </w:t>
      </w:r>
      <w:r w:rsidRPr="009F6D1E">
        <w:rPr>
          <w:rFonts w:cs="Times New Roman"/>
          <w:szCs w:val="24"/>
        </w:rPr>
        <w:t xml:space="preserve">Въздухът е по-чист днес, отколкото преди две десетилетия, но въпреки подобренията, значителни вредни въздействия остават: Европа все още е далеч от постигането </w:t>
      </w:r>
      <w:r w:rsidRPr="009F6D1E">
        <w:rPr>
          <w:rFonts w:cs="Times New Roman"/>
          <w:szCs w:val="24"/>
        </w:rPr>
        <w:lastRenderedPageBreak/>
        <w:t xml:space="preserve">на нива на качество на въздуха, които не водят до риск за хората и на околната среда. Това представлява съществена загуба за Европа: за нейните природни системи, нейната икономика, производителността на работната сила и здравето на европейците. Ефектите от лошото качество на въздуха се усещат най-силно в две основни области – в градските райони, където хората изпитват значителни здравословни проблеми и екосистемите, където се уврежда растежа на растителността, а </w:t>
      </w:r>
      <w:proofErr w:type="spellStart"/>
      <w:r w:rsidRPr="009F6D1E">
        <w:rPr>
          <w:rFonts w:cs="Times New Roman"/>
          <w:szCs w:val="24"/>
        </w:rPr>
        <w:t>еутрофикацията</w:t>
      </w:r>
      <w:proofErr w:type="spellEnd"/>
      <w:r w:rsidRPr="009F6D1E">
        <w:rPr>
          <w:rFonts w:cs="Times New Roman"/>
          <w:szCs w:val="24"/>
        </w:rPr>
        <w:t xml:space="preserve"> е довела до загубата на биологично разнообразие.</w:t>
      </w:r>
    </w:p>
    <w:p w14:paraId="1E673D93"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Икономическите дейности, пътният трафик, производството на електрическа и топлинна енергия, промишлеността и селското стопанство, както и битовото отопление са основен източник на замърсяване на въздуха.</w:t>
      </w:r>
    </w:p>
    <w:p w14:paraId="79B1F03D" w14:textId="77777777" w:rsidR="00E1629C" w:rsidRPr="009F6D1E" w:rsidRDefault="00E1629C" w:rsidP="0084747F">
      <w:pPr>
        <w:autoSpaceDE w:val="0"/>
        <w:autoSpaceDN w:val="0"/>
        <w:adjustRightInd w:val="0"/>
        <w:spacing w:after="60" w:line="264" w:lineRule="auto"/>
        <w:jc w:val="both"/>
        <w:rPr>
          <w:rFonts w:cs="Times New Roman"/>
          <w:szCs w:val="24"/>
        </w:rPr>
      </w:pPr>
      <w:r w:rsidRPr="009F6D1E">
        <w:rPr>
          <w:rFonts w:cs="Times New Roman"/>
          <w:szCs w:val="24"/>
        </w:rPr>
        <w:t>Фините прахови частици (ФПЧ10 и ФПЧ2.5) и озон (О</w:t>
      </w:r>
      <w:r w:rsidRPr="009F6D1E">
        <w:rPr>
          <w:rFonts w:cs="Times New Roman"/>
          <w:szCs w:val="24"/>
          <w:vertAlign w:val="subscript"/>
        </w:rPr>
        <w:t>3</w:t>
      </w:r>
      <w:r w:rsidRPr="009F6D1E">
        <w:rPr>
          <w:rFonts w:cs="Times New Roman"/>
          <w:szCs w:val="24"/>
        </w:rPr>
        <w:t>) са най-проблемните замърсители</w:t>
      </w:r>
    </w:p>
    <w:p w14:paraId="3A5A4B12" w14:textId="77777777" w:rsidR="00E1629C" w:rsidRPr="009F6D1E" w:rsidRDefault="00E1629C" w:rsidP="0084747F">
      <w:pPr>
        <w:autoSpaceDE w:val="0"/>
        <w:autoSpaceDN w:val="0"/>
        <w:adjustRightInd w:val="0"/>
        <w:spacing w:after="60" w:line="264" w:lineRule="auto"/>
        <w:jc w:val="both"/>
        <w:rPr>
          <w:rFonts w:cs="Times New Roman"/>
          <w:szCs w:val="24"/>
        </w:rPr>
      </w:pPr>
      <w:r w:rsidRPr="009F6D1E">
        <w:rPr>
          <w:rFonts w:cs="Times New Roman"/>
          <w:szCs w:val="24"/>
        </w:rPr>
        <w:t xml:space="preserve">по отношение на човешкото здраве, следвани от </w:t>
      </w:r>
      <w:proofErr w:type="spellStart"/>
      <w:r w:rsidRPr="009F6D1E">
        <w:rPr>
          <w:rFonts w:cs="Times New Roman"/>
          <w:szCs w:val="24"/>
        </w:rPr>
        <w:t>бензо</w:t>
      </w:r>
      <w:proofErr w:type="spellEnd"/>
      <w:r w:rsidRPr="009F6D1E">
        <w:rPr>
          <w:rFonts w:cs="Times New Roman"/>
          <w:szCs w:val="24"/>
        </w:rPr>
        <w:t xml:space="preserve">(а)пирен (индикатор за </w:t>
      </w:r>
      <w:proofErr w:type="spellStart"/>
      <w:r w:rsidRPr="009F6D1E">
        <w:rPr>
          <w:rFonts w:cs="Times New Roman"/>
          <w:szCs w:val="24"/>
        </w:rPr>
        <w:t>полициклични</w:t>
      </w:r>
      <w:proofErr w:type="spellEnd"/>
      <w:r w:rsidRPr="009F6D1E">
        <w:rPr>
          <w:rFonts w:cs="Times New Roman"/>
          <w:szCs w:val="24"/>
        </w:rPr>
        <w:t xml:space="preserve"> ароматни въглеводороди) и азотен диоксид (NO</w:t>
      </w:r>
      <w:r w:rsidRPr="009F6D1E">
        <w:rPr>
          <w:rFonts w:cs="Times New Roman"/>
          <w:szCs w:val="24"/>
          <w:vertAlign w:val="subscript"/>
        </w:rPr>
        <w:t>2</w:t>
      </w:r>
      <w:r w:rsidRPr="009F6D1E">
        <w:rPr>
          <w:rFonts w:cs="Times New Roman"/>
          <w:szCs w:val="24"/>
        </w:rPr>
        <w:t>). Най-силно засегнати от въздействието на високите концентрации на озон (О</w:t>
      </w:r>
      <w:r w:rsidRPr="009F6D1E">
        <w:rPr>
          <w:rFonts w:cs="Times New Roman"/>
          <w:szCs w:val="24"/>
          <w:vertAlign w:val="subscript"/>
        </w:rPr>
        <w:t>3</w:t>
      </w:r>
      <w:r w:rsidRPr="009F6D1E">
        <w:rPr>
          <w:rFonts w:cs="Times New Roman"/>
          <w:szCs w:val="24"/>
        </w:rPr>
        <w:t>), амоняк (NH</w:t>
      </w:r>
      <w:r w:rsidRPr="009F6D1E">
        <w:rPr>
          <w:rFonts w:cs="Times New Roman"/>
          <w:szCs w:val="24"/>
          <w:vertAlign w:val="subscript"/>
        </w:rPr>
        <w:t>3</w:t>
      </w:r>
      <w:r w:rsidRPr="009F6D1E">
        <w:rPr>
          <w:rFonts w:cs="Times New Roman"/>
          <w:szCs w:val="24"/>
        </w:rPr>
        <w:t>) и азотни оксиди (</w:t>
      </w:r>
      <w:proofErr w:type="spellStart"/>
      <w:r w:rsidRPr="009F6D1E">
        <w:rPr>
          <w:rFonts w:cs="Times New Roman"/>
          <w:szCs w:val="24"/>
        </w:rPr>
        <w:t>NOx</w:t>
      </w:r>
      <w:proofErr w:type="spellEnd"/>
      <w:r w:rsidRPr="009F6D1E">
        <w:rPr>
          <w:rFonts w:cs="Times New Roman"/>
          <w:szCs w:val="24"/>
        </w:rPr>
        <w:t>) са екосистемите и горите във високопланинските райони.</w:t>
      </w:r>
    </w:p>
    <w:p w14:paraId="34FED592"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За подобряване на качество на въздуха в бъдеще ще трябва да се увеличи използването на „зелени“ и по-ефективни технологии по отношение на топлоизолация на сградите, както и</w:t>
      </w:r>
    </w:p>
    <w:p w14:paraId="2F540853" w14:textId="77777777" w:rsidR="00E1629C" w:rsidRPr="009F6D1E" w:rsidRDefault="00E1629C" w:rsidP="0084747F">
      <w:pPr>
        <w:autoSpaceDE w:val="0"/>
        <w:autoSpaceDN w:val="0"/>
        <w:adjustRightInd w:val="0"/>
        <w:spacing w:after="60" w:line="264" w:lineRule="auto"/>
        <w:jc w:val="both"/>
        <w:rPr>
          <w:rFonts w:cs="Times New Roman"/>
          <w:szCs w:val="24"/>
        </w:rPr>
      </w:pPr>
      <w:r w:rsidRPr="009F6D1E">
        <w:rPr>
          <w:rFonts w:cs="Times New Roman"/>
          <w:szCs w:val="24"/>
        </w:rPr>
        <w:t>използването на алтернативни източници на гориво в бита и транспорта, използване на най-добри налични технологии в индустрията и др.</w:t>
      </w:r>
    </w:p>
    <w:p w14:paraId="45D01A2A" w14:textId="77777777" w:rsidR="00E1629C" w:rsidRPr="009F6D1E" w:rsidRDefault="00E1629C" w:rsidP="0084747F">
      <w:pPr>
        <w:autoSpaceDE w:val="0"/>
        <w:autoSpaceDN w:val="0"/>
        <w:adjustRightInd w:val="0"/>
        <w:spacing w:after="60" w:line="264" w:lineRule="auto"/>
        <w:jc w:val="both"/>
        <w:rPr>
          <w:rFonts w:cs="Times New Roman"/>
          <w:szCs w:val="24"/>
        </w:rPr>
      </w:pPr>
    </w:p>
    <w:p w14:paraId="5B889812" w14:textId="77777777" w:rsidR="00E1629C" w:rsidRPr="009F6D1E" w:rsidRDefault="00E1629C">
      <w:pPr>
        <w:pStyle w:val="ListParagraph"/>
        <w:numPr>
          <w:ilvl w:val="0"/>
          <w:numId w:val="40"/>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Емисии на вредни вещества във въздуха на национално ниво</w:t>
      </w:r>
    </w:p>
    <w:p w14:paraId="6B4923D6" w14:textId="77777777" w:rsidR="00821329" w:rsidRPr="00821329" w:rsidRDefault="00821329" w:rsidP="00821329">
      <w:pPr>
        <w:autoSpaceDE w:val="0"/>
        <w:autoSpaceDN w:val="0"/>
        <w:adjustRightInd w:val="0"/>
        <w:spacing w:after="60" w:line="264" w:lineRule="auto"/>
        <w:ind w:firstLine="708"/>
        <w:jc w:val="both"/>
        <w:rPr>
          <w:rFonts w:cs="Times New Roman"/>
          <w:szCs w:val="24"/>
        </w:rPr>
      </w:pPr>
      <w:r w:rsidRPr="00821329">
        <w:rPr>
          <w:rFonts w:cs="Times New Roman"/>
          <w:szCs w:val="24"/>
        </w:rPr>
        <w:t>Съгласно законодателството на ЕС – Директива (ЕС) 2016/2284, държавите-членки следва да спазват установените в директивата задължения за намаляване на емисиите на серен диоксид (SO</w:t>
      </w:r>
      <w:r w:rsidRPr="00821329">
        <w:rPr>
          <w:rFonts w:cs="Times New Roman"/>
          <w:szCs w:val="24"/>
          <w:vertAlign w:val="subscript"/>
        </w:rPr>
        <w:t>2</w:t>
      </w:r>
      <w:r w:rsidRPr="00821329">
        <w:rPr>
          <w:rFonts w:cs="Times New Roman"/>
          <w:szCs w:val="24"/>
        </w:rPr>
        <w:t>), азотни оксиди (</w:t>
      </w:r>
      <w:proofErr w:type="spellStart"/>
      <w:r w:rsidRPr="00821329">
        <w:rPr>
          <w:rFonts w:cs="Times New Roman"/>
          <w:szCs w:val="24"/>
        </w:rPr>
        <w:t>NOx</w:t>
      </w:r>
      <w:proofErr w:type="spellEnd"/>
      <w:r w:rsidRPr="00821329">
        <w:rPr>
          <w:rFonts w:cs="Times New Roman"/>
          <w:szCs w:val="24"/>
        </w:rPr>
        <w:t>), неметанови летливи органични съединения (NMVOC), амоняк (NH</w:t>
      </w:r>
      <w:r w:rsidRPr="00821329">
        <w:rPr>
          <w:rFonts w:cs="Times New Roman"/>
          <w:szCs w:val="24"/>
          <w:vertAlign w:val="subscript"/>
        </w:rPr>
        <w:t>3</w:t>
      </w:r>
      <w:r w:rsidRPr="00821329">
        <w:rPr>
          <w:rFonts w:cs="Times New Roman"/>
          <w:szCs w:val="24"/>
        </w:rPr>
        <w:t>) и фини прахови частици (PM2,5) за всяка година от 2020 г. до 2029 г. и от 2030 г. нататък, спрямо определената за базова 2005 г. </w:t>
      </w:r>
    </w:p>
    <w:p w14:paraId="6FF0B3D0" w14:textId="77777777" w:rsidR="00821329" w:rsidRPr="00821329" w:rsidRDefault="00821329" w:rsidP="00821329">
      <w:pPr>
        <w:autoSpaceDE w:val="0"/>
        <w:autoSpaceDN w:val="0"/>
        <w:adjustRightInd w:val="0"/>
        <w:spacing w:after="60" w:line="264" w:lineRule="auto"/>
        <w:ind w:firstLine="708"/>
        <w:jc w:val="both"/>
        <w:rPr>
          <w:rFonts w:cs="Times New Roman"/>
          <w:szCs w:val="24"/>
        </w:rPr>
      </w:pPr>
      <w:r w:rsidRPr="00821329">
        <w:rPr>
          <w:rFonts w:cs="Times New Roman"/>
          <w:szCs w:val="24"/>
        </w:rPr>
        <w:t xml:space="preserve">Съгласно изменения, приети през 2012 г., на Протокола от 1999 г. за намаляване на </w:t>
      </w:r>
      <w:proofErr w:type="spellStart"/>
      <w:r w:rsidRPr="00821329">
        <w:rPr>
          <w:rFonts w:cs="Times New Roman"/>
          <w:szCs w:val="24"/>
        </w:rPr>
        <w:t>подкисляването</w:t>
      </w:r>
      <w:proofErr w:type="spellEnd"/>
      <w:r w:rsidRPr="00821329">
        <w:rPr>
          <w:rFonts w:cs="Times New Roman"/>
          <w:szCs w:val="24"/>
        </w:rPr>
        <w:t xml:space="preserve">, </w:t>
      </w:r>
      <w:proofErr w:type="spellStart"/>
      <w:r w:rsidRPr="00821329">
        <w:rPr>
          <w:rFonts w:cs="Times New Roman"/>
          <w:szCs w:val="24"/>
        </w:rPr>
        <w:t>еутрофикацията</w:t>
      </w:r>
      <w:proofErr w:type="spellEnd"/>
      <w:r w:rsidRPr="00821329">
        <w:rPr>
          <w:rFonts w:cs="Times New Roman"/>
          <w:szCs w:val="24"/>
        </w:rPr>
        <w:t xml:space="preserve"> и </w:t>
      </w:r>
      <w:proofErr w:type="spellStart"/>
      <w:r w:rsidRPr="00821329">
        <w:rPr>
          <w:rFonts w:cs="Times New Roman"/>
          <w:szCs w:val="24"/>
        </w:rPr>
        <w:t>тропосферния</w:t>
      </w:r>
      <w:proofErr w:type="spellEnd"/>
      <w:r w:rsidRPr="00821329">
        <w:rPr>
          <w:rFonts w:cs="Times New Roman"/>
          <w:szCs w:val="24"/>
        </w:rPr>
        <w:t xml:space="preserve"> озон (</w:t>
      </w:r>
      <w:proofErr w:type="spellStart"/>
      <w:r w:rsidRPr="00821329">
        <w:rPr>
          <w:rFonts w:cs="Times New Roman"/>
          <w:szCs w:val="24"/>
        </w:rPr>
        <w:t>Гьотеборгски</w:t>
      </w:r>
      <w:proofErr w:type="spellEnd"/>
      <w:r w:rsidRPr="00821329">
        <w:rPr>
          <w:rFonts w:cs="Times New Roman"/>
          <w:szCs w:val="24"/>
        </w:rPr>
        <w:t xml:space="preserve"> протокол) към КТЗВДР, страните по него имат задължение за намаляване на емисиите на посочените по-горе замърсители. </w:t>
      </w:r>
    </w:p>
    <w:p w14:paraId="002F2223" w14:textId="77777777" w:rsidR="00821329" w:rsidRPr="00821329" w:rsidRDefault="00821329" w:rsidP="00821329">
      <w:pPr>
        <w:autoSpaceDE w:val="0"/>
        <w:autoSpaceDN w:val="0"/>
        <w:adjustRightInd w:val="0"/>
        <w:spacing w:after="60" w:line="264" w:lineRule="auto"/>
        <w:ind w:firstLine="708"/>
        <w:jc w:val="both"/>
        <w:rPr>
          <w:rFonts w:cs="Times New Roman"/>
          <w:szCs w:val="24"/>
        </w:rPr>
      </w:pPr>
      <w:r w:rsidRPr="00821329">
        <w:rPr>
          <w:rFonts w:cs="Times New Roman"/>
          <w:szCs w:val="24"/>
        </w:rPr>
        <w:t>За осигуряване на прилагането на Директива (ЕС) 2016/2284 и на задълженията на страната по Договора за присъединяване към ЕС, както и на основание чл.10а от Закона за чистотата на атмосферния въздух (ЗЧАВ), е приета Национална програма за контрол на замърсяването на въздуха (2020 - 2030 г.), (НПКЗВ). Разработването на програмата е в изпълнение на чл.6 от Директива (ЕС) 2016/2284.  Документът е приет с Решение № 541 на Министерския съвет от 13.09.2019 г. Националната програма за контрол на замърсяването на въздуха (2020 - 2030 г.) предвижда прилагането на мерки за намаление нивата на общите годишни антропогенни емисии на посочените по-горе замърсители, в резултат на което да се постигнат националните задължения, определени в  Директива (ЕС) 2016/2284.</w:t>
      </w:r>
    </w:p>
    <w:p w14:paraId="053157C4" w14:textId="0A06F830" w:rsidR="00E1629C" w:rsidRPr="009F6D1E" w:rsidRDefault="00376AAE" w:rsidP="0084747F">
      <w:pPr>
        <w:autoSpaceDE w:val="0"/>
        <w:autoSpaceDN w:val="0"/>
        <w:adjustRightInd w:val="0"/>
        <w:spacing w:after="60" w:line="264" w:lineRule="auto"/>
        <w:ind w:firstLine="708"/>
        <w:jc w:val="both"/>
        <w:rPr>
          <w:rFonts w:cs="Times New Roman"/>
          <w:szCs w:val="24"/>
        </w:rPr>
      </w:pPr>
      <w:r>
        <w:rPr>
          <w:rFonts w:cs="Times New Roman"/>
          <w:szCs w:val="24"/>
        </w:rPr>
        <w:lastRenderedPageBreak/>
        <w:t>К</w:t>
      </w:r>
      <w:r w:rsidRPr="00376AAE">
        <w:rPr>
          <w:rFonts w:cs="Times New Roman"/>
          <w:szCs w:val="24"/>
        </w:rPr>
        <w:t xml:space="preserve">ъм 31.12.2020 г. ангажиментите за намаляване на емисиите по Директива (ЕС) 2016/2284, </w:t>
      </w:r>
      <w:proofErr w:type="spellStart"/>
      <w:r w:rsidRPr="00376AAE">
        <w:rPr>
          <w:rFonts w:cs="Times New Roman"/>
          <w:szCs w:val="24"/>
        </w:rPr>
        <w:t>Гьотеборгския</w:t>
      </w:r>
      <w:proofErr w:type="spellEnd"/>
      <w:r w:rsidRPr="00376AAE">
        <w:rPr>
          <w:rFonts w:cs="Times New Roman"/>
          <w:szCs w:val="24"/>
        </w:rPr>
        <w:t xml:space="preserve"> протокол към КТЗВДР и НПКЗВ за 2020 г. са достигнати за SO</w:t>
      </w:r>
      <w:r w:rsidRPr="00376AAE">
        <w:rPr>
          <w:rFonts w:cs="Times New Roman"/>
          <w:szCs w:val="24"/>
          <w:vertAlign w:val="subscript"/>
        </w:rPr>
        <w:t>2</w:t>
      </w:r>
      <w:r w:rsidRPr="00376AAE">
        <w:rPr>
          <w:rFonts w:cs="Times New Roman"/>
          <w:szCs w:val="24"/>
        </w:rPr>
        <w:t xml:space="preserve">, </w:t>
      </w:r>
      <w:proofErr w:type="spellStart"/>
      <w:r w:rsidRPr="00376AAE">
        <w:rPr>
          <w:rFonts w:cs="Times New Roman"/>
          <w:szCs w:val="24"/>
        </w:rPr>
        <w:t>NOх</w:t>
      </w:r>
      <w:proofErr w:type="spellEnd"/>
      <w:r w:rsidRPr="00376AAE">
        <w:rPr>
          <w:rFonts w:cs="Times New Roman"/>
          <w:szCs w:val="24"/>
        </w:rPr>
        <w:t>, NMVOC и РМ2,5, но не и за NH</w:t>
      </w:r>
      <w:r w:rsidRPr="00376AAE">
        <w:rPr>
          <w:rFonts w:cs="Times New Roman"/>
          <w:szCs w:val="24"/>
          <w:vertAlign w:val="subscript"/>
        </w:rPr>
        <w:t>3</w:t>
      </w:r>
      <w:r w:rsidR="00E1629C" w:rsidRPr="009F6D1E">
        <w:rPr>
          <w:rFonts w:cs="Times New Roman"/>
          <w:szCs w:val="24"/>
        </w:rPr>
        <w:t>.</w:t>
      </w:r>
    </w:p>
    <w:p w14:paraId="5100B70B" w14:textId="77777777" w:rsidR="00E1629C" w:rsidRPr="009F6D1E" w:rsidRDefault="00E1629C" w:rsidP="0084747F">
      <w:pPr>
        <w:autoSpaceDE w:val="0"/>
        <w:autoSpaceDN w:val="0"/>
        <w:adjustRightInd w:val="0"/>
        <w:spacing w:after="60" w:line="264" w:lineRule="auto"/>
        <w:jc w:val="both"/>
        <w:rPr>
          <w:rFonts w:cs="Times New Roman"/>
          <w:szCs w:val="24"/>
        </w:rPr>
      </w:pPr>
    </w:p>
    <w:p w14:paraId="237B0DB8" w14:textId="6EA4AD4A" w:rsidR="00E1629C" w:rsidRPr="009F6D1E" w:rsidRDefault="00E1629C">
      <w:pPr>
        <w:pStyle w:val="ListParagraph"/>
        <w:numPr>
          <w:ilvl w:val="0"/>
          <w:numId w:val="40"/>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Емисии на основни замърсители във въздуха на национално ниво и европейско ниво за периода 2000 – 20</w:t>
      </w:r>
      <w:r w:rsidR="00246A6C">
        <w:rPr>
          <w:b/>
          <w:bCs/>
          <w:color w:val="000000" w:themeColor="text1"/>
          <w:lang w:val="bg-BG"/>
        </w:rPr>
        <w:t>20</w:t>
      </w:r>
      <w:r w:rsidRPr="009F6D1E">
        <w:rPr>
          <w:b/>
          <w:bCs/>
          <w:color w:val="000000" w:themeColor="text1"/>
          <w:lang w:val="bg-BG"/>
        </w:rPr>
        <w:t>г.</w:t>
      </w:r>
    </w:p>
    <w:p w14:paraId="750E496E" w14:textId="0BAF06BA" w:rsidR="00376AAE" w:rsidRDefault="00246A6C" w:rsidP="0084747F">
      <w:pPr>
        <w:autoSpaceDE w:val="0"/>
        <w:autoSpaceDN w:val="0"/>
        <w:adjustRightInd w:val="0"/>
        <w:spacing w:after="60" w:line="264" w:lineRule="auto"/>
        <w:ind w:firstLine="708"/>
        <w:jc w:val="both"/>
        <w:rPr>
          <w:rFonts w:cs="Times New Roman"/>
          <w:szCs w:val="24"/>
        </w:rPr>
      </w:pPr>
      <w:r w:rsidRPr="00246A6C">
        <w:rPr>
          <w:rFonts w:cs="Times New Roman"/>
          <w:szCs w:val="24"/>
        </w:rPr>
        <w:t xml:space="preserve">През 2012 г. </w:t>
      </w:r>
      <w:proofErr w:type="spellStart"/>
      <w:r w:rsidRPr="00246A6C">
        <w:rPr>
          <w:rFonts w:cs="Times New Roman"/>
          <w:szCs w:val="24"/>
        </w:rPr>
        <w:t>Гьотеборгския</w:t>
      </w:r>
      <w:proofErr w:type="spellEnd"/>
      <w:r w:rsidRPr="00246A6C">
        <w:rPr>
          <w:rFonts w:cs="Times New Roman"/>
          <w:szCs w:val="24"/>
        </w:rPr>
        <w:t xml:space="preserve"> протокол се изменя и за 2020 г. освен тези четири замърсителя -  SO</w:t>
      </w:r>
      <w:r w:rsidRPr="00246A6C">
        <w:rPr>
          <w:rFonts w:cs="Times New Roman"/>
          <w:szCs w:val="24"/>
          <w:vertAlign w:val="subscript"/>
        </w:rPr>
        <w:t>2</w:t>
      </w:r>
      <w:r w:rsidRPr="00246A6C">
        <w:rPr>
          <w:rFonts w:cs="Times New Roman"/>
          <w:szCs w:val="24"/>
        </w:rPr>
        <w:t xml:space="preserve">, </w:t>
      </w:r>
      <w:proofErr w:type="spellStart"/>
      <w:r w:rsidRPr="00246A6C">
        <w:rPr>
          <w:rFonts w:cs="Times New Roman"/>
          <w:szCs w:val="24"/>
        </w:rPr>
        <w:t>NOх</w:t>
      </w:r>
      <w:proofErr w:type="spellEnd"/>
      <w:r w:rsidRPr="00246A6C">
        <w:rPr>
          <w:rFonts w:cs="Times New Roman"/>
          <w:szCs w:val="24"/>
        </w:rPr>
        <w:t>, NH</w:t>
      </w:r>
      <w:r w:rsidRPr="00246A6C">
        <w:rPr>
          <w:rFonts w:cs="Times New Roman"/>
          <w:szCs w:val="24"/>
          <w:vertAlign w:val="subscript"/>
        </w:rPr>
        <w:t>3</w:t>
      </w:r>
      <w:r w:rsidRPr="00246A6C">
        <w:rPr>
          <w:rFonts w:cs="Times New Roman"/>
          <w:szCs w:val="24"/>
        </w:rPr>
        <w:t xml:space="preserve">, NMVOC определя и тавани за първичните емисии на фини прахови частици (РМ2.5). Таваните за 2020 г. за посочените пет замърсителя са задължение на страната и съгласно Директива (ЕС) 2016/2284, целта е да се ограничат емисиите на замърсителите на въздуха, които са </w:t>
      </w:r>
      <w:proofErr w:type="spellStart"/>
      <w:r w:rsidRPr="00246A6C">
        <w:rPr>
          <w:rFonts w:cs="Times New Roman"/>
          <w:szCs w:val="24"/>
        </w:rPr>
        <w:t>прекурсори</w:t>
      </w:r>
      <w:proofErr w:type="spellEnd"/>
      <w:r w:rsidRPr="00246A6C">
        <w:rPr>
          <w:rFonts w:cs="Times New Roman"/>
          <w:szCs w:val="24"/>
        </w:rPr>
        <w:t xml:space="preserve"> на озон и прахови частици, както и на тези, които допринасят за </w:t>
      </w:r>
      <w:proofErr w:type="spellStart"/>
      <w:r w:rsidRPr="00246A6C">
        <w:rPr>
          <w:rFonts w:cs="Times New Roman"/>
          <w:szCs w:val="24"/>
        </w:rPr>
        <w:t>вклисляването</w:t>
      </w:r>
      <w:proofErr w:type="spellEnd"/>
      <w:r w:rsidRPr="00246A6C">
        <w:rPr>
          <w:rFonts w:cs="Times New Roman"/>
          <w:szCs w:val="24"/>
        </w:rPr>
        <w:t xml:space="preserve"> и </w:t>
      </w:r>
      <w:proofErr w:type="spellStart"/>
      <w:r w:rsidRPr="00246A6C">
        <w:rPr>
          <w:rFonts w:cs="Times New Roman"/>
          <w:szCs w:val="24"/>
        </w:rPr>
        <w:t>еутрофикацията</w:t>
      </w:r>
      <w:proofErr w:type="spellEnd"/>
      <w:r w:rsidRPr="00246A6C">
        <w:rPr>
          <w:rFonts w:cs="Times New Roman"/>
          <w:szCs w:val="24"/>
        </w:rPr>
        <w:t xml:space="preserve"> на екосистемите. Индикаторът проследява тенденцията на емисиите в периода 2005 г. – 2020 г.</w:t>
      </w:r>
    </w:p>
    <w:p w14:paraId="6EBB3265" w14:textId="12DCE7FF" w:rsidR="00E1629C" w:rsidRPr="009F6D1E" w:rsidRDefault="00246A6C" w:rsidP="00246A6C">
      <w:pPr>
        <w:autoSpaceDE w:val="0"/>
        <w:autoSpaceDN w:val="0"/>
        <w:adjustRightInd w:val="0"/>
        <w:spacing w:after="60" w:line="264" w:lineRule="auto"/>
        <w:jc w:val="center"/>
        <w:rPr>
          <w:rFonts w:cs="Times New Roman"/>
          <w:color w:val="BF8F00" w:themeColor="accent4" w:themeShade="BF"/>
          <w:szCs w:val="24"/>
        </w:rPr>
      </w:pPr>
      <w:r w:rsidRPr="00246A6C">
        <w:rPr>
          <w:rFonts w:cs="Times New Roman"/>
          <w:noProof/>
          <w:color w:val="BF8F00" w:themeColor="accent4" w:themeShade="BF"/>
          <w:szCs w:val="24"/>
          <w:lang w:val="en-US"/>
        </w:rPr>
        <w:drawing>
          <wp:inline distT="0" distB="0" distL="0" distR="0" wp14:anchorId="3FBCEDFD" wp14:editId="25F444E2">
            <wp:extent cx="6120130" cy="2506980"/>
            <wp:effectExtent l="0" t="0" r="0" b="762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2506980"/>
                    </a:xfrm>
                    <a:prstGeom prst="rect">
                      <a:avLst/>
                    </a:prstGeom>
                  </pic:spPr>
                </pic:pic>
              </a:graphicData>
            </a:graphic>
          </wp:inline>
        </w:drawing>
      </w:r>
    </w:p>
    <w:p w14:paraId="1E89318C" w14:textId="3CE2E358" w:rsidR="00E1629C" w:rsidRPr="009F6D1E" w:rsidRDefault="00F01620" w:rsidP="00F01620">
      <w:pPr>
        <w:pStyle w:val="Caption"/>
      </w:pPr>
      <w:bookmarkStart w:id="180" w:name="_Ref107165004"/>
      <w:bookmarkStart w:id="181" w:name="_Toc115255072"/>
      <w:r w:rsidRPr="009F6D1E">
        <w:t xml:space="preserve">Фигура </w:t>
      </w:r>
      <w:fldSimple w:instr=" SEQ Фигура \* ARABIC ">
        <w:r w:rsidR="00A43EF3">
          <w:rPr>
            <w:noProof/>
          </w:rPr>
          <w:t>11</w:t>
        </w:r>
      </w:fldSimple>
      <w:bookmarkEnd w:id="180"/>
      <w:r w:rsidRPr="009F6D1E">
        <w:t>:</w:t>
      </w:r>
      <w:r w:rsidR="00E1629C" w:rsidRPr="009F6D1E">
        <w:rPr>
          <w:b/>
          <w:bCs/>
          <w:color w:val="BF8F00" w:themeColor="accent4" w:themeShade="BF"/>
        </w:rPr>
        <w:t xml:space="preserve"> </w:t>
      </w:r>
      <w:r w:rsidR="00E1629C" w:rsidRPr="009F6D1E">
        <w:t>Емисии на основни замърсители на национално ниво</w:t>
      </w:r>
      <w:bookmarkEnd w:id="181"/>
    </w:p>
    <w:p w14:paraId="4AE2C353" w14:textId="56029C9A" w:rsidR="00E1629C" w:rsidRPr="00246A6C" w:rsidRDefault="00E1629C" w:rsidP="0084747F">
      <w:pPr>
        <w:autoSpaceDE w:val="0"/>
        <w:autoSpaceDN w:val="0"/>
        <w:adjustRightInd w:val="0"/>
        <w:spacing w:after="60" w:line="264" w:lineRule="auto"/>
        <w:ind w:firstLine="708"/>
        <w:jc w:val="both"/>
        <w:rPr>
          <w:noProof/>
        </w:rPr>
      </w:pPr>
      <w:r w:rsidRPr="00246A6C">
        <w:rPr>
          <w:noProof/>
        </w:rPr>
        <w:t xml:space="preserve">Въз основа на представената на </w:t>
      </w:r>
      <w:r w:rsidR="003F3D71" w:rsidRPr="00246A6C">
        <w:rPr>
          <w:noProof/>
        </w:rPr>
        <w:fldChar w:fldCharType="begin"/>
      </w:r>
      <w:r w:rsidR="00F01620" w:rsidRPr="00246A6C">
        <w:rPr>
          <w:noProof/>
        </w:rPr>
        <w:instrText xml:space="preserve"> REF _Ref107165004 \h </w:instrText>
      </w:r>
      <w:r w:rsidR="00246A6C">
        <w:rPr>
          <w:noProof/>
        </w:rPr>
        <w:instrText xml:space="preserve"> \* MERGEFORMAT </w:instrText>
      </w:r>
      <w:r w:rsidR="003F3D71" w:rsidRPr="00246A6C">
        <w:rPr>
          <w:noProof/>
        </w:rPr>
      </w:r>
      <w:r w:rsidR="003F3D71" w:rsidRPr="00246A6C">
        <w:rPr>
          <w:noProof/>
        </w:rPr>
        <w:fldChar w:fldCharType="separate"/>
      </w:r>
      <w:r w:rsidR="00A43EF3" w:rsidRPr="009F6D1E">
        <w:rPr>
          <w:noProof/>
        </w:rPr>
        <w:t xml:space="preserve">Фигура </w:t>
      </w:r>
      <w:r w:rsidR="00A43EF3">
        <w:rPr>
          <w:noProof/>
        </w:rPr>
        <w:t>11</w:t>
      </w:r>
      <w:r w:rsidR="003F3D71" w:rsidRPr="00246A6C">
        <w:rPr>
          <w:noProof/>
        </w:rPr>
        <w:fldChar w:fldCharType="end"/>
      </w:r>
      <w:r w:rsidRPr="00246A6C">
        <w:rPr>
          <w:noProof/>
        </w:rPr>
        <w:t xml:space="preserve"> информация може да ес заключи, че в периода 1990 – 20</w:t>
      </w:r>
      <w:r w:rsidR="00246A6C" w:rsidRPr="00246A6C">
        <w:rPr>
          <w:noProof/>
        </w:rPr>
        <w:t>20</w:t>
      </w:r>
      <w:r w:rsidRPr="00246A6C">
        <w:rPr>
          <w:noProof/>
        </w:rPr>
        <w:t xml:space="preserve"> г. </w:t>
      </w:r>
      <w:r w:rsidR="00246A6C" w:rsidRPr="00246A6C">
        <w:rPr>
          <w:noProof/>
        </w:rPr>
        <w:t>емисиите на основните замърсители намаляват, с изключение на NH</w:t>
      </w:r>
      <w:r w:rsidR="00246A6C" w:rsidRPr="00246A6C">
        <w:rPr>
          <w:noProof/>
          <w:vertAlign w:val="subscript"/>
        </w:rPr>
        <w:t>3</w:t>
      </w:r>
      <w:r w:rsidRPr="00246A6C">
        <w:rPr>
          <w:noProof/>
        </w:rPr>
        <w:t>.</w:t>
      </w:r>
    </w:p>
    <w:p w14:paraId="1E42A959" w14:textId="77777777" w:rsidR="00246A6C" w:rsidRPr="00246A6C" w:rsidRDefault="00246A6C" w:rsidP="00246A6C">
      <w:pPr>
        <w:autoSpaceDE w:val="0"/>
        <w:autoSpaceDN w:val="0"/>
        <w:adjustRightInd w:val="0"/>
        <w:spacing w:after="60" w:line="264" w:lineRule="auto"/>
        <w:ind w:firstLine="708"/>
        <w:jc w:val="both"/>
        <w:rPr>
          <w:rFonts w:cs="Times New Roman"/>
          <w:szCs w:val="24"/>
        </w:rPr>
      </w:pPr>
      <w:r w:rsidRPr="00246A6C">
        <w:rPr>
          <w:rFonts w:cs="Times New Roman"/>
          <w:szCs w:val="24"/>
        </w:rPr>
        <w:t>Емисиите на SO</w:t>
      </w:r>
      <w:r w:rsidRPr="00246A6C">
        <w:rPr>
          <w:rFonts w:cs="Times New Roman"/>
          <w:szCs w:val="24"/>
          <w:vertAlign w:val="subscript"/>
        </w:rPr>
        <w:t>2</w:t>
      </w:r>
      <w:r w:rsidRPr="00246A6C">
        <w:rPr>
          <w:rFonts w:cs="Times New Roman"/>
          <w:szCs w:val="24"/>
        </w:rPr>
        <w:t> намаляват с 93% за 2020 г. в сравнение с базовата 2005 г., което основно се дължи на намалените емисиите от топлоелектрическите централи (ТЕЦ). </w:t>
      </w:r>
    </w:p>
    <w:p w14:paraId="7E678954" w14:textId="77777777" w:rsidR="00246A6C" w:rsidRPr="00246A6C" w:rsidRDefault="00246A6C" w:rsidP="00246A6C">
      <w:pPr>
        <w:autoSpaceDE w:val="0"/>
        <w:autoSpaceDN w:val="0"/>
        <w:adjustRightInd w:val="0"/>
        <w:spacing w:after="60" w:line="264" w:lineRule="auto"/>
        <w:ind w:firstLine="708"/>
        <w:jc w:val="both"/>
        <w:rPr>
          <w:rFonts w:cs="Times New Roman"/>
          <w:szCs w:val="24"/>
        </w:rPr>
      </w:pPr>
      <w:r w:rsidRPr="00246A6C">
        <w:rPr>
          <w:rFonts w:cs="Times New Roman"/>
          <w:szCs w:val="24"/>
        </w:rPr>
        <w:t xml:space="preserve">Емисиите на </w:t>
      </w:r>
      <w:proofErr w:type="spellStart"/>
      <w:r w:rsidRPr="00246A6C">
        <w:rPr>
          <w:rFonts w:cs="Times New Roman"/>
          <w:szCs w:val="24"/>
        </w:rPr>
        <w:t>NOx</w:t>
      </w:r>
      <w:proofErr w:type="spellEnd"/>
      <w:r w:rsidRPr="00246A6C">
        <w:rPr>
          <w:rFonts w:cs="Times New Roman"/>
          <w:szCs w:val="24"/>
        </w:rPr>
        <w:t> намаляват с 51% за периода 2005-2020 г., което основно се дължи на редуцираните емисии от ТЕЦ и в по-малка степен на намаление на емисиите от автомобилния транспорт. </w:t>
      </w:r>
    </w:p>
    <w:p w14:paraId="650C5F16" w14:textId="77777777" w:rsidR="00246A6C" w:rsidRPr="00246A6C" w:rsidRDefault="00246A6C" w:rsidP="00246A6C">
      <w:pPr>
        <w:autoSpaceDE w:val="0"/>
        <w:autoSpaceDN w:val="0"/>
        <w:adjustRightInd w:val="0"/>
        <w:spacing w:after="60" w:line="264" w:lineRule="auto"/>
        <w:ind w:firstLine="708"/>
        <w:jc w:val="both"/>
        <w:rPr>
          <w:rFonts w:cs="Times New Roman"/>
          <w:szCs w:val="24"/>
        </w:rPr>
      </w:pPr>
      <w:r w:rsidRPr="00246A6C">
        <w:rPr>
          <w:rFonts w:cs="Times New Roman"/>
          <w:szCs w:val="24"/>
        </w:rPr>
        <w:t>Емисиите на NMVOC намаляват с 29% за 2020 г. в сравнение с базовата 2005 г.</w:t>
      </w:r>
    </w:p>
    <w:p w14:paraId="26A8CDB3" w14:textId="77777777" w:rsidR="00246A6C" w:rsidRPr="00246A6C" w:rsidRDefault="00246A6C" w:rsidP="00246A6C">
      <w:pPr>
        <w:autoSpaceDE w:val="0"/>
        <w:autoSpaceDN w:val="0"/>
        <w:adjustRightInd w:val="0"/>
        <w:spacing w:after="60" w:line="264" w:lineRule="auto"/>
        <w:ind w:firstLine="708"/>
        <w:jc w:val="both"/>
        <w:rPr>
          <w:rFonts w:cs="Times New Roman"/>
          <w:szCs w:val="24"/>
        </w:rPr>
      </w:pPr>
      <w:r w:rsidRPr="00246A6C">
        <w:rPr>
          <w:rFonts w:cs="Times New Roman"/>
          <w:szCs w:val="24"/>
        </w:rPr>
        <w:t>За периода 2005-2020 г. емисиите на NH</w:t>
      </w:r>
      <w:r w:rsidRPr="00246A6C">
        <w:rPr>
          <w:rFonts w:cs="Times New Roman"/>
          <w:szCs w:val="24"/>
          <w:vertAlign w:val="subscript"/>
        </w:rPr>
        <w:t>3</w:t>
      </w:r>
      <w:r w:rsidRPr="00246A6C">
        <w:rPr>
          <w:rFonts w:cs="Times New Roman"/>
          <w:szCs w:val="24"/>
        </w:rPr>
        <w:t xml:space="preserve"> се увеличават с 1,7% – от 42 до 42,7 </w:t>
      </w:r>
      <w:proofErr w:type="spellStart"/>
      <w:r w:rsidRPr="00246A6C">
        <w:rPr>
          <w:rFonts w:cs="Times New Roman"/>
          <w:szCs w:val="24"/>
        </w:rPr>
        <w:t>kt</w:t>
      </w:r>
      <w:proofErr w:type="spellEnd"/>
      <w:r w:rsidRPr="00246A6C">
        <w:rPr>
          <w:rFonts w:cs="Times New Roman"/>
          <w:szCs w:val="24"/>
        </w:rPr>
        <w:t>.</w:t>
      </w:r>
    </w:p>
    <w:p w14:paraId="4A3E1A91" w14:textId="147437D5" w:rsidR="00E1629C" w:rsidRPr="00246A6C" w:rsidRDefault="00246A6C" w:rsidP="00246A6C">
      <w:pPr>
        <w:autoSpaceDE w:val="0"/>
        <w:autoSpaceDN w:val="0"/>
        <w:adjustRightInd w:val="0"/>
        <w:spacing w:after="60" w:line="264" w:lineRule="auto"/>
        <w:ind w:firstLine="708"/>
        <w:jc w:val="both"/>
        <w:rPr>
          <w:rFonts w:cs="Times New Roman"/>
          <w:szCs w:val="24"/>
        </w:rPr>
      </w:pPr>
      <w:r w:rsidRPr="00246A6C">
        <w:rPr>
          <w:rFonts w:cs="Times New Roman"/>
          <w:szCs w:val="24"/>
        </w:rPr>
        <w:t xml:space="preserve">Емисиите на ФПЧ2.5 са се увеличили с 4% от 30,4 </w:t>
      </w:r>
      <w:proofErr w:type="spellStart"/>
      <w:r w:rsidRPr="00246A6C">
        <w:rPr>
          <w:rFonts w:cs="Times New Roman"/>
          <w:szCs w:val="24"/>
        </w:rPr>
        <w:t>kt</w:t>
      </w:r>
      <w:proofErr w:type="spellEnd"/>
      <w:r w:rsidRPr="00246A6C">
        <w:rPr>
          <w:rFonts w:cs="Times New Roman"/>
          <w:szCs w:val="24"/>
        </w:rPr>
        <w:t xml:space="preserve"> през 2019 г. до 31,7 </w:t>
      </w:r>
      <w:proofErr w:type="spellStart"/>
      <w:r w:rsidRPr="00246A6C">
        <w:rPr>
          <w:rFonts w:cs="Times New Roman"/>
          <w:szCs w:val="24"/>
        </w:rPr>
        <w:t>kt</w:t>
      </w:r>
      <w:proofErr w:type="spellEnd"/>
      <w:r w:rsidRPr="00246A6C">
        <w:rPr>
          <w:rFonts w:cs="Times New Roman"/>
          <w:szCs w:val="24"/>
        </w:rPr>
        <w:t xml:space="preserve"> през 2020 г. Основният източник на ФПЧ2.5 е изгарянето на горива в битовия сектор</w:t>
      </w:r>
      <w:r w:rsidR="00E1629C" w:rsidRPr="00246A6C">
        <w:rPr>
          <w:rFonts w:cs="Times New Roman"/>
          <w:szCs w:val="24"/>
        </w:rPr>
        <w:t>.</w:t>
      </w:r>
    </w:p>
    <w:p w14:paraId="23BF1A91" w14:textId="17A583CE" w:rsidR="00E1629C" w:rsidRPr="009F6D1E" w:rsidRDefault="00246A6C" w:rsidP="00246A6C">
      <w:pPr>
        <w:autoSpaceDE w:val="0"/>
        <w:autoSpaceDN w:val="0"/>
        <w:adjustRightInd w:val="0"/>
        <w:spacing w:after="60" w:line="264" w:lineRule="auto"/>
        <w:jc w:val="center"/>
        <w:rPr>
          <w:rFonts w:cs="Times New Roman"/>
          <w:color w:val="BF8F00" w:themeColor="accent4" w:themeShade="BF"/>
          <w:szCs w:val="24"/>
        </w:rPr>
      </w:pPr>
      <w:r w:rsidRPr="00246A6C">
        <w:rPr>
          <w:rFonts w:cs="Times New Roman"/>
          <w:noProof/>
          <w:color w:val="BF8F00" w:themeColor="accent4" w:themeShade="BF"/>
          <w:szCs w:val="24"/>
          <w:lang w:val="en-US"/>
        </w:rPr>
        <w:lastRenderedPageBreak/>
        <w:drawing>
          <wp:inline distT="0" distB="0" distL="0" distR="0" wp14:anchorId="43BE452F" wp14:editId="62E6A9DD">
            <wp:extent cx="6021496" cy="24034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33536" cy="2408281"/>
                    </a:xfrm>
                    <a:prstGeom prst="rect">
                      <a:avLst/>
                    </a:prstGeom>
                  </pic:spPr>
                </pic:pic>
              </a:graphicData>
            </a:graphic>
          </wp:inline>
        </w:drawing>
      </w:r>
    </w:p>
    <w:p w14:paraId="756AE578" w14:textId="39796DDF" w:rsidR="00E1629C" w:rsidRPr="009F6D1E" w:rsidRDefault="00F01620" w:rsidP="00F01620">
      <w:pPr>
        <w:pStyle w:val="Caption"/>
      </w:pPr>
      <w:bookmarkStart w:id="182" w:name="_Ref107165047"/>
      <w:bookmarkStart w:id="183" w:name="_Toc115255073"/>
      <w:r w:rsidRPr="009F6D1E">
        <w:t xml:space="preserve">Фигура </w:t>
      </w:r>
      <w:fldSimple w:instr=" SEQ Фигура \* ARABIC ">
        <w:r w:rsidR="00A43EF3">
          <w:rPr>
            <w:noProof/>
          </w:rPr>
          <w:t>12</w:t>
        </w:r>
      </w:fldSimple>
      <w:bookmarkEnd w:id="182"/>
      <w:r w:rsidRPr="009F6D1E">
        <w:t>:</w:t>
      </w:r>
      <w:r w:rsidR="00E1629C" w:rsidRPr="009F6D1E">
        <w:rPr>
          <w:b/>
          <w:bCs/>
        </w:rPr>
        <w:t xml:space="preserve"> </w:t>
      </w:r>
      <w:r w:rsidR="00E1629C" w:rsidRPr="009F6D1E">
        <w:t>Емисии на основни замърсители на европейско ниво</w:t>
      </w:r>
      <w:bookmarkEnd w:id="183"/>
    </w:p>
    <w:p w14:paraId="20F220A9" w14:textId="236C0193" w:rsidR="00E1629C" w:rsidRPr="009F6D1E" w:rsidRDefault="00E1629C" w:rsidP="0084747F">
      <w:pPr>
        <w:autoSpaceDE w:val="0"/>
        <w:autoSpaceDN w:val="0"/>
        <w:adjustRightInd w:val="0"/>
        <w:spacing w:after="60" w:line="264" w:lineRule="auto"/>
        <w:ind w:firstLine="360"/>
        <w:jc w:val="both"/>
        <w:rPr>
          <w:rFonts w:cs="Times New Roman"/>
          <w:szCs w:val="24"/>
        </w:rPr>
      </w:pPr>
      <w:r w:rsidRPr="009F6D1E">
        <w:rPr>
          <w:rFonts w:cs="Times New Roman"/>
          <w:szCs w:val="24"/>
        </w:rPr>
        <w:t xml:space="preserve">Съгласно представената на </w:t>
      </w:r>
      <w:r w:rsidR="003F3D71" w:rsidRPr="009F6D1E">
        <w:rPr>
          <w:rFonts w:cs="Times New Roman"/>
          <w:szCs w:val="24"/>
        </w:rPr>
        <w:fldChar w:fldCharType="begin"/>
      </w:r>
      <w:r w:rsidR="00F01620" w:rsidRPr="009F6D1E">
        <w:rPr>
          <w:rFonts w:cs="Times New Roman"/>
          <w:szCs w:val="24"/>
        </w:rPr>
        <w:instrText xml:space="preserve"> REF _Ref107165047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12</w:t>
      </w:r>
      <w:r w:rsidR="003F3D71" w:rsidRPr="009F6D1E">
        <w:rPr>
          <w:rFonts w:cs="Times New Roman"/>
          <w:szCs w:val="24"/>
        </w:rPr>
        <w:fldChar w:fldCharType="end"/>
      </w:r>
      <w:r w:rsidRPr="009F6D1E">
        <w:rPr>
          <w:rFonts w:cs="Times New Roman"/>
          <w:szCs w:val="24"/>
        </w:rPr>
        <w:t xml:space="preserve"> информация</w:t>
      </w:r>
      <w:r w:rsidR="00F11199" w:rsidRPr="009F6D1E">
        <w:rPr>
          <w:rFonts w:cs="Times New Roman"/>
          <w:szCs w:val="24"/>
        </w:rPr>
        <w:t>,</w:t>
      </w:r>
      <w:r w:rsidRPr="009F6D1E">
        <w:rPr>
          <w:rFonts w:cs="Times New Roman"/>
          <w:szCs w:val="24"/>
        </w:rPr>
        <w:t xml:space="preserve"> антропогенните емисии на основните замърсители намаляват значително в периода 1990 – 201</w:t>
      </w:r>
      <w:r w:rsidR="00246A6C">
        <w:rPr>
          <w:rFonts w:cs="Times New Roman"/>
          <w:szCs w:val="24"/>
        </w:rPr>
        <w:t>9</w:t>
      </w:r>
      <w:r w:rsidRPr="009F6D1E">
        <w:rPr>
          <w:rFonts w:cs="Times New Roman"/>
          <w:szCs w:val="24"/>
        </w:rPr>
        <w:t xml:space="preserve"> г. в страните-членки на ЕС:</w:t>
      </w:r>
    </w:p>
    <w:p w14:paraId="03DBB4D0" w14:textId="393AD6D2" w:rsidR="00E1629C" w:rsidRPr="009F6D1E" w:rsidRDefault="00E1629C">
      <w:pPr>
        <w:numPr>
          <w:ilvl w:val="0"/>
          <w:numId w:val="36"/>
        </w:numPr>
        <w:autoSpaceDE w:val="0"/>
        <w:autoSpaceDN w:val="0"/>
        <w:adjustRightInd w:val="0"/>
        <w:spacing w:after="60" w:line="264" w:lineRule="auto"/>
        <w:contextualSpacing/>
        <w:rPr>
          <w:rFonts w:cs="Times New Roman"/>
          <w:szCs w:val="24"/>
        </w:rPr>
      </w:pPr>
      <w:proofErr w:type="spellStart"/>
      <w:r w:rsidRPr="009F6D1E">
        <w:rPr>
          <w:rFonts w:cs="Times New Roman"/>
          <w:szCs w:val="24"/>
        </w:rPr>
        <w:t>NO</w:t>
      </w:r>
      <w:r w:rsidRPr="009F6D1E">
        <w:rPr>
          <w:rFonts w:cs="Times New Roman"/>
          <w:sz w:val="16"/>
          <w:szCs w:val="16"/>
        </w:rPr>
        <w:t>x</w:t>
      </w:r>
      <w:proofErr w:type="spellEnd"/>
      <w:r w:rsidRPr="009F6D1E">
        <w:rPr>
          <w:rFonts w:cs="Times New Roman"/>
          <w:sz w:val="16"/>
          <w:szCs w:val="16"/>
        </w:rPr>
        <w:t xml:space="preserve"> </w:t>
      </w:r>
      <w:r w:rsidRPr="009F6D1E">
        <w:rPr>
          <w:rFonts w:cs="Times New Roman"/>
          <w:szCs w:val="24"/>
        </w:rPr>
        <w:t xml:space="preserve">емисиите намаляват с </w:t>
      </w:r>
      <w:r w:rsidR="00246A6C">
        <w:rPr>
          <w:rFonts w:cs="Times New Roman"/>
          <w:szCs w:val="24"/>
        </w:rPr>
        <w:t>42</w:t>
      </w:r>
      <w:r w:rsidRPr="009F6D1E">
        <w:rPr>
          <w:rFonts w:cs="Times New Roman"/>
          <w:szCs w:val="24"/>
        </w:rPr>
        <w:t>%;</w:t>
      </w:r>
    </w:p>
    <w:p w14:paraId="1EB432A2" w14:textId="6F69C098" w:rsidR="00E1629C" w:rsidRPr="009F6D1E" w:rsidRDefault="00E1629C">
      <w:pPr>
        <w:numPr>
          <w:ilvl w:val="0"/>
          <w:numId w:val="36"/>
        </w:numPr>
        <w:autoSpaceDE w:val="0"/>
        <w:autoSpaceDN w:val="0"/>
        <w:adjustRightInd w:val="0"/>
        <w:spacing w:after="60" w:line="264" w:lineRule="auto"/>
        <w:contextualSpacing/>
        <w:rPr>
          <w:rFonts w:cs="Times New Roman"/>
          <w:szCs w:val="24"/>
        </w:rPr>
      </w:pPr>
      <w:r w:rsidRPr="009F6D1E">
        <w:rPr>
          <w:rFonts w:cs="Times New Roman"/>
          <w:szCs w:val="24"/>
        </w:rPr>
        <w:t>SO</w:t>
      </w:r>
      <w:r w:rsidR="0048089A">
        <w:rPr>
          <w:rFonts w:cs="Times New Roman"/>
          <w:sz w:val="16"/>
          <w:szCs w:val="16"/>
        </w:rPr>
        <w:t>2</w:t>
      </w:r>
      <w:r w:rsidRPr="009F6D1E">
        <w:rPr>
          <w:rFonts w:cs="Times New Roman"/>
          <w:sz w:val="16"/>
          <w:szCs w:val="16"/>
        </w:rPr>
        <w:t xml:space="preserve"> </w:t>
      </w:r>
      <w:r w:rsidRPr="009F6D1E">
        <w:rPr>
          <w:rFonts w:cs="Times New Roman"/>
          <w:szCs w:val="24"/>
        </w:rPr>
        <w:t xml:space="preserve">емисиите намаляват с </w:t>
      </w:r>
      <w:r w:rsidR="00246A6C">
        <w:rPr>
          <w:rFonts w:cs="Times New Roman"/>
          <w:szCs w:val="24"/>
        </w:rPr>
        <w:t>76</w:t>
      </w:r>
      <w:r w:rsidRPr="009F6D1E">
        <w:rPr>
          <w:rFonts w:cs="Times New Roman"/>
          <w:szCs w:val="24"/>
        </w:rPr>
        <w:t>%;</w:t>
      </w:r>
    </w:p>
    <w:p w14:paraId="020724A2" w14:textId="21E976E7" w:rsidR="00E1629C" w:rsidRPr="009F6D1E" w:rsidRDefault="00E1629C">
      <w:pPr>
        <w:numPr>
          <w:ilvl w:val="0"/>
          <w:numId w:val="36"/>
        </w:numPr>
        <w:autoSpaceDE w:val="0"/>
        <w:autoSpaceDN w:val="0"/>
        <w:adjustRightInd w:val="0"/>
        <w:spacing w:after="60" w:line="264" w:lineRule="auto"/>
        <w:contextualSpacing/>
        <w:rPr>
          <w:rFonts w:cs="Times New Roman"/>
          <w:szCs w:val="24"/>
        </w:rPr>
      </w:pPr>
      <w:r w:rsidRPr="009F6D1E">
        <w:rPr>
          <w:rFonts w:cs="Times New Roman"/>
          <w:szCs w:val="24"/>
        </w:rPr>
        <w:t xml:space="preserve">NMVOC емисиите намаляват с </w:t>
      </w:r>
      <w:r w:rsidR="00392283">
        <w:rPr>
          <w:rFonts w:cs="Times New Roman"/>
          <w:szCs w:val="24"/>
        </w:rPr>
        <w:t>29</w:t>
      </w:r>
      <w:r w:rsidRPr="009F6D1E">
        <w:rPr>
          <w:rFonts w:cs="Times New Roman"/>
          <w:szCs w:val="24"/>
        </w:rPr>
        <w:t>%;</w:t>
      </w:r>
    </w:p>
    <w:p w14:paraId="6714FBAB" w14:textId="43A08065" w:rsidR="00E1629C" w:rsidRPr="009F6D1E" w:rsidRDefault="00E1629C">
      <w:pPr>
        <w:numPr>
          <w:ilvl w:val="0"/>
          <w:numId w:val="36"/>
        </w:numPr>
        <w:autoSpaceDE w:val="0"/>
        <w:autoSpaceDN w:val="0"/>
        <w:adjustRightInd w:val="0"/>
        <w:spacing w:after="60" w:line="264" w:lineRule="auto"/>
        <w:contextualSpacing/>
        <w:rPr>
          <w:rFonts w:cs="Times New Roman"/>
          <w:szCs w:val="24"/>
        </w:rPr>
      </w:pPr>
      <w:r w:rsidRPr="009F6D1E">
        <w:rPr>
          <w:rFonts w:cs="Times New Roman"/>
          <w:szCs w:val="24"/>
        </w:rPr>
        <w:t>NH</w:t>
      </w:r>
      <w:r w:rsidRPr="009F6D1E">
        <w:rPr>
          <w:rFonts w:cs="Times New Roman"/>
          <w:sz w:val="16"/>
          <w:szCs w:val="16"/>
        </w:rPr>
        <w:t xml:space="preserve">3 </w:t>
      </w:r>
      <w:r w:rsidRPr="009F6D1E">
        <w:rPr>
          <w:rFonts w:cs="Times New Roman"/>
          <w:szCs w:val="24"/>
        </w:rPr>
        <w:t xml:space="preserve">емисиите намаляват с </w:t>
      </w:r>
      <w:r w:rsidR="00392283">
        <w:rPr>
          <w:rFonts w:cs="Times New Roman"/>
          <w:szCs w:val="24"/>
        </w:rPr>
        <w:t>8</w:t>
      </w:r>
      <w:r w:rsidRPr="009F6D1E">
        <w:rPr>
          <w:rFonts w:cs="Times New Roman"/>
          <w:szCs w:val="24"/>
        </w:rPr>
        <w:t>%;</w:t>
      </w:r>
    </w:p>
    <w:p w14:paraId="2B07BE65" w14:textId="02735E60" w:rsidR="00E1629C" w:rsidRPr="009F6D1E" w:rsidRDefault="00E1629C">
      <w:pPr>
        <w:numPr>
          <w:ilvl w:val="0"/>
          <w:numId w:val="36"/>
        </w:numPr>
        <w:autoSpaceDE w:val="0"/>
        <w:autoSpaceDN w:val="0"/>
        <w:adjustRightInd w:val="0"/>
        <w:spacing w:after="60" w:line="264" w:lineRule="auto"/>
        <w:contextualSpacing/>
        <w:rPr>
          <w:rFonts w:cs="Times New Roman"/>
          <w:szCs w:val="24"/>
        </w:rPr>
      </w:pPr>
      <w:r w:rsidRPr="009F6D1E">
        <w:rPr>
          <w:rFonts w:cs="Times New Roman"/>
          <w:szCs w:val="24"/>
        </w:rPr>
        <w:t>ФПЧ2,5</w:t>
      </w:r>
      <w:r w:rsidRPr="009F6D1E">
        <w:rPr>
          <w:rFonts w:cs="Times New Roman"/>
          <w:sz w:val="16"/>
          <w:szCs w:val="16"/>
        </w:rPr>
        <w:t xml:space="preserve"> </w:t>
      </w:r>
      <w:r w:rsidRPr="009F6D1E">
        <w:rPr>
          <w:rFonts w:cs="Times New Roman"/>
          <w:szCs w:val="24"/>
        </w:rPr>
        <w:t xml:space="preserve">емисиите намаляват с </w:t>
      </w:r>
      <w:r w:rsidR="00392283">
        <w:rPr>
          <w:rFonts w:cs="Times New Roman"/>
          <w:szCs w:val="24"/>
        </w:rPr>
        <w:t>29</w:t>
      </w:r>
      <w:r w:rsidRPr="009F6D1E">
        <w:rPr>
          <w:rFonts w:cs="Times New Roman"/>
          <w:szCs w:val="24"/>
        </w:rPr>
        <w:t>%.</w:t>
      </w:r>
    </w:p>
    <w:p w14:paraId="5A3C990C" w14:textId="77777777" w:rsidR="006E6FE8" w:rsidRPr="009F6D1E" w:rsidRDefault="006E6FE8" w:rsidP="0084747F">
      <w:pPr>
        <w:autoSpaceDE w:val="0"/>
        <w:autoSpaceDN w:val="0"/>
        <w:adjustRightInd w:val="0"/>
        <w:spacing w:after="60" w:line="264" w:lineRule="auto"/>
        <w:jc w:val="both"/>
        <w:rPr>
          <w:rFonts w:cs="Times New Roman"/>
          <w:szCs w:val="24"/>
        </w:rPr>
      </w:pPr>
    </w:p>
    <w:p w14:paraId="61C84ED4" w14:textId="56AC1A1D" w:rsidR="00E1629C" w:rsidRPr="009F6D1E" w:rsidRDefault="00E1629C">
      <w:pPr>
        <w:pStyle w:val="ListParagraph"/>
        <w:numPr>
          <w:ilvl w:val="0"/>
          <w:numId w:val="40"/>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Емисии на вредни вещества във въздуха по групи източници за 20</w:t>
      </w:r>
      <w:r w:rsidR="00392283">
        <w:rPr>
          <w:b/>
          <w:bCs/>
          <w:color w:val="000000" w:themeColor="text1"/>
          <w:lang w:val="bg-BG"/>
        </w:rPr>
        <w:t>20</w:t>
      </w:r>
      <w:r w:rsidRPr="009F6D1E">
        <w:rPr>
          <w:b/>
          <w:bCs/>
          <w:color w:val="000000" w:themeColor="text1"/>
          <w:lang w:val="bg-BG"/>
        </w:rPr>
        <w:t xml:space="preserve"> г.</w:t>
      </w:r>
    </w:p>
    <w:p w14:paraId="75DD0E45"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Индикаторът представя националните емисии на вредни вещества във въздуха, изчислени по ръководството на EMEP/EEA</w:t>
      </w:r>
      <w:r w:rsidRPr="009F6D1E">
        <w:rPr>
          <w:rFonts w:cs="Times New Roman"/>
          <w:sz w:val="16"/>
          <w:szCs w:val="16"/>
        </w:rPr>
        <w:t xml:space="preserve">2 </w:t>
      </w:r>
      <w:r w:rsidRPr="009F6D1E">
        <w:rPr>
          <w:rFonts w:cs="Times New Roman"/>
          <w:szCs w:val="24"/>
        </w:rPr>
        <w:t>г. и по “Единна методика за инвентаризация на емисиите на вредни вещества във въздуха”, утвърдена от министъра на околната среда и водите за 10 групи източници на емисии* и обхваща следните вредни вещества: серни оксиди (SО</w:t>
      </w:r>
      <w:r w:rsidRPr="009F6D1E">
        <w:rPr>
          <w:rFonts w:cs="Times New Roman"/>
          <w:sz w:val="16"/>
          <w:szCs w:val="16"/>
        </w:rPr>
        <w:t>Х</w:t>
      </w:r>
      <w:r w:rsidRPr="009F6D1E">
        <w:rPr>
          <w:rFonts w:cs="Times New Roman"/>
          <w:szCs w:val="24"/>
        </w:rPr>
        <w:t>), азотни оксиди (</w:t>
      </w:r>
      <w:proofErr w:type="spellStart"/>
      <w:r w:rsidRPr="009F6D1E">
        <w:rPr>
          <w:rFonts w:cs="Times New Roman"/>
          <w:szCs w:val="24"/>
        </w:rPr>
        <w:t>NОх</w:t>
      </w:r>
      <w:proofErr w:type="spellEnd"/>
      <w:r w:rsidRPr="009F6D1E">
        <w:rPr>
          <w:rFonts w:cs="Times New Roman"/>
          <w:szCs w:val="24"/>
        </w:rPr>
        <w:t>), неметанови летливи органични съединения (NMVOC), амоняк (NH</w:t>
      </w:r>
      <w:r w:rsidRPr="009F6D1E">
        <w:rPr>
          <w:rFonts w:cs="Times New Roman"/>
          <w:szCs w:val="24"/>
          <w:vertAlign w:val="subscript"/>
        </w:rPr>
        <w:t>3</w:t>
      </w:r>
      <w:r w:rsidRPr="009F6D1E">
        <w:rPr>
          <w:rFonts w:cs="Times New Roman"/>
          <w:szCs w:val="24"/>
        </w:rPr>
        <w:t xml:space="preserve">), въглероден оксид (СО), тежки метали (живак - </w:t>
      </w:r>
      <w:proofErr w:type="spellStart"/>
      <w:r w:rsidRPr="009F6D1E">
        <w:rPr>
          <w:rFonts w:cs="Times New Roman"/>
          <w:szCs w:val="24"/>
        </w:rPr>
        <w:t>Hg</w:t>
      </w:r>
      <w:proofErr w:type="spellEnd"/>
      <w:r w:rsidRPr="009F6D1E">
        <w:rPr>
          <w:rFonts w:cs="Times New Roman"/>
          <w:szCs w:val="24"/>
        </w:rPr>
        <w:t xml:space="preserve">, кадмий – </w:t>
      </w:r>
      <w:proofErr w:type="spellStart"/>
      <w:r w:rsidRPr="009F6D1E">
        <w:rPr>
          <w:rFonts w:cs="Times New Roman"/>
          <w:szCs w:val="24"/>
        </w:rPr>
        <w:t>Cd</w:t>
      </w:r>
      <w:proofErr w:type="spellEnd"/>
      <w:r w:rsidRPr="009F6D1E">
        <w:rPr>
          <w:rFonts w:cs="Times New Roman"/>
          <w:szCs w:val="24"/>
        </w:rPr>
        <w:t xml:space="preserve">, олово – </w:t>
      </w:r>
      <w:proofErr w:type="spellStart"/>
      <w:r w:rsidRPr="009F6D1E">
        <w:rPr>
          <w:rFonts w:cs="Times New Roman"/>
          <w:szCs w:val="24"/>
        </w:rPr>
        <w:t>Pb</w:t>
      </w:r>
      <w:proofErr w:type="spellEnd"/>
      <w:r w:rsidRPr="009F6D1E">
        <w:rPr>
          <w:rFonts w:cs="Times New Roman"/>
          <w:szCs w:val="24"/>
        </w:rPr>
        <w:t xml:space="preserve">), </w:t>
      </w:r>
      <w:proofErr w:type="spellStart"/>
      <w:r w:rsidRPr="009F6D1E">
        <w:rPr>
          <w:rFonts w:cs="Times New Roman"/>
          <w:szCs w:val="24"/>
        </w:rPr>
        <w:t>полициклични</w:t>
      </w:r>
      <w:proofErr w:type="spellEnd"/>
      <w:r w:rsidRPr="009F6D1E">
        <w:rPr>
          <w:rFonts w:cs="Times New Roman"/>
          <w:szCs w:val="24"/>
        </w:rPr>
        <w:t xml:space="preserve"> ароматни въглеводороди (РАH), диоксини и </w:t>
      </w:r>
      <w:proofErr w:type="spellStart"/>
      <w:r w:rsidRPr="009F6D1E">
        <w:rPr>
          <w:rFonts w:cs="Times New Roman"/>
          <w:szCs w:val="24"/>
        </w:rPr>
        <w:t>фурани</w:t>
      </w:r>
      <w:proofErr w:type="spellEnd"/>
      <w:r w:rsidRPr="009F6D1E">
        <w:rPr>
          <w:rFonts w:cs="Times New Roman"/>
          <w:szCs w:val="24"/>
        </w:rPr>
        <w:t xml:space="preserve"> (DIOX), фини прахови частици (ФПЧ10) и някои др. специфични замърсители.</w:t>
      </w:r>
    </w:p>
    <w:p w14:paraId="3C7950B9" w14:textId="2584A19D" w:rsidR="00E1629C"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Разпределение на емисиите на основните атмосферни замърсители по групи източници на емисии е дадено в </w:t>
      </w:r>
      <w:r w:rsidR="003F3D71" w:rsidRPr="009F6D1E">
        <w:rPr>
          <w:rFonts w:cs="Times New Roman"/>
          <w:szCs w:val="24"/>
        </w:rPr>
        <w:fldChar w:fldCharType="begin"/>
      </w:r>
      <w:r w:rsidR="00F11199" w:rsidRPr="009F6D1E">
        <w:rPr>
          <w:rFonts w:cs="Times New Roman"/>
          <w:szCs w:val="24"/>
        </w:rPr>
        <w:instrText xml:space="preserve"> REF _Ref107167233 \h </w:instrText>
      </w:r>
      <w:r w:rsidR="003F3D71" w:rsidRPr="009F6D1E">
        <w:rPr>
          <w:rFonts w:cs="Times New Roman"/>
          <w:szCs w:val="24"/>
        </w:rPr>
      </w:r>
      <w:r w:rsidR="003F3D71" w:rsidRPr="009F6D1E">
        <w:rPr>
          <w:rFonts w:cs="Times New Roman"/>
          <w:szCs w:val="24"/>
        </w:rPr>
        <w:fldChar w:fldCharType="separate"/>
      </w:r>
      <w:r w:rsidR="00A43EF3" w:rsidRPr="009F6D1E">
        <w:t xml:space="preserve">Таблица </w:t>
      </w:r>
      <w:r w:rsidR="00A43EF3">
        <w:rPr>
          <w:noProof/>
        </w:rPr>
        <w:t>3</w:t>
      </w:r>
      <w:r w:rsidR="003F3D71" w:rsidRPr="009F6D1E">
        <w:rPr>
          <w:rFonts w:cs="Times New Roman"/>
          <w:szCs w:val="24"/>
        </w:rPr>
        <w:fldChar w:fldCharType="end"/>
      </w:r>
      <w:r w:rsidR="00F01620" w:rsidRPr="009F6D1E">
        <w:rPr>
          <w:rFonts w:cs="Times New Roman"/>
          <w:szCs w:val="24"/>
        </w:rPr>
        <w:t xml:space="preserve"> </w:t>
      </w:r>
      <w:r w:rsidRPr="009F6D1E">
        <w:rPr>
          <w:rFonts w:cs="Times New Roman"/>
          <w:szCs w:val="24"/>
        </w:rPr>
        <w:t>по-долу.</w:t>
      </w:r>
    </w:p>
    <w:p w14:paraId="034923D3" w14:textId="27EFF533" w:rsidR="00392283" w:rsidRDefault="00392283" w:rsidP="0084747F">
      <w:pPr>
        <w:autoSpaceDE w:val="0"/>
        <w:autoSpaceDN w:val="0"/>
        <w:adjustRightInd w:val="0"/>
        <w:spacing w:after="60" w:line="264" w:lineRule="auto"/>
        <w:ind w:firstLine="708"/>
        <w:jc w:val="both"/>
        <w:rPr>
          <w:rFonts w:cs="Times New Roman"/>
          <w:szCs w:val="24"/>
        </w:rPr>
      </w:pPr>
    </w:p>
    <w:p w14:paraId="3B9E6B10" w14:textId="76E93DEB" w:rsidR="00392283" w:rsidRDefault="00392283" w:rsidP="0084747F">
      <w:pPr>
        <w:autoSpaceDE w:val="0"/>
        <w:autoSpaceDN w:val="0"/>
        <w:adjustRightInd w:val="0"/>
        <w:spacing w:after="60" w:line="264" w:lineRule="auto"/>
        <w:ind w:firstLine="708"/>
        <w:jc w:val="both"/>
        <w:rPr>
          <w:rFonts w:cs="Times New Roman"/>
          <w:szCs w:val="24"/>
        </w:rPr>
      </w:pPr>
    </w:p>
    <w:p w14:paraId="6CF94DB0" w14:textId="76D24D22" w:rsidR="00392283" w:rsidRDefault="00392283" w:rsidP="0084747F">
      <w:pPr>
        <w:autoSpaceDE w:val="0"/>
        <w:autoSpaceDN w:val="0"/>
        <w:adjustRightInd w:val="0"/>
        <w:spacing w:after="60" w:line="264" w:lineRule="auto"/>
        <w:ind w:firstLine="708"/>
        <w:jc w:val="both"/>
        <w:rPr>
          <w:rFonts w:cs="Times New Roman"/>
          <w:szCs w:val="24"/>
        </w:rPr>
      </w:pPr>
    </w:p>
    <w:p w14:paraId="7CE604D0" w14:textId="62088AAA" w:rsidR="00392283" w:rsidRDefault="00392283" w:rsidP="0084747F">
      <w:pPr>
        <w:autoSpaceDE w:val="0"/>
        <w:autoSpaceDN w:val="0"/>
        <w:adjustRightInd w:val="0"/>
        <w:spacing w:after="60" w:line="264" w:lineRule="auto"/>
        <w:ind w:firstLine="708"/>
        <w:jc w:val="both"/>
        <w:rPr>
          <w:rFonts w:cs="Times New Roman"/>
          <w:szCs w:val="24"/>
        </w:rPr>
      </w:pPr>
    </w:p>
    <w:p w14:paraId="7CBC7AFD" w14:textId="08525DEF" w:rsidR="00392283" w:rsidRDefault="00392283" w:rsidP="0084747F">
      <w:pPr>
        <w:autoSpaceDE w:val="0"/>
        <w:autoSpaceDN w:val="0"/>
        <w:adjustRightInd w:val="0"/>
        <w:spacing w:after="60" w:line="264" w:lineRule="auto"/>
        <w:ind w:firstLine="708"/>
        <w:jc w:val="both"/>
        <w:rPr>
          <w:rFonts w:cs="Times New Roman"/>
          <w:szCs w:val="24"/>
        </w:rPr>
      </w:pPr>
    </w:p>
    <w:p w14:paraId="5AEA45F5" w14:textId="77777777" w:rsidR="00392283" w:rsidRPr="009F6D1E" w:rsidRDefault="00392283" w:rsidP="0084747F">
      <w:pPr>
        <w:autoSpaceDE w:val="0"/>
        <w:autoSpaceDN w:val="0"/>
        <w:adjustRightInd w:val="0"/>
        <w:spacing w:after="60" w:line="264" w:lineRule="auto"/>
        <w:ind w:firstLine="708"/>
        <w:jc w:val="both"/>
        <w:rPr>
          <w:rFonts w:cs="Times New Roman"/>
          <w:szCs w:val="24"/>
        </w:rPr>
      </w:pPr>
    </w:p>
    <w:p w14:paraId="151A932A" w14:textId="0D895606" w:rsidR="00E1629C" w:rsidRPr="009F6D1E" w:rsidRDefault="00F01620" w:rsidP="00F01620">
      <w:pPr>
        <w:pStyle w:val="Caption"/>
        <w:rPr>
          <w:b/>
          <w:bCs/>
        </w:rPr>
      </w:pPr>
      <w:bookmarkStart w:id="184" w:name="_Ref107167233"/>
      <w:bookmarkStart w:id="185" w:name="_Ref107165092"/>
      <w:bookmarkStart w:id="186" w:name="_Toc115255154"/>
      <w:r w:rsidRPr="009F6D1E">
        <w:lastRenderedPageBreak/>
        <w:t xml:space="preserve">Таблица </w:t>
      </w:r>
      <w:fldSimple w:instr=" SEQ Таблица \* ARABIC ">
        <w:r w:rsidR="00A43EF3">
          <w:rPr>
            <w:noProof/>
          </w:rPr>
          <w:t>3</w:t>
        </w:r>
      </w:fldSimple>
      <w:bookmarkEnd w:id="184"/>
      <w:r w:rsidRPr="009F6D1E">
        <w:t>:</w:t>
      </w:r>
      <w:r w:rsidR="00E1629C" w:rsidRPr="009F6D1E">
        <w:rPr>
          <w:b/>
          <w:bCs/>
        </w:rPr>
        <w:t xml:space="preserve">  </w:t>
      </w:r>
      <w:r w:rsidR="00E1629C" w:rsidRPr="009F6D1E">
        <w:t>Емисии на вредни вещества в атмосферния въздух за 2019 г. по групи</w:t>
      </w:r>
      <w:bookmarkEnd w:id="185"/>
      <w:bookmarkEnd w:id="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66"/>
        <w:gridCol w:w="623"/>
        <w:gridCol w:w="650"/>
        <w:gridCol w:w="798"/>
        <w:gridCol w:w="610"/>
        <w:gridCol w:w="638"/>
        <w:gridCol w:w="730"/>
        <w:gridCol w:w="586"/>
        <w:gridCol w:w="682"/>
        <w:gridCol w:w="760"/>
        <w:gridCol w:w="645"/>
        <w:gridCol w:w="695"/>
        <w:gridCol w:w="745"/>
      </w:tblGrid>
      <w:tr w:rsidR="00392283" w:rsidRPr="009F6D1E" w14:paraId="4B4BD15C" w14:textId="77777777" w:rsidTr="00392283">
        <w:trPr>
          <w:trHeight w:hRule="exact" w:val="1153"/>
          <w:tblHeader/>
          <w:jc w:val="center"/>
        </w:trPr>
        <w:tc>
          <w:tcPr>
            <w:tcW w:w="761" w:type="pct"/>
            <w:shd w:val="clear" w:color="auto" w:fill="D9D9D9" w:themeFill="background1" w:themeFillShade="D9"/>
            <w:vAlign w:val="center"/>
          </w:tcPr>
          <w:p w14:paraId="378C7073"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Групи</w:t>
            </w:r>
          </w:p>
          <w:p w14:paraId="21C2BC7A" w14:textId="77777777" w:rsidR="00E1629C" w:rsidRPr="009F6D1E" w:rsidRDefault="00E1629C" w:rsidP="00032931">
            <w:pPr>
              <w:spacing w:after="60" w:line="264" w:lineRule="auto"/>
              <w:jc w:val="center"/>
              <w:rPr>
                <w:rFonts w:cs="Times New Roman"/>
                <w:sz w:val="20"/>
                <w:szCs w:val="20"/>
              </w:rPr>
            </w:pPr>
            <w:r w:rsidRPr="009F6D1E">
              <w:rPr>
                <w:rFonts w:cs="Times New Roman"/>
                <w:b/>
                <w:bCs/>
                <w:sz w:val="20"/>
                <w:szCs w:val="20"/>
                <w:highlight w:val="lightGray"/>
                <w:shd w:val="clear" w:color="auto" w:fill="FFFFFF"/>
                <w:lang w:eastAsia="bg-BG" w:bidi="bg-BG"/>
              </w:rPr>
              <w:t>източници на емисии</w:t>
            </w:r>
          </w:p>
        </w:tc>
        <w:tc>
          <w:tcPr>
            <w:tcW w:w="327" w:type="pct"/>
            <w:shd w:val="clear" w:color="auto" w:fill="D9D9D9" w:themeFill="background1" w:themeFillShade="D9"/>
            <w:vAlign w:val="center"/>
          </w:tcPr>
          <w:p w14:paraId="46C55FD9" w14:textId="77777777" w:rsidR="00E1629C" w:rsidRPr="009F6D1E" w:rsidRDefault="00E1629C" w:rsidP="00032931">
            <w:pPr>
              <w:spacing w:after="60" w:line="264" w:lineRule="auto"/>
              <w:jc w:val="center"/>
              <w:rPr>
                <w:rFonts w:cs="Times New Roman"/>
                <w:sz w:val="20"/>
                <w:szCs w:val="20"/>
                <w:highlight w:val="lightGray"/>
              </w:rPr>
            </w:pPr>
            <w:proofErr w:type="spellStart"/>
            <w:r w:rsidRPr="009F6D1E">
              <w:rPr>
                <w:rFonts w:cs="Times New Roman"/>
                <w:b/>
                <w:bCs/>
                <w:sz w:val="20"/>
                <w:szCs w:val="20"/>
                <w:highlight w:val="lightGray"/>
                <w:shd w:val="clear" w:color="auto" w:fill="FFFFFF"/>
                <w:lang w:eastAsia="bg-BG" w:bidi="en-US"/>
              </w:rPr>
              <w:t>SОx</w:t>
            </w:r>
            <w:proofErr w:type="spellEnd"/>
            <w:r w:rsidRPr="009F6D1E">
              <w:rPr>
                <w:rFonts w:cs="Times New Roman"/>
                <w:b/>
                <w:bCs/>
                <w:sz w:val="20"/>
                <w:szCs w:val="20"/>
                <w:highlight w:val="lightGray"/>
                <w:shd w:val="clear" w:color="auto" w:fill="FFFFFF"/>
                <w:lang w:eastAsia="bg-BG" w:bidi="en-US"/>
              </w:rPr>
              <w:t xml:space="preserve"> </w:t>
            </w:r>
            <w:r w:rsidRPr="009F6D1E">
              <w:rPr>
                <w:rFonts w:cs="Times New Roman"/>
                <w:b/>
                <w:bCs/>
                <w:sz w:val="20"/>
                <w:szCs w:val="20"/>
                <w:highlight w:val="lightGray"/>
                <w:shd w:val="clear" w:color="auto" w:fill="FFFFFF"/>
                <w:lang w:eastAsia="bg-BG" w:bidi="bg-BG"/>
              </w:rPr>
              <w:t>* (х</w:t>
            </w:r>
          </w:p>
          <w:p w14:paraId="1CFAE545" w14:textId="77777777" w:rsidR="00E1629C" w:rsidRPr="009F6D1E" w:rsidRDefault="00E1629C" w:rsidP="00032931">
            <w:pPr>
              <w:spacing w:after="60" w:line="264" w:lineRule="auto"/>
              <w:ind w:left="16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1000</w:t>
            </w:r>
          </w:p>
          <w:p w14:paraId="603A4EF2" w14:textId="77777777" w:rsidR="00E1629C" w:rsidRPr="009F6D1E" w:rsidRDefault="00E1629C" w:rsidP="00032931">
            <w:pPr>
              <w:spacing w:after="60" w:line="264" w:lineRule="auto"/>
              <w:ind w:left="20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38" w:type="pct"/>
            <w:shd w:val="clear" w:color="auto" w:fill="D9D9D9" w:themeFill="background1" w:themeFillShade="D9"/>
            <w:vAlign w:val="center"/>
          </w:tcPr>
          <w:p w14:paraId="37F393AC" w14:textId="77777777" w:rsidR="00E1629C" w:rsidRPr="009F6D1E" w:rsidRDefault="00E1629C" w:rsidP="00032931">
            <w:pPr>
              <w:spacing w:after="60" w:line="264" w:lineRule="auto"/>
              <w:jc w:val="center"/>
              <w:rPr>
                <w:rFonts w:cs="Times New Roman"/>
                <w:sz w:val="20"/>
                <w:szCs w:val="20"/>
                <w:highlight w:val="lightGray"/>
              </w:rPr>
            </w:pPr>
            <w:proofErr w:type="spellStart"/>
            <w:r w:rsidRPr="009F6D1E">
              <w:rPr>
                <w:rFonts w:cs="Times New Roman"/>
                <w:b/>
                <w:bCs/>
                <w:sz w:val="20"/>
                <w:szCs w:val="20"/>
                <w:highlight w:val="lightGray"/>
                <w:shd w:val="clear" w:color="auto" w:fill="FFFFFF"/>
                <w:lang w:eastAsia="bg-BG" w:bidi="en-US"/>
              </w:rPr>
              <w:t>NOx</w:t>
            </w:r>
            <w:proofErr w:type="spellEnd"/>
            <w:r w:rsidRPr="009F6D1E">
              <w:rPr>
                <w:rFonts w:cs="Times New Roman"/>
                <w:b/>
                <w:bCs/>
                <w:sz w:val="20"/>
                <w:szCs w:val="20"/>
                <w:highlight w:val="lightGray"/>
                <w:shd w:val="clear" w:color="auto" w:fill="FFFFFF"/>
                <w:lang w:eastAsia="bg-BG" w:bidi="en-US"/>
              </w:rPr>
              <w:t>**</w:t>
            </w:r>
          </w:p>
          <w:p w14:paraId="16750DB2" w14:textId="77777777" w:rsidR="00E1629C" w:rsidRPr="009F6D1E" w:rsidRDefault="00E1629C" w:rsidP="00032931">
            <w:pPr>
              <w:spacing w:after="60" w:line="264" w:lineRule="auto"/>
              <w:ind w:left="30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(х</w:t>
            </w:r>
          </w:p>
          <w:p w14:paraId="239B21D5" w14:textId="77777777" w:rsidR="00E1629C" w:rsidRPr="009F6D1E" w:rsidRDefault="00E1629C" w:rsidP="00032931">
            <w:pPr>
              <w:spacing w:after="60" w:line="264" w:lineRule="auto"/>
              <w:ind w:left="1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1000</w:t>
            </w:r>
          </w:p>
          <w:p w14:paraId="116DBCC0" w14:textId="77777777" w:rsidR="00E1629C" w:rsidRPr="009F6D1E" w:rsidRDefault="00E1629C" w:rsidP="00032931">
            <w:pPr>
              <w:spacing w:after="60" w:line="264" w:lineRule="auto"/>
              <w:ind w:left="1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414" w:type="pct"/>
            <w:shd w:val="clear" w:color="auto" w:fill="D9D9D9" w:themeFill="background1" w:themeFillShade="D9"/>
            <w:vAlign w:val="center"/>
          </w:tcPr>
          <w:p w14:paraId="39EED975"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 xml:space="preserve">NMVOC </w:t>
            </w:r>
            <w:r w:rsidRPr="009F6D1E">
              <w:rPr>
                <w:rFonts w:cs="Times New Roman"/>
                <w:b/>
                <w:bCs/>
                <w:sz w:val="20"/>
                <w:szCs w:val="20"/>
                <w:highlight w:val="lightGray"/>
                <w:shd w:val="clear" w:color="auto" w:fill="FFFFFF"/>
                <w:lang w:eastAsia="bg-BG" w:bidi="bg-BG"/>
              </w:rPr>
              <w:t>(х 1000</w:t>
            </w:r>
          </w:p>
          <w:p w14:paraId="1B1930D4" w14:textId="77777777" w:rsidR="00E1629C" w:rsidRPr="009F6D1E" w:rsidRDefault="00E1629C" w:rsidP="00032931">
            <w:pPr>
              <w:spacing w:after="60" w:line="264" w:lineRule="auto"/>
              <w:ind w:left="2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07" w:type="pct"/>
            <w:shd w:val="clear" w:color="auto" w:fill="D9D9D9" w:themeFill="background1" w:themeFillShade="D9"/>
            <w:vAlign w:val="center"/>
          </w:tcPr>
          <w:p w14:paraId="3072E7E5"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NH3</w:t>
            </w:r>
          </w:p>
          <w:p w14:paraId="4336FC7B" w14:textId="77777777" w:rsidR="00E1629C" w:rsidRPr="009F6D1E" w:rsidRDefault="00E1629C" w:rsidP="00032931">
            <w:pPr>
              <w:spacing w:after="60" w:line="264" w:lineRule="auto"/>
              <w:ind w:left="24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(х</w:t>
            </w:r>
          </w:p>
          <w:p w14:paraId="2F80CEAE"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1000</w:t>
            </w:r>
          </w:p>
          <w:p w14:paraId="7B85B470"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38" w:type="pct"/>
            <w:shd w:val="clear" w:color="auto" w:fill="D9D9D9" w:themeFill="background1" w:themeFillShade="D9"/>
            <w:vAlign w:val="center"/>
          </w:tcPr>
          <w:p w14:paraId="5368149D" w14:textId="77777777" w:rsidR="00E1629C" w:rsidRPr="009F6D1E" w:rsidRDefault="00E1629C" w:rsidP="00032931">
            <w:pPr>
              <w:spacing w:after="60" w:line="264" w:lineRule="auto"/>
              <w:ind w:left="1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CO</w:t>
            </w:r>
          </w:p>
          <w:p w14:paraId="5AEBA27A"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(x1000</w:t>
            </w:r>
          </w:p>
          <w:p w14:paraId="1CC4FB30" w14:textId="77777777" w:rsidR="00E1629C" w:rsidRPr="009F6D1E" w:rsidRDefault="00E1629C" w:rsidP="00032931">
            <w:pPr>
              <w:spacing w:after="60" w:line="264" w:lineRule="auto"/>
              <w:ind w:left="1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65" w:type="pct"/>
            <w:shd w:val="clear" w:color="auto" w:fill="D9D9D9" w:themeFill="background1" w:themeFillShade="D9"/>
            <w:vAlign w:val="center"/>
          </w:tcPr>
          <w:p w14:paraId="4BE5243F" w14:textId="77777777" w:rsidR="00E1629C" w:rsidRPr="009F6D1E" w:rsidRDefault="00E1629C" w:rsidP="00032931">
            <w:pPr>
              <w:spacing w:after="60" w:line="264" w:lineRule="auto"/>
              <w:ind w:left="160"/>
              <w:jc w:val="center"/>
              <w:rPr>
                <w:rFonts w:cs="Times New Roman"/>
                <w:sz w:val="20"/>
                <w:szCs w:val="20"/>
                <w:highlight w:val="lightGray"/>
              </w:rPr>
            </w:pPr>
            <w:proofErr w:type="spellStart"/>
            <w:r w:rsidRPr="009F6D1E">
              <w:rPr>
                <w:rFonts w:cs="Times New Roman"/>
                <w:b/>
                <w:bCs/>
                <w:sz w:val="20"/>
                <w:szCs w:val="20"/>
                <w:highlight w:val="lightGray"/>
                <w:shd w:val="clear" w:color="auto" w:fill="FFFFFF"/>
                <w:lang w:eastAsia="bg-BG" w:bidi="en-US"/>
              </w:rPr>
              <w:t>Hg</w:t>
            </w:r>
            <w:proofErr w:type="spellEnd"/>
            <w:r w:rsidRPr="009F6D1E">
              <w:rPr>
                <w:rFonts w:cs="Times New Roman"/>
                <w:b/>
                <w:bCs/>
                <w:sz w:val="20"/>
                <w:szCs w:val="20"/>
                <w:highlight w:val="lightGray"/>
                <w:shd w:val="clear" w:color="auto" w:fill="FFFFFF"/>
                <w:lang w:eastAsia="bg-BG" w:bidi="en-US"/>
              </w:rPr>
              <w:t xml:space="preserve"> t/y</w:t>
            </w:r>
          </w:p>
        </w:tc>
        <w:tc>
          <w:tcPr>
            <w:tcW w:w="308" w:type="pct"/>
            <w:shd w:val="clear" w:color="auto" w:fill="D9D9D9" w:themeFill="background1" w:themeFillShade="D9"/>
            <w:vAlign w:val="center"/>
          </w:tcPr>
          <w:p w14:paraId="30AC6D7D" w14:textId="77777777" w:rsidR="00E1629C" w:rsidRPr="009F6D1E" w:rsidRDefault="00E1629C" w:rsidP="00032931">
            <w:pPr>
              <w:spacing w:after="60" w:line="264" w:lineRule="auto"/>
              <w:jc w:val="center"/>
              <w:rPr>
                <w:rFonts w:cs="Times New Roman"/>
                <w:sz w:val="20"/>
                <w:szCs w:val="20"/>
                <w:highlight w:val="lightGray"/>
              </w:rPr>
            </w:pPr>
            <w:proofErr w:type="spellStart"/>
            <w:r w:rsidRPr="009F6D1E">
              <w:rPr>
                <w:rFonts w:cs="Times New Roman"/>
                <w:b/>
                <w:bCs/>
                <w:sz w:val="20"/>
                <w:szCs w:val="20"/>
                <w:highlight w:val="lightGray"/>
                <w:shd w:val="clear" w:color="auto" w:fill="FFFFFF"/>
                <w:lang w:eastAsia="bg-BG" w:bidi="en-US"/>
              </w:rPr>
              <w:t>Cd</w:t>
            </w:r>
            <w:proofErr w:type="spellEnd"/>
            <w:r w:rsidRPr="009F6D1E">
              <w:rPr>
                <w:rFonts w:cs="Times New Roman"/>
                <w:b/>
                <w:bCs/>
                <w:sz w:val="20"/>
                <w:szCs w:val="20"/>
                <w:highlight w:val="lightGray"/>
                <w:shd w:val="clear" w:color="auto" w:fill="FFFFFF"/>
                <w:lang w:eastAsia="bg-BG" w:bidi="en-US"/>
              </w:rPr>
              <w:t xml:space="preserve"> t/y</w:t>
            </w:r>
          </w:p>
        </w:tc>
        <w:tc>
          <w:tcPr>
            <w:tcW w:w="358" w:type="pct"/>
            <w:shd w:val="clear" w:color="auto" w:fill="D9D9D9" w:themeFill="background1" w:themeFillShade="D9"/>
            <w:vAlign w:val="center"/>
          </w:tcPr>
          <w:p w14:paraId="61F11DC3" w14:textId="77777777" w:rsidR="00E1629C" w:rsidRPr="009F6D1E" w:rsidRDefault="00E1629C" w:rsidP="00032931">
            <w:pPr>
              <w:spacing w:after="60" w:line="264" w:lineRule="auto"/>
              <w:jc w:val="center"/>
              <w:rPr>
                <w:rFonts w:cs="Times New Roman"/>
                <w:sz w:val="20"/>
                <w:szCs w:val="20"/>
                <w:highlight w:val="lightGray"/>
              </w:rPr>
            </w:pPr>
            <w:proofErr w:type="spellStart"/>
            <w:r w:rsidRPr="009F6D1E">
              <w:rPr>
                <w:rFonts w:cs="Times New Roman"/>
                <w:b/>
                <w:bCs/>
                <w:sz w:val="20"/>
                <w:szCs w:val="20"/>
                <w:highlight w:val="lightGray"/>
                <w:shd w:val="clear" w:color="auto" w:fill="FFFFFF"/>
                <w:lang w:eastAsia="bg-BG" w:bidi="en-US"/>
              </w:rPr>
              <w:t>Pb</w:t>
            </w:r>
            <w:proofErr w:type="spellEnd"/>
            <w:r w:rsidRPr="009F6D1E">
              <w:rPr>
                <w:rFonts w:cs="Times New Roman"/>
                <w:b/>
                <w:bCs/>
                <w:sz w:val="20"/>
                <w:szCs w:val="20"/>
                <w:highlight w:val="lightGray"/>
                <w:shd w:val="clear" w:color="auto" w:fill="FFFFFF"/>
                <w:lang w:eastAsia="bg-BG" w:bidi="en-US"/>
              </w:rPr>
              <w:t xml:space="preserve"> t/y</w:t>
            </w:r>
          </w:p>
        </w:tc>
        <w:tc>
          <w:tcPr>
            <w:tcW w:w="398" w:type="pct"/>
            <w:shd w:val="clear" w:color="auto" w:fill="D9D9D9" w:themeFill="background1" w:themeFillShade="D9"/>
            <w:vAlign w:val="center"/>
          </w:tcPr>
          <w:p w14:paraId="7A0FBB5F" w14:textId="77777777" w:rsidR="00E1629C" w:rsidRPr="009F6D1E" w:rsidRDefault="00E1629C" w:rsidP="00032931">
            <w:pPr>
              <w:spacing w:after="60" w:line="264" w:lineRule="auto"/>
              <w:ind w:left="16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РАН</w:t>
            </w:r>
          </w:p>
          <w:p w14:paraId="48941D2E" w14:textId="77777777" w:rsidR="00E1629C" w:rsidRPr="009F6D1E" w:rsidRDefault="00E1629C" w:rsidP="00032931">
            <w:pPr>
              <w:spacing w:after="60" w:line="264" w:lineRule="auto"/>
              <w:ind w:left="32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38" w:type="pct"/>
            <w:shd w:val="clear" w:color="auto" w:fill="D9D9D9" w:themeFill="background1" w:themeFillShade="D9"/>
            <w:vAlign w:val="center"/>
          </w:tcPr>
          <w:p w14:paraId="75303650"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DIOX</w:t>
            </w:r>
          </w:p>
          <w:p w14:paraId="55A09BA3" w14:textId="77777777" w:rsidR="00E1629C" w:rsidRPr="009F6D1E" w:rsidRDefault="00E1629C" w:rsidP="00032931">
            <w:pPr>
              <w:spacing w:after="60" w:line="264" w:lineRule="auto"/>
              <w:ind w:left="18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g</w:t>
            </w:r>
            <w:r w:rsidRPr="009F6D1E">
              <w:rPr>
                <w:rFonts w:cs="Times New Roman"/>
                <w:b/>
                <w:bCs/>
                <w:sz w:val="20"/>
                <w:szCs w:val="20"/>
                <w:highlight w:val="lightGray"/>
                <w:shd w:val="clear" w:color="auto" w:fill="FFFFFF"/>
                <w:vertAlign w:val="superscript"/>
                <w:lang w:eastAsia="bg-BG" w:bidi="en-US"/>
              </w:rPr>
              <w:t>/</w:t>
            </w:r>
            <w:r w:rsidRPr="009F6D1E">
              <w:rPr>
                <w:rFonts w:cs="Times New Roman"/>
                <w:b/>
                <w:bCs/>
                <w:sz w:val="20"/>
                <w:szCs w:val="20"/>
                <w:highlight w:val="lightGray"/>
                <w:shd w:val="clear" w:color="auto" w:fill="FFFFFF"/>
                <w:lang w:eastAsia="bg-BG" w:bidi="en-US"/>
              </w:rPr>
              <w:t>y</w:t>
            </w:r>
          </w:p>
        </w:tc>
        <w:tc>
          <w:tcPr>
            <w:tcW w:w="361" w:type="pct"/>
            <w:shd w:val="clear" w:color="auto" w:fill="D9D9D9" w:themeFill="background1" w:themeFillShade="D9"/>
            <w:vAlign w:val="center"/>
          </w:tcPr>
          <w:p w14:paraId="0D7FB0BB"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 xml:space="preserve">ФПЧ10 </w:t>
            </w:r>
            <w:r w:rsidRPr="009F6D1E">
              <w:rPr>
                <w:rFonts w:cs="Times New Roman"/>
                <w:b/>
                <w:bCs/>
                <w:sz w:val="20"/>
                <w:szCs w:val="20"/>
                <w:highlight w:val="lightGray"/>
                <w:shd w:val="clear" w:color="auto" w:fill="FFFFFF"/>
                <w:lang w:eastAsia="bg-BG" w:bidi="en-US"/>
              </w:rPr>
              <w:t>(x 1000</w:t>
            </w:r>
          </w:p>
          <w:p w14:paraId="76ABBAB7" w14:textId="77777777" w:rsidR="00E1629C" w:rsidRPr="009F6D1E" w:rsidRDefault="00E1629C" w:rsidP="00032931">
            <w:pPr>
              <w:spacing w:after="60" w:line="264" w:lineRule="auto"/>
              <w:ind w:left="22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c>
          <w:tcPr>
            <w:tcW w:w="387" w:type="pct"/>
            <w:shd w:val="clear" w:color="auto" w:fill="D9D9D9" w:themeFill="background1" w:themeFillShade="D9"/>
            <w:vAlign w:val="center"/>
          </w:tcPr>
          <w:p w14:paraId="3526F4F1" w14:textId="77777777" w:rsidR="00E1629C" w:rsidRPr="009F6D1E" w:rsidRDefault="00E1629C" w:rsidP="00032931">
            <w:pPr>
              <w:spacing w:after="60" w:line="264" w:lineRule="auto"/>
              <w:jc w:val="center"/>
              <w:rPr>
                <w:rFonts w:cs="Times New Roman"/>
                <w:sz w:val="20"/>
                <w:szCs w:val="20"/>
                <w:highlight w:val="lightGray"/>
              </w:rPr>
            </w:pPr>
            <w:r w:rsidRPr="009F6D1E">
              <w:rPr>
                <w:rFonts w:cs="Times New Roman"/>
                <w:b/>
                <w:bCs/>
                <w:sz w:val="20"/>
                <w:szCs w:val="20"/>
                <w:highlight w:val="lightGray"/>
                <w:shd w:val="clear" w:color="auto" w:fill="FFFFFF"/>
                <w:lang w:eastAsia="bg-BG" w:bidi="bg-BG"/>
              </w:rPr>
              <w:t>ФПЧ</w:t>
            </w:r>
            <w:r w:rsidRPr="009F6D1E">
              <w:rPr>
                <w:rFonts w:cs="Times New Roman"/>
                <w:sz w:val="20"/>
                <w:szCs w:val="20"/>
                <w:highlight w:val="lightGray"/>
                <w:shd w:val="clear" w:color="auto" w:fill="FFFFFF"/>
                <w:lang w:eastAsia="bg-BG" w:bidi="bg-BG"/>
              </w:rPr>
              <w:t xml:space="preserve">2,5 </w:t>
            </w:r>
            <w:r w:rsidRPr="009F6D1E">
              <w:rPr>
                <w:rFonts w:cs="Times New Roman"/>
                <w:b/>
                <w:bCs/>
                <w:sz w:val="20"/>
                <w:szCs w:val="20"/>
                <w:highlight w:val="lightGray"/>
                <w:shd w:val="clear" w:color="auto" w:fill="FFFFFF"/>
                <w:lang w:eastAsia="bg-BG" w:bidi="en-US"/>
              </w:rPr>
              <w:t>(x 1000</w:t>
            </w:r>
          </w:p>
          <w:p w14:paraId="328FA222" w14:textId="77777777" w:rsidR="00E1629C" w:rsidRPr="009F6D1E" w:rsidRDefault="00E1629C" w:rsidP="00032931">
            <w:pPr>
              <w:spacing w:after="60" w:line="264" w:lineRule="auto"/>
              <w:ind w:left="220"/>
              <w:jc w:val="center"/>
              <w:rPr>
                <w:rFonts w:cs="Times New Roman"/>
                <w:sz w:val="20"/>
                <w:szCs w:val="20"/>
                <w:highlight w:val="lightGray"/>
              </w:rPr>
            </w:pPr>
            <w:r w:rsidRPr="009F6D1E">
              <w:rPr>
                <w:rFonts w:cs="Times New Roman"/>
                <w:b/>
                <w:bCs/>
                <w:sz w:val="20"/>
                <w:szCs w:val="20"/>
                <w:highlight w:val="lightGray"/>
                <w:shd w:val="clear" w:color="auto" w:fill="FFFFFF"/>
                <w:lang w:eastAsia="bg-BG" w:bidi="en-US"/>
              </w:rPr>
              <w:t>t/y)</w:t>
            </w:r>
          </w:p>
        </w:tc>
      </w:tr>
      <w:tr w:rsidR="00392283" w:rsidRPr="009F6D1E" w14:paraId="7315016C" w14:textId="77777777" w:rsidTr="00392283">
        <w:trPr>
          <w:trHeight w:hRule="exact" w:val="802"/>
          <w:jc w:val="center"/>
        </w:trPr>
        <w:tc>
          <w:tcPr>
            <w:tcW w:w="761" w:type="pct"/>
            <w:shd w:val="clear" w:color="auto" w:fill="FFFFFF"/>
            <w:vAlign w:val="center"/>
          </w:tcPr>
          <w:p w14:paraId="36AB9C8D"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№1 ТЕЦ (вкл.</w:t>
            </w:r>
          </w:p>
          <w:p w14:paraId="70A196CD"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рафинерии)</w:t>
            </w:r>
          </w:p>
        </w:tc>
        <w:tc>
          <w:tcPr>
            <w:tcW w:w="327" w:type="pct"/>
            <w:shd w:val="clear" w:color="auto" w:fill="FFFFFF"/>
            <w:vAlign w:val="center"/>
          </w:tcPr>
          <w:p w14:paraId="02231E8D" w14:textId="7FF68A0F"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26.93</w:t>
            </w:r>
          </w:p>
        </w:tc>
        <w:tc>
          <w:tcPr>
            <w:tcW w:w="338" w:type="pct"/>
            <w:shd w:val="clear" w:color="auto" w:fill="FFFFFF"/>
            <w:vAlign w:val="center"/>
          </w:tcPr>
          <w:p w14:paraId="1857C63D" w14:textId="23700D02"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13.45</w:t>
            </w:r>
          </w:p>
        </w:tc>
        <w:tc>
          <w:tcPr>
            <w:tcW w:w="414" w:type="pct"/>
            <w:shd w:val="clear" w:color="auto" w:fill="FFFFFF"/>
            <w:vAlign w:val="center"/>
          </w:tcPr>
          <w:p w14:paraId="7A5CE2C8" w14:textId="201846C2"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0.71</w:t>
            </w:r>
          </w:p>
        </w:tc>
        <w:tc>
          <w:tcPr>
            <w:tcW w:w="307" w:type="pct"/>
            <w:shd w:val="clear" w:color="auto" w:fill="FFFFFF"/>
            <w:vAlign w:val="center"/>
          </w:tcPr>
          <w:p w14:paraId="58751495" w14:textId="07D42CBC"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0.02</w:t>
            </w:r>
          </w:p>
        </w:tc>
        <w:tc>
          <w:tcPr>
            <w:tcW w:w="338" w:type="pct"/>
            <w:shd w:val="clear" w:color="auto" w:fill="FFFFFF"/>
            <w:vAlign w:val="center"/>
          </w:tcPr>
          <w:p w14:paraId="1EA370C5" w14:textId="299D1C2E"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4.47</w:t>
            </w:r>
          </w:p>
        </w:tc>
        <w:tc>
          <w:tcPr>
            <w:tcW w:w="365" w:type="pct"/>
            <w:shd w:val="clear" w:color="auto" w:fill="FFFFFF"/>
            <w:vAlign w:val="center"/>
          </w:tcPr>
          <w:p w14:paraId="7F2A0AD5" w14:textId="69C8E016"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0.448</w:t>
            </w:r>
          </w:p>
        </w:tc>
        <w:tc>
          <w:tcPr>
            <w:tcW w:w="308" w:type="pct"/>
            <w:shd w:val="clear" w:color="auto" w:fill="FFFFFF"/>
            <w:vAlign w:val="center"/>
          </w:tcPr>
          <w:p w14:paraId="0AEE8258" w14:textId="569C54A1"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0.317</w:t>
            </w:r>
          </w:p>
        </w:tc>
        <w:tc>
          <w:tcPr>
            <w:tcW w:w="358" w:type="pct"/>
            <w:shd w:val="clear" w:color="auto" w:fill="FFFFFF"/>
            <w:vAlign w:val="center"/>
          </w:tcPr>
          <w:p w14:paraId="7B0B3245" w14:textId="0D155ACB"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2.35</w:t>
            </w:r>
          </w:p>
        </w:tc>
        <w:tc>
          <w:tcPr>
            <w:tcW w:w="398" w:type="pct"/>
            <w:shd w:val="clear" w:color="auto" w:fill="FFFFFF"/>
            <w:vAlign w:val="center"/>
          </w:tcPr>
          <w:p w14:paraId="77948C21" w14:textId="0ED751A9"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0.0640</w:t>
            </w:r>
          </w:p>
        </w:tc>
        <w:tc>
          <w:tcPr>
            <w:tcW w:w="338" w:type="pct"/>
            <w:shd w:val="clear" w:color="auto" w:fill="FFFFFF"/>
            <w:vAlign w:val="center"/>
          </w:tcPr>
          <w:p w14:paraId="18D0D2FD" w14:textId="28F4CCBD"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2.39</w:t>
            </w:r>
          </w:p>
        </w:tc>
        <w:tc>
          <w:tcPr>
            <w:tcW w:w="361" w:type="pct"/>
            <w:shd w:val="clear" w:color="auto" w:fill="FFFFFF"/>
            <w:vAlign w:val="center"/>
          </w:tcPr>
          <w:p w14:paraId="1E3AF746" w14:textId="2998C8C3"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0.22</w:t>
            </w:r>
          </w:p>
        </w:tc>
        <w:tc>
          <w:tcPr>
            <w:tcW w:w="387" w:type="pct"/>
            <w:shd w:val="clear" w:color="auto" w:fill="FFFFFF"/>
            <w:vAlign w:val="center"/>
          </w:tcPr>
          <w:p w14:paraId="572CF738" w14:textId="650EB300" w:rsidR="00392283" w:rsidRPr="00392283" w:rsidRDefault="00392283" w:rsidP="00392283">
            <w:pPr>
              <w:spacing w:after="60" w:line="264" w:lineRule="auto"/>
              <w:jc w:val="center"/>
              <w:rPr>
                <w:rFonts w:cs="Times New Roman"/>
                <w:sz w:val="20"/>
                <w:szCs w:val="20"/>
              </w:rPr>
            </w:pPr>
            <w:r w:rsidRPr="00392283">
              <w:rPr>
                <w:rFonts w:cs="Times New Roman"/>
                <w:color w:val="000000"/>
                <w:sz w:val="20"/>
                <w:szCs w:val="20"/>
              </w:rPr>
              <w:t>0.18</w:t>
            </w:r>
          </w:p>
        </w:tc>
      </w:tr>
      <w:tr w:rsidR="00392283" w:rsidRPr="009F6D1E" w14:paraId="3D0CFFEC" w14:textId="77777777" w:rsidTr="00392283">
        <w:trPr>
          <w:trHeight w:hRule="exact" w:val="806"/>
          <w:jc w:val="center"/>
        </w:trPr>
        <w:tc>
          <w:tcPr>
            <w:tcW w:w="761" w:type="pct"/>
            <w:shd w:val="clear" w:color="auto" w:fill="FFFFFF"/>
            <w:vAlign w:val="center"/>
          </w:tcPr>
          <w:p w14:paraId="07E48386"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№2 Битово горене</w:t>
            </w:r>
          </w:p>
        </w:tc>
        <w:tc>
          <w:tcPr>
            <w:tcW w:w="327" w:type="pct"/>
            <w:shd w:val="clear" w:color="auto" w:fill="FFFFFF"/>
            <w:vAlign w:val="center"/>
          </w:tcPr>
          <w:p w14:paraId="649665BF" w14:textId="3A613EE6"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5.10</w:t>
            </w:r>
          </w:p>
        </w:tc>
        <w:tc>
          <w:tcPr>
            <w:tcW w:w="338" w:type="pct"/>
            <w:shd w:val="clear" w:color="auto" w:fill="FFFFFF"/>
            <w:vAlign w:val="center"/>
          </w:tcPr>
          <w:p w14:paraId="78CA47D2" w14:textId="62F3C09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2.93</w:t>
            </w:r>
          </w:p>
        </w:tc>
        <w:tc>
          <w:tcPr>
            <w:tcW w:w="414" w:type="pct"/>
            <w:shd w:val="clear" w:color="auto" w:fill="FFFFFF"/>
            <w:vAlign w:val="center"/>
          </w:tcPr>
          <w:p w14:paraId="033231AA" w14:textId="7A9FAD9A"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20.82</w:t>
            </w:r>
          </w:p>
        </w:tc>
        <w:tc>
          <w:tcPr>
            <w:tcW w:w="307" w:type="pct"/>
            <w:shd w:val="clear" w:color="auto" w:fill="FFFFFF"/>
            <w:vAlign w:val="center"/>
          </w:tcPr>
          <w:p w14:paraId="37A7E94D" w14:textId="0E54C71B"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2.32</w:t>
            </w:r>
          </w:p>
        </w:tc>
        <w:tc>
          <w:tcPr>
            <w:tcW w:w="338" w:type="pct"/>
            <w:shd w:val="clear" w:color="auto" w:fill="FFFFFF"/>
            <w:vAlign w:val="center"/>
          </w:tcPr>
          <w:p w14:paraId="3FADFEB3" w14:textId="3D5000B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151.35</w:t>
            </w:r>
          </w:p>
        </w:tc>
        <w:tc>
          <w:tcPr>
            <w:tcW w:w="365" w:type="pct"/>
            <w:shd w:val="clear" w:color="auto" w:fill="FFFFFF"/>
            <w:vAlign w:val="center"/>
          </w:tcPr>
          <w:p w14:paraId="1110EDB3" w14:textId="1070EC8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0.047</w:t>
            </w:r>
          </w:p>
        </w:tc>
        <w:tc>
          <w:tcPr>
            <w:tcW w:w="308" w:type="pct"/>
            <w:shd w:val="clear" w:color="auto" w:fill="FFFFFF"/>
            <w:vAlign w:val="center"/>
          </w:tcPr>
          <w:p w14:paraId="517BA93E" w14:textId="12B5251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0.460</w:t>
            </w:r>
          </w:p>
        </w:tc>
        <w:tc>
          <w:tcPr>
            <w:tcW w:w="358" w:type="pct"/>
            <w:shd w:val="clear" w:color="auto" w:fill="FFFFFF"/>
            <w:vAlign w:val="center"/>
          </w:tcPr>
          <w:p w14:paraId="101898BA" w14:textId="37B7C952"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1.59</w:t>
            </w:r>
          </w:p>
        </w:tc>
        <w:tc>
          <w:tcPr>
            <w:tcW w:w="398" w:type="pct"/>
            <w:shd w:val="clear" w:color="auto" w:fill="FFFFFF"/>
            <w:vAlign w:val="center"/>
          </w:tcPr>
          <w:p w14:paraId="1AA7CBF3" w14:textId="109B4329"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14.68</w:t>
            </w:r>
          </w:p>
        </w:tc>
        <w:tc>
          <w:tcPr>
            <w:tcW w:w="338" w:type="pct"/>
            <w:shd w:val="clear" w:color="auto" w:fill="FFFFFF"/>
            <w:vAlign w:val="center"/>
          </w:tcPr>
          <w:p w14:paraId="3247DB7B" w14:textId="649E7E77"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28.99</w:t>
            </w:r>
          </w:p>
        </w:tc>
        <w:tc>
          <w:tcPr>
            <w:tcW w:w="361" w:type="pct"/>
            <w:shd w:val="clear" w:color="auto" w:fill="FFFFFF"/>
            <w:vAlign w:val="center"/>
          </w:tcPr>
          <w:p w14:paraId="09BBCBFD" w14:textId="0CDBF4B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25.88</w:t>
            </w:r>
          </w:p>
        </w:tc>
        <w:tc>
          <w:tcPr>
            <w:tcW w:w="387" w:type="pct"/>
            <w:shd w:val="clear" w:color="auto" w:fill="FFFFFF"/>
            <w:vAlign w:val="center"/>
          </w:tcPr>
          <w:p w14:paraId="048D5546" w14:textId="794310F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25.18</w:t>
            </w:r>
          </w:p>
        </w:tc>
      </w:tr>
      <w:tr w:rsidR="00392283" w:rsidRPr="009F6D1E" w14:paraId="7E2053C5" w14:textId="77777777" w:rsidTr="00392283">
        <w:trPr>
          <w:trHeight w:hRule="exact" w:val="1392"/>
          <w:jc w:val="center"/>
        </w:trPr>
        <w:tc>
          <w:tcPr>
            <w:tcW w:w="761" w:type="pct"/>
            <w:shd w:val="clear" w:color="auto" w:fill="FFFFFF"/>
            <w:vAlign w:val="center"/>
          </w:tcPr>
          <w:p w14:paraId="36C2E1FE"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№3 Горивни процеси в индустрията (в т.ч.</w:t>
            </w:r>
          </w:p>
          <w:p w14:paraId="6D649E45"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производство на енергия)</w:t>
            </w:r>
          </w:p>
        </w:tc>
        <w:tc>
          <w:tcPr>
            <w:tcW w:w="327" w:type="pct"/>
            <w:shd w:val="clear" w:color="auto" w:fill="FFFFFF"/>
            <w:vAlign w:val="center"/>
          </w:tcPr>
          <w:p w14:paraId="4818A478" w14:textId="45C1E47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1.57</w:t>
            </w:r>
          </w:p>
        </w:tc>
        <w:tc>
          <w:tcPr>
            <w:tcW w:w="338" w:type="pct"/>
            <w:shd w:val="clear" w:color="auto" w:fill="FFFFFF"/>
            <w:vAlign w:val="center"/>
          </w:tcPr>
          <w:p w14:paraId="746A5C8B" w14:textId="3988F4C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2.63</w:t>
            </w:r>
          </w:p>
        </w:tc>
        <w:tc>
          <w:tcPr>
            <w:tcW w:w="414" w:type="pct"/>
            <w:shd w:val="clear" w:color="auto" w:fill="FFFFFF"/>
            <w:vAlign w:val="center"/>
          </w:tcPr>
          <w:p w14:paraId="2F6D2F3E" w14:textId="451F39E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0.28</w:t>
            </w:r>
          </w:p>
        </w:tc>
        <w:tc>
          <w:tcPr>
            <w:tcW w:w="307" w:type="pct"/>
            <w:shd w:val="clear" w:color="auto" w:fill="FFFFFF"/>
            <w:vAlign w:val="center"/>
          </w:tcPr>
          <w:p w14:paraId="0ABA22FC" w14:textId="02D8D67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0.16</w:t>
            </w:r>
          </w:p>
        </w:tc>
        <w:tc>
          <w:tcPr>
            <w:tcW w:w="338" w:type="pct"/>
            <w:shd w:val="clear" w:color="auto" w:fill="FFFFFF"/>
            <w:vAlign w:val="center"/>
          </w:tcPr>
          <w:p w14:paraId="21DCDFA3" w14:textId="1666549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2.18</w:t>
            </w:r>
          </w:p>
        </w:tc>
        <w:tc>
          <w:tcPr>
            <w:tcW w:w="365" w:type="pct"/>
            <w:shd w:val="clear" w:color="auto" w:fill="FFFFFF"/>
            <w:vAlign w:val="center"/>
          </w:tcPr>
          <w:p w14:paraId="317C2BA2" w14:textId="2ADEE41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0.027</w:t>
            </w:r>
          </w:p>
        </w:tc>
        <w:tc>
          <w:tcPr>
            <w:tcW w:w="308" w:type="pct"/>
            <w:shd w:val="clear" w:color="auto" w:fill="FFFFFF"/>
            <w:vAlign w:val="center"/>
          </w:tcPr>
          <w:p w14:paraId="03A2C145" w14:textId="4A6FEF5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0.07</w:t>
            </w:r>
          </w:p>
        </w:tc>
        <w:tc>
          <w:tcPr>
            <w:tcW w:w="358" w:type="pct"/>
            <w:shd w:val="clear" w:color="auto" w:fill="FFFFFF"/>
            <w:vAlign w:val="center"/>
          </w:tcPr>
          <w:p w14:paraId="15DD1842" w14:textId="58A0430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0.24</w:t>
            </w:r>
          </w:p>
        </w:tc>
        <w:tc>
          <w:tcPr>
            <w:tcW w:w="398" w:type="pct"/>
            <w:shd w:val="clear" w:color="auto" w:fill="FFFFFF"/>
            <w:vAlign w:val="center"/>
          </w:tcPr>
          <w:p w14:paraId="5DF86B8D" w14:textId="6A431D74"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0.00000</w:t>
            </w:r>
          </w:p>
        </w:tc>
        <w:tc>
          <w:tcPr>
            <w:tcW w:w="338" w:type="pct"/>
            <w:shd w:val="clear" w:color="auto" w:fill="FFFFFF"/>
            <w:vAlign w:val="center"/>
          </w:tcPr>
          <w:p w14:paraId="1E42D651" w14:textId="111316F6"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0.49</w:t>
            </w:r>
          </w:p>
        </w:tc>
        <w:tc>
          <w:tcPr>
            <w:tcW w:w="361" w:type="pct"/>
            <w:shd w:val="clear" w:color="auto" w:fill="FFFFFF"/>
            <w:vAlign w:val="center"/>
          </w:tcPr>
          <w:p w14:paraId="0524AFF4" w14:textId="4163FF2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0.43</w:t>
            </w:r>
          </w:p>
        </w:tc>
        <w:tc>
          <w:tcPr>
            <w:tcW w:w="387" w:type="pct"/>
            <w:shd w:val="clear" w:color="auto" w:fill="FFFFFF"/>
            <w:vAlign w:val="center"/>
          </w:tcPr>
          <w:p w14:paraId="6B7EE4E7" w14:textId="29DDB0C5"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0.37</w:t>
            </w:r>
          </w:p>
        </w:tc>
      </w:tr>
      <w:tr w:rsidR="00392283" w:rsidRPr="009F6D1E" w14:paraId="03B48A10" w14:textId="77777777" w:rsidTr="00392283">
        <w:trPr>
          <w:trHeight w:hRule="exact" w:val="802"/>
          <w:jc w:val="center"/>
        </w:trPr>
        <w:tc>
          <w:tcPr>
            <w:tcW w:w="761" w:type="pct"/>
            <w:shd w:val="clear" w:color="auto" w:fill="FFFFFF"/>
            <w:vAlign w:val="center"/>
          </w:tcPr>
          <w:p w14:paraId="393AB576"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№4 Негоривни</w:t>
            </w:r>
          </w:p>
          <w:p w14:paraId="1C504450"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производствени</w:t>
            </w:r>
          </w:p>
          <w:p w14:paraId="4E597FBD"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процеси</w:t>
            </w:r>
          </w:p>
        </w:tc>
        <w:tc>
          <w:tcPr>
            <w:tcW w:w="327" w:type="pct"/>
            <w:shd w:val="clear" w:color="auto" w:fill="FFFFFF"/>
            <w:vAlign w:val="center"/>
          </w:tcPr>
          <w:p w14:paraId="5A8644DC" w14:textId="5A9EA32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30.83</w:t>
            </w:r>
          </w:p>
        </w:tc>
        <w:tc>
          <w:tcPr>
            <w:tcW w:w="338" w:type="pct"/>
            <w:shd w:val="clear" w:color="auto" w:fill="FFFFFF"/>
            <w:vAlign w:val="center"/>
          </w:tcPr>
          <w:p w14:paraId="6C0C8589" w14:textId="369F700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4.92</w:t>
            </w:r>
          </w:p>
        </w:tc>
        <w:tc>
          <w:tcPr>
            <w:tcW w:w="414" w:type="pct"/>
            <w:shd w:val="clear" w:color="auto" w:fill="FFFFFF"/>
            <w:vAlign w:val="center"/>
          </w:tcPr>
          <w:p w14:paraId="376BBBE7" w14:textId="45906CB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6.69</w:t>
            </w:r>
          </w:p>
        </w:tc>
        <w:tc>
          <w:tcPr>
            <w:tcW w:w="307" w:type="pct"/>
            <w:shd w:val="clear" w:color="auto" w:fill="FFFFFF"/>
            <w:vAlign w:val="center"/>
          </w:tcPr>
          <w:p w14:paraId="3B144C62" w14:textId="2CDBEE5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1.16</w:t>
            </w:r>
          </w:p>
        </w:tc>
        <w:tc>
          <w:tcPr>
            <w:tcW w:w="338" w:type="pct"/>
            <w:shd w:val="clear" w:color="auto" w:fill="FFFFFF"/>
            <w:vAlign w:val="center"/>
          </w:tcPr>
          <w:p w14:paraId="14C31FAD" w14:textId="0D605EC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19.20</w:t>
            </w:r>
          </w:p>
        </w:tc>
        <w:tc>
          <w:tcPr>
            <w:tcW w:w="365" w:type="pct"/>
            <w:shd w:val="clear" w:color="auto" w:fill="FFFFFF"/>
            <w:vAlign w:val="center"/>
          </w:tcPr>
          <w:p w14:paraId="1CA2DBAF" w14:textId="2E402A2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0.057</w:t>
            </w:r>
          </w:p>
        </w:tc>
        <w:tc>
          <w:tcPr>
            <w:tcW w:w="308" w:type="pct"/>
            <w:shd w:val="clear" w:color="auto" w:fill="FFFFFF"/>
            <w:vAlign w:val="center"/>
          </w:tcPr>
          <w:p w14:paraId="2ED28604" w14:textId="1AE6072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0.495</w:t>
            </w:r>
          </w:p>
        </w:tc>
        <w:tc>
          <w:tcPr>
            <w:tcW w:w="358" w:type="pct"/>
            <w:shd w:val="clear" w:color="auto" w:fill="FFFFFF"/>
            <w:vAlign w:val="center"/>
          </w:tcPr>
          <w:p w14:paraId="5D6C1F31" w14:textId="6174CE1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4.26</w:t>
            </w:r>
          </w:p>
        </w:tc>
        <w:tc>
          <w:tcPr>
            <w:tcW w:w="398" w:type="pct"/>
            <w:shd w:val="clear" w:color="auto" w:fill="FFFFFF"/>
            <w:vAlign w:val="center"/>
          </w:tcPr>
          <w:p w14:paraId="17F58F8B" w14:textId="7F5EB21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w:t>
            </w:r>
          </w:p>
        </w:tc>
        <w:tc>
          <w:tcPr>
            <w:tcW w:w="338" w:type="pct"/>
            <w:shd w:val="clear" w:color="auto" w:fill="FFFFFF"/>
            <w:vAlign w:val="center"/>
          </w:tcPr>
          <w:p w14:paraId="42907AD2" w14:textId="1C2150C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9.54</w:t>
            </w:r>
          </w:p>
        </w:tc>
        <w:tc>
          <w:tcPr>
            <w:tcW w:w="361" w:type="pct"/>
            <w:shd w:val="clear" w:color="auto" w:fill="FFFFFF"/>
            <w:vAlign w:val="center"/>
          </w:tcPr>
          <w:p w14:paraId="3BC4B463" w14:textId="4913F654"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6.70</w:t>
            </w:r>
          </w:p>
        </w:tc>
        <w:tc>
          <w:tcPr>
            <w:tcW w:w="387" w:type="pct"/>
            <w:shd w:val="clear" w:color="auto" w:fill="FFFFFF"/>
            <w:vAlign w:val="center"/>
          </w:tcPr>
          <w:p w14:paraId="04491B9A" w14:textId="63CBED8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1.81</w:t>
            </w:r>
          </w:p>
        </w:tc>
      </w:tr>
      <w:tr w:rsidR="00392283" w:rsidRPr="009F6D1E" w14:paraId="557E13F3" w14:textId="77777777" w:rsidTr="00392283">
        <w:trPr>
          <w:trHeight w:hRule="exact" w:val="931"/>
          <w:jc w:val="center"/>
        </w:trPr>
        <w:tc>
          <w:tcPr>
            <w:tcW w:w="761" w:type="pct"/>
            <w:shd w:val="clear" w:color="auto" w:fill="FFFFFF"/>
            <w:vAlign w:val="center"/>
          </w:tcPr>
          <w:p w14:paraId="4021343F"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№5 Добив и преработка на изкопаеми горива</w:t>
            </w:r>
          </w:p>
        </w:tc>
        <w:tc>
          <w:tcPr>
            <w:tcW w:w="327" w:type="pct"/>
            <w:shd w:val="clear" w:color="auto" w:fill="FFFFFF"/>
            <w:vAlign w:val="center"/>
          </w:tcPr>
          <w:p w14:paraId="54DE23B6" w14:textId="25A00A4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3.39</w:t>
            </w:r>
          </w:p>
        </w:tc>
        <w:tc>
          <w:tcPr>
            <w:tcW w:w="338" w:type="pct"/>
            <w:shd w:val="clear" w:color="auto" w:fill="FFFFFF"/>
            <w:vAlign w:val="center"/>
          </w:tcPr>
          <w:p w14:paraId="690CDA40" w14:textId="6C104D2B"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1.43</w:t>
            </w:r>
          </w:p>
        </w:tc>
        <w:tc>
          <w:tcPr>
            <w:tcW w:w="414" w:type="pct"/>
            <w:shd w:val="clear" w:color="auto" w:fill="FFFFFF"/>
            <w:vAlign w:val="center"/>
          </w:tcPr>
          <w:p w14:paraId="2D1DC0FD" w14:textId="24E7DD99"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7.27</w:t>
            </w:r>
          </w:p>
        </w:tc>
        <w:tc>
          <w:tcPr>
            <w:tcW w:w="307" w:type="pct"/>
            <w:shd w:val="clear" w:color="auto" w:fill="FFFFFF"/>
            <w:vAlign w:val="center"/>
          </w:tcPr>
          <w:p w14:paraId="6981676D" w14:textId="4C63EFE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0.01</w:t>
            </w:r>
          </w:p>
        </w:tc>
        <w:tc>
          <w:tcPr>
            <w:tcW w:w="338" w:type="pct"/>
            <w:shd w:val="clear" w:color="auto" w:fill="FFFFFF"/>
            <w:vAlign w:val="center"/>
          </w:tcPr>
          <w:p w14:paraId="24699F4F" w14:textId="04BD3AD6"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0.496</w:t>
            </w:r>
          </w:p>
        </w:tc>
        <w:tc>
          <w:tcPr>
            <w:tcW w:w="365" w:type="pct"/>
            <w:shd w:val="clear" w:color="auto" w:fill="FFFFFF"/>
            <w:vAlign w:val="center"/>
          </w:tcPr>
          <w:p w14:paraId="031163F5" w14:textId="534E81C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0.025</w:t>
            </w:r>
          </w:p>
        </w:tc>
        <w:tc>
          <w:tcPr>
            <w:tcW w:w="308" w:type="pct"/>
            <w:shd w:val="clear" w:color="auto" w:fill="FFFFFF"/>
            <w:vAlign w:val="center"/>
          </w:tcPr>
          <w:p w14:paraId="4D3461B4" w14:textId="4B48279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0.025</w:t>
            </w:r>
          </w:p>
        </w:tc>
        <w:tc>
          <w:tcPr>
            <w:tcW w:w="358" w:type="pct"/>
            <w:shd w:val="clear" w:color="auto" w:fill="FFFFFF"/>
            <w:vAlign w:val="center"/>
          </w:tcPr>
          <w:p w14:paraId="6D951CF8" w14:textId="61712AC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0.025</w:t>
            </w:r>
          </w:p>
        </w:tc>
        <w:tc>
          <w:tcPr>
            <w:tcW w:w="398" w:type="pct"/>
            <w:shd w:val="clear" w:color="auto" w:fill="FFFFFF"/>
            <w:vAlign w:val="center"/>
          </w:tcPr>
          <w:p w14:paraId="0C853A20" w14:textId="60A3D1E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w:t>
            </w:r>
          </w:p>
        </w:tc>
        <w:tc>
          <w:tcPr>
            <w:tcW w:w="338" w:type="pct"/>
            <w:shd w:val="clear" w:color="auto" w:fill="FFFFFF"/>
            <w:vAlign w:val="center"/>
          </w:tcPr>
          <w:p w14:paraId="6E13A3FB" w14:textId="6A76EB1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0.028</w:t>
            </w:r>
          </w:p>
        </w:tc>
        <w:tc>
          <w:tcPr>
            <w:tcW w:w="361" w:type="pct"/>
            <w:shd w:val="clear" w:color="auto" w:fill="FFFFFF"/>
            <w:vAlign w:val="center"/>
          </w:tcPr>
          <w:p w14:paraId="0286C388" w14:textId="3C8E91E2"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0.91</w:t>
            </w:r>
          </w:p>
        </w:tc>
        <w:tc>
          <w:tcPr>
            <w:tcW w:w="387" w:type="pct"/>
            <w:shd w:val="clear" w:color="auto" w:fill="FFFFFF"/>
            <w:vAlign w:val="center"/>
          </w:tcPr>
          <w:p w14:paraId="0707E8E3" w14:textId="6547CF1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0.15</w:t>
            </w:r>
          </w:p>
        </w:tc>
      </w:tr>
      <w:tr w:rsidR="00392283" w:rsidRPr="009F6D1E" w14:paraId="47776044" w14:textId="77777777" w:rsidTr="00392283">
        <w:trPr>
          <w:trHeight w:hRule="exact" w:val="806"/>
          <w:jc w:val="center"/>
        </w:trPr>
        <w:tc>
          <w:tcPr>
            <w:tcW w:w="761" w:type="pct"/>
            <w:shd w:val="clear" w:color="auto" w:fill="FFFFFF"/>
            <w:vAlign w:val="center"/>
          </w:tcPr>
          <w:p w14:paraId="60D026AF"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№6 Използване на</w:t>
            </w:r>
          </w:p>
          <w:p w14:paraId="2C68FB31"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разтворители</w:t>
            </w:r>
          </w:p>
        </w:tc>
        <w:tc>
          <w:tcPr>
            <w:tcW w:w="327" w:type="pct"/>
            <w:shd w:val="clear" w:color="auto" w:fill="FFFFFF"/>
            <w:vAlign w:val="center"/>
          </w:tcPr>
          <w:p w14:paraId="527944B1" w14:textId="43A56569"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0.0028</w:t>
            </w:r>
          </w:p>
        </w:tc>
        <w:tc>
          <w:tcPr>
            <w:tcW w:w="338" w:type="pct"/>
            <w:shd w:val="clear" w:color="auto" w:fill="FFFFFF"/>
            <w:vAlign w:val="center"/>
          </w:tcPr>
          <w:p w14:paraId="114D157E" w14:textId="4487D595" w:rsidR="00392283" w:rsidRPr="00392283" w:rsidRDefault="00392283" w:rsidP="00392283">
            <w:pPr>
              <w:spacing w:after="60" w:line="264" w:lineRule="auto"/>
              <w:ind w:left="180"/>
              <w:jc w:val="center"/>
              <w:rPr>
                <w:rFonts w:cs="Times New Roman"/>
                <w:color w:val="000000"/>
                <w:sz w:val="20"/>
                <w:szCs w:val="20"/>
              </w:rPr>
            </w:pPr>
            <w:r w:rsidRPr="00392283">
              <w:rPr>
                <w:rFonts w:cs="Times New Roman"/>
                <w:color w:val="000000"/>
                <w:sz w:val="20"/>
                <w:szCs w:val="20"/>
              </w:rPr>
              <w:t>0.01</w:t>
            </w:r>
          </w:p>
        </w:tc>
        <w:tc>
          <w:tcPr>
            <w:tcW w:w="414" w:type="pct"/>
            <w:shd w:val="clear" w:color="auto" w:fill="FFFFFF"/>
            <w:vAlign w:val="center"/>
          </w:tcPr>
          <w:p w14:paraId="553E386C" w14:textId="32F301BB" w:rsidR="00392283" w:rsidRPr="00392283" w:rsidRDefault="00392283" w:rsidP="00392283">
            <w:pPr>
              <w:spacing w:after="60" w:line="264" w:lineRule="auto"/>
              <w:ind w:left="280"/>
              <w:jc w:val="center"/>
              <w:rPr>
                <w:rFonts w:cs="Times New Roman"/>
                <w:color w:val="000000"/>
                <w:sz w:val="20"/>
                <w:szCs w:val="20"/>
              </w:rPr>
            </w:pPr>
            <w:r w:rsidRPr="00392283">
              <w:rPr>
                <w:rFonts w:cs="Times New Roman"/>
                <w:color w:val="000000"/>
                <w:sz w:val="20"/>
                <w:szCs w:val="20"/>
              </w:rPr>
              <w:t>13.94</w:t>
            </w:r>
          </w:p>
        </w:tc>
        <w:tc>
          <w:tcPr>
            <w:tcW w:w="307" w:type="pct"/>
            <w:shd w:val="clear" w:color="auto" w:fill="FFFFFF"/>
            <w:vAlign w:val="center"/>
          </w:tcPr>
          <w:p w14:paraId="4F07632C" w14:textId="2FBD9F97" w:rsidR="00392283" w:rsidRPr="00392283" w:rsidRDefault="00392283" w:rsidP="00392283">
            <w:pPr>
              <w:spacing w:after="60" w:line="264" w:lineRule="auto"/>
              <w:ind w:left="240"/>
              <w:jc w:val="center"/>
              <w:rPr>
                <w:rFonts w:cs="Times New Roman"/>
                <w:color w:val="000000"/>
                <w:sz w:val="20"/>
                <w:szCs w:val="20"/>
              </w:rPr>
            </w:pPr>
            <w:r w:rsidRPr="00392283">
              <w:rPr>
                <w:rFonts w:cs="Times New Roman"/>
                <w:color w:val="000000"/>
                <w:sz w:val="20"/>
                <w:szCs w:val="20"/>
              </w:rPr>
              <w:t>0.02</w:t>
            </w:r>
          </w:p>
        </w:tc>
        <w:tc>
          <w:tcPr>
            <w:tcW w:w="338" w:type="pct"/>
            <w:shd w:val="clear" w:color="auto" w:fill="FFFFFF"/>
            <w:vAlign w:val="center"/>
          </w:tcPr>
          <w:p w14:paraId="697463F3" w14:textId="521BD8F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0.2455</w:t>
            </w:r>
          </w:p>
        </w:tc>
        <w:tc>
          <w:tcPr>
            <w:tcW w:w="365" w:type="pct"/>
            <w:shd w:val="clear" w:color="auto" w:fill="FFFFFF"/>
            <w:vAlign w:val="center"/>
          </w:tcPr>
          <w:p w14:paraId="312B60BB" w14:textId="40BF3237" w:rsidR="00392283" w:rsidRPr="00392283" w:rsidRDefault="00392283" w:rsidP="00392283">
            <w:pPr>
              <w:spacing w:after="60" w:line="264" w:lineRule="auto"/>
              <w:ind w:left="160"/>
              <w:jc w:val="center"/>
              <w:rPr>
                <w:rFonts w:cs="Times New Roman"/>
                <w:color w:val="000000"/>
                <w:sz w:val="20"/>
                <w:szCs w:val="20"/>
              </w:rPr>
            </w:pPr>
            <w:r w:rsidRPr="00392283">
              <w:rPr>
                <w:rFonts w:cs="Times New Roman"/>
                <w:color w:val="000000"/>
                <w:sz w:val="20"/>
                <w:szCs w:val="20"/>
              </w:rPr>
              <w:t>0.0001</w:t>
            </w:r>
          </w:p>
        </w:tc>
        <w:tc>
          <w:tcPr>
            <w:tcW w:w="308" w:type="pct"/>
            <w:shd w:val="clear" w:color="auto" w:fill="FFFFFF"/>
            <w:vAlign w:val="center"/>
          </w:tcPr>
          <w:p w14:paraId="682ABEA6" w14:textId="5E9B6EB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0.06</w:t>
            </w:r>
          </w:p>
        </w:tc>
        <w:tc>
          <w:tcPr>
            <w:tcW w:w="358" w:type="pct"/>
            <w:shd w:val="clear" w:color="auto" w:fill="FFFFFF"/>
            <w:vAlign w:val="center"/>
          </w:tcPr>
          <w:p w14:paraId="4AE0C28B" w14:textId="159BDF8B" w:rsidR="00392283" w:rsidRPr="00392283" w:rsidRDefault="00392283" w:rsidP="00392283">
            <w:pPr>
              <w:spacing w:after="60" w:line="264" w:lineRule="auto"/>
              <w:ind w:left="220"/>
              <w:jc w:val="center"/>
              <w:rPr>
                <w:rFonts w:cs="Times New Roman"/>
                <w:color w:val="000000"/>
                <w:sz w:val="20"/>
                <w:szCs w:val="20"/>
              </w:rPr>
            </w:pPr>
            <w:r w:rsidRPr="00392283">
              <w:rPr>
                <w:rFonts w:cs="Times New Roman"/>
                <w:color w:val="000000"/>
                <w:sz w:val="20"/>
                <w:szCs w:val="20"/>
              </w:rPr>
              <w:t>0.73</w:t>
            </w:r>
          </w:p>
        </w:tc>
        <w:tc>
          <w:tcPr>
            <w:tcW w:w="398" w:type="pct"/>
            <w:shd w:val="clear" w:color="auto" w:fill="FFFFFF"/>
            <w:vAlign w:val="center"/>
          </w:tcPr>
          <w:p w14:paraId="2B9418FA" w14:textId="5BE26A77" w:rsidR="00392283" w:rsidRPr="00392283" w:rsidRDefault="00392283" w:rsidP="00392283">
            <w:pPr>
              <w:spacing w:after="60" w:line="264" w:lineRule="auto"/>
              <w:ind w:left="160"/>
              <w:jc w:val="center"/>
              <w:rPr>
                <w:rFonts w:cs="Times New Roman"/>
                <w:color w:val="000000"/>
                <w:sz w:val="20"/>
                <w:szCs w:val="20"/>
              </w:rPr>
            </w:pPr>
            <w:r w:rsidRPr="00392283">
              <w:rPr>
                <w:rFonts w:cs="Times New Roman"/>
                <w:color w:val="000000"/>
                <w:sz w:val="20"/>
                <w:szCs w:val="20"/>
              </w:rPr>
              <w:t>0.0017</w:t>
            </w:r>
          </w:p>
        </w:tc>
        <w:tc>
          <w:tcPr>
            <w:tcW w:w="338" w:type="pct"/>
            <w:shd w:val="clear" w:color="auto" w:fill="FFFFFF"/>
            <w:vAlign w:val="center"/>
          </w:tcPr>
          <w:p w14:paraId="6B8EF76C" w14:textId="67A92087"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0.0004</w:t>
            </w:r>
          </w:p>
        </w:tc>
        <w:tc>
          <w:tcPr>
            <w:tcW w:w="361" w:type="pct"/>
            <w:shd w:val="clear" w:color="auto" w:fill="FFFFFF"/>
            <w:vAlign w:val="center"/>
          </w:tcPr>
          <w:p w14:paraId="66B6EACF" w14:textId="0055AB1D" w:rsidR="00392283" w:rsidRPr="00392283" w:rsidRDefault="00392283" w:rsidP="00392283">
            <w:pPr>
              <w:spacing w:after="60" w:line="264" w:lineRule="auto"/>
              <w:ind w:left="220"/>
              <w:jc w:val="center"/>
              <w:rPr>
                <w:rFonts w:cs="Times New Roman"/>
                <w:color w:val="000000"/>
                <w:sz w:val="20"/>
                <w:szCs w:val="20"/>
              </w:rPr>
            </w:pPr>
            <w:r w:rsidRPr="00392283">
              <w:rPr>
                <w:rFonts w:cs="Times New Roman"/>
                <w:color w:val="000000"/>
                <w:sz w:val="20"/>
                <w:szCs w:val="20"/>
              </w:rPr>
              <w:t>0.86</w:t>
            </w:r>
          </w:p>
        </w:tc>
        <w:tc>
          <w:tcPr>
            <w:tcW w:w="387" w:type="pct"/>
            <w:shd w:val="clear" w:color="auto" w:fill="FFFFFF"/>
            <w:vAlign w:val="center"/>
          </w:tcPr>
          <w:p w14:paraId="125AFBB7" w14:textId="0E55519B" w:rsidR="00392283" w:rsidRPr="00392283" w:rsidRDefault="00392283" w:rsidP="00392283">
            <w:pPr>
              <w:spacing w:after="60" w:line="264" w:lineRule="auto"/>
              <w:ind w:left="220"/>
              <w:jc w:val="center"/>
              <w:rPr>
                <w:rFonts w:cs="Times New Roman"/>
                <w:color w:val="000000"/>
                <w:sz w:val="20"/>
                <w:szCs w:val="20"/>
              </w:rPr>
            </w:pPr>
            <w:r w:rsidRPr="00392283">
              <w:rPr>
                <w:rFonts w:cs="Times New Roman"/>
                <w:color w:val="000000"/>
                <w:sz w:val="20"/>
                <w:szCs w:val="20"/>
              </w:rPr>
              <w:t>0.61</w:t>
            </w:r>
          </w:p>
        </w:tc>
      </w:tr>
      <w:tr w:rsidR="00392283" w:rsidRPr="009F6D1E" w14:paraId="2B5F3899" w14:textId="77777777" w:rsidTr="00392283">
        <w:trPr>
          <w:trHeight w:hRule="exact" w:val="802"/>
          <w:jc w:val="center"/>
        </w:trPr>
        <w:tc>
          <w:tcPr>
            <w:tcW w:w="761" w:type="pct"/>
            <w:shd w:val="clear" w:color="auto" w:fill="FFFFFF"/>
            <w:vAlign w:val="center"/>
          </w:tcPr>
          <w:p w14:paraId="49B4E0CD"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№7 Пътен транспорт</w:t>
            </w:r>
          </w:p>
        </w:tc>
        <w:tc>
          <w:tcPr>
            <w:tcW w:w="327" w:type="pct"/>
            <w:shd w:val="clear" w:color="auto" w:fill="FFFFFF"/>
            <w:vAlign w:val="center"/>
          </w:tcPr>
          <w:p w14:paraId="3B20F8FB" w14:textId="39A2BC6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0.04</w:t>
            </w:r>
          </w:p>
        </w:tc>
        <w:tc>
          <w:tcPr>
            <w:tcW w:w="338" w:type="pct"/>
            <w:shd w:val="clear" w:color="auto" w:fill="FFFFFF"/>
            <w:vAlign w:val="center"/>
          </w:tcPr>
          <w:p w14:paraId="7AFC8D39" w14:textId="2AEAEA9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35.91</w:t>
            </w:r>
          </w:p>
        </w:tc>
        <w:tc>
          <w:tcPr>
            <w:tcW w:w="414" w:type="pct"/>
            <w:shd w:val="clear" w:color="auto" w:fill="FFFFFF"/>
            <w:vAlign w:val="center"/>
          </w:tcPr>
          <w:p w14:paraId="45C2ADF5" w14:textId="09F79A5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6.85</w:t>
            </w:r>
          </w:p>
        </w:tc>
        <w:tc>
          <w:tcPr>
            <w:tcW w:w="307" w:type="pct"/>
            <w:shd w:val="clear" w:color="auto" w:fill="FFFFFF"/>
            <w:vAlign w:val="center"/>
          </w:tcPr>
          <w:p w14:paraId="5898595C" w14:textId="7445957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0.70</w:t>
            </w:r>
          </w:p>
        </w:tc>
        <w:tc>
          <w:tcPr>
            <w:tcW w:w="338" w:type="pct"/>
            <w:shd w:val="clear" w:color="auto" w:fill="FFFFFF"/>
            <w:vAlign w:val="center"/>
          </w:tcPr>
          <w:p w14:paraId="67A8F197" w14:textId="036E9DF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44.83</w:t>
            </w:r>
          </w:p>
        </w:tc>
        <w:tc>
          <w:tcPr>
            <w:tcW w:w="365" w:type="pct"/>
            <w:shd w:val="clear" w:color="auto" w:fill="FFFFFF"/>
            <w:vAlign w:val="center"/>
          </w:tcPr>
          <w:p w14:paraId="57491F85" w14:textId="7E3B9962"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0.016</w:t>
            </w:r>
          </w:p>
        </w:tc>
        <w:tc>
          <w:tcPr>
            <w:tcW w:w="308" w:type="pct"/>
            <w:shd w:val="clear" w:color="auto" w:fill="FFFFFF"/>
            <w:vAlign w:val="center"/>
          </w:tcPr>
          <w:p w14:paraId="2B4B2036" w14:textId="548CBDA7"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0.006</w:t>
            </w:r>
          </w:p>
        </w:tc>
        <w:tc>
          <w:tcPr>
            <w:tcW w:w="358" w:type="pct"/>
            <w:shd w:val="clear" w:color="auto" w:fill="FFFFFF"/>
            <w:vAlign w:val="center"/>
          </w:tcPr>
          <w:p w14:paraId="7C1F8ADC" w14:textId="65DE1E5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1.158</w:t>
            </w:r>
          </w:p>
        </w:tc>
        <w:tc>
          <w:tcPr>
            <w:tcW w:w="398" w:type="pct"/>
            <w:shd w:val="clear" w:color="auto" w:fill="FFFFFF"/>
            <w:vAlign w:val="center"/>
          </w:tcPr>
          <w:p w14:paraId="611F128E" w14:textId="516AC9C2"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0.2245</w:t>
            </w:r>
          </w:p>
        </w:tc>
        <w:tc>
          <w:tcPr>
            <w:tcW w:w="338" w:type="pct"/>
            <w:shd w:val="clear" w:color="auto" w:fill="FFFFFF"/>
            <w:vAlign w:val="center"/>
          </w:tcPr>
          <w:p w14:paraId="0017BC83" w14:textId="6B48313A"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1.445</w:t>
            </w:r>
          </w:p>
        </w:tc>
        <w:tc>
          <w:tcPr>
            <w:tcW w:w="361" w:type="pct"/>
            <w:shd w:val="clear" w:color="auto" w:fill="FFFFFF"/>
            <w:vAlign w:val="center"/>
          </w:tcPr>
          <w:p w14:paraId="29A7A8C9" w14:textId="3E8D9275"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2.76</w:t>
            </w:r>
          </w:p>
        </w:tc>
        <w:tc>
          <w:tcPr>
            <w:tcW w:w="387" w:type="pct"/>
            <w:shd w:val="clear" w:color="auto" w:fill="FFFFFF"/>
            <w:vAlign w:val="center"/>
          </w:tcPr>
          <w:p w14:paraId="2002ED88" w14:textId="09C644F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2.17</w:t>
            </w:r>
          </w:p>
        </w:tc>
      </w:tr>
      <w:tr w:rsidR="00392283" w:rsidRPr="009F6D1E" w14:paraId="187970CC" w14:textId="77777777" w:rsidTr="00392283">
        <w:trPr>
          <w:trHeight w:hRule="exact" w:val="806"/>
          <w:jc w:val="center"/>
        </w:trPr>
        <w:tc>
          <w:tcPr>
            <w:tcW w:w="761" w:type="pct"/>
            <w:shd w:val="clear" w:color="auto" w:fill="FFFFFF"/>
            <w:vAlign w:val="center"/>
          </w:tcPr>
          <w:p w14:paraId="7F0B1647"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№8 Друг транспорт</w:t>
            </w:r>
          </w:p>
        </w:tc>
        <w:tc>
          <w:tcPr>
            <w:tcW w:w="327" w:type="pct"/>
            <w:shd w:val="clear" w:color="auto" w:fill="FFFFFF"/>
            <w:vAlign w:val="center"/>
          </w:tcPr>
          <w:p w14:paraId="676293AF" w14:textId="3FEE6DA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1.74</w:t>
            </w:r>
          </w:p>
        </w:tc>
        <w:tc>
          <w:tcPr>
            <w:tcW w:w="338" w:type="pct"/>
            <w:shd w:val="clear" w:color="auto" w:fill="FFFFFF"/>
            <w:vAlign w:val="center"/>
          </w:tcPr>
          <w:p w14:paraId="4BC87E02" w14:textId="507CB3C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12.36</w:t>
            </w:r>
          </w:p>
        </w:tc>
        <w:tc>
          <w:tcPr>
            <w:tcW w:w="414" w:type="pct"/>
            <w:shd w:val="clear" w:color="auto" w:fill="FFFFFF"/>
            <w:vAlign w:val="center"/>
          </w:tcPr>
          <w:p w14:paraId="6596FFF8" w14:textId="40A2A3F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1.19</w:t>
            </w:r>
          </w:p>
        </w:tc>
        <w:tc>
          <w:tcPr>
            <w:tcW w:w="307" w:type="pct"/>
            <w:shd w:val="clear" w:color="auto" w:fill="FFFFFF"/>
            <w:vAlign w:val="center"/>
          </w:tcPr>
          <w:p w14:paraId="6CE6C6DA" w14:textId="7B8019C1"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0.001</w:t>
            </w:r>
          </w:p>
        </w:tc>
        <w:tc>
          <w:tcPr>
            <w:tcW w:w="338" w:type="pct"/>
            <w:shd w:val="clear" w:color="auto" w:fill="FFFFFF"/>
            <w:vAlign w:val="center"/>
          </w:tcPr>
          <w:p w14:paraId="6C677967" w14:textId="62561E54"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26.88</w:t>
            </w:r>
          </w:p>
        </w:tc>
        <w:tc>
          <w:tcPr>
            <w:tcW w:w="365" w:type="pct"/>
            <w:shd w:val="clear" w:color="auto" w:fill="FFFFFF"/>
            <w:vAlign w:val="center"/>
          </w:tcPr>
          <w:p w14:paraId="58A946F3" w14:textId="674860E2"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0.002</w:t>
            </w:r>
          </w:p>
        </w:tc>
        <w:tc>
          <w:tcPr>
            <w:tcW w:w="308" w:type="pct"/>
            <w:shd w:val="clear" w:color="auto" w:fill="FFFFFF"/>
            <w:vAlign w:val="center"/>
          </w:tcPr>
          <w:p w14:paraId="7113ACB8" w14:textId="11F83F5D"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0.0026</w:t>
            </w:r>
          </w:p>
        </w:tc>
        <w:tc>
          <w:tcPr>
            <w:tcW w:w="358" w:type="pct"/>
            <w:shd w:val="clear" w:color="auto" w:fill="FFFFFF"/>
            <w:vAlign w:val="center"/>
          </w:tcPr>
          <w:p w14:paraId="1AD603E2" w14:textId="4B2ECC57"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0.1386</w:t>
            </w:r>
          </w:p>
        </w:tc>
        <w:tc>
          <w:tcPr>
            <w:tcW w:w="398" w:type="pct"/>
            <w:shd w:val="clear" w:color="auto" w:fill="FFFFFF"/>
            <w:vAlign w:val="center"/>
          </w:tcPr>
          <w:p w14:paraId="1F5FC474" w14:textId="131E8F4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0.0125</w:t>
            </w:r>
          </w:p>
        </w:tc>
        <w:tc>
          <w:tcPr>
            <w:tcW w:w="338" w:type="pct"/>
            <w:shd w:val="clear" w:color="auto" w:fill="FFFFFF"/>
            <w:vAlign w:val="center"/>
          </w:tcPr>
          <w:p w14:paraId="38005754" w14:textId="17B1C0B8"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0.017</w:t>
            </w:r>
          </w:p>
        </w:tc>
        <w:tc>
          <w:tcPr>
            <w:tcW w:w="361" w:type="pct"/>
            <w:shd w:val="clear" w:color="auto" w:fill="FFFFFF"/>
            <w:vAlign w:val="center"/>
          </w:tcPr>
          <w:p w14:paraId="00230C68" w14:textId="0A2EB54A"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0.50</w:t>
            </w:r>
          </w:p>
        </w:tc>
        <w:tc>
          <w:tcPr>
            <w:tcW w:w="387" w:type="pct"/>
            <w:shd w:val="clear" w:color="auto" w:fill="FFFFFF"/>
            <w:vAlign w:val="center"/>
          </w:tcPr>
          <w:p w14:paraId="5B9FB1EB" w14:textId="015B4AD6"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0.49</w:t>
            </w:r>
          </w:p>
        </w:tc>
      </w:tr>
      <w:tr w:rsidR="00392283" w:rsidRPr="009F6D1E" w14:paraId="04D3F7C4" w14:textId="77777777" w:rsidTr="00392283">
        <w:trPr>
          <w:trHeight w:hRule="exact" w:val="806"/>
          <w:jc w:val="center"/>
        </w:trPr>
        <w:tc>
          <w:tcPr>
            <w:tcW w:w="761" w:type="pct"/>
            <w:shd w:val="clear" w:color="auto" w:fill="FFFFFF"/>
            <w:vAlign w:val="center"/>
          </w:tcPr>
          <w:p w14:paraId="05E8FD9B"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№9 Третиране и депониране на отпадъци</w:t>
            </w:r>
          </w:p>
        </w:tc>
        <w:tc>
          <w:tcPr>
            <w:tcW w:w="327" w:type="pct"/>
            <w:shd w:val="clear" w:color="auto" w:fill="FFFFFF"/>
            <w:vAlign w:val="center"/>
          </w:tcPr>
          <w:p w14:paraId="5655DF53" w14:textId="766E9A5B"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0.003</w:t>
            </w:r>
          </w:p>
        </w:tc>
        <w:tc>
          <w:tcPr>
            <w:tcW w:w="338" w:type="pct"/>
            <w:shd w:val="clear" w:color="auto" w:fill="FFFFFF"/>
            <w:vAlign w:val="center"/>
          </w:tcPr>
          <w:p w14:paraId="37655FF3" w14:textId="6FE9DAD4"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0.018</w:t>
            </w:r>
          </w:p>
        </w:tc>
        <w:tc>
          <w:tcPr>
            <w:tcW w:w="414" w:type="pct"/>
            <w:shd w:val="clear" w:color="auto" w:fill="FFFFFF"/>
            <w:vAlign w:val="center"/>
          </w:tcPr>
          <w:p w14:paraId="471EBD3A" w14:textId="496FD92A"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1.33</w:t>
            </w:r>
          </w:p>
        </w:tc>
        <w:tc>
          <w:tcPr>
            <w:tcW w:w="307" w:type="pct"/>
            <w:shd w:val="clear" w:color="auto" w:fill="FFFFFF"/>
            <w:vAlign w:val="center"/>
          </w:tcPr>
          <w:p w14:paraId="014E2CA5" w14:textId="6A24F2CA"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1.18</w:t>
            </w:r>
          </w:p>
        </w:tc>
        <w:tc>
          <w:tcPr>
            <w:tcW w:w="338" w:type="pct"/>
            <w:shd w:val="clear" w:color="auto" w:fill="FFFFFF"/>
            <w:vAlign w:val="center"/>
          </w:tcPr>
          <w:p w14:paraId="2F136FDD" w14:textId="0DCBCCF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0.10</w:t>
            </w:r>
          </w:p>
        </w:tc>
        <w:tc>
          <w:tcPr>
            <w:tcW w:w="365" w:type="pct"/>
            <w:shd w:val="clear" w:color="auto" w:fill="FFFFFF"/>
            <w:vAlign w:val="center"/>
          </w:tcPr>
          <w:p w14:paraId="17B7346D" w14:textId="450571C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0.058</w:t>
            </w:r>
          </w:p>
        </w:tc>
        <w:tc>
          <w:tcPr>
            <w:tcW w:w="308" w:type="pct"/>
            <w:shd w:val="clear" w:color="auto" w:fill="FFFFFF"/>
            <w:vAlign w:val="center"/>
          </w:tcPr>
          <w:p w14:paraId="6A62EEFB" w14:textId="2C4CA5FE"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0.005</w:t>
            </w:r>
          </w:p>
        </w:tc>
        <w:tc>
          <w:tcPr>
            <w:tcW w:w="358" w:type="pct"/>
            <w:shd w:val="clear" w:color="auto" w:fill="FFFFFF"/>
            <w:vAlign w:val="center"/>
          </w:tcPr>
          <w:p w14:paraId="70771046" w14:textId="03B53FF0"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0.033</w:t>
            </w:r>
          </w:p>
        </w:tc>
        <w:tc>
          <w:tcPr>
            <w:tcW w:w="398" w:type="pct"/>
            <w:shd w:val="clear" w:color="auto" w:fill="FFFFFF"/>
            <w:vAlign w:val="center"/>
          </w:tcPr>
          <w:p w14:paraId="22B843F8" w14:textId="6C6EE09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0.0001</w:t>
            </w:r>
          </w:p>
        </w:tc>
        <w:tc>
          <w:tcPr>
            <w:tcW w:w="338" w:type="pct"/>
            <w:shd w:val="clear" w:color="auto" w:fill="FFFFFF"/>
            <w:vAlign w:val="center"/>
          </w:tcPr>
          <w:p w14:paraId="1214425C" w14:textId="09E883C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6.098</w:t>
            </w:r>
          </w:p>
        </w:tc>
        <w:tc>
          <w:tcPr>
            <w:tcW w:w="361" w:type="pct"/>
            <w:shd w:val="clear" w:color="auto" w:fill="FFFFFF"/>
            <w:vAlign w:val="center"/>
          </w:tcPr>
          <w:p w14:paraId="2E427EEB" w14:textId="1262438C"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0.35</w:t>
            </w:r>
          </w:p>
        </w:tc>
        <w:tc>
          <w:tcPr>
            <w:tcW w:w="387" w:type="pct"/>
            <w:shd w:val="clear" w:color="auto" w:fill="FFFFFF"/>
            <w:vAlign w:val="center"/>
          </w:tcPr>
          <w:p w14:paraId="480BB963" w14:textId="705128AF"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0.35</w:t>
            </w:r>
          </w:p>
        </w:tc>
      </w:tr>
      <w:tr w:rsidR="00392283" w:rsidRPr="009F6D1E" w14:paraId="20644792" w14:textId="77777777" w:rsidTr="00392283">
        <w:trPr>
          <w:trHeight w:hRule="exact" w:val="806"/>
          <w:jc w:val="center"/>
        </w:trPr>
        <w:tc>
          <w:tcPr>
            <w:tcW w:w="761" w:type="pct"/>
            <w:shd w:val="clear" w:color="auto" w:fill="FFFFFF"/>
            <w:vAlign w:val="center"/>
          </w:tcPr>
          <w:p w14:paraId="52D4C3CA" w14:textId="77777777" w:rsidR="00392283" w:rsidRPr="009F6D1E" w:rsidRDefault="00392283" w:rsidP="00392283">
            <w:pPr>
              <w:spacing w:after="60" w:line="264" w:lineRule="auto"/>
              <w:rPr>
                <w:rFonts w:cs="Times New Roman"/>
                <w:sz w:val="20"/>
                <w:szCs w:val="20"/>
              </w:rPr>
            </w:pPr>
            <w:r w:rsidRPr="009F6D1E">
              <w:rPr>
                <w:rFonts w:cs="Times New Roman"/>
                <w:b/>
                <w:bCs/>
                <w:sz w:val="20"/>
                <w:szCs w:val="20"/>
                <w:shd w:val="clear" w:color="auto" w:fill="FFFFFF"/>
                <w:lang w:eastAsia="bg-BG" w:bidi="bg-BG"/>
              </w:rPr>
              <w:t>№10 Селско стопанство</w:t>
            </w:r>
          </w:p>
        </w:tc>
        <w:tc>
          <w:tcPr>
            <w:tcW w:w="327" w:type="pct"/>
            <w:shd w:val="clear" w:color="auto" w:fill="FFFFFF"/>
            <w:vAlign w:val="center"/>
          </w:tcPr>
          <w:p w14:paraId="4767EEF4" w14:textId="3FA6675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0.0002</w:t>
            </w:r>
          </w:p>
        </w:tc>
        <w:tc>
          <w:tcPr>
            <w:tcW w:w="338" w:type="pct"/>
            <w:shd w:val="clear" w:color="auto" w:fill="FFFFFF"/>
            <w:vAlign w:val="center"/>
          </w:tcPr>
          <w:p w14:paraId="7946E6EC" w14:textId="5F12DB27" w:rsidR="00392283" w:rsidRPr="00392283" w:rsidRDefault="00392283" w:rsidP="00392283">
            <w:pPr>
              <w:spacing w:after="60" w:line="264" w:lineRule="auto"/>
              <w:ind w:left="180"/>
              <w:jc w:val="center"/>
              <w:rPr>
                <w:rFonts w:cs="Times New Roman"/>
                <w:color w:val="000000"/>
                <w:sz w:val="20"/>
                <w:szCs w:val="20"/>
              </w:rPr>
            </w:pPr>
            <w:r w:rsidRPr="00392283">
              <w:rPr>
                <w:rFonts w:cs="Times New Roman"/>
                <w:color w:val="000000"/>
                <w:sz w:val="20"/>
                <w:szCs w:val="20"/>
              </w:rPr>
              <w:t>17.93</w:t>
            </w:r>
          </w:p>
        </w:tc>
        <w:tc>
          <w:tcPr>
            <w:tcW w:w="414" w:type="pct"/>
            <w:shd w:val="clear" w:color="auto" w:fill="FFFFFF"/>
            <w:vAlign w:val="center"/>
          </w:tcPr>
          <w:p w14:paraId="3015D53C" w14:textId="3141930D" w:rsidR="00392283" w:rsidRPr="00392283" w:rsidRDefault="00392283" w:rsidP="00392283">
            <w:pPr>
              <w:spacing w:after="60" w:line="264" w:lineRule="auto"/>
              <w:ind w:left="280"/>
              <w:jc w:val="center"/>
              <w:rPr>
                <w:rFonts w:cs="Times New Roman"/>
                <w:color w:val="000000"/>
                <w:sz w:val="20"/>
                <w:szCs w:val="20"/>
              </w:rPr>
            </w:pPr>
            <w:r w:rsidRPr="00392283">
              <w:rPr>
                <w:rFonts w:cs="Times New Roman"/>
                <w:color w:val="000000"/>
                <w:sz w:val="20"/>
                <w:szCs w:val="20"/>
              </w:rPr>
              <w:t>13.91</w:t>
            </w:r>
          </w:p>
        </w:tc>
        <w:tc>
          <w:tcPr>
            <w:tcW w:w="307" w:type="pct"/>
            <w:shd w:val="clear" w:color="auto" w:fill="FFFFFF"/>
            <w:vAlign w:val="center"/>
          </w:tcPr>
          <w:p w14:paraId="50A22F0B" w14:textId="61CB8FA4"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37.15</w:t>
            </w:r>
          </w:p>
        </w:tc>
        <w:tc>
          <w:tcPr>
            <w:tcW w:w="338" w:type="pct"/>
            <w:shd w:val="clear" w:color="auto" w:fill="FFFFFF"/>
            <w:vAlign w:val="center"/>
          </w:tcPr>
          <w:p w14:paraId="78F3A770" w14:textId="4CC1C712" w:rsidR="00392283" w:rsidRPr="00392283" w:rsidRDefault="00392283" w:rsidP="00392283">
            <w:pPr>
              <w:spacing w:after="60" w:line="264" w:lineRule="auto"/>
              <w:ind w:left="180"/>
              <w:jc w:val="center"/>
              <w:rPr>
                <w:rFonts w:cs="Times New Roman"/>
                <w:color w:val="000000"/>
                <w:sz w:val="20"/>
                <w:szCs w:val="20"/>
              </w:rPr>
            </w:pPr>
            <w:r w:rsidRPr="00392283">
              <w:rPr>
                <w:rFonts w:cs="Times New Roman"/>
                <w:color w:val="000000"/>
                <w:sz w:val="20"/>
                <w:szCs w:val="20"/>
              </w:rPr>
              <w:t>0.03</w:t>
            </w:r>
          </w:p>
        </w:tc>
        <w:tc>
          <w:tcPr>
            <w:tcW w:w="365" w:type="pct"/>
            <w:shd w:val="clear" w:color="auto" w:fill="FFFFFF"/>
            <w:vAlign w:val="center"/>
          </w:tcPr>
          <w:p w14:paraId="366B69DA" w14:textId="0CF26665"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0.00006</w:t>
            </w:r>
          </w:p>
        </w:tc>
        <w:tc>
          <w:tcPr>
            <w:tcW w:w="308" w:type="pct"/>
            <w:shd w:val="clear" w:color="auto" w:fill="FFFFFF"/>
            <w:vAlign w:val="center"/>
          </w:tcPr>
          <w:p w14:paraId="51C894E7" w14:textId="5023D0D3"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0.0004</w:t>
            </w:r>
          </w:p>
        </w:tc>
        <w:tc>
          <w:tcPr>
            <w:tcW w:w="358" w:type="pct"/>
            <w:shd w:val="clear" w:color="auto" w:fill="FFFFFF"/>
            <w:vAlign w:val="center"/>
          </w:tcPr>
          <w:p w14:paraId="1705516A" w14:textId="2451F295" w:rsidR="00392283" w:rsidRPr="00392283" w:rsidRDefault="00392283" w:rsidP="00392283">
            <w:pPr>
              <w:spacing w:after="60" w:line="264" w:lineRule="auto"/>
              <w:jc w:val="center"/>
              <w:rPr>
                <w:rFonts w:cs="Times New Roman"/>
                <w:color w:val="000000"/>
                <w:sz w:val="20"/>
                <w:szCs w:val="20"/>
              </w:rPr>
            </w:pPr>
            <w:r w:rsidRPr="00392283">
              <w:rPr>
                <w:rFonts w:cs="Times New Roman"/>
                <w:color w:val="000000"/>
                <w:sz w:val="20"/>
                <w:szCs w:val="20"/>
              </w:rPr>
              <w:t>0.00005</w:t>
            </w:r>
          </w:p>
        </w:tc>
        <w:tc>
          <w:tcPr>
            <w:tcW w:w="398" w:type="pct"/>
            <w:shd w:val="clear" w:color="auto" w:fill="FFFFFF"/>
            <w:vAlign w:val="center"/>
          </w:tcPr>
          <w:p w14:paraId="42110DC6" w14:textId="3C27D623" w:rsidR="00392283" w:rsidRPr="00392283" w:rsidRDefault="00392283" w:rsidP="00392283">
            <w:pPr>
              <w:spacing w:after="60" w:line="264" w:lineRule="auto"/>
              <w:ind w:left="160"/>
              <w:jc w:val="center"/>
              <w:rPr>
                <w:rFonts w:cs="Times New Roman"/>
                <w:color w:val="000000"/>
                <w:sz w:val="20"/>
                <w:szCs w:val="20"/>
              </w:rPr>
            </w:pPr>
            <w:r w:rsidRPr="00392283">
              <w:rPr>
                <w:rFonts w:cs="Times New Roman"/>
                <w:color w:val="000000"/>
                <w:sz w:val="20"/>
                <w:szCs w:val="20"/>
              </w:rPr>
              <w:t>0.0009</w:t>
            </w:r>
          </w:p>
        </w:tc>
        <w:tc>
          <w:tcPr>
            <w:tcW w:w="338" w:type="pct"/>
            <w:shd w:val="clear" w:color="auto" w:fill="FFFFFF"/>
            <w:vAlign w:val="center"/>
          </w:tcPr>
          <w:p w14:paraId="234A3C99" w14:textId="6C61F016" w:rsidR="00392283" w:rsidRPr="00392283" w:rsidRDefault="00392283" w:rsidP="00392283">
            <w:pPr>
              <w:spacing w:after="60" w:line="264" w:lineRule="auto"/>
              <w:ind w:left="180"/>
              <w:jc w:val="center"/>
              <w:rPr>
                <w:rFonts w:cs="Times New Roman"/>
                <w:color w:val="000000"/>
                <w:sz w:val="20"/>
                <w:szCs w:val="20"/>
              </w:rPr>
            </w:pPr>
            <w:r w:rsidRPr="00392283">
              <w:rPr>
                <w:rFonts w:cs="Times New Roman"/>
                <w:color w:val="000000"/>
                <w:sz w:val="20"/>
                <w:szCs w:val="20"/>
              </w:rPr>
              <w:t>0</w:t>
            </w:r>
          </w:p>
        </w:tc>
        <w:tc>
          <w:tcPr>
            <w:tcW w:w="361" w:type="pct"/>
            <w:shd w:val="clear" w:color="auto" w:fill="FFFFFF"/>
            <w:vAlign w:val="center"/>
          </w:tcPr>
          <w:p w14:paraId="720380FC" w14:textId="50243584" w:rsidR="00392283" w:rsidRPr="00392283" w:rsidRDefault="00392283" w:rsidP="00392283">
            <w:pPr>
              <w:spacing w:after="60" w:line="264" w:lineRule="auto"/>
              <w:ind w:left="220"/>
              <w:jc w:val="center"/>
              <w:rPr>
                <w:rFonts w:cs="Times New Roman"/>
                <w:color w:val="000000"/>
                <w:sz w:val="20"/>
                <w:szCs w:val="20"/>
              </w:rPr>
            </w:pPr>
            <w:r w:rsidRPr="00392283">
              <w:rPr>
                <w:rFonts w:cs="Times New Roman"/>
                <w:color w:val="000000"/>
                <w:sz w:val="20"/>
                <w:szCs w:val="20"/>
              </w:rPr>
              <w:t>6.14</w:t>
            </w:r>
          </w:p>
        </w:tc>
        <w:tc>
          <w:tcPr>
            <w:tcW w:w="387" w:type="pct"/>
            <w:shd w:val="clear" w:color="auto" w:fill="FFFFFF"/>
            <w:vAlign w:val="center"/>
          </w:tcPr>
          <w:p w14:paraId="0B7847B9" w14:textId="03011A53" w:rsidR="00392283" w:rsidRPr="00392283" w:rsidRDefault="00392283" w:rsidP="00392283">
            <w:pPr>
              <w:spacing w:after="60" w:line="264" w:lineRule="auto"/>
              <w:ind w:left="220"/>
              <w:jc w:val="center"/>
              <w:rPr>
                <w:rFonts w:cs="Times New Roman"/>
                <w:color w:val="000000"/>
                <w:sz w:val="20"/>
                <w:szCs w:val="20"/>
              </w:rPr>
            </w:pPr>
            <w:r w:rsidRPr="00392283">
              <w:rPr>
                <w:rFonts w:cs="Times New Roman"/>
                <w:color w:val="000000"/>
                <w:sz w:val="20"/>
                <w:szCs w:val="20"/>
              </w:rPr>
              <w:t>0.41</w:t>
            </w:r>
          </w:p>
        </w:tc>
      </w:tr>
      <w:tr w:rsidR="00392283" w:rsidRPr="009F6D1E" w14:paraId="6520809C" w14:textId="77777777" w:rsidTr="00392283">
        <w:trPr>
          <w:trHeight w:hRule="exact" w:val="811"/>
          <w:jc w:val="center"/>
        </w:trPr>
        <w:tc>
          <w:tcPr>
            <w:tcW w:w="761" w:type="pct"/>
            <w:shd w:val="clear" w:color="auto" w:fill="FFFFFF"/>
            <w:vAlign w:val="center"/>
          </w:tcPr>
          <w:p w14:paraId="421A6AD4" w14:textId="77777777" w:rsidR="00392283" w:rsidRPr="00392283" w:rsidRDefault="00392283" w:rsidP="00392283">
            <w:pPr>
              <w:spacing w:after="60" w:line="264" w:lineRule="auto"/>
              <w:rPr>
                <w:rFonts w:cs="Times New Roman"/>
                <w:b/>
                <w:bCs/>
                <w:sz w:val="20"/>
                <w:szCs w:val="20"/>
              </w:rPr>
            </w:pPr>
            <w:r w:rsidRPr="00392283">
              <w:rPr>
                <w:rFonts w:cs="Times New Roman"/>
                <w:b/>
                <w:bCs/>
                <w:sz w:val="20"/>
                <w:szCs w:val="20"/>
              </w:rPr>
              <w:t>Общо</w:t>
            </w:r>
          </w:p>
        </w:tc>
        <w:tc>
          <w:tcPr>
            <w:tcW w:w="327" w:type="pct"/>
            <w:shd w:val="clear" w:color="auto" w:fill="FFFFFF"/>
            <w:vAlign w:val="center"/>
          </w:tcPr>
          <w:p w14:paraId="0A81291A" w14:textId="5A310A3E"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69.60</w:t>
            </w:r>
          </w:p>
        </w:tc>
        <w:tc>
          <w:tcPr>
            <w:tcW w:w="338" w:type="pct"/>
            <w:shd w:val="clear" w:color="auto" w:fill="FFFFFF"/>
            <w:vAlign w:val="center"/>
          </w:tcPr>
          <w:p w14:paraId="18127502" w14:textId="3899D5DA"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91.60</w:t>
            </w:r>
          </w:p>
        </w:tc>
        <w:tc>
          <w:tcPr>
            <w:tcW w:w="414" w:type="pct"/>
            <w:shd w:val="clear" w:color="auto" w:fill="FFFFFF"/>
            <w:vAlign w:val="center"/>
          </w:tcPr>
          <w:p w14:paraId="171F87CC" w14:textId="28C0CB91"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73.00</w:t>
            </w:r>
          </w:p>
        </w:tc>
        <w:tc>
          <w:tcPr>
            <w:tcW w:w="307" w:type="pct"/>
            <w:shd w:val="clear" w:color="auto" w:fill="FFFFFF"/>
            <w:vAlign w:val="center"/>
          </w:tcPr>
          <w:p w14:paraId="2FA96E2F" w14:textId="5FC7B014"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42.70</w:t>
            </w:r>
          </w:p>
        </w:tc>
        <w:tc>
          <w:tcPr>
            <w:tcW w:w="338" w:type="pct"/>
            <w:shd w:val="clear" w:color="auto" w:fill="FFFFFF"/>
            <w:vAlign w:val="center"/>
          </w:tcPr>
          <w:p w14:paraId="11F4C915" w14:textId="3C196310"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249.78</w:t>
            </w:r>
          </w:p>
        </w:tc>
        <w:tc>
          <w:tcPr>
            <w:tcW w:w="365" w:type="pct"/>
            <w:shd w:val="clear" w:color="auto" w:fill="FFFFFF"/>
            <w:vAlign w:val="center"/>
          </w:tcPr>
          <w:p w14:paraId="76D2F375" w14:textId="7F73E64D"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0.68</w:t>
            </w:r>
          </w:p>
        </w:tc>
        <w:tc>
          <w:tcPr>
            <w:tcW w:w="308" w:type="pct"/>
            <w:shd w:val="clear" w:color="auto" w:fill="FFFFFF"/>
            <w:vAlign w:val="center"/>
          </w:tcPr>
          <w:p w14:paraId="15D2BEA0" w14:textId="525E9E14"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1.43</w:t>
            </w:r>
          </w:p>
        </w:tc>
        <w:tc>
          <w:tcPr>
            <w:tcW w:w="358" w:type="pct"/>
            <w:shd w:val="clear" w:color="auto" w:fill="FFFFFF"/>
            <w:vAlign w:val="center"/>
          </w:tcPr>
          <w:p w14:paraId="50E7C1FC" w14:textId="357403E6"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10.52</w:t>
            </w:r>
          </w:p>
        </w:tc>
        <w:tc>
          <w:tcPr>
            <w:tcW w:w="398" w:type="pct"/>
            <w:shd w:val="clear" w:color="auto" w:fill="FFFFFF"/>
            <w:vAlign w:val="center"/>
          </w:tcPr>
          <w:p w14:paraId="6609D3C9" w14:textId="5E0CCBF0"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14.99</w:t>
            </w:r>
          </w:p>
        </w:tc>
        <w:tc>
          <w:tcPr>
            <w:tcW w:w="338" w:type="pct"/>
            <w:shd w:val="clear" w:color="auto" w:fill="FFFFFF"/>
            <w:vAlign w:val="center"/>
          </w:tcPr>
          <w:p w14:paraId="220EADCC" w14:textId="7BB6F752"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49.20</w:t>
            </w:r>
          </w:p>
        </w:tc>
        <w:tc>
          <w:tcPr>
            <w:tcW w:w="361" w:type="pct"/>
            <w:shd w:val="clear" w:color="auto" w:fill="FFFFFF"/>
            <w:vAlign w:val="center"/>
          </w:tcPr>
          <w:p w14:paraId="282E348A" w14:textId="3415F7C7"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44.75</w:t>
            </w:r>
          </w:p>
        </w:tc>
        <w:tc>
          <w:tcPr>
            <w:tcW w:w="387" w:type="pct"/>
            <w:shd w:val="clear" w:color="auto" w:fill="FFFFFF"/>
            <w:vAlign w:val="center"/>
          </w:tcPr>
          <w:p w14:paraId="0FA26C46" w14:textId="334185B5" w:rsidR="00392283" w:rsidRPr="00392283" w:rsidRDefault="00392283" w:rsidP="00392283">
            <w:pPr>
              <w:spacing w:after="60" w:line="264" w:lineRule="auto"/>
              <w:jc w:val="center"/>
              <w:rPr>
                <w:rFonts w:cs="Times New Roman"/>
                <w:b/>
                <w:bCs/>
                <w:color w:val="000000"/>
                <w:sz w:val="20"/>
                <w:szCs w:val="20"/>
              </w:rPr>
            </w:pPr>
            <w:r w:rsidRPr="00392283">
              <w:rPr>
                <w:rFonts w:cs="Times New Roman"/>
                <w:b/>
                <w:bCs/>
                <w:color w:val="000000"/>
                <w:sz w:val="20"/>
                <w:szCs w:val="20"/>
              </w:rPr>
              <w:t>31.72</w:t>
            </w:r>
          </w:p>
        </w:tc>
      </w:tr>
    </w:tbl>
    <w:p w14:paraId="2AF2CFF1" w14:textId="77777777" w:rsidR="00E1629C" w:rsidRPr="009F6D1E" w:rsidRDefault="00E1629C" w:rsidP="0084747F">
      <w:pPr>
        <w:autoSpaceDE w:val="0"/>
        <w:autoSpaceDN w:val="0"/>
        <w:adjustRightInd w:val="0"/>
        <w:spacing w:after="60" w:line="264" w:lineRule="auto"/>
        <w:jc w:val="both"/>
        <w:rPr>
          <w:rFonts w:cs="Times New Roman"/>
          <w:sz w:val="20"/>
          <w:szCs w:val="20"/>
        </w:rPr>
      </w:pPr>
      <w:r w:rsidRPr="009F6D1E">
        <w:rPr>
          <w:rFonts w:cs="Times New Roman"/>
          <w:sz w:val="20"/>
          <w:szCs w:val="20"/>
        </w:rPr>
        <w:t>* - изчислени като серен диоксид</w:t>
      </w:r>
    </w:p>
    <w:p w14:paraId="40202046" w14:textId="77777777" w:rsidR="00E1629C" w:rsidRPr="009F6D1E" w:rsidRDefault="00E1629C" w:rsidP="0084747F">
      <w:pPr>
        <w:autoSpaceDE w:val="0"/>
        <w:autoSpaceDN w:val="0"/>
        <w:adjustRightInd w:val="0"/>
        <w:spacing w:after="60" w:line="264" w:lineRule="auto"/>
        <w:jc w:val="both"/>
        <w:rPr>
          <w:rFonts w:cs="Times New Roman"/>
          <w:sz w:val="20"/>
          <w:szCs w:val="20"/>
        </w:rPr>
      </w:pPr>
      <w:r w:rsidRPr="009F6D1E">
        <w:rPr>
          <w:rFonts w:cs="Times New Roman"/>
          <w:sz w:val="20"/>
          <w:szCs w:val="20"/>
        </w:rPr>
        <w:t>** - изчислени като азотен диоксид</w:t>
      </w:r>
    </w:p>
    <w:p w14:paraId="2B830176" w14:textId="77777777" w:rsidR="00E1629C" w:rsidRPr="009F6D1E" w:rsidRDefault="00E1629C" w:rsidP="0084747F">
      <w:pPr>
        <w:autoSpaceDE w:val="0"/>
        <w:autoSpaceDN w:val="0"/>
        <w:adjustRightInd w:val="0"/>
        <w:spacing w:after="60" w:line="264" w:lineRule="auto"/>
        <w:jc w:val="both"/>
        <w:rPr>
          <w:rFonts w:cs="Times New Roman"/>
          <w:sz w:val="20"/>
          <w:szCs w:val="20"/>
        </w:rPr>
      </w:pPr>
      <w:r w:rsidRPr="009F6D1E">
        <w:rPr>
          <w:rFonts w:cs="Times New Roman"/>
          <w:sz w:val="20"/>
          <w:szCs w:val="20"/>
        </w:rPr>
        <w:t>*** - емисиите от сектор природа не са включени, поради липса на актуални данни</w:t>
      </w:r>
    </w:p>
    <w:p w14:paraId="5BDBD226" w14:textId="77777777" w:rsidR="00E1629C" w:rsidRPr="009F6D1E" w:rsidRDefault="00E1629C" w:rsidP="0084747F">
      <w:pPr>
        <w:autoSpaceDE w:val="0"/>
        <w:autoSpaceDN w:val="0"/>
        <w:adjustRightInd w:val="0"/>
        <w:spacing w:after="60" w:line="264" w:lineRule="auto"/>
        <w:jc w:val="both"/>
        <w:rPr>
          <w:rFonts w:cs="Times New Roman"/>
          <w:i/>
          <w:iCs/>
          <w:sz w:val="20"/>
          <w:szCs w:val="20"/>
        </w:rPr>
      </w:pPr>
      <w:r w:rsidRPr="009F6D1E">
        <w:rPr>
          <w:rFonts w:cs="Times New Roman"/>
          <w:i/>
          <w:iCs/>
          <w:sz w:val="20"/>
          <w:szCs w:val="20"/>
        </w:rPr>
        <w:t>Източник: НСИ и ИАОС</w:t>
      </w:r>
    </w:p>
    <w:p w14:paraId="1B19E42F" w14:textId="77777777" w:rsidR="00E1629C" w:rsidRPr="009F6D1E" w:rsidRDefault="00E1629C" w:rsidP="0084747F">
      <w:pPr>
        <w:autoSpaceDE w:val="0"/>
        <w:autoSpaceDN w:val="0"/>
        <w:adjustRightInd w:val="0"/>
        <w:spacing w:after="60" w:line="264" w:lineRule="auto"/>
        <w:jc w:val="center"/>
        <w:rPr>
          <w:rFonts w:cs="Times New Roman"/>
          <w:color w:val="BF8F00" w:themeColor="accent4" w:themeShade="BF"/>
          <w:szCs w:val="24"/>
        </w:rPr>
      </w:pPr>
    </w:p>
    <w:p w14:paraId="4B539386" w14:textId="015A7A64" w:rsidR="00E1629C" w:rsidRPr="009F6D1E" w:rsidRDefault="008E59EF" w:rsidP="0084747F">
      <w:pPr>
        <w:autoSpaceDE w:val="0"/>
        <w:autoSpaceDN w:val="0"/>
        <w:adjustRightInd w:val="0"/>
        <w:spacing w:after="60" w:line="264" w:lineRule="auto"/>
        <w:jc w:val="center"/>
        <w:rPr>
          <w:rFonts w:cs="Times New Roman"/>
          <w:color w:val="BF8F00" w:themeColor="accent4" w:themeShade="BF"/>
          <w:szCs w:val="24"/>
        </w:rPr>
      </w:pPr>
      <w:r w:rsidRPr="008E59EF">
        <w:rPr>
          <w:rFonts w:cs="Times New Roman"/>
          <w:noProof/>
          <w:color w:val="BF8F00" w:themeColor="accent4" w:themeShade="BF"/>
          <w:szCs w:val="24"/>
          <w:lang w:val="en-US"/>
        </w:rPr>
        <w:lastRenderedPageBreak/>
        <w:drawing>
          <wp:inline distT="0" distB="0" distL="0" distR="0" wp14:anchorId="07160255" wp14:editId="02657B9E">
            <wp:extent cx="6120130" cy="495617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4956175"/>
                    </a:xfrm>
                    <a:prstGeom prst="rect">
                      <a:avLst/>
                    </a:prstGeom>
                  </pic:spPr>
                </pic:pic>
              </a:graphicData>
            </a:graphic>
          </wp:inline>
        </w:drawing>
      </w:r>
    </w:p>
    <w:p w14:paraId="604F5B36" w14:textId="1AE6C777" w:rsidR="00E1629C" w:rsidRPr="009F6D1E" w:rsidRDefault="00032931" w:rsidP="00032931">
      <w:pPr>
        <w:pStyle w:val="Caption"/>
        <w:rPr>
          <w:b/>
          <w:bCs/>
          <w:color w:val="BF8F00" w:themeColor="accent4" w:themeShade="BF"/>
        </w:rPr>
      </w:pPr>
      <w:bookmarkStart w:id="187" w:name="_Ref107165397"/>
      <w:bookmarkStart w:id="188" w:name="_Ref107165390"/>
      <w:bookmarkStart w:id="189" w:name="_Toc115255074"/>
      <w:r w:rsidRPr="009F6D1E">
        <w:t xml:space="preserve">Фигура </w:t>
      </w:r>
      <w:fldSimple w:instr=" SEQ Фигура \* ARABIC ">
        <w:r w:rsidR="00A43EF3">
          <w:rPr>
            <w:noProof/>
          </w:rPr>
          <w:t>13</w:t>
        </w:r>
      </w:fldSimple>
      <w:bookmarkEnd w:id="187"/>
      <w:r w:rsidRPr="009F6D1E">
        <w:t>:</w:t>
      </w:r>
      <w:r w:rsidR="00E1629C" w:rsidRPr="009F6D1E">
        <w:t xml:space="preserve"> Разпределение на дела на емисиите на вредни вещества по основните групи</w:t>
      </w:r>
      <w:r w:rsidR="002F7510" w:rsidRPr="009F6D1E">
        <w:t xml:space="preserve"> </w:t>
      </w:r>
      <w:r w:rsidR="00E1629C" w:rsidRPr="009F6D1E">
        <w:t>източници през 20</w:t>
      </w:r>
      <w:r w:rsidR="00392283">
        <w:t>20</w:t>
      </w:r>
      <w:r w:rsidR="00E1629C" w:rsidRPr="009F6D1E">
        <w:t xml:space="preserve"> г., %</w:t>
      </w:r>
      <w:bookmarkEnd w:id="188"/>
      <w:bookmarkEnd w:id="189"/>
    </w:p>
    <w:p w14:paraId="5F6B1728" w14:textId="2F9AB753"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Съгласно представената на </w:t>
      </w:r>
      <w:r w:rsidR="003F3D71" w:rsidRPr="009F6D1E">
        <w:rPr>
          <w:rFonts w:cs="Times New Roman"/>
          <w:szCs w:val="24"/>
        </w:rPr>
        <w:fldChar w:fldCharType="begin"/>
      </w:r>
      <w:r w:rsidR="00032931" w:rsidRPr="009F6D1E">
        <w:rPr>
          <w:rFonts w:cs="Times New Roman"/>
          <w:szCs w:val="24"/>
        </w:rPr>
        <w:instrText xml:space="preserve"> REF _Ref107165397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13</w:t>
      </w:r>
      <w:r w:rsidR="003F3D71" w:rsidRPr="009F6D1E">
        <w:rPr>
          <w:rFonts w:cs="Times New Roman"/>
          <w:szCs w:val="24"/>
        </w:rPr>
        <w:fldChar w:fldCharType="end"/>
      </w:r>
      <w:r w:rsidRPr="009F6D1E">
        <w:rPr>
          <w:rFonts w:cs="Times New Roman"/>
          <w:szCs w:val="24"/>
        </w:rPr>
        <w:t xml:space="preserve"> информация може да се направи следното заключение:</w:t>
      </w:r>
    </w:p>
    <w:p w14:paraId="0641D8CE" w14:textId="77777777" w:rsidR="008E59EF" w:rsidRPr="008E59EF" w:rsidRDefault="008E59EF">
      <w:pPr>
        <w:numPr>
          <w:ilvl w:val="0"/>
          <w:numId w:val="37"/>
        </w:numPr>
        <w:autoSpaceDE w:val="0"/>
        <w:autoSpaceDN w:val="0"/>
        <w:adjustRightInd w:val="0"/>
        <w:spacing w:after="60" w:line="264" w:lineRule="auto"/>
        <w:contextualSpacing/>
        <w:jc w:val="both"/>
        <w:rPr>
          <w:rFonts w:cs="Times New Roman"/>
          <w:szCs w:val="24"/>
        </w:rPr>
      </w:pPr>
      <w:r w:rsidRPr="008E59EF">
        <w:rPr>
          <w:rFonts w:cs="Times New Roman"/>
          <w:szCs w:val="24"/>
        </w:rPr>
        <w:t>Топлоелектрическите централи (вкл. рафинерии) са един от най-големите източници на серен диоксид – 39% от общото емитирано в страната количество. През 2020 г. емисиите на серен диоксид от всички големи горивни инсталации намаляват с 7 хил. тона в сравнение 2019 г. - от 33,9 </w:t>
      </w:r>
      <w:proofErr w:type="spellStart"/>
      <w:r w:rsidRPr="008E59EF">
        <w:rPr>
          <w:rFonts w:cs="Times New Roman"/>
          <w:szCs w:val="24"/>
        </w:rPr>
        <w:t>kt</w:t>
      </w:r>
      <w:proofErr w:type="spellEnd"/>
      <w:r w:rsidRPr="008E59EF">
        <w:rPr>
          <w:rFonts w:cs="Times New Roman"/>
          <w:szCs w:val="24"/>
        </w:rPr>
        <w:t xml:space="preserve"> до 26,9 </w:t>
      </w:r>
      <w:proofErr w:type="spellStart"/>
      <w:r w:rsidRPr="008E59EF">
        <w:rPr>
          <w:rFonts w:cs="Times New Roman"/>
          <w:szCs w:val="24"/>
        </w:rPr>
        <w:t>kt</w:t>
      </w:r>
      <w:proofErr w:type="spellEnd"/>
      <w:r w:rsidRPr="008E59EF">
        <w:rPr>
          <w:rFonts w:cs="Times New Roman"/>
          <w:szCs w:val="24"/>
        </w:rPr>
        <w:t>.</w:t>
      </w:r>
    </w:p>
    <w:p w14:paraId="272703F2" w14:textId="77777777" w:rsidR="008E59EF" w:rsidRPr="008E59EF" w:rsidRDefault="008E59EF">
      <w:pPr>
        <w:numPr>
          <w:ilvl w:val="0"/>
          <w:numId w:val="37"/>
        </w:numPr>
        <w:autoSpaceDE w:val="0"/>
        <w:autoSpaceDN w:val="0"/>
        <w:adjustRightInd w:val="0"/>
        <w:spacing w:after="60" w:line="264" w:lineRule="auto"/>
        <w:contextualSpacing/>
        <w:jc w:val="both"/>
        <w:rPr>
          <w:rFonts w:cs="Times New Roman"/>
          <w:szCs w:val="24"/>
        </w:rPr>
      </w:pPr>
      <w:r w:rsidRPr="008E59EF">
        <w:rPr>
          <w:rFonts w:cs="Times New Roman"/>
          <w:szCs w:val="24"/>
        </w:rPr>
        <w:t>Основните източници на азотни оксиди са пътният транспорт - 39%, топлоелектрическите централи (вкл. рафинерии) - 15%, друг транспорт 13% и селско стопанство (най-голям дял има използването на неорганични азотни торове) – 20% .</w:t>
      </w:r>
    </w:p>
    <w:p w14:paraId="1ECF1BBB" w14:textId="77777777" w:rsidR="008E59EF" w:rsidRPr="008E59EF" w:rsidRDefault="008E59EF">
      <w:pPr>
        <w:numPr>
          <w:ilvl w:val="0"/>
          <w:numId w:val="37"/>
        </w:numPr>
        <w:autoSpaceDE w:val="0"/>
        <w:autoSpaceDN w:val="0"/>
        <w:adjustRightInd w:val="0"/>
        <w:spacing w:after="60" w:line="264" w:lineRule="auto"/>
        <w:contextualSpacing/>
        <w:jc w:val="both"/>
        <w:rPr>
          <w:rFonts w:cs="Times New Roman"/>
          <w:szCs w:val="24"/>
        </w:rPr>
      </w:pPr>
      <w:r w:rsidRPr="008E59EF">
        <w:rPr>
          <w:rFonts w:cs="Times New Roman"/>
          <w:szCs w:val="24"/>
        </w:rPr>
        <w:t>Селското стопанство емитира 87% от общото количество амоняк. Друг основен източник са негоривните производствени процеси - 10%.</w:t>
      </w:r>
    </w:p>
    <w:p w14:paraId="0A678CFC" w14:textId="77777777" w:rsidR="008E59EF" w:rsidRPr="008E59EF" w:rsidRDefault="008E59EF">
      <w:pPr>
        <w:numPr>
          <w:ilvl w:val="0"/>
          <w:numId w:val="37"/>
        </w:numPr>
        <w:autoSpaceDE w:val="0"/>
        <w:autoSpaceDN w:val="0"/>
        <w:adjustRightInd w:val="0"/>
        <w:spacing w:after="60" w:line="264" w:lineRule="auto"/>
        <w:contextualSpacing/>
        <w:jc w:val="both"/>
        <w:rPr>
          <w:rFonts w:cs="Times New Roman"/>
          <w:szCs w:val="24"/>
        </w:rPr>
      </w:pPr>
      <w:r w:rsidRPr="008E59EF">
        <w:rPr>
          <w:rFonts w:cs="Times New Roman"/>
          <w:szCs w:val="24"/>
        </w:rPr>
        <w:lastRenderedPageBreak/>
        <w:t>Основен антропогенен източник на NMVOC е битовото изгаряне - 29% от общото емитирано количество за страната. Друг основен източник са използваните разтворители - 19% и селското стопанство – 19%.</w:t>
      </w:r>
    </w:p>
    <w:p w14:paraId="41984DED" w14:textId="77777777" w:rsidR="008E59EF" w:rsidRPr="008E59EF" w:rsidRDefault="008E59EF">
      <w:pPr>
        <w:numPr>
          <w:ilvl w:val="0"/>
          <w:numId w:val="37"/>
        </w:numPr>
        <w:autoSpaceDE w:val="0"/>
        <w:autoSpaceDN w:val="0"/>
        <w:adjustRightInd w:val="0"/>
        <w:spacing w:after="60" w:line="264" w:lineRule="auto"/>
        <w:contextualSpacing/>
        <w:jc w:val="both"/>
        <w:rPr>
          <w:rFonts w:cs="Times New Roman"/>
          <w:szCs w:val="24"/>
        </w:rPr>
      </w:pPr>
      <w:r w:rsidRPr="008E59EF">
        <w:rPr>
          <w:rFonts w:cs="Times New Roman"/>
          <w:szCs w:val="24"/>
        </w:rPr>
        <w:t>Битовото отопление е основен източник на фини прахови частици, с 58% емисии от общото количество ФПЧ10 и 79% от ФПЧ2.5, изхвърляни в атмосферата. Другите  източници на ФПЧ10 са негоривните производствени процеси (основно от асфалтиране) и селското стопанство. За ФПЧ2.5 другия основен източник е пътния транспорт – 7%.</w:t>
      </w:r>
    </w:p>
    <w:p w14:paraId="13FD927A" w14:textId="77777777" w:rsidR="00E1629C" w:rsidRPr="009F6D1E" w:rsidRDefault="00E1629C" w:rsidP="0084747F">
      <w:pPr>
        <w:autoSpaceDE w:val="0"/>
        <w:autoSpaceDN w:val="0"/>
        <w:adjustRightInd w:val="0"/>
        <w:spacing w:after="60" w:line="264" w:lineRule="auto"/>
        <w:ind w:left="720"/>
        <w:contextualSpacing/>
        <w:jc w:val="both"/>
        <w:rPr>
          <w:rFonts w:cs="Times New Roman"/>
          <w:szCs w:val="24"/>
        </w:rPr>
      </w:pPr>
    </w:p>
    <w:p w14:paraId="01E8FDB5" w14:textId="77777777" w:rsidR="00E1629C" w:rsidRPr="009F6D1E" w:rsidRDefault="00E1629C">
      <w:pPr>
        <w:pStyle w:val="ListParagraph"/>
        <w:numPr>
          <w:ilvl w:val="0"/>
          <w:numId w:val="40"/>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Качество на атмосферния въздух</w:t>
      </w:r>
    </w:p>
    <w:p w14:paraId="6259C2BF" w14:textId="77777777" w:rsidR="00E1629C" w:rsidRPr="009F6D1E" w:rsidRDefault="00E1629C" w:rsidP="0084747F">
      <w:pPr>
        <w:autoSpaceDE w:val="0"/>
        <w:autoSpaceDN w:val="0"/>
        <w:adjustRightInd w:val="0"/>
        <w:spacing w:after="60" w:line="264" w:lineRule="auto"/>
        <w:ind w:left="360" w:firstLine="348"/>
        <w:contextualSpacing/>
        <w:jc w:val="both"/>
        <w:rPr>
          <w:rFonts w:cs="Times New Roman"/>
          <w:b/>
          <w:bCs/>
          <w:i/>
          <w:iCs/>
          <w:szCs w:val="24"/>
        </w:rPr>
      </w:pPr>
      <w:r w:rsidRPr="009F6D1E">
        <w:rPr>
          <w:rFonts w:cs="Times New Roman"/>
          <w:b/>
          <w:bCs/>
          <w:i/>
          <w:iCs/>
          <w:szCs w:val="24"/>
        </w:rPr>
        <w:t>Оценка на качеството на атмосферния въздух по райони</w:t>
      </w:r>
    </w:p>
    <w:p w14:paraId="289109DC" w14:textId="6BC88AA0"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Съгласно изискванията на националното и европейско законодателство територията на страната е разделена на шест Района за оценка и управление на качеството на атмосферния въздух (РОУКАВ) – Агломерация Столична, Агломерация Пловдив, Агломерация Варна, Северен/Дунавски, Югозападен и Югоизточен. Анализът на данните за качеството на атмосферния въздух (КАВ) се извършва по райони, като се отчита спецификата на всяко населено място, в което се извършва контрол – виж </w:t>
      </w:r>
      <w:r w:rsidR="003F3D71" w:rsidRPr="009F6D1E">
        <w:rPr>
          <w:rFonts w:cs="Times New Roman"/>
          <w:szCs w:val="24"/>
        </w:rPr>
        <w:fldChar w:fldCharType="begin"/>
      </w:r>
      <w:r w:rsidR="00032931" w:rsidRPr="009F6D1E">
        <w:rPr>
          <w:rFonts w:cs="Times New Roman"/>
          <w:szCs w:val="24"/>
        </w:rPr>
        <w:instrText xml:space="preserve"> REF _Ref107165447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14</w:t>
      </w:r>
      <w:r w:rsidR="003F3D71" w:rsidRPr="009F6D1E">
        <w:rPr>
          <w:rFonts w:cs="Times New Roman"/>
          <w:szCs w:val="24"/>
        </w:rPr>
        <w:fldChar w:fldCharType="end"/>
      </w:r>
      <w:r w:rsidRPr="009F6D1E">
        <w:rPr>
          <w:rFonts w:cs="Times New Roman"/>
          <w:szCs w:val="24"/>
        </w:rPr>
        <w:t xml:space="preserve"> по-долу.</w:t>
      </w:r>
    </w:p>
    <w:p w14:paraId="5F33F9B0" w14:textId="77777777" w:rsidR="00E1629C" w:rsidRPr="009F6D1E" w:rsidRDefault="00E1629C" w:rsidP="0084747F">
      <w:pPr>
        <w:autoSpaceDE w:val="0"/>
        <w:autoSpaceDN w:val="0"/>
        <w:adjustRightInd w:val="0"/>
        <w:spacing w:after="60" w:line="264" w:lineRule="auto"/>
        <w:jc w:val="both"/>
        <w:rPr>
          <w:rFonts w:cs="Times New Roman"/>
          <w:szCs w:val="24"/>
        </w:rPr>
      </w:pPr>
      <w:r w:rsidRPr="009F6D1E">
        <w:rPr>
          <w:rFonts w:cs="Times New Roman"/>
          <w:noProof/>
          <w:szCs w:val="24"/>
          <w:lang w:val="en-US"/>
        </w:rPr>
        <w:drawing>
          <wp:inline distT="0" distB="0" distL="0" distR="0" wp14:anchorId="4F28F257" wp14:editId="70E5D2E9">
            <wp:extent cx="5943600" cy="36017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943600" cy="3601720"/>
                    </a:xfrm>
                    <a:prstGeom prst="rect">
                      <a:avLst/>
                    </a:prstGeom>
                  </pic:spPr>
                </pic:pic>
              </a:graphicData>
            </a:graphic>
          </wp:inline>
        </w:drawing>
      </w:r>
    </w:p>
    <w:p w14:paraId="67FEBAB0" w14:textId="1FDEFEDE" w:rsidR="00E1629C" w:rsidRPr="00797B19" w:rsidRDefault="00032931" w:rsidP="00032931">
      <w:pPr>
        <w:pStyle w:val="Caption"/>
      </w:pPr>
      <w:bookmarkStart w:id="190" w:name="_Ref107165447"/>
      <w:bookmarkStart w:id="191" w:name="_Toc115255075"/>
      <w:r w:rsidRPr="009F6D1E">
        <w:t xml:space="preserve">Фигура </w:t>
      </w:r>
      <w:fldSimple w:instr=" SEQ Фигура \* ARABIC ">
        <w:r w:rsidR="00A43EF3">
          <w:rPr>
            <w:noProof/>
          </w:rPr>
          <w:t>14</w:t>
        </w:r>
      </w:fldSimple>
      <w:bookmarkEnd w:id="190"/>
      <w:r w:rsidRPr="009F6D1E">
        <w:t xml:space="preserve">: </w:t>
      </w:r>
      <w:r w:rsidR="00E1629C" w:rsidRPr="009F6D1E">
        <w:rPr>
          <w:b/>
          <w:bCs/>
        </w:rPr>
        <w:t xml:space="preserve"> </w:t>
      </w:r>
      <w:r w:rsidR="00E1629C" w:rsidRPr="009F6D1E">
        <w:t xml:space="preserve">Пунктове за </w:t>
      </w:r>
      <w:r w:rsidR="00E1629C" w:rsidRPr="00797B19">
        <w:t>мониторинг на качеството на атмосферния въздух на България, разпределени по райони за оценка и управление на КАВ</w:t>
      </w:r>
      <w:bookmarkEnd w:id="191"/>
    </w:p>
    <w:p w14:paraId="324CE567" w14:textId="77777777" w:rsidR="00AE604C" w:rsidRPr="009F6D1E" w:rsidRDefault="00AE604C" w:rsidP="0084747F">
      <w:pPr>
        <w:autoSpaceDE w:val="0"/>
        <w:autoSpaceDN w:val="0"/>
        <w:adjustRightInd w:val="0"/>
        <w:spacing w:after="60" w:line="264" w:lineRule="auto"/>
        <w:ind w:firstLine="708"/>
        <w:jc w:val="both"/>
        <w:rPr>
          <w:rFonts w:cs="Times New Roman"/>
          <w:color w:val="BF8F00" w:themeColor="accent4" w:themeShade="BF"/>
          <w:szCs w:val="24"/>
        </w:rPr>
      </w:pPr>
    </w:p>
    <w:p w14:paraId="3474A59A" w14:textId="77777777" w:rsidR="00797B19" w:rsidRPr="00797B19" w:rsidRDefault="00797B19" w:rsidP="00797B19">
      <w:pPr>
        <w:autoSpaceDE w:val="0"/>
        <w:autoSpaceDN w:val="0"/>
        <w:adjustRightInd w:val="0"/>
        <w:spacing w:after="60" w:line="264" w:lineRule="auto"/>
        <w:ind w:firstLine="708"/>
        <w:jc w:val="both"/>
        <w:rPr>
          <w:rFonts w:cs="Times New Roman"/>
          <w:szCs w:val="24"/>
        </w:rPr>
      </w:pPr>
      <w:r w:rsidRPr="00797B19">
        <w:rPr>
          <w:rFonts w:cs="Times New Roman"/>
          <w:szCs w:val="24"/>
        </w:rPr>
        <w:lastRenderedPageBreak/>
        <w:t xml:space="preserve">През 2020 г. в Националната Система за Мониторинг на Качеството на Атмосферния Въздух (НСМКАВ) са функционирали общо 48 стационарни пункта - 34 автоматични измервателни станции (АИС), 9 пункта с ръчно </w:t>
      </w:r>
      <w:proofErr w:type="spellStart"/>
      <w:r w:rsidRPr="00797B19">
        <w:rPr>
          <w:rFonts w:cs="Times New Roman"/>
          <w:szCs w:val="24"/>
        </w:rPr>
        <w:t>пробонабиране</w:t>
      </w:r>
      <w:proofErr w:type="spellEnd"/>
      <w:r w:rsidRPr="00797B19">
        <w:rPr>
          <w:rFonts w:cs="Times New Roman"/>
          <w:szCs w:val="24"/>
        </w:rPr>
        <w:t xml:space="preserve"> (РП) и последващ лабораторен анализ, 5 ДОАС системи (на принципа на диференциална оптична </w:t>
      </w:r>
      <w:proofErr w:type="spellStart"/>
      <w:r w:rsidRPr="00797B19">
        <w:rPr>
          <w:rFonts w:cs="Times New Roman"/>
          <w:szCs w:val="24"/>
        </w:rPr>
        <w:t>атомноабсорбционна</w:t>
      </w:r>
      <w:proofErr w:type="spellEnd"/>
      <w:r w:rsidRPr="00797B19">
        <w:rPr>
          <w:rFonts w:cs="Times New Roman"/>
          <w:szCs w:val="24"/>
        </w:rPr>
        <w:t xml:space="preserve"> </w:t>
      </w:r>
      <w:proofErr w:type="spellStart"/>
      <w:r w:rsidRPr="00797B19">
        <w:rPr>
          <w:rFonts w:cs="Times New Roman"/>
          <w:szCs w:val="24"/>
        </w:rPr>
        <w:t>спектрофотометрия</w:t>
      </w:r>
      <w:proofErr w:type="spellEnd"/>
      <w:r w:rsidRPr="00797B19">
        <w:rPr>
          <w:rFonts w:cs="Times New Roman"/>
          <w:szCs w:val="24"/>
        </w:rPr>
        <w:t>), разположени в градовете Свищов, Никопол, Силистра, Бургас и Ст. Загора (с. Ръжена).</w:t>
      </w:r>
    </w:p>
    <w:p w14:paraId="7A01E500" w14:textId="77777777" w:rsidR="00797B19" w:rsidRPr="00797B19" w:rsidRDefault="00797B19" w:rsidP="00797B19">
      <w:pPr>
        <w:autoSpaceDE w:val="0"/>
        <w:autoSpaceDN w:val="0"/>
        <w:adjustRightInd w:val="0"/>
        <w:spacing w:after="60" w:line="264" w:lineRule="auto"/>
        <w:ind w:firstLine="708"/>
        <w:jc w:val="both"/>
        <w:rPr>
          <w:rFonts w:cs="Times New Roman"/>
          <w:szCs w:val="24"/>
        </w:rPr>
      </w:pPr>
      <w:r w:rsidRPr="00797B19">
        <w:rPr>
          <w:rFonts w:cs="Times New Roman"/>
          <w:szCs w:val="24"/>
        </w:rPr>
        <w:t>Станциите са определени със заповед на министъра на околната среда и водите РД-489/26.06.2019 г. (http://eea.government.bg/bg/legislation/air/489_01_07.pdf). Пунктовете за мониторинг (ПМ) на качеството на атмосферния въздух са разположени в 34 населени места.  </w:t>
      </w:r>
    </w:p>
    <w:p w14:paraId="5B006A94" w14:textId="77777777" w:rsidR="00E1629C" w:rsidRPr="009F6D1E" w:rsidRDefault="00E1629C" w:rsidP="00797B19">
      <w:pPr>
        <w:autoSpaceDE w:val="0"/>
        <w:autoSpaceDN w:val="0"/>
        <w:adjustRightInd w:val="0"/>
        <w:spacing w:after="60" w:line="264" w:lineRule="auto"/>
        <w:ind w:firstLine="708"/>
        <w:jc w:val="both"/>
        <w:rPr>
          <w:rFonts w:cs="Times New Roman"/>
          <w:szCs w:val="24"/>
        </w:rPr>
      </w:pPr>
      <w:r w:rsidRPr="009F6D1E">
        <w:rPr>
          <w:rFonts w:cs="Times New Roman"/>
          <w:szCs w:val="24"/>
        </w:rPr>
        <w:t>По отношението КАВ през 2019 год. могат да бъдат направени следните заключения:</w:t>
      </w:r>
    </w:p>
    <w:p w14:paraId="7F2A4956" w14:textId="4657ED95"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 xml:space="preserve">В 13 от общо 28 общини, </w:t>
      </w:r>
      <w:proofErr w:type="spellStart"/>
      <w:r w:rsidRPr="00797B19">
        <w:rPr>
          <w:rFonts w:cs="Times New Roman"/>
          <w:szCs w:val="24"/>
        </w:rPr>
        <w:t>вкючени</w:t>
      </w:r>
      <w:proofErr w:type="spellEnd"/>
      <w:r w:rsidRPr="00797B19">
        <w:rPr>
          <w:rFonts w:cs="Times New Roman"/>
          <w:szCs w:val="24"/>
        </w:rPr>
        <w:t xml:space="preserve"> в наказателната процедура на Европейската комисия за неспазване на нормите по показател фини прахови частици, е постигнато съответствие с нормите за ФПЧ10 през 2020 г. – това са Гълъбово, Девня, Добрич, Пирдоп, Сливен, Стара Загора, Ловеч, Варна, Враца, Шумен, Димитровград, Кърджали и Несебър.</w:t>
      </w:r>
    </w:p>
    <w:p w14:paraId="144C6EE5" w14:textId="296CB577"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През 2020 г. средноденонощната норма за серен диоксид е спазена във всички РОУКАВ.</w:t>
      </w:r>
    </w:p>
    <w:p w14:paraId="5346FAF7" w14:textId="511F8E47"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През годината не е регистрирано превишение на средногодишната норма за бензен в нито един РОУКАВ.</w:t>
      </w:r>
    </w:p>
    <w:p w14:paraId="6516C346" w14:textId="601CD0E8"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 xml:space="preserve">През 2020 г. не е регистрирано превишение на средногодишната норма за </w:t>
      </w:r>
      <w:proofErr w:type="spellStart"/>
      <w:r w:rsidRPr="00797B19">
        <w:rPr>
          <w:rFonts w:cs="Times New Roman"/>
          <w:szCs w:val="24"/>
        </w:rPr>
        <w:t>бензо</w:t>
      </w:r>
      <w:proofErr w:type="spellEnd"/>
      <w:r w:rsidRPr="00797B19">
        <w:rPr>
          <w:rFonts w:cs="Times New Roman"/>
          <w:szCs w:val="24"/>
        </w:rPr>
        <w:t>(а)пирен в РОУКАВ – Агломерация Варна и РОУКАВ - Агломерация Пловдив.</w:t>
      </w:r>
    </w:p>
    <w:p w14:paraId="354E43B3" w14:textId="7DE394AC"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За всички пунктове, за които има достатъчен обхват на данни за изчисляване на средногодишната стойност през 2020 г., не е регистрирано превишение на средногодишната норма за азотен диоксид.</w:t>
      </w:r>
    </w:p>
    <w:p w14:paraId="1687F9C1" w14:textId="0312A26A"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Продължава тенденцията за превишение на СЧН за серен диоксид в гр. Гълъбово, но през 2020 г. регистрираните превишения (28 броя) са значително по-малко в сравнение с 2019 г. (95 броя). В гр. Гълъбово са регистрирани две превишения на алармения праг за серен диоксид през 2020 г. Средноденонощната норма за серен диоксид е спазена във всички пунктове в Югоизточен РОУКАВ. Основните източници на серен диоксид в Югоизточен РОУКАВ са топлоелектрическите централи от енергиен комплекс „Марица Изток“.</w:t>
      </w:r>
    </w:p>
    <w:p w14:paraId="79851EC7" w14:textId="3A361C02"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През 2020 г. е регистрирано превишение на целевата СГН за съдържание на кадмий в атмосферния въздух в един от 13-те пункта за мониторинг (пункт „Пирдоп“), които следят нивата на този показател.</w:t>
      </w:r>
    </w:p>
    <w:p w14:paraId="02FAA4F1" w14:textId="6DD7D4CB"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През годината не е регистрирано превишение на прага за предупреждение на населението за озон (три последователни концентрации над 240 µg/m</w:t>
      </w:r>
      <w:r w:rsidRPr="001909F5">
        <w:rPr>
          <w:rFonts w:cs="Times New Roman"/>
          <w:szCs w:val="24"/>
          <w:vertAlign w:val="superscript"/>
        </w:rPr>
        <w:t>3</w:t>
      </w:r>
      <w:r w:rsidRPr="00797B19">
        <w:rPr>
          <w:rFonts w:cs="Times New Roman"/>
          <w:szCs w:val="24"/>
        </w:rPr>
        <w:t>). Регистрирани са общо 7 превишения на прага за информиране на населението (180 µg/m3) в пункт „София - Дружба“ – 6 превишения, и в пункт „София - Копитото“ – 1.</w:t>
      </w:r>
    </w:p>
    <w:p w14:paraId="649673B6" w14:textId="2359A44F"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 xml:space="preserve">Замърсяването с ФПЧ10 продължава да бъде основен проблем за качеството на атмосферния въздух в страната и процентът на населението, живеещо при нива на </w:t>
      </w:r>
      <w:r w:rsidRPr="00797B19">
        <w:rPr>
          <w:rFonts w:cs="Times New Roman"/>
          <w:szCs w:val="24"/>
        </w:rPr>
        <w:lastRenderedPageBreak/>
        <w:t>замърсяване с ФПЧ10 над допустимите норми е много висок – 60.2% от 3.3 млн. население, живеещо в населени места, в които се контролира този замърсител. Изчисленията са извършени съгласно методика на Европейската агенция по околна среда. Методиката изчислява възможния максимум на евентуално засегнатото население, със следното допускане: във всяко населено място, в което е регистрирано превишение на нормата, цялото население е подложено на негативното влияние на прахови частици. При извършване на изчисленията по Методиката на ЕАОС засегнатото население е завишено.</w:t>
      </w:r>
    </w:p>
    <w:p w14:paraId="7AE1F5DE" w14:textId="58399178" w:rsidR="00797B19" w:rsidRPr="00797B19" w:rsidRDefault="00797B19">
      <w:pPr>
        <w:numPr>
          <w:ilvl w:val="0"/>
          <w:numId w:val="37"/>
        </w:numPr>
        <w:autoSpaceDE w:val="0"/>
        <w:autoSpaceDN w:val="0"/>
        <w:adjustRightInd w:val="0"/>
        <w:spacing w:after="60" w:line="264" w:lineRule="auto"/>
        <w:contextualSpacing/>
        <w:jc w:val="both"/>
        <w:rPr>
          <w:rFonts w:cs="Times New Roman"/>
          <w:szCs w:val="24"/>
        </w:rPr>
      </w:pPr>
      <w:r w:rsidRPr="00797B19">
        <w:rPr>
          <w:rFonts w:cs="Times New Roman"/>
          <w:szCs w:val="24"/>
        </w:rPr>
        <w:t xml:space="preserve">През 2020 г. в 7 от общо 16 пункта се наблюдава превишение на средногодишната норма по показател </w:t>
      </w:r>
      <w:proofErr w:type="spellStart"/>
      <w:r w:rsidRPr="00797B19">
        <w:rPr>
          <w:rFonts w:cs="Times New Roman"/>
          <w:szCs w:val="24"/>
        </w:rPr>
        <w:t>бензо</w:t>
      </w:r>
      <w:proofErr w:type="spellEnd"/>
      <w:r w:rsidRPr="00797B19">
        <w:rPr>
          <w:rFonts w:cs="Times New Roman"/>
          <w:szCs w:val="24"/>
        </w:rPr>
        <w:t>(а)пирен.</w:t>
      </w:r>
    </w:p>
    <w:p w14:paraId="4A4F4B1A" w14:textId="77777777" w:rsidR="00E1629C" w:rsidRPr="009F6D1E" w:rsidRDefault="00E1629C" w:rsidP="0084747F">
      <w:pPr>
        <w:autoSpaceDE w:val="0"/>
        <w:autoSpaceDN w:val="0"/>
        <w:adjustRightInd w:val="0"/>
        <w:spacing w:after="60" w:line="264" w:lineRule="auto"/>
        <w:ind w:left="720"/>
        <w:contextualSpacing/>
        <w:jc w:val="both"/>
        <w:rPr>
          <w:rFonts w:cs="Times New Roman"/>
          <w:szCs w:val="24"/>
        </w:rPr>
      </w:pPr>
    </w:p>
    <w:p w14:paraId="5F00EED9" w14:textId="77777777" w:rsidR="00E1629C" w:rsidRPr="009F6D1E" w:rsidRDefault="00E1629C" w:rsidP="0084747F">
      <w:pPr>
        <w:autoSpaceDE w:val="0"/>
        <w:autoSpaceDN w:val="0"/>
        <w:adjustRightInd w:val="0"/>
        <w:spacing w:after="60" w:line="264" w:lineRule="auto"/>
        <w:ind w:firstLine="360"/>
        <w:contextualSpacing/>
        <w:jc w:val="both"/>
        <w:rPr>
          <w:rFonts w:cs="Times New Roman"/>
          <w:i/>
          <w:iCs/>
          <w:szCs w:val="24"/>
        </w:rPr>
      </w:pPr>
      <w:r w:rsidRPr="009F6D1E">
        <w:rPr>
          <w:rFonts w:cs="Times New Roman"/>
          <w:b/>
          <w:bCs/>
          <w:i/>
          <w:iCs/>
          <w:szCs w:val="24"/>
        </w:rPr>
        <w:t>Оценка на качеството на атмосферния въздух по основни замърсители/индикатори</w:t>
      </w:r>
    </w:p>
    <w:p w14:paraId="41D7E2D5" w14:textId="77777777" w:rsidR="00E1629C" w:rsidRPr="009F6D1E" w:rsidRDefault="00E1629C">
      <w:pPr>
        <w:pStyle w:val="ListParagraph"/>
        <w:numPr>
          <w:ilvl w:val="0"/>
          <w:numId w:val="41"/>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Фини прахови частици</w:t>
      </w:r>
    </w:p>
    <w:p w14:paraId="1225E3B7"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Спрямо размера фините прахови частици се разделят на: ФПЧ10 - частици с диаметър под 10 микрона и ФПЧ2,5</w:t>
      </w:r>
      <w:r w:rsidRPr="009F6D1E">
        <w:rPr>
          <w:rFonts w:cs="Times New Roman"/>
          <w:szCs w:val="24"/>
          <w:vertAlign w:val="subscript"/>
        </w:rPr>
        <w:t xml:space="preserve"> </w:t>
      </w:r>
      <w:r w:rsidRPr="009F6D1E">
        <w:rPr>
          <w:rFonts w:cs="Times New Roman"/>
          <w:szCs w:val="24"/>
        </w:rPr>
        <w:t>– частици с диаметър под 2.5 микрона.</w:t>
      </w:r>
    </w:p>
    <w:p w14:paraId="529DB141"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Фините прахови частици се емитират директно в атмосферата (първични ФПЧ) или се формират в атмосферата (вторични ФПЧ). Главните </w:t>
      </w:r>
      <w:proofErr w:type="spellStart"/>
      <w:r w:rsidRPr="009F6D1E">
        <w:rPr>
          <w:rFonts w:cs="Times New Roman"/>
          <w:szCs w:val="24"/>
        </w:rPr>
        <w:t>прекурсорни</w:t>
      </w:r>
      <w:proofErr w:type="spellEnd"/>
      <w:r w:rsidRPr="009F6D1E">
        <w:rPr>
          <w:rFonts w:cs="Times New Roman"/>
          <w:szCs w:val="24"/>
        </w:rPr>
        <w:t xml:space="preserve"> газове за вторичните частици са SO</w:t>
      </w:r>
      <w:r w:rsidRPr="009F6D1E">
        <w:rPr>
          <w:rFonts w:cs="Times New Roman"/>
          <w:sz w:val="16"/>
          <w:szCs w:val="16"/>
        </w:rPr>
        <w:t>2</w:t>
      </w:r>
      <w:r w:rsidRPr="009F6D1E">
        <w:rPr>
          <w:rFonts w:cs="Times New Roman"/>
          <w:szCs w:val="24"/>
        </w:rPr>
        <w:t>, NO</w:t>
      </w:r>
      <w:r w:rsidRPr="009F6D1E">
        <w:rPr>
          <w:rFonts w:cs="Times New Roman"/>
          <w:sz w:val="16"/>
          <w:szCs w:val="16"/>
        </w:rPr>
        <w:t>X</w:t>
      </w:r>
      <w:r w:rsidRPr="009F6D1E">
        <w:rPr>
          <w:rFonts w:cs="Times New Roman"/>
          <w:szCs w:val="24"/>
        </w:rPr>
        <w:t>, NH</w:t>
      </w:r>
      <w:r w:rsidRPr="009F6D1E">
        <w:rPr>
          <w:rFonts w:cs="Times New Roman"/>
          <w:sz w:val="16"/>
          <w:szCs w:val="16"/>
        </w:rPr>
        <w:t xml:space="preserve">3 </w:t>
      </w:r>
      <w:r w:rsidRPr="009F6D1E">
        <w:rPr>
          <w:rFonts w:cs="Times New Roman"/>
          <w:szCs w:val="24"/>
        </w:rPr>
        <w:t>и летливи органични съединения.</w:t>
      </w:r>
    </w:p>
    <w:p w14:paraId="06A5F949"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Първичните фини прахови частици произхождат от природни източници или антропогенни източници. Природните източници включват морска сол, естествено суспендиран прах, полени, емисии от горски пожари и вулканична пепел. Антропогенните източници включват изгаряне на горива в термични електроцентрали, </w:t>
      </w:r>
      <w:proofErr w:type="spellStart"/>
      <w:r w:rsidRPr="009F6D1E">
        <w:rPr>
          <w:rFonts w:cs="Times New Roman"/>
          <w:szCs w:val="24"/>
        </w:rPr>
        <w:t>инсинератори</w:t>
      </w:r>
      <w:proofErr w:type="spellEnd"/>
      <w:r w:rsidRPr="009F6D1E">
        <w:rPr>
          <w:rFonts w:cs="Times New Roman"/>
          <w:szCs w:val="24"/>
        </w:rPr>
        <w:t>, битово отопление за домакинствата, изгаряне на горива за превозни средства, износване на превозните средства (гуми и спирачки), емисии от износване на пътните платна, както и други видове антропогенен прах. В градовете значителни местни източници са изгорели газове от автомобилите, повторно суспендиране на праха на пътя, както и изгарянето на дърва, горива или въглища за битово отопление. Това са всички източници, емитиращи близо до повърхността на земята, които водят до значително въздействие върху нивата на ФПЧ в околната среда.</w:t>
      </w:r>
    </w:p>
    <w:p w14:paraId="285923DD"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Фините прахови частици навлизат в дихателната система, като причиняват много здравословни проблеми. Те имат вреден ефект и върху околната среда – намаляват видимостта, влияят върху климата и могат да увредят и сградите в зависимост от състава си.</w:t>
      </w:r>
    </w:p>
    <w:p w14:paraId="7EC18D8E" w14:textId="77777777" w:rsidR="00E1629C" w:rsidRPr="009F6D1E" w:rsidRDefault="00E1629C">
      <w:pPr>
        <w:pStyle w:val="ListParagraph"/>
        <w:numPr>
          <w:ilvl w:val="0"/>
          <w:numId w:val="41"/>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Фини прахови частици (ФПЧ10)</w:t>
      </w:r>
    </w:p>
    <w:p w14:paraId="54CBC60E" w14:textId="1CA17AC6" w:rsidR="00E1629C" w:rsidRPr="009F6D1E" w:rsidRDefault="001909F5" w:rsidP="001909F5">
      <w:pPr>
        <w:autoSpaceDE w:val="0"/>
        <w:autoSpaceDN w:val="0"/>
        <w:adjustRightInd w:val="0"/>
        <w:spacing w:after="60" w:line="264" w:lineRule="auto"/>
        <w:ind w:firstLine="708"/>
        <w:jc w:val="both"/>
        <w:rPr>
          <w:rFonts w:cs="Times New Roman"/>
          <w:szCs w:val="24"/>
        </w:rPr>
      </w:pPr>
      <w:r w:rsidRPr="001909F5">
        <w:rPr>
          <w:rFonts w:cs="Times New Roman"/>
          <w:szCs w:val="24"/>
        </w:rPr>
        <w:t>През 2020 г. замърсяването на атмосферния въздух с ФПЧ10 продължава да бъде основен проблем за качеството на атмосферния въздух на национално ниво. Източник на регистрираните наднормени замърсявания са битовите, транспортните и промишлените дейности на територията на съответните общини, както и замърсените и лошо поддържани пътни настилки. Допълнителен принос към замърсяването на атмосферния въздух с прахови частици оказва и влиянието на неблагоприятните метеорологични условия в страната като продължителното време с ниска скорост на вятъра и продължителни засушавания</w:t>
      </w:r>
      <w:r w:rsidR="00E1629C" w:rsidRPr="009F6D1E">
        <w:rPr>
          <w:rFonts w:cs="Times New Roman"/>
          <w:szCs w:val="24"/>
        </w:rPr>
        <w:t>.</w:t>
      </w:r>
    </w:p>
    <w:p w14:paraId="2879D803" w14:textId="163ECB09" w:rsidR="00E1629C" w:rsidRPr="009F6D1E" w:rsidRDefault="0025183B" w:rsidP="0084747F">
      <w:pPr>
        <w:autoSpaceDE w:val="0"/>
        <w:autoSpaceDN w:val="0"/>
        <w:adjustRightInd w:val="0"/>
        <w:spacing w:after="60" w:line="264" w:lineRule="auto"/>
        <w:jc w:val="center"/>
        <w:rPr>
          <w:rFonts w:cs="Times New Roman"/>
          <w:color w:val="BF8F00" w:themeColor="accent4" w:themeShade="BF"/>
          <w:szCs w:val="24"/>
        </w:rPr>
      </w:pPr>
      <w:r w:rsidRPr="0025183B">
        <w:rPr>
          <w:rFonts w:cs="Times New Roman"/>
          <w:noProof/>
          <w:color w:val="BF8F00" w:themeColor="accent4" w:themeShade="BF"/>
          <w:szCs w:val="24"/>
          <w:lang w:val="en-US"/>
        </w:rPr>
        <w:lastRenderedPageBreak/>
        <w:drawing>
          <wp:inline distT="0" distB="0" distL="0" distR="0" wp14:anchorId="01FFC59B" wp14:editId="5070FAAC">
            <wp:extent cx="6120130" cy="3148965"/>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3148965"/>
                    </a:xfrm>
                    <a:prstGeom prst="rect">
                      <a:avLst/>
                    </a:prstGeom>
                  </pic:spPr>
                </pic:pic>
              </a:graphicData>
            </a:graphic>
          </wp:inline>
        </w:drawing>
      </w:r>
    </w:p>
    <w:p w14:paraId="47ACE6F8" w14:textId="6FD151B3" w:rsidR="00E1629C" w:rsidRPr="009F6D1E" w:rsidRDefault="00032931" w:rsidP="00032931">
      <w:pPr>
        <w:pStyle w:val="Caption"/>
      </w:pPr>
      <w:bookmarkStart w:id="192" w:name="_Toc115255076"/>
      <w:r w:rsidRPr="009F6D1E">
        <w:t xml:space="preserve">Фигура </w:t>
      </w:r>
      <w:fldSimple w:instr=" SEQ Фигура \* ARABIC ">
        <w:r w:rsidR="00A43EF3">
          <w:rPr>
            <w:noProof/>
          </w:rPr>
          <w:t>15</w:t>
        </w:r>
      </w:fldSimple>
      <w:r w:rsidRPr="009F6D1E">
        <w:t>:</w:t>
      </w:r>
      <w:r w:rsidR="00E1629C" w:rsidRPr="009F6D1E">
        <w:rPr>
          <w:b/>
          <w:bCs/>
          <w:color w:val="BF8F00" w:themeColor="accent4" w:themeShade="BF"/>
        </w:rPr>
        <w:t xml:space="preserve"> </w:t>
      </w:r>
      <w:r w:rsidR="00E1629C" w:rsidRPr="009F6D1E">
        <w:t>Пунктове за мониторинг на качеството на атмосферния въздух в България, измерващи ФПЧ10, разпределени по район за оценка и управление на КАВ</w:t>
      </w:r>
      <w:bookmarkEnd w:id="192"/>
    </w:p>
    <w:p w14:paraId="083A514D" w14:textId="77777777" w:rsidR="0025183B" w:rsidRPr="0025183B" w:rsidRDefault="0025183B" w:rsidP="0025183B">
      <w:pPr>
        <w:autoSpaceDE w:val="0"/>
        <w:autoSpaceDN w:val="0"/>
        <w:adjustRightInd w:val="0"/>
        <w:spacing w:after="60" w:line="264" w:lineRule="auto"/>
        <w:ind w:firstLine="708"/>
        <w:jc w:val="both"/>
        <w:rPr>
          <w:rFonts w:cs="Times New Roman"/>
          <w:szCs w:val="24"/>
        </w:rPr>
      </w:pPr>
      <w:r w:rsidRPr="0025183B">
        <w:rPr>
          <w:rFonts w:cs="Times New Roman"/>
          <w:szCs w:val="24"/>
        </w:rPr>
        <w:t>В двадесет от станциите (от общо 41), измерващи ФПЧ10, разположени в населени места, не са регистрирани превишения на средноденонощната норма. </w:t>
      </w:r>
    </w:p>
    <w:p w14:paraId="26F63D16" w14:textId="660742FB" w:rsidR="00E1629C" w:rsidRDefault="0025183B" w:rsidP="0025183B">
      <w:pPr>
        <w:autoSpaceDE w:val="0"/>
        <w:autoSpaceDN w:val="0"/>
        <w:adjustRightInd w:val="0"/>
        <w:spacing w:after="60" w:line="264" w:lineRule="auto"/>
        <w:ind w:firstLine="708"/>
        <w:jc w:val="both"/>
        <w:rPr>
          <w:rFonts w:cs="Times New Roman"/>
          <w:szCs w:val="24"/>
        </w:rPr>
      </w:pPr>
      <w:r w:rsidRPr="0025183B">
        <w:rPr>
          <w:rFonts w:cs="Times New Roman"/>
          <w:szCs w:val="24"/>
        </w:rPr>
        <w:t>Най-голям брой превишения на СДН през 2020 г са измерени в АИС „Пловдив – ж.к. Тракия“ – 84 превишения, АИС „Видин 2“ – 77 превишения, и в „Никопол“ ДОАС – 68 превишения. Във всички извънградски пунктове за мониторинг регистрираните превишения са под допустимия брой</w:t>
      </w:r>
      <w:r w:rsidR="00E1629C" w:rsidRPr="009F6D1E">
        <w:rPr>
          <w:rFonts w:cs="Times New Roman"/>
          <w:szCs w:val="24"/>
        </w:rPr>
        <w:t>.</w:t>
      </w:r>
    </w:p>
    <w:p w14:paraId="3FA1754B" w14:textId="77777777" w:rsidR="003446CF" w:rsidRPr="0025183B" w:rsidRDefault="003446CF" w:rsidP="0025183B">
      <w:pPr>
        <w:autoSpaceDE w:val="0"/>
        <w:autoSpaceDN w:val="0"/>
        <w:adjustRightInd w:val="0"/>
        <w:spacing w:after="60" w:line="264" w:lineRule="auto"/>
        <w:ind w:firstLine="708"/>
        <w:jc w:val="both"/>
        <w:rPr>
          <w:rFonts w:cs="Times New Roman"/>
          <w:szCs w:val="24"/>
        </w:rPr>
      </w:pPr>
    </w:p>
    <w:p w14:paraId="4F9241DE" w14:textId="62B77DCE" w:rsidR="00E1629C" w:rsidRPr="009F6D1E" w:rsidRDefault="0025183B" w:rsidP="0025183B">
      <w:pPr>
        <w:autoSpaceDE w:val="0"/>
        <w:autoSpaceDN w:val="0"/>
        <w:adjustRightInd w:val="0"/>
        <w:spacing w:after="60" w:line="264" w:lineRule="auto"/>
        <w:jc w:val="center"/>
        <w:rPr>
          <w:rFonts w:cs="Times New Roman"/>
          <w:color w:val="BF8F00" w:themeColor="accent4" w:themeShade="BF"/>
          <w:szCs w:val="24"/>
        </w:rPr>
      </w:pPr>
      <w:r w:rsidRPr="0025183B">
        <w:rPr>
          <w:rFonts w:cs="Times New Roman"/>
          <w:noProof/>
          <w:color w:val="BF8F00" w:themeColor="accent4" w:themeShade="BF"/>
          <w:szCs w:val="24"/>
          <w:lang w:val="en-US"/>
        </w:rPr>
        <w:lastRenderedPageBreak/>
        <w:drawing>
          <wp:inline distT="0" distB="0" distL="0" distR="0" wp14:anchorId="346243D8" wp14:editId="2F430C8C">
            <wp:extent cx="6120130" cy="3013364"/>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6016" cy="3016262"/>
                    </a:xfrm>
                    <a:prstGeom prst="rect">
                      <a:avLst/>
                    </a:prstGeom>
                  </pic:spPr>
                </pic:pic>
              </a:graphicData>
            </a:graphic>
          </wp:inline>
        </w:drawing>
      </w:r>
    </w:p>
    <w:p w14:paraId="483D2407" w14:textId="65D6B44A" w:rsidR="00E1629C" w:rsidRPr="009F6D1E" w:rsidRDefault="00032931" w:rsidP="00032931">
      <w:pPr>
        <w:pStyle w:val="Caption"/>
      </w:pPr>
      <w:bookmarkStart w:id="193" w:name="_Toc115255077"/>
      <w:r w:rsidRPr="009F6D1E">
        <w:t xml:space="preserve">Фигура </w:t>
      </w:r>
      <w:fldSimple w:instr=" SEQ Фигура \* ARABIC ">
        <w:r w:rsidR="00A43EF3">
          <w:rPr>
            <w:noProof/>
          </w:rPr>
          <w:t>16</w:t>
        </w:r>
      </w:fldSimple>
      <w:r w:rsidRPr="009F6D1E">
        <w:t xml:space="preserve">: </w:t>
      </w:r>
      <w:r w:rsidR="00E1629C" w:rsidRPr="009F6D1E">
        <w:t xml:space="preserve"> Брой превишения на СДН за ФПЧ10 през 20</w:t>
      </w:r>
      <w:r w:rsidR="0025183B">
        <w:t>20</w:t>
      </w:r>
      <w:r w:rsidR="00E1629C" w:rsidRPr="009F6D1E">
        <w:t xml:space="preserve"> г.</w:t>
      </w:r>
      <w:bookmarkEnd w:id="193"/>
    </w:p>
    <w:p w14:paraId="36ECD2C2" w14:textId="4E646355" w:rsidR="00E1629C" w:rsidRPr="0025183B" w:rsidRDefault="0025183B" w:rsidP="0025183B">
      <w:pPr>
        <w:autoSpaceDE w:val="0"/>
        <w:autoSpaceDN w:val="0"/>
        <w:adjustRightInd w:val="0"/>
        <w:spacing w:after="60" w:line="264" w:lineRule="auto"/>
        <w:ind w:firstLine="708"/>
        <w:jc w:val="both"/>
        <w:rPr>
          <w:rFonts w:cs="Times New Roman"/>
          <w:szCs w:val="24"/>
        </w:rPr>
      </w:pPr>
      <w:r w:rsidRPr="0025183B">
        <w:rPr>
          <w:rFonts w:cs="Times New Roman"/>
          <w:szCs w:val="24"/>
        </w:rPr>
        <w:t xml:space="preserve">На европейско ниво като индикатор за превишение на средноденонощната норма за ФПЧ10 се използва 90.4 </w:t>
      </w:r>
      <w:proofErr w:type="spellStart"/>
      <w:r w:rsidRPr="0025183B">
        <w:rPr>
          <w:rFonts w:cs="Times New Roman"/>
          <w:szCs w:val="24"/>
        </w:rPr>
        <w:t>перцентил</w:t>
      </w:r>
      <w:proofErr w:type="spellEnd"/>
      <w:r w:rsidRPr="0025183B">
        <w:rPr>
          <w:rFonts w:cs="Times New Roman"/>
          <w:szCs w:val="24"/>
        </w:rPr>
        <w:t xml:space="preserve">, който отговаря на 36-тата най-висока стойност. Ако стойността на 90.4 </w:t>
      </w:r>
      <w:proofErr w:type="spellStart"/>
      <w:r w:rsidRPr="0025183B">
        <w:rPr>
          <w:rFonts w:cs="Times New Roman"/>
          <w:szCs w:val="24"/>
        </w:rPr>
        <w:t>перцентил</w:t>
      </w:r>
      <w:proofErr w:type="spellEnd"/>
      <w:r w:rsidRPr="0025183B">
        <w:rPr>
          <w:rFonts w:cs="Times New Roman"/>
          <w:szCs w:val="24"/>
        </w:rPr>
        <w:t xml:space="preserve"> е под 50 µg/m</w:t>
      </w:r>
      <w:r w:rsidRPr="0025183B">
        <w:rPr>
          <w:rFonts w:cs="Times New Roman"/>
          <w:szCs w:val="24"/>
          <w:vertAlign w:val="superscript"/>
        </w:rPr>
        <w:t>3</w:t>
      </w:r>
      <w:r w:rsidRPr="0025183B">
        <w:rPr>
          <w:rFonts w:cs="Times New Roman"/>
          <w:szCs w:val="24"/>
        </w:rPr>
        <w:t>, нормата не е превишена, а ако е над 50 µg/m</w:t>
      </w:r>
      <w:r w:rsidRPr="0025183B">
        <w:rPr>
          <w:rFonts w:cs="Times New Roman"/>
          <w:szCs w:val="24"/>
          <w:vertAlign w:val="superscript"/>
        </w:rPr>
        <w:t>3</w:t>
      </w:r>
      <w:r w:rsidRPr="0025183B">
        <w:rPr>
          <w:rFonts w:cs="Times New Roman"/>
          <w:szCs w:val="24"/>
        </w:rPr>
        <w:t> – нормата е превишена.</w:t>
      </w:r>
    </w:p>
    <w:p w14:paraId="365E2588" w14:textId="36289D6F" w:rsidR="00E1629C" w:rsidRPr="009F6D1E" w:rsidRDefault="0025183B" w:rsidP="0084747F">
      <w:pPr>
        <w:autoSpaceDE w:val="0"/>
        <w:autoSpaceDN w:val="0"/>
        <w:adjustRightInd w:val="0"/>
        <w:spacing w:after="60" w:line="264" w:lineRule="auto"/>
        <w:jc w:val="center"/>
        <w:rPr>
          <w:rFonts w:cs="Times New Roman"/>
          <w:color w:val="BF8F00" w:themeColor="accent4" w:themeShade="BF"/>
          <w:szCs w:val="24"/>
        </w:rPr>
      </w:pPr>
      <w:r w:rsidRPr="0025183B">
        <w:rPr>
          <w:rFonts w:cs="Times New Roman"/>
          <w:noProof/>
          <w:color w:val="BF8F00" w:themeColor="accent4" w:themeShade="BF"/>
          <w:szCs w:val="24"/>
          <w:lang w:val="en-US"/>
        </w:rPr>
        <w:drawing>
          <wp:inline distT="0" distB="0" distL="0" distR="0" wp14:anchorId="4F2C7D12" wp14:editId="0BA8F002">
            <wp:extent cx="6120130" cy="3385185"/>
            <wp:effectExtent l="0" t="0" r="0" b="571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3385185"/>
                    </a:xfrm>
                    <a:prstGeom prst="rect">
                      <a:avLst/>
                    </a:prstGeom>
                  </pic:spPr>
                </pic:pic>
              </a:graphicData>
            </a:graphic>
          </wp:inline>
        </w:drawing>
      </w:r>
    </w:p>
    <w:p w14:paraId="54D2B011" w14:textId="7340167E" w:rsidR="00E1629C" w:rsidRPr="009F6D1E" w:rsidRDefault="00682AE5" w:rsidP="00682AE5">
      <w:pPr>
        <w:pStyle w:val="Caption"/>
        <w:rPr>
          <w:b/>
          <w:bCs/>
          <w:color w:val="BF8F00" w:themeColor="accent4" w:themeShade="BF"/>
        </w:rPr>
      </w:pPr>
      <w:bookmarkStart w:id="194" w:name="_Toc115255078"/>
      <w:r w:rsidRPr="009F6D1E">
        <w:t xml:space="preserve">Фигура </w:t>
      </w:r>
      <w:fldSimple w:instr=" SEQ Фигура \* ARABIC ">
        <w:r w:rsidR="00A43EF3">
          <w:rPr>
            <w:noProof/>
          </w:rPr>
          <w:t>17</w:t>
        </w:r>
      </w:fldSimple>
      <w:r w:rsidRPr="009F6D1E">
        <w:t xml:space="preserve">: </w:t>
      </w:r>
      <w:r w:rsidR="00E1629C" w:rsidRPr="009F6D1E">
        <w:t xml:space="preserve"> </w:t>
      </w:r>
      <w:proofErr w:type="spellStart"/>
      <w:r w:rsidR="00E1629C" w:rsidRPr="009F6D1E">
        <w:t>Перцентил</w:t>
      </w:r>
      <w:proofErr w:type="spellEnd"/>
      <w:r w:rsidR="00E1629C" w:rsidRPr="009F6D1E">
        <w:t xml:space="preserve"> 90,4, съответстващ на 36 най-висока стойност за ФПЧ10 по пунктове през 20</w:t>
      </w:r>
      <w:r w:rsidR="0025183B">
        <w:t>20</w:t>
      </w:r>
      <w:r w:rsidR="00E1629C" w:rsidRPr="009F6D1E">
        <w:t xml:space="preserve"> год.</w:t>
      </w:r>
      <w:bookmarkEnd w:id="194"/>
    </w:p>
    <w:p w14:paraId="31B957F7" w14:textId="0A105196" w:rsidR="00E1629C" w:rsidRPr="009F6D1E" w:rsidRDefault="0025183B" w:rsidP="0084747F">
      <w:pPr>
        <w:autoSpaceDE w:val="0"/>
        <w:autoSpaceDN w:val="0"/>
        <w:adjustRightInd w:val="0"/>
        <w:spacing w:after="60" w:line="264" w:lineRule="auto"/>
        <w:ind w:firstLine="708"/>
        <w:jc w:val="both"/>
        <w:rPr>
          <w:rFonts w:cs="Times New Roman"/>
          <w:szCs w:val="24"/>
        </w:rPr>
      </w:pPr>
      <w:r w:rsidRPr="0025183B">
        <w:rPr>
          <w:rFonts w:cs="Times New Roman"/>
          <w:szCs w:val="24"/>
        </w:rPr>
        <w:lastRenderedPageBreak/>
        <w:t xml:space="preserve">Най-високата стойност на средногодишната концентрация на ФПЧ10 през 2020 г. е регистрирана в АИС „Пловдив – ж.к. Тракия“ – 43.71 </w:t>
      </w:r>
      <w:proofErr w:type="spellStart"/>
      <w:r w:rsidRPr="0025183B">
        <w:rPr>
          <w:rFonts w:cs="Times New Roman"/>
          <w:szCs w:val="24"/>
        </w:rPr>
        <w:t>μg</w:t>
      </w:r>
      <w:proofErr w:type="spellEnd"/>
      <w:r w:rsidRPr="0025183B">
        <w:rPr>
          <w:rFonts w:cs="Times New Roman"/>
          <w:szCs w:val="24"/>
        </w:rPr>
        <w:t>/m</w:t>
      </w:r>
      <w:r w:rsidRPr="0025183B">
        <w:rPr>
          <w:rFonts w:cs="Times New Roman"/>
          <w:szCs w:val="24"/>
          <w:vertAlign w:val="superscript"/>
        </w:rPr>
        <w:t>3</w:t>
      </w:r>
      <w:r w:rsidRPr="0025183B">
        <w:rPr>
          <w:rFonts w:cs="Times New Roman"/>
          <w:szCs w:val="24"/>
        </w:rPr>
        <w:t>.Това е и единственият пункт за мониторинг, в който е превишена средногодишната норма за ФПЧ10 през годината.</w:t>
      </w:r>
    </w:p>
    <w:p w14:paraId="2E7065C4" w14:textId="2D39850A" w:rsidR="00E1629C" w:rsidRPr="009F6D1E" w:rsidRDefault="00FA332E" w:rsidP="0084747F">
      <w:pPr>
        <w:autoSpaceDE w:val="0"/>
        <w:autoSpaceDN w:val="0"/>
        <w:adjustRightInd w:val="0"/>
        <w:spacing w:after="60" w:line="264" w:lineRule="auto"/>
        <w:jc w:val="center"/>
        <w:rPr>
          <w:rFonts w:cs="Times New Roman"/>
          <w:color w:val="BF8F00" w:themeColor="accent4" w:themeShade="BF"/>
          <w:szCs w:val="24"/>
        </w:rPr>
      </w:pPr>
      <w:r w:rsidRPr="00FA332E">
        <w:rPr>
          <w:rFonts w:cs="Times New Roman"/>
          <w:noProof/>
          <w:color w:val="BF8F00" w:themeColor="accent4" w:themeShade="BF"/>
          <w:szCs w:val="24"/>
          <w:lang w:val="en-US"/>
        </w:rPr>
        <w:drawing>
          <wp:inline distT="0" distB="0" distL="0" distR="0" wp14:anchorId="12B18C0E" wp14:editId="3F819AAC">
            <wp:extent cx="6120130" cy="286194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2861945"/>
                    </a:xfrm>
                    <a:prstGeom prst="rect">
                      <a:avLst/>
                    </a:prstGeom>
                  </pic:spPr>
                </pic:pic>
              </a:graphicData>
            </a:graphic>
          </wp:inline>
        </w:drawing>
      </w:r>
    </w:p>
    <w:p w14:paraId="28FCCB2C" w14:textId="5B37AEB8" w:rsidR="00E1629C" w:rsidRPr="009F6D1E" w:rsidRDefault="00682AE5" w:rsidP="00682AE5">
      <w:pPr>
        <w:pStyle w:val="Caption"/>
        <w:rPr>
          <w:vertAlign w:val="superscript"/>
        </w:rPr>
      </w:pPr>
      <w:bookmarkStart w:id="195" w:name="_Toc115255079"/>
      <w:r w:rsidRPr="009F6D1E">
        <w:t xml:space="preserve">Фигура </w:t>
      </w:r>
      <w:fldSimple w:instr=" SEQ Фигура \* ARABIC ">
        <w:r w:rsidR="00A43EF3">
          <w:rPr>
            <w:noProof/>
          </w:rPr>
          <w:t>18</w:t>
        </w:r>
      </w:fldSimple>
      <w:r w:rsidRPr="009F6D1E">
        <w:t xml:space="preserve">: </w:t>
      </w:r>
      <w:r w:rsidR="00E1629C" w:rsidRPr="009F6D1E">
        <w:t xml:space="preserve"> Средногодишна концентрация на ФПЧ10 за 20</w:t>
      </w:r>
      <w:r w:rsidR="00FA332E">
        <w:t xml:space="preserve">20 </w:t>
      </w:r>
      <w:r w:rsidR="00E1629C" w:rsidRPr="009F6D1E">
        <w:t xml:space="preserve">в населени места, </w:t>
      </w:r>
      <w:proofErr w:type="spellStart"/>
      <w:r w:rsidR="00E1629C" w:rsidRPr="009F6D1E">
        <w:t>μg</w:t>
      </w:r>
      <w:proofErr w:type="spellEnd"/>
      <w:r w:rsidR="00E1629C" w:rsidRPr="009F6D1E">
        <w:t>/m</w:t>
      </w:r>
      <w:r w:rsidR="00E1629C" w:rsidRPr="009F6D1E">
        <w:rPr>
          <w:vertAlign w:val="superscript"/>
        </w:rPr>
        <w:t>3</w:t>
      </w:r>
      <w:bookmarkEnd w:id="195"/>
    </w:p>
    <w:p w14:paraId="050B2EF4" w14:textId="08A5B4C7" w:rsidR="00E1629C" w:rsidRPr="009F6D1E" w:rsidRDefault="00FA332E" w:rsidP="00FA332E">
      <w:pPr>
        <w:autoSpaceDE w:val="0"/>
        <w:autoSpaceDN w:val="0"/>
        <w:adjustRightInd w:val="0"/>
        <w:spacing w:after="60" w:line="264" w:lineRule="auto"/>
        <w:ind w:firstLine="708"/>
        <w:jc w:val="both"/>
        <w:rPr>
          <w:rFonts w:cs="Times New Roman"/>
          <w:szCs w:val="24"/>
        </w:rPr>
      </w:pPr>
      <w:r w:rsidRPr="00FA332E">
        <w:rPr>
          <w:rFonts w:cs="Times New Roman"/>
          <w:szCs w:val="24"/>
        </w:rPr>
        <w:t>През 2020 г. са регистрирани най-много превишения в станциите тип „градска транспортна“ и „крайградска фонова“. Не се наблюдават превишения над допустимия брой при извънградските фонови станции.</w:t>
      </w:r>
    </w:p>
    <w:p w14:paraId="1915038F" w14:textId="68DA2893" w:rsidR="00E1629C" w:rsidRPr="009F6D1E" w:rsidRDefault="002300EB" w:rsidP="0084747F">
      <w:pPr>
        <w:autoSpaceDE w:val="0"/>
        <w:autoSpaceDN w:val="0"/>
        <w:adjustRightInd w:val="0"/>
        <w:spacing w:after="60" w:line="264" w:lineRule="auto"/>
        <w:jc w:val="center"/>
        <w:rPr>
          <w:rFonts w:cs="Times New Roman"/>
          <w:color w:val="BF8F00" w:themeColor="accent4" w:themeShade="BF"/>
          <w:szCs w:val="24"/>
        </w:rPr>
      </w:pPr>
      <w:r w:rsidRPr="002300EB">
        <w:rPr>
          <w:rFonts w:cs="Times New Roman"/>
          <w:noProof/>
          <w:color w:val="BF8F00" w:themeColor="accent4" w:themeShade="BF"/>
          <w:szCs w:val="24"/>
          <w:lang w:val="en-US"/>
        </w:rPr>
        <w:drawing>
          <wp:inline distT="0" distB="0" distL="0" distR="0" wp14:anchorId="14536C9E" wp14:editId="0166F719">
            <wp:extent cx="6120130" cy="2031365"/>
            <wp:effectExtent l="0" t="0" r="0" b="6985"/>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2031365"/>
                    </a:xfrm>
                    <a:prstGeom prst="rect">
                      <a:avLst/>
                    </a:prstGeom>
                  </pic:spPr>
                </pic:pic>
              </a:graphicData>
            </a:graphic>
          </wp:inline>
        </w:drawing>
      </w:r>
    </w:p>
    <w:p w14:paraId="56365246" w14:textId="33007594" w:rsidR="00E1629C" w:rsidRPr="009F6D1E" w:rsidRDefault="0048747D" w:rsidP="0048747D">
      <w:pPr>
        <w:pStyle w:val="Caption"/>
        <w:rPr>
          <w:color w:val="BF8F00" w:themeColor="accent4" w:themeShade="BF"/>
        </w:rPr>
      </w:pPr>
      <w:bookmarkStart w:id="196" w:name="_Toc115255080"/>
      <w:r w:rsidRPr="009F6D1E">
        <w:t xml:space="preserve">Фигура </w:t>
      </w:r>
      <w:fldSimple w:instr=" SEQ Фигура \* ARABIC ">
        <w:r w:rsidR="00A43EF3">
          <w:rPr>
            <w:noProof/>
          </w:rPr>
          <w:t>19</w:t>
        </w:r>
      </w:fldSimple>
      <w:r w:rsidRPr="009F6D1E">
        <w:t xml:space="preserve">: </w:t>
      </w:r>
      <w:r w:rsidR="00E1629C" w:rsidRPr="009F6D1E">
        <w:rPr>
          <w:color w:val="BF8F00" w:themeColor="accent4" w:themeShade="BF"/>
        </w:rPr>
        <w:t xml:space="preserve"> </w:t>
      </w:r>
      <w:r w:rsidR="00E1629C" w:rsidRPr="009F6D1E">
        <w:t>Разпределение на броя на превишенията на средноденонощната норма за ФПЧ10 за 20</w:t>
      </w:r>
      <w:r w:rsidR="002300EB">
        <w:t>20</w:t>
      </w:r>
      <w:r w:rsidR="00E1629C" w:rsidRPr="009F6D1E">
        <w:t xml:space="preserve"> г. в зависимост от класификацията на областта и станцията</w:t>
      </w:r>
      <w:bookmarkEnd w:id="196"/>
      <w:r w:rsidR="00E1629C" w:rsidRPr="009F6D1E">
        <w:t xml:space="preserve"> </w:t>
      </w:r>
    </w:p>
    <w:p w14:paraId="6FB8989C" w14:textId="653FEECA" w:rsidR="002300EB" w:rsidRDefault="002300EB" w:rsidP="0084747F">
      <w:pPr>
        <w:autoSpaceDE w:val="0"/>
        <w:autoSpaceDN w:val="0"/>
        <w:adjustRightInd w:val="0"/>
        <w:spacing w:after="60" w:line="264" w:lineRule="auto"/>
        <w:ind w:firstLine="708"/>
        <w:jc w:val="both"/>
        <w:rPr>
          <w:rFonts w:cs="Times New Roman"/>
          <w:szCs w:val="24"/>
        </w:rPr>
      </w:pPr>
      <w:r w:rsidRPr="002300EB">
        <w:rPr>
          <w:rFonts w:cs="Times New Roman"/>
          <w:szCs w:val="24"/>
        </w:rPr>
        <w:t>От фигурата по-</w:t>
      </w:r>
      <w:proofErr w:type="spellStart"/>
      <w:r w:rsidR="000C7FEA">
        <w:rPr>
          <w:rFonts w:cs="Times New Roman"/>
          <w:szCs w:val="24"/>
        </w:rPr>
        <w:t>горе</w:t>
      </w:r>
      <w:r w:rsidRPr="002300EB">
        <w:rPr>
          <w:rFonts w:cs="Times New Roman"/>
          <w:szCs w:val="24"/>
        </w:rPr>
        <w:t>е</w:t>
      </w:r>
      <w:proofErr w:type="spellEnd"/>
      <w:r w:rsidRPr="002300EB">
        <w:rPr>
          <w:rFonts w:cs="Times New Roman"/>
          <w:szCs w:val="24"/>
        </w:rPr>
        <w:t xml:space="preserve"> видно, че единствено в АИС „Гълъбово“ през 2020 г. са регистрирани повече превишения през летния период (6 бр.), отколкото през зимния (1 бр.). Замърсяването с ФПЧ10 има ясно изразен сезонен характер. Превишения на средноденонощната норма за ФПЧ10 се наблюдават предимно през зимния период, поради използване на твърди горива за битово отопление. Неблагоприятните метеорологични условия също влияят върху концентрациите на ФПЧ10 – ниска скорост на вятъра, мъгла, температурна </w:t>
      </w:r>
      <w:r w:rsidRPr="002300EB">
        <w:rPr>
          <w:rFonts w:cs="Times New Roman"/>
          <w:szCs w:val="24"/>
        </w:rPr>
        <w:lastRenderedPageBreak/>
        <w:t>инверсия. Използването на материали/препарати за зимна поддръжка на пътищата също може да допринесе за повишаване на средноденонощните стойности на концентрацията на ФПЧ10 през зимния период. Чрез прилагане на Методиката за определяне на превишенията на средноденонощната норма на ФПЧ10, които могат да се отдадат на зимното осоляване на пътищата, е установено, че две от превишенията на средноденонощната норма за ФПЧ10 през 2020 г., по едно в АИС „Павлово“ и в АИС „ж.к. Тракия“, се дължат на зимно осоляване на пътищата.</w:t>
      </w:r>
    </w:p>
    <w:p w14:paraId="44BE6747" w14:textId="4847E83E" w:rsidR="002300EB" w:rsidRDefault="002300EB" w:rsidP="0084747F">
      <w:pPr>
        <w:autoSpaceDE w:val="0"/>
        <w:autoSpaceDN w:val="0"/>
        <w:adjustRightInd w:val="0"/>
        <w:spacing w:after="60" w:line="264" w:lineRule="auto"/>
        <w:ind w:firstLine="708"/>
        <w:jc w:val="both"/>
        <w:rPr>
          <w:rFonts w:cs="Times New Roman"/>
          <w:szCs w:val="24"/>
        </w:rPr>
      </w:pPr>
      <w:r w:rsidRPr="002300EB">
        <w:rPr>
          <w:rFonts w:cs="Times New Roman"/>
          <w:szCs w:val="24"/>
        </w:rPr>
        <w:t>Нивата на ФПЧ10 (средногодишни стойности на концентрацията на ФПЧ10 и брой превишения на средноденонощната норма) преди и след редукция на превишенията на СДН, регистрирани вследствие на зимното осоляване на пътищата в АИС „Павлово“ и АИС „ж.к. Тракия“ показват, че броят дни с превишение на СДН намалява вследствие на приспадане на концентрацията на ФПЧ10, дължаща се на зимно осоляване, но не се наблюдава значителна промяна на СГК на ФПЧ10.</w:t>
      </w:r>
    </w:p>
    <w:p w14:paraId="710093D5" w14:textId="3105F0E1" w:rsidR="00E1629C" w:rsidRPr="009F6D1E" w:rsidRDefault="002300EB" w:rsidP="0084747F">
      <w:pPr>
        <w:autoSpaceDE w:val="0"/>
        <w:autoSpaceDN w:val="0"/>
        <w:adjustRightInd w:val="0"/>
        <w:spacing w:after="60" w:line="264" w:lineRule="auto"/>
        <w:jc w:val="center"/>
        <w:rPr>
          <w:rFonts w:cs="Times New Roman"/>
          <w:color w:val="BF8F00" w:themeColor="accent4" w:themeShade="BF"/>
          <w:szCs w:val="24"/>
        </w:rPr>
      </w:pPr>
      <w:r w:rsidRPr="002300EB">
        <w:rPr>
          <w:rFonts w:cs="Times New Roman"/>
          <w:noProof/>
          <w:color w:val="BF8F00" w:themeColor="accent4" w:themeShade="BF"/>
          <w:szCs w:val="24"/>
          <w:lang w:val="en-US"/>
        </w:rPr>
        <w:drawing>
          <wp:inline distT="0" distB="0" distL="0" distR="0" wp14:anchorId="4BF6AAB9" wp14:editId="638A4CFB">
            <wp:extent cx="6120130" cy="250444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2504440"/>
                    </a:xfrm>
                    <a:prstGeom prst="rect">
                      <a:avLst/>
                    </a:prstGeom>
                  </pic:spPr>
                </pic:pic>
              </a:graphicData>
            </a:graphic>
          </wp:inline>
        </w:drawing>
      </w:r>
    </w:p>
    <w:p w14:paraId="3E3438BB" w14:textId="5E3A6448" w:rsidR="00E1629C" w:rsidRPr="009F6D1E" w:rsidRDefault="0048747D" w:rsidP="0048747D">
      <w:pPr>
        <w:pStyle w:val="Caption"/>
      </w:pPr>
      <w:bookmarkStart w:id="197" w:name="_Toc115255081"/>
      <w:r w:rsidRPr="009F6D1E">
        <w:t xml:space="preserve">Фигура </w:t>
      </w:r>
      <w:fldSimple w:instr=" SEQ Фигура \* ARABIC ">
        <w:r w:rsidR="00A43EF3">
          <w:rPr>
            <w:noProof/>
          </w:rPr>
          <w:t>20</w:t>
        </w:r>
      </w:fldSimple>
      <w:r w:rsidRPr="009F6D1E">
        <w:t xml:space="preserve">: </w:t>
      </w:r>
      <w:r w:rsidR="00E1629C" w:rsidRPr="009F6D1E">
        <w:t xml:space="preserve"> Брой на превишенията в населените места на СДН за ФПЧ10 за 20</w:t>
      </w:r>
      <w:r w:rsidR="000A3491">
        <w:t>20</w:t>
      </w:r>
      <w:r w:rsidR="00E1629C" w:rsidRPr="009F6D1E">
        <w:t xml:space="preserve"> г.,</w:t>
      </w:r>
      <w:r w:rsidRPr="009F6D1E">
        <w:t xml:space="preserve"> </w:t>
      </w:r>
      <w:r w:rsidR="00E1629C" w:rsidRPr="009F6D1E">
        <w:t>разпределени по зимен период (01.01 – 31.03.20</w:t>
      </w:r>
      <w:r w:rsidR="000A3491">
        <w:t>20</w:t>
      </w:r>
      <w:r w:rsidR="00E1629C" w:rsidRPr="009F6D1E">
        <w:t xml:space="preserve"> г.; 01.10 – 31.12.20</w:t>
      </w:r>
      <w:r w:rsidR="000A3491">
        <w:t>20</w:t>
      </w:r>
      <w:r w:rsidR="00E1629C" w:rsidRPr="009F6D1E">
        <w:t xml:space="preserve"> г.)</w:t>
      </w:r>
      <w:r w:rsidR="00AE604C" w:rsidRPr="009F6D1E">
        <w:t xml:space="preserve"> </w:t>
      </w:r>
      <w:r w:rsidR="00E1629C" w:rsidRPr="009F6D1E">
        <w:t>и летен период (01.04 – 31.09.20</w:t>
      </w:r>
      <w:r w:rsidR="000A3491">
        <w:t>20</w:t>
      </w:r>
      <w:r w:rsidR="00E1629C" w:rsidRPr="009F6D1E">
        <w:t xml:space="preserve"> г.)</w:t>
      </w:r>
      <w:bookmarkEnd w:id="197"/>
    </w:p>
    <w:p w14:paraId="74713C91" w14:textId="52A2AF08" w:rsidR="00E1629C" w:rsidRPr="009F6D1E" w:rsidRDefault="000A3491" w:rsidP="0084747F">
      <w:pPr>
        <w:autoSpaceDE w:val="0"/>
        <w:autoSpaceDN w:val="0"/>
        <w:adjustRightInd w:val="0"/>
        <w:spacing w:after="60" w:line="264" w:lineRule="auto"/>
        <w:ind w:firstLine="708"/>
        <w:jc w:val="both"/>
        <w:rPr>
          <w:rFonts w:cs="Times New Roman"/>
          <w:szCs w:val="24"/>
        </w:rPr>
      </w:pPr>
      <w:r w:rsidRPr="000A3491">
        <w:rPr>
          <w:rFonts w:cs="Times New Roman"/>
          <w:szCs w:val="24"/>
        </w:rPr>
        <w:t xml:space="preserve">Данните за ФПЧ10 в периода 2016-2020 г., регистрирани в част от пунктовете, разположени в населени места, показват тенденция към намаление на средногодишните концентрации и броя на превишенията на СДН </w:t>
      </w:r>
      <w:r w:rsidR="00E1629C" w:rsidRPr="000A3491">
        <w:rPr>
          <w:rFonts w:cs="Times New Roman"/>
          <w:szCs w:val="24"/>
        </w:rPr>
        <w:t>(</w:t>
      </w:r>
      <w:r w:rsidR="003F3D71" w:rsidRPr="009F6D1E">
        <w:rPr>
          <w:rFonts w:cs="Times New Roman"/>
          <w:szCs w:val="24"/>
        </w:rPr>
        <w:fldChar w:fldCharType="begin"/>
      </w:r>
      <w:r w:rsidR="0048747D" w:rsidRPr="000A3491">
        <w:rPr>
          <w:rFonts w:cs="Times New Roman"/>
          <w:szCs w:val="24"/>
        </w:rPr>
        <w:instrText xml:space="preserve"> REF _Ref107166004 \h </w:instrText>
      </w:r>
      <w:r>
        <w:rPr>
          <w:rFonts w:cs="Times New Roman"/>
          <w:szCs w:val="24"/>
        </w:rPr>
        <w:instrText xml:space="preserve"> \* MERGEFORMAT </w:instrText>
      </w:r>
      <w:r w:rsidR="003F3D71" w:rsidRPr="009F6D1E">
        <w:rPr>
          <w:rFonts w:cs="Times New Roman"/>
          <w:szCs w:val="24"/>
        </w:rPr>
      </w:r>
      <w:r w:rsidR="003F3D71" w:rsidRPr="009F6D1E">
        <w:rPr>
          <w:rFonts w:cs="Times New Roman"/>
          <w:szCs w:val="24"/>
        </w:rPr>
        <w:fldChar w:fldCharType="separate"/>
      </w:r>
      <w:r w:rsidR="00A43EF3" w:rsidRPr="00A43EF3">
        <w:rPr>
          <w:rFonts w:cs="Times New Roman"/>
          <w:szCs w:val="24"/>
        </w:rPr>
        <w:t>Фигура 21</w:t>
      </w:r>
      <w:r w:rsidR="003F3D71" w:rsidRPr="009F6D1E">
        <w:rPr>
          <w:rFonts w:cs="Times New Roman"/>
          <w:szCs w:val="24"/>
        </w:rPr>
        <w:fldChar w:fldCharType="end"/>
      </w:r>
      <w:r w:rsidR="0048747D" w:rsidRPr="009F6D1E">
        <w:rPr>
          <w:rFonts w:cs="Times New Roman"/>
          <w:szCs w:val="24"/>
        </w:rPr>
        <w:t xml:space="preserve"> и фиг. </w:t>
      </w:r>
      <w:r w:rsidR="003F3D71" w:rsidRPr="009F6D1E">
        <w:rPr>
          <w:rFonts w:cs="Times New Roman"/>
          <w:szCs w:val="24"/>
        </w:rPr>
        <w:fldChar w:fldCharType="begin"/>
      </w:r>
      <w:r w:rsidR="0048747D" w:rsidRPr="009F6D1E">
        <w:rPr>
          <w:rFonts w:cs="Times New Roman"/>
          <w:szCs w:val="24"/>
        </w:rPr>
        <w:instrText xml:space="preserve"> REF _Ref107166010 \h </w:instrText>
      </w:r>
      <w:r>
        <w:rPr>
          <w:rFonts w:cs="Times New Roman"/>
          <w:szCs w:val="24"/>
        </w:rPr>
        <w:instrText xml:space="preserve"> \* MERGEFORMAT </w:instrText>
      </w:r>
      <w:r w:rsidR="003F3D71" w:rsidRPr="009F6D1E">
        <w:rPr>
          <w:rFonts w:cs="Times New Roman"/>
          <w:szCs w:val="24"/>
        </w:rPr>
      </w:r>
      <w:r w:rsidR="003F3D71" w:rsidRPr="009F6D1E">
        <w:rPr>
          <w:rFonts w:cs="Times New Roman"/>
          <w:szCs w:val="24"/>
        </w:rPr>
        <w:fldChar w:fldCharType="separate"/>
      </w:r>
      <w:r w:rsidR="00A43EF3" w:rsidRPr="00A43EF3">
        <w:rPr>
          <w:rFonts w:cs="Times New Roman"/>
          <w:szCs w:val="24"/>
        </w:rPr>
        <w:t>Фигура 22</w:t>
      </w:r>
      <w:r w:rsidR="003F3D71" w:rsidRPr="009F6D1E">
        <w:rPr>
          <w:rFonts w:cs="Times New Roman"/>
          <w:szCs w:val="24"/>
        </w:rPr>
        <w:fldChar w:fldCharType="end"/>
      </w:r>
      <w:r w:rsidR="00E1629C" w:rsidRPr="009F6D1E">
        <w:rPr>
          <w:rFonts w:cs="Times New Roman"/>
          <w:szCs w:val="24"/>
        </w:rPr>
        <w:t>).</w:t>
      </w:r>
    </w:p>
    <w:p w14:paraId="372D7053" w14:textId="0776F762" w:rsidR="00E1629C" w:rsidRPr="009F6D1E" w:rsidRDefault="000A3491" w:rsidP="0084747F">
      <w:pPr>
        <w:autoSpaceDE w:val="0"/>
        <w:autoSpaceDN w:val="0"/>
        <w:adjustRightInd w:val="0"/>
        <w:spacing w:after="60" w:line="264" w:lineRule="auto"/>
        <w:jc w:val="center"/>
        <w:rPr>
          <w:rFonts w:cs="Times New Roman"/>
          <w:color w:val="BF8F00" w:themeColor="accent4" w:themeShade="BF"/>
          <w:szCs w:val="24"/>
        </w:rPr>
      </w:pPr>
      <w:r w:rsidRPr="000A3491">
        <w:rPr>
          <w:rFonts w:cs="Times New Roman"/>
          <w:noProof/>
          <w:color w:val="BF8F00" w:themeColor="accent4" w:themeShade="BF"/>
          <w:szCs w:val="24"/>
          <w:lang w:val="en-US"/>
        </w:rPr>
        <w:lastRenderedPageBreak/>
        <w:drawing>
          <wp:inline distT="0" distB="0" distL="0" distR="0" wp14:anchorId="79FD1994" wp14:editId="0A71229E">
            <wp:extent cx="6120130" cy="1831975"/>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1831975"/>
                    </a:xfrm>
                    <a:prstGeom prst="rect">
                      <a:avLst/>
                    </a:prstGeom>
                  </pic:spPr>
                </pic:pic>
              </a:graphicData>
            </a:graphic>
          </wp:inline>
        </w:drawing>
      </w:r>
    </w:p>
    <w:p w14:paraId="653AFE7C" w14:textId="56522E91" w:rsidR="00E1629C" w:rsidRDefault="0048747D" w:rsidP="0048747D">
      <w:pPr>
        <w:pStyle w:val="Caption"/>
      </w:pPr>
      <w:bookmarkStart w:id="198" w:name="_Ref107166004"/>
      <w:bookmarkStart w:id="199" w:name="_Toc115255082"/>
      <w:r w:rsidRPr="009F6D1E">
        <w:t xml:space="preserve">Фигура </w:t>
      </w:r>
      <w:fldSimple w:instr=" SEQ Фигура \* ARABIC ">
        <w:r w:rsidR="00A43EF3">
          <w:rPr>
            <w:noProof/>
          </w:rPr>
          <w:t>21</w:t>
        </w:r>
      </w:fldSimple>
      <w:bookmarkEnd w:id="198"/>
      <w:r w:rsidRPr="009F6D1E">
        <w:t xml:space="preserve">: </w:t>
      </w:r>
      <w:r w:rsidR="00E1629C" w:rsidRPr="009F6D1E">
        <w:rPr>
          <w:color w:val="BF8F00" w:themeColor="accent4" w:themeShade="BF"/>
        </w:rPr>
        <w:t xml:space="preserve"> </w:t>
      </w:r>
      <w:r w:rsidR="00E1629C" w:rsidRPr="009F6D1E">
        <w:t>Брой превишения на СДН на ФПЧ10 за периода 201</w:t>
      </w:r>
      <w:r w:rsidR="000A3491">
        <w:t>6</w:t>
      </w:r>
      <w:r w:rsidR="00E1629C" w:rsidRPr="009F6D1E">
        <w:t xml:space="preserve"> – 20</w:t>
      </w:r>
      <w:r w:rsidR="000A3491">
        <w:t>20</w:t>
      </w:r>
      <w:r w:rsidR="00E1629C" w:rsidRPr="009F6D1E">
        <w:t xml:space="preserve"> г.</w:t>
      </w:r>
      <w:bookmarkEnd w:id="199"/>
    </w:p>
    <w:p w14:paraId="4AA2ACF6" w14:textId="77777777" w:rsidR="000A3491" w:rsidRPr="000A3491" w:rsidRDefault="000A3491" w:rsidP="000A3491"/>
    <w:p w14:paraId="2341CF30" w14:textId="77777777" w:rsidR="00E1629C" w:rsidRPr="009F6D1E" w:rsidRDefault="00E1629C" w:rsidP="0084747F">
      <w:pPr>
        <w:autoSpaceDE w:val="0"/>
        <w:autoSpaceDN w:val="0"/>
        <w:adjustRightInd w:val="0"/>
        <w:spacing w:after="60" w:line="264" w:lineRule="auto"/>
        <w:jc w:val="center"/>
        <w:rPr>
          <w:rFonts w:cs="Times New Roman"/>
          <w:szCs w:val="24"/>
        </w:rPr>
      </w:pPr>
    </w:p>
    <w:p w14:paraId="2EB62CBF" w14:textId="517CB444" w:rsidR="00E1629C" w:rsidRPr="009F6D1E" w:rsidRDefault="000A3491" w:rsidP="0084747F">
      <w:pPr>
        <w:autoSpaceDE w:val="0"/>
        <w:autoSpaceDN w:val="0"/>
        <w:adjustRightInd w:val="0"/>
        <w:spacing w:after="60" w:line="264" w:lineRule="auto"/>
        <w:jc w:val="center"/>
        <w:rPr>
          <w:rFonts w:cs="Times New Roman"/>
          <w:szCs w:val="24"/>
        </w:rPr>
      </w:pPr>
      <w:r w:rsidRPr="000A3491">
        <w:rPr>
          <w:rFonts w:cs="Times New Roman"/>
          <w:noProof/>
          <w:szCs w:val="24"/>
          <w:lang w:val="en-US"/>
        </w:rPr>
        <w:drawing>
          <wp:inline distT="0" distB="0" distL="0" distR="0" wp14:anchorId="381C6374" wp14:editId="29E7F892">
            <wp:extent cx="6120130" cy="1768475"/>
            <wp:effectExtent l="0" t="0" r="0" b="3175"/>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1768475"/>
                    </a:xfrm>
                    <a:prstGeom prst="rect">
                      <a:avLst/>
                    </a:prstGeom>
                  </pic:spPr>
                </pic:pic>
              </a:graphicData>
            </a:graphic>
          </wp:inline>
        </w:drawing>
      </w:r>
    </w:p>
    <w:p w14:paraId="1DDF59BB" w14:textId="5A688CD1" w:rsidR="00E1629C" w:rsidRPr="009F6D1E" w:rsidRDefault="0048747D" w:rsidP="0048747D">
      <w:pPr>
        <w:pStyle w:val="Caption"/>
        <w:rPr>
          <w:b/>
          <w:bCs/>
        </w:rPr>
      </w:pPr>
      <w:bookmarkStart w:id="200" w:name="_Ref107166010"/>
      <w:bookmarkStart w:id="201" w:name="_Toc115255083"/>
      <w:r w:rsidRPr="009F6D1E">
        <w:t xml:space="preserve">Фигура </w:t>
      </w:r>
      <w:fldSimple w:instr=" SEQ Фигура \* ARABIC ">
        <w:r w:rsidR="00A43EF3">
          <w:rPr>
            <w:noProof/>
          </w:rPr>
          <w:t>22</w:t>
        </w:r>
      </w:fldSimple>
      <w:bookmarkEnd w:id="200"/>
      <w:r w:rsidRPr="009F6D1E">
        <w:t xml:space="preserve">: </w:t>
      </w:r>
      <w:r w:rsidR="00E1629C" w:rsidRPr="009F6D1E">
        <w:t xml:space="preserve"> Средногодишна концентрация на ФПЧ10 за периода 20</w:t>
      </w:r>
      <w:r w:rsidR="000A3491">
        <w:t>16</w:t>
      </w:r>
      <w:r w:rsidR="00E1629C" w:rsidRPr="009F6D1E">
        <w:t xml:space="preserve"> – 20</w:t>
      </w:r>
      <w:r w:rsidR="000A3491">
        <w:t>20</w:t>
      </w:r>
      <w:r w:rsidR="00E1629C" w:rsidRPr="009F6D1E">
        <w:t xml:space="preserve"> г. , </w:t>
      </w:r>
      <w:proofErr w:type="spellStart"/>
      <w:r w:rsidR="00E1629C" w:rsidRPr="009F6D1E">
        <w:t>μg</w:t>
      </w:r>
      <w:proofErr w:type="spellEnd"/>
      <w:r w:rsidR="00E1629C" w:rsidRPr="009F6D1E">
        <w:t>/m</w:t>
      </w:r>
      <w:r w:rsidR="00E1629C" w:rsidRPr="009F6D1E">
        <w:rPr>
          <w:b/>
          <w:bCs/>
          <w:vertAlign w:val="superscript"/>
        </w:rPr>
        <w:t>3</w:t>
      </w:r>
      <w:bookmarkEnd w:id="201"/>
    </w:p>
    <w:p w14:paraId="21F154DB" w14:textId="77777777" w:rsidR="000A3491" w:rsidRPr="000A3491" w:rsidRDefault="000A3491" w:rsidP="000A3491">
      <w:pPr>
        <w:autoSpaceDE w:val="0"/>
        <w:autoSpaceDN w:val="0"/>
        <w:adjustRightInd w:val="0"/>
        <w:spacing w:after="60" w:line="264" w:lineRule="auto"/>
        <w:ind w:firstLine="708"/>
        <w:jc w:val="both"/>
        <w:rPr>
          <w:rFonts w:cs="Times New Roman"/>
          <w:szCs w:val="24"/>
        </w:rPr>
      </w:pPr>
      <w:r w:rsidRPr="000A3491">
        <w:rPr>
          <w:rFonts w:cs="Times New Roman"/>
          <w:szCs w:val="24"/>
        </w:rPr>
        <w:t>В периода 2016-2020 г. в пунктовете – „София – Дружба“, „Ловеч“, „Русе – Възраждане“ и „Кърджали – Студен Кладенец“ има ясно изразена тенденция към намаление на средногодишните стойности на концентрацията на ФПЧ10 и регистрирания брой превишения на СДН за ФПЧ10. Единствено в „Русе – Възраждане“ и „Кърджали – Студен Кладенец“ се наблюдава увеличение на броя превишения на средноденонощната норма за този замърсител през 2020 г. в сравнение с 2019 г., но въпреки това СДН за ФПЧ10 остава спазена през 2020 г. в „Кърджали – Студен Кладенец“.</w:t>
      </w:r>
    </w:p>
    <w:p w14:paraId="42510E48" w14:textId="77777777" w:rsidR="000A3491" w:rsidRPr="000A3491" w:rsidRDefault="000A3491" w:rsidP="000A3491">
      <w:pPr>
        <w:autoSpaceDE w:val="0"/>
        <w:autoSpaceDN w:val="0"/>
        <w:adjustRightInd w:val="0"/>
        <w:spacing w:after="60" w:line="264" w:lineRule="auto"/>
        <w:ind w:firstLine="708"/>
        <w:jc w:val="both"/>
        <w:rPr>
          <w:rFonts w:cs="Times New Roman"/>
          <w:szCs w:val="24"/>
        </w:rPr>
      </w:pPr>
      <w:r w:rsidRPr="000A3491">
        <w:rPr>
          <w:rFonts w:cs="Times New Roman"/>
          <w:szCs w:val="24"/>
        </w:rPr>
        <w:t>Замърсяването с фини прахови частици е основен проблем за Република България по отношение на качеството на атмосферния въздух. Въпреки понижаването на регистрираните стойности на концентрацията на ФПЧ10 през последните години, качеството на въздуха по този показател все още е незадоволително. </w:t>
      </w:r>
    </w:p>
    <w:p w14:paraId="1F9898A1" w14:textId="77777777" w:rsidR="00AE604C" w:rsidRPr="009F6D1E" w:rsidRDefault="00AE604C" w:rsidP="0084747F">
      <w:pPr>
        <w:autoSpaceDE w:val="0"/>
        <w:autoSpaceDN w:val="0"/>
        <w:adjustRightInd w:val="0"/>
        <w:spacing w:after="60" w:line="264" w:lineRule="auto"/>
        <w:jc w:val="both"/>
        <w:rPr>
          <w:rFonts w:cs="Times New Roman"/>
          <w:b/>
          <w:bCs/>
          <w:szCs w:val="24"/>
        </w:rPr>
      </w:pPr>
    </w:p>
    <w:p w14:paraId="3C242909" w14:textId="77777777" w:rsidR="00E1629C" w:rsidRPr="009F6D1E" w:rsidRDefault="00E1629C">
      <w:pPr>
        <w:pStyle w:val="ListParagraph"/>
        <w:numPr>
          <w:ilvl w:val="0"/>
          <w:numId w:val="41"/>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Фини прахови частици (ФПЧ2.5)</w:t>
      </w:r>
    </w:p>
    <w:p w14:paraId="0DF8CA63" w14:textId="67015AC9" w:rsidR="00E1629C" w:rsidRPr="009F6D1E" w:rsidRDefault="00182731" w:rsidP="0084747F">
      <w:pPr>
        <w:autoSpaceDE w:val="0"/>
        <w:autoSpaceDN w:val="0"/>
        <w:adjustRightInd w:val="0"/>
        <w:spacing w:after="60" w:line="264" w:lineRule="auto"/>
        <w:ind w:firstLine="708"/>
        <w:jc w:val="both"/>
        <w:rPr>
          <w:rFonts w:cs="Times New Roman"/>
          <w:szCs w:val="24"/>
        </w:rPr>
      </w:pPr>
      <w:r w:rsidRPr="00182731">
        <w:rPr>
          <w:rFonts w:cs="Times New Roman"/>
          <w:szCs w:val="24"/>
        </w:rPr>
        <w:t xml:space="preserve">През 2020 г. показателят ФПЧ2.5 е контролиран в 10 пункта за мониторинг на КАВ: София – АИС ”Хиподрума”, София – АИС ”Копитото”, АИС „Витиня“, Перник - „Църква”, Пловдив – АИС ”Каменица”, Ст. Загора - ”РИОСВ”, Варна - АИС ”СОУ Ангел Кънчев”,  Русе </w:t>
      </w:r>
      <w:r w:rsidRPr="00182731">
        <w:rPr>
          <w:rFonts w:cs="Times New Roman"/>
          <w:szCs w:val="24"/>
        </w:rPr>
        <w:lastRenderedPageBreak/>
        <w:t>– АИС ”Възраждане”, В. Търново - ”РИОСВ”, КФС - „Рожен”,  разположени съответно във всички РОУКАВ. Средногодишната норма от 20 µg/m3 е спазена във всички пунктове, в които са регистрирани достатъчно валидни данни (над 75%) за изчисляване на средногодишна стойност</w:t>
      </w:r>
      <w:r w:rsidR="00E1629C" w:rsidRPr="009F6D1E">
        <w:rPr>
          <w:rFonts w:cs="Times New Roman"/>
          <w:szCs w:val="24"/>
        </w:rPr>
        <w:t>.</w:t>
      </w:r>
    </w:p>
    <w:p w14:paraId="1C78FE1A" w14:textId="3B86261E" w:rsidR="00E1629C" w:rsidRPr="009F6D1E" w:rsidRDefault="00AC0886" w:rsidP="0084747F">
      <w:pPr>
        <w:autoSpaceDE w:val="0"/>
        <w:autoSpaceDN w:val="0"/>
        <w:adjustRightInd w:val="0"/>
        <w:spacing w:after="60" w:line="264" w:lineRule="auto"/>
        <w:jc w:val="center"/>
        <w:rPr>
          <w:rFonts w:cs="Times New Roman"/>
          <w:color w:val="BF8F00" w:themeColor="accent4" w:themeShade="BF"/>
          <w:szCs w:val="24"/>
        </w:rPr>
      </w:pPr>
      <w:r w:rsidRPr="00AC0886">
        <w:rPr>
          <w:rFonts w:cs="Times New Roman"/>
          <w:noProof/>
          <w:color w:val="BF8F00" w:themeColor="accent4" w:themeShade="BF"/>
          <w:szCs w:val="24"/>
          <w:lang w:val="en-US"/>
        </w:rPr>
        <w:drawing>
          <wp:inline distT="0" distB="0" distL="0" distR="0" wp14:anchorId="24712F95" wp14:editId="61B0D0B9">
            <wp:extent cx="6118834" cy="182880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48111" cy="1837550"/>
                    </a:xfrm>
                    <a:prstGeom prst="rect">
                      <a:avLst/>
                    </a:prstGeom>
                  </pic:spPr>
                </pic:pic>
              </a:graphicData>
            </a:graphic>
          </wp:inline>
        </w:drawing>
      </w:r>
    </w:p>
    <w:p w14:paraId="68B8DF85" w14:textId="65A0360D" w:rsidR="00E1629C" w:rsidRPr="009F6D1E" w:rsidRDefault="0048747D" w:rsidP="0048747D">
      <w:pPr>
        <w:pStyle w:val="Caption"/>
      </w:pPr>
      <w:bookmarkStart w:id="202" w:name="_Toc115255084"/>
      <w:r w:rsidRPr="009F6D1E">
        <w:t xml:space="preserve">Фигура </w:t>
      </w:r>
      <w:fldSimple w:instr=" SEQ Фигура \* ARABIC ">
        <w:r w:rsidR="00A43EF3">
          <w:rPr>
            <w:noProof/>
          </w:rPr>
          <w:t>23</w:t>
        </w:r>
      </w:fldSimple>
      <w:r w:rsidRPr="009F6D1E">
        <w:t xml:space="preserve">: </w:t>
      </w:r>
      <w:r w:rsidR="00E1629C" w:rsidRPr="009F6D1E">
        <w:t>Средногодишни концентрации на ФПЧ2.5, регистрирани през 20</w:t>
      </w:r>
      <w:r w:rsidR="00AC0886">
        <w:t>20</w:t>
      </w:r>
      <w:r w:rsidR="00E1629C" w:rsidRPr="009F6D1E">
        <w:t xml:space="preserve"> г., </w:t>
      </w:r>
      <w:proofErr w:type="spellStart"/>
      <w:r w:rsidR="00E1629C" w:rsidRPr="009F6D1E">
        <w:t>μg</w:t>
      </w:r>
      <w:proofErr w:type="spellEnd"/>
      <w:r w:rsidR="00E1629C" w:rsidRPr="009F6D1E">
        <w:t>/m</w:t>
      </w:r>
      <w:r w:rsidR="00E1629C" w:rsidRPr="009F6D1E">
        <w:rPr>
          <w:vertAlign w:val="superscript"/>
        </w:rPr>
        <w:t>3</w:t>
      </w:r>
      <w:bookmarkEnd w:id="202"/>
    </w:p>
    <w:p w14:paraId="1763D460" w14:textId="77777777" w:rsidR="00AE604C" w:rsidRPr="009F6D1E" w:rsidRDefault="00AE604C" w:rsidP="0084747F">
      <w:pPr>
        <w:autoSpaceDE w:val="0"/>
        <w:autoSpaceDN w:val="0"/>
        <w:adjustRightInd w:val="0"/>
        <w:spacing w:after="60" w:line="264" w:lineRule="auto"/>
        <w:jc w:val="both"/>
        <w:rPr>
          <w:rFonts w:cs="Times New Roman"/>
          <w:szCs w:val="24"/>
        </w:rPr>
      </w:pPr>
    </w:p>
    <w:p w14:paraId="6BD71F4B" w14:textId="2539FF4D" w:rsidR="00E1629C" w:rsidRPr="009F6D1E" w:rsidRDefault="00AC0886" w:rsidP="0084747F">
      <w:pPr>
        <w:autoSpaceDE w:val="0"/>
        <w:autoSpaceDN w:val="0"/>
        <w:adjustRightInd w:val="0"/>
        <w:spacing w:after="60" w:line="264" w:lineRule="auto"/>
        <w:ind w:firstLine="708"/>
        <w:jc w:val="both"/>
        <w:rPr>
          <w:rFonts w:cs="Times New Roman"/>
          <w:szCs w:val="24"/>
        </w:rPr>
      </w:pPr>
      <w:r w:rsidRPr="00AC0886">
        <w:rPr>
          <w:rFonts w:cs="Times New Roman"/>
          <w:szCs w:val="24"/>
        </w:rPr>
        <w:t>В 40% от пунктовете, в които се следят нивата на ФПЧ2.5, е регистрирана поне една средногодишна концентрация, която превишава средногодишната норма за този замърсител, в периода 2016-2020 г. За период 2016-2019 г. средногодишната норма е 25 µg/m</w:t>
      </w:r>
      <w:r w:rsidRPr="00AC0886">
        <w:rPr>
          <w:rFonts w:cs="Times New Roman"/>
          <w:szCs w:val="24"/>
          <w:vertAlign w:val="superscript"/>
        </w:rPr>
        <w:t>3</w:t>
      </w:r>
      <w:r w:rsidRPr="00AC0886">
        <w:rPr>
          <w:rFonts w:cs="Times New Roman"/>
          <w:szCs w:val="24"/>
        </w:rPr>
        <w:t>, а от 2020 г. тя е 20 µg/m</w:t>
      </w:r>
      <w:r w:rsidRPr="00AC0886">
        <w:rPr>
          <w:rFonts w:cs="Times New Roman"/>
          <w:szCs w:val="24"/>
          <w:vertAlign w:val="superscript"/>
        </w:rPr>
        <w:t>3</w:t>
      </w:r>
      <w:r w:rsidRPr="00AC0886">
        <w:rPr>
          <w:rFonts w:cs="Times New Roman"/>
          <w:szCs w:val="24"/>
        </w:rPr>
        <w:t>. През 2020 г. не са регистрирани превишения на средногодишната норма в пунктовете, в които има достатъчно валидни данни (над 75%) за изчисляване на средногодишна стойност</w:t>
      </w:r>
      <w:r w:rsidR="00E1629C" w:rsidRPr="009F6D1E">
        <w:rPr>
          <w:rFonts w:cs="Times New Roman"/>
          <w:szCs w:val="24"/>
        </w:rPr>
        <w:t>.</w:t>
      </w:r>
    </w:p>
    <w:p w14:paraId="36D877D5" w14:textId="49BEF910" w:rsidR="00E1629C" w:rsidRPr="009F6D1E" w:rsidRDefault="00AC0886" w:rsidP="0084747F">
      <w:pPr>
        <w:autoSpaceDE w:val="0"/>
        <w:autoSpaceDN w:val="0"/>
        <w:adjustRightInd w:val="0"/>
        <w:spacing w:after="60" w:line="264" w:lineRule="auto"/>
        <w:jc w:val="center"/>
        <w:rPr>
          <w:rFonts w:cs="Times New Roman"/>
          <w:szCs w:val="24"/>
        </w:rPr>
      </w:pPr>
      <w:r w:rsidRPr="00AC0886">
        <w:rPr>
          <w:rFonts w:cs="Times New Roman"/>
          <w:noProof/>
          <w:szCs w:val="24"/>
          <w:lang w:val="en-US"/>
        </w:rPr>
        <w:drawing>
          <wp:inline distT="0" distB="0" distL="0" distR="0" wp14:anchorId="3E65A631" wp14:editId="7298D6B5">
            <wp:extent cx="6120130" cy="2466109"/>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5759" cy="2468377"/>
                    </a:xfrm>
                    <a:prstGeom prst="rect">
                      <a:avLst/>
                    </a:prstGeom>
                  </pic:spPr>
                </pic:pic>
              </a:graphicData>
            </a:graphic>
          </wp:inline>
        </w:drawing>
      </w:r>
    </w:p>
    <w:p w14:paraId="2979FC53" w14:textId="5FF1D564" w:rsidR="00E1629C" w:rsidRPr="009F6D1E" w:rsidRDefault="0048747D" w:rsidP="0048747D">
      <w:pPr>
        <w:pStyle w:val="Caption"/>
      </w:pPr>
      <w:bookmarkStart w:id="203" w:name="_Toc115255085"/>
      <w:r w:rsidRPr="009F6D1E">
        <w:t xml:space="preserve">Фигура </w:t>
      </w:r>
      <w:fldSimple w:instr=" SEQ Фигура \* ARABIC ">
        <w:r w:rsidR="00A43EF3">
          <w:rPr>
            <w:noProof/>
          </w:rPr>
          <w:t>24</w:t>
        </w:r>
      </w:fldSimple>
      <w:r w:rsidRPr="009F6D1E">
        <w:t xml:space="preserve">: </w:t>
      </w:r>
      <w:r w:rsidR="00E1629C" w:rsidRPr="009F6D1E">
        <w:t xml:space="preserve"> Средногодишни концентрации на ФПЧ2.5, регистрирани</w:t>
      </w:r>
      <w:r w:rsidRPr="009F6D1E">
        <w:t xml:space="preserve"> </w:t>
      </w:r>
      <w:r w:rsidR="00E1629C" w:rsidRPr="009F6D1E">
        <w:t>за периода 201</w:t>
      </w:r>
      <w:r w:rsidR="00AC0886">
        <w:t>6</w:t>
      </w:r>
      <w:r w:rsidR="00E1629C" w:rsidRPr="009F6D1E">
        <w:t xml:space="preserve"> -20</w:t>
      </w:r>
      <w:r w:rsidR="00AC0886">
        <w:t>20</w:t>
      </w:r>
      <w:r w:rsidR="00E1629C" w:rsidRPr="009F6D1E">
        <w:t xml:space="preserve"> г. , </w:t>
      </w:r>
      <w:proofErr w:type="spellStart"/>
      <w:r w:rsidR="00E1629C" w:rsidRPr="009F6D1E">
        <w:t>μg</w:t>
      </w:r>
      <w:proofErr w:type="spellEnd"/>
      <w:r w:rsidR="00E1629C" w:rsidRPr="009F6D1E">
        <w:t>/m</w:t>
      </w:r>
      <w:r w:rsidR="00E1629C" w:rsidRPr="009F6D1E">
        <w:rPr>
          <w:vertAlign w:val="superscript"/>
        </w:rPr>
        <w:t>3</w:t>
      </w:r>
      <w:bookmarkEnd w:id="203"/>
    </w:p>
    <w:p w14:paraId="585F5641" w14:textId="77777777" w:rsidR="00AC0886" w:rsidRPr="00AC0886" w:rsidRDefault="00AC0886" w:rsidP="00AC0886">
      <w:pPr>
        <w:autoSpaceDE w:val="0"/>
        <w:autoSpaceDN w:val="0"/>
        <w:adjustRightInd w:val="0"/>
        <w:spacing w:after="60" w:line="264" w:lineRule="auto"/>
        <w:ind w:firstLine="708"/>
        <w:jc w:val="both"/>
        <w:rPr>
          <w:rFonts w:cs="Times New Roman"/>
          <w:szCs w:val="24"/>
        </w:rPr>
      </w:pPr>
      <w:r w:rsidRPr="00AC0886">
        <w:rPr>
          <w:rFonts w:cs="Times New Roman"/>
          <w:szCs w:val="24"/>
        </w:rPr>
        <w:t xml:space="preserve">Показателят за средна експозиция (ПСЕ), изразен в </w:t>
      </w:r>
      <w:proofErr w:type="spellStart"/>
      <w:r w:rsidRPr="00AC0886">
        <w:rPr>
          <w:rFonts w:cs="Times New Roman"/>
          <w:szCs w:val="24"/>
        </w:rPr>
        <w:t>μg</w:t>
      </w:r>
      <w:proofErr w:type="spellEnd"/>
      <w:r w:rsidRPr="00AC0886">
        <w:rPr>
          <w:rFonts w:cs="Times New Roman"/>
          <w:szCs w:val="24"/>
        </w:rPr>
        <w:t>/m</w:t>
      </w:r>
      <w:r w:rsidRPr="00AC0886">
        <w:rPr>
          <w:rFonts w:cs="Times New Roman"/>
          <w:szCs w:val="24"/>
          <w:vertAlign w:val="superscript"/>
        </w:rPr>
        <w:t>3</w:t>
      </w:r>
      <w:r w:rsidRPr="00AC0886">
        <w:rPr>
          <w:rFonts w:cs="Times New Roman"/>
          <w:szCs w:val="24"/>
        </w:rPr>
        <w:t xml:space="preserve">, се определя въз основа на извършени измервания в градски фонови пунктове за мониторинг в зони и агломерации, разположени на територията на България. Той следва да се оценява като средна годишна концентрация за три последователни календарни години, осреднена за всички пунктове за </w:t>
      </w:r>
      <w:r w:rsidRPr="00AC0886">
        <w:rPr>
          <w:rFonts w:cs="Times New Roman"/>
          <w:szCs w:val="24"/>
        </w:rPr>
        <w:lastRenderedPageBreak/>
        <w:t>мониторинг. ПСЕ за референтната 2010 г. е средната концентрация за 2008, 2009 и 2010 година. ПСЕ за 2020 г. е средната концентрация за 2018, 2019 и 2020 година. Изискуемият обхват на данни е минимум 90%.   </w:t>
      </w:r>
    </w:p>
    <w:p w14:paraId="4E59BA30" w14:textId="77777777" w:rsidR="00AC0886" w:rsidRPr="00AC0886" w:rsidRDefault="00AC0886" w:rsidP="00AC0886">
      <w:pPr>
        <w:autoSpaceDE w:val="0"/>
        <w:autoSpaceDN w:val="0"/>
        <w:adjustRightInd w:val="0"/>
        <w:spacing w:after="60" w:line="264" w:lineRule="auto"/>
        <w:ind w:firstLine="708"/>
        <w:jc w:val="both"/>
        <w:rPr>
          <w:rFonts w:cs="Times New Roman"/>
          <w:szCs w:val="24"/>
        </w:rPr>
      </w:pPr>
      <w:r w:rsidRPr="00AC0886">
        <w:rPr>
          <w:rFonts w:cs="Times New Roman"/>
          <w:szCs w:val="24"/>
        </w:rPr>
        <w:t xml:space="preserve">ПСЕ на населението на ФПЧ2.5 за 2020 г. е 18.84 </w:t>
      </w:r>
      <w:proofErr w:type="spellStart"/>
      <w:r w:rsidRPr="00AC0886">
        <w:rPr>
          <w:rFonts w:cs="Times New Roman"/>
          <w:szCs w:val="24"/>
        </w:rPr>
        <w:t>μg</w:t>
      </w:r>
      <w:proofErr w:type="spellEnd"/>
      <w:r w:rsidRPr="00AC0886">
        <w:rPr>
          <w:rFonts w:cs="Times New Roman"/>
          <w:szCs w:val="24"/>
        </w:rPr>
        <w:t>/m</w:t>
      </w:r>
      <w:r w:rsidRPr="00AC0886">
        <w:rPr>
          <w:rFonts w:cs="Times New Roman"/>
          <w:szCs w:val="24"/>
          <w:vertAlign w:val="superscript"/>
        </w:rPr>
        <w:t>3</w:t>
      </w:r>
      <w:r w:rsidRPr="00AC0886">
        <w:rPr>
          <w:rFonts w:cs="Times New Roman"/>
          <w:szCs w:val="24"/>
        </w:rPr>
        <w:t>.</w:t>
      </w:r>
    </w:p>
    <w:p w14:paraId="6348B2C7" w14:textId="77777777" w:rsidR="00AC0886" w:rsidRPr="00AC0886" w:rsidRDefault="00AC0886" w:rsidP="00AC0886">
      <w:pPr>
        <w:autoSpaceDE w:val="0"/>
        <w:autoSpaceDN w:val="0"/>
        <w:adjustRightInd w:val="0"/>
        <w:spacing w:after="60" w:line="264" w:lineRule="auto"/>
        <w:ind w:firstLine="708"/>
        <w:jc w:val="both"/>
        <w:rPr>
          <w:rFonts w:cs="Times New Roman"/>
          <w:szCs w:val="24"/>
        </w:rPr>
      </w:pPr>
      <w:r w:rsidRPr="00AC0886">
        <w:rPr>
          <w:rFonts w:cs="Times New Roman"/>
          <w:szCs w:val="24"/>
        </w:rPr>
        <w:t xml:space="preserve">Съгласно Наредба №12 (транспонирана Директива 2008/50/ЕС), задължение във връзка с ПСЕ на населението на ФПЧ2.5, което трябва да бъде постигнато до 2015 г. е 20 </w:t>
      </w:r>
      <w:proofErr w:type="spellStart"/>
      <w:r w:rsidRPr="00AC0886">
        <w:rPr>
          <w:rFonts w:cs="Times New Roman"/>
          <w:szCs w:val="24"/>
        </w:rPr>
        <w:t>μg</w:t>
      </w:r>
      <w:proofErr w:type="spellEnd"/>
      <w:r w:rsidRPr="00AC0886">
        <w:rPr>
          <w:rFonts w:cs="Times New Roman"/>
          <w:szCs w:val="24"/>
        </w:rPr>
        <w:t>/m</w:t>
      </w:r>
      <w:r w:rsidRPr="00AC0886">
        <w:rPr>
          <w:rFonts w:cs="Times New Roman"/>
          <w:szCs w:val="24"/>
          <w:vertAlign w:val="superscript"/>
        </w:rPr>
        <w:t>3</w:t>
      </w:r>
      <w:r w:rsidRPr="00AC0886">
        <w:rPr>
          <w:rFonts w:cs="Times New Roman"/>
          <w:szCs w:val="24"/>
        </w:rPr>
        <w:t xml:space="preserve">. Целта за ограничаване на експозицията във връзка с ПСЕ на населението на ФПЧ2.5 от 18 </w:t>
      </w:r>
      <w:proofErr w:type="spellStart"/>
      <w:r w:rsidRPr="00AC0886">
        <w:rPr>
          <w:rFonts w:cs="Times New Roman"/>
          <w:szCs w:val="24"/>
        </w:rPr>
        <w:t>μg</w:t>
      </w:r>
      <w:proofErr w:type="spellEnd"/>
      <w:r w:rsidRPr="00AC0886">
        <w:rPr>
          <w:rFonts w:cs="Times New Roman"/>
          <w:szCs w:val="24"/>
        </w:rPr>
        <w:t>/m</w:t>
      </w:r>
      <w:r w:rsidRPr="00AC0886">
        <w:rPr>
          <w:rFonts w:cs="Times New Roman"/>
          <w:szCs w:val="24"/>
          <w:vertAlign w:val="superscript"/>
        </w:rPr>
        <w:t>3</w:t>
      </w:r>
      <w:r w:rsidRPr="00AC0886">
        <w:rPr>
          <w:rFonts w:cs="Times New Roman"/>
          <w:szCs w:val="24"/>
        </w:rPr>
        <w:t xml:space="preserve"> трябва да бъде постигната през 2020 година. През 2020 г. ПСЕ на населението на ФПЧ2.5 е с 0.84 </w:t>
      </w:r>
      <w:proofErr w:type="spellStart"/>
      <w:r w:rsidRPr="00AC0886">
        <w:rPr>
          <w:rFonts w:cs="Times New Roman"/>
          <w:szCs w:val="24"/>
        </w:rPr>
        <w:t>μg</w:t>
      </w:r>
      <w:proofErr w:type="spellEnd"/>
      <w:r w:rsidRPr="00AC0886">
        <w:rPr>
          <w:rFonts w:cs="Times New Roman"/>
          <w:szCs w:val="24"/>
        </w:rPr>
        <w:t>/m</w:t>
      </w:r>
      <w:r w:rsidRPr="00AC0886">
        <w:rPr>
          <w:rFonts w:cs="Times New Roman"/>
          <w:szCs w:val="24"/>
          <w:vertAlign w:val="superscript"/>
        </w:rPr>
        <w:t>3</w:t>
      </w:r>
      <w:r w:rsidRPr="00AC0886">
        <w:rPr>
          <w:rFonts w:cs="Times New Roman"/>
          <w:szCs w:val="24"/>
        </w:rPr>
        <w:t> над целта за ограничаване на експозицията.</w:t>
      </w:r>
    </w:p>
    <w:p w14:paraId="1862B227" w14:textId="5D8CD1C1" w:rsidR="00E1629C" w:rsidRPr="009F6D1E" w:rsidRDefault="00AC0886" w:rsidP="0084747F">
      <w:pPr>
        <w:autoSpaceDE w:val="0"/>
        <w:autoSpaceDN w:val="0"/>
        <w:adjustRightInd w:val="0"/>
        <w:spacing w:after="60" w:line="264" w:lineRule="auto"/>
        <w:jc w:val="center"/>
        <w:rPr>
          <w:rFonts w:cs="Times New Roman"/>
          <w:color w:val="BF8F00" w:themeColor="accent4" w:themeShade="BF"/>
          <w:szCs w:val="24"/>
        </w:rPr>
      </w:pPr>
      <w:r w:rsidRPr="00AC0886">
        <w:rPr>
          <w:rFonts w:cs="Times New Roman"/>
          <w:noProof/>
          <w:color w:val="BF8F00" w:themeColor="accent4" w:themeShade="BF"/>
          <w:szCs w:val="24"/>
          <w:lang w:val="en-US"/>
        </w:rPr>
        <w:drawing>
          <wp:inline distT="0" distB="0" distL="0" distR="0" wp14:anchorId="7E57C89A" wp14:editId="31471F6F">
            <wp:extent cx="6120130" cy="1703705"/>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1703705"/>
                    </a:xfrm>
                    <a:prstGeom prst="rect">
                      <a:avLst/>
                    </a:prstGeom>
                  </pic:spPr>
                </pic:pic>
              </a:graphicData>
            </a:graphic>
          </wp:inline>
        </w:drawing>
      </w:r>
    </w:p>
    <w:p w14:paraId="1D59453B" w14:textId="5D17BEEC" w:rsidR="00E1629C" w:rsidRPr="009F6D1E" w:rsidRDefault="00F16E3A" w:rsidP="00F16E3A">
      <w:pPr>
        <w:pStyle w:val="Caption"/>
      </w:pPr>
      <w:bookmarkStart w:id="204" w:name="_Toc115255086"/>
      <w:r w:rsidRPr="009F6D1E">
        <w:t xml:space="preserve">Фигура </w:t>
      </w:r>
      <w:fldSimple w:instr=" SEQ Фигура \* ARABIC ">
        <w:r w:rsidR="00A43EF3">
          <w:rPr>
            <w:noProof/>
          </w:rPr>
          <w:t>25</w:t>
        </w:r>
      </w:fldSimple>
      <w:r w:rsidRPr="009F6D1E">
        <w:t xml:space="preserve">: </w:t>
      </w:r>
      <w:r w:rsidR="00E1629C" w:rsidRPr="009F6D1E">
        <w:t>Показател за средна експозиция на населението с ФПЧ2.5 за периода 2010 – 20</w:t>
      </w:r>
      <w:r w:rsidR="00AC0886">
        <w:t>20</w:t>
      </w:r>
      <w:r w:rsidR="00E1629C" w:rsidRPr="009F6D1E">
        <w:t xml:space="preserve"> г., </w:t>
      </w:r>
      <w:proofErr w:type="spellStart"/>
      <w:r w:rsidR="00E1629C" w:rsidRPr="009F6D1E">
        <w:t>μg</w:t>
      </w:r>
      <w:proofErr w:type="spellEnd"/>
      <w:r w:rsidR="00E1629C" w:rsidRPr="009F6D1E">
        <w:t>/m</w:t>
      </w:r>
      <w:r w:rsidR="00E1629C" w:rsidRPr="009F6D1E">
        <w:rPr>
          <w:vertAlign w:val="superscript"/>
        </w:rPr>
        <w:t>3</w:t>
      </w:r>
      <w:bookmarkEnd w:id="204"/>
    </w:p>
    <w:p w14:paraId="04C1B1B8" w14:textId="77777777" w:rsidR="00E1629C" w:rsidRPr="009F6D1E" w:rsidRDefault="00E1629C">
      <w:pPr>
        <w:pStyle w:val="ListParagraph"/>
        <w:numPr>
          <w:ilvl w:val="0"/>
          <w:numId w:val="41"/>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 xml:space="preserve">Озон </w:t>
      </w:r>
    </w:p>
    <w:p w14:paraId="15CB85AF"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За разлика от другите замърсители приземният (</w:t>
      </w:r>
      <w:proofErr w:type="spellStart"/>
      <w:r w:rsidRPr="009F6D1E">
        <w:rPr>
          <w:rFonts w:cs="Times New Roman"/>
          <w:szCs w:val="24"/>
        </w:rPr>
        <w:t>тропосферен</w:t>
      </w:r>
      <w:proofErr w:type="spellEnd"/>
      <w:r w:rsidRPr="009F6D1E">
        <w:rPr>
          <w:rFonts w:cs="Times New Roman"/>
          <w:szCs w:val="24"/>
        </w:rPr>
        <w:t xml:space="preserve">) озон не се емитира директно в атмосферата, а се формира чрез комплексни химични реакции, последващите емисии на </w:t>
      </w:r>
      <w:proofErr w:type="spellStart"/>
      <w:r w:rsidRPr="009F6D1E">
        <w:rPr>
          <w:rFonts w:cs="Times New Roman"/>
          <w:szCs w:val="24"/>
        </w:rPr>
        <w:t>прекурсорни</w:t>
      </w:r>
      <w:proofErr w:type="spellEnd"/>
      <w:r w:rsidRPr="009F6D1E">
        <w:rPr>
          <w:rFonts w:cs="Times New Roman"/>
          <w:szCs w:val="24"/>
        </w:rPr>
        <w:t xml:space="preserve"> газове като азотни оксиди (</w:t>
      </w:r>
      <w:proofErr w:type="spellStart"/>
      <w:r w:rsidRPr="009F6D1E">
        <w:rPr>
          <w:rFonts w:cs="Times New Roman"/>
          <w:szCs w:val="24"/>
        </w:rPr>
        <w:t>NOx</w:t>
      </w:r>
      <w:proofErr w:type="spellEnd"/>
      <w:r w:rsidRPr="009F6D1E">
        <w:rPr>
          <w:rFonts w:cs="Times New Roman"/>
          <w:szCs w:val="24"/>
        </w:rPr>
        <w:t xml:space="preserve"> – група газове, включваща NO и NO</w:t>
      </w:r>
      <w:r w:rsidRPr="009F6D1E">
        <w:rPr>
          <w:rFonts w:cs="Times New Roman"/>
          <w:szCs w:val="24"/>
          <w:vertAlign w:val="subscript"/>
        </w:rPr>
        <w:t>2</w:t>
      </w:r>
      <w:r w:rsidRPr="009F6D1E">
        <w:rPr>
          <w:rFonts w:cs="Times New Roman"/>
          <w:szCs w:val="24"/>
        </w:rPr>
        <w:t>) и неметанови летливи органични съединения (NMVOC) от естествен и от антропогенен произход, в присъствие на слънчева светлина и високи температури. Метанът (CH</w:t>
      </w:r>
      <w:r w:rsidRPr="009F6D1E">
        <w:rPr>
          <w:rFonts w:cs="Times New Roman"/>
          <w:szCs w:val="24"/>
          <w:vertAlign w:val="subscript"/>
        </w:rPr>
        <w:t>4</w:t>
      </w:r>
      <w:r w:rsidRPr="009F6D1E">
        <w:rPr>
          <w:rFonts w:cs="Times New Roman"/>
          <w:szCs w:val="24"/>
        </w:rPr>
        <w:t>) и въглеродният оксид (CO) също играят роля за образуването на озон. Поради това, че образуването на озон изисква слънчева светлина, се наблюдава ясно нарастване на концентрациите му от северните части към южните части на континента. Концентрацията на озон типично нараства с нарастване на надморската височина, затова високи концентрации се наблюдават на високо разположени станции. Близо до повърхността озонът се разлага чрез повърхностно отлагане и чрез реакция на титруване с емитирания NO, при което се образува NO</w:t>
      </w:r>
      <w:r w:rsidRPr="009F6D1E">
        <w:rPr>
          <w:rFonts w:cs="Times New Roman"/>
          <w:szCs w:val="24"/>
          <w:vertAlign w:val="subscript"/>
        </w:rPr>
        <w:t>2</w:t>
      </w:r>
      <w:r w:rsidRPr="009F6D1E">
        <w:rPr>
          <w:rFonts w:cs="Times New Roman"/>
          <w:szCs w:val="24"/>
        </w:rPr>
        <w:t>. Концентрацията на озон е висока в извънградски (отдалечени) станции, по-ниска в градски фонови станции и още по-ниска в транспортни пунктове, където озонът бързо се разлага. Озонът е основната съставка на градският „смог”.</w:t>
      </w:r>
    </w:p>
    <w:p w14:paraId="3BD45A00"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Метеорологичните условия също влияят върху образуването на озона. Горещи и сухи лета с продължителни периоди на високо атмосферно налягане водят до повишени нива на озон.</w:t>
      </w:r>
    </w:p>
    <w:p w14:paraId="5C8D7A28"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Озонът е мощен и агресивен окислител, който може да има вредно влияние върху човешкото здраве. Той влияе върху респираторната система, причинявайки проблеми с </w:t>
      </w:r>
      <w:r w:rsidRPr="009F6D1E">
        <w:rPr>
          <w:rFonts w:cs="Times New Roman"/>
          <w:szCs w:val="24"/>
        </w:rPr>
        <w:lastRenderedPageBreak/>
        <w:t>дишането, астма, намалена функция на белите дробове и други болести на дихателната система. Възрастните хора и малките деца са особено чувствителни.</w:t>
      </w:r>
    </w:p>
    <w:p w14:paraId="3A94274D"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Високите нива на озон могат да увредят и растителността, влошавайки растежа и възпроизвеждането й, водейки до намаляване на реколтата на селскостопанските посеви, уврежда растежа на горите и намалява биоразнообразието. Озонът възпрепятства фотосинтезата, като по този начин пречи на поглъщането на въглероден диоксид. Озонът увеличава степента на деградация на сградите.</w:t>
      </w:r>
    </w:p>
    <w:p w14:paraId="60B4757C" w14:textId="77777777" w:rsidR="00AE604C" w:rsidRPr="009F6D1E" w:rsidRDefault="00AE604C" w:rsidP="0084747F">
      <w:pPr>
        <w:autoSpaceDE w:val="0"/>
        <w:autoSpaceDN w:val="0"/>
        <w:adjustRightInd w:val="0"/>
        <w:spacing w:after="60" w:line="264" w:lineRule="auto"/>
        <w:jc w:val="both"/>
        <w:rPr>
          <w:rFonts w:cs="Times New Roman"/>
          <w:b/>
          <w:bCs/>
          <w:szCs w:val="24"/>
        </w:rPr>
      </w:pPr>
    </w:p>
    <w:p w14:paraId="060BFEF3" w14:textId="77777777" w:rsidR="00E1629C" w:rsidRPr="009F6D1E" w:rsidRDefault="00E1629C">
      <w:pPr>
        <w:pStyle w:val="ListParagraph"/>
        <w:numPr>
          <w:ilvl w:val="0"/>
          <w:numId w:val="42"/>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Озон за човешкото здраве</w:t>
      </w:r>
    </w:p>
    <w:p w14:paraId="649B162D" w14:textId="77777777" w:rsidR="00220F9E" w:rsidRPr="00220F9E" w:rsidRDefault="00220F9E" w:rsidP="00220F9E">
      <w:pPr>
        <w:autoSpaceDE w:val="0"/>
        <w:autoSpaceDN w:val="0"/>
        <w:adjustRightInd w:val="0"/>
        <w:spacing w:after="60" w:line="264" w:lineRule="auto"/>
        <w:ind w:firstLine="708"/>
        <w:jc w:val="both"/>
        <w:rPr>
          <w:rFonts w:cs="Times New Roman"/>
          <w:szCs w:val="24"/>
        </w:rPr>
      </w:pPr>
      <w:r w:rsidRPr="00220F9E">
        <w:rPr>
          <w:rFonts w:cs="Times New Roman"/>
          <w:szCs w:val="24"/>
        </w:rPr>
        <w:t>Регистрирани са общо 7 превишения на прага за информиране на населението (180 µg/m3) в пункт „София - Дружба“ – 6 превишения, и в пункт „София - Копитото“ – 1. </w:t>
      </w:r>
    </w:p>
    <w:p w14:paraId="2CAEB775" w14:textId="77777777" w:rsidR="00220F9E" w:rsidRPr="00220F9E" w:rsidRDefault="00220F9E" w:rsidP="00220F9E">
      <w:pPr>
        <w:autoSpaceDE w:val="0"/>
        <w:autoSpaceDN w:val="0"/>
        <w:adjustRightInd w:val="0"/>
        <w:spacing w:after="60" w:line="264" w:lineRule="auto"/>
        <w:ind w:firstLine="708"/>
        <w:jc w:val="both"/>
        <w:rPr>
          <w:rFonts w:cs="Times New Roman"/>
          <w:szCs w:val="24"/>
        </w:rPr>
      </w:pPr>
      <w:r w:rsidRPr="00220F9E">
        <w:rPr>
          <w:rFonts w:cs="Times New Roman"/>
          <w:szCs w:val="24"/>
        </w:rPr>
        <w:t>През 2020 г. не са регистрирани превишения на прага за предупреждение на населението (концентрации, превишаващи 240 µg/m3 в продължение на три последователни часа). </w:t>
      </w:r>
    </w:p>
    <w:p w14:paraId="45C0C7B0" w14:textId="77777777" w:rsidR="00220F9E" w:rsidRPr="00220F9E" w:rsidRDefault="00220F9E" w:rsidP="00220F9E">
      <w:pPr>
        <w:autoSpaceDE w:val="0"/>
        <w:autoSpaceDN w:val="0"/>
        <w:adjustRightInd w:val="0"/>
        <w:spacing w:after="60" w:line="264" w:lineRule="auto"/>
        <w:ind w:firstLine="708"/>
        <w:jc w:val="both"/>
        <w:rPr>
          <w:rFonts w:cs="Times New Roman"/>
          <w:szCs w:val="24"/>
        </w:rPr>
      </w:pPr>
      <w:r w:rsidRPr="00220F9E">
        <w:rPr>
          <w:rFonts w:cs="Times New Roman"/>
          <w:szCs w:val="24"/>
        </w:rPr>
        <w:t>Най-много дни с превишение на КЦН за 2020 г. са регистрирани в „Рожен-КФС“ (35 дни) и в АИС „София – Копитото“ (29 дни). </w:t>
      </w:r>
    </w:p>
    <w:p w14:paraId="47C09531" w14:textId="26A47C42" w:rsidR="00E1629C" w:rsidRPr="00220F9E" w:rsidRDefault="00220F9E" w:rsidP="00220F9E">
      <w:pPr>
        <w:autoSpaceDE w:val="0"/>
        <w:autoSpaceDN w:val="0"/>
        <w:adjustRightInd w:val="0"/>
        <w:spacing w:after="60" w:line="264" w:lineRule="auto"/>
        <w:ind w:firstLine="708"/>
        <w:jc w:val="both"/>
        <w:rPr>
          <w:rFonts w:ascii="Arial" w:eastAsia="Times New Roman" w:hAnsi="Arial" w:cs="Arial"/>
          <w:color w:val="000000"/>
          <w:sz w:val="19"/>
          <w:szCs w:val="19"/>
          <w:lang w:eastAsia="bg-BG"/>
        </w:rPr>
      </w:pPr>
      <w:r w:rsidRPr="00220F9E">
        <w:rPr>
          <w:rFonts w:cs="Times New Roman"/>
          <w:szCs w:val="24"/>
        </w:rPr>
        <w:t>Осреднявайки дните с превишения на КЦН за тригодишен период (2018 г., 2019 г. и 2020 г.), нормата е превишена в КФС „Рожен“ – 38 дни с превишение, и в АИС „Юндола-ЕС2” – 27 дни с превишение</w:t>
      </w:r>
      <w:r w:rsidRPr="00220F9E">
        <w:rPr>
          <w:rFonts w:ascii="Arial" w:eastAsia="Times New Roman" w:hAnsi="Arial" w:cs="Arial"/>
          <w:color w:val="000000"/>
          <w:sz w:val="19"/>
          <w:szCs w:val="19"/>
          <w:lang w:eastAsia="bg-BG"/>
        </w:rPr>
        <w:t>.</w:t>
      </w:r>
    </w:p>
    <w:p w14:paraId="4228465A" w14:textId="748A4C63" w:rsidR="00E1629C" w:rsidRPr="009F6D1E" w:rsidRDefault="00220F9E" w:rsidP="0084747F">
      <w:pPr>
        <w:autoSpaceDE w:val="0"/>
        <w:autoSpaceDN w:val="0"/>
        <w:adjustRightInd w:val="0"/>
        <w:spacing w:after="60" w:line="264" w:lineRule="auto"/>
        <w:jc w:val="center"/>
        <w:rPr>
          <w:rFonts w:cs="Times New Roman"/>
          <w:color w:val="BF8F00" w:themeColor="accent4" w:themeShade="BF"/>
          <w:szCs w:val="24"/>
        </w:rPr>
      </w:pPr>
      <w:r w:rsidRPr="00220F9E">
        <w:rPr>
          <w:rFonts w:cs="Times New Roman"/>
          <w:noProof/>
          <w:color w:val="BF8F00" w:themeColor="accent4" w:themeShade="BF"/>
          <w:szCs w:val="24"/>
          <w:lang w:val="en-US"/>
        </w:rPr>
        <w:drawing>
          <wp:inline distT="0" distB="0" distL="0" distR="0" wp14:anchorId="78A17323" wp14:editId="38632A7E">
            <wp:extent cx="6120130" cy="3204845"/>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3204845"/>
                    </a:xfrm>
                    <a:prstGeom prst="rect">
                      <a:avLst/>
                    </a:prstGeom>
                  </pic:spPr>
                </pic:pic>
              </a:graphicData>
            </a:graphic>
          </wp:inline>
        </w:drawing>
      </w:r>
    </w:p>
    <w:p w14:paraId="1E1FC476" w14:textId="420C9A2A" w:rsidR="00E1629C" w:rsidRPr="009F6D1E" w:rsidRDefault="00F16E3A" w:rsidP="00F16E3A">
      <w:pPr>
        <w:pStyle w:val="Caption"/>
      </w:pPr>
      <w:bookmarkStart w:id="205" w:name="_Toc115255087"/>
      <w:r w:rsidRPr="009F6D1E">
        <w:t xml:space="preserve">Фигура </w:t>
      </w:r>
      <w:fldSimple w:instr=" SEQ Фигура \* ARABIC ">
        <w:r w:rsidR="00A43EF3">
          <w:rPr>
            <w:noProof/>
          </w:rPr>
          <w:t>26</w:t>
        </w:r>
      </w:fldSimple>
      <w:r w:rsidRPr="009F6D1E">
        <w:t xml:space="preserve">: </w:t>
      </w:r>
      <w:r w:rsidR="00E1629C" w:rsidRPr="009F6D1E">
        <w:t xml:space="preserve"> Карта с превишения на краткосрочна целева норма за озо</w:t>
      </w:r>
      <w:r w:rsidRPr="009F6D1E">
        <w:t>н</w:t>
      </w:r>
      <w:r w:rsidR="00E1629C" w:rsidRPr="009F6D1E">
        <w:t xml:space="preserve">, 120 </w:t>
      </w:r>
      <w:proofErr w:type="spellStart"/>
      <w:r w:rsidR="00E1629C" w:rsidRPr="009F6D1E">
        <w:t>μg</w:t>
      </w:r>
      <w:proofErr w:type="spellEnd"/>
      <w:r w:rsidR="00E1629C" w:rsidRPr="009F6D1E">
        <w:t>/m</w:t>
      </w:r>
      <w:r w:rsidR="00E1629C" w:rsidRPr="009F6D1E">
        <w:rPr>
          <w:vertAlign w:val="superscript"/>
        </w:rPr>
        <w:t>3</w:t>
      </w:r>
      <w:r w:rsidR="00E1629C" w:rsidRPr="009F6D1E">
        <w:t>, осреднена за 3 години</w:t>
      </w:r>
      <w:bookmarkEnd w:id="205"/>
    </w:p>
    <w:p w14:paraId="43C0AD92"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lastRenderedPageBreak/>
        <w:t>В две станции, измерващи озон, са регистрирани превишения на краткосрочната целева норма за опазване на човешкото здраве - КФС „Рожен” и АИС „Юндола”. Те са извънградски фонови станции.</w:t>
      </w:r>
    </w:p>
    <w:p w14:paraId="51CF978C" w14:textId="10122B48" w:rsidR="00E1629C" w:rsidRPr="009F6D1E" w:rsidRDefault="00220F9E" w:rsidP="0084747F">
      <w:pPr>
        <w:autoSpaceDE w:val="0"/>
        <w:autoSpaceDN w:val="0"/>
        <w:adjustRightInd w:val="0"/>
        <w:spacing w:after="60" w:line="264" w:lineRule="auto"/>
        <w:jc w:val="center"/>
        <w:rPr>
          <w:rFonts w:cs="Times New Roman"/>
          <w:szCs w:val="24"/>
        </w:rPr>
      </w:pPr>
      <w:r w:rsidRPr="00220F9E">
        <w:rPr>
          <w:rFonts w:cs="Times New Roman"/>
          <w:noProof/>
          <w:szCs w:val="24"/>
          <w:lang w:val="en-US"/>
        </w:rPr>
        <w:drawing>
          <wp:inline distT="0" distB="0" distL="0" distR="0" wp14:anchorId="24132061" wp14:editId="251DED68">
            <wp:extent cx="6120130" cy="2696845"/>
            <wp:effectExtent l="0" t="0" r="0" b="825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2696845"/>
                    </a:xfrm>
                    <a:prstGeom prst="rect">
                      <a:avLst/>
                    </a:prstGeom>
                  </pic:spPr>
                </pic:pic>
              </a:graphicData>
            </a:graphic>
          </wp:inline>
        </w:drawing>
      </w:r>
    </w:p>
    <w:p w14:paraId="23F5CA13" w14:textId="3A18763E" w:rsidR="00E1629C" w:rsidRPr="009F6D1E" w:rsidRDefault="00F16E3A" w:rsidP="00F16E3A">
      <w:pPr>
        <w:pStyle w:val="Caption"/>
      </w:pPr>
      <w:bookmarkStart w:id="206" w:name="_Toc115255088"/>
      <w:r w:rsidRPr="009F6D1E">
        <w:t xml:space="preserve">Фигура </w:t>
      </w:r>
      <w:fldSimple w:instr=" SEQ Фигура \* ARABIC ">
        <w:r w:rsidR="00A43EF3">
          <w:rPr>
            <w:noProof/>
          </w:rPr>
          <w:t>27</w:t>
        </w:r>
      </w:fldSimple>
      <w:r w:rsidRPr="009F6D1E">
        <w:t xml:space="preserve">: </w:t>
      </w:r>
      <w:r w:rsidR="00E1629C" w:rsidRPr="009F6D1E">
        <w:t>Брой дни с превишения на краткосрочната целева норма за озон,</w:t>
      </w:r>
      <w:r w:rsidRPr="009F6D1E">
        <w:t xml:space="preserve"> </w:t>
      </w:r>
      <w:r w:rsidR="00E1629C" w:rsidRPr="009F6D1E">
        <w:t>осреднени за периода 201</w:t>
      </w:r>
      <w:r w:rsidR="00220F9E">
        <w:t>8</w:t>
      </w:r>
      <w:r w:rsidR="00E1629C" w:rsidRPr="009F6D1E">
        <w:t xml:space="preserve"> – 20</w:t>
      </w:r>
      <w:r w:rsidR="00220F9E">
        <w:t>20</w:t>
      </w:r>
      <w:r w:rsidR="00E1629C" w:rsidRPr="009F6D1E">
        <w:t xml:space="preserve"> г.</w:t>
      </w:r>
      <w:bookmarkEnd w:id="206"/>
    </w:p>
    <w:p w14:paraId="27560A2E" w14:textId="77777777" w:rsidR="00E1629C" w:rsidRPr="009F6D1E" w:rsidRDefault="00E1629C">
      <w:pPr>
        <w:pStyle w:val="ListParagraph"/>
        <w:numPr>
          <w:ilvl w:val="0"/>
          <w:numId w:val="42"/>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Критично ниво на озон за защита на растителността</w:t>
      </w:r>
    </w:p>
    <w:p w14:paraId="2AD140EF"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proofErr w:type="spellStart"/>
      <w:r w:rsidRPr="009F6D1E">
        <w:rPr>
          <w:rFonts w:cs="Times New Roman"/>
          <w:szCs w:val="24"/>
        </w:rPr>
        <w:t>Тропосферният</w:t>
      </w:r>
      <w:proofErr w:type="spellEnd"/>
      <w:r w:rsidRPr="009F6D1E">
        <w:rPr>
          <w:rFonts w:cs="Times New Roman"/>
          <w:szCs w:val="24"/>
        </w:rPr>
        <w:t xml:space="preserve"> озон е една от основните съставки на атмосферния смог. Поради силното си окислително въздействие той нанася сериозни поражения върху екосистемите. Озонът влияе на растежа на посевите, дърветата, храстите и тревната растителност. Ето защо концентрации над определени стойности водят до значително намаление на зърнената реколта, забавят растежа на горите и имат токсично въздействие върху хората и животните. Най-силно засегнати от въздействието на високите концентрации на озон са гъсто населените крайбрежни зони и по-високите планини. За нашата страна най-сериозна е заплахата, свързана с увреждане на горите във високопланинските райони.</w:t>
      </w:r>
    </w:p>
    <w:p w14:paraId="712080BC" w14:textId="2F43BA4C" w:rsidR="00220F9E" w:rsidRPr="00220F9E" w:rsidRDefault="00220F9E" w:rsidP="00220F9E">
      <w:pPr>
        <w:autoSpaceDE w:val="0"/>
        <w:autoSpaceDN w:val="0"/>
        <w:adjustRightInd w:val="0"/>
        <w:spacing w:after="60" w:line="264" w:lineRule="auto"/>
        <w:ind w:firstLine="708"/>
        <w:jc w:val="both"/>
        <w:rPr>
          <w:rFonts w:cs="Times New Roman"/>
          <w:szCs w:val="24"/>
        </w:rPr>
      </w:pPr>
      <w:r w:rsidRPr="00220F9E">
        <w:rPr>
          <w:rFonts w:cs="Times New Roman"/>
          <w:szCs w:val="24"/>
        </w:rPr>
        <w:t>През 2020 г. от всички станции, измерващи озон, ориентирани за опазване на човешкото здраве и растителността, 92.6% са изпълнили изискуемия минимум за валидни 90% едночасови стойности за периода от май до юли, предвиден за изчисляване на индикатора AOT40.</w:t>
      </w:r>
      <w:r>
        <w:rPr>
          <w:rFonts w:cs="Times New Roman"/>
          <w:szCs w:val="24"/>
        </w:rPr>
        <w:t xml:space="preserve"> </w:t>
      </w:r>
      <w:r w:rsidRPr="00220F9E">
        <w:rPr>
          <w:rFonts w:cs="Times New Roman"/>
          <w:szCs w:val="24"/>
        </w:rPr>
        <w:t>През 2020 г. краткосрочната целева норма за приземния озон за опазване на растителността, представена като АОТ40, е превишена само в два от 27-те пункта за мониторинг, а именно в АИС „Юндола – ЕС2“ (регионална фонова станция) и в КФС „Рожен“ (отдалечена фонова станция).</w:t>
      </w:r>
    </w:p>
    <w:p w14:paraId="585D9906" w14:textId="77777777" w:rsidR="006E6FE8" w:rsidRPr="009F6D1E" w:rsidRDefault="006E6FE8" w:rsidP="00220F9E">
      <w:pPr>
        <w:autoSpaceDE w:val="0"/>
        <w:autoSpaceDN w:val="0"/>
        <w:adjustRightInd w:val="0"/>
        <w:spacing w:after="60" w:line="264" w:lineRule="auto"/>
        <w:ind w:firstLine="708"/>
        <w:jc w:val="both"/>
        <w:rPr>
          <w:rFonts w:cs="Times New Roman"/>
          <w:szCs w:val="24"/>
        </w:rPr>
      </w:pPr>
    </w:p>
    <w:p w14:paraId="19C45339" w14:textId="77777777" w:rsidR="00E1629C" w:rsidRPr="009F6D1E" w:rsidRDefault="00E1629C">
      <w:pPr>
        <w:pStyle w:val="ListParagraph"/>
        <w:numPr>
          <w:ilvl w:val="0"/>
          <w:numId w:val="43"/>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Серен диоксид</w:t>
      </w:r>
    </w:p>
    <w:p w14:paraId="1BB97598"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Серен диоксид се емитира при изгаряне на горива, съдържащи сяра. Вулканите са най-големият естествен източник на серен диоксид.</w:t>
      </w:r>
    </w:p>
    <w:p w14:paraId="34E1116D"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lastRenderedPageBreak/>
        <w:t>Серният диоксид може да повлияе на респираторната система, функцията на белите дробове и да предизвика дразнене на очите.</w:t>
      </w:r>
    </w:p>
    <w:p w14:paraId="7EC09868" w14:textId="77777777" w:rsidR="00FE2465" w:rsidRPr="00FE2465" w:rsidRDefault="00FE2465" w:rsidP="00FE2465">
      <w:pPr>
        <w:autoSpaceDE w:val="0"/>
        <w:autoSpaceDN w:val="0"/>
        <w:adjustRightInd w:val="0"/>
        <w:spacing w:after="60" w:line="264" w:lineRule="auto"/>
        <w:ind w:firstLine="708"/>
        <w:jc w:val="both"/>
        <w:rPr>
          <w:rFonts w:cs="Times New Roman"/>
          <w:szCs w:val="24"/>
        </w:rPr>
      </w:pPr>
      <w:r w:rsidRPr="00FE2465">
        <w:rPr>
          <w:rFonts w:cs="Times New Roman"/>
          <w:szCs w:val="24"/>
        </w:rPr>
        <w:t>В Агломерация „София“, Агломерация „Пловдив“, Агломерация „Варна“, както и в Югозападен и Северен РОУКАВ през 2020 г. не са регистрирани нарушения на КАВ по отношение на допустим брой превишения на нормите за съдържание на серен диоксид в атмосферния въздух, т.е. регистрираният брой превишения на праговите стойности е в рамките на допустимия или няма.</w:t>
      </w:r>
    </w:p>
    <w:p w14:paraId="3DA3C97D" w14:textId="09219543" w:rsidR="00FE2465" w:rsidRPr="00FE2465" w:rsidRDefault="00FE2465" w:rsidP="00FE2465">
      <w:pPr>
        <w:autoSpaceDE w:val="0"/>
        <w:autoSpaceDN w:val="0"/>
        <w:adjustRightInd w:val="0"/>
        <w:spacing w:after="60" w:line="264" w:lineRule="auto"/>
        <w:ind w:firstLine="708"/>
        <w:jc w:val="both"/>
        <w:rPr>
          <w:rFonts w:cs="Times New Roman"/>
          <w:szCs w:val="24"/>
        </w:rPr>
      </w:pPr>
      <w:r w:rsidRPr="00FE2465">
        <w:rPr>
          <w:rFonts w:cs="Times New Roman"/>
          <w:szCs w:val="24"/>
        </w:rPr>
        <w:t>През 2020 г. средноденонощната норма за серен диоксид е спазена и в Югоизточен РОУКАВ.</w:t>
      </w:r>
    </w:p>
    <w:p w14:paraId="2B5E10E1" w14:textId="657F4DD2" w:rsidR="00E1629C" w:rsidRPr="009F6D1E" w:rsidRDefault="00FE2465" w:rsidP="0084747F">
      <w:pPr>
        <w:autoSpaceDE w:val="0"/>
        <w:autoSpaceDN w:val="0"/>
        <w:adjustRightInd w:val="0"/>
        <w:spacing w:after="60" w:line="264" w:lineRule="auto"/>
        <w:jc w:val="center"/>
        <w:rPr>
          <w:rFonts w:cs="Times New Roman"/>
          <w:color w:val="BF8F00" w:themeColor="accent4" w:themeShade="BF"/>
          <w:szCs w:val="24"/>
        </w:rPr>
      </w:pPr>
      <w:r w:rsidRPr="00FE2465">
        <w:rPr>
          <w:rFonts w:cs="Times New Roman"/>
          <w:noProof/>
          <w:color w:val="BF8F00" w:themeColor="accent4" w:themeShade="BF"/>
          <w:szCs w:val="24"/>
          <w:lang w:val="en-US"/>
        </w:rPr>
        <w:drawing>
          <wp:inline distT="0" distB="0" distL="0" distR="0" wp14:anchorId="5FD9523F" wp14:editId="5044D7B1">
            <wp:extent cx="6120130" cy="2867025"/>
            <wp:effectExtent l="0" t="0" r="0" b="9525"/>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2867025"/>
                    </a:xfrm>
                    <a:prstGeom prst="rect">
                      <a:avLst/>
                    </a:prstGeom>
                  </pic:spPr>
                </pic:pic>
              </a:graphicData>
            </a:graphic>
          </wp:inline>
        </w:drawing>
      </w:r>
    </w:p>
    <w:p w14:paraId="52BA6207" w14:textId="3E665BFD" w:rsidR="00E1629C" w:rsidRPr="009F6D1E" w:rsidRDefault="00F16E3A" w:rsidP="00F16E3A">
      <w:pPr>
        <w:pStyle w:val="Caption"/>
      </w:pPr>
      <w:bookmarkStart w:id="207" w:name="_Toc115255089"/>
      <w:r w:rsidRPr="009F6D1E">
        <w:t xml:space="preserve">Фигура </w:t>
      </w:r>
      <w:fldSimple w:instr=" SEQ Фигура \* ARABIC ">
        <w:r w:rsidR="00A43EF3">
          <w:rPr>
            <w:noProof/>
          </w:rPr>
          <w:t>28</w:t>
        </w:r>
      </w:fldSimple>
      <w:r w:rsidRPr="009F6D1E">
        <w:t xml:space="preserve">: </w:t>
      </w:r>
      <w:r w:rsidR="00E1629C" w:rsidRPr="009F6D1E">
        <w:t>Нива на замърсяване на атмосферния въздух със серен диоксид по РОУКАВ през 20</w:t>
      </w:r>
      <w:r w:rsidR="00FE2465">
        <w:t>20</w:t>
      </w:r>
      <w:r w:rsidR="00E1629C" w:rsidRPr="009F6D1E">
        <w:t xml:space="preserve"> год.</w:t>
      </w:r>
      <w:bookmarkEnd w:id="207"/>
    </w:p>
    <w:p w14:paraId="534F7BA9" w14:textId="77777777" w:rsidR="00E1629C" w:rsidRPr="009F6D1E" w:rsidRDefault="00E1629C" w:rsidP="0084747F">
      <w:pPr>
        <w:autoSpaceDE w:val="0"/>
        <w:autoSpaceDN w:val="0"/>
        <w:adjustRightInd w:val="0"/>
        <w:spacing w:after="60" w:line="264" w:lineRule="auto"/>
        <w:jc w:val="center"/>
        <w:rPr>
          <w:rFonts w:cs="Times New Roman"/>
          <w:b/>
          <w:bCs/>
          <w:szCs w:val="24"/>
        </w:rPr>
      </w:pPr>
    </w:p>
    <w:p w14:paraId="2B47E96C" w14:textId="046FB5BC" w:rsidR="00E1629C" w:rsidRPr="009F6D1E" w:rsidRDefault="00FE2465" w:rsidP="0084747F">
      <w:pPr>
        <w:autoSpaceDE w:val="0"/>
        <w:autoSpaceDN w:val="0"/>
        <w:adjustRightInd w:val="0"/>
        <w:spacing w:after="60" w:line="264" w:lineRule="auto"/>
        <w:jc w:val="center"/>
        <w:rPr>
          <w:rFonts w:cs="Times New Roman"/>
          <w:szCs w:val="24"/>
        </w:rPr>
      </w:pPr>
      <w:r w:rsidRPr="00FE2465">
        <w:rPr>
          <w:rFonts w:cs="Times New Roman"/>
          <w:noProof/>
          <w:szCs w:val="24"/>
          <w:lang w:val="en-US"/>
        </w:rPr>
        <w:drawing>
          <wp:inline distT="0" distB="0" distL="0" distR="0" wp14:anchorId="4C9BAB90" wp14:editId="0F4B5F7C">
            <wp:extent cx="6120130" cy="2224405"/>
            <wp:effectExtent l="0" t="0" r="0" b="444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2224405"/>
                    </a:xfrm>
                    <a:prstGeom prst="rect">
                      <a:avLst/>
                    </a:prstGeom>
                  </pic:spPr>
                </pic:pic>
              </a:graphicData>
            </a:graphic>
          </wp:inline>
        </w:drawing>
      </w:r>
    </w:p>
    <w:p w14:paraId="00D2A4B6" w14:textId="3ED166F4" w:rsidR="00E1629C" w:rsidRPr="009F6D1E" w:rsidRDefault="00F16E3A" w:rsidP="00F16E3A">
      <w:pPr>
        <w:pStyle w:val="Caption"/>
      </w:pPr>
      <w:bookmarkStart w:id="208" w:name="_Toc115255090"/>
      <w:r w:rsidRPr="009F6D1E">
        <w:t xml:space="preserve">Фигура </w:t>
      </w:r>
      <w:fldSimple w:instr=" SEQ Фигура \* ARABIC ">
        <w:r w:rsidR="00A43EF3">
          <w:rPr>
            <w:noProof/>
          </w:rPr>
          <w:t>29</w:t>
        </w:r>
      </w:fldSimple>
      <w:r w:rsidRPr="009F6D1E">
        <w:t xml:space="preserve">: </w:t>
      </w:r>
      <w:r w:rsidR="00E1629C" w:rsidRPr="009F6D1E">
        <w:rPr>
          <w:rFonts w:eastAsia="Times New Roman,Bold"/>
        </w:rPr>
        <w:t xml:space="preserve"> Превишения на нормите за SO</w:t>
      </w:r>
      <w:r w:rsidR="00E1629C" w:rsidRPr="009F6D1E">
        <w:rPr>
          <w:rFonts w:eastAsia="Times New Roman,Bold"/>
          <w:vertAlign w:val="subscript"/>
        </w:rPr>
        <w:t>2</w:t>
      </w:r>
      <w:r w:rsidR="00E1629C" w:rsidRPr="009F6D1E">
        <w:rPr>
          <w:rFonts w:eastAsia="Times New Roman,Bold"/>
        </w:rPr>
        <w:t xml:space="preserve"> за 20</w:t>
      </w:r>
      <w:r w:rsidR="00FE2465">
        <w:rPr>
          <w:rFonts w:eastAsia="Times New Roman,Bold"/>
        </w:rPr>
        <w:t>20</w:t>
      </w:r>
      <w:r w:rsidR="00E1629C" w:rsidRPr="009F6D1E">
        <w:rPr>
          <w:rFonts w:eastAsia="Times New Roman,Bold"/>
        </w:rPr>
        <w:t xml:space="preserve"> г.</w:t>
      </w:r>
      <w:bookmarkEnd w:id="208"/>
      <w:r w:rsidR="00E1629C" w:rsidRPr="009F6D1E">
        <w:t xml:space="preserve"> </w:t>
      </w:r>
    </w:p>
    <w:p w14:paraId="5EBB1881" w14:textId="77777777" w:rsidR="00FE2465" w:rsidRPr="00FE2465" w:rsidRDefault="00FE2465" w:rsidP="00FE2465">
      <w:pPr>
        <w:autoSpaceDE w:val="0"/>
        <w:autoSpaceDN w:val="0"/>
        <w:adjustRightInd w:val="0"/>
        <w:spacing w:after="60" w:line="264" w:lineRule="auto"/>
        <w:ind w:firstLine="708"/>
        <w:jc w:val="both"/>
        <w:rPr>
          <w:rFonts w:cs="Times New Roman"/>
          <w:szCs w:val="24"/>
        </w:rPr>
      </w:pPr>
      <w:r w:rsidRPr="00FE2465">
        <w:rPr>
          <w:rFonts w:cs="Times New Roman"/>
          <w:szCs w:val="24"/>
        </w:rPr>
        <w:lastRenderedPageBreak/>
        <w:t>През 2020 г. са регистрирани превишения на СЧН за SO2 в АИС „Гълъбово” - 28 броя, в АИС „Перник – Център“ – 23 броя, и в АИС „Сливен“ – 1 брой, като единствено в АИС „Гълъбово“ са регистрирани повече от допустимия брой превишения за една календарна година.</w:t>
      </w:r>
    </w:p>
    <w:p w14:paraId="4AA7FE14" w14:textId="77777777" w:rsidR="00FE2465" w:rsidRPr="00FE2465" w:rsidRDefault="00FE2465" w:rsidP="00FE2465">
      <w:pPr>
        <w:autoSpaceDE w:val="0"/>
        <w:autoSpaceDN w:val="0"/>
        <w:adjustRightInd w:val="0"/>
        <w:spacing w:after="60" w:line="264" w:lineRule="auto"/>
        <w:ind w:firstLine="708"/>
        <w:jc w:val="both"/>
        <w:rPr>
          <w:rFonts w:cs="Times New Roman"/>
          <w:szCs w:val="24"/>
        </w:rPr>
      </w:pPr>
      <w:r w:rsidRPr="00FE2465">
        <w:rPr>
          <w:rFonts w:cs="Times New Roman"/>
          <w:szCs w:val="24"/>
        </w:rPr>
        <w:t>Средноденонощната норма за SO2 е спазена през 2020 г. Регистрираните превишения са в рамките на допустимите 3 броя – в АИС „Перник – Център“ 3 превишения и в АИС „Гълъбово“ 2 превишения.</w:t>
      </w:r>
    </w:p>
    <w:p w14:paraId="29CB30B7" w14:textId="77777777" w:rsidR="00FE2465" w:rsidRPr="00FE2465" w:rsidRDefault="00FE2465" w:rsidP="00FE2465">
      <w:pPr>
        <w:autoSpaceDE w:val="0"/>
        <w:autoSpaceDN w:val="0"/>
        <w:adjustRightInd w:val="0"/>
        <w:spacing w:after="60" w:line="264" w:lineRule="auto"/>
        <w:ind w:firstLine="708"/>
        <w:jc w:val="both"/>
        <w:rPr>
          <w:rFonts w:cs="Times New Roman"/>
          <w:szCs w:val="24"/>
        </w:rPr>
      </w:pPr>
      <w:r w:rsidRPr="00FE2465">
        <w:rPr>
          <w:rFonts w:cs="Times New Roman"/>
          <w:szCs w:val="24"/>
        </w:rPr>
        <w:t>През 2020 г. са регистрирани по 2 превишения на алармения праг за серен диоксид в АИС „Гълъбово“ (на 14 и 26.03.2020 г.) и в АИС „Перник – Център“ (на 15.01.2020 г.).</w:t>
      </w:r>
    </w:p>
    <w:p w14:paraId="696E2458" w14:textId="628E7101" w:rsidR="00E1629C" w:rsidRPr="009F6D1E" w:rsidRDefault="00917F7E" w:rsidP="0084747F">
      <w:pPr>
        <w:autoSpaceDE w:val="0"/>
        <w:autoSpaceDN w:val="0"/>
        <w:adjustRightInd w:val="0"/>
        <w:spacing w:after="60" w:line="264" w:lineRule="auto"/>
        <w:jc w:val="center"/>
        <w:rPr>
          <w:rFonts w:cs="Times New Roman"/>
          <w:color w:val="BF8F00" w:themeColor="accent4" w:themeShade="BF"/>
          <w:szCs w:val="24"/>
        </w:rPr>
      </w:pPr>
      <w:r w:rsidRPr="00917F7E">
        <w:rPr>
          <w:rFonts w:cs="Times New Roman"/>
          <w:noProof/>
          <w:color w:val="BF8F00" w:themeColor="accent4" w:themeShade="BF"/>
          <w:szCs w:val="24"/>
          <w:lang w:val="en-US"/>
        </w:rPr>
        <w:drawing>
          <wp:inline distT="0" distB="0" distL="0" distR="0" wp14:anchorId="0D922615" wp14:editId="30F850A9">
            <wp:extent cx="6120130" cy="1799590"/>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1799590"/>
                    </a:xfrm>
                    <a:prstGeom prst="rect">
                      <a:avLst/>
                    </a:prstGeom>
                  </pic:spPr>
                </pic:pic>
              </a:graphicData>
            </a:graphic>
          </wp:inline>
        </w:drawing>
      </w:r>
    </w:p>
    <w:p w14:paraId="41753350" w14:textId="288D6A51" w:rsidR="00E1629C" w:rsidRPr="009F6D1E" w:rsidRDefault="00F16E3A" w:rsidP="00F16E3A">
      <w:pPr>
        <w:pStyle w:val="Caption"/>
      </w:pPr>
      <w:bookmarkStart w:id="209" w:name="_Toc115255091"/>
      <w:r w:rsidRPr="009F6D1E">
        <w:t xml:space="preserve">Фигура </w:t>
      </w:r>
      <w:fldSimple w:instr=" SEQ Фигура \* ARABIC ">
        <w:r w:rsidR="00A43EF3">
          <w:rPr>
            <w:noProof/>
          </w:rPr>
          <w:t>30</w:t>
        </w:r>
      </w:fldSimple>
      <w:r w:rsidRPr="009F6D1E">
        <w:t xml:space="preserve">: </w:t>
      </w:r>
      <w:r w:rsidR="00E1629C" w:rsidRPr="009F6D1E">
        <w:t>Пунктове с превишения на средночасовата норма за SO</w:t>
      </w:r>
      <w:r w:rsidR="00E1629C" w:rsidRPr="009F6D1E">
        <w:rPr>
          <w:vertAlign w:val="subscript"/>
        </w:rPr>
        <w:t>2</w:t>
      </w:r>
      <w:r w:rsidR="00E1629C" w:rsidRPr="009F6D1E">
        <w:t xml:space="preserve"> за периода 20</w:t>
      </w:r>
      <w:r w:rsidR="00917F7E">
        <w:t>16</w:t>
      </w:r>
      <w:r w:rsidR="00E1629C" w:rsidRPr="009F6D1E">
        <w:t xml:space="preserve"> г. – 20</w:t>
      </w:r>
      <w:r w:rsidR="00917F7E">
        <w:t>20</w:t>
      </w:r>
      <w:r w:rsidR="00E1629C" w:rsidRPr="009F6D1E">
        <w:t xml:space="preserve"> г.</w:t>
      </w:r>
      <w:bookmarkEnd w:id="209"/>
    </w:p>
    <w:p w14:paraId="483E5AC1" w14:textId="77777777" w:rsidR="00E1629C" w:rsidRPr="009F6D1E" w:rsidRDefault="00E1629C">
      <w:pPr>
        <w:pStyle w:val="ListParagraph"/>
        <w:numPr>
          <w:ilvl w:val="0"/>
          <w:numId w:val="44"/>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Азотен диоксид</w:t>
      </w:r>
    </w:p>
    <w:p w14:paraId="1B2C7E06"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Азотният диоксид е газ, образуващ се основно от окислението на азотен оксид (NO). Високотемпературни горивни процеси (от двигатели на коли и електроцентрали) са главните източници на азотни оксиди (NO и NO</w:t>
      </w:r>
      <w:r w:rsidRPr="009F6D1E">
        <w:rPr>
          <w:rFonts w:cs="Times New Roman"/>
          <w:szCs w:val="24"/>
          <w:vertAlign w:val="subscript"/>
        </w:rPr>
        <w:t>2</w:t>
      </w:r>
      <w:r w:rsidRPr="009F6D1E">
        <w:rPr>
          <w:rFonts w:cs="Times New Roman"/>
          <w:szCs w:val="24"/>
        </w:rPr>
        <w:t xml:space="preserve">). По-голямата част от емисиите на </w:t>
      </w:r>
      <w:proofErr w:type="spellStart"/>
      <w:r w:rsidRPr="009F6D1E">
        <w:rPr>
          <w:rFonts w:cs="Times New Roman"/>
          <w:szCs w:val="24"/>
        </w:rPr>
        <w:t>NOx</w:t>
      </w:r>
      <w:proofErr w:type="spellEnd"/>
      <w:r w:rsidRPr="009F6D1E">
        <w:rPr>
          <w:rFonts w:cs="Times New Roman"/>
          <w:szCs w:val="24"/>
        </w:rPr>
        <w:t xml:space="preserve"> са емисии на NO, от 5 до 10% са NO</w:t>
      </w:r>
      <w:r w:rsidRPr="009F6D1E">
        <w:rPr>
          <w:rFonts w:cs="Times New Roman"/>
          <w:szCs w:val="24"/>
          <w:vertAlign w:val="subscript"/>
        </w:rPr>
        <w:t>2</w:t>
      </w:r>
      <w:r w:rsidRPr="009F6D1E">
        <w:rPr>
          <w:rFonts w:cs="Times New Roman"/>
          <w:szCs w:val="24"/>
        </w:rPr>
        <w:t>. Изключения правят дизеловите автомобили, които емитират повече от 70% NO</w:t>
      </w:r>
      <w:r w:rsidRPr="009F6D1E">
        <w:rPr>
          <w:rFonts w:cs="Times New Roman"/>
          <w:szCs w:val="24"/>
          <w:vertAlign w:val="subscript"/>
        </w:rPr>
        <w:t>2</w:t>
      </w:r>
      <w:r w:rsidRPr="009F6D1E">
        <w:rPr>
          <w:rFonts w:cs="Times New Roman"/>
          <w:szCs w:val="24"/>
        </w:rPr>
        <w:t xml:space="preserve"> от </w:t>
      </w:r>
      <w:proofErr w:type="spellStart"/>
      <w:r w:rsidRPr="009F6D1E">
        <w:rPr>
          <w:rFonts w:cs="Times New Roman"/>
          <w:szCs w:val="24"/>
        </w:rPr>
        <w:t>NOх</w:t>
      </w:r>
      <w:proofErr w:type="spellEnd"/>
      <w:r w:rsidRPr="009F6D1E">
        <w:rPr>
          <w:rFonts w:cs="Times New Roman"/>
          <w:szCs w:val="24"/>
        </w:rPr>
        <w:t>.</w:t>
      </w:r>
    </w:p>
    <w:p w14:paraId="14EB72D7"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Азотният диоксид е замърсител, който основно засяга дихателната система, като здравните проблеми са промяна в белодробната функция и увеличена чувствителност към белодробни инфекции.</w:t>
      </w:r>
    </w:p>
    <w:p w14:paraId="27A16099" w14:textId="20D5CC1B"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Средночасовата норма за този замърсител е спазена във всички пунктове от Националната система за мониторинг на качеството на атмосферния въздух през 20</w:t>
      </w:r>
      <w:r w:rsidR="001E600F">
        <w:rPr>
          <w:rFonts w:cs="Times New Roman"/>
          <w:szCs w:val="24"/>
        </w:rPr>
        <w:t>20</w:t>
      </w:r>
      <w:r w:rsidRPr="009F6D1E">
        <w:rPr>
          <w:rFonts w:cs="Times New Roman"/>
          <w:szCs w:val="24"/>
        </w:rPr>
        <w:t xml:space="preserve"> г. </w:t>
      </w:r>
      <w:r w:rsidR="001E600F" w:rsidRPr="001E600F">
        <w:rPr>
          <w:rFonts w:cs="Times New Roman"/>
          <w:szCs w:val="24"/>
        </w:rPr>
        <w:t>За всички пунктове, за които има достатъчен обхват на данни за изчисляване на средногодишната стойност през 2020 г., не е регистрирано превишение на средногодишната норма за азотен диоксид.</w:t>
      </w:r>
    </w:p>
    <w:p w14:paraId="750393C9" w14:textId="43D5B7E1" w:rsidR="00E1629C" w:rsidRPr="009F6D1E" w:rsidRDefault="001E600F" w:rsidP="0084747F">
      <w:pPr>
        <w:autoSpaceDE w:val="0"/>
        <w:autoSpaceDN w:val="0"/>
        <w:adjustRightInd w:val="0"/>
        <w:spacing w:after="60" w:line="264" w:lineRule="auto"/>
        <w:jc w:val="center"/>
        <w:rPr>
          <w:rFonts w:cs="Times New Roman"/>
          <w:color w:val="BF8F00" w:themeColor="accent4" w:themeShade="BF"/>
          <w:szCs w:val="24"/>
        </w:rPr>
      </w:pPr>
      <w:r w:rsidRPr="001E600F">
        <w:rPr>
          <w:rFonts w:cs="Times New Roman"/>
          <w:noProof/>
          <w:color w:val="BF8F00" w:themeColor="accent4" w:themeShade="BF"/>
          <w:szCs w:val="24"/>
          <w:lang w:val="en-US"/>
        </w:rPr>
        <w:lastRenderedPageBreak/>
        <w:drawing>
          <wp:inline distT="0" distB="0" distL="0" distR="0" wp14:anchorId="78FC16FD" wp14:editId="13485995">
            <wp:extent cx="6120130" cy="30892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3089275"/>
                    </a:xfrm>
                    <a:prstGeom prst="rect">
                      <a:avLst/>
                    </a:prstGeom>
                  </pic:spPr>
                </pic:pic>
              </a:graphicData>
            </a:graphic>
          </wp:inline>
        </w:drawing>
      </w:r>
    </w:p>
    <w:p w14:paraId="25498DCB" w14:textId="514194A1" w:rsidR="00E1629C" w:rsidRPr="009F6D1E" w:rsidRDefault="00F16E3A" w:rsidP="00F16E3A">
      <w:pPr>
        <w:pStyle w:val="Caption"/>
        <w:rPr>
          <w:color w:val="BF8F00" w:themeColor="accent4" w:themeShade="BF"/>
        </w:rPr>
      </w:pPr>
      <w:bookmarkStart w:id="210" w:name="_Toc115255092"/>
      <w:r w:rsidRPr="009F6D1E">
        <w:t xml:space="preserve">Фигура </w:t>
      </w:r>
      <w:fldSimple w:instr=" SEQ Фигура \* ARABIC ">
        <w:r w:rsidR="00A43EF3">
          <w:rPr>
            <w:noProof/>
          </w:rPr>
          <w:t>31</w:t>
        </w:r>
      </w:fldSimple>
      <w:r w:rsidRPr="009F6D1E">
        <w:t xml:space="preserve">: </w:t>
      </w:r>
      <w:r w:rsidR="00E1629C" w:rsidRPr="009F6D1E">
        <w:t>Нива на замърсяване на атмосферния въздух с азотен диоксид през 20</w:t>
      </w:r>
      <w:r w:rsidR="001E600F">
        <w:t>20</w:t>
      </w:r>
      <w:r w:rsidR="00E1629C" w:rsidRPr="009F6D1E">
        <w:t xml:space="preserve"> год</w:t>
      </w:r>
      <w:r w:rsidR="00E1629C" w:rsidRPr="009F6D1E">
        <w:rPr>
          <w:color w:val="BF8F00" w:themeColor="accent4" w:themeShade="BF"/>
        </w:rPr>
        <w:t>.</w:t>
      </w:r>
      <w:bookmarkEnd w:id="210"/>
    </w:p>
    <w:p w14:paraId="11D15D52" w14:textId="37123E3D" w:rsidR="00E1629C" w:rsidRPr="009F6D1E" w:rsidRDefault="001E600F" w:rsidP="0084747F">
      <w:pPr>
        <w:autoSpaceDE w:val="0"/>
        <w:autoSpaceDN w:val="0"/>
        <w:adjustRightInd w:val="0"/>
        <w:spacing w:after="60" w:line="264" w:lineRule="auto"/>
        <w:jc w:val="center"/>
        <w:rPr>
          <w:rFonts w:cs="Times New Roman"/>
          <w:color w:val="BF8F00" w:themeColor="accent4" w:themeShade="BF"/>
          <w:szCs w:val="24"/>
        </w:rPr>
      </w:pPr>
      <w:r w:rsidRPr="001E600F">
        <w:rPr>
          <w:rFonts w:cs="Times New Roman"/>
          <w:noProof/>
          <w:color w:val="BF8F00" w:themeColor="accent4" w:themeShade="BF"/>
          <w:szCs w:val="24"/>
          <w:lang w:val="en-US"/>
        </w:rPr>
        <w:drawing>
          <wp:inline distT="0" distB="0" distL="0" distR="0" wp14:anchorId="51EA7F34" wp14:editId="33B03B15">
            <wp:extent cx="6120130" cy="210312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2103120"/>
                    </a:xfrm>
                    <a:prstGeom prst="rect">
                      <a:avLst/>
                    </a:prstGeom>
                  </pic:spPr>
                </pic:pic>
              </a:graphicData>
            </a:graphic>
          </wp:inline>
        </w:drawing>
      </w:r>
    </w:p>
    <w:p w14:paraId="27F5CB96" w14:textId="351BFDB6" w:rsidR="00E1629C" w:rsidRPr="009F6D1E" w:rsidRDefault="00F16E3A" w:rsidP="00F16E3A">
      <w:pPr>
        <w:pStyle w:val="Caption"/>
      </w:pPr>
      <w:bookmarkStart w:id="211" w:name="_Toc115255093"/>
      <w:r w:rsidRPr="009F6D1E">
        <w:t xml:space="preserve">Фигура </w:t>
      </w:r>
      <w:fldSimple w:instr=" SEQ Фигура \* ARABIC ">
        <w:r w:rsidR="00A43EF3">
          <w:rPr>
            <w:noProof/>
          </w:rPr>
          <w:t>32</w:t>
        </w:r>
      </w:fldSimple>
      <w:r w:rsidRPr="009F6D1E">
        <w:t xml:space="preserve">: </w:t>
      </w:r>
      <w:r w:rsidR="00E1629C" w:rsidRPr="009F6D1E">
        <w:t>Пунктове с превишения на средночасовата норма за азотен диоксид за 20</w:t>
      </w:r>
      <w:r w:rsidR="001E600F">
        <w:t>20</w:t>
      </w:r>
      <w:r w:rsidR="00E1629C" w:rsidRPr="009F6D1E">
        <w:t xml:space="preserve"> г.</w:t>
      </w:r>
      <w:bookmarkEnd w:id="211"/>
    </w:p>
    <w:p w14:paraId="1B900732" w14:textId="3E82F119" w:rsidR="005167BE" w:rsidRPr="009F6D1E" w:rsidRDefault="001E600F" w:rsidP="001E600F">
      <w:pPr>
        <w:autoSpaceDE w:val="0"/>
        <w:autoSpaceDN w:val="0"/>
        <w:adjustRightInd w:val="0"/>
        <w:spacing w:after="60" w:line="264" w:lineRule="auto"/>
        <w:ind w:firstLine="708"/>
        <w:jc w:val="both"/>
        <w:rPr>
          <w:rFonts w:cs="Times New Roman"/>
          <w:szCs w:val="24"/>
        </w:rPr>
      </w:pPr>
      <w:r w:rsidRPr="001E600F">
        <w:rPr>
          <w:rFonts w:cs="Times New Roman"/>
          <w:szCs w:val="24"/>
        </w:rPr>
        <w:t>През 2020 г. не са регистрирани повече от допустимия брой превишения на средночасовата норма в нито един пункт за мониторинг, в които има достатъчен обхват на данни. Превишения на средногодишната норма за азотен диоксид, в пунктовете, в които данните са достатъчни за образуване на средногодишна стойност,  няма  регистрирани превишения на нормата. В АИС „Пловдив – ж.к. Тракия“, където предишната година средногодишната норма е била превишена, няма необходимия обхват на данните за изчисляване на средногодишна стойност.</w:t>
      </w:r>
    </w:p>
    <w:p w14:paraId="25157954" w14:textId="2876A674" w:rsidR="00E1629C" w:rsidRPr="009F6D1E" w:rsidRDefault="001E600F" w:rsidP="0084747F">
      <w:pPr>
        <w:autoSpaceDE w:val="0"/>
        <w:autoSpaceDN w:val="0"/>
        <w:adjustRightInd w:val="0"/>
        <w:spacing w:after="60" w:line="264" w:lineRule="auto"/>
        <w:jc w:val="center"/>
        <w:rPr>
          <w:rFonts w:cs="Times New Roman"/>
          <w:color w:val="BF8F00" w:themeColor="accent4" w:themeShade="BF"/>
          <w:szCs w:val="24"/>
        </w:rPr>
      </w:pPr>
      <w:r w:rsidRPr="001E600F">
        <w:rPr>
          <w:rFonts w:cs="Times New Roman"/>
          <w:noProof/>
          <w:color w:val="BF8F00" w:themeColor="accent4" w:themeShade="BF"/>
          <w:szCs w:val="24"/>
          <w:lang w:val="en-US"/>
        </w:rPr>
        <w:lastRenderedPageBreak/>
        <w:drawing>
          <wp:inline distT="0" distB="0" distL="0" distR="0" wp14:anchorId="6ADC773F" wp14:editId="65B29F5D">
            <wp:extent cx="6120130" cy="1503045"/>
            <wp:effectExtent l="0" t="0" r="0" b="190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1503045"/>
                    </a:xfrm>
                    <a:prstGeom prst="rect">
                      <a:avLst/>
                    </a:prstGeom>
                  </pic:spPr>
                </pic:pic>
              </a:graphicData>
            </a:graphic>
          </wp:inline>
        </w:drawing>
      </w:r>
    </w:p>
    <w:p w14:paraId="43DC437D" w14:textId="26453E8B" w:rsidR="00E1629C" w:rsidRPr="009F6D1E" w:rsidRDefault="00F16E3A" w:rsidP="00F16E3A">
      <w:pPr>
        <w:pStyle w:val="Caption"/>
        <w:rPr>
          <w:color w:val="BF8F00" w:themeColor="accent4" w:themeShade="BF"/>
          <w:vertAlign w:val="superscript"/>
        </w:rPr>
      </w:pPr>
      <w:bookmarkStart w:id="212" w:name="_Toc115255094"/>
      <w:r w:rsidRPr="009F6D1E">
        <w:t xml:space="preserve">Фигура </w:t>
      </w:r>
      <w:fldSimple w:instr=" SEQ Фигура \* ARABIC ">
        <w:r w:rsidR="00A43EF3">
          <w:rPr>
            <w:noProof/>
          </w:rPr>
          <w:t>33</w:t>
        </w:r>
      </w:fldSimple>
      <w:r w:rsidRPr="009F6D1E">
        <w:t xml:space="preserve">: </w:t>
      </w:r>
      <w:r w:rsidR="00E1629C" w:rsidRPr="009F6D1E">
        <w:t>Средногодишни стойности на концентрацията на азотен диоксид в АИС "Пловдив - ж.к. Тракия" за периода 2016-20</w:t>
      </w:r>
      <w:r w:rsidR="001E600F">
        <w:t>20</w:t>
      </w:r>
      <w:r w:rsidR="00E1629C" w:rsidRPr="009F6D1E">
        <w:t xml:space="preserve"> г. , </w:t>
      </w:r>
      <w:proofErr w:type="spellStart"/>
      <w:r w:rsidR="00E1629C" w:rsidRPr="009F6D1E">
        <w:t>μg</w:t>
      </w:r>
      <w:proofErr w:type="spellEnd"/>
      <w:r w:rsidR="00E1629C" w:rsidRPr="009F6D1E">
        <w:t>/m</w:t>
      </w:r>
      <w:r w:rsidR="00E1629C" w:rsidRPr="009F6D1E">
        <w:rPr>
          <w:vertAlign w:val="superscript"/>
        </w:rPr>
        <w:t>3</w:t>
      </w:r>
      <w:bookmarkEnd w:id="212"/>
    </w:p>
    <w:p w14:paraId="7415E02F" w14:textId="77777777" w:rsidR="00252A54" w:rsidRPr="009F6D1E" w:rsidRDefault="00252A54" w:rsidP="0084747F">
      <w:pPr>
        <w:autoSpaceDE w:val="0"/>
        <w:autoSpaceDN w:val="0"/>
        <w:adjustRightInd w:val="0"/>
        <w:spacing w:after="60" w:line="264" w:lineRule="auto"/>
        <w:jc w:val="center"/>
        <w:rPr>
          <w:rFonts w:cs="Times New Roman"/>
          <w:color w:val="BF8F00" w:themeColor="accent4" w:themeShade="BF"/>
          <w:szCs w:val="24"/>
        </w:rPr>
      </w:pPr>
    </w:p>
    <w:p w14:paraId="064659BF" w14:textId="77777777" w:rsidR="00E1629C" w:rsidRPr="009F6D1E" w:rsidRDefault="00E1629C">
      <w:pPr>
        <w:pStyle w:val="ListParagraph"/>
        <w:numPr>
          <w:ilvl w:val="0"/>
          <w:numId w:val="45"/>
        </w:numPr>
        <w:autoSpaceDE w:val="0"/>
        <w:autoSpaceDN w:val="0"/>
        <w:adjustRightInd w:val="0"/>
        <w:spacing w:after="60" w:line="264" w:lineRule="auto"/>
        <w:jc w:val="both"/>
        <w:rPr>
          <w:b/>
          <w:bCs/>
          <w:i/>
          <w:iCs/>
          <w:color w:val="000000" w:themeColor="text1"/>
          <w:lang w:val="bg-BG"/>
        </w:rPr>
      </w:pPr>
      <w:proofErr w:type="spellStart"/>
      <w:r w:rsidRPr="009F6D1E">
        <w:rPr>
          <w:b/>
          <w:bCs/>
          <w:i/>
          <w:iCs/>
          <w:color w:val="000000" w:themeColor="text1"/>
          <w:lang w:val="bg-BG"/>
        </w:rPr>
        <w:t>Полициклични</w:t>
      </w:r>
      <w:proofErr w:type="spellEnd"/>
      <w:r w:rsidRPr="009F6D1E">
        <w:rPr>
          <w:b/>
          <w:bCs/>
          <w:i/>
          <w:iCs/>
          <w:color w:val="000000" w:themeColor="text1"/>
          <w:lang w:val="bg-BG"/>
        </w:rPr>
        <w:t xml:space="preserve"> ароматни въглеводороди</w:t>
      </w:r>
    </w:p>
    <w:p w14:paraId="53EDB2CD"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proofErr w:type="spellStart"/>
      <w:r w:rsidRPr="009F6D1E">
        <w:rPr>
          <w:rFonts w:cs="Times New Roman"/>
          <w:szCs w:val="24"/>
        </w:rPr>
        <w:t>Бензо</w:t>
      </w:r>
      <w:proofErr w:type="spellEnd"/>
      <w:r w:rsidRPr="009F6D1E">
        <w:rPr>
          <w:rFonts w:cs="Times New Roman"/>
          <w:szCs w:val="24"/>
        </w:rPr>
        <w:t xml:space="preserve">(а)пиренът е ПАВ, който се изолира в проби от ФПЧ10. Получава се при непълно изгаряне на различни горива. Основните източници на </w:t>
      </w:r>
      <w:proofErr w:type="spellStart"/>
      <w:r w:rsidRPr="009F6D1E">
        <w:rPr>
          <w:rFonts w:cs="Times New Roman"/>
          <w:szCs w:val="24"/>
        </w:rPr>
        <w:t>бензо</w:t>
      </w:r>
      <w:proofErr w:type="spellEnd"/>
      <w:r w:rsidRPr="009F6D1E">
        <w:rPr>
          <w:rFonts w:cs="Times New Roman"/>
          <w:szCs w:val="24"/>
        </w:rPr>
        <w:t>(а)пирена са битово отопление (най-вече изгарянето на дърва, въглища и отпадъци), производството на кокс и стомана, както и пътния трафик. Други източници са пожарите.</w:t>
      </w:r>
    </w:p>
    <w:p w14:paraId="60F14813"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proofErr w:type="spellStart"/>
      <w:r w:rsidRPr="009F6D1E">
        <w:rPr>
          <w:rFonts w:cs="Times New Roman"/>
          <w:szCs w:val="24"/>
        </w:rPr>
        <w:t>Бензо</w:t>
      </w:r>
      <w:proofErr w:type="spellEnd"/>
      <w:r w:rsidRPr="009F6D1E">
        <w:rPr>
          <w:rFonts w:cs="Times New Roman"/>
          <w:szCs w:val="24"/>
        </w:rPr>
        <w:t xml:space="preserve">(а)пиренът е канцерогенен, а </w:t>
      </w:r>
      <w:proofErr w:type="spellStart"/>
      <w:r w:rsidRPr="009F6D1E">
        <w:rPr>
          <w:rFonts w:cs="Times New Roman"/>
          <w:szCs w:val="24"/>
        </w:rPr>
        <w:t>пренаталната</w:t>
      </w:r>
      <w:proofErr w:type="spellEnd"/>
      <w:r w:rsidRPr="009F6D1E">
        <w:rPr>
          <w:rFonts w:cs="Times New Roman"/>
          <w:szCs w:val="24"/>
        </w:rPr>
        <w:t xml:space="preserve"> му експозиция води до намалено тегло при новородените.</w:t>
      </w:r>
    </w:p>
    <w:p w14:paraId="2F9F569F" w14:textId="77777777" w:rsidR="00A831BA" w:rsidRDefault="00A831BA" w:rsidP="00A831BA">
      <w:pPr>
        <w:autoSpaceDE w:val="0"/>
        <w:autoSpaceDN w:val="0"/>
        <w:adjustRightInd w:val="0"/>
        <w:spacing w:after="60" w:line="264" w:lineRule="auto"/>
        <w:ind w:firstLine="708"/>
        <w:jc w:val="both"/>
        <w:rPr>
          <w:rFonts w:cs="Times New Roman"/>
          <w:szCs w:val="24"/>
        </w:rPr>
      </w:pPr>
      <w:r w:rsidRPr="00A831BA">
        <w:rPr>
          <w:rFonts w:cs="Times New Roman"/>
          <w:szCs w:val="24"/>
        </w:rPr>
        <w:t xml:space="preserve">Съдържанието на </w:t>
      </w:r>
      <w:proofErr w:type="spellStart"/>
      <w:r w:rsidRPr="00A831BA">
        <w:rPr>
          <w:rFonts w:cs="Times New Roman"/>
          <w:szCs w:val="24"/>
        </w:rPr>
        <w:t>полициклични</w:t>
      </w:r>
      <w:proofErr w:type="spellEnd"/>
      <w:r w:rsidRPr="00A831BA">
        <w:rPr>
          <w:rFonts w:cs="Times New Roman"/>
          <w:szCs w:val="24"/>
        </w:rPr>
        <w:t xml:space="preserve"> ароматни въглеводороди в атмосферния въздух се контролира в 16 пункта. През 2020 г. в 7 пункта в 4 РОУКАВ е регистрирано превишение на СГН за съдържание на ПАВ в атмосферния въздух.</w:t>
      </w:r>
    </w:p>
    <w:p w14:paraId="7A129360" w14:textId="682B4988" w:rsidR="00E1629C" w:rsidRPr="009F6D1E" w:rsidRDefault="00A831BA" w:rsidP="0084747F">
      <w:pPr>
        <w:autoSpaceDE w:val="0"/>
        <w:autoSpaceDN w:val="0"/>
        <w:adjustRightInd w:val="0"/>
        <w:spacing w:after="60" w:line="264" w:lineRule="auto"/>
        <w:jc w:val="center"/>
        <w:rPr>
          <w:rFonts w:cs="Times New Roman"/>
          <w:color w:val="BF8F00" w:themeColor="accent4" w:themeShade="BF"/>
          <w:szCs w:val="24"/>
        </w:rPr>
      </w:pPr>
      <w:r w:rsidRPr="00A831BA">
        <w:rPr>
          <w:rFonts w:cs="Times New Roman"/>
          <w:noProof/>
          <w:color w:val="BF8F00" w:themeColor="accent4" w:themeShade="BF"/>
          <w:szCs w:val="24"/>
          <w:lang w:val="en-US"/>
        </w:rPr>
        <w:drawing>
          <wp:inline distT="0" distB="0" distL="0" distR="0" wp14:anchorId="5FB0E2EF" wp14:editId="69401EF9">
            <wp:extent cx="6120130" cy="3100070"/>
            <wp:effectExtent l="0" t="0" r="0" b="508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3100070"/>
                    </a:xfrm>
                    <a:prstGeom prst="rect">
                      <a:avLst/>
                    </a:prstGeom>
                  </pic:spPr>
                </pic:pic>
              </a:graphicData>
            </a:graphic>
          </wp:inline>
        </w:drawing>
      </w:r>
    </w:p>
    <w:p w14:paraId="35ACC44F" w14:textId="59461345" w:rsidR="00E1629C" w:rsidRPr="009F6D1E" w:rsidRDefault="00E86667" w:rsidP="00E86667">
      <w:pPr>
        <w:pStyle w:val="Caption"/>
      </w:pPr>
      <w:bookmarkStart w:id="213" w:name="_Ref107166563"/>
      <w:bookmarkStart w:id="214" w:name="_Toc115255095"/>
      <w:r w:rsidRPr="009F6D1E">
        <w:t xml:space="preserve">Фигура </w:t>
      </w:r>
      <w:fldSimple w:instr=" SEQ Фигура \* ARABIC ">
        <w:r w:rsidR="00A43EF3">
          <w:rPr>
            <w:noProof/>
          </w:rPr>
          <w:t>34</w:t>
        </w:r>
      </w:fldSimple>
      <w:bookmarkEnd w:id="213"/>
      <w:r w:rsidRPr="009F6D1E">
        <w:t xml:space="preserve">: </w:t>
      </w:r>
      <w:r w:rsidR="00E1629C" w:rsidRPr="009F6D1E">
        <w:t xml:space="preserve">Пунктове с превишение на средногодишната целева норма на </w:t>
      </w:r>
      <w:proofErr w:type="spellStart"/>
      <w:r w:rsidR="00E1629C" w:rsidRPr="009F6D1E">
        <w:t>бензо</w:t>
      </w:r>
      <w:proofErr w:type="spellEnd"/>
      <w:r w:rsidR="00E1629C" w:rsidRPr="009F6D1E">
        <w:t>(а)пирен за периода 20</w:t>
      </w:r>
      <w:r w:rsidR="00A831BA">
        <w:t>18</w:t>
      </w:r>
      <w:r w:rsidR="00E1629C" w:rsidRPr="009F6D1E">
        <w:t xml:space="preserve"> – 20</w:t>
      </w:r>
      <w:r w:rsidR="00A831BA">
        <w:t>20</w:t>
      </w:r>
      <w:r w:rsidR="00E1629C" w:rsidRPr="009F6D1E">
        <w:t xml:space="preserve"> г., </w:t>
      </w:r>
      <w:proofErr w:type="spellStart"/>
      <w:r w:rsidR="00E1629C" w:rsidRPr="009F6D1E">
        <w:t>ng</w:t>
      </w:r>
      <w:proofErr w:type="spellEnd"/>
      <w:r w:rsidR="00E1629C" w:rsidRPr="009F6D1E">
        <w:t>/m</w:t>
      </w:r>
      <w:r w:rsidR="00E1629C" w:rsidRPr="009F6D1E">
        <w:rPr>
          <w:vertAlign w:val="superscript"/>
        </w:rPr>
        <w:t>3</w:t>
      </w:r>
      <w:bookmarkEnd w:id="214"/>
    </w:p>
    <w:p w14:paraId="3FF3DD0C" w14:textId="77777777" w:rsidR="00FC1FB9" w:rsidRPr="009F6D1E" w:rsidRDefault="00FC1FB9" w:rsidP="0084747F">
      <w:pPr>
        <w:autoSpaceDE w:val="0"/>
        <w:autoSpaceDN w:val="0"/>
        <w:adjustRightInd w:val="0"/>
        <w:spacing w:after="60" w:line="264" w:lineRule="auto"/>
        <w:jc w:val="both"/>
        <w:rPr>
          <w:rFonts w:cs="Times New Roman"/>
          <w:color w:val="BF8F00" w:themeColor="accent4" w:themeShade="BF"/>
          <w:szCs w:val="24"/>
        </w:rPr>
      </w:pPr>
    </w:p>
    <w:p w14:paraId="2B9C90D7" w14:textId="77777777" w:rsidR="00A831BA" w:rsidRDefault="00A831BA" w:rsidP="00A831BA">
      <w:pPr>
        <w:autoSpaceDE w:val="0"/>
        <w:autoSpaceDN w:val="0"/>
        <w:adjustRightInd w:val="0"/>
        <w:spacing w:after="60" w:line="264" w:lineRule="auto"/>
        <w:ind w:firstLine="708"/>
        <w:jc w:val="both"/>
        <w:rPr>
          <w:rFonts w:cs="Times New Roman"/>
          <w:szCs w:val="24"/>
        </w:rPr>
      </w:pPr>
      <w:r w:rsidRPr="00A831BA">
        <w:rPr>
          <w:rFonts w:cs="Times New Roman"/>
          <w:szCs w:val="24"/>
        </w:rPr>
        <w:lastRenderedPageBreak/>
        <w:t xml:space="preserve">През 2020 г., за разлика от предходната година, в пунктове за мониторинг „В. Търново - РИОСВ“ и „Кърджали – Студен Кладенец“ е спазена средногодишната целева норма за </w:t>
      </w:r>
      <w:proofErr w:type="spellStart"/>
      <w:r w:rsidRPr="00A831BA">
        <w:rPr>
          <w:rFonts w:cs="Times New Roman"/>
          <w:szCs w:val="24"/>
        </w:rPr>
        <w:t>бензо</w:t>
      </w:r>
      <w:proofErr w:type="spellEnd"/>
      <w:r w:rsidRPr="00A831BA">
        <w:rPr>
          <w:rFonts w:cs="Times New Roman"/>
          <w:szCs w:val="24"/>
        </w:rPr>
        <w:t>(а)пирен. Другите пунктове, регистрирали концентрация под нормата през 2020 г., са: София – АИС „Копитото“, Пловдив – АИС „ж.к. Тракия“, Варна – „Чайка“, „Благоевград“, Бургас „ДОАС - РИОСВ“, АИС „Несебър“ и КФС „Рожен“.</w:t>
      </w:r>
    </w:p>
    <w:p w14:paraId="3D818229" w14:textId="5FD9E52E" w:rsidR="00E1629C" w:rsidRPr="009F6D1E" w:rsidRDefault="00A831BA" w:rsidP="00A831BA">
      <w:pPr>
        <w:autoSpaceDE w:val="0"/>
        <w:autoSpaceDN w:val="0"/>
        <w:adjustRightInd w:val="0"/>
        <w:spacing w:after="60" w:line="264" w:lineRule="auto"/>
        <w:jc w:val="center"/>
        <w:rPr>
          <w:rFonts w:cs="Times New Roman"/>
          <w:szCs w:val="24"/>
        </w:rPr>
      </w:pPr>
      <w:r w:rsidRPr="00A831BA">
        <w:rPr>
          <w:rFonts w:cs="Times New Roman"/>
          <w:noProof/>
          <w:szCs w:val="24"/>
          <w:lang w:val="en-US"/>
        </w:rPr>
        <w:drawing>
          <wp:inline distT="0" distB="0" distL="0" distR="0" wp14:anchorId="453A013C" wp14:editId="006926E6">
            <wp:extent cx="6120130" cy="2409190"/>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2409190"/>
                    </a:xfrm>
                    <a:prstGeom prst="rect">
                      <a:avLst/>
                    </a:prstGeom>
                  </pic:spPr>
                </pic:pic>
              </a:graphicData>
            </a:graphic>
          </wp:inline>
        </w:drawing>
      </w:r>
    </w:p>
    <w:p w14:paraId="2C6B2E05" w14:textId="1051C996" w:rsidR="00E1629C" w:rsidRPr="009F6D1E" w:rsidRDefault="00E86667" w:rsidP="00E86667">
      <w:pPr>
        <w:pStyle w:val="Caption"/>
      </w:pPr>
      <w:bookmarkStart w:id="215" w:name="_Toc115255096"/>
      <w:r w:rsidRPr="009F6D1E">
        <w:t xml:space="preserve">Фигура </w:t>
      </w:r>
      <w:fldSimple w:instr=" SEQ Фигура \* ARABIC ">
        <w:r w:rsidR="00A43EF3">
          <w:rPr>
            <w:noProof/>
          </w:rPr>
          <w:t>35</w:t>
        </w:r>
      </w:fldSimple>
      <w:r w:rsidRPr="009F6D1E">
        <w:t xml:space="preserve">: </w:t>
      </w:r>
      <w:r w:rsidR="00E1629C" w:rsidRPr="009F6D1E">
        <w:t xml:space="preserve">Средногодишна концентрация на </w:t>
      </w:r>
      <w:proofErr w:type="spellStart"/>
      <w:r w:rsidR="00E1629C" w:rsidRPr="009F6D1E">
        <w:t>бензо</w:t>
      </w:r>
      <w:proofErr w:type="spellEnd"/>
      <w:r w:rsidR="00E1629C" w:rsidRPr="009F6D1E">
        <w:t>(а)пирен за 20</w:t>
      </w:r>
      <w:r w:rsidR="00A831BA">
        <w:t>20</w:t>
      </w:r>
      <w:r w:rsidR="00E1629C" w:rsidRPr="009F6D1E">
        <w:t xml:space="preserve"> г. </w:t>
      </w:r>
      <w:proofErr w:type="spellStart"/>
      <w:r w:rsidR="00E1629C" w:rsidRPr="009F6D1E">
        <w:t>ng</w:t>
      </w:r>
      <w:proofErr w:type="spellEnd"/>
      <w:r w:rsidR="00E1629C" w:rsidRPr="009F6D1E">
        <w:t>/m</w:t>
      </w:r>
      <w:r w:rsidR="00E1629C" w:rsidRPr="009F6D1E">
        <w:rPr>
          <w:vertAlign w:val="superscript"/>
        </w:rPr>
        <w:t>3</w:t>
      </w:r>
      <w:bookmarkEnd w:id="215"/>
    </w:p>
    <w:p w14:paraId="26D14877" w14:textId="77777777" w:rsidR="00E1629C" w:rsidRPr="009F6D1E" w:rsidRDefault="00E1629C">
      <w:pPr>
        <w:pStyle w:val="ListParagraph"/>
        <w:numPr>
          <w:ilvl w:val="0"/>
          <w:numId w:val="46"/>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Тежки метали и арсен</w:t>
      </w:r>
    </w:p>
    <w:p w14:paraId="45D5BE1E"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Арсенът, кадмият, оловото и никелът се емитират основно като резултат от различни индустриални дейности и изгаряне на въглища. Въпреки, че атмосферните концентрации на тези метали са относително ниски, те допринасят за отлагането и нарастването на съдържанието на тежки метали в почви, седименти и организми. Тежките метали не се разлагат в околната среда, а </w:t>
      </w:r>
      <w:proofErr w:type="spellStart"/>
      <w:r w:rsidRPr="009F6D1E">
        <w:rPr>
          <w:rFonts w:cs="Times New Roman"/>
          <w:szCs w:val="24"/>
        </w:rPr>
        <w:t>биоакумулират</w:t>
      </w:r>
      <w:proofErr w:type="spellEnd"/>
      <w:r w:rsidRPr="009F6D1E">
        <w:rPr>
          <w:rFonts w:cs="Times New Roman"/>
          <w:szCs w:val="24"/>
        </w:rPr>
        <w:t>, т.е. постепенно акумулират в растения и животни и не могат да бъдат отделени от тях. Това означава, че растенията и животните могат да бъдат отровени за дълъг период от време чрез излагане на дори и малки количества тежки метали.</w:t>
      </w:r>
    </w:p>
    <w:p w14:paraId="33EB6A47" w14:textId="77777777" w:rsidR="00E1629C" w:rsidRPr="009F6D1E" w:rsidRDefault="00E1629C">
      <w:pPr>
        <w:pStyle w:val="ListParagraph"/>
        <w:numPr>
          <w:ilvl w:val="0"/>
          <w:numId w:val="47"/>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Олово</w:t>
      </w:r>
    </w:p>
    <w:p w14:paraId="6958F66A"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Оловото се изпуска в атмосферата от естествени и антропогенни източници. Естествените емисии включват прах от почвите, морски спрей, вулканичен прах и горски пожари. Основните антропогенни източници на олово са производството на цветни метали, желязо, стомана и цимент. Приносът на емисии от олово в петролните горива е елиминиран в Европа с помощта на законодателството и изцяло се използва безоловен бензин.</w:t>
      </w:r>
    </w:p>
    <w:p w14:paraId="14F22B6F" w14:textId="77777777" w:rsidR="00E1629C" w:rsidRPr="009F6D1E" w:rsidRDefault="00E1629C" w:rsidP="0084747F">
      <w:pPr>
        <w:autoSpaceDE w:val="0"/>
        <w:autoSpaceDN w:val="0"/>
        <w:adjustRightInd w:val="0"/>
        <w:spacing w:after="60" w:line="264" w:lineRule="auto"/>
        <w:jc w:val="both"/>
        <w:rPr>
          <w:rFonts w:cs="Times New Roman"/>
          <w:szCs w:val="24"/>
        </w:rPr>
      </w:pPr>
      <w:r w:rsidRPr="009F6D1E">
        <w:rPr>
          <w:rFonts w:cs="Times New Roman"/>
          <w:szCs w:val="24"/>
        </w:rPr>
        <w:t xml:space="preserve">Оловото е </w:t>
      </w:r>
      <w:proofErr w:type="spellStart"/>
      <w:r w:rsidRPr="009F6D1E">
        <w:rPr>
          <w:rFonts w:cs="Times New Roman"/>
          <w:szCs w:val="24"/>
        </w:rPr>
        <w:t>невротоксичен</w:t>
      </w:r>
      <w:proofErr w:type="spellEnd"/>
      <w:r w:rsidRPr="009F6D1E">
        <w:rPr>
          <w:rFonts w:cs="Times New Roman"/>
          <w:szCs w:val="24"/>
        </w:rPr>
        <w:t xml:space="preserve"> метал, който акумулира в тялото и уврежда органи като бъбреци, черен дроб, мозък и нерви. Замърсяването на въздуха с олово може да допринесе значително към съдържанието на олово в посевите чрез директно отлагане. Оловото </w:t>
      </w:r>
      <w:proofErr w:type="spellStart"/>
      <w:r w:rsidRPr="009F6D1E">
        <w:rPr>
          <w:rFonts w:cs="Times New Roman"/>
          <w:szCs w:val="24"/>
        </w:rPr>
        <w:t>биоакумулира</w:t>
      </w:r>
      <w:proofErr w:type="spellEnd"/>
      <w:r w:rsidRPr="009F6D1E">
        <w:rPr>
          <w:rFonts w:cs="Times New Roman"/>
          <w:szCs w:val="24"/>
        </w:rPr>
        <w:t xml:space="preserve"> и оказва вредно влияние върху сухоземни и водни екосистеми.</w:t>
      </w:r>
    </w:p>
    <w:p w14:paraId="36CFB592" w14:textId="2224ACC3" w:rsidR="00E1629C" w:rsidRPr="009F6D1E" w:rsidRDefault="00A831BA" w:rsidP="0084747F">
      <w:pPr>
        <w:autoSpaceDE w:val="0"/>
        <w:autoSpaceDN w:val="0"/>
        <w:adjustRightInd w:val="0"/>
        <w:spacing w:after="60" w:line="264" w:lineRule="auto"/>
        <w:ind w:firstLine="708"/>
        <w:jc w:val="both"/>
        <w:rPr>
          <w:rFonts w:cs="Times New Roman"/>
          <w:szCs w:val="24"/>
        </w:rPr>
      </w:pPr>
      <w:r w:rsidRPr="00A831BA">
        <w:rPr>
          <w:rFonts w:cs="Times New Roman"/>
          <w:szCs w:val="24"/>
        </w:rPr>
        <w:t xml:space="preserve">Контрол на съдържанието на олово в атмосферния въздух се извършва в 12 пункта от Националната система за мониторинг на качеството на атмосферния въздух. Броят на пунктовете е определен съгласно изискванията на националното и европейското </w:t>
      </w:r>
      <w:r w:rsidRPr="00A831BA">
        <w:rPr>
          <w:rFonts w:cs="Times New Roman"/>
          <w:szCs w:val="24"/>
        </w:rPr>
        <w:lastRenderedPageBreak/>
        <w:t>законодателство. Единствено в пункт „Долни Воден“ нормата е била превишена през 2013 г., а за периода 2014-2020 г. нормата за олово е спазена (</w:t>
      </w:r>
      <w:r>
        <w:rPr>
          <w:rFonts w:cs="Times New Roman"/>
          <w:szCs w:val="24"/>
        </w:rPr>
        <w:fldChar w:fldCharType="begin"/>
      </w:r>
      <w:r>
        <w:rPr>
          <w:rFonts w:cs="Times New Roman"/>
          <w:szCs w:val="24"/>
        </w:rPr>
        <w:instrText xml:space="preserve"> REF _Ref113732414 \h </w:instrText>
      </w:r>
      <w:r>
        <w:rPr>
          <w:rFonts w:cs="Times New Roman"/>
          <w:szCs w:val="24"/>
        </w:rPr>
      </w:r>
      <w:r>
        <w:rPr>
          <w:rFonts w:cs="Times New Roman"/>
          <w:szCs w:val="24"/>
        </w:rPr>
        <w:fldChar w:fldCharType="separate"/>
      </w:r>
      <w:r w:rsidR="00A43EF3" w:rsidRPr="009F6D1E">
        <w:t xml:space="preserve">Фигура </w:t>
      </w:r>
      <w:r w:rsidR="00A43EF3">
        <w:rPr>
          <w:noProof/>
        </w:rPr>
        <w:t>36</w:t>
      </w:r>
      <w:r>
        <w:rPr>
          <w:rFonts w:cs="Times New Roman"/>
          <w:szCs w:val="24"/>
        </w:rPr>
        <w:fldChar w:fldCharType="end"/>
      </w:r>
      <w:r w:rsidRPr="00A831BA">
        <w:rPr>
          <w:rFonts w:cs="Times New Roman"/>
          <w:szCs w:val="24"/>
        </w:rPr>
        <w:t>). През 2020 г. средногодишната норма за опазване на човешкото здраве е спазена във всички пунктове за измерване на концентрацията на олово в атмосферния въздух (</w:t>
      </w:r>
      <w:r>
        <w:rPr>
          <w:rFonts w:cs="Times New Roman"/>
          <w:szCs w:val="24"/>
        </w:rPr>
        <w:fldChar w:fldCharType="begin"/>
      </w:r>
      <w:r>
        <w:rPr>
          <w:rFonts w:cs="Times New Roman"/>
          <w:szCs w:val="24"/>
        </w:rPr>
        <w:instrText xml:space="preserve"> REF _Ref113732427 \h </w:instrText>
      </w:r>
      <w:r>
        <w:rPr>
          <w:rFonts w:cs="Times New Roman"/>
          <w:szCs w:val="24"/>
        </w:rPr>
      </w:r>
      <w:r>
        <w:rPr>
          <w:rFonts w:cs="Times New Roman"/>
          <w:szCs w:val="24"/>
        </w:rPr>
        <w:fldChar w:fldCharType="separate"/>
      </w:r>
      <w:r w:rsidR="00A43EF3" w:rsidRPr="009F6D1E">
        <w:t xml:space="preserve">Фигура </w:t>
      </w:r>
      <w:r w:rsidR="00A43EF3">
        <w:rPr>
          <w:noProof/>
        </w:rPr>
        <w:t>37</w:t>
      </w:r>
      <w:r>
        <w:rPr>
          <w:rFonts w:cs="Times New Roman"/>
          <w:szCs w:val="24"/>
        </w:rPr>
        <w:fldChar w:fldCharType="end"/>
      </w:r>
      <w:r w:rsidRPr="00A831BA">
        <w:rPr>
          <w:rFonts w:cs="Times New Roman"/>
          <w:szCs w:val="24"/>
        </w:rPr>
        <w:t>)</w:t>
      </w:r>
      <w:r w:rsidR="00E1629C" w:rsidRPr="009F6D1E">
        <w:rPr>
          <w:rFonts w:cs="Times New Roman"/>
          <w:szCs w:val="24"/>
        </w:rPr>
        <w:t>.</w:t>
      </w:r>
    </w:p>
    <w:p w14:paraId="5975707D" w14:textId="44C78C80" w:rsidR="00E1629C" w:rsidRPr="009F6D1E" w:rsidRDefault="00793663" w:rsidP="0084747F">
      <w:pPr>
        <w:autoSpaceDE w:val="0"/>
        <w:autoSpaceDN w:val="0"/>
        <w:adjustRightInd w:val="0"/>
        <w:spacing w:after="60" w:line="264" w:lineRule="auto"/>
        <w:jc w:val="center"/>
        <w:rPr>
          <w:rFonts w:cs="Times New Roman"/>
          <w:color w:val="BF8F00" w:themeColor="accent4" w:themeShade="BF"/>
          <w:szCs w:val="24"/>
        </w:rPr>
      </w:pPr>
      <w:r w:rsidRPr="00793663">
        <w:rPr>
          <w:rFonts w:cs="Times New Roman"/>
          <w:noProof/>
          <w:color w:val="BF8F00" w:themeColor="accent4" w:themeShade="BF"/>
          <w:szCs w:val="24"/>
          <w:lang w:val="en-US"/>
        </w:rPr>
        <w:drawing>
          <wp:inline distT="0" distB="0" distL="0" distR="0" wp14:anchorId="3665EAC9" wp14:editId="20CDF455">
            <wp:extent cx="6120130" cy="1680845"/>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1680845"/>
                    </a:xfrm>
                    <a:prstGeom prst="rect">
                      <a:avLst/>
                    </a:prstGeom>
                  </pic:spPr>
                </pic:pic>
              </a:graphicData>
            </a:graphic>
          </wp:inline>
        </w:drawing>
      </w:r>
    </w:p>
    <w:p w14:paraId="09694C12" w14:textId="1EB0E8A4" w:rsidR="00E1629C" w:rsidRPr="009F6D1E" w:rsidRDefault="00E86667" w:rsidP="00E86667">
      <w:pPr>
        <w:pStyle w:val="Caption"/>
        <w:rPr>
          <w:rFonts w:eastAsia="Times New Roman,Bold"/>
        </w:rPr>
      </w:pPr>
      <w:bookmarkStart w:id="216" w:name="_Ref113732414"/>
      <w:bookmarkStart w:id="217" w:name="_Toc115255097"/>
      <w:r w:rsidRPr="009F6D1E">
        <w:t xml:space="preserve">Фигура </w:t>
      </w:r>
      <w:fldSimple w:instr=" SEQ Фигура \* ARABIC ">
        <w:r w:rsidR="00A43EF3">
          <w:rPr>
            <w:noProof/>
          </w:rPr>
          <w:t>36</w:t>
        </w:r>
      </w:fldSimple>
      <w:bookmarkEnd w:id="216"/>
      <w:r w:rsidRPr="009F6D1E">
        <w:t xml:space="preserve">: </w:t>
      </w:r>
      <w:r w:rsidR="00E1629C" w:rsidRPr="009F6D1E">
        <w:t xml:space="preserve"> </w:t>
      </w:r>
      <w:r w:rsidR="00E1629C" w:rsidRPr="009F6D1E">
        <w:rPr>
          <w:rFonts w:eastAsia="Times New Roman,Bold"/>
        </w:rPr>
        <w:t xml:space="preserve">Ниво на замърсяване на атмосферния въздух с олово в Долни Воден, </w:t>
      </w:r>
      <w:proofErr w:type="spellStart"/>
      <w:r w:rsidR="00E1629C" w:rsidRPr="009F6D1E">
        <w:rPr>
          <w:rFonts w:eastAsia="Times New Roman,Bold"/>
        </w:rPr>
        <w:t>μg</w:t>
      </w:r>
      <w:proofErr w:type="spellEnd"/>
      <w:r w:rsidR="00E1629C" w:rsidRPr="009F6D1E">
        <w:rPr>
          <w:rFonts w:eastAsia="Times New Roman,Bold"/>
        </w:rPr>
        <w:t>/m</w:t>
      </w:r>
      <w:r w:rsidR="00E1629C" w:rsidRPr="009F6D1E">
        <w:rPr>
          <w:rFonts w:eastAsia="Times New Roman,Bold"/>
          <w:vertAlign w:val="superscript"/>
        </w:rPr>
        <w:t>3</w:t>
      </w:r>
      <w:bookmarkEnd w:id="217"/>
    </w:p>
    <w:p w14:paraId="27980E28" w14:textId="77777777" w:rsidR="00E86667" w:rsidRPr="009F6D1E" w:rsidRDefault="00E86667" w:rsidP="0084747F">
      <w:pPr>
        <w:autoSpaceDE w:val="0"/>
        <w:autoSpaceDN w:val="0"/>
        <w:adjustRightInd w:val="0"/>
        <w:spacing w:after="60" w:line="264" w:lineRule="auto"/>
        <w:jc w:val="both"/>
        <w:rPr>
          <w:rFonts w:cs="Times New Roman"/>
          <w:szCs w:val="24"/>
        </w:rPr>
      </w:pPr>
    </w:p>
    <w:p w14:paraId="0336184E" w14:textId="7A11920C" w:rsidR="00E1629C" w:rsidRPr="009F6D1E" w:rsidRDefault="00793663" w:rsidP="0084747F">
      <w:pPr>
        <w:autoSpaceDE w:val="0"/>
        <w:autoSpaceDN w:val="0"/>
        <w:adjustRightInd w:val="0"/>
        <w:spacing w:after="60" w:line="264" w:lineRule="auto"/>
        <w:jc w:val="center"/>
        <w:rPr>
          <w:rFonts w:cs="Times New Roman"/>
          <w:szCs w:val="24"/>
        </w:rPr>
      </w:pPr>
      <w:r w:rsidRPr="00793663">
        <w:rPr>
          <w:rFonts w:cs="Times New Roman"/>
          <w:noProof/>
          <w:szCs w:val="24"/>
          <w:lang w:val="en-US"/>
        </w:rPr>
        <w:drawing>
          <wp:inline distT="0" distB="0" distL="0" distR="0" wp14:anchorId="0F1CC5DB" wp14:editId="6517CEF9">
            <wp:extent cx="6120130" cy="2508885"/>
            <wp:effectExtent l="0" t="0" r="0" b="5715"/>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130" cy="2508885"/>
                    </a:xfrm>
                    <a:prstGeom prst="rect">
                      <a:avLst/>
                    </a:prstGeom>
                  </pic:spPr>
                </pic:pic>
              </a:graphicData>
            </a:graphic>
          </wp:inline>
        </w:drawing>
      </w:r>
    </w:p>
    <w:p w14:paraId="4D4F2687" w14:textId="11AC92CD" w:rsidR="00E1629C" w:rsidRPr="009F6D1E" w:rsidRDefault="00E86667" w:rsidP="00E86667">
      <w:pPr>
        <w:pStyle w:val="Caption"/>
      </w:pPr>
      <w:bookmarkStart w:id="218" w:name="_Ref113732427"/>
      <w:bookmarkStart w:id="219" w:name="_Toc115255098"/>
      <w:r w:rsidRPr="009F6D1E">
        <w:t xml:space="preserve">Фигура </w:t>
      </w:r>
      <w:fldSimple w:instr=" SEQ Фигура \* ARABIC ">
        <w:r w:rsidR="00A43EF3">
          <w:rPr>
            <w:noProof/>
          </w:rPr>
          <w:t>37</w:t>
        </w:r>
      </w:fldSimple>
      <w:bookmarkEnd w:id="218"/>
      <w:r w:rsidRPr="009F6D1E">
        <w:t xml:space="preserve">: </w:t>
      </w:r>
      <w:r w:rsidR="00E1629C" w:rsidRPr="009F6D1E">
        <w:rPr>
          <w:rFonts w:eastAsia="Times New Roman,Bold"/>
        </w:rPr>
        <w:t>Средногодишни стойности на концентрацията на олово за 20</w:t>
      </w:r>
      <w:r w:rsidR="00793663">
        <w:rPr>
          <w:rFonts w:eastAsia="Times New Roman,Bold"/>
        </w:rPr>
        <w:t>20</w:t>
      </w:r>
      <w:r w:rsidR="00E1629C" w:rsidRPr="009F6D1E">
        <w:rPr>
          <w:rFonts w:eastAsia="Times New Roman,Bold"/>
        </w:rPr>
        <w:t xml:space="preserve"> г. </w:t>
      </w:r>
      <w:proofErr w:type="spellStart"/>
      <w:r w:rsidR="00E1629C" w:rsidRPr="009F6D1E">
        <w:rPr>
          <w:rFonts w:eastAsia="Times New Roman,Bold"/>
        </w:rPr>
        <w:t>μg</w:t>
      </w:r>
      <w:proofErr w:type="spellEnd"/>
      <w:r w:rsidR="00E1629C" w:rsidRPr="009F6D1E">
        <w:rPr>
          <w:rFonts w:eastAsia="Times New Roman,Bold"/>
        </w:rPr>
        <w:t>/m</w:t>
      </w:r>
      <w:r w:rsidR="00E1629C" w:rsidRPr="009F6D1E">
        <w:rPr>
          <w:rFonts w:eastAsia="Times New Roman,Bold"/>
          <w:vertAlign w:val="superscript"/>
        </w:rPr>
        <w:t>3</w:t>
      </w:r>
      <w:bookmarkEnd w:id="219"/>
    </w:p>
    <w:p w14:paraId="7085D9BE" w14:textId="77777777" w:rsidR="00F74E6F" w:rsidRPr="009F6D1E" w:rsidRDefault="00F74E6F" w:rsidP="0084747F">
      <w:pPr>
        <w:autoSpaceDE w:val="0"/>
        <w:autoSpaceDN w:val="0"/>
        <w:adjustRightInd w:val="0"/>
        <w:spacing w:after="60" w:line="264" w:lineRule="auto"/>
        <w:ind w:left="720"/>
        <w:contextualSpacing/>
        <w:jc w:val="both"/>
        <w:rPr>
          <w:rFonts w:cs="Times New Roman"/>
          <w:color w:val="BF8F00" w:themeColor="accent4" w:themeShade="BF"/>
          <w:szCs w:val="24"/>
        </w:rPr>
      </w:pPr>
    </w:p>
    <w:p w14:paraId="59FF308E" w14:textId="77777777" w:rsidR="00E1629C" w:rsidRPr="009F6D1E" w:rsidRDefault="00E1629C">
      <w:pPr>
        <w:pStyle w:val="ListParagraph"/>
        <w:numPr>
          <w:ilvl w:val="0"/>
          <w:numId w:val="47"/>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Кадмий</w:t>
      </w:r>
    </w:p>
    <w:p w14:paraId="2DF68C08"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Кадмият се изпуска в атмосферата от естествени и антропогенни източници. Основните естествени източници са почвен прах и пожари. Антропогенните източници на кадмий са производството на цветни метали, желязо, стомана и цимент, изгаряне на изкопаеми горива, изгаряне на отпадъци.</w:t>
      </w:r>
    </w:p>
    <w:p w14:paraId="6666DD94"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Кадмият е силно устойчив в околната среда и </w:t>
      </w:r>
      <w:proofErr w:type="spellStart"/>
      <w:r w:rsidRPr="009F6D1E">
        <w:rPr>
          <w:rFonts w:cs="Times New Roman"/>
          <w:szCs w:val="24"/>
        </w:rPr>
        <w:t>биоакумулира</w:t>
      </w:r>
      <w:proofErr w:type="spellEnd"/>
      <w:r w:rsidRPr="009F6D1E">
        <w:rPr>
          <w:rFonts w:cs="Times New Roman"/>
          <w:szCs w:val="24"/>
        </w:rPr>
        <w:t xml:space="preserve">. В по-силно замърсени райони ре-суспендираният прах (от превозни средства или от вятър вдигащ частиците кадмий) може значително да допринася към експозицията на населението. В Европа замърсяването на въздуха и наторяването допринасят почти еднакво към експозицията. Заедно те увеличават </w:t>
      </w:r>
      <w:r w:rsidRPr="009F6D1E">
        <w:rPr>
          <w:rFonts w:cs="Times New Roman"/>
          <w:szCs w:val="24"/>
        </w:rPr>
        <w:lastRenderedPageBreak/>
        <w:t>относително високото акумулиране на кадмий в горния почвен слой, като по този начин се увеличава риска от бъдеща експозиция чрез храната.</w:t>
      </w:r>
    </w:p>
    <w:p w14:paraId="134F6C55"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Бъбреците и костите са критичните органи, повлияни от хронична експозиция на кадмий, както и увеличен риск от белодробен рак. Кадмият е токсичен към водните организми, като директно се абсорбира от тях.</w:t>
      </w:r>
    </w:p>
    <w:p w14:paraId="68FBAC21"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През 2019 г. не е регистрирано превишение на целевата СГН за съдържание на кадмий в атмосферния въздух, която следва да бъде достигната към 01.01.2013 г. и поддържана впоследствие.</w:t>
      </w:r>
    </w:p>
    <w:p w14:paraId="1A07511F" w14:textId="378FB73D"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Броят на пунктовете, в които се измерва съдържание на кадмий в атмосферния въздух е 13. През 20</w:t>
      </w:r>
      <w:r w:rsidR="00793663">
        <w:rPr>
          <w:rFonts w:cs="Times New Roman"/>
          <w:szCs w:val="24"/>
        </w:rPr>
        <w:t>20</w:t>
      </w:r>
      <w:r w:rsidRPr="009F6D1E">
        <w:rPr>
          <w:rFonts w:cs="Times New Roman"/>
          <w:szCs w:val="24"/>
        </w:rPr>
        <w:t xml:space="preserve"> г. </w:t>
      </w:r>
      <w:r w:rsidR="00793663" w:rsidRPr="00793663">
        <w:rPr>
          <w:rFonts w:cs="Times New Roman"/>
          <w:szCs w:val="24"/>
        </w:rPr>
        <w:t xml:space="preserve">средногодишната норма за кадмий не е спазена единствено в Югозападен РОУКАВ. Превишението е регистрирано в пункт за мониторинг „Пирдоп“, където средногодишната концентрация на този замърсител е 6.74 </w:t>
      </w:r>
      <w:proofErr w:type="spellStart"/>
      <w:r w:rsidR="00793663" w:rsidRPr="00793663">
        <w:rPr>
          <w:rFonts w:cs="Times New Roman"/>
          <w:szCs w:val="24"/>
        </w:rPr>
        <w:t>ng</w:t>
      </w:r>
      <w:proofErr w:type="spellEnd"/>
      <w:r w:rsidR="00793663" w:rsidRPr="00793663">
        <w:rPr>
          <w:rFonts w:cs="Times New Roman"/>
          <w:szCs w:val="24"/>
        </w:rPr>
        <w:t>/m</w:t>
      </w:r>
      <w:r w:rsidR="00793663" w:rsidRPr="00793663">
        <w:rPr>
          <w:rFonts w:cs="Times New Roman"/>
          <w:szCs w:val="24"/>
          <w:vertAlign w:val="superscript"/>
        </w:rPr>
        <w:t>3</w:t>
      </w:r>
      <w:r w:rsidRPr="009F6D1E">
        <w:rPr>
          <w:rFonts w:cs="Times New Roman"/>
          <w:szCs w:val="24"/>
        </w:rPr>
        <w:t>.</w:t>
      </w:r>
    </w:p>
    <w:p w14:paraId="25BFD1A7" w14:textId="612F319C" w:rsidR="00E1629C" w:rsidRPr="009F6D1E" w:rsidRDefault="00793663" w:rsidP="0084747F">
      <w:pPr>
        <w:autoSpaceDE w:val="0"/>
        <w:autoSpaceDN w:val="0"/>
        <w:adjustRightInd w:val="0"/>
        <w:spacing w:after="60" w:line="264" w:lineRule="auto"/>
        <w:jc w:val="center"/>
        <w:rPr>
          <w:rFonts w:cs="Times New Roman"/>
          <w:color w:val="BF8F00" w:themeColor="accent4" w:themeShade="BF"/>
          <w:szCs w:val="24"/>
        </w:rPr>
      </w:pPr>
      <w:r w:rsidRPr="00793663">
        <w:rPr>
          <w:rFonts w:cs="Times New Roman"/>
          <w:noProof/>
          <w:color w:val="BF8F00" w:themeColor="accent4" w:themeShade="BF"/>
          <w:szCs w:val="24"/>
          <w:lang w:val="en-US"/>
        </w:rPr>
        <w:drawing>
          <wp:inline distT="0" distB="0" distL="0" distR="0" wp14:anchorId="6A8F26D4" wp14:editId="779ECDE2">
            <wp:extent cx="6120130" cy="2212975"/>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130" cy="2212975"/>
                    </a:xfrm>
                    <a:prstGeom prst="rect">
                      <a:avLst/>
                    </a:prstGeom>
                  </pic:spPr>
                </pic:pic>
              </a:graphicData>
            </a:graphic>
          </wp:inline>
        </w:drawing>
      </w:r>
    </w:p>
    <w:p w14:paraId="4ADAC0C5" w14:textId="0750502C" w:rsidR="00E1629C" w:rsidRPr="009F6D1E" w:rsidRDefault="00E86667" w:rsidP="00E86667">
      <w:pPr>
        <w:pStyle w:val="Caption"/>
      </w:pPr>
      <w:bookmarkStart w:id="220" w:name="_Toc115255099"/>
      <w:r w:rsidRPr="009F6D1E">
        <w:t xml:space="preserve">Фигура </w:t>
      </w:r>
      <w:fldSimple w:instr=" SEQ Фигура \* ARABIC ">
        <w:r w:rsidR="00A43EF3">
          <w:rPr>
            <w:noProof/>
          </w:rPr>
          <w:t>38</w:t>
        </w:r>
      </w:fldSimple>
      <w:r w:rsidRPr="009F6D1E">
        <w:t xml:space="preserve">: </w:t>
      </w:r>
      <w:r w:rsidR="00E1629C" w:rsidRPr="009F6D1E">
        <w:t xml:space="preserve">Средногодишни стойности на концентрацията на кадмий за 2019 г., </w:t>
      </w:r>
      <w:proofErr w:type="spellStart"/>
      <w:r w:rsidR="00E1629C" w:rsidRPr="009F6D1E">
        <w:t>ng</w:t>
      </w:r>
      <w:proofErr w:type="spellEnd"/>
      <w:r w:rsidR="00E1629C" w:rsidRPr="009F6D1E">
        <w:t>/m</w:t>
      </w:r>
      <w:r w:rsidR="00E1629C" w:rsidRPr="009F6D1E">
        <w:rPr>
          <w:vertAlign w:val="superscript"/>
        </w:rPr>
        <w:t>3</w:t>
      </w:r>
      <w:bookmarkEnd w:id="220"/>
    </w:p>
    <w:p w14:paraId="48949088" w14:textId="77777777" w:rsidR="006E6FE8" w:rsidRPr="009F6D1E" w:rsidRDefault="006E6FE8" w:rsidP="0084747F">
      <w:pPr>
        <w:autoSpaceDE w:val="0"/>
        <w:autoSpaceDN w:val="0"/>
        <w:adjustRightInd w:val="0"/>
        <w:spacing w:after="60" w:line="264" w:lineRule="auto"/>
        <w:contextualSpacing/>
        <w:jc w:val="both"/>
        <w:rPr>
          <w:rFonts w:cs="Times New Roman"/>
          <w:szCs w:val="24"/>
        </w:rPr>
      </w:pPr>
    </w:p>
    <w:p w14:paraId="06798CAC" w14:textId="77777777" w:rsidR="00E1629C" w:rsidRPr="009F6D1E" w:rsidRDefault="00E1629C">
      <w:pPr>
        <w:pStyle w:val="ListParagraph"/>
        <w:numPr>
          <w:ilvl w:val="0"/>
          <w:numId w:val="48"/>
        </w:numPr>
        <w:autoSpaceDE w:val="0"/>
        <w:autoSpaceDN w:val="0"/>
        <w:adjustRightInd w:val="0"/>
        <w:spacing w:after="60" w:line="264" w:lineRule="auto"/>
        <w:jc w:val="both"/>
        <w:rPr>
          <w:b/>
          <w:bCs/>
          <w:color w:val="000000" w:themeColor="text1"/>
          <w:lang w:val="bg-BG"/>
        </w:rPr>
      </w:pPr>
      <w:r w:rsidRPr="009F6D1E">
        <w:rPr>
          <w:b/>
          <w:bCs/>
          <w:color w:val="000000" w:themeColor="text1"/>
          <w:lang w:val="bg-BG"/>
        </w:rPr>
        <w:t>Никел</w:t>
      </w:r>
    </w:p>
    <w:p w14:paraId="00165F1B"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Никелът се среща в почви, води, въздух и в биосферата. Към емисиите на никел към атмосферата могат да допринасят естествени източници като прах, вдиган от вятъра, от вулкани и растителност. Основните антропогенни източници на никел са изгаряне на масла за отопление, корабоплаване или производство на електроенергия, добив и производство на никел, изгаряне на отпадъци, производство на стомана, галванопластика и изгаряне на горива.</w:t>
      </w:r>
    </w:p>
    <w:p w14:paraId="754B4042" w14:textId="77777777" w:rsidR="00E1629C" w:rsidRPr="009F6D1E" w:rsidRDefault="00E1629C" w:rsidP="00793663">
      <w:pPr>
        <w:autoSpaceDE w:val="0"/>
        <w:autoSpaceDN w:val="0"/>
        <w:adjustRightInd w:val="0"/>
        <w:spacing w:after="60" w:line="264" w:lineRule="auto"/>
        <w:ind w:firstLine="708"/>
        <w:jc w:val="both"/>
        <w:rPr>
          <w:rFonts w:cs="Times New Roman"/>
          <w:szCs w:val="24"/>
        </w:rPr>
      </w:pPr>
      <w:r w:rsidRPr="009F6D1E">
        <w:rPr>
          <w:rFonts w:cs="Times New Roman"/>
          <w:szCs w:val="24"/>
        </w:rPr>
        <w:t>В много малки количества никелът е есенциален елемент за хората. По-високи дози могат</w:t>
      </w:r>
      <w:r w:rsidR="00F74E6F" w:rsidRPr="009F6D1E">
        <w:rPr>
          <w:rFonts w:cs="Times New Roman"/>
          <w:szCs w:val="24"/>
        </w:rPr>
        <w:t xml:space="preserve"> </w:t>
      </w:r>
      <w:r w:rsidRPr="009F6D1E">
        <w:rPr>
          <w:rFonts w:cs="Times New Roman"/>
          <w:szCs w:val="24"/>
        </w:rPr>
        <w:t>да бъдат опасни, тъй като няколко никелови съединения са канцерогенни. Неканцерогенните ефекти върху здравето включват алергични кожни реакции, увреждане</w:t>
      </w:r>
      <w:r w:rsidR="00F74E6F" w:rsidRPr="009F6D1E">
        <w:rPr>
          <w:rFonts w:cs="Times New Roman"/>
          <w:szCs w:val="24"/>
        </w:rPr>
        <w:t xml:space="preserve"> </w:t>
      </w:r>
      <w:r w:rsidRPr="009F6D1E">
        <w:rPr>
          <w:rFonts w:cs="Times New Roman"/>
          <w:szCs w:val="24"/>
        </w:rPr>
        <w:t xml:space="preserve">на ендокринната система, респираторният тракт и имунната система. Никелът и </w:t>
      </w:r>
      <w:proofErr w:type="spellStart"/>
      <w:r w:rsidRPr="009F6D1E">
        <w:rPr>
          <w:rFonts w:cs="Times New Roman"/>
          <w:szCs w:val="24"/>
        </w:rPr>
        <w:t>съединенията</w:t>
      </w:r>
      <w:proofErr w:type="spellEnd"/>
      <w:r w:rsidRPr="009F6D1E">
        <w:rPr>
          <w:rFonts w:cs="Times New Roman"/>
          <w:szCs w:val="24"/>
        </w:rPr>
        <w:t xml:space="preserve"> му могат да бъдат остро и хронично токсични към водният живот и могат да</w:t>
      </w:r>
      <w:r w:rsidR="00F74E6F" w:rsidRPr="009F6D1E">
        <w:rPr>
          <w:rFonts w:cs="Times New Roman"/>
          <w:szCs w:val="24"/>
        </w:rPr>
        <w:t xml:space="preserve"> </w:t>
      </w:r>
      <w:r w:rsidRPr="009F6D1E">
        <w:rPr>
          <w:rFonts w:cs="Times New Roman"/>
          <w:szCs w:val="24"/>
        </w:rPr>
        <w:t>повлияят нездравословно и на животните.</w:t>
      </w:r>
    </w:p>
    <w:p w14:paraId="3DE55FDB"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Съдържанието на никел в атмосферния въздух се контролира в 8 пункта. През годината не е регистрирано превишение на СГН за съдържание на никел в атмосферния въздух.</w:t>
      </w:r>
    </w:p>
    <w:p w14:paraId="239B21E3" w14:textId="1552B621" w:rsidR="00E1629C" w:rsidRPr="009F6D1E" w:rsidRDefault="00793663" w:rsidP="0084747F">
      <w:pPr>
        <w:autoSpaceDE w:val="0"/>
        <w:autoSpaceDN w:val="0"/>
        <w:adjustRightInd w:val="0"/>
        <w:spacing w:after="60" w:line="264" w:lineRule="auto"/>
        <w:jc w:val="center"/>
        <w:rPr>
          <w:rFonts w:cs="Times New Roman"/>
          <w:color w:val="BF8F00" w:themeColor="accent4" w:themeShade="BF"/>
          <w:szCs w:val="24"/>
        </w:rPr>
      </w:pPr>
      <w:r w:rsidRPr="00793663">
        <w:rPr>
          <w:rFonts w:cs="Times New Roman"/>
          <w:noProof/>
          <w:color w:val="BF8F00" w:themeColor="accent4" w:themeShade="BF"/>
          <w:szCs w:val="24"/>
          <w:lang w:val="en-US"/>
        </w:rPr>
        <w:lastRenderedPageBreak/>
        <w:drawing>
          <wp:inline distT="0" distB="0" distL="0" distR="0" wp14:anchorId="2121D9A5" wp14:editId="3EE2C913">
            <wp:extent cx="6120130" cy="2419985"/>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2419985"/>
                    </a:xfrm>
                    <a:prstGeom prst="rect">
                      <a:avLst/>
                    </a:prstGeom>
                  </pic:spPr>
                </pic:pic>
              </a:graphicData>
            </a:graphic>
          </wp:inline>
        </w:drawing>
      </w:r>
    </w:p>
    <w:p w14:paraId="116FC654" w14:textId="245DB00A" w:rsidR="00E1629C" w:rsidRPr="009F6D1E" w:rsidRDefault="00E86667" w:rsidP="00E86667">
      <w:pPr>
        <w:pStyle w:val="Caption"/>
      </w:pPr>
      <w:bookmarkStart w:id="221" w:name="_Toc115255100"/>
      <w:r w:rsidRPr="009F6D1E">
        <w:t xml:space="preserve">Фигура </w:t>
      </w:r>
      <w:fldSimple w:instr=" SEQ Фигура \* ARABIC ">
        <w:r w:rsidR="00A43EF3">
          <w:rPr>
            <w:noProof/>
          </w:rPr>
          <w:t>39</w:t>
        </w:r>
      </w:fldSimple>
      <w:r w:rsidRPr="009F6D1E">
        <w:t xml:space="preserve">: </w:t>
      </w:r>
      <w:r w:rsidR="00E1629C" w:rsidRPr="009F6D1E">
        <w:t>Средногодишни стойности на концентрацията на никел за 20</w:t>
      </w:r>
      <w:r w:rsidR="00793663">
        <w:t>20</w:t>
      </w:r>
      <w:r w:rsidR="00E1629C" w:rsidRPr="009F6D1E">
        <w:t xml:space="preserve"> г., </w:t>
      </w:r>
      <w:proofErr w:type="spellStart"/>
      <w:r w:rsidR="00E1629C" w:rsidRPr="009F6D1E">
        <w:t>ng</w:t>
      </w:r>
      <w:proofErr w:type="spellEnd"/>
      <w:r w:rsidR="00E1629C" w:rsidRPr="009F6D1E">
        <w:t>/m</w:t>
      </w:r>
      <w:r w:rsidR="00E1629C" w:rsidRPr="009F6D1E">
        <w:rPr>
          <w:vertAlign w:val="superscript"/>
        </w:rPr>
        <w:t>3</w:t>
      </w:r>
      <w:bookmarkEnd w:id="221"/>
    </w:p>
    <w:p w14:paraId="08183539" w14:textId="77777777" w:rsidR="00F74E6F" w:rsidRPr="009F6D1E" w:rsidRDefault="00F74E6F" w:rsidP="0084747F">
      <w:pPr>
        <w:autoSpaceDE w:val="0"/>
        <w:autoSpaceDN w:val="0"/>
        <w:adjustRightInd w:val="0"/>
        <w:spacing w:after="60" w:line="264" w:lineRule="auto"/>
        <w:contextualSpacing/>
        <w:jc w:val="both"/>
        <w:rPr>
          <w:rFonts w:cs="Times New Roman"/>
          <w:szCs w:val="24"/>
        </w:rPr>
      </w:pPr>
    </w:p>
    <w:p w14:paraId="23BE81BB" w14:textId="77777777" w:rsidR="00E1629C" w:rsidRPr="009F6D1E" w:rsidRDefault="00E1629C">
      <w:pPr>
        <w:pStyle w:val="ListParagraph"/>
        <w:numPr>
          <w:ilvl w:val="0"/>
          <w:numId w:val="48"/>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Арсен</w:t>
      </w:r>
    </w:p>
    <w:p w14:paraId="5E83BB59"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Арсенът се изпуска в атмосферата от естествени и антропогенни източници. По-голямата част от човешките емисии идват от металургични пещи и изгаряне на горива. Пестицидите са били важен източник на арсен, но рестрикциите в различните страни са намалили ролята му. Цигареният дим може да съдържа арсен.</w:t>
      </w:r>
    </w:p>
    <w:p w14:paraId="7EB72C0E"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Арсенът не е тежък метал, но се слага в групата на тежките метали поради високата си токсичност.</w:t>
      </w:r>
    </w:p>
    <w:p w14:paraId="54221669"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Арсенът е канцерогенен, а неканцерогенните му ефекти включват сърдечносъдови заболявания, невропатия и гангрена на крайниците. Арсенът е високотоксичен към водният живот и към животните най-общо. Органичните арсенови съединения са много устойчиви в околната среда и </w:t>
      </w:r>
      <w:proofErr w:type="spellStart"/>
      <w:r w:rsidRPr="009F6D1E">
        <w:rPr>
          <w:rFonts w:cs="Times New Roman"/>
          <w:szCs w:val="24"/>
        </w:rPr>
        <w:t>биоакумулират</w:t>
      </w:r>
      <w:proofErr w:type="spellEnd"/>
      <w:r w:rsidRPr="009F6D1E">
        <w:rPr>
          <w:rFonts w:cs="Times New Roman"/>
          <w:szCs w:val="24"/>
        </w:rPr>
        <w:t xml:space="preserve"> в хранителната верига.</w:t>
      </w:r>
    </w:p>
    <w:p w14:paraId="58AADA13"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Съдържанието на арсен в атмосферния въздух се контролира в 8 пункта. През годината не</w:t>
      </w:r>
      <w:r w:rsidR="00F74E6F" w:rsidRPr="009F6D1E">
        <w:rPr>
          <w:rFonts w:cs="Times New Roman"/>
          <w:szCs w:val="24"/>
        </w:rPr>
        <w:t xml:space="preserve"> </w:t>
      </w:r>
      <w:r w:rsidRPr="009F6D1E">
        <w:rPr>
          <w:rFonts w:cs="Times New Roman"/>
          <w:szCs w:val="24"/>
        </w:rPr>
        <w:t>е регистрирано превишение на целевата СГН за съдържание на арсен в атмосферния въздух.</w:t>
      </w:r>
    </w:p>
    <w:p w14:paraId="2D7CFCDF" w14:textId="3731CFF4" w:rsidR="00E1629C" w:rsidRPr="009F6D1E" w:rsidRDefault="00793663" w:rsidP="0084747F">
      <w:pPr>
        <w:autoSpaceDE w:val="0"/>
        <w:autoSpaceDN w:val="0"/>
        <w:adjustRightInd w:val="0"/>
        <w:spacing w:after="60" w:line="264" w:lineRule="auto"/>
        <w:jc w:val="center"/>
        <w:rPr>
          <w:rFonts w:cs="Times New Roman"/>
          <w:color w:val="BF8F00" w:themeColor="accent4" w:themeShade="BF"/>
          <w:szCs w:val="24"/>
        </w:rPr>
      </w:pPr>
      <w:r w:rsidRPr="00793663">
        <w:rPr>
          <w:rFonts w:cs="Times New Roman"/>
          <w:noProof/>
          <w:color w:val="BF8F00" w:themeColor="accent4" w:themeShade="BF"/>
          <w:szCs w:val="24"/>
          <w:lang w:val="en-US"/>
        </w:rPr>
        <w:drawing>
          <wp:inline distT="0" distB="0" distL="0" distR="0" wp14:anchorId="0D039D42" wp14:editId="15A1D703">
            <wp:extent cx="6120130" cy="2075815"/>
            <wp:effectExtent l="0" t="0" r="0" b="63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2075815"/>
                    </a:xfrm>
                    <a:prstGeom prst="rect">
                      <a:avLst/>
                    </a:prstGeom>
                  </pic:spPr>
                </pic:pic>
              </a:graphicData>
            </a:graphic>
          </wp:inline>
        </w:drawing>
      </w:r>
    </w:p>
    <w:p w14:paraId="2EFDB50E" w14:textId="4B58E1EE" w:rsidR="00E1629C" w:rsidRPr="009F6D1E" w:rsidRDefault="00E86667" w:rsidP="00E86667">
      <w:pPr>
        <w:pStyle w:val="Caption"/>
      </w:pPr>
      <w:bookmarkStart w:id="222" w:name="_Toc115255101"/>
      <w:r w:rsidRPr="009F6D1E">
        <w:t xml:space="preserve">Фигура </w:t>
      </w:r>
      <w:fldSimple w:instr=" SEQ Фигура \* ARABIC ">
        <w:r w:rsidR="00A43EF3">
          <w:rPr>
            <w:noProof/>
          </w:rPr>
          <w:t>40</w:t>
        </w:r>
      </w:fldSimple>
      <w:r w:rsidRPr="009F6D1E">
        <w:t xml:space="preserve">: </w:t>
      </w:r>
      <w:r w:rsidR="00E1629C" w:rsidRPr="009F6D1E">
        <w:t>Средногодишни концентрации на арсен за 20</w:t>
      </w:r>
      <w:r w:rsidR="00793663">
        <w:t>20</w:t>
      </w:r>
      <w:r w:rsidR="00E1629C" w:rsidRPr="009F6D1E">
        <w:t xml:space="preserve"> г., </w:t>
      </w:r>
      <w:proofErr w:type="spellStart"/>
      <w:r w:rsidR="00E1629C" w:rsidRPr="009F6D1E">
        <w:t>ng</w:t>
      </w:r>
      <w:proofErr w:type="spellEnd"/>
      <w:r w:rsidR="00E1629C" w:rsidRPr="009F6D1E">
        <w:t>/m</w:t>
      </w:r>
      <w:r w:rsidR="00E1629C" w:rsidRPr="009F6D1E">
        <w:rPr>
          <w:vertAlign w:val="superscript"/>
        </w:rPr>
        <w:t>3</w:t>
      </w:r>
      <w:bookmarkEnd w:id="222"/>
    </w:p>
    <w:p w14:paraId="56179CD9" w14:textId="77777777" w:rsidR="00F74E6F" w:rsidRPr="009F6D1E" w:rsidRDefault="00F74E6F" w:rsidP="0084747F">
      <w:pPr>
        <w:autoSpaceDE w:val="0"/>
        <w:autoSpaceDN w:val="0"/>
        <w:adjustRightInd w:val="0"/>
        <w:spacing w:after="60" w:line="264" w:lineRule="auto"/>
        <w:contextualSpacing/>
        <w:jc w:val="both"/>
        <w:rPr>
          <w:rFonts w:cs="Times New Roman"/>
          <w:szCs w:val="24"/>
        </w:rPr>
      </w:pPr>
    </w:p>
    <w:p w14:paraId="62E9049A" w14:textId="77777777" w:rsidR="00E1629C" w:rsidRPr="009F6D1E" w:rsidRDefault="00E1629C">
      <w:pPr>
        <w:pStyle w:val="ListParagraph"/>
        <w:numPr>
          <w:ilvl w:val="0"/>
          <w:numId w:val="48"/>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Въглероден оксид</w:t>
      </w:r>
    </w:p>
    <w:p w14:paraId="206264A2"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Въглеродният оксид е газ, който се емитира от непълно изгаряне на изкопаеми горива и биогорива. Пътният транспорт е бил значителен източник на емисии, но въвеждането на катализатори е намалило значително емисиите. Най-високите концентрации са измерени в градски области, през пиковите часове на деня.</w:t>
      </w:r>
    </w:p>
    <w:p w14:paraId="79BB68C6"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Въглеродният оксид навлиза в тялото през белите дробове, от там в кръвта, където се свързва с хемоглобина и намалява снабдяването с кислород на органите и тъканите. Хората страдащи от сърдечно-съдови заболявания са най-чувствителни към експозицията на въглероден оксид. Изключително високи нива могат да причинят смърт.</w:t>
      </w:r>
    </w:p>
    <w:p w14:paraId="25AF708A"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Времето на живот в атмосферата на въглероден оксид е около три месеца. Той бавно оксидира във въглероден диоксид, също образувайки озон по време на процеса, като по този начин допринася за атмосферната фонова концентрация на озон.</w:t>
      </w:r>
    </w:p>
    <w:p w14:paraId="4552706C" w14:textId="5D5E7944" w:rsidR="00E1629C" w:rsidRDefault="00793663" w:rsidP="00793663">
      <w:pPr>
        <w:autoSpaceDE w:val="0"/>
        <w:autoSpaceDN w:val="0"/>
        <w:adjustRightInd w:val="0"/>
        <w:spacing w:after="60" w:line="264" w:lineRule="auto"/>
        <w:ind w:firstLine="708"/>
        <w:jc w:val="both"/>
        <w:rPr>
          <w:rFonts w:cs="Times New Roman"/>
          <w:szCs w:val="24"/>
        </w:rPr>
      </w:pPr>
      <w:r w:rsidRPr="00793663">
        <w:rPr>
          <w:rFonts w:cs="Times New Roman"/>
          <w:szCs w:val="24"/>
        </w:rPr>
        <w:t>Съдържанието на въглероден оксид в атмосферния въздух се контролира в 19 пункта. През 2020 г. не е регистрирано превишение на нормата за съдържание на въглероден оксид в атмосферния въздух.</w:t>
      </w:r>
    </w:p>
    <w:p w14:paraId="0C5F1859" w14:textId="71C9FC45" w:rsidR="00793663" w:rsidRPr="009F6D1E" w:rsidRDefault="000F239A" w:rsidP="000F239A">
      <w:pPr>
        <w:autoSpaceDE w:val="0"/>
        <w:autoSpaceDN w:val="0"/>
        <w:adjustRightInd w:val="0"/>
        <w:spacing w:after="60" w:line="264" w:lineRule="auto"/>
        <w:jc w:val="center"/>
        <w:rPr>
          <w:rFonts w:cs="Times New Roman"/>
          <w:color w:val="BF8F00" w:themeColor="accent4" w:themeShade="BF"/>
          <w:szCs w:val="24"/>
        </w:rPr>
      </w:pPr>
      <w:r w:rsidRPr="000F239A">
        <w:rPr>
          <w:rFonts w:cs="Times New Roman"/>
          <w:noProof/>
          <w:color w:val="BF8F00" w:themeColor="accent4" w:themeShade="BF"/>
          <w:szCs w:val="24"/>
          <w:lang w:val="en-US"/>
        </w:rPr>
        <w:drawing>
          <wp:inline distT="0" distB="0" distL="0" distR="0" wp14:anchorId="6CDFDBB3" wp14:editId="7217AF0E">
            <wp:extent cx="6120130" cy="2926715"/>
            <wp:effectExtent l="0" t="0" r="0" b="6985"/>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0130" cy="2926715"/>
                    </a:xfrm>
                    <a:prstGeom prst="rect">
                      <a:avLst/>
                    </a:prstGeom>
                  </pic:spPr>
                </pic:pic>
              </a:graphicData>
            </a:graphic>
          </wp:inline>
        </w:drawing>
      </w:r>
    </w:p>
    <w:p w14:paraId="06AFBAF3" w14:textId="1780CDCB" w:rsidR="00E1629C" w:rsidRPr="009F6D1E" w:rsidRDefault="00E86667" w:rsidP="00E86667">
      <w:pPr>
        <w:pStyle w:val="Caption"/>
      </w:pPr>
      <w:bookmarkStart w:id="223" w:name="_Toc115255102"/>
      <w:r w:rsidRPr="009F6D1E">
        <w:t xml:space="preserve">Фигура </w:t>
      </w:r>
      <w:fldSimple w:instr=" SEQ Фигура \* ARABIC ">
        <w:r w:rsidR="00A43EF3">
          <w:rPr>
            <w:noProof/>
          </w:rPr>
          <w:t>41</w:t>
        </w:r>
      </w:fldSimple>
      <w:r w:rsidRPr="009F6D1E">
        <w:t xml:space="preserve">: </w:t>
      </w:r>
      <w:r w:rsidR="00E1629C" w:rsidRPr="009F6D1E">
        <w:t>Максимални осемчасови концентрации на СО за 20</w:t>
      </w:r>
      <w:r w:rsidR="00793663">
        <w:t>20</w:t>
      </w:r>
      <w:r w:rsidR="00E1629C" w:rsidRPr="009F6D1E">
        <w:t xml:space="preserve"> г., </w:t>
      </w:r>
      <w:proofErr w:type="spellStart"/>
      <w:r w:rsidR="00E1629C" w:rsidRPr="009F6D1E">
        <w:t>mg</w:t>
      </w:r>
      <w:proofErr w:type="spellEnd"/>
      <w:r w:rsidR="00E1629C" w:rsidRPr="009F6D1E">
        <w:t>/m</w:t>
      </w:r>
      <w:r w:rsidR="00E1629C" w:rsidRPr="009F6D1E">
        <w:rPr>
          <w:vertAlign w:val="superscript"/>
        </w:rPr>
        <w:t>3</w:t>
      </w:r>
      <w:bookmarkEnd w:id="223"/>
    </w:p>
    <w:p w14:paraId="1EA3BC58" w14:textId="77777777" w:rsidR="007D4C6A" w:rsidRPr="009F6D1E" w:rsidRDefault="007D4C6A" w:rsidP="0084747F">
      <w:pPr>
        <w:autoSpaceDE w:val="0"/>
        <w:autoSpaceDN w:val="0"/>
        <w:adjustRightInd w:val="0"/>
        <w:spacing w:after="60" w:line="264" w:lineRule="auto"/>
        <w:contextualSpacing/>
        <w:jc w:val="both"/>
        <w:rPr>
          <w:rFonts w:cs="Times New Roman"/>
          <w:szCs w:val="24"/>
        </w:rPr>
      </w:pPr>
    </w:p>
    <w:p w14:paraId="0A7D3B10" w14:textId="77777777" w:rsidR="00E1629C" w:rsidRPr="009F6D1E" w:rsidRDefault="00E1629C">
      <w:pPr>
        <w:pStyle w:val="ListParagraph"/>
        <w:numPr>
          <w:ilvl w:val="0"/>
          <w:numId w:val="49"/>
        </w:numPr>
        <w:autoSpaceDE w:val="0"/>
        <w:autoSpaceDN w:val="0"/>
        <w:adjustRightInd w:val="0"/>
        <w:spacing w:after="60" w:line="264" w:lineRule="auto"/>
        <w:jc w:val="both"/>
        <w:rPr>
          <w:b/>
          <w:bCs/>
          <w:i/>
          <w:iCs/>
          <w:color w:val="000000" w:themeColor="text1"/>
          <w:lang w:val="bg-BG"/>
        </w:rPr>
      </w:pPr>
      <w:r w:rsidRPr="009F6D1E">
        <w:rPr>
          <w:b/>
          <w:bCs/>
          <w:i/>
          <w:iCs/>
          <w:color w:val="000000" w:themeColor="text1"/>
          <w:lang w:val="bg-BG"/>
        </w:rPr>
        <w:t>Бензен</w:t>
      </w:r>
    </w:p>
    <w:p w14:paraId="014F860B"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Бензен се получава при непълно изгаряне на горива. Бензенът е добавка към бензина и над 80% от емисиите му се дължат на автомобилен трафик в Европа. Други източници са битовото отопление и рафинирането на нефт, също и пренасянето, разпределението и съхранението на бензини. Изгарянето на дърва може да бъде значителен локален емитер на бензен.</w:t>
      </w:r>
    </w:p>
    <w:p w14:paraId="62D6146F" w14:textId="77777777" w:rsidR="00E1629C" w:rsidRPr="009F6D1E"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lastRenderedPageBreak/>
        <w:t xml:space="preserve">Разлагането на бензен в атмосферата става главно чрез фотохимична деградация. Тази деградация допринася за формирането на озон, въпреки че химичната реактивност на бензена е относително ниска. Бензенът е </w:t>
      </w:r>
      <w:proofErr w:type="spellStart"/>
      <w:r w:rsidRPr="009F6D1E">
        <w:rPr>
          <w:rFonts w:cs="Times New Roman"/>
          <w:szCs w:val="24"/>
        </w:rPr>
        <w:t>канцероген</w:t>
      </w:r>
      <w:proofErr w:type="spellEnd"/>
      <w:r w:rsidRPr="009F6D1E">
        <w:rPr>
          <w:rFonts w:cs="Times New Roman"/>
          <w:szCs w:val="24"/>
        </w:rPr>
        <w:t>. Най-значимият нездравословен ефект от продължителна експозиция е увреждане на генетичния материал на клетките. Хроничната експозиция на бензен може да увреди костния мозък.</w:t>
      </w:r>
    </w:p>
    <w:p w14:paraId="69415A6D" w14:textId="4B2A6295" w:rsidR="00E1629C" w:rsidRPr="009F6D1E" w:rsidRDefault="000F239A" w:rsidP="0084747F">
      <w:pPr>
        <w:autoSpaceDE w:val="0"/>
        <w:autoSpaceDN w:val="0"/>
        <w:adjustRightInd w:val="0"/>
        <w:spacing w:after="60" w:line="264" w:lineRule="auto"/>
        <w:ind w:firstLine="708"/>
        <w:jc w:val="both"/>
        <w:rPr>
          <w:rFonts w:cs="Times New Roman"/>
          <w:szCs w:val="24"/>
        </w:rPr>
      </w:pPr>
      <w:r w:rsidRPr="000F239A">
        <w:rPr>
          <w:rFonts w:cs="Times New Roman"/>
          <w:szCs w:val="24"/>
        </w:rPr>
        <w:t>Съдържанието на бензен в атмосферния въздух се контролира в 20 пункта. През 2020 г. в нито един пункт не е регистрирано превишение на средногодишната норма за опазване на човешкото здраве за бензен</w:t>
      </w:r>
      <w:r w:rsidR="00E1629C" w:rsidRPr="009F6D1E">
        <w:rPr>
          <w:rFonts w:cs="Times New Roman"/>
          <w:szCs w:val="24"/>
        </w:rPr>
        <w:t>.</w:t>
      </w:r>
    </w:p>
    <w:p w14:paraId="0B36E842" w14:textId="5EA733DA" w:rsidR="00E1629C" w:rsidRPr="009F6D1E" w:rsidRDefault="000F239A" w:rsidP="0084747F">
      <w:pPr>
        <w:autoSpaceDE w:val="0"/>
        <w:autoSpaceDN w:val="0"/>
        <w:adjustRightInd w:val="0"/>
        <w:spacing w:after="60" w:line="264" w:lineRule="auto"/>
        <w:jc w:val="center"/>
        <w:rPr>
          <w:rFonts w:cs="Times New Roman"/>
          <w:szCs w:val="24"/>
        </w:rPr>
      </w:pPr>
      <w:r w:rsidRPr="000F239A">
        <w:rPr>
          <w:rFonts w:cs="Times New Roman"/>
          <w:noProof/>
          <w:szCs w:val="24"/>
          <w:lang w:val="en-US"/>
        </w:rPr>
        <w:drawing>
          <wp:inline distT="0" distB="0" distL="0" distR="0" wp14:anchorId="4F7D1A92" wp14:editId="38C5F6A2">
            <wp:extent cx="6120130" cy="217678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130" cy="2176780"/>
                    </a:xfrm>
                    <a:prstGeom prst="rect">
                      <a:avLst/>
                    </a:prstGeom>
                  </pic:spPr>
                </pic:pic>
              </a:graphicData>
            </a:graphic>
          </wp:inline>
        </w:drawing>
      </w:r>
    </w:p>
    <w:p w14:paraId="5478EB97" w14:textId="3DC32E30" w:rsidR="00E1629C" w:rsidRPr="009F6D1E" w:rsidRDefault="00E86667" w:rsidP="00E86667">
      <w:pPr>
        <w:pStyle w:val="Caption"/>
      </w:pPr>
      <w:bookmarkStart w:id="224" w:name="_Toc115255103"/>
      <w:r w:rsidRPr="009F6D1E">
        <w:t xml:space="preserve">Фигура </w:t>
      </w:r>
      <w:fldSimple w:instr=" SEQ Фигура \* ARABIC ">
        <w:r w:rsidR="00A43EF3">
          <w:rPr>
            <w:noProof/>
          </w:rPr>
          <w:t>42</w:t>
        </w:r>
      </w:fldSimple>
      <w:r w:rsidRPr="009F6D1E">
        <w:t xml:space="preserve">: </w:t>
      </w:r>
      <w:r w:rsidR="00E1629C" w:rsidRPr="009F6D1E">
        <w:t>Характеристика на пунктовете по отношение на замърсяването на атмосферния въздух с бензен за 20</w:t>
      </w:r>
      <w:r w:rsidR="000F239A">
        <w:t>20</w:t>
      </w:r>
      <w:r w:rsidR="00E1629C" w:rsidRPr="009F6D1E">
        <w:t xml:space="preserve"> г., </w:t>
      </w:r>
      <w:proofErr w:type="spellStart"/>
      <w:r w:rsidR="00E1629C" w:rsidRPr="009F6D1E">
        <w:t>μg</w:t>
      </w:r>
      <w:proofErr w:type="spellEnd"/>
      <w:r w:rsidR="00E1629C" w:rsidRPr="009F6D1E">
        <w:t>/m</w:t>
      </w:r>
      <w:r w:rsidR="00E1629C" w:rsidRPr="009F6D1E">
        <w:rPr>
          <w:vertAlign w:val="superscript"/>
        </w:rPr>
        <w:t>3</w:t>
      </w:r>
      <w:bookmarkEnd w:id="224"/>
    </w:p>
    <w:p w14:paraId="3DF2E1DD" w14:textId="77777777" w:rsidR="007D4C6A" w:rsidRPr="009F6D1E" w:rsidRDefault="007D4C6A" w:rsidP="0084747F">
      <w:pPr>
        <w:autoSpaceDE w:val="0"/>
        <w:autoSpaceDN w:val="0"/>
        <w:adjustRightInd w:val="0"/>
        <w:spacing w:after="60" w:line="264" w:lineRule="auto"/>
        <w:ind w:left="720"/>
        <w:contextualSpacing/>
        <w:jc w:val="both"/>
        <w:rPr>
          <w:rFonts w:cs="Times New Roman"/>
          <w:szCs w:val="24"/>
        </w:rPr>
      </w:pPr>
    </w:p>
    <w:p w14:paraId="29CFA53E" w14:textId="77777777" w:rsidR="00E1629C" w:rsidRPr="009F6D1E" w:rsidRDefault="00E1629C">
      <w:pPr>
        <w:pStyle w:val="ListParagraph"/>
        <w:numPr>
          <w:ilvl w:val="0"/>
          <w:numId w:val="50"/>
        </w:numPr>
        <w:autoSpaceDE w:val="0"/>
        <w:autoSpaceDN w:val="0"/>
        <w:adjustRightInd w:val="0"/>
        <w:spacing w:after="60" w:line="264" w:lineRule="auto"/>
        <w:ind w:left="851"/>
        <w:jc w:val="both"/>
        <w:rPr>
          <w:b/>
          <w:bCs/>
          <w:color w:val="000000" w:themeColor="text1"/>
          <w:lang w:val="bg-BG"/>
        </w:rPr>
      </w:pPr>
      <w:r w:rsidRPr="009F6D1E">
        <w:rPr>
          <w:b/>
          <w:bCs/>
          <w:color w:val="000000" w:themeColor="text1"/>
          <w:lang w:val="bg-BG"/>
        </w:rPr>
        <w:t>Дял на населението, което живее при наднормени нива на замърсяване</w:t>
      </w:r>
    </w:p>
    <w:p w14:paraId="1E02F9B7" w14:textId="7CA758AA" w:rsidR="00E1629C" w:rsidRDefault="00E1629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За 20</w:t>
      </w:r>
      <w:r w:rsidR="000F239A">
        <w:rPr>
          <w:rFonts w:cs="Times New Roman"/>
          <w:szCs w:val="24"/>
        </w:rPr>
        <w:t>20</w:t>
      </w:r>
      <w:r w:rsidRPr="009F6D1E">
        <w:rPr>
          <w:rFonts w:cs="Times New Roman"/>
          <w:szCs w:val="24"/>
        </w:rPr>
        <w:t xml:space="preserve"> год. могат да бъдат направени следните изводи и заключения що се касае до деля на населението, живеещо при наднормени нива на замърсяване:</w:t>
      </w:r>
    </w:p>
    <w:p w14:paraId="4E530201" w14:textId="77777777" w:rsidR="000F239A" w:rsidRPr="000F239A" w:rsidRDefault="000F239A">
      <w:pPr>
        <w:numPr>
          <w:ilvl w:val="0"/>
          <w:numId w:val="38"/>
        </w:numPr>
        <w:autoSpaceDE w:val="0"/>
        <w:autoSpaceDN w:val="0"/>
        <w:adjustRightInd w:val="0"/>
        <w:spacing w:after="60" w:line="264" w:lineRule="auto"/>
        <w:contextualSpacing/>
        <w:jc w:val="both"/>
        <w:rPr>
          <w:rFonts w:cs="Times New Roman"/>
          <w:szCs w:val="24"/>
        </w:rPr>
      </w:pPr>
      <w:r w:rsidRPr="000F239A">
        <w:rPr>
          <w:rFonts w:cs="Times New Roman"/>
          <w:szCs w:val="24"/>
        </w:rPr>
        <w:t>В градовете в България, в които са разположени пунктове за мониторинг, измерващи нивата на азотен диоксид и регистрирали през 2020 г. достатъчен обхват на данните за изчисляване на средногодишната му концентрация, няма население, живеещо при нива на замърсяване на атмосферния въздух над средногодишната норма за NO</w:t>
      </w:r>
      <w:r w:rsidRPr="000F239A">
        <w:rPr>
          <w:rFonts w:cs="Times New Roman"/>
          <w:szCs w:val="24"/>
          <w:vertAlign w:val="subscript"/>
        </w:rPr>
        <w:t>2</w:t>
      </w:r>
      <w:r w:rsidRPr="000F239A">
        <w:rPr>
          <w:rFonts w:cs="Times New Roman"/>
          <w:szCs w:val="24"/>
        </w:rPr>
        <w:t>.</w:t>
      </w:r>
    </w:p>
    <w:p w14:paraId="6180AD76" w14:textId="0C7A4C24" w:rsidR="000F239A" w:rsidRPr="000F239A" w:rsidRDefault="000F239A">
      <w:pPr>
        <w:numPr>
          <w:ilvl w:val="0"/>
          <w:numId w:val="38"/>
        </w:numPr>
        <w:autoSpaceDE w:val="0"/>
        <w:autoSpaceDN w:val="0"/>
        <w:adjustRightInd w:val="0"/>
        <w:spacing w:after="60" w:line="264" w:lineRule="auto"/>
        <w:contextualSpacing/>
        <w:jc w:val="both"/>
        <w:rPr>
          <w:rFonts w:cs="Times New Roman"/>
          <w:szCs w:val="24"/>
        </w:rPr>
      </w:pPr>
      <w:r w:rsidRPr="000F239A">
        <w:rPr>
          <w:rFonts w:cs="Times New Roman"/>
          <w:szCs w:val="24"/>
        </w:rPr>
        <w:t>През 2020 г. населението в страната не е изложено на нива на озон над краткосрочната целева норма.</w:t>
      </w:r>
    </w:p>
    <w:p w14:paraId="208B848D" w14:textId="4AC7B1C8" w:rsidR="000F239A" w:rsidRPr="000F239A" w:rsidRDefault="000F239A">
      <w:pPr>
        <w:numPr>
          <w:ilvl w:val="0"/>
          <w:numId w:val="38"/>
        </w:numPr>
        <w:autoSpaceDE w:val="0"/>
        <w:autoSpaceDN w:val="0"/>
        <w:adjustRightInd w:val="0"/>
        <w:spacing w:after="60" w:line="264" w:lineRule="auto"/>
        <w:contextualSpacing/>
        <w:jc w:val="both"/>
        <w:rPr>
          <w:rFonts w:cs="Times New Roman"/>
          <w:szCs w:val="24"/>
        </w:rPr>
      </w:pPr>
      <w:r w:rsidRPr="000F239A">
        <w:rPr>
          <w:rFonts w:cs="Times New Roman"/>
          <w:szCs w:val="24"/>
        </w:rPr>
        <w:t>През 2020 г. в пунктовете, измерващи нивата на ФПЧ2.5 в Агломерация “София” и РОУКАВ “Югозападен”, не е постигнат достатъчен обхват на данните за оценка на процента на засегнатото население. По данни от другите РОУКАВ населението в България живее при нива на замърсяване под целевата норма за ФПЧ2.5.</w:t>
      </w:r>
    </w:p>
    <w:p w14:paraId="2368D24B" w14:textId="69FC220A" w:rsidR="000F239A" w:rsidRPr="000F239A" w:rsidRDefault="000F239A">
      <w:pPr>
        <w:numPr>
          <w:ilvl w:val="0"/>
          <w:numId w:val="38"/>
        </w:numPr>
        <w:autoSpaceDE w:val="0"/>
        <w:autoSpaceDN w:val="0"/>
        <w:adjustRightInd w:val="0"/>
        <w:spacing w:after="60" w:line="264" w:lineRule="auto"/>
        <w:contextualSpacing/>
        <w:jc w:val="both"/>
        <w:rPr>
          <w:rFonts w:cs="Times New Roman"/>
          <w:szCs w:val="24"/>
        </w:rPr>
      </w:pPr>
      <w:r w:rsidRPr="000F239A">
        <w:rPr>
          <w:rFonts w:cs="Times New Roman"/>
          <w:szCs w:val="24"/>
        </w:rPr>
        <w:t>Все още остава много високият процент (60.2%) на населението, което живее при наднормени нива на замърсяване с ФПЧ10.</w:t>
      </w:r>
    </w:p>
    <w:p w14:paraId="562A1F39" w14:textId="236C1531" w:rsidR="00DC0401" w:rsidRPr="000F239A" w:rsidRDefault="000F239A">
      <w:pPr>
        <w:numPr>
          <w:ilvl w:val="0"/>
          <w:numId w:val="38"/>
        </w:numPr>
        <w:autoSpaceDE w:val="0"/>
        <w:autoSpaceDN w:val="0"/>
        <w:adjustRightInd w:val="0"/>
        <w:spacing w:after="60" w:line="264" w:lineRule="auto"/>
        <w:contextualSpacing/>
        <w:jc w:val="both"/>
        <w:rPr>
          <w:rFonts w:eastAsia="Times New Roman" w:cs="Times New Roman"/>
          <w:b/>
          <w:szCs w:val="24"/>
        </w:rPr>
      </w:pPr>
      <w:r w:rsidRPr="000F239A">
        <w:rPr>
          <w:rFonts w:cs="Times New Roman"/>
          <w:szCs w:val="24"/>
        </w:rPr>
        <w:t xml:space="preserve">През 2020 г. все още е голям процентът на населението, живеещо при нива на замърсяване над целевата норма за </w:t>
      </w:r>
      <w:proofErr w:type="spellStart"/>
      <w:r w:rsidRPr="000F239A">
        <w:rPr>
          <w:rFonts w:cs="Times New Roman"/>
          <w:szCs w:val="24"/>
        </w:rPr>
        <w:t>бензо</w:t>
      </w:r>
      <w:proofErr w:type="spellEnd"/>
      <w:r w:rsidRPr="000F239A">
        <w:rPr>
          <w:rFonts w:cs="Times New Roman"/>
          <w:szCs w:val="24"/>
        </w:rPr>
        <w:t>(а)пирен (67.6%).</w:t>
      </w:r>
    </w:p>
    <w:p w14:paraId="0475C455" w14:textId="77777777" w:rsidR="000F239A" w:rsidRPr="009F6D1E" w:rsidRDefault="000F239A" w:rsidP="000F239A">
      <w:pPr>
        <w:autoSpaceDE w:val="0"/>
        <w:autoSpaceDN w:val="0"/>
        <w:adjustRightInd w:val="0"/>
        <w:spacing w:after="60" w:line="264" w:lineRule="auto"/>
        <w:ind w:left="720"/>
        <w:contextualSpacing/>
        <w:jc w:val="both"/>
        <w:rPr>
          <w:rFonts w:eastAsia="Times New Roman" w:cs="Times New Roman"/>
          <w:b/>
          <w:szCs w:val="24"/>
        </w:rPr>
      </w:pPr>
    </w:p>
    <w:p w14:paraId="28FCB09D" w14:textId="77777777" w:rsidR="00DC0401" w:rsidRPr="009F6D1E" w:rsidRDefault="008476EA">
      <w:pPr>
        <w:pStyle w:val="Heading3"/>
        <w:numPr>
          <w:ilvl w:val="2"/>
          <w:numId w:val="39"/>
        </w:numPr>
        <w:shd w:val="clear" w:color="auto" w:fill="E2EFD9" w:themeFill="accent6" w:themeFillTint="33"/>
        <w:tabs>
          <w:tab w:val="clear" w:pos="1701"/>
        </w:tabs>
        <w:spacing w:before="0" w:after="60" w:line="264" w:lineRule="auto"/>
        <w:ind w:left="1146"/>
        <w:rPr>
          <w:smallCaps w:val="0"/>
          <w:lang w:bidi="ar-SA"/>
        </w:rPr>
      </w:pPr>
      <w:bookmarkStart w:id="225" w:name="_Toc97639510"/>
      <w:bookmarkStart w:id="226" w:name="_Toc115254994"/>
      <w:r w:rsidRPr="009F6D1E">
        <w:rPr>
          <w:smallCaps w:val="0"/>
          <w:lang w:bidi="ar-SA"/>
        </w:rPr>
        <w:t>По</w:t>
      </w:r>
      <w:r w:rsidR="00DC0401" w:rsidRPr="009F6D1E">
        <w:rPr>
          <w:smallCaps w:val="0"/>
          <w:lang w:bidi="ar-SA"/>
        </w:rPr>
        <w:t>върхностни и подземни</w:t>
      </w:r>
      <w:bookmarkEnd w:id="225"/>
      <w:r w:rsidRPr="009F6D1E">
        <w:rPr>
          <w:smallCaps w:val="0"/>
          <w:lang w:bidi="ar-SA"/>
        </w:rPr>
        <w:t xml:space="preserve"> води</w:t>
      </w:r>
      <w:bookmarkEnd w:id="226"/>
    </w:p>
    <w:p w14:paraId="011047E3" w14:textId="77777777" w:rsidR="00B24B81" w:rsidRPr="009F6D1E" w:rsidRDefault="00B24B81" w:rsidP="0084747F">
      <w:pPr>
        <w:spacing w:after="60" w:line="264" w:lineRule="auto"/>
        <w:ind w:firstLine="720"/>
        <w:contextualSpacing/>
        <w:jc w:val="both"/>
        <w:rPr>
          <w:rFonts w:eastAsia="Calibri" w:cs="Times New Roman"/>
          <w:szCs w:val="24"/>
        </w:rPr>
      </w:pPr>
    </w:p>
    <w:p w14:paraId="68A28290" w14:textId="46A6B578" w:rsidR="00B24B81" w:rsidRPr="009F6D1E" w:rsidRDefault="00B24B81" w:rsidP="0084747F">
      <w:pPr>
        <w:autoSpaceDE w:val="0"/>
        <w:autoSpaceDN w:val="0"/>
        <w:adjustRightInd w:val="0"/>
        <w:spacing w:after="60" w:line="264" w:lineRule="auto"/>
        <w:ind w:firstLine="720"/>
        <w:jc w:val="both"/>
        <w:rPr>
          <w:rFonts w:cs="Times New Roman"/>
          <w:color w:val="000000"/>
          <w:szCs w:val="24"/>
        </w:rPr>
      </w:pPr>
      <w:r w:rsidRPr="009F6D1E">
        <w:rPr>
          <w:rFonts w:cs="Times New Roman"/>
          <w:szCs w:val="24"/>
        </w:rPr>
        <w:t xml:space="preserve">Управлението на водите на територията на Република България се осъществява на национално и басейново ниво </w:t>
      </w:r>
      <w:r w:rsidRPr="009F6D1E">
        <w:rPr>
          <w:rFonts w:cs="Times New Roman"/>
          <w:color w:val="000000"/>
          <w:szCs w:val="24"/>
        </w:rPr>
        <w:t xml:space="preserve">със закона за водите и в съответствие с Директива 2000/60/ЕО, у нас са определени 4 района за басейново управление: Дунавски, Черноморски, Източнобеломорски и </w:t>
      </w:r>
      <w:proofErr w:type="spellStart"/>
      <w:r w:rsidRPr="009F6D1E">
        <w:rPr>
          <w:rFonts w:cs="Times New Roman"/>
          <w:color w:val="000000"/>
          <w:szCs w:val="24"/>
        </w:rPr>
        <w:t>Западнобеломорски</w:t>
      </w:r>
      <w:proofErr w:type="spellEnd"/>
      <w:r w:rsidRPr="009F6D1E">
        <w:rPr>
          <w:rFonts w:cs="Times New Roman"/>
          <w:color w:val="000000"/>
          <w:szCs w:val="24"/>
        </w:rPr>
        <w:t>, за които отговарят едноименните басейнови дирекции. (</w:t>
      </w:r>
      <w:r>
        <w:fldChar w:fldCharType="begin"/>
      </w:r>
      <w:r>
        <w:instrText xml:space="preserve"> REF _Ref97392838 \h  \* MERGEFORMAT </w:instrText>
      </w:r>
      <w:r>
        <w:fldChar w:fldCharType="separate"/>
      </w:r>
      <w:r w:rsidR="00A43EF3" w:rsidRPr="00A43EF3">
        <w:rPr>
          <w:rFonts w:cs="Times New Roman"/>
          <w:color w:val="000000"/>
          <w:szCs w:val="24"/>
        </w:rPr>
        <w:t>Фигура 43</w:t>
      </w:r>
      <w:r>
        <w:fldChar w:fldCharType="end"/>
      </w:r>
      <w:r w:rsidRPr="009F6D1E">
        <w:rPr>
          <w:rFonts w:cs="Times New Roman"/>
          <w:color w:val="000000"/>
          <w:szCs w:val="24"/>
        </w:rPr>
        <w:t xml:space="preserve">). Определените със закона за водите речни басейни не следват административно-териториалното деление, а поречията на реките на територията на България. Управлението на </w:t>
      </w:r>
      <w:proofErr w:type="spellStart"/>
      <w:r w:rsidRPr="009F6D1E">
        <w:rPr>
          <w:rFonts w:cs="Times New Roman"/>
          <w:color w:val="000000"/>
          <w:szCs w:val="24"/>
        </w:rPr>
        <w:t>водностопанските</w:t>
      </w:r>
      <w:proofErr w:type="spellEnd"/>
      <w:r w:rsidRPr="009F6D1E">
        <w:rPr>
          <w:rFonts w:cs="Times New Roman"/>
          <w:color w:val="000000"/>
          <w:szCs w:val="24"/>
        </w:rPr>
        <w:t xml:space="preserve"> системи се извършва на технологичен и басейнов принцип в съответствие с условията на разрешителните за водоползване и ползване на водните обекти за различни стопански дейности и за заустване на отпадни води в тях. </w:t>
      </w:r>
    </w:p>
    <w:p w14:paraId="3D77C9DF" w14:textId="77777777" w:rsidR="00B24B81" w:rsidRPr="009F6D1E" w:rsidRDefault="00B24B81" w:rsidP="0084747F">
      <w:pPr>
        <w:autoSpaceDE w:val="0"/>
        <w:autoSpaceDN w:val="0"/>
        <w:adjustRightInd w:val="0"/>
        <w:spacing w:after="60" w:line="264" w:lineRule="auto"/>
        <w:ind w:firstLine="720"/>
        <w:jc w:val="both"/>
        <w:rPr>
          <w:rFonts w:cs="Times New Roman"/>
          <w:color w:val="000000"/>
          <w:szCs w:val="24"/>
        </w:rPr>
      </w:pPr>
      <w:r w:rsidRPr="009F6D1E">
        <w:rPr>
          <w:rFonts w:cs="Times New Roman"/>
          <w:color w:val="000000"/>
          <w:szCs w:val="24"/>
        </w:rPr>
        <w:t xml:space="preserve">Водните ресурси са използваемата част от природните води и се формират предимно от валежите и се проявяват като повърхностни и подземни води. Съгласно §1 , т.23 от ЗВ „повърхностни води" са водите на сушата, с изключение на подземните води, както и преходните води и крайбрежните морски води, освен по отношение на химичното състояние, в които случай се включват и вътрешните морски води и водите на териториално море. Според Закона за водите, Националният институт по метеорология и хидрология (НИМХ) има ангажименти за оценката на водните ресурси, в това число и на валежите, както и за развитието на системите за ранно предупреждение от високи води. НИМХ предава оперативни данни за валежите, дебелината на снежната покривка, реките и подпочвените води, като прави дневни, седмични и месечни анализи на данните, подадени от оперативните станции в страната. </w:t>
      </w:r>
    </w:p>
    <w:p w14:paraId="3788431C" w14:textId="77777777" w:rsidR="00B24B81" w:rsidRPr="009F6D1E" w:rsidRDefault="00B24B81"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Министерство на околната среда и водите (МОСВ) е основният орган на национално ниво, осъществяващ държавната политика по управление на водните ресурси. Всеки месец, МОСВ прави график за ползване на водите от комплексните и значими язовири. Пълният месечен график се публикува на сайта на Министерство на околната среда и водите (</w:t>
      </w:r>
      <w:r w:rsidRPr="009F6D1E">
        <w:rPr>
          <w:rFonts w:cs="Times New Roman"/>
          <w:color w:val="0462C1"/>
          <w:szCs w:val="24"/>
        </w:rPr>
        <w:t>https://www.moew.government.bg/bg/vodi/kontrolna-dejnost/otcheti-i-registri/</w:t>
      </w:r>
      <w:r w:rsidRPr="009F6D1E">
        <w:rPr>
          <w:rFonts w:cs="Times New Roman"/>
          <w:color w:val="000000"/>
          <w:szCs w:val="24"/>
        </w:rPr>
        <w:t xml:space="preserve">.) </w:t>
      </w:r>
    </w:p>
    <w:p w14:paraId="01834D83" w14:textId="77777777" w:rsidR="00B24B81" w:rsidRPr="009F6D1E" w:rsidRDefault="00B24B81"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Дейността на басейновите дирекции се координират от дирекция “Управление на водите” към МОСВ.</w:t>
      </w:r>
    </w:p>
    <w:p w14:paraId="254140E1" w14:textId="0E7D4C98" w:rsidR="00B24B81" w:rsidRPr="009F6D1E" w:rsidRDefault="00B24B81"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 </w:t>
      </w:r>
      <w:r>
        <w:fldChar w:fldCharType="begin"/>
      </w:r>
      <w:r>
        <w:instrText xml:space="preserve"> REF _Ref97392838 \h  \* MERGEFORMAT </w:instrText>
      </w:r>
      <w:r>
        <w:fldChar w:fldCharType="separate"/>
      </w:r>
      <w:r w:rsidR="00A43EF3" w:rsidRPr="00A43EF3">
        <w:rPr>
          <w:rFonts w:cs="Times New Roman"/>
          <w:color w:val="000000"/>
          <w:szCs w:val="24"/>
        </w:rPr>
        <w:t>Фигура 43</w:t>
      </w:r>
      <w:r>
        <w:fldChar w:fldCharType="end"/>
      </w:r>
      <w:r w:rsidRPr="009F6D1E">
        <w:rPr>
          <w:rFonts w:cs="Times New Roman"/>
          <w:color w:val="000000"/>
          <w:szCs w:val="24"/>
        </w:rPr>
        <w:t xml:space="preserve"> е дадено регионалното разделение на страната и  границите на четирите Басейнови дирекции.</w:t>
      </w:r>
    </w:p>
    <w:p w14:paraId="5362CA9C" w14:textId="77777777" w:rsidR="00B24B81" w:rsidRPr="009F6D1E" w:rsidRDefault="00B24B81" w:rsidP="0084747F">
      <w:pPr>
        <w:spacing w:after="60" w:line="264" w:lineRule="auto"/>
        <w:jc w:val="center"/>
        <w:rPr>
          <w:rFonts w:cs="Times New Roman"/>
        </w:rPr>
      </w:pPr>
      <w:r w:rsidRPr="009F6D1E">
        <w:rPr>
          <w:rFonts w:cs="Times New Roman"/>
          <w:noProof/>
          <w:lang w:val="en-US"/>
        </w:rPr>
        <w:lastRenderedPageBreak/>
        <w:drawing>
          <wp:inline distT="0" distB="0" distL="0" distR="0" wp14:anchorId="791B63D7" wp14:editId="2AD214B6">
            <wp:extent cx="5874385" cy="4147820"/>
            <wp:effectExtent l="0" t="0" r="0" b="5080"/>
            <wp:docPr id="4" name="Picture 4" descr="BaseMap 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Map B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74385" cy="4147820"/>
                    </a:xfrm>
                    <a:prstGeom prst="rect">
                      <a:avLst/>
                    </a:prstGeom>
                    <a:noFill/>
                    <a:ln>
                      <a:noFill/>
                    </a:ln>
                  </pic:spPr>
                </pic:pic>
              </a:graphicData>
            </a:graphic>
          </wp:inline>
        </w:drawing>
      </w:r>
    </w:p>
    <w:p w14:paraId="1003A3F8" w14:textId="65861251" w:rsidR="00B24B81" w:rsidRPr="009F6D1E" w:rsidRDefault="00026243" w:rsidP="0084747F">
      <w:pPr>
        <w:pStyle w:val="Caption"/>
        <w:spacing w:after="60" w:line="264" w:lineRule="auto"/>
      </w:pPr>
      <w:bookmarkStart w:id="227" w:name="_Ref97392838"/>
      <w:bookmarkStart w:id="228" w:name="_Toc339456326"/>
      <w:bookmarkStart w:id="229" w:name="_Toc370119143"/>
      <w:bookmarkStart w:id="230" w:name="_Toc115255104"/>
      <w:r w:rsidRPr="009F6D1E">
        <w:t xml:space="preserve">Фигура </w:t>
      </w:r>
      <w:fldSimple w:instr=" SEQ Фигура \* ARABIC ">
        <w:r w:rsidR="00A43EF3">
          <w:rPr>
            <w:noProof/>
          </w:rPr>
          <w:t>43</w:t>
        </w:r>
      </w:fldSimple>
      <w:bookmarkEnd w:id="227"/>
      <w:r w:rsidRPr="009F6D1E">
        <w:t xml:space="preserve">: </w:t>
      </w:r>
      <w:r w:rsidR="00B24B81" w:rsidRPr="009F6D1E">
        <w:t>Карта на България с границите на четирите Басейнови дирекции</w:t>
      </w:r>
      <w:bookmarkEnd w:id="228"/>
      <w:bookmarkEnd w:id="229"/>
      <w:bookmarkEnd w:id="230"/>
    </w:p>
    <w:p w14:paraId="76B6226E" w14:textId="77777777" w:rsidR="009B3DA8" w:rsidRPr="009F6D1E" w:rsidRDefault="009B3DA8" w:rsidP="009B3DA8"/>
    <w:p w14:paraId="4453BEC9" w14:textId="77777777" w:rsidR="00864CF0" w:rsidRPr="009F6D1E" w:rsidRDefault="00864CF0">
      <w:pPr>
        <w:pStyle w:val="Heading4"/>
        <w:keepLines w:val="0"/>
        <w:numPr>
          <w:ilvl w:val="3"/>
          <w:numId w:val="39"/>
        </w:numPr>
        <w:shd w:val="clear" w:color="auto" w:fill="FFF2CC" w:themeFill="accent4" w:themeFillTint="33"/>
        <w:spacing w:before="0" w:after="60" w:line="264" w:lineRule="auto"/>
        <w:ind w:left="1259" w:hanging="862"/>
        <w:rPr>
          <w:b/>
          <w:bCs/>
          <w:smallCaps w:val="0"/>
          <w:color w:val="262626" w:themeColor="text1" w:themeTint="D9"/>
          <w:lang w:eastAsia="en-US" w:bidi="ar-SA"/>
        </w:rPr>
      </w:pPr>
      <w:r w:rsidRPr="009F6D1E">
        <w:rPr>
          <w:b/>
          <w:bCs/>
          <w:smallCaps w:val="0"/>
          <w:color w:val="262626" w:themeColor="text1" w:themeTint="D9"/>
          <w:lang w:eastAsia="en-US" w:bidi="ar-SA"/>
        </w:rPr>
        <w:t>Повърхностни води</w:t>
      </w:r>
    </w:p>
    <w:p w14:paraId="5BCB035A" w14:textId="77777777" w:rsidR="009B3DA8" w:rsidRPr="009F6D1E" w:rsidRDefault="009B3DA8" w:rsidP="0084747F">
      <w:pPr>
        <w:tabs>
          <w:tab w:val="left" w:pos="993"/>
        </w:tabs>
        <w:spacing w:after="60" w:line="264" w:lineRule="auto"/>
        <w:ind w:firstLine="720"/>
        <w:jc w:val="both"/>
        <w:rPr>
          <w:rFonts w:eastAsia="Times New Roman" w:cs="Times New Roman"/>
          <w:b/>
          <w:bCs/>
          <w:szCs w:val="24"/>
        </w:rPr>
      </w:pPr>
    </w:p>
    <w:p w14:paraId="164C87D6" w14:textId="77777777" w:rsidR="00864CF0" w:rsidRPr="009F6D1E" w:rsidRDefault="00864CF0" w:rsidP="0084747F">
      <w:pPr>
        <w:tabs>
          <w:tab w:val="left" w:pos="993"/>
        </w:tabs>
        <w:spacing w:after="60" w:line="264" w:lineRule="auto"/>
        <w:ind w:firstLine="720"/>
        <w:jc w:val="both"/>
        <w:rPr>
          <w:rFonts w:eastAsia="Times New Roman" w:cs="Times New Roman"/>
          <w:b/>
          <w:bCs/>
          <w:szCs w:val="24"/>
        </w:rPr>
      </w:pPr>
      <w:r w:rsidRPr="009F6D1E">
        <w:rPr>
          <w:rFonts w:eastAsia="Times New Roman" w:cs="Times New Roman"/>
          <w:b/>
          <w:bCs/>
          <w:szCs w:val="24"/>
        </w:rPr>
        <w:t xml:space="preserve">Характеристика на водните ресурси и водоползването </w:t>
      </w:r>
    </w:p>
    <w:p w14:paraId="1103E50D"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 отношение на повърхностните води, водният потенциал на Република България се формира от оттока на вътрешните реки, подземните води и част от водите на река Дунав.</w:t>
      </w:r>
    </w:p>
    <w:p w14:paraId="5D76E210"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Повърхностните води обхващат речните, езерните и блатните води, като речните са основната част от водните ресурси на България. Сравнително малката площ на страната, близостта и до Черно и Егейско море, както и комплексът от геолого-</w:t>
      </w:r>
      <w:proofErr w:type="spellStart"/>
      <w:r w:rsidRPr="009F6D1E">
        <w:rPr>
          <w:rFonts w:eastAsia="Times New Roman" w:cs="Times New Roman"/>
          <w:szCs w:val="24"/>
        </w:rPr>
        <w:t>геоморфоложките</w:t>
      </w:r>
      <w:proofErr w:type="spellEnd"/>
      <w:r w:rsidRPr="009F6D1E">
        <w:rPr>
          <w:rFonts w:eastAsia="Times New Roman" w:cs="Times New Roman"/>
          <w:szCs w:val="24"/>
        </w:rPr>
        <w:t xml:space="preserve"> особености, са причина реките в България да са къси и с малък средногодишен отток.</w:t>
      </w:r>
    </w:p>
    <w:p w14:paraId="34CB5E73"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 приемането на Директива 2000/60/ЕО на европейския парламент и на Съвета от 23 октомври 2000 г. за установяване на рамка за действията на Общността в областта на политиката за водите (Рамкова директива за водите (РДВ) 2000/60/ЕО) и прилагането и в Република България чрез промените на Закона за водите, са поставени основите на изравняване на критериите по отношение контролирането, опазването и управлението на водите, включително повърхностните, не само в границите на страната, но и в границите на </w:t>
      </w:r>
      <w:r w:rsidRPr="009F6D1E">
        <w:rPr>
          <w:rFonts w:eastAsia="Times New Roman" w:cs="Times New Roman"/>
          <w:szCs w:val="24"/>
        </w:rPr>
        <w:lastRenderedPageBreak/>
        <w:t>страните от Европейската общност. Освен това основните поречия се явяват и основни структури в общата система на басейново управление.</w:t>
      </w:r>
    </w:p>
    <w:p w14:paraId="78F3250F" w14:textId="77F018DD"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Повърхностните водни тела в района на речния басейн се определят като попадащи в някоя от следните категории води — реки, езера, преходни води или крайбрежни води, или като изкуствени повърхностни водни обекти или силно модифицирани такива, съгласно Приложение II 1.1 (i) на РДВ и Закона за водите (ЗВ), което е транспонирано в Наредба № Н-4 ОТ 14 септември 2012 Г. за характеризиране на повърхностните води (Обн. ДВ. бр.</w:t>
      </w:r>
      <w:hyperlink r:id="rId62" w:history="1">
        <w:r w:rsidRPr="009F6D1E">
          <w:rPr>
            <w:rFonts w:eastAsia="Times New Roman" w:cs="Times New Roman"/>
            <w:szCs w:val="24"/>
          </w:rPr>
          <w:t>22</w:t>
        </w:r>
      </w:hyperlink>
      <w:r w:rsidRPr="009F6D1E">
        <w:rPr>
          <w:rFonts w:eastAsia="Times New Roman" w:cs="Times New Roman"/>
          <w:szCs w:val="24"/>
        </w:rPr>
        <w:t xml:space="preserve"> от 5 Март 2013г.).</w:t>
      </w:r>
    </w:p>
    <w:p w14:paraId="22E1B500"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Основните елементи на контрола и управлението на повърхностните води се градят на база тяхното екологично и химично състояние, чрез определяне на „натиска“ от човешките дейности (замърсяване, черпене, хидроморфологични изменения и др.) върху водите, включително замърсяването от отпадъчни води, провеждане на мониторинг и чрез определяне на потенциалния риск от вредно въздействие на водите.</w:t>
      </w:r>
    </w:p>
    <w:p w14:paraId="47E980EA"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Основните различия в отделните райони за басейново управление са: брой на основните поречия, разлики в площите на </w:t>
      </w:r>
      <w:proofErr w:type="spellStart"/>
      <w:r w:rsidRPr="009F6D1E">
        <w:rPr>
          <w:rFonts w:eastAsia="Times New Roman" w:cs="Times New Roman"/>
          <w:szCs w:val="24"/>
        </w:rPr>
        <w:t>водосборите</w:t>
      </w:r>
      <w:proofErr w:type="spellEnd"/>
      <w:r w:rsidRPr="009F6D1E">
        <w:rPr>
          <w:rFonts w:eastAsia="Times New Roman" w:cs="Times New Roman"/>
          <w:szCs w:val="24"/>
        </w:rPr>
        <w:t xml:space="preserve"> им; </w:t>
      </w:r>
      <w:proofErr w:type="spellStart"/>
      <w:r w:rsidRPr="009F6D1E">
        <w:rPr>
          <w:rFonts w:eastAsia="Times New Roman" w:cs="Times New Roman"/>
          <w:szCs w:val="24"/>
        </w:rPr>
        <w:t>трансграничност</w:t>
      </w:r>
      <w:proofErr w:type="spellEnd"/>
      <w:r w:rsidRPr="009F6D1E">
        <w:rPr>
          <w:rFonts w:eastAsia="Times New Roman" w:cs="Times New Roman"/>
          <w:szCs w:val="24"/>
        </w:rPr>
        <w:t xml:space="preserve"> на част от реките, наличие на специфични категории води - преходни, крайбрежни морски, специфичния натиск и др.</w:t>
      </w:r>
    </w:p>
    <w:p w14:paraId="64036886"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Периодът на действие на </w:t>
      </w:r>
      <w:r w:rsidR="00CD4045" w:rsidRPr="009F6D1E">
        <w:rPr>
          <w:rFonts w:eastAsia="Times New Roman" w:cs="Times New Roman"/>
          <w:szCs w:val="24"/>
        </w:rPr>
        <w:t>СПРЗСР</w:t>
      </w:r>
      <w:r w:rsidRPr="009F6D1E">
        <w:rPr>
          <w:rFonts w:eastAsia="Times New Roman" w:cs="Times New Roman"/>
          <w:szCs w:val="24"/>
        </w:rPr>
        <w:t xml:space="preserve"> 2021 -2027 г. съвпада с прилагането на Плановете за управление на речните басейни (ПУРБ) за периода 2016-2021 г., както с актуализирането/ изготвянето и прилагането на ПУРБ за периода 2022-2027 г.</w:t>
      </w:r>
    </w:p>
    <w:p w14:paraId="71CDBC83" w14:textId="70147FC1"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Наличните водни ресурси се определят от климатичните условия, геоморфологията, </w:t>
      </w:r>
      <w:proofErr w:type="spellStart"/>
      <w:r w:rsidRPr="009F6D1E">
        <w:rPr>
          <w:rFonts w:eastAsia="Times New Roman" w:cs="Times New Roman"/>
          <w:szCs w:val="24"/>
        </w:rPr>
        <w:t>земеползването</w:t>
      </w:r>
      <w:proofErr w:type="spellEnd"/>
      <w:r w:rsidRPr="009F6D1E">
        <w:rPr>
          <w:rFonts w:eastAsia="Times New Roman" w:cs="Times New Roman"/>
          <w:szCs w:val="24"/>
        </w:rPr>
        <w:t xml:space="preserve"> и трансграничните водни потоци. България се отличава с относително значими пресни водни ресурси в сравнение с други европейски страни. През 20</w:t>
      </w:r>
      <w:r w:rsidR="002E1033">
        <w:rPr>
          <w:rFonts w:eastAsia="Times New Roman" w:cs="Times New Roman"/>
          <w:szCs w:val="24"/>
        </w:rPr>
        <w:t>20</w:t>
      </w:r>
      <w:r w:rsidRPr="009F6D1E">
        <w:rPr>
          <w:rFonts w:eastAsia="Times New Roman" w:cs="Times New Roman"/>
          <w:szCs w:val="24"/>
        </w:rPr>
        <w:t xml:space="preserve"> г. пресните водни ресурси на България се оценяват</w:t>
      </w:r>
      <w:r w:rsidR="002E1033">
        <w:rPr>
          <w:rFonts w:eastAsia="Times New Roman" w:cs="Times New Roman"/>
          <w:szCs w:val="24"/>
        </w:rPr>
        <w:t xml:space="preserve"> </w:t>
      </w:r>
      <w:r w:rsidR="002E1033" w:rsidRPr="009F6D1E">
        <w:rPr>
          <w:rFonts w:eastAsia="Times New Roman" w:cs="Times New Roman"/>
          <w:szCs w:val="24"/>
        </w:rPr>
        <w:t xml:space="preserve">на </w:t>
      </w:r>
      <w:r w:rsidR="002E1033" w:rsidRPr="002E1033">
        <w:rPr>
          <w:rFonts w:eastAsia="Times New Roman" w:cs="Times New Roman"/>
          <w:szCs w:val="24"/>
        </w:rPr>
        <w:t>79 877 </w:t>
      </w:r>
      <w:r w:rsidRPr="009F6D1E">
        <w:rPr>
          <w:rFonts w:eastAsia="Times New Roman" w:cs="Times New Roman"/>
          <w:szCs w:val="24"/>
        </w:rPr>
        <w:t xml:space="preserve">млн. </w:t>
      </w:r>
      <w:r w:rsidR="002E1033">
        <w:rPr>
          <w:rFonts w:eastAsia="Times New Roman" w:cs="Times New Roman"/>
          <w:szCs w:val="24"/>
          <w:lang w:val="en-US"/>
        </w:rPr>
        <w:t>m</w:t>
      </w:r>
      <w:r w:rsidRPr="009F6D1E">
        <w:rPr>
          <w:rFonts w:eastAsia="Times New Roman" w:cs="Times New Roman"/>
          <w:szCs w:val="24"/>
        </w:rPr>
        <w:t xml:space="preserve">³, или с </w:t>
      </w:r>
      <w:r w:rsidR="002E1033">
        <w:rPr>
          <w:rFonts w:eastAsia="Times New Roman" w:cs="Times New Roman"/>
          <w:szCs w:val="24"/>
          <w:lang w:val="en-US"/>
        </w:rPr>
        <w:t>20</w:t>
      </w:r>
      <w:r w:rsidRPr="009F6D1E">
        <w:rPr>
          <w:rFonts w:eastAsia="Times New Roman" w:cs="Times New Roman"/>
          <w:szCs w:val="24"/>
        </w:rPr>
        <w:t xml:space="preserve"> </w:t>
      </w:r>
      <w:proofErr w:type="gramStart"/>
      <w:r w:rsidRPr="009F6D1E">
        <w:rPr>
          <w:rFonts w:eastAsia="Times New Roman" w:cs="Times New Roman"/>
          <w:szCs w:val="24"/>
        </w:rPr>
        <w:t>%  по</w:t>
      </w:r>
      <w:proofErr w:type="gramEnd"/>
      <w:r w:rsidRPr="009F6D1E">
        <w:rPr>
          <w:rFonts w:eastAsia="Times New Roman" w:cs="Times New Roman"/>
          <w:szCs w:val="24"/>
        </w:rPr>
        <w:t>-малко спрямо средномногогодишния обем (1981-20</w:t>
      </w:r>
      <w:r w:rsidR="002E1033">
        <w:rPr>
          <w:rFonts w:eastAsia="Times New Roman" w:cs="Times New Roman"/>
          <w:szCs w:val="24"/>
          <w:lang w:val="en-US"/>
        </w:rPr>
        <w:t>20</w:t>
      </w:r>
      <w:r w:rsidRPr="009F6D1E">
        <w:rPr>
          <w:rFonts w:eastAsia="Times New Roman" w:cs="Times New Roman"/>
          <w:szCs w:val="24"/>
        </w:rPr>
        <w:t xml:space="preserve"> г.). </w:t>
      </w:r>
      <w:proofErr w:type="spellStart"/>
      <w:r w:rsidR="002E1033" w:rsidRPr="002E1033">
        <w:rPr>
          <w:rFonts w:eastAsia="Times New Roman" w:cs="Times New Roman"/>
          <w:szCs w:val="24"/>
        </w:rPr>
        <w:t>Външият</w:t>
      </w:r>
      <w:proofErr w:type="spellEnd"/>
      <w:r w:rsidR="002E1033" w:rsidRPr="002E1033">
        <w:rPr>
          <w:rFonts w:eastAsia="Times New Roman" w:cs="Times New Roman"/>
          <w:szCs w:val="24"/>
        </w:rPr>
        <w:t xml:space="preserve"> приток от р. Дунав за 2020 г. е 69 753 млн.</w:t>
      </w:r>
      <w:r w:rsidR="002E1033">
        <w:rPr>
          <w:rFonts w:eastAsia="Times New Roman" w:cs="Times New Roman"/>
          <w:szCs w:val="24"/>
          <w:lang w:val="en-US"/>
        </w:rPr>
        <w:t xml:space="preserve"> m</w:t>
      </w:r>
      <w:r w:rsidR="002E1033" w:rsidRPr="002E1033">
        <w:rPr>
          <w:rFonts w:eastAsia="Times New Roman" w:cs="Times New Roman"/>
          <w:szCs w:val="24"/>
        </w:rPr>
        <w:t>³ и е с 17% по-малко спрямо средномногогодишната норма (1981 – 2020 г.). Вътрешният отток е намалял с 37%, но общото намаляване не е толкова голямо, предвид приноса на река Дунав, която формира 87,3% от възобновяемите пресни ресурси на страната</w:t>
      </w:r>
      <w:r w:rsidRPr="009F6D1E">
        <w:rPr>
          <w:rFonts w:eastAsia="Times New Roman" w:cs="Times New Roman"/>
          <w:szCs w:val="24"/>
        </w:rPr>
        <w:t>. </w:t>
      </w:r>
    </w:p>
    <w:p w14:paraId="7CC5D3A4" w14:textId="7FC9E1C9"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Иззети пресни води за икономиката и домакинствата в страната през 20</w:t>
      </w:r>
      <w:r w:rsidR="002E1033">
        <w:rPr>
          <w:rFonts w:eastAsia="Times New Roman" w:cs="Times New Roman"/>
          <w:szCs w:val="24"/>
          <w:lang w:val="en-US"/>
        </w:rPr>
        <w:t>20</w:t>
      </w:r>
      <w:r w:rsidRPr="009F6D1E">
        <w:rPr>
          <w:rFonts w:eastAsia="Times New Roman" w:cs="Times New Roman"/>
          <w:szCs w:val="24"/>
        </w:rPr>
        <w:t xml:space="preserve"> </w:t>
      </w:r>
      <w:proofErr w:type="spellStart"/>
      <w:r w:rsidRPr="009F6D1E">
        <w:rPr>
          <w:rFonts w:eastAsia="Times New Roman" w:cs="Times New Roman"/>
          <w:szCs w:val="24"/>
        </w:rPr>
        <w:t>г.се</w:t>
      </w:r>
      <w:proofErr w:type="spellEnd"/>
      <w:r w:rsidRPr="009F6D1E">
        <w:rPr>
          <w:rFonts w:eastAsia="Times New Roman" w:cs="Times New Roman"/>
          <w:szCs w:val="24"/>
        </w:rPr>
        <w:t xml:space="preserve"> оценяват на 5,</w:t>
      </w:r>
      <w:r w:rsidR="002E1033">
        <w:rPr>
          <w:rFonts w:eastAsia="Times New Roman" w:cs="Times New Roman"/>
          <w:szCs w:val="24"/>
          <w:lang w:val="en-US"/>
        </w:rPr>
        <w:t>08</w:t>
      </w:r>
      <w:r w:rsidRPr="009F6D1E">
        <w:rPr>
          <w:rFonts w:eastAsia="Times New Roman" w:cs="Times New Roman"/>
          <w:szCs w:val="24"/>
        </w:rPr>
        <w:t xml:space="preserve"> млрд.</w:t>
      </w:r>
      <w:r w:rsidR="002E1033">
        <w:rPr>
          <w:rFonts w:eastAsia="Times New Roman" w:cs="Times New Roman"/>
          <w:szCs w:val="24"/>
          <w:lang w:val="en-US"/>
        </w:rPr>
        <w:t xml:space="preserve"> m</w:t>
      </w:r>
      <w:r w:rsidRPr="009F6D1E">
        <w:rPr>
          <w:rFonts w:eastAsia="Times New Roman" w:cs="Times New Roman"/>
          <w:szCs w:val="24"/>
          <w:vertAlign w:val="superscript"/>
        </w:rPr>
        <w:t xml:space="preserve">3 </w:t>
      </w:r>
      <w:r w:rsidRPr="009F6D1E">
        <w:rPr>
          <w:rFonts w:eastAsia="Times New Roman" w:cs="Times New Roman"/>
          <w:szCs w:val="24"/>
        </w:rPr>
        <w:t xml:space="preserve">или </w:t>
      </w:r>
      <w:r w:rsidR="002E1033">
        <w:rPr>
          <w:rFonts w:eastAsia="Times New Roman" w:cs="Times New Roman"/>
          <w:szCs w:val="24"/>
          <w:lang w:val="en-US"/>
        </w:rPr>
        <w:t>6</w:t>
      </w:r>
      <w:r w:rsidRPr="009F6D1E">
        <w:rPr>
          <w:rFonts w:eastAsia="Times New Roman" w:cs="Times New Roman"/>
          <w:szCs w:val="24"/>
        </w:rPr>
        <w:t>.</w:t>
      </w:r>
      <w:r w:rsidR="002E1033">
        <w:rPr>
          <w:rFonts w:eastAsia="Times New Roman" w:cs="Times New Roman"/>
          <w:szCs w:val="24"/>
          <w:lang w:val="en-US"/>
        </w:rPr>
        <w:t>4</w:t>
      </w:r>
      <w:r w:rsidRPr="009F6D1E">
        <w:rPr>
          <w:rFonts w:eastAsia="Times New Roman" w:cs="Times New Roman"/>
          <w:szCs w:val="24"/>
        </w:rPr>
        <w:t>% по-малко спрямо 201</w:t>
      </w:r>
      <w:r w:rsidR="002E1033">
        <w:rPr>
          <w:rFonts w:eastAsia="Times New Roman" w:cs="Times New Roman"/>
          <w:szCs w:val="24"/>
          <w:lang w:val="en-US"/>
        </w:rPr>
        <w:t>9</w:t>
      </w:r>
      <w:r w:rsidRPr="009F6D1E">
        <w:rPr>
          <w:rFonts w:eastAsia="Times New Roman" w:cs="Times New Roman"/>
          <w:szCs w:val="24"/>
        </w:rPr>
        <w:t xml:space="preserve"> година. </w:t>
      </w:r>
      <w:r w:rsidR="002E1033" w:rsidRPr="002E1033">
        <w:rPr>
          <w:rFonts w:eastAsia="Times New Roman" w:cs="Times New Roman"/>
          <w:szCs w:val="24"/>
        </w:rPr>
        <w:t>Отчита се спад на иззетите води за охлаждане в енергетиката - със 7,2%, като достигат 3 288 млн.</w:t>
      </w:r>
      <w:r w:rsidR="002E1033">
        <w:rPr>
          <w:rFonts w:eastAsia="Times New Roman" w:cs="Times New Roman"/>
          <w:szCs w:val="24"/>
          <w:lang w:val="en-US"/>
        </w:rPr>
        <w:t xml:space="preserve"> m</w:t>
      </w:r>
      <w:r w:rsidR="002E1033" w:rsidRPr="002E1033">
        <w:rPr>
          <w:rFonts w:eastAsia="Times New Roman" w:cs="Times New Roman"/>
          <w:szCs w:val="24"/>
          <w:vertAlign w:val="superscript"/>
        </w:rPr>
        <w:t>3</w:t>
      </w:r>
      <w:r w:rsidR="002E1033" w:rsidRPr="002E1033">
        <w:rPr>
          <w:rFonts w:eastAsia="Times New Roman" w:cs="Times New Roman"/>
          <w:szCs w:val="24"/>
        </w:rPr>
        <w:t xml:space="preserve"> и делът им е 64,8% от иззетата прясна вода. </w:t>
      </w:r>
      <w:r w:rsidRPr="009F6D1E">
        <w:rPr>
          <w:rFonts w:eastAsia="Times New Roman" w:cs="Times New Roman"/>
          <w:szCs w:val="24"/>
        </w:rPr>
        <w:t>Характерно за страната са значимите води, необходими за охлаждащи процеси в енергетиката, които съставляват средногодишно 62% от иззетите пресни води (2010-20</w:t>
      </w:r>
      <w:r w:rsidR="002E1033">
        <w:rPr>
          <w:rFonts w:eastAsia="Times New Roman" w:cs="Times New Roman"/>
          <w:szCs w:val="24"/>
          <w:lang w:val="en-US"/>
        </w:rPr>
        <w:t>20</w:t>
      </w:r>
      <w:r w:rsidRPr="009F6D1E">
        <w:rPr>
          <w:rFonts w:eastAsia="Times New Roman" w:cs="Times New Roman"/>
          <w:szCs w:val="24"/>
        </w:rPr>
        <w:t xml:space="preserve">). </w:t>
      </w:r>
      <w:r w:rsidR="002E1033" w:rsidRPr="002E1033">
        <w:rPr>
          <w:rFonts w:eastAsia="Times New Roman" w:cs="Times New Roman"/>
          <w:szCs w:val="24"/>
        </w:rPr>
        <w:t>Черпенето на вода от сектор „Селско, горско и рибно стопанство“ през 2020 г. намалява с 5% до 758,9 млн.</w:t>
      </w:r>
      <w:r w:rsidR="002E1033">
        <w:rPr>
          <w:rFonts w:eastAsia="Times New Roman" w:cs="Times New Roman"/>
          <w:szCs w:val="24"/>
          <w:lang w:val="en-US"/>
        </w:rPr>
        <w:t>m</w:t>
      </w:r>
      <w:r w:rsidR="002E1033" w:rsidRPr="002E1033">
        <w:rPr>
          <w:rFonts w:eastAsia="Times New Roman" w:cs="Times New Roman"/>
          <w:szCs w:val="24"/>
          <w:vertAlign w:val="superscript"/>
        </w:rPr>
        <w:t>3</w:t>
      </w:r>
      <w:r w:rsidR="002E1033" w:rsidRPr="002E1033">
        <w:rPr>
          <w:rFonts w:eastAsia="Times New Roman" w:cs="Times New Roman"/>
          <w:szCs w:val="24"/>
        </w:rPr>
        <w:t xml:space="preserve">, спрямо 2019 г. Съотношението между водочерпенията от повърхностни и подземни водоизточници е относително постоянно, като повърхностните води осигуряват средногодишно около 90% от необходимата прясна вода за икономиката. </w:t>
      </w:r>
      <w:r w:rsidRPr="009F6D1E">
        <w:rPr>
          <w:rFonts w:eastAsia="Times New Roman" w:cs="Times New Roman"/>
          <w:szCs w:val="24"/>
        </w:rPr>
        <w:t>Въпреки намаляващото водоползване, България е сред европейските страни с високи равнища на иззетата вода средно на човек поради значимите водни обеми за охлаждащи процеси в енергетиката.</w:t>
      </w:r>
    </w:p>
    <w:p w14:paraId="4C5523B4" w14:textId="2DC3C1F3"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Индексът на експлоатация на водни ресурси показва, че в периода 2000 – 20</w:t>
      </w:r>
      <w:r w:rsidR="00DE3E4B">
        <w:rPr>
          <w:rFonts w:eastAsia="Times New Roman" w:cs="Times New Roman"/>
          <w:szCs w:val="24"/>
          <w:lang w:val="en-US"/>
        </w:rPr>
        <w:t>20</w:t>
      </w:r>
      <w:r w:rsidRPr="009F6D1E">
        <w:rPr>
          <w:rFonts w:eastAsia="Times New Roman" w:cs="Times New Roman"/>
          <w:szCs w:val="24"/>
        </w:rPr>
        <w:t xml:space="preserve"> г. няма стрес върху водната екосистема на България. Недостиг на вода може да се наблюдава в определени райони с недостатъчни ресурси, висока гъстота на населението и интензивни промишлени дейности, както и други фактори.</w:t>
      </w:r>
    </w:p>
    <w:p w14:paraId="33764D57" w14:textId="07BCAB9B"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Тенденцията на намаление на количество на пресните води, иззети за икономиката и домакинствата в страната продължава и през 2020 г. общият обем е 5,08 млрд.</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В абсолютен обем иззетите пресни води в периода 2010-2020 г. са средногодишно около 5,62 млрд.</w:t>
      </w:r>
      <w:r>
        <w:rPr>
          <w:rFonts w:eastAsia="Times New Roman" w:cs="Times New Roman"/>
          <w:szCs w:val="24"/>
          <w:lang w:val="en-US"/>
        </w:rPr>
        <w:t xml:space="preserve"> m</w:t>
      </w:r>
      <w:r w:rsidRPr="008C6B0E">
        <w:rPr>
          <w:rFonts w:eastAsia="Times New Roman" w:cs="Times New Roman"/>
          <w:szCs w:val="24"/>
          <w:vertAlign w:val="superscript"/>
        </w:rPr>
        <w:t>3</w:t>
      </w:r>
      <w:r w:rsidRPr="008C6B0E">
        <w:rPr>
          <w:rFonts w:eastAsia="Times New Roman" w:cs="Times New Roman"/>
          <w:szCs w:val="24"/>
        </w:rPr>
        <w:t> (без водоползването във ВЕЦ) като максимумът е отбелязан през сухата 2011 година (6,4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w:t>
      </w:r>
    </w:p>
    <w:p w14:paraId="5C81C763" w14:textId="53980618"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През 2020 г. водовземането от повърхностни източници се оценява на 4,5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което е с 11,7% по-малко от средногодишното за периода 2010-2019 година. Язовирните води през 2020 г. намаляват до 1,69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или с 25,05% по-малко спрямо тези за средногодишния период. Количеството на добитите подземни води през 2020 г. (561 млн.</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са близо до средногодишното равнище и до равнището през 2019 година.</w:t>
      </w:r>
    </w:p>
    <w:p w14:paraId="79CB176C" w14:textId="77777777"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Въпреки намалението на абсолютните обеми, съотношението между водочерпенията от повърхностни и подземни водоизточници е относително постоянно, като повърхностните води осигуряват средногодишно около 90% от иззетата прясна вода за икономиката.</w:t>
      </w:r>
    </w:p>
    <w:p w14:paraId="7F4E911A" w14:textId="287547E8"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Колебанията в равнището на водовземането в страната се определят от значимите водни обеми, необходими за охлаждащи процеси в енергийния сектор (предимно повърхностни), които след преработка обикновено се връщат обратно във водоизточниците. Техният обем в периода 2010-2020 г. варира между 3,2 и 3,8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което съставлява средногодишно около 70% от иззетите пресни води. През 2020 г. иззети за охлаждащи процеси в енергийния сектор се понижават с 7,2% до 3,29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спрямо 3,54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през 2019 година.</w:t>
      </w:r>
    </w:p>
    <w:p w14:paraId="042190DA" w14:textId="782F9C0B"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Данните по сектори показват спад на водите, иззети от сектор „Селско, горско и рибно стопанство“</w:t>
      </w:r>
      <w:r>
        <w:rPr>
          <w:rFonts w:eastAsia="Times New Roman" w:cs="Times New Roman"/>
          <w:szCs w:val="24"/>
          <w:lang w:val="en-US"/>
        </w:rPr>
        <w:t xml:space="preserve"> </w:t>
      </w:r>
      <w:r w:rsidRPr="008C6B0E">
        <w:rPr>
          <w:rFonts w:eastAsia="Times New Roman" w:cs="Times New Roman"/>
          <w:szCs w:val="24"/>
        </w:rPr>
        <w:t>(вкл. напоителни системи), които се подават основно за напояване и аквакултури. През 2020 г. количеството се понижава до 758.9 млн.</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спрямо 2019г. – 798,5 млн.</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Добитата вода от ВиК сектора достига до 815 млн.</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xml:space="preserve"> или с 3.3% по-малко спрямо 2019 г. Ръст с 1% във водовземането в сравнение с 2019 г. се регистрира в сектора на добивната промишленост, като през 2020г. достига стойност- 27,1 млн.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w:t>
      </w:r>
    </w:p>
    <w:p w14:paraId="364BD8CD" w14:textId="4095004E"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За производството на хидроенергия (ВЕЦ) през 2020 г. са преработени допълнително около 17 млрд.</w:t>
      </w:r>
      <w:r w:rsidRPr="008C6B0E">
        <w:rPr>
          <w:rFonts w:eastAsia="Times New Roman" w:cs="Times New Roman"/>
          <w:szCs w:val="24"/>
          <w:lang w:val="en-US"/>
        </w:rPr>
        <w:t xml:space="preserve">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 сурови води или с 2,6% по-вече спрямо 2019 година, като равнищата се определят в основно от годишните колебания на валежите, водния приток и капацитета на инсталираните мощности. </w:t>
      </w:r>
    </w:p>
    <w:p w14:paraId="7AAF0CA3" w14:textId="77777777"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 xml:space="preserve">Регионалните различия в страната се определят от териториалното разположение на </w:t>
      </w:r>
      <w:proofErr w:type="spellStart"/>
      <w:r w:rsidRPr="008C6B0E">
        <w:rPr>
          <w:rFonts w:eastAsia="Times New Roman" w:cs="Times New Roman"/>
          <w:szCs w:val="24"/>
        </w:rPr>
        <w:t>водоползващите</w:t>
      </w:r>
      <w:proofErr w:type="spellEnd"/>
      <w:r w:rsidRPr="008C6B0E">
        <w:rPr>
          <w:rFonts w:eastAsia="Times New Roman" w:cs="Times New Roman"/>
          <w:szCs w:val="24"/>
        </w:rPr>
        <w:t xml:space="preserve"> дейности и други </w:t>
      </w:r>
      <w:proofErr w:type="spellStart"/>
      <w:r w:rsidRPr="008C6B0E">
        <w:rPr>
          <w:rFonts w:eastAsia="Times New Roman" w:cs="Times New Roman"/>
          <w:szCs w:val="24"/>
        </w:rPr>
        <w:t>природо</w:t>
      </w:r>
      <w:proofErr w:type="spellEnd"/>
      <w:r w:rsidRPr="008C6B0E">
        <w:rPr>
          <w:rFonts w:eastAsia="Times New Roman" w:cs="Times New Roman"/>
          <w:szCs w:val="24"/>
        </w:rPr>
        <w:t>-географски особености. Водещо място заемат районите с голям дял на енергийно водоползване - Дунавски и Източнобеломорски басейнов район. </w:t>
      </w:r>
    </w:p>
    <w:p w14:paraId="2884BA6F" w14:textId="29F821F2" w:rsidR="008C6B0E" w:rsidRPr="008C6B0E" w:rsidRDefault="008C6B0E" w:rsidP="008C6B0E">
      <w:pPr>
        <w:tabs>
          <w:tab w:val="left" w:pos="993"/>
        </w:tabs>
        <w:spacing w:after="60" w:line="264" w:lineRule="auto"/>
        <w:ind w:firstLine="720"/>
        <w:jc w:val="both"/>
        <w:rPr>
          <w:rFonts w:eastAsia="Times New Roman" w:cs="Times New Roman"/>
          <w:szCs w:val="24"/>
        </w:rPr>
      </w:pPr>
      <w:r w:rsidRPr="008C6B0E">
        <w:rPr>
          <w:rFonts w:eastAsia="Times New Roman" w:cs="Times New Roman"/>
          <w:szCs w:val="24"/>
        </w:rPr>
        <w:t xml:space="preserve">Европейските страни с високо равнище на водовземане средно на човек от населението са Гърция (764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w:t>
      </w:r>
      <w:proofErr w:type="spellStart"/>
      <w:r w:rsidRPr="008C6B0E">
        <w:rPr>
          <w:rFonts w:eastAsia="Times New Roman" w:cs="Times New Roman"/>
          <w:szCs w:val="24"/>
        </w:rPr>
        <w:t>чов</w:t>
      </w:r>
      <w:proofErr w:type="spellEnd"/>
      <w:r w:rsidRPr="008C6B0E">
        <w:rPr>
          <w:rFonts w:eastAsia="Times New Roman" w:cs="Times New Roman"/>
          <w:szCs w:val="24"/>
        </w:rPr>
        <w:t xml:space="preserve">., 2019 г.), Сърбия (757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w:t>
      </w:r>
      <w:proofErr w:type="spellStart"/>
      <w:r w:rsidRPr="008C6B0E">
        <w:rPr>
          <w:rFonts w:eastAsia="Times New Roman" w:cs="Times New Roman"/>
          <w:szCs w:val="24"/>
        </w:rPr>
        <w:t>чов</w:t>
      </w:r>
      <w:proofErr w:type="spellEnd"/>
      <w:r w:rsidRPr="008C6B0E">
        <w:rPr>
          <w:rFonts w:eastAsia="Times New Roman" w:cs="Times New Roman"/>
          <w:szCs w:val="24"/>
        </w:rPr>
        <w:t xml:space="preserve">., 2019 г.) и България (673 </w:t>
      </w:r>
      <w:r>
        <w:rPr>
          <w:rFonts w:eastAsia="Times New Roman" w:cs="Times New Roman"/>
          <w:szCs w:val="24"/>
          <w:lang w:val="en-US"/>
        </w:rPr>
        <w:t>m</w:t>
      </w:r>
      <w:r w:rsidRPr="008C6B0E">
        <w:rPr>
          <w:rFonts w:eastAsia="Times New Roman" w:cs="Times New Roman"/>
          <w:szCs w:val="24"/>
          <w:vertAlign w:val="superscript"/>
        </w:rPr>
        <w:t>3</w:t>
      </w:r>
      <w:r w:rsidRPr="008C6B0E">
        <w:rPr>
          <w:rFonts w:eastAsia="Times New Roman" w:cs="Times New Roman"/>
          <w:szCs w:val="24"/>
        </w:rPr>
        <w:t>/</w:t>
      </w:r>
      <w:proofErr w:type="spellStart"/>
      <w:r w:rsidRPr="008C6B0E">
        <w:rPr>
          <w:rFonts w:eastAsia="Times New Roman" w:cs="Times New Roman"/>
          <w:szCs w:val="24"/>
        </w:rPr>
        <w:t>чов</w:t>
      </w:r>
      <w:proofErr w:type="spellEnd"/>
      <w:r w:rsidRPr="008C6B0E">
        <w:rPr>
          <w:rFonts w:eastAsia="Times New Roman" w:cs="Times New Roman"/>
          <w:szCs w:val="24"/>
        </w:rPr>
        <w:t>., 2019 г.).</w:t>
      </w:r>
    </w:p>
    <w:p w14:paraId="29AF60C6" w14:textId="77777777" w:rsidR="008C6B0E" w:rsidRPr="008C6B0E" w:rsidRDefault="008C6B0E" w:rsidP="008C6B0E">
      <w:pPr>
        <w:shd w:val="clear" w:color="auto" w:fill="FFFFFF"/>
        <w:spacing w:after="0" w:line="240" w:lineRule="auto"/>
        <w:jc w:val="both"/>
        <w:rPr>
          <w:rFonts w:ascii="Arial" w:eastAsia="Times New Roman" w:hAnsi="Arial" w:cs="Arial"/>
          <w:color w:val="000000"/>
          <w:sz w:val="19"/>
          <w:szCs w:val="19"/>
          <w:lang w:eastAsia="bg-BG"/>
        </w:rPr>
      </w:pPr>
    </w:p>
    <w:p w14:paraId="342E6490" w14:textId="458DE933"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lastRenderedPageBreak/>
        <w:t>Използваните пресни и непресни води от икономиката и домакинствата в страната следват равнищата на иззетите води. През 2020 г. количеството на използваната вода се оценява на 4,3 млрд.</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което е близо до средногодишното потребление в периода 2010-2019 г. (4,7 млрд.</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Най-значими са водните количества, използвани през относително сухата 2011 г. (5,2 млрд.</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w:t>
      </w:r>
    </w:p>
    <w:p w14:paraId="72D4AEBE" w14:textId="44F36465"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С най-голям дял е водата, използвана в индустриалния сектор – средногодишно 86% от общия използван обем (2010-2020 г.). През 2020 г. количеството на промишлената вода се оценява на 3650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от които 91% са води за охлаждане в енергетиката. На второ място по потребление е преработващата промишленост. През 2020 г. използваните води се оценяват на 2134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което е с 10% по-малко спрямо 2019 г., и близо до средногодишния обем -217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(2010-2019 г.). С по-значими обеми в преработващата промишленост са дейностите: производството на кокс, рафинирани нефтопродукти, химични продукти, лекарствени вещества и продукти, производството на хранителни продукти, напитки и производството на хартия, картон и изделия от хартия и картон. Преобладаващата част от индустриалните води се осигуряват чрез самостоятелно снабдяване, а от ВиК – 1,8% от общото потребление (2010-2020 г.). За същия период преработващата индустрия разчита в по-голяма степен на водоподаване - средно около 14,4% от използваната вода е доставена от ВиК.</w:t>
      </w:r>
    </w:p>
    <w:p w14:paraId="6440A555" w14:textId="61952FEE"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Използваната вода от сектор селско, горско и рибно стопанство съставлява средногодишно около 6,9% от общото водоползване (2010-2020 г.). През 2020 г. количествата се оценяват на 336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като най-значими са през 2015 г. (360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а най-малки - през относително многоводната 2014 г. (289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Равнището се определя основно от търсенето на вода за напояване, което зависи от вида на културите, засетите площи, както и от климатичните фактори. През 2020 г. използваната вода за напояване в сектора се оценява на 274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основно за оризища. Най-голям обем за напояване е регистриран през относително сухата 2011 г. (322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а най-малък – през 2017 г. (255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Вода за напояване на земеделски култури се използва и от други икономически сектори, с което общото количество за напояване през 2020 г. достига 314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007A55D5" w:rsidRPr="00942873">
        <w:rPr>
          <w:rFonts w:eastAsia="Times New Roman" w:cs="Times New Roman"/>
          <w:szCs w:val="24"/>
        </w:rPr>
        <w:t xml:space="preserve"> </w:t>
      </w:r>
      <w:r w:rsidRPr="00942873">
        <w:rPr>
          <w:rFonts w:eastAsia="Times New Roman" w:cs="Times New Roman"/>
          <w:szCs w:val="24"/>
        </w:rPr>
        <w:t>(306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- 2019 година)</w:t>
      </w:r>
    </w:p>
    <w:p w14:paraId="1F13A6E4" w14:textId="05DE33B2"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Консумацията на вода в сектора на услугите през 2020 г. намалява до 66,5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спрямо 2019 г. – 73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По-голямата част от водите се осигуряват от ВиК (54%, 2010-2020 г.).</w:t>
      </w:r>
    </w:p>
    <w:p w14:paraId="4FF639B7" w14:textId="575E91F1"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Потреблението на вода от домакинствата в страната е относително устойчиво. Общото количество фактурираната от ВиК питейна вода през 2020 г. е 257 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което се равнява на 102 л/</w:t>
      </w:r>
      <w:proofErr w:type="spellStart"/>
      <w:proofErr w:type="gramStart"/>
      <w:r w:rsidRPr="00942873">
        <w:rPr>
          <w:rFonts w:eastAsia="Times New Roman" w:cs="Times New Roman"/>
          <w:szCs w:val="24"/>
        </w:rPr>
        <w:t>чов</w:t>
      </w:r>
      <w:proofErr w:type="spellEnd"/>
      <w:r w:rsidRPr="00942873">
        <w:rPr>
          <w:rFonts w:eastAsia="Times New Roman" w:cs="Times New Roman"/>
          <w:szCs w:val="24"/>
        </w:rPr>
        <w:t>./</w:t>
      </w:r>
      <w:proofErr w:type="gramEnd"/>
      <w:r w:rsidRPr="00942873">
        <w:rPr>
          <w:rFonts w:eastAsia="Times New Roman" w:cs="Times New Roman"/>
          <w:szCs w:val="24"/>
        </w:rPr>
        <w:t>ден, при средногодишното потребление - 99л/ден средно на човек (2010-2020 г.). По-висока е консумацията през 2012 и 2020 г. (102 л/</w:t>
      </w:r>
      <w:proofErr w:type="spellStart"/>
      <w:r w:rsidRPr="00942873">
        <w:rPr>
          <w:rFonts w:eastAsia="Times New Roman" w:cs="Times New Roman"/>
          <w:szCs w:val="24"/>
        </w:rPr>
        <w:t>чов</w:t>
      </w:r>
      <w:proofErr w:type="spellEnd"/>
      <w:r w:rsidRPr="00942873">
        <w:rPr>
          <w:rFonts w:eastAsia="Times New Roman" w:cs="Times New Roman"/>
          <w:szCs w:val="24"/>
        </w:rPr>
        <w:t>./ден.), а по-ниска - през 2014 г. (96 л/</w:t>
      </w:r>
      <w:proofErr w:type="spellStart"/>
      <w:r w:rsidRPr="00942873">
        <w:rPr>
          <w:rFonts w:eastAsia="Times New Roman" w:cs="Times New Roman"/>
          <w:szCs w:val="24"/>
        </w:rPr>
        <w:t>чов</w:t>
      </w:r>
      <w:proofErr w:type="spellEnd"/>
      <w:r w:rsidRPr="00942873">
        <w:rPr>
          <w:rFonts w:eastAsia="Times New Roman" w:cs="Times New Roman"/>
          <w:szCs w:val="24"/>
        </w:rPr>
        <w:t>./ден.). Регионалните данни сочат, че водещо място по потребление през 2020 г. са областите София-столица (127 л/</w:t>
      </w:r>
      <w:proofErr w:type="spellStart"/>
      <w:r w:rsidRPr="00942873">
        <w:rPr>
          <w:rFonts w:eastAsia="Times New Roman" w:cs="Times New Roman"/>
          <w:szCs w:val="24"/>
        </w:rPr>
        <w:t>чов</w:t>
      </w:r>
      <w:proofErr w:type="spellEnd"/>
      <w:r w:rsidRPr="00942873">
        <w:rPr>
          <w:rFonts w:eastAsia="Times New Roman" w:cs="Times New Roman"/>
          <w:szCs w:val="24"/>
        </w:rPr>
        <w:t>./ден.) и Благоевград (113 л/</w:t>
      </w:r>
      <w:proofErr w:type="spellStart"/>
      <w:r w:rsidRPr="00942873">
        <w:rPr>
          <w:rFonts w:eastAsia="Times New Roman" w:cs="Times New Roman"/>
          <w:szCs w:val="24"/>
        </w:rPr>
        <w:t>чов</w:t>
      </w:r>
      <w:proofErr w:type="spellEnd"/>
      <w:r w:rsidRPr="00942873">
        <w:rPr>
          <w:rFonts w:eastAsia="Times New Roman" w:cs="Times New Roman"/>
          <w:szCs w:val="24"/>
        </w:rPr>
        <w:t>./ден.), Бургас (108 л/</w:t>
      </w:r>
      <w:proofErr w:type="spellStart"/>
      <w:r w:rsidRPr="00942873">
        <w:rPr>
          <w:rFonts w:eastAsia="Times New Roman" w:cs="Times New Roman"/>
          <w:szCs w:val="24"/>
        </w:rPr>
        <w:t>чов</w:t>
      </w:r>
      <w:proofErr w:type="spellEnd"/>
      <w:r w:rsidRPr="00942873">
        <w:rPr>
          <w:rFonts w:eastAsia="Times New Roman" w:cs="Times New Roman"/>
          <w:szCs w:val="24"/>
        </w:rPr>
        <w:t>./ден.) а на последно място са Търговище (68 л/</w:t>
      </w:r>
      <w:proofErr w:type="spellStart"/>
      <w:r w:rsidRPr="00942873">
        <w:rPr>
          <w:rFonts w:eastAsia="Times New Roman" w:cs="Times New Roman"/>
          <w:szCs w:val="24"/>
        </w:rPr>
        <w:t>чов</w:t>
      </w:r>
      <w:proofErr w:type="spellEnd"/>
      <w:r w:rsidRPr="00942873">
        <w:rPr>
          <w:rFonts w:eastAsia="Times New Roman" w:cs="Times New Roman"/>
          <w:szCs w:val="24"/>
        </w:rPr>
        <w:t>./ден.) и Сливен (71 л/</w:t>
      </w:r>
      <w:proofErr w:type="spellStart"/>
      <w:r w:rsidRPr="00942873">
        <w:rPr>
          <w:rFonts w:eastAsia="Times New Roman" w:cs="Times New Roman"/>
          <w:szCs w:val="24"/>
        </w:rPr>
        <w:t>чов</w:t>
      </w:r>
      <w:proofErr w:type="spellEnd"/>
      <w:r w:rsidRPr="00942873">
        <w:rPr>
          <w:rFonts w:eastAsia="Times New Roman" w:cs="Times New Roman"/>
          <w:szCs w:val="24"/>
        </w:rPr>
        <w:t>./ден.) и Шумен (76 л/</w:t>
      </w:r>
      <w:proofErr w:type="spellStart"/>
      <w:r w:rsidRPr="00942873">
        <w:rPr>
          <w:rFonts w:eastAsia="Times New Roman" w:cs="Times New Roman"/>
          <w:szCs w:val="24"/>
        </w:rPr>
        <w:t>чов</w:t>
      </w:r>
      <w:proofErr w:type="spellEnd"/>
      <w:r w:rsidRPr="00942873">
        <w:rPr>
          <w:rFonts w:eastAsia="Times New Roman" w:cs="Times New Roman"/>
          <w:szCs w:val="24"/>
        </w:rPr>
        <w:t>./ден.). Сравнението по басейнови райони за управление на водите сочи, че през 2020 г. най-високо е потреблението на вода от домакинствата в Дунавския район (108 л/</w:t>
      </w:r>
      <w:proofErr w:type="spellStart"/>
      <w:r w:rsidRPr="00942873">
        <w:rPr>
          <w:rFonts w:eastAsia="Times New Roman" w:cs="Times New Roman"/>
          <w:szCs w:val="24"/>
        </w:rPr>
        <w:t>чов</w:t>
      </w:r>
      <w:proofErr w:type="spellEnd"/>
      <w:r w:rsidRPr="00942873">
        <w:rPr>
          <w:rFonts w:eastAsia="Times New Roman" w:cs="Times New Roman"/>
          <w:szCs w:val="24"/>
        </w:rPr>
        <w:t xml:space="preserve">./ден), следван от </w:t>
      </w:r>
      <w:proofErr w:type="spellStart"/>
      <w:r w:rsidRPr="00942873">
        <w:rPr>
          <w:rFonts w:eastAsia="Times New Roman" w:cs="Times New Roman"/>
          <w:szCs w:val="24"/>
        </w:rPr>
        <w:t>Западнобеломорския</w:t>
      </w:r>
      <w:proofErr w:type="spellEnd"/>
      <w:r w:rsidRPr="00942873">
        <w:rPr>
          <w:rFonts w:eastAsia="Times New Roman" w:cs="Times New Roman"/>
          <w:szCs w:val="24"/>
        </w:rPr>
        <w:t xml:space="preserve"> район (107 л/</w:t>
      </w:r>
      <w:proofErr w:type="spellStart"/>
      <w:r w:rsidRPr="00942873">
        <w:rPr>
          <w:rFonts w:eastAsia="Times New Roman" w:cs="Times New Roman"/>
          <w:szCs w:val="24"/>
        </w:rPr>
        <w:t>чов</w:t>
      </w:r>
      <w:proofErr w:type="spellEnd"/>
      <w:r w:rsidRPr="00942873">
        <w:rPr>
          <w:rFonts w:eastAsia="Times New Roman" w:cs="Times New Roman"/>
          <w:szCs w:val="24"/>
        </w:rPr>
        <w:t>./ден.), Черноморския район (98л/</w:t>
      </w:r>
      <w:proofErr w:type="spellStart"/>
      <w:r w:rsidRPr="00942873">
        <w:rPr>
          <w:rFonts w:eastAsia="Times New Roman" w:cs="Times New Roman"/>
          <w:szCs w:val="24"/>
        </w:rPr>
        <w:t>чов</w:t>
      </w:r>
      <w:proofErr w:type="spellEnd"/>
      <w:r w:rsidRPr="00942873">
        <w:rPr>
          <w:rFonts w:eastAsia="Times New Roman" w:cs="Times New Roman"/>
          <w:szCs w:val="24"/>
        </w:rPr>
        <w:t>./ден.), а с най-ниско - Източнобеломорския район (94 л/</w:t>
      </w:r>
      <w:proofErr w:type="spellStart"/>
      <w:r w:rsidRPr="00942873">
        <w:rPr>
          <w:rFonts w:eastAsia="Times New Roman" w:cs="Times New Roman"/>
          <w:szCs w:val="24"/>
        </w:rPr>
        <w:t>чов</w:t>
      </w:r>
      <w:proofErr w:type="spellEnd"/>
      <w:r w:rsidRPr="00942873">
        <w:rPr>
          <w:rFonts w:eastAsia="Times New Roman" w:cs="Times New Roman"/>
          <w:szCs w:val="24"/>
        </w:rPr>
        <w:t>./ден.).</w:t>
      </w:r>
    </w:p>
    <w:p w14:paraId="4FF11CA5" w14:textId="2792AEF7"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lastRenderedPageBreak/>
        <w:t>Загубите се формират основно във водоснабдителните сектори (ВиК и напоителни системи), като техният абсолютен обем не се отчита чрез пряко измерване, а е резултат от изчисления. Общите загуби се разпределят на загуби при транспорта на водата (реални загуби – от течове и изпарения) и търговски загуби. Статистическите данни сочат, че в абсолютен обем сумарните загуби във водоснабдителния сектор намаляват като през 2020 г. са 783,7млн.</w:t>
      </w:r>
      <w:r w:rsidR="007A55D5" w:rsidRPr="007A55D5">
        <w:rPr>
          <w:rFonts w:eastAsia="Times New Roman" w:cs="Times New Roman"/>
          <w:szCs w:val="24"/>
          <w:lang w:val="en-US"/>
        </w:rPr>
        <w:t xml:space="preserve"> </w:t>
      </w:r>
      <w:r w:rsidR="007A55D5">
        <w:rPr>
          <w:rFonts w:eastAsia="Times New Roman" w:cs="Times New Roman"/>
          <w:szCs w:val="24"/>
          <w:lang w:val="en-US"/>
        </w:rPr>
        <w:t>m</w:t>
      </w:r>
      <w:r w:rsidR="007A55D5" w:rsidRPr="008C6B0E">
        <w:rPr>
          <w:rFonts w:eastAsia="Times New Roman" w:cs="Times New Roman"/>
          <w:szCs w:val="24"/>
          <w:vertAlign w:val="superscript"/>
        </w:rPr>
        <w:t>3</w:t>
      </w:r>
      <w:r w:rsidRPr="00942873">
        <w:rPr>
          <w:rFonts w:eastAsia="Times New Roman" w:cs="Times New Roman"/>
          <w:szCs w:val="24"/>
        </w:rPr>
        <w:t>. В периода 2010-2020 г. най-значими загуби са отчетени през 2011 г. и през 2012 г. (над 1 млрд.</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Колебанията в годишните равнища се определят основно при преноса на вода чрез откритите канали на хидромелиоративните системи. </w:t>
      </w:r>
    </w:p>
    <w:p w14:paraId="6FE4C8FE" w14:textId="6DDEEE4C"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Подадената вода от ВиК сектора се осигурява чрез самостоятелното водовземане от повърхностни и подземни води и прехвърлянето на води между водоснабдителните дружества, включително от напоителни системи. По този начин се компенсира неравномерното разпределение на водните ресурси в страната. Измерването на водните количества е все по-прецизно през годините. Историческите статистически данни сочат тенденция на намаление на подадената вода от ВиК сектора – от 1200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(2000 г.) до 859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(2020 г.). Делът на общите загуби от подадената вода във ВиК сектора бавно намалява – от 61,0% (2000 г.) до 57,4% (2020 г.), като преобладаващи са загубите при транспорта на водата (2020 г.-86% от общите загуби). </w:t>
      </w:r>
    </w:p>
    <w:p w14:paraId="5EC269F1" w14:textId="22B35576"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През 2020 г. от икономиката и домакинствата са образувани около 415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отпадъчни води и 3 263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отработени води от охлаждащи процеси - общо те съставляват 85,3% от използваните води.</w:t>
      </w:r>
    </w:p>
    <w:p w14:paraId="63672947" w14:textId="591780DE"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Общото количество на отпадъчните води отведени във водни обекти през 2020 г. от икономиката, домакинствата, обществената канализация и СПСОВ (вкл. дъждовни и други неточкови източници) се оценява на 712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което е с 0,4% по-малко спрямо миналогодишния обем 715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(2019 г.). Нараства делът на пречистените отпадъчните води преди заустване - от 75,2% (2010г.) на 82,5% (2020 г.). Подобряват се и методите на пречистване – 82,5% от пречистените отпадъчни води през 2020 г. се пречистват както с вторично така и с третично пречистване с отстраняване на азот и фосфор (76,7% за 2010 година).</w:t>
      </w:r>
    </w:p>
    <w:p w14:paraId="07A763C2" w14:textId="77777777"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Неточковите източници (дъждовни, дренажни и др.) формират средно около 52% от събраните в канализационната система отпадъчни води. Нараства делът на отпадъчните води, пречистени в СПСОВ – през 2010 г. количеството съставлява 81,9% от канализационните води, при 93,2% през 2020 година.</w:t>
      </w:r>
    </w:p>
    <w:p w14:paraId="3BAAD096" w14:textId="004BF726"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Регистрира се тенденция на намаление на количеството на отпадъчните води, образувани от сектора на индустрията (без преработените охлаждащи води) – от 172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(2010 г.) на 93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(2020 г.). Преобладаващата част от индустриалните отпадъчни води се отвеждат във водни обекти през 2020 г. – 81,1% от образуваните. Делът на пречистените съставлява около 62% през 2020 г.</w:t>
      </w:r>
    </w:p>
    <w:p w14:paraId="2310CC6E" w14:textId="000A43A3"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Образуваните отпадъчни води от битовия сектор (домакинства и услуги) през 2020 г. са оценени на 269,5 млн.</w:t>
      </w:r>
      <w:r w:rsidR="00115091" w:rsidRPr="00115091">
        <w:rPr>
          <w:rFonts w:eastAsia="Times New Roman" w:cs="Times New Roman"/>
          <w:szCs w:val="24"/>
          <w:lang w:val="en-US"/>
        </w:rPr>
        <w:t xml:space="preserve"> </w:t>
      </w:r>
      <w:r w:rsidR="00115091">
        <w:rPr>
          <w:rFonts w:eastAsia="Times New Roman" w:cs="Times New Roman"/>
          <w:szCs w:val="24"/>
          <w:lang w:val="en-US"/>
        </w:rPr>
        <w:t>m</w:t>
      </w:r>
      <w:r w:rsidR="00115091" w:rsidRPr="008C6B0E">
        <w:rPr>
          <w:rFonts w:eastAsia="Times New Roman" w:cs="Times New Roman"/>
          <w:szCs w:val="24"/>
          <w:vertAlign w:val="superscript"/>
        </w:rPr>
        <w:t>3</w:t>
      </w:r>
      <w:r w:rsidRPr="00942873">
        <w:rPr>
          <w:rFonts w:eastAsia="Times New Roman" w:cs="Times New Roman"/>
          <w:szCs w:val="24"/>
        </w:rPr>
        <w:t xml:space="preserve">, като през годините запазват относително устойчиво равнище. </w:t>
      </w:r>
      <w:r w:rsidRPr="00942873">
        <w:rPr>
          <w:rFonts w:eastAsia="Times New Roman" w:cs="Times New Roman"/>
          <w:szCs w:val="24"/>
        </w:rPr>
        <w:lastRenderedPageBreak/>
        <w:t>Преобладаващата част от отпадъчните води се отвеждат в обществената канализация и селищните пречиствателни станции за отпадъчни води (СПСОВ).</w:t>
      </w:r>
    </w:p>
    <w:p w14:paraId="578DEA43" w14:textId="77777777"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 xml:space="preserve">През 2020 г. в страната са регистрирани 174 бр. действащи селищни пречиствателни станции за отпадъчни води (2010 г. - 79 бр.), от които 115 бр. с капацитет над 2 000 еквивалент жители. От тях 30 бр. са с вторично пречистване и 82 бр. – с вторично и с </w:t>
      </w:r>
      <w:proofErr w:type="spellStart"/>
      <w:r w:rsidRPr="00942873">
        <w:rPr>
          <w:rFonts w:eastAsia="Times New Roman" w:cs="Times New Roman"/>
          <w:szCs w:val="24"/>
        </w:rPr>
        <w:t>допречистване</w:t>
      </w:r>
      <w:proofErr w:type="spellEnd"/>
      <w:r w:rsidRPr="00942873">
        <w:rPr>
          <w:rFonts w:eastAsia="Times New Roman" w:cs="Times New Roman"/>
          <w:szCs w:val="24"/>
        </w:rPr>
        <w:t xml:space="preserve"> след вторичното (с отстраняване на азот и /или фосфор).</w:t>
      </w:r>
    </w:p>
    <w:p w14:paraId="7A60EA39" w14:textId="00C9668B"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 xml:space="preserve">Общата дължина на канализационната мрежа (експлоатирана от ВиК и общините с организирано отвеждане на отпадъчните води в селищна пречиствателна станция) през 2020 г. е с дължина 12639 </w:t>
      </w:r>
      <w:r w:rsidR="00115091">
        <w:rPr>
          <w:rFonts w:eastAsia="Times New Roman" w:cs="Times New Roman"/>
          <w:szCs w:val="24"/>
          <w:lang w:val="en-US"/>
        </w:rPr>
        <w:t>km</w:t>
      </w:r>
      <w:r w:rsidRPr="00942873">
        <w:rPr>
          <w:rFonts w:eastAsia="Times New Roman" w:cs="Times New Roman"/>
          <w:szCs w:val="24"/>
        </w:rPr>
        <w:t xml:space="preserve">. Дължината на новоизградената и реконструираната  канализационна мрежа през 2020 г. е около 56 </w:t>
      </w:r>
      <w:r w:rsidR="00115091">
        <w:rPr>
          <w:rFonts w:eastAsia="Times New Roman" w:cs="Times New Roman"/>
          <w:szCs w:val="24"/>
          <w:lang w:val="en-US"/>
        </w:rPr>
        <w:t>km</w:t>
      </w:r>
      <w:r w:rsidRPr="00942873">
        <w:rPr>
          <w:rFonts w:eastAsia="Times New Roman" w:cs="Times New Roman"/>
          <w:szCs w:val="24"/>
        </w:rPr>
        <w:t xml:space="preserve">, а за целия период от 2010 г. до 2020 г. - 1398 </w:t>
      </w:r>
      <w:r w:rsidR="00115091">
        <w:rPr>
          <w:rFonts w:eastAsia="Times New Roman" w:cs="Times New Roman"/>
          <w:szCs w:val="24"/>
          <w:lang w:val="en-US"/>
        </w:rPr>
        <w:t>km</w:t>
      </w:r>
      <w:r w:rsidRPr="00942873">
        <w:rPr>
          <w:rFonts w:eastAsia="Times New Roman" w:cs="Times New Roman"/>
          <w:szCs w:val="24"/>
        </w:rPr>
        <w:t>. Преобладаващата част и канализационната мрежа (71,5%) е въведена в експлоатация преди 1991 година (по данни към края на 2020 г.).</w:t>
      </w:r>
    </w:p>
    <w:p w14:paraId="1EF62BC3" w14:textId="77777777"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 xml:space="preserve">Нараства населението, обхванато с услуги по отвеждане и пречистване на отпадъчните води. През 2020 г. делът на населението, свързано с пречиствателни станции за отпадъчни води достига 66,7% при 47,8% за 2010 година. С вторично и </w:t>
      </w:r>
      <w:proofErr w:type="spellStart"/>
      <w:r w:rsidRPr="00942873">
        <w:rPr>
          <w:rFonts w:eastAsia="Times New Roman" w:cs="Times New Roman"/>
          <w:szCs w:val="24"/>
        </w:rPr>
        <w:t>допречистване</w:t>
      </w:r>
      <w:proofErr w:type="spellEnd"/>
      <w:r w:rsidRPr="00942873">
        <w:rPr>
          <w:rFonts w:eastAsia="Times New Roman" w:cs="Times New Roman"/>
          <w:szCs w:val="24"/>
        </w:rPr>
        <w:t xml:space="preserve"> след вторичното е обхванато 65,1% от населението на страната през 2020 г. (45,1% през 2010 г.). Регионалните данни показват относително висок дял на населението, обхванато с услуги по отвеждане и пречистване на отпадъчните води в областите: София-столица (96,3%), Варна (86,1%), Пловдив (74,0%) и Перник (73,8%). В най-малка степен с тези услуги е обхванато населението в областите Монтана и Благоевград.</w:t>
      </w:r>
    </w:p>
    <w:p w14:paraId="64F98A44" w14:textId="77777777" w:rsidR="00942873" w:rsidRPr="00942873" w:rsidRDefault="00942873" w:rsidP="00942873">
      <w:pPr>
        <w:tabs>
          <w:tab w:val="left" w:pos="993"/>
        </w:tabs>
        <w:spacing w:after="60" w:line="264" w:lineRule="auto"/>
        <w:ind w:firstLine="720"/>
        <w:jc w:val="both"/>
        <w:rPr>
          <w:rFonts w:eastAsia="Times New Roman" w:cs="Times New Roman"/>
          <w:szCs w:val="24"/>
        </w:rPr>
      </w:pPr>
      <w:r w:rsidRPr="00942873">
        <w:rPr>
          <w:rFonts w:eastAsia="Times New Roman" w:cs="Times New Roman"/>
          <w:szCs w:val="24"/>
        </w:rPr>
        <w:t>Намалява населението с услуги по отвеждане на отпадъчните води в обществената канализация без пречистване – от 22,9% (2010 г.) на 9,6% (2020 г.).</w:t>
      </w:r>
    </w:p>
    <w:p w14:paraId="05CB9D6A" w14:textId="77777777" w:rsidR="00864CF0" w:rsidRPr="009F6D1E" w:rsidRDefault="00864CF0" w:rsidP="0084747F">
      <w:pPr>
        <w:tabs>
          <w:tab w:val="left" w:pos="993"/>
        </w:tabs>
        <w:spacing w:after="60" w:line="264" w:lineRule="auto"/>
        <w:ind w:firstLine="720"/>
        <w:jc w:val="both"/>
        <w:rPr>
          <w:rFonts w:eastAsia="Times New Roman" w:cs="Times New Roman"/>
          <w:b/>
          <w:bCs/>
          <w:szCs w:val="24"/>
        </w:rPr>
      </w:pPr>
      <w:r w:rsidRPr="009F6D1E">
        <w:rPr>
          <w:rFonts w:eastAsia="Times New Roman" w:cs="Times New Roman"/>
          <w:b/>
          <w:bCs/>
          <w:szCs w:val="24"/>
        </w:rPr>
        <w:t>Физико-химично състояние на повърхностните води</w:t>
      </w:r>
    </w:p>
    <w:p w14:paraId="6F62A3ED" w14:textId="77777777" w:rsidR="00864CF0" w:rsidRPr="009F6D1E" w:rsidRDefault="00864CF0" w:rsidP="0084747F">
      <w:pPr>
        <w:tabs>
          <w:tab w:val="left" w:pos="993"/>
        </w:tabs>
        <w:spacing w:after="60" w:line="264" w:lineRule="auto"/>
        <w:ind w:firstLine="720"/>
        <w:jc w:val="both"/>
        <w:rPr>
          <w:rFonts w:eastAsia="Times New Roman" w:cs="Times New Roman"/>
          <w:color w:val="000000"/>
          <w:szCs w:val="24"/>
        </w:rPr>
      </w:pPr>
      <w:r w:rsidRPr="009F6D1E">
        <w:rPr>
          <w:rFonts w:eastAsia="Times New Roman" w:cs="Times New Roman"/>
          <w:color w:val="000000"/>
          <w:szCs w:val="24"/>
        </w:rPr>
        <w:t>Основните индикатори, които се прилагат за оценка на химичното състояние на повърхностните води на национално и европейско ниво са средногодишните концентрации на следните основни показатели - разтворен кислород (DO), БПК</w:t>
      </w:r>
      <w:r w:rsidRPr="009F6D1E">
        <w:rPr>
          <w:rFonts w:eastAsia="Times New Roman" w:cs="Times New Roman"/>
          <w:b/>
          <w:bCs/>
          <w:szCs w:val="24"/>
          <w:vertAlign w:val="subscript"/>
        </w:rPr>
        <w:t>5</w:t>
      </w:r>
      <w:r w:rsidRPr="009F6D1E">
        <w:rPr>
          <w:rFonts w:eastAsia="Times New Roman" w:cs="Times New Roman"/>
          <w:color w:val="000000"/>
          <w:szCs w:val="24"/>
        </w:rPr>
        <w:t xml:space="preserve"> (BOD</w:t>
      </w:r>
      <w:r w:rsidRPr="009F6D1E">
        <w:rPr>
          <w:rFonts w:eastAsia="Times New Roman" w:cs="Times New Roman"/>
          <w:b/>
          <w:bCs/>
          <w:szCs w:val="24"/>
          <w:vertAlign w:val="subscript"/>
        </w:rPr>
        <w:t>5</w:t>
      </w:r>
      <w:r w:rsidRPr="009F6D1E">
        <w:rPr>
          <w:rFonts w:eastAsia="Times New Roman" w:cs="Times New Roman"/>
          <w:color w:val="000000"/>
          <w:szCs w:val="24"/>
        </w:rPr>
        <w:t>), амониев (NH</w:t>
      </w:r>
      <w:r w:rsidRPr="009F6D1E">
        <w:rPr>
          <w:rFonts w:eastAsia="Times New Roman" w:cs="Times New Roman"/>
          <w:b/>
          <w:bCs/>
          <w:szCs w:val="24"/>
          <w:vertAlign w:val="subscript"/>
        </w:rPr>
        <w:t>4</w:t>
      </w:r>
      <w:r w:rsidRPr="009F6D1E">
        <w:rPr>
          <w:rFonts w:eastAsia="Times New Roman" w:cs="Times New Roman"/>
          <w:color w:val="000000"/>
          <w:szCs w:val="24"/>
        </w:rPr>
        <w:t>-N) и нитратен (NO</w:t>
      </w:r>
      <w:r w:rsidRPr="009F6D1E">
        <w:rPr>
          <w:rFonts w:eastAsia="Times New Roman" w:cs="Times New Roman"/>
          <w:b/>
          <w:bCs/>
          <w:szCs w:val="24"/>
          <w:vertAlign w:val="subscript"/>
        </w:rPr>
        <w:t>3</w:t>
      </w:r>
      <w:r w:rsidRPr="009F6D1E">
        <w:rPr>
          <w:rFonts w:eastAsia="Times New Roman" w:cs="Times New Roman"/>
          <w:color w:val="000000"/>
          <w:szCs w:val="24"/>
        </w:rPr>
        <w:t>- N) азот, фосфати (PO</w:t>
      </w:r>
      <w:r w:rsidRPr="009F6D1E">
        <w:rPr>
          <w:rFonts w:eastAsia="Times New Roman" w:cs="Times New Roman"/>
          <w:b/>
          <w:bCs/>
          <w:szCs w:val="24"/>
          <w:vertAlign w:val="subscript"/>
        </w:rPr>
        <w:t>4</w:t>
      </w:r>
      <w:r w:rsidRPr="009F6D1E">
        <w:rPr>
          <w:rFonts w:eastAsia="Times New Roman" w:cs="Times New Roman"/>
          <w:color w:val="000000"/>
          <w:szCs w:val="24"/>
        </w:rPr>
        <w:t>-P).</w:t>
      </w:r>
    </w:p>
    <w:p w14:paraId="3637B2AF" w14:textId="2BF6B2D4" w:rsidR="00864CF0" w:rsidRPr="009F6D1E" w:rsidRDefault="00864CF0" w:rsidP="0084747F">
      <w:pPr>
        <w:tabs>
          <w:tab w:val="left" w:pos="993"/>
        </w:tabs>
        <w:spacing w:after="60" w:line="264" w:lineRule="auto"/>
        <w:ind w:firstLine="720"/>
        <w:jc w:val="both"/>
        <w:rPr>
          <w:rFonts w:eastAsia="Times New Roman" w:cs="Times New Roman"/>
          <w:szCs w:val="24"/>
          <w:lang w:eastAsia="bg-BG"/>
        </w:rPr>
      </w:pPr>
      <w:r w:rsidRPr="009F6D1E">
        <w:rPr>
          <w:rFonts w:eastAsia="Times New Roman" w:cs="Times New Roman"/>
          <w:color w:val="000000"/>
          <w:szCs w:val="24"/>
        </w:rPr>
        <w:t xml:space="preserve">Оценката на основните физико-химични показатели, подкрепящи биологичните елементи за качество, е направена на базата на средни годишни стойности, които са оценени по </w:t>
      </w:r>
      <w:r w:rsidRPr="009F6D1E">
        <w:rPr>
          <w:rFonts w:eastAsia="Times New Roman" w:cs="Times New Roman"/>
          <w:b/>
          <w:bCs/>
          <w:szCs w:val="24"/>
        </w:rPr>
        <w:t xml:space="preserve">Наредба Н-4 за характеризиране на повърхностните води </w:t>
      </w:r>
      <w:r w:rsidRPr="009F6D1E">
        <w:rPr>
          <w:rFonts w:eastAsia="Times New Roman" w:cs="Times New Roman"/>
          <w:color w:val="000000"/>
          <w:szCs w:val="24"/>
        </w:rPr>
        <w:t>от 14.09.2012 г. (</w:t>
      </w:r>
      <w:r w:rsidRPr="009F6D1E">
        <w:rPr>
          <w:rFonts w:cs="Times New Roman"/>
          <w:color w:val="000000"/>
          <w:szCs w:val="24"/>
        </w:rPr>
        <w:t>Обн. ДВ. бр.</w:t>
      </w:r>
      <w:hyperlink r:id="rId63" w:history="1">
        <w:r w:rsidRPr="009F6D1E">
          <w:rPr>
            <w:rFonts w:cs="Times New Roman"/>
            <w:color w:val="000000"/>
            <w:szCs w:val="24"/>
          </w:rPr>
          <w:t>22</w:t>
        </w:r>
      </w:hyperlink>
      <w:r w:rsidRPr="009F6D1E">
        <w:rPr>
          <w:rFonts w:cs="Times New Roman"/>
          <w:color w:val="000000"/>
          <w:szCs w:val="24"/>
        </w:rPr>
        <w:t xml:space="preserve"> от 5 Март 2013г., изм. и доп. ДВ. бр.</w:t>
      </w:r>
      <w:hyperlink r:id="rId64" w:history="1">
        <w:r w:rsidRPr="009F6D1E">
          <w:rPr>
            <w:rFonts w:cs="Times New Roman"/>
            <w:color w:val="000000"/>
            <w:szCs w:val="24"/>
          </w:rPr>
          <w:t>79</w:t>
        </w:r>
      </w:hyperlink>
      <w:r w:rsidRPr="009F6D1E">
        <w:rPr>
          <w:rFonts w:cs="Times New Roman"/>
          <w:color w:val="000000"/>
          <w:szCs w:val="24"/>
        </w:rPr>
        <w:t xml:space="preserve"> от 23 Септември 2014г., изм. и доп. ДВ. бр.</w:t>
      </w:r>
      <w:hyperlink r:id="rId65" w:history="1">
        <w:r w:rsidRPr="009F6D1E">
          <w:rPr>
            <w:rFonts w:cs="Times New Roman"/>
            <w:color w:val="000000"/>
            <w:szCs w:val="24"/>
          </w:rPr>
          <w:t>85</w:t>
        </w:r>
      </w:hyperlink>
      <w:r w:rsidRPr="009F6D1E">
        <w:rPr>
          <w:rFonts w:cs="Times New Roman"/>
          <w:color w:val="000000"/>
          <w:szCs w:val="24"/>
        </w:rPr>
        <w:t xml:space="preserve"> от 2 Октомври 2020г., изм. ДВ. бр.13 от 16 Февруари 2021г.</w:t>
      </w:r>
      <w:r w:rsidRPr="009F6D1E">
        <w:rPr>
          <w:rFonts w:eastAsia="Times New Roman" w:cs="Times New Roman"/>
          <w:color w:val="000000"/>
          <w:szCs w:val="24"/>
        </w:rPr>
        <w:t>). Оценката е типово специфична, за всеки тип водно тяло, категоризирана в три основни категории на състоянието - отлично, добро и умерено.</w:t>
      </w:r>
    </w:p>
    <w:p w14:paraId="11CEB985" w14:textId="73A5D15B" w:rsidR="00864CF0" w:rsidRPr="009F6D1E" w:rsidRDefault="00864CF0" w:rsidP="0084747F">
      <w:pPr>
        <w:tabs>
          <w:tab w:val="left" w:pos="993"/>
        </w:tabs>
        <w:spacing w:after="60" w:line="264" w:lineRule="auto"/>
        <w:ind w:firstLine="720"/>
        <w:jc w:val="both"/>
        <w:rPr>
          <w:rFonts w:eastAsia="Times New Roman" w:cs="Times New Roman"/>
          <w:color w:val="000000"/>
          <w:szCs w:val="24"/>
          <w:lang w:eastAsia="bg-BG"/>
        </w:rPr>
      </w:pPr>
      <w:r w:rsidRPr="009F6D1E">
        <w:rPr>
          <w:rFonts w:eastAsia="Times New Roman" w:cs="Times New Roman"/>
          <w:color w:val="000000"/>
          <w:szCs w:val="24"/>
          <w:lang w:eastAsia="bg-BG"/>
        </w:rPr>
        <w:t>През 20</w:t>
      </w:r>
      <w:r w:rsidR="001F7667">
        <w:rPr>
          <w:rFonts w:eastAsia="Times New Roman" w:cs="Times New Roman"/>
          <w:color w:val="000000"/>
          <w:szCs w:val="24"/>
          <w:lang w:val="en-US" w:eastAsia="bg-BG"/>
        </w:rPr>
        <w:t>20</w:t>
      </w:r>
      <w:r w:rsidRPr="009F6D1E">
        <w:rPr>
          <w:rFonts w:eastAsia="Times New Roman" w:cs="Times New Roman"/>
          <w:color w:val="000000"/>
          <w:szCs w:val="24"/>
          <w:lang w:eastAsia="bg-BG"/>
        </w:rPr>
        <w:t xml:space="preserve"> година за Басейнова дирекция </w:t>
      </w:r>
      <w:r w:rsidRPr="009F6D1E">
        <w:rPr>
          <w:rFonts w:eastAsia="Times New Roman" w:cs="Times New Roman"/>
          <w:b/>
          <w:bCs/>
          <w:color w:val="000000"/>
          <w:szCs w:val="24"/>
          <w:lang w:eastAsia="bg-BG"/>
        </w:rPr>
        <w:t>Дунавски район</w:t>
      </w:r>
      <w:r w:rsidRPr="009F6D1E">
        <w:rPr>
          <w:rFonts w:eastAsia="Times New Roman" w:cs="Times New Roman"/>
          <w:color w:val="000000"/>
          <w:szCs w:val="24"/>
          <w:lang w:eastAsia="bg-BG"/>
        </w:rPr>
        <w:t xml:space="preserve"> са обследвани </w:t>
      </w:r>
      <w:r w:rsidR="001F7667">
        <w:rPr>
          <w:rFonts w:eastAsia="Times New Roman" w:cs="Times New Roman"/>
          <w:color w:val="000000"/>
          <w:szCs w:val="24"/>
          <w:lang w:val="en-US" w:eastAsia="bg-BG"/>
        </w:rPr>
        <w:t>26</w:t>
      </w:r>
      <w:r w:rsidRPr="009F6D1E">
        <w:rPr>
          <w:rFonts w:eastAsia="Times New Roman" w:cs="Times New Roman"/>
          <w:color w:val="000000"/>
          <w:szCs w:val="24"/>
          <w:lang w:eastAsia="bg-BG"/>
        </w:rPr>
        <w:t xml:space="preserve"> пункта за контролен и </w:t>
      </w:r>
      <w:r w:rsidR="001F7667">
        <w:rPr>
          <w:rFonts w:eastAsia="Times New Roman" w:cs="Times New Roman"/>
          <w:color w:val="000000"/>
          <w:szCs w:val="24"/>
          <w:lang w:val="en-US" w:eastAsia="bg-BG"/>
        </w:rPr>
        <w:t>95</w:t>
      </w:r>
      <w:r w:rsidRPr="009F6D1E">
        <w:rPr>
          <w:rFonts w:eastAsia="Times New Roman" w:cs="Times New Roman"/>
          <w:color w:val="000000"/>
          <w:szCs w:val="24"/>
          <w:lang w:eastAsia="bg-BG"/>
        </w:rPr>
        <w:t xml:space="preserve"> пункта за оперативен мониторинг. Оценката на основните индикатори е както следва:</w:t>
      </w:r>
    </w:p>
    <w:p w14:paraId="06502C14" w14:textId="277C7BD8" w:rsidR="001F7667" w:rsidRPr="001F7667" w:rsidRDefault="001F7667" w:rsidP="001F7667">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Разтворен кислород О</w:t>
      </w:r>
      <w:r w:rsidRPr="001F7667">
        <w:rPr>
          <w:rFonts w:eastAsia="Times New Roman" w:cs="Times New Roman"/>
          <w:szCs w:val="24"/>
          <w:vertAlign w:val="subscript"/>
          <w:lang w:eastAsia="bg-BG" w:bidi="bg-BG"/>
        </w:rPr>
        <w:t>2</w:t>
      </w:r>
      <w:r w:rsidRPr="001F7667">
        <w:rPr>
          <w:rFonts w:eastAsia="Times New Roman" w:cs="Times New Roman"/>
          <w:szCs w:val="24"/>
          <w:lang w:eastAsia="bg-BG" w:bidi="bg-BG"/>
        </w:rPr>
        <w:t> - 60% в отлично състояние, 20% в добро и 20% в умерено.</w:t>
      </w:r>
    </w:p>
    <w:p w14:paraId="4CB7AC58" w14:textId="3C07C3C2" w:rsidR="001F7667" w:rsidRPr="001F7667" w:rsidRDefault="001F7667" w:rsidP="001F7667">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Азот амониев NH</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-N - 50% в отлично състояние, 27% са в добро и 23% в умерено.</w:t>
      </w:r>
    </w:p>
    <w:p w14:paraId="5002261C" w14:textId="77777777" w:rsidR="001F7667" w:rsidRDefault="001F7667" w:rsidP="001F7667">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lastRenderedPageBreak/>
        <w:t>Нитратен азот NO</w:t>
      </w:r>
      <w:r w:rsidRPr="001F7667">
        <w:rPr>
          <w:rFonts w:eastAsia="Times New Roman" w:cs="Times New Roman"/>
          <w:szCs w:val="24"/>
          <w:vertAlign w:val="subscript"/>
          <w:lang w:eastAsia="bg-BG" w:bidi="bg-BG"/>
        </w:rPr>
        <w:t>3</w:t>
      </w:r>
      <w:r w:rsidRPr="001F7667">
        <w:rPr>
          <w:rFonts w:eastAsia="Times New Roman" w:cs="Times New Roman"/>
          <w:szCs w:val="24"/>
          <w:lang w:eastAsia="bg-BG" w:bidi="bg-BG"/>
        </w:rPr>
        <w:t>-N- 25% в отлично състояние, 42% са в добро и 33% са в умерено.</w:t>
      </w:r>
    </w:p>
    <w:p w14:paraId="7B03C98D" w14:textId="40EC9AF9" w:rsidR="001F7667" w:rsidRPr="001F7667" w:rsidRDefault="001F7667" w:rsidP="001F7667">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proofErr w:type="spellStart"/>
      <w:r w:rsidRPr="001F7667">
        <w:rPr>
          <w:rFonts w:eastAsia="Times New Roman" w:cs="Times New Roman"/>
          <w:szCs w:val="24"/>
          <w:lang w:eastAsia="bg-BG" w:bidi="bg-BG"/>
        </w:rPr>
        <w:t>Ортофосфати</w:t>
      </w:r>
      <w:proofErr w:type="spellEnd"/>
      <w:r w:rsidRPr="001F7667">
        <w:rPr>
          <w:rFonts w:eastAsia="Times New Roman" w:cs="Times New Roman"/>
          <w:szCs w:val="24"/>
          <w:lang w:eastAsia="bg-BG" w:bidi="bg-BG"/>
        </w:rPr>
        <w:t xml:space="preserve"> PO</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-P - 40% в отлично състояние, 21% са в добро и 39% са в умерено.</w:t>
      </w:r>
    </w:p>
    <w:p w14:paraId="5B580ED2" w14:textId="3D1D1039" w:rsidR="001F7667" w:rsidRPr="001F7667" w:rsidRDefault="001F7667" w:rsidP="001F7667">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БПК5 - 32% са в отлично състояние, 44% са в добро, а 24% са в умерено.</w:t>
      </w:r>
    </w:p>
    <w:p w14:paraId="42C49F91" w14:textId="5C3D7E01" w:rsidR="00864CF0" w:rsidRPr="009F6D1E" w:rsidRDefault="00864CF0" w:rsidP="0084747F">
      <w:pPr>
        <w:shd w:val="clear" w:color="auto" w:fill="FFFFFF"/>
        <w:spacing w:after="60" w:line="264" w:lineRule="auto"/>
        <w:jc w:val="both"/>
        <w:rPr>
          <w:rFonts w:eastAsia="Times New Roman" w:cs="Times New Roman"/>
          <w:color w:val="000000"/>
          <w:szCs w:val="24"/>
          <w:lang w:eastAsia="bg-BG"/>
        </w:rPr>
      </w:pPr>
    </w:p>
    <w:p w14:paraId="0C2A4D1A" w14:textId="2447D451" w:rsidR="00864CF0" w:rsidRPr="009F6D1E" w:rsidRDefault="00864CF0" w:rsidP="0084747F">
      <w:pPr>
        <w:shd w:val="clear" w:color="auto" w:fill="FFFFFF"/>
        <w:spacing w:after="60" w:line="264" w:lineRule="auto"/>
        <w:ind w:firstLine="720"/>
        <w:jc w:val="both"/>
        <w:rPr>
          <w:rFonts w:eastAsia="Times New Roman" w:cs="Times New Roman"/>
          <w:color w:val="000000"/>
          <w:szCs w:val="24"/>
          <w:lang w:eastAsia="bg-BG"/>
        </w:rPr>
      </w:pPr>
      <w:r w:rsidRPr="009F6D1E">
        <w:rPr>
          <w:rFonts w:eastAsia="Times New Roman" w:cs="Times New Roman"/>
          <w:color w:val="000000"/>
          <w:szCs w:val="24"/>
          <w:lang w:eastAsia="bg-BG"/>
        </w:rPr>
        <w:t>През 20</w:t>
      </w:r>
      <w:r w:rsidR="001F7667">
        <w:rPr>
          <w:rFonts w:eastAsia="Times New Roman" w:cs="Times New Roman"/>
          <w:color w:val="000000"/>
          <w:szCs w:val="24"/>
          <w:lang w:val="en-US" w:eastAsia="bg-BG"/>
        </w:rPr>
        <w:t>20</w:t>
      </w:r>
      <w:r w:rsidRPr="009F6D1E">
        <w:rPr>
          <w:rFonts w:eastAsia="Times New Roman" w:cs="Times New Roman"/>
          <w:color w:val="000000"/>
          <w:szCs w:val="24"/>
          <w:lang w:eastAsia="bg-BG"/>
        </w:rPr>
        <w:t xml:space="preserve"> година за Басейнова дирекция </w:t>
      </w:r>
      <w:r w:rsidRPr="009F6D1E">
        <w:rPr>
          <w:rFonts w:eastAsia="Times New Roman" w:cs="Times New Roman"/>
          <w:b/>
          <w:bCs/>
          <w:color w:val="000000"/>
          <w:szCs w:val="24"/>
          <w:lang w:eastAsia="bg-BG"/>
        </w:rPr>
        <w:t xml:space="preserve">Черноморски район </w:t>
      </w:r>
      <w:r w:rsidRPr="009F6D1E">
        <w:rPr>
          <w:rFonts w:eastAsia="Times New Roman" w:cs="Times New Roman"/>
          <w:color w:val="000000"/>
          <w:szCs w:val="24"/>
          <w:lang w:eastAsia="bg-BG"/>
        </w:rPr>
        <w:t xml:space="preserve">са обследвани </w:t>
      </w:r>
      <w:r w:rsidR="001F7667">
        <w:rPr>
          <w:rFonts w:eastAsia="Times New Roman" w:cs="Times New Roman"/>
          <w:color w:val="000000"/>
          <w:szCs w:val="24"/>
          <w:lang w:val="en-US" w:eastAsia="bg-BG"/>
        </w:rPr>
        <w:t>16</w:t>
      </w:r>
      <w:r w:rsidRPr="009F6D1E">
        <w:rPr>
          <w:rFonts w:eastAsia="Times New Roman" w:cs="Times New Roman"/>
          <w:color w:val="000000"/>
          <w:szCs w:val="24"/>
          <w:lang w:eastAsia="bg-BG"/>
        </w:rPr>
        <w:t xml:space="preserve"> пункта за контролен мониторинг, 1</w:t>
      </w:r>
      <w:r w:rsidR="001F7667">
        <w:rPr>
          <w:rFonts w:eastAsia="Times New Roman" w:cs="Times New Roman"/>
          <w:color w:val="000000"/>
          <w:szCs w:val="24"/>
          <w:lang w:val="en-US" w:eastAsia="bg-BG"/>
        </w:rPr>
        <w:t>15</w:t>
      </w:r>
      <w:r w:rsidRPr="009F6D1E">
        <w:rPr>
          <w:rFonts w:eastAsia="Times New Roman" w:cs="Times New Roman"/>
          <w:color w:val="000000"/>
          <w:szCs w:val="24"/>
          <w:lang w:eastAsia="bg-BG"/>
        </w:rPr>
        <w:t xml:space="preserve"> пункта за оперативен мониторинг.</w:t>
      </w:r>
    </w:p>
    <w:p w14:paraId="690B0853" w14:textId="4C13E56C"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Разтворен кислород О</w:t>
      </w:r>
      <w:r w:rsidRPr="001F7667">
        <w:rPr>
          <w:rFonts w:eastAsia="Times New Roman" w:cs="Times New Roman"/>
          <w:szCs w:val="24"/>
          <w:vertAlign w:val="subscript"/>
          <w:lang w:eastAsia="bg-BG" w:bidi="bg-BG"/>
        </w:rPr>
        <w:t>2</w:t>
      </w:r>
      <w:r w:rsidRPr="001F7667">
        <w:rPr>
          <w:rFonts w:eastAsia="Times New Roman" w:cs="Times New Roman"/>
          <w:szCs w:val="24"/>
          <w:lang w:eastAsia="bg-BG" w:bidi="bg-BG"/>
        </w:rPr>
        <w:t> - 54% в отлично състояние, 20% в добро и 26% в умерено.</w:t>
      </w:r>
    </w:p>
    <w:p w14:paraId="674B40D3" w14:textId="0879D569"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Азот амониев NH</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-N - 59% в отлично състояние, 20% са в добро и 21% в умерено.</w:t>
      </w:r>
    </w:p>
    <w:p w14:paraId="4D02D557" w14:textId="2FA30F0B"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Нитратен азот NO</w:t>
      </w:r>
      <w:r w:rsidRPr="001F7667">
        <w:rPr>
          <w:rFonts w:eastAsia="Times New Roman" w:cs="Times New Roman"/>
          <w:szCs w:val="24"/>
          <w:vertAlign w:val="subscript"/>
          <w:lang w:eastAsia="bg-BG" w:bidi="bg-BG"/>
        </w:rPr>
        <w:t>3</w:t>
      </w:r>
      <w:r w:rsidRPr="001F7667">
        <w:rPr>
          <w:rFonts w:eastAsia="Times New Roman" w:cs="Times New Roman"/>
          <w:szCs w:val="24"/>
          <w:lang w:eastAsia="bg-BG" w:bidi="bg-BG"/>
        </w:rPr>
        <w:t>-N- 55% в отлично състояние, 20% са в добро и 25% са в умерено.</w:t>
      </w:r>
    </w:p>
    <w:p w14:paraId="00BF39A9" w14:textId="0C207E90"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proofErr w:type="spellStart"/>
      <w:r w:rsidRPr="001F7667">
        <w:rPr>
          <w:rFonts w:eastAsia="Times New Roman" w:cs="Times New Roman"/>
          <w:szCs w:val="24"/>
          <w:lang w:eastAsia="bg-BG" w:bidi="bg-BG"/>
        </w:rPr>
        <w:t>Ортофосфати</w:t>
      </w:r>
      <w:proofErr w:type="spellEnd"/>
      <w:r w:rsidRPr="001F7667">
        <w:rPr>
          <w:rFonts w:eastAsia="Times New Roman" w:cs="Times New Roman"/>
          <w:szCs w:val="24"/>
          <w:lang w:eastAsia="bg-BG" w:bidi="bg-BG"/>
        </w:rPr>
        <w:t xml:space="preserve"> PO</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-P - 47% в отлично състояние, 17% са в добро и 36% са в умерено.</w:t>
      </w:r>
    </w:p>
    <w:p w14:paraId="4313ADB5" w14:textId="10981CBB"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БПК5 - 29% са в отлично състояние, 46% са в добро, а 25% са в умерено.</w:t>
      </w:r>
    </w:p>
    <w:p w14:paraId="16607EAB" w14:textId="77777777" w:rsidR="00864CF0" w:rsidRPr="009F6D1E" w:rsidRDefault="00864CF0" w:rsidP="0084747F">
      <w:pPr>
        <w:shd w:val="clear" w:color="auto" w:fill="FFFFFF"/>
        <w:spacing w:after="60" w:line="264" w:lineRule="auto"/>
        <w:jc w:val="both"/>
        <w:rPr>
          <w:rFonts w:eastAsia="Times New Roman" w:cs="Times New Roman"/>
          <w:color w:val="000000"/>
          <w:szCs w:val="24"/>
          <w:lang w:eastAsia="bg-BG"/>
        </w:rPr>
      </w:pPr>
      <w:r w:rsidRPr="009F6D1E">
        <w:rPr>
          <w:rFonts w:eastAsia="Times New Roman" w:cs="Times New Roman"/>
          <w:color w:val="000000"/>
          <w:szCs w:val="24"/>
          <w:lang w:eastAsia="bg-BG"/>
        </w:rPr>
        <w:t> </w:t>
      </w:r>
    </w:p>
    <w:p w14:paraId="0EE832ED" w14:textId="4D38B36C" w:rsidR="00864CF0" w:rsidRPr="009F6D1E" w:rsidRDefault="00864CF0" w:rsidP="0084747F">
      <w:pPr>
        <w:shd w:val="clear" w:color="auto" w:fill="FFFFFF"/>
        <w:spacing w:after="60" w:line="264" w:lineRule="auto"/>
        <w:ind w:firstLine="720"/>
        <w:jc w:val="both"/>
        <w:rPr>
          <w:rFonts w:eastAsia="Times New Roman" w:cs="Times New Roman"/>
          <w:color w:val="000000"/>
          <w:szCs w:val="24"/>
          <w:lang w:eastAsia="bg-BG"/>
        </w:rPr>
      </w:pPr>
      <w:r w:rsidRPr="009F6D1E">
        <w:rPr>
          <w:rFonts w:eastAsia="Times New Roman" w:cs="Times New Roman"/>
          <w:color w:val="000000"/>
          <w:szCs w:val="24"/>
          <w:lang w:eastAsia="bg-BG"/>
        </w:rPr>
        <w:t>През 20</w:t>
      </w:r>
      <w:r w:rsidR="001F7667">
        <w:rPr>
          <w:rFonts w:eastAsia="Times New Roman" w:cs="Times New Roman"/>
          <w:color w:val="000000"/>
          <w:szCs w:val="24"/>
          <w:lang w:val="en-US" w:eastAsia="bg-BG"/>
        </w:rPr>
        <w:t>20</w:t>
      </w:r>
      <w:r w:rsidRPr="009F6D1E">
        <w:rPr>
          <w:rFonts w:eastAsia="Times New Roman" w:cs="Times New Roman"/>
          <w:color w:val="000000"/>
          <w:szCs w:val="24"/>
          <w:lang w:eastAsia="bg-BG"/>
        </w:rPr>
        <w:t xml:space="preserve"> година за Басейнова дирекция </w:t>
      </w:r>
      <w:r w:rsidRPr="009F6D1E">
        <w:rPr>
          <w:rFonts w:eastAsia="Times New Roman" w:cs="Times New Roman"/>
          <w:b/>
          <w:bCs/>
          <w:color w:val="000000"/>
          <w:szCs w:val="24"/>
          <w:lang w:eastAsia="bg-BG"/>
        </w:rPr>
        <w:t>Източно-беломорски район</w:t>
      </w:r>
      <w:r w:rsidRPr="009F6D1E">
        <w:rPr>
          <w:rFonts w:eastAsia="Times New Roman" w:cs="Times New Roman"/>
          <w:color w:val="000000"/>
          <w:szCs w:val="24"/>
          <w:lang w:eastAsia="bg-BG"/>
        </w:rPr>
        <w:t xml:space="preserve"> - </w:t>
      </w:r>
      <w:r w:rsidR="001F7667">
        <w:rPr>
          <w:rFonts w:eastAsia="Times New Roman" w:cs="Times New Roman"/>
          <w:color w:val="000000"/>
          <w:szCs w:val="24"/>
          <w:lang w:val="en-US" w:eastAsia="bg-BG"/>
        </w:rPr>
        <w:t>29</w:t>
      </w:r>
      <w:r w:rsidRPr="009F6D1E">
        <w:rPr>
          <w:rFonts w:eastAsia="Times New Roman" w:cs="Times New Roman"/>
          <w:color w:val="000000"/>
          <w:szCs w:val="24"/>
          <w:lang w:eastAsia="bg-BG"/>
        </w:rPr>
        <w:t xml:space="preserve"> пункта за контролен мониторинг и 1</w:t>
      </w:r>
      <w:r w:rsidR="001F7667">
        <w:rPr>
          <w:rFonts w:eastAsia="Times New Roman" w:cs="Times New Roman"/>
          <w:color w:val="000000"/>
          <w:szCs w:val="24"/>
          <w:lang w:val="en-US" w:eastAsia="bg-BG"/>
        </w:rPr>
        <w:t>14</w:t>
      </w:r>
      <w:r w:rsidRPr="009F6D1E">
        <w:rPr>
          <w:rFonts w:eastAsia="Times New Roman" w:cs="Times New Roman"/>
          <w:color w:val="000000"/>
          <w:szCs w:val="24"/>
          <w:lang w:eastAsia="bg-BG"/>
        </w:rPr>
        <w:t xml:space="preserve"> пункта за оперативен мониторинг.</w:t>
      </w:r>
    </w:p>
    <w:p w14:paraId="3D6C3F30" w14:textId="538FDF01"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Разтворен кислород О</w:t>
      </w:r>
      <w:r w:rsidRPr="001F7667">
        <w:rPr>
          <w:rFonts w:eastAsia="Times New Roman" w:cs="Times New Roman"/>
          <w:szCs w:val="24"/>
          <w:vertAlign w:val="subscript"/>
          <w:lang w:eastAsia="bg-BG" w:bidi="bg-BG"/>
        </w:rPr>
        <w:t>2</w:t>
      </w:r>
      <w:r w:rsidRPr="001F7667">
        <w:rPr>
          <w:rFonts w:eastAsia="Times New Roman" w:cs="Times New Roman"/>
          <w:szCs w:val="24"/>
          <w:lang w:eastAsia="bg-BG" w:bidi="bg-BG"/>
        </w:rPr>
        <w:t> - 59% в отлично състояние, 22% в добро и 19% в умерено.</w:t>
      </w:r>
    </w:p>
    <w:p w14:paraId="7CC0F2FE" w14:textId="149CCE94"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Азот амониев NH</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-N - 33% в отлично състояние, 34% са в добро и 33% в умерено.</w:t>
      </w:r>
    </w:p>
    <w:p w14:paraId="11370352" w14:textId="4AE2859B"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Нитратен азот NO</w:t>
      </w:r>
      <w:r w:rsidRPr="001F7667">
        <w:rPr>
          <w:rFonts w:eastAsia="Times New Roman" w:cs="Times New Roman"/>
          <w:szCs w:val="24"/>
          <w:vertAlign w:val="subscript"/>
          <w:lang w:eastAsia="bg-BG" w:bidi="bg-BG"/>
        </w:rPr>
        <w:t>3</w:t>
      </w:r>
      <w:r w:rsidRPr="001F7667">
        <w:rPr>
          <w:rFonts w:eastAsia="Times New Roman" w:cs="Times New Roman"/>
          <w:szCs w:val="24"/>
          <w:lang w:eastAsia="bg-BG" w:bidi="bg-BG"/>
        </w:rPr>
        <w:t>-N- 35% в отлично състояние, 33% са в добро и 32% са в умерено.</w:t>
      </w:r>
    </w:p>
    <w:p w14:paraId="06871CCF" w14:textId="175EDB64"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proofErr w:type="spellStart"/>
      <w:r w:rsidRPr="001F7667">
        <w:rPr>
          <w:rFonts w:eastAsia="Times New Roman" w:cs="Times New Roman"/>
          <w:szCs w:val="24"/>
          <w:lang w:eastAsia="bg-BG" w:bidi="bg-BG"/>
        </w:rPr>
        <w:t>Ортофосфати</w:t>
      </w:r>
      <w:proofErr w:type="spellEnd"/>
      <w:r w:rsidRPr="001F7667">
        <w:rPr>
          <w:rFonts w:eastAsia="Times New Roman" w:cs="Times New Roman"/>
          <w:szCs w:val="24"/>
          <w:lang w:eastAsia="bg-BG" w:bidi="bg-BG"/>
        </w:rPr>
        <w:t xml:space="preserve"> PO</w:t>
      </w:r>
      <w:r w:rsidRPr="001F7667">
        <w:rPr>
          <w:rFonts w:eastAsia="Times New Roman" w:cs="Times New Roman"/>
          <w:szCs w:val="24"/>
          <w:vertAlign w:val="subscript"/>
          <w:lang w:eastAsia="bg-BG" w:bidi="bg-BG"/>
        </w:rPr>
        <w:t>4</w:t>
      </w:r>
      <w:r w:rsidRPr="001F7667">
        <w:rPr>
          <w:rFonts w:eastAsia="Times New Roman" w:cs="Times New Roman"/>
          <w:szCs w:val="24"/>
          <w:lang w:eastAsia="bg-BG" w:bidi="bg-BG"/>
        </w:rPr>
        <w:t>-P - 29% в отлично състояние, 16% са в добро и 56% са в умерено.</w:t>
      </w:r>
    </w:p>
    <w:p w14:paraId="0868F7A3" w14:textId="5737ACAE" w:rsidR="001F7667" w:rsidRPr="001F7667" w:rsidRDefault="001F7667"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F7667">
        <w:rPr>
          <w:rFonts w:eastAsia="Times New Roman" w:cs="Times New Roman"/>
          <w:szCs w:val="24"/>
          <w:lang w:eastAsia="bg-BG" w:bidi="bg-BG"/>
        </w:rPr>
        <w:t>БПК5 - 26% са в отлично състояние, 40% са в добро, а 31% са в умерено.</w:t>
      </w:r>
    </w:p>
    <w:p w14:paraId="7278DC98" w14:textId="77777777" w:rsidR="00864CF0" w:rsidRPr="009F6D1E" w:rsidRDefault="00864CF0" w:rsidP="0084747F">
      <w:pPr>
        <w:shd w:val="clear" w:color="auto" w:fill="FFFFFF"/>
        <w:spacing w:after="60" w:line="264" w:lineRule="auto"/>
        <w:jc w:val="both"/>
        <w:rPr>
          <w:rFonts w:eastAsia="Times New Roman" w:cs="Times New Roman"/>
          <w:color w:val="000000"/>
          <w:szCs w:val="24"/>
          <w:lang w:eastAsia="bg-BG"/>
        </w:rPr>
      </w:pPr>
      <w:r w:rsidRPr="009F6D1E">
        <w:rPr>
          <w:rFonts w:eastAsia="Times New Roman" w:cs="Times New Roman"/>
          <w:color w:val="000000"/>
          <w:szCs w:val="24"/>
          <w:lang w:eastAsia="bg-BG"/>
        </w:rPr>
        <w:t> </w:t>
      </w:r>
    </w:p>
    <w:p w14:paraId="21B3A556" w14:textId="0C7A56B9" w:rsidR="00864CF0" w:rsidRPr="009F6D1E" w:rsidRDefault="00864CF0" w:rsidP="0084747F">
      <w:pPr>
        <w:shd w:val="clear" w:color="auto" w:fill="FFFFFF"/>
        <w:spacing w:after="60" w:line="264" w:lineRule="auto"/>
        <w:ind w:firstLine="720"/>
        <w:jc w:val="both"/>
        <w:rPr>
          <w:rFonts w:eastAsia="Times New Roman" w:cs="Times New Roman"/>
          <w:color w:val="000000"/>
          <w:szCs w:val="24"/>
          <w:lang w:eastAsia="bg-BG"/>
        </w:rPr>
      </w:pPr>
      <w:r w:rsidRPr="009F6D1E">
        <w:rPr>
          <w:rFonts w:eastAsia="Times New Roman" w:cs="Times New Roman"/>
          <w:color w:val="000000"/>
          <w:szCs w:val="24"/>
          <w:lang w:eastAsia="bg-BG"/>
        </w:rPr>
        <w:t>През 20</w:t>
      </w:r>
      <w:r w:rsidR="001F7667">
        <w:rPr>
          <w:rFonts w:eastAsia="Times New Roman" w:cs="Times New Roman"/>
          <w:color w:val="000000"/>
          <w:szCs w:val="24"/>
          <w:lang w:val="en-US" w:eastAsia="bg-BG"/>
        </w:rPr>
        <w:t>20</w:t>
      </w:r>
      <w:r w:rsidRPr="009F6D1E">
        <w:rPr>
          <w:rFonts w:eastAsia="Times New Roman" w:cs="Times New Roman"/>
          <w:color w:val="000000"/>
          <w:szCs w:val="24"/>
          <w:lang w:eastAsia="bg-BG"/>
        </w:rPr>
        <w:t xml:space="preserve"> година за Басейнова дирекция </w:t>
      </w:r>
      <w:proofErr w:type="spellStart"/>
      <w:r w:rsidRPr="009F6D1E">
        <w:rPr>
          <w:rFonts w:eastAsia="Times New Roman" w:cs="Times New Roman"/>
          <w:b/>
          <w:bCs/>
          <w:color w:val="000000"/>
          <w:szCs w:val="24"/>
          <w:lang w:eastAsia="bg-BG"/>
        </w:rPr>
        <w:t>Западнобеломорски</w:t>
      </w:r>
      <w:proofErr w:type="spellEnd"/>
      <w:r w:rsidRPr="009F6D1E">
        <w:rPr>
          <w:rFonts w:eastAsia="Times New Roman" w:cs="Times New Roman"/>
          <w:b/>
          <w:bCs/>
          <w:color w:val="000000"/>
          <w:szCs w:val="24"/>
          <w:lang w:eastAsia="bg-BG"/>
        </w:rPr>
        <w:t xml:space="preserve"> район</w:t>
      </w:r>
      <w:r w:rsidRPr="009F6D1E">
        <w:rPr>
          <w:rFonts w:eastAsia="Times New Roman" w:cs="Times New Roman"/>
          <w:color w:val="000000"/>
          <w:szCs w:val="24"/>
          <w:lang w:eastAsia="bg-BG"/>
        </w:rPr>
        <w:t xml:space="preserve"> са обследвани </w:t>
      </w:r>
      <w:r w:rsidR="0018038E">
        <w:rPr>
          <w:rFonts w:eastAsia="Times New Roman" w:cs="Times New Roman"/>
          <w:color w:val="000000"/>
          <w:szCs w:val="24"/>
          <w:lang w:val="en-US" w:eastAsia="bg-BG"/>
        </w:rPr>
        <w:t xml:space="preserve">6 </w:t>
      </w:r>
      <w:r w:rsidRPr="009F6D1E">
        <w:rPr>
          <w:rFonts w:eastAsia="Times New Roman" w:cs="Times New Roman"/>
          <w:color w:val="000000"/>
          <w:szCs w:val="24"/>
          <w:lang w:eastAsia="bg-BG"/>
        </w:rPr>
        <w:t xml:space="preserve">пункта за контролен мониторинг и </w:t>
      </w:r>
      <w:r w:rsidR="0018038E">
        <w:rPr>
          <w:rFonts w:eastAsia="Times New Roman" w:cs="Times New Roman"/>
          <w:color w:val="000000"/>
          <w:szCs w:val="24"/>
          <w:lang w:val="en-US" w:eastAsia="bg-BG"/>
        </w:rPr>
        <w:t>114</w:t>
      </w:r>
      <w:r w:rsidRPr="009F6D1E">
        <w:rPr>
          <w:rFonts w:eastAsia="Times New Roman" w:cs="Times New Roman"/>
          <w:color w:val="000000"/>
          <w:szCs w:val="24"/>
          <w:lang w:eastAsia="bg-BG"/>
        </w:rPr>
        <w:t xml:space="preserve"> пункта оперативен мониторинг.</w:t>
      </w:r>
    </w:p>
    <w:p w14:paraId="26AD09CA" w14:textId="00A12EB2" w:rsidR="0018038E" w:rsidRPr="0018038E" w:rsidRDefault="0018038E"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8038E">
        <w:rPr>
          <w:rFonts w:eastAsia="Times New Roman" w:cs="Times New Roman"/>
          <w:szCs w:val="24"/>
          <w:lang w:eastAsia="bg-BG" w:bidi="bg-BG"/>
        </w:rPr>
        <w:t>Разтворен кислород О</w:t>
      </w:r>
      <w:r w:rsidRPr="0018038E">
        <w:rPr>
          <w:rFonts w:eastAsia="Times New Roman" w:cs="Times New Roman"/>
          <w:szCs w:val="24"/>
          <w:vertAlign w:val="subscript"/>
          <w:lang w:eastAsia="bg-BG" w:bidi="bg-BG"/>
        </w:rPr>
        <w:t>2</w:t>
      </w:r>
      <w:r w:rsidRPr="0018038E">
        <w:rPr>
          <w:rFonts w:eastAsia="Times New Roman" w:cs="Times New Roman"/>
          <w:szCs w:val="24"/>
          <w:lang w:eastAsia="bg-BG" w:bidi="bg-BG"/>
        </w:rPr>
        <w:t> - 73% в отлично състояние, 22% в добро и 5% в умерено.</w:t>
      </w:r>
    </w:p>
    <w:p w14:paraId="575D5DA1" w14:textId="1F377F5C" w:rsidR="0018038E" w:rsidRPr="0018038E" w:rsidRDefault="0018038E"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8038E">
        <w:rPr>
          <w:rFonts w:eastAsia="Times New Roman" w:cs="Times New Roman"/>
          <w:szCs w:val="24"/>
          <w:lang w:eastAsia="bg-BG" w:bidi="bg-BG"/>
        </w:rPr>
        <w:t>Азот амониев NH</w:t>
      </w:r>
      <w:r w:rsidRPr="0018038E">
        <w:rPr>
          <w:rFonts w:eastAsia="Times New Roman" w:cs="Times New Roman"/>
          <w:szCs w:val="24"/>
          <w:vertAlign w:val="subscript"/>
          <w:lang w:eastAsia="bg-BG" w:bidi="bg-BG"/>
        </w:rPr>
        <w:t>4</w:t>
      </w:r>
      <w:r w:rsidRPr="0018038E">
        <w:rPr>
          <w:rFonts w:eastAsia="Times New Roman" w:cs="Times New Roman"/>
          <w:szCs w:val="24"/>
          <w:lang w:eastAsia="bg-BG" w:bidi="bg-BG"/>
        </w:rPr>
        <w:t>-N - 48% в отлично състояние, 34% са в добро и 18% в умерено.</w:t>
      </w:r>
    </w:p>
    <w:p w14:paraId="33DDBBC3" w14:textId="1F18E5E4" w:rsidR="0018038E" w:rsidRPr="0018038E" w:rsidRDefault="0018038E"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8038E">
        <w:rPr>
          <w:rFonts w:eastAsia="Times New Roman" w:cs="Times New Roman"/>
          <w:szCs w:val="24"/>
          <w:lang w:eastAsia="bg-BG" w:bidi="bg-BG"/>
        </w:rPr>
        <w:t>Нитратен азот NO</w:t>
      </w:r>
      <w:r w:rsidRPr="0018038E">
        <w:rPr>
          <w:rFonts w:eastAsia="Times New Roman" w:cs="Times New Roman"/>
          <w:szCs w:val="24"/>
          <w:vertAlign w:val="subscript"/>
          <w:lang w:eastAsia="bg-BG" w:bidi="bg-BG"/>
        </w:rPr>
        <w:t>3</w:t>
      </w:r>
      <w:r w:rsidRPr="0018038E">
        <w:rPr>
          <w:rFonts w:eastAsia="Times New Roman" w:cs="Times New Roman"/>
          <w:szCs w:val="24"/>
          <w:lang w:eastAsia="bg-BG" w:bidi="bg-BG"/>
        </w:rPr>
        <w:t>-N- 58% в отлично състояние, 27% са в добро и 15% са в умерено.</w:t>
      </w:r>
    </w:p>
    <w:p w14:paraId="5C78EC3F" w14:textId="1ADA6508" w:rsidR="0018038E" w:rsidRPr="0018038E" w:rsidRDefault="0018038E"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proofErr w:type="spellStart"/>
      <w:r w:rsidRPr="0018038E">
        <w:rPr>
          <w:rFonts w:eastAsia="Times New Roman" w:cs="Times New Roman"/>
          <w:szCs w:val="24"/>
          <w:lang w:eastAsia="bg-BG" w:bidi="bg-BG"/>
        </w:rPr>
        <w:t>Ортофосфати</w:t>
      </w:r>
      <w:proofErr w:type="spellEnd"/>
      <w:r w:rsidRPr="0018038E">
        <w:rPr>
          <w:rFonts w:eastAsia="Times New Roman" w:cs="Times New Roman"/>
          <w:szCs w:val="24"/>
          <w:lang w:eastAsia="bg-BG" w:bidi="bg-BG"/>
        </w:rPr>
        <w:t xml:space="preserve"> PO</w:t>
      </w:r>
      <w:r w:rsidRPr="0018038E">
        <w:rPr>
          <w:rFonts w:eastAsia="Times New Roman" w:cs="Times New Roman"/>
          <w:szCs w:val="24"/>
          <w:vertAlign w:val="subscript"/>
          <w:lang w:eastAsia="bg-BG" w:bidi="bg-BG"/>
        </w:rPr>
        <w:t>4</w:t>
      </w:r>
      <w:r w:rsidRPr="0018038E">
        <w:rPr>
          <w:rFonts w:eastAsia="Times New Roman" w:cs="Times New Roman"/>
          <w:szCs w:val="24"/>
          <w:lang w:eastAsia="bg-BG" w:bidi="bg-BG"/>
        </w:rPr>
        <w:t>-P - 34% в отлично състояние, 9% са в добро и 57% са в умерено.</w:t>
      </w:r>
    </w:p>
    <w:p w14:paraId="260C26DF" w14:textId="2D1CB35A" w:rsidR="0018038E" w:rsidRPr="0018038E" w:rsidRDefault="0018038E" w:rsidP="0018038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18038E">
        <w:rPr>
          <w:rFonts w:eastAsia="Times New Roman" w:cs="Times New Roman"/>
          <w:szCs w:val="24"/>
          <w:lang w:eastAsia="bg-BG" w:bidi="bg-BG"/>
        </w:rPr>
        <w:t>БПК5 - 17% са в отлично състояние, 40% са в добро, а 43% са в умерено. </w:t>
      </w:r>
    </w:p>
    <w:p w14:paraId="12B2DD8E" w14:textId="77777777" w:rsidR="00864CF0" w:rsidRPr="009F6D1E" w:rsidRDefault="00864CF0" w:rsidP="0084747F">
      <w:pPr>
        <w:spacing w:after="60" w:line="264" w:lineRule="auto"/>
        <w:ind w:firstLine="680"/>
        <w:jc w:val="both"/>
        <w:rPr>
          <w:rFonts w:cs="Times New Roman"/>
          <w:b/>
          <w:bCs/>
          <w:i/>
          <w:iCs/>
          <w:sz w:val="23"/>
          <w:szCs w:val="23"/>
        </w:rPr>
      </w:pPr>
    </w:p>
    <w:p w14:paraId="72EA4C14" w14:textId="77777777" w:rsidR="00864CF0" w:rsidRPr="009F6D1E" w:rsidRDefault="00864CF0" w:rsidP="0084747F">
      <w:pPr>
        <w:spacing w:after="60" w:line="264" w:lineRule="auto"/>
        <w:ind w:firstLine="680"/>
        <w:jc w:val="both"/>
        <w:rPr>
          <w:rFonts w:cs="Times New Roman"/>
          <w:b/>
          <w:bCs/>
          <w:szCs w:val="24"/>
        </w:rPr>
      </w:pPr>
      <w:r w:rsidRPr="009F6D1E">
        <w:rPr>
          <w:rFonts w:cs="Times New Roman"/>
          <w:b/>
          <w:bCs/>
          <w:szCs w:val="24"/>
        </w:rPr>
        <w:t>Текущо състояние на повърхностните води  - Басейнова дирекция за управление на водите - „Дунавски район“ с център гр. Плевен</w:t>
      </w:r>
    </w:p>
    <w:p w14:paraId="21757DA6"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Дунавския район за басейново управление (ДРБУ) обхваща обща площ от 47 225 м</w:t>
      </w:r>
      <w:r w:rsidRPr="009F6D1E">
        <w:rPr>
          <w:rFonts w:eastAsia="Times New Roman" w:cs="Times New Roman"/>
          <w:szCs w:val="24"/>
          <w:vertAlign w:val="superscript"/>
        </w:rPr>
        <w:t>2</w:t>
      </w:r>
      <w:r w:rsidRPr="009F6D1E">
        <w:rPr>
          <w:rFonts w:eastAsia="Times New Roman" w:cs="Times New Roman"/>
          <w:szCs w:val="24"/>
        </w:rPr>
        <w:t xml:space="preserve"> (42.5% от територията на страната) и включва над 700 реки, обединени в 11 водосборни басейна: Дунав, Огоста, Реки западно от Огоста, Искър, Вит, Осъм. Янтра, Русенски Лом, Дунавски добруджански реки, Ерма и Нишава.</w:t>
      </w:r>
    </w:p>
    <w:p w14:paraId="33620FD0"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 xml:space="preserve">Като административно териториален обхват, Дунавския район за басейново управление на водите /ДРБУ/ покрива изцяло или частично 18 области на България, 126 общини и 2278 населени места. </w:t>
      </w:r>
    </w:p>
    <w:p w14:paraId="5405757A"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Поради съществено изменение на характеристиките на повърхностните водни тела (ПВТ) от категория „реки“ в резултат на физични промени от човешка дейност (построени язовири във водосбора им), 25 от тях са определени като </w:t>
      </w:r>
      <w:proofErr w:type="spellStart"/>
      <w:r w:rsidRPr="009F6D1E">
        <w:rPr>
          <w:rFonts w:eastAsia="Times New Roman" w:cs="Times New Roman"/>
          <w:szCs w:val="24"/>
        </w:rPr>
        <w:t>силномодифицирани</w:t>
      </w:r>
      <w:proofErr w:type="spellEnd"/>
      <w:r w:rsidRPr="009F6D1E">
        <w:rPr>
          <w:rFonts w:eastAsia="Times New Roman" w:cs="Times New Roman"/>
          <w:szCs w:val="24"/>
        </w:rPr>
        <w:t xml:space="preserve"> водни тела (СМВТ), въз основа на което са приравнени към категория „езеро“. </w:t>
      </w:r>
      <w:proofErr w:type="spellStart"/>
      <w:r w:rsidRPr="009F6D1E">
        <w:rPr>
          <w:rFonts w:eastAsia="Times New Roman" w:cs="Times New Roman"/>
          <w:szCs w:val="24"/>
        </w:rPr>
        <w:t>Силномодифицираните</w:t>
      </w:r>
      <w:proofErr w:type="spellEnd"/>
      <w:r w:rsidRPr="009F6D1E">
        <w:rPr>
          <w:rFonts w:eastAsia="Times New Roman" w:cs="Times New Roman"/>
          <w:szCs w:val="24"/>
        </w:rPr>
        <w:t xml:space="preserve"> водни тела (СМВТ) са силно изменени спрямо естественото им състояние водни обекти или части от тях в резултат на човешка дейност с цел защита от наводнения, водоползване, отводняване на земи или друга икономически или социално значима дейност и чието възстановяване в естествено състояние е необосновано, защото е непропорционално скъпо или би повлияло на икономическите дейности и околната среда.</w:t>
      </w:r>
    </w:p>
    <w:p w14:paraId="7078BE22" w14:textId="77777777" w:rsidR="00864CF0" w:rsidRPr="009F6D1E" w:rsidRDefault="00864CF0" w:rsidP="0084747F">
      <w:pPr>
        <w:spacing w:after="60" w:line="264" w:lineRule="auto"/>
        <w:ind w:firstLine="720"/>
        <w:rPr>
          <w:rFonts w:cs="Times New Roman"/>
          <w:b/>
          <w:bCs/>
          <w:i/>
          <w:szCs w:val="24"/>
        </w:rPr>
      </w:pPr>
      <w:r w:rsidRPr="009F6D1E">
        <w:rPr>
          <w:rFonts w:cs="Times New Roman"/>
          <w:b/>
          <w:bCs/>
          <w:i/>
          <w:szCs w:val="24"/>
        </w:rPr>
        <w:t>Екологично състояние/потенциал на повърхностни водни тела в БДДР</w:t>
      </w:r>
      <w:r w:rsidR="005C3D5A" w:rsidRPr="009F6D1E">
        <w:rPr>
          <w:rFonts w:cs="Times New Roman"/>
          <w:b/>
          <w:bCs/>
          <w:i/>
          <w:szCs w:val="24"/>
        </w:rPr>
        <w:t>:</w:t>
      </w:r>
    </w:p>
    <w:p w14:paraId="6322FF02"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Екологичното състояние/ потенциал на водните тела в БДДР се извършва на база на годишна оценка на данните от мониторинг, което позволява да се проследи тенденцията в състоянието на водното тяло. Оценката се извършва по следните елементи за качество: биологични, физикохимични (общи показатели и специфични замърсители) и хидроморфологични в съответствие с изискванията в Приложение V на Рамковата директива за водите (РДВ).</w:t>
      </w:r>
    </w:p>
    <w:p w14:paraId="509DD5DA"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От всичките 256 повърхностни водни тела, съгласно ПУРБ на БДДР (2016-2021 г.), оценка на екологичното състояние е направена на 215 от тях. 41 нови водни тела не са оценени, поради липса на данни от мониторинг. Анализът на резултатите от оценката на екологичното състояние показва, че от всички 256 общо 17 водни тела (6,64%) са в отлично състояние; 109 са в добро състояние, 57 ВТ или 22 % са в умерено състояние и другите 32 водни тела (12,50%) - в лошо и много лошо състояние/потенциал.</w:t>
      </w:r>
    </w:p>
    <w:p w14:paraId="5221FC23"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От анализа на резултатите от оценката на екологичното състояние е видно, че най-голям е броя на водните тела - 126 са в добро и отлично екологично състояние (49%). В този брой са включени новообразуваните малки водни тела, които са разположени в изворите на големите реки и притоци. Те не са натоварени антропогенно, липсва натиск, а в голямата си част, водите им се ползват за питейно-битово водоснабдяване (ПБВ), чрез изградени открити речни водохващания.</w:t>
      </w:r>
    </w:p>
    <w:p w14:paraId="7CD2B2C9"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Водните тела, които са оценени в умерено екологично състояние са разположени в чувствителната и/или в нитратно уязвимата зона. Изключително висок е процента на водните тела, които имат високо съдържание на нитратни и фосфатни съединения. Статистиката показва, че в 59 от тях са измерени високи стойности на нитрати, а в 48 - високи стойности на фосфати.</w:t>
      </w:r>
    </w:p>
    <w:p w14:paraId="3A21D4B0" w14:textId="7245DFA8" w:rsidR="00864CF0" w:rsidRPr="009F6D1E" w:rsidRDefault="00602ACA" w:rsidP="0084747F">
      <w:pPr>
        <w:tabs>
          <w:tab w:val="left" w:pos="993"/>
        </w:tabs>
        <w:spacing w:after="60" w:line="264" w:lineRule="auto"/>
        <w:ind w:firstLine="720"/>
        <w:jc w:val="both"/>
        <w:rPr>
          <w:rFonts w:eastAsia="Times New Roman" w:cs="Times New Roman"/>
          <w:szCs w:val="24"/>
        </w:rPr>
      </w:pPr>
      <w:r>
        <w:rPr>
          <w:rFonts w:eastAsia="Times New Roman" w:cs="Times New Roman"/>
          <w:szCs w:val="24"/>
        </w:rPr>
        <w:t>По-долу е представена информация от</w:t>
      </w:r>
      <w:r w:rsidR="00864CF0" w:rsidRPr="009F6D1E">
        <w:rPr>
          <w:rFonts w:eastAsia="Times New Roman" w:cs="Times New Roman"/>
          <w:szCs w:val="24"/>
        </w:rPr>
        <w:t xml:space="preserve"> Междинна екологична  и химична оценка на  повърхностните водни тела в БДДР за периода 2019 - 2020 г. по отделни БЕК, физикохимични елементи за качество, специфични замърсители и приоритетни вещества по данни от мониторинг до месец  март 2021 г.</w:t>
      </w:r>
    </w:p>
    <w:p w14:paraId="3EE92D98" w14:textId="478EDDD9"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 xml:space="preserve">В </w:t>
      </w:r>
      <w:r>
        <w:fldChar w:fldCharType="begin"/>
      </w:r>
      <w:r>
        <w:instrText xml:space="preserve"> REF _Ref97393096 \h  \* MERGEFORMAT </w:instrText>
      </w:r>
      <w:r>
        <w:fldChar w:fldCharType="separate"/>
      </w:r>
      <w:r w:rsidR="00A43EF3" w:rsidRPr="00A43EF3">
        <w:rPr>
          <w:rFonts w:eastAsia="Times New Roman" w:cs="Times New Roman"/>
          <w:szCs w:val="24"/>
        </w:rPr>
        <w:t>Таблица 4</w:t>
      </w:r>
      <w:r>
        <w:fldChar w:fldCharType="end"/>
      </w:r>
      <w:r w:rsidR="00FB1106" w:rsidRPr="009F6D1E">
        <w:rPr>
          <w:rFonts w:eastAsia="Times New Roman" w:cs="Times New Roman"/>
          <w:szCs w:val="24"/>
        </w:rPr>
        <w:t xml:space="preserve"> </w:t>
      </w:r>
      <w:r w:rsidRPr="009F6D1E">
        <w:rPr>
          <w:rFonts w:eastAsia="Times New Roman" w:cs="Times New Roman"/>
          <w:szCs w:val="24"/>
        </w:rPr>
        <w:t>са представени повърхностните водни тела, определени в лошо или много лошо екологично състояние/потенциал, съгласно публикуваната междинна оценка.</w:t>
      </w:r>
    </w:p>
    <w:p w14:paraId="1286E8E7" w14:textId="6BCFD1AE" w:rsidR="00864CF0" w:rsidRPr="009F6D1E" w:rsidRDefault="00026243" w:rsidP="0084747F">
      <w:pPr>
        <w:pStyle w:val="Caption"/>
        <w:spacing w:after="60" w:line="264" w:lineRule="auto"/>
      </w:pPr>
      <w:bookmarkStart w:id="231" w:name="_Ref97393096"/>
      <w:bookmarkStart w:id="232" w:name="_Toc115255155"/>
      <w:r w:rsidRPr="009F6D1E">
        <w:t xml:space="preserve">Таблица </w:t>
      </w:r>
      <w:fldSimple w:instr=" SEQ Таблица \* ARABIC ">
        <w:r w:rsidR="00A43EF3">
          <w:rPr>
            <w:noProof/>
          </w:rPr>
          <w:t>4</w:t>
        </w:r>
      </w:fldSimple>
      <w:bookmarkEnd w:id="231"/>
      <w:r w:rsidR="00FB1106" w:rsidRPr="009F6D1E">
        <w:t xml:space="preserve">: </w:t>
      </w:r>
      <w:bookmarkStart w:id="233" w:name="bookmark70"/>
      <w:r w:rsidR="00864CF0" w:rsidRPr="009F6D1E">
        <w:t>Повърхностни водни тела, определени в лошо или много лошо екологично състояние,</w:t>
      </w:r>
      <w:bookmarkEnd w:id="233"/>
      <w:r w:rsidR="00864CF0" w:rsidRPr="009F6D1E">
        <w:t xml:space="preserve"> съгласно БДДР, 2020 г.</w:t>
      </w:r>
      <w:bookmarkEnd w:id="232"/>
    </w:p>
    <w:tbl>
      <w:tblPr>
        <w:tblStyle w:val="TableGrid2"/>
        <w:tblW w:w="0" w:type="auto"/>
        <w:tblLook w:val="04A0" w:firstRow="1" w:lastRow="0" w:firstColumn="1" w:lastColumn="0" w:noHBand="0" w:noVBand="1"/>
      </w:tblPr>
      <w:tblGrid>
        <w:gridCol w:w="417"/>
        <w:gridCol w:w="1650"/>
        <w:gridCol w:w="1750"/>
        <w:gridCol w:w="3514"/>
        <w:gridCol w:w="2297"/>
      </w:tblGrid>
      <w:tr w:rsidR="00864CF0" w:rsidRPr="009F6D1E" w14:paraId="6A68CBCD" w14:textId="77777777" w:rsidTr="008476EA">
        <w:trPr>
          <w:tblHeader/>
        </w:trPr>
        <w:tc>
          <w:tcPr>
            <w:tcW w:w="0" w:type="auto"/>
            <w:shd w:val="pct20" w:color="auto" w:fill="auto"/>
            <w:vAlign w:val="center"/>
          </w:tcPr>
          <w:p w14:paraId="5CA1A0BC" w14:textId="77777777" w:rsidR="00864CF0" w:rsidRPr="009F6D1E" w:rsidRDefault="00864CF0" w:rsidP="0084747F">
            <w:pPr>
              <w:tabs>
                <w:tab w:val="left" w:pos="993"/>
              </w:tabs>
              <w:spacing w:after="60" w:line="264" w:lineRule="auto"/>
              <w:jc w:val="center"/>
              <w:rPr>
                <w:rFonts w:eastAsia="Times New Roman" w:cs="Times New Roman"/>
                <w:b/>
                <w:sz w:val="20"/>
                <w:szCs w:val="20"/>
              </w:rPr>
            </w:pPr>
            <w:r w:rsidRPr="009F6D1E">
              <w:rPr>
                <w:rFonts w:eastAsia="Microsoft Sans Serif" w:cs="Times New Roman"/>
                <w:b/>
                <w:color w:val="000000"/>
                <w:sz w:val="20"/>
                <w:szCs w:val="20"/>
                <w:lang w:eastAsia="bg-BG" w:bidi="bg-BG"/>
              </w:rPr>
              <w:t>№</w:t>
            </w:r>
          </w:p>
        </w:tc>
        <w:tc>
          <w:tcPr>
            <w:tcW w:w="0" w:type="auto"/>
            <w:shd w:val="pct20" w:color="auto" w:fill="auto"/>
            <w:vAlign w:val="center"/>
          </w:tcPr>
          <w:p w14:paraId="3FA03CB1" w14:textId="77777777" w:rsidR="00864CF0" w:rsidRPr="009F6D1E" w:rsidRDefault="00864CF0" w:rsidP="0084747F">
            <w:pPr>
              <w:tabs>
                <w:tab w:val="left" w:pos="993"/>
              </w:tabs>
              <w:spacing w:after="60" w:line="264" w:lineRule="auto"/>
              <w:jc w:val="center"/>
              <w:rPr>
                <w:rFonts w:eastAsia="Times New Roman" w:cs="Times New Roman"/>
                <w:b/>
                <w:sz w:val="20"/>
                <w:szCs w:val="20"/>
              </w:rPr>
            </w:pPr>
            <w:r w:rsidRPr="009F6D1E">
              <w:rPr>
                <w:rFonts w:eastAsia="Microsoft Sans Serif" w:cs="Times New Roman"/>
                <w:b/>
                <w:color w:val="000000"/>
                <w:sz w:val="20"/>
                <w:szCs w:val="20"/>
                <w:lang w:eastAsia="bg-BG" w:bidi="bg-BG"/>
              </w:rPr>
              <w:t>Поречие</w:t>
            </w:r>
          </w:p>
        </w:tc>
        <w:tc>
          <w:tcPr>
            <w:tcW w:w="0" w:type="auto"/>
            <w:shd w:val="pct20" w:color="auto" w:fill="auto"/>
            <w:vAlign w:val="center"/>
          </w:tcPr>
          <w:p w14:paraId="01451777" w14:textId="77777777" w:rsidR="00864CF0" w:rsidRPr="009F6D1E" w:rsidRDefault="00864CF0" w:rsidP="0084747F">
            <w:pPr>
              <w:tabs>
                <w:tab w:val="left" w:pos="993"/>
              </w:tabs>
              <w:spacing w:after="60" w:line="264" w:lineRule="auto"/>
              <w:jc w:val="center"/>
              <w:rPr>
                <w:rFonts w:eastAsia="Times New Roman" w:cs="Times New Roman"/>
                <w:b/>
                <w:sz w:val="20"/>
                <w:szCs w:val="20"/>
              </w:rPr>
            </w:pPr>
            <w:r w:rsidRPr="009F6D1E">
              <w:rPr>
                <w:rFonts w:eastAsia="Microsoft Sans Serif" w:cs="Times New Roman"/>
                <w:b/>
                <w:color w:val="000000"/>
                <w:sz w:val="20"/>
                <w:szCs w:val="20"/>
                <w:lang w:eastAsia="bg-BG" w:bidi="bg-BG"/>
              </w:rPr>
              <w:t>Код на ВТ</w:t>
            </w:r>
          </w:p>
        </w:tc>
        <w:tc>
          <w:tcPr>
            <w:tcW w:w="0" w:type="auto"/>
            <w:shd w:val="pct20" w:color="auto" w:fill="auto"/>
            <w:vAlign w:val="center"/>
          </w:tcPr>
          <w:p w14:paraId="52A1D671" w14:textId="77777777" w:rsidR="00864CF0" w:rsidRPr="009F6D1E" w:rsidRDefault="00864CF0" w:rsidP="0084747F">
            <w:pPr>
              <w:tabs>
                <w:tab w:val="left" w:pos="993"/>
              </w:tabs>
              <w:spacing w:after="60" w:line="264" w:lineRule="auto"/>
              <w:jc w:val="center"/>
              <w:rPr>
                <w:rFonts w:eastAsia="Times New Roman" w:cs="Times New Roman"/>
                <w:b/>
                <w:sz w:val="20"/>
                <w:szCs w:val="20"/>
              </w:rPr>
            </w:pPr>
            <w:r w:rsidRPr="009F6D1E">
              <w:rPr>
                <w:rFonts w:eastAsia="Microsoft Sans Serif" w:cs="Times New Roman"/>
                <w:b/>
                <w:color w:val="000000"/>
                <w:sz w:val="20"/>
                <w:szCs w:val="20"/>
                <w:lang w:eastAsia="bg-BG" w:bidi="bg-BG"/>
              </w:rPr>
              <w:t>Географско описание на ВТ</w:t>
            </w:r>
          </w:p>
        </w:tc>
        <w:tc>
          <w:tcPr>
            <w:tcW w:w="0" w:type="auto"/>
            <w:shd w:val="pct20" w:color="auto" w:fill="auto"/>
            <w:vAlign w:val="center"/>
          </w:tcPr>
          <w:p w14:paraId="25AC9F52" w14:textId="77777777" w:rsidR="00864CF0" w:rsidRPr="009F6D1E" w:rsidRDefault="00864CF0" w:rsidP="0084747F">
            <w:pPr>
              <w:tabs>
                <w:tab w:val="left" w:pos="993"/>
              </w:tabs>
              <w:spacing w:after="60" w:line="264" w:lineRule="auto"/>
              <w:jc w:val="center"/>
              <w:rPr>
                <w:rFonts w:eastAsia="Times New Roman" w:cs="Times New Roman"/>
                <w:b/>
                <w:sz w:val="20"/>
                <w:szCs w:val="20"/>
              </w:rPr>
            </w:pPr>
            <w:r w:rsidRPr="009F6D1E">
              <w:rPr>
                <w:rFonts w:eastAsia="Microsoft Sans Serif" w:cs="Times New Roman"/>
                <w:b/>
                <w:color w:val="000000"/>
                <w:sz w:val="20"/>
                <w:szCs w:val="20"/>
                <w:lang w:eastAsia="bg-BG" w:bidi="bg-BG"/>
              </w:rPr>
              <w:t>Екологично състояние/потенциал</w:t>
            </w:r>
          </w:p>
        </w:tc>
      </w:tr>
      <w:tr w:rsidR="00864CF0" w:rsidRPr="009F6D1E" w14:paraId="4A14A6AC" w14:textId="77777777" w:rsidTr="008476EA">
        <w:tc>
          <w:tcPr>
            <w:tcW w:w="0" w:type="auto"/>
          </w:tcPr>
          <w:p w14:paraId="515F6E75"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551D696D"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eastAsia="bg-BG" w:bidi="bg-BG"/>
              </w:rPr>
              <w:t>Дунавски Добруджански реки</w:t>
            </w:r>
          </w:p>
        </w:tc>
        <w:tc>
          <w:tcPr>
            <w:tcW w:w="0" w:type="auto"/>
            <w:vAlign w:val="center"/>
          </w:tcPr>
          <w:p w14:paraId="64625C27"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BG1DJ200R013</w:t>
            </w:r>
          </w:p>
        </w:tc>
        <w:tc>
          <w:tcPr>
            <w:tcW w:w="0" w:type="auto"/>
            <w:vAlign w:val="center"/>
          </w:tcPr>
          <w:p w14:paraId="2C76310A"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cs="Times New Roman"/>
                <w:color w:val="000000"/>
                <w:sz w:val="20"/>
                <w:szCs w:val="20"/>
                <w:lang w:eastAsia="bg-BG" w:bidi="bg-BG"/>
              </w:rPr>
              <w:t>р. Добричка от извор до вливане в р. Суха</w:t>
            </w:r>
          </w:p>
        </w:tc>
        <w:tc>
          <w:tcPr>
            <w:tcW w:w="0" w:type="auto"/>
            <w:shd w:val="clear" w:color="auto" w:fill="FF0000"/>
            <w:vAlign w:val="center"/>
          </w:tcPr>
          <w:p w14:paraId="4D44238D"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DejaVu Sans" w:cs="Times New Roman"/>
                <w:color w:val="000000"/>
                <w:sz w:val="20"/>
                <w:szCs w:val="20"/>
                <w:lang w:eastAsia="bg-BG" w:bidi="bg-BG"/>
              </w:rPr>
              <w:t>много лошо</w:t>
            </w:r>
          </w:p>
        </w:tc>
      </w:tr>
      <w:tr w:rsidR="00864CF0" w:rsidRPr="009F6D1E" w14:paraId="66835FCB" w14:textId="77777777" w:rsidTr="008476EA">
        <w:tc>
          <w:tcPr>
            <w:tcW w:w="0" w:type="auto"/>
          </w:tcPr>
          <w:p w14:paraId="154AF525"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77AB4C0D" w14:textId="77777777" w:rsidR="00864CF0" w:rsidRPr="009F6D1E" w:rsidRDefault="00864CF0"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Дунавски Добруджански реки</w:t>
            </w:r>
          </w:p>
        </w:tc>
        <w:tc>
          <w:tcPr>
            <w:tcW w:w="0" w:type="auto"/>
            <w:vAlign w:val="center"/>
          </w:tcPr>
          <w:p w14:paraId="0191971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BG1DJ345L1014</w:t>
            </w:r>
          </w:p>
        </w:tc>
        <w:tc>
          <w:tcPr>
            <w:tcW w:w="0" w:type="auto"/>
            <w:vAlign w:val="center"/>
          </w:tcPr>
          <w:p w14:paraId="495E3DAC" w14:textId="77777777" w:rsidR="00864CF0" w:rsidRPr="009F6D1E" w:rsidRDefault="00864CF0"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bidi="en-US"/>
              </w:rPr>
              <w:t>язовир Оногур на р. Суха</w:t>
            </w:r>
          </w:p>
        </w:tc>
        <w:tc>
          <w:tcPr>
            <w:tcW w:w="0" w:type="auto"/>
            <w:shd w:val="clear" w:color="auto" w:fill="FF0000"/>
            <w:vAlign w:val="center"/>
          </w:tcPr>
          <w:p w14:paraId="3F70D40A" w14:textId="77777777" w:rsidR="00864CF0" w:rsidRPr="009F6D1E" w:rsidRDefault="00864CF0" w:rsidP="0084747F">
            <w:pPr>
              <w:tabs>
                <w:tab w:val="left" w:pos="993"/>
              </w:tabs>
              <w:spacing w:after="60" w:line="264" w:lineRule="auto"/>
              <w:jc w:val="center"/>
              <w:rPr>
                <w:rFonts w:eastAsia="DejaVu Sans" w:cs="Times New Roman"/>
                <w:color w:val="000000"/>
                <w:sz w:val="20"/>
                <w:szCs w:val="20"/>
                <w:lang w:eastAsia="bg-BG" w:bidi="bg-BG"/>
              </w:rPr>
            </w:pPr>
            <w:r w:rsidRPr="009F6D1E">
              <w:rPr>
                <w:rFonts w:eastAsia="DejaVu Sans" w:cs="Times New Roman"/>
                <w:color w:val="000000"/>
                <w:sz w:val="20"/>
                <w:szCs w:val="20"/>
                <w:lang w:eastAsia="bg-BG" w:bidi="bg-BG"/>
              </w:rPr>
              <w:t>много лошо</w:t>
            </w:r>
          </w:p>
        </w:tc>
      </w:tr>
      <w:tr w:rsidR="00864CF0" w:rsidRPr="009F6D1E" w14:paraId="00F51FF4" w14:textId="77777777" w:rsidTr="008476EA">
        <w:tc>
          <w:tcPr>
            <w:tcW w:w="0" w:type="auto"/>
          </w:tcPr>
          <w:p w14:paraId="58FED89E"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43C9187D" w14:textId="77777777" w:rsidR="00864CF0" w:rsidRPr="009F6D1E" w:rsidRDefault="00864CF0" w:rsidP="0084747F">
            <w:pPr>
              <w:spacing w:after="60" w:line="264" w:lineRule="auto"/>
              <w:jc w:val="center"/>
              <w:rPr>
                <w:rFonts w:cs="Times New Roman"/>
                <w:sz w:val="20"/>
                <w:szCs w:val="20"/>
              </w:rPr>
            </w:pPr>
            <w:r w:rsidRPr="009F6D1E">
              <w:rPr>
                <w:rFonts w:cs="Times New Roman"/>
                <w:color w:val="000000"/>
                <w:sz w:val="20"/>
                <w:szCs w:val="20"/>
                <w:lang w:eastAsia="bg-BG" w:bidi="bg-BG"/>
              </w:rPr>
              <w:t>Дунавски</w:t>
            </w:r>
          </w:p>
          <w:p w14:paraId="14BD4D41"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eastAsia="bg-BG" w:bidi="bg-BG"/>
              </w:rPr>
              <w:t>Добруджански реки</w:t>
            </w:r>
          </w:p>
        </w:tc>
        <w:tc>
          <w:tcPr>
            <w:tcW w:w="0" w:type="auto"/>
            <w:vAlign w:val="center"/>
          </w:tcPr>
          <w:p w14:paraId="3D4961EC"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BG1DJ900R1015</w:t>
            </w:r>
          </w:p>
        </w:tc>
        <w:tc>
          <w:tcPr>
            <w:tcW w:w="0" w:type="auto"/>
            <w:vAlign w:val="center"/>
          </w:tcPr>
          <w:p w14:paraId="433E7420"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cs="Times New Roman"/>
                <w:color w:val="000000"/>
                <w:sz w:val="20"/>
                <w:szCs w:val="20"/>
                <w:lang w:eastAsia="bg-BG" w:bidi="bg-BG"/>
              </w:rPr>
              <w:t xml:space="preserve">р. </w:t>
            </w:r>
            <w:proofErr w:type="spellStart"/>
            <w:r w:rsidRPr="009F6D1E">
              <w:rPr>
                <w:rFonts w:cs="Times New Roman"/>
                <w:color w:val="000000"/>
                <w:sz w:val="20"/>
                <w:szCs w:val="20"/>
                <w:lang w:eastAsia="bg-BG" w:bidi="bg-BG"/>
              </w:rPr>
              <w:t>Парън</w:t>
            </w:r>
            <w:proofErr w:type="spellEnd"/>
            <w:r w:rsidRPr="009F6D1E">
              <w:rPr>
                <w:rFonts w:cs="Times New Roman"/>
                <w:color w:val="000000"/>
                <w:sz w:val="20"/>
                <w:szCs w:val="20"/>
                <w:lang w:eastAsia="bg-BG" w:bidi="bg-BG"/>
              </w:rPr>
              <w:t xml:space="preserve"> дере</w:t>
            </w:r>
          </w:p>
        </w:tc>
        <w:tc>
          <w:tcPr>
            <w:tcW w:w="0" w:type="auto"/>
            <w:shd w:val="clear" w:color="auto" w:fill="FF0000"/>
            <w:vAlign w:val="center"/>
          </w:tcPr>
          <w:p w14:paraId="4DF9BDDA"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DejaVu Sans" w:cs="Times New Roman"/>
                <w:color w:val="000000"/>
                <w:sz w:val="20"/>
                <w:szCs w:val="20"/>
                <w:lang w:eastAsia="bg-BG" w:bidi="bg-BG"/>
              </w:rPr>
              <w:t>много лошо</w:t>
            </w:r>
          </w:p>
        </w:tc>
      </w:tr>
      <w:tr w:rsidR="00864CF0" w:rsidRPr="009F6D1E" w14:paraId="2537A91D" w14:textId="77777777" w:rsidTr="008476EA">
        <w:trPr>
          <w:trHeight w:val="741"/>
        </w:trPr>
        <w:tc>
          <w:tcPr>
            <w:tcW w:w="0" w:type="auto"/>
          </w:tcPr>
          <w:p w14:paraId="56D77941"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23539380" w14:textId="77777777" w:rsidR="00864CF0" w:rsidRPr="009F6D1E" w:rsidRDefault="00864CF0"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Искър</w:t>
            </w:r>
          </w:p>
        </w:tc>
        <w:tc>
          <w:tcPr>
            <w:tcW w:w="0" w:type="auto"/>
            <w:vAlign w:val="center"/>
          </w:tcPr>
          <w:p w14:paraId="584E4F1E"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BG1IS135R1326</w:t>
            </w:r>
          </w:p>
        </w:tc>
        <w:tc>
          <w:tcPr>
            <w:tcW w:w="0" w:type="auto"/>
            <w:vAlign w:val="center"/>
          </w:tcPr>
          <w:p w14:paraId="4F3E25E3"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Искър от вливане на р. Батулийска при Реброво до вливане на р. Габровница при Елисейна, вкл. притока р. Трескавец</w:t>
            </w:r>
          </w:p>
        </w:tc>
        <w:tc>
          <w:tcPr>
            <w:tcW w:w="0" w:type="auto"/>
            <w:shd w:val="clear" w:color="auto" w:fill="FFC000"/>
            <w:vAlign w:val="center"/>
          </w:tcPr>
          <w:p w14:paraId="1E405633"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4C57A579" w14:textId="77777777" w:rsidTr="008476EA">
        <w:tc>
          <w:tcPr>
            <w:tcW w:w="0" w:type="auto"/>
          </w:tcPr>
          <w:p w14:paraId="635F750E"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601A8AC7"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eastAsia="bg-BG" w:bidi="bg-BG"/>
              </w:rPr>
              <w:t>Искър</w:t>
            </w:r>
          </w:p>
        </w:tc>
        <w:tc>
          <w:tcPr>
            <w:tcW w:w="0" w:type="auto"/>
            <w:vAlign w:val="center"/>
          </w:tcPr>
          <w:p w14:paraId="754AD552"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BG1IS135R1426</w:t>
            </w:r>
          </w:p>
        </w:tc>
        <w:tc>
          <w:tcPr>
            <w:tcW w:w="0" w:type="auto"/>
            <w:vAlign w:val="center"/>
          </w:tcPr>
          <w:p w14:paraId="52E6B39B"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cs="Times New Roman"/>
                <w:color w:val="000000"/>
                <w:sz w:val="20"/>
                <w:szCs w:val="20"/>
                <w:lang w:bidi="en-US"/>
              </w:rPr>
              <w:t>р. Искър от вливане на р. Владайска до вливане на р. Батулийска при Реброво</w:t>
            </w:r>
          </w:p>
        </w:tc>
        <w:tc>
          <w:tcPr>
            <w:tcW w:w="0" w:type="auto"/>
            <w:shd w:val="clear" w:color="auto" w:fill="FFC000"/>
            <w:vAlign w:val="center"/>
          </w:tcPr>
          <w:p w14:paraId="77853538"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лошо</w:t>
            </w:r>
          </w:p>
        </w:tc>
      </w:tr>
      <w:tr w:rsidR="00864CF0" w:rsidRPr="009F6D1E" w14:paraId="7E57B893" w14:textId="77777777" w:rsidTr="008476EA">
        <w:tc>
          <w:tcPr>
            <w:tcW w:w="0" w:type="auto"/>
          </w:tcPr>
          <w:p w14:paraId="5973DDCF"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4D1139A5"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eastAsia="bg-BG" w:bidi="bg-BG"/>
              </w:rPr>
              <w:t>Искър</w:t>
            </w:r>
          </w:p>
        </w:tc>
        <w:tc>
          <w:tcPr>
            <w:tcW w:w="0" w:type="auto"/>
            <w:vAlign w:val="center"/>
          </w:tcPr>
          <w:p w14:paraId="28DD5AEA"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BG1IS135R1726</w:t>
            </w:r>
          </w:p>
        </w:tc>
        <w:tc>
          <w:tcPr>
            <w:tcW w:w="0" w:type="auto"/>
            <w:vAlign w:val="center"/>
          </w:tcPr>
          <w:p w14:paraId="4EF59308"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Искър след язовир Панчарево, до вливане на р. Владайска</w:t>
            </w:r>
          </w:p>
        </w:tc>
        <w:tc>
          <w:tcPr>
            <w:tcW w:w="0" w:type="auto"/>
            <w:shd w:val="clear" w:color="auto" w:fill="FFC000"/>
            <w:vAlign w:val="center"/>
          </w:tcPr>
          <w:p w14:paraId="3E167372"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3064A09F" w14:textId="77777777" w:rsidTr="008476EA">
        <w:tc>
          <w:tcPr>
            <w:tcW w:w="0" w:type="auto"/>
          </w:tcPr>
          <w:p w14:paraId="0650C948"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64467598"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Искър</w:t>
            </w:r>
          </w:p>
        </w:tc>
        <w:tc>
          <w:tcPr>
            <w:tcW w:w="0" w:type="auto"/>
            <w:vAlign w:val="center"/>
          </w:tcPr>
          <w:p w14:paraId="7E1A2906"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BG1IS200R1023</w:t>
            </w:r>
          </w:p>
        </w:tc>
        <w:tc>
          <w:tcPr>
            <w:tcW w:w="0" w:type="auto"/>
            <w:vAlign w:val="center"/>
          </w:tcPr>
          <w:p w14:paraId="4CA4BF18"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cs="Times New Roman"/>
                <w:color w:val="000000"/>
                <w:sz w:val="20"/>
                <w:szCs w:val="20"/>
                <w:lang w:bidi="en-US"/>
              </w:rPr>
              <w:t xml:space="preserve">р. Малък Искър от вливане на р. Бебреш при Своде до устие при Роман, вкл. притока р. </w:t>
            </w:r>
            <w:proofErr w:type="spellStart"/>
            <w:r w:rsidRPr="009F6D1E">
              <w:rPr>
                <w:rFonts w:cs="Times New Roman"/>
                <w:color w:val="000000"/>
                <w:sz w:val="20"/>
                <w:szCs w:val="20"/>
                <w:lang w:bidi="en-US"/>
              </w:rPr>
              <w:t>Батулска</w:t>
            </w:r>
            <w:proofErr w:type="spellEnd"/>
            <w:r w:rsidRPr="009F6D1E">
              <w:rPr>
                <w:rFonts w:cs="Times New Roman"/>
                <w:color w:val="000000"/>
                <w:sz w:val="20"/>
                <w:szCs w:val="20"/>
                <w:lang w:bidi="en-US"/>
              </w:rPr>
              <w:t xml:space="preserve"> без зона питейни РВ "Говежди дол"; Своде</w:t>
            </w:r>
          </w:p>
        </w:tc>
        <w:tc>
          <w:tcPr>
            <w:tcW w:w="0" w:type="auto"/>
            <w:shd w:val="clear" w:color="auto" w:fill="FFC000"/>
            <w:vAlign w:val="center"/>
          </w:tcPr>
          <w:p w14:paraId="6743D58E"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лошо</w:t>
            </w:r>
          </w:p>
        </w:tc>
      </w:tr>
      <w:tr w:rsidR="00864CF0" w:rsidRPr="009F6D1E" w14:paraId="6FE7D322" w14:textId="77777777" w:rsidTr="008476EA">
        <w:tc>
          <w:tcPr>
            <w:tcW w:w="0" w:type="auto"/>
          </w:tcPr>
          <w:p w14:paraId="1F72CD27"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12351F65"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Искър</w:t>
            </w:r>
          </w:p>
        </w:tc>
        <w:tc>
          <w:tcPr>
            <w:tcW w:w="0" w:type="auto"/>
            <w:vAlign w:val="center"/>
          </w:tcPr>
          <w:p w14:paraId="1B023172"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BG1IS200R1443</w:t>
            </w:r>
          </w:p>
        </w:tc>
        <w:tc>
          <w:tcPr>
            <w:tcW w:w="0" w:type="auto"/>
            <w:vAlign w:val="center"/>
          </w:tcPr>
          <w:p w14:paraId="3E2FAE64"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 xml:space="preserve">р. Малък Искър до вливане на р. Суха при Етрополе без 6 </w:t>
            </w:r>
            <w:proofErr w:type="spellStart"/>
            <w:r w:rsidRPr="009F6D1E">
              <w:rPr>
                <w:rFonts w:eastAsia="Times New Roman" w:cs="Times New Roman"/>
                <w:sz w:val="20"/>
                <w:szCs w:val="20"/>
              </w:rPr>
              <w:t>бр</w:t>
            </w:r>
            <w:proofErr w:type="spellEnd"/>
            <w:r w:rsidRPr="009F6D1E">
              <w:rPr>
                <w:rFonts w:eastAsia="Times New Roman" w:cs="Times New Roman"/>
                <w:sz w:val="20"/>
                <w:szCs w:val="20"/>
              </w:rPr>
              <w:t xml:space="preserve"> зони питейни обхващащи речни водохващания: Кози дол; Кози дол 1 и 2; </w:t>
            </w:r>
            <w:proofErr w:type="spellStart"/>
            <w:r w:rsidRPr="009F6D1E">
              <w:rPr>
                <w:rFonts w:eastAsia="Times New Roman" w:cs="Times New Roman"/>
                <w:sz w:val="20"/>
                <w:szCs w:val="20"/>
              </w:rPr>
              <w:t>Влайковица</w:t>
            </w:r>
            <w:proofErr w:type="spellEnd"/>
            <w:r w:rsidRPr="009F6D1E">
              <w:rPr>
                <w:rFonts w:eastAsia="Times New Roman" w:cs="Times New Roman"/>
                <w:sz w:val="20"/>
                <w:szCs w:val="20"/>
              </w:rPr>
              <w:t>; Стайков дол; Данчов дол; Черешовица; Драгостин</w:t>
            </w:r>
          </w:p>
        </w:tc>
        <w:tc>
          <w:tcPr>
            <w:tcW w:w="0" w:type="auto"/>
            <w:shd w:val="clear" w:color="auto" w:fill="FF0000"/>
            <w:vAlign w:val="center"/>
          </w:tcPr>
          <w:p w14:paraId="46421336"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DejaVu Sans" w:cs="Times New Roman"/>
                <w:color w:val="000000"/>
                <w:sz w:val="20"/>
                <w:szCs w:val="20"/>
                <w:lang w:eastAsia="bg-BG" w:bidi="bg-BG"/>
              </w:rPr>
              <w:t>много лошо</w:t>
            </w:r>
          </w:p>
        </w:tc>
      </w:tr>
      <w:tr w:rsidR="00864CF0" w:rsidRPr="009F6D1E" w14:paraId="0DFEC814" w14:textId="77777777" w:rsidTr="008476EA">
        <w:tc>
          <w:tcPr>
            <w:tcW w:w="0" w:type="auto"/>
          </w:tcPr>
          <w:p w14:paraId="2B9BBB5C"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106F8394"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Искър</w:t>
            </w:r>
          </w:p>
        </w:tc>
        <w:tc>
          <w:tcPr>
            <w:tcW w:w="0" w:type="auto"/>
            <w:vAlign w:val="center"/>
          </w:tcPr>
          <w:p w14:paraId="21177F5D"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BG1IS200R1542</w:t>
            </w:r>
          </w:p>
        </w:tc>
        <w:tc>
          <w:tcPr>
            <w:tcW w:w="0" w:type="auto"/>
            <w:vAlign w:val="center"/>
          </w:tcPr>
          <w:p w14:paraId="1D7DC7E9"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приток на р. Бебреш от Ботевград  до Скравена</w:t>
            </w:r>
          </w:p>
        </w:tc>
        <w:tc>
          <w:tcPr>
            <w:tcW w:w="0" w:type="auto"/>
            <w:shd w:val="clear" w:color="auto" w:fill="FFC000"/>
            <w:vAlign w:val="center"/>
          </w:tcPr>
          <w:p w14:paraId="7D6B072A"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лошо</w:t>
            </w:r>
          </w:p>
        </w:tc>
      </w:tr>
      <w:tr w:rsidR="00864CF0" w:rsidRPr="009F6D1E" w14:paraId="428DDB53" w14:textId="77777777" w:rsidTr="008476EA">
        <w:tc>
          <w:tcPr>
            <w:tcW w:w="0" w:type="auto"/>
          </w:tcPr>
          <w:p w14:paraId="024E5773"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127D8264"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Искър</w:t>
            </w:r>
          </w:p>
        </w:tc>
        <w:tc>
          <w:tcPr>
            <w:tcW w:w="0" w:type="auto"/>
            <w:vAlign w:val="center"/>
          </w:tcPr>
          <w:p w14:paraId="73FFDEDD"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BG1IS200R1742</w:t>
            </w:r>
          </w:p>
        </w:tc>
        <w:tc>
          <w:tcPr>
            <w:tcW w:w="0" w:type="auto"/>
            <w:vAlign w:val="center"/>
          </w:tcPr>
          <w:p w14:paraId="3A15BF65"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приток на р. Бебреш след РВ "Бистрица";</w:t>
            </w:r>
          </w:p>
        </w:tc>
        <w:tc>
          <w:tcPr>
            <w:tcW w:w="0" w:type="auto"/>
            <w:shd w:val="clear" w:color="auto" w:fill="FFC000"/>
            <w:vAlign w:val="center"/>
          </w:tcPr>
          <w:p w14:paraId="6F5C49F3"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лошо</w:t>
            </w:r>
          </w:p>
        </w:tc>
      </w:tr>
      <w:tr w:rsidR="00864CF0" w:rsidRPr="009F6D1E" w14:paraId="2928F786" w14:textId="77777777" w:rsidTr="008476EA">
        <w:tc>
          <w:tcPr>
            <w:tcW w:w="0" w:type="auto"/>
          </w:tcPr>
          <w:p w14:paraId="5723D64B"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14E0DE9B"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Искър</w:t>
            </w:r>
          </w:p>
        </w:tc>
        <w:tc>
          <w:tcPr>
            <w:tcW w:w="0" w:type="auto"/>
            <w:vAlign w:val="center"/>
          </w:tcPr>
          <w:p w14:paraId="11C88E3E"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BG1IS400R012</w:t>
            </w:r>
          </w:p>
        </w:tc>
        <w:tc>
          <w:tcPr>
            <w:tcW w:w="0" w:type="auto"/>
            <w:vAlign w:val="center"/>
          </w:tcPr>
          <w:p w14:paraId="5605A143"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 xml:space="preserve">р. Блато от извор до вливане в р. Искър при Нови Искър, вкл. притоците - Сливнишка и </w:t>
            </w:r>
            <w:proofErr w:type="spellStart"/>
            <w:r w:rsidRPr="009F6D1E">
              <w:rPr>
                <w:rFonts w:eastAsia="Times New Roman" w:cs="Times New Roman"/>
                <w:sz w:val="20"/>
                <w:szCs w:val="20"/>
              </w:rPr>
              <w:t>Костинбродска</w:t>
            </w:r>
            <w:proofErr w:type="spellEnd"/>
          </w:p>
        </w:tc>
        <w:tc>
          <w:tcPr>
            <w:tcW w:w="0" w:type="auto"/>
            <w:shd w:val="clear" w:color="auto" w:fill="FFC000"/>
            <w:vAlign w:val="center"/>
          </w:tcPr>
          <w:p w14:paraId="31085EC8"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08A7BAA5" w14:textId="77777777" w:rsidTr="008476EA">
        <w:tc>
          <w:tcPr>
            <w:tcW w:w="0" w:type="auto"/>
          </w:tcPr>
          <w:p w14:paraId="23AC937E"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2EA30B03"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eastAsia="bg-BG" w:bidi="bg-BG"/>
              </w:rPr>
              <w:t>Искър</w:t>
            </w:r>
          </w:p>
        </w:tc>
        <w:tc>
          <w:tcPr>
            <w:tcW w:w="0" w:type="auto"/>
            <w:vAlign w:val="center"/>
          </w:tcPr>
          <w:p w14:paraId="3FEA3B72"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cs="Times New Roman"/>
                <w:color w:val="000000"/>
                <w:sz w:val="20"/>
                <w:szCs w:val="20"/>
                <w:lang w:bidi="en-US"/>
              </w:rPr>
              <w:t>BG1IS500R011</w:t>
            </w:r>
          </w:p>
        </w:tc>
        <w:tc>
          <w:tcPr>
            <w:tcW w:w="0" w:type="auto"/>
            <w:vAlign w:val="center"/>
          </w:tcPr>
          <w:p w14:paraId="17F75796"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cs="Times New Roman"/>
                <w:color w:val="000000"/>
                <w:sz w:val="20"/>
                <w:szCs w:val="20"/>
                <w:lang w:eastAsia="bg-BG" w:bidi="bg-BG"/>
              </w:rPr>
              <w:t xml:space="preserve">р. </w:t>
            </w:r>
            <w:proofErr w:type="spellStart"/>
            <w:r w:rsidRPr="009F6D1E">
              <w:rPr>
                <w:rFonts w:cs="Times New Roman"/>
                <w:color w:val="000000"/>
                <w:sz w:val="20"/>
                <w:szCs w:val="20"/>
                <w:lang w:eastAsia="bg-BG" w:bidi="bg-BG"/>
              </w:rPr>
              <w:t>Банкенска</w:t>
            </w:r>
            <w:proofErr w:type="spellEnd"/>
            <w:r w:rsidRPr="009F6D1E">
              <w:rPr>
                <w:rFonts w:cs="Times New Roman"/>
                <w:color w:val="000000"/>
                <w:sz w:val="20"/>
                <w:szCs w:val="20"/>
                <w:lang w:eastAsia="bg-BG" w:bidi="bg-BG"/>
              </w:rPr>
              <w:t xml:space="preserve"> от извор до вливане в р. Искър при Нови Искър</w:t>
            </w:r>
          </w:p>
        </w:tc>
        <w:tc>
          <w:tcPr>
            <w:tcW w:w="0" w:type="auto"/>
            <w:shd w:val="clear" w:color="auto" w:fill="FF0000"/>
            <w:vAlign w:val="center"/>
          </w:tcPr>
          <w:p w14:paraId="06E7E0CD"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eastAsia="DejaVu Sans" w:cs="Times New Roman"/>
                <w:color w:val="000000"/>
                <w:sz w:val="20"/>
                <w:szCs w:val="20"/>
                <w:lang w:eastAsia="bg-BG" w:bidi="bg-BG"/>
              </w:rPr>
              <w:t>много лошо</w:t>
            </w:r>
          </w:p>
        </w:tc>
      </w:tr>
      <w:tr w:rsidR="00864CF0" w:rsidRPr="009F6D1E" w14:paraId="51B76930" w14:textId="77777777" w:rsidTr="008476EA">
        <w:tc>
          <w:tcPr>
            <w:tcW w:w="0" w:type="auto"/>
          </w:tcPr>
          <w:p w14:paraId="25AFF8D3"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6AE988EC"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Огоста</w:t>
            </w:r>
          </w:p>
        </w:tc>
        <w:tc>
          <w:tcPr>
            <w:tcW w:w="0" w:type="auto"/>
            <w:vAlign w:val="center"/>
          </w:tcPr>
          <w:p w14:paraId="1C36B082"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BG1OG200R1011</w:t>
            </w:r>
          </w:p>
        </w:tc>
        <w:tc>
          <w:tcPr>
            <w:tcW w:w="0" w:type="auto"/>
            <w:vAlign w:val="center"/>
          </w:tcPr>
          <w:p w14:paraId="791E3EEB"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р. Бързина от извор до вливане в р. Скът при Липница</w:t>
            </w:r>
          </w:p>
        </w:tc>
        <w:tc>
          <w:tcPr>
            <w:tcW w:w="0" w:type="auto"/>
            <w:shd w:val="clear" w:color="auto" w:fill="FFC000"/>
            <w:vAlign w:val="center"/>
          </w:tcPr>
          <w:p w14:paraId="1860B975"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6881F0B1" w14:textId="77777777" w:rsidTr="008476EA">
        <w:tc>
          <w:tcPr>
            <w:tcW w:w="0" w:type="auto"/>
          </w:tcPr>
          <w:p w14:paraId="044B2C4F"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52EF8C5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Осъм</w:t>
            </w:r>
          </w:p>
        </w:tc>
        <w:tc>
          <w:tcPr>
            <w:tcW w:w="0" w:type="auto"/>
            <w:vAlign w:val="center"/>
          </w:tcPr>
          <w:p w14:paraId="4AE6F36A"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BG1OS130R1015</w:t>
            </w:r>
          </w:p>
        </w:tc>
        <w:tc>
          <w:tcPr>
            <w:tcW w:w="0" w:type="auto"/>
            <w:vAlign w:val="center"/>
          </w:tcPr>
          <w:p w14:paraId="19150A3E"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р. Осъм от вливане на р. Мечка при Дебово до устие</w:t>
            </w:r>
          </w:p>
        </w:tc>
        <w:tc>
          <w:tcPr>
            <w:tcW w:w="0" w:type="auto"/>
            <w:shd w:val="clear" w:color="auto" w:fill="FF0000"/>
            <w:vAlign w:val="center"/>
          </w:tcPr>
          <w:p w14:paraId="5736B31B"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eastAsia="DejaVu Sans" w:cs="Times New Roman"/>
                <w:color w:val="000000"/>
                <w:sz w:val="20"/>
                <w:szCs w:val="20"/>
                <w:lang w:eastAsia="bg-BG" w:bidi="bg-BG"/>
              </w:rPr>
              <w:t>много лошо</w:t>
            </w:r>
          </w:p>
        </w:tc>
      </w:tr>
      <w:tr w:rsidR="00864CF0" w:rsidRPr="009F6D1E" w14:paraId="21688CCD" w14:textId="77777777" w:rsidTr="008476EA">
        <w:tc>
          <w:tcPr>
            <w:tcW w:w="0" w:type="auto"/>
          </w:tcPr>
          <w:p w14:paraId="5BFBA6FE"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60423F4E"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Русенски Лом</w:t>
            </w:r>
          </w:p>
        </w:tc>
        <w:tc>
          <w:tcPr>
            <w:tcW w:w="0" w:type="auto"/>
            <w:vAlign w:val="center"/>
          </w:tcPr>
          <w:p w14:paraId="688375CA"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BG1RL200L1002</w:t>
            </w:r>
          </w:p>
        </w:tc>
        <w:tc>
          <w:tcPr>
            <w:tcW w:w="0" w:type="auto"/>
            <w:vAlign w:val="center"/>
          </w:tcPr>
          <w:p w14:paraId="164ABA26"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язовир Бойка</w:t>
            </w:r>
          </w:p>
        </w:tc>
        <w:tc>
          <w:tcPr>
            <w:tcW w:w="0" w:type="auto"/>
            <w:shd w:val="clear" w:color="auto" w:fill="FFC000"/>
            <w:vAlign w:val="center"/>
          </w:tcPr>
          <w:p w14:paraId="4BD40FA2"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72893678" w14:textId="77777777" w:rsidTr="008476EA">
        <w:tc>
          <w:tcPr>
            <w:tcW w:w="0" w:type="auto"/>
          </w:tcPr>
          <w:p w14:paraId="42EE4ADF"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4ABB21E8"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Русенски Лом</w:t>
            </w:r>
          </w:p>
        </w:tc>
        <w:tc>
          <w:tcPr>
            <w:tcW w:w="0" w:type="auto"/>
            <w:vAlign w:val="center"/>
          </w:tcPr>
          <w:p w14:paraId="08109368"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BG1RL200L1004</w:t>
            </w:r>
          </w:p>
        </w:tc>
        <w:tc>
          <w:tcPr>
            <w:tcW w:w="0" w:type="auto"/>
            <w:vAlign w:val="center"/>
          </w:tcPr>
          <w:p w14:paraId="7EF3B340"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язовир Баниска</w:t>
            </w:r>
          </w:p>
        </w:tc>
        <w:tc>
          <w:tcPr>
            <w:tcW w:w="0" w:type="auto"/>
            <w:shd w:val="clear" w:color="auto" w:fill="FFC000"/>
            <w:vAlign w:val="center"/>
          </w:tcPr>
          <w:p w14:paraId="6630A07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78E564E4" w14:textId="77777777" w:rsidTr="008476EA">
        <w:tc>
          <w:tcPr>
            <w:tcW w:w="0" w:type="auto"/>
          </w:tcPr>
          <w:p w14:paraId="14FB84BF"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10203D46"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Русенски Лом</w:t>
            </w:r>
          </w:p>
        </w:tc>
        <w:tc>
          <w:tcPr>
            <w:tcW w:w="0" w:type="auto"/>
            <w:vAlign w:val="center"/>
          </w:tcPr>
          <w:p w14:paraId="3FDB6E83"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BG1RL200L1006</w:t>
            </w:r>
          </w:p>
        </w:tc>
        <w:tc>
          <w:tcPr>
            <w:tcW w:w="0" w:type="auto"/>
            <w:vAlign w:val="center"/>
          </w:tcPr>
          <w:p w14:paraId="602B6763"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язовир Каваците</w:t>
            </w:r>
          </w:p>
        </w:tc>
        <w:tc>
          <w:tcPr>
            <w:tcW w:w="0" w:type="auto"/>
            <w:shd w:val="clear" w:color="auto" w:fill="FFC000"/>
            <w:vAlign w:val="center"/>
          </w:tcPr>
          <w:p w14:paraId="7C2A2BF6"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60B6BBF8" w14:textId="77777777" w:rsidTr="008476EA">
        <w:tc>
          <w:tcPr>
            <w:tcW w:w="0" w:type="auto"/>
          </w:tcPr>
          <w:p w14:paraId="135C67A8"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5B015000"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Русенски Лом</w:t>
            </w:r>
          </w:p>
        </w:tc>
        <w:tc>
          <w:tcPr>
            <w:tcW w:w="0" w:type="auto"/>
            <w:vAlign w:val="center"/>
          </w:tcPr>
          <w:p w14:paraId="5C670423"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BG1RL900R1012</w:t>
            </w:r>
          </w:p>
        </w:tc>
        <w:tc>
          <w:tcPr>
            <w:tcW w:w="0" w:type="auto"/>
            <w:vAlign w:val="center"/>
          </w:tcPr>
          <w:p w14:paraId="7716A162"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 xml:space="preserve">р. Бели Лом след язовир Бели Лом до вливане на р. </w:t>
            </w:r>
            <w:proofErr w:type="spellStart"/>
            <w:r w:rsidRPr="009F6D1E">
              <w:rPr>
                <w:rFonts w:eastAsia="Times New Roman" w:cs="Times New Roman"/>
                <w:sz w:val="20"/>
                <w:szCs w:val="20"/>
              </w:rPr>
              <w:t>Долапдере</w:t>
            </w:r>
            <w:proofErr w:type="spellEnd"/>
            <w:r w:rsidRPr="009F6D1E">
              <w:rPr>
                <w:rFonts w:eastAsia="Times New Roman" w:cs="Times New Roman"/>
                <w:sz w:val="20"/>
                <w:szCs w:val="20"/>
              </w:rPr>
              <w:t xml:space="preserve"> при Писанец, вкл. приток р. </w:t>
            </w:r>
            <w:proofErr w:type="spellStart"/>
            <w:r w:rsidRPr="009F6D1E">
              <w:rPr>
                <w:rFonts w:eastAsia="Times New Roman" w:cs="Times New Roman"/>
                <w:sz w:val="20"/>
                <w:szCs w:val="20"/>
              </w:rPr>
              <w:t>Наловска</w:t>
            </w:r>
            <w:proofErr w:type="spellEnd"/>
          </w:p>
        </w:tc>
        <w:tc>
          <w:tcPr>
            <w:tcW w:w="0" w:type="auto"/>
            <w:shd w:val="clear" w:color="auto" w:fill="FF0000"/>
            <w:vAlign w:val="center"/>
          </w:tcPr>
          <w:p w14:paraId="3A3A114E"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eastAsia="DejaVu Sans" w:cs="Times New Roman"/>
                <w:color w:val="000000"/>
                <w:sz w:val="20"/>
                <w:szCs w:val="20"/>
                <w:lang w:eastAsia="bg-BG" w:bidi="bg-BG"/>
              </w:rPr>
              <w:t>много лошо</w:t>
            </w:r>
          </w:p>
        </w:tc>
      </w:tr>
      <w:tr w:rsidR="00864CF0" w:rsidRPr="009F6D1E" w14:paraId="5E1085AC" w14:textId="77777777" w:rsidTr="008476EA">
        <w:tc>
          <w:tcPr>
            <w:tcW w:w="0" w:type="auto"/>
          </w:tcPr>
          <w:p w14:paraId="5D5602BE"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47B41135"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Вит</w:t>
            </w:r>
          </w:p>
        </w:tc>
        <w:tc>
          <w:tcPr>
            <w:tcW w:w="0" w:type="auto"/>
            <w:vAlign w:val="center"/>
          </w:tcPr>
          <w:p w14:paraId="62050474"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BG1VT200R008</w:t>
            </w:r>
          </w:p>
        </w:tc>
        <w:tc>
          <w:tcPr>
            <w:tcW w:w="0" w:type="auto"/>
            <w:vAlign w:val="center"/>
          </w:tcPr>
          <w:p w14:paraId="7588CD0D"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р. Тученица от извор до вливане в р. Вит при Опанец</w:t>
            </w:r>
          </w:p>
        </w:tc>
        <w:tc>
          <w:tcPr>
            <w:tcW w:w="0" w:type="auto"/>
            <w:shd w:val="clear" w:color="auto" w:fill="FF0000"/>
            <w:vAlign w:val="center"/>
          </w:tcPr>
          <w:p w14:paraId="1C2F4FAE"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eastAsia="DejaVu Sans" w:cs="Times New Roman"/>
                <w:color w:val="000000"/>
                <w:sz w:val="20"/>
                <w:szCs w:val="20"/>
                <w:lang w:eastAsia="bg-BG" w:bidi="bg-BG"/>
              </w:rPr>
              <w:t>много лошо</w:t>
            </w:r>
          </w:p>
        </w:tc>
      </w:tr>
      <w:tr w:rsidR="00864CF0" w:rsidRPr="009F6D1E" w14:paraId="256F3F42" w14:textId="77777777" w:rsidTr="008476EA">
        <w:tc>
          <w:tcPr>
            <w:tcW w:w="0" w:type="auto"/>
          </w:tcPr>
          <w:p w14:paraId="3AE511EB"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00ED3692"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Западно от Огоста</w:t>
            </w:r>
          </w:p>
        </w:tc>
        <w:tc>
          <w:tcPr>
            <w:tcW w:w="0" w:type="auto"/>
            <w:vAlign w:val="center"/>
          </w:tcPr>
          <w:p w14:paraId="27533C7B"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BG1WO100R001</w:t>
            </w:r>
          </w:p>
        </w:tc>
        <w:tc>
          <w:tcPr>
            <w:tcW w:w="0" w:type="auto"/>
            <w:vAlign w:val="center"/>
          </w:tcPr>
          <w:p w14:paraId="3F44126D"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р. Тимок от Брегово до устие</w:t>
            </w:r>
          </w:p>
        </w:tc>
        <w:tc>
          <w:tcPr>
            <w:tcW w:w="0" w:type="auto"/>
            <w:shd w:val="clear" w:color="auto" w:fill="FFC000"/>
            <w:vAlign w:val="center"/>
          </w:tcPr>
          <w:p w14:paraId="3183B97A"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5FF569FA" w14:textId="77777777" w:rsidTr="008476EA">
        <w:tc>
          <w:tcPr>
            <w:tcW w:w="0" w:type="auto"/>
          </w:tcPr>
          <w:p w14:paraId="37DA9AD2"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58724DF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Западно от Огоста</w:t>
            </w:r>
          </w:p>
        </w:tc>
        <w:tc>
          <w:tcPr>
            <w:tcW w:w="0" w:type="auto"/>
            <w:vAlign w:val="center"/>
          </w:tcPr>
          <w:p w14:paraId="342506B8"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BG1WO800L1020</w:t>
            </w:r>
          </w:p>
        </w:tc>
        <w:tc>
          <w:tcPr>
            <w:tcW w:w="0" w:type="auto"/>
            <w:vAlign w:val="center"/>
          </w:tcPr>
          <w:p w14:paraId="0B7F9777"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язовир Расово-1</w:t>
            </w:r>
          </w:p>
        </w:tc>
        <w:tc>
          <w:tcPr>
            <w:tcW w:w="0" w:type="auto"/>
            <w:shd w:val="clear" w:color="auto" w:fill="FFC000"/>
            <w:vAlign w:val="center"/>
          </w:tcPr>
          <w:p w14:paraId="38E262CF"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340B1B2D" w14:textId="77777777" w:rsidTr="008476EA">
        <w:tc>
          <w:tcPr>
            <w:tcW w:w="0" w:type="auto"/>
          </w:tcPr>
          <w:p w14:paraId="64EF804C" w14:textId="77777777" w:rsidR="00864CF0" w:rsidRPr="009F6D1E" w:rsidRDefault="00864CF0" w:rsidP="00D02E9D">
            <w:pPr>
              <w:numPr>
                <w:ilvl w:val="0"/>
                <w:numId w:val="19"/>
              </w:numPr>
              <w:tabs>
                <w:tab w:val="left" w:pos="993"/>
              </w:tabs>
              <w:spacing w:after="60" w:line="264" w:lineRule="auto"/>
              <w:ind w:left="360"/>
              <w:jc w:val="center"/>
              <w:rPr>
                <w:rFonts w:eastAsia="Times New Roman" w:cs="Times New Roman"/>
                <w:sz w:val="20"/>
                <w:szCs w:val="20"/>
              </w:rPr>
            </w:pPr>
          </w:p>
        </w:tc>
        <w:tc>
          <w:tcPr>
            <w:tcW w:w="0" w:type="auto"/>
            <w:vAlign w:val="center"/>
          </w:tcPr>
          <w:p w14:paraId="5319D3B4"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Янтра</w:t>
            </w:r>
          </w:p>
        </w:tc>
        <w:tc>
          <w:tcPr>
            <w:tcW w:w="0" w:type="auto"/>
            <w:vAlign w:val="center"/>
          </w:tcPr>
          <w:p w14:paraId="20DB700B" w14:textId="77777777" w:rsidR="00864CF0" w:rsidRPr="009F6D1E" w:rsidRDefault="00864CF0"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BG1YN600R1034</w:t>
            </w:r>
          </w:p>
        </w:tc>
        <w:tc>
          <w:tcPr>
            <w:tcW w:w="0" w:type="auto"/>
            <w:vAlign w:val="center"/>
          </w:tcPr>
          <w:p w14:paraId="1D660CB2" w14:textId="77777777" w:rsidR="00864CF0" w:rsidRPr="009F6D1E" w:rsidRDefault="00864CF0" w:rsidP="0084747F">
            <w:pPr>
              <w:tabs>
                <w:tab w:val="left" w:pos="993"/>
              </w:tabs>
              <w:spacing w:after="60" w:line="264" w:lineRule="auto"/>
              <w:jc w:val="both"/>
              <w:rPr>
                <w:rFonts w:eastAsia="Times New Roman" w:cs="Times New Roman"/>
                <w:sz w:val="20"/>
                <w:szCs w:val="20"/>
              </w:rPr>
            </w:pPr>
            <w:r w:rsidRPr="009F6D1E">
              <w:rPr>
                <w:rFonts w:eastAsia="Times New Roman" w:cs="Times New Roman"/>
                <w:sz w:val="20"/>
                <w:szCs w:val="20"/>
              </w:rPr>
              <w:t>р. Лефеджа от Зайчари до вливане на р. Джулюница при Джулюница, вкл. приток р. Карадере</w:t>
            </w:r>
          </w:p>
        </w:tc>
        <w:tc>
          <w:tcPr>
            <w:tcW w:w="0" w:type="auto"/>
            <w:shd w:val="clear" w:color="auto" w:fill="FFC000"/>
            <w:vAlign w:val="center"/>
          </w:tcPr>
          <w:p w14:paraId="6F01D31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bl>
    <w:p w14:paraId="291E6BAF" w14:textId="77777777" w:rsidR="00864CF0" w:rsidRPr="009F6D1E" w:rsidRDefault="00864CF0" w:rsidP="0084747F">
      <w:pPr>
        <w:spacing w:after="60" w:line="264" w:lineRule="auto"/>
        <w:jc w:val="right"/>
        <w:rPr>
          <w:rFonts w:cs="Times New Roman"/>
          <w:i/>
        </w:rPr>
      </w:pPr>
      <w:r w:rsidRPr="009F6D1E">
        <w:rPr>
          <w:rFonts w:cs="Times New Roman"/>
          <w:i/>
        </w:rPr>
        <w:t>Източник: БДДР</w:t>
      </w:r>
    </w:p>
    <w:p w14:paraId="0F15E65A" w14:textId="77777777" w:rsidR="00864CF0" w:rsidRPr="009F6D1E" w:rsidRDefault="00864CF0" w:rsidP="0084747F">
      <w:pPr>
        <w:spacing w:after="60" w:line="264" w:lineRule="auto"/>
        <w:rPr>
          <w:rFonts w:cs="Times New Roman"/>
          <w:sz w:val="2"/>
          <w:szCs w:val="2"/>
        </w:rPr>
      </w:pPr>
    </w:p>
    <w:p w14:paraId="5632D300" w14:textId="77777777" w:rsidR="00864CF0" w:rsidRPr="009F6D1E" w:rsidRDefault="00864CF0" w:rsidP="0084747F">
      <w:pPr>
        <w:spacing w:after="60" w:line="264" w:lineRule="auto"/>
        <w:ind w:firstLine="720"/>
        <w:rPr>
          <w:rFonts w:eastAsia="Times New Roman" w:cs="Times New Roman"/>
          <w:sz w:val="28"/>
          <w:szCs w:val="28"/>
        </w:rPr>
      </w:pPr>
      <w:bookmarkStart w:id="234" w:name="bookmark71"/>
      <w:r w:rsidRPr="009F6D1E">
        <w:rPr>
          <w:rFonts w:cs="Times New Roman"/>
          <w:b/>
          <w:bCs/>
          <w:i/>
          <w:szCs w:val="24"/>
        </w:rPr>
        <w:t>Химично състояние/потенциал на повърхностни водни тела в БДДР</w:t>
      </w:r>
      <w:bookmarkEnd w:id="234"/>
      <w:r w:rsidR="005C3D5A" w:rsidRPr="009F6D1E">
        <w:rPr>
          <w:rFonts w:eastAsia="Times New Roman" w:cs="Times New Roman"/>
          <w:sz w:val="28"/>
          <w:szCs w:val="28"/>
        </w:rPr>
        <w:t>:</w:t>
      </w:r>
      <w:r w:rsidRPr="009F6D1E">
        <w:rPr>
          <w:rFonts w:eastAsia="Times New Roman" w:cs="Times New Roman"/>
          <w:sz w:val="28"/>
          <w:szCs w:val="28"/>
        </w:rPr>
        <w:t xml:space="preserve"> </w:t>
      </w:r>
    </w:p>
    <w:p w14:paraId="76D58BB3"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Оценката на химичното състояние на повърхностните води се извършва по установените концентрации на приоритетни вещества в съответствие със списъка и стандартите в Директива 2008/105/ЕО за СКОС на приоритетни вещества и някои други замърсители.</w:t>
      </w:r>
    </w:p>
    <w:p w14:paraId="795D5706" w14:textId="77777777" w:rsidR="00864CF0" w:rsidRPr="009F6D1E" w:rsidRDefault="00864CF0"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Химичното състояние на повърхностните водни тела се оценява в два класа - добро и лошо, които се изобразяват съответно със син и червен цвят.</w:t>
      </w:r>
    </w:p>
    <w:p w14:paraId="0CE06AE8" w14:textId="77777777" w:rsidR="00864CF0" w:rsidRPr="009F6D1E" w:rsidRDefault="00864CF0" w:rsidP="0084747F">
      <w:pPr>
        <w:tabs>
          <w:tab w:val="left" w:pos="993"/>
        </w:tabs>
        <w:spacing w:after="60" w:line="264" w:lineRule="auto"/>
        <w:ind w:firstLine="720"/>
        <w:jc w:val="both"/>
        <w:rPr>
          <w:rFonts w:eastAsia="Times New Roman" w:cs="Times New Roman"/>
          <w:i/>
          <w:szCs w:val="24"/>
        </w:rPr>
      </w:pPr>
      <w:r w:rsidRPr="009F6D1E">
        <w:rPr>
          <w:rFonts w:eastAsia="Times New Roman" w:cs="Times New Roman"/>
          <w:szCs w:val="24"/>
        </w:rPr>
        <w:t xml:space="preserve">Оценката на химичното състояние на повърхностните води, направена в ПУРБ на БДДР показва, че от общо 256 ПВТ на територията на Дунавския район, 165 водни тела (64.45%) са в добро химично състояние, 6 (2.34%)  водни тела са в не достигащо добро и 85 (33.2%) не са оценени и са определени в неизвестно химично състояние. Причините за липсата на оценка на химичното състояние на значителен процент от водните тела и определянето им в неизвестно химично състояние, е факта, че за 90% от тези водни тела липсват данни за мониторинг на приоритетни вещества, а останалите 10% са в процес на определяне на състоянието, поради очакване на резултати от мониторинга на </w:t>
      </w:r>
      <w:proofErr w:type="spellStart"/>
      <w:r w:rsidRPr="009F6D1E">
        <w:rPr>
          <w:rFonts w:eastAsia="Times New Roman" w:cs="Times New Roman"/>
          <w:szCs w:val="24"/>
        </w:rPr>
        <w:t>биота</w:t>
      </w:r>
      <w:proofErr w:type="spellEnd"/>
      <w:r w:rsidRPr="009F6D1E">
        <w:rPr>
          <w:rFonts w:eastAsia="Times New Roman" w:cs="Times New Roman"/>
          <w:szCs w:val="24"/>
        </w:rPr>
        <w:t xml:space="preserve"> и седимент.</w:t>
      </w:r>
    </w:p>
    <w:p w14:paraId="18720526" w14:textId="2F8F17FC" w:rsidR="00864CF0" w:rsidRDefault="00864CF0" w:rsidP="0084747F">
      <w:pPr>
        <w:spacing w:after="60" w:line="264" w:lineRule="auto"/>
        <w:ind w:firstLine="708"/>
        <w:jc w:val="both"/>
        <w:rPr>
          <w:rFonts w:eastAsia="Times New Roman" w:cs="Times New Roman"/>
          <w:szCs w:val="24"/>
        </w:rPr>
      </w:pPr>
      <w:r w:rsidRPr="009F6D1E">
        <w:rPr>
          <w:rFonts w:eastAsia="Times New Roman" w:cs="Times New Roman"/>
          <w:szCs w:val="24"/>
        </w:rPr>
        <w:t>Съгласно, изготвената междинна оценка към 2020 г. на територията на БДДР се намират 8 повърхностните водни тела, определени в лошо химично състояние. (</w:t>
      </w:r>
      <w:r>
        <w:fldChar w:fldCharType="begin"/>
      </w:r>
      <w:r>
        <w:instrText xml:space="preserve"> REF _Ref97393172 \h  \* MERGEFORMAT </w:instrText>
      </w:r>
      <w:r>
        <w:fldChar w:fldCharType="separate"/>
      </w:r>
      <w:r w:rsidR="00A43EF3" w:rsidRPr="00A43EF3">
        <w:rPr>
          <w:rFonts w:eastAsia="Times New Roman" w:cs="Times New Roman"/>
          <w:szCs w:val="24"/>
        </w:rPr>
        <w:t>Таблица 5</w:t>
      </w:r>
      <w:r>
        <w:fldChar w:fldCharType="end"/>
      </w:r>
      <w:r w:rsidRPr="009F6D1E">
        <w:rPr>
          <w:rFonts w:eastAsia="Times New Roman" w:cs="Times New Roman"/>
          <w:szCs w:val="24"/>
        </w:rPr>
        <w:t>)</w:t>
      </w:r>
      <w:r w:rsidR="00FB1106" w:rsidRPr="009F6D1E">
        <w:rPr>
          <w:rFonts w:eastAsia="Times New Roman" w:cs="Times New Roman"/>
          <w:szCs w:val="24"/>
        </w:rPr>
        <w:t>.</w:t>
      </w:r>
    </w:p>
    <w:p w14:paraId="525D9CC1" w14:textId="6C5367C2" w:rsidR="00602ACA" w:rsidRDefault="00602ACA" w:rsidP="0084747F">
      <w:pPr>
        <w:spacing w:after="60" w:line="264" w:lineRule="auto"/>
        <w:ind w:firstLine="708"/>
        <w:jc w:val="both"/>
        <w:rPr>
          <w:rFonts w:eastAsia="Times New Roman" w:cs="Times New Roman"/>
          <w:szCs w:val="24"/>
        </w:rPr>
      </w:pPr>
    </w:p>
    <w:p w14:paraId="56C080E6" w14:textId="77777777" w:rsidR="00602ACA" w:rsidRPr="009F6D1E" w:rsidRDefault="00602ACA" w:rsidP="0084747F">
      <w:pPr>
        <w:spacing w:after="60" w:line="264" w:lineRule="auto"/>
        <w:ind w:firstLine="708"/>
        <w:jc w:val="both"/>
        <w:rPr>
          <w:rFonts w:eastAsia="Times New Roman" w:cs="Times New Roman"/>
          <w:szCs w:val="24"/>
        </w:rPr>
      </w:pPr>
    </w:p>
    <w:p w14:paraId="693C457D" w14:textId="0FC8033C" w:rsidR="00864CF0" w:rsidRPr="009F6D1E" w:rsidRDefault="00FB1106" w:rsidP="0084747F">
      <w:pPr>
        <w:pStyle w:val="Caption"/>
        <w:spacing w:after="60" w:line="264" w:lineRule="auto"/>
      </w:pPr>
      <w:bookmarkStart w:id="235" w:name="_Ref97393172"/>
      <w:bookmarkStart w:id="236" w:name="_Toc115255156"/>
      <w:r w:rsidRPr="009F6D1E">
        <w:lastRenderedPageBreak/>
        <w:t xml:space="preserve">Таблица </w:t>
      </w:r>
      <w:fldSimple w:instr=" SEQ Таблица \* ARABIC ">
        <w:r w:rsidR="00A43EF3">
          <w:rPr>
            <w:noProof/>
          </w:rPr>
          <w:t>5</w:t>
        </w:r>
      </w:fldSimple>
      <w:bookmarkEnd w:id="235"/>
      <w:r w:rsidRPr="009F6D1E">
        <w:t xml:space="preserve">: </w:t>
      </w:r>
      <w:r w:rsidR="00864CF0" w:rsidRPr="009F6D1E">
        <w:t>Повърхностни водни тела, определени в лошо химично състояние, съгласно междинна оценка на БДДР за периода 2019 - 2020 г.</w:t>
      </w:r>
      <w:bookmarkEnd w:id="236"/>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43" w:type="dxa"/>
          <w:bottom w:w="43" w:type="dxa"/>
          <w:right w:w="43" w:type="dxa"/>
        </w:tblCellMar>
        <w:tblLook w:val="0000" w:firstRow="0" w:lastRow="0" w:firstColumn="0" w:lastColumn="0" w:noHBand="0" w:noVBand="0"/>
      </w:tblPr>
      <w:tblGrid>
        <w:gridCol w:w="287"/>
        <w:gridCol w:w="1068"/>
        <w:gridCol w:w="1625"/>
        <w:gridCol w:w="5424"/>
        <w:gridCol w:w="1224"/>
      </w:tblGrid>
      <w:tr w:rsidR="00864CF0" w:rsidRPr="009F6D1E" w14:paraId="0BAB34A3" w14:textId="77777777" w:rsidTr="008476EA">
        <w:trPr>
          <w:trHeight w:hRule="exact" w:val="518"/>
          <w:tblHeader/>
          <w:jc w:val="center"/>
        </w:trPr>
        <w:tc>
          <w:tcPr>
            <w:tcW w:w="0" w:type="auto"/>
            <w:shd w:val="pct20" w:color="auto" w:fill="FFFFFF"/>
            <w:vAlign w:val="center"/>
          </w:tcPr>
          <w:p w14:paraId="4842BF93" w14:textId="77777777" w:rsidR="00864CF0" w:rsidRPr="009F6D1E" w:rsidRDefault="00864CF0" w:rsidP="0084747F">
            <w:pPr>
              <w:tabs>
                <w:tab w:val="left" w:pos="993"/>
              </w:tabs>
              <w:spacing w:after="60" w:line="264" w:lineRule="auto"/>
              <w:jc w:val="center"/>
              <w:rPr>
                <w:rFonts w:eastAsia="Microsoft Sans Serif" w:cs="Times New Roman"/>
                <w:b/>
                <w:color w:val="000000"/>
                <w:sz w:val="20"/>
                <w:szCs w:val="20"/>
                <w:lang w:bidi="en-US"/>
              </w:rPr>
            </w:pPr>
            <w:r w:rsidRPr="009F6D1E">
              <w:rPr>
                <w:rFonts w:eastAsia="Microsoft Sans Serif" w:cs="Times New Roman"/>
                <w:b/>
                <w:color w:val="000000"/>
                <w:sz w:val="20"/>
                <w:szCs w:val="20"/>
                <w:lang w:bidi="en-US"/>
              </w:rPr>
              <w:t>№</w:t>
            </w:r>
          </w:p>
        </w:tc>
        <w:tc>
          <w:tcPr>
            <w:tcW w:w="0" w:type="auto"/>
            <w:shd w:val="pct20" w:color="auto" w:fill="FFFFFF"/>
            <w:vAlign w:val="center"/>
          </w:tcPr>
          <w:p w14:paraId="43BC4B36" w14:textId="77777777" w:rsidR="00864CF0" w:rsidRPr="009F6D1E" w:rsidRDefault="00864CF0" w:rsidP="0084747F">
            <w:pPr>
              <w:tabs>
                <w:tab w:val="left" w:pos="993"/>
              </w:tabs>
              <w:spacing w:after="60" w:line="264" w:lineRule="auto"/>
              <w:jc w:val="center"/>
              <w:rPr>
                <w:rFonts w:eastAsia="Microsoft Sans Serif" w:cs="Times New Roman"/>
                <w:b/>
                <w:color w:val="000000"/>
                <w:sz w:val="20"/>
                <w:szCs w:val="20"/>
                <w:lang w:bidi="en-US"/>
              </w:rPr>
            </w:pPr>
            <w:r w:rsidRPr="009F6D1E">
              <w:rPr>
                <w:rFonts w:eastAsia="Microsoft Sans Serif" w:cs="Times New Roman"/>
                <w:b/>
                <w:color w:val="000000"/>
                <w:sz w:val="20"/>
                <w:szCs w:val="20"/>
                <w:lang w:bidi="en-US"/>
              </w:rPr>
              <w:t>Поречие</w:t>
            </w:r>
          </w:p>
        </w:tc>
        <w:tc>
          <w:tcPr>
            <w:tcW w:w="0" w:type="auto"/>
            <w:shd w:val="pct20" w:color="auto" w:fill="FFFFFF"/>
            <w:vAlign w:val="center"/>
          </w:tcPr>
          <w:p w14:paraId="299E242B" w14:textId="77777777" w:rsidR="00864CF0" w:rsidRPr="009F6D1E" w:rsidRDefault="00864CF0" w:rsidP="0084747F">
            <w:pPr>
              <w:tabs>
                <w:tab w:val="left" w:pos="993"/>
              </w:tabs>
              <w:spacing w:after="60" w:line="264" w:lineRule="auto"/>
              <w:jc w:val="center"/>
              <w:rPr>
                <w:rFonts w:eastAsia="Microsoft Sans Serif" w:cs="Times New Roman"/>
                <w:b/>
                <w:color w:val="000000"/>
                <w:sz w:val="20"/>
                <w:szCs w:val="20"/>
                <w:lang w:bidi="en-US"/>
              </w:rPr>
            </w:pPr>
            <w:r w:rsidRPr="009F6D1E">
              <w:rPr>
                <w:rFonts w:eastAsia="Microsoft Sans Serif" w:cs="Times New Roman"/>
                <w:b/>
                <w:color w:val="000000"/>
                <w:sz w:val="20"/>
                <w:szCs w:val="20"/>
                <w:lang w:bidi="en-US"/>
              </w:rPr>
              <w:t>Код на водно тяло</w:t>
            </w:r>
          </w:p>
        </w:tc>
        <w:tc>
          <w:tcPr>
            <w:tcW w:w="0" w:type="auto"/>
            <w:shd w:val="pct20" w:color="auto" w:fill="FFFFFF"/>
            <w:vAlign w:val="center"/>
          </w:tcPr>
          <w:p w14:paraId="32DE5F63" w14:textId="77777777" w:rsidR="00864CF0" w:rsidRPr="009F6D1E" w:rsidRDefault="00864CF0" w:rsidP="0084747F">
            <w:pPr>
              <w:tabs>
                <w:tab w:val="left" w:pos="993"/>
              </w:tabs>
              <w:spacing w:after="60" w:line="264" w:lineRule="auto"/>
              <w:jc w:val="center"/>
              <w:rPr>
                <w:rFonts w:eastAsia="Microsoft Sans Serif" w:cs="Times New Roman"/>
                <w:b/>
                <w:color w:val="000000"/>
                <w:sz w:val="20"/>
                <w:szCs w:val="20"/>
                <w:lang w:bidi="en-US"/>
              </w:rPr>
            </w:pPr>
            <w:r w:rsidRPr="009F6D1E">
              <w:rPr>
                <w:rFonts w:eastAsia="Microsoft Sans Serif" w:cs="Times New Roman"/>
                <w:b/>
                <w:color w:val="000000"/>
                <w:sz w:val="20"/>
                <w:szCs w:val="20"/>
                <w:lang w:bidi="en-US"/>
              </w:rPr>
              <w:t>Географско описание на водното тяло</w:t>
            </w:r>
          </w:p>
        </w:tc>
        <w:tc>
          <w:tcPr>
            <w:tcW w:w="0" w:type="auto"/>
            <w:shd w:val="pct20" w:color="auto" w:fill="FFFFFF"/>
            <w:vAlign w:val="center"/>
          </w:tcPr>
          <w:p w14:paraId="17FE23AC" w14:textId="77777777" w:rsidR="00864CF0" w:rsidRPr="009F6D1E" w:rsidRDefault="00864CF0" w:rsidP="0084747F">
            <w:pPr>
              <w:tabs>
                <w:tab w:val="left" w:pos="993"/>
              </w:tabs>
              <w:spacing w:after="60" w:line="264" w:lineRule="auto"/>
              <w:jc w:val="center"/>
              <w:rPr>
                <w:rFonts w:eastAsia="Microsoft Sans Serif" w:cs="Times New Roman"/>
                <w:b/>
                <w:color w:val="000000"/>
                <w:sz w:val="20"/>
                <w:szCs w:val="20"/>
                <w:lang w:bidi="en-US"/>
              </w:rPr>
            </w:pPr>
            <w:r w:rsidRPr="009F6D1E">
              <w:rPr>
                <w:rFonts w:eastAsia="Microsoft Sans Serif" w:cs="Times New Roman"/>
                <w:b/>
                <w:color w:val="000000"/>
                <w:sz w:val="20"/>
                <w:szCs w:val="20"/>
                <w:lang w:bidi="en-US"/>
              </w:rPr>
              <w:t>Химично състояние</w:t>
            </w:r>
          </w:p>
        </w:tc>
      </w:tr>
      <w:tr w:rsidR="00864CF0" w:rsidRPr="009F6D1E" w14:paraId="6E1977E9" w14:textId="77777777" w:rsidTr="008476EA">
        <w:trPr>
          <w:trHeight w:hRule="exact" w:val="725"/>
          <w:jc w:val="center"/>
        </w:trPr>
        <w:tc>
          <w:tcPr>
            <w:tcW w:w="0" w:type="auto"/>
            <w:shd w:val="clear" w:color="auto" w:fill="FFFFFF"/>
            <w:vAlign w:val="center"/>
          </w:tcPr>
          <w:p w14:paraId="420EF8B4"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1.</w:t>
            </w:r>
          </w:p>
        </w:tc>
        <w:tc>
          <w:tcPr>
            <w:tcW w:w="0" w:type="auto"/>
            <w:shd w:val="clear" w:color="auto" w:fill="FFFFFF"/>
            <w:vAlign w:val="center"/>
          </w:tcPr>
          <w:p w14:paraId="5367E0AA"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Дунав</w:t>
            </w:r>
          </w:p>
        </w:tc>
        <w:tc>
          <w:tcPr>
            <w:tcW w:w="0" w:type="auto"/>
            <w:shd w:val="clear" w:color="auto" w:fill="FFFFFF"/>
            <w:vAlign w:val="center"/>
          </w:tcPr>
          <w:p w14:paraId="5322BA57"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BG1DU000R001</w:t>
            </w:r>
          </w:p>
        </w:tc>
        <w:tc>
          <w:tcPr>
            <w:tcW w:w="0" w:type="auto"/>
            <w:shd w:val="clear" w:color="auto" w:fill="FFFFFF"/>
            <w:vAlign w:val="center"/>
          </w:tcPr>
          <w:p w14:paraId="76537A9D"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Дунав от границата при Ново село до границата при Силистра</w:t>
            </w:r>
          </w:p>
        </w:tc>
        <w:tc>
          <w:tcPr>
            <w:tcW w:w="0" w:type="auto"/>
            <w:shd w:val="clear" w:color="auto" w:fill="FFC000"/>
            <w:vAlign w:val="center"/>
          </w:tcPr>
          <w:p w14:paraId="7B93BF2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416A7B78" w14:textId="77777777" w:rsidTr="008476EA">
        <w:trPr>
          <w:trHeight w:hRule="exact" w:val="752"/>
          <w:jc w:val="center"/>
        </w:trPr>
        <w:tc>
          <w:tcPr>
            <w:tcW w:w="0" w:type="auto"/>
            <w:shd w:val="clear" w:color="auto" w:fill="FFFFFF"/>
            <w:vAlign w:val="center"/>
          </w:tcPr>
          <w:p w14:paraId="621A14C3"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2.</w:t>
            </w:r>
          </w:p>
        </w:tc>
        <w:tc>
          <w:tcPr>
            <w:tcW w:w="0" w:type="auto"/>
            <w:shd w:val="clear" w:color="auto" w:fill="FFFFFF"/>
            <w:vAlign w:val="center"/>
          </w:tcPr>
          <w:p w14:paraId="1D9B651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Искър</w:t>
            </w:r>
          </w:p>
        </w:tc>
        <w:tc>
          <w:tcPr>
            <w:tcW w:w="0" w:type="auto"/>
            <w:shd w:val="clear" w:color="auto" w:fill="FFFFFF"/>
            <w:vAlign w:val="center"/>
          </w:tcPr>
          <w:p w14:paraId="6D810A0D"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BG1IS200R1243</w:t>
            </w:r>
          </w:p>
        </w:tc>
        <w:tc>
          <w:tcPr>
            <w:tcW w:w="0" w:type="auto"/>
            <w:shd w:val="clear" w:color="auto" w:fill="FFFFFF"/>
            <w:vAlign w:val="center"/>
          </w:tcPr>
          <w:p w14:paraId="0A6B7C80"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Малък Искър от вливане на р. Суха при Етрополе до вливане на приток при с. Малък Искър</w:t>
            </w:r>
          </w:p>
        </w:tc>
        <w:tc>
          <w:tcPr>
            <w:tcW w:w="0" w:type="auto"/>
            <w:shd w:val="clear" w:color="auto" w:fill="FFC000"/>
            <w:vAlign w:val="center"/>
          </w:tcPr>
          <w:p w14:paraId="5894040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7F83704D" w14:textId="77777777" w:rsidTr="008476EA">
        <w:trPr>
          <w:trHeight w:hRule="exact" w:val="1112"/>
          <w:jc w:val="center"/>
        </w:trPr>
        <w:tc>
          <w:tcPr>
            <w:tcW w:w="0" w:type="auto"/>
            <w:shd w:val="clear" w:color="auto" w:fill="FFFFFF"/>
            <w:vAlign w:val="center"/>
          </w:tcPr>
          <w:p w14:paraId="2D0F9405"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3.</w:t>
            </w:r>
          </w:p>
        </w:tc>
        <w:tc>
          <w:tcPr>
            <w:tcW w:w="0" w:type="auto"/>
            <w:shd w:val="clear" w:color="auto" w:fill="FFFFFF"/>
            <w:vAlign w:val="center"/>
          </w:tcPr>
          <w:p w14:paraId="49AE4D1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Искър</w:t>
            </w:r>
          </w:p>
        </w:tc>
        <w:tc>
          <w:tcPr>
            <w:tcW w:w="0" w:type="auto"/>
            <w:shd w:val="clear" w:color="auto" w:fill="FFFFFF"/>
            <w:vAlign w:val="center"/>
          </w:tcPr>
          <w:p w14:paraId="3ED0844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BG1IS200R1443</w:t>
            </w:r>
          </w:p>
        </w:tc>
        <w:tc>
          <w:tcPr>
            <w:tcW w:w="0" w:type="auto"/>
            <w:shd w:val="clear" w:color="auto" w:fill="FFFFFF"/>
            <w:vAlign w:val="center"/>
          </w:tcPr>
          <w:p w14:paraId="606FB3F1"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 xml:space="preserve">р. Малък Искър до вливане на р. Суха при Етрополе без 6 </w:t>
            </w:r>
            <w:proofErr w:type="spellStart"/>
            <w:r w:rsidRPr="009F6D1E">
              <w:rPr>
                <w:rFonts w:cs="Times New Roman"/>
                <w:color w:val="000000"/>
                <w:sz w:val="20"/>
                <w:szCs w:val="20"/>
                <w:lang w:bidi="en-US"/>
              </w:rPr>
              <w:t>бр</w:t>
            </w:r>
            <w:proofErr w:type="spellEnd"/>
            <w:r w:rsidRPr="009F6D1E">
              <w:rPr>
                <w:rFonts w:cs="Times New Roman"/>
                <w:color w:val="000000"/>
                <w:sz w:val="20"/>
                <w:szCs w:val="20"/>
                <w:lang w:bidi="en-US"/>
              </w:rPr>
              <w:t xml:space="preserve"> зони питейни обхващащи речни водохващания: Кози дол; Кози дол 1 и 2; </w:t>
            </w:r>
            <w:proofErr w:type="spellStart"/>
            <w:r w:rsidRPr="009F6D1E">
              <w:rPr>
                <w:rFonts w:cs="Times New Roman"/>
                <w:color w:val="000000"/>
                <w:sz w:val="20"/>
                <w:szCs w:val="20"/>
                <w:lang w:bidi="en-US"/>
              </w:rPr>
              <w:t>Влайковица</w:t>
            </w:r>
            <w:proofErr w:type="spellEnd"/>
            <w:r w:rsidRPr="009F6D1E">
              <w:rPr>
                <w:rFonts w:cs="Times New Roman"/>
                <w:color w:val="000000"/>
                <w:sz w:val="20"/>
                <w:szCs w:val="20"/>
                <w:lang w:bidi="en-US"/>
              </w:rPr>
              <w:t>; Стайков дол; Данчов дол; Черешовица; Драгостин</w:t>
            </w:r>
          </w:p>
        </w:tc>
        <w:tc>
          <w:tcPr>
            <w:tcW w:w="0" w:type="auto"/>
            <w:shd w:val="clear" w:color="auto" w:fill="FFC000"/>
            <w:vAlign w:val="center"/>
          </w:tcPr>
          <w:p w14:paraId="38571312"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7E677DF4" w14:textId="77777777" w:rsidTr="008476EA">
        <w:trPr>
          <w:trHeight w:hRule="exact" w:val="896"/>
          <w:jc w:val="center"/>
        </w:trPr>
        <w:tc>
          <w:tcPr>
            <w:tcW w:w="0" w:type="auto"/>
            <w:shd w:val="clear" w:color="auto" w:fill="FFFFFF"/>
            <w:vAlign w:val="center"/>
          </w:tcPr>
          <w:p w14:paraId="70784736"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4.</w:t>
            </w:r>
          </w:p>
        </w:tc>
        <w:tc>
          <w:tcPr>
            <w:tcW w:w="0" w:type="auto"/>
            <w:shd w:val="clear" w:color="auto" w:fill="FFFFFF"/>
            <w:vAlign w:val="center"/>
          </w:tcPr>
          <w:p w14:paraId="5150CB97"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Искър</w:t>
            </w:r>
          </w:p>
        </w:tc>
        <w:tc>
          <w:tcPr>
            <w:tcW w:w="0" w:type="auto"/>
            <w:shd w:val="clear" w:color="auto" w:fill="FFFFFF"/>
            <w:vAlign w:val="center"/>
          </w:tcPr>
          <w:p w14:paraId="239F4C2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BG1IS600R1016</w:t>
            </w:r>
          </w:p>
        </w:tc>
        <w:tc>
          <w:tcPr>
            <w:tcW w:w="0" w:type="auto"/>
            <w:shd w:val="clear" w:color="auto" w:fill="FFFFFF"/>
            <w:vAlign w:val="center"/>
          </w:tcPr>
          <w:p w14:paraId="31385386"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Стари Искър/</w:t>
            </w:r>
            <w:proofErr w:type="spellStart"/>
            <w:r w:rsidRPr="009F6D1E">
              <w:rPr>
                <w:rFonts w:cs="Times New Roman"/>
                <w:color w:val="000000"/>
                <w:sz w:val="20"/>
                <w:szCs w:val="20"/>
                <w:lang w:bidi="en-US"/>
              </w:rPr>
              <w:t>Лесновска</w:t>
            </w:r>
            <w:proofErr w:type="spellEnd"/>
            <w:r w:rsidRPr="009F6D1E">
              <w:rPr>
                <w:rFonts w:cs="Times New Roman"/>
                <w:color w:val="000000"/>
                <w:sz w:val="20"/>
                <w:szCs w:val="20"/>
                <w:lang w:bidi="en-US"/>
              </w:rPr>
              <w:t xml:space="preserve">/ от вливане на </w:t>
            </w:r>
            <w:proofErr w:type="spellStart"/>
            <w:r w:rsidRPr="009F6D1E">
              <w:rPr>
                <w:rFonts w:cs="Times New Roman"/>
                <w:color w:val="000000"/>
                <w:sz w:val="20"/>
                <w:szCs w:val="20"/>
                <w:lang w:bidi="en-US"/>
              </w:rPr>
              <w:t>р.Елешница</w:t>
            </w:r>
            <w:proofErr w:type="spellEnd"/>
            <w:r w:rsidRPr="009F6D1E">
              <w:rPr>
                <w:rFonts w:cs="Times New Roman"/>
                <w:color w:val="000000"/>
                <w:sz w:val="20"/>
                <w:szCs w:val="20"/>
                <w:lang w:bidi="en-US"/>
              </w:rPr>
              <w:t xml:space="preserve"> при Елин Пелин до вливане в р. Искър при Световрачене</w:t>
            </w:r>
          </w:p>
        </w:tc>
        <w:tc>
          <w:tcPr>
            <w:tcW w:w="0" w:type="auto"/>
            <w:shd w:val="clear" w:color="auto" w:fill="FFC000"/>
            <w:vAlign w:val="center"/>
          </w:tcPr>
          <w:p w14:paraId="58E904BC"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1023B544" w14:textId="77777777" w:rsidTr="008476EA">
        <w:trPr>
          <w:trHeight w:hRule="exact" w:val="427"/>
          <w:jc w:val="center"/>
        </w:trPr>
        <w:tc>
          <w:tcPr>
            <w:tcW w:w="0" w:type="auto"/>
            <w:shd w:val="clear" w:color="auto" w:fill="FFFFFF"/>
            <w:vAlign w:val="center"/>
          </w:tcPr>
          <w:p w14:paraId="6357FBCA"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5.</w:t>
            </w:r>
          </w:p>
        </w:tc>
        <w:tc>
          <w:tcPr>
            <w:tcW w:w="0" w:type="auto"/>
            <w:shd w:val="clear" w:color="auto" w:fill="FFFFFF"/>
            <w:vAlign w:val="center"/>
          </w:tcPr>
          <w:p w14:paraId="416361DA"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Русенски Лом</w:t>
            </w:r>
          </w:p>
          <w:p w14:paraId="1CADD07F" w14:textId="77777777" w:rsidR="00FB1106" w:rsidRPr="009F6D1E" w:rsidRDefault="00FB1106" w:rsidP="0084747F">
            <w:pPr>
              <w:tabs>
                <w:tab w:val="left" w:pos="993"/>
              </w:tabs>
              <w:spacing w:after="60" w:line="264" w:lineRule="auto"/>
              <w:jc w:val="center"/>
              <w:rPr>
                <w:rFonts w:cs="Times New Roman"/>
                <w:color w:val="000000"/>
                <w:sz w:val="20"/>
                <w:szCs w:val="20"/>
                <w:lang w:bidi="en-US"/>
              </w:rPr>
            </w:pPr>
          </w:p>
        </w:tc>
        <w:tc>
          <w:tcPr>
            <w:tcW w:w="0" w:type="auto"/>
            <w:shd w:val="clear" w:color="auto" w:fill="FFFFFF"/>
            <w:vAlign w:val="center"/>
          </w:tcPr>
          <w:p w14:paraId="53246BFB"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BG1RL200L1004</w:t>
            </w:r>
          </w:p>
        </w:tc>
        <w:tc>
          <w:tcPr>
            <w:tcW w:w="0" w:type="auto"/>
            <w:shd w:val="clear" w:color="auto" w:fill="FFFFFF"/>
            <w:vAlign w:val="center"/>
          </w:tcPr>
          <w:p w14:paraId="374F5FD7"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язовир Баниска</w:t>
            </w:r>
          </w:p>
        </w:tc>
        <w:tc>
          <w:tcPr>
            <w:tcW w:w="0" w:type="auto"/>
            <w:shd w:val="clear" w:color="auto" w:fill="FFC000"/>
            <w:vAlign w:val="center"/>
          </w:tcPr>
          <w:p w14:paraId="7B1C84E8"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2F6AEF9B" w14:textId="77777777" w:rsidTr="008476EA">
        <w:trPr>
          <w:trHeight w:hRule="exact" w:val="824"/>
          <w:jc w:val="center"/>
        </w:trPr>
        <w:tc>
          <w:tcPr>
            <w:tcW w:w="0" w:type="auto"/>
            <w:shd w:val="clear" w:color="auto" w:fill="FFFFFF"/>
            <w:vAlign w:val="center"/>
          </w:tcPr>
          <w:p w14:paraId="44EDA448"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6.</w:t>
            </w:r>
          </w:p>
        </w:tc>
        <w:tc>
          <w:tcPr>
            <w:tcW w:w="0" w:type="auto"/>
            <w:shd w:val="clear" w:color="auto" w:fill="FFFFFF"/>
            <w:vAlign w:val="center"/>
          </w:tcPr>
          <w:p w14:paraId="6BC428EF"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Западно от Огоста</w:t>
            </w:r>
          </w:p>
        </w:tc>
        <w:tc>
          <w:tcPr>
            <w:tcW w:w="0" w:type="auto"/>
            <w:shd w:val="clear" w:color="auto" w:fill="FFFFFF"/>
            <w:vAlign w:val="center"/>
          </w:tcPr>
          <w:p w14:paraId="5F633D4D"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BG1WO100R001</w:t>
            </w:r>
          </w:p>
        </w:tc>
        <w:tc>
          <w:tcPr>
            <w:tcW w:w="0" w:type="auto"/>
            <w:shd w:val="clear" w:color="auto" w:fill="FFFFFF"/>
            <w:vAlign w:val="center"/>
          </w:tcPr>
          <w:p w14:paraId="7D33A323"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р. Тимок от Брегово до устие</w:t>
            </w:r>
          </w:p>
        </w:tc>
        <w:tc>
          <w:tcPr>
            <w:tcW w:w="0" w:type="auto"/>
            <w:shd w:val="clear" w:color="auto" w:fill="FFC000"/>
            <w:vAlign w:val="center"/>
          </w:tcPr>
          <w:p w14:paraId="410672B2"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2ABC32F0" w14:textId="77777777" w:rsidTr="008476EA">
        <w:trPr>
          <w:trHeight w:hRule="exact" w:val="473"/>
          <w:jc w:val="center"/>
        </w:trPr>
        <w:tc>
          <w:tcPr>
            <w:tcW w:w="0" w:type="auto"/>
            <w:shd w:val="clear" w:color="auto" w:fill="FFFFFF"/>
            <w:vAlign w:val="center"/>
          </w:tcPr>
          <w:p w14:paraId="3476D817"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7.</w:t>
            </w:r>
          </w:p>
        </w:tc>
        <w:tc>
          <w:tcPr>
            <w:tcW w:w="0" w:type="auto"/>
            <w:shd w:val="clear" w:color="auto" w:fill="FFFFFF"/>
            <w:vAlign w:val="center"/>
          </w:tcPr>
          <w:p w14:paraId="4E4CA878"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Янтра</w:t>
            </w:r>
          </w:p>
        </w:tc>
        <w:tc>
          <w:tcPr>
            <w:tcW w:w="0" w:type="auto"/>
            <w:shd w:val="clear" w:color="auto" w:fill="FFFFFF"/>
            <w:vAlign w:val="center"/>
          </w:tcPr>
          <w:p w14:paraId="6DE7F3AF"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BG1YN130R1029</w:t>
            </w:r>
          </w:p>
        </w:tc>
        <w:tc>
          <w:tcPr>
            <w:tcW w:w="0" w:type="auto"/>
            <w:shd w:val="clear" w:color="auto" w:fill="FFFFFF"/>
            <w:vAlign w:val="center"/>
          </w:tcPr>
          <w:p w14:paraId="767C7695"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 xml:space="preserve">р. Янтра от вливане на р. </w:t>
            </w:r>
            <w:proofErr w:type="spellStart"/>
            <w:r w:rsidRPr="009F6D1E">
              <w:rPr>
                <w:rFonts w:cs="Times New Roman"/>
                <w:color w:val="000000"/>
                <w:sz w:val="20"/>
                <w:szCs w:val="20"/>
                <w:lang w:bidi="en-US"/>
              </w:rPr>
              <w:t>Елийска</w:t>
            </w:r>
            <w:proofErr w:type="spellEnd"/>
            <w:r w:rsidRPr="009F6D1E">
              <w:rPr>
                <w:rFonts w:cs="Times New Roman"/>
                <w:color w:val="000000"/>
                <w:sz w:val="20"/>
                <w:szCs w:val="20"/>
                <w:lang w:bidi="en-US"/>
              </w:rPr>
              <w:t xml:space="preserve"> при Полски Тръмбеш до устие</w:t>
            </w:r>
          </w:p>
        </w:tc>
        <w:tc>
          <w:tcPr>
            <w:tcW w:w="0" w:type="auto"/>
            <w:shd w:val="clear" w:color="auto" w:fill="FFC000"/>
            <w:vAlign w:val="center"/>
          </w:tcPr>
          <w:p w14:paraId="1FDE35A1"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r w:rsidR="00864CF0" w:rsidRPr="009F6D1E" w14:paraId="31F90227" w14:textId="77777777" w:rsidTr="008476EA">
        <w:trPr>
          <w:trHeight w:hRule="exact" w:val="770"/>
          <w:jc w:val="center"/>
        </w:trPr>
        <w:tc>
          <w:tcPr>
            <w:tcW w:w="0" w:type="auto"/>
            <w:shd w:val="clear" w:color="auto" w:fill="FFFFFF"/>
            <w:vAlign w:val="center"/>
          </w:tcPr>
          <w:p w14:paraId="10FAE5AD" w14:textId="77777777" w:rsidR="00864CF0" w:rsidRPr="009F6D1E" w:rsidRDefault="008476EA" w:rsidP="0084747F">
            <w:pPr>
              <w:tabs>
                <w:tab w:val="left" w:pos="993"/>
              </w:tabs>
              <w:spacing w:after="60" w:line="264" w:lineRule="auto"/>
              <w:jc w:val="center"/>
              <w:rPr>
                <w:rFonts w:eastAsia="Times New Roman" w:cs="Times New Roman"/>
                <w:sz w:val="20"/>
                <w:szCs w:val="20"/>
              </w:rPr>
            </w:pPr>
            <w:r w:rsidRPr="009F6D1E">
              <w:rPr>
                <w:rFonts w:eastAsia="Times New Roman" w:cs="Times New Roman"/>
                <w:sz w:val="20"/>
                <w:szCs w:val="20"/>
              </w:rPr>
              <w:t>8.</w:t>
            </w:r>
          </w:p>
        </w:tc>
        <w:tc>
          <w:tcPr>
            <w:tcW w:w="0" w:type="auto"/>
            <w:shd w:val="clear" w:color="auto" w:fill="FFFFFF"/>
            <w:vAlign w:val="center"/>
          </w:tcPr>
          <w:p w14:paraId="0449D214"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Янтра</w:t>
            </w:r>
          </w:p>
        </w:tc>
        <w:tc>
          <w:tcPr>
            <w:tcW w:w="0" w:type="auto"/>
            <w:shd w:val="clear" w:color="auto" w:fill="FFFFFF"/>
            <w:vAlign w:val="center"/>
          </w:tcPr>
          <w:p w14:paraId="1F0CED89"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BG1YN400R1003</w:t>
            </w:r>
          </w:p>
        </w:tc>
        <w:tc>
          <w:tcPr>
            <w:tcW w:w="0" w:type="auto"/>
            <w:shd w:val="clear" w:color="auto" w:fill="FFFFFF"/>
            <w:vAlign w:val="center"/>
          </w:tcPr>
          <w:p w14:paraId="4E0150F3" w14:textId="77777777" w:rsidR="00864CF0" w:rsidRPr="009F6D1E" w:rsidRDefault="00864CF0" w:rsidP="0084747F">
            <w:pPr>
              <w:tabs>
                <w:tab w:val="left" w:pos="993"/>
              </w:tabs>
              <w:spacing w:after="60" w:line="264" w:lineRule="auto"/>
              <w:jc w:val="both"/>
              <w:rPr>
                <w:rFonts w:cs="Times New Roman"/>
                <w:color w:val="000000"/>
                <w:sz w:val="20"/>
                <w:szCs w:val="20"/>
                <w:lang w:bidi="en-US"/>
              </w:rPr>
            </w:pPr>
            <w:r w:rsidRPr="009F6D1E">
              <w:rPr>
                <w:rFonts w:cs="Times New Roman"/>
                <w:color w:val="000000"/>
                <w:sz w:val="20"/>
                <w:szCs w:val="20"/>
                <w:lang w:bidi="en-US"/>
              </w:rPr>
              <w:t xml:space="preserve">р. Росица от вливане на р. Видима до язовир Александър Стамболийски, вкл. приток р. </w:t>
            </w:r>
            <w:proofErr w:type="spellStart"/>
            <w:r w:rsidRPr="009F6D1E">
              <w:rPr>
                <w:rFonts w:cs="Times New Roman"/>
                <w:color w:val="000000"/>
                <w:sz w:val="20"/>
                <w:szCs w:val="20"/>
                <w:lang w:bidi="en-US"/>
              </w:rPr>
              <w:t>Чупарата</w:t>
            </w:r>
            <w:proofErr w:type="spellEnd"/>
          </w:p>
        </w:tc>
        <w:tc>
          <w:tcPr>
            <w:tcW w:w="0" w:type="auto"/>
            <w:shd w:val="clear" w:color="auto" w:fill="FFC000"/>
            <w:vAlign w:val="center"/>
          </w:tcPr>
          <w:p w14:paraId="238B4C40" w14:textId="77777777" w:rsidR="00864CF0" w:rsidRPr="009F6D1E" w:rsidRDefault="00864CF0" w:rsidP="0084747F">
            <w:pPr>
              <w:tabs>
                <w:tab w:val="left" w:pos="993"/>
              </w:tabs>
              <w:spacing w:after="60" w:line="264" w:lineRule="auto"/>
              <w:jc w:val="center"/>
              <w:rPr>
                <w:rFonts w:cs="Times New Roman"/>
                <w:color w:val="000000"/>
                <w:sz w:val="20"/>
                <w:szCs w:val="20"/>
                <w:lang w:bidi="en-US"/>
              </w:rPr>
            </w:pPr>
            <w:r w:rsidRPr="009F6D1E">
              <w:rPr>
                <w:rFonts w:cs="Times New Roman"/>
                <w:color w:val="000000"/>
                <w:sz w:val="20"/>
                <w:szCs w:val="20"/>
                <w:lang w:bidi="en-US"/>
              </w:rPr>
              <w:t>лошо</w:t>
            </w:r>
          </w:p>
        </w:tc>
      </w:tr>
    </w:tbl>
    <w:p w14:paraId="38D44FE9" w14:textId="77777777" w:rsidR="00864CF0" w:rsidRPr="009F6D1E" w:rsidRDefault="00864CF0" w:rsidP="0084747F">
      <w:pPr>
        <w:spacing w:after="60" w:line="264" w:lineRule="auto"/>
        <w:jc w:val="right"/>
        <w:rPr>
          <w:rFonts w:cs="Times New Roman"/>
          <w:i/>
        </w:rPr>
      </w:pPr>
      <w:r w:rsidRPr="009F6D1E">
        <w:rPr>
          <w:rFonts w:cs="Times New Roman"/>
          <w:i/>
        </w:rPr>
        <w:t>Източник: БДДР</w:t>
      </w:r>
    </w:p>
    <w:p w14:paraId="440A6AE5" w14:textId="5866D905" w:rsidR="00C15EDD" w:rsidRPr="009F6D1E" w:rsidRDefault="00864CF0" w:rsidP="0084747F">
      <w:pPr>
        <w:spacing w:after="60" w:line="264" w:lineRule="auto"/>
        <w:ind w:firstLine="720"/>
        <w:jc w:val="both"/>
        <w:rPr>
          <w:rFonts w:cs="Times New Roman"/>
          <w:i/>
          <w:szCs w:val="24"/>
          <w:highlight w:val="yellow"/>
        </w:rPr>
        <w:sectPr w:rsidR="00C15EDD" w:rsidRPr="009F6D1E" w:rsidSect="00F92FD2">
          <w:pgSz w:w="11907" w:h="16840" w:code="9"/>
          <w:pgMar w:top="1418" w:right="851" w:bottom="1134" w:left="1418" w:header="709" w:footer="709" w:gutter="0"/>
          <w:cols w:space="720"/>
          <w:docGrid w:linePitch="360"/>
        </w:sectPr>
      </w:pPr>
      <w:r w:rsidRPr="009F6D1E">
        <w:rPr>
          <w:rFonts w:eastAsia="Times New Roman" w:cs="Times New Roman"/>
          <w:szCs w:val="24"/>
        </w:rPr>
        <w:t xml:space="preserve">Оценка на екологичното и химичното състояние на повърхностните водни тела, категория „реки“, съгласно ПУРБ 2016-2021 г., разположени на територията на Басейнова дирекция „Дунавски район” са представени в </w:t>
      </w:r>
      <w:r>
        <w:fldChar w:fldCharType="begin"/>
      </w:r>
      <w:r>
        <w:instrText xml:space="preserve"> REF _Ref97393324 \h  \* MERGEFORMAT </w:instrText>
      </w:r>
      <w:r>
        <w:fldChar w:fldCharType="separate"/>
      </w:r>
      <w:r w:rsidR="00A43EF3" w:rsidRPr="00A43EF3">
        <w:rPr>
          <w:rFonts w:eastAsia="Times New Roman" w:cs="Times New Roman"/>
          <w:szCs w:val="24"/>
        </w:rPr>
        <w:t>Таблица 6</w:t>
      </w:r>
      <w:r>
        <w:fldChar w:fldCharType="end"/>
      </w:r>
      <w:r w:rsidRPr="009F6D1E">
        <w:rPr>
          <w:rFonts w:eastAsia="Times New Roman" w:cs="Times New Roman"/>
          <w:szCs w:val="24"/>
        </w:rPr>
        <w:t>.</w:t>
      </w:r>
    </w:p>
    <w:p w14:paraId="5EB3B772" w14:textId="10AE9EE2" w:rsidR="00EB48C4" w:rsidRPr="009F6D1E" w:rsidRDefault="00FB1106" w:rsidP="0084747F">
      <w:pPr>
        <w:pStyle w:val="Caption"/>
        <w:spacing w:after="60" w:line="264" w:lineRule="auto"/>
      </w:pPr>
      <w:bookmarkStart w:id="237" w:name="_Ref97393324"/>
      <w:bookmarkStart w:id="238" w:name="_Toc115255157"/>
      <w:r w:rsidRPr="009F6D1E">
        <w:lastRenderedPageBreak/>
        <w:t xml:space="preserve">Таблица </w:t>
      </w:r>
      <w:fldSimple w:instr=" SEQ Таблица \* ARABIC ">
        <w:r w:rsidR="00A43EF3">
          <w:rPr>
            <w:noProof/>
          </w:rPr>
          <w:t>6</w:t>
        </w:r>
      </w:fldSimple>
      <w:bookmarkEnd w:id="237"/>
      <w:r w:rsidRPr="009F6D1E">
        <w:t xml:space="preserve">: </w:t>
      </w:r>
      <w:bookmarkStart w:id="239" w:name="bookmark72"/>
      <w:r w:rsidR="00EB48C4" w:rsidRPr="009F6D1E">
        <w:t>Оценка на химично и екологично състояние на повърхностни водни тела, категория „реки“ на територията на Басейнова дирекция</w:t>
      </w:r>
      <w:bookmarkEnd w:id="239"/>
      <w:r w:rsidR="00EB48C4" w:rsidRPr="009F6D1E">
        <w:t xml:space="preserve"> „Дунавски район“, съгласно ПУРБ 2016-2021 г.</w:t>
      </w:r>
      <w:bookmarkEnd w:id="238"/>
    </w:p>
    <w:tbl>
      <w:tblPr>
        <w:tblOverlap w:val="never"/>
        <w:tblW w:w="0" w:type="auto"/>
        <w:tblInd w:w="-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45"/>
        <w:gridCol w:w="1935"/>
        <w:gridCol w:w="7893"/>
        <w:gridCol w:w="2656"/>
        <w:gridCol w:w="1526"/>
      </w:tblGrid>
      <w:tr w:rsidR="00EB48C4" w:rsidRPr="009F6D1E" w14:paraId="6FA82D62" w14:textId="77777777" w:rsidTr="008476EA">
        <w:trPr>
          <w:trHeight w:hRule="exact" w:val="743"/>
          <w:tblHeader/>
        </w:trPr>
        <w:tc>
          <w:tcPr>
            <w:tcW w:w="0" w:type="auto"/>
            <w:shd w:val="pct20" w:color="auto" w:fill="FFFFFF"/>
            <w:vAlign w:val="center"/>
          </w:tcPr>
          <w:p w14:paraId="2F916B9A" w14:textId="77777777" w:rsidR="00EB48C4" w:rsidRPr="009F6D1E" w:rsidRDefault="00EB48C4" w:rsidP="0084747F">
            <w:pPr>
              <w:spacing w:after="60" w:line="264" w:lineRule="auto"/>
              <w:jc w:val="center"/>
              <w:rPr>
                <w:rFonts w:cs="Times New Roman"/>
                <w:b/>
                <w:sz w:val="20"/>
                <w:szCs w:val="20"/>
              </w:rPr>
            </w:pPr>
            <w:r w:rsidRPr="009F6D1E">
              <w:rPr>
                <w:rFonts w:cs="Times New Roman"/>
                <w:b/>
                <w:sz w:val="20"/>
                <w:szCs w:val="20"/>
              </w:rPr>
              <w:t>№</w:t>
            </w:r>
          </w:p>
        </w:tc>
        <w:tc>
          <w:tcPr>
            <w:tcW w:w="0" w:type="auto"/>
            <w:shd w:val="pct20" w:color="auto" w:fill="FFFFFF"/>
            <w:vAlign w:val="center"/>
          </w:tcPr>
          <w:p w14:paraId="78D9CEF4" w14:textId="77777777" w:rsidR="00EB48C4" w:rsidRPr="009F6D1E" w:rsidRDefault="00EB48C4" w:rsidP="0084747F">
            <w:pPr>
              <w:spacing w:after="60" w:line="264" w:lineRule="auto"/>
              <w:ind w:left="180"/>
              <w:jc w:val="center"/>
              <w:rPr>
                <w:rFonts w:cs="Times New Roman"/>
                <w:b/>
                <w:sz w:val="20"/>
                <w:szCs w:val="20"/>
              </w:rPr>
            </w:pPr>
            <w:r w:rsidRPr="009F6D1E">
              <w:rPr>
                <w:rFonts w:cs="Times New Roman"/>
                <w:b/>
                <w:sz w:val="20"/>
                <w:szCs w:val="20"/>
              </w:rPr>
              <w:t>Код на водното тяло</w:t>
            </w:r>
          </w:p>
        </w:tc>
        <w:tc>
          <w:tcPr>
            <w:tcW w:w="0" w:type="auto"/>
            <w:shd w:val="pct20" w:color="auto" w:fill="FFFFFF"/>
            <w:vAlign w:val="center"/>
          </w:tcPr>
          <w:p w14:paraId="56E568F1" w14:textId="77777777" w:rsidR="00EB48C4" w:rsidRPr="009F6D1E" w:rsidRDefault="00EB48C4" w:rsidP="0084747F">
            <w:pPr>
              <w:spacing w:after="60" w:line="264" w:lineRule="auto"/>
              <w:jc w:val="center"/>
              <w:rPr>
                <w:rFonts w:cs="Times New Roman"/>
                <w:b/>
                <w:sz w:val="20"/>
                <w:szCs w:val="20"/>
              </w:rPr>
            </w:pPr>
            <w:r w:rsidRPr="009F6D1E">
              <w:rPr>
                <w:rFonts w:cs="Times New Roman"/>
                <w:b/>
                <w:sz w:val="20"/>
                <w:szCs w:val="20"/>
              </w:rPr>
              <w:t>Географско описание</w:t>
            </w:r>
          </w:p>
        </w:tc>
        <w:tc>
          <w:tcPr>
            <w:tcW w:w="0" w:type="auto"/>
            <w:shd w:val="pct20" w:color="auto" w:fill="FFFFFF"/>
            <w:vAlign w:val="center"/>
          </w:tcPr>
          <w:p w14:paraId="39F7BA98" w14:textId="77777777" w:rsidR="00EB48C4" w:rsidRPr="009F6D1E" w:rsidRDefault="00EB48C4" w:rsidP="0084747F">
            <w:pPr>
              <w:spacing w:after="60" w:line="264" w:lineRule="auto"/>
              <w:jc w:val="center"/>
              <w:rPr>
                <w:rFonts w:cs="Times New Roman"/>
                <w:b/>
                <w:sz w:val="20"/>
                <w:szCs w:val="20"/>
              </w:rPr>
            </w:pPr>
            <w:r w:rsidRPr="009F6D1E">
              <w:rPr>
                <w:rFonts w:cs="Times New Roman"/>
                <w:b/>
                <w:sz w:val="20"/>
                <w:szCs w:val="20"/>
              </w:rPr>
              <w:t>Екологично състояние/потенциал</w:t>
            </w:r>
          </w:p>
        </w:tc>
        <w:tc>
          <w:tcPr>
            <w:tcW w:w="0" w:type="auto"/>
            <w:shd w:val="pct20" w:color="auto" w:fill="FFFFFF"/>
            <w:vAlign w:val="center"/>
          </w:tcPr>
          <w:p w14:paraId="6FBE3946" w14:textId="77777777" w:rsidR="00EB48C4" w:rsidRPr="009F6D1E" w:rsidRDefault="00EB48C4" w:rsidP="0084747F">
            <w:pPr>
              <w:spacing w:after="60" w:line="264" w:lineRule="auto"/>
              <w:jc w:val="center"/>
              <w:rPr>
                <w:rFonts w:cs="Times New Roman"/>
                <w:b/>
                <w:sz w:val="20"/>
                <w:szCs w:val="20"/>
              </w:rPr>
            </w:pPr>
            <w:r w:rsidRPr="009F6D1E">
              <w:rPr>
                <w:rFonts w:cs="Times New Roman"/>
                <w:b/>
                <w:sz w:val="20"/>
                <w:szCs w:val="20"/>
              </w:rPr>
              <w:t>Химично състояние</w:t>
            </w:r>
          </w:p>
        </w:tc>
      </w:tr>
      <w:tr w:rsidR="00EB48C4" w:rsidRPr="009F6D1E" w14:paraId="77E5D3AA" w14:textId="77777777" w:rsidTr="00BA12F4">
        <w:trPr>
          <w:trHeight w:hRule="exact" w:val="221"/>
        </w:trPr>
        <w:tc>
          <w:tcPr>
            <w:tcW w:w="0" w:type="auto"/>
            <w:gridSpan w:val="5"/>
            <w:shd w:val="clear" w:color="auto" w:fill="F2F2F2" w:themeFill="background1" w:themeFillShade="F2"/>
            <w:vAlign w:val="bottom"/>
          </w:tcPr>
          <w:p w14:paraId="21E20BA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ДУНАВ</w:t>
            </w:r>
          </w:p>
        </w:tc>
      </w:tr>
      <w:tr w:rsidR="00EB48C4" w:rsidRPr="009F6D1E" w14:paraId="4327B751" w14:textId="77777777" w:rsidTr="00FB1106">
        <w:trPr>
          <w:trHeight w:hRule="exact" w:val="487"/>
        </w:trPr>
        <w:tc>
          <w:tcPr>
            <w:tcW w:w="0" w:type="auto"/>
            <w:shd w:val="clear" w:color="auto" w:fill="FFFFFF"/>
            <w:vAlign w:val="bottom"/>
          </w:tcPr>
          <w:p w14:paraId="46F62455"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w:t>
            </w:r>
          </w:p>
        </w:tc>
        <w:tc>
          <w:tcPr>
            <w:tcW w:w="0" w:type="auto"/>
            <w:shd w:val="clear" w:color="auto" w:fill="FFFFFF"/>
            <w:vAlign w:val="bottom"/>
          </w:tcPr>
          <w:p w14:paraId="6BDCA938"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BG1DU000R001</w:t>
            </w:r>
          </w:p>
        </w:tc>
        <w:tc>
          <w:tcPr>
            <w:tcW w:w="0" w:type="auto"/>
            <w:shd w:val="clear" w:color="auto" w:fill="FFFFFF"/>
            <w:vAlign w:val="bottom"/>
          </w:tcPr>
          <w:p w14:paraId="0B54A91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Дунав от границата при Ново село до границата при Силистра</w:t>
            </w:r>
          </w:p>
        </w:tc>
        <w:tc>
          <w:tcPr>
            <w:tcW w:w="0" w:type="auto"/>
            <w:shd w:val="clear" w:color="auto" w:fill="FFFFFF"/>
            <w:vAlign w:val="bottom"/>
          </w:tcPr>
          <w:p w14:paraId="49E829A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6A93CCE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404FDFDD" w14:textId="77777777" w:rsidTr="00BA12F4">
        <w:trPr>
          <w:trHeight w:hRule="exact" w:val="221"/>
        </w:trPr>
        <w:tc>
          <w:tcPr>
            <w:tcW w:w="0" w:type="auto"/>
            <w:gridSpan w:val="5"/>
            <w:shd w:val="clear" w:color="auto" w:fill="F2F2F2" w:themeFill="background1" w:themeFillShade="F2"/>
            <w:vAlign w:val="bottom"/>
          </w:tcPr>
          <w:p w14:paraId="65B087A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ПОРЕЧИЕ ОГОСТА /основни поречия/</w:t>
            </w:r>
          </w:p>
        </w:tc>
      </w:tr>
      <w:tr w:rsidR="00EB48C4" w:rsidRPr="009F6D1E" w14:paraId="48176017" w14:textId="77777777" w:rsidTr="00FB1106">
        <w:trPr>
          <w:trHeight w:hRule="exact" w:val="379"/>
        </w:trPr>
        <w:tc>
          <w:tcPr>
            <w:tcW w:w="0" w:type="auto"/>
            <w:shd w:val="clear" w:color="auto" w:fill="FFFFFF"/>
            <w:vAlign w:val="bottom"/>
          </w:tcPr>
          <w:p w14:paraId="534BF9D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w:t>
            </w:r>
          </w:p>
        </w:tc>
        <w:tc>
          <w:tcPr>
            <w:tcW w:w="0" w:type="auto"/>
            <w:shd w:val="clear" w:color="auto" w:fill="FFFFFF"/>
            <w:vAlign w:val="bottom"/>
          </w:tcPr>
          <w:p w14:paraId="24BCEE7F"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BG1OG100R014</w:t>
            </w:r>
          </w:p>
        </w:tc>
        <w:tc>
          <w:tcPr>
            <w:tcW w:w="0" w:type="auto"/>
            <w:shd w:val="clear" w:color="auto" w:fill="FFFFFF"/>
            <w:vAlign w:val="bottom"/>
          </w:tcPr>
          <w:p w14:paraId="7F1650D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Огоста от вливане на р. Скът при Сараево до устие</w:t>
            </w:r>
          </w:p>
        </w:tc>
        <w:tc>
          <w:tcPr>
            <w:tcW w:w="0" w:type="auto"/>
            <w:shd w:val="clear" w:color="auto" w:fill="FFFFFF"/>
            <w:vAlign w:val="bottom"/>
          </w:tcPr>
          <w:p w14:paraId="1628CFC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36B7E6A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A009C82" w14:textId="77777777" w:rsidTr="00FB1106">
        <w:trPr>
          <w:trHeight w:hRule="exact" w:val="491"/>
        </w:trPr>
        <w:tc>
          <w:tcPr>
            <w:tcW w:w="0" w:type="auto"/>
            <w:shd w:val="clear" w:color="auto" w:fill="FFFFFF"/>
            <w:vAlign w:val="bottom"/>
          </w:tcPr>
          <w:p w14:paraId="43CE35A3" w14:textId="77777777" w:rsidR="00EB48C4" w:rsidRPr="009F6D1E" w:rsidRDefault="00EB48C4" w:rsidP="0084747F">
            <w:pPr>
              <w:spacing w:after="60" w:line="264" w:lineRule="auto"/>
              <w:rPr>
                <w:rFonts w:eastAsia="Times New Roman" w:cs="Times New Roman"/>
                <w:color w:val="000000"/>
                <w:sz w:val="20"/>
                <w:szCs w:val="20"/>
                <w:lang w:eastAsia="bg-BG"/>
              </w:rPr>
            </w:pPr>
            <w:r w:rsidRPr="009F6D1E">
              <w:rPr>
                <w:rFonts w:eastAsia="Times New Roman" w:cs="Times New Roman"/>
                <w:color w:val="000000"/>
                <w:sz w:val="20"/>
                <w:szCs w:val="20"/>
                <w:lang w:eastAsia="bg-BG"/>
              </w:rPr>
              <w:t>2</w:t>
            </w:r>
          </w:p>
        </w:tc>
        <w:tc>
          <w:tcPr>
            <w:tcW w:w="0" w:type="auto"/>
            <w:shd w:val="clear" w:color="auto" w:fill="FFFFFF"/>
          </w:tcPr>
          <w:p w14:paraId="58EC7B8A" w14:textId="77777777" w:rsidR="00EB48C4" w:rsidRPr="009F6D1E" w:rsidRDefault="00EB48C4" w:rsidP="0084747F">
            <w:pPr>
              <w:spacing w:after="60" w:line="264" w:lineRule="auto"/>
              <w:rPr>
                <w:rFonts w:eastAsia="Times New Roman" w:cs="Times New Roman"/>
                <w:color w:val="000000"/>
                <w:sz w:val="20"/>
                <w:szCs w:val="20"/>
                <w:lang w:eastAsia="bg-BG"/>
              </w:rPr>
            </w:pPr>
            <w:r w:rsidRPr="009F6D1E">
              <w:rPr>
                <w:rFonts w:eastAsia="Times New Roman" w:cs="Times New Roman"/>
                <w:color w:val="000000"/>
                <w:sz w:val="20"/>
                <w:szCs w:val="20"/>
                <w:lang w:eastAsia="bg-BG"/>
              </w:rPr>
              <w:t>BG1OG307R1013</w:t>
            </w:r>
          </w:p>
        </w:tc>
        <w:tc>
          <w:tcPr>
            <w:tcW w:w="0" w:type="auto"/>
            <w:shd w:val="clear" w:color="auto" w:fill="FFFFFF"/>
          </w:tcPr>
          <w:p w14:paraId="034C485C" w14:textId="77777777" w:rsidR="00EB48C4" w:rsidRPr="009F6D1E" w:rsidRDefault="00EB48C4" w:rsidP="0084747F">
            <w:pPr>
              <w:spacing w:after="60" w:line="264" w:lineRule="auto"/>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р. Огоста от вливане на р. </w:t>
            </w:r>
            <w:proofErr w:type="spellStart"/>
            <w:r w:rsidRPr="009F6D1E">
              <w:rPr>
                <w:rFonts w:eastAsia="Times New Roman" w:cs="Times New Roman"/>
                <w:color w:val="000000"/>
                <w:sz w:val="20"/>
                <w:szCs w:val="20"/>
                <w:lang w:eastAsia="bg-BG"/>
              </w:rPr>
              <w:t>Рибене</w:t>
            </w:r>
            <w:proofErr w:type="spellEnd"/>
            <w:r w:rsidRPr="009F6D1E">
              <w:rPr>
                <w:rFonts w:eastAsia="Times New Roman" w:cs="Times New Roman"/>
                <w:color w:val="000000"/>
                <w:sz w:val="20"/>
                <w:szCs w:val="20"/>
                <w:lang w:eastAsia="bg-BG"/>
              </w:rPr>
              <w:t xml:space="preserve"> при Бели брод до вливане на р. Скът при Сараево</w:t>
            </w:r>
          </w:p>
        </w:tc>
        <w:tc>
          <w:tcPr>
            <w:tcW w:w="0" w:type="auto"/>
            <w:shd w:val="clear" w:color="auto" w:fill="FFFFFF"/>
          </w:tcPr>
          <w:p w14:paraId="2080A221" w14:textId="77777777" w:rsidR="00EB48C4" w:rsidRPr="009F6D1E" w:rsidRDefault="00EB48C4"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добро</w:t>
            </w:r>
          </w:p>
        </w:tc>
        <w:tc>
          <w:tcPr>
            <w:tcW w:w="0" w:type="auto"/>
            <w:shd w:val="clear" w:color="auto" w:fill="FFFFFF"/>
          </w:tcPr>
          <w:p w14:paraId="01D88205" w14:textId="77777777" w:rsidR="00EB48C4" w:rsidRPr="009F6D1E" w:rsidRDefault="00EB48C4"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не достигащо добро</w:t>
            </w:r>
          </w:p>
        </w:tc>
      </w:tr>
      <w:tr w:rsidR="00EB48C4" w:rsidRPr="009F6D1E" w14:paraId="1F620841" w14:textId="77777777" w:rsidTr="00FB1106">
        <w:trPr>
          <w:trHeight w:hRule="exact" w:val="221"/>
        </w:trPr>
        <w:tc>
          <w:tcPr>
            <w:tcW w:w="0" w:type="auto"/>
            <w:shd w:val="clear" w:color="auto" w:fill="FFFFFF"/>
          </w:tcPr>
          <w:p w14:paraId="348104E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w:t>
            </w:r>
          </w:p>
        </w:tc>
        <w:tc>
          <w:tcPr>
            <w:tcW w:w="0" w:type="auto"/>
            <w:shd w:val="clear" w:color="auto" w:fill="FFFFFF"/>
          </w:tcPr>
          <w:p w14:paraId="54A56B41"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BG1OG307R1213</w:t>
            </w:r>
          </w:p>
        </w:tc>
        <w:tc>
          <w:tcPr>
            <w:tcW w:w="0" w:type="auto"/>
            <w:shd w:val="clear" w:color="auto" w:fill="FFFFFF"/>
          </w:tcPr>
          <w:p w14:paraId="691080F1"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Огоста след язовир Огоста до вливане на р. Ботуня при Бойчиновци</w:t>
            </w:r>
          </w:p>
        </w:tc>
        <w:tc>
          <w:tcPr>
            <w:tcW w:w="0" w:type="auto"/>
            <w:shd w:val="clear" w:color="auto" w:fill="FFFFFF"/>
          </w:tcPr>
          <w:p w14:paraId="392F7FB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E431AA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FACDDE0" w14:textId="77777777" w:rsidTr="00FB1106">
        <w:trPr>
          <w:trHeight w:hRule="exact" w:val="221"/>
        </w:trPr>
        <w:tc>
          <w:tcPr>
            <w:tcW w:w="0" w:type="auto"/>
            <w:shd w:val="clear" w:color="auto" w:fill="FFFFFF"/>
          </w:tcPr>
          <w:p w14:paraId="0EE3771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w:t>
            </w:r>
          </w:p>
        </w:tc>
        <w:tc>
          <w:tcPr>
            <w:tcW w:w="0" w:type="auto"/>
            <w:shd w:val="clear" w:color="auto" w:fill="FFFFFF"/>
          </w:tcPr>
          <w:p w14:paraId="475B654C"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BG1OG307R1313</w:t>
            </w:r>
          </w:p>
        </w:tc>
        <w:tc>
          <w:tcPr>
            <w:tcW w:w="0" w:type="auto"/>
            <w:shd w:val="clear" w:color="auto" w:fill="FFFFFF"/>
          </w:tcPr>
          <w:p w14:paraId="1849EF3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Огоста от вливане на р. Ботуня при Бойчиновци до вливане на р. </w:t>
            </w:r>
            <w:proofErr w:type="spellStart"/>
            <w:r w:rsidRPr="009F6D1E">
              <w:rPr>
                <w:rFonts w:cs="Times New Roman"/>
                <w:sz w:val="20"/>
                <w:szCs w:val="20"/>
              </w:rPr>
              <w:t>Рибене</w:t>
            </w:r>
            <w:proofErr w:type="spellEnd"/>
            <w:r w:rsidRPr="009F6D1E">
              <w:rPr>
                <w:rFonts w:cs="Times New Roman"/>
                <w:sz w:val="20"/>
                <w:szCs w:val="20"/>
              </w:rPr>
              <w:t xml:space="preserve"> при Бели брод</w:t>
            </w:r>
          </w:p>
        </w:tc>
        <w:tc>
          <w:tcPr>
            <w:tcW w:w="0" w:type="auto"/>
            <w:shd w:val="clear" w:color="auto" w:fill="FFFFFF"/>
          </w:tcPr>
          <w:p w14:paraId="676A422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278CF1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75F8D66" w14:textId="77777777" w:rsidTr="00FB1106">
        <w:trPr>
          <w:trHeight w:hRule="exact" w:val="505"/>
        </w:trPr>
        <w:tc>
          <w:tcPr>
            <w:tcW w:w="0" w:type="auto"/>
            <w:shd w:val="clear" w:color="auto" w:fill="FFFFFF"/>
          </w:tcPr>
          <w:p w14:paraId="45C8A96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w:t>
            </w:r>
          </w:p>
        </w:tc>
        <w:tc>
          <w:tcPr>
            <w:tcW w:w="0" w:type="auto"/>
            <w:shd w:val="clear" w:color="auto" w:fill="FFFFFF"/>
          </w:tcPr>
          <w:p w14:paraId="3E188647"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BG1OG789R1001</w:t>
            </w:r>
          </w:p>
        </w:tc>
        <w:tc>
          <w:tcPr>
            <w:tcW w:w="0" w:type="auto"/>
            <w:shd w:val="clear" w:color="auto" w:fill="FFFFFF"/>
          </w:tcPr>
          <w:p w14:paraId="4DE416C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Огоста от вливане на р. </w:t>
            </w:r>
            <w:proofErr w:type="spellStart"/>
            <w:r w:rsidRPr="009F6D1E">
              <w:rPr>
                <w:rFonts w:cs="Times New Roman"/>
                <w:sz w:val="20"/>
                <w:szCs w:val="20"/>
              </w:rPr>
              <w:t>Дългоделска</w:t>
            </w:r>
            <w:proofErr w:type="spellEnd"/>
            <w:r w:rsidRPr="009F6D1E">
              <w:rPr>
                <w:rFonts w:cs="Times New Roman"/>
                <w:sz w:val="20"/>
                <w:szCs w:val="20"/>
              </w:rPr>
              <w:t xml:space="preserve"> при Гаврил Геново до язовир Огоста при Горно Церовене</w:t>
            </w:r>
          </w:p>
        </w:tc>
        <w:tc>
          <w:tcPr>
            <w:tcW w:w="0" w:type="auto"/>
            <w:shd w:val="clear" w:color="auto" w:fill="FFFFFF"/>
          </w:tcPr>
          <w:p w14:paraId="424B9B7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9986B7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B35C69C" w14:textId="77777777" w:rsidTr="00FB1106">
        <w:trPr>
          <w:trHeight w:hRule="exact" w:val="482"/>
        </w:trPr>
        <w:tc>
          <w:tcPr>
            <w:tcW w:w="0" w:type="auto"/>
            <w:shd w:val="clear" w:color="auto" w:fill="FFFFFF"/>
            <w:vAlign w:val="bottom"/>
          </w:tcPr>
          <w:p w14:paraId="47C03B6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6</w:t>
            </w:r>
          </w:p>
        </w:tc>
        <w:tc>
          <w:tcPr>
            <w:tcW w:w="0" w:type="auto"/>
            <w:shd w:val="clear" w:color="auto" w:fill="FFFFFF"/>
          </w:tcPr>
          <w:p w14:paraId="34B2A9FE"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BG1OG789R1401</w:t>
            </w:r>
          </w:p>
        </w:tc>
        <w:tc>
          <w:tcPr>
            <w:tcW w:w="0" w:type="auto"/>
            <w:shd w:val="clear" w:color="auto" w:fill="FFFFFF"/>
          </w:tcPr>
          <w:p w14:paraId="4530402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Огоста от вливане на р. </w:t>
            </w:r>
            <w:proofErr w:type="spellStart"/>
            <w:r w:rsidRPr="009F6D1E">
              <w:rPr>
                <w:rFonts w:cs="Times New Roman"/>
                <w:sz w:val="20"/>
                <w:szCs w:val="20"/>
              </w:rPr>
              <w:t>Превалска</w:t>
            </w:r>
            <w:proofErr w:type="spellEnd"/>
            <w:r w:rsidRPr="009F6D1E">
              <w:rPr>
                <w:rFonts w:cs="Times New Roman"/>
                <w:sz w:val="20"/>
                <w:szCs w:val="20"/>
              </w:rPr>
              <w:t xml:space="preserve"> Огоста при Белимел до вливане на р. </w:t>
            </w:r>
            <w:proofErr w:type="spellStart"/>
            <w:r w:rsidRPr="009F6D1E">
              <w:rPr>
                <w:rFonts w:cs="Times New Roman"/>
                <w:sz w:val="20"/>
                <w:szCs w:val="20"/>
              </w:rPr>
              <w:t>Дългоделска</w:t>
            </w:r>
            <w:proofErr w:type="spellEnd"/>
            <w:r w:rsidRPr="009F6D1E">
              <w:rPr>
                <w:rFonts w:cs="Times New Roman"/>
                <w:sz w:val="20"/>
                <w:szCs w:val="20"/>
              </w:rPr>
              <w:t xml:space="preserve"> при Гаврил Геново</w:t>
            </w:r>
          </w:p>
        </w:tc>
        <w:tc>
          <w:tcPr>
            <w:tcW w:w="0" w:type="auto"/>
            <w:shd w:val="clear" w:color="auto" w:fill="FFFFFF"/>
          </w:tcPr>
          <w:p w14:paraId="6718F71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43CB598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36231A0E" w14:textId="77777777" w:rsidTr="00FB1106">
        <w:trPr>
          <w:trHeight w:hRule="exact" w:val="487"/>
        </w:trPr>
        <w:tc>
          <w:tcPr>
            <w:tcW w:w="0" w:type="auto"/>
            <w:shd w:val="clear" w:color="auto" w:fill="FFFFFF"/>
          </w:tcPr>
          <w:p w14:paraId="09114E9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7</w:t>
            </w:r>
          </w:p>
        </w:tc>
        <w:tc>
          <w:tcPr>
            <w:tcW w:w="0" w:type="auto"/>
            <w:shd w:val="clear" w:color="auto" w:fill="FFFFFF"/>
          </w:tcPr>
          <w:p w14:paraId="780039A3"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BG1OG789R1501</w:t>
            </w:r>
          </w:p>
        </w:tc>
        <w:tc>
          <w:tcPr>
            <w:tcW w:w="0" w:type="auto"/>
            <w:shd w:val="clear" w:color="auto" w:fill="FFFFFF"/>
          </w:tcPr>
          <w:p w14:paraId="3BB0130F"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Огоста от Чипровци до вливане на р. </w:t>
            </w:r>
            <w:proofErr w:type="spellStart"/>
            <w:r w:rsidRPr="009F6D1E">
              <w:rPr>
                <w:rFonts w:cs="Times New Roman"/>
                <w:sz w:val="20"/>
                <w:szCs w:val="20"/>
              </w:rPr>
              <w:t>Превалска</w:t>
            </w:r>
            <w:proofErr w:type="spellEnd"/>
            <w:r w:rsidRPr="009F6D1E">
              <w:rPr>
                <w:rFonts w:cs="Times New Roman"/>
                <w:sz w:val="20"/>
                <w:szCs w:val="20"/>
              </w:rPr>
              <w:t xml:space="preserve"> Огоста при Белимел</w:t>
            </w:r>
          </w:p>
        </w:tc>
        <w:tc>
          <w:tcPr>
            <w:tcW w:w="0" w:type="auto"/>
            <w:shd w:val="clear" w:color="auto" w:fill="FFFFFF"/>
          </w:tcPr>
          <w:p w14:paraId="6CD7EF3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3300860B"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785754C2" w14:textId="77777777" w:rsidTr="00BA12F4">
        <w:trPr>
          <w:trHeight w:hRule="exact" w:val="226"/>
        </w:trPr>
        <w:tc>
          <w:tcPr>
            <w:tcW w:w="0" w:type="auto"/>
            <w:gridSpan w:val="5"/>
            <w:shd w:val="clear" w:color="auto" w:fill="F2F2F2" w:themeFill="background1" w:themeFillShade="F2"/>
            <w:vAlign w:val="bottom"/>
          </w:tcPr>
          <w:p w14:paraId="7BAB5E8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РЕКИ, ЗАПАДНО ОТ ОГОСТА</w:t>
            </w:r>
          </w:p>
        </w:tc>
      </w:tr>
      <w:tr w:rsidR="00EB48C4" w:rsidRPr="009F6D1E" w14:paraId="317747A9" w14:textId="77777777" w:rsidTr="00FB1106">
        <w:trPr>
          <w:trHeight w:hRule="exact" w:val="221"/>
        </w:trPr>
        <w:tc>
          <w:tcPr>
            <w:tcW w:w="0" w:type="auto"/>
            <w:shd w:val="clear" w:color="auto" w:fill="FFFFFF"/>
            <w:vAlign w:val="bottom"/>
          </w:tcPr>
          <w:p w14:paraId="495B9B5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8</w:t>
            </w:r>
          </w:p>
        </w:tc>
        <w:tc>
          <w:tcPr>
            <w:tcW w:w="0" w:type="auto"/>
            <w:shd w:val="clear" w:color="auto" w:fill="FFFFFF"/>
          </w:tcPr>
          <w:p w14:paraId="5A629AF0"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BG1WO100R001</w:t>
            </w:r>
          </w:p>
        </w:tc>
        <w:tc>
          <w:tcPr>
            <w:tcW w:w="0" w:type="auto"/>
            <w:shd w:val="clear" w:color="auto" w:fill="FFFFFF"/>
          </w:tcPr>
          <w:p w14:paraId="13DED696"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Тимок от Брегово до устие</w:t>
            </w:r>
          </w:p>
        </w:tc>
        <w:tc>
          <w:tcPr>
            <w:tcW w:w="0" w:type="auto"/>
            <w:shd w:val="clear" w:color="auto" w:fill="FFFFFF"/>
          </w:tcPr>
          <w:p w14:paraId="66DAF37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78BACDD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2103BBD9" w14:textId="77777777" w:rsidTr="00FB1106">
        <w:trPr>
          <w:trHeight w:hRule="exact" w:val="221"/>
        </w:trPr>
        <w:tc>
          <w:tcPr>
            <w:tcW w:w="0" w:type="auto"/>
            <w:shd w:val="clear" w:color="auto" w:fill="FFFFFF"/>
          </w:tcPr>
          <w:p w14:paraId="4804EBC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9</w:t>
            </w:r>
          </w:p>
        </w:tc>
        <w:tc>
          <w:tcPr>
            <w:tcW w:w="0" w:type="auto"/>
            <w:shd w:val="clear" w:color="auto" w:fill="FFFFFF"/>
          </w:tcPr>
          <w:p w14:paraId="7FD6BCEF"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BG1WO200R004</w:t>
            </w:r>
          </w:p>
        </w:tc>
        <w:tc>
          <w:tcPr>
            <w:tcW w:w="0" w:type="auto"/>
            <w:shd w:val="clear" w:color="auto" w:fill="FFFFFF"/>
          </w:tcPr>
          <w:p w14:paraId="6C1B1621"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Тополовец след язовир Кула до устие, вкл. притоци - р. </w:t>
            </w:r>
            <w:proofErr w:type="spellStart"/>
            <w:r w:rsidRPr="009F6D1E">
              <w:rPr>
                <w:rFonts w:cs="Times New Roman"/>
                <w:sz w:val="20"/>
                <w:szCs w:val="20"/>
              </w:rPr>
              <w:t>Делейнска</w:t>
            </w:r>
            <w:proofErr w:type="spellEnd"/>
            <w:r w:rsidRPr="009F6D1E">
              <w:rPr>
                <w:rFonts w:cs="Times New Roman"/>
                <w:sz w:val="20"/>
                <w:szCs w:val="20"/>
              </w:rPr>
              <w:t xml:space="preserve"> и р. </w:t>
            </w:r>
            <w:proofErr w:type="spellStart"/>
            <w:r w:rsidRPr="009F6D1E">
              <w:rPr>
                <w:rFonts w:cs="Times New Roman"/>
                <w:sz w:val="20"/>
                <w:szCs w:val="20"/>
              </w:rPr>
              <w:t>Рабровска</w:t>
            </w:r>
            <w:proofErr w:type="spellEnd"/>
            <w:r w:rsidRPr="009F6D1E">
              <w:rPr>
                <w:rFonts w:cs="Times New Roman"/>
                <w:sz w:val="20"/>
                <w:szCs w:val="20"/>
              </w:rPr>
              <w:t xml:space="preserve"> с Полянска</w:t>
            </w:r>
          </w:p>
        </w:tc>
        <w:tc>
          <w:tcPr>
            <w:tcW w:w="0" w:type="auto"/>
            <w:shd w:val="clear" w:color="auto" w:fill="FFFFFF"/>
          </w:tcPr>
          <w:p w14:paraId="662CF33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57A545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24997FD3" w14:textId="77777777" w:rsidTr="00FB1106">
        <w:trPr>
          <w:trHeight w:hRule="exact" w:val="221"/>
        </w:trPr>
        <w:tc>
          <w:tcPr>
            <w:tcW w:w="0" w:type="auto"/>
            <w:shd w:val="clear" w:color="auto" w:fill="FFFFFF"/>
            <w:vAlign w:val="bottom"/>
          </w:tcPr>
          <w:p w14:paraId="274A268F"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10</w:t>
            </w:r>
          </w:p>
        </w:tc>
        <w:tc>
          <w:tcPr>
            <w:tcW w:w="0" w:type="auto"/>
            <w:shd w:val="clear" w:color="auto" w:fill="FFFFFF"/>
            <w:vAlign w:val="bottom"/>
          </w:tcPr>
          <w:p w14:paraId="62B614AA"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BG1WO300R1007</w:t>
            </w:r>
          </w:p>
        </w:tc>
        <w:tc>
          <w:tcPr>
            <w:tcW w:w="0" w:type="auto"/>
            <w:shd w:val="clear" w:color="auto" w:fill="FFFFFF"/>
            <w:vAlign w:val="bottom"/>
          </w:tcPr>
          <w:p w14:paraId="7E4399FE"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Войнишка след язовир Полетковци до устие, вкл. притоци - </w:t>
            </w:r>
            <w:proofErr w:type="spellStart"/>
            <w:r w:rsidRPr="009F6D1E">
              <w:rPr>
                <w:rFonts w:cs="Times New Roman"/>
                <w:sz w:val="20"/>
                <w:szCs w:val="20"/>
              </w:rPr>
              <w:t>Короманица</w:t>
            </w:r>
            <w:proofErr w:type="spellEnd"/>
            <w:r w:rsidRPr="009F6D1E">
              <w:rPr>
                <w:rFonts w:cs="Times New Roman"/>
                <w:sz w:val="20"/>
                <w:szCs w:val="20"/>
              </w:rPr>
              <w:t xml:space="preserve"> и </w:t>
            </w:r>
            <w:proofErr w:type="spellStart"/>
            <w:r w:rsidRPr="009F6D1E">
              <w:rPr>
                <w:rFonts w:cs="Times New Roman"/>
                <w:sz w:val="20"/>
                <w:szCs w:val="20"/>
              </w:rPr>
              <w:t>Смръдла</w:t>
            </w:r>
            <w:proofErr w:type="spellEnd"/>
          </w:p>
        </w:tc>
        <w:tc>
          <w:tcPr>
            <w:tcW w:w="0" w:type="auto"/>
            <w:shd w:val="clear" w:color="auto" w:fill="FFFFFF"/>
            <w:vAlign w:val="bottom"/>
          </w:tcPr>
          <w:p w14:paraId="0277961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40C6C5A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22B057B9" w14:textId="77777777" w:rsidTr="00FB1106">
        <w:trPr>
          <w:trHeight w:hRule="exact" w:val="491"/>
        </w:trPr>
        <w:tc>
          <w:tcPr>
            <w:tcW w:w="0" w:type="auto"/>
            <w:shd w:val="clear" w:color="auto" w:fill="FFFFFF"/>
            <w:vAlign w:val="bottom"/>
          </w:tcPr>
          <w:p w14:paraId="2FC9783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11</w:t>
            </w:r>
          </w:p>
        </w:tc>
        <w:tc>
          <w:tcPr>
            <w:tcW w:w="0" w:type="auto"/>
            <w:shd w:val="clear" w:color="auto" w:fill="FFFFFF"/>
          </w:tcPr>
          <w:p w14:paraId="5F151F5B"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BG1WO300R1008</w:t>
            </w:r>
          </w:p>
        </w:tc>
        <w:tc>
          <w:tcPr>
            <w:tcW w:w="0" w:type="auto"/>
            <w:shd w:val="clear" w:color="auto" w:fill="FFFFFF"/>
          </w:tcPr>
          <w:p w14:paraId="4860D64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Видбол от зоната за защита: </w:t>
            </w:r>
            <w:r w:rsidRPr="009F6D1E">
              <w:rPr>
                <w:rFonts w:cs="Times New Roman"/>
                <w:sz w:val="20"/>
                <w:szCs w:val="20"/>
                <w:lang w:bidi="en-US"/>
              </w:rPr>
              <w:t xml:space="preserve">BG1DSWWO01 </w:t>
            </w:r>
            <w:r w:rsidRPr="009F6D1E">
              <w:rPr>
                <w:rFonts w:cs="Times New Roman"/>
                <w:sz w:val="20"/>
                <w:szCs w:val="20"/>
              </w:rPr>
              <w:t xml:space="preserve">- РВ "Бяла вода" при Раковица до устие, вкл. приток - р. </w:t>
            </w:r>
            <w:proofErr w:type="spellStart"/>
            <w:r w:rsidRPr="009F6D1E">
              <w:rPr>
                <w:rFonts w:cs="Times New Roman"/>
                <w:sz w:val="20"/>
                <w:szCs w:val="20"/>
              </w:rPr>
              <w:t>Грамадска</w:t>
            </w:r>
            <w:proofErr w:type="spellEnd"/>
          </w:p>
        </w:tc>
        <w:tc>
          <w:tcPr>
            <w:tcW w:w="0" w:type="auto"/>
            <w:shd w:val="clear" w:color="auto" w:fill="FFFFFF"/>
          </w:tcPr>
          <w:p w14:paraId="460A258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E4FB3C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3A666A21" w14:textId="77777777" w:rsidTr="00FB1106">
        <w:trPr>
          <w:trHeight w:hRule="exact" w:val="221"/>
        </w:trPr>
        <w:tc>
          <w:tcPr>
            <w:tcW w:w="0" w:type="auto"/>
            <w:shd w:val="clear" w:color="auto" w:fill="FFFFFF"/>
            <w:vAlign w:val="bottom"/>
          </w:tcPr>
          <w:p w14:paraId="62220EC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12</w:t>
            </w:r>
          </w:p>
        </w:tc>
        <w:tc>
          <w:tcPr>
            <w:tcW w:w="0" w:type="auto"/>
            <w:shd w:val="clear" w:color="auto" w:fill="FFFFFF"/>
          </w:tcPr>
          <w:p w14:paraId="4F9EA9F6"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BG1WO300R1</w:t>
            </w:r>
            <w:r w:rsidRPr="009F6D1E">
              <w:rPr>
                <w:rFonts w:cs="Times New Roman"/>
                <w:sz w:val="20"/>
                <w:szCs w:val="20"/>
              </w:rPr>
              <w:t>108</w:t>
            </w:r>
          </w:p>
        </w:tc>
        <w:tc>
          <w:tcPr>
            <w:tcW w:w="0" w:type="auto"/>
            <w:shd w:val="clear" w:color="auto" w:fill="FFFFFF"/>
          </w:tcPr>
          <w:p w14:paraId="14EB13E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РВ "Бяла вода" на р. Видбол</w:t>
            </w:r>
          </w:p>
        </w:tc>
        <w:tc>
          <w:tcPr>
            <w:tcW w:w="0" w:type="auto"/>
            <w:shd w:val="clear" w:color="auto" w:fill="FFFFFF"/>
          </w:tcPr>
          <w:p w14:paraId="1966DD4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A43E9A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C63E9C9" w14:textId="77777777" w:rsidTr="00FB1106">
        <w:trPr>
          <w:trHeight w:hRule="exact" w:val="226"/>
        </w:trPr>
        <w:tc>
          <w:tcPr>
            <w:tcW w:w="0" w:type="auto"/>
            <w:shd w:val="clear" w:color="auto" w:fill="FFFFFF"/>
          </w:tcPr>
          <w:p w14:paraId="0602470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13</w:t>
            </w:r>
          </w:p>
        </w:tc>
        <w:tc>
          <w:tcPr>
            <w:tcW w:w="0" w:type="auto"/>
            <w:shd w:val="clear" w:color="auto" w:fill="FFFFFF"/>
          </w:tcPr>
          <w:p w14:paraId="206AFB7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BG1WO400R1009</w:t>
            </w:r>
          </w:p>
        </w:tc>
        <w:tc>
          <w:tcPr>
            <w:tcW w:w="0" w:type="auto"/>
            <w:shd w:val="clear" w:color="auto" w:fill="FFFFFF"/>
          </w:tcPr>
          <w:p w14:paraId="433D884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Арчар от извор до устие, вкл. притоци - </w:t>
            </w:r>
            <w:proofErr w:type="spellStart"/>
            <w:r w:rsidRPr="009F6D1E">
              <w:rPr>
                <w:rFonts w:cs="Times New Roman"/>
                <w:sz w:val="20"/>
                <w:szCs w:val="20"/>
              </w:rPr>
              <w:t>Салашка</w:t>
            </w:r>
            <w:proofErr w:type="spellEnd"/>
            <w:r w:rsidRPr="009F6D1E">
              <w:rPr>
                <w:rFonts w:cs="Times New Roman"/>
                <w:sz w:val="20"/>
                <w:szCs w:val="20"/>
              </w:rPr>
              <w:t xml:space="preserve"> и Градска река</w:t>
            </w:r>
          </w:p>
        </w:tc>
        <w:tc>
          <w:tcPr>
            <w:tcW w:w="0" w:type="auto"/>
            <w:shd w:val="clear" w:color="auto" w:fill="FFFFFF"/>
          </w:tcPr>
          <w:p w14:paraId="2AA1DE4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ED9963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775EE71E" w14:textId="77777777" w:rsidTr="00FB1106">
        <w:trPr>
          <w:trHeight w:hRule="exact" w:val="221"/>
        </w:trPr>
        <w:tc>
          <w:tcPr>
            <w:tcW w:w="0" w:type="auto"/>
            <w:shd w:val="clear" w:color="auto" w:fill="FFFFFF"/>
            <w:vAlign w:val="bottom"/>
          </w:tcPr>
          <w:p w14:paraId="400C93E5"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14</w:t>
            </w:r>
          </w:p>
        </w:tc>
        <w:tc>
          <w:tcPr>
            <w:tcW w:w="0" w:type="auto"/>
            <w:shd w:val="clear" w:color="auto" w:fill="FFFFFF"/>
            <w:vAlign w:val="bottom"/>
          </w:tcPr>
          <w:p w14:paraId="3D9283CB"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BG1WO500R011</w:t>
            </w:r>
          </w:p>
        </w:tc>
        <w:tc>
          <w:tcPr>
            <w:tcW w:w="0" w:type="auto"/>
            <w:shd w:val="clear" w:color="auto" w:fill="FFFFFF"/>
            <w:vAlign w:val="bottom"/>
          </w:tcPr>
          <w:p w14:paraId="38D6E72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Скомля от извор до устие</w:t>
            </w:r>
          </w:p>
        </w:tc>
        <w:tc>
          <w:tcPr>
            <w:tcW w:w="0" w:type="auto"/>
            <w:shd w:val="clear" w:color="auto" w:fill="FFFFFF"/>
            <w:vAlign w:val="bottom"/>
          </w:tcPr>
          <w:p w14:paraId="276E85E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5614CF3B"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1302B8F4" w14:textId="77777777" w:rsidTr="00FB1106">
        <w:trPr>
          <w:trHeight w:hRule="exact" w:val="221"/>
        </w:trPr>
        <w:tc>
          <w:tcPr>
            <w:tcW w:w="0" w:type="auto"/>
            <w:shd w:val="clear" w:color="auto" w:fill="FFFFFF"/>
          </w:tcPr>
          <w:p w14:paraId="0ED55E31"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15</w:t>
            </w:r>
          </w:p>
        </w:tc>
        <w:tc>
          <w:tcPr>
            <w:tcW w:w="0" w:type="auto"/>
            <w:shd w:val="clear" w:color="auto" w:fill="FFFFFF"/>
          </w:tcPr>
          <w:p w14:paraId="2A8B2DAE"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BG1WO600R015</w:t>
            </w:r>
          </w:p>
        </w:tc>
        <w:tc>
          <w:tcPr>
            <w:tcW w:w="0" w:type="auto"/>
            <w:shd w:val="clear" w:color="auto" w:fill="FFFFFF"/>
          </w:tcPr>
          <w:p w14:paraId="386448A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Лом от вливане на р. Нечинска бара до устие</w:t>
            </w:r>
          </w:p>
        </w:tc>
        <w:tc>
          <w:tcPr>
            <w:tcW w:w="0" w:type="auto"/>
            <w:shd w:val="clear" w:color="auto" w:fill="FFFFFF"/>
          </w:tcPr>
          <w:p w14:paraId="7A44CDD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C9AA04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90835AA" w14:textId="77777777" w:rsidTr="00FB1106">
        <w:trPr>
          <w:trHeight w:hRule="exact" w:val="221"/>
        </w:trPr>
        <w:tc>
          <w:tcPr>
            <w:tcW w:w="0" w:type="auto"/>
            <w:shd w:val="clear" w:color="auto" w:fill="FFFFFF"/>
            <w:vAlign w:val="bottom"/>
          </w:tcPr>
          <w:p w14:paraId="6A7E2C3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16</w:t>
            </w:r>
          </w:p>
        </w:tc>
        <w:tc>
          <w:tcPr>
            <w:tcW w:w="0" w:type="auto"/>
            <w:shd w:val="clear" w:color="auto" w:fill="FFFFFF"/>
          </w:tcPr>
          <w:p w14:paraId="057380C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BG1WO600R1013</w:t>
            </w:r>
          </w:p>
        </w:tc>
        <w:tc>
          <w:tcPr>
            <w:tcW w:w="0" w:type="auto"/>
            <w:shd w:val="clear" w:color="auto" w:fill="FFFFFF"/>
          </w:tcPr>
          <w:p w14:paraId="3B1FB4E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Лом от вливане на р. Стакевска до вливане на р. Нечинска бара</w:t>
            </w:r>
          </w:p>
        </w:tc>
        <w:tc>
          <w:tcPr>
            <w:tcW w:w="0" w:type="auto"/>
            <w:shd w:val="clear" w:color="auto" w:fill="FFFFFF"/>
          </w:tcPr>
          <w:p w14:paraId="4A6C93C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26E358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046991A" w14:textId="77777777" w:rsidTr="00FB1106">
        <w:trPr>
          <w:trHeight w:hRule="exact" w:val="221"/>
        </w:trPr>
        <w:tc>
          <w:tcPr>
            <w:tcW w:w="0" w:type="auto"/>
            <w:shd w:val="clear" w:color="auto" w:fill="FFFFFF"/>
          </w:tcPr>
          <w:p w14:paraId="6AFF8862"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lastRenderedPageBreak/>
              <w:t>17</w:t>
            </w:r>
          </w:p>
        </w:tc>
        <w:tc>
          <w:tcPr>
            <w:tcW w:w="0" w:type="auto"/>
            <w:shd w:val="clear" w:color="auto" w:fill="FFFFFF"/>
          </w:tcPr>
          <w:p w14:paraId="681FF85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BG1WO600R1112</w:t>
            </w:r>
          </w:p>
        </w:tc>
        <w:tc>
          <w:tcPr>
            <w:tcW w:w="0" w:type="auto"/>
            <w:shd w:val="clear" w:color="auto" w:fill="FFFFFF"/>
          </w:tcPr>
          <w:p w14:paraId="2D86C1E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Лом от вливане на р. Краставичка при Г орни Лом до </w:t>
            </w:r>
            <w:proofErr w:type="spellStart"/>
            <w:r w:rsidRPr="009F6D1E">
              <w:rPr>
                <w:rFonts w:cs="Times New Roman"/>
                <w:sz w:val="20"/>
                <w:szCs w:val="20"/>
              </w:rPr>
              <w:t>вливанена</w:t>
            </w:r>
            <w:proofErr w:type="spellEnd"/>
            <w:r w:rsidRPr="009F6D1E">
              <w:rPr>
                <w:rFonts w:cs="Times New Roman"/>
                <w:sz w:val="20"/>
                <w:szCs w:val="20"/>
              </w:rPr>
              <w:t xml:space="preserve"> р. Стакевска</w:t>
            </w:r>
          </w:p>
        </w:tc>
        <w:tc>
          <w:tcPr>
            <w:tcW w:w="0" w:type="auto"/>
            <w:shd w:val="clear" w:color="auto" w:fill="FFFFFF"/>
          </w:tcPr>
          <w:p w14:paraId="25C9796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D43775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40535E3A" w14:textId="77777777" w:rsidTr="00FB1106">
        <w:trPr>
          <w:trHeight w:hRule="exact" w:val="221"/>
        </w:trPr>
        <w:tc>
          <w:tcPr>
            <w:tcW w:w="0" w:type="auto"/>
            <w:shd w:val="clear" w:color="auto" w:fill="FFFFFF"/>
            <w:vAlign w:val="bottom"/>
          </w:tcPr>
          <w:p w14:paraId="0F6C5962"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18</w:t>
            </w:r>
          </w:p>
        </w:tc>
        <w:tc>
          <w:tcPr>
            <w:tcW w:w="0" w:type="auto"/>
            <w:shd w:val="clear" w:color="auto" w:fill="FFFFFF"/>
          </w:tcPr>
          <w:p w14:paraId="4AADBD66"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BG1WO600R1612</w:t>
            </w:r>
          </w:p>
        </w:tc>
        <w:tc>
          <w:tcPr>
            <w:tcW w:w="0" w:type="auto"/>
            <w:shd w:val="clear" w:color="auto" w:fill="FFFFFF"/>
          </w:tcPr>
          <w:p w14:paraId="0647BFC2"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Лом от РВ "р. Г орни Лом" до вливане на р. Краставичка при Г орни Лом</w:t>
            </w:r>
          </w:p>
        </w:tc>
        <w:tc>
          <w:tcPr>
            <w:tcW w:w="0" w:type="auto"/>
            <w:shd w:val="clear" w:color="auto" w:fill="FFFFFF"/>
          </w:tcPr>
          <w:p w14:paraId="099436D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607B26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5ABC7679" w14:textId="77777777" w:rsidTr="00FB1106">
        <w:trPr>
          <w:trHeight w:hRule="exact" w:val="221"/>
        </w:trPr>
        <w:tc>
          <w:tcPr>
            <w:tcW w:w="0" w:type="auto"/>
            <w:shd w:val="clear" w:color="auto" w:fill="FFFFFF"/>
          </w:tcPr>
          <w:p w14:paraId="59529DE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19</w:t>
            </w:r>
          </w:p>
        </w:tc>
        <w:tc>
          <w:tcPr>
            <w:tcW w:w="0" w:type="auto"/>
            <w:shd w:val="clear" w:color="auto" w:fill="FFFFFF"/>
          </w:tcPr>
          <w:p w14:paraId="517F8D2A"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BG1WO600R1712</w:t>
            </w:r>
          </w:p>
        </w:tc>
        <w:tc>
          <w:tcPr>
            <w:tcW w:w="0" w:type="auto"/>
            <w:shd w:val="clear" w:color="auto" w:fill="FFFFFF"/>
          </w:tcPr>
          <w:p w14:paraId="2557689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Краставичка от РВ "Голяма река" до вливане в р. Лом при Горни Лом</w:t>
            </w:r>
          </w:p>
        </w:tc>
        <w:tc>
          <w:tcPr>
            <w:tcW w:w="0" w:type="auto"/>
            <w:shd w:val="clear" w:color="auto" w:fill="FFFFFF"/>
          </w:tcPr>
          <w:p w14:paraId="255424A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80ECC3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02F63B48" w14:textId="77777777" w:rsidTr="00FB1106">
        <w:trPr>
          <w:trHeight w:hRule="exact" w:val="226"/>
        </w:trPr>
        <w:tc>
          <w:tcPr>
            <w:tcW w:w="0" w:type="auto"/>
            <w:shd w:val="clear" w:color="auto" w:fill="FFFFFF"/>
            <w:vAlign w:val="bottom"/>
          </w:tcPr>
          <w:p w14:paraId="0B19F7C5"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20</w:t>
            </w:r>
          </w:p>
        </w:tc>
        <w:tc>
          <w:tcPr>
            <w:tcW w:w="0" w:type="auto"/>
            <w:shd w:val="clear" w:color="auto" w:fill="FFFFFF"/>
          </w:tcPr>
          <w:p w14:paraId="7E43050C"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BG1WO600R1812</w:t>
            </w:r>
          </w:p>
        </w:tc>
        <w:tc>
          <w:tcPr>
            <w:tcW w:w="0" w:type="auto"/>
            <w:shd w:val="clear" w:color="auto" w:fill="FFFFFF"/>
          </w:tcPr>
          <w:p w14:paraId="6C259E4F"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Чупренска</w:t>
            </w:r>
            <w:proofErr w:type="spellEnd"/>
            <w:r w:rsidRPr="009F6D1E">
              <w:rPr>
                <w:rFonts w:cs="Times New Roman"/>
                <w:sz w:val="20"/>
                <w:szCs w:val="20"/>
              </w:rPr>
              <w:t xml:space="preserve"> от РВ "Голяма река" до вливане в р. Стакевска</w:t>
            </w:r>
          </w:p>
        </w:tc>
        <w:tc>
          <w:tcPr>
            <w:tcW w:w="0" w:type="auto"/>
            <w:shd w:val="clear" w:color="auto" w:fill="FFFFFF"/>
          </w:tcPr>
          <w:p w14:paraId="7A372DC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1E395C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0CD541DF" w14:textId="77777777" w:rsidTr="00FB1106">
        <w:trPr>
          <w:trHeight w:hRule="exact" w:val="221"/>
        </w:trPr>
        <w:tc>
          <w:tcPr>
            <w:tcW w:w="0" w:type="auto"/>
            <w:shd w:val="clear" w:color="auto" w:fill="FFFFFF"/>
            <w:vAlign w:val="bottom"/>
          </w:tcPr>
          <w:p w14:paraId="3B4CE4EA"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21</w:t>
            </w:r>
          </w:p>
        </w:tc>
        <w:tc>
          <w:tcPr>
            <w:tcW w:w="0" w:type="auto"/>
            <w:shd w:val="clear" w:color="auto" w:fill="FFFFFF"/>
          </w:tcPr>
          <w:p w14:paraId="0FF6C1D9"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BG1WO600R1912</w:t>
            </w:r>
          </w:p>
        </w:tc>
        <w:tc>
          <w:tcPr>
            <w:tcW w:w="0" w:type="auto"/>
            <w:shd w:val="clear" w:color="auto" w:fill="FFFFFF"/>
          </w:tcPr>
          <w:p w14:paraId="08776E56"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Стакевска от РВ "Стакевска река" до вливане в р. Лом</w:t>
            </w:r>
          </w:p>
        </w:tc>
        <w:tc>
          <w:tcPr>
            <w:tcW w:w="0" w:type="auto"/>
            <w:shd w:val="clear" w:color="auto" w:fill="FFFFFF"/>
          </w:tcPr>
          <w:p w14:paraId="68D09E2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651026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3073AB0A" w14:textId="77777777" w:rsidTr="00FB1106">
        <w:trPr>
          <w:trHeight w:hRule="exact" w:val="221"/>
        </w:trPr>
        <w:tc>
          <w:tcPr>
            <w:tcW w:w="0" w:type="auto"/>
            <w:shd w:val="clear" w:color="auto" w:fill="FFFFFF"/>
            <w:vAlign w:val="bottom"/>
          </w:tcPr>
          <w:p w14:paraId="6C4CBA7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22</w:t>
            </w:r>
          </w:p>
        </w:tc>
        <w:tc>
          <w:tcPr>
            <w:tcW w:w="0" w:type="auto"/>
            <w:shd w:val="clear" w:color="auto" w:fill="FFFFFF"/>
          </w:tcPr>
          <w:p w14:paraId="56993DE4"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BG1WO600R1014</w:t>
            </w:r>
          </w:p>
        </w:tc>
        <w:tc>
          <w:tcPr>
            <w:tcW w:w="0" w:type="auto"/>
            <w:shd w:val="clear" w:color="auto" w:fill="FFFFFF"/>
          </w:tcPr>
          <w:p w14:paraId="4FE8408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Нечинска бара след язовир Христо Смирненски</w:t>
            </w:r>
          </w:p>
        </w:tc>
        <w:tc>
          <w:tcPr>
            <w:tcW w:w="0" w:type="auto"/>
            <w:shd w:val="clear" w:color="auto" w:fill="FFFFFF"/>
          </w:tcPr>
          <w:p w14:paraId="1C012A3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3BCE39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239070FA" w14:textId="77777777" w:rsidTr="00FB1106">
        <w:trPr>
          <w:trHeight w:hRule="exact" w:val="307"/>
        </w:trPr>
        <w:tc>
          <w:tcPr>
            <w:tcW w:w="0" w:type="auto"/>
            <w:shd w:val="clear" w:color="auto" w:fill="FFFFFF"/>
          </w:tcPr>
          <w:p w14:paraId="6075654A"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23</w:t>
            </w:r>
          </w:p>
        </w:tc>
        <w:tc>
          <w:tcPr>
            <w:tcW w:w="0" w:type="auto"/>
            <w:shd w:val="clear" w:color="auto" w:fill="FFFFFF"/>
          </w:tcPr>
          <w:p w14:paraId="12BBACBD"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BG1WO800R1016</w:t>
            </w:r>
          </w:p>
        </w:tc>
        <w:tc>
          <w:tcPr>
            <w:tcW w:w="0" w:type="auto"/>
            <w:shd w:val="clear" w:color="auto" w:fill="FFFFFF"/>
          </w:tcPr>
          <w:p w14:paraId="44DE94DE"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Цибрица от извор до устие, вкл. приток - р. Цибър</w:t>
            </w:r>
          </w:p>
        </w:tc>
        <w:tc>
          <w:tcPr>
            <w:tcW w:w="0" w:type="auto"/>
            <w:shd w:val="clear" w:color="auto" w:fill="FFFFFF"/>
          </w:tcPr>
          <w:p w14:paraId="2A01EA0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267CFA0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1937A05" w14:textId="77777777" w:rsidTr="00BA12F4">
        <w:trPr>
          <w:trHeight w:hRule="exact" w:val="221"/>
        </w:trPr>
        <w:tc>
          <w:tcPr>
            <w:tcW w:w="0" w:type="auto"/>
            <w:gridSpan w:val="5"/>
            <w:shd w:val="clear" w:color="auto" w:fill="F2F2F2" w:themeFill="background1" w:themeFillShade="F2"/>
            <w:vAlign w:val="bottom"/>
          </w:tcPr>
          <w:p w14:paraId="774AF48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ПОРЕЧИЕ ИСКЪР /основно течение на р. Искър/</w:t>
            </w:r>
          </w:p>
        </w:tc>
      </w:tr>
      <w:tr w:rsidR="00EB48C4" w:rsidRPr="009F6D1E" w14:paraId="2DDFF4CE" w14:textId="77777777" w:rsidTr="00FB1106">
        <w:trPr>
          <w:trHeight w:hRule="exact" w:val="221"/>
        </w:trPr>
        <w:tc>
          <w:tcPr>
            <w:tcW w:w="0" w:type="auto"/>
            <w:shd w:val="clear" w:color="auto" w:fill="FFFFFF"/>
          </w:tcPr>
          <w:p w14:paraId="61BCD44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24</w:t>
            </w:r>
          </w:p>
        </w:tc>
        <w:tc>
          <w:tcPr>
            <w:tcW w:w="0" w:type="auto"/>
            <w:shd w:val="clear" w:color="auto" w:fill="FFFFFF"/>
          </w:tcPr>
          <w:p w14:paraId="2428860E"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BG1IS100R1027</w:t>
            </w:r>
          </w:p>
        </w:tc>
        <w:tc>
          <w:tcPr>
            <w:tcW w:w="0" w:type="auto"/>
            <w:shd w:val="clear" w:color="auto" w:fill="FFFFFF"/>
          </w:tcPr>
          <w:p w14:paraId="41AB8DE5"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Искър от вливане на р. Гостиля при Ставерци до устие</w:t>
            </w:r>
          </w:p>
        </w:tc>
        <w:tc>
          <w:tcPr>
            <w:tcW w:w="0" w:type="auto"/>
            <w:shd w:val="clear" w:color="auto" w:fill="FFFFFF"/>
          </w:tcPr>
          <w:p w14:paraId="6D6F569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отлично/добро</w:t>
            </w:r>
          </w:p>
        </w:tc>
        <w:tc>
          <w:tcPr>
            <w:tcW w:w="0" w:type="auto"/>
            <w:shd w:val="clear" w:color="auto" w:fill="FFFFFF"/>
          </w:tcPr>
          <w:p w14:paraId="635ACFB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E677FCC" w14:textId="77777777" w:rsidTr="00FB1106">
        <w:trPr>
          <w:trHeight w:hRule="exact" w:val="226"/>
        </w:trPr>
        <w:tc>
          <w:tcPr>
            <w:tcW w:w="0" w:type="auto"/>
            <w:shd w:val="clear" w:color="auto" w:fill="FFFFFF"/>
          </w:tcPr>
          <w:p w14:paraId="03BF3B56"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25</w:t>
            </w:r>
          </w:p>
        </w:tc>
        <w:tc>
          <w:tcPr>
            <w:tcW w:w="0" w:type="auto"/>
            <w:shd w:val="clear" w:color="auto" w:fill="FFFFFF"/>
          </w:tcPr>
          <w:p w14:paraId="5A540411"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BG1IS135R1026</w:t>
            </w:r>
          </w:p>
        </w:tc>
        <w:tc>
          <w:tcPr>
            <w:tcW w:w="0" w:type="auto"/>
            <w:shd w:val="clear" w:color="auto" w:fill="FFFFFF"/>
          </w:tcPr>
          <w:p w14:paraId="642CF85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Искър от вливане на р. Златна Панега при Червен бряг до вливане на р. Гостиля при Ставерци</w:t>
            </w:r>
          </w:p>
        </w:tc>
        <w:tc>
          <w:tcPr>
            <w:tcW w:w="0" w:type="auto"/>
            <w:shd w:val="clear" w:color="auto" w:fill="FFFFFF"/>
          </w:tcPr>
          <w:p w14:paraId="2C40C8C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4C6233B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395DA52C" w14:textId="77777777" w:rsidTr="00FB1106">
        <w:trPr>
          <w:trHeight w:hRule="exact" w:val="230"/>
        </w:trPr>
        <w:tc>
          <w:tcPr>
            <w:tcW w:w="0" w:type="auto"/>
            <w:shd w:val="clear" w:color="auto" w:fill="FFFFFF"/>
            <w:vAlign w:val="center"/>
          </w:tcPr>
          <w:p w14:paraId="139EA06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26</w:t>
            </w:r>
          </w:p>
        </w:tc>
        <w:tc>
          <w:tcPr>
            <w:tcW w:w="0" w:type="auto"/>
            <w:shd w:val="clear" w:color="auto" w:fill="FFFFFF"/>
          </w:tcPr>
          <w:p w14:paraId="477C93D1"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BG1IS135R1126</w:t>
            </w:r>
          </w:p>
        </w:tc>
        <w:tc>
          <w:tcPr>
            <w:tcW w:w="0" w:type="auto"/>
            <w:shd w:val="clear" w:color="auto" w:fill="FFFFFF"/>
          </w:tcPr>
          <w:p w14:paraId="113F9132"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Искър от вливане на р. Малък Искър при Роман до вливане на р. Златна Панега при Червен бряг</w:t>
            </w:r>
          </w:p>
        </w:tc>
        <w:tc>
          <w:tcPr>
            <w:tcW w:w="0" w:type="auto"/>
            <w:shd w:val="clear" w:color="auto" w:fill="FFFFFF"/>
          </w:tcPr>
          <w:p w14:paraId="4EB1DD9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88ECD1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6DB19865" w14:textId="77777777" w:rsidTr="00FB1106">
        <w:trPr>
          <w:trHeight w:hRule="exact" w:val="245"/>
        </w:trPr>
        <w:tc>
          <w:tcPr>
            <w:tcW w:w="0" w:type="auto"/>
            <w:shd w:val="clear" w:color="auto" w:fill="FFFFFF"/>
            <w:vAlign w:val="bottom"/>
          </w:tcPr>
          <w:p w14:paraId="589651F7"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27</w:t>
            </w:r>
          </w:p>
        </w:tc>
        <w:tc>
          <w:tcPr>
            <w:tcW w:w="0" w:type="auto"/>
            <w:shd w:val="clear" w:color="auto" w:fill="FFFFFF"/>
            <w:vAlign w:val="bottom"/>
          </w:tcPr>
          <w:p w14:paraId="19D3476D"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BG1IS135R1226</w:t>
            </w:r>
          </w:p>
        </w:tc>
        <w:tc>
          <w:tcPr>
            <w:tcW w:w="0" w:type="auto"/>
            <w:shd w:val="clear" w:color="auto" w:fill="FFFFFF"/>
            <w:vAlign w:val="bottom"/>
          </w:tcPr>
          <w:p w14:paraId="5967DA24"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Искър от вливане на р. Габровница при Елисейна до вливане на р. Малък Искър при Роман</w:t>
            </w:r>
          </w:p>
        </w:tc>
        <w:tc>
          <w:tcPr>
            <w:tcW w:w="0" w:type="auto"/>
            <w:shd w:val="clear" w:color="auto" w:fill="FFFFFF"/>
            <w:vAlign w:val="bottom"/>
          </w:tcPr>
          <w:p w14:paraId="0028841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2D6097F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070B0A80" w14:textId="77777777" w:rsidTr="00FB1106">
        <w:trPr>
          <w:trHeight w:hRule="exact" w:val="432"/>
        </w:trPr>
        <w:tc>
          <w:tcPr>
            <w:tcW w:w="0" w:type="auto"/>
            <w:shd w:val="clear" w:color="auto" w:fill="FFFFFF"/>
            <w:vAlign w:val="center"/>
          </w:tcPr>
          <w:p w14:paraId="51304A7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28</w:t>
            </w:r>
          </w:p>
        </w:tc>
        <w:tc>
          <w:tcPr>
            <w:tcW w:w="0" w:type="auto"/>
            <w:shd w:val="clear" w:color="auto" w:fill="FFFFFF"/>
          </w:tcPr>
          <w:p w14:paraId="44A65130"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BG1IS135R1326</w:t>
            </w:r>
          </w:p>
        </w:tc>
        <w:tc>
          <w:tcPr>
            <w:tcW w:w="0" w:type="auto"/>
            <w:shd w:val="clear" w:color="auto" w:fill="FFFFFF"/>
            <w:vAlign w:val="bottom"/>
          </w:tcPr>
          <w:p w14:paraId="3B85659F"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Искър от вливане на р. Батулийска при Реброво до вливане на р. Габровница при Елисейна, вкл. притока р. Трескавец</w:t>
            </w:r>
          </w:p>
        </w:tc>
        <w:tc>
          <w:tcPr>
            <w:tcW w:w="0" w:type="auto"/>
            <w:shd w:val="clear" w:color="auto" w:fill="FFFFFF"/>
          </w:tcPr>
          <w:p w14:paraId="07984DA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78E868D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149D97F3" w14:textId="77777777" w:rsidTr="00FB1106">
        <w:trPr>
          <w:trHeight w:hRule="exact" w:val="221"/>
        </w:trPr>
        <w:tc>
          <w:tcPr>
            <w:tcW w:w="0" w:type="auto"/>
            <w:shd w:val="clear" w:color="auto" w:fill="FFFFFF"/>
          </w:tcPr>
          <w:p w14:paraId="4D9E96D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29</w:t>
            </w:r>
          </w:p>
        </w:tc>
        <w:tc>
          <w:tcPr>
            <w:tcW w:w="0" w:type="auto"/>
            <w:shd w:val="clear" w:color="auto" w:fill="FFFFFF"/>
          </w:tcPr>
          <w:p w14:paraId="580E3EE7"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BG1IS135R1426</w:t>
            </w:r>
          </w:p>
        </w:tc>
        <w:tc>
          <w:tcPr>
            <w:tcW w:w="0" w:type="auto"/>
            <w:shd w:val="clear" w:color="auto" w:fill="FFFFFF"/>
          </w:tcPr>
          <w:p w14:paraId="358FFA9C"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Искър от вливане на р. Владайска до вливане на р. Батулийска при Реброво</w:t>
            </w:r>
          </w:p>
        </w:tc>
        <w:tc>
          <w:tcPr>
            <w:tcW w:w="0" w:type="auto"/>
            <w:shd w:val="clear" w:color="auto" w:fill="FFFFFF"/>
          </w:tcPr>
          <w:p w14:paraId="6F8E129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386BA4C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 достигащо добро</w:t>
            </w:r>
          </w:p>
        </w:tc>
      </w:tr>
      <w:tr w:rsidR="00EB48C4" w:rsidRPr="009F6D1E" w14:paraId="49865AAF" w14:textId="77777777" w:rsidTr="00FB1106">
        <w:trPr>
          <w:trHeight w:hRule="exact" w:val="221"/>
        </w:trPr>
        <w:tc>
          <w:tcPr>
            <w:tcW w:w="0" w:type="auto"/>
            <w:shd w:val="clear" w:color="auto" w:fill="FFFFFF"/>
          </w:tcPr>
          <w:p w14:paraId="7CDB127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30</w:t>
            </w:r>
          </w:p>
        </w:tc>
        <w:tc>
          <w:tcPr>
            <w:tcW w:w="0" w:type="auto"/>
            <w:shd w:val="clear" w:color="auto" w:fill="FFFFFF"/>
          </w:tcPr>
          <w:p w14:paraId="7B5FC96C"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BG1IS135R1726</w:t>
            </w:r>
          </w:p>
        </w:tc>
        <w:tc>
          <w:tcPr>
            <w:tcW w:w="0" w:type="auto"/>
            <w:shd w:val="clear" w:color="auto" w:fill="FFFFFF"/>
          </w:tcPr>
          <w:p w14:paraId="24BF39FC"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Искър след язовир Панчарево, до вливане на р. Владайска</w:t>
            </w:r>
          </w:p>
        </w:tc>
        <w:tc>
          <w:tcPr>
            <w:tcW w:w="0" w:type="auto"/>
            <w:shd w:val="clear" w:color="auto" w:fill="FFFFFF"/>
          </w:tcPr>
          <w:p w14:paraId="572034D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0998E49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5531EF23" w14:textId="77777777" w:rsidTr="00BA12F4">
        <w:trPr>
          <w:trHeight w:hRule="exact" w:val="221"/>
        </w:trPr>
        <w:tc>
          <w:tcPr>
            <w:tcW w:w="0" w:type="auto"/>
            <w:gridSpan w:val="5"/>
            <w:shd w:val="clear" w:color="auto" w:fill="F2F2F2" w:themeFill="background1" w:themeFillShade="F2"/>
          </w:tcPr>
          <w:p w14:paraId="4251BFA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ПОРЕЧИЕ ЕРМА</w:t>
            </w:r>
          </w:p>
        </w:tc>
      </w:tr>
      <w:tr w:rsidR="00EB48C4" w:rsidRPr="009F6D1E" w14:paraId="252C21F8" w14:textId="77777777" w:rsidTr="00FB1106">
        <w:trPr>
          <w:trHeight w:hRule="exact" w:val="221"/>
        </w:trPr>
        <w:tc>
          <w:tcPr>
            <w:tcW w:w="0" w:type="auto"/>
            <w:shd w:val="clear" w:color="auto" w:fill="FFFFFF"/>
          </w:tcPr>
          <w:p w14:paraId="77AFF58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31</w:t>
            </w:r>
          </w:p>
        </w:tc>
        <w:tc>
          <w:tcPr>
            <w:tcW w:w="0" w:type="auto"/>
            <w:shd w:val="clear" w:color="auto" w:fill="FFFFFF"/>
          </w:tcPr>
          <w:p w14:paraId="346AC70F"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BG1ER100R001</w:t>
            </w:r>
          </w:p>
        </w:tc>
        <w:tc>
          <w:tcPr>
            <w:tcW w:w="0" w:type="auto"/>
            <w:shd w:val="clear" w:color="auto" w:fill="FFFFFF"/>
          </w:tcPr>
          <w:p w14:paraId="7F6358E5"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Ерма с притоци </w:t>
            </w:r>
            <w:proofErr w:type="spellStart"/>
            <w:r w:rsidRPr="009F6D1E">
              <w:rPr>
                <w:rFonts w:cs="Times New Roman"/>
                <w:sz w:val="20"/>
                <w:szCs w:val="20"/>
              </w:rPr>
              <w:t>Лишковица</w:t>
            </w:r>
            <w:proofErr w:type="spellEnd"/>
            <w:r w:rsidRPr="009F6D1E">
              <w:rPr>
                <w:rFonts w:cs="Times New Roman"/>
                <w:sz w:val="20"/>
                <w:szCs w:val="20"/>
              </w:rPr>
              <w:t xml:space="preserve"> и Ябланица до държавна граница</w:t>
            </w:r>
          </w:p>
        </w:tc>
        <w:tc>
          <w:tcPr>
            <w:tcW w:w="0" w:type="auto"/>
            <w:shd w:val="clear" w:color="auto" w:fill="FFFFFF"/>
          </w:tcPr>
          <w:p w14:paraId="2156503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07500DC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48330C24" w14:textId="77777777" w:rsidTr="00BA12F4">
        <w:trPr>
          <w:trHeight w:hRule="exact" w:val="226"/>
        </w:trPr>
        <w:tc>
          <w:tcPr>
            <w:tcW w:w="0" w:type="auto"/>
            <w:gridSpan w:val="5"/>
            <w:shd w:val="clear" w:color="auto" w:fill="F2F2F2" w:themeFill="background1" w:themeFillShade="F2"/>
          </w:tcPr>
          <w:p w14:paraId="291FE8C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ПОРЕЧИЕ НИШАВА</w:t>
            </w:r>
          </w:p>
        </w:tc>
      </w:tr>
      <w:tr w:rsidR="00EB48C4" w:rsidRPr="009F6D1E" w14:paraId="5CE8EAA9" w14:textId="77777777" w:rsidTr="00FB1106">
        <w:trPr>
          <w:trHeight w:hRule="exact" w:val="432"/>
        </w:trPr>
        <w:tc>
          <w:tcPr>
            <w:tcW w:w="0" w:type="auto"/>
            <w:shd w:val="clear" w:color="auto" w:fill="FFFFFF"/>
          </w:tcPr>
          <w:p w14:paraId="69658AB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32</w:t>
            </w:r>
          </w:p>
        </w:tc>
        <w:tc>
          <w:tcPr>
            <w:tcW w:w="0" w:type="auto"/>
            <w:shd w:val="clear" w:color="auto" w:fill="FFFFFF"/>
          </w:tcPr>
          <w:p w14:paraId="778816F9"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BG1NV200R1001</w:t>
            </w:r>
          </w:p>
        </w:tc>
        <w:tc>
          <w:tcPr>
            <w:tcW w:w="0" w:type="auto"/>
            <w:shd w:val="clear" w:color="auto" w:fill="FFFFFF"/>
            <w:vAlign w:val="bottom"/>
          </w:tcPr>
          <w:p w14:paraId="3AE65601"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Нишава (Гинска) от извор до държавна граница, р. Височка ( Сребърна) без зона питейни РВ СД "Сребърна- Гински" и р. </w:t>
            </w:r>
            <w:proofErr w:type="spellStart"/>
            <w:r w:rsidRPr="009F6D1E">
              <w:rPr>
                <w:rFonts w:cs="Times New Roman"/>
                <w:sz w:val="20"/>
                <w:szCs w:val="20"/>
              </w:rPr>
              <w:t>Габерска</w:t>
            </w:r>
            <w:proofErr w:type="spellEnd"/>
            <w:r w:rsidRPr="009F6D1E">
              <w:rPr>
                <w:rFonts w:cs="Times New Roman"/>
                <w:sz w:val="20"/>
                <w:szCs w:val="20"/>
              </w:rPr>
              <w:t xml:space="preserve"> от извор до държавна граница</w:t>
            </w:r>
          </w:p>
        </w:tc>
        <w:tc>
          <w:tcPr>
            <w:tcW w:w="0" w:type="auto"/>
            <w:shd w:val="clear" w:color="auto" w:fill="FFFFFF"/>
          </w:tcPr>
          <w:p w14:paraId="317E2E7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0C97DB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061791CA" w14:textId="77777777" w:rsidTr="00FB1106">
        <w:trPr>
          <w:trHeight w:hRule="exact" w:val="221"/>
        </w:trPr>
        <w:tc>
          <w:tcPr>
            <w:tcW w:w="0" w:type="auto"/>
            <w:shd w:val="clear" w:color="auto" w:fill="FFFFFF"/>
          </w:tcPr>
          <w:p w14:paraId="6E7F4808"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33</w:t>
            </w:r>
          </w:p>
        </w:tc>
        <w:tc>
          <w:tcPr>
            <w:tcW w:w="0" w:type="auto"/>
            <w:shd w:val="clear" w:color="auto" w:fill="FFFFFF"/>
          </w:tcPr>
          <w:p w14:paraId="23FB57AA"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BG1NV200R1101</w:t>
            </w:r>
          </w:p>
        </w:tc>
        <w:tc>
          <w:tcPr>
            <w:tcW w:w="0" w:type="auto"/>
            <w:shd w:val="clear" w:color="auto" w:fill="FFFFFF"/>
          </w:tcPr>
          <w:p w14:paraId="7C5ED8DD"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РВ - СД "Сребърна-Гински" 12 бр. и РВ "Черна" (Църна) на р. Височка ( Сребърна), </w:t>
            </w:r>
            <w:proofErr w:type="spellStart"/>
            <w:r w:rsidRPr="009F6D1E">
              <w:rPr>
                <w:rFonts w:cs="Times New Roman"/>
                <w:sz w:val="20"/>
                <w:szCs w:val="20"/>
              </w:rPr>
              <w:t>Камарска</w:t>
            </w:r>
            <w:proofErr w:type="spellEnd"/>
            <w:r w:rsidRPr="009F6D1E">
              <w:rPr>
                <w:rFonts w:cs="Times New Roman"/>
                <w:sz w:val="20"/>
                <w:szCs w:val="20"/>
              </w:rPr>
              <w:t xml:space="preserve">, Средна и </w:t>
            </w:r>
            <w:proofErr w:type="spellStart"/>
            <w:r w:rsidRPr="009F6D1E">
              <w:rPr>
                <w:rFonts w:cs="Times New Roman"/>
                <w:sz w:val="20"/>
                <w:szCs w:val="20"/>
              </w:rPr>
              <w:t>Куратска</w:t>
            </w:r>
            <w:proofErr w:type="spellEnd"/>
          </w:p>
        </w:tc>
        <w:tc>
          <w:tcPr>
            <w:tcW w:w="0" w:type="auto"/>
            <w:shd w:val="clear" w:color="auto" w:fill="FFFFFF"/>
          </w:tcPr>
          <w:p w14:paraId="5DB29AC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7E7E3B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B790B83" w14:textId="77777777" w:rsidTr="00FB1106">
        <w:trPr>
          <w:trHeight w:hRule="exact" w:val="221"/>
        </w:trPr>
        <w:tc>
          <w:tcPr>
            <w:tcW w:w="0" w:type="auto"/>
            <w:shd w:val="clear" w:color="auto" w:fill="FFFFFF"/>
          </w:tcPr>
          <w:p w14:paraId="5140AF9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34</w:t>
            </w:r>
          </w:p>
        </w:tc>
        <w:tc>
          <w:tcPr>
            <w:tcW w:w="0" w:type="auto"/>
            <w:shd w:val="clear" w:color="auto" w:fill="FFFFFF"/>
          </w:tcPr>
          <w:p w14:paraId="399D69C8"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BG1NV200R1102</w:t>
            </w:r>
          </w:p>
        </w:tc>
        <w:tc>
          <w:tcPr>
            <w:tcW w:w="0" w:type="auto"/>
            <w:shd w:val="clear" w:color="auto" w:fill="FFFFFF"/>
          </w:tcPr>
          <w:p w14:paraId="66EFF864"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РВ "Перачката бара"; землище Бракьовци</w:t>
            </w:r>
          </w:p>
        </w:tc>
        <w:tc>
          <w:tcPr>
            <w:tcW w:w="0" w:type="auto"/>
            <w:shd w:val="clear" w:color="auto" w:fill="FFFFFF"/>
          </w:tcPr>
          <w:p w14:paraId="1F19134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004994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3F627C88" w14:textId="77777777" w:rsidTr="00BA12F4">
        <w:trPr>
          <w:trHeight w:hRule="exact" w:val="221"/>
        </w:trPr>
        <w:tc>
          <w:tcPr>
            <w:tcW w:w="0" w:type="auto"/>
            <w:gridSpan w:val="5"/>
            <w:shd w:val="clear" w:color="auto" w:fill="F2F2F2" w:themeFill="background1" w:themeFillShade="F2"/>
            <w:vAlign w:val="bottom"/>
          </w:tcPr>
          <w:p w14:paraId="1DBB8ED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ВИТ (основни поречия)</w:t>
            </w:r>
          </w:p>
        </w:tc>
      </w:tr>
      <w:tr w:rsidR="00EB48C4" w:rsidRPr="009F6D1E" w14:paraId="35D5A5AB" w14:textId="77777777" w:rsidTr="00FB1106">
        <w:trPr>
          <w:trHeight w:hRule="exact" w:val="437"/>
        </w:trPr>
        <w:tc>
          <w:tcPr>
            <w:tcW w:w="0" w:type="auto"/>
            <w:shd w:val="clear" w:color="auto" w:fill="FFFFFF"/>
          </w:tcPr>
          <w:p w14:paraId="4050455F"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35</w:t>
            </w:r>
          </w:p>
        </w:tc>
        <w:tc>
          <w:tcPr>
            <w:tcW w:w="0" w:type="auto"/>
            <w:shd w:val="clear" w:color="auto" w:fill="FFFFFF"/>
          </w:tcPr>
          <w:p w14:paraId="628230CA"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BG1VT307R1007</w:t>
            </w:r>
          </w:p>
        </w:tc>
        <w:tc>
          <w:tcPr>
            <w:tcW w:w="0" w:type="auto"/>
            <w:shd w:val="clear" w:color="auto" w:fill="FFFFFF"/>
            <w:vAlign w:val="bottom"/>
          </w:tcPr>
          <w:p w14:paraId="3796A913"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Вит от вливане на р. Каменка при Бежаново до вливане на р. Тученица при Опанец, вкл. приток р. Бара след язовир Г орни Дъбник</w:t>
            </w:r>
          </w:p>
        </w:tc>
        <w:tc>
          <w:tcPr>
            <w:tcW w:w="0" w:type="auto"/>
            <w:shd w:val="clear" w:color="auto" w:fill="FFFFFF"/>
          </w:tcPr>
          <w:p w14:paraId="29E102C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3833C9E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4E15AB86" w14:textId="77777777" w:rsidTr="00FB1106">
        <w:trPr>
          <w:trHeight w:hRule="exact" w:val="221"/>
        </w:trPr>
        <w:tc>
          <w:tcPr>
            <w:tcW w:w="0" w:type="auto"/>
            <w:shd w:val="clear" w:color="auto" w:fill="FFFFFF"/>
          </w:tcPr>
          <w:p w14:paraId="6041698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36</w:t>
            </w:r>
          </w:p>
        </w:tc>
        <w:tc>
          <w:tcPr>
            <w:tcW w:w="0" w:type="auto"/>
            <w:shd w:val="clear" w:color="auto" w:fill="FFFFFF"/>
          </w:tcPr>
          <w:p w14:paraId="487A937F"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BG1VT307R1107</w:t>
            </w:r>
          </w:p>
        </w:tc>
        <w:tc>
          <w:tcPr>
            <w:tcW w:w="0" w:type="auto"/>
            <w:shd w:val="clear" w:color="auto" w:fill="FFFFFF"/>
          </w:tcPr>
          <w:p w14:paraId="21794A1A"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Вит от вливане на р. Калник при Пещерна до вливане на р. Каменка при Бежаново</w:t>
            </w:r>
          </w:p>
        </w:tc>
        <w:tc>
          <w:tcPr>
            <w:tcW w:w="0" w:type="auto"/>
            <w:shd w:val="clear" w:color="auto" w:fill="FFFFFF"/>
          </w:tcPr>
          <w:p w14:paraId="451C8E8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73959F85"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7430A4DB" w14:textId="77777777" w:rsidTr="00FB1106">
        <w:trPr>
          <w:trHeight w:hRule="exact" w:val="221"/>
        </w:trPr>
        <w:tc>
          <w:tcPr>
            <w:tcW w:w="0" w:type="auto"/>
            <w:shd w:val="clear" w:color="auto" w:fill="FFFFFF"/>
          </w:tcPr>
          <w:p w14:paraId="3062176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37</w:t>
            </w:r>
          </w:p>
        </w:tc>
        <w:tc>
          <w:tcPr>
            <w:tcW w:w="0" w:type="auto"/>
            <w:shd w:val="clear" w:color="auto" w:fill="FFFFFF"/>
          </w:tcPr>
          <w:p w14:paraId="3E28E7EB"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BG1VT789R1005</w:t>
            </w:r>
          </w:p>
        </w:tc>
        <w:tc>
          <w:tcPr>
            <w:tcW w:w="0" w:type="auto"/>
            <w:shd w:val="clear" w:color="auto" w:fill="FFFFFF"/>
          </w:tcPr>
          <w:p w14:paraId="4255F4DE"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Вит от вливане на реките Черни Вит и Бели Вит при Тетевен до вливане на р. Калник при Пещерна</w:t>
            </w:r>
          </w:p>
        </w:tc>
        <w:tc>
          <w:tcPr>
            <w:tcW w:w="0" w:type="auto"/>
            <w:shd w:val="clear" w:color="auto" w:fill="FFFFFF"/>
          </w:tcPr>
          <w:p w14:paraId="769FC1F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69E0E7F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4602E835" w14:textId="77777777" w:rsidTr="00BA12F4">
        <w:trPr>
          <w:trHeight w:hRule="exact" w:val="221"/>
        </w:trPr>
        <w:tc>
          <w:tcPr>
            <w:tcW w:w="0" w:type="auto"/>
            <w:gridSpan w:val="5"/>
            <w:shd w:val="clear" w:color="auto" w:fill="F2F2F2" w:themeFill="background1" w:themeFillShade="F2"/>
            <w:vAlign w:val="bottom"/>
          </w:tcPr>
          <w:p w14:paraId="09315E7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ОСЪМ (основно поречие)</w:t>
            </w:r>
          </w:p>
        </w:tc>
      </w:tr>
      <w:tr w:rsidR="00EB48C4" w:rsidRPr="009F6D1E" w14:paraId="7E69FE72" w14:textId="77777777" w:rsidTr="00FB1106">
        <w:trPr>
          <w:trHeight w:hRule="exact" w:val="221"/>
        </w:trPr>
        <w:tc>
          <w:tcPr>
            <w:tcW w:w="0" w:type="auto"/>
            <w:shd w:val="clear" w:color="auto" w:fill="FFFFFF"/>
          </w:tcPr>
          <w:p w14:paraId="78930A5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38</w:t>
            </w:r>
          </w:p>
        </w:tc>
        <w:tc>
          <w:tcPr>
            <w:tcW w:w="0" w:type="auto"/>
            <w:shd w:val="clear" w:color="auto" w:fill="FFFFFF"/>
          </w:tcPr>
          <w:p w14:paraId="3C000086"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BG1OS130R1015</w:t>
            </w:r>
          </w:p>
        </w:tc>
        <w:tc>
          <w:tcPr>
            <w:tcW w:w="0" w:type="auto"/>
            <w:shd w:val="clear" w:color="auto" w:fill="FFFFFF"/>
          </w:tcPr>
          <w:p w14:paraId="6720DD95"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Осъм от вливане на р. Мечка при Дебово до устие</w:t>
            </w:r>
          </w:p>
        </w:tc>
        <w:tc>
          <w:tcPr>
            <w:tcW w:w="0" w:type="auto"/>
            <w:shd w:val="clear" w:color="auto" w:fill="FFFFFF"/>
          </w:tcPr>
          <w:p w14:paraId="72E1933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2D9890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42182DA" w14:textId="77777777" w:rsidTr="00FB1106">
        <w:trPr>
          <w:trHeight w:hRule="exact" w:val="221"/>
        </w:trPr>
        <w:tc>
          <w:tcPr>
            <w:tcW w:w="0" w:type="auto"/>
            <w:shd w:val="clear" w:color="auto" w:fill="FFFFFF"/>
          </w:tcPr>
          <w:p w14:paraId="43534AC2"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39</w:t>
            </w:r>
          </w:p>
        </w:tc>
        <w:tc>
          <w:tcPr>
            <w:tcW w:w="0" w:type="auto"/>
            <w:shd w:val="clear" w:color="auto" w:fill="FFFFFF"/>
          </w:tcPr>
          <w:p w14:paraId="6D67CB51"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BG1OS130R1115</w:t>
            </w:r>
          </w:p>
        </w:tc>
        <w:tc>
          <w:tcPr>
            <w:tcW w:w="0" w:type="auto"/>
            <w:shd w:val="clear" w:color="auto" w:fill="FFFFFF"/>
          </w:tcPr>
          <w:p w14:paraId="41EFD045"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Осъм от вливане на р. Ломя при Левски до вливане на р. Мечка при Дебово; вкл. приток - р. Мечка</w:t>
            </w:r>
          </w:p>
        </w:tc>
        <w:tc>
          <w:tcPr>
            <w:tcW w:w="0" w:type="auto"/>
            <w:shd w:val="clear" w:color="auto" w:fill="FFFFFF"/>
          </w:tcPr>
          <w:p w14:paraId="2815CBF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73FC2D0"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3CD9B069" w14:textId="77777777" w:rsidTr="00FB1106">
        <w:trPr>
          <w:trHeight w:hRule="exact" w:val="437"/>
        </w:trPr>
        <w:tc>
          <w:tcPr>
            <w:tcW w:w="0" w:type="auto"/>
            <w:shd w:val="clear" w:color="auto" w:fill="FFFFFF"/>
          </w:tcPr>
          <w:p w14:paraId="64A59E2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lastRenderedPageBreak/>
              <w:t>40</w:t>
            </w:r>
          </w:p>
        </w:tc>
        <w:tc>
          <w:tcPr>
            <w:tcW w:w="0" w:type="auto"/>
            <w:shd w:val="clear" w:color="auto" w:fill="FFFFFF"/>
          </w:tcPr>
          <w:p w14:paraId="40B0A6B7"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BG1OS700R1001</w:t>
            </w:r>
          </w:p>
        </w:tc>
        <w:tc>
          <w:tcPr>
            <w:tcW w:w="0" w:type="auto"/>
            <w:shd w:val="clear" w:color="auto" w:fill="FFFFFF"/>
            <w:vAlign w:val="bottom"/>
          </w:tcPr>
          <w:p w14:paraId="53F899F0"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Осъм от вливане на реките Черни Осъм и Бели Осъм при Троян до вливане на р. </w:t>
            </w:r>
            <w:proofErr w:type="spellStart"/>
            <w:r w:rsidRPr="009F6D1E">
              <w:rPr>
                <w:rFonts w:cs="Times New Roman"/>
                <w:sz w:val="20"/>
                <w:szCs w:val="20"/>
              </w:rPr>
              <w:t>Берница</w:t>
            </w:r>
            <w:proofErr w:type="spellEnd"/>
            <w:r w:rsidRPr="009F6D1E">
              <w:rPr>
                <w:rFonts w:cs="Times New Roman"/>
                <w:sz w:val="20"/>
                <w:szCs w:val="20"/>
              </w:rPr>
              <w:t xml:space="preserve"> при Александрово, вкл. притоците - </w:t>
            </w:r>
            <w:proofErr w:type="spellStart"/>
            <w:r w:rsidRPr="009F6D1E">
              <w:rPr>
                <w:rFonts w:cs="Times New Roman"/>
                <w:sz w:val="20"/>
                <w:szCs w:val="20"/>
              </w:rPr>
              <w:t>Команска</w:t>
            </w:r>
            <w:proofErr w:type="spellEnd"/>
            <w:r w:rsidRPr="009F6D1E">
              <w:rPr>
                <w:rFonts w:cs="Times New Roman"/>
                <w:sz w:val="20"/>
                <w:szCs w:val="20"/>
              </w:rPr>
              <w:t xml:space="preserve">, Суха, </w:t>
            </w:r>
            <w:proofErr w:type="spellStart"/>
            <w:r w:rsidRPr="009F6D1E">
              <w:rPr>
                <w:rFonts w:cs="Times New Roman"/>
                <w:sz w:val="20"/>
                <w:szCs w:val="20"/>
              </w:rPr>
              <w:t>Дрипля</w:t>
            </w:r>
            <w:proofErr w:type="spellEnd"/>
            <w:r w:rsidRPr="009F6D1E">
              <w:rPr>
                <w:rFonts w:cs="Times New Roman"/>
                <w:sz w:val="20"/>
                <w:szCs w:val="20"/>
              </w:rPr>
              <w:t xml:space="preserve"> и </w:t>
            </w:r>
            <w:proofErr w:type="spellStart"/>
            <w:r w:rsidRPr="009F6D1E">
              <w:rPr>
                <w:rFonts w:cs="Times New Roman"/>
                <w:sz w:val="20"/>
                <w:szCs w:val="20"/>
              </w:rPr>
              <w:t>Берница</w:t>
            </w:r>
            <w:proofErr w:type="spellEnd"/>
          </w:p>
        </w:tc>
        <w:tc>
          <w:tcPr>
            <w:tcW w:w="0" w:type="auto"/>
            <w:shd w:val="clear" w:color="auto" w:fill="FFFFFF"/>
          </w:tcPr>
          <w:p w14:paraId="033675C4"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B50910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7D0EB0F8" w14:textId="77777777" w:rsidTr="00FB1106">
        <w:trPr>
          <w:trHeight w:hRule="exact" w:val="221"/>
        </w:trPr>
        <w:tc>
          <w:tcPr>
            <w:tcW w:w="0" w:type="auto"/>
            <w:shd w:val="clear" w:color="auto" w:fill="FFFFFF"/>
          </w:tcPr>
          <w:p w14:paraId="0651935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41</w:t>
            </w:r>
          </w:p>
        </w:tc>
        <w:tc>
          <w:tcPr>
            <w:tcW w:w="0" w:type="auto"/>
            <w:shd w:val="clear" w:color="auto" w:fill="FFFFFF"/>
          </w:tcPr>
          <w:p w14:paraId="028D8F34"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BG1OS700R1011</w:t>
            </w:r>
          </w:p>
        </w:tc>
        <w:tc>
          <w:tcPr>
            <w:tcW w:w="0" w:type="auto"/>
            <w:shd w:val="clear" w:color="auto" w:fill="FFFFFF"/>
          </w:tcPr>
          <w:p w14:paraId="0BBB6C46"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Осъм от вливане на р. </w:t>
            </w:r>
            <w:proofErr w:type="spellStart"/>
            <w:r w:rsidRPr="009F6D1E">
              <w:rPr>
                <w:rFonts w:cs="Times New Roman"/>
                <w:sz w:val="20"/>
                <w:szCs w:val="20"/>
              </w:rPr>
              <w:t>Берница</w:t>
            </w:r>
            <w:proofErr w:type="spellEnd"/>
            <w:r w:rsidRPr="009F6D1E">
              <w:rPr>
                <w:rFonts w:cs="Times New Roman"/>
                <w:sz w:val="20"/>
                <w:szCs w:val="20"/>
              </w:rPr>
              <w:t xml:space="preserve"> при Александрово до вливане на р. Ломя, вкл. приток р. Градежница</w:t>
            </w:r>
          </w:p>
        </w:tc>
        <w:tc>
          <w:tcPr>
            <w:tcW w:w="0" w:type="auto"/>
            <w:shd w:val="clear" w:color="auto" w:fill="FFFFFF"/>
          </w:tcPr>
          <w:p w14:paraId="30357D9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0F20EC1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43C29CF6" w14:textId="77777777" w:rsidTr="00BA12F4">
        <w:trPr>
          <w:trHeight w:hRule="exact" w:val="221"/>
        </w:trPr>
        <w:tc>
          <w:tcPr>
            <w:tcW w:w="0" w:type="auto"/>
            <w:gridSpan w:val="5"/>
            <w:shd w:val="clear" w:color="auto" w:fill="F2F2F2" w:themeFill="background1" w:themeFillShade="F2"/>
          </w:tcPr>
          <w:p w14:paraId="37A8048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ЯНТРА</w:t>
            </w:r>
          </w:p>
        </w:tc>
      </w:tr>
      <w:tr w:rsidR="00EB48C4" w:rsidRPr="009F6D1E" w14:paraId="682D46B6" w14:textId="77777777" w:rsidTr="00FB1106">
        <w:trPr>
          <w:trHeight w:hRule="exact" w:val="221"/>
        </w:trPr>
        <w:tc>
          <w:tcPr>
            <w:tcW w:w="0" w:type="auto"/>
            <w:shd w:val="clear" w:color="auto" w:fill="FFFFFF"/>
          </w:tcPr>
          <w:p w14:paraId="1C0C751E"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42</w:t>
            </w:r>
          </w:p>
        </w:tc>
        <w:tc>
          <w:tcPr>
            <w:tcW w:w="0" w:type="auto"/>
            <w:shd w:val="clear" w:color="auto" w:fill="FFFFFF"/>
          </w:tcPr>
          <w:p w14:paraId="24F5BB0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BG1YN130R1029</w:t>
            </w:r>
          </w:p>
        </w:tc>
        <w:tc>
          <w:tcPr>
            <w:tcW w:w="0" w:type="auto"/>
            <w:shd w:val="clear" w:color="auto" w:fill="FFFFFF"/>
          </w:tcPr>
          <w:p w14:paraId="02146E5C"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Янтра от вливане на р. </w:t>
            </w:r>
            <w:proofErr w:type="spellStart"/>
            <w:r w:rsidRPr="009F6D1E">
              <w:rPr>
                <w:rFonts w:cs="Times New Roman"/>
                <w:sz w:val="20"/>
                <w:szCs w:val="20"/>
              </w:rPr>
              <w:t>Елийска</w:t>
            </w:r>
            <w:proofErr w:type="spellEnd"/>
            <w:r w:rsidRPr="009F6D1E">
              <w:rPr>
                <w:rFonts w:cs="Times New Roman"/>
                <w:sz w:val="20"/>
                <w:szCs w:val="20"/>
              </w:rPr>
              <w:t xml:space="preserve"> при Полски Тръмбеш до устие</w:t>
            </w:r>
          </w:p>
        </w:tc>
        <w:tc>
          <w:tcPr>
            <w:tcW w:w="0" w:type="auto"/>
            <w:shd w:val="clear" w:color="auto" w:fill="FFFFFF"/>
          </w:tcPr>
          <w:p w14:paraId="64DA741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2BA4B12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805E342" w14:textId="77777777" w:rsidTr="00FB1106">
        <w:trPr>
          <w:trHeight w:hRule="exact" w:val="221"/>
        </w:trPr>
        <w:tc>
          <w:tcPr>
            <w:tcW w:w="0" w:type="auto"/>
            <w:shd w:val="clear" w:color="auto" w:fill="FFFFFF"/>
          </w:tcPr>
          <w:p w14:paraId="2BFEA5A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43</w:t>
            </w:r>
          </w:p>
        </w:tc>
        <w:tc>
          <w:tcPr>
            <w:tcW w:w="0" w:type="auto"/>
            <w:shd w:val="clear" w:color="auto" w:fill="FFFFFF"/>
          </w:tcPr>
          <w:p w14:paraId="632518CF"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BG1YN307R1027</w:t>
            </w:r>
          </w:p>
        </w:tc>
        <w:tc>
          <w:tcPr>
            <w:tcW w:w="0" w:type="auto"/>
            <w:shd w:val="clear" w:color="auto" w:fill="FFFFFF"/>
          </w:tcPr>
          <w:p w14:paraId="213598B0"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Янтра от вливане на р. Росица при Крушето до вливане на р. </w:t>
            </w:r>
            <w:proofErr w:type="spellStart"/>
            <w:r w:rsidRPr="009F6D1E">
              <w:rPr>
                <w:rFonts w:cs="Times New Roman"/>
                <w:sz w:val="20"/>
                <w:szCs w:val="20"/>
              </w:rPr>
              <w:t>Елийска</w:t>
            </w:r>
            <w:proofErr w:type="spellEnd"/>
            <w:r w:rsidRPr="009F6D1E">
              <w:rPr>
                <w:rFonts w:cs="Times New Roman"/>
                <w:sz w:val="20"/>
                <w:szCs w:val="20"/>
              </w:rPr>
              <w:t xml:space="preserve"> при Полски Тръмбеш</w:t>
            </w:r>
          </w:p>
        </w:tc>
        <w:tc>
          <w:tcPr>
            <w:tcW w:w="0" w:type="auto"/>
            <w:shd w:val="clear" w:color="auto" w:fill="FFFFFF"/>
          </w:tcPr>
          <w:p w14:paraId="202F697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55ED9F5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4ACE56C2" w14:textId="77777777" w:rsidTr="00FB1106">
        <w:trPr>
          <w:trHeight w:hRule="exact" w:val="221"/>
        </w:trPr>
        <w:tc>
          <w:tcPr>
            <w:tcW w:w="0" w:type="auto"/>
            <w:shd w:val="clear" w:color="auto" w:fill="FFFFFF"/>
          </w:tcPr>
          <w:p w14:paraId="34EC25F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44</w:t>
            </w:r>
          </w:p>
        </w:tc>
        <w:tc>
          <w:tcPr>
            <w:tcW w:w="0" w:type="auto"/>
            <w:shd w:val="clear" w:color="auto" w:fill="FFFFFF"/>
          </w:tcPr>
          <w:p w14:paraId="6279E134"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BG1YN307R1127</w:t>
            </w:r>
          </w:p>
        </w:tc>
        <w:tc>
          <w:tcPr>
            <w:tcW w:w="0" w:type="auto"/>
            <w:shd w:val="clear" w:color="auto" w:fill="FFFFFF"/>
          </w:tcPr>
          <w:p w14:paraId="78C16B9E"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Янтра от вливане на р. Лефеджа при Горски долен Тръмбеш до вливане на р. Росица при Крушето</w:t>
            </w:r>
          </w:p>
        </w:tc>
        <w:tc>
          <w:tcPr>
            <w:tcW w:w="0" w:type="auto"/>
            <w:shd w:val="clear" w:color="auto" w:fill="FFFFFF"/>
          </w:tcPr>
          <w:p w14:paraId="2F4A838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отлично/добро</w:t>
            </w:r>
          </w:p>
        </w:tc>
        <w:tc>
          <w:tcPr>
            <w:tcW w:w="0" w:type="auto"/>
            <w:shd w:val="clear" w:color="auto" w:fill="FFFFFF"/>
          </w:tcPr>
          <w:p w14:paraId="58A4F16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A96477A" w14:textId="77777777" w:rsidTr="00FB1106">
        <w:trPr>
          <w:trHeight w:hRule="exact" w:val="226"/>
        </w:trPr>
        <w:tc>
          <w:tcPr>
            <w:tcW w:w="0" w:type="auto"/>
            <w:shd w:val="clear" w:color="auto" w:fill="FFFFFF"/>
            <w:vAlign w:val="bottom"/>
          </w:tcPr>
          <w:p w14:paraId="68E335DA"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44</w:t>
            </w:r>
          </w:p>
        </w:tc>
        <w:tc>
          <w:tcPr>
            <w:tcW w:w="0" w:type="auto"/>
            <w:shd w:val="clear" w:color="auto" w:fill="FFFFFF"/>
            <w:vAlign w:val="bottom"/>
          </w:tcPr>
          <w:p w14:paraId="6F95E32E"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BG1YN700R1017</w:t>
            </w:r>
          </w:p>
        </w:tc>
        <w:tc>
          <w:tcPr>
            <w:tcW w:w="0" w:type="auto"/>
            <w:shd w:val="clear" w:color="auto" w:fill="FFFFFF"/>
            <w:vAlign w:val="bottom"/>
          </w:tcPr>
          <w:p w14:paraId="643946A2"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Янтра от вливане на р. Белица при Велико Търново до вливане на р. Лефеджа при Горски долен Тръмбеш</w:t>
            </w:r>
          </w:p>
        </w:tc>
        <w:tc>
          <w:tcPr>
            <w:tcW w:w="0" w:type="auto"/>
            <w:shd w:val="clear" w:color="auto" w:fill="FFFFFF"/>
            <w:vAlign w:val="bottom"/>
          </w:tcPr>
          <w:p w14:paraId="0457967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2F34E086"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79C734B6" w14:textId="77777777" w:rsidTr="00FB1106">
        <w:trPr>
          <w:trHeight w:hRule="exact" w:val="221"/>
        </w:trPr>
        <w:tc>
          <w:tcPr>
            <w:tcW w:w="0" w:type="auto"/>
            <w:shd w:val="clear" w:color="auto" w:fill="FFFFFF"/>
          </w:tcPr>
          <w:p w14:paraId="1240E226"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45</w:t>
            </w:r>
          </w:p>
        </w:tc>
        <w:tc>
          <w:tcPr>
            <w:tcW w:w="0" w:type="auto"/>
            <w:shd w:val="clear" w:color="auto" w:fill="FFFFFF"/>
          </w:tcPr>
          <w:p w14:paraId="5E308293"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BG1YN900R1015</w:t>
            </w:r>
          </w:p>
        </w:tc>
        <w:tc>
          <w:tcPr>
            <w:tcW w:w="0" w:type="auto"/>
            <w:shd w:val="clear" w:color="auto" w:fill="FFFFFF"/>
          </w:tcPr>
          <w:p w14:paraId="060E3924"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 xml:space="preserve">р. Янтра от вливане на р. </w:t>
            </w:r>
            <w:proofErr w:type="spellStart"/>
            <w:r w:rsidRPr="009F6D1E">
              <w:rPr>
                <w:rFonts w:cs="Times New Roman"/>
                <w:sz w:val="20"/>
                <w:szCs w:val="20"/>
              </w:rPr>
              <w:t>Козлята</w:t>
            </w:r>
            <w:proofErr w:type="spellEnd"/>
            <w:r w:rsidRPr="009F6D1E">
              <w:rPr>
                <w:rFonts w:cs="Times New Roman"/>
                <w:sz w:val="20"/>
                <w:szCs w:val="20"/>
              </w:rPr>
              <w:t xml:space="preserve"> при Г </w:t>
            </w:r>
            <w:proofErr w:type="spellStart"/>
            <w:r w:rsidRPr="009F6D1E">
              <w:rPr>
                <w:rFonts w:cs="Times New Roman"/>
                <w:sz w:val="20"/>
                <w:szCs w:val="20"/>
              </w:rPr>
              <w:t>аброво</w:t>
            </w:r>
            <w:proofErr w:type="spellEnd"/>
            <w:r w:rsidRPr="009F6D1E">
              <w:rPr>
                <w:rFonts w:cs="Times New Roman"/>
                <w:sz w:val="20"/>
                <w:szCs w:val="20"/>
              </w:rPr>
              <w:t xml:space="preserve"> до вливане на р. Белица при Велико Търново</w:t>
            </w:r>
          </w:p>
        </w:tc>
        <w:tc>
          <w:tcPr>
            <w:tcW w:w="0" w:type="auto"/>
            <w:shd w:val="clear" w:color="auto" w:fill="FFFFFF"/>
          </w:tcPr>
          <w:p w14:paraId="6AB2D79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6A05C0ED"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38BAA628" w14:textId="77777777" w:rsidTr="00FB1106">
        <w:trPr>
          <w:trHeight w:hRule="exact" w:val="221"/>
        </w:trPr>
        <w:tc>
          <w:tcPr>
            <w:tcW w:w="0" w:type="auto"/>
            <w:shd w:val="clear" w:color="auto" w:fill="FFFFFF"/>
          </w:tcPr>
          <w:p w14:paraId="6A3E2A8B"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46</w:t>
            </w:r>
          </w:p>
        </w:tc>
        <w:tc>
          <w:tcPr>
            <w:tcW w:w="0" w:type="auto"/>
            <w:shd w:val="clear" w:color="auto" w:fill="FFFFFF"/>
          </w:tcPr>
          <w:p w14:paraId="6DF2FD38"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BG1YN900R1215</w:t>
            </w:r>
          </w:p>
        </w:tc>
        <w:tc>
          <w:tcPr>
            <w:tcW w:w="0" w:type="auto"/>
            <w:shd w:val="clear" w:color="auto" w:fill="FFFFFF"/>
          </w:tcPr>
          <w:p w14:paraId="1DE94EAC" w14:textId="77777777" w:rsidR="00EB48C4" w:rsidRPr="009F6D1E" w:rsidRDefault="00EB48C4" w:rsidP="0084747F">
            <w:pPr>
              <w:spacing w:after="60" w:line="264" w:lineRule="auto"/>
              <w:jc w:val="both"/>
              <w:rPr>
                <w:rFonts w:cs="Times New Roman"/>
                <w:sz w:val="20"/>
                <w:szCs w:val="20"/>
                <w:lang w:bidi="en-US"/>
              </w:rPr>
            </w:pPr>
            <w:r w:rsidRPr="009F6D1E">
              <w:rPr>
                <w:rFonts w:cs="Times New Roman"/>
                <w:sz w:val="20"/>
                <w:szCs w:val="20"/>
                <w:lang w:bidi="en-US"/>
              </w:rPr>
              <w:t>РВ "Янтра"; ОВ "</w:t>
            </w:r>
            <w:proofErr w:type="spellStart"/>
            <w:r w:rsidRPr="009F6D1E">
              <w:rPr>
                <w:rFonts w:cs="Times New Roman"/>
                <w:sz w:val="20"/>
                <w:szCs w:val="20"/>
                <w:lang w:bidi="en-US"/>
              </w:rPr>
              <w:t>Сапатовец</w:t>
            </w:r>
            <w:proofErr w:type="spellEnd"/>
            <w:r w:rsidRPr="009F6D1E">
              <w:rPr>
                <w:rFonts w:cs="Times New Roman"/>
                <w:sz w:val="20"/>
                <w:szCs w:val="20"/>
                <w:lang w:bidi="en-US"/>
              </w:rPr>
              <w:t>" на р. Янтра</w:t>
            </w:r>
          </w:p>
        </w:tc>
        <w:tc>
          <w:tcPr>
            <w:tcW w:w="0" w:type="auto"/>
            <w:shd w:val="clear" w:color="auto" w:fill="FFFFFF"/>
          </w:tcPr>
          <w:p w14:paraId="1A7BE3BE" w14:textId="77777777" w:rsidR="00EB48C4" w:rsidRPr="009F6D1E" w:rsidRDefault="00EB48C4" w:rsidP="0084747F">
            <w:pPr>
              <w:spacing w:after="60" w:line="264" w:lineRule="auto"/>
              <w:jc w:val="center"/>
              <w:rPr>
                <w:rFonts w:cs="Times New Roman"/>
                <w:sz w:val="20"/>
                <w:szCs w:val="20"/>
                <w:lang w:bidi="en-US"/>
              </w:rPr>
            </w:pPr>
            <w:r w:rsidRPr="009F6D1E">
              <w:rPr>
                <w:rFonts w:cs="Times New Roman"/>
                <w:sz w:val="20"/>
                <w:szCs w:val="20"/>
                <w:lang w:bidi="en-US"/>
              </w:rPr>
              <w:t>добро</w:t>
            </w:r>
          </w:p>
        </w:tc>
        <w:tc>
          <w:tcPr>
            <w:tcW w:w="0" w:type="auto"/>
            <w:shd w:val="clear" w:color="auto" w:fill="FFFFFF"/>
          </w:tcPr>
          <w:p w14:paraId="1DDCBFE6" w14:textId="77777777" w:rsidR="00EB48C4" w:rsidRPr="009F6D1E" w:rsidRDefault="00EB48C4" w:rsidP="0084747F">
            <w:pPr>
              <w:spacing w:after="60" w:line="264" w:lineRule="auto"/>
              <w:jc w:val="center"/>
              <w:rPr>
                <w:rFonts w:cs="Times New Roman"/>
                <w:sz w:val="20"/>
                <w:szCs w:val="20"/>
                <w:lang w:bidi="en-US"/>
              </w:rPr>
            </w:pPr>
            <w:r w:rsidRPr="009F6D1E">
              <w:rPr>
                <w:rFonts w:cs="Times New Roman"/>
                <w:sz w:val="20"/>
                <w:szCs w:val="20"/>
                <w:lang w:bidi="en-US"/>
              </w:rPr>
              <w:t>добро</w:t>
            </w:r>
          </w:p>
        </w:tc>
      </w:tr>
      <w:tr w:rsidR="00EB48C4" w:rsidRPr="009F6D1E" w14:paraId="3545D2DB" w14:textId="77777777" w:rsidTr="00FB1106">
        <w:trPr>
          <w:trHeight w:hRule="exact" w:val="352"/>
        </w:trPr>
        <w:tc>
          <w:tcPr>
            <w:tcW w:w="0" w:type="auto"/>
            <w:shd w:val="clear" w:color="auto" w:fill="FFFFFF"/>
          </w:tcPr>
          <w:p w14:paraId="6B8530EF"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47</w:t>
            </w:r>
          </w:p>
        </w:tc>
        <w:tc>
          <w:tcPr>
            <w:tcW w:w="0" w:type="auto"/>
            <w:shd w:val="clear" w:color="auto" w:fill="FFFFFF"/>
          </w:tcPr>
          <w:p w14:paraId="6FB329F2"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BG1YN900R1415</w:t>
            </w:r>
          </w:p>
        </w:tc>
        <w:tc>
          <w:tcPr>
            <w:tcW w:w="0" w:type="auto"/>
            <w:shd w:val="clear" w:color="auto" w:fill="FFFFFF"/>
          </w:tcPr>
          <w:p w14:paraId="475D231F"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р. Янтра от зоната за защита: РВ "Янтра"; ОВ "</w:t>
            </w:r>
            <w:proofErr w:type="spellStart"/>
            <w:r w:rsidRPr="009F6D1E">
              <w:rPr>
                <w:rFonts w:cs="Times New Roman"/>
                <w:sz w:val="20"/>
                <w:szCs w:val="20"/>
                <w:lang w:bidi="en-US"/>
              </w:rPr>
              <w:t>Сапатовец</w:t>
            </w:r>
            <w:proofErr w:type="spellEnd"/>
            <w:r w:rsidRPr="009F6D1E">
              <w:rPr>
                <w:rFonts w:cs="Times New Roman"/>
                <w:sz w:val="20"/>
                <w:szCs w:val="20"/>
                <w:lang w:bidi="en-US"/>
              </w:rPr>
              <w:t xml:space="preserve">" до вливане на р. </w:t>
            </w:r>
            <w:proofErr w:type="spellStart"/>
            <w:r w:rsidRPr="009F6D1E">
              <w:rPr>
                <w:rFonts w:cs="Times New Roman"/>
                <w:sz w:val="20"/>
                <w:szCs w:val="20"/>
                <w:lang w:bidi="en-US"/>
              </w:rPr>
              <w:t>Козлята</w:t>
            </w:r>
            <w:proofErr w:type="spellEnd"/>
            <w:r w:rsidRPr="009F6D1E">
              <w:rPr>
                <w:rFonts w:cs="Times New Roman"/>
                <w:sz w:val="20"/>
                <w:szCs w:val="20"/>
                <w:lang w:bidi="en-US"/>
              </w:rPr>
              <w:t xml:space="preserve"> при Габрово</w:t>
            </w:r>
          </w:p>
        </w:tc>
        <w:tc>
          <w:tcPr>
            <w:tcW w:w="0" w:type="auto"/>
            <w:shd w:val="clear" w:color="auto" w:fill="FFFFFF"/>
          </w:tcPr>
          <w:p w14:paraId="5B193FFD" w14:textId="77777777" w:rsidR="00EB48C4" w:rsidRPr="009F6D1E" w:rsidRDefault="00EB48C4" w:rsidP="0084747F">
            <w:pPr>
              <w:spacing w:after="60" w:line="264" w:lineRule="auto"/>
              <w:jc w:val="center"/>
              <w:rPr>
                <w:rFonts w:cs="Times New Roman"/>
                <w:sz w:val="20"/>
                <w:szCs w:val="20"/>
                <w:lang w:bidi="en-US"/>
              </w:rPr>
            </w:pPr>
            <w:r w:rsidRPr="009F6D1E">
              <w:rPr>
                <w:rFonts w:cs="Times New Roman"/>
                <w:sz w:val="20"/>
                <w:szCs w:val="20"/>
                <w:lang w:bidi="en-US"/>
              </w:rPr>
              <w:t>неизвестно</w:t>
            </w:r>
          </w:p>
        </w:tc>
        <w:tc>
          <w:tcPr>
            <w:tcW w:w="0" w:type="auto"/>
            <w:shd w:val="clear" w:color="auto" w:fill="FFFFFF"/>
          </w:tcPr>
          <w:p w14:paraId="72B8C40B" w14:textId="77777777" w:rsidR="00EB48C4" w:rsidRPr="009F6D1E" w:rsidRDefault="00EB48C4" w:rsidP="0084747F">
            <w:pPr>
              <w:spacing w:after="60" w:line="264" w:lineRule="auto"/>
              <w:jc w:val="center"/>
              <w:rPr>
                <w:rFonts w:cs="Times New Roman"/>
                <w:sz w:val="20"/>
                <w:szCs w:val="20"/>
                <w:lang w:bidi="en-US"/>
              </w:rPr>
            </w:pPr>
            <w:r w:rsidRPr="009F6D1E">
              <w:rPr>
                <w:rFonts w:cs="Times New Roman"/>
                <w:sz w:val="20"/>
                <w:szCs w:val="20"/>
                <w:lang w:bidi="en-US"/>
              </w:rPr>
              <w:t>неизвестно</w:t>
            </w:r>
          </w:p>
        </w:tc>
      </w:tr>
      <w:tr w:rsidR="00EB48C4" w:rsidRPr="009F6D1E" w14:paraId="5A1B0C9D" w14:textId="77777777" w:rsidTr="00BA12F4">
        <w:trPr>
          <w:trHeight w:hRule="exact" w:val="221"/>
        </w:trPr>
        <w:tc>
          <w:tcPr>
            <w:tcW w:w="0" w:type="auto"/>
            <w:gridSpan w:val="5"/>
            <w:shd w:val="clear" w:color="auto" w:fill="F2F2F2" w:themeFill="background1" w:themeFillShade="F2"/>
          </w:tcPr>
          <w:p w14:paraId="52B6F4F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РУСЕНСКИ ЛОМ (основни поречия)</w:t>
            </w:r>
          </w:p>
          <w:p w14:paraId="4FDFDC80" w14:textId="77777777" w:rsidR="00EB48C4" w:rsidRPr="009F6D1E" w:rsidRDefault="00EB48C4" w:rsidP="0084747F">
            <w:pPr>
              <w:spacing w:after="60" w:line="264" w:lineRule="auto"/>
              <w:jc w:val="center"/>
              <w:rPr>
                <w:rFonts w:cs="Times New Roman"/>
                <w:sz w:val="20"/>
                <w:szCs w:val="20"/>
              </w:rPr>
            </w:pPr>
          </w:p>
        </w:tc>
      </w:tr>
      <w:tr w:rsidR="00EB48C4" w:rsidRPr="009F6D1E" w14:paraId="6A71C6C9" w14:textId="77777777" w:rsidTr="00FB1106">
        <w:trPr>
          <w:trHeight w:hRule="exact" w:val="221"/>
        </w:trPr>
        <w:tc>
          <w:tcPr>
            <w:tcW w:w="0" w:type="auto"/>
            <w:shd w:val="clear" w:color="auto" w:fill="FFFFFF"/>
          </w:tcPr>
          <w:p w14:paraId="5ABFD560"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48</w:t>
            </w:r>
          </w:p>
        </w:tc>
        <w:tc>
          <w:tcPr>
            <w:tcW w:w="0" w:type="auto"/>
            <w:shd w:val="clear" w:color="auto" w:fill="FFFFFF"/>
          </w:tcPr>
          <w:p w14:paraId="0C69A4C3"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BG1RL120R1013</w:t>
            </w:r>
          </w:p>
        </w:tc>
        <w:tc>
          <w:tcPr>
            <w:tcW w:w="0" w:type="auto"/>
            <w:shd w:val="clear" w:color="auto" w:fill="FFFFFF"/>
          </w:tcPr>
          <w:p w14:paraId="4BE27AFF" w14:textId="77777777" w:rsidR="00EB48C4" w:rsidRPr="009F6D1E" w:rsidRDefault="00EB48C4" w:rsidP="0084747F">
            <w:pPr>
              <w:spacing w:after="60" w:line="264" w:lineRule="auto"/>
              <w:jc w:val="both"/>
              <w:rPr>
                <w:rFonts w:cs="Times New Roman"/>
                <w:sz w:val="20"/>
                <w:szCs w:val="20"/>
              </w:rPr>
            </w:pPr>
            <w:r w:rsidRPr="009F6D1E">
              <w:rPr>
                <w:rFonts w:cs="Times New Roman"/>
                <w:sz w:val="20"/>
                <w:szCs w:val="20"/>
              </w:rPr>
              <w:t>р. Русенски Лом от вливане на реките Черни Лом и Бели Лом до устие</w:t>
            </w:r>
          </w:p>
        </w:tc>
        <w:tc>
          <w:tcPr>
            <w:tcW w:w="0" w:type="auto"/>
            <w:shd w:val="clear" w:color="auto" w:fill="FFFFFF"/>
          </w:tcPr>
          <w:p w14:paraId="4A955E48"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F4EBB3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27F9ADA3" w14:textId="77777777" w:rsidTr="00BA12F4">
        <w:trPr>
          <w:trHeight w:hRule="exact" w:val="230"/>
        </w:trPr>
        <w:tc>
          <w:tcPr>
            <w:tcW w:w="0" w:type="auto"/>
            <w:gridSpan w:val="5"/>
            <w:shd w:val="clear" w:color="auto" w:fill="F2F2F2" w:themeFill="background1" w:themeFillShade="F2"/>
            <w:vAlign w:val="bottom"/>
          </w:tcPr>
          <w:p w14:paraId="29E3ECA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ПОРЕЧИЕ НА ДУНАВСКИ ДОБРУДЖАНСКИ РЕКИ</w:t>
            </w:r>
          </w:p>
        </w:tc>
      </w:tr>
      <w:tr w:rsidR="00EB48C4" w:rsidRPr="009F6D1E" w14:paraId="5B99E467" w14:textId="77777777" w:rsidTr="00FB1106">
        <w:trPr>
          <w:trHeight w:hRule="exact" w:val="245"/>
        </w:trPr>
        <w:tc>
          <w:tcPr>
            <w:tcW w:w="0" w:type="auto"/>
            <w:shd w:val="clear" w:color="auto" w:fill="FFFFFF"/>
            <w:vAlign w:val="bottom"/>
          </w:tcPr>
          <w:p w14:paraId="30871531"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49</w:t>
            </w:r>
          </w:p>
        </w:tc>
        <w:tc>
          <w:tcPr>
            <w:tcW w:w="0" w:type="auto"/>
            <w:shd w:val="clear" w:color="auto" w:fill="FFFFFF"/>
            <w:vAlign w:val="bottom"/>
          </w:tcPr>
          <w:p w14:paraId="4944BD83" w14:textId="77777777" w:rsidR="00EB48C4" w:rsidRPr="009F6D1E" w:rsidRDefault="00EB48C4" w:rsidP="0084747F">
            <w:pPr>
              <w:spacing w:after="60" w:line="264" w:lineRule="auto"/>
              <w:rPr>
                <w:rFonts w:cs="Times New Roman"/>
                <w:sz w:val="20"/>
                <w:szCs w:val="20"/>
                <w:lang w:bidi="en-US"/>
              </w:rPr>
            </w:pPr>
            <w:r w:rsidRPr="009F6D1E">
              <w:rPr>
                <w:rFonts w:cs="Times New Roman"/>
                <w:sz w:val="20"/>
                <w:szCs w:val="20"/>
                <w:lang w:bidi="en-US"/>
              </w:rPr>
              <w:t>BG1DJ109R001</w:t>
            </w:r>
          </w:p>
        </w:tc>
        <w:tc>
          <w:tcPr>
            <w:tcW w:w="0" w:type="auto"/>
            <w:shd w:val="clear" w:color="auto" w:fill="FFFFFF"/>
            <w:vAlign w:val="bottom"/>
          </w:tcPr>
          <w:p w14:paraId="6D2713B8"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Сенкьовица от извор до вливане в р. Дунав при Попина</w:t>
            </w:r>
          </w:p>
        </w:tc>
        <w:tc>
          <w:tcPr>
            <w:tcW w:w="0" w:type="auto"/>
            <w:shd w:val="clear" w:color="auto" w:fill="FFFFFF"/>
            <w:vAlign w:val="bottom"/>
          </w:tcPr>
          <w:p w14:paraId="0F2C5E7A"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bottom"/>
          </w:tcPr>
          <w:p w14:paraId="34311FB3"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27AEFD4C" w14:textId="77777777" w:rsidTr="00FB1106">
        <w:trPr>
          <w:trHeight w:hRule="exact" w:val="245"/>
        </w:trPr>
        <w:tc>
          <w:tcPr>
            <w:tcW w:w="0" w:type="auto"/>
            <w:shd w:val="clear" w:color="auto" w:fill="FFFFFF"/>
            <w:vAlign w:val="bottom"/>
          </w:tcPr>
          <w:p w14:paraId="39DC1D1C"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50</w:t>
            </w:r>
          </w:p>
        </w:tc>
        <w:tc>
          <w:tcPr>
            <w:tcW w:w="0" w:type="auto"/>
            <w:shd w:val="clear" w:color="auto" w:fill="FFFFFF"/>
            <w:vAlign w:val="bottom"/>
          </w:tcPr>
          <w:p w14:paraId="4C557EE8"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BG1DJ149R1002</w:t>
            </w:r>
          </w:p>
        </w:tc>
        <w:tc>
          <w:tcPr>
            <w:tcW w:w="0" w:type="auto"/>
            <w:shd w:val="clear" w:color="auto" w:fill="FFFFFF"/>
            <w:vAlign w:val="bottom"/>
          </w:tcPr>
          <w:p w14:paraId="06F26BE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Царацар с притоци р. </w:t>
            </w:r>
            <w:proofErr w:type="spellStart"/>
            <w:r w:rsidRPr="009F6D1E">
              <w:rPr>
                <w:rFonts w:cs="Times New Roman"/>
                <w:sz w:val="20"/>
                <w:szCs w:val="20"/>
              </w:rPr>
              <w:t>Лудня</w:t>
            </w:r>
            <w:proofErr w:type="spellEnd"/>
            <w:r w:rsidRPr="009F6D1E">
              <w:rPr>
                <w:rFonts w:cs="Times New Roman"/>
                <w:sz w:val="20"/>
                <w:szCs w:val="20"/>
              </w:rPr>
              <w:t xml:space="preserve"> и р. </w:t>
            </w:r>
            <w:proofErr w:type="spellStart"/>
            <w:r w:rsidRPr="009F6D1E">
              <w:rPr>
                <w:rFonts w:cs="Times New Roman"/>
                <w:sz w:val="20"/>
                <w:szCs w:val="20"/>
              </w:rPr>
              <w:t>Чаирлек</w:t>
            </w:r>
            <w:proofErr w:type="spellEnd"/>
            <w:r w:rsidRPr="009F6D1E">
              <w:rPr>
                <w:rFonts w:cs="Times New Roman"/>
                <w:sz w:val="20"/>
                <w:szCs w:val="20"/>
              </w:rPr>
              <w:t xml:space="preserve"> от извор до вливане в р. Дунав при Тутракан</w:t>
            </w:r>
          </w:p>
        </w:tc>
        <w:tc>
          <w:tcPr>
            <w:tcW w:w="0" w:type="auto"/>
            <w:shd w:val="clear" w:color="auto" w:fill="FFFFFF"/>
            <w:vAlign w:val="bottom"/>
          </w:tcPr>
          <w:p w14:paraId="1D22BD7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bottom"/>
          </w:tcPr>
          <w:p w14:paraId="58CC10D7"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616451A9" w14:textId="77777777" w:rsidTr="00FB1106">
        <w:trPr>
          <w:trHeight w:hRule="exact" w:val="221"/>
        </w:trPr>
        <w:tc>
          <w:tcPr>
            <w:tcW w:w="0" w:type="auto"/>
            <w:shd w:val="clear" w:color="auto" w:fill="FFFFFF"/>
          </w:tcPr>
          <w:p w14:paraId="7F380361"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51</w:t>
            </w:r>
          </w:p>
        </w:tc>
        <w:tc>
          <w:tcPr>
            <w:tcW w:w="0" w:type="auto"/>
            <w:shd w:val="clear" w:color="auto" w:fill="FFFFFF"/>
          </w:tcPr>
          <w:p w14:paraId="22E697FA"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BG1DJ345R1010</w:t>
            </w:r>
          </w:p>
        </w:tc>
        <w:tc>
          <w:tcPr>
            <w:tcW w:w="0" w:type="auto"/>
            <w:shd w:val="clear" w:color="auto" w:fill="FFFFFF"/>
          </w:tcPr>
          <w:p w14:paraId="03610F7E"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Караман</w:t>
            </w:r>
          </w:p>
        </w:tc>
        <w:tc>
          <w:tcPr>
            <w:tcW w:w="0" w:type="auto"/>
            <w:shd w:val="clear" w:color="auto" w:fill="FFFFFF"/>
          </w:tcPr>
          <w:p w14:paraId="3D9BF4B2"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230712A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1BABAB72" w14:textId="77777777" w:rsidTr="00FB1106">
        <w:trPr>
          <w:trHeight w:hRule="exact" w:val="221"/>
        </w:trPr>
        <w:tc>
          <w:tcPr>
            <w:tcW w:w="0" w:type="auto"/>
            <w:shd w:val="clear" w:color="auto" w:fill="FFFFFF"/>
          </w:tcPr>
          <w:p w14:paraId="609D9FE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52</w:t>
            </w:r>
          </w:p>
        </w:tc>
        <w:tc>
          <w:tcPr>
            <w:tcW w:w="0" w:type="auto"/>
            <w:shd w:val="clear" w:color="auto" w:fill="FFFFFF"/>
          </w:tcPr>
          <w:p w14:paraId="1A0D37A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BG1DJ900R1008</w:t>
            </w:r>
          </w:p>
        </w:tc>
        <w:tc>
          <w:tcPr>
            <w:tcW w:w="0" w:type="auto"/>
            <w:shd w:val="clear" w:color="auto" w:fill="FFFFFF"/>
          </w:tcPr>
          <w:p w14:paraId="081C61A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Хърсовска</w:t>
            </w:r>
            <w:proofErr w:type="spellEnd"/>
            <w:r w:rsidRPr="009F6D1E">
              <w:rPr>
                <w:rFonts w:cs="Times New Roman"/>
                <w:sz w:val="20"/>
                <w:szCs w:val="20"/>
              </w:rPr>
              <w:t xml:space="preserve"> и р. </w:t>
            </w:r>
            <w:proofErr w:type="spellStart"/>
            <w:r w:rsidRPr="009F6D1E">
              <w:rPr>
                <w:rFonts w:cs="Times New Roman"/>
                <w:sz w:val="20"/>
                <w:szCs w:val="20"/>
              </w:rPr>
              <w:t>Ружичка</w:t>
            </w:r>
            <w:proofErr w:type="spellEnd"/>
          </w:p>
        </w:tc>
        <w:tc>
          <w:tcPr>
            <w:tcW w:w="0" w:type="auto"/>
            <w:shd w:val="clear" w:color="auto" w:fill="FFFFFF"/>
          </w:tcPr>
          <w:p w14:paraId="43DBEE2F"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74D4DB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74D66006" w14:textId="77777777" w:rsidTr="00FB1106">
        <w:trPr>
          <w:trHeight w:hRule="exact" w:val="221"/>
        </w:trPr>
        <w:tc>
          <w:tcPr>
            <w:tcW w:w="0" w:type="auto"/>
            <w:shd w:val="clear" w:color="auto" w:fill="FFFFFF"/>
          </w:tcPr>
          <w:p w14:paraId="23DCE3D9"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53</w:t>
            </w:r>
          </w:p>
        </w:tc>
        <w:tc>
          <w:tcPr>
            <w:tcW w:w="0" w:type="auto"/>
            <w:shd w:val="clear" w:color="auto" w:fill="FFFFFF"/>
          </w:tcPr>
          <w:p w14:paraId="6C1DAE7B"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BG1DJ900R1011</w:t>
            </w:r>
          </w:p>
        </w:tc>
        <w:tc>
          <w:tcPr>
            <w:tcW w:w="0" w:type="auto"/>
            <w:shd w:val="clear" w:color="auto" w:fill="FFFFFF"/>
          </w:tcPr>
          <w:p w14:paraId="49BB9CCB"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Суха от извор до вливане на р. Караман</w:t>
            </w:r>
          </w:p>
        </w:tc>
        <w:tc>
          <w:tcPr>
            <w:tcW w:w="0" w:type="auto"/>
            <w:shd w:val="clear" w:color="auto" w:fill="FFFFFF"/>
          </w:tcPr>
          <w:p w14:paraId="3D7AF82E"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318FCDC9"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5B4841F8" w14:textId="77777777" w:rsidTr="00FB1106">
        <w:trPr>
          <w:trHeight w:hRule="exact" w:val="221"/>
        </w:trPr>
        <w:tc>
          <w:tcPr>
            <w:tcW w:w="0" w:type="auto"/>
            <w:shd w:val="clear" w:color="auto" w:fill="FFFFFF"/>
          </w:tcPr>
          <w:p w14:paraId="5F2EB55F"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54</w:t>
            </w:r>
          </w:p>
        </w:tc>
        <w:tc>
          <w:tcPr>
            <w:tcW w:w="0" w:type="auto"/>
            <w:shd w:val="clear" w:color="auto" w:fill="FFFFFF"/>
          </w:tcPr>
          <w:p w14:paraId="1DF0ECA2"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BG1DJ200R013</w:t>
            </w:r>
          </w:p>
        </w:tc>
        <w:tc>
          <w:tcPr>
            <w:tcW w:w="0" w:type="auto"/>
            <w:shd w:val="clear" w:color="auto" w:fill="FFFFFF"/>
          </w:tcPr>
          <w:p w14:paraId="3EB2C4A4"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р. Добричка от извор до вливане в р. Суха</w:t>
            </w:r>
          </w:p>
        </w:tc>
        <w:tc>
          <w:tcPr>
            <w:tcW w:w="0" w:type="auto"/>
            <w:shd w:val="clear" w:color="auto" w:fill="FFFFFF"/>
          </w:tcPr>
          <w:p w14:paraId="6B2E8D7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отлично/добро</w:t>
            </w:r>
          </w:p>
        </w:tc>
        <w:tc>
          <w:tcPr>
            <w:tcW w:w="0" w:type="auto"/>
            <w:shd w:val="clear" w:color="auto" w:fill="FFFFFF"/>
          </w:tcPr>
          <w:p w14:paraId="73F6B9F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EB48C4" w:rsidRPr="009F6D1E" w14:paraId="2E84F792" w14:textId="77777777" w:rsidTr="00FB1106">
        <w:trPr>
          <w:trHeight w:hRule="exact" w:val="221"/>
        </w:trPr>
        <w:tc>
          <w:tcPr>
            <w:tcW w:w="0" w:type="auto"/>
            <w:shd w:val="clear" w:color="auto" w:fill="FFFFFF"/>
          </w:tcPr>
          <w:p w14:paraId="7E17A4D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55</w:t>
            </w:r>
          </w:p>
        </w:tc>
        <w:tc>
          <w:tcPr>
            <w:tcW w:w="0" w:type="auto"/>
            <w:shd w:val="clear" w:color="auto" w:fill="FFFFFF"/>
          </w:tcPr>
          <w:p w14:paraId="6C1B3BC5"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BG1DJ900R1015</w:t>
            </w:r>
          </w:p>
        </w:tc>
        <w:tc>
          <w:tcPr>
            <w:tcW w:w="0" w:type="auto"/>
            <w:shd w:val="clear" w:color="auto" w:fill="FFFFFF"/>
          </w:tcPr>
          <w:p w14:paraId="6BD0DDFD"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Парън</w:t>
            </w:r>
            <w:proofErr w:type="spellEnd"/>
            <w:r w:rsidRPr="009F6D1E">
              <w:rPr>
                <w:rFonts w:cs="Times New Roman"/>
                <w:sz w:val="20"/>
                <w:szCs w:val="20"/>
              </w:rPr>
              <w:t xml:space="preserve"> дере</w:t>
            </w:r>
          </w:p>
        </w:tc>
        <w:tc>
          <w:tcPr>
            <w:tcW w:w="0" w:type="auto"/>
            <w:shd w:val="clear" w:color="auto" w:fill="FFFFFF"/>
          </w:tcPr>
          <w:p w14:paraId="46E122A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45FA4DBC"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неизвестно</w:t>
            </w:r>
          </w:p>
        </w:tc>
      </w:tr>
      <w:tr w:rsidR="00EB48C4" w:rsidRPr="009F6D1E" w14:paraId="281B9311" w14:textId="77777777" w:rsidTr="00FB1106">
        <w:trPr>
          <w:trHeight w:hRule="exact" w:val="226"/>
        </w:trPr>
        <w:tc>
          <w:tcPr>
            <w:tcW w:w="0" w:type="auto"/>
            <w:shd w:val="clear" w:color="auto" w:fill="FFFFFF"/>
          </w:tcPr>
          <w:p w14:paraId="3E1A6073" w14:textId="77777777" w:rsidR="00EB48C4" w:rsidRPr="009F6D1E" w:rsidRDefault="00EB48C4" w:rsidP="0084747F">
            <w:pPr>
              <w:spacing w:after="60" w:line="264" w:lineRule="auto"/>
              <w:rPr>
                <w:rFonts w:cs="Times New Roman"/>
                <w:sz w:val="20"/>
                <w:szCs w:val="20"/>
              </w:rPr>
            </w:pPr>
            <w:r w:rsidRPr="009F6D1E">
              <w:rPr>
                <w:rFonts w:cs="Times New Roman"/>
                <w:sz w:val="20"/>
                <w:szCs w:val="20"/>
              </w:rPr>
              <w:t>56</w:t>
            </w:r>
          </w:p>
        </w:tc>
        <w:tc>
          <w:tcPr>
            <w:tcW w:w="0" w:type="auto"/>
            <w:shd w:val="clear" w:color="auto" w:fill="FFFFFF"/>
          </w:tcPr>
          <w:p w14:paraId="14F2EF66" w14:textId="77777777" w:rsidR="00EB48C4" w:rsidRPr="009F6D1E" w:rsidRDefault="00EB48C4" w:rsidP="0084747F">
            <w:pPr>
              <w:spacing w:after="60" w:line="264" w:lineRule="auto"/>
              <w:rPr>
                <w:rFonts w:cs="Times New Roman"/>
                <w:sz w:val="20"/>
                <w:szCs w:val="20"/>
              </w:rPr>
            </w:pPr>
            <w:r w:rsidRPr="009F6D1E">
              <w:rPr>
                <w:rFonts w:cs="Times New Roman"/>
                <w:sz w:val="20"/>
                <w:szCs w:val="20"/>
                <w:lang w:bidi="en-US"/>
              </w:rPr>
              <w:t>BG1DJ109R1017</w:t>
            </w:r>
          </w:p>
        </w:tc>
        <w:tc>
          <w:tcPr>
            <w:tcW w:w="0" w:type="auto"/>
            <w:shd w:val="clear" w:color="auto" w:fill="FFFFFF"/>
          </w:tcPr>
          <w:p w14:paraId="46D6EACE" w14:textId="77777777" w:rsidR="00EB48C4" w:rsidRPr="009F6D1E" w:rsidRDefault="00EB48C4" w:rsidP="0084747F">
            <w:pPr>
              <w:spacing w:after="60" w:line="264" w:lineRule="auto"/>
              <w:rPr>
                <w:rFonts w:cs="Times New Roman"/>
                <w:sz w:val="20"/>
                <w:szCs w:val="20"/>
              </w:rPr>
            </w:pPr>
            <w:proofErr w:type="spellStart"/>
            <w:r w:rsidRPr="009F6D1E">
              <w:rPr>
                <w:rFonts w:cs="Times New Roman"/>
                <w:sz w:val="20"/>
                <w:szCs w:val="20"/>
              </w:rPr>
              <w:t>пониращи</w:t>
            </w:r>
            <w:proofErr w:type="spellEnd"/>
            <w:r w:rsidRPr="009F6D1E">
              <w:rPr>
                <w:rFonts w:cs="Times New Roman"/>
                <w:sz w:val="20"/>
                <w:szCs w:val="20"/>
              </w:rPr>
              <w:t xml:space="preserve"> реки от село Климент до Ветрен</w:t>
            </w:r>
          </w:p>
        </w:tc>
        <w:tc>
          <w:tcPr>
            <w:tcW w:w="0" w:type="auto"/>
            <w:shd w:val="clear" w:color="auto" w:fill="FFFFFF"/>
          </w:tcPr>
          <w:p w14:paraId="3DFAB701"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64B76DB" w14:textId="77777777" w:rsidR="00EB48C4" w:rsidRPr="009F6D1E" w:rsidRDefault="00EB48C4" w:rsidP="0084747F">
            <w:pPr>
              <w:spacing w:after="60" w:line="264" w:lineRule="auto"/>
              <w:jc w:val="center"/>
              <w:rPr>
                <w:rFonts w:cs="Times New Roman"/>
                <w:sz w:val="20"/>
                <w:szCs w:val="20"/>
              </w:rPr>
            </w:pPr>
            <w:r w:rsidRPr="009F6D1E">
              <w:rPr>
                <w:rFonts w:cs="Times New Roman"/>
                <w:sz w:val="20"/>
                <w:szCs w:val="20"/>
              </w:rPr>
              <w:t>добро</w:t>
            </w:r>
          </w:p>
        </w:tc>
      </w:tr>
      <w:tr w:rsidR="00BA12F4" w:rsidRPr="009F6D1E" w14:paraId="25992722" w14:textId="77777777" w:rsidTr="00981F7B">
        <w:trPr>
          <w:trHeight w:hRule="exact" w:val="221"/>
        </w:trPr>
        <w:tc>
          <w:tcPr>
            <w:tcW w:w="0" w:type="auto"/>
            <w:shd w:val="clear" w:color="auto" w:fill="FFFFFF"/>
          </w:tcPr>
          <w:p w14:paraId="44E5AF0B" w14:textId="77777777" w:rsidR="00BA12F4" w:rsidRPr="009F6D1E" w:rsidRDefault="00BA12F4" w:rsidP="0084747F">
            <w:pPr>
              <w:spacing w:after="60" w:line="264" w:lineRule="auto"/>
              <w:rPr>
                <w:rFonts w:cs="Times New Roman"/>
                <w:sz w:val="20"/>
                <w:szCs w:val="20"/>
              </w:rPr>
            </w:pPr>
            <w:r w:rsidRPr="009F6D1E">
              <w:rPr>
                <w:rFonts w:cs="Times New Roman"/>
                <w:sz w:val="20"/>
                <w:szCs w:val="20"/>
              </w:rPr>
              <w:t>57</w:t>
            </w:r>
          </w:p>
        </w:tc>
        <w:tc>
          <w:tcPr>
            <w:tcW w:w="0" w:type="auto"/>
            <w:shd w:val="clear" w:color="auto" w:fill="FFFFFF"/>
          </w:tcPr>
          <w:p w14:paraId="3A7917DB" w14:textId="77777777" w:rsidR="00BA12F4" w:rsidRPr="009F6D1E" w:rsidRDefault="00BA12F4" w:rsidP="0084747F">
            <w:pPr>
              <w:spacing w:after="60" w:line="264" w:lineRule="auto"/>
              <w:rPr>
                <w:rFonts w:cs="Times New Roman"/>
                <w:sz w:val="20"/>
                <w:szCs w:val="20"/>
              </w:rPr>
            </w:pPr>
            <w:r w:rsidRPr="009F6D1E">
              <w:rPr>
                <w:rFonts w:cs="Times New Roman"/>
                <w:sz w:val="20"/>
                <w:szCs w:val="20"/>
                <w:lang w:bidi="en-US"/>
              </w:rPr>
              <w:t>BG1DJ345R1009</w:t>
            </w:r>
          </w:p>
        </w:tc>
        <w:tc>
          <w:tcPr>
            <w:tcW w:w="0" w:type="auto"/>
            <w:shd w:val="clear" w:color="auto" w:fill="FFFFFF"/>
          </w:tcPr>
          <w:p w14:paraId="529504C0" w14:textId="77777777" w:rsidR="00BA12F4" w:rsidRPr="009F6D1E" w:rsidRDefault="00BA12F4" w:rsidP="0084747F">
            <w:pPr>
              <w:spacing w:after="60" w:line="264" w:lineRule="auto"/>
              <w:rPr>
                <w:rFonts w:cs="Times New Roman"/>
                <w:sz w:val="20"/>
                <w:szCs w:val="20"/>
              </w:rPr>
            </w:pPr>
            <w:r w:rsidRPr="009F6D1E">
              <w:rPr>
                <w:rFonts w:cs="Times New Roman"/>
                <w:sz w:val="20"/>
                <w:szCs w:val="20"/>
              </w:rPr>
              <w:t>р. Суха от вливане на р. Караман до вливане на р. Добричка</w:t>
            </w:r>
          </w:p>
        </w:tc>
        <w:tc>
          <w:tcPr>
            <w:tcW w:w="0" w:type="auto"/>
            <w:shd w:val="clear" w:color="auto" w:fill="FFFFFF"/>
          </w:tcPr>
          <w:p w14:paraId="39E40B93" w14:textId="77777777" w:rsidR="00BA12F4" w:rsidRPr="009F6D1E" w:rsidRDefault="00BA12F4"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C9CC75D" w14:textId="77777777" w:rsidR="00BA12F4" w:rsidRPr="009F6D1E" w:rsidRDefault="00BA12F4" w:rsidP="0084747F">
            <w:pPr>
              <w:spacing w:after="60" w:line="264" w:lineRule="auto"/>
              <w:jc w:val="center"/>
              <w:rPr>
                <w:rFonts w:cs="Times New Roman"/>
                <w:sz w:val="20"/>
                <w:szCs w:val="20"/>
              </w:rPr>
            </w:pPr>
            <w:r w:rsidRPr="009F6D1E">
              <w:rPr>
                <w:rFonts w:cs="Times New Roman"/>
                <w:sz w:val="20"/>
                <w:szCs w:val="20"/>
              </w:rPr>
              <w:t>добро</w:t>
            </w:r>
          </w:p>
        </w:tc>
      </w:tr>
      <w:tr w:rsidR="00BA12F4" w:rsidRPr="009F6D1E" w14:paraId="4812983D" w14:textId="77777777" w:rsidTr="00981F7B">
        <w:trPr>
          <w:trHeight w:hRule="exact" w:val="230"/>
        </w:trPr>
        <w:tc>
          <w:tcPr>
            <w:tcW w:w="0" w:type="auto"/>
            <w:shd w:val="clear" w:color="auto" w:fill="FFFFFF"/>
          </w:tcPr>
          <w:p w14:paraId="7F7F1000" w14:textId="77777777" w:rsidR="00BA12F4" w:rsidRPr="009F6D1E" w:rsidRDefault="00BA12F4" w:rsidP="0084747F">
            <w:pPr>
              <w:spacing w:after="60" w:line="264" w:lineRule="auto"/>
              <w:rPr>
                <w:rFonts w:cs="Times New Roman"/>
                <w:sz w:val="20"/>
                <w:szCs w:val="20"/>
              </w:rPr>
            </w:pPr>
            <w:r w:rsidRPr="009F6D1E">
              <w:rPr>
                <w:rFonts w:cs="Times New Roman"/>
                <w:sz w:val="20"/>
                <w:szCs w:val="20"/>
              </w:rPr>
              <w:t>58</w:t>
            </w:r>
          </w:p>
        </w:tc>
        <w:tc>
          <w:tcPr>
            <w:tcW w:w="0" w:type="auto"/>
            <w:shd w:val="clear" w:color="auto" w:fill="FFFFFF"/>
          </w:tcPr>
          <w:p w14:paraId="4895C93C" w14:textId="77777777" w:rsidR="00BA12F4" w:rsidRPr="009F6D1E" w:rsidRDefault="00BA12F4" w:rsidP="0084747F">
            <w:pPr>
              <w:spacing w:after="60" w:line="264" w:lineRule="auto"/>
              <w:rPr>
                <w:rFonts w:cs="Times New Roman"/>
                <w:sz w:val="20"/>
                <w:szCs w:val="20"/>
              </w:rPr>
            </w:pPr>
            <w:r w:rsidRPr="009F6D1E">
              <w:rPr>
                <w:rFonts w:cs="Times New Roman"/>
                <w:sz w:val="20"/>
                <w:szCs w:val="20"/>
                <w:lang w:bidi="en-US"/>
              </w:rPr>
              <w:t>BG1DJ900R1016</w:t>
            </w:r>
          </w:p>
        </w:tc>
        <w:tc>
          <w:tcPr>
            <w:tcW w:w="0" w:type="auto"/>
            <w:shd w:val="clear" w:color="auto" w:fill="FFFFFF"/>
          </w:tcPr>
          <w:p w14:paraId="3555D8BE" w14:textId="77777777" w:rsidR="00BA12F4" w:rsidRPr="009F6D1E" w:rsidRDefault="00BA12F4" w:rsidP="0084747F">
            <w:pPr>
              <w:spacing w:after="60" w:line="264" w:lineRule="auto"/>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Топчийска</w:t>
            </w:r>
            <w:proofErr w:type="spellEnd"/>
            <w:r w:rsidRPr="009F6D1E">
              <w:rPr>
                <w:rFonts w:cs="Times New Roman"/>
                <w:sz w:val="20"/>
                <w:szCs w:val="20"/>
              </w:rPr>
              <w:t xml:space="preserve"> от извор до вливане в р. Дунав</w:t>
            </w:r>
          </w:p>
        </w:tc>
        <w:tc>
          <w:tcPr>
            <w:tcW w:w="0" w:type="auto"/>
            <w:shd w:val="clear" w:color="auto" w:fill="FFFFFF"/>
          </w:tcPr>
          <w:p w14:paraId="3968B19D" w14:textId="77777777" w:rsidR="00BA12F4" w:rsidRPr="009F6D1E" w:rsidRDefault="00BA12F4" w:rsidP="0084747F">
            <w:pPr>
              <w:spacing w:after="60" w:line="264" w:lineRule="auto"/>
              <w:jc w:val="center"/>
              <w:rPr>
                <w:rFonts w:cs="Times New Roman"/>
                <w:sz w:val="20"/>
                <w:szCs w:val="20"/>
              </w:rPr>
            </w:pPr>
            <w:r w:rsidRPr="009F6D1E">
              <w:rPr>
                <w:rFonts w:cs="Times New Roman"/>
                <w:sz w:val="20"/>
                <w:szCs w:val="20"/>
              </w:rPr>
              <w:t>неизвестно</w:t>
            </w:r>
          </w:p>
        </w:tc>
        <w:tc>
          <w:tcPr>
            <w:tcW w:w="0" w:type="auto"/>
            <w:shd w:val="clear" w:color="auto" w:fill="FFFFFF"/>
          </w:tcPr>
          <w:p w14:paraId="00729D8B" w14:textId="77777777" w:rsidR="00BA12F4" w:rsidRPr="009F6D1E" w:rsidRDefault="00BA12F4" w:rsidP="0084747F">
            <w:pPr>
              <w:spacing w:after="60" w:line="264" w:lineRule="auto"/>
              <w:jc w:val="center"/>
              <w:rPr>
                <w:rFonts w:cs="Times New Roman"/>
                <w:sz w:val="20"/>
                <w:szCs w:val="20"/>
              </w:rPr>
            </w:pPr>
            <w:r w:rsidRPr="009F6D1E">
              <w:rPr>
                <w:rFonts w:cs="Times New Roman"/>
                <w:sz w:val="20"/>
                <w:szCs w:val="20"/>
              </w:rPr>
              <w:t>неизвестно</w:t>
            </w:r>
          </w:p>
        </w:tc>
      </w:tr>
    </w:tbl>
    <w:p w14:paraId="0C674597" w14:textId="77777777" w:rsidR="00EB48C4" w:rsidRPr="009F6D1E" w:rsidRDefault="00EB48C4" w:rsidP="0084747F">
      <w:pPr>
        <w:pStyle w:val="a0"/>
        <w:widowControl/>
        <w:tabs>
          <w:tab w:val="left" w:pos="993"/>
        </w:tabs>
        <w:spacing w:after="60" w:line="264" w:lineRule="auto"/>
        <w:ind w:left="0" w:right="0" w:firstLine="0"/>
        <w:rPr>
          <w:b/>
          <w:sz w:val="20"/>
          <w:szCs w:val="20"/>
        </w:rPr>
      </w:pPr>
    </w:p>
    <w:p w14:paraId="70E5603C" w14:textId="77777777" w:rsidR="00864CF0" w:rsidRPr="009F6D1E" w:rsidRDefault="00864CF0" w:rsidP="0084747F">
      <w:pPr>
        <w:spacing w:after="60" w:line="264" w:lineRule="auto"/>
        <w:rPr>
          <w:rFonts w:cs="Times New Roman"/>
          <w:sz w:val="2"/>
          <w:szCs w:val="2"/>
          <w:highlight w:val="green"/>
        </w:rPr>
      </w:pPr>
    </w:p>
    <w:p w14:paraId="2AA9C859" w14:textId="77777777" w:rsidR="00EB48C4" w:rsidRPr="009F6D1E" w:rsidRDefault="00EB48C4" w:rsidP="0084747F">
      <w:pPr>
        <w:spacing w:after="60" w:line="264" w:lineRule="auto"/>
        <w:rPr>
          <w:rFonts w:cs="Times New Roman"/>
          <w:sz w:val="2"/>
          <w:szCs w:val="2"/>
          <w:highlight w:val="green"/>
        </w:rPr>
      </w:pPr>
    </w:p>
    <w:p w14:paraId="4E77BD32" w14:textId="77777777" w:rsidR="00864CF0" w:rsidRPr="009F6D1E" w:rsidRDefault="00864CF0" w:rsidP="0084747F">
      <w:pPr>
        <w:spacing w:after="60" w:line="264" w:lineRule="auto"/>
        <w:rPr>
          <w:rFonts w:cs="Times New Roman"/>
          <w:sz w:val="2"/>
          <w:szCs w:val="2"/>
          <w:highlight w:val="green"/>
        </w:rPr>
      </w:pPr>
    </w:p>
    <w:p w14:paraId="62A21036" w14:textId="77777777" w:rsidR="00864CF0" w:rsidRPr="009F6D1E" w:rsidRDefault="00864CF0" w:rsidP="0084747F">
      <w:pPr>
        <w:spacing w:after="60" w:line="264" w:lineRule="auto"/>
        <w:jc w:val="both"/>
        <w:rPr>
          <w:rFonts w:cs="Times New Roman"/>
          <w:highlight w:val="green"/>
        </w:rPr>
      </w:pPr>
    </w:p>
    <w:p w14:paraId="7E54DAC7" w14:textId="77777777" w:rsidR="00864CF0" w:rsidRPr="009F6D1E" w:rsidRDefault="00864CF0" w:rsidP="0084747F">
      <w:pPr>
        <w:spacing w:after="60" w:line="264" w:lineRule="auto"/>
        <w:rPr>
          <w:rFonts w:cs="Times New Roman"/>
          <w:i/>
          <w:highlight w:val="green"/>
        </w:rPr>
        <w:sectPr w:rsidR="00864CF0" w:rsidRPr="009F6D1E" w:rsidSect="00C15EDD">
          <w:pgSz w:w="16840" w:h="11907" w:orient="landscape" w:code="9"/>
          <w:pgMar w:top="1418" w:right="1418" w:bottom="851" w:left="1134" w:header="709" w:footer="709" w:gutter="0"/>
          <w:cols w:space="720"/>
          <w:docGrid w:linePitch="360"/>
        </w:sectPr>
      </w:pPr>
    </w:p>
    <w:p w14:paraId="185A0B77" w14:textId="77777777" w:rsidR="00EB48C4" w:rsidRPr="00257079" w:rsidRDefault="00EB48C4" w:rsidP="0084747F">
      <w:pPr>
        <w:spacing w:after="60" w:line="264" w:lineRule="auto"/>
        <w:ind w:firstLine="708"/>
        <w:rPr>
          <w:rFonts w:cs="Times New Roman"/>
          <w:b/>
          <w:i/>
          <w:szCs w:val="24"/>
        </w:rPr>
      </w:pPr>
      <w:r w:rsidRPr="00257079">
        <w:rPr>
          <w:rFonts w:cs="Times New Roman"/>
          <w:b/>
          <w:i/>
          <w:szCs w:val="24"/>
        </w:rPr>
        <w:lastRenderedPageBreak/>
        <w:t>Оценка на екологичния потенциал и химичното състояние на река Дунав</w:t>
      </w:r>
    </w:p>
    <w:p w14:paraId="5176A1C8" w14:textId="77777777" w:rsidR="00EB48C4" w:rsidRPr="00257079" w:rsidRDefault="00EB48C4" w:rsidP="0084747F">
      <w:pPr>
        <w:spacing w:after="60" w:line="264" w:lineRule="auto"/>
        <w:ind w:firstLine="740"/>
        <w:jc w:val="both"/>
        <w:rPr>
          <w:rFonts w:cs="Times New Roman"/>
          <w:szCs w:val="24"/>
        </w:rPr>
      </w:pPr>
      <w:r w:rsidRPr="00257079">
        <w:rPr>
          <w:rFonts w:cs="Times New Roman"/>
          <w:szCs w:val="24"/>
        </w:rPr>
        <w:t xml:space="preserve">Река Дунав е най-голямата река, която протича по северната граница на Р. България и е естествена граница между България и Румъния. Приема се, че р. Дунав води своето начало от сливането на двата притока </w:t>
      </w:r>
      <w:proofErr w:type="spellStart"/>
      <w:r w:rsidRPr="00257079">
        <w:rPr>
          <w:rFonts w:cs="Times New Roman"/>
          <w:szCs w:val="24"/>
        </w:rPr>
        <w:t>Бреге</w:t>
      </w:r>
      <w:proofErr w:type="spellEnd"/>
      <w:r w:rsidRPr="00257079">
        <w:rPr>
          <w:rFonts w:cs="Times New Roman"/>
          <w:szCs w:val="24"/>
        </w:rPr>
        <w:t xml:space="preserve"> и </w:t>
      </w:r>
      <w:proofErr w:type="spellStart"/>
      <w:r w:rsidRPr="00257079">
        <w:rPr>
          <w:rFonts w:cs="Times New Roman"/>
          <w:szCs w:val="24"/>
        </w:rPr>
        <w:t>Бригах</w:t>
      </w:r>
      <w:proofErr w:type="spellEnd"/>
      <w:r w:rsidRPr="00257079">
        <w:rPr>
          <w:rFonts w:cs="Times New Roman"/>
          <w:szCs w:val="24"/>
        </w:rPr>
        <w:t xml:space="preserve"> на източните склонове на планината Шварцвалд (Германия). Дължината и е 2850 </w:t>
      </w:r>
      <w:proofErr w:type="spellStart"/>
      <w:r w:rsidRPr="00257079">
        <w:rPr>
          <w:rFonts w:cs="Times New Roman"/>
          <w:szCs w:val="24"/>
          <w:lang w:bidi="en-US"/>
        </w:rPr>
        <w:t>km</w:t>
      </w:r>
      <w:proofErr w:type="spellEnd"/>
      <w:r w:rsidRPr="00257079">
        <w:rPr>
          <w:rFonts w:cs="Times New Roman"/>
          <w:szCs w:val="24"/>
          <w:lang w:bidi="en-US"/>
        </w:rPr>
        <w:t xml:space="preserve"> </w:t>
      </w:r>
      <w:r w:rsidRPr="00257079">
        <w:rPr>
          <w:rFonts w:cs="Times New Roman"/>
          <w:szCs w:val="24"/>
        </w:rPr>
        <w:t xml:space="preserve">с площ на водосборния басейн 817 000 </w:t>
      </w:r>
      <w:r w:rsidRPr="00257079">
        <w:rPr>
          <w:rFonts w:cs="Times New Roman"/>
          <w:szCs w:val="24"/>
          <w:lang w:bidi="en-US"/>
        </w:rPr>
        <w:t>km</w:t>
      </w:r>
      <w:r w:rsidRPr="00257079">
        <w:rPr>
          <w:rFonts w:cs="Times New Roman"/>
          <w:szCs w:val="24"/>
          <w:vertAlign w:val="superscript"/>
          <w:lang w:bidi="en-US"/>
        </w:rPr>
        <w:t>2</w:t>
      </w:r>
      <w:r w:rsidRPr="00257079">
        <w:rPr>
          <w:rFonts w:cs="Times New Roman"/>
          <w:szCs w:val="24"/>
          <w:lang w:bidi="en-US"/>
        </w:rPr>
        <w:t xml:space="preserve">, </w:t>
      </w:r>
      <w:r w:rsidRPr="00257079">
        <w:rPr>
          <w:rFonts w:cs="Times New Roman"/>
          <w:szCs w:val="24"/>
        </w:rPr>
        <w:t xml:space="preserve">което я прави втора по големина в Европа. Днес тя протича през териториите на 16 Европейски държави и е “най-интернационална” река в света. В географско отношение реката тече от запад на изток, като формата на водосборният й басейн е асиметрична. Площта на </w:t>
      </w:r>
      <w:proofErr w:type="spellStart"/>
      <w:r w:rsidRPr="00257079">
        <w:rPr>
          <w:rFonts w:cs="Times New Roman"/>
          <w:szCs w:val="24"/>
        </w:rPr>
        <w:t>водосборите</w:t>
      </w:r>
      <w:proofErr w:type="spellEnd"/>
      <w:r w:rsidRPr="00257079">
        <w:rPr>
          <w:rFonts w:cs="Times New Roman"/>
          <w:szCs w:val="24"/>
        </w:rPr>
        <w:t xml:space="preserve"> на левите притоци е 56 %, а на десните 44 %. Независимо от тази асиметричност десните притоци формират около 66 % от речния отток, а левите - 34 %. Водосборният басейн на реката е част от водосборния басейн на Черно море. В него са разположени територии от общо 16 европейски държави (Германия, Австрия, Италия, Швейцария, Словакия, Чехия, Унгария, Черна гора, Хърватия, Сърбия, Македония, Албания, България, Румъния, Молдова и Украйна).</w:t>
      </w:r>
    </w:p>
    <w:p w14:paraId="4A889370" w14:textId="77777777" w:rsidR="002660AF" w:rsidRDefault="002660AF" w:rsidP="0084747F">
      <w:pPr>
        <w:spacing w:after="60" w:line="264" w:lineRule="auto"/>
        <w:ind w:firstLine="720"/>
        <w:jc w:val="both"/>
      </w:pPr>
      <w:r w:rsidRPr="00257079">
        <w:t>Река Дунав, в българския участък, поради отличителните й характеристики е отделена в едно единствено, самостоятелно водно тяло. Реката определя северната граница на Р България с Р Румъния и на основание</w:t>
      </w:r>
      <w:r>
        <w:t xml:space="preserve"> изискванията на чл.3, т.4 от РДВ, касаещи международни райони с басейново управление, каквато е река Дунав, за управлението и е необходима съвместна координация между двете държави. Водно тяло с код BG1DU000R001 в ПУРБ 2016-2021 г. е определено като </w:t>
      </w:r>
      <w:proofErr w:type="spellStart"/>
      <w:r>
        <w:t>силномодифицирано</w:t>
      </w:r>
      <w:proofErr w:type="spellEnd"/>
      <w:r>
        <w:t xml:space="preserve"> водно тяло /СМВТ/ и е оценено с умерен екологичен потенциал. </w:t>
      </w:r>
    </w:p>
    <w:p w14:paraId="16C28E90" w14:textId="77777777" w:rsidR="002660AF" w:rsidRDefault="002660AF" w:rsidP="002660AF">
      <w:pPr>
        <w:spacing w:after="60" w:line="264" w:lineRule="auto"/>
        <w:ind w:firstLine="720"/>
        <w:jc w:val="both"/>
      </w:pPr>
      <w:r>
        <w:t xml:space="preserve">За оценка качеството на водите на река Дунав в българския </w:t>
      </w:r>
      <w:proofErr w:type="spellStart"/>
      <w:r>
        <w:t>учатък</w:t>
      </w:r>
      <w:proofErr w:type="spellEnd"/>
      <w:r>
        <w:t xml:space="preserve"> са разположени 5 мониторингови пункта, които се наблюдават, както в националните програми за контролен и оперативен мониторинг на повърхностни води, така и в транснационалната мониторингова мрежа за </w:t>
      </w:r>
      <w:proofErr w:type="spellStart"/>
      <w:r>
        <w:t>р.Дунав</w:t>
      </w:r>
      <w:proofErr w:type="spellEnd"/>
      <w:r>
        <w:t xml:space="preserve"> /програмата TNMN/, съгласно Международен комитет по опазване на река Дунав /МКОРД/. Анализираните физикохимични, специфични и приоритетни вещества са по утвърдената от МКОРД, програма за мониторинг наречена “Дунавска програма“ с честота на </w:t>
      </w:r>
      <w:proofErr w:type="spellStart"/>
      <w:r>
        <w:t>пробовземане</w:t>
      </w:r>
      <w:proofErr w:type="spellEnd"/>
      <w:r>
        <w:t xml:space="preserve"> 12 пъти годишно. Освен тези показатели на пунктовете на българския бряг се провежда анализ на допълнително включени приоритетни вещества, съгл. изискванията на Наредбата за СКОС. </w:t>
      </w:r>
    </w:p>
    <w:p w14:paraId="27C69BDA" w14:textId="5E73AD0C" w:rsidR="002660AF" w:rsidRDefault="002660AF" w:rsidP="002660AF">
      <w:pPr>
        <w:spacing w:after="60" w:line="264" w:lineRule="auto"/>
        <w:ind w:firstLine="720"/>
        <w:jc w:val="both"/>
      </w:pPr>
      <w:r>
        <w:t>Оценката на физикохимичните показатели, подкрепящи БЕК е извършена въз основа на изискванията на Наредба № Н-4/14.09.2012 г., за тип R7, „големи дунавски притоци“. Това се налага поради обстоятелството, че за тип R6 „Среден и долен Дунав“, към който принадлежи българският участък на р. Дунав, към момента няма нормативно определени референтни стойности за отлично, добро и умерено състояние. Изключение прави показател общ фосфор, за който в последното изменение на Наредба-4 от 16.02.2021 г. са заложени норми за речен тип R 6.</w:t>
      </w:r>
    </w:p>
    <w:p w14:paraId="3B3F982E" w14:textId="0955B312" w:rsidR="002660AF" w:rsidRDefault="002660AF" w:rsidP="0084747F">
      <w:pPr>
        <w:spacing w:after="60" w:line="264" w:lineRule="auto"/>
        <w:ind w:firstLine="720"/>
        <w:jc w:val="both"/>
      </w:pPr>
      <w:r>
        <w:t xml:space="preserve">Най-западният /първият/ пункт за контрол качествата на водата в реката на територията на Р България е р. Дунав при с. Ново село с код BG1DU000R001 . Пунктът е част от международната </w:t>
      </w:r>
      <w:proofErr w:type="spellStart"/>
      <w:r>
        <w:t>транснацонална</w:t>
      </w:r>
      <w:proofErr w:type="spellEnd"/>
      <w:r>
        <w:t xml:space="preserve"> мониторингова мрежа за река Дунав /TNMN/. Изпълняваната програма за мониторинг е уеднаквена за всички пунктове по реката с честотата </w:t>
      </w:r>
      <w:r>
        <w:lastRenderedPageBreak/>
        <w:t xml:space="preserve">на вземане на пробите 12 пъти годишно. </w:t>
      </w:r>
      <w:proofErr w:type="spellStart"/>
      <w:r>
        <w:t>Пробонабирането</w:t>
      </w:r>
      <w:proofErr w:type="spellEnd"/>
      <w:r>
        <w:t xml:space="preserve"> се извършва в три точки - ляв бряг на р. Дунав (в близост до румънския бряг), десен бряг на р. Дунав и в среда /талвега/.</w:t>
      </w:r>
    </w:p>
    <w:p w14:paraId="19FC4EB2" w14:textId="61C770CF" w:rsidR="002660AF" w:rsidRDefault="002660AF" w:rsidP="0084747F">
      <w:pPr>
        <w:spacing w:after="60" w:line="264" w:lineRule="auto"/>
        <w:ind w:firstLine="720"/>
        <w:jc w:val="both"/>
        <w:rPr>
          <w:rFonts w:cs="Times New Roman"/>
          <w:szCs w:val="24"/>
          <w:highlight w:val="yellow"/>
        </w:rPr>
      </w:pPr>
      <w:r>
        <w:t xml:space="preserve"> Резултатите от анализа на данните от мониторинг за периода 2019 – 2020 г. в пункт р. Дунав при с. Ново село показват добро качеството на водите в този наблюдаван участък. Стойностите на кислородните и биогенни показатели са близки до изискванията за отлично състояние. По всички физикохимични показатели стойностите отговарят на изискванията за отлично/добро състояние.</w:t>
      </w:r>
    </w:p>
    <w:p w14:paraId="2FCDCF10" w14:textId="741C3D2E" w:rsidR="002660AF" w:rsidRDefault="002660AF" w:rsidP="0084747F">
      <w:pPr>
        <w:spacing w:after="60" w:line="264" w:lineRule="auto"/>
        <w:ind w:firstLine="720"/>
        <w:jc w:val="both"/>
      </w:pPr>
      <w:r>
        <w:t>Анализираните специфични замърсители, като сравнение на средно годишната стойност /СГС/ със стандартите за качество на околната среда (СКОС) не показват отклонения от изискванията за добро състояние, съгл. Наредба № Н-4/14.09.2012 г.</w:t>
      </w:r>
    </w:p>
    <w:p w14:paraId="7A63F1A9" w14:textId="6F675C9F" w:rsidR="002660AF" w:rsidRDefault="002660AF" w:rsidP="0084747F">
      <w:pPr>
        <w:spacing w:after="60" w:line="264" w:lineRule="auto"/>
        <w:ind w:firstLine="720"/>
        <w:jc w:val="both"/>
      </w:pPr>
      <w:r>
        <w:t xml:space="preserve">През 2020 г. e планиран и извършен хидробиологичен мониторинг на пункта на р. Дунав при гр. Ново село (десен бряг). Направената оценка е според показателите </w:t>
      </w:r>
      <w:proofErr w:type="spellStart"/>
      <w:r>
        <w:t>макрозообентос</w:t>
      </w:r>
      <w:proofErr w:type="spellEnd"/>
      <w:r>
        <w:t xml:space="preserve"> и </w:t>
      </w:r>
      <w:proofErr w:type="spellStart"/>
      <w:r>
        <w:t>фитобентос</w:t>
      </w:r>
      <w:proofErr w:type="spellEnd"/>
      <w:r>
        <w:t>. Според резултатите, този пункт на р. Дунав отговаря на изискванията за умерен потенциал.</w:t>
      </w:r>
    </w:p>
    <w:p w14:paraId="6B5942BC" w14:textId="230B395B" w:rsidR="002660AF" w:rsidRDefault="002660AF" w:rsidP="0084747F">
      <w:pPr>
        <w:spacing w:after="60" w:line="264" w:lineRule="auto"/>
        <w:ind w:firstLine="720"/>
        <w:jc w:val="both"/>
      </w:pPr>
      <w:r>
        <w:t>В получените резултати от измерване на приоритетни вещества /ПВ/ в периода 2019- 2020 г. не се наблюдават стойности превишаващи СГС-СКОС, както и не са отчетени стойности на концентрации на ПВ над максималната допустима концентрация (МДК) - МДК-СКОС. Към момента, на основание анализа на резултатите може да се направи заключение, че река Дунав в участъка на с. Ново село може да бъде оценена в добро химично състояние.</w:t>
      </w:r>
    </w:p>
    <w:p w14:paraId="00A425C3" w14:textId="0D97177B" w:rsidR="002660AF" w:rsidRDefault="002660AF" w:rsidP="0084747F">
      <w:pPr>
        <w:spacing w:after="60" w:line="264" w:lineRule="auto"/>
        <w:ind w:firstLine="720"/>
        <w:jc w:val="both"/>
      </w:pPr>
      <w:r>
        <w:t xml:space="preserve">Следващият пункт в посока от запад на изток е р. Дунав при с. Байкал с код BG1DU00039MS050. Той също е част от международната </w:t>
      </w:r>
      <w:proofErr w:type="spellStart"/>
      <w:r>
        <w:t>транснацонална</w:t>
      </w:r>
      <w:proofErr w:type="spellEnd"/>
      <w:r>
        <w:t xml:space="preserve"> мониторингова мрежа за река Дунав /TNMN/. Както е посочено по-горе, изпълняваната програма за мониторинг е унифицирана за всички пунктове по реката. Оценката на водата на пункта по физикохимични показатели, показва че водата в пункта отговаря на изискванията за добро състояние. Показателите специфична електропроводимост, концентрация на разтворен кислород, азот </w:t>
      </w:r>
      <w:proofErr w:type="spellStart"/>
      <w:r>
        <w:t>нитритен</w:t>
      </w:r>
      <w:proofErr w:type="spellEnd"/>
      <w:r>
        <w:t xml:space="preserve">, фосфати, общ фосфор, са в нормите за отлично състояние. Показателите </w:t>
      </w:r>
      <w:proofErr w:type="spellStart"/>
      <w:r>
        <w:t>рН</w:t>
      </w:r>
      <w:proofErr w:type="spellEnd"/>
      <w:r>
        <w:t xml:space="preserve">, БПК5, концентрация на азот амониев, азот нитратен, общ азот, са в нормите за добро състояние. При анализа на специфичните замърсители не са констатирани концентрации над изискванията на СКОС за добро </w:t>
      </w:r>
      <w:proofErr w:type="spellStart"/>
      <w:r>
        <w:t>състояниe</w:t>
      </w:r>
      <w:proofErr w:type="spellEnd"/>
      <w:r>
        <w:t>.</w:t>
      </w:r>
    </w:p>
    <w:p w14:paraId="786C822D" w14:textId="57B68062" w:rsidR="002660AF" w:rsidRDefault="002660AF" w:rsidP="0084747F">
      <w:pPr>
        <w:spacing w:after="60" w:line="264" w:lineRule="auto"/>
        <w:ind w:firstLine="720"/>
        <w:jc w:val="both"/>
      </w:pPr>
      <w:r>
        <w:t>При анализа на приоритетни вещества не са констатирани концентрации над изискванията на СКОС за добро състояние. Водата при мониторинговия пункт с наименование „р. Дунав преди вливане на р. Искър при с. Байкал“ и код BG1DU00039MS050, се оценява в добро химично състояние.</w:t>
      </w:r>
    </w:p>
    <w:p w14:paraId="0F680E8A" w14:textId="3374C22F" w:rsidR="002660AF" w:rsidRDefault="002660AF" w:rsidP="0084747F">
      <w:pPr>
        <w:spacing w:after="60" w:line="264" w:lineRule="auto"/>
        <w:ind w:firstLine="720"/>
        <w:jc w:val="both"/>
      </w:pPr>
      <w:r>
        <w:t xml:space="preserve">По посока течение на реката следващият мониторингов пункт е р. Дунав при гр. Свищов с код BG1DU07973MS070. Той също е част от международната </w:t>
      </w:r>
      <w:proofErr w:type="spellStart"/>
      <w:r>
        <w:t>транснацонална</w:t>
      </w:r>
      <w:proofErr w:type="spellEnd"/>
      <w:r>
        <w:t xml:space="preserve"> мониторингова мрежа за река Дунав /TNMN/. Резултатите от анализа за периода 2019-2020 година, показват че реката в този участък отговаря на изискванията за добро състояние и са близки до изискванията за отлично състояние. По всички физикохимични показатели стойностите отговарят на </w:t>
      </w:r>
      <w:proofErr w:type="spellStart"/>
      <w:r>
        <w:t>изисикванията</w:t>
      </w:r>
      <w:proofErr w:type="spellEnd"/>
      <w:r>
        <w:t xml:space="preserve"> за отлично/добро състояние. Анализираните </w:t>
      </w:r>
      <w:r>
        <w:lastRenderedPageBreak/>
        <w:t>специфични замърсители не показват отклонения от изискванията на СКОС за добро състояние.</w:t>
      </w:r>
    </w:p>
    <w:p w14:paraId="214A5806" w14:textId="0F93F715" w:rsidR="002660AF" w:rsidRDefault="002660AF" w:rsidP="0084747F">
      <w:pPr>
        <w:spacing w:after="60" w:line="264" w:lineRule="auto"/>
        <w:ind w:firstLine="720"/>
        <w:jc w:val="both"/>
      </w:pPr>
      <w:r>
        <w:t>Анализът на резултатите от изпитаните приоритетни вещества/ПВ/ не показва концентрации над максималната допустима концентрация /МДК/. Към момента на основание анализа на резултатите може да се заключи, че река Дунав в участъка на гр. Свищов може да бъде оценена в добро химично състояние.</w:t>
      </w:r>
    </w:p>
    <w:p w14:paraId="3A7A9B00" w14:textId="1DC9F53E" w:rsidR="002660AF" w:rsidRDefault="002660AF" w:rsidP="0084747F">
      <w:pPr>
        <w:spacing w:after="60" w:line="264" w:lineRule="auto"/>
        <w:ind w:firstLine="720"/>
        <w:jc w:val="both"/>
      </w:pPr>
      <w:r>
        <w:t>В долното течение на река Дунав /долен Дунав/ на територията на България реката се наблюдава с два пункта за мониторинг - единият преди гр. Русе, а другият на пристанището на гр. Силистра.</w:t>
      </w:r>
    </w:p>
    <w:p w14:paraId="67D1FBA0" w14:textId="2F0E771A" w:rsidR="002660AF" w:rsidRDefault="002660AF" w:rsidP="0084747F">
      <w:pPr>
        <w:spacing w:after="60" w:line="264" w:lineRule="auto"/>
        <w:ind w:firstLine="720"/>
        <w:jc w:val="both"/>
      </w:pPr>
      <w:r>
        <w:t>Анализът на резултатите на физикохимичните елементи за качество и специфични замърсители от пункт р. Дунав преди гр. Русе, код на мониторингов пункт BG1DU00918MS080, изготвен след оценка на получените резултати за периода 2019-2020 г. показва че водата отговаря на изискванията за добро състояние.</w:t>
      </w:r>
    </w:p>
    <w:p w14:paraId="58FBDA83" w14:textId="52A45C30" w:rsidR="002660AF" w:rsidRDefault="002660AF" w:rsidP="0084747F">
      <w:pPr>
        <w:spacing w:after="60" w:line="264" w:lineRule="auto"/>
        <w:ind w:firstLine="720"/>
        <w:jc w:val="both"/>
      </w:pPr>
      <w:r>
        <w:t xml:space="preserve">През 2020 г. e планиран и извършен хидробиологичен мониторинг на пункта на р. Дунав преди гр. Русе (срещу остров Люляк). Направената оценка е според показателите </w:t>
      </w:r>
      <w:proofErr w:type="spellStart"/>
      <w:r>
        <w:t>макрозообентос</w:t>
      </w:r>
      <w:proofErr w:type="spellEnd"/>
      <w:r>
        <w:t xml:space="preserve"> и </w:t>
      </w:r>
      <w:proofErr w:type="spellStart"/>
      <w:r>
        <w:t>фитобентос</w:t>
      </w:r>
      <w:proofErr w:type="spellEnd"/>
      <w:r>
        <w:t>. Според резултатите, този пункт на р. Дунав отговаря на изискванията за лош потенциал.</w:t>
      </w:r>
    </w:p>
    <w:p w14:paraId="0671896A" w14:textId="44B73D8E" w:rsidR="002660AF" w:rsidRDefault="002660AF" w:rsidP="0084747F">
      <w:pPr>
        <w:spacing w:after="60" w:line="264" w:lineRule="auto"/>
        <w:ind w:firstLine="720"/>
        <w:jc w:val="both"/>
      </w:pPr>
      <w:r>
        <w:t xml:space="preserve">При анализа на приоритетни вещества в пункта на р. Дунав при гр. Русе в периода 01.2019 – 11.2019 трикратно са измерени концентрации над изискванията на СКОС за добро състояние на показател олово. При статистическата обработка на данните за периода 2019 – 2020 г. изчислената средногодишна стойност (СГС) на концентрацията на оловни йони не надвишава изискванията на СКОС-СГС. Следва да се отбележи че СКОС за олово се отнася за бионалични концентрации на веществото и трябва да се оцени след прилагане на „Модел на биотичните </w:t>
      </w:r>
      <w:proofErr w:type="spellStart"/>
      <w:r>
        <w:t>Лиганди</w:t>
      </w:r>
      <w:proofErr w:type="spellEnd"/>
      <w:r>
        <w:t xml:space="preserve">“ (МБЛ). МБЛ към настоящия момент се счита за един от най достоверните инструменти за определяне на токсичност и биодостъпност за метални йони. Той прогнозира </w:t>
      </w:r>
      <w:proofErr w:type="spellStart"/>
      <w:r>
        <w:t>екотоксилогично</w:t>
      </w:r>
      <w:proofErr w:type="spellEnd"/>
      <w:r>
        <w:t xml:space="preserve"> релевантни концентрации, като комбинира специфичните характеристики на водата с данните за </w:t>
      </w:r>
      <w:proofErr w:type="spellStart"/>
      <w:r>
        <w:t>екотокисичност</w:t>
      </w:r>
      <w:proofErr w:type="spellEnd"/>
      <w:r>
        <w:t>. След прилагане на МБЛ изчислената СГС на концентрацията на олово в пункта отговаря на изискванията на СКОС за добро състояние.</w:t>
      </w:r>
    </w:p>
    <w:p w14:paraId="44C153B7" w14:textId="5C346F63" w:rsidR="002660AF" w:rsidRDefault="002660AF" w:rsidP="0084747F">
      <w:pPr>
        <w:spacing w:after="60" w:line="264" w:lineRule="auto"/>
        <w:ind w:firstLine="720"/>
        <w:jc w:val="both"/>
      </w:pPr>
      <w:r>
        <w:t xml:space="preserve">р. Дунав при </w:t>
      </w:r>
      <w:proofErr w:type="spellStart"/>
      <w:r>
        <w:t>гр.Силистра</w:t>
      </w:r>
      <w:proofErr w:type="spellEnd"/>
      <w:r>
        <w:t xml:space="preserve">, мониторингов пункт с код BG1DU00999MS100R с три паралелни </w:t>
      </w:r>
      <w:proofErr w:type="spellStart"/>
      <w:r>
        <w:t>пробовземания</w:t>
      </w:r>
      <w:proofErr w:type="spellEnd"/>
      <w:r>
        <w:t xml:space="preserve"> от ляв, десен бряг и талвег. Пунктовете освен, че са част от националната програма за оперативен мониторинг (на десния бряг) са и част от международната </w:t>
      </w:r>
      <w:proofErr w:type="spellStart"/>
      <w:r>
        <w:t>транснацонална</w:t>
      </w:r>
      <w:proofErr w:type="spellEnd"/>
      <w:r>
        <w:t xml:space="preserve"> мониторингова мрежа за река Дунав /TNMN/.</w:t>
      </w:r>
    </w:p>
    <w:p w14:paraId="62A20307" w14:textId="2F092BDA" w:rsidR="00E13D60" w:rsidRDefault="00E13D60" w:rsidP="0084747F">
      <w:pPr>
        <w:spacing w:after="60" w:line="264" w:lineRule="auto"/>
        <w:ind w:firstLine="720"/>
        <w:jc w:val="both"/>
      </w:pPr>
      <w:r>
        <w:t>Резултатите от изпитване на физикохимичните показатели за периода 2019-2020 г., отговарят на изискванията на СКОС за добро състояние. При анализа на специфичните замърсители, не се наблюдават измерени високи концентрации над изискванията на СКОС за добро състояние.</w:t>
      </w:r>
    </w:p>
    <w:p w14:paraId="0DE41175" w14:textId="5F40B40A" w:rsidR="00E13D60" w:rsidRDefault="00E13D60" w:rsidP="0084747F">
      <w:pPr>
        <w:spacing w:after="60" w:line="264" w:lineRule="auto"/>
        <w:ind w:firstLine="720"/>
        <w:jc w:val="both"/>
      </w:pPr>
      <w:r>
        <w:t xml:space="preserve">През 2020 г. e планиран и извършен хидробиологичен мониторинг на пункта на р. Дунав при </w:t>
      </w:r>
      <w:proofErr w:type="spellStart"/>
      <w:r>
        <w:t>гр.Силистра</w:t>
      </w:r>
      <w:proofErr w:type="spellEnd"/>
      <w:r>
        <w:t xml:space="preserve">. Направена е оценка на състоянието според показателите </w:t>
      </w:r>
      <w:proofErr w:type="spellStart"/>
      <w:r>
        <w:lastRenderedPageBreak/>
        <w:t>макрозообентос</w:t>
      </w:r>
      <w:proofErr w:type="spellEnd"/>
      <w:r>
        <w:t xml:space="preserve"> и </w:t>
      </w:r>
      <w:proofErr w:type="spellStart"/>
      <w:r>
        <w:t>фитобентос</w:t>
      </w:r>
      <w:proofErr w:type="spellEnd"/>
      <w:r>
        <w:t>. Според резултатите, този пункт на р. Дунав отговаря на изискванията за добър потенциал.</w:t>
      </w:r>
    </w:p>
    <w:p w14:paraId="5047C843" w14:textId="703D2BA0" w:rsidR="00E13D60" w:rsidRDefault="00E13D60" w:rsidP="0084747F">
      <w:pPr>
        <w:spacing w:after="60" w:line="264" w:lineRule="auto"/>
        <w:ind w:firstLine="720"/>
        <w:jc w:val="both"/>
        <w:rPr>
          <w:rFonts w:cs="Times New Roman"/>
          <w:szCs w:val="24"/>
          <w:highlight w:val="yellow"/>
        </w:rPr>
      </w:pPr>
      <w:r>
        <w:t>При анализа на приоритетни вещества се отчитат концентрации над изискванията на СКОС за добро състояние по показател олово. Приложен е МБЛ за изчисляване на бионаличност. След прилагане на МБЛ изчислената СГС отговаря на изискванията на СКОС за добро състояние.</w:t>
      </w:r>
    </w:p>
    <w:p w14:paraId="596F50B2" w14:textId="77777777" w:rsidR="00EB48C4" w:rsidRPr="009F6D1E" w:rsidRDefault="00EB48C4" w:rsidP="0084747F">
      <w:pPr>
        <w:spacing w:after="60" w:line="264" w:lineRule="auto"/>
        <w:ind w:firstLine="680"/>
        <w:jc w:val="center"/>
        <w:rPr>
          <w:rFonts w:cs="Times New Roman"/>
          <w:b/>
          <w:bCs/>
          <w:i/>
          <w:iCs/>
          <w:sz w:val="23"/>
          <w:szCs w:val="23"/>
        </w:rPr>
      </w:pPr>
    </w:p>
    <w:p w14:paraId="1E77B0E1" w14:textId="77777777" w:rsidR="00EB48C4" w:rsidRPr="009F6D1E" w:rsidRDefault="00EB48C4" w:rsidP="0084747F">
      <w:pPr>
        <w:spacing w:after="60" w:line="264" w:lineRule="auto"/>
        <w:ind w:firstLine="720"/>
        <w:jc w:val="both"/>
        <w:rPr>
          <w:rFonts w:cs="Times New Roman"/>
          <w:b/>
          <w:bCs/>
          <w:szCs w:val="24"/>
        </w:rPr>
      </w:pPr>
      <w:r w:rsidRPr="009F6D1E">
        <w:rPr>
          <w:rFonts w:cs="Times New Roman"/>
          <w:b/>
          <w:bCs/>
          <w:szCs w:val="24"/>
        </w:rPr>
        <w:t>Текущо състояние на повърхностните води  - Басейнова дирекция за управление на водите „Черноморски район“ с център гр.</w:t>
      </w:r>
      <w:r w:rsidR="00873C54" w:rsidRPr="009F6D1E">
        <w:rPr>
          <w:rFonts w:cs="Times New Roman"/>
          <w:b/>
          <w:bCs/>
          <w:szCs w:val="24"/>
        </w:rPr>
        <w:t xml:space="preserve"> </w:t>
      </w:r>
      <w:r w:rsidRPr="009F6D1E">
        <w:rPr>
          <w:rFonts w:cs="Times New Roman"/>
          <w:b/>
          <w:bCs/>
          <w:szCs w:val="24"/>
        </w:rPr>
        <w:t>Варна</w:t>
      </w:r>
    </w:p>
    <w:p w14:paraId="70C97702" w14:textId="77777777" w:rsidR="00EB48C4" w:rsidRPr="009F6D1E" w:rsidRDefault="00EB48C4" w:rsidP="0084747F">
      <w:pPr>
        <w:spacing w:after="60" w:line="264" w:lineRule="auto"/>
        <w:ind w:firstLine="720"/>
        <w:jc w:val="both"/>
        <w:rPr>
          <w:rFonts w:cs="Times New Roman"/>
          <w:szCs w:val="24"/>
        </w:rPr>
      </w:pPr>
      <w:r w:rsidRPr="009F6D1E">
        <w:rPr>
          <w:rFonts w:cs="Times New Roman"/>
          <w:szCs w:val="24"/>
        </w:rPr>
        <w:t xml:space="preserve">Повърхностните води в Черноморския район за басейново управление включва оттока формиран от 9 речни басейна. Основните течения в тях са реките Шабленска, Батова, Провадийска, Камчия, </w:t>
      </w:r>
      <w:proofErr w:type="spellStart"/>
      <w:r w:rsidRPr="009F6D1E">
        <w:rPr>
          <w:rFonts w:cs="Times New Roman"/>
          <w:szCs w:val="24"/>
        </w:rPr>
        <w:t>Фандъклийска</w:t>
      </w:r>
      <w:proofErr w:type="spellEnd"/>
      <w:r w:rsidRPr="009F6D1E">
        <w:rPr>
          <w:rFonts w:cs="Times New Roman"/>
          <w:szCs w:val="24"/>
        </w:rPr>
        <w:t xml:space="preserve">, Панаир дере, Двойница, Вая, Дращела, Хаджийска, Ахелой, </w:t>
      </w:r>
      <w:proofErr w:type="spellStart"/>
      <w:r w:rsidRPr="009F6D1E">
        <w:rPr>
          <w:rFonts w:cs="Times New Roman"/>
          <w:szCs w:val="24"/>
        </w:rPr>
        <w:t>Курбандере</w:t>
      </w:r>
      <w:proofErr w:type="spellEnd"/>
      <w:r w:rsidRPr="009F6D1E">
        <w:rPr>
          <w:rFonts w:cs="Times New Roman"/>
          <w:szCs w:val="24"/>
        </w:rPr>
        <w:t>, Айтоска, Чукарска, Русокастренска, Средецка, Факийска, Изворска, Маринка, Ропотамо, Дяволска, Караагач, Велика, Силистар, Резовска и други по-малки реки. Общата водосборна площ, от която се формира повърхностния отток възлиза на 16 568 м</w:t>
      </w:r>
      <w:r w:rsidRPr="009F6D1E">
        <w:rPr>
          <w:rFonts w:cs="Times New Roman"/>
          <w:szCs w:val="24"/>
          <w:vertAlign w:val="superscript"/>
        </w:rPr>
        <w:t>2</w:t>
      </w:r>
      <w:r w:rsidRPr="009F6D1E">
        <w:rPr>
          <w:rFonts w:cs="Times New Roman"/>
          <w:szCs w:val="24"/>
        </w:rPr>
        <w:t xml:space="preserve">. Най-голяма е водосборната област на р. Камчия, следвана от тази на р. Провадийска, Северно-Бургаски реки и р. </w:t>
      </w:r>
      <w:proofErr w:type="spellStart"/>
      <w:r w:rsidRPr="009F6D1E">
        <w:rPr>
          <w:rFonts w:cs="Times New Roman"/>
          <w:szCs w:val="24"/>
        </w:rPr>
        <w:t>Мандренска</w:t>
      </w:r>
      <w:proofErr w:type="spellEnd"/>
      <w:r w:rsidRPr="009F6D1E">
        <w:rPr>
          <w:rFonts w:cs="Times New Roman"/>
          <w:szCs w:val="24"/>
        </w:rPr>
        <w:t>.</w:t>
      </w:r>
    </w:p>
    <w:p w14:paraId="7BE78EAB" w14:textId="77777777" w:rsidR="00EB48C4" w:rsidRPr="009F6D1E" w:rsidRDefault="00EB48C4" w:rsidP="0084747F">
      <w:pPr>
        <w:spacing w:after="60" w:line="264" w:lineRule="auto"/>
        <w:ind w:firstLine="720"/>
        <w:jc w:val="both"/>
        <w:rPr>
          <w:rFonts w:cs="Times New Roman"/>
          <w:szCs w:val="24"/>
        </w:rPr>
      </w:pPr>
      <w:r w:rsidRPr="009F6D1E">
        <w:rPr>
          <w:rFonts w:cs="Times New Roman"/>
          <w:szCs w:val="24"/>
        </w:rPr>
        <w:t xml:space="preserve">На територията на Басейнова дирекция „Черноморски район“ се намират девет значими езера, разположени по Черноморското крайбрежие. Те са класифицирани в два типа - </w:t>
      </w:r>
      <w:proofErr w:type="spellStart"/>
      <w:r w:rsidRPr="009F6D1E">
        <w:rPr>
          <w:rFonts w:cs="Times New Roman"/>
          <w:szCs w:val="24"/>
        </w:rPr>
        <w:t>лиманни</w:t>
      </w:r>
      <w:proofErr w:type="spellEnd"/>
      <w:r w:rsidRPr="009F6D1E">
        <w:rPr>
          <w:rFonts w:cs="Times New Roman"/>
          <w:szCs w:val="24"/>
        </w:rPr>
        <w:t xml:space="preserve"> и </w:t>
      </w:r>
      <w:proofErr w:type="spellStart"/>
      <w:r w:rsidRPr="009F6D1E">
        <w:rPr>
          <w:rFonts w:cs="Times New Roman"/>
          <w:szCs w:val="24"/>
        </w:rPr>
        <w:t>лагунни</w:t>
      </w:r>
      <w:proofErr w:type="spellEnd"/>
      <w:r w:rsidRPr="009F6D1E">
        <w:rPr>
          <w:rFonts w:cs="Times New Roman"/>
          <w:szCs w:val="24"/>
        </w:rPr>
        <w:t xml:space="preserve">. Повечето от езерата са съсредоточени около двата най-големи залива - Варненски и Бургаски. Няколко малки езера са разположени по Добруджанския бряг и на юг от Созопол - по Странджанското крайбрежие. Към групата на </w:t>
      </w:r>
      <w:proofErr w:type="spellStart"/>
      <w:r w:rsidRPr="009F6D1E">
        <w:rPr>
          <w:rFonts w:cs="Times New Roman"/>
          <w:szCs w:val="24"/>
        </w:rPr>
        <w:t>лиманните</w:t>
      </w:r>
      <w:proofErr w:type="spellEnd"/>
      <w:r w:rsidRPr="009F6D1E">
        <w:rPr>
          <w:rFonts w:cs="Times New Roman"/>
          <w:szCs w:val="24"/>
        </w:rPr>
        <w:t xml:space="preserve"> езера спадат: </w:t>
      </w:r>
      <w:proofErr w:type="spellStart"/>
      <w:r w:rsidRPr="009F6D1E">
        <w:rPr>
          <w:rFonts w:cs="Times New Roman"/>
          <w:szCs w:val="24"/>
        </w:rPr>
        <w:t>Дуранкулашкото</w:t>
      </w:r>
      <w:proofErr w:type="spellEnd"/>
      <w:r w:rsidRPr="009F6D1E">
        <w:rPr>
          <w:rFonts w:cs="Times New Roman"/>
          <w:szCs w:val="24"/>
        </w:rPr>
        <w:t xml:space="preserve">, </w:t>
      </w:r>
      <w:proofErr w:type="spellStart"/>
      <w:r w:rsidRPr="009F6D1E">
        <w:rPr>
          <w:rFonts w:cs="Times New Roman"/>
          <w:szCs w:val="24"/>
        </w:rPr>
        <w:t>Езерецко</w:t>
      </w:r>
      <w:proofErr w:type="spellEnd"/>
      <w:r w:rsidRPr="009F6D1E">
        <w:rPr>
          <w:rFonts w:cs="Times New Roman"/>
          <w:szCs w:val="24"/>
        </w:rPr>
        <w:t xml:space="preserve">, Шабленско, Варненско, </w:t>
      </w:r>
      <w:proofErr w:type="spellStart"/>
      <w:r w:rsidRPr="009F6D1E">
        <w:rPr>
          <w:rFonts w:cs="Times New Roman"/>
          <w:szCs w:val="24"/>
        </w:rPr>
        <w:t>Белославско</w:t>
      </w:r>
      <w:proofErr w:type="spellEnd"/>
      <w:r w:rsidRPr="009F6D1E">
        <w:rPr>
          <w:rFonts w:cs="Times New Roman"/>
          <w:szCs w:val="24"/>
        </w:rPr>
        <w:t xml:space="preserve">, Бургаско и </w:t>
      </w:r>
      <w:proofErr w:type="spellStart"/>
      <w:r w:rsidRPr="009F6D1E">
        <w:rPr>
          <w:rFonts w:cs="Times New Roman"/>
          <w:szCs w:val="24"/>
        </w:rPr>
        <w:t>Мандренско</w:t>
      </w:r>
      <w:proofErr w:type="spellEnd"/>
      <w:r w:rsidRPr="009F6D1E">
        <w:rPr>
          <w:rFonts w:cs="Times New Roman"/>
          <w:szCs w:val="24"/>
        </w:rPr>
        <w:t xml:space="preserve"> езеро (</w:t>
      </w:r>
      <w:proofErr w:type="spellStart"/>
      <w:r w:rsidRPr="009F6D1E">
        <w:rPr>
          <w:rFonts w:cs="Times New Roman"/>
          <w:szCs w:val="24"/>
        </w:rPr>
        <w:t>Узунгерен</w:t>
      </w:r>
      <w:proofErr w:type="spellEnd"/>
      <w:r w:rsidRPr="009F6D1E">
        <w:rPr>
          <w:rFonts w:cs="Times New Roman"/>
          <w:szCs w:val="24"/>
        </w:rPr>
        <w:t xml:space="preserve">). </w:t>
      </w:r>
      <w:proofErr w:type="spellStart"/>
      <w:r w:rsidRPr="009F6D1E">
        <w:rPr>
          <w:rFonts w:cs="Times New Roman"/>
          <w:szCs w:val="24"/>
        </w:rPr>
        <w:t>Лагунните</w:t>
      </w:r>
      <w:proofErr w:type="spellEnd"/>
      <w:r w:rsidRPr="009F6D1E">
        <w:rPr>
          <w:rFonts w:cs="Times New Roman"/>
          <w:szCs w:val="24"/>
        </w:rPr>
        <w:t xml:space="preserve"> езера включват </w:t>
      </w:r>
      <w:proofErr w:type="spellStart"/>
      <w:r w:rsidRPr="009F6D1E">
        <w:rPr>
          <w:rFonts w:cs="Times New Roman"/>
          <w:szCs w:val="24"/>
        </w:rPr>
        <w:t>Атанасовското</w:t>
      </w:r>
      <w:proofErr w:type="spellEnd"/>
      <w:r w:rsidRPr="009F6D1E">
        <w:rPr>
          <w:rFonts w:cs="Times New Roman"/>
          <w:szCs w:val="24"/>
        </w:rPr>
        <w:t xml:space="preserve"> и Поморийското езеро, езерата-блата - Алепу, Аркутино, </w:t>
      </w:r>
      <w:proofErr w:type="spellStart"/>
      <w:r w:rsidRPr="009F6D1E">
        <w:rPr>
          <w:rFonts w:cs="Times New Roman"/>
          <w:szCs w:val="24"/>
        </w:rPr>
        <w:t>Стомонплу</w:t>
      </w:r>
      <w:proofErr w:type="spellEnd"/>
      <w:r w:rsidRPr="009F6D1E">
        <w:rPr>
          <w:rFonts w:cs="Times New Roman"/>
          <w:szCs w:val="24"/>
        </w:rPr>
        <w:t xml:space="preserve">, Шабленска </w:t>
      </w:r>
      <w:proofErr w:type="spellStart"/>
      <w:r w:rsidRPr="009F6D1E">
        <w:rPr>
          <w:rFonts w:cs="Times New Roman"/>
          <w:szCs w:val="24"/>
        </w:rPr>
        <w:t>тузла</w:t>
      </w:r>
      <w:proofErr w:type="spellEnd"/>
      <w:r w:rsidRPr="009F6D1E">
        <w:rPr>
          <w:rFonts w:cs="Times New Roman"/>
          <w:szCs w:val="24"/>
        </w:rPr>
        <w:t xml:space="preserve">, </w:t>
      </w:r>
      <w:proofErr w:type="spellStart"/>
      <w:r w:rsidRPr="009F6D1E">
        <w:rPr>
          <w:rFonts w:cs="Times New Roman"/>
          <w:szCs w:val="24"/>
        </w:rPr>
        <w:t>Наневска</w:t>
      </w:r>
      <w:proofErr w:type="spellEnd"/>
      <w:r w:rsidRPr="009F6D1E">
        <w:rPr>
          <w:rFonts w:cs="Times New Roman"/>
          <w:szCs w:val="24"/>
        </w:rPr>
        <w:t xml:space="preserve">, Балчишка </w:t>
      </w:r>
      <w:proofErr w:type="spellStart"/>
      <w:r w:rsidRPr="009F6D1E">
        <w:rPr>
          <w:rFonts w:cs="Times New Roman"/>
          <w:szCs w:val="24"/>
        </w:rPr>
        <w:t>тузла</w:t>
      </w:r>
      <w:proofErr w:type="spellEnd"/>
      <w:r w:rsidRPr="009F6D1E">
        <w:rPr>
          <w:rFonts w:cs="Times New Roman"/>
          <w:szCs w:val="24"/>
        </w:rPr>
        <w:t>.</w:t>
      </w:r>
    </w:p>
    <w:p w14:paraId="7D593B91" w14:textId="77777777" w:rsidR="00EB48C4" w:rsidRPr="009F6D1E" w:rsidRDefault="00EB48C4" w:rsidP="0084747F">
      <w:pPr>
        <w:spacing w:after="60" w:line="264" w:lineRule="auto"/>
        <w:ind w:firstLine="720"/>
        <w:jc w:val="both"/>
        <w:rPr>
          <w:rFonts w:cs="Times New Roman"/>
          <w:szCs w:val="24"/>
        </w:rPr>
      </w:pPr>
      <w:r w:rsidRPr="009F6D1E">
        <w:rPr>
          <w:rFonts w:cs="Times New Roman"/>
          <w:szCs w:val="24"/>
        </w:rPr>
        <w:t>За територията на БДЧР са определени 8 типа водни категории „реки“, 4 типа от категория „езера“, 5 типа от категория „преходни води“ и 9 типа „крайбрежни води“. В ПУРБ на БДЧР 2016-2021 г. са идентифицирани общо 205 броя водни тела, от които 43 броя СМВТ и 4 изкуствени водни тела (ИВТ). 21% от всички 205 броя повърхностни водни тела или 14.04% от територията на басейновата дирекция са СМВТ, а 1.95% или по-малко от 1% от територията на басейновата дирекция са ИВТ.</w:t>
      </w:r>
    </w:p>
    <w:p w14:paraId="634F16D8" w14:textId="77777777" w:rsidR="00EB48C4" w:rsidRPr="009F6D1E" w:rsidRDefault="00EB48C4" w:rsidP="0084747F">
      <w:pPr>
        <w:spacing w:after="60" w:line="264" w:lineRule="auto"/>
        <w:ind w:firstLine="720"/>
        <w:rPr>
          <w:rFonts w:cs="Times New Roman"/>
          <w:szCs w:val="24"/>
        </w:rPr>
      </w:pPr>
      <w:r w:rsidRPr="009F6D1E">
        <w:rPr>
          <w:rFonts w:cs="Times New Roman"/>
          <w:b/>
          <w:bCs/>
          <w:i/>
          <w:szCs w:val="24"/>
        </w:rPr>
        <w:t>Екологично състояние/потенциал на повърхностни водни тела в БДЧР</w:t>
      </w:r>
    </w:p>
    <w:p w14:paraId="6C2C4F55" w14:textId="77777777" w:rsidR="00EB48C4" w:rsidRPr="009F6D1E" w:rsidRDefault="00EB48C4" w:rsidP="0084747F">
      <w:pPr>
        <w:spacing w:after="60" w:line="264" w:lineRule="auto"/>
        <w:ind w:firstLine="720"/>
        <w:jc w:val="both"/>
        <w:rPr>
          <w:rFonts w:cs="Times New Roman"/>
        </w:rPr>
      </w:pPr>
      <w:r w:rsidRPr="009F6D1E">
        <w:rPr>
          <w:rFonts w:cs="Times New Roman"/>
          <w:szCs w:val="24"/>
        </w:rPr>
        <w:t>Общият брой на оценените повърхностни водни тела на територията на Черноморски район е 205. Съгласно ПУРБ на БДЧР (2016-2021 г.) в отлично екологично състояние се намират общо 5 водни тела (3 бр. ВТ категория „реки“ и 2 бр. ВТ категория „преходни води - реки“), в добро екологично състояние/потенциал се намират 72 бр. водни тела, 83 бр. водни тела се намират в умерено състояние /потенциал, 25 водни тела се намират в лошо състояние, а в много лошо - 20.</w:t>
      </w:r>
      <w:r w:rsidRPr="009F6D1E">
        <w:rPr>
          <w:rFonts w:cs="Times New Roman"/>
        </w:rPr>
        <w:t xml:space="preserve"> </w:t>
      </w:r>
    </w:p>
    <w:p w14:paraId="7AEC5B2C" w14:textId="4BEC4C40" w:rsidR="00EB48C4" w:rsidRPr="009F6D1E" w:rsidRDefault="00602ACA" w:rsidP="0084747F">
      <w:pPr>
        <w:tabs>
          <w:tab w:val="left" w:pos="993"/>
        </w:tabs>
        <w:spacing w:after="60" w:line="264" w:lineRule="auto"/>
        <w:ind w:firstLine="720"/>
        <w:jc w:val="both"/>
        <w:rPr>
          <w:rFonts w:eastAsia="Times New Roman" w:cs="Times New Roman"/>
          <w:szCs w:val="24"/>
        </w:rPr>
      </w:pPr>
      <w:r>
        <w:rPr>
          <w:rFonts w:eastAsia="Times New Roman" w:cs="Times New Roman"/>
          <w:szCs w:val="24"/>
        </w:rPr>
        <w:t>Информация, съгласно</w:t>
      </w:r>
      <w:r w:rsidR="00EB48C4" w:rsidRPr="009F6D1E">
        <w:rPr>
          <w:rFonts w:eastAsia="Times New Roman" w:cs="Times New Roman"/>
          <w:szCs w:val="24"/>
        </w:rPr>
        <w:t xml:space="preserve"> Оценка на актуалното състояние на водите в Черноморски район за басейново управление за 2020 г</w:t>
      </w:r>
      <w:r>
        <w:rPr>
          <w:rFonts w:eastAsia="Times New Roman" w:cs="Times New Roman"/>
          <w:szCs w:val="24"/>
        </w:rPr>
        <w:t xml:space="preserve"> е дадена по-долу</w:t>
      </w:r>
    </w:p>
    <w:p w14:paraId="5872AB62" w14:textId="008CFBB7" w:rsidR="00EB48C4" w:rsidRPr="009F6D1E" w:rsidRDefault="00EB48C4"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 xml:space="preserve">В </w:t>
      </w:r>
      <w:r>
        <w:fldChar w:fldCharType="begin"/>
      </w:r>
      <w:r>
        <w:instrText xml:space="preserve"> REF _Ref97393301 \h  \* MERGEFORMAT </w:instrText>
      </w:r>
      <w:r>
        <w:fldChar w:fldCharType="separate"/>
      </w:r>
      <w:r w:rsidR="00A43EF3" w:rsidRPr="00A43EF3">
        <w:rPr>
          <w:rFonts w:eastAsia="Times New Roman" w:cs="Times New Roman"/>
          <w:szCs w:val="24"/>
        </w:rPr>
        <w:t>Таблица 7</w:t>
      </w:r>
      <w:r>
        <w:fldChar w:fldCharType="end"/>
      </w:r>
      <w:r w:rsidR="00FB1106" w:rsidRPr="009F6D1E">
        <w:rPr>
          <w:rFonts w:eastAsia="Times New Roman" w:cs="Times New Roman"/>
          <w:szCs w:val="24"/>
        </w:rPr>
        <w:t xml:space="preserve"> </w:t>
      </w:r>
      <w:r w:rsidRPr="009F6D1E">
        <w:rPr>
          <w:rFonts w:eastAsia="Times New Roman" w:cs="Times New Roman"/>
          <w:szCs w:val="24"/>
        </w:rPr>
        <w:t>са представени повърхностните водни тела, определени в лошо или много лошо екологично състояние/потенциал, съгласно публикуваната оценка.</w:t>
      </w:r>
    </w:p>
    <w:p w14:paraId="4225A6F1" w14:textId="6CDE7816" w:rsidR="00EB48C4" w:rsidRPr="009F6D1E" w:rsidRDefault="00FB1106" w:rsidP="0084747F">
      <w:pPr>
        <w:pStyle w:val="Caption"/>
        <w:spacing w:after="60" w:line="264" w:lineRule="auto"/>
      </w:pPr>
      <w:bookmarkStart w:id="240" w:name="_Ref97393301"/>
      <w:bookmarkStart w:id="241" w:name="_Toc115255158"/>
      <w:r w:rsidRPr="009F6D1E">
        <w:t xml:space="preserve">Таблица </w:t>
      </w:r>
      <w:fldSimple w:instr=" SEQ Таблица \* ARABIC ">
        <w:r w:rsidR="00A43EF3">
          <w:rPr>
            <w:noProof/>
          </w:rPr>
          <w:t>7</w:t>
        </w:r>
      </w:fldSimple>
      <w:bookmarkEnd w:id="240"/>
      <w:r w:rsidRPr="009F6D1E">
        <w:t xml:space="preserve">: </w:t>
      </w:r>
      <w:bookmarkStart w:id="242" w:name="bookmark75"/>
      <w:r w:rsidR="00EB48C4" w:rsidRPr="009F6D1E">
        <w:t>Повърхностни водни тела, категория „реки“, определени в лошо или много лошо</w:t>
      </w:r>
      <w:bookmarkEnd w:id="242"/>
      <w:r w:rsidR="00EB48C4" w:rsidRPr="009F6D1E">
        <w:t xml:space="preserve"> екологично състояние към 2020 г.</w:t>
      </w:r>
      <w:bookmarkEnd w:id="241"/>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25"/>
        <w:gridCol w:w="1501"/>
        <w:gridCol w:w="1699"/>
        <w:gridCol w:w="3910"/>
        <w:gridCol w:w="1980"/>
      </w:tblGrid>
      <w:tr w:rsidR="00EB48C4" w:rsidRPr="009F6D1E" w14:paraId="488EC51B" w14:textId="77777777" w:rsidTr="00BA12F4">
        <w:trPr>
          <w:trHeight w:hRule="exact" w:val="815"/>
          <w:tblHeader/>
        </w:trPr>
        <w:tc>
          <w:tcPr>
            <w:tcW w:w="625" w:type="dxa"/>
            <w:shd w:val="pct20" w:color="auto" w:fill="FFFFFF"/>
            <w:vAlign w:val="center"/>
          </w:tcPr>
          <w:p w14:paraId="39824B4F"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w:t>
            </w:r>
          </w:p>
        </w:tc>
        <w:tc>
          <w:tcPr>
            <w:tcW w:w="1501" w:type="dxa"/>
            <w:shd w:val="pct20" w:color="auto" w:fill="FFFFFF"/>
            <w:vAlign w:val="center"/>
          </w:tcPr>
          <w:p w14:paraId="568FF4C8"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Речен басейн</w:t>
            </w:r>
          </w:p>
        </w:tc>
        <w:tc>
          <w:tcPr>
            <w:tcW w:w="1699" w:type="dxa"/>
            <w:shd w:val="pct20" w:color="auto" w:fill="FFFFFF"/>
            <w:vAlign w:val="center"/>
          </w:tcPr>
          <w:p w14:paraId="6BAE89C0"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Код на ВТ</w:t>
            </w:r>
          </w:p>
        </w:tc>
        <w:tc>
          <w:tcPr>
            <w:tcW w:w="3910" w:type="dxa"/>
            <w:shd w:val="pct20" w:color="auto" w:fill="FFFFFF"/>
            <w:vAlign w:val="center"/>
          </w:tcPr>
          <w:p w14:paraId="21E77693"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Географско описание на ВТ</w:t>
            </w:r>
          </w:p>
        </w:tc>
        <w:tc>
          <w:tcPr>
            <w:tcW w:w="1980" w:type="dxa"/>
            <w:shd w:val="pct20" w:color="auto" w:fill="FFFFFF"/>
            <w:vAlign w:val="center"/>
          </w:tcPr>
          <w:p w14:paraId="47BCA790"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Екологично</w:t>
            </w:r>
          </w:p>
          <w:p w14:paraId="2B752810" w14:textId="77777777" w:rsidR="00EB48C4" w:rsidRPr="009F6D1E" w:rsidRDefault="00EB48C4" w:rsidP="0084747F">
            <w:pPr>
              <w:tabs>
                <w:tab w:val="left" w:pos="993"/>
              </w:tabs>
              <w:spacing w:after="60" w:line="264" w:lineRule="auto"/>
              <w:jc w:val="center"/>
              <w:rPr>
                <w:rFonts w:eastAsia="Microsoft Sans Serif" w:cs="Times New Roman"/>
                <w:b/>
                <w:color w:val="000000"/>
                <w:sz w:val="20"/>
                <w:szCs w:val="20"/>
                <w:lang w:eastAsia="bg-BG" w:bidi="bg-BG"/>
              </w:rPr>
            </w:pPr>
            <w:r w:rsidRPr="009F6D1E">
              <w:rPr>
                <w:rFonts w:eastAsia="Microsoft Sans Serif" w:cs="Times New Roman"/>
                <w:b/>
                <w:color w:val="000000"/>
                <w:sz w:val="20"/>
                <w:szCs w:val="20"/>
                <w:lang w:eastAsia="bg-BG" w:bidi="bg-BG"/>
              </w:rPr>
              <w:t>състояние</w:t>
            </w:r>
          </w:p>
        </w:tc>
      </w:tr>
      <w:tr w:rsidR="00EB48C4" w:rsidRPr="009F6D1E" w14:paraId="38FDB24E" w14:textId="77777777" w:rsidTr="00BA12F4">
        <w:trPr>
          <w:trHeight w:hRule="exact" w:val="1076"/>
        </w:trPr>
        <w:tc>
          <w:tcPr>
            <w:tcW w:w="625" w:type="dxa"/>
            <w:shd w:val="clear" w:color="auto" w:fill="FFFFFF"/>
            <w:vAlign w:val="center"/>
          </w:tcPr>
          <w:p w14:paraId="282C67BD"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4A9489B6"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река Камчия</w:t>
            </w:r>
          </w:p>
        </w:tc>
        <w:tc>
          <w:tcPr>
            <w:tcW w:w="1699" w:type="dxa"/>
            <w:shd w:val="clear" w:color="auto" w:fill="FFFFFF"/>
            <w:vAlign w:val="center"/>
          </w:tcPr>
          <w:p w14:paraId="3F73F2F8"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BG2KA800R1131</w:t>
            </w:r>
          </w:p>
        </w:tc>
        <w:tc>
          <w:tcPr>
            <w:tcW w:w="3910" w:type="dxa"/>
            <w:shd w:val="clear" w:color="auto" w:fill="FFFFFF"/>
            <w:vAlign w:val="bottom"/>
          </w:tcPr>
          <w:p w14:paraId="5E3CE47E"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 xml:space="preserve">I участък: р. Врана от гр. Търговище до вливане на р. </w:t>
            </w:r>
            <w:proofErr w:type="spellStart"/>
            <w:r w:rsidRPr="009F6D1E">
              <w:rPr>
                <w:rFonts w:cs="Times New Roman"/>
                <w:color w:val="000000"/>
                <w:sz w:val="20"/>
                <w:szCs w:val="20"/>
                <w:lang w:eastAsia="bg-BG" w:bidi="bg-BG"/>
              </w:rPr>
              <w:t>Керизбунар</w:t>
            </w:r>
            <w:proofErr w:type="spellEnd"/>
            <w:r w:rsidRPr="009F6D1E">
              <w:rPr>
                <w:rFonts w:cs="Times New Roman"/>
                <w:color w:val="000000"/>
                <w:sz w:val="20"/>
                <w:szCs w:val="20"/>
                <w:lang w:eastAsia="bg-BG" w:bidi="bg-BG"/>
              </w:rPr>
              <w:t xml:space="preserve"> (</w:t>
            </w:r>
            <w:proofErr w:type="spellStart"/>
            <w:r w:rsidRPr="009F6D1E">
              <w:rPr>
                <w:rFonts w:cs="Times New Roman"/>
                <w:color w:val="000000"/>
                <w:sz w:val="20"/>
                <w:szCs w:val="20"/>
                <w:lang w:eastAsia="bg-BG" w:bidi="bg-BG"/>
              </w:rPr>
              <w:t>Андере</w:t>
            </w:r>
            <w:proofErr w:type="spellEnd"/>
            <w:r w:rsidRPr="009F6D1E">
              <w:rPr>
                <w:rFonts w:cs="Times New Roman"/>
                <w:color w:val="000000"/>
                <w:sz w:val="20"/>
                <w:szCs w:val="20"/>
                <w:lang w:eastAsia="bg-BG" w:bidi="bg-BG"/>
              </w:rPr>
              <w:t xml:space="preserve">)II участък: р. Сива (Лиляк) до вливане в р. </w:t>
            </w:r>
            <w:proofErr w:type="spellStart"/>
            <w:r w:rsidRPr="009F6D1E">
              <w:rPr>
                <w:rFonts w:cs="Times New Roman"/>
                <w:color w:val="000000"/>
                <w:sz w:val="20"/>
                <w:szCs w:val="20"/>
                <w:lang w:eastAsia="bg-BG" w:bidi="bg-BG"/>
              </w:rPr>
              <w:t>ВранаIII</w:t>
            </w:r>
            <w:proofErr w:type="spellEnd"/>
            <w:r w:rsidRPr="009F6D1E">
              <w:rPr>
                <w:rFonts w:cs="Times New Roman"/>
                <w:color w:val="000000"/>
                <w:sz w:val="20"/>
                <w:szCs w:val="20"/>
                <w:lang w:eastAsia="bg-BG" w:bidi="bg-BG"/>
              </w:rPr>
              <w:t xml:space="preserve"> участък: р. Кьошка (</w:t>
            </w:r>
            <w:proofErr w:type="spellStart"/>
            <w:r w:rsidRPr="009F6D1E">
              <w:rPr>
                <w:rFonts w:cs="Times New Roman"/>
                <w:color w:val="000000"/>
                <w:sz w:val="20"/>
                <w:szCs w:val="20"/>
                <w:lang w:eastAsia="bg-BG" w:bidi="bg-BG"/>
              </w:rPr>
              <w:t>Башбунар</w:t>
            </w:r>
            <w:proofErr w:type="spellEnd"/>
            <w:r w:rsidRPr="009F6D1E">
              <w:rPr>
                <w:rFonts w:cs="Times New Roman"/>
                <w:color w:val="000000"/>
                <w:sz w:val="20"/>
                <w:szCs w:val="20"/>
                <w:lang w:eastAsia="bg-BG" w:bidi="bg-BG"/>
              </w:rPr>
              <w:t>)</w:t>
            </w:r>
          </w:p>
        </w:tc>
        <w:tc>
          <w:tcPr>
            <w:tcW w:w="1980" w:type="dxa"/>
            <w:shd w:val="clear" w:color="auto" w:fill="FF0000"/>
            <w:vAlign w:val="center"/>
          </w:tcPr>
          <w:p w14:paraId="61168BCA" w14:textId="77777777" w:rsidR="00EB48C4" w:rsidRPr="009F6D1E" w:rsidRDefault="0078731A"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м</w:t>
            </w:r>
            <w:r w:rsidR="00EB48C4" w:rsidRPr="009F6D1E">
              <w:rPr>
                <w:rFonts w:cs="Times New Roman"/>
                <w:color w:val="000000"/>
                <w:sz w:val="20"/>
                <w:szCs w:val="20"/>
                <w:lang w:eastAsia="bg-BG" w:bidi="bg-BG"/>
              </w:rPr>
              <w:t>ного лошо</w:t>
            </w:r>
          </w:p>
        </w:tc>
      </w:tr>
      <w:tr w:rsidR="00EB48C4" w:rsidRPr="009F6D1E" w14:paraId="2667EE0C" w14:textId="77777777" w:rsidTr="00BA12F4">
        <w:trPr>
          <w:trHeight w:hRule="exact" w:val="422"/>
        </w:trPr>
        <w:tc>
          <w:tcPr>
            <w:tcW w:w="625" w:type="dxa"/>
            <w:shd w:val="clear" w:color="auto" w:fill="FFFFFF"/>
            <w:vAlign w:val="center"/>
          </w:tcPr>
          <w:p w14:paraId="77AE1FB7"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6E03B753"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река Камчия</w:t>
            </w:r>
          </w:p>
        </w:tc>
        <w:tc>
          <w:tcPr>
            <w:tcW w:w="1699" w:type="dxa"/>
            <w:shd w:val="clear" w:color="auto" w:fill="FFFFFF"/>
            <w:vAlign w:val="center"/>
          </w:tcPr>
          <w:p w14:paraId="1F9CD122"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BG2KA600R018</w:t>
            </w:r>
          </w:p>
        </w:tc>
        <w:tc>
          <w:tcPr>
            <w:tcW w:w="3910" w:type="dxa"/>
            <w:shd w:val="clear" w:color="auto" w:fill="FFFFFF"/>
            <w:vAlign w:val="bottom"/>
          </w:tcPr>
          <w:p w14:paraId="5E0FC111"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р. Брестова и притоци</w:t>
            </w:r>
          </w:p>
          <w:p w14:paraId="1D6EA077"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p>
        </w:tc>
        <w:tc>
          <w:tcPr>
            <w:tcW w:w="1980" w:type="dxa"/>
            <w:shd w:val="clear" w:color="auto" w:fill="FF0000"/>
            <w:vAlign w:val="center"/>
          </w:tcPr>
          <w:p w14:paraId="380EAF4D" w14:textId="77777777" w:rsidR="00EB48C4" w:rsidRPr="009F6D1E" w:rsidRDefault="0078731A"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м</w:t>
            </w:r>
            <w:r w:rsidR="00EB48C4" w:rsidRPr="009F6D1E">
              <w:rPr>
                <w:rFonts w:cs="Times New Roman"/>
                <w:color w:val="000000"/>
                <w:sz w:val="20"/>
                <w:szCs w:val="20"/>
                <w:lang w:eastAsia="bg-BG" w:bidi="bg-BG"/>
              </w:rPr>
              <w:t>ного лошо</w:t>
            </w:r>
          </w:p>
        </w:tc>
      </w:tr>
      <w:tr w:rsidR="00EB48C4" w:rsidRPr="009F6D1E" w14:paraId="1E1D103B" w14:textId="77777777" w:rsidTr="00BA12F4">
        <w:trPr>
          <w:trHeight w:hRule="exact" w:val="572"/>
        </w:trPr>
        <w:tc>
          <w:tcPr>
            <w:tcW w:w="625" w:type="dxa"/>
            <w:shd w:val="clear" w:color="auto" w:fill="FFFFFF"/>
            <w:vAlign w:val="center"/>
          </w:tcPr>
          <w:p w14:paraId="7C240A5D"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0DAE80FB"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река Камчия</w:t>
            </w:r>
          </w:p>
        </w:tc>
        <w:tc>
          <w:tcPr>
            <w:tcW w:w="1699" w:type="dxa"/>
            <w:shd w:val="clear" w:color="auto" w:fill="FFFFFF"/>
            <w:vAlign w:val="center"/>
          </w:tcPr>
          <w:p w14:paraId="7A96E5F0"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BG2KA400R1111</w:t>
            </w:r>
          </w:p>
        </w:tc>
        <w:tc>
          <w:tcPr>
            <w:tcW w:w="3910" w:type="dxa"/>
            <w:shd w:val="clear" w:color="auto" w:fill="FFFFFF"/>
            <w:vAlign w:val="bottom"/>
          </w:tcPr>
          <w:p w14:paraId="0A001057"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р. Луда Камчия - от с. Люляково до яз. Цонево</w:t>
            </w:r>
          </w:p>
        </w:tc>
        <w:tc>
          <w:tcPr>
            <w:tcW w:w="1980" w:type="dxa"/>
            <w:shd w:val="clear" w:color="auto" w:fill="FFC000"/>
          </w:tcPr>
          <w:p w14:paraId="3F7F9FAA"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лошо</w:t>
            </w:r>
          </w:p>
        </w:tc>
      </w:tr>
      <w:tr w:rsidR="00EB48C4" w:rsidRPr="009F6D1E" w14:paraId="2D97D47F" w14:textId="77777777" w:rsidTr="00BA12F4">
        <w:trPr>
          <w:trHeight w:hRule="exact" w:val="840"/>
        </w:trPr>
        <w:tc>
          <w:tcPr>
            <w:tcW w:w="625" w:type="dxa"/>
            <w:shd w:val="clear" w:color="auto" w:fill="FFFFFF"/>
            <w:vAlign w:val="center"/>
          </w:tcPr>
          <w:p w14:paraId="5C04683F"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3020174C"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Севернобургаски реки</w:t>
            </w:r>
          </w:p>
        </w:tc>
        <w:tc>
          <w:tcPr>
            <w:tcW w:w="1699" w:type="dxa"/>
            <w:shd w:val="clear" w:color="auto" w:fill="FFFFFF"/>
            <w:vAlign w:val="center"/>
          </w:tcPr>
          <w:p w14:paraId="5A2A935A"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BG2SE900R026</w:t>
            </w:r>
          </w:p>
        </w:tc>
        <w:tc>
          <w:tcPr>
            <w:tcW w:w="3910" w:type="dxa"/>
            <w:shd w:val="clear" w:color="auto" w:fill="FFFFFF"/>
            <w:vAlign w:val="bottom"/>
          </w:tcPr>
          <w:p w14:paraId="2E63CE3F"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 xml:space="preserve">І участък: </w:t>
            </w:r>
            <w:proofErr w:type="spellStart"/>
            <w:r w:rsidRPr="009F6D1E">
              <w:rPr>
                <w:rFonts w:cs="Times New Roman"/>
                <w:color w:val="000000"/>
                <w:sz w:val="20"/>
                <w:szCs w:val="20"/>
                <w:lang w:eastAsia="bg-BG" w:bidi="bg-BG"/>
              </w:rPr>
              <w:t>р.Азмак</w:t>
            </w:r>
            <w:proofErr w:type="spellEnd"/>
            <w:r w:rsidRPr="009F6D1E">
              <w:rPr>
                <w:rFonts w:cs="Times New Roman"/>
                <w:color w:val="000000"/>
                <w:sz w:val="20"/>
                <w:szCs w:val="20"/>
                <w:lang w:eastAsia="bg-BG" w:bidi="bg-BG"/>
              </w:rPr>
              <w:t xml:space="preserve"> - от извора до вливане в </w:t>
            </w:r>
            <w:proofErr w:type="spellStart"/>
            <w:r w:rsidRPr="009F6D1E">
              <w:rPr>
                <w:rFonts w:cs="Times New Roman"/>
                <w:color w:val="000000"/>
                <w:sz w:val="20"/>
                <w:szCs w:val="20"/>
                <w:lang w:eastAsia="bg-BG" w:bidi="bg-BG"/>
              </w:rPr>
              <w:t>Атанасовско</w:t>
            </w:r>
            <w:proofErr w:type="spellEnd"/>
            <w:r w:rsidRPr="009F6D1E">
              <w:rPr>
                <w:rFonts w:cs="Times New Roman"/>
                <w:color w:val="000000"/>
                <w:sz w:val="20"/>
                <w:szCs w:val="20"/>
                <w:lang w:eastAsia="bg-BG" w:bidi="bg-BG"/>
              </w:rPr>
              <w:t xml:space="preserve"> езеро ІІ участък: </w:t>
            </w:r>
            <w:proofErr w:type="spellStart"/>
            <w:r w:rsidRPr="009F6D1E">
              <w:rPr>
                <w:rFonts w:cs="Times New Roman"/>
                <w:color w:val="000000"/>
                <w:sz w:val="20"/>
                <w:szCs w:val="20"/>
                <w:lang w:eastAsia="bg-BG" w:bidi="bg-BG"/>
              </w:rPr>
              <w:t>р.Дермендере</w:t>
            </w:r>
            <w:proofErr w:type="spellEnd"/>
            <w:r w:rsidRPr="009F6D1E">
              <w:rPr>
                <w:rFonts w:cs="Times New Roman"/>
                <w:color w:val="000000"/>
                <w:sz w:val="20"/>
                <w:szCs w:val="20"/>
                <w:lang w:eastAsia="bg-BG" w:bidi="bg-BG"/>
              </w:rPr>
              <w:t xml:space="preserve"> - от извора до вливане в</w:t>
            </w:r>
          </w:p>
          <w:p w14:paraId="45EC059A"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p>
        </w:tc>
        <w:tc>
          <w:tcPr>
            <w:tcW w:w="1980" w:type="dxa"/>
            <w:shd w:val="clear" w:color="auto" w:fill="FFC000"/>
            <w:vAlign w:val="center"/>
          </w:tcPr>
          <w:p w14:paraId="0A9FC010"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лошо</w:t>
            </w:r>
          </w:p>
        </w:tc>
      </w:tr>
      <w:tr w:rsidR="00EB48C4" w:rsidRPr="009F6D1E" w14:paraId="2E879B79" w14:textId="77777777" w:rsidTr="00BA12F4">
        <w:trPr>
          <w:trHeight w:hRule="exact" w:val="1022"/>
        </w:trPr>
        <w:tc>
          <w:tcPr>
            <w:tcW w:w="625" w:type="dxa"/>
            <w:shd w:val="clear" w:color="auto" w:fill="FFFFFF"/>
            <w:vAlign w:val="center"/>
          </w:tcPr>
          <w:p w14:paraId="34BFC5D5"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3C1550F9"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Севернобургаски реки</w:t>
            </w:r>
          </w:p>
        </w:tc>
        <w:tc>
          <w:tcPr>
            <w:tcW w:w="1699" w:type="dxa"/>
            <w:shd w:val="clear" w:color="auto" w:fill="FFFFFF"/>
            <w:vAlign w:val="center"/>
          </w:tcPr>
          <w:p w14:paraId="18D03D12"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BG2SE900R1030</w:t>
            </w:r>
          </w:p>
        </w:tc>
        <w:tc>
          <w:tcPr>
            <w:tcW w:w="3910" w:type="dxa"/>
            <w:shd w:val="clear" w:color="auto" w:fill="FFFFFF"/>
            <w:vAlign w:val="bottom"/>
          </w:tcPr>
          <w:p w14:paraId="07C3A280"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 xml:space="preserve">І участък: </w:t>
            </w:r>
            <w:proofErr w:type="spellStart"/>
            <w:r w:rsidRPr="009F6D1E">
              <w:rPr>
                <w:rFonts w:cs="Times New Roman"/>
                <w:color w:val="000000"/>
                <w:sz w:val="20"/>
                <w:szCs w:val="20"/>
                <w:lang w:eastAsia="bg-BG" w:bidi="bg-BG"/>
              </w:rPr>
              <w:t>р.Айтоска</w:t>
            </w:r>
            <w:proofErr w:type="spellEnd"/>
            <w:r w:rsidRPr="009F6D1E">
              <w:rPr>
                <w:rFonts w:cs="Times New Roman"/>
                <w:color w:val="000000"/>
                <w:sz w:val="20"/>
                <w:szCs w:val="20"/>
                <w:lang w:eastAsia="bg-BG" w:bidi="bg-BG"/>
              </w:rPr>
              <w:t xml:space="preserve"> - от вливане на </w:t>
            </w:r>
            <w:proofErr w:type="spellStart"/>
            <w:r w:rsidRPr="009F6D1E">
              <w:rPr>
                <w:rFonts w:cs="Times New Roman"/>
                <w:color w:val="000000"/>
                <w:sz w:val="20"/>
                <w:szCs w:val="20"/>
                <w:lang w:eastAsia="bg-BG" w:bidi="bg-BG"/>
              </w:rPr>
              <w:t>р.Славеева</w:t>
            </w:r>
            <w:proofErr w:type="spellEnd"/>
            <w:r w:rsidRPr="009F6D1E">
              <w:rPr>
                <w:rFonts w:cs="Times New Roman"/>
                <w:color w:val="000000"/>
                <w:sz w:val="20"/>
                <w:szCs w:val="20"/>
                <w:lang w:eastAsia="bg-BG" w:bidi="bg-BG"/>
              </w:rPr>
              <w:t xml:space="preserve"> до вливане на </w:t>
            </w:r>
            <w:proofErr w:type="spellStart"/>
            <w:r w:rsidRPr="009F6D1E">
              <w:rPr>
                <w:rFonts w:cs="Times New Roman"/>
                <w:color w:val="000000"/>
                <w:sz w:val="20"/>
                <w:szCs w:val="20"/>
                <w:lang w:eastAsia="bg-BG" w:bidi="bg-BG"/>
              </w:rPr>
              <w:t>р.Съдиевска</w:t>
            </w:r>
            <w:proofErr w:type="spellEnd"/>
            <w:r w:rsidRPr="009F6D1E">
              <w:rPr>
                <w:rFonts w:cs="Times New Roman"/>
                <w:color w:val="000000"/>
                <w:sz w:val="20"/>
                <w:szCs w:val="20"/>
                <w:lang w:eastAsia="bg-BG" w:bidi="bg-BG"/>
              </w:rPr>
              <w:t xml:space="preserve"> ІІ участък: </w:t>
            </w:r>
            <w:proofErr w:type="spellStart"/>
            <w:r w:rsidRPr="009F6D1E">
              <w:rPr>
                <w:rFonts w:cs="Times New Roman"/>
                <w:color w:val="000000"/>
                <w:sz w:val="20"/>
                <w:szCs w:val="20"/>
                <w:lang w:eastAsia="bg-BG" w:bidi="bg-BG"/>
              </w:rPr>
              <w:t>р.Славеева</w:t>
            </w:r>
            <w:proofErr w:type="spellEnd"/>
            <w:r w:rsidRPr="009F6D1E">
              <w:rPr>
                <w:rFonts w:cs="Times New Roman"/>
                <w:color w:val="000000"/>
                <w:sz w:val="20"/>
                <w:szCs w:val="20"/>
                <w:lang w:eastAsia="bg-BG" w:bidi="bg-BG"/>
              </w:rPr>
              <w:t xml:space="preserve"> - от извора до вливане в </w:t>
            </w:r>
            <w:proofErr w:type="spellStart"/>
            <w:r w:rsidRPr="009F6D1E">
              <w:rPr>
                <w:rFonts w:cs="Times New Roman"/>
                <w:color w:val="000000"/>
                <w:sz w:val="20"/>
                <w:szCs w:val="20"/>
                <w:lang w:eastAsia="bg-BG" w:bidi="bg-BG"/>
              </w:rPr>
              <w:t>р.Айтоска</w:t>
            </w:r>
            <w:proofErr w:type="spellEnd"/>
          </w:p>
          <w:p w14:paraId="773DBC7F"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p>
        </w:tc>
        <w:tc>
          <w:tcPr>
            <w:tcW w:w="1980" w:type="dxa"/>
            <w:shd w:val="clear" w:color="auto" w:fill="FF0000"/>
            <w:vAlign w:val="center"/>
          </w:tcPr>
          <w:p w14:paraId="16755697" w14:textId="77777777" w:rsidR="00EB48C4" w:rsidRPr="009F6D1E" w:rsidRDefault="0078731A"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м</w:t>
            </w:r>
            <w:r w:rsidR="00EB48C4" w:rsidRPr="009F6D1E">
              <w:rPr>
                <w:rFonts w:cs="Times New Roman"/>
                <w:color w:val="000000"/>
                <w:sz w:val="20"/>
                <w:szCs w:val="20"/>
                <w:lang w:eastAsia="bg-BG" w:bidi="bg-BG"/>
              </w:rPr>
              <w:t>ного лошо</w:t>
            </w:r>
          </w:p>
        </w:tc>
      </w:tr>
      <w:tr w:rsidR="00EB48C4" w:rsidRPr="009F6D1E" w14:paraId="4801F564" w14:textId="77777777" w:rsidTr="00BA12F4">
        <w:trPr>
          <w:trHeight w:hRule="exact" w:val="840"/>
        </w:trPr>
        <w:tc>
          <w:tcPr>
            <w:tcW w:w="625" w:type="dxa"/>
            <w:shd w:val="clear" w:color="auto" w:fill="FFFFFF"/>
            <w:vAlign w:val="center"/>
          </w:tcPr>
          <w:p w14:paraId="236448C6"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5948A946"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proofErr w:type="spellStart"/>
            <w:r w:rsidRPr="009F6D1E">
              <w:rPr>
                <w:rFonts w:cs="Times New Roman"/>
                <w:color w:val="000000"/>
                <w:sz w:val="20"/>
                <w:szCs w:val="20"/>
                <w:lang w:eastAsia="bg-BG" w:bidi="bg-BG"/>
              </w:rPr>
              <w:t>Мандренски</w:t>
            </w:r>
            <w:proofErr w:type="spellEnd"/>
            <w:r w:rsidRPr="009F6D1E">
              <w:rPr>
                <w:rFonts w:cs="Times New Roman"/>
                <w:color w:val="000000"/>
                <w:sz w:val="20"/>
                <w:szCs w:val="20"/>
                <w:lang w:eastAsia="bg-BG" w:bidi="bg-BG"/>
              </w:rPr>
              <w:t xml:space="preserve"> реки</w:t>
            </w:r>
          </w:p>
        </w:tc>
        <w:tc>
          <w:tcPr>
            <w:tcW w:w="1699" w:type="dxa"/>
            <w:shd w:val="clear" w:color="auto" w:fill="FFFFFF"/>
            <w:vAlign w:val="center"/>
          </w:tcPr>
          <w:p w14:paraId="5392B7FF"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BG2MA400R1021</w:t>
            </w:r>
          </w:p>
        </w:tc>
        <w:tc>
          <w:tcPr>
            <w:tcW w:w="3910" w:type="dxa"/>
            <w:shd w:val="clear" w:color="auto" w:fill="FFFFFF"/>
            <w:vAlign w:val="bottom"/>
          </w:tcPr>
          <w:p w14:paraId="3EA99C1C"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р. Факийска – от извор до вливане на p. Малката река</w:t>
            </w:r>
          </w:p>
        </w:tc>
        <w:tc>
          <w:tcPr>
            <w:tcW w:w="1980" w:type="dxa"/>
            <w:shd w:val="clear" w:color="auto" w:fill="FF0000"/>
            <w:vAlign w:val="center"/>
          </w:tcPr>
          <w:p w14:paraId="0BD6BC49" w14:textId="77777777" w:rsidR="00EB48C4" w:rsidRPr="009F6D1E" w:rsidRDefault="0078731A"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м</w:t>
            </w:r>
            <w:r w:rsidR="00EB48C4" w:rsidRPr="009F6D1E">
              <w:rPr>
                <w:rFonts w:cs="Times New Roman"/>
                <w:color w:val="000000"/>
                <w:sz w:val="20"/>
                <w:szCs w:val="20"/>
                <w:lang w:eastAsia="bg-BG" w:bidi="bg-BG"/>
              </w:rPr>
              <w:t>ного лошо</w:t>
            </w:r>
          </w:p>
        </w:tc>
      </w:tr>
      <w:tr w:rsidR="00EB48C4" w:rsidRPr="009F6D1E" w14:paraId="48569337" w14:textId="77777777" w:rsidTr="00BA12F4">
        <w:trPr>
          <w:trHeight w:hRule="exact" w:val="840"/>
        </w:trPr>
        <w:tc>
          <w:tcPr>
            <w:tcW w:w="625" w:type="dxa"/>
            <w:shd w:val="clear" w:color="auto" w:fill="FFFFFF"/>
            <w:vAlign w:val="center"/>
          </w:tcPr>
          <w:p w14:paraId="0E2FD200" w14:textId="77777777" w:rsidR="00EB48C4" w:rsidRPr="009F6D1E" w:rsidRDefault="00EB48C4" w:rsidP="00D02E9D">
            <w:pPr>
              <w:numPr>
                <w:ilvl w:val="0"/>
                <w:numId w:val="20"/>
              </w:numPr>
              <w:tabs>
                <w:tab w:val="left" w:pos="993"/>
              </w:tabs>
              <w:spacing w:after="60" w:line="264" w:lineRule="auto"/>
              <w:ind w:left="360"/>
              <w:jc w:val="center"/>
              <w:rPr>
                <w:rFonts w:cs="Times New Roman"/>
                <w:color w:val="000000"/>
                <w:sz w:val="20"/>
                <w:szCs w:val="20"/>
                <w:lang w:eastAsia="bg-BG" w:bidi="bg-BG"/>
              </w:rPr>
            </w:pPr>
          </w:p>
        </w:tc>
        <w:tc>
          <w:tcPr>
            <w:tcW w:w="1501" w:type="dxa"/>
            <w:shd w:val="clear" w:color="auto" w:fill="FFFFFF"/>
            <w:vAlign w:val="center"/>
          </w:tcPr>
          <w:p w14:paraId="5B980737"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proofErr w:type="spellStart"/>
            <w:r w:rsidRPr="009F6D1E">
              <w:rPr>
                <w:rFonts w:cs="Times New Roman"/>
                <w:color w:val="000000"/>
                <w:sz w:val="20"/>
                <w:szCs w:val="20"/>
                <w:lang w:eastAsia="bg-BG" w:bidi="bg-BG"/>
              </w:rPr>
              <w:t>Мандренски</w:t>
            </w:r>
            <w:proofErr w:type="spellEnd"/>
            <w:r w:rsidRPr="009F6D1E">
              <w:rPr>
                <w:rFonts w:cs="Times New Roman"/>
                <w:color w:val="000000"/>
                <w:sz w:val="20"/>
                <w:szCs w:val="20"/>
                <w:lang w:eastAsia="bg-BG" w:bidi="bg-BG"/>
              </w:rPr>
              <w:t xml:space="preserve"> реки</w:t>
            </w:r>
          </w:p>
        </w:tc>
        <w:tc>
          <w:tcPr>
            <w:tcW w:w="1699" w:type="dxa"/>
            <w:shd w:val="clear" w:color="auto" w:fill="FFFFFF"/>
            <w:vAlign w:val="center"/>
          </w:tcPr>
          <w:p w14:paraId="7259B22D"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BG2MA200R011</w:t>
            </w:r>
          </w:p>
        </w:tc>
        <w:tc>
          <w:tcPr>
            <w:tcW w:w="3910" w:type="dxa"/>
            <w:shd w:val="clear" w:color="auto" w:fill="FFFFFF"/>
            <w:vAlign w:val="bottom"/>
          </w:tcPr>
          <w:p w14:paraId="76156972" w14:textId="77777777" w:rsidR="00EB48C4" w:rsidRPr="009F6D1E" w:rsidRDefault="00EB48C4" w:rsidP="0084747F">
            <w:pPr>
              <w:tabs>
                <w:tab w:val="left" w:pos="993"/>
              </w:tabs>
              <w:spacing w:after="60" w:line="264" w:lineRule="auto"/>
              <w:jc w:val="both"/>
              <w:rPr>
                <w:rFonts w:cs="Times New Roman"/>
                <w:color w:val="000000"/>
                <w:sz w:val="20"/>
                <w:szCs w:val="20"/>
                <w:lang w:eastAsia="bg-BG" w:bidi="bg-BG"/>
              </w:rPr>
            </w:pPr>
            <w:r w:rsidRPr="009F6D1E">
              <w:rPr>
                <w:rFonts w:cs="Times New Roman"/>
                <w:color w:val="000000"/>
                <w:sz w:val="20"/>
                <w:szCs w:val="20"/>
                <w:lang w:eastAsia="bg-BG" w:bidi="bg-BG"/>
              </w:rPr>
              <w:t>р. Изворска – от извор до с. Извор</w:t>
            </w:r>
          </w:p>
        </w:tc>
        <w:tc>
          <w:tcPr>
            <w:tcW w:w="1980" w:type="dxa"/>
            <w:shd w:val="clear" w:color="auto" w:fill="FFC000"/>
            <w:vAlign w:val="center"/>
          </w:tcPr>
          <w:p w14:paraId="2E7B396B" w14:textId="77777777" w:rsidR="00EB48C4" w:rsidRPr="009F6D1E" w:rsidRDefault="00EB48C4" w:rsidP="0084747F">
            <w:pPr>
              <w:tabs>
                <w:tab w:val="left" w:pos="993"/>
              </w:tabs>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лошо</w:t>
            </w:r>
          </w:p>
        </w:tc>
      </w:tr>
    </w:tbl>
    <w:p w14:paraId="3C5A7A8D" w14:textId="77777777" w:rsidR="00DC0401" w:rsidRPr="009F6D1E" w:rsidRDefault="00DC0401" w:rsidP="0084747F">
      <w:pPr>
        <w:spacing w:after="60" w:line="264" w:lineRule="auto"/>
        <w:jc w:val="both"/>
        <w:rPr>
          <w:rFonts w:eastAsia="Times New Roman" w:cs="Times New Roman"/>
          <w:b/>
          <w:szCs w:val="24"/>
        </w:rPr>
      </w:pPr>
    </w:p>
    <w:p w14:paraId="761C3754"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Лошото или много лошото състояние на повърхностните води от категории реки, езера и преходни води за територията на БДЧР е обусловено предимно от факторите:</w:t>
      </w:r>
    </w:p>
    <w:p w14:paraId="338395FD" w14:textId="77777777" w:rsidR="00AE5785" w:rsidRPr="009F6D1E" w:rsidRDefault="00BA12F4" w:rsidP="0084747F">
      <w:pPr>
        <w:widowControl w:val="0"/>
        <w:numPr>
          <w:ilvl w:val="0"/>
          <w:numId w:val="5"/>
        </w:numPr>
        <w:tabs>
          <w:tab w:val="left" w:pos="734"/>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Замърсяване </w:t>
      </w:r>
      <w:r w:rsidR="00AE5785" w:rsidRPr="009F6D1E">
        <w:rPr>
          <w:rFonts w:eastAsia="Times New Roman" w:cs="Times New Roman"/>
          <w:szCs w:val="24"/>
          <w:lang w:eastAsia="bg-BG" w:bidi="bg-BG"/>
        </w:rPr>
        <w:t>с органични вещества, азот и фосфор от населените места;</w:t>
      </w:r>
    </w:p>
    <w:p w14:paraId="5A1DEA25" w14:textId="77777777" w:rsidR="00AE5785" w:rsidRPr="009F6D1E" w:rsidRDefault="00BA12F4" w:rsidP="0084747F">
      <w:pPr>
        <w:widowControl w:val="0"/>
        <w:numPr>
          <w:ilvl w:val="0"/>
          <w:numId w:val="5"/>
        </w:numPr>
        <w:tabs>
          <w:tab w:val="left" w:pos="734"/>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Непостоянен </w:t>
      </w:r>
      <w:r w:rsidR="00AE5785" w:rsidRPr="009F6D1E">
        <w:rPr>
          <w:rFonts w:eastAsia="Times New Roman" w:cs="Times New Roman"/>
          <w:szCs w:val="24"/>
          <w:lang w:eastAsia="bg-BG" w:bidi="bg-BG"/>
        </w:rPr>
        <w:t xml:space="preserve">речен отток, съчетан със замърсяване от населените места под 2000 </w:t>
      </w:r>
      <w:proofErr w:type="spellStart"/>
      <w:r w:rsidR="00AE5785" w:rsidRPr="009F6D1E">
        <w:rPr>
          <w:rFonts w:eastAsia="Times New Roman" w:cs="Times New Roman"/>
          <w:szCs w:val="24"/>
          <w:lang w:eastAsia="bg-BG" w:bidi="bg-BG"/>
        </w:rPr>
        <w:t>е.ж</w:t>
      </w:r>
      <w:proofErr w:type="spellEnd"/>
      <w:r w:rsidR="00AE5785" w:rsidRPr="009F6D1E">
        <w:rPr>
          <w:rFonts w:eastAsia="Times New Roman" w:cs="Times New Roman"/>
          <w:szCs w:val="24"/>
          <w:lang w:eastAsia="bg-BG" w:bidi="bg-BG"/>
        </w:rPr>
        <w:t>. без ПСОВ;</w:t>
      </w:r>
    </w:p>
    <w:p w14:paraId="48AC621C" w14:textId="77777777" w:rsidR="00AE5785" w:rsidRPr="009F6D1E" w:rsidRDefault="00BA12F4" w:rsidP="0084747F">
      <w:pPr>
        <w:widowControl w:val="0"/>
        <w:numPr>
          <w:ilvl w:val="0"/>
          <w:numId w:val="5"/>
        </w:numPr>
        <w:tabs>
          <w:tab w:val="left" w:pos="734"/>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Замърсяване </w:t>
      </w:r>
      <w:r w:rsidR="00AE5785" w:rsidRPr="009F6D1E">
        <w:rPr>
          <w:rFonts w:eastAsia="Times New Roman" w:cs="Times New Roman"/>
          <w:szCs w:val="24"/>
          <w:lang w:eastAsia="bg-BG" w:bidi="bg-BG"/>
        </w:rPr>
        <w:t>с азот, фосфор, желязо, манган, алуминий и хром от индустриалните източници;</w:t>
      </w:r>
    </w:p>
    <w:p w14:paraId="183CAFC1" w14:textId="77777777" w:rsidR="00AE5785" w:rsidRPr="009F6D1E" w:rsidRDefault="00BA12F4" w:rsidP="0084747F">
      <w:pPr>
        <w:widowControl w:val="0"/>
        <w:numPr>
          <w:ilvl w:val="0"/>
          <w:numId w:val="5"/>
        </w:numPr>
        <w:tabs>
          <w:tab w:val="left" w:pos="734"/>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Замърсяване </w:t>
      </w:r>
      <w:r w:rsidR="00AE5785" w:rsidRPr="009F6D1E">
        <w:rPr>
          <w:rFonts w:eastAsia="Times New Roman" w:cs="Times New Roman"/>
          <w:szCs w:val="24"/>
          <w:lang w:eastAsia="bg-BG" w:bidi="bg-BG"/>
        </w:rPr>
        <w:t>с минерални форми на азот и фосфор от дифузни източници (земеделски практики);</w:t>
      </w:r>
    </w:p>
    <w:p w14:paraId="6B2F41F2" w14:textId="77777777" w:rsidR="00AE5785" w:rsidRPr="009F6D1E" w:rsidRDefault="00BA12F4" w:rsidP="0084747F">
      <w:pPr>
        <w:widowControl w:val="0"/>
        <w:numPr>
          <w:ilvl w:val="0"/>
          <w:numId w:val="5"/>
        </w:numPr>
        <w:tabs>
          <w:tab w:val="left" w:pos="734"/>
          <w:tab w:val="left" w:pos="1080"/>
        </w:tabs>
        <w:spacing w:after="60" w:line="264" w:lineRule="auto"/>
        <w:ind w:firstLine="720"/>
        <w:jc w:val="both"/>
        <w:rPr>
          <w:rFonts w:eastAsia="Times New Roman" w:cs="Times New Roman"/>
          <w:szCs w:val="24"/>
          <w:lang w:eastAsia="bg-BG" w:bidi="bg-BG"/>
        </w:rPr>
      </w:pPr>
      <w:proofErr w:type="spellStart"/>
      <w:r w:rsidRPr="009F6D1E">
        <w:rPr>
          <w:rFonts w:eastAsia="Times New Roman" w:cs="Times New Roman"/>
          <w:szCs w:val="24"/>
          <w:lang w:eastAsia="bg-BG" w:bidi="bg-BG"/>
        </w:rPr>
        <w:t>Еутрофикационни</w:t>
      </w:r>
      <w:proofErr w:type="spellEnd"/>
      <w:r w:rsidRPr="009F6D1E">
        <w:rPr>
          <w:rFonts w:eastAsia="Times New Roman" w:cs="Times New Roman"/>
          <w:szCs w:val="24"/>
          <w:lang w:eastAsia="bg-BG" w:bidi="bg-BG"/>
        </w:rPr>
        <w:t xml:space="preserve"> </w:t>
      </w:r>
      <w:r w:rsidR="00AE5785" w:rsidRPr="009F6D1E">
        <w:rPr>
          <w:rFonts w:eastAsia="Times New Roman" w:cs="Times New Roman"/>
          <w:szCs w:val="24"/>
          <w:lang w:eastAsia="bg-BG" w:bidi="bg-BG"/>
        </w:rPr>
        <w:t xml:space="preserve">процеси, съпроводени с ежегодно цъфтене на фитопланктона (Варненско и </w:t>
      </w:r>
      <w:proofErr w:type="spellStart"/>
      <w:r w:rsidR="00AE5785" w:rsidRPr="009F6D1E">
        <w:rPr>
          <w:rFonts w:eastAsia="Times New Roman" w:cs="Times New Roman"/>
          <w:szCs w:val="24"/>
          <w:lang w:eastAsia="bg-BG" w:bidi="bg-BG"/>
        </w:rPr>
        <w:t>Белославско</w:t>
      </w:r>
      <w:proofErr w:type="spellEnd"/>
      <w:r w:rsidR="00AE5785" w:rsidRPr="009F6D1E">
        <w:rPr>
          <w:rFonts w:eastAsia="Times New Roman" w:cs="Times New Roman"/>
          <w:szCs w:val="24"/>
          <w:lang w:eastAsia="bg-BG" w:bidi="bg-BG"/>
        </w:rPr>
        <w:t xml:space="preserve"> езеро) и др.</w:t>
      </w:r>
    </w:p>
    <w:p w14:paraId="0F01E205" w14:textId="42CDC2B6" w:rsidR="00AE5785" w:rsidRDefault="00AE5785" w:rsidP="0084747F">
      <w:pPr>
        <w:widowControl w:val="0"/>
        <w:tabs>
          <w:tab w:val="left" w:pos="734"/>
        </w:tabs>
        <w:spacing w:after="60" w:line="264" w:lineRule="auto"/>
        <w:ind w:left="760"/>
        <w:rPr>
          <w:rFonts w:cs="Times New Roman"/>
          <w:highlight w:val="green"/>
        </w:rPr>
      </w:pPr>
    </w:p>
    <w:p w14:paraId="6AB399F4" w14:textId="77777777" w:rsidR="006D0681" w:rsidRPr="009F6D1E" w:rsidRDefault="006D0681" w:rsidP="0084747F">
      <w:pPr>
        <w:widowControl w:val="0"/>
        <w:tabs>
          <w:tab w:val="left" w:pos="734"/>
        </w:tabs>
        <w:spacing w:after="60" w:line="264" w:lineRule="auto"/>
        <w:ind w:left="760"/>
        <w:rPr>
          <w:rFonts w:cs="Times New Roman"/>
          <w:highlight w:val="green"/>
        </w:rPr>
      </w:pPr>
    </w:p>
    <w:p w14:paraId="56488C18" w14:textId="77777777" w:rsidR="00AE5785" w:rsidRPr="009F6D1E" w:rsidRDefault="00AE5785" w:rsidP="0084747F">
      <w:pPr>
        <w:pStyle w:val="a0"/>
        <w:widowControl/>
        <w:tabs>
          <w:tab w:val="left" w:pos="993"/>
        </w:tabs>
        <w:spacing w:after="60" w:line="264" w:lineRule="auto"/>
        <w:ind w:left="0" w:right="0" w:firstLine="720"/>
        <w:rPr>
          <w:b/>
          <w:bCs/>
          <w:i/>
        </w:rPr>
      </w:pPr>
      <w:bookmarkStart w:id="243" w:name="bookmark76"/>
      <w:r w:rsidRPr="009F6D1E">
        <w:rPr>
          <w:b/>
          <w:bCs/>
          <w:i/>
        </w:rPr>
        <w:lastRenderedPageBreak/>
        <w:t>Химично състояние/потенциал на повърхностни водни тела в БДЧР</w:t>
      </w:r>
      <w:bookmarkEnd w:id="243"/>
    </w:p>
    <w:p w14:paraId="383349FD" w14:textId="77777777" w:rsidR="00AE5785" w:rsidRPr="009F6D1E" w:rsidRDefault="00AE5785" w:rsidP="0084747F">
      <w:pPr>
        <w:pStyle w:val="a0"/>
        <w:widowControl/>
        <w:tabs>
          <w:tab w:val="left" w:pos="993"/>
        </w:tabs>
        <w:spacing w:after="60" w:line="264" w:lineRule="auto"/>
        <w:ind w:left="0" w:right="0" w:firstLine="720"/>
      </w:pPr>
      <w:r w:rsidRPr="009F6D1E">
        <w:t xml:space="preserve">Съгласно ПУРБ 2016-2021 г. на територията на Басейнова дирекция Черноморски район се намират 45 бр. водни тела в добро химично състояние, 9 в недостигащо добро състояние и 151 бр. водни тела в неопределено състояние. </w:t>
      </w:r>
    </w:p>
    <w:p w14:paraId="780692D1" w14:textId="19CD9B46" w:rsidR="00AE5785" w:rsidRPr="009F6D1E" w:rsidRDefault="00AE5785" w:rsidP="0084747F">
      <w:pPr>
        <w:pStyle w:val="a0"/>
        <w:widowControl/>
        <w:tabs>
          <w:tab w:val="left" w:pos="993"/>
        </w:tabs>
        <w:spacing w:after="60" w:line="264" w:lineRule="auto"/>
        <w:ind w:left="0" w:right="0" w:firstLine="720"/>
      </w:pPr>
      <w:r w:rsidRPr="009F6D1E">
        <w:t>От извършената оценка на химичното състояние към 2020 г. на повърхностните води,</w:t>
      </w:r>
      <w:r w:rsidRPr="009F6D1E">
        <w:br/>
        <w:t>категория „реки“, показват следното: 31 повърхностни водни тела се намират в добро химично състояние, 2 в недостигащо добро и 90 в неизвестно химично състояние. (</w:t>
      </w:r>
      <w:r>
        <w:fldChar w:fldCharType="begin"/>
      </w:r>
      <w:r>
        <w:instrText xml:space="preserve"> REF _Ref97393530 \h  \* MERGEFORMAT </w:instrText>
      </w:r>
      <w:r>
        <w:fldChar w:fldCharType="separate"/>
      </w:r>
      <w:r w:rsidR="00A43EF3" w:rsidRPr="009F6D1E">
        <w:t xml:space="preserve">Таблица </w:t>
      </w:r>
      <w:r w:rsidR="00A43EF3">
        <w:t>8</w:t>
      </w:r>
      <w:r>
        <w:fldChar w:fldCharType="end"/>
      </w:r>
      <w:r w:rsidRPr="009F6D1E">
        <w:t>)</w:t>
      </w:r>
      <w:r w:rsidR="00873C54" w:rsidRPr="009F6D1E">
        <w:t>.</w:t>
      </w:r>
    </w:p>
    <w:p w14:paraId="0663A1F9" w14:textId="0F0579CF" w:rsidR="00AE5785" w:rsidRPr="009F6D1E" w:rsidRDefault="008723D9" w:rsidP="0084747F">
      <w:pPr>
        <w:pStyle w:val="Caption"/>
        <w:spacing w:after="60" w:line="264" w:lineRule="auto"/>
      </w:pPr>
      <w:bookmarkStart w:id="244" w:name="_Ref97393530"/>
      <w:bookmarkStart w:id="245" w:name="_Toc115255159"/>
      <w:r w:rsidRPr="009F6D1E">
        <w:t xml:space="preserve">Таблица </w:t>
      </w:r>
      <w:fldSimple w:instr=" SEQ Таблица \* ARABIC ">
        <w:r w:rsidR="00A43EF3">
          <w:rPr>
            <w:noProof/>
          </w:rPr>
          <w:t>8</w:t>
        </w:r>
      </w:fldSimple>
      <w:bookmarkEnd w:id="244"/>
      <w:r w:rsidRPr="009F6D1E">
        <w:t xml:space="preserve">: </w:t>
      </w:r>
      <w:bookmarkStart w:id="246" w:name="bookmark77"/>
      <w:r w:rsidR="00AE5785" w:rsidRPr="009F6D1E">
        <w:t>Повърхностни водни тела, определени в „</w:t>
      </w:r>
      <w:proofErr w:type="spellStart"/>
      <w:r w:rsidR="00AE5785" w:rsidRPr="009F6D1E">
        <w:t>недостостигащи</w:t>
      </w:r>
      <w:proofErr w:type="spellEnd"/>
      <w:r w:rsidR="00AE5785" w:rsidRPr="009F6D1E">
        <w:t xml:space="preserve"> добро“ състояние към 20</w:t>
      </w:r>
      <w:bookmarkEnd w:id="246"/>
      <w:r w:rsidR="00AE5785" w:rsidRPr="009F6D1E">
        <w:t>20г., на територията на БДЧР</w:t>
      </w:r>
      <w:bookmarkEnd w:id="245"/>
    </w:p>
    <w:p w14:paraId="374984AE" w14:textId="77777777" w:rsidR="00AE5785" w:rsidRPr="009F6D1E" w:rsidRDefault="00AE5785" w:rsidP="0084747F">
      <w:pPr>
        <w:pStyle w:val="a0"/>
        <w:widowControl/>
        <w:tabs>
          <w:tab w:val="left" w:pos="993"/>
        </w:tabs>
        <w:spacing w:after="60" w:line="264" w:lineRule="auto"/>
        <w:ind w:left="0" w:right="0" w:firstLine="0"/>
        <w:rPr>
          <w:b/>
          <w:sz w:val="20"/>
          <w:szCs w:val="20"/>
        </w:rPr>
      </w:pPr>
    </w:p>
    <w:tbl>
      <w:tblPr>
        <w:tblOverlap w:val="never"/>
        <w:tblW w:w="0" w:type="auto"/>
        <w:jc w:val="center"/>
        <w:tblCellMar>
          <w:left w:w="10" w:type="dxa"/>
          <w:right w:w="10" w:type="dxa"/>
        </w:tblCellMar>
        <w:tblLook w:val="0000" w:firstRow="0" w:lastRow="0" w:firstColumn="0" w:lastColumn="0" w:noHBand="0" w:noVBand="0"/>
      </w:tblPr>
      <w:tblGrid>
        <w:gridCol w:w="221"/>
        <w:gridCol w:w="1452"/>
        <w:gridCol w:w="1521"/>
        <w:gridCol w:w="5125"/>
        <w:gridCol w:w="1309"/>
      </w:tblGrid>
      <w:tr w:rsidR="00AE5785" w:rsidRPr="009F6D1E" w14:paraId="44FE372E" w14:textId="77777777" w:rsidTr="00BA12F4">
        <w:trPr>
          <w:trHeight w:hRule="exact" w:val="914"/>
          <w:tblHeader/>
          <w:jc w:val="center"/>
        </w:trPr>
        <w:tc>
          <w:tcPr>
            <w:tcW w:w="0" w:type="auto"/>
            <w:tcBorders>
              <w:top w:val="single" w:sz="4" w:space="0" w:color="auto"/>
              <w:left w:val="single" w:sz="4" w:space="0" w:color="auto"/>
              <w:bottom w:val="single" w:sz="4" w:space="0" w:color="auto"/>
            </w:tcBorders>
            <w:shd w:val="pct20" w:color="auto" w:fill="FFFFFF"/>
            <w:vAlign w:val="center"/>
          </w:tcPr>
          <w:p w14:paraId="1A73DC08"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w:t>
            </w:r>
          </w:p>
        </w:tc>
        <w:tc>
          <w:tcPr>
            <w:tcW w:w="0" w:type="auto"/>
            <w:tcBorders>
              <w:top w:val="single" w:sz="4" w:space="0" w:color="auto"/>
              <w:left w:val="single" w:sz="4" w:space="0" w:color="auto"/>
              <w:bottom w:val="single" w:sz="4" w:space="0" w:color="auto"/>
            </w:tcBorders>
            <w:shd w:val="pct20" w:color="auto" w:fill="FFFFFF"/>
            <w:vAlign w:val="center"/>
          </w:tcPr>
          <w:p w14:paraId="69CCEA0F"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Речен басейн</w:t>
            </w:r>
          </w:p>
        </w:tc>
        <w:tc>
          <w:tcPr>
            <w:tcW w:w="0" w:type="auto"/>
            <w:tcBorders>
              <w:top w:val="single" w:sz="4" w:space="0" w:color="auto"/>
              <w:left w:val="single" w:sz="4" w:space="0" w:color="auto"/>
              <w:bottom w:val="single" w:sz="4" w:space="0" w:color="auto"/>
            </w:tcBorders>
            <w:shd w:val="pct20" w:color="auto" w:fill="FFFFFF"/>
            <w:vAlign w:val="center"/>
          </w:tcPr>
          <w:p w14:paraId="753C2267"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Код на ВТ</w:t>
            </w:r>
          </w:p>
        </w:tc>
        <w:tc>
          <w:tcPr>
            <w:tcW w:w="0" w:type="auto"/>
            <w:tcBorders>
              <w:top w:val="single" w:sz="4" w:space="0" w:color="auto"/>
              <w:left w:val="single" w:sz="4" w:space="0" w:color="auto"/>
              <w:bottom w:val="single" w:sz="4" w:space="0" w:color="auto"/>
            </w:tcBorders>
            <w:shd w:val="pct20" w:color="auto" w:fill="FFFFFF"/>
            <w:vAlign w:val="center"/>
          </w:tcPr>
          <w:p w14:paraId="1F00CB45"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Географско описание на ВТ</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center"/>
          </w:tcPr>
          <w:p w14:paraId="7C82E7A9"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Химично състояние</w:t>
            </w:r>
          </w:p>
        </w:tc>
      </w:tr>
      <w:tr w:rsidR="00AE5785" w:rsidRPr="009F6D1E" w14:paraId="53FA25E5" w14:textId="77777777" w:rsidTr="0078731A">
        <w:trPr>
          <w:trHeight w:hRule="exact" w:val="1463"/>
          <w:jc w:val="center"/>
        </w:trPr>
        <w:tc>
          <w:tcPr>
            <w:tcW w:w="0" w:type="auto"/>
            <w:tcBorders>
              <w:top w:val="single" w:sz="4" w:space="0" w:color="auto"/>
              <w:left w:val="single" w:sz="4" w:space="0" w:color="auto"/>
            </w:tcBorders>
            <w:shd w:val="clear" w:color="auto" w:fill="FFFFFF"/>
            <w:vAlign w:val="center"/>
          </w:tcPr>
          <w:p w14:paraId="6797B20E"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1.</w:t>
            </w:r>
          </w:p>
        </w:tc>
        <w:tc>
          <w:tcPr>
            <w:tcW w:w="0" w:type="auto"/>
            <w:tcBorders>
              <w:top w:val="single" w:sz="4" w:space="0" w:color="auto"/>
              <w:left w:val="single" w:sz="4" w:space="0" w:color="auto"/>
            </w:tcBorders>
            <w:shd w:val="clear" w:color="auto" w:fill="FFFFFF"/>
            <w:vAlign w:val="center"/>
          </w:tcPr>
          <w:p w14:paraId="4196B4D4"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река Камчия</w:t>
            </w:r>
          </w:p>
        </w:tc>
        <w:tc>
          <w:tcPr>
            <w:tcW w:w="0" w:type="auto"/>
            <w:tcBorders>
              <w:top w:val="single" w:sz="4" w:space="0" w:color="auto"/>
              <w:left w:val="single" w:sz="4" w:space="0" w:color="auto"/>
            </w:tcBorders>
            <w:shd w:val="clear" w:color="auto" w:fill="FFFFFF"/>
            <w:vAlign w:val="center"/>
          </w:tcPr>
          <w:p w14:paraId="4DA3F884"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BG2KA800R1131</w:t>
            </w:r>
          </w:p>
        </w:tc>
        <w:tc>
          <w:tcPr>
            <w:tcW w:w="0" w:type="auto"/>
            <w:tcBorders>
              <w:top w:val="single" w:sz="4" w:space="0" w:color="auto"/>
              <w:left w:val="single" w:sz="4" w:space="0" w:color="auto"/>
            </w:tcBorders>
            <w:shd w:val="clear" w:color="auto" w:fill="FFFFFF"/>
            <w:vAlign w:val="bottom"/>
          </w:tcPr>
          <w:p w14:paraId="2681AF14" w14:textId="77777777" w:rsidR="00AE5785" w:rsidRPr="009F6D1E" w:rsidRDefault="00AE5785" w:rsidP="0084747F">
            <w:pPr>
              <w:pStyle w:val="a0"/>
              <w:widowControl/>
              <w:tabs>
                <w:tab w:val="left" w:pos="993"/>
              </w:tabs>
              <w:spacing w:after="60" w:line="264" w:lineRule="auto"/>
              <w:ind w:left="0" w:right="0" w:firstLine="0"/>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I участък: р. Врана от гр. Търговище до вливане на р. </w:t>
            </w:r>
            <w:proofErr w:type="spellStart"/>
            <w:r w:rsidRPr="009F6D1E">
              <w:rPr>
                <w:rStyle w:val="Bodytext29pt"/>
                <w:rFonts w:eastAsiaTheme="minorHAnsi"/>
                <w:sz w:val="20"/>
                <w:szCs w:val="20"/>
                <w:lang w:eastAsia="en-US" w:bidi="en-US"/>
              </w:rPr>
              <w:t>Керизбунар</w:t>
            </w:r>
            <w:proofErr w:type="spellEnd"/>
            <w:r w:rsidRPr="009F6D1E">
              <w:rPr>
                <w:rStyle w:val="Bodytext29pt"/>
                <w:rFonts w:eastAsiaTheme="minorHAnsi"/>
                <w:sz w:val="20"/>
                <w:szCs w:val="20"/>
                <w:lang w:eastAsia="en-US" w:bidi="en-US"/>
              </w:rPr>
              <w:t xml:space="preserve"> (</w:t>
            </w:r>
            <w:proofErr w:type="spellStart"/>
            <w:r w:rsidRPr="009F6D1E">
              <w:rPr>
                <w:rStyle w:val="Bodytext29pt"/>
                <w:rFonts w:eastAsiaTheme="minorHAnsi"/>
                <w:sz w:val="20"/>
                <w:szCs w:val="20"/>
                <w:lang w:eastAsia="en-US" w:bidi="en-US"/>
              </w:rPr>
              <w:t>Андере</w:t>
            </w:r>
            <w:proofErr w:type="spellEnd"/>
            <w:r w:rsidRPr="009F6D1E">
              <w:rPr>
                <w:rStyle w:val="Bodytext29pt"/>
                <w:rFonts w:eastAsiaTheme="minorHAnsi"/>
                <w:sz w:val="20"/>
                <w:szCs w:val="20"/>
                <w:lang w:eastAsia="en-US" w:bidi="en-US"/>
              </w:rPr>
              <w:t>) II участък: р. Сива (Лиляк) до вливане в р. Врана III участък: р. Кьошка (</w:t>
            </w:r>
            <w:proofErr w:type="spellStart"/>
            <w:r w:rsidRPr="009F6D1E">
              <w:rPr>
                <w:rStyle w:val="Bodytext29pt"/>
                <w:rFonts w:eastAsiaTheme="minorHAnsi"/>
                <w:sz w:val="20"/>
                <w:szCs w:val="20"/>
                <w:lang w:eastAsia="en-US" w:bidi="en-US"/>
              </w:rPr>
              <w:t>Башбунар</w:t>
            </w:r>
            <w:proofErr w:type="spellEnd"/>
            <w:r w:rsidRPr="009F6D1E">
              <w:rPr>
                <w:rStyle w:val="Bodytext29pt"/>
                <w:rFonts w:eastAsiaTheme="minorHAnsi"/>
                <w:sz w:val="20"/>
                <w:szCs w:val="20"/>
                <w:lang w:eastAsia="en-US" w:bidi="en-US"/>
              </w:rPr>
              <w:t>) до вливане в р. Врана</w:t>
            </w:r>
          </w:p>
        </w:tc>
        <w:tc>
          <w:tcPr>
            <w:tcW w:w="0" w:type="auto"/>
            <w:tcBorders>
              <w:top w:val="single" w:sz="4" w:space="0" w:color="auto"/>
              <w:left w:val="single" w:sz="4" w:space="0" w:color="auto"/>
              <w:right w:val="single" w:sz="4" w:space="0" w:color="auto"/>
            </w:tcBorders>
            <w:shd w:val="clear" w:color="auto" w:fill="FF0000"/>
            <w:vAlign w:val="center"/>
          </w:tcPr>
          <w:p w14:paraId="582664E9" w14:textId="77777777" w:rsidR="00AE5785" w:rsidRPr="009F6D1E" w:rsidRDefault="0078731A"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н</w:t>
            </w:r>
            <w:r w:rsidR="00AE5785" w:rsidRPr="009F6D1E">
              <w:rPr>
                <w:rStyle w:val="Bodytext29pt"/>
                <w:rFonts w:eastAsiaTheme="minorHAnsi"/>
                <w:sz w:val="20"/>
                <w:szCs w:val="20"/>
                <w:lang w:eastAsia="en-US" w:bidi="en-US"/>
              </w:rPr>
              <w:t>едостигащо добро</w:t>
            </w:r>
          </w:p>
        </w:tc>
      </w:tr>
      <w:tr w:rsidR="00AE5785" w:rsidRPr="009F6D1E" w14:paraId="00F85CD1" w14:textId="77777777" w:rsidTr="0078731A">
        <w:trPr>
          <w:trHeight w:hRule="exact" w:val="1056"/>
          <w:jc w:val="center"/>
        </w:trPr>
        <w:tc>
          <w:tcPr>
            <w:tcW w:w="0" w:type="auto"/>
            <w:tcBorders>
              <w:top w:val="single" w:sz="4" w:space="0" w:color="auto"/>
              <w:left w:val="single" w:sz="4" w:space="0" w:color="auto"/>
              <w:bottom w:val="single" w:sz="4" w:space="0" w:color="auto"/>
            </w:tcBorders>
            <w:shd w:val="clear" w:color="auto" w:fill="FFFFFF"/>
            <w:vAlign w:val="center"/>
          </w:tcPr>
          <w:p w14:paraId="3E8CA792"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2.</w:t>
            </w:r>
          </w:p>
        </w:tc>
        <w:tc>
          <w:tcPr>
            <w:tcW w:w="0" w:type="auto"/>
            <w:tcBorders>
              <w:top w:val="single" w:sz="4" w:space="0" w:color="auto"/>
              <w:left w:val="single" w:sz="4" w:space="0" w:color="auto"/>
              <w:bottom w:val="single" w:sz="4" w:space="0" w:color="auto"/>
            </w:tcBorders>
            <w:shd w:val="clear" w:color="auto" w:fill="FFFFFF"/>
            <w:vAlign w:val="center"/>
          </w:tcPr>
          <w:p w14:paraId="35055CA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Южнобургаски реки</w:t>
            </w:r>
          </w:p>
        </w:tc>
        <w:tc>
          <w:tcPr>
            <w:tcW w:w="0" w:type="auto"/>
            <w:tcBorders>
              <w:top w:val="single" w:sz="4" w:space="0" w:color="auto"/>
              <w:left w:val="single" w:sz="4" w:space="0" w:color="auto"/>
              <w:bottom w:val="single" w:sz="4" w:space="0" w:color="auto"/>
            </w:tcBorders>
            <w:shd w:val="clear" w:color="auto" w:fill="FFFFFF"/>
            <w:vAlign w:val="center"/>
          </w:tcPr>
          <w:p w14:paraId="29C0AA52"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BG2IU200R1105</w:t>
            </w:r>
          </w:p>
        </w:tc>
        <w:tc>
          <w:tcPr>
            <w:tcW w:w="0" w:type="auto"/>
            <w:tcBorders>
              <w:top w:val="single" w:sz="4" w:space="0" w:color="auto"/>
              <w:left w:val="single" w:sz="4" w:space="0" w:color="auto"/>
              <w:bottom w:val="single" w:sz="4" w:space="0" w:color="auto"/>
            </w:tcBorders>
            <w:shd w:val="clear" w:color="auto" w:fill="FFFFFF"/>
            <w:vAlign w:val="bottom"/>
          </w:tcPr>
          <w:p w14:paraId="5F52C6FB" w14:textId="77777777" w:rsidR="00AE5785" w:rsidRPr="009F6D1E" w:rsidRDefault="00AE5785" w:rsidP="0084747F">
            <w:pPr>
              <w:pStyle w:val="a0"/>
              <w:widowControl/>
              <w:tabs>
                <w:tab w:val="left" w:pos="993"/>
              </w:tabs>
              <w:spacing w:after="60" w:line="264" w:lineRule="auto"/>
              <w:ind w:left="0" w:right="0" w:firstLine="0"/>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р. Ропотамо- от вливане на </w:t>
            </w:r>
            <w:proofErr w:type="spellStart"/>
            <w:r w:rsidRPr="009F6D1E">
              <w:rPr>
                <w:rStyle w:val="Bodytext29pt"/>
                <w:rFonts w:eastAsiaTheme="minorHAnsi"/>
                <w:sz w:val="20"/>
                <w:szCs w:val="20"/>
                <w:lang w:eastAsia="en-US" w:bidi="en-US"/>
              </w:rPr>
              <w:t>р.Мехмедженска</w:t>
            </w:r>
            <w:proofErr w:type="spellEnd"/>
            <w:r w:rsidRPr="009F6D1E">
              <w:rPr>
                <w:rStyle w:val="Bodytext29pt"/>
                <w:rFonts w:eastAsiaTheme="minorHAnsi"/>
                <w:sz w:val="20"/>
                <w:szCs w:val="20"/>
                <w:lang w:eastAsia="en-US" w:bidi="en-US"/>
              </w:rPr>
              <w:t xml:space="preserve"> до граница на преходни води </w:t>
            </w:r>
          </w:p>
          <w:p w14:paraId="05A8780F" w14:textId="77777777" w:rsidR="00AE5785" w:rsidRPr="009F6D1E" w:rsidRDefault="00AE5785" w:rsidP="0084747F">
            <w:pPr>
              <w:pStyle w:val="a0"/>
              <w:widowControl/>
              <w:tabs>
                <w:tab w:val="left" w:pos="993"/>
              </w:tabs>
              <w:spacing w:after="60" w:line="264" w:lineRule="auto"/>
              <w:ind w:left="0" w:right="0" w:firstLine="0"/>
              <w:rPr>
                <w:rStyle w:val="Bodytext29pt"/>
                <w:rFonts w:eastAsiaTheme="minorHAnsi"/>
                <w:sz w:val="20"/>
                <w:szCs w:val="20"/>
                <w:lang w:eastAsia="en-US" w:bidi="en-US"/>
              </w:rPr>
            </w:pPr>
          </w:p>
        </w:tc>
        <w:tc>
          <w:tcPr>
            <w:tcW w:w="0" w:type="auto"/>
            <w:tcBorders>
              <w:top w:val="single" w:sz="4" w:space="0" w:color="auto"/>
              <w:left w:val="single" w:sz="4" w:space="0" w:color="auto"/>
              <w:bottom w:val="single" w:sz="4" w:space="0" w:color="auto"/>
              <w:right w:val="single" w:sz="4" w:space="0" w:color="auto"/>
            </w:tcBorders>
            <w:shd w:val="clear" w:color="auto" w:fill="FF0000"/>
            <w:vAlign w:val="center"/>
          </w:tcPr>
          <w:p w14:paraId="2B128801" w14:textId="77777777" w:rsidR="00AE5785" w:rsidRPr="009F6D1E" w:rsidRDefault="0078731A"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н</w:t>
            </w:r>
            <w:r w:rsidR="00AE5785" w:rsidRPr="009F6D1E">
              <w:rPr>
                <w:rStyle w:val="Bodytext29pt"/>
                <w:rFonts w:eastAsiaTheme="minorHAnsi"/>
                <w:sz w:val="20"/>
                <w:szCs w:val="20"/>
                <w:lang w:eastAsia="en-US" w:bidi="en-US"/>
              </w:rPr>
              <w:t>едостигащо добро</w:t>
            </w:r>
          </w:p>
        </w:tc>
      </w:tr>
    </w:tbl>
    <w:p w14:paraId="530D7838" w14:textId="77777777" w:rsidR="00AE5785" w:rsidRPr="009F6D1E" w:rsidRDefault="00AE5785" w:rsidP="0084747F">
      <w:pPr>
        <w:spacing w:after="60" w:line="264" w:lineRule="auto"/>
        <w:rPr>
          <w:rFonts w:cs="Times New Roman"/>
          <w:sz w:val="2"/>
          <w:szCs w:val="2"/>
          <w:highlight w:val="green"/>
        </w:rPr>
      </w:pPr>
    </w:p>
    <w:p w14:paraId="46C9E252" w14:textId="77777777" w:rsidR="00AE5785" w:rsidRPr="009F6D1E" w:rsidRDefault="00AE5785" w:rsidP="0084747F">
      <w:pPr>
        <w:spacing w:after="60" w:line="264" w:lineRule="auto"/>
        <w:jc w:val="right"/>
        <w:rPr>
          <w:rFonts w:cs="Times New Roman"/>
          <w:i/>
          <w:szCs w:val="24"/>
        </w:rPr>
      </w:pPr>
      <w:r w:rsidRPr="009F6D1E">
        <w:rPr>
          <w:rFonts w:cs="Times New Roman"/>
          <w:i/>
          <w:szCs w:val="24"/>
        </w:rPr>
        <w:t>Източник: БДЧР</w:t>
      </w:r>
    </w:p>
    <w:p w14:paraId="49FC5142" w14:textId="4442A7F2" w:rsidR="00AE5785" w:rsidRPr="009F6D1E" w:rsidRDefault="00AE5785" w:rsidP="0084747F">
      <w:pPr>
        <w:spacing w:after="60" w:line="264" w:lineRule="auto"/>
        <w:ind w:firstLine="720"/>
        <w:jc w:val="both"/>
        <w:rPr>
          <w:rFonts w:eastAsia="Times New Roman" w:cs="Times New Roman"/>
          <w:szCs w:val="24"/>
        </w:rPr>
      </w:pPr>
      <w:r w:rsidRPr="009F6D1E">
        <w:rPr>
          <w:rFonts w:eastAsia="Times New Roman" w:cs="Times New Roman"/>
          <w:szCs w:val="24"/>
        </w:rPr>
        <w:t xml:space="preserve">Оценка на екологичното и химичното състояние на повърхностните водни тела, категория „реки“, съгласно ПУРБ 2016-2021 г., разположени на територията на Басейнова дирекция „Черноморски район са представени в </w:t>
      </w:r>
      <w:r>
        <w:fldChar w:fldCharType="begin"/>
      </w:r>
      <w:r>
        <w:instrText xml:space="preserve"> REF _Ref97393586 \h  \* MERGEFORMAT </w:instrText>
      </w:r>
      <w:r>
        <w:fldChar w:fldCharType="separate"/>
      </w:r>
      <w:r w:rsidR="00A43EF3" w:rsidRPr="00A43EF3">
        <w:rPr>
          <w:rFonts w:eastAsia="Times New Roman" w:cs="Times New Roman"/>
          <w:szCs w:val="24"/>
        </w:rPr>
        <w:t>Таблица 9</w:t>
      </w:r>
      <w:r>
        <w:fldChar w:fldCharType="end"/>
      </w:r>
      <w:r w:rsidRPr="009F6D1E">
        <w:rPr>
          <w:rFonts w:eastAsia="Times New Roman" w:cs="Times New Roman"/>
          <w:szCs w:val="24"/>
        </w:rPr>
        <w:t>.</w:t>
      </w:r>
    </w:p>
    <w:p w14:paraId="6FC63946" w14:textId="77777777" w:rsidR="00AE5785" w:rsidRPr="009F6D1E" w:rsidRDefault="00AE5785" w:rsidP="0084747F">
      <w:pPr>
        <w:spacing w:after="60" w:line="264" w:lineRule="auto"/>
        <w:ind w:firstLine="560"/>
        <w:jc w:val="both"/>
        <w:rPr>
          <w:rFonts w:cs="Times New Roman"/>
          <w:highlight w:val="green"/>
        </w:rPr>
        <w:sectPr w:rsidR="00AE5785" w:rsidRPr="009F6D1E" w:rsidSect="00981F7B">
          <w:pgSz w:w="11907" w:h="16840" w:code="9"/>
          <w:pgMar w:top="1418" w:right="851" w:bottom="1134" w:left="1418" w:header="709" w:footer="709" w:gutter="0"/>
          <w:cols w:space="720"/>
          <w:docGrid w:linePitch="360"/>
        </w:sectPr>
      </w:pPr>
    </w:p>
    <w:p w14:paraId="22902CA4" w14:textId="016A5D75" w:rsidR="00AE5785" w:rsidRPr="009F6D1E" w:rsidRDefault="008723D9" w:rsidP="0084747F">
      <w:pPr>
        <w:pStyle w:val="Caption"/>
        <w:spacing w:after="60" w:line="264" w:lineRule="auto"/>
      </w:pPr>
      <w:bookmarkStart w:id="247" w:name="_Ref97393586"/>
      <w:bookmarkStart w:id="248" w:name="bookmark78"/>
      <w:bookmarkStart w:id="249" w:name="_Toc115255160"/>
      <w:r w:rsidRPr="009F6D1E">
        <w:lastRenderedPageBreak/>
        <w:t xml:space="preserve">Таблица </w:t>
      </w:r>
      <w:fldSimple w:instr=" SEQ Таблица \* ARABIC ">
        <w:r w:rsidR="00A43EF3">
          <w:rPr>
            <w:noProof/>
          </w:rPr>
          <w:t>9</w:t>
        </w:r>
      </w:fldSimple>
      <w:bookmarkEnd w:id="247"/>
      <w:r w:rsidRPr="009F6D1E">
        <w:t xml:space="preserve">: </w:t>
      </w:r>
      <w:r w:rsidR="00AE5785" w:rsidRPr="009F6D1E">
        <w:t>Оценка на химично и екологично състояние на повърхностни водни тела, категория "реки" в Черноморски басейнов район, съгласно ПУРБ 2016-2021</w:t>
      </w:r>
      <w:bookmarkEnd w:id="248"/>
      <w:r w:rsidR="00AE5785" w:rsidRPr="009F6D1E">
        <w:t>г.</w:t>
      </w:r>
      <w:bookmarkEnd w:id="249"/>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20"/>
        <w:gridCol w:w="1643"/>
        <w:gridCol w:w="8517"/>
        <w:gridCol w:w="2277"/>
        <w:gridCol w:w="1521"/>
      </w:tblGrid>
      <w:tr w:rsidR="00AE5785" w:rsidRPr="009F6D1E" w14:paraId="6D1FD09D" w14:textId="77777777" w:rsidTr="00BA12F4">
        <w:trPr>
          <w:trHeight w:hRule="exact" w:val="824"/>
          <w:tblHeader/>
          <w:jc w:val="center"/>
        </w:trPr>
        <w:tc>
          <w:tcPr>
            <w:tcW w:w="0" w:type="auto"/>
            <w:shd w:val="pct20" w:color="auto" w:fill="FFFFFF"/>
            <w:vAlign w:val="center"/>
          </w:tcPr>
          <w:p w14:paraId="100D4CF3"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w:t>
            </w:r>
          </w:p>
        </w:tc>
        <w:tc>
          <w:tcPr>
            <w:tcW w:w="0" w:type="auto"/>
            <w:shd w:val="pct20" w:color="auto" w:fill="FFFFFF"/>
            <w:vAlign w:val="center"/>
          </w:tcPr>
          <w:p w14:paraId="694DB0AF"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Код на водното тяло</w:t>
            </w:r>
          </w:p>
        </w:tc>
        <w:tc>
          <w:tcPr>
            <w:tcW w:w="0" w:type="auto"/>
            <w:shd w:val="pct20" w:color="auto" w:fill="FFFFFF"/>
            <w:vAlign w:val="center"/>
          </w:tcPr>
          <w:p w14:paraId="6480226F"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Географско описание</w:t>
            </w:r>
          </w:p>
        </w:tc>
        <w:tc>
          <w:tcPr>
            <w:tcW w:w="0" w:type="auto"/>
            <w:shd w:val="pct20" w:color="auto" w:fill="FFFFFF"/>
            <w:vAlign w:val="center"/>
          </w:tcPr>
          <w:p w14:paraId="22B5D5A4"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Екологично състояние/потенциал</w:t>
            </w:r>
          </w:p>
        </w:tc>
        <w:tc>
          <w:tcPr>
            <w:tcW w:w="0" w:type="auto"/>
            <w:shd w:val="pct20" w:color="auto" w:fill="FFFFFF"/>
            <w:vAlign w:val="center"/>
          </w:tcPr>
          <w:p w14:paraId="34D1BBD6"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Химично състояние</w:t>
            </w:r>
          </w:p>
        </w:tc>
      </w:tr>
      <w:tr w:rsidR="00AE5785" w:rsidRPr="009F6D1E" w14:paraId="3BCD297B" w14:textId="77777777" w:rsidTr="00BA12F4">
        <w:trPr>
          <w:trHeight w:hRule="exact" w:val="221"/>
          <w:jc w:val="center"/>
        </w:trPr>
        <w:tc>
          <w:tcPr>
            <w:tcW w:w="0" w:type="auto"/>
            <w:gridSpan w:val="5"/>
            <w:shd w:val="clear" w:color="auto" w:fill="F2F2F2" w:themeFill="background1" w:themeFillShade="F2"/>
            <w:vAlign w:val="bottom"/>
          </w:tcPr>
          <w:p w14:paraId="789308F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ЧЕРНОМОРСКИ ДОБРУДЖАНСКИ РЕКИ</w:t>
            </w:r>
          </w:p>
        </w:tc>
      </w:tr>
      <w:tr w:rsidR="00AE5785" w:rsidRPr="009F6D1E" w14:paraId="1385AB16" w14:textId="77777777" w:rsidTr="008723D9">
        <w:trPr>
          <w:trHeight w:hRule="exact" w:val="221"/>
          <w:jc w:val="center"/>
        </w:trPr>
        <w:tc>
          <w:tcPr>
            <w:tcW w:w="0" w:type="auto"/>
            <w:shd w:val="clear" w:color="auto" w:fill="FFFFFF"/>
            <w:vAlign w:val="bottom"/>
          </w:tcPr>
          <w:p w14:paraId="48BD1D7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w:t>
            </w:r>
          </w:p>
        </w:tc>
        <w:tc>
          <w:tcPr>
            <w:tcW w:w="0" w:type="auto"/>
            <w:shd w:val="clear" w:color="auto" w:fill="FFFFFF"/>
          </w:tcPr>
          <w:p w14:paraId="1A211B0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BG2DO800R00</w:t>
            </w:r>
            <w:r w:rsidRPr="009F6D1E">
              <w:rPr>
                <w:rFonts w:cs="Times New Roman"/>
                <w:sz w:val="20"/>
                <w:szCs w:val="20"/>
              </w:rPr>
              <w:t>1</w:t>
            </w:r>
          </w:p>
        </w:tc>
        <w:tc>
          <w:tcPr>
            <w:tcW w:w="0" w:type="auto"/>
            <w:shd w:val="clear" w:color="auto" w:fill="FFFFFF"/>
          </w:tcPr>
          <w:p w14:paraId="0316B47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Батова - от </w:t>
            </w:r>
            <w:proofErr w:type="spellStart"/>
            <w:r w:rsidRPr="009F6D1E">
              <w:rPr>
                <w:rFonts w:cs="Times New Roman"/>
                <w:sz w:val="20"/>
                <w:szCs w:val="20"/>
              </w:rPr>
              <w:t>с.Батово</w:t>
            </w:r>
            <w:proofErr w:type="spellEnd"/>
            <w:r w:rsidRPr="009F6D1E">
              <w:rPr>
                <w:rFonts w:cs="Times New Roman"/>
                <w:sz w:val="20"/>
                <w:szCs w:val="20"/>
              </w:rPr>
              <w:t xml:space="preserve"> до вливане в Черно море</w:t>
            </w:r>
          </w:p>
        </w:tc>
        <w:tc>
          <w:tcPr>
            <w:tcW w:w="0" w:type="auto"/>
            <w:shd w:val="clear" w:color="auto" w:fill="FFFFFF"/>
          </w:tcPr>
          <w:p w14:paraId="1916C3D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9635A2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недостигащо добро</w:t>
            </w:r>
          </w:p>
        </w:tc>
      </w:tr>
      <w:tr w:rsidR="00AE5785" w:rsidRPr="009F6D1E" w14:paraId="3E34CF30" w14:textId="77777777" w:rsidTr="008723D9">
        <w:trPr>
          <w:trHeight w:hRule="exact" w:val="226"/>
          <w:jc w:val="center"/>
        </w:trPr>
        <w:tc>
          <w:tcPr>
            <w:tcW w:w="0" w:type="auto"/>
            <w:shd w:val="clear" w:color="auto" w:fill="FFFFFF"/>
            <w:vAlign w:val="bottom"/>
          </w:tcPr>
          <w:p w14:paraId="0A01319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w:t>
            </w:r>
          </w:p>
        </w:tc>
        <w:tc>
          <w:tcPr>
            <w:tcW w:w="0" w:type="auto"/>
            <w:shd w:val="clear" w:color="auto" w:fill="FFFFFF"/>
          </w:tcPr>
          <w:p w14:paraId="6AD7B24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BG2DO800R002</w:t>
            </w:r>
          </w:p>
        </w:tc>
        <w:tc>
          <w:tcPr>
            <w:tcW w:w="0" w:type="auto"/>
            <w:shd w:val="clear" w:color="auto" w:fill="FFFFFF"/>
          </w:tcPr>
          <w:p w14:paraId="6FDF8B36"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р.Екренска</w:t>
            </w:r>
            <w:proofErr w:type="spellEnd"/>
            <w:r w:rsidRPr="009F6D1E">
              <w:rPr>
                <w:rFonts w:cs="Times New Roman"/>
                <w:sz w:val="20"/>
                <w:szCs w:val="20"/>
              </w:rPr>
              <w:t xml:space="preserve"> - от извора до </w:t>
            </w:r>
            <w:proofErr w:type="spellStart"/>
            <w:r w:rsidRPr="009F6D1E">
              <w:rPr>
                <w:rFonts w:cs="Times New Roman"/>
                <w:sz w:val="20"/>
                <w:szCs w:val="20"/>
              </w:rPr>
              <w:t>понирането</w:t>
            </w:r>
            <w:proofErr w:type="spellEnd"/>
            <w:r w:rsidRPr="009F6D1E">
              <w:rPr>
                <w:rFonts w:cs="Times New Roman"/>
                <w:sz w:val="20"/>
                <w:szCs w:val="20"/>
              </w:rPr>
              <w:t xml:space="preserve"> й след </w:t>
            </w:r>
            <w:proofErr w:type="spellStart"/>
            <w:r w:rsidRPr="009F6D1E">
              <w:rPr>
                <w:rFonts w:cs="Times New Roman"/>
                <w:sz w:val="20"/>
                <w:szCs w:val="20"/>
              </w:rPr>
              <w:t>с.Кранево</w:t>
            </w:r>
            <w:proofErr w:type="spellEnd"/>
          </w:p>
        </w:tc>
        <w:tc>
          <w:tcPr>
            <w:tcW w:w="0" w:type="auto"/>
            <w:shd w:val="clear" w:color="auto" w:fill="FFFFFF"/>
          </w:tcPr>
          <w:p w14:paraId="6DEC77A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3B6FDD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3B47CFAD" w14:textId="77777777" w:rsidTr="008723D9">
        <w:trPr>
          <w:trHeight w:hRule="exact" w:val="221"/>
          <w:jc w:val="center"/>
        </w:trPr>
        <w:tc>
          <w:tcPr>
            <w:tcW w:w="0" w:type="auto"/>
            <w:shd w:val="clear" w:color="auto" w:fill="FFFFFF"/>
          </w:tcPr>
          <w:p w14:paraId="0AFD331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w:t>
            </w:r>
          </w:p>
        </w:tc>
        <w:tc>
          <w:tcPr>
            <w:tcW w:w="0" w:type="auto"/>
            <w:shd w:val="clear" w:color="auto" w:fill="FFFFFF"/>
          </w:tcPr>
          <w:p w14:paraId="2E9EAEB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BG2DO800R004</w:t>
            </w:r>
          </w:p>
        </w:tc>
        <w:tc>
          <w:tcPr>
            <w:tcW w:w="0" w:type="auto"/>
            <w:shd w:val="clear" w:color="auto" w:fill="FFFFFF"/>
          </w:tcPr>
          <w:p w14:paraId="18A23BEA"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р.Батова</w:t>
            </w:r>
            <w:proofErr w:type="spellEnd"/>
            <w:r w:rsidRPr="009F6D1E">
              <w:rPr>
                <w:rFonts w:cs="Times New Roman"/>
                <w:sz w:val="20"/>
                <w:szCs w:val="20"/>
              </w:rPr>
              <w:t xml:space="preserve"> - след с. Долище до </w:t>
            </w:r>
            <w:proofErr w:type="spellStart"/>
            <w:r w:rsidRPr="009F6D1E">
              <w:rPr>
                <w:rFonts w:cs="Times New Roman"/>
                <w:sz w:val="20"/>
                <w:szCs w:val="20"/>
              </w:rPr>
              <w:t>с.Батово</w:t>
            </w:r>
            <w:proofErr w:type="spellEnd"/>
          </w:p>
        </w:tc>
        <w:tc>
          <w:tcPr>
            <w:tcW w:w="0" w:type="auto"/>
            <w:shd w:val="clear" w:color="auto" w:fill="FFFFFF"/>
          </w:tcPr>
          <w:p w14:paraId="22E13CC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5E55DA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8381458" w14:textId="77777777" w:rsidTr="008723D9">
        <w:trPr>
          <w:trHeight w:hRule="exact" w:val="221"/>
          <w:jc w:val="center"/>
        </w:trPr>
        <w:tc>
          <w:tcPr>
            <w:tcW w:w="0" w:type="auto"/>
            <w:shd w:val="clear" w:color="auto" w:fill="FFFFFF"/>
          </w:tcPr>
          <w:p w14:paraId="4CF6F62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w:t>
            </w:r>
          </w:p>
        </w:tc>
        <w:tc>
          <w:tcPr>
            <w:tcW w:w="0" w:type="auto"/>
            <w:shd w:val="clear" w:color="auto" w:fill="FFFFFF"/>
          </w:tcPr>
          <w:p w14:paraId="394E8CB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BG2DO800R005</w:t>
            </w:r>
          </w:p>
        </w:tc>
        <w:tc>
          <w:tcPr>
            <w:tcW w:w="0" w:type="auto"/>
            <w:shd w:val="clear" w:color="auto" w:fill="FFFFFF"/>
          </w:tcPr>
          <w:p w14:paraId="15781734"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Батова - от извора до </w:t>
            </w:r>
            <w:proofErr w:type="spellStart"/>
            <w:r w:rsidRPr="009F6D1E">
              <w:rPr>
                <w:rFonts w:cs="Times New Roman"/>
                <w:sz w:val="20"/>
                <w:szCs w:val="20"/>
              </w:rPr>
              <w:t>с.Долище</w:t>
            </w:r>
            <w:proofErr w:type="spellEnd"/>
          </w:p>
        </w:tc>
        <w:tc>
          <w:tcPr>
            <w:tcW w:w="0" w:type="auto"/>
            <w:shd w:val="clear" w:color="auto" w:fill="FFFFFF"/>
          </w:tcPr>
          <w:p w14:paraId="3B1EE28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AE46D0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33CC4BE1" w14:textId="77777777" w:rsidTr="008723D9">
        <w:trPr>
          <w:trHeight w:hRule="exact" w:val="221"/>
          <w:jc w:val="center"/>
        </w:trPr>
        <w:tc>
          <w:tcPr>
            <w:tcW w:w="0" w:type="auto"/>
            <w:shd w:val="clear" w:color="auto" w:fill="FFFFFF"/>
          </w:tcPr>
          <w:p w14:paraId="3A71232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w:t>
            </w:r>
          </w:p>
        </w:tc>
        <w:tc>
          <w:tcPr>
            <w:tcW w:w="0" w:type="auto"/>
            <w:shd w:val="clear" w:color="auto" w:fill="FFFFFF"/>
          </w:tcPr>
          <w:p w14:paraId="215F397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BG2DO800R006</w:t>
            </w:r>
          </w:p>
        </w:tc>
        <w:tc>
          <w:tcPr>
            <w:tcW w:w="0" w:type="auto"/>
            <w:shd w:val="clear" w:color="auto" w:fill="FFFFFF"/>
          </w:tcPr>
          <w:p w14:paraId="5D2C1B9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Изворска - от извора до вливане в </w:t>
            </w:r>
            <w:proofErr w:type="spellStart"/>
            <w:r w:rsidRPr="009F6D1E">
              <w:rPr>
                <w:rFonts w:cs="Times New Roman"/>
                <w:sz w:val="20"/>
                <w:szCs w:val="20"/>
              </w:rPr>
              <w:t>р.Батова</w:t>
            </w:r>
            <w:proofErr w:type="spellEnd"/>
          </w:p>
        </w:tc>
        <w:tc>
          <w:tcPr>
            <w:tcW w:w="0" w:type="auto"/>
            <w:shd w:val="clear" w:color="auto" w:fill="FFFFFF"/>
          </w:tcPr>
          <w:p w14:paraId="002C354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B046CB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70EFE4F" w14:textId="77777777" w:rsidTr="00BA12F4">
        <w:trPr>
          <w:trHeight w:hRule="exact" w:val="221"/>
          <w:jc w:val="center"/>
        </w:trPr>
        <w:tc>
          <w:tcPr>
            <w:tcW w:w="0" w:type="auto"/>
            <w:gridSpan w:val="5"/>
            <w:shd w:val="clear" w:color="auto" w:fill="F2F2F2" w:themeFill="background1" w:themeFillShade="F2"/>
          </w:tcPr>
          <w:p w14:paraId="3F87C7F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РЕКА ПРОВАДИЙСКА</w:t>
            </w:r>
          </w:p>
        </w:tc>
      </w:tr>
      <w:tr w:rsidR="00AE5785" w:rsidRPr="009F6D1E" w14:paraId="42B39798" w14:textId="77777777" w:rsidTr="008723D9">
        <w:trPr>
          <w:trHeight w:hRule="exact" w:val="221"/>
          <w:jc w:val="center"/>
        </w:trPr>
        <w:tc>
          <w:tcPr>
            <w:tcW w:w="0" w:type="auto"/>
            <w:shd w:val="clear" w:color="auto" w:fill="FFFFFF"/>
            <w:vAlign w:val="bottom"/>
          </w:tcPr>
          <w:p w14:paraId="753F03A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w:t>
            </w:r>
          </w:p>
        </w:tc>
        <w:tc>
          <w:tcPr>
            <w:tcW w:w="0" w:type="auto"/>
            <w:shd w:val="clear" w:color="auto" w:fill="FFFFFF"/>
          </w:tcPr>
          <w:p w14:paraId="0D7BE72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BG2PR900R017</w:t>
            </w:r>
          </w:p>
        </w:tc>
        <w:tc>
          <w:tcPr>
            <w:tcW w:w="0" w:type="auto"/>
            <w:shd w:val="clear" w:color="auto" w:fill="FFFFFF"/>
          </w:tcPr>
          <w:p w14:paraId="6560642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Провадийска - от извора до преди с. Каменяк</w:t>
            </w:r>
          </w:p>
        </w:tc>
        <w:tc>
          <w:tcPr>
            <w:tcW w:w="0" w:type="auto"/>
            <w:shd w:val="clear" w:color="auto" w:fill="FFFFFF"/>
          </w:tcPr>
          <w:p w14:paraId="3DEF8FA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2A66BED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35BE364B" w14:textId="77777777" w:rsidTr="008723D9">
        <w:trPr>
          <w:trHeight w:hRule="exact" w:val="226"/>
          <w:jc w:val="center"/>
        </w:trPr>
        <w:tc>
          <w:tcPr>
            <w:tcW w:w="0" w:type="auto"/>
            <w:shd w:val="clear" w:color="auto" w:fill="FFFFFF"/>
          </w:tcPr>
          <w:p w14:paraId="7ECB6E1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w:t>
            </w:r>
          </w:p>
        </w:tc>
        <w:tc>
          <w:tcPr>
            <w:tcW w:w="0" w:type="auto"/>
            <w:shd w:val="clear" w:color="auto" w:fill="FFFFFF"/>
          </w:tcPr>
          <w:p w14:paraId="5D4C752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BG2PR900R015</w:t>
            </w:r>
          </w:p>
        </w:tc>
        <w:tc>
          <w:tcPr>
            <w:tcW w:w="0" w:type="auto"/>
            <w:shd w:val="clear" w:color="auto" w:fill="FFFFFF"/>
          </w:tcPr>
          <w:p w14:paraId="593817FD"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р.Провадийска</w:t>
            </w:r>
            <w:proofErr w:type="spellEnd"/>
            <w:r w:rsidRPr="009F6D1E">
              <w:rPr>
                <w:rFonts w:cs="Times New Roman"/>
                <w:sz w:val="20"/>
                <w:szCs w:val="20"/>
              </w:rPr>
              <w:t xml:space="preserve"> - от преди </w:t>
            </w:r>
            <w:proofErr w:type="spellStart"/>
            <w:r w:rsidRPr="009F6D1E">
              <w:rPr>
                <w:rFonts w:cs="Times New Roman"/>
                <w:sz w:val="20"/>
                <w:szCs w:val="20"/>
              </w:rPr>
              <w:t>с.Каменяк</w:t>
            </w:r>
            <w:proofErr w:type="spellEnd"/>
            <w:r w:rsidRPr="009F6D1E">
              <w:rPr>
                <w:rFonts w:cs="Times New Roman"/>
                <w:sz w:val="20"/>
                <w:szCs w:val="20"/>
              </w:rPr>
              <w:t xml:space="preserve"> до </w:t>
            </w:r>
            <w:proofErr w:type="spellStart"/>
            <w:r w:rsidRPr="009F6D1E">
              <w:rPr>
                <w:rFonts w:cs="Times New Roman"/>
                <w:sz w:val="20"/>
                <w:szCs w:val="20"/>
              </w:rPr>
              <w:t>гр.Каспичан</w:t>
            </w:r>
            <w:proofErr w:type="spellEnd"/>
          </w:p>
        </w:tc>
        <w:tc>
          <w:tcPr>
            <w:tcW w:w="0" w:type="auto"/>
            <w:shd w:val="clear" w:color="auto" w:fill="FFFFFF"/>
          </w:tcPr>
          <w:p w14:paraId="57FD1A2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23E2255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6710C365" w14:textId="77777777" w:rsidTr="008723D9">
        <w:trPr>
          <w:trHeight w:hRule="exact" w:val="221"/>
          <w:jc w:val="center"/>
        </w:trPr>
        <w:tc>
          <w:tcPr>
            <w:tcW w:w="0" w:type="auto"/>
            <w:shd w:val="clear" w:color="auto" w:fill="FFFFFF"/>
            <w:vAlign w:val="bottom"/>
          </w:tcPr>
          <w:p w14:paraId="5D35B8F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w:t>
            </w:r>
          </w:p>
        </w:tc>
        <w:tc>
          <w:tcPr>
            <w:tcW w:w="0" w:type="auto"/>
            <w:shd w:val="clear" w:color="auto" w:fill="FFFFFF"/>
            <w:vAlign w:val="bottom"/>
          </w:tcPr>
          <w:p w14:paraId="710657F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BG2PR800R018</w:t>
            </w:r>
          </w:p>
        </w:tc>
        <w:tc>
          <w:tcPr>
            <w:tcW w:w="0" w:type="auto"/>
            <w:shd w:val="clear" w:color="auto" w:fill="FFFFFF"/>
            <w:vAlign w:val="bottom"/>
          </w:tcPr>
          <w:p w14:paraId="1B687B77"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р.Мадара</w:t>
            </w:r>
            <w:proofErr w:type="spellEnd"/>
            <w:r w:rsidRPr="009F6D1E">
              <w:rPr>
                <w:rFonts w:cs="Times New Roman"/>
                <w:sz w:val="20"/>
                <w:szCs w:val="20"/>
              </w:rPr>
              <w:t xml:space="preserve"> - от извора до кв. Макак, </w:t>
            </w:r>
            <w:proofErr w:type="spellStart"/>
            <w:r w:rsidRPr="009F6D1E">
              <w:rPr>
                <w:rFonts w:cs="Times New Roman"/>
                <w:sz w:val="20"/>
                <w:szCs w:val="20"/>
              </w:rPr>
              <w:t>гр.Шумен</w:t>
            </w:r>
            <w:proofErr w:type="spellEnd"/>
          </w:p>
        </w:tc>
        <w:tc>
          <w:tcPr>
            <w:tcW w:w="0" w:type="auto"/>
            <w:shd w:val="clear" w:color="auto" w:fill="FFFFFF"/>
            <w:vAlign w:val="bottom"/>
          </w:tcPr>
          <w:p w14:paraId="12553FA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6B779EB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46DEEBD" w14:textId="77777777" w:rsidTr="008723D9">
        <w:trPr>
          <w:trHeight w:hRule="exact" w:val="221"/>
          <w:jc w:val="center"/>
        </w:trPr>
        <w:tc>
          <w:tcPr>
            <w:tcW w:w="0" w:type="auto"/>
            <w:shd w:val="clear" w:color="auto" w:fill="FFFFFF"/>
          </w:tcPr>
          <w:p w14:paraId="0924EFB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w:t>
            </w:r>
          </w:p>
        </w:tc>
        <w:tc>
          <w:tcPr>
            <w:tcW w:w="0" w:type="auto"/>
            <w:shd w:val="clear" w:color="auto" w:fill="FFFFFF"/>
          </w:tcPr>
          <w:p w14:paraId="690CA97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BG2PR800R016</w:t>
            </w:r>
          </w:p>
        </w:tc>
        <w:tc>
          <w:tcPr>
            <w:tcW w:w="0" w:type="auto"/>
            <w:shd w:val="clear" w:color="auto" w:fill="FFFFFF"/>
          </w:tcPr>
          <w:p w14:paraId="25CD918C"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р.Мадара</w:t>
            </w:r>
            <w:proofErr w:type="spellEnd"/>
            <w:r w:rsidRPr="009F6D1E">
              <w:rPr>
                <w:rFonts w:cs="Times New Roman"/>
                <w:sz w:val="20"/>
                <w:szCs w:val="20"/>
              </w:rPr>
              <w:t xml:space="preserve"> - от кв. Макак, </w:t>
            </w:r>
            <w:proofErr w:type="spellStart"/>
            <w:r w:rsidRPr="009F6D1E">
              <w:rPr>
                <w:rFonts w:cs="Times New Roman"/>
                <w:sz w:val="20"/>
                <w:szCs w:val="20"/>
              </w:rPr>
              <w:t>гр.Шумен</w:t>
            </w:r>
            <w:proofErr w:type="spellEnd"/>
            <w:r w:rsidRPr="009F6D1E">
              <w:rPr>
                <w:rFonts w:cs="Times New Roman"/>
                <w:sz w:val="20"/>
                <w:szCs w:val="20"/>
              </w:rPr>
              <w:t xml:space="preserve"> до вливане в </w:t>
            </w:r>
            <w:proofErr w:type="spellStart"/>
            <w:r w:rsidRPr="009F6D1E">
              <w:rPr>
                <w:rFonts w:cs="Times New Roman"/>
                <w:sz w:val="20"/>
                <w:szCs w:val="20"/>
              </w:rPr>
              <w:t>р.Провадийска</w:t>
            </w:r>
            <w:proofErr w:type="spellEnd"/>
          </w:p>
        </w:tc>
        <w:tc>
          <w:tcPr>
            <w:tcW w:w="0" w:type="auto"/>
            <w:shd w:val="clear" w:color="auto" w:fill="FFFFFF"/>
          </w:tcPr>
          <w:p w14:paraId="5A55697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9BD0B7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6A456D4C" w14:textId="77777777" w:rsidTr="008723D9">
        <w:trPr>
          <w:trHeight w:hRule="exact" w:val="221"/>
          <w:jc w:val="center"/>
        </w:trPr>
        <w:tc>
          <w:tcPr>
            <w:tcW w:w="0" w:type="auto"/>
            <w:shd w:val="clear" w:color="auto" w:fill="FFFFFF"/>
            <w:vAlign w:val="bottom"/>
          </w:tcPr>
          <w:p w14:paraId="086C6A9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w:t>
            </w:r>
          </w:p>
        </w:tc>
        <w:tc>
          <w:tcPr>
            <w:tcW w:w="0" w:type="auto"/>
            <w:shd w:val="clear" w:color="auto" w:fill="FFFFFF"/>
            <w:vAlign w:val="bottom"/>
          </w:tcPr>
          <w:p w14:paraId="42427AA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BG2PR600R014</w:t>
            </w:r>
          </w:p>
        </w:tc>
        <w:tc>
          <w:tcPr>
            <w:tcW w:w="0" w:type="auto"/>
            <w:shd w:val="clear" w:color="auto" w:fill="FFFFFF"/>
            <w:vAlign w:val="bottom"/>
          </w:tcPr>
          <w:p w14:paraId="0B6810F1"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р.Крива</w:t>
            </w:r>
            <w:proofErr w:type="spellEnd"/>
            <w:r w:rsidRPr="009F6D1E">
              <w:rPr>
                <w:rFonts w:cs="Times New Roman"/>
                <w:sz w:val="20"/>
                <w:szCs w:val="20"/>
              </w:rPr>
              <w:t xml:space="preserve"> - от извора до след </w:t>
            </w:r>
            <w:proofErr w:type="spellStart"/>
            <w:r w:rsidRPr="009F6D1E">
              <w:rPr>
                <w:rFonts w:cs="Times New Roman"/>
                <w:sz w:val="20"/>
                <w:szCs w:val="20"/>
              </w:rPr>
              <w:t>с.Лиси</w:t>
            </w:r>
            <w:proofErr w:type="spellEnd"/>
            <w:r w:rsidRPr="009F6D1E">
              <w:rPr>
                <w:rFonts w:cs="Times New Roman"/>
                <w:sz w:val="20"/>
                <w:szCs w:val="20"/>
              </w:rPr>
              <w:t xml:space="preserve"> връх</w:t>
            </w:r>
          </w:p>
        </w:tc>
        <w:tc>
          <w:tcPr>
            <w:tcW w:w="0" w:type="auto"/>
            <w:shd w:val="clear" w:color="auto" w:fill="FFFFFF"/>
            <w:vAlign w:val="bottom"/>
          </w:tcPr>
          <w:p w14:paraId="325EB0D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75B2DFE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C6C592B" w14:textId="77777777" w:rsidTr="008723D9">
        <w:trPr>
          <w:trHeight w:hRule="exact" w:val="221"/>
          <w:jc w:val="center"/>
        </w:trPr>
        <w:tc>
          <w:tcPr>
            <w:tcW w:w="0" w:type="auto"/>
            <w:shd w:val="clear" w:color="auto" w:fill="FFFFFF"/>
            <w:vAlign w:val="bottom"/>
          </w:tcPr>
          <w:p w14:paraId="047EF38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w:t>
            </w:r>
          </w:p>
        </w:tc>
        <w:tc>
          <w:tcPr>
            <w:tcW w:w="0" w:type="auto"/>
            <w:shd w:val="clear" w:color="auto" w:fill="FFFFFF"/>
            <w:vAlign w:val="bottom"/>
          </w:tcPr>
          <w:p w14:paraId="1551194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BG2PR600R1013</w:t>
            </w:r>
          </w:p>
        </w:tc>
        <w:tc>
          <w:tcPr>
            <w:tcW w:w="0" w:type="auto"/>
            <w:shd w:val="clear" w:color="auto" w:fill="FFFFFF"/>
            <w:vAlign w:val="bottom"/>
          </w:tcPr>
          <w:p w14:paraId="634351BE"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р.Крива</w:t>
            </w:r>
            <w:proofErr w:type="spellEnd"/>
            <w:r w:rsidRPr="009F6D1E">
              <w:rPr>
                <w:rFonts w:cs="Times New Roman"/>
                <w:sz w:val="20"/>
                <w:szCs w:val="20"/>
              </w:rPr>
              <w:t xml:space="preserve"> - от след с. Лиси връх до гр. Нови Пазар</w:t>
            </w:r>
          </w:p>
        </w:tc>
        <w:tc>
          <w:tcPr>
            <w:tcW w:w="0" w:type="auto"/>
            <w:shd w:val="clear" w:color="auto" w:fill="FFFFFF"/>
            <w:vAlign w:val="bottom"/>
          </w:tcPr>
          <w:p w14:paraId="28A3D28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vAlign w:val="bottom"/>
          </w:tcPr>
          <w:p w14:paraId="2FD012C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0196A12" w14:textId="77777777" w:rsidTr="008723D9">
        <w:trPr>
          <w:trHeight w:hRule="exact" w:val="221"/>
          <w:jc w:val="center"/>
        </w:trPr>
        <w:tc>
          <w:tcPr>
            <w:tcW w:w="0" w:type="auto"/>
            <w:shd w:val="clear" w:color="auto" w:fill="FFFFFF"/>
            <w:vAlign w:val="bottom"/>
          </w:tcPr>
          <w:p w14:paraId="43A5A56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12</w:t>
            </w:r>
          </w:p>
        </w:tc>
        <w:tc>
          <w:tcPr>
            <w:tcW w:w="0" w:type="auto"/>
            <w:shd w:val="clear" w:color="auto" w:fill="FFFFFF"/>
            <w:vAlign w:val="bottom"/>
          </w:tcPr>
          <w:p w14:paraId="44C75801"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BG2PR500R010</w:t>
            </w:r>
          </w:p>
        </w:tc>
        <w:tc>
          <w:tcPr>
            <w:tcW w:w="0" w:type="auto"/>
            <w:shd w:val="clear" w:color="auto" w:fill="FFFFFF"/>
            <w:vAlign w:val="bottom"/>
          </w:tcPr>
          <w:p w14:paraId="2E87F44F"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р.Златина</w:t>
            </w:r>
            <w:proofErr w:type="spellEnd"/>
            <w:r w:rsidRPr="009F6D1E">
              <w:rPr>
                <w:rFonts w:cs="Times New Roman"/>
                <w:sz w:val="20"/>
                <w:szCs w:val="20"/>
              </w:rPr>
              <w:t xml:space="preserve"> - от извора до 2,6 км. след с. Белоградец</w:t>
            </w:r>
          </w:p>
        </w:tc>
        <w:tc>
          <w:tcPr>
            <w:tcW w:w="0" w:type="auto"/>
            <w:shd w:val="clear" w:color="auto" w:fill="FFFFFF"/>
            <w:vAlign w:val="bottom"/>
          </w:tcPr>
          <w:p w14:paraId="30B43B4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0D534F6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356E7A4" w14:textId="77777777" w:rsidTr="008723D9">
        <w:trPr>
          <w:trHeight w:hRule="exact" w:val="226"/>
          <w:jc w:val="center"/>
        </w:trPr>
        <w:tc>
          <w:tcPr>
            <w:tcW w:w="0" w:type="auto"/>
            <w:shd w:val="clear" w:color="auto" w:fill="FFFFFF"/>
          </w:tcPr>
          <w:p w14:paraId="7A071DF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13</w:t>
            </w:r>
          </w:p>
        </w:tc>
        <w:tc>
          <w:tcPr>
            <w:tcW w:w="0" w:type="auto"/>
            <w:shd w:val="clear" w:color="auto" w:fill="FFFFFF"/>
          </w:tcPr>
          <w:p w14:paraId="7E15560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BG2PR500R008</w:t>
            </w:r>
          </w:p>
        </w:tc>
        <w:tc>
          <w:tcPr>
            <w:tcW w:w="0" w:type="auto"/>
            <w:shd w:val="clear" w:color="auto" w:fill="FFFFFF"/>
          </w:tcPr>
          <w:p w14:paraId="13917D72"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р.Златина</w:t>
            </w:r>
            <w:proofErr w:type="spellEnd"/>
            <w:r w:rsidRPr="009F6D1E">
              <w:rPr>
                <w:rFonts w:cs="Times New Roman"/>
                <w:sz w:val="20"/>
                <w:szCs w:val="20"/>
              </w:rPr>
              <w:t xml:space="preserve"> - от 2,6 км. след с. Белоградец до вливане в р. Провадийска</w:t>
            </w:r>
          </w:p>
        </w:tc>
        <w:tc>
          <w:tcPr>
            <w:tcW w:w="0" w:type="auto"/>
            <w:shd w:val="clear" w:color="auto" w:fill="FFFFFF"/>
          </w:tcPr>
          <w:p w14:paraId="4F86357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ABEC34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31379B1D" w14:textId="77777777" w:rsidTr="008723D9">
        <w:trPr>
          <w:trHeight w:hRule="exact" w:val="221"/>
          <w:jc w:val="center"/>
        </w:trPr>
        <w:tc>
          <w:tcPr>
            <w:tcW w:w="0" w:type="auto"/>
            <w:shd w:val="clear" w:color="auto" w:fill="FFFFFF"/>
          </w:tcPr>
          <w:p w14:paraId="28015EC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14</w:t>
            </w:r>
          </w:p>
        </w:tc>
        <w:tc>
          <w:tcPr>
            <w:tcW w:w="0" w:type="auto"/>
            <w:shd w:val="clear" w:color="auto" w:fill="FFFFFF"/>
          </w:tcPr>
          <w:p w14:paraId="579E278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BG2PR500R004</w:t>
            </w:r>
          </w:p>
        </w:tc>
        <w:tc>
          <w:tcPr>
            <w:tcW w:w="0" w:type="auto"/>
            <w:shd w:val="clear" w:color="auto" w:fill="FFFFFF"/>
          </w:tcPr>
          <w:p w14:paraId="69602097"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Язтепенска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р.Провадийска</w:t>
            </w:r>
            <w:proofErr w:type="spellEnd"/>
          </w:p>
        </w:tc>
        <w:tc>
          <w:tcPr>
            <w:tcW w:w="0" w:type="auto"/>
            <w:shd w:val="clear" w:color="auto" w:fill="FFFFFF"/>
          </w:tcPr>
          <w:p w14:paraId="27CF2EE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52480D6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8822E40" w14:textId="77777777" w:rsidTr="00BA12F4">
        <w:trPr>
          <w:trHeight w:hRule="exact" w:val="590"/>
          <w:jc w:val="center"/>
        </w:trPr>
        <w:tc>
          <w:tcPr>
            <w:tcW w:w="0" w:type="auto"/>
            <w:shd w:val="clear" w:color="auto" w:fill="FFFFFF"/>
            <w:vAlign w:val="center"/>
          </w:tcPr>
          <w:p w14:paraId="3D4667D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15</w:t>
            </w:r>
          </w:p>
        </w:tc>
        <w:tc>
          <w:tcPr>
            <w:tcW w:w="0" w:type="auto"/>
            <w:shd w:val="clear" w:color="auto" w:fill="FFFFFF"/>
            <w:vAlign w:val="center"/>
          </w:tcPr>
          <w:p w14:paraId="5109DDA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BG2PR345R1207</w:t>
            </w:r>
          </w:p>
        </w:tc>
        <w:tc>
          <w:tcPr>
            <w:tcW w:w="0" w:type="auto"/>
            <w:shd w:val="clear" w:color="auto" w:fill="FFFFFF"/>
            <w:vAlign w:val="bottom"/>
          </w:tcPr>
          <w:p w14:paraId="0288F48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Провадийска - от вливане на р. Главница до вливане на </w:t>
            </w:r>
            <w:proofErr w:type="spellStart"/>
            <w:r w:rsidRPr="009F6D1E">
              <w:rPr>
                <w:rFonts w:cs="Times New Roman"/>
                <w:sz w:val="20"/>
                <w:szCs w:val="20"/>
              </w:rPr>
              <w:t>шламоотвал</w:t>
            </w:r>
            <w:proofErr w:type="spellEnd"/>
            <w:r w:rsidRPr="009F6D1E">
              <w:rPr>
                <w:rFonts w:cs="Times New Roman"/>
                <w:sz w:val="20"/>
                <w:szCs w:val="20"/>
              </w:rPr>
              <w:t xml:space="preserve"> Падина, </w:t>
            </w:r>
          </w:p>
          <w:p w14:paraId="5B19ED5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II участък: </w:t>
            </w:r>
            <w:proofErr w:type="spellStart"/>
            <w:r w:rsidRPr="009F6D1E">
              <w:rPr>
                <w:rFonts w:cs="Times New Roman"/>
                <w:sz w:val="20"/>
                <w:szCs w:val="20"/>
              </w:rPr>
              <w:t>р.Манастирска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р.Провадийска</w:t>
            </w:r>
            <w:proofErr w:type="spellEnd"/>
          </w:p>
        </w:tc>
        <w:tc>
          <w:tcPr>
            <w:tcW w:w="0" w:type="auto"/>
            <w:shd w:val="clear" w:color="auto" w:fill="FFFFFF"/>
            <w:vAlign w:val="center"/>
          </w:tcPr>
          <w:p w14:paraId="0CB2AD4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vAlign w:val="center"/>
          </w:tcPr>
          <w:p w14:paraId="3DAD32C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70C5977C" w14:textId="77777777" w:rsidTr="008723D9">
        <w:trPr>
          <w:trHeight w:hRule="exact" w:val="221"/>
          <w:jc w:val="center"/>
        </w:trPr>
        <w:tc>
          <w:tcPr>
            <w:tcW w:w="0" w:type="auto"/>
            <w:shd w:val="clear" w:color="auto" w:fill="FFFFFF"/>
            <w:vAlign w:val="bottom"/>
          </w:tcPr>
          <w:p w14:paraId="75350FE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16</w:t>
            </w:r>
          </w:p>
        </w:tc>
        <w:tc>
          <w:tcPr>
            <w:tcW w:w="0" w:type="auto"/>
            <w:shd w:val="clear" w:color="auto" w:fill="FFFFFF"/>
          </w:tcPr>
          <w:p w14:paraId="0FB136F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BG2PR345R1007</w:t>
            </w:r>
          </w:p>
        </w:tc>
        <w:tc>
          <w:tcPr>
            <w:tcW w:w="0" w:type="auto"/>
            <w:shd w:val="clear" w:color="auto" w:fill="FFFFFF"/>
          </w:tcPr>
          <w:p w14:paraId="1C9768CC"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Главница - от извора до вливане на р. </w:t>
            </w:r>
            <w:proofErr w:type="spellStart"/>
            <w:r w:rsidRPr="009F6D1E">
              <w:rPr>
                <w:rFonts w:cs="Times New Roman"/>
                <w:sz w:val="20"/>
                <w:szCs w:val="20"/>
              </w:rPr>
              <w:t>Аннадере</w:t>
            </w:r>
            <w:proofErr w:type="spellEnd"/>
          </w:p>
        </w:tc>
        <w:tc>
          <w:tcPr>
            <w:tcW w:w="0" w:type="auto"/>
            <w:shd w:val="clear" w:color="auto" w:fill="FFFFFF"/>
          </w:tcPr>
          <w:p w14:paraId="779C084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7F5EE59" w14:textId="77777777" w:rsidR="00AE5785" w:rsidRPr="009F6D1E" w:rsidRDefault="0078731A" w:rsidP="0084747F">
            <w:pPr>
              <w:spacing w:after="60" w:line="264" w:lineRule="auto"/>
              <w:jc w:val="center"/>
              <w:rPr>
                <w:rFonts w:cs="Times New Roman"/>
                <w:sz w:val="20"/>
                <w:szCs w:val="20"/>
              </w:rPr>
            </w:pPr>
            <w:r w:rsidRPr="009F6D1E">
              <w:rPr>
                <w:rFonts w:cs="Times New Roman"/>
                <w:sz w:val="20"/>
                <w:szCs w:val="20"/>
              </w:rPr>
              <w:t>н</w:t>
            </w:r>
            <w:r w:rsidR="00AE5785" w:rsidRPr="009F6D1E">
              <w:rPr>
                <w:rFonts w:cs="Times New Roman"/>
                <w:sz w:val="20"/>
                <w:szCs w:val="20"/>
              </w:rPr>
              <w:t>яма данни</w:t>
            </w:r>
          </w:p>
        </w:tc>
      </w:tr>
      <w:tr w:rsidR="00AE5785" w:rsidRPr="009F6D1E" w14:paraId="7C6172F3" w14:textId="77777777" w:rsidTr="008723D9">
        <w:trPr>
          <w:trHeight w:hRule="exact" w:val="221"/>
          <w:jc w:val="center"/>
        </w:trPr>
        <w:tc>
          <w:tcPr>
            <w:tcW w:w="0" w:type="auto"/>
            <w:shd w:val="clear" w:color="auto" w:fill="FFFFFF"/>
          </w:tcPr>
          <w:p w14:paraId="6751510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17</w:t>
            </w:r>
          </w:p>
        </w:tc>
        <w:tc>
          <w:tcPr>
            <w:tcW w:w="0" w:type="auto"/>
            <w:shd w:val="clear" w:color="auto" w:fill="FFFFFF"/>
          </w:tcPr>
          <w:p w14:paraId="359D6F0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BG2PR200R1</w:t>
            </w:r>
            <w:r w:rsidRPr="009F6D1E">
              <w:rPr>
                <w:rFonts w:cs="Times New Roman"/>
                <w:sz w:val="20"/>
                <w:szCs w:val="20"/>
              </w:rPr>
              <w:t>004</w:t>
            </w:r>
          </w:p>
        </w:tc>
        <w:tc>
          <w:tcPr>
            <w:tcW w:w="0" w:type="auto"/>
            <w:shd w:val="clear" w:color="auto" w:fill="FFFFFF"/>
          </w:tcPr>
          <w:p w14:paraId="73B8327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Девненска - от извора до </w:t>
            </w:r>
            <w:proofErr w:type="spellStart"/>
            <w:r w:rsidRPr="009F6D1E">
              <w:rPr>
                <w:rFonts w:cs="Times New Roman"/>
                <w:sz w:val="20"/>
                <w:szCs w:val="20"/>
              </w:rPr>
              <w:t>с.Чернево</w:t>
            </w:r>
            <w:proofErr w:type="spellEnd"/>
          </w:p>
        </w:tc>
        <w:tc>
          <w:tcPr>
            <w:tcW w:w="0" w:type="auto"/>
            <w:shd w:val="clear" w:color="auto" w:fill="FFFFFF"/>
          </w:tcPr>
          <w:p w14:paraId="7C749C1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2094828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1B3F0A2C" w14:textId="77777777" w:rsidTr="008723D9">
        <w:trPr>
          <w:trHeight w:hRule="exact" w:val="221"/>
          <w:jc w:val="center"/>
        </w:trPr>
        <w:tc>
          <w:tcPr>
            <w:tcW w:w="0" w:type="auto"/>
            <w:shd w:val="clear" w:color="auto" w:fill="FFFFFF"/>
            <w:vAlign w:val="bottom"/>
          </w:tcPr>
          <w:p w14:paraId="4183CDA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18</w:t>
            </w:r>
          </w:p>
        </w:tc>
        <w:tc>
          <w:tcPr>
            <w:tcW w:w="0" w:type="auto"/>
            <w:shd w:val="clear" w:color="auto" w:fill="FFFFFF"/>
            <w:vAlign w:val="bottom"/>
          </w:tcPr>
          <w:p w14:paraId="7875B01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BG2PR210R1005</w:t>
            </w:r>
          </w:p>
        </w:tc>
        <w:tc>
          <w:tcPr>
            <w:tcW w:w="0" w:type="auto"/>
            <w:shd w:val="clear" w:color="auto" w:fill="FFFFFF"/>
            <w:vAlign w:val="bottom"/>
          </w:tcPr>
          <w:p w14:paraId="55F28C6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Девненска - след </w:t>
            </w:r>
            <w:proofErr w:type="spellStart"/>
            <w:r w:rsidRPr="009F6D1E">
              <w:rPr>
                <w:rFonts w:cs="Times New Roman"/>
                <w:sz w:val="20"/>
                <w:szCs w:val="20"/>
              </w:rPr>
              <w:t>с.Чернево</w:t>
            </w:r>
            <w:proofErr w:type="spellEnd"/>
            <w:r w:rsidRPr="009F6D1E">
              <w:rPr>
                <w:rFonts w:cs="Times New Roman"/>
                <w:sz w:val="20"/>
                <w:szCs w:val="20"/>
              </w:rPr>
              <w:t xml:space="preserve"> до вливането в </w:t>
            </w:r>
            <w:proofErr w:type="spellStart"/>
            <w:r w:rsidRPr="009F6D1E">
              <w:rPr>
                <w:rFonts w:cs="Times New Roman"/>
                <w:sz w:val="20"/>
                <w:szCs w:val="20"/>
              </w:rPr>
              <w:t>р.Провадийска</w:t>
            </w:r>
            <w:proofErr w:type="spellEnd"/>
          </w:p>
        </w:tc>
        <w:tc>
          <w:tcPr>
            <w:tcW w:w="0" w:type="auto"/>
            <w:shd w:val="clear" w:color="auto" w:fill="FFFFFF"/>
            <w:vAlign w:val="bottom"/>
          </w:tcPr>
          <w:p w14:paraId="5500F7B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212B754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3781C73B" w14:textId="77777777" w:rsidTr="00BA12F4">
        <w:trPr>
          <w:trHeight w:hRule="exact" w:val="226"/>
          <w:jc w:val="center"/>
        </w:trPr>
        <w:tc>
          <w:tcPr>
            <w:tcW w:w="0" w:type="auto"/>
            <w:gridSpan w:val="5"/>
            <w:shd w:val="clear" w:color="auto" w:fill="F2F2F2" w:themeFill="background1" w:themeFillShade="F2"/>
          </w:tcPr>
          <w:p w14:paraId="5C760A9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РЕКА КАМЧИЯ</w:t>
            </w:r>
          </w:p>
        </w:tc>
      </w:tr>
      <w:tr w:rsidR="00AE5785" w:rsidRPr="009F6D1E" w14:paraId="03B5D554" w14:textId="77777777" w:rsidTr="008723D9">
        <w:trPr>
          <w:trHeight w:hRule="exact" w:val="221"/>
          <w:jc w:val="center"/>
        </w:trPr>
        <w:tc>
          <w:tcPr>
            <w:tcW w:w="0" w:type="auto"/>
            <w:shd w:val="clear" w:color="auto" w:fill="FFFFFF"/>
          </w:tcPr>
          <w:p w14:paraId="08C503F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19</w:t>
            </w:r>
          </w:p>
        </w:tc>
        <w:tc>
          <w:tcPr>
            <w:tcW w:w="0" w:type="auto"/>
            <w:shd w:val="clear" w:color="auto" w:fill="FFFFFF"/>
          </w:tcPr>
          <w:p w14:paraId="0936EDC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BG2KA900R1037</w:t>
            </w:r>
          </w:p>
        </w:tc>
        <w:tc>
          <w:tcPr>
            <w:tcW w:w="0" w:type="auto"/>
            <w:shd w:val="clear" w:color="auto" w:fill="FFFFFF"/>
          </w:tcPr>
          <w:p w14:paraId="1B4CE89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Голяма Камчия - от извор до след с. Тича</w:t>
            </w:r>
          </w:p>
        </w:tc>
        <w:tc>
          <w:tcPr>
            <w:tcW w:w="0" w:type="auto"/>
            <w:shd w:val="clear" w:color="auto" w:fill="FFFFFF"/>
          </w:tcPr>
          <w:p w14:paraId="70831DD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11D14D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01E1F6C6" w14:textId="77777777" w:rsidTr="008723D9">
        <w:trPr>
          <w:trHeight w:hRule="exact" w:val="221"/>
          <w:jc w:val="center"/>
        </w:trPr>
        <w:tc>
          <w:tcPr>
            <w:tcW w:w="0" w:type="auto"/>
            <w:shd w:val="clear" w:color="auto" w:fill="FFFFFF"/>
            <w:vAlign w:val="bottom"/>
          </w:tcPr>
          <w:p w14:paraId="71C59AC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20</w:t>
            </w:r>
          </w:p>
        </w:tc>
        <w:tc>
          <w:tcPr>
            <w:tcW w:w="0" w:type="auto"/>
            <w:shd w:val="clear" w:color="auto" w:fill="FFFFFF"/>
            <w:vAlign w:val="bottom"/>
          </w:tcPr>
          <w:p w14:paraId="44D0BFE1"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BG2KA900R1</w:t>
            </w:r>
            <w:r w:rsidRPr="009F6D1E">
              <w:rPr>
                <w:rFonts w:cs="Times New Roman"/>
                <w:sz w:val="20"/>
                <w:szCs w:val="20"/>
              </w:rPr>
              <w:t>137</w:t>
            </w:r>
          </w:p>
        </w:tc>
        <w:tc>
          <w:tcPr>
            <w:tcW w:w="0" w:type="auto"/>
            <w:shd w:val="clear" w:color="auto" w:fill="FFFFFF"/>
            <w:vAlign w:val="bottom"/>
          </w:tcPr>
          <w:p w14:paraId="175DFC1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Камчия - след с. Тича до яз. "Тича"</w:t>
            </w:r>
          </w:p>
        </w:tc>
        <w:tc>
          <w:tcPr>
            <w:tcW w:w="0" w:type="auto"/>
            <w:shd w:val="clear" w:color="auto" w:fill="FFFFFF"/>
            <w:vAlign w:val="bottom"/>
          </w:tcPr>
          <w:p w14:paraId="0B9C168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7E18362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3BF2AEBB" w14:textId="77777777" w:rsidTr="008723D9">
        <w:trPr>
          <w:trHeight w:hRule="exact" w:val="221"/>
          <w:jc w:val="center"/>
        </w:trPr>
        <w:tc>
          <w:tcPr>
            <w:tcW w:w="0" w:type="auto"/>
            <w:shd w:val="clear" w:color="auto" w:fill="FFFFFF"/>
            <w:vAlign w:val="bottom"/>
          </w:tcPr>
          <w:p w14:paraId="54C4A86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21</w:t>
            </w:r>
          </w:p>
        </w:tc>
        <w:tc>
          <w:tcPr>
            <w:tcW w:w="0" w:type="auto"/>
            <w:shd w:val="clear" w:color="auto" w:fill="FFFFFF"/>
          </w:tcPr>
          <w:p w14:paraId="177E34AB"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BG2KA900R038</w:t>
            </w:r>
          </w:p>
        </w:tc>
        <w:tc>
          <w:tcPr>
            <w:tcW w:w="0" w:type="auto"/>
            <w:shd w:val="clear" w:color="auto" w:fill="FFFFFF"/>
          </w:tcPr>
          <w:p w14:paraId="5FB7512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Черна от извор до вливане в р. Камчия</w:t>
            </w:r>
          </w:p>
        </w:tc>
        <w:tc>
          <w:tcPr>
            <w:tcW w:w="0" w:type="auto"/>
            <w:shd w:val="clear" w:color="auto" w:fill="FFFFFF"/>
          </w:tcPr>
          <w:p w14:paraId="16B0EE2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CAD35B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1EB1B080" w14:textId="77777777" w:rsidTr="008723D9">
        <w:trPr>
          <w:trHeight w:hRule="exact" w:val="221"/>
          <w:jc w:val="center"/>
        </w:trPr>
        <w:tc>
          <w:tcPr>
            <w:tcW w:w="0" w:type="auto"/>
            <w:shd w:val="clear" w:color="auto" w:fill="FFFFFF"/>
            <w:vAlign w:val="bottom"/>
          </w:tcPr>
          <w:p w14:paraId="6826226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22</w:t>
            </w:r>
          </w:p>
        </w:tc>
        <w:tc>
          <w:tcPr>
            <w:tcW w:w="0" w:type="auto"/>
            <w:shd w:val="clear" w:color="auto" w:fill="FFFFFF"/>
          </w:tcPr>
          <w:p w14:paraId="1A03E8C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BG2KA900R1039</w:t>
            </w:r>
          </w:p>
        </w:tc>
        <w:tc>
          <w:tcPr>
            <w:tcW w:w="0" w:type="auto"/>
            <w:shd w:val="clear" w:color="auto" w:fill="FFFFFF"/>
          </w:tcPr>
          <w:p w14:paraId="2304BADC"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Герила</w:t>
            </w:r>
            <w:proofErr w:type="spellEnd"/>
            <w:r w:rsidRPr="009F6D1E">
              <w:rPr>
                <w:rFonts w:cs="Times New Roman"/>
                <w:sz w:val="20"/>
                <w:szCs w:val="20"/>
              </w:rPr>
              <w:t xml:space="preserve"> от преди гр. Върбица до вливане в яз. "Тича"</w:t>
            </w:r>
          </w:p>
        </w:tc>
        <w:tc>
          <w:tcPr>
            <w:tcW w:w="0" w:type="auto"/>
            <w:shd w:val="clear" w:color="auto" w:fill="FFFFFF"/>
          </w:tcPr>
          <w:p w14:paraId="07814AB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061CECB6"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552E3996" w14:textId="77777777" w:rsidTr="008723D9">
        <w:trPr>
          <w:trHeight w:hRule="exact" w:val="221"/>
          <w:jc w:val="center"/>
        </w:trPr>
        <w:tc>
          <w:tcPr>
            <w:tcW w:w="0" w:type="auto"/>
            <w:shd w:val="clear" w:color="auto" w:fill="FFFFFF"/>
          </w:tcPr>
          <w:p w14:paraId="21CCE2B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23</w:t>
            </w:r>
          </w:p>
        </w:tc>
        <w:tc>
          <w:tcPr>
            <w:tcW w:w="0" w:type="auto"/>
            <w:shd w:val="clear" w:color="auto" w:fill="FFFFFF"/>
          </w:tcPr>
          <w:p w14:paraId="4C2138A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BG2KA900R1</w:t>
            </w:r>
            <w:r w:rsidRPr="009F6D1E">
              <w:rPr>
                <w:rFonts w:cs="Times New Roman"/>
                <w:sz w:val="20"/>
                <w:szCs w:val="20"/>
              </w:rPr>
              <w:t>139</w:t>
            </w:r>
          </w:p>
        </w:tc>
        <w:tc>
          <w:tcPr>
            <w:tcW w:w="0" w:type="auto"/>
            <w:shd w:val="clear" w:color="auto" w:fill="FFFFFF"/>
          </w:tcPr>
          <w:p w14:paraId="318739C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Герила</w:t>
            </w:r>
            <w:proofErr w:type="spellEnd"/>
            <w:r w:rsidRPr="009F6D1E">
              <w:rPr>
                <w:rFonts w:cs="Times New Roman"/>
                <w:sz w:val="20"/>
                <w:szCs w:val="20"/>
              </w:rPr>
              <w:t xml:space="preserve"> от извор до преди гр. Върбица</w:t>
            </w:r>
          </w:p>
        </w:tc>
        <w:tc>
          <w:tcPr>
            <w:tcW w:w="0" w:type="auto"/>
            <w:shd w:val="clear" w:color="auto" w:fill="FFFFFF"/>
          </w:tcPr>
          <w:p w14:paraId="2BC082B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362ED1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4963901B" w14:textId="77777777" w:rsidTr="008723D9">
        <w:trPr>
          <w:trHeight w:hRule="exact" w:val="226"/>
          <w:jc w:val="center"/>
        </w:trPr>
        <w:tc>
          <w:tcPr>
            <w:tcW w:w="0" w:type="auto"/>
            <w:shd w:val="clear" w:color="auto" w:fill="FFFFFF"/>
          </w:tcPr>
          <w:p w14:paraId="69640C1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lastRenderedPageBreak/>
              <w:t>24</w:t>
            </w:r>
          </w:p>
        </w:tc>
        <w:tc>
          <w:tcPr>
            <w:tcW w:w="0" w:type="auto"/>
            <w:shd w:val="clear" w:color="auto" w:fill="FFFFFF"/>
          </w:tcPr>
          <w:p w14:paraId="3E312EC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BG2KA900R035</w:t>
            </w:r>
          </w:p>
        </w:tc>
        <w:tc>
          <w:tcPr>
            <w:tcW w:w="0" w:type="auto"/>
            <w:shd w:val="clear" w:color="auto" w:fill="FFFFFF"/>
          </w:tcPr>
          <w:p w14:paraId="7FDBEF90"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Драгановска</w:t>
            </w:r>
            <w:proofErr w:type="spellEnd"/>
            <w:r w:rsidRPr="009F6D1E">
              <w:rPr>
                <w:rFonts w:cs="Times New Roman"/>
                <w:sz w:val="20"/>
                <w:szCs w:val="20"/>
              </w:rPr>
              <w:t xml:space="preserve"> от извор до вливане в яз. "Тича"</w:t>
            </w:r>
          </w:p>
        </w:tc>
        <w:tc>
          <w:tcPr>
            <w:tcW w:w="0" w:type="auto"/>
            <w:shd w:val="clear" w:color="auto" w:fill="FFFFFF"/>
          </w:tcPr>
          <w:p w14:paraId="338269C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2D2040D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7CAE5197" w14:textId="77777777" w:rsidTr="008723D9">
        <w:trPr>
          <w:trHeight w:hRule="exact" w:val="221"/>
          <w:jc w:val="center"/>
        </w:trPr>
        <w:tc>
          <w:tcPr>
            <w:tcW w:w="0" w:type="auto"/>
            <w:shd w:val="clear" w:color="auto" w:fill="FFFFFF"/>
          </w:tcPr>
          <w:p w14:paraId="0B9C312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25</w:t>
            </w:r>
          </w:p>
        </w:tc>
        <w:tc>
          <w:tcPr>
            <w:tcW w:w="0" w:type="auto"/>
            <w:shd w:val="clear" w:color="auto" w:fill="FFFFFF"/>
          </w:tcPr>
          <w:p w14:paraId="02167AB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BG2KA900R022</w:t>
            </w:r>
          </w:p>
        </w:tc>
        <w:tc>
          <w:tcPr>
            <w:tcW w:w="0" w:type="auto"/>
            <w:shd w:val="clear" w:color="auto" w:fill="FFFFFF"/>
          </w:tcPr>
          <w:p w14:paraId="336F68C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Елешница от извор до вливане в яз. "Тича"</w:t>
            </w:r>
          </w:p>
        </w:tc>
        <w:tc>
          <w:tcPr>
            <w:tcW w:w="0" w:type="auto"/>
            <w:shd w:val="clear" w:color="auto" w:fill="FFFFFF"/>
          </w:tcPr>
          <w:p w14:paraId="54132BA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E7F821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0203D0ED" w14:textId="77777777" w:rsidTr="008723D9">
        <w:trPr>
          <w:trHeight w:hRule="exact" w:val="221"/>
          <w:jc w:val="center"/>
        </w:trPr>
        <w:tc>
          <w:tcPr>
            <w:tcW w:w="0" w:type="auto"/>
            <w:shd w:val="clear" w:color="auto" w:fill="FFFFFF"/>
            <w:vAlign w:val="bottom"/>
          </w:tcPr>
          <w:p w14:paraId="467D18B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26</w:t>
            </w:r>
          </w:p>
        </w:tc>
        <w:tc>
          <w:tcPr>
            <w:tcW w:w="0" w:type="auto"/>
            <w:shd w:val="clear" w:color="auto" w:fill="FFFFFF"/>
            <w:vAlign w:val="bottom"/>
          </w:tcPr>
          <w:p w14:paraId="482954D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BG2KA800R103</w:t>
            </w:r>
            <w:r w:rsidRPr="009F6D1E">
              <w:rPr>
                <w:rFonts w:cs="Times New Roman"/>
                <w:sz w:val="20"/>
                <w:szCs w:val="20"/>
              </w:rPr>
              <w:t>1</w:t>
            </w:r>
          </w:p>
        </w:tc>
        <w:tc>
          <w:tcPr>
            <w:tcW w:w="0" w:type="auto"/>
            <w:shd w:val="clear" w:color="auto" w:fill="FFFFFF"/>
            <w:vAlign w:val="bottom"/>
          </w:tcPr>
          <w:p w14:paraId="74A845FE"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Врана от извор до гр. Търговище</w:t>
            </w:r>
          </w:p>
        </w:tc>
        <w:tc>
          <w:tcPr>
            <w:tcW w:w="0" w:type="auto"/>
            <w:shd w:val="clear" w:color="auto" w:fill="FFFFFF"/>
            <w:vAlign w:val="bottom"/>
          </w:tcPr>
          <w:p w14:paraId="7692209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5EF8989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BE897E7" w14:textId="77777777" w:rsidTr="00BA12F4">
        <w:trPr>
          <w:trHeight w:hRule="exact" w:val="518"/>
          <w:jc w:val="center"/>
        </w:trPr>
        <w:tc>
          <w:tcPr>
            <w:tcW w:w="0" w:type="auto"/>
            <w:shd w:val="clear" w:color="auto" w:fill="FFFFFF"/>
            <w:vAlign w:val="center"/>
          </w:tcPr>
          <w:p w14:paraId="6772BA4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27</w:t>
            </w:r>
          </w:p>
        </w:tc>
        <w:tc>
          <w:tcPr>
            <w:tcW w:w="0" w:type="auto"/>
            <w:shd w:val="clear" w:color="auto" w:fill="FFFFFF"/>
            <w:vAlign w:val="center"/>
          </w:tcPr>
          <w:p w14:paraId="37625AF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BG2KA800R1131</w:t>
            </w:r>
          </w:p>
        </w:tc>
        <w:tc>
          <w:tcPr>
            <w:tcW w:w="0" w:type="auto"/>
            <w:shd w:val="clear" w:color="auto" w:fill="FFFFFF"/>
          </w:tcPr>
          <w:p w14:paraId="5348A6A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Врана от гр. Търговище до вливане на р. </w:t>
            </w:r>
            <w:proofErr w:type="spellStart"/>
            <w:r w:rsidRPr="009F6D1E">
              <w:rPr>
                <w:rFonts w:cs="Times New Roman"/>
                <w:sz w:val="20"/>
                <w:szCs w:val="20"/>
              </w:rPr>
              <w:t>Керизбунар</w:t>
            </w:r>
            <w:proofErr w:type="spellEnd"/>
            <w:r w:rsidRPr="009F6D1E">
              <w:rPr>
                <w:rFonts w:cs="Times New Roman"/>
                <w:sz w:val="20"/>
                <w:szCs w:val="20"/>
              </w:rPr>
              <w:t xml:space="preserve"> (</w:t>
            </w:r>
            <w:proofErr w:type="spellStart"/>
            <w:r w:rsidRPr="009F6D1E">
              <w:rPr>
                <w:rFonts w:cs="Times New Roman"/>
                <w:sz w:val="20"/>
                <w:szCs w:val="20"/>
              </w:rPr>
              <w:t>Андере</w:t>
            </w:r>
            <w:proofErr w:type="spellEnd"/>
            <w:r w:rsidRPr="009F6D1E">
              <w:rPr>
                <w:rFonts w:cs="Times New Roman"/>
                <w:sz w:val="20"/>
                <w:szCs w:val="20"/>
              </w:rPr>
              <w:t>), II участък: р. Сива (Лиляк) до вливане в р. Врана, III участък: р. Кьошка (</w:t>
            </w:r>
            <w:proofErr w:type="spellStart"/>
            <w:r w:rsidRPr="009F6D1E">
              <w:rPr>
                <w:rFonts w:cs="Times New Roman"/>
                <w:sz w:val="20"/>
                <w:szCs w:val="20"/>
              </w:rPr>
              <w:t>Башбунар</w:t>
            </w:r>
            <w:proofErr w:type="spellEnd"/>
            <w:r w:rsidRPr="009F6D1E">
              <w:rPr>
                <w:rFonts w:cs="Times New Roman"/>
                <w:sz w:val="20"/>
                <w:szCs w:val="20"/>
              </w:rPr>
              <w:t>) до вливане в р. Врана</w:t>
            </w:r>
          </w:p>
        </w:tc>
        <w:tc>
          <w:tcPr>
            <w:tcW w:w="0" w:type="auto"/>
            <w:shd w:val="clear" w:color="auto" w:fill="FFFFFF"/>
            <w:vAlign w:val="center"/>
          </w:tcPr>
          <w:p w14:paraId="252DFDE1"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много </w:t>
            </w:r>
            <w:r w:rsidR="00AE5785" w:rsidRPr="009F6D1E">
              <w:rPr>
                <w:rFonts w:cs="Times New Roman"/>
                <w:sz w:val="20"/>
                <w:szCs w:val="20"/>
              </w:rPr>
              <w:t>лошо</w:t>
            </w:r>
          </w:p>
        </w:tc>
        <w:tc>
          <w:tcPr>
            <w:tcW w:w="0" w:type="auto"/>
            <w:shd w:val="clear" w:color="auto" w:fill="FFFFFF"/>
            <w:vAlign w:val="center"/>
          </w:tcPr>
          <w:p w14:paraId="707176D4" w14:textId="77777777" w:rsidR="00AE5785" w:rsidRPr="009F6D1E" w:rsidRDefault="007E18C8" w:rsidP="0084747F">
            <w:pPr>
              <w:spacing w:after="60" w:line="264" w:lineRule="auto"/>
              <w:ind w:left="240"/>
              <w:jc w:val="center"/>
              <w:rPr>
                <w:rFonts w:cs="Times New Roman"/>
                <w:sz w:val="20"/>
                <w:szCs w:val="20"/>
              </w:rPr>
            </w:pPr>
            <w:r w:rsidRPr="009F6D1E">
              <w:rPr>
                <w:rFonts w:cs="Times New Roman"/>
                <w:sz w:val="20"/>
                <w:szCs w:val="20"/>
              </w:rPr>
              <w:t xml:space="preserve">недостигащо </w:t>
            </w:r>
            <w:r w:rsidR="00AE5785" w:rsidRPr="009F6D1E">
              <w:rPr>
                <w:rFonts w:cs="Times New Roman"/>
                <w:sz w:val="20"/>
                <w:szCs w:val="20"/>
              </w:rPr>
              <w:t>добро</w:t>
            </w:r>
          </w:p>
        </w:tc>
      </w:tr>
      <w:tr w:rsidR="00AE5785" w:rsidRPr="009F6D1E" w14:paraId="707599B0" w14:textId="77777777" w:rsidTr="008723D9">
        <w:trPr>
          <w:trHeight w:hRule="exact" w:val="245"/>
          <w:jc w:val="center"/>
        </w:trPr>
        <w:tc>
          <w:tcPr>
            <w:tcW w:w="0" w:type="auto"/>
            <w:shd w:val="clear" w:color="auto" w:fill="FFFFFF"/>
            <w:vAlign w:val="bottom"/>
          </w:tcPr>
          <w:p w14:paraId="3518608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28</w:t>
            </w:r>
          </w:p>
        </w:tc>
        <w:tc>
          <w:tcPr>
            <w:tcW w:w="0" w:type="auto"/>
            <w:shd w:val="clear" w:color="auto" w:fill="FFFFFF"/>
            <w:vAlign w:val="bottom"/>
          </w:tcPr>
          <w:p w14:paraId="033C965B"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BG2KA800R030</w:t>
            </w:r>
          </w:p>
        </w:tc>
        <w:tc>
          <w:tcPr>
            <w:tcW w:w="0" w:type="auto"/>
            <w:shd w:val="clear" w:color="auto" w:fill="FFFFFF"/>
            <w:vAlign w:val="bottom"/>
          </w:tcPr>
          <w:p w14:paraId="4660DD1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Керизбунар</w:t>
            </w:r>
            <w:proofErr w:type="spellEnd"/>
            <w:r w:rsidRPr="009F6D1E">
              <w:rPr>
                <w:rFonts w:cs="Times New Roman"/>
                <w:sz w:val="20"/>
                <w:szCs w:val="20"/>
              </w:rPr>
              <w:t xml:space="preserve"> (</w:t>
            </w:r>
            <w:proofErr w:type="spellStart"/>
            <w:r w:rsidRPr="009F6D1E">
              <w:rPr>
                <w:rFonts w:cs="Times New Roman"/>
                <w:sz w:val="20"/>
                <w:szCs w:val="20"/>
              </w:rPr>
              <w:t>Андере</w:t>
            </w:r>
            <w:proofErr w:type="spellEnd"/>
            <w:r w:rsidRPr="009F6D1E">
              <w:rPr>
                <w:rFonts w:cs="Times New Roman"/>
                <w:sz w:val="20"/>
                <w:szCs w:val="20"/>
              </w:rPr>
              <w:t>) от извор до язовир "Съединение"</w:t>
            </w:r>
          </w:p>
        </w:tc>
        <w:tc>
          <w:tcPr>
            <w:tcW w:w="0" w:type="auto"/>
            <w:shd w:val="clear" w:color="auto" w:fill="FFFFFF"/>
            <w:vAlign w:val="bottom"/>
          </w:tcPr>
          <w:p w14:paraId="0D0E0EB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vAlign w:val="bottom"/>
          </w:tcPr>
          <w:p w14:paraId="6F56CFF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DF1DB4E" w14:textId="77777777" w:rsidTr="008723D9">
        <w:trPr>
          <w:trHeight w:hRule="exact" w:val="221"/>
          <w:jc w:val="center"/>
        </w:trPr>
        <w:tc>
          <w:tcPr>
            <w:tcW w:w="0" w:type="auto"/>
            <w:shd w:val="clear" w:color="auto" w:fill="FFFFFF"/>
          </w:tcPr>
          <w:p w14:paraId="6A95D61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29</w:t>
            </w:r>
          </w:p>
        </w:tc>
        <w:tc>
          <w:tcPr>
            <w:tcW w:w="0" w:type="auto"/>
            <w:shd w:val="clear" w:color="auto" w:fill="FFFFFF"/>
          </w:tcPr>
          <w:p w14:paraId="11442D5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BG2KA800R025</w:t>
            </w:r>
          </w:p>
        </w:tc>
        <w:tc>
          <w:tcPr>
            <w:tcW w:w="0" w:type="auto"/>
            <w:shd w:val="clear" w:color="auto" w:fill="FFFFFF"/>
          </w:tcPr>
          <w:p w14:paraId="7F8D3B4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Чираджи</w:t>
            </w:r>
            <w:proofErr w:type="spellEnd"/>
            <w:r w:rsidRPr="009F6D1E">
              <w:rPr>
                <w:rFonts w:cs="Times New Roman"/>
                <w:sz w:val="20"/>
                <w:szCs w:val="20"/>
              </w:rPr>
              <w:t xml:space="preserve"> (</w:t>
            </w:r>
            <w:proofErr w:type="spellStart"/>
            <w:r w:rsidRPr="009F6D1E">
              <w:rPr>
                <w:rFonts w:cs="Times New Roman"/>
                <w:sz w:val="20"/>
                <w:szCs w:val="20"/>
              </w:rPr>
              <w:t>Пакоша</w:t>
            </w:r>
            <w:proofErr w:type="spellEnd"/>
            <w:r w:rsidRPr="009F6D1E">
              <w:rPr>
                <w:rFonts w:cs="Times New Roman"/>
                <w:sz w:val="20"/>
                <w:szCs w:val="20"/>
              </w:rPr>
              <w:t xml:space="preserve">) от извор до яз. </w:t>
            </w:r>
            <w:proofErr w:type="spellStart"/>
            <w:r w:rsidRPr="009F6D1E">
              <w:rPr>
                <w:rFonts w:cs="Times New Roman"/>
                <w:sz w:val="20"/>
                <w:szCs w:val="20"/>
              </w:rPr>
              <w:t>Фисек</w:t>
            </w:r>
            <w:proofErr w:type="spellEnd"/>
          </w:p>
        </w:tc>
        <w:tc>
          <w:tcPr>
            <w:tcW w:w="0" w:type="auto"/>
            <w:shd w:val="clear" w:color="auto" w:fill="FFFFFF"/>
          </w:tcPr>
          <w:p w14:paraId="6827DB3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C12F29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380671E0" w14:textId="77777777" w:rsidTr="008723D9">
        <w:trPr>
          <w:trHeight w:hRule="exact" w:val="221"/>
          <w:jc w:val="center"/>
        </w:trPr>
        <w:tc>
          <w:tcPr>
            <w:tcW w:w="0" w:type="auto"/>
            <w:shd w:val="clear" w:color="auto" w:fill="FFFFFF"/>
          </w:tcPr>
          <w:p w14:paraId="2277259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30</w:t>
            </w:r>
          </w:p>
        </w:tc>
        <w:tc>
          <w:tcPr>
            <w:tcW w:w="0" w:type="auto"/>
            <w:shd w:val="clear" w:color="auto" w:fill="FFFFFF"/>
          </w:tcPr>
          <w:p w14:paraId="4FEACF8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BG2KA800R026</w:t>
            </w:r>
          </w:p>
        </w:tc>
        <w:tc>
          <w:tcPr>
            <w:tcW w:w="0" w:type="auto"/>
            <w:shd w:val="clear" w:color="auto" w:fill="FFFFFF"/>
          </w:tcPr>
          <w:p w14:paraId="7E29340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Чираджи</w:t>
            </w:r>
            <w:proofErr w:type="spellEnd"/>
            <w:r w:rsidRPr="009F6D1E">
              <w:rPr>
                <w:rFonts w:cs="Times New Roman"/>
                <w:sz w:val="20"/>
                <w:szCs w:val="20"/>
              </w:rPr>
              <w:t xml:space="preserve"> (</w:t>
            </w:r>
            <w:proofErr w:type="spellStart"/>
            <w:r w:rsidRPr="009F6D1E">
              <w:rPr>
                <w:rFonts w:cs="Times New Roman"/>
                <w:sz w:val="20"/>
                <w:szCs w:val="20"/>
              </w:rPr>
              <w:t>Пакоша</w:t>
            </w:r>
            <w:proofErr w:type="spellEnd"/>
            <w:r w:rsidRPr="009F6D1E">
              <w:rPr>
                <w:rFonts w:cs="Times New Roman"/>
                <w:sz w:val="20"/>
                <w:szCs w:val="20"/>
              </w:rPr>
              <w:t>) от яз. "</w:t>
            </w:r>
            <w:proofErr w:type="spellStart"/>
            <w:r w:rsidRPr="009F6D1E">
              <w:rPr>
                <w:rFonts w:cs="Times New Roman"/>
                <w:sz w:val="20"/>
                <w:szCs w:val="20"/>
              </w:rPr>
              <w:t>Фисек</w:t>
            </w:r>
            <w:proofErr w:type="spellEnd"/>
            <w:r w:rsidRPr="009F6D1E">
              <w:rPr>
                <w:rFonts w:cs="Times New Roman"/>
                <w:sz w:val="20"/>
                <w:szCs w:val="20"/>
              </w:rPr>
              <w:t>" до вливане в р. Врана</w:t>
            </w:r>
          </w:p>
        </w:tc>
        <w:tc>
          <w:tcPr>
            <w:tcW w:w="0" w:type="auto"/>
            <w:shd w:val="clear" w:color="auto" w:fill="FFFFFF"/>
          </w:tcPr>
          <w:p w14:paraId="0DBEE32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F1C9ED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1C259911" w14:textId="77777777" w:rsidTr="00BA12F4">
        <w:trPr>
          <w:trHeight w:hRule="exact" w:val="842"/>
          <w:jc w:val="center"/>
        </w:trPr>
        <w:tc>
          <w:tcPr>
            <w:tcW w:w="0" w:type="auto"/>
            <w:shd w:val="clear" w:color="auto" w:fill="FFFFFF"/>
            <w:vAlign w:val="center"/>
          </w:tcPr>
          <w:p w14:paraId="6A4B7B3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31</w:t>
            </w:r>
          </w:p>
        </w:tc>
        <w:tc>
          <w:tcPr>
            <w:tcW w:w="0" w:type="auto"/>
            <w:shd w:val="clear" w:color="auto" w:fill="FFFFFF"/>
            <w:vAlign w:val="center"/>
          </w:tcPr>
          <w:p w14:paraId="6CC2A27A"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BG2KA800R033</w:t>
            </w:r>
          </w:p>
        </w:tc>
        <w:tc>
          <w:tcPr>
            <w:tcW w:w="0" w:type="auto"/>
            <w:shd w:val="clear" w:color="auto" w:fill="FFFFFF"/>
            <w:vAlign w:val="bottom"/>
          </w:tcPr>
          <w:p w14:paraId="01E016B0"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w:t>
            </w:r>
            <w:proofErr w:type="spellStart"/>
            <w:r w:rsidRPr="009F6D1E">
              <w:rPr>
                <w:rFonts w:cs="Times New Roman"/>
                <w:sz w:val="20"/>
                <w:szCs w:val="20"/>
              </w:rPr>
              <w:t>Калайджидере</w:t>
            </w:r>
            <w:proofErr w:type="spellEnd"/>
            <w:r w:rsidRPr="009F6D1E">
              <w:rPr>
                <w:rFonts w:cs="Times New Roman"/>
                <w:sz w:val="20"/>
                <w:szCs w:val="20"/>
              </w:rPr>
              <w:t xml:space="preserve"> - от извор до след пътя Търговище-Преслав, до вливане в р. </w:t>
            </w:r>
            <w:proofErr w:type="spellStart"/>
            <w:r w:rsidRPr="009F6D1E">
              <w:rPr>
                <w:rFonts w:cs="Times New Roman"/>
                <w:sz w:val="20"/>
                <w:szCs w:val="20"/>
              </w:rPr>
              <w:t>Кралевска</w:t>
            </w:r>
            <w:proofErr w:type="spellEnd"/>
            <w:r w:rsidRPr="009F6D1E">
              <w:rPr>
                <w:rFonts w:cs="Times New Roman"/>
                <w:sz w:val="20"/>
                <w:szCs w:val="20"/>
              </w:rPr>
              <w:t xml:space="preserve">, II участък: р. </w:t>
            </w:r>
            <w:proofErr w:type="spellStart"/>
            <w:r w:rsidRPr="009F6D1E">
              <w:rPr>
                <w:rFonts w:cs="Times New Roman"/>
                <w:sz w:val="20"/>
                <w:szCs w:val="20"/>
              </w:rPr>
              <w:t>Кралевска</w:t>
            </w:r>
            <w:proofErr w:type="spellEnd"/>
            <w:r w:rsidRPr="009F6D1E">
              <w:rPr>
                <w:rFonts w:cs="Times New Roman"/>
                <w:sz w:val="20"/>
                <w:szCs w:val="20"/>
              </w:rPr>
              <w:t xml:space="preserve"> от извор до вливане на р. </w:t>
            </w:r>
            <w:proofErr w:type="spellStart"/>
            <w:r w:rsidRPr="009F6D1E">
              <w:rPr>
                <w:rFonts w:cs="Times New Roman"/>
                <w:sz w:val="20"/>
                <w:szCs w:val="20"/>
              </w:rPr>
              <w:t>Отекидере</w:t>
            </w:r>
            <w:proofErr w:type="spellEnd"/>
            <w:r w:rsidRPr="009F6D1E">
              <w:rPr>
                <w:rFonts w:cs="Times New Roman"/>
                <w:sz w:val="20"/>
                <w:szCs w:val="20"/>
              </w:rPr>
              <w:t xml:space="preserve">, III участък: р. </w:t>
            </w:r>
            <w:proofErr w:type="spellStart"/>
            <w:r w:rsidRPr="009F6D1E">
              <w:rPr>
                <w:rFonts w:cs="Times New Roman"/>
                <w:sz w:val="20"/>
                <w:szCs w:val="20"/>
              </w:rPr>
              <w:t>Отекидере</w:t>
            </w:r>
            <w:proofErr w:type="spellEnd"/>
            <w:r w:rsidRPr="009F6D1E">
              <w:rPr>
                <w:rFonts w:cs="Times New Roman"/>
                <w:sz w:val="20"/>
                <w:szCs w:val="20"/>
              </w:rPr>
              <w:t xml:space="preserve"> от извор до вливане в р. </w:t>
            </w:r>
            <w:proofErr w:type="spellStart"/>
            <w:r w:rsidRPr="009F6D1E">
              <w:rPr>
                <w:rFonts w:cs="Times New Roman"/>
                <w:sz w:val="20"/>
                <w:szCs w:val="20"/>
              </w:rPr>
              <w:t>Кралевска</w:t>
            </w:r>
            <w:proofErr w:type="spellEnd"/>
            <w:r w:rsidRPr="009F6D1E">
              <w:rPr>
                <w:rFonts w:cs="Times New Roman"/>
                <w:sz w:val="20"/>
                <w:szCs w:val="20"/>
              </w:rPr>
              <w:t xml:space="preserve">, IV участък: - р. </w:t>
            </w:r>
            <w:proofErr w:type="spellStart"/>
            <w:r w:rsidRPr="009F6D1E">
              <w:rPr>
                <w:rFonts w:cs="Times New Roman"/>
                <w:sz w:val="20"/>
                <w:szCs w:val="20"/>
              </w:rPr>
              <w:t>Кралевска</w:t>
            </w:r>
            <w:proofErr w:type="spellEnd"/>
            <w:r w:rsidRPr="009F6D1E">
              <w:rPr>
                <w:rFonts w:cs="Times New Roman"/>
                <w:sz w:val="20"/>
                <w:szCs w:val="20"/>
              </w:rPr>
              <w:t xml:space="preserve"> от вливане на р. </w:t>
            </w:r>
            <w:proofErr w:type="spellStart"/>
            <w:r w:rsidRPr="009F6D1E">
              <w:rPr>
                <w:rFonts w:cs="Times New Roman"/>
                <w:sz w:val="20"/>
                <w:szCs w:val="20"/>
              </w:rPr>
              <w:t>Отекидере</w:t>
            </w:r>
            <w:proofErr w:type="spellEnd"/>
            <w:r w:rsidRPr="009F6D1E">
              <w:rPr>
                <w:rFonts w:cs="Times New Roman"/>
                <w:sz w:val="20"/>
                <w:szCs w:val="20"/>
              </w:rPr>
              <w:t xml:space="preserve"> до в </w:t>
            </w:r>
            <w:proofErr w:type="spellStart"/>
            <w:r w:rsidRPr="009F6D1E">
              <w:rPr>
                <w:rFonts w:cs="Times New Roman"/>
                <w:sz w:val="20"/>
                <w:szCs w:val="20"/>
              </w:rPr>
              <w:t>р.Врана</w:t>
            </w:r>
            <w:proofErr w:type="spellEnd"/>
          </w:p>
        </w:tc>
        <w:tc>
          <w:tcPr>
            <w:tcW w:w="0" w:type="auto"/>
            <w:shd w:val="clear" w:color="auto" w:fill="FFFFFF"/>
            <w:vAlign w:val="center"/>
          </w:tcPr>
          <w:p w14:paraId="0CD314D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center"/>
          </w:tcPr>
          <w:p w14:paraId="18D41B3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0F383ACE" w14:textId="77777777" w:rsidTr="008723D9">
        <w:trPr>
          <w:trHeight w:hRule="exact" w:val="221"/>
          <w:jc w:val="center"/>
        </w:trPr>
        <w:tc>
          <w:tcPr>
            <w:tcW w:w="0" w:type="auto"/>
            <w:shd w:val="clear" w:color="auto" w:fill="FFFFFF"/>
          </w:tcPr>
          <w:p w14:paraId="696DE85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32</w:t>
            </w:r>
          </w:p>
        </w:tc>
        <w:tc>
          <w:tcPr>
            <w:tcW w:w="0" w:type="auto"/>
            <w:shd w:val="clear" w:color="auto" w:fill="FFFFFF"/>
          </w:tcPr>
          <w:p w14:paraId="38766A6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BG2KA578R1103</w:t>
            </w:r>
          </w:p>
        </w:tc>
        <w:tc>
          <w:tcPr>
            <w:tcW w:w="0" w:type="auto"/>
            <w:shd w:val="clear" w:color="auto" w:fill="FFFFFF"/>
          </w:tcPr>
          <w:p w14:paraId="31DC635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Поройна от извор до вливане в р. Камчия</w:t>
            </w:r>
          </w:p>
        </w:tc>
        <w:tc>
          <w:tcPr>
            <w:tcW w:w="0" w:type="auto"/>
            <w:shd w:val="clear" w:color="auto" w:fill="FFFFFF"/>
          </w:tcPr>
          <w:p w14:paraId="6EDB880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76FE275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7C3E5020" w14:textId="77777777" w:rsidTr="008723D9">
        <w:trPr>
          <w:trHeight w:hRule="exact" w:val="226"/>
          <w:jc w:val="center"/>
        </w:trPr>
        <w:tc>
          <w:tcPr>
            <w:tcW w:w="0" w:type="auto"/>
            <w:shd w:val="clear" w:color="auto" w:fill="FFFFFF"/>
          </w:tcPr>
          <w:p w14:paraId="7B34B09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33</w:t>
            </w:r>
          </w:p>
        </w:tc>
        <w:tc>
          <w:tcPr>
            <w:tcW w:w="0" w:type="auto"/>
            <w:shd w:val="clear" w:color="auto" w:fill="FFFFFF"/>
          </w:tcPr>
          <w:p w14:paraId="2F67CD8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BG2KA700R016</w:t>
            </w:r>
          </w:p>
        </w:tc>
        <w:tc>
          <w:tcPr>
            <w:tcW w:w="0" w:type="auto"/>
            <w:shd w:val="clear" w:color="auto" w:fill="FFFFFF"/>
          </w:tcPr>
          <w:p w14:paraId="3C4475E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Стара река (</w:t>
            </w:r>
            <w:proofErr w:type="spellStart"/>
            <w:r w:rsidRPr="009F6D1E">
              <w:rPr>
                <w:rFonts w:cs="Times New Roman"/>
                <w:sz w:val="20"/>
                <w:szCs w:val="20"/>
              </w:rPr>
              <w:t>Текедере</w:t>
            </w:r>
            <w:proofErr w:type="spellEnd"/>
            <w:r w:rsidRPr="009F6D1E">
              <w:rPr>
                <w:rFonts w:cs="Times New Roman"/>
                <w:sz w:val="20"/>
                <w:szCs w:val="20"/>
              </w:rPr>
              <w:t>) - от извор до вливане в р. Камчия</w:t>
            </w:r>
          </w:p>
        </w:tc>
        <w:tc>
          <w:tcPr>
            <w:tcW w:w="0" w:type="auto"/>
            <w:shd w:val="clear" w:color="auto" w:fill="FFFFFF"/>
          </w:tcPr>
          <w:p w14:paraId="296C122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много лошо</w:t>
            </w:r>
          </w:p>
        </w:tc>
        <w:tc>
          <w:tcPr>
            <w:tcW w:w="0" w:type="auto"/>
            <w:shd w:val="clear" w:color="auto" w:fill="FFFFFF"/>
          </w:tcPr>
          <w:p w14:paraId="3201704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B395B77" w14:textId="77777777" w:rsidTr="008723D9">
        <w:trPr>
          <w:trHeight w:hRule="exact" w:val="221"/>
          <w:jc w:val="center"/>
        </w:trPr>
        <w:tc>
          <w:tcPr>
            <w:tcW w:w="0" w:type="auto"/>
            <w:shd w:val="clear" w:color="auto" w:fill="FFFFFF"/>
          </w:tcPr>
          <w:p w14:paraId="7D94DC2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34</w:t>
            </w:r>
          </w:p>
        </w:tc>
        <w:tc>
          <w:tcPr>
            <w:tcW w:w="0" w:type="auto"/>
            <w:shd w:val="clear" w:color="auto" w:fill="FFFFFF"/>
          </w:tcPr>
          <w:p w14:paraId="52CDA53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BG2KA700R017</w:t>
            </w:r>
          </w:p>
        </w:tc>
        <w:tc>
          <w:tcPr>
            <w:tcW w:w="0" w:type="auto"/>
            <w:shd w:val="clear" w:color="auto" w:fill="FFFFFF"/>
          </w:tcPr>
          <w:p w14:paraId="364931D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Златарска от извор до вливане в р. Камчия</w:t>
            </w:r>
          </w:p>
        </w:tc>
        <w:tc>
          <w:tcPr>
            <w:tcW w:w="0" w:type="auto"/>
            <w:shd w:val="clear" w:color="auto" w:fill="FFFFFF"/>
          </w:tcPr>
          <w:p w14:paraId="3109B15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BE42A5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747F7FBD" w14:textId="77777777" w:rsidTr="008723D9">
        <w:trPr>
          <w:trHeight w:hRule="exact" w:val="221"/>
          <w:jc w:val="center"/>
        </w:trPr>
        <w:tc>
          <w:tcPr>
            <w:tcW w:w="0" w:type="auto"/>
            <w:shd w:val="clear" w:color="auto" w:fill="FFFFFF"/>
          </w:tcPr>
          <w:p w14:paraId="4276DAD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35</w:t>
            </w:r>
          </w:p>
        </w:tc>
        <w:tc>
          <w:tcPr>
            <w:tcW w:w="0" w:type="auto"/>
            <w:shd w:val="clear" w:color="auto" w:fill="FFFFFF"/>
          </w:tcPr>
          <w:p w14:paraId="64B6588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BG2KA600R018</w:t>
            </w:r>
          </w:p>
        </w:tc>
        <w:tc>
          <w:tcPr>
            <w:tcW w:w="0" w:type="auto"/>
            <w:shd w:val="clear" w:color="auto" w:fill="FFFFFF"/>
          </w:tcPr>
          <w:p w14:paraId="426FE90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Брестова и притоци</w:t>
            </w:r>
          </w:p>
        </w:tc>
        <w:tc>
          <w:tcPr>
            <w:tcW w:w="0" w:type="auto"/>
            <w:shd w:val="clear" w:color="auto" w:fill="FFFFFF"/>
          </w:tcPr>
          <w:p w14:paraId="5A4B4FD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641C71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265D5327" w14:textId="77777777" w:rsidTr="008723D9">
        <w:trPr>
          <w:trHeight w:hRule="exact" w:val="221"/>
          <w:jc w:val="center"/>
        </w:trPr>
        <w:tc>
          <w:tcPr>
            <w:tcW w:w="0" w:type="auto"/>
            <w:shd w:val="clear" w:color="auto" w:fill="FFFFFF"/>
          </w:tcPr>
          <w:p w14:paraId="5A54735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36</w:t>
            </w:r>
          </w:p>
        </w:tc>
        <w:tc>
          <w:tcPr>
            <w:tcW w:w="0" w:type="auto"/>
            <w:shd w:val="clear" w:color="auto" w:fill="FFFFFF"/>
          </w:tcPr>
          <w:p w14:paraId="74D8B56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BG2KA500R010</w:t>
            </w:r>
          </w:p>
        </w:tc>
        <w:tc>
          <w:tcPr>
            <w:tcW w:w="0" w:type="auto"/>
            <w:shd w:val="clear" w:color="auto" w:fill="FFFFFF"/>
          </w:tcPr>
          <w:p w14:paraId="38B50FFB"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Токат</w:t>
            </w:r>
            <w:proofErr w:type="spellEnd"/>
            <w:r w:rsidRPr="009F6D1E">
              <w:rPr>
                <w:rFonts w:cs="Times New Roman"/>
                <w:sz w:val="20"/>
                <w:szCs w:val="20"/>
              </w:rPr>
              <w:t xml:space="preserve"> дере от извор до вливане в р. Камчия</w:t>
            </w:r>
          </w:p>
        </w:tc>
        <w:tc>
          <w:tcPr>
            <w:tcW w:w="0" w:type="auto"/>
            <w:shd w:val="clear" w:color="auto" w:fill="FFFFFF"/>
          </w:tcPr>
          <w:p w14:paraId="1532F3E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EC428C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E817F82" w14:textId="77777777" w:rsidTr="008723D9">
        <w:trPr>
          <w:trHeight w:hRule="exact" w:val="221"/>
          <w:jc w:val="center"/>
        </w:trPr>
        <w:tc>
          <w:tcPr>
            <w:tcW w:w="0" w:type="auto"/>
            <w:shd w:val="clear" w:color="auto" w:fill="FFFFFF"/>
          </w:tcPr>
          <w:p w14:paraId="654BD87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37</w:t>
            </w:r>
          </w:p>
        </w:tc>
        <w:tc>
          <w:tcPr>
            <w:tcW w:w="0" w:type="auto"/>
            <w:shd w:val="clear" w:color="auto" w:fill="FFFFFF"/>
          </w:tcPr>
          <w:p w14:paraId="29BCD44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BG2KA130R1002</w:t>
            </w:r>
          </w:p>
        </w:tc>
        <w:tc>
          <w:tcPr>
            <w:tcW w:w="0" w:type="auto"/>
            <w:shd w:val="clear" w:color="auto" w:fill="FFFFFF"/>
          </w:tcPr>
          <w:p w14:paraId="4C29843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Камчия от вливане на р. Луда Камчия до с. Дъбравино (шосеен мост)</w:t>
            </w:r>
          </w:p>
        </w:tc>
        <w:tc>
          <w:tcPr>
            <w:tcW w:w="0" w:type="auto"/>
            <w:shd w:val="clear" w:color="auto" w:fill="FFFFFF"/>
          </w:tcPr>
          <w:p w14:paraId="6FC1D73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A6A63B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74B78053" w14:textId="77777777" w:rsidTr="008723D9">
        <w:trPr>
          <w:trHeight w:hRule="exact" w:val="221"/>
          <w:jc w:val="center"/>
        </w:trPr>
        <w:tc>
          <w:tcPr>
            <w:tcW w:w="0" w:type="auto"/>
            <w:shd w:val="clear" w:color="auto" w:fill="FFFFFF"/>
          </w:tcPr>
          <w:p w14:paraId="2905987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38</w:t>
            </w:r>
          </w:p>
        </w:tc>
        <w:tc>
          <w:tcPr>
            <w:tcW w:w="0" w:type="auto"/>
            <w:shd w:val="clear" w:color="auto" w:fill="FFFFFF"/>
          </w:tcPr>
          <w:p w14:paraId="56B5BDFA"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BG2KA400R1043</w:t>
            </w:r>
          </w:p>
        </w:tc>
        <w:tc>
          <w:tcPr>
            <w:tcW w:w="0" w:type="auto"/>
            <w:shd w:val="clear" w:color="auto" w:fill="FFFFFF"/>
          </w:tcPr>
          <w:p w14:paraId="15460FFE"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Луда Камчия - от извор до след с. Ичера</w:t>
            </w:r>
          </w:p>
        </w:tc>
        <w:tc>
          <w:tcPr>
            <w:tcW w:w="0" w:type="auto"/>
            <w:shd w:val="clear" w:color="auto" w:fill="FFFFFF"/>
          </w:tcPr>
          <w:p w14:paraId="3BE0338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3259AFC"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7C05713C" w14:textId="77777777" w:rsidTr="008723D9">
        <w:trPr>
          <w:trHeight w:hRule="exact" w:val="221"/>
          <w:jc w:val="center"/>
        </w:trPr>
        <w:tc>
          <w:tcPr>
            <w:tcW w:w="0" w:type="auto"/>
            <w:shd w:val="clear" w:color="auto" w:fill="FFFFFF"/>
          </w:tcPr>
          <w:p w14:paraId="3EC2D4A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39</w:t>
            </w:r>
          </w:p>
        </w:tc>
        <w:tc>
          <w:tcPr>
            <w:tcW w:w="0" w:type="auto"/>
            <w:shd w:val="clear" w:color="auto" w:fill="FFFFFF"/>
          </w:tcPr>
          <w:p w14:paraId="536414A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w:t>
            </w:r>
            <w:r w:rsidRPr="009F6D1E">
              <w:rPr>
                <w:rFonts w:cs="Times New Roman"/>
                <w:sz w:val="20"/>
                <w:szCs w:val="20"/>
              </w:rPr>
              <w:t>143</w:t>
            </w:r>
          </w:p>
        </w:tc>
        <w:tc>
          <w:tcPr>
            <w:tcW w:w="0" w:type="auto"/>
            <w:shd w:val="clear" w:color="auto" w:fill="FFFFFF"/>
          </w:tcPr>
          <w:p w14:paraId="417947A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Луда Камчия - от след с. Ичера до преди с Дъбовица </w:t>
            </w:r>
            <w:r w:rsidRPr="009F6D1E">
              <w:rPr>
                <w:rStyle w:val="Bodytext2Bold"/>
                <w:rFonts w:eastAsia="Calibri"/>
                <w:sz w:val="20"/>
                <w:szCs w:val="20"/>
              </w:rPr>
              <w:t>*</w:t>
            </w:r>
          </w:p>
        </w:tc>
        <w:tc>
          <w:tcPr>
            <w:tcW w:w="0" w:type="auto"/>
            <w:shd w:val="clear" w:color="auto" w:fill="FFFFFF"/>
          </w:tcPr>
          <w:p w14:paraId="64BE843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BE42FA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7D095D98" w14:textId="77777777" w:rsidTr="008723D9">
        <w:trPr>
          <w:trHeight w:hRule="exact" w:val="226"/>
          <w:jc w:val="center"/>
        </w:trPr>
        <w:tc>
          <w:tcPr>
            <w:tcW w:w="0" w:type="auto"/>
            <w:shd w:val="clear" w:color="auto" w:fill="FFFFFF"/>
            <w:vAlign w:val="bottom"/>
          </w:tcPr>
          <w:p w14:paraId="77D5FAF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40</w:t>
            </w:r>
          </w:p>
        </w:tc>
        <w:tc>
          <w:tcPr>
            <w:tcW w:w="0" w:type="auto"/>
            <w:shd w:val="clear" w:color="auto" w:fill="FFFFFF"/>
            <w:vAlign w:val="bottom"/>
          </w:tcPr>
          <w:p w14:paraId="6709AC6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BG2KA400R1042</w:t>
            </w:r>
          </w:p>
        </w:tc>
        <w:tc>
          <w:tcPr>
            <w:tcW w:w="0" w:type="auto"/>
            <w:shd w:val="clear" w:color="auto" w:fill="FFFFFF"/>
            <w:vAlign w:val="bottom"/>
          </w:tcPr>
          <w:p w14:paraId="79288B37"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Котленска до вливане на р. Нейковска</w:t>
            </w:r>
          </w:p>
        </w:tc>
        <w:tc>
          <w:tcPr>
            <w:tcW w:w="0" w:type="auto"/>
            <w:shd w:val="clear" w:color="auto" w:fill="FFFFFF"/>
            <w:vAlign w:val="bottom"/>
          </w:tcPr>
          <w:p w14:paraId="2371B0F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5B9EFAD3"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2D503D83" w14:textId="77777777" w:rsidTr="00BA12F4">
        <w:trPr>
          <w:trHeight w:hRule="exact" w:val="518"/>
          <w:jc w:val="center"/>
        </w:trPr>
        <w:tc>
          <w:tcPr>
            <w:tcW w:w="0" w:type="auto"/>
            <w:shd w:val="clear" w:color="auto" w:fill="FFFFFF"/>
            <w:vAlign w:val="center"/>
          </w:tcPr>
          <w:p w14:paraId="6B58947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41</w:t>
            </w:r>
          </w:p>
        </w:tc>
        <w:tc>
          <w:tcPr>
            <w:tcW w:w="0" w:type="auto"/>
            <w:shd w:val="clear" w:color="auto" w:fill="FFFFFF"/>
            <w:vAlign w:val="center"/>
          </w:tcPr>
          <w:p w14:paraId="404489F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w:t>
            </w:r>
            <w:r w:rsidRPr="009F6D1E">
              <w:rPr>
                <w:rFonts w:cs="Times New Roman"/>
                <w:sz w:val="20"/>
                <w:szCs w:val="20"/>
              </w:rPr>
              <w:t>142</w:t>
            </w:r>
          </w:p>
        </w:tc>
        <w:tc>
          <w:tcPr>
            <w:tcW w:w="0" w:type="auto"/>
            <w:shd w:val="clear" w:color="auto" w:fill="FFFFFF"/>
            <w:vAlign w:val="bottom"/>
          </w:tcPr>
          <w:p w14:paraId="206EE3B7"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I участък: р. Котленска - от вливане на р. Нейковска до вливане в р. Луда Камчия, II участък: р. Нейковска - от извор до вливане в р. Котленска</w:t>
            </w:r>
          </w:p>
        </w:tc>
        <w:tc>
          <w:tcPr>
            <w:tcW w:w="0" w:type="auto"/>
            <w:shd w:val="clear" w:color="auto" w:fill="FFFFFF"/>
            <w:vAlign w:val="center"/>
          </w:tcPr>
          <w:p w14:paraId="5922A26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center"/>
          </w:tcPr>
          <w:p w14:paraId="20BDD2E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61DCC393" w14:textId="77777777" w:rsidTr="008723D9">
        <w:trPr>
          <w:trHeight w:hRule="exact" w:val="221"/>
          <w:jc w:val="center"/>
        </w:trPr>
        <w:tc>
          <w:tcPr>
            <w:tcW w:w="0" w:type="auto"/>
            <w:shd w:val="clear" w:color="auto" w:fill="FFFFFF"/>
          </w:tcPr>
          <w:p w14:paraId="7A54856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42</w:t>
            </w:r>
          </w:p>
        </w:tc>
        <w:tc>
          <w:tcPr>
            <w:tcW w:w="0" w:type="auto"/>
            <w:shd w:val="clear" w:color="auto" w:fill="FFFFFF"/>
          </w:tcPr>
          <w:p w14:paraId="178ED72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BG2KA400R1243</w:t>
            </w:r>
          </w:p>
        </w:tc>
        <w:tc>
          <w:tcPr>
            <w:tcW w:w="0" w:type="auto"/>
            <w:shd w:val="clear" w:color="auto" w:fill="FFFFFF"/>
          </w:tcPr>
          <w:p w14:paraId="5DE19E81"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Луда Камчия - от преди с. Дъбовица до язовир Камчия</w:t>
            </w:r>
          </w:p>
        </w:tc>
        <w:tc>
          <w:tcPr>
            <w:tcW w:w="0" w:type="auto"/>
            <w:shd w:val="clear" w:color="auto" w:fill="FFFFFF"/>
          </w:tcPr>
          <w:p w14:paraId="338AADC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A3A83BC"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AADEA33" w14:textId="77777777" w:rsidTr="008723D9">
        <w:trPr>
          <w:trHeight w:hRule="exact" w:val="221"/>
          <w:jc w:val="center"/>
        </w:trPr>
        <w:tc>
          <w:tcPr>
            <w:tcW w:w="0" w:type="auto"/>
            <w:shd w:val="clear" w:color="auto" w:fill="FFFFFF"/>
          </w:tcPr>
          <w:p w14:paraId="6D47B70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43</w:t>
            </w:r>
          </w:p>
        </w:tc>
        <w:tc>
          <w:tcPr>
            <w:tcW w:w="0" w:type="auto"/>
            <w:shd w:val="clear" w:color="auto" w:fill="FFFFFF"/>
          </w:tcPr>
          <w:p w14:paraId="7345F64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BG2KA400R1041</w:t>
            </w:r>
          </w:p>
        </w:tc>
        <w:tc>
          <w:tcPr>
            <w:tcW w:w="0" w:type="auto"/>
            <w:shd w:val="clear" w:color="auto" w:fill="FFFFFF"/>
          </w:tcPr>
          <w:p w14:paraId="5E055D74"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Медвенска</w:t>
            </w:r>
            <w:proofErr w:type="spellEnd"/>
            <w:r w:rsidRPr="009F6D1E">
              <w:rPr>
                <w:rFonts w:cs="Times New Roman"/>
                <w:sz w:val="20"/>
                <w:szCs w:val="20"/>
              </w:rPr>
              <w:t xml:space="preserve"> до преди с. Медвен</w:t>
            </w:r>
          </w:p>
        </w:tc>
        <w:tc>
          <w:tcPr>
            <w:tcW w:w="0" w:type="auto"/>
            <w:shd w:val="clear" w:color="auto" w:fill="FFFFFF"/>
          </w:tcPr>
          <w:p w14:paraId="0EDF016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C44E911"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35B77DC" w14:textId="77777777" w:rsidTr="008723D9">
        <w:trPr>
          <w:trHeight w:hRule="exact" w:val="221"/>
          <w:jc w:val="center"/>
        </w:trPr>
        <w:tc>
          <w:tcPr>
            <w:tcW w:w="0" w:type="auto"/>
            <w:shd w:val="clear" w:color="auto" w:fill="FFFFFF"/>
          </w:tcPr>
          <w:p w14:paraId="1CFE62C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44</w:t>
            </w:r>
          </w:p>
        </w:tc>
        <w:tc>
          <w:tcPr>
            <w:tcW w:w="0" w:type="auto"/>
            <w:shd w:val="clear" w:color="auto" w:fill="FFFFFF"/>
          </w:tcPr>
          <w:p w14:paraId="661FFAE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w:t>
            </w:r>
            <w:r w:rsidRPr="009F6D1E">
              <w:rPr>
                <w:rFonts w:cs="Times New Roman"/>
                <w:sz w:val="20"/>
                <w:szCs w:val="20"/>
              </w:rPr>
              <w:t>141</w:t>
            </w:r>
          </w:p>
        </w:tc>
        <w:tc>
          <w:tcPr>
            <w:tcW w:w="0" w:type="auto"/>
            <w:shd w:val="clear" w:color="auto" w:fill="FFFFFF"/>
          </w:tcPr>
          <w:p w14:paraId="73E959D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Медвенска</w:t>
            </w:r>
            <w:proofErr w:type="spellEnd"/>
            <w:r w:rsidRPr="009F6D1E">
              <w:rPr>
                <w:rFonts w:cs="Times New Roman"/>
                <w:sz w:val="20"/>
                <w:szCs w:val="20"/>
              </w:rPr>
              <w:t xml:space="preserve"> от с. Медвен до вливане в р. Луда Камчия</w:t>
            </w:r>
          </w:p>
        </w:tc>
        <w:tc>
          <w:tcPr>
            <w:tcW w:w="0" w:type="auto"/>
            <w:shd w:val="clear" w:color="auto" w:fill="FFFFFF"/>
          </w:tcPr>
          <w:p w14:paraId="5A296D5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2549EC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3227CD4" w14:textId="77777777" w:rsidTr="008723D9">
        <w:trPr>
          <w:trHeight w:hRule="exact" w:val="226"/>
          <w:jc w:val="center"/>
        </w:trPr>
        <w:tc>
          <w:tcPr>
            <w:tcW w:w="0" w:type="auto"/>
            <w:shd w:val="clear" w:color="auto" w:fill="FFFFFF"/>
          </w:tcPr>
          <w:p w14:paraId="6711DE4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45</w:t>
            </w:r>
          </w:p>
        </w:tc>
        <w:tc>
          <w:tcPr>
            <w:tcW w:w="0" w:type="auto"/>
            <w:shd w:val="clear" w:color="auto" w:fill="FFFFFF"/>
          </w:tcPr>
          <w:p w14:paraId="338A4DB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BG2KA400R1040</w:t>
            </w:r>
          </w:p>
        </w:tc>
        <w:tc>
          <w:tcPr>
            <w:tcW w:w="0" w:type="auto"/>
            <w:shd w:val="clear" w:color="auto" w:fill="FFFFFF"/>
          </w:tcPr>
          <w:p w14:paraId="5BD3310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Садовска</w:t>
            </w:r>
            <w:proofErr w:type="spellEnd"/>
            <w:r w:rsidRPr="009F6D1E">
              <w:rPr>
                <w:rFonts w:cs="Times New Roman"/>
                <w:sz w:val="20"/>
                <w:szCs w:val="20"/>
              </w:rPr>
              <w:t xml:space="preserve"> до с. Садово</w:t>
            </w:r>
          </w:p>
        </w:tc>
        <w:tc>
          <w:tcPr>
            <w:tcW w:w="0" w:type="auto"/>
            <w:shd w:val="clear" w:color="auto" w:fill="FFFFFF"/>
          </w:tcPr>
          <w:p w14:paraId="500DB0F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849D2A3"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C688F75" w14:textId="77777777" w:rsidTr="008723D9">
        <w:trPr>
          <w:trHeight w:hRule="exact" w:val="221"/>
          <w:jc w:val="center"/>
        </w:trPr>
        <w:tc>
          <w:tcPr>
            <w:tcW w:w="0" w:type="auto"/>
            <w:shd w:val="clear" w:color="auto" w:fill="FFFFFF"/>
          </w:tcPr>
          <w:p w14:paraId="5D1B7AA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46</w:t>
            </w:r>
          </w:p>
        </w:tc>
        <w:tc>
          <w:tcPr>
            <w:tcW w:w="0" w:type="auto"/>
            <w:shd w:val="clear" w:color="auto" w:fill="FFFFFF"/>
          </w:tcPr>
          <w:p w14:paraId="023E186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w:t>
            </w:r>
            <w:r w:rsidRPr="009F6D1E">
              <w:rPr>
                <w:rFonts w:cs="Times New Roman"/>
                <w:sz w:val="20"/>
                <w:szCs w:val="20"/>
              </w:rPr>
              <w:t>140</w:t>
            </w:r>
          </w:p>
        </w:tc>
        <w:tc>
          <w:tcPr>
            <w:tcW w:w="0" w:type="auto"/>
            <w:shd w:val="clear" w:color="auto" w:fill="FFFFFF"/>
          </w:tcPr>
          <w:p w14:paraId="233A8122"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Садовска</w:t>
            </w:r>
            <w:proofErr w:type="spellEnd"/>
            <w:r w:rsidRPr="009F6D1E">
              <w:rPr>
                <w:rFonts w:cs="Times New Roman"/>
                <w:sz w:val="20"/>
                <w:szCs w:val="20"/>
              </w:rPr>
              <w:t xml:space="preserve"> от с. Садово до вливане в р. Луда Камчия</w:t>
            </w:r>
          </w:p>
        </w:tc>
        <w:tc>
          <w:tcPr>
            <w:tcW w:w="0" w:type="auto"/>
            <w:shd w:val="clear" w:color="auto" w:fill="FFFFFF"/>
          </w:tcPr>
          <w:p w14:paraId="1678AFC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EFD09AA"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99FAC59" w14:textId="77777777" w:rsidTr="008723D9">
        <w:trPr>
          <w:trHeight w:hRule="exact" w:val="221"/>
          <w:jc w:val="center"/>
        </w:trPr>
        <w:tc>
          <w:tcPr>
            <w:tcW w:w="0" w:type="auto"/>
            <w:shd w:val="clear" w:color="auto" w:fill="FFFFFF"/>
          </w:tcPr>
          <w:p w14:paraId="1254470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47</w:t>
            </w:r>
          </w:p>
        </w:tc>
        <w:tc>
          <w:tcPr>
            <w:tcW w:w="0" w:type="auto"/>
            <w:shd w:val="clear" w:color="auto" w:fill="FFFFFF"/>
          </w:tcPr>
          <w:p w14:paraId="4635DB5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BG2KA400R023</w:t>
            </w:r>
          </w:p>
        </w:tc>
        <w:tc>
          <w:tcPr>
            <w:tcW w:w="0" w:type="auto"/>
            <w:shd w:val="clear" w:color="auto" w:fill="FFFFFF"/>
          </w:tcPr>
          <w:p w14:paraId="1B2C85D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Папаздере</w:t>
            </w:r>
            <w:proofErr w:type="spellEnd"/>
            <w:r w:rsidRPr="009F6D1E">
              <w:rPr>
                <w:rFonts w:cs="Times New Roman"/>
                <w:sz w:val="20"/>
                <w:szCs w:val="20"/>
              </w:rPr>
              <w:t xml:space="preserve"> до вливане в яз. "Камчия"</w:t>
            </w:r>
          </w:p>
        </w:tc>
        <w:tc>
          <w:tcPr>
            <w:tcW w:w="0" w:type="auto"/>
            <w:shd w:val="clear" w:color="auto" w:fill="FFFFFF"/>
          </w:tcPr>
          <w:p w14:paraId="1617CF9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A83B41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08BC579" w14:textId="77777777" w:rsidTr="008723D9">
        <w:trPr>
          <w:trHeight w:hRule="exact" w:val="221"/>
          <w:jc w:val="center"/>
        </w:trPr>
        <w:tc>
          <w:tcPr>
            <w:tcW w:w="0" w:type="auto"/>
            <w:shd w:val="clear" w:color="auto" w:fill="FFFFFF"/>
          </w:tcPr>
          <w:p w14:paraId="1DA3805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48</w:t>
            </w:r>
          </w:p>
        </w:tc>
        <w:tc>
          <w:tcPr>
            <w:tcW w:w="0" w:type="auto"/>
            <w:shd w:val="clear" w:color="auto" w:fill="FFFFFF"/>
          </w:tcPr>
          <w:p w14:paraId="247F515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BG2KA400R101</w:t>
            </w:r>
            <w:r w:rsidRPr="009F6D1E">
              <w:rPr>
                <w:rFonts w:cs="Times New Roman"/>
                <w:sz w:val="20"/>
                <w:szCs w:val="20"/>
              </w:rPr>
              <w:t>1</w:t>
            </w:r>
          </w:p>
        </w:tc>
        <w:tc>
          <w:tcPr>
            <w:tcW w:w="0" w:type="auto"/>
            <w:shd w:val="clear" w:color="auto" w:fill="FFFFFF"/>
          </w:tcPr>
          <w:p w14:paraId="435F3D62"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Луда Камчия - от яз. Камчия до с. Люляково</w:t>
            </w:r>
          </w:p>
        </w:tc>
        <w:tc>
          <w:tcPr>
            <w:tcW w:w="0" w:type="auto"/>
            <w:shd w:val="clear" w:color="auto" w:fill="FFFFFF"/>
          </w:tcPr>
          <w:p w14:paraId="37C2B1D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32D6BC2"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3B6E271C" w14:textId="77777777" w:rsidTr="008723D9">
        <w:trPr>
          <w:trHeight w:hRule="exact" w:val="221"/>
          <w:jc w:val="center"/>
        </w:trPr>
        <w:tc>
          <w:tcPr>
            <w:tcW w:w="0" w:type="auto"/>
            <w:shd w:val="clear" w:color="auto" w:fill="FFFFFF"/>
          </w:tcPr>
          <w:p w14:paraId="4D237E2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lastRenderedPageBreak/>
              <w:t>49</w:t>
            </w:r>
          </w:p>
        </w:tc>
        <w:tc>
          <w:tcPr>
            <w:tcW w:w="0" w:type="auto"/>
            <w:shd w:val="clear" w:color="auto" w:fill="FFFFFF"/>
          </w:tcPr>
          <w:p w14:paraId="65ACB8F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BG2KA400R015</w:t>
            </w:r>
          </w:p>
        </w:tc>
        <w:tc>
          <w:tcPr>
            <w:tcW w:w="0" w:type="auto"/>
            <w:shd w:val="clear" w:color="auto" w:fill="FFFFFF"/>
          </w:tcPr>
          <w:p w14:paraId="2E420C5E"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р.Потамишка</w:t>
            </w:r>
            <w:proofErr w:type="spellEnd"/>
            <w:r w:rsidRPr="009F6D1E">
              <w:rPr>
                <w:rFonts w:cs="Times New Roman"/>
                <w:sz w:val="20"/>
                <w:szCs w:val="20"/>
              </w:rPr>
              <w:t>(</w:t>
            </w:r>
            <w:proofErr w:type="spellStart"/>
            <w:r w:rsidRPr="009F6D1E">
              <w:rPr>
                <w:rFonts w:cs="Times New Roman"/>
                <w:sz w:val="20"/>
                <w:szCs w:val="20"/>
              </w:rPr>
              <w:t>Ведровска</w:t>
            </w:r>
            <w:proofErr w:type="spellEnd"/>
            <w:r w:rsidRPr="009F6D1E">
              <w:rPr>
                <w:rFonts w:cs="Times New Roman"/>
                <w:sz w:val="20"/>
                <w:szCs w:val="20"/>
              </w:rPr>
              <w:t xml:space="preserve">) до вливане в </w:t>
            </w:r>
            <w:proofErr w:type="spellStart"/>
            <w:r w:rsidRPr="009F6D1E">
              <w:rPr>
                <w:rFonts w:cs="Times New Roman"/>
                <w:sz w:val="20"/>
                <w:szCs w:val="20"/>
              </w:rPr>
              <w:t>р.Луда</w:t>
            </w:r>
            <w:proofErr w:type="spellEnd"/>
            <w:r w:rsidRPr="009F6D1E">
              <w:rPr>
                <w:rFonts w:cs="Times New Roman"/>
                <w:sz w:val="20"/>
                <w:szCs w:val="20"/>
              </w:rPr>
              <w:t xml:space="preserve"> Камчия</w:t>
            </w:r>
          </w:p>
        </w:tc>
        <w:tc>
          <w:tcPr>
            <w:tcW w:w="0" w:type="auto"/>
            <w:shd w:val="clear" w:color="auto" w:fill="FFFFFF"/>
          </w:tcPr>
          <w:p w14:paraId="36E1440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AFC484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9BD22E0" w14:textId="77777777" w:rsidTr="008723D9">
        <w:trPr>
          <w:trHeight w:hRule="exact" w:val="221"/>
          <w:jc w:val="center"/>
        </w:trPr>
        <w:tc>
          <w:tcPr>
            <w:tcW w:w="0" w:type="auto"/>
            <w:shd w:val="clear" w:color="auto" w:fill="FFFFFF"/>
          </w:tcPr>
          <w:p w14:paraId="0BDF2A2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50</w:t>
            </w:r>
          </w:p>
        </w:tc>
        <w:tc>
          <w:tcPr>
            <w:tcW w:w="0" w:type="auto"/>
            <w:shd w:val="clear" w:color="auto" w:fill="FFFFFF"/>
          </w:tcPr>
          <w:p w14:paraId="0B5FD60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BG2KA400R1</w:t>
            </w:r>
            <w:r w:rsidRPr="009F6D1E">
              <w:rPr>
                <w:rFonts w:cs="Times New Roman"/>
                <w:sz w:val="20"/>
                <w:szCs w:val="20"/>
              </w:rPr>
              <w:t>111</w:t>
            </w:r>
          </w:p>
        </w:tc>
        <w:tc>
          <w:tcPr>
            <w:tcW w:w="0" w:type="auto"/>
            <w:shd w:val="clear" w:color="auto" w:fill="FFFFFF"/>
          </w:tcPr>
          <w:p w14:paraId="76A1D00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Луда Камчия - от с. Люляково до яз. Цонево</w:t>
            </w:r>
          </w:p>
        </w:tc>
        <w:tc>
          <w:tcPr>
            <w:tcW w:w="0" w:type="auto"/>
            <w:shd w:val="clear" w:color="auto" w:fill="FFFFFF"/>
          </w:tcPr>
          <w:p w14:paraId="38B6C3C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681B9AE"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r w:rsidR="00AE5785" w:rsidRPr="009F6D1E">
              <w:rPr>
                <w:rFonts w:cs="Times New Roman"/>
                <w:sz w:val="20"/>
                <w:szCs w:val="20"/>
              </w:rPr>
              <w:t>данни</w:t>
            </w:r>
          </w:p>
        </w:tc>
      </w:tr>
      <w:tr w:rsidR="00AE5785" w:rsidRPr="009F6D1E" w14:paraId="619B2D36" w14:textId="77777777" w:rsidTr="008723D9">
        <w:trPr>
          <w:trHeight w:hRule="exact" w:val="226"/>
          <w:jc w:val="center"/>
        </w:trPr>
        <w:tc>
          <w:tcPr>
            <w:tcW w:w="0" w:type="auto"/>
            <w:shd w:val="clear" w:color="auto" w:fill="FFFFFF"/>
          </w:tcPr>
          <w:p w14:paraId="77EFBCF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51</w:t>
            </w:r>
          </w:p>
        </w:tc>
        <w:tc>
          <w:tcPr>
            <w:tcW w:w="0" w:type="auto"/>
            <w:shd w:val="clear" w:color="auto" w:fill="FFFFFF"/>
          </w:tcPr>
          <w:p w14:paraId="43316EE1"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BG2KA400R014</w:t>
            </w:r>
          </w:p>
        </w:tc>
        <w:tc>
          <w:tcPr>
            <w:tcW w:w="0" w:type="auto"/>
            <w:shd w:val="clear" w:color="auto" w:fill="FFFFFF"/>
          </w:tcPr>
          <w:p w14:paraId="5A77801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Бяла река до вливане в р. Луда Камчия</w:t>
            </w:r>
          </w:p>
        </w:tc>
        <w:tc>
          <w:tcPr>
            <w:tcW w:w="0" w:type="auto"/>
            <w:shd w:val="clear" w:color="auto" w:fill="FFFFFF"/>
          </w:tcPr>
          <w:p w14:paraId="3579975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4B0E70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77B8866" w14:textId="77777777" w:rsidTr="008723D9">
        <w:trPr>
          <w:trHeight w:hRule="exact" w:val="221"/>
          <w:jc w:val="center"/>
        </w:trPr>
        <w:tc>
          <w:tcPr>
            <w:tcW w:w="0" w:type="auto"/>
            <w:shd w:val="clear" w:color="auto" w:fill="FFFFFF"/>
          </w:tcPr>
          <w:p w14:paraId="192269A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52</w:t>
            </w:r>
          </w:p>
        </w:tc>
        <w:tc>
          <w:tcPr>
            <w:tcW w:w="0" w:type="auto"/>
            <w:shd w:val="clear" w:color="auto" w:fill="FFFFFF"/>
          </w:tcPr>
          <w:p w14:paraId="583B066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BG2KA400R013</w:t>
            </w:r>
          </w:p>
        </w:tc>
        <w:tc>
          <w:tcPr>
            <w:tcW w:w="0" w:type="auto"/>
            <w:shd w:val="clear" w:color="auto" w:fill="FFFFFF"/>
          </w:tcPr>
          <w:p w14:paraId="6B707640"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Голяма река до вливане в р. Луда Камчия</w:t>
            </w:r>
          </w:p>
        </w:tc>
        <w:tc>
          <w:tcPr>
            <w:tcW w:w="0" w:type="auto"/>
            <w:shd w:val="clear" w:color="auto" w:fill="FFFFFF"/>
          </w:tcPr>
          <w:p w14:paraId="54756C3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37C624B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1FB8323" w14:textId="77777777" w:rsidTr="008723D9">
        <w:trPr>
          <w:trHeight w:hRule="exact" w:val="221"/>
          <w:jc w:val="center"/>
        </w:trPr>
        <w:tc>
          <w:tcPr>
            <w:tcW w:w="0" w:type="auto"/>
            <w:shd w:val="clear" w:color="auto" w:fill="FFFFFF"/>
          </w:tcPr>
          <w:p w14:paraId="692C9DE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53</w:t>
            </w:r>
          </w:p>
        </w:tc>
        <w:tc>
          <w:tcPr>
            <w:tcW w:w="0" w:type="auto"/>
            <w:shd w:val="clear" w:color="auto" w:fill="FFFFFF"/>
          </w:tcPr>
          <w:p w14:paraId="6FB3640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BG2KA400R012</w:t>
            </w:r>
          </w:p>
        </w:tc>
        <w:tc>
          <w:tcPr>
            <w:tcW w:w="0" w:type="auto"/>
            <w:shd w:val="clear" w:color="auto" w:fill="FFFFFF"/>
          </w:tcPr>
          <w:p w14:paraId="5010BBE7"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Казандере</w:t>
            </w:r>
            <w:proofErr w:type="spellEnd"/>
            <w:r w:rsidRPr="009F6D1E">
              <w:rPr>
                <w:rFonts w:cs="Times New Roman"/>
                <w:sz w:val="20"/>
                <w:szCs w:val="20"/>
              </w:rPr>
              <w:t xml:space="preserve"> (</w:t>
            </w:r>
            <w:proofErr w:type="spellStart"/>
            <w:r w:rsidRPr="009F6D1E">
              <w:rPr>
                <w:rFonts w:cs="Times New Roman"/>
                <w:sz w:val="20"/>
                <w:szCs w:val="20"/>
              </w:rPr>
              <w:t>Каменяшка</w:t>
            </w:r>
            <w:proofErr w:type="spellEnd"/>
            <w:r w:rsidRPr="009F6D1E">
              <w:rPr>
                <w:rFonts w:cs="Times New Roman"/>
                <w:sz w:val="20"/>
                <w:szCs w:val="20"/>
              </w:rPr>
              <w:t>) от извор до вливане в р. Луда Камчия</w:t>
            </w:r>
          </w:p>
        </w:tc>
        <w:tc>
          <w:tcPr>
            <w:tcW w:w="0" w:type="auto"/>
            <w:shd w:val="clear" w:color="auto" w:fill="FFFFFF"/>
          </w:tcPr>
          <w:p w14:paraId="2D056DA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444C664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5F8A9D5" w14:textId="77777777" w:rsidTr="008723D9">
        <w:trPr>
          <w:trHeight w:hRule="exact" w:val="221"/>
          <w:jc w:val="center"/>
        </w:trPr>
        <w:tc>
          <w:tcPr>
            <w:tcW w:w="0" w:type="auto"/>
            <w:shd w:val="clear" w:color="auto" w:fill="FFFFFF"/>
          </w:tcPr>
          <w:p w14:paraId="68E2A00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54</w:t>
            </w:r>
          </w:p>
        </w:tc>
        <w:tc>
          <w:tcPr>
            <w:tcW w:w="0" w:type="auto"/>
            <w:shd w:val="clear" w:color="auto" w:fill="FFFFFF"/>
          </w:tcPr>
          <w:p w14:paraId="5922A70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BG2KA400R009</w:t>
            </w:r>
          </w:p>
        </w:tc>
        <w:tc>
          <w:tcPr>
            <w:tcW w:w="0" w:type="auto"/>
            <w:shd w:val="clear" w:color="auto" w:fill="FFFFFF"/>
          </w:tcPr>
          <w:p w14:paraId="216E9A00"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Балабандере</w:t>
            </w:r>
            <w:proofErr w:type="spellEnd"/>
            <w:r w:rsidRPr="009F6D1E">
              <w:rPr>
                <w:rFonts w:cs="Times New Roman"/>
                <w:sz w:val="20"/>
                <w:szCs w:val="20"/>
              </w:rPr>
              <w:t xml:space="preserve"> от извор до вливане в яз. Цонево</w:t>
            </w:r>
          </w:p>
        </w:tc>
        <w:tc>
          <w:tcPr>
            <w:tcW w:w="0" w:type="auto"/>
            <w:shd w:val="clear" w:color="auto" w:fill="FFFFFF"/>
          </w:tcPr>
          <w:p w14:paraId="2B16BF6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2B99E3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12CAC67" w14:textId="77777777" w:rsidTr="008723D9">
        <w:trPr>
          <w:trHeight w:hRule="exact" w:val="221"/>
          <w:jc w:val="center"/>
        </w:trPr>
        <w:tc>
          <w:tcPr>
            <w:tcW w:w="0" w:type="auto"/>
            <w:shd w:val="clear" w:color="auto" w:fill="FFFFFF"/>
          </w:tcPr>
          <w:p w14:paraId="6F982D2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55</w:t>
            </w:r>
          </w:p>
        </w:tc>
        <w:tc>
          <w:tcPr>
            <w:tcW w:w="0" w:type="auto"/>
            <w:shd w:val="clear" w:color="auto" w:fill="FFFFFF"/>
          </w:tcPr>
          <w:p w14:paraId="3C0892F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BG2KA200R007</w:t>
            </w:r>
          </w:p>
        </w:tc>
        <w:tc>
          <w:tcPr>
            <w:tcW w:w="0" w:type="auto"/>
            <w:shd w:val="clear" w:color="auto" w:fill="FFFFFF"/>
          </w:tcPr>
          <w:p w14:paraId="2FFB2CA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Елешница от извор до вливане в яз. "Елешница"</w:t>
            </w:r>
          </w:p>
        </w:tc>
        <w:tc>
          <w:tcPr>
            <w:tcW w:w="0" w:type="auto"/>
            <w:shd w:val="clear" w:color="auto" w:fill="FFFFFF"/>
          </w:tcPr>
          <w:p w14:paraId="51ECE67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85287B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D84854B" w14:textId="77777777" w:rsidTr="008723D9">
        <w:trPr>
          <w:trHeight w:hRule="exact" w:val="221"/>
          <w:jc w:val="center"/>
        </w:trPr>
        <w:tc>
          <w:tcPr>
            <w:tcW w:w="0" w:type="auto"/>
            <w:shd w:val="clear" w:color="auto" w:fill="FFFFFF"/>
          </w:tcPr>
          <w:p w14:paraId="09DEC51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56</w:t>
            </w:r>
          </w:p>
        </w:tc>
        <w:tc>
          <w:tcPr>
            <w:tcW w:w="0" w:type="auto"/>
            <w:shd w:val="clear" w:color="auto" w:fill="FFFFFF"/>
          </w:tcPr>
          <w:p w14:paraId="423C86E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BG2KA200R005</w:t>
            </w:r>
          </w:p>
        </w:tc>
        <w:tc>
          <w:tcPr>
            <w:tcW w:w="0" w:type="auto"/>
            <w:shd w:val="clear" w:color="auto" w:fill="FFFFFF"/>
          </w:tcPr>
          <w:p w14:paraId="271053E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Елешница - от яз. "Елешница" до вливане в р. Камчия</w:t>
            </w:r>
          </w:p>
        </w:tc>
        <w:tc>
          <w:tcPr>
            <w:tcW w:w="0" w:type="auto"/>
            <w:shd w:val="clear" w:color="auto" w:fill="FFFFFF"/>
          </w:tcPr>
          <w:p w14:paraId="3870057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C8F38D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325F941" w14:textId="77777777" w:rsidTr="008723D9">
        <w:trPr>
          <w:trHeight w:hRule="exact" w:val="221"/>
          <w:jc w:val="center"/>
        </w:trPr>
        <w:tc>
          <w:tcPr>
            <w:tcW w:w="0" w:type="auto"/>
            <w:shd w:val="clear" w:color="auto" w:fill="FFFFFF"/>
          </w:tcPr>
          <w:p w14:paraId="3FFA6B6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57</w:t>
            </w:r>
          </w:p>
        </w:tc>
        <w:tc>
          <w:tcPr>
            <w:tcW w:w="0" w:type="auto"/>
            <w:shd w:val="clear" w:color="auto" w:fill="FFFFFF"/>
          </w:tcPr>
          <w:p w14:paraId="04F65FFA"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BG2KA100R001</w:t>
            </w:r>
          </w:p>
        </w:tc>
        <w:tc>
          <w:tcPr>
            <w:tcW w:w="0" w:type="auto"/>
            <w:shd w:val="clear" w:color="auto" w:fill="FFFFFF"/>
          </w:tcPr>
          <w:p w14:paraId="7ACCB75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Комлудере</w:t>
            </w:r>
            <w:proofErr w:type="spellEnd"/>
            <w:r w:rsidRPr="009F6D1E">
              <w:rPr>
                <w:rFonts w:cs="Times New Roman"/>
                <w:sz w:val="20"/>
                <w:szCs w:val="20"/>
              </w:rPr>
              <w:t xml:space="preserve"> от извор до вливане в р. Камчия</w:t>
            </w:r>
          </w:p>
        </w:tc>
        <w:tc>
          <w:tcPr>
            <w:tcW w:w="0" w:type="auto"/>
            <w:shd w:val="clear" w:color="auto" w:fill="FFFFFF"/>
          </w:tcPr>
          <w:p w14:paraId="1AA23CF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D0926E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574B39D3" w14:textId="77777777" w:rsidTr="00BA12F4">
        <w:trPr>
          <w:trHeight w:hRule="exact" w:val="226"/>
          <w:jc w:val="center"/>
        </w:trPr>
        <w:tc>
          <w:tcPr>
            <w:tcW w:w="0" w:type="auto"/>
            <w:gridSpan w:val="5"/>
            <w:shd w:val="clear" w:color="auto" w:fill="F2F2F2" w:themeFill="background1" w:themeFillShade="F2"/>
          </w:tcPr>
          <w:p w14:paraId="22D8193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СЕВЕРНОБУРГАСКИ РЕКИ</w:t>
            </w:r>
          </w:p>
        </w:tc>
      </w:tr>
      <w:tr w:rsidR="00AE5785" w:rsidRPr="009F6D1E" w14:paraId="0E827442" w14:textId="77777777" w:rsidTr="008723D9">
        <w:trPr>
          <w:trHeight w:hRule="exact" w:val="230"/>
          <w:jc w:val="center"/>
        </w:trPr>
        <w:tc>
          <w:tcPr>
            <w:tcW w:w="0" w:type="auto"/>
            <w:shd w:val="clear" w:color="auto" w:fill="FFFFFF"/>
          </w:tcPr>
          <w:p w14:paraId="7BF6495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58</w:t>
            </w:r>
          </w:p>
        </w:tc>
        <w:tc>
          <w:tcPr>
            <w:tcW w:w="0" w:type="auto"/>
            <w:shd w:val="clear" w:color="auto" w:fill="FFFFFF"/>
          </w:tcPr>
          <w:p w14:paraId="32695C5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BG2SE200R1001</w:t>
            </w:r>
          </w:p>
        </w:tc>
        <w:tc>
          <w:tcPr>
            <w:tcW w:w="0" w:type="auto"/>
            <w:shd w:val="clear" w:color="auto" w:fill="FFFFFF"/>
          </w:tcPr>
          <w:p w14:paraId="0F082A49"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р.Фъндъклийска</w:t>
            </w:r>
            <w:proofErr w:type="spellEnd"/>
            <w:r w:rsidRPr="009F6D1E">
              <w:rPr>
                <w:rFonts w:cs="Times New Roman"/>
                <w:sz w:val="20"/>
                <w:szCs w:val="20"/>
              </w:rPr>
              <w:t xml:space="preserve"> - от извора до граница на преходни води</w:t>
            </w:r>
          </w:p>
        </w:tc>
        <w:tc>
          <w:tcPr>
            <w:tcW w:w="0" w:type="auto"/>
            <w:shd w:val="clear" w:color="auto" w:fill="FFFFFF"/>
          </w:tcPr>
          <w:p w14:paraId="474ADA3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DA2ED9D"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BE2A389" w14:textId="77777777" w:rsidTr="008723D9">
        <w:trPr>
          <w:trHeight w:hRule="exact" w:val="245"/>
          <w:jc w:val="center"/>
        </w:trPr>
        <w:tc>
          <w:tcPr>
            <w:tcW w:w="0" w:type="auto"/>
            <w:shd w:val="clear" w:color="auto" w:fill="FFFFFF"/>
            <w:vAlign w:val="bottom"/>
          </w:tcPr>
          <w:p w14:paraId="3DB2C1B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59</w:t>
            </w:r>
          </w:p>
        </w:tc>
        <w:tc>
          <w:tcPr>
            <w:tcW w:w="0" w:type="auto"/>
            <w:shd w:val="clear" w:color="auto" w:fill="FFFFFF"/>
            <w:vAlign w:val="bottom"/>
          </w:tcPr>
          <w:p w14:paraId="0DBF97F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BG2SE300R1003</w:t>
            </w:r>
          </w:p>
        </w:tc>
        <w:tc>
          <w:tcPr>
            <w:tcW w:w="0" w:type="auto"/>
            <w:shd w:val="clear" w:color="auto" w:fill="FFFFFF"/>
            <w:vAlign w:val="bottom"/>
          </w:tcPr>
          <w:p w14:paraId="0A351DC5"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р.Панаир</w:t>
            </w:r>
            <w:proofErr w:type="spellEnd"/>
            <w:r w:rsidRPr="009F6D1E">
              <w:rPr>
                <w:rFonts w:cs="Times New Roman"/>
                <w:sz w:val="20"/>
                <w:szCs w:val="20"/>
              </w:rPr>
              <w:t xml:space="preserve"> дере - от извора до граница на преходни води</w:t>
            </w:r>
          </w:p>
        </w:tc>
        <w:tc>
          <w:tcPr>
            <w:tcW w:w="0" w:type="auto"/>
            <w:shd w:val="clear" w:color="auto" w:fill="FFFFFF"/>
            <w:vAlign w:val="bottom"/>
          </w:tcPr>
          <w:p w14:paraId="32C3D5E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bottom"/>
          </w:tcPr>
          <w:p w14:paraId="1DF1AF66"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B95C1FC" w14:textId="77777777" w:rsidTr="008723D9">
        <w:trPr>
          <w:trHeight w:hRule="exact" w:val="221"/>
          <w:jc w:val="center"/>
        </w:trPr>
        <w:tc>
          <w:tcPr>
            <w:tcW w:w="0" w:type="auto"/>
            <w:shd w:val="clear" w:color="auto" w:fill="FFFFFF"/>
            <w:vAlign w:val="bottom"/>
          </w:tcPr>
          <w:p w14:paraId="20A8A38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60</w:t>
            </w:r>
          </w:p>
        </w:tc>
        <w:tc>
          <w:tcPr>
            <w:tcW w:w="0" w:type="auto"/>
            <w:shd w:val="clear" w:color="auto" w:fill="FFFFFF"/>
          </w:tcPr>
          <w:p w14:paraId="0097177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BG2SE400R004</w:t>
            </w:r>
          </w:p>
        </w:tc>
        <w:tc>
          <w:tcPr>
            <w:tcW w:w="0" w:type="auto"/>
            <w:shd w:val="clear" w:color="auto" w:fill="FFFFFF"/>
          </w:tcPr>
          <w:p w14:paraId="3F6BEF65"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 </w:t>
            </w:r>
            <w:proofErr w:type="spellStart"/>
            <w:r w:rsidRPr="009F6D1E">
              <w:rPr>
                <w:rFonts w:cs="Times New Roman"/>
                <w:sz w:val="20"/>
                <w:szCs w:val="20"/>
              </w:rPr>
              <w:t>р.Двойница</w:t>
            </w:r>
            <w:proofErr w:type="spellEnd"/>
            <w:r w:rsidRPr="009F6D1E">
              <w:rPr>
                <w:rFonts w:cs="Times New Roman"/>
                <w:sz w:val="20"/>
                <w:szCs w:val="20"/>
              </w:rPr>
              <w:t xml:space="preserve"> - от извора до след </w:t>
            </w:r>
            <w:proofErr w:type="spellStart"/>
            <w:r w:rsidRPr="009F6D1E">
              <w:rPr>
                <w:rFonts w:cs="Times New Roman"/>
                <w:sz w:val="20"/>
                <w:szCs w:val="20"/>
              </w:rPr>
              <w:t>с.Дюлино</w:t>
            </w:r>
            <w:proofErr w:type="spellEnd"/>
            <w:r w:rsidRPr="009F6D1E">
              <w:rPr>
                <w:rFonts w:cs="Times New Roman"/>
                <w:sz w:val="20"/>
                <w:szCs w:val="20"/>
              </w:rPr>
              <w:t xml:space="preserve">, II участък- </w:t>
            </w:r>
            <w:proofErr w:type="spellStart"/>
            <w:r w:rsidRPr="009F6D1E">
              <w:rPr>
                <w:rFonts w:cs="Times New Roman"/>
                <w:sz w:val="20"/>
                <w:szCs w:val="20"/>
              </w:rPr>
              <w:t>р.Еркешка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р.Двойница</w:t>
            </w:r>
            <w:proofErr w:type="spellEnd"/>
          </w:p>
        </w:tc>
        <w:tc>
          <w:tcPr>
            <w:tcW w:w="0" w:type="auto"/>
            <w:shd w:val="clear" w:color="auto" w:fill="FFFFFF"/>
          </w:tcPr>
          <w:p w14:paraId="2ACBD44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89A896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8D5EF74" w14:textId="77777777" w:rsidTr="008723D9">
        <w:trPr>
          <w:trHeight w:hRule="exact" w:val="221"/>
          <w:jc w:val="center"/>
        </w:trPr>
        <w:tc>
          <w:tcPr>
            <w:tcW w:w="0" w:type="auto"/>
            <w:shd w:val="clear" w:color="auto" w:fill="FFFFFF"/>
            <w:vAlign w:val="bottom"/>
          </w:tcPr>
          <w:p w14:paraId="0B3F8F4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61</w:t>
            </w:r>
          </w:p>
        </w:tc>
        <w:tc>
          <w:tcPr>
            <w:tcW w:w="0" w:type="auto"/>
            <w:shd w:val="clear" w:color="auto" w:fill="FFFFFF"/>
          </w:tcPr>
          <w:p w14:paraId="2069640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BG2SE400R1006</w:t>
            </w:r>
          </w:p>
        </w:tc>
        <w:tc>
          <w:tcPr>
            <w:tcW w:w="0" w:type="auto"/>
            <w:shd w:val="clear" w:color="auto" w:fill="FFFFFF"/>
          </w:tcPr>
          <w:p w14:paraId="062E247A"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р.Двойница</w:t>
            </w:r>
            <w:proofErr w:type="spellEnd"/>
            <w:r w:rsidRPr="009F6D1E">
              <w:rPr>
                <w:rFonts w:cs="Times New Roman"/>
                <w:sz w:val="20"/>
                <w:szCs w:val="20"/>
              </w:rPr>
              <w:t xml:space="preserve"> - 2 км след </w:t>
            </w:r>
            <w:proofErr w:type="spellStart"/>
            <w:r w:rsidRPr="009F6D1E">
              <w:rPr>
                <w:rFonts w:cs="Times New Roman"/>
                <w:sz w:val="20"/>
                <w:szCs w:val="20"/>
              </w:rPr>
              <w:t>с.Дюлино</w:t>
            </w:r>
            <w:proofErr w:type="spellEnd"/>
            <w:r w:rsidRPr="009F6D1E">
              <w:rPr>
                <w:rFonts w:cs="Times New Roman"/>
                <w:sz w:val="20"/>
                <w:szCs w:val="20"/>
              </w:rPr>
              <w:t xml:space="preserve"> до граница на преходни води</w:t>
            </w:r>
          </w:p>
        </w:tc>
        <w:tc>
          <w:tcPr>
            <w:tcW w:w="0" w:type="auto"/>
            <w:shd w:val="clear" w:color="auto" w:fill="FFFFFF"/>
          </w:tcPr>
          <w:p w14:paraId="333A12F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5F5915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40C873B" w14:textId="77777777" w:rsidTr="008723D9">
        <w:trPr>
          <w:trHeight w:hRule="exact" w:val="221"/>
          <w:jc w:val="center"/>
        </w:trPr>
        <w:tc>
          <w:tcPr>
            <w:tcW w:w="0" w:type="auto"/>
            <w:shd w:val="clear" w:color="auto" w:fill="FFFFFF"/>
            <w:vAlign w:val="bottom"/>
          </w:tcPr>
          <w:p w14:paraId="5250131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62</w:t>
            </w:r>
          </w:p>
        </w:tc>
        <w:tc>
          <w:tcPr>
            <w:tcW w:w="0" w:type="auto"/>
            <w:shd w:val="clear" w:color="auto" w:fill="FFFFFF"/>
          </w:tcPr>
          <w:p w14:paraId="64F99DB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BG2SE400R1007</w:t>
            </w:r>
          </w:p>
        </w:tc>
        <w:tc>
          <w:tcPr>
            <w:tcW w:w="0" w:type="auto"/>
            <w:shd w:val="clear" w:color="auto" w:fill="FFFFFF"/>
          </w:tcPr>
          <w:p w14:paraId="57255EEF"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р.Великовска</w:t>
            </w:r>
            <w:proofErr w:type="spellEnd"/>
            <w:r w:rsidRPr="009F6D1E">
              <w:rPr>
                <w:rFonts w:cs="Times New Roman"/>
                <w:sz w:val="20"/>
                <w:szCs w:val="20"/>
              </w:rPr>
              <w:t xml:space="preserve"> до вливане на </w:t>
            </w:r>
            <w:proofErr w:type="spellStart"/>
            <w:r w:rsidRPr="009F6D1E">
              <w:rPr>
                <w:rFonts w:cs="Times New Roman"/>
                <w:sz w:val="20"/>
                <w:szCs w:val="20"/>
              </w:rPr>
              <w:t>р.Карагьолгенска</w:t>
            </w:r>
            <w:proofErr w:type="spellEnd"/>
          </w:p>
        </w:tc>
        <w:tc>
          <w:tcPr>
            <w:tcW w:w="0" w:type="auto"/>
            <w:shd w:val="clear" w:color="auto" w:fill="FFFFFF"/>
          </w:tcPr>
          <w:p w14:paraId="4FB7D9A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отлично</w:t>
            </w:r>
          </w:p>
        </w:tc>
        <w:tc>
          <w:tcPr>
            <w:tcW w:w="0" w:type="auto"/>
            <w:shd w:val="clear" w:color="auto" w:fill="FFFFFF"/>
          </w:tcPr>
          <w:p w14:paraId="5B25CBE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8A67748" w14:textId="77777777" w:rsidTr="008723D9">
        <w:trPr>
          <w:trHeight w:hRule="exact" w:val="221"/>
          <w:jc w:val="center"/>
        </w:trPr>
        <w:tc>
          <w:tcPr>
            <w:tcW w:w="0" w:type="auto"/>
            <w:shd w:val="clear" w:color="auto" w:fill="FFFFFF"/>
          </w:tcPr>
          <w:p w14:paraId="7FACB74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63</w:t>
            </w:r>
          </w:p>
        </w:tc>
        <w:tc>
          <w:tcPr>
            <w:tcW w:w="0" w:type="auto"/>
            <w:shd w:val="clear" w:color="auto" w:fill="FFFFFF"/>
          </w:tcPr>
          <w:p w14:paraId="1FFF03C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BG2SE400R1107</w:t>
            </w:r>
          </w:p>
        </w:tc>
        <w:tc>
          <w:tcPr>
            <w:tcW w:w="0" w:type="auto"/>
            <w:shd w:val="clear" w:color="auto" w:fill="FFFFFF"/>
          </w:tcPr>
          <w:p w14:paraId="1540573D"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р.Великовска</w:t>
            </w:r>
            <w:proofErr w:type="spellEnd"/>
            <w:r w:rsidRPr="009F6D1E">
              <w:rPr>
                <w:rFonts w:cs="Times New Roman"/>
                <w:sz w:val="20"/>
                <w:szCs w:val="20"/>
              </w:rPr>
              <w:t xml:space="preserve"> от извора до вливане в </w:t>
            </w:r>
            <w:proofErr w:type="spellStart"/>
            <w:r w:rsidRPr="009F6D1E">
              <w:rPr>
                <w:rFonts w:cs="Times New Roman"/>
                <w:sz w:val="20"/>
                <w:szCs w:val="20"/>
              </w:rPr>
              <w:t>р.Двойница</w:t>
            </w:r>
            <w:proofErr w:type="spellEnd"/>
          </w:p>
        </w:tc>
        <w:tc>
          <w:tcPr>
            <w:tcW w:w="0" w:type="auto"/>
            <w:shd w:val="clear" w:color="auto" w:fill="FFFFFF"/>
          </w:tcPr>
          <w:p w14:paraId="605F7B4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A083A0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C31AB27" w14:textId="77777777" w:rsidTr="008723D9">
        <w:trPr>
          <w:trHeight w:hRule="exact" w:val="221"/>
          <w:jc w:val="center"/>
        </w:trPr>
        <w:tc>
          <w:tcPr>
            <w:tcW w:w="0" w:type="auto"/>
            <w:shd w:val="clear" w:color="auto" w:fill="FFFFFF"/>
          </w:tcPr>
          <w:p w14:paraId="653AD81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64</w:t>
            </w:r>
          </w:p>
        </w:tc>
        <w:tc>
          <w:tcPr>
            <w:tcW w:w="0" w:type="auto"/>
            <w:shd w:val="clear" w:color="auto" w:fill="FFFFFF"/>
          </w:tcPr>
          <w:p w14:paraId="1D813A3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BG2SE400R005</w:t>
            </w:r>
          </w:p>
        </w:tc>
        <w:tc>
          <w:tcPr>
            <w:tcW w:w="0" w:type="auto"/>
            <w:shd w:val="clear" w:color="auto" w:fill="FFFFFF"/>
          </w:tcPr>
          <w:p w14:paraId="01A2D827"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р.Комлудере</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р.Двойница</w:t>
            </w:r>
            <w:proofErr w:type="spellEnd"/>
          </w:p>
        </w:tc>
        <w:tc>
          <w:tcPr>
            <w:tcW w:w="0" w:type="auto"/>
            <w:shd w:val="clear" w:color="auto" w:fill="FFFFFF"/>
          </w:tcPr>
          <w:p w14:paraId="5F4AFBE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AAF8FE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8AEA9A7" w14:textId="77777777" w:rsidTr="008723D9">
        <w:trPr>
          <w:trHeight w:hRule="exact" w:val="226"/>
          <w:jc w:val="center"/>
        </w:trPr>
        <w:tc>
          <w:tcPr>
            <w:tcW w:w="0" w:type="auto"/>
            <w:shd w:val="clear" w:color="auto" w:fill="FFFFFF"/>
          </w:tcPr>
          <w:p w14:paraId="387FBD2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65</w:t>
            </w:r>
          </w:p>
        </w:tc>
        <w:tc>
          <w:tcPr>
            <w:tcW w:w="0" w:type="auto"/>
            <w:shd w:val="clear" w:color="auto" w:fill="FFFFFF"/>
          </w:tcPr>
          <w:p w14:paraId="17884DA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BG2SE500R1013</w:t>
            </w:r>
          </w:p>
        </w:tc>
        <w:tc>
          <w:tcPr>
            <w:tcW w:w="0" w:type="auto"/>
            <w:shd w:val="clear" w:color="auto" w:fill="FFFFFF"/>
          </w:tcPr>
          <w:p w14:paraId="6318846B"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р.Вая</w:t>
            </w:r>
            <w:proofErr w:type="spellEnd"/>
            <w:r w:rsidRPr="009F6D1E">
              <w:rPr>
                <w:rFonts w:cs="Times New Roman"/>
                <w:sz w:val="20"/>
                <w:szCs w:val="20"/>
              </w:rPr>
              <w:t xml:space="preserve"> - от извора до граница на преходни води</w:t>
            </w:r>
          </w:p>
        </w:tc>
        <w:tc>
          <w:tcPr>
            <w:tcW w:w="0" w:type="auto"/>
            <w:shd w:val="clear" w:color="auto" w:fill="FFFFFF"/>
          </w:tcPr>
          <w:p w14:paraId="3E9CDAE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286CE8D"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7728170" w14:textId="77777777" w:rsidTr="008723D9">
        <w:trPr>
          <w:trHeight w:hRule="exact" w:val="221"/>
          <w:jc w:val="center"/>
        </w:trPr>
        <w:tc>
          <w:tcPr>
            <w:tcW w:w="0" w:type="auto"/>
            <w:shd w:val="clear" w:color="auto" w:fill="FFFFFF"/>
            <w:vAlign w:val="bottom"/>
          </w:tcPr>
          <w:p w14:paraId="4FAF288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66</w:t>
            </w:r>
          </w:p>
        </w:tc>
        <w:tc>
          <w:tcPr>
            <w:tcW w:w="0" w:type="auto"/>
            <w:shd w:val="clear" w:color="auto" w:fill="FFFFFF"/>
            <w:vAlign w:val="bottom"/>
          </w:tcPr>
          <w:p w14:paraId="0DB1EFF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BG2SE500R012</w:t>
            </w:r>
          </w:p>
        </w:tc>
        <w:tc>
          <w:tcPr>
            <w:tcW w:w="0" w:type="auto"/>
            <w:shd w:val="clear" w:color="auto" w:fill="FFFFFF"/>
            <w:vAlign w:val="bottom"/>
          </w:tcPr>
          <w:p w14:paraId="7E4F0641"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Дращела - от извора до вливане в Черно море при ВС "Елените"</w:t>
            </w:r>
          </w:p>
        </w:tc>
        <w:tc>
          <w:tcPr>
            <w:tcW w:w="0" w:type="auto"/>
            <w:shd w:val="clear" w:color="auto" w:fill="FFFFFF"/>
            <w:vAlign w:val="bottom"/>
          </w:tcPr>
          <w:p w14:paraId="38AFE8A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4F7DC81B"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0BA04B0" w14:textId="77777777" w:rsidTr="008723D9">
        <w:trPr>
          <w:trHeight w:hRule="exact" w:val="221"/>
          <w:jc w:val="center"/>
        </w:trPr>
        <w:tc>
          <w:tcPr>
            <w:tcW w:w="0" w:type="auto"/>
            <w:shd w:val="clear" w:color="auto" w:fill="FFFFFF"/>
          </w:tcPr>
          <w:p w14:paraId="6EDC600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67</w:t>
            </w:r>
          </w:p>
        </w:tc>
        <w:tc>
          <w:tcPr>
            <w:tcW w:w="0" w:type="auto"/>
            <w:shd w:val="clear" w:color="auto" w:fill="FFFFFF"/>
          </w:tcPr>
          <w:p w14:paraId="175DE60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BG2SE600R1023</w:t>
            </w:r>
          </w:p>
        </w:tc>
        <w:tc>
          <w:tcPr>
            <w:tcW w:w="0" w:type="auto"/>
            <w:shd w:val="clear" w:color="auto" w:fill="FFFFFF"/>
          </w:tcPr>
          <w:p w14:paraId="084E9EF2"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р.Хаджийска</w:t>
            </w:r>
            <w:proofErr w:type="spellEnd"/>
            <w:r w:rsidRPr="009F6D1E">
              <w:rPr>
                <w:rFonts w:cs="Times New Roman"/>
                <w:sz w:val="20"/>
                <w:szCs w:val="20"/>
              </w:rPr>
              <w:t xml:space="preserve"> - от извора до преди с. Ръжица</w:t>
            </w:r>
          </w:p>
        </w:tc>
        <w:tc>
          <w:tcPr>
            <w:tcW w:w="0" w:type="auto"/>
            <w:shd w:val="clear" w:color="auto" w:fill="FFFFFF"/>
          </w:tcPr>
          <w:p w14:paraId="4B345BD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32B339B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7CEB068F" w14:textId="77777777" w:rsidTr="008723D9">
        <w:trPr>
          <w:trHeight w:hRule="exact" w:val="221"/>
          <w:jc w:val="center"/>
        </w:trPr>
        <w:tc>
          <w:tcPr>
            <w:tcW w:w="0" w:type="auto"/>
            <w:shd w:val="clear" w:color="auto" w:fill="FFFFFF"/>
            <w:vAlign w:val="bottom"/>
          </w:tcPr>
          <w:p w14:paraId="1B529A4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68</w:t>
            </w:r>
          </w:p>
        </w:tc>
        <w:tc>
          <w:tcPr>
            <w:tcW w:w="0" w:type="auto"/>
            <w:shd w:val="clear" w:color="auto" w:fill="FFFFFF"/>
            <w:vAlign w:val="bottom"/>
          </w:tcPr>
          <w:p w14:paraId="4AF61E9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BG2SE600R1123</w:t>
            </w:r>
          </w:p>
        </w:tc>
        <w:tc>
          <w:tcPr>
            <w:tcW w:w="0" w:type="auto"/>
            <w:shd w:val="clear" w:color="auto" w:fill="FFFFFF"/>
            <w:vAlign w:val="bottom"/>
          </w:tcPr>
          <w:p w14:paraId="5F005D8C"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р.Хаджийска</w:t>
            </w:r>
            <w:proofErr w:type="spellEnd"/>
            <w:r w:rsidRPr="009F6D1E">
              <w:rPr>
                <w:rFonts w:cs="Times New Roman"/>
                <w:sz w:val="20"/>
                <w:szCs w:val="20"/>
              </w:rPr>
              <w:t xml:space="preserve"> - от преди с. Ръжица до 3 км след с. Ръжица</w:t>
            </w:r>
          </w:p>
        </w:tc>
        <w:tc>
          <w:tcPr>
            <w:tcW w:w="0" w:type="auto"/>
            <w:shd w:val="clear" w:color="auto" w:fill="FFFFFF"/>
            <w:vAlign w:val="bottom"/>
          </w:tcPr>
          <w:p w14:paraId="2C11A3C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3BC4833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E6E86FE" w14:textId="77777777" w:rsidTr="008723D9">
        <w:trPr>
          <w:trHeight w:hRule="exact" w:val="221"/>
          <w:jc w:val="center"/>
        </w:trPr>
        <w:tc>
          <w:tcPr>
            <w:tcW w:w="0" w:type="auto"/>
            <w:shd w:val="clear" w:color="auto" w:fill="FFFFFF"/>
          </w:tcPr>
          <w:p w14:paraId="5F67888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69</w:t>
            </w:r>
          </w:p>
        </w:tc>
        <w:tc>
          <w:tcPr>
            <w:tcW w:w="0" w:type="auto"/>
            <w:shd w:val="clear" w:color="auto" w:fill="FFFFFF"/>
          </w:tcPr>
          <w:p w14:paraId="21ED37C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BG2SE600R015</w:t>
            </w:r>
          </w:p>
        </w:tc>
        <w:tc>
          <w:tcPr>
            <w:tcW w:w="0" w:type="auto"/>
            <w:shd w:val="clear" w:color="auto" w:fill="FFFFFF"/>
          </w:tcPr>
          <w:p w14:paraId="24827304"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р.Хаджийска</w:t>
            </w:r>
            <w:proofErr w:type="spellEnd"/>
            <w:r w:rsidRPr="009F6D1E">
              <w:rPr>
                <w:rFonts w:cs="Times New Roman"/>
                <w:sz w:val="20"/>
                <w:szCs w:val="20"/>
              </w:rPr>
              <w:t xml:space="preserve"> - от 3 км след с. Ръжица до </w:t>
            </w:r>
            <w:proofErr w:type="spellStart"/>
            <w:r w:rsidRPr="009F6D1E">
              <w:rPr>
                <w:rFonts w:cs="Times New Roman"/>
                <w:sz w:val="20"/>
                <w:szCs w:val="20"/>
              </w:rPr>
              <w:t>яз."Порой</w:t>
            </w:r>
            <w:proofErr w:type="spellEnd"/>
            <w:r w:rsidRPr="009F6D1E">
              <w:rPr>
                <w:rFonts w:cs="Times New Roman"/>
                <w:sz w:val="20"/>
                <w:szCs w:val="20"/>
              </w:rPr>
              <w:t>"</w:t>
            </w:r>
          </w:p>
        </w:tc>
        <w:tc>
          <w:tcPr>
            <w:tcW w:w="0" w:type="auto"/>
            <w:shd w:val="clear" w:color="auto" w:fill="FFFFFF"/>
          </w:tcPr>
          <w:p w14:paraId="3B83152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2ECE6111"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9D779DF" w14:textId="77777777" w:rsidTr="008723D9">
        <w:trPr>
          <w:trHeight w:hRule="exact" w:val="221"/>
          <w:jc w:val="center"/>
        </w:trPr>
        <w:tc>
          <w:tcPr>
            <w:tcW w:w="0" w:type="auto"/>
            <w:shd w:val="clear" w:color="auto" w:fill="FFFFFF"/>
          </w:tcPr>
          <w:p w14:paraId="313D927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70</w:t>
            </w:r>
          </w:p>
        </w:tc>
        <w:tc>
          <w:tcPr>
            <w:tcW w:w="0" w:type="auto"/>
            <w:shd w:val="clear" w:color="auto" w:fill="FFFFFF"/>
          </w:tcPr>
          <w:p w14:paraId="2229CBE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BG2SE600R1009</w:t>
            </w:r>
          </w:p>
        </w:tc>
        <w:tc>
          <w:tcPr>
            <w:tcW w:w="0" w:type="auto"/>
            <w:shd w:val="clear" w:color="auto" w:fill="FFFFFF"/>
          </w:tcPr>
          <w:p w14:paraId="38805ED8"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р.Бяла</w:t>
            </w:r>
            <w:proofErr w:type="spellEnd"/>
            <w:r w:rsidRPr="009F6D1E">
              <w:rPr>
                <w:rFonts w:cs="Times New Roman"/>
                <w:sz w:val="20"/>
                <w:szCs w:val="20"/>
              </w:rPr>
              <w:t xml:space="preserve"> река - от извора до след с. Гюльовца</w:t>
            </w:r>
          </w:p>
        </w:tc>
        <w:tc>
          <w:tcPr>
            <w:tcW w:w="0" w:type="auto"/>
            <w:shd w:val="clear" w:color="auto" w:fill="FFFFFF"/>
          </w:tcPr>
          <w:p w14:paraId="2FC35CF6"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отлично</w:t>
            </w:r>
          </w:p>
        </w:tc>
        <w:tc>
          <w:tcPr>
            <w:tcW w:w="0" w:type="auto"/>
            <w:shd w:val="clear" w:color="auto" w:fill="FFFFFF"/>
          </w:tcPr>
          <w:p w14:paraId="74D210B2"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BD0D6A7" w14:textId="77777777" w:rsidTr="008723D9">
        <w:trPr>
          <w:trHeight w:hRule="exact" w:val="221"/>
          <w:jc w:val="center"/>
        </w:trPr>
        <w:tc>
          <w:tcPr>
            <w:tcW w:w="0" w:type="auto"/>
            <w:shd w:val="clear" w:color="auto" w:fill="FFFFFF"/>
          </w:tcPr>
          <w:p w14:paraId="1A6B279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71</w:t>
            </w:r>
          </w:p>
        </w:tc>
        <w:tc>
          <w:tcPr>
            <w:tcW w:w="0" w:type="auto"/>
            <w:shd w:val="clear" w:color="auto" w:fill="FFFFFF"/>
          </w:tcPr>
          <w:p w14:paraId="1BD9D16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BG2SE800R017</w:t>
            </w:r>
          </w:p>
        </w:tc>
        <w:tc>
          <w:tcPr>
            <w:tcW w:w="0" w:type="auto"/>
            <w:shd w:val="clear" w:color="auto" w:fill="FFFFFF"/>
          </w:tcPr>
          <w:p w14:paraId="0E43FDB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Ахелой - от извора до </w:t>
            </w:r>
            <w:proofErr w:type="spellStart"/>
            <w:r w:rsidRPr="009F6D1E">
              <w:rPr>
                <w:rFonts w:cs="Times New Roman"/>
                <w:sz w:val="20"/>
                <w:szCs w:val="20"/>
              </w:rPr>
              <w:t>яз.Ахелой</w:t>
            </w:r>
            <w:proofErr w:type="spellEnd"/>
          </w:p>
        </w:tc>
        <w:tc>
          <w:tcPr>
            <w:tcW w:w="0" w:type="auto"/>
            <w:shd w:val="clear" w:color="auto" w:fill="FFFFFF"/>
          </w:tcPr>
          <w:p w14:paraId="61693B6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D17F9A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50D3C86" w14:textId="77777777" w:rsidTr="008723D9">
        <w:trPr>
          <w:trHeight w:hRule="exact" w:val="226"/>
          <w:jc w:val="center"/>
        </w:trPr>
        <w:tc>
          <w:tcPr>
            <w:tcW w:w="0" w:type="auto"/>
            <w:shd w:val="clear" w:color="auto" w:fill="FFFFFF"/>
          </w:tcPr>
          <w:p w14:paraId="55C7A8D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72</w:t>
            </w:r>
          </w:p>
        </w:tc>
        <w:tc>
          <w:tcPr>
            <w:tcW w:w="0" w:type="auto"/>
            <w:shd w:val="clear" w:color="auto" w:fill="FFFFFF"/>
          </w:tcPr>
          <w:p w14:paraId="67A5610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BG2SE800R019</w:t>
            </w:r>
          </w:p>
        </w:tc>
        <w:tc>
          <w:tcPr>
            <w:tcW w:w="0" w:type="auto"/>
            <w:shd w:val="clear" w:color="auto" w:fill="FFFFFF"/>
          </w:tcPr>
          <w:p w14:paraId="4E890FDB"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Ахелой - от </w:t>
            </w:r>
            <w:proofErr w:type="spellStart"/>
            <w:r w:rsidRPr="009F6D1E">
              <w:rPr>
                <w:rFonts w:cs="Times New Roman"/>
                <w:sz w:val="20"/>
                <w:szCs w:val="20"/>
              </w:rPr>
              <w:t>яз.Ахелой</w:t>
            </w:r>
            <w:proofErr w:type="spellEnd"/>
            <w:r w:rsidRPr="009F6D1E">
              <w:rPr>
                <w:rFonts w:cs="Times New Roman"/>
                <w:sz w:val="20"/>
                <w:szCs w:val="20"/>
              </w:rPr>
              <w:t xml:space="preserve"> до преди </w:t>
            </w:r>
            <w:proofErr w:type="spellStart"/>
            <w:r w:rsidRPr="009F6D1E">
              <w:rPr>
                <w:rFonts w:cs="Times New Roman"/>
                <w:sz w:val="20"/>
                <w:szCs w:val="20"/>
              </w:rPr>
              <w:t>с.Ахелой</w:t>
            </w:r>
            <w:proofErr w:type="spellEnd"/>
            <w:r w:rsidRPr="009F6D1E">
              <w:rPr>
                <w:rFonts w:cs="Times New Roman"/>
                <w:sz w:val="20"/>
                <w:szCs w:val="20"/>
              </w:rPr>
              <w:t xml:space="preserve"> </w:t>
            </w:r>
            <w:r w:rsidRPr="009F6D1E">
              <w:rPr>
                <w:rStyle w:val="Bodytext2Bold"/>
                <w:rFonts w:eastAsia="Calibri"/>
                <w:sz w:val="20"/>
                <w:szCs w:val="20"/>
              </w:rPr>
              <w:t>*</w:t>
            </w:r>
          </w:p>
        </w:tc>
        <w:tc>
          <w:tcPr>
            <w:tcW w:w="0" w:type="auto"/>
            <w:shd w:val="clear" w:color="auto" w:fill="FFFFFF"/>
          </w:tcPr>
          <w:p w14:paraId="7B32201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D071DC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5A62BDC" w14:textId="77777777" w:rsidTr="00BA12F4">
        <w:trPr>
          <w:trHeight w:hRule="exact" w:val="554"/>
          <w:jc w:val="center"/>
        </w:trPr>
        <w:tc>
          <w:tcPr>
            <w:tcW w:w="0" w:type="auto"/>
            <w:shd w:val="clear" w:color="auto" w:fill="FFFFFF"/>
            <w:vAlign w:val="center"/>
          </w:tcPr>
          <w:p w14:paraId="07D7982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73</w:t>
            </w:r>
          </w:p>
        </w:tc>
        <w:tc>
          <w:tcPr>
            <w:tcW w:w="0" w:type="auto"/>
            <w:shd w:val="clear" w:color="auto" w:fill="FFFFFF"/>
            <w:vAlign w:val="center"/>
          </w:tcPr>
          <w:p w14:paraId="74F3ED5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BG2SE900R026</w:t>
            </w:r>
          </w:p>
        </w:tc>
        <w:tc>
          <w:tcPr>
            <w:tcW w:w="0" w:type="auto"/>
            <w:shd w:val="clear" w:color="auto" w:fill="FFFFFF"/>
          </w:tcPr>
          <w:p w14:paraId="4CE5547C"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w:t>
            </w:r>
            <w:proofErr w:type="spellStart"/>
            <w:r w:rsidRPr="009F6D1E">
              <w:rPr>
                <w:rFonts w:cs="Times New Roman"/>
                <w:sz w:val="20"/>
                <w:szCs w:val="20"/>
              </w:rPr>
              <w:t>р.Азмак</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Атанасовско</w:t>
            </w:r>
            <w:proofErr w:type="spellEnd"/>
            <w:r w:rsidRPr="009F6D1E">
              <w:rPr>
                <w:rFonts w:cs="Times New Roman"/>
                <w:sz w:val="20"/>
                <w:szCs w:val="20"/>
              </w:rPr>
              <w:t xml:space="preserve"> езеро, II участък: </w:t>
            </w:r>
            <w:proofErr w:type="spellStart"/>
            <w:r w:rsidRPr="009F6D1E">
              <w:rPr>
                <w:rFonts w:cs="Times New Roman"/>
                <w:sz w:val="20"/>
                <w:szCs w:val="20"/>
              </w:rPr>
              <w:t>р.Дермендере</w:t>
            </w:r>
            <w:proofErr w:type="spellEnd"/>
            <w:r w:rsidRPr="009F6D1E">
              <w:rPr>
                <w:rFonts w:cs="Times New Roman"/>
                <w:sz w:val="20"/>
                <w:szCs w:val="20"/>
              </w:rPr>
              <w:t xml:space="preserve"> - от извора до вливане в р. Азмак</w:t>
            </w:r>
          </w:p>
        </w:tc>
        <w:tc>
          <w:tcPr>
            <w:tcW w:w="0" w:type="auto"/>
            <w:shd w:val="clear" w:color="auto" w:fill="FFFFFF"/>
            <w:vAlign w:val="center"/>
          </w:tcPr>
          <w:p w14:paraId="14E6FB4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center"/>
          </w:tcPr>
          <w:p w14:paraId="7C42B1A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r>
      <w:tr w:rsidR="00AE5785" w:rsidRPr="009F6D1E" w14:paraId="4F2ED973" w14:textId="77777777" w:rsidTr="008723D9">
        <w:trPr>
          <w:trHeight w:hRule="exact" w:val="221"/>
          <w:jc w:val="center"/>
        </w:trPr>
        <w:tc>
          <w:tcPr>
            <w:tcW w:w="0" w:type="auto"/>
            <w:shd w:val="clear" w:color="auto" w:fill="FFFFFF"/>
          </w:tcPr>
          <w:p w14:paraId="72ED68D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74</w:t>
            </w:r>
          </w:p>
        </w:tc>
        <w:tc>
          <w:tcPr>
            <w:tcW w:w="0" w:type="auto"/>
            <w:shd w:val="clear" w:color="auto" w:fill="FFFFFF"/>
          </w:tcPr>
          <w:p w14:paraId="18DB083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BG2SE900R025</w:t>
            </w:r>
          </w:p>
        </w:tc>
        <w:tc>
          <w:tcPr>
            <w:tcW w:w="0" w:type="auto"/>
            <w:shd w:val="clear" w:color="auto" w:fill="FFFFFF"/>
          </w:tcPr>
          <w:p w14:paraId="25D73492"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р.Курбар</w:t>
            </w:r>
            <w:proofErr w:type="spellEnd"/>
            <w:r w:rsidRPr="009F6D1E">
              <w:rPr>
                <w:rFonts w:cs="Times New Roman"/>
                <w:sz w:val="20"/>
                <w:szCs w:val="20"/>
              </w:rPr>
              <w:t xml:space="preserve"> дере - от извора до вливане в </w:t>
            </w:r>
            <w:proofErr w:type="spellStart"/>
            <w:r w:rsidRPr="009F6D1E">
              <w:rPr>
                <w:rFonts w:cs="Times New Roman"/>
                <w:sz w:val="20"/>
                <w:szCs w:val="20"/>
              </w:rPr>
              <w:t>Атанасовско</w:t>
            </w:r>
            <w:proofErr w:type="spellEnd"/>
            <w:r w:rsidRPr="009F6D1E">
              <w:rPr>
                <w:rFonts w:cs="Times New Roman"/>
                <w:sz w:val="20"/>
                <w:szCs w:val="20"/>
              </w:rPr>
              <w:t xml:space="preserve"> езеро</w:t>
            </w:r>
          </w:p>
        </w:tc>
        <w:tc>
          <w:tcPr>
            <w:tcW w:w="0" w:type="auto"/>
            <w:shd w:val="clear" w:color="auto" w:fill="FFFFFF"/>
          </w:tcPr>
          <w:p w14:paraId="4C0891E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FD2A5C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9F63CE8" w14:textId="77777777" w:rsidTr="008723D9">
        <w:trPr>
          <w:trHeight w:hRule="exact" w:val="432"/>
          <w:jc w:val="center"/>
        </w:trPr>
        <w:tc>
          <w:tcPr>
            <w:tcW w:w="0" w:type="auto"/>
            <w:shd w:val="clear" w:color="auto" w:fill="FFFFFF"/>
            <w:vAlign w:val="center"/>
          </w:tcPr>
          <w:p w14:paraId="5358EAE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75</w:t>
            </w:r>
          </w:p>
        </w:tc>
        <w:tc>
          <w:tcPr>
            <w:tcW w:w="0" w:type="auto"/>
            <w:shd w:val="clear" w:color="auto" w:fill="FFFFFF"/>
            <w:vAlign w:val="center"/>
          </w:tcPr>
          <w:p w14:paraId="1539008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BG2SE900R1030</w:t>
            </w:r>
          </w:p>
        </w:tc>
        <w:tc>
          <w:tcPr>
            <w:tcW w:w="0" w:type="auto"/>
            <w:shd w:val="clear" w:color="auto" w:fill="FFFFFF"/>
            <w:vAlign w:val="bottom"/>
          </w:tcPr>
          <w:p w14:paraId="46D7107E"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w:t>
            </w:r>
            <w:proofErr w:type="spellStart"/>
            <w:r w:rsidRPr="009F6D1E">
              <w:rPr>
                <w:rFonts w:cs="Times New Roman"/>
                <w:sz w:val="20"/>
                <w:szCs w:val="20"/>
              </w:rPr>
              <w:t>р.Айтоска</w:t>
            </w:r>
            <w:proofErr w:type="spellEnd"/>
            <w:r w:rsidRPr="009F6D1E">
              <w:rPr>
                <w:rFonts w:cs="Times New Roman"/>
                <w:sz w:val="20"/>
                <w:szCs w:val="20"/>
              </w:rPr>
              <w:t xml:space="preserve"> - от вливане на </w:t>
            </w:r>
            <w:proofErr w:type="spellStart"/>
            <w:r w:rsidRPr="009F6D1E">
              <w:rPr>
                <w:rFonts w:cs="Times New Roman"/>
                <w:sz w:val="20"/>
                <w:szCs w:val="20"/>
              </w:rPr>
              <w:t>р.Славеева</w:t>
            </w:r>
            <w:proofErr w:type="spellEnd"/>
            <w:r w:rsidRPr="009F6D1E">
              <w:rPr>
                <w:rFonts w:cs="Times New Roman"/>
                <w:sz w:val="20"/>
                <w:szCs w:val="20"/>
              </w:rPr>
              <w:t xml:space="preserve"> до вливане на </w:t>
            </w:r>
            <w:proofErr w:type="spellStart"/>
            <w:r w:rsidRPr="009F6D1E">
              <w:rPr>
                <w:rFonts w:cs="Times New Roman"/>
                <w:sz w:val="20"/>
                <w:szCs w:val="20"/>
              </w:rPr>
              <w:t>р.Съдиевска</w:t>
            </w:r>
            <w:proofErr w:type="spellEnd"/>
            <w:r w:rsidRPr="009F6D1E">
              <w:rPr>
                <w:rFonts w:cs="Times New Roman"/>
                <w:sz w:val="20"/>
                <w:szCs w:val="20"/>
              </w:rPr>
              <w:t xml:space="preserve">, II участък: </w:t>
            </w:r>
            <w:proofErr w:type="spellStart"/>
            <w:r w:rsidRPr="009F6D1E">
              <w:rPr>
                <w:rFonts w:cs="Times New Roman"/>
                <w:sz w:val="20"/>
                <w:szCs w:val="20"/>
              </w:rPr>
              <w:t>р.Славеева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р.Айтоска</w:t>
            </w:r>
            <w:proofErr w:type="spellEnd"/>
          </w:p>
        </w:tc>
        <w:tc>
          <w:tcPr>
            <w:tcW w:w="0" w:type="auto"/>
            <w:shd w:val="clear" w:color="auto" w:fill="FFFFFF"/>
            <w:vAlign w:val="center"/>
          </w:tcPr>
          <w:p w14:paraId="43A0817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мн</w:t>
            </w:r>
            <w:r w:rsidR="00AE5785" w:rsidRPr="009F6D1E">
              <w:rPr>
                <w:rFonts w:cs="Times New Roman"/>
                <w:sz w:val="20"/>
                <w:szCs w:val="20"/>
              </w:rPr>
              <w:t>. лошо</w:t>
            </w:r>
          </w:p>
        </w:tc>
        <w:tc>
          <w:tcPr>
            <w:tcW w:w="0" w:type="auto"/>
            <w:shd w:val="clear" w:color="auto" w:fill="FFFFFF"/>
            <w:vAlign w:val="center"/>
          </w:tcPr>
          <w:p w14:paraId="7F94C92A"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0336158" w14:textId="77777777" w:rsidTr="008723D9">
        <w:trPr>
          <w:trHeight w:hRule="exact" w:val="221"/>
          <w:jc w:val="center"/>
        </w:trPr>
        <w:tc>
          <w:tcPr>
            <w:tcW w:w="0" w:type="auto"/>
            <w:shd w:val="clear" w:color="auto" w:fill="FFFFFF"/>
          </w:tcPr>
          <w:p w14:paraId="468B527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lastRenderedPageBreak/>
              <w:t>76</w:t>
            </w:r>
          </w:p>
        </w:tc>
        <w:tc>
          <w:tcPr>
            <w:tcW w:w="0" w:type="auto"/>
            <w:shd w:val="clear" w:color="auto" w:fill="FFFFFF"/>
          </w:tcPr>
          <w:p w14:paraId="69E6A1C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BG2SE900R1130</w:t>
            </w:r>
          </w:p>
        </w:tc>
        <w:tc>
          <w:tcPr>
            <w:tcW w:w="0" w:type="auto"/>
            <w:shd w:val="clear" w:color="auto" w:fill="FFFFFF"/>
          </w:tcPr>
          <w:p w14:paraId="4FDA0CC3"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р.Айтоска</w:t>
            </w:r>
            <w:proofErr w:type="spellEnd"/>
            <w:r w:rsidRPr="009F6D1E">
              <w:rPr>
                <w:rFonts w:cs="Times New Roman"/>
                <w:sz w:val="20"/>
                <w:szCs w:val="20"/>
              </w:rPr>
              <w:t xml:space="preserve"> - от извора до вливане на </w:t>
            </w:r>
            <w:proofErr w:type="spellStart"/>
            <w:r w:rsidRPr="009F6D1E">
              <w:rPr>
                <w:rFonts w:cs="Times New Roman"/>
                <w:sz w:val="20"/>
                <w:szCs w:val="20"/>
              </w:rPr>
              <w:t>р.Славеева</w:t>
            </w:r>
            <w:proofErr w:type="spellEnd"/>
            <w:r w:rsidRPr="009F6D1E">
              <w:rPr>
                <w:rFonts w:cs="Times New Roman"/>
                <w:sz w:val="20"/>
                <w:szCs w:val="20"/>
              </w:rPr>
              <w:t>,</w:t>
            </w:r>
          </w:p>
        </w:tc>
        <w:tc>
          <w:tcPr>
            <w:tcW w:w="0" w:type="auto"/>
            <w:shd w:val="clear" w:color="auto" w:fill="FFFFFF"/>
          </w:tcPr>
          <w:p w14:paraId="7B28862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5CAE926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102E6BA" w14:textId="77777777" w:rsidTr="008723D9">
        <w:trPr>
          <w:trHeight w:hRule="exact" w:val="226"/>
          <w:jc w:val="center"/>
        </w:trPr>
        <w:tc>
          <w:tcPr>
            <w:tcW w:w="0" w:type="auto"/>
            <w:shd w:val="clear" w:color="auto" w:fill="FFFFFF"/>
            <w:vAlign w:val="bottom"/>
          </w:tcPr>
          <w:p w14:paraId="3E2A445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77</w:t>
            </w:r>
          </w:p>
        </w:tc>
        <w:tc>
          <w:tcPr>
            <w:tcW w:w="0" w:type="auto"/>
            <w:shd w:val="clear" w:color="auto" w:fill="FFFFFF"/>
            <w:vAlign w:val="bottom"/>
          </w:tcPr>
          <w:p w14:paraId="768C692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BG2SE900R024</w:t>
            </w:r>
          </w:p>
        </w:tc>
        <w:tc>
          <w:tcPr>
            <w:tcW w:w="0" w:type="auto"/>
            <w:shd w:val="clear" w:color="auto" w:fill="FFFFFF"/>
            <w:vAlign w:val="bottom"/>
          </w:tcPr>
          <w:p w14:paraId="03AA5203"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р.Съдиевска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р.Айтоска</w:t>
            </w:r>
            <w:proofErr w:type="spellEnd"/>
          </w:p>
        </w:tc>
        <w:tc>
          <w:tcPr>
            <w:tcW w:w="0" w:type="auto"/>
            <w:shd w:val="clear" w:color="auto" w:fill="FFFFFF"/>
            <w:vAlign w:val="bottom"/>
          </w:tcPr>
          <w:p w14:paraId="3818FEF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31F9A385"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B161101" w14:textId="77777777" w:rsidTr="008723D9">
        <w:trPr>
          <w:trHeight w:hRule="exact" w:val="221"/>
          <w:jc w:val="center"/>
        </w:trPr>
        <w:tc>
          <w:tcPr>
            <w:tcW w:w="0" w:type="auto"/>
            <w:shd w:val="clear" w:color="auto" w:fill="FFFFFF"/>
          </w:tcPr>
          <w:p w14:paraId="775A5D5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78</w:t>
            </w:r>
          </w:p>
        </w:tc>
        <w:tc>
          <w:tcPr>
            <w:tcW w:w="0" w:type="auto"/>
            <w:shd w:val="clear" w:color="auto" w:fill="FFFFFF"/>
          </w:tcPr>
          <w:p w14:paraId="60BC92E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BG2SE900R03</w:t>
            </w:r>
            <w:r w:rsidRPr="009F6D1E">
              <w:rPr>
                <w:rFonts w:cs="Times New Roman"/>
                <w:sz w:val="20"/>
                <w:szCs w:val="20"/>
              </w:rPr>
              <w:t>1</w:t>
            </w:r>
          </w:p>
        </w:tc>
        <w:tc>
          <w:tcPr>
            <w:tcW w:w="0" w:type="auto"/>
            <w:shd w:val="clear" w:color="auto" w:fill="FFFFFF"/>
          </w:tcPr>
          <w:p w14:paraId="3D5D555B"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р.Чукарска</w:t>
            </w:r>
            <w:proofErr w:type="spellEnd"/>
            <w:r w:rsidRPr="009F6D1E">
              <w:rPr>
                <w:rFonts w:cs="Times New Roman"/>
                <w:sz w:val="20"/>
                <w:szCs w:val="20"/>
              </w:rPr>
              <w:t xml:space="preserve"> - от извор до </w:t>
            </w:r>
            <w:proofErr w:type="spellStart"/>
            <w:r w:rsidRPr="009F6D1E">
              <w:rPr>
                <w:rFonts w:cs="Times New Roman"/>
                <w:sz w:val="20"/>
                <w:szCs w:val="20"/>
              </w:rPr>
              <w:t>яз.Трояново</w:t>
            </w:r>
            <w:proofErr w:type="spellEnd"/>
          </w:p>
        </w:tc>
        <w:tc>
          <w:tcPr>
            <w:tcW w:w="0" w:type="auto"/>
            <w:shd w:val="clear" w:color="auto" w:fill="FFFFFF"/>
          </w:tcPr>
          <w:p w14:paraId="40A053E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1C0C36D"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8D27EF6" w14:textId="77777777" w:rsidTr="008723D9">
        <w:trPr>
          <w:trHeight w:hRule="exact" w:val="221"/>
          <w:jc w:val="center"/>
        </w:trPr>
        <w:tc>
          <w:tcPr>
            <w:tcW w:w="0" w:type="auto"/>
            <w:shd w:val="clear" w:color="auto" w:fill="FFFFFF"/>
          </w:tcPr>
          <w:p w14:paraId="5897162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79</w:t>
            </w:r>
          </w:p>
        </w:tc>
        <w:tc>
          <w:tcPr>
            <w:tcW w:w="0" w:type="auto"/>
            <w:shd w:val="clear" w:color="auto" w:fill="FFFFFF"/>
          </w:tcPr>
          <w:p w14:paraId="37389D6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BG2SE900R033</w:t>
            </w:r>
          </w:p>
        </w:tc>
        <w:tc>
          <w:tcPr>
            <w:tcW w:w="0" w:type="auto"/>
            <w:shd w:val="clear" w:color="auto" w:fill="FFFFFF"/>
          </w:tcPr>
          <w:p w14:paraId="11FB0861"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р.Чукарска</w:t>
            </w:r>
            <w:proofErr w:type="spellEnd"/>
            <w:r w:rsidRPr="009F6D1E">
              <w:rPr>
                <w:rFonts w:cs="Times New Roman"/>
                <w:sz w:val="20"/>
                <w:szCs w:val="20"/>
              </w:rPr>
              <w:t xml:space="preserve"> - от </w:t>
            </w:r>
            <w:proofErr w:type="spellStart"/>
            <w:r w:rsidRPr="009F6D1E">
              <w:rPr>
                <w:rFonts w:cs="Times New Roman"/>
                <w:sz w:val="20"/>
                <w:szCs w:val="20"/>
              </w:rPr>
              <w:t>яз."Трояново</w:t>
            </w:r>
            <w:proofErr w:type="spellEnd"/>
            <w:r w:rsidRPr="009F6D1E">
              <w:rPr>
                <w:rFonts w:cs="Times New Roman"/>
                <w:sz w:val="20"/>
                <w:szCs w:val="20"/>
              </w:rPr>
              <w:t>" до с. Равнец</w:t>
            </w:r>
          </w:p>
        </w:tc>
        <w:tc>
          <w:tcPr>
            <w:tcW w:w="0" w:type="auto"/>
            <w:shd w:val="clear" w:color="auto" w:fill="FFFFFF"/>
          </w:tcPr>
          <w:p w14:paraId="667D3F2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DED047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5D6485F" w14:textId="77777777" w:rsidTr="008723D9">
        <w:trPr>
          <w:trHeight w:hRule="exact" w:val="221"/>
          <w:jc w:val="center"/>
        </w:trPr>
        <w:tc>
          <w:tcPr>
            <w:tcW w:w="0" w:type="auto"/>
            <w:shd w:val="clear" w:color="auto" w:fill="FFFFFF"/>
            <w:vAlign w:val="bottom"/>
          </w:tcPr>
          <w:p w14:paraId="7E5D82E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80</w:t>
            </w:r>
          </w:p>
        </w:tc>
        <w:tc>
          <w:tcPr>
            <w:tcW w:w="0" w:type="auto"/>
            <w:shd w:val="clear" w:color="auto" w:fill="FFFFFF"/>
            <w:vAlign w:val="bottom"/>
          </w:tcPr>
          <w:p w14:paraId="6473A21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BG2SE900R035</w:t>
            </w:r>
          </w:p>
        </w:tc>
        <w:tc>
          <w:tcPr>
            <w:tcW w:w="0" w:type="auto"/>
            <w:shd w:val="clear" w:color="auto" w:fill="FFFFFF"/>
            <w:vAlign w:val="bottom"/>
          </w:tcPr>
          <w:p w14:paraId="431E6C54"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р.Сънър</w:t>
            </w:r>
            <w:proofErr w:type="spellEnd"/>
            <w:r w:rsidRPr="009F6D1E">
              <w:rPr>
                <w:rFonts w:cs="Times New Roman"/>
                <w:sz w:val="20"/>
                <w:szCs w:val="20"/>
              </w:rPr>
              <w:t xml:space="preserve"> дере - от извора до вливане в р. Чукарска</w:t>
            </w:r>
          </w:p>
        </w:tc>
        <w:tc>
          <w:tcPr>
            <w:tcW w:w="0" w:type="auto"/>
            <w:shd w:val="clear" w:color="auto" w:fill="FFFFFF"/>
            <w:vAlign w:val="bottom"/>
          </w:tcPr>
          <w:p w14:paraId="012EA4C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75749DCA"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3ED55CF" w14:textId="77777777" w:rsidTr="00BA12F4">
        <w:trPr>
          <w:trHeight w:hRule="exact" w:val="221"/>
          <w:jc w:val="center"/>
        </w:trPr>
        <w:tc>
          <w:tcPr>
            <w:tcW w:w="0" w:type="auto"/>
            <w:gridSpan w:val="5"/>
            <w:shd w:val="clear" w:color="auto" w:fill="F2F2F2" w:themeFill="background1" w:themeFillShade="F2"/>
            <w:vAlign w:val="bottom"/>
          </w:tcPr>
          <w:p w14:paraId="58A3187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МАНДРЕНСКИ РЕКИ</w:t>
            </w:r>
          </w:p>
        </w:tc>
      </w:tr>
      <w:tr w:rsidR="00AE5785" w:rsidRPr="009F6D1E" w14:paraId="399645C6" w14:textId="77777777" w:rsidTr="008723D9">
        <w:trPr>
          <w:trHeight w:hRule="exact" w:val="221"/>
          <w:jc w:val="center"/>
        </w:trPr>
        <w:tc>
          <w:tcPr>
            <w:tcW w:w="0" w:type="auto"/>
            <w:shd w:val="clear" w:color="auto" w:fill="FFFFFF"/>
            <w:vAlign w:val="bottom"/>
          </w:tcPr>
          <w:p w14:paraId="4301A6D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81</w:t>
            </w:r>
          </w:p>
        </w:tc>
        <w:tc>
          <w:tcPr>
            <w:tcW w:w="0" w:type="auto"/>
            <w:shd w:val="clear" w:color="auto" w:fill="FFFFFF"/>
          </w:tcPr>
          <w:p w14:paraId="316B3CC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w:t>
            </w:r>
            <w:r w:rsidRPr="009F6D1E">
              <w:rPr>
                <w:rFonts w:cs="Times New Roman"/>
                <w:sz w:val="20"/>
                <w:szCs w:val="20"/>
              </w:rPr>
              <w:t>15</w:t>
            </w:r>
          </w:p>
        </w:tc>
        <w:tc>
          <w:tcPr>
            <w:tcW w:w="0" w:type="auto"/>
            <w:shd w:val="clear" w:color="auto" w:fill="FFFFFF"/>
          </w:tcPr>
          <w:p w14:paraId="7A06BB7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Русокастренска - от извор до язовир “Крушово”</w:t>
            </w:r>
          </w:p>
        </w:tc>
        <w:tc>
          <w:tcPr>
            <w:tcW w:w="0" w:type="auto"/>
            <w:shd w:val="clear" w:color="auto" w:fill="FFFFFF"/>
          </w:tcPr>
          <w:p w14:paraId="6F5287A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C2B70E1"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F35B859" w14:textId="77777777" w:rsidTr="008723D9">
        <w:trPr>
          <w:trHeight w:hRule="exact" w:val="437"/>
          <w:jc w:val="center"/>
        </w:trPr>
        <w:tc>
          <w:tcPr>
            <w:tcW w:w="0" w:type="auto"/>
            <w:shd w:val="clear" w:color="auto" w:fill="FFFFFF"/>
            <w:vAlign w:val="center"/>
          </w:tcPr>
          <w:p w14:paraId="54FF953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82</w:t>
            </w:r>
          </w:p>
        </w:tc>
        <w:tc>
          <w:tcPr>
            <w:tcW w:w="0" w:type="auto"/>
            <w:shd w:val="clear" w:color="auto" w:fill="FFFFFF"/>
            <w:vAlign w:val="center"/>
          </w:tcPr>
          <w:p w14:paraId="6C0B77F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w:t>
            </w:r>
            <w:r w:rsidRPr="009F6D1E">
              <w:rPr>
                <w:rFonts w:cs="Times New Roman"/>
                <w:sz w:val="20"/>
                <w:szCs w:val="20"/>
              </w:rPr>
              <w:t>12</w:t>
            </w:r>
          </w:p>
        </w:tc>
        <w:tc>
          <w:tcPr>
            <w:tcW w:w="0" w:type="auto"/>
            <w:shd w:val="clear" w:color="auto" w:fill="FFFFFF"/>
            <w:vAlign w:val="bottom"/>
          </w:tcPr>
          <w:p w14:paraId="0F05AED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Русокастренска - от яз. “Крушово” до с. Русокастро, </w:t>
            </w:r>
            <w:proofErr w:type="spellStart"/>
            <w:r w:rsidRPr="009F6D1E">
              <w:rPr>
                <w:rFonts w:cs="Times New Roman"/>
                <w:sz w:val="20"/>
                <w:szCs w:val="20"/>
              </w:rPr>
              <w:t>Иучастък</w:t>
            </w:r>
            <w:proofErr w:type="spellEnd"/>
            <w:r w:rsidRPr="009F6D1E">
              <w:rPr>
                <w:rFonts w:cs="Times New Roman"/>
                <w:sz w:val="20"/>
                <w:szCs w:val="20"/>
              </w:rPr>
              <w:t xml:space="preserve">: р. </w:t>
            </w:r>
            <w:proofErr w:type="spellStart"/>
            <w:r w:rsidRPr="009F6D1E">
              <w:rPr>
                <w:rFonts w:cs="Times New Roman"/>
                <w:sz w:val="20"/>
                <w:szCs w:val="20"/>
              </w:rPr>
              <w:t>Папазлъшка</w:t>
            </w:r>
            <w:proofErr w:type="spellEnd"/>
            <w:r w:rsidRPr="009F6D1E">
              <w:rPr>
                <w:rFonts w:cs="Times New Roman"/>
                <w:sz w:val="20"/>
                <w:szCs w:val="20"/>
              </w:rPr>
              <w:t xml:space="preserve"> от яз. “</w:t>
            </w:r>
            <w:proofErr w:type="spellStart"/>
            <w:r w:rsidRPr="009F6D1E">
              <w:rPr>
                <w:rFonts w:cs="Times New Roman"/>
                <w:sz w:val="20"/>
                <w:szCs w:val="20"/>
              </w:rPr>
              <w:t>Картелка</w:t>
            </w:r>
            <w:proofErr w:type="spellEnd"/>
            <w:r w:rsidRPr="009F6D1E">
              <w:rPr>
                <w:rFonts w:cs="Times New Roman"/>
                <w:sz w:val="20"/>
                <w:szCs w:val="20"/>
              </w:rPr>
              <w:t xml:space="preserve"> ” до вливане в </w:t>
            </w:r>
            <w:proofErr w:type="spellStart"/>
            <w:r w:rsidRPr="009F6D1E">
              <w:rPr>
                <w:rFonts w:cs="Times New Roman"/>
                <w:sz w:val="20"/>
                <w:szCs w:val="20"/>
              </w:rPr>
              <w:t>р.Русокастренска</w:t>
            </w:r>
            <w:proofErr w:type="spellEnd"/>
          </w:p>
        </w:tc>
        <w:tc>
          <w:tcPr>
            <w:tcW w:w="0" w:type="auto"/>
            <w:shd w:val="clear" w:color="auto" w:fill="FFFFFF"/>
            <w:vAlign w:val="center"/>
          </w:tcPr>
          <w:p w14:paraId="6811813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center"/>
          </w:tcPr>
          <w:p w14:paraId="0295FDC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D25B155" w14:textId="77777777" w:rsidTr="008723D9">
        <w:trPr>
          <w:trHeight w:hRule="exact" w:val="221"/>
          <w:jc w:val="center"/>
        </w:trPr>
        <w:tc>
          <w:tcPr>
            <w:tcW w:w="0" w:type="auto"/>
            <w:shd w:val="clear" w:color="auto" w:fill="FFFFFF"/>
          </w:tcPr>
          <w:p w14:paraId="5AEE0E3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83</w:t>
            </w:r>
          </w:p>
        </w:tc>
        <w:tc>
          <w:tcPr>
            <w:tcW w:w="0" w:type="auto"/>
            <w:shd w:val="clear" w:color="auto" w:fill="FFFFFF"/>
          </w:tcPr>
          <w:p w14:paraId="79A53E2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BG2MA600R005</w:t>
            </w:r>
          </w:p>
        </w:tc>
        <w:tc>
          <w:tcPr>
            <w:tcW w:w="0" w:type="auto"/>
            <w:shd w:val="clear" w:color="auto" w:fill="FFFFFF"/>
          </w:tcPr>
          <w:p w14:paraId="534F6CDC"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Русокастренска - </w:t>
            </w:r>
            <w:proofErr w:type="spellStart"/>
            <w:r w:rsidRPr="009F6D1E">
              <w:rPr>
                <w:rFonts w:cs="Times New Roman"/>
                <w:sz w:val="20"/>
                <w:szCs w:val="20"/>
              </w:rPr>
              <w:t>с.Русокастро</w:t>
            </w:r>
            <w:proofErr w:type="spellEnd"/>
            <w:r w:rsidRPr="009F6D1E">
              <w:rPr>
                <w:rFonts w:cs="Times New Roman"/>
                <w:sz w:val="20"/>
                <w:szCs w:val="20"/>
              </w:rPr>
              <w:t xml:space="preserve"> до устие</w:t>
            </w:r>
          </w:p>
        </w:tc>
        <w:tc>
          <w:tcPr>
            <w:tcW w:w="0" w:type="auto"/>
            <w:shd w:val="clear" w:color="auto" w:fill="FFFFFF"/>
          </w:tcPr>
          <w:p w14:paraId="2910216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ADDE1A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A0465FF" w14:textId="77777777" w:rsidTr="008723D9">
        <w:trPr>
          <w:trHeight w:hRule="exact" w:val="221"/>
          <w:jc w:val="center"/>
        </w:trPr>
        <w:tc>
          <w:tcPr>
            <w:tcW w:w="0" w:type="auto"/>
            <w:shd w:val="clear" w:color="auto" w:fill="FFFFFF"/>
          </w:tcPr>
          <w:p w14:paraId="0A10ED9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84</w:t>
            </w:r>
          </w:p>
        </w:tc>
        <w:tc>
          <w:tcPr>
            <w:tcW w:w="0" w:type="auto"/>
            <w:shd w:val="clear" w:color="auto" w:fill="FFFFFF"/>
          </w:tcPr>
          <w:p w14:paraId="46784A7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w:t>
            </w:r>
            <w:r w:rsidRPr="009F6D1E">
              <w:rPr>
                <w:rFonts w:cs="Times New Roman"/>
                <w:sz w:val="20"/>
                <w:szCs w:val="20"/>
              </w:rPr>
              <w:t>14</w:t>
            </w:r>
          </w:p>
        </w:tc>
        <w:tc>
          <w:tcPr>
            <w:tcW w:w="0" w:type="auto"/>
            <w:shd w:val="clear" w:color="auto" w:fill="FFFFFF"/>
          </w:tcPr>
          <w:p w14:paraId="0FCCC9EA"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р.Барганска</w:t>
            </w:r>
            <w:proofErr w:type="spellEnd"/>
            <w:r w:rsidRPr="009F6D1E">
              <w:rPr>
                <w:rFonts w:cs="Times New Roman"/>
                <w:sz w:val="20"/>
                <w:szCs w:val="20"/>
              </w:rPr>
              <w:t xml:space="preserve"> - от извора до вливане в </w:t>
            </w:r>
            <w:proofErr w:type="spellStart"/>
            <w:r w:rsidRPr="009F6D1E">
              <w:rPr>
                <w:rFonts w:cs="Times New Roman"/>
                <w:sz w:val="20"/>
                <w:szCs w:val="20"/>
              </w:rPr>
              <w:t>р.Русокастренска</w:t>
            </w:r>
            <w:proofErr w:type="spellEnd"/>
          </w:p>
        </w:tc>
        <w:tc>
          <w:tcPr>
            <w:tcW w:w="0" w:type="auto"/>
            <w:shd w:val="clear" w:color="auto" w:fill="FFFFFF"/>
          </w:tcPr>
          <w:p w14:paraId="3E6AC8F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1AC4CA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D0C3CB8" w14:textId="77777777" w:rsidTr="008723D9">
        <w:trPr>
          <w:trHeight w:hRule="exact" w:val="221"/>
          <w:jc w:val="center"/>
        </w:trPr>
        <w:tc>
          <w:tcPr>
            <w:tcW w:w="0" w:type="auto"/>
            <w:shd w:val="clear" w:color="auto" w:fill="FFFFFF"/>
          </w:tcPr>
          <w:p w14:paraId="45C9D99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85</w:t>
            </w:r>
          </w:p>
        </w:tc>
        <w:tc>
          <w:tcPr>
            <w:tcW w:w="0" w:type="auto"/>
            <w:shd w:val="clear" w:color="auto" w:fill="FFFFFF"/>
          </w:tcPr>
          <w:p w14:paraId="6BADCD5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w:t>
            </w:r>
            <w:r w:rsidRPr="009F6D1E">
              <w:rPr>
                <w:rFonts w:cs="Times New Roman"/>
                <w:sz w:val="20"/>
                <w:szCs w:val="20"/>
              </w:rPr>
              <w:t>18</w:t>
            </w:r>
          </w:p>
        </w:tc>
        <w:tc>
          <w:tcPr>
            <w:tcW w:w="0" w:type="auto"/>
            <w:shd w:val="clear" w:color="auto" w:fill="FFFFFF"/>
          </w:tcPr>
          <w:p w14:paraId="05ABB87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Папазлъшка</w:t>
            </w:r>
            <w:proofErr w:type="spellEnd"/>
            <w:r w:rsidRPr="009F6D1E">
              <w:rPr>
                <w:rFonts w:cs="Times New Roman"/>
                <w:sz w:val="20"/>
                <w:szCs w:val="20"/>
              </w:rPr>
              <w:t xml:space="preserve"> /</w:t>
            </w:r>
            <w:proofErr w:type="spellStart"/>
            <w:r w:rsidRPr="009F6D1E">
              <w:rPr>
                <w:rFonts w:cs="Times New Roman"/>
                <w:sz w:val="20"/>
                <w:szCs w:val="20"/>
              </w:rPr>
              <w:t>Черковска</w:t>
            </w:r>
            <w:proofErr w:type="spellEnd"/>
            <w:r w:rsidRPr="009F6D1E">
              <w:rPr>
                <w:rFonts w:cs="Times New Roman"/>
                <w:sz w:val="20"/>
                <w:szCs w:val="20"/>
              </w:rPr>
              <w:t>/ - от извор до яз. “</w:t>
            </w:r>
            <w:proofErr w:type="spellStart"/>
            <w:r w:rsidRPr="009F6D1E">
              <w:rPr>
                <w:rFonts w:cs="Times New Roman"/>
                <w:sz w:val="20"/>
                <w:szCs w:val="20"/>
              </w:rPr>
              <w:t>Картелка</w:t>
            </w:r>
            <w:proofErr w:type="spellEnd"/>
            <w:r w:rsidRPr="009F6D1E">
              <w:rPr>
                <w:rFonts w:cs="Times New Roman"/>
                <w:sz w:val="20"/>
                <w:szCs w:val="20"/>
              </w:rPr>
              <w:t>”</w:t>
            </w:r>
          </w:p>
        </w:tc>
        <w:tc>
          <w:tcPr>
            <w:tcW w:w="0" w:type="auto"/>
            <w:shd w:val="clear" w:color="auto" w:fill="FFFFFF"/>
          </w:tcPr>
          <w:p w14:paraId="27D0345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79751DFC"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535E897" w14:textId="77777777" w:rsidTr="008723D9">
        <w:trPr>
          <w:trHeight w:hRule="exact" w:val="221"/>
          <w:jc w:val="center"/>
        </w:trPr>
        <w:tc>
          <w:tcPr>
            <w:tcW w:w="0" w:type="auto"/>
            <w:shd w:val="clear" w:color="auto" w:fill="FFFFFF"/>
            <w:vAlign w:val="bottom"/>
          </w:tcPr>
          <w:p w14:paraId="79820F2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86</w:t>
            </w:r>
          </w:p>
        </w:tc>
        <w:tc>
          <w:tcPr>
            <w:tcW w:w="0" w:type="auto"/>
            <w:shd w:val="clear" w:color="auto" w:fill="FFFFFF"/>
          </w:tcPr>
          <w:p w14:paraId="0D8CEAE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BG2MA600R0</w:t>
            </w:r>
            <w:r w:rsidRPr="009F6D1E">
              <w:rPr>
                <w:rFonts w:cs="Times New Roman"/>
                <w:sz w:val="20"/>
                <w:szCs w:val="20"/>
              </w:rPr>
              <w:t>13</w:t>
            </w:r>
          </w:p>
        </w:tc>
        <w:tc>
          <w:tcPr>
            <w:tcW w:w="0" w:type="auto"/>
            <w:shd w:val="clear" w:color="auto" w:fill="FFFFFF"/>
          </w:tcPr>
          <w:p w14:paraId="721C19D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Хаджиларска</w:t>
            </w:r>
            <w:proofErr w:type="spellEnd"/>
            <w:r w:rsidRPr="009F6D1E">
              <w:rPr>
                <w:rFonts w:cs="Times New Roman"/>
                <w:sz w:val="20"/>
                <w:szCs w:val="20"/>
              </w:rPr>
              <w:t xml:space="preserve"> - от извор до вливане в р. Русокастренска</w:t>
            </w:r>
          </w:p>
        </w:tc>
        <w:tc>
          <w:tcPr>
            <w:tcW w:w="0" w:type="auto"/>
            <w:shd w:val="clear" w:color="auto" w:fill="FFFFFF"/>
          </w:tcPr>
          <w:p w14:paraId="3B187EB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5C0EC4C"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6913B7C" w14:textId="77777777" w:rsidTr="008723D9">
        <w:trPr>
          <w:trHeight w:hRule="exact" w:val="221"/>
          <w:jc w:val="center"/>
        </w:trPr>
        <w:tc>
          <w:tcPr>
            <w:tcW w:w="0" w:type="auto"/>
            <w:shd w:val="clear" w:color="auto" w:fill="FFFFFF"/>
          </w:tcPr>
          <w:p w14:paraId="4028BF8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87</w:t>
            </w:r>
          </w:p>
        </w:tc>
        <w:tc>
          <w:tcPr>
            <w:tcW w:w="0" w:type="auto"/>
            <w:shd w:val="clear" w:color="auto" w:fill="FFFFFF"/>
          </w:tcPr>
          <w:p w14:paraId="76493DC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BG2MA900R1</w:t>
            </w:r>
            <w:r w:rsidRPr="009F6D1E">
              <w:rPr>
                <w:rFonts w:cs="Times New Roman"/>
                <w:sz w:val="20"/>
                <w:szCs w:val="20"/>
              </w:rPr>
              <w:t>020</w:t>
            </w:r>
          </w:p>
        </w:tc>
        <w:tc>
          <w:tcPr>
            <w:tcW w:w="0" w:type="auto"/>
            <w:shd w:val="clear" w:color="auto" w:fill="FFFFFF"/>
          </w:tcPr>
          <w:p w14:paraId="72D3753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Средецка от извор до град Средец</w:t>
            </w:r>
          </w:p>
        </w:tc>
        <w:tc>
          <w:tcPr>
            <w:tcW w:w="0" w:type="auto"/>
            <w:shd w:val="clear" w:color="auto" w:fill="FFFFFF"/>
          </w:tcPr>
          <w:p w14:paraId="3544F0A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30D06A7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27DC879" w14:textId="77777777" w:rsidTr="008723D9">
        <w:trPr>
          <w:trHeight w:hRule="exact" w:val="235"/>
          <w:jc w:val="center"/>
        </w:trPr>
        <w:tc>
          <w:tcPr>
            <w:tcW w:w="0" w:type="auto"/>
            <w:shd w:val="clear" w:color="auto" w:fill="FFFFFF"/>
            <w:vAlign w:val="bottom"/>
          </w:tcPr>
          <w:p w14:paraId="4CA3DF3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88</w:t>
            </w:r>
          </w:p>
        </w:tc>
        <w:tc>
          <w:tcPr>
            <w:tcW w:w="0" w:type="auto"/>
            <w:shd w:val="clear" w:color="auto" w:fill="FFFFFF"/>
          </w:tcPr>
          <w:p w14:paraId="45B7DCC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BG2MA900R1</w:t>
            </w:r>
            <w:r w:rsidRPr="009F6D1E">
              <w:rPr>
                <w:rFonts w:cs="Times New Roman"/>
                <w:sz w:val="20"/>
                <w:szCs w:val="20"/>
              </w:rPr>
              <w:t>120</w:t>
            </w:r>
          </w:p>
        </w:tc>
        <w:tc>
          <w:tcPr>
            <w:tcW w:w="0" w:type="auto"/>
            <w:shd w:val="clear" w:color="auto" w:fill="FFFFFF"/>
          </w:tcPr>
          <w:p w14:paraId="399ECD2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Тагаревска</w:t>
            </w:r>
            <w:proofErr w:type="spellEnd"/>
            <w:r w:rsidRPr="009F6D1E">
              <w:rPr>
                <w:rFonts w:cs="Times New Roman"/>
                <w:sz w:val="20"/>
                <w:szCs w:val="20"/>
              </w:rPr>
              <w:t xml:space="preserve"> - от извор до вливане в р. Средецка</w:t>
            </w:r>
          </w:p>
        </w:tc>
        <w:tc>
          <w:tcPr>
            <w:tcW w:w="0" w:type="auto"/>
            <w:shd w:val="clear" w:color="auto" w:fill="FFFFFF"/>
          </w:tcPr>
          <w:p w14:paraId="1C308CB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D91EEAB"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02DC5DF" w14:textId="77777777" w:rsidTr="008C39A2">
        <w:trPr>
          <w:trHeight w:hRule="exact" w:val="1013"/>
          <w:jc w:val="center"/>
        </w:trPr>
        <w:tc>
          <w:tcPr>
            <w:tcW w:w="0" w:type="auto"/>
            <w:shd w:val="clear" w:color="auto" w:fill="FFFFFF"/>
            <w:vAlign w:val="center"/>
          </w:tcPr>
          <w:p w14:paraId="1E80A63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89</w:t>
            </w:r>
          </w:p>
        </w:tc>
        <w:tc>
          <w:tcPr>
            <w:tcW w:w="0" w:type="auto"/>
            <w:shd w:val="clear" w:color="auto" w:fill="FFFFFF"/>
            <w:vAlign w:val="center"/>
          </w:tcPr>
          <w:p w14:paraId="487496A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BG2MA800R0</w:t>
            </w:r>
            <w:r w:rsidRPr="009F6D1E">
              <w:rPr>
                <w:rFonts w:cs="Times New Roman"/>
                <w:sz w:val="20"/>
                <w:szCs w:val="20"/>
              </w:rPr>
              <w:t>19</w:t>
            </w:r>
          </w:p>
        </w:tc>
        <w:tc>
          <w:tcPr>
            <w:tcW w:w="0" w:type="auto"/>
            <w:shd w:val="clear" w:color="auto" w:fill="FFFFFF"/>
            <w:vAlign w:val="bottom"/>
          </w:tcPr>
          <w:p w14:paraId="3BC4008C" w14:textId="23F1159E"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w:t>
            </w:r>
            <w:proofErr w:type="spellStart"/>
            <w:r w:rsidR="008C39A2">
              <w:rPr>
                <w:rFonts w:cs="Times New Roman"/>
                <w:sz w:val="20"/>
                <w:szCs w:val="20"/>
              </w:rPr>
              <w:t>Госп</w:t>
            </w:r>
            <w:r w:rsidRPr="009F6D1E">
              <w:rPr>
                <w:rFonts w:cs="Times New Roman"/>
                <w:sz w:val="20"/>
                <w:szCs w:val="20"/>
              </w:rPr>
              <w:t>одаревска</w:t>
            </w:r>
            <w:proofErr w:type="spellEnd"/>
            <w:r w:rsidRPr="009F6D1E">
              <w:rPr>
                <w:rFonts w:cs="Times New Roman"/>
                <w:sz w:val="20"/>
                <w:szCs w:val="20"/>
              </w:rPr>
              <w:t xml:space="preserve"> - от извор до вливане в р. Средецка, II участък: Малката река - от извор до вливане в р. </w:t>
            </w:r>
            <w:proofErr w:type="spellStart"/>
            <w:r w:rsidRPr="009F6D1E">
              <w:rPr>
                <w:rFonts w:cs="Times New Roman"/>
                <w:sz w:val="20"/>
                <w:szCs w:val="20"/>
              </w:rPr>
              <w:t>Г</w:t>
            </w:r>
            <w:r w:rsidR="008C39A2">
              <w:rPr>
                <w:rFonts w:cs="Times New Roman"/>
                <w:sz w:val="20"/>
                <w:szCs w:val="20"/>
              </w:rPr>
              <w:t>осп</w:t>
            </w:r>
            <w:r w:rsidRPr="009F6D1E">
              <w:rPr>
                <w:rFonts w:cs="Times New Roman"/>
                <w:sz w:val="20"/>
                <w:szCs w:val="20"/>
              </w:rPr>
              <w:t>одаревска</w:t>
            </w:r>
            <w:proofErr w:type="spellEnd"/>
            <w:r w:rsidRPr="009F6D1E">
              <w:rPr>
                <w:rFonts w:cs="Times New Roman"/>
                <w:sz w:val="20"/>
                <w:szCs w:val="20"/>
              </w:rPr>
              <w:t>, III участък: р. Селска (</w:t>
            </w:r>
            <w:proofErr w:type="spellStart"/>
            <w:r w:rsidRPr="009F6D1E">
              <w:rPr>
                <w:rFonts w:cs="Times New Roman"/>
                <w:sz w:val="20"/>
                <w:szCs w:val="20"/>
              </w:rPr>
              <w:t>Драковска</w:t>
            </w:r>
            <w:proofErr w:type="spellEnd"/>
            <w:r w:rsidRPr="009F6D1E">
              <w:rPr>
                <w:rFonts w:cs="Times New Roman"/>
                <w:sz w:val="20"/>
                <w:szCs w:val="20"/>
              </w:rPr>
              <w:t xml:space="preserve">) - от извор до вливане в р. </w:t>
            </w:r>
            <w:proofErr w:type="spellStart"/>
            <w:r w:rsidRPr="009F6D1E">
              <w:rPr>
                <w:rFonts w:cs="Times New Roman"/>
                <w:sz w:val="20"/>
                <w:szCs w:val="20"/>
              </w:rPr>
              <w:t>Г</w:t>
            </w:r>
            <w:r w:rsidR="008C39A2">
              <w:rPr>
                <w:rFonts w:cs="Times New Roman"/>
                <w:sz w:val="20"/>
                <w:szCs w:val="20"/>
              </w:rPr>
              <w:t>осп</w:t>
            </w:r>
            <w:r w:rsidRPr="009F6D1E">
              <w:rPr>
                <w:rFonts w:cs="Times New Roman"/>
                <w:sz w:val="20"/>
                <w:szCs w:val="20"/>
              </w:rPr>
              <w:t>одаревска</w:t>
            </w:r>
            <w:proofErr w:type="spellEnd"/>
          </w:p>
        </w:tc>
        <w:tc>
          <w:tcPr>
            <w:tcW w:w="0" w:type="auto"/>
            <w:shd w:val="clear" w:color="auto" w:fill="FFFFFF"/>
            <w:vAlign w:val="center"/>
          </w:tcPr>
          <w:p w14:paraId="6955D51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center"/>
          </w:tcPr>
          <w:p w14:paraId="1CDC080E"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33FDA34" w14:textId="77777777" w:rsidTr="008723D9">
        <w:trPr>
          <w:trHeight w:hRule="exact" w:val="221"/>
          <w:jc w:val="center"/>
        </w:trPr>
        <w:tc>
          <w:tcPr>
            <w:tcW w:w="0" w:type="auto"/>
            <w:shd w:val="clear" w:color="auto" w:fill="FFFFFF"/>
          </w:tcPr>
          <w:p w14:paraId="370CCC1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90</w:t>
            </w:r>
          </w:p>
        </w:tc>
        <w:tc>
          <w:tcPr>
            <w:tcW w:w="0" w:type="auto"/>
            <w:shd w:val="clear" w:color="auto" w:fill="FFFFFF"/>
          </w:tcPr>
          <w:p w14:paraId="00FF2EA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BG2MA700R007</w:t>
            </w:r>
          </w:p>
        </w:tc>
        <w:tc>
          <w:tcPr>
            <w:tcW w:w="0" w:type="auto"/>
            <w:shd w:val="clear" w:color="auto" w:fill="FFFFFF"/>
          </w:tcPr>
          <w:p w14:paraId="58AEA140"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Каракютючка</w:t>
            </w:r>
            <w:proofErr w:type="spellEnd"/>
            <w:r w:rsidRPr="009F6D1E">
              <w:rPr>
                <w:rFonts w:cs="Times New Roman"/>
                <w:sz w:val="20"/>
                <w:szCs w:val="20"/>
              </w:rPr>
              <w:t xml:space="preserve"> (</w:t>
            </w:r>
            <w:proofErr w:type="spellStart"/>
            <w:r w:rsidRPr="009F6D1E">
              <w:rPr>
                <w:rFonts w:cs="Times New Roman"/>
                <w:sz w:val="20"/>
                <w:szCs w:val="20"/>
              </w:rPr>
              <w:t>Пънчевска</w:t>
            </w:r>
            <w:proofErr w:type="spellEnd"/>
            <w:r w:rsidRPr="009F6D1E">
              <w:rPr>
                <w:rFonts w:cs="Times New Roman"/>
                <w:sz w:val="20"/>
                <w:szCs w:val="20"/>
              </w:rPr>
              <w:t>) - от извор до вливане в р. Средецка</w:t>
            </w:r>
          </w:p>
        </w:tc>
        <w:tc>
          <w:tcPr>
            <w:tcW w:w="0" w:type="auto"/>
            <w:shd w:val="clear" w:color="auto" w:fill="FFFFFF"/>
          </w:tcPr>
          <w:p w14:paraId="3E6CFE8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66C492A"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4AC1AC2" w14:textId="77777777" w:rsidTr="008723D9">
        <w:trPr>
          <w:trHeight w:hRule="exact" w:val="221"/>
          <w:jc w:val="center"/>
        </w:trPr>
        <w:tc>
          <w:tcPr>
            <w:tcW w:w="0" w:type="auto"/>
            <w:shd w:val="clear" w:color="auto" w:fill="FFFFFF"/>
          </w:tcPr>
          <w:p w14:paraId="33A2BFC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91</w:t>
            </w:r>
          </w:p>
        </w:tc>
        <w:tc>
          <w:tcPr>
            <w:tcW w:w="0" w:type="auto"/>
            <w:shd w:val="clear" w:color="auto" w:fill="FFFFFF"/>
          </w:tcPr>
          <w:p w14:paraId="05A4FD2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BG2MA400R1021</w:t>
            </w:r>
          </w:p>
        </w:tc>
        <w:tc>
          <w:tcPr>
            <w:tcW w:w="0" w:type="auto"/>
            <w:shd w:val="clear" w:color="auto" w:fill="FFFFFF"/>
          </w:tcPr>
          <w:p w14:paraId="2591A228"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Факийска - от извор до вливане на р. Малката река</w:t>
            </w:r>
          </w:p>
        </w:tc>
        <w:tc>
          <w:tcPr>
            <w:tcW w:w="0" w:type="auto"/>
            <w:shd w:val="clear" w:color="auto" w:fill="FFFFFF"/>
          </w:tcPr>
          <w:p w14:paraId="5F06A73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1D496B75"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2984477" w14:textId="77777777" w:rsidTr="008723D9">
        <w:trPr>
          <w:trHeight w:hRule="exact" w:val="221"/>
          <w:jc w:val="center"/>
        </w:trPr>
        <w:tc>
          <w:tcPr>
            <w:tcW w:w="0" w:type="auto"/>
            <w:shd w:val="clear" w:color="auto" w:fill="FFFFFF"/>
          </w:tcPr>
          <w:p w14:paraId="798B413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92</w:t>
            </w:r>
          </w:p>
        </w:tc>
        <w:tc>
          <w:tcPr>
            <w:tcW w:w="0" w:type="auto"/>
            <w:shd w:val="clear" w:color="auto" w:fill="FFFFFF"/>
          </w:tcPr>
          <w:p w14:paraId="6E52CD4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BG2MA400R1</w:t>
            </w:r>
            <w:r w:rsidRPr="009F6D1E">
              <w:rPr>
                <w:rFonts w:cs="Times New Roman"/>
                <w:sz w:val="20"/>
                <w:szCs w:val="20"/>
              </w:rPr>
              <w:t>008</w:t>
            </w:r>
          </w:p>
        </w:tc>
        <w:tc>
          <w:tcPr>
            <w:tcW w:w="0" w:type="auto"/>
            <w:shd w:val="clear" w:color="auto" w:fill="FFFFFF"/>
          </w:tcPr>
          <w:p w14:paraId="7999EA0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Факийска- от вливане на р. </w:t>
            </w:r>
            <w:proofErr w:type="spellStart"/>
            <w:r w:rsidRPr="009F6D1E">
              <w:rPr>
                <w:rFonts w:cs="Times New Roman"/>
                <w:sz w:val="20"/>
                <w:szCs w:val="20"/>
              </w:rPr>
              <w:t>Сарпасан</w:t>
            </w:r>
            <w:proofErr w:type="spellEnd"/>
            <w:r w:rsidRPr="009F6D1E">
              <w:rPr>
                <w:rFonts w:cs="Times New Roman"/>
                <w:sz w:val="20"/>
                <w:szCs w:val="20"/>
              </w:rPr>
              <w:t xml:space="preserve"> до вливане на р. Малката река</w:t>
            </w:r>
          </w:p>
        </w:tc>
        <w:tc>
          <w:tcPr>
            <w:tcW w:w="0" w:type="auto"/>
            <w:shd w:val="clear" w:color="auto" w:fill="FFFFFF"/>
          </w:tcPr>
          <w:p w14:paraId="20B48C5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9782E62"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786054A0" w14:textId="77777777" w:rsidTr="008723D9">
        <w:trPr>
          <w:trHeight w:hRule="exact" w:val="221"/>
          <w:jc w:val="center"/>
        </w:trPr>
        <w:tc>
          <w:tcPr>
            <w:tcW w:w="0" w:type="auto"/>
            <w:shd w:val="clear" w:color="auto" w:fill="FFFFFF"/>
          </w:tcPr>
          <w:p w14:paraId="46873B0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93</w:t>
            </w:r>
          </w:p>
        </w:tc>
        <w:tc>
          <w:tcPr>
            <w:tcW w:w="0" w:type="auto"/>
            <w:shd w:val="clear" w:color="auto" w:fill="FFFFFF"/>
          </w:tcPr>
          <w:p w14:paraId="4CF1804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BG2MA400R1</w:t>
            </w:r>
            <w:r w:rsidRPr="009F6D1E">
              <w:rPr>
                <w:rFonts w:cs="Times New Roman"/>
                <w:sz w:val="20"/>
                <w:szCs w:val="20"/>
              </w:rPr>
              <w:t>108</w:t>
            </w:r>
          </w:p>
        </w:tc>
        <w:tc>
          <w:tcPr>
            <w:tcW w:w="0" w:type="auto"/>
            <w:shd w:val="clear" w:color="auto" w:fill="FFFFFF"/>
          </w:tcPr>
          <w:p w14:paraId="67D2BE64"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Малката река - от извор до вливане в р. Факийска</w:t>
            </w:r>
          </w:p>
        </w:tc>
        <w:tc>
          <w:tcPr>
            <w:tcW w:w="0" w:type="auto"/>
            <w:shd w:val="clear" w:color="auto" w:fill="FFFFFF"/>
          </w:tcPr>
          <w:p w14:paraId="1ADEEEA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5772F59"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62D12E7" w14:textId="77777777" w:rsidTr="008723D9">
        <w:trPr>
          <w:trHeight w:hRule="exact" w:val="221"/>
          <w:jc w:val="center"/>
        </w:trPr>
        <w:tc>
          <w:tcPr>
            <w:tcW w:w="0" w:type="auto"/>
            <w:shd w:val="clear" w:color="auto" w:fill="FFFFFF"/>
          </w:tcPr>
          <w:p w14:paraId="229B828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94</w:t>
            </w:r>
          </w:p>
        </w:tc>
        <w:tc>
          <w:tcPr>
            <w:tcW w:w="0" w:type="auto"/>
            <w:shd w:val="clear" w:color="auto" w:fill="FFFFFF"/>
          </w:tcPr>
          <w:p w14:paraId="42EB270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BG2MA400R004</w:t>
            </w:r>
          </w:p>
        </w:tc>
        <w:tc>
          <w:tcPr>
            <w:tcW w:w="0" w:type="auto"/>
            <w:shd w:val="clear" w:color="auto" w:fill="FFFFFF"/>
          </w:tcPr>
          <w:p w14:paraId="5244CA9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Факийска - с. Габър до устие</w:t>
            </w:r>
          </w:p>
        </w:tc>
        <w:tc>
          <w:tcPr>
            <w:tcW w:w="0" w:type="auto"/>
            <w:shd w:val="clear" w:color="auto" w:fill="FFFFFF"/>
          </w:tcPr>
          <w:p w14:paraId="341C487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C15AA25"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8823444" w14:textId="77777777" w:rsidTr="008723D9">
        <w:trPr>
          <w:trHeight w:hRule="exact" w:val="226"/>
          <w:jc w:val="center"/>
        </w:trPr>
        <w:tc>
          <w:tcPr>
            <w:tcW w:w="0" w:type="auto"/>
            <w:shd w:val="clear" w:color="auto" w:fill="FFFFFF"/>
            <w:vAlign w:val="bottom"/>
          </w:tcPr>
          <w:p w14:paraId="2A3AEA0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95</w:t>
            </w:r>
          </w:p>
        </w:tc>
        <w:tc>
          <w:tcPr>
            <w:tcW w:w="0" w:type="auto"/>
            <w:shd w:val="clear" w:color="auto" w:fill="FFFFFF"/>
            <w:vAlign w:val="bottom"/>
          </w:tcPr>
          <w:p w14:paraId="31300A2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BG2MA400R009</w:t>
            </w:r>
          </w:p>
        </w:tc>
        <w:tc>
          <w:tcPr>
            <w:tcW w:w="0" w:type="auto"/>
            <w:shd w:val="clear" w:color="auto" w:fill="FFFFFF"/>
            <w:vAlign w:val="bottom"/>
          </w:tcPr>
          <w:p w14:paraId="1B0208DB"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Кондачка</w:t>
            </w:r>
            <w:proofErr w:type="spellEnd"/>
            <w:r w:rsidRPr="009F6D1E">
              <w:rPr>
                <w:rFonts w:cs="Times New Roman"/>
                <w:sz w:val="20"/>
                <w:szCs w:val="20"/>
              </w:rPr>
              <w:t xml:space="preserve"> (Габърска) - от извор до вливане в р. Факийска</w:t>
            </w:r>
          </w:p>
        </w:tc>
        <w:tc>
          <w:tcPr>
            <w:tcW w:w="0" w:type="auto"/>
            <w:shd w:val="clear" w:color="auto" w:fill="FFFFFF"/>
            <w:vAlign w:val="bottom"/>
          </w:tcPr>
          <w:p w14:paraId="381A841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6C4B1C1B"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9F4ABBA" w14:textId="77777777" w:rsidTr="008723D9">
        <w:trPr>
          <w:trHeight w:hRule="exact" w:val="221"/>
          <w:jc w:val="center"/>
        </w:trPr>
        <w:tc>
          <w:tcPr>
            <w:tcW w:w="0" w:type="auto"/>
            <w:shd w:val="clear" w:color="auto" w:fill="FFFFFF"/>
          </w:tcPr>
          <w:p w14:paraId="561BE34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96</w:t>
            </w:r>
          </w:p>
        </w:tc>
        <w:tc>
          <w:tcPr>
            <w:tcW w:w="0" w:type="auto"/>
            <w:shd w:val="clear" w:color="auto" w:fill="FFFFFF"/>
          </w:tcPr>
          <w:p w14:paraId="06EBEF9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BG2MA400R0</w:t>
            </w:r>
            <w:r w:rsidRPr="009F6D1E">
              <w:rPr>
                <w:rFonts w:cs="Times New Roman"/>
                <w:sz w:val="20"/>
                <w:szCs w:val="20"/>
              </w:rPr>
              <w:t>10</w:t>
            </w:r>
          </w:p>
        </w:tc>
        <w:tc>
          <w:tcPr>
            <w:tcW w:w="0" w:type="auto"/>
            <w:shd w:val="clear" w:color="auto" w:fill="FFFFFF"/>
          </w:tcPr>
          <w:p w14:paraId="24526B6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Даръдере</w:t>
            </w:r>
            <w:proofErr w:type="spellEnd"/>
            <w:r w:rsidRPr="009F6D1E">
              <w:rPr>
                <w:rFonts w:cs="Times New Roman"/>
                <w:sz w:val="20"/>
                <w:szCs w:val="20"/>
              </w:rPr>
              <w:t xml:space="preserve"> - от извор до вливане в р. Факийска</w:t>
            </w:r>
          </w:p>
        </w:tc>
        <w:tc>
          <w:tcPr>
            <w:tcW w:w="0" w:type="auto"/>
            <w:shd w:val="clear" w:color="auto" w:fill="FFFFFF"/>
          </w:tcPr>
          <w:p w14:paraId="08EF7DE7"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6BDC9D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A22C8DA" w14:textId="77777777" w:rsidTr="008723D9">
        <w:trPr>
          <w:trHeight w:hRule="exact" w:val="221"/>
          <w:jc w:val="center"/>
        </w:trPr>
        <w:tc>
          <w:tcPr>
            <w:tcW w:w="0" w:type="auto"/>
            <w:shd w:val="clear" w:color="auto" w:fill="FFFFFF"/>
          </w:tcPr>
          <w:p w14:paraId="5A6CACA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97</w:t>
            </w:r>
          </w:p>
        </w:tc>
        <w:tc>
          <w:tcPr>
            <w:tcW w:w="0" w:type="auto"/>
            <w:shd w:val="clear" w:color="auto" w:fill="FFFFFF"/>
          </w:tcPr>
          <w:p w14:paraId="16285158"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BG2MA200R0</w:t>
            </w:r>
            <w:r w:rsidRPr="009F6D1E">
              <w:rPr>
                <w:rFonts w:cs="Times New Roman"/>
                <w:sz w:val="20"/>
                <w:szCs w:val="20"/>
              </w:rPr>
              <w:t>11</w:t>
            </w:r>
          </w:p>
        </w:tc>
        <w:tc>
          <w:tcPr>
            <w:tcW w:w="0" w:type="auto"/>
            <w:shd w:val="clear" w:color="auto" w:fill="FFFFFF"/>
          </w:tcPr>
          <w:p w14:paraId="23C56C2C"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Изворска - от извор до с. Извор</w:t>
            </w:r>
          </w:p>
        </w:tc>
        <w:tc>
          <w:tcPr>
            <w:tcW w:w="0" w:type="auto"/>
            <w:shd w:val="clear" w:color="auto" w:fill="FFFFFF"/>
          </w:tcPr>
          <w:p w14:paraId="67D3873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38F7EBEE"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563D9EE" w14:textId="77777777" w:rsidTr="00BA12F4">
        <w:trPr>
          <w:trHeight w:hRule="exact" w:val="221"/>
          <w:jc w:val="center"/>
        </w:trPr>
        <w:tc>
          <w:tcPr>
            <w:tcW w:w="0" w:type="auto"/>
            <w:gridSpan w:val="5"/>
            <w:shd w:val="clear" w:color="auto" w:fill="F2F2F2" w:themeFill="background1" w:themeFillShade="F2"/>
          </w:tcPr>
          <w:p w14:paraId="4380204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ЮЖНОБУРГАСКИ РЕКИ</w:t>
            </w:r>
          </w:p>
        </w:tc>
      </w:tr>
      <w:tr w:rsidR="00AE5785" w:rsidRPr="009F6D1E" w14:paraId="4CE1CDA6" w14:textId="77777777" w:rsidTr="008723D9">
        <w:trPr>
          <w:trHeight w:hRule="exact" w:val="221"/>
          <w:jc w:val="center"/>
        </w:trPr>
        <w:tc>
          <w:tcPr>
            <w:tcW w:w="0" w:type="auto"/>
            <w:shd w:val="clear" w:color="auto" w:fill="FFFFFF"/>
          </w:tcPr>
          <w:p w14:paraId="02AC3C8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98</w:t>
            </w:r>
          </w:p>
        </w:tc>
        <w:tc>
          <w:tcPr>
            <w:tcW w:w="0" w:type="auto"/>
            <w:shd w:val="clear" w:color="auto" w:fill="FFFFFF"/>
          </w:tcPr>
          <w:p w14:paraId="249AE24F"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BG2IU100R003</w:t>
            </w:r>
          </w:p>
        </w:tc>
        <w:tc>
          <w:tcPr>
            <w:tcW w:w="0" w:type="auto"/>
            <w:shd w:val="clear" w:color="auto" w:fill="FFFFFF"/>
          </w:tcPr>
          <w:p w14:paraId="64E8AD51"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р.Маринка</w:t>
            </w:r>
            <w:proofErr w:type="spellEnd"/>
            <w:r w:rsidRPr="009F6D1E">
              <w:rPr>
                <w:rFonts w:cs="Times New Roman"/>
                <w:sz w:val="20"/>
                <w:szCs w:val="20"/>
              </w:rPr>
              <w:t xml:space="preserve"> - от извор до вливане в Черно море</w:t>
            </w:r>
          </w:p>
        </w:tc>
        <w:tc>
          <w:tcPr>
            <w:tcW w:w="0" w:type="auto"/>
            <w:shd w:val="clear" w:color="auto" w:fill="FFFFFF"/>
          </w:tcPr>
          <w:p w14:paraId="4D4DEB3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41469C2A"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8073C96" w14:textId="77777777" w:rsidTr="008723D9">
        <w:trPr>
          <w:trHeight w:hRule="exact" w:val="221"/>
          <w:jc w:val="center"/>
        </w:trPr>
        <w:tc>
          <w:tcPr>
            <w:tcW w:w="0" w:type="auto"/>
            <w:shd w:val="clear" w:color="auto" w:fill="FFFFFF"/>
          </w:tcPr>
          <w:p w14:paraId="0D9B43B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99</w:t>
            </w:r>
          </w:p>
        </w:tc>
        <w:tc>
          <w:tcPr>
            <w:tcW w:w="0" w:type="auto"/>
            <w:shd w:val="clear" w:color="auto" w:fill="FFFFFF"/>
          </w:tcPr>
          <w:p w14:paraId="1881278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BG2IU100R002</w:t>
            </w:r>
          </w:p>
        </w:tc>
        <w:tc>
          <w:tcPr>
            <w:tcW w:w="0" w:type="auto"/>
            <w:shd w:val="clear" w:color="auto" w:fill="FFFFFF"/>
          </w:tcPr>
          <w:p w14:paraId="2DD66FC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Отманли</w:t>
            </w:r>
            <w:proofErr w:type="spellEnd"/>
            <w:r w:rsidRPr="009F6D1E">
              <w:rPr>
                <w:rFonts w:cs="Times New Roman"/>
                <w:sz w:val="20"/>
                <w:szCs w:val="20"/>
              </w:rPr>
              <w:t xml:space="preserve"> - от извор до вливане в Черно море</w:t>
            </w:r>
          </w:p>
        </w:tc>
        <w:tc>
          <w:tcPr>
            <w:tcW w:w="0" w:type="auto"/>
            <w:shd w:val="clear" w:color="auto" w:fill="FFFFFF"/>
          </w:tcPr>
          <w:p w14:paraId="168A602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596DF7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418319D1" w14:textId="77777777" w:rsidTr="008723D9">
        <w:trPr>
          <w:trHeight w:hRule="exact" w:val="226"/>
          <w:jc w:val="center"/>
        </w:trPr>
        <w:tc>
          <w:tcPr>
            <w:tcW w:w="0" w:type="auto"/>
            <w:shd w:val="clear" w:color="auto" w:fill="FFFFFF"/>
            <w:vAlign w:val="bottom"/>
          </w:tcPr>
          <w:p w14:paraId="68ABF8F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lastRenderedPageBreak/>
              <w:t>100</w:t>
            </w:r>
          </w:p>
        </w:tc>
        <w:tc>
          <w:tcPr>
            <w:tcW w:w="0" w:type="auto"/>
            <w:shd w:val="clear" w:color="auto" w:fill="FFFFFF"/>
          </w:tcPr>
          <w:p w14:paraId="287C127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BG2IU200R1006</w:t>
            </w:r>
          </w:p>
        </w:tc>
        <w:tc>
          <w:tcPr>
            <w:tcW w:w="0" w:type="auto"/>
            <w:shd w:val="clear" w:color="auto" w:fill="FFFFFF"/>
          </w:tcPr>
          <w:p w14:paraId="3ADC8804"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Ропотамо - от вливане на р. </w:t>
            </w:r>
            <w:proofErr w:type="spellStart"/>
            <w:r w:rsidRPr="009F6D1E">
              <w:rPr>
                <w:rFonts w:cs="Times New Roman"/>
                <w:sz w:val="20"/>
                <w:szCs w:val="20"/>
              </w:rPr>
              <w:t>Староселска</w:t>
            </w:r>
            <w:proofErr w:type="spellEnd"/>
            <w:r w:rsidRPr="009F6D1E">
              <w:rPr>
                <w:rFonts w:cs="Times New Roman"/>
                <w:sz w:val="20"/>
                <w:szCs w:val="20"/>
              </w:rPr>
              <w:t xml:space="preserve"> река до вливане на р. </w:t>
            </w:r>
            <w:proofErr w:type="spellStart"/>
            <w:r w:rsidRPr="009F6D1E">
              <w:rPr>
                <w:rFonts w:cs="Times New Roman"/>
                <w:sz w:val="20"/>
                <w:szCs w:val="20"/>
              </w:rPr>
              <w:t>Мехмедженска</w:t>
            </w:r>
            <w:proofErr w:type="spellEnd"/>
          </w:p>
        </w:tc>
        <w:tc>
          <w:tcPr>
            <w:tcW w:w="0" w:type="auto"/>
            <w:shd w:val="clear" w:color="auto" w:fill="FFFFFF"/>
          </w:tcPr>
          <w:p w14:paraId="395ACAC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tcPr>
          <w:p w14:paraId="6B233A5E"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3DF7DB8" w14:textId="77777777" w:rsidTr="008723D9">
        <w:trPr>
          <w:trHeight w:hRule="exact" w:val="221"/>
          <w:jc w:val="center"/>
        </w:trPr>
        <w:tc>
          <w:tcPr>
            <w:tcW w:w="0" w:type="auto"/>
            <w:shd w:val="clear" w:color="auto" w:fill="FFFFFF"/>
            <w:vAlign w:val="bottom"/>
          </w:tcPr>
          <w:p w14:paraId="5D822F8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101</w:t>
            </w:r>
          </w:p>
        </w:tc>
        <w:tc>
          <w:tcPr>
            <w:tcW w:w="0" w:type="auto"/>
            <w:shd w:val="clear" w:color="auto" w:fill="FFFFFF"/>
            <w:vAlign w:val="bottom"/>
          </w:tcPr>
          <w:p w14:paraId="66664E9E"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BG2IU200R1106</w:t>
            </w:r>
          </w:p>
        </w:tc>
        <w:tc>
          <w:tcPr>
            <w:tcW w:w="0" w:type="auto"/>
            <w:shd w:val="clear" w:color="auto" w:fill="FFFFFF"/>
            <w:vAlign w:val="bottom"/>
          </w:tcPr>
          <w:p w14:paraId="7DE2F7E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Ропотамо - от извор до вливане на р. </w:t>
            </w:r>
            <w:proofErr w:type="spellStart"/>
            <w:r w:rsidRPr="009F6D1E">
              <w:rPr>
                <w:rFonts w:cs="Times New Roman"/>
                <w:sz w:val="20"/>
                <w:szCs w:val="20"/>
              </w:rPr>
              <w:t>Староселска</w:t>
            </w:r>
            <w:proofErr w:type="spellEnd"/>
            <w:r w:rsidRPr="009F6D1E">
              <w:rPr>
                <w:rFonts w:cs="Times New Roman"/>
                <w:sz w:val="20"/>
                <w:szCs w:val="20"/>
              </w:rPr>
              <w:t xml:space="preserve"> река</w:t>
            </w:r>
          </w:p>
        </w:tc>
        <w:tc>
          <w:tcPr>
            <w:tcW w:w="0" w:type="auto"/>
            <w:shd w:val="clear" w:color="auto" w:fill="FFFFFF"/>
            <w:vAlign w:val="bottom"/>
          </w:tcPr>
          <w:p w14:paraId="074D90C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умерено</w:t>
            </w:r>
          </w:p>
        </w:tc>
        <w:tc>
          <w:tcPr>
            <w:tcW w:w="0" w:type="auto"/>
            <w:shd w:val="clear" w:color="auto" w:fill="FFFFFF"/>
            <w:vAlign w:val="bottom"/>
          </w:tcPr>
          <w:p w14:paraId="45B88BF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167468D" w14:textId="77777777" w:rsidTr="008723D9">
        <w:trPr>
          <w:trHeight w:hRule="exact" w:val="221"/>
          <w:jc w:val="center"/>
        </w:trPr>
        <w:tc>
          <w:tcPr>
            <w:tcW w:w="0" w:type="auto"/>
            <w:shd w:val="clear" w:color="auto" w:fill="FFFFFF"/>
            <w:vAlign w:val="bottom"/>
          </w:tcPr>
          <w:p w14:paraId="3FE6CBA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102</w:t>
            </w:r>
          </w:p>
        </w:tc>
        <w:tc>
          <w:tcPr>
            <w:tcW w:w="0" w:type="auto"/>
            <w:shd w:val="clear" w:color="auto" w:fill="FFFFFF"/>
          </w:tcPr>
          <w:p w14:paraId="141F3D9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BG2IU200R1105</w:t>
            </w:r>
          </w:p>
        </w:tc>
        <w:tc>
          <w:tcPr>
            <w:tcW w:w="0" w:type="auto"/>
            <w:shd w:val="clear" w:color="auto" w:fill="FFFFFF"/>
          </w:tcPr>
          <w:p w14:paraId="0D8A18EE"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Ропотамо- от вливане на </w:t>
            </w:r>
            <w:proofErr w:type="spellStart"/>
            <w:r w:rsidRPr="009F6D1E">
              <w:rPr>
                <w:rFonts w:cs="Times New Roman"/>
                <w:sz w:val="20"/>
                <w:szCs w:val="20"/>
              </w:rPr>
              <w:t>р.Мехмедженска</w:t>
            </w:r>
            <w:proofErr w:type="spellEnd"/>
            <w:r w:rsidRPr="009F6D1E">
              <w:rPr>
                <w:rFonts w:cs="Times New Roman"/>
                <w:sz w:val="20"/>
                <w:szCs w:val="20"/>
              </w:rPr>
              <w:t xml:space="preserve"> до граница на преходни води</w:t>
            </w:r>
          </w:p>
        </w:tc>
        <w:tc>
          <w:tcPr>
            <w:tcW w:w="0" w:type="auto"/>
            <w:shd w:val="clear" w:color="auto" w:fill="FFFFFF"/>
          </w:tcPr>
          <w:p w14:paraId="05EB24D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8F1702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07DAE90" w14:textId="77777777" w:rsidTr="008723D9">
        <w:trPr>
          <w:trHeight w:hRule="exact" w:val="221"/>
          <w:jc w:val="center"/>
        </w:trPr>
        <w:tc>
          <w:tcPr>
            <w:tcW w:w="0" w:type="auto"/>
            <w:shd w:val="clear" w:color="auto" w:fill="FFFFFF"/>
          </w:tcPr>
          <w:p w14:paraId="020A81A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103</w:t>
            </w:r>
          </w:p>
        </w:tc>
        <w:tc>
          <w:tcPr>
            <w:tcW w:w="0" w:type="auto"/>
            <w:shd w:val="clear" w:color="auto" w:fill="FFFFFF"/>
          </w:tcPr>
          <w:p w14:paraId="681C321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BG2IU200R004</w:t>
            </w:r>
          </w:p>
        </w:tc>
        <w:tc>
          <w:tcPr>
            <w:tcW w:w="0" w:type="auto"/>
            <w:shd w:val="clear" w:color="auto" w:fill="FFFFFF"/>
          </w:tcPr>
          <w:p w14:paraId="1CB98694"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р.Мехмедженска</w:t>
            </w:r>
            <w:proofErr w:type="spellEnd"/>
            <w:r w:rsidRPr="009F6D1E">
              <w:rPr>
                <w:rFonts w:cs="Times New Roman"/>
                <w:sz w:val="20"/>
                <w:szCs w:val="20"/>
              </w:rPr>
              <w:t xml:space="preserve"> - от извор до вливане в </w:t>
            </w:r>
            <w:proofErr w:type="spellStart"/>
            <w:r w:rsidRPr="009F6D1E">
              <w:rPr>
                <w:rFonts w:cs="Times New Roman"/>
                <w:sz w:val="20"/>
                <w:szCs w:val="20"/>
              </w:rPr>
              <w:t>р.Ропотамо</w:t>
            </w:r>
            <w:proofErr w:type="spellEnd"/>
          </w:p>
        </w:tc>
        <w:tc>
          <w:tcPr>
            <w:tcW w:w="0" w:type="auto"/>
            <w:shd w:val="clear" w:color="auto" w:fill="FFFFFF"/>
          </w:tcPr>
          <w:p w14:paraId="146CA26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лошо</w:t>
            </w:r>
          </w:p>
        </w:tc>
        <w:tc>
          <w:tcPr>
            <w:tcW w:w="0" w:type="auto"/>
            <w:shd w:val="clear" w:color="auto" w:fill="FFFFFF"/>
          </w:tcPr>
          <w:p w14:paraId="269FEE1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730AA50" w14:textId="77777777" w:rsidTr="008723D9">
        <w:trPr>
          <w:trHeight w:hRule="exact" w:val="221"/>
          <w:jc w:val="center"/>
        </w:trPr>
        <w:tc>
          <w:tcPr>
            <w:tcW w:w="0" w:type="auto"/>
            <w:shd w:val="clear" w:color="auto" w:fill="FFFFFF"/>
          </w:tcPr>
          <w:p w14:paraId="509EABB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104</w:t>
            </w:r>
          </w:p>
        </w:tc>
        <w:tc>
          <w:tcPr>
            <w:tcW w:w="0" w:type="auto"/>
            <w:shd w:val="clear" w:color="auto" w:fill="FFFFFF"/>
          </w:tcPr>
          <w:p w14:paraId="722E90C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BG2IU400R010</w:t>
            </w:r>
          </w:p>
        </w:tc>
        <w:tc>
          <w:tcPr>
            <w:tcW w:w="0" w:type="auto"/>
            <w:shd w:val="clear" w:color="auto" w:fill="FFFFFF"/>
          </w:tcPr>
          <w:p w14:paraId="7F750173"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р.Дяволска</w:t>
            </w:r>
            <w:proofErr w:type="spellEnd"/>
            <w:r w:rsidRPr="009F6D1E">
              <w:rPr>
                <w:rFonts w:cs="Times New Roman"/>
                <w:sz w:val="20"/>
                <w:szCs w:val="20"/>
              </w:rPr>
              <w:t xml:space="preserve"> - от извор до вливане в </w:t>
            </w:r>
            <w:proofErr w:type="spellStart"/>
            <w:r w:rsidRPr="009F6D1E">
              <w:rPr>
                <w:rFonts w:cs="Times New Roman"/>
                <w:sz w:val="20"/>
                <w:szCs w:val="20"/>
              </w:rPr>
              <w:t>яз.Ясна</w:t>
            </w:r>
            <w:proofErr w:type="spellEnd"/>
            <w:r w:rsidRPr="009F6D1E">
              <w:rPr>
                <w:rFonts w:cs="Times New Roman"/>
                <w:sz w:val="20"/>
                <w:szCs w:val="20"/>
              </w:rPr>
              <w:t xml:space="preserve"> поляна</w:t>
            </w:r>
          </w:p>
        </w:tc>
        <w:tc>
          <w:tcPr>
            <w:tcW w:w="0" w:type="auto"/>
            <w:shd w:val="clear" w:color="auto" w:fill="FFFFFF"/>
          </w:tcPr>
          <w:p w14:paraId="46C58CF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23BEBBA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3CF01963" w14:textId="77777777" w:rsidTr="008723D9">
        <w:trPr>
          <w:trHeight w:hRule="exact" w:val="221"/>
          <w:jc w:val="center"/>
        </w:trPr>
        <w:tc>
          <w:tcPr>
            <w:tcW w:w="0" w:type="auto"/>
            <w:shd w:val="clear" w:color="auto" w:fill="FFFFFF"/>
          </w:tcPr>
          <w:p w14:paraId="510299F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105</w:t>
            </w:r>
          </w:p>
        </w:tc>
        <w:tc>
          <w:tcPr>
            <w:tcW w:w="0" w:type="auto"/>
            <w:shd w:val="clear" w:color="auto" w:fill="FFFFFF"/>
          </w:tcPr>
          <w:p w14:paraId="6BD8E5C7"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BG2IU400R1008</w:t>
            </w:r>
          </w:p>
        </w:tc>
        <w:tc>
          <w:tcPr>
            <w:tcW w:w="0" w:type="auto"/>
            <w:shd w:val="clear" w:color="auto" w:fill="FFFFFF"/>
          </w:tcPr>
          <w:p w14:paraId="7AF3EFB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Дяволска след </w:t>
            </w:r>
            <w:proofErr w:type="spellStart"/>
            <w:r w:rsidRPr="009F6D1E">
              <w:rPr>
                <w:rFonts w:cs="Times New Roman"/>
                <w:sz w:val="20"/>
                <w:szCs w:val="20"/>
              </w:rPr>
              <w:t>яз.Ясна</w:t>
            </w:r>
            <w:proofErr w:type="spellEnd"/>
            <w:r w:rsidRPr="009F6D1E">
              <w:rPr>
                <w:rFonts w:cs="Times New Roman"/>
                <w:sz w:val="20"/>
                <w:szCs w:val="20"/>
              </w:rPr>
              <w:t xml:space="preserve"> поляна до граница на преходни води</w:t>
            </w:r>
          </w:p>
        </w:tc>
        <w:tc>
          <w:tcPr>
            <w:tcW w:w="0" w:type="auto"/>
            <w:shd w:val="clear" w:color="auto" w:fill="FFFFFF"/>
          </w:tcPr>
          <w:p w14:paraId="7B40130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426BB66"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9E2E70F" w14:textId="77777777" w:rsidTr="008723D9">
        <w:trPr>
          <w:trHeight w:hRule="exact" w:val="226"/>
          <w:jc w:val="center"/>
        </w:trPr>
        <w:tc>
          <w:tcPr>
            <w:tcW w:w="0" w:type="auto"/>
            <w:shd w:val="clear" w:color="auto" w:fill="FFFFFF"/>
            <w:vAlign w:val="center"/>
          </w:tcPr>
          <w:p w14:paraId="620AC2E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106</w:t>
            </w:r>
          </w:p>
        </w:tc>
        <w:tc>
          <w:tcPr>
            <w:tcW w:w="0" w:type="auto"/>
            <w:shd w:val="clear" w:color="auto" w:fill="FFFFFF"/>
          </w:tcPr>
          <w:p w14:paraId="51E507B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BG2IU400R012</w:t>
            </w:r>
          </w:p>
        </w:tc>
        <w:tc>
          <w:tcPr>
            <w:tcW w:w="0" w:type="auto"/>
            <w:shd w:val="clear" w:color="auto" w:fill="FFFFFF"/>
          </w:tcPr>
          <w:p w14:paraId="5A66D15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Зеленковска</w:t>
            </w:r>
            <w:proofErr w:type="spellEnd"/>
            <w:r w:rsidRPr="009F6D1E">
              <w:rPr>
                <w:rFonts w:cs="Times New Roman"/>
                <w:sz w:val="20"/>
                <w:szCs w:val="20"/>
              </w:rPr>
              <w:t xml:space="preserve"> - от извор до вливане в </w:t>
            </w:r>
            <w:proofErr w:type="spellStart"/>
            <w:r w:rsidRPr="009F6D1E">
              <w:rPr>
                <w:rFonts w:cs="Times New Roman"/>
                <w:sz w:val="20"/>
                <w:szCs w:val="20"/>
              </w:rPr>
              <w:t>р.Дяволска</w:t>
            </w:r>
            <w:proofErr w:type="spellEnd"/>
          </w:p>
        </w:tc>
        <w:tc>
          <w:tcPr>
            <w:tcW w:w="0" w:type="auto"/>
            <w:shd w:val="clear" w:color="auto" w:fill="FFFFFF"/>
          </w:tcPr>
          <w:p w14:paraId="357A2E8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отлично</w:t>
            </w:r>
          </w:p>
        </w:tc>
        <w:tc>
          <w:tcPr>
            <w:tcW w:w="0" w:type="auto"/>
            <w:shd w:val="clear" w:color="auto" w:fill="FFFFFF"/>
          </w:tcPr>
          <w:p w14:paraId="2B58D4A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4F07E32" w14:textId="77777777" w:rsidTr="008723D9">
        <w:trPr>
          <w:trHeight w:hRule="exact" w:val="221"/>
          <w:jc w:val="center"/>
        </w:trPr>
        <w:tc>
          <w:tcPr>
            <w:tcW w:w="0" w:type="auto"/>
            <w:shd w:val="clear" w:color="auto" w:fill="FFFFFF"/>
          </w:tcPr>
          <w:p w14:paraId="60C6DC8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107</w:t>
            </w:r>
          </w:p>
        </w:tc>
        <w:tc>
          <w:tcPr>
            <w:tcW w:w="0" w:type="auto"/>
            <w:shd w:val="clear" w:color="auto" w:fill="FFFFFF"/>
          </w:tcPr>
          <w:p w14:paraId="4806013A"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BG2IU600R1213</w:t>
            </w:r>
          </w:p>
        </w:tc>
        <w:tc>
          <w:tcPr>
            <w:tcW w:w="0" w:type="auto"/>
            <w:shd w:val="clear" w:color="auto" w:fill="FFFFFF"/>
          </w:tcPr>
          <w:p w14:paraId="2969E909"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Караагач - от вливане на р. Илиева река до границата на преходните води</w:t>
            </w:r>
          </w:p>
        </w:tc>
        <w:tc>
          <w:tcPr>
            <w:tcW w:w="0" w:type="auto"/>
            <w:shd w:val="clear" w:color="auto" w:fill="FFFFFF"/>
          </w:tcPr>
          <w:p w14:paraId="5F1DC56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429DC2E"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C9D5CE0" w14:textId="77777777" w:rsidTr="008723D9">
        <w:trPr>
          <w:trHeight w:hRule="exact" w:val="221"/>
          <w:jc w:val="center"/>
        </w:trPr>
        <w:tc>
          <w:tcPr>
            <w:tcW w:w="0" w:type="auto"/>
            <w:shd w:val="clear" w:color="auto" w:fill="FFFFFF"/>
            <w:vAlign w:val="bottom"/>
          </w:tcPr>
          <w:p w14:paraId="3926017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108</w:t>
            </w:r>
          </w:p>
        </w:tc>
        <w:tc>
          <w:tcPr>
            <w:tcW w:w="0" w:type="auto"/>
            <w:shd w:val="clear" w:color="auto" w:fill="FFFFFF"/>
          </w:tcPr>
          <w:p w14:paraId="0212AF50"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BG2IU600R1413</w:t>
            </w:r>
          </w:p>
        </w:tc>
        <w:tc>
          <w:tcPr>
            <w:tcW w:w="0" w:type="auto"/>
            <w:shd w:val="clear" w:color="auto" w:fill="FFFFFF"/>
          </w:tcPr>
          <w:p w14:paraId="21DC4052"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Узунчаирска</w:t>
            </w:r>
            <w:proofErr w:type="spellEnd"/>
            <w:r w:rsidRPr="009F6D1E">
              <w:rPr>
                <w:rFonts w:cs="Times New Roman"/>
                <w:sz w:val="20"/>
                <w:szCs w:val="20"/>
              </w:rPr>
              <w:t xml:space="preserve"> - от извор до вливане на р. Дряновица</w:t>
            </w:r>
          </w:p>
        </w:tc>
        <w:tc>
          <w:tcPr>
            <w:tcW w:w="0" w:type="auto"/>
            <w:shd w:val="clear" w:color="auto" w:fill="FFFFFF"/>
          </w:tcPr>
          <w:p w14:paraId="199C3C5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9C4C3EF"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 xml:space="preserve">няма </w:t>
            </w:r>
            <w:proofErr w:type="spellStart"/>
            <w:r w:rsidRPr="009F6D1E">
              <w:rPr>
                <w:rFonts w:cs="Times New Roman"/>
                <w:sz w:val="20"/>
                <w:szCs w:val="20"/>
              </w:rPr>
              <w:t>дани</w:t>
            </w:r>
            <w:proofErr w:type="spellEnd"/>
          </w:p>
        </w:tc>
      </w:tr>
      <w:tr w:rsidR="00AE5785" w:rsidRPr="009F6D1E" w14:paraId="45144602" w14:textId="77777777" w:rsidTr="008723D9">
        <w:trPr>
          <w:trHeight w:hRule="exact" w:val="221"/>
          <w:jc w:val="center"/>
        </w:trPr>
        <w:tc>
          <w:tcPr>
            <w:tcW w:w="0" w:type="auto"/>
            <w:shd w:val="clear" w:color="auto" w:fill="FFFFFF"/>
          </w:tcPr>
          <w:p w14:paraId="2C00C7E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109</w:t>
            </w:r>
          </w:p>
        </w:tc>
        <w:tc>
          <w:tcPr>
            <w:tcW w:w="0" w:type="auto"/>
            <w:shd w:val="clear" w:color="auto" w:fill="FFFFFF"/>
          </w:tcPr>
          <w:p w14:paraId="3502C50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BG2IU600R1513</w:t>
            </w:r>
          </w:p>
        </w:tc>
        <w:tc>
          <w:tcPr>
            <w:tcW w:w="0" w:type="auto"/>
            <w:shd w:val="clear" w:color="auto" w:fill="FFFFFF"/>
          </w:tcPr>
          <w:p w14:paraId="464DC05D"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Караагач - от извор до вливане на р. Илиева река</w:t>
            </w:r>
          </w:p>
        </w:tc>
        <w:tc>
          <w:tcPr>
            <w:tcW w:w="0" w:type="auto"/>
            <w:shd w:val="clear" w:color="auto" w:fill="FFFFFF"/>
          </w:tcPr>
          <w:p w14:paraId="2FD97E50"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5CF8453"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BCDC6A6" w14:textId="77777777" w:rsidTr="008723D9">
        <w:trPr>
          <w:trHeight w:hRule="exact" w:val="221"/>
          <w:jc w:val="center"/>
        </w:trPr>
        <w:tc>
          <w:tcPr>
            <w:tcW w:w="0" w:type="auto"/>
            <w:shd w:val="clear" w:color="auto" w:fill="FFFFFF"/>
            <w:vAlign w:val="bottom"/>
          </w:tcPr>
          <w:p w14:paraId="35CE9D1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110</w:t>
            </w:r>
          </w:p>
        </w:tc>
        <w:tc>
          <w:tcPr>
            <w:tcW w:w="0" w:type="auto"/>
            <w:shd w:val="clear" w:color="auto" w:fill="FFFFFF"/>
          </w:tcPr>
          <w:p w14:paraId="526E019B"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BG2IU600R1313</w:t>
            </w:r>
          </w:p>
        </w:tc>
        <w:tc>
          <w:tcPr>
            <w:tcW w:w="0" w:type="auto"/>
            <w:shd w:val="clear" w:color="auto" w:fill="FFFFFF"/>
          </w:tcPr>
          <w:p w14:paraId="61406741"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Трионска</w:t>
            </w:r>
            <w:proofErr w:type="spellEnd"/>
            <w:r w:rsidRPr="009F6D1E">
              <w:rPr>
                <w:rFonts w:cs="Times New Roman"/>
                <w:sz w:val="20"/>
                <w:szCs w:val="20"/>
              </w:rPr>
              <w:t xml:space="preserve"> от извор да вливане на р. </w:t>
            </w:r>
            <w:proofErr w:type="spellStart"/>
            <w:r w:rsidRPr="009F6D1E">
              <w:rPr>
                <w:rFonts w:cs="Times New Roman"/>
                <w:sz w:val="20"/>
                <w:szCs w:val="20"/>
              </w:rPr>
              <w:t>Тисовица</w:t>
            </w:r>
            <w:proofErr w:type="spellEnd"/>
          </w:p>
        </w:tc>
        <w:tc>
          <w:tcPr>
            <w:tcW w:w="0" w:type="auto"/>
            <w:shd w:val="clear" w:color="auto" w:fill="FFFFFF"/>
          </w:tcPr>
          <w:p w14:paraId="7EC6218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201D825"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AA575A2" w14:textId="77777777" w:rsidTr="008723D9">
        <w:trPr>
          <w:trHeight w:hRule="exact" w:val="221"/>
          <w:jc w:val="center"/>
        </w:trPr>
        <w:tc>
          <w:tcPr>
            <w:tcW w:w="0" w:type="auto"/>
            <w:shd w:val="clear" w:color="auto" w:fill="FFFFFF"/>
            <w:vAlign w:val="bottom"/>
          </w:tcPr>
          <w:p w14:paraId="504ACBE2"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111</w:t>
            </w:r>
          </w:p>
        </w:tc>
        <w:tc>
          <w:tcPr>
            <w:tcW w:w="0" w:type="auto"/>
            <w:shd w:val="clear" w:color="auto" w:fill="FFFFFF"/>
          </w:tcPr>
          <w:p w14:paraId="607C876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BG2IU600R1113</w:t>
            </w:r>
          </w:p>
        </w:tc>
        <w:tc>
          <w:tcPr>
            <w:tcW w:w="0" w:type="auto"/>
            <w:shd w:val="clear" w:color="auto" w:fill="FFFFFF"/>
          </w:tcPr>
          <w:p w14:paraId="246430C6"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Узунчаирска</w:t>
            </w:r>
            <w:proofErr w:type="spellEnd"/>
            <w:r w:rsidRPr="009F6D1E">
              <w:rPr>
                <w:rFonts w:cs="Times New Roman"/>
                <w:sz w:val="20"/>
                <w:szCs w:val="20"/>
              </w:rPr>
              <w:t xml:space="preserve"> - от вливане на р. Дряновица до границата на преходните води</w:t>
            </w:r>
          </w:p>
        </w:tc>
        <w:tc>
          <w:tcPr>
            <w:tcW w:w="0" w:type="auto"/>
            <w:shd w:val="clear" w:color="auto" w:fill="FFFFFF"/>
          </w:tcPr>
          <w:p w14:paraId="32AFDD0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FBFC2EB"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ACF5409" w14:textId="77777777" w:rsidTr="008723D9">
        <w:trPr>
          <w:trHeight w:hRule="exact" w:val="226"/>
          <w:jc w:val="center"/>
        </w:trPr>
        <w:tc>
          <w:tcPr>
            <w:tcW w:w="0" w:type="auto"/>
            <w:shd w:val="clear" w:color="auto" w:fill="FFFFFF"/>
            <w:vAlign w:val="bottom"/>
          </w:tcPr>
          <w:p w14:paraId="589E8D8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112</w:t>
            </w:r>
          </w:p>
        </w:tc>
        <w:tc>
          <w:tcPr>
            <w:tcW w:w="0" w:type="auto"/>
            <w:shd w:val="clear" w:color="auto" w:fill="FFFFFF"/>
          </w:tcPr>
          <w:p w14:paraId="55A897C3"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BG2IU800R1015</w:t>
            </w:r>
          </w:p>
        </w:tc>
        <w:tc>
          <w:tcPr>
            <w:tcW w:w="0" w:type="auto"/>
            <w:shd w:val="clear" w:color="auto" w:fill="FFFFFF"/>
          </w:tcPr>
          <w:p w14:paraId="3FD2E942"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Лисово дере - от извор до границата на преходните води</w:t>
            </w:r>
          </w:p>
        </w:tc>
        <w:tc>
          <w:tcPr>
            <w:tcW w:w="0" w:type="auto"/>
            <w:shd w:val="clear" w:color="auto" w:fill="FFFFFF"/>
          </w:tcPr>
          <w:p w14:paraId="194B658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7C8238F0"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4E33B7B" w14:textId="77777777" w:rsidTr="00BA12F4">
        <w:trPr>
          <w:trHeight w:hRule="exact" w:val="221"/>
          <w:jc w:val="center"/>
        </w:trPr>
        <w:tc>
          <w:tcPr>
            <w:tcW w:w="0" w:type="auto"/>
            <w:gridSpan w:val="5"/>
            <w:shd w:val="clear" w:color="auto" w:fill="F2F2F2" w:themeFill="background1" w:themeFillShade="F2"/>
          </w:tcPr>
          <w:p w14:paraId="6ED7B90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РЕКА ВЕЛЕКА</w:t>
            </w:r>
          </w:p>
        </w:tc>
      </w:tr>
      <w:tr w:rsidR="00AE5785" w:rsidRPr="009F6D1E" w14:paraId="3354071C" w14:textId="77777777" w:rsidTr="008723D9">
        <w:trPr>
          <w:trHeight w:hRule="exact" w:val="221"/>
          <w:jc w:val="center"/>
        </w:trPr>
        <w:tc>
          <w:tcPr>
            <w:tcW w:w="0" w:type="auto"/>
            <w:shd w:val="clear" w:color="auto" w:fill="FFFFFF"/>
          </w:tcPr>
          <w:p w14:paraId="7C6DBF03"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113</w:t>
            </w:r>
          </w:p>
        </w:tc>
        <w:tc>
          <w:tcPr>
            <w:tcW w:w="0" w:type="auto"/>
            <w:shd w:val="clear" w:color="auto" w:fill="FFFFFF"/>
          </w:tcPr>
          <w:p w14:paraId="1945D46C"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BG2VE106R1001</w:t>
            </w:r>
          </w:p>
        </w:tc>
        <w:tc>
          <w:tcPr>
            <w:tcW w:w="0" w:type="auto"/>
            <w:shd w:val="clear" w:color="auto" w:fill="FFFFFF"/>
          </w:tcPr>
          <w:p w14:paraId="26F2F04E"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р. Велека - от граница с Р. Турция до река Чурка</w:t>
            </w:r>
          </w:p>
        </w:tc>
        <w:tc>
          <w:tcPr>
            <w:tcW w:w="0" w:type="auto"/>
            <w:shd w:val="clear" w:color="auto" w:fill="FFFFFF"/>
          </w:tcPr>
          <w:p w14:paraId="50F9953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11DF01C8"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51ED4865" w14:textId="77777777" w:rsidTr="008723D9">
        <w:trPr>
          <w:trHeight w:hRule="exact" w:val="221"/>
          <w:jc w:val="center"/>
        </w:trPr>
        <w:tc>
          <w:tcPr>
            <w:tcW w:w="0" w:type="auto"/>
            <w:shd w:val="clear" w:color="auto" w:fill="FFFFFF"/>
          </w:tcPr>
          <w:p w14:paraId="39A1928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114</w:t>
            </w:r>
          </w:p>
        </w:tc>
        <w:tc>
          <w:tcPr>
            <w:tcW w:w="0" w:type="auto"/>
            <w:shd w:val="clear" w:color="auto" w:fill="FFFFFF"/>
          </w:tcPr>
          <w:p w14:paraId="067EA786"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BG2VE106R1101</w:t>
            </w:r>
          </w:p>
        </w:tc>
        <w:tc>
          <w:tcPr>
            <w:tcW w:w="0" w:type="auto"/>
            <w:shd w:val="clear" w:color="auto" w:fill="FFFFFF"/>
          </w:tcPr>
          <w:p w14:paraId="43ED83CA"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Велека - от вливане на река Чурка до вливане на река </w:t>
            </w:r>
            <w:proofErr w:type="spellStart"/>
            <w:r w:rsidRPr="009F6D1E">
              <w:rPr>
                <w:rFonts w:cs="Times New Roman"/>
                <w:sz w:val="20"/>
                <w:szCs w:val="20"/>
              </w:rPr>
              <w:t>Айдере</w:t>
            </w:r>
            <w:proofErr w:type="spellEnd"/>
            <w:r w:rsidRPr="009F6D1E">
              <w:rPr>
                <w:rFonts w:cs="Times New Roman"/>
                <w:sz w:val="20"/>
                <w:szCs w:val="20"/>
              </w:rPr>
              <w:t xml:space="preserve"> (Мечи дол)</w:t>
            </w:r>
          </w:p>
        </w:tc>
        <w:tc>
          <w:tcPr>
            <w:tcW w:w="0" w:type="auto"/>
            <w:shd w:val="clear" w:color="auto" w:fill="FFFFFF"/>
          </w:tcPr>
          <w:p w14:paraId="09E5BA7F"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D305302"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6C2A0C0" w14:textId="77777777" w:rsidTr="008723D9">
        <w:trPr>
          <w:trHeight w:hRule="exact" w:val="221"/>
          <w:jc w:val="center"/>
        </w:trPr>
        <w:tc>
          <w:tcPr>
            <w:tcW w:w="0" w:type="auto"/>
            <w:shd w:val="clear" w:color="auto" w:fill="FFFFFF"/>
          </w:tcPr>
          <w:p w14:paraId="16FF2E46"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115</w:t>
            </w:r>
          </w:p>
        </w:tc>
        <w:tc>
          <w:tcPr>
            <w:tcW w:w="0" w:type="auto"/>
            <w:shd w:val="clear" w:color="auto" w:fill="FFFFFF"/>
          </w:tcPr>
          <w:p w14:paraId="569EF644"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BG2VE400R1</w:t>
            </w:r>
            <w:r w:rsidRPr="009F6D1E">
              <w:rPr>
                <w:rFonts w:cs="Times New Roman"/>
                <w:sz w:val="20"/>
                <w:szCs w:val="20"/>
              </w:rPr>
              <w:t>501</w:t>
            </w:r>
          </w:p>
        </w:tc>
        <w:tc>
          <w:tcPr>
            <w:tcW w:w="0" w:type="auto"/>
            <w:shd w:val="clear" w:color="auto" w:fill="FFFFFF"/>
          </w:tcPr>
          <w:p w14:paraId="2B5A6971"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Младежка - от извор до вливане в </w:t>
            </w:r>
            <w:proofErr w:type="spellStart"/>
            <w:r w:rsidRPr="009F6D1E">
              <w:rPr>
                <w:rFonts w:cs="Times New Roman"/>
                <w:sz w:val="20"/>
                <w:szCs w:val="20"/>
              </w:rPr>
              <w:t>р.Велека</w:t>
            </w:r>
            <w:proofErr w:type="spellEnd"/>
          </w:p>
        </w:tc>
        <w:tc>
          <w:tcPr>
            <w:tcW w:w="0" w:type="auto"/>
            <w:shd w:val="clear" w:color="auto" w:fill="FFFFFF"/>
          </w:tcPr>
          <w:p w14:paraId="468BEC9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10137B4"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084C319C" w14:textId="77777777" w:rsidTr="008723D9">
        <w:trPr>
          <w:trHeight w:hRule="exact" w:val="221"/>
          <w:jc w:val="center"/>
        </w:trPr>
        <w:tc>
          <w:tcPr>
            <w:tcW w:w="0" w:type="auto"/>
            <w:shd w:val="clear" w:color="auto" w:fill="FFFFFF"/>
            <w:vAlign w:val="bottom"/>
          </w:tcPr>
          <w:p w14:paraId="139DAD9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116</w:t>
            </w:r>
          </w:p>
        </w:tc>
        <w:tc>
          <w:tcPr>
            <w:tcW w:w="0" w:type="auto"/>
            <w:shd w:val="clear" w:color="auto" w:fill="FFFFFF"/>
          </w:tcPr>
          <w:p w14:paraId="231A0012"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BG2VE700R1</w:t>
            </w:r>
            <w:r w:rsidRPr="009F6D1E">
              <w:rPr>
                <w:rFonts w:cs="Times New Roman"/>
                <w:sz w:val="20"/>
                <w:szCs w:val="20"/>
              </w:rPr>
              <w:t>601</w:t>
            </w:r>
          </w:p>
        </w:tc>
        <w:tc>
          <w:tcPr>
            <w:tcW w:w="0" w:type="auto"/>
            <w:shd w:val="clear" w:color="auto" w:fill="FFFFFF"/>
          </w:tcPr>
          <w:p w14:paraId="37816BD3"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Айдере</w:t>
            </w:r>
            <w:proofErr w:type="spellEnd"/>
            <w:r w:rsidRPr="009F6D1E">
              <w:rPr>
                <w:rFonts w:cs="Times New Roman"/>
                <w:sz w:val="20"/>
                <w:szCs w:val="20"/>
              </w:rPr>
              <w:t xml:space="preserve"> - от извор до вливане в р. Велека</w:t>
            </w:r>
          </w:p>
        </w:tc>
        <w:tc>
          <w:tcPr>
            <w:tcW w:w="0" w:type="auto"/>
            <w:shd w:val="clear" w:color="auto" w:fill="FFFFFF"/>
          </w:tcPr>
          <w:p w14:paraId="7B123F19"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060BA882"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503E587" w14:textId="77777777" w:rsidTr="00BA12F4">
        <w:trPr>
          <w:trHeight w:hRule="exact" w:val="518"/>
          <w:jc w:val="center"/>
        </w:trPr>
        <w:tc>
          <w:tcPr>
            <w:tcW w:w="0" w:type="auto"/>
            <w:shd w:val="clear" w:color="auto" w:fill="FFFFFF"/>
            <w:vAlign w:val="center"/>
          </w:tcPr>
          <w:p w14:paraId="6E17F1D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117</w:t>
            </w:r>
          </w:p>
        </w:tc>
        <w:tc>
          <w:tcPr>
            <w:tcW w:w="0" w:type="auto"/>
            <w:shd w:val="clear" w:color="auto" w:fill="FFFFFF"/>
            <w:vAlign w:val="center"/>
          </w:tcPr>
          <w:p w14:paraId="27A643A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lang w:bidi="en-US"/>
              </w:rPr>
              <w:t>BG2VE106R1201</w:t>
            </w:r>
          </w:p>
        </w:tc>
        <w:tc>
          <w:tcPr>
            <w:tcW w:w="0" w:type="auto"/>
            <w:shd w:val="clear" w:color="auto" w:fill="FFFFFF"/>
            <w:vAlign w:val="bottom"/>
          </w:tcPr>
          <w:p w14:paraId="307D9F67"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I Участък: р. Велека - от вливане на р. </w:t>
            </w:r>
            <w:proofErr w:type="spellStart"/>
            <w:r w:rsidRPr="009F6D1E">
              <w:rPr>
                <w:rFonts w:cs="Times New Roman"/>
                <w:sz w:val="20"/>
                <w:szCs w:val="20"/>
              </w:rPr>
              <w:t>Айдере</w:t>
            </w:r>
            <w:proofErr w:type="spellEnd"/>
            <w:r w:rsidRPr="009F6D1E">
              <w:rPr>
                <w:rFonts w:cs="Times New Roman"/>
                <w:sz w:val="20"/>
                <w:szCs w:val="20"/>
              </w:rPr>
              <w:t xml:space="preserve"> до с. Кости, II Участък: р. Дяволски дол - от извор до вливане в р. Велека, III Участък: р. </w:t>
            </w:r>
            <w:proofErr w:type="spellStart"/>
            <w:r w:rsidRPr="009F6D1E">
              <w:rPr>
                <w:rFonts w:cs="Times New Roman"/>
                <w:sz w:val="20"/>
                <w:szCs w:val="20"/>
              </w:rPr>
              <w:t>Трашка</w:t>
            </w:r>
            <w:proofErr w:type="spellEnd"/>
            <w:r w:rsidRPr="009F6D1E">
              <w:rPr>
                <w:rFonts w:cs="Times New Roman"/>
                <w:sz w:val="20"/>
                <w:szCs w:val="20"/>
              </w:rPr>
              <w:t xml:space="preserve"> - от извор до вливане в р. Велека</w:t>
            </w:r>
          </w:p>
        </w:tc>
        <w:tc>
          <w:tcPr>
            <w:tcW w:w="0" w:type="auto"/>
            <w:shd w:val="clear" w:color="auto" w:fill="FFFFFF"/>
            <w:vAlign w:val="center"/>
          </w:tcPr>
          <w:p w14:paraId="5E590E6E"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center"/>
          </w:tcPr>
          <w:p w14:paraId="198B6DE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69DB3211" w14:textId="77777777" w:rsidTr="008723D9">
        <w:trPr>
          <w:trHeight w:hRule="exact" w:val="221"/>
          <w:jc w:val="center"/>
        </w:trPr>
        <w:tc>
          <w:tcPr>
            <w:tcW w:w="0" w:type="auto"/>
            <w:shd w:val="clear" w:color="auto" w:fill="FFFFFF"/>
            <w:vAlign w:val="bottom"/>
          </w:tcPr>
          <w:p w14:paraId="51891EC5"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118</w:t>
            </w:r>
          </w:p>
        </w:tc>
        <w:tc>
          <w:tcPr>
            <w:tcW w:w="0" w:type="auto"/>
            <w:shd w:val="clear" w:color="auto" w:fill="FFFFFF"/>
          </w:tcPr>
          <w:p w14:paraId="146E4449"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BG2VE106R1301</w:t>
            </w:r>
          </w:p>
        </w:tc>
        <w:tc>
          <w:tcPr>
            <w:tcW w:w="0" w:type="auto"/>
            <w:shd w:val="clear" w:color="auto" w:fill="FFFFFF"/>
          </w:tcPr>
          <w:p w14:paraId="653E5A64" w14:textId="77777777" w:rsidR="00AE5785" w:rsidRPr="009F6D1E" w:rsidRDefault="00AE5785" w:rsidP="0084747F">
            <w:pPr>
              <w:spacing w:after="60" w:line="264" w:lineRule="auto"/>
              <w:jc w:val="both"/>
              <w:rPr>
                <w:rFonts w:cs="Times New Roman"/>
                <w:sz w:val="20"/>
                <w:szCs w:val="20"/>
              </w:rPr>
            </w:pPr>
            <w:r w:rsidRPr="009F6D1E">
              <w:rPr>
                <w:rFonts w:cs="Times New Roman"/>
                <w:sz w:val="20"/>
                <w:szCs w:val="20"/>
              </w:rPr>
              <w:t xml:space="preserve">р. Велека - от Мост на с. Кости до 7 </w:t>
            </w:r>
            <w:proofErr w:type="spellStart"/>
            <w:r w:rsidRPr="009F6D1E">
              <w:rPr>
                <w:rFonts w:cs="Times New Roman"/>
                <w:sz w:val="20"/>
                <w:szCs w:val="20"/>
              </w:rPr>
              <w:t>кт</w:t>
            </w:r>
            <w:proofErr w:type="spellEnd"/>
            <w:r w:rsidRPr="009F6D1E">
              <w:rPr>
                <w:rFonts w:cs="Times New Roman"/>
                <w:sz w:val="20"/>
                <w:szCs w:val="20"/>
              </w:rPr>
              <w:t xml:space="preserve"> след с. Бродилово</w:t>
            </w:r>
          </w:p>
        </w:tc>
        <w:tc>
          <w:tcPr>
            <w:tcW w:w="0" w:type="auto"/>
            <w:shd w:val="clear" w:color="auto" w:fill="FFFFFF"/>
          </w:tcPr>
          <w:p w14:paraId="241E9F2C"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45CD2397"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19C3AD4B" w14:textId="77777777" w:rsidTr="008723D9">
        <w:trPr>
          <w:trHeight w:hRule="exact" w:val="230"/>
          <w:jc w:val="center"/>
        </w:trPr>
        <w:tc>
          <w:tcPr>
            <w:tcW w:w="0" w:type="auto"/>
            <w:shd w:val="clear" w:color="auto" w:fill="FFFFFF"/>
          </w:tcPr>
          <w:p w14:paraId="191CAAB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119</w:t>
            </w:r>
          </w:p>
        </w:tc>
        <w:tc>
          <w:tcPr>
            <w:tcW w:w="0" w:type="auto"/>
            <w:shd w:val="clear" w:color="auto" w:fill="FFFFFF"/>
          </w:tcPr>
          <w:p w14:paraId="7BCD0D1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BG2VE106R1701</w:t>
            </w:r>
          </w:p>
        </w:tc>
        <w:tc>
          <w:tcPr>
            <w:tcW w:w="0" w:type="auto"/>
            <w:shd w:val="clear" w:color="auto" w:fill="FFFFFF"/>
          </w:tcPr>
          <w:p w14:paraId="047BD518" w14:textId="77777777" w:rsidR="00AE5785" w:rsidRPr="009F6D1E" w:rsidRDefault="00AE5785" w:rsidP="0084747F">
            <w:pPr>
              <w:spacing w:after="60" w:line="264" w:lineRule="auto"/>
              <w:jc w:val="both"/>
              <w:rPr>
                <w:rFonts w:cs="Times New Roman"/>
                <w:sz w:val="20"/>
                <w:szCs w:val="20"/>
              </w:rPr>
            </w:pPr>
            <w:proofErr w:type="spellStart"/>
            <w:r w:rsidRPr="009F6D1E">
              <w:rPr>
                <w:rFonts w:cs="Times New Roman"/>
                <w:sz w:val="20"/>
                <w:szCs w:val="20"/>
              </w:rPr>
              <w:t>р.Еленица</w:t>
            </w:r>
            <w:proofErr w:type="spellEnd"/>
            <w:r w:rsidRPr="009F6D1E">
              <w:rPr>
                <w:rFonts w:cs="Times New Roman"/>
                <w:sz w:val="20"/>
                <w:szCs w:val="20"/>
              </w:rPr>
              <w:t xml:space="preserve"> - от извор до вливане в р. Велека</w:t>
            </w:r>
          </w:p>
        </w:tc>
        <w:tc>
          <w:tcPr>
            <w:tcW w:w="0" w:type="auto"/>
            <w:shd w:val="clear" w:color="auto" w:fill="FFFFFF"/>
          </w:tcPr>
          <w:p w14:paraId="1DAAB3F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38C5DD33"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BFFA71C" w14:textId="77777777" w:rsidTr="008723D9">
        <w:trPr>
          <w:trHeight w:hRule="exact" w:val="245"/>
          <w:jc w:val="center"/>
        </w:trPr>
        <w:tc>
          <w:tcPr>
            <w:tcW w:w="0" w:type="auto"/>
            <w:shd w:val="clear" w:color="auto" w:fill="FFFFFF"/>
            <w:vAlign w:val="bottom"/>
          </w:tcPr>
          <w:p w14:paraId="02DBDFD4"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120</w:t>
            </w:r>
          </w:p>
        </w:tc>
        <w:tc>
          <w:tcPr>
            <w:tcW w:w="0" w:type="auto"/>
            <w:shd w:val="clear" w:color="auto" w:fill="FFFFFF"/>
            <w:vAlign w:val="bottom"/>
          </w:tcPr>
          <w:p w14:paraId="482689BA"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BG2VE106R1401</w:t>
            </w:r>
          </w:p>
        </w:tc>
        <w:tc>
          <w:tcPr>
            <w:tcW w:w="0" w:type="auto"/>
            <w:shd w:val="clear" w:color="auto" w:fill="FFFFFF"/>
            <w:vAlign w:val="bottom"/>
          </w:tcPr>
          <w:p w14:paraId="097E89E1" w14:textId="77777777" w:rsidR="00AE5785" w:rsidRPr="009F6D1E" w:rsidRDefault="00AE5785" w:rsidP="0084747F">
            <w:pPr>
              <w:spacing w:after="60" w:line="264" w:lineRule="auto"/>
              <w:rPr>
                <w:rFonts w:cs="Times New Roman"/>
                <w:sz w:val="20"/>
                <w:szCs w:val="20"/>
              </w:rPr>
            </w:pPr>
            <w:r w:rsidRPr="009F6D1E">
              <w:rPr>
                <w:rFonts w:cs="Times New Roman"/>
                <w:sz w:val="20"/>
                <w:szCs w:val="20"/>
              </w:rPr>
              <w:t xml:space="preserve">р. Велека - от 7 </w:t>
            </w:r>
            <w:proofErr w:type="spellStart"/>
            <w:r w:rsidRPr="009F6D1E">
              <w:rPr>
                <w:rFonts w:cs="Times New Roman"/>
                <w:sz w:val="20"/>
                <w:szCs w:val="20"/>
              </w:rPr>
              <w:t>кт</w:t>
            </w:r>
            <w:proofErr w:type="spellEnd"/>
            <w:r w:rsidRPr="009F6D1E">
              <w:rPr>
                <w:rFonts w:cs="Times New Roman"/>
                <w:sz w:val="20"/>
                <w:szCs w:val="20"/>
              </w:rPr>
              <w:t xml:space="preserve"> след с. Бродилово до границата на преходните води</w:t>
            </w:r>
          </w:p>
        </w:tc>
        <w:tc>
          <w:tcPr>
            <w:tcW w:w="0" w:type="auto"/>
            <w:shd w:val="clear" w:color="auto" w:fill="FFFFFF"/>
            <w:vAlign w:val="bottom"/>
          </w:tcPr>
          <w:p w14:paraId="567C3708"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vAlign w:val="bottom"/>
          </w:tcPr>
          <w:p w14:paraId="765813E1"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FF82E9E" w14:textId="77777777" w:rsidTr="008723D9">
        <w:trPr>
          <w:trHeight w:hRule="exact" w:val="221"/>
          <w:jc w:val="center"/>
        </w:trPr>
        <w:tc>
          <w:tcPr>
            <w:tcW w:w="0" w:type="auto"/>
            <w:shd w:val="clear" w:color="auto" w:fill="FFFFFF"/>
            <w:vAlign w:val="bottom"/>
          </w:tcPr>
          <w:p w14:paraId="09BAA721"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121</w:t>
            </w:r>
          </w:p>
        </w:tc>
        <w:tc>
          <w:tcPr>
            <w:tcW w:w="0" w:type="auto"/>
            <w:shd w:val="clear" w:color="auto" w:fill="FFFFFF"/>
          </w:tcPr>
          <w:p w14:paraId="58AA5B2D"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BG2RE200R1301</w:t>
            </w:r>
          </w:p>
        </w:tc>
        <w:tc>
          <w:tcPr>
            <w:tcW w:w="0" w:type="auto"/>
            <w:shd w:val="clear" w:color="auto" w:fill="FFFFFF"/>
          </w:tcPr>
          <w:p w14:paraId="1A78C469" w14:textId="77777777" w:rsidR="00AE5785" w:rsidRPr="009F6D1E" w:rsidRDefault="00AE5785" w:rsidP="0084747F">
            <w:pPr>
              <w:spacing w:after="60" w:line="264" w:lineRule="auto"/>
              <w:rPr>
                <w:rFonts w:cs="Times New Roman"/>
                <w:sz w:val="20"/>
                <w:szCs w:val="20"/>
              </w:rPr>
            </w:pPr>
            <w:proofErr w:type="spellStart"/>
            <w:r w:rsidRPr="009F6D1E">
              <w:rPr>
                <w:rFonts w:cs="Times New Roman"/>
                <w:sz w:val="20"/>
                <w:szCs w:val="20"/>
              </w:rPr>
              <w:t>р.Силистар</w:t>
            </w:r>
            <w:proofErr w:type="spellEnd"/>
            <w:r w:rsidRPr="009F6D1E">
              <w:rPr>
                <w:rFonts w:cs="Times New Roman"/>
                <w:sz w:val="20"/>
                <w:szCs w:val="20"/>
              </w:rPr>
              <w:t xml:space="preserve"> - от извор до границата на преходните води</w:t>
            </w:r>
          </w:p>
        </w:tc>
        <w:tc>
          <w:tcPr>
            <w:tcW w:w="0" w:type="auto"/>
            <w:shd w:val="clear" w:color="auto" w:fill="FFFFFF"/>
          </w:tcPr>
          <w:p w14:paraId="2613BBAD"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5E1392EB"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r w:rsidR="00AE5785" w:rsidRPr="009F6D1E" w14:paraId="2235F887" w14:textId="77777777" w:rsidTr="008723D9">
        <w:trPr>
          <w:trHeight w:hRule="exact" w:val="230"/>
          <w:jc w:val="center"/>
        </w:trPr>
        <w:tc>
          <w:tcPr>
            <w:tcW w:w="0" w:type="auto"/>
            <w:shd w:val="clear" w:color="auto" w:fill="FFFFFF"/>
            <w:vAlign w:val="bottom"/>
          </w:tcPr>
          <w:p w14:paraId="5F2136CB"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122</w:t>
            </w:r>
          </w:p>
        </w:tc>
        <w:tc>
          <w:tcPr>
            <w:tcW w:w="0" w:type="auto"/>
            <w:shd w:val="clear" w:color="auto" w:fill="FFFFFF"/>
          </w:tcPr>
          <w:p w14:paraId="183FE9F5" w14:textId="77777777" w:rsidR="00AE5785" w:rsidRPr="009F6D1E" w:rsidRDefault="00AE5785" w:rsidP="0084747F">
            <w:pPr>
              <w:spacing w:after="60" w:line="264" w:lineRule="auto"/>
              <w:rPr>
                <w:rFonts w:cs="Times New Roman"/>
                <w:sz w:val="20"/>
                <w:szCs w:val="20"/>
              </w:rPr>
            </w:pPr>
            <w:r w:rsidRPr="009F6D1E">
              <w:rPr>
                <w:rFonts w:cs="Times New Roman"/>
                <w:sz w:val="20"/>
                <w:szCs w:val="20"/>
                <w:lang w:bidi="en-US"/>
              </w:rPr>
              <w:t>BG2RE200R1</w:t>
            </w:r>
            <w:r w:rsidRPr="009F6D1E">
              <w:rPr>
                <w:rFonts w:cs="Times New Roman"/>
                <w:sz w:val="20"/>
                <w:szCs w:val="20"/>
              </w:rPr>
              <w:t>001</w:t>
            </w:r>
          </w:p>
        </w:tc>
        <w:tc>
          <w:tcPr>
            <w:tcW w:w="0" w:type="auto"/>
            <w:shd w:val="clear" w:color="auto" w:fill="FFFFFF"/>
          </w:tcPr>
          <w:p w14:paraId="66FF182B" w14:textId="77777777" w:rsidR="00AE5785" w:rsidRPr="009F6D1E" w:rsidRDefault="00AE5785" w:rsidP="0084747F">
            <w:pPr>
              <w:spacing w:after="60" w:line="264" w:lineRule="auto"/>
              <w:rPr>
                <w:rFonts w:cs="Times New Roman"/>
                <w:sz w:val="20"/>
                <w:szCs w:val="20"/>
              </w:rPr>
            </w:pPr>
            <w:r w:rsidRPr="009F6D1E">
              <w:rPr>
                <w:rFonts w:cs="Times New Roman"/>
                <w:sz w:val="20"/>
                <w:szCs w:val="20"/>
              </w:rPr>
              <w:t xml:space="preserve">р. </w:t>
            </w:r>
            <w:proofErr w:type="spellStart"/>
            <w:r w:rsidRPr="009F6D1E">
              <w:rPr>
                <w:rFonts w:cs="Times New Roman"/>
                <w:sz w:val="20"/>
                <w:szCs w:val="20"/>
              </w:rPr>
              <w:t>Бутамята</w:t>
            </w:r>
            <w:proofErr w:type="spellEnd"/>
            <w:r w:rsidRPr="009F6D1E">
              <w:rPr>
                <w:rFonts w:cs="Times New Roman"/>
                <w:sz w:val="20"/>
                <w:szCs w:val="20"/>
              </w:rPr>
              <w:t xml:space="preserve"> - извор до границата на преходните води</w:t>
            </w:r>
          </w:p>
        </w:tc>
        <w:tc>
          <w:tcPr>
            <w:tcW w:w="0" w:type="auto"/>
            <w:shd w:val="clear" w:color="auto" w:fill="FFFFFF"/>
          </w:tcPr>
          <w:p w14:paraId="634F245A" w14:textId="77777777" w:rsidR="00AE5785" w:rsidRPr="009F6D1E" w:rsidRDefault="00AE5785" w:rsidP="0084747F">
            <w:pPr>
              <w:spacing w:after="60" w:line="264" w:lineRule="auto"/>
              <w:jc w:val="center"/>
              <w:rPr>
                <w:rFonts w:cs="Times New Roman"/>
                <w:sz w:val="20"/>
                <w:szCs w:val="20"/>
              </w:rPr>
            </w:pPr>
            <w:r w:rsidRPr="009F6D1E">
              <w:rPr>
                <w:rFonts w:cs="Times New Roman"/>
                <w:sz w:val="20"/>
                <w:szCs w:val="20"/>
              </w:rPr>
              <w:t>добро</w:t>
            </w:r>
          </w:p>
        </w:tc>
        <w:tc>
          <w:tcPr>
            <w:tcW w:w="0" w:type="auto"/>
            <w:shd w:val="clear" w:color="auto" w:fill="FFFFFF"/>
          </w:tcPr>
          <w:p w14:paraId="6E327EC3" w14:textId="77777777" w:rsidR="00AE5785" w:rsidRPr="009F6D1E" w:rsidRDefault="007E18C8" w:rsidP="0084747F">
            <w:pPr>
              <w:spacing w:after="60" w:line="264" w:lineRule="auto"/>
              <w:jc w:val="center"/>
              <w:rPr>
                <w:rFonts w:cs="Times New Roman"/>
                <w:sz w:val="20"/>
                <w:szCs w:val="20"/>
              </w:rPr>
            </w:pPr>
            <w:r w:rsidRPr="009F6D1E">
              <w:rPr>
                <w:rFonts w:cs="Times New Roman"/>
                <w:sz w:val="20"/>
                <w:szCs w:val="20"/>
              </w:rPr>
              <w:t>няма данни</w:t>
            </w:r>
          </w:p>
        </w:tc>
      </w:tr>
    </w:tbl>
    <w:p w14:paraId="0B8C05EC" w14:textId="77777777" w:rsidR="00AE5785" w:rsidRPr="009F6D1E" w:rsidRDefault="00AE5785" w:rsidP="0084747F">
      <w:pPr>
        <w:spacing w:after="60" w:line="264" w:lineRule="auto"/>
        <w:jc w:val="right"/>
        <w:rPr>
          <w:rFonts w:cs="Times New Roman"/>
        </w:rPr>
      </w:pPr>
      <w:r w:rsidRPr="009F6D1E">
        <w:rPr>
          <w:rStyle w:val="Bodytext12Exact"/>
          <w:rFonts w:eastAsiaTheme="minorHAnsi"/>
        </w:rPr>
        <w:t>Източник: ПУРБ БДЧР 2016-2021 г.</w:t>
      </w:r>
    </w:p>
    <w:p w14:paraId="15CBEF07" w14:textId="77777777" w:rsidR="00AE5785" w:rsidRPr="009F6D1E" w:rsidRDefault="00AE5785" w:rsidP="0084747F">
      <w:pPr>
        <w:spacing w:after="60" w:line="264" w:lineRule="auto"/>
        <w:ind w:firstLine="560"/>
        <w:jc w:val="both"/>
        <w:rPr>
          <w:rFonts w:cs="Times New Roman"/>
          <w:highlight w:val="green"/>
        </w:rPr>
      </w:pPr>
    </w:p>
    <w:p w14:paraId="4B9D8D2D" w14:textId="77777777" w:rsidR="00AE5785" w:rsidRPr="009F6D1E" w:rsidRDefault="00AE5785" w:rsidP="0084747F">
      <w:pPr>
        <w:spacing w:after="60" w:line="264" w:lineRule="auto"/>
        <w:ind w:firstLine="560"/>
        <w:jc w:val="both"/>
        <w:rPr>
          <w:rFonts w:cs="Times New Roman"/>
          <w:highlight w:val="green"/>
        </w:rPr>
        <w:sectPr w:rsidR="00AE5785" w:rsidRPr="009F6D1E" w:rsidSect="00AE5785">
          <w:pgSz w:w="16840" w:h="11907" w:orient="landscape" w:code="9"/>
          <w:pgMar w:top="1418" w:right="1418" w:bottom="851" w:left="1134" w:header="709" w:footer="709" w:gutter="0"/>
          <w:cols w:space="720"/>
          <w:docGrid w:linePitch="360"/>
        </w:sectPr>
      </w:pPr>
    </w:p>
    <w:p w14:paraId="763DC293" w14:textId="77777777" w:rsidR="00AE5785" w:rsidRPr="009F6D1E" w:rsidRDefault="00AE5785" w:rsidP="0084747F">
      <w:pPr>
        <w:spacing w:after="60" w:line="264" w:lineRule="auto"/>
        <w:ind w:firstLine="680"/>
        <w:jc w:val="both"/>
        <w:rPr>
          <w:rFonts w:cs="Times New Roman"/>
          <w:b/>
          <w:bCs/>
          <w:szCs w:val="24"/>
        </w:rPr>
      </w:pPr>
      <w:bookmarkStart w:id="250" w:name="bookmark81"/>
      <w:r w:rsidRPr="009F6D1E">
        <w:rPr>
          <w:rFonts w:cs="Times New Roman"/>
          <w:b/>
          <w:bCs/>
          <w:szCs w:val="24"/>
        </w:rPr>
        <w:lastRenderedPageBreak/>
        <w:t>Текущо състояние на повърхностните води - Басейнова дирекция за управление на водите „</w:t>
      </w:r>
      <w:proofErr w:type="spellStart"/>
      <w:r w:rsidRPr="009F6D1E">
        <w:rPr>
          <w:rFonts w:cs="Times New Roman"/>
          <w:b/>
          <w:bCs/>
          <w:szCs w:val="24"/>
        </w:rPr>
        <w:t>Източнобелморски</w:t>
      </w:r>
      <w:proofErr w:type="spellEnd"/>
      <w:r w:rsidRPr="009F6D1E">
        <w:rPr>
          <w:rFonts w:cs="Times New Roman"/>
          <w:b/>
          <w:bCs/>
          <w:szCs w:val="24"/>
        </w:rPr>
        <w:t xml:space="preserve"> район “ с център</w:t>
      </w:r>
      <w:bookmarkStart w:id="251" w:name="bookmark82"/>
      <w:bookmarkEnd w:id="250"/>
      <w:r w:rsidRPr="009F6D1E">
        <w:rPr>
          <w:rFonts w:cs="Times New Roman"/>
          <w:b/>
          <w:bCs/>
          <w:szCs w:val="24"/>
        </w:rPr>
        <w:t xml:space="preserve"> гр. Пловдив</w:t>
      </w:r>
      <w:bookmarkEnd w:id="251"/>
    </w:p>
    <w:p w14:paraId="3A5E6954" w14:textId="77777777" w:rsidR="00AE5785" w:rsidRPr="009F6D1E" w:rsidRDefault="00AE5785" w:rsidP="0084747F">
      <w:pPr>
        <w:pStyle w:val="a0"/>
        <w:widowControl/>
        <w:tabs>
          <w:tab w:val="left" w:pos="993"/>
        </w:tabs>
        <w:spacing w:after="60" w:line="264" w:lineRule="auto"/>
        <w:ind w:left="0" w:right="0" w:firstLine="720"/>
      </w:pPr>
      <w:r w:rsidRPr="009F6D1E">
        <w:t xml:space="preserve">Източнобеломорски район заема централните части на Южна България и обхваща </w:t>
      </w:r>
      <w:proofErr w:type="spellStart"/>
      <w:r w:rsidRPr="009F6D1E">
        <w:t>водосборите</w:t>
      </w:r>
      <w:proofErr w:type="spellEnd"/>
      <w:r w:rsidRPr="009F6D1E">
        <w:t xml:space="preserve"> на реките Марица, Тунджа, Арда и Бяла река. Те формират началото си на българска територия, след което напускат самостоятелно границите на страната и преминават в Република Гърция и Република Турция. Всичките основни реки в ИБР са част от международния речен басейн на р. Марица, която се влива в Егейско море.</w:t>
      </w:r>
    </w:p>
    <w:p w14:paraId="52FB92F5" w14:textId="77777777" w:rsidR="00AE5785" w:rsidRPr="009F6D1E" w:rsidRDefault="00AE5785" w:rsidP="0084747F">
      <w:pPr>
        <w:pStyle w:val="a0"/>
        <w:widowControl/>
        <w:tabs>
          <w:tab w:val="left" w:pos="993"/>
        </w:tabs>
        <w:spacing w:after="60" w:line="264" w:lineRule="auto"/>
        <w:ind w:left="0" w:right="0" w:firstLine="720"/>
      </w:pPr>
      <w:r w:rsidRPr="009F6D1E">
        <w:t>Източнобеломорски район е с площ 35 227 км</w:t>
      </w:r>
      <w:r w:rsidRPr="009F6D1E">
        <w:rPr>
          <w:vertAlign w:val="superscript"/>
        </w:rPr>
        <w:t>2</w:t>
      </w:r>
      <w:r w:rsidRPr="009F6D1E">
        <w:t>, която представлява около 32% от територията на страната. В Източнобеломорски район са идентифицирани две категории повърхностни води - “река” и “езеро”. Към категория „река” се отнасят речните водни тела и язовирите, образувани чрез преграждане на река, която над язовира формира самостоятелно водно тяло. Към категория „езеро” се отнасят естествените езера и язовирите (водоемите), които са изкуствено създадени извън съществуващ водосбор на река (изкуствени водни тела - ИВТ) или са разположени в началото на реките и над тях не е обособено самостоятелно речно водно тяло.</w:t>
      </w:r>
    </w:p>
    <w:p w14:paraId="184199DF" w14:textId="77777777" w:rsidR="00AE5785" w:rsidRPr="009F6D1E" w:rsidRDefault="00AE5785" w:rsidP="0084747F">
      <w:pPr>
        <w:pStyle w:val="a0"/>
        <w:widowControl/>
        <w:tabs>
          <w:tab w:val="left" w:pos="993"/>
        </w:tabs>
        <w:spacing w:after="60" w:line="264" w:lineRule="auto"/>
        <w:ind w:left="0" w:right="0" w:firstLine="720"/>
      </w:pPr>
      <w:r w:rsidRPr="009F6D1E">
        <w:t xml:space="preserve">На територията на БДИБР са идентифицирани 5 типа повърхностни води от категория „река” и 7 типа от категория „езеро”. За два от типовете езера (L1 Алпийски </w:t>
      </w:r>
      <w:proofErr w:type="spellStart"/>
      <w:r w:rsidRPr="009F6D1E">
        <w:t>глациални</w:t>
      </w:r>
      <w:proofErr w:type="spellEnd"/>
      <w:r w:rsidRPr="009F6D1E">
        <w:t xml:space="preserve"> езера и L6 Крайречни влажни зони в ЕР 7) не са определени водни тела поради незначителния размер на водните обекти (много по-малки 0,5 km</w:t>
      </w:r>
      <w:r w:rsidRPr="009F6D1E">
        <w:rPr>
          <w:vertAlign w:val="superscript"/>
        </w:rPr>
        <w:t>2</w:t>
      </w:r>
      <w:r w:rsidRPr="009F6D1E">
        <w:t>), които са единично представени на територията на ИБР. На територията на басейновата дирекция са определени 77 на брой СМВТ (25%), а ИВТ са 9 на брой (3%).</w:t>
      </w:r>
    </w:p>
    <w:p w14:paraId="27B8C3D3" w14:textId="77777777" w:rsidR="00AE5785" w:rsidRPr="009F6D1E" w:rsidRDefault="00AE5785" w:rsidP="0084747F">
      <w:pPr>
        <w:pStyle w:val="a0"/>
        <w:widowControl/>
        <w:tabs>
          <w:tab w:val="left" w:pos="993"/>
        </w:tabs>
        <w:spacing w:after="60" w:line="264" w:lineRule="auto"/>
        <w:ind w:left="0" w:right="0" w:firstLine="720"/>
        <w:rPr>
          <w:b/>
          <w:bCs/>
          <w:i/>
        </w:rPr>
      </w:pPr>
      <w:bookmarkStart w:id="252" w:name="bookmark83"/>
      <w:r w:rsidRPr="009F6D1E">
        <w:rPr>
          <w:b/>
          <w:bCs/>
          <w:i/>
        </w:rPr>
        <w:t>Екологично състояние/потенциал на повърхностни водни тела в БДИБР</w:t>
      </w:r>
      <w:bookmarkEnd w:id="252"/>
    </w:p>
    <w:p w14:paraId="763D37E3"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На територията на басейновата дирекция в отлично и добро екологично състояние, съгласно ПУРБ 2016-2021 г. са съответно 6% и 34% от общия брой водни тела. Водните тела в умерено състояние са 112 или 36%, в лошо - 26 водни тела или 8%, а в много лошо състояние - 12 водни тела или 4%.</w:t>
      </w:r>
    </w:p>
    <w:p w14:paraId="2595EF2F"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Общият брой на водните тела, при които се наблюдава положителна тенденция в екологичното състояние, съгласно първия ПУРБ е 112, което е повече от 30% от всички водни тела на територията на ИБР.</w:t>
      </w:r>
    </w:p>
    <w:p w14:paraId="0405B153"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При телата в “лошо” и “много лошо” състояние основните причини са свързани със:</w:t>
      </w:r>
    </w:p>
    <w:p w14:paraId="6970690F"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Замърсяване </w:t>
      </w:r>
      <w:r w:rsidR="00AE5785" w:rsidRPr="009F6D1E">
        <w:rPr>
          <w:rFonts w:eastAsia="Times New Roman" w:cs="Times New Roman"/>
          <w:szCs w:val="24"/>
          <w:lang w:eastAsia="bg-BG" w:bidi="bg-BG"/>
        </w:rPr>
        <w:t xml:space="preserve">от стари съоръжения, използвани в миналото за рудодобив и преработка на метали р. </w:t>
      </w:r>
      <w:proofErr w:type="spellStart"/>
      <w:r w:rsidR="00AE5785" w:rsidRPr="009F6D1E">
        <w:rPr>
          <w:rFonts w:eastAsia="Times New Roman" w:cs="Times New Roman"/>
          <w:szCs w:val="24"/>
          <w:lang w:eastAsia="bg-BG" w:bidi="bg-BG"/>
        </w:rPr>
        <w:t>Медетска</w:t>
      </w:r>
      <w:proofErr w:type="spellEnd"/>
      <w:r w:rsidR="00AE5785" w:rsidRPr="009F6D1E">
        <w:rPr>
          <w:rFonts w:eastAsia="Times New Roman" w:cs="Times New Roman"/>
          <w:szCs w:val="24"/>
          <w:lang w:eastAsia="bg-BG" w:bidi="bg-BG"/>
        </w:rPr>
        <w:t xml:space="preserve"> и р. Тополница от вливането на </w:t>
      </w:r>
      <w:proofErr w:type="spellStart"/>
      <w:r w:rsidR="00AE5785" w:rsidRPr="009F6D1E">
        <w:rPr>
          <w:rFonts w:eastAsia="Times New Roman" w:cs="Times New Roman"/>
          <w:szCs w:val="24"/>
          <w:lang w:eastAsia="bg-BG" w:bidi="bg-BG"/>
        </w:rPr>
        <w:t>р.Медетска</w:t>
      </w:r>
      <w:proofErr w:type="spellEnd"/>
      <w:r w:rsidR="00AE5785" w:rsidRPr="009F6D1E">
        <w:rPr>
          <w:rFonts w:eastAsia="Times New Roman" w:cs="Times New Roman"/>
          <w:szCs w:val="24"/>
          <w:lang w:eastAsia="bg-BG" w:bidi="bg-BG"/>
        </w:rPr>
        <w:t xml:space="preserve"> до </w:t>
      </w:r>
      <w:proofErr w:type="spellStart"/>
      <w:r w:rsidR="00AE5785" w:rsidRPr="009F6D1E">
        <w:rPr>
          <w:rFonts w:eastAsia="Times New Roman" w:cs="Times New Roman"/>
          <w:szCs w:val="24"/>
          <w:lang w:eastAsia="bg-BG" w:bidi="bg-BG"/>
        </w:rPr>
        <w:t>яз.Тополница</w:t>
      </w:r>
      <w:proofErr w:type="spellEnd"/>
      <w:r w:rsidR="00AE5785" w:rsidRPr="009F6D1E">
        <w:rPr>
          <w:rFonts w:eastAsia="Times New Roman" w:cs="Times New Roman"/>
          <w:szCs w:val="24"/>
          <w:lang w:eastAsia="bg-BG" w:bidi="bg-BG"/>
        </w:rPr>
        <w:t xml:space="preserve">, р. </w:t>
      </w:r>
      <w:proofErr w:type="spellStart"/>
      <w:r w:rsidR="00AE5785" w:rsidRPr="009F6D1E">
        <w:rPr>
          <w:rFonts w:eastAsia="Times New Roman" w:cs="Times New Roman"/>
          <w:szCs w:val="24"/>
          <w:lang w:eastAsia="bg-BG" w:bidi="bg-BG"/>
        </w:rPr>
        <w:t>Елшишка</w:t>
      </w:r>
      <w:proofErr w:type="spellEnd"/>
      <w:r w:rsidR="00AE5785" w:rsidRPr="009F6D1E">
        <w:rPr>
          <w:rFonts w:eastAsia="Times New Roman" w:cs="Times New Roman"/>
          <w:szCs w:val="24"/>
          <w:lang w:eastAsia="bg-BG" w:bidi="bg-BG"/>
        </w:rPr>
        <w:t xml:space="preserve"> и др.;</w:t>
      </w:r>
    </w:p>
    <w:p w14:paraId="187B4F3A"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Заустване </w:t>
      </w:r>
      <w:r w:rsidR="00AE5785" w:rsidRPr="009F6D1E">
        <w:rPr>
          <w:rFonts w:eastAsia="Times New Roman" w:cs="Times New Roman"/>
          <w:szCs w:val="24"/>
          <w:lang w:eastAsia="bg-BG" w:bidi="bg-BG"/>
        </w:rPr>
        <w:t xml:space="preserve">на отпадъчни води от големи населени места във водни тела с нисък капацитет за </w:t>
      </w:r>
      <w:proofErr w:type="spellStart"/>
      <w:r w:rsidR="00AE5785" w:rsidRPr="009F6D1E">
        <w:rPr>
          <w:rFonts w:eastAsia="Times New Roman" w:cs="Times New Roman"/>
          <w:szCs w:val="24"/>
          <w:lang w:eastAsia="bg-BG" w:bidi="bg-BG"/>
        </w:rPr>
        <w:t>самопречистване</w:t>
      </w:r>
      <w:proofErr w:type="spellEnd"/>
      <w:r w:rsidR="00AE5785" w:rsidRPr="009F6D1E">
        <w:rPr>
          <w:rFonts w:eastAsia="Times New Roman" w:cs="Times New Roman"/>
          <w:szCs w:val="24"/>
          <w:lang w:eastAsia="bg-BG" w:bidi="bg-BG"/>
        </w:rPr>
        <w:t xml:space="preserve"> - р. </w:t>
      </w:r>
      <w:proofErr w:type="spellStart"/>
      <w:r w:rsidR="00AE5785" w:rsidRPr="009F6D1E">
        <w:rPr>
          <w:rFonts w:eastAsia="Times New Roman" w:cs="Times New Roman"/>
          <w:szCs w:val="24"/>
          <w:lang w:eastAsia="bg-BG" w:bidi="bg-BG"/>
        </w:rPr>
        <w:t>Бедечка</w:t>
      </w:r>
      <w:proofErr w:type="spellEnd"/>
      <w:r w:rsidR="00AE5785" w:rsidRPr="009F6D1E">
        <w:rPr>
          <w:rFonts w:eastAsia="Times New Roman" w:cs="Times New Roman"/>
          <w:szCs w:val="24"/>
          <w:lang w:eastAsia="bg-BG" w:bidi="bg-BG"/>
        </w:rPr>
        <w:t xml:space="preserve"> след гр. Стара Загора, р. </w:t>
      </w:r>
      <w:proofErr w:type="spellStart"/>
      <w:r w:rsidR="00AE5785" w:rsidRPr="009F6D1E">
        <w:rPr>
          <w:rFonts w:eastAsia="Times New Roman" w:cs="Times New Roman"/>
          <w:szCs w:val="24"/>
          <w:lang w:eastAsia="bg-BG" w:bidi="bg-BG"/>
        </w:rPr>
        <w:t>Текирска</w:t>
      </w:r>
      <w:proofErr w:type="spellEnd"/>
      <w:r w:rsidR="00AE5785" w:rsidRPr="009F6D1E">
        <w:rPr>
          <w:rFonts w:eastAsia="Times New Roman" w:cs="Times New Roman"/>
          <w:szCs w:val="24"/>
          <w:lang w:eastAsia="bg-BG" w:bidi="bg-BG"/>
        </w:rPr>
        <w:t xml:space="preserve"> от гр. Чирпан и яз. Чирпан, яз. Синята река след гр. Хисар, р. Хасковска и долното течение на р. Харманлийска. Въпреки изградените ГПСОВ на част от посочените населени места състоянието на водните тела, в които се </w:t>
      </w:r>
      <w:proofErr w:type="spellStart"/>
      <w:r w:rsidR="00AE5785" w:rsidRPr="009F6D1E">
        <w:rPr>
          <w:rFonts w:eastAsia="Times New Roman" w:cs="Times New Roman"/>
          <w:szCs w:val="24"/>
          <w:lang w:eastAsia="bg-BG" w:bidi="bg-BG"/>
        </w:rPr>
        <w:t>заустват</w:t>
      </w:r>
      <w:proofErr w:type="spellEnd"/>
      <w:r w:rsidR="00AE5785" w:rsidRPr="009F6D1E">
        <w:rPr>
          <w:rFonts w:eastAsia="Times New Roman" w:cs="Times New Roman"/>
          <w:szCs w:val="24"/>
          <w:lang w:eastAsia="bg-BG" w:bidi="bg-BG"/>
        </w:rPr>
        <w:t xml:space="preserve"> отпадъчните води не може да се промени, поради големия товар от биогени</w:t>
      </w:r>
      <w:r w:rsidR="008723D9" w:rsidRPr="009F6D1E">
        <w:rPr>
          <w:rFonts w:eastAsia="Times New Roman" w:cs="Times New Roman"/>
          <w:szCs w:val="24"/>
          <w:lang w:eastAsia="bg-BG" w:bidi="bg-BG"/>
        </w:rPr>
        <w:t>.</w:t>
      </w:r>
    </w:p>
    <w:p w14:paraId="4D9B1154"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lastRenderedPageBreak/>
        <w:t xml:space="preserve">В 7 повърхностни водни тела, съгласно ПУРБ 2016-2021 г. се наблюдава по-лоша оценка на БЕК, а за 1 ВТ - на </w:t>
      </w:r>
      <w:proofErr w:type="spellStart"/>
      <w:r w:rsidRPr="009F6D1E">
        <w:rPr>
          <w:rFonts w:cs="Times New Roman"/>
          <w:szCs w:val="24"/>
        </w:rPr>
        <w:t>физиохимични</w:t>
      </w:r>
      <w:proofErr w:type="spellEnd"/>
      <w:r w:rsidRPr="009F6D1E">
        <w:rPr>
          <w:rFonts w:cs="Times New Roman"/>
          <w:szCs w:val="24"/>
        </w:rPr>
        <w:t xml:space="preserve"> елементи за качество. Основните причини за тези негативни тенденции, съгласно ПУРБ са:</w:t>
      </w:r>
    </w:p>
    <w:p w14:paraId="50F49244"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Вероятно </w:t>
      </w:r>
      <w:r w:rsidR="00AE5785" w:rsidRPr="009F6D1E">
        <w:rPr>
          <w:rFonts w:eastAsia="Times New Roman" w:cs="Times New Roman"/>
          <w:szCs w:val="24"/>
          <w:lang w:eastAsia="bg-BG" w:bidi="bg-BG"/>
        </w:rPr>
        <w:t>нерегламентирано замърсяване от малки населени места (животновъдство и отпадъчни води) - 4 ВТ;</w:t>
      </w:r>
    </w:p>
    <w:p w14:paraId="519C10DF"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Неправилно </w:t>
      </w:r>
      <w:r w:rsidR="00AE5785" w:rsidRPr="009F6D1E">
        <w:rPr>
          <w:rFonts w:eastAsia="Times New Roman" w:cs="Times New Roman"/>
          <w:szCs w:val="24"/>
          <w:lang w:eastAsia="bg-BG" w:bidi="bg-BG"/>
        </w:rPr>
        <w:t>функциониране на производствени обекти - 2 ВТ;</w:t>
      </w:r>
    </w:p>
    <w:p w14:paraId="6B401081"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Засилен </w:t>
      </w:r>
      <w:r w:rsidR="00AE5785" w:rsidRPr="009F6D1E">
        <w:rPr>
          <w:rFonts w:eastAsia="Times New Roman" w:cs="Times New Roman"/>
          <w:szCs w:val="24"/>
          <w:lang w:eastAsia="bg-BG" w:bidi="bg-BG"/>
        </w:rPr>
        <w:t>натиск от други ВТ от горната част на водосбора - 1 ВТ;</w:t>
      </w:r>
    </w:p>
    <w:p w14:paraId="13C6085F" w14:textId="77777777" w:rsidR="00AE5785" w:rsidRPr="009F6D1E" w:rsidRDefault="00BA12F4"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Оптимизиране </w:t>
      </w:r>
      <w:r w:rsidR="00AE5785" w:rsidRPr="009F6D1E">
        <w:rPr>
          <w:rFonts w:eastAsia="Times New Roman" w:cs="Times New Roman"/>
          <w:szCs w:val="24"/>
          <w:lang w:eastAsia="bg-BG" w:bidi="bg-BG"/>
        </w:rPr>
        <w:t>на местоположението на пункт за оперативен мониторинг - 1</w:t>
      </w:r>
    </w:p>
    <w:p w14:paraId="2F3BE061" w14:textId="77777777" w:rsidR="00AE5785" w:rsidRPr="009F6D1E" w:rsidRDefault="00AE5785" w:rsidP="0084747F">
      <w:pPr>
        <w:pStyle w:val="a0"/>
        <w:widowControl/>
        <w:tabs>
          <w:tab w:val="left" w:pos="993"/>
        </w:tabs>
        <w:spacing w:after="60" w:line="264" w:lineRule="auto"/>
        <w:ind w:left="0" w:right="0" w:firstLine="720"/>
      </w:pPr>
      <w:r w:rsidRPr="009F6D1E">
        <w:t xml:space="preserve">Анализът на резултатите от мониторинга на водите в ИБР, проведен през 2020 г. показва, че водните тела в добро екологично състояние/ потенциал са 112, в умерено - 143, в неизвестно едно водно тяло, поради невъзможност за провеждане на мониторинг (водно тяло с код BG3MA300R064 - Река </w:t>
      </w:r>
      <w:proofErr w:type="spellStart"/>
      <w:r w:rsidRPr="009F6D1E">
        <w:t>Керска</w:t>
      </w:r>
      <w:proofErr w:type="spellEnd"/>
      <w:r w:rsidRPr="009F6D1E">
        <w:t xml:space="preserve"> за ПБВ на с. Чехларе).</w:t>
      </w:r>
    </w:p>
    <w:p w14:paraId="271BC819" w14:textId="42045DE3" w:rsidR="00AE5785" w:rsidRPr="009F6D1E" w:rsidRDefault="00AE5785" w:rsidP="0084747F">
      <w:pPr>
        <w:pStyle w:val="a0"/>
        <w:widowControl/>
        <w:tabs>
          <w:tab w:val="left" w:pos="993"/>
        </w:tabs>
        <w:spacing w:after="60" w:line="264" w:lineRule="auto"/>
        <w:ind w:left="0" w:right="0" w:firstLine="720"/>
        <w:rPr>
          <w:i/>
          <w:highlight w:val="yellow"/>
        </w:rPr>
      </w:pPr>
      <w:r w:rsidRPr="009F6D1E">
        <w:t xml:space="preserve">В лошо и много лошо състояние са определени 51 водни тела, които са представени в </w:t>
      </w:r>
      <w:r>
        <w:fldChar w:fldCharType="begin"/>
      </w:r>
      <w:r>
        <w:instrText xml:space="preserve"> REF _Ref97393787 \h  \* MERGEFORMAT </w:instrText>
      </w:r>
      <w:r>
        <w:fldChar w:fldCharType="separate"/>
      </w:r>
      <w:r w:rsidR="00A43EF3" w:rsidRPr="009F6D1E">
        <w:t xml:space="preserve">Таблица </w:t>
      </w:r>
      <w:r w:rsidR="00A43EF3">
        <w:rPr>
          <w:noProof/>
        </w:rPr>
        <w:t>10</w:t>
      </w:r>
      <w:r>
        <w:fldChar w:fldCharType="end"/>
      </w:r>
      <w:r w:rsidR="00890AF6" w:rsidRPr="009F6D1E">
        <w:t>.</w:t>
      </w:r>
    </w:p>
    <w:p w14:paraId="6FD83F45" w14:textId="3B84EE9D" w:rsidR="00AE5785" w:rsidRPr="009F6D1E" w:rsidRDefault="008723D9" w:rsidP="0084747F">
      <w:pPr>
        <w:pStyle w:val="Caption"/>
        <w:spacing w:after="60" w:line="264" w:lineRule="auto"/>
      </w:pPr>
      <w:bookmarkStart w:id="253" w:name="_Ref97393787"/>
      <w:bookmarkStart w:id="254" w:name="_Toc115255161"/>
      <w:r w:rsidRPr="009F6D1E">
        <w:t xml:space="preserve">Таблица </w:t>
      </w:r>
      <w:fldSimple w:instr=" SEQ Таблица \* ARABIC ">
        <w:r w:rsidR="00A43EF3">
          <w:rPr>
            <w:noProof/>
          </w:rPr>
          <w:t>10</w:t>
        </w:r>
      </w:fldSimple>
      <w:bookmarkEnd w:id="253"/>
      <w:r w:rsidR="00890AF6" w:rsidRPr="009F6D1E">
        <w:t xml:space="preserve">: </w:t>
      </w:r>
      <w:r w:rsidR="00AE5785" w:rsidRPr="009F6D1E">
        <w:t>Повърхностни водни тела, определени в лошо или много лошо екологично състояние, съгласно БДИБР, 2020 г.</w:t>
      </w:r>
      <w:bookmarkEnd w:id="254"/>
    </w:p>
    <w:tbl>
      <w:tblPr>
        <w:tblW w:w="0" w:type="auto"/>
        <w:tblCellMar>
          <w:left w:w="70" w:type="dxa"/>
          <w:right w:w="70" w:type="dxa"/>
        </w:tblCellMar>
        <w:tblLook w:val="04A0" w:firstRow="1" w:lastRow="0" w:firstColumn="1" w:lastColumn="0" w:noHBand="0" w:noVBand="1"/>
      </w:tblPr>
      <w:tblGrid>
        <w:gridCol w:w="390"/>
        <w:gridCol w:w="1060"/>
        <w:gridCol w:w="1681"/>
        <w:gridCol w:w="4054"/>
        <w:gridCol w:w="2438"/>
      </w:tblGrid>
      <w:tr w:rsidR="00AE5785" w:rsidRPr="009F6D1E" w14:paraId="03849BE6" w14:textId="77777777" w:rsidTr="00BA12F4">
        <w:trPr>
          <w:trHeight w:val="1140"/>
          <w:tblHeader/>
        </w:trPr>
        <w:tc>
          <w:tcPr>
            <w:tcW w:w="0" w:type="auto"/>
            <w:tcBorders>
              <w:top w:val="single" w:sz="8" w:space="0" w:color="auto"/>
              <w:left w:val="single" w:sz="8" w:space="0" w:color="auto"/>
              <w:bottom w:val="single" w:sz="4" w:space="0" w:color="auto"/>
              <w:right w:val="single" w:sz="4" w:space="0" w:color="auto"/>
            </w:tcBorders>
            <w:shd w:val="pct20" w:color="000000" w:fill="auto"/>
            <w:vAlign w:val="center"/>
            <w:hideMark/>
          </w:tcPr>
          <w:p w14:paraId="56003240"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w:t>
            </w:r>
          </w:p>
        </w:tc>
        <w:tc>
          <w:tcPr>
            <w:tcW w:w="0" w:type="auto"/>
            <w:tcBorders>
              <w:top w:val="single" w:sz="8" w:space="0" w:color="auto"/>
              <w:left w:val="nil"/>
              <w:bottom w:val="single" w:sz="4" w:space="0" w:color="auto"/>
              <w:right w:val="single" w:sz="4" w:space="0" w:color="auto"/>
            </w:tcBorders>
            <w:shd w:val="pct20" w:color="000000" w:fill="auto"/>
            <w:vAlign w:val="center"/>
            <w:hideMark/>
          </w:tcPr>
          <w:p w14:paraId="6094A893"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Речен басейн</w:t>
            </w:r>
          </w:p>
        </w:tc>
        <w:tc>
          <w:tcPr>
            <w:tcW w:w="0" w:type="auto"/>
            <w:tcBorders>
              <w:top w:val="single" w:sz="8" w:space="0" w:color="auto"/>
              <w:left w:val="nil"/>
              <w:bottom w:val="single" w:sz="4" w:space="0" w:color="auto"/>
              <w:right w:val="single" w:sz="4" w:space="0" w:color="auto"/>
            </w:tcBorders>
            <w:shd w:val="pct20" w:color="000000" w:fill="auto"/>
            <w:vAlign w:val="center"/>
            <w:hideMark/>
          </w:tcPr>
          <w:p w14:paraId="4213FBC0"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Код на водно тяло</w:t>
            </w:r>
          </w:p>
        </w:tc>
        <w:tc>
          <w:tcPr>
            <w:tcW w:w="0" w:type="auto"/>
            <w:tcBorders>
              <w:top w:val="single" w:sz="8" w:space="0" w:color="auto"/>
              <w:left w:val="nil"/>
              <w:bottom w:val="single" w:sz="4" w:space="0" w:color="auto"/>
              <w:right w:val="single" w:sz="4" w:space="0" w:color="auto"/>
            </w:tcBorders>
            <w:shd w:val="pct20" w:color="000000" w:fill="auto"/>
            <w:vAlign w:val="center"/>
            <w:hideMark/>
          </w:tcPr>
          <w:p w14:paraId="13ADC141"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Style w:val="Bodytext210pt"/>
                <w:rFonts w:eastAsia="Microsoft Sans Serif"/>
                <w:b/>
              </w:rPr>
              <w:t>Географско описание на ВТ</w:t>
            </w:r>
          </w:p>
        </w:tc>
        <w:tc>
          <w:tcPr>
            <w:tcW w:w="0" w:type="auto"/>
            <w:tcBorders>
              <w:top w:val="single" w:sz="8" w:space="0" w:color="auto"/>
              <w:left w:val="nil"/>
              <w:bottom w:val="single" w:sz="4" w:space="0" w:color="auto"/>
              <w:right w:val="single" w:sz="4" w:space="0" w:color="auto"/>
            </w:tcBorders>
            <w:shd w:val="pct20" w:color="000000" w:fill="auto"/>
            <w:vAlign w:val="center"/>
            <w:hideMark/>
          </w:tcPr>
          <w:p w14:paraId="0BDB9F8D"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Екологично състояние/ потенциал 2020</w:t>
            </w:r>
          </w:p>
        </w:tc>
      </w:tr>
      <w:tr w:rsidR="00AE5785" w:rsidRPr="009F6D1E" w14:paraId="1F905161" w14:textId="77777777" w:rsidTr="00890AF6">
        <w:trPr>
          <w:trHeight w:val="585"/>
        </w:trPr>
        <w:tc>
          <w:tcPr>
            <w:tcW w:w="0" w:type="auto"/>
            <w:tcBorders>
              <w:top w:val="nil"/>
              <w:left w:val="single" w:sz="8" w:space="0" w:color="auto"/>
              <w:bottom w:val="single" w:sz="4" w:space="0" w:color="auto"/>
              <w:right w:val="single" w:sz="4" w:space="0" w:color="auto"/>
            </w:tcBorders>
            <w:shd w:val="clear" w:color="auto" w:fill="auto"/>
            <w:vAlign w:val="bottom"/>
          </w:tcPr>
          <w:p w14:paraId="115D7876"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w:t>
            </w:r>
          </w:p>
        </w:tc>
        <w:tc>
          <w:tcPr>
            <w:tcW w:w="0" w:type="auto"/>
            <w:tcBorders>
              <w:top w:val="nil"/>
              <w:left w:val="nil"/>
              <w:bottom w:val="single" w:sz="4" w:space="0" w:color="auto"/>
              <w:right w:val="single" w:sz="4" w:space="0" w:color="auto"/>
            </w:tcBorders>
            <w:shd w:val="clear" w:color="auto" w:fill="auto"/>
            <w:vAlign w:val="bottom"/>
            <w:hideMark/>
          </w:tcPr>
          <w:p w14:paraId="49E2F94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2382957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BG3MA100R001</w:t>
            </w:r>
          </w:p>
        </w:tc>
        <w:tc>
          <w:tcPr>
            <w:tcW w:w="0" w:type="auto"/>
            <w:tcBorders>
              <w:top w:val="nil"/>
              <w:left w:val="nil"/>
              <w:bottom w:val="single" w:sz="4" w:space="0" w:color="auto"/>
              <w:right w:val="single" w:sz="4" w:space="0" w:color="auto"/>
            </w:tcBorders>
            <w:shd w:val="clear" w:color="000000" w:fill="FFFFFF"/>
            <w:vAlign w:val="bottom"/>
            <w:hideMark/>
          </w:tcPr>
          <w:p w14:paraId="63AC497F"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Марица,от</w:t>
            </w:r>
            <w:proofErr w:type="spellEnd"/>
            <w:r w:rsidRPr="009F6D1E">
              <w:rPr>
                <w:rFonts w:eastAsia="Times New Roman" w:cs="Times New Roman"/>
                <w:sz w:val="20"/>
                <w:szCs w:val="20"/>
                <w:lang w:eastAsia="bg-BG"/>
              </w:rPr>
              <w:t xml:space="preserve"> </w:t>
            </w:r>
            <w:proofErr w:type="spellStart"/>
            <w:r w:rsidRPr="009F6D1E">
              <w:rPr>
                <w:rFonts w:eastAsia="Times New Roman" w:cs="Times New Roman"/>
                <w:sz w:val="20"/>
                <w:szCs w:val="20"/>
                <w:lang w:eastAsia="bg-BG"/>
              </w:rPr>
              <w:t>р.Сазлийка</w:t>
            </w:r>
            <w:proofErr w:type="spellEnd"/>
            <w:r w:rsidRPr="009F6D1E">
              <w:rPr>
                <w:rFonts w:eastAsia="Times New Roman" w:cs="Times New Roman"/>
                <w:sz w:val="20"/>
                <w:szCs w:val="20"/>
                <w:lang w:eastAsia="bg-BG"/>
              </w:rPr>
              <w:t xml:space="preserve"> до граница</w:t>
            </w:r>
          </w:p>
        </w:tc>
        <w:tc>
          <w:tcPr>
            <w:tcW w:w="0" w:type="auto"/>
            <w:tcBorders>
              <w:top w:val="nil"/>
              <w:left w:val="nil"/>
              <w:bottom w:val="single" w:sz="4" w:space="0" w:color="auto"/>
              <w:right w:val="single" w:sz="4" w:space="0" w:color="auto"/>
            </w:tcBorders>
            <w:shd w:val="clear" w:color="000000" w:fill="FF9900"/>
            <w:noWrap/>
            <w:vAlign w:val="bottom"/>
            <w:hideMark/>
          </w:tcPr>
          <w:p w14:paraId="638C7C7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091AF30D" w14:textId="77777777" w:rsidTr="00890AF6">
        <w:trPr>
          <w:trHeight w:val="555"/>
        </w:trPr>
        <w:tc>
          <w:tcPr>
            <w:tcW w:w="0" w:type="auto"/>
            <w:tcBorders>
              <w:top w:val="nil"/>
              <w:left w:val="single" w:sz="8" w:space="0" w:color="auto"/>
              <w:bottom w:val="single" w:sz="4" w:space="0" w:color="auto"/>
              <w:right w:val="single" w:sz="4" w:space="0" w:color="auto"/>
            </w:tcBorders>
            <w:shd w:val="clear" w:color="auto" w:fill="auto"/>
            <w:vAlign w:val="bottom"/>
          </w:tcPr>
          <w:p w14:paraId="7E8EAFC8"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w:t>
            </w:r>
          </w:p>
        </w:tc>
        <w:tc>
          <w:tcPr>
            <w:tcW w:w="0" w:type="auto"/>
            <w:tcBorders>
              <w:top w:val="nil"/>
              <w:left w:val="nil"/>
              <w:bottom w:val="single" w:sz="4" w:space="0" w:color="auto"/>
              <w:right w:val="single" w:sz="4" w:space="0" w:color="auto"/>
            </w:tcBorders>
            <w:shd w:val="clear" w:color="000000" w:fill="FFFFFF"/>
            <w:vAlign w:val="bottom"/>
            <w:hideMark/>
          </w:tcPr>
          <w:p w14:paraId="42FA78A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1DF469C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BG3MA100R233</w:t>
            </w:r>
          </w:p>
        </w:tc>
        <w:tc>
          <w:tcPr>
            <w:tcW w:w="0" w:type="auto"/>
            <w:tcBorders>
              <w:top w:val="nil"/>
              <w:left w:val="nil"/>
              <w:bottom w:val="single" w:sz="4" w:space="0" w:color="auto"/>
              <w:right w:val="single" w:sz="4" w:space="0" w:color="auto"/>
            </w:tcBorders>
            <w:shd w:val="clear" w:color="000000" w:fill="FFFFFF"/>
            <w:vAlign w:val="bottom"/>
            <w:hideMark/>
          </w:tcPr>
          <w:p w14:paraId="448AC47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Харманлийска до вливане на </w:t>
            </w:r>
            <w:proofErr w:type="spellStart"/>
            <w:r w:rsidRPr="009F6D1E">
              <w:rPr>
                <w:rFonts w:eastAsia="Times New Roman" w:cs="Times New Roman"/>
                <w:sz w:val="20"/>
                <w:szCs w:val="20"/>
                <w:lang w:eastAsia="bg-BG"/>
              </w:rPr>
              <w:t>р.Хасковска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1AA00CE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5591B0DD" w14:textId="77777777" w:rsidTr="00890AF6">
        <w:trPr>
          <w:trHeight w:val="555"/>
        </w:trPr>
        <w:tc>
          <w:tcPr>
            <w:tcW w:w="0" w:type="auto"/>
            <w:tcBorders>
              <w:top w:val="nil"/>
              <w:left w:val="single" w:sz="8" w:space="0" w:color="auto"/>
              <w:bottom w:val="single" w:sz="4" w:space="0" w:color="auto"/>
              <w:right w:val="single" w:sz="4" w:space="0" w:color="auto"/>
            </w:tcBorders>
            <w:shd w:val="clear" w:color="auto" w:fill="auto"/>
            <w:vAlign w:val="bottom"/>
          </w:tcPr>
          <w:p w14:paraId="69EAEEFF"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w:t>
            </w:r>
          </w:p>
        </w:tc>
        <w:tc>
          <w:tcPr>
            <w:tcW w:w="0" w:type="auto"/>
            <w:tcBorders>
              <w:top w:val="nil"/>
              <w:left w:val="nil"/>
              <w:bottom w:val="single" w:sz="4" w:space="0" w:color="auto"/>
              <w:right w:val="single" w:sz="4" w:space="0" w:color="auto"/>
            </w:tcBorders>
            <w:shd w:val="clear" w:color="auto" w:fill="auto"/>
            <w:vAlign w:val="bottom"/>
            <w:hideMark/>
          </w:tcPr>
          <w:p w14:paraId="74DF8C18"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3F0E5E4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BG3MA100R234</w:t>
            </w:r>
          </w:p>
        </w:tc>
        <w:tc>
          <w:tcPr>
            <w:tcW w:w="0" w:type="auto"/>
            <w:tcBorders>
              <w:top w:val="nil"/>
              <w:left w:val="nil"/>
              <w:bottom w:val="single" w:sz="4" w:space="0" w:color="auto"/>
              <w:right w:val="single" w:sz="4" w:space="0" w:color="auto"/>
            </w:tcBorders>
            <w:shd w:val="clear" w:color="000000" w:fill="FFFFFF"/>
            <w:vAlign w:val="bottom"/>
            <w:hideMark/>
          </w:tcPr>
          <w:p w14:paraId="25443A8A"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Харманлийска от вливане на р. Хасковска и р. Хасковска до устие</w:t>
            </w:r>
          </w:p>
        </w:tc>
        <w:tc>
          <w:tcPr>
            <w:tcW w:w="0" w:type="auto"/>
            <w:tcBorders>
              <w:top w:val="nil"/>
              <w:left w:val="nil"/>
              <w:bottom w:val="single" w:sz="4" w:space="0" w:color="auto"/>
              <w:right w:val="single" w:sz="4" w:space="0" w:color="auto"/>
            </w:tcBorders>
            <w:shd w:val="clear" w:color="000000" w:fill="FF9900"/>
            <w:noWrap/>
            <w:vAlign w:val="bottom"/>
            <w:hideMark/>
          </w:tcPr>
          <w:p w14:paraId="45868B1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BD21A02" w14:textId="77777777" w:rsidTr="00890AF6">
        <w:trPr>
          <w:trHeight w:val="480"/>
        </w:trPr>
        <w:tc>
          <w:tcPr>
            <w:tcW w:w="0" w:type="auto"/>
            <w:tcBorders>
              <w:top w:val="nil"/>
              <w:left w:val="single" w:sz="8" w:space="0" w:color="auto"/>
              <w:bottom w:val="single" w:sz="4" w:space="0" w:color="auto"/>
              <w:right w:val="single" w:sz="4" w:space="0" w:color="auto"/>
            </w:tcBorders>
            <w:shd w:val="clear" w:color="auto" w:fill="auto"/>
            <w:vAlign w:val="bottom"/>
          </w:tcPr>
          <w:p w14:paraId="513AF623"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w:t>
            </w:r>
          </w:p>
        </w:tc>
        <w:tc>
          <w:tcPr>
            <w:tcW w:w="0" w:type="auto"/>
            <w:tcBorders>
              <w:top w:val="nil"/>
              <w:left w:val="nil"/>
              <w:bottom w:val="single" w:sz="4" w:space="0" w:color="auto"/>
              <w:right w:val="single" w:sz="4" w:space="0" w:color="auto"/>
            </w:tcBorders>
            <w:shd w:val="clear" w:color="auto" w:fill="auto"/>
            <w:vAlign w:val="bottom"/>
            <w:hideMark/>
          </w:tcPr>
          <w:p w14:paraId="5E016D1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7C3C78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BG3MA200L015</w:t>
            </w:r>
          </w:p>
        </w:tc>
        <w:tc>
          <w:tcPr>
            <w:tcW w:w="0" w:type="auto"/>
            <w:tcBorders>
              <w:top w:val="nil"/>
              <w:left w:val="nil"/>
              <w:bottom w:val="single" w:sz="4" w:space="0" w:color="auto"/>
              <w:right w:val="single" w:sz="4" w:space="0" w:color="auto"/>
            </w:tcBorders>
            <w:shd w:val="clear" w:color="000000" w:fill="FFFFFF"/>
            <w:vAlign w:val="bottom"/>
            <w:hideMark/>
          </w:tcPr>
          <w:p w14:paraId="2CCB5A25"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Троян</w:t>
            </w:r>
          </w:p>
        </w:tc>
        <w:tc>
          <w:tcPr>
            <w:tcW w:w="0" w:type="auto"/>
            <w:tcBorders>
              <w:top w:val="nil"/>
              <w:left w:val="nil"/>
              <w:bottom w:val="single" w:sz="4" w:space="0" w:color="auto"/>
              <w:right w:val="single" w:sz="4" w:space="0" w:color="auto"/>
            </w:tcBorders>
            <w:shd w:val="clear" w:color="000000" w:fill="FF9900"/>
            <w:noWrap/>
            <w:vAlign w:val="bottom"/>
            <w:hideMark/>
          </w:tcPr>
          <w:p w14:paraId="104E02E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4DF934E" w14:textId="77777777" w:rsidTr="00890AF6">
        <w:trPr>
          <w:trHeight w:val="390"/>
        </w:trPr>
        <w:tc>
          <w:tcPr>
            <w:tcW w:w="0" w:type="auto"/>
            <w:tcBorders>
              <w:top w:val="nil"/>
              <w:left w:val="single" w:sz="8" w:space="0" w:color="auto"/>
              <w:bottom w:val="single" w:sz="4" w:space="0" w:color="auto"/>
              <w:right w:val="single" w:sz="4" w:space="0" w:color="auto"/>
            </w:tcBorders>
            <w:shd w:val="clear" w:color="auto" w:fill="auto"/>
            <w:vAlign w:val="bottom"/>
          </w:tcPr>
          <w:p w14:paraId="663C7A25"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5.</w:t>
            </w:r>
          </w:p>
        </w:tc>
        <w:tc>
          <w:tcPr>
            <w:tcW w:w="0" w:type="auto"/>
            <w:tcBorders>
              <w:top w:val="nil"/>
              <w:left w:val="nil"/>
              <w:bottom w:val="single" w:sz="4" w:space="0" w:color="auto"/>
              <w:right w:val="single" w:sz="4" w:space="0" w:color="auto"/>
            </w:tcBorders>
            <w:shd w:val="clear" w:color="auto" w:fill="auto"/>
            <w:vAlign w:val="bottom"/>
            <w:hideMark/>
          </w:tcPr>
          <w:p w14:paraId="3926B8D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1D8E741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BG3MA200L021</w:t>
            </w:r>
          </w:p>
        </w:tc>
        <w:tc>
          <w:tcPr>
            <w:tcW w:w="0" w:type="auto"/>
            <w:tcBorders>
              <w:top w:val="nil"/>
              <w:left w:val="nil"/>
              <w:bottom w:val="single" w:sz="4" w:space="0" w:color="auto"/>
              <w:right w:val="single" w:sz="4" w:space="0" w:color="auto"/>
            </w:tcBorders>
            <w:shd w:val="clear" w:color="000000" w:fill="FFFFFF"/>
            <w:vAlign w:val="bottom"/>
            <w:hideMark/>
          </w:tcPr>
          <w:p w14:paraId="7D094C1B"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Пъстрен</w:t>
            </w:r>
          </w:p>
        </w:tc>
        <w:tc>
          <w:tcPr>
            <w:tcW w:w="0" w:type="auto"/>
            <w:tcBorders>
              <w:top w:val="nil"/>
              <w:left w:val="nil"/>
              <w:bottom w:val="single" w:sz="4" w:space="0" w:color="auto"/>
              <w:right w:val="single" w:sz="4" w:space="0" w:color="auto"/>
            </w:tcBorders>
            <w:shd w:val="clear" w:color="000000" w:fill="FF9900"/>
            <w:noWrap/>
            <w:vAlign w:val="bottom"/>
            <w:hideMark/>
          </w:tcPr>
          <w:p w14:paraId="68B9A44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F5847A9" w14:textId="77777777" w:rsidTr="00890AF6">
        <w:trPr>
          <w:trHeight w:val="255"/>
        </w:trPr>
        <w:tc>
          <w:tcPr>
            <w:tcW w:w="0" w:type="auto"/>
            <w:tcBorders>
              <w:top w:val="nil"/>
              <w:left w:val="single" w:sz="8" w:space="0" w:color="auto"/>
              <w:bottom w:val="single" w:sz="4" w:space="0" w:color="auto"/>
              <w:right w:val="single" w:sz="4" w:space="0" w:color="auto"/>
            </w:tcBorders>
            <w:shd w:val="clear" w:color="auto" w:fill="auto"/>
            <w:vAlign w:val="bottom"/>
          </w:tcPr>
          <w:p w14:paraId="0022DF92"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6.</w:t>
            </w:r>
          </w:p>
        </w:tc>
        <w:tc>
          <w:tcPr>
            <w:tcW w:w="0" w:type="auto"/>
            <w:tcBorders>
              <w:top w:val="nil"/>
              <w:left w:val="nil"/>
              <w:bottom w:val="single" w:sz="4" w:space="0" w:color="auto"/>
              <w:right w:val="single" w:sz="4" w:space="0" w:color="auto"/>
            </w:tcBorders>
            <w:shd w:val="clear" w:color="auto" w:fill="auto"/>
            <w:vAlign w:val="bottom"/>
            <w:hideMark/>
          </w:tcPr>
          <w:p w14:paraId="54E79B6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441EDE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BG3MA200L031</w:t>
            </w:r>
          </w:p>
        </w:tc>
        <w:tc>
          <w:tcPr>
            <w:tcW w:w="0" w:type="auto"/>
            <w:tcBorders>
              <w:top w:val="nil"/>
              <w:left w:val="nil"/>
              <w:bottom w:val="single" w:sz="4" w:space="0" w:color="auto"/>
              <w:right w:val="single" w:sz="4" w:space="0" w:color="auto"/>
            </w:tcBorders>
            <w:shd w:val="clear" w:color="000000" w:fill="FFFFFF"/>
            <w:vAlign w:val="bottom"/>
            <w:hideMark/>
          </w:tcPr>
          <w:p w14:paraId="0050883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Раднево</w:t>
            </w:r>
          </w:p>
        </w:tc>
        <w:tc>
          <w:tcPr>
            <w:tcW w:w="0" w:type="auto"/>
            <w:tcBorders>
              <w:top w:val="nil"/>
              <w:left w:val="nil"/>
              <w:bottom w:val="single" w:sz="4" w:space="0" w:color="auto"/>
              <w:right w:val="single" w:sz="4" w:space="0" w:color="auto"/>
            </w:tcBorders>
            <w:shd w:val="clear" w:color="000000" w:fill="FF9900"/>
            <w:noWrap/>
            <w:vAlign w:val="bottom"/>
            <w:hideMark/>
          </w:tcPr>
          <w:p w14:paraId="2C8682E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5FA23763" w14:textId="77777777" w:rsidTr="00890AF6">
        <w:trPr>
          <w:trHeight w:val="420"/>
        </w:trPr>
        <w:tc>
          <w:tcPr>
            <w:tcW w:w="0" w:type="auto"/>
            <w:tcBorders>
              <w:top w:val="nil"/>
              <w:left w:val="single" w:sz="8" w:space="0" w:color="auto"/>
              <w:bottom w:val="single" w:sz="4" w:space="0" w:color="auto"/>
              <w:right w:val="single" w:sz="4" w:space="0" w:color="auto"/>
            </w:tcBorders>
            <w:shd w:val="clear" w:color="auto" w:fill="auto"/>
            <w:vAlign w:val="bottom"/>
          </w:tcPr>
          <w:p w14:paraId="38C1F6A9"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7.</w:t>
            </w:r>
          </w:p>
        </w:tc>
        <w:tc>
          <w:tcPr>
            <w:tcW w:w="0" w:type="auto"/>
            <w:tcBorders>
              <w:top w:val="nil"/>
              <w:left w:val="nil"/>
              <w:bottom w:val="single" w:sz="4" w:space="0" w:color="auto"/>
              <w:right w:val="single" w:sz="4" w:space="0" w:color="auto"/>
            </w:tcBorders>
            <w:shd w:val="clear" w:color="auto" w:fill="auto"/>
            <w:vAlign w:val="bottom"/>
            <w:hideMark/>
          </w:tcPr>
          <w:p w14:paraId="04208A3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F62104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BG3MA200L032</w:t>
            </w:r>
          </w:p>
        </w:tc>
        <w:tc>
          <w:tcPr>
            <w:tcW w:w="0" w:type="auto"/>
            <w:tcBorders>
              <w:top w:val="nil"/>
              <w:left w:val="nil"/>
              <w:bottom w:val="single" w:sz="4" w:space="0" w:color="auto"/>
              <w:right w:val="single" w:sz="4" w:space="0" w:color="auto"/>
            </w:tcBorders>
            <w:shd w:val="clear" w:color="000000" w:fill="FFFFFF"/>
            <w:vAlign w:val="bottom"/>
            <w:hideMark/>
          </w:tcPr>
          <w:p w14:paraId="20176084"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Даскал Атанасово</w:t>
            </w:r>
          </w:p>
        </w:tc>
        <w:tc>
          <w:tcPr>
            <w:tcW w:w="0" w:type="auto"/>
            <w:tcBorders>
              <w:top w:val="nil"/>
              <w:left w:val="nil"/>
              <w:bottom w:val="single" w:sz="4" w:space="0" w:color="auto"/>
              <w:right w:val="single" w:sz="4" w:space="0" w:color="auto"/>
            </w:tcBorders>
            <w:shd w:val="clear" w:color="000000" w:fill="FF9900"/>
            <w:noWrap/>
            <w:vAlign w:val="bottom"/>
            <w:hideMark/>
          </w:tcPr>
          <w:p w14:paraId="3BDE710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64D932D" w14:textId="77777777" w:rsidTr="00890AF6">
        <w:trPr>
          <w:trHeight w:val="480"/>
        </w:trPr>
        <w:tc>
          <w:tcPr>
            <w:tcW w:w="0" w:type="auto"/>
            <w:tcBorders>
              <w:top w:val="nil"/>
              <w:left w:val="single" w:sz="8" w:space="0" w:color="auto"/>
              <w:bottom w:val="single" w:sz="4" w:space="0" w:color="auto"/>
              <w:right w:val="single" w:sz="4" w:space="0" w:color="auto"/>
            </w:tcBorders>
            <w:shd w:val="clear" w:color="auto" w:fill="auto"/>
            <w:vAlign w:val="bottom"/>
          </w:tcPr>
          <w:p w14:paraId="6D33ACC0"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8.</w:t>
            </w:r>
          </w:p>
        </w:tc>
        <w:tc>
          <w:tcPr>
            <w:tcW w:w="0" w:type="auto"/>
            <w:tcBorders>
              <w:top w:val="nil"/>
              <w:left w:val="nil"/>
              <w:bottom w:val="single" w:sz="4" w:space="0" w:color="auto"/>
              <w:right w:val="single" w:sz="4" w:space="0" w:color="auto"/>
            </w:tcBorders>
            <w:shd w:val="clear" w:color="auto" w:fill="auto"/>
            <w:vAlign w:val="bottom"/>
            <w:hideMark/>
          </w:tcPr>
          <w:p w14:paraId="72772F2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1587FC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BG3MA200R016</w:t>
            </w:r>
          </w:p>
        </w:tc>
        <w:tc>
          <w:tcPr>
            <w:tcW w:w="0" w:type="auto"/>
            <w:tcBorders>
              <w:top w:val="nil"/>
              <w:left w:val="nil"/>
              <w:bottom w:val="single" w:sz="4" w:space="0" w:color="auto"/>
              <w:right w:val="single" w:sz="4" w:space="0" w:color="auto"/>
            </w:tcBorders>
            <w:shd w:val="clear" w:color="000000" w:fill="FFFFFF"/>
            <w:vAlign w:val="bottom"/>
            <w:hideMark/>
          </w:tcPr>
          <w:p w14:paraId="1B2AA6F9"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Мусачка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4E54625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10C952C" w14:textId="77777777" w:rsidTr="00890AF6">
        <w:trPr>
          <w:trHeight w:val="495"/>
        </w:trPr>
        <w:tc>
          <w:tcPr>
            <w:tcW w:w="0" w:type="auto"/>
            <w:tcBorders>
              <w:top w:val="nil"/>
              <w:left w:val="single" w:sz="8" w:space="0" w:color="auto"/>
              <w:bottom w:val="single" w:sz="4" w:space="0" w:color="auto"/>
              <w:right w:val="single" w:sz="4" w:space="0" w:color="auto"/>
            </w:tcBorders>
            <w:shd w:val="clear" w:color="auto" w:fill="auto"/>
            <w:vAlign w:val="bottom"/>
          </w:tcPr>
          <w:p w14:paraId="3913EA95"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9.</w:t>
            </w:r>
          </w:p>
        </w:tc>
        <w:tc>
          <w:tcPr>
            <w:tcW w:w="0" w:type="auto"/>
            <w:tcBorders>
              <w:top w:val="nil"/>
              <w:left w:val="nil"/>
              <w:bottom w:val="single" w:sz="4" w:space="0" w:color="auto"/>
              <w:right w:val="single" w:sz="4" w:space="0" w:color="auto"/>
            </w:tcBorders>
            <w:shd w:val="clear" w:color="auto" w:fill="auto"/>
            <w:vAlign w:val="bottom"/>
            <w:hideMark/>
          </w:tcPr>
          <w:p w14:paraId="4C1B29A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491A99A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BG3MA200R017</w:t>
            </w:r>
          </w:p>
        </w:tc>
        <w:tc>
          <w:tcPr>
            <w:tcW w:w="0" w:type="auto"/>
            <w:tcBorders>
              <w:top w:val="nil"/>
              <w:left w:val="nil"/>
              <w:bottom w:val="single" w:sz="4" w:space="0" w:color="auto"/>
              <w:right w:val="single" w:sz="4" w:space="0" w:color="auto"/>
            </w:tcBorders>
            <w:shd w:val="clear" w:color="000000" w:fill="FFFFFF"/>
            <w:vAlign w:val="bottom"/>
            <w:hideMark/>
          </w:tcPr>
          <w:p w14:paraId="1C848FC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Соколица средно течение до язовир Розов кладенец</w:t>
            </w:r>
          </w:p>
        </w:tc>
        <w:tc>
          <w:tcPr>
            <w:tcW w:w="0" w:type="auto"/>
            <w:tcBorders>
              <w:top w:val="nil"/>
              <w:left w:val="nil"/>
              <w:bottom w:val="single" w:sz="4" w:space="0" w:color="auto"/>
              <w:right w:val="single" w:sz="4" w:space="0" w:color="auto"/>
            </w:tcBorders>
            <w:shd w:val="clear" w:color="000000" w:fill="FF9900"/>
            <w:noWrap/>
            <w:vAlign w:val="bottom"/>
            <w:hideMark/>
          </w:tcPr>
          <w:p w14:paraId="248C9A6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8B92B30" w14:textId="77777777" w:rsidTr="00890AF6">
        <w:trPr>
          <w:trHeight w:val="690"/>
        </w:trPr>
        <w:tc>
          <w:tcPr>
            <w:tcW w:w="0" w:type="auto"/>
            <w:tcBorders>
              <w:top w:val="nil"/>
              <w:left w:val="single" w:sz="8" w:space="0" w:color="auto"/>
              <w:bottom w:val="single" w:sz="4" w:space="0" w:color="auto"/>
              <w:right w:val="single" w:sz="4" w:space="0" w:color="auto"/>
            </w:tcBorders>
            <w:shd w:val="clear" w:color="auto" w:fill="auto"/>
            <w:vAlign w:val="bottom"/>
          </w:tcPr>
          <w:p w14:paraId="1AC38976"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10.</w:t>
            </w:r>
          </w:p>
        </w:tc>
        <w:tc>
          <w:tcPr>
            <w:tcW w:w="0" w:type="auto"/>
            <w:tcBorders>
              <w:top w:val="nil"/>
              <w:left w:val="nil"/>
              <w:bottom w:val="single" w:sz="4" w:space="0" w:color="auto"/>
              <w:right w:val="single" w:sz="4" w:space="0" w:color="auto"/>
            </w:tcBorders>
            <w:shd w:val="clear" w:color="auto" w:fill="auto"/>
            <w:vAlign w:val="bottom"/>
            <w:hideMark/>
          </w:tcPr>
          <w:p w14:paraId="5A7D2A7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ED3E73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BG3MA200R022</w:t>
            </w:r>
          </w:p>
        </w:tc>
        <w:tc>
          <w:tcPr>
            <w:tcW w:w="0" w:type="auto"/>
            <w:tcBorders>
              <w:top w:val="nil"/>
              <w:left w:val="nil"/>
              <w:bottom w:val="single" w:sz="4" w:space="0" w:color="auto"/>
              <w:right w:val="single" w:sz="4" w:space="0" w:color="auto"/>
            </w:tcBorders>
            <w:shd w:val="clear" w:color="000000" w:fill="FFFFFF"/>
            <w:vAlign w:val="bottom"/>
            <w:hideMark/>
          </w:tcPr>
          <w:p w14:paraId="7259C85F"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Овчарица от язовир Овчарица до вливането й в река Сазлийка</w:t>
            </w:r>
          </w:p>
        </w:tc>
        <w:tc>
          <w:tcPr>
            <w:tcW w:w="0" w:type="auto"/>
            <w:tcBorders>
              <w:top w:val="nil"/>
              <w:left w:val="nil"/>
              <w:bottom w:val="single" w:sz="4" w:space="0" w:color="auto"/>
              <w:right w:val="single" w:sz="4" w:space="0" w:color="auto"/>
            </w:tcBorders>
            <w:shd w:val="clear" w:color="000000" w:fill="FF9900"/>
            <w:noWrap/>
            <w:vAlign w:val="bottom"/>
            <w:hideMark/>
          </w:tcPr>
          <w:p w14:paraId="7968E8D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76012FB4" w14:textId="77777777" w:rsidTr="00890AF6">
        <w:trPr>
          <w:trHeight w:val="525"/>
        </w:trPr>
        <w:tc>
          <w:tcPr>
            <w:tcW w:w="0" w:type="auto"/>
            <w:tcBorders>
              <w:top w:val="nil"/>
              <w:left w:val="single" w:sz="8" w:space="0" w:color="auto"/>
              <w:bottom w:val="single" w:sz="4" w:space="0" w:color="auto"/>
              <w:right w:val="single" w:sz="4" w:space="0" w:color="auto"/>
            </w:tcBorders>
            <w:shd w:val="clear" w:color="auto" w:fill="auto"/>
            <w:vAlign w:val="bottom"/>
          </w:tcPr>
          <w:p w14:paraId="02BABB5D"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11.</w:t>
            </w:r>
          </w:p>
        </w:tc>
        <w:tc>
          <w:tcPr>
            <w:tcW w:w="0" w:type="auto"/>
            <w:tcBorders>
              <w:top w:val="nil"/>
              <w:left w:val="nil"/>
              <w:bottom w:val="single" w:sz="4" w:space="0" w:color="auto"/>
              <w:right w:val="single" w:sz="4" w:space="0" w:color="auto"/>
            </w:tcBorders>
            <w:shd w:val="clear" w:color="auto" w:fill="auto"/>
            <w:vAlign w:val="bottom"/>
            <w:hideMark/>
          </w:tcPr>
          <w:p w14:paraId="50B299F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EC9F8B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BG3MA200R028</w:t>
            </w:r>
          </w:p>
        </w:tc>
        <w:tc>
          <w:tcPr>
            <w:tcW w:w="0" w:type="auto"/>
            <w:tcBorders>
              <w:top w:val="nil"/>
              <w:left w:val="nil"/>
              <w:bottom w:val="single" w:sz="4" w:space="0" w:color="auto"/>
              <w:right w:val="single" w:sz="4" w:space="0" w:color="auto"/>
            </w:tcBorders>
            <w:shd w:val="clear" w:color="000000" w:fill="FFFFFF"/>
            <w:vAlign w:val="bottom"/>
            <w:hideMark/>
          </w:tcPr>
          <w:p w14:paraId="55568C3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Сазлийка и притоци от </w:t>
            </w:r>
            <w:proofErr w:type="spellStart"/>
            <w:r w:rsidRPr="009F6D1E">
              <w:rPr>
                <w:rFonts w:eastAsia="Times New Roman" w:cs="Times New Roman"/>
                <w:sz w:val="20"/>
                <w:szCs w:val="20"/>
                <w:lang w:eastAsia="bg-BG"/>
              </w:rPr>
              <w:t>р.Блатница</w:t>
            </w:r>
            <w:proofErr w:type="spellEnd"/>
            <w:r w:rsidRPr="009F6D1E">
              <w:rPr>
                <w:rFonts w:eastAsia="Times New Roman" w:cs="Times New Roman"/>
                <w:sz w:val="20"/>
                <w:szCs w:val="20"/>
                <w:lang w:eastAsia="bg-BG"/>
              </w:rPr>
              <w:t xml:space="preserve"> до </w:t>
            </w:r>
            <w:proofErr w:type="spellStart"/>
            <w:r w:rsidRPr="009F6D1E">
              <w:rPr>
                <w:rFonts w:eastAsia="Times New Roman" w:cs="Times New Roman"/>
                <w:sz w:val="20"/>
                <w:szCs w:val="20"/>
                <w:lang w:eastAsia="bg-BG"/>
              </w:rPr>
              <w:t>р.Овчарица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744E2C2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4C41B47" w14:textId="77777777" w:rsidTr="00890AF6">
        <w:trPr>
          <w:trHeight w:val="570"/>
        </w:trPr>
        <w:tc>
          <w:tcPr>
            <w:tcW w:w="0" w:type="auto"/>
            <w:tcBorders>
              <w:top w:val="nil"/>
              <w:left w:val="single" w:sz="8" w:space="0" w:color="auto"/>
              <w:bottom w:val="single" w:sz="4" w:space="0" w:color="auto"/>
              <w:right w:val="single" w:sz="4" w:space="0" w:color="auto"/>
            </w:tcBorders>
            <w:shd w:val="clear" w:color="auto" w:fill="auto"/>
            <w:vAlign w:val="bottom"/>
          </w:tcPr>
          <w:p w14:paraId="269014B0"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lastRenderedPageBreak/>
              <w:t>12.</w:t>
            </w:r>
          </w:p>
        </w:tc>
        <w:tc>
          <w:tcPr>
            <w:tcW w:w="0" w:type="auto"/>
            <w:tcBorders>
              <w:top w:val="nil"/>
              <w:left w:val="nil"/>
              <w:bottom w:val="single" w:sz="4" w:space="0" w:color="auto"/>
              <w:right w:val="single" w:sz="4" w:space="0" w:color="auto"/>
            </w:tcBorders>
            <w:shd w:val="clear" w:color="auto" w:fill="auto"/>
            <w:vAlign w:val="bottom"/>
            <w:hideMark/>
          </w:tcPr>
          <w:p w14:paraId="0076670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95A344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BG3MA200R029</w:t>
            </w:r>
          </w:p>
        </w:tc>
        <w:tc>
          <w:tcPr>
            <w:tcW w:w="0" w:type="auto"/>
            <w:tcBorders>
              <w:top w:val="nil"/>
              <w:left w:val="nil"/>
              <w:bottom w:val="single" w:sz="4" w:space="0" w:color="auto"/>
              <w:right w:val="single" w:sz="4" w:space="0" w:color="auto"/>
            </w:tcBorders>
            <w:shd w:val="clear" w:color="000000" w:fill="FFFFFF"/>
            <w:vAlign w:val="bottom"/>
            <w:hideMark/>
          </w:tcPr>
          <w:p w14:paraId="74947A5B"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Блатница и притоци до вливането в река Сазлийка</w:t>
            </w:r>
          </w:p>
        </w:tc>
        <w:tc>
          <w:tcPr>
            <w:tcW w:w="0" w:type="auto"/>
            <w:tcBorders>
              <w:top w:val="nil"/>
              <w:left w:val="nil"/>
              <w:bottom w:val="single" w:sz="4" w:space="0" w:color="auto"/>
              <w:right w:val="single" w:sz="4" w:space="0" w:color="auto"/>
            </w:tcBorders>
            <w:shd w:val="clear" w:color="000000" w:fill="FF9900"/>
            <w:noWrap/>
            <w:vAlign w:val="bottom"/>
            <w:hideMark/>
          </w:tcPr>
          <w:p w14:paraId="7F26F64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08AE30A2" w14:textId="77777777" w:rsidTr="00890AF6">
        <w:trPr>
          <w:trHeight w:val="615"/>
        </w:trPr>
        <w:tc>
          <w:tcPr>
            <w:tcW w:w="0" w:type="auto"/>
            <w:tcBorders>
              <w:top w:val="nil"/>
              <w:left w:val="single" w:sz="8" w:space="0" w:color="auto"/>
              <w:bottom w:val="single" w:sz="4" w:space="0" w:color="auto"/>
              <w:right w:val="single" w:sz="4" w:space="0" w:color="auto"/>
            </w:tcBorders>
            <w:shd w:val="clear" w:color="auto" w:fill="auto"/>
            <w:vAlign w:val="bottom"/>
          </w:tcPr>
          <w:p w14:paraId="42573FE5"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13.</w:t>
            </w:r>
          </w:p>
        </w:tc>
        <w:tc>
          <w:tcPr>
            <w:tcW w:w="0" w:type="auto"/>
            <w:tcBorders>
              <w:top w:val="nil"/>
              <w:left w:val="nil"/>
              <w:bottom w:val="single" w:sz="4" w:space="0" w:color="auto"/>
              <w:right w:val="single" w:sz="4" w:space="0" w:color="auto"/>
            </w:tcBorders>
            <w:shd w:val="clear" w:color="auto" w:fill="auto"/>
            <w:vAlign w:val="bottom"/>
            <w:hideMark/>
          </w:tcPr>
          <w:p w14:paraId="283B0A8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C0F00A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BG3MA200R030</w:t>
            </w:r>
          </w:p>
        </w:tc>
        <w:tc>
          <w:tcPr>
            <w:tcW w:w="0" w:type="auto"/>
            <w:tcBorders>
              <w:top w:val="nil"/>
              <w:left w:val="nil"/>
              <w:bottom w:val="single" w:sz="4" w:space="0" w:color="auto"/>
              <w:right w:val="single" w:sz="4" w:space="0" w:color="auto"/>
            </w:tcBorders>
            <w:shd w:val="clear" w:color="000000" w:fill="FFFFFF"/>
            <w:vAlign w:val="bottom"/>
            <w:hideMark/>
          </w:tcPr>
          <w:p w14:paraId="6699084B"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Сазлийка от </w:t>
            </w:r>
            <w:proofErr w:type="spellStart"/>
            <w:r w:rsidRPr="009F6D1E">
              <w:rPr>
                <w:rFonts w:eastAsia="Times New Roman" w:cs="Times New Roman"/>
                <w:sz w:val="20"/>
                <w:szCs w:val="20"/>
                <w:lang w:eastAsia="bg-BG"/>
              </w:rPr>
              <w:t>р.Азмака</w:t>
            </w:r>
            <w:proofErr w:type="spellEnd"/>
            <w:r w:rsidRPr="009F6D1E">
              <w:rPr>
                <w:rFonts w:eastAsia="Times New Roman" w:cs="Times New Roman"/>
                <w:sz w:val="20"/>
                <w:szCs w:val="20"/>
                <w:lang w:eastAsia="bg-BG"/>
              </w:rPr>
              <w:t xml:space="preserve"> до </w:t>
            </w:r>
            <w:proofErr w:type="spellStart"/>
            <w:r w:rsidRPr="009F6D1E">
              <w:rPr>
                <w:rFonts w:eastAsia="Times New Roman" w:cs="Times New Roman"/>
                <w:sz w:val="20"/>
                <w:szCs w:val="20"/>
                <w:lang w:eastAsia="bg-BG"/>
              </w:rPr>
              <w:t>р.Блатница</w:t>
            </w:r>
            <w:proofErr w:type="spellEnd"/>
            <w:r w:rsidRPr="009F6D1E">
              <w:rPr>
                <w:rFonts w:eastAsia="Times New Roman" w:cs="Times New Roman"/>
                <w:sz w:val="20"/>
                <w:szCs w:val="20"/>
                <w:lang w:eastAsia="bg-BG"/>
              </w:rPr>
              <w:t xml:space="preserve"> и р. Азмака</w:t>
            </w:r>
          </w:p>
        </w:tc>
        <w:tc>
          <w:tcPr>
            <w:tcW w:w="0" w:type="auto"/>
            <w:tcBorders>
              <w:top w:val="nil"/>
              <w:left w:val="nil"/>
              <w:bottom w:val="single" w:sz="4" w:space="0" w:color="auto"/>
              <w:right w:val="single" w:sz="4" w:space="0" w:color="auto"/>
            </w:tcBorders>
            <w:shd w:val="clear" w:color="000000" w:fill="FF9900"/>
            <w:noWrap/>
            <w:vAlign w:val="bottom"/>
            <w:hideMark/>
          </w:tcPr>
          <w:p w14:paraId="17E0086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5BA5667E"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1D8C5D98"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14.</w:t>
            </w:r>
          </w:p>
        </w:tc>
        <w:tc>
          <w:tcPr>
            <w:tcW w:w="0" w:type="auto"/>
            <w:tcBorders>
              <w:top w:val="nil"/>
              <w:left w:val="nil"/>
              <w:bottom w:val="single" w:sz="4" w:space="0" w:color="auto"/>
              <w:right w:val="single" w:sz="4" w:space="0" w:color="auto"/>
            </w:tcBorders>
            <w:shd w:val="clear" w:color="auto" w:fill="auto"/>
            <w:vAlign w:val="bottom"/>
            <w:hideMark/>
          </w:tcPr>
          <w:p w14:paraId="2CEF402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17DBB6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BG3MA200R033</w:t>
            </w:r>
          </w:p>
        </w:tc>
        <w:tc>
          <w:tcPr>
            <w:tcW w:w="0" w:type="auto"/>
            <w:tcBorders>
              <w:top w:val="nil"/>
              <w:left w:val="nil"/>
              <w:bottom w:val="single" w:sz="4" w:space="0" w:color="auto"/>
              <w:right w:val="single" w:sz="4" w:space="0" w:color="auto"/>
            </w:tcBorders>
            <w:shd w:val="clear" w:color="000000" w:fill="FFFFFF"/>
            <w:vAlign w:val="bottom"/>
            <w:hideMark/>
          </w:tcPr>
          <w:p w14:paraId="7F8BACC4"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Кумруджа</w:t>
            </w:r>
            <w:proofErr w:type="spellEnd"/>
            <w:r w:rsidRPr="009F6D1E">
              <w:rPr>
                <w:rFonts w:eastAsia="Times New Roman" w:cs="Times New Roman"/>
                <w:sz w:val="20"/>
                <w:szCs w:val="20"/>
                <w:lang w:eastAsia="bg-BG"/>
              </w:rPr>
              <w:t xml:space="preserve"> до яз. Раднево</w:t>
            </w:r>
          </w:p>
        </w:tc>
        <w:tc>
          <w:tcPr>
            <w:tcW w:w="0" w:type="auto"/>
            <w:tcBorders>
              <w:top w:val="nil"/>
              <w:left w:val="nil"/>
              <w:bottom w:val="single" w:sz="4" w:space="0" w:color="auto"/>
              <w:right w:val="single" w:sz="4" w:space="0" w:color="auto"/>
            </w:tcBorders>
            <w:shd w:val="clear" w:color="000000" w:fill="FF9900"/>
            <w:noWrap/>
            <w:vAlign w:val="bottom"/>
            <w:hideMark/>
          </w:tcPr>
          <w:p w14:paraId="2C6FE4B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9CB2EC3" w14:textId="77777777" w:rsidTr="00890AF6">
        <w:trPr>
          <w:trHeight w:val="570"/>
        </w:trPr>
        <w:tc>
          <w:tcPr>
            <w:tcW w:w="0" w:type="auto"/>
            <w:tcBorders>
              <w:top w:val="nil"/>
              <w:left w:val="single" w:sz="8" w:space="0" w:color="auto"/>
              <w:bottom w:val="single" w:sz="4" w:space="0" w:color="auto"/>
              <w:right w:val="single" w:sz="4" w:space="0" w:color="auto"/>
            </w:tcBorders>
            <w:shd w:val="clear" w:color="auto" w:fill="auto"/>
            <w:vAlign w:val="bottom"/>
          </w:tcPr>
          <w:p w14:paraId="7359C3D7"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15.</w:t>
            </w:r>
          </w:p>
        </w:tc>
        <w:tc>
          <w:tcPr>
            <w:tcW w:w="0" w:type="auto"/>
            <w:tcBorders>
              <w:top w:val="nil"/>
              <w:left w:val="nil"/>
              <w:bottom w:val="single" w:sz="4" w:space="0" w:color="auto"/>
              <w:right w:val="single" w:sz="4" w:space="0" w:color="auto"/>
            </w:tcBorders>
            <w:shd w:val="clear" w:color="auto" w:fill="auto"/>
            <w:vAlign w:val="bottom"/>
            <w:hideMark/>
          </w:tcPr>
          <w:p w14:paraId="55BB07A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321E8A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BG3MA300R040</w:t>
            </w:r>
          </w:p>
        </w:tc>
        <w:tc>
          <w:tcPr>
            <w:tcW w:w="0" w:type="auto"/>
            <w:tcBorders>
              <w:top w:val="nil"/>
              <w:left w:val="nil"/>
              <w:bottom w:val="single" w:sz="4" w:space="0" w:color="auto"/>
              <w:right w:val="single" w:sz="4" w:space="0" w:color="auto"/>
            </w:tcBorders>
            <w:shd w:val="clear" w:color="000000" w:fill="FFFFFF"/>
            <w:vAlign w:val="bottom"/>
            <w:hideMark/>
          </w:tcPr>
          <w:p w14:paraId="46E693ED" w14:textId="77777777" w:rsidR="00AE5785" w:rsidRPr="009F6D1E" w:rsidRDefault="00AE5785" w:rsidP="0084747F">
            <w:pPr>
              <w:spacing w:after="60" w:line="264" w:lineRule="auto"/>
              <w:jc w:val="both"/>
              <w:rPr>
                <w:rFonts w:eastAsia="Times New Roman" w:cs="Times New Roman"/>
                <w:sz w:val="20"/>
                <w:szCs w:val="20"/>
                <w:lang w:eastAsia="bg-BG"/>
              </w:rPr>
            </w:pPr>
            <w:proofErr w:type="spellStart"/>
            <w:r w:rsidRPr="009F6D1E">
              <w:rPr>
                <w:rFonts w:eastAsia="Times New Roman" w:cs="Times New Roman"/>
                <w:sz w:val="20"/>
                <w:szCs w:val="20"/>
                <w:lang w:eastAsia="bg-BG"/>
              </w:rPr>
              <w:t>Арпа</w:t>
            </w:r>
            <w:proofErr w:type="spellEnd"/>
            <w:r w:rsidRPr="009F6D1E">
              <w:rPr>
                <w:rFonts w:eastAsia="Times New Roman" w:cs="Times New Roman"/>
                <w:sz w:val="20"/>
                <w:szCs w:val="20"/>
                <w:lang w:eastAsia="bg-BG"/>
              </w:rPr>
              <w:t xml:space="preserve"> дере (</w:t>
            </w:r>
            <w:proofErr w:type="spellStart"/>
            <w:r w:rsidRPr="009F6D1E">
              <w:rPr>
                <w:rFonts w:eastAsia="Times New Roman" w:cs="Times New Roman"/>
                <w:sz w:val="20"/>
                <w:szCs w:val="20"/>
                <w:lang w:eastAsia="bg-BG"/>
              </w:rPr>
              <w:t>Златополска</w:t>
            </w:r>
            <w:proofErr w:type="spellEnd"/>
            <w:r w:rsidRPr="009F6D1E">
              <w:rPr>
                <w:rFonts w:eastAsia="Times New Roman" w:cs="Times New Roman"/>
                <w:sz w:val="20"/>
                <w:szCs w:val="20"/>
                <w:lang w:eastAsia="bg-BG"/>
              </w:rPr>
              <w:t xml:space="preserve"> река) от язовир Бяло поле до устие</w:t>
            </w:r>
          </w:p>
        </w:tc>
        <w:tc>
          <w:tcPr>
            <w:tcW w:w="0" w:type="auto"/>
            <w:tcBorders>
              <w:top w:val="nil"/>
              <w:left w:val="nil"/>
              <w:bottom w:val="single" w:sz="4" w:space="0" w:color="auto"/>
              <w:right w:val="single" w:sz="4" w:space="0" w:color="auto"/>
            </w:tcBorders>
            <w:shd w:val="clear" w:color="000000" w:fill="FF9900"/>
            <w:noWrap/>
            <w:vAlign w:val="bottom"/>
            <w:hideMark/>
          </w:tcPr>
          <w:p w14:paraId="16C5B55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1A50829"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42CDCC5A"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16.</w:t>
            </w:r>
          </w:p>
        </w:tc>
        <w:tc>
          <w:tcPr>
            <w:tcW w:w="0" w:type="auto"/>
            <w:tcBorders>
              <w:top w:val="nil"/>
              <w:left w:val="nil"/>
              <w:bottom w:val="single" w:sz="4" w:space="0" w:color="auto"/>
              <w:right w:val="single" w:sz="4" w:space="0" w:color="auto"/>
            </w:tcBorders>
            <w:shd w:val="clear" w:color="auto" w:fill="auto"/>
            <w:vAlign w:val="bottom"/>
            <w:hideMark/>
          </w:tcPr>
          <w:p w14:paraId="6C25668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1DBD82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BG3MA300R232</w:t>
            </w:r>
          </w:p>
        </w:tc>
        <w:tc>
          <w:tcPr>
            <w:tcW w:w="0" w:type="auto"/>
            <w:tcBorders>
              <w:top w:val="nil"/>
              <w:left w:val="nil"/>
              <w:bottom w:val="single" w:sz="4" w:space="0" w:color="auto"/>
              <w:right w:val="single" w:sz="4" w:space="0" w:color="auto"/>
            </w:tcBorders>
            <w:shd w:val="clear" w:color="000000" w:fill="FFFFFF"/>
            <w:vAlign w:val="bottom"/>
            <w:hideMark/>
          </w:tcPr>
          <w:p w14:paraId="19FF7116"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Банска от вливане на Терез дере до устие и  </w:t>
            </w:r>
            <w:proofErr w:type="spellStart"/>
            <w:r w:rsidRPr="009F6D1E">
              <w:rPr>
                <w:rFonts w:eastAsia="Times New Roman" w:cs="Times New Roman"/>
                <w:sz w:val="20"/>
                <w:szCs w:val="20"/>
                <w:lang w:eastAsia="bg-BG"/>
              </w:rPr>
              <w:t>Горскоизворска</w:t>
            </w:r>
            <w:proofErr w:type="spellEnd"/>
            <w:r w:rsidRPr="009F6D1E">
              <w:rPr>
                <w:rFonts w:eastAsia="Times New Roman" w:cs="Times New Roman"/>
                <w:sz w:val="20"/>
                <w:szCs w:val="20"/>
                <w:lang w:eastAsia="bg-BG"/>
              </w:rPr>
              <w:t xml:space="preserve"> река</w:t>
            </w:r>
          </w:p>
        </w:tc>
        <w:tc>
          <w:tcPr>
            <w:tcW w:w="0" w:type="auto"/>
            <w:tcBorders>
              <w:top w:val="nil"/>
              <w:left w:val="nil"/>
              <w:bottom w:val="single" w:sz="4" w:space="0" w:color="auto"/>
              <w:right w:val="single" w:sz="4" w:space="0" w:color="auto"/>
            </w:tcBorders>
            <w:shd w:val="clear" w:color="000000" w:fill="FF9900"/>
            <w:noWrap/>
            <w:vAlign w:val="bottom"/>
            <w:hideMark/>
          </w:tcPr>
          <w:p w14:paraId="77A21FA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ED41745" w14:textId="77777777" w:rsidTr="00890AF6">
        <w:trPr>
          <w:trHeight w:val="480"/>
        </w:trPr>
        <w:tc>
          <w:tcPr>
            <w:tcW w:w="0" w:type="auto"/>
            <w:tcBorders>
              <w:top w:val="nil"/>
              <w:left w:val="single" w:sz="8" w:space="0" w:color="auto"/>
              <w:bottom w:val="single" w:sz="4" w:space="0" w:color="auto"/>
              <w:right w:val="single" w:sz="4" w:space="0" w:color="auto"/>
            </w:tcBorders>
            <w:shd w:val="clear" w:color="auto" w:fill="auto"/>
            <w:vAlign w:val="bottom"/>
          </w:tcPr>
          <w:p w14:paraId="5336D340"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17.</w:t>
            </w:r>
          </w:p>
        </w:tc>
        <w:tc>
          <w:tcPr>
            <w:tcW w:w="0" w:type="auto"/>
            <w:tcBorders>
              <w:top w:val="nil"/>
              <w:left w:val="nil"/>
              <w:bottom w:val="single" w:sz="4" w:space="0" w:color="auto"/>
              <w:right w:val="single" w:sz="4" w:space="0" w:color="auto"/>
            </w:tcBorders>
            <w:shd w:val="clear" w:color="auto" w:fill="auto"/>
            <w:vAlign w:val="bottom"/>
            <w:hideMark/>
          </w:tcPr>
          <w:p w14:paraId="79532D9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708F6E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BG3MA300R047</w:t>
            </w:r>
          </w:p>
        </w:tc>
        <w:tc>
          <w:tcPr>
            <w:tcW w:w="0" w:type="auto"/>
            <w:tcBorders>
              <w:top w:val="nil"/>
              <w:left w:val="nil"/>
              <w:bottom w:val="single" w:sz="4" w:space="0" w:color="auto"/>
              <w:right w:val="single" w:sz="4" w:space="0" w:color="auto"/>
            </w:tcBorders>
            <w:shd w:val="clear" w:color="000000" w:fill="FFFFFF"/>
            <w:vAlign w:val="bottom"/>
            <w:hideMark/>
          </w:tcPr>
          <w:p w14:paraId="7DF528A0"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Старата река</w:t>
            </w:r>
          </w:p>
        </w:tc>
        <w:tc>
          <w:tcPr>
            <w:tcW w:w="0" w:type="auto"/>
            <w:tcBorders>
              <w:top w:val="nil"/>
              <w:left w:val="nil"/>
              <w:bottom w:val="single" w:sz="4" w:space="0" w:color="auto"/>
              <w:right w:val="single" w:sz="4" w:space="0" w:color="auto"/>
            </w:tcBorders>
            <w:shd w:val="clear" w:color="000000" w:fill="FF9900"/>
            <w:noWrap/>
            <w:vAlign w:val="bottom"/>
            <w:hideMark/>
          </w:tcPr>
          <w:p w14:paraId="4124761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92BAFD5" w14:textId="77777777" w:rsidTr="00890AF6">
        <w:trPr>
          <w:trHeight w:val="555"/>
        </w:trPr>
        <w:tc>
          <w:tcPr>
            <w:tcW w:w="0" w:type="auto"/>
            <w:tcBorders>
              <w:top w:val="nil"/>
              <w:left w:val="single" w:sz="8" w:space="0" w:color="auto"/>
              <w:bottom w:val="single" w:sz="4" w:space="0" w:color="auto"/>
              <w:right w:val="single" w:sz="4" w:space="0" w:color="auto"/>
            </w:tcBorders>
            <w:shd w:val="clear" w:color="auto" w:fill="auto"/>
            <w:vAlign w:val="bottom"/>
          </w:tcPr>
          <w:p w14:paraId="198D78A7"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18.</w:t>
            </w:r>
          </w:p>
        </w:tc>
        <w:tc>
          <w:tcPr>
            <w:tcW w:w="0" w:type="auto"/>
            <w:tcBorders>
              <w:top w:val="nil"/>
              <w:left w:val="nil"/>
              <w:bottom w:val="single" w:sz="4" w:space="0" w:color="auto"/>
              <w:right w:val="single" w:sz="4" w:space="0" w:color="auto"/>
            </w:tcBorders>
            <w:shd w:val="clear" w:color="auto" w:fill="auto"/>
            <w:vAlign w:val="bottom"/>
            <w:hideMark/>
          </w:tcPr>
          <w:p w14:paraId="635A563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1BA9602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BG3MA300R052</w:t>
            </w:r>
          </w:p>
        </w:tc>
        <w:tc>
          <w:tcPr>
            <w:tcW w:w="0" w:type="auto"/>
            <w:tcBorders>
              <w:top w:val="nil"/>
              <w:left w:val="nil"/>
              <w:bottom w:val="single" w:sz="4" w:space="0" w:color="auto"/>
              <w:right w:val="single" w:sz="4" w:space="0" w:color="auto"/>
            </w:tcBorders>
            <w:shd w:val="clear" w:color="000000" w:fill="FFFFFF"/>
            <w:vAlign w:val="bottom"/>
            <w:hideMark/>
          </w:tcPr>
          <w:p w14:paraId="4BD9B305"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Каялийка</w:t>
            </w:r>
            <w:proofErr w:type="spellEnd"/>
            <w:r w:rsidRPr="009F6D1E">
              <w:rPr>
                <w:rFonts w:eastAsia="Times New Roman" w:cs="Times New Roman"/>
                <w:sz w:val="20"/>
                <w:szCs w:val="20"/>
                <w:lang w:eastAsia="bg-BG"/>
              </w:rPr>
              <w:t xml:space="preserve"> горно течение до язовир Брягово</w:t>
            </w:r>
          </w:p>
        </w:tc>
        <w:tc>
          <w:tcPr>
            <w:tcW w:w="0" w:type="auto"/>
            <w:tcBorders>
              <w:top w:val="nil"/>
              <w:left w:val="nil"/>
              <w:bottom w:val="single" w:sz="4" w:space="0" w:color="auto"/>
              <w:right w:val="single" w:sz="4" w:space="0" w:color="auto"/>
            </w:tcBorders>
            <w:shd w:val="clear" w:color="000000" w:fill="FF9900"/>
            <w:noWrap/>
            <w:vAlign w:val="bottom"/>
            <w:hideMark/>
          </w:tcPr>
          <w:p w14:paraId="79B5A94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EDB2441"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2C054A48"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19.</w:t>
            </w:r>
          </w:p>
        </w:tc>
        <w:tc>
          <w:tcPr>
            <w:tcW w:w="0" w:type="auto"/>
            <w:tcBorders>
              <w:top w:val="nil"/>
              <w:left w:val="nil"/>
              <w:bottom w:val="single" w:sz="4" w:space="0" w:color="auto"/>
              <w:right w:val="single" w:sz="4" w:space="0" w:color="auto"/>
            </w:tcBorders>
            <w:shd w:val="clear" w:color="auto" w:fill="auto"/>
            <w:vAlign w:val="bottom"/>
            <w:hideMark/>
          </w:tcPr>
          <w:p w14:paraId="61FF861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22C7392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BG3MA300R057</w:t>
            </w:r>
          </w:p>
        </w:tc>
        <w:tc>
          <w:tcPr>
            <w:tcW w:w="0" w:type="auto"/>
            <w:tcBorders>
              <w:top w:val="nil"/>
              <w:left w:val="nil"/>
              <w:bottom w:val="single" w:sz="4" w:space="0" w:color="auto"/>
              <w:right w:val="single" w:sz="4" w:space="0" w:color="auto"/>
            </w:tcBorders>
            <w:shd w:val="clear" w:color="000000" w:fill="FFFFFF"/>
            <w:vAlign w:val="bottom"/>
            <w:hideMark/>
          </w:tcPr>
          <w:p w14:paraId="4FE96EFB"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Чинардере</w:t>
            </w:r>
            <w:proofErr w:type="spellEnd"/>
            <w:r w:rsidRPr="009F6D1E">
              <w:rPr>
                <w:rFonts w:eastAsia="Times New Roman" w:cs="Times New Roman"/>
                <w:sz w:val="20"/>
                <w:szCs w:val="20"/>
                <w:lang w:eastAsia="bg-BG"/>
              </w:rPr>
              <w:t xml:space="preserve"> от язовир Леново до вливане в </w:t>
            </w:r>
            <w:proofErr w:type="spellStart"/>
            <w:r w:rsidRPr="009F6D1E">
              <w:rPr>
                <w:rFonts w:eastAsia="Times New Roman" w:cs="Times New Roman"/>
                <w:sz w:val="20"/>
                <w:szCs w:val="20"/>
                <w:lang w:eastAsia="bg-BG"/>
              </w:rPr>
              <w:t>р.Мечка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495361C8"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A3DA66F" w14:textId="77777777" w:rsidTr="00890AF6">
        <w:trPr>
          <w:trHeight w:val="405"/>
        </w:trPr>
        <w:tc>
          <w:tcPr>
            <w:tcW w:w="0" w:type="auto"/>
            <w:tcBorders>
              <w:top w:val="nil"/>
              <w:left w:val="single" w:sz="8" w:space="0" w:color="auto"/>
              <w:bottom w:val="single" w:sz="4" w:space="0" w:color="auto"/>
              <w:right w:val="single" w:sz="4" w:space="0" w:color="auto"/>
            </w:tcBorders>
            <w:shd w:val="clear" w:color="auto" w:fill="auto"/>
            <w:vAlign w:val="bottom"/>
          </w:tcPr>
          <w:p w14:paraId="580A88FC" w14:textId="77777777" w:rsidR="00AE5785" w:rsidRPr="009F6D1E" w:rsidRDefault="00BA12F4"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20.</w:t>
            </w:r>
          </w:p>
        </w:tc>
        <w:tc>
          <w:tcPr>
            <w:tcW w:w="0" w:type="auto"/>
            <w:tcBorders>
              <w:top w:val="nil"/>
              <w:left w:val="nil"/>
              <w:bottom w:val="single" w:sz="4" w:space="0" w:color="auto"/>
              <w:right w:val="single" w:sz="4" w:space="0" w:color="auto"/>
            </w:tcBorders>
            <w:shd w:val="clear" w:color="auto" w:fill="auto"/>
            <w:vAlign w:val="bottom"/>
            <w:hideMark/>
          </w:tcPr>
          <w:p w14:paraId="27360E4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FCF893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BG3MA300R066</w:t>
            </w:r>
          </w:p>
        </w:tc>
        <w:tc>
          <w:tcPr>
            <w:tcW w:w="0" w:type="auto"/>
            <w:tcBorders>
              <w:top w:val="nil"/>
              <w:left w:val="nil"/>
              <w:bottom w:val="single" w:sz="4" w:space="0" w:color="auto"/>
              <w:right w:val="single" w:sz="4" w:space="0" w:color="auto"/>
            </w:tcBorders>
            <w:shd w:val="clear" w:color="000000" w:fill="FFFFFF"/>
            <w:vAlign w:val="bottom"/>
            <w:hideMark/>
          </w:tcPr>
          <w:p w14:paraId="37D1179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Сребра долно течение</w:t>
            </w:r>
          </w:p>
        </w:tc>
        <w:tc>
          <w:tcPr>
            <w:tcW w:w="0" w:type="auto"/>
            <w:tcBorders>
              <w:top w:val="nil"/>
              <w:left w:val="nil"/>
              <w:bottom w:val="single" w:sz="4" w:space="0" w:color="auto"/>
              <w:right w:val="single" w:sz="4" w:space="0" w:color="auto"/>
            </w:tcBorders>
            <w:shd w:val="clear" w:color="000000" w:fill="FF9900"/>
            <w:noWrap/>
            <w:vAlign w:val="bottom"/>
            <w:hideMark/>
          </w:tcPr>
          <w:p w14:paraId="6B82F6A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7A5B5EFC" w14:textId="77777777" w:rsidTr="00890AF6">
        <w:trPr>
          <w:trHeight w:val="675"/>
        </w:trPr>
        <w:tc>
          <w:tcPr>
            <w:tcW w:w="0" w:type="auto"/>
            <w:tcBorders>
              <w:top w:val="nil"/>
              <w:left w:val="single" w:sz="8" w:space="0" w:color="auto"/>
              <w:bottom w:val="single" w:sz="4" w:space="0" w:color="auto"/>
              <w:right w:val="single" w:sz="4" w:space="0" w:color="auto"/>
            </w:tcBorders>
            <w:shd w:val="clear" w:color="auto" w:fill="auto"/>
            <w:vAlign w:val="bottom"/>
          </w:tcPr>
          <w:p w14:paraId="4A26BFAC"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21.</w:t>
            </w:r>
          </w:p>
        </w:tc>
        <w:tc>
          <w:tcPr>
            <w:tcW w:w="0" w:type="auto"/>
            <w:tcBorders>
              <w:top w:val="nil"/>
              <w:left w:val="nil"/>
              <w:bottom w:val="single" w:sz="4" w:space="0" w:color="auto"/>
              <w:right w:val="single" w:sz="4" w:space="0" w:color="auto"/>
            </w:tcBorders>
            <w:shd w:val="clear" w:color="auto" w:fill="auto"/>
            <w:vAlign w:val="bottom"/>
            <w:hideMark/>
          </w:tcPr>
          <w:p w14:paraId="4B94110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A5E612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BG3MA300R075</w:t>
            </w:r>
          </w:p>
        </w:tc>
        <w:tc>
          <w:tcPr>
            <w:tcW w:w="0" w:type="auto"/>
            <w:tcBorders>
              <w:top w:val="nil"/>
              <w:left w:val="nil"/>
              <w:bottom w:val="single" w:sz="4" w:space="0" w:color="auto"/>
              <w:right w:val="single" w:sz="4" w:space="0" w:color="auto"/>
            </w:tcBorders>
            <w:shd w:val="clear" w:color="000000" w:fill="FFFFFF"/>
            <w:vAlign w:val="bottom"/>
            <w:hideMark/>
          </w:tcPr>
          <w:p w14:paraId="61C2220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ГОК Азмака и ГОК Карадере</w:t>
            </w:r>
          </w:p>
        </w:tc>
        <w:tc>
          <w:tcPr>
            <w:tcW w:w="0" w:type="auto"/>
            <w:tcBorders>
              <w:top w:val="nil"/>
              <w:left w:val="nil"/>
              <w:bottom w:val="single" w:sz="4" w:space="0" w:color="auto"/>
              <w:right w:val="single" w:sz="4" w:space="0" w:color="auto"/>
            </w:tcBorders>
            <w:shd w:val="clear" w:color="000000" w:fill="FF9900"/>
            <w:noWrap/>
            <w:vAlign w:val="bottom"/>
            <w:hideMark/>
          </w:tcPr>
          <w:p w14:paraId="6FA0795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6EA6E2F"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1E57D0E0"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22.</w:t>
            </w:r>
          </w:p>
        </w:tc>
        <w:tc>
          <w:tcPr>
            <w:tcW w:w="0" w:type="auto"/>
            <w:tcBorders>
              <w:top w:val="nil"/>
              <w:left w:val="nil"/>
              <w:bottom w:val="single" w:sz="4" w:space="0" w:color="auto"/>
              <w:right w:val="single" w:sz="4" w:space="0" w:color="auto"/>
            </w:tcBorders>
            <w:shd w:val="clear" w:color="000000" w:fill="FFFFFF"/>
            <w:vAlign w:val="bottom"/>
            <w:hideMark/>
          </w:tcPr>
          <w:p w14:paraId="29F4E76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noWrap/>
            <w:vAlign w:val="bottom"/>
            <w:hideMark/>
          </w:tcPr>
          <w:p w14:paraId="335F60C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BG3MA350R212</w:t>
            </w:r>
          </w:p>
        </w:tc>
        <w:tc>
          <w:tcPr>
            <w:tcW w:w="0" w:type="auto"/>
            <w:tcBorders>
              <w:top w:val="nil"/>
              <w:left w:val="nil"/>
              <w:bottom w:val="single" w:sz="4" w:space="0" w:color="auto"/>
              <w:right w:val="single" w:sz="4" w:space="0" w:color="auto"/>
            </w:tcBorders>
            <w:shd w:val="clear" w:color="000000" w:fill="FFFFFF"/>
            <w:vAlign w:val="bottom"/>
            <w:hideMark/>
          </w:tcPr>
          <w:p w14:paraId="6D1132EC"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Марица от вливане на </w:t>
            </w:r>
            <w:proofErr w:type="spellStart"/>
            <w:r w:rsidRPr="009F6D1E">
              <w:rPr>
                <w:rFonts w:eastAsia="Times New Roman" w:cs="Times New Roman"/>
                <w:sz w:val="20"/>
                <w:szCs w:val="20"/>
                <w:lang w:eastAsia="bg-BG"/>
              </w:rPr>
              <w:t>р.Омуровска</w:t>
            </w:r>
            <w:proofErr w:type="spellEnd"/>
            <w:r w:rsidRPr="009F6D1E">
              <w:rPr>
                <w:rFonts w:eastAsia="Times New Roman" w:cs="Times New Roman"/>
                <w:sz w:val="20"/>
                <w:szCs w:val="20"/>
                <w:lang w:eastAsia="bg-BG"/>
              </w:rPr>
              <w:t xml:space="preserve"> до вливане на </w:t>
            </w:r>
            <w:proofErr w:type="spellStart"/>
            <w:r w:rsidRPr="009F6D1E">
              <w:rPr>
                <w:rFonts w:eastAsia="Times New Roman" w:cs="Times New Roman"/>
                <w:sz w:val="20"/>
                <w:szCs w:val="20"/>
                <w:lang w:eastAsia="bg-BG"/>
              </w:rPr>
              <w:t>р.Сазлийка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47DB662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947BFC7"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2A91EBA0"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23.</w:t>
            </w:r>
          </w:p>
        </w:tc>
        <w:tc>
          <w:tcPr>
            <w:tcW w:w="0" w:type="auto"/>
            <w:tcBorders>
              <w:top w:val="nil"/>
              <w:left w:val="nil"/>
              <w:bottom w:val="single" w:sz="4" w:space="0" w:color="auto"/>
              <w:right w:val="single" w:sz="4" w:space="0" w:color="auto"/>
            </w:tcBorders>
            <w:shd w:val="clear" w:color="auto" w:fill="auto"/>
            <w:vAlign w:val="bottom"/>
            <w:hideMark/>
          </w:tcPr>
          <w:p w14:paraId="3B0917D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6E46E3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BG3MA500L119</w:t>
            </w:r>
          </w:p>
        </w:tc>
        <w:tc>
          <w:tcPr>
            <w:tcW w:w="0" w:type="auto"/>
            <w:tcBorders>
              <w:top w:val="nil"/>
              <w:left w:val="nil"/>
              <w:bottom w:val="single" w:sz="4" w:space="0" w:color="auto"/>
              <w:right w:val="single" w:sz="4" w:space="0" w:color="auto"/>
            </w:tcBorders>
            <w:shd w:val="clear" w:color="000000" w:fill="FFFFFF"/>
            <w:vAlign w:val="bottom"/>
            <w:hideMark/>
          </w:tcPr>
          <w:p w14:paraId="64652F63"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Пясъчник</w:t>
            </w:r>
          </w:p>
        </w:tc>
        <w:tc>
          <w:tcPr>
            <w:tcW w:w="0" w:type="auto"/>
            <w:tcBorders>
              <w:top w:val="nil"/>
              <w:left w:val="nil"/>
              <w:bottom w:val="single" w:sz="4" w:space="0" w:color="auto"/>
              <w:right w:val="single" w:sz="4" w:space="0" w:color="auto"/>
            </w:tcBorders>
            <w:shd w:val="clear" w:color="000000" w:fill="FF9900"/>
            <w:noWrap/>
            <w:vAlign w:val="bottom"/>
            <w:hideMark/>
          </w:tcPr>
          <w:p w14:paraId="18D7C90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3D8AADE" w14:textId="77777777" w:rsidTr="00890AF6">
        <w:trPr>
          <w:trHeight w:val="630"/>
        </w:trPr>
        <w:tc>
          <w:tcPr>
            <w:tcW w:w="0" w:type="auto"/>
            <w:tcBorders>
              <w:top w:val="nil"/>
              <w:left w:val="single" w:sz="8" w:space="0" w:color="auto"/>
              <w:bottom w:val="single" w:sz="4" w:space="0" w:color="auto"/>
              <w:right w:val="single" w:sz="4" w:space="0" w:color="auto"/>
            </w:tcBorders>
            <w:shd w:val="clear" w:color="auto" w:fill="auto"/>
            <w:vAlign w:val="bottom"/>
          </w:tcPr>
          <w:p w14:paraId="4094EB8B"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24.</w:t>
            </w:r>
          </w:p>
        </w:tc>
        <w:tc>
          <w:tcPr>
            <w:tcW w:w="0" w:type="auto"/>
            <w:tcBorders>
              <w:top w:val="nil"/>
              <w:left w:val="nil"/>
              <w:bottom w:val="single" w:sz="4" w:space="0" w:color="auto"/>
              <w:right w:val="single" w:sz="4" w:space="0" w:color="auto"/>
            </w:tcBorders>
            <w:shd w:val="clear" w:color="auto" w:fill="auto"/>
            <w:vAlign w:val="bottom"/>
            <w:hideMark/>
          </w:tcPr>
          <w:p w14:paraId="2C1CFA7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EC10E8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BG3MA500R103</w:t>
            </w:r>
          </w:p>
        </w:tc>
        <w:tc>
          <w:tcPr>
            <w:tcW w:w="0" w:type="auto"/>
            <w:tcBorders>
              <w:top w:val="nil"/>
              <w:left w:val="nil"/>
              <w:bottom w:val="single" w:sz="4" w:space="0" w:color="auto"/>
              <w:right w:val="single" w:sz="4" w:space="0" w:color="auto"/>
            </w:tcBorders>
            <w:shd w:val="clear" w:color="000000" w:fill="FFFFFF"/>
            <w:vAlign w:val="bottom"/>
            <w:hideMark/>
          </w:tcPr>
          <w:p w14:paraId="7F5646F2"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Чепеларска от </w:t>
            </w:r>
            <w:proofErr w:type="spellStart"/>
            <w:r w:rsidRPr="009F6D1E">
              <w:rPr>
                <w:rFonts w:eastAsia="Times New Roman" w:cs="Times New Roman"/>
                <w:sz w:val="20"/>
                <w:szCs w:val="20"/>
                <w:lang w:eastAsia="bg-BG"/>
              </w:rPr>
              <w:t>гр.Асеновград</w:t>
            </w:r>
            <w:proofErr w:type="spellEnd"/>
            <w:r w:rsidRPr="009F6D1E">
              <w:rPr>
                <w:rFonts w:eastAsia="Times New Roman" w:cs="Times New Roman"/>
                <w:sz w:val="20"/>
                <w:szCs w:val="20"/>
                <w:lang w:eastAsia="bg-BG"/>
              </w:rPr>
              <w:t xml:space="preserve"> до устие  и </w:t>
            </w:r>
            <w:proofErr w:type="spellStart"/>
            <w:r w:rsidRPr="009F6D1E">
              <w:rPr>
                <w:rFonts w:eastAsia="Times New Roman" w:cs="Times New Roman"/>
                <w:sz w:val="20"/>
                <w:szCs w:val="20"/>
                <w:lang w:eastAsia="bg-BG"/>
              </w:rPr>
              <w:t>Крумовски</w:t>
            </w:r>
            <w:proofErr w:type="spellEnd"/>
            <w:r w:rsidRPr="009F6D1E">
              <w:rPr>
                <w:rFonts w:eastAsia="Times New Roman" w:cs="Times New Roman"/>
                <w:sz w:val="20"/>
                <w:szCs w:val="20"/>
                <w:lang w:eastAsia="bg-BG"/>
              </w:rPr>
              <w:t xml:space="preserve"> колектор</w:t>
            </w:r>
          </w:p>
        </w:tc>
        <w:tc>
          <w:tcPr>
            <w:tcW w:w="0" w:type="auto"/>
            <w:tcBorders>
              <w:top w:val="nil"/>
              <w:left w:val="nil"/>
              <w:bottom w:val="single" w:sz="4" w:space="0" w:color="auto"/>
              <w:right w:val="single" w:sz="4" w:space="0" w:color="auto"/>
            </w:tcBorders>
            <w:shd w:val="clear" w:color="000000" w:fill="FF9900"/>
            <w:noWrap/>
            <w:vAlign w:val="bottom"/>
            <w:hideMark/>
          </w:tcPr>
          <w:p w14:paraId="2BECBB4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CDF34A4" w14:textId="77777777" w:rsidTr="00890AF6">
        <w:trPr>
          <w:trHeight w:val="555"/>
        </w:trPr>
        <w:tc>
          <w:tcPr>
            <w:tcW w:w="0" w:type="auto"/>
            <w:tcBorders>
              <w:top w:val="nil"/>
              <w:left w:val="single" w:sz="8" w:space="0" w:color="auto"/>
              <w:bottom w:val="single" w:sz="4" w:space="0" w:color="auto"/>
              <w:right w:val="single" w:sz="4" w:space="0" w:color="auto"/>
            </w:tcBorders>
            <w:shd w:val="clear" w:color="auto" w:fill="auto"/>
            <w:vAlign w:val="bottom"/>
          </w:tcPr>
          <w:p w14:paraId="1A1FE2F6"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25.</w:t>
            </w:r>
          </w:p>
        </w:tc>
        <w:tc>
          <w:tcPr>
            <w:tcW w:w="0" w:type="auto"/>
            <w:tcBorders>
              <w:top w:val="nil"/>
              <w:left w:val="nil"/>
              <w:bottom w:val="single" w:sz="4" w:space="0" w:color="auto"/>
              <w:right w:val="single" w:sz="4" w:space="0" w:color="auto"/>
            </w:tcBorders>
            <w:shd w:val="clear" w:color="auto" w:fill="auto"/>
            <w:vAlign w:val="bottom"/>
            <w:hideMark/>
          </w:tcPr>
          <w:p w14:paraId="5452C8D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6EEBE6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BG3MA500R128</w:t>
            </w:r>
          </w:p>
        </w:tc>
        <w:tc>
          <w:tcPr>
            <w:tcW w:w="0" w:type="auto"/>
            <w:tcBorders>
              <w:top w:val="nil"/>
              <w:left w:val="nil"/>
              <w:bottom w:val="single" w:sz="4" w:space="0" w:color="auto"/>
              <w:right w:val="single" w:sz="4" w:space="0" w:color="auto"/>
            </w:tcBorders>
            <w:shd w:val="clear" w:color="000000" w:fill="FFFFFF"/>
            <w:vAlign w:val="bottom"/>
            <w:hideMark/>
          </w:tcPr>
          <w:p w14:paraId="100B9CBC"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Потока от град Съединение до устие</w:t>
            </w:r>
          </w:p>
        </w:tc>
        <w:tc>
          <w:tcPr>
            <w:tcW w:w="0" w:type="auto"/>
            <w:tcBorders>
              <w:top w:val="nil"/>
              <w:left w:val="nil"/>
              <w:bottom w:val="single" w:sz="4" w:space="0" w:color="auto"/>
              <w:right w:val="single" w:sz="4" w:space="0" w:color="auto"/>
            </w:tcBorders>
            <w:shd w:val="clear" w:color="000000" w:fill="FF9900"/>
            <w:noWrap/>
            <w:vAlign w:val="bottom"/>
            <w:hideMark/>
          </w:tcPr>
          <w:p w14:paraId="2888A2E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033177E4" w14:textId="77777777" w:rsidTr="00890AF6">
        <w:trPr>
          <w:trHeight w:val="645"/>
        </w:trPr>
        <w:tc>
          <w:tcPr>
            <w:tcW w:w="0" w:type="auto"/>
            <w:tcBorders>
              <w:top w:val="nil"/>
              <w:left w:val="single" w:sz="8" w:space="0" w:color="auto"/>
              <w:bottom w:val="single" w:sz="4" w:space="0" w:color="auto"/>
              <w:right w:val="single" w:sz="4" w:space="0" w:color="auto"/>
            </w:tcBorders>
            <w:shd w:val="clear" w:color="auto" w:fill="auto"/>
            <w:vAlign w:val="bottom"/>
          </w:tcPr>
          <w:p w14:paraId="39F3498D"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26.</w:t>
            </w:r>
          </w:p>
        </w:tc>
        <w:tc>
          <w:tcPr>
            <w:tcW w:w="0" w:type="auto"/>
            <w:tcBorders>
              <w:top w:val="nil"/>
              <w:left w:val="nil"/>
              <w:bottom w:val="single" w:sz="4" w:space="0" w:color="auto"/>
              <w:right w:val="single" w:sz="4" w:space="0" w:color="auto"/>
            </w:tcBorders>
            <w:shd w:val="clear" w:color="auto" w:fill="auto"/>
            <w:vAlign w:val="bottom"/>
            <w:hideMark/>
          </w:tcPr>
          <w:p w14:paraId="4559751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13EF0A5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BG3MA700R143</w:t>
            </w:r>
          </w:p>
        </w:tc>
        <w:tc>
          <w:tcPr>
            <w:tcW w:w="0" w:type="auto"/>
            <w:tcBorders>
              <w:top w:val="nil"/>
              <w:left w:val="nil"/>
              <w:bottom w:val="single" w:sz="4" w:space="0" w:color="auto"/>
              <w:right w:val="single" w:sz="4" w:space="0" w:color="auto"/>
            </w:tcBorders>
            <w:shd w:val="clear" w:color="000000" w:fill="FFFFFF"/>
            <w:vAlign w:val="bottom"/>
            <w:hideMark/>
          </w:tcPr>
          <w:p w14:paraId="546D8566"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Марица от </w:t>
            </w:r>
            <w:proofErr w:type="spellStart"/>
            <w:r w:rsidRPr="009F6D1E">
              <w:rPr>
                <w:rFonts w:eastAsia="Times New Roman" w:cs="Times New Roman"/>
                <w:sz w:val="20"/>
                <w:szCs w:val="20"/>
                <w:lang w:eastAsia="bg-BG"/>
              </w:rPr>
              <w:t>р.Тополница</w:t>
            </w:r>
            <w:proofErr w:type="spellEnd"/>
            <w:r w:rsidRPr="009F6D1E">
              <w:rPr>
                <w:rFonts w:eastAsia="Times New Roman" w:cs="Times New Roman"/>
                <w:sz w:val="20"/>
                <w:szCs w:val="20"/>
                <w:lang w:eastAsia="bg-BG"/>
              </w:rPr>
              <w:t xml:space="preserve"> до вливане на </w:t>
            </w:r>
            <w:proofErr w:type="spellStart"/>
            <w:r w:rsidRPr="009F6D1E">
              <w:rPr>
                <w:rFonts w:eastAsia="Times New Roman" w:cs="Times New Roman"/>
                <w:sz w:val="20"/>
                <w:szCs w:val="20"/>
                <w:lang w:eastAsia="bg-BG"/>
              </w:rPr>
              <w:t>р.Въча</w:t>
            </w:r>
            <w:proofErr w:type="spellEnd"/>
            <w:r w:rsidRPr="009F6D1E">
              <w:rPr>
                <w:rFonts w:eastAsia="Times New Roman" w:cs="Times New Roman"/>
                <w:sz w:val="20"/>
                <w:szCs w:val="20"/>
                <w:lang w:eastAsia="bg-BG"/>
              </w:rPr>
              <w:t xml:space="preserve"> и ГОК-9 и ГОК II</w:t>
            </w:r>
          </w:p>
        </w:tc>
        <w:tc>
          <w:tcPr>
            <w:tcW w:w="0" w:type="auto"/>
            <w:tcBorders>
              <w:top w:val="nil"/>
              <w:left w:val="nil"/>
              <w:bottom w:val="single" w:sz="4" w:space="0" w:color="auto"/>
              <w:right w:val="single" w:sz="4" w:space="0" w:color="auto"/>
            </w:tcBorders>
            <w:shd w:val="clear" w:color="000000" w:fill="FF9900"/>
            <w:noWrap/>
            <w:vAlign w:val="bottom"/>
            <w:hideMark/>
          </w:tcPr>
          <w:p w14:paraId="08A37E5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55A36CC0" w14:textId="77777777" w:rsidTr="00890AF6">
        <w:trPr>
          <w:trHeight w:val="570"/>
        </w:trPr>
        <w:tc>
          <w:tcPr>
            <w:tcW w:w="0" w:type="auto"/>
            <w:tcBorders>
              <w:top w:val="nil"/>
              <w:left w:val="single" w:sz="8" w:space="0" w:color="auto"/>
              <w:bottom w:val="single" w:sz="4" w:space="0" w:color="auto"/>
              <w:right w:val="single" w:sz="4" w:space="0" w:color="auto"/>
            </w:tcBorders>
            <w:shd w:val="clear" w:color="auto" w:fill="auto"/>
            <w:vAlign w:val="bottom"/>
          </w:tcPr>
          <w:p w14:paraId="1BD11B7B"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27.</w:t>
            </w:r>
          </w:p>
        </w:tc>
        <w:tc>
          <w:tcPr>
            <w:tcW w:w="0" w:type="auto"/>
            <w:tcBorders>
              <w:top w:val="nil"/>
              <w:left w:val="nil"/>
              <w:bottom w:val="single" w:sz="4" w:space="0" w:color="auto"/>
              <w:right w:val="single" w:sz="4" w:space="0" w:color="auto"/>
            </w:tcBorders>
            <w:shd w:val="clear" w:color="auto" w:fill="auto"/>
            <w:vAlign w:val="bottom"/>
            <w:hideMark/>
          </w:tcPr>
          <w:p w14:paraId="4017F34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1DC16F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BG3MA800L180</w:t>
            </w:r>
          </w:p>
        </w:tc>
        <w:tc>
          <w:tcPr>
            <w:tcW w:w="0" w:type="auto"/>
            <w:tcBorders>
              <w:top w:val="nil"/>
              <w:left w:val="nil"/>
              <w:bottom w:val="single" w:sz="4" w:space="0" w:color="auto"/>
              <w:right w:val="single" w:sz="4" w:space="0" w:color="auto"/>
            </w:tcBorders>
            <w:shd w:val="clear" w:color="000000" w:fill="FFFFFF"/>
            <w:vAlign w:val="bottom"/>
            <w:hideMark/>
          </w:tcPr>
          <w:p w14:paraId="2369384E"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Душанци</w:t>
            </w:r>
          </w:p>
        </w:tc>
        <w:tc>
          <w:tcPr>
            <w:tcW w:w="0" w:type="auto"/>
            <w:tcBorders>
              <w:top w:val="nil"/>
              <w:left w:val="nil"/>
              <w:bottom w:val="single" w:sz="4" w:space="0" w:color="auto"/>
              <w:right w:val="single" w:sz="4" w:space="0" w:color="auto"/>
            </w:tcBorders>
            <w:shd w:val="clear" w:color="000000" w:fill="FF9900"/>
            <w:noWrap/>
            <w:vAlign w:val="bottom"/>
            <w:hideMark/>
          </w:tcPr>
          <w:p w14:paraId="16A1BB8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9F0D198" w14:textId="77777777" w:rsidTr="00890AF6">
        <w:trPr>
          <w:trHeight w:val="480"/>
        </w:trPr>
        <w:tc>
          <w:tcPr>
            <w:tcW w:w="0" w:type="auto"/>
            <w:tcBorders>
              <w:top w:val="nil"/>
              <w:left w:val="single" w:sz="8" w:space="0" w:color="auto"/>
              <w:bottom w:val="single" w:sz="4" w:space="0" w:color="auto"/>
              <w:right w:val="single" w:sz="4" w:space="0" w:color="auto"/>
            </w:tcBorders>
            <w:shd w:val="clear" w:color="auto" w:fill="auto"/>
            <w:vAlign w:val="bottom"/>
          </w:tcPr>
          <w:p w14:paraId="798FEB9F"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28.</w:t>
            </w:r>
          </w:p>
        </w:tc>
        <w:tc>
          <w:tcPr>
            <w:tcW w:w="0" w:type="auto"/>
            <w:tcBorders>
              <w:top w:val="nil"/>
              <w:left w:val="nil"/>
              <w:bottom w:val="single" w:sz="4" w:space="0" w:color="auto"/>
              <w:right w:val="single" w:sz="4" w:space="0" w:color="auto"/>
            </w:tcBorders>
            <w:shd w:val="clear" w:color="auto" w:fill="auto"/>
            <w:vAlign w:val="bottom"/>
            <w:hideMark/>
          </w:tcPr>
          <w:p w14:paraId="214F25DB"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746BF608"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BG3TU900R058</w:t>
            </w:r>
          </w:p>
        </w:tc>
        <w:tc>
          <w:tcPr>
            <w:tcW w:w="0" w:type="auto"/>
            <w:tcBorders>
              <w:top w:val="nil"/>
              <w:left w:val="nil"/>
              <w:bottom w:val="single" w:sz="4" w:space="0" w:color="auto"/>
              <w:right w:val="single" w:sz="4" w:space="0" w:color="auto"/>
            </w:tcBorders>
            <w:shd w:val="clear" w:color="000000" w:fill="FFFFFF"/>
            <w:vAlign w:val="bottom"/>
            <w:hideMark/>
          </w:tcPr>
          <w:p w14:paraId="6CCA88F0"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Река </w:t>
            </w:r>
            <w:proofErr w:type="spellStart"/>
            <w:r w:rsidRPr="009F6D1E">
              <w:rPr>
                <w:rFonts w:eastAsia="Times New Roman" w:cs="Times New Roman"/>
                <w:color w:val="000000"/>
                <w:sz w:val="20"/>
                <w:szCs w:val="20"/>
                <w:lang w:eastAsia="bg-BG"/>
              </w:rPr>
              <w:t>Саплама</w:t>
            </w:r>
            <w:proofErr w:type="spellEnd"/>
          </w:p>
        </w:tc>
        <w:tc>
          <w:tcPr>
            <w:tcW w:w="0" w:type="auto"/>
            <w:tcBorders>
              <w:top w:val="nil"/>
              <w:left w:val="nil"/>
              <w:bottom w:val="single" w:sz="4" w:space="0" w:color="auto"/>
              <w:right w:val="single" w:sz="4" w:space="0" w:color="auto"/>
            </w:tcBorders>
            <w:shd w:val="clear" w:color="000000" w:fill="FF9900"/>
            <w:noWrap/>
            <w:vAlign w:val="bottom"/>
            <w:hideMark/>
          </w:tcPr>
          <w:p w14:paraId="30F45F1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C41E912" w14:textId="77777777" w:rsidTr="00890AF6">
        <w:trPr>
          <w:trHeight w:val="720"/>
        </w:trPr>
        <w:tc>
          <w:tcPr>
            <w:tcW w:w="0" w:type="auto"/>
            <w:tcBorders>
              <w:top w:val="nil"/>
              <w:left w:val="single" w:sz="8" w:space="0" w:color="auto"/>
              <w:bottom w:val="single" w:sz="4" w:space="0" w:color="auto"/>
              <w:right w:val="single" w:sz="4" w:space="0" w:color="auto"/>
            </w:tcBorders>
            <w:shd w:val="clear" w:color="auto" w:fill="auto"/>
            <w:vAlign w:val="bottom"/>
          </w:tcPr>
          <w:p w14:paraId="16A57EB3"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29.</w:t>
            </w:r>
          </w:p>
        </w:tc>
        <w:tc>
          <w:tcPr>
            <w:tcW w:w="0" w:type="auto"/>
            <w:tcBorders>
              <w:top w:val="nil"/>
              <w:left w:val="nil"/>
              <w:bottom w:val="single" w:sz="4" w:space="0" w:color="auto"/>
              <w:right w:val="single" w:sz="4" w:space="0" w:color="auto"/>
            </w:tcBorders>
            <w:shd w:val="clear" w:color="auto" w:fill="auto"/>
            <w:vAlign w:val="bottom"/>
            <w:hideMark/>
          </w:tcPr>
          <w:p w14:paraId="65FA61A2"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51805E11"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BG3TU900R042</w:t>
            </w:r>
          </w:p>
        </w:tc>
        <w:tc>
          <w:tcPr>
            <w:tcW w:w="0" w:type="auto"/>
            <w:tcBorders>
              <w:top w:val="nil"/>
              <w:left w:val="nil"/>
              <w:bottom w:val="single" w:sz="4" w:space="0" w:color="auto"/>
              <w:right w:val="single" w:sz="4" w:space="0" w:color="auto"/>
            </w:tcBorders>
            <w:shd w:val="clear" w:color="000000" w:fill="FFFFFF"/>
            <w:vAlign w:val="bottom"/>
            <w:hideMark/>
          </w:tcPr>
          <w:p w14:paraId="44A58053"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Река Тунджа след яз. Копринка до </w:t>
            </w:r>
            <w:proofErr w:type="spellStart"/>
            <w:r w:rsidRPr="009F6D1E">
              <w:rPr>
                <w:rFonts w:eastAsia="Times New Roman" w:cs="Times New Roman"/>
                <w:color w:val="000000"/>
                <w:sz w:val="20"/>
                <w:szCs w:val="20"/>
                <w:lang w:eastAsia="bg-BG"/>
              </w:rPr>
              <w:t>яз.Жребчево</w:t>
            </w:r>
            <w:proofErr w:type="spellEnd"/>
            <w:r w:rsidRPr="009F6D1E">
              <w:rPr>
                <w:rFonts w:eastAsia="Times New Roman" w:cs="Times New Roman"/>
                <w:color w:val="000000"/>
                <w:sz w:val="20"/>
                <w:szCs w:val="20"/>
                <w:lang w:eastAsia="bg-BG"/>
              </w:rPr>
              <w:t xml:space="preserve">, </w:t>
            </w:r>
            <w:proofErr w:type="spellStart"/>
            <w:r w:rsidRPr="009F6D1E">
              <w:rPr>
                <w:rFonts w:eastAsia="Times New Roman" w:cs="Times New Roman"/>
                <w:color w:val="000000"/>
                <w:sz w:val="20"/>
                <w:szCs w:val="20"/>
                <w:lang w:eastAsia="bg-BG"/>
              </w:rPr>
              <w:t>р.Крънска</w:t>
            </w:r>
            <w:proofErr w:type="spellEnd"/>
            <w:r w:rsidRPr="009F6D1E">
              <w:rPr>
                <w:rFonts w:eastAsia="Times New Roman" w:cs="Times New Roman"/>
                <w:color w:val="000000"/>
                <w:sz w:val="20"/>
                <w:szCs w:val="20"/>
                <w:lang w:eastAsia="bg-BG"/>
              </w:rPr>
              <w:t xml:space="preserve"> и долно течение</w:t>
            </w:r>
          </w:p>
        </w:tc>
        <w:tc>
          <w:tcPr>
            <w:tcW w:w="0" w:type="auto"/>
            <w:tcBorders>
              <w:top w:val="nil"/>
              <w:left w:val="nil"/>
              <w:bottom w:val="single" w:sz="4" w:space="0" w:color="auto"/>
              <w:right w:val="single" w:sz="4" w:space="0" w:color="auto"/>
            </w:tcBorders>
            <w:shd w:val="clear" w:color="000000" w:fill="FF9900"/>
            <w:noWrap/>
            <w:vAlign w:val="bottom"/>
            <w:hideMark/>
          </w:tcPr>
          <w:p w14:paraId="1C38DB4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9132A7B"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1797380D"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30.</w:t>
            </w:r>
          </w:p>
        </w:tc>
        <w:tc>
          <w:tcPr>
            <w:tcW w:w="0" w:type="auto"/>
            <w:tcBorders>
              <w:top w:val="nil"/>
              <w:left w:val="nil"/>
              <w:bottom w:val="single" w:sz="4" w:space="0" w:color="auto"/>
              <w:right w:val="single" w:sz="4" w:space="0" w:color="auto"/>
            </w:tcBorders>
            <w:shd w:val="clear" w:color="auto" w:fill="auto"/>
            <w:vAlign w:val="bottom"/>
            <w:hideMark/>
          </w:tcPr>
          <w:p w14:paraId="1F4DFC67"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0DD8BF4E"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BG3TU700R028</w:t>
            </w:r>
          </w:p>
        </w:tc>
        <w:tc>
          <w:tcPr>
            <w:tcW w:w="0" w:type="auto"/>
            <w:tcBorders>
              <w:top w:val="nil"/>
              <w:left w:val="nil"/>
              <w:bottom w:val="single" w:sz="4" w:space="0" w:color="auto"/>
              <w:right w:val="single" w:sz="4" w:space="0" w:color="auto"/>
            </w:tcBorders>
            <w:shd w:val="clear" w:color="000000" w:fill="FFFFFF"/>
            <w:vAlign w:val="bottom"/>
            <w:hideMark/>
          </w:tcPr>
          <w:p w14:paraId="4F2FDC8A"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Река </w:t>
            </w:r>
            <w:proofErr w:type="spellStart"/>
            <w:r w:rsidRPr="009F6D1E">
              <w:rPr>
                <w:rFonts w:eastAsia="Times New Roman" w:cs="Times New Roman"/>
                <w:color w:val="000000"/>
                <w:sz w:val="20"/>
                <w:szCs w:val="20"/>
                <w:lang w:eastAsia="bg-BG"/>
              </w:rPr>
              <w:t>Асеновска</w:t>
            </w:r>
            <w:proofErr w:type="spellEnd"/>
            <w:r w:rsidRPr="009F6D1E">
              <w:rPr>
                <w:rFonts w:eastAsia="Times New Roman" w:cs="Times New Roman"/>
                <w:color w:val="000000"/>
                <w:sz w:val="20"/>
                <w:szCs w:val="20"/>
                <w:lang w:eastAsia="bg-BG"/>
              </w:rPr>
              <w:t xml:space="preserve"> от </w:t>
            </w:r>
            <w:proofErr w:type="spellStart"/>
            <w:r w:rsidRPr="009F6D1E">
              <w:rPr>
                <w:rFonts w:eastAsia="Times New Roman" w:cs="Times New Roman"/>
                <w:color w:val="000000"/>
                <w:sz w:val="20"/>
                <w:szCs w:val="20"/>
                <w:lang w:eastAsia="bg-BG"/>
              </w:rPr>
              <w:t>гр.Сливен</w:t>
            </w:r>
            <w:proofErr w:type="spellEnd"/>
            <w:r w:rsidRPr="009F6D1E">
              <w:rPr>
                <w:rFonts w:eastAsia="Times New Roman" w:cs="Times New Roman"/>
                <w:color w:val="000000"/>
                <w:sz w:val="20"/>
                <w:szCs w:val="20"/>
                <w:lang w:eastAsia="bg-BG"/>
              </w:rPr>
              <w:t xml:space="preserve"> до устие</w:t>
            </w:r>
          </w:p>
        </w:tc>
        <w:tc>
          <w:tcPr>
            <w:tcW w:w="0" w:type="auto"/>
            <w:tcBorders>
              <w:top w:val="nil"/>
              <w:left w:val="nil"/>
              <w:bottom w:val="single" w:sz="4" w:space="0" w:color="auto"/>
              <w:right w:val="single" w:sz="4" w:space="0" w:color="auto"/>
            </w:tcBorders>
            <w:shd w:val="clear" w:color="000000" w:fill="FF9900"/>
            <w:noWrap/>
            <w:vAlign w:val="bottom"/>
            <w:hideMark/>
          </w:tcPr>
          <w:p w14:paraId="7A2C85B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AC8E184"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0F51788B"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31.</w:t>
            </w:r>
          </w:p>
        </w:tc>
        <w:tc>
          <w:tcPr>
            <w:tcW w:w="0" w:type="auto"/>
            <w:tcBorders>
              <w:top w:val="nil"/>
              <w:left w:val="nil"/>
              <w:bottom w:val="single" w:sz="4" w:space="0" w:color="auto"/>
              <w:right w:val="single" w:sz="4" w:space="0" w:color="auto"/>
            </w:tcBorders>
            <w:shd w:val="clear" w:color="auto" w:fill="auto"/>
            <w:vAlign w:val="bottom"/>
            <w:hideMark/>
          </w:tcPr>
          <w:p w14:paraId="438A2764"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2615F854"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BG3TU570R066</w:t>
            </w:r>
          </w:p>
        </w:tc>
        <w:tc>
          <w:tcPr>
            <w:tcW w:w="0" w:type="auto"/>
            <w:tcBorders>
              <w:top w:val="nil"/>
              <w:left w:val="nil"/>
              <w:bottom w:val="single" w:sz="4" w:space="0" w:color="auto"/>
              <w:right w:val="single" w:sz="4" w:space="0" w:color="auto"/>
            </w:tcBorders>
            <w:shd w:val="clear" w:color="000000" w:fill="FFFFFF"/>
            <w:vAlign w:val="bottom"/>
            <w:hideMark/>
          </w:tcPr>
          <w:p w14:paraId="33E46F8E"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Река Тунджа от вливане на река Мочурица до вливане на р. Симеоновска</w:t>
            </w:r>
          </w:p>
        </w:tc>
        <w:tc>
          <w:tcPr>
            <w:tcW w:w="0" w:type="auto"/>
            <w:tcBorders>
              <w:top w:val="nil"/>
              <w:left w:val="nil"/>
              <w:bottom w:val="single" w:sz="4" w:space="0" w:color="auto"/>
              <w:right w:val="single" w:sz="4" w:space="0" w:color="auto"/>
            </w:tcBorders>
            <w:shd w:val="clear" w:color="000000" w:fill="FF9900"/>
            <w:noWrap/>
            <w:vAlign w:val="bottom"/>
            <w:hideMark/>
          </w:tcPr>
          <w:p w14:paraId="5D98678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50572E93" w14:textId="77777777" w:rsidTr="00890AF6">
        <w:trPr>
          <w:trHeight w:val="525"/>
        </w:trPr>
        <w:tc>
          <w:tcPr>
            <w:tcW w:w="0" w:type="auto"/>
            <w:tcBorders>
              <w:top w:val="nil"/>
              <w:left w:val="single" w:sz="8" w:space="0" w:color="auto"/>
              <w:bottom w:val="single" w:sz="4" w:space="0" w:color="auto"/>
              <w:right w:val="single" w:sz="4" w:space="0" w:color="auto"/>
            </w:tcBorders>
            <w:shd w:val="clear" w:color="auto" w:fill="auto"/>
            <w:vAlign w:val="bottom"/>
          </w:tcPr>
          <w:p w14:paraId="47804A43"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lastRenderedPageBreak/>
              <w:t>32.</w:t>
            </w:r>
          </w:p>
        </w:tc>
        <w:tc>
          <w:tcPr>
            <w:tcW w:w="0" w:type="auto"/>
            <w:tcBorders>
              <w:top w:val="nil"/>
              <w:left w:val="nil"/>
              <w:bottom w:val="single" w:sz="4" w:space="0" w:color="auto"/>
              <w:right w:val="single" w:sz="4" w:space="0" w:color="auto"/>
            </w:tcBorders>
            <w:shd w:val="clear" w:color="auto" w:fill="auto"/>
            <w:vAlign w:val="bottom"/>
            <w:hideMark/>
          </w:tcPr>
          <w:p w14:paraId="1FADC6DB"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68B28337"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BG3TU500R015</w:t>
            </w:r>
          </w:p>
        </w:tc>
        <w:tc>
          <w:tcPr>
            <w:tcW w:w="0" w:type="auto"/>
            <w:tcBorders>
              <w:top w:val="nil"/>
              <w:left w:val="nil"/>
              <w:bottom w:val="single" w:sz="4" w:space="0" w:color="auto"/>
              <w:right w:val="single" w:sz="4" w:space="0" w:color="auto"/>
            </w:tcBorders>
            <w:shd w:val="clear" w:color="000000" w:fill="FFFFFF"/>
            <w:vAlign w:val="bottom"/>
            <w:hideMark/>
          </w:tcPr>
          <w:p w14:paraId="2360D602"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Река Дряновска</w:t>
            </w:r>
          </w:p>
        </w:tc>
        <w:tc>
          <w:tcPr>
            <w:tcW w:w="0" w:type="auto"/>
            <w:tcBorders>
              <w:top w:val="nil"/>
              <w:left w:val="nil"/>
              <w:bottom w:val="single" w:sz="4" w:space="0" w:color="auto"/>
              <w:right w:val="single" w:sz="4" w:space="0" w:color="auto"/>
            </w:tcBorders>
            <w:shd w:val="clear" w:color="000000" w:fill="FF9900"/>
            <w:noWrap/>
            <w:vAlign w:val="bottom"/>
            <w:hideMark/>
          </w:tcPr>
          <w:p w14:paraId="54FEDC5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C255EC2" w14:textId="77777777" w:rsidTr="00890AF6">
        <w:trPr>
          <w:trHeight w:val="480"/>
        </w:trPr>
        <w:tc>
          <w:tcPr>
            <w:tcW w:w="0" w:type="auto"/>
            <w:tcBorders>
              <w:top w:val="nil"/>
              <w:left w:val="single" w:sz="8" w:space="0" w:color="auto"/>
              <w:bottom w:val="single" w:sz="4" w:space="0" w:color="auto"/>
              <w:right w:val="single" w:sz="4" w:space="0" w:color="auto"/>
            </w:tcBorders>
            <w:shd w:val="clear" w:color="auto" w:fill="auto"/>
            <w:vAlign w:val="bottom"/>
          </w:tcPr>
          <w:p w14:paraId="3BA28FC0"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33.</w:t>
            </w:r>
          </w:p>
        </w:tc>
        <w:tc>
          <w:tcPr>
            <w:tcW w:w="0" w:type="auto"/>
            <w:tcBorders>
              <w:top w:val="nil"/>
              <w:left w:val="nil"/>
              <w:bottom w:val="single" w:sz="4" w:space="0" w:color="auto"/>
              <w:right w:val="single" w:sz="4" w:space="0" w:color="auto"/>
            </w:tcBorders>
            <w:shd w:val="clear" w:color="auto" w:fill="auto"/>
            <w:vAlign w:val="bottom"/>
            <w:hideMark/>
          </w:tcPr>
          <w:p w14:paraId="66718420"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2BE6B57D"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BG3TU500L017</w:t>
            </w:r>
          </w:p>
        </w:tc>
        <w:tc>
          <w:tcPr>
            <w:tcW w:w="0" w:type="auto"/>
            <w:tcBorders>
              <w:top w:val="nil"/>
              <w:left w:val="nil"/>
              <w:bottom w:val="single" w:sz="4" w:space="0" w:color="auto"/>
              <w:right w:val="single" w:sz="4" w:space="0" w:color="auto"/>
            </w:tcBorders>
            <w:shd w:val="clear" w:color="000000" w:fill="FFFFFF"/>
            <w:vAlign w:val="bottom"/>
            <w:hideMark/>
          </w:tcPr>
          <w:p w14:paraId="4CCD4B89"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Язовир Кирилово</w:t>
            </w:r>
          </w:p>
        </w:tc>
        <w:tc>
          <w:tcPr>
            <w:tcW w:w="0" w:type="auto"/>
            <w:tcBorders>
              <w:top w:val="nil"/>
              <w:left w:val="nil"/>
              <w:bottom w:val="single" w:sz="4" w:space="0" w:color="auto"/>
              <w:right w:val="single" w:sz="4" w:space="0" w:color="auto"/>
            </w:tcBorders>
            <w:shd w:val="clear" w:color="000000" w:fill="FF9900"/>
            <w:vAlign w:val="bottom"/>
            <w:hideMark/>
          </w:tcPr>
          <w:p w14:paraId="7AD7996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C54A99D"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00B11E02"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34.</w:t>
            </w:r>
          </w:p>
        </w:tc>
        <w:tc>
          <w:tcPr>
            <w:tcW w:w="0" w:type="auto"/>
            <w:tcBorders>
              <w:top w:val="nil"/>
              <w:left w:val="nil"/>
              <w:bottom w:val="single" w:sz="4" w:space="0" w:color="auto"/>
              <w:right w:val="single" w:sz="4" w:space="0" w:color="auto"/>
            </w:tcBorders>
            <w:shd w:val="clear" w:color="auto" w:fill="auto"/>
            <w:vAlign w:val="bottom"/>
            <w:hideMark/>
          </w:tcPr>
          <w:p w14:paraId="25D8EAED"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0DB9426B"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BG3TU200R007</w:t>
            </w:r>
          </w:p>
        </w:tc>
        <w:tc>
          <w:tcPr>
            <w:tcW w:w="0" w:type="auto"/>
            <w:tcBorders>
              <w:top w:val="nil"/>
              <w:left w:val="nil"/>
              <w:bottom w:val="single" w:sz="4" w:space="0" w:color="auto"/>
              <w:right w:val="single" w:sz="4" w:space="0" w:color="auto"/>
            </w:tcBorders>
            <w:shd w:val="clear" w:color="000000" w:fill="FFFFFF"/>
            <w:vAlign w:val="bottom"/>
            <w:hideMark/>
          </w:tcPr>
          <w:p w14:paraId="1735CA51"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Река Калница</w:t>
            </w:r>
          </w:p>
        </w:tc>
        <w:tc>
          <w:tcPr>
            <w:tcW w:w="0" w:type="auto"/>
            <w:tcBorders>
              <w:top w:val="nil"/>
              <w:left w:val="nil"/>
              <w:bottom w:val="single" w:sz="4" w:space="0" w:color="auto"/>
              <w:right w:val="single" w:sz="4" w:space="0" w:color="auto"/>
            </w:tcBorders>
            <w:shd w:val="clear" w:color="000000" w:fill="FF9900"/>
            <w:noWrap/>
            <w:vAlign w:val="bottom"/>
            <w:hideMark/>
          </w:tcPr>
          <w:p w14:paraId="059F538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64A42F33" w14:textId="77777777" w:rsidTr="00890AF6">
        <w:trPr>
          <w:trHeight w:val="495"/>
        </w:trPr>
        <w:tc>
          <w:tcPr>
            <w:tcW w:w="0" w:type="auto"/>
            <w:tcBorders>
              <w:top w:val="nil"/>
              <w:left w:val="single" w:sz="8" w:space="0" w:color="auto"/>
              <w:bottom w:val="single" w:sz="4" w:space="0" w:color="auto"/>
              <w:right w:val="single" w:sz="4" w:space="0" w:color="auto"/>
            </w:tcBorders>
            <w:shd w:val="clear" w:color="auto" w:fill="auto"/>
            <w:vAlign w:val="bottom"/>
          </w:tcPr>
          <w:p w14:paraId="66FBD160"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35.</w:t>
            </w:r>
          </w:p>
        </w:tc>
        <w:tc>
          <w:tcPr>
            <w:tcW w:w="0" w:type="auto"/>
            <w:tcBorders>
              <w:top w:val="nil"/>
              <w:left w:val="nil"/>
              <w:bottom w:val="single" w:sz="4" w:space="0" w:color="auto"/>
              <w:right w:val="single" w:sz="4" w:space="0" w:color="auto"/>
            </w:tcBorders>
            <w:shd w:val="clear" w:color="auto" w:fill="auto"/>
            <w:vAlign w:val="bottom"/>
            <w:hideMark/>
          </w:tcPr>
          <w:p w14:paraId="659C303B"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33F337E7"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BG3TU200L010</w:t>
            </w:r>
          </w:p>
        </w:tc>
        <w:tc>
          <w:tcPr>
            <w:tcW w:w="0" w:type="auto"/>
            <w:tcBorders>
              <w:top w:val="nil"/>
              <w:left w:val="nil"/>
              <w:bottom w:val="single" w:sz="4" w:space="0" w:color="auto"/>
              <w:right w:val="single" w:sz="4" w:space="0" w:color="auto"/>
            </w:tcBorders>
            <w:shd w:val="clear" w:color="000000" w:fill="FFFFFF"/>
            <w:vAlign w:val="bottom"/>
            <w:hideMark/>
          </w:tcPr>
          <w:p w14:paraId="14B4650C"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Язовир Роза 3</w:t>
            </w:r>
          </w:p>
        </w:tc>
        <w:tc>
          <w:tcPr>
            <w:tcW w:w="0" w:type="auto"/>
            <w:tcBorders>
              <w:top w:val="nil"/>
              <w:left w:val="nil"/>
              <w:bottom w:val="single" w:sz="4" w:space="0" w:color="auto"/>
              <w:right w:val="single" w:sz="4" w:space="0" w:color="auto"/>
            </w:tcBorders>
            <w:shd w:val="clear" w:color="000000" w:fill="FF9900"/>
            <w:vAlign w:val="bottom"/>
            <w:hideMark/>
          </w:tcPr>
          <w:p w14:paraId="679545D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D645B6E" w14:textId="77777777" w:rsidTr="00890AF6">
        <w:trPr>
          <w:trHeight w:val="525"/>
        </w:trPr>
        <w:tc>
          <w:tcPr>
            <w:tcW w:w="0" w:type="auto"/>
            <w:tcBorders>
              <w:top w:val="nil"/>
              <w:left w:val="single" w:sz="8" w:space="0" w:color="auto"/>
              <w:bottom w:val="single" w:sz="4" w:space="0" w:color="auto"/>
              <w:right w:val="single" w:sz="4" w:space="0" w:color="auto"/>
            </w:tcBorders>
            <w:shd w:val="clear" w:color="auto" w:fill="auto"/>
            <w:vAlign w:val="bottom"/>
          </w:tcPr>
          <w:p w14:paraId="09B3B449"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36.</w:t>
            </w:r>
          </w:p>
        </w:tc>
        <w:tc>
          <w:tcPr>
            <w:tcW w:w="0" w:type="auto"/>
            <w:tcBorders>
              <w:top w:val="nil"/>
              <w:left w:val="nil"/>
              <w:bottom w:val="single" w:sz="4" w:space="0" w:color="auto"/>
              <w:right w:val="single" w:sz="4" w:space="0" w:color="auto"/>
            </w:tcBorders>
            <w:shd w:val="clear" w:color="auto" w:fill="auto"/>
            <w:vAlign w:val="bottom"/>
            <w:hideMark/>
          </w:tcPr>
          <w:p w14:paraId="4E18188E"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0D72D6BB"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BG3TU200L009</w:t>
            </w:r>
          </w:p>
        </w:tc>
        <w:tc>
          <w:tcPr>
            <w:tcW w:w="0" w:type="auto"/>
            <w:tcBorders>
              <w:top w:val="nil"/>
              <w:left w:val="nil"/>
              <w:bottom w:val="single" w:sz="4" w:space="0" w:color="auto"/>
              <w:right w:val="single" w:sz="4" w:space="0" w:color="auto"/>
            </w:tcBorders>
            <w:shd w:val="clear" w:color="000000" w:fill="FFFFFF"/>
            <w:vAlign w:val="bottom"/>
            <w:hideMark/>
          </w:tcPr>
          <w:p w14:paraId="09A480EE"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Язовир </w:t>
            </w:r>
            <w:proofErr w:type="spellStart"/>
            <w:r w:rsidRPr="009F6D1E">
              <w:rPr>
                <w:rFonts w:eastAsia="Times New Roman" w:cs="Times New Roman"/>
                <w:color w:val="000000"/>
                <w:sz w:val="20"/>
                <w:szCs w:val="20"/>
                <w:lang w:eastAsia="bg-BG"/>
              </w:rPr>
              <w:t>Малазмак</w:t>
            </w:r>
            <w:proofErr w:type="spellEnd"/>
          </w:p>
        </w:tc>
        <w:tc>
          <w:tcPr>
            <w:tcW w:w="0" w:type="auto"/>
            <w:tcBorders>
              <w:top w:val="nil"/>
              <w:left w:val="nil"/>
              <w:bottom w:val="single" w:sz="4" w:space="0" w:color="auto"/>
              <w:right w:val="single" w:sz="4" w:space="0" w:color="auto"/>
            </w:tcBorders>
            <w:shd w:val="clear" w:color="000000" w:fill="FF9900"/>
            <w:vAlign w:val="bottom"/>
            <w:hideMark/>
          </w:tcPr>
          <w:p w14:paraId="06F2D86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08B08016" w14:textId="77777777" w:rsidTr="00890AF6">
        <w:trPr>
          <w:trHeight w:val="525"/>
        </w:trPr>
        <w:tc>
          <w:tcPr>
            <w:tcW w:w="0" w:type="auto"/>
            <w:tcBorders>
              <w:top w:val="nil"/>
              <w:left w:val="single" w:sz="8" w:space="0" w:color="auto"/>
              <w:bottom w:val="single" w:sz="4" w:space="0" w:color="auto"/>
              <w:right w:val="single" w:sz="4" w:space="0" w:color="auto"/>
            </w:tcBorders>
            <w:shd w:val="clear" w:color="auto" w:fill="auto"/>
            <w:vAlign w:val="bottom"/>
          </w:tcPr>
          <w:p w14:paraId="7E146266"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37.</w:t>
            </w:r>
          </w:p>
        </w:tc>
        <w:tc>
          <w:tcPr>
            <w:tcW w:w="0" w:type="auto"/>
            <w:tcBorders>
              <w:top w:val="nil"/>
              <w:left w:val="nil"/>
              <w:bottom w:val="single" w:sz="4" w:space="0" w:color="auto"/>
              <w:right w:val="single" w:sz="4" w:space="0" w:color="auto"/>
            </w:tcBorders>
            <w:shd w:val="clear" w:color="auto" w:fill="auto"/>
            <w:vAlign w:val="bottom"/>
            <w:hideMark/>
          </w:tcPr>
          <w:p w14:paraId="6F0FE248"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Арда</w:t>
            </w:r>
          </w:p>
        </w:tc>
        <w:tc>
          <w:tcPr>
            <w:tcW w:w="0" w:type="auto"/>
            <w:tcBorders>
              <w:top w:val="nil"/>
              <w:left w:val="nil"/>
              <w:bottom w:val="single" w:sz="4" w:space="0" w:color="auto"/>
              <w:right w:val="single" w:sz="4" w:space="0" w:color="auto"/>
            </w:tcBorders>
            <w:shd w:val="clear" w:color="000000" w:fill="FFFFFF"/>
            <w:noWrap/>
            <w:vAlign w:val="bottom"/>
            <w:hideMark/>
          </w:tcPr>
          <w:p w14:paraId="4F68CE7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BG3AR700R040</w:t>
            </w:r>
          </w:p>
        </w:tc>
        <w:tc>
          <w:tcPr>
            <w:tcW w:w="0" w:type="auto"/>
            <w:tcBorders>
              <w:top w:val="nil"/>
              <w:left w:val="nil"/>
              <w:bottom w:val="single" w:sz="4" w:space="0" w:color="auto"/>
              <w:right w:val="single" w:sz="4" w:space="0" w:color="auto"/>
            </w:tcBorders>
            <w:shd w:val="clear" w:color="000000" w:fill="FFFFFF"/>
            <w:vAlign w:val="bottom"/>
            <w:hideMark/>
          </w:tcPr>
          <w:p w14:paraId="02C614F0"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Уваджик</w:t>
            </w:r>
            <w:proofErr w:type="spellEnd"/>
            <w:r w:rsidRPr="009F6D1E">
              <w:rPr>
                <w:rFonts w:eastAsia="Times New Roman" w:cs="Times New Roman"/>
                <w:sz w:val="20"/>
                <w:szCs w:val="20"/>
                <w:lang w:eastAsia="bg-BG"/>
              </w:rPr>
              <w:t xml:space="preserve"> и </w:t>
            </w:r>
            <w:proofErr w:type="spellStart"/>
            <w:r w:rsidRPr="009F6D1E">
              <w:rPr>
                <w:rFonts w:eastAsia="Times New Roman" w:cs="Times New Roman"/>
                <w:sz w:val="20"/>
                <w:szCs w:val="20"/>
                <w:lang w:eastAsia="bg-BG"/>
              </w:rPr>
              <w:t>р.Бял</w:t>
            </w:r>
            <w:proofErr w:type="spellEnd"/>
            <w:r w:rsidRPr="009F6D1E">
              <w:rPr>
                <w:rFonts w:eastAsia="Times New Roman" w:cs="Times New Roman"/>
                <w:sz w:val="20"/>
                <w:szCs w:val="20"/>
                <w:lang w:eastAsia="bg-BG"/>
              </w:rPr>
              <w:t xml:space="preserve"> извор</w:t>
            </w:r>
          </w:p>
        </w:tc>
        <w:tc>
          <w:tcPr>
            <w:tcW w:w="0" w:type="auto"/>
            <w:tcBorders>
              <w:top w:val="nil"/>
              <w:left w:val="nil"/>
              <w:bottom w:val="single" w:sz="4" w:space="0" w:color="auto"/>
              <w:right w:val="single" w:sz="4" w:space="0" w:color="auto"/>
            </w:tcBorders>
            <w:shd w:val="clear" w:color="auto" w:fill="FFC000"/>
            <w:vAlign w:val="bottom"/>
            <w:hideMark/>
          </w:tcPr>
          <w:p w14:paraId="041DDCE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6A19D89B" w14:textId="77777777" w:rsidTr="00890AF6">
        <w:trPr>
          <w:trHeight w:val="495"/>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tcPr>
          <w:p w14:paraId="762E8141"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38.</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7121912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single" w:sz="4" w:space="0" w:color="auto"/>
              <w:left w:val="nil"/>
              <w:bottom w:val="single" w:sz="4" w:space="0" w:color="auto"/>
              <w:right w:val="single" w:sz="4" w:space="0" w:color="auto"/>
            </w:tcBorders>
            <w:shd w:val="clear" w:color="000000" w:fill="FFFFFF"/>
            <w:vAlign w:val="bottom"/>
            <w:hideMark/>
          </w:tcPr>
          <w:p w14:paraId="2FCB5A5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BG3MA200L019</w:t>
            </w:r>
          </w:p>
        </w:tc>
        <w:tc>
          <w:tcPr>
            <w:tcW w:w="0" w:type="auto"/>
            <w:tcBorders>
              <w:top w:val="single" w:sz="4" w:space="0" w:color="auto"/>
              <w:left w:val="nil"/>
              <w:bottom w:val="single" w:sz="4" w:space="0" w:color="auto"/>
              <w:right w:val="single" w:sz="4" w:space="0" w:color="auto"/>
            </w:tcBorders>
            <w:shd w:val="clear" w:color="000000" w:fill="FFFFFF"/>
            <w:vAlign w:val="bottom"/>
            <w:hideMark/>
          </w:tcPr>
          <w:p w14:paraId="2754AFB7"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Розов кладенец</w:t>
            </w:r>
          </w:p>
        </w:tc>
        <w:tc>
          <w:tcPr>
            <w:tcW w:w="0" w:type="auto"/>
            <w:tcBorders>
              <w:top w:val="single" w:sz="4" w:space="0" w:color="auto"/>
              <w:left w:val="nil"/>
              <w:bottom w:val="single" w:sz="4" w:space="0" w:color="auto"/>
              <w:right w:val="single" w:sz="4" w:space="0" w:color="auto"/>
            </w:tcBorders>
            <w:shd w:val="clear" w:color="000000" w:fill="FF0000"/>
            <w:vAlign w:val="bottom"/>
            <w:hideMark/>
          </w:tcPr>
          <w:p w14:paraId="76E5D49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2A04641B"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7C97A937"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39.</w:t>
            </w:r>
          </w:p>
        </w:tc>
        <w:tc>
          <w:tcPr>
            <w:tcW w:w="0" w:type="auto"/>
            <w:tcBorders>
              <w:top w:val="nil"/>
              <w:left w:val="nil"/>
              <w:bottom w:val="single" w:sz="4" w:space="0" w:color="auto"/>
              <w:right w:val="single" w:sz="4" w:space="0" w:color="auto"/>
            </w:tcBorders>
            <w:shd w:val="clear" w:color="auto" w:fill="auto"/>
            <w:vAlign w:val="bottom"/>
            <w:hideMark/>
          </w:tcPr>
          <w:p w14:paraId="6143AD4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C5C226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BG3MA200R035</w:t>
            </w:r>
          </w:p>
        </w:tc>
        <w:tc>
          <w:tcPr>
            <w:tcW w:w="0" w:type="auto"/>
            <w:tcBorders>
              <w:top w:val="nil"/>
              <w:left w:val="nil"/>
              <w:bottom w:val="single" w:sz="4" w:space="0" w:color="auto"/>
              <w:right w:val="single" w:sz="4" w:space="0" w:color="auto"/>
            </w:tcBorders>
            <w:shd w:val="clear" w:color="000000" w:fill="FFFFFF"/>
            <w:vAlign w:val="bottom"/>
            <w:hideMark/>
          </w:tcPr>
          <w:p w14:paraId="75A1F6C1"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Бедечка</w:t>
            </w:r>
            <w:proofErr w:type="spellEnd"/>
            <w:r w:rsidRPr="009F6D1E">
              <w:rPr>
                <w:rFonts w:eastAsia="Times New Roman" w:cs="Times New Roman"/>
                <w:sz w:val="20"/>
                <w:szCs w:val="20"/>
                <w:lang w:eastAsia="bg-BG"/>
              </w:rPr>
              <w:t xml:space="preserve"> от гр. Стара Загора до устие</w:t>
            </w:r>
          </w:p>
        </w:tc>
        <w:tc>
          <w:tcPr>
            <w:tcW w:w="0" w:type="auto"/>
            <w:tcBorders>
              <w:top w:val="nil"/>
              <w:left w:val="nil"/>
              <w:bottom w:val="single" w:sz="4" w:space="0" w:color="auto"/>
              <w:right w:val="single" w:sz="4" w:space="0" w:color="auto"/>
            </w:tcBorders>
            <w:shd w:val="clear" w:color="000000" w:fill="FF0000"/>
            <w:vAlign w:val="bottom"/>
            <w:hideMark/>
          </w:tcPr>
          <w:p w14:paraId="618442D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773158C3" w14:textId="77777777" w:rsidTr="00890AF6">
        <w:trPr>
          <w:trHeight w:val="514"/>
        </w:trPr>
        <w:tc>
          <w:tcPr>
            <w:tcW w:w="0" w:type="auto"/>
            <w:tcBorders>
              <w:top w:val="nil"/>
              <w:left w:val="single" w:sz="8" w:space="0" w:color="auto"/>
              <w:bottom w:val="single" w:sz="4" w:space="0" w:color="auto"/>
              <w:right w:val="single" w:sz="4" w:space="0" w:color="auto"/>
            </w:tcBorders>
            <w:shd w:val="clear" w:color="auto" w:fill="auto"/>
            <w:vAlign w:val="bottom"/>
          </w:tcPr>
          <w:p w14:paraId="05813648"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40.</w:t>
            </w:r>
          </w:p>
        </w:tc>
        <w:tc>
          <w:tcPr>
            <w:tcW w:w="0" w:type="auto"/>
            <w:tcBorders>
              <w:top w:val="nil"/>
              <w:left w:val="nil"/>
              <w:bottom w:val="single" w:sz="4" w:space="0" w:color="auto"/>
              <w:right w:val="single" w:sz="4" w:space="0" w:color="auto"/>
            </w:tcBorders>
            <w:shd w:val="clear" w:color="auto" w:fill="auto"/>
            <w:vAlign w:val="bottom"/>
            <w:hideMark/>
          </w:tcPr>
          <w:p w14:paraId="490C0CC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E53C12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BG3MA300L041</w:t>
            </w:r>
          </w:p>
        </w:tc>
        <w:tc>
          <w:tcPr>
            <w:tcW w:w="0" w:type="auto"/>
            <w:tcBorders>
              <w:top w:val="nil"/>
              <w:left w:val="nil"/>
              <w:bottom w:val="single" w:sz="4" w:space="0" w:color="auto"/>
              <w:right w:val="single" w:sz="4" w:space="0" w:color="auto"/>
            </w:tcBorders>
            <w:shd w:val="clear" w:color="000000" w:fill="FFFFFF"/>
            <w:vAlign w:val="bottom"/>
            <w:hideMark/>
          </w:tcPr>
          <w:p w14:paraId="1E24F2B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Бяло поле</w:t>
            </w:r>
          </w:p>
        </w:tc>
        <w:tc>
          <w:tcPr>
            <w:tcW w:w="0" w:type="auto"/>
            <w:tcBorders>
              <w:top w:val="nil"/>
              <w:left w:val="nil"/>
              <w:bottom w:val="single" w:sz="4" w:space="0" w:color="auto"/>
              <w:right w:val="single" w:sz="4" w:space="0" w:color="auto"/>
            </w:tcBorders>
            <w:shd w:val="clear" w:color="000000" w:fill="FF0000"/>
            <w:vAlign w:val="bottom"/>
            <w:hideMark/>
          </w:tcPr>
          <w:p w14:paraId="0A804DB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06FF135D" w14:textId="77777777" w:rsidTr="00890AF6">
        <w:trPr>
          <w:trHeight w:val="570"/>
        </w:trPr>
        <w:tc>
          <w:tcPr>
            <w:tcW w:w="0" w:type="auto"/>
            <w:tcBorders>
              <w:top w:val="nil"/>
              <w:left w:val="single" w:sz="8" w:space="0" w:color="auto"/>
              <w:bottom w:val="single" w:sz="4" w:space="0" w:color="auto"/>
              <w:right w:val="single" w:sz="4" w:space="0" w:color="auto"/>
            </w:tcBorders>
            <w:shd w:val="clear" w:color="auto" w:fill="auto"/>
            <w:vAlign w:val="bottom"/>
          </w:tcPr>
          <w:p w14:paraId="3B272C66"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41.</w:t>
            </w:r>
          </w:p>
        </w:tc>
        <w:tc>
          <w:tcPr>
            <w:tcW w:w="0" w:type="auto"/>
            <w:tcBorders>
              <w:top w:val="nil"/>
              <w:left w:val="nil"/>
              <w:bottom w:val="single" w:sz="4" w:space="0" w:color="auto"/>
              <w:right w:val="single" w:sz="4" w:space="0" w:color="auto"/>
            </w:tcBorders>
            <w:shd w:val="clear" w:color="auto" w:fill="auto"/>
            <w:vAlign w:val="bottom"/>
            <w:hideMark/>
          </w:tcPr>
          <w:p w14:paraId="68DF0CC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4FF9682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BG3MA300L049</w:t>
            </w:r>
          </w:p>
        </w:tc>
        <w:tc>
          <w:tcPr>
            <w:tcW w:w="0" w:type="auto"/>
            <w:tcBorders>
              <w:top w:val="nil"/>
              <w:left w:val="nil"/>
              <w:bottom w:val="single" w:sz="4" w:space="0" w:color="auto"/>
              <w:right w:val="single" w:sz="4" w:space="0" w:color="auto"/>
            </w:tcBorders>
            <w:shd w:val="clear" w:color="000000" w:fill="FFFFFF"/>
            <w:vAlign w:val="bottom"/>
            <w:hideMark/>
          </w:tcPr>
          <w:p w14:paraId="2E1DC623"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Езерово</w:t>
            </w:r>
          </w:p>
        </w:tc>
        <w:tc>
          <w:tcPr>
            <w:tcW w:w="0" w:type="auto"/>
            <w:tcBorders>
              <w:top w:val="nil"/>
              <w:left w:val="nil"/>
              <w:bottom w:val="single" w:sz="4" w:space="0" w:color="auto"/>
              <w:right w:val="single" w:sz="4" w:space="0" w:color="auto"/>
            </w:tcBorders>
            <w:shd w:val="clear" w:color="000000" w:fill="FF0000"/>
            <w:vAlign w:val="bottom"/>
            <w:hideMark/>
          </w:tcPr>
          <w:p w14:paraId="4746ED0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65592EB5" w14:textId="77777777" w:rsidTr="00890AF6">
        <w:trPr>
          <w:trHeight w:val="540"/>
        </w:trPr>
        <w:tc>
          <w:tcPr>
            <w:tcW w:w="0" w:type="auto"/>
            <w:tcBorders>
              <w:top w:val="nil"/>
              <w:left w:val="single" w:sz="8" w:space="0" w:color="auto"/>
              <w:bottom w:val="single" w:sz="4" w:space="0" w:color="auto"/>
              <w:right w:val="single" w:sz="4" w:space="0" w:color="auto"/>
            </w:tcBorders>
            <w:shd w:val="clear" w:color="auto" w:fill="auto"/>
            <w:vAlign w:val="bottom"/>
          </w:tcPr>
          <w:p w14:paraId="02967BA7"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42.</w:t>
            </w:r>
          </w:p>
        </w:tc>
        <w:tc>
          <w:tcPr>
            <w:tcW w:w="0" w:type="auto"/>
            <w:tcBorders>
              <w:top w:val="nil"/>
              <w:left w:val="nil"/>
              <w:bottom w:val="single" w:sz="4" w:space="0" w:color="auto"/>
              <w:right w:val="single" w:sz="4" w:space="0" w:color="auto"/>
            </w:tcBorders>
            <w:shd w:val="clear" w:color="auto" w:fill="auto"/>
            <w:vAlign w:val="bottom"/>
            <w:hideMark/>
          </w:tcPr>
          <w:p w14:paraId="6212773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7974E9C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BG3MA300R043</w:t>
            </w:r>
          </w:p>
        </w:tc>
        <w:tc>
          <w:tcPr>
            <w:tcW w:w="0" w:type="auto"/>
            <w:tcBorders>
              <w:top w:val="nil"/>
              <w:left w:val="nil"/>
              <w:bottom w:val="single" w:sz="4" w:space="0" w:color="auto"/>
              <w:right w:val="single" w:sz="4" w:space="0" w:color="auto"/>
            </w:tcBorders>
            <w:shd w:val="clear" w:color="000000" w:fill="FFFFFF"/>
            <w:vAlign w:val="bottom"/>
            <w:hideMark/>
          </w:tcPr>
          <w:p w14:paraId="153A4660"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Меричлерска</w:t>
            </w:r>
            <w:proofErr w:type="spellEnd"/>
          </w:p>
        </w:tc>
        <w:tc>
          <w:tcPr>
            <w:tcW w:w="0" w:type="auto"/>
            <w:tcBorders>
              <w:top w:val="nil"/>
              <w:left w:val="nil"/>
              <w:bottom w:val="single" w:sz="4" w:space="0" w:color="auto"/>
              <w:right w:val="single" w:sz="4" w:space="0" w:color="auto"/>
            </w:tcBorders>
            <w:shd w:val="clear" w:color="000000" w:fill="FF0000"/>
            <w:vAlign w:val="bottom"/>
            <w:hideMark/>
          </w:tcPr>
          <w:p w14:paraId="77AA8FB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02E000EB" w14:textId="77777777" w:rsidTr="00890AF6">
        <w:trPr>
          <w:trHeight w:val="630"/>
        </w:trPr>
        <w:tc>
          <w:tcPr>
            <w:tcW w:w="0" w:type="auto"/>
            <w:tcBorders>
              <w:top w:val="nil"/>
              <w:left w:val="single" w:sz="8" w:space="0" w:color="auto"/>
              <w:bottom w:val="single" w:sz="4" w:space="0" w:color="auto"/>
              <w:right w:val="single" w:sz="4" w:space="0" w:color="auto"/>
            </w:tcBorders>
            <w:shd w:val="clear" w:color="auto" w:fill="auto"/>
            <w:vAlign w:val="bottom"/>
          </w:tcPr>
          <w:p w14:paraId="2961C912"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43.</w:t>
            </w:r>
          </w:p>
        </w:tc>
        <w:tc>
          <w:tcPr>
            <w:tcW w:w="0" w:type="auto"/>
            <w:tcBorders>
              <w:top w:val="nil"/>
              <w:left w:val="nil"/>
              <w:bottom w:val="single" w:sz="4" w:space="0" w:color="auto"/>
              <w:right w:val="single" w:sz="4" w:space="0" w:color="auto"/>
            </w:tcBorders>
            <w:shd w:val="clear" w:color="auto" w:fill="auto"/>
            <w:vAlign w:val="bottom"/>
            <w:hideMark/>
          </w:tcPr>
          <w:p w14:paraId="276B7FE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217460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BG3MA300R055</w:t>
            </w:r>
          </w:p>
        </w:tc>
        <w:tc>
          <w:tcPr>
            <w:tcW w:w="0" w:type="auto"/>
            <w:tcBorders>
              <w:top w:val="nil"/>
              <w:left w:val="nil"/>
              <w:bottom w:val="single" w:sz="4" w:space="0" w:color="auto"/>
              <w:right w:val="single" w:sz="4" w:space="0" w:color="auto"/>
            </w:tcBorders>
            <w:shd w:val="clear" w:color="000000" w:fill="FFFFFF"/>
            <w:vAlign w:val="bottom"/>
            <w:hideMark/>
          </w:tcPr>
          <w:p w14:paraId="31E6EE83"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Текирска</w:t>
            </w:r>
            <w:proofErr w:type="spellEnd"/>
            <w:r w:rsidRPr="009F6D1E">
              <w:rPr>
                <w:rFonts w:eastAsia="Times New Roman" w:cs="Times New Roman"/>
                <w:sz w:val="20"/>
                <w:szCs w:val="20"/>
                <w:lang w:eastAsia="bg-BG"/>
              </w:rPr>
              <w:t xml:space="preserve"> до язовир Чирпан 1</w:t>
            </w:r>
          </w:p>
        </w:tc>
        <w:tc>
          <w:tcPr>
            <w:tcW w:w="0" w:type="auto"/>
            <w:tcBorders>
              <w:top w:val="nil"/>
              <w:left w:val="nil"/>
              <w:bottom w:val="single" w:sz="4" w:space="0" w:color="auto"/>
              <w:right w:val="single" w:sz="4" w:space="0" w:color="auto"/>
            </w:tcBorders>
            <w:shd w:val="clear" w:color="000000" w:fill="FF0000"/>
            <w:vAlign w:val="bottom"/>
            <w:hideMark/>
          </w:tcPr>
          <w:p w14:paraId="0358DB4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12212A71" w14:textId="77777777" w:rsidTr="00890AF6">
        <w:trPr>
          <w:trHeight w:val="495"/>
        </w:trPr>
        <w:tc>
          <w:tcPr>
            <w:tcW w:w="0" w:type="auto"/>
            <w:tcBorders>
              <w:top w:val="nil"/>
              <w:left w:val="single" w:sz="8" w:space="0" w:color="auto"/>
              <w:bottom w:val="single" w:sz="4" w:space="0" w:color="auto"/>
              <w:right w:val="single" w:sz="4" w:space="0" w:color="auto"/>
            </w:tcBorders>
            <w:shd w:val="clear" w:color="auto" w:fill="auto"/>
            <w:vAlign w:val="bottom"/>
          </w:tcPr>
          <w:p w14:paraId="668FE29A"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44.</w:t>
            </w:r>
          </w:p>
        </w:tc>
        <w:tc>
          <w:tcPr>
            <w:tcW w:w="0" w:type="auto"/>
            <w:tcBorders>
              <w:top w:val="nil"/>
              <w:left w:val="nil"/>
              <w:bottom w:val="single" w:sz="4" w:space="0" w:color="auto"/>
              <w:right w:val="single" w:sz="4" w:space="0" w:color="auto"/>
            </w:tcBorders>
            <w:shd w:val="clear" w:color="auto" w:fill="auto"/>
            <w:vAlign w:val="bottom"/>
            <w:hideMark/>
          </w:tcPr>
          <w:p w14:paraId="38F526B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2FDBBD4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BG3MA400L081</w:t>
            </w:r>
          </w:p>
        </w:tc>
        <w:tc>
          <w:tcPr>
            <w:tcW w:w="0" w:type="auto"/>
            <w:tcBorders>
              <w:top w:val="nil"/>
              <w:left w:val="nil"/>
              <w:bottom w:val="single" w:sz="4" w:space="0" w:color="auto"/>
              <w:right w:val="single" w:sz="4" w:space="0" w:color="auto"/>
            </w:tcBorders>
            <w:shd w:val="clear" w:color="000000" w:fill="FFFFFF"/>
            <w:vAlign w:val="bottom"/>
            <w:hideMark/>
          </w:tcPr>
          <w:p w14:paraId="1BF95BD5"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Ново Железаре</w:t>
            </w:r>
          </w:p>
        </w:tc>
        <w:tc>
          <w:tcPr>
            <w:tcW w:w="0" w:type="auto"/>
            <w:tcBorders>
              <w:top w:val="nil"/>
              <w:left w:val="nil"/>
              <w:bottom w:val="single" w:sz="4" w:space="0" w:color="auto"/>
              <w:right w:val="single" w:sz="4" w:space="0" w:color="auto"/>
            </w:tcBorders>
            <w:shd w:val="clear" w:color="000000" w:fill="FF0000"/>
            <w:vAlign w:val="bottom"/>
            <w:hideMark/>
          </w:tcPr>
          <w:p w14:paraId="4844CAB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5C4EF4A2" w14:textId="77777777" w:rsidTr="00890AF6">
        <w:trPr>
          <w:trHeight w:val="450"/>
        </w:trPr>
        <w:tc>
          <w:tcPr>
            <w:tcW w:w="0" w:type="auto"/>
            <w:tcBorders>
              <w:top w:val="nil"/>
              <w:left w:val="single" w:sz="8" w:space="0" w:color="auto"/>
              <w:bottom w:val="single" w:sz="4" w:space="0" w:color="auto"/>
              <w:right w:val="single" w:sz="4" w:space="0" w:color="auto"/>
            </w:tcBorders>
            <w:shd w:val="clear" w:color="auto" w:fill="auto"/>
            <w:vAlign w:val="bottom"/>
          </w:tcPr>
          <w:p w14:paraId="1D65FCBB"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45.</w:t>
            </w:r>
          </w:p>
        </w:tc>
        <w:tc>
          <w:tcPr>
            <w:tcW w:w="0" w:type="auto"/>
            <w:tcBorders>
              <w:top w:val="nil"/>
              <w:left w:val="nil"/>
              <w:bottom w:val="single" w:sz="4" w:space="0" w:color="auto"/>
              <w:right w:val="single" w:sz="4" w:space="0" w:color="auto"/>
            </w:tcBorders>
            <w:shd w:val="clear" w:color="auto" w:fill="auto"/>
            <w:vAlign w:val="bottom"/>
            <w:hideMark/>
          </w:tcPr>
          <w:p w14:paraId="6C9D56F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B1D408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BG3MA400L086</w:t>
            </w:r>
          </w:p>
        </w:tc>
        <w:tc>
          <w:tcPr>
            <w:tcW w:w="0" w:type="auto"/>
            <w:tcBorders>
              <w:top w:val="nil"/>
              <w:left w:val="nil"/>
              <w:bottom w:val="single" w:sz="4" w:space="0" w:color="auto"/>
              <w:right w:val="single" w:sz="4" w:space="0" w:color="auto"/>
            </w:tcBorders>
            <w:shd w:val="clear" w:color="000000" w:fill="FFFFFF"/>
            <w:vAlign w:val="bottom"/>
            <w:hideMark/>
          </w:tcPr>
          <w:p w14:paraId="5C425BBB"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Синята река</w:t>
            </w:r>
          </w:p>
        </w:tc>
        <w:tc>
          <w:tcPr>
            <w:tcW w:w="0" w:type="auto"/>
            <w:tcBorders>
              <w:top w:val="nil"/>
              <w:left w:val="nil"/>
              <w:bottom w:val="single" w:sz="4" w:space="0" w:color="auto"/>
              <w:right w:val="single" w:sz="4" w:space="0" w:color="auto"/>
            </w:tcBorders>
            <w:shd w:val="clear" w:color="000000" w:fill="FF0000"/>
            <w:vAlign w:val="bottom"/>
            <w:hideMark/>
          </w:tcPr>
          <w:p w14:paraId="78C5EE2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282AFC14" w14:textId="77777777" w:rsidTr="00890AF6">
        <w:trPr>
          <w:trHeight w:val="435"/>
        </w:trPr>
        <w:tc>
          <w:tcPr>
            <w:tcW w:w="0" w:type="auto"/>
            <w:tcBorders>
              <w:top w:val="nil"/>
              <w:left w:val="single" w:sz="8" w:space="0" w:color="auto"/>
              <w:bottom w:val="single" w:sz="4" w:space="0" w:color="auto"/>
              <w:right w:val="single" w:sz="4" w:space="0" w:color="auto"/>
            </w:tcBorders>
            <w:shd w:val="clear" w:color="auto" w:fill="auto"/>
            <w:vAlign w:val="bottom"/>
          </w:tcPr>
          <w:p w14:paraId="5C0BE55C"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46.</w:t>
            </w:r>
          </w:p>
        </w:tc>
        <w:tc>
          <w:tcPr>
            <w:tcW w:w="0" w:type="auto"/>
            <w:tcBorders>
              <w:top w:val="nil"/>
              <w:left w:val="nil"/>
              <w:bottom w:val="single" w:sz="4" w:space="0" w:color="auto"/>
              <w:right w:val="single" w:sz="4" w:space="0" w:color="auto"/>
            </w:tcBorders>
            <w:shd w:val="clear" w:color="auto" w:fill="auto"/>
            <w:vAlign w:val="bottom"/>
            <w:hideMark/>
          </w:tcPr>
          <w:p w14:paraId="4F6AD39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044012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BG3MA500L125</w:t>
            </w:r>
          </w:p>
        </w:tc>
        <w:tc>
          <w:tcPr>
            <w:tcW w:w="0" w:type="auto"/>
            <w:tcBorders>
              <w:top w:val="nil"/>
              <w:left w:val="nil"/>
              <w:bottom w:val="single" w:sz="4" w:space="0" w:color="auto"/>
              <w:right w:val="single" w:sz="4" w:space="0" w:color="auto"/>
            </w:tcBorders>
            <w:shd w:val="clear" w:color="000000" w:fill="FFFFFF"/>
            <w:vAlign w:val="bottom"/>
            <w:hideMark/>
          </w:tcPr>
          <w:p w14:paraId="5BEDF376"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Язовир Кавака</w:t>
            </w:r>
          </w:p>
        </w:tc>
        <w:tc>
          <w:tcPr>
            <w:tcW w:w="0" w:type="auto"/>
            <w:tcBorders>
              <w:top w:val="nil"/>
              <w:left w:val="nil"/>
              <w:bottom w:val="single" w:sz="4" w:space="0" w:color="auto"/>
              <w:right w:val="single" w:sz="4" w:space="0" w:color="auto"/>
            </w:tcBorders>
            <w:shd w:val="clear" w:color="000000" w:fill="FF0000"/>
            <w:vAlign w:val="bottom"/>
            <w:hideMark/>
          </w:tcPr>
          <w:p w14:paraId="52A1E71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62E9D243"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141550E1"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47.</w:t>
            </w:r>
          </w:p>
        </w:tc>
        <w:tc>
          <w:tcPr>
            <w:tcW w:w="0" w:type="auto"/>
            <w:tcBorders>
              <w:top w:val="nil"/>
              <w:left w:val="nil"/>
              <w:bottom w:val="single" w:sz="4" w:space="0" w:color="auto"/>
              <w:right w:val="single" w:sz="4" w:space="0" w:color="auto"/>
            </w:tcBorders>
            <w:shd w:val="clear" w:color="auto" w:fill="auto"/>
            <w:vAlign w:val="bottom"/>
            <w:hideMark/>
          </w:tcPr>
          <w:p w14:paraId="10CC716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0E272F9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BG3MA800R224</w:t>
            </w:r>
          </w:p>
        </w:tc>
        <w:tc>
          <w:tcPr>
            <w:tcW w:w="0" w:type="auto"/>
            <w:tcBorders>
              <w:top w:val="nil"/>
              <w:left w:val="nil"/>
              <w:bottom w:val="single" w:sz="4" w:space="0" w:color="auto"/>
              <w:right w:val="single" w:sz="4" w:space="0" w:color="auto"/>
            </w:tcBorders>
            <w:shd w:val="clear" w:color="000000" w:fill="FFFFFF"/>
            <w:vAlign w:val="bottom"/>
            <w:hideMark/>
          </w:tcPr>
          <w:p w14:paraId="1059B662"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Елшишка</w:t>
            </w:r>
            <w:proofErr w:type="spellEnd"/>
          </w:p>
        </w:tc>
        <w:tc>
          <w:tcPr>
            <w:tcW w:w="0" w:type="auto"/>
            <w:tcBorders>
              <w:top w:val="nil"/>
              <w:left w:val="nil"/>
              <w:bottom w:val="single" w:sz="4" w:space="0" w:color="auto"/>
              <w:right w:val="single" w:sz="4" w:space="0" w:color="auto"/>
            </w:tcBorders>
            <w:shd w:val="clear" w:color="000000" w:fill="FF0000"/>
            <w:noWrap/>
            <w:vAlign w:val="bottom"/>
            <w:hideMark/>
          </w:tcPr>
          <w:p w14:paraId="5CB6911C"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w:t>
            </w:r>
            <w:r w:rsidR="00AE5785" w:rsidRPr="009F6D1E">
              <w:rPr>
                <w:rFonts w:eastAsia="Times New Roman" w:cs="Times New Roman"/>
                <w:sz w:val="20"/>
                <w:szCs w:val="20"/>
                <w:lang w:eastAsia="bg-BG"/>
              </w:rPr>
              <w:t>ного лошо</w:t>
            </w:r>
          </w:p>
        </w:tc>
      </w:tr>
      <w:tr w:rsidR="00AE5785" w:rsidRPr="009F6D1E" w14:paraId="43D87D97"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3F342E2E"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48.</w:t>
            </w:r>
          </w:p>
        </w:tc>
        <w:tc>
          <w:tcPr>
            <w:tcW w:w="0" w:type="auto"/>
            <w:tcBorders>
              <w:top w:val="nil"/>
              <w:left w:val="nil"/>
              <w:bottom w:val="single" w:sz="4" w:space="0" w:color="auto"/>
              <w:right w:val="single" w:sz="4" w:space="0" w:color="auto"/>
            </w:tcBorders>
            <w:shd w:val="clear" w:color="auto" w:fill="auto"/>
            <w:vAlign w:val="bottom"/>
            <w:hideMark/>
          </w:tcPr>
          <w:p w14:paraId="4FDC6C6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636C4F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BG3MA800R162</w:t>
            </w:r>
          </w:p>
        </w:tc>
        <w:tc>
          <w:tcPr>
            <w:tcW w:w="0" w:type="auto"/>
            <w:tcBorders>
              <w:top w:val="nil"/>
              <w:left w:val="nil"/>
              <w:bottom w:val="single" w:sz="4" w:space="0" w:color="auto"/>
              <w:right w:val="single" w:sz="4" w:space="0" w:color="auto"/>
            </w:tcBorders>
            <w:shd w:val="clear" w:color="000000" w:fill="FFFFFF"/>
            <w:vAlign w:val="bottom"/>
            <w:hideMark/>
          </w:tcPr>
          <w:p w14:paraId="0E301280"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Река Мътивир и притоци</w:t>
            </w:r>
          </w:p>
        </w:tc>
        <w:tc>
          <w:tcPr>
            <w:tcW w:w="0" w:type="auto"/>
            <w:tcBorders>
              <w:top w:val="nil"/>
              <w:left w:val="nil"/>
              <w:bottom w:val="single" w:sz="4" w:space="0" w:color="auto"/>
              <w:right w:val="single" w:sz="4" w:space="0" w:color="auto"/>
            </w:tcBorders>
            <w:shd w:val="clear" w:color="000000" w:fill="FF0000"/>
            <w:noWrap/>
            <w:vAlign w:val="bottom"/>
            <w:hideMark/>
          </w:tcPr>
          <w:p w14:paraId="65428440"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w:t>
            </w:r>
            <w:r w:rsidR="00AE5785" w:rsidRPr="009F6D1E">
              <w:rPr>
                <w:rFonts w:eastAsia="Times New Roman" w:cs="Times New Roman"/>
                <w:sz w:val="20"/>
                <w:szCs w:val="20"/>
                <w:lang w:eastAsia="bg-BG"/>
              </w:rPr>
              <w:t>ного лошо</w:t>
            </w:r>
          </w:p>
        </w:tc>
      </w:tr>
      <w:tr w:rsidR="00AE5785" w:rsidRPr="009F6D1E" w14:paraId="2E8C0A00" w14:textId="77777777" w:rsidTr="00890AF6">
        <w:trPr>
          <w:trHeight w:val="510"/>
        </w:trPr>
        <w:tc>
          <w:tcPr>
            <w:tcW w:w="0" w:type="auto"/>
            <w:tcBorders>
              <w:top w:val="nil"/>
              <w:left w:val="single" w:sz="8" w:space="0" w:color="auto"/>
              <w:bottom w:val="single" w:sz="4" w:space="0" w:color="auto"/>
              <w:right w:val="single" w:sz="4" w:space="0" w:color="auto"/>
            </w:tcBorders>
            <w:shd w:val="clear" w:color="auto" w:fill="auto"/>
            <w:vAlign w:val="bottom"/>
          </w:tcPr>
          <w:p w14:paraId="6356EABC"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49.</w:t>
            </w:r>
          </w:p>
        </w:tc>
        <w:tc>
          <w:tcPr>
            <w:tcW w:w="0" w:type="auto"/>
            <w:tcBorders>
              <w:top w:val="nil"/>
              <w:left w:val="nil"/>
              <w:bottom w:val="single" w:sz="4" w:space="0" w:color="auto"/>
              <w:right w:val="single" w:sz="4" w:space="0" w:color="auto"/>
            </w:tcBorders>
            <w:shd w:val="clear" w:color="auto" w:fill="auto"/>
            <w:vAlign w:val="bottom"/>
            <w:hideMark/>
          </w:tcPr>
          <w:p w14:paraId="1878292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54D09F5A"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BG3MA800R223</w:t>
            </w:r>
          </w:p>
        </w:tc>
        <w:tc>
          <w:tcPr>
            <w:tcW w:w="0" w:type="auto"/>
            <w:tcBorders>
              <w:top w:val="nil"/>
              <w:left w:val="nil"/>
              <w:bottom w:val="single" w:sz="4" w:space="0" w:color="auto"/>
              <w:right w:val="single" w:sz="4" w:space="0" w:color="auto"/>
            </w:tcBorders>
            <w:shd w:val="clear" w:color="000000" w:fill="FFFFFF"/>
            <w:vAlign w:val="bottom"/>
            <w:hideMark/>
          </w:tcPr>
          <w:p w14:paraId="627E3123"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Тополница и притоци от хвостохранилище Медет до </w:t>
            </w:r>
            <w:proofErr w:type="spellStart"/>
            <w:r w:rsidRPr="009F6D1E">
              <w:rPr>
                <w:rFonts w:eastAsia="Times New Roman" w:cs="Times New Roman"/>
                <w:sz w:val="20"/>
                <w:szCs w:val="20"/>
                <w:lang w:eastAsia="bg-BG"/>
              </w:rPr>
              <w:t>яз.Тополница</w:t>
            </w:r>
            <w:proofErr w:type="spellEnd"/>
          </w:p>
        </w:tc>
        <w:tc>
          <w:tcPr>
            <w:tcW w:w="0" w:type="auto"/>
            <w:tcBorders>
              <w:top w:val="nil"/>
              <w:left w:val="nil"/>
              <w:bottom w:val="single" w:sz="4" w:space="0" w:color="auto"/>
              <w:right w:val="single" w:sz="4" w:space="0" w:color="auto"/>
            </w:tcBorders>
            <w:shd w:val="clear" w:color="000000" w:fill="FF0000"/>
            <w:vAlign w:val="bottom"/>
            <w:hideMark/>
          </w:tcPr>
          <w:p w14:paraId="1E2FE5B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36D42DE7" w14:textId="77777777" w:rsidTr="00890AF6">
        <w:trPr>
          <w:trHeight w:val="570"/>
        </w:trPr>
        <w:tc>
          <w:tcPr>
            <w:tcW w:w="0" w:type="auto"/>
            <w:tcBorders>
              <w:top w:val="nil"/>
              <w:left w:val="single" w:sz="8" w:space="0" w:color="auto"/>
              <w:bottom w:val="single" w:sz="4" w:space="0" w:color="auto"/>
              <w:right w:val="single" w:sz="4" w:space="0" w:color="auto"/>
            </w:tcBorders>
            <w:shd w:val="clear" w:color="auto" w:fill="auto"/>
            <w:vAlign w:val="bottom"/>
          </w:tcPr>
          <w:p w14:paraId="4D687326"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50.</w:t>
            </w:r>
          </w:p>
        </w:tc>
        <w:tc>
          <w:tcPr>
            <w:tcW w:w="0" w:type="auto"/>
            <w:tcBorders>
              <w:top w:val="nil"/>
              <w:left w:val="nil"/>
              <w:bottom w:val="single" w:sz="4" w:space="0" w:color="auto"/>
              <w:right w:val="single" w:sz="4" w:space="0" w:color="auto"/>
            </w:tcBorders>
            <w:shd w:val="clear" w:color="auto" w:fill="auto"/>
            <w:vAlign w:val="bottom"/>
            <w:hideMark/>
          </w:tcPr>
          <w:p w14:paraId="3B1647C8"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tcBorders>
              <w:top w:val="nil"/>
              <w:left w:val="nil"/>
              <w:bottom w:val="single" w:sz="4" w:space="0" w:color="auto"/>
              <w:right w:val="single" w:sz="4" w:space="0" w:color="auto"/>
            </w:tcBorders>
            <w:shd w:val="clear" w:color="000000" w:fill="FFFFFF"/>
            <w:vAlign w:val="bottom"/>
            <w:hideMark/>
          </w:tcPr>
          <w:p w14:paraId="60CC885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BG3MA800R174</w:t>
            </w:r>
          </w:p>
        </w:tc>
        <w:tc>
          <w:tcPr>
            <w:tcW w:w="0" w:type="auto"/>
            <w:tcBorders>
              <w:top w:val="nil"/>
              <w:left w:val="nil"/>
              <w:bottom w:val="single" w:sz="4" w:space="0" w:color="auto"/>
              <w:right w:val="single" w:sz="4" w:space="0" w:color="auto"/>
            </w:tcBorders>
            <w:shd w:val="clear" w:color="000000" w:fill="FFFFFF"/>
            <w:vAlign w:val="bottom"/>
            <w:hideMark/>
          </w:tcPr>
          <w:p w14:paraId="21984748" w14:textId="77777777" w:rsidR="00AE5785" w:rsidRPr="009F6D1E" w:rsidRDefault="00AE5785" w:rsidP="0084747F">
            <w:pPr>
              <w:spacing w:after="60" w:line="264" w:lineRule="auto"/>
              <w:jc w:val="both"/>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Медетска</w:t>
            </w:r>
            <w:proofErr w:type="spellEnd"/>
          </w:p>
        </w:tc>
        <w:tc>
          <w:tcPr>
            <w:tcW w:w="0" w:type="auto"/>
            <w:tcBorders>
              <w:top w:val="nil"/>
              <w:left w:val="nil"/>
              <w:bottom w:val="single" w:sz="4" w:space="0" w:color="auto"/>
              <w:right w:val="single" w:sz="4" w:space="0" w:color="auto"/>
            </w:tcBorders>
            <w:shd w:val="clear" w:color="000000" w:fill="FF0000"/>
            <w:vAlign w:val="bottom"/>
            <w:hideMark/>
          </w:tcPr>
          <w:p w14:paraId="69F3536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r w:rsidR="00AE5785" w:rsidRPr="009F6D1E" w14:paraId="1A2065A0" w14:textId="77777777" w:rsidTr="00890AF6">
        <w:trPr>
          <w:trHeight w:val="450"/>
        </w:trPr>
        <w:tc>
          <w:tcPr>
            <w:tcW w:w="0" w:type="auto"/>
            <w:tcBorders>
              <w:top w:val="nil"/>
              <w:left w:val="single" w:sz="8" w:space="0" w:color="auto"/>
              <w:bottom w:val="single" w:sz="4" w:space="0" w:color="auto"/>
              <w:right w:val="single" w:sz="4" w:space="0" w:color="auto"/>
            </w:tcBorders>
            <w:shd w:val="clear" w:color="auto" w:fill="auto"/>
            <w:vAlign w:val="bottom"/>
          </w:tcPr>
          <w:p w14:paraId="04F1BE54" w14:textId="77777777" w:rsidR="00AE5785" w:rsidRPr="009F6D1E" w:rsidRDefault="0078731A"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51.</w:t>
            </w:r>
          </w:p>
        </w:tc>
        <w:tc>
          <w:tcPr>
            <w:tcW w:w="0" w:type="auto"/>
            <w:tcBorders>
              <w:top w:val="nil"/>
              <w:left w:val="nil"/>
              <w:bottom w:val="single" w:sz="4" w:space="0" w:color="auto"/>
              <w:right w:val="single" w:sz="4" w:space="0" w:color="auto"/>
            </w:tcBorders>
            <w:shd w:val="clear" w:color="auto" w:fill="auto"/>
            <w:vAlign w:val="bottom"/>
            <w:hideMark/>
          </w:tcPr>
          <w:p w14:paraId="491F53F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Тунджа</w:t>
            </w:r>
          </w:p>
        </w:tc>
        <w:tc>
          <w:tcPr>
            <w:tcW w:w="0" w:type="auto"/>
            <w:tcBorders>
              <w:top w:val="nil"/>
              <w:left w:val="nil"/>
              <w:bottom w:val="single" w:sz="4" w:space="0" w:color="auto"/>
              <w:right w:val="single" w:sz="4" w:space="0" w:color="auto"/>
            </w:tcBorders>
            <w:shd w:val="clear" w:color="000000" w:fill="FFFFFF"/>
            <w:vAlign w:val="bottom"/>
            <w:hideMark/>
          </w:tcPr>
          <w:p w14:paraId="51E4EE17"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BG3TU900L043</w:t>
            </w:r>
          </w:p>
        </w:tc>
        <w:tc>
          <w:tcPr>
            <w:tcW w:w="0" w:type="auto"/>
            <w:tcBorders>
              <w:top w:val="nil"/>
              <w:left w:val="nil"/>
              <w:bottom w:val="single" w:sz="4" w:space="0" w:color="auto"/>
              <w:right w:val="single" w:sz="4" w:space="0" w:color="auto"/>
            </w:tcBorders>
            <w:shd w:val="clear" w:color="000000" w:fill="FFFFFF"/>
            <w:vAlign w:val="bottom"/>
            <w:hideMark/>
          </w:tcPr>
          <w:p w14:paraId="568ECD82" w14:textId="77777777" w:rsidR="00AE5785" w:rsidRPr="009F6D1E" w:rsidRDefault="00AE5785" w:rsidP="0084747F">
            <w:pPr>
              <w:spacing w:after="60" w:line="264" w:lineRule="auto"/>
              <w:jc w:val="both"/>
              <w:rPr>
                <w:rFonts w:eastAsia="Times New Roman" w:cs="Times New Roman"/>
                <w:color w:val="000000"/>
                <w:sz w:val="20"/>
                <w:szCs w:val="20"/>
                <w:lang w:eastAsia="bg-BG"/>
              </w:rPr>
            </w:pPr>
            <w:r w:rsidRPr="009F6D1E">
              <w:rPr>
                <w:rFonts w:eastAsia="Times New Roman" w:cs="Times New Roman"/>
                <w:color w:val="000000"/>
                <w:sz w:val="20"/>
                <w:szCs w:val="20"/>
                <w:lang w:eastAsia="bg-BG"/>
              </w:rPr>
              <w:t>Рибарници Николаево</w:t>
            </w:r>
          </w:p>
        </w:tc>
        <w:tc>
          <w:tcPr>
            <w:tcW w:w="0" w:type="auto"/>
            <w:tcBorders>
              <w:top w:val="nil"/>
              <w:left w:val="nil"/>
              <w:bottom w:val="single" w:sz="4" w:space="0" w:color="auto"/>
              <w:right w:val="single" w:sz="4" w:space="0" w:color="auto"/>
            </w:tcBorders>
            <w:shd w:val="clear" w:color="000000" w:fill="FF0000"/>
            <w:vAlign w:val="bottom"/>
            <w:hideMark/>
          </w:tcPr>
          <w:p w14:paraId="3F6ED64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много лошо</w:t>
            </w:r>
          </w:p>
        </w:tc>
      </w:tr>
    </w:tbl>
    <w:p w14:paraId="67E76531" w14:textId="77777777" w:rsidR="00AE5785" w:rsidRPr="009F6D1E" w:rsidRDefault="00AE5785" w:rsidP="0084747F">
      <w:pPr>
        <w:spacing w:after="60" w:line="264" w:lineRule="auto"/>
        <w:ind w:left="300" w:right="160" w:firstLine="600"/>
        <w:jc w:val="right"/>
        <w:rPr>
          <w:rFonts w:cs="Times New Roman"/>
          <w:i/>
        </w:rPr>
      </w:pPr>
      <w:r w:rsidRPr="009F6D1E">
        <w:rPr>
          <w:rFonts w:cs="Times New Roman"/>
          <w:i/>
        </w:rPr>
        <w:t>Източник: БДИБР, 2020 г.</w:t>
      </w:r>
    </w:p>
    <w:p w14:paraId="3322003D" w14:textId="77777777" w:rsidR="00AE5785" w:rsidRPr="009F6D1E" w:rsidRDefault="00AE5785" w:rsidP="0084747F">
      <w:pPr>
        <w:pStyle w:val="a0"/>
        <w:widowControl/>
        <w:tabs>
          <w:tab w:val="left" w:pos="993"/>
        </w:tabs>
        <w:spacing w:after="60" w:line="264" w:lineRule="auto"/>
        <w:ind w:left="0" w:right="0" w:firstLine="720"/>
        <w:rPr>
          <w:i/>
          <w:highlight w:val="cyan"/>
        </w:rPr>
      </w:pPr>
      <w:bookmarkStart w:id="255" w:name="bookmark85"/>
    </w:p>
    <w:p w14:paraId="3A6FEC2B" w14:textId="77777777" w:rsidR="006E6FE8" w:rsidRPr="009F6D1E" w:rsidRDefault="006E6FE8" w:rsidP="0084747F">
      <w:pPr>
        <w:pStyle w:val="a0"/>
        <w:widowControl/>
        <w:tabs>
          <w:tab w:val="left" w:pos="993"/>
        </w:tabs>
        <w:spacing w:after="60" w:line="264" w:lineRule="auto"/>
        <w:ind w:left="0" w:right="0" w:firstLine="720"/>
        <w:rPr>
          <w:i/>
          <w:highlight w:val="cyan"/>
        </w:rPr>
      </w:pPr>
    </w:p>
    <w:p w14:paraId="72C3F673" w14:textId="77777777" w:rsidR="00AE5785" w:rsidRPr="009F6D1E" w:rsidRDefault="00AE5785" w:rsidP="0084747F">
      <w:pPr>
        <w:pStyle w:val="a0"/>
        <w:widowControl/>
        <w:tabs>
          <w:tab w:val="left" w:pos="993"/>
        </w:tabs>
        <w:spacing w:after="60" w:line="264" w:lineRule="auto"/>
        <w:ind w:left="0" w:right="0" w:firstLine="720"/>
        <w:rPr>
          <w:b/>
          <w:bCs/>
          <w:i/>
        </w:rPr>
      </w:pPr>
      <w:r w:rsidRPr="009F6D1E">
        <w:rPr>
          <w:b/>
          <w:bCs/>
          <w:i/>
        </w:rPr>
        <w:lastRenderedPageBreak/>
        <w:t>Химично състояние/потенциал на повърхностни водни тела в БДИБР</w:t>
      </w:r>
      <w:bookmarkEnd w:id="255"/>
    </w:p>
    <w:p w14:paraId="62D288E5"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При оценката на химичното състояние на повърхностните водни тела, съгласно ПУРБ 2016-2021 г. са използвани данни от проведен мониторинг на приоритетни вещества в 56 водни тела на територията на ИБР, като за 7 е определено лошо състояние, а за 49 - добро състояние. За останалите 255 водни тела е определено “неизвестно състояние”.</w:t>
      </w:r>
    </w:p>
    <w:p w14:paraId="41DAA16B"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 xml:space="preserve">При оценката на химичното състояние на повърхностните водни тела, съгласно проведения мониторинг в периода 2020- 2021 г. на територията на ИБР, 16 водни тела са определено лошо състояние, а за 255 добро химично състояние. </w:t>
      </w:r>
    </w:p>
    <w:p w14:paraId="7B6F52BF" w14:textId="77777777" w:rsidR="00AE5785" w:rsidRPr="009F6D1E" w:rsidRDefault="00AE5785" w:rsidP="0084747F">
      <w:pPr>
        <w:spacing w:after="60" w:line="264" w:lineRule="auto"/>
        <w:ind w:firstLine="720"/>
        <w:jc w:val="both"/>
        <w:rPr>
          <w:rFonts w:cs="Times New Roman"/>
          <w:szCs w:val="24"/>
        </w:rPr>
      </w:pPr>
      <w:bookmarkStart w:id="256" w:name="bookmark87"/>
      <w:r w:rsidRPr="009F6D1E">
        <w:rPr>
          <w:rFonts w:cs="Times New Roman"/>
          <w:szCs w:val="24"/>
        </w:rPr>
        <w:t xml:space="preserve">През 2020 г. 40 повърхностни водни тела са в неизвестно химично състояние, тъй като не е извършен мониторинг на приоритетни вещества, поради липсата на идентифициран натиск. </w:t>
      </w:r>
    </w:p>
    <w:p w14:paraId="78C65129" w14:textId="42F3E09A" w:rsidR="00AE5785" w:rsidRPr="009F6D1E" w:rsidRDefault="00AE5785" w:rsidP="0084747F">
      <w:pPr>
        <w:spacing w:after="60" w:line="264" w:lineRule="auto"/>
        <w:ind w:firstLine="720"/>
        <w:jc w:val="both"/>
        <w:rPr>
          <w:rFonts w:cs="Times New Roman"/>
          <w:szCs w:val="24"/>
        </w:rPr>
      </w:pPr>
      <w:r w:rsidRPr="009F6D1E">
        <w:rPr>
          <w:rFonts w:cs="Times New Roman"/>
          <w:szCs w:val="24"/>
        </w:rPr>
        <w:t xml:space="preserve">Водните тела, определени в лошо химично състояние са представени в </w:t>
      </w:r>
      <w:r>
        <w:fldChar w:fldCharType="begin"/>
      </w:r>
      <w:r>
        <w:instrText xml:space="preserve"> REF _Ref97394486 \h  \* MERGEFORMAT </w:instrText>
      </w:r>
      <w:r>
        <w:fldChar w:fldCharType="separate"/>
      </w:r>
      <w:r w:rsidR="00A43EF3" w:rsidRPr="00A43EF3">
        <w:rPr>
          <w:rFonts w:cs="Times New Roman"/>
          <w:szCs w:val="24"/>
        </w:rPr>
        <w:t>Таблица 11</w:t>
      </w:r>
      <w:r>
        <w:fldChar w:fldCharType="end"/>
      </w:r>
      <w:r w:rsidRPr="009F6D1E">
        <w:rPr>
          <w:rFonts w:cs="Times New Roman"/>
          <w:szCs w:val="24"/>
        </w:rPr>
        <w:t>.</w:t>
      </w:r>
      <w:bookmarkEnd w:id="256"/>
    </w:p>
    <w:p w14:paraId="6B2481C3" w14:textId="6ED8C466" w:rsidR="00AE5785" w:rsidRPr="009F6D1E" w:rsidRDefault="0026258B" w:rsidP="0084747F">
      <w:pPr>
        <w:pStyle w:val="Caption"/>
        <w:spacing w:after="60" w:line="264" w:lineRule="auto"/>
      </w:pPr>
      <w:bookmarkStart w:id="257" w:name="_Ref97394486"/>
      <w:bookmarkStart w:id="258" w:name="_Toc115255162"/>
      <w:r w:rsidRPr="009F6D1E">
        <w:t xml:space="preserve">Таблица </w:t>
      </w:r>
      <w:fldSimple w:instr=" SEQ Таблица \* ARABIC ">
        <w:r w:rsidR="00A43EF3">
          <w:rPr>
            <w:noProof/>
          </w:rPr>
          <w:t>11</w:t>
        </w:r>
      </w:fldSimple>
      <w:bookmarkEnd w:id="257"/>
      <w:r w:rsidRPr="009F6D1E">
        <w:t xml:space="preserve">: </w:t>
      </w:r>
      <w:r w:rsidR="00AE5785" w:rsidRPr="009F6D1E">
        <w:t>Повърхностни водни тела, определени в лошо химично състояние за 2020 г.</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
        <w:gridCol w:w="1113"/>
        <w:gridCol w:w="1704"/>
        <w:gridCol w:w="4624"/>
        <w:gridCol w:w="1846"/>
      </w:tblGrid>
      <w:tr w:rsidR="00AE5785" w:rsidRPr="009F6D1E" w14:paraId="2EBE657F" w14:textId="77777777" w:rsidTr="0026258B">
        <w:trPr>
          <w:trHeight w:val="1140"/>
          <w:tblHeader/>
          <w:jc w:val="center"/>
        </w:trPr>
        <w:tc>
          <w:tcPr>
            <w:tcW w:w="0" w:type="auto"/>
            <w:shd w:val="pct20" w:color="000000" w:fill="auto"/>
            <w:vAlign w:val="center"/>
            <w:hideMark/>
          </w:tcPr>
          <w:p w14:paraId="7292F705"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w:t>
            </w:r>
          </w:p>
        </w:tc>
        <w:tc>
          <w:tcPr>
            <w:tcW w:w="0" w:type="auto"/>
            <w:shd w:val="pct20" w:color="000000" w:fill="auto"/>
            <w:vAlign w:val="center"/>
            <w:hideMark/>
          </w:tcPr>
          <w:p w14:paraId="0B1B6B4A"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Речен басейн</w:t>
            </w:r>
          </w:p>
        </w:tc>
        <w:tc>
          <w:tcPr>
            <w:tcW w:w="0" w:type="auto"/>
            <w:shd w:val="pct20" w:color="000000" w:fill="auto"/>
            <w:vAlign w:val="center"/>
            <w:hideMark/>
          </w:tcPr>
          <w:p w14:paraId="35EF9BB9"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Код на водно тяло</w:t>
            </w:r>
          </w:p>
        </w:tc>
        <w:tc>
          <w:tcPr>
            <w:tcW w:w="0" w:type="auto"/>
            <w:shd w:val="pct20" w:color="000000" w:fill="auto"/>
            <w:vAlign w:val="center"/>
            <w:hideMark/>
          </w:tcPr>
          <w:p w14:paraId="4435D7A2"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Име на водно тяло</w:t>
            </w:r>
          </w:p>
        </w:tc>
        <w:tc>
          <w:tcPr>
            <w:tcW w:w="0" w:type="auto"/>
            <w:shd w:val="pct20" w:color="000000" w:fill="auto"/>
            <w:vAlign w:val="center"/>
            <w:hideMark/>
          </w:tcPr>
          <w:p w14:paraId="609E2A01" w14:textId="77777777" w:rsidR="00AE5785" w:rsidRPr="009F6D1E" w:rsidRDefault="00AE5785" w:rsidP="0084747F">
            <w:pPr>
              <w:spacing w:after="60" w:line="264"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Химично състояние 2020</w:t>
            </w:r>
          </w:p>
        </w:tc>
      </w:tr>
      <w:tr w:rsidR="00AE5785" w:rsidRPr="009F6D1E" w14:paraId="1A6907D1" w14:textId="77777777" w:rsidTr="0026258B">
        <w:trPr>
          <w:trHeight w:val="495"/>
          <w:jc w:val="center"/>
        </w:trPr>
        <w:tc>
          <w:tcPr>
            <w:tcW w:w="0" w:type="auto"/>
            <w:shd w:val="clear" w:color="auto" w:fill="auto"/>
            <w:vAlign w:val="bottom"/>
          </w:tcPr>
          <w:p w14:paraId="594879A6"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4C6FBE3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75E0B61E"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BG3MA200R017</w:t>
            </w:r>
          </w:p>
        </w:tc>
        <w:tc>
          <w:tcPr>
            <w:tcW w:w="0" w:type="auto"/>
            <w:shd w:val="clear" w:color="000000" w:fill="FFFFFF"/>
            <w:vAlign w:val="bottom"/>
            <w:hideMark/>
          </w:tcPr>
          <w:p w14:paraId="48B785F3"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Река Соколица средно течение до язовир Розов кладенец</w:t>
            </w:r>
          </w:p>
        </w:tc>
        <w:tc>
          <w:tcPr>
            <w:tcW w:w="0" w:type="auto"/>
            <w:shd w:val="clear" w:color="000000" w:fill="FF0000"/>
            <w:vAlign w:val="bottom"/>
            <w:hideMark/>
          </w:tcPr>
          <w:p w14:paraId="439A883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081A7C19" w14:textId="77777777" w:rsidTr="0026258B">
        <w:trPr>
          <w:trHeight w:val="540"/>
          <w:jc w:val="center"/>
        </w:trPr>
        <w:tc>
          <w:tcPr>
            <w:tcW w:w="0" w:type="auto"/>
            <w:shd w:val="clear" w:color="auto" w:fill="auto"/>
            <w:vAlign w:val="bottom"/>
          </w:tcPr>
          <w:p w14:paraId="4A5DA23C"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0525B250"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12366ABA"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BG3MA300R043</w:t>
            </w:r>
          </w:p>
        </w:tc>
        <w:tc>
          <w:tcPr>
            <w:tcW w:w="0" w:type="auto"/>
            <w:shd w:val="clear" w:color="000000" w:fill="FFFFFF"/>
            <w:vAlign w:val="bottom"/>
            <w:hideMark/>
          </w:tcPr>
          <w:p w14:paraId="4CA915DF"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Меричлерска</w:t>
            </w:r>
            <w:proofErr w:type="spellEnd"/>
          </w:p>
        </w:tc>
        <w:tc>
          <w:tcPr>
            <w:tcW w:w="0" w:type="auto"/>
            <w:shd w:val="clear" w:color="000000" w:fill="FF0000"/>
            <w:vAlign w:val="bottom"/>
            <w:hideMark/>
          </w:tcPr>
          <w:p w14:paraId="0DB8DD9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5EB60E5" w14:textId="77777777" w:rsidTr="0026258B">
        <w:trPr>
          <w:trHeight w:val="630"/>
          <w:jc w:val="center"/>
        </w:trPr>
        <w:tc>
          <w:tcPr>
            <w:tcW w:w="0" w:type="auto"/>
            <w:shd w:val="clear" w:color="auto" w:fill="auto"/>
            <w:vAlign w:val="bottom"/>
          </w:tcPr>
          <w:p w14:paraId="7B177710"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4E3F928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77E6213B"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BG3MA300R055</w:t>
            </w:r>
          </w:p>
        </w:tc>
        <w:tc>
          <w:tcPr>
            <w:tcW w:w="0" w:type="auto"/>
            <w:shd w:val="clear" w:color="000000" w:fill="FFFFFF"/>
            <w:vAlign w:val="bottom"/>
            <w:hideMark/>
          </w:tcPr>
          <w:p w14:paraId="5295D7DB"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Текирска</w:t>
            </w:r>
            <w:proofErr w:type="spellEnd"/>
            <w:r w:rsidRPr="009F6D1E">
              <w:rPr>
                <w:rFonts w:eastAsia="Times New Roman" w:cs="Times New Roman"/>
                <w:sz w:val="20"/>
                <w:szCs w:val="20"/>
                <w:lang w:eastAsia="bg-BG"/>
              </w:rPr>
              <w:t xml:space="preserve"> до язовир Чирпан 1</w:t>
            </w:r>
          </w:p>
        </w:tc>
        <w:tc>
          <w:tcPr>
            <w:tcW w:w="0" w:type="auto"/>
            <w:shd w:val="clear" w:color="000000" w:fill="FF0000"/>
            <w:vAlign w:val="bottom"/>
            <w:hideMark/>
          </w:tcPr>
          <w:p w14:paraId="5986DD7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119B9D5" w14:textId="77777777" w:rsidTr="0026258B">
        <w:trPr>
          <w:trHeight w:val="630"/>
          <w:jc w:val="center"/>
        </w:trPr>
        <w:tc>
          <w:tcPr>
            <w:tcW w:w="0" w:type="auto"/>
            <w:shd w:val="clear" w:color="auto" w:fill="auto"/>
            <w:vAlign w:val="bottom"/>
          </w:tcPr>
          <w:p w14:paraId="51F10749"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26B14A0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7A726F9E"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BG3MA500R103</w:t>
            </w:r>
          </w:p>
        </w:tc>
        <w:tc>
          <w:tcPr>
            <w:tcW w:w="0" w:type="auto"/>
            <w:shd w:val="clear" w:color="000000" w:fill="FFFFFF"/>
            <w:vAlign w:val="bottom"/>
            <w:hideMark/>
          </w:tcPr>
          <w:p w14:paraId="1331089F"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Чепеларска от </w:t>
            </w:r>
            <w:proofErr w:type="spellStart"/>
            <w:r w:rsidRPr="009F6D1E">
              <w:rPr>
                <w:rFonts w:eastAsia="Times New Roman" w:cs="Times New Roman"/>
                <w:sz w:val="20"/>
                <w:szCs w:val="20"/>
                <w:lang w:eastAsia="bg-BG"/>
              </w:rPr>
              <w:t>гр.Асеновград</w:t>
            </w:r>
            <w:proofErr w:type="spellEnd"/>
            <w:r w:rsidRPr="009F6D1E">
              <w:rPr>
                <w:rFonts w:eastAsia="Times New Roman" w:cs="Times New Roman"/>
                <w:sz w:val="20"/>
                <w:szCs w:val="20"/>
                <w:lang w:eastAsia="bg-BG"/>
              </w:rPr>
              <w:t xml:space="preserve"> до устие  и </w:t>
            </w:r>
            <w:proofErr w:type="spellStart"/>
            <w:r w:rsidRPr="009F6D1E">
              <w:rPr>
                <w:rFonts w:eastAsia="Times New Roman" w:cs="Times New Roman"/>
                <w:sz w:val="20"/>
                <w:szCs w:val="20"/>
                <w:lang w:eastAsia="bg-BG"/>
              </w:rPr>
              <w:t>Крумовски</w:t>
            </w:r>
            <w:proofErr w:type="spellEnd"/>
            <w:r w:rsidRPr="009F6D1E">
              <w:rPr>
                <w:rFonts w:eastAsia="Times New Roman" w:cs="Times New Roman"/>
                <w:sz w:val="20"/>
                <w:szCs w:val="20"/>
                <w:lang w:eastAsia="bg-BG"/>
              </w:rPr>
              <w:t xml:space="preserve"> колектор</w:t>
            </w:r>
          </w:p>
        </w:tc>
        <w:tc>
          <w:tcPr>
            <w:tcW w:w="0" w:type="auto"/>
            <w:shd w:val="clear" w:color="000000" w:fill="FF0000"/>
            <w:vAlign w:val="bottom"/>
            <w:hideMark/>
          </w:tcPr>
          <w:p w14:paraId="5B2477E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78E13B3A" w14:textId="77777777" w:rsidTr="0026258B">
        <w:trPr>
          <w:trHeight w:val="555"/>
          <w:jc w:val="center"/>
        </w:trPr>
        <w:tc>
          <w:tcPr>
            <w:tcW w:w="0" w:type="auto"/>
            <w:shd w:val="clear" w:color="auto" w:fill="auto"/>
            <w:vAlign w:val="bottom"/>
          </w:tcPr>
          <w:p w14:paraId="72FAE815"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1EA6675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70D6414D"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BG3MA500R105</w:t>
            </w:r>
          </w:p>
        </w:tc>
        <w:tc>
          <w:tcPr>
            <w:tcW w:w="0" w:type="auto"/>
            <w:shd w:val="clear" w:color="000000" w:fill="FFFFFF"/>
            <w:vAlign w:val="bottom"/>
            <w:hideMark/>
          </w:tcPr>
          <w:p w14:paraId="66940D9F"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Юговска</w:t>
            </w:r>
            <w:proofErr w:type="spellEnd"/>
            <w:r w:rsidRPr="009F6D1E">
              <w:rPr>
                <w:rFonts w:eastAsia="Times New Roman" w:cs="Times New Roman"/>
                <w:sz w:val="20"/>
                <w:szCs w:val="20"/>
                <w:lang w:eastAsia="bg-BG"/>
              </w:rPr>
              <w:t xml:space="preserve"> от река Белишка до устие, хвостохранилище на Горубсо-Лъки</w:t>
            </w:r>
          </w:p>
        </w:tc>
        <w:tc>
          <w:tcPr>
            <w:tcW w:w="0" w:type="auto"/>
            <w:shd w:val="clear" w:color="000000" w:fill="FF0000"/>
            <w:vAlign w:val="bottom"/>
            <w:hideMark/>
          </w:tcPr>
          <w:p w14:paraId="58DB874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038C816" w14:textId="77777777" w:rsidTr="0026258B">
        <w:trPr>
          <w:trHeight w:val="510"/>
          <w:jc w:val="center"/>
        </w:trPr>
        <w:tc>
          <w:tcPr>
            <w:tcW w:w="0" w:type="auto"/>
            <w:shd w:val="clear" w:color="auto" w:fill="auto"/>
            <w:vAlign w:val="bottom"/>
          </w:tcPr>
          <w:p w14:paraId="73AA261D"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6185251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4BECB540"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BG3MA500R108</w:t>
            </w:r>
          </w:p>
        </w:tc>
        <w:tc>
          <w:tcPr>
            <w:tcW w:w="0" w:type="auto"/>
            <w:shd w:val="clear" w:color="000000" w:fill="FFFFFF"/>
            <w:vAlign w:val="bottom"/>
            <w:hideMark/>
          </w:tcPr>
          <w:p w14:paraId="52F2468B"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Манастирска и река </w:t>
            </w:r>
            <w:proofErr w:type="spellStart"/>
            <w:r w:rsidRPr="009F6D1E">
              <w:rPr>
                <w:rFonts w:eastAsia="Times New Roman" w:cs="Times New Roman"/>
                <w:sz w:val="20"/>
                <w:szCs w:val="20"/>
                <w:lang w:eastAsia="bg-BG"/>
              </w:rPr>
              <w:t>Джурковска</w:t>
            </w:r>
            <w:proofErr w:type="spellEnd"/>
            <w:r w:rsidRPr="009F6D1E">
              <w:rPr>
                <w:rFonts w:eastAsia="Times New Roman" w:cs="Times New Roman"/>
                <w:sz w:val="20"/>
                <w:szCs w:val="20"/>
                <w:lang w:eastAsia="bg-BG"/>
              </w:rPr>
              <w:t xml:space="preserve">  до </w:t>
            </w:r>
            <w:proofErr w:type="spellStart"/>
            <w:r w:rsidRPr="009F6D1E">
              <w:rPr>
                <w:rFonts w:eastAsia="Times New Roman" w:cs="Times New Roman"/>
                <w:sz w:val="20"/>
                <w:szCs w:val="20"/>
                <w:lang w:eastAsia="bg-BG"/>
              </w:rPr>
              <w:t>р.Белишка</w:t>
            </w:r>
            <w:proofErr w:type="spellEnd"/>
          </w:p>
        </w:tc>
        <w:tc>
          <w:tcPr>
            <w:tcW w:w="0" w:type="auto"/>
            <w:shd w:val="clear" w:color="000000" w:fill="FF0000"/>
            <w:vAlign w:val="bottom"/>
            <w:hideMark/>
          </w:tcPr>
          <w:p w14:paraId="33892AB9"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20AFBBB3" w14:textId="77777777" w:rsidTr="0026258B">
        <w:trPr>
          <w:trHeight w:val="510"/>
          <w:jc w:val="center"/>
        </w:trPr>
        <w:tc>
          <w:tcPr>
            <w:tcW w:w="0" w:type="auto"/>
            <w:shd w:val="clear" w:color="auto" w:fill="auto"/>
            <w:vAlign w:val="bottom"/>
          </w:tcPr>
          <w:p w14:paraId="0D60B568"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521C203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1C0C91C2"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BG3MA700R149</w:t>
            </w:r>
          </w:p>
        </w:tc>
        <w:tc>
          <w:tcPr>
            <w:tcW w:w="0" w:type="auto"/>
            <w:shd w:val="clear" w:color="000000" w:fill="FFFFFF"/>
            <w:vAlign w:val="bottom"/>
            <w:hideMark/>
          </w:tcPr>
          <w:p w14:paraId="294086A9"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Река Луда Яна от вливане на Стрелчанска Луда Яна до устие</w:t>
            </w:r>
          </w:p>
        </w:tc>
        <w:tc>
          <w:tcPr>
            <w:tcW w:w="0" w:type="auto"/>
            <w:shd w:val="clear" w:color="000000" w:fill="FF0000"/>
            <w:noWrap/>
            <w:vAlign w:val="bottom"/>
            <w:hideMark/>
          </w:tcPr>
          <w:p w14:paraId="2B7ACA4D"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AD504B5" w14:textId="77777777" w:rsidTr="0026258B">
        <w:trPr>
          <w:trHeight w:val="510"/>
          <w:jc w:val="center"/>
        </w:trPr>
        <w:tc>
          <w:tcPr>
            <w:tcW w:w="0" w:type="auto"/>
            <w:shd w:val="clear" w:color="auto" w:fill="auto"/>
            <w:vAlign w:val="bottom"/>
          </w:tcPr>
          <w:p w14:paraId="10C07FB2"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43EF95F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59584D4A"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BG3MA700R156</w:t>
            </w:r>
          </w:p>
        </w:tc>
        <w:tc>
          <w:tcPr>
            <w:tcW w:w="0" w:type="auto"/>
            <w:shd w:val="clear" w:color="000000" w:fill="FFFFFF"/>
            <w:vAlign w:val="bottom"/>
            <w:hideMark/>
          </w:tcPr>
          <w:p w14:paraId="2B99EAB3"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Селска и притоци и ГОК </w:t>
            </w:r>
            <w:proofErr w:type="spellStart"/>
            <w:r w:rsidRPr="009F6D1E">
              <w:rPr>
                <w:rFonts w:eastAsia="Times New Roman" w:cs="Times New Roman"/>
                <w:sz w:val="20"/>
                <w:szCs w:val="20"/>
                <w:lang w:eastAsia="bg-BG"/>
              </w:rPr>
              <w:t>Чакъша</w:t>
            </w:r>
            <w:proofErr w:type="spellEnd"/>
          </w:p>
        </w:tc>
        <w:tc>
          <w:tcPr>
            <w:tcW w:w="0" w:type="auto"/>
            <w:shd w:val="clear" w:color="000000" w:fill="FF0000"/>
            <w:noWrap/>
            <w:vAlign w:val="bottom"/>
            <w:hideMark/>
          </w:tcPr>
          <w:p w14:paraId="4ACD8E3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C138525" w14:textId="77777777" w:rsidTr="0026258B">
        <w:trPr>
          <w:trHeight w:val="510"/>
          <w:jc w:val="center"/>
        </w:trPr>
        <w:tc>
          <w:tcPr>
            <w:tcW w:w="0" w:type="auto"/>
            <w:shd w:val="clear" w:color="auto" w:fill="auto"/>
            <w:vAlign w:val="bottom"/>
          </w:tcPr>
          <w:p w14:paraId="692266D9"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67D07D87"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446C970F"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BG3MA800R224</w:t>
            </w:r>
          </w:p>
        </w:tc>
        <w:tc>
          <w:tcPr>
            <w:tcW w:w="0" w:type="auto"/>
            <w:shd w:val="clear" w:color="000000" w:fill="FFFFFF"/>
            <w:vAlign w:val="bottom"/>
            <w:hideMark/>
          </w:tcPr>
          <w:p w14:paraId="14EBED53"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Елшишка</w:t>
            </w:r>
            <w:proofErr w:type="spellEnd"/>
          </w:p>
        </w:tc>
        <w:tc>
          <w:tcPr>
            <w:tcW w:w="0" w:type="auto"/>
            <w:shd w:val="clear" w:color="000000" w:fill="FF0000"/>
            <w:noWrap/>
            <w:vAlign w:val="bottom"/>
            <w:hideMark/>
          </w:tcPr>
          <w:p w14:paraId="39FC3895"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36885BC4" w14:textId="77777777" w:rsidTr="0026258B">
        <w:trPr>
          <w:trHeight w:val="720"/>
          <w:jc w:val="center"/>
        </w:trPr>
        <w:tc>
          <w:tcPr>
            <w:tcW w:w="0" w:type="auto"/>
            <w:shd w:val="clear" w:color="auto" w:fill="auto"/>
            <w:vAlign w:val="bottom"/>
          </w:tcPr>
          <w:p w14:paraId="33E7AE30"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5A1247C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0A592738"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BG3MA800R225</w:t>
            </w:r>
          </w:p>
        </w:tc>
        <w:tc>
          <w:tcPr>
            <w:tcW w:w="0" w:type="auto"/>
            <w:shd w:val="clear" w:color="000000" w:fill="FFFFFF"/>
            <w:vAlign w:val="bottom"/>
            <w:hideMark/>
          </w:tcPr>
          <w:p w14:paraId="1942351C"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Река Тополница от яз. Тополница до устие</w:t>
            </w:r>
          </w:p>
        </w:tc>
        <w:tc>
          <w:tcPr>
            <w:tcW w:w="0" w:type="auto"/>
            <w:shd w:val="clear" w:color="000000" w:fill="FF0000"/>
            <w:noWrap/>
            <w:vAlign w:val="bottom"/>
            <w:hideMark/>
          </w:tcPr>
          <w:p w14:paraId="1BFC3BA1"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77B1B57D" w14:textId="77777777" w:rsidTr="0026258B">
        <w:trPr>
          <w:trHeight w:val="510"/>
          <w:jc w:val="center"/>
        </w:trPr>
        <w:tc>
          <w:tcPr>
            <w:tcW w:w="0" w:type="auto"/>
            <w:shd w:val="clear" w:color="auto" w:fill="auto"/>
            <w:vAlign w:val="bottom"/>
          </w:tcPr>
          <w:p w14:paraId="28354499"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1E95659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6468358A"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BG3MA800R162</w:t>
            </w:r>
          </w:p>
        </w:tc>
        <w:tc>
          <w:tcPr>
            <w:tcW w:w="0" w:type="auto"/>
            <w:shd w:val="clear" w:color="000000" w:fill="FFFFFF"/>
            <w:vAlign w:val="bottom"/>
            <w:hideMark/>
          </w:tcPr>
          <w:p w14:paraId="0CDAD27E"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Река Мътивир и притоци</w:t>
            </w:r>
          </w:p>
        </w:tc>
        <w:tc>
          <w:tcPr>
            <w:tcW w:w="0" w:type="auto"/>
            <w:shd w:val="clear" w:color="000000" w:fill="FF0000"/>
            <w:vAlign w:val="bottom"/>
            <w:hideMark/>
          </w:tcPr>
          <w:p w14:paraId="41C9D9B4"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2C968EB" w14:textId="77777777" w:rsidTr="0026258B">
        <w:trPr>
          <w:trHeight w:val="510"/>
          <w:jc w:val="center"/>
        </w:trPr>
        <w:tc>
          <w:tcPr>
            <w:tcW w:w="0" w:type="auto"/>
            <w:shd w:val="clear" w:color="auto" w:fill="auto"/>
            <w:vAlign w:val="bottom"/>
          </w:tcPr>
          <w:p w14:paraId="778C7A36"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633968EB"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2C7AF097"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BG3MA800R223</w:t>
            </w:r>
          </w:p>
        </w:tc>
        <w:tc>
          <w:tcPr>
            <w:tcW w:w="0" w:type="auto"/>
            <w:shd w:val="clear" w:color="000000" w:fill="FFFFFF"/>
            <w:vAlign w:val="bottom"/>
            <w:hideMark/>
          </w:tcPr>
          <w:p w14:paraId="036C95F2"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Тополница и притоци от хвостохранилище Медет до </w:t>
            </w:r>
            <w:proofErr w:type="spellStart"/>
            <w:r w:rsidRPr="009F6D1E">
              <w:rPr>
                <w:rFonts w:eastAsia="Times New Roman" w:cs="Times New Roman"/>
                <w:sz w:val="20"/>
                <w:szCs w:val="20"/>
                <w:lang w:eastAsia="bg-BG"/>
              </w:rPr>
              <w:t>яз.Тополница</w:t>
            </w:r>
            <w:proofErr w:type="spellEnd"/>
            <w:r w:rsidRPr="009F6D1E">
              <w:rPr>
                <w:rFonts w:eastAsia="Times New Roman" w:cs="Times New Roman"/>
                <w:sz w:val="20"/>
                <w:szCs w:val="20"/>
                <w:lang w:eastAsia="bg-BG"/>
              </w:rPr>
              <w:t xml:space="preserve"> </w:t>
            </w:r>
          </w:p>
        </w:tc>
        <w:tc>
          <w:tcPr>
            <w:tcW w:w="0" w:type="auto"/>
            <w:shd w:val="clear" w:color="000000" w:fill="FF0000"/>
            <w:vAlign w:val="bottom"/>
            <w:hideMark/>
          </w:tcPr>
          <w:p w14:paraId="77C10428"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EC5A85F" w14:textId="77777777" w:rsidTr="0026258B">
        <w:trPr>
          <w:trHeight w:val="570"/>
          <w:jc w:val="center"/>
        </w:trPr>
        <w:tc>
          <w:tcPr>
            <w:tcW w:w="0" w:type="auto"/>
            <w:shd w:val="clear" w:color="auto" w:fill="auto"/>
            <w:vAlign w:val="bottom"/>
          </w:tcPr>
          <w:p w14:paraId="43CAD8E9"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57F03ECE"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Марица</w:t>
            </w:r>
          </w:p>
        </w:tc>
        <w:tc>
          <w:tcPr>
            <w:tcW w:w="0" w:type="auto"/>
            <w:shd w:val="clear" w:color="000000" w:fill="FFFFFF"/>
            <w:vAlign w:val="bottom"/>
            <w:hideMark/>
          </w:tcPr>
          <w:p w14:paraId="36A64EB6"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BG3MA800R174</w:t>
            </w:r>
          </w:p>
        </w:tc>
        <w:tc>
          <w:tcPr>
            <w:tcW w:w="0" w:type="auto"/>
            <w:shd w:val="clear" w:color="000000" w:fill="FFFFFF"/>
            <w:vAlign w:val="bottom"/>
            <w:hideMark/>
          </w:tcPr>
          <w:p w14:paraId="252668D9"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Медетска</w:t>
            </w:r>
            <w:proofErr w:type="spellEnd"/>
          </w:p>
        </w:tc>
        <w:tc>
          <w:tcPr>
            <w:tcW w:w="0" w:type="auto"/>
            <w:shd w:val="clear" w:color="000000" w:fill="FF0000"/>
            <w:vAlign w:val="bottom"/>
            <w:hideMark/>
          </w:tcPr>
          <w:p w14:paraId="4D91004F"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446D94F6" w14:textId="77777777" w:rsidTr="0026258B">
        <w:trPr>
          <w:trHeight w:val="720"/>
          <w:jc w:val="center"/>
        </w:trPr>
        <w:tc>
          <w:tcPr>
            <w:tcW w:w="0" w:type="auto"/>
            <w:shd w:val="clear" w:color="auto" w:fill="auto"/>
            <w:vAlign w:val="bottom"/>
          </w:tcPr>
          <w:p w14:paraId="0FD91DE8"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175CF525" w14:textId="77777777" w:rsidR="00AE5785" w:rsidRPr="009F6D1E" w:rsidRDefault="00AE5785" w:rsidP="0084747F">
            <w:pPr>
              <w:spacing w:after="60" w:line="264" w:lineRule="auto"/>
              <w:jc w:val="center"/>
              <w:rPr>
                <w:rFonts w:eastAsia="Times New Roman" w:cs="Times New Roman"/>
                <w:color w:val="000000"/>
                <w:sz w:val="20"/>
                <w:szCs w:val="20"/>
                <w:lang w:eastAsia="bg-BG"/>
              </w:rPr>
            </w:pPr>
            <w:r w:rsidRPr="009F6D1E">
              <w:rPr>
                <w:rFonts w:eastAsia="Times New Roman" w:cs="Times New Roman"/>
                <w:color w:val="000000"/>
                <w:sz w:val="20"/>
                <w:szCs w:val="20"/>
                <w:lang w:eastAsia="bg-BG"/>
              </w:rPr>
              <w:t>Тунджа</w:t>
            </w:r>
          </w:p>
        </w:tc>
        <w:tc>
          <w:tcPr>
            <w:tcW w:w="0" w:type="auto"/>
            <w:shd w:val="clear" w:color="000000" w:fill="FFFFFF"/>
            <w:vAlign w:val="bottom"/>
            <w:hideMark/>
          </w:tcPr>
          <w:p w14:paraId="64355831" w14:textId="77777777" w:rsidR="00AE5785" w:rsidRPr="009F6D1E" w:rsidRDefault="00AE5785" w:rsidP="0084747F">
            <w:pPr>
              <w:spacing w:after="60" w:line="264" w:lineRule="auto"/>
              <w:rPr>
                <w:rFonts w:eastAsia="Times New Roman" w:cs="Times New Roman"/>
                <w:color w:val="000000"/>
                <w:sz w:val="20"/>
                <w:szCs w:val="20"/>
                <w:lang w:eastAsia="bg-BG"/>
              </w:rPr>
            </w:pPr>
            <w:r w:rsidRPr="009F6D1E">
              <w:rPr>
                <w:rFonts w:eastAsia="Times New Roman" w:cs="Times New Roman"/>
                <w:color w:val="000000"/>
                <w:sz w:val="20"/>
                <w:szCs w:val="20"/>
                <w:lang w:eastAsia="bg-BG"/>
              </w:rPr>
              <w:t>BG3TU900R042</w:t>
            </w:r>
          </w:p>
        </w:tc>
        <w:tc>
          <w:tcPr>
            <w:tcW w:w="0" w:type="auto"/>
            <w:shd w:val="clear" w:color="000000" w:fill="FFFFFF"/>
            <w:vAlign w:val="bottom"/>
            <w:hideMark/>
          </w:tcPr>
          <w:p w14:paraId="6D854224" w14:textId="77777777" w:rsidR="00AE5785" w:rsidRPr="009F6D1E" w:rsidRDefault="00AE5785" w:rsidP="0084747F">
            <w:pPr>
              <w:spacing w:after="60" w:line="264" w:lineRule="auto"/>
              <w:rPr>
                <w:rFonts w:eastAsia="Times New Roman" w:cs="Times New Roman"/>
                <w:color w:val="000000"/>
                <w:sz w:val="20"/>
                <w:szCs w:val="20"/>
                <w:lang w:eastAsia="bg-BG"/>
              </w:rPr>
            </w:pPr>
            <w:r w:rsidRPr="009F6D1E">
              <w:rPr>
                <w:rFonts w:eastAsia="Times New Roman" w:cs="Times New Roman"/>
                <w:color w:val="000000"/>
                <w:sz w:val="20"/>
                <w:szCs w:val="20"/>
                <w:lang w:eastAsia="bg-BG"/>
              </w:rPr>
              <w:t xml:space="preserve">Река Тунджа след яз. Копринка до </w:t>
            </w:r>
            <w:proofErr w:type="spellStart"/>
            <w:r w:rsidRPr="009F6D1E">
              <w:rPr>
                <w:rFonts w:eastAsia="Times New Roman" w:cs="Times New Roman"/>
                <w:color w:val="000000"/>
                <w:sz w:val="20"/>
                <w:szCs w:val="20"/>
                <w:lang w:eastAsia="bg-BG"/>
              </w:rPr>
              <w:t>яз.Жребчево</w:t>
            </w:r>
            <w:proofErr w:type="spellEnd"/>
            <w:r w:rsidRPr="009F6D1E">
              <w:rPr>
                <w:rFonts w:eastAsia="Times New Roman" w:cs="Times New Roman"/>
                <w:color w:val="000000"/>
                <w:sz w:val="20"/>
                <w:szCs w:val="20"/>
                <w:lang w:eastAsia="bg-BG"/>
              </w:rPr>
              <w:t xml:space="preserve">, </w:t>
            </w:r>
            <w:proofErr w:type="spellStart"/>
            <w:r w:rsidRPr="009F6D1E">
              <w:rPr>
                <w:rFonts w:eastAsia="Times New Roman" w:cs="Times New Roman"/>
                <w:color w:val="000000"/>
                <w:sz w:val="20"/>
                <w:szCs w:val="20"/>
                <w:lang w:eastAsia="bg-BG"/>
              </w:rPr>
              <w:t>р.Крънска</w:t>
            </w:r>
            <w:proofErr w:type="spellEnd"/>
            <w:r w:rsidRPr="009F6D1E">
              <w:rPr>
                <w:rFonts w:eastAsia="Times New Roman" w:cs="Times New Roman"/>
                <w:color w:val="000000"/>
                <w:sz w:val="20"/>
                <w:szCs w:val="20"/>
                <w:lang w:eastAsia="bg-BG"/>
              </w:rPr>
              <w:t xml:space="preserve"> и долно течение</w:t>
            </w:r>
          </w:p>
        </w:tc>
        <w:tc>
          <w:tcPr>
            <w:tcW w:w="0" w:type="auto"/>
            <w:shd w:val="clear" w:color="000000" w:fill="FF0000"/>
            <w:vAlign w:val="bottom"/>
            <w:hideMark/>
          </w:tcPr>
          <w:p w14:paraId="2C473FF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19B17C7C" w14:textId="77777777" w:rsidTr="0026258B">
        <w:trPr>
          <w:trHeight w:val="480"/>
          <w:jc w:val="center"/>
        </w:trPr>
        <w:tc>
          <w:tcPr>
            <w:tcW w:w="0" w:type="auto"/>
            <w:shd w:val="clear" w:color="auto" w:fill="auto"/>
            <w:vAlign w:val="bottom"/>
          </w:tcPr>
          <w:p w14:paraId="3AF87DFB"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6A05CD23"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Арда</w:t>
            </w:r>
          </w:p>
        </w:tc>
        <w:tc>
          <w:tcPr>
            <w:tcW w:w="0" w:type="auto"/>
            <w:shd w:val="clear" w:color="000000" w:fill="FFFFFF"/>
            <w:vAlign w:val="bottom"/>
            <w:hideMark/>
          </w:tcPr>
          <w:p w14:paraId="7B9BB870"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BG3AR900R034</w:t>
            </w:r>
          </w:p>
        </w:tc>
        <w:tc>
          <w:tcPr>
            <w:tcW w:w="0" w:type="auto"/>
            <w:shd w:val="clear" w:color="000000" w:fill="FFFFFF"/>
            <w:vAlign w:val="bottom"/>
            <w:hideMark/>
          </w:tcPr>
          <w:p w14:paraId="1FFFA324"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Река </w:t>
            </w:r>
            <w:proofErr w:type="spellStart"/>
            <w:r w:rsidRPr="009F6D1E">
              <w:rPr>
                <w:rFonts w:eastAsia="Times New Roman" w:cs="Times New Roman"/>
                <w:sz w:val="20"/>
                <w:szCs w:val="20"/>
                <w:lang w:eastAsia="bg-BG"/>
              </w:rPr>
              <w:t>Маданска</w:t>
            </w:r>
            <w:proofErr w:type="spellEnd"/>
          </w:p>
        </w:tc>
        <w:tc>
          <w:tcPr>
            <w:tcW w:w="0" w:type="auto"/>
            <w:shd w:val="clear" w:color="000000" w:fill="FF0000"/>
            <w:vAlign w:val="bottom"/>
            <w:hideMark/>
          </w:tcPr>
          <w:p w14:paraId="2D2258B2"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r w:rsidR="00AE5785" w:rsidRPr="009F6D1E" w14:paraId="6EC5EEBF" w14:textId="77777777" w:rsidTr="0026258B">
        <w:trPr>
          <w:trHeight w:val="615"/>
          <w:jc w:val="center"/>
        </w:trPr>
        <w:tc>
          <w:tcPr>
            <w:tcW w:w="0" w:type="auto"/>
            <w:shd w:val="clear" w:color="auto" w:fill="auto"/>
            <w:vAlign w:val="bottom"/>
          </w:tcPr>
          <w:p w14:paraId="49015007" w14:textId="77777777" w:rsidR="00AE5785" w:rsidRPr="009F6D1E" w:rsidRDefault="00AE5785" w:rsidP="00D02E9D">
            <w:pPr>
              <w:pStyle w:val="ListParagraph"/>
              <w:numPr>
                <w:ilvl w:val="0"/>
                <w:numId w:val="21"/>
              </w:numPr>
              <w:spacing w:after="60" w:line="264" w:lineRule="auto"/>
              <w:ind w:left="360"/>
              <w:jc w:val="center"/>
              <w:rPr>
                <w:rFonts w:eastAsia="Times New Roman"/>
                <w:sz w:val="20"/>
                <w:szCs w:val="20"/>
                <w:lang w:val="bg-BG" w:eastAsia="bg-BG"/>
              </w:rPr>
            </w:pPr>
          </w:p>
        </w:tc>
        <w:tc>
          <w:tcPr>
            <w:tcW w:w="0" w:type="auto"/>
            <w:shd w:val="clear" w:color="auto" w:fill="auto"/>
            <w:vAlign w:val="bottom"/>
            <w:hideMark/>
          </w:tcPr>
          <w:p w14:paraId="5267F21C"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Арда</w:t>
            </w:r>
          </w:p>
        </w:tc>
        <w:tc>
          <w:tcPr>
            <w:tcW w:w="0" w:type="auto"/>
            <w:shd w:val="clear" w:color="000000" w:fill="FFFFFF"/>
            <w:vAlign w:val="bottom"/>
            <w:hideMark/>
          </w:tcPr>
          <w:p w14:paraId="78C006A4"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BG3AR400R017</w:t>
            </w:r>
          </w:p>
        </w:tc>
        <w:tc>
          <w:tcPr>
            <w:tcW w:w="0" w:type="auto"/>
            <w:shd w:val="clear" w:color="000000" w:fill="FFFFFF"/>
            <w:vAlign w:val="bottom"/>
            <w:hideMark/>
          </w:tcPr>
          <w:p w14:paraId="79CBC60C" w14:textId="77777777" w:rsidR="00AE5785" w:rsidRPr="009F6D1E" w:rsidRDefault="00AE5785"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Извор на р. Върбица до </w:t>
            </w:r>
            <w:proofErr w:type="spellStart"/>
            <w:r w:rsidRPr="009F6D1E">
              <w:rPr>
                <w:rFonts w:eastAsia="Times New Roman" w:cs="Times New Roman"/>
                <w:sz w:val="20"/>
                <w:szCs w:val="20"/>
                <w:lang w:eastAsia="bg-BG"/>
              </w:rPr>
              <w:t>гр.Златоград</w:t>
            </w:r>
            <w:proofErr w:type="spellEnd"/>
          </w:p>
        </w:tc>
        <w:tc>
          <w:tcPr>
            <w:tcW w:w="0" w:type="auto"/>
            <w:shd w:val="clear" w:color="000000" w:fill="FF0000"/>
            <w:vAlign w:val="bottom"/>
            <w:hideMark/>
          </w:tcPr>
          <w:p w14:paraId="1979BFF6" w14:textId="77777777" w:rsidR="00AE5785" w:rsidRPr="009F6D1E" w:rsidRDefault="00AE5785" w:rsidP="0084747F">
            <w:pPr>
              <w:spacing w:after="60" w:line="264" w:lineRule="auto"/>
              <w:jc w:val="center"/>
              <w:rPr>
                <w:rFonts w:eastAsia="Times New Roman" w:cs="Times New Roman"/>
                <w:sz w:val="20"/>
                <w:szCs w:val="20"/>
                <w:lang w:eastAsia="bg-BG"/>
              </w:rPr>
            </w:pPr>
            <w:r w:rsidRPr="009F6D1E">
              <w:rPr>
                <w:rFonts w:eastAsia="Times New Roman" w:cs="Times New Roman"/>
                <w:sz w:val="20"/>
                <w:szCs w:val="20"/>
                <w:lang w:eastAsia="bg-BG"/>
              </w:rPr>
              <w:t>лошо</w:t>
            </w:r>
          </w:p>
        </w:tc>
      </w:tr>
    </w:tbl>
    <w:p w14:paraId="3A64FFEF" w14:textId="77777777" w:rsidR="00AE5785" w:rsidRPr="009F6D1E" w:rsidRDefault="00AE5785" w:rsidP="0084747F">
      <w:pPr>
        <w:spacing w:after="60" w:line="264" w:lineRule="auto"/>
        <w:jc w:val="right"/>
        <w:rPr>
          <w:rFonts w:cs="Times New Roman"/>
          <w:i/>
        </w:rPr>
      </w:pPr>
      <w:r w:rsidRPr="009F6D1E">
        <w:rPr>
          <w:rFonts w:cs="Times New Roman"/>
          <w:i/>
        </w:rPr>
        <w:t>Източник: БДИБР, 2020 г.</w:t>
      </w:r>
    </w:p>
    <w:p w14:paraId="4FBB590D" w14:textId="77777777" w:rsidR="00AE5785" w:rsidRPr="009F6D1E" w:rsidRDefault="00AE5785" w:rsidP="0084747F">
      <w:pPr>
        <w:spacing w:after="60" w:line="264" w:lineRule="auto"/>
        <w:rPr>
          <w:rFonts w:cs="Times New Roman"/>
        </w:rPr>
      </w:pPr>
    </w:p>
    <w:p w14:paraId="615430C5" w14:textId="77777777" w:rsidR="00AE5785" w:rsidRPr="009F6D1E" w:rsidRDefault="00AE5785" w:rsidP="0084747F">
      <w:pPr>
        <w:spacing w:after="60" w:line="264" w:lineRule="auto"/>
        <w:ind w:firstLine="720"/>
        <w:jc w:val="both"/>
        <w:rPr>
          <w:rFonts w:cs="Times New Roman"/>
          <w:b/>
          <w:bCs/>
          <w:szCs w:val="24"/>
        </w:rPr>
      </w:pPr>
      <w:bookmarkStart w:id="259" w:name="bookmark88"/>
      <w:r w:rsidRPr="009F6D1E">
        <w:rPr>
          <w:rFonts w:cs="Times New Roman"/>
          <w:b/>
          <w:bCs/>
          <w:szCs w:val="24"/>
        </w:rPr>
        <w:t>Текущо състояние на повърхностните води  - Басейнова дирекция за управление на водите „</w:t>
      </w:r>
      <w:proofErr w:type="spellStart"/>
      <w:r w:rsidRPr="009F6D1E">
        <w:rPr>
          <w:rFonts w:cs="Times New Roman"/>
          <w:b/>
          <w:bCs/>
          <w:szCs w:val="24"/>
        </w:rPr>
        <w:t>Западнобеломорски</w:t>
      </w:r>
      <w:proofErr w:type="spellEnd"/>
      <w:r w:rsidRPr="009F6D1E">
        <w:rPr>
          <w:rFonts w:cs="Times New Roman"/>
          <w:b/>
          <w:bCs/>
          <w:szCs w:val="24"/>
        </w:rPr>
        <w:t xml:space="preserve"> район “ с център гр. Благоевград</w:t>
      </w:r>
      <w:bookmarkEnd w:id="259"/>
    </w:p>
    <w:p w14:paraId="75DFE8BA" w14:textId="258825BA" w:rsidR="00AE5785" w:rsidRPr="009F6D1E" w:rsidRDefault="00AE5785" w:rsidP="0084747F">
      <w:pPr>
        <w:spacing w:after="60" w:line="264" w:lineRule="auto"/>
        <w:ind w:firstLine="720"/>
        <w:jc w:val="both"/>
        <w:rPr>
          <w:rFonts w:cs="Times New Roman"/>
          <w:szCs w:val="24"/>
        </w:rPr>
      </w:pPr>
      <w:proofErr w:type="spellStart"/>
      <w:r w:rsidRPr="009F6D1E">
        <w:rPr>
          <w:rFonts w:cs="Times New Roman"/>
          <w:szCs w:val="24"/>
        </w:rPr>
        <w:t>Западнобеломорски</w:t>
      </w:r>
      <w:proofErr w:type="spellEnd"/>
      <w:r w:rsidRPr="009F6D1E">
        <w:rPr>
          <w:rFonts w:cs="Times New Roman"/>
          <w:szCs w:val="24"/>
        </w:rPr>
        <w:t xml:space="preserve"> район обхваща водосборните области на реките Струма, Места и Д</w:t>
      </w:r>
      <w:r w:rsidR="008C39A2">
        <w:rPr>
          <w:rFonts w:cs="Times New Roman"/>
          <w:szCs w:val="24"/>
        </w:rPr>
        <w:t>осп</w:t>
      </w:r>
      <w:r w:rsidRPr="009F6D1E">
        <w:rPr>
          <w:rFonts w:cs="Times New Roman"/>
          <w:szCs w:val="24"/>
        </w:rPr>
        <w:t xml:space="preserve">ат, които са трансгранични. Реките Струма (извира от планина Витоша - 2246 </w:t>
      </w:r>
      <w:r w:rsidRPr="009F6D1E">
        <w:rPr>
          <w:rFonts w:cs="Times New Roman"/>
          <w:szCs w:val="24"/>
          <w:lang w:bidi="en-US"/>
        </w:rPr>
        <w:t xml:space="preserve">m </w:t>
      </w:r>
      <w:proofErr w:type="spellStart"/>
      <w:r w:rsidRPr="009F6D1E">
        <w:rPr>
          <w:rFonts w:cs="Times New Roman"/>
          <w:szCs w:val="24"/>
        </w:rPr>
        <w:t>н.в.</w:t>
      </w:r>
      <w:proofErr w:type="spellEnd"/>
      <w:r w:rsidRPr="009F6D1E">
        <w:rPr>
          <w:rFonts w:cs="Times New Roman"/>
          <w:szCs w:val="24"/>
        </w:rPr>
        <w:t xml:space="preserve">) и Места (извира от Рила планина - 2240 </w:t>
      </w:r>
      <w:r w:rsidRPr="009F6D1E">
        <w:rPr>
          <w:rFonts w:cs="Times New Roman"/>
          <w:szCs w:val="24"/>
          <w:lang w:bidi="en-US"/>
        </w:rPr>
        <w:t xml:space="preserve">m </w:t>
      </w:r>
      <w:proofErr w:type="spellStart"/>
      <w:r w:rsidRPr="009F6D1E">
        <w:rPr>
          <w:rFonts w:cs="Times New Roman"/>
          <w:szCs w:val="24"/>
        </w:rPr>
        <w:t>н.в.</w:t>
      </w:r>
      <w:proofErr w:type="spellEnd"/>
      <w:r w:rsidRPr="009F6D1E">
        <w:rPr>
          <w:rFonts w:cs="Times New Roman"/>
          <w:szCs w:val="24"/>
        </w:rPr>
        <w:t>) пресичат държавната граница и се вливат в Егейско море на територията на Република Гърция. Река Д</w:t>
      </w:r>
      <w:r w:rsidR="008C39A2">
        <w:rPr>
          <w:rFonts w:cs="Times New Roman"/>
          <w:szCs w:val="24"/>
        </w:rPr>
        <w:t>осп</w:t>
      </w:r>
      <w:r w:rsidRPr="009F6D1E">
        <w:rPr>
          <w:rFonts w:cs="Times New Roman"/>
          <w:szCs w:val="24"/>
        </w:rPr>
        <w:t xml:space="preserve">ат (извира от Западните Родопи - 1643 </w:t>
      </w:r>
      <w:r w:rsidRPr="009F6D1E">
        <w:rPr>
          <w:rFonts w:cs="Times New Roman"/>
          <w:szCs w:val="24"/>
          <w:lang w:bidi="en-US"/>
        </w:rPr>
        <w:t xml:space="preserve">m </w:t>
      </w:r>
      <w:proofErr w:type="spellStart"/>
      <w:r w:rsidRPr="009F6D1E">
        <w:rPr>
          <w:rFonts w:cs="Times New Roman"/>
          <w:szCs w:val="24"/>
        </w:rPr>
        <w:t>н.в</w:t>
      </w:r>
      <w:proofErr w:type="spellEnd"/>
      <w:r w:rsidRPr="009F6D1E">
        <w:rPr>
          <w:rFonts w:cs="Times New Roman"/>
          <w:szCs w:val="24"/>
        </w:rPr>
        <w:t>) пресича държавната граница и устието и е на територията на Република Гърция.</w:t>
      </w:r>
    </w:p>
    <w:p w14:paraId="29F02EBE"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 xml:space="preserve">В териториалния обхват на </w:t>
      </w:r>
      <w:proofErr w:type="spellStart"/>
      <w:r w:rsidRPr="009F6D1E">
        <w:rPr>
          <w:rFonts w:cs="Times New Roman"/>
          <w:szCs w:val="24"/>
        </w:rPr>
        <w:t>Западнобеломорски</w:t>
      </w:r>
      <w:proofErr w:type="spellEnd"/>
      <w:r w:rsidRPr="009F6D1E">
        <w:rPr>
          <w:rFonts w:cs="Times New Roman"/>
          <w:szCs w:val="24"/>
        </w:rPr>
        <w:t xml:space="preserve"> район са разположени голям брой естествени езера, основно в алпийския пояс на планините Рила и Пирин. Голяма част от тях дават началото на реките в двете най-големи поречия, а други са безотточни. Повърхностните водни тела в ЗБР са определени в две категории - реки и езера. В териториалния обхват на ЗБР са определени общо 183 бр. повърхностни водни тела. От тях 168 бр. ВТ са определени в категория „река” и 15 бр. ВТ са определени в категория „езеро”.</w:t>
      </w:r>
    </w:p>
    <w:p w14:paraId="7E3DFC92" w14:textId="77777777" w:rsidR="00AE5785" w:rsidRPr="009F6D1E" w:rsidRDefault="00AE5785" w:rsidP="0084747F">
      <w:pPr>
        <w:pStyle w:val="a0"/>
        <w:widowControl/>
        <w:tabs>
          <w:tab w:val="left" w:pos="993"/>
        </w:tabs>
        <w:spacing w:after="60" w:line="264" w:lineRule="auto"/>
        <w:ind w:left="0" w:right="0" w:firstLine="720"/>
        <w:rPr>
          <w:b/>
          <w:bCs/>
          <w:i/>
        </w:rPr>
      </w:pPr>
      <w:bookmarkStart w:id="260" w:name="bookmark89"/>
      <w:r w:rsidRPr="009F6D1E">
        <w:rPr>
          <w:b/>
          <w:bCs/>
          <w:i/>
        </w:rPr>
        <w:t>Екологично състояние/потенциал на повърхностни водни тела в БДЗБР</w:t>
      </w:r>
      <w:bookmarkEnd w:id="260"/>
    </w:p>
    <w:p w14:paraId="2B0F6D2B" w14:textId="77777777" w:rsidR="00AE5785" w:rsidRPr="009F6D1E" w:rsidRDefault="00AE5785" w:rsidP="0084747F">
      <w:pPr>
        <w:spacing w:after="60" w:line="264" w:lineRule="auto"/>
        <w:ind w:firstLine="720"/>
        <w:jc w:val="both"/>
        <w:rPr>
          <w:rFonts w:cs="Times New Roman"/>
          <w:szCs w:val="24"/>
        </w:rPr>
      </w:pPr>
      <w:r w:rsidRPr="009F6D1E">
        <w:rPr>
          <w:rFonts w:cs="Times New Roman"/>
          <w:szCs w:val="24"/>
        </w:rPr>
        <w:t xml:space="preserve">От всички 183 повърхностни водни тела в </w:t>
      </w:r>
      <w:proofErr w:type="spellStart"/>
      <w:r w:rsidRPr="009F6D1E">
        <w:rPr>
          <w:rFonts w:cs="Times New Roman"/>
          <w:szCs w:val="24"/>
        </w:rPr>
        <w:t>Западнобеломорски</w:t>
      </w:r>
      <w:proofErr w:type="spellEnd"/>
      <w:r w:rsidRPr="009F6D1E">
        <w:rPr>
          <w:rFonts w:cs="Times New Roman"/>
          <w:szCs w:val="24"/>
        </w:rPr>
        <w:t xml:space="preserve"> район, оценка на екологичното състояние в ПУРБ е направена за 178 водни тела, а 5 повърхностни водни тела - 3% от общия брой не са оценени поради липса на данни от мониторинг и са обявени в неизвестно екологично състояние.</w:t>
      </w:r>
    </w:p>
    <w:p w14:paraId="09DBD57A" w14:textId="77777777" w:rsidR="00AE5785" w:rsidRPr="009F6D1E" w:rsidRDefault="00AE5785" w:rsidP="0084747F">
      <w:pPr>
        <w:spacing w:after="60" w:line="264" w:lineRule="auto"/>
        <w:ind w:firstLine="708"/>
        <w:jc w:val="both"/>
        <w:rPr>
          <w:rFonts w:cs="Times New Roman"/>
          <w:i/>
          <w:szCs w:val="24"/>
        </w:rPr>
      </w:pPr>
      <w:r w:rsidRPr="009F6D1E">
        <w:rPr>
          <w:rFonts w:cs="Times New Roman"/>
          <w:szCs w:val="24"/>
        </w:rPr>
        <w:t>Анализът на резултатите от оценката на екологичното състояние/потенциал на 178 повърхностните водни тела, съгласно ПУРБ 2016-2021 г., показва, че 11 водни тела - 6% са в отлично състояние/максимален потенциал, 103 тела - 56 % са в добро състояние/потенциал, 51 водни тела - 28% са в умерено състояние/потенциал, 8 водни тела - 4 % са в лошо състояние/потенциал и 5 водни тела - 3 % са в много лошо състояние/потенциал.</w:t>
      </w:r>
    </w:p>
    <w:p w14:paraId="51996E67" w14:textId="77777777" w:rsidR="00AE5785" w:rsidRPr="009F6D1E" w:rsidRDefault="00AE578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Най честите причини за влошено екологично състояние на повърхностните водни тела в превишенията на нормите за добро екологично състояние по показателите, свързани с кислороден режим - разтворен кислород, наситеност с кислород, БПК5 - свързани с органично </w:t>
      </w:r>
      <w:r w:rsidRPr="009F6D1E">
        <w:rPr>
          <w:rFonts w:eastAsia="Times New Roman" w:cs="Times New Roman"/>
          <w:szCs w:val="24"/>
          <w:lang w:eastAsia="bg-BG" w:bidi="bg-BG"/>
        </w:rPr>
        <w:lastRenderedPageBreak/>
        <w:t>замърсяване от непречистени битови и промишлени отпадъчни води;</w:t>
      </w:r>
    </w:p>
    <w:p w14:paraId="062D5165" w14:textId="77777777" w:rsidR="00AE5785" w:rsidRPr="009F6D1E" w:rsidRDefault="0078731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Превишения </w:t>
      </w:r>
      <w:r w:rsidR="00AE5785" w:rsidRPr="009F6D1E">
        <w:rPr>
          <w:rFonts w:eastAsia="Times New Roman" w:cs="Times New Roman"/>
          <w:szCs w:val="24"/>
          <w:lang w:eastAsia="bg-BG" w:bidi="bg-BG"/>
        </w:rPr>
        <w:t xml:space="preserve">на нормите за добро екологично състояние по отношение на биогенни вещества - амониев азот, нитратен азот, </w:t>
      </w:r>
      <w:proofErr w:type="spellStart"/>
      <w:r w:rsidR="00AE5785" w:rsidRPr="009F6D1E">
        <w:rPr>
          <w:rFonts w:eastAsia="Times New Roman" w:cs="Times New Roman"/>
          <w:szCs w:val="24"/>
          <w:lang w:eastAsia="bg-BG" w:bidi="bg-BG"/>
        </w:rPr>
        <w:t>нитритен</w:t>
      </w:r>
      <w:proofErr w:type="spellEnd"/>
      <w:r w:rsidR="00AE5785" w:rsidRPr="009F6D1E">
        <w:rPr>
          <w:rFonts w:eastAsia="Times New Roman" w:cs="Times New Roman"/>
          <w:szCs w:val="24"/>
          <w:lang w:eastAsia="bg-BG" w:bidi="bg-BG"/>
        </w:rPr>
        <w:t xml:space="preserve"> азот, общ; азот </w:t>
      </w:r>
      <w:proofErr w:type="spellStart"/>
      <w:r w:rsidR="00AE5785" w:rsidRPr="009F6D1E">
        <w:rPr>
          <w:rFonts w:eastAsia="Times New Roman" w:cs="Times New Roman"/>
          <w:szCs w:val="24"/>
          <w:lang w:eastAsia="bg-BG" w:bidi="bg-BG"/>
        </w:rPr>
        <w:t>ортофосфати</w:t>
      </w:r>
      <w:proofErr w:type="spellEnd"/>
      <w:r w:rsidR="00AE5785" w:rsidRPr="009F6D1E">
        <w:rPr>
          <w:rFonts w:eastAsia="Times New Roman" w:cs="Times New Roman"/>
          <w:szCs w:val="24"/>
          <w:lang w:eastAsia="bg-BG" w:bidi="bg-BG"/>
        </w:rPr>
        <w:t xml:space="preserve"> и общ фосфор - свързани с биогенно замърсяване от непречистени битови отпадъчни води и дифузно замърсяване от селскостопански дейности - земеделие и животновъдство;</w:t>
      </w:r>
    </w:p>
    <w:p w14:paraId="1398395B" w14:textId="77777777" w:rsidR="00AE5785" w:rsidRPr="009F6D1E" w:rsidRDefault="0078731A"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Установени </w:t>
      </w:r>
      <w:r w:rsidR="00AE5785" w:rsidRPr="009F6D1E">
        <w:rPr>
          <w:rFonts w:eastAsia="Times New Roman" w:cs="Times New Roman"/>
          <w:szCs w:val="24"/>
          <w:lang w:eastAsia="bg-BG" w:bidi="bg-BG"/>
        </w:rPr>
        <w:t>превишения на СКОС за следните специфични замърсители - мед, цинк, цианиди, по-рядко желязо и манган - свързани с нерегламентирани зауствания на непречистени битови и промишлени отпадъчни води;</w:t>
      </w:r>
    </w:p>
    <w:p w14:paraId="51DD0B3C" w14:textId="77777777" w:rsidR="00AE5785" w:rsidRPr="009F6D1E" w:rsidRDefault="00AE5785" w:rsidP="0084747F">
      <w:pPr>
        <w:widowControl w:val="0"/>
        <w:numPr>
          <w:ilvl w:val="0"/>
          <w:numId w:val="5"/>
        </w:numPr>
        <w:tabs>
          <w:tab w:val="left" w:pos="720"/>
          <w:tab w:val="left" w:pos="1080"/>
        </w:tabs>
        <w:spacing w:after="60" w:line="264" w:lineRule="auto"/>
        <w:ind w:firstLine="720"/>
        <w:jc w:val="both"/>
        <w:rPr>
          <w:rFonts w:cs="Times New Roman"/>
        </w:rPr>
      </w:pPr>
      <w:r w:rsidRPr="009F6D1E">
        <w:rPr>
          <w:rFonts w:eastAsia="Times New Roman" w:cs="Times New Roman"/>
          <w:szCs w:val="24"/>
          <w:lang w:eastAsia="bg-BG" w:bidi="bg-BG"/>
        </w:rPr>
        <w:t xml:space="preserve"> </w:t>
      </w:r>
      <w:r w:rsidR="0078731A" w:rsidRPr="009F6D1E">
        <w:rPr>
          <w:rFonts w:eastAsia="Times New Roman" w:cs="Times New Roman"/>
          <w:szCs w:val="24"/>
          <w:lang w:eastAsia="bg-BG" w:bidi="bg-BG"/>
        </w:rPr>
        <w:t xml:space="preserve">Влошени </w:t>
      </w:r>
      <w:r w:rsidRPr="009F6D1E">
        <w:rPr>
          <w:rFonts w:eastAsia="Times New Roman" w:cs="Times New Roman"/>
          <w:szCs w:val="24"/>
          <w:lang w:eastAsia="bg-BG" w:bidi="bg-BG"/>
        </w:rPr>
        <w:t>стойности на индикативните Биологичните елементи</w:t>
      </w:r>
      <w:r w:rsidRPr="009F6D1E">
        <w:rPr>
          <w:rFonts w:eastAsia="Times New Roman" w:cs="Times New Roman"/>
          <w:szCs w:val="24"/>
          <w:lang w:eastAsia="bg-BG" w:bidi="bg-BG"/>
        </w:rPr>
        <w:br/>
        <w:t>за качество (БЕК)</w:t>
      </w:r>
      <w:r w:rsidRPr="009F6D1E">
        <w:rPr>
          <w:rFonts w:cs="Times New Roman"/>
        </w:rPr>
        <w:t xml:space="preserve"> </w:t>
      </w:r>
    </w:p>
    <w:p w14:paraId="2804D8F6" w14:textId="77777777" w:rsidR="00AE5785" w:rsidRPr="009F6D1E" w:rsidRDefault="00AE5785" w:rsidP="0084747F">
      <w:pPr>
        <w:spacing w:after="60" w:line="264" w:lineRule="auto"/>
        <w:ind w:firstLine="708"/>
        <w:jc w:val="both"/>
        <w:rPr>
          <w:rFonts w:cs="Times New Roman"/>
          <w:szCs w:val="24"/>
        </w:rPr>
      </w:pPr>
      <w:r w:rsidRPr="009F6D1E">
        <w:rPr>
          <w:rFonts w:cs="Times New Roman"/>
          <w:szCs w:val="24"/>
        </w:rPr>
        <w:t>Обобщената оценка за екологичното състояние на повърхностните водни тела категория „река” през 2020 г. в басейна на река Струма показва следните резултати: в отлично екологично състояние се намира 22 водни тела, в добро - 43, в умерено екологично състояние/потенциал - 33 водни тела, в лошо екологично състояние/потенциал 6 и в много лошо екологично състояние са 2 водни тела.</w:t>
      </w:r>
    </w:p>
    <w:p w14:paraId="5D0418E0" w14:textId="790D75EC" w:rsidR="00AE5785" w:rsidRPr="009F6D1E" w:rsidRDefault="00AE5785" w:rsidP="0084747F">
      <w:pPr>
        <w:spacing w:after="60" w:line="264" w:lineRule="auto"/>
        <w:ind w:firstLine="708"/>
        <w:jc w:val="both"/>
        <w:rPr>
          <w:rFonts w:cs="Times New Roman"/>
          <w:szCs w:val="24"/>
        </w:rPr>
      </w:pPr>
      <w:r w:rsidRPr="009F6D1E">
        <w:rPr>
          <w:rFonts w:cs="Times New Roman"/>
          <w:szCs w:val="24"/>
        </w:rPr>
        <w:t>В поречието на р. Места през 2020 г. се намира 9 повърхностни водни тела в отлично екологично състояние, 16 водни тела в добро екологично състояние, 26 - умерено екологично състояние/потенциал и 2 водни тела в лошо екологично състояние. За река Д</w:t>
      </w:r>
      <w:r w:rsidR="008C39A2">
        <w:rPr>
          <w:rFonts w:cs="Times New Roman"/>
          <w:szCs w:val="24"/>
        </w:rPr>
        <w:t>осп</w:t>
      </w:r>
      <w:r w:rsidRPr="009F6D1E">
        <w:rPr>
          <w:rFonts w:cs="Times New Roman"/>
          <w:szCs w:val="24"/>
        </w:rPr>
        <w:t>ат, екологичното състояние на повърхностните водни тела от категория „река” за 2020 г. показва следните резултати: няма водни тела, намиращи се в отлично екологично състояние, в добро състояние се намират 4 водни тела, в умерено 3 и в лошо 1.</w:t>
      </w:r>
    </w:p>
    <w:p w14:paraId="013B3C78" w14:textId="3646616E" w:rsidR="00AE5785" w:rsidRPr="009F6D1E" w:rsidRDefault="00AE5785" w:rsidP="0084747F">
      <w:pPr>
        <w:spacing w:after="60" w:line="264" w:lineRule="auto"/>
        <w:ind w:firstLine="708"/>
        <w:jc w:val="both"/>
        <w:rPr>
          <w:rFonts w:cs="Times New Roman"/>
          <w:szCs w:val="24"/>
        </w:rPr>
      </w:pPr>
      <w:r w:rsidRPr="009F6D1E">
        <w:rPr>
          <w:rFonts w:cs="Times New Roman"/>
          <w:szCs w:val="24"/>
        </w:rPr>
        <w:t>Водните тела определени в лошо или много лошо екологично състояние/потенциал са както следва</w:t>
      </w:r>
      <w:r w:rsidR="0026258B" w:rsidRPr="009F6D1E">
        <w:rPr>
          <w:rFonts w:cs="Times New Roman"/>
          <w:szCs w:val="24"/>
        </w:rPr>
        <w:t xml:space="preserve"> – виж </w:t>
      </w:r>
      <w:r>
        <w:fldChar w:fldCharType="begin"/>
      </w:r>
      <w:r>
        <w:instrText xml:space="preserve"> REF _Ref97394589 \h  \* MERGEFORMAT </w:instrText>
      </w:r>
      <w:r>
        <w:fldChar w:fldCharType="separate"/>
      </w:r>
      <w:r w:rsidR="00A43EF3" w:rsidRPr="00A43EF3">
        <w:rPr>
          <w:rFonts w:cs="Times New Roman"/>
          <w:szCs w:val="24"/>
        </w:rPr>
        <w:t>Таблица 12</w:t>
      </w:r>
      <w:r>
        <w:fldChar w:fldCharType="end"/>
      </w:r>
      <w:r w:rsidR="0026258B" w:rsidRPr="009F6D1E">
        <w:rPr>
          <w:rFonts w:cs="Times New Roman"/>
          <w:szCs w:val="24"/>
        </w:rPr>
        <w:t>.</w:t>
      </w:r>
    </w:p>
    <w:p w14:paraId="588B7B11" w14:textId="7C181DA1" w:rsidR="00AE5785" w:rsidRPr="009F6D1E" w:rsidRDefault="0026258B" w:rsidP="0084747F">
      <w:pPr>
        <w:pStyle w:val="Caption"/>
        <w:spacing w:after="60" w:line="264" w:lineRule="auto"/>
      </w:pPr>
      <w:bookmarkStart w:id="261" w:name="_Ref97394589"/>
      <w:bookmarkStart w:id="262" w:name="_Toc115255163"/>
      <w:r w:rsidRPr="009F6D1E">
        <w:t xml:space="preserve">Таблица </w:t>
      </w:r>
      <w:fldSimple w:instr=" SEQ Таблица \* ARABIC ">
        <w:r w:rsidR="00A43EF3">
          <w:rPr>
            <w:noProof/>
          </w:rPr>
          <w:t>12</w:t>
        </w:r>
      </w:fldSimple>
      <w:bookmarkEnd w:id="261"/>
      <w:r w:rsidRPr="009F6D1E">
        <w:t xml:space="preserve">: </w:t>
      </w:r>
      <w:bookmarkStart w:id="263" w:name="bookmark90"/>
      <w:r w:rsidR="00AE5785" w:rsidRPr="009F6D1E">
        <w:t>Повърхностни водни тела, определени в лошо екологично състояние/потенциал</w:t>
      </w:r>
      <w:bookmarkEnd w:id="263"/>
      <w:r w:rsidR="00AE5785" w:rsidRPr="009F6D1E">
        <w:t xml:space="preserve"> през 20</w:t>
      </w:r>
      <w:r w:rsidR="00282A77">
        <w:t>20</w:t>
      </w:r>
      <w:r w:rsidR="00AE5785" w:rsidRPr="009F6D1E">
        <w:t xml:space="preserve"> г.</w:t>
      </w:r>
      <w:bookmarkEnd w:id="262"/>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45"/>
        <w:gridCol w:w="657"/>
        <w:gridCol w:w="27"/>
        <w:gridCol w:w="1565"/>
        <w:gridCol w:w="26"/>
        <w:gridCol w:w="26"/>
        <w:gridCol w:w="5051"/>
        <w:gridCol w:w="26"/>
        <w:gridCol w:w="1805"/>
      </w:tblGrid>
      <w:tr w:rsidR="00AE5785" w:rsidRPr="009F6D1E" w14:paraId="4DD0C894" w14:textId="77777777" w:rsidTr="00421104">
        <w:trPr>
          <w:trHeight w:hRule="exact" w:val="869"/>
          <w:tblHeader/>
          <w:jc w:val="center"/>
        </w:trPr>
        <w:tc>
          <w:tcPr>
            <w:tcW w:w="445" w:type="dxa"/>
            <w:shd w:val="pct20" w:color="auto" w:fill="FFFFFF"/>
            <w:vAlign w:val="center"/>
          </w:tcPr>
          <w:p w14:paraId="79FD3335"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w:t>
            </w:r>
          </w:p>
        </w:tc>
        <w:tc>
          <w:tcPr>
            <w:tcW w:w="657" w:type="dxa"/>
            <w:shd w:val="pct20" w:color="auto" w:fill="FFFFFF"/>
            <w:vAlign w:val="center"/>
          </w:tcPr>
          <w:p w14:paraId="01A2837A"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Речен</w:t>
            </w:r>
          </w:p>
          <w:p w14:paraId="529A7F50"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басейн</w:t>
            </w:r>
          </w:p>
        </w:tc>
        <w:tc>
          <w:tcPr>
            <w:tcW w:w="0" w:type="auto"/>
            <w:gridSpan w:val="3"/>
            <w:shd w:val="pct20" w:color="auto" w:fill="FFFFFF"/>
            <w:vAlign w:val="center"/>
          </w:tcPr>
          <w:p w14:paraId="0C130F69"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Код на водно тяло</w:t>
            </w:r>
          </w:p>
        </w:tc>
        <w:tc>
          <w:tcPr>
            <w:tcW w:w="0" w:type="auto"/>
            <w:gridSpan w:val="3"/>
            <w:shd w:val="pct20" w:color="auto" w:fill="FFFFFF"/>
            <w:vAlign w:val="center"/>
          </w:tcPr>
          <w:p w14:paraId="5242EAF0"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Име на водно тяло</w:t>
            </w:r>
          </w:p>
        </w:tc>
        <w:tc>
          <w:tcPr>
            <w:tcW w:w="0" w:type="auto"/>
            <w:shd w:val="pct20" w:color="auto" w:fill="FFFFFF"/>
            <w:vAlign w:val="center"/>
          </w:tcPr>
          <w:p w14:paraId="6C3BD113"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lang w:eastAsia="en-US" w:bidi="en-US"/>
              </w:rPr>
            </w:pPr>
            <w:r w:rsidRPr="009F6D1E">
              <w:rPr>
                <w:rStyle w:val="Bodytext210pt"/>
                <w:rFonts w:eastAsia="Microsoft Sans Serif"/>
                <w:b/>
                <w:lang w:eastAsia="en-US" w:bidi="en-US"/>
              </w:rPr>
              <w:t>Екологично състояние за 2020 г.</w:t>
            </w:r>
          </w:p>
        </w:tc>
      </w:tr>
      <w:tr w:rsidR="00421104" w:rsidRPr="009F6D1E" w14:paraId="6DF6A61C" w14:textId="77777777" w:rsidTr="00421104">
        <w:trPr>
          <w:trHeight w:hRule="exact" w:val="725"/>
          <w:jc w:val="center"/>
        </w:trPr>
        <w:tc>
          <w:tcPr>
            <w:tcW w:w="445" w:type="dxa"/>
            <w:shd w:val="clear" w:color="auto" w:fill="FFFFFF"/>
            <w:vAlign w:val="center"/>
          </w:tcPr>
          <w:p w14:paraId="5DABA736"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val="restart"/>
            <w:shd w:val="clear" w:color="auto" w:fill="FFFFFF"/>
            <w:vAlign w:val="center"/>
          </w:tcPr>
          <w:p w14:paraId="1D3AAD78"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Струма</w:t>
            </w:r>
          </w:p>
        </w:tc>
        <w:tc>
          <w:tcPr>
            <w:tcW w:w="0" w:type="auto"/>
            <w:tcBorders>
              <w:right w:val="nil"/>
            </w:tcBorders>
            <w:shd w:val="clear" w:color="auto" w:fill="FFFFFF"/>
          </w:tcPr>
          <w:p w14:paraId="6F1D88D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nil"/>
              <w:left w:val="nil"/>
              <w:bottom w:val="single" w:sz="4" w:space="0" w:color="auto"/>
              <w:right w:val="nil"/>
            </w:tcBorders>
            <w:shd w:val="clear" w:color="auto" w:fill="FFFFFF"/>
            <w:vAlign w:val="center"/>
          </w:tcPr>
          <w:p w14:paraId="5B16AAE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BG4ST700R1022</w:t>
            </w:r>
          </w:p>
        </w:tc>
        <w:tc>
          <w:tcPr>
            <w:tcW w:w="0" w:type="auto"/>
            <w:tcBorders>
              <w:left w:val="nil"/>
            </w:tcBorders>
            <w:shd w:val="clear" w:color="auto" w:fill="FFFFFF"/>
          </w:tcPr>
          <w:p w14:paraId="0FA7CFE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33E015F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nil"/>
              <w:left w:val="nil"/>
              <w:bottom w:val="single" w:sz="4" w:space="0" w:color="auto"/>
              <w:right w:val="nil"/>
            </w:tcBorders>
            <w:shd w:val="clear" w:color="auto" w:fill="FFFFFF"/>
            <w:vAlign w:val="bottom"/>
          </w:tcPr>
          <w:p w14:paraId="36B80D15"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roofErr w:type="spellStart"/>
            <w:r w:rsidRPr="009F6D1E">
              <w:rPr>
                <w:rStyle w:val="Bodytext29pt"/>
                <w:rFonts w:eastAsiaTheme="minorHAnsi"/>
                <w:sz w:val="20"/>
                <w:szCs w:val="20"/>
                <w:lang w:eastAsia="en-US" w:bidi="en-US"/>
              </w:rPr>
              <w:t>р.Глогошка</w:t>
            </w:r>
            <w:proofErr w:type="spellEnd"/>
            <w:r w:rsidRPr="009F6D1E">
              <w:rPr>
                <w:rStyle w:val="Bodytext29pt"/>
                <w:rFonts w:eastAsiaTheme="minorHAnsi"/>
                <w:sz w:val="20"/>
                <w:szCs w:val="20"/>
                <w:lang w:eastAsia="en-US" w:bidi="en-US"/>
              </w:rPr>
              <w:t xml:space="preserve"> (</w:t>
            </w:r>
            <w:proofErr w:type="spellStart"/>
            <w:r w:rsidRPr="009F6D1E">
              <w:rPr>
                <w:rStyle w:val="Bodytext29pt"/>
                <w:rFonts w:eastAsiaTheme="minorHAnsi"/>
                <w:sz w:val="20"/>
                <w:szCs w:val="20"/>
                <w:lang w:eastAsia="en-US" w:bidi="en-US"/>
              </w:rPr>
              <w:t>Банщица</w:t>
            </w:r>
            <w:proofErr w:type="spellEnd"/>
            <w:r w:rsidRPr="009F6D1E">
              <w:rPr>
                <w:rStyle w:val="Bodytext29pt"/>
                <w:rFonts w:eastAsiaTheme="minorHAnsi"/>
                <w:sz w:val="20"/>
                <w:szCs w:val="20"/>
                <w:lang w:eastAsia="en-US" w:bidi="en-US"/>
              </w:rPr>
              <w:t xml:space="preserve">) от кота 1160 м. до вливане в </w:t>
            </w:r>
            <w:proofErr w:type="spellStart"/>
            <w:r w:rsidRPr="009F6D1E">
              <w:rPr>
                <w:rStyle w:val="Bodytext29pt"/>
                <w:rFonts w:eastAsiaTheme="minorHAnsi"/>
                <w:sz w:val="20"/>
                <w:szCs w:val="20"/>
                <w:lang w:eastAsia="en-US" w:bidi="en-US"/>
              </w:rPr>
              <w:t>р.Струма</w:t>
            </w:r>
            <w:proofErr w:type="spellEnd"/>
          </w:p>
        </w:tc>
        <w:tc>
          <w:tcPr>
            <w:tcW w:w="0" w:type="auto"/>
            <w:tcBorders>
              <w:left w:val="nil"/>
            </w:tcBorders>
            <w:shd w:val="clear" w:color="auto" w:fill="FFFFFF"/>
          </w:tcPr>
          <w:p w14:paraId="4DDAC2BC"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0000"/>
            <w:vAlign w:val="center"/>
          </w:tcPr>
          <w:p w14:paraId="5C6D738C"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много </w:t>
            </w:r>
            <w:r w:rsidR="00421104" w:rsidRPr="009F6D1E">
              <w:rPr>
                <w:rStyle w:val="Bodytext29pt"/>
                <w:rFonts w:eastAsiaTheme="minorHAnsi"/>
                <w:sz w:val="20"/>
                <w:szCs w:val="20"/>
                <w:lang w:eastAsia="en-US" w:bidi="en-US"/>
              </w:rPr>
              <w:t>лошо ЕС</w:t>
            </w:r>
          </w:p>
        </w:tc>
      </w:tr>
      <w:tr w:rsidR="00421104" w:rsidRPr="009F6D1E" w14:paraId="551A49E8" w14:textId="77777777" w:rsidTr="00421104">
        <w:trPr>
          <w:trHeight w:hRule="exact" w:val="914"/>
          <w:jc w:val="center"/>
        </w:trPr>
        <w:tc>
          <w:tcPr>
            <w:tcW w:w="445" w:type="dxa"/>
            <w:shd w:val="clear" w:color="auto" w:fill="FFFFFF"/>
            <w:vAlign w:val="center"/>
          </w:tcPr>
          <w:p w14:paraId="2A4F81B9"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4730724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289D8A27"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3EC9CB04"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BG4ST500R047</w:t>
            </w:r>
          </w:p>
        </w:tc>
        <w:tc>
          <w:tcPr>
            <w:tcW w:w="0" w:type="auto"/>
            <w:tcBorders>
              <w:left w:val="nil"/>
              <w:bottom w:val="single" w:sz="4" w:space="0" w:color="auto"/>
            </w:tcBorders>
            <w:shd w:val="clear" w:color="auto" w:fill="FFFFFF"/>
          </w:tcPr>
          <w:p w14:paraId="5E7E31EA"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bottom w:val="single" w:sz="4" w:space="0" w:color="auto"/>
              <w:right w:val="nil"/>
            </w:tcBorders>
            <w:shd w:val="clear" w:color="auto" w:fill="FFFFFF"/>
          </w:tcPr>
          <w:p w14:paraId="2A4DD99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07A05750"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р. Благоевградска Бистрица от вливане на р. </w:t>
            </w:r>
            <w:proofErr w:type="spellStart"/>
            <w:r w:rsidRPr="009F6D1E">
              <w:rPr>
                <w:rStyle w:val="Bodytext29pt"/>
                <w:rFonts w:eastAsiaTheme="minorHAnsi"/>
                <w:sz w:val="20"/>
                <w:szCs w:val="20"/>
                <w:lang w:eastAsia="en-US" w:bidi="en-US"/>
              </w:rPr>
              <w:t>Хърсовска</w:t>
            </w:r>
            <w:proofErr w:type="spellEnd"/>
            <w:r w:rsidRPr="009F6D1E">
              <w:rPr>
                <w:rStyle w:val="Bodytext29pt"/>
                <w:rFonts w:eastAsiaTheme="minorHAnsi"/>
                <w:sz w:val="20"/>
                <w:szCs w:val="20"/>
                <w:lang w:eastAsia="en-US" w:bidi="en-US"/>
              </w:rPr>
              <w:t xml:space="preserve"> до вливане в р. Струма</w:t>
            </w:r>
          </w:p>
        </w:tc>
        <w:tc>
          <w:tcPr>
            <w:tcW w:w="0" w:type="auto"/>
            <w:tcBorders>
              <w:left w:val="nil"/>
            </w:tcBorders>
            <w:shd w:val="clear" w:color="auto" w:fill="FFFFFF"/>
          </w:tcPr>
          <w:p w14:paraId="2D423E0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61535615"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421104" w:rsidRPr="009F6D1E">
              <w:rPr>
                <w:rStyle w:val="Bodytext29pt"/>
                <w:rFonts w:eastAsiaTheme="minorHAnsi"/>
                <w:sz w:val="20"/>
                <w:szCs w:val="20"/>
                <w:lang w:eastAsia="en-US" w:bidi="en-US"/>
              </w:rPr>
              <w:t>ЕС</w:t>
            </w:r>
          </w:p>
        </w:tc>
      </w:tr>
      <w:tr w:rsidR="00421104" w:rsidRPr="009F6D1E" w14:paraId="3B2752D0" w14:textId="77777777" w:rsidTr="00421104">
        <w:trPr>
          <w:trHeight w:hRule="exact" w:val="905"/>
          <w:jc w:val="center"/>
        </w:trPr>
        <w:tc>
          <w:tcPr>
            <w:tcW w:w="445" w:type="dxa"/>
            <w:shd w:val="clear" w:color="auto" w:fill="FFFFFF"/>
            <w:vAlign w:val="center"/>
          </w:tcPr>
          <w:p w14:paraId="6C9220CC"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3D0111F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6D1A30A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20CA4CC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BG4ST500R068</w:t>
            </w:r>
          </w:p>
        </w:tc>
        <w:tc>
          <w:tcPr>
            <w:tcW w:w="0" w:type="auto"/>
            <w:tcBorders>
              <w:top w:val="single" w:sz="4" w:space="0" w:color="auto"/>
              <w:left w:val="nil"/>
              <w:bottom w:val="single" w:sz="4" w:space="0" w:color="auto"/>
              <w:right w:val="single" w:sz="4" w:space="0" w:color="auto"/>
            </w:tcBorders>
            <w:shd w:val="clear" w:color="auto" w:fill="FFFFFF"/>
          </w:tcPr>
          <w:p w14:paraId="0BF0C99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single" w:sz="4" w:space="0" w:color="auto"/>
              <w:bottom w:val="single" w:sz="4" w:space="0" w:color="auto"/>
              <w:right w:val="nil"/>
            </w:tcBorders>
            <w:shd w:val="clear" w:color="auto" w:fill="FFFFFF"/>
          </w:tcPr>
          <w:p w14:paraId="2F73328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71670CA2"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Санданска Бистрица от кота 590 м. с притока си р. Бобов дол до вливане в р. Струма</w:t>
            </w:r>
          </w:p>
        </w:tc>
        <w:tc>
          <w:tcPr>
            <w:tcW w:w="0" w:type="auto"/>
            <w:tcBorders>
              <w:left w:val="nil"/>
            </w:tcBorders>
            <w:shd w:val="clear" w:color="auto" w:fill="FFFFFF"/>
          </w:tcPr>
          <w:p w14:paraId="195C92A6"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0F729E15"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 </w:t>
            </w:r>
            <w:r w:rsidR="00421104" w:rsidRPr="009F6D1E">
              <w:rPr>
                <w:rStyle w:val="Bodytext29pt"/>
                <w:rFonts w:eastAsiaTheme="minorHAnsi"/>
                <w:sz w:val="20"/>
                <w:szCs w:val="20"/>
                <w:lang w:eastAsia="en-US" w:bidi="en-US"/>
              </w:rPr>
              <w:t>ЕП</w:t>
            </w:r>
          </w:p>
        </w:tc>
      </w:tr>
      <w:tr w:rsidR="00421104" w:rsidRPr="009F6D1E" w14:paraId="720C15E4" w14:textId="77777777" w:rsidTr="00421104">
        <w:trPr>
          <w:trHeight w:hRule="exact" w:val="905"/>
          <w:jc w:val="center"/>
        </w:trPr>
        <w:tc>
          <w:tcPr>
            <w:tcW w:w="445" w:type="dxa"/>
            <w:shd w:val="clear" w:color="auto" w:fill="FFFFFF"/>
            <w:vAlign w:val="center"/>
          </w:tcPr>
          <w:p w14:paraId="6EA0BE77"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27B7D152"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51E5F474"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7DDFF2C8"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BG4ST500R1049</w:t>
            </w:r>
          </w:p>
        </w:tc>
        <w:tc>
          <w:tcPr>
            <w:tcW w:w="0" w:type="auto"/>
            <w:tcBorders>
              <w:top w:val="single" w:sz="4" w:space="0" w:color="auto"/>
              <w:left w:val="nil"/>
              <w:bottom w:val="single" w:sz="4" w:space="0" w:color="auto"/>
              <w:right w:val="single" w:sz="4" w:space="0" w:color="auto"/>
            </w:tcBorders>
            <w:shd w:val="clear" w:color="auto" w:fill="FFFFFF"/>
          </w:tcPr>
          <w:p w14:paraId="1371F166"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single" w:sz="4" w:space="0" w:color="auto"/>
              <w:bottom w:val="single" w:sz="4" w:space="0" w:color="auto"/>
              <w:right w:val="nil"/>
            </w:tcBorders>
            <w:shd w:val="clear" w:color="auto" w:fill="FFFFFF"/>
          </w:tcPr>
          <w:p w14:paraId="15468A95"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4E3F3644"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roofErr w:type="spellStart"/>
            <w:r w:rsidRPr="009F6D1E">
              <w:rPr>
                <w:rStyle w:val="Bodytext29pt"/>
                <w:rFonts w:eastAsiaTheme="minorHAnsi"/>
                <w:sz w:val="20"/>
                <w:szCs w:val="20"/>
                <w:lang w:eastAsia="en-US" w:bidi="en-US"/>
              </w:rPr>
              <w:t>р.Струма</w:t>
            </w:r>
            <w:proofErr w:type="spellEnd"/>
            <w:r w:rsidRPr="009F6D1E">
              <w:rPr>
                <w:rStyle w:val="Bodytext29pt"/>
                <w:rFonts w:eastAsiaTheme="minorHAnsi"/>
                <w:sz w:val="20"/>
                <w:szCs w:val="20"/>
                <w:lang w:eastAsia="en-US" w:bidi="en-US"/>
              </w:rPr>
              <w:t xml:space="preserve"> от вливането на </w:t>
            </w:r>
            <w:proofErr w:type="spellStart"/>
            <w:r w:rsidRPr="009F6D1E">
              <w:rPr>
                <w:rStyle w:val="Bodytext29pt"/>
                <w:rFonts w:eastAsiaTheme="minorHAnsi"/>
                <w:sz w:val="20"/>
                <w:szCs w:val="20"/>
                <w:lang w:eastAsia="en-US" w:bidi="en-US"/>
              </w:rPr>
              <w:t>р.Благоевградска</w:t>
            </w:r>
            <w:proofErr w:type="spellEnd"/>
            <w:r w:rsidRPr="009F6D1E">
              <w:rPr>
                <w:rStyle w:val="Bodytext29pt"/>
                <w:rFonts w:eastAsiaTheme="minorHAnsi"/>
                <w:sz w:val="20"/>
                <w:szCs w:val="20"/>
                <w:lang w:eastAsia="en-US" w:bidi="en-US"/>
              </w:rPr>
              <w:t xml:space="preserve"> </w:t>
            </w:r>
            <w:proofErr w:type="spellStart"/>
            <w:r w:rsidRPr="009F6D1E">
              <w:rPr>
                <w:rStyle w:val="Bodytext29pt"/>
                <w:rFonts w:eastAsiaTheme="minorHAnsi"/>
                <w:sz w:val="20"/>
                <w:szCs w:val="20"/>
                <w:lang w:eastAsia="en-US" w:bidi="en-US"/>
              </w:rPr>
              <w:t>Бистрицас</w:t>
            </w:r>
            <w:proofErr w:type="spellEnd"/>
            <w:r w:rsidRPr="009F6D1E">
              <w:rPr>
                <w:rStyle w:val="Bodytext29pt"/>
                <w:rFonts w:eastAsiaTheme="minorHAnsi"/>
                <w:sz w:val="20"/>
                <w:szCs w:val="20"/>
                <w:lang w:eastAsia="en-US" w:bidi="en-US"/>
              </w:rPr>
              <w:t xml:space="preserve"> притоците и </w:t>
            </w:r>
            <w:proofErr w:type="spellStart"/>
            <w:r w:rsidRPr="009F6D1E">
              <w:rPr>
                <w:rStyle w:val="Bodytext29pt"/>
                <w:rFonts w:eastAsiaTheme="minorHAnsi"/>
                <w:sz w:val="20"/>
                <w:szCs w:val="20"/>
                <w:lang w:eastAsia="en-US" w:bidi="en-US"/>
              </w:rPr>
              <w:t>р.Четирка</w:t>
            </w:r>
            <w:proofErr w:type="spellEnd"/>
            <w:r w:rsidRPr="009F6D1E">
              <w:rPr>
                <w:rStyle w:val="Bodytext29pt"/>
                <w:rFonts w:eastAsiaTheme="minorHAnsi"/>
                <w:sz w:val="20"/>
                <w:szCs w:val="20"/>
                <w:lang w:eastAsia="en-US" w:bidi="en-US"/>
              </w:rPr>
              <w:t xml:space="preserve"> и </w:t>
            </w:r>
            <w:proofErr w:type="spellStart"/>
            <w:r w:rsidRPr="009F6D1E">
              <w:rPr>
                <w:rStyle w:val="Bodytext29pt"/>
                <w:rFonts w:eastAsiaTheme="minorHAnsi"/>
                <w:sz w:val="20"/>
                <w:szCs w:val="20"/>
                <w:lang w:eastAsia="en-US" w:bidi="en-US"/>
              </w:rPr>
              <w:t>р.Айдаровско</w:t>
            </w:r>
            <w:proofErr w:type="spellEnd"/>
            <w:r w:rsidRPr="009F6D1E">
              <w:rPr>
                <w:rStyle w:val="Bodytext29pt"/>
                <w:rFonts w:eastAsiaTheme="minorHAnsi"/>
                <w:sz w:val="20"/>
                <w:szCs w:val="20"/>
                <w:lang w:eastAsia="en-US" w:bidi="en-US"/>
              </w:rPr>
              <w:t xml:space="preserve"> дере во вливането на </w:t>
            </w:r>
            <w:proofErr w:type="spellStart"/>
            <w:r w:rsidRPr="009F6D1E">
              <w:rPr>
                <w:rStyle w:val="Bodytext29pt"/>
                <w:rFonts w:eastAsiaTheme="minorHAnsi"/>
                <w:sz w:val="20"/>
                <w:szCs w:val="20"/>
                <w:lang w:eastAsia="en-US" w:bidi="en-US"/>
              </w:rPr>
              <w:t>р.Стара</w:t>
            </w:r>
            <w:proofErr w:type="spellEnd"/>
            <w:r w:rsidRPr="009F6D1E">
              <w:rPr>
                <w:rStyle w:val="Bodytext29pt"/>
                <w:rFonts w:eastAsiaTheme="minorHAnsi"/>
                <w:sz w:val="20"/>
                <w:szCs w:val="20"/>
                <w:lang w:eastAsia="en-US" w:bidi="en-US"/>
              </w:rPr>
              <w:t xml:space="preserve"> река</w:t>
            </w:r>
          </w:p>
        </w:tc>
        <w:tc>
          <w:tcPr>
            <w:tcW w:w="0" w:type="auto"/>
            <w:tcBorders>
              <w:left w:val="nil"/>
            </w:tcBorders>
            <w:shd w:val="clear" w:color="auto" w:fill="FFFFFF"/>
          </w:tcPr>
          <w:p w14:paraId="6A11BB1F"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0000"/>
            <w:vAlign w:val="center"/>
          </w:tcPr>
          <w:p w14:paraId="45448E18"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много </w:t>
            </w:r>
            <w:r w:rsidR="00421104" w:rsidRPr="009F6D1E">
              <w:rPr>
                <w:rStyle w:val="Bodytext29pt"/>
                <w:rFonts w:eastAsiaTheme="minorHAnsi"/>
                <w:sz w:val="20"/>
                <w:szCs w:val="20"/>
                <w:lang w:eastAsia="en-US" w:bidi="en-US"/>
              </w:rPr>
              <w:t>лошо ЕС</w:t>
            </w:r>
          </w:p>
        </w:tc>
      </w:tr>
      <w:tr w:rsidR="00421104" w:rsidRPr="009F6D1E" w14:paraId="1F4E6D96" w14:textId="77777777" w:rsidTr="00421104">
        <w:trPr>
          <w:trHeight w:hRule="exact" w:val="905"/>
          <w:jc w:val="center"/>
        </w:trPr>
        <w:tc>
          <w:tcPr>
            <w:tcW w:w="445" w:type="dxa"/>
            <w:shd w:val="clear" w:color="auto" w:fill="FFFFFF"/>
            <w:vAlign w:val="center"/>
          </w:tcPr>
          <w:p w14:paraId="54B0D09A"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1E3F78B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0405E27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70CE941F"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BG4ST600R039</w:t>
            </w:r>
          </w:p>
        </w:tc>
        <w:tc>
          <w:tcPr>
            <w:tcW w:w="0" w:type="auto"/>
            <w:tcBorders>
              <w:top w:val="single" w:sz="4" w:space="0" w:color="auto"/>
              <w:left w:val="nil"/>
            </w:tcBorders>
            <w:shd w:val="clear" w:color="auto" w:fill="FFFFFF"/>
          </w:tcPr>
          <w:p w14:paraId="40156AB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right w:val="nil"/>
            </w:tcBorders>
            <w:shd w:val="clear" w:color="auto" w:fill="FFFFFF"/>
          </w:tcPr>
          <w:p w14:paraId="10ACA9B5"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4AF73E73"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р. </w:t>
            </w:r>
            <w:proofErr w:type="spellStart"/>
            <w:r w:rsidRPr="009F6D1E">
              <w:rPr>
                <w:rStyle w:val="Bodytext29pt"/>
                <w:rFonts w:eastAsiaTheme="minorHAnsi"/>
                <w:sz w:val="20"/>
                <w:szCs w:val="20"/>
                <w:lang w:eastAsia="en-US" w:bidi="en-US"/>
              </w:rPr>
              <w:t>Разметаница</w:t>
            </w:r>
            <w:proofErr w:type="spellEnd"/>
            <w:r w:rsidRPr="009F6D1E">
              <w:rPr>
                <w:rStyle w:val="Bodytext29pt"/>
                <w:rFonts w:eastAsiaTheme="minorHAnsi"/>
                <w:sz w:val="20"/>
                <w:szCs w:val="20"/>
                <w:lang w:eastAsia="en-US" w:bidi="en-US"/>
              </w:rPr>
              <w:t xml:space="preserve"> от изворите до вливане в р. Джерман</w:t>
            </w:r>
          </w:p>
        </w:tc>
        <w:tc>
          <w:tcPr>
            <w:tcW w:w="0" w:type="auto"/>
            <w:tcBorders>
              <w:left w:val="nil"/>
            </w:tcBorders>
            <w:shd w:val="clear" w:color="auto" w:fill="FFFFFF"/>
          </w:tcPr>
          <w:p w14:paraId="0A239660"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124C9720"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421104" w:rsidRPr="009F6D1E">
              <w:rPr>
                <w:rStyle w:val="Bodytext29pt"/>
                <w:rFonts w:eastAsiaTheme="minorHAnsi"/>
                <w:sz w:val="20"/>
                <w:szCs w:val="20"/>
                <w:lang w:eastAsia="en-US" w:bidi="en-US"/>
              </w:rPr>
              <w:t>ЕС</w:t>
            </w:r>
          </w:p>
        </w:tc>
      </w:tr>
      <w:tr w:rsidR="00421104" w:rsidRPr="009F6D1E" w14:paraId="2F92DFD7" w14:textId="77777777" w:rsidTr="00421104">
        <w:trPr>
          <w:trHeight w:hRule="exact" w:val="905"/>
          <w:jc w:val="center"/>
        </w:trPr>
        <w:tc>
          <w:tcPr>
            <w:tcW w:w="445" w:type="dxa"/>
            <w:shd w:val="clear" w:color="auto" w:fill="FFFFFF"/>
            <w:vAlign w:val="center"/>
          </w:tcPr>
          <w:p w14:paraId="1ECEC77F"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7DC808DB"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7E08C2D3"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31270FD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BG4ST600R1036</w:t>
            </w:r>
          </w:p>
        </w:tc>
        <w:tc>
          <w:tcPr>
            <w:tcW w:w="0" w:type="auto"/>
            <w:tcBorders>
              <w:left w:val="nil"/>
            </w:tcBorders>
            <w:shd w:val="clear" w:color="auto" w:fill="FFFFFF"/>
          </w:tcPr>
          <w:p w14:paraId="42986AD3"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6C46FCD0"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7A5DA16F"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р. Джерман от вливането на р. </w:t>
            </w:r>
            <w:proofErr w:type="spellStart"/>
            <w:r w:rsidRPr="009F6D1E">
              <w:rPr>
                <w:rStyle w:val="Bodytext29pt"/>
                <w:rFonts w:eastAsiaTheme="minorHAnsi"/>
                <w:sz w:val="20"/>
                <w:szCs w:val="20"/>
                <w:lang w:eastAsia="en-US" w:bidi="en-US"/>
              </w:rPr>
              <w:t>Отовица</w:t>
            </w:r>
            <w:proofErr w:type="spellEnd"/>
            <w:r w:rsidRPr="009F6D1E">
              <w:rPr>
                <w:rStyle w:val="Bodytext29pt"/>
                <w:rFonts w:eastAsiaTheme="minorHAnsi"/>
                <w:sz w:val="20"/>
                <w:szCs w:val="20"/>
                <w:lang w:eastAsia="en-US" w:bidi="en-US"/>
              </w:rPr>
              <w:t xml:space="preserve"> до вливане в р. Струма</w:t>
            </w:r>
          </w:p>
        </w:tc>
        <w:tc>
          <w:tcPr>
            <w:tcW w:w="0" w:type="auto"/>
            <w:tcBorders>
              <w:left w:val="nil"/>
            </w:tcBorders>
            <w:shd w:val="clear" w:color="auto" w:fill="FFFFFF"/>
          </w:tcPr>
          <w:p w14:paraId="7507127C"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2B5D264B"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421104" w:rsidRPr="009F6D1E">
              <w:rPr>
                <w:rStyle w:val="Bodytext29pt"/>
                <w:rFonts w:eastAsiaTheme="minorHAnsi"/>
                <w:sz w:val="20"/>
                <w:szCs w:val="20"/>
                <w:lang w:eastAsia="en-US" w:bidi="en-US"/>
              </w:rPr>
              <w:t>ЕС</w:t>
            </w:r>
          </w:p>
        </w:tc>
      </w:tr>
      <w:tr w:rsidR="00421104" w:rsidRPr="009F6D1E" w14:paraId="2563E6B5" w14:textId="77777777" w:rsidTr="00421104">
        <w:trPr>
          <w:trHeight w:hRule="exact" w:val="626"/>
          <w:jc w:val="center"/>
        </w:trPr>
        <w:tc>
          <w:tcPr>
            <w:tcW w:w="445" w:type="dxa"/>
            <w:shd w:val="clear" w:color="auto" w:fill="FFFFFF"/>
            <w:vAlign w:val="center"/>
          </w:tcPr>
          <w:p w14:paraId="30A217B8"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5574B4CD"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7948F6D5"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7F324BD3"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BG4ST900R003</w:t>
            </w:r>
          </w:p>
        </w:tc>
        <w:tc>
          <w:tcPr>
            <w:tcW w:w="0" w:type="auto"/>
            <w:tcBorders>
              <w:left w:val="nil"/>
            </w:tcBorders>
            <w:shd w:val="clear" w:color="auto" w:fill="FFFFFF"/>
          </w:tcPr>
          <w:p w14:paraId="4793E6FF"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10119C88"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0EAEC35C"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Струма от яз. Студена до вливане на р. Конска</w:t>
            </w:r>
          </w:p>
        </w:tc>
        <w:tc>
          <w:tcPr>
            <w:tcW w:w="0" w:type="auto"/>
            <w:tcBorders>
              <w:left w:val="nil"/>
            </w:tcBorders>
            <w:shd w:val="clear" w:color="auto" w:fill="FFFFFF"/>
          </w:tcPr>
          <w:p w14:paraId="61894B8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6B227EB5"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421104" w:rsidRPr="009F6D1E">
              <w:rPr>
                <w:rStyle w:val="Bodytext29pt"/>
                <w:rFonts w:eastAsiaTheme="minorHAnsi"/>
                <w:sz w:val="20"/>
                <w:szCs w:val="20"/>
                <w:lang w:eastAsia="en-US" w:bidi="en-US"/>
              </w:rPr>
              <w:t>ЕС</w:t>
            </w:r>
          </w:p>
        </w:tc>
      </w:tr>
      <w:tr w:rsidR="00421104" w:rsidRPr="009F6D1E" w14:paraId="5E3971DC" w14:textId="77777777" w:rsidTr="00421104">
        <w:trPr>
          <w:trHeight w:hRule="exact" w:val="626"/>
          <w:jc w:val="center"/>
        </w:trPr>
        <w:tc>
          <w:tcPr>
            <w:tcW w:w="445" w:type="dxa"/>
            <w:shd w:val="clear" w:color="auto" w:fill="FFFFFF"/>
            <w:vAlign w:val="center"/>
          </w:tcPr>
          <w:p w14:paraId="04967876" w14:textId="77777777" w:rsidR="00421104" w:rsidRPr="009F6D1E" w:rsidRDefault="00421104"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1B97FE04"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30F8AD4E"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4F1D589C"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BG4ST900R006</w:t>
            </w:r>
          </w:p>
        </w:tc>
        <w:tc>
          <w:tcPr>
            <w:tcW w:w="0" w:type="auto"/>
            <w:tcBorders>
              <w:left w:val="nil"/>
            </w:tcBorders>
            <w:shd w:val="clear" w:color="auto" w:fill="FFFFFF"/>
          </w:tcPr>
          <w:p w14:paraId="33DD3941"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48EA519F"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604A26E3"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Струма от вливане на р. Конска до яз. Пчелина</w:t>
            </w:r>
          </w:p>
        </w:tc>
        <w:tc>
          <w:tcPr>
            <w:tcW w:w="0" w:type="auto"/>
            <w:tcBorders>
              <w:left w:val="nil"/>
            </w:tcBorders>
            <w:shd w:val="clear" w:color="auto" w:fill="FFFFFF"/>
          </w:tcPr>
          <w:p w14:paraId="17C2C269" w14:textId="77777777" w:rsidR="00421104" w:rsidRPr="009F6D1E" w:rsidRDefault="00421104"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25A8F7DC" w14:textId="77777777" w:rsidR="00421104"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421104" w:rsidRPr="009F6D1E">
              <w:rPr>
                <w:rStyle w:val="Bodytext29pt"/>
                <w:rFonts w:eastAsiaTheme="minorHAnsi"/>
                <w:sz w:val="20"/>
                <w:szCs w:val="20"/>
                <w:lang w:eastAsia="en-US" w:bidi="en-US"/>
              </w:rPr>
              <w:t>ЕС</w:t>
            </w:r>
          </w:p>
        </w:tc>
      </w:tr>
      <w:tr w:rsidR="00421104" w:rsidRPr="009F6D1E" w14:paraId="7A42E28B" w14:textId="77777777" w:rsidTr="00421104">
        <w:trPr>
          <w:trHeight w:hRule="exact" w:val="914"/>
          <w:jc w:val="center"/>
        </w:trPr>
        <w:tc>
          <w:tcPr>
            <w:tcW w:w="445" w:type="dxa"/>
            <w:shd w:val="clear" w:color="auto" w:fill="FFFFFF"/>
            <w:vAlign w:val="center"/>
          </w:tcPr>
          <w:p w14:paraId="5CD1F4F0" w14:textId="77777777" w:rsidR="00AE5785" w:rsidRPr="009F6D1E" w:rsidRDefault="00AE5785"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val="restart"/>
            <w:shd w:val="clear" w:color="auto" w:fill="FFFFFF"/>
            <w:vAlign w:val="center"/>
          </w:tcPr>
          <w:p w14:paraId="7DAE8A3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Места</w:t>
            </w:r>
          </w:p>
        </w:tc>
        <w:tc>
          <w:tcPr>
            <w:tcW w:w="0" w:type="auto"/>
            <w:tcBorders>
              <w:right w:val="nil"/>
            </w:tcBorders>
            <w:shd w:val="clear" w:color="auto" w:fill="FFFFFF"/>
          </w:tcPr>
          <w:p w14:paraId="2BF9DA9E"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2B44A981"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BG4ME500R1109</w:t>
            </w:r>
          </w:p>
        </w:tc>
        <w:tc>
          <w:tcPr>
            <w:tcW w:w="0" w:type="auto"/>
            <w:tcBorders>
              <w:left w:val="nil"/>
            </w:tcBorders>
            <w:shd w:val="clear" w:color="auto" w:fill="FFFFFF"/>
          </w:tcPr>
          <w:p w14:paraId="042785FF"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7B4C29B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33E9B736"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Неврокопска (</w:t>
            </w:r>
            <w:proofErr w:type="spellStart"/>
            <w:r w:rsidRPr="009F6D1E">
              <w:rPr>
                <w:rStyle w:val="Bodytext29pt"/>
                <w:rFonts w:eastAsiaTheme="minorHAnsi"/>
                <w:sz w:val="20"/>
                <w:szCs w:val="20"/>
                <w:lang w:eastAsia="en-US" w:bidi="en-US"/>
              </w:rPr>
              <w:t>Тупувишка</w:t>
            </w:r>
            <w:proofErr w:type="spellEnd"/>
            <w:r w:rsidRPr="009F6D1E">
              <w:rPr>
                <w:rStyle w:val="Bodytext29pt"/>
                <w:rFonts w:eastAsiaTheme="minorHAnsi"/>
                <w:sz w:val="20"/>
                <w:szCs w:val="20"/>
                <w:lang w:eastAsia="en-US" w:bidi="en-US"/>
              </w:rPr>
              <w:t xml:space="preserve">) от вливане на р. </w:t>
            </w:r>
            <w:proofErr w:type="spellStart"/>
            <w:r w:rsidRPr="009F6D1E">
              <w:rPr>
                <w:rStyle w:val="Bodytext29pt"/>
                <w:rFonts w:eastAsiaTheme="minorHAnsi"/>
                <w:sz w:val="20"/>
                <w:szCs w:val="20"/>
                <w:lang w:eastAsia="en-US" w:bidi="en-US"/>
              </w:rPr>
              <w:t>Добротинска</w:t>
            </w:r>
            <w:proofErr w:type="spellEnd"/>
            <w:r w:rsidRPr="009F6D1E">
              <w:rPr>
                <w:rStyle w:val="Bodytext29pt"/>
                <w:rFonts w:eastAsiaTheme="minorHAnsi"/>
                <w:sz w:val="20"/>
                <w:szCs w:val="20"/>
                <w:lang w:eastAsia="en-US" w:bidi="en-US"/>
              </w:rPr>
              <w:t xml:space="preserve"> до вливане в р. Места</w:t>
            </w:r>
          </w:p>
        </w:tc>
        <w:tc>
          <w:tcPr>
            <w:tcW w:w="0" w:type="auto"/>
            <w:tcBorders>
              <w:left w:val="nil"/>
            </w:tcBorders>
            <w:shd w:val="clear" w:color="auto" w:fill="FFFFFF"/>
          </w:tcPr>
          <w:p w14:paraId="28266929"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649D1BDD" w14:textId="77777777" w:rsidR="00AE5785"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AE5785" w:rsidRPr="009F6D1E">
              <w:rPr>
                <w:rStyle w:val="Bodytext29pt"/>
                <w:rFonts w:eastAsiaTheme="minorHAnsi"/>
                <w:sz w:val="20"/>
                <w:szCs w:val="20"/>
                <w:lang w:eastAsia="en-US" w:bidi="en-US"/>
              </w:rPr>
              <w:t>ЕС</w:t>
            </w:r>
          </w:p>
        </w:tc>
      </w:tr>
      <w:tr w:rsidR="00421104" w:rsidRPr="009F6D1E" w14:paraId="54E4547D" w14:textId="77777777" w:rsidTr="00421104">
        <w:trPr>
          <w:trHeight w:hRule="exact" w:val="617"/>
          <w:jc w:val="center"/>
        </w:trPr>
        <w:tc>
          <w:tcPr>
            <w:tcW w:w="445" w:type="dxa"/>
            <w:shd w:val="clear" w:color="auto" w:fill="FFFFFF"/>
            <w:vAlign w:val="center"/>
          </w:tcPr>
          <w:p w14:paraId="72F9F8F6" w14:textId="77777777" w:rsidR="00AE5785" w:rsidRPr="009F6D1E" w:rsidRDefault="00AE5785"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vMerge/>
            <w:shd w:val="clear" w:color="auto" w:fill="FFFFFF"/>
            <w:vAlign w:val="center"/>
          </w:tcPr>
          <w:p w14:paraId="7AD0E8F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3B86C983"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3CED88D2"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BG4ME700R092</w:t>
            </w:r>
          </w:p>
        </w:tc>
        <w:tc>
          <w:tcPr>
            <w:tcW w:w="0" w:type="auto"/>
            <w:tcBorders>
              <w:left w:val="nil"/>
            </w:tcBorders>
            <w:shd w:val="clear" w:color="auto" w:fill="FFFFFF"/>
          </w:tcPr>
          <w:p w14:paraId="7FA6BF25"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right w:val="nil"/>
            </w:tcBorders>
            <w:shd w:val="clear" w:color="auto" w:fill="FFFFFF"/>
          </w:tcPr>
          <w:p w14:paraId="3AFFECFF"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tcPr>
          <w:p w14:paraId="0733C48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Златарица от изворите до вливане в р. Места</w:t>
            </w:r>
          </w:p>
        </w:tc>
        <w:tc>
          <w:tcPr>
            <w:tcW w:w="0" w:type="auto"/>
            <w:tcBorders>
              <w:left w:val="nil"/>
            </w:tcBorders>
            <w:shd w:val="clear" w:color="auto" w:fill="FFFFFF"/>
          </w:tcPr>
          <w:p w14:paraId="680783B3"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03545242" w14:textId="77777777" w:rsidR="00AE5785"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AE5785" w:rsidRPr="009F6D1E">
              <w:rPr>
                <w:rStyle w:val="Bodytext29pt"/>
                <w:rFonts w:eastAsiaTheme="minorHAnsi"/>
                <w:sz w:val="20"/>
                <w:szCs w:val="20"/>
                <w:lang w:eastAsia="en-US" w:bidi="en-US"/>
              </w:rPr>
              <w:t>ЕС</w:t>
            </w:r>
          </w:p>
        </w:tc>
      </w:tr>
      <w:tr w:rsidR="00421104" w:rsidRPr="009F6D1E" w14:paraId="41CB1031" w14:textId="77777777" w:rsidTr="00421104">
        <w:trPr>
          <w:trHeight w:hRule="exact" w:val="725"/>
          <w:jc w:val="center"/>
        </w:trPr>
        <w:tc>
          <w:tcPr>
            <w:tcW w:w="445" w:type="dxa"/>
            <w:shd w:val="clear" w:color="auto" w:fill="FFFFFF"/>
            <w:vAlign w:val="center"/>
          </w:tcPr>
          <w:p w14:paraId="568A2730" w14:textId="77777777" w:rsidR="00AE5785" w:rsidRPr="009F6D1E" w:rsidRDefault="00AE5785" w:rsidP="00D02E9D">
            <w:pPr>
              <w:pStyle w:val="a0"/>
              <w:widowControl/>
              <w:numPr>
                <w:ilvl w:val="0"/>
                <w:numId w:val="22"/>
              </w:numPr>
              <w:tabs>
                <w:tab w:val="left" w:pos="993"/>
              </w:tabs>
              <w:spacing w:after="60" w:line="264" w:lineRule="auto"/>
              <w:ind w:left="144" w:right="0" w:firstLine="0"/>
              <w:jc w:val="center"/>
              <w:rPr>
                <w:rStyle w:val="Bodytext29pt"/>
                <w:rFonts w:eastAsiaTheme="minorHAnsi"/>
                <w:sz w:val="20"/>
                <w:szCs w:val="20"/>
                <w:lang w:eastAsia="en-US" w:bidi="en-US"/>
              </w:rPr>
            </w:pPr>
          </w:p>
        </w:tc>
        <w:tc>
          <w:tcPr>
            <w:tcW w:w="657" w:type="dxa"/>
            <w:shd w:val="clear" w:color="auto" w:fill="FFFFFF"/>
            <w:vAlign w:val="center"/>
          </w:tcPr>
          <w:p w14:paraId="0D0E3CE0" w14:textId="387897AA"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Д</w:t>
            </w:r>
            <w:r w:rsidR="008C39A2">
              <w:rPr>
                <w:rStyle w:val="Bodytext29pt"/>
                <w:rFonts w:eastAsiaTheme="minorHAnsi"/>
                <w:sz w:val="20"/>
                <w:szCs w:val="20"/>
                <w:lang w:eastAsia="en-US" w:bidi="en-US"/>
              </w:rPr>
              <w:t>осп</w:t>
            </w:r>
            <w:r w:rsidRPr="009F6D1E">
              <w:rPr>
                <w:rStyle w:val="Bodytext29pt"/>
                <w:rFonts w:eastAsiaTheme="minorHAnsi"/>
                <w:sz w:val="20"/>
                <w:szCs w:val="20"/>
                <w:lang w:eastAsia="en-US" w:bidi="en-US"/>
              </w:rPr>
              <w:t>ат</w:t>
            </w:r>
          </w:p>
        </w:tc>
        <w:tc>
          <w:tcPr>
            <w:tcW w:w="0" w:type="auto"/>
            <w:tcBorders>
              <w:right w:val="nil"/>
            </w:tcBorders>
            <w:shd w:val="clear" w:color="auto" w:fill="FFFFFF"/>
          </w:tcPr>
          <w:p w14:paraId="76420815"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center"/>
          </w:tcPr>
          <w:p w14:paraId="5E3CFBFF"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BG4DO135R1118</w:t>
            </w:r>
          </w:p>
        </w:tc>
        <w:tc>
          <w:tcPr>
            <w:tcW w:w="0" w:type="auto"/>
            <w:tcBorders>
              <w:left w:val="nil"/>
              <w:bottom w:val="nil"/>
            </w:tcBorders>
            <w:shd w:val="clear" w:color="auto" w:fill="FFFFFF"/>
          </w:tcPr>
          <w:p w14:paraId="649C54E7"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bottom w:val="nil"/>
              <w:right w:val="nil"/>
            </w:tcBorders>
            <w:shd w:val="clear" w:color="auto" w:fill="FFFFFF"/>
          </w:tcPr>
          <w:p w14:paraId="5C721801"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tcBorders>
              <w:top w:val="single" w:sz="4" w:space="0" w:color="auto"/>
              <w:left w:val="nil"/>
              <w:bottom w:val="single" w:sz="4" w:space="0" w:color="auto"/>
              <w:right w:val="nil"/>
            </w:tcBorders>
            <w:shd w:val="clear" w:color="auto" w:fill="FFFFFF"/>
            <w:vAlign w:val="bottom"/>
          </w:tcPr>
          <w:p w14:paraId="200FC265" w14:textId="54380774"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р. Д</w:t>
            </w:r>
            <w:r w:rsidR="008C39A2">
              <w:rPr>
                <w:rStyle w:val="Bodytext29pt"/>
                <w:rFonts w:eastAsiaTheme="minorHAnsi"/>
                <w:sz w:val="20"/>
                <w:szCs w:val="20"/>
                <w:lang w:eastAsia="en-US" w:bidi="en-US"/>
              </w:rPr>
              <w:t>осп</w:t>
            </w:r>
            <w:r w:rsidRPr="009F6D1E">
              <w:rPr>
                <w:rStyle w:val="Bodytext29pt"/>
                <w:rFonts w:eastAsiaTheme="minorHAnsi"/>
                <w:sz w:val="20"/>
                <w:szCs w:val="20"/>
                <w:lang w:eastAsia="en-US" w:bidi="en-US"/>
              </w:rPr>
              <w:t>ат от язовир Д</w:t>
            </w:r>
            <w:r w:rsidR="008C39A2">
              <w:rPr>
                <w:rStyle w:val="Bodytext29pt"/>
                <w:rFonts w:eastAsiaTheme="minorHAnsi"/>
                <w:sz w:val="20"/>
                <w:szCs w:val="20"/>
                <w:lang w:eastAsia="en-US" w:bidi="en-US"/>
              </w:rPr>
              <w:t>осп</w:t>
            </w:r>
            <w:r w:rsidRPr="009F6D1E">
              <w:rPr>
                <w:rStyle w:val="Bodytext29pt"/>
                <w:rFonts w:eastAsiaTheme="minorHAnsi"/>
                <w:sz w:val="20"/>
                <w:szCs w:val="20"/>
                <w:lang w:eastAsia="en-US" w:bidi="en-US"/>
              </w:rPr>
              <w:t xml:space="preserve">ат до </w:t>
            </w:r>
            <w:proofErr w:type="spellStart"/>
            <w:r w:rsidRPr="009F6D1E">
              <w:rPr>
                <w:rStyle w:val="Bodytext29pt"/>
                <w:rFonts w:eastAsiaTheme="minorHAnsi"/>
                <w:sz w:val="20"/>
                <w:szCs w:val="20"/>
                <w:lang w:eastAsia="en-US" w:bidi="en-US"/>
              </w:rPr>
              <w:t>българогръцката</w:t>
            </w:r>
            <w:proofErr w:type="spellEnd"/>
            <w:r w:rsidRPr="009F6D1E">
              <w:rPr>
                <w:rStyle w:val="Bodytext29pt"/>
                <w:rFonts w:eastAsiaTheme="minorHAnsi"/>
                <w:sz w:val="20"/>
                <w:szCs w:val="20"/>
                <w:lang w:eastAsia="en-US" w:bidi="en-US"/>
              </w:rPr>
              <w:t xml:space="preserve"> граница</w:t>
            </w:r>
          </w:p>
        </w:tc>
        <w:tc>
          <w:tcPr>
            <w:tcW w:w="0" w:type="auto"/>
            <w:tcBorders>
              <w:left w:val="nil"/>
            </w:tcBorders>
            <w:shd w:val="clear" w:color="auto" w:fill="FFFFFF"/>
          </w:tcPr>
          <w:p w14:paraId="17A162FA" w14:textId="77777777" w:rsidR="00AE5785" w:rsidRPr="009F6D1E" w:rsidRDefault="00AE5785"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p>
        </w:tc>
        <w:tc>
          <w:tcPr>
            <w:tcW w:w="0" w:type="auto"/>
            <w:shd w:val="clear" w:color="auto" w:fill="FFC000"/>
            <w:vAlign w:val="center"/>
          </w:tcPr>
          <w:p w14:paraId="255ED2D6" w14:textId="77777777" w:rsidR="00AE5785" w:rsidRPr="009F6D1E" w:rsidRDefault="007E18C8" w:rsidP="0084747F">
            <w:pPr>
              <w:pStyle w:val="a0"/>
              <w:widowControl/>
              <w:tabs>
                <w:tab w:val="left" w:pos="993"/>
              </w:tabs>
              <w:spacing w:after="60" w:line="264" w:lineRule="auto"/>
              <w:ind w:left="0" w:right="0" w:firstLine="0"/>
              <w:jc w:val="center"/>
              <w:rPr>
                <w:rStyle w:val="Bodytext29pt"/>
                <w:rFonts w:eastAsiaTheme="minorHAnsi"/>
                <w:sz w:val="20"/>
                <w:szCs w:val="20"/>
                <w:lang w:eastAsia="en-US" w:bidi="en-US"/>
              </w:rPr>
            </w:pPr>
            <w:r w:rsidRPr="009F6D1E">
              <w:rPr>
                <w:rStyle w:val="Bodytext29pt"/>
                <w:rFonts w:eastAsiaTheme="minorHAnsi"/>
                <w:sz w:val="20"/>
                <w:szCs w:val="20"/>
                <w:lang w:eastAsia="en-US" w:bidi="en-US"/>
              </w:rPr>
              <w:t xml:space="preserve">лошо </w:t>
            </w:r>
            <w:r w:rsidR="00AE5785" w:rsidRPr="009F6D1E">
              <w:rPr>
                <w:rStyle w:val="Bodytext29pt"/>
                <w:rFonts w:eastAsiaTheme="minorHAnsi"/>
                <w:sz w:val="20"/>
                <w:szCs w:val="20"/>
                <w:lang w:eastAsia="en-US" w:bidi="en-US"/>
              </w:rPr>
              <w:t>ЕС</w:t>
            </w:r>
          </w:p>
        </w:tc>
      </w:tr>
    </w:tbl>
    <w:p w14:paraId="26390756" w14:textId="77777777" w:rsidR="00AE5785" w:rsidRPr="009F6D1E" w:rsidRDefault="00AE5785" w:rsidP="0084747F">
      <w:pPr>
        <w:pStyle w:val="a0"/>
        <w:widowControl/>
        <w:tabs>
          <w:tab w:val="left" w:pos="993"/>
        </w:tabs>
        <w:spacing w:after="60" w:line="264" w:lineRule="auto"/>
        <w:ind w:left="0" w:right="0" w:firstLine="0"/>
        <w:jc w:val="right"/>
        <w:rPr>
          <w:rStyle w:val="Bodytext29pt"/>
          <w:rFonts w:eastAsiaTheme="minorHAnsi"/>
          <w:i/>
          <w:sz w:val="20"/>
          <w:szCs w:val="20"/>
          <w:lang w:eastAsia="en-US" w:bidi="en-US"/>
        </w:rPr>
      </w:pPr>
      <w:r w:rsidRPr="009F6D1E">
        <w:rPr>
          <w:rStyle w:val="Bodytext29pt"/>
          <w:rFonts w:eastAsiaTheme="minorHAnsi"/>
          <w:i/>
          <w:sz w:val="20"/>
          <w:szCs w:val="20"/>
          <w:lang w:eastAsia="en-US" w:bidi="en-US"/>
        </w:rPr>
        <w:t>Източник: БДЗБР</w:t>
      </w:r>
    </w:p>
    <w:p w14:paraId="74DB386B" w14:textId="77777777" w:rsidR="00AE5785" w:rsidRPr="009F6D1E" w:rsidRDefault="00AE5785" w:rsidP="0084747F">
      <w:pPr>
        <w:pStyle w:val="a0"/>
        <w:widowControl/>
        <w:tabs>
          <w:tab w:val="left" w:pos="993"/>
        </w:tabs>
        <w:spacing w:after="60" w:line="264" w:lineRule="auto"/>
        <w:ind w:left="0" w:right="0" w:firstLine="720"/>
        <w:rPr>
          <w:b/>
          <w:bCs/>
          <w:i/>
        </w:rPr>
      </w:pPr>
      <w:bookmarkStart w:id="264" w:name="bookmark91"/>
      <w:r w:rsidRPr="009F6D1E">
        <w:rPr>
          <w:b/>
          <w:bCs/>
          <w:i/>
        </w:rPr>
        <w:t>Химично състояние/потенциал на повърхностни водни тела в БДЗБР</w:t>
      </w:r>
      <w:bookmarkEnd w:id="264"/>
    </w:p>
    <w:p w14:paraId="19105A55" w14:textId="77777777" w:rsidR="00AE5785" w:rsidRPr="009F6D1E" w:rsidRDefault="00AE5785" w:rsidP="0084747F">
      <w:pPr>
        <w:pStyle w:val="a0"/>
        <w:widowControl/>
        <w:tabs>
          <w:tab w:val="left" w:pos="993"/>
        </w:tabs>
        <w:spacing w:after="60" w:line="264" w:lineRule="auto"/>
        <w:ind w:left="0" w:right="0" w:firstLine="720"/>
      </w:pPr>
      <w:r w:rsidRPr="009F6D1E">
        <w:t xml:space="preserve">От общо 183 повърхностни водни тела в териториалния обхват на </w:t>
      </w:r>
      <w:proofErr w:type="spellStart"/>
      <w:r w:rsidRPr="009F6D1E">
        <w:t>Западнобеломорски</w:t>
      </w:r>
      <w:proofErr w:type="spellEnd"/>
      <w:r w:rsidRPr="009F6D1E">
        <w:t xml:space="preserve"> район, съгласно ПУРБ - 63 водни тела - 34,4 % са в добро химично състояние, 3 водни тела - 1,6 % са оценени в недостигащи добро химично състояние и 117 водни тела - 64 % не са оценени и са определени в неизвестно химично състояние. Делът на повърхностните водни тела, оценени в неизвестно химично състояние е 64 %.</w:t>
      </w:r>
    </w:p>
    <w:p w14:paraId="2366334A" w14:textId="77777777" w:rsidR="00AE5785" w:rsidRPr="009F6D1E" w:rsidRDefault="00AE5785" w:rsidP="0084747F">
      <w:pPr>
        <w:pStyle w:val="a0"/>
        <w:widowControl/>
        <w:tabs>
          <w:tab w:val="left" w:pos="993"/>
        </w:tabs>
        <w:spacing w:after="60" w:line="264" w:lineRule="auto"/>
        <w:ind w:left="0" w:right="0" w:firstLine="720"/>
      </w:pPr>
      <w:r w:rsidRPr="009F6D1E">
        <w:t>Обобщената оценка за химичното състояние на повърхностните водни тела категория „река” в басейна на река Струма за 2020 г., съгласно БДЗБР показва следните резултати: в добро химично състояние се намира 77 повърхностни водни тела, в недостигащо добро-1, тела за които няма данни от мониторинга - 28.</w:t>
      </w:r>
    </w:p>
    <w:p w14:paraId="22CA7181" w14:textId="77777777" w:rsidR="00AE5785" w:rsidRPr="009F6D1E" w:rsidRDefault="00AE5785" w:rsidP="0084747F">
      <w:pPr>
        <w:pStyle w:val="a0"/>
        <w:widowControl/>
        <w:tabs>
          <w:tab w:val="left" w:pos="993"/>
        </w:tabs>
        <w:spacing w:after="60" w:line="264" w:lineRule="auto"/>
        <w:ind w:left="0" w:right="0" w:firstLine="720"/>
      </w:pPr>
      <w:r w:rsidRPr="009F6D1E">
        <w:t xml:space="preserve">За басейна на р. Места, повърхностните водни тела, определени в добро химично състояние са 30, , в недостигащо добро - 1, телата за които няма данни от мониторинга са 23. </w:t>
      </w:r>
    </w:p>
    <w:p w14:paraId="4B71309D" w14:textId="2E905750" w:rsidR="00AE5785" w:rsidRPr="009F6D1E" w:rsidRDefault="00AE5785" w:rsidP="0084747F">
      <w:pPr>
        <w:pStyle w:val="a0"/>
        <w:widowControl/>
        <w:tabs>
          <w:tab w:val="left" w:pos="993"/>
        </w:tabs>
        <w:spacing w:after="60" w:line="264" w:lineRule="auto"/>
        <w:ind w:left="0" w:right="0" w:firstLine="720"/>
      </w:pPr>
      <w:r w:rsidRPr="009F6D1E">
        <w:t>По поречието на р. Д</w:t>
      </w:r>
      <w:r w:rsidR="008C39A2">
        <w:t>осп</w:t>
      </w:r>
      <w:r w:rsidRPr="009F6D1E">
        <w:t>ат има 5 повърхностни водни тела в добро химично състояние, за 3 ВТ няма данни от мониторинга. Няма водни тела в недостигащо добро химично състояние.</w:t>
      </w:r>
    </w:p>
    <w:p w14:paraId="5062CD34" w14:textId="08A206A5" w:rsidR="00AE5785" w:rsidRPr="009F6D1E" w:rsidRDefault="00AE5785" w:rsidP="0084747F">
      <w:pPr>
        <w:pStyle w:val="a0"/>
        <w:widowControl/>
        <w:tabs>
          <w:tab w:val="left" w:pos="993"/>
        </w:tabs>
        <w:spacing w:after="60" w:line="264" w:lineRule="auto"/>
        <w:ind w:left="0" w:right="0" w:firstLine="720"/>
      </w:pPr>
      <w:r w:rsidRPr="009F6D1E">
        <w:t>Водните тела в недостигащо добро състояние за района на Басейнова дирекция „</w:t>
      </w:r>
      <w:proofErr w:type="spellStart"/>
      <w:r w:rsidRPr="009F6D1E">
        <w:t>Западнобеломорски</w:t>
      </w:r>
      <w:proofErr w:type="spellEnd"/>
      <w:r w:rsidRPr="009F6D1E">
        <w:t xml:space="preserve"> район“ са както следва</w:t>
      </w:r>
      <w:r w:rsidR="00421104" w:rsidRPr="009F6D1E">
        <w:t xml:space="preserve"> – виж </w:t>
      </w:r>
      <w:r>
        <w:fldChar w:fldCharType="begin"/>
      </w:r>
      <w:r>
        <w:instrText xml:space="preserve"> REF _Ref97395105 \h  \* MERGEFORMAT </w:instrText>
      </w:r>
      <w:r>
        <w:fldChar w:fldCharType="separate"/>
      </w:r>
      <w:r w:rsidR="00A43EF3" w:rsidRPr="009F6D1E">
        <w:t xml:space="preserve">Таблица </w:t>
      </w:r>
      <w:r w:rsidR="00A43EF3">
        <w:rPr>
          <w:noProof/>
        </w:rPr>
        <w:t>13</w:t>
      </w:r>
      <w:r>
        <w:fldChar w:fldCharType="end"/>
      </w:r>
      <w:r w:rsidRPr="009F6D1E">
        <w:t>:</w:t>
      </w:r>
    </w:p>
    <w:p w14:paraId="79671961" w14:textId="77777777" w:rsidR="006E6FE8" w:rsidRPr="009F6D1E" w:rsidRDefault="006E6FE8" w:rsidP="0084747F">
      <w:pPr>
        <w:pStyle w:val="a0"/>
        <w:widowControl/>
        <w:tabs>
          <w:tab w:val="left" w:pos="993"/>
        </w:tabs>
        <w:spacing w:after="60" w:line="264" w:lineRule="auto"/>
        <w:ind w:left="0" w:right="0" w:firstLine="720"/>
      </w:pPr>
    </w:p>
    <w:p w14:paraId="0345A81C" w14:textId="77777777" w:rsidR="006E6FE8" w:rsidRPr="009F6D1E" w:rsidRDefault="006E6FE8" w:rsidP="0084747F">
      <w:pPr>
        <w:pStyle w:val="a0"/>
        <w:widowControl/>
        <w:tabs>
          <w:tab w:val="left" w:pos="993"/>
        </w:tabs>
        <w:spacing w:after="60" w:line="264" w:lineRule="auto"/>
        <w:ind w:left="0" w:right="0" w:firstLine="720"/>
      </w:pPr>
    </w:p>
    <w:p w14:paraId="224EF60B" w14:textId="62937231" w:rsidR="00AE5785" w:rsidRPr="009F6D1E" w:rsidRDefault="00421104" w:rsidP="0084747F">
      <w:pPr>
        <w:pStyle w:val="Caption"/>
        <w:spacing w:after="60" w:line="264" w:lineRule="auto"/>
      </w:pPr>
      <w:bookmarkStart w:id="265" w:name="_Ref97395105"/>
      <w:bookmarkStart w:id="266" w:name="_Toc115255164"/>
      <w:r w:rsidRPr="009F6D1E">
        <w:lastRenderedPageBreak/>
        <w:t xml:space="preserve">Таблица </w:t>
      </w:r>
      <w:fldSimple w:instr=" SEQ Таблица \* ARABIC ">
        <w:r w:rsidR="00A43EF3">
          <w:rPr>
            <w:noProof/>
          </w:rPr>
          <w:t>13</w:t>
        </w:r>
      </w:fldSimple>
      <w:bookmarkEnd w:id="265"/>
      <w:r w:rsidRPr="009F6D1E">
        <w:t xml:space="preserve">: </w:t>
      </w:r>
      <w:bookmarkStart w:id="267" w:name="bookmark93"/>
      <w:r w:rsidR="00AE5785" w:rsidRPr="009F6D1E">
        <w:t>Повърхностни водни тела, определени в лошо химично състояние за 2020 г</w:t>
      </w:r>
      <w:bookmarkEnd w:id="267"/>
      <w:r w:rsidRPr="009F6D1E">
        <w:t>.</w:t>
      </w:r>
      <w:bookmarkEnd w:id="266"/>
    </w:p>
    <w:tbl>
      <w:tblPr>
        <w:tblOverlap w:val="never"/>
        <w:tblW w:w="0" w:type="auto"/>
        <w:jc w:val="center"/>
        <w:tblCellMar>
          <w:left w:w="10" w:type="dxa"/>
          <w:right w:w="10" w:type="dxa"/>
        </w:tblCellMar>
        <w:tblLook w:val="0000" w:firstRow="0" w:lastRow="0" w:firstColumn="0" w:lastColumn="0" w:noHBand="0" w:noVBand="0"/>
      </w:tblPr>
      <w:tblGrid>
        <w:gridCol w:w="390"/>
        <w:gridCol w:w="877"/>
        <w:gridCol w:w="1732"/>
        <w:gridCol w:w="4633"/>
        <w:gridCol w:w="1996"/>
      </w:tblGrid>
      <w:tr w:rsidR="00AE5785" w:rsidRPr="009F6D1E" w14:paraId="183DC9B1" w14:textId="77777777" w:rsidTr="00421104">
        <w:trPr>
          <w:trHeight w:hRule="exact" w:val="552"/>
          <w:tblHeader/>
          <w:jc w:val="center"/>
        </w:trPr>
        <w:tc>
          <w:tcPr>
            <w:tcW w:w="0" w:type="auto"/>
            <w:tcBorders>
              <w:top w:val="single" w:sz="4" w:space="0" w:color="auto"/>
              <w:left w:val="single" w:sz="4" w:space="0" w:color="auto"/>
              <w:bottom w:val="single" w:sz="4" w:space="0" w:color="auto"/>
            </w:tcBorders>
            <w:shd w:val="pct20" w:color="auto" w:fill="FFFFFF"/>
            <w:vAlign w:val="center"/>
          </w:tcPr>
          <w:p w14:paraId="4A41BC7E"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w:t>
            </w:r>
          </w:p>
        </w:tc>
        <w:tc>
          <w:tcPr>
            <w:tcW w:w="0" w:type="auto"/>
            <w:tcBorders>
              <w:top w:val="single" w:sz="4" w:space="0" w:color="auto"/>
              <w:left w:val="single" w:sz="4" w:space="0" w:color="auto"/>
              <w:bottom w:val="single" w:sz="4" w:space="0" w:color="auto"/>
            </w:tcBorders>
            <w:shd w:val="pct20" w:color="auto" w:fill="FFFFFF"/>
            <w:vAlign w:val="center"/>
          </w:tcPr>
          <w:p w14:paraId="56E91CF7"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Речен</w:t>
            </w:r>
          </w:p>
          <w:p w14:paraId="48091ED9"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басейн</w:t>
            </w:r>
          </w:p>
        </w:tc>
        <w:tc>
          <w:tcPr>
            <w:tcW w:w="0" w:type="auto"/>
            <w:tcBorders>
              <w:top w:val="single" w:sz="4" w:space="0" w:color="auto"/>
              <w:left w:val="single" w:sz="4" w:space="0" w:color="auto"/>
              <w:bottom w:val="single" w:sz="4" w:space="0" w:color="auto"/>
            </w:tcBorders>
            <w:shd w:val="pct20" w:color="auto" w:fill="FFFFFF"/>
            <w:vAlign w:val="center"/>
          </w:tcPr>
          <w:p w14:paraId="20F152FC"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Код на водно тяло</w:t>
            </w:r>
          </w:p>
        </w:tc>
        <w:tc>
          <w:tcPr>
            <w:tcW w:w="0" w:type="auto"/>
            <w:tcBorders>
              <w:top w:val="single" w:sz="4" w:space="0" w:color="auto"/>
              <w:left w:val="single" w:sz="4" w:space="0" w:color="auto"/>
              <w:bottom w:val="single" w:sz="4" w:space="0" w:color="auto"/>
            </w:tcBorders>
            <w:shd w:val="pct20" w:color="auto" w:fill="FFFFFF"/>
            <w:vAlign w:val="center"/>
          </w:tcPr>
          <w:p w14:paraId="65095374"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Име на водно тяло</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center"/>
          </w:tcPr>
          <w:p w14:paraId="31D3750A" w14:textId="77777777" w:rsidR="00AE5785" w:rsidRPr="009F6D1E" w:rsidRDefault="00AE5785" w:rsidP="0084747F">
            <w:pPr>
              <w:pStyle w:val="a0"/>
              <w:widowControl/>
              <w:tabs>
                <w:tab w:val="left" w:pos="993"/>
              </w:tabs>
              <w:spacing w:after="60" w:line="264" w:lineRule="auto"/>
              <w:ind w:left="0" w:right="0" w:firstLine="0"/>
              <w:jc w:val="center"/>
              <w:rPr>
                <w:rStyle w:val="Bodytext210pt"/>
                <w:rFonts w:eastAsia="Microsoft Sans Serif"/>
                <w:b/>
              </w:rPr>
            </w:pPr>
            <w:r w:rsidRPr="009F6D1E">
              <w:rPr>
                <w:rStyle w:val="Bodytext210pt"/>
                <w:rFonts w:eastAsia="Microsoft Sans Serif"/>
                <w:b/>
              </w:rPr>
              <w:t>Химично състояние за 2020 г.</w:t>
            </w:r>
          </w:p>
        </w:tc>
      </w:tr>
      <w:tr w:rsidR="00AE5785" w:rsidRPr="009F6D1E" w14:paraId="06176B57" w14:textId="77777777" w:rsidTr="00421104">
        <w:trPr>
          <w:trHeight w:hRule="exact" w:val="536"/>
          <w:jc w:val="center"/>
        </w:trPr>
        <w:tc>
          <w:tcPr>
            <w:tcW w:w="0" w:type="auto"/>
            <w:tcBorders>
              <w:top w:val="single" w:sz="4" w:space="0" w:color="auto"/>
              <w:left w:val="single" w:sz="4" w:space="0" w:color="auto"/>
            </w:tcBorders>
            <w:shd w:val="clear" w:color="auto" w:fill="FFFFFF"/>
            <w:vAlign w:val="center"/>
          </w:tcPr>
          <w:p w14:paraId="156F429A" w14:textId="77777777" w:rsidR="00AE5785" w:rsidRPr="009F6D1E" w:rsidRDefault="00AE5785" w:rsidP="0084747F">
            <w:pPr>
              <w:spacing w:after="60" w:line="264" w:lineRule="auto"/>
              <w:ind w:left="220"/>
              <w:rPr>
                <w:rFonts w:cs="Times New Roman"/>
                <w:sz w:val="20"/>
                <w:szCs w:val="20"/>
              </w:rPr>
            </w:pPr>
            <w:r w:rsidRPr="009F6D1E">
              <w:rPr>
                <w:rStyle w:val="Bodytext29pt"/>
                <w:rFonts w:eastAsiaTheme="minorHAnsi"/>
                <w:sz w:val="20"/>
                <w:szCs w:val="20"/>
              </w:rPr>
              <w:t>1.</w:t>
            </w:r>
          </w:p>
        </w:tc>
        <w:tc>
          <w:tcPr>
            <w:tcW w:w="0" w:type="auto"/>
            <w:tcBorders>
              <w:top w:val="single" w:sz="4" w:space="0" w:color="auto"/>
              <w:left w:val="single" w:sz="4" w:space="0" w:color="auto"/>
            </w:tcBorders>
            <w:shd w:val="clear" w:color="auto" w:fill="FFFFFF"/>
            <w:vAlign w:val="center"/>
          </w:tcPr>
          <w:p w14:paraId="685AC35E" w14:textId="77777777" w:rsidR="00AE5785" w:rsidRPr="009F6D1E" w:rsidRDefault="00AE5785" w:rsidP="0084747F">
            <w:pPr>
              <w:spacing w:after="60" w:line="264" w:lineRule="auto"/>
              <w:ind w:left="220"/>
              <w:rPr>
                <w:rFonts w:cs="Times New Roman"/>
                <w:sz w:val="20"/>
                <w:szCs w:val="20"/>
              </w:rPr>
            </w:pPr>
            <w:r w:rsidRPr="009F6D1E">
              <w:rPr>
                <w:rStyle w:val="Bodytext29pt"/>
                <w:rFonts w:eastAsiaTheme="minorHAnsi"/>
                <w:sz w:val="20"/>
                <w:szCs w:val="20"/>
              </w:rPr>
              <w:t>Струма</w:t>
            </w:r>
          </w:p>
        </w:tc>
        <w:tc>
          <w:tcPr>
            <w:tcW w:w="0" w:type="auto"/>
            <w:tcBorders>
              <w:top w:val="single" w:sz="4" w:space="0" w:color="auto"/>
              <w:left w:val="single" w:sz="4" w:space="0" w:color="auto"/>
            </w:tcBorders>
            <w:shd w:val="clear" w:color="auto" w:fill="FFFFFF"/>
            <w:vAlign w:val="center"/>
          </w:tcPr>
          <w:p w14:paraId="7D05DA8A" w14:textId="77777777" w:rsidR="00AE5785" w:rsidRPr="009F6D1E" w:rsidRDefault="00AE5785" w:rsidP="0084747F">
            <w:pPr>
              <w:spacing w:after="60" w:line="264" w:lineRule="auto"/>
              <w:ind w:left="200"/>
              <w:rPr>
                <w:rFonts w:cs="Times New Roman"/>
                <w:sz w:val="20"/>
                <w:szCs w:val="20"/>
              </w:rPr>
            </w:pPr>
            <w:r w:rsidRPr="009F6D1E">
              <w:rPr>
                <w:rStyle w:val="Bodytext29pt"/>
                <w:rFonts w:eastAsiaTheme="minorHAnsi"/>
                <w:sz w:val="20"/>
                <w:szCs w:val="20"/>
                <w:lang w:eastAsia="en-US" w:bidi="en-US"/>
              </w:rPr>
              <w:t>BG4ST300R1074</w:t>
            </w:r>
          </w:p>
        </w:tc>
        <w:tc>
          <w:tcPr>
            <w:tcW w:w="0" w:type="auto"/>
            <w:tcBorders>
              <w:top w:val="single" w:sz="4" w:space="0" w:color="auto"/>
              <w:left w:val="single" w:sz="4" w:space="0" w:color="auto"/>
            </w:tcBorders>
            <w:shd w:val="clear" w:color="auto" w:fill="FFFFFF"/>
          </w:tcPr>
          <w:p w14:paraId="649DE7D3" w14:textId="77777777" w:rsidR="00AE5785" w:rsidRPr="009F6D1E" w:rsidRDefault="00AE5785" w:rsidP="0084747F">
            <w:pPr>
              <w:spacing w:after="60" w:line="264" w:lineRule="auto"/>
              <w:rPr>
                <w:rFonts w:cs="Times New Roman"/>
                <w:sz w:val="20"/>
                <w:szCs w:val="20"/>
              </w:rPr>
            </w:pPr>
            <w:r w:rsidRPr="009F6D1E">
              <w:rPr>
                <w:rStyle w:val="Bodytext29pt"/>
                <w:rFonts w:eastAsiaTheme="minorHAnsi"/>
                <w:sz w:val="20"/>
                <w:szCs w:val="20"/>
              </w:rPr>
              <w:t>р. Мелнишка от изворите до вливане в р. Струма</w:t>
            </w:r>
          </w:p>
        </w:tc>
        <w:tc>
          <w:tcPr>
            <w:tcW w:w="0" w:type="auto"/>
            <w:tcBorders>
              <w:top w:val="single" w:sz="4" w:space="0" w:color="auto"/>
              <w:left w:val="single" w:sz="4" w:space="0" w:color="auto"/>
              <w:right w:val="single" w:sz="4" w:space="0" w:color="auto"/>
            </w:tcBorders>
            <w:shd w:val="clear" w:color="auto" w:fill="FFFFFF"/>
            <w:vAlign w:val="center"/>
          </w:tcPr>
          <w:p w14:paraId="18D3880F" w14:textId="77777777" w:rsidR="00AE5785" w:rsidRPr="009F6D1E" w:rsidRDefault="007E18C8" w:rsidP="0084747F">
            <w:pPr>
              <w:spacing w:after="60" w:line="264" w:lineRule="auto"/>
              <w:rPr>
                <w:rFonts w:cs="Times New Roman"/>
                <w:sz w:val="20"/>
                <w:szCs w:val="20"/>
              </w:rPr>
            </w:pPr>
            <w:r w:rsidRPr="009F6D1E">
              <w:rPr>
                <w:rStyle w:val="Bodytext210pt"/>
                <w:rFonts w:eastAsia="DejaVu Sans"/>
              </w:rPr>
              <w:t xml:space="preserve">лошо </w:t>
            </w:r>
            <w:r w:rsidR="00AE5785" w:rsidRPr="009F6D1E">
              <w:rPr>
                <w:rStyle w:val="Bodytext210pt"/>
                <w:rFonts w:eastAsia="DejaVu Sans"/>
              </w:rPr>
              <w:t>ХС</w:t>
            </w:r>
          </w:p>
        </w:tc>
      </w:tr>
      <w:tr w:rsidR="00AE5785" w:rsidRPr="009F6D1E" w14:paraId="21DCDB38" w14:textId="77777777" w:rsidTr="00421104">
        <w:trPr>
          <w:trHeight w:hRule="exact" w:val="545"/>
          <w:jc w:val="center"/>
        </w:trPr>
        <w:tc>
          <w:tcPr>
            <w:tcW w:w="0" w:type="auto"/>
            <w:tcBorders>
              <w:top w:val="single" w:sz="4" w:space="0" w:color="auto"/>
              <w:left w:val="single" w:sz="4" w:space="0" w:color="auto"/>
              <w:bottom w:val="single" w:sz="4" w:space="0" w:color="auto"/>
            </w:tcBorders>
            <w:shd w:val="clear" w:color="auto" w:fill="FFFFFF"/>
            <w:vAlign w:val="center"/>
          </w:tcPr>
          <w:p w14:paraId="4B7D8B72" w14:textId="77777777" w:rsidR="00AE5785" w:rsidRPr="009F6D1E" w:rsidRDefault="00AE5785" w:rsidP="0084747F">
            <w:pPr>
              <w:spacing w:after="60" w:line="264" w:lineRule="auto"/>
              <w:ind w:left="220"/>
              <w:rPr>
                <w:rFonts w:cs="Times New Roman"/>
                <w:sz w:val="20"/>
                <w:szCs w:val="20"/>
              </w:rPr>
            </w:pPr>
            <w:r w:rsidRPr="009F6D1E">
              <w:rPr>
                <w:rStyle w:val="Bodytext29pt"/>
                <w:rFonts w:eastAsiaTheme="minorHAnsi"/>
                <w:sz w:val="20"/>
                <w:szCs w:val="20"/>
              </w:rPr>
              <w:t>2.</w:t>
            </w:r>
          </w:p>
        </w:tc>
        <w:tc>
          <w:tcPr>
            <w:tcW w:w="0" w:type="auto"/>
            <w:tcBorders>
              <w:top w:val="single" w:sz="4" w:space="0" w:color="auto"/>
              <w:left w:val="single" w:sz="4" w:space="0" w:color="auto"/>
              <w:bottom w:val="single" w:sz="4" w:space="0" w:color="auto"/>
            </w:tcBorders>
            <w:shd w:val="clear" w:color="auto" w:fill="FFFFFF"/>
            <w:vAlign w:val="center"/>
          </w:tcPr>
          <w:p w14:paraId="2A5B8003" w14:textId="77777777" w:rsidR="00AE5785" w:rsidRPr="009F6D1E" w:rsidRDefault="00AE5785" w:rsidP="0084747F">
            <w:pPr>
              <w:spacing w:after="60" w:line="264" w:lineRule="auto"/>
              <w:ind w:left="220"/>
              <w:rPr>
                <w:rFonts w:cs="Times New Roman"/>
                <w:sz w:val="20"/>
                <w:szCs w:val="20"/>
              </w:rPr>
            </w:pPr>
            <w:r w:rsidRPr="009F6D1E">
              <w:rPr>
                <w:rStyle w:val="Bodytext29pt"/>
                <w:rFonts w:eastAsiaTheme="minorHAnsi"/>
                <w:sz w:val="20"/>
                <w:szCs w:val="20"/>
              </w:rPr>
              <w:t>Места</w:t>
            </w:r>
          </w:p>
        </w:tc>
        <w:tc>
          <w:tcPr>
            <w:tcW w:w="0" w:type="auto"/>
            <w:tcBorders>
              <w:top w:val="single" w:sz="4" w:space="0" w:color="auto"/>
              <w:left w:val="single" w:sz="4" w:space="0" w:color="auto"/>
              <w:bottom w:val="single" w:sz="4" w:space="0" w:color="auto"/>
            </w:tcBorders>
            <w:shd w:val="clear" w:color="auto" w:fill="FFFFFF"/>
            <w:vAlign w:val="center"/>
          </w:tcPr>
          <w:p w14:paraId="134AC6A3" w14:textId="77777777" w:rsidR="00AE5785" w:rsidRPr="009F6D1E" w:rsidRDefault="00AE5785" w:rsidP="0084747F">
            <w:pPr>
              <w:spacing w:after="60" w:line="264" w:lineRule="auto"/>
              <w:ind w:left="200"/>
              <w:rPr>
                <w:rFonts w:cs="Times New Roman"/>
                <w:sz w:val="20"/>
                <w:szCs w:val="20"/>
              </w:rPr>
            </w:pPr>
            <w:r w:rsidRPr="009F6D1E">
              <w:rPr>
                <w:rStyle w:val="Bodytext29pt"/>
                <w:rFonts w:eastAsiaTheme="minorHAnsi"/>
                <w:sz w:val="20"/>
                <w:szCs w:val="20"/>
                <w:lang w:eastAsia="en-US" w:bidi="en-US"/>
              </w:rPr>
              <w:t>BG4ME500R1109</w:t>
            </w:r>
          </w:p>
        </w:tc>
        <w:tc>
          <w:tcPr>
            <w:tcW w:w="0" w:type="auto"/>
            <w:tcBorders>
              <w:top w:val="single" w:sz="4" w:space="0" w:color="auto"/>
              <w:left w:val="single" w:sz="4" w:space="0" w:color="auto"/>
              <w:bottom w:val="single" w:sz="4" w:space="0" w:color="auto"/>
            </w:tcBorders>
            <w:shd w:val="clear" w:color="auto" w:fill="FFFFFF"/>
            <w:vAlign w:val="bottom"/>
          </w:tcPr>
          <w:p w14:paraId="36B322FF" w14:textId="77777777" w:rsidR="00AE5785" w:rsidRPr="009F6D1E" w:rsidRDefault="00AE5785" w:rsidP="0084747F">
            <w:pPr>
              <w:spacing w:after="60" w:line="264" w:lineRule="auto"/>
              <w:rPr>
                <w:rFonts w:cs="Times New Roman"/>
                <w:sz w:val="20"/>
                <w:szCs w:val="20"/>
              </w:rPr>
            </w:pPr>
            <w:r w:rsidRPr="009F6D1E">
              <w:rPr>
                <w:rStyle w:val="Bodytext29pt"/>
                <w:rFonts w:eastAsiaTheme="minorHAnsi"/>
                <w:sz w:val="20"/>
                <w:szCs w:val="20"/>
              </w:rPr>
              <w:t>р. Неврокопска (</w:t>
            </w:r>
            <w:proofErr w:type="spellStart"/>
            <w:r w:rsidRPr="009F6D1E">
              <w:rPr>
                <w:rStyle w:val="Bodytext29pt"/>
                <w:rFonts w:eastAsiaTheme="minorHAnsi"/>
                <w:sz w:val="20"/>
                <w:szCs w:val="20"/>
              </w:rPr>
              <w:t>Тупувишка</w:t>
            </w:r>
            <w:proofErr w:type="spellEnd"/>
            <w:r w:rsidRPr="009F6D1E">
              <w:rPr>
                <w:rStyle w:val="Bodytext29pt"/>
                <w:rFonts w:eastAsiaTheme="minorHAnsi"/>
                <w:sz w:val="20"/>
                <w:szCs w:val="20"/>
              </w:rPr>
              <w:t xml:space="preserve">) от вливане на р. </w:t>
            </w:r>
            <w:proofErr w:type="spellStart"/>
            <w:r w:rsidRPr="009F6D1E">
              <w:rPr>
                <w:rStyle w:val="Bodytext29pt"/>
                <w:rFonts w:eastAsiaTheme="minorHAnsi"/>
                <w:sz w:val="20"/>
                <w:szCs w:val="20"/>
              </w:rPr>
              <w:t>Добротинска</w:t>
            </w:r>
            <w:proofErr w:type="spellEnd"/>
            <w:r w:rsidRPr="009F6D1E">
              <w:rPr>
                <w:rStyle w:val="Bodytext29pt"/>
                <w:rFonts w:eastAsiaTheme="minorHAnsi"/>
                <w:sz w:val="20"/>
                <w:szCs w:val="20"/>
              </w:rPr>
              <w:t xml:space="preserve"> до вливане в р. Места</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526AEE" w14:textId="77777777" w:rsidR="00AE5785" w:rsidRPr="009F6D1E" w:rsidRDefault="007E18C8" w:rsidP="0084747F">
            <w:pPr>
              <w:spacing w:after="60" w:line="264" w:lineRule="auto"/>
              <w:rPr>
                <w:rFonts w:cs="Times New Roman"/>
                <w:sz w:val="20"/>
                <w:szCs w:val="20"/>
              </w:rPr>
            </w:pPr>
            <w:r w:rsidRPr="009F6D1E">
              <w:rPr>
                <w:rStyle w:val="Bodytext210pt"/>
                <w:rFonts w:eastAsia="DejaVu Sans"/>
              </w:rPr>
              <w:t xml:space="preserve">лошо </w:t>
            </w:r>
            <w:r w:rsidR="00AE5785" w:rsidRPr="009F6D1E">
              <w:rPr>
                <w:rStyle w:val="Bodytext210pt"/>
                <w:rFonts w:eastAsia="DejaVu Sans"/>
              </w:rPr>
              <w:t>ХС</w:t>
            </w:r>
          </w:p>
        </w:tc>
      </w:tr>
    </w:tbl>
    <w:p w14:paraId="30D2B402" w14:textId="77777777" w:rsidR="00AE5785" w:rsidRPr="009F6D1E" w:rsidRDefault="00AE5785" w:rsidP="0084747F">
      <w:pPr>
        <w:spacing w:after="60" w:line="264" w:lineRule="auto"/>
        <w:jc w:val="right"/>
        <w:rPr>
          <w:rFonts w:cs="Times New Roman"/>
          <w:i/>
        </w:rPr>
      </w:pPr>
      <w:r w:rsidRPr="009F6D1E">
        <w:rPr>
          <w:rFonts w:cs="Times New Roman"/>
          <w:i/>
        </w:rPr>
        <w:t>Източник: БДЗБР</w:t>
      </w:r>
    </w:p>
    <w:p w14:paraId="1E508134" w14:textId="1F1E6D7A" w:rsidR="005B1C6B" w:rsidRPr="009F6D1E" w:rsidRDefault="00AE5785" w:rsidP="0084747F">
      <w:pPr>
        <w:spacing w:after="60" w:line="264" w:lineRule="auto"/>
        <w:ind w:firstLine="720"/>
        <w:jc w:val="both"/>
        <w:rPr>
          <w:rFonts w:cs="Times New Roman"/>
          <w:i/>
          <w:szCs w:val="24"/>
          <w:highlight w:val="yellow"/>
        </w:rPr>
        <w:sectPr w:rsidR="005B1C6B" w:rsidRPr="009F6D1E" w:rsidSect="00CF669B">
          <w:headerReference w:type="default" r:id="rId66"/>
          <w:pgSz w:w="11907" w:h="16840" w:code="9"/>
          <w:pgMar w:top="1418" w:right="851" w:bottom="1134" w:left="1418" w:header="709" w:footer="709" w:gutter="0"/>
          <w:cols w:space="720"/>
          <w:docGrid w:linePitch="360"/>
        </w:sectPr>
      </w:pPr>
      <w:r w:rsidRPr="009F6D1E">
        <w:rPr>
          <w:rFonts w:eastAsia="Times New Roman" w:cs="Times New Roman"/>
          <w:szCs w:val="24"/>
        </w:rPr>
        <w:t>Оценка на екологичното и химичното състояние на повърхностните водни тела, категория „реки“, съгласно ПУРБ 2016-2021 г., разположени на територията на Басейнова дирекция „</w:t>
      </w:r>
      <w:proofErr w:type="spellStart"/>
      <w:r w:rsidRPr="009F6D1E">
        <w:rPr>
          <w:rFonts w:eastAsia="Times New Roman" w:cs="Times New Roman"/>
          <w:szCs w:val="24"/>
        </w:rPr>
        <w:t>Западнобеломорски</w:t>
      </w:r>
      <w:proofErr w:type="spellEnd"/>
      <w:r w:rsidRPr="009F6D1E">
        <w:rPr>
          <w:rFonts w:eastAsia="Times New Roman" w:cs="Times New Roman"/>
          <w:szCs w:val="24"/>
        </w:rPr>
        <w:t xml:space="preserve"> район са представени в </w:t>
      </w:r>
      <w:r>
        <w:fldChar w:fldCharType="begin"/>
      </w:r>
      <w:r>
        <w:instrText xml:space="preserve"> REF _Ref97396410 \h  \* MERGEFORMAT </w:instrText>
      </w:r>
      <w:r>
        <w:fldChar w:fldCharType="separate"/>
      </w:r>
      <w:r w:rsidR="00A43EF3" w:rsidRPr="00A43EF3">
        <w:rPr>
          <w:rFonts w:eastAsia="Times New Roman" w:cs="Times New Roman"/>
          <w:szCs w:val="24"/>
        </w:rPr>
        <w:t>Таблица 14</w:t>
      </w:r>
      <w:r>
        <w:fldChar w:fldCharType="end"/>
      </w:r>
      <w:r w:rsidRPr="009F6D1E">
        <w:rPr>
          <w:rFonts w:eastAsia="Times New Roman" w:cs="Times New Roman"/>
          <w:szCs w:val="24"/>
        </w:rPr>
        <w:t>.</w:t>
      </w:r>
    </w:p>
    <w:p w14:paraId="11795E84" w14:textId="0D10E816" w:rsidR="005B1C6B" w:rsidRPr="009F6D1E" w:rsidRDefault="008A7E6F" w:rsidP="0084747F">
      <w:pPr>
        <w:pStyle w:val="Caption"/>
        <w:spacing w:after="60" w:line="264" w:lineRule="auto"/>
      </w:pPr>
      <w:bookmarkStart w:id="268" w:name="_Ref97396410"/>
      <w:bookmarkStart w:id="269" w:name="bookmark1"/>
      <w:bookmarkStart w:id="270" w:name="_Toc115255165"/>
      <w:r w:rsidRPr="009F6D1E">
        <w:lastRenderedPageBreak/>
        <w:t xml:space="preserve">Таблица </w:t>
      </w:r>
      <w:fldSimple w:instr=" SEQ Таблица \* ARABIC ">
        <w:r w:rsidR="00A43EF3">
          <w:rPr>
            <w:noProof/>
          </w:rPr>
          <w:t>14</w:t>
        </w:r>
      </w:fldSimple>
      <w:bookmarkEnd w:id="268"/>
      <w:r w:rsidRPr="009F6D1E">
        <w:t xml:space="preserve">: </w:t>
      </w:r>
      <w:r w:rsidR="005B1C6B" w:rsidRPr="009F6D1E">
        <w:t xml:space="preserve">Оценка на химично и екологично състояние на повърхностни водни тела, категория „реки“ на територията на </w:t>
      </w:r>
      <w:proofErr w:type="spellStart"/>
      <w:r w:rsidR="005B1C6B" w:rsidRPr="009F6D1E">
        <w:t>БДЗБР,</w:t>
      </w:r>
      <w:bookmarkStart w:id="271" w:name="bookmark2"/>
      <w:bookmarkEnd w:id="269"/>
      <w:r w:rsidR="005B1C6B" w:rsidRPr="009F6D1E">
        <w:t>съгласно</w:t>
      </w:r>
      <w:proofErr w:type="spellEnd"/>
      <w:r w:rsidR="005B1C6B" w:rsidRPr="009F6D1E">
        <w:t xml:space="preserve"> ПУРБ 2016-2021 г.</w:t>
      </w:r>
      <w:bookmarkEnd w:id="270"/>
      <w:bookmarkEnd w:id="271"/>
    </w:p>
    <w:tbl>
      <w:tblPr>
        <w:tblOverlap w:val="never"/>
        <w:tblW w:w="0" w:type="auto"/>
        <w:jc w:val="center"/>
        <w:tblCellMar>
          <w:left w:w="10" w:type="dxa"/>
          <w:right w:w="10" w:type="dxa"/>
        </w:tblCellMar>
        <w:tblLook w:val="0000" w:firstRow="0" w:lastRow="0" w:firstColumn="0" w:lastColumn="0" w:noHBand="0" w:noVBand="0"/>
      </w:tblPr>
      <w:tblGrid>
        <w:gridCol w:w="460"/>
        <w:gridCol w:w="1776"/>
        <w:gridCol w:w="8481"/>
        <w:gridCol w:w="1985"/>
        <w:gridCol w:w="1576"/>
      </w:tblGrid>
      <w:tr w:rsidR="007E18C8" w:rsidRPr="009F6D1E" w14:paraId="5049E441" w14:textId="77777777" w:rsidTr="007E18C8">
        <w:trPr>
          <w:trHeight w:hRule="exact" w:val="752"/>
          <w:tblHeader/>
          <w:jc w:val="center"/>
        </w:trPr>
        <w:tc>
          <w:tcPr>
            <w:tcW w:w="0" w:type="auto"/>
            <w:tcBorders>
              <w:top w:val="single" w:sz="4" w:space="0" w:color="auto"/>
              <w:left w:val="single" w:sz="4" w:space="0" w:color="auto"/>
              <w:bottom w:val="single" w:sz="4" w:space="0" w:color="auto"/>
            </w:tcBorders>
            <w:shd w:val="pct20" w:color="auto" w:fill="FFFFFF"/>
            <w:vAlign w:val="center"/>
          </w:tcPr>
          <w:p w14:paraId="782BB163" w14:textId="77777777" w:rsidR="005B1C6B" w:rsidRPr="009F6D1E" w:rsidRDefault="005B1C6B" w:rsidP="0084747F">
            <w:pPr>
              <w:spacing w:after="60" w:line="264" w:lineRule="auto"/>
              <w:ind w:left="200"/>
              <w:jc w:val="center"/>
              <w:rPr>
                <w:rFonts w:cs="Times New Roman"/>
                <w:b/>
                <w:sz w:val="20"/>
                <w:szCs w:val="20"/>
              </w:rPr>
            </w:pPr>
            <w:r w:rsidRPr="009F6D1E">
              <w:rPr>
                <w:rStyle w:val="Bodytext210pt"/>
                <w:rFonts w:eastAsiaTheme="minorHAnsi"/>
                <w:b/>
              </w:rPr>
              <w:t>№</w:t>
            </w:r>
          </w:p>
        </w:tc>
        <w:tc>
          <w:tcPr>
            <w:tcW w:w="0" w:type="auto"/>
            <w:tcBorders>
              <w:top w:val="single" w:sz="4" w:space="0" w:color="auto"/>
              <w:left w:val="single" w:sz="4" w:space="0" w:color="auto"/>
              <w:bottom w:val="single" w:sz="4" w:space="0" w:color="auto"/>
            </w:tcBorders>
            <w:shd w:val="pct20" w:color="auto" w:fill="FFFFFF"/>
            <w:vAlign w:val="center"/>
          </w:tcPr>
          <w:p w14:paraId="3F410F16" w14:textId="77777777" w:rsidR="005B1C6B" w:rsidRPr="009F6D1E" w:rsidRDefault="005B1C6B" w:rsidP="0084747F">
            <w:pPr>
              <w:spacing w:after="60" w:line="264" w:lineRule="auto"/>
              <w:jc w:val="center"/>
              <w:rPr>
                <w:rFonts w:cs="Times New Roman"/>
                <w:b/>
                <w:sz w:val="20"/>
                <w:szCs w:val="20"/>
              </w:rPr>
            </w:pPr>
            <w:r w:rsidRPr="009F6D1E">
              <w:rPr>
                <w:rStyle w:val="Bodytext210pt"/>
                <w:rFonts w:eastAsiaTheme="minorHAnsi"/>
                <w:b/>
              </w:rPr>
              <w:t>Код на водното тяло</w:t>
            </w:r>
          </w:p>
        </w:tc>
        <w:tc>
          <w:tcPr>
            <w:tcW w:w="0" w:type="auto"/>
            <w:tcBorders>
              <w:top w:val="single" w:sz="4" w:space="0" w:color="auto"/>
              <w:left w:val="single" w:sz="4" w:space="0" w:color="auto"/>
              <w:bottom w:val="single" w:sz="4" w:space="0" w:color="auto"/>
            </w:tcBorders>
            <w:shd w:val="pct20" w:color="auto" w:fill="FFFFFF"/>
            <w:vAlign w:val="center"/>
          </w:tcPr>
          <w:p w14:paraId="3DEC9D07" w14:textId="77777777" w:rsidR="005B1C6B" w:rsidRPr="009F6D1E" w:rsidRDefault="005B1C6B" w:rsidP="0084747F">
            <w:pPr>
              <w:spacing w:after="60" w:line="264" w:lineRule="auto"/>
              <w:jc w:val="center"/>
              <w:rPr>
                <w:rFonts w:cs="Times New Roman"/>
                <w:b/>
                <w:sz w:val="20"/>
                <w:szCs w:val="20"/>
              </w:rPr>
            </w:pPr>
            <w:r w:rsidRPr="009F6D1E">
              <w:rPr>
                <w:rStyle w:val="Bodytext210pt"/>
                <w:rFonts w:eastAsiaTheme="minorHAnsi"/>
                <w:b/>
              </w:rPr>
              <w:t>Географско описание</w:t>
            </w:r>
          </w:p>
        </w:tc>
        <w:tc>
          <w:tcPr>
            <w:tcW w:w="0" w:type="auto"/>
            <w:tcBorders>
              <w:top w:val="single" w:sz="4" w:space="0" w:color="auto"/>
              <w:left w:val="single" w:sz="4" w:space="0" w:color="auto"/>
              <w:bottom w:val="single" w:sz="4" w:space="0" w:color="auto"/>
            </w:tcBorders>
            <w:shd w:val="pct20" w:color="auto" w:fill="FFFFFF"/>
            <w:vAlign w:val="center"/>
          </w:tcPr>
          <w:p w14:paraId="3950EDCF" w14:textId="77777777" w:rsidR="005B1C6B" w:rsidRPr="009F6D1E" w:rsidRDefault="005B1C6B" w:rsidP="0084747F">
            <w:pPr>
              <w:spacing w:after="60" w:line="264" w:lineRule="auto"/>
              <w:jc w:val="center"/>
              <w:rPr>
                <w:rFonts w:cs="Times New Roman"/>
                <w:b/>
                <w:sz w:val="20"/>
                <w:szCs w:val="20"/>
              </w:rPr>
            </w:pPr>
            <w:r w:rsidRPr="009F6D1E">
              <w:rPr>
                <w:rStyle w:val="Bodytext210pt"/>
                <w:rFonts w:eastAsiaTheme="minorHAnsi"/>
                <w:b/>
              </w:rPr>
              <w:t>Екологично</w:t>
            </w:r>
          </w:p>
          <w:p w14:paraId="70BFF6FD" w14:textId="77777777" w:rsidR="005B1C6B" w:rsidRPr="009F6D1E" w:rsidRDefault="005B1C6B" w:rsidP="0084747F">
            <w:pPr>
              <w:spacing w:after="60" w:line="264" w:lineRule="auto"/>
              <w:jc w:val="center"/>
              <w:rPr>
                <w:rFonts w:cs="Times New Roman"/>
                <w:b/>
                <w:sz w:val="20"/>
                <w:szCs w:val="20"/>
              </w:rPr>
            </w:pPr>
            <w:r w:rsidRPr="009F6D1E">
              <w:rPr>
                <w:rStyle w:val="Bodytext210pt"/>
                <w:rFonts w:eastAsiaTheme="minorHAnsi"/>
                <w:b/>
              </w:rPr>
              <w:t>състояние/потенциал</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center"/>
          </w:tcPr>
          <w:p w14:paraId="0F732B1E" w14:textId="77777777" w:rsidR="005B1C6B" w:rsidRPr="009F6D1E" w:rsidRDefault="005B1C6B" w:rsidP="0084747F">
            <w:pPr>
              <w:spacing w:after="60" w:line="264" w:lineRule="auto"/>
              <w:jc w:val="center"/>
              <w:rPr>
                <w:rFonts w:cs="Times New Roman"/>
                <w:b/>
                <w:sz w:val="20"/>
                <w:szCs w:val="20"/>
              </w:rPr>
            </w:pPr>
            <w:r w:rsidRPr="009F6D1E">
              <w:rPr>
                <w:rStyle w:val="Bodytext210pt"/>
                <w:rFonts w:eastAsiaTheme="minorHAnsi"/>
                <w:b/>
              </w:rPr>
              <w:t>Химично състояние</w:t>
            </w:r>
          </w:p>
        </w:tc>
      </w:tr>
      <w:tr w:rsidR="007E18C8" w:rsidRPr="009F6D1E" w14:paraId="6FE619D7"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3DC680F5" w14:textId="77777777" w:rsidR="005B1C6B" w:rsidRPr="009F6D1E" w:rsidRDefault="005B1C6B" w:rsidP="0084747F">
            <w:pPr>
              <w:spacing w:after="60" w:line="264" w:lineRule="auto"/>
              <w:ind w:left="200"/>
              <w:rPr>
                <w:rFonts w:cs="Times New Roman"/>
                <w:sz w:val="20"/>
                <w:szCs w:val="20"/>
              </w:rPr>
            </w:pPr>
            <w:r w:rsidRPr="009F6D1E">
              <w:rPr>
                <w:rStyle w:val="Bodytext210pt"/>
                <w:rFonts w:eastAsia="ヒラギノ角ゴ Pro W3"/>
              </w:rPr>
              <w:t>1</w:t>
            </w:r>
          </w:p>
        </w:tc>
        <w:tc>
          <w:tcPr>
            <w:tcW w:w="0" w:type="auto"/>
            <w:tcBorders>
              <w:top w:val="single" w:sz="4" w:space="0" w:color="auto"/>
              <w:left w:val="single" w:sz="4" w:space="0" w:color="auto"/>
            </w:tcBorders>
            <w:shd w:val="clear" w:color="auto" w:fill="FFFFFF"/>
            <w:vAlign w:val="center"/>
          </w:tcPr>
          <w:p w14:paraId="034E0DB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BG4DO135R1</w:t>
            </w:r>
            <w:r w:rsidRPr="009F6D1E">
              <w:rPr>
                <w:rStyle w:val="Bodytext210pt"/>
                <w:rFonts w:eastAsia="ヒラギノ角ゴ Pro W3"/>
              </w:rPr>
              <w:t>118</w:t>
            </w:r>
          </w:p>
        </w:tc>
        <w:tc>
          <w:tcPr>
            <w:tcW w:w="0" w:type="auto"/>
            <w:tcBorders>
              <w:top w:val="single" w:sz="4" w:space="0" w:color="auto"/>
              <w:left w:val="single" w:sz="4" w:space="0" w:color="auto"/>
            </w:tcBorders>
            <w:shd w:val="clear" w:color="auto" w:fill="FFFFFF"/>
          </w:tcPr>
          <w:p w14:paraId="64704592" w14:textId="65E6254A"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Д</w:t>
            </w:r>
            <w:r w:rsidR="008C39A2">
              <w:rPr>
                <w:rStyle w:val="Bodytext210pt"/>
                <w:rFonts w:eastAsia="ヒラギノ角ゴ Pro W3"/>
              </w:rPr>
              <w:t>осп</w:t>
            </w:r>
            <w:r w:rsidRPr="009F6D1E">
              <w:rPr>
                <w:rStyle w:val="Bodytext210pt"/>
                <w:rFonts w:eastAsia="ヒラギノ角ゴ Pro W3"/>
              </w:rPr>
              <w:t>ат от язовир Д</w:t>
            </w:r>
            <w:r w:rsidR="008C39A2">
              <w:rPr>
                <w:rStyle w:val="Bodytext210pt"/>
                <w:rFonts w:eastAsia="ヒラギノ角ゴ Pro W3"/>
              </w:rPr>
              <w:t>осп</w:t>
            </w:r>
            <w:r w:rsidRPr="009F6D1E">
              <w:rPr>
                <w:rStyle w:val="Bodytext210pt"/>
                <w:rFonts w:eastAsia="ヒラギノ角ゴ Pro W3"/>
              </w:rPr>
              <w:t>ат до българо-гръцката граница</w:t>
            </w:r>
          </w:p>
        </w:tc>
        <w:tc>
          <w:tcPr>
            <w:tcW w:w="0" w:type="auto"/>
            <w:tcBorders>
              <w:top w:val="single" w:sz="4" w:space="0" w:color="auto"/>
              <w:left w:val="single" w:sz="4" w:space="0" w:color="auto"/>
            </w:tcBorders>
            <w:shd w:val="clear" w:color="auto" w:fill="FFFFFF"/>
          </w:tcPr>
          <w:p w14:paraId="4229DF1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5B5F3E4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55E5D7E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97A2F56"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w:t>
            </w:r>
          </w:p>
        </w:tc>
        <w:tc>
          <w:tcPr>
            <w:tcW w:w="0" w:type="auto"/>
            <w:tcBorders>
              <w:top w:val="single" w:sz="4" w:space="0" w:color="auto"/>
              <w:left w:val="single" w:sz="4" w:space="0" w:color="auto"/>
            </w:tcBorders>
            <w:shd w:val="clear" w:color="auto" w:fill="FFFFFF"/>
            <w:vAlign w:val="center"/>
          </w:tcPr>
          <w:p w14:paraId="0F76D52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BG4DO135R1</w:t>
            </w:r>
            <w:r w:rsidRPr="009F6D1E">
              <w:rPr>
                <w:rStyle w:val="Bodytext210pt"/>
                <w:rFonts w:eastAsia="ヒラギノ角ゴ Pro W3"/>
              </w:rPr>
              <w:t>1180</w:t>
            </w:r>
          </w:p>
        </w:tc>
        <w:tc>
          <w:tcPr>
            <w:tcW w:w="0" w:type="auto"/>
            <w:tcBorders>
              <w:top w:val="single" w:sz="4" w:space="0" w:color="auto"/>
              <w:left w:val="single" w:sz="4" w:space="0" w:color="auto"/>
            </w:tcBorders>
            <w:shd w:val="clear" w:color="auto" w:fill="FFFFFF"/>
          </w:tcPr>
          <w:p w14:paraId="5CDCFE8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Владово дере от изворите до кота 1090 м. /</w:t>
            </w:r>
          </w:p>
        </w:tc>
        <w:tc>
          <w:tcPr>
            <w:tcW w:w="0" w:type="auto"/>
            <w:tcBorders>
              <w:top w:val="single" w:sz="4" w:space="0" w:color="auto"/>
              <w:left w:val="single" w:sz="4" w:space="0" w:color="auto"/>
            </w:tcBorders>
            <w:shd w:val="clear" w:color="auto" w:fill="FFFFFF"/>
          </w:tcPr>
          <w:p w14:paraId="251C8EE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3A401C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84A8711"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6D99CA1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w:t>
            </w:r>
          </w:p>
        </w:tc>
        <w:tc>
          <w:tcPr>
            <w:tcW w:w="0" w:type="auto"/>
            <w:tcBorders>
              <w:top w:val="single" w:sz="4" w:space="0" w:color="auto"/>
              <w:left w:val="single" w:sz="4" w:space="0" w:color="auto"/>
            </w:tcBorders>
            <w:shd w:val="clear" w:color="auto" w:fill="FFFFFF"/>
            <w:vAlign w:val="center"/>
          </w:tcPr>
          <w:p w14:paraId="3FEA74C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BG4DO135R121</w:t>
            </w:r>
          </w:p>
        </w:tc>
        <w:tc>
          <w:tcPr>
            <w:tcW w:w="0" w:type="auto"/>
            <w:tcBorders>
              <w:top w:val="single" w:sz="4" w:space="0" w:color="auto"/>
              <w:left w:val="single" w:sz="4" w:space="0" w:color="auto"/>
            </w:tcBorders>
            <w:shd w:val="clear" w:color="auto" w:fill="FFFFFF"/>
          </w:tcPr>
          <w:p w14:paraId="208FA8FA" w14:textId="0660845E"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Осинска</w:t>
            </w:r>
            <w:proofErr w:type="spellEnd"/>
            <w:r w:rsidRPr="009F6D1E">
              <w:rPr>
                <w:rStyle w:val="Bodytext210pt"/>
                <w:rFonts w:eastAsia="ヒラギノ角ゴ Pro W3"/>
              </w:rPr>
              <w:t xml:space="preserve"> от изворите до вливане в р. Д</w:t>
            </w:r>
            <w:r w:rsidR="008C39A2">
              <w:rPr>
                <w:rStyle w:val="Bodytext210pt"/>
                <w:rFonts w:eastAsia="ヒラギノ角ゴ Pro W3"/>
              </w:rPr>
              <w:t>осп</w:t>
            </w:r>
            <w:r w:rsidRPr="009F6D1E">
              <w:rPr>
                <w:rStyle w:val="Bodytext210pt"/>
                <w:rFonts w:eastAsia="ヒラギノ角ゴ Pro W3"/>
              </w:rPr>
              <w:t>ат</w:t>
            </w:r>
          </w:p>
        </w:tc>
        <w:tc>
          <w:tcPr>
            <w:tcW w:w="0" w:type="auto"/>
            <w:tcBorders>
              <w:top w:val="single" w:sz="4" w:space="0" w:color="auto"/>
              <w:left w:val="single" w:sz="4" w:space="0" w:color="auto"/>
            </w:tcBorders>
            <w:shd w:val="clear" w:color="auto" w:fill="FFFFFF"/>
          </w:tcPr>
          <w:p w14:paraId="425243C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8FE212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1C68FFC"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E2C965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w:t>
            </w:r>
          </w:p>
        </w:tc>
        <w:tc>
          <w:tcPr>
            <w:tcW w:w="0" w:type="auto"/>
            <w:tcBorders>
              <w:top w:val="single" w:sz="4" w:space="0" w:color="auto"/>
              <w:left w:val="single" w:sz="4" w:space="0" w:color="auto"/>
            </w:tcBorders>
            <w:shd w:val="clear" w:color="auto" w:fill="FFFFFF"/>
            <w:vAlign w:val="center"/>
          </w:tcPr>
          <w:p w14:paraId="6F8FF7C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BG4DO600R1</w:t>
            </w:r>
            <w:r w:rsidRPr="009F6D1E">
              <w:rPr>
                <w:rStyle w:val="Bodytext210pt"/>
                <w:rFonts w:eastAsia="ヒラギノ角ゴ Pro W3"/>
              </w:rPr>
              <w:t>120</w:t>
            </w:r>
          </w:p>
        </w:tc>
        <w:tc>
          <w:tcPr>
            <w:tcW w:w="0" w:type="auto"/>
            <w:tcBorders>
              <w:top w:val="single" w:sz="4" w:space="0" w:color="auto"/>
              <w:left w:val="single" w:sz="4" w:space="0" w:color="auto"/>
            </w:tcBorders>
            <w:shd w:val="clear" w:color="auto" w:fill="FFFFFF"/>
          </w:tcPr>
          <w:p w14:paraId="01221A71" w14:textId="06A471B0"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Сърнена (Караджа дере) с притоците от кота 1230 м. до вливане в р. Д</w:t>
            </w:r>
            <w:r w:rsidR="008C39A2">
              <w:rPr>
                <w:rStyle w:val="Bodytext210pt"/>
                <w:rFonts w:eastAsia="ヒラギノ角ゴ Pro W3"/>
              </w:rPr>
              <w:t>осп</w:t>
            </w:r>
            <w:r w:rsidRPr="009F6D1E">
              <w:rPr>
                <w:rStyle w:val="Bodytext210pt"/>
                <w:rFonts w:eastAsia="ヒラギノ角ゴ Pro W3"/>
              </w:rPr>
              <w:t>ат</w:t>
            </w:r>
          </w:p>
        </w:tc>
        <w:tc>
          <w:tcPr>
            <w:tcW w:w="0" w:type="auto"/>
            <w:tcBorders>
              <w:top w:val="single" w:sz="4" w:space="0" w:color="auto"/>
              <w:left w:val="single" w:sz="4" w:space="0" w:color="auto"/>
            </w:tcBorders>
            <w:shd w:val="clear" w:color="auto" w:fill="FFFFFF"/>
          </w:tcPr>
          <w:p w14:paraId="145CFF8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EC474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D5E971A"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98E9DA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w:t>
            </w:r>
          </w:p>
        </w:tc>
        <w:tc>
          <w:tcPr>
            <w:tcW w:w="0" w:type="auto"/>
            <w:tcBorders>
              <w:top w:val="single" w:sz="4" w:space="0" w:color="auto"/>
              <w:left w:val="single" w:sz="4" w:space="0" w:color="auto"/>
            </w:tcBorders>
            <w:shd w:val="clear" w:color="auto" w:fill="FFFFFF"/>
            <w:vAlign w:val="center"/>
          </w:tcPr>
          <w:p w14:paraId="0F42C0C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BG4DO600R1</w:t>
            </w:r>
            <w:r w:rsidRPr="009F6D1E">
              <w:rPr>
                <w:rStyle w:val="Bodytext210pt"/>
                <w:rFonts w:eastAsia="ヒラギノ角ゴ Pro W3"/>
              </w:rPr>
              <w:t>1200</w:t>
            </w:r>
          </w:p>
        </w:tc>
        <w:tc>
          <w:tcPr>
            <w:tcW w:w="0" w:type="auto"/>
            <w:tcBorders>
              <w:top w:val="single" w:sz="4" w:space="0" w:color="auto"/>
              <w:left w:val="single" w:sz="4" w:space="0" w:color="auto"/>
            </w:tcBorders>
            <w:shd w:val="clear" w:color="auto" w:fill="FFFFFF"/>
          </w:tcPr>
          <w:p w14:paraId="0EE9384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Сърнена (Караджа дере) с притоците от изворите до кота 1230 м</w:t>
            </w:r>
          </w:p>
        </w:tc>
        <w:tc>
          <w:tcPr>
            <w:tcW w:w="0" w:type="auto"/>
            <w:tcBorders>
              <w:top w:val="single" w:sz="4" w:space="0" w:color="auto"/>
              <w:left w:val="single" w:sz="4" w:space="0" w:color="auto"/>
            </w:tcBorders>
            <w:shd w:val="clear" w:color="auto" w:fill="FFFFFF"/>
          </w:tcPr>
          <w:p w14:paraId="241FD96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4E4ECD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949DFF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0D76D5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w:t>
            </w:r>
          </w:p>
        </w:tc>
        <w:tc>
          <w:tcPr>
            <w:tcW w:w="0" w:type="auto"/>
            <w:tcBorders>
              <w:top w:val="single" w:sz="4" w:space="0" w:color="auto"/>
              <w:left w:val="single" w:sz="4" w:space="0" w:color="auto"/>
            </w:tcBorders>
            <w:shd w:val="clear" w:color="auto" w:fill="FFFFFF"/>
            <w:vAlign w:val="center"/>
          </w:tcPr>
          <w:p w14:paraId="638A01C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BG4DO600R1</w:t>
            </w:r>
            <w:r w:rsidRPr="009F6D1E">
              <w:rPr>
                <w:rStyle w:val="Bodytext210pt"/>
                <w:rFonts w:eastAsia="ヒラギノ角ゴ Pro W3"/>
              </w:rPr>
              <w:t>1201</w:t>
            </w:r>
          </w:p>
        </w:tc>
        <w:tc>
          <w:tcPr>
            <w:tcW w:w="0" w:type="auto"/>
            <w:tcBorders>
              <w:top w:val="single" w:sz="4" w:space="0" w:color="auto"/>
              <w:left w:val="single" w:sz="4" w:space="0" w:color="auto"/>
            </w:tcBorders>
            <w:shd w:val="clear" w:color="auto" w:fill="FFFFFF"/>
          </w:tcPr>
          <w:p w14:paraId="407366C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Черешковица</w:t>
            </w:r>
            <w:proofErr w:type="spellEnd"/>
            <w:r w:rsidRPr="009F6D1E">
              <w:rPr>
                <w:rStyle w:val="Bodytext210pt"/>
                <w:rFonts w:eastAsia="ヒラギノ角ゴ Pro W3"/>
              </w:rPr>
              <w:t xml:space="preserve"> от изворите до кота 1240 м. </w:t>
            </w:r>
            <w:r w:rsidRPr="009F6D1E">
              <w:rPr>
                <w:rStyle w:val="Bodytext210pt"/>
                <w:rFonts w:eastAsiaTheme="minorHAnsi"/>
                <w:b/>
                <w:bCs/>
              </w:rPr>
              <w:t>/</w:t>
            </w:r>
          </w:p>
        </w:tc>
        <w:tc>
          <w:tcPr>
            <w:tcW w:w="0" w:type="auto"/>
            <w:tcBorders>
              <w:top w:val="single" w:sz="4" w:space="0" w:color="auto"/>
              <w:left w:val="single" w:sz="4" w:space="0" w:color="auto"/>
            </w:tcBorders>
            <w:shd w:val="clear" w:color="auto" w:fill="FFFFFF"/>
          </w:tcPr>
          <w:p w14:paraId="263B58D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DCBAA1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A6DBB9B"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222FBB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w:t>
            </w:r>
          </w:p>
        </w:tc>
        <w:tc>
          <w:tcPr>
            <w:tcW w:w="0" w:type="auto"/>
            <w:tcBorders>
              <w:top w:val="single" w:sz="4" w:space="0" w:color="auto"/>
              <w:left w:val="single" w:sz="4" w:space="0" w:color="auto"/>
            </w:tcBorders>
            <w:shd w:val="clear" w:color="auto" w:fill="FFFFFF"/>
            <w:vAlign w:val="center"/>
          </w:tcPr>
          <w:p w14:paraId="531FC9F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BG4DO600R122</w:t>
            </w:r>
          </w:p>
        </w:tc>
        <w:tc>
          <w:tcPr>
            <w:tcW w:w="0" w:type="auto"/>
            <w:tcBorders>
              <w:top w:val="single" w:sz="4" w:space="0" w:color="auto"/>
              <w:left w:val="single" w:sz="4" w:space="0" w:color="auto"/>
            </w:tcBorders>
            <w:shd w:val="clear" w:color="auto" w:fill="FFFFFF"/>
          </w:tcPr>
          <w:p w14:paraId="0594CA54" w14:textId="6F7947FD"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Жижовска</w:t>
            </w:r>
            <w:proofErr w:type="spellEnd"/>
            <w:r w:rsidRPr="009F6D1E">
              <w:rPr>
                <w:rStyle w:val="Bodytext210pt"/>
                <w:rFonts w:eastAsia="ヒラギノ角ゴ Pro W3"/>
              </w:rPr>
              <w:t xml:space="preserve"> от изворите до вливане в р. Д</w:t>
            </w:r>
            <w:r w:rsidR="008C39A2">
              <w:rPr>
                <w:rStyle w:val="Bodytext210pt"/>
                <w:rFonts w:eastAsia="ヒラギノ角ゴ Pro W3"/>
              </w:rPr>
              <w:t>осп</w:t>
            </w:r>
            <w:r w:rsidRPr="009F6D1E">
              <w:rPr>
                <w:rStyle w:val="Bodytext210pt"/>
                <w:rFonts w:eastAsia="ヒラギノ角ゴ Pro W3"/>
              </w:rPr>
              <w:t>ат</w:t>
            </w:r>
          </w:p>
        </w:tc>
        <w:tc>
          <w:tcPr>
            <w:tcW w:w="0" w:type="auto"/>
            <w:tcBorders>
              <w:top w:val="single" w:sz="4" w:space="0" w:color="auto"/>
              <w:left w:val="single" w:sz="4" w:space="0" w:color="auto"/>
            </w:tcBorders>
            <w:shd w:val="clear" w:color="auto" w:fill="FFFFFF"/>
          </w:tcPr>
          <w:p w14:paraId="38229CB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22E29B5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CCDD40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EC31E3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8</w:t>
            </w:r>
          </w:p>
        </w:tc>
        <w:tc>
          <w:tcPr>
            <w:tcW w:w="0" w:type="auto"/>
            <w:tcBorders>
              <w:top w:val="single" w:sz="4" w:space="0" w:color="auto"/>
              <w:left w:val="single" w:sz="4" w:space="0" w:color="auto"/>
            </w:tcBorders>
            <w:shd w:val="clear" w:color="auto" w:fill="FFFFFF"/>
            <w:vAlign w:val="center"/>
          </w:tcPr>
          <w:p w14:paraId="6E6A4BC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BG4DO900R1</w:t>
            </w:r>
            <w:r w:rsidRPr="009F6D1E">
              <w:rPr>
                <w:rStyle w:val="Bodytext210pt"/>
                <w:rFonts w:eastAsia="ヒラギノ角ゴ Pro W3"/>
              </w:rPr>
              <w:t>16</w:t>
            </w:r>
          </w:p>
        </w:tc>
        <w:tc>
          <w:tcPr>
            <w:tcW w:w="0" w:type="auto"/>
            <w:tcBorders>
              <w:top w:val="single" w:sz="4" w:space="0" w:color="auto"/>
              <w:left w:val="single" w:sz="4" w:space="0" w:color="auto"/>
            </w:tcBorders>
            <w:shd w:val="clear" w:color="auto" w:fill="FFFFFF"/>
          </w:tcPr>
          <w:p w14:paraId="7EEA663C" w14:textId="0284073A"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Д</w:t>
            </w:r>
            <w:r w:rsidR="008C39A2">
              <w:rPr>
                <w:rStyle w:val="Bodytext210pt"/>
                <w:rFonts w:eastAsia="ヒラギノ角ゴ Pro W3"/>
              </w:rPr>
              <w:t>осп</w:t>
            </w:r>
            <w:r w:rsidRPr="009F6D1E">
              <w:rPr>
                <w:rStyle w:val="Bodytext210pt"/>
                <w:rFonts w:eastAsia="ヒラギノ角ゴ Pro W3"/>
              </w:rPr>
              <w:t>ат от изворите до язовир Д</w:t>
            </w:r>
            <w:r w:rsidR="008C39A2">
              <w:rPr>
                <w:rStyle w:val="Bodytext210pt"/>
                <w:rFonts w:eastAsia="ヒラギノ角ゴ Pro W3"/>
              </w:rPr>
              <w:t>осп</w:t>
            </w:r>
            <w:r w:rsidRPr="009F6D1E">
              <w:rPr>
                <w:rStyle w:val="Bodytext210pt"/>
                <w:rFonts w:eastAsia="ヒラギノ角ゴ Pro W3"/>
              </w:rPr>
              <w:t>ат</w:t>
            </w:r>
          </w:p>
        </w:tc>
        <w:tc>
          <w:tcPr>
            <w:tcW w:w="0" w:type="auto"/>
            <w:tcBorders>
              <w:top w:val="single" w:sz="4" w:space="0" w:color="auto"/>
              <w:left w:val="single" w:sz="4" w:space="0" w:color="auto"/>
            </w:tcBorders>
            <w:shd w:val="clear" w:color="auto" w:fill="FFFFFF"/>
          </w:tcPr>
          <w:p w14:paraId="016114B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04639EC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02B0278"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7F4D448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9</w:t>
            </w:r>
          </w:p>
        </w:tc>
        <w:tc>
          <w:tcPr>
            <w:tcW w:w="0" w:type="auto"/>
            <w:tcBorders>
              <w:top w:val="single" w:sz="4" w:space="0" w:color="auto"/>
              <w:left w:val="single" w:sz="4" w:space="0" w:color="auto"/>
            </w:tcBorders>
            <w:shd w:val="clear" w:color="auto" w:fill="FFFFFF"/>
            <w:vAlign w:val="center"/>
          </w:tcPr>
          <w:p w14:paraId="524A0FF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BG4ME100R113</w:t>
            </w:r>
          </w:p>
        </w:tc>
        <w:tc>
          <w:tcPr>
            <w:tcW w:w="0" w:type="auto"/>
            <w:tcBorders>
              <w:top w:val="single" w:sz="4" w:space="0" w:color="auto"/>
              <w:left w:val="single" w:sz="4" w:space="0" w:color="auto"/>
            </w:tcBorders>
            <w:shd w:val="clear" w:color="auto" w:fill="FFFFFF"/>
          </w:tcPr>
          <w:p w14:paraId="7E53170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Места от вливането на р. </w:t>
            </w:r>
            <w:proofErr w:type="spellStart"/>
            <w:r w:rsidRPr="009F6D1E">
              <w:rPr>
                <w:rStyle w:val="Bodytext210pt"/>
                <w:rFonts w:eastAsia="ヒラギノ角ゴ Pro W3"/>
              </w:rPr>
              <w:t>Мътница</w:t>
            </w:r>
            <w:proofErr w:type="spellEnd"/>
            <w:r w:rsidRPr="009F6D1E">
              <w:rPr>
                <w:rStyle w:val="Bodytext210pt"/>
                <w:rFonts w:eastAsia="ヒラギノ角ゴ Pro W3"/>
              </w:rPr>
              <w:t xml:space="preserve"> до границата</w:t>
            </w:r>
          </w:p>
        </w:tc>
        <w:tc>
          <w:tcPr>
            <w:tcW w:w="0" w:type="auto"/>
            <w:tcBorders>
              <w:top w:val="single" w:sz="4" w:space="0" w:color="auto"/>
              <w:left w:val="single" w:sz="4" w:space="0" w:color="auto"/>
            </w:tcBorders>
            <w:shd w:val="clear" w:color="auto" w:fill="FFFFFF"/>
          </w:tcPr>
          <w:p w14:paraId="54A7260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B6AEDA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D2348C5"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D0A8C4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10</w:t>
            </w:r>
          </w:p>
        </w:tc>
        <w:tc>
          <w:tcPr>
            <w:tcW w:w="0" w:type="auto"/>
            <w:tcBorders>
              <w:top w:val="single" w:sz="4" w:space="0" w:color="auto"/>
              <w:left w:val="single" w:sz="4" w:space="0" w:color="auto"/>
            </w:tcBorders>
            <w:shd w:val="clear" w:color="auto" w:fill="FFFFFF"/>
            <w:vAlign w:val="center"/>
          </w:tcPr>
          <w:p w14:paraId="28B4AC6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BG4ME200R1</w:t>
            </w:r>
            <w:r w:rsidRPr="009F6D1E">
              <w:rPr>
                <w:rStyle w:val="Bodytext210pt"/>
                <w:rFonts w:eastAsia="ヒラギノ角ゴ Pro W3"/>
              </w:rPr>
              <w:t>114</w:t>
            </w:r>
          </w:p>
        </w:tc>
        <w:tc>
          <w:tcPr>
            <w:tcW w:w="0" w:type="auto"/>
            <w:tcBorders>
              <w:top w:val="single" w:sz="4" w:space="0" w:color="auto"/>
              <w:left w:val="single" w:sz="4" w:space="0" w:color="auto"/>
            </w:tcBorders>
            <w:shd w:val="clear" w:color="auto" w:fill="FFFFFF"/>
          </w:tcPr>
          <w:p w14:paraId="3647BE9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Сатовчанска</w:t>
            </w:r>
            <w:proofErr w:type="spellEnd"/>
            <w:r w:rsidRPr="009F6D1E">
              <w:rPr>
                <w:rStyle w:val="Bodytext210pt"/>
                <w:rFonts w:eastAsia="ヒラギノ角ゴ Pro W3"/>
              </w:rPr>
              <w:t xml:space="preserve"> Бистрица от кота 1245 м. до вливане на десния й приток р. Дяволски дол</w:t>
            </w:r>
          </w:p>
        </w:tc>
        <w:tc>
          <w:tcPr>
            <w:tcW w:w="0" w:type="auto"/>
            <w:tcBorders>
              <w:top w:val="single" w:sz="4" w:space="0" w:color="auto"/>
              <w:left w:val="single" w:sz="4" w:space="0" w:color="auto"/>
            </w:tcBorders>
            <w:shd w:val="clear" w:color="auto" w:fill="FFFFFF"/>
          </w:tcPr>
          <w:p w14:paraId="79689840" w14:textId="77777777" w:rsidR="005B1C6B" w:rsidRPr="009F6D1E" w:rsidRDefault="007E18C8" w:rsidP="0084747F">
            <w:pPr>
              <w:spacing w:after="60" w:line="264" w:lineRule="auto"/>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c>
          <w:tcPr>
            <w:tcW w:w="0" w:type="auto"/>
            <w:tcBorders>
              <w:top w:val="single" w:sz="4" w:space="0" w:color="auto"/>
              <w:left w:val="single" w:sz="4" w:space="0" w:color="auto"/>
              <w:right w:val="single" w:sz="4" w:space="0" w:color="auto"/>
            </w:tcBorders>
            <w:shd w:val="clear" w:color="auto" w:fill="FFFFFF"/>
          </w:tcPr>
          <w:p w14:paraId="3CA5BBD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598C438"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DAB937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11</w:t>
            </w:r>
          </w:p>
        </w:tc>
        <w:tc>
          <w:tcPr>
            <w:tcW w:w="0" w:type="auto"/>
            <w:tcBorders>
              <w:top w:val="single" w:sz="4" w:space="0" w:color="auto"/>
              <w:left w:val="single" w:sz="4" w:space="0" w:color="auto"/>
            </w:tcBorders>
            <w:shd w:val="clear" w:color="auto" w:fill="FFFFFF"/>
            <w:vAlign w:val="center"/>
          </w:tcPr>
          <w:p w14:paraId="0A453DA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BG4ME200R1</w:t>
            </w:r>
            <w:r w:rsidRPr="009F6D1E">
              <w:rPr>
                <w:rStyle w:val="Bodytext210pt"/>
                <w:rFonts w:eastAsia="ヒラギノ角ゴ Pro W3"/>
              </w:rPr>
              <w:t>1140</w:t>
            </w:r>
          </w:p>
        </w:tc>
        <w:tc>
          <w:tcPr>
            <w:tcW w:w="0" w:type="auto"/>
            <w:tcBorders>
              <w:top w:val="single" w:sz="4" w:space="0" w:color="auto"/>
              <w:left w:val="single" w:sz="4" w:space="0" w:color="auto"/>
            </w:tcBorders>
            <w:shd w:val="clear" w:color="auto" w:fill="FFFFFF"/>
          </w:tcPr>
          <w:p w14:paraId="1D5A3DE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Сатовчанска</w:t>
            </w:r>
            <w:proofErr w:type="spellEnd"/>
            <w:r w:rsidRPr="009F6D1E">
              <w:rPr>
                <w:rStyle w:val="Bodytext210pt"/>
                <w:rFonts w:eastAsia="ヒラギノ角ゴ Pro W3"/>
              </w:rPr>
              <w:t xml:space="preserve"> Бистрица от изворите до кота 1245 м.</w:t>
            </w:r>
          </w:p>
        </w:tc>
        <w:tc>
          <w:tcPr>
            <w:tcW w:w="0" w:type="auto"/>
            <w:tcBorders>
              <w:top w:val="single" w:sz="4" w:space="0" w:color="auto"/>
              <w:left w:val="single" w:sz="4" w:space="0" w:color="auto"/>
            </w:tcBorders>
            <w:shd w:val="clear" w:color="auto" w:fill="FFFFFF"/>
          </w:tcPr>
          <w:p w14:paraId="2A06914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900250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5D21635C"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0AC9A46"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12</w:t>
            </w:r>
          </w:p>
        </w:tc>
        <w:tc>
          <w:tcPr>
            <w:tcW w:w="0" w:type="auto"/>
            <w:tcBorders>
              <w:top w:val="single" w:sz="4" w:space="0" w:color="auto"/>
              <w:left w:val="single" w:sz="4" w:space="0" w:color="auto"/>
            </w:tcBorders>
            <w:shd w:val="clear" w:color="auto" w:fill="FFFFFF"/>
            <w:vAlign w:val="center"/>
          </w:tcPr>
          <w:p w14:paraId="78A721B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BG4ME200R1</w:t>
            </w:r>
            <w:r w:rsidRPr="009F6D1E">
              <w:rPr>
                <w:rStyle w:val="Bodytext210pt"/>
                <w:rFonts w:eastAsia="ヒラギノ角ゴ Pro W3"/>
              </w:rPr>
              <w:t>1141</w:t>
            </w:r>
          </w:p>
        </w:tc>
        <w:tc>
          <w:tcPr>
            <w:tcW w:w="0" w:type="auto"/>
            <w:tcBorders>
              <w:top w:val="single" w:sz="4" w:space="0" w:color="auto"/>
              <w:left w:val="single" w:sz="4" w:space="0" w:color="auto"/>
            </w:tcBorders>
            <w:shd w:val="clear" w:color="auto" w:fill="FFFFFF"/>
          </w:tcPr>
          <w:p w14:paraId="3EC4F20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Хисарско ( Асаново) дере с десния си приток от изворите до кота 1205 м.</w:t>
            </w:r>
          </w:p>
        </w:tc>
        <w:tc>
          <w:tcPr>
            <w:tcW w:w="0" w:type="auto"/>
            <w:tcBorders>
              <w:top w:val="single" w:sz="4" w:space="0" w:color="auto"/>
              <w:left w:val="single" w:sz="4" w:space="0" w:color="auto"/>
            </w:tcBorders>
            <w:shd w:val="clear" w:color="auto" w:fill="FFFFFF"/>
          </w:tcPr>
          <w:p w14:paraId="2485AA5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6E3D2F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5BF80C3"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64EDB68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13</w:t>
            </w:r>
          </w:p>
        </w:tc>
        <w:tc>
          <w:tcPr>
            <w:tcW w:w="0" w:type="auto"/>
            <w:tcBorders>
              <w:top w:val="single" w:sz="4" w:space="0" w:color="auto"/>
              <w:left w:val="single" w:sz="4" w:space="0" w:color="auto"/>
            </w:tcBorders>
            <w:shd w:val="clear" w:color="auto" w:fill="FFFFFF"/>
            <w:vAlign w:val="center"/>
          </w:tcPr>
          <w:p w14:paraId="0E7F7D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BG4ME200R1</w:t>
            </w:r>
            <w:r w:rsidRPr="009F6D1E">
              <w:rPr>
                <w:rStyle w:val="Bodytext210pt"/>
                <w:rFonts w:eastAsia="ヒラギノ角ゴ Pro W3"/>
              </w:rPr>
              <w:t>15</w:t>
            </w:r>
          </w:p>
        </w:tc>
        <w:tc>
          <w:tcPr>
            <w:tcW w:w="0" w:type="auto"/>
            <w:tcBorders>
              <w:top w:val="single" w:sz="4" w:space="0" w:color="auto"/>
              <w:left w:val="single" w:sz="4" w:space="0" w:color="auto"/>
            </w:tcBorders>
            <w:shd w:val="clear" w:color="auto" w:fill="FFFFFF"/>
          </w:tcPr>
          <w:p w14:paraId="4BF513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Сатовчанска</w:t>
            </w:r>
            <w:proofErr w:type="spellEnd"/>
            <w:r w:rsidRPr="009F6D1E">
              <w:rPr>
                <w:rStyle w:val="Bodytext210pt"/>
                <w:rFonts w:eastAsia="ヒラギノ角ゴ Pro W3"/>
              </w:rPr>
              <w:t xml:space="preserve"> Бистрица от вливане на р. Дяволски дол до вливане в р. Места</w:t>
            </w:r>
          </w:p>
        </w:tc>
        <w:tc>
          <w:tcPr>
            <w:tcW w:w="0" w:type="auto"/>
            <w:tcBorders>
              <w:top w:val="single" w:sz="4" w:space="0" w:color="auto"/>
              <w:left w:val="single" w:sz="4" w:space="0" w:color="auto"/>
            </w:tcBorders>
            <w:shd w:val="clear" w:color="auto" w:fill="FFFFFF"/>
          </w:tcPr>
          <w:p w14:paraId="13F0B35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41D5E8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581F426"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EBB830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14</w:t>
            </w:r>
          </w:p>
        </w:tc>
        <w:tc>
          <w:tcPr>
            <w:tcW w:w="0" w:type="auto"/>
            <w:tcBorders>
              <w:top w:val="single" w:sz="4" w:space="0" w:color="auto"/>
              <w:left w:val="single" w:sz="4" w:space="0" w:color="auto"/>
            </w:tcBorders>
            <w:shd w:val="clear" w:color="auto" w:fill="FFFFFF"/>
            <w:vAlign w:val="center"/>
          </w:tcPr>
          <w:p w14:paraId="5A9E29E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BG4ME400R1</w:t>
            </w:r>
            <w:r w:rsidRPr="009F6D1E">
              <w:rPr>
                <w:rStyle w:val="Bodytext210pt"/>
                <w:rFonts w:eastAsia="ヒラギノ角ゴ Pro W3"/>
              </w:rPr>
              <w:t>12</w:t>
            </w:r>
          </w:p>
        </w:tc>
        <w:tc>
          <w:tcPr>
            <w:tcW w:w="0" w:type="auto"/>
            <w:tcBorders>
              <w:top w:val="single" w:sz="4" w:space="0" w:color="auto"/>
              <w:left w:val="single" w:sz="4" w:space="0" w:color="auto"/>
            </w:tcBorders>
            <w:shd w:val="clear" w:color="auto" w:fill="FFFFFF"/>
          </w:tcPr>
          <w:p w14:paraId="00BABA5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Мътница</w:t>
            </w:r>
            <w:proofErr w:type="spellEnd"/>
            <w:r w:rsidRPr="009F6D1E">
              <w:rPr>
                <w:rStyle w:val="Bodytext210pt"/>
                <w:rFonts w:eastAsia="ヒラギノ角ゴ Pro W3"/>
              </w:rPr>
              <w:t xml:space="preserve"> от изворите до вливане в р. Места</w:t>
            </w:r>
          </w:p>
        </w:tc>
        <w:tc>
          <w:tcPr>
            <w:tcW w:w="0" w:type="auto"/>
            <w:tcBorders>
              <w:top w:val="single" w:sz="4" w:space="0" w:color="auto"/>
              <w:left w:val="single" w:sz="4" w:space="0" w:color="auto"/>
            </w:tcBorders>
            <w:shd w:val="clear" w:color="auto" w:fill="FFFFFF"/>
          </w:tcPr>
          <w:p w14:paraId="168B8EA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2EB3C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194C314"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3580171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15</w:t>
            </w:r>
          </w:p>
        </w:tc>
        <w:tc>
          <w:tcPr>
            <w:tcW w:w="0" w:type="auto"/>
            <w:tcBorders>
              <w:top w:val="single" w:sz="4" w:space="0" w:color="auto"/>
              <w:left w:val="single" w:sz="4" w:space="0" w:color="auto"/>
            </w:tcBorders>
            <w:shd w:val="clear" w:color="auto" w:fill="FFFFFF"/>
            <w:vAlign w:val="center"/>
          </w:tcPr>
          <w:p w14:paraId="0E034FF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BG4ME500R107</w:t>
            </w:r>
          </w:p>
        </w:tc>
        <w:tc>
          <w:tcPr>
            <w:tcW w:w="0" w:type="auto"/>
            <w:tcBorders>
              <w:top w:val="single" w:sz="4" w:space="0" w:color="auto"/>
              <w:left w:val="single" w:sz="4" w:space="0" w:color="auto"/>
            </w:tcBorders>
            <w:shd w:val="clear" w:color="auto" w:fill="FFFFFF"/>
          </w:tcPr>
          <w:p w14:paraId="301FC77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Места от вливане на р. Канина до вливане на р. </w:t>
            </w:r>
            <w:proofErr w:type="spellStart"/>
            <w:r w:rsidRPr="009F6D1E">
              <w:rPr>
                <w:rStyle w:val="Bodytext210pt"/>
                <w:rFonts w:eastAsia="ヒラギノ角ゴ Pro W3"/>
              </w:rPr>
              <w:t>Мътница</w:t>
            </w:r>
            <w:proofErr w:type="spellEnd"/>
          </w:p>
        </w:tc>
        <w:tc>
          <w:tcPr>
            <w:tcW w:w="0" w:type="auto"/>
            <w:tcBorders>
              <w:top w:val="single" w:sz="4" w:space="0" w:color="auto"/>
              <w:left w:val="single" w:sz="4" w:space="0" w:color="auto"/>
            </w:tcBorders>
            <w:shd w:val="clear" w:color="auto" w:fill="FFFFFF"/>
          </w:tcPr>
          <w:p w14:paraId="4E3503E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добър потенциал</w:t>
            </w:r>
          </w:p>
        </w:tc>
        <w:tc>
          <w:tcPr>
            <w:tcW w:w="0" w:type="auto"/>
            <w:tcBorders>
              <w:top w:val="single" w:sz="4" w:space="0" w:color="auto"/>
              <w:left w:val="single" w:sz="4" w:space="0" w:color="auto"/>
              <w:right w:val="single" w:sz="4" w:space="0" w:color="auto"/>
            </w:tcBorders>
            <w:shd w:val="clear" w:color="auto" w:fill="FFFFFF"/>
          </w:tcPr>
          <w:p w14:paraId="62E40B5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D7D1471"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30CBD5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16</w:t>
            </w:r>
          </w:p>
        </w:tc>
        <w:tc>
          <w:tcPr>
            <w:tcW w:w="0" w:type="auto"/>
            <w:tcBorders>
              <w:top w:val="single" w:sz="4" w:space="0" w:color="auto"/>
              <w:left w:val="single" w:sz="4" w:space="0" w:color="auto"/>
            </w:tcBorders>
            <w:shd w:val="clear" w:color="auto" w:fill="FFFFFF"/>
            <w:vAlign w:val="center"/>
          </w:tcPr>
          <w:p w14:paraId="3AC9969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BG4ME500R108</w:t>
            </w:r>
          </w:p>
        </w:tc>
        <w:tc>
          <w:tcPr>
            <w:tcW w:w="0" w:type="auto"/>
            <w:tcBorders>
              <w:top w:val="single" w:sz="4" w:space="0" w:color="auto"/>
              <w:left w:val="single" w:sz="4" w:space="0" w:color="auto"/>
            </w:tcBorders>
            <w:shd w:val="clear" w:color="auto" w:fill="FFFFFF"/>
          </w:tcPr>
          <w:p w14:paraId="62A2F7B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Неврокопска (</w:t>
            </w:r>
            <w:proofErr w:type="spellStart"/>
            <w:r w:rsidRPr="009F6D1E">
              <w:rPr>
                <w:rStyle w:val="Bodytext210pt"/>
                <w:rFonts w:eastAsia="ヒラギノ角ゴ Pro W3"/>
              </w:rPr>
              <w:t>Тупувишка</w:t>
            </w:r>
            <w:proofErr w:type="spellEnd"/>
            <w:r w:rsidRPr="009F6D1E">
              <w:rPr>
                <w:rStyle w:val="Bodytext210pt"/>
                <w:rFonts w:eastAsia="ヒラギノ角ゴ Pro W3"/>
              </w:rPr>
              <w:t xml:space="preserve">) от изворите до вливане на левия й приток р. </w:t>
            </w:r>
            <w:proofErr w:type="spellStart"/>
            <w:r w:rsidRPr="009F6D1E">
              <w:rPr>
                <w:rStyle w:val="Bodytext210pt"/>
                <w:rFonts w:eastAsia="ヒラギノ角ゴ Pro W3"/>
              </w:rPr>
              <w:t>Добротинска</w:t>
            </w:r>
            <w:proofErr w:type="spellEnd"/>
          </w:p>
        </w:tc>
        <w:tc>
          <w:tcPr>
            <w:tcW w:w="0" w:type="auto"/>
            <w:tcBorders>
              <w:top w:val="single" w:sz="4" w:space="0" w:color="auto"/>
              <w:left w:val="single" w:sz="4" w:space="0" w:color="auto"/>
            </w:tcBorders>
            <w:shd w:val="clear" w:color="auto" w:fill="FFFFFF"/>
          </w:tcPr>
          <w:p w14:paraId="2106380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69FDA0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EC90DD7" w14:textId="77777777" w:rsidTr="008A7E6F">
        <w:trPr>
          <w:trHeight w:hRule="exact" w:val="494"/>
          <w:jc w:val="center"/>
        </w:trPr>
        <w:tc>
          <w:tcPr>
            <w:tcW w:w="0" w:type="auto"/>
            <w:tcBorders>
              <w:top w:val="single" w:sz="4" w:space="0" w:color="auto"/>
              <w:left w:val="single" w:sz="4" w:space="0" w:color="auto"/>
            </w:tcBorders>
            <w:shd w:val="clear" w:color="auto" w:fill="FFFFFF"/>
            <w:vAlign w:val="center"/>
          </w:tcPr>
          <w:p w14:paraId="0286063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17</w:t>
            </w:r>
          </w:p>
        </w:tc>
        <w:tc>
          <w:tcPr>
            <w:tcW w:w="0" w:type="auto"/>
            <w:tcBorders>
              <w:top w:val="single" w:sz="4" w:space="0" w:color="auto"/>
              <w:left w:val="single" w:sz="4" w:space="0" w:color="auto"/>
            </w:tcBorders>
            <w:shd w:val="clear" w:color="auto" w:fill="FFFFFF"/>
            <w:vAlign w:val="center"/>
          </w:tcPr>
          <w:p w14:paraId="6AA9840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BG4ME500R1109</w:t>
            </w:r>
          </w:p>
        </w:tc>
        <w:tc>
          <w:tcPr>
            <w:tcW w:w="0" w:type="auto"/>
            <w:tcBorders>
              <w:top w:val="single" w:sz="4" w:space="0" w:color="auto"/>
              <w:left w:val="single" w:sz="4" w:space="0" w:color="auto"/>
            </w:tcBorders>
            <w:shd w:val="clear" w:color="auto" w:fill="FFFFFF"/>
          </w:tcPr>
          <w:p w14:paraId="043A2FA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Неврокопска (</w:t>
            </w:r>
            <w:proofErr w:type="spellStart"/>
            <w:r w:rsidRPr="009F6D1E">
              <w:rPr>
                <w:rStyle w:val="Bodytext210pt"/>
                <w:rFonts w:eastAsia="ヒラギノ角ゴ Pro W3"/>
              </w:rPr>
              <w:t>Тупувишка</w:t>
            </w:r>
            <w:proofErr w:type="spellEnd"/>
            <w:r w:rsidRPr="009F6D1E">
              <w:rPr>
                <w:rStyle w:val="Bodytext210pt"/>
                <w:rFonts w:eastAsia="ヒラギノ角ゴ Pro W3"/>
              </w:rPr>
              <w:t xml:space="preserve">) от вливане на р. </w:t>
            </w:r>
            <w:proofErr w:type="spellStart"/>
            <w:r w:rsidRPr="009F6D1E">
              <w:rPr>
                <w:rStyle w:val="Bodytext210pt"/>
                <w:rFonts w:eastAsia="ヒラギノ角ゴ Pro W3"/>
              </w:rPr>
              <w:t>Добротинска</w:t>
            </w:r>
            <w:proofErr w:type="spellEnd"/>
            <w:r w:rsidRPr="009F6D1E">
              <w:rPr>
                <w:rStyle w:val="Bodytext210pt"/>
                <w:rFonts w:eastAsia="ヒラギノ角ゴ Pro W3"/>
              </w:rPr>
              <w:t xml:space="preserve"> до вливане в р. Места</w:t>
            </w:r>
          </w:p>
        </w:tc>
        <w:tc>
          <w:tcPr>
            <w:tcW w:w="0" w:type="auto"/>
            <w:tcBorders>
              <w:top w:val="single" w:sz="4" w:space="0" w:color="auto"/>
              <w:left w:val="single" w:sz="4" w:space="0" w:color="auto"/>
            </w:tcBorders>
            <w:shd w:val="clear" w:color="auto" w:fill="FFFFFF"/>
          </w:tcPr>
          <w:p w14:paraId="4741D10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Много лошо състояние</w:t>
            </w:r>
          </w:p>
        </w:tc>
        <w:tc>
          <w:tcPr>
            <w:tcW w:w="0" w:type="auto"/>
            <w:tcBorders>
              <w:top w:val="single" w:sz="4" w:space="0" w:color="auto"/>
              <w:left w:val="single" w:sz="4" w:space="0" w:color="auto"/>
              <w:right w:val="single" w:sz="4" w:space="0" w:color="auto"/>
            </w:tcBorders>
            <w:shd w:val="clear" w:color="auto" w:fill="FFFFFF"/>
            <w:vAlign w:val="center"/>
          </w:tcPr>
          <w:p w14:paraId="42FC294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BE96B00"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224EB0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18</w:t>
            </w:r>
          </w:p>
        </w:tc>
        <w:tc>
          <w:tcPr>
            <w:tcW w:w="0" w:type="auto"/>
            <w:tcBorders>
              <w:top w:val="single" w:sz="4" w:space="0" w:color="auto"/>
              <w:left w:val="single" w:sz="4" w:space="0" w:color="auto"/>
            </w:tcBorders>
            <w:shd w:val="clear" w:color="auto" w:fill="FFFFFF"/>
            <w:vAlign w:val="center"/>
          </w:tcPr>
          <w:p w14:paraId="3D58C03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BG4ME500R11090</w:t>
            </w:r>
          </w:p>
        </w:tc>
        <w:tc>
          <w:tcPr>
            <w:tcW w:w="0" w:type="auto"/>
            <w:tcBorders>
              <w:top w:val="single" w:sz="4" w:space="0" w:color="auto"/>
              <w:left w:val="single" w:sz="4" w:space="0" w:color="auto"/>
            </w:tcBorders>
            <w:shd w:val="clear" w:color="auto" w:fill="FFFFFF"/>
          </w:tcPr>
          <w:p w14:paraId="10D3981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Добротинска</w:t>
            </w:r>
            <w:proofErr w:type="spellEnd"/>
            <w:r w:rsidRPr="009F6D1E">
              <w:rPr>
                <w:rStyle w:val="Bodytext210pt"/>
                <w:rFonts w:eastAsia="ヒラギノ角ゴ Pro W3"/>
              </w:rPr>
              <w:t xml:space="preserve"> от изворите до кота 1020 м.</w:t>
            </w:r>
          </w:p>
        </w:tc>
        <w:tc>
          <w:tcPr>
            <w:tcW w:w="0" w:type="auto"/>
            <w:tcBorders>
              <w:top w:val="single" w:sz="4" w:space="0" w:color="auto"/>
              <w:left w:val="single" w:sz="4" w:space="0" w:color="auto"/>
            </w:tcBorders>
            <w:shd w:val="clear" w:color="auto" w:fill="FFFFFF"/>
          </w:tcPr>
          <w:p w14:paraId="207E591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A2D6E3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56265C02"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34BABBF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19</w:t>
            </w:r>
          </w:p>
        </w:tc>
        <w:tc>
          <w:tcPr>
            <w:tcW w:w="0" w:type="auto"/>
            <w:tcBorders>
              <w:top w:val="single" w:sz="4" w:space="0" w:color="auto"/>
              <w:left w:val="single" w:sz="4" w:space="0" w:color="auto"/>
            </w:tcBorders>
            <w:shd w:val="clear" w:color="auto" w:fill="FFFFFF"/>
            <w:vAlign w:val="center"/>
          </w:tcPr>
          <w:p w14:paraId="7ACA9C5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BG4ME500R1</w:t>
            </w:r>
            <w:r w:rsidRPr="009F6D1E">
              <w:rPr>
                <w:rStyle w:val="Bodytext210pt"/>
                <w:rFonts w:eastAsia="ヒラギノ角ゴ Pro W3"/>
              </w:rPr>
              <w:t>110</w:t>
            </w:r>
          </w:p>
        </w:tc>
        <w:tc>
          <w:tcPr>
            <w:tcW w:w="0" w:type="auto"/>
            <w:tcBorders>
              <w:top w:val="single" w:sz="4" w:space="0" w:color="auto"/>
              <w:left w:val="single" w:sz="4" w:space="0" w:color="auto"/>
            </w:tcBorders>
            <w:shd w:val="clear" w:color="auto" w:fill="FFFFFF"/>
          </w:tcPr>
          <w:p w14:paraId="49DCC81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Дъбнишка</w:t>
            </w:r>
            <w:proofErr w:type="spellEnd"/>
            <w:r w:rsidRPr="009F6D1E">
              <w:rPr>
                <w:rStyle w:val="Bodytext210pt"/>
                <w:rFonts w:eastAsia="ヒラギノ角ゴ Pro W3"/>
              </w:rPr>
              <w:t xml:space="preserve"> от кота 1090 м. до вливане в р. Места</w:t>
            </w:r>
          </w:p>
        </w:tc>
        <w:tc>
          <w:tcPr>
            <w:tcW w:w="0" w:type="auto"/>
            <w:tcBorders>
              <w:top w:val="single" w:sz="4" w:space="0" w:color="auto"/>
              <w:left w:val="single" w:sz="4" w:space="0" w:color="auto"/>
            </w:tcBorders>
            <w:shd w:val="clear" w:color="auto" w:fill="FFFFFF"/>
          </w:tcPr>
          <w:p w14:paraId="35F4F86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1E9EC9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F63A055"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8A49BE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20</w:t>
            </w:r>
          </w:p>
        </w:tc>
        <w:tc>
          <w:tcPr>
            <w:tcW w:w="0" w:type="auto"/>
            <w:tcBorders>
              <w:top w:val="single" w:sz="4" w:space="0" w:color="auto"/>
              <w:left w:val="single" w:sz="4" w:space="0" w:color="auto"/>
            </w:tcBorders>
            <w:shd w:val="clear" w:color="auto" w:fill="FFFFFF"/>
            <w:vAlign w:val="center"/>
          </w:tcPr>
          <w:p w14:paraId="7DFEE62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BG4ME500R1</w:t>
            </w:r>
            <w:r w:rsidRPr="009F6D1E">
              <w:rPr>
                <w:rStyle w:val="Bodytext210pt"/>
                <w:rFonts w:eastAsia="ヒラギノ角ゴ Pro W3"/>
              </w:rPr>
              <w:t>1100</w:t>
            </w:r>
          </w:p>
        </w:tc>
        <w:tc>
          <w:tcPr>
            <w:tcW w:w="0" w:type="auto"/>
            <w:tcBorders>
              <w:top w:val="single" w:sz="4" w:space="0" w:color="auto"/>
              <w:left w:val="single" w:sz="4" w:space="0" w:color="auto"/>
            </w:tcBorders>
            <w:shd w:val="clear" w:color="auto" w:fill="FFFFFF"/>
          </w:tcPr>
          <w:p w14:paraId="36D1620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Дъбнишка</w:t>
            </w:r>
            <w:proofErr w:type="spellEnd"/>
            <w:r w:rsidRPr="009F6D1E">
              <w:rPr>
                <w:rStyle w:val="Bodytext210pt"/>
                <w:rFonts w:eastAsia="ヒラギノ角ゴ Pro W3"/>
              </w:rPr>
              <w:t xml:space="preserve"> от изворите до кота 1090 м.</w:t>
            </w:r>
          </w:p>
        </w:tc>
        <w:tc>
          <w:tcPr>
            <w:tcW w:w="0" w:type="auto"/>
            <w:tcBorders>
              <w:top w:val="single" w:sz="4" w:space="0" w:color="auto"/>
              <w:left w:val="single" w:sz="4" w:space="0" w:color="auto"/>
            </w:tcBorders>
            <w:shd w:val="clear" w:color="auto" w:fill="FFFFFF"/>
          </w:tcPr>
          <w:p w14:paraId="19AB89E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4D736F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4B77590"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C0A9C1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21</w:t>
            </w:r>
          </w:p>
        </w:tc>
        <w:tc>
          <w:tcPr>
            <w:tcW w:w="0" w:type="auto"/>
            <w:tcBorders>
              <w:top w:val="single" w:sz="4" w:space="0" w:color="auto"/>
              <w:left w:val="single" w:sz="4" w:space="0" w:color="auto"/>
            </w:tcBorders>
            <w:shd w:val="clear" w:color="auto" w:fill="FFFFFF"/>
            <w:vAlign w:val="center"/>
          </w:tcPr>
          <w:p w14:paraId="5E14106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BG4ME500R1</w:t>
            </w:r>
            <w:r w:rsidRPr="009F6D1E">
              <w:rPr>
                <w:rStyle w:val="Bodytext210pt"/>
                <w:rFonts w:eastAsia="ヒラギノ角ゴ Pro W3"/>
              </w:rPr>
              <w:t>111</w:t>
            </w:r>
          </w:p>
        </w:tc>
        <w:tc>
          <w:tcPr>
            <w:tcW w:w="0" w:type="auto"/>
            <w:tcBorders>
              <w:top w:val="single" w:sz="4" w:space="0" w:color="auto"/>
              <w:left w:val="single" w:sz="4" w:space="0" w:color="auto"/>
            </w:tcBorders>
            <w:shd w:val="clear" w:color="auto" w:fill="FFFFFF"/>
          </w:tcPr>
          <w:p w14:paraId="42C7042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Т </w:t>
            </w:r>
            <w:proofErr w:type="spellStart"/>
            <w:r w:rsidRPr="009F6D1E">
              <w:rPr>
                <w:rStyle w:val="Bodytext210pt"/>
                <w:rFonts w:eastAsia="ヒラギノ角ゴ Pro W3"/>
              </w:rPr>
              <w:t>оплика</w:t>
            </w:r>
            <w:proofErr w:type="spellEnd"/>
            <w:r w:rsidRPr="009F6D1E">
              <w:rPr>
                <w:rStyle w:val="Bodytext210pt"/>
                <w:rFonts w:eastAsia="ヒラギノ角ゴ Pro W3"/>
              </w:rPr>
              <w:t xml:space="preserve"> от изворите до вливане в р. Места</w:t>
            </w:r>
          </w:p>
        </w:tc>
        <w:tc>
          <w:tcPr>
            <w:tcW w:w="0" w:type="auto"/>
            <w:tcBorders>
              <w:top w:val="single" w:sz="4" w:space="0" w:color="auto"/>
              <w:left w:val="single" w:sz="4" w:space="0" w:color="auto"/>
            </w:tcBorders>
            <w:shd w:val="clear" w:color="auto" w:fill="FFFFFF"/>
          </w:tcPr>
          <w:p w14:paraId="67F75536"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68CDA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527308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7D25E96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22</w:t>
            </w:r>
          </w:p>
        </w:tc>
        <w:tc>
          <w:tcPr>
            <w:tcW w:w="0" w:type="auto"/>
            <w:tcBorders>
              <w:top w:val="single" w:sz="4" w:space="0" w:color="auto"/>
              <w:left w:val="single" w:sz="4" w:space="0" w:color="auto"/>
            </w:tcBorders>
            <w:shd w:val="clear" w:color="auto" w:fill="FFFFFF"/>
            <w:vAlign w:val="center"/>
          </w:tcPr>
          <w:p w14:paraId="327726C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BG4ME500R1</w:t>
            </w:r>
            <w:r w:rsidRPr="009F6D1E">
              <w:rPr>
                <w:rStyle w:val="Bodytext210pt"/>
                <w:rFonts w:eastAsia="ヒラギノ角ゴ Pro W3"/>
              </w:rPr>
              <w:t>1111</w:t>
            </w:r>
          </w:p>
        </w:tc>
        <w:tc>
          <w:tcPr>
            <w:tcW w:w="0" w:type="auto"/>
            <w:tcBorders>
              <w:top w:val="single" w:sz="4" w:space="0" w:color="auto"/>
              <w:left w:val="single" w:sz="4" w:space="0" w:color="auto"/>
            </w:tcBorders>
            <w:shd w:val="clear" w:color="auto" w:fill="FFFFFF"/>
          </w:tcPr>
          <w:p w14:paraId="201843F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Дълбокото дере от изворите до кота 855 м.</w:t>
            </w:r>
          </w:p>
        </w:tc>
        <w:tc>
          <w:tcPr>
            <w:tcW w:w="0" w:type="auto"/>
            <w:tcBorders>
              <w:top w:val="single" w:sz="4" w:space="0" w:color="auto"/>
              <w:left w:val="single" w:sz="4" w:space="0" w:color="auto"/>
            </w:tcBorders>
            <w:shd w:val="clear" w:color="auto" w:fill="FFFFFF"/>
          </w:tcPr>
          <w:p w14:paraId="5DF51F9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FCAE10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018F009"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B7D1E8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23</w:t>
            </w:r>
          </w:p>
        </w:tc>
        <w:tc>
          <w:tcPr>
            <w:tcW w:w="0" w:type="auto"/>
            <w:tcBorders>
              <w:top w:val="single" w:sz="4" w:space="0" w:color="auto"/>
              <w:left w:val="single" w:sz="4" w:space="0" w:color="auto"/>
            </w:tcBorders>
            <w:shd w:val="clear" w:color="auto" w:fill="FFFFFF"/>
            <w:vAlign w:val="center"/>
          </w:tcPr>
          <w:p w14:paraId="5A09146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BG4ME600R1106</w:t>
            </w:r>
          </w:p>
        </w:tc>
        <w:tc>
          <w:tcPr>
            <w:tcW w:w="0" w:type="auto"/>
            <w:tcBorders>
              <w:top w:val="single" w:sz="4" w:space="0" w:color="auto"/>
              <w:left w:val="single" w:sz="4" w:space="0" w:color="auto"/>
            </w:tcBorders>
            <w:shd w:val="clear" w:color="auto" w:fill="FFFFFF"/>
          </w:tcPr>
          <w:p w14:paraId="2961B5A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Канина от изворите с десния си приток р. </w:t>
            </w:r>
            <w:proofErr w:type="spellStart"/>
            <w:r w:rsidRPr="009F6D1E">
              <w:rPr>
                <w:rStyle w:val="Bodytext210pt"/>
                <w:rFonts w:eastAsia="ヒラギノ角ゴ Pro W3"/>
              </w:rPr>
              <w:t>Вищерица</w:t>
            </w:r>
            <w:proofErr w:type="spellEnd"/>
            <w:r w:rsidRPr="009F6D1E">
              <w:rPr>
                <w:rStyle w:val="Bodytext210pt"/>
                <w:rFonts w:eastAsia="ヒラギノ角ゴ Pro W3"/>
              </w:rPr>
              <w:t xml:space="preserve"> до вливане в р. Места</w:t>
            </w:r>
          </w:p>
        </w:tc>
        <w:tc>
          <w:tcPr>
            <w:tcW w:w="0" w:type="auto"/>
            <w:tcBorders>
              <w:top w:val="single" w:sz="4" w:space="0" w:color="auto"/>
              <w:left w:val="single" w:sz="4" w:space="0" w:color="auto"/>
            </w:tcBorders>
            <w:shd w:val="clear" w:color="auto" w:fill="FFFFFF"/>
          </w:tcPr>
          <w:p w14:paraId="24836F0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147872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C0C46A1" w14:textId="77777777" w:rsidTr="008A7E6F">
        <w:trPr>
          <w:trHeight w:hRule="exact" w:val="250"/>
          <w:jc w:val="center"/>
        </w:trPr>
        <w:tc>
          <w:tcPr>
            <w:tcW w:w="0" w:type="auto"/>
            <w:tcBorders>
              <w:top w:val="single" w:sz="4" w:space="0" w:color="auto"/>
              <w:left w:val="single" w:sz="4" w:space="0" w:color="auto"/>
              <w:bottom w:val="single" w:sz="4" w:space="0" w:color="auto"/>
            </w:tcBorders>
            <w:shd w:val="clear" w:color="auto" w:fill="FFFFFF"/>
            <w:vAlign w:val="center"/>
          </w:tcPr>
          <w:p w14:paraId="27BD4F5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24</w:t>
            </w:r>
          </w:p>
        </w:tc>
        <w:tc>
          <w:tcPr>
            <w:tcW w:w="0" w:type="auto"/>
            <w:tcBorders>
              <w:top w:val="single" w:sz="4" w:space="0" w:color="auto"/>
              <w:left w:val="single" w:sz="4" w:space="0" w:color="auto"/>
              <w:bottom w:val="single" w:sz="4" w:space="0" w:color="auto"/>
            </w:tcBorders>
            <w:shd w:val="clear" w:color="auto" w:fill="FFFFFF"/>
            <w:vAlign w:val="center"/>
          </w:tcPr>
          <w:p w14:paraId="24991CF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BG4ME600R11060</w:t>
            </w:r>
          </w:p>
        </w:tc>
        <w:tc>
          <w:tcPr>
            <w:tcW w:w="0" w:type="auto"/>
            <w:tcBorders>
              <w:top w:val="single" w:sz="4" w:space="0" w:color="auto"/>
              <w:left w:val="single" w:sz="4" w:space="0" w:color="auto"/>
              <w:bottom w:val="single" w:sz="4" w:space="0" w:color="auto"/>
            </w:tcBorders>
            <w:shd w:val="clear" w:color="auto" w:fill="FFFFFF"/>
          </w:tcPr>
          <w:p w14:paraId="20F9D6B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Дреновска</w:t>
            </w:r>
            <w:proofErr w:type="spellEnd"/>
            <w:r w:rsidRPr="009F6D1E">
              <w:rPr>
                <w:rStyle w:val="Bodytext210pt"/>
                <w:rFonts w:eastAsia="ヒラギノ角ゴ Pro W3"/>
              </w:rPr>
              <w:t xml:space="preserve"> от изворите до кота 1205 м.</w:t>
            </w:r>
          </w:p>
        </w:tc>
        <w:tc>
          <w:tcPr>
            <w:tcW w:w="0" w:type="auto"/>
            <w:tcBorders>
              <w:top w:val="single" w:sz="4" w:space="0" w:color="auto"/>
              <w:left w:val="single" w:sz="4" w:space="0" w:color="auto"/>
              <w:bottom w:val="single" w:sz="4" w:space="0" w:color="auto"/>
            </w:tcBorders>
            <w:shd w:val="clear" w:color="auto" w:fill="FFFFFF"/>
          </w:tcPr>
          <w:p w14:paraId="2BAF559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0074632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ACB798C" w14:textId="77777777" w:rsidTr="008A7E6F">
        <w:trPr>
          <w:trHeight w:hRule="exact" w:val="269"/>
          <w:jc w:val="center"/>
        </w:trPr>
        <w:tc>
          <w:tcPr>
            <w:tcW w:w="0" w:type="auto"/>
            <w:tcBorders>
              <w:top w:val="single" w:sz="4" w:space="0" w:color="auto"/>
              <w:left w:val="single" w:sz="4" w:space="0" w:color="auto"/>
            </w:tcBorders>
            <w:shd w:val="clear" w:color="auto" w:fill="FFFFFF"/>
            <w:vAlign w:val="center"/>
          </w:tcPr>
          <w:p w14:paraId="4DFE4D3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lastRenderedPageBreak/>
              <w:t>25</w:t>
            </w:r>
          </w:p>
        </w:tc>
        <w:tc>
          <w:tcPr>
            <w:tcW w:w="0" w:type="auto"/>
            <w:tcBorders>
              <w:top w:val="single" w:sz="4" w:space="0" w:color="auto"/>
              <w:left w:val="single" w:sz="4" w:space="0" w:color="auto"/>
            </w:tcBorders>
            <w:shd w:val="clear" w:color="auto" w:fill="FFFFFF"/>
            <w:vAlign w:val="center"/>
          </w:tcPr>
          <w:p w14:paraId="2FE4AA8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BG4ME600R1</w:t>
            </w:r>
            <w:r w:rsidRPr="009F6D1E">
              <w:rPr>
                <w:rStyle w:val="Bodytext210pt"/>
                <w:rFonts w:eastAsia="ヒラギノ角ゴ Pro W3"/>
              </w:rPr>
              <w:t>1061</w:t>
            </w:r>
          </w:p>
        </w:tc>
        <w:tc>
          <w:tcPr>
            <w:tcW w:w="0" w:type="auto"/>
            <w:tcBorders>
              <w:top w:val="single" w:sz="4" w:space="0" w:color="auto"/>
              <w:left w:val="single" w:sz="4" w:space="0" w:color="auto"/>
            </w:tcBorders>
            <w:shd w:val="clear" w:color="auto" w:fill="FFFFFF"/>
          </w:tcPr>
          <w:p w14:paraId="726DFA84" w14:textId="77777777" w:rsidR="005B1C6B" w:rsidRPr="009F6D1E" w:rsidRDefault="005B1C6B" w:rsidP="0084747F">
            <w:pPr>
              <w:spacing w:after="60" w:line="264" w:lineRule="auto"/>
              <w:rPr>
                <w:rFonts w:cs="Times New Roman"/>
                <w:sz w:val="20"/>
                <w:szCs w:val="20"/>
              </w:rPr>
            </w:pPr>
            <w:proofErr w:type="spellStart"/>
            <w:r w:rsidRPr="009F6D1E">
              <w:rPr>
                <w:rStyle w:val="Bodytext210pt"/>
                <w:rFonts w:eastAsia="ヒラギノ角ゴ Pro W3"/>
              </w:rPr>
              <w:t>р.Бързата</w:t>
            </w:r>
            <w:proofErr w:type="spellEnd"/>
            <w:r w:rsidRPr="009F6D1E">
              <w:rPr>
                <w:rStyle w:val="Bodytext210pt"/>
                <w:rFonts w:eastAsia="ヒラギノ角ゴ Pro W3"/>
              </w:rPr>
              <w:t xml:space="preserve"> река от изворите до кота 1515 г.</w:t>
            </w:r>
          </w:p>
        </w:tc>
        <w:tc>
          <w:tcPr>
            <w:tcW w:w="0" w:type="auto"/>
            <w:tcBorders>
              <w:top w:val="single" w:sz="4" w:space="0" w:color="auto"/>
              <w:left w:val="single" w:sz="4" w:space="0" w:color="auto"/>
            </w:tcBorders>
            <w:shd w:val="clear" w:color="auto" w:fill="FFFFFF"/>
          </w:tcPr>
          <w:p w14:paraId="00308A2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12F9DF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29C617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B02EB4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26</w:t>
            </w:r>
          </w:p>
        </w:tc>
        <w:tc>
          <w:tcPr>
            <w:tcW w:w="0" w:type="auto"/>
            <w:tcBorders>
              <w:top w:val="single" w:sz="4" w:space="0" w:color="auto"/>
              <w:left w:val="single" w:sz="4" w:space="0" w:color="auto"/>
            </w:tcBorders>
            <w:shd w:val="clear" w:color="auto" w:fill="FFFFFF"/>
            <w:vAlign w:val="center"/>
          </w:tcPr>
          <w:p w14:paraId="6A086FD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BG4ME700R090</w:t>
            </w:r>
          </w:p>
        </w:tc>
        <w:tc>
          <w:tcPr>
            <w:tcW w:w="0" w:type="auto"/>
            <w:tcBorders>
              <w:top w:val="single" w:sz="4" w:space="0" w:color="auto"/>
              <w:left w:val="single" w:sz="4" w:space="0" w:color="auto"/>
            </w:tcBorders>
            <w:shd w:val="clear" w:color="auto" w:fill="FFFFFF"/>
          </w:tcPr>
          <w:p w14:paraId="60B7406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Места от вливане на р. Изток до вливане на р. </w:t>
            </w:r>
            <w:proofErr w:type="spellStart"/>
            <w:r w:rsidRPr="009F6D1E">
              <w:rPr>
                <w:rStyle w:val="Bodytext210pt"/>
                <w:rFonts w:eastAsia="ヒラギノ角ゴ Pro W3"/>
              </w:rPr>
              <w:t>Рибновска</w:t>
            </w:r>
            <w:proofErr w:type="spellEnd"/>
          </w:p>
        </w:tc>
        <w:tc>
          <w:tcPr>
            <w:tcW w:w="0" w:type="auto"/>
            <w:tcBorders>
              <w:top w:val="single" w:sz="4" w:space="0" w:color="auto"/>
              <w:left w:val="single" w:sz="4" w:space="0" w:color="auto"/>
            </w:tcBorders>
            <w:shd w:val="clear" w:color="auto" w:fill="FFFFFF"/>
          </w:tcPr>
          <w:p w14:paraId="712DA8B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7FAD9E3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1FD89E7"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4536A26"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27</w:t>
            </w:r>
          </w:p>
        </w:tc>
        <w:tc>
          <w:tcPr>
            <w:tcW w:w="0" w:type="auto"/>
            <w:tcBorders>
              <w:top w:val="single" w:sz="4" w:space="0" w:color="auto"/>
              <w:left w:val="single" w:sz="4" w:space="0" w:color="auto"/>
            </w:tcBorders>
            <w:shd w:val="clear" w:color="auto" w:fill="FFFFFF"/>
            <w:vAlign w:val="center"/>
          </w:tcPr>
          <w:p w14:paraId="0F1BE07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BG4ME700R091</w:t>
            </w:r>
          </w:p>
        </w:tc>
        <w:tc>
          <w:tcPr>
            <w:tcW w:w="0" w:type="auto"/>
            <w:tcBorders>
              <w:top w:val="single" w:sz="4" w:space="0" w:color="auto"/>
              <w:left w:val="single" w:sz="4" w:space="0" w:color="auto"/>
            </w:tcBorders>
            <w:shd w:val="clear" w:color="auto" w:fill="FFFFFF"/>
          </w:tcPr>
          <w:p w14:paraId="3B7EF29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Ръждавица</w:t>
            </w:r>
            <w:proofErr w:type="spellEnd"/>
            <w:r w:rsidRPr="009F6D1E">
              <w:rPr>
                <w:rStyle w:val="Bodytext210pt"/>
                <w:rFonts w:eastAsia="ヒラギノ角ゴ Pro W3"/>
              </w:rPr>
              <w:t xml:space="preserve"> от изворите до вливане в р. Места</w:t>
            </w:r>
          </w:p>
        </w:tc>
        <w:tc>
          <w:tcPr>
            <w:tcW w:w="0" w:type="auto"/>
            <w:tcBorders>
              <w:top w:val="single" w:sz="4" w:space="0" w:color="auto"/>
              <w:left w:val="single" w:sz="4" w:space="0" w:color="auto"/>
            </w:tcBorders>
            <w:shd w:val="clear" w:color="auto" w:fill="FFFFFF"/>
          </w:tcPr>
          <w:p w14:paraId="102DA85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2A07D8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71DDBE2" w14:textId="77777777" w:rsidTr="008A7E6F">
        <w:trPr>
          <w:trHeight w:hRule="exact" w:val="480"/>
          <w:jc w:val="center"/>
        </w:trPr>
        <w:tc>
          <w:tcPr>
            <w:tcW w:w="0" w:type="auto"/>
            <w:tcBorders>
              <w:top w:val="single" w:sz="4" w:space="0" w:color="auto"/>
              <w:left w:val="single" w:sz="4" w:space="0" w:color="auto"/>
            </w:tcBorders>
            <w:shd w:val="clear" w:color="auto" w:fill="FFFFFF"/>
            <w:vAlign w:val="center"/>
          </w:tcPr>
          <w:p w14:paraId="16A02A2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28</w:t>
            </w:r>
          </w:p>
        </w:tc>
        <w:tc>
          <w:tcPr>
            <w:tcW w:w="0" w:type="auto"/>
            <w:tcBorders>
              <w:top w:val="single" w:sz="4" w:space="0" w:color="auto"/>
              <w:left w:val="single" w:sz="4" w:space="0" w:color="auto"/>
            </w:tcBorders>
            <w:shd w:val="clear" w:color="auto" w:fill="FFFFFF"/>
            <w:vAlign w:val="center"/>
          </w:tcPr>
          <w:p w14:paraId="197ED03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BG4ME700R092</w:t>
            </w:r>
          </w:p>
        </w:tc>
        <w:tc>
          <w:tcPr>
            <w:tcW w:w="0" w:type="auto"/>
            <w:tcBorders>
              <w:top w:val="single" w:sz="4" w:space="0" w:color="auto"/>
              <w:left w:val="single" w:sz="4" w:space="0" w:color="auto"/>
            </w:tcBorders>
            <w:shd w:val="clear" w:color="auto" w:fill="FFFFFF"/>
          </w:tcPr>
          <w:p w14:paraId="3106E65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Златарица от изворите до вливане в р. Места</w:t>
            </w:r>
          </w:p>
        </w:tc>
        <w:tc>
          <w:tcPr>
            <w:tcW w:w="0" w:type="auto"/>
            <w:tcBorders>
              <w:top w:val="single" w:sz="4" w:space="0" w:color="auto"/>
              <w:left w:val="single" w:sz="4" w:space="0" w:color="auto"/>
            </w:tcBorders>
            <w:shd w:val="clear" w:color="auto" w:fill="FFFFFF"/>
          </w:tcPr>
          <w:p w14:paraId="70BE491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много </w:t>
            </w:r>
            <w:r w:rsidR="005B1C6B"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vAlign w:val="center"/>
          </w:tcPr>
          <w:p w14:paraId="4F07539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7FA2B11"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7F8950C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29</w:t>
            </w:r>
          </w:p>
        </w:tc>
        <w:tc>
          <w:tcPr>
            <w:tcW w:w="0" w:type="auto"/>
            <w:tcBorders>
              <w:top w:val="single" w:sz="4" w:space="0" w:color="auto"/>
              <w:left w:val="single" w:sz="4" w:space="0" w:color="auto"/>
            </w:tcBorders>
            <w:shd w:val="clear" w:color="auto" w:fill="FFFFFF"/>
            <w:vAlign w:val="center"/>
          </w:tcPr>
          <w:p w14:paraId="51EBEC4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BG4ME700R094</w:t>
            </w:r>
          </w:p>
        </w:tc>
        <w:tc>
          <w:tcPr>
            <w:tcW w:w="0" w:type="auto"/>
            <w:tcBorders>
              <w:top w:val="single" w:sz="4" w:space="0" w:color="auto"/>
              <w:left w:val="single" w:sz="4" w:space="0" w:color="auto"/>
            </w:tcBorders>
            <w:shd w:val="clear" w:color="auto" w:fill="FFFFFF"/>
          </w:tcPr>
          <w:p w14:paraId="62D45CD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Безбожка</w:t>
            </w:r>
            <w:proofErr w:type="spellEnd"/>
            <w:r w:rsidRPr="009F6D1E">
              <w:rPr>
                <w:rStyle w:val="Bodytext210pt"/>
                <w:rFonts w:eastAsia="ヒラギノ角ゴ Pro W3"/>
              </w:rPr>
              <w:t xml:space="preserve"> от изворите до вливане в р. Места</w:t>
            </w:r>
          </w:p>
        </w:tc>
        <w:tc>
          <w:tcPr>
            <w:tcW w:w="0" w:type="auto"/>
            <w:tcBorders>
              <w:top w:val="single" w:sz="4" w:space="0" w:color="auto"/>
              <w:left w:val="single" w:sz="4" w:space="0" w:color="auto"/>
            </w:tcBorders>
            <w:shd w:val="clear" w:color="auto" w:fill="FFFFFF"/>
          </w:tcPr>
          <w:p w14:paraId="07FAD0B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C26CFA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B3C7A1C"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352F16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30</w:t>
            </w:r>
          </w:p>
        </w:tc>
        <w:tc>
          <w:tcPr>
            <w:tcW w:w="0" w:type="auto"/>
            <w:tcBorders>
              <w:top w:val="single" w:sz="4" w:space="0" w:color="auto"/>
              <w:left w:val="single" w:sz="4" w:space="0" w:color="auto"/>
            </w:tcBorders>
            <w:shd w:val="clear" w:color="auto" w:fill="FFFFFF"/>
            <w:vAlign w:val="center"/>
          </w:tcPr>
          <w:p w14:paraId="70031E0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BG4ME700R095</w:t>
            </w:r>
          </w:p>
        </w:tc>
        <w:tc>
          <w:tcPr>
            <w:tcW w:w="0" w:type="auto"/>
            <w:tcBorders>
              <w:top w:val="single" w:sz="4" w:space="0" w:color="auto"/>
              <w:left w:val="single" w:sz="4" w:space="0" w:color="auto"/>
            </w:tcBorders>
            <w:shd w:val="clear" w:color="auto" w:fill="FFFFFF"/>
          </w:tcPr>
          <w:p w14:paraId="42A311A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Мътеница (</w:t>
            </w:r>
            <w:proofErr w:type="spellStart"/>
            <w:r w:rsidRPr="009F6D1E">
              <w:rPr>
                <w:rStyle w:val="Bodytext210pt"/>
                <w:rFonts w:eastAsia="ヒラギノ角ゴ Pro W3"/>
              </w:rPr>
              <w:t>Матан</w:t>
            </w:r>
            <w:proofErr w:type="spellEnd"/>
            <w:r w:rsidRPr="009F6D1E">
              <w:rPr>
                <w:rStyle w:val="Bodytext210pt"/>
                <w:rFonts w:eastAsia="ヒラギノ角ゴ Pro W3"/>
              </w:rPr>
              <w:t xml:space="preserve"> дере) от изворите до вливане в река Места</w:t>
            </w:r>
          </w:p>
        </w:tc>
        <w:tc>
          <w:tcPr>
            <w:tcW w:w="0" w:type="auto"/>
            <w:tcBorders>
              <w:top w:val="single" w:sz="4" w:space="0" w:color="auto"/>
              <w:left w:val="single" w:sz="4" w:space="0" w:color="auto"/>
            </w:tcBorders>
            <w:shd w:val="clear" w:color="auto" w:fill="FFFFFF"/>
          </w:tcPr>
          <w:p w14:paraId="04E95FA2" w14:textId="77777777" w:rsidR="005B1C6B" w:rsidRPr="009F6D1E" w:rsidRDefault="007E18C8" w:rsidP="0084747F">
            <w:pPr>
              <w:spacing w:after="60" w:line="264" w:lineRule="auto"/>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c>
          <w:tcPr>
            <w:tcW w:w="0" w:type="auto"/>
            <w:tcBorders>
              <w:top w:val="single" w:sz="4" w:space="0" w:color="auto"/>
              <w:left w:val="single" w:sz="4" w:space="0" w:color="auto"/>
              <w:right w:val="single" w:sz="4" w:space="0" w:color="auto"/>
            </w:tcBorders>
            <w:shd w:val="clear" w:color="auto" w:fill="FFFFFF"/>
          </w:tcPr>
          <w:p w14:paraId="0806782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5EBC59A"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A256D5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31</w:t>
            </w:r>
          </w:p>
        </w:tc>
        <w:tc>
          <w:tcPr>
            <w:tcW w:w="0" w:type="auto"/>
            <w:tcBorders>
              <w:top w:val="single" w:sz="4" w:space="0" w:color="auto"/>
              <w:left w:val="single" w:sz="4" w:space="0" w:color="auto"/>
            </w:tcBorders>
            <w:shd w:val="clear" w:color="auto" w:fill="FFFFFF"/>
            <w:vAlign w:val="center"/>
          </w:tcPr>
          <w:p w14:paraId="68E1B03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BG4ME700R096</w:t>
            </w:r>
          </w:p>
        </w:tc>
        <w:tc>
          <w:tcPr>
            <w:tcW w:w="0" w:type="auto"/>
            <w:tcBorders>
              <w:top w:val="single" w:sz="4" w:space="0" w:color="auto"/>
              <w:left w:val="single" w:sz="4" w:space="0" w:color="auto"/>
            </w:tcBorders>
            <w:shd w:val="clear" w:color="auto" w:fill="FFFFFF"/>
          </w:tcPr>
          <w:p w14:paraId="35335FD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Ретиже</w:t>
            </w:r>
            <w:proofErr w:type="spellEnd"/>
            <w:r w:rsidRPr="009F6D1E">
              <w:rPr>
                <w:rStyle w:val="Bodytext210pt"/>
                <w:rFonts w:eastAsia="ヒラギノ角ゴ Pro W3"/>
              </w:rPr>
              <w:t xml:space="preserve"> от изворите до кота 1635 м.</w:t>
            </w:r>
          </w:p>
        </w:tc>
        <w:tc>
          <w:tcPr>
            <w:tcW w:w="0" w:type="auto"/>
            <w:tcBorders>
              <w:top w:val="single" w:sz="4" w:space="0" w:color="auto"/>
              <w:left w:val="single" w:sz="4" w:space="0" w:color="auto"/>
            </w:tcBorders>
            <w:shd w:val="clear" w:color="auto" w:fill="FFFFFF"/>
          </w:tcPr>
          <w:p w14:paraId="0EEFA33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отлично </w:t>
            </w:r>
            <w:r w:rsidR="005B1C6B" w:rsidRPr="009F6D1E">
              <w:rPr>
                <w:rStyle w:val="Bodytext210pt"/>
                <w:rFonts w:eastAsia="ヒラギノ角ゴ Pro W3"/>
              </w:rPr>
              <w:t>състояние</w:t>
            </w:r>
          </w:p>
        </w:tc>
        <w:tc>
          <w:tcPr>
            <w:tcW w:w="0" w:type="auto"/>
            <w:tcBorders>
              <w:top w:val="single" w:sz="4" w:space="0" w:color="auto"/>
              <w:left w:val="single" w:sz="4" w:space="0" w:color="auto"/>
              <w:right w:val="single" w:sz="4" w:space="0" w:color="auto"/>
            </w:tcBorders>
            <w:shd w:val="clear" w:color="auto" w:fill="FFFFFF"/>
          </w:tcPr>
          <w:p w14:paraId="1A55BAC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47ED0D3"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108863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32</w:t>
            </w:r>
          </w:p>
        </w:tc>
        <w:tc>
          <w:tcPr>
            <w:tcW w:w="0" w:type="auto"/>
            <w:tcBorders>
              <w:top w:val="single" w:sz="4" w:space="0" w:color="auto"/>
              <w:left w:val="single" w:sz="4" w:space="0" w:color="auto"/>
            </w:tcBorders>
            <w:shd w:val="clear" w:color="auto" w:fill="FFFFFF"/>
            <w:vAlign w:val="center"/>
          </w:tcPr>
          <w:p w14:paraId="5F1149E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BG4ME700R097</w:t>
            </w:r>
          </w:p>
        </w:tc>
        <w:tc>
          <w:tcPr>
            <w:tcW w:w="0" w:type="auto"/>
            <w:tcBorders>
              <w:top w:val="single" w:sz="4" w:space="0" w:color="auto"/>
              <w:left w:val="single" w:sz="4" w:space="0" w:color="auto"/>
            </w:tcBorders>
            <w:shd w:val="clear" w:color="auto" w:fill="FFFFFF"/>
          </w:tcPr>
          <w:p w14:paraId="354C70D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Ретиже</w:t>
            </w:r>
            <w:proofErr w:type="spellEnd"/>
            <w:r w:rsidRPr="009F6D1E">
              <w:rPr>
                <w:rStyle w:val="Bodytext210pt"/>
                <w:rFonts w:eastAsia="ヒラギノ角ゴ Pro W3"/>
              </w:rPr>
              <w:t xml:space="preserve"> от кота 1635м. до вливане в р. Места</w:t>
            </w:r>
          </w:p>
        </w:tc>
        <w:tc>
          <w:tcPr>
            <w:tcW w:w="0" w:type="auto"/>
            <w:tcBorders>
              <w:top w:val="single" w:sz="4" w:space="0" w:color="auto"/>
              <w:left w:val="single" w:sz="4" w:space="0" w:color="auto"/>
            </w:tcBorders>
            <w:shd w:val="clear" w:color="auto" w:fill="FFFFFF"/>
          </w:tcPr>
          <w:p w14:paraId="5092C19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919F95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9EF0405"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701E092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33</w:t>
            </w:r>
          </w:p>
        </w:tc>
        <w:tc>
          <w:tcPr>
            <w:tcW w:w="0" w:type="auto"/>
            <w:tcBorders>
              <w:top w:val="single" w:sz="4" w:space="0" w:color="auto"/>
              <w:left w:val="single" w:sz="4" w:space="0" w:color="auto"/>
            </w:tcBorders>
            <w:shd w:val="clear" w:color="auto" w:fill="FFFFFF"/>
            <w:vAlign w:val="center"/>
          </w:tcPr>
          <w:p w14:paraId="4B527A4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BG4ME700R098</w:t>
            </w:r>
          </w:p>
        </w:tc>
        <w:tc>
          <w:tcPr>
            <w:tcW w:w="0" w:type="auto"/>
            <w:tcBorders>
              <w:top w:val="single" w:sz="4" w:space="0" w:color="auto"/>
              <w:left w:val="single" w:sz="4" w:space="0" w:color="auto"/>
            </w:tcBorders>
            <w:shd w:val="clear" w:color="auto" w:fill="FFFFFF"/>
          </w:tcPr>
          <w:p w14:paraId="3629F6E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Градинишка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Осеновска</w:t>
            </w:r>
            <w:proofErr w:type="spellEnd"/>
            <w:r w:rsidRPr="009F6D1E">
              <w:rPr>
                <w:rStyle w:val="Bodytext210pt"/>
                <w:rFonts w:eastAsia="ヒラギノ角ゴ Pro W3"/>
              </w:rPr>
              <w:t>) от изворите до вливане в р. Места</w:t>
            </w:r>
          </w:p>
        </w:tc>
        <w:tc>
          <w:tcPr>
            <w:tcW w:w="0" w:type="auto"/>
            <w:tcBorders>
              <w:top w:val="single" w:sz="4" w:space="0" w:color="auto"/>
              <w:left w:val="single" w:sz="4" w:space="0" w:color="auto"/>
            </w:tcBorders>
            <w:shd w:val="clear" w:color="auto" w:fill="FFFFFF"/>
          </w:tcPr>
          <w:p w14:paraId="02F187C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06F1EBC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B2C6DD6"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179EC4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34</w:t>
            </w:r>
          </w:p>
        </w:tc>
        <w:tc>
          <w:tcPr>
            <w:tcW w:w="0" w:type="auto"/>
            <w:tcBorders>
              <w:top w:val="single" w:sz="4" w:space="0" w:color="auto"/>
              <w:left w:val="single" w:sz="4" w:space="0" w:color="auto"/>
            </w:tcBorders>
            <w:shd w:val="clear" w:color="auto" w:fill="FFFFFF"/>
            <w:vAlign w:val="center"/>
          </w:tcPr>
          <w:p w14:paraId="2D6B354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BG4ME700R099</w:t>
            </w:r>
          </w:p>
        </w:tc>
        <w:tc>
          <w:tcPr>
            <w:tcW w:w="0" w:type="auto"/>
            <w:tcBorders>
              <w:top w:val="single" w:sz="4" w:space="0" w:color="auto"/>
              <w:left w:val="single" w:sz="4" w:space="0" w:color="auto"/>
            </w:tcBorders>
            <w:shd w:val="clear" w:color="auto" w:fill="FFFFFF"/>
          </w:tcPr>
          <w:p w14:paraId="04E76F3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Лъкенска</w:t>
            </w:r>
            <w:proofErr w:type="spellEnd"/>
            <w:r w:rsidRPr="009F6D1E">
              <w:rPr>
                <w:rStyle w:val="Bodytext210pt"/>
                <w:rFonts w:eastAsia="ヒラギノ角ゴ Pro W3"/>
              </w:rPr>
              <w:t xml:space="preserve"> (Кременска) от изворите до вливане в р. Места</w:t>
            </w:r>
          </w:p>
        </w:tc>
        <w:tc>
          <w:tcPr>
            <w:tcW w:w="0" w:type="auto"/>
            <w:tcBorders>
              <w:top w:val="single" w:sz="4" w:space="0" w:color="auto"/>
              <w:left w:val="single" w:sz="4" w:space="0" w:color="auto"/>
            </w:tcBorders>
            <w:shd w:val="clear" w:color="auto" w:fill="FFFFFF"/>
          </w:tcPr>
          <w:p w14:paraId="3DA2279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0D65FF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ED1F1D7"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27E5BD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35</w:t>
            </w:r>
          </w:p>
        </w:tc>
        <w:tc>
          <w:tcPr>
            <w:tcW w:w="0" w:type="auto"/>
            <w:tcBorders>
              <w:top w:val="single" w:sz="4" w:space="0" w:color="auto"/>
              <w:left w:val="single" w:sz="4" w:space="0" w:color="auto"/>
            </w:tcBorders>
            <w:shd w:val="clear" w:color="auto" w:fill="FFFFFF"/>
            <w:vAlign w:val="center"/>
          </w:tcPr>
          <w:p w14:paraId="0495602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BG4ME700R100</w:t>
            </w:r>
          </w:p>
        </w:tc>
        <w:tc>
          <w:tcPr>
            <w:tcW w:w="0" w:type="auto"/>
            <w:tcBorders>
              <w:top w:val="single" w:sz="4" w:space="0" w:color="auto"/>
              <w:left w:val="single" w:sz="4" w:space="0" w:color="auto"/>
            </w:tcBorders>
            <w:shd w:val="clear" w:color="auto" w:fill="FFFFFF"/>
          </w:tcPr>
          <w:p w14:paraId="7196A25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Каменица от изворите до вливане в р. Места</w:t>
            </w:r>
          </w:p>
        </w:tc>
        <w:tc>
          <w:tcPr>
            <w:tcW w:w="0" w:type="auto"/>
            <w:tcBorders>
              <w:top w:val="single" w:sz="4" w:space="0" w:color="auto"/>
              <w:left w:val="single" w:sz="4" w:space="0" w:color="auto"/>
            </w:tcBorders>
            <w:shd w:val="clear" w:color="auto" w:fill="FFFFFF"/>
          </w:tcPr>
          <w:p w14:paraId="3ADECC3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04CD69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4B7C6A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737B6C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36</w:t>
            </w:r>
          </w:p>
        </w:tc>
        <w:tc>
          <w:tcPr>
            <w:tcW w:w="0" w:type="auto"/>
            <w:tcBorders>
              <w:top w:val="single" w:sz="4" w:space="0" w:color="auto"/>
              <w:left w:val="single" w:sz="4" w:space="0" w:color="auto"/>
            </w:tcBorders>
            <w:shd w:val="clear" w:color="auto" w:fill="FFFFFF"/>
            <w:vAlign w:val="center"/>
          </w:tcPr>
          <w:p w14:paraId="7F6B928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BG4ME700R101</w:t>
            </w:r>
          </w:p>
        </w:tc>
        <w:tc>
          <w:tcPr>
            <w:tcW w:w="0" w:type="auto"/>
            <w:tcBorders>
              <w:top w:val="single" w:sz="4" w:space="0" w:color="auto"/>
              <w:left w:val="single" w:sz="4" w:space="0" w:color="auto"/>
            </w:tcBorders>
            <w:shd w:val="clear" w:color="auto" w:fill="FFFFFF"/>
          </w:tcPr>
          <w:p w14:paraId="5CE16BF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Костена от изворите до вливане в р. Места</w:t>
            </w:r>
          </w:p>
        </w:tc>
        <w:tc>
          <w:tcPr>
            <w:tcW w:w="0" w:type="auto"/>
            <w:tcBorders>
              <w:top w:val="single" w:sz="4" w:space="0" w:color="auto"/>
              <w:left w:val="single" w:sz="4" w:space="0" w:color="auto"/>
            </w:tcBorders>
            <w:shd w:val="clear" w:color="auto" w:fill="FFFFFF"/>
          </w:tcPr>
          <w:p w14:paraId="4EF870B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C0847D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4137E3A"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294D21E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37</w:t>
            </w:r>
          </w:p>
        </w:tc>
        <w:tc>
          <w:tcPr>
            <w:tcW w:w="0" w:type="auto"/>
            <w:tcBorders>
              <w:top w:val="single" w:sz="4" w:space="0" w:color="auto"/>
              <w:left w:val="single" w:sz="4" w:space="0" w:color="auto"/>
            </w:tcBorders>
            <w:shd w:val="clear" w:color="auto" w:fill="FFFFFF"/>
            <w:vAlign w:val="center"/>
          </w:tcPr>
          <w:p w14:paraId="0F1A72F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BG4ME700R102</w:t>
            </w:r>
          </w:p>
        </w:tc>
        <w:tc>
          <w:tcPr>
            <w:tcW w:w="0" w:type="auto"/>
            <w:tcBorders>
              <w:top w:val="single" w:sz="4" w:space="0" w:color="auto"/>
              <w:left w:val="single" w:sz="4" w:space="0" w:color="auto"/>
            </w:tcBorders>
            <w:shd w:val="clear" w:color="auto" w:fill="FFFFFF"/>
          </w:tcPr>
          <w:p w14:paraId="04B90B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Рибновска</w:t>
            </w:r>
            <w:proofErr w:type="spellEnd"/>
            <w:r w:rsidRPr="009F6D1E">
              <w:rPr>
                <w:rStyle w:val="Bodytext210pt"/>
                <w:rFonts w:eastAsia="ヒラギノ角ゴ Pro W3"/>
              </w:rPr>
              <w:t xml:space="preserve"> от изворите до вливане в р. Места</w:t>
            </w:r>
          </w:p>
        </w:tc>
        <w:tc>
          <w:tcPr>
            <w:tcW w:w="0" w:type="auto"/>
            <w:tcBorders>
              <w:top w:val="single" w:sz="4" w:space="0" w:color="auto"/>
              <w:left w:val="single" w:sz="4" w:space="0" w:color="auto"/>
            </w:tcBorders>
            <w:shd w:val="clear" w:color="auto" w:fill="FFFFFF"/>
          </w:tcPr>
          <w:p w14:paraId="49F185D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51A78E8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FB0FC42"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ADE3ED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38</w:t>
            </w:r>
          </w:p>
        </w:tc>
        <w:tc>
          <w:tcPr>
            <w:tcW w:w="0" w:type="auto"/>
            <w:tcBorders>
              <w:top w:val="single" w:sz="4" w:space="0" w:color="auto"/>
              <w:left w:val="single" w:sz="4" w:space="0" w:color="auto"/>
            </w:tcBorders>
            <w:shd w:val="clear" w:color="auto" w:fill="FFFFFF"/>
            <w:vAlign w:val="center"/>
          </w:tcPr>
          <w:p w14:paraId="5B1E0B7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BG4ME700R103</w:t>
            </w:r>
          </w:p>
        </w:tc>
        <w:tc>
          <w:tcPr>
            <w:tcW w:w="0" w:type="auto"/>
            <w:tcBorders>
              <w:top w:val="single" w:sz="4" w:space="0" w:color="auto"/>
              <w:left w:val="single" w:sz="4" w:space="0" w:color="auto"/>
            </w:tcBorders>
            <w:shd w:val="clear" w:color="auto" w:fill="FFFFFF"/>
          </w:tcPr>
          <w:p w14:paraId="2AAB692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Места от вливане на р. </w:t>
            </w:r>
            <w:proofErr w:type="spellStart"/>
            <w:r w:rsidRPr="009F6D1E">
              <w:rPr>
                <w:rStyle w:val="Bodytext210pt"/>
                <w:rFonts w:eastAsia="ヒラギノ角ゴ Pro W3"/>
              </w:rPr>
              <w:t>Рибновска</w:t>
            </w:r>
            <w:proofErr w:type="spellEnd"/>
            <w:r w:rsidRPr="009F6D1E">
              <w:rPr>
                <w:rStyle w:val="Bodytext210pt"/>
                <w:rFonts w:eastAsia="ヒラギノ角ゴ Pro W3"/>
              </w:rPr>
              <w:t xml:space="preserve"> до вливане на р. Канина</w:t>
            </w:r>
          </w:p>
        </w:tc>
        <w:tc>
          <w:tcPr>
            <w:tcW w:w="0" w:type="auto"/>
            <w:tcBorders>
              <w:top w:val="single" w:sz="4" w:space="0" w:color="auto"/>
              <w:left w:val="single" w:sz="4" w:space="0" w:color="auto"/>
            </w:tcBorders>
            <w:shd w:val="clear" w:color="auto" w:fill="FFFFFF"/>
          </w:tcPr>
          <w:p w14:paraId="0CEE574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E975BF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7FB7291"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3CA59C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39</w:t>
            </w:r>
          </w:p>
        </w:tc>
        <w:tc>
          <w:tcPr>
            <w:tcW w:w="0" w:type="auto"/>
            <w:tcBorders>
              <w:top w:val="single" w:sz="4" w:space="0" w:color="auto"/>
              <w:left w:val="single" w:sz="4" w:space="0" w:color="auto"/>
            </w:tcBorders>
            <w:shd w:val="clear" w:color="auto" w:fill="FFFFFF"/>
            <w:vAlign w:val="center"/>
          </w:tcPr>
          <w:p w14:paraId="44E2ED0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BG4ME700R105</w:t>
            </w:r>
          </w:p>
        </w:tc>
        <w:tc>
          <w:tcPr>
            <w:tcW w:w="0" w:type="auto"/>
            <w:tcBorders>
              <w:top w:val="single" w:sz="4" w:space="0" w:color="auto"/>
              <w:left w:val="single" w:sz="4" w:space="0" w:color="auto"/>
            </w:tcBorders>
            <w:shd w:val="clear" w:color="auto" w:fill="FFFFFF"/>
          </w:tcPr>
          <w:p w14:paraId="50ACE9A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Туфча</w:t>
            </w:r>
            <w:proofErr w:type="spellEnd"/>
            <w:r w:rsidRPr="009F6D1E">
              <w:rPr>
                <w:rStyle w:val="Bodytext210pt"/>
                <w:rFonts w:eastAsia="ヒラギノ角ゴ Pro W3"/>
              </w:rPr>
              <w:t xml:space="preserve"> от с. Брезница до вливане в р. Места</w:t>
            </w:r>
          </w:p>
        </w:tc>
        <w:tc>
          <w:tcPr>
            <w:tcW w:w="0" w:type="auto"/>
            <w:tcBorders>
              <w:top w:val="single" w:sz="4" w:space="0" w:color="auto"/>
              <w:left w:val="single" w:sz="4" w:space="0" w:color="auto"/>
            </w:tcBorders>
            <w:shd w:val="clear" w:color="auto" w:fill="FFFFFF"/>
          </w:tcPr>
          <w:p w14:paraId="148DAFE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AA0DA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B8D2A58"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7466EE8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40</w:t>
            </w:r>
          </w:p>
        </w:tc>
        <w:tc>
          <w:tcPr>
            <w:tcW w:w="0" w:type="auto"/>
            <w:tcBorders>
              <w:top w:val="single" w:sz="4" w:space="0" w:color="auto"/>
              <w:left w:val="single" w:sz="4" w:space="0" w:color="auto"/>
            </w:tcBorders>
            <w:shd w:val="clear" w:color="auto" w:fill="FFFFFF"/>
            <w:vAlign w:val="center"/>
          </w:tcPr>
          <w:p w14:paraId="2BDA9B2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BG4ME700R1093</w:t>
            </w:r>
          </w:p>
        </w:tc>
        <w:tc>
          <w:tcPr>
            <w:tcW w:w="0" w:type="auto"/>
            <w:tcBorders>
              <w:top w:val="single" w:sz="4" w:space="0" w:color="auto"/>
              <w:left w:val="single" w:sz="4" w:space="0" w:color="auto"/>
            </w:tcBorders>
            <w:shd w:val="clear" w:color="auto" w:fill="FFFFFF"/>
          </w:tcPr>
          <w:p w14:paraId="7C7FBBE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Добринишка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Дисилица</w:t>
            </w:r>
            <w:proofErr w:type="spellEnd"/>
            <w:r w:rsidRPr="009F6D1E">
              <w:rPr>
                <w:rStyle w:val="Bodytext210pt"/>
                <w:rFonts w:eastAsia="ヒラギノ角ゴ Pro W3"/>
              </w:rPr>
              <w:t>) от кота 1550 м. до вливане в р. Места</w:t>
            </w:r>
          </w:p>
        </w:tc>
        <w:tc>
          <w:tcPr>
            <w:tcW w:w="0" w:type="auto"/>
            <w:tcBorders>
              <w:top w:val="single" w:sz="4" w:space="0" w:color="auto"/>
              <w:left w:val="single" w:sz="4" w:space="0" w:color="auto"/>
            </w:tcBorders>
            <w:shd w:val="clear" w:color="auto" w:fill="FFFFFF"/>
          </w:tcPr>
          <w:p w14:paraId="4B5778D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75C46CC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76F9225"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19E19C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41</w:t>
            </w:r>
          </w:p>
        </w:tc>
        <w:tc>
          <w:tcPr>
            <w:tcW w:w="0" w:type="auto"/>
            <w:tcBorders>
              <w:top w:val="single" w:sz="4" w:space="0" w:color="auto"/>
              <w:left w:val="single" w:sz="4" w:space="0" w:color="auto"/>
            </w:tcBorders>
            <w:shd w:val="clear" w:color="auto" w:fill="FFFFFF"/>
            <w:vAlign w:val="center"/>
          </w:tcPr>
          <w:p w14:paraId="694EEC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BG4ME700R1104</w:t>
            </w:r>
          </w:p>
        </w:tc>
        <w:tc>
          <w:tcPr>
            <w:tcW w:w="0" w:type="auto"/>
            <w:tcBorders>
              <w:top w:val="single" w:sz="4" w:space="0" w:color="auto"/>
              <w:left w:val="single" w:sz="4" w:space="0" w:color="auto"/>
            </w:tcBorders>
            <w:shd w:val="clear" w:color="auto" w:fill="FFFFFF"/>
          </w:tcPr>
          <w:p w14:paraId="13CA9671" w14:textId="77777777" w:rsidR="005B1C6B" w:rsidRPr="009F6D1E" w:rsidRDefault="005B1C6B" w:rsidP="0084747F">
            <w:pPr>
              <w:spacing w:after="60" w:line="264" w:lineRule="auto"/>
              <w:rPr>
                <w:rFonts w:cs="Times New Roman"/>
                <w:sz w:val="20"/>
                <w:szCs w:val="20"/>
              </w:rPr>
            </w:pPr>
            <w:proofErr w:type="spellStart"/>
            <w:r w:rsidRPr="009F6D1E">
              <w:rPr>
                <w:rStyle w:val="Bodytext210pt"/>
                <w:rFonts w:eastAsia="ヒラギノ角ゴ Pro W3"/>
              </w:rPr>
              <w:t>р.Туфча</w:t>
            </w:r>
            <w:proofErr w:type="spellEnd"/>
            <w:r w:rsidRPr="009F6D1E">
              <w:rPr>
                <w:rStyle w:val="Bodytext210pt"/>
                <w:rFonts w:eastAsia="ヒラギノ角ゴ Pro W3"/>
              </w:rPr>
              <w:t xml:space="preserve"> от кота 1145 м. до с. Брезница</w:t>
            </w:r>
          </w:p>
        </w:tc>
        <w:tc>
          <w:tcPr>
            <w:tcW w:w="0" w:type="auto"/>
            <w:tcBorders>
              <w:top w:val="single" w:sz="4" w:space="0" w:color="auto"/>
              <w:left w:val="single" w:sz="4" w:space="0" w:color="auto"/>
            </w:tcBorders>
            <w:shd w:val="clear" w:color="auto" w:fill="FFFFFF"/>
          </w:tcPr>
          <w:p w14:paraId="5DFA273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0BE813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4060556"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E46384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42</w:t>
            </w:r>
          </w:p>
        </w:tc>
        <w:tc>
          <w:tcPr>
            <w:tcW w:w="0" w:type="auto"/>
            <w:tcBorders>
              <w:top w:val="single" w:sz="4" w:space="0" w:color="auto"/>
              <w:left w:val="single" w:sz="4" w:space="0" w:color="auto"/>
            </w:tcBorders>
            <w:shd w:val="clear" w:color="auto" w:fill="FFFFFF"/>
            <w:vAlign w:val="center"/>
          </w:tcPr>
          <w:p w14:paraId="46EA0DC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lang w:bidi="en-US"/>
              </w:rPr>
              <w:t>BG4ME700R11040</w:t>
            </w:r>
          </w:p>
        </w:tc>
        <w:tc>
          <w:tcPr>
            <w:tcW w:w="0" w:type="auto"/>
            <w:tcBorders>
              <w:top w:val="single" w:sz="4" w:space="0" w:color="auto"/>
              <w:left w:val="single" w:sz="4" w:space="0" w:color="auto"/>
            </w:tcBorders>
            <w:shd w:val="clear" w:color="auto" w:fill="FFFFFF"/>
          </w:tcPr>
          <w:p w14:paraId="1C1E78A9" w14:textId="77777777" w:rsidR="005B1C6B" w:rsidRPr="009F6D1E" w:rsidRDefault="005B1C6B" w:rsidP="0084747F">
            <w:pPr>
              <w:spacing w:after="60" w:line="264" w:lineRule="auto"/>
              <w:rPr>
                <w:rFonts w:cs="Times New Roman"/>
                <w:sz w:val="20"/>
                <w:szCs w:val="20"/>
              </w:rPr>
            </w:pPr>
            <w:proofErr w:type="spellStart"/>
            <w:r w:rsidRPr="009F6D1E">
              <w:rPr>
                <w:rStyle w:val="Bodytext210pt"/>
                <w:rFonts w:eastAsia="ヒラギノ角ゴ Pro W3"/>
              </w:rPr>
              <w:t>р.Туфча</w:t>
            </w:r>
            <w:proofErr w:type="spellEnd"/>
            <w:r w:rsidRPr="009F6D1E">
              <w:rPr>
                <w:rStyle w:val="Bodytext210pt"/>
                <w:rFonts w:eastAsia="ヒラギノ角ゴ Pro W3"/>
              </w:rPr>
              <w:t xml:space="preserve"> от изворите до кота 1145 м.</w:t>
            </w:r>
          </w:p>
        </w:tc>
        <w:tc>
          <w:tcPr>
            <w:tcW w:w="0" w:type="auto"/>
            <w:tcBorders>
              <w:top w:val="single" w:sz="4" w:space="0" w:color="auto"/>
              <w:left w:val="single" w:sz="4" w:space="0" w:color="auto"/>
            </w:tcBorders>
            <w:shd w:val="clear" w:color="auto" w:fill="FFFFFF"/>
          </w:tcPr>
          <w:p w14:paraId="5807B32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A719FA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3FC019F5"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660774E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43</w:t>
            </w:r>
          </w:p>
        </w:tc>
        <w:tc>
          <w:tcPr>
            <w:tcW w:w="0" w:type="auto"/>
            <w:tcBorders>
              <w:top w:val="single" w:sz="4" w:space="0" w:color="auto"/>
              <w:left w:val="single" w:sz="4" w:space="0" w:color="auto"/>
            </w:tcBorders>
            <w:shd w:val="clear" w:color="auto" w:fill="FFFFFF"/>
            <w:vAlign w:val="center"/>
          </w:tcPr>
          <w:p w14:paraId="471CB8C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BG4ME700R1193</w:t>
            </w:r>
          </w:p>
        </w:tc>
        <w:tc>
          <w:tcPr>
            <w:tcW w:w="0" w:type="auto"/>
            <w:tcBorders>
              <w:top w:val="single" w:sz="4" w:space="0" w:color="auto"/>
              <w:left w:val="single" w:sz="4" w:space="0" w:color="auto"/>
            </w:tcBorders>
            <w:shd w:val="clear" w:color="auto" w:fill="FFFFFF"/>
          </w:tcPr>
          <w:p w14:paraId="33E8A11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Добринишка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Дисилица</w:t>
            </w:r>
            <w:proofErr w:type="spellEnd"/>
            <w:r w:rsidRPr="009F6D1E">
              <w:rPr>
                <w:rStyle w:val="Bodytext210pt"/>
                <w:rFonts w:eastAsia="ヒラギノ角ゴ Pro W3"/>
              </w:rPr>
              <w:t>) от изворите до кота 1550 м.</w:t>
            </w:r>
          </w:p>
        </w:tc>
        <w:tc>
          <w:tcPr>
            <w:tcW w:w="0" w:type="auto"/>
            <w:tcBorders>
              <w:top w:val="single" w:sz="4" w:space="0" w:color="auto"/>
              <w:left w:val="single" w:sz="4" w:space="0" w:color="auto"/>
            </w:tcBorders>
            <w:shd w:val="clear" w:color="auto" w:fill="FFFFFF"/>
          </w:tcPr>
          <w:p w14:paraId="7E7925E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8AF14D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61F80D0"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7B0A44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44</w:t>
            </w:r>
          </w:p>
        </w:tc>
        <w:tc>
          <w:tcPr>
            <w:tcW w:w="0" w:type="auto"/>
            <w:tcBorders>
              <w:top w:val="single" w:sz="4" w:space="0" w:color="auto"/>
              <w:left w:val="single" w:sz="4" w:space="0" w:color="auto"/>
            </w:tcBorders>
            <w:shd w:val="clear" w:color="auto" w:fill="FFFFFF"/>
            <w:vAlign w:val="center"/>
          </w:tcPr>
          <w:p w14:paraId="5E9AC3D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BG4ME800R084</w:t>
            </w:r>
          </w:p>
        </w:tc>
        <w:tc>
          <w:tcPr>
            <w:tcW w:w="0" w:type="auto"/>
            <w:tcBorders>
              <w:top w:val="single" w:sz="4" w:space="0" w:color="auto"/>
              <w:left w:val="single" w:sz="4" w:space="0" w:color="auto"/>
            </w:tcBorders>
            <w:shd w:val="clear" w:color="auto" w:fill="FFFFFF"/>
          </w:tcPr>
          <w:p w14:paraId="72588BC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Изток от изворите до вливане в р. Места</w:t>
            </w:r>
          </w:p>
        </w:tc>
        <w:tc>
          <w:tcPr>
            <w:tcW w:w="0" w:type="auto"/>
            <w:tcBorders>
              <w:top w:val="single" w:sz="4" w:space="0" w:color="auto"/>
              <w:left w:val="single" w:sz="4" w:space="0" w:color="auto"/>
            </w:tcBorders>
            <w:shd w:val="clear" w:color="auto" w:fill="FFFFFF"/>
          </w:tcPr>
          <w:p w14:paraId="49F6A48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613F15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B0714D4"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19D60F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45</w:t>
            </w:r>
          </w:p>
        </w:tc>
        <w:tc>
          <w:tcPr>
            <w:tcW w:w="0" w:type="auto"/>
            <w:tcBorders>
              <w:top w:val="single" w:sz="4" w:space="0" w:color="auto"/>
              <w:left w:val="single" w:sz="4" w:space="0" w:color="auto"/>
            </w:tcBorders>
            <w:shd w:val="clear" w:color="auto" w:fill="FFFFFF"/>
            <w:vAlign w:val="center"/>
          </w:tcPr>
          <w:p w14:paraId="1D9E90F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BG4ME800R086</w:t>
            </w:r>
          </w:p>
        </w:tc>
        <w:tc>
          <w:tcPr>
            <w:tcW w:w="0" w:type="auto"/>
            <w:tcBorders>
              <w:top w:val="single" w:sz="4" w:space="0" w:color="auto"/>
              <w:left w:val="single" w:sz="4" w:space="0" w:color="auto"/>
            </w:tcBorders>
            <w:shd w:val="clear" w:color="auto" w:fill="FFFFFF"/>
          </w:tcPr>
          <w:p w14:paraId="672B4EE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Дeмяница</w:t>
            </w:r>
            <w:proofErr w:type="spellEnd"/>
            <w:r w:rsidRPr="009F6D1E">
              <w:rPr>
                <w:rStyle w:val="Bodytext210pt"/>
                <w:rFonts w:eastAsia="ヒラギノ角ゴ Pro W3"/>
              </w:rPr>
              <w:t xml:space="preserve"> (Глазне) от вливане на р. Бъндерица до вливане в р. Изток</w:t>
            </w:r>
          </w:p>
        </w:tc>
        <w:tc>
          <w:tcPr>
            <w:tcW w:w="0" w:type="auto"/>
            <w:tcBorders>
              <w:top w:val="single" w:sz="4" w:space="0" w:color="auto"/>
              <w:left w:val="single" w:sz="4" w:space="0" w:color="auto"/>
            </w:tcBorders>
            <w:shd w:val="clear" w:color="auto" w:fill="FFFFFF"/>
          </w:tcPr>
          <w:p w14:paraId="037E0C1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5A1CB7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96C476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9B6F43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46</w:t>
            </w:r>
          </w:p>
        </w:tc>
        <w:tc>
          <w:tcPr>
            <w:tcW w:w="0" w:type="auto"/>
            <w:tcBorders>
              <w:top w:val="single" w:sz="4" w:space="0" w:color="auto"/>
              <w:left w:val="single" w:sz="4" w:space="0" w:color="auto"/>
            </w:tcBorders>
            <w:shd w:val="clear" w:color="auto" w:fill="FFFFFF"/>
            <w:vAlign w:val="center"/>
          </w:tcPr>
          <w:p w14:paraId="5AC49F4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BG4ME800R087</w:t>
            </w:r>
          </w:p>
        </w:tc>
        <w:tc>
          <w:tcPr>
            <w:tcW w:w="0" w:type="auto"/>
            <w:tcBorders>
              <w:top w:val="single" w:sz="4" w:space="0" w:color="auto"/>
              <w:left w:val="single" w:sz="4" w:space="0" w:color="auto"/>
            </w:tcBorders>
            <w:shd w:val="clear" w:color="auto" w:fill="FFFFFF"/>
          </w:tcPr>
          <w:p w14:paraId="4420305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Бела река от изворите до вливане в р. Изток</w:t>
            </w:r>
          </w:p>
        </w:tc>
        <w:tc>
          <w:tcPr>
            <w:tcW w:w="0" w:type="auto"/>
            <w:tcBorders>
              <w:top w:val="single" w:sz="4" w:space="0" w:color="auto"/>
              <w:left w:val="single" w:sz="4" w:space="0" w:color="auto"/>
            </w:tcBorders>
            <w:shd w:val="clear" w:color="auto" w:fill="FFFFFF"/>
          </w:tcPr>
          <w:p w14:paraId="21EADAD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умерен </w:t>
            </w:r>
            <w:r w:rsidR="005B1C6B" w:rsidRPr="009F6D1E">
              <w:rPr>
                <w:rStyle w:val="Bodytext210pt"/>
                <w:rFonts w:eastAsia="ヒラギノ角ゴ Pro W3"/>
              </w:rPr>
              <w:t>потенциал</w:t>
            </w:r>
          </w:p>
        </w:tc>
        <w:tc>
          <w:tcPr>
            <w:tcW w:w="0" w:type="auto"/>
            <w:tcBorders>
              <w:top w:val="single" w:sz="4" w:space="0" w:color="auto"/>
              <w:left w:val="single" w:sz="4" w:space="0" w:color="auto"/>
              <w:right w:val="single" w:sz="4" w:space="0" w:color="auto"/>
            </w:tcBorders>
            <w:shd w:val="clear" w:color="auto" w:fill="FFFFFF"/>
          </w:tcPr>
          <w:p w14:paraId="49D91E4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9DA187C"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39FC866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47</w:t>
            </w:r>
          </w:p>
        </w:tc>
        <w:tc>
          <w:tcPr>
            <w:tcW w:w="0" w:type="auto"/>
            <w:tcBorders>
              <w:top w:val="single" w:sz="4" w:space="0" w:color="auto"/>
              <w:left w:val="single" w:sz="4" w:space="0" w:color="auto"/>
            </w:tcBorders>
            <w:shd w:val="clear" w:color="auto" w:fill="FFFFFF"/>
            <w:vAlign w:val="center"/>
          </w:tcPr>
          <w:p w14:paraId="27BBD4B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BG4ME800R1085</w:t>
            </w:r>
          </w:p>
        </w:tc>
        <w:tc>
          <w:tcPr>
            <w:tcW w:w="0" w:type="auto"/>
            <w:tcBorders>
              <w:top w:val="single" w:sz="4" w:space="0" w:color="auto"/>
              <w:left w:val="single" w:sz="4" w:space="0" w:color="auto"/>
            </w:tcBorders>
            <w:shd w:val="clear" w:color="auto" w:fill="FFFFFF"/>
          </w:tcPr>
          <w:p w14:paraId="6BDB262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Дeмяница</w:t>
            </w:r>
            <w:proofErr w:type="spellEnd"/>
            <w:r w:rsidRPr="009F6D1E">
              <w:rPr>
                <w:rStyle w:val="Bodytext210pt"/>
                <w:rFonts w:eastAsia="ヒラギノ角ゴ Pro W3"/>
              </w:rPr>
              <w:t xml:space="preserve"> (Глазне) от изворите с левия си приток р. Бъндерица (от кота 1805 м.) до вливането им</w:t>
            </w:r>
          </w:p>
        </w:tc>
        <w:tc>
          <w:tcPr>
            <w:tcW w:w="0" w:type="auto"/>
            <w:tcBorders>
              <w:top w:val="single" w:sz="4" w:space="0" w:color="auto"/>
              <w:left w:val="single" w:sz="4" w:space="0" w:color="auto"/>
            </w:tcBorders>
            <w:shd w:val="clear" w:color="auto" w:fill="FFFFFF"/>
          </w:tcPr>
          <w:p w14:paraId="515455B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отлично </w:t>
            </w:r>
            <w:r w:rsidR="005B1C6B" w:rsidRPr="009F6D1E">
              <w:rPr>
                <w:rStyle w:val="Bodytext210pt"/>
                <w:rFonts w:eastAsia="ヒラギノ角ゴ Pro W3"/>
              </w:rPr>
              <w:t>състояние</w:t>
            </w:r>
          </w:p>
        </w:tc>
        <w:tc>
          <w:tcPr>
            <w:tcW w:w="0" w:type="auto"/>
            <w:tcBorders>
              <w:top w:val="single" w:sz="4" w:space="0" w:color="auto"/>
              <w:left w:val="single" w:sz="4" w:space="0" w:color="auto"/>
              <w:right w:val="single" w:sz="4" w:space="0" w:color="auto"/>
            </w:tcBorders>
            <w:shd w:val="clear" w:color="auto" w:fill="FFFFFF"/>
          </w:tcPr>
          <w:p w14:paraId="2B68ADA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C41BA02"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EEA37D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48</w:t>
            </w:r>
          </w:p>
        </w:tc>
        <w:tc>
          <w:tcPr>
            <w:tcW w:w="0" w:type="auto"/>
            <w:tcBorders>
              <w:top w:val="single" w:sz="4" w:space="0" w:color="auto"/>
              <w:left w:val="single" w:sz="4" w:space="0" w:color="auto"/>
            </w:tcBorders>
            <w:shd w:val="clear" w:color="auto" w:fill="FFFFFF"/>
            <w:vAlign w:val="center"/>
          </w:tcPr>
          <w:p w14:paraId="2A6C46E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BG4ME800R1088</w:t>
            </w:r>
          </w:p>
        </w:tc>
        <w:tc>
          <w:tcPr>
            <w:tcW w:w="0" w:type="auto"/>
            <w:tcBorders>
              <w:top w:val="single" w:sz="4" w:space="0" w:color="auto"/>
              <w:left w:val="single" w:sz="4" w:space="0" w:color="auto"/>
            </w:tcBorders>
            <w:shd w:val="clear" w:color="auto" w:fill="FFFFFF"/>
          </w:tcPr>
          <w:p w14:paraId="16E9276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Седрач</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Бачевска</w:t>
            </w:r>
            <w:proofErr w:type="spellEnd"/>
            <w:r w:rsidRPr="009F6D1E">
              <w:rPr>
                <w:rStyle w:val="Bodytext210pt"/>
                <w:rFonts w:eastAsia="ヒラギノ角ゴ Pro W3"/>
              </w:rPr>
              <w:t>) от изворите до вливане в р. Изток</w:t>
            </w:r>
          </w:p>
        </w:tc>
        <w:tc>
          <w:tcPr>
            <w:tcW w:w="0" w:type="auto"/>
            <w:tcBorders>
              <w:top w:val="single" w:sz="4" w:space="0" w:color="auto"/>
              <w:left w:val="single" w:sz="4" w:space="0" w:color="auto"/>
            </w:tcBorders>
            <w:shd w:val="clear" w:color="auto" w:fill="FFFFFF"/>
          </w:tcPr>
          <w:p w14:paraId="099923D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умерен </w:t>
            </w:r>
            <w:r w:rsidR="005B1C6B" w:rsidRPr="009F6D1E">
              <w:rPr>
                <w:rStyle w:val="Bodytext210pt"/>
                <w:rFonts w:eastAsia="ヒラギノ角ゴ Pro W3"/>
              </w:rPr>
              <w:t>потенциал</w:t>
            </w:r>
          </w:p>
        </w:tc>
        <w:tc>
          <w:tcPr>
            <w:tcW w:w="0" w:type="auto"/>
            <w:tcBorders>
              <w:top w:val="single" w:sz="4" w:space="0" w:color="auto"/>
              <w:left w:val="single" w:sz="4" w:space="0" w:color="auto"/>
              <w:right w:val="single" w:sz="4" w:space="0" w:color="auto"/>
            </w:tcBorders>
            <w:shd w:val="clear" w:color="auto" w:fill="FFFFFF"/>
          </w:tcPr>
          <w:p w14:paraId="5301846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BED8581"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089E75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49</w:t>
            </w:r>
          </w:p>
        </w:tc>
        <w:tc>
          <w:tcPr>
            <w:tcW w:w="0" w:type="auto"/>
            <w:tcBorders>
              <w:top w:val="single" w:sz="4" w:space="0" w:color="auto"/>
              <w:left w:val="single" w:sz="4" w:space="0" w:color="auto"/>
            </w:tcBorders>
            <w:shd w:val="clear" w:color="auto" w:fill="FFFFFF"/>
            <w:vAlign w:val="center"/>
          </w:tcPr>
          <w:p w14:paraId="457C13B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BG4ME800R1089</w:t>
            </w:r>
          </w:p>
        </w:tc>
        <w:tc>
          <w:tcPr>
            <w:tcW w:w="0" w:type="auto"/>
            <w:tcBorders>
              <w:top w:val="single" w:sz="4" w:space="0" w:color="auto"/>
              <w:left w:val="single" w:sz="4" w:space="0" w:color="auto"/>
            </w:tcBorders>
            <w:shd w:val="clear" w:color="auto" w:fill="FFFFFF"/>
          </w:tcPr>
          <w:p w14:paraId="440D7F5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Драглишка</w:t>
            </w:r>
            <w:proofErr w:type="spellEnd"/>
            <w:r w:rsidRPr="009F6D1E">
              <w:rPr>
                <w:rStyle w:val="Bodytext210pt"/>
                <w:rFonts w:eastAsia="ヒラギノ角ゴ Pro W3"/>
              </w:rPr>
              <w:t xml:space="preserve"> от изворите до вливане в р. Изток</w:t>
            </w:r>
          </w:p>
        </w:tc>
        <w:tc>
          <w:tcPr>
            <w:tcW w:w="0" w:type="auto"/>
            <w:tcBorders>
              <w:top w:val="single" w:sz="4" w:space="0" w:color="auto"/>
              <w:left w:val="single" w:sz="4" w:space="0" w:color="auto"/>
            </w:tcBorders>
            <w:shd w:val="clear" w:color="auto" w:fill="FFFFFF"/>
          </w:tcPr>
          <w:p w14:paraId="54DC125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9B766C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E29195B"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22770B7"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50</w:t>
            </w:r>
          </w:p>
        </w:tc>
        <w:tc>
          <w:tcPr>
            <w:tcW w:w="0" w:type="auto"/>
            <w:tcBorders>
              <w:top w:val="single" w:sz="4" w:space="0" w:color="auto"/>
              <w:left w:val="single" w:sz="4" w:space="0" w:color="auto"/>
            </w:tcBorders>
            <w:shd w:val="clear" w:color="auto" w:fill="FFFFFF"/>
            <w:vAlign w:val="center"/>
          </w:tcPr>
          <w:p w14:paraId="4E1C07E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w:t>
            </w:r>
            <w:r w:rsidRPr="009F6D1E">
              <w:rPr>
                <w:rStyle w:val="Bodytext210pt"/>
                <w:rFonts w:eastAsia="ヒラギノ角ゴ Pro W3"/>
              </w:rPr>
              <w:t>185</w:t>
            </w:r>
          </w:p>
        </w:tc>
        <w:tc>
          <w:tcPr>
            <w:tcW w:w="0" w:type="auto"/>
            <w:tcBorders>
              <w:top w:val="single" w:sz="4" w:space="0" w:color="auto"/>
              <w:left w:val="single" w:sz="4" w:space="0" w:color="auto"/>
            </w:tcBorders>
            <w:shd w:val="clear" w:color="auto" w:fill="FFFFFF"/>
          </w:tcPr>
          <w:p w14:paraId="2468FB1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Бъндерица от изворите до кота 1805 м.</w:t>
            </w:r>
          </w:p>
        </w:tc>
        <w:tc>
          <w:tcPr>
            <w:tcW w:w="0" w:type="auto"/>
            <w:tcBorders>
              <w:top w:val="single" w:sz="4" w:space="0" w:color="auto"/>
              <w:left w:val="single" w:sz="4" w:space="0" w:color="auto"/>
            </w:tcBorders>
            <w:shd w:val="clear" w:color="auto" w:fill="FFFFFF"/>
          </w:tcPr>
          <w:p w14:paraId="6A74B18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9CCBAD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BBDDCEA"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69BEA1E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51</w:t>
            </w:r>
          </w:p>
        </w:tc>
        <w:tc>
          <w:tcPr>
            <w:tcW w:w="0" w:type="auto"/>
            <w:tcBorders>
              <w:top w:val="single" w:sz="4" w:space="0" w:color="auto"/>
              <w:left w:val="single" w:sz="4" w:space="0" w:color="auto"/>
            </w:tcBorders>
            <w:shd w:val="clear" w:color="auto" w:fill="FFFFFF"/>
            <w:vAlign w:val="center"/>
          </w:tcPr>
          <w:p w14:paraId="51571A8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w:t>
            </w:r>
            <w:r w:rsidRPr="009F6D1E">
              <w:rPr>
                <w:rStyle w:val="Bodytext210pt"/>
                <w:rFonts w:eastAsia="ヒラギノ角ゴ Pro W3"/>
              </w:rPr>
              <w:t>188</w:t>
            </w:r>
          </w:p>
        </w:tc>
        <w:tc>
          <w:tcPr>
            <w:tcW w:w="0" w:type="auto"/>
            <w:tcBorders>
              <w:top w:val="single" w:sz="4" w:space="0" w:color="auto"/>
              <w:left w:val="single" w:sz="4" w:space="0" w:color="auto"/>
            </w:tcBorders>
            <w:shd w:val="clear" w:color="auto" w:fill="FFFFFF"/>
          </w:tcPr>
          <w:p w14:paraId="15A26D1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Студената вода от изворите до кота 1755 м.</w:t>
            </w:r>
          </w:p>
        </w:tc>
        <w:tc>
          <w:tcPr>
            <w:tcW w:w="0" w:type="auto"/>
            <w:tcBorders>
              <w:top w:val="single" w:sz="4" w:space="0" w:color="auto"/>
              <w:left w:val="single" w:sz="4" w:space="0" w:color="auto"/>
            </w:tcBorders>
            <w:shd w:val="clear" w:color="auto" w:fill="FFFFFF"/>
          </w:tcPr>
          <w:p w14:paraId="133ED07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BD0FE6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3ADF157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DD0C8C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lastRenderedPageBreak/>
              <w:t>52</w:t>
            </w:r>
          </w:p>
        </w:tc>
        <w:tc>
          <w:tcPr>
            <w:tcW w:w="0" w:type="auto"/>
            <w:tcBorders>
              <w:top w:val="single" w:sz="4" w:space="0" w:color="auto"/>
              <w:left w:val="single" w:sz="4" w:space="0" w:color="auto"/>
            </w:tcBorders>
            <w:shd w:val="clear" w:color="auto" w:fill="FFFFFF"/>
            <w:vAlign w:val="center"/>
          </w:tcPr>
          <w:p w14:paraId="5DB2ACD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BG4ME800R1</w:t>
            </w:r>
            <w:r w:rsidRPr="009F6D1E">
              <w:rPr>
                <w:rStyle w:val="Bodytext210pt"/>
                <w:rFonts w:eastAsia="ヒラギノ角ゴ Pro W3"/>
              </w:rPr>
              <w:t>189</w:t>
            </w:r>
          </w:p>
        </w:tc>
        <w:tc>
          <w:tcPr>
            <w:tcW w:w="0" w:type="auto"/>
            <w:tcBorders>
              <w:top w:val="single" w:sz="4" w:space="0" w:color="auto"/>
              <w:left w:val="single" w:sz="4" w:space="0" w:color="auto"/>
            </w:tcBorders>
            <w:shd w:val="clear" w:color="auto" w:fill="FFFFFF"/>
          </w:tcPr>
          <w:p w14:paraId="2A9CAEC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Клинец от изворите до кота 1670 м.</w:t>
            </w:r>
          </w:p>
        </w:tc>
        <w:tc>
          <w:tcPr>
            <w:tcW w:w="0" w:type="auto"/>
            <w:tcBorders>
              <w:top w:val="single" w:sz="4" w:space="0" w:color="auto"/>
              <w:left w:val="single" w:sz="4" w:space="0" w:color="auto"/>
            </w:tcBorders>
            <w:shd w:val="clear" w:color="auto" w:fill="FFFFFF"/>
          </w:tcPr>
          <w:p w14:paraId="57EB0FB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FC6DB7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82639E1"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B48368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53</w:t>
            </w:r>
          </w:p>
        </w:tc>
        <w:tc>
          <w:tcPr>
            <w:tcW w:w="0" w:type="auto"/>
            <w:tcBorders>
              <w:top w:val="single" w:sz="4" w:space="0" w:color="auto"/>
              <w:left w:val="single" w:sz="4" w:space="0" w:color="auto"/>
            </w:tcBorders>
            <w:shd w:val="clear" w:color="auto" w:fill="FFFFFF"/>
            <w:vAlign w:val="center"/>
          </w:tcPr>
          <w:p w14:paraId="3C61866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BG4ME900R080</w:t>
            </w:r>
          </w:p>
        </w:tc>
        <w:tc>
          <w:tcPr>
            <w:tcW w:w="0" w:type="auto"/>
            <w:tcBorders>
              <w:top w:val="single" w:sz="4" w:space="0" w:color="auto"/>
              <w:left w:val="single" w:sz="4" w:space="0" w:color="auto"/>
            </w:tcBorders>
            <w:shd w:val="clear" w:color="auto" w:fill="FFFFFF"/>
          </w:tcPr>
          <w:p w14:paraId="046E0CB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Места от вливане на притоците Бяла и Черна Места, до вливането на р. Изток</w:t>
            </w:r>
          </w:p>
        </w:tc>
        <w:tc>
          <w:tcPr>
            <w:tcW w:w="0" w:type="auto"/>
            <w:tcBorders>
              <w:top w:val="single" w:sz="4" w:space="0" w:color="auto"/>
              <w:left w:val="single" w:sz="4" w:space="0" w:color="auto"/>
            </w:tcBorders>
            <w:shd w:val="clear" w:color="auto" w:fill="FFFFFF"/>
          </w:tcPr>
          <w:p w14:paraId="0CE98BA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769FB66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74969F92" w14:textId="77777777" w:rsidTr="008A7E6F">
        <w:trPr>
          <w:trHeight w:hRule="exact" w:val="254"/>
          <w:jc w:val="center"/>
        </w:trPr>
        <w:tc>
          <w:tcPr>
            <w:tcW w:w="0" w:type="auto"/>
            <w:tcBorders>
              <w:top w:val="single" w:sz="4" w:space="0" w:color="auto"/>
              <w:left w:val="single" w:sz="4" w:space="0" w:color="auto"/>
              <w:bottom w:val="single" w:sz="4" w:space="0" w:color="auto"/>
            </w:tcBorders>
            <w:shd w:val="clear" w:color="auto" w:fill="FFFFFF"/>
            <w:vAlign w:val="center"/>
          </w:tcPr>
          <w:p w14:paraId="1D87554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54</w:t>
            </w:r>
          </w:p>
        </w:tc>
        <w:tc>
          <w:tcPr>
            <w:tcW w:w="0" w:type="auto"/>
            <w:tcBorders>
              <w:top w:val="single" w:sz="4" w:space="0" w:color="auto"/>
              <w:left w:val="single" w:sz="4" w:space="0" w:color="auto"/>
              <w:bottom w:val="single" w:sz="4" w:space="0" w:color="auto"/>
            </w:tcBorders>
            <w:shd w:val="clear" w:color="auto" w:fill="FFFFFF"/>
            <w:vAlign w:val="center"/>
          </w:tcPr>
          <w:p w14:paraId="6BDED41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BG4ME900R082</w:t>
            </w:r>
          </w:p>
        </w:tc>
        <w:tc>
          <w:tcPr>
            <w:tcW w:w="0" w:type="auto"/>
            <w:tcBorders>
              <w:top w:val="single" w:sz="4" w:space="0" w:color="auto"/>
              <w:left w:val="single" w:sz="4" w:space="0" w:color="auto"/>
              <w:bottom w:val="single" w:sz="4" w:space="0" w:color="auto"/>
            </w:tcBorders>
            <w:shd w:val="clear" w:color="auto" w:fill="FFFFFF"/>
          </w:tcPr>
          <w:p w14:paraId="5E7B4DA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Белишка от вливане на р. </w:t>
            </w:r>
            <w:proofErr w:type="spellStart"/>
            <w:r w:rsidRPr="009F6D1E">
              <w:rPr>
                <w:rStyle w:val="Bodytext210pt"/>
                <w:rFonts w:eastAsia="ヒラギノ角ゴ Pro W3"/>
              </w:rPr>
              <w:t>Вотръчка</w:t>
            </w:r>
            <w:proofErr w:type="spellEnd"/>
            <w:r w:rsidRPr="009F6D1E">
              <w:rPr>
                <w:rStyle w:val="Bodytext210pt"/>
                <w:rFonts w:eastAsia="ヒラギノ角ゴ Pro W3"/>
              </w:rPr>
              <w:t xml:space="preserve"> до вливане в р. Места</w:t>
            </w:r>
          </w:p>
        </w:tc>
        <w:tc>
          <w:tcPr>
            <w:tcW w:w="0" w:type="auto"/>
            <w:tcBorders>
              <w:top w:val="single" w:sz="4" w:space="0" w:color="auto"/>
              <w:left w:val="single" w:sz="4" w:space="0" w:color="auto"/>
              <w:bottom w:val="single" w:sz="4" w:space="0" w:color="auto"/>
            </w:tcBorders>
            <w:shd w:val="clear" w:color="auto" w:fill="FFFFFF"/>
          </w:tcPr>
          <w:p w14:paraId="3B5EA44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умерен </w:t>
            </w:r>
            <w:r w:rsidR="005B1C6B" w:rsidRPr="009F6D1E">
              <w:rPr>
                <w:rStyle w:val="Bodytext210pt"/>
                <w:rFonts w:eastAsia="ヒラギノ角ゴ Pro W3"/>
              </w:rPr>
              <w:t>потенциал</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8D23DB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25BED59D" w14:textId="77777777" w:rsidTr="008A7E6F">
        <w:trPr>
          <w:trHeight w:hRule="exact" w:val="269"/>
          <w:jc w:val="center"/>
        </w:trPr>
        <w:tc>
          <w:tcPr>
            <w:tcW w:w="0" w:type="auto"/>
            <w:tcBorders>
              <w:top w:val="single" w:sz="4" w:space="0" w:color="auto"/>
              <w:left w:val="single" w:sz="4" w:space="0" w:color="auto"/>
            </w:tcBorders>
            <w:shd w:val="clear" w:color="auto" w:fill="FFFFFF"/>
            <w:vAlign w:val="center"/>
          </w:tcPr>
          <w:p w14:paraId="51749B2D"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55</w:t>
            </w:r>
          </w:p>
        </w:tc>
        <w:tc>
          <w:tcPr>
            <w:tcW w:w="0" w:type="auto"/>
            <w:tcBorders>
              <w:top w:val="single" w:sz="4" w:space="0" w:color="auto"/>
              <w:left w:val="single" w:sz="4" w:space="0" w:color="auto"/>
            </w:tcBorders>
            <w:shd w:val="clear" w:color="auto" w:fill="FFFFFF"/>
            <w:vAlign w:val="center"/>
          </w:tcPr>
          <w:p w14:paraId="0171DFF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BG4ME900R083</w:t>
            </w:r>
          </w:p>
        </w:tc>
        <w:tc>
          <w:tcPr>
            <w:tcW w:w="0" w:type="auto"/>
            <w:tcBorders>
              <w:top w:val="single" w:sz="4" w:space="0" w:color="auto"/>
              <w:left w:val="single" w:sz="4" w:space="0" w:color="auto"/>
            </w:tcBorders>
            <w:shd w:val="clear" w:color="auto" w:fill="FFFFFF"/>
          </w:tcPr>
          <w:p w14:paraId="08AAFA8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Бабешка от изворите до вливане в р. Места</w:t>
            </w:r>
          </w:p>
        </w:tc>
        <w:tc>
          <w:tcPr>
            <w:tcW w:w="0" w:type="auto"/>
            <w:tcBorders>
              <w:top w:val="single" w:sz="4" w:space="0" w:color="auto"/>
              <w:left w:val="single" w:sz="4" w:space="0" w:color="auto"/>
            </w:tcBorders>
            <w:shd w:val="clear" w:color="auto" w:fill="FFFFFF"/>
          </w:tcPr>
          <w:p w14:paraId="2259CC1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69F6379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5A287DF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515A3A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56</w:t>
            </w:r>
          </w:p>
        </w:tc>
        <w:tc>
          <w:tcPr>
            <w:tcW w:w="0" w:type="auto"/>
            <w:tcBorders>
              <w:top w:val="single" w:sz="4" w:space="0" w:color="auto"/>
              <w:left w:val="single" w:sz="4" w:space="0" w:color="auto"/>
            </w:tcBorders>
            <w:shd w:val="clear" w:color="auto" w:fill="FFFFFF"/>
            <w:vAlign w:val="center"/>
          </w:tcPr>
          <w:p w14:paraId="4A35142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BG4ME900R1078</w:t>
            </w:r>
          </w:p>
        </w:tc>
        <w:tc>
          <w:tcPr>
            <w:tcW w:w="0" w:type="auto"/>
            <w:tcBorders>
              <w:top w:val="single" w:sz="4" w:space="0" w:color="auto"/>
              <w:left w:val="single" w:sz="4" w:space="0" w:color="auto"/>
            </w:tcBorders>
            <w:shd w:val="clear" w:color="auto" w:fill="FFFFFF"/>
          </w:tcPr>
          <w:p w14:paraId="715373C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Черна Места от изворите до вливане в р. Места</w:t>
            </w:r>
          </w:p>
        </w:tc>
        <w:tc>
          <w:tcPr>
            <w:tcW w:w="0" w:type="auto"/>
            <w:tcBorders>
              <w:top w:val="single" w:sz="4" w:space="0" w:color="auto"/>
              <w:left w:val="single" w:sz="4" w:space="0" w:color="auto"/>
            </w:tcBorders>
            <w:shd w:val="clear" w:color="auto" w:fill="FFFFFF"/>
          </w:tcPr>
          <w:p w14:paraId="298EC34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отлично </w:t>
            </w:r>
            <w:r w:rsidR="005B1C6B" w:rsidRPr="009F6D1E">
              <w:rPr>
                <w:rStyle w:val="Bodytext210pt"/>
                <w:rFonts w:eastAsia="ヒラギノ角ゴ Pro W3"/>
              </w:rPr>
              <w:t>състояние</w:t>
            </w:r>
          </w:p>
        </w:tc>
        <w:tc>
          <w:tcPr>
            <w:tcW w:w="0" w:type="auto"/>
            <w:tcBorders>
              <w:top w:val="single" w:sz="4" w:space="0" w:color="auto"/>
              <w:left w:val="single" w:sz="4" w:space="0" w:color="auto"/>
              <w:right w:val="single" w:sz="4" w:space="0" w:color="auto"/>
            </w:tcBorders>
            <w:shd w:val="clear" w:color="auto" w:fill="FFFFFF"/>
          </w:tcPr>
          <w:p w14:paraId="64E5ACF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4E962CA"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E74E2C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57</w:t>
            </w:r>
          </w:p>
        </w:tc>
        <w:tc>
          <w:tcPr>
            <w:tcW w:w="0" w:type="auto"/>
            <w:tcBorders>
              <w:top w:val="single" w:sz="4" w:space="0" w:color="auto"/>
              <w:left w:val="single" w:sz="4" w:space="0" w:color="auto"/>
            </w:tcBorders>
            <w:shd w:val="clear" w:color="auto" w:fill="FFFFFF"/>
            <w:vAlign w:val="center"/>
          </w:tcPr>
          <w:p w14:paraId="452C4CF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BG4ME900R1079</w:t>
            </w:r>
          </w:p>
        </w:tc>
        <w:tc>
          <w:tcPr>
            <w:tcW w:w="0" w:type="auto"/>
            <w:tcBorders>
              <w:top w:val="single" w:sz="4" w:space="0" w:color="auto"/>
              <w:left w:val="single" w:sz="4" w:space="0" w:color="auto"/>
            </w:tcBorders>
            <w:shd w:val="clear" w:color="auto" w:fill="FFFFFF"/>
          </w:tcPr>
          <w:p w14:paraId="4F91C92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Бяла Места от изворите до вливане в р. Места</w:t>
            </w:r>
          </w:p>
        </w:tc>
        <w:tc>
          <w:tcPr>
            <w:tcW w:w="0" w:type="auto"/>
            <w:tcBorders>
              <w:top w:val="single" w:sz="4" w:space="0" w:color="auto"/>
              <w:left w:val="single" w:sz="4" w:space="0" w:color="auto"/>
            </w:tcBorders>
            <w:shd w:val="clear" w:color="auto" w:fill="FFFFFF"/>
          </w:tcPr>
          <w:p w14:paraId="26DE5E5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BD7126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2EDA1DB" w14:textId="77777777" w:rsidTr="008A7E6F">
        <w:trPr>
          <w:trHeight w:hRule="exact" w:val="480"/>
          <w:jc w:val="center"/>
        </w:trPr>
        <w:tc>
          <w:tcPr>
            <w:tcW w:w="0" w:type="auto"/>
            <w:tcBorders>
              <w:top w:val="single" w:sz="4" w:space="0" w:color="auto"/>
              <w:left w:val="single" w:sz="4" w:space="0" w:color="auto"/>
            </w:tcBorders>
            <w:shd w:val="clear" w:color="auto" w:fill="FFFFFF"/>
            <w:vAlign w:val="center"/>
          </w:tcPr>
          <w:p w14:paraId="487FBEC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58</w:t>
            </w:r>
          </w:p>
        </w:tc>
        <w:tc>
          <w:tcPr>
            <w:tcW w:w="0" w:type="auto"/>
            <w:tcBorders>
              <w:top w:val="single" w:sz="4" w:space="0" w:color="auto"/>
              <w:left w:val="single" w:sz="4" w:space="0" w:color="auto"/>
            </w:tcBorders>
            <w:shd w:val="clear" w:color="auto" w:fill="FFFFFF"/>
            <w:vAlign w:val="center"/>
          </w:tcPr>
          <w:p w14:paraId="67C647C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BG4ME900R1081</w:t>
            </w:r>
          </w:p>
        </w:tc>
        <w:tc>
          <w:tcPr>
            <w:tcW w:w="0" w:type="auto"/>
            <w:tcBorders>
              <w:top w:val="single" w:sz="4" w:space="0" w:color="auto"/>
              <w:left w:val="single" w:sz="4" w:space="0" w:color="auto"/>
            </w:tcBorders>
            <w:shd w:val="clear" w:color="auto" w:fill="FFFFFF"/>
          </w:tcPr>
          <w:p w14:paraId="3CBDAB8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Белишка (след вливане на р. Динков дол) с левия си приток река </w:t>
            </w:r>
            <w:proofErr w:type="spellStart"/>
            <w:r w:rsidRPr="009F6D1E">
              <w:rPr>
                <w:rStyle w:val="Bodytext210pt"/>
                <w:rFonts w:eastAsia="ヒラギノ角ゴ Pro W3"/>
              </w:rPr>
              <w:t>Вотръчка</w:t>
            </w:r>
            <w:proofErr w:type="spellEnd"/>
            <w:r w:rsidRPr="009F6D1E">
              <w:rPr>
                <w:rStyle w:val="Bodytext210pt"/>
                <w:rFonts w:eastAsia="ヒラギノ角ゴ Pro W3"/>
              </w:rPr>
              <w:t xml:space="preserve"> (след вливане на р. </w:t>
            </w:r>
            <w:proofErr w:type="spellStart"/>
            <w:r w:rsidRPr="009F6D1E">
              <w:rPr>
                <w:rStyle w:val="Bodytext210pt"/>
                <w:rFonts w:eastAsia="ヒラギノ角ゴ Pro W3"/>
              </w:rPr>
              <w:t>Торишка</w:t>
            </w:r>
            <w:proofErr w:type="spellEnd"/>
            <w:r w:rsidRPr="009F6D1E">
              <w:rPr>
                <w:rStyle w:val="Bodytext210pt"/>
                <w:rFonts w:eastAsia="ヒラギノ角ゴ Pro W3"/>
              </w:rPr>
              <w:t>) до вливането им</w:t>
            </w:r>
          </w:p>
        </w:tc>
        <w:tc>
          <w:tcPr>
            <w:tcW w:w="0" w:type="auto"/>
            <w:tcBorders>
              <w:top w:val="single" w:sz="4" w:space="0" w:color="auto"/>
              <w:left w:val="single" w:sz="4" w:space="0" w:color="auto"/>
            </w:tcBorders>
            <w:shd w:val="clear" w:color="auto" w:fill="FFFFFF"/>
            <w:vAlign w:val="center"/>
          </w:tcPr>
          <w:p w14:paraId="536A90B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добър </w:t>
            </w:r>
            <w:r w:rsidR="005B1C6B" w:rsidRPr="009F6D1E">
              <w:rPr>
                <w:rStyle w:val="Bodytext210pt"/>
                <w:rFonts w:eastAsia="ヒラギノ角ゴ Pro W3"/>
              </w:rPr>
              <w:t>потенциал</w:t>
            </w:r>
          </w:p>
        </w:tc>
        <w:tc>
          <w:tcPr>
            <w:tcW w:w="0" w:type="auto"/>
            <w:tcBorders>
              <w:top w:val="single" w:sz="4" w:space="0" w:color="auto"/>
              <w:left w:val="single" w:sz="4" w:space="0" w:color="auto"/>
              <w:right w:val="single" w:sz="4" w:space="0" w:color="auto"/>
            </w:tcBorders>
            <w:shd w:val="clear" w:color="auto" w:fill="FFFFFF"/>
            <w:vAlign w:val="center"/>
          </w:tcPr>
          <w:p w14:paraId="3A3EB68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0CA4511"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166FA3E"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59</w:t>
            </w:r>
          </w:p>
        </w:tc>
        <w:tc>
          <w:tcPr>
            <w:tcW w:w="0" w:type="auto"/>
            <w:tcBorders>
              <w:top w:val="single" w:sz="4" w:space="0" w:color="auto"/>
              <w:left w:val="single" w:sz="4" w:space="0" w:color="auto"/>
            </w:tcBorders>
            <w:shd w:val="clear" w:color="auto" w:fill="FFFFFF"/>
            <w:vAlign w:val="center"/>
          </w:tcPr>
          <w:p w14:paraId="269AF26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BG4ME900R1178</w:t>
            </w:r>
          </w:p>
        </w:tc>
        <w:tc>
          <w:tcPr>
            <w:tcW w:w="0" w:type="auto"/>
            <w:tcBorders>
              <w:top w:val="single" w:sz="4" w:space="0" w:color="auto"/>
              <w:left w:val="single" w:sz="4" w:space="0" w:color="auto"/>
            </w:tcBorders>
            <w:shd w:val="clear" w:color="auto" w:fill="FFFFFF"/>
          </w:tcPr>
          <w:p w14:paraId="2151C650"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Софан от изворите до кота 1990 м.</w:t>
            </w:r>
          </w:p>
        </w:tc>
        <w:tc>
          <w:tcPr>
            <w:tcW w:w="0" w:type="auto"/>
            <w:tcBorders>
              <w:top w:val="single" w:sz="4" w:space="0" w:color="auto"/>
              <w:left w:val="single" w:sz="4" w:space="0" w:color="auto"/>
            </w:tcBorders>
            <w:shd w:val="clear" w:color="auto" w:fill="FFFFFF"/>
          </w:tcPr>
          <w:p w14:paraId="5931B8B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38718A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5CE99A8B"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7AC87B0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60</w:t>
            </w:r>
          </w:p>
        </w:tc>
        <w:tc>
          <w:tcPr>
            <w:tcW w:w="0" w:type="auto"/>
            <w:tcBorders>
              <w:top w:val="single" w:sz="4" w:space="0" w:color="auto"/>
              <w:left w:val="single" w:sz="4" w:space="0" w:color="auto"/>
            </w:tcBorders>
            <w:shd w:val="clear" w:color="auto" w:fill="FFFFFF"/>
            <w:vAlign w:val="center"/>
          </w:tcPr>
          <w:p w14:paraId="7825DF2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BG4ME900R1179</w:t>
            </w:r>
          </w:p>
        </w:tc>
        <w:tc>
          <w:tcPr>
            <w:tcW w:w="0" w:type="auto"/>
            <w:tcBorders>
              <w:top w:val="single" w:sz="4" w:space="0" w:color="auto"/>
              <w:left w:val="single" w:sz="4" w:space="0" w:color="auto"/>
            </w:tcBorders>
            <w:shd w:val="clear" w:color="auto" w:fill="FFFFFF"/>
          </w:tcPr>
          <w:p w14:paraId="5FEE491C"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Баненско</w:t>
            </w:r>
            <w:proofErr w:type="spellEnd"/>
            <w:r w:rsidRPr="009F6D1E">
              <w:rPr>
                <w:rStyle w:val="Bodytext210pt"/>
                <w:rFonts w:eastAsia="ヒラギノ角ゴ Pro W3"/>
              </w:rPr>
              <w:t xml:space="preserve"> езеро от изворите до кота 2175 м</w:t>
            </w:r>
          </w:p>
        </w:tc>
        <w:tc>
          <w:tcPr>
            <w:tcW w:w="0" w:type="auto"/>
            <w:tcBorders>
              <w:top w:val="single" w:sz="4" w:space="0" w:color="auto"/>
              <w:left w:val="single" w:sz="4" w:space="0" w:color="auto"/>
            </w:tcBorders>
            <w:shd w:val="clear" w:color="auto" w:fill="FFFFFF"/>
          </w:tcPr>
          <w:p w14:paraId="537799B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E5062C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FBA9FDD"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8DAC02F"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61</w:t>
            </w:r>
          </w:p>
        </w:tc>
        <w:tc>
          <w:tcPr>
            <w:tcW w:w="0" w:type="auto"/>
            <w:tcBorders>
              <w:top w:val="single" w:sz="4" w:space="0" w:color="auto"/>
              <w:left w:val="single" w:sz="4" w:space="0" w:color="auto"/>
            </w:tcBorders>
            <w:shd w:val="clear" w:color="auto" w:fill="FFFFFF"/>
            <w:vAlign w:val="center"/>
          </w:tcPr>
          <w:p w14:paraId="4B0B7DF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w:t>
            </w:r>
            <w:r w:rsidRPr="009F6D1E">
              <w:rPr>
                <w:rStyle w:val="Bodytext210pt"/>
                <w:rFonts w:eastAsia="ヒラギノ角ゴ Pro W3"/>
              </w:rPr>
              <w:t>181</w:t>
            </w:r>
          </w:p>
        </w:tc>
        <w:tc>
          <w:tcPr>
            <w:tcW w:w="0" w:type="auto"/>
            <w:tcBorders>
              <w:top w:val="single" w:sz="4" w:space="0" w:color="auto"/>
              <w:left w:val="single" w:sz="4" w:space="0" w:color="auto"/>
            </w:tcBorders>
            <w:shd w:val="clear" w:color="auto" w:fill="FFFFFF"/>
          </w:tcPr>
          <w:p w14:paraId="12EBB9E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Вотръчка</w:t>
            </w:r>
            <w:proofErr w:type="spellEnd"/>
            <w:r w:rsidRPr="009F6D1E">
              <w:rPr>
                <w:rStyle w:val="Bodytext210pt"/>
                <w:rFonts w:eastAsia="ヒラギノ角ゴ Pro W3"/>
              </w:rPr>
              <w:t xml:space="preserve"> от изворите с левия си приток р. Т </w:t>
            </w:r>
            <w:proofErr w:type="spellStart"/>
            <w:r w:rsidRPr="009F6D1E">
              <w:rPr>
                <w:rStyle w:val="Bodytext210pt"/>
                <w:rFonts w:eastAsia="ヒラギノ角ゴ Pro W3"/>
              </w:rPr>
              <w:t>оришка</w:t>
            </w:r>
            <w:proofErr w:type="spellEnd"/>
            <w:r w:rsidRPr="009F6D1E">
              <w:rPr>
                <w:rStyle w:val="Bodytext210pt"/>
                <w:rFonts w:eastAsia="ヒラギノ角ゴ Pro W3"/>
              </w:rPr>
              <w:t xml:space="preserve"> до вливането им</w:t>
            </w:r>
          </w:p>
        </w:tc>
        <w:tc>
          <w:tcPr>
            <w:tcW w:w="0" w:type="auto"/>
            <w:tcBorders>
              <w:top w:val="single" w:sz="4" w:space="0" w:color="auto"/>
              <w:left w:val="single" w:sz="4" w:space="0" w:color="auto"/>
            </w:tcBorders>
            <w:shd w:val="clear" w:color="auto" w:fill="FFFFFF"/>
          </w:tcPr>
          <w:p w14:paraId="7848B37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8195AB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 xml:space="preserve">неизвестно </w:t>
            </w:r>
            <w:r w:rsidR="005B1C6B" w:rsidRPr="009F6D1E">
              <w:rPr>
                <w:rStyle w:val="Bodytext210pt"/>
                <w:rFonts w:eastAsia="ヒラギノ角ゴ Pro W3"/>
              </w:rPr>
              <w:t>състояние</w:t>
            </w:r>
          </w:p>
        </w:tc>
      </w:tr>
      <w:tr w:rsidR="007E18C8" w:rsidRPr="009F6D1E" w14:paraId="4297419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593924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62</w:t>
            </w:r>
          </w:p>
        </w:tc>
        <w:tc>
          <w:tcPr>
            <w:tcW w:w="0" w:type="auto"/>
            <w:tcBorders>
              <w:top w:val="single" w:sz="4" w:space="0" w:color="auto"/>
              <w:left w:val="single" w:sz="4" w:space="0" w:color="auto"/>
            </w:tcBorders>
            <w:shd w:val="clear" w:color="auto" w:fill="FFFFFF"/>
            <w:vAlign w:val="center"/>
          </w:tcPr>
          <w:p w14:paraId="195FF2C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BG4ME900R1281</w:t>
            </w:r>
          </w:p>
        </w:tc>
        <w:tc>
          <w:tcPr>
            <w:tcW w:w="0" w:type="auto"/>
            <w:tcBorders>
              <w:top w:val="single" w:sz="4" w:space="0" w:color="auto"/>
              <w:left w:val="single" w:sz="4" w:space="0" w:color="auto"/>
            </w:tcBorders>
            <w:shd w:val="clear" w:color="auto" w:fill="FFFFFF"/>
          </w:tcPr>
          <w:p w14:paraId="10F1AA9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Белишка и р. Динков дол от изворите до вливането им</w:t>
            </w:r>
          </w:p>
        </w:tc>
        <w:tc>
          <w:tcPr>
            <w:tcW w:w="0" w:type="auto"/>
            <w:tcBorders>
              <w:top w:val="single" w:sz="4" w:space="0" w:color="auto"/>
              <w:left w:val="single" w:sz="4" w:space="0" w:color="auto"/>
            </w:tcBorders>
            <w:shd w:val="clear" w:color="auto" w:fill="FFFFFF"/>
          </w:tcPr>
          <w:p w14:paraId="222A24B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5CF73B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196C0EF"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3FBD3A3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63</w:t>
            </w:r>
          </w:p>
        </w:tc>
        <w:tc>
          <w:tcPr>
            <w:tcW w:w="0" w:type="auto"/>
            <w:tcBorders>
              <w:top w:val="single" w:sz="4" w:space="0" w:color="auto"/>
              <w:left w:val="single" w:sz="4" w:space="0" w:color="auto"/>
            </w:tcBorders>
            <w:shd w:val="clear" w:color="auto" w:fill="FFFFFF"/>
            <w:vAlign w:val="center"/>
          </w:tcPr>
          <w:p w14:paraId="596E43F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BG4ST200R075</w:t>
            </w:r>
          </w:p>
        </w:tc>
        <w:tc>
          <w:tcPr>
            <w:tcW w:w="0" w:type="auto"/>
            <w:tcBorders>
              <w:top w:val="single" w:sz="4" w:space="0" w:color="auto"/>
              <w:left w:val="single" w:sz="4" w:space="0" w:color="auto"/>
            </w:tcBorders>
            <w:shd w:val="clear" w:color="auto" w:fill="FFFFFF"/>
          </w:tcPr>
          <w:p w14:paraId="76313BB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Пиринска Бистрица от изворите с десния си приток р. </w:t>
            </w:r>
            <w:proofErr w:type="spellStart"/>
            <w:r w:rsidRPr="009F6D1E">
              <w:rPr>
                <w:rStyle w:val="Bodytext210pt"/>
                <w:rFonts w:eastAsia="ヒラギノ角ゴ Pro W3"/>
              </w:rPr>
              <w:t>Черешничка</w:t>
            </w:r>
            <w:proofErr w:type="spellEnd"/>
            <w:r w:rsidRPr="009F6D1E">
              <w:rPr>
                <w:rStyle w:val="Bodytext210pt"/>
                <w:rFonts w:eastAsia="ヒラギノ角ゴ Pro W3"/>
              </w:rPr>
              <w:t xml:space="preserve"> до вливането им</w:t>
            </w:r>
          </w:p>
        </w:tc>
        <w:tc>
          <w:tcPr>
            <w:tcW w:w="0" w:type="auto"/>
            <w:tcBorders>
              <w:top w:val="single" w:sz="4" w:space="0" w:color="auto"/>
              <w:left w:val="single" w:sz="4" w:space="0" w:color="auto"/>
            </w:tcBorders>
            <w:shd w:val="clear" w:color="auto" w:fill="FFFFFF"/>
          </w:tcPr>
          <w:p w14:paraId="59CD643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3789EEB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24EC60E"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F74795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64</w:t>
            </w:r>
          </w:p>
        </w:tc>
        <w:tc>
          <w:tcPr>
            <w:tcW w:w="0" w:type="auto"/>
            <w:tcBorders>
              <w:top w:val="single" w:sz="4" w:space="0" w:color="auto"/>
              <w:left w:val="single" w:sz="4" w:space="0" w:color="auto"/>
            </w:tcBorders>
            <w:shd w:val="clear" w:color="auto" w:fill="FFFFFF"/>
            <w:vAlign w:val="center"/>
          </w:tcPr>
          <w:p w14:paraId="4260341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BG4ST200R076</w:t>
            </w:r>
          </w:p>
        </w:tc>
        <w:tc>
          <w:tcPr>
            <w:tcW w:w="0" w:type="auto"/>
            <w:tcBorders>
              <w:top w:val="single" w:sz="4" w:space="0" w:color="auto"/>
              <w:left w:val="single" w:sz="4" w:space="0" w:color="auto"/>
            </w:tcBorders>
            <w:shd w:val="clear" w:color="auto" w:fill="FFFFFF"/>
          </w:tcPr>
          <w:p w14:paraId="7FBAE0E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Пиринска Бистрица (след вливане на р. </w:t>
            </w:r>
            <w:proofErr w:type="spellStart"/>
            <w:r w:rsidRPr="009F6D1E">
              <w:rPr>
                <w:rStyle w:val="Bodytext210pt"/>
                <w:rFonts w:eastAsia="ヒラギノ角ゴ Pro W3"/>
              </w:rPr>
              <w:t>Черешничка</w:t>
            </w:r>
            <w:proofErr w:type="spellEnd"/>
            <w:r w:rsidRPr="009F6D1E">
              <w:rPr>
                <w:rStyle w:val="Bodytext210pt"/>
                <w:rFonts w:eastAsia="ヒラギノ角ゴ Pro W3"/>
              </w:rPr>
              <w:t xml:space="preserve">) с притока си р. </w:t>
            </w:r>
            <w:proofErr w:type="spellStart"/>
            <w:r w:rsidRPr="009F6D1E">
              <w:rPr>
                <w:rStyle w:val="Bodytext210pt"/>
                <w:rFonts w:eastAsia="ヒラギノ角ゴ Pro W3"/>
              </w:rPr>
              <w:t>Калиманска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3F5388A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02AEADD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24247C2"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2310B12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65</w:t>
            </w:r>
          </w:p>
        </w:tc>
        <w:tc>
          <w:tcPr>
            <w:tcW w:w="0" w:type="auto"/>
            <w:tcBorders>
              <w:top w:val="single" w:sz="4" w:space="0" w:color="auto"/>
              <w:left w:val="single" w:sz="4" w:space="0" w:color="auto"/>
            </w:tcBorders>
            <w:shd w:val="clear" w:color="auto" w:fill="FFFFFF"/>
            <w:vAlign w:val="center"/>
          </w:tcPr>
          <w:p w14:paraId="5267DF4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BG4ST200R077</w:t>
            </w:r>
          </w:p>
        </w:tc>
        <w:tc>
          <w:tcPr>
            <w:tcW w:w="0" w:type="auto"/>
            <w:tcBorders>
              <w:top w:val="single" w:sz="4" w:space="0" w:color="auto"/>
              <w:left w:val="single" w:sz="4" w:space="0" w:color="auto"/>
            </w:tcBorders>
            <w:shd w:val="clear" w:color="auto" w:fill="FFFFFF"/>
          </w:tcPr>
          <w:p w14:paraId="75ED8400"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Петровска от изворите до вливане в р. Пиринска Бистрица</w:t>
            </w:r>
          </w:p>
        </w:tc>
        <w:tc>
          <w:tcPr>
            <w:tcW w:w="0" w:type="auto"/>
            <w:tcBorders>
              <w:top w:val="single" w:sz="4" w:space="0" w:color="auto"/>
              <w:left w:val="single" w:sz="4" w:space="0" w:color="auto"/>
            </w:tcBorders>
            <w:shd w:val="clear" w:color="auto" w:fill="FFFFFF"/>
          </w:tcPr>
          <w:p w14:paraId="33EDF2B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4A84C339"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29EF217"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3C7C67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66</w:t>
            </w:r>
          </w:p>
        </w:tc>
        <w:tc>
          <w:tcPr>
            <w:tcW w:w="0" w:type="auto"/>
            <w:tcBorders>
              <w:top w:val="single" w:sz="4" w:space="0" w:color="auto"/>
              <w:left w:val="single" w:sz="4" w:space="0" w:color="auto"/>
            </w:tcBorders>
            <w:shd w:val="clear" w:color="auto" w:fill="FFFFFF"/>
            <w:vAlign w:val="center"/>
          </w:tcPr>
          <w:p w14:paraId="421515F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BG4ST300R073</w:t>
            </w:r>
          </w:p>
        </w:tc>
        <w:tc>
          <w:tcPr>
            <w:tcW w:w="0" w:type="auto"/>
            <w:tcBorders>
              <w:top w:val="single" w:sz="4" w:space="0" w:color="auto"/>
              <w:left w:val="single" w:sz="4" w:space="0" w:color="auto"/>
            </w:tcBorders>
            <w:shd w:val="clear" w:color="auto" w:fill="FFFFFF"/>
          </w:tcPr>
          <w:p w14:paraId="3DF8D663"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Струма от вливане на р. Струмешница до българо-гръцката граница</w:t>
            </w:r>
          </w:p>
        </w:tc>
        <w:tc>
          <w:tcPr>
            <w:tcW w:w="0" w:type="auto"/>
            <w:tcBorders>
              <w:top w:val="single" w:sz="4" w:space="0" w:color="auto"/>
              <w:left w:val="single" w:sz="4" w:space="0" w:color="auto"/>
            </w:tcBorders>
            <w:shd w:val="clear" w:color="auto" w:fill="FFFFFF"/>
          </w:tcPr>
          <w:p w14:paraId="0E45612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16AC7F5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C45C685"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56BA5E5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67</w:t>
            </w:r>
          </w:p>
        </w:tc>
        <w:tc>
          <w:tcPr>
            <w:tcW w:w="0" w:type="auto"/>
            <w:tcBorders>
              <w:top w:val="single" w:sz="4" w:space="0" w:color="auto"/>
              <w:left w:val="single" w:sz="4" w:space="0" w:color="auto"/>
            </w:tcBorders>
            <w:shd w:val="clear" w:color="auto" w:fill="FFFFFF"/>
            <w:vAlign w:val="center"/>
          </w:tcPr>
          <w:p w14:paraId="46C2A89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BG4ST300R1074</w:t>
            </w:r>
          </w:p>
        </w:tc>
        <w:tc>
          <w:tcPr>
            <w:tcW w:w="0" w:type="auto"/>
            <w:tcBorders>
              <w:top w:val="single" w:sz="4" w:space="0" w:color="auto"/>
              <w:left w:val="single" w:sz="4" w:space="0" w:color="auto"/>
            </w:tcBorders>
            <w:shd w:val="clear" w:color="auto" w:fill="FFFFFF"/>
          </w:tcPr>
          <w:p w14:paraId="34CA996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Мелнишка от изворите до вливане в р. Струма</w:t>
            </w:r>
          </w:p>
        </w:tc>
        <w:tc>
          <w:tcPr>
            <w:tcW w:w="0" w:type="auto"/>
            <w:tcBorders>
              <w:top w:val="single" w:sz="4" w:space="0" w:color="auto"/>
              <w:left w:val="single" w:sz="4" w:space="0" w:color="auto"/>
            </w:tcBorders>
            <w:shd w:val="clear" w:color="auto" w:fill="FFFFFF"/>
          </w:tcPr>
          <w:p w14:paraId="5B6BB12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4D77E98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C3329D7"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BDD88D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68</w:t>
            </w:r>
          </w:p>
        </w:tc>
        <w:tc>
          <w:tcPr>
            <w:tcW w:w="0" w:type="auto"/>
            <w:tcBorders>
              <w:top w:val="single" w:sz="4" w:space="0" w:color="auto"/>
              <w:left w:val="single" w:sz="4" w:space="0" w:color="auto"/>
            </w:tcBorders>
            <w:shd w:val="clear" w:color="auto" w:fill="FFFFFF"/>
            <w:vAlign w:val="center"/>
          </w:tcPr>
          <w:p w14:paraId="2CD6DC7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BG4ST300R1174</w:t>
            </w:r>
          </w:p>
        </w:tc>
        <w:tc>
          <w:tcPr>
            <w:tcW w:w="0" w:type="auto"/>
            <w:tcBorders>
              <w:top w:val="single" w:sz="4" w:space="0" w:color="auto"/>
              <w:left w:val="single" w:sz="4" w:space="0" w:color="auto"/>
            </w:tcBorders>
            <w:shd w:val="clear" w:color="auto" w:fill="FFFFFF"/>
          </w:tcPr>
          <w:p w14:paraId="49D3DA81"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Мочура от изворите до кота 1635 м.</w:t>
            </w:r>
          </w:p>
        </w:tc>
        <w:tc>
          <w:tcPr>
            <w:tcW w:w="0" w:type="auto"/>
            <w:tcBorders>
              <w:top w:val="single" w:sz="4" w:space="0" w:color="auto"/>
              <w:left w:val="single" w:sz="4" w:space="0" w:color="auto"/>
            </w:tcBorders>
            <w:shd w:val="clear" w:color="auto" w:fill="FFFFFF"/>
          </w:tcPr>
          <w:p w14:paraId="5F725F9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1C98D0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70C3C5B"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1D90C1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69</w:t>
            </w:r>
          </w:p>
        </w:tc>
        <w:tc>
          <w:tcPr>
            <w:tcW w:w="0" w:type="auto"/>
            <w:tcBorders>
              <w:top w:val="single" w:sz="4" w:space="0" w:color="auto"/>
              <w:left w:val="single" w:sz="4" w:space="0" w:color="auto"/>
            </w:tcBorders>
            <w:shd w:val="clear" w:color="auto" w:fill="FFFFFF"/>
            <w:vAlign w:val="center"/>
          </w:tcPr>
          <w:p w14:paraId="7EB10F3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BG4ST400R071</w:t>
            </w:r>
          </w:p>
        </w:tc>
        <w:tc>
          <w:tcPr>
            <w:tcW w:w="0" w:type="auto"/>
            <w:tcBorders>
              <w:top w:val="single" w:sz="4" w:space="0" w:color="auto"/>
              <w:left w:val="single" w:sz="4" w:space="0" w:color="auto"/>
            </w:tcBorders>
            <w:shd w:val="clear" w:color="auto" w:fill="FFFFFF"/>
          </w:tcPr>
          <w:p w14:paraId="69A09FE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Градешница от изворите до вливане в р. Струмешница</w:t>
            </w:r>
          </w:p>
        </w:tc>
        <w:tc>
          <w:tcPr>
            <w:tcW w:w="0" w:type="auto"/>
            <w:tcBorders>
              <w:top w:val="single" w:sz="4" w:space="0" w:color="auto"/>
              <w:left w:val="single" w:sz="4" w:space="0" w:color="auto"/>
            </w:tcBorders>
            <w:shd w:val="clear" w:color="auto" w:fill="FFFFFF"/>
          </w:tcPr>
          <w:p w14:paraId="5223F87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9002EB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209408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B7432C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70</w:t>
            </w:r>
          </w:p>
        </w:tc>
        <w:tc>
          <w:tcPr>
            <w:tcW w:w="0" w:type="auto"/>
            <w:tcBorders>
              <w:top w:val="single" w:sz="4" w:space="0" w:color="auto"/>
              <w:left w:val="single" w:sz="4" w:space="0" w:color="auto"/>
            </w:tcBorders>
            <w:shd w:val="clear" w:color="auto" w:fill="FFFFFF"/>
            <w:vAlign w:val="center"/>
          </w:tcPr>
          <w:p w14:paraId="53CD776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BG4ST400R1072</w:t>
            </w:r>
          </w:p>
        </w:tc>
        <w:tc>
          <w:tcPr>
            <w:tcW w:w="0" w:type="auto"/>
            <w:tcBorders>
              <w:top w:val="single" w:sz="4" w:space="0" w:color="auto"/>
              <w:left w:val="single" w:sz="4" w:space="0" w:color="auto"/>
            </w:tcBorders>
            <w:shd w:val="clear" w:color="auto" w:fill="FFFFFF"/>
          </w:tcPr>
          <w:p w14:paraId="0C6991B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Струмешница от българо-македонската граница до вливане в р. Струма</w:t>
            </w:r>
          </w:p>
        </w:tc>
        <w:tc>
          <w:tcPr>
            <w:tcW w:w="0" w:type="auto"/>
            <w:tcBorders>
              <w:top w:val="single" w:sz="4" w:space="0" w:color="auto"/>
              <w:left w:val="single" w:sz="4" w:space="0" w:color="auto"/>
            </w:tcBorders>
            <w:shd w:val="clear" w:color="auto" w:fill="FFFFFF"/>
          </w:tcPr>
          <w:p w14:paraId="4907EC4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 потенциал</w:t>
            </w:r>
          </w:p>
        </w:tc>
        <w:tc>
          <w:tcPr>
            <w:tcW w:w="0" w:type="auto"/>
            <w:tcBorders>
              <w:top w:val="single" w:sz="4" w:space="0" w:color="auto"/>
              <w:left w:val="single" w:sz="4" w:space="0" w:color="auto"/>
              <w:right w:val="single" w:sz="4" w:space="0" w:color="auto"/>
            </w:tcBorders>
            <w:shd w:val="clear" w:color="auto" w:fill="FFFFFF"/>
          </w:tcPr>
          <w:p w14:paraId="50002E9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4C079DF"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27FD992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71</w:t>
            </w:r>
          </w:p>
        </w:tc>
        <w:tc>
          <w:tcPr>
            <w:tcW w:w="0" w:type="auto"/>
            <w:tcBorders>
              <w:top w:val="single" w:sz="4" w:space="0" w:color="auto"/>
              <w:left w:val="single" w:sz="4" w:space="0" w:color="auto"/>
            </w:tcBorders>
            <w:shd w:val="clear" w:color="auto" w:fill="FFFFFF"/>
            <w:vAlign w:val="center"/>
          </w:tcPr>
          <w:p w14:paraId="46E8DDF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BG4ST400R1172</w:t>
            </w:r>
          </w:p>
        </w:tc>
        <w:tc>
          <w:tcPr>
            <w:tcW w:w="0" w:type="auto"/>
            <w:tcBorders>
              <w:top w:val="single" w:sz="4" w:space="0" w:color="auto"/>
              <w:left w:val="single" w:sz="4" w:space="0" w:color="auto"/>
            </w:tcBorders>
            <w:shd w:val="clear" w:color="auto" w:fill="FFFFFF"/>
          </w:tcPr>
          <w:p w14:paraId="6E97DEB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Луда Мара от изворите до кота 425 м</w:t>
            </w:r>
          </w:p>
        </w:tc>
        <w:tc>
          <w:tcPr>
            <w:tcW w:w="0" w:type="auto"/>
            <w:tcBorders>
              <w:top w:val="single" w:sz="4" w:space="0" w:color="auto"/>
              <w:left w:val="single" w:sz="4" w:space="0" w:color="auto"/>
            </w:tcBorders>
            <w:shd w:val="clear" w:color="auto" w:fill="FFFFFF"/>
          </w:tcPr>
          <w:p w14:paraId="5347DCB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6EBF27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3C84AB7"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71028E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72</w:t>
            </w:r>
          </w:p>
        </w:tc>
        <w:tc>
          <w:tcPr>
            <w:tcW w:w="0" w:type="auto"/>
            <w:tcBorders>
              <w:top w:val="single" w:sz="4" w:space="0" w:color="auto"/>
              <w:left w:val="single" w:sz="4" w:space="0" w:color="auto"/>
            </w:tcBorders>
            <w:shd w:val="clear" w:color="auto" w:fill="FFFFFF"/>
            <w:vAlign w:val="center"/>
          </w:tcPr>
          <w:p w14:paraId="11FE8F1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BG4ST400R1272</w:t>
            </w:r>
          </w:p>
        </w:tc>
        <w:tc>
          <w:tcPr>
            <w:tcW w:w="0" w:type="auto"/>
            <w:tcBorders>
              <w:top w:val="single" w:sz="4" w:space="0" w:color="auto"/>
              <w:left w:val="single" w:sz="4" w:space="0" w:color="auto"/>
            </w:tcBorders>
            <w:shd w:val="clear" w:color="auto" w:fill="FFFFFF"/>
          </w:tcPr>
          <w:p w14:paraId="6DC46FB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дере Доло от </w:t>
            </w:r>
            <w:proofErr w:type="spellStart"/>
            <w:r w:rsidRPr="009F6D1E">
              <w:rPr>
                <w:rStyle w:val="Bodytext210pt"/>
                <w:rFonts w:eastAsia="ヒラギノ角ゴ Pro W3"/>
              </w:rPr>
              <w:t>изовирте</w:t>
            </w:r>
            <w:proofErr w:type="spellEnd"/>
            <w:r w:rsidRPr="009F6D1E">
              <w:rPr>
                <w:rStyle w:val="Bodytext210pt"/>
                <w:rFonts w:eastAsia="ヒラギノ角ゴ Pro W3"/>
              </w:rPr>
              <w:t xml:space="preserve"> до българо-македонската граница</w:t>
            </w:r>
          </w:p>
        </w:tc>
        <w:tc>
          <w:tcPr>
            <w:tcW w:w="0" w:type="auto"/>
            <w:tcBorders>
              <w:top w:val="single" w:sz="4" w:space="0" w:color="auto"/>
              <w:left w:val="single" w:sz="4" w:space="0" w:color="auto"/>
            </w:tcBorders>
            <w:shd w:val="clear" w:color="auto" w:fill="FFFFFF"/>
          </w:tcPr>
          <w:p w14:paraId="23FFDF0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A1C1E6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599CE00"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5E6FF6A"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73</w:t>
            </w:r>
          </w:p>
        </w:tc>
        <w:tc>
          <w:tcPr>
            <w:tcW w:w="0" w:type="auto"/>
            <w:tcBorders>
              <w:top w:val="single" w:sz="4" w:space="0" w:color="auto"/>
              <w:left w:val="single" w:sz="4" w:space="0" w:color="auto"/>
            </w:tcBorders>
            <w:shd w:val="clear" w:color="auto" w:fill="FFFFFF"/>
            <w:vAlign w:val="center"/>
          </w:tcPr>
          <w:p w14:paraId="09E12A1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500R040</w:t>
            </w:r>
          </w:p>
        </w:tc>
        <w:tc>
          <w:tcPr>
            <w:tcW w:w="0" w:type="auto"/>
            <w:tcBorders>
              <w:top w:val="single" w:sz="4" w:space="0" w:color="auto"/>
              <w:left w:val="single" w:sz="4" w:space="0" w:color="auto"/>
            </w:tcBorders>
            <w:shd w:val="clear" w:color="auto" w:fill="FFFFFF"/>
          </w:tcPr>
          <w:p w14:paraId="1E17E6F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Копривен от изворите до вливане в р. Струма</w:t>
            </w:r>
          </w:p>
        </w:tc>
        <w:tc>
          <w:tcPr>
            <w:tcW w:w="0" w:type="auto"/>
            <w:tcBorders>
              <w:top w:val="single" w:sz="4" w:space="0" w:color="auto"/>
              <w:left w:val="single" w:sz="4" w:space="0" w:color="auto"/>
            </w:tcBorders>
            <w:shd w:val="clear" w:color="auto" w:fill="FFFFFF"/>
          </w:tcPr>
          <w:p w14:paraId="1604067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379E02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3D0ADF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880C3EB"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74</w:t>
            </w:r>
          </w:p>
        </w:tc>
        <w:tc>
          <w:tcPr>
            <w:tcW w:w="0" w:type="auto"/>
            <w:tcBorders>
              <w:top w:val="single" w:sz="4" w:space="0" w:color="auto"/>
              <w:left w:val="single" w:sz="4" w:space="0" w:color="auto"/>
            </w:tcBorders>
            <w:shd w:val="clear" w:color="auto" w:fill="FFFFFF"/>
            <w:vAlign w:val="center"/>
          </w:tcPr>
          <w:p w14:paraId="5EE8FA1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500R044</w:t>
            </w:r>
          </w:p>
        </w:tc>
        <w:tc>
          <w:tcPr>
            <w:tcW w:w="0" w:type="auto"/>
            <w:tcBorders>
              <w:top w:val="single" w:sz="4" w:space="0" w:color="auto"/>
              <w:left w:val="single" w:sz="4" w:space="0" w:color="auto"/>
            </w:tcBorders>
            <w:shd w:val="clear" w:color="auto" w:fill="FFFFFF"/>
          </w:tcPr>
          <w:p w14:paraId="2AD03262"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Лисийска</w:t>
            </w:r>
            <w:proofErr w:type="spellEnd"/>
            <w:r w:rsidRPr="009F6D1E">
              <w:rPr>
                <w:rStyle w:val="Bodytext210pt"/>
                <w:rFonts w:eastAsia="ヒラギノ角ゴ Pro W3"/>
              </w:rPr>
              <w:t xml:space="preserve"> от изворите до вливане в р. Струма</w:t>
            </w:r>
          </w:p>
        </w:tc>
        <w:tc>
          <w:tcPr>
            <w:tcW w:w="0" w:type="auto"/>
            <w:tcBorders>
              <w:top w:val="single" w:sz="4" w:space="0" w:color="auto"/>
              <w:left w:val="single" w:sz="4" w:space="0" w:color="auto"/>
            </w:tcBorders>
            <w:shd w:val="clear" w:color="auto" w:fill="FFFFFF"/>
          </w:tcPr>
          <w:p w14:paraId="1029992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6E4D51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195E373" w14:textId="77777777" w:rsidTr="008A7E6F">
        <w:trPr>
          <w:trHeight w:hRule="exact" w:val="494"/>
          <w:jc w:val="center"/>
        </w:trPr>
        <w:tc>
          <w:tcPr>
            <w:tcW w:w="0" w:type="auto"/>
            <w:tcBorders>
              <w:top w:val="single" w:sz="4" w:space="0" w:color="auto"/>
              <w:left w:val="single" w:sz="4" w:space="0" w:color="auto"/>
            </w:tcBorders>
            <w:shd w:val="clear" w:color="auto" w:fill="FFFFFF"/>
            <w:vAlign w:val="center"/>
          </w:tcPr>
          <w:p w14:paraId="67AF0DA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75</w:t>
            </w:r>
          </w:p>
        </w:tc>
        <w:tc>
          <w:tcPr>
            <w:tcW w:w="0" w:type="auto"/>
            <w:tcBorders>
              <w:top w:val="single" w:sz="4" w:space="0" w:color="auto"/>
              <w:left w:val="single" w:sz="4" w:space="0" w:color="auto"/>
            </w:tcBorders>
            <w:shd w:val="clear" w:color="auto" w:fill="FFFFFF"/>
            <w:vAlign w:val="center"/>
          </w:tcPr>
          <w:p w14:paraId="41AAFA6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500R047</w:t>
            </w:r>
          </w:p>
        </w:tc>
        <w:tc>
          <w:tcPr>
            <w:tcW w:w="0" w:type="auto"/>
            <w:tcBorders>
              <w:top w:val="single" w:sz="4" w:space="0" w:color="auto"/>
              <w:left w:val="single" w:sz="4" w:space="0" w:color="auto"/>
            </w:tcBorders>
            <w:shd w:val="clear" w:color="auto" w:fill="FFFFFF"/>
          </w:tcPr>
          <w:p w14:paraId="5756547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Благоевградска Бистрица от вливане на р. </w:t>
            </w:r>
            <w:proofErr w:type="spellStart"/>
            <w:r w:rsidRPr="009F6D1E">
              <w:rPr>
                <w:rStyle w:val="Bodytext210pt"/>
                <w:rFonts w:eastAsia="ヒラギノ角ゴ Pro W3"/>
              </w:rPr>
              <w:t>Хърсовска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25F2E81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много лошо състояние</w:t>
            </w:r>
          </w:p>
        </w:tc>
        <w:tc>
          <w:tcPr>
            <w:tcW w:w="0" w:type="auto"/>
            <w:tcBorders>
              <w:top w:val="single" w:sz="4" w:space="0" w:color="auto"/>
              <w:left w:val="single" w:sz="4" w:space="0" w:color="auto"/>
              <w:right w:val="single" w:sz="4" w:space="0" w:color="auto"/>
            </w:tcBorders>
            <w:shd w:val="clear" w:color="auto" w:fill="FFFFFF"/>
            <w:vAlign w:val="center"/>
          </w:tcPr>
          <w:p w14:paraId="72BDACA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1B95E7D" w14:textId="77777777" w:rsidTr="008A7E6F">
        <w:trPr>
          <w:trHeight w:hRule="exact" w:val="245"/>
          <w:jc w:val="center"/>
        </w:trPr>
        <w:tc>
          <w:tcPr>
            <w:tcW w:w="0" w:type="auto"/>
            <w:tcBorders>
              <w:top w:val="single" w:sz="4" w:space="0" w:color="auto"/>
              <w:left w:val="single" w:sz="4" w:space="0" w:color="auto"/>
            </w:tcBorders>
            <w:shd w:val="clear" w:color="auto" w:fill="FFFFFF"/>
            <w:vAlign w:val="center"/>
          </w:tcPr>
          <w:p w14:paraId="1E43AFFC"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76</w:t>
            </w:r>
          </w:p>
        </w:tc>
        <w:tc>
          <w:tcPr>
            <w:tcW w:w="0" w:type="auto"/>
            <w:tcBorders>
              <w:top w:val="single" w:sz="4" w:space="0" w:color="auto"/>
              <w:left w:val="single" w:sz="4" w:space="0" w:color="auto"/>
            </w:tcBorders>
            <w:shd w:val="clear" w:color="auto" w:fill="FFFFFF"/>
            <w:vAlign w:val="center"/>
          </w:tcPr>
          <w:p w14:paraId="25C31E1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500R050</w:t>
            </w:r>
          </w:p>
        </w:tc>
        <w:tc>
          <w:tcPr>
            <w:tcW w:w="0" w:type="auto"/>
            <w:tcBorders>
              <w:top w:val="single" w:sz="4" w:space="0" w:color="auto"/>
              <w:left w:val="single" w:sz="4" w:space="0" w:color="auto"/>
            </w:tcBorders>
            <w:shd w:val="clear" w:color="auto" w:fill="FFFFFF"/>
          </w:tcPr>
          <w:p w14:paraId="4966B731"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Стара река от изворите до вливане в р. Струма</w:t>
            </w:r>
          </w:p>
        </w:tc>
        <w:tc>
          <w:tcPr>
            <w:tcW w:w="0" w:type="auto"/>
            <w:tcBorders>
              <w:top w:val="single" w:sz="4" w:space="0" w:color="auto"/>
              <w:left w:val="single" w:sz="4" w:space="0" w:color="auto"/>
            </w:tcBorders>
            <w:shd w:val="clear" w:color="auto" w:fill="FFFFFF"/>
          </w:tcPr>
          <w:p w14:paraId="048EB44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отлично състояние</w:t>
            </w:r>
          </w:p>
        </w:tc>
        <w:tc>
          <w:tcPr>
            <w:tcW w:w="0" w:type="auto"/>
            <w:tcBorders>
              <w:top w:val="single" w:sz="4" w:space="0" w:color="auto"/>
              <w:left w:val="single" w:sz="4" w:space="0" w:color="auto"/>
              <w:right w:val="single" w:sz="4" w:space="0" w:color="auto"/>
            </w:tcBorders>
            <w:shd w:val="clear" w:color="auto" w:fill="FFFFFF"/>
          </w:tcPr>
          <w:p w14:paraId="71A7140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BDD89EE"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2F6AAF90"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77</w:t>
            </w:r>
          </w:p>
        </w:tc>
        <w:tc>
          <w:tcPr>
            <w:tcW w:w="0" w:type="auto"/>
            <w:tcBorders>
              <w:top w:val="single" w:sz="4" w:space="0" w:color="auto"/>
              <w:left w:val="single" w:sz="4" w:space="0" w:color="auto"/>
            </w:tcBorders>
            <w:shd w:val="clear" w:color="auto" w:fill="FFFFFF"/>
            <w:vAlign w:val="center"/>
          </w:tcPr>
          <w:p w14:paraId="2ADDEC1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500R053</w:t>
            </w:r>
          </w:p>
        </w:tc>
        <w:tc>
          <w:tcPr>
            <w:tcW w:w="0" w:type="auto"/>
            <w:tcBorders>
              <w:top w:val="single" w:sz="4" w:space="0" w:color="auto"/>
              <w:left w:val="single" w:sz="4" w:space="0" w:color="auto"/>
            </w:tcBorders>
            <w:shd w:val="clear" w:color="auto" w:fill="FFFFFF"/>
          </w:tcPr>
          <w:p w14:paraId="1EB74B2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Сушичка</w:t>
            </w:r>
            <w:proofErr w:type="spellEnd"/>
            <w:r w:rsidRPr="009F6D1E">
              <w:rPr>
                <w:rStyle w:val="Bodytext210pt"/>
                <w:rFonts w:eastAsia="ヒラギノ角ゴ Pro W3"/>
              </w:rPr>
              <w:t xml:space="preserve"> от изворите до вливане в р. Струма</w:t>
            </w:r>
          </w:p>
        </w:tc>
        <w:tc>
          <w:tcPr>
            <w:tcW w:w="0" w:type="auto"/>
            <w:tcBorders>
              <w:top w:val="single" w:sz="4" w:space="0" w:color="auto"/>
              <w:left w:val="single" w:sz="4" w:space="0" w:color="auto"/>
            </w:tcBorders>
            <w:shd w:val="clear" w:color="auto" w:fill="FFFFFF"/>
          </w:tcPr>
          <w:p w14:paraId="78CC043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5CAB06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0A9D643"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D011945"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lastRenderedPageBreak/>
              <w:t>78</w:t>
            </w:r>
          </w:p>
        </w:tc>
        <w:tc>
          <w:tcPr>
            <w:tcW w:w="0" w:type="auto"/>
            <w:tcBorders>
              <w:top w:val="single" w:sz="4" w:space="0" w:color="auto"/>
              <w:left w:val="single" w:sz="4" w:space="0" w:color="auto"/>
            </w:tcBorders>
            <w:shd w:val="clear" w:color="auto" w:fill="FFFFFF"/>
            <w:vAlign w:val="center"/>
          </w:tcPr>
          <w:p w14:paraId="3E33538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500R054</w:t>
            </w:r>
          </w:p>
        </w:tc>
        <w:tc>
          <w:tcPr>
            <w:tcW w:w="0" w:type="auto"/>
            <w:tcBorders>
              <w:top w:val="single" w:sz="4" w:space="0" w:color="auto"/>
              <w:left w:val="single" w:sz="4" w:space="0" w:color="auto"/>
            </w:tcBorders>
            <w:shd w:val="clear" w:color="auto" w:fill="FFFFFF"/>
          </w:tcPr>
          <w:p w14:paraId="5218CF6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Брежанска</w:t>
            </w:r>
            <w:proofErr w:type="spellEnd"/>
            <w:r w:rsidRPr="009F6D1E">
              <w:rPr>
                <w:rStyle w:val="Bodytext210pt"/>
                <w:rFonts w:eastAsia="ヒラギノ角ゴ Pro W3"/>
              </w:rPr>
              <w:t xml:space="preserve"> от изворите до вливане в р. Струма</w:t>
            </w:r>
          </w:p>
        </w:tc>
        <w:tc>
          <w:tcPr>
            <w:tcW w:w="0" w:type="auto"/>
            <w:tcBorders>
              <w:top w:val="single" w:sz="4" w:space="0" w:color="auto"/>
              <w:left w:val="single" w:sz="4" w:space="0" w:color="auto"/>
            </w:tcBorders>
            <w:shd w:val="clear" w:color="auto" w:fill="FFFFFF"/>
          </w:tcPr>
          <w:p w14:paraId="1CDA002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243DE0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BADB905"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7E8D9DD4"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79</w:t>
            </w:r>
          </w:p>
        </w:tc>
        <w:tc>
          <w:tcPr>
            <w:tcW w:w="0" w:type="auto"/>
            <w:tcBorders>
              <w:top w:val="single" w:sz="4" w:space="0" w:color="auto"/>
              <w:left w:val="single" w:sz="4" w:space="0" w:color="auto"/>
            </w:tcBorders>
            <w:shd w:val="clear" w:color="auto" w:fill="FFFFFF"/>
            <w:vAlign w:val="center"/>
          </w:tcPr>
          <w:p w14:paraId="19ECD7E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500R055</w:t>
            </w:r>
          </w:p>
        </w:tc>
        <w:tc>
          <w:tcPr>
            <w:tcW w:w="0" w:type="auto"/>
            <w:tcBorders>
              <w:top w:val="single" w:sz="4" w:space="0" w:color="auto"/>
              <w:left w:val="single" w:sz="4" w:space="0" w:color="auto"/>
            </w:tcBorders>
            <w:shd w:val="clear" w:color="auto" w:fill="FFFFFF"/>
          </w:tcPr>
          <w:p w14:paraId="2E22DB5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Лудата от изворите до вливане в р. Струма</w:t>
            </w:r>
          </w:p>
        </w:tc>
        <w:tc>
          <w:tcPr>
            <w:tcW w:w="0" w:type="auto"/>
            <w:tcBorders>
              <w:top w:val="single" w:sz="4" w:space="0" w:color="auto"/>
              <w:left w:val="single" w:sz="4" w:space="0" w:color="auto"/>
            </w:tcBorders>
            <w:shd w:val="clear" w:color="auto" w:fill="FFFFFF"/>
          </w:tcPr>
          <w:p w14:paraId="0A452AB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A856CDA" w14:textId="77777777" w:rsidR="005B1C6B" w:rsidRPr="009F6D1E" w:rsidRDefault="007E18C8" w:rsidP="0084747F">
            <w:pPr>
              <w:spacing w:after="60" w:line="264" w:lineRule="auto"/>
              <w:rPr>
                <w:rFonts w:cs="Times New Roman"/>
                <w:sz w:val="20"/>
                <w:szCs w:val="20"/>
              </w:rPr>
            </w:pPr>
            <w:r w:rsidRPr="009F6D1E">
              <w:rPr>
                <w:rStyle w:val="Bodytext210pt"/>
                <w:rFonts w:eastAsia="ヒラギノ角ゴ Pro W3"/>
              </w:rPr>
              <w:t>добро състояние</w:t>
            </w:r>
          </w:p>
        </w:tc>
      </w:tr>
      <w:tr w:rsidR="007E18C8" w:rsidRPr="009F6D1E" w14:paraId="00A2E19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29FB5C8"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80</w:t>
            </w:r>
          </w:p>
        </w:tc>
        <w:tc>
          <w:tcPr>
            <w:tcW w:w="0" w:type="auto"/>
            <w:tcBorders>
              <w:top w:val="single" w:sz="4" w:space="0" w:color="auto"/>
              <w:left w:val="single" w:sz="4" w:space="0" w:color="auto"/>
            </w:tcBorders>
            <w:shd w:val="clear" w:color="auto" w:fill="FFFFFF"/>
            <w:vAlign w:val="center"/>
          </w:tcPr>
          <w:p w14:paraId="640D7FA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500R057</w:t>
            </w:r>
          </w:p>
        </w:tc>
        <w:tc>
          <w:tcPr>
            <w:tcW w:w="0" w:type="auto"/>
            <w:tcBorders>
              <w:top w:val="single" w:sz="4" w:space="0" w:color="auto"/>
              <w:left w:val="single" w:sz="4" w:space="0" w:color="auto"/>
            </w:tcBorders>
            <w:shd w:val="clear" w:color="auto" w:fill="FFFFFF"/>
          </w:tcPr>
          <w:p w14:paraId="74E68314"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Струма от вливане на р. </w:t>
            </w:r>
            <w:proofErr w:type="spellStart"/>
            <w:r w:rsidRPr="009F6D1E">
              <w:rPr>
                <w:rStyle w:val="Bodytext210pt"/>
                <w:rFonts w:eastAsia="ヒラギノ角ゴ Pro W3"/>
              </w:rPr>
              <w:t>Ощавска</w:t>
            </w:r>
            <w:proofErr w:type="spellEnd"/>
            <w:r w:rsidRPr="009F6D1E">
              <w:rPr>
                <w:rStyle w:val="Bodytext210pt"/>
                <w:rFonts w:eastAsia="ヒラギノ角ゴ Pro W3"/>
              </w:rPr>
              <w:t xml:space="preserve"> до вливане на р. Белишка (Шашка)</w:t>
            </w:r>
          </w:p>
        </w:tc>
        <w:tc>
          <w:tcPr>
            <w:tcW w:w="0" w:type="auto"/>
            <w:tcBorders>
              <w:top w:val="single" w:sz="4" w:space="0" w:color="auto"/>
              <w:left w:val="single" w:sz="4" w:space="0" w:color="auto"/>
            </w:tcBorders>
            <w:shd w:val="clear" w:color="auto" w:fill="FFFFFF"/>
          </w:tcPr>
          <w:p w14:paraId="4A3F819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015A4F5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904E5FA"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3B58361"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81</w:t>
            </w:r>
          </w:p>
        </w:tc>
        <w:tc>
          <w:tcPr>
            <w:tcW w:w="0" w:type="auto"/>
            <w:tcBorders>
              <w:top w:val="single" w:sz="4" w:space="0" w:color="auto"/>
              <w:left w:val="single" w:sz="4" w:space="0" w:color="auto"/>
            </w:tcBorders>
            <w:shd w:val="clear" w:color="auto" w:fill="FFFFFF"/>
            <w:vAlign w:val="center"/>
          </w:tcPr>
          <w:p w14:paraId="657DC23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500R058</w:t>
            </w:r>
          </w:p>
        </w:tc>
        <w:tc>
          <w:tcPr>
            <w:tcW w:w="0" w:type="auto"/>
            <w:tcBorders>
              <w:top w:val="single" w:sz="4" w:space="0" w:color="auto"/>
              <w:left w:val="single" w:sz="4" w:space="0" w:color="auto"/>
            </w:tcBorders>
            <w:shd w:val="clear" w:color="auto" w:fill="FFFFFF"/>
          </w:tcPr>
          <w:p w14:paraId="24909C5C"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Влахинска</w:t>
            </w:r>
            <w:proofErr w:type="spellEnd"/>
            <w:r w:rsidRPr="009F6D1E">
              <w:rPr>
                <w:rStyle w:val="Bodytext210pt"/>
                <w:rFonts w:eastAsia="ヒラギノ角ゴ Pro W3"/>
              </w:rPr>
              <w:t xml:space="preserve"> от изворите до вливане на левия приток р. </w:t>
            </w:r>
            <w:proofErr w:type="spellStart"/>
            <w:r w:rsidRPr="009F6D1E">
              <w:rPr>
                <w:rStyle w:val="Bodytext210pt"/>
                <w:rFonts w:eastAsia="ヒラギノ角ゴ Pro W3"/>
              </w:rPr>
              <w:t>Синанишка</w:t>
            </w:r>
            <w:proofErr w:type="spellEnd"/>
          </w:p>
        </w:tc>
        <w:tc>
          <w:tcPr>
            <w:tcW w:w="0" w:type="auto"/>
            <w:tcBorders>
              <w:top w:val="single" w:sz="4" w:space="0" w:color="auto"/>
              <w:left w:val="single" w:sz="4" w:space="0" w:color="auto"/>
            </w:tcBorders>
            <w:shd w:val="clear" w:color="auto" w:fill="FFFFFF"/>
          </w:tcPr>
          <w:p w14:paraId="5ACB30C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01AA3A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261E4D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BF79D62"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81</w:t>
            </w:r>
          </w:p>
        </w:tc>
        <w:tc>
          <w:tcPr>
            <w:tcW w:w="0" w:type="auto"/>
            <w:tcBorders>
              <w:top w:val="single" w:sz="4" w:space="0" w:color="auto"/>
              <w:left w:val="single" w:sz="4" w:space="0" w:color="auto"/>
            </w:tcBorders>
            <w:shd w:val="clear" w:color="auto" w:fill="FFFFFF"/>
            <w:vAlign w:val="center"/>
          </w:tcPr>
          <w:p w14:paraId="555D923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500R059</w:t>
            </w:r>
          </w:p>
        </w:tc>
        <w:tc>
          <w:tcPr>
            <w:tcW w:w="0" w:type="auto"/>
            <w:tcBorders>
              <w:top w:val="single" w:sz="4" w:space="0" w:color="auto"/>
              <w:left w:val="single" w:sz="4" w:space="0" w:color="auto"/>
            </w:tcBorders>
            <w:shd w:val="clear" w:color="auto" w:fill="FFFFFF"/>
          </w:tcPr>
          <w:p w14:paraId="01BF2B1D"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Влахинска</w:t>
            </w:r>
            <w:proofErr w:type="spellEnd"/>
            <w:r w:rsidRPr="009F6D1E">
              <w:rPr>
                <w:rStyle w:val="Bodytext210pt"/>
                <w:rFonts w:eastAsia="ヒラギノ角ゴ Pro W3"/>
              </w:rPr>
              <w:t xml:space="preserve"> от вливане на р. </w:t>
            </w:r>
            <w:proofErr w:type="spellStart"/>
            <w:r w:rsidRPr="009F6D1E">
              <w:rPr>
                <w:rStyle w:val="Bodytext210pt"/>
                <w:rFonts w:eastAsia="ヒラギノ角ゴ Pro W3"/>
              </w:rPr>
              <w:t>Синанишка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1DE5B6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0A76F3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FF2EEB2" w14:textId="77777777" w:rsidTr="008A7E6F">
        <w:trPr>
          <w:trHeight w:hRule="exact" w:val="250"/>
          <w:jc w:val="center"/>
        </w:trPr>
        <w:tc>
          <w:tcPr>
            <w:tcW w:w="0" w:type="auto"/>
            <w:tcBorders>
              <w:top w:val="single" w:sz="4" w:space="0" w:color="auto"/>
              <w:left w:val="single" w:sz="4" w:space="0" w:color="auto"/>
              <w:bottom w:val="single" w:sz="4" w:space="0" w:color="auto"/>
            </w:tcBorders>
            <w:shd w:val="clear" w:color="auto" w:fill="FFFFFF"/>
            <w:vAlign w:val="center"/>
          </w:tcPr>
          <w:p w14:paraId="00953333" w14:textId="77777777" w:rsidR="005B1C6B" w:rsidRPr="009F6D1E" w:rsidRDefault="005B1C6B" w:rsidP="0084747F">
            <w:pPr>
              <w:spacing w:after="60" w:line="264" w:lineRule="auto"/>
              <w:jc w:val="center"/>
              <w:rPr>
                <w:rFonts w:cs="Times New Roman"/>
                <w:sz w:val="20"/>
                <w:szCs w:val="20"/>
              </w:rPr>
            </w:pPr>
            <w:r w:rsidRPr="009F6D1E">
              <w:rPr>
                <w:rStyle w:val="Bodytext210pt"/>
                <w:rFonts w:eastAsia="ヒラギノ角ゴ Pro W3"/>
              </w:rPr>
              <w:t>82</w:t>
            </w:r>
          </w:p>
        </w:tc>
        <w:tc>
          <w:tcPr>
            <w:tcW w:w="0" w:type="auto"/>
            <w:tcBorders>
              <w:top w:val="single" w:sz="4" w:space="0" w:color="auto"/>
              <w:left w:val="single" w:sz="4" w:space="0" w:color="auto"/>
              <w:bottom w:val="single" w:sz="4" w:space="0" w:color="auto"/>
            </w:tcBorders>
            <w:shd w:val="clear" w:color="auto" w:fill="FFFFFF"/>
            <w:vAlign w:val="center"/>
          </w:tcPr>
          <w:p w14:paraId="76D9E14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500R060</w:t>
            </w:r>
          </w:p>
        </w:tc>
        <w:tc>
          <w:tcPr>
            <w:tcW w:w="0" w:type="auto"/>
            <w:tcBorders>
              <w:top w:val="single" w:sz="4" w:space="0" w:color="auto"/>
              <w:left w:val="single" w:sz="4" w:space="0" w:color="auto"/>
              <w:bottom w:val="single" w:sz="4" w:space="0" w:color="auto"/>
            </w:tcBorders>
            <w:shd w:val="clear" w:color="auto" w:fill="FFFFFF"/>
          </w:tcPr>
          <w:p w14:paraId="1FA34E2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Брезнишка от изворите до вливане в р. Струма</w:t>
            </w:r>
          </w:p>
        </w:tc>
        <w:tc>
          <w:tcPr>
            <w:tcW w:w="0" w:type="auto"/>
            <w:tcBorders>
              <w:top w:val="single" w:sz="4" w:space="0" w:color="auto"/>
              <w:left w:val="single" w:sz="4" w:space="0" w:color="auto"/>
              <w:bottom w:val="single" w:sz="4" w:space="0" w:color="auto"/>
            </w:tcBorders>
            <w:shd w:val="clear" w:color="auto" w:fill="FFFFFF"/>
          </w:tcPr>
          <w:p w14:paraId="56FA093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5140045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48EBA52"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5BBF6E2"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84</w:t>
            </w:r>
          </w:p>
        </w:tc>
        <w:tc>
          <w:tcPr>
            <w:tcW w:w="0" w:type="auto"/>
            <w:tcBorders>
              <w:top w:val="single" w:sz="4" w:space="0" w:color="auto"/>
              <w:left w:val="single" w:sz="4" w:space="0" w:color="auto"/>
            </w:tcBorders>
            <w:shd w:val="clear" w:color="auto" w:fill="FFFFFF"/>
            <w:vAlign w:val="center"/>
          </w:tcPr>
          <w:p w14:paraId="56FB1C3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500R062</w:t>
            </w:r>
          </w:p>
        </w:tc>
        <w:tc>
          <w:tcPr>
            <w:tcW w:w="0" w:type="auto"/>
            <w:tcBorders>
              <w:top w:val="single" w:sz="4" w:space="0" w:color="auto"/>
              <w:left w:val="single" w:sz="4" w:space="0" w:color="auto"/>
            </w:tcBorders>
            <w:shd w:val="clear" w:color="auto" w:fill="FFFFFF"/>
          </w:tcPr>
          <w:p w14:paraId="7A77055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Белишка (Шашка) от изворите до вливане в р. Струма</w:t>
            </w:r>
          </w:p>
        </w:tc>
        <w:tc>
          <w:tcPr>
            <w:tcW w:w="0" w:type="auto"/>
            <w:tcBorders>
              <w:top w:val="single" w:sz="4" w:space="0" w:color="auto"/>
              <w:left w:val="single" w:sz="4" w:space="0" w:color="auto"/>
            </w:tcBorders>
            <w:shd w:val="clear" w:color="auto" w:fill="FFFFFF"/>
          </w:tcPr>
          <w:p w14:paraId="431572E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8E6426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573EF1F"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28E9F2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85</w:t>
            </w:r>
          </w:p>
        </w:tc>
        <w:tc>
          <w:tcPr>
            <w:tcW w:w="0" w:type="auto"/>
            <w:tcBorders>
              <w:top w:val="single" w:sz="4" w:space="0" w:color="auto"/>
              <w:left w:val="single" w:sz="4" w:space="0" w:color="auto"/>
            </w:tcBorders>
            <w:shd w:val="clear" w:color="auto" w:fill="FFFFFF"/>
            <w:vAlign w:val="center"/>
          </w:tcPr>
          <w:p w14:paraId="047C59F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500R063</w:t>
            </w:r>
          </w:p>
        </w:tc>
        <w:tc>
          <w:tcPr>
            <w:tcW w:w="0" w:type="auto"/>
            <w:tcBorders>
              <w:top w:val="single" w:sz="4" w:space="0" w:color="auto"/>
              <w:left w:val="single" w:sz="4" w:space="0" w:color="auto"/>
            </w:tcBorders>
            <w:shd w:val="clear" w:color="auto" w:fill="FFFFFF"/>
          </w:tcPr>
          <w:p w14:paraId="3193EE1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Струма от вливане на р. Белишка (Шашка) до вливане на р. Санданска Бистрица</w:t>
            </w:r>
          </w:p>
        </w:tc>
        <w:tc>
          <w:tcPr>
            <w:tcW w:w="0" w:type="auto"/>
            <w:tcBorders>
              <w:top w:val="single" w:sz="4" w:space="0" w:color="auto"/>
              <w:left w:val="single" w:sz="4" w:space="0" w:color="auto"/>
            </w:tcBorders>
            <w:shd w:val="clear" w:color="auto" w:fill="FFFFFF"/>
          </w:tcPr>
          <w:p w14:paraId="132192E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0A0DFB7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687AB70"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BA966A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86</w:t>
            </w:r>
          </w:p>
        </w:tc>
        <w:tc>
          <w:tcPr>
            <w:tcW w:w="0" w:type="auto"/>
            <w:tcBorders>
              <w:top w:val="single" w:sz="4" w:space="0" w:color="auto"/>
              <w:left w:val="single" w:sz="4" w:space="0" w:color="auto"/>
            </w:tcBorders>
            <w:shd w:val="clear" w:color="auto" w:fill="FFFFFF"/>
            <w:vAlign w:val="center"/>
          </w:tcPr>
          <w:p w14:paraId="0CD31DA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500R064</w:t>
            </w:r>
          </w:p>
        </w:tc>
        <w:tc>
          <w:tcPr>
            <w:tcW w:w="0" w:type="auto"/>
            <w:tcBorders>
              <w:top w:val="single" w:sz="4" w:space="0" w:color="auto"/>
              <w:left w:val="single" w:sz="4" w:space="0" w:color="auto"/>
            </w:tcBorders>
            <w:shd w:val="clear" w:color="auto" w:fill="FFFFFF"/>
          </w:tcPr>
          <w:p w14:paraId="1A268B5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Цапаревска</w:t>
            </w:r>
            <w:proofErr w:type="spellEnd"/>
            <w:r w:rsidRPr="009F6D1E">
              <w:rPr>
                <w:rStyle w:val="Bodytext210pt"/>
                <w:rFonts w:eastAsia="ヒラギノ角ゴ Pro W3"/>
              </w:rPr>
              <w:t xml:space="preserve"> от изворите до вливане в р. Струма</w:t>
            </w:r>
          </w:p>
        </w:tc>
        <w:tc>
          <w:tcPr>
            <w:tcW w:w="0" w:type="auto"/>
            <w:tcBorders>
              <w:top w:val="single" w:sz="4" w:space="0" w:color="auto"/>
              <w:left w:val="single" w:sz="4" w:space="0" w:color="auto"/>
            </w:tcBorders>
            <w:shd w:val="clear" w:color="auto" w:fill="FFFFFF"/>
          </w:tcPr>
          <w:p w14:paraId="53BBFDA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DFF4F0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8C45F69"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DC8D71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87</w:t>
            </w:r>
          </w:p>
        </w:tc>
        <w:tc>
          <w:tcPr>
            <w:tcW w:w="0" w:type="auto"/>
            <w:tcBorders>
              <w:top w:val="single" w:sz="4" w:space="0" w:color="auto"/>
              <w:left w:val="single" w:sz="4" w:space="0" w:color="auto"/>
            </w:tcBorders>
            <w:shd w:val="clear" w:color="auto" w:fill="FFFFFF"/>
            <w:vAlign w:val="center"/>
          </w:tcPr>
          <w:p w14:paraId="2CF1048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500R065</w:t>
            </w:r>
          </w:p>
        </w:tc>
        <w:tc>
          <w:tcPr>
            <w:tcW w:w="0" w:type="auto"/>
            <w:tcBorders>
              <w:top w:val="single" w:sz="4" w:space="0" w:color="auto"/>
              <w:left w:val="single" w:sz="4" w:space="0" w:color="auto"/>
            </w:tcBorders>
            <w:shd w:val="clear" w:color="auto" w:fill="FFFFFF"/>
          </w:tcPr>
          <w:p w14:paraId="35482B41"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Седелска</w:t>
            </w:r>
            <w:proofErr w:type="spellEnd"/>
            <w:r w:rsidRPr="009F6D1E">
              <w:rPr>
                <w:rStyle w:val="Bodytext210pt"/>
                <w:rFonts w:eastAsia="ヒラギノ角ゴ Pro W3"/>
              </w:rPr>
              <w:t xml:space="preserve"> от изворите до вливане в р. Струма</w:t>
            </w:r>
          </w:p>
        </w:tc>
        <w:tc>
          <w:tcPr>
            <w:tcW w:w="0" w:type="auto"/>
            <w:tcBorders>
              <w:top w:val="single" w:sz="4" w:space="0" w:color="auto"/>
              <w:left w:val="single" w:sz="4" w:space="0" w:color="auto"/>
            </w:tcBorders>
            <w:shd w:val="clear" w:color="auto" w:fill="FFFFFF"/>
          </w:tcPr>
          <w:p w14:paraId="2CB01F8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BB6396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8C7C1E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08D0DE5"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88</w:t>
            </w:r>
          </w:p>
        </w:tc>
        <w:tc>
          <w:tcPr>
            <w:tcW w:w="0" w:type="auto"/>
            <w:tcBorders>
              <w:top w:val="single" w:sz="4" w:space="0" w:color="auto"/>
              <w:left w:val="single" w:sz="4" w:space="0" w:color="auto"/>
            </w:tcBorders>
            <w:shd w:val="clear" w:color="auto" w:fill="FFFFFF"/>
            <w:vAlign w:val="center"/>
          </w:tcPr>
          <w:p w14:paraId="7E5AE05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500R066</w:t>
            </w:r>
          </w:p>
        </w:tc>
        <w:tc>
          <w:tcPr>
            <w:tcW w:w="0" w:type="auto"/>
            <w:tcBorders>
              <w:top w:val="single" w:sz="4" w:space="0" w:color="auto"/>
              <w:left w:val="single" w:sz="4" w:space="0" w:color="auto"/>
            </w:tcBorders>
            <w:shd w:val="clear" w:color="auto" w:fill="FFFFFF"/>
          </w:tcPr>
          <w:p w14:paraId="7F5DFEE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Лебница от българо-македонската граница до вливане в р. Струма</w:t>
            </w:r>
          </w:p>
        </w:tc>
        <w:tc>
          <w:tcPr>
            <w:tcW w:w="0" w:type="auto"/>
            <w:tcBorders>
              <w:top w:val="single" w:sz="4" w:space="0" w:color="auto"/>
              <w:left w:val="single" w:sz="4" w:space="0" w:color="auto"/>
            </w:tcBorders>
            <w:shd w:val="clear" w:color="auto" w:fill="FFFFFF"/>
          </w:tcPr>
          <w:p w14:paraId="54093A9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011975C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BD7C1FF"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3266DC1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89</w:t>
            </w:r>
          </w:p>
        </w:tc>
        <w:tc>
          <w:tcPr>
            <w:tcW w:w="0" w:type="auto"/>
            <w:tcBorders>
              <w:top w:val="single" w:sz="4" w:space="0" w:color="auto"/>
              <w:left w:val="single" w:sz="4" w:space="0" w:color="auto"/>
            </w:tcBorders>
            <w:shd w:val="clear" w:color="auto" w:fill="FFFFFF"/>
            <w:vAlign w:val="center"/>
          </w:tcPr>
          <w:p w14:paraId="2F16387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500R068</w:t>
            </w:r>
          </w:p>
        </w:tc>
        <w:tc>
          <w:tcPr>
            <w:tcW w:w="0" w:type="auto"/>
            <w:tcBorders>
              <w:top w:val="single" w:sz="4" w:space="0" w:color="auto"/>
              <w:left w:val="single" w:sz="4" w:space="0" w:color="auto"/>
            </w:tcBorders>
            <w:shd w:val="clear" w:color="auto" w:fill="FFFFFF"/>
          </w:tcPr>
          <w:p w14:paraId="02822753"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Санданска Бистрица от кота 590 м. с притока си р. Бобов дол до вливане в р. Струма</w:t>
            </w:r>
          </w:p>
        </w:tc>
        <w:tc>
          <w:tcPr>
            <w:tcW w:w="0" w:type="auto"/>
            <w:tcBorders>
              <w:top w:val="single" w:sz="4" w:space="0" w:color="auto"/>
              <w:left w:val="single" w:sz="4" w:space="0" w:color="auto"/>
            </w:tcBorders>
            <w:shd w:val="clear" w:color="auto" w:fill="FFFFFF"/>
          </w:tcPr>
          <w:p w14:paraId="562B3DB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 потенциал</w:t>
            </w:r>
          </w:p>
        </w:tc>
        <w:tc>
          <w:tcPr>
            <w:tcW w:w="0" w:type="auto"/>
            <w:tcBorders>
              <w:top w:val="single" w:sz="4" w:space="0" w:color="auto"/>
              <w:left w:val="single" w:sz="4" w:space="0" w:color="auto"/>
              <w:right w:val="single" w:sz="4" w:space="0" w:color="auto"/>
            </w:tcBorders>
            <w:shd w:val="clear" w:color="auto" w:fill="FFFFFF"/>
          </w:tcPr>
          <w:p w14:paraId="53EAA56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D18782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F3A373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90</w:t>
            </w:r>
          </w:p>
        </w:tc>
        <w:tc>
          <w:tcPr>
            <w:tcW w:w="0" w:type="auto"/>
            <w:tcBorders>
              <w:top w:val="single" w:sz="4" w:space="0" w:color="auto"/>
              <w:left w:val="single" w:sz="4" w:space="0" w:color="auto"/>
            </w:tcBorders>
            <w:shd w:val="clear" w:color="auto" w:fill="FFFFFF"/>
            <w:vAlign w:val="center"/>
          </w:tcPr>
          <w:p w14:paraId="076522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500R069</w:t>
            </w:r>
          </w:p>
        </w:tc>
        <w:tc>
          <w:tcPr>
            <w:tcW w:w="0" w:type="auto"/>
            <w:tcBorders>
              <w:top w:val="single" w:sz="4" w:space="0" w:color="auto"/>
              <w:left w:val="single" w:sz="4" w:space="0" w:color="auto"/>
            </w:tcBorders>
            <w:shd w:val="clear" w:color="auto" w:fill="FFFFFF"/>
          </w:tcPr>
          <w:p w14:paraId="4DDFF952"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Струма от вливане на р. Санданска Бистрица до вливане на р. Струмешница</w:t>
            </w:r>
          </w:p>
        </w:tc>
        <w:tc>
          <w:tcPr>
            <w:tcW w:w="0" w:type="auto"/>
            <w:tcBorders>
              <w:top w:val="single" w:sz="4" w:space="0" w:color="auto"/>
              <w:left w:val="single" w:sz="4" w:space="0" w:color="auto"/>
            </w:tcBorders>
            <w:shd w:val="clear" w:color="auto" w:fill="FFFFFF"/>
          </w:tcPr>
          <w:p w14:paraId="246C933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7459337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45D3B37"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EC67038"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91</w:t>
            </w:r>
          </w:p>
        </w:tc>
        <w:tc>
          <w:tcPr>
            <w:tcW w:w="0" w:type="auto"/>
            <w:tcBorders>
              <w:top w:val="single" w:sz="4" w:space="0" w:color="auto"/>
              <w:left w:val="single" w:sz="4" w:space="0" w:color="auto"/>
            </w:tcBorders>
            <w:shd w:val="clear" w:color="auto" w:fill="FFFFFF"/>
            <w:vAlign w:val="center"/>
          </w:tcPr>
          <w:p w14:paraId="2DCBFE7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500R070</w:t>
            </w:r>
          </w:p>
        </w:tc>
        <w:tc>
          <w:tcPr>
            <w:tcW w:w="0" w:type="auto"/>
            <w:tcBorders>
              <w:top w:val="single" w:sz="4" w:space="0" w:color="auto"/>
              <w:left w:val="single" w:sz="4" w:space="0" w:color="auto"/>
            </w:tcBorders>
            <w:shd w:val="clear" w:color="auto" w:fill="FFFFFF"/>
          </w:tcPr>
          <w:p w14:paraId="05ED16B0"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Лешнишка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Бождовска</w:t>
            </w:r>
            <w:proofErr w:type="spellEnd"/>
            <w:r w:rsidRPr="009F6D1E">
              <w:rPr>
                <w:rStyle w:val="Bodytext210pt"/>
                <w:rFonts w:eastAsia="ヒラギノ角ゴ Pro W3"/>
              </w:rPr>
              <w:t>) от изворите до вливане в р. Струма</w:t>
            </w:r>
          </w:p>
        </w:tc>
        <w:tc>
          <w:tcPr>
            <w:tcW w:w="0" w:type="auto"/>
            <w:tcBorders>
              <w:top w:val="single" w:sz="4" w:space="0" w:color="auto"/>
              <w:left w:val="single" w:sz="4" w:space="0" w:color="auto"/>
            </w:tcBorders>
            <w:shd w:val="clear" w:color="auto" w:fill="FFFFFF"/>
          </w:tcPr>
          <w:p w14:paraId="738C050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DAA968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2E1CB9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7B5911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92</w:t>
            </w:r>
          </w:p>
        </w:tc>
        <w:tc>
          <w:tcPr>
            <w:tcW w:w="0" w:type="auto"/>
            <w:tcBorders>
              <w:top w:val="single" w:sz="4" w:space="0" w:color="auto"/>
              <w:left w:val="single" w:sz="4" w:space="0" w:color="auto"/>
            </w:tcBorders>
            <w:shd w:val="clear" w:color="auto" w:fill="FFFFFF"/>
            <w:vAlign w:val="center"/>
          </w:tcPr>
          <w:p w14:paraId="4B8BC63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500R1030</w:t>
            </w:r>
          </w:p>
        </w:tc>
        <w:tc>
          <w:tcPr>
            <w:tcW w:w="0" w:type="auto"/>
            <w:tcBorders>
              <w:top w:val="single" w:sz="4" w:space="0" w:color="auto"/>
              <w:left w:val="single" w:sz="4" w:space="0" w:color="auto"/>
            </w:tcBorders>
            <w:shd w:val="clear" w:color="auto" w:fill="FFFFFF"/>
          </w:tcPr>
          <w:p w14:paraId="4C411CC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Струма от вливането на р. Джерман до вливане на р. Благоевградска Бистрица</w:t>
            </w:r>
          </w:p>
        </w:tc>
        <w:tc>
          <w:tcPr>
            <w:tcW w:w="0" w:type="auto"/>
            <w:tcBorders>
              <w:top w:val="single" w:sz="4" w:space="0" w:color="auto"/>
              <w:left w:val="single" w:sz="4" w:space="0" w:color="auto"/>
            </w:tcBorders>
            <w:shd w:val="clear" w:color="auto" w:fill="FFFFFF"/>
          </w:tcPr>
          <w:p w14:paraId="78F9D97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tcPr>
          <w:p w14:paraId="24191FB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72718C7"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B4CA7E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93</w:t>
            </w:r>
          </w:p>
        </w:tc>
        <w:tc>
          <w:tcPr>
            <w:tcW w:w="0" w:type="auto"/>
            <w:tcBorders>
              <w:top w:val="single" w:sz="4" w:space="0" w:color="auto"/>
              <w:left w:val="single" w:sz="4" w:space="0" w:color="auto"/>
            </w:tcBorders>
            <w:shd w:val="clear" w:color="auto" w:fill="FFFFFF"/>
            <w:vAlign w:val="center"/>
          </w:tcPr>
          <w:p w14:paraId="26D2954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500R1041</w:t>
            </w:r>
          </w:p>
        </w:tc>
        <w:tc>
          <w:tcPr>
            <w:tcW w:w="0" w:type="auto"/>
            <w:tcBorders>
              <w:top w:val="single" w:sz="4" w:space="0" w:color="auto"/>
              <w:left w:val="single" w:sz="4" w:space="0" w:color="auto"/>
            </w:tcBorders>
            <w:shd w:val="clear" w:color="auto" w:fill="FFFFFF"/>
          </w:tcPr>
          <w:p w14:paraId="77B4788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Манастирска и р. Илийна от изворите до вливане в р. Рилска</w:t>
            </w:r>
          </w:p>
        </w:tc>
        <w:tc>
          <w:tcPr>
            <w:tcW w:w="0" w:type="auto"/>
            <w:tcBorders>
              <w:top w:val="single" w:sz="4" w:space="0" w:color="auto"/>
              <w:left w:val="single" w:sz="4" w:space="0" w:color="auto"/>
            </w:tcBorders>
            <w:shd w:val="clear" w:color="auto" w:fill="FFFFFF"/>
          </w:tcPr>
          <w:p w14:paraId="61811A2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0D42F4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8446CE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1EE5D8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94</w:t>
            </w:r>
          </w:p>
        </w:tc>
        <w:tc>
          <w:tcPr>
            <w:tcW w:w="0" w:type="auto"/>
            <w:tcBorders>
              <w:top w:val="single" w:sz="4" w:space="0" w:color="auto"/>
              <w:left w:val="single" w:sz="4" w:space="0" w:color="auto"/>
            </w:tcBorders>
            <w:shd w:val="clear" w:color="auto" w:fill="FFFFFF"/>
            <w:vAlign w:val="center"/>
          </w:tcPr>
          <w:p w14:paraId="0087496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500R1042</w:t>
            </w:r>
          </w:p>
        </w:tc>
        <w:tc>
          <w:tcPr>
            <w:tcW w:w="0" w:type="auto"/>
            <w:tcBorders>
              <w:top w:val="single" w:sz="4" w:space="0" w:color="auto"/>
              <w:left w:val="single" w:sz="4" w:space="0" w:color="auto"/>
            </w:tcBorders>
            <w:shd w:val="clear" w:color="auto" w:fill="FFFFFF"/>
          </w:tcPr>
          <w:p w14:paraId="6117DF30"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Рилска от вливане на р. Манастирска и р. Илийна до вливане на р. </w:t>
            </w:r>
            <w:proofErr w:type="spellStart"/>
            <w:r w:rsidRPr="009F6D1E">
              <w:rPr>
                <w:rStyle w:val="Bodytext210pt"/>
                <w:rFonts w:eastAsia="ヒラギノ角ゴ Pro W3"/>
              </w:rPr>
              <w:t>Шарковица</w:t>
            </w:r>
            <w:proofErr w:type="spellEnd"/>
          </w:p>
        </w:tc>
        <w:tc>
          <w:tcPr>
            <w:tcW w:w="0" w:type="auto"/>
            <w:tcBorders>
              <w:top w:val="single" w:sz="4" w:space="0" w:color="auto"/>
              <w:left w:val="single" w:sz="4" w:space="0" w:color="auto"/>
            </w:tcBorders>
            <w:shd w:val="clear" w:color="auto" w:fill="FFFFFF"/>
          </w:tcPr>
          <w:p w14:paraId="6BDA2E6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C33BF7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DF41794"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413AB3F"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95</w:t>
            </w:r>
          </w:p>
        </w:tc>
        <w:tc>
          <w:tcPr>
            <w:tcW w:w="0" w:type="auto"/>
            <w:tcBorders>
              <w:top w:val="single" w:sz="4" w:space="0" w:color="auto"/>
              <w:left w:val="single" w:sz="4" w:space="0" w:color="auto"/>
            </w:tcBorders>
            <w:shd w:val="clear" w:color="auto" w:fill="FFFFFF"/>
            <w:vAlign w:val="center"/>
          </w:tcPr>
          <w:p w14:paraId="119D5FF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500R1043</w:t>
            </w:r>
          </w:p>
        </w:tc>
        <w:tc>
          <w:tcPr>
            <w:tcW w:w="0" w:type="auto"/>
            <w:tcBorders>
              <w:top w:val="single" w:sz="4" w:space="0" w:color="auto"/>
              <w:left w:val="single" w:sz="4" w:space="0" w:color="auto"/>
            </w:tcBorders>
            <w:shd w:val="clear" w:color="auto" w:fill="FFFFFF"/>
          </w:tcPr>
          <w:p w14:paraId="5D78270E"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Рилска от вливане на р. </w:t>
            </w:r>
            <w:proofErr w:type="spellStart"/>
            <w:r w:rsidRPr="009F6D1E">
              <w:rPr>
                <w:rStyle w:val="Bodytext210pt"/>
                <w:rFonts w:eastAsia="ヒラギノ角ゴ Pro W3"/>
              </w:rPr>
              <w:t>Шарковица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657F1C2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866E1D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278D71C" w14:textId="77777777" w:rsidTr="008A7E6F">
        <w:trPr>
          <w:trHeight w:hRule="exact" w:val="245"/>
          <w:jc w:val="center"/>
        </w:trPr>
        <w:tc>
          <w:tcPr>
            <w:tcW w:w="0" w:type="auto"/>
            <w:tcBorders>
              <w:top w:val="single" w:sz="4" w:space="0" w:color="auto"/>
              <w:left w:val="single" w:sz="4" w:space="0" w:color="auto"/>
            </w:tcBorders>
            <w:shd w:val="clear" w:color="auto" w:fill="FFFFFF"/>
            <w:vAlign w:val="center"/>
          </w:tcPr>
          <w:p w14:paraId="1839745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96</w:t>
            </w:r>
          </w:p>
        </w:tc>
        <w:tc>
          <w:tcPr>
            <w:tcW w:w="0" w:type="auto"/>
            <w:tcBorders>
              <w:top w:val="single" w:sz="4" w:space="0" w:color="auto"/>
              <w:left w:val="single" w:sz="4" w:space="0" w:color="auto"/>
            </w:tcBorders>
            <w:shd w:val="clear" w:color="auto" w:fill="FFFFFF"/>
            <w:vAlign w:val="center"/>
          </w:tcPr>
          <w:p w14:paraId="6F31E75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500R1045</w:t>
            </w:r>
          </w:p>
        </w:tc>
        <w:tc>
          <w:tcPr>
            <w:tcW w:w="0" w:type="auto"/>
            <w:tcBorders>
              <w:top w:val="single" w:sz="4" w:space="0" w:color="auto"/>
              <w:left w:val="single" w:sz="4" w:space="0" w:color="auto"/>
            </w:tcBorders>
            <w:shd w:val="clear" w:color="auto" w:fill="FFFFFF"/>
            <w:vAlign w:val="bottom"/>
          </w:tcPr>
          <w:p w14:paraId="68846FA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Благоевградска Бистрица от вливане на р. Диново дере до вливане на р. Славова</w:t>
            </w:r>
          </w:p>
        </w:tc>
        <w:tc>
          <w:tcPr>
            <w:tcW w:w="0" w:type="auto"/>
            <w:tcBorders>
              <w:top w:val="single" w:sz="4" w:space="0" w:color="auto"/>
              <w:left w:val="single" w:sz="4" w:space="0" w:color="auto"/>
            </w:tcBorders>
            <w:shd w:val="clear" w:color="auto" w:fill="FFFFFF"/>
            <w:vAlign w:val="bottom"/>
          </w:tcPr>
          <w:p w14:paraId="3BBC80D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vAlign w:val="bottom"/>
          </w:tcPr>
          <w:p w14:paraId="49A74E6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78D388B"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60E11E64"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97</w:t>
            </w:r>
          </w:p>
        </w:tc>
        <w:tc>
          <w:tcPr>
            <w:tcW w:w="0" w:type="auto"/>
            <w:tcBorders>
              <w:top w:val="single" w:sz="4" w:space="0" w:color="auto"/>
              <w:left w:val="single" w:sz="4" w:space="0" w:color="auto"/>
            </w:tcBorders>
            <w:shd w:val="clear" w:color="auto" w:fill="FFFFFF"/>
            <w:vAlign w:val="center"/>
          </w:tcPr>
          <w:p w14:paraId="3757DEA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500R1046</w:t>
            </w:r>
          </w:p>
        </w:tc>
        <w:tc>
          <w:tcPr>
            <w:tcW w:w="0" w:type="auto"/>
            <w:tcBorders>
              <w:top w:val="single" w:sz="4" w:space="0" w:color="auto"/>
              <w:left w:val="single" w:sz="4" w:space="0" w:color="auto"/>
            </w:tcBorders>
            <w:shd w:val="clear" w:color="auto" w:fill="FFFFFF"/>
          </w:tcPr>
          <w:p w14:paraId="4104D3CE"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Благоевградска Бистрица от вливане на р. Славова до вливане на р. </w:t>
            </w:r>
            <w:proofErr w:type="spellStart"/>
            <w:r w:rsidRPr="009F6D1E">
              <w:rPr>
                <w:rStyle w:val="Bodytext210pt"/>
                <w:rFonts w:eastAsia="ヒラギノ角ゴ Pro W3"/>
              </w:rPr>
              <w:t>Хърсовска</w:t>
            </w:r>
            <w:proofErr w:type="spellEnd"/>
          </w:p>
        </w:tc>
        <w:tc>
          <w:tcPr>
            <w:tcW w:w="0" w:type="auto"/>
            <w:tcBorders>
              <w:top w:val="single" w:sz="4" w:space="0" w:color="auto"/>
              <w:left w:val="single" w:sz="4" w:space="0" w:color="auto"/>
            </w:tcBorders>
            <w:shd w:val="clear" w:color="auto" w:fill="FFFFFF"/>
          </w:tcPr>
          <w:p w14:paraId="713E4F5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E769DB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D071B9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FBEF5D9"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98</w:t>
            </w:r>
          </w:p>
        </w:tc>
        <w:tc>
          <w:tcPr>
            <w:tcW w:w="0" w:type="auto"/>
            <w:tcBorders>
              <w:top w:val="single" w:sz="4" w:space="0" w:color="auto"/>
              <w:left w:val="single" w:sz="4" w:space="0" w:color="auto"/>
            </w:tcBorders>
            <w:shd w:val="clear" w:color="auto" w:fill="FFFFFF"/>
            <w:vAlign w:val="center"/>
          </w:tcPr>
          <w:p w14:paraId="0BEA7F5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500R1048</w:t>
            </w:r>
          </w:p>
        </w:tc>
        <w:tc>
          <w:tcPr>
            <w:tcW w:w="0" w:type="auto"/>
            <w:tcBorders>
              <w:top w:val="single" w:sz="4" w:space="0" w:color="auto"/>
              <w:left w:val="single" w:sz="4" w:space="0" w:color="auto"/>
            </w:tcBorders>
            <w:shd w:val="clear" w:color="auto" w:fill="FFFFFF"/>
          </w:tcPr>
          <w:p w14:paraId="3E25049A" w14:textId="77777777" w:rsidR="005B1C6B" w:rsidRPr="009F6D1E" w:rsidRDefault="005B1C6B" w:rsidP="0084747F">
            <w:pPr>
              <w:spacing w:after="60" w:line="264" w:lineRule="auto"/>
              <w:jc w:val="both"/>
              <w:rPr>
                <w:rFonts w:cs="Times New Roman"/>
                <w:sz w:val="20"/>
                <w:szCs w:val="20"/>
              </w:rPr>
            </w:pPr>
            <w:proofErr w:type="spellStart"/>
            <w:r w:rsidRPr="009F6D1E">
              <w:rPr>
                <w:rStyle w:val="Bodytext210pt"/>
                <w:rFonts w:eastAsia="ヒラギノ角ゴ Pro W3"/>
              </w:rPr>
              <w:t>р.Струма</w:t>
            </w:r>
            <w:proofErr w:type="spellEnd"/>
            <w:r w:rsidRPr="009F6D1E">
              <w:rPr>
                <w:rStyle w:val="Bodytext210pt"/>
                <w:rFonts w:eastAsia="ヒラギノ角ゴ Pro W3"/>
              </w:rPr>
              <w:t xml:space="preserve"> от вливането на </w:t>
            </w:r>
            <w:proofErr w:type="spellStart"/>
            <w:r w:rsidRPr="009F6D1E">
              <w:rPr>
                <w:rStyle w:val="Bodytext210pt"/>
                <w:rFonts w:eastAsia="ヒラギノ角ゴ Pro W3"/>
              </w:rPr>
              <w:t>р.Стара</w:t>
            </w:r>
            <w:proofErr w:type="spellEnd"/>
            <w:r w:rsidRPr="009F6D1E">
              <w:rPr>
                <w:rStyle w:val="Bodytext210pt"/>
                <w:rFonts w:eastAsia="ヒラギノ角ゴ Pro W3"/>
              </w:rPr>
              <w:t xml:space="preserve"> река до вливането на </w:t>
            </w:r>
            <w:proofErr w:type="spellStart"/>
            <w:r w:rsidRPr="009F6D1E">
              <w:rPr>
                <w:rStyle w:val="Bodytext210pt"/>
                <w:rFonts w:eastAsia="ヒラギノ角ゴ Pro W3"/>
              </w:rPr>
              <w:t>р.Сушичка</w:t>
            </w:r>
            <w:proofErr w:type="spellEnd"/>
          </w:p>
        </w:tc>
        <w:tc>
          <w:tcPr>
            <w:tcW w:w="0" w:type="auto"/>
            <w:tcBorders>
              <w:top w:val="single" w:sz="4" w:space="0" w:color="auto"/>
              <w:left w:val="single" w:sz="4" w:space="0" w:color="auto"/>
            </w:tcBorders>
            <w:shd w:val="clear" w:color="auto" w:fill="FFFFFF"/>
          </w:tcPr>
          <w:p w14:paraId="2D2E5E6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tcPr>
          <w:p w14:paraId="66E8D38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68AE0D2" w14:textId="77777777" w:rsidTr="008A7E6F">
        <w:trPr>
          <w:trHeight w:hRule="exact" w:val="494"/>
          <w:jc w:val="center"/>
        </w:trPr>
        <w:tc>
          <w:tcPr>
            <w:tcW w:w="0" w:type="auto"/>
            <w:tcBorders>
              <w:top w:val="single" w:sz="4" w:space="0" w:color="auto"/>
              <w:left w:val="single" w:sz="4" w:space="0" w:color="auto"/>
            </w:tcBorders>
            <w:shd w:val="clear" w:color="auto" w:fill="FFFFFF"/>
            <w:vAlign w:val="center"/>
          </w:tcPr>
          <w:p w14:paraId="64BB136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99</w:t>
            </w:r>
          </w:p>
        </w:tc>
        <w:tc>
          <w:tcPr>
            <w:tcW w:w="0" w:type="auto"/>
            <w:tcBorders>
              <w:top w:val="single" w:sz="4" w:space="0" w:color="auto"/>
              <w:left w:val="single" w:sz="4" w:space="0" w:color="auto"/>
            </w:tcBorders>
            <w:shd w:val="clear" w:color="auto" w:fill="FFFFFF"/>
            <w:vAlign w:val="center"/>
          </w:tcPr>
          <w:p w14:paraId="77E4273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500R1049</w:t>
            </w:r>
          </w:p>
        </w:tc>
        <w:tc>
          <w:tcPr>
            <w:tcW w:w="0" w:type="auto"/>
            <w:tcBorders>
              <w:top w:val="single" w:sz="4" w:space="0" w:color="auto"/>
              <w:left w:val="single" w:sz="4" w:space="0" w:color="auto"/>
            </w:tcBorders>
            <w:shd w:val="clear" w:color="auto" w:fill="FFFFFF"/>
          </w:tcPr>
          <w:p w14:paraId="06C0554D" w14:textId="77777777" w:rsidR="005B1C6B" w:rsidRPr="009F6D1E" w:rsidRDefault="005B1C6B" w:rsidP="0084747F">
            <w:pPr>
              <w:spacing w:after="60" w:line="264" w:lineRule="auto"/>
              <w:jc w:val="both"/>
              <w:rPr>
                <w:rFonts w:cs="Times New Roman"/>
                <w:sz w:val="20"/>
                <w:szCs w:val="20"/>
              </w:rPr>
            </w:pPr>
            <w:proofErr w:type="spellStart"/>
            <w:r w:rsidRPr="009F6D1E">
              <w:rPr>
                <w:rStyle w:val="Bodytext210pt"/>
                <w:rFonts w:eastAsia="ヒラギノ角ゴ Pro W3"/>
              </w:rPr>
              <w:t>р.Струма</w:t>
            </w:r>
            <w:proofErr w:type="spellEnd"/>
            <w:r w:rsidRPr="009F6D1E">
              <w:rPr>
                <w:rStyle w:val="Bodytext210pt"/>
                <w:rFonts w:eastAsia="ヒラギノ角ゴ Pro W3"/>
              </w:rPr>
              <w:t xml:space="preserve"> от вливането на </w:t>
            </w:r>
            <w:proofErr w:type="spellStart"/>
            <w:r w:rsidRPr="009F6D1E">
              <w:rPr>
                <w:rStyle w:val="Bodytext210pt"/>
                <w:rFonts w:eastAsia="ヒラギノ角ゴ Pro W3"/>
              </w:rPr>
              <w:t>р.Благоевградска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Бистрицас</w:t>
            </w:r>
            <w:proofErr w:type="spellEnd"/>
            <w:r w:rsidRPr="009F6D1E">
              <w:rPr>
                <w:rStyle w:val="Bodytext210pt"/>
                <w:rFonts w:eastAsia="ヒラギノ角ゴ Pro W3"/>
              </w:rPr>
              <w:t xml:space="preserve"> притоците и </w:t>
            </w:r>
            <w:proofErr w:type="spellStart"/>
            <w:r w:rsidRPr="009F6D1E">
              <w:rPr>
                <w:rStyle w:val="Bodytext210pt"/>
                <w:rFonts w:eastAsia="ヒラギノ角ゴ Pro W3"/>
              </w:rPr>
              <w:t>р.Четирка</w:t>
            </w:r>
            <w:proofErr w:type="spellEnd"/>
            <w:r w:rsidRPr="009F6D1E">
              <w:rPr>
                <w:rStyle w:val="Bodytext210pt"/>
                <w:rFonts w:eastAsia="ヒラギノ角ゴ Pro W3"/>
              </w:rPr>
              <w:t xml:space="preserve"> и </w:t>
            </w:r>
            <w:proofErr w:type="spellStart"/>
            <w:r w:rsidRPr="009F6D1E">
              <w:rPr>
                <w:rStyle w:val="Bodytext210pt"/>
                <w:rFonts w:eastAsia="ヒラギノ角ゴ Pro W3"/>
              </w:rPr>
              <w:t>р.Айдаровско</w:t>
            </w:r>
            <w:proofErr w:type="spellEnd"/>
            <w:r w:rsidRPr="009F6D1E">
              <w:rPr>
                <w:rStyle w:val="Bodytext210pt"/>
                <w:rFonts w:eastAsia="ヒラギノ角ゴ Pro W3"/>
              </w:rPr>
              <w:t xml:space="preserve"> дере во вливането на </w:t>
            </w:r>
            <w:proofErr w:type="spellStart"/>
            <w:r w:rsidRPr="009F6D1E">
              <w:rPr>
                <w:rStyle w:val="Bodytext210pt"/>
                <w:rFonts w:eastAsia="ヒラギノ角ゴ Pro W3"/>
              </w:rPr>
              <w:t>р.Стара</w:t>
            </w:r>
            <w:proofErr w:type="spellEnd"/>
            <w:r w:rsidRPr="009F6D1E">
              <w:rPr>
                <w:rStyle w:val="Bodytext210pt"/>
                <w:rFonts w:eastAsia="ヒラギノ角ゴ Pro W3"/>
              </w:rPr>
              <w:t xml:space="preserve"> река</w:t>
            </w:r>
          </w:p>
        </w:tc>
        <w:tc>
          <w:tcPr>
            <w:tcW w:w="0" w:type="auto"/>
            <w:tcBorders>
              <w:top w:val="single" w:sz="4" w:space="0" w:color="auto"/>
              <w:left w:val="single" w:sz="4" w:space="0" w:color="auto"/>
            </w:tcBorders>
            <w:shd w:val="clear" w:color="auto" w:fill="FFFFFF"/>
            <w:vAlign w:val="center"/>
          </w:tcPr>
          <w:p w14:paraId="1B951E0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vAlign w:val="center"/>
          </w:tcPr>
          <w:p w14:paraId="42ACB43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6933EB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8DFCAA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100</w:t>
            </w:r>
          </w:p>
        </w:tc>
        <w:tc>
          <w:tcPr>
            <w:tcW w:w="0" w:type="auto"/>
            <w:tcBorders>
              <w:top w:val="single" w:sz="4" w:space="0" w:color="auto"/>
              <w:left w:val="single" w:sz="4" w:space="0" w:color="auto"/>
            </w:tcBorders>
            <w:shd w:val="clear" w:color="auto" w:fill="FFFFFF"/>
            <w:vAlign w:val="center"/>
          </w:tcPr>
          <w:p w14:paraId="4C6D638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500R1051</w:t>
            </w:r>
          </w:p>
        </w:tc>
        <w:tc>
          <w:tcPr>
            <w:tcW w:w="0" w:type="auto"/>
            <w:tcBorders>
              <w:top w:val="single" w:sz="4" w:space="0" w:color="auto"/>
              <w:left w:val="single" w:sz="4" w:space="0" w:color="auto"/>
            </w:tcBorders>
            <w:shd w:val="clear" w:color="auto" w:fill="FFFFFF"/>
          </w:tcPr>
          <w:p w14:paraId="1B8FC7C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Градевска</w:t>
            </w:r>
            <w:proofErr w:type="spellEnd"/>
            <w:r w:rsidRPr="009F6D1E">
              <w:rPr>
                <w:rStyle w:val="Bodytext210pt"/>
                <w:rFonts w:eastAsia="ヒラギノ角ゴ Pro W3"/>
              </w:rPr>
              <w:t xml:space="preserve"> с десния си приток р. </w:t>
            </w:r>
            <w:proofErr w:type="spellStart"/>
            <w:r w:rsidRPr="009F6D1E">
              <w:rPr>
                <w:rStyle w:val="Bodytext210pt"/>
                <w:rFonts w:eastAsia="ヒラギノ角ゴ Pro W3"/>
              </w:rPr>
              <w:t>Осеновска</w:t>
            </w:r>
            <w:proofErr w:type="spellEnd"/>
            <w:r w:rsidRPr="009F6D1E">
              <w:rPr>
                <w:rStyle w:val="Bodytext210pt"/>
                <w:rFonts w:eastAsia="ヒラギノ角ゴ Pro W3"/>
              </w:rPr>
              <w:t xml:space="preserve"> от изворите до вливането им</w:t>
            </w:r>
          </w:p>
        </w:tc>
        <w:tc>
          <w:tcPr>
            <w:tcW w:w="0" w:type="auto"/>
            <w:tcBorders>
              <w:top w:val="single" w:sz="4" w:space="0" w:color="auto"/>
              <w:left w:val="single" w:sz="4" w:space="0" w:color="auto"/>
            </w:tcBorders>
            <w:shd w:val="clear" w:color="auto" w:fill="FFFFFF"/>
          </w:tcPr>
          <w:p w14:paraId="75EFC45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A4BBCB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54345E2"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29D935C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101</w:t>
            </w:r>
          </w:p>
        </w:tc>
        <w:tc>
          <w:tcPr>
            <w:tcW w:w="0" w:type="auto"/>
            <w:tcBorders>
              <w:top w:val="single" w:sz="4" w:space="0" w:color="auto"/>
              <w:left w:val="single" w:sz="4" w:space="0" w:color="auto"/>
            </w:tcBorders>
            <w:shd w:val="clear" w:color="auto" w:fill="FFFFFF"/>
            <w:vAlign w:val="center"/>
          </w:tcPr>
          <w:p w14:paraId="0CF15B4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500R1052</w:t>
            </w:r>
          </w:p>
        </w:tc>
        <w:tc>
          <w:tcPr>
            <w:tcW w:w="0" w:type="auto"/>
            <w:tcBorders>
              <w:top w:val="single" w:sz="4" w:space="0" w:color="auto"/>
              <w:left w:val="single" w:sz="4" w:space="0" w:color="auto"/>
            </w:tcBorders>
            <w:shd w:val="clear" w:color="auto" w:fill="FFFFFF"/>
          </w:tcPr>
          <w:p w14:paraId="224784E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Градевска</w:t>
            </w:r>
            <w:proofErr w:type="spellEnd"/>
            <w:r w:rsidRPr="009F6D1E">
              <w:rPr>
                <w:rStyle w:val="Bodytext210pt"/>
                <w:rFonts w:eastAsia="ヒラギノ角ゴ Pro W3"/>
              </w:rPr>
              <w:t xml:space="preserve"> от вливане на р. </w:t>
            </w:r>
            <w:proofErr w:type="spellStart"/>
            <w:r w:rsidRPr="009F6D1E">
              <w:rPr>
                <w:rStyle w:val="Bodytext210pt"/>
                <w:rFonts w:eastAsia="ヒラギノ角ゴ Pro W3"/>
              </w:rPr>
              <w:t>Осеновска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2CC2E1D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B5EF75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F94EAD0"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0DCA5F3"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102</w:t>
            </w:r>
          </w:p>
        </w:tc>
        <w:tc>
          <w:tcPr>
            <w:tcW w:w="0" w:type="auto"/>
            <w:tcBorders>
              <w:top w:val="single" w:sz="4" w:space="0" w:color="auto"/>
              <w:left w:val="single" w:sz="4" w:space="0" w:color="auto"/>
            </w:tcBorders>
            <w:shd w:val="clear" w:color="auto" w:fill="FFFFFF"/>
            <w:vAlign w:val="center"/>
          </w:tcPr>
          <w:p w14:paraId="3BD7339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500R1056</w:t>
            </w:r>
          </w:p>
        </w:tc>
        <w:tc>
          <w:tcPr>
            <w:tcW w:w="0" w:type="auto"/>
            <w:tcBorders>
              <w:top w:val="single" w:sz="4" w:space="0" w:color="auto"/>
              <w:left w:val="single" w:sz="4" w:space="0" w:color="auto"/>
            </w:tcBorders>
            <w:shd w:val="clear" w:color="auto" w:fill="FFFFFF"/>
          </w:tcPr>
          <w:p w14:paraId="49E4142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Ощавска</w:t>
            </w:r>
            <w:proofErr w:type="spellEnd"/>
            <w:r w:rsidRPr="009F6D1E">
              <w:rPr>
                <w:rStyle w:val="Bodytext210pt"/>
                <w:rFonts w:eastAsia="ヒラギノ角ゴ Pro W3"/>
              </w:rPr>
              <w:t xml:space="preserve"> (Дяволска) от кота 1510 м. до вливане в р. Струма</w:t>
            </w:r>
          </w:p>
        </w:tc>
        <w:tc>
          <w:tcPr>
            <w:tcW w:w="0" w:type="auto"/>
            <w:tcBorders>
              <w:top w:val="single" w:sz="4" w:space="0" w:color="auto"/>
              <w:left w:val="single" w:sz="4" w:space="0" w:color="auto"/>
            </w:tcBorders>
            <w:shd w:val="clear" w:color="auto" w:fill="FFFFFF"/>
          </w:tcPr>
          <w:p w14:paraId="4DE6219D" w14:textId="77777777" w:rsidR="005B1C6B" w:rsidRPr="009F6D1E" w:rsidRDefault="007E18C8" w:rsidP="0084747F">
            <w:pPr>
              <w:spacing w:after="60" w:line="264" w:lineRule="auto"/>
              <w:rPr>
                <w:rFonts w:cs="Times New Roman"/>
                <w:sz w:val="20"/>
                <w:szCs w:val="20"/>
              </w:rPr>
            </w:pPr>
            <w:r w:rsidRPr="009F6D1E">
              <w:rPr>
                <w:rStyle w:val="Bodytext210pt"/>
                <w:rFonts w:eastAsia="ヒラギノ角ゴ Pro W3"/>
              </w:rPr>
              <w:t>неизвестно състояние</w:t>
            </w:r>
          </w:p>
        </w:tc>
        <w:tc>
          <w:tcPr>
            <w:tcW w:w="0" w:type="auto"/>
            <w:tcBorders>
              <w:top w:val="single" w:sz="4" w:space="0" w:color="auto"/>
              <w:left w:val="single" w:sz="4" w:space="0" w:color="auto"/>
              <w:right w:val="single" w:sz="4" w:space="0" w:color="auto"/>
            </w:tcBorders>
            <w:shd w:val="clear" w:color="auto" w:fill="FFFFFF"/>
          </w:tcPr>
          <w:p w14:paraId="10A4712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B209A05"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F00EFA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103</w:t>
            </w:r>
          </w:p>
        </w:tc>
        <w:tc>
          <w:tcPr>
            <w:tcW w:w="0" w:type="auto"/>
            <w:tcBorders>
              <w:top w:val="single" w:sz="4" w:space="0" w:color="auto"/>
              <w:left w:val="single" w:sz="4" w:space="0" w:color="auto"/>
            </w:tcBorders>
            <w:shd w:val="clear" w:color="auto" w:fill="FFFFFF"/>
            <w:vAlign w:val="center"/>
          </w:tcPr>
          <w:p w14:paraId="41F6951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500R1067</w:t>
            </w:r>
          </w:p>
        </w:tc>
        <w:tc>
          <w:tcPr>
            <w:tcW w:w="0" w:type="auto"/>
            <w:tcBorders>
              <w:top w:val="single" w:sz="4" w:space="0" w:color="auto"/>
              <w:left w:val="single" w:sz="4" w:space="0" w:color="auto"/>
            </w:tcBorders>
            <w:shd w:val="clear" w:color="auto" w:fill="FFFFFF"/>
          </w:tcPr>
          <w:p w14:paraId="2BC2486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Санданска Бистрица от изворите до кота 590 м.</w:t>
            </w:r>
          </w:p>
        </w:tc>
        <w:tc>
          <w:tcPr>
            <w:tcW w:w="0" w:type="auto"/>
            <w:tcBorders>
              <w:top w:val="single" w:sz="4" w:space="0" w:color="auto"/>
              <w:left w:val="single" w:sz="4" w:space="0" w:color="auto"/>
            </w:tcBorders>
            <w:shd w:val="clear" w:color="auto" w:fill="FFFFFF"/>
          </w:tcPr>
          <w:p w14:paraId="5760885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D5B1AD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EFB0888"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CC1805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104</w:t>
            </w:r>
          </w:p>
        </w:tc>
        <w:tc>
          <w:tcPr>
            <w:tcW w:w="0" w:type="auto"/>
            <w:tcBorders>
              <w:top w:val="single" w:sz="4" w:space="0" w:color="auto"/>
              <w:left w:val="single" w:sz="4" w:space="0" w:color="auto"/>
            </w:tcBorders>
            <w:shd w:val="clear" w:color="auto" w:fill="FFFFFF"/>
            <w:vAlign w:val="center"/>
          </w:tcPr>
          <w:p w14:paraId="3665713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500R1130</w:t>
            </w:r>
          </w:p>
        </w:tc>
        <w:tc>
          <w:tcPr>
            <w:tcW w:w="0" w:type="auto"/>
            <w:tcBorders>
              <w:top w:val="single" w:sz="4" w:space="0" w:color="auto"/>
              <w:left w:val="single" w:sz="4" w:space="0" w:color="auto"/>
            </w:tcBorders>
            <w:shd w:val="clear" w:color="auto" w:fill="FFFFFF"/>
          </w:tcPr>
          <w:p w14:paraId="6CB5C64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Дреновска</w:t>
            </w:r>
            <w:proofErr w:type="spellEnd"/>
            <w:r w:rsidRPr="009F6D1E">
              <w:rPr>
                <w:rStyle w:val="Bodytext210pt"/>
                <w:rFonts w:eastAsia="ヒラギノ角ゴ Pro W3"/>
              </w:rPr>
              <w:t xml:space="preserve"> от изворите до кота 815 м</w:t>
            </w:r>
          </w:p>
        </w:tc>
        <w:tc>
          <w:tcPr>
            <w:tcW w:w="0" w:type="auto"/>
            <w:tcBorders>
              <w:top w:val="single" w:sz="4" w:space="0" w:color="auto"/>
              <w:left w:val="single" w:sz="4" w:space="0" w:color="auto"/>
            </w:tcBorders>
            <w:shd w:val="clear" w:color="auto" w:fill="FFFFFF"/>
          </w:tcPr>
          <w:p w14:paraId="1484E74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9A8E23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1E6C804"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2F833E39"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lastRenderedPageBreak/>
              <w:t>105</w:t>
            </w:r>
          </w:p>
        </w:tc>
        <w:tc>
          <w:tcPr>
            <w:tcW w:w="0" w:type="auto"/>
            <w:tcBorders>
              <w:top w:val="single" w:sz="4" w:space="0" w:color="auto"/>
              <w:left w:val="single" w:sz="4" w:space="0" w:color="auto"/>
            </w:tcBorders>
            <w:shd w:val="clear" w:color="auto" w:fill="FFFFFF"/>
            <w:vAlign w:val="center"/>
          </w:tcPr>
          <w:p w14:paraId="58F6CB1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141</w:t>
            </w:r>
          </w:p>
        </w:tc>
        <w:tc>
          <w:tcPr>
            <w:tcW w:w="0" w:type="auto"/>
            <w:tcBorders>
              <w:top w:val="single" w:sz="4" w:space="0" w:color="auto"/>
              <w:left w:val="single" w:sz="4" w:space="0" w:color="auto"/>
            </w:tcBorders>
            <w:shd w:val="clear" w:color="auto" w:fill="FFFFFF"/>
          </w:tcPr>
          <w:p w14:paraId="0ED984D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Рилска от изворите до кота 1495 м.</w:t>
            </w:r>
          </w:p>
        </w:tc>
        <w:tc>
          <w:tcPr>
            <w:tcW w:w="0" w:type="auto"/>
            <w:tcBorders>
              <w:top w:val="single" w:sz="4" w:space="0" w:color="auto"/>
              <w:left w:val="single" w:sz="4" w:space="0" w:color="auto"/>
            </w:tcBorders>
            <w:shd w:val="clear" w:color="auto" w:fill="FFFFFF"/>
          </w:tcPr>
          <w:p w14:paraId="49CA56B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26D9B2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D0249BC"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D9423FC"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106</w:t>
            </w:r>
          </w:p>
        </w:tc>
        <w:tc>
          <w:tcPr>
            <w:tcW w:w="0" w:type="auto"/>
            <w:tcBorders>
              <w:top w:val="single" w:sz="4" w:space="0" w:color="auto"/>
              <w:left w:val="single" w:sz="4" w:space="0" w:color="auto"/>
            </w:tcBorders>
            <w:shd w:val="clear" w:color="auto" w:fill="FFFFFF"/>
            <w:vAlign w:val="center"/>
          </w:tcPr>
          <w:p w14:paraId="77354EF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142</w:t>
            </w:r>
          </w:p>
        </w:tc>
        <w:tc>
          <w:tcPr>
            <w:tcW w:w="0" w:type="auto"/>
            <w:tcBorders>
              <w:top w:val="single" w:sz="4" w:space="0" w:color="auto"/>
              <w:left w:val="single" w:sz="4" w:space="0" w:color="auto"/>
            </w:tcBorders>
            <w:shd w:val="clear" w:color="auto" w:fill="FFFFFF"/>
          </w:tcPr>
          <w:p w14:paraId="532434F3"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Джамбевска</w:t>
            </w:r>
            <w:proofErr w:type="spellEnd"/>
            <w:r w:rsidRPr="009F6D1E">
              <w:rPr>
                <w:rStyle w:val="Bodytext210pt"/>
                <w:rFonts w:eastAsia="ヒラギノ角ゴ Pro W3"/>
              </w:rPr>
              <w:t xml:space="preserve"> от изворите до кота 1020 м</w:t>
            </w:r>
          </w:p>
        </w:tc>
        <w:tc>
          <w:tcPr>
            <w:tcW w:w="0" w:type="auto"/>
            <w:tcBorders>
              <w:top w:val="single" w:sz="4" w:space="0" w:color="auto"/>
              <w:left w:val="single" w:sz="4" w:space="0" w:color="auto"/>
            </w:tcBorders>
            <w:shd w:val="clear" w:color="auto" w:fill="FFFFFF"/>
          </w:tcPr>
          <w:p w14:paraId="2F101DA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84D6AA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6AADA398"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BD397CD"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107</w:t>
            </w:r>
          </w:p>
        </w:tc>
        <w:tc>
          <w:tcPr>
            <w:tcW w:w="0" w:type="auto"/>
            <w:tcBorders>
              <w:top w:val="single" w:sz="4" w:space="0" w:color="auto"/>
              <w:left w:val="single" w:sz="4" w:space="0" w:color="auto"/>
            </w:tcBorders>
            <w:shd w:val="clear" w:color="auto" w:fill="FFFFFF"/>
            <w:vAlign w:val="center"/>
          </w:tcPr>
          <w:p w14:paraId="4F73598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143</w:t>
            </w:r>
          </w:p>
        </w:tc>
        <w:tc>
          <w:tcPr>
            <w:tcW w:w="0" w:type="auto"/>
            <w:tcBorders>
              <w:top w:val="single" w:sz="4" w:space="0" w:color="auto"/>
              <w:left w:val="single" w:sz="4" w:space="0" w:color="auto"/>
            </w:tcBorders>
            <w:shd w:val="clear" w:color="auto" w:fill="FFFFFF"/>
          </w:tcPr>
          <w:p w14:paraId="173E89E1"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Рилица</w:t>
            </w:r>
            <w:proofErr w:type="spellEnd"/>
            <w:r w:rsidRPr="009F6D1E">
              <w:rPr>
                <w:rStyle w:val="Bodytext210pt"/>
                <w:rFonts w:eastAsia="ヒラギノ角ゴ Pro W3"/>
              </w:rPr>
              <w:t xml:space="preserve"> от изворите до кота 1155 м.</w:t>
            </w:r>
          </w:p>
        </w:tc>
        <w:tc>
          <w:tcPr>
            <w:tcW w:w="0" w:type="auto"/>
            <w:tcBorders>
              <w:top w:val="single" w:sz="4" w:space="0" w:color="auto"/>
              <w:left w:val="single" w:sz="4" w:space="0" w:color="auto"/>
            </w:tcBorders>
            <w:shd w:val="clear" w:color="auto" w:fill="FFFFFF"/>
          </w:tcPr>
          <w:p w14:paraId="553C3D8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31228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12C8D50"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269E8C5"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108</w:t>
            </w:r>
          </w:p>
        </w:tc>
        <w:tc>
          <w:tcPr>
            <w:tcW w:w="0" w:type="auto"/>
            <w:tcBorders>
              <w:top w:val="single" w:sz="4" w:space="0" w:color="auto"/>
              <w:left w:val="single" w:sz="4" w:space="0" w:color="auto"/>
            </w:tcBorders>
            <w:shd w:val="clear" w:color="auto" w:fill="FFFFFF"/>
            <w:vAlign w:val="center"/>
          </w:tcPr>
          <w:p w14:paraId="5413A34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145</w:t>
            </w:r>
          </w:p>
        </w:tc>
        <w:tc>
          <w:tcPr>
            <w:tcW w:w="0" w:type="auto"/>
            <w:tcBorders>
              <w:top w:val="single" w:sz="4" w:space="0" w:color="auto"/>
              <w:left w:val="single" w:sz="4" w:space="0" w:color="auto"/>
            </w:tcBorders>
            <w:shd w:val="clear" w:color="auto" w:fill="FFFFFF"/>
          </w:tcPr>
          <w:p w14:paraId="106BF992"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Славова от изворите до вливането и в </w:t>
            </w:r>
            <w:proofErr w:type="spellStart"/>
            <w:r w:rsidRPr="009F6D1E">
              <w:rPr>
                <w:rStyle w:val="Bodytext210pt"/>
                <w:rFonts w:eastAsia="ヒラギノ角ゴ Pro W3"/>
              </w:rPr>
              <w:t>р.Благоевградска</w:t>
            </w:r>
            <w:proofErr w:type="spellEnd"/>
            <w:r w:rsidRPr="009F6D1E">
              <w:rPr>
                <w:rStyle w:val="Bodytext210pt"/>
                <w:rFonts w:eastAsia="ヒラギノ角ゴ Pro W3"/>
              </w:rPr>
              <w:t xml:space="preserve"> Бистрица</w:t>
            </w:r>
          </w:p>
        </w:tc>
        <w:tc>
          <w:tcPr>
            <w:tcW w:w="0" w:type="auto"/>
            <w:tcBorders>
              <w:top w:val="single" w:sz="4" w:space="0" w:color="auto"/>
              <w:left w:val="single" w:sz="4" w:space="0" w:color="auto"/>
            </w:tcBorders>
            <w:shd w:val="clear" w:color="auto" w:fill="FFFFFF"/>
          </w:tcPr>
          <w:p w14:paraId="1952058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AAB857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52528D3B"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535F06F"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109</w:t>
            </w:r>
          </w:p>
        </w:tc>
        <w:tc>
          <w:tcPr>
            <w:tcW w:w="0" w:type="auto"/>
            <w:tcBorders>
              <w:top w:val="single" w:sz="4" w:space="0" w:color="auto"/>
              <w:left w:val="single" w:sz="4" w:space="0" w:color="auto"/>
            </w:tcBorders>
            <w:shd w:val="clear" w:color="auto" w:fill="FFFFFF"/>
            <w:vAlign w:val="center"/>
          </w:tcPr>
          <w:p w14:paraId="415598E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146</w:t>
            </w:r>
          </w:p>
        </w:tc>
        <w:tc>
          <w:tcPr>
            <w:tcW w:w="0" w:type="auto"/>
            <w:tcBorders>
              <w:top w:val="single" w:sz="4" w:space="0" w:color="auto"/>
              <w:left w:val="single" w:sz="4" w:space="0" w:color="auto"/>
            </w:tcBorders>
            <w:shd w:val="clear" w:color="auto" w:fill="FFFFFF"/>
          </w:tcPr>
          <w:p w14:paraId="0BD7DA2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Предимир</w:t>
            </w:r>
            <w:proofErr w:type="spellEnd"/>
            <w:r w:rsidRPr="009F6D1E">
              <w:rPr>
                <w:rStyle w:val="Bodytext210pt"/>
                <w:rFonts w:eastAsia="ヒラギノ角ゴ Pro W3"/>
              </w:rPr>
              <w:t xml:space="preserve"> от изворите до кота 895 м</w:t>
            </w:r>
          </w:p>
        </w:tc>
        <w:tc>
          <w:tcPr>
            <w:tcW w:w="0" w:type="auto"/>
            <w:tcBorders>
              <w:top w:val="single" w:sz="4" w:space="0" w:color="auto"/>
              <w:left w:val="single" w:sz="4" w:space="0" w:color="auto"/>
            </w:tcBorders>
            <w:shd w:val="clear" w:color="auto" w:fill="FFFFFF"/>
          </w:tcPr>
          <w:p w14:paraId="72D96DF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A5BE45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5AAB2BA3"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400E4C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110</w:t>
            </w:r>
          </w:p>
        </w:tc>
        <w:tc>
          <w:tcPr>
            <w:tcW w:w="0" w:type="auto"/>
            <w:tcBorders>
              <w:top w:val="single" w:sz="4" w:space="0" w:color="auto"/>
              <w:left w:val="single" w:sz="4" w:space="0" w:color="auto"/>
            </w:tcBorders>
            <w:shd w:val="clear" w:color="auto" w:fill="FFFFFF"/>
            <w:vAlign w:val="center"/>
          </w:tcPr>
          <w:p w14:paraId="71567A8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500R1151</w:t>
            </w:r>
          </w:p>
        </w:tc>
        <w:tc>
          <w:tcPr>
            <w:tcW w:w="0" w:type="auto"/>
            <w:tcBorders>
              <w:top w:val="single" w:sz="4" w:space="0" w:color="auto"/>
              <w:left w:val="single" w:sz="4" w:space="0" w:color="auto"/>
            </w:tcBorders>
            <w:shd w:val="clear" w:color="auto" w:fill="FFFFFF"/>
          </w:tcPr>
          <w:p w14:paraId="1DA7F9D2"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Стружка от изворите до кота 1220 м.</w:t>
            </w:r>
          </w:p>
        </w:tc>
        <w:tc>
          <w:tcPr>
            <w:tcW w:w="0" w:type="auto"/>
            <w:tcBorders>
              <w:top w:val="single" w:sz="4" w:space="0" w:color="auto"/>
              <w:left w:val="single" w:sz="4" w:space="0" w:color="auto"/>
            </w:tcBorders>
            <w:shd w:val="clear" w:color="auto" w:fill="FFFFFF"/>
          </w:tcPr>
          <w:p w14:paraId="5027A02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B3851E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72B2141"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73B5FDC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111</w:t>
            </w:r>
          </w:p>
        </w:tc>
        <w:tc>
          <w:tcPr>
            <w:tcW w:w="0" w:type="auto"/>
            <w:tcBorders>
              <w:top w:val="single" w:sz="4" w:space="0" w:color="auto"/>
              <w:left w:val="single" w:sz="4" w:space="0" w:color="auto"/>
            </w:tcBorders>
            <w:shd w:val="clear" w:color="auto" w:fill="FFFFFF"/>
            <w:vAlign w:val="center"/>
          </w:tcPr>
          <w:p w14:paraId="27D6AFC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152</w:t>
            </w:r>
          </w:p>
        </w:tc>
        <w:tc>
          <w:tcPr>
            <w:tcW w:w="0" w:type="auto"/>
            <w:tcBorders>
              <w:top w:val="single" w:sz="4" w:space="0" w:color="auto"/>
              <w:left w:val="single" w:sz="4" w:space="0" w:color="auto"/>
            </w:tcBorders>
            <w:shd w:val="clear" w:color="auto" w:fill="FFFFFF"/>
          </w:tcPr>
          <w:p w14:paraId="7221A34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Соколовска</w:t>
            </w:r>
            <w:proofErr w:type="spellEnd"/>
            <w:r w:rsidRPr="009F6D1E">
              <w:rPr>
                <w:rStyle w:val="Bodytext210pt"/>
                <w:rFonts w:eastAsia="ヒラギノ角ゴ Pro W3"/>
              </w:rPr>
              <w:t xml:space="preserve"> от изворите до кота 1405 м.</w:t>
            </w:r>
          </w:p>
        </w:tc>
        <w:tc>
          <w:tcPr>
            <w:tcW w:w="0" w:type="auto"/>
            <w:tcBorders>
              <w:top w:val="single" w:sz="4" w:space="0" w:color="auto"/>
              <w:left w:val="single" w:sz="4" w:space="0" w:color="auto"/>
            </w:tcBorders>
            <w:shd w:val="clear" w:color="auto" w:fill="FFFFFF"/>
          </w:tcPr>
          <w:p w14:paraId="0F81DA0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0395DC2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EB2847E" w14:textId="77777777" w:rsidTr="008A7E6F">
        <w:trPr>
          <w:trHeight w:hRule="exact" w:val="254"/>
          <w:jc w:val="center"/>
        </w:trPr>
        <w:tc>
          <w:tcPr>
            <w:tcW w:w="0" w:type="auto"/>
            <w:tcBorders>
              <w:top w:val="single" w:sz="4" w:space="0" w:color="auto"/>
              <w:left w:val="single" w:sz="4" w:space="0" w:color="auto"/>
              <w:bottom w:val="single" w:sz="4" w:space="0" w:color="auto"/>
            </w:tcBorders>
            <w:shd w:val="clear" w:color="auto" w:fill="FFFFFF"/>
            <w:vAlign w:val="center"/>
          </w:tcPr>
          <w:p w14:paraId="3CA77BB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112</w:t>
            </w:r>
          </w:p>
        </w:tc>
        <w:tc>
          <w:tcPr>
            <w:tcW w:w="0" w:type="auto"/>
            <w:tcBorders>
              <w:top w:val="single" w:sz="4" w:space="0" w:color="auto"/>
              <w:left w:val="single" w:sz="4" w:space="0" w:color="auto"/>
              <w:bottom w:val="single" w:sz="4" w:space="0" w:color="auto"/>
            </w:tcBorders>
            <w:shd w:val="clear" w:color="auto" w:fill="FFFFFF"/>
            <w:vAlign w:val="center"/>
          </w:tcPr>
          <w:p w14:paraId="0042627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156</w:t>
            </w:r>
          </w:p>
        </w:tc>
        <w:tc>
          <w:tcPr>
            <w:tcW w:w="0" w:type="auto"/>
            <w:tcBorders>
              <w:top w:val="single" w:sz="4" w:space="0" w:color="auto"/>
              <w:left w:val="single" w:sz="4" w:space="0" w:color="auto"/>
              <w:bottom w:val="single" w:sz="4" w:space="0" w:color="auto"/>
            </w:tcBorders>
            <w:shd w:val="clear" w:color="auto" w:fill="FFFFFF"/>
          </w:tcPr>
          <w:p w14:paraId="0DC9400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Ощавска</w:t>
            </w:r>
            <w:proofErr w:type="spellEnd"/>
            <w:r w:rsidRPr="009F6D1E">
              <w:rPr>
                <w:rStyle w:val="Bodytext210pt"/>
                <w:rFonts w:eastAsia="ヒラギノ角ゴ Pro W3"/>
              </w:rPr>
              <w:t xml:space="preserve"> (Дяволска) от изворите до кота 1510 м.</w:t>
            </w:r>
          </w:p>
        </w:tc>
        <w:tc>
          <w:tcPr>
            <w:tcW w:w="0" w:type="auto"/>
            <w:tcBorders>
              <w:top w:val="single" w:sz="4" w:space="0" w:color="auto"/>
              <w:left w:val="single" w:sz="4" w:space="0" w:color="auto"/>
              <w:bottom w:val="single" w:sz="4" w:space="0" w:color="auto"/>
            </w:tcBorders>
            <w:shd w:val="clear" w:color="auto" w:fill="FFFFFF"/>
          </w:tcPr>
          <w:p w14:paraId="7CAA5EF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F099C0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D3E4776" w14:textId="77777777" w:rsidTr="008A7E6F">
        <w:trPr>
          <w:trHeight w:hRule="exact" w:val="269"/>
          <w:jc w:val="center"/>
        </w:trPr>
        <w:tc>
          <w:tcPr>
            <w:tcW w:w="0" w:type="auto"/>
            <w:tcBorders>
              <w:top w:val="single" w:sz="4" w:space="0" w:color="auto"/>
              <w:left w:val="single" w:sz="4" w:space="0" w:color="auto"/>
            </w:tcBorders>
            <w:shd w:val="clear" w:color="auto" w:fill="FFFFFF"/>
            <w:vAlign w:val="center"/>
          </w:tcPr>
          <w:p w14:paraId="41919D1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113</w:t>
            </w:r>
          </w:p>
        </w:tc>
        <w:tc>
          <w:tcPr>
            <w:tcW w:w="0" w:type="auto"/>
            <w:tcBorders>
              <w:top w:val="single" w:sz="4" w:space="0" w:color="auto"/>
              <w:left w:val="single" w:sz="4" w:space="0" w:color="auto"/>
            </w:tcBorders>
            <w:shd w:val="clear" w:color="auto" w:fill="FFFFFF"/>
            <w:vAlign w:val="center"/>
          </w:tcPr>
          <w:p w14:paraId="0A44EBA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500R1242</w:t>
            </w:r>
          </w:p>
        </w:tc>
        <w:tc>
          <w:tcPr>
            <w:tcW w:w="0" w:type="auto"/>
            <w:tcBorders>
              <w:top w:val="single" w:sz="4" w:space="0" w:color="auto"/>
              <w:left w:val="single" w:sz="4" w:space="0" w:color="auto"/>
            </w:tcBorders>
            <w:shd w:val="clear" w:color="auto" w:fill="FFFFFF"/>
          </w:tcPr>
          <w:p w14:paraId="11112D2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Елешница от изворите до кота 1005 м</w:t>
            </w:r>
          </w:p>
        </w:tc>
        <w:tc>
          <w:tcPr>
            <w:tcW w:w="0" w:type="auto"/>
            <w:tcBorders>
              <w:top w:val="single" w:sz="4" w:space="0" w:color="auto"/>
              <w:left w:val="single" w:sz="4" w:space="0" w:color="auto"/>
            </w:tcBorders>
            <w:shd w:val="clear" w:color="auto" w:fill="FFFFFF"/>
          </w:tcPr>
          <w:p w14:paraId="5AFDEF9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ADD0CB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B3C856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948586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114</w:t>
            </w:r>
          </w:p>
        </w:tc>
        <w:tc>
          <w:tcPr>
            <w:tcW w:w="0" w:type="auto"/>
            <w:tcBorders>
              <w:top w:val="single" w:sz="4" w:space="0" w:color="auto"/>
              <w:left w:val="single" w:sz="4" w:space="0" w:color="auto"/>
            </w:tcBorders>
            <w:shd w:val="clear" w:color="auto" w:fill="FFFFFF"/>
            <w:vAlign w:val="center"/>
          </w:tcPr>
          <w:p w14:paraId="3775306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500R1245</w:t>
            </w:r>
          </w:p>
        </w:tc>
        <w:tc>
          <w:tcPr>
            <w:tcW w:w="0" w:type="auto"/>
            <w:tcBorders>
              <w:top w:val="single" w:sz="4" w:space="0" w:color="auto"/>
              <w:left w:val="single" w:sz="4" w:space="0" w:color="auto"/>
            </w:tcBorders>
            <w:shd w:val="clear" w:color="auto" w:fill="FFFFFF"/>
          </w:tcPr>
          <w:p w14:paraId="25CFB5D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Благоевградска Бистрица от </w:t>
            </w:r>
            <w:proofErr w:type="spellStart"/>
            <w:r w:rsidRPr="009F6D1E">
              <w:rPr>
                <w:rStyle w:val="Bodytext210pt"/>
                <w:rFonts w:eastAsia="ヒラギノ角ゴ Pro W3"/>
              </w:rPr>
              <w:t>изоворите</w:t>
            </w:r>
            <w:proofErr w:type="spellEnd"/>
            <w:r w:rsidRPr="009F6D1E">
              <w:rPr>
                <w:rStyle w:val="Bodytext210pt"/>
                <w:rFonts w:eastAsia="ヒラギノ角ゴ Pro W3"/>
              </w:rPr>
              <w:t xml:space="preserve"> до вливане на р. Диново дере</w:t>
            </w:r>
          </w:p>
        </w:tc>
        <w:tc>
          <w:tcPr>
            <w:tcW w:w="0" w:type="auto"/>
            <w:tcBorders>
              <w:top w:val="single" w:sz="4" w:space="0" w:color="auto"/>
              <w:left w:val="single" w:sz="4" w:space="0" w:color="auto"/>
            </w:tcBorders>
            <w:shd w:val="clear" w:color="auto" w:fill="FFFFFF"/>
          </w:tcPr>
          <w:p w14:paraId="2C7FD6B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F5C191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DFDD0B7"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6BD7147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115</w:t>
            </w:r>
          </w:p>
        </w:tc>
        <w:tc>
          <w:tcPr>
            <w:tcW w:w="0" w:type="auto"/>
            <w:tcBorders>
              <w:top w:val="single" w:sz="4" w:space="0" w:color="auto"/>
              <w:left w:val="single" w:sz="4" w:space="0" w:color="auto"/>
            </w:tcBorders>
            <w:shd w:val="clear" w:color="auto" w:fill="FFFFFF"/>
            <w:vAlign w:val="center"/>
          </w:tcPr>
          <w:p w14:paraId="3538F4B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500R1246</w:t>
            </w:r>
          </w:p>
        </w:tc>
        <w:tc>
          <w:tcPr>
            <w:tcW w:w="0" w:type="auto"/>
            <w:tcBorders>
              <w:top w:val="single" w:sz="4" w:space="0" w:color="auto"/>
              <w:left w:val="single" w:sz="4" w:space="0" w:color="auto"/>
            </w:tcBorders>
            <w:shd w:val="clear" w:color="auto" w:fill="FFFFFF"/>
          </w:tcPr>
          <w:p w14:paraId="65110870"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Ковачица от изворите до кота 800 м.</w:t>
            </w:r>
          </w:p>
        </w:tc>
        <w:tc>
          <w:tcPr>
            <w:tcW w:w="0" w:type="auto"/>
            <w:tcBorders>
              <w:top w:val="single" w:sz="4" w:space="0" w:color="auto"/>
              <w:left w:val="single" w:sz="4" w:space="0" w:color="auto"/>
            </w:tcBorders>
            <w:shd w:val="clear" w:color="auto" w:fill="FFFFFF"/>
          </w:tcPr>
          <w:p w14:paraId="597DA97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4DB594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2AE85D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7D3CCBF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116</w:t>
            </w:r>
          </w:p>
        </w:tc>
        <w:tc>
          <w:tcPr>
            <w:tcW w:w="0" w:type="auto"/>
            <w:tcBorders>
              <w:top w:val="single" w:sz="4" w:space="0" w:color="auto"/>
              <w:left w:val="single" w:sz="4" w:space="0" w:color="auto"/>
            </w:tcBorders>
            <w:shd w:val="clear" w:color="auto" w:fill="FFFFFF"/>
            <w:vAlign w:val="center"/>
          </w:tcPr>
          <w:p w14:paraId="206A2B4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500R1251</w:t>
            </w:r>
          </w:p>
        </w:tc>
        <w:tc>
          <w:tcPr>
            <w:tcW w:w="0" w:type="auto"/>
            <w:tcBorders>
              <w:top w:val="single" w:sz="4" w:space="0" w:color="auto"/>
              <w:left w:val="single" w:sz="4" w:space="0" w:color="auto"/>
            </w:tcBorders>
            <w:shd w:val="clear" w:color="auto" w:fill="FFFFFF"/>
          </w:tcPr>
          <w:p w14:paraId="240C485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Валевица</w:t>
            </w:r>
            <w:proofErr w:type="spellEnd"/>
            <w:r w:rsidRPr="009F6D1E">
              <w:rPr>
                <w:rStyle w:val="Bodytext210pt"/>
                <w:rFonts w:eastAsia="ヒラギノ角ゴ Pro W3"/>
              </w:rPr>
              <w:t xml:space="preserve"> от изворите до кота 1395 м.</w:t>
            </w:r>
          </w:p>
        </w:tc>
        <w:tc>
          <w:tcPr>
            <w:tcW w:w="0" w:type="auto"/>
            <w:tcBorders>
              <w:top w:val="single" w:sz="4" w:space="0" w:color="auto"/>
              <w:left w:val="single" w:sz="4" w:space="0" w:color="auto"/>
            </w:tcBorders>
            <w:shd w:val="clear" w:color="auto" w:fill="FFFFFF"/>
          </w:tcPr>
          <w:p w14:paraId="06403F3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9C62CB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77FD44C9"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2C5100F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117</w:t>
            </w:r>
          </w:p>
        </w:tc>
        <w:tc>
          <w:tcPr>
            <w:tcW w:w="0" w:type="auto"/>
            <w:tcBorders>
              <w:top w:val="single" w:sz="4" w:space="0" w:color="auto"/>
              <w:left w:val="single" w:sz="4" w:space="0" w:color="auto"/>
            </w:tcBorders>
            <w:shd w:val="clear" w:color="auto" w:fill="FFFFFF"/>
            <w:vAlign w:val="center"/>
          </w:tcPr>
          <w:p w14:paraId="3A9DD8D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500R1342</w:t>
            </w:r>
          </w:p>
        </w:tc>
        <w:tc>
          <w:tcPr>
            <w:tcW w:w="0" w:type="auto"/>
            <w:tcBorders>
              <w:top w:val="single" w:sz="4" w:space="0" w:color="auto"/>
              <w:left w:val="single" w:sz="4" w:space="0" w:color="auto"/>
            </w:tcBorders>
            <w:shd w:val="clear" w:color="auto" w:fill="FFFFFF"/>
          </w:tcPr>
          <w:p w14:paraId="5493BDC4"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Горанина</w:t>
            </w:r>
            <w:proofErr w:type="spellEnd"/>
            <w:r w:rsidRPr="009F6D1E">
              <w:rPr>
                <w:rStyle w:val="Bodytext210pt"/>
                <w:rFonts w:eastAsia="ヒラギノ角ゴ Pro W3"/>
              </w:rPr>
              <w:t xml:space="preserve"> река от изворите до кота 1470 м.</w:t>
            </w:r>
          </w:p>
        </w:tc>
        <w:tc>
          <w:tcPr>
            <w:tcW w:w="0" w:type="auto"/>
            <w:tcBorders>
              <w:top w:val="single" w:sz="4" w:space="0" w:color="auto"/>
              <w:left w:val="single" w:sz="4" w:space="0" w:color="auto"/>
            </w:tcBorders>
            <w:shd w:val="clear" w:color="auto" w:fill="FFFFFF"/>
          </w:tcPr>
          <w:p w14:paraId="42E3DB0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A555DD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C1062F4"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4A44CAC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118</w:t>
            </w:r>
          </w:p>
        </w:tc>
        <w:tc>
          <w:tcPr>
            <w:tcW w:w="0" w:type="auto"/>
            <w:tcBorders>
              <w:top w:val="single" w:sz="4" w:space="0" w:color="auto"/>
              <w:left w:val="single" w:sz="4" w:space="0" w:color="auto"/>
            </w:tcBorders>
            <w:shd w:val="clear" w:color="auto" w:fill="FFFFFF"/>
            <w:vAlign w:val="center"/>
          </w:tcPr>
          <w:p w14:paraId="4C23322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500R1346</w:t>
            </w:r>
          </w:p>
        </w:tc>
        <w:tc>
          <w:tcPr>
            <w:tcW w:w="0" w:type="auto"/>
            <w:tcBorders>
              <w:top w:val="single" w:sz="4" w:space="0" w:color="auto"/>
              <w:left w:val="single" w:sz="4" w:space="0" w:color="auto"/>
            </w:tcBorders>
            <w:shd w:val="clear" w:color="auto" w:fill="FFFFFF"/>
          </w:tcPr>
          <w:p w14:paraId="7D477BB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Хърсовска</w:t>
            </w:r>
            <w:proofErr w:type="spellEnd"/>
            <w:r w:rsidRPr="009F6D1E">
              <w:rPr>
                <w:rStyle w:val="Bodytext210pt"/>
                <w:rFonts w:eastAsia="ヒラギノ角ゴ Pro W3"/>
              </w:rPr>
              <w:t xml:space="preserve"> от изворите до вливане в р. Благоевградска Бистрица</w:t>
            </w:r>
          </w:p>
        </w:tc>
        <w:tc>
          <w:tcPr>
            <w:tcW w:w="0" w:type="auto"/>
            <w:tcBorders>
              <w:top w:val="single" w:sz="4" w:space="0" w:color="auto"/>
              <w:left w:val="single" w:sz="4" w:space="0" w:color="auto"/>
            </w:tcBorders>
            <w:shd w:val="clear" w:color="auto" w:fill="FFFFFF"/>
          </w:tcPr>
          <w:p w14:paraId="3A62509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8BA3F0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9323FAC"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2BB1171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119</w:t>
            </w:r>
          </w:p>
        </w:tc>
        <w:tc>
          <w:tcPr>
            <w:tcW w:w="0" w:type="auto"/>
            <w:tcBorders>
              <w:top w:val="single" w:sz="4" w:space="0" w:color="auto"/>
              <w:left w:val="single" w:sz="4" w:space="0" w:color="auto"/>
            </w:tcBorders>
            <w:shd w:val="clear" w:color="auto" w:fill="FFFFFF"/>
            <w:vAlign w:val="center"/>
          </w:tcPr>
          <w:p w14:paraId="43CE944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500R1351</w:t>
            </w:r>
          </w:p>
        </w:tc>
        <w:tc>
          <w:tcPr>
            <w:tcW w:w="0" w:type="auto"/>
            <w:tcBorders>
              <w:top w:val="single" w:sz="4" w:space="0" w:color="auto"/>
              <w:left w:val="single" w:sz="4" w:space="0" w:color="auto"/>
            </w:tcBorders>
            <w:shd w:val="clear" w:color="auto" w:fill="FFFFFF"/>
          </w:tcPr>
          <w:p w14:paraId="671B755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Бялата река от изворите до кота 1185 м.</w:t>
            </w:r>
          </w:p>
        </w:tc>
        <w:tc>
          <w:tcPr>
            <w:tcW w:w="0" w:type="auto"/>
            <w:tcBorders>
              <w:top w:val="single" w:sz="4" w:space="0" w:color="auto"/>
              <w:left w:val="single" w:sz="4" w:space="0" w:color="auto"/>
            </w:tcBorders>
            <w:shd w:val="clear" w:color="auto" w:fill="FFFFFF"/>
          </w:tcPr>
          <w:p w14:paraId="23711C4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55717A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948B0C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7C18E9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120</w:t>
            </w:r>
          </w:p>
        </w:tc>
        <w:tc>
          <w:tcPr>
            <w:tcW w:w="0" w:type="auto"/>
            <w:tcBorders>
              <w:top w:val="single" w:sz="4" w:space="0" w:color="auto"/>
              <w:left w:val="single" w:sz="4" w:space="0" w:color="auto"/>
            </w:tcBorders>
            <w:shd w:val="clear" w:color="auto" w:fill="FFFFFF"/>
            <w:vAlign w:val="center"/>
          </w:tcPr>
          <w:p w14:paraId="3787056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500R1451</w:t>
            </w:r>
          </w:p>
        </w:tc>
        <w:tc>
          <w:tcPr>
            <w:tcW w:w="0" w:type="auto"/>
            <w:tcBorders>
              <w:top w:val="single" w:sz="4" w:space="0" w:color="auto"/>
              <w:left w:val="single" w:sz="4" w:space="0" w:color="auto"/>
            </w:tcBorders>
            <w:shd w:val="clear" w:color="auto" w:fill="FFFFFF"/>
          </w:tcPr>
          <w:p w14:paraId="51E7FBA4"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Мирски дол от изворите до кота 815 м.</w:t>
            </w:r>
          </w:p>
        </w:tc>
        <w:tc>
          <w:tcPr>
            <w:tcW w:w="0" w:type="auto"/>
            <w:tcBorders>
              <w:top w:val="single" w:sz="4" w:space="0" w:color="auto"/>
              <w:left w:val="single" w:sz="4" w:space="0" w:color="auto"/>
            </w:tcBorders>
            <w:shd w:val="clear" w:color="auto" w:fill="FFFFFF"/>
          </w:tcPr>
          <w:p w14:paraId="4BADA2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F451BC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8731495"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74B3E284"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121</w:t>
            </w:r>
          </w:p>
        </w:tc>
        <w:tc>
          <w:tcPr>
            <w:tcW w:w="0" w:type="auto"/>
            <w:tcBorders>
              <w:top w:val="single" w:sz="4" w:space="0" w:color="auto"/>
              <w:left w:val="single" w:sz="4" w:space="0" w:color="auto"/>
            </w:tcBorders>
            <w:shd w:val="clear" w:color="auto" w:fill="FFFFFF"/>
            <w:vAlign w:val="center"/>
          </w:tcPr>
          <w:p w14:paraId="3405E2C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w:t>
            </w:r>
            <w:r w:rsidRPr="009F6D1E">
              <w:rPr>
                <w:rStyle w:val="Bodytext210pt"/>
                <w:rFonts w:eastAsia="ヒラギノ角ゴ Pro W3"/>
              </w:rPr>
              <w:t>542</w:t>
            </w:r>
          </w:p>
        </w:tc>
        <w:tc>
          <w:tcPr>
            <w:tcW w:w="0" w:type="auto"/>
            <w:tcBorders>
              <w:top w:val="single" w:sz="4" w:space="0" w:color="auto"/>
              <w:left w:val="single" w:sz="4" w:space="0" w:color="auto"/>
            </w:tcBorders>
            <w:shd w:val="clear" w:color="auto" w:fill="FFFFFF"/>
          </w:tcPr>
          <w:p w14:paraId="60D8E93E"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Каменица от изворите до кота 855 м.</w:t>
            </w:r>
          </w:p>
        </w:tc>
        <w:tc>
          <w:tcPr>
            <w:tcW w:w="0" w:type="auto"/>
            <w:tcBorders>
              <w:top w:val="single" w:sz="4" w:space="0" w:color="auto"/>
              <w:left w:val="single" w:sz="4" w:space="0" w:color="auto"/>
            </w:tcBorders>
            <w:shd w:val="clear" w:color="auto" w:fill="FFFFFF"/>
          </w:tcPr>
          <w:p w14:paraId="7C78D54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29AD1E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2DBBC03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1E98288"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122</w:t>
            </w:r>
          </w:p>
        </w:tc>
        <w:tc>
          <w:tcPr>
            <w:tcW w:w="0" w:type="auto"/>
            <w:tcBorders>
              <w:top w:val="single" w:sz="4" w:space="0" w:color="auto"/>
              <w:left w:val="single" w:sz="4" w:space="0" w:color="auto"/>
            </w:tcBorders>
            <w:shd w:val="clear" w:color="auto" w:fill="FFFFFF"/>
            <w:vAlign w:val="center"/>
          </w:tcPr>
          <w:p w14:paraId="76414C2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500R1551</w:t>
            </w:r>
          </w:p>
        </w:tc>
        <w:tc>
          <w:tcPr>
            <w:tcW w:w="0" w:type="auto"/>
            <w:tcBorders>
              <w:top w:val="single" w:sz="4" w:space="0" w:color="auto"/>
              <w:left w:val="single" w:sz="4" w:space="0" w:color="auto"/>
            </w:tcBorders>
            <w:shd w:val="clear" w:color="auto" w:fill="FFFFFF"/>
          </w:tcPr>
          <w:p w14:paraId="42148A6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Осеновска</w:t>
            </w:r>
            <w:proofErr w:type="spellEnd"/>
            <w:r w:rsidRPr="009F6D1E">
              <w:rPr>
                <w:rStyle w:val="Bodytext210pt"/>
                <w:rFonts w:eastAsia="ヒラギノ角ゴ Pro W3"/>
              </w:rPr>
              <w:t xml:space="preserve"> река от изворите до кота 1310 м.</w:t>
            </w:r>
          </w:p>
        </w:tc>
        <w:tc>
          <w:tcPr>
            <w:tcW w:w="0" w:type="auto"/>
            <w:tcBorders>
              <w:top w:val="single" w:sz="4" w:space="0" w:color="auto"/>
              <w:left w:val="single" w:sz="4" w:space="0" w:color="auto"/>
            </w:tcBorders>
            <w:shd w:val="clear" w:color="auto" w:fill="FFFFFF"/>
          </w:tcPr>
          <w:p w14:paraId="290F895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41466E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C09210C"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6CB0A0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123</w:t>
            </w:r>
          </w:p>
        </w:tc>
        <w:tc>
          <w:tcPr>
            <w:tcW w:w="0" w:type="auto"/>
            <w:tcBorders>
              <w:top w:val="single" w:sz="4" w:space="0" w:color="auto"/>
              <w:left w:val="single" w:sz="4" w:space="0" w:color="auto"/>
            </w:tcBorders>
            <w:shd w:val="clear" w:color="auto" w:fill="FFFFFF"/>
            <w:vAlign w:val="center"/>
          </w:tcPr>
          <w:p w14:paraId="064D746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500R1642</w:t>
            </w:r>
          </w:p>
        </w:tc>
        <w:tc>
          <w:tcPr>
            <w:tcW w:w="0" w:type="auto"/>
            <w:tcBorders>
              <w:top w:val="single" w:sz="4" w:space="0" w:color="auto"/>
              <w:left w:val="single" w:sz="4" w:space="0" w:color="auto"/>
            </w:tcBorders>
            <w:shd w:val="clear" w:color="auto" w:fill="FFFFFF"/>
          </w:tcPr>
          <w:p w14:paraId="647791E5"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Голяма Ломница с десния си приток Мала Ломница до кота 945 м</w:t>
            </w:r>
          </w:p>
        </w:tc>
        <w:tc>
          <w:tcPr>
            <w:tcW w:w="0" w:type="auto"/>
            <w:tcBorders>
              <w:top w:val="single" w:sz="4" w:space="0" w:color="auto"/>
              <w:left w:val="single" w:sz="4" w:space="0" w:color="auto"/>
            </w:tcBorders>
            <w:shd w:val="clear" w:color="auto" w:fill="FFFFFF"/>
          </w:tcPr>
          <w:p w14:paraId="5A24EF6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601543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980523F"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5457305"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124</w:t>
            </w:r>
          </w:p>
        </w:tc>
        <w:tc>
          <w:tcPr>
            <w:tcW w:w="0" w:type="auto"/>
            <w:tcBorders>
              <w:top w:val="single" w:sz="4" w:space="0" w:color="auto"/>
              <w:left w:val="single" w:sz="4" w:space="0" w:color="auto"/>
            </w:tcBorders>
            <w:shd w:val="clear" w:color="auto" w:fill="FFFFFF"/>
            <w:vAlign w:val="center"/>
          </w:tcPr>
          <w:p w14:paraId="645A605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600R033</w:t>
            </w:r>
          </w:p>
        </w:tc>
        <w:tc>
          <w:tcPr>
            <w:tcW w:w="0" w:type="auto"/>
            <w:tcBorders>
              <w:top w:val="single" w:sz="4" w:space="0" w:color="auto"/>
              <w:left w:val="single" w:sz="4" w:space="0" w:color="auto"/>
            </w:tcBorders>
            <w:shd w:val="clear" w:color="auto" w:fill="FFFFFF"/>
          </w:tcPr>
          <w:p w14:paraId="7A2F5F3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Горица от изворите до кота 814 м.</w:t>
            </w:r>
          </w:p>
        </w:tc>
        <w:tc>
          <w:tcPr>
            <w:tcW w:w="0" w:type="auto"/>
            <w:tcBorders>
              <w:top w:val="single" w:sz="4" w:space="0" w:color="auto"/>
              <w:left w:val="single" w:sz="4" w:space="0" w:color="auto"/>
            </w:tcBorders>
            <w:shd w:val="clear" w:color="auto" w:fill="FFFFFF"/>
          </w:tcPr>
          <w:p w14:paraId="0664D13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4BB1E2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0178804"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AE02ECD"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125</w:t>
            </w:r>
          </w:p>
        </w:tc>
        <w:tc>
          <w:tcPr>
            <w:tcW w:w="0" w:type="auto"/>
            <w:tcBorders>
              <w:top w:val="single" w:sz="4" w:space="0" w:color="auto"/>
              <w:left w:val="single" w:sz="4" w:space="0" w:color="auto"/>
            </w:tcBorders>
            <w:shd w:val="clear" w:color="auto" w:fill="FFFFFF"/>
            <w:vAlign w:val="center"/>
          </w:tcPr>
          <w:p w14:paraId="1570485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600R035</w:t>
            </w:r>
          </w:p>
        </w:tc>
        <w:tc>
          <w:tcPr>
            <w:tcW w:w="0" w:type="auto"/>
            <w:tcBorders>
              <w:top w:val="single" w:sz="4" w:space="0" w:color="auto"/>
              <w:left w:val="single" w:sz="4" w:space="0" w:color="auto"/>
            </w:tcBorders>
            <w:shd w:val="clear" w:color="auto" w:fill="FFFFFF"/>
          </w:tcPr>
          <w:p w14:paraId="0F92F6BD"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Джубрена</w:t>
            </w:r>
            <w:proofErr w:type="spellEnd"/>
            <w:r w:rsidRPr="009F6D1E">
              <w:rPr>
                <w:rStyle w:val="Bodytext210pt"/>
                <w:rFonts w:eastAsia="ヒラギノ角ゴ Pro W3"/>
              </w:rPr>
              <w:t xml:space="preserve"> от изворите до вливане в р. Тополница</w:t>
            </w:r>
          </w:p>
        </w:tc>
        <w:tc>
          <w:tcPr>
            <w:tcW w:w="0" w:type="auto"/>
            <w:tcBorders>
              <w:top w:val="single" w:sz="4" w:space="0" w:color="auto"/>
              <w:left w:val="single" w:sz="4" w:space="0" w:color="auto"/>
            </w:tcBorders>
            <w:shd w:val="clear" w:color="auto" w:fill="FFFFFF"/>
          </w:tcPr>
          <w:p w14:paraId="141063B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53CD252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415E88E" w14:textId="77777777" w:rsidTr="008A7E6F">
        <w:trPr>
          <w:trHeight w:hRule="exact" w:val="245"/>
          <w:jc w:val="center"/>
        </w:trPr>
        <w:tc>
          <w:tcPr>
            <w:tcW w:w="0" w:type="auto"/>
            <w:tcBorders>
              <w:top w:val="single" w:sz="4" w:space="0" w:color="auto"/>
              <w:left w:val="single" w:sz="4" w:space="0" w:color="auto"/>
            </w:tcBorders>
            <w:shd w:val="clear" w:color="auto" w:fill="FFFFFF"/>
            <w:vAlign w:val="center"/>
          </w:tcPr>
          <w:p w14:paraId="21C9A712"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126</w:t>
            </w:r>
          </w:p>
        </w:tc>
        <w:tc>
          <w:tcPr>
            <w:tcW w:w="0" w:type="auto"/>
            <w:tcBorders>
              <w:top w:val="single" w:sz="4" w:space="0" w:color="auto"/>
              <w:left w:val="single" w:sz="4" w:space="0" w:color="auto"/>
            </w:tcBorders>
            <w:shd w:val="clear" w:color="auto" w:fill="FFFFFF"/>
            <w:vAlign w:val="center"/>
          </w:tcPr>
          <w:p w14:paraId="501B180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600R037</w:t>
            </w:r>
          </w:p>
        </w:tc>
        <w:tc>
          <w:tcPr>
            <w:tcW w:w="0" w:type="auto"/>
            <w:tcBorders>
              <w:top w:val="single" w:sz="4" w:space="0" w:color="auto"/>
              <w:left w:val="single" w:sz="4" w:space="0" w:color="auto"/>
            </w:tcBorders>
            <w:shd w:val="clear" w:color="auto" w:fill="FFFFFF"/>
          </w:tcPr>
          <w:p w14:paraId="3A76D99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Отовица</w:t>
            </w:r>
            <w:proofErr w:type="spellEnd"/>
            <w:r w:rsidRPr="009F6D1E">
              <w:rPr>
                <w:rStyle w:val="Bodytext210pt"/>
                <w:rFonts w:eastAsia="ヒラギノ角ゴ Pro W3"/>
              </w:rPr>
              <w:t xml:space="preserve"> от изворите до вливане в р. Джерман</w:t>
            </w:r>
          </w:p>
        </w:tc>
        <w:tc>
          <w:tcPr>
            <w:tcW w:w="0" w:type="auto"/>
            <w:tcBorders>
              <w:top w:val="single" w:sz="4" w:space="0" w:color="auto"/>
              <w:left w:val="single" w:sz="4" w:space="0" w:color="auto"/>
            </w:tcBorders>
            <w:shd w:val="clear" w:color="auto" w:fill="FFFFFF"/>
          </w:tcPr>
          <w:p w14:paraId="7C86E73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E606BD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264FE73"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7875412"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127</w:t>
            </w:r>
          </w:p>
        </w:tc>
        <w:tc>
          <w:tcPr>
            <w:tcW w:w="0" w:type="auto"/>
            <w:tcBorders>
              <w:top w:val="single" w:sz="4" w:space="0" w:color="auto"/>
              <w:left w:val="single" w:sz="4" w:space="0" w:color="auto"/>
            </w:tcBorders>
            <w:shd w:val="clear" w:color="auto" w:fill="FFFFFF"/>
            <w:vAlign w:val="center"/>
          </w:tcPr>
          <w:p w14:paraId="2DB1112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600R038</w:t>
            </w:r>
          </w:p>
        </w:tc>
        <w:tc>
          <w:tcPr>
            <w:tcW w:w="0" w:type="auto"/>
            <w:tcBorders>
              <w:top w:val="single" w:sz="4" w:space="0" w:color="auto"/>
              <w:left w:val="single" w:sz="4" w:space="0" w:color="auto"/>
            </w:tcBorders>
            <w:shd w:val="clear" w:color="auto" w:fill="FFFFFF"/>
          </w:tcPr>
          <w:p w14:paraId="7CEAE99D"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Дупнишка Бистрица от изворите до кота 740 м.</w:t>
            </w:r>
          </w:p>
        </w:tc>
        <w:tc>
          <w:tcPr>
            <w:tcW w:w="0" w:type="auto"/>
            <w:tcBorders>
              <w:top w:val="single" w:sz="4" w:space="0" w:color="auto"/>
              <w:left w:val="single" w:sz="4" w:space="0" w:color="auto"/>
            </w:tcBorders>
            <w:shd w:val="clear" w:color="auto" w:fill="FFFFFF"/>
          </w:tcPr>
          <w:p w14:paraId="5B1128F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C5C779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07DFC5A"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78261C3"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128</w:t>
            </w:r>
          </w:p>
        </w:tc>
        <w:tc>
          <w:tcPr>
            <w:tcW w:w="0" w:type="auto"/>
            <w:tcBorders>
              <w:top w:val="single" w:sz="4" w:space="0" w:color="auto"/>
              <w:left w:val="single" w:sz="4" w:space="0" w:color="auto"/>
            </w:tcBorders>
            <w:shd w:val="clear" w:color="auto" w:fill="FFFFFF"/>
            <w:vAlign w:val="center"/>
          </w:tcPr>
          <w:p w14:paraId="1FED437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600R039</w:t>
            </w:r>
          </w:p>
        </w:tc>
        <w:tc>
          <w:tcPr>
            <w:tcW w:w="0" w:type="auto"/>
            <w:tcBorders>
              <w:top w:val="single" w:sz="4" w:space="0" w:color="auto"/>
              <w:left w:val="single" w:sz="4" w:space="0" w:color="auto"/>
            </w:tcBorders>
            <w:shd w:val="clear" w:color="auto" w:fill="FFFFFF"/>
          </w:tcPr>
          <w:p w14:paraId="6C420CF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Разметаница</w:t>
            </w:r>
            <w:proofErr w:type="spellEnd"/>
            <w:r w:rsidRPr="009F6D1E">
              <w:rPr>
                <w:rStyle w:val="Bodytext210pt"/>
                <w:rFonts w:eastAsia="ヒラギノ角ゴ Pro W3"/>
              </w:rPr>
              <w:t xml:space="preserve"> от изворите до вливане в р. Джерман</w:t>
            </w:r>
          </w:p>
        </w:tc>
        <w:tc>
          <w:tcPr>
            <w:tcW w:w="0" w:type="auto"/>
            <w:tcBorders>
              <w:top w:val="single" w:sz="4" w:space="0" w:color="auto"/>
              <w:left w:val="single" w:sz="4" w:space="0" w:color="auto"/>
            </w:tcBorders>
            <w:shd w:val="clear" w:color="auto" w:fill="FFFFFF"/>
          </w:tcPr>
          <w:p w14:paraId="3CF8265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6E2A91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958D10D"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4C46BB1F"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129</w:t>
            </w:r>
          </w:p>
        </w:tc>
        <w:tc>
          <w:tcPr>
            <w:tcW w:w="0" w:type="auto"/>
            <w:tcBorders>
              <w:top w:val="single" w:sz="4" w:space="0" w:color="auto"/>
              <w:left w:val="single" w:sz="4" w:space="0" w:color="auto"/>
            </w:tcBorders>
            <w:shd w:val="clear" w:color="auto" w:fill="FFFFFF"/>
            <w:vAlign w:val="center"/>
          </w:tcPr>
          <w:p w14:paraId="5085777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BG4ST600R1031</w:t>
            </w:r>
          </w:p>
        </w:tc>
        <w:tc>
          <w:tcPr>
            <w:tcW w:w="0" w:type="auto"/>
            <w:tcBorders>
              <w:top w:val="single" w:sz="4" w:space="0" w:color="auto"/>
              <w:left w:val="single" w:sz="4" w:space="0" w:color="auto"/>
            </w:tcBorders>
            <w:shd w:val="clear" w:color="auto" w:fill="FFFFFF"/>
          </w:tcPr>
          <w:p w14:paraId="2B44FCF4"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Джерман с левия си приток р. Скакавица до кота 1052 м.</w:t>
            </w:r>
          </w:p>
        </w:tc>
        <w:tc>
          <w:tcPr>
            <w:tcW w:w="0" w:type="auto"/>
            <w:tcBorders>
              <w:top w:val="single" w:sz="4" w:space="0" w:color="auto"/>
              <w:left w:val="single" w:sz="4" w:space="0" w:color="auto"/>
            </w:tcBorders>
            <w:shd w:val="clear" w:color="auto" w:fill="FFFFFF"/>
          </w:tcPr>
          <w:p w14:paraId="10A8E5A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A7DDB7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2ABE11C" w14:textId="77777777" w:rsidTr="008A7E6F">
        <w:trPr>
          <w:trHeight w:hRule="exact" w:val="599"/>
          <w:jc w:val="center"/>
        </w:trPr>
        <w:tc>
          <w:tcPr>
            <w:tcW w:w="0" w:type="auto"/>
            <w:tcBorders>
              <w:top w:val="single" w:sz="4" w:space="0" w:color="auto"/>
              <w:left w:val="single" w:sz="4" w:space="0" w:color="auto"/>
            </w:tcBorders>
            <w:shd w:val="clear" w:color="auto" w:fill="FFFFFF"/>
            <w:vAlign w:val="center"/>
          </w:tcPr>
          <w:p w14:paraId="2F58A662"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130</w:t>
            </w:r>
          </w:p>
        </w:tc>
        <w:tc>
          <w:tcPr>
            <w:tcW w:w="0" w:type="auto"/>
            <w:tcBorders>
              <w:top w:val="single" w:sz="4" w:space="0" w:color="auto"/>
              <w:left w:val="single" w:sz="4" w:space="0" w:color="auto"/>
            </w:tcBorders>
            <w:shd w:val="clear" w:color="auto" w:fill="FFFFFF"/>
            <w:vAlign w:val="center"/>
          </w:tcPr>
          <w:p w14:paraId="76F3BC1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600R1032</w:t>
            </w:r>
          </w:p>
        </w:tc>
        <w:tc>
          <w:tcPr>
            <w:tcW w:w="0" w:type="auto"/>
            <w:tcBorders>
              <w:top w:val="single" w:sz="4" w:space="0" w:color="auto"/>
              <w:left w:val="single" w:sz="4" w:space="0" w:color="auto"/>
            </w:tcBorders>
            <w:shd w:val="clear" w:color="auto" w:fill="FFFFFF"/>
            <w:vAlign w:val="bottom"/>
          </w:tcPr>
          <w:p w14:paraId="7F83AAEC"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Джерман от кота 1052 м. с притока си р. Валявица и части от левите си притоци р. </w:t>
            </w:r>
            <w:proofErr w:type="spellStart"/>
            <w:r w:rsidRPr="009F6D1E">
              <w:rPr>
                <w:rStyle w:val="Bodytext210pt"/>
                <w:rFonts w:eastAsia="ヒラギノ角ゴ Pro W3"/>
              </w:rPr>
              <w:t>Фудина</w:t>
            </w:r>
            <w:proofErr w:type="spellEnd"/>
            <w:r w:rsidRPr="009F6D1E">
              <w:rPr>
                <w:rStyle w:val="Bodytext210pt"/>
                <w:rFonts w:eastAsia="ヒラギノ角ゴ Pro W3"/>
              </w:rPr>
              <w:t xml:space="preserve"> (от кота 900 м.) и р. Горица (от кота 814 м.) до град Дупница</w:t>
            </w:r>
          </w:p>
        </w:tc>
        <w:tc>
          <w:tcPr>
            <w:tcW w:w="0" w:type="auto"/>
            <w:tcBorders>
              <w:top w:val="single" w:sz="4" w:space="0" w:color="auto"/>
              <w:left w:val="single" w:sz="4" w:space="0" w:color="auto"/>
            </w:tcBorders>
            <w:shd w:val="clear" w:color="auto" w:fill="FFFFFF"/>
            <w:vAlign w:val="center"/>
          </w:tcPr>
          <w:p w14:paraId="79412794" w14:textId="77777777" w:rsidR="005B1C6B" w:rsidRPr="009F6D1E" w:rsidRDefault="007E18C8" w:rsidP="0084747F">
            <w:pPr>
              <w:spacing w:after="60" w:line="264" w:lineRule="auto"/>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vAlign w:val="center"/>
          </w:tcPr>
          <w:p w14:paraId="53983EB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88D36B0"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66E799B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lastRenderedPageBreak/>
              <w:t>131</w:t>
            </w:r>
          </w:p>
        </w:tc>
        <w:tc>
          <w:tcPr>
            <w:tcW w:w="0" w:type="auto"/>
            <w:tcBorders>
              <w:top w:val="single" w:sz="4" w:space="0" w:color="auto"/>
              <w:left w:val="single" w:sz="4" w:space="0" w:color="auto"/>
            </w:tcBorders>
            <w:shd w:val="clear" w:color="auto" w:fill="FFFFFF"/>
            <w:vAlign w:val="center"/>
          </w:tcPr>
          <w:p w14:paraId="5E017B5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600R1034</w:t>
            </w:r>
          </w:p>
        </w:tc>
        <w:tc>
          <w:tcPr>
            <w:tcW w:w="0" w:type="auto"/>
            <w:tcBorders>
              <w:top w:val="single" w:sz="4" w:space="0" w:color="auto"/>
              <w:left w:val="single" w:sz="4" w:space="0" w:color="auto"/>
            </w:tcBorders>
            <w:shd w:val="clear" w:color="auto" w:fill="FFFFFF"/>
          </w:tcPr>
          <w:p w14:paraId="79E69638"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Тополница от кота 680 м. до вливане в р. Джерман</w:t>
            </w:r>
          </w:p>
        </w:tc>
        <w:tc>
          <w:tcPr>
            <w:tcW w:w="0" w:type="auto"/>
            <w:tcBorders>
              <w:top w:val="single" w:sz="4" w:space="0" w:color="auto"/>
              <w:left w:val="single" w:sz="4" w:space="0" w:color="auto"/>
            </w:tcBorders>
            <w:shd w:val="clear" w:color="auto" w:fill="FFFFFF"/>
          </w:tcPr>
          <w:p w14:paraId="1E1DD0B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78DCC56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7F8C7A8"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C77E1F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132</w:t>
            </w:r>
          </w:p>
        </w:tc>
        <w:tc>
          <w:tcPr>
            <w:tcW w:w="0" w:type="auto"/>
            <w:tcBorders>
              <w:top w:val="single" w:sz="4" w:space="0" w:color="auto"/>
              <w:left w:val="single" w:sz="4" w:space="0" w:color="auto"/>
            </w:tcBorders>
            <w:shd w:val="clear" w:color="auto" w:fill="FFFFFF"/>
            <w:vAlign w:val="center"/>
          </w:tcPr>
          <w:p w14:paraId="4E24AD6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600R1036</w:t>
            </w:r>
          </w:p>
        </w:tc>
        <w:tc>
          <w:tcPr>
            <w:tcW w:w="0" w:type="auto"/>
            <w:tcBorders>
              <w:top w:val="single" w:sz="4" w:space="0" w:color="auto"/>
              <w:left w:val="single" w:sz="4" w:space="0" w:color="auto"/>
            </w:tcBorders>
            <w:shd w:val="clear" w:color="auto" w:fill="FFFFFF"/>
          </w:tcPr>
          <w:p w14:paraId="701C246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Джерман от вливането на р. </w:t>
            </w:r>
            <w:proofErr w:type="spellStart"/>
            <w:r w:rsidRPr="009F6D1E">
              <w:rPr>
                <w:rStyle w:val="Bodytext210pt"/>
                <w:rFonts w:eastAsia="ヒラギノ角ゴ Pro W3"/>
              </w:rPr>
              <w:t>Отовица</w:t>
            </w:r>
            <w:proofErr w:type="spellEnd"/>
            <w:r w:rsidRPr="009F6D1E">
              <w:rPr>
                <w:rStyle w:val="Bodytext210pt"/>
                <w:rFonts w:eastAsia="ヒラギノ角ゴ Pro W3"/>
              </w:rPr>
              <w:t xml:space="preserve"> до вливане в р. Струма</w:t>
            </w:r>
          </w:p>
        </w:tc>
        <w:tc>
          <w:tcPr>
            <w:tcW w:w="0" w:type="auto"/>
            <w:tcBorders>
              <w:top w:val="single" w:sz="4" w:space="0" w:color="auto"/>
              <w:left w:val="single" w:sz="4" w:space="0" w:color="auto"/>
            </w:tcBorders>
            <w:shd w:val="clear" w:color="auto" w:fill="FFFFFF"/>
          </w:tcPr>
          <w:p w14:paraId="02AD45C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tcPr>
          <w:p w14:paraId="4C5BC74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96D8E1E"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E10793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133</w:t>
            </w:r>
          </w:p>
        </w:tc>
        <w:tc>
          <w:tcPr>
            <w:tcW w:w="0" w:type="auto"/>
            <w:tcBorders>
              <w:top w:val="single" w:sz="4" w:space="0" w:color="auto"/>
              <w:left w:val="single" w:sz="4" w:space="0" w:color="auto"/>
            </w:tcBorders>
            <w:shd w:val="clear" w:color="auto" w:fill="FFFFFF"/>
            <w:vAlign w:val="center"/>
          </w:tcPr>
          <w:p w14:paraId="7906C5C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600R1132</w:t>
            </w:r>
          </w:p>
        </w:tc>
        <w:tc>
          <w:tcPr>
            <w:tcW w:w="0" w:type="auto"/>
            <w:tcBorders>
              <w:top w:val="single" w:sz="4" w:space="0" w:color="auto"/>
              <w:left w:val="single" w:sz="4" w:space="0" w:color="auto"/>
            </w:tcBorders>
            <w:shd w:val="clear" w:color="auto" w:fill="FFFFFF"/>
          </w:tcPr>
          <w:p w14:paraId="13DEA091" w14:textId="77777777" w:rsidR="005B1C6B" w:rsidRPr="009F6D1E" w:rsidRDefault="005B1C6B" w:rsidP="0084747F">
            <w:pPr>
              <w:spacing w:after="60" w:line="264" w:lineRule="auto"/>
              <w:jc w:val="both"/>
              <w:rPr>
                <w:rFonts w:cs="Times New Roman"/>
                <w:sz w:val="20"/>
                <w:szCs w:val="20"/>
              </w:rPr>
            </w:pPr>
            <w:proofErr w:type="spellStart"/>
            <w:r w:rsidRPr="009F6D1E">
              <w:rPr>
                <w:rStyle w:val="Bodytext210pt"/>
                <w:rFonts w:eastAsia="ヒラギノ角ゴ Pro W3"/>
              </w:rPr>
              <w:t>р.Фудина</w:t>
            </w:r>
            <w:proofErr w:type="spellEnd"/>
            <w:r w:rsidRPr="009F6D1E">
              <w:rPr>
                <w:rStyle w:val="Bodytext210pt"/>
                <w:rFonts w:eastAsia="ヒラギノ角ゴ Pro W3"/>
              </w:rPr>
              <w:t xml:space="preserve"> от изворите до кота 900 м.</w:t>
            </w:r>
          </w:p>
        </w:tc>
        <w:tc>
          <w:tcPr>
            <w:tcW w:w="0" w:type="auto"/>
            <w:tcBorders>
              <w:top w:val="single" w:sz="4" w:space="0" w:color="auto"/>
              <w:left w:val="single" w:sz="4" w:space="0" w:color="auto"/>
            </w:tcBorders>
            <w:shd w:val="clear" w:color="auto" w:fill="FFFFFF"/>
          </w:tcPr>
          <w:p w14:paraId="5EC2878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67D74B3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F83E886"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AF1E88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134</w:t>
            </w:r>
          </w:p>
        </w:tc>
        <w:tc>
          <w:tcPr>
            <w:tcW w:w="0" w:type="auto"/>
            <w:tcBorders>
              <w:top w:val="single" w:sz="4" w:space="0" w:color="auto"/>
              <w:left w:val="single" w:sz="4" w:space="0" w:color="auto"/>
            </w:tcBorders>
            <w:shd w:val="clear" w:color="auto" w:fill="FFFFFF"/>
            <w:vAlign w:val="center"/>
          </w:tcPr>
          <w:p w14:paraId="7D72051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600R1134</w:t>
            </w:r>
          </w:p>
        </w:tc>
        <w:tc>
          <w:tcPr>
            <w:tcW w:w="0" w:type="auto"/>
            <w:tcBorders>
              <w:top w:val="single" w:sz="4" w:space="0" w:color="auto"/>
              <w:left w:val="single" w:sz="4" w:space="0" w:color="auto"/>
            </w:tcBorders>
            <w:shd w:val="clear" w:color="auto" w:fill="FFFFFF"/>
          </w:tcPr>
          <w:p w14:paraId="1A39335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Тополница от изворите до кота 680 м</w:t>
            </w:r>
          </w:p>
        </w:tc>
        <w:tc>
          <w:tcPr>
            <w:tcW w:w="0" w:type="auto"/>
            <w:tcBorders>
              <w:top w:val="single" w:sz="4" w:space="0" w:color="auto"/>
              <w:left w:val="single" w:sz="4" w:space="0" w:color="auto"/>
            </w:tcBorders>
            <w:shd w:val="clear" w:color="auto" w:fill="FFFFFF"/>
          </w:tcPr>
          <w:p w14:paraId="1F738C9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EE62E1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C8F19CD"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127C3C4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135</w:t>
            </w:r>
          </w:p>
        </w:tc>
        <w:tc>
          <w:tcPr>
            <w:tcW w:w="0" w:type="auto"/>
            <w:tcBorders>
              <w:top w:val="single" w:sz="4" w:space="0" w:color="auto"/>
              <w:left w:val="single" w:sz="4" w:space="0" w:color="auto"/>
            </w:tcBorders>
            <w:shd w:val="clear" w:color="auto" w:fill="FFFFFF"/>
            <w:vAlign w:val="center"/>
          </w:tcPr>
          <w:p w14:paraId="4321B40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 600R1136</w:t>
            </w:r>
          </w:p>
        </w:tc>
        <w:tc>
          <w:tcPr>
            <w:tcW w:w="0" w:type="auto"/>
            <w:tcBorders>
              <w:top w:val="single" w:sz="4" w:space="0" w:color="auto"/>
              <w:left w:val="single" w:sz="4" w:space="0" w:color="auto"/>
            </w:tcBorders>
            <w:shd w:val="clear" w:color="auto" w:fill="FFFFFF"/>
          </w:tcPr>
          <w:p w14:paraId="7F0465E1"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Бела вода от изворите до кота 920 м.</w:t>
            </w:r>
          </w:p>
        </w:tc>
        <w:tc>
          <w:tcPr>
            <w:tcW w:w="0" w:type="auto"/>
            <w:tcBorders>
              <w:top w:val="single" w:sz="4" w:space="0" w:color="auto"/>
              <w:left w:val="single" w:sz="4" w:space="0" w:color="auto"/>
            </w:tcBorders>
            <w:shd w:val="clear" w:color="auto" w:fill="FFFFFF"/>
          </w:tcPr>
          <w:p w14:paraId="66C553C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B2D1BC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040A5E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8DDA105"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136</w:t>
            </w:r>
          </w:p>
        </w:tc>
        <w:tc>
          <w:tcPr>
            <w:tcW w:w="0" w:type="auto"/>
            <w:tcBorders>
              <w:top w:val="single" w:sz="4" w:space="0" w:color="auto"/>
              <w:left w:val="single" w:sz="4" w:space="0" w:color="auto"/>
            </w:tcBorders>
            <w:shd w:val="clear" w:color="auto" w:fill="FFFFFF"/>
            <w:vAlign w:val="center"/>
          </w:tcPr>
          <w:p w14:paraId="5977049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BG4ST700R017</w:t>
            </w:r>
          </w:p>
        </w:tc>
        <w:tc>
          <w:tcPr>
            <w:tcW w:w="0" w:type="auto"/>
            <w:tcBorders>
              <w:top w:val="single" w:sz="4" w:space="0" w:color="auto"/>
              <w:left w:val="single" w:sz="4" w:space="0" w:color="auto"/>
            </w:tcBorders>
            <w:shd w:val="clear" w:color="auto" w:fill="FFFFFF"/>
          </w:tcPr>
          <w:p w14:paraId="45F83BDF"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Струма от вливане на р. Т </w:t>
            </w:r>
            <w:proofErr w:type="spellStart"/>
            <w:r w:rsidRPr="009F6D1E">
              <w:rPr>
                <w:rStyle w:val="Bodytext210pt"/>
                <w:rFonts w:eastAsia="ヒラギノ角ゴ Pro W3"/>
              </w:rPr>
              <w:t>реклянска</w:t>
            </w:r>
            <w:proofErr w:type="spellEnd"/>
            <w:r w:rsidRPr="009F6D1E">
              <w:rPr>
                <w:rStyle w:val="Bodytext210pt"/>
                <w:rFonts w:eastAsia="ヒラギノ角ゴ Pro W3"/>
              </w:rPr>
              <w:t xml:space="preserve"> до вливане на р. </w:t>
            </w:r>
            <w:proofErr w:type="spellStart"/>
            <w:r w:rsidRPr="009F6D1E">
              <w:rPr>
                <w:rStyle w:val="Bodytext210pt"/>
                <w:rFonts w:eastAsia="ヒラギノ角ゴ Pro W3"/>
              </w:rPr>
              <w:t>Соволянска</w:t>
            </w:r>
            <w:proofErr w:type="spellEnd"/>
            <w:r w:rsidRPr="009F6D1E">
              <w:rPr>
                <w:rStyle w:val="Bodytext210pt"/>
                <w:rFonts w:eastAsia="ヒラギノ角ゴ Pro W3"/>
              </w:rPr>
              <w:t xml:space="preserve"> Бистрица</w:t>
            </w:r>
          </w:p>
        </w:tc>
        <w:tc>
          <w:tcPr>
            <w:tcW w:w="0" w:type="auto"/>
            <w:tcBorders>
              <w:top w:val="single" w:sz="4" w:space="0" w:color="auto"/>
              <w:left w:val="single" w:sz="4" w:space="0" w:color="auto"/>
            </w:tcBorders>
            <w:shd w:val="clear" w:color="auto" w:fill="FFFFFF"/>
          </w:tcPr>
          <w:p w14:paraId="5F1DAF2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tcPr>
          <w:p w14:paraId="10D46C0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BACC43C"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0B2A521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137</w:t>
            </w:r>
          </w:p>
        </w:tc>
        <w:tc>
          <w:tcPr>
            <w:tcW w:w="0" w:type="auto"/>
            <w:tcBorders>
              <w:top w:val="single" w:sz="4" w:space="0" w:color="auto"/>
              <w:left w:val="single" w:sz="4" w:space="0" w:color="auto"/>
            </w:tcBorders>
            <w:shd w:val="clear" w:color="auto" w:fill="FFFFFF"/>
            <w:vAlign w:val="center"/>
          </w:tcPr>
          <w:p w14:paraId="719BD96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BG4ST700R018</w:t>
            </w:r>
          </w:p>
        </w:tc>
        <w:tc>
          <w:tcPr>
            <w:tcW w:w="0" w:type="auto"/>
            <w:tcBorders>
              <w:top w:val="single" w:sz="4" w:space="0" w:color="auto"/>
              <w:left w:val="single" w:sz="4" w:space="0" w:color="auto"/>
            </w:tcBorders>
            <w:shd w:val="clear" w:color="auto" w:fill="FFFFFF"/>
          </w:tcPr>
          <w:p w14:paraId="02F116B9"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Ломничка</w:t>
            </w:r>
            <w:proofErr w:type="spellEnd"/>
            <w:r w:rsidRPr="009F6D1E">
              <w:rPr>
                <w:rStyle w:val="Bodytext210pt"/>
                <w:rFonts w:eastAsia="ヒラギノ角ゴ Pro W3"/>
              </w:rPr>
              <w:t xml:space="preserve"> от изворите до вливане в р. Драговищица</w:t>
            </w:r>
          </w:p>
        </w:tc>
        <w:tc>
          <w:tcPr>
            <w:tcW w:w="0" w:type="auto"/>
            <w:tcBorders>
              <w:top w:val="single" w:sz="4" w:space="0" w:color="auto"/>
              <w:left w:val="single" w:sz="4" w:space="0" w:color="auto"/>
            </w:tcBorders>
            <w:shd w:val="clear" w:color="auto" w:fill="FFFFFF"/>
          </w:tcPr>
          <w:p w14:paraId="76016EE0"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3007860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812F8B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DF0EC8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138</w:t>
            </w:r>
          </w:p>
        </w:tc>
        <w:tc>
          <w:tcPr>
            <w:tcW w:w="0" w:type="auto"/>
            <w:tcBorders>
              <w:top w:val="single" w:sz="4" w:space="0" w:color="auto"/>
              <w:left w:val="single" w:sz="4" w:space="0" w:color="auto"/>
            </w:tcBorders>
            <w:shd w:val="clear" w:color="auto" w:fill="FFFFFF"/>
            <w:vAlign w:val="center"/>
          </w:tcPr>
          <w:p w14:paraId="3EAF538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BG4ST700R019</w:t>
            </w:r>
          </w:p>
        </w:tc>
        <w:tc>
          <w:tcPr>
            <w:tcW w:w="0" w:type="auto"/>
            <w:tcBorders>
              <w:top w:val="single" w:sz="4" w:space="0" w:color="auto"/>
              <w:left w:val="single" w:sz="4" w:space="0" w:color="auto"/>
            </w:tcBorders>
            <w:shd w:val="clear" w:color="auto" w:fill="FFFFFF"/>
          </w:tcPr>
          <w:p w14:paraId="67255E3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Драговищица от българо-сръбската граница до вливане в р. Струма</w:t>
            </w:r>
          </w:p>
        </w:tc>
        <w:tc>
          <w:tcPr>
            <w:tcW w:w="0" w:type="auto"/>
            <w:tcBorders>
              <w:top w:val="single" w:sz="4" w:space="0" w:color="auto"/>
              <w:left w:val="single" w:sz="4" w:space="0" w:color="auto"/>
            </w:tcBorders>
            <w:shd w:val="clear" w:color="auto" w:fill="FFFFFF"/>
          </w:tcPr>
          <w:p w14:paraId="1F9CC9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5CF041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49EB81E"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5ADD1B1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139</w:t>
            </w:r>
          </w:p>
        </w:tc>
        <w:tc>
          <w:tcPr>
            <w:tcW w:w="0" w:type="auto"/>
            <w:tcBorders>
              <w:top w:val="single" w:sz="4" w:space="0" w:color="auto"/>
              <w:left w:val="single" w:sz="4" w:space="0" w:color="auto"/>
            </w:tcBorders>
            <w:shd w:val="clear" w:color="auto" w:fill="FFFFFF"/>
            <w:vAlign w:val="center"/>
          </w:tcPr>
          <w:p w14:paraId="6F641BB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BG4ST700R021</w:t>
            </w:r>
          </w:p>
        </w:tc>
        <w:tc>
          <w:tcPr>
            <w:tcW w:w="0" w:type="auto"/>
            <w:tcBorders>
              <w:top w:val="single" w:sz="4" w:space="0" w:color="auto"/>
              <w:left w:val="single" w:sz="4" w:space="0" w:color="auto"/>
            </w:tcBorders>
            <w:shd w:val="clear" w:color="auto" w:fill="FFFFFF"/>
          </w:tcPr>
          <w:p w14:paraId="6E8717D6"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 xml:space="preserve">р. Струма от вливане на р. </w:t>
            </w:r>
            <w:proofErr w:type="spellStart"/>
            <w:r w:rsidRPr="009F6D1E">
              <w:rPr>
                <w:rStyle w:val="Bodytext210pt"/>
                <w:rFonts w:eastAsia="ヒラギノ角ゴ Pro W3"/>
              </w:rPr>
              <w:t>Соволянска</w:t>
            </w:r>
            <w:proofErr w:type="spellEnd"/>
            <w:r w:rsidRPr="009F6D1E">
              <w:rPr>
                <w:rStyle w:val="Bodytext210pt"/>
                <w:rFonts w:eastAsia="ヒラギノ角ゴ Pro W3"/>
              </w:rPr>
              <w:t xml:space="preserve"> Бистрица до вливане на р. Елешница</w:t>
            </w:r>
          </w:p>
        </w:tc>
        <w:tc>
          <w:tcPr>
            <w:tcW w:w="0" w:type="auto"/>
            <w:tcBorders>
              <w:top w:val="single" w:sz="4" w:space="0" w:color="auto"/>
              <w:left w:val="single" w:sz="4" w:space="0" w:color="auto"/>
            </w:tcBorders>
            <w:shd w:val="clear" w:color="auto" w:fill="FFFFFF"/>
          </w:tcPr>
          <w:p w14:paraId="4FAA51F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5417803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AB9BE12"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780A0D38"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140</w:t>
            </w:r>
          </w:p>
        </w:tc>
        <w:tc>
          <w:tcPr>
            <w:tcW w:w="0" w:type="auto"/>
            <w:tcBorders>
              <w:top w:val="single" w:sz="4" w:space="0" w:color="auto"/>
              <w:left w:val="single" w:sz="4" w:space="0" w:color="auto"/>
            </w:tcBorders>
            <w:shd w:val="clear" w:color="auto" w:fill="FFFFFF"/>
            <w:vAlign w:val="center"/>
          </w:tcPr>
          <w:p w14:paraId="34AA11A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BG4ST700R024</w:t>
            </w:r>
          </w:p>
        </w:tc>
        <w:tc>
          <w:tcPr>
            <w:tcW w:w="0" w:type="auto"/>
            <w:tcBorders>
              <w:top w:val="single" w:sz="4" w:space="0" w:color="auto"/>
              <w:left w:val="single" w:sz="4" w:space="0" w:color="auto"/>
            </w:tcBorders>
            <w:shd w:val="clear" w:color="auto" w:fill="FFFFFF"/>
          </w:tcPr>
          <w:p w14:paraId="7B734A17"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Гращица от изворите до вливане в р. Струма</w:t>
            </w:r>
          </w:p>
        </w:tc>
        <w:tc>
          <w:tcPr>
            <w:tcW w:w="0" w:type="auto"/>
            <w:tcBorders>
              <w:top w:val="single" w:sz="4" w:space="0" w:color="auto"/>
              <w:left w:val="single" w:sz="4" w:space="0" w:color="auto"/>
            </w:tcBorders>
            <w:shd w:val="clear" w:color="auto" w:fill="FFFFFF"/>
          </w:tcPr>
          <w:p w14:paraId="10EE572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лошо състояние</w:t>
            </w:r>
          </w:p>
        </w:tc>
        <w:tc>
          <w:tcPr>
            <w:tcW w:w="0" w:type="auto"/>
            <w:tcBorders>
              <w:top w:val="single" w:sz="4" w:space="0" w:color="auto"/>
              <w:left w:val="single" w:sz="4" w:space="0" w:color="auto"/>
              <w:right w:val="single" w:sz="4" w:space="0" w:color="auto"/>
            </w:tcBorders>
            <w:shd w:val="clear" w:color="auto" w:fill="FFFFFF"/>
          </w:tcPr>
          <w:p w14:paraId="22935F3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CD05F21"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2BD654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141</w:t>
            </w:r>
          </w:p>
        </w:tc>
        <w:tc>
          <w:tcPr>
            <w:tcW w:w="0" w:type="auto"/>
            <w:tcBorders>
              <w:top w:val="single" w:sz="4" w:space="0" w:color="auto"/>
              <w:left w:val="single" w:sz="4" w:space="0" w:color="auto"/>
            </w:tcBorders>
            <w:shd w:val="clear" w:color="auto" w:fill="FFFFFF"/>
            <w:vAlign w:val="center"/>
          </w:tcPr>
          <w:p w14:paraId="06E2F2C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BG4ST700R027</w:t>
            </w:r>
          </w:p>
        </w:tc>
        <w:tc>
          <w:tcPr>
            <w:tcW w:w="0" w:type="auto"/>
            <w:tcBorders>
              <w:top w:val="single" w:sz="4" w:space="0" w:color="auto"/>
              <w:left w:val="single" w:sz="4" w:space="0" w:color="auto"/>
            </w:tcBorders>
            <w:shd w:val="clear" w:color="auto" w:fill="FFFFFF"/>
          </w:tcPr>
          <w:p w14:paraId="4B8815DB"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Елешница от вливане на р. Речица до вливане в р. Струма</w:t>
            </w:r>
          </w:p>
        </w:tc>
        <w:tc>
          <w:tcPr>
            <w:tcW w:w="0" w:type="auto"/>
            <w:tcBorders>
              <w:top w:val="single" w:sz="4" w:space="0" w:color="auto"/>
              <w:left w:val="single" w:sz="4" w:space="0" w:color="auto"/>
            </w:tcBorders>
            <w:shd w:val="clear" w:color="auto" w:fill="FFFFFF"/>
          </w:tcPr>
          <w:p w14:paraId="3EBB456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16362C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09B1CCA" w14:textId="77777777" w:rsidTr="008A7E6F">
        <w:trPr>
          <w:trHeight w:hRule="exact" w:val="254"/>
          <w:jc w:val="center"/>
        </w:trPr>
        <w:tc>
          <w:tcPr>
            <w:tcW w:w="0" w:type="auto"/>
            <w:tcBorders>
              <w:top w:val="single" w:sz="4" w:space="0" w:color="auto"/>
              <w:left w:val="single" w:sz="4" w:space="0" w:color="auto"/>
              <w:bottom w:val="single" w:sz="4" w:space="0" w:color="auto"/>
            </w:tcBorders>
            <w:shd w:val="clear" w:color="auto" w:fill="FFFFFF"/>
            <w:vAlign w:val="center"/>
          </w:tcPr>
          <w:p w14:paraId="70DE46B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142</w:t>
            </w:r>
          </w:p>
        </w:tc>
        <w:tc>
          <w:tcPr>
            <w:tcW w:w="0" w:type="auto"/>
            <w:tcBorders>
              <w:top w:val="single" w:sz="4" w:space="0" w:color="auto"/>
              <w:left w:val="single" w:sz="4" w:space="0" w:color="auto"/>
              <w:bottom w:val="single" w:sz="4" w:space="0" w:color="auto"/>
            </w:tcBorders>
            <w:shd w:val="clear" w:color="auto" w:fill="FFFFFF"/>
            <w:vAlign w:val="center"/>
          </w:tcPr>
          <w:p w14:paraId="1A4C7AA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BG4ST700R028</w:t>
            </w:r>
          </w:p>
        </w:tc>
        <w:tc>
          <w:tcPr>
            <w:tcW w:w="0" w:type="auto"/>
            <w:tcBorders>
              <w:top w:val="single" w:sz="4" w:space="0" w:color="auto"/>
              <w:left w:val="single" w:sz="4" w:space="0" w:color="auto"/>
              <w:bottom w:val="single" w:sz="4" w:space="0" w:color="auto"/>
            </w:tcBorders>
            <w:shd w:val="clear" w:color="auto" w:fill="FFFFFF"/>
          </w:tcPr>
          <w:p w14:paraId="030A494A" w14:textId="77777777" w:rsidR="005B1C6B" w:rsidRPr="009F6D1E" w:rsidRDefault="005B1C6B" w:rsidP="0084747F">
            <w:pPr>
              <w:spacing w:after="60" w:line="264" w:lineRule="auto"/>
              <w:jc w:val="both"/>
              <w:rPr>
                <w:rFonts w:cs="Times New Roman"/>
                <w:sz w:val="20"/>
                <w:szCs w:val="20"/>
              </w:rPr>
            </w:pPr>
            <w:r w:rsidRPr="009F6D1E">
              <w:rPr>
                <w:rStyle w:val="Bodytext210pt"/>
                <w:rFonts w:eastAsia="ヒラギノ角ゴ Pro W3"/>
              </w:rPr>
              <w:t>р. Струма от вливане на р. Елешница до вливане на р. Джерман</w:t>
            </w:r>
          </w:p>
        </w:tc>
        <w:tc>
          <w:tcPr>
            <w:tcW w:w="0" w:type="auto"/>
            <w:tcBorders>
              <w:top w:val="single" w:sz="4" w:space="0" w:color="auto"/>
              <w:left w:val="single" w:sz="4" w:space="0" w:color="auto"/>
              <w:bottom w:val="single" w:sz="4" w:space="0" w:color="auto"/>
            </w:tcBorders>
            <w:shd w:val="clear" w:color="auto" w:fill="FFFFFF"/>
          </w:tcPr>
          <w:p w14:paraId="3CAA4F9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6CBBEDB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713A007" w14:textId="77777777" w:rsidTr="008A7E6F">
        <w:trPr>
          <w:trHeight w:hRule="exact" w:val="269"/>
          <w:jc w:val="center"/>
        </w:trPr>
        <w:tc>
          <w:tcPr>
            <w:tcW w:w="0" w:type="auto"/>
            <w:tcBorders>
              <w:top w:val="single" w:sz="4" w:space="0" w:color="auto"/>
              <w:left w:val="single" w:sz="4" w:space="0" w:color="auto"/>
            </w:tcBorders>
            <w:shd w:val="clear" w:color="auto" w:fill="FFFFFF"/>
            <w:vAlign w:val="center"/>
          </w:tcPr>
          <w:p w14:paraId="59AC116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143</w:t>
            </w:r>
          </w:p>
        </w:tc>
        <w:tc>
          <w:tcPr>
            <w:tcW w:w="0" w:type="auto"/>
            <w:tcBorders>
              <w:top w:val="single" w:sz="4" w:space="0" w:color="auto"/>
              <w:left w:val="single" w:sz="4" w:space="0" w:color="auto"/>
            </w:tcBorders>
            <w:shd w:val="clear" w:color="auto" w:fill="FFFFFF"/>
            <w:vAlign w:val="center"/>
          </w:tcPr>
          <w:p w14:paraId="39237F3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BG4ST700R029</w:t>
            </w:r>
          </w:p>
        </w:tc>
        <w:tc>
          <w:tcPr>
            <w:tcW w:w="0" w:type="auto"/>
            <w:tcBorders>
              <w:top w:val="single" w:sz="4" w:space="0" w:color="auto"/>
              <w:left w:val="single" w:sz="4" w:space="0" w:color="auto"/>
            </w:tcBorders>
            <w:shd w:val="clear" w:color="auto" w:fill="FFFFFF"/>
          </w:tcPr>
          <w:p w14:paraId="21D4698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Лева река (</w:t>
            </w:r>
            <w:proofErr w:type="spellStart"/>
            <w:r w:rsidRPr="009F6D1E">
              <w:rPr>
                <w:rStyle w:val="Bodytext210pt"/>
                <w:rFonts w:eastAsia="ヒラギノ角ゴ Pro W3"/>
              </w:rPr>
              <w:t>Кознишка</w:t>
            </w:r>
            <w:proofErr w:type="spellEnd"/>
            <w:r w:rsidRPr="009F6D1E">
              <w:rPr>
                <w:rStyle w:val="Bodytext210pt"/>
                <w:rFonts w:eastAsia="ヒラギノ角ゴ Pro W3"/>
              </w:rPr>
              <w:t>) от изворите до вливане в р. Струма</w:t>
            </w:r>
          </w:p>
        </w:tc>
        <w:tc>
          <w:tcPr>
            <w:tcW w:w="0" w:type="auto"/>
            <w:tcBorders>
              <w:top w:val="single" w:sz="4" w:space="0" w:color="auto"/>
              <w:left w:val="single" w:sz="4" w:space="0" w:color="auto"/>
            </w:tcBorders>
            <w:shd w:val="clear" w:color="auto" w:fill="FFFFFF"/>
          </w:tcPr>
          <w:p w14:paraId="6CE02B63" w14:textId="77777777" w:rsidR="005B1C6B" w:rsidRPr="009F6D1E" w:rsidRDefault="007E18C8" w:rsidP="0084747F">
            <w:pPr>
              <w:spacing w:after="60" w:line="264" w:lineRule="auto"/>
              <w:ind w:left="240"/>
              <w:rPr>
                <w:rFonts w:cs="Times New Roman"/>
                <w:sz w:val="20"/>
                <w:szCs w:val="20"/>
              </w:rPr>
            </w:pPr>
            <w:r w:rsidRPr="009F6D1E">
              <w:rPr>
                <w:rStyle w:val="Bodytext210pt"/>
                <w:rFonts w:eastAsia="ヒラギノ角ゴ Pro W3"/>
              </w:rPr>
              <w:t>отличен потенциал</w:t>
            </w:r>
          </w:p>
        </w:tc>
        <w:tc>
          <w:tcPr>
            <w:tcW w:w="0" w:type="auto"/>
            <w:tcBorders>
              <w:top w:val="single" w:sz="4" w:space="0" w:color="auto"/>
              <w:left w:val="single" w:sz="4" w:space="0" w:color="auto"/>
              <w:right w:val="single" w:sz="4" w:space="0" w:color="auto"/>
            </w:tcBorders>
            <w:shd w:val="clear" w:color="auto" w:fill="FFFFFF"/>
          </w:tcPr>
          <w:p w14:paraId="6EED77A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87E9C4E"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6EEF11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144</w:t>
            </w:r>
          </w:p>
        </w:tc>
        <w:tc>
          <w:tcPr>
            <w:tcW w:w="0" w:type="auto"/>
            <w:tcBorders>
              <w:top w:val="single" w:sz="4" w:space="0" w:color="auto"/>
              <w:left w:val="single" w:sz="4" w:space="0" w:color="auto"/>
            </w:tcBorders>
            <w:shd w:val="clear" w:color="auto" w:fill="FFFFFF"/>
            <w:vAlign w:val="center"/>
          </w:tcPr>
          <w:p w14:paraId="07A4540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BG4ST700R1020</w:t>
            </w:r>
          </w:p>
        </w:tc>
        <w:tc>
          <w:tcPr>
            <w:tcW w:w="0" w:type="auto"/>
            <w:tcBorders>
              <w:top w:val="single" w:sz="4" w:space="0" w:color="auto"/>
              <w:left w:val="single" w:sz="4" w:space="0" w:color="auto"/>
            </w:tcBorders>
            <w:shd w:val="clear" w:color="auto" w:fill="FFFFFF"/>
          </w:tcPr>
          <w:p w14:paraId="463770D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Соволянска</w:t>
            </w:r>
            <w:proofErr w:type="spellEnd"/>
            <w:r w:rsidRPr="009F6D1E">
              <w:rPr>
                <w:rStyle w:val="Bodytext210pt"/>
                <w:rFonts w:eastAsia="ヒラギノ角ゴ Pro W3"/>
              </w:rPr>
              <w:t xml:space="preserve"> Бистрица от кота 1195 м. до вливане в р. Струма</w:t>
            </w:r>
          </w:p>
        </w:tc>
        <w:tc>
          <w:tcPr>
            <w:tcW w:w="0" w:type="auto"/>
            <w:tcBorders>
              <w:top w:val="single" w:sz="4" w:space="0" w:color="auto"/>
              <w:left w:val="single" w:sz="4" w:space="0" w:color="auto"/>
            </w:tcBorders>
            <w:shd w:val="clear" w:color="auto" w:fill="FFFFFF"/>
          </w:tcPr>
          <w:p w14:paraId="57F1F1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77DB05E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недостигащо добро</w:t>
            </w:r>
          </w:p>
        </w:tc>
      </w:tr>
      <w:tr w:rsidR="007E18C8" w:rsidRPr="009F6D1E" w14:paraId="443D3539" w14:textId="77777777" w:rsidTr="008A7E6F">
        <w:trPr>
          <w:trHeight w:hRule="exact" w:val="259"/>
          <w:jc w:val="center"/>
        </w:trPr>
        <w:tc>
          <w:tcPr>
            <w:tcW w:w="0" w:type="auto"/>
            <w:vMerge w:val="restart"/>
            <w:tcBorders>
              <w:top w:val="single" w:sz="4" w:space="0" w:color="auto"/>
              <w:left w:val="single" w:sz="4" w:space="0" w:color="auto"/>
            </w:tcBorders>
            <w:shd w:val="clear" w:color="auto" w:fill="FFFFFF"/>
            <w:vAlign w:val="center"/>
          </w:tcPr>
          <w:p w14:paraId="1C3F1C1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145</w:t>
            </w:r>
          </w:p>
        </w:tc>
        <w:tc>
          <w:tcPr>
            <w:tcW w:w="0" w:type="auto"/>
            <w:tcBorders>
              <w:top w:val="single" w:sz="4" w:space="0" w:color="auto"/>
              <w:left w:val="single" w:sz="4" w:space="0" w:color="auto"/>
            </w:tcBorders>
            <w:shd w:val="clear" w:color="auto" w:fill="FFFFFF"/>
            <w:vAlign w:val="center"/>
          </w:tcPr>
          <w:p w14:paraId="3C25DB0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BG4ST700R1022</w:t>
            </w:r>
          </w:p>
        </w:tc>
        <w:tc>
          <w:tcPr>
            <w:tcW w:w="0" w:type="auto"/>
            <w:tcBorders>
              <w:top w:val="single" w:sz="4" w:space="0" w:color="auto"/>
              <w:left w:val="single" w:sz="4" w:space="0" w:color="auto"/>
            </w:tcBorders>
            <w:shd w:val="clear" w:color="auto" w:fill="FFFFFF"/>
          </w:tcPr>
          <w:p w14:paraId="13505D4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Глогошка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Банщица</w:t>
            </w:r>
            <w:proofErr w:type="spellEnd"/>
            <w:r w:rsidRPr="009F6D1E">
              <w:rPr>
                <w:rStyle w:val="Bodytext210pt"/>
                <w:rFonts w:eastAsia="ヒラギノ角ゴ Pro W3"/>
              </w:rPr>
              <w:t>) от кота 1160 м. до вливане в р. Струма</w:t>
            </w:r>
          </w:p>
        </w:tc>
        <w:tc>
          <w:tcPr>
            <w:tcW w:w="0" w:type="auto"/>
            <w:tcBorders>
              <w:top w:val="single" w:sz="4" w:space="0" w:color="auto"/>
              <w:left w:val="single" w:sz="4" w:space="0" w:color="auto"/>
            </w:tcBorders>
            <w:shd w:val="clear" w:color="auto" w:fill="FFFFFF"/>
          </w:tcPr>
          <w:p w14:paraId="0D166BE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много лошо</w:t>
            </w:r>
          </w:p>
        </w:tc>
        <w:tc>
          <w:tcPr>
            <w:tcW w:w="0" w:type="auto"/>
            <w:tcBorders>
              <w:top w:val="single" w:sz="4" w:space="0" w:color="auto"/>
              <w:left w:val="single" w:sz="4" w:space="0" w:color="auto"/>
              <w:right w:val="single" w:sz="4" w:space="0" w:color="auto"/>
            </w:tcBorders>
            <w:shd w:val="clear" w:color="auto" w:fill="FFFFFF"/>
          </w:tcPr>
          <w:p w14:paraId="3036E00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недостигащо добро</w:t>
            </w:r>
          </w:p>
        </w:tc>
      </w:tr>
      <w:tr w:rsidR="007E18C8" w:rsidRPr="009F6D1E" w14:paraId="1C9F0E57" w14:textId="77777777" w:rsidTr="008A7E6F">
        <w:trPr>
          <w:trHeight w:hRule="exact" w:val="235"/>
          <w:jc w:val="center"/>
        </w:trPr>
        <w:tc>
          <w:tcPr>
            <w:tcW w:w="0" w:type="auto"/>
            <w:vMerge/>
            <w:tcBorders>
              <w:left w:val="single" w:sz="4" w:space="0" w:color="auto"/>
            </w:tcBorders>
            <w:shd w:val="clear" w:color="auto" w:fill="FFFFFF"/>
            <w:vAlign w:val="center"/>
          </w:tcPr>
          <w:p w14:paraId="7B2FACE3" w14:textId="77777777" w:rsidR="005B1C6B" w:rsidRPr="009F6D1E" w:rsidRDefault="005B1C6B" w:rsidP="0084747F">
            <w:pPr>
              <w:spacing w:after="60" w:line="264" w:lineRule="auto"/>
              <w:jc w:val="center"/>
              <w:rPr>
                <w:rFonts w:cs="Times New Roman"/>
                <w:sz w:val="20"/>
                <w:szCs w:val="20"/>
              </w:rPr>
            </w:pPr>
          </w:p>
        </w:tc>
        <w:tc>
          <w:tcPr>
            <w:tcW w:w="0" w:type="auto"/>
            <w:tcBorders>
              <w:left w:val="single" w:sz="4" w:space="0" w:color="auto"/>
            </w:tcBorders>
            <w:shd w:val="clear" w:color="auto" w:fill="FFFFFF"/>
            <w:vAlign w:val="center"/>
          </w:tcPr>
          <w:p w14:paraId="6F0870DB" w14:textId="77777777" w:rsidR="005B1C6B" w:rsidRPr="009F6D1E" w:rsidRDefault="005B1C6B" w:rsidP="0084747F">
            <w:pPr>
              <w:spacing w:after="60" w:line="264" w:lineRule="auto"/>
              <w:jc w:val="center"/>
              <w:rPr>
                <w:rFonts w:cs="Times New Roman"/>
                <w:sz w:val="20"/>
                <w:szCs w:val="20"/>
              </w:rPr>
            </w:pPr>
          </w:p>
        </w:tc>
        <w:tc>
          <w:tcPr>
            <w:tcW w:w="0" w:type="auto"/>
            <w:tcBorders>
              <w:left w:val="single" w:sz="4" w:space="0" w:color="auto"/>
            </w:tcBorders>
            <w:shd w:val="clear" w:color="auto" w:fill="FFFFFF"/>
          </w:tcPr>
          <w:p w14:paraId="31DE6D15" w14:textId="77777777" w:rsidR="005B1C6B" w:rsidRPr="009F6D1E" w:rsidRDefault="005B1C6B" w:rsidP="0084747F">
            <w:pPr>
              <w:spacing w:after="60" w:line="264" w:lineRule="auto"/>
              <w:rPr>
                <w:rFonts w:cs="Times New Roman"/>
                <w:sz w:val="20"/>
                <w:szCs w:val="20"/>
              </w:rPr>
            </w:pPr>
          </w:p>
        </w:tc>
        <w:tc>
          <w:tcPr>
            <w:tcW w:w="0" w:type="auto"/>
            <w:tcBorders>
              <w:left w:val="single" w:sz="4" w:space="0" w:color="auto"/>
            </w:tcBorders>
            <w:shd w:val="clear" w:color="auto" w:fill="FFFFFF"/>
          </w:tcPr>
          <w:p w14:paraId="3D0B8B4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състояние</w:t>
            </w:r>
          </w:p>
        </w:tc>
        <w:tc>
          <w:tcPr>
            <w:tcW w:w="0" w:type="auto"/>
            <w:tcBorders>
              <w:left w:val="single" w:sz="4" w:space="0" w:color="auto"/>
              <w:right w:val="single" w:sz="4" w:space="0" w:color="auto"/>
            </w:tcBorders>
            <w:shd w:val="clear" w:color="auto" w:fill="FFFFFF"/>
          </w:tcPr>
          <w:p w14:paraId="7EEB1C06" w14:textId="77777777" w:rsidR="005B1C6B" w:rsidRPr="009F6D1E" w:rsidRDefault="005B1C6B" w:rsidP="0084747F">
            <w:pPr>
              <w:spacing w:after="60" w:line="264" w:lineRule="auto"/>
              <w:rPr>
                <w:rFonts w:cs="Times New Roman"/>
                <w:sz w:val="20"/>
                <w:szCs w:val="20"/>
              </w:rPr>
            </w:pPr>
          </w:p>
        </w:tc>
      </w:tr>
      <w:tr w:rsidR="007E18C8" w:rsidRPr="009F6D1E" w14:paraId="2D3B2E62"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CF5D25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146</w:t>
            </w:r>
          </w:p>
        </w:tc>
        <w:tc>
          <w:tcPr>
            <w:tcW w:w="0" w:type="auto"/>
            <w:tcBorders>
              <w:top w:val="single" w:sz="4" w:space="0" w:color="auto"/>
              <w:left w:val="single" w:sz="4" w:space="0" w:color="auto"/>
            </w:tcBorders>
            <w:shd w:val="clear" w:color="auto" w:fill="FFFFFF"/>
            <w:vAlign w:val="center"/>
          </w:tcPr>
          <w:p w14:paraId="1D92DF9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BG4ST700R1023</w:t>
            </w:r>
          </w:p>
        </w:tc>
        <w:tc>
          <w:tcPr>
            <w:tcW w:w="0" w:type="auto"/>
            <w:tcBorders>
              <w:top w:val="single" w:sz="4" w:space="0" w:color="auto"/>
              <w:left w:val="single" w:sz="4" w:space="0" w:color="auto"/>
            </w:tcBorders>
            <w:shd w:val="clear" w:color="auto" w:fill="FFFFFF"/>
          </w:tcPr>
          <w:p w14:paraId="2698A67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Новоселска от изворите до вливане в р. Струма</w:t>
            </w:r>
          </w:p>
        </w:tc>
        <w:tc>
          <w:tcPr>
            <w:tcW w:w="0" w:type="auto"/>
            <w:tcBorders>
              <w:top w:val="single" w:sz="4" w:space="0" w:color="auto"/>
              <w:left w:val="single" w:sz="4" w:space="0" w:color="auto"/>
            </w:tcBorders>
            <w:shd w:val="clear" w:color="auto" w:fill="FFFFFF"/>
          </w:tcPr>
          <w:p w14:paraId="4936A0F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4FCAAC2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26DE74B"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526F33C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147</w:t>
            </w:r>
          </w:p>
        </w:tc>
        <w:tc>
          <w:tcPr>
            <w:tcW w:w="0" w:type="auto"/>
            <w:tcBorders>
              <w:top w:val="single" w:sz="4" w:space="0" w:color="auto"/>
              <w:left w:val="single" w:sz="4" w:space="0" w:color="auto"/>
            </w:tcBorders>
            <w:shd w:val="clear" w:color="auto" w:fill="FFFFFF"/>
            <w:vAlign w:val="center"/>
          </w:tcPr>
          <w:p w14:paraId="0F2137E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BG4ST700R1025</w:t>
            </w:r>
          </w:p>
        </w:tc>
        <w:tc>
          <w:tcPr>
            <w:tcW w:w="0" w:type="auto"/>
            <w:tcBorders>
              <w:top w:val="single" w:sz="4" w:space="0" w:color="auto"/>
              <w:left w:val="single" w:sz="4" w:space="0" w:color="auto"/>
            </w:tcBorders>
            <w:shd w:val="clear" w:color="auto" w:fill="FFFFFF"/>
          </w:tcPr>
          <w:p w14:paraId="086A42A8" w14:textId="77777777" w:rsidR="005B1C6B" w:rsidRPr="009F6D1E" w:rsidRDefault="005B1C6B" w:rsidP="0084747F">
            <w:pPr>
              <w:spacing w:after="60" w:line="264" w:lineRule="auto"/>
              <w:rPr>
                <w:rFonts w:cs="Times New Roman"/>
                <w:sz w:val="20"/>
                <w:szCs w:val="20"/>
              </w:rPr>
            </w:pPr>
            <w:proofErr w:type="spellStart"/>
            <w:r w:rsidRPr="009F6D1E">
              <w:rPr>
                <w:rStyle w:val="Bodytext210pt"/>
                <w:rFonts w:eastAsia="ヒラギノ角ゴ Pro W3"/>
              </w:rPr>
              <w:t>р.Елешница</w:t>
            </w:r>
            <w:proofErr w:type="spellEnd"/>
            <w:r w:rsidRPr="009F6D1E">
              <w:rPr>
                <w:rStyle w:val="Bodytext210pt"/>
                <w:rFonts w:eastAsia="ヒラギノ角ゴ Pro W3"/>
              </w:rPr>
              <w:t xml:space="preserve"> и притока и </w:t>
            </w:r>
            <w:proofErr w:type="spellStart"/>
            <w:r w:rsidRPr="009F6D1E">
              <w:rPr>
                <w:rStyle w:val="Bodytext210pt"/>
                <w:rFonts w:eastAsia="ヒラギノ角ゴ Pro W3"/>
              </w:rPr>
              <w:t>р.Речица</w:t>
            </w:r>
            <w:proofErr w:type="spellEnd"/>
            <w:r w:rsidRPr="009F6D1E">
              <w:rPr>
                <w:rStyle w:val="Bodytext210pt"/>
                <w:rFonts w:eastAsia="ヒラギノ角ゴ Pro W3"/>
              </w:rPr>
              <w:t xml:space="preserve"> до вливането им в </w:t>
            </w:r>
            <w:proofErr w:type="spellStart"/>
            <w:r w:rsidRPr="009F6D1E">
              <w:rPr>
                <w:rStyle w:val="Bodytext210pt"/>
                <w:rFonts w:eastAsia="ヒラギノ角ゴ Pro W3"/>
              </w:rPr>
              <w:t>р.Струма</w:t>
            </w:r>
            <w:proofErr w:type="spellEnd"/>
          </w:p>
        </w:tc>
        <w:tc>
          <w:tcPr>
            <w:tcW w:w="0" w:type="auto"/>
            <w:tcBorders>
              <w:top w:val="single" w:sz="4" w:space="0" w:color="auto"/>
              <w:left w:val="single" w:sz="4" w:space="0" w:color="auto"/>
            </w:tcBorders>
            <w:shd w:val="clear" w:color="auto" w:fill="FFFFFF"/>
          </w:tcPr>
          <w:p w14:paraId="6F8BE12C"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644A536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3DEF8458"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D4ED20F"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148</w:t>
            </w:r>
          </w:p>
        </w:tc>
        <w:tc>
          <w:tcPr>
            <w:tcW w:w="0" w:type="auto"/>
            <w:tcBorders>
              <w:top w:val="single" w:sz="4" w:space="0" w:color="auto"/>
              <w:left w:val="single" w:sz="4" w:space="0" w:color="auto"/>
            </w:tcBorders>
            <w:shd w:val="clear" w:color="auto" w:fill="FFFFFF"/>
            <w:vAlign w:val="center"/>
          </w:tcPr>
          <w:p w14:paraId="73DD4A8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w:t>
            </w:r>
            <w:r w:rsidRPr="009F6D1E">
              <w:rPr>
                <w:rStyle w:val="Bodytext210pt"/>
                <w:rFonts w:eastAsia="ヒラギノ角ゴ Pro W3"/>
              </w:rPr>
              <w:t>120</w:t>
            </w:r>
          </w:p>
        </w:tc>
        <w:tc>
          <w:tcPr>
            <w:tcW w:w="0" w:type="auto"/>
            <w:tcBorders>
              <w:top w:val="single" w:sz="4" w:space="0" w:color="auto"/>
              <w:left w:val="single" w:sz="4" w:space="0" w:color="auto"/>
            </w:tcBorders>
            <w:shd w:val="clear" w:color="auto" w:fill="FFFFFF"/>
          </w:tcPr>
          <w:p w14:paraId="0B824A3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Лебница от изворите до кота 1300 м.</w:t>
            </w:r>
          </w:p>
        </w:tc>
        <w:tc>
          <w:tcPr>
            <w:tcW w:w="0" w:type="auto"/>
            <w:tcBorders>
              <w:top w:val="single" w:sz="4" w:space="0" w:color="auto"/>
              <w:left w:val="single" w:sz="4" w:space="0" w:color="auto"/>
            </w:tcBorders>
            <w:shd w:val="clear" w:color="auto" w:fill="FFFFFF"/>
          </w:tcPr>
          <w:p w14:paraId="2066A40F"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CB0992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96F8629"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28B4F964"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149</w:t>
            </w:r>
          </w:p>
        </w:tc>
        <w:tc>
          <w:tcPr>
            <w:tcW w:w="0" w:type="auto"/>
            <w:tcBorders>
              <w:top w:val="single" w:sz="4" w:space="0" w:color="auto"/>
              <w:left w:val="single" w:sz="4" w:space="0" w:color="auto"/>
            </w:tcBorders>
            <w:shd w:val="clear" w:color="auto" w:fill="FFFFFF"/>
            <w:vAlign w:val="center"/>
          </w:tcPr>
          <w:p w14:paraId="41D0278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w:t>
            </w:r>
            <w:r w:rsidRPr="009F6D1E">
              <w:rPr>
                <w:rStyle w:val="Bodytext210pt"/>
                <w:rFonts w:eastAsia="ヒラギノ角ゴ Pro W3"/>
              </w:rPr>
              <w:t>122</w:t>
            </w:r>
          </w:p>
        </w:tc>
        <w:tc>
          <w:tcPr>
            <w:tcW w:w="0" w:type="auto"/>
            <w:tcBorders>
              <w:top w:val="single" w:sz="4" w:space="0" w:color="auto"/>
              <w:left w:val="single" w:sz="4" w:space="0" w:color="auto"/>
            </w:tcBorders>
            <w:shd w:val="clear" w:color="auto" w:fill="FFFFFF"/>
          </w:tcPr>
          <w:p w14:paraId="69883FD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Глогошка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Банщица</w:t>
            </w:r>
            <w:proofErr w:type="spellEnd"/>
            <w:r w:rsidRPr="009F6D1E">
              <w:rPr>
                <w:rStyle w:val="Bodytext210pt"/>
                <w:rFonts w:eastAsia="ヒラギノ角ゴ Pro W3"/>
              </w:rPr>
              <w:t>) от изворите до кота 1160 м.</w:t>
            </w:r>
          </w:p>
        </w:tc>
        <w:tc>
          <w:tcPr>
            <w:tcW w:w="0" w:type="auto"/>
            <w:tcBorders>
              <w:top w:val="single" w:sz="4" w:space="0" w:color="auto"/>
              <w:left w:val="single" w:sz="4" w:space="0" w:color="auto"/>
            </w:tcBorders>
            <w:shd w:val="clear" w:color="auto" w:fill="FFFFFF"/>
          </w:tcPr>
          <w:p w14:paraId="2B066CA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0842AE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0D7D516D"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67AB859"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150</w:t>
            </w:r>
          </w:p>
        </w:tc>
        <w:tc>
          <w:tcPr>
            <w:tcW w:w="0" w:type="auto"/>
            <w:tcBorders>
              <w:top w:val="single" w:sz="4" w:space="0" w:color="auto"/>
              <w:left w:val="single" w:sz="4" w:space="0" w:color="auto"/>
            </w:tcBorders>
            <w:shd w:val="clear" w:color="auto" w:fill="FFFFFF"/>
            <w:vAlign w:val="center"/>
          </w:tcPr>
          <w:p w14:paraId="4CFF05E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w:t>
            </w:r>
            <w:r w:rsidRPr="009F6D1E">
              <w:rPr>
                <w:rStyle w:val="Bodytext210pt"/>
                <w:rFonts w:eastAsia="ヒラギノ角ゴ Pro W3"/>
              </w:rPr>
              <w:t>123</w:t>
            </w:r>
          </w:p>
        </w:tc>
        <w:tc>
          <w:tcPr>
            <w:tcW w:w="0" w:type="auto"/>
            <w:tcBorders>
              <w:top w:val="single" w:sz="4" w:space="0" w:color="auto"/>
              <w:left w:val="single" w:sz="4" w:space="0" w:color="auto"/>
            </w:tcBorders>
            <w:shd w:val="clear" w:color="auto" w:fill="FFFFFF"/>
          </w:tcPr>
          <w:p w14:paraId="6E93158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Ореховска</w:t>
            </w:r>
            <w:proofErr w:type="spellEnd"/>
            <w:r w:rsidRPr="009F6D1E">
              <w:rPr>
                <w:rStyle w:val="Bodytext210pt"/>
                <w:rFonts w:eastAsia="ヒラギノ角ゴ Pro W3"/>
              </w:rPr>
              <w:t xml:space="preserve"> от изворите до кота 945 м.</w:t>
            </w:r>
          </w:p>
        </w:tc>
        <w:tc>
          <w:tcPr>
            <w:tcW w:w="0" w:type="auto"/>
            <w:tcBorders>
              <w:top w:val="single" w:sz="4" w:space="0" w:color="auto"/>
              <w:left w:val="single" w:sz="4" w:space="0" w:color="auto"/>
            </w:tcBorders>
            <w:shd w:val="clear" w:color="auto" w:fill="FFFFFF"/>
          </w:tcPr>
          <w:p w14:paraId="1BAE0AB4"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7EDD5E7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7F72D70"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1BA9689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151</w:t>
            </w:r>
          </w:p>
        </w:tc>
        <w:tc>
          <w:tcPr>
            <w:tcW w:w="0" w:type="auto"/>
            <w:tcBorders>
              <w:top w:val="single" w:sz="4" w:space="0" w:color="auto"/>
              <w:left w:val="single" w:sz="4" w:space="0" w:color="auto"/>
            </w:tcBorders>
            <w:shd w:val="clear" w:color="auto" w:fill="FFFFFF"/>
            <w:vAlign w:val="center"/>
          </w:tcPr>
          <w:p w14:paraId="4D1E1FD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BG4ST700R1220</w:t>
            </w:r>
          </w:p>
        </w:tc>
        <w:tc>
          <w:tcPr>
            <w:tcW w:w="0" w:type="auto"/>
            <w:tcBorders>
              <w:top w:val="single" w:sz="4" w:space="0" w:color="auto"/>
              <w:left w:val="single" w:sz="4" w:space="0" w:color="auto"/>
            </w:tcBorders>
            <w:shd w:val="clear" w:color="auto" w:fill="FFFFFF"/>
          </w:tcPr>
          <w:p w14:paraId="17B8D47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Соволянска</w:t>
            </w:r>
            <w:proofErr w:type="spellEnd"/>
            <w:r w:rsidRPr="009F6D1E">
              <w:rPr>
                <w:rStyle w:val="Bodytext210pt"/>
                <w:rFonts w:eastAsia="ヒラギノ角ゴ Pro W3"/>
              </w:rPr>
              <w:t xml:space="preserve"> Бистрица от изворите до кота 1195 м.</w:t>
            </w:r>
          </w:p>
        </w:tc>
        <w:tc>
          <w:tcPr>
            <w:tcW w:w="0" w:type="auto"/>
            <w:tcBorders>
              <w:top w:val="single" w:sz="4" w:space="0" w:color="auto"/>
              <w:left w:val="single" w:sz="4" w:space="0" w:color="auto"/>
            </w:tcBorders>
            <w:shd w:val="clear" w:color="auto" w:fill="FFFFFF"/>
          </w:tcPr>
          <w:p w14:paraId="28BBFD7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EF7EAC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42DC3969"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096E44E"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152</w:t>
            </w:r>
          </w:p>
        </w:tc>
        <w:tc>
          <w:tcPr>
            <w:tcW w:w="0" w:type="auto"/>
            <w:tcBorders>
              <w:top w:val="single" w:sz="4" w:space="0" w:color="auto"/>
              <w:left w:val="single" w:sz="4" w:space="0" w:color="auto"/>
            </w:tcBorders>
            <w:shd w:val="clear" w:color="auto" w:fill="FFFFFF"/>
            <w:vAlign w:val="center"/>
          </w:tcPr>
          <w:p w14:paraId="37C123C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BG4ST700R1222</w:t>
            </w:r>
          </w:p>
        </w:tc>
        <w:tc>
          <w:tcPr>
            <w:tcW w:w="0" w:type="auto"/>
            <w:tcBorders>
              <w:top w:val="single" w:sz="4" w:space="0" w:color="auto"/>
              <w:left w:val="single" w:sz="4" w:space="0" w:color="auto"/>
            </w:tcBorders>
            <w:shd w:val="clear" w:color="auto" w:fill="FFFFFF"/>
          </w:tcPr>
          <w:p w14:paraId="07877AC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Радушка</w:t>
            </w:r>
            <w:proofErr w:type="spellEnd"/>
            <w:r w:rsidRPr="009F6D1E">
              <w:rPr>
                <w:rStyle w:val="Bodytext210pt"/>
                <w:rFonts w:eastAsia="ヒラギノ角ゴ Pro W3"/>
              </w:rPr>
              <w:t xml:space="preserve"> от изворите до кота 995 м.</w:t>
            </w:r>
          </w:p>
        </w:tc>
        <w:tc>
          <w:tcPr>
            <w:tcW w:w="0" w:type="auto"/>
            <w:tcBorders>
              <w:top w:val="single" w:sz="4" w:space="0" w:color="auto"/>
              <w:left w:val="single" w:sz="4" w:space="0" w:color="auto"/>
            </w:tcBorders>
            <w:shd w:val="clear" w:color="auto" w:fill="FFFFFF"/>
          </w:tcPr>
          <w:p w14:paraId="737D89D7"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21DF8B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97EA1E3"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593475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153</w:t>
            </w:r>
          </w:p>
        </w:tc>
        <w:tc>
          <w:tcPr>
            <w:tcW w:w="0" w:type="auto"/>
            <w:tcBorders>
              <w:top w:val="single" w:sz="4" w:space="0" w:color="auto"/>
              <w:left w:val="single" w:sz="4" w:space="0" w:color="auto"/>
            </w:tcBorders>
            <w:shd w:val="clear" w:color="auto" w:fill="FFFFFF"/>
            <w:vAlign w:val="center"/>
          </w:tcPr>
          <w:p w14:paraId="4E239D8E"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BG4ST700R1322</w:t>
            </w:r>
          </w:p>
        </w:tc>
        <w:tc>
          <w:tcPr>
            <w:tcW w:w="0" w:type="auto"/>
            <w:tcBorders>
              <w:top w:val="single" w:sz="4" w:space="0" w:color="auto"/>
              <w:left w:val="single" w:sz="4" w:space="0" w:color="auto"/>
            </w:tcBorders>
            <w:shd w:val="clear" w:color="auto" w:fill="FFFFFF"/>
          </w:tcPr>
          <w:p w14:paraId="4760341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Воденичица</w:t>
            </w:r>
            <w:proofErr w:type="spellEnd"/>
            <w:r w:rsidRPr="009F6D1E">
              <w:rPr>
                <w:rStyle w:val="Bodytext210pt"/>
                <w:rFonts w:eastAsia="ヒラギノ角ゴ Pro W3"/>
              </w:rPr>
              <w:t xml:space="preserve"> от изворите до кота 975 м.</w:t>
            </w:r>
          </w:p>
        </w:tc>
        <w:tc>
          <w:tcPr>
            <w:tcW w:w="0" w:type="auto"/>
            <w:tcBorders>
              <w:top w:val="single" w:sz="4" w:space="0" w:color="auto"/>
              <w:left w:val="single" w:sz="4" w:space="0" w:color="auto"/>
            </w:tcBorders>
            <w:shd w:val="clear" w:color="auto" w:fill="FFFFFF"/>
          </w:tcPr>
          <w:p w14:paraId="50BB389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976B15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1C74CD3B"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2A15534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154</w:t>
            </w:r>
          </w:p>
        </w:tc>
        <w:tc>
          <w:tcPr>
            <w:tcW w:w="0" w:type="auto"/>
            <w:tcBorders>
              <w:top w:val="single" w:sz="4" w:space="0" w:color="auto"/>
              <w:left w:val="single" w:sz="4" w:space="0" w:color="auto"/>
            </w:tcBorders>
            <w:shd w:val="clear" w:color="auto" w:fill="FFFFFF"/>
            <w:vAlign w:val="center"/>
          </w:tcPr>
          <w:p w14:paraId="0F28FED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BG4ST800R016</w:t>
            </w:r>
          </w:p>
        </w:tc>
        <w:tc>
          <w:tcPr>
            <w:tcW w:w="0" w:type="auto"/>
            <w:tcBorders>
              <w:top w:val="single" w:sz="4" w:space="0" w:color="auto"/>
              <w:left w:val="single" w:sz="4" w:space="0" w:color="auto"/>
            </w:tcBorders>
            <w:shd w:val="clear" w:color="auto" w:fill="FFFFFF"/>
          </w:tcPr>
          <w:p w14:paraId="32C590D1"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Треклянска с левия си приток р. Явор от изворите до вливане в р. Струма</w:t>
            </w:r>
          </w:p>
        </w:tc>
        <w:tc>
          <w:tcPr>
            <w:tcW w:w="0" w:type="auto"/>
            <w:tcBorders>
              <w:top w:val="single" w:sz="4" w:space="0" w:color="auto"/>
              <w:left w:val="single" w:sz="4" w:space="0" w:color="auto"/>
            </w:tcBorders>
            <w:shd w:val="clear" w:color="auto" w:fill="FFFFFF"/>
          </w:tcPr>
          <w:p w14:paraId="60516E6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2F0636E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446128D"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47F2025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155</w:t>
            </w:r>
          </w:p>
        </w:tc>
        <w:tc>
          <w:tcPr>
            <w:tcW w:w="0" w:type="auto"/>
            <w:tcBorders>
              <w:top w:val="single" w:sz="4" w:space="0" w:color="auto"/>
              <w:left w:val="single" w:sz="4" w:space="0" w:color="auto"/>
            </w:tcBorders>
            <w:shd w:val="clear" w:color="auto" w:fill="FFFFFF"/>
            <w:vAlign w:val="center"/>
          </w:tcPr>
          <w:p w14:paraId="2A50760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BG4ST900R003</w:t>
            </w:r>
          </w:p>
        </w:tc>
        <w:tc>
          <w:tcPr>
            <w:tcW w:w="0" w:type="auto"/>
            <w:tcBorders>
              <w:top w:val="single" w:sz="4" w:space="0" w:color="auto"/>
              <w:left w:val="single" w:sz="4" w:space="0" w:color="auto"/>
            </w:tcBorders>
            <w:shd w:val="clear" w:color="auto" w:fill="FFFFFF"/>
          </w:tcPr>
          <w:p w14:paraId="6BCCF41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Струма от яз. Студена до вливане на р. Конска</w:t>
            </w:r>
          </w:p>
        </w:tc>
        <w:tc>
          <w:tcPr>
            <w:tcW w:w="0" w:type="auto"/>
            <w:tcBorders>
              <w:top w:val="single" w:sz="4" w:space="0" w:color="auto"/>
              <w:left w:val="single" w:sz="4" w:space="0" w:color="auto"/>
            </w:tcBorders>
            <w:shd w:val="clear" w:color="auto" w:fill="FFFFFF"/>
          </w:tcPr>
          <w:p w14:paraId="30BDC2E5"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7AEA943E"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0732661B"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5F4260C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156</w:t>
            </w:r>
          </w:p>
        </w:tc>
        <w:tc>
          <w:tcPr>
            <w:tcW w:w="0" w:type="auto"/>
            <w:tcBorders>
              <w:top w:val="single" w:sz="4" w:space="0" w:color="auto"/>
              <w:left w:val="single" w:sz="4" w:space="0" w:color="auto"/>
            </w:tcBorders>
            <w:shd w:val="clear" w:color="auto" w:fill="FFFFFF"/>
            <w:vAlign w:val="center"/>
          </w:tcPr>
          <w:p w14:paraId="1088471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BG4ST900R004</w:t>
            </w:r>
          </w:p>
        </w:tc>
        <w:tc>
          <w:tcPr>
            <w:tcW w:w="0" w:type="auto"/>
            <w:tcBorders>
              <w:top w:val="single" w:sz="4" w:space="0" w:color="auto"/>
              <w:left w:val="single" w:sz="4" w:space="0" w:color="auto"/>
            </w:tcBorders>
            <w:shd w:val="clear" w:color="auto" w:fill="FFFFFF"/>
          </w:tcPr>
          <w:p w14:paraId="571BA35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Мещичка</w:t>
            </w:r>
            <w:proofErr w:type="spellEnd"/>
            <w:r w:rsidRPr="009F6D1E">
              <w:rPr>
                <w:rStyle w:val="Bodytext210pt"/>
                <w:rFonts w:eastAsia="ヒラギノ角ゴ Pro W3"/>
              </w:rPr>
              <w:t xml:space="preserve"> от изворите до вливане в р. Конска</w:t>
            </w:r>
          </w:p>
        </w:tc>
        <w:tc>
          <w:tcPr>
            <w:tcW w:w="0" w:type="auto"/>
            <w:tcBorders>
              <w:top w:val="single" w:sz="4" w:space="0" w:color="auto"/>
              <w:left w:val="single" w:sz="4" w:space="0" w:color="auto"/>
            </w:tcBorders>
            <w:shd w:val="clear" w:color="auto" w:fill="FFFFFF"/>
          </w:tcPr>
          <w:p w14:paraId="5A56B2C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4B15322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DE0812E"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3383BC0D"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157</w:t>
            </w:r>
          </w:p>
        </w:tc>
        <w:tc>
          <w:tcPr>
            <w:tcW w:w="0" w:type="auto"/>
            <w:tcBorders>
              <w:top w:val="single" w:sz="4" w:space="0" w:color="auto"/>
              <w:left w:val="single" w:sz="4" w:space="0" w:color="auto"/>
            </w:tcBorders>
            <w:shd w:val="clear" w:color="auto" w:fill="FFFFFF"/>
            <w:vAlign w:val="center"/>
          </w:tcPr>
          <w:p w14:paraId="5FD218E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BG4ST900R006</w:t>
            </w:r>
          </w:p>
        </w:tc>
        <w:tc>
          <w:tcPr>
            <w:tcW w:w="0" w:type="auto"/>
            <w:tcBorders>
              <w:top w:val="single" w:sz="4" w:space="0" w:color="auto"/>
              <w:left w:val="single" w:sz="4" w:space="0" w:color="auto"/>
            </w:tcBorders>
            <w:shd w:val="clear" w:color="auto" w:fill="FFFFFF"/>
          </w:tcPr>
          <w:p w14:paraId="1A137D5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Струма от вливане на р. Конска до яз. Пчелина</w:t>
            </w:r>
          </w:p>
        </w:tc>
        <w:tc>
          <w:tcPr>
            <w:tcW w:w="0" w:type="auto"/>
            <w:tcBorders>
              <w:top w:val="single" w:sz="4" w:space="0" w:color="auto"/>
              <w:left w:val="single" w:sz="4" w:space="0" w:color="auto"/>
            </w:tcBorders>
            <w:shd w:val="clear" w:color="auto" w:fill="FFFFFF"/>
          </w:tcPr>
          <w:p w14:paraId="78BC376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67A5C76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BB58B15"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08C8A0B9"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lastRenderedPageBreak/>
              <w:t>158</w:t>
            </w:r>
          </w:p>
        </w:tc>
        <w:tc>
          <w:tcPr>
            <w:tcW w:w="0" w:type="auto"/>
            <w:tcBorders>
              <w:top w:val="single" w:sz="4" w:space="0" w:color="auto"/>
              <w:left w:val="single" w:sz="4" w:space="0" w:color="auto"/>
            </w:tcBorders>
            <w:shd w:val="clear" w:color="auto" w:fill="FFFFFF"/>
            <w:vAlign w:val="center"/>
          </w:tcPr>
          <w:p w14:paraId="13CA98F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BG4ST900R011</w:t>
            </w:r>
          </w:p>
        </w:tc>
        <w:tc>
          <w:tcPr>
            <w:tcW w:w="0" w:type="auto"/>
            <w:tcBorders>
              <w:top w:val="single" w:sz="4" w:space="0" w:color="auto"/>
              <w:left w:val="single" w:sz="4" w:space="0" w:color="auto"/>
            </w:tcBorders>
            <w:shd w:val="clear" w:color="auto" w:fill="FFFFFF"/>
          </w:tcPr>
          <w:p w14:paraId="5E5B5209"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Светля от изворите до яз. Пчелина</w:t>
            </w:r>
          </w:p>
        </w:tc>
        <w:tc>
          <w:tcPr>
            <w:tcW w:w="0" w:type="auto"/>
            <w:tcBorders>
              <w:top w:val="single" w:sz="4" w:space="0" w:color="auto"/>
              <w:left w:val="single" w:sz="4" w:space="0" w:color="auto"/>
            </w:tcBorders>
            <w:shd w:val="clear" w:color="auto" w:fill="FFFFFF"/>
          </w:tcPr>
          <w:p w14:paraId="70670B5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3C2B144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7C110090"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5EA593AC"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159</w:t>
            </w:r>
          </w:p>
        </w:tc>
        <w:tc>
          <w:tcPr>
            <w:tcW w:w="0" w:type="auto"/>
            <w:tcBorders>
              <w:top w:val="single" w:sz="4" w:space="0" w:color="auto"/>
              <w:left w:val="single" w:sz="4" w:space="0" w:color="auto"/>
            </w:tcBorders>
            <w:shd w:val="clear" w:color="auto" w:fill="FFFFFF"/>
            <w:vAlign w:val="center"/>
          </w:tcPr>
          <w:p w14:paraId="111F0EA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BG4ST900R012</w:t>
            </w:r>
          </w:p>
        </w:tc>
        <w:tc>
          <w:tcPr>
            <w:tcW w:w="0" w:type="auto"/>
            <w:tcBorders>
              <w:top w:val="single" w:sz="4" w:space="0" w:color="auto"/>
              <w:left w:val="single" w:sz="4" w:space="0" w:color="auto"/>
            </w:tcBorders>
            <w:shd w:val="clear" w:color="auto" w:fill="FFFFFF"/>
          </w:tcPr>
          <w:p w14:paraId="6F828026"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Струма от яз. Пчелина до вливането на р. Треклянска</w:t>
            </w:r>
          </w:p>
        </w:tc>
        <w:tc>
          <w:tcPr>
            <w:tcW w:w="0" w:type="auto"/>
            <w:tcBorders>
              <w:top w:val="single" w:sz="4" w:space="0" w:color="auto"/>
              <w:left w:val="single" w:sz="4" w:space="0" w:color="auto"/>
            </w:tcBorders>
            <w:shd w:val="clear" w:color="auto" w:fill="FFFFFF"/>
          </w:tcPr>
          <w:p w14:paraId="7C7B1D5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A20EC2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9A7434C"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334F9770"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160</w:t>
            </w:r>
          </w:p>
        </w:tc>
        <w:tc>
          <w:tcPr>
            <w:tcW w:w="0" w:type="auto"/>
            <w:tcBorders>
              <w:top w:val="single" w:sz="4" w:space="0" w:color="auto"/>
              <w:left w:val="single" w:sz="4" w:space="0" w:color="auto"/>
            </w:tcBorders>
            <w:shd w:val="clear" w:color="auto" w:fill="FFFFFF"/>
            <w:vAlign w:val="center"/>
          </w:tcPr>
          <w:p w14:paraId="0F7178BC"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BG4ST900R013</w:t>
            </w:r>
          </w:p>
        </w:tc>
        <w:tc>
          <w:tcPr>
            <w:tcW w:w="0" w:type="auto"/>
            <w:tcBorders>
              <w:top w:val="single" w:sz="4" w:space="0" w:color="auto"/>
              <w:left w:val="single" w:sz="4" w:space="0" w:color="auto"/>
            </w:tcBorders>
            <w:shd w:val="clear" w:color="auto" w:fill="FFFFFF"/>
          </w:tcPr>
          <w:p w14:paraId="0F317DF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Оролачка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Косматица</w:t>
            </w:r>
            <w:proofErr w:type="spellEnd"/>
            <w:r w:rsidRPr="009F6D1E">
              <w:rPr>
                <w:rStyle w:val="Bodytext210pt"/>
                <w:rFonts w:eastAsia="ヒラギノ角ゴ Pro W3"/>
              </w:rPr>
              <w:t>) от изворите до яз. Извор</w:t>
            </w:r>
          </w:p>
        </w:tc>
        <w:tc>
          <w:tcPr>
            <w:tcW w:w="0" w:type="auto"/>
            <w:tcBorders>
              <w:top w:val="single" w:sz="4" w:space="0" w:color="auto"/>
              <w:left w:val="single" w:sz="4" w:space="0" w:color="auto"/>
            </w:tcBorders>
            <w:shd w:val="clear" w:color="auto" w:fill="FFFFFF"/>
          </w:tcPr>
          <w:p w14:paraId="78BB4DDD"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4A71A4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10BDF517"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0CD94FA"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161</w:t>
            </w:r>
          </w:p>
        </w:tc>
        <w:tc>
          <w:tcPr>
            <w:tcW w:w="0" w:type="auto"/>
            <w:tcBorders>
              <w:top w:val="single" w:sz="4" w:space="0" w:color="auto"/>
              <w:left w:val="single" w:sz="4" w:space="0" w:color="auto"/>
            </w:tcBorders>
            <w:shd w:val="clear" w:color="auto" w:fill="FFFFFF"/>
            <w:vAlign w:val="center"/>
          </w:tcPr>
          <w:p w14:paraId="69D8F08B"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BG4ST900R015</w:t>
            </w:r>
          </w:p>
        </w:tc>
        <w:tc>
          <w:tcPr>
            <w:tcW w:w="0" w:type="auto"/>
            <w:tcBorders>
              <w:top w:val="single" w:sz="4" w:space="0" w:color="auto"/>
              <w:left w:val="single" w:sz="4" w:space="0" w:color="auto"/>
            </w:tcBorders>
            <w:shd w:val="clear" w:color="auto" w:fill="FFFFFF"/>
          </w:tcPr>
          <w:p w14:paraId="4290E767"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 xml:space="preserve">р. </w:t>
            </w:r>
            <w:proofErr w:type="spellStart"/>
            <w:r w:rsidRPr="009F6D1E">
              <w:rPr>
                <w:rStyle w:val="Bodytext210pt"/>
                <w:rFonts w:eastAsia="ヒラギノ角ゴ Pro W3"/>
              </w:rPr>
              <w:t>Оролачка</w:t>
            </w:r>
            <w:proofErr w:type="spellEnd"/>
            <w:r w:rsidRPr="009F6D1E">
              <w:rPr>
                <w:rStyle w:val="Bodytext210pt"/>
                <w:rFonts w:eastAsia="ヒラギノ角ゴ Pro W3"/>
              </w:rPr>
              <w:t xml:space="preserve"> (</w:t>
            </w:r>
            <w:proofErr w:type="spellStart"/>
            <w:r w:rsidRPr="009F6D1E">
              <w:rPr>
                <w:rStyle w:val="Bodytext210pt"/>
                <w:rFonts w:eastAsia="ヒラギノ角ゴ Pro W3"/>
              </w:rPr>
              <w:t>Косматица</w:t>
            </w:r>
            <w:proofErr w:type="spellEnd"/>
            <w:r w:rsidRPr="009F6D1E">
              <w:rPr>
                <w:rStyle w:val="Bodytext210pt"/>
                <w:rFonts w:eastAsia="ヒラギノ角ゴ Pro W3"/>
              </w:rPr>
              <w:t>) от яз. Извор до вливане в р. Струма</w:t>
            </w:r>
          </w:p>
        </w:tc>
        <w:tc>
          <w:tcPr>
            <w:tcW w:w="0" w:type="auto"/>
            <w:tcBorders>
              <w:top w:val="single" w:sz="4" w:space="0" w:color="auto"/>
              <w:left w:val="single" w:sz="4" w:space="0" w:color="auto"/>
            </w:tcBorders>
            <w:shd w:val="clear" w:color="auto" w:fill="FFFFFF"/>
          </w:tcPr>
          <w:p w14:paraId="4C0A36B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3EE2756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2978F156"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2702794"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162</w:t>
            </w:r>
          </w:p>
        </w:tc>
        <w:tc>
          <w:tcPr>
            <w:tcW w:w="0" w:type="auto"/>
            <w:tcBorders>
              <w:top w:val="single" w:sz="4" w:space="0" w:color="auto"/>
              <w:left w:val="single" w:sz="4" w:space="0" w:color="auto"/>
            </w:tcBorders>
            <w:shd w:val="clear" w:color="auto" w:fill="FFFFFF"/>
            <w:vAlign w:val="center"/>
          </w:tcPr>
          <w:p w14:paraId="03AB49C3"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BG4ST900R1005</w:t>
            </w:r>
          </w:p>
        </w:tc>
        <w:tc>
          <w:tcPr>
            <w:tcW w:w="0" w:type="auto"/>
            <w:tcBorders>
              <w:top w:val="single" w:sz="4" w:space="0" w:color="auto"/>
              <w:left w:val="single" w:sz="4" w:space="0" w:color="auto"/>
            </w:tcBorders>
            <w:shd w:val="clear" w:color="auto" w:fill="FFFFFF"/>
          </w:tcPr>
          <w:p w14:paraId="5D396E0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Конска (от кота 840 м.) с десния си приток р. Селска до вливане в р. Струма</w:t>
            </w:r>
          </w:p>
        </w:tc>
        <w:tc>
          <w:tcPr>
            <w:tcW w:w="0" w:type="auto"/>
            <w:tcBorders>
              <w:top w:val="single" w:sz="4" w:space="0" w:color="auto"/>
              <w:left w:val="single" w:sz="4" w:space="0" w:color="auto"/>
            </w:tcBorders>
            <w:shd w:val="clear" w:color="auto" w:fill="FFFFFF"/>
          </w:tcPr>
          <w:p w14:paraId="7F3E87C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умерено състояние</w:t>
            </w:r>
          </w:p>
        </w:tc>
        <w:tc>
          <w:tcPr>
            <w:tcW w:w="0" w:type="auto"/>
            <w:tcBorders>
              <w:top w:val="single" w:sz="4" w:space="0" w:color="auto"/>
              <w:left w:val="single" w:sz="4" w:space="0" w:color="auto"/>
              <w:right w:val="single" w:sz="4" w:space="0" w:color="auto"/>
            </w:tcBorders>
            <w:shd w:val="clear" w:color="auto" w:fill="FFFFFF"/>
          </w:tcPr>
          <w:p w14:paraId="1CEC1F4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60883064" w14:textId="77777777" w:rsidTr="008A7E6F">
        <w:trPr>
          <w:trHeight w:hRule="exact" w:val="254"/>
          <w:jc w:val="center"/>
        </w:trPr>
        <w:tc>
          <w:tcPr>
            <w:tcW w:w="0" w:type="auto"/>
            <w:tcBorders>
              <w:top w:val="single" w:sz="4" w:space="0" w:color="auto"/>
              <w:left w:val="single" w:sz="4" w:space="0" w:color="auto"/>
            </w:tcBorders>
            <w:shd w:val="clear" w:color="auto" w:fill="FFFFFF"/>
            <w:vAlign w:val="center"/>
          </w:tcPr>
          <w:p w14:paraId="1FCF4477"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163</w:t>
            </w:r>
          </w:p>
        </w:tc>
        <w:tc>
          <w:tcPr>
            <w:tcW w:w="0" w:type="auto"/>
            <w:tcBorders>
              <w:top w:val="single" w:sz="4" w:space="0" w:color="auto"/>
              <w:left w:val="single" w:sz="4" w:space="0" w:color="auto"/>
            </w:tcBorders>
            <w:shd w:val="clear" w:color="auto" w:fill="FFFFFF"/>
            <w:vAlign w:val="center"/>
          </w:tcPr>
          <w:p w14:paraId="6D8242FF"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BG4ST900R1007</w:t>
            </w:r>
          </w:p>
        </w:tc>
        <w:tc>
          <w:tcPr>
            <w:tcW w:w="0" w:type="auto"/>
            <w:tcBorders>
              <w:top w:val="single" w:sz="4" w:space="0" w:color="auto"/>
              <w:left w:val="single" w:sz="4" w:space="0" w:color="auto"/>
            </w:tcBorders>
            <w:shd w:val="clear" w:color="auto" w:fill="FFFFFF"/>
          </w:tcPr>
          <w:p w14:paraId="39513290"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Арката от изворите до яз. Долна Диканя</w:t>
            </w:r>
          </w:p>
        </w:tc>
        <w:tc>
          <w:tcPr>
            <w:tcW w:w="0" w:type="auto"/>
            <w:tcBorders>
              <w:top w:val="single" w:sz="4" w:space="0" w:color="auto"/>
              <w:left w:val="single" w:sz="4" w:space="0" w:color="auto"/>
            </w:tcBorders>
            <w:shd w:val="clear" w:color="auto" w:fill="FFFFFF"/>
          </w:tcPr>
          <w:p w14:paraId="7B0D96F3"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5364E3E8"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неизвестно състояние</w:t>
            </w:r>
          </w:p>
        </w:tc>
      </w:tr>
      <w:tr w:rsidR="007E18C8" w:rsidRPr="009F6D1E" w14:paraId="58E2807E"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63B568DB"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164</w:t>
            </w:r>
          </w:p>
        </w:tc>
        <w:tc>
          <w:tcPr>
            <w:tcW w:w="0" w:type="auto"/>
            <w:tcBorders>
              <w:top w:val="single" w:sz="4" w:space="0" w:color="auto"/>
              <w:left w:val="single" w:sz="4" w:space="0" w:color="auto"/>
            </w:tcBorders>
            <w:shd w:val="clear" w:color="auto" w:fill="FFFFFF"/>
            <w:vAlign w:val="center"/>
          </w:tcPr>
          <w:p w14:paraId="4184956A"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BG4ST900R1009</w:t>
            </w:r>
          </w:p>
        </w:tc>
        <w:tc>
          <w:tcPr>
            <w:tcW w:w="0" w:type="auto"/>
            <w:tcBorders>
              <w:top w:val="single" w:sz="4" w:space="0" w:color="auto"/>
              <w:left w:val="single" w:sz="4" w:space="0" w:color="auto"/>
            </w:tcBorders>
            <w:shd w:val="clear" w:color="auto" w:fill="FFFFFF"/>
          </w:tcPr>
          <w:p w14:paraId="1664E704"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Арката от яз. Долна Диканя до вливане в р. Струма</w:t>
            </w:r>
          </w:p>
        </w:tc>
        <w:tc>
          <w:tcPr>
            <w:tcW w:w="0" w:type="auto"/>
            <w:tcBorders>
              <w:top w:val="single" w:sz="4" w:space="0" w:color="auto"/>
              <w:left w:val="single" w:sz="4" w:space="0" w:color="auto"/>
            </w:tcBorders>
            <w:shd w:val="clear" w:color="auto" w:fill="FFFFFF"/>
          </w:tcPr>
          <w:p w14:paraId="37FF405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умерен потенциал</w:t>
            </w:r>
          </w:p>
        </w:tc>
        <w:tc>
          <w:tcPr>
            <w:tcW w:w="0" w:type="auto"/>
            <w:tcBorders>
              <w:top w:val="single" w:sz="4" w:space="0" w:color="auto"/>
              <w:left w:val="single" w:sz="4" w:space="0" w:color="auto"/>
              <w:right w:val="single" w:sz="4" w:space="0" w:color="auto"/>
            </w:tcBorders>
            <w:shd w:val="clear" w:color="auto" w:fill="FFFFFF"/>
          </w:tcPr>
          <w:p w14:paraId="565368A6"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недостигащо добро</w:t>
            </w:r>
          </w:p>
        </w:tc>
      </w:tr>
      <w:tr w:rsidR="007E18C8" w:rsidRPr="009F6D1E" w14:paraId="69204A75" w14:textId="77777777" w:rsidTr="008A7E6F">
        <w:trPr>
          <w:trHeight w:hRule="exact" w:val="259"/>
          <w:jc w:val="center"/>
        </w:trPr>
        <w:tc>
          <w:tcPr>
            <w:tcW w:w="0" w:type="auto"/>
            <w:tcBorders>
              <w:top w:val="single" w:sz="4" w:space="0" w:color="auto"/>
              <w:left w:val="single" w:sz="4" w:space="0" w:color="auto"/>
            </w:tcBorders>
            <w:shd w:val="clear" w:color="auto" w:fill="FFFFFF"/>
            <w:vAlign w:val="center"/>
          </w:tcPr>
          <w:p w14:paraId="046859F6"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165</w:t>
            </w:r>
          </w:p>
        </w:tc>
        <w:tc>
          <w:tcPr>
            <w:tcW w:w="0" w:type="auto"/>
            <w:tcBorders>
              <w:top w:val="single" w:sz="4" w:space="0" w:color="auto"/>
              <w:left w:val="single" w:sz="4" w:space="0" w:color="auto"/>
            </w:tcBorders>
            <w:shd w:val="clear" w:color="auto" w:fill="FFFFFF"/>
            <w:vAlign w:val="center"/>
          </w:tcPr>
          <w:p w14:paraId="324FF35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BG4ST900R1105</w:t>
            </w:r>
          </w:p>
        </w:tc>
        <w:tc>
          <w:tcPr>
            <w:tcW w:w="0" w:type="auto"/>
            <w:tcBorders>
              <w:top w:val="single" w:sz="4" w:space="0" w:color="auto"/>
              <w:left w:val="single" w:sz="4" w:space="0" w:color="auto"/>
            </w:tcBorders>
            <w:shd w:val="clear" w:color="auto" w:fill="FFFFFF"/>
          </w:tcPr>
          <w:p w14:paraId="4036C9DD"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Конска от изворите до кота 840 м.</w:t>
            </w:r>
          </w:p>
        </w:tc>
        <w:tc>
          <w:tcPr>
            <w:tcW w:w="0" w:type="auto"/>
            <w:tcBorders>
              <w:top w:val="single" w:sz="4" w:space="0" w:color="auto"/>
              <w:left w:val="single" w:sz="4" w:space="0" w:color="auto"/>
            </w:tcBorders>
            <w:shd w:val="clear" w:color="auto" w:fill="FFFFFF"/>
          </w:tcPr>
          <w:p w14:paraId="10EAEFC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1FFDDD52"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6F20D68" w14:textId="77777777" w:rsidTr="008A7E6F">
        <w:trPr>
          <w:trHeight w:hRule="exact" w:val="240"/>
          <w:jc w:val="center"/>
        </w:trPr>
        <w:tc>
          <w:tcPr>
            <w:tcW w:w="0" w:type="auto"/>
            <w:tcBorders>
              <w:top w:val="single" w:sz="4" w:space="0" w:color="auto"/>
              <w:left w:val="single" w:sz="4" w:space="0" w:color="auto"/>
            </w:tcBorders>
            <w:shd w:val="clear" w:color="auto" w:fill="FFFFFF"/>
            <w:vAlign w:val="center"/>
          </w:tcPr>
          <w:p w14:paraId="16D56923"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166</w:t>
            </w:r>
          </w:p>
        </w:tc>
        <w:tc>
          <w:tcPr>
            <w:tcW w:w="0" w:type="auto"/>
            <w:tcBorders>
              <w:top w:val="single" w:sz="4" w:space="0" w:color="auto"/>
              <w:left w:val="single" w:sz="4" w:space="0" w:color="auto"/>
            </w:tcBorders>
            <w:shd w:val="clear" w:color="auto" w:fill="FFFFFF"/>
            <w:vAlign w:val="center"/>
          </w:tcPr>
          <w:p w14:paraId="142F1625"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BG4ST900R1107</w:t>
            </w:r>
          </w:p>
        </w:tc>
        <w:tc>
          <w:tcPr>
            <w:tcW w:w="0" w:type="auto"/>
            <w:tcBorders>
              <w:top w:val="single" w:sz="4" w:space="0" w:color="auto"/>
              <w:left w:val="single" w:sz="4" w:space="0" w:color="auto"/>
            </w:tcBorders>
            <w:shd w:val="clear" w:color="auto" w:fill="FFFFFF"/>
          </w:tcPr>
          <w:p w14:paraId="6D714648"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rPr>
              <w:t>р. Дълбоки дол от изворите до кота 875 м.</w:t>
            </w:r>
          </w:p>
        </w:tc>
        <w:tc>
          <w:tcPr>
            <w:tcW w:w="0" w:type="auto"/>
            <w:tcBorders>
              <w:top w:val="single" w:sz="4" w:space="0" w:color="auto"/>
              <w:left w:val="single" w:sz="4" w:space="0" w:color="auto"/>
            </w:tcBorders>
            <w:shd w:val="clear" w:color="auto" w:fill="FFFFFF"/>
          </w:tcPr>
          <w:p w14:paraId="2DA224E1"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right w:val="single" w:sz="4" w:space="0" w:color="auto"/>
            </w:tcBorders>
            <w:shd w:val="clear" w:color="auto" w:fill="FFFFFF"/>
          </w:tcPr>
          <w:p w14:paraId="406D94CB"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r w:rsidR="007E18C8" w:rsidRPr="009F6D1E" w14:paraId="49501FC5" w14:textId="77777777" w:rsidTr="008A7E6F">
        <w:trPr>
          <w:trHeight w:hRule="exact" w:val="250"/>
          <w:jc w:val="center"/>
        </w:trPr>
        <w:tc>
          <w:tcPr>
            <w:tcW w:w="0" w:type="auto"/>
            <w:tcBorders>
              <w:top w:val="single" w:sz="4" w:space="0" w:color="auto"/>
              <w:left w:val="single" w:sz="4" w:space="0" w:color="auto"/>
              <w:bottom w:val="single" w:sz="4" w:space="0" w:color="auto"/>
            </w:tcBorders>
            <w:shd w:val="clear" w:color="auto" w:fill="FFFFFF"/>
            <w:vAlign w:val="center"/>
          </w:tcPr>
          <w:p w14:paraId="4EF92A91" w14:textId="77777777" w:rsidR="005B1C6B" w:rsidRPr="009F6D1E" w:rsidRDefault="005B1C6B" w:rsidP="0084747F">
            <w:pPr>
              <w:spacing w:after="60" w:line="264" w:lineRule="auto"/>
              <w:ind w:left="140"/>
              <w:jc w:val="center"/>
              <w:rPr>
                <w:rFonts w:cs="Times New Roman"/>
                <w:sz w:val="20"/>
                <w:szCs w:val="20"/>
              </w:rPr>
            </w:pPr>
            <w:r w:rsidRPr="009F6D1E">
              <w:rPr>
                <w:rStyle w:val="Bodytext210pt"/>
                <w:rFonts w:eastAsia="ヒラギノ角ゴ Pro W3"/>
              </w:rPr>
              <w:t>167</w:t>
            </w:r>
          </w:p>
        </w:tc>
        <w:tc>
          <w:tcPr>
            <w:tcW w:w="0" w:type="auto"/>
            <w:tcBorders>
              <w:top w:val="single" w:sz="4" w:space="0" w:color="auto"/>
              <w:left w:val="single" w:sz="4" w:space="0" w:color="auto"/>
              <w:bottom w:val="single" w:sz="4" w:space="0" w:color="auto"/>
            </w:tcBorders>
            <w:shd w:val="clear" w:color="auto" w:fill="FFFFFF"/>
            <w:vAlign w:val="center"/>
          </w:tcPr>
          <w:p w14:paraId="47E2EA12" w14:textId="77777777" w:rsidR="005B1C6B" w:rsidRPr="009F6D1E" w:rsidRDefault="005B1C6B" w:rsidP="0084747F">
            <w:pPr>
              <w:spacing w:after="60" w:line="264" w:lineRule="auto"/>
              <w:rPr>
                <w:rFonts w:cs="Times New Roman"/>
                <w:sz w:val="20"/>
                <w:szCs w:val="20"/>
              </w:rPr>
            </w:pPr>
            <w:r w:rsidRPr="009F6D1E">
              <w:rPr>
                <w:rStyle w:val="Bodytext210pt"/>
                <w:rFonts w:eastAsia="ヒラギノ角ゴ Pro W3"/>
                <w:lang w:bidi="en-US"/>
              </w:rPr>
              <w:t>BG4ST900R1205</w:t>
            </w:r>
          </w:p>
        </w:tc>
        <w:tc>
          <w:tcPr>
            <w:tcW w:w="0" w:type="auto"/>
            <w:tcBorders>
              <w:top w:val="single" w:sz="4" w:space="0" w:color="auto"/>
              <w:left w:val="single" w:sz="4" w:space="0" w:color="auto"/>
              <w:bottom w:val="single" w:sz="4" w:space="0" w:color="auto"/>
            </w:tcBorders>
            <w:shd w:val="clear" w:color="auto" w:fill="FFFFFF"/>
          </w:tcPr>
          <w:p w14:paraId="673A95DE" w14:textId="77777777" w:rsidR="005B1C6B" w:rsidRPr="009F6D1E" w:rsidRDefault="005B1C6B" w:rsidP="0084747F">
            <w:pPr>
              <w:spacing w:after="60" w:line="264" w:lineRule="auto"/>
              <w:rPr>
                <w:rFonts w:cs="Times New Roman"/>
                <w:sz w:val="20"/>
                <w:szCs w:val="20"/>
              </w:rPr>
            </w:pPr>
            <w:proofErr w:type="spellStart"/>
            <w:r w:rsidRPr="009F6D1E">
              <w:rPr>
                <w:rStyle w:val="Bodytext210pt"/>
                <w:rFonts w:eastAsia="ヒラギノ角ゴ Pro W3"/>
              </w:rPr>
              <w:t>р.Конска</w:t>
            </w:r>
            <w:proofErr w:type="spellEnd"/>
            <w:r w:rsidRPr="009F6D1E">
              <w:rPr>
                <w:rStyle w:val="Bodytext210pt"/>
                <w:rFonts w:eastAsia="ヒラギノ角ゴ Pro W3"/>
              </w:rPr>
              <w:t xml:space="preserve"> от изворите до кота 130м.</w:t>
            </w:r>
          </w:p>
        </w:tc>
        <w:tc>
          <w:tcPr>
            <w:tcW w:w="0" w:type="auto"/>
            <w:tcBorders>
              <w:top w:val="single" w:sz="4" w:space="0" w:color="auto"/>
              <w:left w:val="single" w:sz="4" w:space="0" w:color="auto"/>
              <w:bottom w:val="single" w:sz="4" w:space="0" w:color="auto"/>
            </w:tcBorders>
            <w:shd w:val="clear" w:color="auto" w:fill="FFFFFF"/>
          </w:tcPr>
          <w:p w14:paraId="4D9463FA"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50CC5119" w14:textId="77777777" w:rsidR="005B1C6B" w:rsidRPr="009F6D1E" w:rsidRDefault="007E18C8" w:rsidP="0084747F">
            <w:pPr>
              <w:spacing w:after="60" w:line="264" w:lineRule="auto"/>
              <w:jc w:val="center"/>
              <w:rPr>
                <w:rFonts w:cs="Times New Roman"/>
                <w:sz w:val="20"/>
                <w:szCs w:val="20"/>
              </w:rPr>
            </w:pPr>
            <w:r w:rsidRPr="009F6D1E">
              <w:rPr>
                <w:rStyle w:val="Bodytext210pt"/>
                <w:rFonts w:eastAsia="ヒラギノ角ゴ Pro W3"/>
              </w:rPr>
              <w:t>добро състояние</w:t>
            </w:r>
          </w:p>
        </w:tc>
      </w:tr>
    </w:tbl>
    <w:p w14:paraId="21DFB3CA" w14:textId="77777777" w:rsidR="005B1C6B" w:rsidRPr="009F6D1E" w:rsidRDefault="005B1C6B" w:rsidP="0084747F">
      <w:pPr>
        <w:pStyle w:val="a0"/>
        <w:widowControl/>
        <w:tabs>
          <w:tab w:val="left" w:pos="993"/>
        </w:tabs>
        <w:spacing w:after="60" w:line="264" w:lineRule="auto"/>
        <w:ind w:left="0" w:right="0" w:firstLine="720"/>
        <w:jc w:val="right"/>
        <w:rPr>
          <w:i/>
        </w:rPr>
        <w:sectPr w:rsidR="005B1C6B" w:rsidRPr="009F6D1E" w:rsidSect="00981F7B">
          <w:pgSz w:w="16840" w:h="11907" w:orient="landscape" w:code="9"/>
          <w:pgMar w:top="1418" w:right="1418" w:bottom="851" w:left="1134" w:header="709" w:footer="709" w:gutter="0"/>
          <w:cols w:space="720"/>
          <w:docGrid w:linePitch="360"/>
        </w:sectPr>
      </w:pPr>
      <w:r w:rsidRPr="009F6D1E">
        <w:rPr>
          <w:i/>
        </w:rPr>
        <w:t>Източник БДЗБР</w:t>
      </w:r>
    </w:p>
    <w:p w14:paraId="1E012374" w14:textId="77777777" w:rsidR="005B1C6B" w:rsidRPr="009F6D1E" w:rsidRDefault="005B1C6B" w:rsidP="0084747F">
      <w:pPr>
        <w:spacing w:after="60" w:line="264" w:lineRule="auto"/>
        <w:rPr>
          <w:rFonts w:cs="Times New Roman"/>
          <w:sz w:val="2"/>
          <w:szCs w:val="2"/>
          <w:highlight w:val="green"/>
        </w:rPr>
      </w:pPr>
    </w:p>
    <w:p w14:paraId="2CB9CF2A" w14:textId="77777777" w:rsidR="005B1C6B" w:rsidRPr="009F6D1E" w:rsidRDefault="005B1C6B" w:rsidP="0084747F">
      <w:pPr>
        <w:pStyle w:val="a0"/>
        <w:widowControl/>
        <w:tabs>
          <w:tab w:val="left" w:pos="993"/>
        </w:tabs>
        <w:spacing w:after="60" w:line="264" w:lineRule="auto"/>
        <w:ind w:left="0" w:right="0" w:firstLine="720"/>
      </w:pPr>
      <w:r w:rsidRPr="009F6D1E">
        <w:t>Съгласно Национален доклад за състоянието и опазването на околната среда в Република България, 2021 година.</w:t>
      </w:r>
    </w:p>
    <w:p w14:paraId="6F4D56AC" w14:textId="77777777" w:rsidR="005B1C6B" w:rsidRPr="009F6D1E" w:rsidRDefault="00B31938" w:rsidP="0084747F">
      <w:pPr>
        <w:widowControl w:val="0"/>
        <w:numPr>
          <w:ilvl w:val="0"/>
          <w:numId w:val="5"/>
        </w:numPr>
        <w:tabs>
          <w:tab w:val="left" w:pos="720"/>
          <w:tab w:val="left" w:pos="1080"/>
        </w:tabs>
        <w:spacing w:after="60" w:line="264" w:lineRule="auto"/>
        <w:jc w:val="both"/>
        <w:rPr>
          <w:rFonts w:eastAsia="Times New Roman" w:cs="Times New Roman"/>
          <w:szCs w:val="24"/>
          <w:lang w:eastAsia="bg-BG" w:bidi="bg-BG"/>
        </w:rPr>
      </w:pPr>
      <w:r w:rsidRPr="009F6D1E">
        <w:rPr>
          <w:rFonts w:eastAsia="Times New Roman" w:cs="Times New Roman"/>
          <w:szCs w:val="24"/>
          <w:lang w:eastAsia="bg-BG" w:bidi="bg-BG"/>
        </w:rPr>
        <w:t xml:space="preserve">Се </w:t>
      </w:r>
      <w:r w:rsidR="005B1C6B" w:rsidRPr="009F6D1E">
        <w:rPr>
          <w:rFonts w:eastAsia="Times New Roman" w:cs="Times New Roman"/>
          <w:szCs w:val="24"/>
          <w:lang w:eastAsia="bg-BG" w:bidi="bg-BG"/>
        </w:rPr>
        <w:t>запазва тенденцията, наблюдавана през последните години за подобряване на качеството на водите. Въпреки тази тенденция все още има водни тела определени в риск, като за подобряване на състоянието им са изготвени програми от мерки за достигане на добро екологично състояние.</w:t>
      </w:r>
    </w:p>
    <w:p w14:paraId="0502EB37" w14:textId="77777777" w:rsidR="005B1C6B" w:rsidRPr="009F6D1E" w:rsidRDefault="00B31938" w:rsidP="0084747F">
      <w:pPr>
        <w:widowControl w:val="0"/>
        <w:numPr>
          <w:ilvl w:val="0"/>
          <w:numId w:val="5"/>
        </w:numPr>
        <w:tabs>
          <w:tab w:val="left" w:pos="720"/>
          <w:tab w:val="left" w:pos="1080"/>
        </w:tabs>
        <w:spacing w:after="60" w:line="264" w:lineRule="auto"/>
        <w:jc w:val="both"/>
        <w:rPr>
          <w:rFonts w:eastAsia="Times New Roman" w:cs="Times New Roman"/>
          <w:szCs w:val="24"/>
          <w:lang w:eastAsia="bg-BG" w:bidi="bg-BG"/>
        </w:rPr>
      </w:pPr>
      <w:r w:rsidRPr="009F6D1E">
        <w:rPr>
          <w:rFonts w:eastAsia="Times New Roman" w:cs="Times New Roman"/>
          <w:szCs w:val="24"/>
          <w:lang w:eastAsia="bg-BG" w:bidi="bg-BG"/>
        </w:rPr>
        <w:t xml:space="preserve">Се </w:t>
      </w:r>
      <w:r w:rsidR="005B1C6B" w:rsidRPr="009F6D1E">
        <w:rPr>
          <w:rFonts w:eastAsia="Times New Roman" w:cs="Times New Roman"/>
          <w:szCs w:val="24"/>
          <w:lang w:eastAsia="bg-BG" w:bidi="bg-BG"/>
        </w:rPr>
        <w:t>наблюдава запазване на тенденцията за подобряване качеството на повърхностните води в България по отношение на основните физико-химични показатели, както в краткосрочен, така и в дългосрочен план.</w:t>
      </w:r>
    </w:p>
    <w:p w14:paraId="5C0651A7" w14:textId="77777777" w:rsidR="005B1C6B" w:rsidRPr="009F6D1E" w:rsidRDefault="00B31938" w:rsidP="0084747F">
      <w:pPr>
        <w:widowControl w:val="0"/>
        <w:numPr>
          <w:ilvl w:val="0"/>
          <w:numId w:val="5"/>
        </w:numPr>
        <w:tabs>
          <w:tab w:val="left" w:pos="720"/>
          <w:tab w:val="left" w:pos="1080"/>
        </w:tabs>
        <w:spacing w:after="60" w:line="264" w:lineRule="auto"/>
        <w:jc w:val="both"/>
        <w:rPr>
          <w:rFonts w:eastAsia="Times New Roman" w:cs="Times New Roman"/>
          <w:szCs w:val="24"/>
          <w:lang w:eastAsia="bg-BG" w:bidi="bg-BG"/>
        </w:rPr>
      </w:pPr>
      <w:r w:rsidRPr="009F6D1E">
        <w:rPr>
          <w:rFonts w:eastAsia="Times New Roman" w:cs="Times New Roman"/>
          <w:szCs w:val="24"/>
          <w:lang w:eastAsia="bg-BG" w:bidi="bg-BG"/>
        </w:rPr>
        <w:t xml:space="preserve">Е </w:t>
      </w:r>
      <w:r w:rsidR="005B1C6B" w:rsidRPr="009F6D1E">
        <w:rPr>
          <w:rFonts w:eastAsia="Times New Roman" w:cs="Times New Roman"/>
          <w:szCs w:val="24"/>
          <w:lang w:eastAsia="bg-BG" w:bidi="bg-BG"/>
        </w:rPr>
        <w:t>направената оценка на индикативните основни физико-химични показатели, поддържащи биологичните елементи за качество, показва, че по-голяма част от обследваните пунктове попадат в категорията отлично-добро състояние.</w:t>
      </w:r>
    </w:p>
    <w:p w14:paraId="7977681A" w14:textId="77777777" w:rsidR="005B1C6B" w:rsidRPr="009F6D1E" w:rsidRDefault="00B31938" w:rsidP="0084747F">
      <w:pPr>
        <w:widowControl w:val="0"/>
        <w:numPr>
          <w:ilvl w:val="0"/>
          <w:numId w:val="5"/>
        </w:numPr>
        <w:tabs>
          <w:tab w:val="left" w:pos="720"/>
          <w:tab w:val="left" w:pos="1080"/>
        </w:tabs>
        <w:spacing w:after="60" w:line="264" w:lineRule="auto"/>
        <w:jc w:val="both"/>
        <w:rPr>
          <w:rFonts w:eastAsia="Times New Roman" w:cs="Times New Roman"/>
          <w:szCs w:val="24"/>
          <w:lang w:eastAsia="bg-BG" w:bidi="bg-BG"/>
        </w:rPr>
      </w:pPr>
      <w:r w:rsidRPr="009F6D1E">
        <w:rPr>
          <w:rFonts w:eastAsia="Times New Roman" w:cs="Times New Roman"/>
          <w:szCs w:val="24"/>
          <w:lang w:eastAsia="bg-BG" w:bidi="bg-BG"/>
        </w:rPr>
        <w:t xml:space="preserve">Концентрациите </w:t>
      </w:r>
      <w:r w:rsidR="005B1C6B" w:rsidRPr="009F6D1E">
        <w:rPr>
          <w:rFonts w:eastAsia="Times New Roman" w:cs="Times New Roman"/>
          <w:szCs w:val="24"/>
          <w:lang w:eastAsia="bg-BG" w:bidi="bg-BG"/>
        </w:rPr>
        <w:t>на O2 (разтворен кислород), NH4-N (Амониев азот), N-NO3 (Нитратен азот), БПК5 (Биохимична потребност от кислород) и PO4-P (</w:t>
      </w:r>
      <w:proofErr w:type="spellStart"/>
      <w:r w:rsidR="005B1C6B" w:rsidRPr="009F6D1E">
        <w:rPr>
          <w:rFonts w:eastAsia="Times New Roman" w:cs="Times New Roman"/>
          <w:szCs w:val="24"/>
          <w:lang w:eastAsia="bg-BG" w:bidi="bg-BG"/>
        </w:rPr>
        <w:t>Ортофосфати</w:t>
      </w:r>
      <w:proofErr w:type="spellEnd"/>
      <w:r w:rsidR="005B1C6B" w:rsidRPr="009F6D1E">
        <w:rPr>
          <w:rFonts w:eastAsia="Times New Roman" w:cs="Times New Roman"/>
          <w:szCs w:val="24"/>
          <w:lang w:eastAsia="bg-BG" w:bidi="bg-BG"/>
        </w:rPr>
        <w:t>) показват намаляване на нивата си от предходни години. През последните две години се запазва понижение на концентрациите в страната като цяло.</w:t>
      </w:r>
    </w:p>
    <w:p w14:paraId="74E1B7FC" w14:textId="77777777" w:rsidR="00AE5785" w:rsidRPr="009F6D1E" w:rsidRDefault="00AE5785" w:rsidP="0084747F">
      <w:pPr>
        <w:spacing w:after="60" w:line="264" w:lineRule="auto"/>
        <w:jc w:val="both"/>
        <w:rPr>
          <w:rFonts w:cs="Times New Roman"/>
          <w:highlight w:val="green"/>
        </w:rPr>
      </w:pPr>
    </w:p>
    <w:p w14:paraId="125C3935" w14:textId="77777777" w:rsidR="00DE0565" w:rsidRPr="009F6D1E" w:rsidRDefault="00DE0565" w:rsidP="0084747F">
      <w:pPr>
        <w:pStyle w:val="a0"/>
        <w:widowControl/>
        <w:tabs>
          <w:tab w:val="left" w:pos="993"/>
        </w:tabs>
        <w:spacing w:after="60" w:line="264" w:lineRule="auto"/>
        <w:ind w:left="0" w:right="0" w:firstLine="720"/>
        <w:rPr>
          <w:b/>
          <w:bCs/>
        </w:rPr>
      </w:pPr>
      <w:r w:rsidRPr="009F6D1E">
        <w:rPr>
          <w:b/>
          <w:bCs/>
        </w:rPr>
        <w:t>Състояние на крайбрежни морски води в Черно море</w:t>
      </w:r>
    </w:p>
    <w:p w14:paraId="5890C36C" w14:textId="165129F1" w:rsidR="000A433C" w:rsidRDefault="000A433C" w:rsidP="0084747F">
      <w:pPr>
        <w:pStyle w:val="a0"/>
        <w:widowControl/>
        <w:tabs>
          <w:tab w:val="left" w:pos="993"/>
        </w:tabs>
        <w:spacing w:after="60" w:line="264" w:lineRule="auto"/>
        <w:ind w:left="0" w:right="0" w:firstLine="720"/>
      </w:pPr>
      <w:bookmarkStart w:id="272" w:name="bookmark94"/>
      <w:r w:rsidRPr="000A433C">
        <w:t xml:space="preserve"> Предвид удължен срок за изпълнение на мониторинг на крайбрежни морски води в Черно море и продължаваща оценка и приемане изпълнението на мониторинговите дейности, информация за състоянието на морската околна среда през 2020 г., ще бъде включена в Националния доклад за състоянието и опазването на околната среда за 2021 г. След преглед, обобщаване на данните и анализ на състоянието на морската околна среда, ще бъде </w:t>
      </w:r>
      <w:proofErr w:type="spellStart"/>
      <w:r w:rsidRPr="000A433C">
        <w:t>актулизиран</w:t>
      </w:r>
      <w:proofErr w:type="spellEnd"/>
      <w:r w:rsidRPr="000A433C">
        <w:t xml:space="preserve"> Годишен доклад за оценка на актуалното състояние на водите в Черноморски район – 2020 г.</w:t>
      </w:r>
      <w:r>
        <w:t xml:space="preserve"> Ето защо по-долу представената характеристика на морските води е въз основа на данни от 2019 </w:t>
      </w:r>
      <w:proofErr w:type="spellStart"/>
      <w:r>
        <w:t>тод</w:t>
      </w:r>
      <w:proofErr w:type="spellEnd"/>
      <w:r>
        <w:t>.</w:t>
      </w:r>
    </w:p>
    <w:p w14:paraId="770B6710" w14:textId="4B06A264" w:rsidR="00DE0565" w:rsidRPr="009F6D1E" w:rsidRDefault="00DE0565" w:rsidP="0084747F">
      <w:pPr>
        <w:pStyle w:val="a0"/>
        <w:widowControl/>
        <w:tabs>
          <w:tab w:val="left" w:pos="993"/>
        </w:tabs>
        <w:spacing w:after="60" w:line="264" w:lineRule="auto"/>
        <w:ind w:left="0" w:right="0" w:firstLine="720"/>
      </w:pPr>
      <w:r w:rsidRPr="009F6D1E">
        <w:t>Първоначалната оценка на състоянието на морската околна среда, дефинициите за добро състояние на морската околна среда (ДСМОС) и набелязването на екологични цели и свързаните с тях индикатори представляват първата част от Морската стратегия. В съответствие с РДМС 2008/56/ЕО целият Черноморски басейн се разглежда като един регион. На ниво държава членка РДМС се отнася задължително до обхвата на териториалните води и изключителната икономическа зона (ИИЗ). По дефиниция, ИИЗ е морското пространство до 200 морски мили извън площта, прилежаща към териториалното море, в което крайбрежната държава упражнява своите права и суверенитет за целите на проучване и експлоатация, опазване и управление на природните ресурси, независимо дали живи или неживи, морското дъно, както и</w:t>
      </w:r>
      <w:bookmarkEnd w:id="272"/>
      <w:r w:rsidRPr="009F6D1E">
        <w:t xml:space="preserve"> покриващите го води. ИИЗ е с ширина 200 морски мили от правите линии, от които се измерва териториалното море, съгласно членове 55, 56 и 57 на Конвенция на ООН по морско право (UNCLOS). През 2000 г. е приет Закон за морските пространства, вътрешните водни пътища и пристанищата на Република България, с който се урежда правния режим на морските пространства, вътрешните водни пътища и пристанищата на страната и кои </w:t>
      </w:r>
      <w:r w:rsidRPr="009F6D1E">
        <w:lastRenderedPageBreak/>
        <w:t>пространства обхващат вътрешните морски води, териториалното море, прилежащата зона, континенталния шелф и изключителната икономическа зона. Българската ИИЗ възлиза на 29 052 km</w:t>
      </w:r>
      <w:r w:rsidRPr="009F6D1E">
        <w:rPr>
          <w:vertAlign w:val="superscript"/>
        </w:rPr>
        <w:t>2</w:t>
      </w:r>
      <w:r w:rsidRPr="009F6D1E">
        <w:t>, т.е. 6.8% от общата площ (421 638 km</w:t>
      </w:r>
      <w:r w:rsidRPr="009F6D1E">
        <w:rPr>
          <w:vertAlign w:val="superscript"/>
        </w:rPr>
        <w:t>2</w:t>
      </w:r>
      <w:r w:rsidRPr="009F6D1E">
        <w:t xml:space="preserve">), а дължината на бреговата ивица - 414 </w:t>
      </w:r>
      <w:proofErr w:type="spellStart"/>
      <w:r w:rsidRPr="009F6D1E">
        <w:t>km</w:t>
      </w:r>
      <w:proofErr w:type="spellEnd"/>
      <w:r w:rsidRPr="009F6D1E">
        <w:t xml:space="preserve">, т.е. 8.5% от общата дължина на бреговата ивица на Черно море (4 869 </w:t>
      </w:r>
      <w:proofErr w:type="spellStart"/>
      <w:r w:rsidRPr="009F6D1E">
        <w:t>km</w:t>
      </w:r>
      <w:proofErr w:type="spellEnd"/>
      <w:r w:rsidRPr="009F6D1E">
        <w:t>).</w:t>
      </w:r>
    </w:p>
    <w:p w14:paraId="0B7DD597" w14:textId="77777777" w:rsidR="00DE0565" w:rsidRPr="009F6D1E" w:rsidRDefault="00DE0565" w:rsidP="0084747F">
      <w:pPr>
        <w:pStyle w:val="a0"/>
        <w:widowControl/>
        <w:tabs>
          <w:tab w:val="left" w:pos="993"/>
        </w:tabs>
        <w:spacing w:after="60" w:line="264" w:lineRule="auto"/>
        <w:ind w:left="0" w:right="0" w:firstLine="720"/>
      </w:pPr>
      <w:r w:rsidRPr="009F6D1E">
        <w:t>На фона на глобалните изменения, значителният натиск от човешката дейност на страните от Черноморския регион допринася за влошаването на условията за живот на морските обитатели и екосистеми, което се проявява най-силно в крайбрежните морски води. В същото време, естествената циркулация на водите в Черно море и относителната близост на реките, които имат основен дял във водния баланс, както и замърсяването на Черно море са предпоставка за значителната уязвимост на морските екосистеми, което определя важността на регионалното сътрудничество при решаването на екологичните проблеми.</w:t>
      </w:r>
    </w:p>
    <w:p w14:paraId="7577B03C" w14:textId="0E716DEB" w:rsidR="00DE0565" w:rsidRPr="009F6D1E" w:rsidRDefault="00DE0565" w:rsidP="0084747F">
      <w:pPr>
        <w:pStyle w:val="a0"/>
        <w:widowControl/>
        <w:tabs>
          <w:tab w:val="left" w:pos="993"/>
        </w:tabs>
        <w:spacing w:after="60" w:line="264" w:lineRule="auto"/>
        <w:ind w:left="0" w:right="0" w:firstLine="720"/>
      </w:pPr>
      <w:r w:rsidRPr="009F6D1E">
        <w:t xml:space="preserve">В рамките на българския континентален шелф, паралелно на бреговата линия се различават три основни </w:t>
      </w:r>
      <w:proofErr w:type="spellStart"/>
      <w:r w:rsidRPr="009F6D1E">
        <w:t>геоморфоложки</w:t>
      </w:r>
      <w:proofErr w:type="spellEnd"/>
      <w:r w:rsidRPr="009F6D1E">
        <w:t xml:space="preserve"> области: прибрежна, централна и периферна. За целите на първоначалната оценка прибрежната плитководна зона е разделена на 5 основни района (</w:t>
      </w:r>
      <w:r>
        <w:fldChar w:fldCharType="begin"/>
      </w:r>
      <w:r>
        <w:instrText xml:space="preserve"> REF _Ref97645078 \h  \* MERGEFORMAT </w:instrText>
      </w:r>
      <w:r>
        <w:fldChar w:fldCharType="separate"/>
      </w:r>
      <w:r w:rsidR="00A43EF3" w:rsidRPr="009F6D1E">
        <w:t xml:space="preserve">Фигура </w:t>
      </w:r>
      <w:r w:rsidR="00A43EF3">
        <w:t>44</w:t>
      </w:r>
      <w:r>
        <w:fldChar w:fldCharType="end"/>
      </w:r>
      <w:r w:rsidRPr="009F6D1E">
        <w:t xml:space="preserve">). Районирането е извършено по два основни показателя - </w:t>
      </w:r>
      <w:proofErr w:type="spellStart"/>
      <w:r w:rsidRPr="009F6D1E">
        <w:t>морфохидрографски</w:t>
      </w:r>
      <w:proofErr w:type="spellEnd"/>
      <w:r w:rsidRPr="009F6D1E">
        <w:t xml:space="preserve"> и </w:t>
      </w:r>
      <w:proofErr w:type="spellStart"/>
      <w:r w:rsidRPr="009F6D1E">
        <w:t>морфометричен</w:t>
      </w:r>
      <w:proofErr w:type="spellEnd"/>
      <w:r w:rsidRPr="009F6D1E">
        <w:t xml:space="preserve">. На база на особеностите в морфологията на релефа, съвременните </w:t>
      </w:r>
      <w:proofErr w:type="spellStart"/>
      <w:r w:rsidRPr="009F6D1E">
        <w:t>седиментационни</w:t>
      </w:r>
      <w:proofErr w:type="spellEnd"/>
      <w:r w:rsidRPr="009F6D1E">
        <w:t xml:space="preserve"> обстановки, </w:t>
      </w:r>
      <w:proofErr w:type="spellStart"/>
      <w:r w:rsidRPr="009F6D1E">
        <w:t>литостратиграфията</w:t>
      </w:r>
      <w:proofErr w:type="spellEnd"/>
      <w:r w:rsidRPr="009F6D1E">
        <w:t xml:space="preserve"> на дънните седименти и хидродинамичните характеристики, централната зона на шелфа е разделена на три района за оценка: Северен, Централен и Южен райони. Периферната </w:t>
      </w:r>
      <w:proofErr w:type="spellStart"/>
      <w:r w:rsidRPr="009F6D1E">
        <w:t>шелфова</w:t>
      </w:r>
      <w:proofErr w:type="spellEnd"/>
      <w:r w:rsidRPr="009F6D1E">
        <w:t xml:space="preserve"> зона, поради специфичния, граничен хидродинамичен режим и геолого-</w:t>
      </w:r>
      <w:proofErr w:type="spellStart"/>
      <w:r w:rsidRPr="009F6D1E">
        <w:t>геоморфоложка</w:t>
      </w:r>
      <w:proofErr w:type="spellEnd"/>
      <w:r w:rsidRPr="009F6D1E">
        <w:t xml:space="preserve"> характеристика, е обособена като самостоятелна зона на оценка.</w:t>
      </w:r>
    </w:p>
    <w:p w14:paraId="0BB0D859" w14:textId="77777777" w:rsidR="00415FD8" w:rsidRPr="009F6D1E" w:rsidRDefault="00415FD8" w:rsidP="0084747F">
      <w:pPr>
        <w:pStyle w:val="a0"/>
        <w:widowControl/>
        <w:tabs>
          <w:tab w:val="left" w:pos="993"/>
        </w:tabs>
        <w:spacing w:after="60" w:line="264" w:lineRule="auto"/>
        <w:ind w:left="0" w:right="0" w:firstLine="0"/>
      </w:pPr>
      <w:r w:rsidRPr="009F6D1E">
        <w:rPr>
          <w:noProof/>
          <w:highlight w:val="green"/>
          <w:lang w:val="en-US"/>
        </w:rPr>
        <w:lastRenderedPageBreak/>
        <w:drawing>
          <wp:anchor distT="0" distB="0" distL="63500" distR="63500" simplePos="0" relativeHeight="251656704" behindDoc="1" locked="0" layoutInCell="1" allowOverlap="1" wp14:anchorId="58714948" wp14:editId="0D152DB8">
            <wp:simplePos x="0" y="0"/>
            <wp:positionH relativeFrom="margin">
              <wp:posOffset>0</wp:posOffset>
            </wp:positionH>
            <wp:positionV relativeFrom="paragraph">
              <wp:posOffset>228600</wp:posOffset>
            </wp:positionV>
            <wp:extent cx="6076950" cy="3775075"/>
            <wp:effectExtent l="0" t="0" r="0" b="0"/>
            <wp:wrapTopAndBottom/>
            <wp:docPr id="748" name="Picture 748" descr="D:\WORK\Стратегически план по ОСП 2021-2027г\ЕО ОПРР\media\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WORK\Стратегически план по ОСП 2021-2027г\ЕО ОПРР\media\image224.jpe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76950" cy="3775075"/>
                    </a:xfrm>
                    <a:prstGeom prst="rect">
                      <a:avLst/>
                    </a:prstGeom>
                    <a:noFill/>
                  </pic:spPr>
                </pic:pic>
              </a:graphicData>
            </a:graphic>
          </wp:anchor>
        </w:drawing>
      </w:r>
    </w:p>
    <w:p w14:paraId="1A688D33" w14:textId="77777777" w:rsidR="00DE0565" w:rsidRPr="009F6D1E" w:rsidRDefault="00DE0565" w:rsidP="0084747F">
      <w:pPr>
        <w:pStyle w:val="Bodytext90"/>
        <w:shd w:val="clear" w:color="auto" w:fill="auto"/>
        <w:spacing w:after="60" w:line="264" w:lineRule="auto"/>
        <w:rPr>
          <w:i w:val="0"/>
          <w:highlight w:val="green"/>
        </w:rPr>
      </w:pPr>
    </w:p>
    <w:p w14:paraId="37FDA037" w14:textId="77777777" w:rsidR="00415FD8" w:rsidRPr="009F6D1E" w:rsidRDefault="00415FD8" w:rsidP="0084747F">
      <w:pPr>
        <w:spacing w:after="60" w:line="264" w:lineRule="auto"/>
        <w:jc w:val="right"/>
        <w:rPr>
          <w:rFonts w:cs="Times New Roman"/>
          <w:i/>
        </w:rPr>
      </w:pPr>
      <w:r w:rsidRPr="009F6D1E">
        <w:rPr>
          <w:rStyle w:val="Picturecaption7Exact"/>
          <w:rFonts w:eastAsiaTheme="minorHAnsi"/>
        </w:rPr>
        <w:t>Източник: Морска стратегия Р. България 2016-2021 г.</w:t>
      </w:r>
    </w:p>
    <w:p w14:paraId="17F82AC9" w14:textId="1935EC79" w:rsidR="00415FD8" w:rsidRPr="009F6D1E" w:rsidRDefault="00415FD8" w:rsidP="0084747F">
      <w:pPr>
        <w:pStyle w:val="Caption"/>
        <w:spacing w:after="60" w:line="264" w:lineRule="auto"/>
        <w:rPr>
          <w:i w:val="0"/>
          <w:iCs w:val="0"/>
        </w:rPr>
      </w:pPr>
      <w:bookmarkStart w:id="273" w:name="_Ref97645078"/>
      <w:bookmarkStart w:id="274" w:name="_Toc115255105"/>
      <w:r w:rsidRPr="009F6D1E">
        <w:t xml:space="preserve">Фигура </w:t>
      </w:r>
      <w:fldSimple w:instr=" SEQ Фигура \* ARABIC ">
        <w:r w:rsidR="00A43EF3">
          <w:rPr>
            <w:noProof/>
          </w:rPr>
          <w:t>44</w:t>
        </w:r>
      </w:fldSimple>
      <w:bookmarkEnd w:id="273"/>
      <w:r w:rsidRPr="009F6D1E">
        <w:t xml:space="preserve">: Райони за първоначална оценка в </w:t>
      </w:r>
      <w:proofErr w:type="spellStart"/>
      <w:r w:rsidRPr="009F6D1E">
        <w:t>бентала</w:t>
      </w:r>
      <w:proofErr w:type="spellEnd"/>
      <w:r w:rsidRPr="009F6D1E">
        <w:t xml:space="preserve"> на Българската акватория на Черно море</w:t>
      </w:r>
      <w:bookmarkEnd w:id="274"/>
    </w:p>
    <w:p w14:paraId="268E1B77" w14:textId="77777777" w:rsidR="00DE0565" w:rsidRPr="009F6D1E" w:rsidRDefault="00DE0565" w:rsidP="0084747F">
      <w:pPr>
        <w:spacing w:after="60" w:line="264" w:lineRule="auto"/>
        <w:jc w:val="both"/>
        <w:rPr>
          <w:rFonts w:cs="Times New Roman"/>
          <w:highlight w:val="green"/>
        </w:rPr>
      </w:pPr>
    </w:p>
    <w:p w14:paraId="34C071C8" w14:textId="77777777" w:rsidR="00DE0565" w:rsidRPr="009F6D1E" w:rsidRDefault="00DE0565" w:rsidP="0084747F">
      <w:pPr>
        <w:pStyle w:val="a0"/>
        <w:widowControl/>
        <w:tabs>
          <w:tab w:val="left" w:pos="993"/>
        </w:tabs>
        <w:spacing w:after="60" w:line="264" w:lineRule="auto"/>
        <w:ind w:left="0" w:right="0" w:firstLine="720"/>
      </w:pPr>
      <w:r w:rsidRPr="009F6D1E">
        <w:t>В обхвата на първоначалната оценка са определени характеристиките и особеностите на Българското Черноморие, по отношение на физикохимичните характеристики, функционалните групи (риби и бозайници), видовете, указани в различни ЕС Директиви и международни споразумения, както и стопански ценните видове. Направена е инвентаризация на неместните видове. Идентифицирани са човешките дейности, упражняващи натиск и въздействие върху морската среда и съответните физически загуби и щети. Направен е анализ на характеристиките, посочени в Анекс III на РДМС. За българските черноморски води е посочена стратификацията, определяща образуването на два слоя - повърхностен аеробен (0-100/150 m) и дълбочинен анаеробен, с присъствие на сероводород.</w:t>
      </w:r>
    </w:p>
    <w:p w14:paraId="55D9DF6B" w14:textId="77777777" w:rsidR="00DE0565" w:rsidRPr="009F6D1E" w:rsidRDefault="00DE0565" w:rsidP="0084747F">
      <w:pPr>
        <w:pStyle w:val="a0"/>
        <w:widowControl/>
        <w:tabs>
          <w:tab w:val="left" w:pos="993"/>
        </w:tabs>
        <w:spacing w:after="60" w:line="264" w:lineRule="auto"/>
        <w:ind w:left="0" w:right="0" w:firstLine="720"/>
      </w:pPr>
      <w:r w:rsidRPr="009F6D1E">
        <w:t>Основните дейности, които оказват негативен ефект върху състоянието на морската околна среда се отнасят към следните икономически сектори:</w:t>
      </w:r>
    </w:p>
    <w:p w14:paraId="225CFCF1"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Градски и промишлени ПСОВ и канализационни мрежи</w:t>
      </w:r>
      <w:r w:rsidR="00415FD8" w:rsidRPr="009F6D1E">
        <w:rPr>
          <w:rFonts w:cs="Times New Roman"/>
          <w:szCs w:val="24"/>
        </w:rPr>
        <w:t>;</w:t>
      </w:r>
    </w:p>
    <w:p w14:paraId="646060B2"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Земеделие</w:t>
      </w:r>
      <w:r w:rsidR="00415FD8" w:rsidRPr="009F6D1E">
        <w:rPr>
          <w:rFonts w:cs="Times New Roman"/>
          <w:szCs w:val="24"/>
        </w:rPr>
        <w:t>;</w:t>
      </w:r>
    </w:p>
    <w:p w14:paraId="606A80E0"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Индустрия</w:t>
      </w:r>
      <w:r w:rsidR="00415FD8" w:rsidRPr="009F6D1E">
        <w:rPr>
          <w:rFonts w:cs="Times New Roman"/>
          <w:szCs w:val="24"/>
        </w:rPr>
        <w:t>;</w:t>
      </w:r>
    </w:p>
    <w:p w14:paraId="70DF0702"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lastRenderedPageBreak/>
        <w:t>Корабоплаване</w:t>
      </w:r>
      <w:r w:rsidR="00415FD8" w:rsidRPr="009F6D1E">
        <w:rPr>
          <w:rFonts w:cs="Times New Roman"/>
          <w:szCs w:val="24"/>
        </w:rPr>
        <w:t>;</w:t>
      </w:r>
    </w:p>
    <w:p w14:paraId="371CDEAC"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Пристанища</w:t>
      </w:r>
      <w:r w:rsidR="00415FD8" w:rsidRPr="009F6D1E">
        <w:rPr>
          <w:rFonts w:cs="Times New Roman"/>
          <w:szCs w:val="24"/>
        </w:rPr>
        <w:t>;</w:t>
      </w:r>
    </w:p>
    <w:p w14:paraId="69974B91"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Рибарство и аквакултури</w:t>
      </w:r>
      <w:r w:rsidR="00415FD8" w:rsidRPr="009F6D1E">
        <w:rPr>
          <w:rFonts w:cs="Times New Roman"/>
          <w:szCs w:val="24"/>
        </w:rPr>
        <w:t>;</w:t>
      </w:r>
    </w:p>
    <w:p w14:paraId="6C3AE6C5"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Туризъм / рекреационни спортове</w:t>
      </w:r>
      <w:r w:rsidR="00415FD8" w:rsidRPr="009F6D1E">
        <w:rPr>
          <w:rFonts w:cs="Times New Roman"/>
          <w:szCs w:val="24"/>
        </w:rPr>
        <w:t>;</w:t>
      </w:r>
    </w:p>
    <w:p w14:paraId="2AB3FF64"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cs="Times New Roman"/>
          <w:szCs w:val="24"/>
        </w:rPr>
        <w:t>Други.</w:t>
      </w:r>
    </w:p>
    <w:p w14:paraId="5659617D" w14:textId="77777777" w:rsidR="00DE0565" w:rsidRPr="009F6D1E" w:rsidRDefault="00DE0565" w:rsidP="0084747F">
      <w:pPr>
        <w:pStyle w:val="a0"/>
        <w:widowControl/>
        <w:tabs>
          <w:tab w:val="left" w:pos="993"/>
        </w:tabs>
        <w:spacing w:after="60" w:line="264" w:lineRule="auto"/>
        <w:ind w:left="0" w:right="0" w:firstLine="720"/>
      </w:pPr>
      <w:r w:rsidRPr="009F6D1E">
        <w:t>Влиянието на тези сектори върху морската среда се отразява в загуба на местообитания, намаляване на биоразнообразието, обогатяване с хранителни вещества, въвеждане на химични замърсители, физическо увреждане на морското дъно, внасяне на отпадъци и шум, и т.н.</w:t>
      </w:r>
    </w:p>
    <w:p w14:paraId="3DFDE129" w14:textId="77777777" w:rsidR="00DE0565" w:rsidRPr="009F6D1E" w:rsidRDefault="00DE0565" w:rsidP="0084747F">
      <w:pPr>
        <w:pStyle w:val="a0"/>
        <w:widowControl/>
        <w:tabs>
          <w:tab w:val="left" w:pos="993"/>
        </w:tabs>
        <w:spacing w:after="60" w:line="264" w:lineRule="auto"/>
        <w:ind w:left="0" w:right="0" w:firstLine="720"/>
      </w:pPr>
      <w:r w:rsidRPr="009F6D1E">
        <w:t>Управлението на крайбрежните води със цел постигане на добро екологично и химично състояние се извършва в рамките на ПУРБ (2016-2021 г.), а управлението на териториалните води и изключителната икономическата зона на Р. България и постигането на добро състояние на морската околна среда по 11 дескриптора (характеристики) се извършва чрез разработена Морска стратегия. Крайбрежните морски води обхващат акваторията от Черно море, която попада в границите на една морска миля от брега. При разработването на втория План за управление на речните басейни на Черноморски басейнов район (ПУРБ на ЧРБУ) за периода 2016 - 2021 г., в крайбрежните морски води са обособени 9 типа водни тела, в съответствие със система “Б” на РДВ. Към типове CW3 и CW5 има определени и подтипове. На база на актуализираната типология и резултатите от анализа на антропогенното въздействие са актуализирани границите на водните тела и от 13 в първия ПУРБ, във втория План са идентифицирани 17 крайбрежни водни тела. В следващата таблица е представена информация за типовете водни тела в крайбрежните морски води на Черноморския басейнов район.</w:t>
      </w:r>
    </w:p>
    <w:p w14:paraId="4FB3B92F" w14:textId="16A5E71A" w:rsidR="00DE0565" w:rsidRPr="009F6D1E" w:rsidRDefault="00415FD8" w:rsidP="0084747F">
      <w:pPr>
        <w:pStyle w:val="Caption"/>
        <w:spacing w:after="60" w:line="264" w:lineRule="auto"/>
      </w:pPr>
      <w:bookmarkStart w:id="275" w:name="_Toc115255166"/>
      <w:r w:rsidRPr="009F6D1E">
        <w:t xml:space="preserve">Таблица </w:t>
      </w:r>
      <w:fldSimple w:instr=" SEQ Таблица \* ARABIC ">
        <w:r w:rsidR="00A43EF3">
          <w:rPr>
            <w:noProof/>
          </w:rPr>
          <w:t>15</w:t>
        </w:r>
      </w:fldSimple>
      <w:r w:rsidRPr="009F6D1E">
        <w:t xml:space="preserve">: </w:t>
      </w:r>
      <w:bookmarkStart w:id="276" w:name="bookmark96"/>
      <w:r w:rsidR="00DE0565" w:rsidRPr="009F6D1E">
        <w:t>Крайбрежни водни тела за района на Черноморски район за басейново управление</w:t>
      </w:r>
      <w:bookmarkEnd w:id="275"/>
      <w:bookmarkEnd w:id="276"/>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1"/>
        <w:gridCol w:w="3010"/>
        <w:gridCol w:w="1476"/>
        <w:gridCol w:w="891"/>
        <w:gridCol w:w="4030"/>
      </w:tblGrid>
      <w:tr w:rsidR="00DE0565" w:rsidRPr="009F6D1E" w14:paraId="7CD67838" w14:textId="77777777" w:rsidTr="00415FD8">
        <w:trPr>
          <w:trHeight w:hRule="exact" w:val="278"/>
          <w:tblHeader/>
          <w:jc w:val="center"/>
        </w:trPr>
        <w:tc>
          <w:tcPr>
            <w:tcW w:w="0" w:type="auto"/>
            <w:shd w:val="pct20" w:color="auto" w:fill="FFFFFF"/>
            <w:vAlign w:val="center"/>
          </w:tcPr>
          <w:p w14:paraId="3CD4315E"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w:t>
            </w:r>
          </w:p>
        </w:tc>
        <w:tc>
          <w:tcPr>
            <w:tcW w:w="0" w:type="auto"/>
            <w:shd w:val="pct20" w:color="auto" w:fill="FFFFFF"/>
            <w:vAlign w:val="center"/>
          </w:tcPr>
          <w:p w14:paraId="3376AF34"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Водно тяло</w:t>
            </w:r>
          </w:p>
        </w:tc>
        <w:tc>
          <w:tcPr>
            <w:tcW w:w="0" w:type="auto"/>
            <w:shd w:val="pct20" w:color="auto" w:fill="FFFFFF"/>
            <w:vAlign w:val="center"/>
          </w:tcPr>
          <w:p w14:paraId="6B2C1F60"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Код на ВТ</w:t>
            </w:r>
          </w:p>
        </w:tc>
        <w:tc>
          <w:tcPr>
            <w:tcW w:w="0" w:type="auto"/>
            <w:shd w:val="pct20" w:color="auto" w:fill="FFFFFF"/>
            <w:vAlign w:val="center"/>
          </w:tcPr>
          <w:p w14:paraId="16BC9CA4"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Код на типа</w:t>
            </w:r>
          </w:p>
        </w:tc>
        <w:tc>
          <w:tcPr>
            <w:tcW w:w="0" w:type="auto"/>
            <w:shd w:val="pct20" w:color="auto" w:fill="FFFFFF"/>
            <w:vAlign w:val="center"/>
          </w:tcPr>
          <w:p w14:paraId="5CD1EF4E"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Характеристика на типа</w:t>
            </w:r>
          </w:p>
        </w:tc>
      </w:tr>
      <w:tr w:rsidR="00DE0565" w:rsidRPr="009F6D1E" w14:paraId="63BB80C4" w14:textId="77777777" w:rsidTr="00415FD8">
        <w:trPr>
          <w:trHeight w:hRule="exact" w:val="538"/>
          <w:jc w:val="center"/>
        </w:trPr>
        <w:tc>
          <w:tcPr>
            <w:tcW w:w="0" w:type="auto"/>
            <w:shd w:val="clear" w:color="auto" w:fill="FFFFFF"/>
            <w:vAlign w:val="center"/>
          </w:tcPr>
          <w:p w14:paraId="4ACF0A5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w:t>
            </w:r>
          </w:p>
        </w:tc>
        <w:tc>
          <w:tcPr>
            <w:tcW w:w="0" w:type="auto"/>
            <w:shd w:val="clear" w:color="auto" w:fill="FFFFFF"/>
            <w:vAlign w:val="center"/>
          </w:tcPr>
          <w:p w14:paraId="03CC40D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Дуранкулак до н. Шабла</w:t>
            </w:r>
          </w:p>
        </w:tc>
        <w:tc>
          <w:tcPr>
            <w:tcW w:w="0" w:type="auto"/>
            <w:shd w:val="clear" w:color="auto" w:fill="FFFFFF"/>
            <w:vAlign w:val="center"/>
          </w:tcPr>
          <w:p w14:paraId="4DDF2E8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BG2BS000C001</w:t>
            </w:r>
          </w:p>
        </w:tc>
        <w:tc>
          <w:tcPr>
            <w:tcW w:w="0" w:type="auto"/>
            <w:shd w:val="clear" w:color="auto" w:fill="FFFFFF"/>
            <w:vAlign w:val="center"/>
          </w:tcPr>
          <w:p w14:paraId="0609998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CW3</w:t>
            </w:r>
          </w:p>
        </w:tc>
        <w:tc>
          <w:tcPr>
            <w:tcW w:w="0" w:type="auto"/>
            <w:shd w:val="clear" w:color="auto" w:fill="FFFFFF"/>
            <w:vAlign w:val="center"/>
          </w:tcPr>
          <w:p w14:paraId="3953ED1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смесен (скала, пясък)</w:t>
            </w:r>
          </w:p>
        </w:tc>
      </w:tr>
      <w:tr w:rsidR="00DE0565" w:rsidRPr="009F6D1E" w14:paraId="0426C2F9" w14:textId="77777777" w:rsidTr="00415FD8">
        <w:trPr>
          <w:trHeight w:hRule="exact" w:val="542"/>
          <w:jc w:val="center"/>
        </w:trPr>
        <w:tc>
          <w:tcPr>
            <w:tcW w:w="0" w:type="auto"/>
            <w:shd w:val="clear" w:color="auto" w:fill="FFFFFF"/>
            <w:vAlign w:val="center"/>
          </w:tcPr>
          <w:p w14:paraId="2B47D13F"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2</w:t>
            </w:r>
          </w:p>
        </w:tc>
        <w:tc>
          <w:tcPr>
            <w:tcW w:w="0" w:type="auto"/>
            <w:shd w:val="clear" w:color="auto" w:fill="FFFFFF"/>
            <w:vAlign w:val="center"/>
          </w:tcPr>
          <w:p w14:paraId="7D3322E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н. Шабла до Камен бряг</w:t>
            </w:r>
          </w:p>
        </w:tc>
        <w:tc>
          <w:tcPr>
            <w:tcW w:w="0" w:type="auto"/>
            <w:shd w:val="clear" w:color="auto" w:fill="FFFFFF"/>
            <w:vAlign w:val="center"/>
          </w:tcPr>
          <w:p w14:paraId="2DCE903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BG2BS000C002</w:t>
            </w:r>
          </w:p>
        </w:tc>
        <w:tc>
          <w:tcPr>
            <w:tcW w:w="0" w:type="auto"/>
            <w:shd w:val="clear" w:color="auto" w:fill="FFFFFF"/>
            <w:vAlign w:val="center"/>
          </w:tcPr>
          <w:p w14:paraId="687EA24E"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CW1N</w:t>
            </w:r>
          </w:p>
        </w:tc>
        <w:tc>
          <w:tcPr>
            <w:tcW w:w="0" w:type="auto"/>
            <w:shd w:val="clear" w:color="auto" w:fill="FFFFFF"/>
            <w:vAlign w:val="center"/>
          </w:tcPr>
          <w:p w14:paraId="5D2589D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пясък</w:t>
            </w:r>
          </w:p>
        </w:tc>
      </w:tr>
      <w:tr w:rsidR="00DE0565" w:rsidRPr="009F6D1E" w14:paraId="4F380C6B" w14:textId="77777777" w:rsidTr="00415FD8">
        <w:trPr>
          <w:trHeight w:hRule="exact" w:val="538"/>
          <w:jc w:val="center"/>
        </w:trPr>
        <w:tc>
          <w:tcPr>
            <w:tcW w:w="0" w:type="auto"/>
            <w:shd w:val="clear" w:color="auto" w:fill="FFFFFF"/>
            <w:vAlign w:val="center"/>
          </w:tcPr>
          <w:p w14:paraId="5E127C3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3</w:t>
            </w:r>
          </w:p>
        </w:tc>
        <w:tc>
          <w:tcPr>
            <w:tcW w:w="0" w:type="auto"/>
            <w:shd w:val="clear" w:color="auto" w:fill="FFFFFF"/>
            <w:vAlign w:val="center"/>
          </w:tcPr>
          <w:p w14:paraId="0633EE7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Камен бряг до н. Калиакра</w:t>
            </w:r>
          </w:p>
        </w:tc>
        <w:tc>
          <w:tcPr>
            <w:tcW w:w="0" w:type="auto"/>
            <w:shd w:val="clear" w:color="auto" w:fill="FFFFFF"/>
            <w:vAlign w:val="center"/>
          </w:tcPr>
          <w:p w14:paraId="11505D0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BG2BS000C1003</w:t>
            </w:r>
          </w:p>
        </w:tc>
        <w:tc>
          <w:tcPr>
            <w:tcW w:w="0" w:type="auto"/>
            <w:shd w:val="clear" w:color="auto" w:fill="FFFFFF"/>
            <w:vAlign w:val="center"/>
          </w:tcPr>
          <w:p w14:paraId="530E349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CW1N</w:t>
            </w:r>
          </w:p>
        </w:tc>
        <w:tc>
          <w:tcPr>
            <w:tcW w:w="0" w:type="auto"/>
            <w:shd w:val="clear" w:color="auto" w:fill="FFFFFF"/>
            <w:vAlign w:val="center"/>
          </w:tcPr>
          <w:p w14:paraId="6304EE5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пясък</w:t>
            </w:r>
          </w:p>
        </w:tc>
      </w:tr>
      <w:tr w:rsidR="00DE0565" w:rsidRPr="009F6D1E" w14:paraId="41E6C5BF" w14:textId="77777777" w:rsidTr="00415FD8">
        <w:trPr>
          <w:trHeight w:hRule="exact" w:val="538"/>
          <w:jc w:val="center"/>
        </w:trPr>
        <w:tc>
          <w:tcPr>
            <w:tcW w:w="0" w:type="auto"/>
            <w:shd w:val="clear" w:color="auto" w:fill="FFFFFF"/>
            <w:vAlign w:val="center"/>
          </w:tcPr>
          <w:p w14:paraId="3441410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4</w:t>
            </w:r>
          </w:p>
        </w:tc>
        <w:tc>
          <w:tcPr>
            <w:tcW w:w="0" w:type="auto"/>
            <w:shd w:val="clear" w:color="auto" w:fill="FFFFFF"/>
            <w:vAlign w:val="center"/>
          </w:tcPr>
          <w:p w14:paraId="4668B9C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 xml:space="preserve">от н. </w:t>
            </w:r>
            <w:proofErr w:type="spellStart"/>
            <w:r w:rsidRPr="009F6D1E">
              <w:rPr>
                <w:rStyle w:val="Bodytext210pt"/>
                <w:rFonts w:eastAsiaTheme="minorHAnsi"/>
              </w:rPr>
              <w:t>Каликра</w:t>
            </w:r>
            <w:proofErr w:type="spellEnd"/>
            <w:r w:rsidRPr="009F6D1E">
              <w:rPr>
                <w:rStyle w:val="Bodytext210pt"/>
                <w:rFonts w:eastAsiaTheme="minorHAnsi"/>
              </w:rPr>
              <w:t xml:space="preserve"> до Каварна</w:t>
            </w:r>
          </w:p>
        </w:tc>
        <w:tc>
          <w:tcPr>
            <w:tcW w:w="0" w:type="auto"/>
            <w:shd w:val="clear" w:color="auto" w:fill="FFFFFF"/>
            <w:vAlign w:val="center"/>
          </w:tcPr>
          <w:p w14:paraId="3AABFA6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BG2BS000C1004</w:t>
            </w:r>
          </w:p>
        </w:tc>
        <w:tc>
          <w:tcPr>
            <w:tcW w:w="0" w:type="auto"/>
            <w:shd w:val="clear" w:color="auto" w:fill="FFFFFF"/>
            <w:vAlign w:val="center"/>
          </w:tcPr>
          <w:p w14:paraId="72B15B7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CW8</w:t>
            </w:r>
          </w:p>
        </w:tc>
        <w:tc>
          <w:tcPr>
            <w:tcW w:w="0" w:type="auto"/>
            <w:shd w:val="clear" w:color="auto" w:fill="FFFFFF"/>
            <w:vAlign w:val="center"/>
          </w:tcPr>
          <w:p w14:paraId="190DCFB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защитен; плитък; тиня</w:t>
            </w:r>
          </w:p>
        </w:tc>
      </w:tr>
      <w:tr w:rsidR="00DE0565" w:rsidRPr="009F6D1E" w14:paraId="242F1ECD" w14:textId="77777777" w:rsidTr="00415FD8">
        <w:trPr>
          <w:trHeight w:hRule="exact" w:val="542"/>
          <w:jc w:val="center"/>
        </w:trPr>
        <w:tc>
          <w:tcPr>
            <w:tcW w:w="0" w:type="auto"/>
            <w:shd w:val="clear" w:color="auto" w:fill="FFFFFF"/>
            <w:vAlign w:val="center"/>
          </w:tcPr>
          <w:p w14:paraId="4D3D0C8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5</w:t>
            </w:r>
          </w:p>
        </w:tc>
        <w:tc>
          <w:tcPr>
            <w:tcW w:w="0" w:type="auto"/>
            <w:shd w:val="clear" w:color="auto" w:fill="FFFFFF"/>
            <w:vAlign w:val="center"/>
          </w:tcPr>
          <w:p w14:paraId="3A1740B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Каварна до н. Галата</w:t>
            </w:r>
          </w:p>
        </w:tc>
        <w:tc>
          <w:tcPr>
            <w:tcW w:w="0" w:type="auto"/>
            <w:shd w:val="clear" w:color="auto" w:fill="FFFFFF"/>
            <w:vAlign w:val="center"/>
          </w:tcPr>
          <w:p w14:paraId="291B390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BG2BS000C1013</w:t>
            </w:r>
          </w:p>
        </w:tc>
        <w:tc>
          <w:tcPr>
            <w:tcW w:w="0" w:type="auto"/>
            <w:shd w:val="clear" w:color="auto" w:fill="FFFFFF"/>
            <w:vAlign w:val="center"/>
          </w:tcPr>
          <w:p w14:paraId="1467750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CW2N</w:t>
            </w:r>
          </w:p>
        </w:tc>
        <w:tc>
          <w:tcPr>
            <w:tcW w:w="0" w:type="auto"/>
            <w:shd w:val="clear" w:color="auto" w:fill="FFFFFF"/>
            <w:vAlign w:val="center"/>
          </w:tcPr>
          <w:p w14:paraId="6001127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 изложен; плитък; тиня</w:t>
            </w:r>
          </w:p>
        </w:tc>
      </w:tr>
      <w:tr w:rsidR="00DE0565" w:rsidRPr="009F6D1E" w14:paraId="57949492" w14:textId="77777777" w:rsidTr="00415FD8">
        <w:trPr>
          <w:trHeight w:hRule="exact" w:val="538"/>
          <w:jc w:val="center"/>
        </w:trPr>
        <w:tc>
          <w:tcPr>
            <w:tcW w:w="0" w:type="auto"/>
            <w:shd w:val="clear" w:color="auto" w:fill="FFFFFF"/>
            <w:vAlign w:val="center"/>
          </w:tcPr>
          <w:p w14:paraId="3EBD6CB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6</w:t>
            </w:r>
          </w:p>
        </w:tc>
        <w:tc>
          <w:tcPr>
            <w:tcW w:w="0" w:type="auto"/>
            <w:shd w:val="clear" w:color="auto" w:fill="FFFFFF"/>
            <w:vAlign w:val="center"/>
          </w:tcPr>
          <w:p w14:paraId="03FFDAC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Варненски залив</w:t>
            </w:r>
          </w:p>
        </w:tc>
        <w:tc>
          <w:tcPr>
            <w:tcW w:w="0" w:type="auto"/>
            <w:shd w:val="clear" w:color="auto" w:fill="FFFFFF"/>
            <w:vAlign w:val="center"/>
          </w:tcPr>
          <w:p w14:paraId="0978F6A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BG2BS000C005</w:t>
            </w:r>
          </w:p>
        </w:tc>
        <w:tc>
          <w:tcPr>
            <w:tcW w:w="0" w:type="auto"/>
            <w:shd w:val="clear" w:color="auto" w:fill="FFFFFF"/>
            <w:vAlign w:val="center"/>
          </w:tcPr>
          <w:p w14:paraId="009A85B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CW5</w:t>
            </w:r>
          </w:p>
        </w:tc>
        <w:tc>
          <w:tcPr>
            <w:tcW w:w="0" w:type="auto"/>
            <w:shd w:val="clear" w:color="auto" w:fill="FFFFFF"/>
            <w:vAlign w:val="center"/>
          </w:tcPr>
          <w:p w14:paraId="430951D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 изложен; плитък; смесен (скала, пясък, тиня)</w:t>
            </w:r>
          </w:p>
        </w:tc>
      </w:tr>
      <w:tr w:rsidR="00DE0565" w:rsidRPr="009F6D1E" w14:paraId="50BF1197" w14:textId="77777777" w:rsidTr="00415FD8">
        <w:trPr>
          <w:trHeight w:hRule="exact" w:val="538"/>
          <w:jc w:val="center"/>
        </w:trPr>
        <w:tc>
          <w:tcPr>
            <w:tcW w:w="0" w:type="auto"/>
            <w:shd w:val="clear" w:color="auto" w:fill="FFFFFF"/>
            <w:vAlign w:val="center"/>
          </w:tcPr>
          <w:p w14:paraId="7A147B9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7</w:t>
            </w:r>
          </w:p>
        </w:tc>
        <w:tc>
          <w:tcPr>
            <w:tcW w:w="0" w:type="auto"/>
            <w:shd w:val="clear" w:color="auto" w:fill="FFFFFF"/>
            <w:vAlign w:val="center"/>
          </w:tcPr>
          <w:p w14:paraId="7ED5D51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н. Галата до к.к. Камчия</w:t>
            </w:r>
          </w:p>
        </w:tc>
        <w:tc>
          <w:tcPr>
            <w:tcW w:w="0" w:type="auto"/>
            <w:shd w:val="clear" w:color="auto" w:fill="FFFFFF"/>
            <w:vAlign w:val="center"/>
          </w:tcPr>
          <w:p w14:paraId="6C5D157E"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BG2BS000C1113</w:t>
            </w:r>
          </w:p>
        </w:tc>
        <w:tc>
          <w:tcPr>
            <w:tcW w:w="0" w:type="auto"/>
            <w:shd w:val="clear" w:color="auto" w:fill="FFFFFF"/>
            <w:vAlign w:val="center"/>
          </w:tcPr>
          <w:p w14:paraId="4A0E74E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CW3</w:t>
            </w:r>
          </w:p>
        </w:tc>
        <w:tc>
          <w:tcPr>
            <w:tcW w:w="0" w:type="auto"/>
            <w:shd w:val="clear" w:color="auto" w:fill="FFFFFF"/>
            <w:vAlign w:val="center"/>
          </w:tcPr>
          <w:p w14:paraId="27A71AE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смесен (скала, пясък, тиня)</w:t>
            </w:r>
          </w:p>
        </w:tc>
      </w:tr>
      <w:tr w:rsidR="00DE0565" w:rsidRPr="009F6D1E" w14:paraId="7574BE52" w14:textId="77777777" w:rsidTr="00415FD8">
        <w:trPr>
          <w:trHeight w:hRule="exact" w:val="538"/>
          <w:jc w:val="center"/>
        </w:trPr>
        <w:tc>
          <w:tcPr>
            <w:tcW w:w="0" w:type="auto"/>
            <w:shd w:val="clear" w:color="auto" w:fill="FFFFFF"/>
            <w:vAlign w:val="center"/>
          </w:tcPr>
          <w:p w14:paraId="4D129E4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8</w:t>
            </w:r>
          </w:p>
        </w:tc>
        <w:tc>
          <w:tcPr>
            <w:tcW w:w="0" w:type="auto"/>
            <w:shd w:val="clear" w:color="auto" w:fill="FFFFFF"/>
            <w:vAlign w:val="center"/>
          </w:tcPr>
          <w:p w14:paraId="5E4DF9A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к.к. Камчия до Шкорпиловци</w:t>
            </w:r>
          </w:p>
        </w:tc>
        <w:tc>
          <w:tcPr>
            <w:tcW w:w="0" w:type="auto"/>
            <w:shd w:val="clear" w:color="auto" w:fill="FFFFFF"/>
            <w:vAlign w:val="center"/>
          </w:tcPr>
          <w:p w14:paraId="706E836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BG2BS000C1006</w:t>
            </w:r>
          </w:p>
        </w:tc>
        <w:tc>
          <w:tcPr>
            <w:tcW w:w="0" w:type="auto"/>
            <w:shd w:val="clear" w:color="auto" w:fill="FFFFFF"/>
            <w:vAlign w:val="center"/>
          </w:tcPr>
          <w:p w14:paraId="5AB4188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CW3</w:t>
            </w:r>
          </w:p>
        </w:tc>
        <w:tc>
          <w:tcPr>
            <w:tcW w:w="0" w:type="auto"/>
            <w:shd w:val="clear" w:color="auto" w:fill="FFFFFF"/>
            <w:vAlign w:val="center"/>
          </w:tcPr>
          <w:p w14:paraId="4A1DD4A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смесен (скала, пясък)</w:t>
            </w:r>
          </w:p>
        </w:tc>
      </w:tr>
      <w:tr w:rsidR="00DE0565" w:rsidRPr="009F6D1E" w14:paraId="489AD151" w14:textId="77777777" w:rsidTr="00415FD8">
        <w:trPr>
          <w:trHeight w:hRule="exact" w:val="542"/>
          <w:jc w:val="center"/>
        </w:trPr>
        <w:tc>
          <w:tcPr>
            <w:tcW w:w="0" w:type="auto"/>
            <w:shd w:val="clear" w:color="auto" w:fill="FFFFFF"/>
            <w:vAlign w:val="center"/>
          </w:tcPr>
          <w:p w14:paraId="1AB648F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9</w:t>
            </w:r>
          </w:p>
        </w:tc>
        <w:tc>
          <w:tcPr>
            <w:tcW w:w="0" w:type="auto"/>
            <w:shd w:val="clear" w:color="auto" w:fill="FFFFFF"/>
            <w:vAlign w:val="center"/>
          </w:tcPr>
          <w:p w14:paraId="5E19612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Шкорпиловци до н. Емине</w:t>
            </w:r>
          </w:p>
        </w:tc>
        <w:tc>
          <w:tcPr>
            <w:tcW w:w="0" w:type="auto"/>
            <w:shd w:val="clear" w:color="auto" w:fill="FFFFFF"/>
            <w:vAlign w:val="center"/>
          </w:tcPr>
          <w:p w14:paraId="0EB1DF7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BG2BS000C1007</w:t>
            </w:r>
          </w:p>
        </w:tc>
        <w:tc>
          <w:tcPr>
            <w:tcW w:w="0" w:type="auto"/>
            <w:shd w:val="clear" w:color="auto" w:fill="FFFFFF"/>
            <w:vAlign w:val="center"/>
          </w:tcPr>
          <w:p w14:paraId="58D6326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CW3</w:t>
            </w:r>
          </w:p>
        </w:tc>
        <w:tc>
          <w:tcPr>
            <w:tcW w:w="0" w:type="auto"/>
            <w:shd w:val="clear" w:color="auto" w:fill="FFFFFF"/>
            <w:vAlign w:val="center"/>
          </w:tcPr>
          <w:p w14:paraId="2C580A9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смесен (скала, пясък)</w:t>
            </w:r>
          </w:p>
        </w:tc>
      </w:tr>
      <w:tr w:rsidR="00DE0565" w:rsidRPr="009F6D1E" w14:paraId="628A6A30" w14:textId="77777777" w:rsidTr="00415FD8">
        <w:trPr>
          <w:trHeight w:hRule="exact" w:val="547"/>
          <w:jc w:val="center"/>
        </w:trPr>
        <w:tc>
          <w:tcPr>
            <w:tcW w:w="0" w:type="auto"/>
            <w:shd w:val="clear" w:color="auto" w:fill="FFFFFF"/>
            <w:vAlign w:val="center"/>
          </w:tcPr>
          <w:p w14:paraId="765CEC6F"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lastRenderedPageBreak/>
              <w:t>10</w:t>
            </w:r>
          </w:p>
        </w:tc>
        <w:tc>
          <w:tcPr>
            <w:tcW w:w="0" w:type="auto"/>
            <w:shd w:val="clear" w:color="auto" w:fill="FFFFFF"/>
            <w:vAlign w:val="center"/>
          </w:tcPr>
          <w:p w14:paraId="65E7609F"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н. Емине до Свети Влас</w:t>
            </w:r>
          </w:p>
        </w:tc>
        <w:tc>
          <w:tcPr>
            <w:tcW w:w="0" w:type="auto"/>
            <w:shd w:val="clear" w:color="auto" w:fill="FFFFFF"/>
            <w:vAlign w:val="center"/>
          </w:tcPr>
          <w:p w14:paraId="7872AF2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BG2BS000C1008</w:t>
            </w:r>
          </w:p>
        </w:tc>
        <w:tc>
          <w:tcPr>
            <w:tcW w:w="0" w:type="auto"/>
            <w:shd w:val="clear" w:color="auto" w:fill="FFFFFF"/>
            <w:vAlign w:val="center"/>
          </w:tcPr>
          <w:p w14:paraId="62B6E4A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CW4N</w:t>
            </w:r>
          </w:p>
        </w:tc>
        <w:tc>
          <w:tcPr>
            <w:tcW w:w="0" w:type="auto"/>
            <w:shd w:val="clear" w:color="auto" w:fill="FFFFFF"/>
            <w:vAlign w:val="center"/>
          </w:tcPr>
          <w:p w14:paraId="1D6FBBF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защитен; плитък; пясък</w:t>
            </w:r>
          </w:p>
        </w:tc>
      </w:tr>
      <w:tr w:rsidR="00DE0565" w:rsidRPr="009F6D1E" w14:paraId="6C0417C6" w14:textId="77777777" w:rsidTr="00415FD8">
        <w:trPr>
          <w:trHeight w:hRule="exact" w:val="557"/>
          <w:jc w:val="center"/>
        </w:trPr>
        <w:tc>
          <w:tcPr>
            <w:tcW w:w="0" w:type="auto"/>
            <w:shd w:val="clear" w:color="auto" w:fill="FFFFFF"/>
            <w:vAlign w:val="center"/>
          </w:tcPr>
          <w:p w14:paraId="7318988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11</w:t>
            </w:r>
          </w:p>
        </w:tc>
        <w:tc>
          <w:tcPr>
            <w:tcW w:w="0" w:type="auto"/>
            <w:shd w:val="clear" w:color="auto" w:fill="FFFFFF"/>
            <w:vAlign w:val="center"/>
          </w:tcPr>
          <w:p w14:paraId="119FDB1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Св. Влас до Поморие</w:t>
            </w:r>
          </w:p>
        </w:tc>
        <w:tc>
          <w:tcPr>
            <w:tcW w:w="0" w:type="auto"/>
            <w:shd w:val="clear" w:color="auto" w:fill="FFFFFF"/>
            <w:vAlign w:val="center"/>
          </w:tcPr>
          <w:p w14:paraId="3CA3F03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BG2BS000C1108</w:t>
            </w:r>
          </w:p>
        </w:tc>
        <w:tc>
          <w:tcPr>
            <w:tcW w:w="0" w:type="auto"/>
            <w:shd w:val="clear" w:color="auto" w:fill="FFFFFF"/>
            <w:vAlign w:val="center"/>
          </w:tcPr>
          <w:p w14:paraId="7843746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CW5</w:t>
            </w:r>
          </w:p>
        </w:tc>
        <w:tc>
          <w:tcPr>
            <w:tcW w:w="0" w:type="auto"/>
            <w:shd w:val="clear" w:color="auto" w:fill="FFFFFF"/>
            <w:vAlign w:val="center"/>
          </w:tcPr>
          <w:p w14:paraId="4ED5680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 изложен; плитък; смесен (скала, пясък, тиня)</w:t>
            </w:r>
          </w:p>
        </w:tc>
      </w:tr>
      <w:tr w:rsidR="00DE0565" w:rsidRPr="009F6D1E" w14:paraId="5941498F" w14:textId="77777777" w:rsidTr="00415FD8">
        <w:trPr>
          <w:trHeight w:hRule="exact" w:val="542"/>
          <w:jc w:val="center"/>
        </w:trPr>
        <w:tc>
          <w:tcPr>
            <w:tcW w:w="0" w:type="auto"/>
            <w:shd w:val="clear" w:color="auto" w:fill="FFFFFF"/>
            <w:vAlign w:val="center"/>
          </w:tcPr>
          <w:p w14:paraId="7410FB3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12</w:t>
            </w:r>
          </w:p>
        </w:tc>
        <w:tc>
          <w:tcPr>
            <w:tcW w:w="0" w:type="auto"/>
            <w:shd w:val="clear" w:color="auto" w:fill="FFFFFF"/>
            <w:vAlign w:val="center"/>
          </w:tcPr>
          <w:p w14:paraId="4A82699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Поморие до Сарафово</w:t>
            </w:r>
          </w:p>
        </w:tc>
        <w:tc>
          <w:tcPr>
            <w:tcW w:w="0" w:type="auto"/>
            <w:shd w:val="clear" w:color="auto" w:fill="FFFFFF"/>
            <w:vAlign w:val="center"/>
          </w:tcPr>
          <w:p w14:paraId="08197C0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BG2BS000C1208</w:t>
            </w:r>
          </w:p>
        </w:tc>
        <w:tc>
          <w:tcPr>
            <w:tcW w:w="0" w:type="auto"/>
            <w:shd w:val="clear" w:color="auto" w:fill="FFFFFF"/>
            <w:vAlign w:val="center"/>
          </w:tcPr>
          <w:p w14:paraId="54B7FEE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CW9</w:t>
            </w:r>
          </w:p>
        </w:tc>
        <w:tc>
          <w:tcPr>
            <w:tcW w:w="0" w:type="auto"/>
            <w:shd w:val="clear" w:color="auto" w:fill="FFFFFF"/>
            <w:vAlign w:val="center"/>
          </w:tcPr>
          <w:p w14:paraId="31BA75A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защитен; плитък; смесен (скала, пясък)</w:t>
            </w:r>
          </w:p>
        </w:tc>
      </w:tr>
      <w:tr w:rsidR="00DE0565" w:rsidRPr="009F6D1E" w14:paraId="70E8CC4B" w14:textId="77777777" w:rsidTr="00415FD8">
        <w:trPr>
          <w:trHeight w:hRule="exact" w:val="538"/>
          <w:jc w:val="center"/>
        </w:trPr>
        <w:tc>
          <w:tcPr>
            <w:tcW w:w="0" w:type="auto"/>
            <w:shd w:val="clear" w:color="auto" w:fill="FFFFFF"/>
            <w:vAlign w:val="center"/>
          </w:tcPr>
          <w:p w14:paraId="38AFD96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13</w:t>
            </w:r>
          </w:p>
        </w:tc>
        <w:tc>
          <w:tcPr>
            <w:tcW w:w="0" w:type="auto"/>
            <w:shd w:val="clear" w:color="auto" w:fill="FFFFFF"/>
            <w:vAlign w:val="center"/>
          </w:tcPr>
          <w:p w14:paraId="4D331D5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Южен Бургаски залив &lt;30м</w:t>
            </w:r>
          </w:p>
        </w:tc>
        <w:tc>
          <w:tcPr>
            <w:tcW w:w="0" w:type="auto"/>
            <w:shd w:val="clear" w:color="auto" w:fill="FFFFFF"/>
            <w:vAlign w:val="center"/>
          </w:tcPr>
          <w:p w14:paraId="3CF8F71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BG2BS000C1308</w:t>
            </w:r>
          </w:p>
        </w:tc>
        <w:tc>
          <w:tcPr>
            <w:tcW w:w="0" w:type="auto"/>
            <w:shd w:val="clear" w:color="auto" w:fill="FFFFFF"/>
            <w:vAlign w:val="center"/>
          </w:tcPr>
          <w:p w14:paraId="362CAD9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CW2N</w:t>
            </w:r>
          </w:p>
        </w:tc>
        <w:tc>
          <w:tcPr>
            <w:tcW w:w="0" w:type="auto"/>
            <w:shd w:val="clear" w:color="auto" w:fill="FFFFFF"/>
            <w:vAlign w:val="center"/>
          </w:tcPr>
          <w:p w14:paraId="6B0D1B9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 изложен; плитък; тиня</w:t>
            </w:r>
          </w:p>
        </w:tc>
      </w:tr>
      <w:tr w:rsidR="00DE0565" w:rsidRPr="009F6D1E" w14:paraId="299564E7" w14:textId="77777777" w:rsidTr="00415FD8">
        <w:trPr>
          <w:trHeight w:hRule="exact" w:val="538"/>
          <w:jc w:val="center"/>
        </w:trPr>
        <w:tc>
          <w:tcPr>
            <w:tcW w:w="0" w:type="auto"/>
            <w:shd w:val="clear" w:color="auto" w:fill="FFFFFF"/>
            <w:vAlign w:val="center"/>
          </w:tcPr>
          <w:p w14:paraId="2DF2421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14</w:t>
            </w:r>
          </w:p>
        </w:tc>
        <w:tc>
          <w:tcPr>
            <w:tcW w:w="0" w:type="auto"/>
            <w:shd w:val="clear" w:color="auto" w:fill="FFFFFF"/>
            <w:vAlign w:val="center"/>
          </w:tcPr>
          <w:p w14:paraId="41DD8AE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Бургаски залив &gt; 30м</w:t>
            </w:r>
          </w:p>
        </w:tc>
        <w:tc>
          <w:tcPr>
            <w:tcW w:w="0" w:type="auto"/>
            <w:shd w:val="clear" w:color="auto" w:fill="FFFFFF"/>
            <w:vAlign w:val="center"/>
          </w:tcPr>
          <w:p w14:paraId="6B25812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BG2BS000C1010</w:t>
            </w:r>
          </w:p>
        </w:tc>
        <w:tc>
          <w:tcPr>
            <w:tcW w:w="0" w:type="auto"/>
            <w:shd w:val="clear" w:color="auto" w:fill="FFFFFF"/>
            <w:vAlign w:val="center"/>
          </w:tcPr>
          <w:p w14:paraId="18D87D7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CW6N</w:t>
            </w:r>
          </w:p>
        </w:tc>
        <w:tc>
          <w:tcPr>
            <w:tcW w:w="0" w:type="auto"/>
            <w:shd w:val="clear" w:color="auto" w:fill="FFFFFF"/>
            <w:vAlign w:val="center"/>
          </w:tcPr>
          <w:p w14:paraId="44526FB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междинен; тиня</w:t>
            </w:r>
          </w:p>
        </w:tc>
      </w:tr>
      <w:tr w:rsidR="00DE0565" w:rsidRPr="009F6D1E" w14:paraId="42BE04EA" w14:textId="77777777" w:rsidTr="00415FD8">
        <w:trPr>
          <w:trHeight w:hRule="exact" w:val="806"/>
          <w:jc w:val="center"/>
        </w:trPr>
        <w:tc>
          <w:tcPr>
            <w:tcW w:w="0" w:type="auto"/>
            <w:shd w:val="clear" w:color="auto" w:fill="FFFFFF"/>
            <w:vAlign w:val="center"/>
          </w:tcPr>
          <w:p w14:paraId="634CB11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15</w:t>
            </w:r>
          </w:p>
        </w:tc>
        <w:tc>
          <w:tcPr>
            <w:tcW w:w="0" w:type="auto"/>
            <w:shd w:val="clear" w:color="auto" w:fill="FFFFFF"/>
            <w:vAlign w:val="center"/>
          </w:tcPr>
          <w:p w14:paraId="1032513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от н. Акин до н. Маслен нос</w:t>
            </w:r>
          </w:p>
        </w:tc>
        <w:tc>
          <w:tcPr>
            <w:tcW w:w="0" w:type="auto"/>
            <w:shd w:val="clear" w:color="auto" w:fill="FFFFFF"/>
            <w:vAlign w:val="center"/>
          </w:tcPr>
          <w:p w14:paraId="7561811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BG2BS000C1011</w:t>
            </w:r>
          </w:p>
        </w:tc>
        <w:tc>
          <w:tcPr>
            <w:tcW w:w="0" w:type="auto"/>
            <w:shd w:val="clear" w:color="auto" w:fill="FFFFFF"/>
            <w:vAlign w:val="center"/>
          </w:tcPr>
          <w:p w14:paraId="38A33E3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CW5</w:t>
            </w:r>
          </w:p>
        </w:tc>
        <w:tc>
          <w:tcPr>
            <w:tcW w:w="0" w:type="auto"/>
            <w:shd w:val="clear" w:color="auto" w:fill="FFFFFF"/>
            <w:vAlign w:val="center"/>
          </w:tcPr>
          <w:p w14:paraId="699636B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 изложен; плитък; смесен (скала, пясък, твърди седименти)</w:t>
            </w:r>
          </w:p>
        </w:tc>
      </w:tr>
      <w:tr w:rsidR="00DE0565" w:rsidRPr="009F6D1E" w14:paraId="14BD7772" w14:textId="77777777" w:rsidTr="00415FD8">
        <w:trPr>
          <w:trHeight w:hRule="exact" w:val="802"/>
          <w:jc w:val="center"/>
        </w:trPr>
        <w:tc>
          <w:tcPr>
            <w:tcW w:w="0" w:type="auto"/>
            <w:shd w:val="clear" w:color="auto" w:fill="FFFFFF"/>
            <w:vAlign w:val="center"/>
          </w:tcPr>
          <w:p w14:paraId="0ECF573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16</w:t>
            </w:r>
          </w:p>
        </w:tc>
        <w:tc>
          <w:tcPr>
            <w:tcW w:w="0" w:type="auto"/>
            <w:shd w:val="clear" w:color="auto" w:fill="FFFFFF"/>
            <w:vAlign w:val="center"/>
          </w:tcPr>
          <w:p w14:paraId="435149B2"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 xml:space="preserve">от н. Маслен нос до устието на р. Резовска &lt; 30 </w:t>
            </w:r>
            <w:r w:rsidRPr="009F6D1E">
              <w:rPr>
                <w:rStyle w:val="Bodytext210pt"/>
                <w:rFonts w:eastAsiaTheme="minorHAnsi"/>
                <w:lang w:bidi="en-US"/>
              </w:rPr>
              <w:t>m</w:t>
            </w:r>
          </w:p>
        </w:tc>
        <w:tc>
          <w:tcPr>
            <w:tcW w:w="0" w:type="auto"/>
            <w:shd w:val="clear" w:color="auto" w:fill="FFFFFF"/>
            <w:vAlign w:val="center"/>
          </w:tcPr>
          <w:p w14:paraId="2085096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BG2BS000C1012</w:t>
            </w:r>
          </w:p>
        </w:tc>
        <w:tc>
          <w:tcPr>
            <w:tcW w:w="0" w:type="auto"/>
            <w:shd w:val="clear" w:color="auto" w:fill="FFFFFF"/>
            <w:vAlign w:val="center"/>
          </w:tcPr>
          <w:p w14:paraId="2AC6A92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CW3</w:t>
            </w:r>
          </w:p>
        </w:tc>
        <w:tc>
          <w:tcPr>
            <w:tcW w:w="0" w:type="auto"/>
            <w:shd w:val="clear" w:color="auto" w:fill="FFFFFF"/>
            <w:vAlign w:val="center"/>
          </w:tcPr>
          <w:p w14:paraId="22543D3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плитък; смесен (скала, пясък, твърди седименти)</w:t>
            </w:r>
          </w:p>
        </w:tc>
      </w:tr>
      <w:tr w:rsidR="00DE0565" w:rsidRPr="009F6D1E" w14:paraId="7A2A2D59" w14:textId="77777777" w:rsidTr="00415FD8">
        <w:trPr>
          <w:trHeight w:hRule="exact" w:val="816"/>
          <w:jc w:val="center"/>
        </w:trPr>
        <w:tc>
          <w:tcPr>
            <w:tcW w:w="0" w:type="auto"/>
            <w:shd w:val="clear" w:color="auto" w:fill="FFFFFF"/>
            <w:vAlign w:val="center"/>
          </w:tcPr>
          <w:p w14:paraId="439C0BAF"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17</w:t>
            </w:r>
          </w:p>
        </w:tc>
        <w:tc>
          <w:tcPr>
            <w:tcW w:w="0" w:type="auto"/>
            <w:shd w:val="clear" w:color="auto" w:fill="FFFFFF"/>
            <w:vAlign w:val="center"/>
          </w:tcPr>
          <w:p w14:paraId="5479060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 xml:space="preserve">от н. Маслен нос до устието на р. Резовска &gt; 30 </w:t>
            </w:r>
            <w:r w:rsidRPr="009F6D1E">
              <w:rPr>
                <w:rStyle w:val="Bodytext210pt"/>
                <w:rFonts w:eastAsiaTheme="minorHAnsi"/>
                <w:lang w:bidi="en-US"/>
              </w:rPr>
              <w:t>m</w:t>
            </w:r>
          </w:p>
        </w:tc>
        <w:tc>
          <w:tcPr>
            <w:tcW w:w="0" w:type="auto"/>
            <w:shd w:val="clear" w:color="auto" w:fill="FFFFFF"/>
            <w:vAlign w:val="center"/>
          </w:tcPr>
          <w:p w14:paraId="41E9F38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BG2BS000C1112</w:t>
            </w:r>
          </w:p>
        </w:tc>
        <w:tc>
          <w:tcPr>
            <w:tcW w:w="0" w:type="auto"/>
            <w:shd w:val="clear" w:color="auto" w:fill="FFFFFF"/>
            <w:vAlign w:val="center"/>
          </w:tcPr>
          <w:p w14:paraId="4730042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CW7</w:t>
            </w:r>
          </w:p>
        </w:tc>
        <w:tc>
          <w:tcPr>
            <w:tcW w:w="0" w:type="auto"/>
            <w:shd w:val="clear" w:color="auto" w:fill="FFFFFF"/>
            <w:vAlign w:val="center"/>
          </w:tcPr>
          <w:p w14:paraId="181BB63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силно изложен; междинен; смесен (скала, пясък, твърди седименти)</w:t>
            </w:r>
          </w:p>
        </w:tc>
      </w:tr>
    </w:tbl>
    <w:p w14:paraId="3F1AB993" w14:textId="77777777" w:rsidR="00DE0565" w:rsidRPr="009F6D1E" w:rsidRDefault="00DE0565" w:rsidP="0084747F">
      <w:pPr>
        <w:spacing w:after="60" w:line="264" w:lineRule="auto"/>
        <w:jc w:val="right"/>
        <w:rPr>
          <w:rFonts w:cs="Times New Roman"/>
          <w:i/>
        </w:rPr>
      </w:pPr>
      <w:r w:rsidRPr="009F6D1E">
        <w:rPr>
          <w:rFonts w:cs="Times New Roman"/>
          <w:i/>
        </w:rPr>
        <w:t>Източник: БДЧР</w:t>
      </w:r>
    </w:p>
    <w:p w14:paraId="7F4E1B2F" w14:textId="77777777" w:rsidR="00DE0565" w:rsidRPr="009F6D1E" w:rsidRDefault="00DE0565" w:rsidP="0084747F">
      <w:pPr>
        <w:spacing w:after="60" w:line="264" w:lineRule="auto"/>
        <w:rPr>
          <w:rFonts w:cs="Times New Roman"/>
          <w:sz w:val="2"/>
          <w:szCs w:val="2"/>
        </w:rPr>
      </w:pPr>
    </w:p>
    <w:p w14:paraId="7275D1A8" w14:textId="77777777" w:rsidR="00DE0565" w:rsidRPr="009F6D1E" w:rsidRDefault="00DE0565" w:rsidP="0084747F">
      <w:pPr>
        <w:spacing w:after="60" w:line="264" w:lineRule="auto"/>
        <w:rPr>
          <w:rFonts w:cs="Times New Roman"/>
          <w:sz w:val="2"/>
          <w:szCs w:val="2"/>
        </w:rPr>
      </w:pPr>
    </w:p>
    <w:p w14:paraId="2CF91657" w14:textId="77777777" w:rsidR="00DE0565" w:rsidRPr="009F6D1E" w:rsidRDefault="00DE0565" w:rsidP="0084747F">
      <w:pPr>
        <w:widowControl w:val="0"/>
        <w:spacing w:after="60" w:line="264" w:lineRule="auto"/>
        <w:ind w:left="380" w:firstLine="340"/>
        <w:rPr>
          <w:rStyle w:val="Bodytext2Bold"/>
          <w:rFonts w:eastAsiaTheme="minorHAnsi"/>
          <w:b w:val="0"/>
          <w:bCs w:val="0"/>
          <w:color w:val="auto"/>
          <w:u w:val="none"/>
          <w:lang w:eastAsia="en-US" w:bidi="ar-SA"/>
        </w:rPr>
      </w:pPr>
      <w:r w:rsidRPr="009F6D1E">
        <w:rPr>
          <w:rStyle w:val="Bodytext130"/>
          <w:rFonts w:ascii="Times New Roman" w:eastAsiaTheme="minorHAnsi" w:hAnsi="Times New Roman" w:cs="Times New Roman"/>
          <w:b/>
          <w:bCs/>
          <w:i/>
          <w:iCs/>
          <w:sz w:val="24"/>
          <w:szCs w:val="24"/>
        </w:rPr>
        <w:t>Екологично състояние на крайбрежните водни тела:</w:t>
      </w:r>
    </w:p>
    <w:p w14:paraId="6ADAC844" w14:textId="77777777" w:rsidR="00DE0565" w:rsidRPr="009F6D1E" w:rsidRDefault="00DE0565" w:rsidP="0084747F">
      <w:pPr>
        <w:pStyle w:val="a0"/>
        <w:widowControl/>
        <w:tabs>
          <w:tab w:val="left" w:pos="993"/>
        </w:tabs>
        <w:spacing w:after="60" w:line="264" w:lineRule="auto"/>
        <w:ind w:left="0" w:right="0" w:firstLine="720"/>
      </w:pPr>
      <w:r w:rsidRPr="009F6D1E">
        <w:t>Мониторингът, на крайбрежните морски води през 2019 г. е извършен от Институт по океанология - БАН (ИО-БАН).</w:t>
      </w:r>
    </w:p>
    <w:p w14:paraId="6641CF8A" w14:textId="77777777" w:rsidR="00DE0565" w:rsidRPr="009F6D1E" w:rsidRDefault="00DE0565" w:rsidP="0084747F">
      <w:pPr>
        <w:pStyle w:val="a0"/>
        <w:widowControl/>
        <w:tabs>
          <w:tab w:val="left" w:pos="993"/>
        </w:tabs>
        <w:spacing w:after="60" w:line="264" w:lineRule="auto"/>
        <w:ind w:left="0" w:right="0" w:firstLine="720"/>
      </w:pPr>
      <w:bookmarkStart w:id="277" w:name="bookmark97"/>
      <w:r w:rsidRPr="009F6D1E">
        <w:t>По - долу е представена оценката на екологичното състояние за крайбрежните водни тела, съгласно ПУРБ 2016-2021 г. и обобщена оценка на крайното актуалното екологично състояние на водите за 2019 г. като,</w:t>
      </w:r>
      <w:bookmarkEnd w:id="277"/>
    </w:p>
    <w:p w14:paraId="05C3BE46"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cs="Times New Roman"/>
          <w:szCs w:val="24"/>
        </w:rPr>
      </w:pPr>
      <w:r w:rsidRPr="009F6D1E">
        <w:rPr>
          <w:rFonts w:eastAsia="Times New Roman" w:cs="Times New Roman"/>
          <w:szCs w:val="24"/>
          <w:lang w:eastAsia="bg-BG" w:bidi="bg-BG"/>
        </w:rPr>
        <w:t>Единадесет</w:t>
      </w:r>
      <w:r w:rsidRPr="009F6D1E">
        <w:rPr>
          <w:rFonts w:cs="Times New Roman"/>
          <w:szCs w:val="24"/>
        </w:rPr>
        <w:t xml:space="preserve"> водни тела постигат целите на РДВ за добро състояние на повърхностните води през 2019 г.</w:t>
      </w:r>
    </w:p>
    <w:p w14:paraId="41672E70"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eastAsia="Times New Roman" w:cs="Times New Roman"/>
          <w:szCs w:val="24"/>
          <w:lang w:eastAsia="bg-BG" w:bidi="bg-BG"/>
        </w:rPr>
      </w:pPr>
      <w:r w:rsidRPr="009F6D1E">
        <w:rPr>
          <w:rFonts w:eastAsia="Times New Roman" w:cs="Times New Roman"/>
          <w:szCs w:val="24"/>
          <w:lang w:eastAsia="bg-BG" w:bidi="bg-BG"/>
        </w:rPr>
        <w:t>Шест от крайбрежните водни тела са категоризирани в умерено състояние BG2BS000C001, BG2BS000C1013, BG2BS000C005, BG2BS000C1308, BG2BS000C1011, BG2BS000C1112</w:t>
      </w:r>
    </w:p>
    <w:p w14:paraId="2E6D6291" w14:textId="77777777" w:rsidR="00DE0565" w:rsidRPr="009F6D1E" w:rsidRDefault="00DE0565" w:rsidP="0084747F">
      <w:pPr>
        <w:widowControl w:val="0"/>
        <w:numPr>
          <w:ilvl w:val="0"/>
          <w:numId w:val="5"/>
        </w:numPr>
        <w:tabs>
          <w:tab w:val="left" w:pos="720"/>
          <w:tab w:val="left" w:pos="1080"/>
        </w:tabs>
        <w:spacing w:after="60" w:line="264" w:lineRule="auto"/>
        <w:ind w:left="500" w:hanging="360"/>
        <w:jc w:val="both"/>
        <w:rPr>
          <w:rFonts w:eastAsia="Times New Roman" w:cs="Times New Roman"/>
          <w:szCs w:val="24"/>
          <w:lang w:eastAsia="bg-BG" w:bidi="bg-BG"/>
        </w:rPr>
      </w:pPr>
      <w:r w:rsidRPr="009F6D1E">
        <w:rPr>
          <w:rFonts w:eastAsia="Times New Roman" w:cs="Times New Roman"/>
          <w:szCs w:val="24"/>
          <w:lang w:eastAsia="bg-BG" w:bidi="bg-BG"/>
        </w:rPr>
        <w:t>Нито едно водно тяло не е категоризирано в лошо/много лошо екологично състояние, като се запазва тенденцията на подобряване на екологичното състояние на крайбрежните морски води</w:t>
      </w:r>
    </w:p>
    <w:p w14:paraId="462C556B" w14:textId="77777777" w:rsidR="000A433C" w:rsidRDefault="000A433C" w:rsidP="0084747F">
      <w:pPr>
        <w:pStyle w:val="Caption"/>
        <w:spacing w:after="60" w:line="264" w:lineRule="auto"/>
      </w:pPr>
    </w:p>
    <w:p w14:paraId="7B633E90" w14:textId="77777777" w:rsidR="000A433C" w:rsidRDefault="000A433C" w:rsidP="0084747F">
      <w:pPr>
        <w:pStyle w:val="Caption"/>
        <w:spacing w:after="60" w:line="264" w:lineRule="auto"/>
      </w:pPr>
    </w:p>
    <w:p w14:paraId="00E4057F" w14:textId="77777777" w:rsidR="000A433C" w:rsidRDefault="000A433C" w:rsidP="0084747F">
      <w:pPr>
        <w:pStyle w:val="Caption"/>
        <w:spacing w:after="60" w:line="264" w:lineRule="auto"/>
      </w:pPr>
    </w:p>
    <w:p w14:paraId="713A53CD" w14:textId="77777777" w:rsidR="000A433C" w:rsidRDefault="000A433C" w:rsidP="0084747F">
      <w:pPr>
        <w:pStyle w:val="Caption"/>
        <w:spacing w:after="60" w:line="264" w:lineRule="auto"/>
      </w:pPr>
    </w:p>
    <w:p w14:paraId="57BEA05F" w14:textId="77777777" w:rsidR="000A433C" w:rsidRDefault="000A433C" w:rsidP="0084747F">
      <w:pPr>
        <w:pStyle w:val="Caption"/>
        <w:spacing w:after="60" w:line="264" w:lineRule="auto"/>
      </w:pPr>
    </w:p>
    <w:p w14:paraId="356B3363" w14:textId="6201FC71" w:rsidR="00DE0565" w:rsidRPr="009F6D1E" w:rsidRDefault="00415FD8" w:rsidP="0084747F">
      <w:pPr>
        <w:pStyle w:val="Caption"/>
        <w:spacing w:after="60" w:line="264" w:lineRule="auto"/>
      </w:pPr>
      <w:bookmarkStart w:id="278" w:name="_Toc115255167"/>
      <w:r w:rsidRPr="009F6D1E">
        <w:lastRenderedPageBreak/>
        <w:t xml:space="preserve">Таблица </w:t>
      </w:r>
      <w:fldSimple w:instr=" SEQ Таблица \* ARABIC ">
        <w:r w:rsidR="00A43EF3">
          <w:rPr>
            <w:noProof/>
          </w:rPr>
          <w:t>16</w:t>
        </w:r>
      </w:fldSimple>
      <w:r w:rsidRPr="009F6D1E">
        <w:t xml:space="preserve">: </w:t>
      </w:r>
      <w:r w:rsidR="00DE0565" w:rsidRPr="009F6D1E">
        <w:t>Оценка за екологичното състояние на крайбрежни води съгласно ПУРБ 2016-2021г. и спрямо 2019 г.</w:t>
      </w:r>
      <w:bookmarkEnd w:id="278"/>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101" w:type="dxa"/>
          <w:bottom w:w="14" w:type="dxa"/>
          <w:right w:w="101" w:type="dxa"/>
        </w:tblCellMar>
        <w:tblLook w:val="0000" w:firstRow="0" w:lastRow="0" w:firstColumn="0" w:lastColumn="0" w:noHBand="0" w:noVBand="0"/>
      </w:tblPr>
      <w:tblGrid>
        <w:gridCol w:w="403"/>
        <w:gridCol w:w="2264"/>
        <w:gridCol w:w="1768"/>
        <w:gridCol w:w="2708"/>
        <w:gridCol w:w="2485"/>
      </w:tblGrid>
      <w:tr w:rsidR="00DE0565" w:rsidRPr="009F6D1E" w14:paraId="1A8CFD66" w14:textId="77777777" w:rsidTr="00415FD8">
        <w:trPr>
          <w:trHeight w:val="1257"/>
          <w:tblHeader/>
        </w:trPr>
        <w:tc>
          <w:tcPr>
            <w:tcW w:w="0" w:type="auto"/>
            <w:shd w:val="pct20" w:color="auto" w:fill="FFFFFF"/>
            <w:vAlign w:val="center"/>
          </w:tcPr>
          <w:p w14:paraId="6C9F2737"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w:t>
            </w:r>
          </w:p>
        </w:tc>
        <w:tc>
          <w:tcPr>
            <w:tcW w:w="0" w:type="auto"/>
            <w:shd w:val="pct20" w:color="auto" w:fill="FFFFFF"/>
            <w:vAlign w:val="center"/>
          </w:tcPr>
          <w:p w14:paraId="30B06969"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Водно тяло</w:t>
            </w:r>
          </w:p>
        </w:tc>
        <w:tc>
          <w:tcPr>
            <w:tcW w:w="0" w:type="auto"/>
            <w:shd w:val="pct20" w:color="auto" w:fill="FFFFFF"/>
            <w:vAlign w:val="center"/>
          </w:tcPr>
          <w:p w14:paraId="7AC8A181"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Код на водното тяло</w:t>
            </w:r>
          </w:p>
        </w:tc>
        <w:tc>
          <w:tcPr>
            <w:tcW w:w="0" w:type="auto"/>
            <w:shd w:val="pct20" w:color="auto" w:fill="FFFFFF"/>
            <w:vAlign w:val="center"/>
          </w:tcPr>
          <w:p w14:paraId="7DE8D330"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Оценка на екологичното състояние съгласно ПУРБ 2016-2021 г.</w:t>
            </w:r>
          </w:p>
        </w:tc>
        <w:tc>
          <w:tcPr>
            <w:tcW w:w="0" w:type="auto"/>
            <w:shd w:val="pct20" w:color="auto" w:fill="FFFFFF"/>
            <w:vAlign w:val="center"/>
          </w:tcPr>
          <w:p w14:paraId="67FAC60E" w14:textId="77777777" w:rsidR="00DE0565" w:rsidRPr="009F6D1E" w:rsidRDefault="00DE0565" w:rsidP="0084747F">
            <w:pPr>
              <w:spacing w:after="60" w:line="264" w:lineRule="auto"/>
              <w:jc w:val="center"/>
              <w:rPr>
                <w:rFonts w:cs="Times New Roman"/>
                <w:b/>
                <w:sz w:val="20"/>
                <w:szCs w:val="20"/>
              </w:rPr>
            </w:pPr>
            <w:r w:rsidRPr="009F6D1E">
              <w:rPr>
                <w:rStyle w:val="Bodytext210pt"/>
                <w:rFonts w:eastAsiaTheme="minorHAnsi"/>
                <w:b/>
              </w:rPr>
              <w:t>Крайна оценка на екологичното състояние през 2019 г.</w:t>
            </w:r>
          </w:p>
        </w:tc>
      </w:tr>
      <w:tr w:rsidR="00DE0565" w:rsidRPr="009F6D1E" w14:paraId="2443CA16" w14:textId="77777777" w:rsidTr="00415FD8">
        <w:trPr>
          <w:trHeight w:hRule="exact" w:val="538"/>
        </w:trPr>
        <w:tc>
          <w:tcPr>
            <w:tcW w:w="0" w:type="auto"/>
            <w:shd w:val="clear" w:color="auto" w:fill="FFFFFF"/>
            <w:vAlign w:val="center"/>
          </w:tcPr>
          <w:p w14:paraId="2DE204A1"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w:t>
            </w:r>
          </w:p>
        </w:tc>
        <w:tc>
          <w:tcPr>
            <w:tcW w:w="0" w:type="auto"/>
            <w:shd w:val="clear" w:color="auto" w:fill="FFFFFF"/>
          </w:tcPr>
          <w:p w14:paraId="52D84E68"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Дуранкулак до н. Шабла</w:t>
            </w:r>
          </w:p>
        </w:tc>
        <w:tc>
          <w:tcPr>
            <w:tcW w:w="0" w:type="auto"/>
            <w:shd w:val="clear" w:color="auto" w:fill="FFFFFF"/>
          </w:tcPr>
          <w:p w14:paraId="4F44D54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BG2BS000C001</w:t>
            </w:r>
          </w:p>
        </w:tc>
        <w:tc>
          <w:tcPr>
            <w:tcW w:w="0" w:type="auto"/>
            <w:shd w:val="clear" w:color="auto" w:fill="FFFFFF"/>
          </w:tcPr>
          <w:p w14:paraId="1EB6FB6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6CD78CD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r>
      <w:tr w:rsidR="00DE0565" w:rsidRPr="009F6D1E" w14:paraId="62F66D94" w14:textId="77777777" w:rsidTr="00415FD8">
        <w:trPr>
          <w:trHeight w:hRule="exact" w:val="538"/>
        </w:trPr>
        <w:tc>
          <w:tcPr>
            <w:tcW w:w="0" w:type="auto"/>
            <w:shd w:val="clear" w:color="auto" w:fill="FFFFFF"/>
            <w:vAlign w:val="center"/>
          </w:tcPr>
          <w:p w14:paraId="57AC72B3"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2</w:t>
            </w:r>
          </w:p>
        </w:tc>
        <w:tc>
          <w:tcPr>
            <w:tcW w:w="0" w:type="auto"/>
            <w:shd w:val="clear" w:color="auto" w:fill="FFFFFF"/>
            <w:vAlign w:val="bottom"/>
          </w:tcPr>
          <w:p w14:paraId="0DB92C86"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н. Шабла до Камен бряг</w:t>
            </w:r>
          </w:p>
        </w:tc>
        <w:tc>
          <w:tcPr>
            <w:tcW w:w="0" w:type="auto"/>
            <w:shd w:val="clear" w:color="auto" w:fill="FFFFFF"/>
          </w:tcPr>
          <w:p w14:paraId="13EDCEF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BG2BS000C002</w:t>
            </w:r>
          </w:p>
        </w:tc>
        <w:tc>
          <w:tcPr>
            <w:tcW w:w="0" w:type="auto"/>
            <w:shd w:val="clear" w:color="auto" w:fill="FFFFFF"/>
          </w:tcPr>
          <w:p w14:paraId="2528F19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2EC8A88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r>
      <w:tr w:rsidR="00DE0565" w:rsidRPr="009F6D1E" w14:paraId="3509E0AB" w14:textId="77777777" w:rsidTr="00415FD8">
        <w:trPr>
          <w:trHeight w:hRule="exact" w:val="644"/>
        </w:trPr>
        <w:tc>
          <w:tcPr>
            <w:tcW w:w="0" w:type="auto"/>
            <w:shd w:val="clear" w:color="auto" w:fill="FFFFFF"/>
          </w:tcPr>
          <w:p w14:paraId="22D6B07E"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3</w:t>
            </w:r>
          </w:p>
        </w:tc>
        <w:tc>
          <w:tcPr>
            <w:tcW w:w="0" w:type="auto"/>
            <w:shd w:val="clear" w:color="auto" w:fill="FFFFFF"/>
            <w:vAlign w:val="bottom"/>
          </w:tcPr>
          <w:p w14:paraId="213D9091"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Камен бряг до н. Калиакра</w:t>
            </w:r>
          </w:p>
        </w:tc>
        <w:tc>
          <w:tcPr>
            <w:tcW w:w="0" w:type="auto"/>
            <w:shd w:val="clear" w:color="auto" w:fill="FFFFFF"/>
          </w:tcPr>
          <w:p w14:paraId="51DFC66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BG2BS000C1003</w:t>
            </w:r>
          </w:p>
        </w:tc>
        <w:tc>
          <w:tcPr>
            <w:tcW w:w="0" w:type="auto"/>
            <w:shd w:val="clear" w:color="auto" w:fill="FFFFFF"/>
          </w:tcPr>
          <w:p w14:paraId="10CAE19E"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523E2478"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61A43203" w14:textId="77777777" w:rsidTr="00415FD8">
        <w:trPr>
          <w:trHeight w:hRule="exact" w:val="538"/>
        </w:trPr>
        <w:tc>
          <w:tcPr>
            <w:tcW w:w="0" w:type="auto"/>
            <w:shd w:val="clear" w:color="auto" w:fill="FFFFFF"/>
          </w:tcPr>
          <w:p w14:paraId="56FCC820"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4</w:t>
            </w:r>
          </w:p>
        </w:tc>
        <w:tc>
          <w:tcPr>
            <w:tcW w:w="0" w:type="auto"/>
            <w:shd w:val="clear" w:color="auto" w:fill="FFFFFF"/>
            <w:vAlign w:val="bottom"/>
          </w:tcPr>
          <w:p w14:paraId="3A9662D2"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 xml:space="preserve">от н. </w:t>
            </w:r>
            <w:proofErr w:type="spellStart"/>
            <w:r w:rsidRPr="009F6D1E">
              <w:rPr>
                <w:rStyle w:val="Bodytext210pt"/>
                <w:rFonts w:eastAsiaTheme="minorHAnsi"/>
              </w:rPr>
              <w:t>Каликра</w:t>
            </w:r>
            <w:proofErr w:type="spellEnd"/>
            <w:r w:rsidRPr="009F6D1E">
              <w:rPr>
                <w:rStyle w:val="Bodytext210pt"/>
                <w:rFonts w:eastAsiaTheme="minorHAnsi"/>
              </w:rPr>
              <w:t xml:space="preserve"> до Каварна</w:t>
            </w:r>
          </w:p>
        </w:tc>
        <w:tc>
          <w:tcPr>
            <w:tcW w:w="0" w:type="auto"/>
            <w:shd w:val="clear" w:color="auto" w:fill="FFFFFF"/>
          </w:tcPr>
          <w:p w14:paraId="3659DB0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BG2BS000C1004</w:t>
            </w:r>
          </w:p>
        </w:tc>
        <w:tc>
          <w:tcPr>
            <w:tcW w:w="0" w:type="auto"/>
            <w:shd w:val="clear" w:color="auto" w:fill="FFFFFF"/>
          </w:tcPr>
          <w:p w14:paraId="30351D2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00AC00B8"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3D102421" w14:textId="77777777" w:rsidTr="00415FD8">
        <w:trPr>
          <w:trHeight w:hRule="exact" w:val="538"/>
        </w:trPr>
        <w:tc>
          <w:tcPr>
            <w:tcW w:w="0" w:type="auto"/>
            <w:shd w:val="clear" w:color="auto" w:fill="FFFFFF"/>
          </w:tcPr>
          <w:p w14:paraId="731F8C82"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5</w:t>
            </w:r>
          </w:p>
        </w:tc>
        <w:tc>
          <w:tcPr>
            <w:tcW w:w="0" w:type="auto"/>
            <w:shd w:val="clear" w:color="auto" w:fill="FFFFFF"/>
          </w:tcPr>
          <w:p w14:paraId="1C5E405A"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Каварна до н. Галата</w:t>
            </w:r>
          </w:p>
        </w:tc>
        <w:tc>
          <w:tcPr>
            <w:tcW w:w="0" w:type="auto"/>
            <w:shd w:val="clear" w:color="auto" w:fill="FFFFFF"/>
          </w:tcPr>
          <w:p w14:paraId="66D7908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BG2BS000C1013</w:t>
            </w:r>
          </w:p>
        </w:tc>
        <w:tc>
          <w:tcPr>
            <w:tcW w:w="0" w:type="auto"/>
            <w:shd w:val="clear" w:color="auto" w:fill="FFFFFF"/>
          </w:tcPr>
          <w:p w14:paraId="76D0E1C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4672CC30"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умерено</w:t>
            </w:r>
          </w:p>
        </w:tc>
      </w:tr>
      <w:tr w:rsidR="00DE0565" w:rsidRPr="009F6D1E" w14:paraId="0CCC07B2" w14:textId="77777777" w:rsidTr="00415FD8">
        <w:trPr>
          <w:trHeight w:hRule="exact" w:val="283"/>
        </w:trPr>
        <w:tc>
          <w:tcPr>
            <w:tcW w:w="0" w:type="auto"/>
            <w:shd w:val="clear" w:color="auto" w:fill="FFFFFF"/>
            <w:vAlign w:val="bottom"/>
          </w:tcPr>
          <w:p w14:paraId="2F46E5E6"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6</w:t>
            </w:r>
          </w:p>
        </w:tc>
        <w:tc>
          <w:tcPr>
            <w:tcW w:w="0" w:type="auto"/>
            <w:shd w:val="clear" w:color="auto" w:fill="FFFFFF"/>
            <w:vAlign w:val="bottom"/>
          </w:tcPr>
          <w:p w14:paraId="4DEE6F36"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Варненски залив</w:t>
            </w:r>
          </w:p>
        </w:tc>
        <w:tc>
          <w:tcPr>
            <w:tcW w:w="0" w:type="auto"/>
            <w:shd w:val="clear" w:color="auto" w:fill="FFFFFF"/>
            <w:vAlign w:val="bottom"/>
          </w:tcPr>
          <w:p w14:paraId="4F2D4F7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BG2BS000C005</w:t>
            </w:r>
          </w:p>
        </w:tc>
        <w:tc>
          <w:tcPr>
            <w:tcW w:w="0" w:type="auto"/>
            <w:shd w:val="clear" w:color="auto" w:fill="FFFFFF"/>
            <w:vAlign w:val="bottom"/>
          </w:tcPr>
          <w:p w14:paraId="184E9B2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лошо</w:t>
            </w:r>
          </w:p>
        </w:tc>
        <w:tc>
          <w:tcPr>
            <w:tcW w:w="0" w:type="auto"/>
            <w:shd w:val="clear" w:color="auto" w:fill="FFFFFF"/>
            <w:vAlign w:val="bottom"/>
          </w:tcPr>
          <w:p w14:paraId="1AA37BA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r>
      <w:tr w:rsidR="00DE0565" w:rsidRPr="009F6D1E" w14:paraId="24DBA3B1" w14:textId="77777777" w:rsidTr="00415FD8">
        <w:trPr>
          <w:trHeight w:hRule="exact" w:val="557"/>
        </w:trPr>
        <w:tc>
          <w:tcPr>
            <w:tcW w:w="0" w:type="auto"/>
            <w:shd w:val="clear" w:color="auto" w:fill="FFFFFF"/>
          </w:tcPr>
          <w:p w14:paraId="0A4FF077"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7</w:t>
            </w:r>
          </w:p>
        </w:tc>
        <w:tc>
          <w:tcPr>
            <w:tcW w:w="0" w:type="auto"/>
            <w:shd w:val="clear" w:color="auto" w:fill="FFFFFF"/>
            <w:vAlign w:val="bottom"/>
          </w:tcPr>
          <w:p w14:paraId="37C8AC92"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н. Галата до к.к. Камчия</w:t>
            </w:r>
          </w:p>
        </w:tc>
        <w:tc>
          <w:tcPr>
            <w:tcW w:w="0" w:type="auto"/>
            <w:shd w:val="clear" w:color="auto" w:fill="FFFFFF"/>
          </w:tcPr>
          <w:p w14:paraId="28911E6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BG2BS000C1113</w:t>
            </w:r>
          </w:p>
        </w:tc>
        <w:tc>
          <w:tcPr>
            <w:tcW w:w="0" w:type="auto"/>
            <w:shd w:val="clear" w:color="auto" w:fill="FFFFFF"/>
          </w:tcPr>
          <w:p w14:paraId="624731B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лошо</w:t>
            </w:r>
          </w:p>
        </w:tc>
        <w:tc>
          <w:tcPr>
            <w:tcW w:w="0" w:type="auto"/>
            <w:shd w:val="clear" w:color="auto" w:fill="FFFFFF"/>
          </w:tcPr>
          <w:p w14:paraId="604A7E49"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05448915" w14:textId="77777777" w:rsidTr="00415FD8">
        <w:trPr>
          <w:trHeight w:hRule="exact" w:val="542"/>
        </w:trPr>
        <w:tc>
          <w:tcPr>
            <w:tcW w:w="0" w:type="auto"/>
            <w:shd w:val="clear" w:color="auto" w:fill="FFFFFF"/>
            <w:vAlign w:val="center"/>
          </w:tcPr>
          <w:p w14:paraId="192389BB"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8</w:t>
            </w:r>
          </w:p>
        </w:tc>
        <w:tc>
          <w:tcPr>
            <w:tcW w:w="0" w:type="auto"/>
            <w:shd w:val="clear" w:color="auto" w:fill="FFFFFF"/>
            <w:vAlign w:val="bottom"/>
          </w:tcPr>
          <w:p w14:paraId="036788E7"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к.к. Камчия до Шкорпиловци</w:t>
            </w:r>
          </w:p>
        </w:tc>
        <w:tc>
          <w:tcPr>
            <w:tcW w:w="0" w:type="auto"/>
            <w:shd w:val="clear" w:color="auto" w:fill="FFFFFF"/>
          </w:tcPr>
          <w:p w14:paraId="35FBC1B6"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BG2BS000C1006</w:t>
            </w:r>
          </w:p>
        </w:tc>
        <w:tc>
          <w:tcPr>
            <w:tcW w:w="0" w:type="auto"/>
            <w:shd w:val="clear" w:color="auto" w:fill="FFFFFF"/>
          </w:tcPr>
          <w:p w14:paraId="16433B03"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лошо</w:t>
            </w:r>
          </w:p>
        </w:tc>
        <w:tc>
          <w:tcPr>
            <w:tcW w:w="0" w:type="auto"/>
            <w:shd w:val="clear" w:color="auto" w:fill="FFFFFF"/>
          </w:tcPr>
          <w:p w14:paraId="2C3B980A"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0C807BC4" w14:textId="77777777" w:rsidTr="00415FD8">
        <w:trPr>
          <w:trHeight w:hRule="exact" w:val="538"/>
        </w:trPr>
        <w:tc>
          <w:tcPr>
            <w:tcW w:w="0" w:type="auto"/>
            <w:shd w:val="clear" w:color="auto" w:fill="FFFFFF"/>
          </w:tcPr>
          <w:p w14:paraId="314BAF1D"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9</w:t>
            </w:r>
          </w:p>
        </w:tc>
        <w:tc>
          <w:tcPr>
            <w:tcW w:w="0" w:type="auto"/>
            <w:shd w:val="clear" w:color="auto" w:fill="FFFFFF"/>
          </w:tcPr>
          <w:p w14:paraId="3F89C620"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Шкорпиловци до н. Емине</w:t>
            </w:r>
          </w:p>
        </w:tc>
        <w:tc>
          <w:tcPr>
            <w:tcW w:w="0" w:type="auto"/>
            <w:shd w:val="clear" w:color="auto" w:fill="FFFFFF"/>
          </w:tcPr>
          <w:p w14:paraId="23828441"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BG2BS000C1007</w:t>
            </w:r>
          </w:p>
        </w:tc>
        <w:tc>
          <w:tcPr>
            <w:tcW w:w="0" w:type="auto"/>
            <w:shd w:val="clear" w:color="auto" w:fill="FFFFFF"/>
          </w:tcPr>
          <w:p w14:paraId="6118882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052C3882"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0B80D947" w14:textId="77777777" w:rsidTr="00415FD8">
        <w:trPr>
          <w:trHeight w:hRule="exact" w:val="538"/>
        </w:trPr>
        <w:tc>
          <w:tcPr>
            <w:tcW w:w="0" w:type="auto"/>
            <w:shd w:val="clear" w:color="auto" w:fill="FFFFFF"/>
            <w:vAlign w:val="center"/>
          </w:tcPr>
          <w:p w14:paraId="3818CBF2"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10</w:t>
            </w:r>
          </w:p>
        </w:tc>
        <w:tc>
          <w:tcPr>
            <w:tcW w:w="0" w:type="auto"/>
            <w:shd w:val="clear" w:color="auto" w:fill="FFFFFF"/>
          </w:tcPr>
          <w:p w14:paraId="2A54D02B"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н. Емине до Свети Влас</w:t>
            </w:r>
          </w:p>
        </w:tc>
        <w:tc>
          <w:tcPr>
            <w:tcW w:w="0" w:type="auto"/>
            <w:shd w:val="clear" w:color="auto" w:fill="FFFFFF"/>
          </w:tcPr>
          <w:p w14:paraId="12C2BF8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BG2BS000C1008</w:t>
            </w:r>
          </w:p>
        </w:tc>
        <w:tc>
          <w:tcPr>
            <w:tcW w:w="0" w:type="auto"/>
            <w:shd w:val="clear" w:color="auto" w:fill="FFFFFF"/>
          </w:tcPr>
          <w:p w14:paraId="5439DFC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4B4AB14E"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r>
      <w:tr w:rsidR="00DE0565" w:rsidRPr="009F6D1E" w14:paraId="16E29FF8" w14:textId="77777777" w:rsidTr="00415FD8">
        <w:trPr>
          <w:trHeight w:hRule="exact" w:val="542"/>
        </w:trPr>
        <w:tc>
          <w:tcPr>
            <w:tcW w:w="0" w:type="auto"/>
            <w:shd w:val="clear" w:color="auto" w:fill="FFFFFF"/>
            <w:vAlign w:val="center"/>
          </w:tcPr>
          <w:p w14:paraId="691C2765"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11</w:t>
            </w:r>
          </w:p>
        </w:tc>
        <w:tc>
          <w:tcPr>
            <w:tcW w:w="0" w:type="auto"/>
            <w:shd w:val="clear" w:color="auto" w:fill="FFFFFF"/>
            <w:vAlign w:val="bottom"/>
          </w:tcPr>
          <w:p w14:paraId="78204D24"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Св. Влас до Поморие</w:t>
            </w:r>
          </w:p>
        </w:tc>
        <w:tc>
          <w:tcPr>
            <w:tcW w:w="0" w:type="auto"/>
            <w:shd w:val="clear" w:color="auto" w:fill="FFFFFF"/>
          </w:tcPr>
          <w:p w14:paraId="0A3C5D2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BG2BS000C1108</w:t>
            </w:r>
          </w:p>
        </w:tc>
        <w:tc>
          <w:tcPr>
            <w:tcW w:w="0" w:type="auto"/>
            <w:shd w:val="clear" w:color="auto" w:fill="FFFFFF"/>
          </w:tcPr>
          <w:p w14:paraId="48CEA3C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лошо</w:t>
            </w:r>
          </w:p>
        </w:tc>
        <w:tc>
          <w:tcPr>
            <w:tcW w:w="0" w:type="auto"/>
            <w:shd w:val="clear" w:color="auto" w:fill="FFFFFF"/>
          </w:tcPr>
          <w:p w14:paraId="3A6D870C"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r>
      <w:tr w:rsidR="00DE0565" w:rsidRPr="009F6D1E" w14:paraId="36CA22B4" w14:textId="77777777" w:rsidTr="00415FD8">
        <w:trPr>
          <w:trHeight w:hRule="exact" w:val="538"/>
        </w:trPr>
        <w:tc>
          <w:tcPr>
            <w:tcW w:w="0" w:type="auto"/>
            <w:shd w:val="clear" w:color="auto" w:fill="FFFFFF"/>
            <w:vAlign w:val="center"/>
          </w:tcPr>
          <w:p w14:paraId="0F1FA0F3"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12</w:t>
            </w:r>
          </w:p>
        </w:tc>
        <w:tc>
          <w:tcPr>
            <w:tcW w:w="0" w:type="auto"/>
            <w:shd w:val="clear" w:color="auto" w:fill="FFFFFF"/>
            <w:vAlign w:val="bottom"/>
          </w:tcPr>
          <w:p w14:paraId="4B6E3210"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Поморие до Сарафово</w:t>
            </w:r>
          </w:p>
        </w:tc>
        <w:tc>
          <w:tcPr>
            <w:tcW w:w="0" w:type="auto"/>
            <w:shd w:val="clear" w:color="auto" w:fill="FFFFFF"/>
          </w:tcPr>
          <w:p w14:paraId="5D837AF5"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BG2BS000C1208</w:t>
            </w:r>
          </w:p>
        </w:tc>
        <w:tc>
          <w:tcPr>
            <w:tcW w:w="0" w:type="auto"/>
            <w:shd w:val="clear" w:color="auto" w:fill="FFFFFF"/>
          </w:tcPr>
          <w:p w14:paraId="1810FF7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5F2558B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r>
      <w:tr w:rsidR="00DE0565" w:rsidRPr="009F6D1E" w14:paraId="2FC6950A" w14:textId="77777777" w:rsidTr="00415FD8">
        <w:trPr>
          <w:trHeight w:hRule="exact" w:val="538"/>
        </w:trPr>
        <w:tc>
          <w:tcPr>
            <w:tcW w:w="0" w:type="auto"/>
            <w:shd w:val="clear" w:color="auto" w:fill="FFFFFF"/>
          </w:tcPr>
          <w:p w14:paraId="03A21748"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13</w:t>
            </w:r>
          </w:p>
        </w:tc>
        <w:tc>
          <w:tcPr>
            <w:tcW w:w="0" w:type="auto"/>
            <w:shd w:val="clear" w:color="auto" w:fill="FFFFFF"/>
          </w:tcPr>
          <w:p w14:paraId="7C63C7FF"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Южен Бургаски залив &lt;30м</w:t>
            </w:r>
          </w:p>
        </w:tc>
        <w:tc>
          <w:tcPr>
            <w:tcW w:w="0" w:type="auto"/>
            <w:shd w:val="clear" w:color="auto" w:fill="FFFFFF"/>
          </w:tcPr>
          <w:p w14:paraId="1AFC6D3D"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BG2BS000C1308</w:t>
            </w:r>
          </w:p>
        </w:tc>
        <w:tc>
          <w:tcPr>
            <w:tcW w:w="0" w:type="auto"/>
            <w:shd w:val="clear" w:color="auto" w:fill="FFFFFF"/>
          </w:tcPr>
          <w:p w14:paraId="60F76A5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0EB779C1"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умерено</w:t>
            </w:r>
          </w:p>
        </w:tc>
      </w:tr>
      <w:tr w:rsidR="00DE0565" w:rsidRPr="009F6D1E" w14:paraId="1B2E0C20" w14:textId="77777777" w:rsidTr="00415FD8">
        <w:trPr>
          <w:trHeight w:hRule="exact" w:val="500"/>
        </w:trPr>
        <w:tc>
          <w:tcPr>
            <w:tcW w:w="0" w:type="auto"/>
            <w:shd w:val="clear" w:color="auto" w:fill="FFFFFF"/>
          </w:tcPr>
          <w:p w14:paraId="705075C0"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14</w:t>
            </w:r>
          </w:p>
        </w:tc>
        <w:tc>
          <w:tcPr>
            <w:tcW w:w="0" w:type="auto"/>
            <w:shd w:val="clear" w:color="auto" w:fill="FFFFFF"/>
          </w:tcPr>
          <w:p w14:paraId="59C22DC6"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Бургаски залив &gt; 30м</w:t>
            </w:r>
          </w:p>
        </w:tc>
        <w:tc>
          <w:tcPr>
            <w:tcW w:w="0" w:type="auto"/>
            <w:shd w:val="clear" w:color="auto" w:fill="FFFFFF"/>
          </w:tcPr>
          <w:p w14:paraId="0962FBD8"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BG2BS000C1010</w:t>
            </w:r>
          </w:p>
        </w:tc>
        <w:tc>
          <w:tcPr>
            <w:tcW w:w="0" w:type="auto"/>
            <w:shd w:val="clear" w:color="auto" w:fill="FFFFFF"/>
          </w:tcPr>
          <w:p w14:paraId="35644B1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умерено</w:t>
            </w:r>
          </w:p>
        </w:tc>
        <w:tc>
          <w:tcPr>
            <w:tcW w:w="0" w:type="auto"/>
            <w:shd w:val="clear" w:color="auto" w:fill="FFFFFF"/>
          </w:tcPr>
          <w:p w14:paraId="63A0642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r>
      <w:tr w:rsidR="00DE0565" w:rsidRPr="009F6D1E" w14:paraId="5402FB53" w14:textId="77777777" w:rsidTr="00415FD8">
        <w:trPr>
          <w:trHeight w:hRule="exact" w:val="542"/>
        </w:trPr>
        <w:tc>
          <w:tcPr>
            <w:tcW w:w="0" w:type="auto"/>
            <w:shd w:val="clear" w:color="auto" w:fill="FFFFFF"/>
          </w:tcPr>
          <w:p w14:paraId="5093DBB3"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15</w:t>
            </w:r>
          </w:p>
        </w:tc>
        <w:tc>
          <w:tcPr>
            <w:tcW w:w="0" w:type="auto"/>
            <w:shd w:val="clear" w:color="auto" w:fill="FFFFFF"/>
          </w:tcPr>
          <w:p w14:paraId="53604515"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от н. Акин до н. Маслен нос</w:t>
            </w:r>
          </w:p>
        </w:tc>
        <w:tc>
          <w:tcPr>
            <w:tcW w:w="0" w:type="auto"/>
            <w:shd w:val="clear" w:color="auto" w:fill="FFFFFF"/>
          </w:tcPr>
          <w:p w14:paraId="2F47156A"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BG2BS000C1011</w:t>
            </w:r>
          </w:p>
        </w:tc>
        <w:tc>
          <w:tcPr>
            <w:tcW w:w="0" w:type="auto"/>
            <w:shd w:val="clear" w:color="auto" w:fill="FFFFFF"/>
          </w:tcPr>
          <w:p w14:paraId="550D54BB"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лошо</w:t>
            </w:r>
          </w:p>
        </w:tc>
        <w:tc>
          <w:tcPr>
            <w:tcW w:w="0" w:type="auto"/>
            <w:shd w:val="clear" w:color="auto" w:fill="FFFFFF"/>
          </w:tcPr>
          <w:p w14:paraId="7B785FDF"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умерено</w:t>
            </w:r>
          </w:p>
        </w:tc>
      </w:tr>
      <w:tr w:rsidR="00DE0565" w:rsidRPr="009F6D1E" w14:paraId="0C37DC8A" w14:textId="77777777" w:rsidTr="00415FD8">
        <w:trPr>
          <w:trHeight w:hRule="exact" w:val="802"/>
        </w:trPr>
        <w:tc>
          <w:tcPr>
            <w:tcW w:w="0" w:type="auto"/>
            <w:shd w:val="clear" w:color="auto" w:fill="FFFFFF"/>
          </w:tcPr>
          <w:p w14:paraId="11708F2C"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16</w:t>
            </w:r>
          </w:p>
        </w:tc>
        <w:tc>
          <w:tcPr>
            <w:tcW w:w="0" w:type="auto"/>
            <w:shd w:val="clear" w:color="auto" w:fill="FFFFFF"/>
          </w:tcPr>
          <w:p w14:paraId="263153AB"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 xml:space="preserve">от н. Маслен нос до устието на р. Резовска &lt; 30 </w:t>
            </w:r>
            <w:r w:rsidRPr="009F6D1E">
              <w:rPr>
                <w:rStyle w:val="Bodytext210pt"/>
                <w:rFonts w:eastAsiaTheme="minorHAnsi"/>
                <w:lang w:bidi="en-US"/>
              </w:rPr>
              <w:t>m</w:t>
            </w:r>
          </w:p>
        </w:tc>
        <w:tc>
          <w:tcPr>
            <w:tcW w:w="0" w:type="auto"/>
            <w:shd w:val="clear" w:color="auto" w:fill="FFFFFF"/>
          </w:tcPr>
          <w:p w14:paraId="4D6381F0"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BG2BS000C1012</w:t>
            </w:r>
          </w:p>
        </w:tc>
        <w:tc>
          <w:tcPr>
            <w:tcW w:w="0" w:type="auto"/>
            <w:shd w:val="clear" w:color="auto" w:fill="FFFFFF"/>
          </w:tcPr>
          <w:p w14:paraId="7D7CC494"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c>
          <w:tcPr>
            <w:tcW w:w="0" w:type="auto"/>
            <w:shd w:val="clear" w:color="auto" w:fill="FFFFFF"/>
          </w:tcPr>
          <w:p w14:paraId="368E4D4A"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добро</w:t>
            </w:r>
          </w:p>
        </w:tc>
      </w:tr>
      <w:tr w:rsidR="00DE0565" w:rsidRPr="009F6D1E" w14:paraId="06081048" w14:textId="77777777" w:rsidTr="00415FD8">
        <w:trPr>
          <w:trHeight w:hRule="exact" w:val="816"/>
        </w:trPr>
        <w:tc>
          <w:tcPr>
            <w:tcW w:w="0" w:type="auto"/>
            <w:shd w:val="clear" w:color="auto" w:fill="FFFFFF"/>
          </w:tcPr>
          <w:p w14:paraId="561446A4" w14:textId="77777777" w:rsidR="00DE0565" w:rsidRPr="009F6D1E" w:rsidRDefault="00DE0565" w:rsidP="0084747F">
            <w:pPr>
              <w:spacing w:after="60" w:line="264" w:lineRule="auto"/>
              <w:rPr>
                <w:rFonts w:cs="Times New Roman"/>
                <w:sz w:val="20"/>
                <w:szCs w:val="20"/>
              </w:rPr>
            </w:pPr>
            <w:r w:rsidRPr="009F6D1E">
              <w:rPr>
                <w:rStyle w:val="Bodytext210pt"/>
                <w:rFonts w:eastAsiaTheme="minorHAnsi"/>
              </w:rPr>
              <w:t>17</w:t>
            </w:r>
          </w:p>
        </w:tc>
        <w:tc>
          <w:tcPr>
            <w:tcW w:w="0" w:type="auto"/>
            <w:shd w:val="clear" w:color="auto" w:fill="FFFFFF"/>
          </w:tcPr>
          <w:p w14:paraId="62E6D75F" w14:textId="77777777" w:rsidR="00DE0565" w:rsidRPr="009F6D1E" w:rsidRDefault="00DE0565" w:rsidP="0084747F">
            <w:pPr>
              <w:spacing w:after="60" w:line="264" w:lineRule="auto"/>
              <w:jc w:val="both"/>
              <w:rPr>
                <w:rFonts w:cs="Times New Roman"/>
                <w:sz w:val="20"/>
                <w:szCs w:val="20"/>
              </w:rPr>
            </w:pPr>
            <w:r w:rsidRPr="009F6D1E">
              <w:rPr>
                <w:rStyle w:val="Bodytext210pt"/>
                <w:rFonts w:eastAsiaTheme="minorHAnsi"/>
              </w:rPr>
              <w:t xml:space="preserve">от н. Маслен нос до устието на р. Резовска &gt; 30 </w:t>
            </w:r>
            <w:r w:rsidRPr="009F6D1E">
              <w:rPr>
                <w:rStyle w:val="Bodytext210pt"/>
                <w:rFonts w:eastAsiaTheme="minorHAnsi"/>
                <w:lang w:bidi="en-US"/>
              </w:rPr>
              <w:t>m</w:t>
            </w:r>
          </w:p>
        </w:tc>
        <w:tc>
          <w:tcPr>
            <w:tcW w:w="0" w:type="auto"/>
            <w:shd w:val="clear" w:color="auto" w:fill="FFFFFF"/>
          </w:tcPr>
          <w:p w14:paraId="4CE13087"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lang w:bidi="en-US"/>
              </w:rPr>
              <w:t>BG2BS000C1112</w:t>
            </w:r>
          </w:p>
        </w:tc>
        <w:tc>
          <w:tcPr>
            <w:tcW w:w="0" w:type="auto"/>
            <w:shd w:val="clear" w:color="auto" w:fill="FFFFFF"/>
          </w:tcPr>
          <w:p w14:paraId="760F7CC9" w14:textId="77777777" w:rsidR="00DE0565" w:rsidRPr="009F6D1E" w:rsidRDefault="00DE0565" w:rsidP="0084747F">
            <w:pPr>
              <w:spacing w:after="60" w:line="264" w:lineRule="auto"/>
              <w:jc w:val="center"/>
              <w:rPr>
                <w:rFonts w:cs="Times New Roman"/>
                <w:sz w:val="20"/>
                <w:szCs w:val="20"/>
              </w:rPr>
            </w:pPr>
            <w:r w:rsidRPr="009F6D1E">
              <w:rPr>
                <w:rStyle w:val="Bodytext210pt"/>
                <w:rFonts w:eastAsiaTheme="minorHAnsi"/>
              </w:rPr>
              <w:t>добро</w:t>
            </w:r>
          </w:p>
        </w:tc>
        <w:tc>
          <w:tcPr>
            <w:tcW w:w="0" w:type="auto"/>
            <w:shd w:val="clear" w:color="auto" w:fill="FFFFFF"/>
          </w:tcPr>
          <w:p w14:paraId="4B3331BE" w14:textId="77777777" w:rsidR="00DE0565" w:rsidRPr="009F6D1E" w:rsidRDefault="00DE0565" w:rsidP="0084747F">
            <w:pPr>
              <w:spacing w:after="60" w:line="264" w:lineRule="auto"/>
              <w:jc w:val="center"/>
              <w:rPr>
                <w:rFonts w:cs="Times New Roman"/>
                <w:sz w:val="20"/>
                <w:szCs w:val="20"/>
              </w:rPr>
            </w:pPr>
            <w:r w:rsidRPr="009F6D1E">
              <w:rPr>
                <w:rFonts w:eastAsia="Times New Roman" w:cs="Times New Roman"/>
                <w:color w:val="000000"/>
                <w:sz w:val="20"/>
                <w:szCs w:val="20"/>
                <w:lang w:eastAsia="bg-BG"/>
              </w:rPr>
              <w:t>умерено</w:t>
            </w:r>
          </w:p>
        </w:tc>
      </w:tr>
    </w:tbl>
    <w:p w14:paraId="7E654DDA" w14:textId="77777777" w:rsidR="00DE0565" w:rsidRPr="009F6D1E" w:rsidRDefault="00DE0565" w:rsidP="0084747F">
      <w:pPr>
        <w:spacing w:after="60" w:line="264" w:lineRule="auto"/>
        <w:jc w:val="right"/>
        <w:rPr>
          <w:rFonts w:cs="Times New Roman"/>
          <w:i/>
        </w:rPr>
      </w:pPr>
      <w:r w:rsidRPr="009F6D1E">
        <w:rPr>
          <w:rFonts w:cs="Times New Roman"/>
          <w:i/>
        </w:rPr>
        <w:t>Източник: Национален доклад за състоянието и опазването на околната среда в Р. България</w:t>
      </w:r>
    </w:p>
    <w:p w14:paraId="7E3C9B9C" w14:textId="77777777" w:rsidR="000A433C" w:rsidRDefault="000A433C" w:rsidP="0084747F">
      <w:pPr>
        <w:spacing w:after="60" w:line="264" w:lineRule="auto"/>
        <w:ind w:firstLine="760"/>
        <w:rPr>
          <w:rStyle w:val="Bodytext130"/>
          <w:rFonts w:ascii="Times New Roman" w:eastAsiaTheme="minorHAnsi" w:hAnsi="Times New Roman" w:cs="Times New Roman"/>
          <w:b/>
          <w:bCs/>
          <w:i/>
          <w:iCs/>
          <w:sz w:val="24"/>
          <w:szCs w:val="24"/>
        </w:rPr>
      </w:pPr>
    </w:p>
    <w:p w14:paraId="0F68B124" w14:textId="471B5299" w:rsidR="00DE0565" w:rsidRPr="009F6D1E" w:rsidRDefault="00DE0565" w:rsidP="0084747F">
      <w:pPr>
        <w:spacing w:after="60" w:line="264" w:lineRule="auto"/>
        <w:ind w:firstLine="760"/>
        <w:rPr>
          <w:rFonts w:cs="Times New Roman"/>
          <w:b/>
          <w:bCs/>
          <w:szCs w:val="24"/>
        </w:rPr>
      </w:pPr>
      <w:r w:rsidRPr="009F6D1E">
        <w:rPr>
          <w:rStyle w:val="Bodytext130"/>
          <w:rFonts w:ascii="Times New Roman" w:eastAsiaTheme="minorHAnsi" w:hAnsi="Times New Roman" w:cs="Times New Roman"/>
          <w:b/>
          <w:bCs/>
          <w:i/>
          <w:iCs/>
          <w:sz w:val="24"/>
          <w:szCs w:val="24"/>
        </w:rPr>
        <w:lastRenderedPageBreak/>
        <w:t>Химично състояние на крайбрежните водни тела</w:t>
      </w:r>
      <w:r w:rsidR="005943DD" w:rsidRPr="009F6D1E">
        <w:rPr>
          <w:rStyle w:val="Bodytext130"/>
          <w:rFonts w:ascii="Times New Roman" w:eastAsiaTheme="minorHAnsi" w:hAnsi="Times New Roman" w:cs="Times New Roman"/>
          <w:b/>
          <w:bCs/>
          <w:i/>
          <w:iCs/>
          <w:sz w:val="24"/>
          <w:szCs w:val="24"/>
        </w:rPr>
        <w:t>:</w:t>
      </w:r>
    </w:p>
    <w:p w14:paraId="3E6058D1" w14:textId="77777777" w:rsidR="00DE0565" w:rsidRPr="009F6D1E" w:rsidRDefault="00DE0565" w:rsidP="0084747F">
      <w:pPr>
        <w:autoSpaceDE w:val="0"/>
        <w:autoSpaceDN w:val="0"/>
        <w:adjustRightInd w:val="0"/>
        <w:spacing w:after="60" w:line="264" w:lineRule="auto"/>
        <w:ind w:firstLine="708"/>
        <w:jc w:val="both"/>
        <w:rPr>
          <w:rFonts w:cs="Times New Roman"/>
          <w:i/>
        </w:rPr>
      </w:pPr>
      <w:r w:rsidRPr="009F6D1E">
        <w:rPr>
          <w:rFonts w:cs="Times New Roman"/>
          <w:color w:val="000000"/>
          <w:szCs w:val="24"/>
        </w:rPr>
        <w:t>През годината не е провеждан мониторинг на приоритетни вещества, съответно не е определяно химичното състояние на крайбрежните водни тела.</w:t>
      </w:r>
    </w:p>
    <w:p w14:paraId="113C203F" w14:textId="77777777" w:rsidR="00DE0565" w:rsidRPr="009F6D1E" w:rsidRDefault="00DE0565" w:rsidP="0084747F">
      <w:pPr>
        <w:spacing w:after="60" w:line="264" w:lineRule="auto"/>
        <w:jc w:val="right"/>
        <w:rPr>
          <w:rFonts w:cs="Times New Roman"/>
          <w:i/>
          <w:highlight w:val="cyan"/>
        </w:rPr>
      </w:pPr>
    </w:p>
    <w:p w14:paraId="4AADCDF4" w14:textId="77777777" w:rsidR="00820EDA" w:rsidRPr="009F6D1E" w:rsidRDefault="00820EDA" w:rsidP="0084747F">
      <w:pPr>
        <w:autoSpaceDE w:val="0"/>
        <w:autoSpaceDN w:val="0"/>
        <w:adjustRightInd w:val="0"/>
        <w:spacing w:after="60" w:line="264" w:lineRule="auto"/>
        <w:ind w:firstLine="708"/>
        <w:jc w:val="both"/>
        <w:rPr>
          <w:rFonts w:eastAsia="Times New Roman" w:cs="Times New Roman"/>
          <w:szCs w:val="24"/>
          <w:highlight w:val="cyan"/>
          <w:lang w:eastAsia="bg-BG"/>
        </w:rPr>
      </w:pPr>
      <w:bookmarkStart w:id="279" w:name="bookmark123"/>
      <w:bookmarkStart w:id="280" w:name="bookmark124"/>
      <w:r w:rsidRPr="009F6D1E">
        <w:rPr>
          <w:rFonts w:cs="Times New Roman"/>
          <w:b/>
          <w:bCs/>
          <w:color w:val="000000"/>
          <w:szCs w:val="24"/>
        </w:rPr>
        <w:t>Качество на питейните води</w:t>
      </w:r>
      <w:bookmarkEnd w:id="279"/>
      <w:bookmarkEnd w:id="280"/>
    </w:p>
    <w:p w14:paraId="48EC61BD"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От основно значение за общественото здраве и качеството на живот на населението е осигуряването на непрекъснато водоснабдяване с безопасна и съответстваща на нормативните изисквания питейна вода, предпоставка за което е централизираната водоснабдителна система.</w:t>
      </w:r>
    </w:p>
    <w:p w14:paraId="2F6E7484"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Подаването на съответстваща на нормативните изисквания питейна вода чрез водоснабдителната система, провеждането на мониторинга в пълен обхват и прилагането на ефективни мерки за контролиране на рисковете по цялата водоснабдителна верига е отговорност на ВиК операторите. С цел защита на общественото здраве Регионалните здравни инспекции (РЗИ) осъществяват контролен мониторинг на качеството на водата от мрежата, доставяна от ВиК операторите до потребителите.</w:t>
      </w:r>
    </w:p>
    <w:p w14:paraId="3B78B229"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В страната са обособени общо около 2600 зони на водоснабдяване. От тях близо 7% са категоризирани като големи.</w:t>
      </w:r>
    </w:p>
    <w:p w14:paraId="2057B04E"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Обобщените данни от провеждания от РЗИ контролен мониторинг на питейната вода през 2020 г. показва, че общото съответствие с изискванията се запазва на сравнително високо ниво, съпоставимо с това през предходните години.</w:t>
      </w:r>
    </w:p>
    <w:p w14:paraId="5F1358E8"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В по-голямата част от зоните в страната съответствието по микробиологични показатели е от порядъка на съобщаваното през последните години. И през 2020г. несъответствията са най-често инцидентни. Характерни са за по-малки населени места. Епизодични несъответствия по микробиологични показатели се установяват и в отделни големи зони, водоснабдявани от повърхностни водоизточници, най-често повлияни от неблагоприятни метеорологични условия, отсъствие на пречистване или несъответстваща обработка на водата.</w:t>
      </w:r>
    </w:p>
    <w:p w14:paraId="04469B72" w14:textId="5C4D4F3C"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Обобщено, и</w:t>
      </w:r>
      <w:r w:rsidR="006D0681">
        <w:rPr>
          <w:rFonts w:cs="Times New Roman"/>
          <w:color w:val="000000"/>
          <w:szCs w:val="24"/>
        </w:rPr>
        <w:t xml:space="preserve"> </w:t>
      </w:r>
      <w:r w:rsidRPr="000A433C">
        <w:rPr>
          <w:rFonts w:cs="Times New Roman"/>
          <w:color w:val="000000"/>
          <w:szCs w:val="24"/>
        </w:rPr>
        <w:t>през 2020 г. съответствието по контролираните органолептични, физикохимични и химични показатели е сравнително високо и съпоставимо с констатираното през предишни години.</w:t>
      </w:r>
    </w:p>
    <w:p w14:paraId="23C60BC1"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Изразени остават и някои многогодишно съществуващи проблеми. Свързани основно с дифузното замърсяване с нитрати на подземни води, използвани за питейно-битово водоснабдяване.</w:t>
      </w:r>
    </w:p>
    <w:p w14:paraId="7FBDAC72" w14:textId="6A0E376F" w:rsid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Продължават да се регистрират отклонения по химични показатели със здравно значение:</w:t>
      </w:r>
    </w:p>
    <w:p w14:paraId="1ED67A7A" w14:textId="7B51C2B1"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 xml:space="preserve">нитрати – все още отклоненията по този показател остават най-широко разпространени. Такива продължават да се определят в сравнително голям брой, предимно малки зони, преобладаващо в райони с обработваеми земеделски земи и развито животновъдство. Проблемът съществува от десетилетия, като най-засегнати са </w:t>
      </w:r>
      <w:r w:rsidRPr="000A433C">
        <w:rPr>
          <w:rFonts w:eastAsia="Times New Roman" w:cs="Times New Roman"/>
          <w:szCs w:val="24"/>
          <w:lang w:eastAsia="bg-BG" w:bidi="bg-BG"/>
        </w:rPr>
        <w:lastRenderedPageBreak/>
        <w:t>водоснабдителни зони в областите Велико Търново, Бургас, Плевен, Ямбол, Шумен, Варна, Русе, Разград, Добрич, Стара Загора, Търговище, Пловдив, Пазарджик, Враца, Силистра, Сливен, Хасково. В голяма част от зоните отклоненията имат сравнително постоянен характер, в друга са вариращи. Преобладаващо са до около два пъти над нормативната максимална стойност, в отделни случаи и по-значителни.</w:t>
      </w:r>
    </w:p>
    <w:p w14:paraId="25CF1DEE" w14:textId="080F9EE3" w:rsidR="005174D9"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хром – устойчивите отклонения по този показател са с по-малък териториален обхват и са установени в някои малки зони в областите Плевен и Монтана. Дължат се на естествено обусловено по-високо съдържание на хром във водите на подземни източници и отсъствие на коригиращи мерки.</w:t>
      </w:r>
    </w:p>
    <w:p w14:paraId="0074AE42"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В единични малки зони са регистрирани наднормени стойности по показател флуориди (зона в обл. Плевен), флуориди, бор (зони в обл. Бургас), флуориди, манган, фосфати (зона в обл. Хасково), което изисква проучване и предприемане на съответни мерки.</w:t>
      </w:r>
    </w:p>
    <w:p w14:paraId="174DC0A4"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През 2020г. несъответствия с изискванията за качество на питейната вода се установяват по физикохимични и химични показатели с индикаторно значение. Последните не се свързват с пряк здравен риск, но свидетелстват за наличието на проблемни звена в системата на водоснабдяване и/или обработката на водата, осезаемо влошават качеството на подаваната вода и може да провокират индиректен здравен риск, например при ползване на вода от нерегламентирани водоизточници. Сравнено с предишни периоди, отклонения продължават да се регистрират по показатели:</w:t>
      </w:r>
    </w:p>
    <w:p w14:paraId="1BC774F4" w14:textId="77777777"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манган – в отделни зони в областите Хасково, Плевен, Пловдив, Силистра. В последните случаи регистрираните завишения са със сезонен характер, отстранени след изпълнени саниращи мерки или единични. Траен и особено остър, свързан с естествените условия, при които се формират водите, остава проблемът в зони на водоснабдяване Брягово, Николово, Симеоновград и Българин, обл. Хасково, където от години са наложени ограничения за ползването на питейната вода.</w:t>
      </w:r>
    </w:p>
    <w:p w14:paraId="4DDE850A" w14:textId="61D144E7"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желязо – най-често в зони с несъответствия по манган, като обл. Хасково или преходно в отделни зони/единични проби от обл. Бургас, Варна, София-столица, Смолян и др., свързано с понижено потребление, застояване на водата, стари и често авариращи водопроводни мрежи и др.</w:t>
      </w:r>
    </w:p>
    <w:p w14:paraId="6CA2A6A6" w14:textId="0FB421BB"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органолептични (мътност, цвят, мирис, вкус). Обикновено несъответствията са с непостоянен характер, в някои случаи са свързани с наднормени количества на желязо и манган в подаваната вода, в други с липса на пречистване на водата от повърхностни източници, често авариращи водоразпределителни мрежи, ремонтни дейности, режимно водоснабдяване и др.</w:t>
      </w:r>
    </w:p>
    <w:p w14:paraId="0A2358F1"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 xml:space="preserve">При констатиране на отклонения в качеството на питейната вода, създаващи риск за здравето на населението регионалните здравни инспекции издават предписания (до ВиК оператори, съответната общинска и областна администрация и др.) със задължителни за изпълнение хигиенни и противоепидемични мерки; предписания и заповеди за ограничаване или преустановяване ползването или подаването на питейна вода, както и препоръки към </w:t>
      </w:r>
      <w:r w:rsidRPr="000A433C">
        <w:rPr>
          <w:rFonts w:cs="Times New Roman"/>
          <w:color w:val="000000"/>
          <w:szCs w:val="24"/>
        </w:rPr>
        <w:lastRenderedPageBreak/>
        <w:t>съответните власти при възникване на аварийни/бедствени ситуации, изискващи такива действия.</w:t>
      </w:r>
    </w:p>
    <w:p w14:paraId="0917C9B4"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Чрез интернет страниците си и средствата за масова информация регионалните здравни инспекции своевременно информират обществеността и заинтересованите лица за резултатите от извършения мониторинг, за наложени забрани и ограничения за ползване на питейната вода (вкл. при бедствия и аварии), и за необходимите мерки и препоръки, които трябва да се спазват до възстановяване качеството на водата.</w:t>
      </w:r>
    </w:p>
    <w:p w14:paraId="70A1C20C" w14:textId="77777777" w:rsidR="000A433C" w:rsidRPr="000A433C" w:rsidRDefault="000A433C" w:rsidP="000A433C">
      <w:pPr>
        <w:autoSpaceDE w:val="0"/>
        <w:autoSpaceDN w:val="0"/>
        <w:adjustRightInd w:val="0"/>
        <w:spacing w:after="60" w:line="264" w:lineRule="auto"/>
        <w:ind w:firstLine="708"/>
        <w:jc w:val="both"/>
        <w:rPr>
          <w:rFonts w:cs="Times New Roman"/>
          <w:color w:val="000000"/>
          <w:szCs w:val="24"/>
        </w:rPr>
      </w:pPr>
      <w:r w:rsidRPr="000A433C">
        <w:rPr>
          <w:rFonts w:cs="Times New Roman"/>
          <w:color w:val="000000"/>
          <w:szCs w:val="24"/>
        </w:rPr>
        <w:t>През 2020 г. не са регистрирани епидемични взривове, свързани с питейните води. Най-честите причини за констатираните отклонения остават:</w:t>
      </w:r>
    </w:p>
    <w:p w14:paraId="048610C7" w14:textId="77777777"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неефективна и непостоянна дезинфекция на водата поради липса на подходяща апаратура за правилно и непрекъснато дозиране на дезинфектантите;</w:t>
      </w:r>
    </w:p>
    <w:p w14:paraId="263E50AD" w14:textId="100B1C1B"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лоша технологична схема на водоснабдяването, в т.ч. неправилно разположение на съоръженията за дезинфекция или техния недостатъчен брой;</w:t>
      </w:r>
    </w:p>
    <w:p w14:paraId="3FA9C108" w14:textId="1B891204"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отсъствие на пречиствателни станции и съоръжения, необходими за пречистване на водите, предназначени за питейно-битово водоснабдяване;</w:t>
      </w:r>
    </w:p>
    <w:p w14:paraId="6E5F34FB" w14:textId="4D412338"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остаряла, амортизирана и често аварираща водопроводна мрежа в населените места, в по-голямата си част изградена и въведена в експлоатация през 60-те и 70-те години на миналия век, включваща и етернитови (</w:t>
      </w:r>
      <w:proofErr w:type="spellStart"/>
      <w:r w:rsidRPr="000A433C">
        <w:rPr>
          <w:rFonts w:eastAsia="Times New Roman" w:cs="Times New Roman"/>
          <w:szCs w:val="24"/>
          <w:lang w:eastAsia="bg-BG" w:bidi="bg-BG"/>
        </w:rPr>
        <w:t>азбестоциментови</w:t>
      </w:r>
      <w:proofErr w:type="spellEnd"/>
      <w:r w:rsidRPr="000A433C">
        <w:rPr>
          <w:rFonts w:eastAsia="Times New Roman" w:cs="Times New Roman"/>
          <w:szCs w:val="24"/>
          <w:lang w:eastAsia="bg-BG" w:bidi="bg-BG"/>
        </w:rPr>
        <w:t>) водопроводи;</w:t>
      </w:r>
    </w:p>
    <w:p w14:paraId="558082A9" w14:textId="1C01A053"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липса на санитарно-охранителни зони около водоизточниците или неспазване на режима на ограничения и забрани в тях;</w:t>
      </w:r>
    </w:p>
    <w:p w14:paraId="3E216270" w14:textId="271886B4"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неправилно и несъответстващо на добрите земеделски практики използване на азотни минерални торове; неспазване на изискванията за събиране, съхраняване и обезвреждане на торовия отпадък в животновъдството; липса на канализация и съоръжения за пречистване на фекално-битови отпадъчни води;</w:t>
      </w:r>
    </w:p>
    <w:p w14:paraId="21CA42BF" w14:textId="4F2155BE"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използване на водоизточници с природно обусловено наднормено съдържание на някои елементи, като флуор, хром, манган, без съответно пречистване на водата;</w:t>
      </w:r>
    </w:p>
    <w:p w14:paraId="676F6DFB" w14:textId="585853FE"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грешки поради ниска квалификация или недобросъвестно изпълнение на служебните задължения от служители на ВиК операторите;</w:t>
      </w:r>
    </w:p>
    <w:p w14:paraId="38DB12CC" w14:textId="30733FF5"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липса на системна профилактика на съоръженията по водоснабдителната верига и недобро саниране след аварии и ремонтни дейности;</w:t>
      </w:r>
    </w:p>
    <w:p w14:paraId="476CE311" w14:textId="5D2424FE" w:rsidR="000A433C" w:rsidRPr="000A433C" w:rsidRDefault="000A433C" w:rsidP="000A433C">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0A433C">
        <w:rPr>
          <w:rFonts w:eastAsia="Times New Roman" w:cs="Times New Roman"/>
          <w:szCs w:val="24"/>
          <w:lang w:eastAsia="bg-BG" w:bidi="bg-BG"/>
        </w:rPr>
        <w:t>въвеждане на режимно водоснабдяване особено през лятото и есента в предимно малки населени места в страната.</w:t>
      </w:r>
    </w:p>
    <w:p w14:paraId="014535CF" w14:textId="77777777" w:rsidR="00C25383" w:rsidRPr="00C25383" w:rsidRDefault="00C25383" w:rsidP="00C25383">
      <w:pPr>
        <w:autoSpaceDE w:val="0"/>
        <w:autoSpaceDN w:val="0"/>
        <w:adjustRightInd w:val="0"/>
        <w:spacing w:after="60" w:line="264" w:lineRule="auto"/>
        <w:ind w:firstLine="708"/>
        <w:jc w:val="both"/>
        <w:rPr>
          <w:rFonts w:cs="Times New Roman"/>
          <w:color w:val="000000"/>
          <w:szCs w:val="24"/>
        </w:rPr>
      </w:pPr>
      <w:r w:rsidRPr="00C25383">
        <w:rPr>
          <w:rFonts w:cs="Times New Roman"/>
          <w:color w:val="000000"/>
          <w:szCs w:val="24"/>
        </w:rPr>
        <w:t xml:space="preserve">Съществен фактор за наличие на несъответствия и влошена </w:t>
      </w:r>
      <w:proofErr w:type="spellStart"/>
      <w:r w:rsidRPr="00C25383">
        <w:rPr>
          <w:rFonts w:cs="Times New Roman"/>
          <w:color w:val="000000"/>
          <w:szCs w:val="24"/>
        </w:rPr>
        <w:t>органолептика</w:t>
      </w:r>
      <w:proofErr w:type="spellEnd"/>
      <w:r w:rsidRPr="00C25383">
        <w:rPr>
          <w:rFonts w:cs="Times New Roman"/>
          <w:color w:val="000000"/>
          <w:szCs w:val="24"/>
        </w:rPr>
        <w:t xml:space="preserve"> на водата е и състоянието на вътрешните водопроводни инсталации в жилищните и административните сгради, за чието стопанисване са отговорни техните собственици.</w:t>
      </w:r>
    </w:p>
    <w:p w14:paraId="572DF361" w14:textId="25AA054D" w:rsidR="00C25383" w:rsidRDefault="00C25383" w:rsidP="00C25383">
      <w:pPr>
        <w:autoSpaceDE w:val="0"/>
        <w:autoSpaceDN w:val="0"/>
        <w:adjustRightInd w:val="0"/>
        <w:spacing w:after="60" w:line="264" w:lineRule="auto"/>
        <w:ind w:firstLine="708"/>
        <w:jc w:val="both"/>
        <w:rPr>
          <w:rFonts w:cs="Times New Roman"/>
          <w:color w:val="000000"/>
          <w:szCs w:val="24"/>
        </w:rPr>
      </w:pPr>
      <w:r w:rsidRPr="00C25383">
        <w:rPr>
          <w:rFonts w:cs="Times New Roman"/>
          <w:color w:val="000000"/>
          <w:szCs w:val="24"/>
        </w:rPr>
        <w:t>Предвид естеството на посочените проблеми, основните мерки, които следва да се предприемат и реализират за решаването им, най-често са комплексни, свързани с необходимост от:</w:t>
      </w:r>
    </w:p>
    <w:p w14:paraId="0656F22D" w14:textId="0E28E69A" w:rsidR="00C25383" w:rsidRPr="00C25383" w:rsidRDefault="00C25383" w:rsidP="00C25383">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C25383">
        <w:rPr>
          <w:rFonts w:eastAsia="Times New Roman" w:cs="Times New Roman"/>
          <w:szCs w:val="24"/>
          <w:lang w:eastAsia="bg-BG" w:bidi="bg-BG"/>
        </w:rPr>
        <w:t xml:space="preserve">реконструкция и модернизация на водоснабдителните мрежи и съоръжения, </w:t>
      </w:r>
      <w:r w:rsidRPr="00C25383">
        <w:rPr>
          <w:rFonts w:eastAsia="Times New Roman" w:cs="Times New Roman"/>
          <w:szCs w:val="24"/>
          <w:lang w:eastAsia="bg-BG" w:bidi="bg-BG"/>
        </w:rPr>
        <w:lastRenderedPageBreak/>
        <w:t>изграждане на нови пречиствателни станции за питейни води и осигуряване на съвременни технически средства за дезинфекция и контрол на процеса във всички зони на водоснабдяване;</w:t>
      </w:r>
    </w:p>
    <w:p w14:paraId="5095663D" w14:textId="32A1CA1D" w:rsidR="00C25383" w:rsidRPr="00C25383" w:rsidRDefault="00C25383" w:rsidP="00C25383">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C25383">
        <w:rPr>
          <w:rFonts w:eastAsia="Times New Roman" w:cs="Times New Roman"/>
          <w:szCs w:val="24"/>
          <w:lang w:eastAsia="bg-BG" w:bidi="bg-BG"/>
        </w:rPr>
        <w:t>търсене и разкриване на нови водоизточници, създаване на връзки между зони на водоснабдяване, където е необходимо, с оглед недопускане отклонения в качеството на водата, подавана за питейно-битови цели;</w:t>
      </w:r>
    </w:p>
    <w:p w14:paraId="0E800D5A" w14:textId="6277EC04" w:rsidR="00C25383" w:rsidRPr="00C25383" w:rsidRDefault="00C25383" w:rsidP="00C25383">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C25383">
        <w:rPr>
          <w:rFonts w:eastAsia="Times New Roman" w:cs="Times New Roman"/>
          <w:szCs w:val="24"/>
          <w:lang w:eastAsia="bg-BG" w:bidi="bg-BG"/>
        </w:rPr>
        <w:t>актуализиране на санитарно-охранителните зони около водоизточниците и засилен контрол върху спазването на забраните и ограниченията в тях от страна на водоснабдителните организации и контролните органи;</w:t>
      </w:r>
    </w:p>
    <w:p w14:paraId="618CEB58" w14:textId="5FB570C6" w:rsidR="00C25383" w:rsidRPr="00C25383" w:rsidRDefault="00C25383" w:rsidP="00C25383">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C25383">
        <w:rPr>
          <w:rFonts w:eastAsia="Times New Roman" w:cs="Times New Roman"/>
          <w:szCs w:val="24"/>
          <w:lang w:eastAsia="bg-BG" w:bidi="bg-BG"/>
        </w:rPr>
        <w:t>подобряване на контрола върху спазване правилата на добрата земеделска практика и други мерки с цел недопускане замърсяването на водите с нитрати от земеделски дейности; реализиране на програми за обучение на фермерите – важна предпоставка за недопускане замърсяването на питейните води с нитрати и пестициди. Въвеждане на задължителен характер на правилата за добра земеделска практика във вододайните зони;</w:t>
      </w:r>
    </w:p>
    <w:p w14:paraId="762D6AE7" w14:textId="7376CD1D" w:rsidR="00C25383" w:rsidRPr="00C25383" w:rsidRDefault="00C25383" w:rsidP="00C25383">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C25383">
        <w:rPr>
          <w:rFonts w:eastAsia="Times New Roman" w:cs="Times New Roman"/>
          <w:szCs w:val="24"/>
          <w:lang w:eastAsia="bg-BG" w:bidi="bg-BG"/>
        </w:rPr>
        <w:t xml:space="preserve">реализиране на програми за повишаване на квалификацията на служители на водоснабдителните организации, отговорни за осигуряване подаването на безопасна питейна вода в по-малките населени </w:t>
      </w:r>
      <w:proofErr w:type="spellStart"/>
      <w:r w:rsidRPr="00C25383">
        <w:rPr>
          <w:rFonts w:eastAsia="Times New Roman" w:cs="Times New Roman"/>
          <w:szCs w:val="24"/>
          <w:lang w:eastAsia="bg-BG" w:bidi="bg-BG"/>
        </w:rPr>
        <w:t>места.За</w:t>
      </w:r>
      <w:proofErr w:type="spellEnd"/>
      <w:r w:rsidRPr="00C25383">
        <w:rPr>
          <w:rFonts w:eastAsia="Times New Roman" w:cs="Times New Roman"/>
          <w:szCs w:val="24"/>
          <w:lang w:eastAsia="bg-BG" w:bidi="bg-BG"/>
        </w:rPr>
        <w:t xml:space="preserve"> намиране на устойчиви решения за проблемите, свързани с качеството на подаваната към потребителите питейна вода, от ключово значение е дейността на държавни органи, като МОСВ и регионалните му структури, МРРБ, областните и общинските администрации, ВиК асоциациите, което изисква подобряване на колаборацията между всички с отговорности и компетентност в областта на водите. В тази връзка е важно изпълнението на мерките, заложени в плановете за управление на речните басейни, Стратегията за водния сектор, в рамките на която са разработени и одобрени регионалните генерални планове за развитие на ВиК инфраструктурата на обособените територии и регионални </w:t>
      </w:r>
      <w:proofErr w:type="spellStart"/>
      <w:r w:rsidRPr="00C25383">
        <w:rPr>
          <w:rFonts w:eastAsia="Times New Roman" w:cs="Times New Roman"/>
          <w:szCs w:val="24"/>
          <w:lang w:eastAsia="bg-BG" w:bidi="bg-BG"/>
        </w:rPr>
        <w:t>прединвестиционни</w:t>
      </w:r>
      <w:proofErr w:type="spellEnd"/>
      <w:r w:rsidRPr="00C25383">
        <w:rPr>
          <w:rFonts w:eastAsia="Times New Roman" w:cs="Times New Roman"/>
          <w:szCs w:val="24"/>
          <w:lang w:eastAsia="bg-BG" w:bidi="bg-BG"/>
        </w:rPr>
        <w:t xml:space="preserve"> проучвания за конкретизиране на мерките, свързани с основните проблеми с качеството на питейната вода в съответните региони, както и разработването на планове за безопасност на водите на база оценка на риска в зоните на водоснабдяване.</w:t>
      </w:r>
    </w:p>
    <w:p w14:paraId="232BFEE9" w14:textId="77777777" w:rsidR="00C25383" w:rsidRPr="00C25383" w:rsidRDefault="00C25383" w:rsidP="00C25383">
      <w:pPr>
        <w:tabs>
          <w:tab w:val="left" w:pos="993"/>
        </w:tabs>
        <w:spacing w:after="60" w:line="264" w:lineRule="auto"/>
        <w:ind w:firstLine="720"/>
        <w:jc w:val="both"/>
        <w:rPr>
          <w:rFonts w:eastAsia="Times New Roman" w:cs="Times New Roman"/>
          <w:i/>
          <w:iCs/>
          <w:szCs w:val="24"/>
          <w:u w:val="single"/>
        </w:rPr>
      </w:pPr>
      <w:r w:rsidRPr="00C25383">
        <w:rPr>
          <w:rFonts w:eastAsia="Times New Roman" w:cs="Times New Roman"/>
          <w:i/>
          <w:iCs/>
          <w:szCs w:val="24"/>
          <w:u w:val="single"/>
        </w:rPr>
        <w:t>Радиологичен мониторинг на питейни води</w:t>
      </w:r>
    </w:p>
    <w:p w14:paraId="69DEEB29" w14:textId="77777777" w:rsidR="00C25383" w:rsidRPr="00C25383" w:rsidRDefault="00C25383" w:rsidP="00C25383">
      <w:pPr>
        <w:tabs>
          <w:tab w:val="left" w:pos="993"/>
        </w:tabs>
        <w:spacing w:after="60" w:line="264" w:lineRule="auto"/>
        <w:ind w:firstLine="720"/>
        <w:jc w:val="both"/>
        <w:rPr>
          <w:rFonts w:eastAsia="Times New Roman" w:cs="Times New Roman"/>
          <w:szCs w:val="24"/>
        </w:rPr>
      </w:pPr>
      <w:r w:rsidRPr="00C25383">
        <w:rPr>
          <w:rFonts w:eastAsia="Times New Roman" w:cs="Times New Roman"/>
          <w:szCs w:val="24"/>
        </w:rPr>
        <w:t>Съгласно изискванията на Наредба № 9 от 2001 г. за качеството на водата за питейно-битови цели, в НЦРРЗ и отделите „Радиационен контрол“ към РЗИ Пловдив, РЗИ Варна, РЗИ Бургас, РЗИ Русе и РЗИ Враца се извършва анализ на проби питейна вода от различни населени места в цялата страна взети при провеждания мониторинг и на радиологичните показатели на питейните води от 28-те регионални здравни инспекции.</w:t>
      </w:r>
    </w:p>
    <w:p w14:paraId="27F07EC7" w14:textId="77777777" w:rsidR="00C25383" w:rsidRPr="00C25383" w:rsidRDefault="00C25383" w:rsidP="00C25383">
      <w:pPr>
        <w:tabs>
          <w:tab w:val="left" w:pos="993"/>
        </w:tabs>
        <w:spacing w:after="60" w:line="264" w:lineRule="auto"/>
        <w:ind w:firstLine="720"/>
        <w:jc w:val="both"/>
        <w:rPr>
          <w:rFonts w:eastAsia="Times New Roman" w:cs="Times New Roman"/>
          <w:szCs w:val="24"/>
        </w:rPr>
      </w:pPr>
      <w:r w:rsidRPr="00C25383">
        <w:rPr>
          <w:rFonts w:eastAsia="Times New Roman" w:cs="Times New Roman"/>
          <w:szCs w:val="24"/>
        </w:rPr>
        <w:t xml:space="preserve">Резултатите от провеждания радиологичен мониторинг на питейните води и проведените допълнителни анализи за установяване на конкретни </w:t>
      </w:r>
      <w:proofErr w:type="spellStart"/>
      <w:r w:rsidRPr="00C25383">
        <w:rPr>
          <w:rFonts w:eastAsia="Times New Roman" w:cs="Times New Roman"/>
          <w:szCs w:val="24"/>
        </w:rPr>
        <w:t>радионуклиди</w:t>
      </w:r>
      <w:proofErr w:type="spellEnd"/>
      <w:r w:rsidRPr="00C25383">
        <w:rPr>
          <w:rFonts w:eastAsia="Times New Roman" w:cs="Times New Roman"/>
          <w:szCs w:val="24"/>
        </w:rPr>
        <w:t xml:space="preserve"> показва, че по показател „индикативната доза“ от поглъщане на </w:t>
      </w:r>
      <w:proofErr w:type="spellStart"/>
      <w:r w:rsidRPr="00C25383">
        <w:rPr>
          <w:rFonts w:eastAsia="Times New Roman" w:cs="Times New Roman"/>
          <w:szCs w:val="24"/>
        </w:rPr>
        <w:t>радионуклиди</w:t>
      </w:r>
      <w:proofErr w:type="spellEnd"/>
      <w:r w:rsidRPr="00C25383">
        <w:rPr>
          <w:rFonts w:eastAsia="Times New Roman" w:cs="Times New Roman"/>
          <w:szCs w:val="24"/>
        </w:rPr>
        <w:t xml:space="preserve"> с питейна вода, който е и здравнозначим показател всъщност,  всички проби питейни води, с изключение на две, отговарят на нормативните изисквания, като за установените несъответствия органите на държавния здравен контрол са разпоредили съответните мерки, с оглед недопускане на риск за човешкото здраве.</w:t>
      </w:r>
    </w:p>
    <w:p w14:paraId="202386CA" w14:textId="77777777" w:rsidR="000A433C" w:rsidRPr="000A433C" w:rsidRDefault="000A433C" w:rsidP="000A433C">
      <w:pPr>
        <w:widowControl w:val="0"/>
        <w:tabs>
          <w:tab w:val="left" w:pos="720"/>
          <w:tab w:val="left" w:pos="1080"/>
        </w:tabs>
        <w:spacing w:after="60" w:line="264" w:lineRule="auto"/>
        <w:jc w:val="both"/>
        <w:rPr>
          <w:rFonts w:eastAsia="Times New Roman" w:cs="Times New Roman"/>
          <w:szCs w:val="24"/>
          <w:lang w:eastAsia="bg-BG" w:bidi="bg-BG"/>
        </w:rPr>
      </w:pPr>
    </w:p>
    <w:p w14:paraId="15BC0A15" w14:textId="77777777" w:rsidR="00820EDA" w:rsidRPr="009F6D1E" w:rsidRDefault="005174D9">
      <w:pPr>
        <w:pStyle w:val="Heading4"/>
        <w:keepLines w:val="0"/>
        <w:numPr>
          <w:ilvl w:val="3"/>
          <w:numId w:val="39"/>
        </w:numPr>
        <w:shd w:val="clear" w:color="auto" w:fill="FFF2CC" w:themeFill="accent4" w:themeFillTint="33"/>
        <w:spacing w:before="0" w:after="60" w:line="264" w:lineRule="auto"/>
        <w:ind w:left="1259" w:hanging="862"/>
        <w:rPr>
          <w:b/>
          <w:bCs/>
          <w:smallCaps w:val="0"/>
          <w:color w:val="262626" w:themeColor="text1" w:themeTint="D9"/>
          <w:lang w:eastAsia="en-US" w:bidi="ar-SA"/>
        </w:rPr>
      </w:pPr>
      <w:r w:rsidRPr="009F6D1E">
        <w:rPr>
          <w:b/>
          <w:bCs/>
          <w:smallCaps w:val="0"/>
          <w:color w:val="262626" w:themeColor="text1" w:themeTint="D9"/>
          <w:lang w:eastAsia="en-US" w:bidi="ar-SA"/>
        </w:rPr>
        <w:t xml:space="preserve"> </w:t>
      </w:r>
      <w:r w:rsidR="00820EDA" w:rsidRPr="009F6D1E">
        <w:rPr>
          <w:b/>
          <w:bCs/>
          <w:smallCaps w:val="0"/>
          <w:color w:val="262626" w:themeColor="text1" w:themeTint="D9"/>
          <w:lang w:eastAsia="en-US" w:bidi="ar-SA"/>
        </w:rPr>
        <w:t>Подземни води</w:t>
      </w:r>
    </w:p>
    <w:p w14:paraId="69DB7A34" w14:textId="77777777" w:rsidR="009B3DA8" w:rsidRPr="009F6D1E" w:rsidRDefault="009B3DA8" w:rsidP="0084747F">
      <w:pPr>
        <w:tabs>
          <w:tab w:val="left" w:pos="993"/>
        </w:tabs>
        <w:spacing w:after="60" w:line="264" w:lineRule="auto"/>
        <w:ind w:firstLine="720"/>
        <w:jc w:val="both"/>
        <w:rPr>
          <w:rFonts w:eastAsia="Times New Roman" w:cs="Times New Roman"/>
          <w:szCs w:val="24"/>
        </w:rPr>
      </w:pPr>
    </w:p>
    <w:p w14:paraId="23EC0E09"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Подземните води в България имат повсеместно разпространение и играят важна роля както за формиране на природната среда, така и като важен воден ресурс за задоволяване на потребностите на човека и на икономиката. Подземните води в България имат свои собствени басейни, в които се извършват процесите на тяхното количествено натрупване, движение и формиране на хидрохимичните им свойства.</w:t>
      </w:r>
    </w:p>
    <w:p w14:paraId="31E32D63"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Факторите, които определят условията за формиране на подземните води в България, тяхната динамика и режим са много, но първостепенно значение от тях имат:</w:t>
      </w:r>
    </w:p>
    <w:p w14:paraId="7350F8B1"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Физико-географски - релеф, климат, хидрология, хидрография;</w:t>
      </w:r>
    </w:p>
    <w:p w14:paraId="04619451"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Геоложки - геоложки строеж, </w:t>
      </w:r>
      <w:proofErr w:type="spellStart"/>
      <w:r w:rsidRPr="009F6D1E">
        <w:rPr>
          <w:rFonts w:eastAsia="Times New Roman" w:cs="Times New Roman"/>
          <w:szCs w:val="24"/>
          <w:lang w:eastAsia="bg-BG" w:bidi="bg-BG"/>
        </w:rPr>
        <w:t>литоложки</w:t>
      </w:r>
      <w:proofErr w:type="spellEnd"/>
      <w:r w:rsidRPr="009F6D1E">
        <w:rPr>
          <w:rFonts w:eastAsia="Times New Roman" w:cs="Times New Roman"/>
          <w:szCs w:val="24"/>
          <w:lang w:eastAsia="bg-BG" w:bidi="bg-BG"/>
        </w:rPr>
        <w:t xml:space="preserve"> състав на скалите и тектонски структури.</w:t>
      </w:r>
    </w:p>
    <w:p w14:paraId="2E839E33"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Подземните води представляват около 1/3 от водните ресурси в страната. По произход, физико-химични свойства и цели, за които се използват, подземните води в България се делят на три основни вида - пресни, минерални и </w:t>
      </w:r>
      <w:proofErr w:type="spellStart"/>
      <w:r w:rsidRPr="009F6D1E">
        <w:rPr>
          <w:rFonts w:eastAsia="Times New Roman" w:cs="Times New Roman"/>
          <w:szCs w:val="24"/>
        </w:rPr>
        <w:t>високоминерализирани</w:t>
      </w:r>
      <w:proofErr w:type="spellEnd"/>
      <w:r w:rsidRPr="009F6D1E">
        <w:rPr>
          <w:rFonts w:eastAsia="Times New Roman" w:cs="Times New Roman"/>
          <w:szCs w:val="24"/>
        </w:rPr>
        <w:t>.</w:t>
      </w:r>
    </w:p>
    <w:p w14:paraId="0A58DBE7"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В зависимост от средата, в която се формират, подземните води могат да се класифицират като грунтови и артезиански (напорни). Към артезианските води се отнасят и минералните води, които твърде често са обект на отделни проучвания. Като отделна категория се разглеждат и карстовите води, които по начин на залягане могат да бъдат както грунтови, така и артезиански. Поради специфичните условия за формирането им, подземна циркулация и хидрохимични характеристики се обособяват като отделна категория.</w:t>
      </w:r>
    </w:p>
    <w:p w14:paraId="0DF8EA70"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Първата хидроложка подялба на България прави чл. кор. Ж. Гълъбов през 1946 г., като отделя следните хидроложки области: Дунавска равнина, Южна България, Югоизточна България и планинска област. През 1956 г. проф. П. Пенчев предлага друга схема на хидроложко райониране със следните области: Област със снежно-дъждовен режим на реките; Област с дъждовно-снежен речен режим; Област с дъждовен речен режим и Област на карстов речен режим. По-късно същият автор предлага нова, по-разширена схема на хидроложко райониране, в която отделя </w:t>
      </w:r>
      <w:proofErr w:type="spellStart"/>
      <w:r w:rsidRPr="009F6D1E">
        <w:rPr>
          <w:rFonts w:eastAsia="Times New Roman" w:cs="Times New Roman"/>
          <w:szCs w:val="24"/>
        </w:rPr>
        <w:t>таксоните</w:t>
      </w:r>
      <w:proofErr w:type="spellEnd"/>
      <w:r w:rsidRPr="009F6D1E">
        <w:rPr>
          <w:rFonts w:eastAsia="Times New Roman" w:cs="Times New Roman"/>
          <w:szCs w:val="24"/>
        </w:rPr>
        <w:t xml:space="preserve"> област, подобласт и район.</w:t>
      </w:r>
    </w:p>
    <w:p w14:paraId="21468309"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Съгласно ПУРБ 2016 - 2021 г. на районите за басейново управление в България са обособени 169 подземни водни тела. От тях 50 на брой са в Дунавския район, 40 - в Черноморския район, 41 - в Източнобеломорския район и 38 подземни водни тела в </w:t>
      </w:r>
      <w:proofErr w:type="spellStart"/>
      <w:r w:rsidRPr="009F6D1E">
        <w:rPr>
          <w:rFonts w:eastAsia="Times New Roman" w:cs="Times New Roman"/>
          <w:szCs w:val="24"/>
        </w:rPr>
        <w:t>Западнобеломорския</w:t>
      </w:r>
      <w:proofErr w:type="spellEnd"/>
      <w:r w:rsidRPr="009F6D1E">
        <w:rPr>
          <w:rFonts w:eastAsia="Times New Roman" w:cs="Times New Roman"/>
          <w:szCs w:val="24"/>
        </w:rPr>
        <w:t xml:space="preserve"> район. Всички подземни водни тела, на територията на Басейновите дирекции са определени като зони за защита на водите, от които се извлича вода за консумация от човека със средно денонощен дебит над 10 </w:t>
      </w:r>
      <w:r w:rsidRPr="009F6D1E">
        <w:rPr>
          <w:rFonts w:eastAsia="Times New Roman" w:cs="Times New Roman"/>
          <w:szCs w:val="24"/>
          <w:lang w:bidi="en-US"/>
        </w:rPr>
        <w:t>m</w:t>
      </w:r>
      <w:r w:rsidRPr="009F6D1E">
        <w:rPr>
          <w:rFonts w:eastAsia="Times New Roman" w:cs="Times New Roman"/>
          <w:szCs w:val="24"/>
          <w:vertAlign w:val="superscript"/>
          <w:lang w:bidi="en-US"/>
        </w:rPr>
        <w:t>3</w:t>
      </w:r>
      <w:r w:rsidRPr="009F6D1E">
        <w:rPr>
          <w:rFonts w:eastAsia="Times New Roman" w:cs="Times New Roman"/>
          <w:szCs w:val="24"/>
          <w:lang w:bidi="en-US"/>
        </w:rPr>
        <w:t xml:space="preserve"> </w:t>
      </w:r>
      <w:r w:rsidRPr="009F6D1E">
        <w:rPr>
          <w:rFonts w:eastAsia="Times New Roman" w:cs="Times New Roman"/>
          <w:szCs w:val="24"/>
        </w:rPr>
        <w:t>или служат за водоснабдяване на повече от 50 човека.</w:t>
      </w:r>
    </w:p>
    <w:p w14:paraId="291DBA86"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Информацията, която касае характеристиките на районите за басейново управление на водите, прегледа на въздействието от човешка дейност върху състоянието на подземните води, се актуализират на всеки 6 години (на основание и в съответствие на чл. 156з, точки 1-3 от Закона за водите (ЗВ), респ. чл. 5 от Рамковата директива за водите).</w:t>
      </w:r>
    </w:p>
    <w:p w14:paraId="748980BE"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 xml:space="preserve">Периодът на действие на </w:t>
      </w:r>
      <w:r w:rsidR="00CD4045" w:rsidRPr="009F6D1E">
        <w:rPr>
          <w:rFonts w:eastAsia="Times New Roman" w:cs="Times New Roman"/>
          <w:szCs w:val="24"/>
        </w:rPr>
        <w:t>СПРЗСР</w:t>
      </w:r>
      <w:r w:rsidRPr="009F6D1E">
        <w:rPr>
          <w:rFonts w:eastAsia="Times New Roman" w:cs="Times New Roman"/>
          <w:szCs w:val="24"/>
        </w:rPr>
        <w:t xml:space="preserve"> 2021 -2027 г. съвпада с прилагането на Плановете за управление на речните басейни (ПУРБ) за периода 2016-2021 г., както с актуализирането/ изготвянето и прилагането на ПУРБ за периода 2022-2027 г.</w:t>
      </w:r>
    </w:p>
    <w:p w14:paraId="5A1CDF99" w14:textId="77777777" w:rsidR="00820EDA" w:rsidRPr="009F6D1E" w:rsidRDefault="00820EDA" w:rsidP="0084747F">
      <w:pPr>
        <w:spacing w:after="60" w:line="264" w:lineRule="auto"/>
        <w:rPr>
          <w:rFonts w:cs="Times New Roman"/>
          <w:i/>
          <w:highlight w:val="green"/>
        </w:rPr>
      </w:pPr>
    </w:p>
    <w:p w14:paraId="20BAE40C" w14:textId="77777777" w:rsidR="00820EDA" w:rsidRPr="009F6D1E" w:rsidRDefault="00820EDA" w:rsidP="0084747F">
      <w:pPr>
        <w:tabs>
          <w:tab w:val="left" w:pos="993"/>
        </w:tabs>
        <w:spacing w:after="60" w:line="264" w:lineRule="auto"/>
        <w:ind w:firstLine="720"/>
        <w:jc w:val="both"/>
        <w:rPr>
          <w:rFonts w:eastAsia="Times New Roman" w:cs="Times New Roman"/>
          <w:b/>
          <w:bCs/>
          <w:szCs w:val="24"/>
        </w:rPr>
      </w:pPr>
      <w:bookmarkStart w:id="281" w:name="bookmark138"/>
      <w:r w:rsidRPr="009F6D1E">
        <w:rPr>
          <w:rFonts w:eastAsia="Times New Roman" w:cs="Times New Roman"/>
          <w:b/>
          <w:bCs/>
          <w:szCs w:val="24"/>
        </w:rPr>
        <w:t>Състояние на подземни води, възможности за въздействие на програмата върху състоянието им и за предвиждане на мерки за опазването им</w:t>
      </w:r>
      <w:bookmarkEnd w:id="281"/>
    </w:p>
    <w:p w14:paraId="3CCB76AD" w14:textId="2FCCBCD8"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Подземните води са ценен природен ресурс и източник за задоволяване на различни потребности от вода. Специфичните изисквания за проучването, ползването и опазването им от замърсяване и влошаване са регламентирани в Закона за водите и </w:t>
      </w:r>
      <w:r w:rsidRPr="009F6D1E">
        <w:rPr>
          <w:rFonts w:eastAsia="Times New Roman" w:cs="Times New Roman"/>
          <w:i/>
          <w:szCs w:val="24"/>
        </w:rPr>
        <w:t>Наредба № 1/10.10.2007 г за проучване, ползване и опазване на подземните води</w:t>
      </w:r>
      <w:r w:rsidRPr="009F6D1E">
        <w:rPr>
          <w:rFonts w:eastAsia="Times New Roman" w:cs="Times New Roman"/>
          <w:szCs w:val="24"/>
        </w:rPr>
        <w:t xml:space="preserve"> (Издадена от министъра на околната среда, и водите, министъра на регионалното развитие и благоустройството, министъра на здравеопазването и министъра на икономиката и </w:t>
      </w:r>
      <w:proofErr w:type="spellStart"/>
      <w:r w:rsidRPr="009F6D1E">
        <w:rPr>
          <w:rFonts w:eastAsia="Times New Roman" w:cs="Times New Roman"/>
          <w:szCs w:val="24"/>
        </w:rPr>
        <w:t>енергетиката,Обн</w:t>
      </w:r>
      <w:proofErr w:type="spellEnd"/>
      <w:r w:rsidRPr="009F6D1E">
        <w:rPr>
          <w:rFonts w:eastAsia="Times New Roman" w:cs="Times New Roman"/>
          <w:szCs w:val="24"/>
        </w:rPr>
        <w:t>. ДВ. бр.</w:t>
      </w:r>
      <w:hyperlink r:id="rId68" w:history="1">
        <w:r w:rsidRPr="009F6D1E">
          <w:rPr>
            <w:rFonts w:eastAsia="Times New Roman" w:cs="Times New Roman"/>
            <w:szCs w:val="24"/>
          </w:rPr>
          <w:t>87</w:t>
        </w:r>
      </w:hyperlink>
      <w:r w:rsidRPr="009F6D1E">
        <w:rPr>
          <w:rFonts w:eastAsia="Times New Roman" w:cs="Times New Roman"/>
          <w:szCs w:val="24"/>
        </w:rPr>
        <w:t xml:space="preserve"> от 30 Октомври 2007г., изм. ДВ. бр.</w:t>
      </w:r>
      <w:hyperlink r:id="rId69" w:history="1">
        <w:r w:rsidRPr="009F6D1E">
          <w:rPr>
            <w:rFonts w:eastAsia="Times New Roman" w:cs="Times New Roman"/>
            <w:szCs w:val="24"/>
          </w:rPr>
          <w:t>2</w:t>
        </w:r>
      </w:hyperlink>
      <w:r w:rsidRPr="009F6D1E">
        <w:rPr>
          <w:rFonts w:eastAsia="Times New Roman" w:cs="Times New Roman"/>
          <w:szCs w:val="24"/>
        </w:rPr>
        <w:t xml:space="preserve"> от 8 Януари 2010г., изм. и доп. ДВ. бр.</w:t>
      </w:r>
      <w:hyperlink r:id="rId70" w:history="1">
        <w:r w:rsidRPr="009F6D1E">
          <w:rPr>
            <w:rFonts w:eastAsia="Times New Roman" w:cs="Times New Roman"/>
            <w:szCs w:val="24"/>
          </w:rPr>
          <w:t>15</w:t>
        </w:r>
      </w:hyperlink>
      <w:r w:rsidRPr="009F6D1E">
        <w:rPr>
          <w:rFonts w:eastAsia="Times New Roman" w:cs="Times New Roman"/>
          <w:szCs w:val="24"/>
        </w:rPr>
        <w:t xml:space="preserve"> от 21 Февруари 2012г., изм. и доп. ДВ. бр.</w:t>
      </w:r>
      <w:hyperlink r:id="rId71" w:history="1">
        <w:r w:rsidRPr="009F6D1E">
          <w:rPr>
            <w:rFonts w:eastAsia="Times New Roman" w:cs="Times New Roman"/>
            <w:szCs w:val="24"/>
          </w:rPr>
          <w:t>28</w:t>
        </w:r>
      </w:hyperlink>
      <w:r w:rsidRPr="009F6D1E">
        <w:rPr>
          <w:rFonts w:eastAsia="Times New Roman" w:cs="Times New Roman"/>
          <w:szCs w:val="24"/>
        </w:rPr>
        <w:t xml:space="preserve"> от 19 Март 2013г., изм. и доп. ДВ. бр.</w:t>
      </w:r>
      <w:hyperlink r:id="rId72" w:history="1">
        <w:r w:rsidRPr="009F6D1E">
          <w:rPr>
            <w:rFonts w:eastAsia="Times New Roman" w:cs="Times New Roman"/>
            <w:szCs w:val="24"/>
          </w:rPr>
          <w:t>90</w:t>
        </w:r>
      </w:hyperlink>
      <w:r w:rsidRPr="009F6D1E">
        <w:rPr>
          <w:rFonts w:eastAsia="Times New Roman" w:cs="Times New Roman"/>
          <w:szCs w:val="24"/>
        </w:rPr>
        <w:t xml:space="preserve"> от 31 Октомври 2014г., изм. и доп. ДВ. бр.102 от 23 Декември 2016г.).</w:t>
      </w:r>
    </w:p>
    <w:p w14:paraId="6494AE47"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 произход и качествени показатели подземните води са </w:t>
      </w:r>
      <w:r w:rsidRPr="009F6D1E">
        <w:rPr>
          <w:rFonts w:eastAsia="Times New Roman" w:cs="Times New Roman"/>
          <w:b/>
          <w:bCs/>
          <w:szCs w:val="24"/>
          <w:u w:val="single"/>
        </w:rPr>
        <w:t>пресни студени и минерални</w:t>
      </w:r>
      <w:r w:rsidRPr="009F6D1E">
        <w:rPr>
          <w:rFonts w:eastAsia="Times New Roman" w:cs="Times New Roman"/>
          <w:szCs w:val="24"/>
        </w:rPr>
        <w:t xml:space="preserve">, а в зависимост от </w:t>
      </w:r>
      <w:proofErr w:type="spellStart"/>
      <w:r w:rsidRPr="009F6D1E">
        <w:rPr>
          <w:rFonts w:eastAsia="Times New Roman" w:cs="Times New Roman"/>
          <w:szCs w:val="24"/>
        </w:rPr>
        <w:t>водовместващите</w:t>
      </w:r>
      <w:proofErr w:type="spellEnd"/>
      <w:r w:rsidRPr="009F6D1E">
        <w:rPr>
          <w:rFonts w:eastAsia="Times New Roman" w:cs="Times New Roman"/>
          <w:szCs w:val="24"/>
        </w:rPr>
        <w:t xml:space="preserve"> геоложки структури, </w:t>
      </w:r>
      <w:proofErr w:type="spellStart"/>
      <w:r w:rsidRPr="009F6D1E">
        <w:rPr>
          <w:rFonts w:eastAsia="Times New Roman" w:cs="Times New Roman"/>
          <w:szCs w:val="24"/>
        </w:rPr>
        <w:t>литоложкия</w:t>
      </w:r>
      <w:proofErr w:type="spellEnd"/>
      <w:r w:rsidRPr="009F6D1E">
        <w:rPr>
          <w:rFonts w:eastAsia="Times New Roman" w:cs="Times New Roman"/>
          <w:szCs w:val="24"/>
        </w:rPr>
        <w:t xml:space="preserve"> състав, </w:t>
      </w:r>
      <w:proofErr w:type="spellStart"/>
      <w:r w:rsidRPr="009F6D1E">
        <w:rPr>
          <w:rFonts w:eastAsia="Times New Roman" w:cs="Times New Roman"/>
          <w:szCs w:val="24"/>
        </w:rPr>
        <w:t>напукаността</w:t>
      </w:r>
      <w:proofErr w:type="spellEnd"/>
      <w:r w:rsidRPr="009F6D1E">
        <w:rPr>
          <w:rFonts w:eastAsia="Times New Roman" w:cs="Times New Roman"/>
          <w:szCs w:val="24"/>
        </w:rPr>
        <w:t xml:space="preserve"> и </w:t>
      </w:r>
      <w:proofErr w:type="spellStart"/>
      <w:r w:rsidRPr="009F6D1E">
        <w:rPr>
          <w:rFonts w:eastAsia="Times New Roman" w:cs="Times New Roman"/>
          <w:szCs w:val="24"/>
        </w:rPr>
        <w:t>окарстяването</w:t>
      </w:r>
      <w:proofErr w:type="spellEnd"/>
      <w:r w:rsidRPr="009F6D1E">
        <w:rPr>
          <w:rFonts w:eastAsia="Times New Roman" w:cs="Times New Roman"/>
          <w:szCs w:val="24"/>
        </w:rPr>
        <w:t xml:space="preserve"> на изграждащите ги скали се определят като:</w:t>
      </w:r>
    </w:p>
    <w:p w14:paraId="36EEB50E" w14:textId="77777777" w:rsidR="00820EDA" w:rsidRPr="009F6D1E" w:rsidRDefault="005174D9" w:rsidP="009B3DA8">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b/>
          <w:bCs/>
          <w:color w:val="000000"/>
          <w:szCs w:val="24"/>
          <w:u w:val="single"/>
          <w:lang w:eastAsia="bg-BG" w:bidi="bg-BG"/>
        </w:rPr>
        <w:t xml:space="preserve">Порови </w:t>
      </w:r>
      <w:r w:rsidR="00820EDA" w:rsidRPr="009F6D1E">
        <w:rPr>
          <w:rFonts w:cs="Times New Roman"/>
          <w:b/>
          <w:bCs/>
          <w:color w:val="000000"/>
          <w:szCs w:val="24"/>
          <w:u w:val="single"/>
          <w:lang w:eastAsia="bg-BG" w:bidi="bg-BG"/>
        </w:rPr>
        <w:t>води</w:t>
      </w:r>
      <w:r w:rsidR="00820EDA" w:rsidRPr="009F6D1E">
        <w:rPr>
          <w:rFonts w:cs="Times New Roman"/>
          <w:szCs w:val="24"/>
        </w:rPr>
        <w:t xml:space="preserve"> в несвързаните и слабо свързани </w:t>
      </w:r>
      <w:proofErr w:type="spellStart"/>
      <w:r w:rsidR="00820EDA" w:rsidRPr="009F6D1E">
        <w:rPr>
          <w:rFonts w:cs="Times New Roman"/>
          <w:szCs w:val="24"/>
        </w:rPr>
        <w:t>кватернерни</w:t>
      </w:r>
      <w:proofErr w:type="spellEnd"/>
      <w:r w:rsidR="00820EDA" w:rsidRPr="009F6D1E">
        <w:rPr>
          <w:rFonts w:cs="Times New Roman"/>
          <w:szCs w:val="24"/>
        </w:rPr>
        <w:t xml:space="preserve"> образувания и различни по възраст седиментни и </w:t>
      </w:r>
      <w:proofErr w:type="spellStart"/>
      <w:r w:rsidR="00820EDA" w:rsidRPr="009F6D1E">
        <w:rPr>
          <w:rFonts w:eastAsia="Times New Roman" w:cs="Times New Roman"/>
          <w:szCs w:val="24"/>
          <w:lang w:eastAsia="bg-BG" w:bidi="bg-BG"/>
        </w:rPr>
        <w:t>вулканогенни</w:t>
      </w:r>
      <w:proofErr w:type="spellEnd"/>
      <w:r w:rsidR="00820EDA" w:rsidRPr="009F6D1E">
        <w:rPr>
          <w:rFonts w:cs="Times New Roman"/>
          <w:szCs w:val="24"/>
        </w:rPr>
        <w:t xml:space="preserve"> скали;</w:t>
      </w:r>
    </w:p>
    <w:p w14:paraId="7EA4BD10" w14:textId="77777777" w:rsidR="00820EDA" w:rsidRPr="009F6D1E" w:rsidRDefault="005174D9" w:rsidP="009B3DA8">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b/>
          <w:bCs/>
          <w:color w:val="000000"/>
          <w:szCs w:val="24"/>
          <w:u w:val="single"/>
          <w:lang w:eastAsia="bg-BG" w:bidi="bg-BG"/>
        </w:rPr>
        <w:t xml:space="preserve">Карстови </w:t>
      </w:r>
      <w:r w:rsidR="00820EDA" w:rsidRPr="009F6D1E">
        <w:rPr>
          <w:rFonts w:cs="Times New Roman"/>
          <w:b/>
          <w:bCs/>
          <w:color w:val="000000"/>
          <w:szCs w:val="24"/>
          <w:u w:val="single"/>
          <w:lang w:eastAsia="bg-BG" w:bidi="bg-BG"/>
        </w:rPr>
        <w:t>води</w:t>
      </w:r>
      <w:r w:rsidR="00820EDA" w:rsidRPr="009F6D1E">
        <w:rPr>
          <w:rFonts w:cs="Times New Roman"/>
          <w:szCs w:val="24"/>
        </w:rPr>
        <w:t xml:space="preserve"> в </w:t>
      </w:r>
      <w:proofErr w:type="spellStart"/>
      <w:r w:rsidR="00820EDA" w:rsidRPr="009F6D1E">
        <w:rPr>
          <w:rFonts w:cs="Times New Roman"/>
          <w:szCs w:val="24"/>
        </w:rPr>
        <w:t>окарстени</w:t>
      </w:r>
      <w:proofErr w:type="spellEnd"/>
      <w:r w:rsidR="00820EDA" w:rsidRPr="009F6D1E">
        <w:rPr>
          <w:rFonts w:cs="Times New Roman"/>
          <w:szCs w:val="24"/>
        </w:rPr>
        <w:t xml:space="preserve"> и неравномерно напукани карбонатни скали;</w:t>
      </w:r>
    </w:p>
    <w:p w14:paraId="10F60CFF" w14:textId="77777777" w:rsidR="00820EDA" w:rsidRPr="009F6D1E" w:rsidRDefault="005174D9" w:rsidP="009B3DA8">
      <w:pPr>
        <w:widowControl w:val="0"/>
        <w:numPr>
          <w:ilvl w:val="0"/>
          <w:numId w:val="5"/>
        </w:numPr>
        <w:tabs>
          <w:tab w:val="left" w:pos="720"/>
          <w:tab w:val="left" w:pos="1080"/>
        </w:tabs>
        <w:spacing w:after="60" w:line="264" w:lineRule="auto"/>
        <w:ind w:firstLine="720"/>
        <w:jc w:val="both"/>
        <w:rPr>
          <w:rFonts w:cs="Times New Roman"/>
          <w:szCs w:val="24"/>
        </w:rPr>
      </w:pPr>
      <w:proofErr w:type="spellStart"/>
      <w:r w:rsidRPr="009F6D1E">
        <w:rPr>
          <w:rFonts w:cs="Times New Roman"/>
          <w:b/>
          <w:bCs/>
          <w:color w:val="000000"/>
          <w:szCs w:val="24"/>
          <w:u w:val="single"/>
          <w:lang w:eastAsia="bg-BG" w:bidi="bg-BG"/>
        </w:rPr>
        <w:t>Пукнатинни</w:t>
      </w:r>
      <w:proofErr w:type="spellEnd"/>
      <w:r w:rsidRPr="009F6D1E">
        <w:rPr>
          <w:rFonts w:cs="Times New Roman"/>
          <w:b/>
          <w:bCs/>
          <w:color w:val="000000"/>
          <w:szCs w:val="24"/>
          <w:u w:val="single"/>
          <w:lang w:eastAsia="bg-BG" w:bidi="bg-BG"/>
        </w:rPr>
        <w:t xml:space="preserve"> </w:t>
      </w:r>
      <w:r w:rsidR="00820EDA" w:rsidRPr="009F6D1E">
        <w:rPr>
          <w:rFonts w:cs="Times New Roman"/>
          <w:b/>
          <w:bCs/>
          <w:color w:val="000000"/>
          <w:szCs w:val="24"/>
          <w:u w:val="single"/>
          <w:lang w:eastAsia="bg-BG" w:bidi="bg-BG"/>
        </w:rPr>
        <w:t>води</w:t>
      </w:r>
      <w:r w:rsidR="00820EDA" w:rsidRPr="009F6D1E">
        <w:rPr>
          <w:rFonts w:cs="Times New Roman"/>
          <w:szCs w:val="24"/>
        </w:rPr>
        <w:t xml:space="preserve"> в неравномерно /напуканата </w:t>
      </w:r>
      <w:proofErr w:type="spellStart"/>
      <w:r w:rsidR="00820EDA" w:rsidRPr="009F6D1E">
        <w:rPr>
          <w:rFonts w:cs="Times New Roman"/>
          <w:szCs w:val="24"/>
        </w:rPr>
        <w:t>приповърхностна</w:t>
      </w:r>
      <w:proofErr w:type="spellEnd"/>
      <w:r w:rsidR="00820EDA" w:rsidRPr="009F6D1E">
        <w:rPr>
          <w:rFonts w:cs="Times New Roman"/>
          <w:szCs w:val="24"/>
        </w:rPr>
        <w:t xml:space="preserve"> част на магмени, метаморфни и седиментни скали.</w:t>
      </w:r>
    </w:p>
    <w:p w14:paraId="4A5D419E"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b/>
          <w:bCs/>
          <w:color w:val="000000"/>
          <w:szCs w:val="24"/>
          <w:u w:val="single"/>
          <w:lang w:eastAsia="bg-BG" w:bidi="bg-BG"/>
        </w:rPr>
        <w:t>Пресните подземни води</w:t>
      </w:r>
      <w:r w:rsidRPr="009F6D1E">
        <w:rPr>
          <w:rFonts w:cs="Times New Roman"/>
          <w:szCs w:val="24"/>
        </w:rPr>
        <w:t xml:space="preserve"> са основен източник за питейно-битово водоснабдяване и за задоволяване на промишлени, земеделски и други нужди. Подхранването им е главно от инфилтрация на валежни, речни и поливни води, в това число и на замърсяващи ги отпадъчни води от бита и промишлеността.</w:t>
      </w:r>
    </w:p>
    <w:p w14:paraId="76AB1FF7"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b/>
          <w:bCs/>
          <w:color w:val="000000"/>
          <w:szCs w:val="24"/>
          <w:u w:val="single"/>
          <w:lang w:eastAsia="bg-BG" w:bidi="bg-BG"/>
        </w:rPr>
        <w:t>Минералните води,</w:t>
      </w:r>
      <w:r w:rsidRPr="009F6D1E">
        <w:rPr>
          <w:rFonts w:cs="Times New Roman"/>
          <w:szCs w:val="24"/>
        </w:rPr>
        <w:t xml:space="preserve"> представляващи важен фактор за развитието на здравеопазването, курортното дело и туризма, се използват за различни цели - главно за лечебни, профилактични и хигиенни нужди, както и за питейно-битово водоснабдяване на селища, отопление на сгради, оранжерии и пр.</w:t>
      </w:r>
    </w:p>
    <w:p w14:paraId="1DF63135" w14:textId="77777777" w:rsidR="00820EDA" w:rsidRPr="009F6D1E" w:rsidRDefault="00820EDA" w:rsidP="0084747F">
      <w:pPr>
        <w:tabs>
          <w:tab w:val="left" w:pos="993"/>
        </w:tabs>
        <w:spacing w:after="60" w:line="264" w:lineRule="auto"/>
        <w:ind w:firstLine="720"/>
        <w:jc w:val="both"/>
        <w:rPr>
          <w:rFonts w:eastAsia="Times New Roman" w:cs="Times New Roman"/>
          <w:b/>
          <w:i/>
          <w:szCs w:val="24"/>
        </w:rPr>
      </w:pPr>
      <w:bookmarkStart w:id="282" w:name="bookmark139"/>
      <w:bookmarkStart w:id="283" w:name="bookmark140"/>
      <w:r w:rsidRPr="009F6D1E">
        <w:rPr>
          <w:rFonts w:eastAsia="Times New Roman" w:cs="Times New Roman"/>
          <w:b/>
          <w:i/>
          <w:szCs w:val="24"/>
        </w:rPr>
        <w:t>Химично състояние на подземните води</w:t>
      </w:r>
      <w:bookmarkEnd w:id="282"/>
      <w:bookmarkEnd w:id="283"/>
    </w:p>
    <w:p w14:paraId="08CA7614"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На територията на страната се осъществява мониторинг на подземните води, чрез изградените: пунктове за контролен и оперативен мониторинг на химичното състояние на подземните води, пунктове за мониторинг на зони за защита на водите, както и пунктове за мониторинг на количественото състояние на подземните води - измерване на водно ниво в кладенци и на дебити на извори.</w:t>
      </w:r>
    </w:p>
    <w:p w14:paraId="5A209D1A"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Индикаторите за оценка на химичното състояние на подземните водни тела (ПВТ) представляват средногодишните стойности на концентрациите на замърсителите, определени </w:t>
      </w:r>
      <w:r w:rsidRPr="009F6D1E">
        <w:rPr>
          <w:rFonts w:eastAsia="Times New Roman" w:cs="Times New Roman"/>
          <w:szCs w:val="24"/>
        </w:rPr>
        <w:lastRenderedPageBreak/>
        <w:t xml:space="preserve">с Наредба №1/10.10.2007 г. за проучване, ползване и опазване на подземните </w:t>
      </w:r>
      <w:proofErr w:type="spellStart"/>
      <w:r w:rsidRPr="009F6D1E">
        <w:rPr>
          <w:rFonts w:eastAsia="Times New Roman" w:cs="Times New Roman"/>
          <w:szCs w:val="24"/>
        </w:rPr>
        <w:t>води:активна</w:t>
      </w:r>
      <w:proofErr w:type="spellEnd"/>
      <w:r w:rsidRPr="009F6D1E">
        <w:rPr>
          <w:rFonts w:eastAsia="Times New Roman" w:cs="Times New Roman"/>
          <w:szCs w:val="24"/>
        </w:rPr>
        <w:t xml:space="preserve"> реакция (</w:t>
      </w:r>
      <w:proofErr w:type="spellStart"/>
      <w:r w:rsidRPr="009F6D1E">
        <w:rPr>
          <w:rFonts w:eastAsia="Times New Roman" w:cs="Times New Roman"/>
          <w:szCs w:val="24"/>
        </w:rPr>
        <w:t>рН</w:t>
      </w:r>
      <w:proofErr w:type="spellEnd"/>
      <w:r w:rsidRPr="009F6D1E">
        <w:rPr>
          <w:rFonts w:eastAsia="Times New Roman" w:cs="Times New Roman"/>
          <w:szCs w:val="24"/>
        </w:rPr>
        <w:t xml:space="preserve">), електропроводимост, обща твърдост, </w:t>
      </w:r>
      <w:proofErr w:type="spellStart"/>
      <w:r w:rsidRPr="009F6D1E">
        <w:rPr>
          <w:rFonts w:eastAsia="Times New Roman" w:cs="Times New Roman"/>
          <w:szCs w:val="24"/>
        </w:rPr>
        <w:t>перманганатна</w:t>
      </w:r>
      <w:proofErr w:type="spellEnd"/>
      <w:r w:rsidRPr="009F6D1E">
        <w:rPr>
          <w:rFonts w:eastAsia="Times New Roman" w:cs="Times New Roman"/>
          <w:szCs w:val="24"/>
        </w:rPr>
        <w:t xml:space="preserve"> </w:t>
      </w:r>
      <w:proofErr w:type="spellStart"/>
      <w:r w:rsidRPr="009F6D1E">
        <w:rPr>
          <w:rFonts w:eastAsia="Times New Roman" w:cs="Times New Roman"/>
          <w:szCs w:val="24"/>
        </w:rPr>
        <w:t>окисляемост</w:t>
      </w:r>
      <w:proofErr w:type="spellEnd"/>
      <w:r w:rsidRPr="009F6D1E">
        <w:rPr>
          <w:rFonts w:eastAsia="Times New Roman" w:cs="Times New Roman"/>
          <w:szCs w:val="24"/>
        </w:rPr>
        <w:t xml:space="preserve">, амониеви йони, нитрати, нитрити, сулфати, хлориди, фосфати, натрий, калций, магнезий, цинк, живак, кадмий, мед, никел, олово, хром общ, желязо, манган, арсен, </w:t>
      </w:r>
      <w:proofErr w:type="spellStart"/>
      <w:r w:rsidRPr="009F6D1E">
        <w:rPr>
          <w:rFonts w:eastAsia="Times New Roman" w:cs="Times New Roman"/>
          <w:szCs w:val="24"/>
        </w:rPr>
        <w:t>тетрахлоретилен</w:t>
      </w:r>
      <w:proofErr w:type="spellEnd"/>
      <w:r w:rsidRPr="009F6D1E">
        <w:rPr>
          <w:rFonts w:eastAsia="Times New Roman" w:cs="Times New Roman"/>
          <w:szCs w:val="24"/>
        </w:rPr>
        <w:t xml:space="preserve"> и </w:t>
      </w:r>
      <w:proofErr w:type="spellStart"/>
      <w:r w:rsidRPr="009F6D1E">
        <w:rPr>
          <w:rFonts w:eastAsia="Times New Roman" w:cs="Times New Roman"/>
          <w:szCs w:val="24"/>
        </w:rPr>
        <w:t>трихлоретилен</w:t>
      </w:r>
      <w:proofErr w:type="spellEnd"/>
      <w:r w:rsidRPr="009F6D1E">
        <w:rPr>
          <w:rFonts w:eastAsia="Times New Roman" w:cs="Times New Roman"/>
          <w:szCs w:val="24"/>
        </w:rPr>
        <w:t xml:space="preserve"> и пестициди.</w:t>
      </w:r>
    </w:p>
    <w:p w14:paraId="3037E55C"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Процентът на пунктовете от националната мониторингова мрежа за химичното състояние на подземните води, в които средногодишните стойности на показателите, определени за последните 20 години, са надвишавали стандартите за качество (СК) на подземните води, съгласно Наредба №1 от 10.10.2007 г. за проучване, ползване и опазване на подземните води (с изменение и допълнение, ДВ бр. 15 от 21.02.2012 г., в сила от 21.02.2012 г.), са представени в Националния доклад за състоянието на околната среда от 2021 г. на ИАОС.</w:t>
      </w:r>
    </w:p>
    <w:p w14:paraId="6B66B803" w14:textId="77777777" w:rsidR="006E6FE8" w:rsidRPr="009F6D1E" w:rsidRDefault="006E6FE8" w:rsidP="0084747F">
      <w:pPr>
        <w:tabs>
          <w:tab w:val="left" w:pos="993"/>
        </w:tabs>
        <w:spacing w:after="60" w:line="264" w:lineRule="auto"/>
        <w:ind w:firstLine="720"/>
        <w:jc w:val="both"/>
        <w:rPr>
          <w:rFonts w:eastAsia="Times New Roman" w:cs="Times New Roman"/>
          <w:szCs w:val="24"/>
        </w:rPr>
      </w:pPr>
    </w:p>
    <w:p w14:paraId="5EAE30C4" w14:textId="77777777" w:rsidR="00820EDA" w:rsidRPr="009F6D1E" w:rsidRDefault="00820EDA" w:rsidP="0084747F">
      <w:pPr>
        <w:tabs>
          <w:tab w:val="left" w:pos="993"/>
        </w:tabs>
        <w:spacing w:after="60" w:line="264" w:lineRule="auto"/>
        <w:ind w:firstLine="720"/>
        <w:jc w:val="both"/>
        <w:rPr>
          <w:rFonts w:eastAsia="Times New Roman" w:cs="Times New Roman"/>
          <w:b/>
          <w:bCs/>
          <w:i/>
          <w:szCs w:val="24"/>
        </w:rPr>
      </w:pPr>
      <w:r w:rsidRPr="009F6D1E">
        <w:rPr>
          <w:rFonts w:eastAsia="Times New Roman" w:cs="Times New Roman"/>
          <w:b/>
          <w:bCs/>
          <w:i/>
          <w:szCs w:val="24"/>
        </w:rPr>
        <w:t xml:space="preserve">Обща информация за химичното състояние </w:t>
      </w:r>
    </w:p>
    <w:p w14:paraId="63AB8CFB" w14:textId="3704B4FD" w:rsidR="00302F7A" w:rsidRPr="00302F7A" w:rsidRDefault="00820EDA" w:rsidP="00302F7A">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Съгласно Националния доклада след анализ на данните от мониторинга на подземните води, както и резултатите от статистическите обработки се установява, че по-значим е процентът на пунктовете с превишения на СК при показатели нитрати, общо желязо</w:t>
      </w:r>
      <w:r w:rsidR="001333C4" w:rsidRPr="001333C4">
        <w:rPr>
          <w:rFonts w:eastAsia="Times New Roman" w:cs="Times New Roman"/>
          <w:szCs w:val="24"/>
        </w:rPr>
        <w:t xml:space="preserve"> </w:t>
      </w:r>
      <w:r w:rsidR="001333C4">
        <w:rPr>
          <w:rFonts w:eastAsia="Times New Roman" w:cs="Times New Roman"/>
          <w:szCs w:val="24"/>
        </w:rPr>
        <w:t>и</w:t>
      </w:r>
      <w:r w:rsidRPr="009F6D1E">
        <w:rPr>
          <w:rFonts w:eastAsia="Times New Roman" w:cs="Times New Roman"/>
          <w:szCs w:val="24"/>
        </w:rPr>
        <w:t xml:space="preserve"> манган. </w:t>
      </w:r>
      <w:r w:rsidR="001333C4" w:rsidRPr="001333C4">
        <w:rPr>
          <w:rFonts w:eastAsia="Times New Roman" w:cs="Times New Roman"/>
          <w:szCs w:val="24"/>
        </w:rPr>
        <w:t>При нитратите се наблюдава слаба тенденция на повишение за целия 20-годишен период, с липса на тенденция за последните десет години, като процентът на мониторингови пунктове с превишения на средногодишните стойности за нитратни йони е съответно: 12,4 % – за 2017 г., 11,5 % – за 2018 г., 13,8% - за 2019 г. и 15,05% - за 2020 г.</w:t>
      </w:r>
      <w:r w:rsidR="00302F7A" w:rsidRPr="00302F7A">
        <w:rPr>
          <w:rFonts w:eastAsia="Times New Roman" w:cs="Times New Roman"/>
          <w:szCs w:val="24"/>
        </w:rPr>
        <w:t xml:space="preserve"> Основен замърсител на подземните води за страната са нитратите</w:t>
      </w:r>
      <w:r w:rsidR="00302F7A">
        <w:rPr>
          <w:rFonts w:eastAsia="Times New Roman" w:cs="Times New Roman"/>
          <w:szCs w:val="24"/>
        </w:rPr>
        <w:t xml:space="preserve">. </w:t>
      </w:r>
    </w:p>
    <w:p w14:paraId="6F46AE5A" w14:textId="77777777" w:rsidR="00302F7A" w:rsidRPr="00302F7A" w:rsidRDefault="00302F7A" w:rsidP="00302F7A">
      <w:pPr>
        <w:tabs>
          <w:tab w:val="left" w:pos="993"/>
        </w:tabs>
        <w:spacing w:after="60" w:line="264" w:lineRule="auto"/>
        <w:ind w:firstLine="720"/>
        <w:jc w:val="both"/>
        <w:rPr>
          <w:rFonts w:eastAsia="Times New Roman" w:cs="Times New Roman"/>
          <w:szCs w:val="24"/>
        </w:rPr>
      </w:pPr>
      <w:r w:rsidRPr="00302F7A">
        <w:rPr>
          <w:rFonts w:eastAsia="Times New Roman" w:cs="Times New Roman"/>
          <w:szCs w:val="24"/>
        </w:rPr>
        <w:t>За всички останали показатели се наблюдават тенденции към понижаване на процента пунктове с превишения на СК за целия 20 годишен период. </w:t>
      </w:r>
    </w:p>
    <w:p w14:paraId="059BABB5" w14:textId="77777777" w:rsidR="00302F7A" w:rsidRPr="00302F7A" w:rsidRDefault="00302F7A" w:rsidP="00302F7A">
      <w:pPr>
        <w:tabs>
          <w:tab w:val="left" w:pos="993"/>
        </w:tabs>
        <w:spacing w:after="60" w:line="264" w:lineRule="auto"/>
        <w:ind w:firstLine="720"/>
        <w:jc w:val="both"/>
        <w:rPr>
          <w:rFonts w:eastAsia="Times New Roman" w:cs="Times New Roman"/>
          <w:szCs w:val="24"/>
        </w:rPr>
      </w:pPr>
      <w:r w:rsidRPr="00302F7A">
        <w:rPr>
          <w:rFonts w:eastAsia="Times New Roman" w:cs="Times New Roman"/>
          <w:szCs w:val="24"/>
        </w:rPr>
        <w:t>Индексите за индивидуалните индикатори, определени спрямо една базова година – 2001 г. са изчислени като средноаритметични стойности за всеки показател за цялата страна от средногодишните стойности на всички мониторингови пунктове – за всяка съответна година спрямо средните стойности за 2001 г. </w:t>
      </w:r>
    </w:p>
    <w:p w14:paraId="4016FFB8" w14:textId="3E118144" w:rsidR="00302F7A" w:rsidRDefault="00302F7A" w:rsidP="00302F7A">
      <w:pPr>
        <w:tabs>
          <w:tab w:val="left" w:pos="993"/>
        </w:tabs>
        <w:spacing w:after="60" w:line="264" w:lineRule="auto"/>
        <w:ind w:firstLine="720"/>
        <w:jc w:val="both"/>
        <w:rPr>
          <w:rFonts w:eastAsia="Times New Roman" w:cs="Times New Roman"/>
          <w:szCs w:val="24"/>
        </w:rPr>
      </w:pPr>
      <w:r w:rsidRPr="00302F7A">
        <w:rPr>
          <w:rFonts w:eastAsia="Times New Roman" w:cs="Times New Roman"/>
          <w:szCs w:val="24"/>
        </w:rPr>
        <w:t>Динамиката на установеното изменение на индикаторите за отделните показатели</w:t>
      </w:r>
      <w:r>
        <w:rPr>
          <w:rFonts w:eastAsia="Times New Roman" w:cs="Times New Roman"/>
          <w:szCs w:val="24"/>
        </w:rPr>
        <w:t xml:space="preserve"> показва следното:</w:t>
      </w:r>
    </w:p>
    <w:p w14:paraId="04A7469A" w14:textId="77777777" w:rsidR="00302F7A" w:rsidRPr="00302F7A" w:rsidRDefault="00302F7A" w:rsidP="00302F7A">
      <w:pPr>
        <w:widowControl w:val="0"/>
        <w:numPr>
          <w:ilvl w:val="0"/>
          <w:numId w:val="5"/>
        </w:numPr>
        <w:tabs>
          <w:tab w:val="left" w:pos="720"/>
          <w:tab w:val="left" w:pos="1080"/>
        </w:tabs>
        <w:spacing w:after="60" w:line="264" w:lineRule="auto"/>
        <w:ind w:firstLine="720"/>
        <w:jc w:val="both"/>
        <w:rPr>
          <w:rFonts w:cs="Times New Roman"/>
          <w:szCs w:val="24"/>
        </w:rPr>
      </w:pPr>
      <w:r w:rsidRPr="00302F7A">
        <w:rPr>
          <w:rFonts w:cs="Times New Roman"/>
          <w:szCs w:val="24"/>
        </w:rPr>
        <w:t>Средните стойности на нитратите, които са основен замърсител за подземните води са по-ниски през целия 20-годишен период спрямо средната стойност през 2001 г., като варират между 65,97 % (за 2006 г.) до 98,4% (за 2012 г.) спрямо базовата 2001 г. Съотношението на 2020 г. спрямо 2001 г. е 86,6 %.</w:t>
      </w:r>
    </w:p>
    <w:p w14:paraId="204C430F" w14:textId="77777777" w:rsidR="00302F7A" w:rsidRPr="00302F7A" w:rsidRDefault="00302F7A" w:rsidP="00302F7A">
      <w:pPr>
        <w:widowControl w:val="0"/>
        <w:numPr>
          <w:ilvl w:val="0"/>
          <w:numId w:val="5"/>
        </w:numPr>
        <w:tabs>
          <w:tab w:val="left" w:pos="720"/>
          <w:tab w:val="left" w:pos="1080"/>
        </w:tabs>
        <w:spacing w:after="60" w:line="264" w:lineRule="auto"/>
        <w:ind w:firstLine="720"/>
        <w:jc w:val="both"/>
        <w:rPr>
          <w:rFonts w:eastAsia="Times New Roman" w:cs="Times New Roman"/>
          <w:szCs w:val="24"/>
        </w:rPr>
      </w:pPr>
      <w:r w:rsidRPr="00302F7A">
        <w:rPr>
          <w:rFonts w:cs="Times New Roman"/>
          <w:szCs w:val="24"/>
        </w:rPr>
        <w:t>Всичките останали показатели показват тенденция на намаление през 20-годишния период спрямо средните стойности на базовата година 2001 г., с изключение на показателите калций, магнезий, електропроводимост и хлориди – за които липсва</w:t>
      </w:r>
      <w:r w:rsidRPr="00302F7A">
        <w:rPr>
          <w:rFonts w:eastAsia="Times New Roman" w:cs="Times New Roman"/>
          <w:szCs w:val="24"/>
        </w:rPr>
        <w:t xml:space="preserve"> изразена тенденция.</w:t>
      </w:r>
    </w:p>
    <w:p w14:paraId="7CAD7381"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p>
    <w:p w14:paraId="25351B65" w14:textId="77777777" w:rsidR="00820EDA" w:rsidRPr="009F6D1E" w:rsidRDefault="00820EDA" w:rsidP="0084747F">
      <w:pPr>
        <w:tabs>
          <w:tab w:val="left" w:pos="993"/>
        </w:tabs>
        <w:spacing w:after="60" w:line="264" w:lineRule="auto"/>
        <w:ind w:firstLine="720"/>
        <w:jc w:val="both"/>
        <w:rPr>
          <w:rFonts w:eastAsia="ヒラギノ角ゴ Pro W3" w:cs="Times New Roman"/>
          <w:b/>
          <w:color w:val="000000"/>
          <w:sz w:val="23"/>
          <w:szCs w:val="23"/>
        </w:rPr>
      </w:pPr>
      <w:bookmarkStart w:id="284" w:name="bookmark141"/>
      <w:r w:rsidRPr="009F6D1E">
        <w:rPr>
          <w:rFonts w:eastAsia="ヒラギノ角ゴ Pro W3" w:cs="Times New Roman"/>
          <w:b/>
          <w:color w:val="000000"/>
          <w:sz w:val="23"/>
          <w:szCs w:val="23"/>
        </w:rPr>
        <w:lastRenderedPageBreak/>
        <w:t xml:space="preserve">Текущо </w:t>
      </w:r>
      <w:r w:rsidRPr="009F6D1E">
        <w:rPr>
          <w:rFonts w:eastAsia="Times New Roman" w:cs="Times New Roman"/>
          <w:b/>
          <w:szCs w:val="24"/>
        </w:rPr>
        <w:t>химично</w:t>
      </w:r>
      <w:r w:rsidRPr="009F6D1E">
        <w:rPr>
          <w:rFonts w:eastAsia="ヒラギノ角ゴ Pro W3" w:cs="Times New Roman"/>
          <w:b/>
          <w:color w:val="000000"/>
          <w:sz w:val="23"/>
          <w:szCs w:val="23"/>
        </w:rPr>
        <w:t xml:space="preserve"> състояние на подземните водни тела </w:t>
      </w:r>
      <w:bookmarkEnd w:id="284"/>
      <w:r w:rsidRPr="009F6D1E">
        <w:rPr>
          <w:rFonts w:eastAsia="ヒラギノ角ゴ Pro W3" w:cs="Times New Roman"/>
          <w:b/>
          <w:color w:val="000000"/>
          <w:sz w:val="23"/>
          <w:szCs w:val="23"/>
        </w:rPr>
        <w:t xml:space="preserve">- Басейнова дирекция за управление на водите „Дунавски район“ с център </w:t>
      </w:r>
      <w:proofErr w:type="spellStart"/>
      <w:r w:rsidRPr="009F6D1E">
        <w:rPr>
          <w:rFonts w:eastAsia="ヒラギノ角ゴ Pro W3" w:cs="Times New Roman"/>
          <w:b/>
          <w:color w:val="000000"/>
          <w:sz w:val="23"/>
          <w:szCs w:val="23"/>
        </w:rPr>
        <w:t>гр.Плевен</w:t>
      </w:r>
      <w:proofErr w:type="spellEnd"/>
    </w:p>
    <w:p w14:paraId="0168AB2A"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Съгласно информация в ПУРБ 2016-2021 г., от 50 подземни водни тела (ПВТ), попадащи на територията на Басейнова дирекция Дунавски район - 22 тела са оценени в „лошо“ химично състояние и 28 тела са „добро“ химично състояние.</w:t>
      </w:r>
    </w:p>
    <w:p w14:paraId="277B29F3"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Идентифицираните замърсители, с установени концентрации над стандартите за качество, са: нитрати, фосфати, амоний, хром, желязо и манган, които са причина за </w:t>
      </w:r>
      <w:proofErr w:type="spellStart"/>
      <w:r w:rsidRPr="009F6D1E">
        <w:rPr>
          <w:rFonts w:eastAsia="Times New Roman" w:cs="Times New Roman"/>
          <w:szCs w:val="24"/>
        </w:rPr>
        <w:t>непостигане</w:t>
      </w:r>
      <w:proofErr w:type="spellEnd"/>
      <w:r w:rsidRPr="009F6D1E">
        <w:rPr>
          <w:rFonts w:eastAsia="Times New Roman" w:cs="Times New Roman"/>
          <w:szCs w:val="24"/>
        </w:rPr>
        <w:t xml:space="preserve"> на добро състояние на ПВТ както следва:</w:t>
      </w:r>
    </w:p>
    <w:p w14:paraId="3B0511E4" w14:textId="77777777" w:rsidR="00820EDA" w:rsidRPr="009F6D1E" w:rsidRDefault="005174D9" w:rsidP="009B3DA8">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Нитрати</w:t>
      </w:r>
      <w:r w:rsidR="00820EDA" w:rsidRPr="009F6D1E">
        <w:rPr>
          <w:rFonts w:eastAsia="Times New Roman" w:cs="Times New Roman"/>
          <w:szCs w:val="24"/>
          <w:lang w:eastAsia="bg-BG" w:bidi="bg-BG"/>
        </w:rPr>
        <w:t>, фосфати и амоний - за 14 бр. ПВТ;</w:t>
      </w:r>
    </w:p>
    <w:p w14:paraId="4C8C292A" w14:textId="77777777" w:rsidR="00820EDA" w:rsidRPr="009F6D1E" w:rsidRDefault="005174D9" w:rsidP="009B3DA8">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Специфични </w:t>
      </w:r>
      <w:r w:rsidR="00820EDA" w:rsidRPr="009F6D1E">
        <w:rPr>
          <w:rFonts w:eastAsia="Times New Roman" w:cs="Times New Roman"/>
          <w:szCs w:val="24"/>
          <w:lang w:eastAsia="bg-BG" w:bidi="bg-BG"/>
        </w:rPr>
        <w:t>замърсители (хром, желязо и манган) - 8 бр. ПВТ.</w:t>
      </w:r>
    </w:p>
    <w:p w14:paraId="3813FD6F" w14:textId="77777777" w:rsidR="00820EDA" w:rsidRPr="009F6D1E" w:rsidRDefault="00820EDA" w:rsidP="0084747F">
      <w:pPr>
        <w:spacing w:after="60" w:line="264" w:lineRule="auto"/>
        <w:ind w:left="360"/>
        <w:contextualSpacing/>
        <w:jc w:val="both"/>
        <w:rPr>
          <w:rFonts w:eastAsia="ヒラギノ角ゴ Pro W3" w:cs="Times New Roman"/>
          <w:bCs/>
          <w:color w:val="000000"/>
          <w:szCs w:val="24"/>
        </w:rPr>
      </w:pPr>
      <w:bookmarkStart w:id="285" w:name="bookmark143"/>
    </w:p>
    <w:bookmarkEnd w:id="285"/>
    <w:p w14:paraId="71EE689B" w14:textId="77777777" w:rsidR="00820EDA" w:rsidRPr="009F6D1E" w:rsidRDefault="00820EDA" w:rsidP="0084747F">
      <w:pPr>
        <w:tabs>
          <w:tab w:val="left" w:pos="993"/>
        </w:tabs>
        <w:spacing w:after="60" w:line="264" w:lineRule="auto"/>
        <w:ind w:firstLine="720"/>
        <w:jc w:val="both"/>
        <w:rPr>
          <w:rFonts w:eastAsia="ヒラギノ角ゴ Pro W3" w:cs="Times New Roman"/>
          <w:b/>
          <w:color w:val="000000"/>
          <w:sz w:val="23"/>
          <w:szCs w:val="23"/>
        </w:rPr>
      </w:pPr>
      <w:r w:rsidRPr="009F6D1E">
        <w:rPr>
          <w:rFonts w:eastAsia="ヒラギノ角ゴ Pro W3" w:cs="Times New Roman"/>
          <w:b/>
          <w:color w:val="000000"/>
          <w:sz w:val="23"/>
          <w:szCs w:val="23"/>
        </w:rPr>
        <w:t xml:space="preserve">Текущо химично състояние на подземните водни тела - Басейнова дирекция за управление на водите „Черноморски район“ с център </w:t>
      </w:r>
      <w:proofErr w:type="spellStart"/>
      <w:r w:rsidRPr="009F6D1E">
        <w:rPr>
          <w:rFonts w:eastAsia="ヒラギノ角ゴ Pro W3" w:cs="Times New Roman"/>
          <w:b/>
          <w:color w:val="000000"/>
          <w:sz w:val="23"/>
          <w:szCs w:val="23"/>
        </w:rPr>
        <w:t>гр.Варна</w:t>
      </w:r>
      <w:proofErr w:type="spellEnd"/>
    </w:p>
    <w:p w14:paraId="623007FB"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Съгласно информация в ПУРБ 2016-2021 г., от 40 подземни водни тела (ПВТ), попадащи на територията на Басейнова дирекция Черноморски район - 17 тела са оценени в „лошо“ химично състояние и 23 тела са „добро“ химично състояние.</w:t>
      </w:r>
    </w:p>
    <w:p w14:paraId="67AF03D2"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Във всички подземни водни тела в които са установени замърсени участъци, площите им не надвишават 20%.</w:t>
      </w:r>
    </w:p>
    <w:p w14:paraId="40326EBF"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Резултатите от проведения химичен мониторинг през 2020 г. показват, че 14 ПВТ са в лошо химично състояние със средногодишни стойности на определени показатели над праговите стойности, определени в ПУРБ 2016-2021 г. и над стандарт за качество, от Приложение 1 към Наредба №1/2007 г. за проучване, ползване и опазване на подземните води. За 5 ПВТ през 2020 г. няма нови данни, а 21 бр. ПВТ са определени в добро химично състояние.</w:t>
      </w:r>
    </w:p>
    <w:p w14:paraId="69CF7EF5" w14:textId="77777777" w:rsidR="00820EDA" w:rsidRPr="009F6D1E" w:rsidRDefault="00820EDA" w:rsidP="0084747F">
      <w:pPr>
        <w:tabs>
          <w:tab w:val="left" w:pos="993"/>
        </w:tabs>
        <w:spacing w:after="60" w:line="264" w:lineRule="auto"/>
        <w:ind w:firstLine="720"/>
        <w:jc w:val="both"/>
        <w:rPr>
          <w:rFonts w:eastAsia="Times New Roman" w:cs="Times New Roman"/>
          <w:b/>
          <w:bCs/>
          <w:i/>
          <w:iCs/>
        </w:rPr>
      </w:pPr>
      <w:bookmarkStart w:id="286" w:name="bookmark144"/>
    </w:p>
    <w:bookmarkEnd w:id="286"/>
    <w:p w14:paraId="58467A95" w14:textId="77777777" w:rsidR="00820EDA" w:rsidRPr="009F6D1E" w:rsidRDefault="00820EDA" w:rsidP="0084747F">
      <w:pPr>
        <w:tabs>
          <w:tab w:val="left" w:pos="993"/>
        </w:tabs>
        <w:spacing w:after="60" w:line="264" w:lineRule="auto"/>
        <w:ind w:firstLine="720"/>
        <w:jc w:val="both"/>
        <w:rPr>
          <w:rFonts w:eastAsia="ヒラギノ角ゴ Pro W3" w:cs="Times New Roman"/>
          <w:b/>
          <w:color w:val="000000"/>
          <w:sz w:val="23"/>
          <w:szCs w:val="23"/>
        </w:rPr>
      </w:pPr>
      <w:r w:rsidRPr="009F6D1E">
        <w:rPr>
          <w:rFonts w:eastAsia="ヒラギノ角ゴ Pro W3" w:cs="Times New Roman"/>
          <w:b/>
          <w:color w:val="000000"/>
          <w:sz w:val="23"/>
          <w:szCs w:val="23"/>
        </w:rPr>
        <w:t>Текущо химично състояние на подземните водни тела - Басейнова дирекция за управление на водите „Източнобеломорски район“ с център гр.</w:t>
      </w:r>
      <w:r w:rsidR="005174D9" w:rsidRPr="009F6D1E">
        <w:rPr>
          <w:rFonts w:eastAsia="ヒラギノ角ゴ Pro W3" w:cs="Times New Roman"/>
          <w:b/>
          <w:color w:val="000000"/>
          <w:sz w:val="23"/>
          <w:szCs w:val="23"/>
        </w:rPr>
        <w:t xml:space="preserve"> </w:t>
      </w:r>
      <w:r w:rsidRPr="009F6D1E">
        <w:rPr>
          <w:rFonts w:eastAsia="ヒラギノ角ゴ Pro W3" w:cs="Times New Roman"/>
          <w:b/>
          <w:color w:val="000000"/>
          <w:sz w:val="23"/>
          <w:szCs w:val="23"/>
        </w:rPr>
        <w:t>Пловдив</w:t>
      </w:r>
    </w:p>
    <w:p w14:paraId="22D99074"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Съгласно информация в ПУРБ 2016-2021 г., от 41  подземни водни тела (ПВТ), попадащи на територията на Басейнова дирекция Източнобеломорски район в лошо химично състояние са 18 броя ПВТ, като основните замърсители са следните: желязо, нитрати, фосфати, магнезий, хлориди, манган, амониеви йони, калций, твърдост (обща), сулфати, натрий, </w:t>
      </w:r>
      <w:proofErr w:type="spellStart"/>
      <w:r w:rsidRPr="009F6D1E">
        <w:rPr>
          <w:rFonts w:eastAsia="Times New Roman" w:cs="Times New Roman"/>
          <w:szCs w:val="24"/>
        </w:rPr>
        <w:t>перманганатна</w:t>
      </w:r>
      <w:proofErr w:type="spellEnd"/>
      <w:r w:rsidRPr="009F6D1E">
        <w:rPr>
          <w:rFonts w:eastAsia="Times New Roman" w:cs="Times New Roman"/>
          <w:szCs w:val="24"/>
        </w:rPr>
        <w:t xml:space="preserve"> </w:t>
      </w:r>
      <w:proofErr w:type="spellStart"/>
      <w:r w:rsidRPr="009F6D1E">
        <w:rPr>
          <w:rFonts w:eastAsia="Times New Roman" w:cs="Times New Roman"/>
          <w:szCs w:val="24"/>
        </w:rPr>
        <w:t>окисляемост</w:t>
      </w:r>
      <w:proofErr w:type="spellEnd"/>
      <w:r w:rsidRPr="009F6D1E">
        <w:rPr>
          <w:rFonts w:eastAsia="Times New Roman" w:cs="Times New Roman"/>
          <w:szCs w:val="24"/>
        </w:rPr>
        <w:t>.</w:t>
      </w:r>
    </w:p>
    <w:p w14:paraId="0F878251"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Съгласно информацията в “Доклада за състоянието на водите на територията на ИБР през 2020 г.” при извършената оценка 24 ПВТ са определени в добро химично състояние, а в лошо състояние - 17 ПВТ.</w:t>
      </w:r>
    </w:p>
    <w:p w14:paraId="5C9F1E89" w14:textId="77777777" w:rsidR="000631F4" w:rsidRPr="009F6D1E" w:rsidRDefault="000631F4" w:rsidP="0084747F">
      <w:pPr>
        <w:tabs>
          <w:tab w:val="left" w:pos="993"/>
        </w:tabs>
        <w:spacing w:after="60" w:line="264" w:lineRule="auto"/>
        <w:ind w:firstLine="720"/>
        <w:jc w:val="both"/>
        <w:rPr>
          <w:rFonts w:eastAsia="Times New Roman" w:cs="Times New Roman"/>
          <w:szCs w:val="24"/>
        </w:rPr>
      </w:pPr>
    </w:p>
    <w:p w14:paraId="5F63680D" w14:textId="77777777" w:rsidR="00820EDA" w:rsidRPr="009F6D1E" w:rsidRDefault="00820EDA" w:rsidP="0084747F">
      <w:pPr>
        <w:spacing w:after="60" w:line="264" w:lineRule="auto"/>
        <w:rPr>
          <w:rFonts w:cs="Times New Roman"/>
          <w:sz w:val="2"/>
          <w:szCs w:val="2"/>
        </w:rPr>
      </w:pPr>
    </w:p>
    <w:p w14:paraId="039BA55A" w14:textId="77777777" w:rsidR="00820EDA" w:rsidRPr="009F6D1E" w:rsidRDefault="00820EDA" w:rsidP="0084747F">
      <w:pPr>
        <w:tabs>
          <w:tab w:val="left" w:pos="993"/>
        </w:tabs>
        <w:spacing w:after="60" w:line="264" w:lineRule="auto"/>
        <w:ind w:firstLine="720"/>
        <w:jc w:val="both"/>
        <w:rPr>
          <w:rFonts w:eastAsia="ヒラギノ角ゴ Pro W3" w:cs="Times New Roman"/>
          <w:b/>
          <w:color w:val="000000"/>
          <w:sz w:val="23"/>
          <w:szCs w:val="23"/>
        </w:rPr>
      </w:pPr>
      <w:r w:rsidRPr="009F6D1E">
        <w:rPr>
          <w:rFonts w:eastAsia="ヒラギノ角ゴ Pro W3" w:cs="Times New Roman"/>
          <w:b/>
          <w:color w:val="000000"/>
          <w:sz w:val="23"/>
          <w:szCs w:val="23"/>
        </w:rPr>
        <w:t>Текущо химично състояние на подземните водни тела - Басейнова дирекция за управление на водите „</w:t>
      </w:r>
      <w:proofErr w:type="spellStart"/>
      <w:r w:rsidRPr="009F6D1E">
        <w:rPr>
          <w:rFonts w:eastAsia="ヒラギノ角ゴ Pro W3" w:cs="Times New Roman"/>
          <w:b/>
          <w:color w:val="000000"/>
          <w:sz w:val="23"/>
          <w:szCs w:val="23"/>
        </w:rPr>
        <w:t>Западнобеломорски</w:t>
      </w:r>
      <w:proofErr w:type="spellEnd"/>
      <w:r w:rsidRPr="009F6D1E">
        <w:rPr>
          <w:rFonts w:eastAsia="ヒラギノ角ゴ Pro W3" w:cs="Times New Roman"/>
          <w:b/>
          <w:color w:val="000000"/>
          <w:sz w:val="23"/>
          <w:szCs w:val="23"/>
        </w:rPr>
        <w:t xml:space="preserve"> район“ с център </w:t>
      </w:r>
      <w:proofErr w:type="spellStart"/>
      <w:r w:rsidRPr="009F6D1E">
        <w:rPr>
          <w:rFonts w:eastAsia="ヒラギノ角ゴ Pro W3" w:cs="Times New Roman"/>
          <w:b/>
          <w:color w:val="000000"/>
          <w:sz w:val="23"/>
          <w:szCs w:val="23"/>
        </w:rPr>
        <w:t>гр.Благоевград</w:t>
      </w:r>
      <w:proofErr w:type="spellEnd"/>
    </w:p>
    <w:p w14:paraId="05230D05"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Оценката на състоянието на подземните водни тела в ЗБР показва, че от общо 38 подземни водни тела в </w:t>
      </w:r>
      <w:proofErr w:type="spellStart"/>
      <w:r w:rsidRPr="009F6D1E">
        <w:rPr>
          <w:rFonts w:eastAsia="Times New Roman" w:cs="Times New Roman"/>
          <w:szCs w:val="24"/>
        </w:rPr>
        <w:t>Западнобеломорски</w:t>
      </w:r>
      <w:proofErr w:type="spellEnd"/>
      <w:r w:rsidRPr="009F6D1E">
        <w:rPr>
          <w:rFonts w:eastAsia="Times New Roman" w:cs="Times New Roman"/>
          <w:szCs w:val="24"/>
        </w:rPr>
        <w:t xml:space="preserve"> район само „Порови води в кватернер - </w:t>
      </w:r>
      <w:r w:rsidRPr="009F6D1E">
        <w:rPr>
          <w:rFonts w:eastAsia="Times New Roman" w:cs="Times New Roman"/>
          <w:szCs w:val="24"/>
        </w:rPr>
        <w:lastRenderedPageBreak/>
        <w:t>Струмешница” с код BG4G00000Q001 е определено в лошо химично състояние. Всички останали ПВТ (37 бр.) са оценени в добро химично състояние.</w:t>
      </w:r>
    </w:p>
    <w:p w14:paraId="2CB72972"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Съгласно “Бюлетин за състоянието на повърхностните и подземните водни тела в </w:t>
      </w:r>
      <w:proofErr w:type="spellStart"/>
      <w:r w:rsidRPr="009F6D1E">
        <w:rPr>
          <w:rFonts w:eastAsia="Times New Roman" w:cs="Times New Roman"/>
          <w:szCs w:val="24"/>
        </w:rPr>
        <w:t>Западнобеломорски</w:t>
      </w:r>
      <w:proofErr w:type="spellEnd"/>
      <w:r w:rsidRPr="009F6D1E">
        <w:rPr>
          <w:rFonts w:eastAsia="Times New Roman" w:cs="Times New Roman"/>
          <w:szCs w:val="24"/>
        </w:rPr>
        <w:t xml:space="preserve"> район за Басейново управление през 2020” направената оценка на химичното състояние на подземните водни тела в </w:t>
      </w:r>
      <w:proofErr w:type="spellStart"/>
      <w:r w:rsidRPr="009F6D1E">
        <w:rPr>
          <w:rFonts w:eastAsia="Times New Roman" w:cs="Times New Roman"/>
          <w:szCs w:val="24"/>
        </w:rPr>
        <w:t>Западнобеломорски</w:t>
      </w:r>
      <w:proofErr w:type="spellEnd"/>
      <w:r w:rsidRPr="009F6D1E">
        <w:rPr>
          <w:rFonts w:eastAsia="Times New Roman" w:cs="Times New Roman"/>
          <w:szCs w:val="24"/>
        </w:rPr>
        <w:t xml:space="preserve"> район водното тяло запазва лошо химично състояние по показател Нитрати</w:t>
      </w:r>
    </w:p>
    <w:p w14:paraId="09BDCFD6"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p>
    <w:p w14:paraId="51DAFAEA" w14:textId="0246F08C" w:rsidR="00820EDA" w:rsidRPr="009F6D1E" w:rsidRDefault="00820EDA" w:rsidP="0084747F">
      <w:pPr>
        <w:tabs>
          <w:tab w:val="left" w:pos="993"/>
        </w:tabs>
        <w:spacing w:after="60" w:line="264" w:lineRule="auto"/>
        <w:ind w:firstLine="720"/>
        <w:jc w:val="both"/>
        <w:rPr>
          <w:rFonts w:eastAsia="ヒラギノ角ゴ Pro W3" w:cs="Times New Roman"/>
          <w:b/>
          <w:color w:val="000000"/>
          <w:sz w:val="23"/>
          <w:szCs w:val="23"/>
        </w:rPr>
      </w:pPr>
      <w:r w:rsidRPr="009F6D1E">
        <w:rPr>
          <w:rFonts w:eastAsia="ヒラギノ角ゴ Pro W3" w:cs="Times New Roman"/>
          <w:b/>
          <w:color w:val="000000"/>
          <w:sz w:val="23"/>
          <w:szCs w:val="23"/>
        </w:rPr>
        <w:t xml:space="preserve">Основни замърсители </w:t>
      </w:r>
      <w:proofErr w:type="spellStart"/>
      <w:r w:rsidRPr="009F6D1E">
        <w:rPr>
          <w:rFonts w:eastAsia="ヒラギノ角ゴ Pro W3" w:cs="Times New Roman"/>
          <w:b/>
          <w:color w:val="000000"/>
          <w:sz w:val="23"/>
          <w:szCs w:val="23"/>
        </w:rPr>
        <w:t>устоновени</w:t>
      </w:r>
      <w:proofErr w:type="spellEnd"/>
      <w:r w:rsidRPr="009F6D1E">
        <w:rPr>
          <w:rFonts w:eastAsia="ヒラギノ角ゴ Pro W3" w:cs="Times New Roman"/>
          <w:b/>
          <w:color w:val="000000"/>
          <w:sz w:val="23"/>
          <w:szCs w:val="23"/>
        </w:rPr>
        <w:t xml:space="preserve"> в подземните води съгласно Национален доклад за състоянието и опазването на околната среда в Р. България през 20</w:t>
      </w:r>
      <w:r w:rsidR="00302F7A">
        <w:rPr>
          <w:rFonts w:eastAsia="ヒラギノ角ゴ Pro W3" w:cs="Times New Roman"/>
          <w:b/>
          <w:color w:val="000000"/>
          <w:sz w:val="23"/>
          <w:szCs w:val="23"/>
        </w:rPr>
        <w:t>20</w:t>
      </w:r>
      <w:r w:rsidRPr="009F6D1E">
        <w:rPr>
          <w:rFonts w:eastAsia="ヒラギノ角ゴ Pro W3" w:cs="Times New Roman"/>
          <w:b/>
          <w:color w:val="000000"/>
          <w:sz w:val="23"/>
          <w:szCs w:val="23"/>
        </w:rPr>
        <w:t xml:space="preserve"> г.</w:t>
      </w:r>
    </w:p>
    <w:p w14:paraId="58D8C95C" w14:textId="77777777" w:rsidR="00820EDA" w:rsidRPr="009F6D1E" w:rsidRDefault="00820EDA" w:rsidP="0084747F">
      <w:pPr>
        <w:tabs>
          <w:tab w:val="left" w:pos="993"/>
        </w:tabs>
        <w:spacing w:after="60" w:line="264" w:lineRule="auto"/>
        <w:ind w:firstLine="720"/>
        <w:jc w:val="both"/>
        <w:rPr>
          <w:rFonts w:eastAsia="ヒラギノ角ゴ Pro W3" w:cs="Times New Roman"/>
          <w:b/>
          <w:i/>
          <w:iCs/>
          <w:color w:val="000000"/>
          <w:sz w:val="23"/>
          <w:szCs w:val="23"/>
        </w:rPr>
      </w:pPr>
      <w:r w:rsidRPr="009F6D1E">
        <w:rPr>
          <w:rFonts w:eastAsia="ヒラギノ角ゴ Pro W3" w:cs="Times New Roman"/>
          <w:b/>
          <w:i/>
          <w:iCs/>
          <w:color w:val="000000"/>
          <w:sz w:val="23"/>
          <w:szCs w:val="23"/>
        </w:rPr>
        <w:t>Нитрати</w:t>
      </w:r>
    </w:p>
    <w:p w14:paraId="28B3E4D9"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През 2020 г. процента на пунктовете, в които се установяват наднормени стойности на средногодишните концентрации на нитрати е 15,2 % от общия брой пунктове за страната, което е по-високо в сравнение с процента на пунктовете през 2019 г. (13,8%), 2018 г. (11,5%.), 2017 г. (12,4%) и 2016 г. (13,9%).</w:t>
      </w:r>
    </w:p>
    <w:p w14:paraId="185F0F3C"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Установените превишения на СК за нитрати са главно в пунктове привързани към най-плитките </w:t>
      </w:r>
      <w:proofErr w:type="spellStart"/>
      <w:r w:rsidRPr="009F7593">
        <w:rPr>
          <w:rFonts w:eastAsia="Times New Roman" w:cs="Times New Roman"/>
          <w:szCs w:val="24"/>
        </w:rPr>
        <w:t>кватернерни</w:t>
      </w:r>
      <w:proofErr w:type="spellEnd"/>
      <w:r w:rsidRPr="009F7593">
        <w:rPr>
          <w:rFonts w:eastAsia="Times New Roman" w:cs="Times New Roman"/>
          <w:szCs w:val="24"/>
        </w:rPr>
        <w:t xml:space="preserve"> или </w:t>
      </w:r>
      <w:proofErr w:type="spellStart"/>
      <w:r w:rsidRPr="009F7593">
        <w:rPr>
          <w:rFonts w:eastAsia="Times New Roman" w:cs="Times New Roman"/>
          <w:szCs w:val="24"/>
        </w:rPr>
        <w:t>кватернерно</w:t>
      </w:r>
      <w:proofErr w:type="spellEnd"/>
      <w:r w:rsidRPr="009F7593">
        <w:rPr>
          <w:rFonts w:eastAsia="Times New Roman" w:cs="Times New Roman"/>
          <w:szCs w:val="24"/>
        </w:rPr>
        <w:t>–неогенски подземни води. От общо 155 ПВТ, в които през 2020 г. са наблюдавани нитрати са установени замърсявания с нитрати в 42, като в повечето случаи са замърсени само част от мониторинговите пунктове към тези подземни водни тела.</w:t>
      </w:r>
    </w:p>
    <w:p w14:paraId="11D81F55"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От дванадесетте крайдунавски низини замърсяване с нитрати е установено в част от пунктовете на четири от тях: Брегово-Новоселска низина, </w:t>
      </w:r>
      <w:proofErr w:type="spellStart"/>
      <w:r w:rsidRPr="009F7593">
        <w:rPr>
          <w:rFonts w:eastAsia="Times New Roman" w:cs="Times New Roman"/>
          <w:szCs w:val="24"/>
        </w:rPr>
        <w:t>Карабоазка</w:t>
      </w:r>
      <w:proofErr w:type="spellEnd"/>
      <w:r w:rsidRPr="009F7593">
        <w:rPr>
          <w:rFonts w:eastAsia="Times New Roman" w:cs="Times New Roman"/>
          <w:szCs w:val="24"/>
        </w:rPr>
        <w:t xml:space="preserve"> низина, Островска низина и </w:t>
      </w:r>
      <w:proofErr w:type="spellStart"/>
      <w:r w:rsidRPr="009F7593">
        <w:rPr>
          <w:rFonts w:eastAsia="Times New Roman" w:cs="Times New Roman"/>
          <w:szCs w:val="24"/>
        </w:rPr>
        <w:t>Попинско</w:t>
      </w:r>
      <w:proofErr w:type="spellEnd"/>
      <w:r w:rsidRPr="009F7593">
        <w:rPr>
          <w:rFonts w:eastAsia="Times New Roman" w:cs="Times New Roman"/>
          <w:szCs w:val="24"/>
        </w:rPr>
        <w:t xml:space="preserve">-Гарванска низина. Установени са няколко замърсени мониторингови пунктове в </w:t>
      </w:r>
      <w:proofErr w:type="spellStart"/>
      <w:r w:rsidRPr="009F7593">
        <w:rPr>
          <w:rFonts w:eastAsia="Times New Roman" w:cs="Times New Roman"/>
          <w:szCs w:val="24"/>
        </w:rPr>
        <w:t>кватернерните</w:t>
      </w:r>
      <w:proofErr w:type="spellEnd"/>
      <w:r w:rsidRPr="009F7593">
        <w:rPr>
          <w:rFonts w:eastAsia="Times New Roman" w:cs="Times New Roman"/>
          <w:szCs w:val="24"/>
        </w:rPr>
        <w:t xml:space="preserve"> алувиални отложения на следните реки: р. </w:t>
      </w:r>
      <w:proofErr w:type="spellStart"/>
      <w:r w:rsidRPr="009F7593">
        <w:rPr>
          <w:rFonts w:eastAsia="Times New Roman" w:cs="Times New Roman"/>
          <w:szCs w:val="24"/>
        </w:rPr>
        <w:t>Струмешншца</w:t>
      </w:r>
      <w:proofErr w:type="spellEnd"/>
      <w:r w:rsidRPr="009F7593">
        <w:rPr>
          <w:rFonts w:eastAsia="Times New Roman" w:cs="Times New Roman"/>
          <w:szCs w:val="24"/>
        </w:rPr>
        <w:t>, р. Осъм, р. Камчия, р Айтоска, р. Провадийска, р. Искър. Замърсявания са установени и в кватернера на гр. Благоевград, Марица- Изток, Горнотракийската низина, Врачанския пороен конус и в междуречните масиви на реките Лом и Искър, Вит и Осъм.</w:t>
      </w:r>
    </w:p>
    <w:p w14:paraId="2B36ABA3"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В подлежащите на мониторинг подземни водни тела в неогенски и кватернер-неогенски отложения са установени замърсявания в 11 ПВТ: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Бургас,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w:t>
      </w:r>
      <w:proofErr w:type="spellStart"/>
      <w:r w:rsidRPr="009F7593">
        <w:rPr>
          <w:rFonts w:eastAsia="Times New Roman" w:cs="Times New Roman"/>
          <w:szCs w:val="24"/>
        </w:rPr>
        <w:t>сармат</w:t>
      </w:r>
      <w:proofErr w:type="spellEnd"/>
      <w:r w:rsidRPr="009F7593">
        <w:rPr>
          <w:rFonts w:eastAsia="Times New Roman" w:cs="Times New Roman"/>
          <w:szCs w:val="24"/>
        </w:rPr>
        <w:t xml:space="preserve"> Средец,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Свиленград-Стамболово,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Струмешница,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Ломско-Плевенската депресия,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Сливенско- Стралджанска област,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Сунгурларско - Карнобатска котловина,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Казанлъшка котловина,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Ямбол – Елхово, </w:t>
      </w:r>
      <w:proofErr w:type="spellStart"/>
      <w:r w:rsidRPr="009F7593">
        <w:rPr>
          <w:rFonts w:eastAsia="Times New Roman" w:cs="Times New Roman"/>
          <w:szCs w:val="24"/>
        </w:rPr>
        <w:t>неоген-сармат</w:t>
      </w:r>
      <w:proofErr w:type="spellEnd"/>
      <w:r w:rsidRPr="009F7593">
        <w:rPr>
          <w:rFonts w:eastAsia="Times New Roman" w:cs="Times New Roman"/>
          <w:szCs w:val="24"/>
        </w:rPr>
        <w:t xml:space="preserve"> Североизточна и Средна Добруджа,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Пазарджик - Пловдивския район.</w:t>
      </w:r>
    </w:p>
    <w:p w14:paraId="6B63690C" w14:textId="7B2FE578" w:rsid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Замърсявания са установени и в пунктове, разкриващи карстови и карстово-порови води на 11 ПВТ (БД Дунавски район - 5 ПВТ; БД Черноморски район - 3 ПВТ и БД Източнобеломорски район - 3 ПВТ).</w:t>
      </w:r>
    </w:p>
    <w:p w14:paraId="778313C4" w14:textId="23D655E9"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За останалите 15 показатели – </w:t>
      </w:r>
      <w:proofErr w:type="spellStart"/>
      <w:r w:rsidRPr="009F7593">
        <w:rPr>
          <w:rFonts w:eastAsia="Times New Roman" w:cs="Times New Roman"/>
          <w:szCs w:val="24"/>
        </w:rPr>
        <w:t>рН</w:t>
      </w:r>
      <w:proofErr w:type="spellEnd"/>
      <w:r w:rsidRPr="009F7593">
        <w:rPr>
          <w:rFonts w:eastAsia="Times New Roman" w:cs="Times New Roman"/>
          <w:szCs w:val="24"/>
        </w:rPr>
        <w:t xml:space="preserve">, амониеви йони, електропроводимост, калций, магнезий, натрий, обща твърдост, </w:t>
      </w:r>
      <w:proofErr w:type="spellStart"/>
      <w:r w:rsidRPr="009F7593">
        <w:rPr>
          <w:rFonts w:eastAsia="Times New Roman" w:cs="Times New Roman"/>
          <w:szCs w:val="24"/>
        </w:rPr>
        <w:t>перманганатна</w:t>
      </w:r>
      <w:proofErr w:type="spellEnd"/>
      <w:r w:rsidRPr="009F7593">
        <w:rPr>
          <w:rFonts w:eastAsia="Times New Roman" w:cs="Times New Roman"/>
          <w:szCs w:val="24"/>
        </w:rPr>
        <w:t xml:space="preserve"> </w:t>
      </w:r>
      <w:proofErr w:type="spellStart"/>
      <w:r w:rsidRPr="009F7593">
        <w:rPr>
          <w:rFonts w:eastAsia="Times New Roman" w:cs="Times New Roman"/>
          <w:szCs w:val="24"/>
        </w:rPr>
        <w:t>окисляемост</w:t>
      </w:r>
      <w:proofErr w:type="spellEnd"/>
      <w:r w:rsidRPr="009F7593">
        <w:rPr>
          <w:rFonts w:eastAsia="Times New Roman" w:cs="Times New Roman"/>
          <w:szCs w:val="24"/>
        </w:rPr>
        <w:t xml:space="preserve">, сулфати, хлориди, флуориди, манган, желязо, </w:t>
      </w:r>
      <w:proofErr w:type="spellStart"/>
      <w:r w:rsidRPr="009F7593">
        <w:rPr>
          <w:rFonts w:eastAsia="Times New Roman" w:cs="Times New Roman"/>
          <w:szCs w:val="24"/>
        </w:rPr>
        <w:t>нитритни</w:t>
      </w:r>
      <w:proofErr w:type="spellEnd"/>
      <w:r w:rsidRPr="009F7593">
        <w:rPr>
          <w:rFonts w:eastAsia="Times New Roman" w:cs="Times New Roman"/>
          <w:szCs w:val="24"/>
        </w:rPr>
        <w:t xml:space="preserve"> йони и фосфати средногодишните стойности за 2020 г. на някои от тях превишават съответните им стандарти за качество. От общо 163 ПВТ, в които през </w:t>
      </w:r>
      <w:r w:rsidRPr="009F7593">
        <w:rPr>
          <w:rFonts w:eastAsia="Times New Roman" w:cs="Times New Roman"/>
          <w:szCs w:val="24"/>
        </w:rPr>
        <w:lastRenderedPageBreak/>
        <w:t>годината са изследвани гореизброените физикохимични показатели, в 70 ПВТ са установени превишения на някои от тях, като в тази бройка са изключени ПВТ, с превишения единствено на калций и/или магнезий и/или обща твърдост. </w:t>
      </w:r>
    </w:p>
    <w:p w14:paraId="45B4233B" w14:textId="77777777" w:rsidR="00820EDA" w:rsidRPr="009F6D1E" w:rsidRDefault="00820EDA" w:rsidP="0084747F">
      <w:pPr>
        <w:tabs>
          <w:tab w:val="left" w:pos="993"/>
        </w:tabs>
        <w:spacing w:after="60" w:line="264" w:lineRule="auto"/>
        <w:ind w:firstLine="720"/>
        <w:jc w:val="both"/>
        <w:rPr>
          <w:rFonts w:eastAsia="ヒラギノ角ゴ Pro W3" w:cs="Times New Roman"/>
          <w:b/>
          <w:i/>
          <w:iCs/>
          <w:color w:val="000000"/>
          <w:sz w:val="23"/>
          <w:szCs w:val="23"/>
        </w:rPr>
      </w:pPr>
      <w:r w:rsidRPr="009F6D1E">
        <w:rPr>
          <w:rFonts w:eastAsia="ヒラギノ角ゴ Pro W3" w:cs="Times New Roman"/>
          <w:b/>
          <w:i/>
          <w:iCs/>
          <w:color w:val="000000"/>
          <w:sz w:val="23"/>
          <w:szCs w:val="23"/>
        </w:rPr>
        <w:t>Тежки метали</w:t>
      </w:r>
    </w:p>
    <w:p w14:paraId="4A30DC3C"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Направеният анализ на съдържанието на тежки метали за 20-годишен период (2001– 2020 г.) показва наличие на единични превишения на СК или превишения, които в повечето случаи не са постоянни във времето.</w:t>
      </w:r>
    </w:p>
    <w:p w14:paraId="4F7DC4E9" w14:textId="57F6E538" w:rsid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Превишения на СК – 0,01 </w:t>
      </w:r>
      <w:proofErr w:type="spellStart"/>
      <w:r w:rsidRPr="009F7593">
        <w:rPr>
          <w:rFonts w:eastAsia="Times New Roman" w:cs="Times New Roman"/>
          <w:szCs w:val="24"/>
        </w:rPr>
        <w:t>mg</w:t>
      </w:r>
      <w:proofErr w:type="spellEnd"/>
      <w:r w:rsidRPr="009F7593">
        <w:rPr>
          <w:rFonts w:eastAsia="Times New Roman" w:cs="Times New Roman"/>
          <w:szCs w:val="24"/>
        </w:rPr>
        <w:t xml:space="preserve">/l за арсен се наблюдават в карстов извор Кобиляк, привързан към ПВТ BG1G0000K2S037 Карстови води в </w:t>
      </w:r>
      <w:proofErr w:type="spellStart"/>
      <w:r w:rsidRPr="009F7593">
        <w:rPr>
          <w:rFonts w:eastAsia="Times New Roman" w:cs="Times New Roman"/>
          <w:szCs w:val="24"/>
        </w:rPr>
        <w:t>Предбалкана</w:t>
      </w:r>
      <w:proofErr w:type="spellEnd"/>
      <w:r w:rsidRPr="009F7593">
        <w:rPr>
          <w:rFonts w:eastAsia="Times New Roman" w:cs="Times New Roman"/>
          <w:szCs w:val="24"/>
        </w:rPr>
        <w:t xml:space="preserve"> – за периода 2006 -2020 г., през който са извършвани изпитвания на арсен.</w:t>
      </w:r>
    </w:p>
    <w:p w14:paraId="1A10879D"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Още няколко малки превишения на СК за арсен (0,01 </w:t>
      </w:r>
      <w:proofErr w:type="spellStart"/>
      <w:r w:rsidRPr="009F7593">
        <w:rPr>
          <w:rFonts w:eastAsia="Times New Roman" w:cs="Times New Roman"/>
          <w:szCs w:val="24"/>
        </w:rPr>
        <w:t>mg</w:t>
      </w:r>
      <w:proofErr w:type="spellEnd"/>
      <w:r w:rsidRPr="009F7593">
        <w:rPr>
          <w:rFonts w:eastAsia="Times New Roman" w:cs="Times New Roman"/>
          <w:szCs w:val="24"/>
        </w:rPr>
        <w:t xml:space="preserve">/l) са регистрирани в пунктове, разположени в райони с рудници и хвостохранилища. В мониторингов кладенец при с. Петрич, черпещ водите на ПВТ BG3G00000PT044 - </w:t>
      </w:r>
      <w:proofErr w:type="spellStart"/>
      <w:r w:rsidRPr="009F7593">
        <w:rPr>
          <w:rFonts w:eastAsia="Times New Roman" w:cs="Times New Roman"/>
          <w:szCs w:val="24"/>
        </w:rPr>
        <w:t>Пукнатинни</w:t>
      </w:r>
      <w:proofErr w:type="spellEnd"/>
      <w:r w:rsidRPr="009F7593">
        <w:rPr>
          <w:rFonts w:eastAsia="Times New Roman" w:cs="Times New Roman"/>
          <w:szCs w:val="24"/>
        </w:rPr>
        <w:t xml:space="preserve"> води - Западно- и </w:t>
      </w:r>
      <w:proofErr w:type="spellStart"/>
      <w:r w:rsidRPr="009F7593">
        <w:rPr>
          <w:rFonts w:eastAsia="Times New Roman" w:cs="Times New Roman"/>
          <w:szCs w:val="24"/>
        </w:rPr>
        <w:t>Централнобалкански</w:t>
      </w:r>
      <w:proofErr w:type="spellEnd"/>
      <w:r w:rsidRPr="009F7593">
        <w:rPr>
          <w:rFonts w:eastAsia="Times New Roman" w:cs="Times New Roman"/>
          <w:szCs w:val="24"/>
        </w:rPr>
        <w:t xml:space="preserve"> масив, за периода 2016–2019 г. - стойностите са варирали от 0,015 до 0,022 </w:t>
      </w:r>
      <w:proofErr w:type="spellStart"/>
      <w:r w:rsidRPr="009F7593">
        <w:rPr>
          <w:rFonts w:eastAsia="Times New Roman" w:cs="Times New Roman"/>
          <w:szCs w:val="24"/>
        </w:rPr>
        <w:t>mg</w:t>
      </w:r>
      <w:proofErr w:type="spellEnd"/>
      <w:r w:rsidRPr="009F7593">
        <w:rPr>
          <w:rFonts w:eastAsia="Times New Roman" w:cs="Times New Roman"/>
          <w:szCs w:val="24"/>
        </w:rPr>
        <w:t xml:space="preserve">/l, като през 2020 г. превишенията се запазват – отчетените наднормени стойности са и в трите </w:t>
      </w:r>
      <w:proofErr w:type="spellStart"/>
      <w:r w:rsidRPr="009F7593">
        <w:rPr>
          <w:rFonts w:eastAsia="Times New Roman" w:cs="Times New Roman"/>
          <w:szCs w:val="24"/>
        </w:rPr>
        <w:t>пробовземания</w:t>
      </w:r>
      <w:proofErr w:type="spellEnd"/>
      <w:r w:rsidRPr="009F7593">
        <w:rPr>
          <w:rFonts w:eastAsia="Times New Roman" w:cs="Times New Roman"/>
          <w:szCs w:val="24"/>
        </w:rPr>
        <w:t xml:space="preserve"> и са съответно: 0,012 </w:t>
      </w:r>
      <w:proofErr w:type="spellStart"/>
      <w:r w:rsidRPr="009F7593">
        <w:rPr>
          <w:rFonts w:eastAsia="Times New Roman" w:cs="Times New Roman"/>
          <w:szCs w:val="24"/>
        </w:rPr>
        <w:t>mg</w:t>
      </w:r>
      <w:proofErr w:type="spellEnd"/>
      <w:r w:rsidRPr="009F7593">
        <w:rPr>
          <w:rFonts w:eastAsia="Times New Roman" w:cs="Times New Roman"/>
          <w:szCs w:val="24"/>
        </w:rPr>
        <w:t xml:space="preserve">/l, 0,018 </w:t>
      </w:r>
      <w:proofErr w:type="spellStart"/>
      <w:r w:rsidRPr="009F7593">
        <w:rPr>
          <w:rFonts w:eastAsia="Times New Roman" w:cs="Times New Roman"/>
          <w:szCs w:val="24"/>
        </w:rPr>
        <w:t>mg</w:t>
      </w:r>
      <w:proofErr w:type="spellEnd"/>
      <w:r w:rsidRPr="009F7593">
        <w:rPr>
          <w:rFonts w:eastAsia="Times New Roman" w:cs="Times New Roman"/>
          <w:szCs w:val="24"/>
        </w:rPr>
        <w:t xml:space="preserve">/l и 0,026 </w:t>
      </w:r>
      <w:proofErr w:type="spellStart"/>
      <w:r w:rsidRPr="009F7593">
        <w:rPr>
          <w:rFonts w:eastAsia="Times New Roman" w:cs="Times New Roman"/>
          <w:szCs w:val="24"/>
        </w:rPr>
        <w:t>mg</w:t>
      </w:r>
      <w:proofErr w:type="spellEnd"/>
      <w:r w:rsidRPr="009F7593">
        <w:rPr>
          <w:rFonts w:eastAsia="Times New Roman" w:cs="Times New Roman"/>
          <w:szCs w:val="24"/>
        </w:rPr>
        <w:t xml:space="preserve">/l. В Каптиран извор – чешма при Мадан –Златоград, за периода 2017–2020 г. наднормените стойности варират от 0,0128 до 0,0156 </w:t>
      </w:r>
      <w:proofErr w:type="spellStart"/>
      <w:r w:rsidRPr="009F7593">
        <w:rPr>
          <w:rFonts w:eastAsia="Times New Roman" w:cs="Times New Roman"/>
          <w:szCs w:val="24"/>
        </w:rPr>
        <w:t>mg</w:t>
      </w:r>
      <w:proofErr w:type="spellEnd"/>
      <w:r w:rsidRPr="009F7593">
        <w:rPr>
          <w:rFonts w:eastAsia="Times New Roman" w:cs="Times New Roman"/>
          <w:szCs w:val="24"/>
        </w:rPr>
        <w:t>/l.</w:t>
      </w:r>
    </w:p>
    <w:p w14:paraId="072F5B78"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В отделни години от двадесетгодишния период са отчетени единични наднормени стойности за съдържание на олово (СК 0,01 </w:t>
      </w:r>
      <w:proofErr w:type="spellStart"/>
      <w:r w:rsidRPr="009F7593">
        <w:rPr>
          <w:rFonts w:eastAsia="Times New Roman" w:cs="Times New Roman"/>
          <w:szCs w:val="24"/>
        </w:rPr>
        <w:t>mg</w:t>
      </w:r>
      <w:proofErr w:type="spellEnd"/>
      <w:r w:rsidRPr="009F7593">
        <w:rPr>
          <w:rFonts w:eastAsia="Times New Roman" w:cs="Times New Roman"/>
          <w:szCs w:val="24"/>
        </w:rPr>
        <w:t xml:space="preserve">/l), но само в един пункт превишенията са отчетени и през 2020 г. - пункт Пазарджик, Сондаж – ЕРЦ- отчетените стойности са съответно: 0,063 и 0,057 </w:t>
      </w:r>
      <w:proofErr w:type="spellStart"/>
      <w:r w:rsidRPr="009F7593">
        <w:rPr>
          <w:rFonts w:eastAsia="Times New Roman" w:cs="Times New Roman"/>
          <w:szCs w:val="24"/>
        </w:rPr>
        <w:t>mg</w:t>
      </w:r>
      <w:proofErr w:type="spellEnd"/>
      <w:r w:rsidRPr="009F7593">
        <w:rPr>
          <w:rFonts w:eastAsia="Times New Roman" w:cs="Times New Roman"/>
          <w:szCs w:val="24"/>
        </w:rPr>
        <w:t>/l.</w:t>
      </w:r>
    </w:p>
    <w:p w14:paraId="3ED4BE5F"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Анализът показва запазване на превишенията на СК (0,05 </w:t>
      </w:r>
      <w:proofErr w:type="spellStart"/>
      <w:r w:rsidRPr="009F7593">
        <w:rPr>
          <w:rFonts w:eastAsia="Times New Roman" w:cs="Times New Roman"/>
          <w:szCs w:val="24"/>
        </w:rPr>
        <w:t>mg</w:t>
      </w:r>
      <w:proofErr w:type="spellEnd"/>
      <w:r w:rsidRPr="009F7593">
        <w:rPr>
          <w:rFonts w:eastAsia="Times New Roman" w:cs="Times New Roman"/>
          <w:szCs w:val="24"/>
        </w:rPr>
        <w:t xml:space="preserve">/l ) за общ хром, отчетени в два пункта, привързани към ПВТ на две от крайдунавските низини. В пункт Брест, ТК4 - ПС "Брест" - Порови води в Кватернера - </w:t>
      </w:r>
      <w:proofErr w:type="spellStart"/>
      <w:r w:rsidRPr="009F7593">
        <w:rPr>
          <w:rFonts w:eastAsia="Times New Roman" w:cs="Times New Roman"/>
          <w:szCs w:val="24"/>
        </w:rPr>
        <w:t>Карабоазка</w:t>
      </w:r>
      <w:proofErr w:type="spellEnd"/>
      <w:r w:rsidRPr="009F7593">
        <w:rPr>
          <w:rFonts w:eastAsia="Times New Roman" w:cs="Times New Roman"/>
          <w:szCs w:val="24"/>
        </w:rPr>
        <w:t xml:space="preserve"> низина – от четирите </w:t>
      </w:r>
      <w:proofErr w:type="spellStart"/>
      <w:r w:rsidRPr="009F7593">
        <w:rPr>
          <w:rFonts w:eastAsia="Times New Roman" w:cs="Times New Roman"/>
          <w:szCs w:val="24"/>
        </w:rPr>
        <w:t>пробовземания</w:t>
      </w:r>
      <w:proofErr w:type="spellEnd"/>
      <w:r w:rsidRPr="009F7593">
        <w:rPr>
          <w:rFonts w:eastAsia="Times New Roman" w:cs="Times New Roman"/>
          <w:szCs w:val="24"/>
        </w:rPr>
        <w:t xml:space="preserve">,  извършени през 2020 г. едно е било с незначително отклонение от СК – отчетена е стойност – 0,051 </w:t>
      </w:r>
      <w:proofErr w:type="spellStart"/>
      <w:r w:rsidRPr="009F7593">
        <w:rPr>
          <w:rFonts w:eastAsia="Times New Roman" w:cs="Times New Roman"/>
          <w:szCs w:val="24"/>
        </w:rPr>
        <w:t>mg</w:t>
      </w:r>
      <w:proofErr w:type="spellEnd"/>
      <w:r w:rsidRPr="009F7593">
        <w:rPr>
          <w:rFonts w:eastAsia="Times New Roman" w:cs="Times New Roman"/>
          <w:szCs w:val="24"/>
        </w:rPr>
        <w:t xml:space="preserve">/l. В другия пункт Станево, дренаж -ПС "Станево" привързан към Порови води в Кватернера - </w:t>
      </w:r>
      <w:proofErr w:type="spellStart"/>
      <w:r w:rsidRPr="009F7593">
        <w:rPr>
          <w:rFonts w:eastAsia="Times New Roman" w:cs="Times New Roman"/>
          <w:szCs w:val="24"/>
        </w:rPr>
        <w:t>Цибърска</w:t>
      </w:r>
      <w:proofErr w:type="spellEnd"/>
      <w:r w:rsidRPr="009F7593">
        <w:rPr>
          <w:rFonts w:eastAsia="Times New Roman" w:cs="Times New Roman"/>
          <w:szCs w:val="24"/>
        </w:rPr>
        <w:t xml:space="preserve"> низина – отчетените три стойности за 2020 г. варират от 0,0535 </w:t>
      </w:r>
      <w:proofErr w:type="spellStart"/>
      <w:r w:rsidRPr="009F7593">
        <w:rPr>
          <w:rFonts w:eastAsia="Times New Roman" w:cs="Times New Roman"/>
          <w:szCs w:val="24"/>
        </w:rPr>
        <w:t>mg</w:t>
      </w:r>
      <w:proofErr w:type="spellEnd"/>
      <w:r w:rsidRPr="009F7593">
        <w:rPr>
          <w:rFonts w:eastAsia="Times New Roman" w:cs="Times New Roman"/>
          <w:szCs w:val="24"/>
        </w:rPr>
        <w:t xml:space="preserve">/l до 0,0665 </w:t>
      </w:r>
      <w:proofErr w:type="spellStart"/>
      <w:r w:rsidRPr="009F7593">
        <w:rPr>
          <w:rFonts w:eastAsia="Times New Roman" w:cs="Times New Roman"/>
          <w:szCs w:val="24"/>
        </w:rPr>
        <w:t>mg</w:t>
      </w:r>
      <w:proofErr w:type="spellEnd"/>
      <w:r w:rsidRPr="009F7593">
        <w:rPr>
          <w:rFonts w:eastAsia="Times New Roman" w:cs="Times New Roman"/>
          <w:szCs w:val="24"/>
        </w:rPr>
        <w:t>/l.</w:t>
      </w:r>
    </w:p>
    <w:p w14:paraId="029809B3"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В едни пункт на БД „Източнобеломорски район“ (БДИБР) - Пловдив, ТК №1 - "</w:t>
      </w:r>
      <w:proofErr w:type="spellStart"/>
      <w:r w:rsidRPr="009F7593">
        <w:rPr>
          <w:rFonts w:eastAsia="Times New Roman" w:cs="Times New Roman"/>
          <w:szCs w:val="24"/>
        </w:rPr>
        <w:t>Мовенди</w:t>
      </w:r>
      <w:proofErr w:type="spellEnd"/>
      <w:r w:rsidRPr="009F7593">
        <w:rPr>
          <w:rFonts w:eastAsia="Times New Roman" w:cs="Times New Roman"/>
          <w:szCs w:val="24"/>
        </w:rPr>
        <w:t xml:space="preserve">", привързан към ПВТ Порови води в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Пазарджик – Пловдивския район, през наблюдавания 10- годишен период се констатират превишения на СК (1 </w:t>
      </w:r>
      <w:proofErr w:type="spellStart"/>
      <w:r w:rsidRPr="009F7593">
        <w:rPr>
          <w:rFonts w:eastAsia="Times New Roman" w:cs="Times New Roman"/>
          <w:szCs w:val="24"/>
        </w:rPr>
        <w:t>mg</w:t>
      </w:r>
      <w:proofErr w:type="spellEnd"/>
      <w:r w:rsidRPr="009F7593">
        <w:rPr>
          <w:rFonts w:eastAsia="Times New Roman" w:cs="Times New Roman"/>
          <w:szCs w:val="24"/>
        </w:rPr>
        <w:t xml:space="preserve">/l) за цинк. Стойностите варират от 1,34 </w:t>
      </w:r>
      <w:proofErr w:type="spellStart"/>
      <w:r w:rsidRPr="009F7593">
        <w:rPr>
          <w:rFonts w:eastAsia="Times New Roman" w:cs="Times New Roman"/>
          <w:szCs w:val="24"/>
        </w:rPr>
        <w:t>mg</w:t>
      </w:r>
      <w:proofErr w:type="spellEnd"/>
      <w:r w:rsidRPr="009F7593">
        <w:rPr>
          <w:rFonts w:eastAsia="Times New Roman" w:cs="Times New Roman"/>
          <w:szCs w:val="24"/>
        </w:rPr>
        <w:t xml:space="preserve">/l до 4 </w:t>
      </w:r>
      <w:proofErr w:type="spellStart"/>
      <w:r w:rsidRPr="009F7593">
        <w:rPr>
          <w:rFonts w:eastAsia="Times New Roman" w:cs="Times New Roman"/>
          <w:szCs w:val="24"/>
        </w:rPr>
        <w:t>mg</w:t>
      </w:r>
      <w:proofErr w:type="spellEnd"/>
      <w:r w:rsidRPr="009F7593">
        <w:rPr>
          <w:rFonts w:eastAsia="Times New Roman" w:cs="Times New Roman"/>
          <w:szCs w:val="24"/>
        </w:rPr>
        <w:t xml:space="preserve">/l, като най-високата измерена през 2020 г. стойност е 1,9 </w:t>
      </w:r>
      <w:proofErr w:type="spellStart"/>
      <w:r w:rsidRPr="009F7593">
        <w:rPr>
          <w:rFonts w:eastAsia="Times New Roman" w:cs="Times New Roman"/>
          <w:szCs w:val="24"/>
        </w:rPr>
        <w:t>mg</w:t>
      </w:r>
      <w:proofErr w:type="spellEnd"/>
      <w:r w:rsidRPr="009F7593">
        <w:rPr>
          <w:rFonts w:eastAsia="Times New Roman" w:cs="Times New Roman"/>
          <w:szCs w:val="24"/>
        </w:rPr>
        <w:t>/l.</w:t>
      </w:r>
    </w:p>
    <w:p w14:paraId="1DB8BA92"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Продължава да се измерва повишена обща алфа активност (СК 0,5 </w:t>
      </w:r>
      <w:proofErr w:type="spellStart"/>
      <w:r w:rsidRPr="009F7593">
        <w:rPr>
          <w:rFonts w:eastAsia="Times New Roman" w:cs="Times New Roman"/>
          <w:szCs w:val="24"/>
        </w:rPr>
        <w:t>Bq</w:t>
      </w:r>
      <w:proofErr w:type="spellEnd"/>
      <w:r w:rsidRPr="009F7593">
        <w:rPr>
          <w:rFonts w:eastAsia="Times New Roman" w:cs="Times New Roman"/>
          <w:szCs w:val="24"/>
        </w:rPr>
        <w:t>/dm3) в пунктове на територията на БДИБР- превишенията варират през отделните години, но се запазват над СК.</w:t>
      </w:r>
    </w:p>
    <w:p w14:paraId="52DA42C4"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t xml:space="preserve">В пункт Хасково, Сондаж № 1, ПС-ПБВ "Хасково - 1" привързан към ПВТ Порови води в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 Хасково - са регистрирани превишения през целия анализиран период, като стойностите през 2020 г. варират от 1,16 </w:t>
      </w:r>
      <w:proofErr w:type="spellStart"/>
      <w:r w:rsidRPr="009F7593">
        <w:rPr>
          <w:rFonts w:eastAsia="Times New Roman" w:cs="Times New Roman"/>
          <w:szCs w:val="24"/>
        </w:rPr>
        <w:t>Bq</w:t>
      </w:r>
      <w:proofErr w:type="spellEnd"/>
      <w:r w:rsidRPr="009F7593">
        <w:rPr>
          <w:rFonts w:eastAsia="Times New Roman" w:cs="Times New Roman"/>
          <w:szCs w:val="24"/>
        </w:rPr>
        <w:t xml:space="preserve">/dm3 до 1,55 </w:t>
      </w:r>
      <w:proofErr w:type="spellStart"/>
      <w:r w:rsidRPr="009F7593">
        <w:rPr>
          <w:rFonts w:eastAsia="Times New Roman" w:cs="Times New Roman"/>
          <w:szCs w:val="24"/>
        </w:rPr>
        <w:t>Bq</w:t>
      </w:r>
      <w:proofErr w:type="spellEnd"/>
      <w:r w:rsidRPr="009F7593">
        <w:rPr>
          <w:rFonts w:eastAsia="Times New Roman" w:cs="Times New Roman"/>
          <w:szCs w:val="24"/>
        </w:rPr>
        <w:t>/dm3.</w:t>
      </w:r>
    </w:p>
    <w:p w14:paraId="1A402DE0" w14:textId="77777777" w:rsidR="009F7593" w:rsidRPr="009F7593" w:rsidRDefault="009F7593" w:rsidP="009F7593">
      <w:pPr>
        <w:tabs>
          <w:tab w:val="left" w:pos="993"/>
        </w:tabs>
        <w:spacing w:after="60" w:line="264" w:lineRule="auto"/>
        <w:ind w:firstLine="720"/>
        <w:jc w:val="both"/>
        <w:rPr>
          <w:rFonts w:eastAsia="Times New Roman" w:cs="Times New Roman"/>
          <w:szCs w:val="24"/>
        </w:rPr>
      </w:pPr>
      <w:r w:rsidRPr="009F7593">
        <w:rPr>
          <w:rFonts w:eastAsia="Times New Roman" w:cs="Times New Roman"/>
          <w:szCs w:val="24"/>
        </w:rPr>
        <w:lastRenderedPageBreak/>
        <w:t xml:space="preserve">Превишения на СК за обща алфа активност се установяват и в четири пункта на ПВТ BG3G00000NQ018 Порови води в </w:t>
      </w:r>
      <w:proofErr w:type="spellStart"/>
      <w:r w:rsidRPr="009F7593">
        <w:rPr>
          <w:rFonts w:eastAsia="Times New Roman" w:cs="Times New Roman"/>
          <w:szCs w:val="24"/>
        </w:rPr>
        <w:t>Неоген</w:t>
      </w:r>
      <w:proofErr w:type="spellEnd"/>
      <w:r w:rsidRPr="009F7593">
        <w:rPr>
          <w:rFonts w:eastAsia="Times New Roman" w:cs="Times New Roman"/>
          <w:szCs w:val="24"/>
        </w:rPr>
        <w:t xml:space="preserve"> - Кватернер- Пазарджик - Пловдивския район:</w:t>
      </w:r>
    </w:p>
    <w:p w14:paraId="7EFCF923" w14:textId="77777777" w:rsidR="009F7593" w:rsidRPr="009F7593" w:rsidRDefault="009F7593" w:rsidP="009F7593">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7593">
        <w:rPr>
          <w:rFonts w:eastAsia="Times New Roman" w:cs="Times New Roman"/>
          <w:szCs w:val="24"/>
          <w:lang w:eastAsia="bg-BG" w:bidi="bg-BG"/>
        </w:rPr>
        <w:t xml:space="preserve">Пункт Белозем, 3 Сондажа-ПС – и в 3-те измервания през 2020 г. стойностите са превишавали СК -  0,51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 xml:space="preserve">, 0.54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 xml:space="preserve">, 0,51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w:t>
      </w:r>
    </w:p>
    <w:p w14:paraId="49EEA681" w14:textId="40052BE8" w:rsidR="009F7593" w:rsidRPr="009F7593" w:rsidRDefault="009F7593" w:rsidP="009F7593">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7593">
        <w:rPr>
          <w:rFonts w:eastAsia="Times New Roman" w:cs="Times New Roman"/>
          <w:szCs w:val="24"/>
          <w:lang w:eastAsia="bg-BG" w:bidi="bg-BG"/>
        </w:rPr>
        <w:t xml:space="preserve">Пункт  Първомай, Сондаж – за периода 2010-2020 г. стойностите варират от 0,51 до 1,86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w:t>
      </w:r>
    </w:p>
    <w:p w14:paraId="63768731" w14:textId="11440086" w:rsidR="009F7593" w:rsidRPr="009F7593" w:rsidRDefault="009F7593" w:rsidP="009F7593">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7593">
        <w:rPr>
          <w:rFonts w:eastAsia="Times New Roman" w:cs="Times New Roman"/>
          <w:szCs w:val="24"/>
          <w:lang w:eastAsia="bg-BG" w:bidi="bg-BG"/>
        </w:rPr>
        <w:t>Пункт Православен, ПС-ПБВ -</w:t>
      </w:r>
      <w:proofErr w:type="spellStart"/>
      <w:r w:rsidRPr="009F7593">
        <w:rPr>
          <w:rFonts w:eastAsia="Times New Roman" w:cs="Times New Roman"/>
          <w:szCs w:val="24"/>
          <w:lang w:eastAsia="bg-BG" w:bidi="bg-BG"/>
        </w:rPr>
        <w:t>тр.кл</w:t>
      </w:r>
      <w:proofErr w:type="spellEnd"/>
      <w:r w:rsidRPr="009F7593">
        <w:rPr>
          <w:rFonts w:eastAsia="Times New Roman" w:cs="Times New Roman"/>
          <w:szCs w:val="24"/>
          <w:lang w:eastAsia="bg-BG" w:bidi="bg-BG"/>
        </w:rPr>
        <w:t xml:space="preserve">. - за периода 2010-2020 г. стойностите варират от 0,544 до 1,18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 като превишения са отчетени и в четирите измервания през 2020 г.;</w:t>
      </w:r>
    </w:p>
    <w:p w14:paraId="552D44F5" w14:textId="5D12DC10" w:rsidR="009F7593" w:rsidRPr="009F7593" w:rsidRDefault="009F7593" w:rsidP="009F7593">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9F7593">
        <w:rPr>
          <w:rFonts w:eastAsia="Times New Roman" w:cs="Times New Roman"/>
          <w:szCs w:val="24"/>
          <w:lang w:eastAsia="bg-BG" w:bidi="bg-BG"/>
        </w:rPr>
        <w:t xml:space="preserve">Пункт Раковски, Тръбен кладенец 1 "Гард Инвест" има регистрирани превишения през 2017 г., 2018 г. и 2020 г., като стойностите са съответно: 0,6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 xml:space="preserve">, 0,9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Pr="009F7593">
        <w:rPr>
          <w:rFonts w:eastAsia="Times New Roman" w:cs="Times New Roman"/>
          <w:szCs w:val="24"/>
          <w:lang w:eastAsia="bg-BG" w:bidi="bg-BG"/>
        </w:rPr>
        <w:t xml:space="preserve"> и 0,81 </w:t>
      </w:r>
      <w:proofErr w:type="spellStart"/>
      <w:r w:rsidRPr="009F7593">
        <w:rPr>
          <w:rFonts w:eastAsia="Times New Roman" w:cs="Times New Roman"/>
          <w:szCs w:val="24"/>
          <w:lang w:eastAsia="bg-BG" w:bidi="bg-BG"/>
        </w:rPr>
        <w:t>Bq</w:t>
      </w:r>
      <w:proofErr w:type="spellEnd"/>
      <w:r w:rsidRPr="009F7593">
        <w:rPr>
          <w:rFonts w:eastAsia="Times New Roman" w:cs="Times New Roman"/>
          <w:szCs w:val="24"/>
          <w:lang w:eastAsia="bg-BG" w:bidi="bg-BG"/>
        </w:rPr>
        <w:t>/dm</w:t>
      </w:r>
      <w:r w:rsidRPr="009F7593">
        <w:rPr>
          <w:rFonts w:eastAsia="Times New Roman" w:cs="Times New Roman"/>
          <w:szCs w:val="24"/>
          <w:vertAlign w:val="superscript"/>
          <w:lang w:eastAsia="bg-BG" w:bidi="bg-BG"/>
        </w:rPr>
        <w:t>3</w:t>
      </w:r>
      <w:r w:rsidR="00DB2AD5">
        <w:rPr>
          <w:rFonts w:eastAsia="Times New Roman" w:cs="Times New Roman"/>
          <w:szCs w:val="24"/>
          <w:lang w:eastAsia="bg-BG" w:bidi="bg-BG"/>
        </w:rPr>
        <w:t>.</w:t>
      </w:r>
    </w:p>
    <w:p w14:paraId="76D66637" w14:textId="77777777" w:rsidR="00DB2AD5" w:rsidRPr="00DB2AD5" w:rsidRDefault="00DB2AD5" w:rsidP="00DB2AD5">
      <w:pPr>
        <w:tabs>
          <w:tab w:val="left" w:pos="993"/>
        </w:tabs>
        <w:spacing w:after="60" w:line="264" w:lineRule="auto"/>
        <w:ind w:firstLine="720"/>
        <w:jc w:val="both"/>
        <w:rPr>
          <w:rFonts w:eastAsia="Times New Roman" w:cs="Times New Roman"/>
          <w:szCs w:val="24"/>
        </w:rPr>
      </w:pPr>
      <w:r w:rsidRPr="00DB2AD5">
        <w:rPr>
          <w:rFonts w:eastAsia="Times New Roman" w:cs="Times New Roman"/>
          <w:szCs w:val="24"/>
        </w:rPr>
        <w:t xml:space="preserve">Запазват се високите стойности на обща алфа активност в още един пункт на БДИБР - пункт Окоп, Кладенец - ПС (само за с. Окоп), дрениращ ПВТ - Порови води в </w:t>
      </w:r>
      <w:proofErr w:type="spellStart"/>
      <w:r w:rsidRPr="00DB2AD5">
        <w:rPr>
          <w:rFonts w:eastAsia="Times New Roman" w:cs="Times New Roman"/>
          <w:szCs w:val="24"/>
        </w:rPr>
        <w:t>Неоген</w:t>
      </w:r>
      <w:proofErr w:type="spellEnd"/>
      <w:r w:rsidRPr="00DB2AD5">
        <w:rPr>
          <w:rFonts w:eastAsia="Times New Roman" w:cs="Times New Roman"/>
          <w:szCs w:val="24"/>
        </w:rPr>
        <w:t xml:space="preserve"> - Кватернер - Ямбол – Елхово. През периода 2010-2020 г. стойностите варират от 0,51 до 1.3 </w:t>
      </w:r>
      <w:proofErr w:type="spellStart"/>
      <w:r w:rsidRPr="00DB2AD5">
        <w:rPr>
          <w:rFonts w:eastAsia="Times New Roman" w:cs="Times New Roman"/>
          <w:szCs w:val="24"/>
        </w:rPr>
        <w:t>Bq</w:t>
      </w:r>
      <w:proofErr w:type="spellEnd"/>
      <w:r w:rsidRPr="00DB2AD5">
        <w:rPr>
          <w:rFonts w:eastAsia="Times New Roman" w:cs="Times New Roman"/>
          <w:szCs w:val="24"/>
        </w:rPr>
        <w:t xml:space="preserve">/dm3, като най-високото превишение на СК е отчетено в третото </w:t>
      </w:r>
      <w:proofErr w:type="spellStart"/>
      <w:r w:rsidRPr="00DB2AD5">
        <w:rPr>
          <w:rFonts w:eastAsia="Times New Roman" w:cs="Times New Roman"/>
          <w:szCs w:val="24"/>
        </w:rPr>
        <w:t>пробовземане</w:t>
      </w:r>
      <w:proofErr w:type="spellEnd"/>
      <w:r w:rsidRPr="00DB2AD5">
        <w:rPr>
          <w:rFonts w:eastAsia="Times New Roman" w:cs="Times New Roman"/>
          <w:szCs w:val="24"/>
        </w:rPr>
        <w:t xml:space="preserve"> на 2020 г. (Протокол от 17.08.2020 г.- 1,3 </w:t>
      </w:r>
      <w:proofErr w:type="spellStart"/>
      <w:r w:rsidRPr="00DB2AD5">
        <w:rPr>
          <w:rFonts w:eastAsia="Times New Roman" w:cs="Times New Roman"/>
          <w:szCs w:val="24"/>
        </w:rPr>
        <w:t>Bq</w:t>
      </w:r>
      <w:proofErr w:type="spellEnd"/>
      <w:r w:rsidRPr="00DB2AD5">
        <w:rPr>
          <w:rFonts w:eastAsia="Times New Roman" w:cs="Times New Roman"/>
          <w:szCs w:val="24"/>
        </w:rPr>
        <w:t>/dm3).</w:t>
      </w:r>
    </w:p>
    <w:p w14:paraId="1A1C4D62" w14:textId="77777777" w:rsidR="00DB2AD5" w:rsidRPr="00DB2AD5" w:rsidRDefault="00DB2AD5" w:rsidP="00DB2AD5">
      <w:pPr>
        <w:tabs>
          <w:tab w:val="left" w:pos="993"/>
        </w:tabs>
        <w:spacing w:after="60" w:line="264" w:lineRule="auto"/>
        <w:ind w:firstLine="720"/>
        <w:jc w:val="both"/>
        <w:rPr>
          <w:rFonts w:eastAsia="Times New Roman" w:cs="Times New Roman"/>
          <w:szCs w:val="24"/>
        </w:rPr>
      </w:pPr>
      <w:r w:rsidRPr="00DB2AD5">
        <w:rPr>
          <w:rFonts w:eastAsia="Times New Roman" w:cs="Times New Roman"/>
          <w:szCs w:val="24"/>
        </w:rPr>
        <w:t xml:space="preserve">И в два пункта на територията на БД </w:t>
      </w:r>
      <w:proofErr w:type="spellStart"/>
      <w:r w:rsidRPr="00DB2AD5">
        <w:rPr>
          <w:rFonts w:eastAsia="Times New Roman" w:cs="Times New Roman"/>
          <w:szCs w:val="24"/>
        </w:rPr>
        <w:t>Западнобеломорски</w:t>
      </w:r>
      <w:proofErr w:type="spellEnd"/>
      <w:r w:rsidRPr="00DB2AD5">
        <w:rPr>
          <w:rFonts w:eastAsia="Times New Roman" w:cs="Times New Roman"/>
          <w:szCs w:val="24"/>
        </w:rPr>
        <w:t xml:space="preserve"> район в периода 2018-2020 г. са регистрирани отклонения на СК за обща алфа активност:</w:t>
      </w:r>
    </w:p>
    <w:p w14:paraId="366F9816" w14:textId="77777777" w:rsidR="00DB2AD5" w:rsidRPr="00DB2AD5" w:rsidRDefault="00DB2AD5" w:rsidP="00DB2AD5">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DB2AD5">
        <w:rPr>
          <w:rFonts w:eastAsia="Times New Roman" w:cs="Times New Roman"/>
          <w:szCs w:val="24"/>
          <w:lang w:eastAsia="bg-BG" w:bidi="bg-BG"/>
        </w:rPr>
        <w:t xml:space="preserve">Шишковци, тръбен кладенец "Шишковци", "Кюстендилска вода" ЕООД – ПВТ - Порови води в кватернер - </w:t>
      </w:r>
      <w:proofErr w:type="spellStart"/>
      <w:r w:rsidRPr="00DB2AD5">
        <w:rPr>
          <w:rFonts w:eastAsia="Times New Roman" w:cs="Times New Roman"/>
          <w:szCs w:val="24"/>
          <w:lang w:eastAsia="bg-BG" w:bidi="bg-BG"/>
        </w:rPr>
        <w:t>Неоген</w:t>
      </w:r>
      <w:proofErr w:type="spellEnd"/>
      <w:r w:rsidRPr="00DB2AD5">
        <w:rPr>
          <w:rFonts w:eastAsia="Times New Roman" w:cs="Times New Roman"/>
          <w:szCs w:val="24"/>
          <w:lang w:eastAsia="bg-BG" w:bidi="bg-BG"/>
        </w:rPr>
        <w:t xml:space="preserve"> – Кюстендил – отчетената стойност през 2020 г. е 0,53 </w:t>
      </w:r>
      <w:proofErr w:type="spellStart"/>
      <w:r w:rsidRPr="00DB2AD5">
        <w:rPr>
          <w:rFonts w:eastAsia="Times New Roman" w:cs="Times New Roman"/>
          <w:szCs w:val="24"/>
          <w:lang w:eastAsia="bg-BG" w:bidi="bg-BG"/>
        </w:rPr>
        <w:t>Bq</w:t>
      </w:r>
      <w:proofErr w:type="spellEnd"/>
      <w:r w:rsidRPr="00DB2AD5">
        <w:rPr>
          <w:rFonts w:eastAsia="Times New Roman" w:cs="Times New Roman"/>
          <w:szCs w:val="24"/>
          <w:lang w:eastAsia="bg-BG" w:bidi="bg-BG"/>
        </w:rPr>
        <w:t>/dm</w:t>
      </w:r>
      <w:r w:rsidRPr="00DB2AD5">
        <w:rPr>
          <w:rFonts w:eastAsia="Times New Roman" w:cs="Times New Roman"/>
          <w:szCs w:val="24"/>
          <w:vertAlign w:val="superscript"/>
          <w:lang w:eastAsia="bg-BG" w:bidi="bg-BG"/>
        </w:rPr>
        <w:t>3</w:t>
      </w:r>
      <w:r w:rsidRPr="00DB2AD5">
        <w:rPr>
          <w:rFonts w:eastAsia="Times New Roman" w:cs="Times New Roman"/>
          <w:szCs w:val="24"/>
          <w:lang w:eastAsia="bg-BG" w:bidi="bg-BG"/>
        </w:rPr>
        <w:t>;</w:t>
      </w:r>
    </w:p>
    <w:p w14:paraId="722A45ED" w14:textId="57407F6B" w:rsidR="00DB2AD5" w:rsidRPr="00DB2AD5" w:rsidRDefault="00DB2AD5" w:rsidP="00DB2AD5">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DB2AD5">
        <w:rPr>
          <w:rFonts w:eastAsia="Times New Roman" w:cs="Times New Roman"/>
          <w:szCs w:val="24"/>
          <w:lang w:eastAsia="bg-BG" w:bidi="bg-BG"/>
        </w:rPr>
        <w:t xml:space="preserve">Лютово, каптиран извор "Горна махала", "Община Белица" – ПВТ - </w:t>
      </w:r>
      <w:proofErr w:type="spellStart"/>
      <w:r w:rsidRPr="00DB2AD5">
        <w:rPr>
          <w:rFonts w:eastAsia="Times New Roman" w:cs="Times New Roman"/>
          <w:szCs w:val="24"/>
          <w:lang w:eastAsia="bg-BG" w:bidi="bg-BG"/>
        </w:rPr>
        <w:t>Пукнатинни</w:t>
      </w:r>
      <w:proofErr w:type="spellEnd"/>
      <w:r w:rsidRPr="00DB2AD5">
        <w:rPr>
          <w:rFonts w:eastAsia="Times New Roman" w:cs="Times New Roman"/>
          <w:szCs w:val="24"/>
          <w:lang w:eastAsia="bg-BG" w:bidi="bg-BG"/>
        </w:rPr>
        <w:t xml:space="preserve"> води в Западно-родопски </w:t>
      </w:r>
      <w:proofErr w:type="spellStart"/>
      <w:r w:rsidRPr="00DB2AD5">
        <w:rPr>
          <w:rFonts w:eastAsia="Times New Roman" w:cs="Times New Roman"/>
          <w:szCs w:val="24"/>
          <w:lang w:eastAsia="bg-BG" w:bidi="bg-BG"/>
        </w:rPr>
        <w:t>метаморфити</w:t>
      </w:r>
      <w:proofErr w:type="spellEnd"/>
      <w:r w:rsidRPr="00DB2AD5">
        <w:rPr>
          <w:rFonts w:eastAsia="Times New Roman" w:cs="Times New Roman"/>
          <w:szCs w:val="24"/>
          <w:lang w:eastAsia="bg-BG" w:bidi="bg-BG"/>
        </w:rPr>
        <w:t xml:space="preserve"> - </w:t>
      </w:r>
      <w:proofErr w:type="spellStart"/>
      <w:r w:rsidRPr="00DB2AD5">
        <w:rPr>
          <w:rFonts w:eastAsia="Times New Roman" w:cs="Times New Roman"/>
          <w:szCs w:val="24"/>
          <w:lang w:eastAsia="bg-BG" w:bidi="bg-BG"/>
        </w:rPr>
        <w:t>гнайси</w:t>
      </w:r>
      <w:proofErr w:type="spellEnd"/>
      <w:r w:rsidRPr="00DB2AD5">
        <w:rPr>
          <w:rFonts w:eastAsia="Times New Roman" w:cs="Times New Roman"/>
          <w:szCs w:val="24"/>
          <w:lang w:eastAsia="bg-BG" w:bidi="bg-BG"/>
        </w:rPr>
        <w:t xml:space="preserve">, шисти, мрамори, </w:t>
      </w:r>
      <w:proofErr w:type="spellStart"/>
      <w:r w:rsidRPr="00DB2AD5">
        <w:rPr>
          <w:rFonts w:eastAsia="Times New Roman" w:cs="Times New Roman"/>
          <w:szCs w:val="24"/>
          <w:lang w:eastAsia="bg-BG" w:bidi="bg-BG"/>
        </w:rPr>
        <w:t>амфиболити</w:t>
      </w:r>
      <w:proofErr w:type="spellEnd"/>
      <w:r w:rsidRPr="00DB2AD5">
        <w:rPr>
          <w:rFonts w:eastAsia="Times New Roman" w:cs="Times New Roman"/>
          <w:szCs w:val="24"/>
          <w:lang w:eastAsia="bg-BG" w:bidi="bg-BG"/>
        </w:rPr>
        <w:t xml:space="preserve"> – отчетените стойности  през 2020 г. са 2,36 </w:t>
      </w:r>
      <w:proofErr w:type="spellStart"/>
      <w:r w:rsidRPr="00DB2AD5">
        <w:rPr>
          <w:rFonts w:eastAsia="Times New Roman" w:cs="Times New Roman"/>
          <w:szCs w:val="24"/>
          <w:lang w:eastAsia="bg-BG" w:bidi="bg-BG"/>
        </w:rPr>
        <w:t>Bq</w:t>
      </w:r>
      <w:proofErr w:type="spellEnd"/>
      <w:r w:rsidRPr="00DB2AD5">
        <w:rPr>
          <w:rFonts w:eastAsia="Times New Roman" w:cs="Times New Roman"/>
          <w:szCs w:val="24"/>
          <w:lang w:eastAsia="bg-BG" w:bidi="bg-BG"/>
        </w:rPr>
        <w:t>/dm</w:t>
      </w:r>
      <w:r w:rsidRPr="00DB2AD5">
        <w:rPr>
          <w:rFonts w:eastAsia="Times New Roman" w:cs="Times New Roman"/>
          <w:szCs w:val="24"/>
          <w:vertAlign w:val="superscript"/>
          <w:lang w:eastAsia="bg-BG" w:bidi="bg-BG"/>
        </w:rPr>
        <w:t>3</w:t>
      </w:r>
      <w:r w:rsidRPr="00DB2AD5">
        <w:rPr>
          <w:rFonts w:eastAsia="Times New Roman" w:cs="Times New Roman"/>
          <w:szCs w:val="24"/>
          <w:lang w:eastAsia="bg-BG" w:bidi="bg-BG"/>
        </w:rPr>
        <w:t xml:space="preserve"> и 1,71 </w:t>
      </w:r>
      <w:proofErr w:type="spellStart"/>
      <w:r w:rsidRPr="00DB2AD5">
        <w:rPr>
          <w:rFonts w:eastAsia="Times New Roman" w:cs="Times New Roman"/>
          <w:szCs w:val="24"/>
          <w:lang w:eastAsia="bg-BG" w:bidi="bg-BG"/>
        </w:rPr>
        <w:t>Bq</w:t>
      </w:r>
      <w:proofErr w:type="spellEnd"/>
      <w:r w:rsidRPr="00DB2AD5">
        <w:rPr>
          <w:rFonts w:eastAsia="Times New Roman" w:cs="Times New Roman"/>
          <w:szCs w:val="24"/>
          <w:lang w:eastAsia="bg-BG" w:bidi="bg-BG"/>
        </w:rPr>
        <w:t>/dm</w:t>
      </w:r>
      <w:r w:rsidRPr="00DB2AD5">
        <w:rPr>
          <w:rFonts w:eastAsia="Times New Roman" w:cs="Times New Roman"/>
          <w:szCs w:val="24"/>
          <w:vertAlign w:val="superscript"/>
          <w:lang w:eastAsia="bg-BG" w:bidi="bg-BG"/>
        </w:rPr>
        <w:t>3</w:t>
      </w:r>
      <w:r w:rsidRPr="00DB2AD5">
        <w:rPr>
          <w:rFonts w:eastAsia="Times New Roman" w:cs="Times New Roman"/>
          <w:szCs w:val="24"/>
          <w:lang w:eastAsia="bg-BG" w:bidi="bg-BG"/>
        </w:rPr>
        <w:t xml:space="preserve">. В този пункт за същия период са установени и превишения на  СК (0,06 </w:t>
      </w:r>
      <w:proofErr w:type="spellStart"/>
      <w:r w:rsidRPr="00DB2AD5">
        <w:rPr>
          <w:rFonts w:eastAsia="Times New Roman" w:cs="Times New Roman"/>
          <w:szCs w:val="24"/>
          <w:lang w:eastAsia="bg-BG" w:bidi="bg-BG"/>
        </w:rPr>
        <w:t>mg</w:t>
      </w:r>
      <w:proofErr w:type="spellEnd"/>
      <w:r w:rsidRPr="00DB2AD5">
        <w:rPr>
          <w:rFonts w:eastAsia="Times New Roman" w:cs="Times New Roman"/>
          <w:szCs w:val="24"/>
          <w:lang w:eastAsia="bg-BG" w:bidi="bg-BG"/>
        </w:rPr>
        <w:t xml:space="preserve">/l) за уран, като стойностите варират от 0,061 </w:t>
      </w:r>
      <w:proofErr w:type="spellStart"/>
      <w:r w:rsidRPr="00DB2AD5">
        <w:rPr>
          <w:rFonts w:eastAsia="Times New Roman" w:cs="Times New Roman"/>
          <w:szCs w:val="24"/>
          <w:lang w:eastAsia="bg-BG" w:bidi="bg-BG"/>
        </w:rPr>
        <w:t>mg</w:t>
      </w:r>
      <w:proofErr w:type="spellEnd"/>
      <w:r w:rsidRPr="00DB2AD5">
        <w:rPr>
          <w:rFonts w:eastAsia="Times New Roman" w:cs="Times New Roman"/>
          <w:szCs w:val="24"/>
          <w:lang w:eastAsia="bg-BG" w:bidi="bg-BG"/>
        </w:rPr>
        <w:t xml:space="preserve">/l до 0,11 </w:t>
      </w:r>
      <w:proofErr w:type="spellStart"/>
      <w:r w:rsidRPr="00DB2AD5">
        <w:rPr>
          <w:rFonts w:eastAsia="Times New Roman" w:cs="Times New Roman"/>
          <w:szCs w:val="24"/>
          <w:lang w:eastAsia="bg-BG" w:bidi="bg-BG"/>
        </w:rPr>
        <w:t>mg</w:t>
      </w:r>
      <w:proofErr w:type="spellEnd"/>
      <w:r w:rsidRPr="00DB2AD5">
        <w:rPr>
          <w:rFonts w:eastAsia="Times New Roman" w:cs="Times New Roman"/>
          <w:szCs w:val="24"/>
          <w:lang w:eastAsia="bg-BG" w:bidi="bg-BG"/>
        </w:rPr>
        <w:t>/l.</w:t>
      </w:r>
    </w:p>
    <w:p w14:paraId="32CDB1E6" w14:textId="77777777" w:rsidR="00820EDA" w:rsidRPr="009F6D1E" w:rsidRDefault="00820EDA" w:rsidP="0084747F">
      <w:pPr>
        <w:tabs>
          <w:tab w:val="left" w:pos="993"/>
        </w:tabs>
        <w:spacing w:after="60" w:line="264" w:lineRule="auto"/>
        <w:ind w:firstLine="720"/>
        <w:jc w:val="both"/>
        <w:rPr>
          <w:rFonts w:eastAsia="Times New Roman" w:cs="Times New Roman"/>
          <w:b/>
          <w:bCs/>
          <w:i/>
          <w:iCs/>
          <w:szCs w:val="24"/>
        </w:rPr>
      </w:pPr>
      <w:r w:rsidRPr="009F6D1E">
        <w:rPr>
          <w:rFonts w:eastAsia="Times New Roman" w:cs="Times New Roman"/>
          <w:b/>
          <w:bCs/>
          <w:i/>
          <w:iCs/>
          <w:szCs w:val="24"/>
        </w:rPr>
        <w:t>Пестициди и органични замърсители</w:t>
      </w:r>
    </w:p>
    <w:p w14:paraId="63F5F593"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bookmarkStart w:id="287" w:name="bookmark148"/>
      <w:bookmarkStart w:id="288" w:name="bookmark149"/>
      <w:r w:rsidRPr="005B08D7">
        <w:rPr>
          <w:rFonts w:eastAsia="Times New Roman" w:cs="Times New Roman"/>
          <w:szCs w:val="24"/>
        </w:rPr>
        <w:t xml:space="preserve">През анализирания 20-годишен период (2001-2020 г.) резултатите от химичните изпитвания показват наличие на </w:t>
      </w:r>
      <w:proofErr w:type="spellStart"/>
      <w:r w:rsidRPr="005B08D7">
        <w:rPr>
          <w:rFonts w:eastAsia="Times New Roman" w:cs="Times New Roman"/>
          <w:szCs w:val="24"/>
        </w:rPr>
        <w:t>триазинови</w:t>
      </w:r>
      <w:proofErr w:type="spellEnd"/>
      <w:r w:rsidRPr="005B08D7">
        <w:rPr>
          <w:rFonts w:eastAsia="Times New Roman" w:cs="Times New Roman"/>
          <w:szCs w:val="24"/>
        </w:rPr>
        <w:t xml:space="preserve"> пестициди (</w:t>
      </w:r>
      <w:proofErr w:type="spellStart"/>
      <w:r w:rsidRPr="005B08D7">
        <w:rPr>
          <w:rFonts w:eastAsia="Times New Roman" w:cs="Times New Roman"/>
          <w:szCs w:val="24"/>
        </w:rPr>
        <w:t>атразин</w:t>
      </w:r>
      <w:proofErr w:type="spellEnd"/>
      <w:r w:rsidRPr="005B08D7">
        <w:rPr>
          <w:rFonts w:eastAsia="Times New Roman" w:cs="Times New Roman"/>
          <w:szCs w:val="24"/>
        </w:rPr>
        <w:t xml:space="preserve">, </w:t>
      </w:r>
      <w:proofErr w:type="spellStart"/>
      <w:r w:rsidRPr="005B08D7">
        <w:rPr>
          <w:rFonts w:eastAsia="Times New Roman" w:cs="Times New Roman"/>
          <w:szCs w:val="24"/>
        </w:rPr>
        <w:t>пропазин</w:t>
      </w:r>
      <w:proofErr w:type="spellEnd"/>
      <w:r w:rsidRPr="005B08D7">
        <w:rPr>
          <w:rFonts w:eastAsia="Times New Roman" w:cs="Times New Roman"/>
          <w:szCs w:val="24"/>
        </w:rPr>
        <w:t xml:space="preserve"> и </w:t>
      </w:r>
      <w:proofErr w:type="spellStart"/>
      <w:r w:rsidRPr="005B08D7">
        <w:rPr>
          <w:rFonts w:eastAsia="Times New Roman" w:cs="Times New Roman"/>
          <w:szCs w:val="24"/>
        </w:rPr>
        <w:t>симазин</w:t>
      </w:r>
      <w:proofErr w:type="spellEnd"/>
      <w:r w:rsidRPr="005B08D7">
        <w:rPr>
          <w:rFonts w:eastAsia="Times New Roman" w:cs="Times New Roman"/>
          <w:szCs w:val="24"/>
        </w:rPr>
        <w:t xml:space="preserve">) до 2006 г., като от 2006 до 2012 г. се наблюдава изчистване на подземните води от тези замърсители, с изключение на </w:t>
      </w:r>
      <w:proofErr w:type="spellStart"/>
      <w:r w:rsidRPr="005B08D7">
        <w:rPr>
          <w:rFonts w:eastAsia="Times New Roman" w:cs="Times New Roman"/>
          <w:szCs w:val="24"/>
        </w:rPr>
        <w:t>атразин</w:t>
      </w:r>
      <w:proofErr w:type="spellEnd"/>
      <w:r w:rsidRPr="005B08D7">
        <w:rPr>
          <w:rFonts w:eastAsia="Times New Roman" w:cs="Times New Roman"/>
          <w:szCs w:val="24"/>
        </w:rPr>
        <w:t>.</w:t>
      </w:r>
    </w:p>
    <w:p w14:paraId="6DDAE264"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През 2020 г. са правени изпитвания на следните пестициди, метаболити и изомери –</w:t>
      </w:r>
      <w:proofErr w:type="spellStart"/>
      <w:r w:rsidRPr="005B08D7">
        <w:rPr>
          <w:rFonts w:eastAsia="Times New Roman" w:cs="Times New Roman"/>
          <w:szCs w:val="24"/>
        </w:rPr>
        <w:t>n,n</w:t>
      </w:r>
      <w:proofErr w:type="spellEnd"/>
      <w:r w:rsidRPr="005B08D7">
        <w:rPr>
          <w:rFonts w:eastAsia="Times New Roman" w:cs="Times New Roman"/>
          <w:szCs w:val="24"/>
        </w:rPr>
        <w:t xml:space="preserve"> – ДДД, </w:t>
      </w:r>
      <w:proofErr w:type="spellStart"/>
      <w:r w:rsidRPr="005B08D7">
        <w:rPr>
          <w:rFonts w:eastAsia="Times New Roman" w:cs="Times New Roman"/>
          <w:szCs w:val="24"/>
        </w:rPr>
        <w:t>n,n</w:t>
      </w:r>
      <w:proofErr w:type="spellEnd"/>
      <w:r w:rsidRPr="005B08D7">
        <w:rPr>
          <w:rFonts w:eastAsia="Times New Roman" w:cs="Times New Roman"/>
          <w:szCs w:val="24"/>
        </w:rPr>
        <w:t xml:space="preserve">- ДДЕ, </w:t>
      </w:r>
      <w:proofErr w:type="spellStart"/>
      <w:r w:rsidRPr="005B08D7">
        <w:rPr>
          <w:rFonts w:eastAsia="Times New Roman" w:cs="Times New Roman"/>
          <w:szCs w:val="24"/>
        </w:rPr>
        <w:t>n,n</w:t>
      </w:r>
      <w:proofErr w:type="spellEnd"/>
      <w:r w:rsidRPr="005B08D7">
        <w:rPr>
          <w:rFonts w:eastAsia="Times New Roman" w:cs="Times New Roman"/>
          <w:szCs w:val="24"/>
        </w:rPr>
        <w:t xml:space="preserve">/4.4/ - ДДТ, </w:t>
      </w:r>
      <w:proofErr w:type="spellStart"/>
      <w:r w:rsidRPr="005B08D7">
        <w:rPr>
          <w:rFonts w:eastAsia="Times New Roman" w:cs="Times New Roman"/>
          <w:szCs w:val="24"/>
        </w:rPr>
        <w:t>o,n</w:t>
      </w:r>
      <w:proofErr w:type="spellEnd"/>
      <w:r w:rsidRPr="005B08D7">
        <w:rPr>
          <w:rFonts w:eastAsia="Times New Roman" w:cs="Times New Roman"/>
          <w:szCs w:val="24"/>
        </w:rPr>
        <w:t xml:space="preserve">- ДДД, </w:t>
      </w:r>
      <w:proofErr w:type="spellStart"/>
      <w:r w:rsidRPr="005B08D7">
        <w:rPr>
          <w:rFonts w:eastAsia="Times New Roman" w:cs="Times New Roman"/>
          <w:szCs w:val="24"/>
        </w:rPr>
        <w:t>o,n</w:t>
      </w:r>
      <w:proofErr w:type="spellEnd"/>
      <w:r w:rsidRPr="005B08D7">
        <w:rPr>
          <w:rFonts w:eastAsia="Times New Roman" w:cs="Times New Roman"/>
          <w:szCs w:val="24"/>
        </w:rPr>
        <w:t xml:space="preserve">- ДДЕ, </w:t>
      </w:r>
      <w:proofErr w:type="spellStart"/>
      <w:r w:rsidRPr="005B08D7">
        <w:rPr>
          <w:rFonts w:eastAsia="Times New Roman" w:cs="Times New Roman"/>
          <w:szCs w:val="24"/>
        </w:rPr>
        <w:t>o,n</w:t>
      </w:r>
      <w:proofErr w:type="spellEnd"/>
      <w:r w:rsidRPr="005B08D7">
        <w:rPr>
          <w:rFonts w:eastAsia="Times New Roman" w:cs="Times New Roman"/>
          <w:szCs w:val="24"/>
        </w:rPr>
        <w:t xml:space="preserve">- ДДТ, Транс – </w:t>
      </w:r>
      <w:proofErr w:type="spellStart"/>
      <w:r w:rsidRPr="005B08D7">
        <w:rPr>
          <w:rFonts w:eastAsia="Times New Roman" w:cs="Times New Roman"/>
          <w:szCs w:val="24"/>
        </w:rPr>
        <w:t>Хлордан</w:t>
      </w:r>
      <w:proofErr w:type="spellEnd"/>
      <w:r w:rsidRPr="005B08D7">
        <w:rPr>
          <w:rFonts w:eastAsia="Times New Roman" w:cs="Times New Roman"/>
          <w:szCs w:val="24"/>
        </w:rPr>
        <w:t xml:space="preserve">, </w:t>
      </w:r>
      <w:proofErr w:type="spellStart"/>
      <w:r w:rsidRPr="005B08D7">
        <w:rPr>
          <w:rFonts w:eastAsia="Times New Roman" w:cs="Times New Roman"/>
          <w:szCs w:val="24"/>
        </w:rPr>
        <w:t>Алахлор</w:t>
      </w:r>
      <w:proofErr w:type="spellEnd"/>
      <w:r w:rsidRPr="005B08D7">
        <w:rPr>
          <w:rFonts w:eastAsia="Times New Roman" w:cs="Times New Roman"/>
          <w:szCs w:val="24"/>
        </w:rPr>
        <w:t xml:space="preserve">, </w:t>
      </w:r>
      <w:proofErr w:type="spellStart"/>
      <w:r w:rsidRPr="005B08D7">
        <w:rPr>
          <w:rFonts w:eastAsia="Times New Roman" w:cs="Times New Roman"/>
          <w:szCs w:val="24"/>
        </w:rPr>
        <w:t>Алдрин</w:t>
      </w:r>
      <w:proofErr w:type="spellEnd"/>
      <w:r w:rsidRPr="005B08D7">
        <w:rPr>
          <w:rFonts w:eastAsia="Times New Roman" w:cs="Times New Roman"/>
          <w:szCs w:val="24"/>
        </w:rPr>
        <w:t xml:space="preserve">, Алфа – </w:t>
      </w:r>
      <w:proofErr w:type="spellStart"/>
      <w:r w:rsidRPr="005B08D7">
        <w:rPr>
          <w:rFonts w:eastAsia="Times New Roman" w:cs="Times New Roman"/>
          <w:szCs w:val="24"/>
        </w:rPr>
        <w:t>ендосулфан</w:t>
      </w:r>
      <w:proofErr w:type="spellEnd"/>
      <w:r w:rsidRPr="005B08D7">
        <w:rPr>
          <w:rFonts w:eastAsia="Times New Roman" w:cs="Times New Roman"/>
          <w:szCs w:val="24"/>
        </w:rPr>
        <w:t xml:space="preserve">, Алфа -  </w:t>
      </w:r>
      <w:proofErr w:type="spellStart"/>
      <w:r w:rsidRPr="005B08D7">
        <w:rPr>
          <w:rFonts w:eastAsia="Times New Roman" w:cs="Times New Roman"/>
          <w:szCs w:val="24"/>
        </w:rPr>
        <w:t>хексахлорциклохексан</w:t>
      </w:r>
      <w:proofErr w:type="spellEnd"/>
      <w:r w:rsidRPr="005B08D7">
        <w:rPr>
          <w:rFonts w:eastAsia="Times New Roman" w:cs="Times New Roman"/>
          <w:szCs w:val="24"/>
        </w:rPr>
        <w:t xml:space="preserve"> (НСН), </w:t>
      </w:r>
      <w:proofErr w:type="spellStart"/>
      <w:r w:rsidRPr="005B08D7">
        <w:rPr>
          <w:rFonts w:eastAsia="Times New Roman" w:cs="Times New Roman"/>
          <w:szCs w:val="24"/>
        </w:rPr>
        <w:t>Атразин</w:t>
      </w:r>
      <w:proofErr w:type="spellEnd"/>
      <w:r w:rsidRPr="005B08D7">
        <w:rPr>
          <w:rFonts w:eastAsia="Times New Roman" w:cs="Times New Roman"/>
          <w:szCs w:val="24"/>
        </w:rPr>
        <w:t xml:space="preserve">, </w:t>
      </w:r>
      <w:proofErr w:type="spellStart"/>
      <w:r w:rsidRPr="005B08D7">
        <w:rPr>
          <w:rFonts w:eastAsia="Times New Roman" w:cs="Times New Roman"/>
          <w:szCs w:val="24"/>
        </w:rPr>
        <w:t>Ацетохлор</w:t>
      </w:r>
      <w:proofErr w:type="spellEnd"/>
      <w:r w:rsidRPr="005B08D7">
        <w:rPr>
          <w:rFonts w:eastAsia="Times New Roman" w:cs="Times New Roman"/>
          <w:szCs w:val="24"/>
        </w:rPr>
        <w:t xml:space="preserve">, Бета – </w:t>
      </w:r>
      <w:proofErr w:type="spellStart"/>
      <w:r w:rsidRPr="005B08D7">
        <w:rPr>
          <w:rFonts w:eastAsia="Times New Roman" w:cs="Times New Roman"/>
          <w:szCs w:val="24"/>
        </w:rPr>
        <w:t>ендосулфан</w:t>
      </w:r>
      <w:proofErr w:type="spellEnd"/>
      <w:r w:rsidRPr="005B08D7">
        <w:rPr>
          <w:rFonts w:eastAsia="Times New Roman" w:cs="Times New Roman"/>
          <w:szCs w:val="24"/>
        </w:rPr>
        <w:t xml:space="preserve">, Бета – </w:t>
      </w:r>
      <w:proofErr w:type="spellStart"/>
      <w:r w:rsidRPr="005B08D7">
        <w:rPr>
          <w:rFonts w:eastAsia="Times New Roman" w:cs="Times New Roman"/>
          <w:szCs w:val="24"/>
        </w:rPr>
        <w:t>хексахлорциклохексан</w:t>
      </w:r>
      <w:proofErr w:type="spellEnd"/>
      <w:r w:rsidRPr="005B08D7">
        <w:rPr>
          <w:rFonts w:eastAsia="Times New Roman" w:cs="Times New Roman"/>
          <w:szCs w:val="24"/>
        </w:rPr>
        <w:t xml:space="preserve"> (НСН), Гама – </w:t>
      </w:r>
      <w:proofErr w:type="spellStart"/>
      <w:r w:rsidRPr="005B08D7">
        <w:rPr>
          <w:rFonts w:eastAsia="Times New Roman" w:cs="Times New Roman"/>
          <w:szCs w:val="24"/>
        </w:rPr>
        <w:t>хексахлорциклохексан</w:t>
      </w:r>
      <w:proofErr w:type="spellEnd"/>
      <w:r w:rsidRPr="005B08D7">
        <w:rPr>
          <w:rFonts w:eastAsia="Times New Roman" w:cs="Times New Roman"/>
          <w:szCs w:val="24"/>
        </w:rPr>
        <w:t xml:space="preserve"> (НСН) – </w:t>
      </w:r>
      <w:proofErr w:type="spellStart"/>
      <w:r w:rsidRPr="005B08D7">
        <w:rPr>
          <w:rFonts w:eastAsia="Times New Roman" w:cs="Times New Roman"/>
          <w:szCs w:val="24"/>
        </w:rPr>
        <w:t>Линдан</w:t>
      </w:r>
      <w:proofErr w:type="spellEnd"/>
      <w:r w:rsidRPr="005B08D7">
        <w:rPr>
          <w:rFonts w:eastAsia="Times New Roman" w:cs="Times New Roman"/>
          <w:szCs w:val="24"/>
        </w:rPr>
        <w:t xml:space="preserve">, Делта – </w:t>
      </w:r>
      <w:proofErr w:type="spellStart"/>
      <w:r w:rsidRPr="005B08D7">
        <w:rPr>
          <w:rFonts w:eastAsia="Times New Roman" w:cs="Times New Roman"/>
          <w:szCs w:val="24"/>
        </w:rPr>
        <w:t>хексахлорциклохексан</w:t>
      </w:r>
      <w:proofErr w:type="spellEnd"/>
      <w:r w:rsidRPr="005B08D7">
        <w:rPr>
          <w:rFonts w:eastAsia="Times New Roman" w:cs="Times New Roman"/>
          <w:szCs w:val="24"/>
        </w:rPr>
        <w:t xml:space="preserve"> (НСН), </w:t>
      </w:r>
      <w:proofErr w:type="spellStart"/>
      <w:r w:rsidRPr="005B08D7">
        <w:rPr>
          <w:rFonts w:eastAsia="Times New Roman" w:cs="Times New Roman"/>
          <w:szCs w:val="24"/>
        </w:rPr>
        <w:t>Диелдрин</w:t>
      </w:r>
      <w:proofErr w:type="spellEnd"/>
      <w:r w:rsidRPr="005B08D7">
        <w:rPr>
          <w:rFonts w:eastAsia="Times New Roman" w:cs="Times New Roman"/>
          <w:szCs w:val="24"/>
        </w:rPr>
        <w:t xml:space="preserve">, </w:t>
      </w:r>
      <w:proofErr w:type="spellStart"/>
      <w:r w:rsidRPr="005B08D7">
        <w:rPr>
          <w:rFonts w:eastAsia="Times New Roman" w:cs="Times New Roman"/>
          <w:szCs w:val="24"/>
        </w:rPr>
        <w:t>Ендрин</w:t>
      </w:r>
      <w:proofErr w:type="spellEnd"/>
      <w:r w:rsidRPr="005B08D7">
        <w:rPr>
          <w:rFonts w:eastAsia="Times New Roman" w:cs="Times New Roman"/>
          <w:szCs w:val="24"/>
        </w:rPr>
        <w:t xml:space="preserve">, </w:t>
      </w:r>
      <w:proofErr w:type="spellStart"/>
      <w:r w:rsidRPr="005B08D7">
        <w:rPr>
          <w:rFonts w:eastAsia="Times New Roman" w:cs="Times New Roman"/>
          <w:szCs w:val="24"/>
        </w:rPr>
        <w:t>Епсилон</w:t>
      </w:r>
      <w:proofErr w:type="spellEnd"/>
      <w:r w:rsidRPr="005B08D7">
        <w:rPr>
          <w:rFonts w:eastAsia="Times New Roman" w:cs="Times New Roman"/>
          <w:szCs w:val="24"/>
        </w:rPr>
        <w:t xml:space="preserve"> – </w:t>
      </w:r>
      <w:proofErr w:type="spellStart"/>
      <w:r w:rsidRPr="005B08D7">
        <w:rPr>
          <w:rFonts w:eastAsia="Times New Roman" w:cs="Times New Roman"/>
          <w:szCs w:val="24"/>
        </w:rPr>
        <w:t>хексахлорциклохексан</w:t>
      </w:r>
      <w:proofErr w:type="spellEnd"/>
      <w:r w:rsidRPr="005B08D7">
        <w:rPr>
          <w:rFonts w:eastAsia="Times New Roman" w:cs="Times New Roman"/>
          <w:szCs w:val="24"/>
        </w:rPr>
        <w:t xml:space="preserve"> (НСН), </w:t>
      </w:r>
      <w:proofErr w:type="spellStart"/>
      <w:r w:rsidRPr="005B08D7">
        <w:rPr>
          <w:rFonts w:eastAsia="Times New Roman" w:cs="Times New Roman"/>
          <w:szCs w:val="24"/>
        </w:rPr>
        <w:t>Метоксихлор</w:t>
      </w:r>
      <w:proofErr w:type="spellEnd"/>
      <w:r w:rsidRPr="005B08D7">
        <w:rPr>
          <w:rFonts w:eastAsia="Times New Roman" w:cs="Times New Roman"/>
          <w:szCs w:val="24"/>
        </w:rPr>
        <w:t xml:space="preserve">, </w:t>
      </w:r>
      <w:proofErr w:type="spellStart"/>
      <w:r w:rsidRPr="005B08D7">
        <w:rPr>
          <w:rFonts w:eastAsia="Times New Roman" w:cs="Times New Roman"/>
          <w:szCs w:val="24"/>
        </w:rPr>
        <w:t>Пендиметалин</w:t>
      </w:r>
      <w:proofErr w:type="spellEnd"/>
      <w:r w:rsidRPr="005B08D7">
        <w:rPr>
          <w:rFonts w:eastAsia="Times New Roman" w:cs="Times New Roman"/>
          <w:szCs w:val="24"/>
        </w:rPr>
        <w:t xml:space="preserve">, </w:t>
      </w:r>
      <w:proofErr w:type="spellStart"/>
      <w:r w:rsidRPr="005B08D7">
        <w:rPr>
          <w:rFonts w:eastAsia="Times New Roman" w:cs="Times New Roman"/>
          <w:szCs w:val="24"/>
        </w:rPr>
        <w:t>Пропазин</w:t>
      </w:r>
      <w:proofErr w:type="spellEnd"/>
      <w:r w:rsidRPr="005B08D7">
        <w:rPr>
          <w:rFonts w:eastAsia="Times New Roman" w:cs="Times New Roman"/>
          <w:szCs w:val="24"/>
        </w:rPr>
        <w:t xml:space="preserve">, </w:t>
      </w:r>
      <w:proofErr w:type="spellStart"/>
      <w:r w:rsidRPr="005B08D7">
        <w:rPr>
          <w:rFonts w:eastAsia="Times New Roman" w:cs="Times New Roman"/>
          <w:szCs w:val="24"/>
        </w:rPr>
        <w:t>Симазин</w:t>
      </w:r>
      <w:proofErr w:type="spellEnd"/>
      <w:r w:rsidRPr="005B08D7">
        <w:rPr>
          <w:rFonts w:eastAsia="Times New Roman" w:cs="Times New Roman"/>
          <w:szCs w:val="24"/>
        </w:rPr>
        <w:t xml:space="preserve">, </w:t>
      </w:r>
      <w:proofErr w:type="spellStart"/>
      <w:r w:rsidRPr="005B08D7">
        <w:rPr>
          <w:rFonts w:eastAsia="Times New Roman" w:cs="Times New Roman"/>
          <w:szCs w:val="24"/>
        </w:rPr>
        <w:t>Трифлуралин</w:t>
      </w:r>
      <w:proofErr w:type="spellEnd"/>
      <w:r w:rsidRPr="005B08D7">
        <w:rPr>
          <w:rFonts w:eastAsia="Times New Roman" w:cs="Times New Roman"/>
          <w:szCs w:val="24"/>
        </w:rPr>
        <w:t xml:space="preserve">, </w:t>
      </w:r>
      <w:proofErr w:type="spellStart"/>
      <w:r w:rsidRPr="005B08D7">
        <w:rPr>
          <w:rFonts w:eastAsia="Times New Roman" w:cs="Times New Roman"/>
          <w:szCs w:val="24"/>
        </w:rPr>
        <w:t>Хептахлор</w:t>
      </w:r>
      <w:proofErr w:type="spellEnd"/>
      <w:r w:rsidRPr="005B08D7">
        <w:rPr>
          <w:rFonts w:eastAsia="Times New Roman" w:cs="Times New Roman"/>
          <w:szCs w:val="24"/>
        </w:rPr>
        <w:t xml:space="preserve">, </w:t>
      </w:r>
      <w:proofErr w:type="spellStart"/>
      <w:r w:rsidRPr="005B08D7">
        <w:rPr>
          <w:rFonts w:eastAsia="Times New Roman" w:cs="Times New Roman"/>
          <w:szCs w:val="24"/>
        </w:rPr>
        <w:t>Хлордан</w:t>
      </w:r>
      <w:proofErr w:type="spellEnd"/>
      <w:r w:rsidRPr="005B08D7">
        <w:rPr>
          <w:rFonts w:eastAsia="Times New Roman" w:cs="Times New Roman"/>
          <w:szCs w:val="24"/>
        </w:rPr>
        <w:t xml:space="preserve">, </w:t>
      </w:r>
      <w:proofErr w:type="spellStart"/>
      <w:r w:rsidRPr="005B08D7">
        <w:rPr>
          <w:rFonts w:eastAsia="Times New Roman" w:cs="Times New Roman"/>
          <w:szCs w:val="24"/>
        </w:rPr>
        <w:t>Хлорпирифос</w:t>
      </w:r>
      <w:proofErr w:type="spellEnd"/>
      <w:r w:rsidRPr="005B08D7">
        <w:rPr>
          <w:rFonts w:eastAsia="Times New Roman" w:cs="Times New Roman"/>
          <w:szCs w:val="24"/>
        </w:rPr>
        <w:t xml:space="preserve"> и  </w:t>
      </w:r>
      <w:proofErr w:type="spellStart"/>
      <w:r w:rsidRPr="005B08D7">
        <w:rPr>
          <w:rFonts w:eastAsia="Times New Roman" w:cs="Times New Roman"/>
          <w:szCs w:val="24"/>
        </w:rPr>
        <w:t>Циперметрин</w:t>
      </w:r>
      <w:proofErr w:type="spellEnd"/>
      <w:r w:rsidRPr="005B08D7">
        <w:rPr>
          <w:rFonts w:eastAsia="Times New Roman" w:cs="Times New Roman"/>
          <w:szCs w:val="24"/>
        </w:rPr>
        <w:t>.</w:t>
      </w:r>
    </w:p>
    <w:p w14:paraId="012BF5F1"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lastRenderedPageBreak/>
        <w:t xml:space="preserve">През 2020 г. са изпитвани също </w:t>
      </w:r>
      <w:proofErr w:type="spellStart"/>
      <w:r w:rsidRPr="005B08D7">
        <w:rPr>
          <w:rFonts w:eastAsia="Times New Roman" w:cs="Times New Roman"/>
          <w:szCs w:val="24"/>
        </w:rPr>
        <w:t>полиароматни</w:t>
      </w:r>
      <w:proofErr w:type="spellEnd"/>
      <w:r w:rsidRPr="005B08D7">
        <w:rPr>
          <w:rFonts w:eastAsia="Times New Roman" w:cs="Times New Roman"/>
          <w:szCs w:val="24"/>
        </w:rPr>
        <w:t xml:space="preserve"> въглеводороди - </w:t>
      </w:r>
      <w:proofErr w:type="spellStart"/>
      <w:r w:rsidRPr="005B08D7">
        <w:rPr>
          <w:rFonts w:eastAsia="Times New Roman" w:cs="Times New Roman"/>
          <w:szCs w:val="24"/>
        </w:rPr>
        <w:t>Бензо</w:t>
      </w:r>
      <w:proofErr w:type="spellEnd"/>
      <w:r w:rsidRPr="005B08D7">
        <w:rPr>
          <w:rFonts w:eastAsia="Times New Roman" w:cs="Times New Roman"/>
          <w:szCs w:val="24"/>
        </w:rPr>
        <w:t xml:space="preserve"> (а) пирен/ 3,4 – </w:t>
      </w:r>
      <w:proofErr w:type="spellStart"/>
      <w:r w:rsidRPr="005B08D7">
        <w:rPr>
          <w:rFonts w:eastAsia="Times New Roman" w:cs="Times New Roman"/>
          <w:szCs w:val="24"/>
        </w:rPr>
        <w:t>Бензопирен</w:t>
      </w:r>
      <w:proofErr w:type="spellEnd"/>
      <w:r w:rsidRPr="005B08D7">
        <w:rPr>
          <w:rFonts w:eastAsia="Times New Roman" w:cs="Times New Roman"/>
          <w:szCs w:val="24"/>
        </w:rPr>
        <w:t xml:space="preserve">, </w:t>
      </w:r>
      <w:proofErr w:type="spellStart"/>
      <w:r w:rsidRPr="005B08D7">
        <w:rPr>
          <w:rFonts w:eastAsia="Times New Roman" w:cs="Times New Roman"/>
          <w:szCs w:val="24"/>
        </w:rPr>
        <w:t>Бензо</w:t>
      </w:r>
      <w:proofErr w:type="spellEnd"/>
      <w:r w:rsidRPr="005B08D7">
        <w:rPr>
          <w:rFonts w:eastAsia="Times New Roman" w:cs="Times New Roman"/>
          <w:szCs w:val="24"/>
        </w:rPr>
        <w:t>(b)</w:t>
      </w:r>
      <w:proofErr w:type="spellStart"/>
      <w:r w:rsidRPr="005B08D7">
        <w:rPr>
          <w:rFonts w:eastAsia="Times New Roman" w:cs="Times New Roman"/>
          <w:szCs w:val="24"/>
        </w:rPr>
        <w:t>флуорантен</w:t>
      </w:r>
      <w:proofErr w:type="spellEnd"/>
      <w:r w:rsidRPr="005B08D7">
        <w:rPr>
          <w:rFonts w:eastAsia="Times New Roman" w:cs="Times New Roman"/>
          <w:szCs w:val="24"/>
        </w:rPr>
        <w:t xml:space="preserve">, </w:t>
      </w:r>
      <w:proofErr w:type="spellStart"/>
      <w:r w:rsidRPr="005B08D7">
        <w:rPr>
          <w:rFonts w:eastAsia="Times New Roman" w:cs="Times New Roman"/>
          <w:szCs w:val="24"/>
        </w:rPr>
        <w:t>Бензо</w:t>
      </w:r>
      <w:proofErr w:type="spellEnd"/>
      <w:r w:rsidRPr="005B08D7">
        <w:rPr>
          <w:rFonts w:eastAsia="Times New Roman" w:cs="Times New Roman"/>
          <w:szCs w:val="24"/>
        </w:rPr>
        <w:t>(</w:t>
      </w:r>
      <w:proofErr w:type="spellStart"/>
      <w:r w:rsidRPr="005B08D7">
        <w:rPr>
          <w:rFonts w:eastAsia="Times New Roman" w:cs="Times New Roman"/>
          <w:szCs w:val="24"/>
        </w:rPr>
        <w:t>ghi</w:t>
      </w:r>
      <w:proofErr w:type="spellEnd"/>
      <w:r w:rsidRPr="005B08D7">
        <w:rPr>
          <w:rFonts w:eastAsia="Times New Roman" w:cs="Times New Roman"/>
          <w:szCs w:val="24"/>
        </w:rPr>
        <w:t xml:space="preserve">) перилен, </w:t>
      </w:r>
      <w:proofErr w:type="spellStart"/>
      <w:r w:rsidRPr="005B08D7">
        <w:rPr>
          <w:rFonts w:eastAsia="Times New Roman" w:cs="Times New Roman"/>
          <w:szCs w:val="24"/>
        </w:rPr>
        <w:t>Бензо</w:t>
      </w:r>
      <w:proofErr w:type="spellEnd"/>
      <w:r w:rsidRPr="005B08D7">
        <w:rPr>
          <w:rFonts w:eastAsia="Times New Roman" w:cs="Times New Roman"/>
          <w:szCs w:val="24"/>
        </w:rPr>
        <w:t>(к)</w:t>
      </w:r>
      <w:proofErr w:type="spellStart"/>
      <w:r w:rsidRPr="005B08D7">
        <w:rPr>
          <w:rFonts w:eastAsia="Times New Roman" w:cs="Times New Roman"/>
          <w:szCs w:val="24"/>
        </w:rPr>
        <w:t>флуорантен</w:t>
      </w:r>
      <w:proofErr w:type="spellEnd"/>
      <w:r w:rsidRPr="005B08D7">
        <w:rPr>
          <w:rFonts w:eastAsia="Times New Roman" w:cs="Times New Roman"/>
          <w:szCs w:val="24"/>
        </w:rPr>
        <w:t xml:space="preserve">(3;4 - </w:t>
      </w:r>
      <w:proofErr w:type="spellStart"/>
      <w:r w:rsidRPr="005B08D7">
        <w:rPr>
          <w:rFonts w:eastAsia="Times New Roman" w:cs="Times New Roman"/>
          <w:szCs w:val="24"/>
        </w:rPr>
        <w:t>Бензофлуорантен</w:t>
      </w:r>
      <w:proofErr w:type="spellEnd"/>
      <w:r w:rsidRPr="005B08D7">
        <w:rPr>
          <w:rFonts w:eastAsia="Times New Roman" w:cs="Times New Roman"/>
          <w:szCs w:val="24"/>
        </w:rPr>
        <w:t xml:space="preserve">), </w:t>
      </w:r>
      <w:proofErr w:type="spellStart"/>
      <w:r w:rsidRPr="005B08D7">
        <w:rPr>
          <w:rFonts w:eastAsia="Times New Roman" w:cs="Times New Roman"/>
          <w:szCs w:val="24"/>
        </w:rPr>
        <w:t>Бензо</w:t>
      </w:r>
      <w:proofErr w:type="spellEnd"/>
      <w:r w:rsidRPr="005B08D7">
        <w:rPr>
          <w:rFonts w:eastAsia="Times New Roman" w:cs="Times New Roman"/>
          <w:szCs w:val="24"/>
        </w:rPr>
        <w:t>(</w:t>
      </w:r>
      <w:proofErr w:type="spellStart"/>
      <w:r w:rsidRPr="005B08D7">
        <w:rPr>
          <w:rFonts w:eastAsia="Times New Roman" w:cs="Times New Roman"/>
          <w:szCs w:val="24"/>
        </w:rPr>
        <w:t>б+к</w:t>
      </w:r>
      <w:proofErr w:type="spellEnd"/>
      <w:r w:rsidRPr="005B08D7">
        <w:rPr>
          <w:rFonts w:eastAsia="Times New Roman" w:cs="Times New Roman"/>
          <w:szCs w:val="24"/>
        </w:rPr>
        <w:t>)</w:t>
      </w:r>
      <w:proofErr w:type="spellStart"/>
      <w:r w:rsidRPr="005B08D7">
        <w:rPr>
          <w:rFonts w:eastAsia="Times New Roman" w:cs="Times New Roman"/>
          <w:szCs w:val="24"/>
        </w:rPr>
        <w:t>Флуорантен</w:t>
      </w:r>
      <w:proofErr w:type="spellEnd"/>
      <w:r w:rsidRPr="005B08D7">
        <w:rPr>
          <w:rFonts w:eastAsia="Times New Roman" w:cs="Times New Roman"/>
          <w:szCs w:val="24"/>
        </w:rPr>
        <w:t xml:space="preserve">,  </w:t>
      </w:r>
      <w:proofErr w:type="spellStart"/>
      <w:r w:rsidRPr="005B08D7">
        <w:rPr>
          <w:rFonts w:eastAsia="Times New Roman" w:cs="Times New Roman"/>
          <w:szCs w:val="24"/>
        </w:rPr>
        <w:t>Индено</w:t>
      </w:r>
      <w:proofErr w:type="spellEnd"/>
      <w:r w:rsidRPr="005B08D7">
        <w:rPr>
          <w:rFonts w:eastAsia="Times New Roman" w:cs="Times New Roman"/>
          <w:szCs w:val="24"/>
        </w:rPr>
        <w:t xml:space="preserve">(1;2;3-c;d) пирен, и </w:t>
      </w:r>
      <w:proofErr w:type="spellStart"/>
      <w:r w:rsidRPr="005B08D7">
        <w:rPr>
          <w:rFonts w:eastAsia="Times New Roman" w:cs="Times New Roman"/>
          <w:szCs w:val="24"/>
        </w:rPr>
        <w:t>Флуорантен</w:t>
      </w:r>
      <w:proofErr w:type="spellEnd"/>
      <w:r w:rsidRPr="005B08D7">
        <w:rPr>
          <w:rFonts w:eastAsia="Times New Roman" w:cs="Times New Roman"/>
          <w:szCs w:val="24"/>
        </w:rPr>
        <w:t>.</w:t>
      </w:r>
    </w:p>
    <w:p w14:paraId="0E86C957"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Останалите органични замърсители, които са изпитвани в подземни води през 2020 г. са – 1,2-дихлоретан, 2,4 Д (</w:t>
      </w:r>
      <w:proofErr w:type="spellStart"/>
      <w:r w:rsidRPr="005B08D7">
        <w:rPr>
          <w:rFonts w:eastAsia="Times New Roman" w:cs="Times New Roman"/>
          <w:szCs w:val="24"/>
        </w:rPr>
        <w:t>Dichlorphenoxyacetacid</w:t>
      </w:r>
      <w:proofErr w:type="spellEnd"/>
      <w:r w:rsidRPr="005B08D7">
        <w:rPr>
          <w:rFonts w:eastAsia="Times New Roman" w:cs="Times New Roman"/>
          <w:szCs w:val="24"/>
        </w:rPr>
        <w:t xml:space="preserve">),  </w:t>
      </w:r>
      <w:proofErr w:type="spellStart"/>
      <w:r w:rsidRPr="005B08D7">
        <w:rPr>
          <w:rFonts w:eastAsia="Times New Roman" w:cs="Times New Roman"/>
          <w:szCs w:val="24"/>
        </w:rPr>
        <w:t>Тетрахлоретилен</w:t>
      </w:r>
      <w:proofErr w:type="spellEnd"/>
      <w:r w:rsidRPr="005B08D7">
        <w:rPr>
          <w:rFonts w:eastAsia="Times New Roman" w:cs="Times New Roman"/>
          <w:szCs w:val="24"/>
        </w:rPr>
        <w:t xml:space="preserve"> и </w:t>
      </w:r>
      <w:proofErr w:type="spellStart"/>
      <w:r w:rsidRPr="005B08D7">
        <w:rPr>
          <w:rFonts w:eastAsia="Times New Roman" w:cs="Times New Roman"/>
          <w:szCs w:val="24"/>
        </w:rPr>
        <w:t>Трихлоретилен</w:t>
      </w:r>
      <w:proofErr w:type="spellEnd"/>
      <w:r w:rsidRPr="005B08D7">
        <w:rPr>
          <w:rFonts w:eastAsia="Times New Roman" w:cs="Times New Roman"/>
          <w:szCs w:val="24"/>
        </w:rPr>
        <w:t>.</w:t>
      </w:r>
    </w:p>
    <w:p w14:paraId="63E6B737"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През 2020 г. са установени превишения на СК (0,1 </w:t>
      </w:r>
      <w:proofErr w:type="spellStart"/>
      <w:r w:rsidRPr="005B08D7">
        <w:rPr>
          <w:rFonts w:eastAsia="Times New Roman" w:cs="Times New Roman"/>
          <w:szCs w:val="24"/>
        </w:rPr>
        <w:t>ug</w:t>
      </w:r>
      <w:proofErr w:type="spellEnd"/>
      <w:r w:rsidRPr="005B08D7">
        <w:rPr>
          <w:rFonts w:eastAsia="Times New Roman" w:cs="Times New Roman"/>
          <w:szCs w:val="24"/>
        </w:rPr>
        <w:t xml:space="preserve">/l) за </w:t>
      </w:r>
      <w:proofErr w:type="spellStart"/>
      <w:r w:rsidRPr="005B08D7">
        <w:rPr>
          <w:rFonts w:eastAsia="Times New Roman" w:cs="Times New Roman"/>
          <w:szCs w:val="24"/>
        </w:rPr>
        <w:t>атразин</w:t>
      </w:r>
      <w:proofErr w:type="spellEnd"/>
      <w:r w:rsidRPr="005B08D7">
        <w:rPr>
          <w:rFonts w:eastAsia="Times New Roman" w:cs="Times New Roman"/>
          <w:szCs w:val="24"/>
        </w:rPr>
        <w:t xml:space="preserve"> в три пункта като два от тях са при с. Дуранкулак:</w:t>
      </w:r>
    </w:p>
    <w:p w14:paraId="42BADBED" w14:textId="77777777" w:rsidR="005B08D7" w:rsidRPr="005B08D7" w:rsidRDefault="005B08D7" w:rsidP="005B08D7">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5B08D7">
        <w:rPr>
          <w:rFonts w:eastAsia="Times New Roman" w:cs="Times New Roman"/>
          <w:szCs w:val="24"/>
          <w:lang w:eastAsia="bg-BG" w:bidi="bg-BG"/>
        </w:rPr>
        <w:t xml:space="preserve">Пункт Дуранкулак, сондажен кладенец 2, в ПВТ BG2G000000N044 Порови води в </w:t>
      </w:r>
      <w:proofErr w:type="spellStart"/>
      <w:r w:rsidRPr="005B08D7">
        <w:rPr>
          <w:rFonts w:eastAsia="Times New Roman" w:cs="Times New Roman"/>
          <w:szCs w:val="24"/>
          <w:lang w:eastAsia="bg-BG" w:bidi="bg-BG"/>
        </w:rPr>
        <w:t>неоген-сармат</w:t>
      </w:r>
      <w:proofErr w:type="spellEnd"/>
      <w:r w:rsidRPr="005B08D7">
        <w:rPr>
          <w:rFonts w:eastAsia="Times New Roman" w:cs="Times New Roman"/>
          <w:szCs w:val="24"/>
          <w:lang w:eastAsia="bg-BG" w:bidi="bg-BG"/>
        </w:rPr>
        <w:t xml:space="preserve"> Североизточна и Средна Добруджа – отчетена стойност 0,149 </w:t>
      </w:r>
      <w:proofErr w:type="spellStart"/>
      <w:r w:rsidRPr="005B08D7">
        <w:rPr>
          <w:rFonts w:eastAsia="Times New Roman" w:cs="Times New Roman"/>
          <w:szCs w:val="24"/>
          <w:lang w:eastAsia="bg-BG" w:bidi="bg-BG"/>
        </w:rPr>
        <w:t>ug</w:t>
      </w:r>
      <w:proofErr w:type="spellEnd"/>
      <w:r w:rsidRPr="005B08D7">
        <w:rPr>
          <w:rFonts w:eastAsia="Times New Roman" w:cs="Times New Roman"/>
          <w:szCs w:val="24"/>
          <w:lang w:eastAsia="bg-BG" w:bidi="bg-BG"/>
        </w:rPr>
        <w:t>/l;</w:t>
      </w:r>
    </w:p>
    <w:p w14:paraId="1593F2C9" w14:textId="2753C799" w:rsidR="005B08D7" w:rsidRPr="005B08D7" w:rsidRDefault="005B08D7" w:rsidP="005B08D7">
      <w:pPr>
        <w:widowControl w:val="0"/>
        <w:numPr>
          <w:ilvl w:val="0"/>
          <w:numId w:val="5"/>
        </w:numPr>
        <w:tabs>
          <w:tab w:val="left" w:pos="752"/>
          <w:tab w:val="left" w:pos="1080"/>
        </w:tabs>
        <w:spacing w:after="60" w:line="264" w:lineRule="auto"/>
        <w:ind w:firstLine="720"/>
        <w:jc w:val="both"/>
        <w:rPr>
          <w:rFonts w:eastAsia="Times New Roman" w:cs="Times New Roman"/>
          <w:szCs w:val="24"/>
          <w:lang w:eastAsia="bg-BG" w:bidi="bg-BG"/>
        </w:rPr>
      </w:pPr>
      <w:r w:rsidRPr="005B08D7">
        <w:rPr>
          <w:rFonts w:eastAsia="Times New Roman" w:cs="Times New Roman"/>
          <w:szCs w:val="24"/>
          <w:lang w:eastAsia="bg-BG" w:bidi="bg-BG"/>
        </w:rPr>
        <w:t xml:space="preserve">Пункт Дуранкулак, сондажен кладенец 1, в ПВТ BG1G000000N049 - Карстово-порови води в </w:t>
      </w:r>
      <w:proofErr w:type="spellStart"/>
      <w:r w:rsidRPr="005B08D7">
        <w:rPr>
          <w:rFonts w:eastAsia="Times New Roman" w:cs="Times New Roman"/>
          <w:szCs w:val="24"/>
          <w:lang w:eastAsia="bg-BG" w:bidi="bg-BG"/>
        </w:rPr>
        <w:t>Неоген</w:t>
      </w:r>
      <w:proofErr w:type="spellEnd"/>
      <w:r w:rsidRPr="005B08D7">
        <w:rPr>
          <w:rFonts w:eastAsia="Times New Roman" w:cs="Times New Roman"/>
          <w:szCs w:val="24"/>
          <w:lang w:eastAsia="bg-BG" w:bidi="bg-BG"/>
        </w:rPr>
        <w:t xml:space="preserve"> - </w:t>
      </w:r>
      <w:proofErr w:type="spellStart"/>
      <w:r w:rsidRPr="005B08D7">
        <w:rPr>
          <w:rFonts w:eastAsia="Times New Roman" w:cs="Times New Roman"/>
          <w:szCs w:val="24"/>
          <w:lang w:eastAsia="bg-BG" w:bidi="bg-BG"/>
        </w:rPr>
        <w:t>Сармат</w:t>
      </w:r>
      <w:proofErr w:type="spellEnd"/>
      <w:r w:rsidRPr="005B08D7">
        <w:rPr>
          <w:rFonts w:eastAsia="Times New Roman" w:cs="Times New Roman"/>
          <w:szCs w:val="24"/>
          <w:lang w:eastAsia="bg-BG" w:bidi="bg-BG"/>
        </w:rPr>
        <w:t xml:space="preserve"> Добруджа – 0,116 </w:t>
      </w:r>
      <w:proofErr w:type="spellStart"/>
      <w:r w:rsidRPr="005B08D7">
        <w:rPr>
          <w:rFonts w:eastAsia="Times New Roman" w:cs="Times New Roman"/>
          <w:szCs w:val="24"/>
          <w:lang w:eastAsia="bg-BG" w:bidi="bg-BG"/>
        </w:rPr>
        <w:t>ug</w:t>
      </w:r>
      <w:proofErr w:type="spellEnd"/>
      <w:r w:rsidRPr="005B08D7">
        <w:rPr>
          <w:rFonts w:eastAsia="Times New Roman" w:cs="Times New Roman"/>
          <w:szCs w:val="24"/>
          <w:lang w:eastAsia="bg-BG" w:bidi="bg-BG"/>
        </w:rPr>
        <w:t>/l.</w:t>
      </w:r>
    </w:p>
    <w:p w14:paraId="5A341E7B"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Третият пункт е Крива бара, ШК 5 ПС "Крива бара" в ПВТ BG1G0000QAL013 Порови води в Кватернера - р. Лом, в който отчетеното превишение е 2 пъти над нормата (0,21 </w:t>
      </w:r>
      <w:proofErr w:type="spellStart"/>
      <w:r w:rsidRPr="005B08D7">
        <w:rPr>
          <w:rFonts w:eastAsia="Times New Roman" w:cs="Times New Roman"/>
          <w:szCs w:val="24"/>
        </w:rPr>
        <w:t>ug</w:t>
      </w:r>
      <w:proofErr w:type="spellEnd"/>
      <w:r w:rsidRPr="005B08D7">
        <w:rPr>
          <w:rFonts w:eastAsia="Times New Roman" w:cs="Times New Roman"/>
          <w:szCs w:val="24"/>
        </w:rPr>
        <w:t>/l).</w:t>
      </w:r>
    </w:p>
    <w:p w14:paraId="1C82345F"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Единично превишение на СК (0,1 </w:t>
      </w:r>
      <w:proofErr w:type="spellStart"/>
      <w:r w:rsidRPr="005B08D7">
        <w:rPr>
          <w:rFonts w:eastAsia="Times New Roman" w:cs="Times New Roman"/>
          <w:szCs w:val="24"/>
        </w:rPr>
        <w:t>ug</w:t>
      </w:r>
      <w:proofErr w:type="spellEnd"/>
      <w:r w:rsidRPr="005B08D7">
        <w:rPr>
          <w:rFonts w:eastAsia="Times New Roman" w:cs="Times New Roman"/>
          <w:szCs w:val="24"/>
        </w:rPr>
        <w:t xml:space="preserve">/l) за Бета – НСН е регистрирано в пункт Крайници, ШК 6- "Балканфарма" АД, привързан към кватернера на района на Дупница-превишението е 12 път над нормата. В същия пункт са регистрирани още превишения на два метаболита  на ДДЕ и ДДТ – отчетените стойности са както следва: за </w:t>
      </w:r>
      <w:proofErr w:type="spellStart"/>
      <w:r w:rsidRPr="005B08D7">
        <w:rPr>
          <w:rFonts w:eastAsia="Times New Roman" w:cs="Times New Roman"/>
          <w:szCs w:val="24"/>
        </w:rPr>
        <w:t>n,n</w:t>
      </w:r>
      <w:proofErr w:type="spellEnd"/>
      <w:r w:rsidRPr="005B08D7">
        <w:rPr>
          <w:rFonts w:eastAsia="Times New Roman" w:cs="Times New Roman"/>
          <w:szCs w:val="24"/>
        </w:rPr>
        <w:t xml:space="preserve">/4.4/ - ДДЕ- 0,12 </w:t>
      </w:r>
      <w:proofErr w:type="spellStart"/>
      <w:r w:rsidRPr="005B08D7">
        <w:rPr>
          <w:rFonts w:eastAsia="Times New Roman" w:cs="Times New Roman"/>
          <w:szCs w:val="24"/>
        </w:rPr>
        <w:t>ug</w:t>
      </w:r>
      <w:proofErr w:type="spellEnd"/>
      <w:r w:rsidRPr="005B08D7">
        <w:rPr>
          <w:rFonts w:eastAsia="Times New Roman" w:cs="Times New Roman"/>
          <w:szCs w:val="24"/>
        </w:rPr>
        <w:t xml:space="preserve">/l , а за </w:t>
      </w:r>
      <w:proofErr w:type="spellStart"/>
      <w:r w:rsidRPr="005B08D7">
        <w:rPr>
          <w:rFonts w:eastAsia="Times New Roman" w:cs="Times New Roman"/>
          <w:szCs w:val="24"/>
        </w:rPr>
        <w:t>n,n</w:t>
      </w:r>
      <w:proofErr w:type="spellEnd"/>
      <w:r w:rsidRPr="005B08D7">
        <w:rPr>
          <w:rFonts w:eastAsia="Times New Roman" w:cs="Times New Roman"/>
          <w:szCs w:val="24"/>
        </w:rPr>
        <w:t xml:space="preserve">/4.4/ - ДДТ- 0,17 </w:t>
      </w:r>
      <w:proofErr w:type="spellStart"/>
      <w:r w:rsidRPr="005B08D7">
        <w:rPr>
          <w:rFonts w:eastAsia="Times New Roman" w:cs="Times New Roman"/>
          <w:szCs w:val="24"/>
        </w:rPr>
        <w:t>ug</w:t>
      </w:r>
      <w:proofErr w:type="spellEnd"/>
      <w:r w:rsidRPr="005B08D7">
        <w:rPr>
          <w:rFonts w:eastAsia="Times New Roman" w:cs="Times New Roman"/>
          <w:szCs w:val="24"/>
        </w:rPr>
        <w:t xml:space="preserve">/l. Едно превишение на СК (0,03 </w:t>
      </w:r>
      <w:proofErr w:type="spellStart"/>
      <w:r w:rsidRPr="005B08D7">
        <w:rPr>
          <w:rFonts w:eastAsia="Times New Roman" w:cs="Times New Roman"/>
          <w:szCs w:val="24"/>
        </w:rPr>
        <w:t>ug</w:t>
      </w:r>
      <w:proofErr w:type="spellEnd"/>
      <w:r w:rsidRPr="005B08D7">
        <w:rPr>
          <w:rFonts w:eastAsia="Times New Roman" w:cs="Times New Roman"/>
          <w:szCs w:val="24"/>
        </w:rPr>
        <w:t xml:space="preserve">/l)  за </w:t>
      </w:r>
      <w:proofErr w:type="spellStart"/>
      <w:r w:rsidRPr="005B08D7">
        <w:rPr>
          <w:rFonts w:eastAsia="Times New Roman" w:cs="Times New Roman"/>
          <w:szCs w:val="24"/>
        </w:rPr>
        <w:t>диелдрин</w:t>
      </w:r>
      <w:proofErr w:type="spellEnd"/>
      <w:r w:rsidRPr="005B08D7">
        <w:rPr>
          <w:rFonts w:eastAsia="Times New Roman" w:cs="Times New Roman"/>
          <w:szCs w:val="24"/>
        </w:rPr>
        <w:t xml:space="preserve"> е регистрирано в пункт Малък манастир, ПС - дренаж, дрениращ водите на </w:t>
      </w:r>
      <w:proofErr w:type="spellStart"/>
      <w:r w:rsidRPr="005B08D7">
        <w:rPr>
          <w:rFonts w:eastAsia="Times New Roman" w:cs="Times New Roman"/>
          <w:szCs w:val="24"/>
        </w:rPr>
        <w:t>Неоген</w:t>
      </w:r>
      <w:proofErr w:type="spellEnd"/>
      <w:r w:rsidRPr="005B08D7">
        <w:rPr>
          <w:rFonts w:eastAsia="Times New Roman" w:cs="Times New Roman"/>
          <w:szCs w:val="24"/>
        </w:rPr>
        <w:t xml:space="preserve"> - Кватернера на Ямбол – Елхово- в протокол от 14.09.2020 г. е отчетена стойност 0,1 </w:t>
      </w:r>
      <w:proofErr w:type="spellStart"/>
      <w:r w:rsidRPr="005B08D7">
        <w:rPr>
          <w:rFonts w:eastAsia="Times New Roman" w:cs="Times New Roman"/>
          <w:szCs w:val="24"/>
        </w:rPr>
        <w:t>ug</w:t>
      </w:r>
      <w:proofErr w:type="spellEnd"/>
      <w:r w:rsidRPr="005B08D7">
        <w:rPr>
          <w:rFonts w:eastAsia="Times New Roman" w:cs="Times New Roman"/>
          <w:szCs w:val="24"/>
        </w:rPr>
        <w:t>/l.</w:t>
      </w:r>
    </w:p>
    <w:p w14:paraId="4A1FD244"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И през 2020 г. Продължават да се установяват превишения на СК (10 </w:t>
      </w:r>
      <w:proofErr w:type="spellStart"/>
      <w:r w:rsidRPr="005B08D7">
        <w:rPr>
          <w:rFonts w:eastAsia="Times New Roman" w:cs="Times New Roman"/>
          <w:szCs w:val="24"/>
        </w:rPr>
        <w:t>ug</w:t>
      </w:r>
      <w:proofErr w:type="spellEnd"/>
      <w:r w:rsidRPr="005B08D7">
        <w:rPr>
          <w:rFonts w:eastAsia="Times New Roman" w:cs="Times New Roman"/>
          <w:szCs w:val="24"/>
        </w:rPr>
        <w:t xml:space="preserve">/l) за </w:t>
      </w:r>
      <w:proofErr w:type="spellStart"/>
      <w:r w:rsidRPr="005B08D7">
        <w:rPr>
          <w:rFonts w:eastAsia="Times New Roman" w:cs="Times New Roman"/>
          <w:szCs w:val="24"/>
        </w:rPr>
        <w:t>тетрахлоретилен</w:t>
      </w:r>
      <w:proofErr w:type="spellEnd"/>
      <w:r w:rsidRPr="005B08D7">
        <w:rPr>
          <w:rFonts w:eastAsia="Times New Roman" w:cs="Times New Roman"/>
          <w:szCs w:val="24"/>
        </w:rPr>
        <w:t xml:space="preserve"> и </w:t>
      </w:r>
      <w:proofErr w:type="spellStart"/>
      <w:r w:rsidRPr="005B08D7">
        <w:rPr>
          <w:rFonts w:eastAsia="Times New Roman" w:cs="Times New Roman"/>
          <w:szCs w:val="24"/>
        </w:rPr>
        <w:t>трихлоретилен</w:t>
      </w:r>
      <w:proofErr w:type="spellEnd"/>
      <w:r w:rsidRPr="005B08D7">
        <w:rPr>
          <w:rFonts w:eastAsia="Times New Roman" w:cs="Times New Roman"/>
          <w:szCs w:val="24"/>
        </w:rPr>
        <w:t xml:space="preserve"> в пункт Враца, ТК "Лалов и Вачев (в Порови води в Кватернера - Врачански пороен конус) – като през 2020 г. установените стойности са съответно за </w:t>
      </w:r>
      <w:proofErr w:type="spellStart"/>
      <w:r w:rsidRPr="005B08D7">
        <w:rPr>
          <w:rFonts w:eastAsia="Times New Roman" w:cs="Times New Roman"/>
          <w:szCs w:val="24"/>
        </w:rPr>
        <w:t>тетрахлоретилен</w:t>
      </w:r>
      <w:proofErr w:type="spellEnd"/>
      <w:r w:rsidRPr="005B08D7">
        <w:rPr>
          <w:rFonts w:eastAsia="Times New Roman" w:cs="Times New Roman"/>
          <w:szCs w:val="24"/>
        </w:rPr>
        <w:t xml:space="preserve"> - 3350 </w:t>
      </w:r>
      <w:proofErr w:type="spellStart"/>
      <w:r w:rsidRPr="005B08D7">
        <w:rPr>
          <w:rFonts w:eastAsia="Times New Roman" w:cs="Times New Roman"/>
          <w:szCs w:val="24"/>
        </w:rPr>
        <w:t>ug</w:t>
      </w:r>
      <w:proofErr w:type="spellEnd"/>
      <w:r w:rsidRPr="005B08D7">
        <w:rPr>
          <w:rFonts w:eastAsia="Times New Roman" w:cs="Times New Roman"/>
          <w:szCs w:val="24"/>
        </w:rPr>
        <w:t xml:space="preserve">/l и за </w:t>
      </w:r>
      <w:proofErr w:type="spellStart"/>
      <w:r w:rsidRPr="005B08D7">
        <w:rPr>
          <w:rFonts w:eastAsia="Times New Roman" w:cs="Times New Roman"/>
          <w:szCs w:val="24"/>
        </w:rPr>
        <w:t>трихлоретилен</w:t>
      </w:r>
      <w:proofErr w:type="spellEnd"/>
      <w:r w:rsidRPr="005B08D7">
        <w:rPr>
          <w:rFonts w:eastAsia="Times New Roman" w:cs="Times New Roman"/>
          <w:szCs w:val="24"/>
        </w:rPr>
        <w:t xml:space="preserve">- 82 </w:t>
      </w:r>
      <w:proofErr w:type="spellStart"/>
      <w:r w:rsidRPr="005B08D7">
        <w:rPr>
          <w:rFonts w:eastAsia="Times New Roman" w:cs="Times New Roman"/>
          <w:szCs w:val="24"/>
        </w:rPr>
        <w:t>ug</w:t>
      </w:r>
      <w:proofErr w:type="spellEnd"/>
      <w:r w:rsidRPr="005B08D7">
        <w:rPr>
          <w:rFonts w:eastAsia="Times New Roman" w:cs="Times New Roman"/>
          <w:szCs w:val="24"/>
        </w:rPr>
        <w:t>/l.</w:t>
      </w:r>
    </w:p>
    <w:p w14:paraId="41D2458F"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В още три пункта през годините са регистрирани завишения на </w:t>
      </w:r>
      <w:proofErr w:type="spellStart"/>
      <w:r w:rsidRPr="005B08D7">
        <w:rPr>
          <w:rFonts w:eastAsia="Times New Roman" w:cs="Times New Roman"/>
          <w:szCs w:val="24"/>
        </w:rPr>
        <w:t>тетрахлоретилен</w:t>
      </w:r>
      <w:proofErr w:type="spellEnd"/>
      <w:r w:rsidRPr="005B08D7">
        <w:rPr>
          <w:rFonts w:eastAsia="Times New Roman" w:cs="Times New Roman"/>
          <w:szCs w:val="24"/>
        </w:rPr>
        <w:t xml:space="preserve"> и това са: два пункта привързани към </w:t>
      </w:r>
      <w:proofErr w:type="spellStart"/>
      <w:r w:rsidRPr="005B08D7">
        <w:rPr>
          <w:rFonts w:eastAsia="Times New Roman" w:cs="Times New Roman"/>
          <w:szCs w:val="24"/>
        </w:rPr>
        <w:t>Неоген</w:t>
      </w:r>
      <w:proofErr w:type="spellEnd"/>
      <w:r w:rsidRPr="005B08D7">
        <w:rPr>
          <w:rFonts w:eastAsia="Times New Roman" w:cs="Times New Roman"/>
          <w:szCs w:val="24"/>
        </w:rPr>
        <w:t xml:space="preserve"> – </w:t>
      </w:r>
      <w:proofErr w:type="spellStart"/>
      <w:r w:rsidRPr="005B08D7">
        <w:rPr>
          <w:rFonts w:eastAsia="Times New Roman" w:cs="Times New Roman"/>
          <w:szCs w:val="24"/>
        </w:rPr>
        <w:t>Кватернерните</w:t>
      </w:r>
      <w:proofErr w:type="spellEnd"/>
      <w:r w:rsidRPr="005B08D7">
        <w:rPr>
          <w:rFonts w:eastAsia="Times New Roman" w:cs="Times New Roman"/>
          <w:szCs w:val="24"/>
        </w:rPr>
        <w:t xml:space="preserve"> отложения на Пазарджик - Пловдивския район- Пункт Пловдив, ПС-ПБВ- стойностите варират от 14 </w:t>
      </w:r>
      <w:proofErr w:type="spellStart"/>
      <w:r w:rsidRPr="005B08D7">
        <w:rPr>
          <w:rFonts w:eastAsia="Times New Roman" w:cs="Times New Roman"/>
          <w:szCs w:val="24"/>
        </w:rPr>
        <w:t>ug</w:t>
      </w:r>
      <w:proofErr w:type="spellEnd"/>
      <w:r w:rsidRPr="005B08D7">
        <w:rPr>
          <w:rFonts w:eastAsia="Times New Roman" w:cs="Times New Roman"/>
          <w:szCs w:val="24"/>
        </w:rPr>
        <w:t xml:space="preserve">/l до 23 </w:t>
      </w:r>
      <w:proofErr w:type="spellStart"/>
      <w:r w:rsidRPr="005B08D7">
        <w:rPr>
          <w:rFonts w:eastAsia="Times New Roman" w:cs="Times New Roman"/>
          <w:szCs w:val="24"/>
        </w:rPr>
        <w:t>ug</w:t>
      </w:r>
      <w:proofErr w:type="spellEnd"/>
      <w:r w:rsidRPr="005B08D7">
        <w:rPr>
          <w:rFonts w:eastAsia="Times New Roman" w:cs="Times New Roman"/>
          <w:szCs w:val="24"/>
        </w:rPr>
        <w:t>/l през 2020 г. и пункт Пловдив, ТК №1 - "</w:t>
      </w:r>
      <w:proofErr w:type="spellStart"/>
      <w:r w:rsidRPr="005B08D7">
        <w:rPr>
          <w:rFonts w:eastAsia="Times New Roman" w:cs="Times New Roman"/>
          <w:szCs w:val="24"/>
        </w:rPr>
        <w:t>Мовенди</w:t>
      </w:r>
      <w:proofErr w:type="spellEnd"/>
      <w:r w:rsidRPr="005B08D7">
        <w:rPr>
          <w:rFonts w:eastAsia="Times New Roman" w:cs="Times New Roman"/>
          <w:szCs w:val="24"/>
        </w:rPr>
        <w:t xml:space="preserve">", тук стойностите варират от 98 </w:t>
      </w:r>
      <w:proofErr w:type="spellStart"/>
      <w:r w:rsidRPr="005B08D7">
        <w:rPr>
          <w:rFonts w:eastAsia="Times New Roman" w:cs="Times New Roman"/>
          <w:szCs w:val="24"/>
        </w:rPr>
        <w:t>ug</w:t>
      </w:r>
      <w:proofErr w:type="spellEnd"/>
      <w:r w:rsidRPr="005B08D7">
        <w:rPr>
          <w:rFonts w:eastAsia="Times New Roman" w:cs="Times New Roman"/>
          <w:szCs w:val="24"/>
        </w:rPr>
        <w:t xml:space="preserve">/l в протокол от 11.09.2014 г. до 18 </w:t>
      </w:r>
      <w:proofErr w:type="spellStart"/>
      <w:r w:rsidRPr="005B08D7">
        <w:rPr>
          <w:rFonts w:eastAsia="Times New Roman" w:cs="Times New Roman"/>
          <w:szCs w:val="24"/>
        </w:rPr>
        <w:t>ug</w:t>
      </w:r>
      <w:proofErr w:type="spellEnd"/>
      <w:r w:rsidRPr="005B08D7">
        <w:rPr>
          <w:rFonts w:eastAsia="Times New Roman" w:cs="Times New Roman"/>
          <w:szCs w:val="24"/>
        </w:rPr>
        <w:t>/l, измерена стойност в протокол от 02.11.2020г.</w:t>
      </w:r>
    </w:p>
    <w:p w14:paraId="3AC34409"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Третият пункт, в който в различни години (2013 г., 2018 г., 2019 г. и 2020 г.) от анализираният 20-годишен период се установяват превишения е пункт Петрич, БДЖ, пътнически превози (ПВТ BG4G000000N011), като най-високата отчетена стойност е през 2020 г.-136 </w:t>
      </w:r>
      <w:proofErr w:type="spellStart"/>
      <w:r w:rsidRPr="005B08D7">
        <w:rPr>
          <w:rFonts w:eastAsia="Times New Roman" w:cs="Times New Roman"/>
          <w:szCs w:val="24"/>
        </w:rPr>
        <w:t>ug</w:t>
      </w:r>
      <w:proofErr w:type="spellEnd"/>
      <w:r w:rsidRPr="005B08D7">
        <w:rPr>
          <w:rFonts w:eastAsia="Times New Roman" w:cs="Times New Roman"/>
          <w:szCs w:val="24"/>
        </w:rPr>
        <w:t>/l.</w:t>
      </w:r>
    </w:p>
    <w:p w14:paraId="7015D2E0" w14:textId="77777777" w:rsidR="005B08D7" w:rsidRPr="005B08D7" w:rsidRDefault="005B08D7" w:rsidP="005B08D7">
      <w:pPr>
        <w:tabs>
          <w:tab w:val="left" w:pos="993"/>
        </w:tabs>
        <w:spacing w:after="60" w:line="264" w:lineRule="auto"/>
        <w:ind w:firstLine="720"/>
        <w:jc w:val="both"/>
        <w:rPr>
          <w:rFonts w:eastAsia="Times New Roman" w:cs="Times New Roman"/>
          <w:szCs w:val="24"/>
        </w:rPr>
      </w:pPr>
      <w:r w:rsidRPr="005B08D7">
        <w:rPr>
          <w:rFonts w:eastAsia="Times New Roman" w:cs="Times New Roman"/>
          <w:szCs w:val="24"/>
        </w:rPr>
        <w:t xml:space="preserve">Както и през предходната година, </w:t>
      </w:r>
      <w:proofErr w:type="spellStart"/>
      <w:r w:rsidRPr="005B08D7">
        <w:rPr>
          <w:rFonts w:eastAsia="Times New Roman" w:cs="Times New Roman"/>
          <w:szCs w:val="24"/>
        </w:rPr>
        <w:t>трихлоретилен</w:t>
      </w:r>
      <w:proofErr w:type="spellEnd"/>
      <w:r w:rsidRPr="005B08D7">
        <w:rPr>
          <w:rFonts w:eastAsia="Times New Roman" w:cs="Times New Roman"/>
          <w:szCs w:val="24"/>
        </w:rPr>
        <w:t xml:space="preserve"> е установен с наднормени стойности в пункт Добрич, ТК ТСК - ДЗИ Ген. Тошево – Добрич – в ПВТ BG1G000000N049 - Карстово-порови води в </w:t>
      </w:r>
      <w:proofErr w:type="spellStart"/>
      <w:r w:rsidRPr="005B08D7">
        <w:rPr>
          <w:rFonts w:eastAsia="Times New Roman" w:cs="Times New Roman"/>
          <w:szCs w:val="24"/>
        </w:rPr>
        <w:t>Неоген</w:t>
      </w:r>
      <w:proofErr w:type="spellEnd"/>
      <w:r w:rsidRPr="005B08D7">
        <w:rPr>
          <w:rFonts w:eastAsia="Times New Roman" w:cs="Times New Roman"/>
          <w:szCs w:val="24"/>
        </w:rPr>
        <w:t xml:space="preserve"> - </w:t>
      </w:r>
      <w:proofErr w:type="spellStart"/>
      <w:r w:rsidRPr="005B08D7">
        <w:rPr>
          <w:rFonts w:eastAsia="Times New Roman" w:cs="Times New Roman"/>
          <w:szCs w:val="24"/>
        </w:rPr>
        <w:t>Сармат</w:t>
      </w:r>
      <w:proofErr w:type="spellEnd"/>
      <w:r w:rsidRPr="005B08D7">
        <w:rPr>
          <w:rFonts w:eastAsia="Times New Roman" w:cs="Times New Roman"/>
          <w:szCs w:val="24"/>
        </w:rPr>
        <w:t xml:space="preserve"> Добруджа съответно със стойност - 21.7 </w:t>
      </w:r>
      <w:proofErr w:type="spellStart"/>
      <w:r w:rsidRPr="005B08D7">
        <w:rPr>
          <w:rFonts w:eastAsia="Times New Roman" w:cs="Times New Roman"/>
          <w:szCs w:val="24"/>
        </w:rPr>
        <w:t>ug</w:t>
      </w:r>
      <w:proofErr w:type="spellEnd"/>
      <w:r w:rsidRPr="005B08D7">
        <w:rPr>
          <w:rFonts w:eastAsia="Times New Roman" w:cs="Times New Roman"/>
          <w:szCs w:val="24"/>
        </w:rPr>
        <w:t>/l .</w:t>
      </w:r>
    </w:p>
    <w:p w14:paraId="12424F0E" w14:textId="77777777" w:rsidR="00820EDA" w:rsidRPr="009F6D1E" w:rsidRDefault="00820EDA" w:rsidP="0084747F">
      <w:pPr>
        <w:tabs>
          <w:tab w:val="left" w:pos="993"/>
        </w:tabs>
        <w:spacing w:after="60" w:line="264" w:lineRule="auto"/>
        <w:ind w:firstLine="720"/>
        <w:jc w:val="both"/>
        <w:rPr>
          <w:rFonts w:eastAsia="Times New Roman" w:cs="Times New Roman"/>
          <w:b/>
          <w:bCs/>
          <w:iCs/>
          <w:szCs w:val="24"/>
        </w:rPr>
      </w:pPr>
      <w:r w:rsidRPr="009F6D1E">
        <w:rPr>
          <w:rFonts w:eastAsia="Times New Roman" w:cs="Times New Roman"/>
          <w:b/>
          <w:bCs/>
          <w:iCs/>
          <w:szCs w:val="24"/>
        </w:rPr>
        <w:t>Количествено състояние на подземните води</w:t>
      </w:r>
      <w:bookmarkEnd w:id="287"/>
      <w:bookmarkEnd w:id="288"/>
    </w:p>
    <w:p w14:paraId="14DF9A3D"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Оценката на количественото състояние на ПВТ се извършва като се използват налични данни за мониторинга на количественото състояние на ПВТ и данни за собствения мониторинг </w:t>
      </w:r>
      <w:r w:rsidRPr="009F6D1E">
        <w:rPr>
          <w:rFonts w:eastAsia="Times New Roman" w:cs="Times New Roman"/>
          <w:szCs w:val="24"/>
        </w:rPr>
        <w:lastRenderedPageBreak/>
        <w:t xml:space="preserve">на водните нива във </w:t>
      </w:r>
      <w:proofErr w:type="spellStart"/>
      <w:r w:rsidRPr="009F6D1E">
        <w:rPr>
          <w:rFonts w:eastAsia="Times New Roman" w:cs="Times New Roman"/>
          <w:szCs w:val="24"/>
        </w:rPr>
        <w:t>водовземните</w:t>
      </w:r>
      <w:proofErr w:type="spellEnd"/>
      <w:r w:rsidRPr="009F6D1E">
        <w:rPr>
          <w:rFonts w:eastAsia="Times New Roman" w:cs="Times New Roman"/>
          <w:szCs w:val="24"/>
        </w:rPr>
        <w:t xml:space="preserve"> съоръжения за черпене на подземни води. Основните критерии за оценка на доброто количествено състояние са разполагаеми ресурси на ПВТ и нивото на подземните води.</w:t>
      </w:r>
    </w:p>
    <w:p w14:paraId="612CDAF1"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ПВТ е определено в добро количествено състояние, когато са изпълнени всички посочени по-долу критерии:</w:t>
      </w:r>
    </w:p>
    <w:p w14:paraId="10D84604" w14:textId="77777777" w:rsidR="00820EDA" w:rsidRPr="009F6D1E" w:rsidRDefault="00820EDA" w:rsidP="009B3DA8">
      <w:pPr>
        <w:widowControl w:val="0"/>
        <w:numPr>
          <w:ilvl w:val="0"/>
          <w:numId w:val="5"/>
        </w:numPr>
        <w:tabs>
          <w:tab w:val="left" w:pos="730"/>
          <w:tab w:val="left" w:pos="1080"/>
        </w:tabs>
        <w:spacing w:after="60" w:line="264" w:lineRule="auto"/>
        <w:ind w:firstLine="720"/>
        <w:jc w:val="both"/>
        <w:rPr>
          <w:rFonts w:cs="Times New Roman"/>
          <w:szCs w:val="24"/>
        </w:rPr>
      </w:pPr>
      <w:r w:rsidRPr="009F6D1E">
        <w:rPr>
          <w:rFonts w:cs="Times New Roman"/>
          <w:szCs w:val="24"/>
        </w:rPr>
        <w:t>Нивото на подземните води в ПВТ е такова, че разполагаемите ресурси не са превишени от общото средно многогодишно черпене, включващо черпенето на базата на издадени разрешителни за водовземане и черпенето от кладенците за задоволяване на собствените потребности на гражданите;</w:t>
      </w:r>
    </w:p>
    <w:p w14:paraId="5402C199" w14:textId="77777777" w:rsidR="00820EDA" w:rsidRPr="009F6D1E" w:rsidRDefault="00820EDA" w:rsidP="009B3DA8">
      <w:pPr>
        <w:widowControl w:val="0"/>
        <w:numPr>
          <w:ilvl w:val="0"/>
          <w:numId w:val="5"/>
        </w:numPr>
        <w:tabs>
          <w:tab w:val="left" w:pos="730"/>
          <w:tab w:val="left" w:pos="1080"/>
        </w:tabs>
        <w:spacing w:after="60" w:line="264" w:lineRule="auto"/>
        <w:ind w:firstLine="720"/>
        <w:jc w:val="both"/>
        <w:rPr>
          <w:rFonts w:cs="Times New Roman"/>
          <w:szCs w:val="24"/>
        </w:rPr>
      </w:pPr>
      <w:r w:rsidRPr="009F6D1E">
        <w:rPr>
          <w:rFonts w:cs="Times New Roman"/>
          <w:szCs w:val="24"/>
        </w:rPr>
        <w:t>Промените в нивото на подземните води, в резултат от черпенето, не е предизвикало временна или постоянна промяна в посоката на потока, включително на ограничени територии, които могат да доведат до:</w:t>
      </w:r>
    </w:p>
    <w:p w14:paraId="08C9E2A0" w14:textId="77777777" w:rsidR="00820EDA" w:rsidRPr="009F6D1E" w:rsidRDefault="000631F4" w:rsidP="0084747F">
      <w:pPr>
        <w:pStyle w:val="ListParagraph"/>
        <w:widowControl w:val="0"/>
        <w:numPr>
          <w:ilvl w:val="0"/>
          <w:numId w:val="4"/>
        </w:numPr>
        <w:spacing w:after="60" w:line="264" w:lineRule="auto"/>
        <w:ind w:left="0" w:firstLine="900"/>
        <w:jc w:val="both"/>
        <w:rPr>
          <w:rFonts w:eastAsia="Times New Roman"/>
          <w:lang w:val="bg-BG" w:eastAsia="bg-BG" w:bidi="bg-BG"/>
        </w:rPr>
      </w:pPr>
      <w:proofErr w:type="spellStart"/>
      <w:r w:rsidRPr="009F6D1E">
        <w:rPr>
          <w:rFonts w:eastAsia="Times New Roman"/>
          <w:lang w:val="bg-BG" w:eastAsia="bg-BG" w:bidi="bg-BG"/>
        </w:rPr>
        <w:t>непостигане</w:t>
      </w:r>
      <w:proofErr w:type="spellEnd"/>
      <w:r w:rsidRPr="009F6D1E">
        <w:rPr>
          <w:rFonts w:eastAsia="Times New Roman"/>
          <w:lang w:val="bg-BG" w:eastAsia="bg-BG" w:bidi="bg-BG"/>
        </w:rPr>
        <w:t xml:space="preserve"> на целите за свързаните повърхностни водни тела;</w:t>
      </w:r>
    </w:p>
    <w:p w14:paraId="4407D803" w14:textId="77777777" w:rsidR="00820EDA" w:rsidRPr="009F6D1E" w:rsidRDefault="000631F4"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значимо </w:t>
      </w:r>
      <w:r w:rsidR="00820EDA" w:rsidRPr="009F6D1E">
        <w:rPr>
          <w:rFonts w:eastAsia="Times New Roman"/>
          <w:lang w:val="bg-BG" w:eastAsia="bg-BG" w:bidi="bg-BG"/>
        </w:rPr>
        <w:t>влошаване на състоянието на повърхностните водни тела;</w:t>
      </w:r>
    </w:p>
    <w:p w14:paraId="7BF6B44B" w14:textId="77777777" w:rsidR="00820EDA" w:rsidRPr="009F6D1E" w:rsidRDefault="000631F4"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значително увреждане на сухоземните екосистеми, зависещи пряко от </w:t>
      </w:r>
      <w:proofErr w:type="spellStart"/>
      <w:r w:rsidRPr="009F6D1E">
        <w:rPr>
          <w:rFonts w:eastAsia="Times New Roman"/>
          <w:lang w:val="bg-BG" w:eastAsia="bg-BG" w:bidi="bg-BG"/>
        </w:rPr>
        <w:t>пвт</w:t>
      </w:r>
      <w:proofErr w:type="spellEnd"/>
      <w:r w:rsidRPr="009F6D1E">
        <w:rPr>
          <w:rFonts w:eastAsia="Times New Roman"/>
          <w:lang w:val="bg-BG" w:eastAsia="bg-BG" w:bidi="bg-BG"/>
        </w:rPr>
        <w:t>.</w:t>
      </w:r>
    </w:p>
    <w:p w14:paraId="426F8CD8" w14:textId="77777777" w:rsidR="00820EDA" w:rsidRPr="009F6D1E" w:rsidRDefault="000631F4"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привличане </w:t>
      </w:r>
      <w:r w:rsidR="00820EDA" w:rsidRPr="009F6D1E">
        <w:rPr>
          <w:rFonts w:eastAsia="Times New Roman"/>
          <w:lang w:val="bg-BG" w:eastAsia="bg-BG" w:bidi="bg-BG"/>
        </w:rPr>
        <w:t>(</w:t>
      </w:r>
      <w:proofErr w:type="spellStart"/>
      <w:r w:rsidR="00820EDA" w:rsidRPr="009F6D1E">
        <w:rPr>
          <w:rFonts w:eastAsia="Times New Roman"/>
          <w:lang w:val="bg-BG" w:eastAsia="bg-BG" w:bidi="bg-BG"/>
        </w:rPr>
        <w:t>интрузия</w:t>
      </w:r>
      <w:proofErr w:type="spellEnd"/>
      <w:r w:rsidR="00820EDA" w:rsidRPr="009F6D1E">
        <w:rPr>
          <w:rFonts w:eastAsia="Times New Roman"/>
          <w:lang w:val="bg-BG" w:eastAsia="bg-BG" w:bidi="bg-BG"/>
        </w:rPr>
        <w:t>) на солени води или замърсени води;</w:t>
      </w:r>
    </w:p>
    <w:p w14:paraId="4C7B0E03" w14:textId="77777777" w:rsidR="00820EDA" w:rsidRPr="009F6D1E" w:rsidRDefault="000631F4"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 xml:space="preserve">непрекъсната </w:t>
      </w:r>
      <w:r w:rsidR="00820EDA" w:rsidRPr="009F6D1E">
        <w:rPr>
          <w:rFonts w:eastAsia="Times New Roman"/>
          <w:lang w:val="bg-BG" w:eastAsia="bg-BG" w:bidi="bg-BG"/>
        </w:rPr>
        <w:t xml:space="preserve">и ясно определена антропогенна тенденция за промяна в посоката на потока, която може да доведе до </w:t>
      </w:r>
      <w:proofErr w:type="spellStart"/>
      <w:r w:rsidR="00820EDA" w:rsidRPr="009F6D1E">
        <w:rPr>
          <w:rFonts w:eastAsia="Times New Roman"/>
          <w:lang w:val="bg-BG" w:eastAsia="bg-BG" w:bidi="bg-BG"/>
        </w:rPr>
        <w:t>интрузия</w:t>
      </w:r>
      <w:proofErr w:type="spellEnd"/>
      <w:r w:rsidR="00820EDA" w:rsidRPr="009F6D1E">
        <w:rPr>
          <w:rFonts w:eastAsia="Times New Roman"/>
          <w:lang w:val="bg-BG" w:eastAsia="bg-BG" w:bidi="bg-BG"/>
        </w:rPr>
        <w:t>.</w:t>
      </w:r>
    </w:p>
    <w:p w14:paraId="27D5773C" w14:textId="77777777" w:rsidR="00820EDA" w:rsidRPr="009F6D1E" w:rsidRDefault="00820EDA" w:rsidP="0084747F">
      <w:pPr>
        <w:tabs>
          <w:tab w:val="left" w:pos="993"/>
        </w:tabs>
        <w:spacing w:after="60" w:line="264" w:lineRule="auto"/>
        <w:ind w:firstLine="720"/>
        <w:jc w:val="both"/>
        <w:rPr>
          <w:rFonts w:eastAsia="Times New Roman" w:cs="Times New Roman"/>
          <w:b/>
          <w:bCs/>
          <w:i/>
          <w:szCs w:val="24"/>
        </w:rPr>
      </w:pPr>
      <w:bookmarkStart w:id="289" w:name="bookmark150"/>
    </w:p>
    <w:p w14:paraId="434C1316"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Оценка на количественото състояние на подземните води е извършена само за ПВТ, определени в риск. Съгласно приетия подход водните тела, за които не е идентифициран риск от водочерпене, са определени в добро състояние.</w:t>
      </w:r>
    </w:p>
    <w:p w14:paraId="5885081C" w14:textId="77777777" w:rsidR="00820EDA" w:rsidRPr="009F6D1E" w:rsidRDefault="00820EDA" w:rsidP="0084747F">
      <w:pPr>
        <w:tabs>
          <w:tab w:val="left" w:pos="993"/>
        </w:tabs>
        <w:spacing w:after="60" w:line="264" w:lineRule="auto"/>
        <w:ind w:firstLine="720"/>
        <w:jc w:val="both"/>
        <w:rPr>
          <w:rFonts w:eastAsia="Times New Roman" w:cs="Times New Roman"/>
          <w:b/>
          <w:bCs/>
          <w:i/>
          <w:szCs w:val="24"/>
        </w:rPr>
      </w:pPr>
    </w:p>
    <w:p w14:paraId="02950134" w14:textId="77777777" w:rsidR="00820EDA" w:rsidRPr="009F6D1E" w:rsidRDefault="00820EDA" w:rsidP="0084747F">
      <w:pPr>
        <w:tabs>
          <w:tab w:val="left" w:pos="993"/>
        </w:tabs>
        <w:spacing w:after="60" w:line="264" w:lineRule="auto"/>
        <w:ind w:firstLine="720"/>
        <w:jc w:val="both"/>
        <w:rPr>
          <w:rFonts w:eastAsia="Times New Roman" w:cs="Times New Roman"/>
          <w:b/>
          <w:bCs/>
          <w:iCs/>
          <w:szCs w:val="24"/>
        </w:rPr>
      </w:pPr>
      <w:r w:rsidRPr="009F6D1E">
        <w:rPr>
          <w:rFonts w:eastAsia="Times New Roman" w:cs="Times New Roman"/>
          <w:b/>
          <w:bCs/>
          <w:iCs/>
          <w:szCs w:val="24"/>
        </w:rPr>
        <w:t>Количествено състояние на подземните водни тела, съгласно ПУРБ Дунавския район 2016 — 2021 г.</w:t>
      </w:r>
      <w:bookmarkEnd w:id="289"/>
    </w:p>
    <w:p w14:paraId="295BD201"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bookmarkStart w:id="290" w:name="bookmark151"/>
      <w:r w:rsidRPr="009F6D1E">
        <w:rPr>
          <w:rFonts w:eastAsia="Times New Roman" w:cs="Times New Roman"/>
          <w:szCs w:val="24"/>
        </w:rPr>
        <w:t xml:space="preserve">Използвани са данни от мониторинга на количественото състояние и данни от собствения мониторинг на водните нива във </w:t>
      </w:r>
      <w:proofErr w:type="spellStart"/>
      <w:r w:rsidRPr="009F6D1E">
        <w:rPr>
          <w:rFonts w:eastAsia="Times New Roman" w:cs="Times New Roman"/>
          <w:szCs w:val="24"/>
        </w:rPr>
        <w:t>водовземни</w:t>
      </w:r>
      <w:proofErr w:type="spellEnd"/>
      <w:r w:rsidRPr="009F6D1E">
        <w:rPr>
          <w:rFonts w:eastAsia="Times New Roman" w:cs="Times New Roman"/>
          <w:szCs w:val="24"/>
        </w:rPr>
        <w:t xml:space="preserve"> съоръжения за черпене на подземни води. Оценката е извършена на база одобрен подход. Определянето на количественото състояние е извършено въз основа на 4-ри теста, подробно описани в ПУРБ 2016-2021. В актуализирания ПУРБ всички ПВТ (100 %) са оценени е добро количествено състояние, докато в ПУРБ 2010-2015 г. 14% от ПВТ са оценени в лошо количествено състояние.</w:t>
      </w:r>
      <w:bookmarkEnd w:id="290"/>
    </w:p>
    <w:p w14:paraId="429426FD" w14:textId="77777777" w:rsidR="000631F4" w:rsidRPr="009F6D1E" w:rsidRDefault="000631F4" w:rsidP="0084747F">
      <w:pPr>
        <w:tabs>
          <w:tab w:val="left" w:pos="993"/>
        </w:tabs>
        <w:spacing w:after="60" w:line="264" w:lineRule="auto"/>
        <w:ind w:firstLine="720"/>
        <w:jc w:val="both"/>
        <w:rPr>
          <w:rFonts w:eastAsia="Times New Roman" w:cs="Times New Roman"/>
          <w:szCs w:val="24"/>
        </w:rPr>
      </w:pPr>
    </w:p>
    <w:p w14:paraId="48A89259" w14:textId="77777777" w:rsidR="00820EDA" w:rsidRPr="009F6D1E" w:rsidRDefault="00820EDA" w:rsidP="0084747F">
      <w:pPr>
        <w:tabs>
          <w:tab w:val="left" w:pos="993"/>
        </w:tabs>
        <w:spacing w:after="60" w:line="264" w:lineRule="auto"/>
        <w:ind w:firstLine="720"/>
        <w:jc w:val="both"/>
        <w:rPr>
          <w:rFonts w:eastAsia="Times New Roman" w:cs="Times New Roman"/>
          <w:b/>
          <w:bCs/>
          <w:iCs/>
          <w:szCs w:val="24"/>
        </w:rPr>
      </w:pPr>
      <w:bookmarkStart w:id="291" w:name="bookmark152"/>
      <w:r w:rsidRPr="009F6D1E">
        <w:rPr>
          <w:rFonts w:eastAsia="Times New Roman" w:cs="Times New Roman"/>
          <w:b/>
          <w:bCs/>
          <w:iCs/>
          <w:szCs w:val="24"/>
        </w:rPr>
        <w:t>Количествено състояние на подземните водни тела, съгласно ПУРБ Черноморски район 2016 — 2021 г.</w:t>
      </w:r>
      <w:bookmarkEnd w:id="291"/>
    </w:p>
    <w:p w14:paraId="06034364"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Оценката на натиска върху количественото състояние на подземните води е пряко свързано с основните параметри от баланса на подземните води: естествени ресурси, разполагаеми ресурси и свободни водни количества.</w:t>
      </w:r>
    </w:p>
    <w:p w14:paraId="463D0BC0"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bookmarkStart w:id="292" w:name="bookmark153"/>
      <w:r w:rsidRPr="009F6D1E">
        <w:rPr>
          <w:rFonts w:eastAsia="Times New Roman" w:cs="Times New Roman"/>
          <w:szCs w:val="24"/>
        </w:rPr>
        <w:t>На територията на ЧРБУ са определени шест ПВТ, които са със значим натиск от водовземане, с експлоатационен индекс &gt;40%.</w:t>
      </w:r>
      <w:bookmarkEnd w:id="292"/>
    </w:p>
    <w:p w14:paraId="119E4767" w14:textId="77777777" w:rsidR="006E6FE8" w:rsidRPr="009F6D1E" w:rsidRDefault="006E6FE8" w:rsidP="0084747F">
      <w:pPr>
        <w:tabs>
          <w:tab w:val="left" w:pos="993"/>
        </w:tabs>
        <w:spacing w:after="60" w:line="264" w:lineRule="auto"/>
        <w:ind w:firstLine="720"/>
        <w:jc w:val="both"/>
        <w:rPr>
          <w:rFonts w:eastAsia="Times New Roman" w:cs="Times New Roman"/>
          <w:b/>
          <w:bCs/>
          <w:i/>
          <w:szCs w:val="24"/>
        </w:rPr>
      </w:pPr>
      <w:bookmarkStart w:id="293" w:name="bookmark154"/>
    </w:p>
    <w:p w14:paraId="0025FB03" w14:textId="77777777" w:rsidR="00820EDA" w:rsidRPr="009F6D1E" w:rsidRDefault="00820EDA" w:rsidP="0084747F">
      <w:pPr>
        <w:tabs>
          <w:tab w:val="left" w:pos="993"/>
        </w:tabs>
        <w:spacing w:after="60" w:line="264" w:lineRule="auto"/>
        <w:ind w:firstLine="720"/>
        <w:jc w:val="both"/>
        <w:rPr>
          <w:rFonts w:eastAsia="Times New Roman" w:cs="Times New Roman"/>
          <w:b/>
          <w:bCs/>
          <w:iCs/>
          <w:szCs w:val="24"/>
        </w:rPr>
      </w:pPr>
      <w:r w:rsidRPr="009F6D1E">
        <w:rPr>
          <w:rFonts w:eastAsia="Times New Roman" w:cs="Times New Roman"/>
          <w:b/>
          <w:bCs/>
          <w:iCs/>
          <w:szCs w:val="24"/>
        </w:rPr>
        <w:t>Количествено състояние на подземните водни тела, съгласно ПУРБ Източнобеломорски район 2016 — 2021 г.</w:t>
      </w:r>
      <w:bookmarkEnd w:id="293"/>
    </w:p>
    <w:p w14:paraId="4C1B453B"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bookmarkStart w:id="294" w:name="bookmark155"/>
      <w:r w:rsidRPr="009F6D1E">
        <w:rPr>
          <w:rFonts w:eastAsia="Times New Roman" w:cs="Times New Roman"/>
          <w:szCs w:val="24"/>
        </w:rPr>
        <w:t>Като значим натиск за подземните води е определено всяко черпене или група черпения в определен район, при които експлоатационният индекс (съотношение между общото черпене от подземното водно тяло или част от подземното водно тяло и разполагаемите ресурси) е над 40%. За 3 от общо 41-те подземни водни тела в ИБР експлоатационният индекс надвишава 40%, т. е. те са подложени на значим натиск. За 4 броя ПВТ е определен експлоатационен индекс от 20% до 40% (т.е. тела във воден стрес), на територията на които има райони със значим натиск.</w:t>
      </w:r>
      <w:bookmarkEnd w:id="294"/>
    </w:p>
    <w:p w14:paraId="4D3BC98B" w14:textId="77777777" w:rsidR="000631F4" w:rsidRPr="009F6D1E" w:rsidRDefault="000631F4" w:rsidP="0084747F">
      <w:pPr>
        <w:tabs>
          <w:tab w:val="left" w:pos="993"/>
        </w:tabs>
        <w:spacing w:after="60" w:line="264" w:lineRule="auto"/>
        <w:ind w:firstLine="720"/>
        <w:jc w:val="both"/>
        <w:rPr>
          <w:rFonts w:eastAsia="Times New Roman" w:cs="Times New Roman"/>
          <w:szCs w:val="24"/>
        </w:rPr>
      </w:pPr>
    </w:p>
    <w:p w14:paraId="09AFAAF2" w14:textId="77777777" w:rsidR="00820EDA" w:rsidRPr="009F6D1E" w:rsidRDefault="00820EDA" w:rsidP="0084747F">
      <w:pPr>
        <w:spacing w:after="60" w:line="264" w:lineRule="auto"/>
        <w:rPr>
          <w:rFonts w:cs="Times New Roman"/>
          <w:sz w:val="2"/>
          <w:szCs w:val="2"/>
        </w:rPr>
      </w:pPr>
    </w:p>
    <w:p w14:paraId="333DCA66" w14:textId="77777777" w:rsidR="00820EDA" w:rsidRPr="009F6D1E" w:rsidRDefault="00820EDA" w:rsidP="0084747F">
      <w:pPr>
        <w:tabs>
          <w:tab w:val="left" w:pos="993"/>
        </w:tabs>
        <w:spacing w:after="60" w:line="264" w:lineRule="auto"/>
        <w:ind w:firstLine="720"/>
        <w:jc w:val="both"/>
        <w:rPr>
          <w:rFonts w:eastAsia="Times New Roman" w:cs="Times New Roman"/>
          <w:b/>
          <w:bCs/>
          <w:iCs/>
          <w:szCs w:val="24"/>
        </w:rPr>
      </w:pPr>
      <w:bookmarkStart w:id="295" w:name="bookmark156"/>
      <w:r w:rsidRPr="009F6D1E">
        <w:rPr>
          <w:rFonts w:eastAsia="Times New Roman" w:cs="Times New Roman"/>
          <w:b/>
          <w:bCs/>
          <w:iCs/>
          <w:szCs w:val="24"/>
        </w:rPr>
        <w:t xml:space="preserve">Количествено състояние на подземните водни тела, съгласно ПУРБ </w:t>
      </w:r>
      <w:proofErr w:type="spellStart"/>
      <w:r w:rsidRPr="009F6D1E">
        <w:rPr>
          <w:rFonts w:eastAsia="Times New Roman" w:cs="Times New Roman"/>
          <w:b/>
          <w:bCs/>
          <w:iCs/>
          <w:szCs w:val="24"/>
        </w:rPr>
        <w:t>Западнобеломорски</w:t>
      </w:r>
      <w:proofErr w:type="spellEnd"/>
      <w:r w:rsidRPr="009F6D1E">
        <w:rPr>
          <w:rFonts w:eastAsia="Times New Roman" w:cs="Times New Roman"/>
          <w:b/>
          <w:bCs/>
          <w:iCs/>
          <w:szCs w:val="24"/>
        </w:rPr>
        <w:t xml:space="preserve"> район 2016 — 2021 г.</w:t>
      </w:r>
      <w:bookmarkEnd w:id="295"/>
    </w:p>
    <w:p w14:paraId="648A85A4" w14:textId="77777777" w:rsidR="00820EDA" w:rsidRPr="009F6D1E" w:rsidRDefault="00820EDA"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От общо 38 подземни водни тела в </w:t>
      </w:r>
      <w:proofErr w:type="spellStart"/>
      <w:r w:rsidRPr="009F6D1E">
        <w:rPr>
          <w:rFonts w:eastAsia="Times New Roman" w:cs="Times New Roman"/>
          <w:szCs w:val="24"/>
        </w:rPr>
        <w:t>Западнобеломорски</w:t>
      </w:r>
      <w:proofErr w:type="spellEnd"/>
      <w:r w:rsidRPr="009F6D1E">
        <w:rPr>
          <w:rFonts w:eastAsia="Times New Roman" w:cs="Times New Roman"/>
          <w:szCs w:val="24"/>
        </w:rPr>
        <w:t xml:space="preserve"> район, 6 бр. са оценени в лошо количествено състояние, останалите 32 ПВТ са в добро количествено състояние.</w:t>
      </w:r>
    </w:p>
    <w:p w14:paraId="3135D592" w14:textId="56563CC7" w:rsidR="00820EDA" w:rsidRDefault="00820EDA" w:rsidP="0084747F">
      <w:pPr>
        <w:tabs>
          <w:tab w:val="left" w:pos="993"/>
        </w:tabs>
        <w:spacing w:after="60" w:line="264" w:lineRule="auto"/>
        <w:ind w:firstLine="720"/>
        <w:jc w:val="both"/>
        <w:rPr>
          <w:rFonts w:eastAsia="Times New Roman" w:cs="Times New Roman"/>
          <w:szCs w:val="24"/>
        </w:rPr>
      </w:pPr>
    </w:p>
    <w:p w14:paraId="45668E3C" w14:textId="1F12CEBE" w:rsidR="005B08D7" w:rsidRPr="00145AD4" w:rsidRDefault="005B08D7" w:rsidP="0084747F">
      <w:pPr>
        <w:tabs>
          <w:tab w:val="left" w:pos="993"/>
        </w:tabs>
        <w:spacing w:after="60" w:line="264" w:lineRule="auto"/>
        <w:ind w:firstLine="720"/>
        <w:jc w:val="both"/>
        <w:rPr>
          <w:rFonts w:eastAsia="Times New Roman" w:cs="Times New Roman"/>
          <w:szCs w:val="24"/>
        </w:rPr>
      </w:pPr>
      <w:r w:rsidRPr="00145AD4">
        <w:rPr>
          <w:rFonts w:eastAsia="Times New Roman" w:cs="Times New Roman"/>
          <w:szCs w:val="24"/>
        </w:rPr>
        <w:t>В изменението на дебита на изворите през периода 2010–2020 г. са установени по-добре изразени тенденции на понижение в около 69% от наблюдаваните басейни с подземни води. Отрицателните тенденции на дебита са най-значителни в Бистрец-</w:t>
      </w:r>
      <w:proofErr w:type="spellStart"/>
      <w:r w:rsidRPr="00145AD4">
        <w:rPr>
          <w:rFonts w:eastAsia="Times New Roman" w:cs="Times New Roman"/>
          <w:szCs w:val="24"/>
        </w:rPr>
        <w:t>Мътнишки</w:t>
      </w:r>
      <w:proofErr w:type="spellEnd"/>
      <w:r w:rsidRPr="00145AD4">
        <w:rPr>
          <w:rFonts w:eastAsia="Times New Roman" w:cs="Times New Roman"/>
          <w:szCs w:val="24"/>
        </w:rPr>
        <w:t xml:space="preserve">, </w:t>
      </w:r>
      <w:proofErr w:type="spellStart"/>
      <w:r w:rsidRPr="00145AD4">
        <w:rPr>
          <w:rFonts w:eastAsia="Times New Roman" w:cs="Times New Roman"/>
          <w:szCs w:val="24"/>
        </w:rPr>
        <w:t>Искрецки</w:t>
      </w:r>
      <w:proofErr w:type="spellEnd"/>
      <w:r w:rsidRPr="00145AD4">
        <w:rPr>
          <w:rFonts w:eastAsia="Times New Roman" w:cs="Times New Roman"/>
          <w:szCs w:val="24"/>
        </w:rPr>
        <w:t xml:space="preserve">, </w:t>
      </w:r>
      <w:proofErr w:type="spellStart"/>
      <w:r w:rsidRPr="00145AD4">
        <w:rPr>
          <w:rFonts w:eastAsia="Times New Roman" w:cs="Times New Roman"/>
          <w:szCs w:val="24"/>
        </w:rPr>
        <w:t>Милановски</w:t>
      </w:r>
      <w:proofErr w:type="spellEnd"/>
      <w:r w:rsidRPr="00145AD4">
        <w:rPr>
          <w:rFonts w:eastAsia="Times New Roman" w:cs="Times New Roman"/>
          <w:szCs w:val="24"/>
        </w:rPr>
        <w:t xml:space="preserve"> и Бобошево-</w:t>
      </w:r>
      <w:proofErr w:type="spellStart"/>
      <w:r w:rsidRPr="00145AD4">
        <w:rPr>
          <w:rFonts w:eastAsia="Times New Roman" w:cs="Times New Roman"/>
          <w:szCs w:val="24"/>
        </w:rPr>
        <w:t>Мърводолски</w:t>
      </w:r>
      <w:proofErr w:type="spellEnd"/>
      <w:r w:rsidRPr="00145AD4">
        <w:rPr>
          <w:rFonts w:eastAsia="Times New Roman" w:cs="Times New Roman"/>
          <w:szCs w:val="24"/>
        </w:rPr>
        <w:t xml:space="preserve"> карстови басейни, както и в басейните на Преславска </w:t>
      </w:r>
      <w:proofErr w:type="spellStart"/>
      <w:r w:rsidRPr="00145AD4">
        <w:rPr>
          <w:rFonts w:eastAsia="Times New Roman" w:cs="Times New Roman"/>
          <w:szCs w:val="24"/>
        </w:rPr>
        <w:t>антиклинала</w:t>
      </w:r>
      <w:proofErr w:type="spellEnd"/>
      <w:r w:rsidRPr="00145AD4">
        <w:rPr>
          <w:rFonts w:eastAsia="Times New Roman" w:cs="Times New Roman"/>
          <w:szCs w:val="24"/>
        </w:rPr>
        <w:t>, масива Голо Бърдо, барем-</w:t>
      </w:r>
      <w:proofErr w:type="spellStart"/>
      <w:r w:rsidRPr="00145AD4">
        <w:rPr>
          <w:rFonts w:eastAsia="Times New Roman" w:cs="Times New Roman"/>
          <w:szCs w:val="24"/>
        </w:rPr>
        <w:t>аптски</w:t>
      </w:r>
      <w:proofErr w:type="spellEnd"/>
      <w:r w:rsidRPr="00145AD4">
        <w:rPr>
          <w:rFonts w:eastAsia="Times New Roman" w:cs="Times New Roman"/>
          <w:szCs w:val="24"/>
        </w:rPr>
        <w:t xml:space="preserve"> карстово-</w:t>
      </w:r>
      <w:proofErr w:type="spellStart"/>
      <w:r w:rsidRPr="00145AD4">
        <w:rPr>
          <w:rFonts w:eastAsia="Times New Roman" w:cs="Times New Roman"/>
          <w:szCs w:val="24"/>
        </w:rPr>
        <w:t>пукнатинни</w:t>
      </w:r>
      <w:proofErr w:type="spellEnd"/>
      <w:r w:rsidRPr="00145AD4">
        <w:rPr>
          <w:rFonts w:eastAsia="Times New Roman" w:cs="Times New Roman"/>
          <w:szCs w:val="24"/>
        </w:rPr>
        <w:t xml:space="preserve"> води (Североизточна България) и </w:t>
      </w:r>
      <w:proofErr w:type="spellStart"/>
      <w:r w:rsidRPr="00145AD4">
        <w:rPr>
          <w:rFonts w:eastAsia="Times New Roman" w:cs="Times New Roman"/>
          <w:szCs w:val="24"/>
        </w:rPr>
        <w:t>Башдерменска</w:t>
      </w:r>
      <w:proofErr w:type="spellEnd"/>
      <w:r w:rsidRPr="00145AD4">
        <w:rPr>
          <w:rFonts w:eastAsia="Times New Roman" w:cs="Times New Roman"/>
          <w:szCs w:val="24"/>
        </w:rPr>
        <w:t xml:space="preserve"> </w:t>
      </w:r>
      <w:proofErr w:type="spellStart"/>
      <w:r w:rsidRPr="00145AD4">
        <w:rPr>
          <w:rFonts w:eastAsia="Times New Roman" w:cs="Times New Roman"/>
          <w:szCs w:val="24"/>
        </w:rPr>
        <w:t>синклинала</w:t>
      </w:r>
      <w:proofErr w:type="spellEnd"/>
      <w:r w:rsidRPr="00145AD4">
        <w:rPr>
          <w:rFonts w:eastAsia="Times New Roman" w:cs="Times New Roman"/>
          <w:szCs w:val="24"/>
        </w:rPr>
        <w:t>, район Странджа.</w:t>
      </w:r>
    </w:p>
    <w:p w14:paraId="0CC48E62" w14:textId="31050FCB" w:rsidR="005B08D7" w:rsidRPr="00145AD4" w:rsidRDefault="005B08D7" w:rsidP="0084747F">
      <w:pPr>
        <w:tabs>
          <w:tab w:val="left" w:pos="993"/>
        </w:tabs>
        <w:spacing w:after="60" w:line="264" w:lineRule="auto"/>
        <w:ind w:firstLine="720"/>
        <w:jc w:val="both"/>
        <w:rPr>
          <w:rFonts w:eastAsia="Times New Roman" w:cs="Times New Roman"/>
          <w:szCs w:val="24"/>
        </w:rPr>
      </w:pPr>
      <w:r w:rsidRPr="00145AD4">
        <w:rPr>
          <w:rFonts w:eastAsia="Times New Roman" w:cs="Times New Roman"/>
          <w:szCs w:val="24"/>
        </w:rPr>
        <w:t xml:space="preserve">За същия период в 22% от наблюдаваните басейни с подземни води са установени добре и слабо изразени тенденции на покачване на дебита. Положителни тенденции на дебита са установени в басейните на северното бедро на Белоградчишка </w:t>
      </w:r>
      <w:proofErr w:type="spellStart"/>
      <w:r w:rsidRPr="00145AD4">
        <w:rPr>
          <w:rFonts w:eastAsia="Times New Roman" w:cs="Times New Roman"/>
          <w:szCs w:val="24"/>
        </w:rPr>
        <w:t>антиклинала</w:t>
      </w:r>
      <w:proofErr w:type="spellEnd"/>
      <w:r w:rsidRPr="00145AD4">
        <w:rPr>
          <w:rFonts w:eastAsia="Times New Roman" w:cs="Times New Roman"/>
          <w:szCs w:val="24"/>
        </w:rPr>
        <w:t>, в Куклен-</w:t>
      </w:r>
      <w:proofErr w:type="spellStart"/>
      <w:r w:rsidRPr="00145AD4">
        <w:rPr>
          <w:rFonts w:eastAsia="Times New Roman" w:cs="Times New Roman"/>
          <w:szCs w:val="24"/>
        </w:rPr>
        <w:t>Добростански</w:t>
      </w:r>
      <w:proofErr w:type="spellEnd"/>
      <w:r w:rsidRPr="00145AD4">
        <w:rPr>
          <w:rFonts w:eastAsia="Times New Roman" w:cs="Times New Roman"/>
          <w:szCs w:val="24"/>
        </w:rPr>
        <w:t xml:space="preserve"> и в част от Разложки карстови басейни, барем-</w:t>
      </w:r>
      <w:proofErr w:type="spellStart"/>
      <w:r w:rsidRPr="00145AD4">
        <w:rPr>
          <w:rFonts w:eastAsia="Times New Roman" w:cs="Times New Roman"/>
          <w:szCs w:val="24"/>
        </w:rPr>
        <w:t>аптски</w:t>
      </w:r>
      <w:proofErr w:type="spellEnd"/>
      <w:r w:rsidRPr="00145AD4">
        <w:rPr>
          <w:rFonts w:eastAsia="Times New Roman" w:cs="Times New Roman"/>
          <w:szCs w:val="24"/>
        </w:rPr>
        <w:t xml:space="preserve"> и </w:t>
      </w:r>
      <w:proofErr w:type="spellStart"/>
      <w:r w:rsidRPr="00145AD4">
        <w:rPr>
          <w:rFonts w:eastAsia="Times New Roman" w:cs="Times New Roman"/>
          <w:szCs w:val="24"/>
        </w:rPr>
        <w:t>малм-валанжки</w:t>
      </w:r>
      <w:proofErr w:type="spellEnd"/>
      <w:r w:rsidRPr="00145AD4">
        <w:rPr>
          <w:rFonts w:eastAsia="Times New Roman" w:cs="Times New Roman"/>
          <w:szCs w:val="24"/>
        </w:rPr>
        <w:t xml:space="preserve"> водоносни комплекси на Североизточна България, както и в басейн на </w:t>
      </w:r>
      <w:proofErr w:type="spellStart"/>
      <w:r w:rsidRPr="00145AD4">
        <w:rPr>
          <w:rFonts w:eastAsia="Times New Roman" w:cs="Times New Roman"/>
          <w:szCs w:val="24"/>
        </w:rPr>
        <w:t>Стоиловска</w:t>
      </w:r>
      <w:proofErr w:type="spellEnd"/>
      <w:r w:rsidRPr="00145AD4">
        <w:rPr>
          <w:rFonts w:eastAsia="Times New Roman" w:cs="Times New Roman"/>
          <w:szCs w:val="24"/>
        </w:rPr>
        <w:t xml:space="preserve"> </w:t>
      </w:r>
      <w:proofErr w:type="spellStart"/>
      <w:r w:rsidRPr="00145AD4">
        <w:rPr>
          <w:rFonts w:eastAsia="Times New Roman" w:cs="Times New Roman"/>
          <w:szCs w:val="24"/>
        </w:rPr>
        <w:t>синклинала</w:t>
      </w:r>
      <w:proofErr w:type="spellEnd"/>
      <w:r w:rsidRPr="00145AD4">
        <w:rPr>
          <w:rFonts w:eastAsia="Times New Roman" w:cs="Times New Roman"/>
          <w:szCs w:val="24"/>
        </w:rPr>
        <w:t>, район Странджа</w:t>
      </w:r>
    </w:p>
    <w:p w14:paraId="1A12039D" w14:textId="43539ECE" w:rsidR="005B08D7" w:rsidRPr="00145AD4" w:rsidRDefault="00145AD4" w:rsidP="0084747F">
      <w:pPr>
        <w:tabs>
          <w:tab w:val="left" w:pos="993"/>
        </w:tabs>
        <w:spacing w:after="60" w:line="264" w:lineRule="auto"/>
        <w:ind w:firstLine="720"/>
        <w:jc w:val="both"/>
        <w:rPr>
          <w:rFonts w:eastAsia="Times New Roman" w:cs="Times New Roman"/>
          <w:szCs w:val="24"/>
        </w:rPr>
      </w:pPr>
      <w:r w:rsidRPr="00145AD4">
        <w:rPr>
          <w:rFonts w:eastAsia="Times New Roman" w:cs="Times New Roman"/>
          <w:szCs w:val="24"/>
        </w:rPr>
        <w:t>Без добре изразена тенденция на изменение и състояние на относителна устойчивост, за периода 2010–2020 г., е дебитът на изворите в около 9% от наблюдаваните случаи, съответно в басейн платото “Пъстрината”, в част от Разложки и Чепински карстови басейни.</w:t>
      </w:r>
    </w:p>
    <w:p w14:paraId="59915CA4" w14:textId="04A9BADA" w:rsidR="005B08D7" w:rsidRPr="005D4908" w:rsidRDefault="005D4908" w:rsidP="0084747F">
      <w:pPr>
        <w:tabs>
          <w:tab w:val="left" w:pos="993"/>
        </w:tabs>
        <w:spacing w:after="60" w:line="264" w:lineRule="auto"/>
        <w:ind w:firstLine="720"/>
        <w:jc w:val="both"/>
        <w:rPr>
          <w:rFonts w:eastAsia="Times New Roman" w:cs="Times New Roman"/>
          <w:szCs w:val="24"/>
        </w:rPr>
      </w:pPr>
      <w:r w:rsidRPr="005D4908">
        <w:rPr>
          <w:rFonts w:eastAsia="Times New Roman" w:cs="Times New Roman"/>
          <w:szCs w:val="24"/>
        </w:rPr>
        <w:t xml:space="preserve">В изменението на нивата на подземните води в периода 2010–2020 г. са установени добре изразени тенденции на спадане в 78% от наблюдаваните случаи. Най-добре изразени са отрицателните тенденции на водните нива, установени на места в терасите на реките Дунав (Видинска, </w:t>
      </w:r>
      <w:proofErr w:type="spellStart"/>
      <w:r w:rsidRPr="005D4908">
        <w:rPr>
          <w:rFonts w:eastAsia="Times New Roman" w:cs="Times New Roman"/>
          <w:szCs w:val="24"/>
        </w:rPr>
        <w:t>Карабоазка</w:t>
      </w:r>
      <w:proofErr w:type="spellEnd"/>
      <w:r w:rsidRPr="005D4908">
        <w:rPr>
          <w:rFonts w:eastAsia="Times New Roman" w:cs="Times New Roman"/>
          <w:szCs w:val="24"/>
        </w:rPr>
        <w:t xml:space="preserve"> и </w:t>
      </w:r>
      <w:proofErr w:type="spellStart"/>
      <w:r w:rsidRPr="005D4908">
        <w:rPr>
          <w:rFonts w:eastAsia="Times New Roman" w:cs="Times New Roman"/>
          <w:szCs w:val="24"/>
        </w:rPr>
        <w:t>Айдемирска</w:t>
      </w:r>
      <w:proofErr w:type="spellEnd"/>
      <w:r w:rsidRPr="005D4908">
        <w:rPr>
          <w:rFonts w:eastAsia="Times New Roman" w:cs="Times New Roman"/>
          <w:szCs w:val="24"/>
        </w:rPr>
        <w:t xml:space="preserve"> низини), Лом, Огоста, Тунджа, Марица, Факийска, Струма в части от Казанлъшка, Сливенска, Дупнишка и Кюстендилска котловини, както и в част от Горнотракийска низина.</w:t>
      </w:r>
    </w:p>
    <w:p w14:paraId="49C4B96F" w14:textId="77777777" w:rsidR="005D4908" w:rsidRPr="005D4908" w:rsidRDefault="005D4908" w:rsidP="0084747F">
      <w:pPr>
        <w:tabs>
          <w:tab w:val="left" w:pos="993"/>
        </w:tabs>
        <w:spacing w:after="60" w:line="264" w:lineRule="auto"/>
        <w:ind w:firstLine="720"/>
        <w:jc w:val="both"/>
        <w:rPr>
          <w:rFonts w:eastAsia="Times New Roman" w:cs="Times New Roman"/>
          <w:szCs w:val="24"/>
        </w:rPr>
      </w:pPr>
      <w:r w:rsidRPr="005D4908">
        <w:rPr>
          <w:rFonts w:eastAsia="Times New Roman" w:cs="Times New Roman"/>
          <w:szCs w:val="24"/>
        </w:rPr>
        <w:t xml:space="preserve">За същия годишен период в около 13% от наблюдаваните случаи са установени добре изразени тенденции на повишаване на водните нива. Най-добре изразени са положителните </w:t>
      </w:r>
      <w:r w:rsidRPr="005D4908">
        <w:rPr>
          <w:rFonts w:eastAsia="Times New Roman" w:cs="Times New Roman"/>
          <w:szCs w:val="24"/>
        </w:rPr>
        <w:lastRenderedPageBreak/>
        <w:t xml:space="preserve">тенденции на нивата установени на места в терасата на река Огоста, в част от Карловска котловина и Горнотракийска низина, както в </w:t>
      </w:r>
      <w:proofErr w:type="spellStart"/>
      <w:r w:rsidRPr="005D4908">
        <w:rPr>
          <w:rFonts w:eastAsia="Times New Roman" w:cs="Times New Roman"/>
          <w:szCs w:val="24"/>
        </w:rPr>
        <w:t>малм-валанжски</w:t>
      </w:r>
      <w:proofErr w:type="spellEnd"/>
      <w:r w:rsidRPr="005D4908">
        <w:rPr>
          <w:rFonts w:eastAsia="Times New Roman" w:cs="Times New Roman"/>
          <w:szCs w:val="24"/>
        </w:rPr>
        <w:t xml:space="preserve"> водоносен комплекс на </w:t>
      </w:r>
      <w:proofErr w:type="spellStart"/>
      <w:r w:rsidRPr="005D4908">
        <w:rPr>
          <w:rFonts w:eastAsia="Times New Roman" w:cs="Times New Roman"/>
          <w:szCs w:val="24"/>
        </w:rPr>
        <w:t>Севироизточна</w:t>
      </w:r>
      <w:proofErr w:type="spellEnd"/>
      <w:r w:rsidRPr="005D4908">
        <w:rPr>
          <w:rFonts w:eastAsia="Times New Roman" w:cs="Times New Roman"/>
          <w:szCs w:val="24"/>
        </w:rPr>
        <w:t xml:space="preserve"> България и </w:t>
      </w:r>
      <w:proofErr w:type="spellStart"/>
      <w:r w:rsidRPr="005D4908">
        <w:rPr>
          <w:rFonts w:eastAsia="Times New Roman" w:cs="Times New Roman"/>
          <w:szCs w:val="24"/>
        </w:rPr>
        <w:t>приабонска</w:t>
      </w:r>
      <w:proofErr w:type="spellEnd"/>
      <w:r w:rsidRPr="005D4908">
        <w:rPr>
          <w:rFonts w:eastAsia="Times New Roman" w:cs="Times New Roman"/>
          <w:szCs w:val="24"/>
        </w:rPr>
        <w:t xml:space="preserve"> водонапорна система на Пловдивски грабен.</w:t>
      </w:r>
    </w:p>
    <w:p w14:paraId="7E71DEE9" w14:textId="6D73E796" w:rsidR="005D4908" w:rsidRPr="005D4908" w:rsidRDefault="005D4908" w:rsidP="0084747F">
      <w:pPr>
        <w:tabs>
          <w:tab w:val="left" w:pos="993"/>
        </w:tabs>
        <w:spacing w:after="60" w:line="264" w:lineRule="auto"/>
        <w:ind w:firstLine="720"/>
        <w:jc w:val="both"/>
        <w:rPr>
          <w:rFonts w:eastAsia="Times New Roman" w:cs="Times New Roman"/>
          <w:szCs w:val="24"/>
        </w:rPr>
      </w:pPr>
      <w:r w:rsidRPr="005D4908">
        <w:rPr>
          <w:rFonts w:eastAsia="Times New Roman" w:cs="Times New Roman"/>
          <w:szCs w:val="24"/>
        </w:rPr>
        <w:t>Без добре изразени тенденции и с относителна устойчивост, в периода 2010 – 2020 г., са нивата на подземните води в около 9% от наблюдаваните случаи, установени на места в терасите на реките Русенски Лом, Искър, в части от Горнотракийска низина, Софийска котловина, от барем-</w:t>
      </w:r>
      <w:proofErr w:type="spellStart"/>
      <w:r w:rsidRPr="005D4908">
        <w:rPr>
          <w:rFonts w:eastAsia="Times New Roman" w:cs="Times New Roman"/>
          <w:szCs w:val="24"/>
        </w:rPr>
        <w:t>аптски</w:t>
      </w:r>
      <w:proofErr w:type="spellEnd"/>
      <w:r w:rsidRPr="005D4908">
        <w:rPr>
          <w:rFonts w:eastAsia="Times New Roman" w:cs="Times New Roman"/>
          <w:szCs w:val="24"/>
        </w:rPr>
        <w:t xml:space="preserve"> водоносен комплекс и от сарматски водоносен хоризонт на </w:t>
      </w:r>
      <w:proofErr w:type="spellStart"/>
      <w:r w:rsidRPr="005D4908">
        <w:rPr>
          <w:rFonts w:eastAsia="Times New Roman" w:cs="Times New Roman"/>
          <w:szCs w:val="24"/>
        </w:rPr>
        <w:t>Севироизточна</w:t>
      </w:r>
      <w:proofErr w:type="spellEnd"/>
      <w:r w:rsidRPr="005D4908">
        <w:rPr>
          <w:rFonts w:eastAsia="Times New Roman" w:cs="Times New Roman"/>
          <w:szCs w:val="24"/>
        </w:rPr>
        <w:t xml:space="preserve"> България. </w:t>
      </w:r>
    </w:p>
    <w:p w14:paraId="6D0520E6" w14:textId="77777777" w:rsidR="00820EDA" w:rsidRPr="009F6D1E" w:rsidRDefault="00820EDA" w:rsidP="0084747F">
      <w:pPr>
        <w:tabs>
          <w:tab w:val="left" w:pos="993"/>
        </w:tabs>
        <w:spacing w:after="60" w:line="264" w:lineRule="auto"/>
        <w:ind w:firstLine="720"/>
        <w:jc w:val="both"/>
        <w:rPr>
          <w:rFonts w:eastAsia="Times New Roman" w:cs="Times New Roman"/>
          <w:b/>
          <w:bCs/>
          <w:szCs w:val="24"/>
        </w:rPr>
      </w:pPr>
      <w:r w:rsidRPr="009F6D1E">
        <w:rPr>
          <w:rFonts w:eastAsia="Times New Roman" w:cs="Times New Roman"/>
          <w:b/>
          <w:bCs/>
          <w:szCs w:val="24"/>
        </w:rPr>
        <w:t>В Заключение може да се каже следното</w:t>
      </w:r>
      <w:r w:rsidR="009819DF" w:rsidRPr="009F6D1E">
        <w:rPr>
          <w:rFonts w:eastAsia="Times New Roman" w:cs="Times New Roman"/>
          <w:b/>
          <w:bCs/>
          <w:szCs w:val="24"/>
        </w:rPr>
        <w:t>:</w:t>
      </w:r>
    </w:p>
    <w:p w14:paraId="78CC1907"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9F6D1E">
        <w:rPr>
          <w:rFonts w:eastAsia="Times New Roman" w:cs="Times New Roman"/>
          <w:i/>
          <w:iCs/>
          <w:szCs w:val="24"/>
          <w:lang w:eastAsia="bg-BG" w:bidi="bg-BG"/>
        </w:rPr>
        <w:t>Подземните води представляват около 1/3 от водните ресурси в страната.</w:t>
      </w:r>
    </w:p>
    <w:p w14:paraId="48E91CF3" w14:textId="77777777" w:rsidR="00820EDA" w:rsidRPr="009F6D1E" w:rsidRDefault="00820EDA" w:rsidP="009B3DA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9F6D1E">
        <w:rPr>
          <w:rFonts w:eastAsia="Times New Roman" w:cs="Times New Roman"/>
          <w:i/>
          <w:iCs/>
          <w:szCs w:val="24"/>
          <w:lang w:eastAsia="bg-BG" w:bidi="bg-BG"/>
        </w:rPr>
        <w:t xml:space="preserve">Съгласно ПУРБ 2016 - 2021 г. на районите за басейново управление в България са обособени 169 подземни водни тела. От тях 50 на брой са в Дунавския район, 40 - в Черноморския район, 41 - в Източнобеломорския район и 38 подземни водни тела в </w:t>
      </w:r>
      <w:proofErr w:type="spellStart"/>
      <w:r w:rsidRPr="009F6D1E">
        <w:rPr>
          <w:rFonts w:eastAsia="Times New Roman" w:cs="Times New Roman"/>
          <w:i/>
          <w:iCs/>
          <w:szCs w:val="24"/>
          <w:lang w:eastAsia="bg-BG" w:bidi="bg-BG"/>
        </w:rPr>
        <w:t>Западнобеломорския</w:t>
      </w:r>
      <w:proofErr w:type="spellEnd"/>
      <w:r w:rsidRPr="009F6D1E">
        <w:rPr>
          <w:rFonts w:eastAsia="Times New Roman" w:cs="Times New Roman"/>
          <w:i/>
          <w:iCs/>
          <w:szCs w:val="24"/>
          <w:lang w:eastAsia="bg-BG" w:bidi="bg-BG"/>
        </w:rPr>
        <w:t xml:space="preserve"> район.</w:t>
      </w:r>
    </w:p>
    <w:p w14:paraId="0C338A0B" w14:textId="77777777" w:rsidR="005D4908" w:rsidRPr="005D4908" w:rsidRDefault="005D4908" w:rsidP="005D490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5D4908">
        <w:rPr>
          <w:rFonts w:eastAsia="Times New Roman" w:cs="Times New Roman"/>
          <w:i/>
          <w:iCs/>
          <w:szCs w:val="24"/>
          <w:lang w:eastAsia="bg-BG" w:bidi="bg-BG"/>
        </w:rPr>
        <w:t>В периода 2001–2020 г. се наблюдава постепенно подобряване на качеството на подземните води за по-голяма част от показателите. Процентът на пунктовете, в които средногодишните стойности надвишават стандартите за качество (СК) на подземните води, показва тенденции на намаляване за всички показатели, с изключение на нитратите. За нитратите се наблюдава слаба тенденция на повишение за целия 20-годишен период, с липса на трайна тенденция за последните десет години.</w:t>
      </w:r>
    </w:p>
    <w:p w14:paraId="30438F08" w14:textId="7B6BA02D" w:rsidR="005D4908" w:rsidRPr="005D4908" w:rsidRDefault="005D4908" w:rsidP="005D490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5D4908">
        <w:rPr>
          <w:rFonts w:eastAsia="Times New Roman" w:cs="Times New Roman"/>
          <w:i/>
          <w:iCs/>
          <w:szCs w:val="24"/>
          <w:lang w:eastAsia="bg-BG" w:bidi="bg-BG"/>
        </w:rPr>
        <w:t>В периода 2001–2020 г. средногодишните концентрации на индикаторите, изчислени спрямо средните им концентрации през 2001 г. (базова година) показват тенденция на намаление през 20-годишния период, с изключение на показателите нитрати, калций, магнезий, електропроводимост и хлориди – за които липсва изразена тенденция. Средните стойности на нитратите, които са основен замърсител за подземните води са по-ниски през целия 20-годишен период спрямо средната стойност през 2001 г., като варират между 65,97 % (за 2006 г.) до 98,4 % (за 2012 г.) спрямо базовата 2001 г.</w:t>
      </w:r>
    </w:p>
    <w:p w14:paraId="7709C956" w14:textId="274D87BD" w:rsidR="005D4908" w:rsidRPr="005D4908" w:rsidRDefault="005D4908" w:rsidP="005D490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5D4908">
        <w:rPr>
          <w:rFonts w:eastAsia="Times New Roman" w:cs="Times New Roman"/>
          <w:i/>
          <w:iCs/>
          <w:szCs w:val="24"/>
          <w:lang w:eastAsia="bg-BG" w:bidi="bg-BG"/>
        </w:rPr>
        <w:t>Трендовете на изменение на нитратното съдържание в подземните води за двата четиригодишни периода 2013 – 2016 г. и 2017 – 2020 г., показват, че при всички типове подземни води, без 1а (ниво на подземните води 5-15</w:t>
      </w:r>
      <w:r>
        <w:rPr>
          <w:rFonts w:eastAsia="Times New Roman" w:cs="Times New Roman"/>
          <w:i/>
          <w:iCs/>
          <w:szCs w:val="24"/>
          <w:lang w:val="en-US" w:eastAsia="bg-BG" w:bidi="bg-BG"/>
        </w:rPr>
        <w:t>m</w:t>
      </w:r>
      <w:r w:rsidRPr="005D4908">
        <w:rPr>
          <w:rFonts w:eastAsia="Times New Roman" w:cs="Times New Roman"/>
          <w:i/>
          <w:iCs/>
          <w:szCs w:val="24"/>
          <w:lang w:eastAsia="bg-BG" w:bidi="bg-BG"/>
        </w:rPr>
        <w:t>), и 1b (ниво на подземните води 15-30</w:t>
      </w:r>
      <w:r>
        <w:rPr>
          <w:rFonts w:eastAsia="Times New Roman" w:cs="Times New Roman"/>
          <w:i/>
          <w:iCs/>
          <w:szCs w:val="24"/>
          <w:lang w:val="en-US" w:eastAsia="bg-BG" w:bidi="bg-BG"/>
        </w:rPr>
        <w:t>m</w:t>
      </w:r>
      <w:r w:rsidRPr="005D4908">
        <w:rPr>
          <w:rFonts w:eastAsia="Times New Roman" w:cs="Times New Roman"/>
          <w:i/>
          <w:iCs/>
          <w:szCs w:val="24"/>
          <w:lang w:eastAsia="bg-BG" w:bidi="bg-BG"/>
        </w:rPr>
        <w:t>), преобладават процентите на пунктовете с незначителни изменения на концентрациите на нитрати.</w:t>
      </w:r>
      <w:r>
        <w:rPr>
          <w:rFonts w:eastAsia="Times New Roman" w:cs="Times New Roman"/>
          <w:i/>
          <w:iCs/>
          <w:szCs w:val="24"/>
          <w:lang w:eastAsia="bg-BG" w:bidi="bg-BG"/>
        </w:rPr>
        <w:t xml:space="preserve"> </w:t>
      </w:r>
      <w:r w:rsidRPr="005D4908">
        <w:rPr>
          <w:rFonts w:eastAsia="Times New Roman" w:cs="Times New Roman"/>
          <w:i/>
          <w:iCs/>
          <w:szCs w:val="24"/>
          <w:lang w:eastAsia="bg-BG" w:bidi="bg-BG"/>
        </w:rPr>
        <w:t>В сравнение с другите типове подземни води - най-висок е процентът на пунктовете със силно увеличение на концентрациите на нитрати (24,3% от всички пунктове) при най-плитките разкрити подземни води – тип 0 (водно ниво по-малко от 5м).</w:t>
      </w:r>
    </w:p>
    <w:p w14:paraId="73B55EDD" w14:textId="2B2C1456" w:rsidR="005D4908" w:rsidRPr="005D4908" w:rsidRDefault="005D4908" w:rsidP="005D4908">
      <w:pPr>
        <w:widowControl w:val="0"/>
        <w:numPr>
          <w:ilvl w:val="0"/>
          <w:numId w:val="5"/>
        </w:numPr>
        <w:tabs>
          <w:tab w:val="left" w:pos="720"/>
          <w:tab w:val="left" w:pos="1080"/>
        </w:tabs>
        <w:spacing w:after="60" w:line="264" w:lineRule="auto"/>
        <w:ind w:firstLine="720"/>
        <w:jc w:val="both"/>
        <w:rPr>
          <w:rFonts w:eastAsia="Times New Roman" w:cs="Times New Roman"/>
          <w:i/>
          <w:iCs/>
          <w:szCs w:val="24"/>
          <w:lang w:eastAsia="bg-BG" w:bidi="bg-BG"/>
        </w:rPr>
      </w:pPr>
      <w:r w:rsidRPr="005D4908">
        <w:rPr>
          <w:rFonts w:eastAsia="Times New Roman" w:cs="Times New Roman"/>
          <w:i/>
          <w:iCs/>
          <w:szCs w:val="24"/>
          <w:lang w:eastAsia="bg-BG" w:bidi="bg-BG"/>
        </w:rPr>
        <w:t xml:space="preserve">От анализа на данните за измерени водни нива в кладенци и измерени дебити на извори за периода 2009–2019 г. преобладават добре изразени тенденции на понижение, както в дебита на изворите (69%) така и в нивата на кладенците (78%) от всички наблюдавани пунктове. Положителни тенденциите на покачване на дебита на изворите и повишение на нивата на кладенците са установени в 22 % от изворите и в 13 % от кладенците. Без добре </w:t>
      </w:r>
      <w:r w:rsidRPr="005D4908">
        <w:rPr>
          <w:rFonts w:eastAsia="Times New Roman" w:cs="Times New Roman"/>
          <w:i/>
          <w:iCs/>
          <w:szCs w:val="24"/>
          <w:lang w:eastAsia="bg-BG" w:bidi="bg-BG"/>
        </w:rPr>
        <w:lastRenderedPageBreak/>
        <w:t>изразени тенденции на изменение (в състояние на относителна устойчивост) е бил дебитът на изворите в около 9% от наблюдаваните извори и нивата на подземните води в 9% от наблюдаваните кладенци.</w:t>
      </w:r>
    </w:p>
    <w:p w14:paraId="4DB32D38" w14:textId="77777777" w:rsidR="00DC0401" w:rsidRPr="009F6D1E" w:rsidRDefault="00DC0401" w:rsidP="0084747F">
      <w:pPr>
        <w:spacing w:after="60" w:line="264" w:lineRule="auto"/>
        <w:contextualSpacing/>
        <w:jc w:val="both"/>
        <w:rPr>
          <w:rFonts w:eastAsia="Calibri" w:cs="Times New Roman"/>
          <w:b/>
          <w:bCs/>
          <w:i/>
          <w:iCs/>
          <w:szCs w:val="24"/>
        </w:rPr>
      </w:pPr>
    </w:p>
    <w:p w14:paraId="6DDA942F" w14:textId="77777777" w:rsidR="00471E9F" w:rsidRPr="009F6D1E" w:rsidRDefault="00471E9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296" w:name="_Toc115254995"/>
      <w:r w:rsidRPr="009F6D1E">
        <w:rPr>
          <w:smallCaps w:val="0"/>
          <w:lang w:bidi="ar-SA"/>
        </w:rPr>
        <w:t>Геоложка среда, земни недра, Сеизмична опасност</w:t>
      </w:r>
      <w:bookmarkEnd w:id="296"/>
    </w:p>
    <w:p w14:paraId="310692B8" w14:textId="77777777" w:rsidR="006D0681" w:rsidRDefault="006D0681" w:rsidP="00B55D53">
      <w:pPr>
        <w:suppressAutoHyphens/>
        <w:autoSpaceDN w:val="0"/>
        <w:spacing w:after="60" w:line="264" w:lineRule="auto"/>
        <w:ind w:firstLine="708"/>
        <w:jc w:val="both"/>
        <w:rPr>
          <w:rFonts w:eastAsia="Calibri" w:cs="Times New Roman"/>
          <w:szCs w:val="24"/>
        </w:rPr>
      </w:pPr>
    </w:p>
    <w:p w14:paraId="7573BCEB" w14:textId="1CE5A563"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В геоложката история на България се отделят следните етапи с различна физикогеографска специфика: </w:t>
      </w:r>
      <w:proofErr w:type="spellStart"/>
      <w:r w:rsidRPr="009F6D1E">
        <w:rPr>
          <w:rFonts w:eastAsia="Calibri" w:cs="Times New Roman"/>
          <w:szCs w:val="24"/>
        </w:rPr>
        <w:t>предпалеозойски</w:t>
      </w:r>
      <w:proofErr w:type="spellEnd"/>
      <w:r w:rsidRPr="009F6D1E">
        <w:rPr>
          <w:rFonts w:eastAsia="Calibri" w:cs="Times New Roman"/>
          <w:szCs w:val="24"/>
        </w:rPr>
        <w:t xml:space="preserve"> (докамбрийски), </w:t>
      </w:r>
      <w:proofErr w:type="spellStart"/>
      <w:r w:rsidRPr="009F6D1E">
        <w:rPr>
          <w:rFonts w:eastAsia="Calibri" w:cs="Times New Roman"/>
          <w:szCs w:val="24"/>
        </w:rPr>
        <w:t>каледоно-херцински</w:t>
      </w:r>
      <w:proofErr w:type="spellEnd"/>
      <w:r w:rsidRPr="009F6D1E">
        <w:rPr>
          <w:rFonts w:eastAsia="Calibri" w:cs="Times New Roman"/>
          <w:szCs w:val="24"/>
        </w:rPr>
        <w:t xml:space="preserve">, алпийски и неотектонски. Те обхващат сравнително дълги периоди от време, в течение на които физикогеографските условия са се изменяли. Особеностите на </w:t>
      </w:r>
      <w:proofErr w:type="spellStart"/>
      <w:r w:rsidRPr="009F6D1E">
        <w:rPr>
          <w:rFonts w:eastAsia="Calibri" w:cs="Times New Roman"/>
          <w:szCs w:val="24"/>
        </w:rPr>
        <w:t>природногеографската</w:t>
      </w:r>
      <w:proofErr w:type="spellEnd"/>
      <w:r w:rsidRPr="009F6D1E">
        <w:rPr>
          <w:rFonts w:eastAsia="Calibri" w:cs="Times New Roman"/>
          <w:szCs w:val="24"/>
        </w:rPr>
        <w:t xml:space="preserve"> обстановка през тези етапи са се отразили върху характера и разпространението на различни по възраст скални комплекси, установени в страната.</w:t>
      </w:r>
    </w:p>
    <w:p w14:paraId="7423684C" w14:textId="77777777"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Територията на България попада в младата Алпийско – Хималайска нагъната област и Мизийската платформа. Ясно се различават: Мизийска плоча, </w:t>
      </w:r>
      <w:proofErr w:type="spellStart"/>
      <w:r w:rsidRPr="009F6D1E">
        <w:rPr>
          <w:rFonts w:eastAsia="Calibri" w:cs="Times New Roman"/>
          <w:szCs w:val="24"/>
        </w:rPr>
        <w:t>Балканиди</w:t>
      </w:r>
      <w:proofErr w:type="spellEnd"/>
      <w:r w:rsidRPr="009F6D1E">
        <w:rPr>
          <w:rFonts w:eastAsia="Calibri" w:cs="Times New Roman"/>
          <w:szCs w:val="24"/>
        </w:rPr>
        <w:t xml:space="preserve">, </w:t>
      </w:r>
      <w:proofErr w:type="spellStart"/>
      <w:r w:rsidRPr="009F6D1E">
        <w:rPr>
          <w:rFonts w:eastAsia="Calibri" w:cs="Times New Roman"/>
          <w:szCs w:val="24"/>
        </w:rPr>
        <w:t>Краищиди</w:t>
      </w:r>
      <w:proofErr w:type="spellEnd"/>
      <w:r w:rsidRPr="009F6D1E">
        <w:rPr>
          <w:rFonts w:eastAsia="Calibri" w:cs="Times New Roman"/>
          <w:szCs w:val="24"/>
        </w:rPr>
        <w:t>, Рило-Родопски масив и част от Сръбско-Македонския масив.</w:t>
      </w:r>
    </w:p>
    <w:p w14:paraId="0D651F3A" w14:textId="77777777"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Мизийската плоча, заемаща Дунавската равнина, има блокова структура. Тя е представена от два структурни комплекса:</w:t>
      </w:r>
    </w:p>
    <w:p w14:paraId="7B6BB208" w14:textId="77777777" w:rsidR="00CE63FB" w:rsidRPr="009F6D1E" w:rsidRDefault="00CE63FB" w:rsidP="00B55D53">
      <w:pPr>
        <w:autoSpaceDE w:val="0"/>
        <w:autoSpaceDN w:val="0"/>
        <w:spacing w:after="60" w:line="264" w:lineRule="auto"/>
        <w:jc w:val="both"/>
        <w:rPr>
          <w:rFonts w:eastAsia="Calibri" w:cs="Times New Roman"/>
          <w:szCs w:val="24"/>
        </w:rPr>
      </w:pPr>
    </w:p>
    <w:p w14:paraId="6D99E56C" w14:textId="77777777" w:rsidR="00CE63FB" w:rsidRPr="009F6D1E" w:rsidRDefault="00CE63FB">
      <w:pPr>
        <w:numPr>
          <w:ilvl w:val="0"/>
          <w:numId w:val="66"/>
        </w:numPr>
        <w:suppressAutoHyphens/>
        <w:autoSpaceDN w:val="0"/>
        <w:spacing w:after="60" w:line="264" w:lineRule="auto"/>
        <w:jc w:val="both"/>
        <w:rPr>
          <w:rFonts w:eastAsia="Calibri" w:cs="Times New Roman"/>
          <w:szCs w:val="24"/>
        </w:rPr>
      </w:pPr>
      <w:r w:rsidRPr="009F6D1E">
        <w:rPr>
          <w:rFonts w:eastAsia="Calibri" w:cs="Times New Roman"/>
          <w:szCs w:val="24"/>
        </w:rPr>
        <w:t xml:space="preserve">Долен, изграден от </w:t>
      </w:r>
      <w:proofErr w:type="spellStart"/>
      <w:r w:rsidRPr="009F6D1E">
        <w:rPr>
          <w:rFonts w:eastAsia="Calibri" w:cs="Times New Roman"/>
          <w:szCs w:val="24"/>
        </w:rPr>
        <w:t>къснопалеозойски</w:t>
      </w:r>
      <w:proofErr w:type="spellEnd"/>
      <w:r w:rsidRPr="009F6D1E">
        <w:rPr>
          <w:rFonts w:eastAsia="Calibri" w:cs="Times New Roman"/>
          <w:szCs w:val="24"/>
        </w:rPr>
        <w:t xml:space="preserve"> скали; </w:t>
      </w:r>
    </w:p>
    <w:p w14:paraId="44035EA3" w14:textId="77777777" w:rsidR="00CE63FB" w:rsidRPr="009F6D1E" w:rsidRDefault="00CE63FB">
      <w:pPr>
        <w:numPr>
          <w:ilvl w:val="0"/>
          <w:numId w:val="66"/>
        </w:numPr>
        <w:suppressAutoHyphens/>
        <w:autoSpaceDN w:val="0"/>
        <w:spacing w:after="60" w:line="264" w:lineRule="auto"/>
        <w:jc w:val="both"/>
        <w:rPr>
          <w:rFonts w:eastAsia="Calibri" w:cs="Times New Roman"/>
          <w:szCs w:val="24"/>
        </w:rPr>
      </w:pPr>
      <w:r w:rsidRPr="009F6D1E">
        <w:rPr>
          <w:rFonts w:eastAsia="Calibri" w:cs="Times New Roman"/>
          <w:szCs w:val="24"/>
        </w:rPr>
        <w:t xml:space="preserve">Горен, изграден от раннопалеозойски, мезозойски и </w:t>
      </w:r>
      <w:proofErr w:type="spellStart"/>
      <w:r w:rsidRPr="009F6D1E">
        <w:rPr>
          <w:rFonts w:eastAsia="Calibri" w:cs="Times New Roman"/>
          <w:szCs w:val="24"/>
        </w:rPr>
        <w:t>кайнозойски</w:t>
      </w:r>
      <w:proofErr w:type="spellEnd"/>
      <w:r w:rsidRPr="009F6D1E">
        <w:rPr>
          <w:rFonts w:eastAsia="Calibri" w:cs="Times New Roman"/>
          <w:szCs w:val="24"/>
        </w:rPr>
        <w:t xml:space="preserve"> комплекси. В него са разкрити находища от нефт, газ, въглища, огнеупорни глини, каолин, гипс и манган. </w:t>
      </w:r>
    </w:p>
    <w:p w14:paraId="50527D8A" w14:textId="77777777" w:rsidR="00CE63FB" w:rsidRPr="009F6D1E" w:rsidRDefault="00CE63FB" w:rsidP="00B55D53">
      <w:pPr>
        <w:suppressAutoHyphens/>
        <w:autoSpaceDN w:val="0"/>
        <w:spacing w:after="60" w:line="264" w:lineRule="auto"/>
        <w:ind w:firstLine="708"/>
        <w:jc w:val="both"/>
        <w:rPr>
          <w:rFonts w:eastAsia="Calibri" w:cs="Times New Roman"/>
          <w:szCs w:val="24"/>
        </w:rPr>
      </w:pPr>
      <w:proofErr w:type="spellStart"/>
      <w:r w:rsidRPr="009F6D1E">
        <w:rPr>
          <w:rFonts w:eastAsia="Calibri" w:cs="Times New Roman"/>
          <w:szCs w:val="24"/>
        </w:rPr>
        <w:t>Балканидите</w:t>
      </w:r>
      <w:proofErr w:type="spellEnd"/>
      <w:r w:rsidRPr="009F6D1E">
        <w:rPr>
          <w:rFonts w:eastAsia="Calibri" w:cs="Times New Roman"/>
          <w:szCs w:val="24"/>
        </w:rPr>
        <w:t xml:space="preserve"> представляват сложна нагъната система, формирана от края на </w:t>
      </w:r>
      <w:proofErr w:type="spellStart"/>
      <w:r w:rsidRPr="009F6D1E">
        <w:rPr>
          <w:rFonts w:eastAsia="Calibri" w:cs="Times New Roman"/>
          <w:szCs w:val="24"/>
        </w:rPr>
        <w:t>палеозоя</w:t>
      </w:r>
      <w:proofErr w:type="spellEnd"/>
      <w:r w:rsidRPr="009F6D1E">
        <w:rPr>
          <w:rFonts w:eastAsia="Calibri" w:cs="Times New Roman"/>
          <w:szCs w:val="24"/>
        </w:rPr>
        <w:t xml:space="preserve"> до </w:t>
      </w:r>
      <w:proofErr w:type="spellStart"/>
      <w:r w:rsidRPr="009F6D1E">
        <w:rPr>
          <w:rFonts w:eastAsia="Calibri" w:cs="Times New Roman"/>
          <w:szCs w:val="24"/>
        </w:rPr>
        <w:t>неогена</w:t>
      </w:r>
      <w:proofErr w:type="spellEnd"/>
      <w:r w:rsidRPr="009F6D1E">
        <w:rPr>
          <w:rFonts w:eastAsia="Calibri" w:cs="Times New Roman"/>
          <w:szCs w:val="24"/>
        </w:rPr>
        <w:t xml:space="preserve">. Отличават се с интензивни </w:t>
      </w:r>
      <w:proofErr w:type="spellStart"/>
      <w:r w:rsidRPr="009F6D1E">
        <w:rPr>
          <w:rFonts w:eastAsia="Calibri" w:cs="Times New Roman"/>
          <w:szCs w:val="24"/>
        </w:rPr>
        <w:t>нагъвателни</w:t>
      </w:r>
      <w:proofErr w:type="spellEnd"/>
      <w:r w:rsidRPr="009F6D1E">
        <w:rPr>
          <w:rFonts w:eastAsia="Calibri" w:cs="Times New Roman"/>
          <w:szCs w:val="24"/>
        </w:rPr>
        <w:t xml:space="preserve"> процеси, внедряване на </w:t>
      </w:r>
      <w:proofErr w:type="spellStart"/>
      <w:r w:rsidRPr="009F6D1E">
        <w:rPr>
          <w:rFonts w:eastAsia="Calibri" w:cs="Times New Roman"/>
          <w:szCs w:val="24"/>
        </w:rPr>
        <w:t>плутонични</w:t>
      </w:r>
      <w:proofErr w:type="spellEnd"/>
      <w:r w:rsidRPr="009F6D1E">
        <w:rPr>
          <w:rFonts w:eastAsia="Calibri" w:cs="Times New Roman"/>
          <w:szCs w:val="24"/>
        </w:rPr>
        <w:t xml:space="preserve"> тела, активна вулканична дейност, хоризонтални и вертикални движения на земната кора с голяма амплитуда. Към тях през различните геоложки периоди са били присъединявани части от съседни области. </w:t>
      </w:r>
      <w:proofErr w:type="spellStart"/>
      <w:r w:rsidRPr="009F6D1E">
        <w:rPr>
          <w:rFonts w:eastAsia="Calibri" w:cs="Times New Roman"/>
          <w:szCs w:val="24"/>
        </w:rPr>
        <w:t>Балканидите</w:t>
      </w:r>
      <w:proofErr w:type="spellEnd"/>
      <w:r w:rsidRPr="009F6D1E">
        <w:rPr>
          <w:rFonts w:eastAsia="Calibri" w:cs="Times New Roman"/>
          <w:szCs w:val="24"/>
        </w:rPr>
        <w:t xml:space="preserve">, в частта им Западен Предбалкан и Западна Стара планина, са изградени от </w:t>
      </w:r>
      <w:proofErr w:type="spellStart"/>
      <w:r w:rsidRPr="009F6D1E">
        <w:rPr>
          <w:rFonts w:eastAsia="Calibri" w:cs="Times New Roman"/>
          <w:szCs w:val="24"/>
        </w:rPr>
        <w:t>гънкови</w:t>
      </w:r>
      <w:proofErr w:type="spellEnd"/>
      <w:r w:rsidRPr="009F6D1E">
        <w:rPr>
          <w:rFonts w:eastAsia="Calibri" w:cs="Times New Roman"/>
          <w:szCs w:val="24"/>
        </w:rPr>
        <w:t xml:space="preserve"> структури /така наречения </w:t>
      </w:r>
      <w:proofErr w:type="spellStart"/>
      <w:r w:rsidRPr="009F6D1E">
        <w:rPr>
          <w:rFonts w:eastAsia="Calibri" w:cs="Times New Roman"/>
          <w:szCs w:val="24"/>
        </w:rPr>
        <w:t>юротипен</w:t>
      </w:r>
      <w:proofErr w:type="spellEnd"/>
      <w:r w:rsidRPr="009F6D1E">
        <w:rPr>
          <w:rFonts w:eastAsia="Calibri" w:cs="Times New Roman"/>
          <w:szCs w:val="24"/>
        </w:rPr>
        <w:t xml:space="preserve"> релеф/, образувани предимно през </w:t>
      </w:r>
      <w:proofErr w:type="spellStart"/>
      <w:r w:rsidRPr="009F6D1E">
        <w:rPr>
          <w:rFonts w:eastAsia="Calibri" w:cs="Times New Roman"/>
          <w:szCs w:val="24"/>
        </w:rPr>
        <w:t>палеогена</w:t>
      </w:r>
      <w:proofErr w:type="spellEnd"/>
      <w:r w:rsidRPr="009F6D1E">
        <w:rPr>
          <w:rFonts w:eastAsia="Calibri" w:cs="Times New Roman"/>
          <w:szCs w:val="24"/>
        </w:rPr>
        <w:t xml:space="preserve">. Състоят се от </w:t>
      </w:r>
      <w:proofErr w:type="spellStart"/>
      <w:r w:rsidRPr="009F6D1E">
        <w:rPr>
          <w:rFonts w:eastAsia="Calibri" w:cs="Times New Roman"/>
          <w:szCs w:val="24"/>
        </w:rPr>
        <w:t>домезозойски</w:t>
      </w:r>
      <w:proofErr w:type="spellEnd"/>
      <w:r w:rsidRPr="009F6D1E">
        <w:rPr>
          <w:rFonts w:eastAsia="Calibri" w:cs="Times New Roman"/>
          <w:szCs w:val="24"/>
        </w:rPr>
        <w:t xml:space="preserve"> и мезозойски скали. Със сложен геоложки строеж се отличават и Централният и Източен Предбалкан. В края на долната креда и през </w:t>
      </w:r>
      <w:proofErr w:type="spellStart"/>
      <w:r w:rsidRPr="009F6D1E">
        <w:rPr>
          <w:rFonts w:eastAsia="Calibri" w:cs="Times New Roman"/>
          <w:szCs w:val="24"/>
        </w:rPr>
        <w:t>палеогена</w:t>
      </w:r>
      <w:proofErr w:type="spellEnd"/>
      <w:r w:rsidRPr="009F6D1E">
        <w:rPr>
          <w:rFonts w:eastAsia="Calibri" w:cs="Times New Roman"/>
          <w:szCs w:val="24"/>
        </w:rPr>
        <w:t xml:space="preserve"> са били подложени на нагъване. В резултат, върху мезозойските седиментни скали са били навлечени от юг по-стари палеозойски гранитни маси /</w:t>
      </w:r>
      <w:proofErr w:type="spellStart"/>
      <w:r w:rsidRPr="009F6D1E">
        <w:rPr>
          <w:rFonts w:eastAsia="Calibri" w:cs="Times New Roman"/>
          <w:szCs w:val="24"/>
        </w:rPr>
        <w:t>Ботеввръшки</w:t>
      </w:r>
      <w:proofErr w:type="spellEnd"/>
      <w:r w:rsidRPr="009F6D1E">
        <w:rPr>
          <w:rFonts w:eastAsia="Calibri" w:cs="Times New Roman"/>
          <w:szCs w:val="24"/>
        </w:rPr>
        <w:t xml:space="preserve"> гранитен </w:t>
      </w:r>
      <w:proofErr w:type="spellStart"/>
      <w:r w:rsidRPr="009F6D1E">
        <w:rPr>
          <w:rFonts w:eastAsia="Calibri" w:cs="Times New Roman"/>
          <w:szCs w:val="24"/>
        </w:rPr>
        <w:t>навлак</w:t>
      </w:r>
      <w:proofErr w:type="spellEnd"/>
      <w:r w:rsidRPr="009F6D1E">
        <w:rPr>
          <w:rFonts w:eastAsia="Calibri" w:cs="Times New Roman"/>
          <w:szCs w:val="24"/>
        </w:rPr>
        <w:t>/.</w:t>
      </w:r>
    </w:p>
    <w:p w14:paraId="07A6E74F" w14:textId="77777777"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В Западно-Балканската и Източно-Балканската зони са открити находища от железни руди, мед, олово, цинк, както и на каменни въглища. В Средногорската зона – медни находища. В Странджа-Сакар залягат находища от железни, медни, оловни и цинкови руди.</w:t>
      </w:r>
    </w:p>
    <w:p w14:paraId="290482D0" w14:textId="77777777" w:rsidR="00CE63FB" w:rsidRPr="009F6D1E" w:rsidRDefault="00CE63FB" w:rsidP="00B55D53">
      <w:pPr>
        <w:suppressAutoHyphens/>
        <w:autoSpaceDN w:val="0"/>
        <w:spacing w:after="60" w:line="264" w:lineRule="auto"/>
        <w:ind w:firstLine="708"/>
        <w:jc w:val="both"/>
        <w:rPr>
          <w:rFonts w:eastAsia="Calibri" w:cs="Times New Roman"/>
          <w:szCs w:val="24"/>
        </w:rPr>
      </w:pPr>
      <w:proofErr w:type="spellStart"/>
      <w:r w:rsidRPr="009F6D1E">
        <w:rPr>
          <w:rFonts w:eastAsia="Calibri" w:cs="Times New Roman"/>
          <w:szCs w:val="24"/>
        </w:rPr>
        <w:t>Крайщенската</w:t>
      </w:r>
      <w:proofErr w:type="spellEnd"/>
      <w:r w:rsidRPr="009F6D1E">
        <w:rPr>
          <w:rFonts w:eastAsia="Calibri" w:cs="Times New Roman"/>
          <w:szCs w:val="24"/>
        </w:rPr>
        <w:t xml:space="preserve"> област има сложен </w:t>
      </w:r>
      <w:proofErr w:type="spellStart"/>
      <w:r w:rsidRPr="009F6D1E">
        <w:rPr>
          <w:rFonts w:eastAsia="Calibri" w:cs="Times New Roman"/>
          <w:szCs w:val="24"/>
        </w:rPr>
        <w:t>гънково</w:t>
      </w:r>
      <w:proofErr w:type="spellEnd"/>
      <w:r w:rsidRPr="009F6D1E">
        <w:rPr>
          <w:rFonts w:eastAsia="Calibri" w:cs="Times New Roman"/>
          <w:szCs w:val="24"/>
        </w:rPr>
        <w:t xml:space="preserve">-навлачен строеж. Изградена е от метаморфни и магмени скали. През </w:t>
      </w:r>
      <w:proofErr w:type="spellStart"/>
      <w:r w:rsidRPr="009F6D1E">
        <w:rPr>
          <w:rFonts w:eastAsia="Calibri" w:cs="Times New Roman"/>
          <w:szCs w:val="24"/>
        </w:rPr>
        <w:t>палеогена</w:t>
      </w:r>
      <w:proofErr w:type="spellEnd"/>
      <w:r w:rsidRPr="009F6D1E">
        <w:rPr>
          <w:rFonts w:eastAsia="Calibri" w:cs="Times New Roman"/>
          <w:szCs w:val="24"/>
        </w:rPr>
        <w:t xml:space="preserve"> земната кора е била разделена от разломи с направление СЗ - ЮИ. В резултат на това са се образували </w:t>
      </w:r>
      <w:proofErr w:type="spellStart"/>
      <w:r w:rsidRPr="009F6D1E">
        <w:rPr>
          <w:rFonts w:eastAsia="Calibri" w:cs="Times New Roman"/>
          <w:szCs w:val="24"/>
        </w:rPr>
        <w:t>грабенови</w:t>
      </w:r>
      <w:proofErr w:type="spellEnd"/>
      <w:r w:rsidRPr="009F6D1E">
        <w:rPr>
          <w:rFonts w:eastAsia="Calibri" w:cs="Times New Roman"/>
          <w:szCs w:val="24"/>
        </w:rPr>
        <w:t xml:space="preserve"> понижения, изпълнени с млади седиментни скали. </w:t>
      </w:r>
    </w:p>
    <w:p w14:paraId="2D1B397C" w14:textId="77777777"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lastRenderedPageBreak/>
        <w:t xml:space="preserve">Рило-Родопският масив е изграден от система </w:t>
      </w:r>
      <w:proofErr w:type="spellStart"/>
      <w:r w:rsidRPr="009F6D1E">
        <w:rPr>
          <w:rFonts w:eastAsia="Calibri" w:cs="Times New Roman"/>
          <w:szCs w:val="24"/>
        </w:rPr>
        <w:t>навлачни</w:t>
      </w:r>
      <w:proofErr w:type="spellEnd"/>
      <w:r w:rsidRPr="009F6D1E">
        <w:rPr>
          <w:rFonts w:eastAsia="Calibri" w:cs="Times New Roman"/>
          <w:szCs w:val="24"/>
        </w:rPr>
        <w:t xml:space="preserve"> структури, съставени от магмени и метаморфни скали /гранити, </w:t>
      </w:r>
      <w:proofErr w:type="spellStart"/>
      <w:r w:rsidRPr="009F6D1E">
        <w:rPr>
          <w:rFonts w:eastAsia="Calibri" w:cs="Times New Roman"/>
          <w:szCs w:val="24"/>
        </w:rPr>
        <w:t>гнайси</w:t>
      </w:r>
      <w:proofErr w:type="spellEnd"/>
      <w:r w:rsidRPr="009F6D1E">
        <w:rPr>
          <w:rFonts w:eastAsia="Calibri" w:cs="Times New Roman"/>
          <w:szCs w:val="24"/>
        </w:rPr>
        <w:t xml:space="preserve">, шисти, мрамори и </w:t>
      </w:r>
      <w:proofErr w:type="spellStart"/>
      <w:r w:rsidRPr="009F6D1E">
        <w:rPr>
          <w:rFonts w:eastAsia="Calibri" w:cs="Times New Roman"/>
          <w:szCs w:val="24"/>
        </w:rPr>
        <w:t>др</w:t>
      </w:r>
      <w:proofErr w:type="spellEnd"/>
      <w:r w:rsidRPr="009F6D1E">
        <w:rPr>
          <w:rFonts w:eastAsia="Calibri" w:cs="Times New Roman"/>
          <w:szCs w:val="24"/>
        </w:rPr>
        <w:t xml:space="preserve">/ и оформени в края на ранната креда. След внедряване на </w:t>
      </w:r>
      <w:proofErr w:type="spellStart"/>
      <w:r w:rsidRPr="009F6D1E">
        <w:rPr>
          <w:rFonts w:eastAsia="Calibri" w:cs="Times New Roman"/>
          <w:szCs w:val="24"/>
        </w:rPr>
        <w:t>гранитоидните</w:t>
      </w:r>
      <w:proofErr w:type="spellEnd"/>
      <w:r w:rsidRPr="009F6D1E">
        <w:rPr>
          <w:rFonts w:eastAsia="Calibri" w:cs="Times New Roman"/>
          <w:szCs w:val="24"/>
        </w:rPr>
        <w:t xml:space="preserve"> </w:t>
      </w:r>
      <w:proofErr w:type="spellStart"/>
      <w:r w:rsidRPr="009F6D1E">
        <w:rPr>
          <w:rFonts w:eastAsia="Calibri" w:cs="Times New Roman"/>
          <w:szCs w:val="24"/>
        </w:rPr>
        <w:t>плутонични</w:t>
      </w:r>
      <w:proofErr w:type="spellEnd"/>
      <w:r w:rsidRPr="009F6D1E">
        <w:rPr>
          <w:rFonts w:eastAsia="Calibri" w:cs="Times New Roman"/>
          <w:szCs w:val="24"/>
        </w:rPr>
        <w:t xml:space="preserve"> тела в началото на </w:t>
      </w:r>
      <w:proofErr w:type="spellStart"/>
      <w:r w:rsidRPr="009F6D1E">
        <w:rPr>
          <w:rFonts w:eastAsia="Calibri" w:cs="Times New Roman"/>
          <w:szCs w:val="24"/>
        </w:rPr>
        <w:t>палеогена</w:t>
      </w:r>
      <w:proofErr w:type="spellEnd"/>
      <w:r w:rsidRPr="009F6D1E">
        <w:rPr>
          <w:rFonts w:eastAsia="Calibri" w:cs="Times New Roman"/>
          <w:szCs w:val="24"/>
        </w:rPr>
        <w:t xml:space="preserve"> той е бил подложен на разтягане и разломяване. Това води до образуване на понижения, изпълнени със седиментни и </w:t>
      </w:r>
      <w:proofErr w:type="spellStart"/>
      <w:r w:rsidRPr="009F6D1E">
        <w:rPr>
          <w:rFonts w:eastAsia="Calibri" w:cs="Times New Roman"/>
          <w:szCs w:val="24"/>
        </w:rPr>
        <w:t>вулканогенни</w:t>
      </w:r>
      <w:proofErr w:type="spellEnd"/>
      <w:r w:rsidRPr="009F6D1E">
        <w:rPr>
          <w:rFonts w:eastAsia="Calibri" w:cs="Times New Roman"/>
          <w:szCs w:val="24"/>
        </w:rPr>
        <w:t xml:space="preserve"> скали. Свързани са с оловно – цинкови </w:t>
      </w:r>
      <w:proofErr w:type="spellStart"/>
      <w:r w:rsidRPr="009F6D1E">
        <w:rPr>
          <w:rFonts w:eastAsia="Calibri" w:cs="Times New Roman"/>
          <w:szCs w:val="24"/>
        </w:rPr>
        <w:t>находшща</w:t>
      </w:r>
      <w:proofErr w:type="spellEnd"/>
      <w:r w:rsidRPr="009F6D1E">
        <w:rPr>
          <w:rFonts w:eastAsia="Calibri" w:cs="Times New Roman"/>
          <w:szCs w:val="24"/>
        </w:rPr>
        <w:t xml:space="preserve">, </w:t>
      </w:r>
      <w:proofErr w:type="spellStart"/>
      <w:r w:rsidRPr="009F6D1E">
        <w:rPr>
          <w:rFonts w:eastAsia="Calibri" w:cs="Times New Roman"/>
          <w:szCs w:val="24"/>
        </w:rPr>
        <w:t>флюорит</w:t>
      </w:r>
      <w:proofErr w:type="spellEnd"/>
      <w:r w:rsidRPr="009F6D1E">
        <w:rPr>
          <w:rFonts w:eastAsia="Calibri" w:cs="Times New Roman"/>
          <w:szCs w:val="24"/>
        </w:rPr>
        <w:t xml:space="preserve">, полиметални руди и др. </w:t>
      </w:r>
    </w:p>
    <w:p w14:paraId="08790E4F" w14:textId="77777777" w:rsidR="00CE63FB" w:rsidRPr="009F6D1E" w:rsidRDefault="00CE63FB" w:rsidP="00B55D53">
      <w:pPr>
        <w:suppressAutoHyphens/>
        <w:autoSpaceDN w:val="0"/>
        <w:spacing w:after="60" w:line="264" w:lineRule="auto"/>
        <w:ind w:firstLine="708"/>
        <w:jc w:val="both"/>
        <w:rPr>
          <w:rFonts w:eastAsia="Calibri" w:cs="Times New Roman"/>
          <w:szCs w:val="24"/>
        </w:rPr>
      </w:pPr>
      <w:proofErr w:type="spellStart"/>
      <w:r w:rsidRPr="009F6D1E">
        <w:rPr>
          <w:rFonts w:eastAsia="Calibri" w:cs="Times New Roman"/>
          <w:szCs w:val="24"/>
        </w:rPr>
        <w:t>Сакаро</w:t>
      </w:r>
      <w:proofErr w:type="spellEnd"/>
      <w:r w:rsidRPr="009F6D1E">
        <w:rPr>
          <w:rFonts w:eastAsia="Calibri" w:cs="Times New Roman"/>
          <w:szCs w:val="24"/>
        </w:rPr>
        <w:t xml:space="preserve">-Странджанската област се състои от няколко </w:t>
      </w:r>
      <w:proofErr w:type="spellStart"/>
      <w:r w:rsidRPr="009F6D1E">
        <w:rPr>
          <w:rFonts w:eastAsia="Calibri" w:cs="Times New Roman"/>
          <w:szCs w:val="24"/>
        </w:rPr>
        <w:t>гънково-навлачни</w:t>
      </w:r>
      <w:proofErr w:type="spellEnd"/>
      <w:r w:rsidRPr="009F6D1E">
        <w:rPr>
          <w:rFonts w:eastAsia="Calibri" w:cs="Times New Roman"/>
          <w:szCs w:val="24"/>
        </w:rPr>
        <w:t xml:space="preserve"> структури и е изградена от нагънати и метаморфозирани палеозойски, </w:t>
      </w:r>
      <w:proofErr w:type="spellStart"/>
      <w:r w:rsidRPr="009F6D1E">
        <w:rPr>
          <w:rFonts w:eastAsia="Calibri" w:cs="Times New Roman"/>
          <w:szCs w:val="24"/>
        </w:rPr>
        <w:t>триаски</w:t>
      </w:r>
      <w:proofErr w:type="spellEnd"/>
      <w:r w:rsidRPr="009F6D1E">
        <w:rPr>
          <w:rFonts w:eastAsia="Calibri" w:cs="Times New Roman"/>
          <w:szCs w:val="24"/>
        </w:rPr>
        <w:t xml:space="preserve"> и юрски магмени, вулканични и утаечни скали.</w:t>
      </w:r>
    </w:p>
    <w:p w14:paraId="2726B262" w14:textId="77777777" w:rsidR="00CE63FB" w:rsidRPr="009F6D1E" w:rsidRDefault="00CE63FB" w:rsidP="00B55D53">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Сръбско-Македонският масив обхваща </w:t>
      </w:r>
      <w:proofErr w:type="spellStart"/>
      <w:r w:rsidRPr="009F6D1E">
        <w:rPr>
          <w:rFonts w:eastAsia="Calibri" w:cs="Times New Roman"/>
          <w:szCs w:val="24"/>
        </w:rPr>
        <w:t>Малашевска</w:t>
      </w:r>
      <w:proofErr w:type="spellEnd"/>
      <w:r w:rsidRPr="009F6D1E">
        <w:rPr>
          <w:rFonts w:eastAsia="Calibri" w:cs="Times New Roman"/>
          <w:szCs w:val="24"/>
        </w:rPr>
        <w:t xml:space="preserve"> планина, Огражден и Беласица. Изграден е от метаморфни скали и вместени в тях отделни гранитни или </w:t>
      </w:r>
      <w:proofErr w:type="spellStart"/>
      <w:r w:rsidRPr="009F6D1E">
        <w:rPr>
          <w:rFonts w:eastAsia="Calibri" w:cs="Times New Roman"/>
          <w:szCs w:val="24"/>
        </w:rPr>
        <w:t>гранодиоритни</w:t>
      </w:r>
      <w:proofErr w:type="spellEnd"/>
      <w:r w:rsidRPr="009F6D1E">
        <w:rPr>
          <w:rFonts w:eastAsia="Calibri" w:cs="Times New Roman"/>
          <w:szCs w:val="24"/>
        </w:rPr>
        <w:t xml:space="preserve"> тела. По-голямата част от пониженията са линейно ориентирани и ограничени с разломи. Те са добре изразени в съвременния релеф и се наричат </w:t>
      </w:r>
      <w:proofErr w:type="spellStart"/>
      <w:r w:rsidRPr="009F6D1E">
        <w:rPr>
          <w:rFonts w:eastAsia="Calibri" w:cs="Times New Roman"/>
          <w:szCs w:val="24"/>
        </w:rPr>
        <w:t>линеаменти</w:t>
      </w:r>
      <w:proofErr w:type="spellEnd"/>
      <w:r w:rsidRPr="009F6D1E">
        <w:rPr>
          <w:rFonts w:eastAsia="Calibri" w:cs="Times New Roman"/>
          <w:szCs w:val="24"/>
        </w:rPr>
        <w:t xml:space="preserve">. </w:t>
      </w:r>
      <w:proofErr w:type="spellStart"/>
      <w:r w:rsidRPr="009F6D1E">
        <w:rPr>
          <w:rFonts w:eastAsia="Calibri" w:cs="Times New Roman"/>
          <w:szCs w:val="24"/>
        </w:rPr>
        <w:t>Крайщидният</w:t>
      </w:r>
      <w:proofErr w:type="spellEnd"/>
      <w:r w:rsidRPr="009F6D1E">
        <w:rPr>
          <w:rFonts w:eastAsia="Calibri" w:cs="Times New Roman"/>
          <w:szCs w:val="24"/>
        </w:rPr>
        <w:t xml:space="preserve"> </w:t>
      </w:r>
      <w:proofErr w:type="spellStart"/>
      <w:r w:rsidRPr="009F6D1E">
        <w:rPr>
          <w:rFonts w:eastAsia="Calibri" w:cs="Times New Roman"/>
          <w:szCs w:val="24"/>
        </w:rPr>
        <w:t>линеамент</w:t>
      </w:r>
      <w:proofErr w:type="spellEnd"/>
      <w:r w:rsidRPr="009F6D1E">
        <w:rPr>
          <w:rFonts w:eastAsia="Calibri" w:cs="Times New Roman"/>
          <w:szCs w:val="24"/>
        </w:rPr>
        <w:t xml:space="preserve"> е система от </w:t>
      </w:r>
      <w:proofErr w:type="spellStart"/>
      <w:r w:rsidRPr="009F6D1E">
        <w:rPr>
          <w:rFonts w:eastAsia="Calibri" w:cs="Times New Roman"/>
          <w:szCs w:val="24"/>
        </w:rPr>
        <w:t>неоген-кватернерни</w:t>
      </w:r>
      <w:proofErr w:type="spellEnd"/>
      <w:r w:rsidRPr="009F6D1E">
        <w:rPr>
          <w:rFonts w:eastAsia="Calibri" w:cs="Times New Roman"/>
          <w:szCs w:val="24"/>
        </w:rPr>
        <w:t xml:space="preserve"> </w:t>
      </w:r>
      <w:proofErr w:type="spellStart"/>
      <w:r w:rsidRPr="009F6D1E">
        <w:rPr>
          <w:rFonts w:eastAsia="Calibri" w:cs="Times New Roman"/>
          <w:szCs w:val="24"/>
        </w:rPr>
        <w:t>грабенови</w:t>
      </w:r>
      <w:proofErr w:type="spellEnd"/>
      <w:r w:rsidRPr="009F6D1E">
        <w:rPr>
          <w:rFonts w:eastAsia="Calibri" w:cs="Times New Roman"/>
          <w:szCs w:val="24"/>
        </w:rPr>
        <w:t xml:space="preserve"> понижения с посока север-северозапад и юг-югозапад. Добре изразени са </w:t>
      </w:r>
      <w:proofErr w:type="spellStart"/>
      <w:r w:rsidRPr="009F6D1E">
        <w:rPr>
          <w:rFonts w:eastAsia="Calibri" w:cs="Times New Roman"/>
          <w:szCs w:val="24"/>
        </w:rPr>
        <w:t>линеаментите</w:t>
      </w:r>
      <w:proofErr w:type="spellEnd"/>
      <w:r w:rsidRPr="009F6D1E">
        <w:rPr>
          <w:rFonts w:eastAsia="Calibri" w:cs="Times New Roman"/>
          <w:szCs w:val="24"/>
        </w:rPr>
        <w:t xml:space="preserve"> по долините на </w:t>
      </w:r>
      <w:proofErr w:type="spellStart"/>
      <w:r w:rsidRPr="009F6D1E">
        <w:rPr>
          <w:rFonts w:eastAsia="Calibri" w:cs="Times New Roman"/>
          <w:szCs w:val="24"/>
        </w:rPr>
        <w:t>р.Струма</w:t>
      </w:r>
      <w:proofErr w:type="spellEnd"/>
      <w:r w:rsidRPr="009F6D1E">
        <w:rPr>
          <w:rFonts w:eastAsia="Calibri" w:cs="Times New Roman"/>
          <w:szCs w:val="24"/>
        </w:rPr>
        <w:t xml:space="preserve"> и Места. Задбалканският </w:t>
      </w:r>
      <w:proofErr w:type="spellStart"/>
      <w:r w:rsidRPr="009F6D1E">
        <w:rPr>
          <w:rFonts w:eastAsia="Calibri" w:cs="Times New Roman"/>
          <w:szCs w:val="24"/>
        </w:rPr>
        <w:t>линеамент</w:t>
      </w:r>
      <w:proofErr w:type="spellEnd"/>
      <w:r w:rsidRPr="009F6D1E">
        <w:rPr>
          <w:rFonts w:eastAsia="Calibri" w:cs="Times New Roman"/>
          <w:szCs w:val="24"/>
        </w:rPr>
        <w:t xml:space="preserve"> представлява верига от млади грабени със </w:t>
      </w:r>
      <w:proofErr w:type="spellStart"/>
      <w:r w:rsidRPr="009F6D1E">
        <w:rPr>
          <w:rFonts w:eastAsia="Calibri" w:cs="Times New Roman"/>
          <w:szCs w:val="24"/>
        </w:rPr>
        <w:t>субпаралелна</w:t>
      </w:r>
      <w:proofErr w:type="spellEnd"/>
      <w:r w:rsidRPr="009F6D1E">
        <w:rPr>
          <w:rFonts w:eastAsia="Calibri" w:cs="Times New Roman"/>
          <w:szCs w:val="24"/>
        </w:rPr>
        <w:t xml:space="preserve"> посока на простиране. Те са разпространени на юг от Стара планина, в обхвата на Задбалканските котловини. </w:t>
      </w:r>
    </w:p>
    <w:p w14:paraId="12963099" w14:textId="12B11F71" w:rsidR="00CE63FB" w:rsidRPr="009F6D1E" w:rsidRDefault="00CE63FB" w:rsidP="00B55D53">
      <w:pPr>
        <w:suppressAutoHyphens/>
        <w:autoSpaceDN w:val="0"/>
        <w:spacing w:after="60" w:line="264" w:lineRule="auto"/>
        <w:ind w:left="360"/>
        <w:jc w:val="both"/>
        <w:rPr>
          <w:rFonts w:eastAsia="Calibri" w:cs="Times New Roman"/>
          <w:szCs w:val="24"/>
        </w:rPr>
      </w:pPr>
      <w:r w:rsidRPr="009F6D1E">
        <w:rPr>
          <w:rFonts w:eastAsia="Calibri" w:cs="Times New Roman"/>
          <w:szCs w:val="24"/>
        </w:rPr>
        <w:t xml:space="preserve">На </w:t>
      </w:r>
      <w:r>
        <w:fldChar w:fldCharType="begin"/>
      </w:r>
      <w:r>
        <w:instrText xml:space="preserve"> REF _Ref107167496 \h  \* MERGEFORMAT </w:instrText>
      </w:r>
      <w:r>
        <w:fldChar w:fldCharType="separate"/>
      </w:r>
      <w:r w:rsidR="00A43EF3" w:rsidRPr="009F6D1E">
        <w:t xml:space="preserve">Фигура </w:t>
      </w:r>
      <w:r w:rsidR="00A43EF3">
        <w:rPr>
          <w:noProof/>
        </w:rPr>
        <w:t>45</w:t>
      </w:r>
      <w:r>
        <w:fldChar w:fldCharType="end"/>
      </w:r>
      <w:r w:rsidRPr="009F6D1E">
        <w:rPr>
          <w:rFonts w:eastAsia="Calibri" w:cs="Times New Roman"/>
          <w:szCs w:val="24"/>
        </w:rPr>
        <w:t xml:space="preserve"> са показани основните находища с полезни изкопаеми в Р България.</w:t>
      </w:r>
    </w:p>
    <w:p w14:paraId="26D30CA4" w14:textId="77777777" w:rsidR="00CE63FB" w:rsidRPr="009F6D1E" w:rsidRDefault="00CE63FB" w:rsidP="0084747F">
      <w:pPr>
        <w:suppressAutoHyphens/>
        <w:autoSpaceDN w:val="0"/>
        <w:spacing w:after="60" w:line="264" w:lineRule="auto"/>
        <w:ind w:left="360"/>
        <w:jc w:val="both"/>
        <w:rPr>
          <w:rFonts w:eastAsia="Calibri" w:cs="Times New Roman"/>
          <w:color w:val="1F3864" w:themeColor="accent1" w:themeShade="80"/>
        </w:rPr>
      </w:pPr>
    </w:p>
    <w:p w14:paraId="0998A5C1" w14:textId="77777777" w:rsidR="00CE63FB" w:rsidRPr="009F6D1E" w:rsidRDefault="00CE63FB" w:rsidP="0084747F">
      <w:pPr>
        <w:suppressAutoHyphens/>
        <w:autoSpaceDN w:val="0"/>
        <w:spacing w:after="60" w:line="264" w:lineRule="auto"/>
        <w:ind w:left="360"/>
        <w:jc w:val="center"/>
        <w:rPr>
          <w:rFonts w:eastAsia="Calibri" w:cs="Times New Roman"/>
          <w:color w:val="1F3864" w:themeColor="accent1" w:themeShade="80"/>
        </w:rPr>
      </w:pPr>
      <w:r w:rsidRPr="009F6D1E">
        <w:rPr>
          <w:rFonts w:eastAsia="Calibri" w:cs="Times New Roman"/>
          <w:noProof/>
          <w:color w:val="1F3864" w:themeColor="accent1" w:themeShade="80"/>
          <w:szCs w:val="24"/>
          <w:lang w:val="en-US"/>
        </w:rPr>
        <w:drawing>
          <wp:inline distT="0" distB="0" distL="0" distR="0" wp14:anchorId="0087A82A" wp14:editId="6F4B0F33">
            <wp:extent cx="4788081" cy="3353141"/>
            <wp:effectExtent l="0" t="0" r="0" b="0"/>
            <wp:docPr id="462" name="Picture 46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rcRect/>
                    <a:stretch>
                      <a:fillRect/>
                    </a:stretch>
                  </pic:blipFill>
                  <pic:spPr>
                    <a:xfrm>
                      <a:off x="0" y="0"/>
                      <a:ext cx="4788081" cy="3353141"/>
                    </a:xfrm>
                    <a:prstGeom prst="rect">
                      <a:avLst/>
                    </a:prstGeom>
                    <a:noFill/>
                    <a:ln>
                      <a:noFill/>
                      <a:prstDash/>
                    </a:ln>
                  </pic:spPr>
                </pic:pic>
              </a:graphicData>
            </a:graphic>
          </wp:inline>
        </w:drawing>
      </w:r>
    </w:p>
    <w:p w14:paraId="401B9D1A" w14:textId="37CADA1A" w:rsidR="00CE63FB" w:rsidRPr="006D0681" w:rsidRDefault="00B55D53" w:rsidP="006D0681">
      <w:pPr>
        <w:pStyle w:val="Caption"/>
        <w:spacing w:after="60" w:line="264" w:lineRule="auto"/>
      </w:pPr>
      <w:bookmarkStart w:id="297" w:name="_Ref107167496"/>
      <w:bookmarkStart w:id="298" w:name="_Toc115255106"/>
      <w:r w:rsidRPr="009F6D1E">
        <w:t xml:space="preserve">Фигура </w:t>
      </w:r>
      <w:fldSimple w:instr=" SEQ Фигура \* ARABIC ">
        <w:r w:rsidR="00A43EF3">
          <w:rPr>
            <w:noProof/>
          </w:rPr>
          <w:t>45</w:t>
        </w:r>
      </w:fldSimple>
      <w:bookmarkEnd w:id="297"/>
      <w:r w:rsidRPr="009F6D1E">
        <w:t>:</w:t>
      </w:r>
      <w:r w:rsidR="00CE63FB" w:rsidRPr="006D0681">
        <w:t xml:space="preserve"> Находища с полезни изкопаеми в Р България</w:t>
      </w:r>
      <w:bookmarkEnd w:id="298"/>
    </w:p>
    <w:p w14:paraId="7E66CCED" w14:textId="643768D2" w:rsidR="00CE63FB" w:rsidRDefault="00CE63FB" w:rsidP="0084747F">
      <w:pPr>
        <w:suppressAutoHyphens/>
        <w:autoSpaceDN w:val="0"/>
        <w:spacing w:after="60" w:line="264" w:lineRule="auto"/>
        <w:ind w:left="360"/>
        <w:jc w:val="center"/>
        <w:rPr>
          <w:rFonts w:eastAsia="Calibri" w:cs="Times New Roman"/>
          <w:i/>
          <w:iCs/>
          <w:color w:val="1F3864" w:themeColor="accent1" w:themeShade="80"/>
          <w:sz w:val="23"/>
          <w:szCs w:val="23"/>
        </w:rPr>
      </w:pPr>
    </w:p>
    <w:p w14:paraId="3CBD212C" w14:textId="77777777" w:rsidR="006D0681" w:rsidRPr="009F6D1E" w:rsidRDefault="006D0681" w:rsidP="0084747F">
      <w:pPr>
        <w:suppressAutoHyphens/>
        <w:autoSpaceDN w:val="0"/>
        <w:spacing w:after="60" w:line="264" w:lineRule="auto"/>
        <w:ind w:left="360"/>
        <w:jc w:val="center"/>
        <w:rPr>
          <w:rFonts w:eastAsia="Calibri" w:cs="Times New Roman"/>
          <w:i/>
          <w:iCs/>
          <w:color w:val="1F3864" w:themeColor="accent1" w:themeShade="80"/>
          <w:sz w:val="23"/>
          <w:szCs w:val="23"/>
        </w:rPr>
      </w:pPr>
    </w:p>
    <w:p w14:paraId="48D0A22C" w14:textId="77777777" w:rsidR="00CE63FB" w:rsidRPr="009F6D1E" w:rsidRDefault="00CE63FB">
      <w:pPr>
        <w:pStyle w:val="ListParagraph"/>
        <w:numPr>
          <w:ilvl w:val="3"/>
          <w:numId w:val="31"/>
        </w:numPr>
        <w:shd w:val="clear" w:color="auto" w:fill="D9E2F3" w:themeFill="accent1" w:themeFillTint="33"/>
        <w:suppressAutoHyphens/>
        <w:autoSpaceDN w:val="0"/>
        <w:spacing w:after="60" w:line="264" w:lineRule="auto"/>
        <w:jc w:val="both"/>
        <w:rPr>
          <w:rFonts w:eastAsia="Calibri"/>
          <w:b/>
          <w:bCs/>
          <w:color w:val="1F3864" w:themeColor="accent1" w:themeShade="80"/>
          <w:lang w:val="bg-BG"/>
        </w:rPr>
      </w:pPr>
      <w:proofErr w:type="spellStart"/>
      <w:r w:rsidRPr="009F6D1E">
        <w:rPr>
          <w:rFonts w:eastAsia="Calibri"/>
          <w:b/>
          <w:bCs/>
          <w:color w:val="1F3864" w:themeColor="accent1" w:themeShade="80"/>
          <w:lang w:val="bg-BG"/>
        </w:rPr>
        <w:lastRenderedPageBreak/>
        <w:t>Инженерногеоложко</w:t>
      </w:r>
      <w:proofErr w:type="spellEnd"/>
      <w:r w:rsidRPr="009F6D1E">
        <w:rPr>
          <w:rFonts w:eastAsia="Calibri"/>
          <w:b/>
          <w:bCs/>
          <w:color w:val="1F3864" w:themeColor="accent1" w:themeShade="80"/>
          <w:lang w:val="bg-BG"/>
        </w:rPr>
        <w:t xml:space="preserve"> райониране на страната</w:t>
      </w:r>
    </w:p>
    <w:p w14:paraId="06EA586A" w14:textId="77777777" w:rsidR="00CE63FB" w:rsidRPr="009F6D1E" w:rsidRDefault="00CE63FB" w:rsidP="0084747F">
      <w:pPr>
        <w:suppressAutoHyphens/>
        <w:autoSpaceDN w:val="0"/>
        <w:spacing w:after="60" w:line="264" w:lineRule="auto"/>
        <w:jc w:val="both"/>
        <w:rPr>
          <w:rFonts w:eastAsia="Calibri" w:cs="Times New Roman"/>
          <w:color w:val="1F3864" w:themeColor="accent1" w:themeShade="80"/>
          <w:szCs w:val="24"/>
        </w:rPr>
      </w:pPr>
    </w:p>
    <w:p w14:paraId="674E9998"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Територията на Р България е поделена на 5 </w:t>
      </w:r>
      <w:proofErr w:type="spellStart"/>
      <w:r w:rsidRPr="009F6D1E">
        <w:rPr>
          <w:rFonts w:eastAsia="Calibri" w:cs="Times New Roman"/>
          <w:szCs w:val="24"/>
        </w:rPr>
        <w:t>инженерногеоложки</w:t>
      </w:r>
      <w:proofErr w:type="spellEnd"/>
      <w:r w:rsidRPr="009F6D1E">
        <w:rPr>
          <w:rFonts w:eastAsia="Calibri" w:cs="Times New Roman"/>
          <w:szCs w:val="24"/>
        </w:rPr>
        <w:t xml:space="preserve"> района и 12 </w:t>
      </w:r>
      <w:proofErr w:type="spellStart"/>
      <w:r w:rsidRPr="009F6D1E">
        <w:rPr>
          <w:rFonts w:eastAsia="Calibri" w:cs="Times New Roman"/>
          <w:szCs w:val="24"/>
        </w:rPr>
        <w:t>инженерногеоложки</w:t>
      </w:r>
      <w:proofErr w:type="spellEnd"/>
      <w:r w:rsidRPr="009F6D1E">
        <w:rPr>
          <w:rFonts w:eastAsia="Calibri" w:cs="Times New Roman"/>
          <w:szCs w:val="24"/>
        </w:rPr>
        <w:t xml:space="preserve"> области. При тяхното разграничаване са взети под внимание тектонските, </w:t>
      </w:r>
      <w:proofErr w:type="spellStart"/>
      <w:r w:rsidRPr="009F6D1E">
        <w:rPr>
          <w:rFonts w:eastAsia="Calibri" w:cs="Times New Roman"/>
          <w:szCs w:val="24"/>
        </w:rPr>
        <w:t>геоморфоложките</w:t>
      </w:r>
      <w:proofErr w:type="spellEnd"/>
      <w:r w:rsidRPr="009F6D1E">
        <w:rPr>
          <w:rFonts w:eastAsia="Calibri" w:cs="Times New Roman"/>
          <w:szCs w:val="24"/>
        </w:rPr>
        <w:t xml:space="preserve"> и </w:t>
      </w:r>
      <w:proofErr w:type="spellStart"/>
      <w:r w:rsidRPr="009F6D1E">
        <w:rPr>
          <w:rFonts w:eastAsia="Calibri" w:cs="Times New Roman"/>
          <w:szCs w:val="24"/>
        </w:rPr>
        <w:t>литоложките</w:t>
      </w:r>
      <w:proofErr w:type="spellEnd"/>
      <w:r w:rsidRPr="009F6D1E">
        <w:rPr>
          <w:rFonts w:eastAsia="Calibri" w:cs="Times New Roman"/>
          <w:szCs w:val="24"/>
        </w:rPr>
        <w:t xml:space="preserve"> особености на страната. </w:t>
      </w:r>
    </w:p>
    <w:p w14:paraId="4D675A2C" w14:textId="4A55D331" w:rsidR="00CE63FB" w:rsidRPr="009F6D1E" w:rsidRDefault="00CE63FB" w:rsidP="0084747F">
      <w:pPr>
        <w:suppressAutoHyphens/>
        <w:autoSpaceDN w:val="0"/>
        <w:spacing w:after="60" w:line="264" w:lineRule="auto"/>
        <w:ind w:firstLine="708"/>
        <w:jc w:val="both"/>
        <w:rPr>
          <w:rFonts w:eastAsia="Calibri" w:cs="Times New Roman"/>
        </w:rPr>
      </w:pPr>
      <w:r w:rsidRPr="009F6D1E">
        <w:rPr>
          <w:rFonts w:eastAsia="Calibri" w:cs="Times New Roman"/>
          <w:szCs w:val="24"/>
        </w:rPr>
        <w:t xml:space="preserve">На </w:t>
      </w:r>
      <w:r w:rsidR="003F3D71" w:rsidRPr="009F6D1E">
        <w:rPr>
          <w:rFonts w:eastAsia="Calibri" w:cs="Times New Roman"/>
          <w:szCs w:val="24"/>
          <w:shd w:val="clear" w:color="auto" w:fill="FFFF00"/>
        </w:rPr>
        <w:fldChar w:fldCharType="begin"/>
      </w:r>
      <w:r w:rsidR="00B55D53" w:rsidRPr="009F6D1E">
        <w:rPr>
          <w:rFonts w:eastAsia="Calibri" w:cs="Times New Roman"/>
          <w:szCs w:val="24"/>
        </w:rPr>
        <w:instrText xml:space="preserve"> REF _Ref107167557 \h </w:instrText>
      </w:r>
      <w:r w:rsidR="003F3D71" w:rsidRPr="009F6D1E">
        <w:rPr>
          <w:rFonts w:eastAsia="Calibri" w:cs="Times New Roman"/>
          <w:szCs w:val="24"/>
          <w:shd w:val="clear" w:color="auto" w:fill="FFFF00"/>
        </w:rPr>
      </w:r>
      <w:r w:rsidR="003F3D71" w:rsidRPr="009F6D1E">
        <w:rPr>
          <w:rFonts w:eastAsia="Calibri" w:cs="Times New Roman"/>
          <w:szCs w:val="24"/>
          <w:shd w:val="clear" w:color="auto" w:fill="FFFF00"/>
        </w:rPr>
        <w:fldChar w:fldCharType="separate"/>
      </w:r>
      <w:r w:rsidR="00A43EF3" w:rsidRPr="009F6D1E">
        <w:t xml:space="preserve">Фигура </w:t>
      </w:r>
      <w:r w:rsidR="00A43EF3">
        <w:rPr>
          <w:noProof/>
        </w:rPr>
        <w:t>46</w:t>
      </w:r>
      <w:r w:rsidR="003F3D71" w:rsidRPr="009F6D1E">
        <w:rPr>
          <w:rFonts w:eastAsia="Calibri" w:cs="Times New Roman"/>
          <w:szCs w:val="24"/>
          <w:shd w:val="clear" w:color="auto" w:fill="FFFF00"/>
        </w:rPr>
        <w:fldChar w:fldCharType="end"/>
      </w:r>
      <w:r w:rsidRPr="009F6D1E">
        <w:rPr>
          <w:rFonts w:eastAsia="Calibri" w:cs="Times New Roman"/>
          <w:szCs w:val="24"/>
        </w:rPr>
        <w:t xml:space="preserve"> са показани </w:t>
      </w:r>
      <w:proofErr w:type="spellStart"/>
      <w:r w:rsidRPr="009F6D1E">
        <w:rPr>
          <w:rFonts w:eastAsia="Calibri" w:cs="Times New Roman"/>
          <w:szCs w:val="24"/>
        </w:rPr>
        <w:t>инженерногеоложки</w:t>
      </w:r>
      <w:proofErr w:type="spellEnd"/>
      <w:r w:rsidRPr="009F6D1E">
        <w:rPr>
          <w:rFonts w:eastAsia="Calibri" w:cs="Times New Roman"/>
          <w:szCs w:val="24"/>
        </w:rPr>
        <w:t xml:space="preserve"> региони и области в Р. България, както и по-важните за строителството физико-геоложки и инженерно-геоложки явления.</w:t>
      </w:r>
    </w:p>
    <w:p w14:paraId="10FB30CA" w14:textId="77777777" w:rsidR="00CE63FB" w:rsidRPr="009F6D1E" w:rsidRDefault="00CE63FB" w:rsidP="0084747F">
      <w:pPr>
        <w:suppressAutoHyphens/>
        <w:autoSpaceDN w:val="0"/>
        <w:spacing w:after="60" w:line="264" w:lineRule="auto"/>
        <w:ind w:left="360"/>
        <w:jc w:val="both"/>
        <w:rPr>
          <w:rFonts w:eastAsia="Calibri" w:cs="Times New Roman"/>
          <w:color w:val="1F3864" w:themeColor="accent1" w:themeShade="80"/>
        </w:rPr>
      </w:pPr>
      <w:r w:rsidRPr="009F6D1E">
        <w:rPr>
          <w:rFonts w:eastAsia="Calibri" w:cs="Times New Roman"/>
          <w:noProof/>
          <w:color w:val="1F3864" w:themeColor="accent1" w:themeShade="80"/>
          <w:szCs w:val="24"/>
          <w:lang w:val="en-US"/>
        </w:rPr>
        <w:drawing>
          <wp:inline distT="0" distB="0" distL="0" distR="0" wp14:anchorId="2D92FD5C" wp14:editId="7B0E6BBD">
            <wp:extent cx="5731514" cy="3783329"/>
            <wp:effectExtent l="0" t="0" r="2536" b="7621"/>
            <wp:docPr id="463" name="Picture 4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rcRect/>
                    <a:stretch>
                      <a:fillRect/>
                    </a:stretch>
                  </pic:blipFill>
                  <pic:spPr>
                    <a:xfrm>
                      <a:off x="0" y="0"/>
                      <a:ext cx="5731514" cy="3783329"/>
                    </a:xfrm>
                    <a:prstGeom prst="rect">
                      <a:avLst/>
                    </a:prstGeom>
                    <a:noFill/>
                    <a:ln>
                      <a:noFill/>
                      <a:prstDash/>
                    </a:ln>
                  </pic:spPr>
                </pic:pic>
              </a:graphicData>
            </a:graphic>
          </wp:inline>
        </w:drawing>
      </w:r>
    </w:p>
    <w:p w14:paraId="0F8B70F4" w14:textId="1D71FD24" w:rsidR="00CE63FB" w:rsidRPr="006D0681" w:rsidRDefault="00B55D53" w:rsidP="006D0681">
      <w:pPr>
        <w:pStyle w:val="Caption"/>
        <w:spacing w:after="60" w:line="264" w:lineRule="auto"/>
      </w:pPr>
      <w:bookmarkStart w:id="299" w:name="_Ref107167557"/>
      <w:bookmarkStart w:id="300" w:name="_Toc115255107"/>
      <w:r w:rsidRPr="009F6D1E">
        <w:t xml:space="preserve">Фигура </w:t>
      </w:r>
      <w:fldSimple w:instr=" SEQ Фигура \* ARABIC ">
        <w:r w:rsidR="00A43EF3">
          <w:rPr>
            <w:noProof/>
          </w:rPr>
          <w:t>46</w:t>
        </w:r>
      </w:fldSimple>
      <w:bookmarkEnd w:id="299"/>
      <w:r w:rsidRPr="009F6D1E">
        <w:t xml:space="preserve">: </w:t>
      </w:r>
      <w:r w:rsidR="00CE63FB" w:rsidRPr="006D0681">
        <w:t xml:space="preserve"> Инженерно-геоложки региони и области</w:t>
      </w:r>
      <w:bookmarkEnd w:id="300"/>
    </w:p>
    <w:p w14:paraId="737903A0" w14:textId="77777777" w:rsidR="00CE63FB" w:rsidRPr="006D0681" w:rsidRDefault="00CE63FB" w:rsidP="006D0681">
      <w:pPr>
        <w:pStyle w:val="Caption"/>
      </w:pPr>
    </w:p>
    <w:p w14:paraId="048CF9CE" w14:textId="77777777" w:rsidR="00CE63FB" w:rsidRPr="009F6D1E" w:rsidRDefault="00CE63FB">
      <w:pPr>
        <w:pStyle w:val="ListParagraph"/>
        <w:numPr>
          <w:ilvl w:val="3"/>
          <w:numId w:val="31"/>
        </w:numPr>
        <w:shd w:val="clear" w:color="auto" w:fill="D9E2F3" w:themeFill="accent1" w:themeFillTint="33"/>
        <w:suppressAutoHyphens/>
        <w:autoSpaceDN w:val="0"/>
        <w:spacing w:after="60" w:line="264" w:lineRule="auto"/>
        <w:jc w:val="both"/>
        <w:rPr>
          <w:rFonts w:eastAsia="Calibri"/>
          <w:b/>
          <w:bCs/>
          <w:color w:val="1F3864" w:themeColor="accent1" w:themeShade="80"/>
          <w:lang w:val="bg-BG"/>
        </w:rPr>
      </w:pPr>
      <w:r w:rsidRPr="009F6D1E">
        <w:rPr>
          <w:rFonts w:eastAsia="Calibri"/>
          <w:b/>
          <w:bCs/>
          <w:color w:val="1F3864" w:themeColor="accent1" w:themeShade="80"/>
          <w:lang w:val="bg-BG"/>
        </w:rPr>
        <w:t>Основни геоложки явления, имащи отношение към предвижданията на програмата</w:t>
      </w:r>
    </w:p>
    <w:p w14:paraId="2F57FDDF" w14:textId="77777777" w:rsidR="00CE63FB" w:rsidRPr="009F6D1E" w:rsidRDefault="00CE63FB" w:rsidP="0084747F">
      <w:pPr>
        <w:suppressAutoHyphens/>
        <w:autoSpaceDN w:val="0"/>
        <w:spacing w:after="60" w:line="264" w:lineRule="auto"/>
        <w:jc w:val="both"/>
        <w:rPr>
          <w:rFonts w:eastAsia="Calibri" w:cs="Times New Roman"/>
          <w:color w:val="1F3864" w:themeColor="accent1" w:themeShade="80"/>
          <w:szCs w:val="24"/>
        </w:rPr>
      </w:pPr>
    </w:p>
    <w:p w14:paraId="5DB32A07" w14:textId="6E156B7C" w:rsidR="00CE63FB" w:rsidRPr="009F6D1E" w:rsidRDefault="00CE63FB" w:rsidP="0084747F">
      <w:pPr>
        <w:suppressAutoHyphens/>
        <w:autoSpaceDN w:val="0"/>
        <w:spacing w:after="60" w:line="264" w:lineRule="auto"/>
        <w:ind w:firstLine="708"/>
        <w:jc w:val="both"/>
        <w:rPr>
          <w:rFonts w:eastAsia="Calibri" w:cs="Times New Roman"/>
        </w:rPr>
      </w:pPr>
      <w:r w:rsidRPr="009F6D1E">
        <w:rPr>
          <w:rFonts w:eastAsia="Calibri" w:cs="Times New Roman"/>
          <w:szCs w:val="24"/>
        </w:rPr>
        <w:t xml:space="preserve">Територията на България, със сложен тектонски строеж, разнообразни геоложки формации и разчленен релеф, е арена на развитие на разрушителни процеси. Те са изучавани в различна степен, като карта с обобщение на геоложката опасност е направена от колектив с редактор Илия Илиев – </w:t>
      </w:r>
      <w:proofErr w:type="spellStart"/>
      <w:r w:rsidRPr="009F6D1E">
        <w:rPr>
          <w:rFonts w:eastAsia="Calibri" w:cs="Times New Roman"/>
          <w:szCs w:val="24"/>
        </w:rPr>
        <w:t>Бручев</w:t>
      </w:r>
      <w:proofErr w:type="spellEnd"/>
      <w:r w:rsidRPr="009F6D1E">
        <w:rPr>
          <w:rFonts w:eastAsia="Calibri" w:cs="Times New Roman"/>
          <w:szCs w:val="24"/>
        </w:rPr>
        <w:t xml:space="preserve"> (</w:t>
      </w:r>
      <w:r w:rsidR="003F3D71" w:rsidRPr="009F6D1E">
        <w:rPr>
          <w:rFonts w:eastAsia="Calibri" w:cs="Times New Roman"/>
          <w:szCs w:val="24"/>
          <w:shd w:val="clear" w:color="auto" w:fill="FFFF00"/>
        </w:rPr>
        <w:fldChar w:fldCharType="begin"/>
      </w:r>
      <w:r w:rsidR="00B55D53" w:rsidRPr="009F6D1E">
        <w:rPr>
          <w:rFonts w:eastAsia="Calibri" w:cs="Times New Roman"/>
          <w:szCs w:val="24"/>
        </w:rPr>
        <w:instrText xml:space="preserve"> REF _Ref107167638 \h </w:instrText>
      </w:r>
      <w:r w:rsidR="003F3D71" w:rsidRPr="009F6D1E">
        <w:rPr>
          <w:rFonts w:eastAsia="Calibri" w:cs="Times New Roman"/>
          <w:szCs w:val="24"/>
          <w:shd w:val="clear" w:color="auto" w:fill="FFFF00"/>
        </w:rPr>
      </w:r>
      <w:r w:rsidR="003F3D71" w:rsidRPr="009F6D1E">
        <w:rPr>
          <w:rFonts w:eastAsia="Calibri" w:cs="Times New Roman"/>
          <w:szCs w:val="24"/>
          <w:shd w:val="clear" w:color="auto" w:fill="FFFF00"/>
        </w:rPr>
        <w:fldChar w:fldCharType="separate"/>
      </w:r>
      <w:r w:rsidR="00A43EF3" w:rsidRPr="009F6D1E">
        <w:t xml:space="preserve">Фигура </w:t>
      </w:r>
      <w:r w:rsidR="00A43EF3">
        <w:rPr>
          <w:noProof/>
        </w:rPr>
        <w:t>47</w:t>
      </w:r>
      <w:r w:rsidR="003F3D71" w:rsidRPr="009F6D1E">
        <w:rPr>
          <w:rFonts w:eastAsia="Calibri" w:cs="Times New Roman"/>
          <w:szCs w:val="24"/>
          <w:shd w:val="clear" w:color="auto" w:fill="FFFF00"/>
        </w:rPr>
        <w:fldChar w:fldCharType="end"/>
      </w:r>
      <w:r w:rsidRPr="009F6D1E">
        <w:rPr>
          <w:rFonts w:eastAsia="Calibri" w:cs="Times New Roman"/>
          <w:szCs w:val="24"/>
        </w:rPr>
        <w:t>).</w:t>
      </w:r>
    </w:p>
    <w:p w14:paraId="3D603C77" w14:textId="77777777" w:rsidR="00CE63FB" w:rsidRPr="009F6D1E" w:rsidRDefault="00CE63FB" w:rsidP="0084747F">
      <w:pPr>
        <w:suppressAutoHyphens/>
        <w:autoSpaceDN w:val="0"/>
        <w:spacing w:after="60" w:line="264" w:lineRule="auto"/>
        <w:ind w:left="360"/>
        <w:jc w:val="center"/>
        <w:rPr>
          <w:rFonts w:eastAsia="Calibri" w:cs="Times New Roman"/>
          <w:color w:val="1F3864" w:themeColor="accent1" w:themeShade="80"/>
        </w:rPr>
      </w:pPr>
      <w:r w:rsidRPr="009F6D1E">
        <w:rPr>
          <w:rFonts w:eastAsia="Calibri" w:cs="Times New Roman"/>
          <w:noProof/>
          <w:color w:val="1F3864" w:themeColor="accent1" w:themeShade="80"/>
          <w:szCs w:val="24"/>
          <w:lang w:val="en-US"/>
        </w:rPr>
        <w:lastRenderedPageBreak/>
        <w:drawing>
          <wp:inline distT="0" distB="0" distL="0" distR="0" wp14:anchorId="73483023" wp14:editId="336B9FEF">
            <wp:extent cx="5033671" cy="3419727"/>
            <wp:effectExtent l="0" t="0" r="0" b="9273"/>
            <wp:docPr id="464" name="Picture 46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rcRect/>
                    <a:stretch>
                      <a:fillRect/>
                    </a:stretch>
                  </pic:blipFill>
                  <pic:spPr>
                    <a:xfrm>
                      <a:off x="0" y="0"/>
                      <a:ext cx="5033671" cy="3419727"/>
                    </a:xfrm>
                    <a:prstGeom prst="rect">
                      <a:avLst/>
                    </a:prstGeom>
                    <a:noFill/>
                    <a:ln>
                      <a:noFill/>
                      <a:prstDash/>
                    </a:ln>
                  </pic:spPr>
                </pic:pic>
              </a:graphicData>
            </a:graphic>
          </wp:inline>
        </w:drawing>
      </w:r>
    </w:p>
    <w:p w14:paraId="2FFC669E" w14:textId="092CA4ED" w:rsidR="00CE63FB" w:rsidRPr="009F6D1E" w:rsidRDefault="00B55D53" w:rsidP="00B55D53">
      <w:pPr>
        <w:pStyle w:val="Caption"/>
        <w:rPr>
          <w:rFonts w:eastAsia="Calibri"/>
        </w:rPr>
      </w:pPr>
      <w:bookmarkStart w:id="301" w:name="_Ref107167638"/>
      <w:bookmarkStart w:id="302" w:name="_Toc115255108"/>
      <w:r w:rsidRPr="009F6D1E">
        <w:t xml:space="preserve">Фигура </w:t>
      </w:r>
      <w:fldSimple w:instr=" SEQ Фигура \* ARABIC ">
        <w:r w:rsidR="00A43EF3">
          <w:rPr>
            <w:noProof/>
          </w:rPr>
          <w:t>47</w:t>
        </w:r>
      </w:fldSimple>
      <w:bookmarkEnd w:id="301"/>
      <w:r w:rsidRPr="009F6D1E">
        <w:t xml:space="preserve">: </w:t>
      </w:r>
      <w:r w:rsidR="00CE63FB" w:rsidRPr="009F6D1E">
        <w:rPr>
          <w:rFonts w:eastAsia="Calibri"/>
          <w:b/>
          <w:bCs/>
          <w:color w:val="1F3864" w:themeColor="accent1" w:themeShade="80"/>
        </w:rPr>
        <w:t xml:space="preserve"> </w:t>
      </w:r>
      <w:r w:rsidR="00CE63FB" w:rsidRPr="009F6D1E">
        <w:rPr>
          <w:rFonts w:eastAsia="Calibri"/>
        </w:rPr>
        <w:t xml:space="preserve">Карта на геоложките опасности в България, по И. </w:t>
      </w:r>
      <w:proofErr w:type="spellStart"/>
      <w:r w:rsidR="00CE63FB" w:rsidRPr="009F6D1E">
        <w:rPr>
          <w:rFonts w:eastAsia="Calibri"/>
        </w:rPr>
        <w:t>Бручев</w:t>
      </w:r>
      <w:proofErr w:type="spellEnd"/>
      <w:r w:rsidR="00CE63FB" w:rsidRPr="009F6D1E">
        <w:rPr>
          <w:rFonts w:eastAsia="Calibri"/>
        </w:rPr>
        <w:t xml:space="preserve"> и колектив</w:t>
      </w:r>
      <w:bookmarkEnd w:id="302"/>
    </w:p>
    <w:p w14:paraId="00F97685" w14:textId="77777777" w:rsidR="004E1A12" w:rsidRPr="009F6D1E" w:rsidRDefault="004E1A12" w:rsidP="0084747F">
      <w:pPr>
        <w:suppressAutoHyphens/>
        <w:autoSpaceDN w:val="0"/>
        <w:spacing w:after="60" w:line="264" w:lineRule="auto"/>
        <w:ind w:firstLine="708"/>
        <w:jc w:val="both"/>
        <w:rPr>
          <w:rFonts w:eastAsia="Calibri" w:cs="Times New Roman"/>
          <w:szCs w:val="24"/>
        </w:rPr>
      </w:pPr>
    </w:p>
    <w:p w14:paraId="7D448BDA"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Територията на България се отличава с разнообразни </w:t>
      </w:r>
      <w:proofErr w:type="spellStart"/>
      <w:r w:rsidRPr="009F6D1E">
        <w:rPr>
          <w:rFonts w:eastAsia="Calibri" w:cs="Times New Roman"/>
          <w:szCs w:val="24"/>
        </w:rPr>
        <w:t>геоморфоложки</w:t>
      </w:r>
      <w:proofErr w:type="spellEnd"/>
      <w:r w:rsidRPr="009F6D1E">
        <w:rPr>
          <w:rFonts w:eastAsia="Calibri" w:cs="Times New Roman"/>
          <w:szCs w:val="24"/>
        </w:rPr>
        <w:t xml:space="preserve"> и геоложки условия и високоенергиен релеф. Поради това нивото на природния риск е по-високо в сравнение с повечето от европейските страни.</w:t>
      </w:r>
    </w:p>
    <w:p w14:paraId="49B62B99"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Съгласно геотехническата терминология под свлачище се схваща </w:t>
      </w:r>
      <w:proofErr w:type="spellStart"/>
      <w:r w:rsidRPr="009F6D1E">
        <w:rPr>
          <w:rFonts w:eastAsia="Calibri" w:cs="Times New Roman"/>
          <w:szCs w:val="24"/>
        </w:rPr>
        <w:t>прeместването</w:t>
      </w:r>
      <w:proofErr w:type="spellEnd"/>
      <w:r w:rsidRPr="009F6D1E">
        <w:rPr>
          <w:rFonts w:eastAsia="Calibri" w:cs="Times New Roman"/>
          <w:szCs w:val="24"/>
        </w:rPr>
        <w:t xml:space="preserve"> на земни (скални) маси по склоновете под действие на собственото им тегло и други външни сили. Възникване или активизиране на свлачища е възможно при съчетаването на подходящи условия с действието на определени фактори (процеси). Условия за възникване на свлачищата са наклоненият терен, наличието на слаби земни пластове или прослойки в геоложкия разрез, плитките подземни води. Активизиращите фактори са колебанията в нивата на подземните води, промяната в геометрията на склоновете вследствие на ерозионни и </w:t>
      </w:r>
      <w:proofErr w:type="spellStart"/>
      <w:r w:rsidRPr="009F6D1E">
        <w:rPr>
          <w:rFonts w:eastAsia="Calibri" w:cs="Times New Roman"/>
          <w:szCs w:val="24"/>
        </w:rPr>
        <w:t>абразионни</w:t>
      </w:r>
      <w:proofErr w:type="spellEnd"/>
      <w:r w:rsidRPr="009F6D1E">
        <w:rPr>
          <w:rFonts w:eastAsia="Calibri" w:cs="Times New Roman"/>
          <w:szCs w:val="24"/>
        </w:rPr>
        <w:t xml:space="preserve"> процеси или техногенни въздействия, проливните дъждове, колебанията на нивата на повърхностни водоеми, съвременните тектонски движения.</w:t>
      </w:r>
    </w:p>
    <w:p w14:paraId="6CB36645" w14:textId="221866CF" w:rsidR="00CE63FB" w:rsidRPr="009F6D1E" w:rsidRDefault="00CE63FB" w:rsidP="0084747F">
      <w:pPr>
        <w:suppressAutoHyphens/>
        <w:autoSpaceDN w:val="0"/>
        <w:spacing w:after="60" w:line="264" w:lineRule="auto"/>
        <w:ind w:firstLine="708"/>
        <w:jc w:val="both"/>
        <w:rPr>
          <w:rFonts w:eastAsia="Calibri" w:cs="Times New Roman"/>
        </w:rPr>
      </w:pPr>
      <w:proofErr w:type="spellStart"/>
      <w:r w:rsidRPr="009F6D1E">
        <w:rPr>
          <w:rFonts w:eastAsia="Calibri" w:cs="Times New Roman"/>
          <w:szCs w:val="24"/>
        </w:rPr>
        <w:t>Свлачищният</w:t>
      </w:r>
      <w:proofErr w:type="spellEnd"/>
      <w:r w:rsidRPr="009F6D1E">
        <w:rPr>
          <w:rFonts w:eastAsia="Calibri" w:cs="Times New Roman"/>
          <w:szCs w:val="24"/>
        </w:rPr>
        <w:t xml:space="preserve"> проблем допълнително се усложнява от високата реализирана и прогнозна </w:t>
      </w:r>
      <w:proofErr w:type="spellStart"/>
      <w:r w:rsidRPr="009F6D1E">
        <w:rPr>
          <w:rFonts w:eastAsia="Calibri" w:cs="Times New Roman"/>
          <w:szCs w:val="24"/>
        </w:rPr>
        <w:t>земетръсност</w:t>
      </w:r>
      <w:proofErr w:type="spellEnd"/>
      <w:r w:rsidRPr="009F6D1E">
        <w:rPr>
          <w:rFonts w:eastAsia="Calibri" w:cs="Times New Roman"/>
          <w:szCs w:val="24"/>
        </w:rPr>
        <w:t xml:space="preserve"> на територията на страната (</w:t>
      </w:r>
      <w:r w:rsidR="003F3D71" w:rsidRPr="009F6D1E">
        <w:rPr>
          <w:rFonts w:eastAsia="Calibri" w:cs="Times New Roman"/>
          <w:b/>
          <w:bCs/>
          <w:szCs w:val="24"/>
          <w:shd w:val="clear" w:color="auto" w:fill="FFFF00"/>
        </w:rPr>
        <w:fldChar w:fldCharType="begin"/>
      </w:r>
      <w:r w:rsidR="00B55D53" w:rsidRPr="009F6D1E">
        <w:rPr>
          <w:rFonts w:eastAsia="Calibri" w:cs="Times New Roman"/>
          <w:szCs w:val="24"/>
        </w:rPr>
        <w:instrText xml:space="preserve"> REF _Ref107167684 \h </w:instrText>
      </w:r>
      <w:r w:rsidR="003F3D71" w:rsidRPr="009F6D1E">
        <w:rPr>
          <w:rFonts w:eastAsia="Calibri" w:cs="Times New Roman"/>
          <w:b/>
          <w:bCs/>
          <w:szCs w:val="24"/>
          <w:shd w:val="clear" w:color="auto" w:fill="FFFF00"/>
        </w:rPr>
      </w:r>
      <w:r w:rsidR="003F3D71" w:rsidRPr="009F6D1E">
        <w:rPr>
          <w:rFonts w:eastAsia="Calibri" w:cs="Times New Roman"/>
          <w:b/>
          <w:bCs/>
          <w:szCs w:val="24"/>
          <w:shd w:val="clear" w:color="auto" w:fill="FFFF00"/>
        </w:rPr>
        <w:fldChar w:fldCharType="separate"/>
      </w:r>
      <w:r w:rsidR="00A43EF3" w:rsidRPr="009F6D1E">
        <w:t xml:space="preserve">Фигура </w:t>
      </w:r>
      <w:r w:rsidR="00A43EF3">
        <w:rPr>
          <w:noProof/>
        </w:rPr>
        <w:t>48</w:t>
      </w:r>
      <w:r w:rsidR="003F3D71" w:rsidRPr="009F6D1E">
        <w:rPr>
          <w:rFonts w:eastAsia="Calibri" w:cs="Times New Roman"/>
          <w:b/>
          <w:bCs/>
          <w:szCs w:val="24"/>
          <w:shd w:val="clear" w:color="auto" w:fill="FFFF00"/>
        </w:rPr>
        <w:fldChar w:fldCharType="end"/>
      </w:r>
      <w:r w:rsidRPr="009F6D1E">
        <w:rPr>
          <w:rFonts w:eastAsia="Calibri" w:cs="Times New Roman"/>
          <w:szCs w:val="24"/>
        </w:rPr>
        <w:t>).</w:t>
      </w:r>
    </w:p>
    <w:p w14:paraId="39674F2A" w14:textId="77777777" w:rsidR="00CE63FB" w:rsidRPr="009F6D1E" w:rsidRDefault="00CE63FB" w:rsidP="0084747F">
      <w:pPr>
        <w:suppressAutoHyphens/>
        <w:autoSpaceDN w:val="0"/>
        <w:spacing w:after="60" w:line="264" w:lineRule="auto"/>
        <w:ind w:left="360"/>
        <w:jc w:val="center"/>
        <w:rPr>
          <w:rFonts w:eastAsia="Calibri" w:cs="Times New Roman"/>
          <w:color w:val="1F3864" w:themeColor="accent1" w:themeShade="80"/>
        </w:rPr>
      </w:pPr>
      <w:r w:rsidRPr="009F6D1E">
        <w:rPr>
          <w:rFonts w:eastAsia="Calibri" w:cs="Times New Roman"/>
          <w:noProof/>
          <w:color w:val="1F3864" w:themeColor="accent1" w:themeShade="80"/>
          <w:szCs w:val="24"/>
          <w:lang w:val="en-US"/>
        </w:rPr>
        <w:lastRenderedPageBreak/>
        <w:drawing>
          <wp:inline distT="0" distB="0" distL="0" distR="0" wp14:anchorId="42E358FC" wp14:editId="26D98820">
            <wp:extent cx="4946017" cy="3339461"/>
            <wp:effectExtent l="0" t="0" r="6983" b="0"/>
            <wp:docPr id="465" name="Picture 46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srcRect/>
                    <a:stretch>
                      <a:fillRect/>
                    </a:stretch>
                  </pic:blipFill>
                  <pic:spPr>
                    <a:xfrm>
                      <a:off x="0" y="0"/>
                      <a:ext cx="4946017" cy="3339461"/>
                    </a:xfrm>
                    <a:prstGeom prst="rect">
                      <a:avLst/>
                    </a:prstGeom>
                    <a:noFill/>
                    <a:ln>
                      <a:noFill/>
                      <a:prstDash/>
                    </a:ln>
                  </pic:spPr>
                </pic:pic>
              </a:graphicData>
            </a:graphic>
          </wp:inline>
        </w:drawing>
      </w:r>
    </w:p>
    <w:p w14:paraId="4B54DFE4" w14:textId="3678E915" w:rsidR="00CE63FB" w:rsidRPr="009F6D1E" w:rsidRDefault="00B55D53" w:rsidP="00B55D53">
      <w:pPr>
        <w:pStyle w:val="Caption"/>
        <w:rPr>
          <w:rFonts w:eastAsia="Calibri"/>
        </w:rPr>
      </w:pPr>
      <w:bookmarkStart w:id="303" w:name="_Ref107167684"/>
      <w:bookmarkStart w:id="304" w:name="_Toc115255109"/>
      <w:r w:rsidRPr="009F6D1E">
        <w:t xml:space="preserve">Фигура </w:t>
      </w:r>
      <w:fldSimple w:instr=" SEQ Фигура \* ARABIC ">
        <w:r w:rsidR="00A43EF3">
          <w:rPr>
            <w:noProof/>
          </w:rPr>
          <w:t>48</w:t>
        </w:r>
      </w:fldSimple>
      <w:bookmarkEnd w:id="303"/>
      <w:r w:rsidRPr="009F6D1E">
        <w:t xml:space="preserve">: </w:t>
      </w:r>
      <w:r w:rsidR="00CE63FB" w:rsidRPr="009F6D1E">
        <w:rPr>
          <w:rFonts w:eastAsia="Calibri"/>
          <w:b/>
          <w:bCs/>
        </w:rPr>
        <w:t xml:space="preserve"> </w:t>
      </w:r>
      <w:r w:rsidR="00CE63FB" w:rsidRPr="009F6D1E">
        <w:rPr>
          <w:rFonts w:eastAsia="Calibri"/>
        </w:rPr>
        <w:t>Карта на сеизмичните източници в България</w:t>
      </w:r>
      <w:bookmarkEnd w:id="304"/>
    </w:p>
    <w:p w14:paraId="121DFB4F"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За броя на активните свлачища в България се цитират най-различни цифри – от 1000 до 10000.</w:t>
      </w:r>
    </w:p>
    <w:p w14:paraId="233EB222"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Свлачищата в България са обособени в няколко </w:t>
      </w:r>
      <w:proofErr w:type="spellStart"/>
      <w:r w:rsidRPr="009F6D1E">
        <w:rPr>
          <w:rFonts w:eastAsia="Calibri" w:cs="Times New Roman"/>
          <w:szCs w:val="24"/>
        </w:rPr>
        <w:t>свлачищни</w:t>
      </w:r>
      <w:proofErr w:type="spellEnd"/>
      <w:r w:rsidRPr="009F6D1E">
        <w:rPr>
          <w:rFonts w:eastAsia="Calibri" w:cs="Times New Roman"/>
          <w:szCs w:val="24"/>
        </w:rPr>
        <w:t xml:space="preserve"> района. Най-голям от тях е Черноморският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Особено впечатляващи са свлачищата по Северното Черноморско крайбрежие, чиито размери са от порядъка на няколко километра, а дълбочините на </w:t>
      </w:r>
      <w:proofErr w:type="spellStart"/>
      <w:r w:rsidRPr="009F6D1E">
        <w:rPr>
          <w:rFonts w:eastAsia="Calibri" w:cs="Times New Roman"/>
          <w:szCs w:val="24"/>
        </w:rPr>
        <w:t>хлъзгателните</w:t>
      </w:r>
      <w:proofErr w:type="spellEnd"/>
      <w:r w:rsidRPr="009F6D1E">
        <w:rPr>
          <w:rFonts w:eastAsia="Calibri" w:cs="Times New Roman"/>
          <w:szCs w:val="24"/>
        </w:rPr>
        <w:t xml:space="preserve"> повърхнини достигат до 280-300 m. В южно направление </w:t>
      </w:r>
      <w:proofErr w:type="spellStart"/>
      <w:r w:rsidRPr="009F6D1E">
        <w:rPr>
          <w:rFonts w:eastAsia="Calibri" w:cs="Times New Roman"/>
          <w:szCs w:val="24"/>
        </w:rPr>
        <w:t>свлачищната</w:t>
      </w:r>
      <w:proofErr w:type="spellEnd"/>
      <w:r w:rsidRPr="009F6D1E">
        <w:rPr>
          <w:rFonts w:eastAsia="Calibri" w:cs="Times New Roman"/>
          <w:szCs w:val="24"/>
        </w:rPr>
        <w:t xml:space="preserve"> опасност намалява, но въпреки това остава по-висока от средната за страната. Основни фактори за възникване на свлачищата в района са морската </w:t>
      </w:r>
      <w:proofErr w:type="spellStart"/>
      <w:r w:rsidRPr="009F6D1E">
        <w:rPr>
          <w:rFonts w:eastAsia="Calibri" w:cs="Times New Roman"/>
          <w:szCs w:val="24"/>
        </w:rPr>
        <w:t>абразия</w:t>
      </w:r>
      <w:proofErr w:type="spellEnd"/>
      <w:r w:rsidRPr="009F6D1E">
        <w:rPr>
          <w:rFonts w:eastAsia="Calibri" w:cs="Times New Roman"/>
          <w:szCs w:val="24"/>
        </w:rPr>
        <w:t>, повишаването на нивата на подземните води в урбанизираните зони и сеизмичните прояви в Шабленската земетръсна зона.</w:t>
      </w:r>
    </w:p>
    <w:p w14:paraId="3744912D"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Втори по големина е Дунавския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Свлачищата са привързани към високия Дунавски бряг. Основен фактор за </w:t>
      </w:r>
      <w:proofErr w:type="spellStart"/>
      <w:r w:rsidRPr="009F6D1E">
        <w:rPr>
          <w:rFonts w:eastAsia="Calibri" w:cs="Times New Roman"/>
          <w:szCs w:val="24"/>
        </w:rPr>
        <w:t>възнтикването</w:t>
      </w:r>
      <w:proofErr w:type="spellEnd"/>
      <w:r w:rsidRPr="009F6D1E">
        <w:rPr>
          <w:rFonts w:eastAsia="Calibri" w:cs="Times New Roman"/>
          <w:szCs w:val="24"/>
        </w:rPr>
        <w:t xml:space="preserve"> и периодичната им активизация е речната ерозия. </w:t>
      </w:r>
    </w:p>
    <w:p w14:paraId="5C82487B"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С висока съвременна активност е Предбалканският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Той е развит в </w:t>
      </w:r>
      <w:proofErr w:type="spellStart"/>
      <w:r w:rsidRPr="009F6D1E">
        <w:rPr>
          <w:rFonts w:eastAsia="Calibri" w:cs="Times New Roman"/>
          <w:szCs w:val="24"/>
        </w:rPr>
        <w:t>субпаралелна</w:t>
      </w:r>
      <w:proofErr w:type="spellEnd"/>
      <w:r w:rsidRPr="009F6D1E">
        <w:rPr>
          <w:rFonts w:eastAsia="Calibri" w:cs="Times New Roman"/>
          <w:szCs w:val="24"/>
        </w:rPr>
        <w:t xml:space="preserve"> ивица между Етрополе и Търговище. Особена опасност представляват свлачищата в </w:t>
      </w:r>
      <w:proofErr w:type="spellStart"/>
      <w:r w:rsidRPr="009F6D1E">
        <w:rPr>
          <w:rFonts w:eastAsia="Calibri" w:cs="Times New Roman"/>
          <w:szCs w:val="24"/>
        </w:rPr>
        <w:t>районитеа</w:t>
      </w:r>
      <w:proofErr w:type="spellEnd"/>
      <w:r w:rsidRPr="009F6D1E">
        <w:rPr>
          <w:rFonts w:eastAsia="Calibri" w:cs="Times New Roman"/>
          <w:szCs w:val="24"/>
        </w:rPr>
        <w:t xml:space="preserve"> на Троян, </w:t>
      </w:r>
      <w:proofErr w:type="spellStart"/>
      <w:r w:rsidRPr="009F6D1E">
        <w:rPr>
          <w:rFonts w:eastAsia="Calibri" w:cs="Times New Roman"/>
          <w:szCs w:val="24"/>
        </w:rPr>
        <w:t>Сеивлиево</w:t>
      </w:r>
      <w:proofErr w:type="spellEnd"/>
      <w:r w:rsidRPr="009F6D1E">
        <w:rPr>
          <w:rFonts w:eastAsia="Calibri" w:cs="Times New Roman"/>
          <w:szCs w:val="24"/>
        </w:rPr>
        <w:t xml:space="preserve">, Велико Търново, Стражица, Антоново и Търговище. Основен </w:t>
      </w:r>
      <w:proofErr w:type="spellStart"/>
      <w:r w:rsidRPr="009F6D1E">
        <w:rPr>
          <w:rFonts w:eastAsia="Calibri" w:cs="Times New Roman"/>
          <w:szCs w:val="24"/>
        </w:rPr>
        <w:t>активизиращт</w:t>
      </w:r>
      <w:proofErr w:type="spellEnd"/>
      <w:r w:rsidRPr="009F6D1E">
        <w:rPr>
          <w:rFonts w:eastAsia="Calibri" w:cs="Times New Roman"/>
          <w:szCs w:val="24"/>
        </w:rPr>
        <w:t xml:space="preserve"> фактор е повишаването на нивата на подземните води, речната ерозия и техногенните въздействия </w:t>
      </w:r>
    </w:p>
    <w:p w14:paraId="0D238E6C" w14:textId="77777777" w:rsidR="00CE63FB" w:rsidRPr="009F6D1E" w:rsidRDefault="00CE63FB" w:rsidP="0084747F">
      <w:pPr>
        <w:suppressAutoHyphens/>
        <w:autoSpaceDN w:val="0"/>
        <w:spacing w:after="60" w:line="264" w:lineRule="auto"/>
        <w:ind w:firstLine="708"/>
        <w:jc w:val="both"/>
        <w:rPr>
          <w:rFonts w:eastAsia="Calibri" w:cs="Times New Roman"/>
          <w:szCs w:val="24"/>
        </w:rPr>
      </w:pPr>
      <w:proofErr w:type="spellStart"/>
      <w:r w:rsidRPr="009F6D1E">
        <w:rPr>
          <w:rFonts w:eastAsia="Calibri" w:cs="Times New Roman"/>
          <w:szCs w:val="24"/>
        </w:rPr>
        <w:t>Свлачищният</w:t>
      </w:r>
      <w:proofErr w:type="spellEnd"/>
      <w:r w:rsidRPr="009F6D1E">
        <w:rPr>
          <w:rFonts w:eastAsia="Calibri" w:cs="Times New Roman"/>
          <w:szCs w:val="24"/>
        </w:rPr>
        <w:t xml:space="preserve"> район на Подбалканските котловинни полета включва районите на Златица-Пирдоп, Казанлък и Сливен. Свлачищата са локализирани в </w:t>
      </w:r>
      <w:proofErr w:type="spellStart"/>
      <w:r w:rsidRPr="009F6D1E">
        <w:rPr>
          <w:rFonts w:eastAsia="Calibri" w:cs="Times New Roman"/>
          <w:szCs w:val="24"/>
        </w:rPr>
        <w:t>оградните</w:t>
      </w:r>
      <w:proofErr w:type="spellEnd"/>
      <w:r w:rsidRPr="009F6D1E">
        <w:rPr>
          <w:rFonts w:eastAsia="Calibri" w:cs="Times New Roman"/>
          <w:szCs w:val="24"/>
        </w:rPr>
        <w:t xml:space="preserve"> склонове на котловините. Основни фактори са подземните води и техногенната дейност. </w:t>
      </w:r>
    </w:p>
    <w:p w14:paraId="281B82C1"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lastRenderedPageBreak/>
        <w:t xml:space="preserve">Софийският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е развит предимно по периферията на котловината (Банкя, Иваняне, Горна Баня, Княжево, Бояна, Драгалевци, Симеоново, Бистрица, Панчарево, Кокаляне, Лозен, Гниляне, Нови Искър, Драговищица, Божурище), но не са рядкост и свлачищата в централната й част (Лозенец, Западен парк, </w:t>
      </w:r>
      <w:proofErr w:type="spellStart"/>
      <w:r w:rsidRPr="009F6D1E">
        <w:rPr>
          <w:rFonts w:eastAsia="Calibri" w:cs="Times New Roman"/>
          <w:szCs w:val="24"/>
        </w:rPr>
        <w:t>Земляне</w:t>
      </w:r>
      <w:proofErr w:type="spellEnd"/>
      <w:r w:rsidRPr="009F6D1E">
        <w:rPr>
          <w:rFonts w:eastAsia="Calibri" w:cs="Times New Roman"/>
          <w:szCs w:val="24"/>
        </w:rPr>
        <w:t xml:space="preserve">, </w:t>
      </w:r>
      <w:proofErr w:type="spellStart"/>
      <w:r w:rsidRPr="009F6D1E">
        <w:rPr>
          <w:rFonts w:eastAsia="Calibri" w:cs="Times New Roman"/>
          <w:szCs w:val="24"/>
        </w:rPr>
        <w:t>Въртопо</w:t>
      </w:r>
      <w:proofErr w:type="spellEnd"/>
      <w:r w:rsidRPr="009F6D1E">
        <w:rPr>
          <w:rFonts w:eastAsia="Calibri" w:cs="Times New Roman"/>
          <w:szCs w:val="24"/>
        </w:rPr>
        <w:t xml:space="preserve">). </w:t>
      </w:r>
    </w:p>
    <w:p w14:paraId="4273DE76" w14:textId="77777777" w:rsidR="00CE63FB" w:rsidRPr="009F6D1E" w:rsidRDefault="00CE63FB"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Югозападният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включва райони от Пернишка, Кюстендилска и Благоевградска област. Свлачищата са развити по </w:t>
      </w:r>
      <w:proofErr w:type="spellStart"/>
      <w:r w:rsidRPr="009F6D1E">
        <w:rPr>
          <w:rFonts w:eastAsia="Calibri" w:cs="Times New Roman"/>
          <w:szCs w:val="24"/>
        </w:rPr>
        <w:t>оградните</w:t>
      </w:r>
      <w:proofErr w:type="spellEnd"/>
      <w:r w:rsidRPr="009F6D1E">
        <w:rPr>
          <w:rFonts w:eastAsia="Calibri" w:cs="Times New Roman"/>
          <w:szCs w:val="24"/>
        </w:rPr>
        <w:t xml:space="preserve"> склонове на неогенските басейни (Пернишки, </w:t>
      </w:r>
      <w:proofErr w:type="spellStart"/>
      <w:r w:rsidRPr="009F6D1E">
        <w:rPr>
          <w:rFonts w:eastAsia="Calibri" w:cs="Times New Roman"/>
          <w:szCs w:val="24"/>
        </w:rPr>
        <w:t>Бобовдолски</w:t>
      </w:r>
      <w:proofErr w:type="spellEnd"/>
      <w:r w:rsidRPr="009F6D1E">
        <w:rPr>
          <w:rFonts w:eastAsia="Calibri" w:cs="Times New Roman"/>
          <w:szCs w:val="24"/>
        </w:rPr>
        <w:t xml:space="preserve">, </w:t>
      </w:r>
      <w:proofErr w:type="spellStart"/>
      <w:r w:rsidRPr="009F6D1E">
        <w:rPr>
          <w:rFonts w:eastAsia="Calibri" w:cs="Times New Roman"/>
          <w:szCs w:val="24"/>
        </w:rPr>
        <w:t>Благоенградси</w:t>
      </w:r>
      <w:proofErr w:type="spellEnd"/>
      <w:r w:rsidRPr="009F6D1E">
        <w:rPr>
          <w:rFonts w:eastAsia="Calibri" w:cs="Times New Roman"/>
          <w:szCs w:val="24"/>
        </w:rPr>
        <w:t xml:space="preserve">, </w:t>
      </w:r>
      <w:proofErr w:type="spellStart"/>
      <w:r w:rsidRPr="009F6D1E">
        <w:rPr>
          <w:rFonts w:eastAsia="Calibri" w:cs="Times New Roman"/>
          <w:szCs w:val="24"/>
        </w:rPr>
        <w:t>Симитлийски</w:t>
      </w:r>
      <w:proofErr w:type="spellEnd"/>
      <w:r w:rsidRPr="009F6D1E">
        <w:rPr>
          <w:rFonts w:eastAsia="Calibri" w:cs="Times New Roman"/>
          <w:szCs w:val="24"/>
        </w:rPr>
        <w:t xml:space="preserve">). </w:t>
      </w:r>
    </w:p>
    <w:p w14:paraId="722A1F1E" w14:textId="77777777" w:rsidR="00CE63FB" w:rsidRPr="009F6D1E" w:rsidRDefault="00CE63FB" w:rsidP="0084747F">
      <w:pPr>
        <w:suppressAutoHyphens/>
        <w:autoSpaceDN w:val="0"/>
        <w:spacing w:after="60" w:line="264" w:lineRule="auto"/>
        <w:ind w:firstLine="708"/>
        <w:jc w:val="both"/>
        <w:rPr>
          <w:rFonts w:eastAsia="Calibri" w:cs="Times New Roman"/>
        </w:rPr>
      </w:pPr>
      <w:r w:rsidRPr="009F6D1E">
        <w:rPr>
          <w:rFonts w:eastAsia="Calibri" w:cs="Times New Roman"/>
          <w:szCs w:val="24"/>
        </w:rPr>
        <w:t xml:space="preserve">Родопският </w:t>
      </w:r>
      <w:proofErr w:type="spellStart"/>
      <w:r w:rsidRPr="009F6D1E">
        <w:rPr>
          <w:rFonts w:eastAsia="Calibri" w:cs="Times New Roman"/>
          <w:szCs w:val="24"/>
        </w:rPr>
        <w:t>свлачищен</w:t>
      </w:r>
      <w:proofErr w:type="spellEnd"/>
      <w:r w:rsidRPr="009F6D1E">
        <w:rPr>
          <w:rFonts w:eastAsia="Calibri" w:cs="Times New Roman"/>
          <w:szCs w:val="24"/>
        </w:rPr>
        <w:t xml:space="preserve"> район е най-екзотичен, но сравнително слабо проучен. Впечатляващи са свлачищата в Смолян, Кричим, Генерал Гешево. Има сериозни основания да се счита, че големите свлачища са резултат от съвременни </w:t>
      </w:r>
      <w:proofErr w:type="spellStart"/>
      <w:r w:rsidRPr="009F6D1E">
        <w:rPr>
          <w:rFonts w:eastAsia="Calibri" w:cs="Times New Roman"/>
          <w:szCs w:val="24"/>
        </w:rPr>
        <w:t>орогенни</w:t>
      </w:r>
      <w:proofErr w:type="spellEnd"/>
      <w:r w:rsidRPr="009F6D1E">
        <w:rPr>
          <w:rFonts w:eastAsia="Calibri" w:cs="Times New Roman"/>
          <w:szCs w:val="24"/>
        </w:rPr>
        <w:t xml:space="preserve"> процеси.</w:t>
      </w:r>
    </w:p>
    <w:p w14:paraId="54F8C253" w14:textId="77777777" w:rsidR="00DC0401" w:rsidRPr="009F6D1E" w:rsidRDefault="00DC0401" w:rsidP="0084747F">
      <w:pPr>
        <w:spacing w:after="60" w:line="264" w:lineRule="auto"/>
        <w:contextualSpacing/>
        <w:jc w:val="both"/>
        <w:rPr>
          <w:rFonts w:eastAsia="Calibri" w:cs="Times New Roman"/>
          <w:b/>
          <w:bCs/>
          <w:i/>
          <w:iCs/>
          <w:szCs w:val="24"/>
          <w:highlight w:val="yellow"/>
        </w:rPr>
      </w:pPr>
    </w:p>
    <w:p w14:paraId="6643D0E1" w14:textId="77777777" w:rsidR="00471E9F" w:rsidRPr="009F6D1E" w:rsidRDefault="00471E9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305" w:name="_Toc115254996"/>
      <w:r w:rsidRPr="009F6D1E">
        <w:rPr>
          <w:smallCaps w:val="0"/>
          <w:lang w:bidi="ar-SA"/>
        </w:rPr>
        <w:t>Почви</w:t>
      </w:r>
      <w:r w:rsidR="00DC0401" w:rsidRPr="009F6D1E">
        <w:rPr>
          <w:smallCaps w:val="0"/>
          <w:lang w:bidi="ar-SA"/>
        </w:rPr>
        <w:t xml:space="preserve"> и </w:t>
      </w:r>
      <w:proofErr w:type="spellStart"/>
      <w:r w:rsidR="00DC0401" w:rsidRPr="009F6D1E">
        <w:rPr>
          <w:smallCaps w:val="0"/>
          <w:lang w:bidi="ar-SA"/>
        </w:rPr>
        <w:t>земеползване</w:t>
      </w:r>
      <w:bookmarkEnd w:id="305"/>
      <w:proofErr w:type="spellEnd"/>
    </w:p>
    <w:p w14:paraId="52B122B3" w14:textId="77777777" w:rsidR="00DC0401" w:rsidRPr="009F6D1E" w:rsidRDefault="00DC0401" w:rsidP="0084747F">
      <w:pPr>
        <w:spacing w:after="60" w:line="264" w:lineRule="auto"/>
        <w:contextualSpacing/>
        <w:jc w:val="both"/>
        <w:rPr>
          <w:rFonts w:eastAsia="Calibri" w:cs="Times New Roman"/>
          <w:b/>
          <w:bCs/>
          <w:i/>
          <w:iCs/>
          <w:szCs w:val="24"/>
          <w:highlight w:val="yellow"/>
        </w:rPr>
      </w:pPr>
    </w:p>
    <w:p w14:paraId="708D1A7F"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Почвената покривка на България се отличава с голяма пъстрота поради значителното разнообразие на факторите на почвообразуване - </w:t>
      </w:r>
      <w:proofErr w:type="spellStart"/>
      <w:r w:rsidRPr="009F6D1E">
        <w:rPr>
          <w:rFonts w:eastAsia="Times New Roman" w:cs="Times New Roman"/>
          <w:szCs w:val="24"/>
        </w:rPr>
        <w:t>почвообразуващи</w:t>
      </w:r>
      <w:proofErr w:type="spellEnd"/>
      <w:r w:rsidRPr="009F6D1E">
        <w:rPr>
          <w:rFonts w:eastAsia="Times New Roman" w:cs="Times New Roman"/>
          <w:szCs w:val="24"/>
        </w:rPr>
        <w:t xml:space="preserve"> скали, силно разчленен релеф, различни биоклиматични условия и антропогенна дейност.</w:t>
      </w:r>
    </w:p>
    <w:p w14:paraId="703E626F"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На територията на България са разпространени единайсет от големите групи почви. Според Световната референтна база за почвени ресурси (WRBSR – World </w:t>
      </w:r>
      <w:proofErr w:type="spellStart"/>
      <w:r w:rsidRPr="009F6D1E">
        <w:rPr>
          <w:rFonts w:eastAsia="Times New Roman" w:cs="Times New Roman"/>
          <w:szCs w:val="24"/>
        </w:rPr>
        <w:t>Reference</w:t>
      </w:r>
      <w:proofErr w:type="spellEnd"/>
      <w:r w:rsidRPr="009F6D1E">
        <w:rPr>
          <w:rFonts w:eastAsia="Times New Roman" w:cs="Times New Roman"/>
          <w:szCs w:val="24"/>
        </w:rPr>
        <w:t xml:space="preserve"> </w:t>
      </w:r>
      <w:proofErr w:type="spellStart"/>
      <w:r w:rsidRPr="009F6D1E">
        <w:rPr>
          <w:rFonts w:eastAsia="Times New Roman" w:cs="Times New Roman"/>
          <w:szCs w:val="24"/>
        </w:rPr>
        <w:t>Base</w:t>
      </w:r>
      <w:proofErr w:type="spellEnd"/>
      <w:r w:rsidRPr="009F6D1E">
        <w:rPr>
          <w:rFonts w:eastAsia="Times New Roman" w:cs="Times New Roman"/>
          <w:szCs w:val="24"/>
        </w:rPr>
        <w:t xml:space="preserve"> </w:t>
      </w:r>
      <w:proofErr w:type="spellStart"/>
      <w:r w:rsidRPr="009F6D1E">
        <w:rPr>
          <w:rFonts w:eastAsia="Times New Roman" w:cs="Times New Roman"/>
          <w:szCs w:val="24"/>
        </w:rPr>
        <w:t>for</w:t>
      </w:r>
      <w:proofErr w:type="spellEnd"/>
      <w:r w:rsidRPr="009F6D1E">
        <w:rPr>
          <w:rFonts w:eastAsia="Times New Roman" w:cs="Times New Roman"/>
          <w:szCs w:val="24"/>
        </w:rPr>
        <w:t xml:space="preserve"> </w:t>
      </w:r>
      <w:proofErr w:type="spellStart"/>
      <w:r w:rsidRPr="009F6D1E">
        <w:rPr>
          <w:rFonts w:eastAsia="Times New Roman" w:cs="Times New Roman"/>
          <w:szCs w:val="24"/>
        </w:rPr>
        <w:t>Soil</w:t>
      </w:r>
      <w:proofErr w:type="spellEnd"/>
      <w:r w:rsidRPr="009F6D1E">
        <w:rPr>
          <w:rFonts w:eastAsia="Times New Roman" w:cs="Times New Roman"/>
          <w:szCs w:val="24"/>
        </w:rPr>
        <w:t xml:space="preserve"> </w:t>
      </w:r>
      <w:proofErr w:type="spellStart"/>
      <w:r w:rsidRPr="009F6D1E">
        <w:rPr>
          <w:rFonts w:eastAsia="Times New Roman" w:cs="Times New Roman"/>
          <w:szCs w:val="24"/>
        </w:rPr>
        <w:t>Resources</w:t>
      </w:r>
      <w:proofErr w:type="spellEnd"/>
      <w:r w:rsidRPr="009F6D1E">
        <w:rPr>
          <w:rFonts w:eastAsia="Times New Roman" w:cs="Times New Roman"/>
          <w:szCs w:val="24"/>
        </w:rPr>
        <w:t xml:space="preserve">) това са </w:t>
      </w:r>
      <w:proofErr w:type="spellStart"/>
      <w:r w:rsidRPr="009F6D1E">
        <w:rPr>
          <w:rFonts w:eastAsia="Times New Roman" w:cs="Times New Roman"/>
          <w:szCs w:val="24"/>
        </w:rPr>
        <w:t>Cambisol</w:t>
      </w:r>
      <w:proofErr w:type="spellEnd"/>
      <w:r w:rsidRPr="009F6D1E">
        <w:rPr>
          <w:rFonts w:eastAsia="Times New Roman" w:cs="Times New Roman"/>
          <w:szCs w:val="24"/>
        </w:rPr>
        <w:t xml:space="preserve">, </w:t>
      </w:r>
      <w:proofErr w:type="spellStart"/>
      <w:r w:rsidRPr="009F6D1E">
        <w:rPr>
          <w:rFonts w:eastAsia="Times New Roman" w:cs="Times New Roman"/>
          <w:szCs w:val="24"/>
        </w:rPr>
        <w:t>Leptosol</w:t>
      </w:r>
      <w:proofErr w:type="spellEnd"/>
      <w:r w:rsidRPr="009F6D1E">
        <w:rPr>
          <w:rFonts w:eastAsia="Times New Roman" w:cs="Times New Roman"/>
          <w:szCs w:val="24"/>
        </w:rPr>
        <w:t xml:space="preserve">, </w:t>
      </w:r>
      <w:proofErr w:type="spellStart"/>
      <w:r w:rsidRPr="009F6D1E">
        <w:rPr>
          <w:rFonts w:eastAsia="Times New Roman" w:cs="Times New Roman"/>
          <w:szCs w:val="24"/>
        </w:rPr>
        <w:t>Luvisol</w:t>
      </w:r>
      <w:proofErr w:type="spellEnd"/>
      <w:r w:rsidRPr="009F6D1E">
        <w:rPr>
          <w:rFonts w:eastAsia="Times New Roman" w:cs="Times New Roman"/>
          <w:szCs w:val="24"/>
        </w:rPr>
        <w:t xml:space="preserve">, </w:t>
      </w:r>
      <w:proofErr w:type="spellStart"/>
      <w:r w:rsidRPr="009F6D1E">
        <w:rPr>
          <w:rFonts w:eastAsia="Times New Roman" w:cs="Times New Roman"/>
          <w:szCs w:val="24"/>
        </w:rPr>
        <w:t>Fluvisol</w:t>
      </w:r>
      <w:proofErr w:type="spellEnd"/>
      <w:r w:rsidRPr="009F6D1E">
        <w:rPr>
          <w:rFonts w:eastAsia="Times New Roman" w:cs="Times New Roman"/>
          <w:szCs w:val="24"/>
        </w:rPr>
        <w:t xml:space="preserve">, </w:t>
      </w:r>
      <w:proofErr w:type="spellStart"/>
      <w:r w:rsidRPr="009F6D1E">
        <w:rPr>
          <w:rFonts w:eastAsia="Times New Roman" w:cs="Times New Roman"/>
          <w:szCs w:val="24"/>
        </w:rPr>
        <w:t>Umbrisol</w:t>
      </w:r>
      <w:proofErr w:type="spellEnd"/>
      <w:r w:rsidRPr="009F6D1E">
        <w:rPr>
          <w:rFonts w:eastAsia="Times New Roman" w:cs="Times New Roman"/>
          <w:szCs w:val="24"/>
        </w:rPr>
        <w:t xml:space="preserve">, </w:t>
      </w:r>
      <w:proofErr w:type="spellStart"/>
      <w:r w:rsidRPr="009F6D1E">
        <w:rPr>
          <w:rFonts w:eastAsia="Times New Roman" w:cs="Times New Roman"/>
          <w:szCs w:val="24"/>
        </w:rPr>
        <w:t>Phaeozem</w:t>
      </w:r>
      <w:proofErr w:type="spellEnd"/>
      <w:r w:rsidRPr="009F6D1E">
        <w:rPr>
          <w:rFonts w:eastAsia="Times New Roman" w:cs="Times New Roman"/>
          <w:szCs w:val="24"/>
        </w:rPr>
        <w:t xml:space="preserve">, </w:t>
      </w:r>
      <w:proofErr w:type="spellStart"/>
      <w:r w:rsidRPr="009F6D1E">
        <w:rPr>
          <w:rFonts w:eastAsia="Times New Roman" w:cs="Times New Roman"/>
          <w:szCs w:val="24"/>
        </w:rPr>
        <w:t>Chernozem,Vertisol</w:t>
      </w:r>
      <w:proofErr w:type="spellEnd"/>
      <w:r w:rsidRPr="009F6D1E">
        <w:rPr>
          <w:rFonts w:eastAsia="Times New Roman" w:cs="Times New Roman"/>
          <w:szCs w:val="24"/>
        </w:rPr>
        <w:t xml:space="preserve">, </w:t>
      </w:r>
      <w:proofErr w:type="spellStart"/>
      <w:r w:rsidRPr="009F6D1E">
        <w:rPr>
          <w:rFonts w:eastAsia="Times New Roman" w:cs="Times New Roman"/>
          <w:szCs w:val="24"/>
        </w:rPr>
        <w:t>Acrisol</w:t>
      </w:r>
      <w:proofErr w:type="spellEnd"/>
      <w:r w:rsidRPr="009F6D1E">
        <w:rPr>
          <w:rFonts w:eastAsia="Times New Roman" w:cs="Times New Roman"/>
          <w:szCs w:val="24"/>
        </w:rPr>
        <w:t xml:space="preserve">, </w:t>
      </w:r>
      <w:proofErr w:type="spellStart"/>
      <w:r w:rsidRPr="009F6D1E">
        <w:rPr>
          <w:rFonts w:eastAsia="Times New Roman" w:cs="Times New Roman"/>
          <w:szCs w:val="24"/>
        </w:rPr>
        <w:t>Solonetz</w:t>
      </w:r>
      <w:proofErr w:type="spellEnd"/>
      <w:r w:rsidRPr="009F6D1E">
        <w:rPr>
          <w:rFonts w:eastAsia="Times New Roman" w:cs="Times New Roman"/>
          <w:szCs w:val="24"/>
        </w:rPr>
        <w:t xml:space="preserve"> и </w:t>
      </w:r>
      <w:proofErr w:type="spellStart"/>
      <w:r w:rsidRPr="009F6D1E">
        <w:rPr>
          <w:rFonts w:eastAsia="Times New Roman" w:cs="Times New Roman"/>
          <w:szCs w:val="24"/>
        </w:rPr>
        <w:t>Planosol</w:t>
      </w:r>
      <w:proofErr w:type="spellEnd"/>
      <w:r w:rsidRPr="009F6D1E">
        <w:rPr>
          <w:rFonts w:eastAsia="Times New Roman" w:cs="Times New Roman"/>
          <w:szCs w:val="24"/>
        </w:rPr>
        <w:t xml:space="preserve">. </w:t>
      </w:r>
    </w:p>
    <w:p w14:paraId="24533689"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В пространствено-географско отношение почвената покривка на страната се характеризира с оформяне на </w:t>
      </w:r>
      <w:r w:rsidRPr="009F6D1E">
        <w:rPr>
          <w:rFonts w:eastAsia="Times New Roman" w:cs="Times New Roman"/>
          <w:b/>
          <w:bCs/>
          <w:szCs w:val="24"/>
        </w:rPr>
        <w:t>хоризонтални (широчинни) зони</w:t>
      </w:r>
      <w:r w:rsidRPr="009F6D1E">
        <w:rPr>
          <w:rFonts w:eastAsia="Times New Roman" w:cs="Times New Roman"/>
          <w:szCs w:val="24"/>
        </w:rPr>
        <w:t xml:space="preserve"> и </w:t>
      </w:r>
      <w:r w:rsidRPr="009F6D1E">
        <w:rPr>
          <w:rFonts w:eastAsia="Times New Roman" w:cs="Times New Roman"/>
          <w:b/>
          <w:bCs/>
          <w:szCs w:val="24"/>
        </w:rPr>
        <w:t>височинни пояси</w:t>
      </w:r>
      <w:r w:rsidRPr="009F6D1E">
        <w:rPr>
          <w:rFonts w:eastAsia="Times New Roman" w:cs="Times New Roman"/>
          <w:szCs w:val="24"/>
        </w:rPr>
        <w:t xml:space="preserve"> в планините, свързани със закономерните изменения на климатичните условия и растителността, също така и със специфичния обмен и баланс на веществата. Всяка от зоните, както и всеки от поясите притежават съответен състав от почвени различия с присъщ за тях продуктивен потенциал, в основата на който стои специфичен баланс на органичните и минералните вещества. Този баланс се осъществява чрез съответен биологичен и геохимичен кръговрат, характерен воден, въздушен и хранителен режим и др.</w:t>
      </w:r>
    </w:p>
    <w:p w14:paraId="275FE323" w14:textId="2F1BB4E6"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b/>
          <w:bCs/>
          <w:szCs w:val="24"/>
        </w:rPr>
        <w:t xml:space="preserve">Хоризонталните зони </w:t>
      </w:r>
      <w:r w:rsidRPr="009F6D1E">
        <w:rPr>
          <w:rFonts w:eastAsia="Times New Roman" w:cs="Times New Roman"/>
          <w:szCs w:val="24"/>
        </w:rPr>
        <w:t xml:space="preserve">са три: 1) зона с доминиране на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почви и </w:t>
      </w:r>
      <w:proofErr w:type="spellStart"/>
      <w:r w:rsidRPr="009F6D1E">
        <w:rPr>
          <w:rFonts w:eastAsia="Times New Roman" w:cs="Times New Roman"/>
          <w:szCs w:val="24"/>
        </w:rPr>
        <w:t>планосоли</w:t>
      </w:r>
      <w:proofErr w:type="spellEnd"/>
      <w:r w:rsidRPr="009F6D1E">
        <w:rPr>
          <w:rFonts w:eastAsia="Times New Roman" w:cs="Times New Roman"/>
          <w:szCs w:val="24"/>
        </w:rPr>
        <w:t>; 2) зона с г</w:t>
      </w:r>
      <w:r w:rsidR="008C39A2">
        <w:rPr>
          <w:rFonts w:eastAsia="Times New Roman" w:cs="Times New Roman"/>
          <w:szCs w:val="24"/>
        </w:rPr>
        <w:t>осп</w:t>
      </w:r>
      <w:r w:rsidRPr="009F6D1E">
        <w:rPr>
          <w:rFonts w:eastAsia="Times New Roman" w:cs="Times New Roman"/>
          <w:szCs w:val="24"/>
        </w:rPr>
        <w:t>одство на наситени с бази почви, забележимо акумулирали органично вещество под формата на хумус, и 3) зона с участие на почви с известна средиземноморска природа.</w:t>
      </w:r>
    </w:p>
    <w:p w14:paraId="2499867D"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У нас най-обширна е зоната, в която преобладават </w:t>
      </w:r>
      <w:proofErr w:type="spellStart"/>
      <w:r w:rsidRPr="009F6D1E">
        <w:rPr>
          <w:rFonts w:eastAsia="Times New Roman" w:cs="Times New Roman"/>
          <w:szCs w:val="24"/>
        </w:rPr>
        <w:t>лесивираните</w:t>
      </w:r>
      <w:proofErr w:type="spellEnd"/>
      <w:r w:rsidRPr="009F6D1E">
        <w:rPr>
          <w:rFonts w:eastAsia="Times New Roman" w:cs="Times New Roman"/>
          <w:szCs w:val="24"/>
        </w:rPr>
        <w:t xml:space="preserve"> почви (</w:t>
      </w:r>
      <w:proofErr w:type="spellStart"/>
      <w:r w:rsidRPr="009F6D1E">
        <w:rPr>
          <w:rFonts w:eastAsia="Times New Roman" w:cs="Times New Roman"/>
          <w:szCs w:val="24"/>
        </w:rPr>
        <w:t>Luvisols</w:t>
      </w:r>
      <w:proofErr w:type="spellEnd"/>
      <w:r w:rsidRPr="009F6D1E">
        <w:rPr>
          <w:rFonts w:eastAsia="Times New Roman" w:cs="Times New Roman"/>
          <w:szCs w:val="24"/>
        </w:rPr>
        <w:t xml:space="preserve">, LV). В изграждането на почвената покривка най-голям дял се пада на обикновените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w:t>
      </w:r>
      <w:proofErr w:type="spellStart"/>
      <w:r w:rsidRPr="009F6D1E">
        <w:rPr>
          <w:rFonts w:eastAsia="Times New Roman" w:cs="Times New Roman"/>
          <w:szCs w:val="24"/>
        </w:rPr>
        <w:t>haplic</w:t>
      </w:r>
      <w:proofErr w:type="spellEnd"/>
      <w:r w:rsidRPr="009F6D1E">
        <w:rPr>
          <w:rFonts w:eastAsia="Times New Roman" w:cs="Times New Roman"/>
          <w:szCs w:val="24"/>
        </w:rPr>
        <w:t xml:space="preserve">, </w:t>
      </w:r>
      <w:proofErr w:type="spellStart"/>
      <w:r w:rsidRPr="009F6D1E">
        <w:rPr>
          <w:rFonts w:eastAsia="Times New Roman" w:cs="Times New Roman"/>
          <w:szCs w:val="24"/>
        </w:rPr>
        <w:t>LVh</w:t>
      </w:r>
      <w:proofErr w:type="spellEnd"/>
      <w:r w:rsidRPr="009F6D1E">
        <w:rPr>
          <w:rFonts w:eastAsia="Times New Roman" w:cs="Times New Roman"/>
          <w:szCs w:val="24"/>
        </w:rPr>
        <w:t xml:space="preserve">) и на </w:t>
      </w:r>
      <w:proofErr w:type="spellStart"/>
      <w:r w:rsidRPr="009F6D1E">
        <w:rPr>
          <w:rFonts w:eastAsia="Times New Roman" w:cs="Times New Roman"/>
          <w:szCs w:val="24"/>
        </w:rPr>
        <w:t>канеленовидните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w:t>
      </w:r>
      <w:proofErr w:type="spellStart"/>
      <w:r w:rsidRPr="009F6D1E">
        <w:rPr>
          <w:rFonts w:eastAsia="Times New Roman" w:cs="Times New Roman"/>
          <w:szCs w:val="24"/>
        </w:rPr>
        <w:t>chromic</w:t>
      </w:r>
      <w:proofErr w:type="spellEnd"/>
      <w:r w:rsidRPr="009F6D1E">
        <w:rPr>
          <w:rFonts w:eastAsia="Times New Roman" w:cs="Times New Roman"/>
          <w:szCs w:val="24"/>
        </w:rPr>
        <w:t xml:space="preserve">, </w:t>
      </w:r>
      <w:proofErr w:type="spellStart"/>
      <w:r w:rsidRPr="009F6D1E">
        <w:rPr>
          <w:rFonts w:eastAsia="Times New Roman" w:cs="Times New Roman"/>
          <w:szCs w:val="24"/>
        </w:rPr>
        <w:t>LVx</w:t>
      </w:r>
      <w:proofErr w:type="spellEnd"/>
      <w:r w:rsidRPr="009F6D1E">
        <w:rPr>
          <w:rFonts w:eastAsia="Times New Roman" w:cs="Times New Roman"/>
          <w:szCs w:val="24"/>
        </w:rPr>
        <w:t xml:space="preserve">) почви. След тях се нареждат светлите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w:t>
      </w:r>
      <w:proofErr w:type="spellStart"/>
      <w:r w:rsidRPr="009F6D1E">
        <w:rPr>
          <w:rFonts w:eastAsia="Times New Roman" w:cs="Times New Roman"/>
          <w:szCs w:val="24"/>
        </w:rPr>
        <w:t>albic</w:t>
      </w:r>
      <w:proofErr w:type="spellEnd"/>
      <w:r w:rsidRPr="009F6D1E">
        <w:rPr>
          <w:rFonts w:eastAsia="Times New Roman" w:cs="Times New Roman"/>
          <w:szCs w:val="24"/>
        </w:rPr>
        <w:t xml:space="preserve">, </w:t>
      </w:r>
      <w:proofErr w:type="spellStart"/>
      <w:r w:rsidRPr="009F6D1E">
        <w:rPr>
          <w:rFonts w:eastAsia="Times New Roman" w:cs="Times New Roman"/>
          <w:szCs w:val="24"/>
        </w:rPr>
        <w:t>LVa</w:t>
      </w:r>
      <w:proofErr w:type="spellEnd"/>
      <w:r w:rsidRPr="009F6D1E">
        <w:rPr>
          <w:rFonts w:eastAsia="Times New Roman" w:cs="Times New Roman"/>
          <w:szCs w:val="24"/>
        </w:rPr>
        <w:t xml:space="preserve">) и </w:t>
      </w:r>
      <w:proofErr w:type="spellStart"/>
      <w:r w:rsidRPr="009F6D1E">
        <w:rPr>
          <w:rFonts w:eastAsia="Times New Roman" w:cs="Times New Roman"/>
          <w:szCs w:val="24"/>
        </w:rPr>
        <w:t>вертичните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w:t>
      </w:r>
      <w:proofErr w:type="spellStart"/>
      <w:r w:rsidRPr="009F6D1E">
        <w:rPr>
          <w:rFonts w:eastAsia="Times New Roman" w:cs="Times New Roman"/>
          <w:szCs w:val="24"/>
        </w:rPr>
        <w:t>vertic</w:t>
      </w:r>
      <w:proofErr w:type="spellEnd"/>
      <w:r w:rsidRPr="009F6D1E">
        <w:rPr>
          <w:rFonts w:eastAsia="Times New Roman" w:cs="Times New Roman"/>
          <w:szCs w:val="24"/>
        </w:rPr>
        <w:t xml:space="preserve">, </w:t>
      </w:r>
      <w:proofErr w:type="spellStart"/>
      <w:r w:rsidRPr="009F6D1E">
        <w:rPr>
          <w:rFonts w:eastAsia="Times New Roman" w:cs="Times New Roman"/>
          <w:szCs w:val="24"/>
        </w:rPr>
        <w:t>LVv</w:t>
      </w:r>
      <w:proofErr w:type="spellEnd"/>
      <w:r w:rsidRPr="009F6D1E">
        <w:rPr>
          <w:rFonts w:eastAsia="Times New Roman" w:cs="Times New Roman"/>
          <w:szCs w:val="24"/>
        </w:rPr>
        <w:t xml:space="preserve">) почви. Значително участие в състава на почвената покривка на зоната вземат още </w:t>
      </w:r>
      <w:proofErr w:type="spellStart"/>
      <w:r w:rsidRPr="009F6D1E">
        <w:rPr>
          <w:rFonts w:eastAsia="Times New Roman" w:cs="Times New Roman"/>
          <w:szCs w:val="24"/>
        </w:rPr>
        <w:t>смолниците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Vertisols</w:t>
      </w:r>
      <w:proofErr w:type="spellEnd"/>
      <w:r w:rsidRPr="009F6D1E">
        <w:rPr>
          <w:rFonts w:eastAsia="Times New Roman" w:cs="Times New Roman"/>
          <w:szCs w:val="24"/>
        </w:rPr>
        <w:t xml:space="preserve">, VR) и </w:t>
      </w:r>
      <w:proofErr w:type="spellStart"/>
      <w:r w:rsidRPr="009F6D1E">
        <w:rPr>
          <w:rFonts w:eastAsia="Times New Roman" w:cs="Times New Roman"/>
          <w:szCs w:val="24"/>
        </w:rPr>
        <w:t>планосолите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Planosols</w:t>
      </w:r>
      <w:proofErr w:type="spellEnd"/>
      <w:r w:rsidRPr="009F6D1E">
        <w:rPr>
          <w:rFonts w:eastAsia="Times New Roman" w:cs="Times New Roman"/>
          <w:szCs w:val="24"/>
        </w:rPr>
        <w:t xml:space="preserve">, PL) с доминиращи подтипове обикновени </w:t>
      </w:r>
      <w:proofErr w:type="spellStart"/>
      <w:r w:rsidRPr="009F6D1E">
        <w:rPr>
          <w:rFonts w:eastAsia="Times New Roman" w:cs="Times New Roman"/>
          <w:szCs w:val="24"/>
        </w:rPr>
        <w:t>смолници</w:t>
      </w:r>
      <w:proofErr w:type="spellEnd"/>
      <w:r w:rsidRPr="009F6D1E">
        <w:rPr>
          <w:rFonts w:eastAsia="Times New Roman" w:cs="Times New Roman"/>
          <w:szCs w:val="24"/>
        </w:rPr>
        <w:t xml:space="preserve"> (</w:t>
      </w:r>
      <w:proofErr w:type="spellStart"/>
      <w:r w:rsidRPr="009F6D1E">
        <w:rPr>
          <w:rFonts w:eastAsia="Times New Roman" w:cs="Times New Roman"/>
          <w:szCs w:val="24"/>
        </w:rPr>
        <w:t>eutric</w:t>
      </w:r>
      <w:proofErr w:type="spellEnd"/>
      <w:r w:rsidRPr="009F6D1E">
        <w:rPr>
          <w:rFonts w:eastAsia="Times New Roman" w:cs="Times New Roman"/>
          <w:szCs w:val="24"/>
        </w:rPr>
        <w:t xml:space="preserve"> </w:t>
      </w:r>
      <w:proofErr w:type="spellStart"/>
      <w:r w:rsidRPr="009F6D1E">
        <w:rPr>
          <w:rFonts w:eastAsia="Times New Roman" w:cs="Times New Roman"/>
          <w:szCs w:val="24"/>
        </w:rPr>
        <w:t>VRe</w:t>
      </w:r>
      <w:proofErr w:type="spellEnd"/>
      <w:r w:rsidRPr="009F6D1E">
        <w:rPr>
          <w:rFonts w:eastAsia="Times New Roman" w:cs="Times New Roman"/>
          <w:szCs w:val="24"/>
        </w:rPr>
        <w:t xml:space="preserve">) и </w:t>
      </w:r>
      <w:proofErr w:type="spellStart"/>
      <w:r w:rsidRPr="009F6D1E">
        <w:rPr>
          <w:rFonts w:eastAsia="Times New Roman" w:cs="Times New Roman"/>
          <w:szCs w:val="24"/>
        </w:rPr>
        <w:t>ненаситени</w:t>
      </w:r>
      <w:proofErr w:type="spellEnd"/>
      <w:r w:rsidRPr="009F6D1E">
        <w:rPr>
          <w:rFonts w:eastAsia="Times New Roman" w:cs="Times New Roman"/>
          <w:szCs w:val="24"/>
        </w:rPr>
        <w:t xml:space="preserve"> </w:t>
      </w:r>
      <w:proofErr w:type="spellStart"/>
      <w:r w:rsidRPr="009F6D1E">
        <w:rPr>
          <w:rFonts w:eastAsia="Times New Roman" w:cs="Times New Roman"/>
          <w:szCs w:val="24"/>
        </w:rPr>
        <w:t>планосоли</w:t>
      </w:r>
      <w:proofErr w:type="spellEnd"/>
      <w:r w:rsidRPr="009F6D1E">
        <w:rPr>
          <w:rFonts w:eastAsia="Times New Roman" w:cs="Times New Roman"/>
          <w:szCs w:val="24"/>
        </w:rPr>
        <w:t xml:space="preserve"> (</w:t>
      </w:r>
      <w:proofErr w:type="spellStart"/>
      <w:r w:rsidRPr="009F6D1E">
        <w:rPr>
          <w:rFonts w:eastAsia="Times New Roman" w:cs="Times New Roman"/>
          <w:szCs w:val="24"/>
        </w:rPr>
        <w:t>dystric</w:t>
      </w:r>
      <w:proofErr w:type="spellEnd"/>
      <w:r w:rsidRPr="009F6D1E">
        <w:rPr>
          <w:rFonts w:eastAsia="Times New Roman" w:cs="Times New Roman"/>
          <w:szCs w:val="24"/>
        </w:rPr>
        <w:t xml:space="preserve">, </w:t>
      </w:r>
      <w:proofErr w:type="spellStart"/>
      <w:r w:rsidRPr="009F6D1E">
        <w:rPr>
          <w:rFonts w:eastAsia="Times New Roman" w:cs="Times New Roman"/>
          <w:szCs w:val="24"/>
        </w:rPr>
        <w:t>PLd</w:t>
      </w:r>
      <w:proofErr w:type="spellEnd"/>
      <w:r w:rsidRPr="009F6D1E">
        <w:rPr>
          <w:rFonts w:eastAsia="Times New Roman" w:cs="Times New Roman"/>
          <w:szCs w:val="24"/>
        </w:rPr>
        <w:t xml:space="preserve">). В зоната има </w:t>
      </w:r>
      <w:proofErr w:type="spellStart"/>
      <w:r w:rsidRPr="009F6D1E">
        <w:rPr>
          <w:rFonts w:eastAsia="Times New Roman" w:cs="Times New Roman"/>
          <w:szCs w:val="24"/>
        </w:rPr>
        <w:t>солонци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солончаци</w:t>
      </w:r>
      <w:proofErr w:type="spellEnd"/>
      <w:r w:rsidRPr="009F6D1E">
        <w:rPr>
          <w:rFonts w:eastAsia="Times New Roman" w:cs="Times New Roman"/>
          <w:szCs w:val="24"/>
        </w:rPr>
        <w:t xml:space="preserve">. Малко участие вземат и </w:t>
      </w:r>
      <w:proofErr w:type="spellStart"/>
      <w:r w:rsidRPr="009F6D1E">
        <w:rPr>
          <w:rFonts w:eastAsia="Times New Roman" w:cs="Times New Roman"/>
          <w:szCs w:val="24"/>
        </w:rPr>
        <w:t>азоналните</w:t>
      </w:r>
      <w:proofErr w:type="spellEnd"/>
      <w:r w:rsidRPr="009F6D1E">
        <w:rPr>
          <w:rFonts w:eastAsia="Times New Roman" w:cs="Times New Roman"/>
          <w:szCs w:val="24"/>
        </w:rPr>
        <w:t xml:space="preserve"> наносни (</w:t>
      </w:r>
      <w:proofErr w:type="spellStart"/>
      <w:r w:rsidRPr="009F6D1E">
        <w:rPr>
          <w:rFonts w:eastAsia="Times New Roman" w:cs="Times New Roman"/>
          <w:szCs w:val="24"/>
        </w:rPr>
        <w:t>dystric</w:t>
      </w:r>
      <w:proofErr w:type="spellEnd"/>
      <w:r w:rsidRPr="009F6D1E">
        <w:rPr>
          <w:rFonts w:eastAsia="Times New Roman" w:cs="Times New Roman"/>
          <w:szCs w:val="24"/>
        </w:rPr>
        <w:t xml:space="preserve">, </w:t>
      </w:r>
      <w:proofErr w:type="spellStart"/>
      <w:r w:rsidRPr="009F6D1E">
        <w:rPr>
          <w:rFonts w:eastAsia="Times New Roman" w:cs="Times New Roman"/>
          <w:szCs w:val="24"/>
        </w:rPr>
        <w:t>FLd</w:t>
      </w:r>
      <w:proofErr w:type="spellEnd"/>
      <w:r w:rsidRPr="009F6D1E">
        <w:rPr>
          <w:rFonts w:eastAsia="Times New Roman" w:cs="Times New Roman"/>
          <w:szCs w:val="24"/>
        </w:rPr>
        <w:t>), както и плитките почви (</w:t>
      </w:r>
      <w:proofErr w:type="spellStart"/>
      <w:r w:rsidRPr="009F6D1E">
        <w:rPr>
          <w:rFonts w:eastAsia="Times New Roman" w:cs="Times New Roman"/>
          <w:szCs w:val="24"/>
        </w:rPr>
        <w:t>Leptosols</w:t>
      </w:r>
      <w:proofErr w:type="spellEnd"/>
      <w:r w:rsidRPr="009F6D1E">
        <w:rPr>
          <w:rFonts w:eastAsia="Times New Roman" w:cs="Times New Roman"/>
          <w:szCs w:val="24"/>
        </w:rPr>
        <w:t xml:space="preserve">, LP), </w:t>
      </w:r>
      <w:proofErr w:type="spellStart"/>
      <w:r w:rsidRPr="009F6D1E">
        <w:rPr>
          <w:rFonts w:eastAsia="Times New Roman" w:cs="Times New Roman"/>
          <w:szCs w:val="24"/>
        </w:rPr>
        <w:t>ранкери</w:t>
      </w:r>
      <w:proofErr w:type="spellEnd"/>
      <w:r w:rsidRPr="009F6D1E">
        <w:rPr>
          <w:rFonts w:eastAsia="Times New Roman" w:cs="Times New Roman"/>
          <w:szCs w:val="24"/>
        </w:rPr>
        <w:t xml:space="preserve"> (</w:t>
      </w:r>
      <w:proofErr w:type="spellStart"/>
      <w:r w:rsidRPr="009F6D1E">
        <w:rPr>
          <w:rFonts w:eastAsia="Times New Roman" w:cs="Times New Roman"/>
          <w:szCs w:val="24"/>
        </w:rPr>
        <w:t>umbric</w:t>
      </w:r>
      <w:proofErr w:type="spellEnd"/>
      <w:r w:rsidRPr="009F6D1E">
        <w:rPr>
          <w:rFonts w:eastAsia="Times New Roman" w:cs="Times New Roman"/>
          <w:szCs w:val="24"/>
        </w:rPr>
        <w:t xml:space="preserve">, </w:t>
      </w:r>
      <w:proofErr w:type="spellStart"/>
      <w:r w:rsidRPr="009F6D1E">
        <w:rPr>
          <w:rFonts w:eastAsia="Times New Roman" w:cs="Times New Roman"/>
          <w:szCs w:val="24"/>
        </w:rPr>
        <w:t>LPu</w:t>
      </w:r>
      <w:proofErr w:type="spellEnd"/>
      <w:r w:rsidRPr="009F6D1E">
        <w:rPr>
          <w:rFonts w:eastAsia="Times New Roman" w:cs="Times New Roman"/>
          <w:szCs w:val="24"/>
        </w:rPr>
        <w:t xml:space="preserve">), </w:t>
      </w:r>
      <w:proofErr w:type="spellStart"/>
      <w:r w:rsidRPr="009F6D1E">
        <w:rPr>
          <w:rFonts w:eastAsia="Times New Roman" w:cs="Times New Roman"/>
          <w:szCs w:val="24"/>
        </w:rPr>
        <w:t>литосоли</w:t>
      </w:r>
      <w:proofErr w:type="spellEnd"/>
      <w:r w:rsidRPr="009F6D1E">
        <w:rPr>
          <w:rFonts w:eastAsia="Times New Roman" w:cs="Times New Roman"/>
          <w:szCs w:val="24"/>
        </w:rPr>
        <w:t xml:space="preserve"> (</w:t>
      </w:r>
      <w:proofErr w:type="spellStart"/>
      <w:r w:rsidRPr="009F6D1E">
        <w:rPr>
          <w:rFonts w:eastAsia="Times New Roman" w:cs="Times New Roman"/>
          <w:szCs w:val="24"/>
        </w:rPr>
        <w:t>lithic</w:t>
      </w:r>
      <w:proofErr w:type="spellEnd"/>
      <w:r w:rsidRPr="009F6D1E">
        <w:rPr>
          <w:rFonts w:eastAsia="Times New Roman" w:cs="Times New Roman"/>
          <w:szCs w:val="24"/>
        </w:rPr>
        <w:t xml:space="preserve">, </w:t>
      </w:r>
      <w:proofErr w:type="spellStart"/>
      <w:r w:rsidRPr="009F6D1E">
        <w:rPr>
          <w:rFonts w:eastAsia="Times New Roman" w:cs="Times New Roman"/>
          <w:szCs w:val="24"/>
        </w:rPr>
        <w:t>LPq</w:t>
      </w:r>
      <w:proofErr w:type="spellEnd"/>
      <w:r w:rsidRPr="009F6D1E">
        <w:rPr>
          <w:rFonts w:eastAsia="Times New Roman" w:cs="Times New Roman"/>
          <w:szCs w:val="24"/>
        </w:rPr>
        <w:t xml:space="preserve">), </w:t>
      </w:r>
      <w:proofErr w:type="spellStart"/>
      <w:r w:rsidRPr="009F6D1E">
        <w:rPr>
          <w:rFonts w:eastAsia="Times New Roman" w:cs="Times New Roman"/>
          <w:szCs w:val="24"/>
        </w:rPr>
        <w:t>рендзини</w:t>
      </w:r>
      <w:proofErr w:type="spellEnd"/>
      <w:r w:rsidRPr="009F6D1E">
        <w:rPr>
          <w:rFonts w:eastAsia="Times New Roman" w:cs="Times New Roman"/>
          <w:szCs w:val="24"/>
        </w:rPr>
        <w:t xml:space="preserve"> (</w:t>
      </w:r>
      <w:proofErr w:type="spellStart"/>
      <w:r w:rsidRPr="009F6D1E">
        <w:rPr>
          <w:rFonts w:eastAsia="Times New Roman" w:cs="Times New Roman"/>
          <w:szCs w:val="24"/>
        </w:rPr>
        <w:t>rendzic</w:t>
      </w:r>
      <w:proofErr w:type="spellEnd"/>
      <w:r w:rsidRPr="009F6D1E">
        <w:rPr>
          <w:rFonts w:eastAsia="Times New Roman" w:cs="Times New Roman"/>
          <w:szCs w:val="24"/>
        </w:rPr>
        <w:t xml:space="preserve">, </w:t>
      </w:r>
      <w:proofErr w:type="spellStart"/>
      <w:r w:rsidRPr="009F6D1E">
        <w:rPr>
          <w:rFonts w:eastAsia="Times New Roman" w:cs="Times New Roman"/>
          <w:szCs w:val="24"/>
        </w:rPr>
        <w:t>LPk</w:t>
      </w:r>
      <w:proofErr w:type="spellEnd"/>
      <w:r w:rsidRPr="009F6D1E">
        <w:rPr>
          <w:rFonts w:eastAsia="Times New Roman" w:cs="Times New Roman"/>
          <w:szCs w:val="24"/>
        </w:rPr>
        <w:t xml:space="preserve">). Почвената покривка на зоната има голямо </w:t>
      </w:r>
      <w:r w:rsidRPr="009F6D1E">
        <w:rPr>
          <w:rFonts w:eastAsia="Times New Roman" w:cs="Times New Roman"/>
          <w:szCs w:val="24"/>
        </w:rPr>
        <w:lastRenderedPageBreak/>
        <w:t xml:space="preserve">екологично разнообразие и почвено-географска разнородност. Характерен е значителният дял на почви с реликтова природа като част от </w:t>
      </w:r>
      <w:proofErr w:type="spellStart"/>
      <w:r w:rsidRPr="009F6D1E">
        <w:rPr>
          <w:rFonts w:eastAsia="Times New Roman" w:cs="Times New Roman"/>
          <w:szCs w:val="24"/>
        </w:rPr>
        <w:t>канеленовидните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лесивирани</w:t>
      </w:r>
      <w:proofErr w:type="spellEnd"/>
      <w:r w:rsidRPr="009F6D1E">
        <w:rPr>
          <w:rFonts w:eastAsia="Times New Roman" w:cs="Times New Roman"/>
          <w:szCs w:val="24"/>
        </w:rPr>
        <w:t xml:space="preserve">, част от </w:t>
      </w:r>
      <w:proofErr w:type="spellStart"/>
      <w:r w:rsidRPr="009F6D1E">
        <w:rPr>
          <w:rFonts w:eastAsia="Times New Roman" w:cs="Times New Roman"/>
          <w:szCs w:val="24"/>
        </w:rPr>
        <w:t>смолниците</w:t>
      </w:r>
      <w:proofErr w:type="spellEnd"/>
      <w:r w:rsidRPr="009F6D1E">
        <w:rPr>
          <w:rFonts w:eastAsia="Times New Roman" w:cs="Times New Roman"/>
          <w:szCs w:val="24"/>
        </w:rPr>
        <w:t xml:space="preserve"> и пр. </w:t>
      </w:r>
    </w:p>
    <w:p w14:paraId="30C93BE8"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На второ място се нарежда зоната с преобладаване на почвите със забележима акумулация на органично вещество, наситено с бази. Тя е особено добре и компактно изразена и заема крайдунавските части на страната и Добруджа. В състава на почвената й покривка най-голямо участие вземат черноземите с доминиращи площи на обикновените (</w:t>
      </w:r>
      <w:proofErr w:type="spellStart"/>
      <w:r w:rsidRPr="009F6D1E">
        <w:rPr>
          <w:rFonts w:eastAsia="Times New Roman" w:cs="Times New Roman"/>
          <w:szCs w:val="24"/>
        </w:rPr>
        <w:t>haplic</w:t>
      </w:r>
      <w:proofErr w:type="spellEnd"/>
      <w:r w:rsidRPr="009F6D1E">
        <w:rPr>
          <w:rFonts w:eastAsia="Times New Roman" w:cs="Times New Roman"/>
          <w:szCs w:val="24"/>
        </w:rPr>
        <w:t xml:space="preserve">, CH) и значително по-малко на </w:t>
      </w:r>
      <w:proofErr w:type="spellStart"/>
      <w:r w:rsidRPr="009F6D1E">
        <w:rPr>
          <w:rFonts w:eastAsia="Times New Roman" w:cs="Times New Roman"/>
          <w:szCs w:val="24"/>
        </w:rPr>
        <w:t>лесивираните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luvic</w:t>
      </w:r>
      <w:proofErr w:type="spellEnd"/>
      <w:r w:rsidRPr="009F6D1E">
        <w:rPr>
          <w:rFonts w:eastAsia="Times New Roman" w:cs="Times New Roman"/>
          <w:szCs w:val="24"/>
        </w:rPr>
        <w:t xml:space="preserve">, </w:t>
      </w:r>
      <w:proofErr w:type="spellStart"/>
      <w:r w:rsidRPr="009F6D1E">
        <w:rPr>
          <w:rFonts w:eastAsia="Times New Roman" w:cs="Times New Roman"/>
          <w:szCs w:val="24"/>
        </w:rPr>
        <w:t>CHl</w:t>
      </w:r>
      <w:proofErr w:type="spellEnd"/>
      <w:r w:rsidRPr="009F6D1E">
        <w:rPr>
          <w:rFonts w:eastAsia="Times New Roman" w:cs="Times New Roman"/>
          <w:szCs w:val="24"/>
        </w:rPr>
        <w:t>) и кестенявите черноземи (</w:t>
      </w:r>
      <w:proofErr w:type="spellStart"/>
      <w:r w:rsidRPr="009F6D1E">
        <w:rPr>
          <w:rFonts w:eastAsia="Times New Roman" w:cs="Times New Roman"/>
          <w:szCs w:val="24"/>
        </w:rPr>
        <w:t>kastanic</w:t>
      </w:r>
      <w:proofErr w:type="spellEnd"/>
      <w:r w:rsidRPr="009F6D1E">
        <w:rPr>
          <w:rFonts w:eastAsia="Times New Roman" w:cs="Times New Roman"/>
          <w:szCs w:val="24"/>
        </w:rPr>
        <w:t xml:space="preserve">, </w:t>
      </w:r>
      <w:proofErr w:type="spellStart"/>
      <w:r w:rsidRPr="009F6D1E">
        <w:rPr>
          <w:rFonts w:eastAsia="Times New Roman" w:cs="Times New Roman"/>
          <w:szCs w:val="24"/>
        </w:rPr>
        <w:t>CHk</w:t>
      </w:r>
      <w:proofErr w:type="spellEnd"/>
      <w:r w:rsidRPr="009F6D1E">
        <w:rPr>
          <w:rFonts w:eastAsia="Times New Roman" w:cs="Times New Roman"/>
          <w:szCs w:val="24"/>
        </w:rPr>
        <w:t xml:space="preserve">). Фрагментарно са разпространени площите на подтипа </w:t>
      </w:r>
      <w:proofErr w:type="spellStart"/>
      <w:r w:rsidRPr="009F6D1E">
        <w:rPr>
          <w:rFonts w:eastAsia="Times New Roman" w:cs="Times New Roman"/>
          <w:szCs w:val="24"/>
        </w:rPr>
        <w:t>глееви</w:t>
      </w:r>
      <w:proofErr w:type="spellEnd"/>
      <w:r w:rsidRPr="009F6D1E">
        <w:rPr>
          <w:rFonts w:eastAsia="Times New Roman" w:cs="Times New Roman"/>
          <w:szCs w:val="24"/>
        </w:rPr>
        <w:t xml:space="preserve"> черноземи (</w:t>
      </w:r>
      <w:proofErr w:type="spellStart"/>
      <w:r w:rsidRPr="009F6D1E">
        <w:rPr>
          <w:rFonts w:eastAsia="Times New Roman" w:cs="Times New Roman"/>
          <w:szCs w:val="24"/>
        </w:rPr>
        <w:t>gleyic</w:t>
      </w:r>
      <w:proofErr w:type="spellEnd"/>
      <w:r w:rsidRPr="009F6D1E">
        <w:rPr>
          <w:rFonts w:eastAsia="Times New Roman" w:cs="Times New Roman"/>
          <w:szCs w:val="24"/>
        </w:rPr>
        <w:t xml:space="preserve">, </w:t>
      </w:r>
      <w:proofErr w:type="spellStart"/>
      <w:r w:rsidRPr="009F6D1E">
        <w:rPr>
          <w:rFonts w:eastAsia="Times New Roman" w:cs="Times New Roman"/>
          <w:szCs w:val="24"/>
        </w:rPr>
        <w:t>CHg</w:t>
      </w:r>
      <w:proofErr w:type="spellEnd"/>
      <w:r w:rsidRPr="009F6D1E">
        <w:rPr>
          <w:rFonts w:eastAsia="Times New Roman" w:cs="Times New Roman"/>
          <w:szCs w:val="24"/>
        </w:rPr>
        <w:t xml:space="preserve">). Характерно е и разпространението на </w:t>
      </w:r>
      <w:proofErr w:type="spellStart"/>
      <w:r w:rsidRPr="009F6D1E">
        <w:rPr>
          <w:rFonts w:eastAsia="Times New Roman" w:cs="Times New Roman"/>
          <w:szCs w:val="24"/>
        </w:rPr>
        <w:t>файоземите</w:t>
      </w:r>
      <w:proofErr w:type="spellEnd"/>
      <w:r w:rsidRPr="009F6D1E">
        <w:rPr>
          <w:rFonts w:eastAsia="Times New Roman" w:cs="Times New Roman"/>
          <w:szCs w:val="24"/>
        </w:rPr>
        <w:t xml:space="preserve"> (тъмните </w:t>
      </w:r>
      <w:proofErr w:type="spellStart"/>
      <w:r w:rsidRPr="009F6D1E">
        <w:rPr>
          <w:rFonts w:eastAsia="Times New Roman" w:cs="Times New Roman"/>
          <w:szCs w:val="24"/>
        </w:rPr>
        <w:t>черноземовидни</w:t>
      </w:r>
      <w:proofErr w:type="spellEnd"/>
      <w:r w:rsidRPr="009F6D1E">
        <w:rPr>
          <w:rFonts w:eastAsia="Times New Roman" w:cs="Times New Roman"/>
          <w:szCs w:val="24"/>
        </w:rPr>
        <w:t xml:space="preserve"> почви (</w:t>
      </w:r>
      <w:proofErr w:type="spellStart"/>
      <w:r w:rsidRPr="009F6D1E">
        <w:rPr>
          <w:rFonts w:eastAsia="Times New Roman" w:cs="Times New Roman"/>
          <w:szCs w:val="24"/>
        </w:rPr>
        <w:t>Phaeozems</w:t>
      </w:r>
      <w:proofErr w:type="spellEnd"/>
      <w:r w:rsidRPr="009F6D1E">
        <w:rPr>
          <w:rFonts w:eastAsia="Times New Roman" w:cs="Times New Roman"/>
          <w:szCs w:val="24"/>
        </w:rPr>
        <w:t>, PH), представени най-широко от обикновените (</w:t>
      </w:r>
      <w:proofErr w:type="spellStart"/>
      <w:r w:rsidRPr="009F6D1E">
        <w:rPr>
          <w:rFonts w:eastAsia="Times New Roman" w:cs="Times New Roman"/>
          <w:szCs w:val="24"/>
        </w:rPr>
        <w:t>haplic</w:t>
      </w:r>
      <w:proofErr w:type="spellEnd"/>
      <w:r w:rsidRPr="009F6D1E">
        <w:rPr>
          <w:rFonts w:eastAsia="Times New Roman" w:cs="Times New Roman"/>
          <w:szCs w:val="24"/>
        </w:rPr>
        <w:t xml:space="preserve">, </w:t>
      </w:r>
      <w:proofErr w:type="spellStart"/>
      <w:r w:rsidRPr="009F6D1E">
        <w:rPr>
          <w:rFonts w:eastAsia="Times New Roman" w:cs="Times New Roman"/>
          <w:szCs w:val="24"/>
        </w:rPr>
        <w:t>PHh</w:t>
      </w:r>
      <w:proofErr w:type="spellEnd"/>
      <w:r w:rsidRPr="009F6D1E">
        <w:rPr>
          <w:rFonts w:eastAsia="Times New Roman" w:cs="Times New Roman"/>
          <w:szCs w:val="24"/>
        </w:rPr>
        <w:t xml:space="preserve">) и значително по-малко от </w:t>
      </w:r>
      <w:proofErr w:type="spellStart"/>
      <w:r w:rsidRPr="009F6D1E">
        <w:rPr>
          <w:rFonts w:eastAsia="Times New Roman" w:cs="Times New Roman"/>
          <w:szCs w:val="24"/>
        </w:rPr>
        <w:t>лесивираните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luvic</w:t>
      </w:r>
      <w:proofErr w:type="spellEnd"/>
      <w:r w:rsidRPr="009F6D1E">
        <w:rPr>
          <w:rFonts w:eastAsia="Times New Roman" w:cs="Times New Roman"/>
          <w:szCs w:val="24"/>
        </w:rPr>
        <w:t xml:space="preserve">, </w:t>
      </w:r>
      <w:proofErr w:type="spellStart"/>
      <w:r w:rsidRPr="009F6D1E">
        <w:rPr>
          <w:rFonts w:eastAsia="Times New Roman" w:cs="Times New Roman"/>
          <w:szCs w:val="24"/>
        </w:rPr>
        <w:t>PHl</w:t>
      </w:r>
      <w:proofErr w:type="spellEnd"/>
      <w:r w:rsidRPr="009F6D1E">
        <w:rPr>
          <w:rFonts w:eastAsia="Times New Roman" w:cs="Times New Roman"/>
          <w:szCs w:val="24"/>
        </w:rPr>
        <w:t xml:space="preserve">) и </w:t>
      </w:r>
      <w:proofErr w:type="spellStart"/>
      <w:r w:rsidRPr="009F6D1E">
        <w:rPr>
          <w:rFonts w:eastAsia="Times New Roman" w:cs="Times New Roman"/>
          <w:szCs w:val="24"/>
        </w:rPr>
        <w:t>глеевите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gleyic</w:t>
      </w:r>
      <w:proofErr w:type="spellEnd"/>
      <w:r w:rsidRPr="009F6D1E">
        <w:rPr>
          <w:rFonts w:eastAsia="Times New Roman" w:cs="Times New Roman"/>
          <w:szCs w:val="24"/>
        </w:rPr>
        <w:t xml:space="preserve">, </w:t>
      </w:r>
      <w:proofErr w:type="spellStart"/>
      <w:r w:rsidRPr="009F6D1E">
        <w:rPr>
          <w:rFonts w:eastAsia="Times New Roman" w:cs="Times New Roman"/>
          <w:szCs w:val="24"/>
        </w:rPr>
        <w:t>RHg</w:t>
      </w:r>
      <w:proofErr w:type="spellEnd"/>
      <w:r w:rsidRPr="009F6D1E">
        <w:rPr>
          <w:rFonts w:eastAsia="Times New Roman" w:cs="Times New Roman"/>
          <w:szCs w:val="24"/>
        </w:rPr>
        <w:t>) им подтипове. В тази зона на по-обширни площи са разпространени наносни почви (</w:t>
      </w:r>
      <w:proofErr w:type="spellStart"/>
      <w:r w:rsidRPr="009F6D1E">
        <w:rPr>
          <w:rFonts w:eastAsia="Times New Roman" w:cs="Times New Roman"/>
          <w:szCs w:val="24"/>
        </w:rPr>
        <w:t>Fluvisols</w:t>
      </w:r>
      <w:proofErr w:type="spellEnd"/>
      <w:r w:rsidRPr="009F6D1E">
        <w:rPr>
          <w:rFonts w:eastAsia="Times New Roman" w:cs="Times New Roman"/>
          <w:szCs w:val="24"/>
        </w:rPr>
        <w:t>, FL), но с подтиповете си карбонатни (</w:t>
      </w:r>
      <w:proofErr w:type="spellStart"/>
      <w:r w:rsidRPr="009F6D1E">
        <w:rPr>
          <w:rFonts w:eastAsia="Times New Roman" w:cs="Times New Roman"/>
          <w:szCs w:val="24"/>
        </w:rPr>
        <w:t>calcaric</w:t>
      </w:r>
      <w:proofErr w:type="spellEnd"/>
      <w:r w:rsidRPr="009F6D1E">
        <w:rPr>
          <w:rFonts w:eastAsia="Times New Roman" w:cs="Times New Roman"/>
          <w:szCs w:val="24"/>
        </w:rPr>
        <w:t xml:space="preserve">, </w:t>
      </w:r>
      <w:proofErr w:type="spellStart"/>
      <w:r w:rsidRPr="009F6D1E">
        <w:rPr>
          <w:rFonts w:eastAsia="Times New Roman" w:cs="Times New Roman"/>
          <w:szCs w:val="24"/>
        </w:rPr>
        <w:t>FLc</w:t>
      </w:r>
      <w:proofErr w:type="spellEnd"/>
      <w:r w:rsidRPr="009F6D1E">
        <w:rPr>
          <w:rFonts w:eastAsia="Times New Roman" w:cs="Times New Roman"/>
          <w:szCs w:val="24"/>
        </w:rPr>
        <w:t>) и тъмни (</w:t>
      </w:r>
      <w:proofErr w:type="spellStart"/>
      <w:r w:rsidRPr="009F6D1E">
        <w:rPr>
          <w:rFonts w:eastAsia="Times New Roman" w:cs="Times New Roman"/>
          <w:szCs w:val="24"/>
        </w:rPr>
        <w:t>molic</w:t>
      </w:r>
      <w:proofErr w:type="spellEnd"/>
      <w:r w:rsidRPr="009F6D1E">
        <w:rPr>
          <w:rFonts w:eastAsia="Times New Roman" w:cs="Times New Roman"/>
          <w:szCs w:val="24"/>
        </w:rPr>
        <w:t xml:space="preserve">, </w:t>
      </w:r>
      <w:proofErr w:type="spellStart"/>
      <w:r w:rsidRPr="009F6D1E">
        <w:rPr>
          <w:rFonts w:eastAsia="Times New Roman" w:cs="Times New Roman"/>
          <w:szCs w:val="24"/>
        </w:rPr>
        <w:t>FLm</w:t>
      </w:r>
      <w:proofErr w:type="spellEnd"/>
      <w:r w:rsidRPr="009F6D1E">
        <w:rPr>
          <w:rFonts w:eastAsia="Times New Roman" w:cs="Times New Roman"/>
          <w:szCs w:val="24"/>
        </w:rPr>
        <w:t>),  а около блатата - блатни (</w:t>
      </w:r>
      <w:proofErr w:type="spellStart"/>
      <w:r w:rsidRPr="009F6D1E">
        <w:rPr>
          <w:rFonts w:eastAsia="Times New Roman" w:cs="Times New Roman"/>
          <w:szCs w:val="24"/>
        </w:rPr>
        <w:t>Gleysils</w:t>
      </w:r>
      <w:proofErr w:type="spellEnd"/>
      <w:r w:rsidRPr="009F6D1E">
        <w:rPr>
          <w:rFonts w:eastAsia="Times New Roman" w:cs="Times New Roman"/>
          <w:szCs w:val="24"/>
        </w:rPr>
        <w:t>), пясъчни (</w:t>
      </w:r>
      <w:proofErr w:type="spellStart"/>
      <w:r w:rsidRPr="009F6D1E">
        <w:rPr>
          <w:rFonts w:eastAsia="Times New Roman" w:cs="Times New Roman"/>
          <w:szCs w:val="24"/>
        </w:rPr>
        <w:t>Arenosols</w:t>
      </w:r>
      <w:proofErr w:type="spellEnd"/>
      <w:r w:rsidRPr="009F6D1E">
        <w:rPr>
          <w:rFonts w:eastAsia="Times New Roman" w:cs="Times New Roman"/>
          <w:szCs w:val="24"/>
        </w:rPr>
        <w:t>) и торфени (</w:t>
      </w:r>
      <w:proofErr w:type="spellStart"/>
      <w:r w:rsidRPr="009F6D1E">
        <w:rPr>
          <w:rFonts w:eastAsia="Times New Roman" w:cs="Times New Roman"/>
          <w:szCs w:val="24"/>
        </w:rPr>
        <w:t>Histosols</w:t>
      </w:r>
      <w:proofErr w:type="spellEnd"/>
      <w:r w:rsidRPr="009F6D1E">
        <w:rPr>
          <w:rFonts w:eastAsia="Times New Roman" w:cs="Times New Roman"/>
          <w:szCs w:val="24"/>
        </w:rPr>
        <w:t xml:space="preserve">) почви. </w:t>
      </w:r>
    </w:p>
    <w:p w14:paraId="330C0C99"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Най-ограничена е зоната с превес на почви с по-специфична характеристика в условията на климат със средиземноморски черти. Тя включва почвите в Странджа, Източните Родопи, Славянка, Струмската долина (на юг от Симитли), Чирпанските възвишения, южните склонове на Източна Стара планина и пр. Най-характерни тук са канелените почви с подтиповете (</w:t>
      </w:r>
      <w:proofErr w:type="spellStart"/>
      <w:r w:rsidRPr="009F6D1E">
        <w:rPr>
          <w:rFonts w:eastAsia="Times New Roman" w:cs="Times New Roman"/>
          <w:szCs w:val="24"/>
        </w:rPr>
        <w:t>chromic</w:t>
      </w:r>
      <w:proofErr w:type="spellEnd"/>
      <w:r w:rsidRPr="009F6D1E">
        <w:rPr>
          <w:rFonts w:eastAsia="Times New Roman" w:cs="Times New Roman"/>
          <w:szCs w:val="24"/>
        </w:rPr>
        <w:t xml:space="preserve">, </w:t>
      </w:r>
      <w:proofErr w:type="spellStart"/>
      <w:r w:rsidRPr="009F6D1E">
        <w:rPr>
          <w:rFonts w:eastAsia="Times New Roman" w:cs="Times New Roman"/>
          <w:szCs w:val="24"/>
        </w:rPr>
        <w:t>CMx</w:t>
      </w:r>
      <w:proofErr w:type="spellEnd"/>
      <w:r w:rsidRPr="009F6D1E">
        <w:rPr>
          <w:rFonts w:eastAsia="Times New Roman" w:cs="Times New Roman"/>
          <w:szCs w:val="24"/>
        </w:rPr>
        <w:t xml:space="preserve"> и </w:t>
      </w:r>
      <w:proofErr w:type="spellStart"/>
      <w:r w:rsidRPr="009F6D1E">
        <w:rPr>
          <w:rFonts w:eastAsia="Times New Roman" w:cs="Times New Roman"/>
          <w:szCs w:val="24"/>
        </w:rPr>
        <w:t>ferralic</w:t>
      </w:r>
      <w:proofErr w:type="spellEnd"/>
      <w:r w:rsidRPr="009F6D1E">
        <w:rPr>
          <w:rFonts w:eastAsia="Times New Roman" w:cs="Times New Roman"/>
          <w:szCs w:val="24"/>
        </w:rPr>
        <w:t xml:space="preserve">, </w:t>
      </w:r>
      <w:proofErr w:type="spellStart"/>
      <w:r w:rsidRPr="009F6D1E">
        <w:rPr>
          <w:rFonts w:eastAsia="Times New Roman" w:cs="Times New Roman"/>
          <w:szCs w:val="24"/>
        </w:rPr>
        <w:t>CMf</w:t>
      </w:r>
      <w:proofErr w:type="spellEnd"/>
      <w:r w:rsidRPr="009F6D1E">
        <w:rPr>
          <w:rFonts w:eastAsia="Times New Roman" w:cs="Times New Roman"/>
          <w:szCs w:val="24"/>
        </w:rPr>
        <w:t xml:space="preserve">),  </w:t>
      </w:r>
      <w:proofErr w:type="spellStart"/>
      <w:r w:rsidRPr="009F6D1E">
        <w:rPr>
          <w:rFonts w:eastAsia="Times New Roman" w:cs="Times New Roman"/>
          <w:szCs w:val="24"/>
        </w:rPr>
        <w:t>жълтоземите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Alisols</w:t>
      </w:r>
      <w:proofErr w:type="spellEnd"/>
      <w:r w:rsidRPr="009F6D1E">
        <w:rPr>
          <w:rFonts w:eastAsia="Times New Roman" w:cs="Times New Roman"/>
          <w:szCs w:val="24"/>
        </w:rPr>
        <w:t xml:space="preserve">), </w:t>
      </w:r>
      <w:proofErr w:type="spellStart"/>
      <w:r w:rsidRPr="009F6D1E">
        <w:rPr>
          <w:rFonts w:eastAsia="Times New Roman" w:cs="Times New Roman"/>
          <w:szCs w:val="24"/>
        </w:rPr>
        <w:t>червеноземите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Nitisols</w:t>
      </w:r>
      <w:proofErr w:type="spellEnd"/>
      <w:r w:rsidRPr="009F6D1E">
        <w:rPr>
          <w:rFonts w:eastAsia="Times New Roman" w:cs="Times New Roman"/>
          <w:szCs w:val="24"/>
        </w:rPr>
        <w:t xml:space="preserve">, NT) и </w:t>
      </w:r>
      <w:proofErr w:type="spellStart"/>
      <w:r w:rsidRPr="009F6D1E">
        <w:rPr>
          <w:rFonts w:eastAsia="Times New Roman" w:cs="Times New Roman"/>
          <w:szCs w:val="24"/>
        </w:rPr>
        <w:t>регосолите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Regosols</w:t>
      </w:r>
      <w:proofErr w:type="spellEnd"/>
      <w:r w:rsidRPr="009F6D1E">
        <w:rPr>
          <w:rFonts w:eastAsia="Times New Roman" w:cs="Times New Roman"/>
          <w:szCs w:val="24"/>
        </w:rPr>
        <w:t>). Тук също са разпространени плитки почви (</w:t>
      </w:r>
      <w:proofErr w:type="spellStart"/>
      <w:r w:rsidRPr="009F6D1E">
        <w:rPr>
          <w:rFonts w:eastAsia="Times New Roman" w:cs="Times New Roman"/>
          <w:szCs w:val="24"/>
        </w:rPr>
        <w:t>Leptosols</w:t>
      </w:r>
      <w:proofErr w:type="spellEnd"/>
      <w:r w:rsidRPr="009F6D1E">
        <w:rPr>
          <w:rFonts w:eastAsia="Times New Roman" w:cs="Times New Roman"/>
          <w:szCs w:val="24"/>
        </w:rPr>
        <w:t xml:space="preserve">) с разнообразието си от </w:t>
      </w:r>
      <w:proofErr w:type="spellStart"/>
      <w:r w:rsidRPr="009F6D1E">
        <w:rPr>
          <w:rFonts w:eastAsia="Times New Roman" w:cs="Times New Roman"/>
          <w:szCs w:val="24"/>
        </w:rPr>
        <w:t>рендзини</w:t>
      </w:r>
      <w:proofErr w:type="spellEnd"/>
      <w:r w:rsidRPr="009F6D1E">
        <w:rPr>
          <w:rFonts w:eastAsia="Times New Roman" w:cs="Times New Roman"/>
          <w:szCs w:val="24"/>
        </w:rPr>
        <w:t xml:space="preserve"> (</w:t>
      </w:r>
      <w:proofErr w:type="spellStart"/>
      <w:r w:rsidRPr="009F6D1E">
        <w:rPr>
          <w:rFonts w:eastAsia="Times New Roman" w:cs="Times New Roman"/>
          <w:szCs w:val="24"/>
        </w:rPr>
        <w:t>rendzic</w:t>
      </w:r>
      <w:proofErr w:type="spellEnd"/>
      <w:r w:rsidRPr="009F6D1E">
        <w:rPr>
          <w:rFonts w:eastAsia="Times New Roman" w:cs="Times New Roman"/>
          <w:szCs w:val="24"/>
        </w:rPr>
        <w:t xml:space="preserve">, </w:t>
      </w:r>
      <w:proofErr w:type="spellStart"/>
      <w:r w:rsidRPr="009F6D1E">
        <w:rPr>
          <w:rFonts w:eastAsia="Times New Roman" w:cs="Times New Roman"/>
          <w:szCs w:val="24"/>
        </w:rPr>
        <w:t>LPk</w:t>
      </w:r>
      <w:proofErr w:type="spellEnd"/>
      <w:r w:rsidRPr="009F6D1E">
        <w:rPr>
          <w:rFonts w:eastAsia="Times New Roman" w:cs="Times New Roman"/>
          <w:szCs w:val="24"/>
        </w:rPr>
        <w:t xml:space="preserve">), </w:t>
      </w:r>
      <w:proofErr w:type="spellStart"/>
      <w:r w:rsidRPr="009F6D1E">
        <w:rPr>
          <w:rFonts w:eastAsia="Times New Roman" w:cs="Times New Roman"/>
          <w:szCs w:val="24"/>
        </w:rPr>
        <w:t>литосоли</w:t>
      </w:r>
      <w:proofErr w:type="spellEnd"/>
      <w:r w:rsidRPr="009F6D1E">
        <w:rPr>
          <w:rFonts w:eastAsia="Times New Roman" w:cs="Times New Roman"/>
          <w:szCs w:val="24"/>
        </w:rPr>
        <w:t xml:space="preserve"> (</w:t>
      </w:r>
      <w:proofErr w:type="spellStart"/>
      <w:r w:rsidRPr="009F6D1E">
        <w:rPr>
          <w:rFonts w:eastAsia="Times New Roman" w:cs="Times New Roman"/>
          <w:szCs w:val="24"/>
        </w:rPr>
        <w:t>lithic</w:t>
      </w:r>
      <w:proofErr w:type="spellEnd"/>
      <w:r w:rsidRPr="009F6D1E">
        <w:rPr>
          <w:rFonts w:eastAsia="Times New Roman" w:cs="Times New Roman"/>
          <w:szCs w:val="24"/>
        </w:rPr>
        <w:t xml:space="preserve">, </w:t>
      </w:r>
      <w:proofErr w:type="spellStart"/>
      <w:r w:rsidRPr="009F6D1E">
        <w:rPr>
          <w:rFonts w:eastAsia="Times New Roman" w:cs="Times New Roman"/>
          <w:szCs w:val="24"/>
        </w:rPr>
        <w:t>LPq</w:t>
      </w:r>
      <w:proofErr w:type="spellEnd"/>
      <w:r w:rsidRPr="009F6D1E">
        <w:rPr>
          <w:rFonts w:eastAsia="Times New Roman" w:cs="Times New Roman"/>
          <w:szCs w:val="24"/>
        </w:rPr>
        <w:t xml:space="preserve">) и </w:t>
      </w:r>
      <w:proofErr w:type="spellStart"/>
      <w:r w:rsidRPr="009F6D1E">
        <w:rPr>
          <w:rFonts w:eastAsia="Times New Roman" w:cs="Times New Roman"/>
          <w:szCs w:val="24"/>
        </w:rPr>
        <w:t>ранкери</w:t>
      </w:r>
      <w:proofErr w:type="spellEnd"/>
      <w:r w:rsidRPr="009F6D1E">
        <w:rPr>
          <w:rFonts w:eastAsia="Times New Roman" w:cs="Times New Roman"/>
          <w:szCs w:val="24"/>
        </w:rPr>
        <w:t xml:space="preserve"> (</w:t>
      </w:r>
      <w:proofErr w:type="spellStart"/>
      <w:r w:rsidRPr="009F6D1E">
        <w:rPr>
          <w:rFonts w:eastAsia="Times New Roman" w:cs="Times New Roman"/>
          <w:szCs w:val="24"/>
        </w:rPr>
        <w:t>umbric</w:t>
      </w:r>
      <w:proofErr w:type="spellEnd"/>
      <w:r w:rsidRPr="009F6D1E">
        <w:rPr>
          <w:rFonts w:eastAsia="Times New Roman" w:cs="Times New Roman"/>
          <w:szCs w:val="24"/>
        </w:rPr>
        <w:t xml:space="preserve">, </w:t>
      </w:r>
      <w:proofErr w:type="spellStart"/>
      <w:r w:rsidRPr="009F6D1E">
        <w:rPr>
          <w:rFonts w:eastAsia="Times New Roman" w:cs="Times New Roman"/>
          <w:szCs w:val="24"/>
        </w:rPr>
        <w:t>LPu</w:t>
      </w:r>
      <w:proofErr w:type="spellEnd"/>
      <w:r w:rsidRPr="009F6D1E">
        <w:rPr>
          <w:rFonts w:eastAsia="Times New Roman" w:cs="Times New Roman"/>
          <w:szCs w:val="24"/>
        </w:rPr>
        <w:t xml:space="preserve">). Характерно е участието на много редките и </w:t>
      </w:r>
      <w:proofErr w:type="spellStart"/>
      <w:r w:rsidRPr="009F6D1E">
        <w:rPr>
          <w:rFonts w:eastAsia="Times New Roman" w:cs="Times New Roman"/>
          <w:szCs w:val="24"/>
        </w:rPr>
        <w:t>неспоменавани</w:t>
      </w:r>
      <w:proofErr w:type="spellEnd"/>
      <w:r w:rsidRPr="009F6D1E">
        <w:rPr>
          <w:rFonts w:eastAsia="Times New Roman" w:cs="Times New Roman"/>
          <w:szCs w:val="24"/>
        </w:rPr>
        <w:t xml:space="preserve"> досега у нас </w:t>
      </w:r>
      <w:proofErr w:type="spellStart"/>
      <w:r w:rsidRPr="009F6D1E">
        <w:rPr>
          <w:rFonts w:eastAsia="Times New Roman" w:cs="Times New Roman"/>
          <w:szCs w:val="24"/>
        </w:rPr>
        <w:t>андосоли</w:t>
      </w:r>
      <w:proofErr w:type="spellEnd"/>
      <w:r w:rsidRPr="009F6D1E">
        <w:rPr>
          <w:rFonts w:eastAsia="Times New Roman" w:cs="Times New Roman"/>
          <w:szCs w:val="24"/>
        </w:rPr>
        <w:t xml:space="preserve"> (</w:t>
      </w:r>
      <w:proofErr w:type="spellStart"/>
      <w:r w:rsidRPr="009F6D1E">
        <w:rPr>
          <w:rFonts w:eastAsia="Times New Roman" w:cs="Times New Roman"/>
          <w:szCs w:val="24"/>
        </w:rPr>
        <w:t>Andosols</w:t>
      </w:r>
      <w:proofErr w:type="spellEnd"/>
      <w:r w:rsidRPr="009F6D1E">
        <w:rPr>
          <w:rFonts w:eastAsia="Times New Roman" w:cs="Times New Roman"/>
          <w:szCs w:val="24"/>
        </w:rPr>
        <w:t xml:space="preserve">). И в тази зона почвената покривка показва известна разнородност както в екологично, така и в почвено-географско отношение. </w:t>
      </w:r>
    </w:p>
    <w:p w14:paraId="704C10D6"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В своята цялост почвите на разгледаните зони съставят почвената покривка на </w:t>
      </w:r>
      <w:proofErr w:type="spellStart"/>
      <w:r w:rsidRPr="009F6D1E">
        <w:rPr>
          <w:rFonts w:eastAsia="Times New Roman" w:cs="Times New Roman"/>
          <w:szCs w:val="24"/>
        </w:rPr>
        <w:t>низинните</w:t>
      </w:r>
      <w:proofErr w:type="spellEnd"/>
      <w:r w:rsidRPr="009F6D1E">
        <w:rPr>
          <w:rFonts w:eastAsia="Times New Roman" w:cs="Times New Roman"/>
          <w:szCs w:val="24"/>
        </w:rPr>
        <w:t xml:space="preserve">, равнинните и хълмистите части на страната, която се е формирала под влияние на зоналните настоящи и </w:t>
      </w:r>
      <w:proofErr w:type="spellStart"/>
      <w:r w:rsidRPr="009F6D1E">
        <w:rPr>
          <w:rFonts w:eastAsia="Times New Roman" w:cs="Times New Roman"/>
          <w:szCs w:val="24"/>
        </w:rPr>
        <w:t>палеоклиматични</w:t>
      </w:r>
      <w:proofErr w:type="spellEnd"/>
      <w:r w:rsidRPr="009F6D1E">
        <w:rPr>
          <w:rFonts w:eastAsia="Times New Roman" w:cs="Times New Roman"/>
          <w:szCs w:val="24"/>
        </w:rPr>
        <w:t xml:space="preserve"> условия (Нинов, 1982).</w:t>
      </w:r>
    </w:p>
    <w:p w14:paraId="312ED7FB"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b/>
          <w:bCs/>
          <w:szCs w:val="24"/>
        </w:rPr>
        <w:t>Вертикалните почвени пояси</w:t>
      </w:r>
      <w:r w:rsidRPr="009F6D1E">
        <w:rPr>
          <w:rFonts w:eastAsia="Times New Roman" w:cs="Times New Roman"/>
          <w:szCs w:val="24"/>
        </w:rPr>
        <w:t xml:space="preserve"> също са три: 1) пояс на кафявите планинско-горски почви – от 700/800 m до 1800/2000 m надморска височина; 2) пояс на </w:t>
      </w:r>
      <w:proofErr w:type="spellStart"/>
      <w:r w:rsidRPr="009F6D1E">
        <w:rPr>
          <w:rFonts w:eastAsia="Times New Roman" w:cs="Times New Roman"/>
          <w:szCs w:val="24"/>
        </w:rPr>
        <w:t>тъмноцветните</w:t>
      </w:r>
      <w:proofErr w:type="spellEnd"/>
      <w:r w:rsidRPr="009F6D1E">
        <w:rPr>
          <w:rFonts w:eastAsia="Times New Roman" w:cs="Times New Roman"/>
          <w:szCs w:val="24"/>
        </w:rPr>
        <w:t xml:space="preserve"> планинско-горски почви, които се срещат на надморски височини от 2000/2200 m до 2500 m; 3) пояс на планинско-ливадните почви, които се срещат над 2500 m надморска височина. </w:t>
      </w:r>
    </w:p>
    <w:p w14:paraId="6D2083EF"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Трябва да се отбележи, че височинното разпределение не е съвсем коректно във всички наши планини, както по отношение на почвеното разпределение, така и по отношение на свързаните с него природни компоненти. От гореспоменатите 3 височинни пояса, 2 присъстват във всички планини – пояс на кафявите планинско-горски почви и пояс на планинско-ливадните почви. Поясът на </w:t>
      </w:r>
      <w:proofErr w:type="spellStart"/>
      <w:r w:rsidRPr="009F6D1E">
        <w:rPr>
          <w:rFonts w:eastAsia="Times New Roman" w:cs="Times New Roman"/>
          <w:szCs w:val="24"/>
        </w:rPr>
        <w:t>тъмноцветните</w:t>
      </w:r>
      <w:proofErr w:type="spellEnd"/>
      <w:r w:rsidRPr="009F6D1E">
        <w:rPr>
          <w:rFonts w:eastAsia="Times New Roman" w:cs="Times New Roman"/>
          <w:szCs w:val="24"/>
        </w:rPr>
        <w:t xml:space="preserve"> планинско-горски почви е добре изразен само в Рила и Пирин.</w:t>
      </w:r>
    </w:p>
    <w:p w14:paraId="13725A2B"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Пояс на кафявите планинско-горски почви (</w:t>
      </w:r>
      <w:proofErr w:type="spellStart"/>
      <w:r w:rsidRPr="009F6D1E">
        <w:rPr>
          <w:rFonts w:eastAsia="Times New Roman" w:cs="Times New Roman"/>
          <w:szCs w:val="24"/>
        </w:rPr>
        <w:t>Cambisols</w:t>
      </w:r>
      <w:proofErr w:type="spellEnd"/>
      <w:r w:rsidRPr="009F6D1E">
        <w:rPr>
          <w:rFonts w:eastAsia="Times New Roman" w:cs="Times New Roman"/>
          <w:szCs w:val="24"/>
        </w:rPr>
        <w:t>, CM) – развит е във всички планини и е оформен предимно от кисели (</w:t>
      </w:r>
      <w:proofErr w:type="spellStart"/>
      <w:r w:rsidRPr="009F6D1E">
        <w:rPr>
          <w:rFonts w:eastAsia="Times New Roman" w:cs="Times New Roman"/>
          <w:szCs w:val="24"/>
        </w:rPr>
        <w:t>ненаситени</w:t>
      </w:r>
      <w:proofErr w:type="spellEnd"/>
      <w:r w:rsidRPr="009F6D1E">
        <w:rPr>
          <w:rFonts w:eastAsia="Times New Roman" w:cs="Times New Roman"/>
          <w:szCs w:val="24"/>
        </w:rPr>
        <w:t>) кафяви горски почви и значително по-</w:t>
      </w:r>
      <w:r w:rsidRPr="009F6D1E">
        <w:rPr>
          <w:rFonts w:eastAsia="Times New Roman" w:cs="Times New Roman"/>
          <w:szCs w:val="24"/>
        </w:rPr>
        <w:lastRenderedPageBreak/>
        <w:t xml:space="preserve">малко от наситени почви. Характерно е и разпространението на </w:t>
      </w:r>
      <w:proofErr w:type="spellStart"/>
      <w:r w:rsidRPr="009F6D1E">
        <w:rPr>
          <w:rFonts w:eastAsia="Times New Roman" w:cs="Times New Roman"/>
          <w:szCs w:val="24"/>
        </w:rPr>
        <w:t>рендзини</w:t>
      </w:r>
      <w:proofErr w:type="spellEnd"/>
      <w:r w:rsidRPr="009F6D1E">
        <w:rPr>
          <w:rFonts w:eastAsia="Times New Roman" w:cs="Times New Roman"/>
          <w:szCs w:val="24"/>
        </w:rPr>
        <w:t xml:space="preserve">, които често са в комплекс с кафявите горски почви, като заемат значителни площи в Стара планина, Родопите, Славянка и др. </w:t>
      </w:r>
    </w:p>
    <w:p w14:paraId="24F9DE4B"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Пояс на </w:t>
      </w:r>
      <w:proofErr w:type="spellStart"/>
      <w:r w:rsidRPr="009F6D1E">
        <w:rPr>
          <w:rFonts w:eastAsia="Times New Roman" w:cs="Times New Roman"/>
          <w:szCs w:val="24"/>
        </w:rPr>
        <w:t>тъмноцветните</w:t>
      </w:r>
      <w:proofErr w:type="spellEnd"/>
      <w:r w:rsidRPr="009F6D1E">
        <w:rPr>
          <w:rFonts w:eastAsia="Times New Roman" w:cs="Times New Roman"/>
          <w:szCs w:val="24"/>
        </w:rPr>
        <w:t xml:space="preserve"> планинско-горски почви (</w:t>
      </w:r>
      <w:proofErr w:type="spellStart"/>
      <w:r w:rsidRPr="009F6D1E">
        <w:rPr>
          <w:rFonts w:eastAsia="Times New Roman" w:cs="Times New Roman"/>
          <w:szCs w:val="24"/>
        </w:rPr>
        <w:t>Humic</w:t>
      </w:r>
      <w:proofErr w:type="spellEnd"/>
      <w:r w:rsidRPr="009F6D1E">
        <w:rPr>
          <w:rFonts w:eastAsia="Times New Roman" w:cs="Times New Roman"/>
          <w:szCs w:val="24"/>
        </w:rPr>
        <w:t xml:space="preserve"> </w:t>
      </w:r>
      <w:proofErr w:type="spellStart"/>
      <w:r w:rsidRPr="009F6D1E">
        <w:rPr>
          <w:rFonts w:eastAsia="Times New Roman" w:cs="Times New Roman"/>
          <w:szCs w:val="24"/>
        </w:rPr>
        <w:t>Cambisols</w:t>
      </w:r>
      <w:proofErr w:type="spellEnd"/>
      <w:r w:rsidRPr="009F6D1E">
        <w:rPr>
          <w:rFonts w:eastAsia="Times New Roman" w:cs="Times New Roman"/>
          <w:szCs w:val="24"/>
        </w:rPr>
        <w:t xml:space="preserve">, </w:t>
      </w:r>
      <w:proofErr w:type="spellStart"/>
      <w:r w:rsidRPr="009F6D1E">
        <w:rPr>
          <w:rFonts w:eastAsia="Times New Roman" w:cs="Times New Roman"/>
          <w:szCs w:val="24"/>
        </w:rPr>
        <w:t>CMu</w:t>
      </w:r>
      <w:proofErr w:type="spellEnd"/>
      <w:r w:rsidRPr="009F6D1E">
        <w:rPr>
          <w:rFonts w:eastAsia="Times New Roman" w:cs="Times New Roman"/>
          <w:szCs w:val="24"/>
        </w:rPr>
        <w:t>) – пълно развитие на този пояс се наблюдава в Рила и Пирин, а отделни фрагменти от него може да се открият на Витоша, Беласица, Родопите и др.</w:t>
      </w:r>
    </w:p>
    <w:p w14:paraId="20D19F57"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Пояс на планинско-ливадните почви (</w:t>
      </w:r>
      <w:proofErr w:type="spellStart"/>
      <w:r w:rsidRPr="009F6D1E">
        <w:rPr>
          <w:rFonts w:eastAsia="Times New Roman" w:cs="Times New Roman"/>
          <w:szCs w:val="24"/>
        </w:rPr>
        <w:t>Umbro-sols</w:t>
      </w:r>
      <w:proofErr w:type="spellEnd"/>
      <w:r w:rsidRPr="009F6D1E">
        <w:rPr>
          <w:rFonts w:eastAsia="Times New Roman" w:cs="Times New Roman"/>
          <w:szCs w:val="24"/>
        </w:rPr>
        <w:t xml:space="preserve">) – включва безлесните била на планините и се характеризира с широко разпространение на подтиповете </w:t>
      </w:r>
      <w:proofErr w:type="spellStart"/>
      <w:r w:rsidRPr="009F6D1E">
        <w:rPr>
          <w:rFonts w:eastAsia="Times New Roman" w:cs="Times New Roman"/>
          <w:szCs w:val="24"/>
        </w:rPr>
        <w:t>чимови</w:t>
      </w:r>
      <w:proofErr w:type="spellEnd"/>
      <w:r w:rsidRPr="009F6D1E">
        <w:rPr>
          <w:rFonts w:eastAsia="Times New Roman" w:cs="Times New Roman"/>
          <w:szCs w:val="24"/>
        </w:rPr>
        <w:t xml:space="preserve"> планинско-ливадни и </w:t>
      </w:r>
      <w:proofErr w:type="spellStart"/>
      <w:r w:rsidRPr="009F6D1E">
        <w:rPr>
          <w:rFonts w:eastAsia="Times New Roman" w:cs="Times New Roman"/>
          <w:szCs w:val="24"/>
        </w:rPr>
        <w:t>торфенисти</w:t>
      </w:r>
      <w:proofErr w:type="spellEnd"/>
      <w:r w:rsidRPr="009F6D1E">
        <w:rPr>
          <w:rFonts w:eastAsia="Times New Roman" w:cs="Times New Roman"/>
          <w:szCs w:val="24"/>
        </w:rPr>
        <w:t xml:space="preserve"> почви. Срещат се също </w:t>
      </w:r>
      <w:proofErr w:type="spellStart"/>
      <w:r w:rsidRPr="009F6D1E">
        <w:rPr>
          <w:rFonts w:eastAsia="Times New Roman" w:cs="Times New Roman"/>
          <w:szCs w:val="24"/>
        </w:rPr>
        <w:t>ранкери</w:t>
      </w:r>
      <w:proofErr w:type="spellEnd"/>
      <w:r w:rsidRPr="009F6D1E">
        <w:rPr>
          <w:rFonts w:eastAsia="Times New Roman" w:cs="Times New Roman"/>
          <w:szCs w:val="24"/>
        </w:rPr>
        <w:t xml:space="preserve">, </w:t>
      </w:r>
      <w:proofErr w:type="spellStart"/>
      <w:r w:rsidRPr="009F6D1E">
        <w:rPr>
          <w:rFonts w:eastAsia="Times New Roman" w:cs="Times New Roman"/>
          <w:szCs w:val="24"/>
        </w:rPr>
        <w:t>литосоли</w:t>
      </w:r>
      <w:proofErr w:type="spellEnd"/>
      <w:r w:rsidRPr="009F6D1E">
        <w:rPr>
          <w:rFonts w:eastAsia="Times New Roman" w:cs="Times New Roman"/>
          <w:szCs w:val="24"/>
        </w:rPr>
        <w:t>, торфено-блатни почви.</w:t>
      </w:r>
    </w:p>
    <w:p w14:paraId="24DA9A02"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Освен гореспоменатите закономерности на географското разположение, почвите в България могат да бъдат привързани и към общо европейското почвено райониране (Герасимов  1960, Нинов 1982/1997), което е  четиристепенно – отделят се почвени сектори, области, подобласти и провинции. Съгласно това делене, България се отнася към две европейски почвено-географски области – Карпатско-Дунавска и Средиземноморска, които са съществени части от </w:t>
      </w:r>
      <w:proofErr w:type="spellStart"/>
      <w:r w:rsidRPr="009F6D1E">
        <w:rPr>
          <w:rFonts w:eastAsia="Times New Roman" w:cs="Times New Roman"/>
          <w:szCs w:val="24"/>
        </w:rPr>
        <w:t>Суббореалния</w:t>
      </w:r>
      <w:proofErr w:type="spellEnd"/>
      <w:r w:rsidRPr="009F6D1E">
        <w:rPr>
          <w:rFonts w:eastAsia="Times New Roman" w:cs="Times New Roman"/>
          <w:szCs w:val="24"/>
        </w:rPr>
        <w:t xml:space="preserve"> и Субтропичния почвен сектор на Европа. </w:t>
      </w:r>
    </w:p>
    <w:p w14:paraId="71530A8D"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На територията на България могат да се обособят 22 почвени провинции, всяка със своите характерни особености по отношение на почвената покривка.</w:t>
      </w:r>
    </w:p>
    <w:p w14:paraId="19C8BC89" w14:textId="77777777" w:rsidR="00350819" w:rsidRPr="009F6D1E" w:rsidRDefault="00350819" w:rsidP="0084747F">
      <w:pPr>
        <w:tabs>
          <w:tab w:val="left" w:pos="993"/>
        </w:tabs>
        <w:spacing w:after="60" w:line="264" w:lineRule="auto"/>
        <w:ind w:firstLine="720"/>
        <w:jc w:val="both"/>
        <w:rPr>
          <w:rFonts w:eastAsia="Times New Roman" w:cs="Times New Roman"/>
          <w:color w:val="2E74B5" w:themeColor="accent5" w:themeShade="BF"/>
          <w:szCs w:val="24"/>
        </w:rPr>
      </w:pPr>
      <w:r w:rsidRPr="009F6D1E">
        <w:rPr>
          <w:rFonts w:eastAsia="Times New Roman" w:cs="Times New Roman"/>
          <w:noProof/>
          <w:color w:val="2E74B5" w:themeColor="accent5" w:themeShade="BF"/>
          <w:szCs w:val="24"/>
          <w:lang w:val="en-US"/>
        </w:rPr>
        <w:drawing>
          <wp:anchor distT="0" distB="0" distL="114300" distR="114300" simplePos="0" relativeHeight="251657728" behindDoc="0" locked="0" layoutInCell="1" allowOverlap="1" wp14:anchorId="0247FF88" wp14:editId="1F22B7F6">
            <wp:simplePos x="0" y="0"/>
            <wp:positionH relativeFrom="page">
              <wp:posOffset>900430</wp:posOffset>
            </wp:positionH>
            <wp:positionV relativeFrom="paragraph">
              <wp:posOffset>227965</wp:posOffset>
            </wp:positionV>
            <wp:extent cx="5710555" cy="4041140"/>
            <wp:effectExtent l="0" t="0" r="4445" b="0"/>
            <wp:wrapTopAndBottom/>
            <wp:docPr id="3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Картина 5"/>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10555" cy="4041140"/>
                    </a:xfrm>
                    <a:prstGeom prst="rect">
                      <a:avLst/>
                    </a:prstGeom>
                  </pic:spPr>
                </pic:pic>
              </a:graphicData>
            </a:graphic>
          </wp:anchor>
        </w:drawing>
      </w:r>
    </w:p>
    <w:p w14:paraId="44F58A3E" w14:textId="0EAC5886" w:rsidR="00350819" w:rsidRPr="009F6D1E" w:rsidRDefault="00B55D53" w:rsidP="00B55D53">
      <w:pPr>
        <w:pStyle w:val="Caption"/>
        <w:rPr>
          <w:rFonts w:eastAsia="Times New Roman"/>
          <w:b/>
          <w:bCs/>
          <w:i w:val="0"/>
          <w:iCs w:val="0"/>
          <w:color w:val="2E74B5" w:themeColor="accent5" w:themeShade="BF"/>
        </w:rPr>
      </w:pPr>
      <w:bookmarkStart w:id="306" w:name="_Toc115255110"/>
      <w:r w:rsidRPr="009F6D1E">
        <w:t xml:space="preserve">Фигура </w:t>
      </w:r>
      <w:fldSimple w:instr=" SEQ Фигура \* ARABIC ">
        <w:r w:rsidR="00A43EF3">
          <w:rPr>
            <w:noProof/>
          </w:rPr>
          <w:t>49</w:t>
        </w:r>
      </w:fldSimple>
      <w:r w:rsidRPr="009F6D1E">
        <w:t>:</w:t>
      </w:r>
      <w:r w:rsidR="00350819" w:rsidRPr="009F6D1E">
        <w:rPr>
          <w:rFonts w:eastAsia="Times New Roman"/>
          <w:b/>
          <w:bCs/>
          <w:color w:val="2E74B5" w:themeColor="accent5" w:themeShade="BF"/>
        </w:rPr>
        <w:t xml:space="preserve"> </w:t>
      </w:r>
      <w:r w:rsidR="00350819" w:rsidRPr="009F6D1E">
        <w:rPr>
          <w:rFonts w:eastAsia="Times New Roman"/>
        </w:rPr>
        <w:t>Почвени провинции в България (Нинов, 1997)</w:t>
      </w:r>
      <w:bookmarkEnd w:id="306"/>
    </w:p>
    <w:p w14:paraId="1AC54863" w14:textId="77777777" w:rsidR="00350819" w:rsidRPr="009F6D1E" w:rsidRDefault="00350819">
      <w:pPr>
        <w:pStyle w:val="ListParagraph"/>
        <w:numPr>
          <w:ilvl w:val="0"/>
          <w:numId w:val="34"/>
        </w:numPr>
        <w:tabs>
          <w:tab w:val="left" w:pos="993"/>
        </w:tabs>
        <w:spacing w:after="60" w:line="264" w:lineRule="auto"/>
        <w:ind w:left="1134"/>
        <w:jc w:val="both"/>
        <w:rPr>
          <w:rFonts w:eastAsia="Times New Roman"/>
          <w:b/>
          <w:bCs/>
          <w:i/>
          <w:iCs/>
          <w:color w:val="000000" w:themeColor="text1"/>
          <w:lang w:val="bg-BG"/>
        </w:rPr>
      </w:pPr>
      <w:r w:rsidRPr="009F6D1E">
        <w:rPr>
          <w:rFonts w:eastAsia="Times New Roman"/>
          <w:b/>
          <w:bCs/>
          <w:i/>
          <w:iCs/>
          <w:color w:val="000000" w:themeColor="text1"/>
          <w:lang w:val="bg-BG"/>
        </w:rPr>
        <w:lastRenderedPageBreak/>
        <w:t>Структура и ползване на земята</w:t>
      </w:r>
    </w:p>
    <w:p w14:paraId="1D76CBF8"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За периода 2016 – 2021 г., структурата на ползването на земята в България е променлива. По данни от окончателните резултати за заетостта и </w:t>
      </w:r>
      <w:proofErr w:type="spellStart"/>
      <w:r w:rsidRPr="009F6D1E">
        <w:rPr>
          <w:rFonts w:eastAsia="Times New Roman" w:cs="Times New Roman"/>
          <w:szCs w:val="24"/>
        </w:rPr>
        <w:t>използванетона</w:t>
      </w:r>
      <w:proofErr w:type="spellEnd"/>
      <w:r w:rsidRPr="009F6D1E">
        <w:rPr>
          <w:rFonts w:eastAsia="Times New Roman" w:cs="Times New Roman"/>
          <w:szCs w:val="24"/>
        </w:rPr>
        <w:t xml:space="preserve"> територията на България (</w:t>
      </w:r>
      <w:proofErr w:type="spellStart"/>
      <w:r w:rsidRPr="009F6D1E">
        <w:rPr>
          <w:rFonts w:eastAsia="Times New Roman" w:cs="Times New Roman"/>
          <w:szCs w:val="24"/>
        </w:rPr>
        <w:t>МЗм</w:t>
      </w:r>
      <w:proofErr w:type="spellEnd"/>
      <w:r w:rsidRPr="009F6D1E">
        <w:rPr>
          <w:rFonts w:eastAsia="Times New Roman" w:cs="Times New Roman"/>
          <w:szCs w:val="24"/>
        </w:rPr>
        <w:t xml:space="preserve"> 2021), площта със селскостопанско предназначение през 2021 г. е 5 227 350 </w:t>
      </w:r>
      <w:proofErr w:type="spellStart"/>
      <w:r w:rsidRPr="009F6D1E">
        <w:rPr>
          <w:rFonts w:eastAsia="Times New Roman" w:cs="Times New Roman"/>
          <w:szCs w:val="24"/>
        </w:rPr>
        <w:t>ha</w:t>
      </w:r>
      <w:proofErr w:type="spellEnd"/>
      <w:r w:rsidRPr="009F6D1E">
        <w:rPr>
          <w:rFonts w:eastAsia="Times New Roman" w:cs="Times New Roman"/>
          <w:szCs w:val="24"/>
        </w:rPr>
        <w:t>, което представлява около 47,1 % от територията на страната.</w:t>
      </w:r>
    </w:p>
    <w:p w14:paraId="717B9FF0"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Използваната земеделска площ се формира от обработваемата земя, трайните насаждения, постоянно затревените площи, семейните градини и оранжерийните площи. През 2020 г. тя е в размер на 5 046 597 </w:t>
      </w:r>
      <w:proofErr w:type="spellStart"/>
      <w:r w:rsidRPr="009F6D1E">
        <w:rPr>
          <w:rFonts w:eastAsia="Times New Roman" w:cs="Times New Roman"/>
          <w:szCs w:val="24"/>
        </w:rPr>
        <w:t>ha</w:t>
      </w:r>
      <w:proofErr w:type="spellEnd"/>
      <w:r w:rsidRPr="009F6D1E">
        <w:rPr>
          <w:rFonts w:eastAsia="Times New Roman" w:cs="Times New Roman"/>
          <w:szCs w:val="24"/>
        </w:rPr>
        <w:t>, което е незначително намаляване спрямо предходната година и представлява 45,5% от територията на страната.</w:t>
      </w:r>
    </w:p>
    <w:p w14:paraId="2EB3B8E5"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Обработваемите земи са площите, които се включват в сеитбообращение, временните ливади с житни и бобови треви и угарите. През 2021 г. обработваемите земи заемат 3 486 748 </w:t>
      </w:r>
      <w:proofErr w:type="spellStart"/>
      <w:r w:rsidRPr="009F6D1E">
        <w:rPr>
          <w:rFonts w:eastAsia="Times New Roman" w:cs="Times New Roman"/>
          <w:szCs w:val="24"/>
        </w:rPr>
        <w:t>ha</w:t>
      </w:r>
      <w:proofErr w:type="spellEnd"/>
      <w:r w:rsidRPr="009F6D1E">
        <w:rPr>
          <w:rFonts w:eastAsia="Times New Roman" w:cs="Times New Roman"/>
          <w:szCs w:val="24"/>
        </w:rPr>
        <w:t xml:space="preserve"> или 69,1% от използваната земеделска площ. В сравнение с предходната година, те нарастват с 0,2%, спрямо тогава използваната земеделска площ, основно поради увеличение на площите с царевица, слънчоглед и други индустриални култури.</w:t>
      </w:r>
    </w:p>
    <w:p w14:paraId="3FC8E2A9"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proofErr w:type="spellStart"/>
      <w:r w:rsidRPr="009F6D1E">
        <w:rPr>
          <w:rFonts w:eastAsia="Times New Roman" w:cs="Times New Roman"/>
          <w:szCs w:val="24"/>
        </w:rPr>
        <w:t>Необработвани</w:t>
      </w:r>
      <w:proofErr w:type="spellEnd"/>
      <w:r w:rsidRPr="009F6D1E">
        <w:rPr>
          <w:rFonts w:eastAsia="Times New Roman" w:cs="Times New Roman"/>
          <w:szCs w:val="24"/>
        </w:rPr>
        <w:t xml:space="preserve"> земи са тези, които не се включват в сеитбообращението и не са използвани за земеделско производство повече от две години. Експлоатационното им възстановяване е възможно с минимални средства. По данни от аграрния доклад на </w:t>
      </w:r>
      <w:proofErr w:type="spellStart"/>
      <w:r w:rsidRPr="009F6D1E">
        <w:rPr>
          <w:rFonts w:eastAsia="Times New Roman" w:cs="Times New Roman"/>
          <w:szCs w:val="24"/>
        </w:rPr>
        <w:t>МЗм</w:t>
      </w:r>
      <w:proofErr w:type="spellEnd"/>
      <w:r w:rsidRPr="009F6D1E">
        <w:rPr>
          <w:rFonts w:eastAsia="Times New Roman" w:cs="Times New Roman"/>
          <w:szCs w:val="24"/>
        </w:rPr>
        <w:t xml:space="preserve"> (2021) през 2020 г. </w:t>
      </w:r>
      <w:proofErr w:type="spellStart"/>
      <w:r w:rsidRPr="009F6D1E">
        <w:rPr>
          <w:rFonts w:eastAsia="Times New Roman" w:cs="Times New Roman"/>
          <w:szCs w:val="24"/>
        </w:rPr>
        <w:t>необработваните</w:t>
      </w:r>
      <w:proofErr w:type="spellEnd"/>
      <w:r w:rsidRPr="009F6D1E">
        <w:rPr>
          <w:rFonts w:eastAsia="Times New Roman" w:cs="Times New Roman"/>
          <w:szCs w:val="24"/>
        </w:rPr>
        <w:t xml:space="preserve"> земи заемат около 1,63% от площта на страната. За сравнение през 2012 г. </w:t>
      </w:r>
      <w:proofErr w:type="spellStart"/>
      <w:r w:rsidRPr="009F6D1E">
        <w:rPr>
          <w:rFonts w:eastAsia="Times New Roman" w:cs="Times New Roman"/>
          <w:szCs w:val="24"/>
        </w:rPr>
        <w:t>необработваните</w:t>
      </w:r>
      <w:proofErr w:type="spellEnd"/>
      <w:r w:rsidRPr="009F6D1E">
        <w:rPr>
          <w:rFonts w:eastAsia="Times New Roman" w:cs="Times New Roman"/>
          <w:szCs w:val="24"/>
        </w:rPr>
        <w:t xml:space="preserve"> земи са заемали 3,2% от площта на страната, което показва двойно намаляване на площта на тези земи.</w:t>
      </w:r>
    </w:p>
    <w:p w14:paraId="18AC5373" w14:textId="77777777" w:rsidR="00350819" w:rsidRPr="009F6D1E" w:rsidRDefault="00350819">
      <w:pPr>
        <w:pStyle w:val="ListParagraph"/>
        <w:numPr>
          <w:ilvl w:val="0"/>
          <w:numId w:val="34"/>
        </w:numPr>
        <w:tabs>
          <w:tab w:val="left" w:pos="993"/>
        </w:tabs>
        <w:spacing w:after="60" w:line="264" w:lineRule="auto"/>
        <w:ind w:left="1134"/>
        <w:jc w:val="both"/>
        <w:rPr>
          <w:rFonts w:eastAsia="Times New Roman"/>
          <w:b/>
          <w:bCs/>
          <w:i/>
          <w:iCs/>
          <w:color w:val="000000" w:themeColor="text1"/>
          <w:lang w:val="bg-BG"/>
        </w:rPr>
      </w:pPr>
      <w:r w:rsidRPr="009F6D1E">
        <w:rPr>
          <w:rFonts w:eastAsia="Times New Roman"/>
          <w:b/>
          <w:bCs/>
          <w:i/>
          <w:iCs/>
          <w:color w:val="000000" w:themeColor="text1"/>
          <w:lang w:val="bg-BG"/>
        </w:rPr>
        <w:t>Състояние и качество на почвите</w:t>
      </w:r>
    </w:p>
    <w:p w14:paraId="260A2564"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Един от индикаторите показващ състоянието на почвите е </w:t>
      </w:r>
      <w:proofErr w:type="spellStart"/>
      <w:r w:rsidRPr="009F6D1E">
        <w:rPr>
          <w:rFonts w:eastAsia="Times New Roman" w:cs="Times New Roman"/>
          <w:szCs w:val="24"/>
        </w:rPr>
        <w:t>запасеността</w:t>
      </w:r>
      <w:proofErr w:type="spellEnd"/>
      <w:r w:rsidRPr="009F6D1E">
        <w:rPr>
          <w:rFonts w:eastAsia="Times New Roman" w:cs="Times New Roman"/>
          <w:szCs w:val="24"/>
        </w:rPr>
        <w:t xml:space="preserve"> им с биогенни елементи. Той се определя от съдържанието на общ азот, органичен въглерод и общ фосфор, както и от съотношението между органичен въглерод и общ азот.</w:t>
      </w:r>
    </w:p>
    <w:p w14:paraId="6E493329" w14:textId="4C2A23B8"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Анализите, които ИАОС извършва ежегодно показват, че в периода 2005 – 20</w:t>
      </w:r>
      <w:r w:rsidR="00982D50">
        <w:rPr>
          <w:rFonts w:eastAsia="Times New Roman" w:cs="Times New Roman"/>
          <w:szCs w:val="24"/>
        </w:rPr>
        <w:t>20</w:t>
      </w:r>
      <w:r w:rsidRPr="009F6D1E">
        <w:rPr>
          <w:rFonts w:eastAsia="Times New Roman" w:cs="Times New Roman"/>
          <w:szCs w:val="24"/>
        </w:rPr>
        <w:t xml:space="preserve"> г. почвите в страната са в добро екологично състояние по отношение на </w:t>
      </w:r>
      <w:proofErr w:type="spellStart"/>
      <w:r w:rsidRPr="009F6D1E">
        <w:rPr>
          <w:rFonts w:eastAsia="Times New Roman" w:cs="Times New Roman"/>
          <w:szCs w:val="24"/>
        </w:rPr>
        <w:t>запасеност</w:t>
      </w:r>
      <w:proofErr w:type="spellEnd"/>
      <w:r w:rsidRPr="009F6D1E">
        <w:rPr>
          <w:rFonts w:eastAsia="Times New Roman" w:cs="Times New Roman"/>
          <w:szCs w:val="24"/>
        </w:rPr>
        <w:t xml:space="preserve"> с биогенни елементи/органично вещество. Оценката се извършва в рамките на Националната система за почвен мониторинг, въз основа на равномерна мрежа (16x16 </w:t>
      </w:r>
      <w:proofErr w:type="spellStart"/>
      <w:r w:rsidRPr="009F6D1E">
        <w:rPr>
          <w:rFonts w:eastAsia="Times New Roman" w:cs="Times New Roman"/>
          <w:szCs w:val="24"/>
        </w:rPr>
        <w:t>km</w:t>
      </w:r>
      <w:proofErr w:type="spellEnd"/>
      <w:r w:rsidRPr="009F6D1E">
        <w:rPr>
          <w:rFonts w:eastAsia="Times New Roman" w:cs="Times New Roman"/>
          <w:szCs w:val="24"/>
        </w:rPr>
        <w:t xml:space="preserve">) от 397 пункта, в която се извършват проучвания посредством анализ и оценка за съдържанието на трите биогенни елемента: азот, органичен въглерод и фосфор. Пунктовете са разположени в земеделски земи, като всяка година се </w:t>
      </w:r>
      <w:proofErr w:type="spellStart"/>
      <w:r w:rsidRPr="009F6D1E">
        <w:rPr>
          <w:rFonts w:eastAsia="Times New Roman" w:cs="Times New Roman"/>
          <w:szCs w:val="24"/>
        </w:rPr>
        <w:t>пробонабират</w:t>
      </w:r>
      <w:proofErr w:type="spellEnd"/>
      <w:r w:rsidRPr="009F6D1E">
        <w:rPr>
          <w:rFonts w:eastAsia="Times New Roman" w:cs="Times New Roman"/>
          <w:szCs w:val="24"/>
        </w:rPr>
        <w:t xml:space="preserve"> 25 % от тях съгласно чл.10 (1) от Наредба № 4 за мониторинг на почвите.</w:t>
      </w:r>
    </w:p>
    <w:p w14:paraId="093C90D4"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Анализите от извършеният през 2019 г. </w:t>
      </w:r>
      <w:proofErr w:type="spellStart"/>
      <w:r w:rsidRPr="009F6D1E">
        <w:rPr>
          <w:rFonts w:eastAsia="Times New Roman" w:cs="Times New Roman"/>
          <w:szCs w:val="24"/>
        </w:rPr>
        <w:t>пробонабирания</w:t>
      </w:r>
      <w:proofErr w:type="spellEnd"/>
      <w:r w:rsidRPr="009F6D1E">
        <w:rPr>
          <w:rFonts w:eastAsia="Times New Roman" w:cs="Times New Roman"/>
          <w:szCs w:val="24"/>
        </w:rPr>
        <w:t xml:space="preserve"> показват, че средната запазеност на почвите с биогенни елементи в обработваеми земи, пасища и ливади е както следва: </w:t>
      </w:r>
    </w:p>
    <w:tbl>
      <w:tblPr>
        <w:tblStyle w:val="TableGrid"/>
        <w:tblW w:w="0" w:type="auto"/>
        <w:tblLook w:val="04A0" w:firstRow="1" w:lastRow="0" w:firstColumn="1" w:lastColumn="0" w:noHBand="0" w:noVBand="1"/>
      </w:tblPr>
      <w:tblGrid>
        <w:gridCol w:w="2143"/>
        <w:gridCol w:w="1872"/>
        <w:gridCol w:w="1871"/>
        <w:gridCol w:w="1871"/>
        <w:gridCol w:w="1871"/>
      </w:tblGrid>
      <w:tr w:rsidR="00350819" w:rsidRPr="009F6D1E" w14:paraId="6F553BAA" w14:textId="77777777" w:rsidTr="00170DE2">
        <w:tc>
          <w:tcPr>
            <w:tcW w:w="2143" w:type="dxa"/>
            <w:shd w:val="clear" w:color="auto" w:fill="BFBFBF" w:themeFill="background1" w:themeFillShade="BF"/>
          </w:tcPr>
          <w:p w14:paraId="738CBBE7" w14:textId="77777777" w:rsidR="00350819" w:rsidRPr="009F6D1E" w:rsidRDefault="00350819" w:rsidP="0084747F">
            <w:pPr>
              <w:tabs>
                <w:tab w:val="left" w:pos="993"/>
              </w:tabs>
              <w:spacing w:after="60" w:line="264" w:lineRule="auto"/>
              <w:jc w:val="center"/>
              <w:rPr>
                <w:rFonts w:eastAsia="Times New Roman" w:cs="Times New Roman"/>
                <w:sz w:val="20"/>
                <w:szCs w:val="20"/>
              </w:rPr>
            </w:pPr>
          </w:p>
        </w:tc>
        <w:tc>
          <w:tcPr>
            <w:tcW w:w="1872" w:type="dxa"/>
            <w:shd w:val="clear" w:color="auto" w:fill="BFBFBF" w:themeFill="background1" w:themeFillShade="BF"/>
          </w:tcPr>
          <w:p w14:paraId="7911712B" w14:textId="77777777" w:rsidR="00350819" w:rsidRPr="009F6D1E" w:rsidRDefault="00350819" w:rsidP="0084747F">
            <w:pPr>
              <w:tabs>
                <w:tab w:val="left" w:pos="993"/>
              </w:tabs>
              <w:spacing w:after="60" w:line="264" w:lineRule="auto"/>
              <w:jc w:val="center"/>
              <w:rPr>
                <w:rFonts w:eastAsia="Times New Roman" w:cs="Times New Roman"/>
                <w:b/>
                <w:bCs/>
                <w:sz w:val="20"/>
                <w:szCs w:val="20"/>
              </w:rPr>
            </w:pPr>
            <w:proofErr w:type="spellStart"/>
            <w:r w:rsidRPr="009F6D1E">
              <w:rPr>
                <w:rFonts w:cs="Times New Roman"/>
                <w:b/>
                <w:bCs/>
                <w:sz w:val="20"/>
                <w:szCs w:val="20"/>
              </w:rPr>
              <w:t>орг</w:t>
            </w:r>
            <w:proofErr w:type="spellEnd"/>
            <w:r w:rsidRPr="009F6D1E">
              <w:rPr>
                <w:rFonts w:cs="Times New Roman"/>
                <w:b/>
                <w:bCs/>
                <w:sz w:val="20"/>
                <w:szCs w:val="20"/>
              </w:rPr>
              <w:t>. С, g/</w:t>
            </w:r>
            <w:proofErr w:type="spellStart"/>
            <w:r w:rsidRPr="009F6D1E">
              <w:rPr>
                <w:rFonts w:cs="Times New Roman"/>
                <w:b/>
                <w:bCs/>
                <w:sz w:val="20"/>
                <w:szCs w:val="20"/>
              </w:rPr>
              <w:t>kg</w:t>
            </w:r>
            <w:proofErr w:type="spellEnd"/>
          </w:p>
        </w:tc>
        <w:tc>
          <w:tcPr>
            <w:tcW w:w="1871" w:type="dxa"/>
            <w:shd w:val="clear" w:color="auto" w:fill="BFBFBF" w:themeFill="background1" w:themeFillShade="BF"/>
          </w:tcPr>
          <w:p w14:paraId="2D2F8053" w14:textId="77777777" w:rsidR="00350819" w:rsidRPr="009F6D1E" w:rsidRDefault="00350819" w:rsidP="0084747F">
            <w:pPr>
              <w:tabs>
                <w:tab w:val="left" w:pos="993"/>
              </w:tabs>
              <w:spacing w:after="60" w:line="264" w:lineRule="auto"/>
              <w:jc w:val="center"/>
              <w:rPr>
                <w:rFonts w:eastAsia="Times New Roman" w:cs="Times New Roman"/>
                <w:b/>
                <w:bCs/>
                <w:sz w:val="20"/>
                <w:szCs w:val="20"/>
              </w:rPr>
            </w:pPr>
            <w:r w:rsidRPr="009F6D1E">
              <w:rPr>
                <w:rFonts w:cs="Times New Roman"/>
                <w:b/>
                <w:bCs/>
                <w:sz w:val="20"/>
                <w:szCs w:val="20"/>
              </w:rPr>
              <w:t>общ N, g/</w:t>
            </w:r>
            <w:proofErr w:type="spellStart"/>
            <w:r w:rsidRPr="009F6D1E">
              <w:rPr>
                <w:rFonts w:cs="Times New Roman"/>
                <w:b/>
                <w:bCs/>
                <w:sz w:val="20"/>
                <w:szCs w:val="20"/>
              </w:rPr>
              <w:t>kg</w:t>
            </w:r>
            <w:proofErr w:type="spellEnd"/>
          </w:p>
        </w:tc>
        <w:tc>
          <w:tcPr>
            <w:tcW w:w="1871" w:type="dxa"/>
            <w:shd w:val="clear" w:color="auto" w:fill="BFBFBF" w:themeFill="background1" w:themeFillShade="BF"/>
          </w:tcPr>
          <w:p w14:paraId="125AB3D1" w14:textId="77777777" w:rsidR="00350819" w:rsidRPr="009F6D1E" w:rsidRDefault="00350819" w:rsidP="0084747F">
            <w:pPr>
              <w:tabs>
                <w:tab w:val="left" w:pos="993"/>
              </w:tabs>
              <w:spacing w:after="60" w:line="264" w:lineRule="auto"/>
              <w:jc w:val="center"/>
              <w:rPr>
                <w:rFonts w:eastAsia="Times New Roman" w:cs="Times New Roman"/>
                <w:b/>
                <w:bCs/>
                <w:sz w:val="20"/>
                <w:szCs w:val="20"/>
              </w:rPr>
            </w:pPr>
            <w:r w:rsidRPr="009F6D1E">
              <w:rPr>
                <w:rFonts w:cs="Times New Roman"/>
                <w:b/>
                <w:bCs/>
                <w:sz w:val="20"/>
                <w:szCs w:val="20"/>
              </w:rPr>
              <w:t>общ P, g/</w:t>
            </w:r>
            <w:proofErr w:type="spellStart"/>
            <w:r w:rsidRPr="009F6D1E">
              <w:rPr>
                <w:rFonts w:cs="Times New Roman"/>
                <w:b/>
                <w:bCs/>
                <w:sz w:val="20"/>
                <w:szCs w:val="20"/>
              </w:rPr>
              <w:t>kg</w:t>
            </w:r>
            <w:proofErr w:type="spellEnd"/>
          </w:p>
        </w:tc>
        <w:tc>
          <w:tcPr>
            <w:tcW w:w="1871" w:type="dxa"/>
            <w:shd w:val="clear" w:color="auto" w:fill="BFBFBF" w:themeFill="background1" w:themeFillShade="BF"/>
          </w:tcPr>
          <w:p w14:paraId="3CB10D3A" w14:textId="77777777" w:rsidR="00350819" w:rsidRPr="009F6D1E" w:rsidRDefault="00350819" w:rsidP="0084747F">
            <w:pPr>
              <w:tabs>
                <w:tab w:val="left" w:pos="993"/>
              </w:tabs>
              <w:spacing w:after="60" w:line="264" w:lineRule="auto"/>
              <w:jc w:val="center"/>
              <w:rPr>
                <w:rFonts w:eastAsia="Times New Roman" w:cs="Times New Roman"/>
                <w:b/>
                <w:bCs/>
                <w:sz w:val="20"/>
                <w:szCs w:val="20"/>
              </w:rPr>
            </w:pPr>
            <w:proofErr w:type="spellStart"/>
            <w:r w:rsidRPr="009F6D1E">
              <w:rPr>
                <w:rFonts w:cs="Times New Roman"/>
                <w:b/>
                <w:bCs/>
                <w:sz w:val="20"/>
                <w:szCs w:val="20"/>
              </w:rPr>
              <w:t>орг</w:t>
            </w:r>
            <w:proofErr w:type="spellEnd"/>
            <w:r w:rsidRPr="009F6D1E">
              <w:rPr>
                <w:rFonts w:cs="Times New Roman"/>
                <w:b/>
                <w:bCs/>
                <w:sz w:val="20"/>
                <w:szCs w:val="20"/>
              </w:rPr>
              <w:t>. С / общ N</w:t>
            </w:r>
          </w:p>
        </w:tc>
      </w:tr>
      <w:tr w:rsidR="00170DE2" w:rsidRPr="009F6D1E" w14:paraId="63766902" w14:textId="77777777" w:rsidTr="003A1CB7">
        <w:tc>
          <w:tcPr>
            <w:tcW w:w="2143" w:type="dxa"/>
          </w:tcPr>
          <w:p w14:paraId="33DEE18B" w14:textId="77777777" w:rsidR="00350819" w:rsidRPr="009F6D1E" w:rsidRDefault="00350819" w:rsidP="0084747F">
            <w:pPr>
              <w:tabs>
                <w:tab w:val="left" w:pos="993"/>
              </w:tabs>
              <w:spacing w:after="60" w:line="264" w:lineRule="auto"/>
              <w:jc w:val="center"/>
              <w:rPr>
                <w:rFonts w:eastAsia="Times New Roman" w:cs="Times New Roman"/>
                <w:b/>
                <w:bCs/>
                <w:sz w:val="20"/>
                <w:szCs w:val="20"/>
              </w:rPr>
            </w:pPr>
            <w:r w:rsidRPr="009F6D1E">
              <w:rPr>
                <w:rFonts w:eastAsia="Times New Roman" w:cs="Times New Roman"/>
                <w:b/>
                <w:bCs/>
                <w:sz w:val="20"/>
                <w:szCs w:val="20"/>
              </w:rPr>
              <w:t xml:space="preserve">Средна </w:t>
            </w:r>
            <w:proofErr w:type="spellStart"/>
            <w:r w:rsidRPr="009F6D1E">
              <w:rPr>
                <w:rFonts w:eastAsia="Times New Roman" w:cs="Times New Roman"/>
                <w:b/>
                <w:bCs/>
                <w:sz w:val="20"/>
                <w:szCs w:val="20"/>
              </w:rPr>
              <w:t>запасеност</w:t>
            </w:r>
            <w:proofErr w:type="spellEnd"/>
          </w:p>
        </w:tc>
        <w:tc>
          <w:tcPr>
            <w:tcW w:w="1872" w:type="dxa"/>
          </w:tcPr>
          <w:p w14:paraId="087F63D9" w14:textId="77777777" w:rsidR="00350819" w:rsidRPr="009F6D1E" w:rsidRDefault="00350819" w:rsidP="0084747F">
            <w:pPr>
              <w:tabs>
                <w:tab w:val="left" w:pos="993"/>
              </w:tabs>
              <w:spacing w:after="60" w:line="264" w:lineRule="auto"/>
              <w:jc w:val="center"/>
              <w:rPr>
                <w:rFonts w:eastAsia="Times New Roman" w:cs="Times New Roman"/>
                <w:sz w:val="20"/>
                <w:szCs w:val="20"/>
              </w:rPr>
            </w:pPr>
            <w:r w:rsidRPr="009F6D1E">
              <w:rPr>
                <w:rFonts w:cs="Times New Roman"/>
                <w:sz w:val="20"/>
                <w:szCs w:val="20"/>
              </w:rPr>
              <w:t>15-25</w:t>
            </w:r>
          </w:p>
        </w:tc>
        <w:tc>
          <w:tcPr>
            <w:tcW w:w="1871" w:type="dxa"/>
          </w:tcPr>
          <w:p w14:paraId="1A2620D9" w14:textId="77777777" w:rsidR="00350819" w:rsidRPr="009F6D1E" w:rsidRDefault="00350819" w:rsidP="0084747F">
            <w:pPr>
              <w:tabs>
                <w:tab w:val="left" w:pos="993"/>
              </w:tabs>
              <w:spacing w:after="60" w:line="264" w:lineRule="auto"/>
              <w:jc w:val="center"/>
              <w:rPr>
                <w:rFonts w:eastAsia="Times New Roman" w:cs="Times New Roman"/>
                <w:sz w:val="20"/>
                <w:szCs w:val="20"/>
              </w:rPr>
            </w:pPr>
            <w:r w:rsidRPr="009F6D1E">
              <w:rPr>
                <w:rFonts w:cs="Times New Roman"/>
                <w:sz w:val="20"/>
                <w:szCs w:val="20"/>
              </w:rPr>
              <w:t>1,95-2,86</w:t>
            </w:r>
          </w:p>
        </w:tc>
        <w:tc>
          <w:tcPr>
            <w:tcW w:w="1871" w:type="dxa"/>
          </w:tcPr>
          <w:p w14:paraId="43C6F455" w14:textId="7D76A983" w:rsidR="00350819" w:rsidRPr="009F6D1E" w:rsidRDefault="00350819" w:rsidP="0084747F">
            <w:pPr>
              <w:tabs>
                <w:tab w:val="left" w:pos="993"/>
              </w:tabs>
              <w:spacing w:after="60" w:line="264" w:lineRule="auto"/>
              <w:jc w:val="center"/>
              <w:rPr>
                <w:rFonts w:eastAsia="Times New Roman" w:cs="Times New Roman"/>
                <w:sz w:val="20"/>
                <w:szCs w:val="20"/>
              </w:rPr>
            </w:pPr>
            <w:r w:rsidRPr="009F6D1E">
              <w:rPr>
                <w:rFonts w:cs="Times New Roman"/>
                <w:sz w:val="20"/>
                <w:szCs w:val="20"/>
              </w:rPr>
              <w:t>924</w:t>
            </w:r>
            <w:r w:rsidR="00982D50">
              <w:rPr>
                <w:rFonts w:cs="Times New Roman"/>
                <w:sz w:val="20"/>
                <w:szCs w:val="20"/>
              </w:rPr>
              <w:t>-1599</w:t>
            </w:r>
          </w:p>
        </w:tc>
        <w:tc>
          <w:tcPr>
            <w:tcW w:w="1871" w:type="dxa"/>
          </w:tcPr>
          <w:p w14:paraId="42983001" w14:textId="77777777" w:rsidR="00350819" w:rsidRPr="009F6D1E" w:rsidRDefault="00350819" w:rsidP="0084747F">
            <w:pPr>
              <w:tabs>
                <w:tab w:val="left" w:pos="993"/>
              </w:tabs>
              <w:spacing w:after="60" w:line="264" w:lineRule="auto"/>
              <w:jc w:val="center"/>
              <w:rPr>
                <w:rFonts w:eastAsia="Times New Roman" w:cs="Times New Roman"/>
                <w:sz w:val="20"/>
                <w:szCs w:val="20"/>
              </w:rPr>
            </w:pPr>
            <w:r w:rsidRPr="009F6D1E">
              <w:rPr>
                <w:rFonts w:cs="Times New Roman"/>
                <w:sz w:val="20"/>
                <w:szCs w:val="20"/>
              </w:rPr>
              <w:t>10-12</w:t>
            </w:r>
          </w:p>
        </w:tc>
      </w:tr>
    </w:tbl>
    <w:p w14:paraId="50A758FA" w14:textId="77777777" w:rsidR="00350819" w:rsidRPr="009F6D1E" w:rsidRDefault="00350819" w:rsidP="0084747F">
      <w:pPr>
        <w:tabs>
          <w:tab w:val="left" w:pos="993"/>
        </w:tabs>
        <w:spacing w:after="60" w:line="264" w:lineRule="auto"/>
        <w:ind w:firstLine="720"/>
        <w:jc w:val="right"/>
        <w:rPr>
          <w:rFonts w:eastAsia="Times New Roman" w:cs="Times New Roman"/>
          <w:i/>
          <w:iCs/>
          <w:sz w:val="20"/>
          <w:szCs w:val="20"/>
        </w:rPr>
      </w:pPr>
      <w:r w:rsidRPr="009F6D1E">
        <w:rPr>
          <w:rFonts w:eastAsia="Times New Roman" w:cs="Times New Roman"/>
          <w:i/>
          <w:iCs/>
          <w:sz w:val="20"/>
          <w:szCs w:val="20"/>
        </w:rPr>
        <w:t>Данни: ИАОС</w:t>
      </w:r>
    </w:p>
    <w:p w14:paraId="3F0D5433" w14:textId="7899E791"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През 20</w:t>
      </w:r>
      <w:r w:rsidR="00982D50">
        <w:rPr>
          <w:rFonts w:eastAsia="Times New Roman" w:cs="Times New Roman"/>
          <w:szCs w:val="24"/>
        </w:rPr>
        <w:t>20</w:t>
      </w:r>
      <w:r w:rsidRPr="009F6D1E">
        <w:rPr>
          <w:rFonts w:eastAsia="Times New Roman" w:cs="Times New Roman"/>
          <w:szCs w:val="24"/>
        </w:rPr>
        <w:t xml:space="preserve"> г., обработваемите земи и постоянно затревените площи се характеризират с високо съдържание на органичен въглерод, азот и средна </w:t>
      </w:r>
      <w:proofErr w:type="spellStart"/>
      <w:r w:rsidRPr="009F6D1E">
        <w:rPr>
          <w:rFonts w:eastAsia="Times New Roman" w:cs="Times New Roman"/>
          <w:szCs w:val="24"/>
        </w:rPr>
        <w:t>запасеност</w:t>
      </w:r>
      <w:proofErr w:type="spellEnd"/>
      <w:r w:rsidRPr="009F6D1E">
        <w:rPr>
          <w:rFonts w:eastAsia="Times New Roman" w:cs="Times New Roman"/>
          <w:szCs w:val="24"/>
        </w:rPr>
        <w:t xml:space="preserve"> с фосфор в двете дълбочини от който се вземат проби (0-20 cm и 20-40 cm).</w:t>
      </w:r>
    </w:p>
    <w:p w14:paraId="7D63F926" w14:textId="585151FF"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Съотношението органичен C / общ N е индикация за благоприятните условия за съществуване и развитие на почвеното биоразнообразие и за стабилност на структурата на почвите. Това отношение варира в широки граници. През 20</w:t>
      </w:r>
      <w:r w:rsidR="00B14824">
        <w:rPr>
          <w:rFonts w:eastAsia="Times New Roman" w:cs="Times New Roman"/>
          <w:szCs w:val="24"/>
        </w:rPr>
        <w:t>20</w:t>
      </w:r>
      <w:r w:rsidRPr="009F6D1E">
        <w:rPr>
          <w:rFonts w:eastAsia="Times New Roman" w:cs="Times New Roman"/>
          <w:szCs w:val="24"/>
        </w:rPr>
        <w:t xml:space="preserve"> г. в първа дълбочина (0-10 cm, 0-20 cm) преобладават пунктовете (37.</w:t>
      </w:r>
      <w:r w:rsidR="00B14824">
        <w:rPr>
          <w:rFonts w:eastAsia="Times New Roman" w:cs="Times New Roman"/>
          <w:szCs w:val="24"/>
        </w:rPr>
        <w:t>17</w:t>
      </w:r>
      <w:r w:rsidRPr="009F6D1E">
        <w:rPr>
          <w:rFonts w:eastAsia="Times New Roman" w:cs="Times New Roman"/>
          <w:szCs w:val="24"/>
        </w:rPr>
        <w:t xml:space="preserve"> %) със средни стойности, движещи се в границите на съотношението на органичен въглерод/азот от 10 до 12 </w:t>
      </w:r>
      <w:proofErr w:type="spellStart"/>
      <w:r w:rsidRPr="009F6D1E">
        <w:rPr>
          <w:rFonts w:eastAsia="Times New Roman" w:cs="Times New Roman"/>
          <w:szCs w:val="24"/>
        </w:rPr>
        <w:t>mg</w:t>
      </w:r>
      <w:proofErr w:type="spellEnd"/>
      <w:r w:rsidRPr="009F6D1E">
        <w:rPr>
          <w:rFonts w:eastAsia="Times New Roman" w:cs="Times New Roman"/>
          <w:szCs w:val="24"/>
        </w:rPr>
        <w:t>/</w:t>
      </w:r>
      <w:proofErr w:type="spellStart"/>
      <w:r w:rsidRPr="009F6D1E">
        <w:rPr>
          <w:rFonts w:eastAsia="Times New Roman" w:cs="Times New Roman"/>
          <w:szCs w:val="24"/>
        </w:rPr>
        <w:t>kg</w:t>
      </w:r>
      <w:proofErr w:type="spellEnd"/>
      <w:r w:rsidRPr="009F6D1E">
        <w:rPr>
          <w:rFonts w:eastAsia="Times New Roman" w:cs="Times New Roman"/>
          <w:szCs w:val="24"/>
        </w:rPr>
        <w:t>. Във втора дълбочина (10-40 cm, 20-40 cm)  преобладават пунктове със средни до ниски стойности (</w:t>
      </w:r>
      <w:r w:rsidR="00B14824">
        <w:rPr>
          <w:rFonts w:eastAsia="Times New Roman" w:cs="Times New Roman"/>
          <w:szCs w:val="24"/>
        </w:rPr>
        <w:t>41.59</w:t>
      </w:r>
      <w:r w:rsidRPr="009F6D1E">
        <w:rPr>
          <w:rFonts w:eastAsia="Times New Roman" w:cs="Times New Roman"/>
          <w:szCs w:val="24"/>
        </w:rPr>
        <w:t xml:space="preserve"> %), при които границите на съотношението на органичен въглерод/азот са от 8 до 10 </w:t>
      </w:r>
      <w:proofErr w:type="spellStart"/>
      <w:r w:rsidRPr="009F6D1E">
        <w:rPr>
          <w:rFonts w:eastAsia="Times New Roman" w:cs="Times New Roman"/>
          <w:szCs w:val="24"/>
        </w:rPr>
        <w:t>mg</w:t>
      </w:r>
      <w:proofErr w:type="spellEnd"/>
      <w:r w:rsidRPr="009F6D1E">
        <w:rPr>
          <w:rFonts w:eastAsia="Times New Roman" w:cs="Times New Roman"/>
          <w:szCs w:val="24"/>
        </w:rPr>
        <w:t>/</w:t>
      </w:r>
      <w:proofErr w:type="spellStart"/>
      <w:r w:rsidRPr="009F6D1E">
        <w:rPr>
          <w:rFonts w:eastAsia="Times New Roman" w:cs="Times New Roman"/>
          <w:szCs w:val="24"/>
        </w:rPr>
        <w:t>kg</w:t>
      </w:r>
      <w:proofErr w:type="spellEnd"/>
      <w:r w:rsidRPr="009F6D1E">
        <w:rPr>
          <w:rFonts w:eastAsia="Times New Roman" w:cs="Times New Roman"/>
          <w:szCs w:val="24"/>
        </w:rPr>
        <w:t>. Тези резултати показват сравнително добри възможности за възпрепятстване на мобилността на замърсителите, попаднали в почвите.</w:t>
      </w:r>
    </w:p>
    <w:p w14:paraId="7F5A11B9"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Усвояването на биогенните елементи от почвата е възможно само при наличие на вода, т.е. нивото на </w:t>
      </w:r>
      <w:proofErr w:type="spellStart"/>
      <w:r w:rsidRPr="009F6D1E">
        <w:rPr>
          <w:rFonts w:eastAsia="Times New Roman" w:cs="Times New Roman"/>
          <w:szCs w:val="24"/>
        </w:rPr>
        <w:t>овлажнение</w:t>
      </w:r>
      <w:proofErr w:type="spellEnd"/>
      <w:r w:rsidRPr="009F6D1E">
        <w:rPr>
          <w:rFonts w:eastAsia="Times New Roman" w:cs="Times New Roman"/>
          <w:szCs w:val="24"/>
        </w:rPr>
        <w:t xml:space="preserve"> на почвите има определяща роля за реализирането на почвеното плодородие и усвояването на всички макро- и микроелементи. При недостига им, те могат да се внесат като торове, но степента на усвояването им е в непосредствена зависимост от наличието на вода в </w:t>
      </w:r>
      <w:proofErr w:type="spellStart"/>
      <w:r w:rsidRPr="009F6D1E">
        <w:rPr>
          <w:rFonts w:eastAsia="Times New Roman" w:cs="Times New Roman"/>
          <w:szCs w:val="24"/>
        </w:rPr>
        <w:t>коренообитаемия</w:t>
      </w:r>
      <w:proofErr w:type="spellEnd"/>
      <w:r w:rsidRPr="009F6D1E">
        <w:rPr>
          <w:rFonts w:eastAsia="Times New Roman" w:cs="Times New Roman"/>
          <w:szCs w:val="24"/>
        </w:rPr>
        <w:t xml:space="preserve"> почвен слой. Водните запаси в почвата, изразени в  проценти от пределната полска </w:t>
      </w:r>
      <w:proofErr w:type="spellStart"/>
      <w:r w:rsidRPr="009F6D1E">
        <w:rPr>
          <w:rFonts w:eastAsia="Times New Roman" w:cs="Times New Roman"/>
          <w:szCs w:val="24"/>
        </w:rPr>
        <w:t>влагоемност</w:t>
      </w:r>
      <w:proofErr w:type="spellEnd"/>
      <w:r w:rsidRPr="009F6D1E">
        <w:rPr>
          <w:rFonts w:eastAsia="Times New Roman" w:cs="Times New Roman"/>
          <w:szCs w:val="24"/>
        </w:rPr>
        <w:t xml:space="preserve"> (ППВ) или оценени чрез индекса на почвено засушаване (SMI) се различават през различните години и сезони.</w:t>
      </w:r>
    </w:p>
    <w:p w14:paraId="3D66EE34" w14:textId="2B61ED11"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Събраните и анализирани от НИМХ данни за 20</w:t>
      </w:r>
      <w:r w:rsidR="00854816">
        <w:rPr>
          <w:rFonts w:eastAsia="Times New Roman" w:cs="Times New Roman"/>
          <w:szCs w:val="24"/>
        </w:rPr>
        <w:t>20</w:t>
      </w:r>
      <w:r w:rsidRPr="009F6D1E">
        <w:rPr>
          <w:rFonts w:eastAsia="Times New Roman" w:cs="Times New Roman"/>
          <w:szCs w:val="24"/>
        </w:rPr>
        <w:t xml:space="preserve"> г. я характеризират </w:t>
      </w:r>
      <w:r w:rsidR="00854816" w:rsidRPr="00854816">
        <w:rPr>
          <w:rFonts w:eastAsia="Times New Roman" w:cs="Times New Roman"/>
          <w:szCs w:val="24"/>
        </w:rPr>
        <w:t xml:space="preserve">като година с почвено </w:t>
      </w:r>
      <w:proofErr w:type="spellStart"/>
      <w:r w:rsidR="00854816" w:rsidRPr="00854816">
        <w:rPr>
          <w:rFonts w:eastAsia="Times New Roman" w:cs="Times New Roman"/>
          <w:szCs w:val="24"/>
        </w:rPr>
        <w:t>овлажнение</w:t>
      </w:r>
      <w:proofErr w:type="spellEnd"/>
      <w:r w:rsidR="00854816" w:rsidRPr="00854816">
        <w:rPr>
          <w:rFonts w:eastAsia="Times New Roman" w:cs="Times New Roman"/>
          <w:szCs w:val="24"/>
        </w:rPr>
        <w:t xml:space="preserve"> близко до нормалното през пролетта, повсеместна лятна суша и условия, близки до нормалните в началото на периода на </w:t>
      </w:r>
      <w:proofErr w:type="spellStart"/>
      <w:r w:rsidR="00854816" w:rsidRPr="00854816">
        <w:rPr>
          <w:rFonts w:eastAsia="Times New Roman" w:cs="Times New Roman"/>
          <w:szCs w:val="24"/>
        </w:rPr>
        <w:t>влагонатрупване</w:t>
      </w:r>
      <w:proofErr w:type="spellEnd"/>
      <w:r w:rsidRPr="009F6D1E">
        <w:rPr>
          <w:rFonts w:eastAsia="Times New Roman" w:cs="Times New Roman"/>
          <w:szCs w:val="24"/>
        </w:rPr>
        <w:t>.</w:t>
      </w:r>
    </w:p>
    <w:p w14:paraId="30CD0E71"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Тъй като България е разположена в зона с недостатъчно атмосферно </w:t>
      </w:r>
      <w:proofErr w:type="spellStart"/>
      <w:r w:rsidRPr="009F6D1E">
        <w:rPr>
          <w:rFonts w:eastAsia="Times New Roman" w:cs="Times New Roman"/>
          <w:szCs w:val="24"/>
        </w:rPr>
        <w:t>овлажнение</w:t>
      </w:r>
      <w:proofErr w:type="spellEnd"/>
      <w:r w:rsidRPr="009F6D1E">
        <w:rPr>
          <w:rFonts w:eastAsia="Times New Roman" w:cs="Times New Roman"/>
          <w:szCs w:val="24"/>
        </w:rPr>
        <w:t xml:space="preserve"> рискът от възникване на почвено засушаване е висок особено в светлината на климатичните промени, които през последните години добиват все по ясен характер. Във връзка с това преструктурирането на земеделието и специализацията на отделните региони за отглеждане на определени култури при оптимални условия, свързани с техните изисквания и в съответствие с наличните агроклиматични ресурси и при най-малки допълнителни инвестиции става наложително.</w:t>
      </w:r>
    </w:p>
    <w:p w14:paraId="45AFDED1"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Основен фактор за </w:t>
      </w:r>
      <w:proofErr w:type="spellStart"/>
      <w:r w:rsidRPr="009F6D1E">
        <w:rPr>
          <w:rFonts w:eastAsia="Times New Roman" w:cs="Times New Roman"/>
          <w:szCs w:val="24"/>
        </w:rPr>
        <w:t>вкисляването</w:t>
      </w:r>
      <w:proofErr w:type="spellEnd"/>
      <w:r w:rsidRPr="009F6D1E">
        <w:rPr>
          <w:rFonts w:eastAsia="Times New Roman" w:cs="Times New Roman"/>
          <w:szCs w:val="24"/>
        </w:rPr>
        <w:t xml:space="preserve"> на почвите в земеделските земи в България е едностранчивото торене с азотни торове. Успоредно с процеса на </w:t>
      </w:r>
      <w:proofErr w:type="spellStart"/>
      <w:r w:rsidRPr="009F6D1E">
        <w:rPr>
          <w:rFonts w:eastAsia="Times New Roman" w:cs="Times New Roman"/>
          <w:szCs w:val="24"/>
        </w:rPr>
        <w:t>вкисляване</w:t>
      </w:r>
      <w:proofErr w:type="spellEnd"/>
      <w:r w:rsidRPr="009F6D1E">
        <w:rPr>
          <w:rFonts w:eastAsia="Times New Roman" w:cs="Times New Roman"/>
          <w:szCs w:val="24"/>
        </w:rPr>
        <w:t xml:space="preserve"> се променя подвижността и достъпността на редица почвени елементи, които оказват пряко и косвено влияние върху системата почва-растение-човек. Антропогенното натоварване на  земеделските земи с азот е главен източник на замърсяване с нитрати на реките и водоносните хоризонти. Високите нива на нитрати в повърхностните и подземните води са довели до екологични и здравни проблеми, което е основната предпоставка за въвеждане на </w:t>
      </w:r>
      <w:r w:rsidR="00F06948" w:rsidRPr="009F6D1E">
        <w:rPr>
          <w:rFonts w:eastAsia="Times New Roman" w:cs="Times New Roman"/>
          <w:szCs w:val="24"/>
        </w:rPr>
        <w:t>Директива 91/676/ЕИО за опазване на водите от замърсяване с нитрати от селскостопански източници</w:t>
      </w:r>
      <w:r w:rsidRPr="009F6D1E">
        <w:rPr>
          <w:rFonts w:eastAsia="Times New Roman" w:cs="Times New Roman"/>
          <w:szCs w:val="24"/>
        </w:rPr>
        <w:t xml:space="preserve">.  Този нормативен документ е насочен към намаляване на замърсяването с  нитрати на водите от земеделски източници. Опазването на подпочвените води е особено необходимо, тъй като </w:t>
      </w:r>
      <w:r w:rsidRPr="009F6D1E">
        <w:rPr>
          <w:rFonts w:eastAsia="Times New Roman" w:cs="Times New Roman"/>
          <w:szCs w:val="24"/>
        </w:rPr>
        <w:lastRenderedPageBreak/>
        <w:t>хидроложките фактори показват, че качеството на водата се подобрява бавно след промени в земеделската практика.</w:t>
      </w:r>
    </w:p>
    <w:p w14:paraId="0703C2A2" w14:textId="3B8C3AD3" w:rsidR="00350819" w:rsidRPr="009F6D1E" w:rsidRDefault="00C964CA" w:rsidP="0084747F">
      <w:pPr>
        <w:tabs>
          <w:tab w:val="left" w:pos="993"/>
        </w:tabs>
        <w:spacing w:after="60" w:line="264" w:lineRule="auto"/>
        <w:ind w:firstLine="720"/>
        <w:jc w:val="both"/>
        <w:rPr>
          <w:rFonts w:eastAsia="Times New Roman" w:cs="Times New Roman"/>
          <w:szCs w:val="24"/>
        </w:rPr>
      </w:pPr>
      <w:r w:rsidRPr="00C964CA">
        <w:rPr>
          <w:rFonts w:eastAsia="Times New Roman" w:cs="Times New Roman"/>
          <w:szCs w:val="24"/>
        </w:rPr>
        <w:t>За оценка на киселинността на почвите през 2020 г. са обследвани 57 пункта от мониторинговата мрежа, от които са взети 456 почвени проби, и са направени 3 192 изпитвания по показатели</w:t>
      </w:r>
      <w:r w:rsidR="00350819" w:rsidRPr="009F6D1E">
        <w:rPr>
          <w:rFonts w:eastAsia="Times New Roman" w:cs="Times New Roman"/>
          <w:szCs w:val="24"/>
        </w:rPr>
        <w:t xml:space="preserve">. Получените резултати показват, че при дълбочина на </w:t>
      </w:r>
      <w:proofErr w:type="spellStart"/>
      <w:r w:rsidR="00350819" w:rsidRPr="009F6D1E">
        <w:rPr>
          <w:rFonts w:eastAsia="Times New Roman" w:cs="Times New Roman"/>
          <w:szCs w:val="24"/>
        </w:rPr>
        <w:t>пробовземане</w:t>
      </w:r>
      <w:proofErr w:type="spellEnd"/>
      <w:r w:rsidR="00350819" w:rsidRPr="009F6D1E">
        <w:rPr>
          <w:rFonts w:eastAsia="Times New Roman" w:cs="Times New Roman"/>
          <w:szCs w:val="24"/>
        </w:rPr>
        <w:t xml:space="preserve"> 0-20 cm само в </w:t>
      </w:r>
      <w:r>
        <w:rPr>
          <w:rFonts w:eastAsia="Times New Roman" w:cs="Times New Roman"/>
          <w:szCs w:val="24"/>
        </w:rPr>
        <w:t>пет</w:t>
      </w:r>
      <w:r w:rsidR="00350819" w:rsidRPr="009F6D1E">
        <w:rPr>
          <w:rFonts w:eastAsia="Times New Roman" w:cs="Times New Roman"/>
          <w:szCs w:val="24"/>
        </w:rPr>
        <w:t xml:space="preserve"> пункта е отчетена вредна киселинност, а на дълбочина 20-40 cm в </w:t>
      </w:r>
      <w:r>
        <w:rPr>
          <w:rFonts w:eastAsia="Times New Roman" w:cs="Times New Roman"/>
          <w:szCs w:val="24"/>
        </w:rPr>
        <w:t>седем</w:t>
      </w:r>
      <w:r w:rsidR="00350819" w:rsidRPr="009F6D1E">
        <w:rPr>
          <w:rFonts w:eastAsia="Times New Roman" w:cs="Times New Roman"/>
          <w:szCs w:val="24"/>
        </w:rPr>
        <w:t xml:space="preserve"> пункта. </w:t>
      </w:r>
      <w:r>
        <w:rPr>
          <w:rFonts w:eastAsia="Times New Roman" w:cs="Times New Roman"/>
          <w:szCs w:val="24"/>
        </w:rPr>
        <w:t xml:space="preserve"> </w:t>
      </w:r>
    </w:p>
    <w:p w14:paraId="1D452EE4" w14:textId="77777777" w:rsidR="00E12FB8"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Засоляването на почвите е процес, при който се увеличава съдържанието на </w:t>
      </w:r>
      <w:proofErr w:type="spellStart"/>
      <w:r w:rsidRPr="009F6D1E">
        <w:rPr>
          <w:rFonts w:eastAsia="Times New Roman" w:cs="Times New Roman"/>
          <w:szCs w:val="24"/>
        </w:rPr>
        <w:t>водноразтворимите</w:t>
      </w:r>
      <w:proofErr w:type="spellEnd"/>
      <w:r w:rsidRPr="009F6D1E">
        <w:rPr>
          <w:rFonts w:eastAsia="Times New Roman" w:cs="Times New Roman"/>
          <w:szCs w:val="24"/>
        </w:rPr>
        <w:t xml:space="preserve"> соли и/или обменен натрий в почвите в количества, влияещи негативно на техните свойства, респективно на продуктивния им потенциал. Процесите засягат главно областите Бургас, Варна, Плевен, Пловдив, Сливен, Стара Загора, Ямбол и Русе. </w:t>
      </w:r>
    </w:p>
    <w:p w14:paraId="542DDB8B" w14:textId="1587F0A0" w:rsidR="00E12FB8" w:rsidRPr="00E12FB8" w:rsidRDefault="00E12FB8" w:rsidP="00E12FB8">
      <w:pPr>
        <w:tabs>
          <w:tab w:val="left" w:pos="993"/>
        </w:tabs>
        <w:spacing w:after="60" w:line="264" w:lineRule="auto"/>
        <w:ind w:firstLine="720"/>
        <w:jc w:val="both"/>
        <w:rPr>
          <w:rFonts w:eastAsia="Times New Roman" w:cs="Times New Roman"/>
          <w:szCs w:val="24"/>
        </w:rPr>
      </w:pPr>
      <w:r w:rsidRPr="00E12FB8">
        <w:rPr>
          <w:rFonts w:eastAsia="Times New Roman" w:cs="Times New Roman"/>
          <w:szCs w:val="24"/>
        </w:rPr>
        <w:t>Извършените мониторингови наблюдения</w:t>
      </w:r>
      <w:r>
        <w:rPr>
          <w:rFonts w:eastAsia="Times New Roman" w:cs="Times New Roman"/>
          <w:szCs w:val="24"/>
        </w:rPr>
        <w:t xml:space="preserve"> през 2020г.</w:t>
      </w:r>
      <w:r w:rsidRPr="00E12FB8">
        <w:rPr>
          <w:rFonts w:eastAsia="Times New Roman" w:cs="Times New Roman"/>
          <w:szCs w:val="24"/>
        </w:rPr>
        <w:t>, по засоляване на почвите, очертават следните тенденции за различните райони с установено засоляване:</w:t>
      </w:r>
    </w:p>
    <w:p w14:paraId="5135573F" w14:textId="401B2B92" w:rsidR="00E12FB8" w:rsidRPr="00E12FB8" w:rsidRDefault="00E12FB8" w:rsidP="00E12FB8">
      <w:pPr>
        <w:tabs>
          <w:tab w:val="left" w:pos="993"/>
        </w:tabs>
        <w:spacing w:after="60" w:line="264" w:lineRule="auto"/>
        <w:ind w:firstLine="720"/>
        <w:jc w:val="both"/>
        <w:rPr>
          <w:rFonts w:eastAsia="Times New Roman" w:cs="Times New Roman"/>
          <w:szCs w:val="24"/>
        </w:rPr>
      </w:pPr>
      <w:r>
        <w:rPr>
          <w:rFonts w:eastAsia="Times New Roman" w:cs="Times New Roman"/>
          <w:szCs w:val="24"/>
        </w:rPr>
        <w:t xml:space="preserve">- </w:t>
      </w:r>
      <w:r w:rsidRPr="00E12FB8">
        <w:rPr>
          <w:rFonts w:eastAsia="Times New Roman" w:cs="Times New Roman"/>
          <w:szCs w:val="24"/>
        </w:rPr>
        <w:t>При по-високи от нормалните количества на падналите валежи, се регистрира промиване на водоразтворимите соли в дълбочина на почвата;</w:t>
      </w:r>
    </w:p>
    <w:p w14:paraId="364E7800" w14:textId="62BC2C7F" w:rsidR="00350819" w:rsidRPr="009F6D1E" w:rsidRDefault="00E12FB8" w:rsidP="00E12FB8">
      <w:pPr>
        <w:tabs>
          <w:tab w:val="left" w:pos="993"/>
        </w:tabs>
        <w:spacing w:after="60" w:line="264" w:lineRule="auto"/>
        <w:ind w:firstLine="720"/>
        <w:jc w:val="both"/>
        <w:rPr>
          <w:rFonts w:eastAsia="Times New Roman" w:cs="Times New Roman"/>
          <w:szCs w:val="24"/>
        </w:rPr>
      </w:pPr>
      <w:r>
        <w:rPr>
          <w:rFonts w:eastAsia="Times New Roman" w:cs="Times New Roman"/>
          <w:szCs w:val="24"/>
        </w:rPr>
        <w:t xml:space="preserve">- </w:t>
      </w:r>
      <w:r w:rsidRPr="00E12FB8">
        <w:rPr>
          <w:rFonts w:eastAsia="Times New Roman" w:cs="Times New Roman"/>
          <w:szCs w:val="24"/>
        </w:rPr>
        <w:t>В районите, с наличие на соли в почвения разтвор се отбелязва увеличаване на стойностите на почвената реакция. Съдържанието на обменен натрий не се променя съществено.</w:t>
      </w:r>
    </w:p>
    <w:p w14:paraId="7B5E65D9"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Уплътняването на почвата е процес на деформация и увеличаване на плътността и компактността, при което се намалява </w:t>
      </w:r>
      <w:proofErr w:type="spellStart"/>
      <w:r w:rsidRPr="009F6D1E">
        <w:rPr>
          <w:rFonts w:eastAsia="Times New Roman" w:cs="Times New Roman"/>
          <w:szCs w:val="24"/>
        </w:rPr>
        <w:t>аерационната</w:t>
      </w:r>
      <w:proofErr w:type="spellEnd"/>
      <w:r w:rsidRPr="009F6D1E">
        <w:rPr>
          <w:rFonts w:eastAsia="Times New Roman" w:cs="Times New Roman"/>
          <w:szCs w:val="24"/>
        </w:rPr>
        <w:t xml:space="preserve"> порьозност и водопропускливостта, увеличава се твърдостта, нарушава се почвената </w:t>
      </w:r>
      <w:proofErr w:type="spellStart"/>
      <w:r w:rsidRPr="009F6D1E">
        <w:rPr>
          <w:rFonts w:eastAsia="Times New Roman" w:cs="Times New Roman"/>
          <w:szCs w:val="24"/>
        </w:rPr>
        <w:t>стуктура</w:t>
      </w:r>
      <w:proofErr w:type="spellEnd"/>
      <w:r w:rsidRPr="009F6D1E">
        <w:rPr>
          <w:rFonts w:eastAsia="Times New Roman" w:cs="Times New Roman"/>
          <w:szCs w:val="24"/>
        </w:rPr>
        <w:t xml:space="preserve"> и се променя строежа на почвения профил. </w:t>
      </w:r>
    </w:p>
    <w:p w14:paraId="6F762B78"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Процесът на уплътняване е свързан с обработката на почвата и вида на използваната земеделска техника, пашата и интензивното движение на животни.</w:t>
      </w:r>
    </w:p>
    <w:p w14:paraId="236E7B54"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Екологичното въздействие на уплътняването се изразява в понижената </w:t>
      </w:r>
      <w:proofErr w:type="spellStart"/>
      <w:r w:rsidRPr="009F6D1E">
        <w:rPr>
          <w:rFonts w:eastAsia="Times New Roman" w:cs="Times New Roman"/>
          <w:szCs w:val="24"/>
        </w:rPr>
        <w:t>аерация</w:t>
      </w:r>
      <w:proofErr w:type="spellEnd"/>
      <w:r w:rsidRPr="009F6D1E">
        <w:rPr>
          <w:rFonts w:eastAsia="Times New Roman" w:cs="Times New Roman"/>
          <w:szCs w:val="24"/>
        </w:rPr>
        <w:t xml:space="preserve"> на почвата, свързана с нарушение на </w:t>
      </w:r>
      <w:proofErr w:type="spellStart"/>
      <w:r w:rsidRPr="009F6D1E">
        <w:rPr>
          <w:rFonts w:eastAsia="Times New Roman" w:cs="Times New Roman"/>
          <w:szCs w:val="24"/>
        </w:rPr>
        <w:t>водновъздушния</w:t>
      </w:r>
      <w:proofErr w:type="spellEnd"/>
      <w:r w:rsidRPr="009F6D1E">
        <w:rPr>
          <w:rFonts w:eastAsia="Times New Roman" w:cs="Times New Roman"/>
          <w:szCs w:val="24"/>
        </w:rPr>
        <w:t xml:space="preserve"> и топлинния баланс в почвата, понижен достъп на корените и дълбочината на </w:t>
      </w:r>
      <w:proofErr w:type="spellStart"/>
      <w:r w:rsidRPr="009F6D1E">
        <w:rPr>
          <w:rFonts w:eastAsia="Times New Roman" w:cs="Times New Roman"/>
          <w:szCs w:val="24"/>
        </w:rPr>
        <w:t>коренообитаемия</w:t>
      </w:r>
      <w:proofErr w:type="spellEnd"/>
      <w:r w:rsidRPr="009F6D1E">
        <w:rPr>
          <w:rFonts w:eastAsia="Times New Roman" w:cs="Times New Roman"/>
          <w:szCs w:val="24"/>
        </w:rPr>
        <w:t xml:space="preserve"> почвен слой. Уплътняването на почвата води до намаляване и на </w:t>
      </w:r>
      <w:proofErr w:type="spellStart"/>
      <w:r w:rsidRPr="009F6D1E">
        <w:rPr>
          <w:rFonts w:eastAsia="Times New Roman" w:cs="Times New Roman"/>
          <w:szCs w:val="24"/>
        </w:rPr>
        <w:t>водопрускливостта</w:t>
      </w:r>
      <w:proofErr w:type="spellEnd"/>
      <w:r w:rsidRPr="009F6D1E">
        <w:rPr>
          <w:rFonts w:eastAsia="Times New Roman" w:cs="Times New Roman"/>
          <w:szCs w:val="24"/>
        </w:rPr>
        <w:t xml:space="preserve"> ѝ и на потенциала на повърхностния отток, с което се повишава интензитетът на </w:t>
      </w:r>
      <w:proofErr w:type="spellStart"/>
      <w:r w:rsidRPr="009F6D1E">
        <w:rPr>
          <w:rFonts w:eastAsia="Times New Roman" w:cs="Times New Roman"/>
          <w:szCs w:val="24"/>
        </w:rPr>
        <w:t>водноерозионните</w:t>
      </w:r>
      <w:proofErr w:type="spellEnd"/>
      <w:r w:rsidRPr="009F6D1E">
        <w:rPr>
          <w:rFonts w:eastAsia="Times New Roman" w:cs="Times New Roman"/>
          <w:szCs w:val="24"/>
        </w:rPr>
        <w:t xml:space="preserve"> процеси и рискът от наводнения.</w:t>
      </w:r>
    </w:p>
    <w:p w14:paraId="607E0C2C"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Спрямо причините за възникване на почвена ерозия, тя може да се разглежда като плоскостна водна ерозия и ветрова ерозия. </w:t>
      </w:r>
    </w:p>
    <w:p w14:paraId="5EA5D8D6" w14:textId="4F2EE370"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Оценката за средногодишните загуби на почва от плоскостна водна ерозия през 2019 г. възлиза на </w:t>
      </w:r>
      <w:r w:rsidR="00E12FB8">
        <w:rPr>
          <w:rFonts w:eastAsia="Times New Roman" w:cs="Times New Roman"/>
          <w:szCs w:val="24"/>
        </w:rPr>
        <w:t>624</w:t>
      </w:r>
      <w:r w:rsidRPr="009F6D1E">
        <w:rPr>
          <w:rFonts w:eastAsia="Times New Roman" w:cs="Times New Roman"/>
          <w:szCs w:val="24"/>
        </w:rPr>
        <w:t xml:space="preserve"> 000 000 t, която се проявява в различна степен и интензитет в зависимост от начина на </w:t>
      </w:r>
      <w:proofErr w:type="spellStart"/>
      <w:r w:rsidRPr="009F6D1E">
        <w:rPr>
          <w:rFonts w:eastAsia="Times New Roman" w:cs="Times New Roman"/>
          <w:szCs w:val="24"/>
        </w:rPr>
        <w:t>земеползване</w:t>
      </w:r>
      <w:proofErr w:type="spellEnd"/>
      <w:r w:rsidRPr="009F6D1E">
        <w:rPr>
          <w:rFonts w:eastAsia="Times New Roman" w:cs="Times New Roman"/>
          <w:szCs w:val="24"/>
        </w:rPr>
        <w:t xml:space="preserve">. През годината териториите със земеделски земи, които имат слаб </w:t>
      </w:r>
      <w:proofErr w:type="spellStart"/>
      <w:r w:rsidRPr="009F6D1E">
        <w:rPr>
          <w:rFonts w:eastAsia="Times New Roman" w:cs="Times New Roman"/>
          <w:szCs w:val="24"/>
        </w:rPr>
        <w:t>eрозионен</w:t>
      </w:r>
      <w:proofErr w:type="spellEnd"/>
      <w:r w:rsidRPr="009F6D1E">
        <w:rPr>
          <w:rFonts w:eastAsia="Times New Roman" w:cs="Times New Roman"/>
          <w:szCs w:val="24"/>
        </w:rPr>
        <w:t xml:space="preserve"> риск са </w:t>
      </w:r>
      <w:r w:rsidR="00E12FB8">
        <w:rPr>
          <w:rFonts w:eastAsia="Times New Roman" w:cs="Times New Roman"/>
          <w:szCs w:val="24"/>
        </w:rPr>
        <w:t>101</w:t>
      </w:r>
      <w:r w:rsidRPr="009F6D1E">
        <w:rPr>
          <w:rFonts w:eastAsia="Times New Roman" w:cs="Times New Roman"/>
          <w:szCs w:val="24"/>
        </w:rPr>
        <w:t xml:space="preserve"> </w:t>
      </w:r>
      <w:r w:rsidR="00E12FB8">
        <w:rPr>
          <w:rFonts w:eastAsia="Times New Roman" w:cs="Times New Roman"/>
          <w:szCs w:val="24"/>
        </w:rPr>
        <w:t>896</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xml:space="preserve">, тези с умерен и висок риск са съответно </w:t>
      </w:r>
      <w:r w:rsidR="00E12FB8">
        <w:rPr>
          <w:rFonts w:eastAsia="Times New Roman" w:cs="Times New Roman"/>
          <w:szCs w:val="24"/>
        </w:rPr>
        <w:t>363 836</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xml:space="preserve"> и </w:t>
      </w:r>
      <w:r w:rsidR="00E12FB8">
        <w:rPr>
          <w:rFonts w:eastAsia="Times New Roman" w:cs="Times New Roman"/>
          <w:szCs w:val="24"/>
        </w:rPr>
        <w:t>729 981</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xml:space="preserve">. В това число, само в нивите площите със слаб ерозионен риск са </w:t>
      </w:r>
      <w:r w:rsidR="00E12FB8">
        <w:rPr>
          <w:rFonts w:eastAsia="Times New Roman" w:cs="Times New Roman"/>
          <w:szCs w:val="24"/>
        </w:rPr>
        <w:t>855 430</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xml:space="preserve">, със среден са </w:t>
      </w:r>
      <w:r w:rsidR="00E12FB8">
        <w:rPr>
          <w:rFonts w:eastAsia="Times New Roman" w:cs="Times New Roman"/>
          <w:szCs w:val="24"/>
        </w:rPr>
        <w:t>984 631</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xml:space="preserve">, а с висок са </w:t>
      </w:r>
      <w:r w:rsidR="00E12FB8">
        <w:rPr>
          <w:rFonts w:eastAsia="Times New Roman" w:cs="Times New Roman"/>
          <w:szCs w:val="24"/>
        </w:rPr>
        <w:t>360336</w:t>
      </w:r>
      <w:r w:rsidRPr="009F6D1E">
        <w:rPr>
          <w:rFonts w:eastAsia="Times New Roman" w:cs="Times New Roman"/>
          <w:szCs w:val="24"/>
        </w:rPr>
        <w:t xml:space="preserve"> </w:t>
      </w:r>
      <w:proofErr w:type="spellStart"/>
      <w:r w:rsidRPr="009F6D1E">
        <w:rPr>
          <w:rFonts w:eastAsia="Times New Roman" w:cs="Times New Roman"/>
          <w:szCs w:val="24"/>
        </w:rPr>
        <w:t>ha</w:t>
      </w:r>
      <w:proofErr w:type="spellEnd"/>
      <w:r w:rsidRPr="009F6D1E">
        <w:rPr>
          <w:rFonts w:eastAsia="Times New Roman" w:cs="Times New Roman"/>
          <w:szCs w:val="24"/>
        </w:rPr>
        <w:t>. Средногодишният интензитет на плоскостната водна ерозия, на земите със земеделско предназначение, варира  от 7.</w:t>
      </w:r>
      <w:r w:rsidR="00E12FB8">
        <w:rPr>
          <w:rFonts w:eastAsia="Times New Roman" w:cs="Times New Roman"/>
          <w:szCs w:val="24"/>
        </w:rPr>
        <w:t>7</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 xml:space="preserve">/y при пасищата и </w:t>
      </w:r>
      <w:r w:rsidR="00E12FB8">
        <w:rPr>
          <w:rFonts w:eastAsia="Times New Roman" w:cs="Times New Roman"/>
          <w:szCs w:val="24"/>
        </w:rPr>
        <w:t>6.2</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 xml:space="preserve">/y при </w:t>
      </w:r>
      <w:r w:rsidRPr="009F6D1E">
        <w:rPr>
          <w:rFonts w:eastAsia="Times New Roman" w:cs="Times New Roman"/>
          <w:szCs w:val="24"/>
        </w:rPr>
        <w:lastRenderedPageBreak/>
        <w:t>нивите до 11.</w:t>
      </w:r>
      <w:r w:rsidR="00E12FB8">
        <w:rPr>
          <w:rFonts w:eastAsia="Times New Roman" w:cs="Times New Roman"/>
          <w:szCs w:val="24"/>
        </w:rPr>
        <w:t>5</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/y при площите, заети с други видове селскостопански култури. С много слаб ерозионен риск са едва 1</w:t>
      </w:r>
      <w:r w:rsidR="00933EB9">
        <w:rPr>
          <w:rFonts w:eastAsia="Times New Roman" w:cs="Times New Roman"/>
          <w:szCs w:val="24"/>
        </w:rPr>
        <w:t>2.9</w:t>
      </w:r>
      <w:r w:rsidRPr="009F6D1E">
        <w:rPr>
          <w:rFonts w:eastAsia="Times New Roman" w:cs="Times New Roman"/>
          <w:szCs w:val="24"/>
        </w:rPr>
        <w:t xml:space="preserve"> % от трайните насаждения.</w:t>
      </w:r>
    </w:p>
    <w:p w14:paraId="1B7C7651" w14:textId="5538961F" w:rsidR="00350819" w:rsidRPr="009F6D1E" w:rsidRDefault="00933EB9" w:rsidP="0084747F">
      <w:pPr>
        <w:tabs>
          <w:tab w:val="left" w:pos="993"/>
        </w:tabs>
        <w:spacing w:after="60" w:line="264" w:lineRule="auto"/>
        <w:ind w:firstLine="720"/>
        <w:jc w:val="both"/>
        <w:rPr>
          <w:rFonts w:eastAsia="Times New Roman" w:cs="Times New Roman"/>
          <w:szCs w:val="24"/>
        </w:rPr>
      </w:pPr>
      <w:r w:rsidRPr="00933EB9">
        <w:rPr>
          <w:rFonts w:eastAsia="Times New Roman" w:cs="Times New Roman"/>
          <w:szCs w:val="24"/>
        </w:rPr>
        <w:t>През 2020 г. най-висок е интензитетът на ерозионните процеси в земеделските земи на областите Смолян, Кърджали, Кюстендил и Перник, съответно 175.7; 166.3; 168.8 и 127.6 t/</w:t>
      </w:r>
      <w:proofErr w:type="spellStart"/>
      <w:r w:rsidRPr="00933EB9">
        <w:rPr>
          <w:rFonts w:eastAsia="Times New Roman" w:cs="Times New Roman"/>
          <w:szCs w:val="24"/>
        </w:rPr>
        <w:t>ha</w:t>
      </w:r>
      <w:proofErr w:type="spellEnd"/>
      <w:r w:rsidRPr="00933EB9">
        <w:rPr>
          <w:rFonts w:eastAsia="Times New Roman" w:cs="Times New Roman"/>
          <w:szCs w:val="24"/>
        </w:rPr>
        <w:t>/y, а най-нисък – в областите Ямбол, Добрич, Плевен и Бургас, съответно 8.5; 6.4; 9.9 и 16.5 t/</w:t>
      </w:r>
      <w:proofErr w:type="spellStart"/>
      <w:r w:rsidRPr="00933EB9">
        <w:rPr>
          <w:rFonts w:eastAsia="Times New Roman" w:cs="Times New Roman"/>
          <w:szCs w:val="24"/>
        </w:rPr>
        <w:t>ha</w:t>
      </w:r>
      <w:proofErr w:type="spellEnd"/>
      <w:r w:rsidRPr="00933EB9">
        <w:rPr>
          <w:rFonts w:eastAsia="Times New Roman" w:cs="Times New Roman"/>
          <w:szCs w:val="24"/>
        </w:rPr>
        <w:t xml:space="preserve">/y. Най-много площи с висок ерозионен риск (степен 7 „много висок“) има в областите Смолян, Кюстендил, София област и Ловеч, съответно 280 075; 236 824; 276 088 и 261 824 </w:t>
      </w:r>
      <w:proofErr w:type="spellStart"/>
      <w:r w:rsidRPr="00933EB9">
        <w:rPr>
          <w:rFonts w:eastAsia="Times New Roman" w:cs="Times New Roman"/>
          <w:szCs w:val="24"/>
        </w:rPr>
        <w:t>ha</w:t>
      </w:r>
      <w:proofErr w:type="spellEnd"/>
      <w:r w:rsidRPr="00933EB9">
        <w:rPr>
          <w:rFonts w:eastAsia="Times New Roman" w:cs="Times New Roman"/>
          <w:szCs w:val="24"/>
        </w:rPr>
        <w:t xml:space="preserve">, а най-малко – в областите Ямбол и Добрич, съответно 10 305 </w:t>
      </w:r>
      <w:proofErr w:type="spellStart"/>
      <w:r w:rsidRPr="00933EB9">
        <w:rPr>
          <w:rFonts w:eastAsia="Times New Roman" w:cs="Times New Roman"/>
          <w:szCs w:val="24"/>
        </w:rPr>
        <w:t>ha</w:t>
      </w:r>
      <w:proofErr w:type="spellEnd"/>
      <w:r w:rsidRPr="00933EB9">
        <w:rPr>
          <w:rFonts w:eastAsia="Times New Roman" w:cs="Times New Roman"/>
          <w:szCs w:val="24"/>
        </w:rPr>
        <w:t xml:space="preserve"> и 11 029 </w:t>
      </w:r>
      <w:proofErr w:type="spellStart"/>
      <w:r w:rsidRPr="00933EB9">
        <w:rPr>
          <w:rFonts w:eastAsia="Times New Roman" w:cs="Times New Roman"/>
          <w:szCs w:val="24"/>
        </w:rPr>
        <w:t>ha</w:t>
      </w:r>
      <w:proofErr w:type="spellEnd"/>
      <w:r w:rsidR="00350819" w:rsidRPr="009F6D1E">
        <w:rPr>
          <w:rFonts w:eastAsia="Times New Roman" w:cs="Times New Roman"/>
          <w:szCs w:val="24"/>
        </w:rPr>
        <w:t>.</w:t>
      </w:r>
    </w:p>
    <w:p w14:paraId="10D3BC79" w14:textId="55CEBCB1"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 най-висок интензитет на ерозионен риск са обработваемите земи във </w:t>
      </w:r>
      <w:proofErr w:type="spellStart"/>
      <w:r w:rsidRPr="009F6D1E">
        <w:rPr>
          <w:rFonts w:eastAsia="Times New Roman" w:cs="Times New Roman"/>
          <w:szCs w:val="24"/>
        </w:rPr>
        <w:t>водосборите</w:t>
      </w:r>
      <w:proofErr w:type="spellEnd"/>
      <w:r w:rsidRPr="009F6D1E">
        <w:rPr>
          <w:rFonts w:eastAsia="Times New Roman" w:cs="Times New Roman"/>
          <w:szCs w:val="24"/>
        </w:rPr>
        <w:t xml:space="preserve"> на Черно море – 10.</w:t>
      </w:r>
      <w:r w:rsidR="00933EB9">
        <w:rPr>
          <w:rFonts w:eastAsia="Times New Roman" w:cs="Times New Roman"/>
          <w:szCs w:val="24"/>
        </w:rPr>
        <w:t>0</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 xml:space="preserve">/y, Русенски Лом – </w:t>
      </w:r>
      <w:r w:rsidR="00933EB9">
        <w:rPr>
          <w:rFonts w:eastAsia="Times New Roman" w:cs="Times New Roman"/>
          <w:szCs w:val="24"/>
        </w:rPr>
        <w:t>9.0</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/y и Долна Марица – 7.</w:t>
      </w:r>
      <w:r w:rsidR="00933EB9">
        <w:rPr>
          <w:rFonts w:eastAsia="Times New Roman" w:cs="Times New Roman"/>
          <w:szCs w:val="24"/>
        </w:rPr>
        <w:t>0</w:t>
      </w:r>
      <w:r w:rsidRPr="009F6D1E">
        <w:rPr>
          <w:rFonts w:eastAsia="Times New Roman" w:cs="Times New Roman"/>
          <w:szCs w:val="24"/>
        </w:rPr>
        <w:t xml:space="preserve"> t/</w:t>
      </w:r>
      <w:proofErr w:type="spellStart"/>
      <w:r w:rsidRPr="009F6D1E">
        <w:rPr>
          <w:rFonts w:eastAsia="Times New Roman" w:cs="Times New Roman"/>
          <w:szCs w:val="24"/>
        </w:rPr>
        <w:t>ha</w:t>
      </w:r>
      <w:proofErr w:type="spellEnd"/>
      <w:r w:rsidRPr="009F6D1E">
        <w:rPr>
          <w:rFonts w:eastAsia="Times New Roman" w:cs="Times New Roman"/>
          <w:szCs w:val="24"/>
        </w:rPr>
        <w:t xml:space="preserve">/y, а най-големи почвени загуби генерират обработваемите земи във </w:t>
      </w:r>
      <w:proofErr w:type="spellStart"/>
      <w:r w:rsidRPr="009F6D1E">
        <w:rPr>
          <w:rFonts w:eastAsia="Times New Roman" w:cs="Times New Roman"/>
          <w:szCs w:val="24"/>
        </w:rPr>
        <w:t>водосборите</w:t>
      </w:r>
      <w:proofErr w:type="spellEnd"/>
      <w:r w:rsidRPr="009F6D1E">
        <w:rPr>
          <w:rFonts w:eastAsia="Times New Roman" w:cs="Times New Roman"/>
          <w:szCs w:val="24"/>
        </w:rPr>
        <w:t xml:space="preserve"> на Арда, Горна Марица, Янтра и Горна Струма (над 40 000 000 t/y).</w:t>
      </w:r>
    </w:p>
    <w:p w14:paraId="25F22688" w14:textId="26515E2E"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За разлика от плоскостната водна ерозия, която е характерна за планински и хълмисти условия, ветровата ерозия се проявява главно при големи и открити равнини - предимно обезлесени. </w:t>
      </w:r>
      <w:r w:rsidR="00933EB9" w:rsidRPr="00933EB9">
        <w:rPr>
          <w:rFonts w:eastAsia="Times New Roman" w:cs="Times New Roman"/>
          <w:szCs w:val="24"/>
        </w:rPr>
        <w:t xml:space="preserve">В сравнение с 2019 г., през 2020 г. се наблюдава слабо увеличаване на площите с риск от ветрова ерозия с 783 </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 xml:space="preserve"> (0,0025 %), докато загубите на почва намаляват значително с около 50% (3 млн. тона).  Площите със слаб ерозионен риск  и слаб до умерен риск се увеличават, а тези със, умерен, умерен до висок, висок и много висок намаляват. Средно-годишният интензитет на ветровата ерозия намалява с 50 % до 0,29 t/</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/y. С най-висок интензитет е ветровата ерозия в областите Сливен (3,4 t/</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/y), Варна (3,82 t/</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/y),  София област (4,8 t/</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/y) и Бургас (5,23 t/</w:t>
      </w:r>
      <w:proofErr w:type="spellStart"/>
      <w:r w:rsidR="00933EB9" w:rsidRPr="00933EB9">
        <w:rPr>
          <w:rFonts w:eastAsia="Times New Roman" w:cs="Times New Roman"/>
          <w:szCs w:val="24"/>
        </w:rPr>
        <w:t>ha</w:t>
      </w:r>
      <w:proofErr w:type="spellEnd"/>
      <w:r w:rsidR="00933EB9" w:rsidRPr="00933EB9">
        <w:rPr>
          <w:rFonts w:eastAsia="Times New Roman" w:cs="Times New Roman"/>
          <w:szCs w:val="24"/>
        </w:rPr>
        <w:t>/y). През 2020 г. са малко областите, в които има площи с много висок ерозионен риск</w:t>
      </w:r>
      <w:r w:rsidRPr="009F6D1E">
        <w:rPr>
          <w:rFonts w:eastAsia="Times New Roman" w:cs="Times New Roman"/>
          <w:szCs w:val="24"/>
        </w:rPr>
        <w:t>.</w:t>
      </w:r>
    </w:p>
    <w:p w14:paraId="55BCE833"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Свлачищата, като част от общите геодинамични процеси, са природно явление с опасни последици за обществото, които са широко, макар и неравномерно разпространени на територията на цялата страна. </w:t>
      </w:r>
    </w:p>
    <w:p w14:paraId="4B24E097"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Те застрашават сигурността на селища, курортни комплекси, жилищни, стопански и производствени сгради и елементи на техническата инфраструктура и земеделски земи, причинявайки огромни материални загуби. Свлачищата действат стихийно, нанасяйки непоправими щети, нерядко придружени с човешки жертви.</w:t>
      </w:r>
    </w:p>
    <w:p w14:paraId="60C8E88E" w14:textId="24056175" w:rsidR="00350819" w:rsidRPr="009F6D1E" w:rsidRDefault="00933EB9" w:rsidP="0084747F">
      <w:pPr>
        <w:tabs>
          <w:tab w:val="left" w:pos="993"/>
        </w:tabs>
        <w:spacing w:after="60" w:line="264" w:lineRule="auto"/>
        <w:ind w:firstLine="720"/>
        <w:jc w:val="both"/>
        <w:rPr>
          <w:rFonts w:eastAsia="Times New Roman" w:cs="Times New Roman"/>
          <w:szCs w:val="24"/>
        </w:rPr>
      </w:pPr>
      <w:r w:rsidRPr="00933EB9">
        <w:rPr>
          <w:rFonts w:eastAsia="Times New Roman" w:cs="Times New Roman"/>
          <w:szCs w:val="24"/>
        </w:rPr>
        <w:t xml:space="preserve">Нововъзникналите/активизирани свлачища през 2020 г. са 6 бр., от които всички са проявени в урбанизирана територия, с обща площ около 3.7 </w:t>
      </w:r>
      <w:proofErr w:type="spellStart"/>
      <w:r w:rsidRPr="00933EB9">
        <w:rPr>
          <w:rFonts w:eastAsia="Times New Roman" w:cs="Times New Roman"/>
          <w:szCs w:val="24"/>
        </w:rPr>
        <w:t>ha</w:t>
      </w:r>
      <w:proofErr w:type="spellEnd"/>
      <w:r w:rsidRPr="00933EB9">
        <w:rPr>
          <w:rFonts w:eastAsia="Times New Roman" w:cs="Times New Roman"/>
          <w:szCs w:val="24"/>
        </w:rPr>
        <w:t xml:space="preserve">. </w:t>
      </w:r>
      <w:r w:rsidR="005875C4" w:rsidRPr="005875C4">
        <w:rPr>
          <w:rFonts w:eastAsia="Times New Roman" w:cs="Times New Roman"/>
          <w:szCs w:val="24"/>
        </w:rPr>
        <w:t xml:space="preserve">От регистрираните 2 178 бр. свлачища – 1 284 бр. свлачища (около 60% от регистрираните свлачища) са с площ около 16 000 </w:t>
      </w:r>
      <w:proofErr w:type="spellStart"/>
      <w:r w:rsidR="005875C4" w:rsidRPr="005875C4">
        <w:rPr>
          <w:rFonts w:eastAsia="Times New Roman" w:cs="Times New Roman"/>
          <w:szCs w:val="24"/>
        </w:rPr>
        <w:t>hа</w:t>
      </w:r>
      <w:proofErr w:type="spellEnd"/>
      <w:r w:rsidR="005875C4" w:rsidRPr="005875C4">
        <w:rPr>
          <w:rFonts w:eastAsia="Times New Roman" w:cs="Times New Roman"/>
          <w:szCs w:val="24"/>
        </w:rPr>
        <w:t xml:space="preserve"> и са в урбанизирани територии. Останалите 894 бр. свлачища са с площ около 5 790 </w:t>
      </w:r>
      <w:proofErr w:type="spellStart"/>
      <w:r w:rsidR="005875C4" w:rsidRPr="005875C4">
        <w:rPr>
          <w:rFonts w:eastAsia="Times New Roman" w:cs="Times New Roman"/>
          <w:szCs w:val="24"/>
        </w:rPr>
        <w:t>hа</w:t>
      </w:r>
      <w:proofErr w:type="spellEnd"/>
      <w:r w:rsidR="005875C4" w:rsidRPr="005875C4">
        <w:rPr>
          <w:rFonts w:eastAsia="Times New Roman" w:cs="Times New Roman"/>
          <w:szCs w:val="24"/>
        </w:rPr>
        <w:t xml:space="preserve"> и са разпространени по републикански и общински пътища, и частично в земеделски и горски територии</w:t>
      </w:r>
      <w:r w:rsidR="00350819" w:rsidRPr="009F6D1E">
        <w:rPr>
          <w:rFonts w:eastAsia="Times New Roman" w:cs="Times New Roman"/>
          <w:szCs w:val="24"/>
        </w:rPr>
        <w:t>.</w:t>
      </w:r>
    </w:p>
    <w:p w14:paraId="168E786A" w14:textId="7468DB28" w:rsidR="00350819"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През 20</w:t>
      </w:r>
      <w:r w:rsidR="005875C4">
        <w:rPr>
          <w:rFonts w:eastAsia="Times New Roman" w:cs="Times New Roman"/>
          <w:szCs w:val="24"/>
        </w:rPr>
        <w:t>20</w:t>
      </w:r>
      <w:r w:rsidRPr="009F6D1E">
        <w:rPr>
          <w:rFonts w:eastAsia="Times New Roman" w:cs="Times New Roman"/>
          <w:szCs w:val="24"/>
        </w:rPr>
        <w:t xml:space="preserve"> г. се наблюдава намаляване на броя на нововъзникналите свлачища спрямо 2017 г.</w:t>
      </w:r>
      <w:r w:rsidR="005875C4">
        <w:rPr>
          <w:rFonts w:eastAsia="Times New Roman" w:cs="Times New Roman"/>
          <w:szCs w:val="24"/>
        </w:rPr>
        <w:t>,</w:t>
      </w:r>
      <w:r w:rsidRPr="009F6D1E">
        <w:rPr>
          <w:rFonts w:eastAsia="Times New Roman" w:cs="Times New Roman"/>
          <w:szCs w:val="24"/>
        </w:rPr>
        <w:t>2018 г.</w:t>
      </w:r>
      <w:r w:rsidR="005875C4">
        <w:rPr>
          <w:rFonts w:eastAsia="Times New Roman" w:cs="Times New Roman"/>
          <w:szCs w:val="24"/>
        </w:rPr>
        <w:t xml:space="preserve"> и 2019</w:t>
      </w:r>
      <w:r w:rsidRPr="009F6D1E">
        <w:rPr>
          <w:rFonts w:eastAsia="Times New Roman" w:cs="Times New Roman"/>
          <w:szCs w:val="24"/>
        </w:rPr>
        <w:t xml:space="preserve"> (през 2017 г. – 16 бр., през 2018 г. – 32 бр., през 2019 г. – 10 бр.</w:t>
      </w:r>
      <w:r w:rsidR="005875C4">
        <w:rPr>
          <w:rFonts w:eastAsia="Times New Roman" w:cs="Times New Roman"/>
          <w:szCs w:val="24"/>
        </w:rPr>
        <w:t xml:space="preserve"> 2020 – 6 </w:t>
      </w:r>
      <w:proofErr w:type="spellStart"/>
      <w:r w:rsidR="005875C4">
        <w:rPr>
          <w:rFonts w:eastAsia="Times New Roman" w:cs="Times New Roman"/>
          <w:szCs w:val="24"/>
        </w:rPr>
        <w:t>бр</w:t>
      </w:r>
      <w:proofErr w:type="spellEnd"/>
      <w:r w:rsidRPr="009F6D1E">
        <w:rPr>
          <w:rFonts w:eastAsia="Times New Roman" w:cs="Times New Roman"/>
          <w:szCs w:val="24"/>
        </w:rPr>
        <w:t xml:space="preserve">), </w:t>
      </w:r>
      <w:r w:rsidR="005875C4" w:rsidRPr="005875C4">
        <w:rPr>
          <w:rFonts w:eastAsia="Times New Roman" w:cs="Times New Roman"/>
          <w:szCs w:val="24"/>
        </w:rPr>
        <w:t xml:space="preserve">активизираните свлачища са с </w:t>
      </w:r>
      <w:proofErr w:type="spellStart"/>
      <w:r w:rsidR="005875C4" w:rsidRPr="005875C4">
        <w:rPr>
          <w:rFonts w:eastAsia="Times New Roman" w:cs="Times New Roman"/>
          <w:szCs w:val="24"/>
        </w:rPr>
        <w:t>тендeнция</w:t>
      </w:r>
      <w:proofErr w:type="spellEnd"/>
      <w:r w:rsidR="005875C4" w:rsidRPr="005875C4">
        <w:rPr>
          <w:rFonts w:eastAsia="Times New Roman" w:cs="Times New Roman"/>
          <w:szCs w:val="24"/>
        </w:rPr>
        <w:t xml:space="preserve"> към намаление спрямо 2019 г. (58 бр. – за 2019 г., 48 бр. – за 2020 г)</w:t>
      </w:r>
      <w:r w:rsidRPr="009F6D1E">
        <w:rPr>
          <w:rFonts w:eastAsia="Times New Roman" w:cs="Times New Roman"/>
          <w:szCs w:val="24"/>
        </w:rPr>
        <w:t>.</w:t>
      </w:r>
    </w:p>
    <w:p w14:paraId="75AC724F" w14:textId="77777777" w:rsidR="00377283" w:rsidRPr="009F6D1E" w:rsidRDefault="00377283" w:rsidP="0084747F">
      <w:pPr>
        <w:tabs>
          <w:tab w:val="left" w:pos="993"/>
        </w:tabs>
        <w:spacing w:after="60" w:line="264" w:lineRule="auto"/>
        <w:ind w:firstLine="720"/>
        <w:jc w:val="both"/>
        <w:rPr>
          <w:rFonts w:eastAsia="Times New Roman" w:cs="Times New Roman"/>
          <w:szCs w:val="24"/>
        </w:rPr>
      </w:pPr>
    </w:p>
    <w:p w14:paraId="72AE3267" w14:textId="77777777" w:rsidR="00350819" w:rsidRPr="009F6D1E" w:rsidRDefault="00350819">
      <w:pPr>
        <w:pStyle w:val="ListParagraph"/>
        <w:numPr>
          <w:ilvl w:val="0"/>
          <w:numId w:val="34"/>
        </w:numPr>
        <w:tabs>
          <w:tab w:val="left" w:pos="993"/>
        </w:tabs>
        <w:spacing w:after="60" w:line="264" w:lineRule="auto"/>
        <w:ind w:left="1134"/>
        <w:jc w:val="both"/>
        <w:rPr>
          <w:rFonts w:eastAsia="Times New Roman"/>
          <w:b/>
          <w:bCs/>
          <w:i/>
          <w:iCs/>
          <w:color w:val="000000" w:themeColor="text1"/>
          <w:lang w:val="bg-BG"/>
        </w:rPr>
      </w:pPr>
      <w:r w:rsidRPr="009F6D1E">
        <w:rPr>
          <w:rFonts w:eastAsia="Times New Roman"/>
          <w:b/>
          <w:bCs/>
          <w:i/>
          <w:iCs/>
          <w:color w:val="000000" w:themeColor="text1"/>
          <w:lang w:val="bg-BG"/>
        </w:rPr>
        <w:lastRenderedPageBreak/>
        <w:t>Замърсяване на почвите</w:t>
      </w:r>
    </w:p>
    <w:p w14:paraId="1FD08697" w14:textId="44D6565A"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По данни на ИАОС (20</w:t>
      </w:r>
      <w:r w:rsidR="005875C4">
        <w:rPr>
          <w:rFonts w:eastAsia="Times New Roman" w:cs="Times New Roman"/>
          <w:szCs w:val="24"/>
        </w:rPr>
        <w:t>20</w:t>
      </w:r>
      <w:r w:rsidRPr="009F6D1E">
        <w:rPr>
          <w:rFonts w:eastAsia="Times New Roman" w:cs="Times New Roman"/>
          <w:szCs w:val="24"/>
        </w:rPr>
        <w:t>) през периода 2005 – 20</w:t>
      </w:r>
      <w:r w:rsidR="005875C4">
        <w:rPr>
          <w:rFonts w:eastAsia="Times New Roman" w:cs="Times New Roman"/>
          <w:szCs w:val="24"/>
        </w:rPr>
        <w:t>20</w:t>
      </w:r>
      <w:r w:rsidRPr="009F6D1E">
        <w:rPr>
          <w:rFonts w:eastAsia="Times New Roman" w:cs="Times New Roman"/>
          <w:szCs w:val="24"/>
        </w:rPr>
        <w:t xml:space="preserve"> г. почвите в страната са в добро екологично състояние по отношение на замърсяване с тежки метали, металоиди и устойчиви органични замърсители: </w:t>
      </w:r>
      <w:proofErr w:type="spellStart"/>
      <w:r w:rsidRPr="009F6D1E">
        <w:rPr>
          <w:rFonts w:eastAsia="Times New Roman" w:cs="Times New Roman"/>
          <w:szCs w:val="24"/>
        </w:rPr>
        <w:t>Полиароматни</w:t>
      </w:r>
      <w:proofErr w:type="spellEnd"/>
      <w:r w:rsidRPr="009F6D1E">
        <w:rPr>
          <w:rFonts w:eastAsia="Times New Roman" w:cs="Times New Roman"/>
          <w:szCs w:val="24"/>
        </w:rPr>
        <w:t xml:space="preserve"> въглеводороди (PAH), </w:t>
      </w:r>
      <w:proofErr w:type="spellStart"/>
      <w:r w:rsidRPr="009F6D1E">
        <w:rPr>
          <w:rFonts w:eastAsia="Times New Roman" w:cs="Times New Roman"/>
          <w:szCs w:val="24"/>
        </w:rPr>
        <w:t>Полихлорирани</w:t>
      </w:r>
      <w:proofErr w:type="spellEnd"/>
      <w:r w:rsidRPr="009F6D1E">
        <w:rPr>
          <w:rFonts w:eastAsia="Times New Roman" w:cs="Times New Roman"/>
          <w:szCs w:val="24"/>
        </w:rPr>
        <w:t xml:space="preserve"> </w:t>
      </w:r>
      <w:proofErr w:type="spellStart"/>
      <w:r w:rsidRPr="009F6D1E">
        <w:rPr>
          <w:rFonts w:eastAsia="Times New Roman" w:cs="Times New Roman"/>
          <w:szCs w:val="24"/>
        </w:rPr>
        <w:t>бифенили</w:t>
      </w:r>
      <w:proofErr w:type="spellEnd"/>
      <w:r w:rsidRPr="009F6D1E">
        <w:rPr>
          <w:rFonts w:eastAsia="Times New Roman" w:cs="Times New Roman"/>
          <w:szCs w:val="24"/>
        </w:rPr>
        <w:t xml:space="preserve"> (PCB) и </w:t>
      </w:r>
      <w:proofErr w:type="spellStart"/>
      <w:r w:rsidRPr="009F6D1E">
        <w:rPr>
          <w:rFonts w:eastAsia="Times New Roman" w:cs="Times New Roman"/>
          <w:szCs w:val="24"/>
        </w:rPr>
        <w:t>Хлорорганични</w:t>
      </w:r>
      <w:proofErr w:type="spellEnd"/>
      <w:r w:rsidRPr="009F6D1E">
        <w:rPr>
          <w:rFonts w:eastAsia="Times New Roman" w:cs="Times New Roman"/>
          <w:szCs w:val="24"/>
        </w:rPr>
        <w:t xml:space="preserve"> пестициди. В земеделските земи замърсяванията с тежки метали основно са с олово, цинк, мед, кадмий и арсен полиметално в областите Смолян, Пловдив, Пазарджик, София, Монтана, Кърджали, Хасково, Благоевград и Бургас.</w:t>
      </w:r>
    </w:p>
    <w:p w14:paraId="1DC81B5C"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Замърсените земеделски земи с тежки метали и металоиди от промишлена дейност обхващат площ от 44 900 </w:t>
      </w:r>
      <w:proofErr w:type="spellStart"/>
      <w:r w:rsidRPr="009F6D1E">
        <w:rPr>
          <w:rFonts w:eastAsia="Times New Roman" w:cs="Times New Roman"/>
          <w:szCs w:val="24"/>
        </w:rPr>
        <w:t>hа</w:t>
      </w:r>
      <w:proofErr w:type="spellEnd"/>
      <w:r w:rsidRPr="009F6D1E">
        <w:rPr>
          <w:rFonts w:eastAsia="Times New Roman" w:cs="Times New Roman"/>
          <w:szCs w:val="24"/>
        </w:rPr>
        <w:t xml:space="preserve">. Прилежащите към промишлените предприятия замърсени площи, които превишават пет пъти МДК  са 8 160 </w:t>
      </w:r>
      <w:proofErr w:type="spellStart"/>
      <w:r w:rsidRPr="009F6D1E">
        <w:rPr>
          <w:rFonts w:eastAsia="Times New Roman" w:cs="Times New Roman"/>
          <w:szCs w:val="24"/>
        </w:rPr>
        <w:t>hа</w:t>
      </w:r>
      <w:proofErr w:type="spellEnd"/>
      <w:r w:rsidRPr="009F6D1E">
        <w:rPr>
          <w:rFonts w:eastAsia="Times New Roman" w:cs="Times New Roman"/>
          <w:szCs w:val="24"/>
        </w:rPr>
        <w:t>.</w:t>
      </w:r>
    </w:p>
    <w:p w14:paraId="20CE5D5C"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Съгласно данните от проведените наблюдения в рамките на НСМОС, почвите в страната са в сравнително добро екологично състояние по отношение на замърсяванията с тежки метали.</w:t>
      </w:r>
    </w:p>
    <w:p w14:paraId="27E04A18"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 естествени радиоактивни елементи от </w:t>
      </w:r>
      <w:proofErr w:type="spellStart"/>
      <w:r w:rsidRPr="009F6D1E">
        <w:rPr>
          <w:rFonts w:eastAsia="Times New Roman" w:cs="Times New Roman"/>
          <w:szCs w:val="24"/>
        </w:rPr>
        <w:t>уранодобив</w:t>
      </w:r>
      <w:proofErr w:type="spellEnd"/>
      <w:r w:rsidRPr="009F6D1E">
        <w:rPr>
          <w:rFonts w:eastAsia="Times New Roman" w:cs="Times New Roman"/>
          <w:szCs w:val="24"/>
        </w:rPr>
        <w:t xml:space="preserve"> са замърсени 1 000 </w:t>
      </w:r>
      <w:proofErr w:type="spellStart"/>
      <w:r w:rsidRPr="009F6D1E">
        <w:rPr>
          <w:rFonts w:eastAsia="Times New Roman" w:cs="Times New Roman"/>
          <w:szCs w:val="24"/>
        </w:rPr>
        <w:t>hа</w:t>
      </w:r>
      <w:proofErr w:type="spellEnd"/>
      <w:r w:rsidRPr="009F6D1E">
        <w:rPr>
          <w:rFonts w:eastAsia="Times New Roman" w:cs="Times New Roman"/>
          <w:szCs w:val="24"/>
        </w:rPr>
        <w:t xml:space="preserve">. Замърсяването на почвите с </w:t>
      </w:r>
      <w:proofErr w:type="spellStart"/>
      <w:r w:rsidRPr="009F6D1E">
        <w:rPr>
          <w:rFonts w:eastAsia="Times New Roman" w:cs="Times New Roman"/>
          <w:szCs w:val="24"/>
        </w:rPr>
        <w:t>радионуклиди</w:t>
      </w:r>
      <w:proofErr w:type="spellEnd"/>
      <w:r w:rsidRPr="009F6D1E">
        <w:rPr>
          <w:rFonts w:eastAsia="Times New Roman" w:cs="Times New Roman"/>
          <w:szCs w:val="24"/>
        </w:rPr>
        <w:t xml:space="preserve"> е свързано главно с прилагания в миналото </w:t>
      </w:r>
      <w:proofErr w:type="spellStart"/>
      <w:r w:rsidRPr="009F6D1E">
        <w:rPr>
          <w:rFonts w:eastAsia="Times New Roman" w:cs="Times New Roman"/>
          <w:szCs w:val="24"/>
        </w:rPr>
        <w:t>in</w:t>
      </w:r>
      <w:proofErr w:type="spellEnd"/>
      <w:r w:rsidRPr="009F6D1E">
        <w:rPr>
          <w:rFonts w:eastAsia="Times New Roman" w:cs="Times New Roman"/>
          <w:szCs w:val="24"/>
        </w:rPr>
        <w:t xml:space="preserve"> </w:t>
      </w:r>
      <w:proofErr w:type="spellStart"/>
      <w:r w:rsidRPr="009F6D1E">
        <w:rPr>
          <w:rFonts w:eastAsia="Times New Roman" w:cs="Times New Roman"/>
          <w:szCs w:val="24"/>
        </w:rPr>
        <w:t>situ</w:t>
      </w:r>
      <w:proofErr w:type="spellEnd"/>
      <w:r w:rsidRPr="009F6D1E">
        <w:rPr>
          <w:rFonts w:eastAsia="Times New Roman" w:cs="Times New Roman"/>
          <w:szCs w:val="24"/>
        </w:rPr>
        <w:t xml:space="preserve"> метод за екстракция на уран чрез сондажи и използване на сярна киселина като разтворител. Почвите, замърсени с </w:t>
      </w:r>
      <w:proofErr w:type="spellStart"/>
      <w:r w:rsidRPr="009F6D1E">
        <w:rPr>
          <w:rFonts w:eastAsia="Times New Roman" w:cs="Times New Roman"/>
          <w:szCs w:val="24"/>
        </w:rPr>
        <w:t>радионуклиди</w:t>
      </w:r>
      <w:proofErr w:type="spellEnd"/>
      <w:r w:rsidRPr="009F6D1E">
        <w:rPr>
          <w:rFonts w:eastAsia="Times New Roman" w:cs="Times New Roman"/>
          <w:szCs w:val="24"/>
        </w:rPr>
        <w:t>, са концентрирани около площадките за добив на уран (понастоящем закрити). Урановите находища в страната са разпределени в няколко зони: Среднопланинска, Средногорска и Родопска.</w:t>
      </w:r>
    </w:p>
    <w:p w14:paraId="628752FC" w14:textId="77777777" w:rsidR="00350819" w:rsidRPr="009F6D1E" w:rsidRDefault="00350819"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Резултатите от радиологичния мониторинг, извършен от Изпълнителна агенция по околна среда, не се установяват отклонения в измерените специфични активности на естествените и техногенни </w:t>
      </w:r>
      <w:proofErr w:type="spellStart"/>
      <w:r w:rsidRPr="009F6D1E">
        <w:rPr>
          <w:rFonts w:eastAsia="Times New Roman" w:cs="Times New Roman"/>
          <w:szCs w:val="24"/>
        </w:rPr>
        <w:t>радионуклиди</w:t>
      </w:r>
      <w:proofErr w:type="spellEnd"/>
      <w:r w:rsidRPr="009F6D1E">
        <w:rPr>
          <w:rFonts w:eastAsia="Times New Roman" w:cs="Times New Roman"/>
          <w:szCs w:val="24"/>
        </w:rPr>
        <w:t xml:space="preserve"> в необработваеми почви и дънни утайки, спрямо характерните фонови стойности.</w:t>
      </w:r>
    </w:p>
    <w:p w14:paraId="50C9C105" w14:textId="77777777" w:rsidR="005875C4" w:rsidRPr="005875C4" w:rsidRDefault="005875C4" w:rsidP="005875C4">
      <w:pPr>
        <w:tabs>
          <w:tab w:val="left" w:pos="993"/>
        </w:tabs>
        <w:spacing w:after="60" w:line="264" w:lineRule="auto"/>
        <w:ind w:firstLine="720"/>
        <w:jc w:val="both"/>
        <w:rPr>
          <w:rFonts w:eastAsia="Times New Roman" w:cs="Times New Roman"/>
          <w:szCs w:val="24"/>
        </w:rPr>
      </w:pPr>
      <w:r w:rsidRPr="005875C4">
        <w:rPr>
          <w:rFonts w:eastAsia="Times New Roman" w:cs="Times New Roman"/>
          <w:szCs w:val="24"/>
        </w:rPr>
        <w:t xml:space="preserve">За оценка на замърсяването на почвите с тежки метали през 2020 г. са обследвани 113 пункта от широкомащабната мрежа за мониторинг та почви (ниво I), от които са взети 678 образци от почвени проби и са извършени 5763 изпитвания по показатели. </w:t>
      </w:r>
    </w:p>
    <w:p w14:paraId="53633BCE" w14:textId="77777777" w:rsidR="005875C4" w:rsidRPr="005875C4" w:rsidRDefault="005875C4" w:rsidP="005875C4">
      <w:pPr>
        <w:tabs>
          <w:tab w:val="left" w:pos="993"/>
        </w:tabs>
        <w:spacing w:after="60" w:line="264" w:lineRule="auto"/>
        <w:ind w:firstLine="720"/>
        <w:jc w:val="both"/>
        <w:rPr>
          <w:rFonts w:eastAsia="Times New Roman" w:cs="Times New Roman"/>
          <w:szCs w:val="24"/>
        </w:rPr>
      </w:pPr>
      <w:r w:rsidRPr="005875C4">
        <w:rPr>
          <w:rFonts w:eastAsia="Times New Roman" w:cs="Times New Roman"/>
          <w:szCs w:val="24"/>
        </w:rPr>
        <w:t xml:space="preserve">Получените данни са оценени, съгласно максимално допустими концентрации (МДК) от Наредба № 3 за нормите за допустимо съдържание на вредни вещества в почвите, в сила от 12.08.2008 г. </w:t>
      </w:r>
    </w:p>
    <w:p w14:paraId="7C876655" w14:textId="73AA2660" w:rsidR="00350819" w:rsidRDefault="005875C4" w:rsidP="005875C4">
      <w:pPr>
        <w:tabs>
          <w:tab w:val="left" w:pos="993"/>
        </w:tabs>
        <w:spacing w:after="60" w:line="264" w:lineRule="auto"/>
        <w:ind w:firstLine="720"/>
        <w:jc w:val="both"/>
        <w:rPr>
          <w:rFonts w:eastAsia="Times New Roman" w:cs="Times New Roman"/>
          <w:szCs w:val="24"/>
        </w:rPr>
      </w:pPr>
      <w:r w:rsidRPr="005875C4">
        <w:rPr>
          <w:rFonts w:eastAsia="Times New Roman" w:cs="Times New Roman"/>
          <w:szCs w:val="24"/>
        </w:rPr>
        <w:t xml:space="preserve">През 2020 година, пунктовете, в които има отчетени по-високи стойности на тежки метали и металоиди от максимално допустимите концентрации са 17 и представляват 15.04% от общият брой </w:t>
      </w:r>
      <w:proofErr w:type="spellStart"/>
      <w:r w:rsidRPr="005875C4">
        <w:rPr>
          <w:rFonts w:eastAsia="Times New Roman" w:cs="Times New Roman"/>
          <w:szCs w:val="24"/>
        </w:rPr>
        <w:t>пробонабрани</w:t>
      </w:r>
      <w:proofErr w:type="spellEnd"/>
      <w:r w:rsidRPr="005875C4">
        <w:rPr>
          <w:rFonts w:eastAsia="Times New Roman" w:cs="Times New Roman"/>
          <w:szCs w:val="24"/>
        </w:rPr>
        <w:t xml:space="preserve"> пунктовете за 2020 г. (113 пункта) от Националната мрежа за почвен мониторинг. Те попадат в административните граници на областите София, Бургас, Смолян, Пловдив, Кърджали, Хасково, Благоевград, Монтана и Пазарджик. В таблици 11а и 11б са представени пунктовете, в които през 2020 г. са регистрирани завишени концентрации на тежки метали в двете дълбочини на </w:t>
      </w:r>
      <w:proofErr w:type="spellStart"/>
      <w:r w:rsidRPr="005875C4">
        <w:rPr>
          <w:rFonts w:eastAsia="Times New Roman" w:cs="Times New Roman"/>
          <w:szCs w:val="24"/>
        </w:rPr>
        <w:t>пробовземане</w:t>
      </w:r>
      <w:proofErr w:type="spellEnd"/>
      <w:r w:rsidRPr="005875C4">
        <w:rPr>
          <w:rFonts w:eastAsia="Times New Roman" w:cs="Times New Roman"/>
          <w:szCs w:val="24"/>
        </w:rPr>
        <w:t>: 0-20/20-40 cm за обработваемите земи и 0-10/10-40 cm за пасища и ливади</w:t>
      </w:r>
      <w:r w:rsidR="00350819" w:rsidRPr="009F6D1E">
        <w:rPr>
          <w:rFonts w:eastAsia="Times New Roman" w:cs="Times New Roman"/>
          <w:szCs w:val="24"/>
        </w:rPr>
        <w:t>.</w:t>
      </w:r>
    </w:p>
    <w:p w14:paraId="618F1D72" w14:textId="4A697FE5" w:rsidR="00377283" w:rsidRDefault="00377283" w:rsidP="005875C4">
      <w:pPr>
        <w:tabs>
          <w:tab w:val="left" w:pos="993"/>
        </w:tabs>
        <w:spacing w:after="60" w:line="264" w:lineRule="auto"/>
        <w:ind w:firstLine="720"/>
        <w:jc w:val="both"/>
        <w:rPr>
          <w:rFonts w:eastAsia="Times New Roman" w:cs="Times New Roman"/>
          <w:szCs w:val="24"/>
        </w:rPr>
      </w:pPr>
    </w:p>
    <w:p w14:paraId="4C5C5A18" w14:textId="77777777" w:rsidR="00377283" w:rsidRDefault="00377283" w:rsidP="005875C4">
      <w:pPr>
        <w:tabs>
          <w:tab w:val="left" w:pos="993"/>
        </w:tabs>
        <w:spacing w:after="60" w:line="264" w:lineRule="auto"/>
        <w:ind w:firstLine="720"/>
        <w:jc w:val="both"/>
        <w:rPr>
          <w:rFonts w:eastAsia="Times New Roman" w:cs="Times New Roman"/>
          <w:szCs w:val="24"/>
        </w:rPr>
      </w:pPr>
    </w:p>
    <w:p w14:paraId="3AFB828E" w14:textId="77777777" w:rsidR="00026ED0" w:rsidRPr="00026ED0" w:rsidRDefault="00026ED0" w:rsidP="00026ED0">
      <w:pPr>
        <w:tabs>
          <w:tab w:val="left" w:pos="993"/>
        </w:tabs>
        <w:spacing w:after="60" w:line="264" w:lineRule="auto"/>
        <w:ind w:firstLine="720"/>
        <w:jc w:val="both"/>
        <w:rPr>
          <w:rFonts w:eastAsia="Times New Roman" w:cs="Times New Roman"/>
          <w:szCs w:val="24"/>
        </w:rPr>
      </w:pPr>
      <w:r w:rsidRPr="00026ED0">
        <w:rPr>
          <w:rFonts w:eastAsia="Times New Roman" w:cs="Times New Roman"/>
          <w:szCs w:val="24"/>
        </w:rPr>
        <w:lastRenderedPageBreak/>
        <w:t>Анализът и оценката на данните показват, че:</w:t>
      </w:r>
    </w:p>
    <w:p w14:paraId="03F6151C" w14:textId="77777777" w:rsidR="00026ED0" w:rsidRPr="00026ED0" w:rsidRDefault="00026ED0" w:rsidP="00026ED0">
      <w:pPr>
        <w:tabs>
          <w:tab w:val="left" w:pos="993"/>
        </w:tabs>
        <w:spacing w:after="60" w:line="264" w:lineRule="auto"/>
        <w:ind w:firstLine="720"/>
        <w:jc w:val="both"/>
        <w:rPr>
          <w:rFonts w:eastAsia="Times New Roman" w:cs="Times New Roman"/>
          <w:szCs w:val="24"/>
        </w:rPr>
      </w:pPr>
      <w:r w:rsidRPr="00026ED0">
        <w:rPr>
          <w:rFonts w:eastAsia="Times New Roman" w:cs="Times New Roman"/>
          <w:szCs w:val="24"/>
        </w:rPr>
        <w:t xml:space="preserve">- Отчетени са незначителни превишения на нормите за </w:t>
      </w:r>
      <w:proofErr w:type="spellStart"/>
      <w:r w:rsidRPr="00026ED0">
        <w:rPr>
          <w:rFonts w:eastAsia="Times New Roman" w:cs="Times New Roman"/>
          <w:szCs w:val="24"/>
        </w:rPr>
        <w:t>Полициклични</w:t>
      </w:r>
      <w:proofErr w:type="spellEnd"/>
      <w:r w:rsidRPr="00026ED0">
        <w:rPr>
          <w:rFonts w:eastAsia="Times New Roman" w:cs="Times New Roman"/>
          <w:szCs w:val="24"/>
        </w:rPr>
        <w:t xml:space="preserve"> ароматни въглеводороди (PAH). В изследваните пунктове от Националната система за почвен мониторинг е отчетено, че има превишаване на МДК на </w:t>
      </w:r>
      <w:proofErr w:type="spellStart"/>
      <w:r w:rsidRPr="00026ED0">
        <w:rPr>
          <w:rFonts w:eastAsia="Times New Roman" w:cs="Times New Roman"/>
          <w:szCs w:val="24"/>
        </w:rPr>
        <w:t>Флуорантен</w:t>
      </w:r>
      <w:proofErr w:type="spellEnd"/>
      <w:r w:rsidRPr="00026ED0">
        <w:rPr>
          <w:rFonts w:eastAsia="Times New Roman" w:cs="Times New Roman"/>
          <w:szCs w:val="24"/>
        </w:rPr>
        <w:t xml:space="preserve"> в един пункт: област Кюстендил -  с. Драговищица 0.142 </w:t>
      </w:r>
      <w:proofErr w:type="spellStart"/>
      <w:r w:rsidRPr="00026ED0">
        <w:rPr>
          <w:rFonts w:eastAsia="Times New Roman" w:cs="Times New Roman"/>
          <w:szCs w:val="24"/>
        </w:rPr>
        <w:t>mg</w:t>
      </w:r>
      <w:proofErr w:type="spellEnd"/>
      <w:r w:rsidRPr="00026ED0">
        <w:rPr>
          <w:rFonts w:eastAsia="Times New Roman" w:cs="Times New Roman"/>
          <w:szCs w:val="24"/>
        </w:rPr>
        <w:t>/</w:t>
      </w:r>
      <w:proofErr w:type="spellStart"/>
      <w:r w:rsidRPr="00026ED0">
        <w:rPr>
          <w:rFonts w:eastAsia="Times New Roman" w:cs="Times New Roman"/>
          <w:szCs w:val="24"/>
        </w:rPr>
        <w:t>kg</w:t>
      </w:r>
      <w:proofErr w:type="spellEnd"/>
      <w:r w:rsidRPr="00026ED0">
        <w:rPr>
          <w:rFonts w:eastAsia="Times New Roman" w:cs="Times New Roman"/>
          <w:szCs w:val="24"/>
        </w:rPr>
        <w:t xml:space="preserve">  (МДК = 0.1 </w:t>
      </w:r>
      <w:proofErr w:type="spellStart"/>
      <w:r w:rsidRPr="00026ED0">
        <w:rPr>
          <w:rFonts w:eastAsia="Times New Roman" w:cs="Times New Roman"/>
          <w:szCs w:val="24"/>
        </w:rPr>
        <w:t>mg</w:t>
      </w:r>
      <w:proofErr w:type="spellEnd"/>
      <w:r w:rsidRPr="00026ED0">
        <w:rPr>
          <w:rFonts w:eastAsia="Times New Roman" w:cs="Times New Roman"/>
          <w:szCs w:val="24"/>
        </w:rPr>
        <w:t>/</w:t>
      </w:r>
      <w:proofErr w:type="spellStart"/>
      <w:r w:rsidRPr="00026ED0">
        <w:rPr>
          <w:rFonts w:eastAsia="Times New Roman" w:cs="Times New Roman"/>
          <w:szCs w:val="24"/>
        </w:rPr>
        <w:t>kg</w:t>
      </w:r>
      <w:proofErr w:type="spellEnd"/>
      <w:r w:rsidRPr="00026ED0">
        <w:rPr>
          <w:rFonts w:eastAsia="Times New Roman" w:cs="Times New Roman"/>
          <w:szCs w:val="24"/>
        </w:rPr>
        <w:t>);</w:t>
      </w:r>
    </w:p>
    <w:p w14:paraId="671DFE8D" w14:textId="77777777" w:rsidR="00026ED0" w:rsidRPr="00026ED0" w:rsidRDefault="00026ED0" w:rsidP="00026ED0">
      <w:pPr>
        <w:tabs>
          <w:tab w:val="left" w:pos="993"/>
        </w:tabs>
        <w:spacing w:after="60" w:line="264" w:lineRule="auto"/>
        <w:ind w:firstLine="720"/>
        <w:jc w:val="both"/>
        <w:rPr>
          <w:rFonts w:eastAsia="Times New Roman" w:cs="Times New Roman"/>
          <w:szCs w:val="24"/>
        </w:rPr>
      </w:pPr>
      <w:r w:rsidRPr="00026ED0">
        <w:rPr>
          <w:rFonts w:eastAsia="Times New Roman" w:cs="Times New Roman"/>
          <w:szCs w:val="24"/>
        </w:rPr>
        <w:t xml:space="preserve">- Няма отчетено замърсяване с </w:t>
      </w:r>
      <w:proofErr w:type="spellStart"/>
      <w:r w:rsidRPr="00026ED0">
        <w:rPr>
          <w:rFonts w:eastAsia="Times New Roman" w:cs="Times New Roman"/>
          <w:szCs w:val="24"/>
        </w:rPr>
        <w:t>полихлорираните</w:t>
      </w:r>
      <w:proofErr w:type="spellEnd"/>
      <w:r w:rsidRPr="00026ED0">
        <w:rPr>
          <w:rFonts w:eastAsia="Times New Roman" w:cs="Times New Roman"/>
          <w:szCs w:val="24"/>
        </w:rPr>
        <w:t xml:space="preserve"> </w:t>
      </w:r>
      <w:proofErr w:type="spellStart"/>
      <w:r w:rsidRPr="00026ED0">
        <w:rPr>
          <w:rFonts w:eastAsia="Times New Roman" w:cs="Times New Roman"/>
          <w:szCs w:val="24"/>
        </w:rPr>
        <w:t>бифенили</w:t>
      </w:r>
      <w:proofErr w:type="spellEnd"/>
      <w:r w:rsidRPr="00026ED0">
        <w:rPr>
          <w:rFonts w:eastAsia="Times New Roman" w:cs="Times New Roman"/>
          <w:szCs w:val="24"/>
        </w:rPr>
        <w:t xml:space="preserve"> (РСВ) в изследваните пунктове от Националната система за почвен мониторинг;</w:t>
      </w:r>
    </w:p>
    <w:p w14:paraId="4E4AA690" w14:textId="235EFF13" w:rsidR="00026ED0" w:rsidRPr="009F6D1E" w:rsidRDefault="00026ED0" w:rsidP="00026ED0">
      <w:pPr>
        <w:tabs>
          <w:tab w:val="left" w:pos="993"/>
        </w:tabs>
        <w:spacing w:after="60" w:line="264" w:lineRule="auto"/>
        <w:ind w:firstLine="720"/>
        <w:jc w:val="both"/>
        <w:rPr>
          <w:rFonts w:eastAsia="Times New Roman" w:cs="Times New Roman"/>
          <w:szCs w:val="24"/>
        </w:rPr>
      </w:pPr>
      <w:r w:rsidRPr="00026ED0">
        <w:rPr>
          <w:rFonts w:eastAsia="Times New Roman" w:cs="Times New Roman"/>
          <w:szCs w:val="24"/>
        </w:rPr>
        <w:t xml:space="preserve">- Отчетени са незначителни превишения на нормите за </w:t>
      </w:r>
      <w:proofErr w:type="spellStart"/>
      <w:r w:rsidRPr="00026ED0">
        <w:rPr>
          <w:rFonts w:eastAsia="Times New Roman" w:cs="Times New Roman"/>
          <w:szCs w:val="24"/>
        </w:rPr>
        <w:t>Органохлорни</w:t>
      </w:r>
      <w:proofErr w:type="spellEnd"/>
      <w:r w:rsidRPr="00026ED0">
        <w:rPr>
          <w:rFonts w:eastAsia="Times New Roman" w:cs="Times New Roman"/>
          <w:szCs w:val="24"/>
        </w:rPr>
        <w:t xml:space="preserve"> пестициди. В изследваните пунктове от Националната система за почвен мониторинг е отчетено, че има превишаване на МДК на пестицида 4.4-ДДЕ (МДК = 0.5 </w:t>
      </w:r>
      <w:proofErr w:type="spellStart"/>
      <w:r w:rsidRPr="00026ED0">
        <w:rPr>
          <w:rFonts w:eastAsia="Times New Roman" w:cs="Times New Roman"/>
          <w:szCs w:val="24"/>
        </w:rPr>
        <w:t>mg</w:t>
      </w:r>
      <w:proofErr w:type="spellEnd"/>
      <w:r w:rsidRPr="00026ED0">
        <w:rPr>
          <w:rFonts w:eastAsia="Times New Roman" w:cs="Times New Roman"/>
          <w:szCs w:val="24"/>
        </w:rPr>
        <w:t>/</w:t>
      </w:r>
      <w:proofErr w:type="spellStart"/>
      <w:r w:rsidRPr="00026ED0">
        <w:rPr>
          <w:rFonts w:eastAsia="Times New Roman" w:cs="Times New Roman"/>
          <w:szCs w:val="24"/>
        </w:rPr>
        <w:t>kg</w:t>
      </w:r>
      <w:proofErr w:type="spellEnd"/>
      <w:r w:rsidRPr="00026ED0">
        <w:rPr>
          <w:rFonts w:eastAsia="Times New Roman" w:cs="Times New Roman"/>
          <w:szCs w:val="24"/>
        </w:rPr>
        <w:t xml:space="preserve">) в област Кюстендил -  с. Драговищица 0.65 </w:t>
      </w:r>
      <w:proofErr w:type="spellStart"/>
      <w:r w:rsidRPr="00026ED0">
        <w:rPr>
          <w:rFonts w:eastAsia="Times New Roman" w:cs="Times New Roman"/>
          <w:szCs w:val="24"/>
        </w:rPr>
        <w:t>mg</w:t>
      </w:r>
      <w:proofErr w:type="spellEnd"/>
      <w:r w:rsidRPr="00026ED0">
        <w:rPr>
          <w:rFonts w:eastAsia="Times New Roman" w:cs="Times New Roman"/>
          <w:szCs w:val="24"/>
        </w:rPr>
        <w:t>/</w:t>
      </w:r>
      <w:proofErr w:type="spellStart"/>
      <w:r w:rsidRPr="00026ED0">
        <w:rPr>
          <w:rFonts w:eastAsia="Times New Roman" w:cs="Times New Roman"/>
          <w:szCs w:val="24"/>
        </w:rPr>
        <w:t>kg</w:t>
      </w:r>
      <w:proofErr w:type="spellEnd"/>
      <w:r w:rsidRPr="00026ED0">
        <w:rPr>
          <w:rFonts w:eastAsia="Times New Roman" w:cs="Times New Roman"/>
          <w:szCs w:val="24"/>
        </w:rPr>
        <w:t>.</w:t>
      </w:r>
    </w:p>
    <w:p w14:paraId="779C20DB" w14:textId="77777777" w:rsidR="00DC0401" w:rsidRPr="00026ED0" w:rsidRDefault="00DC0401" w:rsidP="0084747F">
      <w:pPr>
        <w:autoSpaceDE w:val="0"/>
        <w:autoSpaceDN w:val="0"/>
        <w:adjustRightInd w:val="0"/>
        <w:spacing w:after="60" w:line="264" w:lineRule="auto"/>
        <w:jc w:val="both"/>
        <w:rPr>
          <w:rFonts w:cs="Times New Roman"/>
          <w:szCs w:val="24"/>
          <w:highlight w:val="yellow"/>
          <w:lang w:val="en-US"/>
        </w:rPr>
      </w:pPr>
    </w:p>
    <w:p w14:paraId="602B036C" w14:textId="77777777" w:rsidR="00471E9F" w:rsidRPr="009F6D1E" w:rsidRDefault="00471E9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307" w:name="_Toc115254997"/>
      <w:r w:rsidRPr="009F6D1E">
        <w:rPr>
          <w:smallCaps w:val="0"/>
          <w:lang w:bidi="ar-SA"/>
        </w:rPr>
        <w:t>Ландшафт</w:t>
      </w:r>
      <w:bookmarkEnd w:id="307"/>
    </w:p>
    <w:p w14:paraId="6D2F2983" w14:textId="77777777" w:rsidR="00DC0401" w:rsidRPr="009F6D1E" w:rsidRDefault="00DC0401" w:rsidP="0084747F">
      <w:pPr>
        <w:spacing w:after="60" w:line="264" w:lineRule="auto"/>
        <w:contextualSpacing/>
        <w:jc w:val="both"/>
        <w:rPr>
          <w:rFonts w:eastAsia="Calibri" w:cs="Times New Roman"/>
          <w:b/>
          <w:bCs/>
          <w:i/>
          <w:iCs/>
          <w:szCs w:val="24"/>
          <w:highlight w:val="yellow"/>
        </w:rPr>
      </w:pPr>
    </w:p>
    <w:p w14:paraId="45587A47"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Основите на науката за ландшафта са поставени още през 30-те години на миналия век с излизането на труда на проф. Иван Батаклиев „</w:t>
      </w:r>
      <w:proofErr w:type="spellStart"/>
      <w:r w:rsidRPr="009F6D1E">
        <w:rPr>
          <w:rFonts w:eastAsia="Times New Roman" w:cs="Times New Roman"/>
          <w:szCs w:val="24"/>
        </w:rPr>
        <w:t>Ландшафтно</w:t>
      </w:r>
      <w:proofErr w:type="spellEnd"/>
      <w:r w:rsidRPr="009F6D1E">
        <w:rPr>
          <w:rFonts w:eastAsia="Times New Roman" w:cs="Times New Roman"/>
          <w:szCs w:val="24"/>
        </w:rPr>
        <w:t xml:space="preserve"> поделение на България“. От тогава насам, </w:t>
      </w:r>
      <w:proofErr w:type="spellStart"/>
      <w:r w:rsidRPr="009F6D1E">
        <w:rPr>
          <w:rFonts w:eastAsia="Times New Roman" w:cs="Times New Roman"/>
          <w:szCs w:val="24"/>
        </w:rPr>
        <w:t>ландшафтознанието</w:t>
      </w:r>
      <w:proofErr w:type="spellEnd"/>
      <w:r w:rsidRPr="009F6D1E">
        <w:rPr>
          <w:rFonts w:eastAsia="Times New Roman" w:cs="Times New Roman"/>
          <w:szCs w:val="24"/>
        </w:rPr>
        <w:t xml:space="preserve"> се е развивало непрекъснато посредством труда на десетки български географи и изследователи утвърждавайки се като самостоятелна наука. </w:t>
      </w:r>
      <w:proofErr w:type="spellStart"/>
      <w:r w:rsidRPr="009F6D1E">
        <w:rPr>
          <w:rFonts w:eastAsia="Times New Roman" w:cs="Times New Roman"/>
          <w:szCs w:val="24"/>
        </w:rPr>
        <w:t>Ландшафтната</w:t>
      </w:r>
      <w:proofErr w:type="spellEnd"/>
      <w:r w:rsidRPr="009F6D1E">
        <w:rPr>
          <w:rFonts w:eastAsia="Times New Roman" w:cs="Times New Roman"/>
          <w:szCs w:val="24"/>
        </w:rPr>
        <w:t xml:space="preserve"> подялба на България търпи естествена еволюция през годините, като различните автори предлагат както съвсем нови подходи, така и допълват и развиват вече създадените. </w:t>
      </w:r>
    </w:p>
    <w:p w14:paraId="6E57E103"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В тази точка ще бъде разгледана създадената от А. Велчев, Р. </w:t>
      </w:r>
      <w:proofErr w:type="spellStart"/>
      <w:r w:rsidRPr="009F6D1E">
        <w:rPr>
          <w:rFonts w:eastAsia="Times New Roman" w:cs="Times New Roman"/>
          <w:szCs w:val="24"/>
        </w:rPr>
        <w:t>Пенин</w:t>
      </w:r>
      <w:proofErr w:type="spellEnd"/>
      <w:r w:rsidRPr="009F6D1E">
        <w:rPr>
          <w:rFonts w:eastAsia="Times New Roman" w:cs="Times New Roman"/>
          <w:szCs w:val="24"/>
        </w:rPr>
        <w:t xml:space="preserve"> и Н. Тодоров през 2003г. Схема на </w:t>
      </w:r>
      <w:proofErr w:type="spellStart"/>
      <w:r w:rsidRPr="009F6D1E">
        <w:rPr>
          <w:rFonts w:eastAsia="Times New Roman" w:cs="Times New Roman"/>
          <w:szCs w:val="24"/>
        </w:rPr>
        <w:t>ландшафтно</w:t>
      </w:r>
      <w:proofErr w:type="spellEnd"/>
      <w:r w:rsidRPr="009F6D1E">
        <w:rPr>
          <w:rFonts w:eastAsia="Times New Roman" w:cs="Times New Roman"/>
          <w:szCs w:val="24"/>
        </w:rPr>
        <w:t xml:space="preserve">-екологичното райониране на България. </w:t>
      </w:r>
    </w:p>
    <w:p w14:paraId="3C602D85"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Според тази схема България може да бъде поделена на 3 провинции, 5 </w:t>
      </w:r>
      <w:proofErr w:type="spellStart"/>
      <w:r w:rsidRPr="009F6D1E">
        <w:rPr>
          <w:rFonts w:eastAsia="Times New Roman" w:cs="Times New Roman"/>
          <w:szCs w:val="24"/>
        </w:rPr>
        <w:t>подпровинции</w:t>
      </w:r>
      <w:proofErr w:type="spellEnd"/>
      <w:r w:rsidRPr="009F6D1E">
        <w:rPr>
          <w:rFonts w:eastAsia="Times New Roman" w:cs="Times New Roman"/>
          <w:szCs w:val="24"/>
        </w:rPr>
        <w:t xml:space="preserve">, и 14 области. Областите от своя страна могат да бъдат поделени на окръзи (36) и райони (86). </w:t>
      </w:r>
    </w:p>
    <w:p w14:paraId="50BF23DA"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lastRenderedPageBreak/>
        <w:t xml:space="preserve"> </w:t>
      </w:r>
      <w:r w:rsidRPr="009F6D1E">
        <w:rPr>
          <w:rFonts w:eastAsia="Symbol" w:cs="Times New Roman"/>
          <w:noProof/>
          <w:szCs w:val="24"/>
          <w:lang w:val="en-US"/>
        </w:rPr>
        <w:drawing>
          <wp:inline distT="0" distB="0" distL="0" distR="0" wp14:anchorId="11F80AA6" wp14:editId="73BD4836">
            <wp:extent cx="5029200" cy="3559262"/>
            <wp:effectExtent l="0" t="0" r="0" b="3175"/>
            <wp:docPr id="37"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Картина 1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036576" cy="3564482"/>
                    </a:xfrm>
                    <a:prstGeom prst="rect">
                      <a:avLst/>
                    </a:prstGeom>
                  </pic:spPr>
                </pic:pic>
              </a:graphicData>
            </a:graphic>
          </wp:inline>
        </w:drawing>
      </w:r>
    </w:p>
    <w:p w14:paraId="4FCF488C" w14:textId="68A628EA" w:rsidR="000F318E" w:rsidRPr="009F6D1E" w:rsidRDefault="00170DE2" w:rsidP="00170DE2">
      <w:pPr>
        <w:pStyle w:val="Caption"/>
        <w:rPr>
          <w:rFonts w:eastAsia="Times New Roman"/>
        </w:rPr>
      </w:pPr>
      <w:bookmarkStart w:id="308" w:name="_Ref107168406"/>
      <w:bookmarkStart w:id="309" w:name="_Toc115255111"/>
      <w:r w:rsidRPr="009F6D1E">
        <w:t xml:space="preserve">Фигура </w:t>
      </w:r>
      <w:fldSimple w:instr=" SEQ Фигура \* ARABIC ">
        <w:r w:rsidR="00A43EF3">
          <w:rPr>
            <w:noProof/>
          </w:rPr>
          <w:t>50</w:t>
        </w:r>
      </w:fldSimple>
      <w:bookmarkEnd w:id="308"/>
      <w:r w:rsidRPr="009F6D1E">
        <w:t xml:space="preserve">: </w:t>
      </w:r>
      <w:r w:rsidR="000F318E" w:rsidRPr="009F6D1E">
        <w:rPr>
          <w:rFonts w:eastAsia="Times New Roman"/>
        </w:rPr>
        <w:t xml:space="preserve">Схема на </w:t>
      </w:r>
      <w:proofErr w:type="spellStart"/>
      <w:r w:rsidR="000F318E" w:rsidRPr="009F6D1E">
        <w:rPr>
          <w:rFonts w:eastAsia="Times New Roman"/>
        </w:rPr>
        <w:t>ландшафтно</w:t>
      </w:r>
      <w:proofErr w:type="spellEnd"/>
      <w:r w:rsidR="000F318E" w:rsidRPr="009F6D1E">
        <w:rPr>
          <w:rFonts w:eastAsia="Times New Roman"/>
        </w:rPr>
        <w:t>-екологичното райониране на България</w:t>
      </w:r>
      <w:bookmarkEnd w:id="309"/>
    </w:p>
    <w:p w14:paraId="5E1F0158"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p>
    <w:p w14:paraId="668368AE" w14:textId="6D7B3A91"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В </w:t>
      </w:r>
      <w:r w:rsidRPr="009F6D1E">
        <w:rPr>
          <w:rFonts w:eastAsia="Times New Roman" w:cs="Times New Roman"/>
          <w:i/>
          <w:iCs/>
          <w:szCs w:val="24"/>
        </w:rPr>
        <w:t>Придунавско-Добруджанската област</w:t>
      </w:r>
      <w:r w:rsidRPr="009F6D1E">
        <w:rPr>
          <w:rFonts w:eastAsia="Times New Roman" w:cs="Times New Roman"/>
          <w:szCs w:val="24"/>
        </w:rPr>
        <w:t xml:space="preserve"> (</w:t>
      </w:r>
      <w:r w:rsidR="003F3D71" w:rsidRPr="009F6D1E">
        <w:rPr>
          <w:rFonts w:eastAsia="Times New Roman" w:cs="Times New Roman"/>
          <w:szCs w:val="24"/>
          <w:highlight w:val="yellow"/>
        </w:rPr>
        <w:fldChar w:fldCharType="begin"/>
      </w:r>
      <w:r w:rsidR="00170DE2" w:rsidRPr="009F6D1E">
        <w:rPr>
          <w:rFonts w:eastAsia="Times New Roman" w:cs="Times New Roman"/>
          <w:szCs w:val="24"/>
        </w:rPr>
        <w:instrText xml:space="preserve"> REF _Ref107168406 \h </w:instrText>
      </w:r>
      <w:r w:rsidR="003F3D71" w:rsidRPr="009F6D1E">
        <w:rPr>
          <w:rFonts w:eastAsia="Times New Roman" w:cs="Times New Roman"/>
          <w:szCs w:val="24"/>
          <w:highlight w:val="yellow"/>
        </w:rPr>
      </w:r>
      <w:r w:rsidR="003F3D71" w:rsidRPr="009F6D1E">
        <w:rPr>
          <w:rFonts w:eastAsia="Times New Roman" w:cs="Times New Roman"/>
          <w:szCs w:val="24"/>
          <w:highlight w:val="yellow"/>
        </w:rPr>
        <w:fldChar w:fldCharType="separate"/>
      </w:r>
      <w:r w:rsidR="00A43EF3" w:rsidRPr="009F6D1E">
        <w:t xml:space="preserve">Фигура </w:t>
      </w:r>
      <w:r w:rsidR="00A43EF3">
        <w:rPr>
          <w:noProof/>
        </w:rPr>
        <w:t>50</w:t>
      </w:r>
      <w:r w:rsidR="003F3D71" w:rsidRPr="009F6D1E">
        <w:rPr>
          <w:rFonts w:eastAsia="Times New Roman" w:cs="Times New Roman"/>
          <w:szCs w:val="24"/>
          <w:highlight w:val="yellow"/>
        </w:rPr>
        <w:fldChar w:fldCharType="end"/>
      </w:r>
      <w:r w:rsidRPr="009F6D1E">
        <w:rPr>
          <w:rFonts w:eastAsia="Times New Roman" w:cs="Times New Roman"/>
          <w:szCs w:val="24"/>
        </w:rPr>
        <w:t xml:space="preserve">) преобладават степните и </w:t>
      </w:r>
      <w:proofErr w:type="spellStart"/>
      <w:r w:rsidRPr="009F6D1E">
        <w:rPr>
          <w:rFonts w:eastAsia="Times New Roman" w:cs="Times New Roman"/>
          <w:szCs w:val="24"/>
        </w:rPr>
        <w:t>лесостепните</w:t>
      </w:r>
      <w:proofErr w:type="spellEnd"/>
      <w:r w:rsidRPr="009F6D1E">
        <w:rPr>
          <w:rFonts w:eastAsia="Times New Roman" w:cs="Times New Roman"/>
          <w:szCs w:val="24"/>
        </w:rPr>
        <w:t xml:space="preserve"> комплекси, представени от два основни типа и три подтипа ландшафти, а именно тези на равнинните и хълмистите 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и равнинните умерени </w:t>
      </w:r>
      <w:proofErr w:type="spellStart"/>
      <w:r w:rsidRPr="009F6D1E">
        <w:rPr>
          <w:rFonts w:eastAsia="Times New Roman" w:cs="Times New Roman"/>
          <w:szCs w:val="24"/>
        </w:rPr>
        <w:t>семиаридни</w:t>
      </w:r>
      <w:proofErr w:type="spellEnd"/>
      <w:r w:rsidRPr="009F6D1E">
        <w:rPr>
          <w:rFonts w:eastAsia="Times New Roman" w:cs="Times New Roman"/>
          <w:szCs w:val="24"/>
        </w:rPr>
        <w:t xml:space="preserve">. Покрай река Дунав е разпространен </w:t>
      </w:r>
      <w:proofErr w:type="spellStart"/>
      <w:r w:rsidRPr="009F6D1E">
        <w:rPr>
          <w:rFonts w:eastAsia="Times New Roman" w:cs="Times New Roman"/>
          <w:szCs w:val="24"/>
        </w:rPr>
        <w:t>азоналният</w:t>
      </w:r>
      <w:proofErr w:type="spellEnd"/>
      <w:r w:rsidRPr="009F6D1E">
        <w:rPr>
          <w:rFonts w:eastAsia="Times New Roman" w:cs="Times New Roman"/>
          <w:szCs w:val="24"/>
        </w:rPr>
        <w:t xml:space="preserve"> тип на </w:t>
      </w:r>
      <w:proofErr w:type="spellStart"/>
      <w:r w:rsidRPr="009F6D1E">
        <w:rPr>
          <w:rFonts w:eastAsia="Times New Roman" w:cs="Times New Roman"/>
          <w:szCs w:val="24"/>
        </w:rPr>
        <w:t>хидроморфни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субхидроморфни</w:t>
      </w:r>
      <w:proofErr w:type="spellEnd"/>
      <w:r w:rsidRPr="009F6D1E">
        <w:rPr>
          <w:rFonts w:eastAsia="Times New Roman" w:cs="Times New Roman"/>
          <w:szCs w:val="24"/>
        </w:rPr>
        <w:t xml:space="preserve"> ландшафти.</w:t>
      </w:r>
    </w:p>
    <w:p w14:paraId="5A53C1A3"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Южнодунавско-Лудогорска област</w:t>
      </w:r>
      <w:r w:rsidRPr="009F6D1E">
        <w:rPr>
          <w:rFonts w:eastAsia="Times New Roman" w:cs="Times New Roman"/>
          <w:szCs w:val="24"/>
        </w:rPr>
        <w:t xml:space="preserve"> – от </w:t>
      </w:r>
      <w:proofErr w:type="spellStart"/>
      <w:r w:rsidRPr="009F6D1E">
        <w:rPr>
          <w:rFonts w:eastAsia="Times New Roman" w:cs="Times New Roman"/>
          <w:szCs w:val="24"/>
        </w:rPr>
        <w:t>ландшафоформиращите</w:t>
      </w:r>
      <w:proofErr w:type="spellEnd"/>
      <w:r w:rsidRPr="009F6D1E">
        <w:rPr>
          <w:rFonts w:eastAsia="Times New Roman" w:cs="Times New Roman"/>
          <w:szCs w:val="24"/>
        </w:rPr>
        <w:t xml:space="preserve"> фактори в областта с най-голямо значение са </w:t>
      </w:r>
      <w:proofErr w:type="spellStart"/>
      <w:r w:rsidRPr="009F6D1E">
        <w:rPr>
          <w:rFonts w:eastAsia="Times New Roman" w:cs="Times New Roman"/>
          <w:szCs w:val="24"/>
        </w:rPr>
        <w:t>разчленеността</w:t>
      </w:r>
      <w:proofErr w:type="spellEnd"/>
      <w:r w:rsidRPr="009F6D1E">
        <w:rPr>
          <w:rFonts w:eastAsia="Times New Roman" w:cs="Times New Roman"/>
          <w:szCs w:val="24"/>
        </w:rPr>
        <w:t xml:space="preserve"> на релефа, по-големите </w:t>
      </w:r>
      <w:proofErr w:type="spellStart"/>
      <w:r w:rsidRPr="009F6D1E">
        <w:rPr>
          <w:rFonts w:eastAsia="Times New Roman" w:cs="Times New Roman"/>
          <w:szCs w:val="24"/>
        </w:rPr>
        <w:t>хипсометрични</w:t>
      </w:r>
      <w:proofErr w:type="spellEnd"/>
      <w:r w:rsidRPr="009F6D1E">
        <w:rPr>
          <w:rFonts w:eastAsia="Times New Roman" w:cs="Times New Roman"/>
          <w:szCs w:val="24"/>
        </w:rPr>
        <w:t xml:space="preserve"> различия в сравнение с Придунавско-Добруджанската област и наличието на карбонатни терени. Всички те оказват влияние върху формирането и развитието на горски и </w:t>
      </w:r>
      <w:proofErr w:type="spellStart"/>
      <w:r w:rsidRPr="009F6D1E">
        <w:rPr>
          <w:rFonts w:eastAsia="Times New Roman" w:cs="Times New Roman"/>
          <w:szCs w:val="24"/>
        </w:rPr>
        <w:t>лесостепни</w:t>
      </w:r>
      <w:proofErr w:type="spellEnd"/>
      <w:r w:rsidRPr="009F6D1E">
        <w:rPr>
          <w:rFonts w:eastAsia="Times New Roman" w:cs="Times New Roman"/>
          <w:szCs w:val="24"/>
        </w:rPr>
        <w:t xml:space="preserve"> съобщества и само на определени територии - и на </w:t>
      </w:r>
      <w:proofErr w:type="spellStart"/>
      <w:r w:rsidRPr="009F6D1E">
        <w:rPr>
          <w:rFonts w:eastAsia="Times New Roman" w:cs="Times New Roman"/>
          <w:szCs w:val="24"/>
        </w:rPr>
        <w:t>ксеротермни</w:t>
      </w:r>
      <w:proofErr w:type="spellEnd"/>
      <w:r w:rsidRPr="009F6D1E">
        <w:rPr>
          <w:rFonts w:eastAsia="Times New Roman" w:cs="Times New Roman"/>
          <w:szCs w:val="24"/>
        </w:rPr>
        <w:t xml:space="preserve"> формации. Ето защо в структурата на ландшафтите фоново значение имат хълмистите и предпланинско-хълмистите топлоумерени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със своите разновидности - лудогорски и равнинно-хълмисти </w:t>
      </w:r>
      <w:proofErr w:type="spellStart"/>
      <w:r w:rsidRPr="009F6D1E">
        <w:rPr>
          <w:rFonts w:eastAsia="Times New Roman" w:cs="Times New Roman"/>
          <w:szCs w:val="24"/>
        </w:rPr>
        <w:t>лесостепни</w:t>
      </w:r>
      <w:proofErr w:type="spellEnd"/>
      <w:r w:rsidRPr="009F6D1E">
        <w:rPr>
          <w:rFonts w:eastAsia="Times New Roman" w:cs="Times New Roman"/>
          <w:szCs w:val="24"/>
        </w:rPr>
        <w:t xml:space="preserve"> ландшафти и </w:t>
      </w:r>
      <w:proofErr w:type="spellStart"/>
      <w:r w:rsidRPr="009F6D1E">
        <w:rPr>
          <w:rFonts w:eastAsia="Times New Roman" w:cs="Times New Roman"/>
          <w:szCs w:val="24"/>
        </w:rPr>
        <w:t>семиаридни</w:t>
      </w:r>
      <w:proofErr w:type="spellEnd"/>
      <w:r w:rsidRPr="009F6D1E">
        <w:rPr>
          <w:rFonts w:eastAsia="Times New Roman" w:cs="Times New Roman"/>
          <w:szCs w:val="24"/>
        </w:rPr>
        <w:t xml:space="preserve"> ландшафти.</w:t>
      </w:r>
    </w:p>
    <w:p w14:paraId="5A386FAB"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Предбалканска област</w:t>
      </w:r>
      <w:r w:rsidRPr="009F6D1E">
        <w:rPr>
          <w:rFonts w:eastAsia="Times New Roman" w:cs="Times New Roman"/>
          <w:szCs w:val="24"/>
        </w:rPr>
        <w:t xml:space="preserve"> – </w:t>
      </w:r>
      <w:proofErr w:type="spellStart"/>
      <w:r w:rsidRPr="009F6D1E">
        <w:rPr>
          <w:rFonts w:eastAsia="Times New Roman" w:cs="Times New Roman"/>
          <w:szCs w:val="24"/>
        </w:rPr>
        <w:t>Предбалканът</w:t>
      </w:r>
      <w:proofErr w:type="spellEnd"/>
      <w:r w:rsidRPr="009F6D1E">
        <w:rPr>
          <w:rFonts w:eastAsia="Times New Roman" w:cs="Times New Roman"/>
          <w:szCs w:val="24"/>
        </w:rPr>
        <w:t xml:space="preserve"> заема предпланинските части на Стара планина, като северната му граница е добре очертана от старопланинските </w:t>
      </w:r>
      <w:proofErr w:type="spellStart"/>
      <w:r w:rsidRPr="009F6D1E">
        <w:rPr>
          <w:rFonts w:eastAsia="Times New Roman" w:cs="Times New Roman"/>
          <w:szCs w:val="24"/>
        </w:rPr>
        <w:t>гънкови</w:t>
      </w:r>
      <w:proofErr w:type="spellEnd"/>
      <w:r w:rsidRPr="009F6D1E">
        <w:rPr>
          <w:rFonts w:eastAsia="Times New Roman" w:cs="Times New Roman"/>
          <w:szCs w:val="24"/>
        </w:rPr>
        <w:t xml:space="preserve"> и </w:t>
      </w:r>
      <w:proofErr w:type="spellStart"/>
      <w:r w:rsidRPr="009F6D1E">
        <w:rPr>
          <w:rFonts w:eastAsia="Times New Roman" w:cs="Times New Roman"/>
          <w:szCs w:val="24"/>
        </w:rPr>
        <w:t>пластови</w:t>
      </w:r>
      <w:proofErr w:type="spellEnd"/>
      <w:r w:rsidRPr="009F6D1E">
        <w:rPr>
          <w:rFonts w:eastAsia="Times New Roman" w:cs="Times New Roman"/>
          <w:szCs w:val="24"/>
        </w:rPr>
        <w:t xml:space="preserve"> структури на Южнодунавско-Лудогорската област. Южната граница в най-общи черти следи Старопланинската челна ивица.</w:t>
      </w:r>
    </w:p>
    <w:p w14:paraId="4220CAB6"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Преходният характер на природата на </w:t>
      </w:r>
      <w:proofErr w:type="spellStart"/>
      <w:r w:rsidRPr="009F6D1E">
        <w:rPr>
          <w:rFonts w:eastAsia="Times New Roman" w:cs="Times New Roman"/>
          <w:szCs w:val="24"/>
        </w:rPr>
        <w:t>Предбалкана</w:t>
      </w:r>
      <w:proofErr w:type="spellEnd"/>
      <w:r w:rsidRPr="009F6D1E">
        <w:rPr>
          <w:rFonts w:eastAsia="Times New Roman" w:cs="Times New Roman"/>
          <w:szCs w:val="24"/>
        </w:rPr>
        <w:t xml:space="preserve"> се проявява във всички </w:t>
      </w:r>
      <w:proofErr w:type="spellStart"/>
      <w:r w:rsidRPr="009F6D1E">
        <w:rPr>
          <w:rFonts w:eastAsia="Times New Roman" w:cs="Times New Roman"/>
          <w:szCs w:val="24"/>
        </w:rPr>
        <w:t>ландшафтни</w:t>
      </w:r>
      <w:proofErr w:type="spellEnd"/>
      <w:r w:rsidRPr="009F6D1E">
        <w:rPr>
          <w:rFonts w:eastAsia="Times New Roman" w:cs="Times New Roman"/>
          <w:szCs w:val="24"/>
        </w:rPr>
        <w:t xml:space="preserve"> компоненти. Те са силно повлияни от местния релеф и съседната Старопланинска верига. Областта е силно разчленена в хоризонтално и вертикално отношение. Преобладават </w:t>
      </w:r>
      <w:proofErr w:type="spellStart"/>
      <w:r w:rsidRPr="009F6D1E">
        <w:rPr>
          <w:rFonts w:eastAsia="Times New Roman" w:cs="Times New Roman"/>
          <w:szCs w:val="24"/>
        </w:rPr>
        <w:lastRenderedPageBreak/>
        <w:t>кулисообразно</w:t>
      </w:r>
      <w:proofErr w:type="spellEnd"/>
      <w:r w:rsidRPr="009F6D1E">
        <w:rPr>
          <w:rFonts w:eastAsia="Times New Roman" w:cs="Times New Roman"/>
          <w:szCs w:val="24"/>
        </w:rPr>
        <w:t xml:space="preserve"> застъпващи се </w:t>
      </w:r>
      <w:proofErr w:type="spellStart"/>
      <w:r w:rsidRPr="009F6D1E">
        <w:rPr>
          <w:rFonts w:eastAsia="Times New Roman" w:cs="Times New Roman"/>
          <w:szCs w:val="24"/>
        </w:rPr>
        <w:t>гънкови</w:t>
      </w:r>
      <w:proofErr w:type="spellEnd"/>
      <w:r w:rsidRPr="009F6D1E">
        <w:rPr>
          <w:rFonts w:eastAsia="Times New Roman" w:cs="Times New Roman"/>
          <w:szCs w:val="24"/>
        </w:rPr>
        <w:t xml:space="preserve"> структури, които са разчленени от старопланинските реки, образувайки надлъжни ридове и живописни долини.</w:t>
      </w:r>
    </w:p>
    <w:p w14:paraId="7F0D8EEA"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В </w:t>
      </w:r>
      <w:proofErr w:type="spellStart"/>
      <w:r w:rsidRPr="009F6D1E">
        <w:rPr>
          <w:rFonts w:eastAsia="Times New Roman" w:cs="Times New Roman"/>
          <w:szCs w:val="24"/>
        </w:rPr>
        <w:t>ландшафтната</w:t>
      </w:r>
      <w:proofErr w:type="spellEnd"/>
      <w:r w:rsidRPr="009F6D1E">
        <w:rPr>
          <w:rFonts w:eastAsia="Times New Roman" w:cs="Times New Roman"/>
          <w:szCs w:val="24"/>
        </w:rPr>
        <w:t xml:space="preserve"> структура на </w:t>
      </w:r>
      <w:proofErr w:type="spellStart"/>
      <w:r w:rsidRPr="009F6D1E">
        <w:rPr>
          <w:rFonts w:eastAsia="Times New Roman" w:cs="Times New Roman"/>
          <w:szCs w:val="24"/>
        </w:rPr>
        <w:t>Предбалкана</w:t>
      </w:r>
      <w:proofErr w:type="spellEnd"/>
      <w:r w:rsidRPr="009F6D1E">
        <w:rPr>
          <w:rFonts w:eastAsia="Times New Roman" w:cs="Times New Roman"/>
          <w:szCs w:val="24"/>
        </w:rPr>
        <w:t xml:space="preserve"> преобладават хълмисти, предпланински и равнинни топлоумерени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и 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типове ландшафти. От подтиповете значителни територии се заемат от предпланинско-хълмистите карстови 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ландшафти с дъбови гори. В южните части сравнително широко са разпространени планинските топлоумерени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типове ландшафти и особено подтипът на нископланинските горски, преходни към умерените с дъбови гори и дъбово-</w:t>
      </w:r>
      <w:proofErr w:type="spellStart"/>
      <w:r w:rsidRPr="009F6D1E">
        <w:rPr>
          <w:rFonts w:eastAsia="Times New Roman" w:cs="Times New Roman"/>
          <w:szCs w:val="24"/>
        </w:rPr>
        <w:t>габърови</w:t>
      </w:r>
      <w:proofErr w:type="spellEnd"/>
      <w:r w:rsidRPr="009F6D1E">
        <w:rPr>
          <w:rFonts w:eastAsia="Times New Roman" w:cs="Times New Roman"/>
          <w:szCs w:val="24"/>
        </w:rPr>
        <w:t xml:space="preserve"> гори и ливади.</w:t>
      </w:r>
    </w:p>
    <w:p w14:paraId="4630AF4D"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Старопланинска област</w:t>
      </w:r>
      <w:r w:rsidRPr="009F6D1E">
        <w:rPr>
          <w:rFonts w:eastAsia="Times New Roman" w:cs="Times New Roman"/>
          <w:szCs w:val="24"/>
        </w:rPr>
        <w:t xml:space="preserve"> -  в тази област доминиращи са планински 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подтип среднопланински горски с два рода – ерозионно </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w:t>
      </w:r>
      <w:proofErr w:type="spellStart"/>
      <w:r w:rsidRPr="009F6D1E">
        <w:rPr>
          <w:rFonts w:eastAsia="Times New Roman" w:cs="Times New Roman"/>
          <w:szCs w:val="24"/>
        </w:rPr>
        <w:t>склонови</w:t>
      </w:r>
      <w:proofErr w:type="spellEnd"/>
      <w:r w:rsidRPr="009F6D1E">
        <w:rPr>
          <w:rFonts w:eastAsia="Times New Roman" w:cs="Times New Roman"/>
          <w:szCs w:val="24"/>
        </w:rPr>
        <w:t xml:space="preserve"> с букови </w:t>
      </w:r>
      <w:proofErr w:type="spellStart"/>
      <w:r w:rsidRPr="009F6D1E">
        <w:rPr>
          <w:rFonts w:eastAsia="Times New Roman" w:cs="Times New Roman"/>
          <w:szCs w:val="24"/>
        </w:rPr>
        <w:t>мъртвопокровни</w:t>
      </w:r>
      <w:proofErr w:type="spellEnd"/>
      <w:r w:rsidRPr="009F6D1E">
        <w:rPr>
          <w:rFonts w:eastAsia="Times New Roman" w:cs="Times New Roman"/>
          <w:szCs w:val="24"/>
        </w:rPr>
        <w:t xml:space="preserve"> гори с </w:t>
      </w:r>
      <w:proofErr w:type="spellStart"/>
      <w:r w:rsidRPr="009F6D1E">
        <w:rPr>
          <w:rFonts w:eastAsia="Times New Roman" w:cs="Times New Roman"/>
          <w:szCs w:val="24"/>
        </w:rPr>
        <w:t>подлес</w:t>
      </w:r>
      <w:proofErr w:type="spellEnd"/>
      <w:r w:rsidRPr="009F6D1E">
        <w:rPr>
          <w:rFonts w:eastAsia="Times New Roman" w:cs="Times New Roman"/>
          <w:szCs w:val="24"/>
        </w:rPr>
        <w:t xml:space="preserve"> от боровинки и малини, и </w:t>
      </w:r>
      <w:proofErr w:type="spellStart"/>
      <w:r w:rsidRPr="009F6D1E">
        <w:rPr>
          <w:rFonts w:eastAsia="Times New Roman" w:cs="Times New Roman"/>
          <w:szCs w:val="24"/>
        </w:rPr>
        <w:t>денудационно</w:t>
      </w:r>
      <w:proofErr w:type="spellEnd"/>
      <w:r w:rsidRPr="009F6D1E">
        <w:rPr>
          <w:rFonts w:eastAsia="Times New Roman" w:cs="Times New Roman"/>
          <w:szCs w:val="24"/>
        </w:rPr>
        <w:t xml:space="preserve">-ерозионни </w:t>
      </w:r>
      <w:proofErr w:type="spellStart"/>
      <w:r w:rsidRPr="009F6D1E">
        <w:rPr>
          <w:rFonts w:eastAsia="Times New Roman" w:cs="Times New Roman"/>
          <w:szCs w:val="24"/>
        </w:rPr>
        <w:t>билни</w:t>
      </w:r>
      <w:proofErr w:type="spellEnd"/>
      <w:r w:rsidRPr="009F6D1E">
        <w:rPr>
          <w:rFonts w:eastAsia="Times New Roman" w:cs="Times New Roman"/>
          <w:szCs w:val="24"/>
        </w:rPr>
        <w:t xml:space="preserve"> с букови гори и вторични ливади. В областта се забелязва ясно изразена височинна </w:t>
      </w:r>
      <w:proofErr w:type="spellStart"/>
      <w:r w:rsidRPr="009F6D1E">
        <w:rPr>
          <w:rFonts w:eastAsia="Times New Roman" w:cs="Times New Roman"/>
          <w:szCs w:val="24"/>
        </w:rPr>
        <w:t>поясност</w:t>
      </w:r>
      <w:proofErr w:type="spellEnd"/>
      <w:r w:rsidRPr="009F6D1E">
        <w:rPr>
          <w:rFonts w:eastAsia="Times New Roman" w:cs="Times New Roman"/>
          <w:szCs w:val="24"/>
        </w:rPr>
        <w:t>, която се отличава с някои особености. Често височинните пояси са развити асиметрично по северните и южните склонове поради влиянието на експозицията. Общото при всички типове, подтипове е наличието на пояс на среднопланинските горски (букови) ландшафти. Той е разположен между 800 и 1300m и има различна широчина.</w:t>
      </w:r>
    </w:p>
    <w:p w14:paraId="54C20665"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 xml:space="preserve">Среднобългарска област </w:t>
      </w:r>
      <w:r w:rsidRPr="009F6D1E">
        <w:rPr>
          <w:rFonts w:eastAsia="Times New Roman" w:cs="Times New Roman"/>
          <w:szCs w:val="24"/>
        </w:rPr>
        <w:t xml:space="preserve">– Тази област обединява териториите между Стара планина от север и Осоговска планина, Рила и Горнотракийската низина от юг. По същество към нея се отнасят по-голяма част от Задбалканските котловини, Средногорието, цялото Краище и ниските части от долината на Средна Струма, както и част от ниските ридове на Стара планина (Камъка, Чепън, </w:t>
      </w:r>
      <w:proofErr w:type="spellStart"/>
      <w:r w:rsidRPr="009F6D1E">
        <w:rPr>
          <w:rFonts w:eastAsia="Times New Roman" w:cs="Times New Roman"/>
          <w:szCs w:val="24"/>
        </w:rPr>
        <w:t>Забърге</w:t>
      </w:r>
      <w:proofErr w:type="spellEnd"/>
      <w:r w:rsidRPr="009F6D1E">
        <w:rPr>
          <w:rFonts w:eastAsia="Times New Roman" w:cs="Times New Roman"/>
          <w:szCs w:val="24"/>
        </w:rPr>
        <w:t xml:space="preserve">, </w:t>
      </w:r>
      <w:proofErr w:type="spellStart"/>
      <w:r w:rsidRPr="009F6D1E">
        <w:rPr>
          <w:rFonts w:eastAsia="Times New Roman" w:cs="Times New Roman"/>
          <w:szCs w:val="24"/>
        </w:rPr>
        <w:t>Видлич</w:t>
      </w:r>
      <w:proofErr w:type="spellEnd"/>
      <w:r w:rsidRPr="009F6D1E">
        <w:rPr>
          <w:rFonts w:eastAsia="Times New Roman" w:cs="Times New Roman"/>
          <w:szCs w:val="24"/>
        </w:rPr>
        <w:t xml:space="preserve"> и </w:t>
      </w:r>
      <w:proofErr w:type="spellStart"/>
      <w:r w:rsidRPr="009F6D1E">
        <w:rPr>
          <w:rFonts w:eastAsia="Times New Roman" w:cs="Times New Roman"/>
          <w:szCs w:val="24"/>
        </w:rPr>
        <w:t>Вучи</w:t>
      </w:r>
      <w:proofErr w:type="spellEnd"/>
      <w:r w:rsidRPr="009F6D1E">
        <w:rPr>
          <w:rFonts w:eastAsia="Times New Roman" w:cs="Times New Roman"/>
          <w:szCs w:val="24"/>
        </w:rPr>
        <w:t xml:space="preserve"> баба), те. обединява планинско-котловинните части на Висока Средна България. Областта продължава на запад извън пределите на съвременна България и достига до долината на р. Южна Морава. Тази област се характеризира с наличието на редица специфични само за нея типове ландшафти. Такива са планинските топлоумерени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и планински умерени </w:t>
      </w:r>
      <w:proofErr w:type="spellStart"/>
      <w:r w:rsidRPr="009F6D1E">
        <w:rPr>
          <w:rFonts w:eastAsia="Times New Roman" w:cs="Times New Roman"/>
          <w:szCs w:val="24"/>
        </w:rPr>
        <w:t>семиаридни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ландшафти на карбонатни терени.</w:t>
      </w:r>
    </w:p>
    <w:p w14:paraId="327C4056"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Източномакедонска област</w:t>
      </w:r>
      <w:r w:rsidRPr="009F6D1E">
        <w:rPr>
          <w:rFonts w:eastAsia="Times New Roman" w:cs="Times New Roman"/>
          <w:szCs w:val="24"/>
        </w:rPr>
        <w:t xml:space="preserve"> - в </w:t>
      </w:r>
      <w:proofErr w:type="spellStart"/>
      <w:r w:rsidRPr="009F6D1E">
        <w:rPr>
          <w:rFonts w:eastAsia="Times New Roman" w:cs="Times New Roman"/>
          <w:szCs w:val="24"/>
        </w:rPr>
        <w:t>ландшафтната</w:t>
      </w:r>
      <w:proofErr w:type="spellEnd"/>
      <w:r w:rsidRPr="009F6D1E">
        <w:rPr>
          <w:rFonts w:eastAsia="Times New Roman" w:cs="Times New Roman"/>
          <w:szCs w:val="24"/>
        </w:rPr>
        <w:t xml:space="preserve"> структура на областта се открояват два основни типа ландшафти: планински топлоумерени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и планински топлоумерени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От родовете най-широко застъпени са нископланинските и планинско-котловинните ландшафти с дъбови гори и </w:t>
      </w:r>
      <w:proofErr w:type="spellStart"/>
      <w:r w:rsidRPr="009F6D1E">
        <w:rPr>
          <w:rFonts w:eastAsia="Times New Roman" w:cs="Times New Roman"/>
          <w:szCs w:val="24"/>
        </w:rPr>
        <w:t>шибляци</w:t>
      </w:r>
      <w:proofErr w:type="spellEnd"/>
      <w:r w:rsidRPr="009F6D1E">
        <w:rPr>
          <w:rFonts w:eastAsia="Times New Roman" w:cs="Times New Roman"/>
          <w:szCs w:val="24"/>
        </w:rPr>
        <w:t>. Със значително разпространение в северните и средните части на областта е подтипът среднопланински горски,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букови и </w:t>
      </w:r>
      <w:proofErr w:type="spellStart"/>
      <w:r w:rsidRPr="009F6D1E">
        <w:rPr>
          <w:rFonts w:eastAsia="Times New Roman" w:cs="Times New Roman"/>
          <w:szCs w:val="24"/>
        </w:rPr>
        <w:t>габърови</w:t>
      </w:r>
      <w:proofErr w:type="spellEnd"/>
      <w:r w:rsidRPr="009F6D1E">
        <w:rPr>
          <w:rFonts w:eastAsia="Times New Roman" w:cs="Times New Roman"/>
          <w:szCs w:val="24"/>
        </w:rPr>
        <w:t xml:space="preserve"> гори. В най-високите части на областта е разпространен типът високопланински, </w:t>
      </w:r>
      <w:proofErr w:type="spellStart"/>
      <w:r w:rsidRPr="009F6D1E">
        <w:rPr>
          <w:rFonts w:eastAsia="Times New Roman" w:cs="Times New Roman"/>
          <w:szCs w:val="24"/>
        </w:rPr>
        <w:t>субалпийски</w:t>
      </w:r>
      <w:proofErr w:type="spellEnd"/>
      <w:r w:rsidRPr="009F6D1E">
        <w:rPr>
          <w:rFonts w:eastAsia="Times New Roman" w:cs="Times New Roman"/>
          <w:szCs w:val="24"/>
        </w:rPr>
        <w:t xml:space="preserve"> </w:t>
      </w:r>
      <w:proofErr w:type="spellStart"/>
      <w:r w:rsidRPr="009F6D1E">
        <w:rPr>
          <w:rFonts w:eastAsia="Times New Roman" w:cs="Times New Roman"/>
          <w:szCs w:val="24"/>
        </w:rPr>
        <w:t>периглациални</w:t>
      </w:r>
      <w:proofErr w:type="spellEnd"/>
      <w:r w:rsidRPr="009F6D1E">
        <w:rPr>
          <w:rFonts w:eastAsia="Times New Roman" w:cs="Times New Roman"/>
          <w:szCs w:val="24"/>
        </w:rPr>
        <w:t xml:space="preserve"> на </w:t>
      </w:r>
      <w:proofErr w:type="spellStart"/>
      <w:r w:rsidRPr="009F6D1E">
        <w:rPr>
          <w:rFonts w:eastAsia="Times New Roman" w:cs="Times New Roman"/>
          <w:szCs w:val="24"/>
        </w:rPr>
        <w:t>кристалинни</w:t>
      </w:r>
      <w:proofErr w:type="spellEnd"/>
      <w:r w:rsidRPr="009F6D1E">
        <w:rPr>
          <w:rFonts w:eastAsia="Times New Roman" w:cs="Times New Roman"/>
          <w:szCs w:val="24"/>
        </w:rPr>
        <w:t xml:space="preserve"> скали със </w:t>
      </w:r>
      <w:proofErr w:type="spellStart"/>
      <w:r w:rsidRPr="009F6D1E">
        <w:rPr>
          <w:rFonts w:eastAsia="Times New Roman" w:cs="Times New Roman"/>
          <w:szCs w:val="24"/>
        </w:rPr>
        <w:t>субалпийски</w:t>
      </w:r>
      <w:proofErr w:type="spellEnd"/>
      <w:r w:rsidRPr="009F6D1E">
        <w:rPr>
          <w:rFonts w:eastAsia="Times New Roman" w:cs="Times New Roman"/>
          <w:szCs w:val="24"/>
        </w:rPr>
        <w:t xml:space="preserve"> ливади и храсти. Структурата на ландшафтите в областта се формира преди всичко под влияние на </w:t>
      </w:r>
      <w:proofErr w:type="spellStart"/>
      <w:r w:rsidRPr="009F6D1E">
        <w:rPr>
          <w:rFonts w:eastAsia="Times New Roman" w:cs="Times New Roman"/>
          <w:szCs w:val="24"/>
        </w:rPr>
        <w:t>хипсометричните</w:t>
      </w:r>
      <w:proofErr w:type="spellEnd"/>
      <w:r w:rsidRPr="009F6D1E">
        <w:rPr>
          <w:rFonts w:eastAsia="Times New Roman" w:cs="Times New Roman"/>
          <w:szCs w:val="24"/>
        </w:rPr>
        <w:t xml:space="preserve"> различия и проявената височинна </w:t>
      </w:r>
      <w:proofErr w:type="spellStart"/>
      <w:r w:rsidRPr="009F6D1E">
        <w:rPr>
          <w:rFonts w:eastAsia="Times New Roman" w:cs="Times New Roman"/>
          <w:szCs w:val="24"/>
        </w:rPr>
        <w:t>поясност</w:t>
      </w:r>
      <w:proofErr w:type="spellEnd"/>
      <w:r w:rsidRPr="009F6D1E">
        <w:rPr>
          <w:rFonts w:eastAsia="Times New Roman" w:cs="Times New Roman"/>
          <w:szCs w:val="24"/>
        </w:rPr>
        <w:t>.</w:t>
      </w:r>
    </w:p>
    <w:p w14:paraId="63BCEF71"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Рило-Севернопиринска област</w:t>
      </w:r>
      <w:r w:rsidRPr="009F6D1E">
        <w:rPr>
          <w:rFonts w:eastAsia="Times New Roman" w:cs="Times New Roman"/>
          <w:szCs w:val="24"/>
        </w:rPr>
        <w:t xml:space="preserve"> - За областта са характерни пет типа ландшафти. В ниските западни части сравнително малък ареал заемат планинските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ландшафти, представени от рода планински-котловинни, ерозионно-</w:t>
      </w:r>
      <w:proofErr w:type="spellStart"/>
      <w:r w:rsidRPr="009F6D1E">
        <w:rPr>
          <w:rFonts w:eastAsia="Times New Roman" w:cs="Times New Roman"/>
          <w:szCs w:val="24"/>
        </w:rPr>
        <w:t>акумулативни</w:t>
      </w:r>
      <w:proofErr w:type="spellEnd"/>
      <w:r w:rsidRPr="009F6D1E">
        <w:rPr>
          <w:rFonts w:eastAsia="Times New Roman" w:cs="Times New Roman"/>
          <w:szCs w:val="24"/>
        </w:rPr>
        <w:t xml:space="preserve"> с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и дъбови гори. Над тях с широко разпространение са планинските топлоумерени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w:t>
      </w:r>
      <w:r w:rsidRPr="009F6D1E">
        <w:rPr>
          <w:rFonts w:eastAsia="Times New Roman" w:cs="Times New Roman"/>
          <w:szCs w:val="24"/>
        </w:rPr>
        <w:lastRenderedPageBreak/>
        <w:t xml:space="preserve">ландшафти, представени от подтипа - преходни към средиземноморски горски и </w:t>
      </w:r>
      <w:proofErr w:type="spellStart"/>
      <w:r w:rsidRPr="009F6D1E">
        <w:rPr>
          <w:rFonts w:eastAsia="Times New Roman" w:cs="Times New Roman"/>
          <w:szCs w:val="24"/>
        </w:rPr>
        <w:t>шиблякови</w:t>
      </w:r>
      <w:proofErr w:type="spellEnd"/>
      <w:r w:rsidRPr="009F6D1E">
        <w:rPr>
          <w:rFonts w:eastAsia="Times New Roman" w:cs="Times New Roman"/>
          <w:szCs w:val="24"/>
        </w:rPr>
        <w:t>. Доминиращият род е нископланински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дъбови гори и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който е </w:t>
      </w:r>
      <w:proofErr w:type="spellStart"/>
      <w:r w:rsidRPr="009F6D1E">
        <w:rPr>
          <w:rFonts w:eastAsia="Times New Roman" w:cs="Times New Roman"/>
          <w:szCs w:val="24"/>
        </w:rPr>
        <w:t>сивичест</w:t>
      </w:r>
      <w:proofErr w:type="spellEnd"/>
      <w:r w:rsidRPr="009F6D1E">
        <w:rPr>
          <w:rFonts w:eastAsia="Times New Roman" w:cs="Times New Roman"/>
          <w:szCs w:val="24"/>
        </w:rPr>
        <w:t xml:space="preserve"> характер на рисунъка. Планинските 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са представени от подтипа среднопланински горски, като преобладаващият род е среднопланински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букови гори с участието на черен бор и иглолистни гори. Фонов характер има типът на планинските </w:t>
      </w:r>
      <w:proofErr w:type="spellStart"/>
      <w:r w:rsidRPr="009F6D1E">
        <w:rPr>
          <w:rFonts w:eastAsia="Times New Roman" w:cs="Times New Roman"/>
          <w:szCs w:val="24"/>
        </w:rPr>
        <w:t>студеноумерени</w:t>
      </w:r>
      <w:proofErr w:type="spellEnd"/>
      <w:r w:rsidRPr="009F6D1E">
        <w:rPr>
          <w:rFonts w:eastAsia="Times New Roman" w:cs="Times New Roman"/>
          <w:szCs w:val="24"/>
        </w:rPr>
        <w:t xml:space="preserve">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представен от два подтипа: </w:t>
      </w:r>
      <w:proofErr w:type="spellStart"/>
      <w:r w:rsidRPr="009F6D1E">
        <w:rPr>
          <w:rFonts w:eastAsia="Times New Roman" w:cs="Times New Roman"/>
          <w:szCs w:val="24"/>
        </w:rPr>
        <w:t>иглолисни</w:t>
      </w:r>
      <w:proofErr w:type="spellEnd"/>
      <w:r w:rsidRPr="009F6D1E">
        <w:rPr>
          <w:rFonts w:eastAsia="Times New Roman" w:cs="Times New Roman"/>
          <w:szCs w:val="24"/>
        </w:rPr>
        <w:t xml:space="preserve"> горски и горско-храстови (</w:t>
      </w:r>
      <w:proofErr w:type="spellStart"/>
      <w:r w:rsidRPr="009F6D1E">
        <w:rPr>
          <w:rFonts w:eastAsia="Times New Roman" w:cs="Times New Roman"/>
          <w:szCs w:val="24"/>
        </w:rPr>
        <w:t>мурови</w:t>
      </w:r>
      <w:proofErr w:type="spellEnd"/>
      <w:r w:rsidRPr="009F6D1E">
        <w:rPr>
          <w:rFonts w:eastAsia="Times New Roman" w:cs="Times New Roman"/>
          <w:szCs w:val="24"/>
        </w:rPr>
        <w:t xml:space="preserve"> и клекови). Особено важно място във височинният спектър заемат високопланинските ливадни ландшафти.</w:t>
      </w:r>
    </w:p>
    <w:p w14:paraId="623AB7D6"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Западно и Среднородопска</w:t>
      </w:r>
      <w:r w:rsidRPr="009F6D1E">
        <w:rPr>
          <w:rFonts w:eastAsia="Times New Roman" w:cs="Times New Roman"/>
          <w:szCs w:val="24"/>
        </w:rPr>
        <w:t xml:space="preserve"> </w:t>
      </w:r>
      <w:r w:rsidRPr="009F6D1E">
        <w:rPr>
          <w:rFonts w:eastAsia="Times New Roman" w:cs="Times New Roman"/>
          <w:i/>
          <w:iCs/>
          <w:szCs w:val="24"/>
        </w:rPr>
        <w:t>област</w:t>
      </w:r>
      <w:r w:rsidRPr="009F6D1E">
        <w:rPr>
          <w:rFonts w:eastAsia="Times New Roman" w:cs="Times New Roman"/>
          <w:szCs w:val="24"/>
        </w:rPr>
        <w:t xml:space="preserve"> – Западно и Среднородопската област се характеризира с особено разпределение на типовете ландшафти. Доминиращо значение имат планинските </w:t>
      </w:r>
      <w:proofErr w:type="spellStart"/>
      <w:r w:rsidRPr="009F6D1E">
        <w:rPr>
          <w:rFonts w:eastAsia="Times New Roman" w:cs="Times New Roman"/>
          <w:szCs w:val="24"/>
        </w:rPr>
        <w:t>студеноумерени</w:t>
      </w:r>
      <w:proofErr w:type="spellEnd"/>
      <w:r w:rsidRPr="009F6D1E">
        <w:rPr>
          <w:rFonts w:eastAsia="Times New Roman" w:cs="Times New Roman"/>
          <w:szCs w:val="24"/>
        </w:rPr>
        <w:t xml:space="preserve">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Те заемат много големи територии, разположени върху </w:t>
      </w:r>
      <w:proofErr w:type="spellStart"/>
      <w:r w:rsidRPr="009F6D1E">
        <w:rPr>
          <w:rFonts w:eastAsia="Times New Roman" w:cs="Times New Roman"/>
          <w:szCs w:val="24"/>
        </w:rPr>
        <w:t>билната</w:t>
      </w:r>
      <w:proofErr w:type="spellEnd"/>
      <w:r w:rsidRPr="009F6D1E">
        <w:rPr>
          <w:rFonts w:eastAsia="Times New Roman" w:cs="Times New Roman"/>
          <w:szCs w:val="24"/>
        </w:rPr>
        <w:t xml:space="preserve"> и втората под нея </w:t>
      </w:r>
      <w:proofErr w:type="spellStart"/>
      <w:r w:rsidRPr="009F6D1E">
        <w:rPr>
          <w:rFonts w:eastAsia="Times New Roman" w:cs="Times New Roman"/>
          <w:szCs w:val="24"/>
        </w:rPr>
        <w:t>денудационна</w:t>
      </w:r>
      <w:proofErr w:type="spellEnd"/>
      <w:r w:rsidRPr="009F6D1E">
        <w:rPr>
          <w:rFonts w:eastAsia="Times New Roman" w:cs="Times New Roman"/>
          <w:szCs w:val="24"/>
        </w:rPr>
        <w:t xml:space="preserve"> повърхнина, като в северна посока техния ареал се понижава до към 900-1000 m. т 900-1000 п. На второ място е типът на - умерените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ландшафти, но той - се явява в разкъсани ареали. Голяма част от северния и източния склон и дълбоко по долините на реките навътре в планината са заети от хълмистите топлоумерени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ландшафти, характеризиращи се със </w:t>
      </w:r>
      <w:proofErr w:type="spellStart"/>
      <w:r w:rsidRPr="009F6D1E">
        <w:rPr>
          <w:rFonts w:eastAsia="Times New Roman" w:cs="Times New Roman"/>
          <w:szCs w:val="24"/>
        </w:rPr>
        <w:t>субсредиземноморска</w:t>
      </w:r>
      <w:proofErr w:type="spellEnd"/>
      <w:r w:rsidRPr="009F6D1E">
        <w:rPr>
          <w:rFonts w:eastAsia="Times New Roman" w:cs="Times New Roman"/>
          <w:szCs w:val="24"/>
        </w:rPr>
        <w:t xml:space="preserve"> - горска и </w:t>
      </w:r>
      <w:proofErr w:type="spellStart"/>
      <w:r w:rsidRPr="009F6D1E">
        <w:rPr>
          <w:rFonts w:eastAsia="Times New Roman" w:cs="Times New Roman"/>
          <w:szCs w:val="24"/>
        </w:rPr>
        <w:t>шиблякова</w:t>
      </w:r>
      <w:proofErr w:type="spellEnd"/>
      <w:r w:rsidRPr="009F6D1E">
        <w:rPr>
          <w:rFonts w:eastAsia="Times New Roman" w:cs="Times New Roman"/>
          <w:szCs w:val="24"/>
        </w:rPr>
        <w:t xml:space="preserve"> растителност.</w:t>
      </w:r>
    </w:p>
    <w:p w14:paraId="01AB7B44"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Беласишко-Южнопиринска област</w:t>
      </w:r>
      <w:r w:rsidRPr="009F6D1E">
        <w:rPr>
          <w:rFonts w:eastAsia="Times New Roman" w:cs="Times New Roman"/>
          <w:szCs w:val="24"/>
        </w:rPr>
        <w:t xml:space="preserve"> - По-голямата част от областта е разположена на територията на днешните републики Гърция и Македония. В пределите на България тя включва Санданско-Петричката и Гоцеделчевската котловина, част от областта Чеч и ниската планина Стъргач, както и Беласишки, Славянски и </w:t>
      </w:r>
      <w:proofErr w:type="spellStart"/>
      <w:r w:rsidRPr="009F6D1E">
        <w:rPr>
          <w:rFonts w:eastAsia="Times New Roman" w:cs="Times New Roman"/>
          <w:szCs w:val="24"/>
        </w:rPr>
        <w:t>Орелякски</w:t>
      </w:r>
      <w:proofErr w:type="spellEnd"/>
      <w:r w:rsidRPr="009F6D1E">
        <w:rPr>
          <w:rFonts w:eastAsia="Times New Roman" w:cs="Times New Roman"/>
          <w:szCs w:val="24"/>
        </w:rPr>
        <w:t xml:space="preserve"> планински масиви. Към нея се отнасят и териториите на ниските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ландшафти на Огражден, Малешевска планина и Северен Пирин.  Значителните </w:t>
      </w:r>
      <w:proofErr w:type="spellStart"/>
      <w:r w:rsidRPr="009F6D1E">
        <w:rPr>
          <w:rFonts w:eastAsia="Times New Roman" w:cs="Times New Roman"/>
          <w:szCs w:val="24"/>
        </w:rPr>
        <w:t>хипсометрични</w:t>
      </w:r>
      <w:proofErr w:type="spellEnd"/>
      <w:r w:rsidRPr="009F6D1E">
        <w:rPr>
          <w:rFonts w:eastAsia="Times New Roman" w:cs="Times New Roman"/>
          <w:szCs w:val="24"/>
        </w:rPr>
        <w:t xml:space="preserve"> различия от близо 2000 m са обусловили наличието на 6 основни типа ландшафти, от които с доминиращо значение са котловинните средиземноморски </w:t>
      </w:r>
      <w:proofErr w:type="spellStart"/>
      <w:r w:rsidRPr="009F6D1E">
        <w:rPr>
          <w:rFonts w:eastAsia="Times New Roman" w:cs="Times New Roman"/>
          <w:szCs w:val="24"/>
        </w:rPr>
        <w:t>псевдомаквисови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шиблякови</w:t>
      </w:r>
      <w:proofErr w:type="spellEnd"/>
      <w:r w:rsidRPr="009F6D1E">
        <w:rPr>
          <w:rFonts w:eastAsia="Times New Roman" w:cs="Times New Roman"/>
          <w:szCs w:val="24"/>
        </w:rPr>
        <w:t xml:space="preserve"> и хълмистите и нископланински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ландшафти. Те имат сложна хоризонтална структура, обусловена както от природни, така и от антропогенни фактори.</w:t>
      </w:r>
    </w:p>
    <w:p w14:paraId="2AA4901C"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Останалите типове ландшафти (планинските </w:t>
      </w:r>
      <w:proofErr w:type="spellStart"/>
      <w:r w:rsidRPr="009F6D1E">
        <w:rPr>
          <w:rFonts w:eastAsia="Times New Roman" w:cs="Times New Roman"/>
          <w:szCs w:val="24"/>
        </w:rPr>
        <w:t>умеренотопли</w:t>
      </w:r>
      <w:proofErr w:type="spellEnd"/>
      <w:r w:rsidRPr="009F6D1E">
        <w:rPr>
          <w:rFonts w:eastAsia="Times New Roman" w:cs="Times New Roman"/>
          <w:szCs w:val="24"/>
        </w:rPr>
        <w:t xml:space="preserve">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xml:space="preserve">, среднопланинските умерени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планинските </w:t>
      </w:r>
      <w:proofErr w:type="spellStart"/>
      <w:r w:rsidRPr="009F6D1E">
        <w:rPr>
          <w:rFonts w:eastAsia="Times New Roman" w:cs="Times New Roman"/>
          <w:szCs w:val="24"/>
        </w:rPr>
        <w:t>студеноумерени</w:t>
      </w:r>
      <w:proofErr w:type="spellEnd"/>
      <w:r w:rsidRPr="009F6D1E">
        <w:rPr>
          <w:rFonts w:eastAsia="Times New Roman" w:cs="Times New Roman"/>
          <w:szCs w:val="24"/>
        </w:rPr>
        <w:t xml:space="preserve">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и високопланинските </w:t>
      </w:r>
      <w:proofErr w:type="spellStart"/>
      <w:r w:rsidRPr="009F6D1E">
        <w:rPr>
          <w:rFonts w:eastAsia="Times New Roman" w:cs="Times New Roman"/>
          <w:szCs w:val="24"/>
        </w:rPr>
        <w:t>субалпийски</w:t>
      </w:r>
      <w:proofErr w:type="spellEnd"/>
      <w:r w:rsidRPr="009F6D1E">
        <w:rPr>
          <w:rFonts w:eastAsia="Times New Roman" w:cs="Times New Roman"/>
          <w:szCs w:val="24"/>
        </w:rPr>
        <w:t xml:space="preserve">) са разположени по склоновете на планините. </w:t>
      </w:r>
    </w:p>
    <w:p w14:paraId="063942B1"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Горнотракийско-Тунджанска</w:t>
      </w:r>
      <w:r w:rsidRPr="009F6D1E">
        <w:rPr>
          <w:rFonts w:eastAsia="Times New Roman" w:cs="Times New Roman"/>
          <w:szCs w:val="24"/>
        </w:rPr>
        <w:t xml:space="preserve"> </w:t>
      </w:r>
      <w:r w:rsidRPr="009F6D1E">
        <w:rPr>
          <w:rFonts w:eastAsia="Times New Roman" w:cs="Times New Roman"/>
          <w:i/>
          <w:iCs/>
          <w:szCs w:val="24"/>
        </w:rPr>
        <w:t>област</w:t>
      </w:r>
      <w:r w:rsidRPr="009F6D1E">
        <w:rPr>
          <w:rFonts w:eastAsia="Times New Roman" w:cs="Times New Roman"/>
          <w:szCs w:val="24"/>
        </w:rPr>
        <w:t xml:space="preserve"> – с най-широко разпространение в тази област са типовете равнинни и хълмисти топлоумерени </w:t>
      </w:r>
      <w:proofErr w:type="spellStart"/>
      <w:r w:rsidRPr="009F6D1E">
        <w:rPr>
          <w:rFonts w:eastAsia="Times New Roman" w:cs="Times New Roman"/>
          <w:szCs w:val="24"/>
        </w:rPr>
        <w:t>семиаридни</w:t>
      </w:r>
      <w:proofErr w:type="spellEnd"/>
      <w:r w:rsidRPr="009F6D1E">
        <w:rPr>
          <w:rFonts w:eastAsia="Times New Roman" w:cs="Times New Roman"/>
          <w:szCs w:val="24"/>
        </w:rPr>
        <w:t xml:space="preserve">  ландшафти. В по-ниските части доминират два рода – </w:t>
      </w:r>
      <w:proofErr w:type="spellStart"/>
      <w:r w:rsidRPr="009F6D1E">
        <w:rPr>
          <w:rFonts w:eastAsia="Times New Roman" w:cs="Times New Roman"/>
          <w:szCs w:val="24"/>
        </w:rPr>
        <w:t>акумулативно</w:t>
      </w:r>
      <w:proofErr w:type="spellEnd"/>
      <w:r w:rsidRPr="009F6D1E">
        <w:rPr>
          <w:rFonts w:eastAsia="Times New Roman" w:cs="Times New Roman"/>
          <w:szCs w:val="24"/>
        </w:rPr>
        <w:t xml:space="preserve">-терасни със степи,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и рядко дъбови гори и </w:t>
      </w:r>
      <w:proofErr w:type="spellStart"/>
      <w:r w:rsidRPr="009F6D1E">
        <w:rPr>
          <w:rFonts w:eastAsia="Times New Roman" w:cs="Times New Roman"/>
          <w:szCs w:val="24"/>
        </w:rPr>
        <w:t>низинно</w:t>
      </w:r>
      <w:proofErr w:type="spellEnd"/>
      <w:r w:rsidRPr="009F6D1E">
        <w:rPr>
          <w:rFonts w:eastAsia="Times New Roman" w:cs="Times New Roman"/>
          <w:szCs w:val="24"/>
        </w:rPr>
        <w:t>-равнинни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ландшафти със степи и разредени дъбови гори. В по-високите части са разпространени хълмистите и хълмисто предпланинските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ландшафти с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и рядко дъбови гори. На много малко места в областта се е запазила естествената растителност, като </w:t>
      </w:r>
      <w:proofErr w:type="spellStart"/>
      <w:r w:rsidRPr="009F6D1E">
        <w:rPr>
          <w:rFonts w:eastAsia="Times New Roman" w:cs="Times New Roman"/>
          <w:szCs w:val="24"/>
        </w:rPr>
        <w:t>агрофитоценозите</w:t>
      </w:r>
      <w:proofErr w:type="spellEnd"/>
      <w:r w:rsidRPr="009F6D1E">
        <w:rPr>
          <w:rFonts w:eastAsia="Times New Roman" w:cs="Times New Roman"/>
          <w:szCs w:val="24"/>
        </w:rPr>
        <w:t xml:space="preserve"> са разпространени повсеместно.</w:t>
      </w:r>
    </w:p>
    <w:p w14:paraId="5DC0337A"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lastRenderedPageBreak/>
        <w:t>Източнородопско-Сакарска</w:t>
      </w:r>
      <w:r w:rsidRPr="009F6D1E">
        <w:rPr>
          <w:rFonts w:eastAsia="Times New Roman" w:cs="Times New Roman"/>
          <w:szCs w:val="24"/>
        </w:rPr>
        <w:t xml:space="preserve"> </w:t>
      </w:r>
      <w:r w:rsidRPr="009F6D1E">
        <w:rPr>
          <w:rFonts w:eastAsia="Times New Roman" w:cs="Times New Roman"/>
          <w:i/>
          <w:iCs/>
          <w:szCs w:val="24"/>
        </w:rPr>
        <w:t>област</w:t>
      </w:r>
      <w:r w:rsidRPr="009F6D1E">
        <w:rPr>
          <w:rFonts w:eastAsia="Times New Roman" w:cs="Times New Roman"/>
          <w:szCs w:val="24"/>
        </w:rPr>
        <w:t xml:space="preserve"> – в тази област преобладава хълмистият и нископланинският релеф. Ясно е изразено средиземноморското климатично влияние, водещо до формиране на топлоумерени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ландшафти. Въпреки сравнително малката си площ областта се отличава с голямо </w:t>
      </w:r>
      <w:proofErr w:type="spellStart"/>
      <w:r w:rsidRPr="009F6D1E">
        <w:rPr>
          <w:rFonts w:eastAsia="Times New Roman" w:cs="Times New Roman"/>
          <w:szCs w:val="24"/>
        </w:rPr>
        <w:t>ландшафтно</w:t>
      </w:r>
      <w:proofErr w:type="spellEnd"/>
      <w:r w:rsidRPr="009F6D1E">
        <w:rPr>
          <w:rFonts w:eastAsia="Times New Roman" w:cs="Times New Roman"/>
          <w:szCs w:val="24"/>
        </w:rPr>
        <w:t xml:space="preserve"> разнообразие. Тук са развити 2 класа, 6 типа и 11 рода ландшафти, което се дължи на континентално-средиземноморският и преходно-континенталният климат и преобладаващите </w:t>
      </w:r>
      <w:proofErr w:type="spellStart"/>
      <w:r w:rsidRPr="009F6D1E">
        <w:rPr>
          <w:rFonts w:eastAsia="Times New Roman" w:cs="Times New Roman"/>
          <w:szCs w:val="24"/>
        </w:rPr>
        <w:t>интрузивни</w:t>
      </w:r>
      <w:proofErr w:type="spellEnd"/>
      <w:r w:rsidRPr="009F6D1E">
        <w:rPr>
          <w:rFonts w:eastAsia="Times New Roman" w:cs="Times New Roman"/>
          <w:szCs w:val="24"/>
        </w:rPr>
        <w:t xml:space="preserve">, </w:t>
      </w:r>
      <w:proofErr w:type="spellStart"/>
      <w:r w:rsidRPr="009F6D1E">
        <w:rPr>
          <w:rFonts w:eastAsia="Times New Roman" w:cs="Times New Roman"/>
          <w:szCs w:val="24"/>
        </w:rPr>
        <w:t>вулканогенни</w:t>
      </w:r>
      <w:proofErr w:type="spellEnd"/>
      <w:r w:rsidRPr="009F6D1E">
        <w:rPr>
          <w:rFonts w:eastAsia="Times New Roman" w:cs="Times New Roman"/>
          <w:szCs w:val="24"/>
        </w:rPr>
        <w:t xml:space="preserve"> и седиментни скали.</w:t>
      </w:r>
    </w:p>
    <w:p w14:paraId="3183AB7C" w14:textId="77777777" w:rsidR="000F318E" w:rsidRPr="009F6D1E" w:rsidRDefault="000F318E" w:rsidP="00377283">
      <w:pPr>
        <w:tabs>
          <w:tab w:val="left" w:pos="993"/>
        </w:tabs>
        <w:spacing w:after="60" w:line="264" w:lineRule="auto"/>
        <w:ind w:firstLine="720"/>
        <w:jc w:val="both"/>
        <w:rPr>
          <w:rFonts w:eastAsia="Times New Roman" w:cs="Times New Roman"/>
          <w:szCs w:val="24"/>
        </w:rPr>
      </w:pPr>
      <w:proofErr w:type="spellStart"/>
      <w:r w:rsidRPr="009F6D1E">
        <w:rPr>
          <w:rFonts w:eastAsia="Times New Roman" w:cs="Times New Roman"/>
          <w:i/>
          <w:iCs/>
          <w:szCs w:val="24"/>
        </w:rPr>
        <w:t>Долнотракийска</w:t>
      </w:r>
      <w:proofErr w:type="spellEnd"/>
      <w:r w:rsidRPr="009F6D1E">
        <w:rPr>
          <w:rFonts w:eastAsia="Times New Roman" w:cs="Times New Roman"/>
          <w:i/>
          <w:iCs/>
          <w:szCs w:val="24"/>
        </w:rPr>
        <w:t xml:space="preserve"> област</w:t>
      </w:r>
      <w:r w:rsidRPr="009F6D1E">
        <w:rPr>
          <w:rFonts w:eastAsia="Times New Roman" w:cs="Times New Roman"/>
          <w:szCs w:val="24"/>
        </w:rPr>
        <w:t xml:space="preserve"> - Това е най-малката по обхват област, но с най-добре представени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и наличие на фрагментарно разпространени средиземноморски ландшафти, с преобладаващ равнинен и хълмист релеф. По долините на реките Бяла, Арда, Марица и Тунджа в долните им течения под влияние на </w:t>
      </w:r>
      <w:proofErr w:type="spellStart"/>
      <w:r w:rsidRPr="009F6D1E">
        <w:rPr>
          <w:rFonts w:eastAsia="Times New Roman" w:cs="Times New Roman"/>
          <w:szCs w:val="24"/>
        </w:rPr>
        <w:t>Егейиския</w:t>
      </w:r>
      <w:proofErr w:type="spellEnd"/>
      <w:r w:rsidRPr="009F6D1E">
        <w:rPr>
          <w:rFonts w:eastAsia="Times New Roman" w:cs="Times New Roman"/>
          <w:szCs w:val="24"/>
        </w:rPr>
        <w:t xml:space="preserve"> басейн се формира </w:t>
      </w:r>
      <w:proofErr w:type="spellStart"/>
      <w:r w:rsidRPr="009F6D1E">
        <w:rPr>
          <w:rFonts w:eastAsia="Times New Roman" w:cs="Times New Roman"/>
          <w:szCs w:val="24"/>
        </w:rPr>
        <w:t>ландшафтна</w:t>
      </w:r>
      <w:proofErr w:type="spellEnd"/>
      <w:r w:rsidRPr="009F6D1E">
        <w:rPr>
          <w:rFonts w:eastAsia="Times New Roman" w:cs="Times New Roman"/>
          <w:szCs w:val="24"/>
        </w:rPr>
        <w:t xml:space="preserve"> структура, която е коренно различна от тази на граничещите с нея Източнородопско-Сакарска и Горнотракийско-Тунджанска области.</w:t>
      </w:r>
    </w:p>
    <w:p w14:paraId="2356778F"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Странджанска област</w:t>
      </w:r>
      <w:r w:rsidRPr="009F6D1E">
        <w:rPr>
          <w:rFonts w:eastAsia="Times New Roman" w:cs="Times New Roman"/>
          <w:szCs w:val="24"/>
        </w:rPr>
        <w:t xml:space="preserve"> - Доминантен тип ландшафти са равнинни и хълмисти </w:t>
      </w:r>
      <w:proofErr w:type="spellStart"/>
      <w:r w:rsidRPr="009F6D1E">
        <w:rPr>
          <w:rFonts w:eastAsia="Times New Roman" w:cs="Times New Roman"/>
          <w:szCs w:val="24"/>
        </w:rPr>
        <w:t>субсредиземноморски</w:t>
      </w:r>
      <w:proofErr w:type="spellEnd"/>
      <w:r w:rsidRPr="009F6D1E">
        <w:rPr>
          <w:rFonts w:eastAsia="Times New Roman" w:cs="Times New Roman"/>
          <w:szCs w:val="24"/>
        </w:rPr>
        <w:t xml:space="preserve"> </w:t>
      </w:r>
      <w:proofErr w:type="spellStart"/>
      <w:r w:rsidRPr="009F6D1E">
        <w:rPr>
          <w:rFonts w:eastAsia="Times New Roman" w:cs="Times New Roman"/>
          <w:szCs w:val="24"/>
        </w:rPr>
        <w:t>семихумидни</w:t>
      </w:r>
      <w:proofErr w:type="spellEnd"/>
      <w:r w:rsidRPr="009F6D1E">
        <w:rPr>
          <w:rFonts w:eastAsia="Times New Roman" w:cs="Times New Roman"/>
          <w:szCs w:val="24"/>
        </w:rPr>
        <w:t>, а подтип - преходни към понтийски (</w:t>
      </w:r>
      <w:proofErr w:type="spellStart"/>
      <w:r w:rsidRPr="009F6D1E">
        <w:rPr>
          <w:rFonts w:eastAsia="Times New Roman" w:cs="Times New Roman"/>
          <w:szCs w:val="24"/>
        </w:rPr>
        <w:t>колхидски</w:t>
      </w:r>
      <w:proofErr w:type="spellEnd"/>
      <w:r w:rsidRPr="009F6D1E">
        <w:rPr>
          <w:rFonts w:eastAsia="Times New Roman" w:cs="Times New Roman"/>
          <w:szCs w:val="24"/>
        </w:rPr>
        <w:t>). В него са диференцирани 4 рода ландшафти. От тях доминанти са предпланинско-хълмисти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дъбови гори и </w:t>
      </w:r>
      <w:proofErr w:type="spellStart"/>
      <w:r w:rsidRPr="009F6D1E">
        <w:rPr>
          <w:rFonts w:eastAsia="Times New Roman" w:cs="Times New Roman"/>
          <w:szCs w:val="24"/>
        </w:rPr>
        <w:t>шибляци</w:t>
      </w:r>
      <w:proofErr w:type="spellEnd"/>
      <w:r w:rsidRPr="009F6D1E">
        <w:rPr>
          <w:rFonts w:eastAsia="Times New Roman" w:cs="Times New Roman"/>
          <w:szCs w:val="24"/>
        </w:rPr>
        <w:t>, които е развит в северните и западните части, и предпланинско-хълмисти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букови гори, мъртва горска покривка с храсти от вълче лико, дива мушмула във </w:t>
      </w:r>
      <w:proofErr w:type="spellStart"/>
      <w:r w:rsidRPr="009F6D1E">
        <w:rPr>
          <w:rFonts w:eastAsia="Times New Roman" w:cs="Times New Roman"/>
          <w:szCs w:val="24"/>
        </w:rPr>
        <w:t>вътрешноста</w:t>
      </w:r>
      <w:proofErr w:type="spellEnd"/>
      <w:r w:rsidRPr="009F6D1E">
        <w:rPr>
          <w:rFonts w:eastAsia="Times New Roman" w:cs="Times New Roman"/>
          <w:szCs w:val="24"/>
        </w:rPr>
        <w:t xml:space="preserve"> на областта. Другите родове от този тип имат по-ограничена площ. Родът хълмисти ерозионно-</w:t>
      </w:r>
      <w:proofErr w:type="spellStart"/>
      <w:r w:rsidRPr="009F6D1E">
        <w:rPr>
          <w:rFonts w:eastAsia="Times New Roman" w:cs="Times New Roman"/>
          <w:szCs w:val="24"/>
        </w:rPr>
        <w:t>денудационни</w:t>
      </w:r>
      <w:proofErr w:type="spellEnd"/>
      <w:r w:rsidRPr="009F6D1E">
        <w:rPr>
          <w:rFonts w:eastAsia="Times New Roman" w:cs="Times New Roman"/>
          <w:szCs w:val="24"/>
        </w:rPr>
        <w:t xml:space="preserve"> с дъбови гори с голямо участие на средиземноморски елементи и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изгражда частта от Странджа -Босна, а родът предпланински-хълмисти карстови с дъбови и букови гори и храсталаци от келяв габър се среща на места в Граничния рид. Другият подтип е преходен към средиземноморски и </w:t>
      </w:r>
      <w:proofErr w:type="spellStart"/>
      <w:r w:rsidRPr="009F6D1E">
        <w:rPr>
          <w:rFonts w:eastAsia="Times New Roman" w:cs="Times New Roman"/>
          <w:szCs w:val="24"/>
        </w:rPr>
        <w:t>шибляци</w:t>
      </w:r>
      <w:proofErr w:type="spellEnd"/>
      <w:r w:rsidRPr="009F6D1E">
        <w:rPr>
          <w:rFonts w:eastAsia="Times New Roman" w:cs="Times New Roman"/>
          <w:szCs w:val="24"/>
        </w:rPr>
        <w:t xml:space="preserve">. Разпространен е в северните части на областта в близост до Бургаската низина. По долините на реките Ропотамо, Дяволска и на юг от Приморско са развити ландшафти от рода </w:t>
      </w:r>
      <w:proofErr w:type="spellStart"/>
      <w:r w:rsidRPr="009F6D1E">
        <w:rPr>
          <w:rFonts w:eastAsia="Times New Roman" w:cs="Times New Roman"/>
          <w:szCs w:val="24"/>
        </w:rPr>
        <w:t>низинни</w:t>
      </w:r>
      <w:proofErr w:type="spellEnd"/>
      <w:r w:rsidRPr="009F6D1E">
        <w:rPr>
          <w:rFonts w:eastAsia="Times New Roman" w:cs="Times New Roman"/>
          <w:szCs w:val="24"/>
        </w:rPr>
        <w:t xml:space="preserve"> и долинни </w:t>
      </w:r>
      <w:proofErr w:type="spellStart"/>
      <w:r w:rsidRPr="009F6D1E">
        <w:rPr>
          <w:rFonts w:eastAsia="Times New Roman" w:cs="Times New Roman"/>
          <w:szCs w:val="24"/>
        </w:rPr>
        <w:t>акумулативни</w:t>
      </w:r>
      <w:proofErr w:type="spellEnd"/>
      <w:r w:rsidRPr="009F6D1E">
        <w:rPr>
          <w:rFonts w:eastAsia="Times New Roman" w:cs="Times New Roman"/>
          <w:szCs w:val="24"/>
        </w:rPr>
        <w:t xml:space="preserve"> с тополи, върби, елша и </w:t>
      </w:r>
      <w:proofErr w:type="spellStart"/>
      <w:r w:rsidRPr="009F6D1E">
        <w:rPr>
          <w:rFonts w:eastAsia="Times New Roman" w:cs="Times New Roman"/>
          <w:szCs w:val="24"/>
        </w:rPr>
        <w:t>лонгозни</w:t>
      </w:r>
      <w:proofErr w:type="spellEnd"/>
      <w:r w:rsidRPr="009F6D1E">
        <w:rPr>
          <w:rFonts w:eastAsia="Times New Roman" w:cs="Times New Roman"/>
          <w:szCs w:val="24"/>
        </w:rPr>
        <w:t xml:space="preserve"> гори, които се отнася към тип </w:t>
      </w:r>
      <w:proofErr w:type="spellStart"/>
      <w:r w:rsidRPr="009F6D1E">
        <w:rPr>
          <w:rFonts w:eastAsia="Times New Roman" w:cs="Times New Roman"/>
          <w:szCs w:val="24"/>
        </w:rPr>
        <w:t>хидроморфни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субхидроморфни</w:t>
      </w:r>
      <w:proofErr w:type="spellEnd"/>
      <w:r w:rsidRPr="009F6D1E">
        <w:rPr>
          <w:rFonts w:eastAsia="Times New Roman" w:cs="Times New Roman"/>
          <w:szCs w:val="24"/>
        </w:rPr>
        <w:t xml:space="preserve">. Ландшафтите, които придават специфичност на областта, са субтропичните. Те са два типа в зависимост от </w:t>
      </w:r>
      <w:proofErr w:type="spellStart"/>
      <w:r w:rsidRPr="009F6D1E">
        <w:rPr>
          <w:rFonts w:eastAsia="Times New Roman" w:cs="Times New Roman"/>
          <w:szCs w:val="24"/>
        </w:rPr>
        <w:t>хипсометрията</w:t>
      </w:r>
      <w:proofErr w:type="spellEnd"/>
      <w:r w:rsidRPr="009F6D1E">
        <w:rPr>
          <w:rFonts w:eastAsia="Times New Roman" w:cs="Times New Roman"/>
          <w:szCs w:val="24"/>
        </w:rPr>
        <w:t xml:space="preserve"> - субтропични </w:t>
      </w:r>
      <w:proofErr w:type="spellStart"/>
      <w:r w:rsidRPr="009F6D1E">
        <w:rPr>
          <w:rFonts w:eastAsia="Times New Roman" w:cs="Times New Roman"/>
          <w:szCs w:val="24"/>
        </w:rPr>
        <w:t>хумидни</w:t>
      </w:r>
      <w:proofErr w:type="spellEnd"/>
      <w:r w:rsidRPr="009F6D1E">
        <w:rPr>
          <w:rFonts w:eastAsia="Times New Roman" w:cs="Times New Roman"/>
          <w:szCs w:val="24"/>
        </w:rPr>
        <w:t xml:space="preserve">, съответно хълмисти и планински. </w:t>
      </w:r>
    </w:p>
    <w:p w14:paraId="473575AD"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i/>
          <w:iCs/>
          <w:szCs w:val="24"/>
        </w:rPr>
        <w:t>Черноморска област</w:t>
      </w:r>
      <w:r w:rsidRPr="009F6D1E">
        <w:rPr>
          <w:rFonts w:eastAsia="Times New Roman" w:cs="Times New Roman"/>
          <w:szCs w:val="24"/>
        </w:rPr>
        <w:t xml:space="preserve"> - Черноморската област показва съществени различия по отношение на типовете, родовете и видовете ландшафти. В зависимост от влиянието на Черно море отделните части на областта са с различен териториален обхват. </w:t>
      </w:r>
    </w:p>
    <w:p w14:paraId="68F047AF"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proofErr w:type="spellStart"/>
      <w:r w:rsidRPr="009F6D1E">
        <w:rPr>
          <w:rFonts w:eastAsia="Times New Roman" w:cs="Times New Roman"/>
          <w:szCs w:val="24"/>
        </w:rPr>
        <w:t>Морфоложките</w:t>
      </w:r>
      <w:proofErr w:type="spellEnd"/>
      <w:r w:rsidRPr="009F6D1E">
        <w:rPr>
          <w:rFonts w:eastAsia="Times New Roman" w:cs="Times New Roman"/>
          <w:szCs w:val="24"/>
        </w:rPr>
        <w:t xml:space="preserve"> особености на крайбрежието и отслабването на влиянието на Средиземно море на север са главната причина в хоризонталната структура на ландшафтите да съществува голяма сложност. Сложността на структурата се  увеличава на ниво вид ландшафт поради наличието на множество </w:t>
      </w:r>
      <w:proofErr w:type="spellStart"/>
      <w:r w:rsidRPr="009F6D1E">
        <w:rPr>
          <w:rFonts w:eastAsia="Times New Roman" w:cs="Times New Roman"/>
          <w:szCs w:val="24"/>
        </w:rPr>
        <w:t>азонални</w:t>
      </w:r>
      <w:proofErr w:type="spellEnd"/>
      <w:r w:rsidRPr="009F6D1E">
        <w:rPr>
          <w:rFonts w:eastAsia="Times New Roman" w:cs="Times New Roman"/>
          <w:szCs w:val="24"/>
        </w:rPr>
        <w:t xml:space="preserve"> видове, между които карстови ландшафти с открит, </w:t>
      </w:r>
      <w:proofErr w:type="spellStart"/>
      <w:r w:rsidRPr="009F6D1E">
        <w:rPr>
          <w:rFonts w:eastAsia="Times New Roman" w:cs="Times New Roman"/>
          <w:szCs w:val="24"/>
        </w:rPr>
        <w:t>зачимен</w:t>
      </w:r>
      <w:proofErr w:type="spellEnd"/>
      <w:r w:rsidRPr="009F6D1E">
        <w:rPr>
          <w:rFonts w:eastAsia="Times New Roman" w:cs="Times New Roman"/>
          <w:szCs w:val="24"/>
        </w:rPr>
        <w:t xml:space="preserve"> и покрит </w:t>
      </w:r>
      <w:proofErr w:type="spellStart"/>
      <w:r w:rsidRPr="009F6D1E">
        <w:rPr>
          <w:rFonts w:eastAsia="Times New Roman" w:cs="Times New Roman"/>
          <w:szCs w:val="24"/>
        </w:rPr>
        <w:t>карст</w:t>
      </w:r>
      <w:proofErr w:type="spellEnd"/>
      <w:r w:rsidRPr="009F6D1E">
        <w:rPr>
          <w:rFonts w:eastAsia="Times New Roman" w:cs="Times New Roman"/>
          <w:szCs w:val="24"/>
        </w:rPr>
        <w:t xml:space="preserve">, </w:t>
      </w:r>
      <w:proofErr w:type="spellStart"/>
      <w:r w:rsidRPr="009F6D1E">
        <w:rPr>
          <w:rFonts w:eastAsia="Times New Roman" w:cs="Times New Roman"/>
          <w:szCs w:val="24"/>
        </w:rPr>
        <w:t>свлачищни</w:t>
      </w:r>
      <w:proofErr w:type="spellEnd"/>
      <w:r w:rsidRPr="009F6D1E">
        <w:rPr>
          <w:rFonts w:eastAsia="Times New Roman" w:cs="Times New Roman"/>
          <w:szCs w:val="24"/>
        </w:rPr>
        <w:t xml:space="preserve"> ландшафти и др. </w:t>
      </w:r>
    </w:p>
    <w:p w14:paraId="64FAFC9B" w14:textId="77777777" w:rsidR="000F318E" w:rsidRPr="009F6D1E" w:rsidRDefault="000F318E"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За разлика от другите области типът </w:t>
      </w:r>
      <w:proofErr w:type="spellStart"/>
      <w:r w:rsidRPr="009F6D1E">
        <w:rPr>
          <w:rFonts w:eastAsia="Times New Roman" w:cs="Times New Roman"/>
          <w:szCs w:val="24"/>
        </w:rPr>
        <w:t>хидроморфни</w:t>
      </w:r>
      <w:proofErr w:type="spellEnd"/>
      <w:r w:rsidRPr="009F6D1E">
        <w:rPr>
          <w:rFonts w:eastAsia="Times New Roman" w:cs="Times New Roman"/>
          <w:szCs w:val="24"/>
        </w:rPr>
        <w:t xml:space="preserve"> и </w:t>
      </w:r>
      <w:proofErr w:type="spellStart"/>
      <w:r w:rsidRPr="009F6D1E">
        <w:rPr>
          <w:rFonts w:eastAsia="Times New Roman" w:cs="Times New Roman"/>
          <w:szCs w:val="24"/>
        </w:rPr>
        <w:t>субхидроморфни</w:t>
      </w:r>
      <w:proofErr w:type="spellEnd"/>
      <w:r w:rsidRPr="009F6D1E">
        <w:rPr>
          <w:rFonts w:eastAsia="Times New Roman" w:cs="Times New Roman"/>
          <w:szCs w:val="24"/>
        </w:rPr>
        <w:t xml:space="preserve"> ландшафти е представен от 2 рода: </w:t>
      </w:r>
      <w:proofErr w:type="spellStart"/>
      <w:r w:rsidRPr="009F6D1E">
        <w:rPr>
          <w:rFonts w:eastAsia="Times New Roman" w:cs="Times New Roman"/>
          <w:szCs w:val="24"/>
        </w:rPr>
        <w:t>акумулативни</w:t>
      </w:r>
      <w:proofErr w:type="spellEnd"/>
      <w:r w:rsidRPr="009F6D1E">
        <w:rPr>
          <w:rFonts w:eastAsia="Times New Roman" w:cs="Times New Roman"/>
          <w:szCs w:val="24"/>
        </w:rPr>
        <w:t xml:space="preserve"> речни долини с </w:t>
      </w:r>
      <w:proofErr w:type="spellStart"/>
      <w:r w:rsidRPr="009F6D1E">
        <w:rPr>
          <w:rFonts w:eastAsia="Times New Roman" w:cs="Times New Roman"/>
          <w:szCs w:val="24"/>
        </w:rPr>
        <w:t>хидроморфна</w:t>
      </w:r>
      <w:proofErr w:type="spellEnd"/>
      <w:r w:rsidRPr="009F6D1E">
        <w:rPr>
          <w:rFonts w:eastAsia="Times New Roman" w:cs="Times New Roman"/>
          <w:szCs w:val="24"/>
        </w:rPr>
        <w:t xml:space="preserve"> дървесна и ливадна растителност и заблатени речни устия с </w:t>
      </w:r>
      <w:proofErr w:type="spellStart"/>
      <w:r w:rsidRPr="009F6D1E">
        <w:rPr>
          <w:rFonts w:eastAsia="Times New Roman" w:cs="Times New Roman"/>
          <w:szCs w:val="24"/>
        </w:rPr>
        <w:t>лонгозни</w:t>
      </w:r>
      <w:proofErr w:type="spellEnd"/>
      <w:r w:rsidRPr="009F6D1E">
        <w:rPr>
          <w:rFonts w:eastAsia="Times New Roman" w:cs="Times New Roman"/>
          <w:szCs w:val="24"/>
        </w:rPr>
        <w:t xml:space="preserve"> гори и блатна растителност. По Северното </w:t>
      </w:r>
      <w:r w:rsidRPr="009F6D1E">
        <w:rPr>
          <w:rFonts w:eastAsia="Times New Roman" w:cs="Times New Roman"/>
          <w:szCs w:val="24"/>
        </w:rPr>
        <w:lastRenderedPageBreak/>
        <w:t xml:space="preserve">Черноморие са разпространени </w:t>
      </w:r>
      <w:proofErr w:type="spellStart"/>
      <w:r w:rsidRPr="009F6D1E">
        <w:rPr>
          <w:rFonts w:eastAsia="Times New Roman" w:cs="Times New Roman"/>
          <w:szCs w:val="24"/>
        </w:rPr>
        <w:t>свлачищните</w:t>
      </w:r>
      <w:proofErr w:type="spellEnd"/>
      <w:r w:rsidRPr="009F6D1E">
        <w:rPr>
          <w:rFonts w:eastAsia="Times New Roman" w:cs="Times New Roman"/>
          <w:szCs w:val="24"/>
        </w:rPr>
        <w:t xml:space="preserve"> ландшафти, чиито морфологичен строеж често се мени поради </w:t>
      </w:r>
      <w:proofErr w:type="spellStart"/>
      <w:r w:rsidRPr="009F6D1E">
        <w:rPr>
          <w:rFonts w:eastAsia="Times New Roman" w:cs="Times New Roman"/>
          <w:szCs w:val="24"/>
        </w:rPr>
        <w:t>свлачищната</w:t>
      </w:r>
      <w:proofErr w:type="spellEnd"/>
      <w:r w:rsidRPr="009F6D1E">
        <w:rPr>
          <w:rFonts w:eastAsia="Times New Roman" w:cs="Times New Roman"/>
          <w:szCs w:val="24"/>
        </w:rPr>
        <w:t xml:space="preserve"> активност.</w:t>
      </w:r>
    </w:p>
    <w:p w14:paraId="0BB9C611" w14:textId="77777777" w:rsidR="000F318E" w:rsidRPr="009F6D1E" w:rsidRDefault="000F318E" w:rsidP="0084747F">
      <w:pPr>
        <w:spacing w:after="60" w:line="264" w:lineRule="auto"/>
        <w:contextualSpacing/>
        <w:jc w:val="both"/>
        <w:rPr>
          <w:rFonts w:eastAsia="Calibri" w:cs="Times New Roman"/>
          <w:b/>
          <w:bCs/>
          <w:i/>
          <w:iCs/>
          <w:szCs w:val="24"/>
          <w:highlight w:val="yellow"/>
        </w:rPr>
      </w:pPr>
    </w:p>
    <w:p w14:paraId="70F02209" w14:textId="77777777" w:rsidR="00471E9F" w:rsidRPr="009F6D1E" w:rsidRDefault="00471E9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310" w:name="_Toc115254998"/>
      <w:r w:rsidRPr="009F6D1E">
        <w:rPr>
          <w:smallCaps w:val="0"/>
          <w:lang w:bidi="ar-SA"/>
        </w:rPr>
        <w:t>Отпадъци</w:t>
      </w:r>
      <w:bookmarkEnd w:id="310"/>
    </w:p>
    <w:p w14:paraId="4756A563" w14:textId="77777777" w:rsidR="00F93745" w:rsidRPr="009F6D1E" w:rsidRDefault="00F93745" w:rsidP="00F93745"/>
    <w:p w14:paraId="62139304" w14:textId="77777777" w:rsidR="00EB476D" w:rsidRPr="009F6D1E" w:rsidRDefault="00EB476D">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Битови отпадъци</w:t>
      </w:r>
    </w:p>
    <w:p w14:paraId="23FBE84E" w14:textId="77777777" w:rsidR="00EB476D" w:rsidRPr="009F6D1E" w:rsidRDefault="00EB476D">
      <w:pPr>
        <w:pStyle w:val="ListParagraph"/>
        <w:numPr>
          <w:ilvl w:val="0"/>
          <w:numId w:val="33"/>
        </w:numPr>
        <w:spacing w:after="60" w:line="264" w:lineRule="auto"/>
        <w:jc w:val="both"/>
        <w:rPr>
          <w:b/>
          <w:bCs/>
          <w:i/>
          <w:iCs/>
          <w:color w:val="000000" w:themeColor="text1"/>
          <w:lang w:val="bg-BG"/>
        </w:rPr>
      </w:pPr>
      <w:r w:rsidRPr="009F6D1E">
        <w:rPr>
          <w:b/>
          <w:bCs/>
          <w:i/>
          <w:iCs/>
          <w:color w:val="000000" w:themeColor="text1"/>
          <w:lang w:val="bg-BG"/>
        </w:rPr>
        <w:t>Управление на битовите отпадъци</w:t>
      </w:r>
    </w:p>
    <w:p w14:paraId="120BC8BD" w14:textId="37EB2DD1"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В България има обособени 53 регионални сдружения за управление на отпадъците (виж </w:t>
      </w:r>
      <w:r w:rsidR="003F3D71" w:rsidRPr="009F6D1E">
        <w:rPr>
          <w:rFonts w:cs="Times New Roman"/>
          <w:szCs w:val="24"/>
        </w:rPr>
        <w:fldChar w:fldCharType="begin"/>
      </w:r>
      <w:r w:rsidR="00CA7BDC" w:rsidRPr="009F6D1E">
        <w:rPr>
          <w:rFonts w:cs="Times New Roman"/>
          <w:szCs w:val="24"/>
        </w:rPr>
        <w:instrText xml:space="preserve"> REF _Ref107174666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51</w:t>
      </w:r>
      <w:r w:rsidR="003F3D71" w:rsidRPr="009F6D1E">
        <w:rPr>
          <w:rFonts w:cs="Times New Roman"/>
          <w:szCs w:val="24"/>
        </w:rPr>
        <w:fldChar w:fldCharType="end"/>
      </w:r>
      <w:r w:rsidRPr="009F6D1E">
        <w:rPr>
          <w:rFonts w:cs="Times New Roman"/>
          <w:szCs w:val="24"/>
        </w:rPr>
        <w:t xml:space="preserve"> по-долу), като към настоящия момент не всички са в експлоатация. В 3 регионални сдружения все още не са изградени необходимите съоръжения (РСУО: Благоевград, Кюстендил и Провадия). Тези сдружения временно депонират на съседни регионални системи или използват услугите на частни дружества. </w:t>
      </w:r>
    </w:p>
    <w:p w14:paraId="6920AA50" w14:textId="77777777" w:rsidR="00EB476D" w:rsidRPr="009F6D1E" w:rsidRDefault="00EB476D" w:rsidP="0084747F">
      <w:pPr>
        <w:spacing w:after="60" w:line="264" w:lineRule="auto"/>
        <w:jc w:val="both"/>
        <w:rPr>
          <w:rFonts w:cs="Times New Roman"/>
          <w:szCs w:val="24"/>
        </w:rPr>
      </w:pPr>
      <w:r w:rsidRPr="009F6D1E">
        <w:rPr>
          <w:rFonts w:cs="Times New Roman"/>
          <w:noProof/>
          <w:szCs w:val="24"/>
          <w:lang w:val="en-US"/>
        </w:rPr>
        <w:drawing>
          <wp:inline distT="0" distB="0" distL="0" distR="0" wp14:anchorId="3F882B84" wp14:editId="65FA3002">
            <wp:extent cx="5943600" cy="2959100"/>
            <wp:effectExtent l="0" t="0" r="0" b="0"/>
            <wp:docPr id="12"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артина 3"/>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2959100"/>
                    </a:xfrm>
                    <a:prstGeom prst="rect">
                      <a:avLst/>
                    </a:prstGeom>
                  </pic:spPr>
                </pic:pic>
              </a:graphicData>
            </a:graphic>
          </wp:inline>
        </w:drawing>
      </w:r>
      <w:r w:rsidRPr="009F6D1E">
        <w:rPr>
          <w:rFonts w:cs="Times New Roman"/>
          <w:szCs w:val="24"/>
        </w:rPr>
        <w:t xml:space="preserve"> </w:t>
      </w:r>
    </w:p>
    <w:p w14:paraId="2532ACFC" w14:textId="352EC6EB" w:rsidR="00EB476D" w:rsidRPr="009F6D1E" w:rsidRDefault="00170DE2" w:rsidP="00170DE2">
      <w:pPr>
        <w:pStyle w:val="Caption"/>
        <w:rPr>
          <w:bCs/>
        </w:rPr>
      </w:pPr>
      <w:bookmarkStart w:id="311" w:name="_Ref107174666"/>
      <w:bookmarkStart w:id="312" w:name="_Toc115255112"/>
      <w:r w:rsidRPr="009F6D1E">
        <w:t xml:space="preserve">Фигура </w:t>
      </w:r>
      <w:fldSimple w:instr=" SEQ Фигура \* ARABIC ">
        <w:r w:rsidR="00A43EF3">
          <w:rPr>
            <w:noProof/>
          </w:rPr>
          <w:t>51</w:t>
        </w:r>
      </w:fldSimple>
      <w:bookmarkEnd w:id="311"/>
      <w:r w:rsidRPr="009F6D1E">
        <w:t>:</w:t>
      </w:r>
      <w:r w:rsidR="00EB476D" w:rsidRPr="009F6D1E">
        <w:rPr>
          <w:bCs/>
        </w:rPr>
        <w:t xml:space="preserve"> Регионални сдружения за управление на отпадъците на територията на Р България</w:t>
      </w:r>
      <w:bookmarkEnd w:id="312"/>
    </w:p>
    <w:p w14:paraId="1228AF1C"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Образувани битови отпадъци</w:t>
      </w:r>
    </w:p>
    <w:p w14:paraId="7954233D" w14:textId="77777777" w:rsidR="00377283" w:rsidRPr="00377283" w:rsidRDefault="00377283" w:rsidP="00377283">
      <w:pPr>
        <w:spacing w:after="60" w:line="264" w:lineRule="auto"/>
        <w:ind w:firstLine="708"/>
        <w:jc w:val="both"/>
        <w:rPr>
          <w:rFonts w:cs="Times New Roman"/>
          <w:szCs w:val="24"/>
        </w:rPr>
      </w:pPr>
      <w:r w:rsidRPr="00377283">
        <w:rPr>
          <w:rFonts w:cs="Times New Roman"/>
          <w:szCs w:val="24"/>
        </w:rPr>
        <w:t xml:space="preserve">През 2020 г. количеството на образуваните битови отпадъци се оценява на 2 826 хил. т, като се запазва тенденцията на намаляване (с изключение на 2017г.). Намалението на образуваните отпадъци от 2015 г. насам е 6.15%. </w:t>
      </w:r>
    </w:p>
    <w:p w14:paraId="2BD8C9D5" w14:textId="77777777" w:rsidR="00377283" w:rsidRPr="00377283" w:rsidRDefault="00377283" w:rsidP="00377283">
      <w:pPr>
        <w:spacing w:after="60" w:line="264" w:lineRule="auto"/>
        <w:ind w:firstLine="708"/>
        <w:jc w:val="both"/>
        <w:rPr>
          <w:rFonts w:cs="Times New Roman"/>
          <w:szCs w:val="24"/>
        </w:rPr>
      </w:pPr>
      <w:r w:rsidRPr="00377283">
        <w:rPr>
          <w:rFonts w:cs="Times New Roman"/>
          <w:szCs w:val="24"/>
        </w:rPr>
        <w:t>Количествата включват както образуваните битови отпадъци от домакинствата, така и подобните им с произход от бита, образувани от административните сгради, търговски обекти, училища и др. обществени места. Делът на обслужваното население от системите за организирано сметосъбиране към 2020 г. достига до 99.8% (запазва се от 2018г. насам), а обслужваните населени места са 4727 броя.</w:t>
      </w:r>
    </w:p>
    <w:p w14:paraId="36C3BA56" w14:textId="77777777" w:rsidR="00377283" w:rsidRPr="00377283" w:rsidRDefault="00377283" w:rsidP="00377283">
      <w:pPr>
        <w:spacing w:after="60" w:line="264" w:lineRule="auto"/>
        <w:ind w:firstLine="708"/>
        <w:jc w:val="both"/>
        <w:rPr>
          <w:rFonts w:cs="Times New Roman"/>
          <w:szCs w:val="24"/>
        </w:rPr>
      </w:pPr>
      <w:r w:rsidRPr="00377283">
        <w:rPr>
          <w:rFonts w:cs="Times New Roman"/>
          <w:szCs w:val="24"/>
        </w:rPr>
        <w:lastRenderedPageBreak/>
        <w:t xml:space="preserve">Образуваните битови отпадъци средно на човек от населението показват натиска върху околната среда. За 2020 г. образуваните битови отпадъци на човек от населението са 408 кг/човек/година, което е под средното ниво на образуване на битови отпадъци на жител за година за ЕС - 489 </w:t>
      </w:r>
      <w:proofErr w:type="spellStart"/>
      <w:r w:rsidRPr="00377283">
        <w:rPr>
          <w:rFonts w:cs="Times New Roman"/>
          <w:szCs w:val="24"/>
        </w:rPr>
        <w:t>kg</w:t>
      </w:r>
      <w:proofErr w:type="spellEnd"/>
      <w:r w:rsidRPr="00377283">
        <w:rPr>
          <w:rFonts w:cs="Times New Roman"/>
          <w:szCs w:val="24"/>
        </w:rPr>
        <w:t xml:space="preserve">. Най-високо количество на образуваните битови отпадъци на човек от населението е през 2008 и 2009 година - 467 </w:t>
      </w:r>
      <w:proofErr w:type="spellStart"/>
      <w:r w:rsidRPr="00377283">
        <w:rPr>
          <w:rFonts w:cs="Times New Roman"/>
          <w:szCs w:val="24"/>
        </w:rPr>
        <w:t>kg</w:t>
      </w:r>
      <w:proofErr w:type="spellEnd"/>
      <w:r w:rsidRPr="00377283">
        <w:rPr>
          <w:rFonts w:cs="Times New Roman"/>
          <w:szCs w:val="24"/>
        </w:rPr>
        <w:t xml:space="preserve">, а най-ниско – през 2012г., което е било 347 </w:t>
      </w:r>
      <w:proofErr w:type="spellStart"/>
      <w:r w:rsidRPr="00377283">
        <w:rPr>
          <w:rFonts w:cs="Times New Roman"/>
          <w:szCs w:val="24"/>
        </w:rPr>
        <w:t>kg</w:t>
      </w:r>
      <w:proofErr w:type="spellEnd"/>
      <w:r w:rsidRPr="00377283">
        <w:rPr>
          <w:rFonts w:cs="Times New Roman"/>
          <w:szCs w:val="24"/>
        </w:rPr>
        <w:t>.</w:t>
      </w:r>
    </w:p>
    <w:p w14:paraId="0DD03370" w14:textId="3E5E2565" w:rsidR="00377283" w:rsidRPr="00377283" w:rsidRDefault="00377283" w:rsidP="00377283">
      <w:pPr>
        <w:spacing w:after="60" w:line="264" w:lineRule="auto"/>
        <w:ind w:firstLine="708"/>
        <w:jc w:val="both"/>
        <w:rPr>
          <w:rFonts w:cs="Times New Roman"/>
          <w:szCs w:val="24"/>
        </w:rPr>
      </w:pPr>
      <w:r w:rsidRPr="00377283">
        <w:rPr>
          <w:rFonts w:cs="Times New Roman"/>
          <w:szCs w:val="24"/>
        </w:rPr>
        <w:t xml:space="preserve">На </w:t>
      </w:r>
      <w:r w:rsidR="00622D1D">
        <w:rPr>
          <w:rFonts w:cs="Times New Roman"/>
          <w:szCs w:val="24"/>
        </w:rPr>
        <w:fldChar w:fldCharType="begin"/>
      </w:r>
      <w:r w:rsidR="00622D1D">
        <w:rPr>
          <w:rFonts w:cs="Times New Roman"/>
          <w:szCs w:val="24"/>
        </w:rPr>
        <w:instrText xml:space="preserve"> REF _Ref113735890 \h </w:instrText>
      </w:r>
      <w:r w:rsidR="00622D1D">
        <w:rPr>
          <w:rFonts w:cs="Times New Roman"/>
          <w:szCs w:val="24"/>
        </w:rPr>
      </w:r>
      <w:r w:rsidR="00622D1D">
        <w:rPr>
          <w:rFonts w:cs="Times New Roman"/>
          <w:szCs w:val="24"/>
        </w:rPr>
        <w:fldChar w:fldCharType="separate"/>
      </w:r>
      <w:r w:rsidR="00A43EF3" w:rsidRPr="009F6D1E">
        <w:t xml:space="preserve">Фигура </w:t>
      </w:r>
      <w:r w:rsidR="00A43EF3">
        <w:rPr>
          <w:noProof/>
        </w:rPr>
        <w:t>52</w:t>
      </w:r>
      <w:r w:rsidR="00622D1D">
        <w:rPr>
          <w:rFonts w:cs="Times New Roman"/>
          <w:szCs w:val="24"/>
        </w:rPr>
        <w:fldChar w:fldCharType="end"/>
      </w:r>
      <w:r w:rsidRPr="00377283">
        <w:rPr>
          <w:rFonts w:cs="Times New Roman"/>
          <w:szCs w:val="24"/>
        </w:rPr>
        <w:t xml:space="preserve"> са показани регионалните данни за образуваните битови отпадъци периода 2015-2020г. </w:t>
      </w:r>
    </w:p>
    <w:p w14:paraId="0751FA07" w14:textId="77777777" w:rsidR="00377283" w:rsidRPr="00377283" w:rsidRDefault="00377283" w:rsidP="00377283">
      <w:pPr>
        <w:spacing w:before="80" w:after="120"/>
        <w:jc w:val="center"/>
        <w:rPr>
          <w:rFonts w:ascii="Cambria" w:hAnsi="Cambria"/>
          <w:szCs w:val="24"/>
        </w:rPr>
      </w:pPr>
      <w:r w:rsidRPr="00B75AA0">
        <w:rPr>
          <w:noProof/>
          <w:lang w:val="en-US"/>
        </w:rPr>
        <w:drawing>
          <wp:inline distT="0" distB="0" distL="0" distR="0" wp14:anchorId="1704F17D" wp14:editId="33B0FE36">
            <wp:extent cx="3960000" cy="2096402"/>
            <wp:effectExtent l="0" t="0" r="254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60000" cy="2096402"/>
                    </a:xfrm>
                    <a:prstGeom prst="rect">
                      <a:avLst/>
                    </a:prstGeom>
                    <a:noFill/>
                  </pic:spPr>
                </pic:pic>
              </a:graphicData>
            </a:graphic>
          </wp:inline>
        </w:drawing>
      </w:r>
    </w:p>
    <w:p w14:paraId="6EF183B4" w14:textId="55B3D153" w:rsidR="00377283" w:rsidRPr="00377283" w:rsidRDefault="00377283" w:rsidP="00377283">
      <w:pPr>
        <w:pStyle w:val="Caption"/>
        <w:rPr>
          <w:bCs/>
        </w:rPr>
      </w:pPr>
      <w:bookmarkStart w:id="313" w:name="_Ref113735890"/>
      <w:bookmarkStart w:id="314" w:name="_Toc112099248"/>
      <w:bookmarkStart w:id="315" w:name="_Toc115255113"/>
      <w:r w:rsidRPr="009F6D1E">
        <w:t xml:space="preserve">Фигура </w:t>
      </w:r>
      <w:fldSimple w:instr=" SEQ Фигура \* ARABIC ">
        <w:r w:rsidR="00A43EF3">
          <w:rPr>
            <w:noProof/>
          </w:rPr>
          <w:t>52</w:t>
        </w:r>
      </w:fldSimple>
      <w:bookmarkEnd w:id="313"/>
      <w:r w:rsidRPr="009F6D1E">
        <w:t>:</w:t>
      </w:r>
      <w:r w:rsidRPr="009F6D1E">
        <w:rPr>
          <w:bCs/>
        </w:rPr>
        <w:t xml:space="preserve"> </w:t>
      </w:r>
      <w:r w:rsidRPr="00377283">
        <w:rPr>
          <w:bCs/>
        </w:rPr>
        <w:t>Образувани битови отпадъци по статистически региони</w:t>
      </w:r>
      <w:bookmarkEnd w:id="314"/>
      <w:bookmarkEnd w:id="315"/>
    </w:p>
    <w:p w14:paraId="42569431" w14:textId="77777777" w:rsidR="00377283" w:rsidRPr="00CD75AB" w:rsidRDefault="00377283" w:rsidP="00CD75AB">
      <w:pPr>
        <w:spacing w:after="60" w:line="264" w:lineRule="auto"/>
        <w:ind w:firstLine="708"/>
        <w:jc w:val="both"/>
        <w:rPr>
          <w:rFonts w:cs="Times New Roman"/>
          <w:szCs w:val="24"/>
        </w:rPr>
      </w:pPr>
    </w:p>
    <w:p w14:paraId="0E7FE2C3" w14:textId="77777777" w:rsidR="00377283" w:rsidRPr="00CD75AB" w:rsidRDefault="00377283" w:rsidP="00CD75AB">
      <w:pPr>
        <w:spacing w:after="60" w:line="264" w:lineRule="auto"/>
        <w:ind w:firstLine="708"/>
        <w:jc w:val="both"/>
        <w:rPr>
          <w:rFonts w:cs="Times New Roman"/>
          <w:szCs w:val="24"/>
        </w:rPr>
      </w:pPr>
      <w:r w:rsidRPr="00CD75AB">
        <w:rPr>
          <w:rFonts w:cs="Times New Roman"/>
          <w:szCs w:val="24"/>
        </w:rPr>
        <w:t>Най-голям дял битови отпадъци през периода 2015-2020 г., се образуват в Югозападния регион (около и над 1/3 от битовите отпадъци в страната), а в цяла Южна България се генерират над 66% от битовите отпадъци в страната. Значителни различия има и между самите общини по показателя образувани битови отпадъци на жител на година, което освен от различията в икономическите и социалните показатели се дължи и на неточното измерване на отпадъците поради липса на измерващи везни на депата, които все още не са приведени в съответствие с нормативните изисквания.</w:t>
      </w:r>
    </w:p>
    <w:p w14:paraId="5B2B06D7" w14:textId="77777777" w:rsidR="00377283" w:rsidRPr="00CD75AB" w:rsidRDefault="00377283" w:rsidP="00CD75AB">
      <w:pPr>
        <w:spacing w:after="60" w:line="264" w:lineRule="auto"/>
        <w:ind w:firstLine="708"/>
        <w:jc w:val="both"/>
        <w:rPr>
          <w:rFonts w:cs="Times New Roman"/>
          <w:szCs w:val="24"/>
        </w:rPr>
      </w:pPr>
      <w:r w:rsidRPr="00CD75AB">
        <w:rPr>
          <w:rFonts w:cs="Times New Roman"/>
          <w:szCs w:val="24"/>
        </w:rPr>
        <w:t xml:space="preserve">Депонирането, като метод за обезвреждане на отпадъците, е с най-голям относителен дял в третирането на битовите отпадъци, независимо че намалява през последните 10 години, като през 2020г. достига до 847 хил. тона годишно и бележи незначителен спад спрямо 2019 г., когато тези количества са 849 хил. тона за година. </w:t>
      </w:r>
    </w:p>
    <w:p w14:paraId="1CB24232" w14:textId="77777777" w:rsidR="00377283" w:rsidRPr="00CD75AB" w:rsidRDefault="00377283" w:rsidP="00CD75AB">
      <w:pPr>
        <w:spacing w:after="60" w:line="264" w:lineRule="auto"/>
        <w:ind w:firstLine="708"/>
        <w:jc w:val="both"/>
        <w:rPr>
          <w:rFonts w:cs="Times New Roman"/>
          <w:szCs w:val="24"/>
        </w:rPr>
      </w:pPr>
      <w:r w:rsidRPr="00CD75AB">
        <w:rPr>
          <w:rFonts w:cs="Times New Roman"/>
          <w:szCs w:val="24"/>
        </w:rPr>
        <w:t>България е с по-ниско ниво на рециклиране на битови отпадъци от средното за страните-членки на ЕС като се отчита и тенденция на постоянно намаляване на количествата предадени за рециклираните битови отпадъци от 214.6 хил. тона през 2008г. до 182.7 през 2020 г.</w:t>
      </w:r>
    </w:p>
    <w:p w14:paraId="7DA234B4" w14:textId="77777777" w:rsidR="00377283" w:rsidRPr="00CD75AB" w:rsidRDefault="00377283" w:rsidP="00CD75AB">
      <w:pPr>
        <w:spacing w:after="60" w:line="264" w:lineRule="auto"/>
        <w:ind w:firstLine="708"/>
        <w:jc w:val="both"/>
        <w:rPr>
          <w:rFonts w:cs="Times New Roman"/>
          <w:szCs w:val="24"/>
        </w:rPr>
      </w:pPr>
      <w:r w:rsidRPr="00CD75AB">
        <w:rPr>
          <w:rFonts w:cs="Times New Roman"/>
          <w:szCs w:val="24"/>
        </w:rPr>
        <w:t xml:space="preserve">По показателя </w:t>
      </w:r>
      <w:proofErr w:type="spellStart"/>
      <w:r w:rsidRPr="00CD75AB">
        <w:rPr>
          <w:rFonts w:cs="Times New Roman"/>
          <w:szCs w:val="24"/>
        </w:rPr>
        <w:t>компостирани</w:t>
      </w:r>
      <w:proofErr w:type="spellEnd"/>
      <w:r w:rsidRPr="00CD75AB">
        <w:rPr>
          <w:rFonts w:cs="Times New Roman"/>
          <w:szCs w:val="24"/>
        </w:rPr>
        <w:t xml:space="preserve"> битови отпадъци на жител България е на едно от последните места. В състава на образуваните битови отпадъци биоразградимите, включващи в себе си хранителните отпадъци и отпадъците от паркове и градини, представляват 36%, биологичните са 25%, а </w:t>
      </w:r>
      <w:proofErr w:type="spellStart"/>
      <w:r w:rsidRPr="00CD75AB">
        <w:rPr>
          <w:rFonts w:cs="Times New Roman"/>
          <w:szCs w:val="24"/>
        </w:rPr>
        <w:t>рециклируемите</w:t>
      </w:r>
      <w:proofErr w:type="spellEnd"/>
      <w:r w:rsidRPr="00CD75AB">
        <w:rPr>
          <w:rFonts w:cs="Times New Roman"/>
          <w:szCs w:val="24"/>
        </w:rPr>
        <w:t xml:space="preserve"> фракции от хартия и картон, пластмаса, стъкло и метали – 27.5%.</w:t>
      </w:r>
    </w:p>
    <w:p w14:paraId="52CCD49A" w14:textId="77777777" w:rsidR="00377283" w:rsidRPr="00CD75AB" w:rsidRDefault="00377283" w:rsidP="00CD75AB">
      <w:pPr>
        <w:spacing w:after="60" w:line="264" w:lineRule="auto"/>
        <w:ind w:firstLine="708"/>
        <w:jc w:val="both"/>
        <w:rPr>
          <w:rFonts w:cs="Times New Roman"/>
          <w:szCs w:val="24"/>
        </w:rPr>
      </w:pPr>
      <w:r w:rsidRPr="00CD75AB">
        <w:rPr>
          <w:rFonts w:cs="Times New Roman"/>
          <w:szCs w:val="24"/>
        </w:rPr>
        <w:lastRenderedPageBreak/>
        <w:t>От извършени анализи се вижда, че домакинствата отново са основният източник на образуване на хранителни отпадъци както в нашата страна, така и в страните от ЕС, следвани от сектора на преработка и производство на храни.</w:t>
      </w:r>
    </w:p>
    <w:p w14:paraId="26B30403" w14:textId="77777777" w:rsidR="00EB476D" w:rsidRPr="009F6D1E" w:rsidRDefault="00EB476D" w:rsidP="0084747F">
      <w:pPr>
        <w:spacing w:after="60" w:line="264" w:lineRule="auto"/>
        <w:jc w:val="both"/>
        <w:rPr>
          <w:rFonts w:cs="Times New Roman"/>
          <w:szCs w:val="24"/>
        </w:rPr>
      </w:pPr>
    </w:p>
    <w:p w14:paraId="3CAD9B77" w14:textId="77777777" w:rsidR="00EB476D" w:rsidRPr="009F6D1E" w:rsidRDefault="00EB476D">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Специфични отпадъчни потоци</w:t>
      </w:r>
    </w:p>
    <w:p w14:paraId="6B31FCCB" w14:textId="77777777" w:rsidR="00EB476D" w:rsidRPr="009F6D1E" w:rsidRDefault="00EB476D" w:rsidP="0084747F">
      <w:pPr>
        <w:pStyle w:val="ListParagraph"/>
        <w:spacing w:after="60" w:line="264" w:lineRule="auto"/>
        <w:jc w:val="both"/>
        <w:rPr>
          <w:b/>
          <w:bCs/>
          <w:color w:val="000000" w:themeColor="text1"/>
          <w:lang w:val="bg-BG"/>
        </w:rPr>
      </w:pPr>
    </w:p>
    <w:p w14:paraId="77BBEC68"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Отпадъци от опаковки</w:t>
      </w:r>
    </w:p>
    <w:p w14:paraId="261B70AA" w14:textId="24BDA746" w:rsidR="00FE7C6F" w:rsidRPr="00FE7C6F" w:rsidRDefault="00FE7C6F" w:rsidP="00FE7C6F">
      <w:pPr>
        <w:spacing w:after="60" w:line="264" w:lineRule="auto"/>
        <w:ind w:firstLine="708"/>
        <w:jc w:val="both"/>
        <w:rPr>
          <w:rFonts w:cs="Times New Roman"/>
          <w:szCs w:val="24"/>
        </w:rPr>
      </w:pPr>
      <w:r w:rsidRPr="00FE7C6F">
        <w:rPr>
          <w:rFonts w:cs="Times New Roman"/>
          <w:szCs w:val="24"/>
        </w:rPr>
        <w:t xml:space="preserve">Количествата опаковки, пуснати на пазара в рамките на дадена година, поради краткия си жизнен цикъл, се възприемат като отпадъци от опаковки в края на същата година. Пуснатите на пазара в Република България опаковки, както и информацията за отпадъците от опаковки, оползотворявани, в т.ч. и рециклирани за отчетната 2020 г. </w:t>
      </w:r>
      <w:r w:rsidRPr="00FE7C6F">
        <w:rPr>
          <w:rFonts w:cs="Times New Roman"/>
          <w:szCs w:val="24"/>
        </w:rPr>
        <w:footnoteReference w:id="64"/>
      </w:r>
      <w:r w:rsidRPr="00FE7C6F">
        <w:rPr>
          <w:rFonts w:cs="Times New Roman"/>
          <w:szCs w:val="24"/>
        </w:rPr>
        <w:t xml:space="preserve"> са обект на статистическо изследване - </w:t>
      </w:r>
      <w:r>
        <w:rPr>
          <w:rFonts w:cs="Times New Roman"/>
          <w:szCs w:val="24"/>
        </w:rPr>
        <w:fldChar w:fldCharType="begin"/>
      </w:r>
      <w:r>
        <w:rPr>
          <w:rFonts w:cs="Times New Roman"/>
          <w:szCs w:val="24"/>
        </w:rPr>
        <w:instrText xml:space="preserve"> REF _Ref113734087 \h </w:instrText>
      </w:r>
      <w:r>
        <w:rPr>
          <w:rFonts w:cs="Times New Roman"/>
          <w:szCs w:val="24"/>
        </w:rPr>
      </w:r>
      <w:r>
        <w:rPr>
          <w:rFonts w:cs="Times New Roman"/>
          <w:szCs w:val="24"/>
        </w:rPr>
        <w:fldChar w:fldCharType="separate"/>
      </w:r>
      <w:r w:rsidR="00A43EF3" w:rsidRPr="009F6D1E">
        <w:t xml:space="preserve">Фигура </w:t>
      </w:r>
      <w:r w:rsidR="00A43EF3">
        <w:rPr>
          <w:noProof/>
        </w:rPr>
        <w:t>53</w:t>
      </w:r>
      <w:r>
        <w:rPr>
          <w:rFonts w:cs="Times New Roman"/>
          <w:szCs w:val="24"/>
        </w:rPr>
        <w:fldChar w:fldCharType="end"/>
      </w:r>
      <w:r w:rsidRPr="00FE7C6F">
        <w:rPr>
          <w:rFonts w:cs="Times New Roman"/>
          <w:szCs w:val="24"/>
        </w:rPr>
        <w:t xml:space="preserve"> и </w:t>
      </w:r>
      <w:r>
        <w:rPr>
          <w:rFonts w:cs="Times New Roman"/>
          <w:szCs w:val="24"/>
        </w:rPr>
        <w:fldChar w:fldCharType="begin"/>
      </w:r>
      <w:r>
        <w:rPr>
          <w:rFonts w:cs="Times New Roman"/>
          <w:szCs w:val="24"/>
        </w:rPr>
        <w:instrText xml:space="preserve"> REF _Ref113734096 \h </w:instrText>
      </w:r>
      <w:r>
        <w:rPr>
          <w:rFonts w:cs="Times New Roman"/>
          <w:szCs w:val="24"/>
        </w:rPr>
      </w:r>
      <w:r>
        <w:rPr>
          <w:rFonts w:cs="Times New Roman"/>
          <w:szCs w:val="24"/>
        </w:rPr>
        <w:fldChar w:fldCharType="separate"/>
      </w:r>
      <w:r w:rsidR="00A43EF3" w:rsidRPr="009F6D1E">
        <w:t xml:space="preserve">Фигура </w:t>
      </w:r>
      <w:r w:rsidR="00A43EF3">
        <w:rPr>
          <w:noProof/>
        </w:rPr>
        <w:t>54</w:t>
      </w:r>
      <w:r>
        <w:rPr>
          <w:rFonts w:cs="Times New Roman"/>
          <w:szCs w:val="24"/>
        </w:rPr>
        <w:fldChar w:fldCharType="end"/>
      </w:r>
      <w:r w:rsidRPr="00FE7C6F">
        <w:rPr>
          <w:rFonts w:cs="Times New Roman"/>
          <w:szCs w:val="24"/>
        </w:rPr>
        <w:t>.</w:t>
      </w:r>
    </w:p>
    <w:tbl>
      <w:tblPr>
        <w:tblW w:w="0" w:type="auto"/>
        <w:tblLook w:val="04A0" w:firstRow="1" w:lastRow="0" w:firstColumn="1" w:lastColumn="0" w:noHBand="0" w:noVBand="1"/>
      </w:tblPr>
      <w:tblGrid>
        <w:gridCol w:w="4732"/>
        <w:gridCol w:w="4906"/>
      </w:tblGrid>
      <w:tr w:rsidR="00FE7C6F" w14:paraId="0FCDC835" w14:textId="77777777" w:rsidTr="003A6AB9">
        <w:tc>
          <w:tcPr>
            <w:tcW w:w="4771" w:type="dxa"/>
            <w:vAlign w:val="bottom"/>
          </w:tcPr>
          <w:p w14:paraId="05BE02C7" w14:textId="77777777" w:rsidR="00FE7C6F" w:rsidRDefault="00FE7C6F" w:rsidP="003A6AB9">
            <w:pPr>
              <w:spacing w:line="240" w:lineRule="auto"/>
              <w:rPr>
                <w:rFonts w:ascii="Cambria" w:hAnsi="Cambria"/>
                <w:szCs w:val="24"/>
              </w:rPr>
            </w:pPr>
            <w:r w:rsidRPr="00B75AA0">
              <w:rPr>
                <w:rFonts w:ascii="Cambria" w:hAnsi="Cambria"/>
                <w:noProof/>
                <w:szCs w:val="24"/>
                <w:lang w:val="en-US"/>
              </w:rPr>
              <w:drawing>
                <wp:inline distT="0" distB="0" distL="0" distR="0" wp14:anchorId="5B618C92" wp14:editId="485A9814">
                  <wp:extent cx="2880000" cy="1835576"/>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9242" t="8277" r="10948" b="8674"/>
                          <a:stretch/>
                        </pic:blipFill>
                        <pic:spPr bwMode="auto">
                          <a:xfrm>
                            <a:off x="0" y="0"/>
                            <a:ext cx="2880000" cy="18355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6" w:type="dxa"/>
            <w:vAlign w:val="bottom"/>
          </w:tcPr>
          <w:p w14:paraId="657D37AD" w14:textId="77777777" w:rsidR="00FE7C6F" w:rsidRDefault="00FE7C6F" w:rsidP="003A6AB9">
            <w:pPr>
              <w:spacing w:line="240" w:lineRule="auto"/>
              <w:jc w:val="right"/>
              <w:rPr>
                <w:rFonts w:ascii="Cambria" w:hAnsi="Cambria"/>
                <w:szCs w:val="24"/>
              </w:rPr>
            </w:pPr>
            <w:r>
              <w:rPr>
                <w:rFonts w:ascii="Cambria" w:hAnsi="Cambria"/>
                <w:noProof/>
                <w:szCs w:val="24"/>
                <w:lang w:val="en-US"/>
              </w:rPr>
              <w:drawing>
                <wp:inline distT="0" distB="0" distL="0" distR="0" wp14:anchorId="56890557" wp14:editId="619EBEC8">
                  <wp:extent cx="2988000" cy="1819298"/>
                  <wp:effectExtent l="0" t="0" r="317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8702" t="9054" r="7776" b="7626"/>
                          <a:stretch/>
                        </pic:blipFill>
                        <pic:spPr bwMode="auto">
                          <a:xfrm>
                            <a:off x="0" y="0"/>
                            <a:ext cx="2988000" cy="18192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E7C6F" w14:paraId="6782C5AD" w14:textId="77777777" w:rsidTr="003A6AB9">
        <w:tc>
          <w:tcPr>
            <w:tcW w:w="4771" w:type="dxa"/>
          </w:tcPr>
          <w:p w14:paraId="6486635B" w14:textId="25826EAB" w:rsidR="00FE7C6F" w:rsidRDefault="00FE7C6F" w:rsidP="003A6AB9">
            <w:pPr>
              <w:pStyle w:val="Caption"/>
              <w:spacing w:after="0"/>
            </w:pPr>
            <w:bookmarkStart w:id="316" w:name="_Ref113734087"/>
            <w:bookmarkStart w:id="317" w:name="_Toc104542551"/>
            <w:bookmarkStart w:id="318" w:name="_Toc112099249"/>
            <w:bookmarkStart w:id="319" w:name="_Toc115255114"/>
            <w:r w:rsidRPr="009F6D1E">
              <w:t xml:space="preserve">Фигура </w:t>
            </w:r>
            <w:fldSimple w:instr=" SEQ Фигура \* ARABIC ">
              <w:r w:rsidR="00A43EF3">
                <w:rPr>
                  <w:noProof/>
                </w:rPr>
                <w:t>53</w:t>
              </w:r>
            </w:fldSimple>
            <w:bookmarkEnd w:id="316"/>
            <w:r w:rsidRPr="009F6D1E">
              <w:t>:</w:t>
            </w:r>
            <w:r w:rsidRPr="009F6D1E">
              <w:rPr>
                <w:bCs/>
              </w:rPr>
              <w:t xml:space="preserve"> </w:t>
            </w:r>
            <w:r>
              <w:t xml:space="preserve">Образувани </w:t>
            </w:r>
            <w:r w:rsidRPr="00B75AA0">
              <w:t>отпадъци от опаковки за 2020г.</w:t>
            </w:r>
            <w:bookmarkEnd w:id="317"/>
            <w:bookmarkEnd w:id="318"/>
            <w:bookmarkEnd w:id="319"/>
          </w:p>
        </w:tc>
        <w:tc>
          <w:tcPr>
            <w:tcW w:w="4866" w:type="dxa"/>
          </w:tcPr>
          <w:p w14:paraId="129E8C8D" w14:textId="19453C47" w:rsidR="00FE7C6F" w:rsidRDefault="00FE7C6F" w:rsidP="003A6AB9">
            <w:pPr>
              <w:pStyle w:val="Caption"/>
              <w:spacing w:after="0"/>
            </w:pPr>
            <w:bookmarkStart w:id="320" w:name="_Ref113734096"/>
            <w:bookmarkStart w:id="321" w:name="_Toc112099250"/>
            <w:bookmarkStart w:id="322" w:name="_Toc115255115"/>
            <w:r w:rsidRPr="009F6D1E">
              <w:t xml:space="preserve">Фигура </w:t>
            </w:r>
            <w:fldSimple w:instr=" SEQ Фигура \* ARABIC ">
              <w:r w:rsidR="00A43EF3">
                <w:rPr>
                  <w:noProof/>
                </w:rPr>
                <w:t>54</w:t>
              </w:r>
            </w:fldSimple>
            <w:bookmarkEnd w:id="320"/>
            <w:r w:rsidRPr="009F6D1E">
              <w:t>:</w:t>
            </w:r>
            <w:r w:rsidRPr="009F6D1E">
              <w:rPr>
                <w:bCs/>
              </w:rPr>
              <w:t xml:space="preserve"> </w:t>
            </w:r>
            <w:r>
              <w:t xml:space="preserve">Образувани </w:t>
            </w:r>
            <w:r w:rsidRPr="00B75AA0">
              <w:t>отпадъци от опаковки за 2020г.</w:t>
            </w:r>
            <w:bookmarkEnd w:id="321"/>
            <w:bookmarkEnd w:id="322"/>
          </w:p>
        </w:tc>
      </w:tr>
    </w:tbl>
    <w:p w14:paraId="1EE6707E" w14:textId="77777777" w:rsidR="00FE7C6F" w:rsidRPr="00FE7C6F" w:rsidRDefault="00FE7C6F" w:rsidP="00FE7C6F">
      <w:pPr>
        <w:spacing w:after="60" w:line="264" w:lineRule="auto"/>
        <w:ind w:firstLine="708"/>
        <w:jc w:val="both"/>
        <w:rPr>
          <w:rFonts w:cs="Times New Roman"/>
          <w:szCs w:val="24"/>
        </w:rPr>
      </w:pPr>
      <w:r w:rsidRPr="00FE7C6F">
        <w:rPr>
          <w:rFonts w:cs="Times New Roman"/>
          <w:szCs w:val="24"/>
        </w:rPr>
        <w:t xml:space="preserve">През 2020 г. в страната са образувани 537 692 тона отпадъци от опаковки, което е 77.7 </w:t>
      </w:r>
      <w:proofErr w:type="spellStart"/>
      <w:r w:rsidRPr="00FE7C6F">
        <w:rPr>
          <w:rFonts w:cs="Times New Roman"/>
          <w:szCs w:val="24"/>
        </w:rPr>
        <w:t>kg</w:t>
      </w:r>
      <w:proofErr w:type="spellEnd"/>
      <w:r w:rsidRPr="00FE7C6F">
        <w:rPr>
          <w:rFonts w:cs="Times New Roman"/>
          <w:szCs w:val="24"/>
        </w:rPr>
        <w:t>/жител –при постоянно население към 31.12.2020г. – 6 916 548 души. От тях:</w:t>
      </w:r>
    </w:p>
    <w:p w14:paraId="097641CE"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173 072 t са пластмасови отпадъци от опаковки;</w:t>
      </w:r>
    </w:p>
    <w:p w14:paraId="18C73FE0"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168 331 t - хартиени и картонени (вкл. композитни) отпадъци от опаковки;</w:t>
      </w:r>
    </w:p>
    <w:p w14:paraId="2EEA2528"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22 133 t - метални отпадъци от опаковки;</w:t>
      </w:r>
    </w:p>
    <w:p w14:paraId="67A02C85"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79 248 t - дървените отпадъци от опаковки;</w:t>
      </w:r>
    </w:p>
    <w:p w14:paraId="06D8E4FA"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84 481 t - стъклени отпадъци от опаковки;</w:t>
      </w:r>
    </w:p>
    <w:p w14:paraId="49D50B8F" w14:textId="648C8C18"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10 426 t - попадат в категорията „други”</w:t>
      </w:r>
      <w:r>
        <w:rPr>
          <w:color w:val="000000" w:themeColor="text1"/>
          <w:lang w:val="bg-BG"/>
        </w:rPr>
        <w:t>.</w:t>
      </w:r>
    </w:p>
    <w:p w14:paraId="0D294465" w14:textId="77777777" w:rsidR="00FE7C6F" w:rsidRPr="00FE7C6F" w:rsidRDefault="00FE7C6F" w:rsidP="00FE7C6F">
      <w:pPr>
        <w:spacing w:after="60" w:line="264" w:lineRule="auto"/>
        <w:ind w:firstLine="708"/>
        <w:jc w:val="both"/>
        <w:rPr>
          <w:rFonts w:cs="Times New Roman"/>
          <w:szCs w:val="24"/>
        </w:rPr>
      </w:pPr>
      <w:r w:rsidRPr="00FE7C6F">
        <w:rPr>
          <w:rFonts w:cs="Times New Roman"/>
          <w:szCs w:val="24"/>
        </w:rPr>
        <w:t>През 2020 г. в страната са материално рециклирани общо 336 677 t отпадъци от опаковки. От тях :</w:t>
      </w:r>
    </w:p>
    <w:p w14:paraId="03318932"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 xml:space="preserve">Отпадъци от пластмасови опаковки – 54.81%, при нормативно заложени 22.5%; </w:t>
      </w:r>
    </w:p>
    <w:p w14:paraId="1E6906FA"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 xml:space="preserve">Отпадъци от хартиени и хартиени опаковки – 86.35%, при нормативно заложени 60 %; </w:t>
      </w:r>
    </w:p>
    <w:p w14:paraId="3E3D670F"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 xml:space="preserve">Отпадъци от метали опаковки – 89.10 %, при нормативно заложени 50 %; </w:t>
      </w:r>
    </w:p>
    <w:p w14:paraId="54A78ACE"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t>Отпадъци от дървени опаковки – 23.96 %, при нормативно заложени 15%;</w:t>
      </w:r>
    </w:p>
    <w:p w14:paraId="3A84F14E" w14:textId="77777777" w:rsidR="00FE7C6F" w:rsidRPr="00FE7C6F" w:rsidRDefault="00FE7C6F">
      <w:pPr>
        <w:pStyle w:val="ListParagraph"/>
        <w:numPr>
          <w:ilvl w:val="0"/>
          <w:numId w:val="32"/>
        </w:numPr>
        <w:spacing w:after="60" w:line="264" w:lineRule="auto"/>
        <w:jc w:val="both"/>
        <w:rPr>
          <w:color w:val="000000" w:themeColor="text1"/>
          <w:lang w:val="bg-BG"/>
        </w:rPr>
      </w:pPr>
      <w:r w:rsidRPr="00FE7C6F">
        <w:rPr>
          <w:color w:val="000000" w:themeColor="text1"/>
          <w:lang w:val="bg-BG"/>
        </w:rPr>
        <w:lastRenderedPageBreak/>
        <w:t xml:space="preserve"> Отпадъци от стъклени опаковки – 67.24 %, при нормативно заложени 60 %. </w:t>
      </w:r>
    </w:p>
    <w:p w14:paraId="192A0977" w14:textId="09E297E7" w:rsidR="00FE7C6F" w:rsidRPr="00FE7C6F" w:rsidRDefault="00FE7C6F" w:rsidP="00FE7C6F">
      <w:pPr>
        <w:spacing w:after="60" w:line="264" w:lineRule="auto"/>
        <w:ind w:firstLine="708"/>
        <w:jc w:val="both"/>
        <w:rPr>
          <w:rFonts w:cs="Times New Roman"/>
          <w:szCs w:val="24"/>
        </w:rPr>
      </w:pPr>
      <w:r>
        <w:rPr>
          <w:rFonts w:cs="Times New Roman"/>
          <w:szCs w:val="24"/>
        </w:rPr>
        <w:t>С</w:t>
      </w:r>
      <w:r w:rsidRPr="00FE7C6F">
        <w:rPr>
          <w:rFonts w:cs="Times New Roman"/>
          <w:szCs w:val="24"/>
        </w:rPr>
        <w:t>траната е постигнала целите за рециклиране на отпадъци от опаковки.</w:t>
      </w:r>
    </w:p>
    <w:p w14:paraId="7CB9E2AF" w14:textId="77777777" w:rsidR="00FE7C6F" w:rsidRPr="000A791D" w:rsidRDefault="00FE7C6F" w:rsidP="000A791D">
      <w:pPr>
        <w:spacing w:after="60" w:line="264" w:lineRule="auto"/>
        <w:ind w:firstLine="708"/>
        <w:jc w:val="both"/>
        <w:rPr>
          <w:rFonts w:cs="Times New Roman"/>
          <w:szCs w:val="24"/>
        </w:rPr>
      </w:pPr>
      <w:r w:rsidRPr="000A791D">
        <w:rPr>
          <w:rFonts w:cs="Times New Roman"/>
          <w:szCs w:val="24"/>
        </w:rPr>
        <w:t xml:space="preserve">Общата постигната степен на рециклиране за периода е 62.62 %. Специфичен показател, измерващ ефективността на работа на системата за управление на отпадъците от опаковки е количеството рециклиран отпадък на жител за година. За 2020 г. този показател е 48 </w:t>
      </w:r>
      <w:proofErr w:type="spellStart"/>
      <w:r w:rsidRPr="000A791D">
        <w:rPr>
          <w:rFonts w:cs="Times New Roman"/>
          <w:szCs w:val="24"/>
        </w:rPr>
        <w:t>kg</w:t>
      </w:r>
      <w:proofErr w:type="spellEnd"/>
      <w:r w:rsidRPr="000A791D">
        <w:rPr>
          <w:rFonts w:cs="Times New Roman"/>
          <w:szCs w:val="24"/>
        </w:rPr>
        <w:t xml:space="preserve">./жител, като с всяка изминала година се увеличава процента на рециклираните опаковки (например, за 2014 г. този показател е бил 33 </w:t>
      </w:r>
      <w:proofErr w:type="spellStart"/>
      <w:r w:rsidRPr="000A791D">
        <w:rPr>
          <w:rFonts w:cs="Times New Roman"/>
          <w:szCs w:val="24"/>
        </w:rPr>
        <w:t>kg</w:t>
      </w:r>
      <w:proofErr w:type="spellEnd"/>
      <w:r w:rsidRPr="000A791D">
        <w:rPr>
          <w:rFonts w:cs="Times New Roman"/>
          <w:szCs w:val="24"/>
        </w:rPr>
        <w:t>/жител).</w:t>
      </w:r>
    </w:p>
    <w:p w14:paraId="023A4638" w14:textId="0F40A181" w:rsidR="00FE7C6F" w:rsidRPr="000A791D" w:rsidRDefault="00FE7C6F" w:rsidP="000A791D">
      <w:pPr>
        <w:spacing w:after="60" w:line="264" w:lineRule="auto"/>
        <w:ind w:firstLine="708"/>
        <w:jc w:val="both"/>
        <w:rPr>
          <w:rFonts w:cs="Times New Roman"/>
          <w:szCs w:val="24"/>
        </w:rPr>
      </w:pPr>
      <w:r w:rsidRPr="000A791D">
        <w:rPr>
          <w:rFonts w:cs="Times New Roman"/>
          <w:szCs w:val="24"/>
        </w:rPr>
        <w:t>По данни от Организация по оползотворяване на отпадъци от опаковки (</w:t>
      </w:r>
      <w:proofErr w:type="spellStart"/>
      <w:r w:rsidRPr="000A791D">
        <w:rPr>
          <w:rFonts w:cs="Times New Roman"/>
          <w:szCs w:val="24"/>
        </w:rPr>
        <w:t>ООп</w:t>
      </w:r>
      <w:proofErr w:type="spellEnd"/>
      <w:r w:rsidRPr="000A791D">
        <w:rPr>
          <w:rFonts w:cs="Times New Roman"/>
          <w:szCs w:val="24"/>
        </w:rPr>
        <w:t xml:space="preserve">) през 2020 г. в 18 общини, с обхванато население от 6 122 098 жители са изградени системи за разделно събиране на отпадъци от опаковки. 17 общини са обхванати на 100% от системите за разделно събиране – </w:t>
      </w:r>
      <w:r w:rsidR="000A791D">
        <w:rPr>
          <w:rFonts w:cs="Times New Roman"/>
          <w:szCs w:val="24"/>
        </w:rPr>
        <w:fldChar w:fldCharType="begin"/>
      </w:r>
      <w:r w:rsidR="000A791D">
        <w:rPr>
          <w:rFonts w:cs="Times New Roman"/>
          <w:szCs w:val="24"/>
        </w:rPr>
        <w:instrText xml:space="preserve"> REF _Ref113734210 \h </w:instrText>
      </w:r>
      <w:r w:rsidR="000A791D">
        <w:rPr>
          <w:rFonts w:cs="Times New Roman"/>
          <w:szCs w:val="24"/>
        </w:rPr>
      </w:r>
      <w:r w:rsidR="000A791D">
        <w:rPr>
          <w:rFonts w:cs="Times New Roman"/>
          <w:szCs w:val="24"/>
        </w:rPr>
        <w:fldChar w:fldCharType="separate"/>
      </w:r>
      <w:r w:rsidR="00A43EF3" w:rsidRPr="009F6D1E">
        <w:t xml:space="preserve">Фигура </w:t>
      </w:r>
      <w:r w:rsidR="00A43EF3">
        <w:rPr>
          <w:noProof/>
        </w:rPr>
        <w:t>55</w:t>
      </w:r>
      <w:r w:rsidR="000A791D">
        <w:rPr>
          <w:rFonts w:cs="Times New Roman"/>
          <w:szCs w:val="24"/>
        </w:rPr>
        <w:fldChar w:fldCharType="end"/>
      </w:r>
      <w:r w:rsidRPr="000A791D">
        <w:rPr>
          <w:rFonts w:cs="Times New Roman"/>
          <w:szCs w:val="24"/>
        </w:rPr>
        <w:t>.</w:t>
      </w:r>
    </w:p>
    <w:p w14:paraId="10A48287" w14:textId="77777777" w:rsidR="00FE7C6F" w:rsidRPr="00B75AA0" w:rsidRDefault="00FE7C6F" w:rsidP="00FE7C6F">
      <w:pPr>
        <w:tabs>
          <w:tab w:val="left" w:pos="1771"/>
        </w:tabs>
        <w:suppressAutoHyphens/>
        <w:spacing w:before="80" w:after="120" w:line="240" w:lineRule="auto"/>
        <w:jc w:val="center"/>
      </w:pPr>
      <w:r>
        <w:rPr>
          <w:noProof/>
          <w:lang w:val="en-US"/>
        </w:rPr>
        <w:drawing>
          <wp:inline distT="0" distB="0" distL="0" distR="0" wp14:anchorId="2209F93E" wp14:editId="73AB794A">
            <wp:extent cx="4932000" cy="3160735"/>
            <wp:effectExtent l="0" t="0" r="2540" b="190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2495"/>
                    <a:stretch/>
                  </pic:blipFill>
                  <pic:spPr bwMode="auto">
                    <a:xfrm>
                      <a:off x="0" y="0"/>
                      <a:ext cx="4932000" cy="3160735"/>
                    </a:xfrm>
                    <a:prstGeom prst="rect">
                      <a:avLst/>
                    </a:prstGeom>
                    <a:ln>
                      <a:noFill/>
                    </a:ln>
                    <a:extLst>
                      <a:ext uri="{53640926-AAD7-44D8-BBD7-CCE9431645EC}">
                        <a14:shadowObscured xmlns:a14="http://schemas.microsoft.com/office/drawing/2010/main"/>
                      </a:ext>
                    </a:extLst>
                  </pic:spPr>
                </pic:pic>
              </a:graphicData>
            </a:graphic>
          </wp:inline>
        </w:drawing>
      </w:r>
    </w:p>
    <w:p w14:paraId="123020A8" w14:textId="65BB072F" w:rsidR="00FE7C6F" w:rsidRPr="00B75AA0" w:rsidRDefault="000A791D" w:rsidP="00FE7C6F">
      <w:pPr>
        <w:pStyle w:val="Caption"/>
      </w:pPr>
      <w:bookmarkStart w:id="323" w:name="_Ref113734210"/>
      <w:bookmarkStart w:id="324" w:name="_Toc104542552"/>
      <w:bookmarkStart w:id="325" w:name="_Toc112099251"/>
      <w:bookmarkStart w:id="326" w:name="_Toc115255116"/>
      <w:bookmarkStart w:id="327" w:name="_Hlk104367440"/>
      <w:r w:rsidRPr="009F6D1E">
        <w:t xml:space="preserve">Фигура </w:t>
      </w:r>
      <w:fldSimple w:instr=" SEQ Фигура \* ARABIC ">
        <w:r w:rsidR="00A43EF3">
          <w:rPr>
            <w:noProof/>
          </w:rPr>
          <w:t>55</w:t>
        </w:r>
      </w:fldSimple>
      <w:bookmarkEnd w:id="323"/>
      <w:r w:rsidRPr="009F6D1E">
        <w:t>:</w:t>
      </w:r>
      <w:r>
        <w:t xml:space="preserve"> </w:t>
      </w:r>
      <w:r w:rsidR="00FE7C6F" w:rsidRPr="00B75AA0">
        <w:t>Обхванати общини от системите за разделно събиране.</w:t>
      </w:r>
      <w:bookmarkEnd w:id="324"/>
      <w:bookmarkEnd w:id="325"/>
      <w:bookmarkEnd w:id="326"/>
    </w:p>
    <w:bookmarkEnd w:id="327"/>
    <w:p w14:paraId="513F3692" w14:textId="77777777" w:rsidR="00EB476D" w:rsidRPr="009F6D1E" w:rsidRDefault="00EB476D" w:rsidP="0084747F">
      <w:pPr>
        <w:spacing w:after="60" w:line="264" w:lineRule="auto"/>
        <w:jc w:val="center"/>
        <w:rPr>
          <w:rFonts w:cs="Times New Roman"/>
          <w:color w:val="4472C4" w:themeColor="accent1"/>
          <w:szCs w:val="24"/>
        </w:rPr>
      </w:pPr>
    </w:p>
    <w:p w14:paraId="011D6612"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Отработени масла</w:t>
      </w:r>
    </w:p>
    <w:p w14:paraId="5FE16AA6" w14:textId="5435EB5D"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Съгласно </w:t>
      </w:r>
      <w:r w:rsidR="00464F68">
        <w:rPr>
          <w:rFonts w:cs="Times New Roman"/>
          <w:szCs w:val="24"/>
        </w:rPr>
        <w:t xml:space="preserve">наличната към момента </w:t>
      </w:r>
      <w:r w:rsidRPr="009F6D1E">
        <w:rPr>
          <w:rFonts w:cs="Times New Roman"/>
          <w:szCs w:val="24"/>
        </w:rPr>
        <w:t>събрана и обобщена в ИАОС информация, през 2019 г. са оползотворени 15769,779 т ОМ, от които 15220,63 т чрез регенериране и 549,149 т по други методи.</w:t>
      </w:r>
    </w:p>
    <w:p w14:paraId="65C53F4A"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В резултат на регенерирането на ОМ са получени продукти - смазки, </w:t>
      </w:r>
      <w:proofErr w:type="spellStart"/>
      <w:r w:rsidRPr="009F6D1E">
        <w:rPr>
          <w:rFonts w:cs="Times New Roman"/>
          <w:szCs w:val="24"/>
        </w:rPr>
        <w:t>гудронен</w:t>
      </w:r>
      <w:proofErr w:type="spellEnd"/>
      <w:r w:rsidRPr="009F6D1E">
        <w:rPr>
          <w:rFonts w:cs="Times New Roman"/>
          <w:szCs w:val="24"/>
        </w:rPr>
        <w:t xml:space="preserve"> битум, тежко гориво, </w:t>
      </w:r>
      <w:proofErr w:type="spellStart"/>
      <w:r w:rsidRPr="009F6D1E">
        <w:rPr>
          <w:rFonts w:cs="Times New Roman"/>
          <w:szCs w:val="24"/>
        </w:rPr>
        <w:t>консервационни</w:t>
      </w:r>
      <w:proofErr w:type="spellEnd"/>
      <w:r w:rsidRPr="009F6D1E">
        <w:rPr>
          <w:rFonts w:cs="Times New Roman"/>
          <w:szCs w:val="24"/>
        </w:rPr>
        <w:t xml:space="preserve"> смазки, базови масла и др., като 39974,925 т от тях са реализирани на пазара, а 422,208 т са складова наличност. </w:t>
      </w:r>
    </w:p>
    <w:p w14:paraId="5B19EF25"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През годината са оползотворени и 2894,3 т отработени масла и отпадъчни нефтопродукти, чиито кодове по Наредба № 2 от 23 юли 2014 г. за класификация на отпадъците не са част от Регламента на статистиката – </w:t>
      </w:r>
      <w:proofErr w:type="spellStart"/>
      <w:r w:rsidRPr="009F6D1E">
        <w:rPr>
          <w:rFonts w:cs="Times New Roman"/>
          <w:szCs w:val="24"/>
        </w:rPr>
        <w:t>трюмови</w:t>
      </w:r>
      <w:proofErr w:type="spellEnd"/>
      <w:r w:rsidRPr="009F6D1E">
        <w:rPr>
          <w:rFonts w:cs="Times New Roman"/>
          <w:szCs w:val="24"/>
        </w:rPr>
        <w:t xml:space="preserve"> масла от речно корабоплаване; </w:t>
      </w:r>
      <w:proofErr w:type="spellStart"/>
      <w:r w:rsidRPr="009F6D1E">
        <w:rPr>
          <w:rFonts w:cs="Times New Roman"/>
          <w:szCs w:val="24"/>
        </w:rPr>
        <w:lastRenderedPageBreak/>
        <w:t>трюмови</w:t>
      </w:r>
      <w:proofErr w:type="spellEnd"/>
      <w:r w:rsidRPr="009F6D1E">
        <w:rPr>
          <w:rFonts w:cs="Times New Roman"/>
          <w:szCs w:val="24"/>
        </w:rPr>
        <w:t xml:space="preserve"> масла от други видове корабоплаване; отпадъци, съдържащи масла и нефтопродукти; масла и концентрати от сепариране/разделяне, които са зачетени за изпълнение на целите на лицата, които изпълняват задълженията си индивидуално и </w:t>
      </w:r>
      <w:proofErr w:type="spellStart"/>
      <w:r w:rsidRPr="009F6D1E">
        <w:rPr>
          <w:rFonts w:cs="Times New Roman"/>
          <w:szCs w:val="24"/>
        </w:rPr>
        <w:t>ООп</w:t>
      </w:r>
      <w:proofErr w:type="spellEnd"/>
    </w:p>
    <w:p w14:paraId="0CF8428D"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През 2019 г. са обезвредени 395,744 т. ОМ с код на операция по обезвреждане D 09 (физико-химично третиране) съгласно Приложение № 1 от допълнителните разпоредби на ЗУО.</w:t>
      </w:r>
    </w:p>
    <w:p w14:paraId="2B1DC21D"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Съгласно данните за пуснатите на пазара масла и оползотворените отработени масла, постигнатата национална цел по оползотворяване през 2019 г. е 44,59 %. </w:t>
      </w:r>
    </w:p>
    <w:p w14:paraId="2FAC906D" w14:textId="26A8EF8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На </w:t>
      </w:r>
      <w:r w:rsidR="003F3D71" w:rsidRPr="009F6D1E">
        <w:rPr>
          <w:rFonts w:cs="Times New Roman"/>
          <w:szCs w:val="24"/>
        </w:rPr>
        <w:fldChar w:fldCharType="begin"/>
      </w:r>
      <w:r w:rsidR="00014329" w:rsidRPr="009F6D1E">
        <w:rPr>
          <w:rFonts w:cs="Times New Roman"/>
          <w:szCs w:val="24"/>
        </w:rPr>
        <w:instrText xml:space="preserve"> REF _Ref107169230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56</w:t>
      </w:r>
      <w:r w:rsidR="003F3D71" w:rsidRPr="009F6D1E">
        <w:rPr>
          <w:rFonts w:cs="Times New Roman"/>
          <w:szCs w:val="24"/>
        </w:rPr>
        <w:fldChar w:fldCharType="end"/>
      </w:r>
      <w:r w:rsidRPr="009F6D1E">
        <w:rPr>
          <w:rFonts w:cs="Times New Roman"/>
          <w:szCs w:val="24"/>
        </w:rPr>
        <w:t xml:space="preserve"> по-долу е изобразено съотношението между заложената и изпълнената цел по оползотворяване на ОМ на национално ниво за целия период от влизане в сила на нормативен акт за управление на отпадъците от отработени масла.</w:t>
      </w:r>
    </w:p>
    <w:p w14:paraId="0A2D80CA" w14:textId="77777777" w:rsidR="00EB476D" w:rsidRPr="009F6D1E" w:rsidRDefault="00EB476D" w:rsidP="0084747F">
      <w:pPr>
        <w:spacing w:after="60" w:line="264" w:lineRule="auto"/>
        <w:jc w:val="center"/>
        <w:rPr>
          <w:rFonts w:cs="Times New Roman"/>
          <w:szCs w:val="24"/>
        </w:rPr>
      </w:pPr>
      <w:r w:rsidRPr="009F6D1E">
        <w:rPr>
          <w:rFonts w:cs="Times New Roman"/>
          <w:noProof/>
          <w:szCs w:val="24"/>
          <w:lang w:val="en-US"/>
        </w:rPr>
        <w:drawing>
          <wp:inline distT="0" distB="0" distL="0" distR="0" wp14:anchorId="436E954E" wp14:editId="0462ADBA">
            <wp:extent cx="5654530" cy="3398815"/>
            <wp:effectExtent l="0" t="0" r="3810" b="0"/>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5654530" cy="3398815"/>
                    </a:xfrm>
                    <a:prstGeom prst="rect">
                      <a:avLst/>
                    </a:prstGeom>
                  </pic:spPr>
                </pic:pic>
              </a:graphicData>
            </a:graphic>
          </wp:inline>
        </w:drawing>
      </w:r>
    </w:p>
    <w:p w14:paraId="0EB27B09" w14:textId="6C90CE4C" w:rsidR="00EB476D" w:rsidRPr="009F6D1E" w:rsidRDefault="00014329" w:rsidP="00014329">
      <w:pPr>
        <w:pStyle w:val="Caption"/>
        <w:rPr>
          <w:bCs/>
        </w:rPr>
      </w:pPr>
      <w:bookmarkStart w:id="328" w:name="_Ref107169230"/>
      <w:bookmarkStart w:id="329" w:name="_Toc115255117"/>
      <w:r w:rsidRPr="009F6D1E">
        <w:t xml:space="preserve">Фигура </w:t>
      </w:r>
      <w:fldSimple w:instr=" SEQ Фигура \* ARABIC ">
        <w:r w:rsidR="00A43EF3">
          <w:rPr>
            <w:noProof/>
          </w:rPr>
          <w:t>56</w:t>
        </w:r>
      </w:fldSimple>
      <w:bookmarkEnd w:id="328"/>
      <w:r w:rsidRPr="009F6D1E">
        <w:t xml:space="preserve">: </w:t>
      </w:r>
      <w:r w:rsidR="00EB476D" w:rsidRPr="009F6D1E">
        <w:rPr>
          <w:bCs/>
        </w:rPr>
        <w:t>Съотношение между заложената и изпълнената цел по оползотворяване на ОМ на национално ниво за целия период от влизане в сила на нормативен акт за управление на отпадъците от отработени масла</w:t>
      </w:r>
      <w:bookmarkEnd w:id="329"/>
    </w:p>
    <w:p w14:paraId="7026BDD7" w14:textId="77777777" w:rsidR="00EB476D" w:rsidRPr="009F6D1E" w:rsidRDefault="00EB476D" w:rsidP="0084747F">
      <w:pPr>
        <w:spacing w:after="60" w:line="264" w:lineRule="auto"/>
        <w:jc w:val="center"/>
        <w:rPr>
          <w:rFonts w:cs="Times New Roman"/>
          <w:szCs w:val="24"/>
        </w:rPr>
      </w:pPr>
    </w:p>
    <w:p w14:paraId="194DDC71"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Излезли от употреба гуми</w:t>
      </w:r>
    </w:p>
    <w:p w14:paraId="5B0E8DED" w14:textId="7C5E19FE"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Съгласно </w:t>
      </w:r>
      <w:r w:rsidR="00464F68">
        <w:rPr>
          <w:rFonts w:cs="Times New Roman"/>
          <w:szCs w:val="24"/>
        </w:rPr>
        <w:t>последните налични данни от</w:t>
      </w:r>
      <w:r w:rsidRPr="009F6D1E">
        <w:rPr>
          <w:rFonts w:cs="Times New Roman"/>
          <w:szCs w:val="24"/>
        </w:rPr>
        <w:t xml:space="preserve"> ИАОС през 2019 г. количеството на образуваните през годината излезли от употреба гуми е 39 433t., а количеството на оползотворените – 36 878t.</w:t>
      </w:r>
    </w:p>
    <w:p w14:paraId="5867A3C0" w14:textId="7E205415"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На </w:t>
      </w:r>
      <w:r w:rsidR="003F3D71" w:rsidRPr="009F6D1E">
        <w:rPr>
          <w:rFonts w:cs="Times New Roman"/>
          <w:szCs w:val="24"/>
        </w:rPr>
        <w:fldChar w:fldCharType="begin"/>
      </w:r>
      <w:r w:rsidR="00014329" w:rsidRPr="009F6D1E">
        <w:rPr>
          <w:rFonts w:cs="Times New Roman"/>
          <w:szCs w:val="24"/>
        </w:rPr>
        <w:instrText xml:space="preserve"> REF _Ref107169274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57</w:t>
      </w:r>
      <w:r w:rsidR="003F3D71" w:rsidRPr="009F6D1E">
        <w:rPr>
          <w:rFonts w:cs="Times New Roman"/>
          <w:szCs w:val="24"/>
        </w:rPr>
        <w:fldChar w:fldCharType="end"/>
      </w:r>
      <w:r w:rsidRPr="009F6D1E">
        <w:rPr>
          <w:rFonts w:cs="Times New Roman"/>
          <w:szCs w:val="24"/>
        </w:rPr>
        <w:t xml:space="preserve"> по-долу е изобразено дяловото разпределение на оползотворените излезли от употреба гуми. Най – голям е дела на ИУГ, преработени за суровини – 73%, 22% са </w:t>
      </w:r>
      <w:r w:rsidRPr="009F6D1E">
        <w:rPr>
          <w:rFonts w:cs="Times New Roman"/>
          <w:szCs w:val="24"/>
        </w:rPr>
        <w:lastRenderedPageBreak/>
        <w:t>ИУГ изгорени с оползотворяване на енергията, 3% - оползотворени по друг начин, 2% са регенерираните гуми; незначителен е дела на тези, които са изнесени с цел оползотворяване.</w:t>
      </w:r>
    </w:p>
    <w:p w14:paraId="1B01D0BF" w14:textId="77777777" w:rsidR="00EB476D" w:rsidRPr="009F6D1E" w:rsidRDefault="00EB476D" w:rsidP="0084747F">
      <w:pPr>
        <w:spacing w:after="60" w:line="264" w:lineRule="auto"/>
        <w:jc w:val="center"/>
        <w:rPr>
          <w:rFonts w:cs="Times New Roman"/>
          <w:szCs w:val="24"/>
        </w:rPr>
      </w:pPr>
      <w:r w:rsidRPr="009F6D1E">
        <w:rPr>
          <w:rFonts w:cs="Times New Roman"/>
          <w:noProof/>
          <w:szCs w:val="24"/>
          <w:lang w:val="en-US"/>
        </w:rPr>
        <w:drawing>
          <wp:inline distT="0" distB="0" distL="0" distR="0" wp14:anchorId="58AF7616" wp14:editId="5E5208B3">
            <wp:extent cx="5943600" cy="3684905"/>
            <wp:effectExtent l="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stretch>
                      <a:fillRect/>
                    </a:stretch>
                  </pic:blipFill>
                  <pic:spPr>
                    <a:xfrm>
                      <a:off x="0" y="0"/>
                      <a:ext cx="5943600" cy="3684905"/>
                    </a:xfrm>
                    <a:prstGeom prst="rect">
                      <a:avLst/>
                    </a:prstGeom>
                  </pic:spPr>
                </pic:pic>
              </a:graphicData>
            </a:graphic>
          </wp:inline>
        </w:drawing>
      </w:r>
    </w:p>
    <w:p w14:paraId="2FB1FA9E" w14:textId="6B681BDC" w:rsidR="00EB476D" w:rsidRPr="009F6D1E" w:rsidRDefault="00014329" w:rsidP="00014329">
      <w:pPr>
        <w:pStyle w:val="Caption"/>
        <w:rPr>
          <w:bCs/>
        </w:rPr>
      </w:pPr>
      <w:bookmarkStart w:id="330" w:name="_Ref107169274"/>
      <w:bookmarkStart w:id="331" w:name="_Toc115255118"/>
      <w:r w:rsidRPr="009F6D1E">
        <w:t xml:space="preserve">Фигура </w:t>
      </w:r>
      <w:fldSimple w:instr=" SEQ Фигура \* ARABIC ">
        <w:r w:rsidR="00A43EF3">
          <w:rPr>
            <w:noProof/>
          </w:rPr>
          <w:t>57</w:t>
        </w:r>
      </w:fldSimple>
      <w:bookmarkEnd w:id="330"/>
      <w:r w:rsidRPr="009F6D1E">
        <w:t xml:space="preserve">: </w:t>
      </w:r>
      <w:r w:rsidR="00EB476D" w:rsidRPr="009F6D1E">
        <w:rPr>
          <w:bCs/>
        </w:rPr>
        <w:t>Дялово разпределение на оползотворените през 2019 г. ИУГ.</w:t>
      </w:r>
      <w:bookmarkEnd w:id="331"/>
    </w:p>
    <w:p w14:paraId="59E840F6"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През отчетната 2019 г. лицата, пускащи на пазара гуми, отговарят за оползотворяването на не по-малко от 65 на сто и за рециклирането и/или регенерирането на не по-малко от 45 на сто от количеството (в тонове) гуми пуснати от тях на пазара на Република България. </w:t>
      </w:r>
    </w:p>
    <w:p w14:paraId="3E10F4BC"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Всички организации по оползотворяване на излезли от употреба гуми, общо шест действащи на територията на страната, са изпълнили целите по оползотворяване и рециклиране. Общото изпълнение на целта по чл. 8, ал. 1, съгл. сроковете по § 2, ал. 1, т. 6 от ПЗР на Наредбата е както следва: </w:t>
      </w:r>
    </w:p>
    <w:p w14:paraId="2B89A232"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Количество пуснати на пазара гуми, (t) - 43745,77;</w:t>
      </w:r>
    </w:p>
    <w:p w14:paraId="5A202018"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Количество на рециклираните ИУГ, (t) - 27136,774;</w:t>
      </w:r>
    </w:p>
    <w:p w14:paraId="1D7C20F2"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Общо оползотворени ИУГ, (t) - 28835,899.</w:t>
      </w:r>
    </w:p>
    <w:p w14:paraId="3E08B0CA"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Изпълнената цел по рециклиране е 62,03%, а по оползотворяване – 65,91% т.е. надвишават целите, заложени в Наредбата.</w:t>
      </w:r>
    </w:p>
    <w:p w14:paraId="6E731D28"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Съгласно данните за пуснатите на пазара гуми и оползотворените излезли от употреба гуми за 2019г, постигнатата национална цел по оползотворяване е 84,30% при нормативно заложени 65%, а постигнатата национална цел по рециклиране и/или регенериране е 63,09% при нормативно заложени 45%. </w:t>
      </w:r>
    </w:p>
    <w:p w14:paraId="51327753" w14:textId="1F412FA5" w:rsidR="00EB476D" w:rsidRPr="009F6D1E" w:rsidRDefault="00EB476D" w:rsidP="0084747F">
      <w:pPr>
        <w:spacing w:after="60" w:line="264" w:lineRule="auto"/>
        <w:ind w:firstLine="708"/>
        <w:jc w:val="both"/>
        <w:rPr>
          <w:rFonts w:cs="Times New Roman"/>
          <w:szCs w:val="24"/>
        </w:rPr>
      </w:pPr>
      <w:r w:rsidRPr="009F6D1E">
        <w:rPr>
          <w:rFonts w:cs="Times New Roman"/>
          <w:szCs w:val="24"/>
        </w:rPr>
        <w:lastRenderedPageBreak/>
        <w:t xml:space="preserve">На </w:t>
      </w:r>
      <w:r w:rsidR="003F3D71" w:rsidRPr="009F6D1E">
        <w:rPr>
          <w:rFonts w:cs="Times New Roman"/>
          <w:szCs w:val="24"/>
        </w:rPr>
        <w:fldChar w:fldCharType="begin"/>
      </w:r>
      <w:r w:rsidR="00014329" w:rsidRPr="009F6D1E">
        <w:rPr>
          <w:rFonts w:cs="Times New Roman"/>
          <w:szCs w:val="24"/>
        </w:rPr>
        <w:instrText xml:space="preserve"> REF _Ref107169314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58</w:t>
      </w:r>
      <w:r w:rsidR="003F3D71" w:rsidRPr="009F6D1E">
        <w:rPr>
          <w:rFonts w:cs="Times New Roman"/>
          <w:szCs w:val="24"/>
        </w:rPr>
        <w:fldChar w:fldCharType="end"/>
      </w:r>
      <w:r w:rsidRPr="009F6D1E">
        <w:rPr>
          <w:rFonts w:cs="Times New Roman"/>
          <w:szCs w:val="24"/>
        </w:rPr>
        <w:t xml:space="preserve"> по-долу е представена информация за съотношението между заложените и изпълнените цели по оползотворяване на ИУГ на национално ниво за периода от влизане в сила на нормативният акт за управление отпадъците от излезли от употреба гуми. </w:t>
      </w:r>
    </w:p>
    <w:p w14:paraId="1818854B" w14:textId="77777777" w:rsidR="00EB476D" w:rsidRPr="009F6D1E" w:rsidRDefault="00EB476D" w:rsidP="0084747F">
      <w:pPr>
        <w:spacing w:after="60" w:line="264" w:lineRule="auto"/>
        <w:jc w:val="center"/>
        <w:rPr>
          <w:rFonts w:cs="Times New Roman"/>
          <w:szCs w:val="24"/>
        </w:rPr>
      </w:pPr>
      <w:r w:rsidRPr="009F6D1E">
        <w:rPr>
          <w:rFonts w:cs="Times New Roman"/>
          <w:noProof/>
          <w:szCs w:val="24"/>
          <w:lang w:val="en-US"/>
        </w:rPr>
        <w:drawing>
          <wp:inline distT="0" distB="0" distL="0" distR="0" wp14:anchorId="0C24ABA6" wp14:editId="75D9B301">
            <wp:extent cx="5943600" cy="3454400"/>
            <wp:effectExtent l="0" t="0" r="0"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5943600" cy="3454400"/>
                    </a:xfrm>
                    <a:prstGeom prst="rect">
                      <a:avLst/>
                    </a:prstGeom>
                  </pic:spPr>
                </pic:pic>
              </a:graphicData>
            </a:graphic>
          </wp:inline>
        </w:drawing>
      </w:r>
    </w:p>
    <w:p w14:paraId="7FBE556D" w14:textId="695A57E5" w:rsidR="00EB476D" w:rsidRPr="009F6D1E" w:rsidRDefault="00014329" w:rsidP="00014329">
      <w:pPr>
        <w:pStyle w:val="Caption"/>
        <w:rPr>
          <w:bCs/>
        </w:rPr>
      </w:pPr>
      <w:bookmarkStart w:id="332" w:name="_Ref107169314"/>
      <w:bookmarkStart w:id="333" w:name="_Toc115255119"/>
      <w:r w:rsidRPr="009F6D1E">
        <w:t xml:space="preserve">Фигура </w:t>
      </w:r>
      <w:fldSimple w:instr=" SEQ Фигура \* ARABIC ">
        <w:r w:rsidR="00A43EF3">
          <w:rPr>
            <w:noProof/>
          </w:rPr>
          <w:t>58</w:t>
        </w:r>
      </w:fldSimple>
      <w:bookmarkEnd w:id="332"/>
      <w:r w:rsidRPr="009F6D1E">
        <w:t xml:space="preserve">: </w:t>
      </w:r>
      <w:r w:rsidR="00EB476D" w:rsidRPr="009F6D1E">
        <w:rPr>
          <w:bCs/>
        </w:rPr>
        <w:t>Съотношение между заложената и изпълнената цел по оползотворяване</w:t>
      </w:r>
      <w:bookmarkEnd w:id="333"/>
    </w:p>
    <w:p w14:paraId="43E025DE" w14:textId="06DC26B5"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На </w:t>
      </w:r>
      <w:r w:rsidR="003F3D71" w:rsidRPr="009F6D1E">
        <w:rPr>
          <w:rFonts w:cs="Times New Roman"/>
          <w:szCs w:val="24"/>
        </w:rPr>
        <w:fldChar w:fldCharType="begin"/>
      </w:r>
      <w:r w:rsidR="00014329" w:rsidRPr="009F6D1E">
        <w:rPr>
          <w:rFonts w:cs="Times New Roman"/>
          <w:szCs w:val="24"/>
        </w:rPr>
        <w:instrText xml:space="preserve"> REF _Ref107169369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59</w:t>
      </w:r>
      <w:r w:rsidR="003F3D71" w:rsidRPr="009F6D1E">
        <w:rPr>
          <w:rFonts w:cs="Times New Roman"/>
          <w:szCs w:val="24"/>
        </w:rPr>
        <w:fldChar w:fldCharType="end"/>
      </w:r>
      <w:r w:rsidR="00014329" w:rsidRPr="009F6D1E">
        <w:rPr>
          <w:rFonts w:cs="Times New Roman"/>
          <w:szCs w:val="24"/>
        </w:rPr>
        <w:t xml:space="preserve"> </w:t>
      </w:r>
      <w:r w:rsidRPr="009F6D1E">
        <w:rPr>
          <w:rFonts w:cs="Times New Roman"/>
          <w:szCs w:val="24"/>
        </w:rPr>
        <w:t>е изобразено съотношението между заложената и изпълнената цел по регенериране и/или рециклиране на национално ниво, което показва изпълнение на нормативно заложената цел, както през годините следващи влизането в сила на Наредбата и прилагане на чл. 8, ал.1, т.2 от същата, така и през 2019г.</w:t>
      </w:r>
    </w:p>
    <w:p w14:paraId="09198573" w14:textId="77777777" w:rsidR="00EB476D" w:rsidRPr="009F6D1E" w:rsidRDefault="00EB476D"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lastRenderedPageBreak/>
        <w:drawing>
          <wp:inline distT="0" distB="0" distL="0" distR="0" wp14:anchorId="3BB513F1" wp14:editId="2CCAD1A7">
            <wp:extent cx="5943600" cy="3841750"/>
            <wp:effectExtent l="0" t="0" r="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5943600" cy="3841750"/>
                    </a:xfrm>
                    <a:prstGeom prst="rect">
                      <a:avLst/>
                    </a:prstGeom>
                  </pic:spPr>
                </pic:pic>
              </a:graphicData>
            </a:graphic>
          </wp:inline>
        </w:drawing>
      </w:r>
    </w:p>
    <w:p w14:paraId="3321516A" w14:textId="14491820" w:rsidR="00EB476D" w:rsidRPr="009F6D1E" w:rsidRDefault="00014329" w:rsidP="00014329">
      <w:pPr>
        <w:pStyle w:val="Caption"/>
        <w:rPr>
          <w:bCs/>
        </w:rPr>
      </w:pPr>
      <w:bookmarkStart w:id="334" w:name="_Ref107169369"/>
      <w:bookmarkStart w:id="335" w:name="_Toc115255120"/>
      <w:r w:rsidRPr="009F6D1E">
        <w:t xml:space="preserve">Фигура </w:t>
      </w:r>
      <w:fldSimple w:instr=" SEQ Фигура \* ARABIC ">
        <w:r w:rsidR="00A43EF3">
          <w:rPr>
            <w:noProof/>
          </w:rPr>
          <w:t>59</w:t>
        </w:r>
      </w:fldSimple>
      <w:bookmarkEnd w:id="334"/>
      <w:r w:rsidRPr="009F6D1E">
        <w:t xml:space="preserve">: </w:t>
      </w:r>
      <w:r w:rsidR="00EB476D" w:rsidRPr="009F6D1E">
        <w:rPr>
          <w:bCs/>
        </w:rPr>
        <w:t xml:space="preserve"> Съотношение между заложената и изпълнената цел по регенериране и/или рециклиране</w:t>
      </w:r>
      <w:bookmarkEnd w:id="335"/>
    </w:p>
    <w:p w14:paraId="203D11AC"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Излязло от употреба електрическо и електронно оборудване (ИУЕЕО)</w:t>
      </w:r>
    </w:p>
    <w:p w14:paraId="61DBB5DE"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Организациите по оползотворяване, които притежават разрешение, издадено по реда на глава пета, раздел IV от ЗУО, изпълняват задълженията за събиране на ИУЕЕО, чрез сключени договори с фирми подизпълнители, които притежават разрешение за дейности с ИУЕЕО. Основната схема за събиране на ИУЕЕО, образувано от бита е чрез мрежа от пунктове, в които домакинствата предават ИУЕЕО от всички групи. Други разпространени схеми са чрез мобилни събирателни пунктове и събиране на ИУЕЕО по заявка от домакинствата.</w:t>
      </w:r>
    </w:p>
    <w:p w14:paraId="44DD034E"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Събраното количество ИУЕЕО от бита е извършено без заплащане от страна на крайните потребители, като събирането се извършва както в обекти на фирмите, притежаващи разрешение за дейности с ИУЕЕО, така и в търговските обекти за продажба на ЕЕО на крайните потребители.</w:t>
      </w:r>
    </w:p>
    <w:p w14:paraId="542F246A" w14:textId="0B28A205" w:rsidR="00464F68" w:rsidRDefault="00464F68" w:rsidP="0084747F">
      <w:pPr>
        <w:spacing w:after="60" w:line="264" w:lineRule="auto"/>
        <w:ind w:firstLine="708"/>
        <w:jc w:val="both"/>
        <w:rPr>
          <w:rFonts w:cs="Times New Roman"/>
          <w:szCs w:val="24"/>
        </w:rPr>
      </w:pPr>
      <w:r>
        <w:rPr>
          <w:rFonts w:cs="Times New Roman"/>
          <w:szCs w:val="24"/>
        </w:rPr>
        <w:t>Последните налични данни за дадения вид отпадък е за 2019 год.</w:t>
      </w:r>
    </w:p>
    <w:p w14:paraId="6DD49243" w14:textId="411816CA"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Въз основа на получените данни от лицата пускащи на пазара ЕЕО, количеството EEO, пуснато на пазара на Република България за 2019 г. е 89 130,093 </w:t>
      </w:r>
      <w:proofErr w:type="spellStart"/>
      <w:r w:rsidRPr="009F6D1E">
        <w:rPr>
          <w:rFonts w:cs="Times New Roman"/>
          <w:szCs w:val="24"/>
        </w:rPr>
        <w:t>kg</w:t>
      </w:r>
      <w:proofErr w:type="spellEnd"/>
      <w:r w:rsidRPr="009F6D1E">
        <w:rPr>
          <w:rFonts w:cs="Times New Roman"/>
          <w:szCs w:val="24"/>
        </w:rPr>
        <w:t>.</w:t>
      </w:r>
    </w:p>
    <w:p w14:paraId="0EFC06C2"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През 2019 г. най – голям е делът на събраното ИУЕЕО от категория „големи уреди“, а най-малък от категория „лампи“. През последните години се запазва тенденцията за събраното ИУЕЕО по отделните категории.</w:t>
      </w:r>
    </w:p>
    <w:p w14:paraId="759C0209" w14:textId="61372847" w:rsidR="00EB476D" w:rsidRPr="009F6D1E" w:rsidRDefault="00EB476D" w:rsidP="0084747F">
      <w:pPr>
        <w:spacing w:after="60" w:line="264" w:lineRule="auto"/>
        <w:ind w:firstLine="708"/>
        <w:jc w:val="both"/>
        <w:rPr>
          <w:rFonts w:cs="Times New Roman"/>
          <w:szCs w:val="24"/>
        </w:rPr>
      </w:pPr>
      <w:r w:rsidRPr="009F6D1E">
        <w:rPr>
          <w:rFonts w:cs="Times New Roman"/>
          <w:szCs w:val="24"/>
        </w:rPr>
        <w:lastRenderedPageBreak/>
        <w:t xml:space="preserve">На </w:t>
      </w:r>
      <w:r w:rsidR="003F3D71" w:rsidRPr="009F6D1E">
        <w:rPr>
          <w:rFonts w:cs="Times New Roman"/>
          <w:szCs w:val="24"/>
        </w:rPr>
        <w:fldChar w:fldCharType="begin"/>
      </w:r>
      <w:r w:rsidR="00014329" w:rsidRPr="009F6D1E">
        <w:rPr>
          <w:rFonts w:cs="Times New Roman"/>
          <w:szCs w:val="24"/>
        </w:rPr>
        <w:instrText xml:space="preserve"> REF _Ref107169431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60</w:t>
      </w:r>
      <w:r w:rsidR="003F3D71" w:rsidRPr="009F6D1E">
        <w:rPr>
          <w:rFonts w:cs="Times New Roman"/>
          <w:szCs w:val="24"/>
        </w:rPr>
        <w:fldChar w:fldCharType="end"/>
      </w:r>
      <w:r w:rsidRPr="009F6D1E">
        <w:rPr>
          <w:rFonts w:cs="Times New Roman"/>
          <w:szCs w:val="24"/>
        </w:rPr>
        <w:t xml:space="preserve"> е представено съотношението между оползотворените (в т.ч. рециклирани и повторно употребени), обезвредените и временно съхранените материали по категории, получени в резултат на предварителното третиране на ИУЕЕО.</w:t>
      </w:r>
    </w:p>
    <w:p w14:paraId="7D0710FF" w14:textId="77777777" w:rsidR="00EB476D" w:rsidRPr="009F6D1E" w:rsidRDefault="00EB476D" w:rsidP="0084747F">
      <w:pPr>
        <w:spacing w:after="60" w:line="264" w:lineRule="auto"/>
        <w:jc w:val="center"/>
        <w:rPr>
          <w:rFonts w:cs="Times New Roman"/>
          <w:szCs w:val="24"/>
        </w:rPr>
      </w:pPr>
      <w:r w:rsidRPr="009F6D1E">
        <w:rPr>
          <w:rFonts w:cs="Times New Roman"/>
          <w:noProof/>
          <w:szCs w:val="24"/>
          <w:lang w:val="en-US"/>
        </w:rPr>
        <w:drawing>
          <wp:inline distT="0" distB="0" distL="0" distR="0" wp14:anchorId="7BD9C9FB" wp14:editId="6D26ABF9">
            <wp:extent cx="5601185" cy="2751058"/>
            <wp:effectExtent l="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5601185" cy="2751058"/>
                    </a:xfrm>
                    <a:prstGeom prst="rect">
                      <a:avLst/>
                    </a:prstGeom>
                  </pic:spPr>
                </pic:pic>
              </a:graphicData>
            </a:graphic>
          </wp:inline>
        </w:drawing>
      </w:r>
    </w:p>
    <w:p w14:paraId="1323FF0D" w14:textId="73F81540" w:rsidR="00EB476D" w:rsidRPr="009F6D1E" w:rsidRDefault="00014329" w:rsidP="00014329">
      <w:pPr>
        <w:pStyle w:val="Caption"/>
        <w:rPr>
          <w:bCs/>
        </w:rPr>
      </w:pPr>
      <w:bookmarkStart w:id="336" w:name="_Ref107169431"/>
      <w:bookmarkStart w:id="337" w:name="_Toc115255121"/>
      <w:r w:rsidRPr="009F6D1E">
        <w:t xml:space="preserve">Фигура </w:t>
      </w:r>
      <w:fldSimple w:instr=" SEQ Фигура \* ARABIC ">
        <w:r w:rsidR="00A43EF3">
          <w:rPr>
            <w:noProof/>
          </w:rPr>
          <w:t>60</w:t>
        </w:r>
      </w:fldSimple>
      <w:bookmarkEnd w:id="336"/>
      <w:r w:rsidRPr="009F6D1E">
        <w:t xml:space="preserve">: </w:t>
      </w:r>
      <w:r w:rsidR="00EB476D" w:rsidRPr="009F6D1E">
        <w:rPr>
          <w:bCs/>
        </w:rPr>
        <w:t>Съотношение между оползотворените (в т.ч. рециклирани и повторно употребени), обезвредените и временно съхранените материали по категории, получени в резултат на предварителното третиране на ИУЕЕО</w:t>
      </w:r>
      <w:bookmarkEnd w:id="337"/>
    </w:p>
    <w:p w14:paraId="66FC454D"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През 2019 г. изнесеното извън страната ИУЕЕО с цел оползотворяване и рециклиране, е предимно от категории „Големи уреди“, „Малко информационно</w:t>
      </w:r>
      <w:r w:rsidR="00014329" w:rsidRPr="009F6D1E">
        <w:rPr>
          <w:rFonts w:cs="Times New Roman"/>
          <w:szCs w:val="24"/>
        </w:rPr>
        <w:t>-</w:t>
      </w:r>
      <w:r w:rsidRPr="009F6D1E">
        <w:rPr>
          <w:rFonts w:cs="Times New Roman"/>
          <w:szCs w:val="24"/>
        </w:rPr>
        <w:t>технологично и телекомуникационно оборудване“ и „Лампи“.</w:t>
      </w:r>
    </w:p>
    <w:p w14:paraId="76FB81EC"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Целите по събиране на ИУЕЕО са регламентирани в чл. 10 от Наредбата за ЕЕО. За периода 1 януари – 31 декември 2019 г. целта е 60 на сто от средното тегло на пуснатото на пазара ЕЕО, през предходните три години, т.е. при общо количество пуснато на пазара ЕЕО - 228932,261т, постигнатата цел трябва да е 45786,452 т. Република България е изпълнила целта си по събиране на ИУЕЕО за горепосочения период, като количеството на събраното излязло от употреба електрическо и електронно оборудване е 61 778,349 т.</w:t>
      </w:r>
    </w:p>
    <w:p w14:paraId="29B42A9B" w14:textId="2712BC8E"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Организациите по оползотворяване са постигнали заложените цели по оползотворяване/ рециклиране на ИУЕЕО, а България е изпълнила целите си по събиране на ИУЕЕО, образувано от бита и извън бита, както и целите си по оползотворяване и рециклиране на ИУЕЕО. На </w:t>
      </w:r>
      <w:r w:rsidR="003F3D71" w:rsidRPr="009F6D1E">
        <w:rPr>
          <w:rFonts w:cs="Times New Roman"/>
          <w:szCs w:val="24"/>
        </w:rPr>
        <w:fldChar w:fldCharType="begin"/>
      </w:r>
      <w:r w:rsidR="00014329" w:rsidRPr="009F6D1E">
        <w:rPr>
          <w:rFonts w:cs="Times New Roman"/>
          <w:szCs w:val="24"/>
        </w:rPr>
        <w:instrText xml:space="preserve"> REF _Ref107169503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61</w:t>
      </w:r>
      <w:r w:rsidR="003F3D71" w:rsidRPr="009F6D1E">
        <w:rPr>
          <w:rFonts w:cs="Times New Roman"/>
          <w:szCs w:val="24"/>
        </w:rPr>
        <w:fldChar w:fldCharType="end"/>
      </w:r>
      <w:r w:rsidRPr="009F6D1E">
        <w:rPr>
          <w:rFonts w:cs="Times New Roman"/>
          <w:szCs w:val="24"/>
        </w:rPr>
        <w:t xml:space="preserve"> и </w:t>
      </w:r>
      <w:r w:rsidR="003F3D71" w:rsidRPr="009F6D1E">
        <w:rPr>
          <w:rFonts w:cs="Times New Roman"/>
          <w:szCs w:val="24"/>
        </w:rPr>
        <w:fldChar w:fldCharType="begin"/>
      </w:r>
      <w:r w:rsidR="00014329" w:rsidRPr="009F6D1E">
        <w:rPr>
          <w:rFonts w:cs="Times New Roman"/>
          <w:szCs w:val="24"/>
        </w:rPr>
        <w:instrText xml:space="preserve"> REF _Ref107169513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62</w:t>
      </w:r>
      <w:r w:rsidR="003F3D71" w:rsidRPr="009F6D1E">
        <w:rPr>
          <w:rFonts w:cs="Times New Roman"/>
          <w:szCs w:val="24"/>
        </w:rPr>
        <w:fldChar w:fldCharType="end"/>
      </w:r>
      <w:r w:rsidRPr="009F6D1E">
        <w:rPr>
          <w:rFonts w:cs="Times New Roman"/>
          <w:szCs w:val="24"/>
        </w:rPr>
        <w:t xml:space="preserve"> графично са представени нормативно заложените и постигнатите цели по оползотворяване и по рециклиране на ИУЕЕО за 2019 г.</w:t>
      </w:r>
    </w:p>
    <w:p w14:paraId="7FD33720" w14:textId="77777777" w:rsidR="00EB476D" w:rsidRPr="009F6D1E" w:rsidRDefault="00EB476D" w:rsidP="0084747F">
      <w:pPr>
        <w:spacing w:after="60" w:line="264" w:lineRule="auto"/>
        <w:jc w:val="both"/>
        <w:rPr>
          <w:rFonts w:cs="Times New Roman"/>
          <w:color w:val="4472C4" w:themeColor="accent1"/>
          <w:szCs w:val="24"/>
        </w:rPr>
      </w:pPr>
      <w:r w:rsidRPr="009F6D1E">
        <w:rPr>
          <w:rFonts w:cs="Times New Roman"/>
          <w:noProof/>
          <w:color w:val="4472C4" w:themeColor="accent1"/>
          <w:szCs w:val="24"/>
          <w:lang w:val="en-US"/>
        </w:rPr>
        <w:lastRenderedPageBreak/>
        <w:drawing>
          <wp:inline distT="0" distB="0" distL="0" distR="0" wp14:anchorId="7FA07128" wp14:editId="4921F58E">
            <wp:extent cx="5646909" cy="3048264"/>
            <wp:effectExtent l="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stretch>
                      <a:fillRect/>
                    </a:stretch>
                  </pic:blipFill>
                  <pic:spPr>
                    <a:xfrm>
                      <a:off x="0" y="0"/>
                      <a:ext cx="5646909" cy="3048264"/>
                    </a:xfrm>
                    <a:prstGeom prst="rect">
                      <a:avLst/>
                    </a:prstGeom>
                  </pic:spPr>
                </pic:pic>
              </a:graphicData>
            </a:graphic>
          </wp:inline>
        </w:drawing>
      </w:r>
    </w:p>
    <w:p w14:paraId="64F6B704" w14:textId="10CB9126" w:rsidR="00EB476D" w:rsidRPr="009F6D1E" w:rsidRDefault="00014329" w:rsidP="00014329">
      <w:pPr>
        <w:pStyle w:val="Caption"/>
        <w:rPr>
          <w:bCs/>
        </w:rPr>
      </w:pPr>
      <w:bookmarkStart w:id="338" w:name="_Ref107169503"/>
      <w:bookmarkStart w:id="339" w:name="_Toc115255122"/>
      <w:r w:rsidRPr="009F6D1E">
        <w:t xml:space="preserve">Фигура </w:t>
      </w:r>
      <w:fldSimple w:instr=" SEQ Фигура \* ARABIC ">
        <w:r w:rsidR="00A43EF3">
          <w:rPr>
            <w:noProof/>
          </w:rPr>
          <w:t>61</w:t>
        </w:r>
      </w:fldSimple>
      <w:bookmarkEnd w:id="338"/>
      <w:r w:rsidRPr="009F6D1E">
        <w:t xml:space="preserve">: </w:t>
      </w:r>
      <w:r w:rsidR="00EB476D" w:rsidRPr="009F6D1E">
        <w:rPr>
          <w:bCs/>
        </w:rPr>
        <w:t>Нормативно заложени и постигнати цели по оползотворяване на ИУЕЕО за 2019 г.</w:t>
      </w:r>
      <w:bookmarkEnd w:id="339"/>
    </w:p>
    <w:p w14:paraId="67D7FFF9" w14:textId="77777777" w:rsidR="00EB476D" w:rsidRPr="009F6D1E" w:rsidRDefault="00EB476D" w:rsidP="0084747F">
      <w:pPr>
        <w:spacing w:after="60" w:line="264" w:lineRule="auto"/>
        <w:jc w:val="center"/>
        <w:rPr>
          <w:rFonts w:cs="Times New Roman"/>
          <w:szCs w:val="24"/>
        </w:rPr>
      </w:pPr>
      <w:r w:rsidRPr="009F6D1E">
        <w:rPr>
          <w:rFonts w:cs="Times New Roman"/>
          <w:noProof/>
          <w:szCs w:val="24"/>
          <w:lang w:val="en-US"/>
        </w:rPr>
        <w:drawing>
          <wp:inline distT="0" distB="0" distL="0" distR="0" wp14:anchorId="36D62353" wp14:editId="5015FFB8">
            <wp:extent cx="5624047" cy="3238781"/>
            <wp:effectExtent l="0" t="0" r="0" b="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5624047" cy="3238781"/>
                    </a:xfrm>
                    <a:prstGeom prst="rect">
                      <a:avLst/>
                    </a:prstGeom>
                  </pic:spPr>
                </pic:pic>
              </a:graphicData>
            </a:graphic>
          </wp:inline>
        </w:drawing>
      </w:r>
    </w:p>
    <w:p w14:paraId="6483E665" w14:textId="18264205" w:rsidR="00EB476D" w:rsidRPr="009F6D1E" w:rsidRDefault="00014329" w:rsidP="00014329">
      <w:pPr>
        <w:pStyle w:val="Caption"/>
        <w:rPr>
          <w:bCs/>
        </w:rPr>
      </w:pPr>
      <w:bookmarkStart w:id="340" w:name="_Ref107169513"/>
      <w:bookmarkStart w:id="341" w:name="_Toc115255123"/>
      <w:r w:rsidRPr="009F6D1E">
        <w:t xml:space="preserve">Фигура </w:t>
      </w:r>
      <w:fldSimple w:instr=" SEQ Фигура \* ARABIC ">
        <w:r w:rsidR="00A43EF3">
          <w:rPr>
            <w:noProof/>
          </w:rPr>
          <w:t>62</w:t>
        </w:r>
      </w:fldSimple>
      <w:bookmarkEnd w:id="340"/>
      <w:r w:rsidRPr="009F6D1E">
        <w:t xml:space="preserve">: </w:t>
      </w:r>
      <w:r w:rsidR="00EB476D" w:rsidRPr="009F6D1E">
        <w:rPr>
          <w:bCs/>
        </w:rPr>
        <w:t>Нормативно заложени и постигнати цели по рециклиране на ИУЕЕО за 2019 г.</w:t>
      </w:r>
      <w:bookmarkEnd w:id="341"/>
    </w:p>
    <w:p w14:paraId="332AA2F5" w14:textId="77777777" w:rsidR="00EB476D" w:rsidRPr="009F6D1E" w:rsidRDefault="00EB476D" w:rsidP="0084747F">
      <w:pPr>
        <w:spacing w:after="60" w:line="264" w:lineRule="auto"/>
        <w:jc w:val="both"/>
        <w:rPr>
          <w:rFonts w:cs="Times New Roman"/>
          <w:szCs w:val="24"/>
        </w:rPr>
      </w:pPr>
    </w:p>
    <w:p w14:paraId="05BA6AEC"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Излезли от употреба моторни превозни средства (ИУМПС)</w:t>
      </w:r>
    </w:p>
    <w:p w14:paraId="60D5F9DB" w14:textId="77777777" w:rsidR="00464F68" w:rsidRPr="00464F68" w:rsidRDefault="00464F68" w:rsidP="00464F68">
      <w:pPr>
        <w:spacing w:after="60" w:line="264" w:lineRule="auto"/>
        <w:ind w:firstLine="708"/>
        <w:jc w:val="both"/>
        <w:rPr>
          <w:rFonts w:cs="Times New Roman"/>
          <w:szCs w:val="24"/>
        </w:rPr>
      </w:pPr>
      <w:r w:rsidRPr="00464F68">
        <w:rPr>
          <w:rFonts w:cs="Times New Roman"/>
          <w:szCs w:val="24"/>
        </w:rPr>
        <w:t>През последните години в ЕС, като цяло е отчетено нарастване броя на автомобилите особено в ЕС-12. Прогнозите за бъдещо нарастване на превоза на товари и пътници са най-</w:t>
      </w:r>
      <w:r w:rsidRPr="00464F68">
        <w:rPr>
          <w:rFonts w:cs="Times New Roman"/>
          <w:szCs w:val="24"/>
        </w:rPr>
        <w:lastRenderedPageBreak/>
        <w:t>големи за сектор „автомобилен транспорт” в съпоставка с останалите видове транспорт. Тази тенденция най-вероятно ще бъде запазена и в Република България. Отчита се леко повишаване на превозните средства през 2020 г. в сравнение с предходната 2019 г – от 3 752 626 до 3 810 700 броя автомобили.</w:t>
      </w:r>
    </w:p>
    <w:p w14:paraId="0BDF33F5" w14:textId="77777777" w:rsidR="00464F68" w:rsidRPr="00464F68" w:rsidRDefault="00464F68" w:rsidP="00464F68">
      <w:pPr>
        <w:spacing w:after="60" w:line="264" w:lineRule="auto"/>
        <w:ind w:firstLine="708"/>
        <w:jc w:val="both"/>
        <w:rPr>
          <w:rFonts w:cs="Times New Roman"/>
          <w:szCs w:val="24"/>
        </w:rPr>
      </w:pPr>
      <w:r w:rsidRPr="00464F68">
        <w:rPr>
          <w:rFonts w:cs="Times New Roman"/>
          <w:szCs w:val="24"/>
        </w:rPr>
        <w:t>Картината, илюстрираща възрастовата структура на леките автомобили в страната, в сравнение с предходните години, остава непроменена. Основният дял е представен от автомобили, които са на възраст над 20 години – 44 % от общия брой леки автомобили. Леките автомобили на възраст над 15 г. представляват 73 % от всички леки автомобили, като най-малък е делът на новите, тези до 5 години – 4 %, а на автомобилите между 6 и 10 години – 5 %.</w:t>
      </w:r>
    </w:p>
    <w:p w14:paraId="0CD8F8FA" w14:textId="77777777" w:rsidR="00464F68" w:rsidRPr="00464F68" w:rsidRDefault="00464F68" w:rsidP="00464F68">
      <w:pPr>
        <w:spacing w:after="60" w:line="264" w:lineRule="auto"/>
        <w:ind w:firstLine="708"/>
        <w:jc w:val="both"/>
        <w:rPr>
          <w:rFonts w:cs="Times New Roman"/>
          <w:szCs w:val="24"/>
        </w:rPr>
      </w:pPr>
      <w:r w:rsidRPr="00464F68">
        <w:rPr>
          <w:rFonts w:cs="Times New Roman"/>
          <w:szCs w:val="24"/>
        </w:rPr>
        <w:t>През 2020 г. регистрирани за първи път, на територията на страната, са 223 114 броя МПС, съгласно чл. 2 от Наредба за излезлите от употреба моторни превозни средства. През последните две години се наблюдава спад в броя на пуснатите на пазара МПС, включително и в броя на МПС от категориите по чл. 2, ал. 1, т. 1 от Наредбата.</w:t>
      </w:r>
    </w:p>
    <w:p w14:paraId="5C234869" w14:textId="0328D154" w:rsidR="00EB476D" w:rsidRPr="00464F68" w:rsidRDefault="00464F68" w:rsidP="00464F68">
      <w:pPr>
        <w:spacing w:after="60" w:line="264" w:lineRule="auto"/>
        <w:ind w:firstLine="708"/>
        <w:jc w:val="both"/>
        <w:rPr>
          <w:rFonts w:cs="Times New Roman"/>
          <w:szCs w:val="24"/>
        </w:rPr>
      </w:pPr>
      <w:r w:rsidRPr="00464F68">
        <w:rPr>
          <w:rFonts w:cs="Times New Roman"/>
          <w:szCs w:val="24"/>
        </w:rPr>
        <w:t xml:space="preserve">През 2020г. приетите ИУМПС на площадки за съхраняване и центрове за разкомплектоване са 65 835 броя. Сравнявайки данните с информацията от предходните години, се наблюдава намаляване на количествата събрани ИУМПС, в сравнение с предходните шест години </w:t>
      </w:r>
      <w:r w:rsidR="00EB476D" w:rsidRPr="00464F68">
        <w:rPr>
          <w:rFonts w:cs="Times New Roman"/>
          <w:szCs w:val="24"/>
        </w:rPr>
        <w:t xml:space="preserve">(виж </w:t>
      </w:r>
      <w:r w:rsidR="003F3D71" w:rsidRPr="00464F68">
        <w:rPr>
          <w:rFonts w:cs="Times New Roman"/>
          <w:szCs w:val="24"/>
        </w:rPr>
        <w:fldChar w:fldCharType="begin"/>
      </w:r>
      <w:r w:rsidR="00876DB6" w:rsidRPr="00464F68">
        <w:rPr>
          <w:rFonts w:cs="Times New Roman"/>
          <w:szCs w:val="24"/>
        </w:rPr>
        <w:instrText xml:space="preserve"> REF _Ref107170283 \h </w:instrText>
      </w:r>
      <w:r w:rsidR="003F3D71" w:rsidRPr="00464F68">
        <w:rPr>
          <w:rFonts w:cs="Times New Roman"/>
          <w:szCs w:val="24"/>
        </w:rPr>
      </w:r>
      <w:r w:rsidR="003F3D71" w:rsidRPr="00464F68">
        <w:rPr>
          <w:rFonts w:cs="Times New Roman"/>
          <w:szCs w:val="24"/>
        </w:rPr>
        <w:fldChar w:fldCharType="separate"/>
      </w:r>
      <w:r w:rsidR="00A43EF3" w:rsidRPr="009F6D1E">
        <w:t xml:space="preserve">Фигура </w:t>
      </w:r>
      <w:r w:rsidR="00A43EF3">
        <w:rPr>
          <w:noProof/>
        </w:rPr>
        <w:t>63</w:t>
      </w:r>
      <w:r w:rsidR="003F3D71" w:rsidRPr="00464F68">
        <w:rPr>
          <w:rFonts w:cs="Times New Roman"/>
          <w:szCs w:val="24"/>
        </w:rPr>
        <w:fldChar w:fldCharType="end"/>
      </w:r>
      <w:r w:rsidR="00EB476D" w:rsidRPr="00464F68">
        <w:rPr>
          <w:rFonts w:cs="Times New Roman"/>
          <w:szCs w:val="24"/>
        </w:rPr>
        <w:t>).</w:t>
      </w:r>
    </w:p>
    <w:p w14:paraId="509DC1E1" w14:textId="688ACFFF" w:rsidR="00EB476D" w:rsidRPr="009F6D1E" w:rsidRDefault="00E4164E" w:rsidP="0084747F">
      <w:pPr>
        <w:spacing w:after="60" w:line="264" w:lineRule="auto"/>
        <w:jc w:val="center"/>
        <w:rPr>
          <w:rFonts w:cs="Times New Roman"/>
          <w:szCs w:val="24"/>
        </w:rPr>
      </w:pPr>
      <w:r w:rsidRPr="00BC6324">
        <w:rPr>
          <w:rFonts w:ascii="Cambria" w:hAnsi="Cambria"/>
          <w:noProof/>
          <w:szCs w:val="24"/>
          <w:lang w:val="en-US"/>
        </w:rPr>
        <w:drawing>
          <wp:inline distT="0" distB="0" distL="0" distR="0" wp14:anchorId="305A45E0" wp14:editId="12376CDB">
            <wp:extent cx="4442460" cy="2453640"/>
            <wp:effectExtent l="0" t="0" r="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1">
                      <a:extLst>
                        <a:ext uri="{28A0092B-C50C-407E-A947-70E740481C1C}">
                          <a14:useLocalDpi xmlns:a14="http://schemas.microsoft.com/office/drawing/2010/main" val="0"/>
                        </a:ext>
                      </a:extLst>
                    </a:blip>
                    <a:srcRect l="1452" t="16254" r="4503" b="1967"/>
                    <a:stretch/>
                  </pic:blipFill>
                  <pic:spPr bwMode="auto">
                    <a:xfrm>
                      <a:off x="0" y="0"/>
                      <a:ext cx="4454434" cy="2460253"/>
                    </a:xfrm>
                    <a:prstGeom prst="rect">
                      <a:avLst/>
                    </a:prstGeom>
                    <a:noFill/>
                    <a:ln>
                      <a:noFill/>
                    </a:ln>
                    <a:extLst>
                      <a:ext uri="{53640926-AAD7-44D8-BBD7-CCE9431645EC}">
                        <a14:shadowObscured xmlns:a14="http://schemas.microsoft.com/office/drawing/2010/main"/>
                      </a:ext>
                    </a:extLst>
                  </pic:spPr>
                </pic:pic>
              </a:graphicData>
            </a:graphic>
          </wp:inline>
        </w:drawing>
      </w:r>
    </w:p>
    <w:p w14:paraId="4F23B77E" w14:textId="2A56B0C2" w:rsidR="00EB476D" w:rsidRPr="009F6D1E" w:rsidRDefault="00876DB6" w:rsidP="00876DB6">
      <w:pPr>
        <w:pStyle w:val="Caption"/>
        <w:rPr>
          <w:bCs/>
        </w:rPr>
      </w:pPr>
      <w:bookmarkStart w:id="342" w:name="_Ref107170283"/>
      <w:bookmarkStart w:id="343" w:name="_Toc115255124"/>
      <w:r w:rsidRPr="009F6D1E">
        <w:t xml:space="preserve">Фигура </w:t>
      </w:r>
      <w:fldSimple w:instr=" SEQ Фигура \* ARABIC ">
        <w:r w:rsidR="00A43EF3">
          <w:rPr>
            <w:noProof/>
          </w:rPr>
          <w:t>63</w:t>
        </w:r>
      </w:fldSimple>
      <w:bookmarkEnd w:id="342"/>
      <w:r w:rsidRPr="009F6D1E">
        <w:t xml:space="preserve">: </w:t>
      </w:r>
      <w:r w:rsidR="00EB476D" w:rsidRPr="009F6D1E">
        <w:rPr>
          <w:bCs/>
        </w:rPr>
        <w:t>Събрано количество ИУМПС, броя</w:t>
      </w:r>
      <w:bookmarkEnd w:id="343"/>
    </w:p>
    <w:p w14:paraId="2CB51A67" w14:textId="72102273" w:rsidR="00861842" w:rsidRPr="00861842" w:rsidRDefault="00861842" w:rsidP="00861842">
      <w:pPr>
        <w:spacing w:after="60" w:line="264" w:lineRule="auto"/>
        <w:ind w:firstLine="708"/>
        <w:jc w:val="both"/>
        <w:rPr>
          <w:rFonts w:cs="Times New Roman"/>
          <w:szCs w:val="24"/>
        </w:rPr>
      </w:pPr>
      <w:r w:rsidRPr="00861842">
        <w:rPr>
          <w:rFonts w:cs="Times New Roman"/>
          <w:szCs w:val="24"/>
        </w:rPr>
        <w:t xml:space="preserve">Процентното съотношение на обезвредени и оползотворени (в това число рециклирани, повторно употребени и друг вид оползотворени) материали и компоненти от предварително третираните ИУМПС за 2020 г. на национално ниво е предоставено на </w:t>
      </w:r>
      <w:r>
        <w:rPr>
          <w:rFonts w:cs="Times New Roman"/>
          <w:szCs w:val="24"/>
        </w:rPr>
        <w:fldChar w:fldCharType="begin"/>
      </w:r>
      <w:r>
        <w:rPr>
          <w:rFonts w:cs="Times New Roman"/>
          <w:szCs w:val="24"/>
        </w:rPr>
        <w:instrText xml:space="preserve"> REF _Ref107170350 \h </w:instrText>
      </w:r>
      <w:r>
        <w:rPr>
          <w:rFonts w:cs="Times New Roman"/>
          <w:szCs w:val="24"/>
        </w:rPr>
      </w:r>
      <w:r>
        <w:rPr>
          <w:rFonts w:cs="Times New Roman"/>
          <w:szCs w:val="24"/>
        </w:rPr>
        <w:fldChar w:fldCharType="separate"/>
      </w:r>
      <w:r w:rsidR="00A43EF3" w:rsidRPr="009F6D1E">
        <w:t xml:space="preserve">Фигура </w:t>
      </w:r>
      <w:r w:rsidR="00A43EF3">
        <w:rPr>
          <w:noProof/>
        </w:rPr>
        <w:t>64</w:t>
      </w:r>
      <w:r>
        <w:rPr>
          <w:rFonts w:cs="Times New Roman"/>
          <w:szCs w:val="24"/>
        </w:rPr>
        <w:fldChar w:fldCharType="end"/>
      </w:r>
      <w:r w:rsidRPr="00861842">
        <w:rPr>
          <w:rFonts w:cs="Times New Roman"/>
          <w:szCs w:val="24"/>
        </w:rPr>
        <w:t>. Обезвредените отпадъци са 1% като основния метод за обезвреждане е депонирането. От оползотворените материали и компоненти 96% са рециклирани, 2 % са повторно употребени и 1 % са оползотворени чрез други методи за оползотворяване.</w:t>
      </w:r>
    </w:p>
    <w:p w14:paraId="37E31C11" w14:textId="397D93F2" w:rsidR="00EB476D" w:rsidRPr="009F6D1E" w:rsidRDefault="00861842" w:rsidP="0084747F">
      <w:pPr>
        <w:spacing w:after="60" w:line="264" w:lineRule="auto"/>
        <w:jc w:val="center"/>
        <w:rPr>
          <w:rFonts w:cs="Times New Roman"/>
          <w:color w:val="4472C4" w:themeColor="accent1"/>
          <w:szCs w:val="24"/>
        </w:rPr>
      </w:pPr>
      <w:r w:rsidRPr="001176DE">
        <w:rPr>
          <w:rFonts w:ascii="Cambria" w:hAnsi="Cambria"/>
          <w:noProof/>
          <w:szCs w:val="24"/>
          <w:highlight w:val="magenta"/>
          <w:lang w:val="en-US"/>
        </w:rPr>
        <w:lastRenderedPageBreak/>
        <w:drawing>
          <wp:inline distT="0" distB="0" distL="0" distR="0" wp14:anchorId="21A18834" wp14:editId="4CF2EBD6">
            <wp:extent cx="4343400" cy="221742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2">
                      <a:extLst>
                        <a:ext uri="{28A0092B-C50C-407E-A947-70E740481C1C}">
                          <a14:useLocalDpi xmlns:a14="http://schemas.microsoft.com/office/drawing/2010/main" val="0"/>
                        </a:ext>
                      </a:extLst>
                    </a:blip>
                    <a:srcRect l="15002" t="21332" r="1150" b="7297"/>
                    <a:stretch/>
                  </pic:blipFill>
                  <pic:spPr bwMode="auto">
                    <a:xfrm>
                      <a:off x="0" y="0"/>
                      <a:ext cx="4351265" cy="2221435"/>
                    </a:xfrm>
                    <a:prstGeom prst="rect">
                      <a:avLst/>
                    </a:prstGeom>
                    <a:noFill/>
                    <a:ln>
                      <a:noFill/>
                    </a:ln>
                    <a:extLst>
                      <a:ext uri="{53640926-AAD7-44D8-BBD7-CCE9431645EC}">
                        <a14:shadowObscured xmlns:a14="http://schemas.microsoft.com/office/drawing/2010/main"/>
                      </a:ext>
                    </a:extLst>
                  </pic:spPr>
                </pic:pic>
              </a:graphicData>
            </a:graphic>
          </wp:inline>
        </w:drawing>
      </w:r>
    </w:p>
    <w:p w14:paraId="1EB88C9F" w14:textId="7D705C20" w:rsidR="00EB476D" w:rsidRPr="009F6D1E" w:rsidRDefault="00876DB6" w:rsidP="00876DB6">
      <w:pPr>
        <w:pStyle w:val="Caption"/>
        <w:rPr>
          <w:bCs/>
        </w:rPr>
      </w:pPr>
      <w:bookmarkStart w:id="344" w:name="_Ref107170350"/>
      <w:bookmarkStart w:id="345" w:name="_Toc115255125"/>
      <w:r w:rsidRPr="009F6D1E">
        <w:t xml:space="preserve">Фигура </w:t>
      </w:r>
      <w:fldSimple w:instr=" SEQ Фигура \* ARABIC ">
        <w:r w:rsidR="00A43EF3">
          <w:rPr>
            <w:noProof/>
          </w:rPr>
          <w:t>64</w:t>
        </w:r>
      </w:fldSimple>
      <w:bookmarkEnd w:id="344"/>
      <w:r w:rsidRPr="009F6D1E">
        <w:t xml:space="preserve">: </w:t>
      </w:r>
      <w:r w:rsidR="00EB476D" w:rsidRPr="009F6D1E">
        <w:rPr>
          <w:bCs/>
          <w:color w:val="4472C4" w:themeColor="accent1"/>
        </w:rPr>
        <w:t xml:space="preserve"> </w:t>
      </w:r>
      <w:r w:rsidR="00EB476D" w:rsidRPr="009F6D1E">
        <w:rPr>
          <w:bCs/>
        </w:rPr>
        <w:t>Предназначение на материалите и компонентите получени от предварително третираните ИУМПС, %</w:t>
      </w:r>
      <w:bookmarkEnd w:id="345"/>
    </w:p>
    <w:p w14:paraId="28F77E70" w14:textId="0D32ABBE" w:rsidR="00EB476D" w:rsidRPr="009F6D1E" w:rsidRDefault="00861842" w:rsidP="0084747F">
      <w:pPr>
        <w:spacing w:after="60" w:line="264" w:lineRule="auto"/>
        <w:ind w:firstLine="708"/>
        <w:jc w:val="both"/>
        <w:rPr>
          <w:rFonts w:cs="Times New Roman"/>
          <w:szCs w:val="24"/>
        </w:rPr>
      </w:pPr>
      <w:r w:rsidRPr="00861842">
        <w:rPr>
          <w:rFonts w:cs="Times New Roman"/>
          <w:szCs w:val="24"/>
        </w:rPr>
        <w:t xml:space="preserve">Както е видно поставените цели на национално ниво са постигнати, като през 2020 г. са достигнати 96.60 % повторно използване и оползотворяване и 96,10 % повторно използване и рециклиране на материали от ИУМПС </w:t>
      </w:r>
      <w:r w:rsidR="00EB476D" w:rsidRPr="009F6D1E">
        <w:rPr>
          <w:rFonts w:cs="Times New Roman"/>
          <w:szCs w:val="24"/>
        </w:rPr>
        <w:t xml:space="preserve">– виж </w:t>
      </w:r>
      <w:r w:rsidR="003F3D71" w:rsidRPr="009F6D1E">
        <w:rPr>
          <w:rFonts w:cs="Times New Roman"/>
          <w:szCs w:val="24"/>
        </w:rPr>
        <w:fldChar w:fldCharType="begin"/>
      </w:r>
      <w:r w:rsidR="00876DB6" w:rsidRPr="009F6D1E">
        <w:rPr>
          <w:rFonts w:cs="Times New Roman"/>
          <w:szCs w:val="24"/>
        </w:rPr>
        <w:instrText xml:space="preserve"> REF _Ref107170405 \h </w:instrText>
      </w:r>
      <w:r>
        <w:rPr>
          <w:rFonts w:cs="Times New Roman"/>
          <w:szCs w:val="24"/>
        </w:rPr>
        <w:instrText xml:space="preserve"> \* MERGEFORMAT </w:instrText>
      </w:r>
      <w:r w:rsidR="003F3D71" w:rsidRPr="009F6D1E">
        <w:rPr>
          <w:rFonts w:cs="Times New Roman"/>
          <w:szCs w:val="24"/>
        </w:rPr>
      </w:r>
      <w:r w:rsidR="003F3D71" w:rsidRPr="009F6D1E">
        <w:rPr>
          <w:rFonts w:cs="Times New Roman"/>
          <w:szCs w:val="24"/>
        </w:rPr>
        <w:fldChar w:fldCharType="separate"/>
      </w:r>
      <w:r w:rsidR="00A43EF3" w:rsidRPr="00A43EF3">
        <w:rPr>
          <w:rFonts w:cs="Times New Roman"/>
          <w:szCs w:val="24"/>
        </w:rPr>
        <w:t>Фигура 65</w:t>
      </w:r>
      <w:r w:rsidR="003F3D71" w:rsidRPr="009F6D1E">
        <w:rPr>
          <w:rFonts w:cs="Times New Roman"/>
          <w:szCs w:val="24"/>
        </w:rPr>
        <w:fldChar w:fldCharType="end"/>
      </w:r>
      <w:r w:rsidR="00EB476D" w:rsidRPr="009F6D1E">
        <w:rPr>
          <w:rFonts w:cs="Times New Roman"/>
          <w:szCs w:val="24"/>
        </w:rPr>
        <w:t>.</w:t>
      </w:r>
    </w:p>
    <w:p w14:paraId="39BA5DE3" w14:textId="62AAD392" w:rsidR="00EB476D" w:rsidRPr="009F6D1E" w:rsidRDefault="00861842" w:rsidP="0084747F">
      <w:pPr>
        <w:spacing w:after="60" w:line="264" w:lineRule="auto"/>
        <w:jc w:val="center"/>
        <w:rPr>
          <w:rFonts w:cs="Times New Roman"/>
          <w:szCs w:val="24"/>
        </w:rPr>
      </w:pPr>
      <w:r w:rsidRPr="001176DE">
        <w:rPr>
          <w:rFonts w:ascii="Cambria" w:hAnsi="Cambria"/>
          <w:noProof/>
          <w:szCs w:val="24"/>
          <w:highlight w:val="magenta"/>
          <w:lang w:val="en-US"/>
        </w:rPr>
        <w:drawing>
          <wp:inline distT="0" distB="0" distL="0" distR="0" wp14:anchorId="4E838000" wp14:editId="25D2526C">
            <wp:extent cx="5681345" cy="204216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3">
                      <a:extLst>
                        <a:ext uri="{28A0092B-C50C-407E-A947-70E740481C1C}">
                          <a14:useLocalDpi xmlns:a14="http://schemas.microsoft.com/office/drawing/2010/main" val="0"/>
                        </a:ext>
                      </a:extLst>
                    </a:blip>
                    <a:srcRect l="923" t="14151" r="681" b="1566"/>
                    <a:stretch/>
                  </pic:blipFill>
                  <pic:spPr bwMode="auto">
                    <a:xfrm>
                      <a:off x="0" y="0"/>
                      <a:ext cx="5690588" cy="2045482"/>
                    </a:xfrm>
                    <a:prstGeom prst="rect">
                      <a:avLst/>
                    </a:prstGeom>
                    <a:noFill/>
                    <a:ln>
                      <a:noFill/>
                    </a:ln>
                    <a:extLst>
                      <a:ext uri="{53640926-AAD7-44D8-BBD7-CCE9431645EC}">
                        <a14:shadowObscured xmlns:a14="http://schemas.microsoft.com/office/drawing/2010/main"/>
                      </a:ext>
                    </a:extLst>
                  </pic:spPr>
                </pic:pic>
              </a:graphicData>
            </a:graphic>
          </wp:inline>
        </w:drawing>
      </w:r>
    </w:p>
    <w:p w14:paraId="3DB0A714" w14:textId="138A97FA" w:rsidR="00EB476D" w:rsidRPr="009F6D1E" w:rsidRDefault="00876DB6" w:rsidP="00876DB6">
      <w:pPr>
        <w:pStyle w:val="Caption"/>
        <w:rPr>
          <w:bCs/>
        </w:rPr>
      </w:pPr>
      <w:bookmarkStart w:id="346" w:name="_Ref107170405"/>
      <w:bookmarkStart w:id="347" w:name="_Toc115255126"/>
      <w:r w:rsidRPr="009F6D1E">
        <w:t xml:space="preserve">Фигура </w:t>
      </w:r>
      <w:fldSimple w:instr=" SEQ Фигура \* ARABIC ">
        <w:r w:rsidR="00A43EF3">
          <w:rPr>
            <w:noProof/>
          </w:rPr>
          <w:t>65</w:t>
        </w:r>
      </w:fldSimple>
      <w:bookmarkEnd w:id="346"/>
      <w:r w:rsidRPr="009F6D1E">
        <w:t xml:space="preserve">: </w:t>
      </w:r>
      <w:r w:rsidR="00EB476D" w:rsidRPr="009F6D1E">
        <w:rPr>
          <w:bCs/>
        </w:rPr>
        <w:t>Съотношение между заложените и изпълнените цели</w:t>
      </w:r>
      <w:bookmarkEnd w:id="347"/>
    </w:p>
    <w:p w14:paraId="3F6B4172" w14:textId="77777777" w:rsidR="00F93745" w:rsidRPr="009F6D1E" w:rsidRDefault="00F93745" w:rsidP="0084747F">
      <w:pPr>
        <w:spacing w:after="60" w:line="264" w:lineRule="auto"/>
        <w:jc w:val="center"/>
        <w:rPr>
          <w:rFonts w:cs="Times New Roman"/>
          <w:szCs w:val="24"/>
        </w:rPr>
      </w:pPr>
    </w:p>
    <w:p w14:paraId="10BA7F85"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Утайки от пречистване на отпадъчни води</w:t>
      </w:r>
    </w:p>
    <w:p w14:paraId="5DBAC145"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Съгласно заложените цели и свързаните с тях мерки в Национален стратегически план за управление на утайки от пречиствателните станции за отпадъчни води в България (НСПУУ), за периода 2014-2020 г. България трябва да осигури изпълнение на следните национални цели:</w:t>
      </w:r>
    </w:p>
    <w:p w14:paraId="6095577F"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Рециклиране и материално оползотворяване на следните количества образувани утайки от ГПСОВ до 2020г:</w:t>
      </w:r>
    </w:p>
    <w:p w14:paraId="5C4A7E66"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55% до края на 2016 г.</w:t>
      </w:r>
    </w:p>
    <w:p w14:paraId="30DFF209"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60% до края на 2018 г.</w:t>
      </w:r>
    </w:p>
    <w:p w14:paraId="1A551B17"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65% до края на 2020 г.</w:t>
      </w:r>
    </w:p>
    <w:p w14:paraId="4DFCF056"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lastRenderedPageBreak/>
        <w:t>Енергийно оползотворяване на следните количества образувани утайки от ГПСОВ до 2020г.:</w:t>
      </w:r>
    </w:p>
    <w:p w14:paraId="7B9CE8CF"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10% до края на 2016 г.</w:t>
      </w:r>
    </w:p>
    <w:p w14:paraId="4D9C37AC"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20% до края на 2018 г.</w:t>
      </w:r>
    </w:p>
    <w:p w14:paraId="7D109FAA" w14:textId="77777777" w:rsidR="00EB476D" w:rsidRPr="009F6D1E" w:rsidRDefault="00EB476D">
      <w:pPr>
        <w:pStyle w:val="ListParagraph"/>
        <w:numPr>
          <w:ilvl w:val="0"/>
          <w:numId w:val="32"/>
        </w:numPr>
        <w:spacing w:after="60" w:line="264" w:lineRule="auto"/>
        <w:jc w:val="both"/>
        <w:rPr>
          <w:color w:val="000000" w:themeColor="text1"/>
          <w:lang w:val="bg-BG"/>
        </w:rPr>
      </w:pPr>
      <w:r w:rsidRPr="009F6D1E">
        <w:rPr>
          <w:color w:val="000000" w:themeColor="text1"/>
          <w:lang w:val="bg-BG"/>
        </w:rPr>
        <w:t>35% до края на 2020 г.</w:t>
      </w:r>
    </w:p>
    <w:p w14:paraId="01CA4954"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Предвид факта, че в страната преобладават смесените канализационни системи, част от генерираните утайки от ГПСОВ са класифицирани като „опасен отпадък“ по смисъла на Наредба №2. Такива са утайките от ГПСОВ - Перник и Дупница. Наредбата за утайките не допуска оползотворяване на утайки, които представляват или съдържат опасни отпадъци.</w:t>
      </w:r>
    </w:p>
    <w:p w14:paraId="3A9F3AB8" w14:textId="77777777" w:rsidR="00EB0995" w:rsidRPr="00EB0995" w:rsidRDefault="00EB0995" w:rsidP="00EB0995">
      <w:pPr>
        <w:spacing w:after="60" w:line="264" w:lineRule="auto"/>
        <w:ind w:firstLine="708"/>
        <w:jc w:val="both"/>
        <w:rPr>
          <w:rFonts w:cs="Times New Roman"/>
          <w:szCs w:val="24"/>
        </w:rPr>
      </w:pPr>
      <w:r w:rsidRPr="00EB0995">
        <w:rPr>
          <w:rFonts w:cs="Times New Roman"/>
          <w:szCs w:val="24"/>
        </w:rPr>
        <w:t xml:space="preserve">За 2020г. са получени данни от 30 бр. ВиК дружества и други генератори за 75 бр. действащи пречиствателни станции за отпадъчни води. </w:t>
      </w:r>
    </w:p>
    <w:p w14:paraId="099C8488" w14:textId="77777777" w:rsidR="00EB0995" w:rsidRPr="00EB0995" w:rsidRDefault="00EB0995" w:rsidP="00EB0995">
      <w:pPr>
        <w:spacing w:after="60" w:line="264" w:lineRule="auto"/>
        <w:ind w:firstLine="708"/>
        <w:jc w:val="both"/>
        <w:rPr>
          <w:rFonts w:cs="Times New Roman"/>
          <w:szCs w:val="24"/>
        </w:rPr>
      </w:pPr>
      <w:r w:rsidRPr="00EB0995">
        <w:rPr>
          <w:rFonts w:cs="Times New Roman"/>
          <w:szCs w:val="24"/>
        </w:rPr>
        <w:t>Общото количество на докладваните образувани неопасни утайки в страната за 2020 г. е 33473.351 t сухо в-во.</w:t>
      </w:r>
    </w:p>
    <w:p w14:paraId="54950728" w14:textId="77777777" w:rsidR="00EB0995" w:rsidRPr="00EB0995" w:rsidRDefault="00EB0995" w:rsidP="00EB0995">
      <w:pPr>
        <w:spacing w:after="60" w:line="264" w:lineRule="auto"/>
        <w:ind w:firstLine="708"/>
        <w:jc w:val="both"/>
        <w:rPr>
          <w:rFonts w:cs="Times New Roman"/>
          <w:szCs w:val="24"/>
        </w:rPr>
      </w:pPr>
      <w:r w:rsidRPr="00EB0995">
        <w:rPr>
          <w:rFonts w:cs="Times New Roman"/>
          <w:szCs w:val="24"/>
        </w:rPr>
        <w:t>От тях на национално ниво:</w:t>
      </w:r>
    </w:p>
    <w:p w14:paraId="74407ABF" w14:textId="77777777" w:rsidR="00EB0995" w:rsidRPr="00EB0995" w:rsidRDefault="00EB0995">
      <w:pPr>
        <w:pStyle w:val="ListParagraph"/>
        <w:numPr>
          <w:ilvl w:val="0"/>
          <w:numId w:val="32"/>
        </w:numPr>
        <w:spacing w:after="60" w:line="264" w:lineRule="auto"/>
        <w:jc w:val="both"/>
        <w:rPr>
          <w:color w:val="000000" w:themeColor="text1"/>
          <w:lang w:val="bg-BG"/>
        </w:rPr>
      </w:pPr>
      <w:r w:rsidRPr="00EB0995">
        <w:rPr>
          <w:color w:val="000000" w:themeColor="text1"/>
          <w:lang w:val="bg-BG"/>
        </w:rPr>
        <w:t>Депонирани са 1 604.602 t сухо вещество;</w:t>
      </w:r>
    </w:p>
    <w:p w14:paraId="68B1DCD5" w14:textId="77777777" w:rsidR="00EB0995" w:rsidRPr="00EB0995" w:rsidRDefault="00EB0995">
      <w:pPr>
        <w:pStyle w:val="ListParagraph"/>
        <w:numPr>
          <w:ilvl w:val="0"/>
          <w:numId w:val="32"/>
        </w:numPr>
        <w:spacing w:after="60" w:line="264" w:lineRule="auto"/>
        <w:jc w:val="both"/>
        <w:rPr>
          <w:color w:val="000000" w:themeColor="text1"/>
          <w:lang w:val="bg-BG"/>
        </w:rPr>
      </w:pPr>
      <w:r w:rsidRPr="00EB0995">
        <w:rPr>
          <w:color w:val="000000" w:themeColor="text1"/>
          <w:lang w:val="bg-BG"/>
        </w:rPr>
        <w:t>Временно съхранени са 5 119.983 t сухо вещество;</w:t>
      </w:r>
    </w:p>
    <w:p w14:paraId="0A71C381" w14:textId="77777777" w:rsidR="00EB0995" w:rsidRPr="00EB0995" w:rsidRDefault="00EB0995">
      <w:pPr>
        <w:pStyle w:val="ListParagraph"/>
        <w:numPr>
          <w:ilvl w:val="0"/>
          <w:numId w:val="32"/>
        </w:numPr>
        <w:spacing w:after="60" w:line="264" w:lineRule="auto"/>
        <w:jc w:val="both"/>
        <w:rPr>
          <w:color w:val="000000" w:themeColor="text1"/>
          <w:lang w:val="bg-BG"/>
        </w:rPr>
      </w:pPr>
      <w:r w:rsidRPr="00EB0995">
        <w:rPr>
          <w:color w:val="000000" w:themeColor="text1"/>
          <w:lang w:val="bg-BG"/>
        </w:rPr>
        <w:t>Употребени в земеделието са 16 929.342 t сухо вещество;</w:t>
      </w:r>
    </w:p>
    <w:p w14:paraId="4965E376" w14:textId="77777777" w:rsidR="00EB0995" w:rsidRPr="00EB0995" w:rsidRDefault="00EB0995">
      <w:pPr>
        <w:pStyle w:val="ListParagraph"/>
        <w:numPr>
          <w:ilvl w:val="0"/>
          <w:numId w:val="32"/>
        </w:numPr>
        <w:spacing w:after="60" w:line="264" w:lineRule="auto"/>
        <w:jc w:val="both"/>
        <w:rPr>
          <w:color w:val="000000" w:themeColor="text1"/>
          <w:lang w:val="bg-BG"/>
        </w:rPr>
      </w:pPr>
      <w:r w:rsidRPr="00EB0995">
        <w:rPr>
          <w:color w:val="000000" w:themeColor="text1"/>
          <w:lang w:val="bg-BG"/>
        </w:rPr>
        <w:t>Използвани за рекултивация на нарушени терени са 6 228,842 t сухо вещество;</w:t>
      </w:r>
    </w:p>
    <w:p w14:paraId="64D3F72A" w14:textId="77777777" w:rsidR="00EB0995" w:rsidRPr="00EB0995" w:rsidRDefault="00EB0995">
      <w:pPr>
        <w:pStyle w:val="ListParagraph"/>
        <w:numPr>
          <w:ilvl w:val="0"/>
          <w:numId w:val="32"/>
        </w:numPr>
        <w:spacing w:after="60" w:line="264" w:lineRule="auto"/>
        <w:jc w:val="both"/>
        <w:rPr>
          <w:color w:val="000000" w:themeColor="text1"/>
          <w:lang w:val="bg-BG"/>
        </w:rPr>
      </w:pPr>
      <w:r w:rsidRPr="00EB0995">
        <w:rPr>
          <w:color w:val="000000" w:themeColor="text1"/>
          <w:lang w:val="bg-BG"/>
        </w:rPr>
        <w:t>Предадени за производство на тор и биогаз са 3 590.581 t сухо вещество.</w:t>
      </w:r>
    </w:p>
    <w:p w14:paraId="32BDE32C" w14:textId="77777777" w:rsidR="00EB0995" w:rsidRPr="00EB0995" w:rsidRDefault="00EB0995" w:rsidP="00EB0995">
      <w:pPr>
        <w:spacing w:after="60" w:line="264" w:lineRule="auto"/>
        <w:ind w:firstLine="708"/>
        <w:jc w:val="both"/>
        <w:rPr>
          <w:rFonts w:cs="Times New Roman"/>
          <w:szCs w:val="24"/>
        </w:rPr>
      </w:pPr>
      <w:r w:rsidRPr="00EB0995">
        <w:rPr>
          <w:rFonts w:cs="Times New Roman"/>
          <w:szCs w:val="24"/>
        </w:rPr>
        <w:t>Най-ниско в йерархията за управление на отпадъците, е обезвреждането на утайките чрез депониране. Употребата на утайките в селското и горското стопанство, за целите на рекултивация на нарушени терени, както и за гориво в различни процеси се обуславя от съдържанието на хранителни вещества в тях и възможността за извличане на полезните съставки – азот, фосфор и др. Използването на утайките в селското и горското стопанство е най-добрият начин за рециклирането им, а направените проучвания в страните от ЕС показват, че е и най-евтиният.</w:t>
      </w:r>
    </w:p>
    <w:p w14:paraId="39C0CB74" w14:textId="77777777" w:rsidR="00EB0995" w:rsidRPr="00EB0995" w:rsidRDefault="00EB0995" w:rsidP="00EB0995">
      <w:pPr>
        <w:spacing w:after="60" w:line="264" w:lineRule="auto"/>
        <w:ind w:firstLine="708"/>
        <w:jc w:val="both"/>
        <w:rPr>
          <w:rFonts w:cs="Times New Roman"/>
          <w:szCs w:val="24"/>
        </w:rPr>
      </w:pPr>
      <w:r w:rsidRPr="00EB0995">
        <w:rPr>
          <w:rFonts w:cs="Times New Roman"/>
          <w:szCs w:val="24"/>
        </w:rPr>
        <w:t>Утайките от пречиствателните станции за отпадъчни води съдържат органичен материал и имат сериозен енергиен потенциал. Биогазът, образуван при анаеробно разграждане на утайките, е възможен източник на гориво за отопление или производство на електроенергия.</w:t>
      </w:r>
    </w:p>
    <w:p w14:paraId="605F6A8A" w14:textId="25E35BCF"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На </w:t>
      </w:r>
      <w:r w:rsidR="003F3D71" w:rsidRPr="009F6D1E">
        <w:rPr>
          <w:rFonts w:cs="Times New Roman"/>
          <w:szCs w:val="24"/>
        </w:rPr>
        <w:fldChar w:fldCharType="begin"/>
      </w:r>
      <w:r w:rsidR="00876DB6" w:rsidRPr="009F6D1E">
        <w:rPr>
          <w:rFonts w:cs="Times New Roman"/>
          <w:szCs w:val="24"/>
        </w:rPr>
        <w:instrText xml:space="preserve"> REF _Ref107170546 \h </w:instrText>
      </w:r>
      <w:r w:rsidR="00EB0995">
        <w:rPr>
          <w:rFonts w:cs="Times New Roman"/>
          <w:szCs w:val="24"/>
        </w:rPr>
        <w:instrText xml:space="preserve"> \* MERGEFORMAT </w:instrText>
      </w:r>
      <w:r w:rsidR="003F3D71" w:rsidRPr="009F6D1E">
        <w:rPr>
          <w:rFonts w:cs="Times New Roman"/>
          <w:szCs w:val="24"/>
        </w:rPr>
      </w:r>
      <w:r w:rsidR="003F3D71" w:rsidRPr="009F6D1E">
        <w:rPr>
          <w:rFonts w:cs="Times New Roman"/>
          <w:szCs w:val="24"/>
        </w:rPr>
        <w:fldChar w:fldCharType="separate"/>
      </w:r>
      <w:r w:rsidR="00A43EF3" w:rsidRPr="00A43EF3">
        <w:rPr>
          <w:rFonts w:cs="Times New Roman"/>
          <w:szCs w:val="24"/>
        </w:rPr>
        <w:t>Фигура 66</w:t>
      </w:r>
      <w:r w:rsidR="003F3D71" w:rsidRPr="009F6D1E">
        <w:rPr>
          <w:rFonts w:cs="Times New Roman"/>
          <w:szCs w:val="24"/>
        </w:rPr>
        <w:fldChar w:fldCharType="end"/>
      </w:r>
      <w:r w:rsidRPr="009F6D1E">
        <w:rPr>
          <w:rFonts w:cs="Times New Roman"/>
          <w:szCs w:val="24"/>
        </w:rPr>
        <w:t xml:space="preserve"> в процентно съотношение са представени всички дейности по управление на утайките включително и тези, които се намират на временно съхранение на </w:t>
      </w:r>
      <w:proofErr w:type="spellStart"/>
      <w:r w:rsidRPr="009F6D1E">
        <w:rPr>
          <w:rFonts w:cs="Times New Roman"/>
          <w:szCs w:val="24"/>
        </w:rPr>
        <w:t>изсушителните</w:t>
      </w:r>
      <w:proofErr w:type="spellEnd"/>
      <w:r w:rsidRPr="009F6D1E">
        <w:rPr>
          <w:rFonts w:cs="Times New Roman"/>
          <w:szCs w:val="24"/>
        </w:rPr>
        <w:t xml:space="preserve"> полета в ГПСОВ, бетонови площадки, лагуни и др.</w:t>
      </w:r>
    </w:p>
    <w:p w14:paraId="4787270B" w14:textId="2BE06709" w:rsidR="00EB476D" w:rsidRPr="009F6D1E" w:rsidRDefault="00EB0995" w:rsidP="0084747F">
      <w:pPr>
        <w:spacing w:after="60" w:line="264" w:lineRule="auto"/>
        <w:jc w:val="center"/>
        <w:rPr>
          <w:rFonts w:cs="Times New Roman"/>
          <w:szCs w:val="24"/>
        </w:rPr>
      </w:pPr>
      <w:r>
        <w:rPr>
          <w:rFonts w:ascii="Cambria" w:hAnsi="Cambria"/>
          <w:noProof/>
          <w:szCs w:val="24"/>
          <w:lang w:val="en-US"/>
        </w:rPr>
        <w:lastRenderedPageBreak/>
        <w:drawing>
          <wp:inline distT="0" distB="0" distL="0" distR="0" wp14:anchorId="5ADD8827" wp14:editId="7FBD2FBC">
            <wp:extent cx="3848100" cy="21564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t="6437" r="2807" b="6810"/>
                    <a:stretch/>
                  </pic:blipFill>
                  <pic:spPr bwMode="auto">
                    <a:xfrm>
                      <a:off x="0" y="0"/>
                      <a:ext cx="3848853" cy="2156882"/>
                    </a:xfrm>
                    <a:prstGeom prst="rect">
                      <a:avLst/>
                    </a:prstGeom>
                    <a:noFill/>
                    <a:ln>
                      <a:noFill/>
                    </a:ln>
                    <a:extLst>
                      <a:ext uri="{53640926-AAD7-44D8-BBD7-CCE9431645EC}">
                        <a14:shadowObscured xmlns:a14="http://schemas.microsoft.com/office/drawing/2010/main"/>
                      </a:ext>
                    </a:extLst>
                  </pic:spPr>
                </pic:pic>
              </a:graphicData>
            </a:graphic>
          </wp:inline>
        </w:drawing>
      </w:r>
    </w:p>
    <w:p w14:paraId="26F1B4F4" w14:textId="6F799F9B" w:rsidR="00EB476D" w:rsidRPr="009F6D1E" w:rsidRDefault="00876DB6" w:rsidP="00876DB6">
      <w:pPr>
        <w:pStyle w:val="Caption"/>
        <w:rPr>
          <w:bCs/>
        </w:rPr>
      </w:pPr>
      <w:bookmarkStart w:id="348" w:name="_Ref107170546"/>
      <w:bookmarkStart w:id="349" w:name="_Toc115255127"/>
      <w:r w:rsidRPr="009F6D1E">
        <w:t xml:space="preserve">Фигура </w:t>
      </w:r>
      <w:fldSimple w:instr=" SEQ Фигура \* ARABIC ">
        <w:r w:rsidR="00A43EF3">
          <w:rPr>
            <w:noProof/>
          </w:rPr>
          <w:t>66</w:t>
        </w:r>
      </w:fldSimple>
      <w:bookmarkEnd w:id="348"/>
      <w:r w:rsidRPr="009F6D1E">
        <w:t xml:space="preserve">: </w:t>
      </w:r>
      <w:r w:rsidR="00EB476D" w:rsidRPr="009F6D1E">
        <w:rPr>
          <w:bCs/>
        </w:rPr>
        <w:t>Дейности по управление на утайките в процентно съотношение</w:t>
      </w:r>
      <w:bookmarkEnd w:id="349"/>
    </w:p>
    <w:p w14:paraId="21B7B3F5" w14:textId="1209DA6E"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Графиката на </w:t>
      </w:r>
      <w:r w:rsidR="003F3D71" w:rsidRPr="009F6D1E">
        <w:rPr>
          <w:rFonts w:cs="Times New Roman"/>
          <w:szCs w:val="24"/>
        </w:rPr>
        <w:fldChar w:fldCharType="begin"/>
      </w:r>
      <w:r w:rsidR="00163435" w:rsidRPr="009F6D1E">
        <w:rPr>
          <w:rFonts w:cs="Times New Roman"/>
          <w:szCs w:val="24"/>
        </w:rPr>
        <w:instrText xml:space="preserve"> REF _Ref107170595 \h </w:instrText>
      </w:r>
      <w:r w:rsidR="003F3D71" w:rsidRPr="009F6D1E">
        <w:rPr>
          <w:rFonts w:cs="Times New Roman"/>
          <w:szCs w:val="24"/>
        </w:rPr>
      </w:r>
      <w:r w:rsidR="003F3D71" w:rsidRPr="009F6D1E">
        <w:rPr>
          <w:rFonts w:cs="Times New Roman"/>
          <w:szCs w:val="24"/>
        </w:rPr>
        <w:fldChar w:fldCharType="separate"/>
      </w:r>
      <w:r w:rsidR="00A43EF3" w:rsidRPr="009F6D1E">
        <w:t xml:space="preserve">Фигура </w:t>
      </w:r>
      <w:r w:rsidR="00A43EF3">
        <w:rPr>
          <w:noProof/>
        </w:rPr>
        <w:t>67</w:t>
      </w:r>
      <w:r w:rsidR="003F3D71" w:rsidRPr="009F6D1E">
        <w:rPr>
          <w:rFonts w:cs="Times New Roman"/>
          <w:szCs w:val="24"/>
        </w:rPr>
        <w:fldChar w:fldCharType="end"/>
      </w:r>
      <w:r w:rsidRPr="009F6D1E">
        <w:rPr>
          <w:rFonts w:cs="Times New Roman"/>
          <w:szCs w:val="24"/>
        </w:rPr>
        <w:t xml:space="preserve"> дава в процентно съотношение утайките, които са използвани за подобряване продуктивността на земеделските земи; за рекултивация, укрепване и стабилизиране на нарушени терени (горски терени, депа, мини). Това са утайките, с които са извършени дейности с код R10 „обработване на земната повърхност, благоприятстващо земеделието или подобряващо качествата на околната среда“ съгласно Приложение № 2 към §1 т.13 от „Допълнителни разпоредби“ от Закона за управление на отпадъците</w:t>
      </w:r>
    </w:p>
    <w:p w14:paraId="1F7F8424" w14:textId="3FC4B9DA" w:rsidR="00EB476D" w:rsidRPr="009F6D1E" w:rsidRDefault="006D1EE9" w:rsidP="0084747F">
      <w:pPr>
        <w:spacing w:after="60" w:line="264" w:lineRule="auto"/>
        <w:jc w:val="center"/>
        <w:rPr>
          <w:rFonts w:cs="Times New Roman"/>
          <w:color w:val="4472C4" w:themeColor="accent1"/>
          <w:szCs w:val="24"/>
        </w:rPr>
      </w:pPr>
      <w:r>
        <w:rPr>
          <w:rFonts w:ascii="Cambria" w:hAnsi="Cambria"/>
          <w:noProof/>
          <w:szCs w:val="24"/>
          <w:lang w:val="en-US"/>
        </w:rPr>
        <w:drawing>
          <wp:inline distT="0" distB="0" distL="0" distR="0" wp14:anchorId="791AC040" wp14:editId="124E5236">
            <wp:extent cx="3348000" cy="2126754"/>
            <wp:effectExtent l="0" t="0" r="5080" b="698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5929" t="8159" r="10406" b="6489"/>
                    <a:stretch/>
                  </pic:blipFill>
                  <pic:spPr bwMode="auto">
                    <a:xfrm>
                      <a:off x="0" y="0"/>
                      <a:ext cx="3348000" cy="2126754"/>
                    </a:xfrm>
                    <a:prstGeom prst="rect">
                      <a:avLst/>
                    </a:prstGeom>
                    <a:noFill/>
                    <a:ln>
                      <a:noFill/>
                    </a:ln>
                    <a:extLst>
                      <a:ext uri="{53640926-AAD7-44D8-BBD7-CCE9431645EC}">
                        <a14:shadowObscured xmlns:a14="http://schemas.microsoft.com/office/drawing/2010/main"/>
                      </a:ext>
                    </a:extLst>
                  </pic:spPr>
                </pic:pic>
              </a:graphicData>
            </a:graphic>
          </wp:inline>
        </w:drawing>
      </w:r>
    </w:p>
    <w:p w14:paraId="79FD0D26" w14:textId="7C826692" w:rsidR="00EB476D" w:rsidRPr="009F6D1E" w:rsidRDefault="00163435" w:rsidP="00163435">
      <w:pPr>
        <w:pStyle w:val="Caption"/>
        <w:rPr>
          <w:bCs/>
        </w:rPr>
      </w:pPr>
      <w:bookmarkStart w:id="350" w:name="_Ref107170595"/>
      <w:bookmarkStart w:id="351" w:name="_Toc115255128"/>
      <w:r w:rsidRPr="009F6D1E">
        <w:t xml:space="preserve">Фигура </w:t>
      </w:r>
      <w:fldSimple w:instr=" SEQ Фигура \* ARABIC ">
        <w:r w:rsidR="00A43EF3">
          <w:rPr>
            <w:noProof/>
          </w:rPr>
          <w:t>67</w:t>
        </w:r>
      </w:fldSimple>
      <w:bookmarkEnd w:id="350"/>
      <w:r w:rsidRPr="009F6D1E">
        <w:t xml:space="preserve">: </w:t>
      </w:r>
      <w:r w:rsidR="00EB476D" w:rsidRPr="009F6D1E">
        <w:rPr>
          <w:bCs/>
        </w:rPr>
        <w:t>В процентно съотношение утайките, които са използвани за подобряване продуктивността на земеделските земи; за рекултивация, укрепване и стабилизиране на нарушени терени (горски терени, депа, мини)</w:t>
      </w:r>
      <w:bookmarkEnd w:id="351"/>
    </w:p>
    <w:p w14:paraId="7F962E9B" w14:textId="0D222CD4" w:rsidR="006D1EE9" w:rsidRPr="00322564" w:rsidRDefault="006D1EE9" w:rsidP="00322564">
      <w:pPr>
        <w:spacing w:after="60" w:line="264" w:lineRule="auto"/>
        <w:ind w:firstLine="708"/>
        <w:jc w:val="both"/>
      </w:pPr>
      <w:r w:rsidRPr="006D1EE9">
        <w:t xml:space="preserve">Фигурата показва, че 80% от утайките са материално оползотворени и изпълняват поставените цели в Националния стратегически план за 2020г. </w:t>
      </w:r>
    </w:p>
    <w:p w14:paraId="3F86EDBD" w14:textId="777A0C24" w:rsidR="006D1EE9" w:rsidRPr="00322564" w:rsidRDefault="006D1EE9" w:rsidP="00322564">
      <w:pPr>
        <w:spacing w:after="60" w:line="264" w:lineRule="auto"/>
        <w:ind w:firstLine="708"/>
        <w:jc w:val="both"/>
      </w:pPr>
      <w:r w:rsidRPr="00322564">
        <w:t xml:space="preserve">На </w:t>
      </w:r>
      <w:r w:rsidR="00322564" w:rsidRPr="00322564">
        <w:fldChar w:fldCharType="begin"/>
      </w:r>
      <w:r w:rsidR="00322564" w:rsidRPr="00322564">
        <w:instrText xml:space="preserve"> REF _Ref113735142 \h </w:instrText>
      </w:r>
      <w:r w:rsidR="00322564">
        <w:instrText xml:space="preserve"> \* MERGEFORMAT </w:instrText>
      </w:r>
      <w:r w:rsidR="00322564" w:rsidRPr="00322564">
        <w:fldChar w:fldCharType="separate"/>
      </w:r>
      <w:r w:rsidR="00A43EF3" w:rsidRPr="009F6D1E">
        <w:t xml:space="preserve">Фигура </w:t>
      </w:r>
      <w:r w:rsidR="00A43EF3">
        <w:t>68</w:t>
      </w:r>
      <w:r w:rsidR="00322564" w:rsidRPr="00322564">
        <w:fldChar w:fldCharType="end"/>
      </w:r>
      <w:r w:rsidR="00322564" w:rsidRPr="00322564">
        <w:t xml:space="preserve"> </w:t>
      </w:r>
      <w:r w:rsidRPr="00322564">
        <w:t>са дадени тенденциите в количествата на общо образуваните и общо третираните утайки (използвани в селското стопанство, за рекултивация на нарушени терени, за производство на тор).</w:t>
      </w:r>
    </w:p>
    <w:p w14:paraId="365B4833" w14:textId="77777777" w:rsidR="006D1EE9" w:rsidRPr="00B75AA0" w:rsidRDefault="006D1EE9" w:rsidP="006D1EE9">
      <w:pPr>
        <w:spacing w:before="80" w:after="120" w:line="240" w:lineRule="auto"/>
        <w:jc w:val="center"/>
        <w:rPr>
          <w:rFonts w:ascii="Cambria" w:hAnsi="Cambria"/>
          <w:szCs w:val="24"/>
        </w:rPr>
      </w:pPr>
      <w:r w:rsidRPr="00323592">
        <w:rPr>
          <w:rFonts w:ascii="Cambria" w:hAnsi="Cambria"/>
          <w:noProof/>
          <w:szCs w:val="24"/>
          <w:lang w:val="en-US"/>
        </w:rPr>
        <w:lastRenderedPageBreak/>
        <w:drawing>
          <wp:inline distT="0" distB="0" distL="0" distR="0" wp14:anchorId="0DA2B72E" wp14:editId="365A1C07">
            <wp:extent cx="4176000" cy="2238742"/>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BEBA8EAE-BF5A-486C-A8C5-ECC9F3942E4B}">
                          <a14:imgProps xmlns:a14="http://schemas.microsoft.com/office/drawing/2010/main">
                            <a14:imgLayer r:embed="rId97">
                              <a14:imgEffect>
                                <a14:brightnessContrast bright="40000" contrast="40000"/>
                              </a14:imgEffect>
                            </a14:imgLayer>
                          </a14:imgProps>
                        </a:ext>
                      </a:extLst>
                    </a:blip>
                    <a:stretch>
                      <a:fillRect/>
                    </a:stretch>
                  </pic:blipFill>
                  <pic:spPr>
                    <a:xfrm>
                      <a:off x="0" y="0"/>
                      <a:ext cx="4176000" cy="2238742"/>
                    </a:xfrm>
                    <a:prstGeom prst="rect">
                      <a:avLst/>
                    </a:prstGeom>
                  </pic:spPr>
                </pic:pic>
              </a:graphicData>
            </a:graphic>
          </wp:inline>
        </w:drawing>
      </w:r>
    </w:p>
    <w:p w14:paraId="66ED8C84" w14:textId="4F57C0BE" w:rsidR="006D1EE9" w:rsidRPr="00B75AA0" w:rsidRDefault="00322564" w:rsidP="006D1EE9">
      <w:pPr>
        <w:pStyle w:val="Caption"/>
      </w:pPr>
      <w:bookmarkStart w:id="352" w:name="_Ref113735142"/>
      <w:bookmarkStart w:id="353" w:name="_Toc104542565"/>
      <w:bookmarkStart w:id="354" w:name="_Toc112099264"/>
      <w:bookmarkStart w:id="355" w:name="_Toc115255129"/>
      <w:r w:rsidRPr="009F6D1E">
        <w:t xml:space="preserve">Фигура </w:t>
      </w:r>
      <w:fldSimple w:instr=" SEQ Фигура \* ARABIC ">
        <w:r w:rsidR="00A43EF3">
          <w:rPr>
            <w:noProof/>
          </w:rPr>
          <w:t>68</w:t>
        </w:r>
      </w:fldSimple>
      <w:bookmarkEnd w:id="352"/>
      <w:r w:rsidRPr="009F6D1E">
        <w:t xml:space="preserve">: </w:t>
      </w:r>
      <w:r w:rsidR="006D1EE9" w:rsidRPr="00B75AA0">
        <w:t>Тенденции в количествата на общо образуваните и общо третираните утайки през годините</w:t>
      </w:r>
      <w:bookmarkEnd w:id="353"/>
      <w:bookmarkEnd w:id="354"/>
      <w:bookmarkEnd w:id="355"/>
    </w:p>
    <w:p w14:paraId="42348270" w14:textId="77777777" w:rsidR="006D1EE9" w:rsidRPr="00322564" w:rsidRDefault="006D1EE9" w:rsidP="00322564">
      <w:pPr>
        <w:spacing w:after="60" w:line="264" w:lineRule="auto"/>
        <w:ind w:firstLine="708"/>
        <w:jc w:val="both"/>
      </w:pPr>
      <w:r w:rsidRPr="00322564">
        <w:t>За 2020г. количеството на третираните утайки е 28.4 х 103 t сухо в- во.</w:t>
      </w:r>
    </w:p>
    <w:p w14:paraId="737CDE66" w14:textId="0533BDCB" w:rsidR="006D1EE9" w:rsidRPr="00322564" w:rsidRDefault="006D1EE9" w:rsidP="00322564">
      <w:pPr>
        <w:spacing w:after="60" w:line="264" w:lineRule="auto"/>
        <w:ind w:firstLine="708"/>
        <w:jc w:val="both"/>
      </w:pPr>
      <w:r w:rsidRPr="00322564">
        <w:t xml:space="preserve">На </w:t>
      </w:r>
      <w:r w:rsidR="00322564" w:rsidRPr="00322564">
        <w:fldChar w:fldCharType="begin"/>
      </w:r>
      <w:r w:rsidR="00322564" w:rsidRPr="00322564">
        <w:instrText xml:space="preserve"> REF _Ref113735190 \h </w:instrText>
      </w:r>
      <w:r w:rsidR="00322564">
        <w:instrText xml:space="preserve"> \* MERGEFORMAT </w:instrText>
      </w:r>
      <w:r w:rsidR="00322564" w:rsidRPr="00322564">
        <w:fldChar w:fldCharType="separate"/>
      </w:r>
      <w:r w:rsidR="00A43EF3" w:rsidRPr="009F6D1E">
        <w:t xml:space="preserve">Фигура </w:t>
      </w:r>
      <w:r w:rsidR="00A43EF3">
        <w:t>69</w:t>
      </w:r>
      <w:r w:rsidR="00322564" w:rsidRPr="00322564">
        <w:fldChar w:fldCharType="end"/>
      </w:r>
      <w:r w:rsidRPr="00322564">
        <w:t xml:space="preserve"> е представена цялостната тенденция при управлението на утайките за периода от годината на влизане в сила на Наредбата за реда и начина за оползотворяване на утайки от пречистването на отпадъчни води чрез употребата им в земеделието до този момент.</w:t>
      </w:r>
    </w:p>
    <w:p w14:paraId="186CD57C" w14:textId="77777777" w:rsidR="006D1EE9" w:rsidRPr="00B75AA0" w:rsidRDefault="006D1EE9" w:rsidP="006D1EE9">
      <w:pPr>
        <w:spacing w:before="80" w:after="120" w:line="240" w:lineRule="auto"/>
        <w:jc w:val="center"/>
        <w:rPr>
          <w:rFonts w:ascii="Cambria" w:hAnsi="Cambria"/>
          <w:szCs w:val="24"/>
        </w:rPr>
      </w:pPr>
      <w:r w:rsidRPr="001268E0">
        <w:rPr>
          <w:rFonts w:ascii="Cambria" w:hAnsi="Cambria"/>
          <w:noProof/>
          <w:szCs w:val="24"/>
          <w:highlight w:val="magenta"/>
          <w:lang w:val="en-US"/>
        </w:rPr>
        <w:drawing>
          <wp:inline distT="0" distB="0" distL="0" distR="0" wp14:anchorId="39F21AD9" wp14:editId="17FCDCAA">
            <wp:extent cx="5204460" cy="2741833"/>
            <wp:effectExtent l="0" t="0" r="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6506" cy="2748179"/>
                    </a:xfrm>
                    <a:prstGeom prst="rect">
                      <a:avLst/>
                    </a:prstGeom>
                    <a:noFill/>
                    <a:ln>
                      <a:noFill/>
                    </a:ln>
                  </pic:spPr>
                </pic:pic>
              </a:graphicData>
            </a:graphic>
          </wp:inline>
        </w:drawing>
      </w:r>
    </w:p>
    <w:p w14:paraId="2246B537" w14:textId="37F5576E" w:rsidR="006D1EE9" w:rsidRPr="00B75AA0" w:rsidRDefault="00322564" w:rsidP="006D1EE9">
      <w:pPr>
        <w:pStyle w:val="Caption"/>
      </w:pPr>
      <w:bookmarkStart w:id="356" w:name="_Ref113735190"/>
      <w:bookmarkStart w:id="357" w:name="_Toc104542566"/>
      <w:bookmarkStart w:id="358" w:name="_Toc112099265"/>
      <w:bookmarkStart w:id="359" w:name="_Toc115255130"/>
      <w:r w:rsidRPr="009F6D1E">
        <w:t xml:space="preserve">Фигура </w:t>
      </w:r>
      <w:fldSimple w:instr=" SEQ Фигура \* ARABIC ">
        <w:r w:rsidR="00A43EF3">
          <w:rPr>
            <w:noProof/>
          </w:rPr>
          <w:t>69</w:t>
        </w:r>
      </w:fldSimple>
      <w:bookmarkEnd w:id="356"/>
      <w:r w:rsidRPr="009F6D1E">
        <w:t xml:space="preserve">: </w:t>
      </w:r>
      <w:r w:rsidR="006D1EE9" w:rsidRPr="00B75AA0">
        <w:t>Цялостна тенденция при управлението на утайките за периода от годината на влизане в сила на Наредбата за утайките до този момент.</w:t>
      </w:r>
      <w:bookmarkEnd w:id="357"/>
      <w:bookmarkEnd w:id="358"/>
      <w:bookmarkEnd w:id="359"/>
    </w:p>
    <w:p w14:paraId="2DF0572A"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По отношение на използването на утайките могат да бъдат направени следните изводи:</w:t>
      </w:r>
    </w:p>
    <w:p w14:paraId="6D6D1A00" w14:textId="77777777" w:rsidR="00322564" w:rsidRPr="00322564" w:rsidRDefault="00322564">
      <w:pPr>
        <w:pStyle w:val="ListParagraph"/>
        <w:numPr>
          <w:ilvl w:val="0"/>
          <w:numId w:val="32"/>
        </w:numPr>
        <w:spacing w:after="60" w:line="264" w:lineRule="auto"/>
        <w:jc w:val="both"/>
        <w:rPr>
          <w:color w:val="000000" w:themeColor="text1"/>
          <w:lang w:val="bg-BG"/>
        </w:rPr>
      </w:pPr>
      <w:r w:rsidRPr="00322564">
        <w:rPr>
          <w:color w:val="000000" w:themeColor="text1"/>
          <w:lang w:val="bg-BG"/>
        </w:rPr>
        <w:t xml:space="preserve">За отчетната 2020 г. оползотворени в земеделието са около 51% от образуваните утайки в страната. Това са утайките на „Софийска вода“ АД – 16571.748 тона сухо в-во, което е цялото количество утайки образувани от тази пречиствателна станция за 2020 г. и „ВиК“ ООД, гр. Враца – 357.94 тона сухо в-во. </w:t>
      </w:r>
    </w:p>
    <w:p w14:paraId="0D8B6C5C" w14:textId="77777777" w:rsidR="00322564" w:rsidRPr="00322564" w:rsidRDefault="00322564">
      <w:pPr>
        <w:pStyle w:val="ListParagraph"/>
        <w:numPr>
          <w:ilvl w:val="0"/>
          <w:numId w:val="32"/>
        </w:numPr>
        <w:spacing w:after="60" w:line="264" w:lineRule="auto"/>
        <w:jc w:val="both"/>
        <w:rPr>
          <w:color w:val="000000" w:themeColor="text1"/>
          <w:lang w:val="bg-BG"/>
        </w:rPr>
      </w:pPr>
      <w:r w:rsidRPr="00322564">
        <w:rPr>
          <w:color w:val="000000" w:themeColor="text1"/>
          <w:lang w:val="bg-BG"/>
        </w:rPr>
        <w:lastRenderedPageBreak/>
        <w:t xml:space="preserve">Приблизително 19% от генерираните утайки са използвани за укрепване и стабилизиране на ерозирали терени и </w:t>
      </w:r>
      <w:proofErr w:type="spellStart"/>
      <w:r w:rsidRPr="00322564">
        <w:rPr>
          <w:color w:val="000000" w:themeColor="text1"/>
          <w:lang w:val="bg-BG"/>
        </w:rPr>
        <w:t>свлачищни</w:t>
      </w:r>
      <w:proofErr w:type="spellEnd"/>
      <w:r w:rsidRPr="00322564">
        <w:rPr>
          <w:color w:val="000000" w:themeColor="text1"/>
          <w:lang w:val="bg-BG"/>
        </w:rPr>
        <w:t xml:space="preserve"> зони, за рекултивация на горски терени, за подравняване терените на депа, стари руднични находища и др. Това са утайките от пречиствателните станции на ВиК Бургас, ВиК Хасково, ВиК Търговище, ВиК Варна, ВиК Благоевград и ВиК Пазарджик. </w:t>
      </w:r>
    </w:p>
    <w:p w14:paraId="38C8D0BA" w14:textId="77777777" w:rsidR="00322564" w:rsidRPr="00322564" w:rsidRDefault="00322564">
      <w:pPr>
        <w:pStyle w:val="ListParagraph"/>
        <w:numPr>
          <w:ilvl w:val="0"/>
          <w:numId w:val="32"/>
        </w:numPr>
        <w:spacing w:after="60" w:line="264" w:lineRule="auto"/>
        <w:jc w:val="both"/>
        <w:rPr>
          <w:color w:val="000000" w:themeColor="text1"/>
          <w:lang w:val="bg-BG"/>
        </w:rPr>
      </w:pPr>
      <w:r w:rsidRPr="00322564">
        <w:rPr>
          <w:color w:val="000000" w:themeColor="text1"/>
          <w:lang w:val="bg-BG"/>
        </w:rPr>
        <w:t>Общо 10.73% от утайките са оползотворени по други методи, а именно: 3590,581 тона сухо в-во утайки от пречиствателните станции на ВиК Плевен, ВиК Пловдив и други пречиствателни станции.</w:t>
      </w:r>
    </w:p>
    <w:p w14:paraId="0AFC381B" w14:textId="77777777" w:rsidR="00322564" w:rsidRPr="00322564" w:rsidRDefault="00322564">
      <w:pPr>
        <w:pStyle w:val="ListParagraph"/>
        <w:numPr>
          <w:ilvl w:val="0"/>
          <w:numId w:val="32"/>
        </w:numPr>
        <w:spacing w:after="60" w:line="264" w:lineRule="auto"/>
        <w:jc w:val="both"/>
        <w:rPr>
          <w:color w:val="000000" w:themeColor="text1"/>
          <w:lang w:val="bg-BG"/>
        </w:rPr>
      </w:pPr>
      <w:r w:rsidRPr="00322564">
        <w:rPr>
          <w:color w:val="000000" w:themeColor="text1"/>
          <w:lang w:val="bg-BG"/>
        </w:rPr>
        <w:t xml:space="preserve">Около 15% от утайките са временно съхранени. </w:t>
      </w:r>
    </w:p>
    <w:p w14:paraId="5CB2289A" w14:textId="50F3C63D" w:rsidR="00EB476D" w:rsidRPr="00322564" w:rsidRDefault="00EB476D" w:rsidP="00322564">
      <w:pPr>
        <w:pStyle w:val="ListParagraph"/>
        <w:spacing w:after="60" w:line="264" w:lineRule="auto"/>
        <w:jc w:val="both"/>
        <w:rPr>
          <w:color w:val="000000" w:themeColor="text1"/>
          <w:lang w:val="bg-BG"/>
        </w:rPr>
      </w:pPr>
    </w:p>
    <w:p w14:paraId="39CC87FE" w14:textId="77777777" w:rsidR="00EB476D" w:rsidRPr="009F6D1E" w:rsidRDefault="00EB476D">
      <w:pPr>
        <w:pStyle w:val="ListParagraph"/>
        <w:numPr>
          <w:ilvl w:val="0"/>
          <w:numId w:val="33"/>
        </w:numPr>
        <w:spacing w:after="60" w:line="264" w:lineRule="auto"/>
        <w:jc w:val="both"/>
        <w:rPr>
          <w:b/>
          <w:bCs/>
          <w:color w:val="000000" w:themeColor="text1"/>
          <w:lang w:val="bg-BG"/>
        </w:rPr>
      </w:pPr>
      <w:r w:rsidRPr="009F6D1E">
        <w:rPr>
          <w:b/>
          <w:bCs/>
          <w:color w:val="000000" w:themeColor="text1"/>
          <w:lang w:val="bg-BG"/>
        </w:rPr>
        <w:t>Негодни за употреба батерии и акумулатори (НУБА)</w:t>
      </w:r>
    </w:p>
    <w:p w14:paraId="7689F243" w14:textId="0E8E0C1A"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Количествата пуснати на пазара БА са обобщени по вид (портативни, индустриални, автомобилни), съгласно информацията, получена от </w:t>
      </w:r>
      <w:proofErr w:type="spellStart"/>
      <w:r w:rsidRPr="009F6D1E">
        <w:rPr>
          <w:rFonts w:cs="Times New Roman"/>
          <w:szCs w:val="24"/>
        </w:rPr>
        <w:t>ООп</w:t>
      </w:r>
      <w:proofErr w:type="spellEnd"/>
      <w:r w:rsidRPr="009F6D1E">
        <w:rPr>
          <w:rFonts w:cs="Times New Roman"/>
          <w:szCs w:val="24"/>
        </w:rPr>
        <w:t>-тата, лицата, изпълняващи задълженията си индивидуално и лицата, които заплащат продуктова такса в ПУДООС, предоставили справка (</w:t>
      </w:r>
      <w:r w:rsidR="003F3D71" w:rsidRPr="009F6D1E">
        <w:rPr>
          <w:rFonts w:cs="Times New Roman"/>
          <w:szCs w:val="24"/>
        </w:rPr>
        <w:fldChar w:fldCharType="begin"/>
      </w:r>
      <w:r w:rsidR="009E67F8" w:rsidRPr="009F6D1E">
        <w:rPr>
          <w:rFonts w:cs="Times New Roman"/>
          <w:szCs w:val="24"/>
        </w:rPr>
        <w:instrText xml:space="preserve"> REF _Ref107171021 \h </w:instrText>
      </w:r>
      <w:r w:rsidR="003F3D71" w:rsidRPr="009F6D1E">
        <w:rPr>
          <w:rFonts w:cs="Times New Roman"/>
          <w:szCs w:val="24"/>
        </w:rPr>
      </w:r>
      <w:r w:rsidR="003F3D71" w:rsidRPr="009F6D1E">
        <w:rPr>
          <w:rFonts w:cs="Times New Roman"/>
          <w:szCs w:val="24"/>
        </w:rPr>
        <w:fldChar w:fldCharType="separate"/>
      </w:r>
      <w:r w:rsidR="00A43EF3" w:rsidRPr="009F6D1E">
        <w:t xml:space="preserve">Таблица </w:t>
      </w:r>
      <w:r w:rsidR="00A43EF3">
        <w:rPr>
          <w:noProof/>
        </w:rPr>
        <w:t>17</w:t>
      </w:r>
      <w:r w:rsidR="003F3D71" w:rsidRPr="009F6D1E">
        <w:rPr>
          <w:rFonts w:cs="Times New Roman"/>
          <w:szCs w:val="24"/>
        </w:rPr>
        <w:fldChar w:fldCharType="end"/>
      </w:r>
      <w:r w:rsidRPr="009F6D1E">
        <w:rPr>
          <w:rFonts w:cs="Times New Roman"/>
          <w:szCs w:val="24"/>
        </w:rPr>
        <w:t>).</w:t>
      </w:r>
    </w:p>
    <w:p w14:paraId="251FF020" w14:textId="0E560B7B" w:rsidR="00EB476D" w:rsidRPr="009F6D1E" w:rsidRDefault="009E67F8" w:rsidP="009E67F8">
      <w:pPr>
        <w:pStyle w:val="Caption"/>
        <w:shd w:val="clear" w:color="auto" w:fill="FFFFFF" w:themeFill="background1"/>
        <w:rPr>
          <w:b/>
          <w:color w:val="4472C4" w:themeColor="accent1"/>
        </w:rPr>
      </w:pPr>
      <w:bookmarkStart w:id="360" w:name="_Ref107171021"/>
      <w:bookmarkStart w:id="361" w:name="_Toc115255168"/>
      <w:r w:rsidRPr="009F6D1E">
        <w:t xml:space="preserve">Таблица </w:t>
      </w:r>
      <w:fldSimple w:instr=" SEQ Таблица \* ARABIC ">
        <w:r w:rsidR="00A43EF3">
          <w:rPr>
            <w:noProof/>
          </w:rPr>
          <w:t>17</w:t>
        </w:r>
      </w:fldSimple>
      <w:bookmarkEnd w:id="360"/>
      <w:r w:rsidRPr="009F6D1E">
        <w:t xml:space="preserve">: </w:t>
      </w:r>
      <w:r w:rsidR="00EB476D" w:rsidRPr="009F6D1E">
        <w:rPr>
          <w:b/>
          <w:color w:val="4472C4" w:themeColor="accent1"/>
        </w:rPr>
        <w:t xml:space="preserve"> </w:t>
      </w:r>
      <w:r w:rsidR="00EB476D" w:rsidRPr="009F6D1E">
        <w:rPr>
          <w:bCs/>
          <w:color w:val="auto"/>
        </w:rPr>
        <w:t>Справка за пуснатите на пазара БА</w:t>
      </w:r>
      <w:bookmarkEnd w:id="361"/>
    </w:p>
    <w:tbl>
      <w:tblPr>
        <w:tblStyle w:val="TableGrid"/>
        <w:tblW w:w="0" w:type="auto"/>
        <w:tblLook w:val="04A0" w:firstRow="1" w:lastRow="0" w:firstColumn="1" w:lastColumn="0" w:noHBand="0" w:noVBand="1"/>
      </w:tblPr>
      <w:tblGrid>
        <w:gridCol w:w="3116"/>
        <w:gridCol w:w="3117"/>
        <w:gridCol w:w="3117"/>
      </w:tblGrid>
      <w:tr w:rsidR="009E67F8" w:rsidRPr="009F6D1E" w14:paraId="53F0C576" w14:textId="77777777" w:rsidTr="00881572">
        <w:tc>
          <w:tcPr>
            <w:tcW w:w="9350" w:type="dxa"/>
            <w:gridSpan w:val="3"/>
            <w:shd w:val="clear" w:color="auto" w:fill="BFBFBF" w:themeFill="background1" w:themeFillShade="BF"/>
          </w:tcPr>
          <w:p w14:paraId="554BB1CC" w14:textId="77777777" w:rsidR="00EB476D" w:rsidRPr="009F6D1E" w:rsidRDefault="00EB476D" w:rsidP="00881572">
            <w:pPr>
              <w:jc w:val="center"/>
              <w:rPr>
                <w:b/>
                <w:bCs/>
                <w:sz w:val="20"/>
                <w:szCs w:val="20"/>
              </w:rPr>
            </w:pPr>
            <w:r w:rsidRPr="009F6D1E">
              <w:rPr>
                <w:b/>
                <w:bCs/>
                <w:sz w:val="20"/>
                <w:szCs w:val="20"/>
              </w:rPr>
              <w:t>Пуснати на пазара на Р България БА</w:t>
            </w:r>
          </w:p>
        </w:tc>
      </w:tr>
      <w:tr w:rsidR="009E67F8" w:rsidRPr="009F6D1E" w14:paraId="351190B5" w14:textId="77777777" w:rsidTr="009E67F8">
        <w:trPr>
          <w:trHeight w:val="345"/>
        </w:trPr>
        <w:tc>
          <w:tcPr>
            <w:tcW w:w="3116" w:type="dxa"/>
            <w:shd w:val="clear" w:color="auto" w:fill="auto"/>
          </w:tcPr>
          <w:p w14:paraId="56D41E5A" w14:textId="77777777" w:rsidR="00EB476D" w:rsidRPr="009F6D1E" w:rsidRDefault="00EB476D" w:rsidP="00881572">
            <w:pPr>
              <w:rPr>
                <w:sz w:val="20"/>
                <w:szCs w:val="20"/>
              </w:rPr>
            </w:pPr>
            <w:r w:rsidRPr="009F6D1E">
              <w:rPr>
                <w:sz w:val="20"/>
                <w:szCs w:val="20"/>
              </w:rPr>
              <w:t>Вид на БА</w:t>
            </w:r>
          </w:p>
        </w:tc>
        <w:tc>
          <w:tcPr>
            <w:tcW w:w="3117" w:type="dxa"/>
            <w:shd w:val="clear" w:color="auto" w:fill="auto"/>
          </w:tcPr>
          <w:p w14:paraId="229D3E69" w14:textId="77777777" w:rsidR="00EB476D" w:rsidRPr="009F6D1E" w:rsidRDefault="00EB476D" w:rsidP="00881572">
            <w:pPr>
              <w:jc w:val="center"/>
              <w:rPr>
                <w:sz w:val="20"/>
                <w:szCs w:val="20"/>
              </w:rPr>
            </w:pPr>
            <w:r w:rsidRPr="009F6D1E">
              <w:rPr>
                <w:sz w:val="20"/>
                <w:szCs w:val="20"/>
              </w:rPr>
              <w:t>Количество (t)</w:t>
            </w:r>
          </w:p>
        </w:tc>
        <w:tc>
          <w:tcPr>
            <w:tcW w:w="3117" w:type="dxa"/>
            <w:shd w:val="clear" w:color="auto" w:fill="auto"/>
          </w:tcPr>
          <w:p w14:paraId="05700236" w14:textId="77777777" w:rsidR="00EB476D" w:rsidRPr="009F6D1E" w:rsidRDefault="00EB476D" w:rsidP="00881572">
            <w:pPr>
              <w:jc w:val="center"/>
              <w:rPr>
                <w:sz w:val="20"/>
                <w:szCs w:val="20"/>
              </w:rPr>
            </w:pPr>
            <w:r w:rsidRPr="009F6D1E">
              <w:rPr>
                <w:sz w:val="20"/>
                <w:szCs w:val="20"/>
              </w:rPr>
              <w:t>Период</w:t>
            </w:r>
          </w:p>
        </w:tc>
      </w:tr>
      <w:tr w:rsidR="009E67F8" w:rsidRPr="009F6D1E" w14:paraId="7291058F" w14:textId="77777777" w:rsidTr="009E67F8">
        <w:tc>
          <w:tcPr>
            <w:tcW w:w="3116" w:type="dxa"/>
            <w:shd w:val="clear" w:color="auto" w:fill="auto"/>
          </w:tcPr>
          <w:p w14:paraId="7DE94757" w14:textId="77777777" w:rsidR="00EB476D" w:rsidRPr="009F6D1E" w:rsidRDefault="00EB476D" w:rsidP="00881572">
            <w:pPr>
              <w:rPr>
                <w:sz w:val="20"/>
                <w:szCs w:val="20"/>
              </w:rPr>
            </w:pPr>
            <w:r w:rsidRPr="009F6D1E">
              <w:rPr>
                <w:sz w:val="20"/>
                <w:szCs w:val="20"/>
              </w:rPr>
              <w:t>Автомобилни</w:t>
            </w:r>
          </w:p>
        </w:tc>
        <w:tc>
          <w:tcPr>
            <w:tcW w:w="3117" w:type="dxa"/>
            <w:shd w:val="clear" w:color="auto" w:fill="auto"/>
          </w:tcPr>
          <w:p w14:paraId="7962E1C4" w14:textId="77777777" w:rsidR="00EB476D" w:rsidRPr="009F6D1E" w:rsidRDefault="00EB476D" w:rsidP="00881572">
            <w:pPr>
              <w:jc w:val="center"/>
              <w:rPr>
                <w:sz w:val="20"/>
                <w:szCs w:val="20"/>
              </w:rPr>
            </w:pPr>
            <w:r w:rsidRPr="009F6D1E">
              <w:rPr>
                <w:sz w:val="20"/>
                <w:szCs w:val="20"/>
              </w:rPr>
              <w:t>11 446</w:t>
            </w:r>
          </w:p>
        </w:tc>
        <w:tc>
          <w:tcPr>
            <w:tcW w:w="3117" w:type="dxa"/>
            <w:vMerge w:val="restart"/>
            <w:shd w:val="clear" w:color="auto" w:fill="auto"/>
          </w:tcPr>
          <w:p w14:paraId="617C247F" w14:textId="77777777" w:rsidR="00EB476D" w:rsidRPr="009F6D1E" w:rsidRDefault="00EB476D" w:rsidP="00881572">
            <w:pPr>
              <w:jc w:val="center"/>
              <w:rPr>
                <w:sz w:val="20"/>
                <w:szCs w:val="20"/>
              </w:rPr>
            </w:pPr>
            <w:r w:rsidRPr="009F6D1E">
              <w:rPr>
                <w:sz w:val="20"/>
                <w:szCs w:val="20"/>
              </w:rPr>
              <w:t>01.01 – 31.12.2019</w:t>
            </w:r>
          </w:p>
        </w:tc>
      </w:tr>
      <w:tr w:rsidR="009E67F8" w:rsidRPr="009F6D1E" w14:paraId="67208654" w14:textId="77777777" w:rsidTr="009E67F8">
        <w:tc>
          <w:tcPr>
            <w:tcW w:w="3116" w:type="dxa"/>
            <w:shd w:val="clear" w:color="auto" w:fill="auto"/>
          </w:tcPr>
          <w:p w14:paraId="408F2E98" w14:textId="77777777" w:rsidR="00EB476D" w:rsidRPr="009F6D1E" w:rsidRDefault="00EB476D" w:rsidP="00881572">
            <w:pPr>
              <w:rPr>
                <w:sz w:val="20"/>
                <w:szCs w:val="20"/>
              </w:rPr>
            </w:pPr>
            <w:r w:rsidRPr="009F6D1E">
              <w:rPr>
                <w:sz w:val="20"/>
                <w:szCs w:val="20"/>
              </w:rPr>
              <w:t>Индустриални</w:t>
            </w:r>
          </w:p>
        </w:tc>
        <w:tc>
          <w:tcPr>
            <w:tcW w:w="3117" w:type="dxa"/>
            <w:shd w:val="clear" w:color="auto" w:fill="auto"/>
          </w:tcPr>
          <w:p w14:paraId="4FFB4992" w14:textId="77777777" w:rsidR="00EB476D" w:rsidRPr="009F6D1E" w:rsidRDefault="00EB476D" w:rsidP="00881572">
            <w:pPr>
              <w:jc w:val="center"/>
              <w:rPr>
                <w:sz w:val="20"/>
                <w:szCs w:val="20"/>
              </w:rPr>
            </w:pPr>
            <w:r w:rsidRPr="009F6D1E">
              <w:rPr>
                <w:sz w:val="20"/>
                <w:szCs w:val="20"/>
              </w:rPr>
              <w:t>1 993</w:t>
            </w:r>
          </w:p>
        </w:tc>
        <w:tc>
          <w:tcPr>
            <w:tcW w:w="3117" w:type="dxa"/>
            <w:vMerge/>
            <w:shd w:val="clear" w:color="auto" w:fill="auto"/>
          </w:tcPr>
          <w:p w14:paraId="76424366" w14:textId="77777777" w:rsidR="00EB476D" w:rsidRPr="009F6D1E" w:rsidRDefault="00EB476D" w:rsidP="00881572">
            <w:pPr>
              <w:rPr>
                <w:sz w:val="20"/>
                <w:szCs w:val="20"/>
              </w:rPr>
            </w:pPr>
          </w:p>
        </w:tc>
      </w:tr>
      <w:tr w:rsidR="009E67F8" w:rsidRPr="009F6D1E" w14:paraId="599AED1C" w14:textId="77777777" w:rsidTr="00881572">
        <w:tc>
          <w:tcPr>
            <w:tcW w:w="3116" w:type="dxa"/>
            <w:shd w:val="clear" w:color="auto" w:fill="BFBFBF" w:themeFill="background1" w:themeFillShade="BF"/>
            <w:vAlign w:val="center"/>
          </w:tcPr>
          <w:p w14:paraId="65CE4278" w14:textId="77777777" w:rsidR="00EB476D" w:rsidRPr="009F6D1E" w:rsidRDefault="00EB476D" w:rsidP="00881572">
            <w:pPr>
              <w:jc w:val="center"/>
              <w:rPr>
                <w:b/>
                <w:bCs/>
                <w:sz w:val="20"/>
                <w:szCs w:val="20"/>
              </w:rPr>
            </w:pPr>
            <w:r w:rsidRPr="009F6D1E">
              <w:rPr>
                <w:b/>
                <w:bCs/>
                <w:sz w:val="20"/>
                <w:szCs w:val="20"/>
              </w:rPr>
              <w:t>Портативни БА</w:t>
            </w:r>
          </w:p>
        </w:tc>
        <w:tc>
          <w:tcPr>
            <w:tcW w:w="3117" w:type="dxa"/>
            <w:shd w:val="clear" w:color="auto" w:fill="BFBFBF" w:themeFill="background1" w:themeFillShade="BF"/>
            <w:vAlign w:val="center"/>
          </w:tcPr>
          <w:p w14:paraId="34D8DC65" w14:textId="77777777" w:rsidR="00EB476D" w:rsidRPr="009F6D1E" w:rsidRDefault="00EB476D" w:rsidP="00881572">
            <w:pPr>
              <w:jc w:val="center"/>
              <w:rPr>
                <w:b/>
                <w:bCs/>
                <w:sz w:val="20"/>
                <w:szCs w:val="20"/>
              </w:rPr>
            </w:pPr>
            <w:r w:rsidRPr="009F6D1E">
              <w:rPr>
                <w:b/>
                <w:bCs/>
                <w:sz w:val="20"/>
                <w:szCs w:val="20"/>
              </w:rPr>
              <w:t>Количество (t)</w:t>
            </w:r>
          </w:p>
        </w:tc>
        <w:tc>
          <w:tcPr>
            <w:tcW w:w="3117" w:type="dxa"/>
            <w:shd w:val="clear" w:color="auto" w:fill="BFBFBF" w:themeFill="background1" w:themeFillShade="BF"/>
            <w:vAlign w:val="center"/>
          </w:tcPr>
          <w:p w14:paraId="7E8BF09F" w14:textId="77777777" w:rsidR="00EB476D" w:rsidRPr="009F6D1E" w:rsidRDefault="00EB476D" w:rsidP="00881572">
            <w:pPr>
              <w:jc w:val="center"/>
              <w:rPr>
                <w:b/>
                <w:bCs/>
                <w:sz w:val="20"/>
                <w:szCs w:val="20"/>
              </w:rPr>
            </w:pPr>
            <w:r w:rsidRPr="009F6D1E">
              <w:rPr>
                <w:b/>
                <w:bCs/>
                <w:sz w:val="20"/>
                <w:szCs w:val="20"/>
              </w:rPr>
              <w:t>Период</w:t>
            </w:r>
          </w:p>
        </w:tc>
      </w:tr>
      <w:tr w:rsidR="009E67F8" w:rsidRPr="009F6D1E" w14:paraId="69D2F536" w14:textId="77777777" w:rsidTr="00EB476D">
        <w:tc>
          <w:tcPr>
            <w:tcW w:w="3116" w:type="dxa"/>
          </w:tcPr>
          <w:p w14:paraId="27873400" w14:textId="77777777" w:rsidR="00EB476D" w:rsidRPr="009F6D1E" w:rsidRDefault="00EB476D" w:rsidP="00881572">
            <w:pPr>
              <w:rPr>
                <w:sz w:val="20"/>
                <w:szCs w:val="20"/>
              </w:rPr>
            </w:pPr>
            <w:r w:rsidRPr="009F6D1E">
              <w:rPr>
                <w:sz w:val="20"/>
                <w:szCs w:val="20"/>
              </w:rPr>
              <w:t>Общо количество, пуснато на пазара</w:t>
            </w:r>
          </w:p>
        </w:tc>
        <w:tc>
          <w:tcPr>
            <w:tcW w:w="3117" w:type="dxa"/>
          </w:tcPr>
          <w:p w14:paraId="08E29BE6" w14:textId="77777777" w:rsidR="00EB476D" w:rsidRPr="009F6D1E" w:rsidRDefault="00EB476D" w:rsidP="00881572">
            <w:pPr>
              <w:jc w:val="center"/>
              <w:rPr>
                <w:sz w:val="20"/>
                <w:szCs w:val="20"/>
              </w:rPr>
            </w:pPr>
            <w:r w:rsidRPr="009F6D1E">
              <w:rPr>
                <w:sz w:val="20"/>
                <w:szCs w:val="20"/>
              </w:rPr>
              <w:t>1015</w:t>
            </w:r>
          </w:p>
        </w:tc>
        <w:tc>
          <w:tcPr>
            <w:tcW w:w="3117" w:type="dxa"/>
            <w:vMerge w:val="restart"/>
          </w:tcPr>
          <w:p w14:paraId="78838D5C" w14:textId="77777777" w:rsidR="00EB476D" w:rsidRPr="009F6D1E" w:rsidRDefault="00EB476D" w:rsidP="00881572">
            <w:pPr>
              <w:jc w:val="center"/>
              <w:rPr>
                <w:sz w:val="20"/>
                <w:szCs w:val="20"/>
              </w:rPr>
            </w:pPr>
            <w:r w:rsidRPr="009F6D1E">
              <w:rPr>
                <w:sz w:val="20"/>
                <w:szCs w:val="20"/>
              </w:rPr>
              <w:t>01.01 – 31.12.2019</w:t>
            </w:r>
          </w:p>
        </w:tc>
      </w:tr>
      <w:tr w:rsidR="009E67F8" w:rsidRPr="009F6D1E" w14:paraId="6D313C45" w14:textId="77777777" w:rsidTr="00EB476D">
        <w:tc>
          <w:tcPr>
            <w:tcW w:w="3116" w:type="dxa"/>
          </w:tcPr>
          <w:p w14:paraId="5D15FCF2" w14:textId="77777777" w:rsidR="00EB476D" w:rsidRPr="009F6D1E" w:rsidRDefault="00EB476D" w:rsidP="00881572">
            <w:pPr>
              <w:rPr>
                <w:sz w:val="20"/>
                <w:szCs w:val="20"/>
              </w:rPr>
            </w:pPr>
            <w:r w:rsidRPr="009F6D1E">
              <w:rPr>
                <w:sz w:val="20"/>
                <w:szCs w:val="20"/>
              </w:rPr>
              <w:t>Количества, които са били пуснати на пазара, но са изнесени или изпратени от страната, преди да са придобити от краен потребител</w:t>
            </w:r>
          </w:p>
        </w:tc>
        <w:tc>
          <w:tcPr>
            <w:tcW w:w="3117" w:type="dxa"/>
          </w:tcPr>
          <w:p w14:paraId="2F95B212" w14:textId="77777777" w:rsidR="00EB476D" w:rsidRPr="009F6D1E" w:rsidRDefault="00EB476D" w:rsidP="00881572">
            <w:pPr>
              <w:jc w:val="center"/>
              <w:rPr>
                <w:sz w:val="20"/>
                <w:szCs w:val="20"/>
              </w:rPr>
            </w:pPr>
            <w:r w:rsidRPr="009F6D1E">
              <w:rPr>
                <w:sz w:val="20"/>
                <w:szCs w:val="20"/>
              </w:rPr>
              <w:t>73</w:t>
            </w:r>
          </w:p>
        </w:tc>
        <w:tc>
          <w:tcPr>
            <w:tcW w:w="3117" w:type="dxa"/>
            <w:vMerge/>
          </w:tcPr>
          <w:p w14:paraId="1CDD346F" w14:textId="77777777" w:rsidR="00EB476D" w:rsidRPr="009F6D1E" w:rsidRDefault="00EB476D" w:rsidP="00881572">
            <w:pPr>
              <w:rPr>
                <w:sz w:val="20"/>
                <w:szCs w:val="20"/>
              </w:rPr>
            </w:pPr>
          </w:p>
        </w:tc>
      </w:tr>
    </w:tbl>
    <w:p w14:paraId="14E21AE1" w14:textId="77777777" w:rsidR="00EB476D" w:rsidRPr="009F6D1E" w:rsidRDefault="00EB476D" w:rsidP="0084747F">
      <w:pPr>
        <w:spacing w:after="60" w:line="264" w:lineRule="auto"/>
        <w:jc w:val="right"/>
        <w:rPr>
          <w:rFonts w:cs="Times New Roman"/>
          <w:i/>
          <w:iCs/>
          <w:sz w:val="20"/>
          <w:szCs w:val="20"/>
        </w:rPr>
      </w:pPr>
      <w:r w:rsidRPr="009F6D1E">
        <w:rPr>
          <w:rFonts w:cs="Times New Roman"/>
          <w:i/>
          <w:iCs/>
          <w:sz w:val="20"/>
          <w:szCs w:val="20"/>
        </w:rPr>
        <w:t>Източник: ИАОС</w:t>
      </w:r>
    </w:p>
    <w:p w14:paraId="412DEE4C" w14:textId="434CCBF3"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През 2019 г.</w:t>
      </w:r>
      <w:r w:rsidR="006D1EE9">
        <w:rPr>
          <w:rFonts w:cs="Times New Roman"/>
          <w:szCs w:val="24"/>
        </w:rPr>
        <w:t>, последната отчетна година,</w:t>
      </w:r>
      <w:r w:rsidRPr="009F6D1E">
        <w:rPr>
          <w:rFonts w:cs="Times New Roman"/>
          <w:szCs w:val="24"/>
        </w:rPr>
        <w:t xml:space="preserve"> в страната са събрани НУПБА в количество, отговарящо на нормативно заложения коефициент на събираемост (KC7 = 48%), като за последните години тенденцията за събраните НУПБА е в посока на увеличение.</w:t>
      </w:r>
    </w:p>
    <w:p w14:paraId="1A1BBB2B"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Основните материали, които се образуват от третиране на оловно-кисели НУБА са: олово, електролит, пластмаси и други.</w:t>
      </w:r>
    </w:p>
    <w:p w14:paraId="34E82721"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Средната постигната степен на рециклиране на оловото, което се съдържа в оловно-киселите НУБА е 90%, за всички инсталации. В същото време е постигната степен на рециклиране от 92% на материалите съдържащи се в оловно-киселите НУБА, общо за всички инсталации.</w:t>
      </w:r>
    </w:p>
    <w:p w14:paraId="4931F3E8"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Основните материали, които се образуват от третиране на алкални НУБА са: черни метали, цветни метали, цинкова пепел и други, а постигнатата степен на рециклиране на материалите е 67%.</w:t>
      </w:r>
    </w:p>
    <w:p w14:paraId="1C66D9BC"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lastRenderedPageBreak/>
        <w:t>С цел изпълнение на целите по рециклиране през 2019г. две от организациите по оползотворяване на НУБА са осъществили извеждане на НУБА в друга държава-членка на Европейския съюз. Съгласно данните от одиторските доклади, в Румъния са предадени за рециклиране 1,8 т алкални НУПБА и 364,840 т АНУБА.</w:t>
      </w:r>
    </w:p>
    <w:p w14:paraId="30BBBB98"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Всички организации по оползотворяване, както и индивидуално изпълняващи задълженията си лица са доказали изпълнение на задълженията си по Наредбата.</w:t>
      </w:r>
    </w:p>
    <w:p w14:paraId="2D1875D6"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През 2019г. страната е събрала НУПБА, НУАБА и НУИБА в количества, отговарящи на нормативно заложените коефициенти на събираемост.</w:t>
      </w:r>
    </w:p>
    <w:p w14:paraId="1E6D4E63"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Всички събрани НУБА, включително и тези, отделени в резултат на предварително третиране на ИУЕЕО и на разкомплектоване на ИУМПС, са предадени за предварително третиране, рециклиране и/или оползотворяване.</w:t>
      </w:r>
    </w:p>
    <w:p w14:paraId="6264F5EB"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Р България е изпълнила целта за рециклиране на материалите, съдържащи се в </w:t>
      </w:r>
      <w:proofErr w:type="spellStart"/>
      <w:r w:rsidRPr="009F6D1E">
        <w:rPr>
          <w:rFonts w:cs="Times New Roman"/>
          <w:szCs w:val="24"/>
        </w:rPr>
        <w:t>оловнокиселите</w:t>
      </w:r>
      <w:proofErr w:type="spellEnd"/>
      <w:r w:rsidRPr="009F6D1E">
        <w:rPr>
          <w:rFonts w:cs="Times New Roman"/>
          <w:szCs w:val="24"/>
        </w:rPr>
        <w:t xml:space="preserve"> батерии и акумулатори. </w:t>
      </w:r>
    </w:p>
    <w:p w14:paraId="563B1CED" w14:textId="77777777" w:rsidR="00EB476D" w:rsidRPr="009F6D1E" w:rsidRDefault="00EB476D" w:rsidP="0084747F">
      <w:pPr>
        <w:spacing w:after="60" w:line="264" w:lineRule="auto"/>
        <w:ind w:firstLine="708"/>
        <w:jc w:val="both"/>
        <w:rPr>
          <w:rFonts w:cs="Times New Roman"/>
          <w:szCs w:val="24"/>
        </w:rPr>
      </w:pPr>
      <w:r w:rsidRPr="009F6D1E">
        <w:rPr>
          <w:rFonts w:cs="Times New Roman"/>
          <w:szCs w:val="24"/>
        </w:rPr>
        <w:t xml:space="preserve">Постигната е възможно най-висока степен на рециклиране на оловото, което се съдържа в оловно-киселите батерии и акумулатори. </w:t>
      </w:r>
    </w:p>
    <w:p w14:paraId="34D180CC" w14:textId="77777777" w:rsidR="00EB476D" w:rsidRPr="009F6D1E" w:rsidRDefault="00EB476D" w:rsidP="00322564">
      <w:pPr>
        <w:spacing w:after="60" w:line="264" w:lineRule="auto"/>
        <w:ind w:firstLine="708"/>
        <w:jc w:val="both"/>
        <w:rPr>
          <w:rFonts w:cs="Times New Roman"/>
          <w:szCs w:val="24"/>
        </w:rPr>
      </w:pPr>
      <w:r w:rsidRPr="009F6D1E">
        <w:rPr>
          <w:rFonts w:cs="Times New Roman"/>
          <w:szCs w:val="24"/>
        </w:rPr>
        <w:t>Постигната е и целта на рециклиране на материалите, съдържащи се в другите НУБА.</w:t>
      </w:r>
    </w:p>
    <w:p w14:paraId="6446DDA3" w14:textId="77777777" w:rsidR="00EB476D" w:rsidRPr="009F6D1E" w:rsidRDefault="00EB476D" w:rsidP="0084747F">
      <w:pPr>
        <w:spacing w:after="60" w:line="264" w:lineRule="auto"/>
        <w:jc w:val="both"/>
        <w:rPr>
          <w:rFonts w:cs="Times New Roman"/>
          <w:color w:val="4472C4" w:themeColor="accent1"/>
          <w:szCs w:val="24"/>
        </w:rPr>
      </w:pPr>
    </w:p>
    <w:p w14:paraId="0DB193A7" w14:textId="77777777" w:rsidR="00EB476D" w:rsidRPr="009F6D1E" w:rsidRDefault="000365EA">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Производствени и опасни отпадъци</w:t>
      </w:r>
    </w:p>
    <w:p w14:paraId="707A348C" w14:textId="77777777" w:rsidR="00F93745" w:rsidRPr="009F6D1E" w:rsidRDefault="00F93745" w:rsidP="0084747F">
      <w:pPr>
        <w:spacing w:after="60" w:line="264" w:lineRule="auto"/>
        <w:ind w:firstLine="708"/>
        <w:jc w:val="both"/>
        <w:rPr>
          <w:rFonts w:cs="Times New Roman"/>
          <w:szCs w:val="24"/>
        </w:rPr>
      </w:pPr>
    </w:p>
    <w:p w14:paraId="531BB681" w14:textId="77777777" w:rsidR="006D1EE9" w:rsidRPr="00322564" w:rsidRDefault="006D1EE9" w:rsidP="00322564">
      <w:pPr>
        <w:spacing w:after="60" w:line="264" w:lineRule="auto"/>
        <w:ind w:firstLine="708"/>
        <w:jc w:val="both"/>
        <w:rPr>
          <w:rFonts w:cs="Times New Roman"/>
          <w:szCs w:val="24"/>
        </w:rPr>
      </w:pPr>
      <w:r w:rsidRPr="00322564">
        <w:rPr>
          <w:rFonts w:cs="Times New Roman"/>
          <w:szCs w:val="24"/>
        </w:rPr>
        <w:t>Образуваните отпадъци от икономическата дейност през 2019 г. са 123 148 хил. тона. Неопасните отпадъци са 109 654 хил. тона, а опасните отпадъци са 13 494 хил. тона. Няма съществена промяна в количествата генерирани отпадъци от стопанска дейност спрямо предходните години. Най-значителен е делът на отпадъците, образуван от сектора на добивната промишленост, следвана от производството и разпределението на енергия и горива и преработващата промишленост. Най-незначителен дял на образуваните отпадъци се пада на канализационните услуги – събиране, отвеждане и пречистване на отпадъчни води. Това е рязка смяна на наблюдаваната до 2018 год. тенденция, до когато „Производство и разпределение на енергия и горива“ е водещия сектор в образуването на производствени отпадъци, чийто дял съставлява 56.7% от общо образуваните производствени отпадъци за периода 2013-2018 г.</w:t>
      </w:r>
    </w:p>
    <w:p w14:paraId="693555FE" w14:textId="77777777" w:rsidR="006D1EE9" w:rsidRPr="00322564" w:rsidRDefault="006D1EE9" w:rsidP="00322564">
      <w:pPr>
        <w:spacing w:after="60" w:line="264" w:lineRule="auto"/>
        <w:ind w:firstLine="708"/>
        <w:jc w:val="both"/>
        <w:rPr>
          <w:rFonts w:cs="Times New Roman"/>
          <w:szCs w:val="24"/>
        </w:rPr>
      </w:pPr>
      <w:r w:rsidRPr="00322564">
        <w:rPr>
          <w:rFonts w:cs="Times New Roman"/>
          <w:szCs w:val="24"/>
        </w:rPr>
        <w:t xml:space="preserve">През 2019 г. са предадени за оползотворяване общо в страната 3 438 551 тона производствени и опасни отпадъци, от които 3 349 714 тона са неопасните отпадъци и 88 837 тона са опасните отпадъци. </w:t>
      </w:r>
    </w:p>
    <w:p w14:paraId="3E30D707" w14:textId="77777777" w:rsidR="006D1EE9" w:rsidRPr="00322564" w:rsidRDefault="006D1EE9" w:rsidP="00322564">
      <w:pPr>
        <w:spacing w:after="60" w:line="264" w:lineRule="auto"/>
        <w:ind w:firstLine="708"/>
        <w:jc w:val="both"/>
        <w:rPr>
          <w:rFonts w:cs="Times New Roman"/>
          <w:szCs w:val="24"/>
        </w:rPr>
      </w:pPr>
      <w:r w:rsidRPr="00322564">
        <w:rPr>
          <w:rFonts w:cs="Times New Roman"/>
          <w:szCs w:val="24"/>
        </w:rPr>
        <w:t>За сравнение значително по-малко са количествата производствени и опасни отпадъци, предадени за обезвреждане – 7 143 387 тона, от които 7 087 746 тона са отпадъците с неопасен характер и 55 641 тона са опасните отпадъци.</w:t>
      </w:r>
    </w:p>
    <w:p w14:paraId="72B5F4A4" w14:textId="77777777" w:rsidR="006D1EE9" w:rsidRPr="00322564" w:rsidRDefault="006D1EE9" w:rsidP="00322564">
      <w:pPr>
        <w:spacing w:after="60" w:line="264" w:lineRule="auto"/>
        <w:ind w:firstLine="708"/>
        <w:jc w:val="both"/>
        <w:rPr>
          <w:rFonts w:cs="Times New Roman"/>
          <w:szCs w:val="24"/>
        </w:rPr>
      </w:pPr>
      <w:r w:rsidRPr="00322564">
        <w:rPr>
          <w:rFonts w:cs="Times New Roman"/>
          <w:szCs w:val="24"/>
        </w:rPr>
        <w:t>През 2019 г. за третиране извън страната са изнесени 88 391 тона производствени и опасни отпадъци, от които 79 839 тона са отпадъците, отличаващи се с неопасни свойства и 8 552 тона са опасните отпадъци.</w:t>
      </w:r>
    </w:p>
    <w:p w14:paraId="49773442" w14:textId="4F491F0F" w:rsidR="006D1EE9" w:rsidRDefault="006D1EE9" w:rsidP="00322564">
      <w:pPr>
        <w:spacing w:after="60" w:line="264" w:lineRule="auto"/>
        <w:ind w:firstLine="708"/>
        <w:jc w:val="both"/>
        <w:rPr>
          <w:rFonts w:cs="Times New Roman"/>
          <w:szCs w:val="24"/>
        </w:rPr>
      </w:pPr>
      <w:r w:rsidRPr="00322564">
        <w:rPr>
          <w:rFonts w:cs="Times New Roman"/>
          <w:szCs w:val="24"/>
        </w:rPr>
        <w:lastRenderedPageBreak/>
        <w:t>Предварителните данни сочат, че за 2020 г. образуваните производствени и опасни отпадъци са 81 945 166 тона, от които 68 081 199 тона неопасни (производствени) отпадъци и 13 863 967 тона опасни отпадъци, като отново се запазва тенденцията за разпределението на образуваните отпадъци по класове икономически дейности, както и през предходните години. Поради това, че данните не са верифицирани, то направеният по-горе анализ е въз основа на актуалната информация за 2019 г.</w:t>
      </w:r>
    </w:p>
    <w:p w14:paraId="4339510D" w14:textId="77777777" w:rsidR="00322564" w:rsidRPr="00322564" w:rsidRDefault="00322564" w:rsidP="00322564">
      <w:pPr>
        <w:spacing w:after="60" w:line="264" w:lineRule="auto"/>
        <w:ind w:firstLine="708"/>
        <w:jc w:val="both"/>
        <w:rPr>
          <w:rFonts w:cs="Times New Roman"/>
          <w:szCs w:val="24"/>
        </w:rPr>
      </w:pPr>
    </w:p>
    <w:p w14:paraId="4E7BD445" w14:textId="77777777" w:rsidR="00EB476D" w:rsidRPr="009F6D1E" w:rsidRDefault="00EB476D">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w:t>
      </w:r>
      <w:r w:rsidR="000365EA" w:rsidRPr="009F6D1E">
        <w:rPr>
          <w:b/>
          <w:bCs/>
          <w:smallCaps w:val="0"/>
          <w:color w:val="262626" w:themeColor="text1" w:themeTint="D9"/>
          <w:lang w:eastAsia="en-US" w:bidi="ar-SA"/>
        </w:rPr>
        <w:t>Строителни отпадъци</w:t>
      </w:r>
    </w:p>
    <w:p w14:paraId="7F8B483C" w14:textId="77777777" w:rsidR="00F93745" w:rsidRPr="009F6D1E" w:rsidRDefault="00F93745" w:rsidP="0084747F">
      <w:pPr>
        <w:spacing w:after="60" w:line="264" w:lineRule="auto"/>
        <w:ind w:firstLine="708"/>
        <w:jc w:val="both"/>
        <w:rPr>
          <w:rFonts w:cs="Times New Roman"/>
          <w:szCs w:val="24"/>
        </w:rPr>
      </w:pPr>
    </w:p>
    <w:p w14:paraId="6047994A" w14:textId="77777777" w:rsidR="00322564" w:rsidRPr="00322564" w:rsidRDefault="00322564" w:rsidP="00322564">
      <w:pPr>
        <w:spacing w:after="60" w:line="264" w:lineRule="auto"/>
        <w:ind w:firstLine="708"/>
        <w:jc w:val="both"/>
        <w:rPr>
          <w:rFonts w:cs="Times New Roman"/>
          <w:szCs w:val="24"/>
        </w:rPr>
      </w:pPr>
      <w:r w:rsidRPr="00322564">
        <w:rPr>
          <w:rFonts w:cs="Times New Roman"/>
          <w:szCs w:val="24"/>
        </w:rPr>
        <w:t>Налично е общо и специфично законодателство, а също така и Стратегически план за управление на строителните отпадъци със срок на действия 2011-2020г., като са поставен конкретни количествени цели за поетапно достигане на подготовка за повторна употреба, рециклиране и оползотворяване. Според стратегическия план за управление на строителните отпадъци до края на 2020г. трябва да е постигнато съотношение от 82.67% на рециклираните спрямо общообразуваните отпадъци, като в числено изражение общото количество рециклираните отпадъци трябва да е 3 501 300 тона.</w:t>
      </w:r>
    </w:p>
    <w:p w14:paraId="35D0857F" w14:textId="77777777" w:rsidR="00322564" w:rsidRPr="00322564" w:rsidRDefault="00322564" w:rsidP="00322564">
      <w:pPr>
        <w:spacing w:after="60" w:line="264" w:lineRule="auto"/>
        <w:ind w:firstLine="708"/>
        <w:jc w:val="both"/>
        <w:rPr>
          <w:rFonts w:cs="Times New Roman"/>
          <w:szCs w:val="24"/>
        </w:rPr>
      </w:pPr>
      <w:r w:rsidRPr="00322564">
        <w:rPr>
          <w:rFonts w:cs="Times New Roman"/>
          <w:szCs w:val="24"/>
        </w:rPr>
        <w:t>Строителните отпадъци са със сравнително малък относителен дял от образуваните производствени отпадъци – около 6.6%.</w:t>
      </w:r>
    </w:p>
    <w:p w14:paraId="1B9E3C45" w14:textId="77777777" w:rsidR="00322564" w:rsidRPr="00322564" w:rsidRDefault="00322564" w:rsidP="00322564">
      <w:pPr>
        <w:spacing w:after="60" w:line="264" w:lineRule="auto"/>
        <w:ind w:firstLine="708"/>
        <w:jc w:val="both"/>
        <w:rPr>
          <w:rFonts w:cs="Times New Roman"/>
          <w:szCs w:val="24"/>
        </w:rPr>
      </w:pPr>
      <w:r w:rsidRPr="00322564">
        <w:rPr>
          <w:rFonts w:cs="Times New Roman"/>
          <w:szCs w:val="24"/>
        </w:rPr>
        <w:t>В последните години се наблюдават положителни тенденции за нарастване на относителния дял на оползотворените спрямо обезвредените строителни отпадъци, тъй като преобладаващата част от строителните отпадъци имат висок потенциал за рециклиране и оползотворяване. Съществуват достъпни технологии за рециклиране, но липсва достатъчен капацитет за рециклиране на строителни отпадъци.</w:t>
      </w:r>
    </w:p>
    <w:p w14:paraId="207AE275" w14:textId="77777777" w:rsidR="00322564" w:rsidRPr="00322564" w:rsidRDefault="00322564" w:rsidP="00322564">
      <w:pPr>
        <w:spacing w:after="60" w:line="264" w:lineRule="auto"/>
        <w:ind w:firstLine="708"/>
        <w:jc w:val="both"/>
        <w:rPr>
          <w:rFonts w:cs="Times New Roman"/>
          <w:szCs w:val="24"/>
        </w:rPr>
      </w:pPr>
      <w:r w:rsidRPr="00322564">
        <w:rPr>
          <w:rFonts w:cs="Times New Roman"/>
          <w:szCs w:val="24"/>
        </w:rPr>
        <w:t>Все още не е изградена национална информационна система за образуваните, рециклираните, оползотворените и депонираните строителни отпадъци, поради което данните за отпадъците от строителство и разрушаване от наличните източници са непълни.</w:t>
      </w:r>
    </w:p>
    <w:p w14:paraId="254E6F9B" w14:textId="77777777" w:rsidR="00322564" w:rsidRPr="00322564" w:rsidRDefault="00322564" w:rsidP="00322564">
      <w:pPr>
        <w:spacing w:after="60" w:line="264" w:lineRule="auto"/>
        <w:ind w:firstLine="708"/>
        <w:jc w:val="both"/>
        <w:rPr>
          <w:rFonts w:cs="Times New Roman"/>
          <w:szCs w:val="24"/>
        </w:rPr>
      </w:pPr>
      <w:r w:rsidRPr="00322564">
        <w:rPr>
          <w:rFonts w:cs="Times New Roman"/>
          <w:szCs w:val="24"/>
        </w:rPr>
        <w:t xml:space="preserve">Според данни от НСИ количеството на строителните отпадъци намалява от 1 661 066.7 тона през 2015г. до 59 743.6 тона през 2019 г., като за оползотворяване през последната отчетна година за която са налични официални данни, са отишли 44 033 тона, а за обезвреждане 11 555 тона. </w:t>
      </w:r>
    </w:p>
    <w:p w14:paraId="22D95AC1" w14:textId="7C4B4345" w:rsidR="00EB476D" w:rsidRPr="00322564" w:rsidRDefault="00322564" w:rsidP="00322564">
      <w:pPr>
        <w:spacing w:after="60" w:line="264" w:lineRule="auto"/>
        <w:ind w:firstLine="708"/>
        <w:jc w:val="both"/>
        <w:rPr>
          <w:rFonts w:cs="Times New Roman"/>
          <w:szCs w:val="24"/>
        </w:rPr>
      </w:pPr>
      <w:r w:rsidRPr="00322564">
        <w:rPr>
          <w:rFonts w:cs="Times New Roman"/>
          <w:szCs w:val="24"/>
        </w:rPr>
        <w:t>В аспекта на европейските сравнения, България е с многократно по-ниски стойности на показателя СО/жител/година от средното за ЕС-27</w:t>
      </w:r>
      <w:r w:rsidR="00EB476D" w:rsidRPr="009F6D1E">
        <w:rPr>
          <w:rFonts w:cs="Times New Roman"/>
          <w:szCs w:val="24"/>
        </w:rPr>
        <w:t>.</w:t>
      </w:r>
    </w:p>
    <w:p w14:paraId="077B629A" w14:textId="77777777" w:rsidR="00371D42" w:rsidRPr="009F6D1E" w:rsidRDefault="00371D42" w:rsidP="00371D42">
      <w:pPr>
        <w:spacing w:after="60" w:line="264" w:lineRule="auto"/>
        <w:ind w:firstLine="708"/>
        <w:jc w:val="both"/>
        <w:rPr>
          <w:rFonts w:cs="Times New Roman"/>
          <w:szCs w:val="24"/>
        </w:rPr>
      </w:pPr>
    </w:p>
    <w:p w14:paraId="23826DAD" w14:textId="77777777" w:rsidR="00371D42" w:rsidRPr="009F6D1E" w:rsidRDefault="000365EA">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w:t>
      </w:r>
      <w:r w:rsidR="00E25BEA" w:rsidRPr="009F6D1E">
        <w:rPr>
          <w:b/>
          <w:bCs/>
          <w:smallCaps w:val="0"/>
          <w:color w:val="262626" w:themeColor="text1" w:themeTint="D9"/>
          <w:lang w:eastAsia="en-US" w:bidi="ar-SA"/>
        </w:rPr>
        <w:t>Видове отпадъци, имащи отношение към сектор земеделие</w:t>
      </w:r>
    </w:p>
    <w:p w14:paraId="5DB638C3" w14:textId="77777777" w:rsidR="00F93745" w:rsidRPr="009F6D1E" w:rsidRDefault="00F93745" w:rsidP="00E25BEA">
      <w:pPr>
        <w:spacing w:after="60" w:line="264" w:lineRule="auto"/>
        <w:ind w:firstLine="708"/>
        <w:jc w:val="both"/>
        <w:rPr>
          <w:rFonts w:cs="Times New Roman"/>
          <w:szCs w:val="24"/>
        </w:rPr>
      </w:pPr>
    </w:p>
    <w:p w14:paraId="32AC67CC" w14:textId="77777777" w:rsidR="00E25BEA" w:rsidRPr="009F6D1E" w:rsidRDefault="00E25BEA" w:rsidP="00E25BEA">
      <w:pPr>
        <w:spacing w:after="60" w:line="264" w:lineRule="auto"/>
        <w:ind w:firstLine="708"/>
        <w:jc w:val="both"/>
        <w:rPr>
          <w:rFonts w:cs="Times New Roman"/>
          <w:szCs w:val="24"/>
        </w:rPr>
      </w:pPr>
      <w:r w:rsidRPr="009F6D1E">
        <w:rPr>
          <w:rFonts w:cs="Times New Roman"/>
          <w:szCs w:val="24"/>
        </w:rPr>
        <w:t xml:space="preserve">Отпадъците се приемат като екологичен, социален и икономически проблем, а нарастващото потребление и „консуматорското“ поведение на обществото продължават да генерират големи количества отпадъци. Необходими са големи и разнородни усилия за предотвратяване на образуването им. Отпадъците представляват и загуба на суровинни </w:t>
      </w:r>
      <w:r w:rsidRPr="009F6D1E">
        <w:rPr>
          <w:rFonts w:cs="Times New Roman"/>
          <w:szCs w:val="24"/>
        </w:rPr>
        <w:lastRenderedPageBreak/>
        <w:t>(материални) ресурси, а в същото време имат и потенциал като енергийни източници. Прилагането на дейностите по третиране на отпадъци като повторна употреба и рециклиране са благоприятни за околната среда, водещи до отклоняване на отпадъци от депата.</w:t>
      </w:r>
    </w:p>
    <w:p w14:paraId="1B16BBE7" w14:textId="77777777" w:rsidR="00E25BEA" w:rsidRPr="009F6D1E" w:rsidRDefault="00E25BEA" w:rsidP="00E25BEA">
      <w:pPr>
        <w:spacing w:after="60" w:line="264" w:lineRule="auto"/>
        <w:ind w:firstLine="708"/>
        <w:jc w:val="both"/>
        <w:rPr>
          <w:rFonts w:cs="Times New Roman"/>
          <w:szCs w:val="24"/>
        </w:rPr>
      </w:pPr>
      <w:r w:rsidRPr="009F6D1E">
        <w:rPr>
          <w:rFonts w:cs="Times New Roman"/>
          <w:szCs w:val="24"/>
        </w:rPr>
        <w:t>Превръщането на отпадъците в ресурс се подкрепя чрез: цялостно изпълнение на съответното законодателство на ЕС, което включва йерархия на отпадъците, осигуряване на разделно събиране, определяне на цели за предотвратяване на депонирането и др., намаляване в абсолютни стойности на генерирането на отпадъци и на генерирането на отпадъци на глава от населението и ограничаване на оползотворяването на енергия само до материалите, които не подлежат на рециклиране, и постепенно прекратяване на депонирането на отпадъци, които подлежат на рециклиране или оползотворяване.</w:t>
      </w:r>
    </w:p>
    <w:p w14:paraId="523348A3" w14:textId="00916E00" w:rsidR="00E25BEA" w:rsidRPr="009F6D1E" w:rsidRDefault="00E25BEA" w:rsidP="00E25BEA">
      <w:pPr>
        <w:spacing w:after="60" w:line="264" w:lineRule="auto"/>
        <w:ind w:firstLine="708"/>
        <w:jc w:val="both"/>
        <w:rPr>
          <w:rFonts w:cs="Times New Roman"/>
          <w:szCs w:val="24"/>
        </w:rPr>
      </w:pPr>
      <w:r w:rsidRPr="009F6D1E">
        <w:rPr>
          <w:rFonts w:cs="Times New Roman"/>
          <w:szCs w:val="24"/>
        </w:rPr>
        <w:t xml:space="preserve">В </w:t>
      </w:r>
      <w:r w:rsidR="003F3D71" w:rsidRPr="009F6D1E">
        <w:rPr>
          <w:rFonts w:cs="Times New Roman"/>
          <w:szCs w:val="24"/>
          <w:highlight w:val="yellow"/>
        </w:rPr>
        <w:fldChar w:fldCharType="begin"/>
      </w:r>
      <w:r w:rsidR="00881572" w:rsidRPr="009F6D1E">
        <w:rPr>
          <w:rFonts w:cs="Times New Roman"/>
          <w:szCs w:val="24"/>
        </w:rPr>
        <w:instrText xml:space="preserve"> REF _Ref107171392 \h </w:instrText>
      </w:r>
      <w:r w:rsidR="003F3D71" w:rsidRPr="009F6D1E">
        <w:rPr>
          <w:rFonts w:cs="Times New Roman"/>
          <w:szCs w:val="24"/>
          <w:highlight w:val="yellow"/>
        </w:rPr>
      </w:r>
      <w:r w:rsidR="003F3D71" w:rsidRPr="009F6D1E">
        <w:rPr>
          <w:rFonts w:cs="Times New Roman"/>
          <w:szCs w:val="24"/>
          <w:highlight w:val="yellow"/>
        </w:rPr>
        <w:fldChar w:fldCharType="separate"/>
      </w:r>
      <w:r w:rsidR="00A43EF3" w:rsidRPr="009F6D1E">
        <w:t xml:space="preserve">Таблица </w:t>
      </w:r>
      <w:r w:rsidR="00A43EF3">
        <w:rPr>
          <w:noProof/>
        </w:rPr>
        <w:t>18</w:t>
      </w:r>
      <w:r w:rsidR="003F3D71" w:rsidRPr="009F6D1E">
        <w:rPr>
          <w:rFonts w:cs="Times New Roman"/>
          <w:szCs w:val="24"/>
          <w:highlight w:val="yellow"/>
        </w:rPr>
        <w:fldChar w:fldCharType="end"/>
      </w:r>
      <w:r w:rsidRPr="009F6D1E">
        <w:rPr>
          <w:rFonts w:cs="Times New Roman"/>
          <w:szCs w:val="24"/>
        </w:rPr>
        <w:t xml:space="preserve"> по-долу е представена информация за образуваните количества отпадъци от селския, горския и рибния сектор за период от пет години – от 2016 до 2020 год.</w:t>
      </w:r>
    </w:p>
    <w:p w14:paraId="14766624" w14:textId="7252DB94" w:rsidR="00E25BEA" w:rsidRPr="009F6D1E" w:rsidRDefault="00881572" w:rsidP="00881572">
      <w:pPr>
        <w:pStyle w:val="Caption"/>
        <w:rPr>
          <w:color w:val="4472C4" w:themeColor="accent1"/>
        </w:rPr>
      </w:pPr>
      <w:bookmarkStart w:id="362" w:name="_Ref107171392"/>
      <w:bookmarkStart w:id="363" w:name="_Toc115255169"/>
      <w:r w:rsidRPr="009F6D1E">
        <w:t xml:space="preserve">Таблица </w:t>
      </w:r>
      <w:fldSimple w:instr=" SEQ Таблица \* ARABIC ">
        <w:r w:rsidR="00A43EF3">
          <w:rPr>
            <w:noProof/>
          </w:rPr>
          <w:t>18</w:t>
        </w:r>
      </w:fldSimple>
      <w:bookmarkEnd w:id="362"/>
      <w:r w:rsidRPr="009F6D1E">
        <w:t>:</w:t>
      </w:r>
      <w:r w:rsidR="00E25BEA" w:rsidRPr="009F6D1E">
        <w:t xml:space="preserve"> Образувани количества отпадъци от селския, горския и рибния сектор за период от пет години – от 2016 до 2020 год</w:t>
      </w:r>
      <w:r w:rsidR="00E25BEA" w:rsidRPr="009F6D1E">
        <w:rPr>
          <w:color w:val="4472C4" w:themeColor="accent1"/>
        </w:rPr>
        <w:t>.</w:t>
      </w:r>
      <w:bookmarkEnd w:id="363"/>
    </w:p>
    <w:tbl>
      <w:tblPr>
        <w:tblStyle w:val="TableGrid4"/>
        <w:tblW w:w="5000" w:type="pct"/>
        <w:tblLook w:val="04A0" w:firstRow="1" w:lastRow="0" w:firstColumn="1" w:lastColumn="0" w:noHBand="0" w:noVBand="1"/>
      </w:tblPr>
      <w:tblGrid>
        <w:gridCol w:w="2461"/>
        <w:gridCol w:w="2019"/>
        <w:gridCol w:w="1048"/>
        <w:gridCol w:w="1048"/>
        <w:gridCol w:w="1048"/>
        <w:gridCol w:w="1048"/>
        <w:gridCol w:w="956"/>
      </w:tblGrid>
      <w:tr w:rsidR="00322564" w:rsidRPr="00322564" w14:paraId="34E99A4A" w14:textId="77777777" w:rsidTr="00322564">
        <w:trPr>
          <w:trHeight w:val="555"/>
        </w:trPr>
        <w:tc>
          <w:tcPr>
            <w:tcW w:w="1247" w:type="pct"/>
            <w:shd w:val="clear" w:color="auto" w:fill="BFBFBF" w:themeFill="background1" w:themeFillShade="BF"/>
            <w:vAlign w:val="center"/>
            <w:hideMark/>
          </w:tcPr>
          <w:p w14:paraId="1D392D26"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Отпадък/Код на сектор</w:t>
            </w:r>
          </w:p>
        </w:tc>
        <w:tc>
          <w:tcPr>
            <w:tcW w:w="950" w:type="pct"/>
            <w:shd w:val="clear" w:color="auto" w:fill="BFBFBF" w:themeFill="background1" w:themeFillShade="BF"/>
            <w:vAlign w:val="center"/>
            <w:hideMark/>
          </w:tcPr>
          <w:p w14:paraId="3585DBE1"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Сектор</w:t>
            </w:r>
          </w:p>
        </w:tc>
        <w:tc>
          <w:tcPr>
            <w:tcW w:w="571" w:type="pct"/>
            <w:shd w:val="clear" w:color="auto" w:fill="BFBFBF" w:themeFill="background1" w:themeFillShade="BF"/>
            <w:vAlign w:val="center"/>
            <w:hideMark/>
          </w:tcPr>
          <w:p w14:paraId="6B510EBE"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2016</w:t>
            </w:r>
          </w:p>
        </w:tc>
        <w:tc>
          <w:tcPr>
            <w:tcW w:w="571" w:type="pct"/>
            <w:shd w:val="clear" w:color="auto" w:fill="BFBFBF" w:themeFill="background1" w:themeFillShade="BF"/>
            <w:vAlign w:val="center"/>
            <w:hideMark/>
          </w:tcPr>
          <w:p w14:paraId="1FAF7E38"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2017</w:t>
            </w:r>
          </w:p>
        </w:tc>
        <w:tc>
          <w:tcPr>
            <w:tcW w:w="571" w:type="pct"/>
            <w:shd w:val="clear" w:color="auto" w:fill="BFBFBF" w:themeFill="background1" w:themeFillShade="BF"/>
            <w:vAlign w:val="center"/>
            <w:hideMark/>
          </w:tcPr>
          <w:p w14:paraId="2A89F31A"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2018</w:t>
            </w:r>
          </w:p>
        </w:tc>
        <w:tc>
          <w:tcPr>
            <w:tcW w:w="571" w:type="pct"/>
            <w:shd w:val="clear" w:color="auto" w:fill="BFBFBF" w:themeFill="background1" w:themeFillShade="BF"/>
            <w:vAlign w:val="center"/>
            <w:hideMark/>
          </w:tcPr>
          <w:p w14:paraId="093FEE3C"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2019</w:t>
            </w:r>
          </w:p>
        </w:tc>
        <w:tc>
          <w:tcPr>
            <w:tcW w:w="520" w:type="pct"/>
            <w:shd w:val="clear" w:color="auto" w:fill="BFBFBF" w:themeFill="background1" w:themeFillShade="BF"/>
            <w:vAlign w:val="center"/>
            <w:hideMark/>
          </w:tcPr>
          <w:p w14:paraId="74A339B4" w14:textId="77777777" w:rsidR="00E25BEA" w:rsidRPr="00322564" w:rsidRDefault="00E25BEA" w:rsidP="00322564">
            <w:pPr>
              <w:ind w:firstLine="0"/>
              <w:jc w:val="center"/>
              <w:rPr>
                <w:rFonts w:eastAsia="Times New Roman" w:cs="Times New Roman"/>
                <w:b/>
                <w:bCs/>
                <w:color w:val="000000"/>
                <w:sz w:val="20"/>
                <w:szCs w:val="20"/>
                <w:lang w:val="bg-BG" w:eastAsia="bg-BG"/>
              </w:rPr>
            </w:pPr>
            <w:r w:rsidRPr="00322564">
              <w:rPr>
                <w:rFonts w:eastAsia="Times New Roman" w:cs="Times New Roman"/>
                <w:b/>
                <w:bCs/>
                <w:color w:val="000000"/>
                <w:sz w:val="20"/>
                <w:szCs w:val="20"/>
                <w:lang w:val="bg-BG" w:eastAsia="bg-BG"/>
              </w:rPr>
              <w:t>2020</w:t>
            </w:r>
          </w:p>
        </w:tc>
      </w:tr>
      <w:tr w:rsidR="00E25BEA" w:rsidRPr="00322564" w14:paraId="2A3F9678" w14:textId="77777777" w:rsidTr="00E25BEA">
        <w:trPr>
          <w:trHeight w:val="270"/>
        </w:trPr>
        <w:tc>
          <w:tcPr>
            <w:tcW w:w="1247" w:type="pct"/>
            <w:noWrap/>
            <w:hideMark/>
          </w:tcPr>
          <w:p w14:paraId="00D0D1F1"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Неопасни отпадъци - общо</w:t>
            </w:r>
          </w:p>
        </w:tc>
        <w:tc>
          <w:tcPr>
            <w:tcW w:w="950" w:type="pct"/>
            <w:noWrap/>
            <w:hideMark/>
          </w:tcPr>
          <w:p w14:paraId="6612C1D9" w14:textId="77777777" w:rsidR="00E25BEA" w:rsidRPr="00322564" w:rsidRDefault="00E25BEA" w:rsidP="00E25BEA">
            <w:pPr>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 </w:t>
            </w:r>
          </w:p>
        </w:tc>
        <w:tc>
          <w:tcPr>
            <w:tcW w:w="571" w:type="pct"/>
            <w:noWrap/>
            <w:hideMark/>
          </w:tcPr>
          <w:p w14:paraId="78A37D9E"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103928268</w:t>
            </w:r>
          </w:p>
        </w:tc>
        <w:tc>
          <w:tcPr>
            <w:tcW w:w="571" w:type="pct"/>
            <w:noWrap/>
            <w:hideMark/>
          </w:tcPr>
          <w:p w14:paraId="33170F42"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108304466</w:t>
            </w:r>
          </w:p>
        </w:tc>
        <w:tc>
          <w:tcPr>
            <w:tcW w:w="571" w:type="pct"/>
            <w:noWrap/>
            <w:hideMark/>
          </w:tcPr>
          <w:p w14:paraId="16B1305E"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112824785</w:t>
            </w:r>
          </w:p>
        </w:tc>
        <w:tc>
          <w:tcPr>
            <w:tcW w:w="571" w:type="pct"/>
            <w:noWrap/>
            <w:hideMark/>
          </w:tcPr>
          <w:p w14:paraId="26995460"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109654456</w:t>
            </w:r>
          </w:p>
        </w:tc>
        <w:tc>
          <w:tcPr>
            <w:tcW w:w="520" w:type="pct"/>
            <w:noWrap/>
            <w:hideMark/>
          </w:tcPr>
          <w:p w14:paraId="6346B2A0"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68081199</w:t>
            </w:r>
          </w:p>
        </w:tc>
      </w:tr>
      <w:tr w:rsidR="00E25BEA" w:rsidRPr="00322564" w14:paraId="64C9ECA7" w14:textId="77777777" w:rsidTr="00E25BEA">
        <w:trPr>
          <w:trHeight w:val="270"/>
        </w:trPr>
        <w:tc>
          <w:tcPr>
            <w:tcW w:w="1247" w:type="pct"/>
            <w:noWrap/>
            <w:hideMark/>
          </w:tcPr>
          <w:p w14:paraId="647C341C"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A</w:t>
            </w:r>
          </w:p>
        </w:tc>
        <w:tc>
          <w:tcPr>
            <w:tcW w:w="950" w:type="pct"/>
            <w:noWrap/>
            <w:hideMark/>
          </w:tcPr>
          <w:p w14:paraId="0BE8110F"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Селско горско и рибно</w:t>
            </w:r>
          </w:p>
        </w:tc>
        <w:tc>
          <w:tcPr>
            <w:tcW w:w="571" w:type="pct"/>
            <w:noWrap/>
            <w:hideMark/>
          </w:tcPr>
          <w:p w14:paraId="60E31BBA"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617542</w:t>
            </w:r>
          </w:p>
        </w:tc>
        <w:tc>
          <w:tcPr>
            <w:tcW w:w="571" w:type="pct"/>
            <w:noWrap/>
            <w:hideMark/>
          </w:tcPr>
          <w:p w14:paraId="03ABA004"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383111</w:t>
            </w:r>
          </w:p>
        </w:tc>
        <w:tc>
          <w:tcPr>
            <w:tcW w:w="571" w:type="pct"/>
            <w:noWrap/>
            <w:hideMark/>
          </w:tcPr>
          <w:p w14:paraId="6A266D14"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308579</w:t>
            </w:r>
          </w:p>
        </w:tc>
        <w:tc>
          <w:tcPr>
            <w:tcW w:w="571" w:type="pct"/>
            <w:noWrap/>
            <w:hideMark/>
          </w:tcPr>
          <w:p w14:paraId="5F3377DF"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905486</w:t>
            </w:r>
          </w:p>
        </w:tc>
        <w:tc>
          <w:tcPr>
            <w:tcW w:w="520" w:type="pct"/>
            <w:noWrap/>
            <w:hideMark/>
          </w:tcPr>
          <w:p w14:paraId="548A9D85"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2301030</w:t>
            </w:r>
          </w:p>
        </w:tc>
      </w:tr>
      <w:tr w:rsidR="00E25BEA" w:rsidRPr="00322564" w14:paraId="1C24DE9C" w14:textId="77777777" w:rsidTr="00E25BEA">
        <w:trPr>
          <w:trHeight w:val="270"/>
        </w:trPr>
        <w:tc>
          <w:tcPr>
            <w:tcW w:w="1247" w:type="pct"/>
            <w:noWrap/>
            <w:hideMark/>
          </w:tcPr>
          <w:p w14:paraId="3188ADBE"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Опасни отпадъци - общо</w:t>
            </w:r>
          </w:p>
        </w:tc>
        <w:tc>
          <w:tcPr>
            <w:tcW w:w="950" w:type="pct"/>
            <w:noWrap/>
            <w:hideMark/>
          </w:tcPr>
          <w:p w14:paraId="637E1B27" w14:textId="77777777" w:rsidR="00E25BEA" w:rsidRPr="00322564" w:rsidRDefault="00E25BEA" w:rsidP="00E25BEA">
            <w:pPr>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 </w:t>
            </w:r>
          </w:p>
        </w:tc>
        <w:tc>
          <w:tcPr>
            <w:tcW w:w="571" w:type="pct"/>
            <w:noWrap/>
            <w:hideMark/>
          </w:tcPr>
          <w:p w14:paraId="77E48BCB"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13163626</w:t>
            </w:r>
          </w:p>
        </w:tc>
        <w:tc>
          <w:tcPr>
            <w:tcW w:w="571" w:type="pct"/>
            <w:noWrap/>
            <w:hideMark/>
          </w:tcPr>
          <w:p w14:paraId="15D3E8C7"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14011426</w:t>
            </w:r>
          </w:p>
        </w:tc>
        <w:tc>
          <w:tcPr>
            <w:tcW w:w="571" w:type="pct"/>
            <w:noWrap/>
            <w:hideMark/>
          </w:tcPr>
          <w:p w14:paraId="7D95E1D9"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13313374</w:t>
            </w:r>
          </w:p>
        </w:tc>
        <w:tc>
          <w:tcPr>
            <w:tcW w:w="571" w:type="pct"/>
            <w:noWrap/>
            <w:hideMark/>
          </w:tcPr>
          <w:p w14:paraId="7A062D93"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13493848</w:t>
            </w:r>
          </w:p>
        </w:tc>
        <w:tc>
          <w:tcPr>
            <w:tcW w:w="520" w:type="pct"/>
            <w:noWrap/>
            <w:hideMark/>
          </w:tcPr>
          <w:p w14:paraId="5A0F6865"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b/>
                <w:bCs/>
                <w:color w:val="000000"/>
                <w:sz w:val="20"/>
                <w:szCs w:val="20"/>
                <w:lang w:val="bg-BG" w:eastAsia="bg-BG"/>
              </w:rPr>
              <w:t>13863967</w:t>
            </w:r>
          </w:p>
        </w:tc>
      </w:tr>
      <w:tr w:rsidR="00E25BEA" w:rsidRPr="00322564" w14:paraId="02231991" w14:textId="77777777" w:rsidTr="00E25BEA">
        <w:trPr>
          <w:trHeight w:val="277"/>
        </w:trPr>
        <w:tc>
          <w:tcPr>
            <w:tcW w:w="1247" w:type="pct"/>
            <w:noWrap/>
            <w:hideMark/>
          </w:tcPr>
          <w:p w14:paraId="4D7CBA12"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A</w:t>
            </w:r>
          </w:p>
        </w:tc>
        <w:tc>
          <w:tcPr>
            <w:tcW w:w="950" w:type="pct"/>
            <w:noWrap/>
            <w:hideMark/>
          </w:tcPr>
          <w:p w14:paraId="44FB359B"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Селско горско и рибно</w:t>
            </w:r>
          </w:p>
        </w:tc>
        <w:tc>
          <w:tcPr>
            <w:tcW w:w="571" w:type="pct"/>
            <w:noWrap/>
            <w:hideMark/>
          </w:tcPr>
          <w:p w14:paraId="744458D1"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145</w:t>
            </w:r>
          </w:p>
        </w:tc>
        <w:tc>
          <w:tcPr>
            <w:tcW w:w="571" w:type="pct"/>
            <w:noWrap/>
            <w:hideMark/>
          </w:tcPr>
          <w:p w14:paraId="7D103E23"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134</w:t>
            </w:r>
          </w:p>
        </w:tc>
        <w:tc>
          <w:tcPr>
            <w:tcW w:w="571" w:type="pct"/>
            <w:noWrap/>
            <w:hideMark/>
          </w:tcPr>
          <w:p w14:paraId="732CBA6D"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181</w:t>
            </w:r>
          </w:p>
        </w:tc>
        <w:tc>
          <w:tcPr>
            <w:tcW w:w="571" w:type="pct"/>
            <w:noWrap/>
            <w:hideMark/>
          </w:tcPr>
          <w:p w14:paraId="15F8CF3A"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4923</w:t>
            </w:r>
          </w:p>
        </w:tc>
        <w:tc>
          <w:tcPr>
            <w:tcW w:w="520" w:type="pct"/>
            <w:noWrap/>
            <w:hideMark/>
          </w:tcPr>
          <w:p w14:paraId="05329FA4" w14:textId="77777777" w:rsidR="00E25BEA" w:rsidRPr="00322564" w:rsidRDefault="00E25BEA" w:rsidP="00322564">
            <w:pPr>
              <w:ind w:firstLine="0"/>
              <w:rPr>
                <w:rFonts w:eastAsia="Times New Roman" w:cs="Times New Roman"/>
                <w:color w:val="000000"/>
                <w:sz w:val="20"/>
                <w:szCs w:val="20"/>
                <w:lang w:val="bg-BG" w:eastAsia="bg-BG"/>
              </w:rPr>
            </w:pPr>
            <w:r w:rsidRPr="00322564">
              <w:rPr>
                <w:rFonts w:eastAsia="Times New Roman" w:cs="Times New Roman"/>
                <w:color w:val="000000"/>
                <w:sz w:val="20"/>
                <w:szCs w:val="20"/>
                <w:lang w:val="bg-BG" w:eastAsia="bg-BG"/>
              </w:rPr>
              <w:t>6334</w:t>
            </w:r>
          </w:p>
        </w:tc>
      </w:tr>
    </w:tbl>
    <w:p w14:paraId="179891FD" w14:textId="77777777" w:rsidR="00E25BEA" w:rsidRPr="009F6D1E" w:rsidRDefault="00E25BEA" w:rsidP="00E25BEA">
      <w:pPr>
        <w:spacing w:after="60" w:line="264" w:lineRule="auto"/>
        <w:ind w:firstLine="708"/>
        <w:jc w:val="both"/>
        <w:rPr>
          <w:rFonts w:cs="Times New Roman"/>
          <w:szCs w:val="24"/>
        </w:rPr>
      </w:pPr>
      <w:r w:rsidRPr="009F6D1E">
        <w:rPr>
          <w:rFonts w:ascii="Tahoma" w:eastAsia="Times New Roman" w:hAnsi="Tahoma" w:cs="Tahoma"/>
          <w:sz w:val="21"/>
          <w:szCs w:val="21"/>
          <w:lang w:eastAsia="bg-BG"/>
        </w:rPr>
        <w:t> </w:t>
      </w:r>
    </w:p>
    <w:p w14:paraId="5325673C" w14:textId="342CB3AC" w:rsidR="00E25BEA" w:rsidRPr="009F6D1E" w:rsidRDefault="00E25BEA" w:rsidP="00E25BEA">
      <w:pPr>
        <w:spacing w:after="60" w:line="264" w:lineRule="auto"/>
        <w:ind w:firstLine="708"/>
        <w:jc w:val="both"/>
        <w:rPr>
          <w:rFonts w:cs="Times New Roman"/>
          <w:szCs w:val="24"/>
        </w:rPr>
      </w:pPr>
      <w:r w:rsidRPr="009F6D1E">
        <w:rPr>
          <w:rFonts w:cs="Times New Roman"/>
          <w:szCs w:val="24"/>
        </w:rPr>
        <w:t xml:space="preserve">В </w:t>
      </w:r>
      <w:r w:rsidR="003F3D71" w:rsidRPr="009F6D1E">
        <w:rPr>
          <w:rFonts w:cs="Times New Roman"/>
          <w:szCs w:val="24"/>
          <w:highlight w:val="yellow"/>
        </w:rPr>
        <w:fldChar w:fldCharType="begin"/>
      </w:r>
      <w:r w:rsidR="00881572" w:rsidRPr="009F6D1E">
        <w:rPr>
          <w:rFonts w:cs="Times New Roman"/>
          <w:szCs w:val="24"/>
        </w:rPr>
        <w:instrText xml:space="preserve"> REF _Ref107171459 \h </w:instrText>
      </w:r>
      <w:r w:rsidR="003F3D71" w:rsidRPr="009F6D1E">
        <w:rPr>
          <w:rFonts w:cs="Times New Roman"/>
          <w:szCs w:val="24"/>
          <w:highlight w:val="yellow"/>
        </w:rPr>
      </w:r>
      <w:r w:rsidR="003F3D71" w:rsidRPr="009F6D1E">
        <w:rPr>
          <w:rFonts w:cs="Times New Roman"/>
          <w:szCs w:val="24"/>
          <w:highlight w:val="yellow"/>
        </w:rPr>
        <w:fldChar w:fldCharType="separate"/>
      </w:r>
      <w:r w:rsidR="00A43EF3" w:rsidRPr="009F6D1E">
        <w:t xml:space="preserve">Таблица </w:t>
      </w:r>
      <w:r w:rsidR="00A43EF3">
        <w:rPr>
          <w:noProof/>
        </w:rPr>
        <w:t>19</w:t>
      </w:r>
      <w:r w:rsidR="003F3D71" w:rsidRPr="009F6D1E">
        <w:rPr>
          <w:rFonts w:cs="Times New Roman"/>
          <w:szCs w:val="24"/>
          <w:highlight w:val="yellow"/>
        </w:rPr>
        <w:fldChar w:fldCharType="end"/>
      </w:r>
      <w:r w:rsidRPr="009F6D1E">
        <w:rPr>
          <w:rFonts w:cs="Times New Roman"/>
          <w:szCs w:val="24"/>
        </w:rPr>
        <w:t xml:space="preserve"> по-долу е представена информация за третирането на генерираните от сектора на селското, горското и рибно стопанство отпадъци, вкл. дейностите по оползотворяване и обезвреждане, както и данни за изнесените за третиране извън границите на страната отпадъци.</w:t>
      </w:r>
    </w:p>
    <w:p w14:paraId="5CF64ED9" w14:textId="32EAF015" w:rsidR="00E25BEA" w:rsidRPr="009F6D1E" w:rsidRDefault="00881572" w:rsidP="00881572">
      <w:pPr>
        <w:pStyle w:val="Caption"/>
      </w:pPr>
      <w:bookmarkStart w:id="364" w:name="_Ref107171459"/>
      <w:bookmarkStart w:id="365" w:name="_Toc115255170"/>
      <w:r w:rsidRPr="009F6D1E">
        <w:t xml:space="preserve">Таблица </w:t>
      </w:r>
      <w:fldSimple w:instr=" SEQ Таблица \* ARABIC ">
        <w:r w:rsidR="00A43EF3">
          <w:rPr>
            <w:noProof/>
          </w:rPr>
          <w:t>19</w:t>
        </w:r>
      </w:fldSimple>
      <w:bookmarkEnd w:id="364"/>
      <w:r w:rsidRPr="009F6D1E">
        <w:t xml:space="preserve">: </w:t>
      </w:r>
      <w:r w:rsidR="00E25BEA" w:rsidRPr="009F6D1E">
        <w:t>Третиране на образуваните от секторите селско, горско и рибно стопанство отпадъци за 2020</w:t>
      </w:r>
      <w:bookmarkEnd w:id="365"/>
    </w:p>
    <w:tbl>
      <w:tblPr>
        <w:tblW w:w="0" w:type="auto"/>
        <w:jc w:val="center"/>
        <w:tblCellMar>
          <w:left w:w="0" w:type="dxa"/>
          <w:right w:w="0" w:type="dxa"/>
        </w:tblCellMar>
        <w:tblLook w:val="04A0" w:firstRow="1" w:lastRow="0" w:firstColumn="1" w:lastColumn="0" w:noHBand="0" w:noVBand="1"/>
      </w:tblPr>
      <w:tblGrid>
        <w:gridCol w:w="1786"/>
        <w:gridCol w:w="1878"/>
        <w:gridCol w:w="1799"/>
        <w:gridCol w:w="1787"/>
      </w:tblGrid>
      <w:tr w:rsidR="00881572" w:rsidRPr="009F6D1E" w14:paraId="0D2DF3A9" w14:textId="77777777" w:rsidTr="00881572">
        <w:trPr>
          <w:tblHeader/>
          <w:jc w:val="center"/>
        </w:trPr>
        <w:tc>
          <w:tcPr>
            <w:tcW w:w="1786"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703BC3CE" w14:textId="77777777" w:rsidR="00E25BEA" w:rsidRPr="009F6D1E" w:rsidRDefault="00E25BEA" w:rsidP="00881572">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Отпадък</w:t>
            </w:r>
          </w:p>
        </w:tc>
        <w:tc>
          <w:tcPr>
            <w:tcW w:w="1878"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3FD3A208" w14:textId="49754740" w:rsidR="00E25BEA" w:rsidRPr="009F6D1E" w:rsidRDefault="00E25BEA" w:rsidP="00881572">
            <w:pPr>
              <w:spacing w:after="0" w:line="240" w:lineRule="auto"/>
              <w:jc w:val="center"/>
              <w:rPr>
                <w:rFonts w:eastAsia="Times New Roman" w:cs="Times New Roman"/>
                <w:b/>
                <w:bCs/>
                <w:sz w:val="20"/>
                <w:szCs w:val="20"/>
                <w:lang w:eastAsia="bg-BG"/>
              </w:rPr>
            </w:pPr>
            <w:proofErr w:type="spellStart"/>
            <w:r w:rsidRPr="009F6D1E">
              <w:rPr>
                <w:rFonts w:eastAsia="Times New Roman" w:cs="Times New Roman"/>
                <w:b/>
                <w:bCs/>
                <w:sz w:val="20"/>
                <w:szCs w:val="20"/>
                <w:lang w:eastAsia="bg-BG"/>
              </w:rPr>
              <w:t>Оползоворяване</w:t>
            </w:r>
            <w:proofErr w:type="spellEnd"/>
          </w:p>
        </w:tc>
        <w:tc>
          <w:tcPr>
            <w:tcW w:w="1799"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34FBF1D6" w14:textId="77777777" w:rsidR="00E25BEA" w:rsidRPr="009F6D1E" w:rsidRDefault="00E25BEA" w:rsidP="00881572">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Обезвреждане</w:t>
            </w:r>
          </w:p>
        </w:tc>
        <w:tc>
          <w:tcPr>
            <w:tcW w:w="1787"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40796BEB" w14:textId="77777777" w:rsidR="00E25BEA" w:rsidRPr="009F6D1E" w:rsidRDefault="00E25BEA" w:rsidP="00881572">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Изнесени извън страната</w:t>
            </w:r>
          </w:p>
        </w:tc>
      </w:tr>
      <w:tr w:rsidR="00881572" w:rsidRPr="009F6D1E" w14:paraId="4A5F04B1" w14:textId="77777777" w:rsidTr="00E25BEA">
        <w:trPr>
          <w:jc w:val="center"/>
        </w:trPr>
        <w:tc>
          <w:tcPr>
            <w:tcW w:w="17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E95357"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Неопасни отпадъци</w:t>
            </w:r>
          </w:p>
        </w:tc>
        <w:tc>
          <w:tcPr>
            <w:tcW w:w="1878" w:type="dxa"/>
            <w:tcBorders>
              <w:top w:val="nil"/>
              <w:left w:val="nil"/>
              <w:bottom w:val="single" w:sz="8" w:space="0" w:color="auto"/>
              <w:right w:val="single" w:sz="8" w:space="0" w:color="auto"/>
            </w:tcBorders>
            <w:tcMar>
              <w:top w:w="0" w:type="dxa"/>
              <w:left w:w="108" w:type="dxa"/>
              <w:bottom w:w="0" w:type="dxa"/>
              <w:right w:w="108" w:type="dxa"/>
            </w:tcMar>
            <w:hideMark/>
          </w:tcPr>
          <w:p w14:paraId="302F0C3E"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714048.527</w:t>
            </w:r>
          </w:p>
        </w:tc>
        <w:tc>
          <w:tcPr>
            <w:tcW w:w="1799" w:type="dxa"/>
            <w:tcBorders>
              <w:top w:val="nil"/>
              <w:left w:val="nil"/>
              <w:bottom w:val="single" w:sz="8" w:space="0" w:color="auto"/>
              <w:right w:val="single" w:sz="8" w:space="0" w:color="auto"/>
            </w:tcBorders>
            <w:tcMar>
              <w:top w:w="0" w:type="dxa"/>
              <w:left w:w="108" w:type="dxa"/>
              <w:bottom w:w="0" w:type="dxa"/>
              <w:right w:w="108" w:type="dxa"/>
            </w:tcMar>
            <w:hideMark/>
          </w:tcPr>
          <w:p w14:paraId="17F585FC"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18555.813</w:t>
            </w:r>
          </w:p>
        </w:tc>
        <w:tc>
          <w:tcPr>
            <w:tcW w:w="1787" w:type="dxa"/>
            <w:tcBorders>
              <w:top w:val="nil"/>
              <w:left w:val="nil"/>
              <w:bottom w:val="single" w:sz="8" w:space="0" w:color="auto"/>
              <w:right w:val="single" w:sz="8" w:space="0" w:color="auto"/>
            </w:tcBorders>
            <w:tcMar>
              <w:top w:w="0" w:type="dxa"/>
              <w:left w:w="108" w:type="dxa"/>
              <w:bottom w:w="0" w:type="dxa"/>
              <w:right w:w="108" w:type="dxa"/>
            </w:tcMar>
            <w:hideMark/>
          </w:tcPr>
          <w:p w14:paraId="4121D7C2"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2407.223</w:t>
            </w:r>
          </w:p>
        </w:tc>
      </w:tr>
      <w:tr w:rsidR="00881572" w:rsidRPr="009F6D1E" w14:paraId="24C81145" w14:textId="77777777" w:rsidTr="00E25BEA">
        <w:trPr>
          <w:jc w:val="center"/>
        </w:trPr>
        <w:tc>
          <w:tcPr>
            <w:tcW w:w="17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3E4A0"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Опасни отпадъци</w:t>
            </w:r>
          </w:p>
        </w:tc>
        <w:tc>
          <w:tcPr>
            <w:tcW w:w="1878" w:type="dxa"/>
            <w:tcBorders>
              <w:top w:val="nil"/>
              <w:left w:val="nil"/>
              <w:bottom w:val="single" w:sz="8" w:space="0" w:color="auto"/>
              <w:right w:val="single" w:sz="8" w:space="0" w:color="auto"/>
            </w:tcBorders>
            <w:tcMar>
              <w:top w:w="0" w:type="dxa"/>
              <w:left w:w="108" w:type="dxa"/>
              <w:bottom w:w="0" w:type="dxa"/>
              <w:right w:w="108" w:type="dxa"/>
            </w:tcMar>
            <w:hideMark/>
          </w:tcPr>
          <w:p w14:paraId="59A69E4C"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4201.12955</w:t>
            </w:r>
          </w:p>
        </w:tc>
        <w:tc>
          <w:tcPr>
            <w:tcW w:w="1799" w:type="dxa"/>
            <w:tcBorders>
              <w:top w:val="nil"/>
              <w:left w:val="nil"/>
              <w:bottom w:val="single" w:sz="8" w:space="0" w:color="auto"/>
              <w:right w:val="single" w:sz="8" w:space="0" w:color="auto"/>
            </w:tcBorders>
            <w:tcMar>
              <w:top w:w="0" w:type="dxa"/>
              <w:left w:w="108" w:type="dxa"/>
              <w:bottom w:w="0" w:type="dxa"/>
              <w:right w:w="108" w:type="dxa"/>
            </w:tcMar>
            <w:hideMark/>
          </w:tcPr>
          <w:p w14:paraId="6813B115"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1612.98053</w:t>
            </w:r>
          </w:p>
        </w:tc>
        <w:tc>
          <w:tcPr>
            <w:tcW w:w="1787" w:type="dxa"/>
            <w:tcBorders>
              <w:top w:val="nil"/>
              <w:left w:val="nil"/>
              <w:bottom w:val="single" w:sz="8" w:space="0" w:color="auto"/>
              <w:right w:val="single" w:sz="8" w:space="0" w:color="auto"/>
            </w:tcBorders>
            <w:tcMar>
              <w:top w:w="0" w:type="dxa"/>
              <w:left w:w="108" w:type="dxa"/>
              <w:bottom w:w="0" w:type="dxa"/>
              <w:right w:w="108" w:type="dxa"/>
            </w:tcMar>
            <w:hideMark/>
          </w:tcPr>
          <w:p w14:paraId="567D6CE9"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4.542</w:t>
            </w:r>
          </w:p>
        </w:tc>
      </w:tr>
    </w:tbl>
    <w:p w14:paraId="2A4B49C0" w14:textId="77777777" w:rsidR="00E25BEA" w:rsidRPr="009F6D1E" w:rsidRDefault="00E25BEA" w:rsidP="00E25BEA">
      <w:pPr>
        <w:spacing w:after="60" w:line="264" w:lineRule="auto"/>
        <w:ind w:firstLine="708"/>
        <w:jc w:val="both"/>
        <w:rPr>
          <w:rFonts w:cs="Times New Roman"/>
          <w:szCs w:val="24"/>
        </w:rPr>
      </w:pPr>
      <w:r w:rsidRPr="009F6D1E">
        <w:rPr>
          <w:rFonts w:cs="Times New Roman"/>
          <w:szCs w:val="24"/>
        </w:rPr>
        <w:t> </w:t>
      </w:r>
    </w:p>
    <w:p w14:paraId="255921BE" w14:textId="7D77DABC" w:rsidR="00E25BEA" w:rsidRDefault="00E25BEA" w:rsidP="00E25BEA">
      <w:pPr>
        <w:spacing w:after="60" w:line="264" w:lineRule="auto"/>
        <w:ind w:firstLine="708"/>
        <w:jc w:val="both"/>
        <w:rPr>
          <w:rFonts w:cs="Times New Roman"/>
          <w:szCs w:val="24"/>
        </w:rPr>
      </w:pPr>
      <w:r w:rsidRPr="009F6D1E">
        <w:rPr>
          <w:rFonts w:cs="Times New Roman"/>
          <w:szCs w:val="24"/>
        </w:rPr>
        <w:t xml:space="preserve">Информация за образуваните по вид отпадъци, типични за сектора на селското, горското и рибното стопанство, вкл. образуваните количества за последните пет години и начина на тяхното третиране, е дадена в </w:t>
      </w:r>
      <w:r w:rsidR="003F3D71" w:rsidRPr="009F6D1E">
        <w:rPr>
          <w:rFonts w:cs="Times New Roman"/>
          <w:szCs w:val="24"/>
          <w:highlight w:val="yellow"/>
        </w:rPr>
        <w:fldChar w:fldCharType="begin"/>
      </w:r>
      <w:r w:rsidR="001D0A49" w:rsidRPr="009F6D1E">
        <w:rPr>
          <w:rFonts w:cs="Times New Roman"/>
          <w:szCs w:val="24"/>
        </w:rPr>
        <w:instrText xml:space="preserve"> REF _Ref107171595 \h </w:instrText>
      </w:r>
      <w:r w:rsidR="003F3D71" w:rsidRPr="009F6D1E">
        <w:rPr>
          <w:rFonts w:cs="Times New Roman"/>
          <w:szCs w:val="24"/>
          <w:highlight w:val="yellow"/>
        </w:rPr>
      </w:r>
      <w:r w:rsidR="003F3D71" w:rsidRPr="009F6D1E">
        <w:rPr>
          <w:rFonts w:cs="Times New Roman"/>
          <w:szCs w:val="24"/>
          <w:highlight w:val="yellow"/>
        </w:rPr>
        <w:fldChar w:fldCharType="separate"/>
      </w:r>
      <w:r w:rsidR="00A43EF3" w:rsidRPr="009F6D1E">
        <w:t xml:space="preserve">Таблица </w:t>
      </w:r>
      <w:r w:rsidR="00A43EF3">
        <w:rPr>
          <w:noProof/>
        </w:rPr>
        <w:t>20</w:t>
      </w:r>
      <w:r w:rsidR="003F3D71" w:rsidRPr="009F6D1E">
        <w:rPr>
          <w:rFonts w:cs="Times New Roman"/>
          <w:szCs w:val="24"/>
          <w:highlight w:val="yellow"/>
        </w:rPr>
        <w:fldChar w:fldCharType="end"/>
      </w:r>
      <w:r w:rsidRPr="009F6D1E">
        <w:rPr>
          <w:rFonts w:cs="Times New Roman"/>
          <w:szCs w:val="24"/>
        </w:rPr>
        <w:t xml:space="preserve"> и </w:t>
      </w:r>
      <w:r w:rsidR="003F3D71" w:rsidRPr="009F6D1E">
        <w:rPr>
          <w:rFonts w:cs="Times New Roman"/>
          <w:szCs w:val="24"/>
          <w:highlight w:val="yellow"/>
        </w:rPr>
        <w:fldChar w:fldCharType="begin"/>
      </w:r>
      <w:r w:rsidR="001D0A49" w:rsidRPr="009F6D1E">
        <w:rPr>
          <w:rFonts w:cs="Times New Roman"/>
          <w:szCs w:val="24"/>
        </w:rPr>
        <w:instrText xml:space="preserve"> REF _Ref107171604 \h </w:instrText>
      </w:r>
      <w:r w:rsidR="003F3D71" w:rsidRPr="009F6D1E">
        <w:rPr>
          <w:rFonts w:cs="Times New Roman"/>
          <w:szCs w:val="24"/>
          <w:highlight w:val="yellow"/>
        </w:rPr>
      </w:r>
      <w:r w:rsidR="003F3D71" w:rsidRPr="009F6D1E">
        <w:rPr>
          <w:rFonts w:cs="Times New Roman"/>
          <w:szCs w:val="24"/>
          <w:highlight w:val="yellow"/>
        </w:rPr>
        <w:fldChar w:fldCharType="separate"/>
      </w:r>
      <w:r w:rsidR="00A43EF3" w:rsidRPr="009F6D1E">
        <w:t xml:space="preserve">Таблица </w:t>
      </w:r>
      <w:r w:rsidR="00A43EF3">
        <w:rPr>
          <w:noProof/>
        </w:rPr>
        <w:t>21</w:t>
      </w:r>
      <w:r w:rsidR="003F3D71" w:rsidRPr="009F6D1E">
        <w:rPr>
          <w:rFonts w:cs="Times New Roman"/>
          <w:szCs w:val="24"/>
          <w:highlight w:val="yellow"/>
        </w:rPr>
        <w:fldChar w:fldCharType="end"/>
      </w:r>
      <w:r w:rsidRPr="009F6D1E">
        <w:rPr>
          <w:rFonts w:cs="Times New Roman"/>
          <w:szCs w:val="24"/>
        </w:rPr>
        <w:t xml:space="preserve"> по-долу.</w:t>
      </w:r>
    </w:p>
    <w:p w14:paraId="0118A011" w14:textId="28C16B7E" w:rsidR="00322564" w:rsidRDefault="00322564" w:rsidP="00E25BEA">
      <w:pPr>
        <w:spacing w:after="60" w:line="264" w:lineRule="auto"/>
        <w:ind w:firstLine="708"/>
        <w:jc w:val="both"/>
        <w:rPr>
          <w:rFonts w:cs="Times New Roman"/>
          <w:szCs w:val="24"/>
        </w:rPr>
      </w:pPr>
    </w:p>
    <w:p w14:paraId="1F4586E9" w14:textId="77777777" w:rsidR="00322564" w:rsidRPr="009F6D1E" w:rsidRDefault="00322564" w:rsidP="00E25BEA">
      <w:pPr>
        <w:spacing w:after="60" w:line="264" w:lineRule="auto"/>
        <w:ind w:firstLine="708"/>
        <w:jc w:val="both"/>
        <w:rPr>
          <w:rFonts w:cs="Times New Roman"/>
          <w:szCs w:val="24"/>
        </w:rPr>
      </w:pPr>
    </w:p>
    <w:p w14:paraId="67704B71" w14:textId="1A0491B8" w:rsidR="00E25BEA" w:rsidRPr="009F6D1E" w:rsidRDefault="00881572" w:rsidP="00881572">
      <w:pPr>
        <w:pStyle w:val="Caption"/>
      </w:pPr>
      <w:bookmarkStart w:id="366" w:name="_Ref107171595"/>
      <w:bookmarkStart w:id="367" w:name="_Toc115255171"/>
      <w:r w:rsidRPr="009F6D1E">
        <w:lastRenderedPageBreak/>
        <w:t xml:space="preserve">Таблица </w:t>
      </w:r>
      <w:fldSimple w:instr=" SEQ Таблица \* ARABIC ">
        <w:r w:rsidR="00A43EF3">
          <w:rPr>
            <w:noProof/>
          </w:rPr>
          <w:t>20</w:t>
        </w:r>
      </w:fldSimple>
      <w:bookmarkEnd w:id="366"/>
      <w:r w:rsidRPr="009F6D1E">
        <w:t xml:space="preserve">: </w:t>
      </w:r>
      <w:r w:rsidR="00493863" w:rsidRPr="009F6D1E">
        <w:t>Образуваните по вид отпадъци, типични за сектора на селското, горското и рибното стопанство за последните пет години</w:t>
      </w:r>
      <w:bookmarkEnd w:id="367"/>
    </w:p>
    <w:tbl>
      <w:tblPr>
        <w:tblStyle w:val="TableGrid4"/>
        <w:tblW w:w="5000" w:type="pct"/>
        <w:tblLook w:val="04A0" w:firstRow="1" w:lastRow="0" w:firstColumn="1" w:lastColumn="0" w:noHBand="0" w:noVBand="1"/>
      </w:tblPr>
      <w:tblGrid>
        <w:gridCol w:w="3833"/>
        <w:gridCol w:w="1179"/>
        <w:gridCol w:w="1179"/>
        <w:gridCol w:w="1179"/>
        <w:gridCol w:w="1178"/>
        <w:gridCol w:w="1080"/>
      </w:tblGrid>
      <w:tr w:rsidR="001D0A49" w:rsidRPr="00322564" w14:paraId="08FB6347" w14:textId="77777777" w:rsidTr="00322564">
        <w:trPr>
          <w:trHeight w:val="270"/>
        </w:trPr>
        <w:tc>
          <w:tcPr>
            <w:tcW w:w="1950" w:type="pct"/>
            <w:shd w:val="clear" w:color="auto" w:fill="BFBFBF" w:themeFill="background1" w:themeFillShade="BF"/>
            <w:vAlign w:val="center"/>
            <w:hideMark/>
          </w:tcPr>
          <w:p w14:paraId="5A0B0A96"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Наименование на отпадъка</w:t>
            </w:r>
          </w:p>
        </w:tc>
        <w:tc>
          <w:tcPr>
            <w:tcW w:w="600" w:type="pct"/>
            <w:shd w:val="clear" w:color="auto" w:fill="BFBFBF" w:themeFill="background1" w:themeFillShade="BF"/>
            <w:vAlign w:val="center"/>
            <w:hideMark/>
          </w:tcPr>
          <w:p w14:paraId="74A202D7"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2016</w:t>
            </w:r>
          </w:p>
        </w:tc>
        <w:tc>
          <w:tcPr>
            <w:tcW w:w="600" w:type="pct"/>
            <w:shd w:val="clear" w:color="auto" w:fill="BFBFBF" w:themeFill="background1" w:themeFillShade="BF"/>
            <w:vAlign w:val="center"/>
            <w:hideMark/>
          </w:tcPr>
          <w:p w14:paraId="0653F6F5"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2017</w:t>
            </w:r>
          </w:p>
        </w:tc>
        <w:tc>
          <w:tcPr>
            <w:tcW w:w="600" w:type="pct"/>
            <w:shd w:val="clear" w:color="auto" w:fill="BFBFBF" w:themeFill="background1" w:themeFillShade="BF"/>
            <w:vAlign w:val="center"/>
            <w:hideMark/>
          </w:tcPr>
          <w:p w14:paraId="5E35CA6D"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2018</w:t>
            </w:r>
          </w:p>
        </w:tc>
        <w:tc>
          <w:tcPr>
            <w:tcW w:w="600" w:type="pct"/>
            <w:shd w:val="clear" w:color="auto" w:fill="BFBFBF" w:themeFill="background1" w:themeFillShade="BF"/>
            <w:vAlign w:val="center"/>
            <w:hideMark/>
          </w:tcPr>
          <w:p w14:paraId="50A3A4FE"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2019</w:t>
            </w:r>
          </w:p>
        </w:tc>
        <w:tc>
          <w:tcPr>
            <w:tcW w:w="550" w:type="pct"/>
            <w:shd w:val="clear" w:color="auto" w:fill="BFBFBF" w:themeFill="background1" w:themeFillShade="BF"/>
            <w:vAlign w:val="center"/>
            <w:hideMark/>
          </w:tcPr>
          <w:p w14:paraId="30FD859B" w14:textId="77777777" w:rsidR="00E25BEA" w:rsidRPr="00322564" w:rsidRDefault="00E25BEA" w:rsidP="00322564">
            <w:pPr>
              <w:ind w:firstLine="0"/>
              <w:jc w:val="center"/>
              <w:rPr>
                <w:rFonts w:eastAsia="Times New Roman" w:cs="Times New Roman"/>
                <w:b/>
                <w:bCs/>
                <w:sz w:val="20"/>
                <w:szCs w:val="20"/>
                <w:lang w:val="bg-BG" w:eastAsia="bg-BG"/>
              </w:rPr>
            </w:pPr>
            <w:r w:rsidRPr="00322564">
              <w:rPr>
                <w:rFonts w:eastAsia="Times New Roman" w:cs="Times New Roman"/>
                <w:b/>
                <w:bCs/>
                <w:sz w:val="20"/>
                <w:szCs w:val="20"/>
                <w:lang w:val="bg-BG" w:eastAsia="bg-BG"/>
              </w:rPr>
              <w:t>2020</w:t>
            </w:r>
          </w:p>
        </w:tc>
      </w:tr>
      <w:tr w:rsidR="001D0A49" w:rsidRPr="00322564" w14:paraId="028AA0A7" w14:textId="77777777" w:rsidTr="00493863">
        <w:trPr>
          <w:trHeight w:val="450"/>
        </w:trPr>
        <w:tc>
          <w:tcPr>
            <w:tcW w:w="1950" w:type="pct"/>
            <w:hideMark/>
          </w:tcPr>
          <w:p w14:paraId="2F1C57B6"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Общо образувани опасни и неопасни отпадъци</w:t>
            </w:r>
          </w:p>
        </w:tc>
        <w:tc>
          <w:tcPr>
            <w:tcW w:w="600" w:type="pct"/>
            <w:hideMark/>
          </w:tcPr>
          <w:p w14:paraId="6D5DAE71"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117091894</w:t>
            </w:r>
          </w:p>
        </w:tc>
        <w:tc>
          <w:tcPr>
            <w:tcW w:w="600" w:type="pct"/>
            <w:hideMark/>
          </w:tcPr>
          <w:p w14:paraId="3DFA1046"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122315892</w:t>
            </w:r>
          </w:p>
        </w:tc>
        <w:tc>
          <w:tcPr>
            <w:tcW w:w="600" w:type="pct"/>
            <w:hideMark/>
          </w:tcPr>
          <w:p w14:paraId="3D4F2492"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126138159</w:t>
            </w:r>
          </w:p>
        </w:tc>
        <w:tc>
          <w:tcPr>
            <w:tcW w:w="600" w:type="pct"/>
            <w:hideMark/>
          </w:tcPr>
          <w:p w14:paraId="203AD865"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123148304</w:t>
            </w:r>
          </w:p>
        </w:tc>
        <w:tc>
          <w:tcPr>
            <w:tcW w:w="550" w:type="pct"/>
            <w:hideMark/>
          </w:tcPr>
          <w:p w14:paraId="0C8C6EFD"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81945166</w:t>
            </w:r>
          </w:p>
        </w:tc>
      </w:tr>
      <w:tr w:rsidR="001D0A49" w:rsidRPr="00322564" w14:paraId="380866F1" w14:textId="77777777" w:rsidTr="00493863">
        <w:trPr>
          <w:trHeight w:val="270"/>
        </w:trPr>
        <w:tc>
          <w:tcPr>
            <w:tcW w:w="1950" w:type="pct"/>
            <w:noWrap/>
            <w:hideMark/>
          </w:tcPr>
          <w:p w14:paraId="1B41D7C0"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Неопасни отпадъци, общо</w:t>
            </w:r>
          </w:p>
        </w:tc>
        <w:tc>
          <w:tcPr>
            <w:tcW w:w="600" w:type="pct"/>
            <w:noWrap/>
            <w:hideMark/>
          </w:tcPr>
          <w:p w14:paraId="47FE9341"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103928268</w:t>
            </w:r>
          </w:p>
        </w:tc>
        <w:tc>
          <w:tcPr>
            <w:tcW w:w="600" w:type="pct"/>
            <w:noWrap/>
            <w:hideMark/>
          </w:tcPr>
          <w:p w14:paraId="0C63FF6E"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108304466</w:t>
            </w:r>
          </w:p>
        </w:tc>
        <w:tc>
          <w:tcPr>
            <w:tcW w:w="600" w:type="pct"/>
            <w:noWrap/>
            <w:hideMark/>
          </w:tcPr>
          <w:p w14:paraId="734AD821"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112824785</w:t>
            </w:r>
          </w:p>
        </w:tc>
        <w:tc>
          <w:tcPr>
            <w:tcW w:w="600" w:type="pct"/>
            <w:noWrap/>
            <w:hideMark/>
          </w:tcPr>
          <w:p w14:paraId="19525A89"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109654456</w:t>
            </w:r>
          </w:p>
        </w:tc>
        <w:tc>
          <w:tcPr>
            <w:tcW w:w="550" w:type="pct"/>
            <w:noWrap/>
            <w:hideMark/>
          </w:tcPr>
          <w:p w14:paraId="0767E6A8"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b/>
                <w:bCs/>
                <w:sz w:val="20"/>
                <w:szCs w:val="20"/>
                <w:lang w:val="bg-BG" w:eastAsia="bg-BG"/>
              </w:rPr>
              <w:t>68081199</w:t>
            </w:r>
          </w:p>
        </w:tc>
      </w:tr>
      <w:tr w:rsidR="001D0A49" w:rsidRPr="00322564" w14:paraId="028C22D7" w14:textId="77777777" w:rsidTr="00493863">
        <w:trPr>
          <w:trHeight w:val="660"/>
        </w:trPr>
        <w:tc>
          <w:tcPr>
            <w:tcW w:w="1950" w:type="pct"/>
            <w:hideMark/>
          </w:tcPr>
          <w:p w14:paraId="3561EFF6"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Животински и растителни отпадъци (като се изключват животински отпадъци от приготвяне на храни и продукти)</w:t>
            </w:r>
          </w:p>
        </w:tc>
        <w:tc>
          <w:tcPr>
            <w:tcW w:w="600" w:type="pct"/>
            <w:noWrap/>
            <w:hideMark/>
          </w:tcPr>
          <w:p w14:paraId="093F83FE"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365851</w:t>
            </w:r>
          </w:p>
        </w:tc>
        <w:tc>
          <w:tcPr>
            <w:tcW w:w="600" w:type="pct"/>
            <w:noWrap/>
            <w:hideMark/>
          </w:tcPr>
          <w:p w14:paraId="64B74FA8"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709099</w:t>
            </w:r>
          </w:p>
        </w:tc>
        <w:tc>
          <w:tcPr>
            <w:tcW w:w="600" w:type="pct"/>
            <w:noWrap/>
            <w:hideMark/>
          </w:tcPr>
          <w:p w14:paraId="6777DC8F"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276626</w:t>
            </w:r>
          </w:p>
        </w:tc>
        <w:tc>
          <w:tcPr>
            <w:tcW w:w="600" w:type="pct"/>
            <w:noWrap/>
            <w:hideMark/>
          </w:tcPr>
          <w:p w14:paraId="7C5555CD"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647195</w:t>
            </w:r>
          </w:p>
        </w:tc>
        <w:tc>
          <w:tcPr>
            <w:tcW w:w="550" w:type="pct"/>
            <w:noWrap/>
            <w:hideMark/>
          </w:tcPr>
          <w:p w14:paraId="70C9A357"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1352516</w:t>
            </w:r>
          </w:p>
        </w:tc>
      </w:tr>
      <w:tr w:rsidR="001D0A49" w:rsidRPr="00322564" w14:paraId="0B6A34A9" w14:textId="77777777" w:rsidTr="00493863">
        <w:trPr>
          <w:trHeight w:val="450"/>
        </w:trPr>
        <w:tc>
          <w:tcPr>
            <w:tcW w:w="1950" w:type="pct"/>
            <w:hideMark/>
          </w:tcPr>
          <w:p w14:paraId="55214AAD"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Животински отпадъци от приготвяне на храни и продукти</w:t>
            </w:r>
          </w:p>
        </w:tc>
        <w:tc>
          <w:tcPr>
            <w:tcW w:w="600" w:type="pct"/>
            <w:noWrap/>
            <w:hideMark/>
          </w:tcPr>
          <w:p w14:paraId="793AAE01"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69411</w:t>
            </w:r>
          </w:p>
        </w:tc>
        <w:tc>
          <w:tcPr>
            <w:tcW w:w="600" w:type="pct"/>
            <w:noWrap/>
            <w:hideMark/>
          </w:tcPr>
          <w:p w14:paraId="5B32676E"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9095</w:t>
            </w:r>
          </w:p>
        </w:tc>
        <w:tc>
          <w:tcPr>
            <w:tcW w:w="600" w:type="pct"/>
            <w:noWrap/>
            <w:hideMark/>
          </w:tcPr>
          <w:p w14:paraId="37B6C599"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13032</w:t>
            </w:r>
          </w:p>
        </w:tc>
        <w:tc>
          <w:tcPr>
            <w:tcW w:w="600" w:type="pct"/>
            <w:noWrap/>
            <w:hideMark/>
          </w:tcPr>
          <w:p w14:paraId="79C741DD"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147174</w:t>
            </w:r>
          </w:p>
        </w:tc>
        <w:tc>
          <w:tcPr>
            <w:tcW w:w="550" w:type="pct"/>
            <w:noWrap/>
            <w:hideMark/>
          </w:tcPr>
          <w:p w14:paraId="6C36BFD5"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30281</w:t>
            </w:r>
          </w:p>
        </w:tc>
      </w:tr>
      <w:tr w:rsidR="00493863" w:rsidRPr="00322564" w14:paraId="474DA364" w14:textId="77777777" w:rsidTr="00493863">
        <w:trPr>
          <w:trHeight w:val="270"/>
        </w:trPr>
        <w:tc>
          <w:tcPr>
            <w:tcW w:w="1950" w:type="pct"/>
            <w:hideMark/>
          </w:tcPr>
          <w:p w14:paraId="0472E8A0"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Животински отпадъци от изпражнения, урина и тор</w:t>
            </w:r>
          </w:p>
        </w:tc>
        <w:tc>
          <w:tcPr>
            <w:tcW w:w="600" w:type="pct"/>
            <w:noWrap/>
            <w:hideMark/>
          </w:tcPr>
          <w:p w14:paraId="47530290"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411576</w:t>
            </w:r>
          </w:p>
        </w:tc>
        <w:tc>
          <w:tcPr>
            <w:tcW w:w="600" w:type="pct"/>
            <w:noWrap/>
            <w:hideMark/>
          </w:tcPr>
          <w:p w14:paraId="5696303E"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233777</w:t>
            </w:r>
          </w:p>
        </w:tc>
        <w:tc>
          <w:tcPr>
            <w:tcW w:w="600" w:type="pct"/>
            <w:noWrap/>
            <w:hideMark/>
          </w:tcPr>
          <w:p w14:paraId="5AC5A3DF"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107670</w:t>
            </w:r>
          </w:p>
        </w:tc>
        <w:tc>
          <w:tcPr>
            <w:tcW w:w="600" w:type="pct"/>
            <w:noWrap/>
            <w:hideMark/>
          </w:tcPr>
          <w:p w14:paraId="6B2C8AAF"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585535</w:t>
            </w:r>
          </w:p>
        </w:tc>
        <w:tc>
          <w:tcPr>
            <w:tcW w:w="550" w:type="pct"/>
            <w:noWrap/>
            <w:hideMark/>
          </w:tcPr>
          <w:p w14:paraId="26D15243" w14:textId="77777777" w:rsidR="00E25BEA" w:rsidRPr="00322564" w:rsidRDefault="00E25BEA" w:rsidP="00322564">
            <w:pPr>
              <w:ind w:firstLine="0"/>
              <w:rPr>
                <w:rFonts w:eastAsia="Times New Roman" w:cs="Times New Roman"/>
                <w:sz w:val="20"/>
                <w:szCs w:val="20"/>
                <w:lang w:val="bg-BG" w:eastAsia="bg-BG"/>
              </w:rPr>
            </w:pPr>
            <w:r w:rsidRPr="00322564">
              <w:rPr>
                <w:rFonts w:eastAsia="Times New Roman" w:cs="Times New Roman"/>
                <w:sz w:val="20"/>
                <w:szCs w:val="20"/>
                <w:lang w:val="bg-BG" w:eastAsia="bg-BG"/>
              </w:rPr>
              <w:t>3742258</w:t>
            </w:r>
          </w:p>
        </w:tc>
      </w:tr>
    </w:tbl>
    <w:p w14:paraId="0881FF02" w14:textId="77777777" w:rsidR="00493863" w:rsidRPr="009F6D1E" w:rsidRDefault="00493863" w:rsidP="00493863">
      <w:pPr>
        <w:rPr>
          <w:rFonts w:ascii="Tahoma" w:eastAsia="Times New Roman" w:hAnsi="Tahoma" w:cs="Tahoma"/>
          <w:sz w:val="20"/>
          <w:szCs w:val="20"/>
          <w:lang w:eastAsia="bg-BG"/>
        </w:rPr>
      </w:pPr>
    </w:p>
    <w:p w14:paraId="7E20B4BB" w14:textId="3019A4C3" w:rsidR="00493863" w:rsidRPr="009F6D1E" w:rsidRDefault="00E25BEA" w:rsidP="001D0A49">
      <w:pPr>
        <w:pStyle w:val="Caption"/>
      </w:pPr>
      <w:r w:rsidRPr="009F6D1E">
        <w:rPr>
          <w:rFonts w:ascii="Tahoma" w:eastAsia="Times New Roman" w:hAnsi="Tahoma" w:cs="Tahoma"/>
          <w:sz w:val="21"/>
          <w:szCs w:val="21"/>
          <w:lang w:eastAsia="bg-BG"/>
        </w:rPr>
        <w:t> </w:t>
      </w:r>
      <w:bookmarkStart w:id="368" w:name="_Ref107171604"/>
      <w:bookmarkStart w:id="369" w:name="_Toc115255172"/>
      <w:r w:rsidR="001D0A49" w:rsidRPr="009F6D1E">
        <w:t xml:space="preserve">Таблица </w:t>
      </w:r>
      <w:fldSimple w:instr=" SEQ Таблица \* ARABIC ">
        <w:r w:rsidR="00A43EF3">
          <w:rPr>
            <w:noProof/>
          </w:rPr>
          <w:t>21</w:t>
        </w:r>
      </w:fldSimple>
      <w:bookmarkEnd w:id="368"/>
      <w:r w:rsidR="001D0A49" w:rsidRPr="009F6D1E">
        <w:t xml:space="preserve">: </w:t>
      </w:r>
      <w:r w:rsidR="00493863" w:rsidRPr="009F6D1E">
        <w:t>Третиране на образуваните по вид отпадъци, типични за сектора на селското, горското и рибното стопанство за последните пет години</w:t>
      </w:r>
      <w:bookmarkEnd w:id="369"/>
    </w:p>
    <w:tbl>
      <w:tblPr>
        <w:tblW w:w="0" w:type="auto"/>
        <w:jc w:val="center"/>
        <w:tblCellMar>
          <w:left w:w="0" w:type="dxa"/>
          <w:right w:w="0" w:type="dxa"/>
        </w:tblCellMar>
        <w:tblLook w:val="04A0" w:firstRow="1" w:lastRow="0" w:firstColumn="1" w:lastColumn="0" w:noHBand="0" w:noVBand="1"/>
      </w:tblPr>
      <w:tblGrid>
        <w:gridCol w:w="3959"/>
        <w:gridCol w:w="1818"/>
        <w:gridCol w:w="1799"/>
        <w:gridCol w:w="1787"/>
      </w:tblGrid>
      <w:tr w:rsidR="001D0A49" w:rsidRPr="009F6D1E" w14:paraId="683E6440" w14:textId="77777777" w:rsidTr="001D0A49">
        <w:trPr>
          <w:jc w:val="center"/>
        </w:trPr>
        <w:tc>
          <w:tcPr>
            <w:tcW w:w="3959"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47C2754D" w14:textId="77777777" w:rsidR="00E25BEA" w:rsidRPr="009F6D1E" w:rsidRDefault="00E25BEA" w:rsidP="001D0A49">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Отпадък</w:t>
            </w:r>
          </w:p>
        </w:tc>
        <w:tc>
          <w:tcPr>
            <w:tcW w:w="1744"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0A1ADF1F" w14:textId="77777777" w:rsidR="00E25BEA" w:rsidRPr="009F6D1E" w:rsidRDefault="00E25BEA" w:rsidP="001D0A49">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Оползотворяване</w:t>
            </w:r>
          </w:p>
        </w:tc>
        <w:tc>
          <w:tcPr>
            <w:tcW w:w="1799"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43EE5B10" w14:textId="77777777" w:rsidR="00E25BEA" w:rsidRPr="009F6D1E" w:rsidRDefault="00E25BEA" w:rsidP="001D0A49">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Обезвреждане</w:t>
            </w:r>
          </w:p>
        </w:tc>
        <w:tc>
          <w:tcPr>
            <w:tcW w:w="1787" w:type="dxa"/>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2A28547F" w14:textId="77777777" w:rsidR="00E25BEA" w:rsidRPr="009F6D1E" w:rsidRDefault="00E25BEA" w:rsidP="001D0A49">
            <w:pPr>
              <w:spacing w:after="0" w:line="240" w:lineRule="auto"/>
              <w:jc w:val="center"/>
              <w:rPr>
                <w:rFonts w:eastAsia="Times New Roman" w:cs="Times New Roman"/>
                <w:b/>
                <w:bCs/>
                <w:sz w:val="20"/>
                <w:szCs w:val="20"/>
                <w:lang w:eastAsia="bg-BG"/>
              </w:rPr>
            </w:pPr>
            <w:r w:rsidRPr="009F6D1E">
              <w:rPr>
                <w:rFonts w:eastAsia="Times New Roman" w:cs="Times New Roman"/>
                <w:b/>
                <w:bCs/>
                <w:sz w:val="20"/>
                <w:szCs w:val="20"/>
                <w:lang w:eastAsia="bg-BG"/>
              </w:rPr>
              <w:t>Изнесени извън страната</w:t>
            </w:r>
          </w:p>
        </w:tc>
      </w:tr>
      <w:tr w:rsidR="001D0A49" w:rsidRPr="009F6D1E" w14:paraId="7ABFF299" w14:textId="77777777" w:rsidTr="001D0A49">
        <w:trPr>
          <w:jc w:val="center"/>
        </w:trPr>
        <w:tc>
          <w:tcPr>
            <w:tcW w:w="39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C98DC78"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Животински и растителни отпадъци (като се изключват животински отпадъци от приготвяне на храни и продукти)</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4EACAD"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592523</w:t>
            </w:r>
          </w:p>
        </w:tc>
        <w:tc>
          <w:tcPr>
            <w:tcW w:w="179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84354D2"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27741</w:t>
            </w:r>
          </w:p>
        </w:tc>
        <w:tc>
          <w:tcPr>
            <w:tcW w:w="178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A19CC4F"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151</w:t>
            </w:r>
          </w:p>
        </w:tc>
      </w:tr>
      <w:tr w:rsidR="001D0A49" w:rsidRPr="009F6D1E" w14:paraId="1C78CD62" w14:textId="77777777" w:rsidTr="001D0A49">
        <w:trPr>
          <w:jc w:val="center"/>
        </w:trPr>
        <w:tc>
          <w:tcPr>
            <w:tcW w:w="39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0CADA1C"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Животински отпадъци от приготвяне на храни и продукти</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1E27D4"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23380</w:t>
            </w:r>
          </w:p>
        </w:tc>
        <w:tc>
          <w:tcPr>
            <w:tcW w:w="179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CEAF10B"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5552</w:t>
            </w:r>
          </w:p>
        </w:tc>
        <w:tc>
          <w:tcPr>
            <w:tcW w:w="178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C2E04BE"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497</w:t>
            </w:r>
          </w:p>
        </w:tc>
      </w:tr>
      <w:tr w:rsidR="001D0A49" w:rsidRPr="009F6D1E" w14:paraId="4D2D1876" w14:textId="77777777" w:rsidTr="001D0A49">
        <w:trPr>
          <w:jc w:val="center"/>
        </w:trPr>
        <w:tc>
          <w:tcPr>
            <w:tcW w:w="39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616BF2B4" w14:textId="77777777" w:rsidR="00E25BEA" w:rsidRPr="009F6D1E" w:rsidRDefault="00E25BEA" w:rsidP="00E25BEA">
            <w:pPr>
              <w:spacing w:after="0" w:line="240" w:lineRule="auto"/>
              <w:rPr>
                <w:rFonts w:eastAsia="Times New Roman" w:cs="Times New Roman"/>
                <w:sz w:val="20"/>
                <w:szCs w:val="20"/>
                <w:lang w:eastAsia="bg-BG"/>
              </w:rPr>
            </w:pPr>
            <w:r w:rsidRPr="009F6D1E">
              <w:rPr>
                <w:rFonts w:eastAsia="Times New Roman" w:cs="Times New Roman"/>
                <w:sz w:val="20"/>
                <w:szCs w:val="20"/>
                <w:lang w:eastAsia="bg-BG"/>
              </w:rPr>
              <w:t>Животински отпадъци от изпражнения, урина и тор</w:t>
            </w:r>
          </w:p>
        </w:tc>
        <w:tc>
          <w:tcPr>
            <w:tcW w:w="174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54AD5E3"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2760010</w:t>
            </w:r>
          </w:p>
        </w:tc>
        <w:tc>
          <w:tcPr>
            <w:tcW w:w="179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FC078F"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4322</w:t>
            </w:r>
          </w:p>
        </w:tc>
        <w:tc>
          <w:tcPr>
            <w:tcW w:w="178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BAC53A" w14:textId="77777777" w:rsidR="00E25BEA" w:rsidRPr="009F6D1E" w:rsidRDefault="00E25BEA" w:rsidP="001D0A49">
            <w:pPr>
              <w:spacing w:after="0" w:line="240" w:lineRule="auto"/>
              <w:jc w:val="center"/>
              <w:rPr>
                <w:rFonts w:eastAsia="Times New Roman" w:cs="Times New Roman"/>
                <w:sz w:val="20"/>
                <w:szCs w:val="20"/>
                <w:lang w:eastAsia="bg-BG"/>
              </w:rPr>
            </w:pPr>
            <w:r w:rsidRPr="009F6D1E">
              <w:rPr>
                <w:rFonts w:eastAsia="Times New Roman" w:cs="Times New Roman"/>
                <w:sz w:val="20"/>
                <w:szCs w:val="20"/>
                <w:lang w:eastAsia="bg-BG"/>
              </w:rPr>
              <w:t>0</w:t>
            </w:r>
          </w:p>
        </w:tc>
      </w:tr>
    </w:tbl>
    <w:p w14:paraId="56105144" w14:textId="77777777" w:rsidR="00E25BEA" w:rsidRPr="009F6D1E" w:rsidRDefault="00E25BEA" w:rsidP="00E25BEA">
      <w:pPr>
        <w:spacing w:after="60" w:line="264" w:lineRule="auto"/>
        <w:jc w:val="both"/>
        <w:rPr>
          <w:b/>
          <w:bCs/>
        </w:rPr>
      </w:pPr>
    </w:p>
    <w:p w14:paraId="6B3165D2" w14:textId="45DE28A6" w:rsidR="00E25BEA" w:rsidRPr="009F6D1E" w:rsidRDefault="006C5ACF" w:rsidP="00E25BEA">
      <w:pPr>
        <w:spacing w:after="60" w:line="264" w:lineRule="auto"/>
        <w:ind w:firstLine="708"/>
        <w:jc w:val="both"/>
        <w:rPr>
          <w:rFonts w:cs="Times New Roman"/>
          <w:szCs w:val="24"/>
        </w:rPr>
      </w:pPr>
      <w:r w:rsidRPr="006C5ACF">
        <w:rPr>
          <w:rFonts w:cs="Times New Roman"/>
          <w:szCs w:val="24"/>
        </w:rPr>
        <w:t xml:space="preserve">Към 31 декември 2020 г., на територията на страната, са регистрирани 205 склада за излезли от употреба  ПРЗ, 1 948 броя ББ кубове и 48 централни склада, намиращи се в 304 населени места. Общото количество забранени и негодни за употреба пестициди възлиза приблизително на 9 940 t, като 74.3 % от тях са трайно депонирани в 1 948 броя ББ кубове, а 16.9 % са </w:t>
      </w:r>
      <w:proofErr w:type="spellStart"/>
      <w:r w:rsidRPr="006C5ACF">
        <w:rPr>
          <w:rFonts w:cs="Times New Roman"/>
          <w:szCs w:val="24"/>
        </w:rPr>
        <w:t>препакетирани</w:t>
      </w:r>
      <w:proofErr w:type="spellEnd"/>
      <w:r w:rsidRPr="006C5ACF">
        <w:rPr>
          <w:rFonts w:cs="Times New Roman"/>
          <w:szCs w:val="24"/>
        </w:rPr>
        <w:t xml:space="preserve"> и прибрани в 48 централни склада и само 8.8 % от пестицидите се съхраняват в 205 склада, за които предстои прилагане на мерки за тяхното обезвреждане. Най-голям брой складове за излезли от употреба пестициди има в областите Плевен (44) и Ловеч (34).</w:t>
      </w:r>
    </w:p>
    <w:p w14:paraId="611C23F2" w14:textId="77777777" w:rsidR="00E25BEA" w:rsidRPr="009F6D1E" w:rsidRDefault="00E25BEA" w:rsidP="00E25BEA">
      <w:pPr>
        <w:spacing w:after="60" w:line="264" w:lineRule="auto"/>
        <w:ind w:firstLine="708"/>
        <w:jc w:val="both"/>
        <w:rPr>
          <w:rFonts w:cs="Times New Roman"/>
          <w:szCs w:val="24"/>
        </w:rPr>
      </w:pPr>
    </w:p>
    <w:p w14:paraId="0F9BE218" w14:textId="77777777" w:rsidR="00EB476D" w:rsidRPr="009F6D1E" w:rsidRDefault="000365EA">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Радиоактивни отпадъци </w:t>
      </w:r>
      <w:r w:rsidR="00EB476D" w:rsidRPr="009F6D1E">
        <w:rPr>
          <w:b/>
          <w:bCs/>
          <w:smallCaps w:val="0"/>
          <w:color w:val="262626" w:themeColor="text1" w:themeTint="D9"/>
          <w:lang w:eastAsia="en-US" w:bidi="ar-SA"/>
        </w:rPr>
        <w:t>(РАО)</w:t>
      </w:r>
    </w:p>
    <w:p w14:paraId="6A3D6AC3" w14:textId="77777777" w:rsidR="00F93745" w:rsidRPr="009F6D1E" w:rsidRDefault="00F93745" w:rsidP="0084747F">
      <w:pPr>
        <w:spacing w:after="60" w:line="264" w:lineRule="auto"/>
        <w:ind w:firstLine="708"/>
        <w:jc w:val="both"/>
        <w:rPr>
          <w:rFonts w:cs="Times New Roman"/>
          <w:szCs w:val="24"/>
        </w:rPr>
      </w:pPr>
    </w:p>
    <w:p w14:paraId="4626A9EA" w14:textId="77777777" w:rsidR="00622D1D" w:rsidRPr="00622D1D" w:rsidRDefault="00622D1D" w:rsidP="00622D1D">
      <w:pPr>
        <w:spacing w:after="60" w:line="264" w:lineRule="auto"/>
        <w:ind w:firstLine="708"/>
        <w:jc w:val="both"/>
        <w:rPr>
          <w:rFonts w:cs="Times New Roman"/>
          <w:szCs w:val="24"/>
        </w:rPr>
      </w:pPr>
      <w:bookmarkStart w:id="370" w:name="_Hlk79933839"/>
      <w:bookmarkStart w:id="371" w:name="_Hlk75866117"/>
      <w:r w:rsidRPr="00622D1D">
        <w:rPr>
          <w:rFonts w:cs="Times New Roman"/>
          <w:szCs w:val="24"/>
        </w:rPr>
        <w:t>РАО от ядрената енергетика в България се генерират от 1974г., когато е въведен в експлоатация първи енергиен блок на „АЕЦ Козлодуй“</w:t>
      </w:r>
      <w:r w:rsidRPr="00622D1D">
        <w:rPr>
          <w:rFonts w:cs="Times New Roman"/>
          <w:szCs w:val="24"/>
          <w:vertAlign w:val="superscript"/>
        </w:rPr>
        <w:footnoteReference w:id="65"/>
      </w:r>
      <w:r w:rsidRPr="00622D1D">
        <w:rPr>
          <w:rFonts w:cs="Times New Roman"/>
          <w:szCs w:val="24"/>
        </w:rPr>
        <w:t>. Отработеното ядрено гориво (ОЯГ) е неизбежен технологичен продукт при производството на ядрена електроенергия. След извеждане от експлоатация на първите 4 блока (тип ВВЕР-440) от началото на 2007г., в настоящия момент ОЯГ се генерира единствено от експлоатацията на блокове 5 и 6 (тип ВВЕР-</w:t>
      </w:r>
      <w:r w:rsidRPr="00622D1D">
        <w:rPr>
          <w:rFonts w:cs="Times New Roman"/>
          <w:szCs w:val="24"/>
        </w:rPr>
        <w:lastRenderedPageBreak/>
        <w:t>1000), въведени в експлоатация през 1987г. и 1991г., съответно. Не съществуват местни заводи за конверсия, обогатяване и производство на ядрено гориво</w:t>
      </w:r>
    </w:p>
    <w:p w14:paraId="54515757"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Първите 4 блока бяха обявени за съоръжения за управление на радиоактивни отпадъци (РАО), като заедно с необходимото движимо имущество бяха предоставени на Държавно предприятие “РАО” (ДП “РАО”) за преработка и кондициониране. След изграждането на Националното хранилище за ниско и средно-активни РАО (НХРАО), чието строителство официално започва в края на август 2017 г., се предвижда РАО да бъдат погребани в него.</w:t>
      </w:r>
    </w:p>
    <w:p w14:paraId="4F907C92"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 xml:space="preserve">Отработеното гориво се съхранява в </w:t>
      </w:r>
      <w:proofErr w:type="spellStart"/>
      <w:r w:rsidRPr="00622D1D">
        <w:rPr>
          <w:rFonts w:cs="Times New Roman"/>
          <w:szCs w:val="24"/>
        </w:rPr>
        <w:t>приреакторни</w:t>
      </w:r>
      <w:proofErr w:type="spellEnd"/>
      <w:r w:rsidRPr="00622D1D">
        <w:rPr>
          <w:rFonts w:cs="Times New Roman"/>
          <w:szCs w:val="24"/>
        </w:rPr>
        <w:t xml:space="preserve"> хранилища басейнов тип на всеки блок и в общо хранилище „мокър тип“ (ХОГ) на площадката на централата, където, след допълнително престояване, част от него се връща в Русия. Съгласно спогодбата между правителството на Република България и правителството на Руската Федерация за сътрудничество в областта на атомната енергетика, българската страна е отговорна за приемане на високоактивните остъклени РАО от преработването на ОЯГ по съгласувани между страните програми и срокове. </w:t>
      </w:r>
    </w:p>
    <w:p w14:paraId="7507D051"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 xml:space="preserve">РАО се преработват и </w:t>
      </w:r>
      <w:proofErr w:type="spellStart"/>
      <w:r w:rsidRPr="00622D1D">
        <w:rPr>
          <w:rFonts w:cs="Times New Roman"/>
          <w:szCs w:val="24"/>
        </w:rPr>
        <w:t>кондиционират</w:t>
      </w:r>
      <w:proofErr w:type="spellEnd"/>
      <w:r w:rsidRPr="00622D1D">
        <w:rPr>
          <w:rFonts w:cs="Times New Roman"/>
          <w:szCs w:val="24"/>
        </w:rPr>
        <w:t xml:space="preserve"> от ДП „РАО“ и след изграждането на Националното хранилище за ниско и средно-активни РАО (НХРАО), чието строителство официално започва края на август 2017 г., се предвижда да бъдат погребани в него.</w:t>
      </w:r>
    </w:p>
    <w:p w14:paraId="47CFA71D"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За периода 1979–2014г. общото количество ОЯГ, генерирано от експлоатацията на блокове от 1 до 6, е около 2150t ТМ</w:t>
      </w:r>
      <w:r w:rsidRPr="00622D1D">
        <w:rPr>
          <w:rFonts w:cs="Times New Roman"/>
          <w:szCs w:val="24"/>
        </w:rPr>
        <w:footnoteReference w:id="66"/>
      </w:r>
      <w:r w:rsidRPr="00622D1D">
        <w:rPr>
          <w:rFonts w:cs="Times New Roman"/>
          <w:szCs w:val="24"/>
        </w:rPr>
        <w:t>. За периода 1980-2014г. около 1252t ТМ или около 58% от това количество е транспортирано за преработка и технологично съхранение. За преработеното гориво транспортирано в периода 1979–1988г. или 3016 касети (362t ТМ) ВАО не подлежи на връщане.</w:t>
      </w:r>
    </w:p>
    <w:p w14:paraId="044AEEC3"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Натрупаното отработено ядрено гориво на площадката на „АЕЦ Козлодуй“ към 31.12.2014г., съставлява 804t ТМ. Това количество е разпределено в 3096 отработени касети от ВВЕР-440 и 1112 отработени касети от ВВЕР-1000, или общо 4208 касети.</w:t>
      </w:r>
    </w:p>
    <w:p w14:paraId="49B65F8B"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Към 31.12.2014г. в ХОГ на площадката на АЕЦ Козлодуй се съхраняват 2592 касети от ВВЕР-440 и 324 касети от ВВЕР-1000 или общо 2916 касети. При това са заети 117 места от общо 168. Общото количество ОЯГ, съхранявано в басейните за отлежаване при реакторите е следното:</w:t>
      </w:r>
    </w:p>
    <w:p w14:paraId="747C33E1" w14:textId="77777777" w:rsidR="00622D1D" w:rsidRPr="00622D1D" w:rsidRDefault="00622D1D">
      <w:pPr>
        <w:numPr>
          <w:ilvl w:val="0"/>
          <w:numId w:val="67"/>
        </w:numPr>
        <w:suppressAutoHyphens/>
        <w:autoSpaceDN w:val="0"/>
        <w:spacing w:after="60" w:line="264" w:lineRule="auto"/>
        <w:jc w:val="both"/>
        <w:rPr>
          <w:rFonts w:eastAsia="Calibri" w:cs="Times New Roman"/>
          <w:szCs w:val="24"/>
        </w:rPr>
      </w:pPr>
      <w:r w:rsidRPr="00622D1D">
        <w:rPr>
          <w:rFonts w:eastAsia="Calibri" w:cs="Times New Roman"/>
          <w:szCs w:val="24"/>
        </w:rPr>
        <w:t>Блок 5- 386 касети или 155t ТМ;</w:t>
      </w:r>
    </w:p>
    <w:p w14:paraId="5BDF3D84" w14:textId="77777777" w:rsidR="00622D1D" w:rsidRPr="00622D1D" w:rsidRDefault="00622D1D">
      <w:pPr>
        <w:numPr>
          <w:ilvl w:val="0"/>
          <w:numId w:val="67"/>
        </w:numPr>
        <w:suppressAutoHyphens/>
        <w:autoSpaceDN w:val="0"/>
        <w:spacing w:after="60" w:line="264" w:lineRule="auto"/>
        <w:jc w:val="both"/>
        <w:rPr>
          <w:rFonts w:eastAsia="Calibri" w:cs="Times New Roman"/>
          <w:szCs w:val="24"/>
        </w:rPr>
      </w:pPr>
      <w:r w:rsidRPr="00622D1D">
        <w:rPr>
          <w:rFonts w:eastAsia="Calibri" w:cs="Times New Roman"/>
          <w:szCs w:val="24"/>
        </w:rPr>
        <w:t>Блок 6- 402 касети или 162t ТМ.</w:t>
      </w:r>
    </w:p>
    <w:p w14:paraId="1E47D7AF"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 xml:space="preserve">При съществуващите схеми за зареждане и при продължаване на сроковете на експлоатация до 2030г., количествата отработено гориво, които ще се генерират за периода ще бъдат съответно 547 касети на блок 5 и 462 касети на блок 6. Следва да бъдат добавени още общо 326 касети от блокове 5 и 6, които ще останат в активните зони през 2030г. Направените </w:t>
      </w:r>
      <w:r w:rsidRPr="00622D1D">
        <w:rPr>
          <w:rFonts w:cs="Times New Roman"/>
          <w:szCs w:val="24"/>
        </w:rPr>
        <w:lastRenderedPageBreak/>
        <w:t xml:space="preserve">разчети показват, че за 15 годишен период от 2015г. до 2030г. година се очаква да бъдат генерирани 1600 касети отработено ядрено гориво от ВВЕР-1000. В случай, че блокове 5 и 6 продължат да се експлоатират след 2030г. допълнително ще бъдат генерирани по 84 касети ОЯГ всяка година. </w:t>
      </w:r>
    </w:p>
    <w:p w14:paraId="452A092D"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Очакваните темпове на генериране на твърди РАО от „АЕЦ Козлодуй“, следвайки данните от натрупаната статистика и експлоатационен опит, в периода до 2030г. ще бъдат генерирани по около 500 m3 годишно.</w:t>
      </w:r>
    </w:p>
    <w:p w14:paraId="78AECA74" w14:textId="77777777" w:rsidR="00622D1D" w:rsidRPr="00622D1D" w:rsidRDefault="00622D1D" w:rsidP="00622D1D">
      <w:pPr>
        <w:spacing w:after="60" w:line="264" w:lineRule="auto"/>
        <w:ind w:firstLine="708"/>
        <w:jc w:val="both"/>
        <w:rPr>
          <w:rFonts w:cs="Times New Roman"/>
          <w:szCs w:val="24"/>
        </w:rPr>
      </w:pPr>
      <w:r w:rsidRPr="00622D1D">
        <w:rPr>
          <w:rFonts w:cs="Times New Roman"/>
          <w:szCs w:val="24"/>
        </w:rPr>
        <w:t xml:space="preserve">По отношение на течните РАО се очаква през периода до 2030г., да се генерират годишно по около 200÷220 m3 </w:t>
      </w:r>
      <w:proofErr w:type="spellStart"/>
      <w:r w:rsidRPr="00622D1D">
        <w:rPr>
          <w:rFonts w:cs="Times New Roman"/>
          <w:szCs w:val="24"/>
        </w:rPr>
        <w:t>кубов</w:t>
      </w:r>
      <w:proofErr w:type="spellEnd"/>
      <w:r w:rsidRPr="00622D1D">
        <w:rPr>
          <w:rFonts w:cs="Times New Roman"/>
          <w:szCs w:val="24"/>
        </w:rPr>
        <w:t xml:space="preserve"> остатък (КО). Предвижда се, годишно за преработване в ДП „РАО“ да се предават около 250÷300 m3 КО– текущо генериран и исторически натрупан в резервоарите.</w:t>
      </w:r>
    </w:p>
    <w:p w14:paraId="66DD806B" w14:textId="6F6BC74E" w:rsidR="00EB476D" w:rsidRPr="00622D1D" w:rsidRDefault="00622D1D" w:rsidP="00622D1D">
      <w:pPr>
        <w:spacing w:after="60" w:line="264" w:lineRule="auto"/>
        <w:ind w:firstLine="708"/>
        <w:jc w:val="both"/>
        <w:rPr>
          <w:rFonts w:cs="Times New Roman"/>
          <w:szCs w:val="24"/>
        </w:rPr>
      </w:pPr>
      <w:r w:rsidRPr="00622D1D">
        <w:rPr>
          <w:rFonts w:cs="Times New Roman"/>
          <w:szCs w:val="24"/>
        </w:rPr>
        <w:t>В България РАО се генерират и в около 2000 обекта на промишлеността, медицината, селското стопанство и институтите за научни изследвания при използването на източници на йонизиращи лъчения (ИЙЛ). Излезлите от употреба източници се предават в Специализирано поделение „Постоянно хранилище за радиоактивни отпадъци – Нови хан“ („ПХРАО–Нови хан”) на ДП „РАО” без предварителна преработка, където се обработват и съхраняват</w:t>
      </w:r>
      <w:bookmarkEnd w:id="370"/>
      <w:bookmarkEnd w:id="371"/>
      <w:r w:rsidR="00EB476D" w:rsidRPr="009F6D1E">
        <w:rPr>
          <w:rFonts w:cs="Times New Roman"/>
          <w:szCs w:val="24"/>
        </w:rPr>
        <w:t>.</w:t>
      </w:r>
    </w:p>
    <w:p w14:paraId="5A946D6C" w14:textId="77777777" w:rsidR="00EB476D" w:rsidRPr="009F6D1E" w:rsidRDefault="00EB476D" w:rsidP="0084747F">
      <w:pPr>
        <w:spacing w:after="60" w:line="264" w:lineRule="auto"/>
        <w:contextualSpacing/>
        <w:jc w:val="both"/>
        <w:rPr>
          <w:rFonts w:eastAsia="Calibri" w:cs="Times New Roman"/>
          <w:b/>
          <w:bCs/>
          <w:i/>
          <w:iCs/>
          <w:szCs w:val="24"/>
          <w:highlight w:val="yellow"/>
        </w:rPr>
      </w:pPr>
    </w:p>
    <w:p w14:paraId="0B36BF4D" w14:textId="77777777" w:rsidR="00471E9F" w:rsidRPr="009F6D1E" w:rsidRDefault="00471E9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372" w:name="_Toc115254999"/>
      <w:r w:rsidRPr="009F6D1E">
        <w:rPr>
          <w:smallCaps w:val="0"/>
          <w:lang w:bidi="ar-SA"/>
        </w:rPr>
        <w:t>Опасни химични вещества и предприятия с висок и нисък рисков потенциал</w:t>
      </w:r>
      <w:bookmarkEnd w:id="372"/>
    </w:p>
    <w:p w14:paraId="4E559223" w14:textId="74FC6650" w:rsidR="00EE44B0" w:rsidRDefault="0028791B" w:rsidP="0084747F">
      <w:pPr>
        <w:suppressAutoHyphens/>
        <w:autoSpaceDN w:val="0"/>
        <w:spacing w:after="60" w:line="264" w:lineRule="auto"/>
        <w:ind w:firstLine="708"/>
        <w:jc w:val="both"/>
        <w:rPr>
          <w:rFonts w:eastAsia="Calibri" w:cs="Times New Roman"/>
          <w:szCs w:val="24"/>
        </w:rPr>
      </w:pPr>
      <w:r w:rsidRPr="0028791B">
        <w:rPr>
          <w:rFonts w:cs="Times New Roman"/>
          <w:szCs w:val="24"/>
        </w:rPr>
        <w:t>Отчитайки тази спецификата на предприятията на територията на Р България може да се каже, че дейностите на им са свързани с използването на широка гама химични вещества и смеси, вкл. и опасни такива. Информация за предприятията с нисък и тези с висок рисков потенциал е дадена</w:t>
      </w:r>
      <w:r w:rsidRPr="00C0022F">
        <w:rPr>
          <w:rFonts w:ascii="Cambria" w:hAnsi="Cambria"/>
          <w:szCs w:val="24"/>
        </w:rPr>
        <w:t xml:space="preserve"> в </w:t>
      </w:r>
      <w:r w:rsidR="00EE44B0" w:rsidRPr="00622D1D">
        <w:rPr>
          <w:rFonts w:eastAsia="Calibri" w:cs="Times New Roman"/>
          <w:szCs w:val="24"/>
          <w:highlight w:val="cyan"/>
        </w:rPr>
        <w:t>Приложение</w:t>
      </w:r>
      <w:r w:rsidR="00622D1D" w:rsidRPr="00622D1D">
        <w:rPr>
          <w:rFonts w:eastAsia="Calibri" w:cs="Times New Roman"/>
          <w:szCs w:val="24"/>
          <w:highlight w:val="cyan"/>
        </w:rPr>
        <w:t xml:space="preserve"> 1</w:t>
      </w:r>
      <w:r w:rsidR="00EE44B0" w:rsidRPr="009F6D1E">
        <w:rPr>
          <w:rFonts w:eastAsia="Calibri" w:cs="Times New Roman"/>
          <w:szCs w:val="24"/>
        </w:rPr>
        <w:t xml:space="preserve"> към настоящия ДЕО.</w:t>
      </w:r>
    </w:p>
    <w:p w14:paraId="7F5F04FF"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Накратко може да се обобщи, че на територията на страната има общо 214 предприятия, класифицирани като такива с нисък или с висок рисков потенциал</w:t>
      </w:r>
      <w:r w:rsidRPr="0028791B">
        <w:rPr>
          <w:rFonts w:eastAsia="Calibri" w:cs="Times New Roman"/>
        </w:rPr>
        <w:footnoteReference w:id="67"/>
      </w:r>
      <w:r w:rsidRPr="0028791B">
        <w:rPr>
          <w:rFonts w:eastAsia="Calibri" w:cs="Times New Roman"/>
          <w:szCs w:val="24"/>
        </w:rPr>
        <w:t>. От тях 126 са предприятията с нисък рисков потенциал и 88 класифицирани с висок рисков потенциал.</w:t>
      </w:r>
    </w:p>
    <w:p w14:paraId="7B4F9AA7"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АЕЦ Козлодуй ЕАД е класифициран с висок рисков потенциал (РИОСВ-Враца).</w:t>
      </w:r>
    </w:p>
    <w:p w14:paraId="37ECE7CA"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Най-голям брой предприятия с рисков потенциал има на територията на РИОСВ-София – 26 предприятия с нисък и 16 с висок рисков потенциал, следвани от РИОСВ-Русе – 22 с нисък и 12 с висок рисков потенциал и РИОСВ-Стара Загора - 17 с нисък и 10 с висок рисков потенциал.</w:t>
      </w:r>
    </w:p>
    <w:p w14:paraId="1684F23F"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От големите горивни инсталации (ГГИ) класифицирани с рисков потенциал са с:</w:t>
      </w:r>
    </w:p>
    <w:p w14:paraId="054E27C4"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Нисък рисков потенциал:</w:t>
      </w:r>
    </w:p>
    <w:p w14:paraId="22584B9E"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 xml:space="preserve">ОЦ </w:t>
      </w:r>
      <w:proofErr w:type="spellStart"/>
      <w:r w:rsidRPr="0028791B">
        <w:rPr>
          <w:rFonts w:eastAsia="Times New Roman" w:cs="Times New Roman"/>
          <w:szCs w:val="24"/>
          <w:lang w:eastAsia="bg-BG" w:bidi="bg-BG"/>
        </w:rPr>
        <w:t>Земляне</w:t>
      </w:r>
      <w:proofErr w:type="spellEnd"/>
      <w:r w:rsidRPr="0028791B">
        <w:rPr>
          <w:rFonts w:eastAsia="Times New Roman" w:cs="Times New Roman"/>
          <w:szCs w:val="24"/>
          <w:lang w:eastAsia="bg-BG" w:bidi="bg-BG"/>
        </w:rPr>
        <w:t>,</w:t>
      </w:r>
    </w:p>
    <w:p w14:paraId="3059B5D4"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ОЦ Люлин,</w:t>
      </w:r>
    </w:p>
    <w:p w14:paraId="7CA16027"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ТЕЦ Бобов дол ЕАД,</w:t>
      </w:r>
    </w:p>
    <w:p w14:paraId="55F2A5B6"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ТЕЦ София,</w:t>
      </w:r>
    </w:p>
    <w:p w14:paraId="58CC2689"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lastRenderedPageBreak/>
        <w:t>ТЕЦ София-Изток,</w:t>
      </w:r>
    </w:p>
    <w:p w14:paraId="2AEF336E"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Топлофикация – Бургас ЕАД,</w:t>
      </w:r>
    </w:p>
    <w:p w14:paraId="3594DEC0"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ТЕЦ Девен -Солвей Соди АД,</w:t>
      </w:r>
    </w:p>
    <w:p w14:paraId="2B3232C9"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Топлофикация - Плевен ЕАД,</w:t>
      </w:r>
    </w:p>
    <w:p w14:paraId="3FD303FD"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Топлофикация - Русе ЕАД.</w:t>
      </w:r>
    </w:p>
    <w:p w14:paraId="1D4CD8E1" w14:textId="77777777"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Висок рисков потенциал:</w:t>
      </w:r>
    </w:p>
    <w:p w14:paraId="2828ECA8"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ТЕЦ Контур Глобал Марица Изток 3,</w:t>
      </w:r>
    </w:p>
    <w:p w14:paraId="450BB65B" w14:textId="77777777" w:rsidR="0028791B" w:rsidRPr="0028791B" w:rsidRDefault="0028791B" w:rsidP="0028791B">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8791B">
        <w:rPr>
          <w:rFonts w:eastAsia="Times New Roman" w:cs="Times New Roman"/>
          <w:szCs w:val="24"/>
          <w:lang w:eastAsia="bg-BG" w:bidi="bg-BG"/>
        </w:rPr>
        <w:t>ТЕЦ Марица изток 2 ЕАД.</w:t>
      </w:r>
    </w:p>
    <w:p w14:paraId="6D5FAC47" w14:textId="5ACC29AD" w:rsidR="0028791B" w:rsidRPr="0028791B" w:rsidRDefault="0028791B" w:rsidP="0028791B">
      <w:pPr>
        <w:suppressAutoHyphens/>
        <w:autoSpaceDN w:val="0"/>
        <w:spacing w:after="60" w:line="264" w:lineRule="auto"/>
        <w:ind w:firstLine="708"/>
        <w:jc w:val="both"/>
        <w:rPr>
          <w:rFonts w:eastAsia="Calibri" w:cs="Times New Roman"/>
          <w:szCs w:val="24"/>
        </w:rPr>
      </w:pPr>
      <w:r w:rsidRPr="0028791B">
        <w:rPr>
          <w:rFonts w:eastAsia="Calibri" w:cs="Times New Roman"/>
          <w:szCs w:val="24"/>
        </w:rPr>
        <w:t xml:space="preserve">Статистика на предприятия с нисък и висок рисков потенциал на територията на отделните РИОСВ е представена в </w:t>
      </w:r>
      <w:r w:rsidRPr="0028791B">
        <w:rPr>
          <w:rFonts w:eastAsia="Calibri" w:cs="Times New Roman"/>
          <w:szCs w:val="24"/>
        </w:rPr>
        <w:fldChar w:fldCharType="begin"/>
      </w:r>
      <w:r w:rsidRPr="0028791B">
        <w:rPr>
          <w:rFonts w:eastAsia="Calibri" w:cs="Times New Roman"/>
          <w:szCs w:val="24"/>
        </w:rPr>
        <w:instrText xml:space="preserve"> REF _Ref113913618 \h </w:instrText>
      </w:r>
      <w:r>
        <w:rPr>
          <w:rFonts w:eastAsia="Calibri" w:cs="Times New Roman"/>
          <w:szCs w:val="24"/>
        </w:rPr>
        <w:instrText xml:space="preserve"> \* MERGEFORMAT </w:instrText>
      </w:r>
      <w:r w:rsidRPr="0028791B">
        <w:rPr>
          <w:rFonts w:eastAsia="Calibri" w:cs="Times New Roman"/>
          <w:szCs w:val="24"/>
        </w:rPr>
      </w:r>
      <w:r w:rsidRPr="0028791B">
        <w:rPr>
          <w:rFonts w:eastAsia="Calibri" w:cs="Times New Roman"/>
          <w:szCs w:val="24"/>
        </w:rPr>
        <w:fldChar w:fldCharType="separate"/>
      </w:r>
      <w:r w:rsidR="00A43EF3" w:rsidRPr="00A43EF3">
        <w:rPr>
          <w:rFonts w:eastAsia="Calibri" w:cs="Times New Roman"/>
          <w:szCs w:val="24"/>
        </w:rPr>
        <w:t>Таблица 22</w:t>
      </w:r>
      <w:r w:rsidRPr="0028791B">
        <w:rPr>
          <w:rFonts w:eastAsia="Calibri" w:cs="Times New Roman"/>
          <w:szCs w:val="24"/>
        </w:rPr>
        <w:fldChar w:fldCharType="end"/>
      </w:r>
      <w:r w:rsidRPr="0028791B">
        <w:rPr>
          <w:rFonts w:eastAsia="Calibri" w:cs="Times New Roman"/>
          <w:szCs w:val="24"/>
        </w:rPr>
        <w:t>.</w:t>
      </w:r>
    </w:p>
    <w:p w14:paraId="0A611D3A" w14:textId="51FE94BF" w:rsidR="0028791B" w:rsidRPr="0062462D" w:rsidRDefault="0028791B" w:rsidP="0028791B">
      <w:pPr>
        <w:pStyle w:val="Caption"/>
      </w:pPr>
      <w:bookmarkStart w:id="373" w:name="_Ref113913618"/>
      <w:bookmarkStart w:id="374" w:name="_Toc106541698"/>
      <w:bookmarkStart w:id="375" w:name="_Toc112099116"/>
      <w:bookmarkStart w:id="376" w:name="_Toc115255173"/>
      <w:r w:rsidRPr="009F6D1E">
        <w:t xml:space="preserve">Таблица </w:t>
      </w:r>
      <w:fldSimple w:instr=" SEQ Таблица \* ARABIC ">
        <w:r w:rsidR="00A43EF3">
          <w:rPr>
            <w:noProof/>
          </w:rPr>
          <w:t>22</w:t>
        </w:r>
      </w:fldSimple>
      <w:bookmarkEnd w:id="373"/>
      <w:r w:rsidRPr="009F6D1E">
        <w:t xml:space="preserve">: </w:t>
      </w:r>
      <w:r w:rsidRPr="0062462D">
        <w:t xml:space="preserve">Предприятия с висок и нисък рисков потенциал </w:t>
      </w:r>
      <w:bookmarkEnd w:id="374"/>
      <w:r w:rsidRPr="0062462D">
        <w:t>по РИОСВ</w:t>
      </w:r>
      <w:bookmarkEnd w:id="375"/>
      <w:bookmarkEnd w:id="376"/>
    </w:p>
    <w:tbl>
      <w:tblPr>
        <w:tblStyle w:val="TableGrid11"/>
        <w:tblW w:w="9637" w:type="dxa"/>
        <w:jc w:val="center"/>
        <w:tblLook w:val="04A0" w:firstRow="1" w:lastRow="0" w:firstColumn="1" w:lastColumn="0" w:noHBand="0" w:noVBand="1"/>
      </w:tblPr>
      <w:tblGrid>
        <w:gridCol w:w="983"/>
        <w:gridCol w:w="4118"/>
        <w:gridCol w:w="2268"/>
        <w:gridCol w:w="2268"/>
      </w:tblGrid>
      <w:tr w:rsidR="0028791B" w:rsidRPr="0028791B" w14:paraId="6191DB47" w14:textId="77777777" w:rsidTr="0028791B">
        <w:trPr>
          <w:trHeight w:val="766"/>
          <w:jc w:val="center"/>
        </w:trPr>
        <w:tc>
          <w:tcPr>
            <w:tcW w:w="983" w:type="dxa"/>
            <w:vMerge w:val="restart"/>
            <w:shd w:val="clear" w:color="auto" w:fill="BFBFBF" w:themeFill="background1" w:themeFillShade="BF"/>
            <w:vAlign w:val="center"/>
            <w:hideMark/>
          </w:tcPr>
          <w:p w14:paraId="4AAAF03E" w14:textId="77777777" w:rsidR="0028791B" w:rsidRPr="0028791B" w:rsidRDefault="0028791B" w:rsidP="0028791B">
            <w:pPr>
              <w:jc w:val="center"/>
              <w:rPr>
                <w:rFonts w:cs="Times New Roman"/>
                <w:b/>
                <w:bCs/>
                <w:lang w:val="bg-BG"/>
              </w:rPr>
            </w:pPr>
            <w:r w:rsidRPr="0028791B">
              <w:rPr>
                <w:rFonts w:cs="Times New Roman"/>
                <w:b/>
                <w:bCs/>
                <w:color w:val="000000"/>
                <w:lang w:val="bg-BG"/>
              </w:rPr>
              <w:t>№</w:t>
            </w:r>
          </w:p>
        </w:tc>
        <w:tc>
          <w:tcPr>
            <w:tcW w:w="4118" w:type="dxa"/>
            <w:vMerge w:val="restart"/>
            <w:shd w:val="clear" w:color="auto" w:fill="BFBFBF" w:themeFill="background1" w:themeFillShade="BF"/>
            <w:noWrap/>
            <w:vAlign w:val="center"/>
            <w:hideMark/>
          </w:tcPr>
          <w:p w14:paraId="1ACF60E1" w14:textId="270E7159" w:rsidR="0028791B" w:rsidRPr="0028791B" w:rsidRDefault="0028791B" w:rsidP="0028791B">
            <w:pPr>
              <w:jc w:val="center"/>
              <w:rPr>
                <w:rFonts w:cs="Times New Roman"/>
                <w:b/>
                <w:bCs/>
                <w:color w:val="000000"/>
                <w:lang w:val="bg-BG"/>
              </w:rPr>
            </w:pPr>
            <w:r w:rsidRPr="0028791B">
              <w:rPr>
                <w:rFonts w:cs="Times New Roman"/>
                <w:b/>
                <w:bCs/>
                <w:color w:val="000000"/>
                <w:lang w:val="bg-BG"/>
              </w:rPr>
              <w:t>Регионални инспекции по</w:t>
            </w:r>
          </w:p>
          <w:p w14:paraId="20C44FDD" w14:textId="77777777" w:rsidR="0028791B" w:rsidRPr="0028791B" w:rsidRDefault="0028791B" w:rsidP="0028791B">
            <w:pPr>
              <w:jc w:val="center"/>
              <w:rPr>
                <w:rFonts w:cs="Times New Roman"/>
                <w:b/>
                <w:bCs/>
                <w:lang w:val="bg-BG"/>
              </w:rPr>
            </w:pPr>
            <w:r w:rsidRPr="0028791B">
              <w:rPr>
                <w:rFonts w:cs="Times New Roman"/>
                <w:b/>
                <w:bCs/>
                <w:color w:val="000000"/>
                <w:lang w:val="bg-BG"/>
              </w:rPr>
              <w:t>околната среда и водите</w:t>
            </w:r>
          </w:p>
        </w:tc>
        <w:tc>
          <w:tcPr>
            <w:tcW w:w="4536" w:type="dxa"/>
            <w:gridSpan w:val="2"/>
            <w:shd w:val="clear" w:color="auto" w:fill="BFBFBF" w:themeFill="background1" w:themeFillShade="BF"/>
            <w:vAlign w:val="center"/>
            <w:hideMark/>
          </w:tcPr>
          <w:p w14:paraId="263886A3" w14:textId="77777777" w:rsidR="0028791B" w:rsidRPr="0028791B" w:rsidRDefault="0028791B" w:rsidP="0028791B">
            <w:pPr>
              <w:jc w:val="center"/>
              <w:rPr>
                <w:rFonts w:cs="Times New Roman"/>
                <w:b/>
                <w:bCs/>
                <w:lang w:val="bg-BG"/>
              </w:rPr>
            </w:pPr>
            <w:r w:rsidRPr="0028791B">
              <w:rPr>
                <w:rFonts w:cs="Times New Roman"/>
                <w:b/>
                <w:bCs/>
                <w:color w:val="000000"/>
                <w:lang w:val="bg-BG"/>
              </w:rPr>
              <w:t>Предприятия, попадащи в обхвата на Глава VII, раздел I от ЗООС</w:t>
            </w:r>
          </w:p>
        </w:tc>
      </w:tr>
      <w:tr w:rsidR="0028791B" w:rsidRPr="0028791B" w14:paraId="358C333A" w14:textId="77777777" w:rsidTr="0028791B">
        <w:trPr>
          <w:trHeight w:val="283"/>
          <w:jc w:val="center"/>
        </w:trPr>
        <w:tc>
          <w:tcPr>
            <w:tcW w:w="0" w:type="auto"/>
            <w:vMerge/>
            <w:shd w:val="clear" w:color="auto" w:fill="BFBFBF" w:themeFill="background1" w:themeFillShade="BF"/>
            <w:vAlign w:val="center"/>
            <w:hideMark/>
          </w:tcPr>
          <w:p w14:paraId="3396183F" w14:textId="77777777" w:rsidR="0028791B" w:rsidRPr="0028791B" w:rsidRDefault="0028791B" w:rsidP="0028791B">
            <w:pPr>
              <w:jc w:val="center"/>
              <w:rPr>
                <w:rFonts w:eastAsiaTheme="minorHAnsi" w:cs="Times New Roman"/>
                <w:b/>
                <w:bCs/>
                <w:lang w:val="bg-BG"/>
              </w:rPr>
            </w:pPr>
          </w:p>
        </w:tc>
        <w:tc>
          <w:tcPr>
            <w:tcW w:w="4118" w:type="dxa"/>
            <w:vMerge/>
            <w:shd w:val="clear" w:color="auto" w:fill="BFBFBF" w:themeFill="background1" w:themeFillShade="BF"/>
            <w:vAlign w:val="center"/>
            <w:hideMark/>
          </w:tcPr>
          <w:p w14:paraId="202D007B" w14:textId="77777777" w:rsidR="0028791B" w:rsidRPr="0028791B" w:rsidRDefault="0028791B" w:rsidP="0028791B">
            <w:pPr>
              <w:jc w:val="center"/>
              <w:rPr>
                <w:rFonts w:eastAsiaTheme="minorHAnsi" w:cs="Times New Roman"/>
                <w:b/>
                <w:bCs/>
                <w:lang w:val="bg-BG"/>
              </w:rPr>
            </w:pPr>
          </w:p>
        </w:tc>
        <w:tc>
          <w:tcPr>
            <w:tcW w:w="2268" w:type="dxa"/>
            <w:shd w:val="clear" w:color="auto" w:fill="BFBFBF" w:themeFill="background1" w:themeFillShade="BF"/>
            <w:vAlign w:val="center"/>
            <w:hideMark/>
          </w:tcPr>
          <w:p w14:paraId="79782F1E" w14:textId="77777777" w:rsidR="0028791B" w:rsidRPr="0028791B" w:rsidRDefault="0028791B" w:rsidP="0028791B">
            <w:pPr>
              <w:spacing w:line="180" w:lineRule="atLeast"/>
              <w:jc w:val="center"/>
              <w:rPr>
                <w:rFonts w:cs="Times New Roman"/>
                <w:i/>
                <w:iCs/>
                <w:lang w:val="bg-BG"/>
              </w:rPr>
            </w:pPr>
            <w:r w:rsidRPr="0028791B">
              <w:rPr>
                <w:rFonts w:cs="Times New Roman"/>
                <w:i/>
                <w:iCs/>
                <w:color w:val="000000"/>
                <w:lang w:val="bg-BG"/>
              </w:rPr>
              <w:t>нисък рисков потенциал</w:t>
            </w:r>
          </w:p>
        </w:tc>
        <w:tc>
          <w:tcPr>
            <w:tcW w:w="2268" w:type="dxa"/>
            <w:shd w:val="clear" w:color="auto" w:fill="BFBFBF" w:themeFill="background1" w:themeFillShade="BF"/>
            <w:vAlign w:val="center"/>
            <w:hideMark/>
          </w:tcPr>
          <w:p w14:paraId="12B49A32" w14:textId="77777777" w:rsidR="0028791B" w:rsidRPr="0028791B" w:rsidRDefault="0028791B" w:rsidP="0028791B">
            <w:pPr>
              <w:spacing w:line="180" w:lineRule="atLeast"/>
              <w:jc w:val="center"/>
              <w:rPr>
                <w:rFonts w:cs="Times New Roman"/>
                <w:i/>
                <w:iCs/>
                <w:lang w:val="bg-BG"/>
              </w:rPr>
            </w:pPr>
            <w:r w:rsidRPr="0028791B">
              <w:rPr>
                <w:rFonts w:cs="Times New Roman"/>
                <w:i/>
                <w:iCs/>
                <w:color w:val="000000"/>
                <w:lang w:val="bg-BG"/>
              </w:rPr>
              <w:t>висок рисков потенциал</w:t>
            </w:r>
          </w:p>
        </w:tc>
      </w:tr>
      <w:tr w:rsidR="0028791B" w:rsidRPr="0028791B" w14:paraId="0AD3C060" w14:textId="77777777" w:rsidTr="0028791B">
        <w:trPr>
          <w:trHeight w:val="283"/>
          <w:jc w:val="center"/>
        </w:trPr>
        <w:tc>
          <w:tcPr>
            <w:tcW w:w="983" w:type="dxa"/>
            <w:hideMark/>
          </w:tcPr>
          <w:p w14:paraId="5E960159" w14:textId="77777777" w:rsidR="0028791B" w:rsidRPr="0028791B" w:rsidRDefault="0028791B" w:rsidP="00655124">
            <w:pPr>
              <w:jc w:val="center"/>
              <w:rPr>
                <w:rFonts w:cs="Times New Roman"/>
                <w:lang w:val="bg-BG"/>
              </w:rPr>
            </w:pPr>
            <w:r w:rsidRPr="0028791B">
              <w:rPr>
                <w:rFonts w:cs="Times New Roman"/>
                <w:color w:val="000000"/>
                <w:lang w:val="bg-BG"/>
              </w:rPr>
              <w:t>1</w:t>
            </w:r>
          </w:p>
        </w:tc>
        <w:tc>
          <w:tcPr>
            <w:tcW w:w="4118" w:type="dxa"/>
            <w:noWrap/>
            <w:hideMark/>
          </w:tcPr>
          <w:p w14:paraId="3BBEA5E6" w14:textId="77777777" w:rsidR="0028791B" w:rsidRPr="0028791B" w:rsidRDefault="0028791B" w:rsidP="00655124">
            <w:pPr>
              <w:rPr>
                <w:rFonts w:cs="Times New Roman"/>
                <w:lang w:val="bg-BG"/>
              </w:rPr>
            </w:pPr>
            <w:r w:rsidRPr="0028791B">
              <w:rPr>
                <w:rFonts w:cs="Times New Roman"/>
                <w:color w:val="000000"/>
                <w:lang w:val="bg-BG"/>
              </w:rPr>
              <w:t>РИОСВ-София</w:t>
            </w:r>
          </w:p>
        </w:tc>
        <w:tc>
          <w:tcPr>
            <w:tcW w:w="2268" w:type="dxa"/>
            <w:hideMark/>
          </w:tcPr>
          <w:p w14:paraId="1BEF37FB"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23</w:t>
            </w:r>
          </w:p>
        </w:tc>
        <w:tc>
          <w:tcPr>
            <w:tcW w:w="2268" w:type="dxa"/>
            <w:hideMark/>
          </w:tcPr>
          <w:p w14:paraId="43436057"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16</w:t>
            </w:r>
          </w:p>
        </w:tc>
      </w:tr>
      <w:tr w:rsidR="0028791B" w:rsidRPr="0028791B" w14:paraId="180AE662" w14:textId="77777777" w:rsidTr="0028791B">
        <w:trPr>
          <w:trHeight w:val="283"/>
          <w:jc w:val="center"/>
        </w:trPr>
        <w:tc>
          <w:tcPr>
            <w:tcW w:w="983" w:type="dxa"/>
            <w:hideMark/>
          </w:tcPr>
          <w:p w14:paraId="7887E363" w14:textId="77777777" w:rsidR="0028791B" w:rsidRPr="0028791B" w:rsidRDefault="0028791B" w:rsidP="00655124">
            <w:pPr>
              <w:jc w:val="center"/>
              <w:rPr>
                <w:rFonts w:cs="Times New Roman"/>
                <w:lang w:val="bg-BG"/>
              </w:rPr>
            </w:pPr>
            <w:r w:rsidRPr="0028791B">
              <w:rPr>
                <w:rFonts w:cs="Times New Roman"/>
                <w:color w:val="000000"/>
                <w:lang w:val="bg-BG"/>
              </w:rPr>
              <w:t>2</w:t>
            </w:r>
          </w:p>
        </w:tc>
        <w:tc>
          <w:tcPr>
            <w:tcW w:w="4118" w:type="dxa"/>
            <w:noWrap/>
            <w:hideMark/>
          </w:tcPr>
          <w:p w14:paraId="102B35DE" w14:textId="77777777" w:rsidR="0028791B" w:rsidRPr="0028791B" w:rsidRDefault="0028791B" w:rsidP="00655124">
            <w:pPr>
              <w:rPr>
                <w:rFonts w:cs="Times New Roman"/>
                <w:lang w:val="bg-BG"/>
              </w:rPr>
            </w:pPr>
            <w:r w:rsidRPr="0028791B">
              <w:rPr>
                <w:rFonts w:cs="Times New Roman"/>
                <w:color w:val="000000"/>
                <w:lang w:val="bg-BG"/>
              </w:rPr>
              <w:t>РИОСВ-Благоевград</w:t>
            </w:r>
          </w:p>
        </w:tc>
        <w:tc>
          <w:tcPr>
            <w:tcW w:w="2268" w:type="dxa"/>
            <w:hideMark/>
          </w:tcPr>
          <w:p w14:paraId="64BE4483"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1</w:t>
            </w:r>
          </w:p>
        </w:tc>
        <w:tc>
          <w:tcPr>
            <w:tcW w:w="2268" w:type="dxa"/>
            <w:hideMark/>
          </w:tcPr>
          <w:p w14:paraId="72573EA3"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w:t>
            </w:r>
          </w:p>
        </w:tc>
      </w:tr>
      <w:tr w:rsidR="0028791B" w:rsidRPr="0028791B" w14:paraId="191B40B7" w14:textId="77777777" w:rsidTr="0028791B">
        <w:trPr>
          <w:trHeight w:val="283"/>
          <w:jc w:val="center"/>
        </w:trPr>
        <w:tc>
          <w:tcPr>
            <w:tcW w:w="983" w:type="dxa"/>
            <w:hideMark/>
          </w:tcPr>
          <w:p w14:paraId="7534F81E" w14:textId="77777777" w:rsidR="0028791B" w:rsidRPr="0028791B" w:rsidRDefault="0028791B" w:rsidP="00655124">
            <w:pPr>
              <w:jc w:val="center"/>
              <w:rPr>
                <w:rFonts w:cs="Times New Roman"/>
                <w:lang w:val="bg-BG"/>
              </w:rPr>
            </w:pPr>
            <w:r w:rsidRPr="0028791B">
              <w:rPr>
                <w:rFonts w:cs="Times New Roman"/>
                <w:color w:val="000000"/>
                <w:lang w:val="bg-BG"/>
              </w:rPr>
              <w:t>3</w:t>
            </w:r>
          </w:p>
        </w:tc>
        <w:tc>
          <w:tcPr>
            <w:tcW w:w="4118" w:type="dxa"/>
            <w:noWrap/>
            <w:hideMark/>
          </w:tcPr>
          <w:p w14:paraId="0C1F91C9" w14:textId="77777777" w:rsidR="0028791B" w:rsidRPr="0028791B" w:rsidRDefault="0028791B" w:rsidP="00655124">
            <w:pPr>
              <w:rPr>
                <w:rFonts w:cs="Times New Roman"/>
                <w:lang w:val="bg-BG"/>
              </w:rPr>
            </w:pPr>
            <w:r w:rsidRPr="0028791B">
              <w:rPr>
                <w:rFonts w:cs="Times New Roman"/>
                <w:color w:val="000000"/>
                <w:lang w:val="bg-BG"/>
              </w:rPr>
              <w:t>РИОСВ-Бургас</w:t>
            </w:r>
          </w:p>
        </w:tc>
        <w:tc>
          <w:tcPr>
            <w:tcW w:w="2268" w:type="dxa"/>
            <w:hideMark/>
          </w:tcPr>
          <w:p w14:paraId="32287B4D"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6</w:t>
            </w:r>
          </w:p>
        </w:tc>
        <w:tc>
          <w:tcPr>
            <w:tcW w:w="2268" w:type="dxa"/>
            <w:hideMark/>
          </w:tcPr>
          <w:p w14:paraId="560F040D"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7</w:t>
            </w:r>
          </w:p>
        </w:tc>
      </w:tr>
      <w:tr w:rsidR="0028791B" w:rsidRPr="0028791B" w14:paraId="21AD1723" w14:textId="77777777" w:rsidTr="0028791B">
        <w:trPr>
          <w:trHeight w:val="283"/>
          <w:jc w:val="center"/>
        </w:trPr>
        <w:tc>
          <w:tcPr>
            <w:tcW w:w="983" w:type="dxa"/>
            <w:hideMark/>
          </w:tcPr>
          <w:p w14:paraId="458E65BA" w14:textId="77777777" w:rsidR="0028791B" w:rsidRPr="0028791B" w:rsidRDefault="0028791B" w:rsidP="00655124">
            <w:pPr>
              <w:jc w:val="center"/>
              <w:rPr>
                <w:rFonts w:cs="Times New Roman"/>
                <w:lang w:val="bg-BG"/>
              </w:rPr>
            </w:pPr>
            <w:r w:rsidRPr="0028791B">
              <w:rPr>
                <w:rFonts w:cs="Times New Roman"/>
                <w:color w:val="000000"/>
                <w:lang w:val="bg-BG"/>
              </w:rPr>
              <w:t>4</w:t>
            </w:r>
          </w:p>
        </w:tc>
        <w:tc>
          <w:tcPr>
            <w:tcW w:w="4118" w:type="dxa"/>
            <w:noWrap/>
            <w:hideMark/>
          </w:tcPr>
          <w:p w14:paraId="02E161B9" w14:textId="77777777" w:rsidR="0028791B" w:rsidRPr="0028791B" w:rsidRDefault="0028791B" w:rsidP="00655124">
            <w:pPr>
              <w:rPr>
                <w:rFonts w:cs="Times New Roman"/>
                <w:lang w:val="bg-BG"/>
              </w:rPr>
            </w:pPr>
            <w:r w:rsidRPr="0028791B">
              <w:rPr>
                <w:rFonts w:cs="Times New Roman"/>
                <w:color w:val="000000"/>
                <w:lang w:val="bg-BG"/>
              </w:rPr>
              <w:t>РИОСВ–Варна</w:t>
            </w:r>
          </w:p>
        </w:tc>
        <w:tc>
          <w:tcPr>
            <w:tcW w:w="2268" w:type="dxa"/>
            <w:hideMark/>
          </w:tcPr>
          <w:p w14:paraId="1B6E9ED2"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10</w:t>
            </w:r>
          </w:p>
        </w:tc>
        <w:tc>
          <w:tcPr>
            <w:tcW w:w="2268" w:type="dxa"/>
            <w:hideMark/>
          </w:tcPr>
          <w:p w14:paraId="7DCFA2FF"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8</w:t>
            </w:r>
          </w:p>
        </w:tc>
      </w:tr>
      <w:tr w:rsidR="0028791B" w:rsidRPr="0028791B" w14:paraId="74461B6D" w14:textId="77777777" w:rsidTr="0028791B">
        <w:trPr>
          <w:trHeight w:val="283"/>
          <w:jc w:val="center"/>
        </w:trPr>
        <w:tc>
          <w:tcPr>
            <w:tcW w:w="983" w:type="dxa"/>
            <w:hideMark/>
          </w:tcPr>
          <w:p w14:paraId="085D4EFE" w14:textId="77777777" w:rsidR="0028791B" w:rsidRPr="0028791B" w:rsidRDefault="0028791B" w:rsidP="00655124">
            <w:pPr>
              <w:jc w:val="center"/>
              <w:rPr>
                <w:rFonts w:cs="Times New Roman"/>
                <w:lang w:val="bg-BG"/>
              </w:rPr>
            </w:pPr>
            <w:r w:rsidRPr="0028791B">
              <w:rPr>
                <w:rFonts w:cs="Times New Roman"/>
                <w:color w:val="000000"/>
                <w:lang w:val="bg-BG"/>
              </w:rPr>
              <w:t>5</w:t>
            </w:r>
          </w:p>
        </w:tc>
        <w:tc>
          <w:tcPr>
            <w:tcW w:w="4118" w:type="dxa"/>
            <w:noWrap/>
            <w:hideMark/>
          </w:tcPr>
          <w:p w14:paraId="7EAC1F5E" w14:textId="77777777" w:rsidR="0028791B" w:rsidRPr="0028791B" w:rsidRDefault="0028791B" w:rsidP="00655124">
            <w:pPr>
              <w:rPr>
                <w:rFonts w:cs="Times New Roman"/>
                <w:lang w:val="bg-BG"/>
              </w:rPr>
            </w:pPr>
            <w:r w:rsidRPr="0028791B">
              <w:rPr>
                <w:rFonts w:cs="Times New Roman"/>
                <w:color w:val="000000"/>
                <w:lang w:val="bg-BG"/>
              </w:rPr>
              <w:t>РИОСВ-В. Търново</w:t>
            </w:r>
          </w:p>
        </w:tc>
        <w:tc>
          <w:tcPr>
            <w:tcW w:w="2268" w:type="dxa"/>
            <w:hideMark/>
          </w:tcPr>
          <w:p w14:paraId="2C3C42B9"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6</w:t>
            </w:r>
          </w:p>
        </w:tc>
        <w:tc>
          <w:tcPr>
            <w:tcW w:w="2268" w:type="dxa"/>
            <w:hideMark/>
          </w:tcPr>
          <w:p w14:paraId="1ED88A80"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6</w:t>
            </w:r>
          </w:p>
        </w:tc>
      </w:tr>
      <w:tr w:rsidR="0028791B" w:rsidRPr="0028791B" w14:paraId="235F191D" w14:textId="77777777" w:rsidTr="0028791B">
        <w:trPr>
          <w:trHeight w:val="283"/>
          <w:jc w:val="center"/>
        </w:trPr>
        <w:tc>
          <w:tcPr>
            <w:tcW w:w="983" w:type="dxa"/>
            <w:hideMark/>
          </w:tcPr>
          <w:p w14:paraId="40971703" w14:textId="77777777" w:rsidR="0028791B" w:rsidRPr="0028791B" w:rsidRDefault="0028791B" w:rsidP="00655124">
            <w:pPr>
              <w:jc w:val="center"/>
              <w:rPr>
                <w:rFonts w:cs="Times New Roman"/>
                <w:lang w:val="bg-BG"/>
              </w:rPr>
            </w:pPr>
            <w:r w:rsidRPr="0028791B">
              <w:rPr>
                <w:rFonts w:cs="Times New Roman"/>
                <w:color w:val="000000"/>
                <w:lang w:val="bg-BG"/>
              </w:rPr>
              <w:t>6</w:t>
            </w:r>
          </w:p>
        </w:tc>
        <w:tc>
          <w:tcPr>
            <w:tcW w:w="4118" w:type="dxa"/>
            <w:noWrap/>
            <w:hideMark/>
          </w:tcPr>
          <w:p w14:paraId="7F5AB603" w14:textId="77777777" w:rsidR="0028791B" w:rsidRPr="0028791B" w:rsidRDefault="0028791B" w:rsidP="00655124">
            <w:pPr>
              <w:rPr>
                <w:rFonts w:cs="Times New Roman"/>
                <w:lang w:val="bg-BG"/>
              </w:rPr>
            </w:pPr>
            <w:r w:rsidRPr="0028791B">
              <w:rPr>
                <w:rFonts w:cs="Times New Roman"/>
                <w:color w:val="000000"/>
                <w:lang w:val="bg-BG"/>
              </w:rPr>
              <w:t>РИОСВ–Враца</w:t>
            </w:r>
          </w:p>
        </w:tc>
        <w:tc>
          <w:tcPr>
            <w:tcW w:w="2268" w:type="dxa"/>
            <w:hideMark/>
          </w:tcPr>
          <w:p w14:paraId="56058ED2"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1</w:t>
            </w:r>
          </w:p>
        </w:tc>
        <w:tc>
          <w:tcPr>
            <w:tcW w:w="2268" w:type="dxa"/>
            <w:hideMark/>
          </w:tcPr>
          <w:p w14:paraId="2E44E056"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4</w:t>
            </w:r>
          </w:p>
        </w:tc>
      </w:tr>
      <w:tr w:rsidR="0028791B" w:rsidRPr="0028791B" w14:paraId="11DF7368" w14:textId="77777777" w:rsidTr="0028791B">
        <w:trPr>
          <w:trHeight w:val="283"/>
          <w:jc w:val="center"/>
        </w:trPr>
        <w:tc>
          <w:tcPr>
            <w:tcW w:w="983" w:type="dxa"/>
            <w:hideMark/>
          </w:tcPr>
          <w:p w14:paraId="12532728" w14:textId="77777777" w:rsidR="0028791B" w:rsidRPr="0028791B" w:rsidRDefault="0028791B" w:rsidP="00655124">
            <w:pPr>
              <w:jc w:val="center"/>
              <w:rPr>
                <w:rFonts w:cs="Times New Roman"/>
                <w:lang w:val="bg-BG"/>
              </w:rPr>
            </w:pPr>
            <w:r w:rsidRPr="0028791B">
              <w:rPr>
                <w:rFonts w:cs="Times New Roman"/>
                <w:color w:val="000000"/>
                <w:lang w:val="bg-BG"/>
              </w:rPr>
              <w:t>7</w:t>
            </w:r>
          </w:p>
        </w:tc>
        <w:tc>
          <w:tcPr>
            <w:tcW w:w="4118" w:type="dxa"/>
            <w:noWrap/>
            <w:hideMark/>
          </w:tcPr>
          <w:p w14:paraId="1B11F729" w14:textId="77777777" w:rsidR="0028791B" w:rsidRPr="0028791B" w:rsidRDefault="0028791B" w:rsidP="00655124">
            <w:pPr>
              <w:rPr>
                <w:rFonts w:cs="Times New Roman"/>
                <w:lang w:val="bg-BG"/>
              </w:rPr>
            </w:pPr>
            <w:r w:rsidRPr="0028791B">
              <w:rPr>
                <w:rFonts w:cs="Times New Roman"/>
                <w:color w:val="000000"/>
                <w:lang w:val="bg-BG"/>
              </w:rPr>
              <w:t>РИОСВ–Монтана</w:t>
            </w:r>
          </w:p>
        </w:tc>
        <w:tc>
          <w:tcPr>
            <w:tcW w:w="2268" w:type="dxa"/>
            <w:hideMark/>
          </w:tcPr>
          <w:p w14:paraId="1B439A44"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3</w:t>
            </w:r>
          </w:p>
        </w:tc>
        <w:tc>
          <w:tcPr>
            <w:tcW w:w="2268" w:type="dxa"/>
            <w:hideMark/>
          </w:tcPr>
          <w:p w14:paraId="0B81E94A"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4</w:t>
            </w:r>
          </w:p>
        </w:tc>
      </w:tr>
      <w:tr w:rsidR="0028791B" w:rsidRPr="0028791B" w14:paraId="511D79DD" w14:textId="77777777" w:rsidTr="0028791B">
        <w:trPr>
          <w:trHeight w:val="283"/>
          <w:jc w:val="center"/>
        </w:trPr>
        <w:tc>
          <w:tcPr>
            <w:tcW w:w="983" w:type="dxa"/>
            <w:hideMark/>
          </w:tcPr>
          <w:p w14:paraId="445B271C" w14:textId="77777777" w:rsidR="0028791B" w:rsidRPr="0028791B" w:rsidRDefault="0028791B" w:rsidP="00655124">
            <w:pPr>
              <w:jc w:val="center"/>
              <w:rPr>
                <w:rFonts w:cs="Times New Roman"/>
                <w:lang w:val="bg-BG"/>
              </w:rPr>
            </w:pPr>
            <w:r w:rsidRPr="0028791B">
              <w:rPr>
                <w:rFonts w:cs="Times New Roman"/>
                <w:color w:val="000000"/>
                <w:lang w:val="bg-BG"/>
              </w:rPr>
              <w:t>8</w:t>
            </w:r>
          </w:p>
        </w:tc>
        <w:tc>
          <w:tcPr>
            <w:tcW w:w="4118" w:type="dxa"/>
            <w:noWrap/>
            <w:hideMark/>
          </w:tcPr>
          <w:p w14:paraId="77F83E33" w14:textId="77777777" w:rsidR="0028791B" w:rsidRPr="0028791B" w:rsidRDefault="0028791B" w:rsidP="00655124">
            <w:pPr>
              <w:rPr>
                <w:rFonts w:cs="Times New Roman"/>
                <w:lang w:val="bg-BG"/>
              </w:rPr>
            </w:pPr>
            <w:r w:rsidRPr="0028791B">
              <w:rPr>
                <w:rFonts w:cs="Times New Roman"/>
                <w:color w:val="000000"/>
                <w:lang w:val="bg-BG"/>
              </w:rPr>
              <w:t>РИОСВ-Пазарджик</w:t>
            </w:r>
          </w:p>
        </w:tc>
        <w:tc>
          <w:tcPr>
            <w:tcW w:w="2268" w:type="dxa"/>
            <w:hideMark/>
          </w:tcPr>
          <w:p w14:paraId="0977335A"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10</w:t>
            </w:r>
          </w:p>
        </w:tc>
        <w:tc>
          <w:tcPr>
            <w:tcW w:w="2268" w:type="dxa"/>
            <w:hideMark/>
          </w:tcPr>
          <w:p w14:paraId="3CF9AAE2"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2</w:t>
            </w:r>
          </w:p>
        </w:tc>
      </w:tr>
      <w:tr w:rsidR="0028791B" w:rsidRPr="0028791B" w14:paraId="659A9236" w14:textId="77777777" w:rsidTr="0028791B">
        <w:trPr>
          <w:trHeight w:val="283"/>
          <w:jc w:val="center"/>
        </w:trPr>
        <w:tc>
          <w:tcPr>
            <w:tcW w:w="983" w:type="dxa"/>
            <w:hideMark/>
          </w:tcPr>
          <w:p w14:paraId="72D90459" w14:textId="77777777" w:rsidR="0028791B" w:rsidRPr="0028791B" w:rsidRDefault="0028791B" w:rsidP="00655124">
            <w:pPr>
              <w:jc w:val="center"/>
              <w:rPr>
                <w:rFonts w:cs="Times New Roman"/>
                <w:lang w:val="bg-BG"/>
              </w:rPr>
            </w:pPr>
            <w:r w:rsidRPr="0028791B">
              <w:rPr>
                <w:rFonts w:cs="Times New Roman"/>
                <w:color w:val="000000"/>
                <w:lang w:val="bg-BG"/>
              </w:rPr>
              <w:t>9</w:t>
            </w:r>
          </w:p>
        </w:tc>
        <w:tc>
          <w:tcPr>
            <w:tcW w:w="4118" w:type="dxa"/>
            <w:noWrap/>
            <w:hideMark/>
          </w:tcPr>
          <w:p w14:paraId="0A88CE36" w14:textId="77777777" w:rsidR="0028791B" w:rsidRPr="0028791B" w:rsidRDefault="0028791B" w:rsidP="00655124">
            <w:pPr>
              <w:rPr>
                <w:rFonts w:cs="Times New Roman"/>
                <w:lang w:val="bg-BG"/>
              </w:rPr>
            </w:pPr>
            <w:r w:rsidRPr="0028791B">
              <w:rPr>
                <w:rFonts w:cs="Times New Roman"/>
                <w:color w:val="000000"/>
                <w:lang w:val="bg-BG"/>
              </w:rPr>
              <w:t>РИОСВ-Плевен</w:t>
            </w:r>
          </w:p>
        </w:tc>
        <w:tc>
          <w:tcPr>
            <w:tcW w:w="2268" w:type="dxa"/>
            <w:hideMark/>
          </w:tcPr>
          <w:p w14:paraId="3D5B951B"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8</w:t>
            </w:r>
          </w:p>
        </w:tc>
        <w:tc>
          <w:tcPr>
            <w:tcW w:w="2268" w:type="dxa"/>
            <w:hideMark/>
          </w:tcPr>
          <w:p w14:paraId="7D73FC14"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w:t>
            </w:r>
          </w:p>
        </w:tc>
      </w:tr>
      <w:tr w:rsidR="0028791B" w:rsidRPr="0028791B" w14:paraId="29FF900C" w14:textId="77777777" w:rsidTr="0028791B">
        <w:trPr>
          <w:trHeight w:val="283"/>
          <w:jc w:val="center"/>
        </w:trPr>
        <w:tc>
          <w:tcPr>
            <w:tcW w:w="983" w:type="dxa"/>
            <w:hideMark/>
          </w:tcPr>
          <w:p w14:paraId="75E800B3" w14:textId="77777777" w:rsidR="0028791B" w:rsidRPr="0028791B" w:rsidRDefault="0028791B" w:rsidP="00655124">
            <w:pPr>
              <w:jc w:val="center"/>
              <w:rPr>
                <w:rFonts w:cs="Times New Roman"/>
                <w:lang w:val="bg-BG"/>
              </w:rPr>
            </w:pPr>
            <w:r w:rsidRPr="0028791B">
              <w:rPr>
                <w:rFonts w:cs="Times New Roman"/>
                <w:color w:val="000000"/>
                <w:lang w:val="bg-BG"/>
              </w:rPr>
              <w:t>10</w:t>
            </w:r>
          </w:p>
        </w:tc>
        <w:tc>
          <w:tcPr>
            <w:tcW w:w="4118" w:type="dxa"/>
            <w:noWrap/>
            <w:hideMark/>
          </w:tcPr>
          <w:p w14:paraId="606FC01F" w14:textId="77777777" w:rsidR="0028791B" w:rsidRPr="0028791B" w:rsidRDefault="0028791B" w:rsidP="00655124">
            <w:pPr>
              <w:rPr>
                <w:rFonts w:cs="Times New Roman"/>
                <w:lang w:val="bg-BG"/>
              </w:rPr>
            </w:pPr>
            <w:r w:rsidRPr="0028791B">
              <w:rPr>
                <w:rFonts w:cs="Times New Roman"/>
                <w:color w:val="000000"/>
                <w:lang w:val="bg-BG"/>
              </w:rPr>
              <w:t>РИОСВ-Пловдив</w:t>
            </w:r>
          </w:p>
        </w:tc>
        <w:tc>
          <w:tcPr>
            <w:tcW w:w="2268" w:type="dxa"/>
            <w:hideMark/>
          </w:tcPr>
          <w:p w14:paraId="3A2A5116"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7</w:t>
            </w:r>
          </w:p>
        </w:tc>
        <w:tc>
          <w:tcPr>
            <w:tcW w:w="2268" w:type="dxa"/>
            <w:hideMark/>
          </w:tcPr>
          <w:p w14:paraId="04757B15"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12</w:t>
            </w:r>
          </w:p>
        </w:tc>
      </w:tr>
      <w:tr w:rsidR="0028791B" w:rsidRPr="0028791B" w14:paraId="3E927E15" w14:textId="77777777" w:rsidTr="0028791B">
        <w:trPr>
          <w:trHeight w:val="283"/>
          <w:jc w:val="center"/>
        </w:trPr>
        <w:tc>
          <w:tcPr>
            <w:tcW w:w="983" w:type="dxa"/>
            <w:hideMark/>
          </w:tcPr>
          <w:p w14:paraId="4C45F7C5" w14:textId="77777777" w:rsidR="0028791B" w:rsidRPr="0028791B" w:rsidRDefault="0028791B" w:rsidP="00655124">
            <w:pPr>
              <w:jc w:val="center"/>
              <w:rPr>
                <w:rFonts w:cs="Times New Roman"/>
                <w:lang w:val="bg-BG"/>
              </w:rPr>
            </w:pPr>
            <w:r w:rsidRPr="0028791B">
              <w:rPr>
                <w:rFonts w:cs="Times New Roman"/>
                <w:color w:val="000000"/>
                <w:lang w:val="bg-BG"/>
              </w:rPr>
              <w:t>11</w:t>
            </w:r>
          </w:p>
        </w:tc>
        <w:tc>
          <w:tcPr>
            <w:tcW w:w="4118" w:type="dxa"/>
            <w:noWrap/>
            <w:hideMark/>
          </w:tcPr>
          <w:p w14:paraId="333F317C" w14:textId="77777777" w:rsidR="0028791B" w:rsidRPr="0028791B" w:rsidRDefault="0028791B" w:rsidP="00655124">
            <w:pPr>
              <w:rPr>
                <w:rFonts w:cs="Times New Roman"/>
                <w:lang w:val="bg-BG"/>
              </w:rPr>
            </w:pPr>
            <w:r w:rsidRPr="0028791B">
              <w:rPr>
                <w:rFonts w:cs="Times New Roman"/>
                <w:color w:val="000000"/>
                <w:lang w:val="bg-BG"/>
              </w:rPr>
              <w:t>РИОСВ-Русе</w:t>
            </w:r>
          </w:p>
        </w:tc>
        <w:tc>
          <w:tcPr>
            <w:tcW w:w="2268" w:type="dxa"/>
            <w:hideMark/>
          </w:tcPr>
          <w:p w14:paraId="1A5A31A0"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22</w:t>
            </w:r>
          </w:p>
        </w:tc>
        <w:tc>
          <w:tcPr>
            <w:tcW w:w="2268" w:type="dxa"/>
            <w:hideMark/>
          </w:tcPr>
          <w:p w14:paraId="112E76DC"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12</w:t>
            </w:r>
          </w:p>
        </w:tc>
      </w:tr>
      <w:tr w:rsidR="0028791B" w:rsidRPr="0028791B" w14:paraId="7CEE998F" w14:textId="77777777" w:rsidTr="0028791B">
        <w:trPr>
          <w:trHeight w:val="283"/>
          <w:jc w:val="center"/>
        </w:trPr>
        <w:tc>
          <w:tcPr>
            <w:tcW w:w="983" w:type="dxa"/>
            <w:hideMark/>
          </w:tcPr>
          <w:p w14:paraId="14FBD342" w14:textId="77777777" w:rsidR="0028791B" w:rsidRPr="0028791B" w:rsidRDefault="0028791B" w:rsidP="00655124">
            <w:pPr>
              <w:jc w:val="center"/>
              <w:rPr>
                <w:rFonts w:cs="Times New Roman"/>
                <w:lang w:val="bg-BG"/>
              </w:rPr>
            </w:pPr>
            <w:r w:rsidRPr="0028791B">
              <w:rPr>
                <w:rFonts w:cs="Times New Roman"/>
                <w:color w:val="000000"/>
                <w:lang w:val="bg-BG"/>
              </w:rPr>
              <w:t>12</w:t>
            </w:r>
          </w:p>
        </w:tc>
        <w:tc>
          <w:tcPr>
            <w:tcW w:w="4118" w:type="dxa"/>
            <w:noWrap/>
            <w:hideMark/>
          </w:tcPr>
          <w:p w14:paraId="1BE44679" w14:textId="77777777" w:rsidR="0028791B" w:rsidRPr="0028791B" w:rsidRDefault="0028791B" w:rsidP="00655124">
            <w:pPr>
              <w:rPr>
                <w:rFonts w:cs="Times New Roman"/>
                <w:lang w:val="bg-BG"/>
              </w:rPr>
            </w:pPr>
            <w:r w:rsidRPr="0028791B">
              <w:rPr>
                <w:rFonts w:cs="Times New Roman"/>
                <w:color w:val="000000"/>
                <w:lang w:val="bg-BG"/>
              </w:rPr>
              <w:t>РИОСВ-Смолян</w:t>
            </w:r>
          </w:p>
        </w:tc>
        <w:tc>
          <w:tcPr>
            <w:tcW w:w="2268" w:type="dxa"/>
            <w:hideMark/>
          </w:tcPr>
          <w:p w14:paraId="1F704BFA"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5</w:t>
            </w:r>
          </w:p>
        </w:tc>
        <w:tc>
          <w:tcPr>
            <w:tcW w:w="2268" w:type="dxa"/>
            <w:hideMark/>
          </w:tcPr>
          <w:p w14:paraId="321F7C41"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w:t>
            </w:r>
          </w:p>
        </w:tc>
      </w:tr>
      <w:tr w:rsidR="0028791B" w:rsidRPr="0028791B" w14:paraId="050E57E5" w14:textId="77777777" w:rsidTr="0028791B">
        <w:trPr>
          <w:trHeight w:val="283"/>
          <w:jc w:val="center"/>
        </w:trPr>
        <w:tc>
          <w:tcPr>
            <w:tcW w:w="983" w:type="dxa"/>
            <w:hideMark/>
          </w:tcPr>
          <w:p w14:paraId="6885FBE2" w14:textId="77777777" w:rsidR="0028791B" w:rsidRPr="0028791B" w:rsidRDefault="0028791B" w:rsidP="00655124">
            <w:pPr>
              <w:jc w:val="center"/>
              <w:rPr>
                <w:rFonts w:cs="Times New Roman"/>
                <w:lang w:val="bg-BG"/>
              </w:rPr>
            </w:pPr>
            <w:r w:rsidRPr="0028791B">
              <w:rPr>
                <w:rFonts w:cs="Times New Roman"/>
                <w:color w:val="000000"/>
                <w:lang w:val="bg-BG"/>
              </w:rPr>
              <w:t>13</w:t>
            </w:r>
          </w:p>
        </w:tc>
        <w:tc>
          <w:tcPr>
            <w:tcW w:w="4118" w:type="dxa"/>
            <w:noWrap/>
            <w:hideMark/>
          </w:tcPr>
          <w:p w14:paraId="771CED88" w14:textId="77777777" w:rsidR="0028791B" w:rsidRPr="0028791B" w:rsidRDefault="0028791B" w:rsidP="00655124">
            <w:pPr>
              <w:rPr>
                <w:rFonts w:cs="Times New Roman"/>
                <w:lang w:val="bg-BG"/>
              </w:rPr>
            </w:pPr>
            <w:r w:rsidRPr="0028791B">
              <w:rPr>
                <w:rFonts w:cs="Times New Roman"/>
                <w:color w:val="000000"/>
                <w:lang w:val="bg-BG"/>
              </w:rPr>
              <w:t>РИОСВ-Стара Загора</w:t>
            </w:r>
          </w:p>
        </w:tc>
        <w:tc>
          <w:tcPr>
            <w:tcW w:w="2268" w:type="dxa"/>
            <w:hideMark/>
          </w:tcPr>
          <w:p w14:paraId="2BD171D8"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17</w:t>
            </w:r>
          </w:p>
        </w:tc>
        <w:tc>
          <w:tcPr>
            <w:tcW w:w="2268" w:type="dxa"/>
            <w:hideMark/>
          </w:tcPr>
          <w:p w14:paraId="1D0933A1"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10</w:t>
            </w:r>
          </w:p>
        </w:tc>
      </w:tr>
      <w:tr w:rsidR="0028791B" w:rsidRPr="0028791B" w14:paraId="08F7B862" w14:textId="77777777" w:rsidTr="0028791B">
        <w:trPr>
          <w:trHeight w:val="283"/>
          <w:jc w:val="center"/>
        </w:trPr>
        <w:tc>
          <w:tcPr>
            <w:tcW w:w="983" w:type="dxa"/>
            <w:hideMark/>
          </w:tcPr>
          <w:p w14:paraId="124EACB5" w14:textId="77777777" w:rsidR="0028791B" w:rsidRPr="0028791B" w:rsidRDefault="0028791B" w:rsidP="00655124">
            <w:pPr>
              <w:jc w:val="center"/>
              <w:rPr>
                <w:rFonts w:cs="Times New Roman"/>
                <w:lang w:val="bg-BG"/>
              </w:rPr>
            </w:pPr>
            <w:r w:rsidRPr="0028791B">
              <w:rPr>
                <w:rFonts w:cs="Times New Roman"/>
                <w:color w:val="000000"/>
                <w:lang w:val="bg-BG"/>
              </w:rPr>
              <w:t>14</w:t>
            </w:r>
          </w:p>
        </w:tc>
        <w:tc>
          <w:tcPr>
            <w:tcW w:w="4118" w:type="dxa"/>
            <w:noWrap/>
            <w:hideMark/>
          </w:tcPr>
          <w:p w14:paraId="6F445E4A" w14:textId="77777777" w:rsidR="0028791B" w:rsidRPr="0028791B" w:rsidRDefault="0028791B" w:rsidP="00655124">
            <w:pPr>
              <w:rPr>
                <w:rFonts w:cs="Times New Roman"/>
                <w:lang w:val="bg-BG"/>
              </w:rPr>
            </w:pPr>
            <w:r w:rsidRPr="0028791B">
              <w:rPr>
                <w:rFonts w:cs="Times New Roman"/>
                <w:color w:val="000000"/>
                <w:lang w:val="bg-BG"/>
              </w:rPr>
              <w:t>РИОСВ-Хасково</w:t>
            </w:r>
          </w:p>
        </w:tc>
        <w:tc>
          <w:tcPr>
            <w:tcW w:w="2268" w:type="dxa"/>
            <w:hideMark/>
          </w:tcPr>
          <w:p w14:paraId="2CE2221D"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w:t>
            </w:r>
          </w:p>
        </w:tc>
        <w:tc>
          <w:tcPr>
            <w:tcW w:w="2268" w:type="dxa"/>
            <w:hideMark/>
          </w:tcPr>
          <w:p w14:paraId="7A43754B"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3</w:t>
            </w:r>
          </w:p>
        </w:tc>
      </w:tr>
      <w:tr w:rsidR="0028791B" w:rsidRPr="0028791B" w14:paraId="64A43CC9" w14:textId="77777777" w:rsidTr="0028791B">
        <w:trPr>
          <w:trHeight w:val="283"/>
          <w:jc w:val="center"/>
        </w:trPr>
        <w:tc>
          <w:tcPr>
            <w:tcW w:w="983" w:type="dxa"/>
            <w:hideMark/>
          </w:tcPr>
          <w:p w14:paraId="22693E14" w14:textId="77777777" w:rsidR="0028791B" w:rsidRPr="0028791B" w:rsidRDefault="0028791B" w:rsidP="00655124">
            <w:pPr>
              <w:jc w:val="center"/>
              <w:rPr>
                <w:rFonts w:cs="Times New Roman"/>
                <w:lang w:val="bg-BG"/>
              </w:rPr>
            </w:pPr>
            <w:r w:rsidRPr="0028791B">
              <w:rPr>
                <w:rFonts w:cs="Times New Roman"/>
                <w:color w:val="000000"/>
                <w:lang w:val="bg-BG"/>
              </w:rPr>
              <w:t>15</w:t>
            </w:r>
          </w:p>
        </w:tc>
        <w:tc>
          <w:tcPr>
            <w:tcW w:w="4118" w:type="dxa"/>
            <w:noWrap/>
            <w:hideMark/>
          </w:tcPr>
          <w:p w14:paraId="3A7F3AC4" w14:textId="77777777" w:rsidR="0028791B" w:rsidRPr="0028791B" w:rsidRDefault="0028791B" w:rsidP="00655124">
            <w:pPr>
              <w:rPr>
                <w:rFonts w:cs="Times New Roman"/>
                <w:lang w:val="bg-BG"/>
              </w:rPr>
            </w:pPr>
            <w:r w:rsidRPr="0028791B">
              <w:rPr>
                <w:rFonts w:cs="Times New Roman"/>
                <w:color w:val="000000"/>
                <w:lang w:val="bg-BG"/>
              </w:rPr>
              <w:t>РИОСВ-Шумен</w:t>
            </w:r>
          </w:p>
        </w:tc>
        <w:tc>
          <w:tcPr>
            <w:tcW w:w="2268" w:type="dxa"/>
            <w:hideMark/>
          </w:tcPr>
          <w:p w14:paraId="3DFE3F34" w14:textId="77777777" w:rsidR="0028791B" w:rsidRPr="0028791B" w:rsidRDefault="0028791B" w:rsidP="00655124">
            <w:pPr>
              <w:tabs>
                <w:tab w:val="decimal" w:pos="321"/>
              </w:tabs>
              <w:jc w:val="center"/>
              <w:rPr>
                <w:rFonts w:cs="Times New Roman"/>
                <w:lang w:val="bg-BG"/>
              </w:rPr>
            </w:pPr>
            <w:r w:rsidRPr="0028791B">
              <w:rPr>
                <w:rFonts w:cs="Times New Roman"/>
                <w:color w:val="000000"/>
                <w:lang w:val="bg-BG"/>
              </w:rPr>
              <w:t>7</w:t>
            </w:r>
          </w:p>
        </w:tc>
        <w:tc>
          <w:tcPr>
            <w:tcW w:w="2268" w:type="dxa"/>
            <w:hideMark/>
          </w:tcPr>
          <w:p w14:paraId="5DCB8B1A"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2</w:t>
            </w:r>
          </w:p>
        </w:tc>
      </w:tr>
      <w:tr w:rsidR="0028791B" w:rsidRPr="0028791B" w14:paraId="2089B3EB" w14:textId="77777777" w:rsidTr="0028791B">
        <w:trPr>
          <w:trHeight w:val="283"/>
          <w:jc w:val="center"/>
        </w:trPr>
        <w:tc>
          <w:tcPr>
            <w:tcW w:w="5101" w:type="dxa"/>
            <w:gridSpan w:val="2"/>
            <w:hideMark/>
          </w:tcPr>
          <w:p w14:paraId="0BBCCAC8" w14:textId="77777777" w:rsidR="0028791B" w:rsidRPr="0028791B" w:rsidRDefault="0028791B" w:rsidP="00655124">
            <w:pPr>
              <w:jc w:val="right"/>
              <w:rPr>
                <w:rFonts w:cs="Times New Roman"/>
                <w:b/>
                <w:bCs/>
                <w:lang w:val="bg-BG"/>
              </w:rPr>
            </w:pPr>
            <w:r w:rsidRPr="0028791B">
              <w:rPr>
                <w:rFonts w:cs="Times New Roman"/>
                <w:b/>
                <w:bCs/>
                <w:color w:val="000000"/>
                <w:lang w:val="bg-BG"/>
              </w:rPr>
              <w:t>ОБЩО</w:t>
            </w:r>
          </w:p>
        </w:tc>
        <w:tc>
          <w:tcPr>
            <w:tcW w:w="2268" w:type="dxa"/>
            <w:hideMark/>
          </w:tcPr>
          <w:p w14:paraId="64BC1360" w14:textId="77777777" w:rsidR="0028791B" w:rsidRPr="0028791B" w:rsidRDefault="0028791B" w:rsidP="00655124">
            <w:pPr>
              <w:tabs>
                <w:tab w:val="decimal" w:pos="321"/>
              </w:tabs>
              <w:jc w:val="center"/>
              <w:rPr>
                <w:rFonts w:cs="Times New Roman"/>
                <w:b/>
                <w:bCs/>
                <w:lang w:val="bg-BG"/>
              </w:rPr>
            </w:pPr>
            <w:r w:rsidRPr="0028791B">
              <w:rPr>
                <w:rFonts w:cs="Times New Roman"/>
                <w:b/>
                <w:bCs/>
                <w:color w:val="000000"/>
                <w:lang w:val="bg-BG"/>
              </w:rPr>
              <w:t>126</w:t>
            </w:r>
          </w:p>
        </w:tc>
        <w:tc>
          <w:tcPr>
            <w:tcW w:w="2268" w:type="dxa"/>
            <w:hideMark/>
          </w:tcPr>
          <w:p w14:paraId="1E4036F9" w14:textId="77777777" w:rsidR="0028791B" w:rsidRPr="0028791B" w:rsidRDefault="0028791B" w:rsidP="00655124">
            <w:pPr>
              <w:tabs>
                <w:tab w:val="decimal" w:pos="321"/>
              </w:tabs>
              <w:jc w:val="center"/>
              <w:rPr>
                <w:rFonts w:cs="Times New Roman"/>
                <w:color w:val="000000"/>
                <w:lang w:val="bg-BG"/>
              </w:rPr>
            </w:pPr>
            <w:r w:rsidRPr="0028791B">
              <w:rPr>
                <w:rFonts w:cs="Times New Roman"/>
                <w:color w:val="000000"/>
                <w:lang w:val="bg-BG"/>
              </w:rPr>
              <w:t>88</w:t>
            </w:r>
          </w:p>
        </w:tc>
      </w:tr>
      <w:tr w:rsidR="0028791B" w:rsidRPr="0028791B" w14:paraId="42E84DEF" w14:textId="77777777" w:rsidTr="0028791B">
        <w:trPr>
          <w:trHeight w:val="283"/>
          <w:jc w:val="center"/>
        </w:trPr>
        <w:tc>
          <w:tcPr>
            <w:tcW w:w="5101" w:type="dxa"/>
            <w:gridSpan w:val="2"/>
            <w:hideMark/>
          </w:tcPr>
          <w:p w14:paraId="5DC80075" w14:textId="77777777" w:rsidR="0028791B" w:rsidRPr="0028791B" w:rsidRDefault="0028791B" w:rsidP="00655124">
            <w:pPr>
              <w:jc w:val="right"/>
              <w:rPr>
                <w:rFonts w:cs="Times New Roman"/>
                <w:b/>
                <w:bCs/>
                <w:lang w:val="bg-BG"/>
              </w:rPr>
            </w:pPr>
            <w:r w:rsidRPr="0028791B">
              <w:rPr>
                <w:rFonts w:cs="Times New Roman"/>
                <w:b/>
                <w:bCs/>
                <w:color w:val="000000"/>
                <w:lang w:val="bg-BG"/>
              </w:rPr>
              <w:t xml:space="preserve">Общо за страната </w:t>
            </w:r>
          </w:p>
        </w:tc>
        <w:tc>
          <w:tcPr>
            <w:tcW w:w="4536" w:type="dxa"/>
            <w:gridSpan w:val="2"/>
            <w:hideMark/>
          </w:tcPr>
          <w:p w14:paraId="5CC66A49" w14:textId="77777777" w:rsidR="0028791B" w:rsidRPr="0028791B" w:rsidRDefault="0028791B" w:rsidP="00655124">
            <w:pPr>
              <w:jc w:val="center"/>
              <w:rPr>
                <w:rFonts w:cs="Times New Roman"/>
                <w:b/>
                <w:bCs/>
                <w:lang w:val="bg-BG"/>
              </w:rPr>
            </w:pPr>
            <w:r w:rsidRPr="0028791B">
              <w:rPr>
                <w:rFonts w:cs="Times New Roman"/>
                <w:b/>
                <w:bCs/>
                <w:color w:val="000000"/>
                <w:lang w:val="bg-BG"/>
              </w:rPr>
              <w:t>214</w:t>
            </w:r>
          </w:p>
        </w:tc>
      </w:tr>
    </w:tbl>
    <w:p w14:paraId="43D42627" w14:textId="77777777" w:rsidR="009819DF" w:rsidRPr="009F6D1E" w:rsidRDefault="009819DF" w:rsidP="0084747F">
      <w:pPr>
        <w:spacing w:after="60" w:line="264" w:lineRule="auto"/>
        <w:contextualSpacing/>
        <w:jc w:val="both"/>
        <w:rPr>
          <w:rFonts w:eastAsia="Calibri" w:cs="Times New Roman"/>
          <w:b/>
          <w:bCs/>
          <w:i/>
          <w:iCs/>
          <w:szCs w:val="24"/>
          <w:highlight w:val="yellow"/>
        </w:rPr>
      </w:pPr>
    </w:p>
    <w:p w14:paraId="3CC86D0D" w14:textId="77777777" w:rsidR="009819DF" w:rsidRPr="009F6D1E" w:rsidRDefault="00471E9F">
      <w:pPr>
        <w:pStyle w:val="Heading3"/>
        <w:numPr>
          <w:ilvl w:val="2"/>
          <w:numId w:val="31"/>
        </w:numPr>
        <w:shd w:val="clear" w:color="auto" w:fill="E2EFD9" w:themeFill="accent6" w:themeFillTint="33"/>
        <w:tabs>
          <w:tab w:val="clear" w:pos="1701"/>
        </w:tabs>
        <w:spacing w:before="0" w:after="60" w:line="264" w:lineRule="auto"/>
        <w:ind w:left="709"/>
        <w:contextualSpacing/>
        <w:rPr>
          <w:smallCaps w:val="0"/>
          <w:lang w:bidi="ar-SA"/>
        </w:rPr>
      </w:pPr>
      <w:bookmarkStart w:id="377" w:name="_Toc115255000"/>
      <w:r w:rsidRPr="009F6D1E">
        <w:rPr>
          <w:smallCaps w:val="0"/>
          <w:lang w:bidi="ar-SA"/>
        </w:rPr>
        <w:t>Вредни физични фактори</w:t>
      </w:r>
      <w:bookmarkEnd w:id="377"/>
      <w:r w:rsidRPr="009F6D1E">
        <w:rPr>
          <w:smallCaps w:val="0"/>
          <w:lang w:bidi="ar-SA"/>
        </w:rPr>
        <w:t xml:space="preserve"> </w:t>
      </w:r>
    </w:p>
    <w:p w14:paraId="700C5F1E" w14:textId="77777777" w:rsidR="00CD6D4E" w:rsidRPr="009F6D1E" w:rsidRDefault="00CD6D4E" w:rsidP="00CD6D4E"/>
    <w:p w14:paraId="25A9E21C" w14:textId="77777777" w:rsidR="00E30856" w:rsidRPr="009F6D1E" w:rsidRDefault="00E30856">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Шумово натоварване на населението</w:t>
      </w:r>
    </w:p>
    <w:p w14:paraId="01540858" w14:textId="77777777" w:rsidR="00CD6D4E" w:rsidRPr="009F6D1E" w:rsidRDefault="00CD6D4E" w:rsidP="0084747F">
      <w:pPr>
        <w:suppressAutoHyphens/>
        <w:autoSpaceDN w:val="0"/>
        <w:spacing w:after="60" w:line="264" w:lineRule="auto"/>
        <w:ind w:firstLine="708"/>
        <w:jc w:val="both"/>
        <w:rPr>
          <w:rFonts w:eastAsia="Calibri" w:cs="Times New Roman"/>
          <w:color w:val="1F3864" w:themeColor="accent1" w:themeShade="80"/>
          <w:szCs w:val="24"/>
        </w:rPr>
      </w:pPr>
    </w:p>
    <w:p w14:paraId="0FD0C5FA" w14:textId="77777777" w:rsidR="00E30856" w:rsidRPr="009F6D1E" w:rsidRDefault="00E30856"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Автомобилният трафик е основният източник на шумово замърсяване в Европа, като през следващото десетилетие се очаква нивата на шума да се увеличат, както в градските, така </w:t>
      </w:r>
      <w:r w:rsidRPr="009F6D1E">
        <w:rPr>
          <w:rFonts w:eastAsia="Calibri" w:cs="Times New Roman"/>
          <w:szCs w:val="24"/>
        </w:rPr>
        <w:lastRenderedPageBreak/>
        <w:t>и в селските райони, поради развитието на урбанизацията и повишената нужда от мобилност. Железниците, самолетите и промишлеността образуват другата най-голяма група източници на шумово замърсяване на околната среда.</w:t>
      </w:r>
    </w:p>
    <w:p w14:paraId="5747CF87" w14:textId="77777777" w:rsidR="00E30856" w:rsidRPr="009F6D1E" w:rsidRDefault="00E30856" w:rsidP="0084747F">
      <w:pPr>
        <w:suppressAutoHyphens/>
        <w:autoSpaceDN w:val="0"/>
        <w:spacing w:after="60" w:line="264" w:lineRule="auto"/>
        <w:ind w:firstLine="708"/>
        <w:jc w:val="both"/>
        <w:rPr>
          <w:rFonts w:eastAsia="Calibri" w:cs="Times New Roman"/>
        </w:rPr>
      </w:pPr>
      <w:r w:rsidRPr="009F6D1E">
        <w:rPr>
          <w:rFonts w:eastAsia="Calibri" w:cs="Times New Roman"/>
          <w:szCs w:val="24"/>
        </w:rPr>
        <w:t>Според последния доклад за шумово замърсяване на околната среда в Европа</w:t>
      </w:r>
      <w:r w:rsidRPr="009F6D1E">
        <w:rPr>
          <w:rFonts w:eastAsia="Calibri" w:cs="Times New Roman"/>
          <w:szCs w:val="24"/>
          <w:vertAlign w:val="superscript"/>
        </w:rPr>
        <w:footnoteReference w:id="68"/>
      </w:r>
      <w:r w:rsidRPr="009F6D1E">
        <w:rPr>
          <w:rFonts w:eastAsia="Calibri" w:cs="Times New Roman"/>
          <w:szCs w:val="24"/>
        </w:rPr>
        <w:t xml:space="preserve">, публикуван от Европейската агенция по околна среда, поне един от всеки пет европейци е изложен на нива на шум, които се смятат за опасни за здравето. Очаква се през следващите години този брой да се увеличи. </w:t>
      </w:r>
    </w:p>
    <w:p w14:paraId="78F14CDD" w14:textId="77777777" w:rsidR="00E30856" w:rsidRPr="009F6D1E" w:rsidRDefault="00E30856"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 xml:space="preserve">В повечето европейски страни, повече от 50% от жителите на градските области са изложени на нива на шум от пътищата, равен на 55 </w:t>
      </w:r>
      <w:proofErr w:type="spellStart"/>
      <w:r w:rsidRPr="009F6D1E">
        <w:rPr>
          <w:rFonts w:eastAsia="Calibri" w:cs="Times New Roman"/>
          <w:szCs w:val="24"/>
        </w:rPr>
        <w:t>dB</w:t>
      </w:r>
      <w:proofErr w:type="spellEnd"/>
      <w:r w:rsidRPr="009F6D1E">
        <w:rPr>
          <w:rFonts w:eastAsia="Calibri" w:cs="Times New Roman"/>
          <w:szCs w:val="24"/>
        </w:rPr>
        <w:t xml:space="preserve"> или повече, през периода ден-вечер-нощ. Според Световната здравна организация, при такива нива е вероятно здравето да бъде засегнато. Европейският съюз разглежда дългосрочното излагане на нива на шум над 55 децибела като високо.</w:t>
      </w:r>
    </w:p>
    <w:p w14:paraId="5C1EA222" w14:textId="77777777" w:rsidR="00E30856" w:rsidRPr="009F6D1E" w:rsidRDefault="00E30856"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Използваните индикатори за шумово замърсяване са измерените еквивалентни нива на шума и съответстващата им гранична стойност за различните територии и устройствени зони в урбанизираните територии и извън тях, които са:</w:t>
      </w:r>
    </w:p>
    <w:p w14:paraId="1E3EE944" w14:textId="77777777" w:rsidR="00E30856" w:rsidRPr="009F6D1E" w:rsidRDefault="00E30856">
      <w:pPr>
        <w:numPr>
          <w:ilvl w:val="0"/>
          <w:numId w:val="67"/>
        </w:numPr>
        <w:suppressAutoHyphens/>
        <w:autoSpaceDN w:val="0"/>
        <w:spacing w:after="60" w:line="264" w:lineRule="auto"/>
        <w:jc w:val="both"/>
        <w:rPr>
          <w:rFonts w:eastAsia="Calibri" w:cs="Times New Roman"/>
          <w:szCs w:val="24"/>
        </w:rPr>
      </w:pPr>
      <w:proofErr w:type="spellStart"/>
      <w:r w:rsidRPr="009F6D1E">
        <w:rPr>
          <w:rFonts w:eastAsia="Calibri" w:cs="Times New Roman"/>
          <w:szCs w:val="24"/>
        </w:rPr>
        <w:t>Lден</w:t>
      </w:r>
      <w:proofErr w:type="spellEnd"/>
      <w:r w:rsidRPr="009F6D1E">
        <w:rPr>
          <w:rFonts w:eastAsia="Calibri" w:cs="Times New Roman"/>
          <w:szCs w:val="24"/>
        </w:rPr>
        <w:t xml:space="preserve"> - дневно еквивалентно ниво на шума включващо времето от 7 до 19 ч. (с продължителност 12 часа)</w:t>
      </w:r>
    </w:p>
    <w:p w14:paraId="6E87934B" w14:textId="77777777" w:rsidR="00E30856" w:rsidRPr="009F6D1E" w:rsidRDefault="00E30856">
      <w:pPr>
        <w:numPr>
          <w:ilvl w:val="0"/>
          <w:numId w:val="67"/>
        </w:numPr>
        <w:suppressAutoHyphens/>
        <w:autoSpaceDN w:val="0"/>
        <w:spacing w:after="60" w:line="264" w:lineRule="auto"/>
        <w:jc w:val="both"/>
        <w:rPr>
          <w:rFonts w:eastAsia="Calibri" w:cs="Times New Roman"/>
          <w:szCs w:val="24"/>
        </w:rPr>
      </w:pPr>
      <w:proofErr w:type="spellStart"/>
      <w:r w:rsidRPr="009F6D1E">
        <w:rPr>
          <w:rFonts w:eastAsia="Calibri" w:cs="Times New Roman"/>
          <w:szCs w:val="24"/>
        </w:rPr>
        <w:t>Lвечер</w:t>
      </w:r>
      <w:proofErr w:type="spellEnd"/>
      <w:r w:rsidRPr="009F6D1E">
        <w:rPr>
          <w:rFonts w:eastAsia="Calibri" w:cs="Times New Roman"/>
          <w:szCs w:val="24"/>
        </w:rPr>
        <w:t xml:space="preserve"> – вечерно еквивалентно ниво на шума включващо времето от 19 до 23 ч. (с продължителност 4 часа)</w:t>
      </w:r>
    </w:p>
    <w:p w14:paraId="622A89EC" w14:textId="77777777" w:rsidR="00E30856" w:rsidRPr="009F6D1E" w:rsidRDefault="00E30856">
      <w:pPr>
        <w:numPr>
          <w:ilvl w:val="0"/>
          <w:numId w:val="67"/>
        </w:numPr>
        <w:suppressAutoHyphens/>
        <w:autoSpaceDN w:val="0"/>
        <w:spacing w:after="60" w:line="264" w:lineRule="auto"/>
        <w:jc w:val="both"/>
        <w:rPr>
          <w:rFonts w:eastAsia="Calibri" w:cs="Times New Roman"/>
          <w:szCs w:val="24"/>
        </w:rPr>
      </w:pPr>
      <w:proofErr w:type="spellStart"/>
      <w:r w:rsidRPr="009F6D1E">
        <w:rPr>
          <w:rFonts w:eastAsia="Calibri" w:cs="Times New Roman"/>
          <w:szCs w:val="24"/>
        </w:rPr>
        <w:t>Lнощ</w:t>
      </w:r>
      <w:proofErr w:type="spellEnd"/>
      <w:r w:rsidRPr="009F6D1E">
        <w:rPr>
          <w:rFonts w:eastAsia="Calibri" w:cs="Times New Roman"/>
          <w:szCs w:val="24"/>
        </w:rPr>
        <w:t xml:space="preserve"> – нощно еквивалентно ниво на шума – включва времето от 23 до 7 ч. (с продължителност 8 часа)</w:t>
      </w:r>
    </w:p>
    <w:p w14:paraId="14FA0F4F" w14:textId="77777777" w:rsidR="00E30856" w:rsidRPr="009F6D1E" w:rsidRDefault="00E30856">
      <w:pPr>
        <w:numPr>
          <w:ilvl w:val="0"/>
          <w:numId w:val="67"/>
        </w:numPr>
        <w:suppressAutoHyphens/>
        <w:autoSpaceDN w:val="0"/>
        <w:spacing w:after="60" w:line="264" w:lineRule="auto"/>
        <w:jc w:val="both"/>
        <w:rPr>
          <w:rFonts w:eastAsia="Calibri" w:cs="Times New Roman"/>
          <w:szCs w:val="24"/>
        </w:rPr>
      </w:pPr>
      <w:r w:rsidRPr="009F6D1E">
        <w:rPr>
          <w:rFonts w:eastAsia="Calibri" w:cs="Times New Roman"/>
          <w:szCs w:val="24"/>
        </w:rPr>
        <w:t>L24 – денонощно еквивалентно ниво на шума за 24-часов период. (L24 се изчислява по формула, в която се отчитат конкретните гранични стойности за дневно, вечерно и нощно ниво на шума за съответните територии и зони).</w:t>
      </w:r>
    </w:p>
    <w:p w14:paraId="582A04BE" w14:textId="77777777" w:rsidR="00E30856" w:rsidRPr="009F6D1E" w:rsidRDefault="00E30856"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Граничните стойности на шума, чието превишаване би могло да доведе до негативни ефекти за човешкото здраве са регламентирани в таблици 1 и 2 на Приложение № 2 на 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 (изм. и доп. ДВ, бр. 26 от 29 Март 2019 г.)</w:t>
      </w:r>
    </w:p>
    <w:p w14:paraId="5F04CBF5" w14:textId="77777777" w:rsidR="00E30856" w:rsidRPr="009F6D1E" w:rsidRDefault="00E30856" w:rsidP="0084747F">
      <w:pPr>
        <w:suppressAutoHyphens/>
        <w:autoSpaceDN w:val="0"/>
        <w:spacing w:after="60" w:line="264" w:lineRule="auto"/>
        <w:ind w:firstLine="708"/>
        <w:jc w:val="both"/>
        <w:rPr>
          <w:rFonts w:eastAsia="Calibri" w:cs="Times New Roman"/>
          <w:szCs w:val="24"/>
        </w:rPr>
      </w:pPr>
      <w:r w:rsidRPr="009F6D1E">
        <w:rPr>
          <w:rFonts w:eastAsia="Calibri" w:cs="Times New Roman"/>
          <w:szCs w:val="24"/>
        </w:rPr>
        <w:t>С цел опазване на общественото здраве Министерството на здравеопазването ръководи Национална система за мониторинг на шума в урбанизираните територии. Същата e структурирана така, че обхваща всички агломерации и преминаващите през тях участъци от основните пътища, основните железопътни линии и летища, както и промишлените източници на шум. Чрез комплекс от измервателни, аналитични и информационни дейности се осигурява достоверна информация за състоянието на шумовото замърсяване в урбанизираните територии.</w:t>
      </w:r>
    </w:p>
    <w:p w14:paraId="56115529" w14:textId="3AFE615D" w:rsidR="00E30856" w:rsidRPr="009F6D1E"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lastRenderedPageBreak/>
        <w:t>През 2020 г. дневните еквивалентни нива на шума са изследвани в 731 пункта. Данните отразяват шумовото натоварване в почти всички областни градове на страната и девет общини: Ботевград, Самоков и Своге от Софийска област, Горна Оряховица и Свищов от област Велико Търново; Дупница от област Кюстендил, Казанлък от област Ст. Загора, Попово и Омуртаг от област Търговище</w:t>
      </w:r>
      <w:r w:rsidR="00E30856" w:rsidRPr="009F6D1E">
        <w:rPr>
          <w:rFonts w:eastAsia="Calibri" w:cs="Times New Roman"/>
          <w:szCs w:val="24"/>
        </w:rPr>
        <w:t>.</w:t>
      </w:r>
    </w:p>
    <w:p w14:paraId="71FCF9F5" w14:textId="77777777" w:rsidR="00397F33" w:rsidRPr="009F6D1E" w:rsidRDefault="00397F33" w:rsidP="0084747F">
      <w:pPr>
        <w:suppressAutoHyphens/>
        <w:autoSpaceDN w:val="0"/>
        <w:spacing w:after="60" w:line="264" w:lineRule="auto"/>
        <w:ind w:firstLine="708"/>
        <w:jc w:val="both"/>
        <w:rPr>
          <w:rFonts w:eastAsia="Calibri" w:cs="Times New Roman"/>
          <w:color w:val="1F3864" w:themeColor="accent1" w:themeShade="80"/>
          <w:szCs w:val="24"/>
        </w:rPr>
      </w:pPr>
    </w:p>
    <w:p w14:paraId="110E13B5" w14:textId="77777777" w:rsidR="00E30856" w:rsidRPr="009F6D1E" w:rsidRDefault="00E30856">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Анализ на състоянието на акустичната среда</w:t>
      </w:r>
    </w:p>
    <w:p w14:paraId="6416C937" w14:textId="77777777" w:rsidR="004075A3" w:rsidRPr="009F6D1E" w:rsidRDefault="004075A3" w:rsidP="0084747F">
      <w:pPr>
        <w:suppressAutoHyphens/>
        <w:autoSpaceDN w:val="0"/>
        <w:spacing w:after="60" w:line="264" w:lineRule="auto"/>
        <w:ind w:firstLine="708"/>
        <w:jc w:val="both"/>
        <w:rPr>
          <w:rFonts w:eastAsia="Calibri" w:cs="Times New Roman"/>
          <w:szCs w:val="24"/>
        </w:rPr>
      </w:pPr>
    </w:p>
    <w:p w14:paraId="07637A57"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През 2020 г., в 498 бр. от контролните пунктове в страната са установени стойности над допустимите, което представлява 68,13 % от общия брой контролирани пунктове.</w:t>
      </w:r>
    </w:p>
    <w:p w14:paraId="0E590CD6"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 xml:space="preserve">Наднормени стойности са отчетени в 220 бр. от пунктовете, разположени в територии и зони подлежащи на усилена шумозащита, което представлява 44,18% от пунктовете с измерени нива над граничната стойност. На пунктове разположени в жилищни територии, през 2020 г. отново са установени стойности до 69 </w:t>
      </w:r>
      <w:proofErr w:type="spellStart"/>
      <w:r w:rsidRPr="00981C61">
        <w:rPr>
          <w:rFonts w:eastAsia="Calibri" w:cs="Times New Roman"/>
          <w:szCs w:val="24"/>
        </w:rPr>
        <w:t>dB</w:t>
      </w:r>
      <w:proofErr w:type="spellEnd"/>
      <w:r w:rsidRPr="00981C61">
        <w:rPr>
          <w:rFonts w:eastAsia="Calibri" w:cs="Times New Roman"/>
          <w:szCs w:val="24"/>
        </w:rPr>
        <w:t xml:space="preserve">(A), при норма 55 </w:t>
      </w:r>
      <w:proofErr w:type="spellStart"/>
      <w:r w:rsidRPr="00981C61">
        <w:rPr>
          <w:rFonts w:eastAsia="Calibri" w:cs="Times New Roman"/>
          <w:szCs w:val="24"/>
        </w:rPr>
        <w:t>dB</w:t>
      </w:r>
      <w:proofErr w:type="spellEnd"/>
      <w:r w:rsidRPr="00981C61">
        <w:rPr>
          <w:rFonts w:eastAsia="Calibri" w:cs="Times New Roman"/>
          <w:szCs w:val="24"/>
        </w:rPr>
        <w:t xml:space="preserve"> (A).</w:t>
      </w:r>
    </w:p>
    <w:p w14:paraId="094E2E2F"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 xml:space="preserve">През последните години се забелязва нарастване на броя на пунктовете в най-ниския диапазон, под 58 </w:t>
      </w:r>
      <w:proofErr w:type="spellStart"/>
      <w:r w:rsidRPr="00981C61">
        <w:rPr>
          <w:rFonts w:eastAsia="Calibri" w:cs="Times New Roman"/>
          <w:szCs w:val="24"/>
        </w:rPr>
        <w:t>dB</w:t>
      </w:r>
      <w:proofErr w:type="spellEnd"/>
      <w:r w:rsidRPr="00981C61">
        <w:rPr>
          <w:rFonts w:eastAsia="Calibri" w:cs="Times New Roman"/>
          <w:szCs w:val="24"/>
        </w:rPr>
        <w:t>(A). Тук попадат една четвърт от контролираните пунктове.</w:t>
      </w:r>
    </w:p>
    <w:p w14:paraId="174E7CA5"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Като цяло нивата на измереното еквивалентното дневно ниво на шума в по-голямата част от изследваните пунктове надхвърлят граничните стойности за съответните населени територии и зони, регламентирани в Наредба № 6 от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в помещенията на жилищни и обществени сгради, в зони и територии, предназначени за жилищно строителство, рекреационни зони и територии и зони със смесено предназначение, методите за оценка на стойностите на показателите за шум и на вредните ефекти от шума върху здравето на населението (изм. и доп. ДВ, бр. 26 от 2019 г., бр.100 от 2021 г., бр. 24 от 2022 г.) </w:t>
      </w:r>
    </w:p>
    <w:p w14:paraId="391088EE"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През 2020 г. измерените еквивалентни нива на шум  в 68,13%  от контролните пунктове в страната, все още надвишават граничните стойности. Основните източници на шум продължават да бъдат изключително натовареният транспортен трафик на автомобили, липсата на обходни маршрути за транзитно преминаващите транспортни средства извън градовете, минималното разстояние между сградите и пътните платна, липсата на достатъчно места за паркиране, което затруднява трафика на МПС; недостатъчното екраниране на транспортния шум; шумът от увеселителни заведения.</w:t>
      </w:r>
    </w:p>
    <w:p w14:paraId="5F4B0A91" w14:textId="0C9A58CF" w:rsidR="00E30856"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В следствие новото проектиране и изграждане на редица транспортни инфраструктурни обекти, извършваните реконструкции и ремонти на част от съществуващите пътните настилки, регулиране на пътния трафик, подмяната на амортизирания градски транспорт и засаждането на нова растителност, проектиране на шумозащита при санирането на сгради, се очаква да продължи снижаването на шума в изследваните урбанизирани територии</w:t>
      </w:r>
      <w:r w:rsidR="00E30856" w:rsidRPr="009F6D1E">
        <w:rPr>
          <w:rFonts w:eastAsia="Calibri" w:cs="Times New Roman"/>
          <w:szCs w:val="24"/>
        </w:rPr>
        <w:t>.</w:t>
      </w:r>
    </w:p>
    <w:p w14:paraId="5CE1376A" w14:textId="77777777" w:rsidR="00E30856" w:rsidRPr="00981C61" w:rsidRDefault="00E30856" w:rsidP="00981C61">
      <w:pPr>
        <w:suppressAutoHyphens/>
        <w:autoSpaceDN w:val="0"/>
        <w:spacing w:after="60" w:line="264" w:lineRule="auto"/>
        <w:ind w:firstLine="708"/>
        <w:jc w:val="both"/>
        <w:rPr>
          <w:rFonts w:eastAsia="Calibri" w:cs="Times New Roman"/>
          <w:szCs w:val="24"/>
        </w:rPr>
      </w:pPr>
    </w:p>
    <w:p w14:paraId="4717B613" w14:textId="68F9A92C" w:rsidR="00E30856" w:rsidRPr="009F6D1E" w:rsidRDefault="00981C61">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Pr>
          <w:b/>
          <w:bCs/>
          <w:smallCaps w:val="0"/>
          <w:color w:val="262626" w:themeColor="text1" w:themeTint="D9"/>
          <w:lang w:eastAsia="en-US" w:bidi="ar-SA"/>
        </w:rPr>
        <w:lastRenderedPageBreak/>
        <w:t xml:space="preserve"> Мерки за намаляване на шума</w:t>
      </w:r>
    </w:p>
    <w:p w14:paraId="73B0C533" w14:textId="77777777" w:rsidR="00DA7644" w:rsidRPr="009F6D1E" w:rsidRDefault="00DA7644" w:rsidP="0084747F">
      <w:pPr>
        <w:suppressAutoHyphens/>
        <w:autoSpaceDN w:val="0"/>
        <w:spacing w:after="60" w:line="264" w:lineRule="auto"/>
        <w:ind w:firstLine="708"/>
        <w:jc w:val="both"/>
        <w:rPr>
          <w:rFonts w:eastAsia="Calibri" w:cs="Times New Roman"/>
          <w:szCs w:val="24"/>
        </w:rPr>
      </w:pPr>
    </w:p>
    <w:p w14:paraId="70BB8400"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Шумовото замърсяване създава реален проблем особено за населението, обитаващо градската среда, където потоците от автомобилен трафик продължават да се увеличават.</w:t>
      </w:r>
    </w:p>
    <w:p w14:paraId="64C3EAC2"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За подобряване на акустичната обстановка се препоръчва:</w:t>
      </w:r>
    </w:p>
    <w:p w14:paraId="4B1210EF" w14:textId="31350107"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при необходимост от промени в организацията на движение, предварително да се направи анализ на различни варианти, съобразени с типа застрояване, пътната обстановка и капацитета на уличната мрежа, наличието или отсъствието на подходящи зелени площи, с цел постигане на минимално шумово натоварване на съответния участък;</w:t>
      </w:r>
    </w:p>
    <w:p w14:paraId="0F206F5A" w14:textId="01E640F1"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при ново строителство и при промяна на устройствените планове още във фаза проектиране да се предвиждат мерки за ефективна шумозащита;</w:t>
      </w:r>
    </w:p>
    <w:p w14:paraId="6A5C90F5" w14:textId="76E91EEE"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след оценка на ситуацията, за подобряване на жизнената среда там, където е възможно да се монтират шумозащитни съоръжения, приоритетно - за предотвратяване разпространението на шума към обекти, подлежащи на усилена шумозащита, жилищни зони и други;</w:t>
      </w:r>
    </w:p>
    <w:p w14:paraId="7C31E8DB" w14:textId="0BB24460"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при организиране на масови мероприятия, стриктно да се спазват изискванията на общинските наредби за опазване на обществения ред за недопускане нарушаване спокойствието на жителите;</w:t>
      </w:r>
    </w:p>
    <w:p w14:paraId="21BF224E" w14:textId="010A48BE"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рехабилитация на пътната настилка;</w:t>
      </w:r>
    </w:p>
    <w:p w14:paraId="3C93D0D8" w14:textId="33D4FB53"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залесителни дейности;</w:t>
      </w:r>
    </w:p>
    <w:p w14:paraId="0DBFC564" w14:textId="36F981FB" w:rsidR="00981C61" w:rsidRPr="00981C61" w:rsidRDefault="00981C61">
      <w:pPr>
        <w:numPr>
          <w:ilvl w:val="0"/>
          <w:numId w:val="67"/>
        </w:numPr>
        <w:suppressAutoHyphens/>
        <w:autoSpaceDN w:val="0"/>
        <w:spacing w:after="60" w:line="264" w:lineRule="auto"/>
        <w:jc w:val="both"/>
        <w:rPr>
          <w:rFonts w:eastAsia="Calibri" w:cs="Times New Roman"/>
          <w:szCs w:val="24"/>
        </w:rPr>
      </w:pPr>
      <w:r>
        <w:rPr>
          <w:rFonts w:eastAsia="Calibri" w:cs="Times New Roman"/>
          <w:szCs w:val="24"/>
        </w:rPr>
        <w:t>с</w:t>
      </w:r>
      <w:r w:rsidRPr="00981C61">
        <w:rPr>
          <w:rFonts w:eastAsia="Calibri" w:cs="Times New Roman"/>
          <w:szCs w:val="24"/>
        </w:rPr>
        <w:t>ъздаване и прилагане на организация на оптимално паркиране на МПС, с цел облекчаване на трафика в централната градска част; предотвратяване навлизането на транзитни транспортни средства, изграждане и поддържане на околовръстни транспортни ленти;</w:t>
      </w:r>
    </w:p>
    <w:p w14:paraId="1104356B" w14:textId="16DFBF7A"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изграждане и поддържане на повдигнати пешеходни пътеки за намаляване скоростта на МПС и на шума;</w:t>
      </w:r>
    </w:p>
    <w:p w14:paraId="6982042A" w14:textId="3558CA0A" w:rsidR="00981C61"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 xml:space="preserve">за намаляване на шумовото замърсяване от производствени процеси в промишлените градски зони да се поддържат зелени </w:t>
      </w:r>
      <w:proofErr w:type="spellStart"/>
      <w:r w:rsidRPr="00981C61">
        <w:rPr>
          <w:rFonts w:eastAsia="Calibri" w:cs="Times New Roman"/>
          <w:szCs w:val="24"/>
        </w:rPr>
        <w:t>шумоизолиращи</w:t>
      </w:r>
      <w:proofErr w:type="spellEnd"/>
      <w:r w:rsidRPr="00981C61">
        <w:rPr>
          <w:rFonts w:eastAsia="Calibri" w:cs="Times New Roman"/>
          <w:szCs w:val="24"/>
        </w:rPr>
        <w:t xml:space="preserve"> пояси;</w:t>
      </w:r>
    </w:p>
    <w:p w14:paraId="532B04E4" w14:textId="378ED52E" w:rsidR="00E30856" w:rsidRPr="00981C61" w:rsidRDefault="00981C61">
      <w:pPr>
        <w:numPr>
          <w:ilvl w:val="0"/>
          <w:numId w:val="67"/>
        </w:numPr>
        <w:suppressAutoHyphens/>
        <w:autoSpaceDN w:val="0"/>
        <w:spacing w:after="60" w:line="264" w:lineRule="auto"/>
        <w:jc w:val="both"/>
        <w:rPr>
          <w:rFonts w:eastAsia="Calibri" w:cs="Times New Roman"/>
          <w:szCs w:val="24"/>
        </w:rPr>
      </w:pPr>
      <w:r w:rsidRPr="00981C61">
        <w:rPr>
          <w:rFonts w:eastAsia="Calibri" w:cs="Times New Roman"/>
          <w:szCs w:val="24"/>
        </w:rPr>
        <w:t>насърчаване на населението чрез информационни кампании да използва алтернативи на автомобилния транспорт</w:t>
      </w:r>
      <w:r w:rsidR="00E30856" w:rsidRPr="009F6D1E">
        <w:rPr>
          <w:rFonts w:eastAsia="Calibri" w:cs="Times New Roman"/>
          <w:szCs w:val="24"/>
        </w:rPr>
        <w:t>.</w:t>
      </w:r>
    </w:p>
    <w:p w14:paraId="34678016" w14:textId="77777777" w:rsidR="00E30856" w:rsidRPr="009F6D1E" w:rsidRDefault="00E30856" w:rsidP="0084747F">
      <w:pPr>
        <w:suppressAutoHyphens/>
        <w:autoSpaceDN w:val="0"/>
        <w:spacing w:after="60" w:line="264" w:lineRule="auto"/>
        <w:ind w:left="360"/>
        <w:jc w:val="both"/>
        <w:rPr>
          <w:rFonts w:eastAsia="Calibri" w:cs="Times New Roman"/>
          <w:color w:val="1F3864" w:themeColor="accent1" w:themeShade="80"/>
          <w:szCs w:val="24"/>
        </w:rPr>
      </w:pPr>
    </w:p>
    <w:p w14:paraId="01A99CFE" w14:textId="77777777" w:rsidR="00E30856" w:rsidRPr="009F6D1E" w:rsidRDefault="00E30856">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Шум от промишлени източници</w:t>
      </w:r>
    </w:p>
    <w:p w14:paraId="62F87D4F" w14:textId="77777777" w:rsidR="00DA7644" w:rsidRPr="009F6D1E" w:rsidRDefault="00DA7644" w:rsidP="0084747F">
      <w:pPr>
        <w:suppressAutoHyphens/>
        <w:autoSpaceDN w:val="0"/>
        <w:spacing w:after="60" w:line="264" w:lineRule="auto"/>
        <w:ind w:firstLine="708"/>
        <w:jc w:val="both"/>
        <w:rPr>
          <w:rFonts w:eastAsia="Calibri" w:cs="Times New Roman"/>
          <w:szCs w:val="24"/>
        </w:rPr>
      </w:pPr>
    </w:p>
    <w:p w14:paraId="585C17CC"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Съгласно чл. 33 от Наредба № 54 от 13.12.2010 г. за дейността на националната система за мониторинг на шум в околната среда, РИОСВ изготвят годишен доклад с резултатите от контрола на собствени периодични и контролни измервания на промишлените източници на шум в околната среда, след което се предоставят за съгласуване в ИАОС.</w:t>
      </w:r>
    </w:p>
    <w:p w14:paraId="6009C85F"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lastRenderedPageBreak/>
        <w:t>През 2020 г. РИОСВ отчитат, че от проверените 485 бр. промишлени източника по отношение на излъчвания от тях шум в околната среда, само при 7 бр. са констатирани отклонения от нормативните изисквания, за което са им  издадени предписания.</w:t>
      </w:r>
    </w:p>
    <w:p w14:paraId="7258C77D"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От проверените промишлени източници на шум на територията на цялата страна, 98,6% отговарят на нормативните изисквания, само 1,4% не отговарят. 77,7% от измерванията са собствени периодични измервания, 19,6% са контролни измервания по годишен график и 2,7% са контролни измервания по жалби и сигнали.</w:t>
      </w:r>
    </w:p>
    <w:p w14:paraId="52EA0497"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Сравнителните анализи спрямо предходните години, показват запазване на мерките по превантивния контрол, осъществяван от 15-те Регионални инспекции по околна среда и води на територията на цялата страна.</w:t>
      </w:r>
    </w:p>
    <w:p w14:paraId="76BEEA32" w14:textId="77777777" w:rsidR="00981C61"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През 2020 г. се запазва сравнително добра екологична обстановка по отношение на фактора промишлен шум, съгласно промишлените източници, тъй като 98,6% от проверените отговарят на нормативните изисквания.</w:t>
      </w:r>
    </w:p>
    <w:p w14:paraId="51EE3961" w14:textId="2EB250BD" w:rsidR="00E30856" w:rsidRPr="00981C61" w:rsidRDefault="00981C61" w:rsidP="00981C61">
      <w:pPr>
        <w:suppressAutoHyphens/>
        <w:autoSpaceDN w:val="0"/>
        <w:spacing w:after="60" w:line="264" w:lineRule="auto"/>
        <w:ind w:firstLine="708"/>
        <w:jc w:val="both"/>
        <w:rPr>
          <w:rFonts w:eastAsia="Calibri" w:cs="Times New Roman"/>
          <w:szCs w:val="24"/>
        </w:rPr>
      </w:pPr>
      <w:r w:rsidRPr="00981C61">
        <w:rPr>
          <w:rFonts w:eastAsia="Calibri" w:cs="Times New Roman"/>
          <w:szCs w:val="24"/>
        </w:rPr>
        <w:t>В заключение може да се каже, че населението в страната не е изложено на наднормен шум от промишлени източници, влияещ отрицателно на човешкото здраве. Запазва се и високият процент на проверените промишлени източници на шум, които отговарят на нормативните изисквания, което е видно и от следната диаграма</w:t>
      </w:r>
      <w:r w:rsidR="00E30856" w:rsidRPr="009F6D1E">
        <w:rPr>
          <w:rFonts w:eastAsia="Calibri" w:cs="Times New Roman"/>
          <w:szCs w:val="24"/>
        </w:rPr>
        <w:t>:</w:t>
      </w:r>
    </w:p>
    <w:p w14:paraId="3EBAD59D" w14:textId="1F1DCD0E" w:rsidR="00E30856" w:rsidRPr="009F6D1E" w:rsidRDefault="001469A0" w:rsidP="00981C61">
      <w:pPr>
        <w:suppressAutoHyphens/>
        <w:autoSpaceDN w:val="0"/>
        <w:spacing w:after="60" w:line="264" w:lineRule="auto"/>
        <w:ind w:left="360"/>
        <w:jc w:val="center"/>
        <w:rPr>
          <w:rFonts w:eastAsia="Calibri" w:cs="Times New Roman"/>
          <w:color w:val="1F3864" w:themeColor="accent1" w:themeShade="80"/>
        </w:rPr>
      </w:pPr>
      <w:r w:rsidRPr="001469A0">
        <w:rPr>
          <w:rFonts w:eastAsia="Calibri" w:cs="Times New Roman"/>
          <w:noProof/>
          <w:color w:val="1F3864" w:themeColor="accent1" w:themeShade="80"/>
          <w:lang w:val="en-US"/>
        </w:rPr>
        <w:drawing>
          <wp:inline distT="0" distB="0" distL="0" distR="0" wp14:anchorId="555052F9" wp14:editId="058BFFD7">
            <wp:extent cx="5197290" cy="2568163"/>
            <wp:effectExtent l="0" t="0" r="3810" b="381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197290" cy="2568163"/>
                    </a:xfrm>
                    <a:prstGeom prst="rect">
                      <a:avLst/>
                    </a:prstGeom>
                  </pic:spPr>
                </pic:pic>
              </a:graphicData>
            </a:graphic>
          </wp:inline>
        </w:drawing>
      </w:r>
    </w:p>
    <w:p w14:paraId="20A1AF4B" w14:textId="3DFA97BC" w:rsidR="00E30856" w:rsidRPr="00290E96" w:rsidRDefault="00530FAF" w:rsidP="00530FAF">
      <w:pPr>
        <w:pStyle w:val="Caption"/>
      </w:pPr>
      <w:bookmarkStart w:id="378" w:name="_Toc115255131"/>
      <w:r w:rsidRPr="009F6D1E">
        <w:t xml:space="preserve">Фигура </w:t>
      </w:r>
      <w:fldSimple w:instr=" SEQ Фигура \* ARABIC ">
        <w:r w:rsidR="00A43EF3">
          <w:rPr>
            <w:noProof/>
          </w:rPr>
          <w:t>70</w:t>
        </w:r>
      </w:fldSimple>
      <w:r w:rsidRPr="009F6D1E">
        <w:t>:</w:t>
      </w:r>
      <w:r w:rsidR="00E30856" w:rsidRPr="00290E96">
        <w:t xml:space="preserve"> </w:t>
      </w:r>
      <w:r w:rsidR="00290E96" w:rsidRPr="00290E96">
        <w:t>Процент на предприятията - промишлени източници на шум, отговарящи на нормативните изисквания</w:t>
      </w:r>
      <w:bookmarkEnd w:id="378"/>
    </w:p>
    <w:p w14:paraId="12E190DE" w14:textId="77777777" w:rsidR="00B76410" w:rsidRPr="009F6D1E" w:rsidRDefault="00B76410" w:rsidP="0084747F">
      <w:pPr>
        <w:spacing w:after="60" w:line="264" w:lineRule="auto"/>
        <w:contextualSpacing/>
        <w:jc w:val="both"/>
        <w:rPr>
          <w:rFonts w:eastAsia="Calibri" w:cs="Times New Roman"/>
          <w:b/>
          <w:bCs/>
          <w:i/>
          <w:iCs/>
          <w:szCs w:val="24"/>
          <w:highlight w:val="yellow"/>
        </w:rPr>
      </w:pPr>
    </w:p>
    <w:p w14:paraId="727F52C3" w14:textId="77777777" w:rsidR="00240F6F" w:rsidRPr="009F6D1E" w:rsidRDefault="00240F6F">
      <w:pPr>
        <w:pStyle w:val="Heading3"/>
        <w:numPr>
          <w:ilvl w:val="2"/>
          <w:numId w:val="31"/>
        </w:numPr>
        <w:shd w:val="clear" w:color="auto" w:fill="E2EFD9" w:themeFill="accent6" w:themeFillTint="33"/>
        <w:tabs>
          <w:tab w:val="clear" w:pos="1701"/>
        </w:tabs>
        <w:spacing w:before="0" w:after="60" w:line="264" w:lineRule="auto"/>
        <w:rPr>
          <w:smallCaps w:val="0"/>
          <w:lang w:bidi="ar-SA"/>
        </w:rPr>
      </w:pPr>
      <w:bookmarkStart w:id="379" w:name="_Toc115255001"/>
      <w:r w:rsidRPr="009F6D1E">
        <w:rPr>
          <w:smallCaps w:val="0"/>
          <w:lang w:bidi="ar-SA"/>
        </w:rPr>
        <w:t>Горски територии</w:t>
      </w:r>
      <w:bookmarkEnd w:id="379"/>
    </w:p>
    <w:p w14:paraId="1996F2EF" w14:textId="77777777" w:rsidR="00240F6F" w:rsidRPr="001469A0" w:rsidRDefault="00240F6F" w:rsidP="0084747F">
      <w:pPr>
        <w:spacing w:after="60" w:line="264" w:lineRule="auto"/>
        <w:contextualSpacing/>
        <w:jc w:val="both"/>
        <w:rPr>
          <w:rFonts w:eastAsia="Calibri" w:cs="Times New Roman"/>
          <w:b/>
          <w:bCs/>
          <w:i/>
          <w:iCs/>
          <w:color w:val="auto"/>
          <w:szCs w:val="24"/>
          <w:highlight w:val="yellow"/>
        </w:rPr>
      </w:pPr>
    </w:p>
    <w:p w14:paraId="4EF28A79" w14:textId="77777777" w:rsidR="00BB6626" w:rsidRPr="001469A0" w:rsidRDefault="00BB6626">
      <w:pPr>
        <w:pStyle w:val="ListParagraph"/>
        <w:numPr>
          <w:ilvl w:val="0"/>
          <w:numId w:val="33"/>
        </w:numPr>
        <w:spacing w:after="60" w:line="264" w:lineRule="auto"/>
        <w:jc w:val="both"/>
        <w:rPr>
          <w:i/>
          <w:color w:val="auto"/>
          <w:u w:val="single"/>
          <w:lang w:val="bg-BG"/>
        </w:rPr>
      </w:pPr>
      <w:r w:rsidRPr="001469A0">
        <w:rPr>
          <w:i/>
          <w:color w:val="auto"/>
          <w:u w:val="single"/>
          <w:lang w:val="bg-BG"/>
        </w:rPr>
        <w:t>Площ</w:t>
      </w:r>
    </w:p>
    <w:p w14:paraId="49B72105" w14:textId="4D054C93" w:rsidR="00BB6626" w:rsidRPr="001469A0" w:rsidRDefault="00BB6626" w:rsidP="0084747F">
      <w:pPr>
        <w:spacing w:after="60" w:line="264" w:lineRule="auto"/>
        <w:ind w:firstLine="709"/>
        <w:contextualSpacing/>
        <w:jc w:val="both"/>
        <w:rPr>
          <w:rFonts w:cs="Times New Roman"/>
          <w:color w:val="auto"/>
          <w:szCs w:val="24"/>
        </w:rPr>
      </w:pPr>
      <w:r w:rsidRPr="001469A0">
        <w:rPr>
          <w:rFonts w:cs="Times New Roman"/>
          <w:color w:val="auto"/>
          <w:szCs w:val="24"/>
        </w:rPr>
        <w:t xml:space="preserve">По данни на ИАГ (2021), общата площ на горите и горските територии в България към 31.12.2020 г. е 4 270 995 </w:t>
      </w:r>
      <w:proofErr w:type="spellStart"/>
      <w:r w:rsidRPr="001469A0">
        <w:rPr>
          <w:rFonts w:cs="Times New Roman"/>
          <w:color w:val="auto"/>
          <w:szCs w:val="24"/>
        </w:rPr>
        <w:t>hа</w:t>
      </w:r>
      <w:proofErr w:type="spellEnd"/>
      <w:r w:rsidRPr="001469A0">
        <w:rPr>
          <w:rFonts w:cs="Times New Roman"/>
          <w:color w:val="auto"/>
          <w:szCs w:val="24"/>
        </w:rPr>
        <w:t xml:space="preserve">. Залесената площ е 3 896 009 </w:t>
      </w:r>
      <w:proofErr w:type="spellStart"/>
      <w:r w:rsidRPr="001469A0">
        <w:rPr>
          <w:rFonts w:cs="Times New Roman"/>
          <w:color w:val="auto"/>
          <w:szCs w:val="24"/>
        </w:rPr>
        <w:t>ha</w:t>
      </w:r>
      <w:proofErr w:type="spellEnd"/>
      <w:r w:rsidRPr="001469A0">
        <w:rPr>
          <w:rFonts w:cs="Times New Roman"/>
          <w:color w:val="auto"/>
          <w:szCs w:val="24"/>
        </w:rPr>
        <w:t xml:space="preserve">. Земеделските територии, притежаващи характеристиката на гора по смисъла на чл. 2 от Закона за горите („гори върху </w:t>
      </w:r>
      <w:r w:rsidRPr="001469A0">
        <w:rPr>
          <w:rFonts w:cs="Times New Roman"/>
          <w:color w:val="auto"/>
          <w:szCs w:val="24"/>
        </w:rPr>
        <w:lastRenderedPageBreak/>
        <w:t xml:space="preserve">земеделски територии“) са 318 420 </w:t>
      </w:r>
      <w:proofErr w:type="spellStart"/>
      <w:r w:rsidRPr="001469A0">
        <w:rPr>
          <w:rFonts w:cs="Times New Roman"/>
          <w:color w:val="auto"/>
          <w:szCs w:val="24"/>
        </w:rPr>
        <w:t>ha</w:t>
      </w:r>
      <w:proofErr w:type="spellEnd"/>
      <w:r w:rsidRPr="001469A0">
        <w:rPr>
          <w:rFonts w:cs="Times New Roman"/>
          <w:color w:val="auto"/>
          <w:szCs w:val="24"/>
        </w:rPr>
        <w:t xml:space="preserve"> (7,46 %). Тенденцията в страната е към общо увеличаване на общата и залесена площ  на горите и горските територии. Информация за изменението в площта на горските територии в периода 1960-2020 г. е дадена на </w:t>
      </w:r>
      <w:r w:rsidRPr="001469A0">
        <w:rPr>
          <w:color w:val="auto"/>
        </w:rPr>
        <w:fldChar w:fldCharType="begin"/>
      </w:r>
      <w:r w:rsidRPr="001469A0">
        <w:rPr>
          <w:color w:val="auto"/>
        </w:rPr>
        <w:instrText xml:space="preserve"> REF _Ref107171921 \h  \* MERGEFORMAT </w:instrText>
      </w:r>
      <w:r w:rsidRPr="001469A0">
        <w:rPr>
          <w:color w:val="auto"/>
        </w:rPr>
      </w:r>
      <w:r w:rsidRPr="001469A0">
        <w:rPr>
          <w:color w:val="auto"/>
        </w:rPr>
        <w:fldChar w:fldCharType="separate"/>
      </w:r>
      <w:r w:rsidR="00A43EF3" w:rsidRPr="001469A0">
        <w:rPr>
          <w:color w:val="auto"/>
        </w:rPr>
        <w:t xml:space="preserve">Фигура </w:t>
      </w:r>
      <w:r w:rsidR="00A43EF3">
        <w:rPr>
          <w:noProof/>
          <w:color w:val="auto"/>
        </w:rPr>
        <w:t>71</w:t>
      </w:r>
      <w:r w:rsidR="00A43EF3" w:rsidRPr="001469A0">
        <w:rPr>
          <w:color w:val="auto"/>
        </w:rPr>
        <w:t xml:space="preserve">:  </w:t>
      </w:r>
      <w:r w:rsidR="00A43EF3" w:rsidRPr="00A43EF3">
        <w:rPr>
          <w:rFonts w:cs="Times New Roman"/>
          <w:iCs/>
          <w:color w:val="auto"/>
          <w:szCs w:val="24"/>
        </w:rPr>
        <w:t>Площ на горите и горските територии 1960-2020г. Източник: ИАГ</w:t>
      </w:r>
      <w:r w:rsidRPr="001469A0">
        <w:rPr>
          <w:color w:val="auto"/>
        </w:rPr>
        <w:fldChar w:fldCharType="end"/>
      </w:r>
      <w:r w:rsidRPr="001469A0">
        <w:rPr>
          <w:rFonts w:cs="Times New Roman"/>
          <w:color w:val="auto"/>
          <w:szCs w:val="24"/>
        </w:rPr>
        <w:t xml:space="preserve">. </w:t>
      </w:r>
    </w:p>
    <w:p w14:paraId="117A8739" w14:textId="77777777" w:rsidR="00BB6626" w:rsidRPr="001469A0" w:rsidRDefault="00BB6626" w:rsidP="0084747F">
      <w:pPr>
        <w:spacing w:after="60" w:line="264" w:lineRule="auto"/>
        <w:ind w:firstLine="709"/>
        <w:contextualSpacing/>
        <w:jc w:val="both"/>
        <w:rPr>
          <w:rFonts w:cs="Times New Roman"/>
          <w:color w:val="auto"/>
          <w:szCs w:val="24"/>
        </w:rPr>
      </w:pPr>
    </w:p>
    <w:p w14:paraId="24A25759" w14:textId="77777777" w:rsidR="00BB6626" w:rsidRPr="001469A0" w:rsidRDefault="00BB6626" w:rsidP="0084747F">
      <w:pPr>
        <w:spacing w:after="60" w:line="264" w:lineRule="auto"/>
        <w:ind w:firstLine="709"/>
        <w:contextualSpacing/>
        <w:jc w:val="both"/>
        <w:rPr>
          <w:rFonts w:cs="Times New Roman"/>
          <w:i/>
          <w:color w:val="auto"/>
          <w:szCs w:val="24"/>
          <w:u w:val="single"/>
        </w:rPr>
      </w:pPr>
      <w:r w:rsidRPr="001469A0">
        <w:rPr>
          <w:rFonts w:cs="Times New Roman"/>
          <w:i/>
          <w:color w:val="auto"/>
          <w:szCs w:val="24"/>
          <w:u w:val="single"/>
        </w:rPr>
        <w:t xml:space="preserve"> </w:t>
      </w:r>
      <w:r w:rsidRPr="001469A0">
        <w:rPr>
          <w:rFonts w:cs="Times New Roman"/>
          <w:noProof/>
          <w:color w:val="auto"/>
          <w:szCs w:val="24"/>
          <w:lang w:val="en-US"/>
        </w:rPr>
        <w:drawing>
          <wp:inline distT="0" distB="0" distL="0" distR="0" wp14:anchorId="2C9108EC" wp14:editId="5F8AB2ED">
            <wp:extent cx="5096510" cy="2590800"/>
            <wp:effectExtent l="0" t="0" r="8890" b="0"/>
            <wp:docPr id="9" name="Chart 64">
              <a:extLst xmlns:a="http://schemas.openxmlformats.org/drawingml/2006/main">
                <a:ext uri="{FF2B5EF4-FFF2-40B4-BE49-F238E27FC236}">
                  <a16:creationId xmlns:a16="http://schemas.microsoft.com/office/drawing/2014/main" id="{BCDD2376-838E-48B6-A4F8-A04357EDCF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2FDA94F" w14:textId="77777777" w:rsidR="00BB6626" w:rsidRPr="001469A0" w:rsidRDefault="00BB6626" w:rsidP="0084747F">
      <w:pPr>
        <w:spacing w:after="60" w:line="264" w:lineRule="auto"/>
        <w:ind w:firstLine="709"/>
        <w:contextualSpacing/>
        <w:jc w:val="both"/>
        <w:rPr>
          <w:rFonts w:cs="Times New Roman"/>
          <w:color w:val="auto"/>
          <w:szCs w:val="24"/>
        </w:rPr>
      </w:pPr>
      <w:bookmarkStart w:id="380" w:name="_Ref97622366"/>
      <w:bookmarkStart w:id="381" w:name="_Toc532216097"/>
    </w:p>
    <w:p w14:paraId="5854E31C" w14:textId="31436DEE" w:rsidR="00BB6626" w:rsidRPr="001469A0" w:rsidRDefault="00530FAF" w:rsidP="00530FAF">
      <w:pPr>
        <w:pStyle w:val="Caption"/>
        <w:rPr>
          <w:iCs w:val="0"/>
          <w:color w:val="auto"/>
        </w:rPr>
      </w:pPr>
      <w:bookmarkStart w:id="382" w:name="_Ref97625013"/>
      <w:bookmarkStart w:id="383" w:name="_Toc98762608"/>
      <w:bookmarkStart w:id="384" w:name="_Ref107171921"/>
      <w:bookmarkStart w:id="385" w:name="_Toc115255132"/>
      <w:r w:rsidRPr="001469A0">
        <w:rPr>
          <w:color w:val="auto"/>
        </w:rPr>
        <w:t xml:space="preserve">Фигура </w:t>
      </w:r>
      <w:r w:rsidRPr="001469A0">
        <w:rPr>
          <w:color w:val="auto"/>
        </w:rPr>
        <w:fldChar w:fldCharType="begin"/>
      </w:r>
      <w:r w:rsidRPr="001469A0">
        <w:rPr>
          <w:color w:val="auto"/>
        </w:rPr>
        <w:instrText xml:space="preserve"> SEQ Фигура \* ARABIC </w:instrText>
      </w:r>
      <w:r w:rsidRPr="001469A0">
        <w:rPr>
          <w:color w:val="auto"/>
        </w:rPr>
        <w:fldChar w:fldCharType="separate"/>
      </w:r>
      <w:r w:rsidR="00A43EF3">
        <w:rPr>
          <w:noProof/>
          <w:color w:val="auto"/>
        </w:rPr>
        <w:t>71</w:t>
      </w:r>
      <w:r w:rsidRPr="001469A0">
        <w:rPr>
          <w:noProof/>
          <w:color w:val="auto"/>
        </w:rPr>
        <w:fldChar w:fldCharType="end"/>
      </w:r>
      <w:r w:rsidRPr="001469A0">
        <w:rPr>
          <w:color w:val="auto"/>
        </w:rPr>
        <w:t xml:space="preserve">: </w:t>
      </w:r>
      <w:bookmarkEnd w:id="382"/>
      <w:r w:rsidR="00BB6626" w:rsidRPr="001469A0">
        <w:rPr>
          <w:color w:val="auto"/>
        </w:rPr>
        <w:t xml:space="preserve"> Площ на горите и горските територии 1960-2020г. Източник: ИАГ</w:t>
      </w:r>
      <w:bookmarkEnd w:id="383"/>
      <w:bookmarkEnd w:id="384"/>
      <w:bookmarkEnd w:id="385"/>
      <w:r w:rsidR="00BB6626" w:rsidRPr="001469A0">
        <w:rPr>
          <w:color w:val="auto"/>
        </w:rPr>
        <w:t xml:space="preserve"> </w:t>
      </w:r>
    </w:p>
    <w:p w14:paraId="4B9997D8" w14:textId="77777777" w:rsidR="00BB6626" w:rsidRPr="001469A0" w:rsidRDefault="00BB6626" w:rsidP="0084747F">
      <w:pPr>
        <w:spacing w:after="60" w:line="264" w:lineRule="auto"/>
        <w:ind w:firstLine="709"/>
        <w:contextualSpacing/>
        <w:jc w:val="both"/>
        <w:rPr>
          <w:rFonts w:cs="Times New Roman"/>
          <w:iCs/>
          <w:color w:val="auto"/>
          <w:szCs w:val="24"/>
        </w:rPr>
      </w:pPr>
    </w:p>
    <w:p w14:paraId="5E630ECF" w14:textId="5993A4B9" w:rsidR="00BB6626" w:rsidRPr="001469A0" w:rsidRDefault="00BB6626" w:rsidP="0084747F">
      <w:pPr>
        <w:spacing w:after="60" w:line="264" w:lineRule="auto"/>
        <w:ind w:firstLine="709"/>
        <w:contextualSpacing/>
        <w:jc w:val="both"/>
        <w:rPr>
          <w:rFonts w:cs="Times New Roman"/>
          <w:color w:val="auto"/>
          <w:szCs w:val="24"/>
        </w:rPr>
      </w:pPr>
      <w:proofErr w:type="spellStart"/>
      <w:r w:rsidRPr="001469A0">
        <w:rPr>
          <w:rFonts w:cs="Times New Roman"/>
          <w:color w:val="auto"/>
          <w:szCs w:val="24"/>
        </w:rPr>
        <w:t>Лесистоста</w:t>
      </w:r>
      <w:proofErr w:type="spellEnd"/>
      <w:r w:rsidRPr="001469A0">
        <w:rPr>
          <w:rFonts w:cs="Times New Roman"/>
          <w:color w:val="auto"/>
          <w:szCs w:val="24"/>
        </w:rPr>
        <w:t xml:space="preserve"> е с тенденция към увеличение и през 2020 г. горските територии заемат 35,32% от територията на страната (</w:t>
      </w:r>
      <w:r w:rsidRPr="001469A0">
        <w:rPr>
          <w:color w:val="auto"/>
        </w:rPr>
        <w:fldChar w:fldCharType="begin"/>
      </w:r>
      <w:r w:rsidRPr="001469A0">
        <w:rPr>
          <w:color w:val="auto"/>
        </w:rPr>
        <w:instrText xml:space="preserve"> REF _Ref97626469 \h  \* MERGEFORMAT </w:instrText>
      </w:r>
      <w:r w:rsidRPr="001469A0">
        <w:rPr>
          <w:color w:val="auto"/>
        </w:rPr>
      </w:r>
      <w:r w:rsidRPr="001469A0">
        <w:rPr>
          <w:color w:val="auto"/>
        </w:rPr>
        <w:fldChar w:fldCharType="separate"/>
      </w:r>
      <w:r w:rsidR="00A43EF3" w:rsidRPr="001469A0">
        <w:rPr>
          <w:color w:val="auto"/>
        </w:rPr>
        <w:t xml:space="preserve">Фигура </w:t>
      </w:r>
      <w:r w:rsidR="00A43EF3">
        <w:rPr>
          <w:noProof/>
          <w:color w:val="auto"/>
        </w:rPr>
        <w:t>72</w:t>
      </w:r>
      <w:r w:rsidR="00A43EF3" w:rsidRPr="001469A0">
        <w:rPr>
          <w:color w:val="auto"/>
        </w:rPr>
        <w:t xml:space="preserve">: </w:t>
      </w:r>
      <w:r w:rsidRPr="001469A0">
        <w:rPr>
          <w:color w:val="auto"/>
        </w:rPr>
        <w:fldChar w:fldCharType="end"/>
      </w:r>
      <w:r w:rsidR="003F3D71" w:rsidRPr="001469A0">
        <w:rPr>
          <w:rFonts w:cs="Times New Roman"/>
          <w:color w:val="auto"/>
          <w:highlight w:val="yellow"/>
        </w:rPr>
        <w:fldChar w:fldCharType="begin"/>
      </w:r>
      <w:r w:rsidR="003E6798" w:rsidRPr="001469A0">
        <w:rPr>
          <w:rFonts w:cs="Times New Roman"/>
          <w:color w:val="auto"/>
          <w:highlight w:val="yellow"/>
        </w:rPr>
        <w:instrText xml:space="preserve"> REF _Ref107171984 \h </w:instrText>
      </w:r>
      <w:r w:rsidR="003F3D71" w:rsidRPr="001469A0">
        <w:rPr>
          <w:rFonts w:cs="Times New Roman"/>
          <w:color w:val="auto"/>
          <w:highlight w:val="yellow"/>
        </w:rPr>
      </w:r>
      <w:r w:rsidR="003F3D71" w:rsidRPr="001469A0">
        <w:rPr>
          <w:rFonts w:cs="Times New Roman"/>
          <w:color w:val="auto"/>
          <w:highlight w:val="yellow"/>
        </w:rPr>
        <w:fldChar w:fldCharType="separate"/>
      </w:r>
      <w:r w:rsidR="00A43EF3" w:rsidRPr="001469A0">
        <w:rPr>
          <w:color w:val="auto"/>
        </w:rPr>
        <w:t xml:space="preserve">Фигура </w:t>
      </w:r>
      <w:r w:rsidR="00A43EF3">
        <w:rPr>
          <w:noProof/>
          <w:color w:val="auto"/>
        </w:rPr>
        <w:t>72</w:t>
      </w:r>
      <w:r w:rsidR="003F3D71" w:rsidRPr="001469A0">
        <w:rPr>
          <w:rFonts w:cs="Times New Roman"/>
          <w:color w:val="auto"/>
          <w:highlight w:val="yellow"/>
        </w:rPr>
        <w:fldChar w:fldCharType="end"/>
      </w:r>
      <w:r w:rsidR="003E6798" w:rsidRPr="001469A0">
        <w:rPr>
          <w:rFonts w:cs="Times New Roman"/>
          <w:color w:val="auto"/>
        </w:rPr>
        <w:t>)</w:t>
      </w:r>
      <w:r w:rsidRPr="001469A0">
        <w:rPr>
          <w:rFonts w:cs="Times New Roman"/>
          <w:color w:val="auto"/>
          <w:szCs w:val="24"/>
        </w:rPr>
        <w:t xml:space="preserve">. </w:t>
      </w:r>
    </w:p>
    <w:p w14:paraId="193C1722" w14:textId="77777777" w:rsidR="00BB6626" w:rsidRPr="001469A0" w:rsidRDefault="00BB6626" w:rsidP="0084747F">
      <w:pPr>
        <w:spacing w:after="60" w:line="264" w:lineRule="auto"/>
        <w:ind w:firstLine="709"/>
        <w:contextualSpacing/>
        <w:jc w:val="both"/>
        <w:rPr>
          <w:rFonts w:cs="Times New Roman"/>
          <w:color w:val="auto"/>
          <w:szCs w:val="24"/>
        </w:rPr>
      </w:pPr>
    </w:p>
    <w:p w14:paraId="31503776" w14:textId="77777777" w:rsidR="00BB6626" w:rsidRPr="009F6D1E" w:rsidRDefault="00BB6626" w:rsidP="0084747F">
      <w:pPr>
        <w:spacing w:after="60" w:line="264" w:lineRule="auto"/>
        <w:contextualSpacing/>
        <w:jc w:val="center"/>
        <w:rPr>
          <w:rFonts w:cs="Times New Roman"/>
          <w:color w:val="1F3864" w:themeColor="accent1" w:themeShade="80"/>
          <w:szCs w:val="24"/>
        </w:rPr>
      </w:pPr>
      <w:r w:rsidRPr="009F6D1E">
        <w:rPr>
          <w:rFonts w:cs="Times New Roman"/>
          <w:noProof/>
          <w:color w:val="1F3864" w:themeColor="accent1" w:themeShade="80"/>
          <w:szCs w:val="24"/>
          <w:lang w:val="en-US"/>
        </w:rPr>
        <w:drawing>
          <wp:inline distT="0" distB="0" distL="0" distR="0" wp14:anchorId="2A7BB464" wp14:editId="66FF0EE7">
            <wp:extent cx="5052060" cy="2987040"/>
            <wp:effectExtent l="0" t="0" r="15240" b="3810"/>
            <wp:docPr id="450" name="Chart 66">
              <a:extLst xmlns:a="http://schemas.openxmlformats.org/drawingml/2006/main">
                <a:ext uri="{FF2B5EF4-FFF2-40B4-BE49-F238E27FC236}">
                  <a16:creationId xmlns:a16="http://schemas.microsoft.com/office/drawing/2014/main" id="{E409B8B3-BA3A-4A57-992D-9CDDF1D3DE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D6C87FA" w14:textId="77777777" w:rsidR="00BB6626" w:rsidRPr="009F6D1E" w:rsidRDefault="00BB6626" w:rsidP="0084747F">
      <w:pPr>
        <w:spacing w:after="60" w:line="264" w:lineRule="auto"/>
        <w:contextualSpacing/>
        <w:jc w:val="center"/>
        <w:rPr>
          <w:rFonts w:cs="Times New Roman"/>
          <w:color w:val="1F3864" w:themeColor="accent1" w:themeShade="80"/>
          <w:szCs w:val="24"/>
        </w:rPr>
      </w:pPr>
    </w:p>
    <w:p w14:paraId="77A9610D" w14:textId="1C2073C0" w:rsidR="00BB6626" w:rsidRPr="001469A0" w:rsidRDefault="003E6798" w:rsidP="003E6798">
      <w:pPr>
        <w:pStyle w:val="Caption"/>
        <w:rPr>
          <w:iCs w:val="0"/>
          <w:color w:val="auto"/>
        </w:rPr>
      </w:pPr>
      <w:bookmarkStart w:id="386" w:name="_Ref107171984"/>
      <w:bookmarkStart w:id="387" w:name="_Ref97626469"/>
      <w:bookmarkStart w:id="388" w:name="_Toc98762609"/>
      <w:bookmarkStart w:id="389" w:name="_Ref107171973"/>
      <w:bookmarkStart w:id="390" w:name="_Toc115255133"/>
      <w:r w:rsidRPr="001469A0">
        <w:rPr>
          <w:color w:val="auto"/>
        </w:rPr>
        <w:lastRenderedPageBreak/>
        <w:t xml:space="preserve">Фигура </w:t>
      </w:r>
      <w:r w:rsidRPr="001469A0">
        <w:rPr>
          <w:color w:val="auto"/>
        </w:rPr>
        <w:fldChar w:fldCharType="begin"/>
      </w:r>
      <w:r w:rsidRPr="001469A0">
        <w:rPr>
          <w:color w:val="auto"/>
        </w:rPr>
        <w:instrText xml:space="preserve"> SEQ Фигура \* ARABIC </w:instrText>
      </w:r>
      <w:r w:rsidRPr="001469A0">
        <w:rPr>
          <w:color w:val="auto"/>
        </w:rPr>
        <w:fldChar w:fldCharType="separate"/>
      </w:r>
      <w:r w:rsidR="00A43EF3">
        <w:rPr>
          <w:noProof/>
          <w:color w:val="auto"/>
        </w:rPr>
        <w:t>72</w:t>
      </w:r>
      <w:r w:rsidRPr="001469A0">
        <w:rPr>
          <w:noProof/>
          <w:color w:val="auto"/>
        </w:rPr>
        <w:fldChar w:fldCharType="end"/>
      </w:r>
      <w:bookmarkEnd w:id="386"/>
      <w:r w:rsidRPr="001469A0">
        <w:rPr>
          <w:color w:val="auto"/>
        </w:rPr>
        <w:t xml:space="preserve">: </w:t>
      </w:r>
      <w:bookmarkEnd w:id="387"/>
      <w:r w:rsidR="00BB6626" w:rsidRPr="001469A0">
        <w:rPr>
          <w:color w:val="auto"/>
        </w:rPr>
        <w:t xml:space="preserve"> </w:t>
      </w:r>
      <w:proofErr w:type="spellStart"/>
      <w:r w:rsidR="00BB6626" w:rsidRPr="001469A0">
        <w:rPr>
          <w:color w:val="auto"/>
        </w:rPr>
        <w:t>Лесистост</w:t>
      </w:r>
      <w:proofErr w:type="spellEnd"/>
      <w:r w:rsidR="00BB6626" w:rsidRPr="001469A0">
        <w:rPr>
          <w:color w:val="auto"/>
        </w:rPr>
        <w:t xml:space="preserve"> в България в периода 1960-2020 г. Източник: ИАГ</w:t>
      </w:r>
      <w:bookmarkEnd w:id="388"/>
      <w:bookmarkEnd w:id="389"/>
      <w:bookmarkEnd w:id="390"/>
    </w:p>
    <w:p w14:paraId="37FD2AD5" w14:textId="77777777" w:rsidR="00BB6626" w:rsidRPr="001469A0" w:rsidRDefault="00BB6626" w:rsidP="0084747F">
      <w:pPr>
        <w:spacing w:after="60" w:line="264" w:lineRule="auto"/>
        <w:ind w:firstLine="709"/>
        <w:contextualSpacing/>
        <w:jc w:val="both"/>
        <w:rPr>
          <w:rFonts w:cs="Times New Roman"/>
          <w:iCs/>
          <w:color w:val="auto"/>
          <w:szCs w:val="24"/>
        </w:rPr>
      </w:pPr>
    </w:p>
    <w:p w14:paraId="227D9110" w14:textId="77777777" w:rsidR="00A43EF3" w:rsidRPr="001469A0" w:rsidRDefault="00BB6626" w:rsidP="00A43EF3">
      <w:pPr>
        <w:spacing w:after="60" w:line="264" w:lineRule="auto"/>
        <w:ind w:firstLine="709"/>
        <w:contextualSpacing/>
        <w:jc w:val="both"/>
        <w:rPr>
          <w:color w:val="auto"/>
        </w:rPr>
      </w:pPr>
      <w:r w:rsidRPr="001469A0">
        <w:rPr>
          <w:rFonts w:cs="Times New Roman"/>
          <w:color w:val="auto"/>
          <w:szCs w:val="24"/>
        </w:rPr>
        <w:t xml:space="preserve">По данни на Стоева и др. (2018) горските територии в България през 2017 г. заемат 4,24 млн. </w:t>
      </w:r>
      <w:proofErr w:type="spellStart"/>
      <w:r w:rsidRPr="001469A0">
        <w:rPr>
          <w:rFonts w:cs="Times New Roman"/>
          <w:color w:val="auto"/>
          <w:szCs w:val="24"/>
        </w:rPr>
        <w:t>ha</w:t>
      </w:r>
      <w:proofErr w:type="spellEnd"/>
      <w:r w:rsidRPr="001469A0">
        <w:rPr>
          <w:rFonts w:cs="Times New Roman"/>
          <w:color w:val="auto"/>
          <w:szCs w:val="24"/>
        </w:rPr>
        <w:t xml:space="preserve"> или 38,2% от нейната територия. От тях 3,88 млн. </w:t>
      </w:r>
      <w:proofErr w:type="spellStart"/>
      <w:r w:rsidRPr="001469A0">
        <w:rPr>
          <w:rFonts w:cs="Times New Roman"/>
          <w:color w:val="auto"/>
          <w:szCs w:val="24"/>
        </w:rPr>
        <w:t>ha</w:t>
      </w:r>
      <w:proofErr w:type="spellEnd"/>
      <w:r w:rsidRPr="001469A0">
        <w:rPr>
          <w:rFonts w:cs="Times New Roman"/>
          <w:color w:val="auto"/>
          <w:szCs w:val="24"/>
        </w:rPr>
        <w:t xml:space="preserve"> (91,0%) са гори. Площта на незаетите от горска дървесна растителност горски територии е 302 000 </w:t>
      </w:r>
      <w:proofErr w:type="spellStart"/>
      <w:r w:rsidRPr="001469A0">
        <w:rPr>
          <w:rFonts w:cs="Times New Roman"/>
          <w:color w:val="auto"/>
          <w:szCs w:val="24"/>
        </w:rPr>
        <w:t>ha</w:t>
      </w:r>
      <w:proofErr w:type="spellEnd"/>
      <w:r w:rsidRPr="001469A0">
        <w:rPr>
          <w:rFonts w:cs="Times New Roman"/>
          <w:color w:val="auto"/>
          <w:szCs w:val="24"/>
        </w:rPr>
        <w:t xml:space="preserve">. В сравнение с </w:t>
      </w:r>
      <w:proofErr w:type="spellStart"/>
      <w:r w:rsidRPr="001469A0">
        <w:rPr>
          <w:rFonts w:cs="Times New Roman"/>
          <w:color w:val="auto"/>
          <w:szCs w:val="24"/>
        </w:rPr>
        <w:t>даните</w:t>
      </w:r>
      <w:proofErr w:type="spellEnd"/>
      <w:r w:rsidRPr="001469A0">
        <w:rPr>
          <w:rFonts w:cs="Times New Roman"/>
          <w:color w:val="auto"/>
          <w:szCs w:val="24"/>
        </w:rPr>
        <w:t xml:space="preserve"> към 2000 г. общата горска площ на страната е нараснала с около 330 000 </w:t>
      </w:r>
      <w:proofErr w:type="spellStart"/>
      <w:r w:rsidRPr="001469A0">
        <w:rPr>
          <w:rFonts w:cs="Times New Roman"/>
          <w:color w:val="auto"/>
          <w:szCs w:val="24"/>
        </w:rPr>
        <w:t>ha</w:t>
      </w:r>
      <w:proofErr w:type="spellEnd"/>
      <w:r w:rsidRPr="001469A0">
        <w:rPr>
          <w:rFonts w:cs="Times New Roman"/>
          <w:color w:val="auto"/>
          <w:szCs w:val="24"/>
        </w:rPr>
        <w:t xml:space="preserve"> (~ 8 %). Същевременно увеличението на териториите, покрити с гори, е с близо 480 000 </w:t>
      </w:r>
      <w:proofErr w:type="spellStart"/>
      <w:r w:rsidRPr="001469A0">
        <w:rPr>
          <w:rFonts w:cs="Times New Roman"/>
          <w:color w:val="auto"/>
          <w:szCs w:val="24"/>
        </w:rPr>
        <w:t>ha</w:t>
      </w:r>
      <w:proofErr w:type="spellEnd"/>
      <w:r w:rsidRPr="001469A0">
        <w:rPr>
          <w:rFonts w:cs="Times New Roman"/>
          <w:color w:val="auto"/>
          <w:szCs w:val="24"/>
        </w:rPr>
        <w:t xml:space="preserve"> (14%). Основни фактори, които благоприятстват динамиката на този процес, са </w:t>
      </w:r>
      <w:proofErr w:type="spellStart"/>
      <w:r w:rsidRPr="001469A0">
        <w:rPr>
          <w:rFonts w:cs="Times New Roman"/>
          <w:color w:val="auto"/>
          <w:szCs w:val="24"/>
        </w:rPr>
        <w:t>самозалесяването</w:t>
      </w:r>
      <w:proofErr w:type="spellEnd"/>
      <w:r w:rsidRPr="001469A0">
        <w:rPr>
          <w:rFonts w:cs="Times New Roman"/>
          <w:color w:val="auto"/>
          <w:szCs w:val="24"/>
        </w:rPr>
        <w:t xml:space="preserve"> на незалесени горски площи и изоставени земи извън горските територии и залесяването на незалесени горски територии. Общата площ нараства по-слабо от залесената, което се дължи основно на увеличението на горите, появили се върху </w:t>
      </w:r>
      <w:proofErr w:type="spellStart"/>
      <w:r w:rsidRPr="001469A0">
        <w:rPr>
          <w:rFonts w:cs="Times New Roman"/>
          <w:color w:val="auto"/>
          <w:szCs w:val="24"/>
        </w:rPr>
        <w:t>необработваните</w:t>
      </w:r>
      <w:proofErr w:type="spellEnd"/>
      <w:r w:rsidRPr="001469A0">
        <w:rPr>
          <w:rFonts w:cs="Times New Roman"/>
          <w:color w:val="auto"/>
          <w:szCs w:val="24"/>
        </w:rPr>
        <w:t xml:space="preserve"> дълги години пустеещи земи извън горските територии. Изменението е площта на горите и горските територии в периода 2000-2017 г. е дадено на </w:t>
      </w:r>
      <w:r w:rsidRPr="001469A0">
        <w:rPr>
          <w:color w:val="auto"/>
        </w:rPr>
        <w:fldChar w:fldCharType="begin"/>
      </w:r>
      <w:r w:rsidRPr="001469A0">
        <w:rPr>
          <w:color w:val="auto"/>
        </w:rPr>
        <w:instrText xml:space="preserve"> REF _Ref107172061 \h  \* MERGEFORMAT </w:instrText>
      </w:r>
      <w:r w:rsidRPr="001469A0">
        <w:rPr>
          <w:color w:val="auto"/>
        </w:rPr>
      </w:r>
      <w:r w:rsidRPr="001469A0">
        <w:rPr>
          <w:color w:val="auto"/>
        </w:rPr>
        <w:fldChar w:fldCharType="separate"/>
      </w:r>
    </w:p>
    <w:p w14:paraId="4632DE31" w14:textId="77777777" w:rsidR="00A43EF3" w:rsidRPr="001469A0" w:rsidRDefault="00A43EF3" w:rsidP="00A43EF3">
      <w:pPr>
        <w:spacing w:after="60" w:line="264" w:lineRule="auto"/>
        <w:ind w:firstLine="709"/>
        <w:contextualSpacing/>
        <w:jc w:val="both"/>
        <w:rPr>
          <w:noProof/>
          <w:color w:val="auto"/>
        </w:rPr>
      </w:pPr>
      <w:r w:rsidRPr="001469A0">
        <w:rPr>
          <w:noProof/>
          <w:color w:val="auto"/>
          <w:lang w:val="en-US"/>
        </w:rPr>
        <w:drawing>
          <wp:inline distT="0" distB="0" distL="0" distR="0" wp14:anchorId="3D0AD219" wp14:editId="632ADBBA">
            <wp:extent cx="4899025" cy="3181632"/>
            <wp:effectExtent l="1905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4899025" cy="3181632"/>
                    </a:xfrm>
                    <a:prstGeom prst="rect">
                      <a:avLst/>
                    </a:prstGeom>
                    <a:noFill/>
                    <a:ln w="9525">
                      <a:noFill/>
                      <a:miter lim="800000"/>
                      <a:headEnd/>
                      <a:tailEnd/>
                    </a:ln>
                  </pic:spPr>
                </pic:pic>
              </a:graphicData>
            </a:graphic>
          </wp:inline>
        </w:drawing>
      </w:r>
    </w:p>
    <w:p w14:paraId="0660F1A4" w14:textId="7E3C55D1" w:rsidR="00BB6626" w:rsidRPr="001469A0" w:rsidRDefault="00A43EF3" w:rsidP="0084747F">
      <w:pPr>
        <w:spacing w:after="60" w:line="264" w:lineRule="auto"/>
        <w:ind w:firstLine="709"/>
        <w:contextualSpacing/>
        <w:jc w:val="both"/>
        <w:rPr>
          <w:rFonts w:cs="Times New Roman"/>
          <w:color w:val="auto"/>
          <w:szCs w:val="24"/>
        </w:rPr>
      </w:pPr>
      <w:r w:rsidRPr="001469A0">
        <w:rPr>
          <w:color w:val="auto"/>
        </w:rPr>
        <w:t xml:space="preserve">Фигура </w:t>
      </w:r>
      <w:r>
        <w:rPr>
          <w:noProof/>
          <w:color w:val="auto"/>
        </w:rPr>
        <w:t>73</w:t>
      </w:r>
      <w:r w:rsidR="00BB6626" w:rsidRPr="001469A0">
        <w:rPr>
          <w:color w:val="auto"/>
        </w:rPr>
        <w:fldChar w:fldCharType="end"/>
      </w:r>
      <w:r w:rsidR="00BB6626" w:rsidRPr="001469A0">
        <w:rPr>
          <w:rFonts w:cs="Times New Roman"/>
          <w:color w:val="auto"/>
          <w:szCs w:val="24"/>
        </w:rPr>
        <w:t xml:space="preserve">. </w:t>
      </w:r>
    </w:p>
    <w:p w14:paraId="5022E643" w14:textId="2C374E95" w:rsidR="00BB6626" w:rsidRPr="001469A0" w:rsidRDefault="00BB6626" w:rsidP="0084747F">
      <w:pPr>
        <w:spacing w:after="60" w:line="264" w:lineRule="auto"/>
        <w:contextualSpacing/>
        <w:jc w:val="center"/>
        <w:rPr>
          <w:rFonts w:cs="Times New Roman"/>
          <w:color w:val="auto"/>
          <w:szCs w:val="24"/>
        </w:rPr>
      </w:pPr>
    </w:p>
    <w:p w14:paraId="65E86F54" w14:textId="77777777" w:rsidR="00BB6626" w:rsidRPr="001469A0" w:rsidRDefault="00BB6626" w:rsidP="0084747F">
      <w:pPr>
        <w:spacing w:after="60" w:line="264" w:lineRule="auto"/>
        <w:contextualSpacing/>
        <w:jc w:val="center"/>
        <w:rPr>
          <w:rFonts w:cs="Times New Roman"/>
          <w:color w:val="auto"/>
          <w:szCs w:val="24"/>
        </w:rPr>
      </w:pPr>
    </w:p>
    <w:p w14:paraId="2103E54D" w14:textId="77777777" w:rsidR="00FA4236" w:rsidRPr="001469A0" w:rsidRDefault="00FA4236" w:rsidP="003E6798">
      <w:pPr>
        <w:pStyle w:val="Caption"/>
        <w:rPr>
          <w:color w:val="auto"/>
        </w:rPr>
      </w:pPr>
      <w:bookmarkStart w:id="391" w:name="_Ref107172061"/>
      <w:bookmarkStart w:id="392" w:name="_Ref97637233"/>
      <w:bookmarkStart w:id="393" w:name="_Toc98762610"/>
    </w:p>
    <w:p w14:paraId="2D807126" w14:textId="77777777" w:rsidR="00FA4236" w:rsidRPr="001469A0" w:rsidRDefault="002974E8" w:rsidP="003E6798">
      <w:pPr>
        <w:pStyle w:val="Caption"/>
        <w:rPr>
          <w:color w:val="auto"/>
        </w:rPr>
      </w:pPr>
      <w:r w:rsidRPr="001469A0">
        <w:rPr>
          <w:noProof/>
          <w:color w:val="auto"/>
          <w:lang w:val="en-US"/>
        </w:rPr>
        <w:lastRenderedPageBreak/>
        <w:drawing>
          <wp:inline distT="0" distB="0" distL="0" distR="0" wp14:anchorId="384A01AF" wp14:editId="0A2F7091">
            <wp:extent cx="4899025" cy="3181632"/>
            <wp:effectExtent l="1905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4899025" cy="3181632"/>
                    </a:xfrm>
                    <a:prstGeom prst="rect">
                      <a:avLst/>
                    </a:prstGeom>
                    <a:noFill/>
                    <a:ln w="9525">
                      <a:noFill/>
                      <a:miter lim="800000"/>
                      <a:headEnd/>
                      <a:tailEnd/>
                    </a:ln>
                  </pic:spPr>
                </pic:pic>
              </a:graphicData>
            </a:graphic>
          </wp:inline>
        </w:drawing>
      </w:r>
    </w:p>
    <w:p w14:paraId="33817ECB" w14:textId="5649F656" w:rsidR="00BB6626" w:rsidRPr="001469A0" w:rsidRDefault="003E6798" w:rsidP="003E6798">
      <w:pPr>
        <w:pStyle w:val="Caption"/>
        <w:rPr>
          <w:iCs w:val="0"/>
          <w:color w:val="auto"/>
        </w:rPr>
      </w:pPr>
      <w:bookmarkStart w:id="394" w:name="_Toc115255134"/>
      <w:r w:rsidRPr="001469A0">
        <w:rPr>
          <w:color w:val="auto"/>
        </w:rPr>
        <w:t xml:space="preserve">Фигура </w:t>
      </w:r>
      <w:r w:rsidRPr="001469A0">
        <w:rPr>
          <w:color w:val="auto"/>
        </w:rPr>
        <w:fldChar w:fldCharType="begin"/>
      </w:r>
      <w:r w:rsidRPr="001469A0">
        <w:rPr>
          <w:color w:val="auto"/>
        </w:rPr>
        <w:instrText xml:space="preserve"> SEQ Фигура \* ARABIC </w:instrText>
      </w:r>
      <w:r w:rsidRPr="001469A0">
        <w:rPr>
          <w:color w:val="auto"/>
        </w:rPr>
        <w:fldChar w:fldCharType="separate"/>
      </w:r>
      <w:r w:rsidR="00A43EF3">
        <w:rPr>
          <w:noProof/>
          <w:color w:val="auto"/>
        </w:rPr>
        <w:t>73</w:t>
      </w:r>
      <w:r w:rsidRPr="001469A0">
        <w:rPr>
          <w:noProof/>
          <w:color w:val="auto"/>
        </w:rPr>
        <w:fldChar w:fldCharType="end"/>
      </w:r>
      <w:bookmarkEnd w:id="391"/>
      <w:r w:rsidRPr="001469A0">
        <w:rPr>
          <w:color w:val="auto"/>
        </w:rPr>
        <w:t xml:space="preserve">: </w:t>
      </w:r>
      <w:bookmarkEnd w:id="380"/>
      <w:bookmarkEnd w:id="392"/>
      <w:r w:rsidR="00FA4236" w:rsidRPr="001469A0">
        <w:rPr>
          <w:color w:val="auto"/>
        </w:rPr>
        <w:t xml:space="preserve">Обща и залесена площ </w:t>
      </w:r>
      <w:r w:rsidR="00BB6626" w:rsidRPr="001469A0">
        <w:rPr>
          <w:color w:val="auto"/>
        </w:rPr>
        <w:t xml:space="preserve">на горите и горските територии </w:t>
      </w:r>
      <w:r w:rsidR="00FA4236" w:rsidRPr="001469A0">
        <w:rPr>
          <w:color w:val="auto"/>
        </w:rPr>
        <w:t>1960</w:t>
      </w:r>
      <w:r w:rsidR="00BB6626" w:rsidRPr="001469A0">
        <w:rPr>
          <w:color w:val="auto"/>
        </w:rPr>
        <w:t>-</w:t>
      </w:r>
      <w:r w:rsidR="00FA4236" w:rsidRPr="001469A0">
        <w:rPr>
          <w:color w:val="auto"/>
        </w:rPr>
        <w:t>2020г</w:t>
      </w:r>
      <w:r w:rsidR="00BB6626" w:rsidRPr="001469A0">
        <w:rPr>
          <w:color w:val="auto"/>
        </w:rPr>
        <w:t>. Източник: ИАГ</w:t>
      </w:r>
      <w:bookmarkEnd w:id="381"/>
      <w:bookmarkEnd w:id="393"/>
      <w:bookmarkEnd w:id="394"/>
    </w:p>
    <w:p w14:paraId="09EA103C" w14:textId="77777777" w:rsidR="00BB6626" w:rsidRPr="001469A0" w:rsidRDefault="00BB6626" w:rsidP="0084747F">
      <w:pPr>
        <w:spacing w:after="60" w:line="264" w:lineRule="auto"/>
        <w:ind w:firstLine="709"/>
        <w:contextualSpacing/>
        <w:jc w:val="both"/>
        <w:rPr>
          <w:rFonts w:cs="Times New Roman"/>
          <w:iCs/>
          <w:color w:val="auto"/>
          <w:szCs w:val="24"/>
        </w:rPr>
      </w:pPr>
    </w:p>
    <w:p w14:paraId="737D8325" w14:textId="77777777" w:rsidR="00BB6626" w:rsidRPr="001469A0" w:rsidRDefault="00BB6626" w:rsidP="0084747F">
      <w:pPr>
        <w:spacing w:after="60" w:line="264" w:lineRule="auto"/>
        <w:ind w:firstLine="709"/>
        <w:contextualSpacing/>
        <w:jc w:val="both"/>
        <w:rPr>
          <w:rFonts w:cs="Times New Roman"/>
          <w:color w:val="auto"/>
          <w:szCs w:val="24"/>
        </w:rPr>
      </w:pPr>
      <w:r w:rsidRPr="001469A0">
        <w:rPr>
          <w:rFonts w:cs="Times New Roman"/>
          <w:color w:val="auto"/>
          <w:szCs w:val="24"/>
        </w:rPr>
        <w:t xml:space="preserve">През годините се забелязва плавно вариране в площта на иглолистните гори, като тя се колебае между 1,11 и 1,13 млн. </w:t>
      </w:r>
      <w:proofErr w:type="spellStart"/>
      <w:r w:rsidRPr="001469A0">
        <w:rPr>
          <w:rFonts w:cs="Times New Roman"/>
          <w:color w:val="auto"/>
          <w:szCs w:val="24"/>
        </w:rPr>
        <w:t>ha</w:t>
      </w:r>
      <w:proofErr w:type="spellEnd"/>
      <w:r w:rsidRPr="001469A0">
        <w:rPr>
          <w:rFonts w:cs="Times New Roman"/>
          <w:color w:val="auto"/>
          <w:szCs w:val="24"/>
        </w:rPr>
        <w:t xml:space="preserve">. Иглолистните култури заемат около 60 % от общата площ на иглолистните гори, но намаляват плавно през годините като през 2017 г. са около 660 хил. </w:t>
      </w:r>
      <w:proofErr w:type="spellStart"/>
      <w:r w:rsidRPr="001469A0">
        <w:rPr>
          <w:rFonts w:cs="Times New Roman"/>
          <w:color w:val="auto"/>
          <w:szCs w:val="24"/>
        </w:rPr>
        <w:t>ha</w:t>
      </w:r>
      <w:proofErr w:type="spellEnd"/>
      <w:r w:rsidRPr="001469A0">
        <w:rPr>
          <w:rFonts w:cs="Times New Roman"/>
          <w:color w:val="auto"/>
          <w:szCs w:val="24"/>
        </w:rPr>
        <w:t xml:space="preserve">, което е с 10% по-малко отколкото през 2000. Същевременно се </w:t>
      </w:r>
      <w:proofErr w:type="spellStart"/>
      <w:r w:rsidRPr="001469A0">
        <w:rPr>
          <w:rFonts w:cs="Times New Roman"/>
          <w:color w:val="auto"/>
          <w:szCs w:val="24"/>
        </w:rPr>
        <w:t>забелява</w:t>
      </w:r>
      <w:proofErr w:type="spellEnd"/>
      <w:r w:rsidRPr="001469A0">
        <w:rPr>
          <w:rFonts w:cs="Times New Roman"/>
          <w:color w:val="auto"/>
          <w:szCs w:val="24"/>
        </w:rPr>
        <w:t xml:space="preserve"> увеличение на дела на естествените иглолистни гори. При широколистните гори динамиката на развитие на горските територии е по-силна. През 2017 г. се наблюдава увеличение в </w:t>
      </w:r>
      <w:proofErr w:type="spellStart"/>
      <w:r w:rsidRPr="001469A0">
        <w:rPr>
          <w:rFonts w:cs="Times New Roman"/>
          <w:color w:val="auto"/>
          <w:szCs w:val="24"/>
        </w:rPr>
        <w:t>площата</w:t>
      </w:r>
      <w:proofErr w:type="spellEnd"/>
      <w:r w:rsidRPr="001469A0">
        <w:rPr>
          <w:rFonts w:cs="Times New Roman"/>
          <w:color w:val="auto"/>
          <w:szCs w:val="24"/>
        </w:rPr>
        <w:t xml:space="preserve"> на широколистните с близо 22% спрямо 2000 г. Увеличението е голямо при </w:t>
      </w:r>
      <w:proofErr w:type="spellStart"/>
      <w:r w:rsidRPr="001469A0">
        <w:rPr>
          <w:rFonts w:cs="Times New Roman"/>
          <w:color w:val="auto"/>
          <w:szCs w:val="24"/>
        </w:rPr>
        <w:t>издънковите</w:t>
      </w:r>
      <w:proofErr w:type="spellEnd"/>
      <w:r w:rsidRPr="001469A0">
        <w:rPr>
          <w:rFonts w:cs="Times New Roman"/>
          <w:color w:val="auto"/>
          <w:szCs w:val="24"/>
        </w:rPr>
        <w:t xml:space="preserve">  за превръщане (+16,6%) и нискостъблените (+36%), което е резултат от преминаването на горите за реконструкция към посочените видове широколистни гори. Високостъблените широколистни гори нарастват с 20% по площ в сравнение с 2000 г. </w:t>
      </w:r>
    </w:p>
    <w:p w14:paraId="311D08DF" w14:textId="77777777" w:rsidR="00BB6626" w:rsidRPr="001469A0" w:rsidRDefault="00BB6626" w:rsidP="0084747F">
      <w:pPr>
        <w:spacing w:after="60" w:line="264" w:lineRule="auto"/>
        <w:ind w:firstLine="709"/>
        <w:contextualSpacing/>
        <w:jc w:val="both"/>
        <w:rPr>
          <w:rFonts w:cs="Times New Roman"/>
          <w:color w:val="auto"/>
          <w:szCs w:val="24"/>
        </w:rPr>
      </w:pPr>
    </w:p>
    <w:p w14:paraId="41EA122D"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Според Стоева и др. (2018) от тези данни могат да бъдат очертани следните тенденции и перспективи:</w:t>
      </w:r>
    </w:p>
    <w:p w14:paraId="4BC826E8" w14:textId="77777777" w:rsidR="00BB6626" w:rsidRPr="009F6D1E" w:rsidRDefault="00BB6626">
      <w:pPr>
        <w:numPr>
          <w:ilvl w:val="0"/>
          <w:numId w:val="60"/>
        </w:numPr>
        <w:spacing w:after="60" w:line="264" w:lineRule="auto"/>
        <w:contextualSpacing/>
        <w:jc w:val="both"/>
        <w:rPr>
          <w:rFonts w:cs="Times New Roman"/>
          <w:szCs w:val="24"/>
        </w:rPr>
      </w:pPr>
      <w:r w:rsidRPr="009F6D1E">
        <w:rPr>
          <w:rFonts w:cs="Times New Roman"/>
          <w:szCs w:val="24"/>
        </w:rPr>
        <w:t xml:space="preserve">Трайно нараства площта на горите основно, чрез естествено възобновяване и естествена сукцесия. </w:t>
      </w:r>
    </w:p>
    <w:p w14:paraId="588974F6" w14:textId="77777777" w:rsidR="00BB6626" w:rsidRPr="009F6D1E" w:rsidRDefault="00BB6626">
      <w:pPr>
        <w:numPr>
          <w:ilvl w:val="0"/>
          <w:numId w:val="60"/>
        </w:numPr>
        <w:spacing w:after="60" w:line="264" w:lineRule="auto"/>
        <w:contextualSpacing/>
        <w:jc w:val="both"/>
        <w:rPr>
          <w:rFonts w:cs="Times New Roman"/>
          <w:szCs w:val="24"/>
        </w:rPr>
      </w:pPr>
      <w:r w:rsidRPr="009F6D1E">
        <w:rPr>
          <w:rFonts w:cs="Times New Roman"/>
          <w:szCs w:val="24"/>
        </w:rPr>
        <w:t>Намалява площта на горите, създадени в резултат на изкуствено залесяване.</w:t>
      </w:r>
    </w:p>
    <w:p w14:paraId="2C58E3AD" w14:textId="77777777" w:rsidR="00BB6626" w:rsidRPr="009F6D1E" w:rsidRDefault="00BB6626">
      <w:pPr>
        <w:numPr>
          <w:ilvl w:val="0"/>
          <w:numId w:val="60"/>
        </w:numPr>
        <w:spacing w:after="60" w:line="264" w:lineRule="auto"/>
        <w:contextualSpacing/>
        <w:jc w:val="both"/>
        <w:rPr>
          <w:rFonts w:cs="Times New Roman"/>
          <w:szCs w:val="24"/>
        </w:rPr>
      </w:pPr>
      <w:r w:rsidRPr="009F6D1E">
        <w:rPr>
          <w:rFonts w:cs="Times New Roman"/>
          <w:szCs w:val="24"/>
        </w:rPr>
        <w:t xml:space="preserve">Намалява площта на иглолистните гори и на иглолистните култури. Очаква се тяхната площ да продължи да се редуцира под влияние на няколко фактора: (1) процеса на естествено възобновяване, който благоприятства широколистните дървесни видове, (2) вторичната сукцесия, съпровождаща възобновяването на площите, заети от иглолистни култури, достигнали зрялост и време за </w:t>
      </w:r>
      <w:r w:rsidRPr="009F6D1E">
        <w:rPr>
          <w:rFonts w:cs="Times New Roman"/>
          <w:szCs w:val="24"/>
        </w:rPr>
        <w:lastRenderedPageBreak/>
        <w:t>възобновяване, (3) влиянието на горските пожари и увеличаването на залесяването с широколистни видове.</w:t>
      </w:r>
    </w:p>
    <w:p w14:paraId="6923234F" w14:textId="77777777" w:rsidR="00BB6626" w:rsidRPr="009F6D1E" w:rsidRDefault="00BB6626">
      <w:pPr>
        <w:numPr>
          <w:ilvl w:val="0"/>
          <w:numId w:val="60"/>
        </w:numPr>
        <w:spacing w:after="60" w:line="264" w:lineRule="auto"/>
        <w:contextualSpacing/>
        <w:jc w:val="both"/>
        <w:rPr>
          <w:rFonts w:cs="Times New Roman"/>
          <w:szCs w:val="24"/>
        </w:rPr>
      </w:pPr>
      <w:r w:rsidRPr="009F6D1E">
        <w:rPr>
          <w:rFonts w:cs="Times New Roman"/>
          <w:szCs w:val="24"/>
        </w:rPr>
        <w:t xml:space="preserve">Предвижда се устойчиво нарастване на площта на широколистните високостъблени гори в резултат на превръщането на </w:t>
      </w:r>
      <w:proofErr w:type="spellStart"/>
      <w:r w:rsidRPr="009F6D1E">
        <w:rPr>
          <w:rFonts w:cs="Times New Roman"/>
          <w:szCs w:val="24"/>
        </w:rPr>
        <w:t>издънковите</w:t>
      </w:r>
      <w:proofErr w:type="spellEnd"/>
      <w:r w:rsidRPr="009F6D1E">
        <w:rPr>
          <w:rFonts w:cs="Times New Roman"/>
          <w:szCs w:val="24"/>
        </w:rPr>
        <w:t xml:space="preserve"> гори във високостъблени гори.</w:t>
      </w:r>
    </w:p>
    <w:p w14:paraId="040E8823" w14:textId="77777777" w:rsidR="00BB6626" w:rsidRPr="009F6D1E" w:rsidRDefault="00BB6626" w:rsidP="0084747F">
      <w:pPr>
        <w:spacing w:after="60" w:line="264" w:lineRule="auto"/>
        <w:ind w:firstLine="709"/>
        <w:contextualSpacing/>
        <w:jc w:val="both"/>
        <w:rPr>
          <w:rFonts w:cs="Times New Roman"/>
          <w:szCs w:val="24"/>
        </w:rPr>
      </w:pPr>
    </w:p>
    <w:p w14:paraId="3C89528C" w14:textId="77777777" w:rsidR="00BB6626" w:rsidRPr="009F6D1E" w:rsidRDefault="00BB6626">
      <w:pPr>
        <w:pStyle w:val="ListParagraph"/>
        <w:numPr>
          <w:ilvl w:val="0"/>
          <w:numId w:val="61"/>
        </w:numPr>
        <w:spacing w:after="60" w:line="264" w:lineRule="auto"/>
        <w:jc w:val="both"/>
        <w:rPr>
          <w:i/>
          <w:color w:val="000000" w:themeColor="text1"/>
          <w:lang w:val="bg-BG"/>
        </w:rPr>
      </w:pPr>
      <w:r w:rsidRPr="009F6D1E">
        <w:rPr>
          <w:i/>
          <w:color w:val="000000" w:themeColor="text1"/>
          <w:lang w:val="bg-BG"/>
        </w:rPr>
        <w:t>Собственост</w:t>
      </w:r>
    </w:p>
    <w:p w14:paraId="7B30A8A9"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 xml:space="preserve">Най-голям дял на собственост на горите в България има държавата (ИАОС, 2021). </w:t>
      </w:r>
      <w:proofErr w:type="spellStart"/>
      <w:r w:rsidRPr="009F6D1E">
        <w:rPr>
          <w:rFonts w:cs="Times New Roman"/>
          <w:szCs w:val="24"/>
        </w:rPr>
        <w:t>Полощта</w:t>
      </w:r>
      <w:proofErr w:type="spellEnd"/>
      <w:r w:rsidRPr="009F6D1E">
        <w:rPr>
          <w:rFonts w:cs="Times New Roman"/>
          <w:szCs w:val="24"/>
        </w:rPr>
        <w:t xml:space="preserve"> на горските територии - държавна собственост, управлявани от държавните предприятия по чл. 163 от Закона за горите е 2 885 194 </w:t>
      </w:r>
      <w:proofErr w:type="spellStart"/>
      <w:r w:rsidRPr="009F6D1E">
        <w:rPr>
          <w:rFonts w:cs="Times New Roman"/>
          <w:szCs w:val="24"/>
        </w:rPr>
        <w:t>hа</w:t>
      </w:r>
      <w:proofErr w:type="spellEnd"/>
      <w:r w:rsidRPr="009F6D1E">
        <w:rPr>
          <w:rFonts w:cs="Times New Roman"/>
          <w:szCs w:val="24"/>
        </w:rPr>
        <w:t xml:space="preserve"> (73 %). Държавните гори, стопанисвани от МОСВ са 172 368 </w:t>
      </w:r>
      <w:proofErr w:type="spellStart"/>
      <w:r w:rsidRPr="009F6D1E">
        <w:rPr>
          <w:rFonts w:cs="Times New Roman"/>
          <w:szCs w:val="24"/>
        </w:rPr>
        <w:t>hа</w:t>
      </w:r>
      <w:proofErr w:type="spellEnd"/>
      <w:r w:rsidRPr="009F6D1E">
        <w:rPr>
          <w:rFonts w:cs="Times New Roman"/>
          <w:szCs w:val="24"/>
        </w:rPr>
        <w:t xml:space="preserve"> (4,36 %), в т.ч. резервати и поддържани резервати - 33 393 </w:t>
      </w:r>
      <w:proofErr w:type="spellStart"/>
      <w:r w:rsidRPr="009F6D1E">
        <w:rPr>
          <w:rFonts w:cs="Times New Roman"/>
          <w:szCs w:val="24"/>
        </w:rPr>
        <w:t>hа</w:t>
      </w:r>
      <w:proofErr w:type="spellEnd"/>
      <w:r w:rsidRPr="009F6D1E">
        <w:rPr>
          <w:rFonts w:cs="Times New Roman"/>
          <w:szCs w:val="24"/>
        </w:rPr>
        <w:t xml:space="preserve">, Национален парк „Рила" - 53 479 </w:t>
      </w:r>
      <w:proofErr w:type="spellStart"/>
      <w:r w:rsidRPr="009F6D1E">
        <w:rPr>
          <w:rFonts w:cs="Times New Roman"/>
          <w:szCs w:val="24"/>
        </w:rPr>
        <w:t>hа</w:t>
      </w:r>
      <w:proofErr w:type="spellEnd"/>
      <w:r w:rsidRPr="009F6D1E">
        <w:rPr>
          <w:rFonts w:cs="Times New Roman"/>
          <w:szCs w:val="24"/>
        </w:rPr>
        <w:t xml:space="preserve"> Национален парк „Пирин“ - 40 332 </w:t>
      </w:r>
      <w:proofErr w:type="spellStart"/>
      <w:r w:rsidRPr="009F6D1E">
        <w:rPr>
          <w:rFonts w:cs="Times New Roman"/>
          <w:szCs w:val="24"/>
        </w:rPr>
        <w:t>ha</w:t>
      </w:r>
      <w:proofErr w:type="spellEnd"/>
      <w:r w:rsidRPr="009F6D1E">
        <w:rPr>
          <w:rFonts w:cs="Times New Roman"/>
          <w:szCs w:val="24"/>
        </w:rPr>
        <w:t xml:space="preserve">, и Национален парк „Централен Балкан“ - 45 164 </w:t>
      </w:r>
      <w:proofErr w:type="spellStart"/>
      <w:r w:rsidRPr="009F6D1E">
        <w:rPr>
          <w:rFonts w:cs="Times New Roman"/>
          <w:szCs w:val="24"/>
        </w:rPr>
        <w:t>ha</w:t>
      </w:r>
      <w:proofErr w:type="spellEnd"/>
      <w:r w:rsidRPr="009F6D1E">
        <w:rPr>
          <w:rFonts w:cs="Times New Roman"/>
          <w:szCs w:val="24"/>
        </w:rPr>
        <w:t xml:space="preserve">. </w:t>
      </w:r>
      <w:proofErr w:type="spellStart"/>
      <w:r w:rsidRPr="009F6D1E">
        <w:rPr>
          <w:rFonts w:cs="Times New Roman"/>
          <w:szCs w:val="24"/>
        </w:rPr>
        <w:t>Държавнитe</w:t>
      </w:r>
      <w:proofErr w:type="spellEnd"/>
      <w:r w:rsidRPr="009F6D1E">
        <w:rPr>
          <w:rFonts w:cs="Times New Roman"/>
          <w:szCs w:val="24"/>
        </w:rPr>
        <w:t xml:space="preserve"> горски територии, предоставени за управление на учебно-опитни горски стопанства заемат 11 271 </w:t>
      </w:r>
      <w:proofErr w:type="spellStart"/>
      <w:r w:rsidRPr="009F6D1E">
        <w:rPr>
          <w:rFonts w:cs="Times New Roman"/>
          <w:szCs w:val="24"/>
        </w:rPr>
        <w:t>hа</w:t>
      </w:r>
      <w:proofErr w:type="spellEnd"/>
      <w:r w:rsidRPr="009F6D1E">
        <w:rPr>
          <w:rFonts w:cs="Times New Roman"/>
          <w:szCs w:val="24"/>
        </w:rPr>
        <w:t xml:space="preserve"> (0,28 %). От недържавните горски територии собственост на общини са 441 824 </w:t>
      </w:r>
      <w:proofErr w:type="spellStart"/>
      <w:r w:rsidRPr="009F6D1E">
        <w:rPr>
          <w:rFonts w:cs="Times New Roman"/>
          <w:szCs w:val="24"/>
        </w:rPr>
        <w:t>hа</w:t>
      </w:r>
      <w:proofErr w:type="spellEnd"/>
      <w:r w:rsidRPr="009F6D1E">
        <w:rPr>
          <w:rFonts w:cs="Times New Roman"/>
          <w:szCs w:val="24"/>
        </w:rPr>
        <w:t xml:space="preserve"> (11,18 %), собственост на физически лица - 382 252 </w:t>
      </w:r>
      <w:proofErr w:type="spellStart"/>
      <w:r w:rsidRPr="009F6D1E">
        <w:rPr>
          <w:rFonts w:cs="Times New Roman"/>
          <w:szCs w:val="24"/>
        </w:rPr>
        <w:t>hа</w:t>
      </w:r>
      <w:proofErr w:type="spellEnd"/>
      <w:r w:rsidRPr="009F6D1E">
        <w:rPr>
          <w:rFonts w:cs="Times New Roman"/>
          <w:szCs w:val="24"/>
        </w:rPr>
        <w:t xml:space="preserve"> (9,67 %), собственост на юридически лица - 59 666 </w:t>
      </w:r>
      <w:proofErr w:type="spellStart"/>
      <w:r w:rsidRPr="009F6D1E">
        <w:rPr>
          <w:rFonts w:cs="Times New Roman"/>
          <w:szCs w:val="24"/>
        </w:rPr>
        <w:t>hа</w:t>
      </w:r>
      <w:proofErr w:type="spellEnd"/>
      <w:r w:rsidRPr="009F6D1E">
        <w:rPr>
          <w:rFonts w:cs="Times New Roman"/>
          <w:szCs w:val="24"/>
        </w:rPr>
        <w:t xml:space="preserve"> (1,51 %), в т.ч. горски територии - собственост на религиозни общности - 17 792 </w:t>
      </w:r>
      <w:proofErr w:type="spellStart"/>
      <w:r w:rsidRPr="009F6D1E">
        <w:rPr>
          <w:rFonts w:cs="Times New Roman"/>
          <w:szCs w:val="24"/>
        </w:rPr>
        <w:t>hа</w:t>
      </w:r>
      <w:proofErr w:type="spellEnd"/>
      <w:r w:rsidRPr="009F6D1E">
        <w:rPr>
          <w:rFonts w:cs="Times New Roman"/>
          <w:szCs w:val="24"/>
        </w:rPr>
        <w:t xml:space="preserve"> (0,45 %). Земеделските територии, притежаващи характеристика на гора по смисъла на чл. 2 от Закона за горите („гори върху земеделски територии“) са 318 420 </w:t>
      </w:r>
      <w:proofErr w:type="spellStart"/>
      <w:r w:rsidRPr="009F6D1E">
        <w:rPr>
          <w:rFonts w:cs="Times New Roman"/>
          <w:szCs w:val="24"/>
        </w:rPr>
        <w:t>ha</w:t>
      </w:r>
      <w:proofErr w:type="spellEnd"/>
      <w:r w:rsidRPr="009F6D1E">
        <w:rPr>
          <w:rFonts w:cs="Times New Roman"/>
          <w:szCs w:val="24"/>
        </w:rPr>
        <w:t xml:space="preserve">. В тази категория попадат 39 685 </w:t>
      </w:r>
      <w:proofErr w:type="spellStart"/>
      <w:r w:rsidRPr="009F6D1E">
        <w:rPr>
          <w:rFonts w:cs="Times New Roman"/>
          <w:szCs w:val="24"/>
        </w:rPr>
        <w:t>hа</w:t>
      </w:r>
      <w:proofErr w:type="spellEnd"/>
      <w:r w:rsidRPr="009F6D1E">
        <w:rPr>
          <w:rFonts w:cs="Times New Roman"/>
          <w:szCs w:val="24"/>
        </w:rPr>
        <w:t xml:space="preserve"> гори върху земеделски територии държавна собственост, 182 393 </w:t>
      </w:r>
      <w:proofErr w:type="spellStart"/>
      <w:r w:rsidRPr="009F6D1E">
        <w:rPr>
          <w:rFonts w:cs="Times New Roman"/>
          <w:szCs w:val="24"/>
        </w:rPr>
        <w:t>hа</w:t>
      </w:r>
      <w:proofErr w:type="spellEnd"/>
      <w:r w:rsidRPr="009F6D1E">
        <w:rPr>
          <w:rFonts w:cs="Times New Roman"/>
          <w:szCs w:val="24"/>
        </w:rPr>
        <w:t xml:space="preserve"> гори върху земеделски територии - общинска собственост,  74 194 </w:t>
      </w:r>
      <w:proofErr w:type="spellStart"/>
      <w:r w:rsidRPr="009F6D1E">
        <w:rPr>
          <w:rFonts w:cs="Times New Roman"/>
          <w:szCs w:val="24"/>
        </w:rPr>
        <w:t>hа</w:t>
      </w:r>
      <w:proofErr w:type="spellEnd"/>
      <w:r w:rsidRPr="009F6D1E">
        <w:rPr>
          <w:rFonts w:cs="Times New Roman"/>
          <w:szCs w:val="24"/>
        </w:rPr>
        <w:t xml:space="preserve"> гори върху земеделски територии - собственост на физически лица, и 11 089 </w:t>
      </w:r>
      <w:proofErr w:type="spellStart"/>
      <w:r w:rsidRPr="009F6D1E">
        <w:rPr>
          <w:rFonts w:cs="Times New Roman"/>
          <w:szCs w:val="24"/>
        </w:rPr>
        <w:t>hа</w:t>
      </w:r>
      <w:proofErr w:type="spellEnd"/>
      <w:r w:rsidRPr="009F6D1E">
        <w:rPr>
          <w:rFonts w:cs="Times New Roman"/>
          <w:szCs w:val="24"/>
        </w:rPr>
        <w:t xml:space="preserve"> гори върху земеделски територии - собственост на юридически лица. </w:t>
      </w:r>
    </w:p>
    <w:p w14:paraId="14C35980" w14:textId="77777777" w:rsidR="00BB6626" w:rsidRPr="009F6D1E" w:rsidRDefault="00BB6626" w:rsidP="0084747F">
      <w:pPr>
        <w:spacing w:after="60" w:line="264" w:lineRule="auto"/>
        <w:ind w:firstLine="709"/>
        <w:contextualSpacing/>
        <w:jc w:val="both"/>
        <w:rPr>
          <w:rFonts w:cs="Times New Roman"/>
          <w:color w:val="1F3864" w:themeColor="accent1" w:themeShade="80"/>
          <w:szCs w:val="24"/>
        </w:rPr>
      </w:pPr>
    </w:p>
    <w:p w14:paraId="254D51F4" w14:textId="77777777" w:rsidR="00BB6626" w:rsidRPr="009F6D1E" w:rsidRDefault="00BB6626" w:rsidP="0084747F">
      <w:pPr>
        <w:spacing w:after="60" w:line="264" w:lineRule="auto"/>
        <w:contextualSpacing/>
        <w:jc w:val="center"/>
        <w:rPr>
          <w:rFonts w:cs="Times New Roman"/>
          <w:color w:val="1F3864" w:themeColor="accent1" w:themeShade="80"/>
          <w:szCs w:val="24"/>
        </w:rPr>
      </w:pPr>
      <w:r w:rsidRPr="009F6D1E">
        <w:rPr>
          <w:rFonts w:cs="Times New Roman"/>
          <w:noProof/>
          <w:color w:val="1F3864" w:themeColor="accent1" w:themeShade="80"/>
          <w:szCs w:val="24"/>
          <w:lang w:val="en-US"/>
        </w:rPr>
        <w:drawing>
          <wp:inline distT="0" distB="0" distL="0" distR="0" wp14:anchorId="58FE23EB" wp14:editId="28B4E5E2">
            <wp:extent cx="3862070" cy="3079307"/>
            <wp:effectExtent l="19050" t="0" r="5080" b="0"/>
            <wp:docPr id="4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srcRect/>
                    <a:stretch>
                      <a:fillRect/>
                    </a:stretch>
                  </pic:blipFill>
                  <pic:spPr bwMode="auto">
                    <a:xfrm>
                      <a:off x="0" y="0"/>
                      <a:ext cx="3865008" cy="3081650"/>
                    </a:xfrm>
                    <a:prstGeom prst="rect">
                      <a:avLst/>
                    </a:prstGeom>
                    <a:noFill/>
                    <a:ln w="9525">
                      <a:noFill/>
                      <a:miter lim="800000"/>
                      <a:headEnd/>
                      <a:tailEnd/>
                    </a:ln>
                  </pic:spPr>
                </pic:pic>
              </a:graphicData>
            </a:graphic>
          </wp:inline>
        </w:drawing>
      </w:r>
    </w:p>
    <w:p w14:paraId="224DB7F0" w14:textId="77777777" w:rsidR="00BB6626" w:rsidRPr="009F6D1E" w:rsidRDefault="00BB6626" w:rsidP="0084747F">
      <w:pPr>
        <w:spacing w:after="60" w:line="264" w:lineRule="auto"/>
        <w:contextualSpacing/>
        <w:jc w:val="center"/>
        <w:rPr>
          <w:rFonts w:cs="Times New Roman"/>
          <w:szCs w:val="24"/>
        </w:rPr>
      </w:pPr>
    </w:p>
    <w:p w14:paraId="1A9631CE" w14:textId="1B0D8C3C" w:rsidR="00BB6626" w:rsidRPr="009F6D1E" w:rsidRDefault="003E6798" w:rsidP="003E6798">
      <w:pPr>
        <w:pStyle w:val="Caption"/>
        <w:rPr>
          <w:iCs w:val="0"/>
        </w:rPr>
      </w:pPr>
      <w:bookmarkStart w:id="395" w:name="_Toc98762611"/>
      <w:bookmarkStart w:id="396" w:name="_Toc115255135"/>
      <w:r w:rsidRPr="009F6D1E">
        <w:t xml:space="preserve">Фигура </w:t>
      </w:r>
      <w:fldSimple w:instr=" SEQ Фигура \* ARABIC ">
        <w:r w:rsidR="00A43EF3">
          <w:rPr>
            <w:noProof/>
          </w:rPr>
          <w:t>74</w:t>
        </w:r>
      </w:fldSimple>
      <w:r w:rsidRPr="009F6D1E">
        <w:t xml:space="preserve">: </w:t>
      </w:r>
      <w:r w:rsidR="00BB6626" w:rsidRPr="009F6D1E">
        <w:t>Собственост на горските територии, 2020 г. Източник: ИАГ</w:t>
      </w:r>
      <w:bookmarkEnd w:id="395"/>
      <w:bookmarkEnd w:id="396"/>
    </w:p>
    <w:p w14:paraId="0F01677B" w14:textId="77777777" w:rsidR="00BB6626" w:rsidRPr="009F6D1E" w:rsidRDefault="00BB6626" w:rsidP="0084747F">
      <w:pPr>
        <w:spacing w:after="60" w:line="264" w:lineRule="auto"/>
        <w:ind w:firstLine="709"/>
        <w:contextualSpacing/>
        <w:jc w:val="both"/>
        <w:rPr>
          <w:rFonts w:cs="Times New Roman"/>
          <w:i/>
          <w:szCs w:val="24"/>
          <w:u w:val="single"/>
        </w:rPr>
      </w:pPr>
    </w:p>
    <w:p w14:paraId="43EBA3A3" w14:textId="77777777" w:rsidR="00BB6626" w:rsidRPr="009F6D1E" w:rsidRDefault="00BB6626">
      <w:pPr>
        <w:pStyle w:val="ListParagraph"/>
        <w:numPr>
          <w:ilvl w:val="0"/>
          <w:numId w:val="61"/>
        </w:numPr>
        <w:spacing w:after="60" w:line="264" w:lineRule="auto"/>
        <w:jc w:val="both"/>
        <w:rPr>
          <w:i/>
          <w:color w:val="000000" w:themeColor="text1"/>
          <w:lang w:val="bg-BG"/>
        </w:rPr>
      </w:pPr>
      <w:r w:rsidRPr="009F6D1E">
        <w:rPr>
          <w:i/>
          <w:color w:val="000000" w:themeColor="text1"/>
          <w:lang w:val="bg-BG"/>
        </w:rPr>
        <w:t>Възраст</w:t>
      </w:r>
    </w:p>
    <w:p w14:paraId="41F188C5" w14:textId="2F322AB0"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През периода 2000 – 2020 г. средната възраст на горите е нараснала от 49 на 60 години (</w:t>
      </w:r>
      <w:r w:rsidR="003F3D71" w:rsidRPr="009F6D1E">
        <w:rPr>
          <w:rFonts w:cs="Times New Roman"/>
        </w:rPr>
        <w:fldChar w:fldCharType="begin"/>
      </w:r>
      <w:r w:rsidR="003E6798" w:rsidRPr="009F6D1E">
        <w:rPr>
          <w:rFonts w:cs="Times New Roman"/>
          <w:szCs w:val="24"/>
        </w:rPr>
        <w:instrText xml:space="preserve"> REF _Ref107172161 \h </w:instrText>
      </w:r>
      <w:r w:rsidR="003F3D71" w:rsidRPr="009F6D1E">
        <w:rPr>
          <w:rFonts w:cs="Times New Roman"/>
        </w:rPr>
      </w:r>
      <w:r w:rsidR="003F3D71" w:rsidRPr="009F6D1E">
        <w:rPr>
          <w:rFonts w:cs="Times New Roman"/>
        </w:rPr>
        <w:fldChar w:fldCharType="separate"/>
      </w:r>
      <w:r w:rsidR="00A43EF3" w:rsidRPr="009F6D1E">
        <w:t xml:space="preserve">Фигура </w:t>
      </w:r>
      <w:r w:rsidR="00A43EF3">
        <w:rPr>
          <w:noProof/>
        </w:rPr>
        <w:t>75</w:t>
      </w:r>
      <w:r w:rsidR="003F3D71" w:rsidRPr="009F6D1E">
        <w:rPr>
          <w:rFonts w:cs="Times New Roman"/>
        </w:rPr>
        <w:fldChar w:fldCharType="end"/>
      </w:r>
      <w:r w:rsidRPr="009F6D1E">
        <w:rPr>
          <w:rFonts w:cs="Times New Roman"/>
          <w:szCs w:val="24"/>
        </w:rPr>
        <w:t xml:space="preserve">). По данни за възрастовата структура, при иглолистните гори с най-голямо участие са тези на възраст от 21 до 40 години (36%), следвани от средновъзрастните и дозряващите (от 41 до 80 г.) – 33%. Иглолистните насаждения на възраст над 80 години заемат 22% от площта на иглолистните гори. Данните за възрастовата структура на широколистните високостъблени гори показват нарастване на дела на средновъзрастните и на зрелите насаждения. При </w:t>
      </w:r>
      <w:proofErr w:type="spellStart"/>
      <w:r w:rsidRPr="009F6D1E">
        <w:rPr>
          <w:rFonts w:cs="Times New Roman"/>
          <w:szCs w:val="24"/>
        </w:rPr>
        <w:t>издъковите</w:t>
      </w:r>
      <w:proofErr w:type="spellEnd"/>
      <w:r w:rsidRPr="009F6D1E">
        <w:rPr>
          <w:rFonts w:cs="Times New Roman"/>
          <w:szCs w:val="24"/>
        </w:rPr>
        <w:t xml:space="preserve"> и нискостъблени гори се наблюдава силно неравномерна възрастова структура. 80% от площта на </w:t>
      </w:r>
      <w:proofErr w:type="spellStart"/>
      <w:r w:rsidRPr="009F6D1E">
        <w:rPr>
          <w:rFonts w:cs="Times New Roman"/>
          <w:szCs w:val="24"/>
        </w:rPr>
        <w:t>издънковите</w:t>
      </w:r>
      <w:proofErr w:type="spellEnd"/>
      <w:r w:rsidRPr="009F6D1E">
        <w:rPr>
          <w:rFonts w:cs="Times New Roman"/>
          <w:szCs w:val="24"/>
        </w:rPr>
        <w:t xml:space="preserve"> гори е на възраст над 40 г. като близо 40% от общата площ на </w:t>
      </w:r>
      <w:proofErr w:type="spellStart"/>
      <w:r w:rsidRPr="009F6D1E">
        <w:rPr>
          <w:rFonts w:cs="Times New Roman"/>
          <w:szCs w:val="24"/>
        </w:rPr>
        <w:t>издънковите</w:t>
      </w:r>
      <w:proofErr w:type="spellEnd"/>
      <w:r w:rsidRPr="009F6D1E">
        <w:rPr>
          <w:rFonts w:cs="Times New Roman"/>
          <w:szCs w:val="24"/>
        </w:rPr>
        <w:t xml:space="preserve"> гори е на възраст над 61 г. При нискостъблените 46% от площта на горите е на възраст над 40г., а горите над 61 г. са 17% от общата площ. </w:t>
      </w:r>
    </w:p>
    <w:p w14:paraId="6A18BE43" w14:textId="77777777" w:rsidR="00BB6626" w:rsidRPr="009F6D1E" w:rsidRDefault="00BB6626" w:rsidP="0084747F">
      <w:pPr>
        <w:spacing w:after="60" w:line="264" w:lineRule="auto"/>
        <w:ind w:firstLine="709"/>
        <w:contextualSpacing/>
        <w:jc w:val="both"/>
        <w:rPr>
          <w:rFonts w:cs="Times New Roman"/>
          <w:szCs w:val="24"/>
        </w:rPr>
      </w:pPr>
    </w:p>
    <w:p w14:paraId="5248023B"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noProof/>
          <w:szCs w:val="24"/>
          <w:lang w:val="en-US"/>
        </w:rPr>
        <w:drawing>
          <wp:inline distT="0" distB="0" distL="0" distR="0" wp14:anchorId="3EE3DE14" wp14:editId="61EBA7D5">
            <wp:extent cx="5208270" cy="2631440"/>
            <wp:effectExtent l="0" t="0" r="11430" b="16510"/>
            <wp:docPr id="453" name="Chart 72">
              <a:extLst xmlns:a="http://schemas.openxmlformats.org/drawingml/2006/main">
                <a:ext uri="{FF2B5EF4-FFF2-40B4-BE49-F238E27FC236}">
                  <a16:creationId xmlns:a16="http://schemas.microsoft.com/office/drawing/2014/main" id="{F7503452-AB06-4BDC-845B-0EA03528C3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F8A6EDF" w14:textId="77777777" w:rsidR="00BB6626" w:rsidRPr="009F6D1E" w:rsidRDefault="00BB6626" w:rsidP="0084747F">
      <w:pPr>
        <w:spacing w:after="60" w:line="264" w:lineRule="auto"/>
        <w:ind w:firstLine="709"/>
        <w:contextualSpacing/>
        <w:jc w:val="both"/>
        <w:rPr>
          <w:rFonts w:cs="Times New Roman"/>
          <w:szCs w:val="24"/>
        </w:rPr>
      </w:pPr>
    </w:p>
    <w:p w14:paraId="6CCC27E4" w14:textId="5F035712" w:rsidR="00BB6626" w:rsidRPr="009F6D1E" w:rsidRDefault="003E6798" w:rsidP="003E6798">
      <w:pPr>
        <w:pStyle w:val="Caption"/>
        <w:rPr>
          <w:iCs w:val="0"/>
        </w:rPr>
      </w:pPr>
      <w:bookmarkStart w:id="397" w:name="_Ref107172161"/>
      <w:bookmarkStart w:id="398" w:name="_Ref530577316"/>
      <w:bookmarkStart w:id="399" w:name="_Toc532216103"/>
      <w:bookmarkStart w:id="400" w:name="_Toc98762612"/>
      <w:bookmarkStart w:id="401" w:name="_Toc115255136"/>
      <w:r w:rsidRPr="009F6D1E">
        <w:t xml:space="preserve">Фигура </w:t>
      </w:r>
      <w:fldSimple w:instr=" SEQ Фигура \* ARABIC ">
        <w:r w:rsidR="00A43EF3">
          <w:rPr>
            <w:noProof/>
          </w:rPr>
          <w:t>75</w:t>
        </w:r>
      </w:fldSimple>
      <w:bookmarkEnd w:id="397"/>
      <w:r w:rsidRPr="009F6D1E">
        <w:t xml:space="preserve">: </w:t>
      </w:r>
      <w:bookmarkEnd w:id="398"/>
      <w:r w:rsidR="00BB6626" w:rsidRPr="009F6D1E">
        <w:t xml:space="preserve"> Средна възраст на </w:t>
      </w:r>
      <w:proofErr w:type="spellStart"/>
      <w:r w:rsidR="00BB6626" w:rsidRPr="009F6D1E">
        <w:t>дървостоя</w:t>
      </w:r>
      <w:proofErr w:type="spellEnd"/>
      <w:r w:rsidR="00BB6626" w:rsidRPr="009F6D1E">
        <w:t>, 1960-2020 г., Източник: ИАГ</w:t>
      </w:r>
      <w:bookmarkEnd w:id="399"/>
      <w:bookmarkEnd w:id="400"/>
      <w:bookmarkEnd w:id="401"/>
    </w:p>
    <w:p w14:paraId="6F234F96" w14:textId="77777777" w:rsidR="00BB6626" w:rsidRPr="009F6D1E" w:rsidRDefault="00BB6626" w:rsidP="0084747F">
      <w:pPr>
        <w:spacing w:after="60" w:line="264" w:lineRule="auto"/>
        <w:ind w:firstLine="709"/>
        <w:contextualSpacing/>
        <w:jc w:val="both"/>
        <w:rPr>
          <w:rFonts w:cs="Times New Roman"/>
          <w:i/>
          <w:szCs w:val="24"/>
          <w:u w:val="single"/>
        </w:rPr>
      </w:pPr>
    </w:p>
    <w:p w14:paraId="38B10DC7" w14:textId="77777777" w:rsidR="00BB6626" w:rsidRPr="009F6D1E" w:rsidRDefault="00BB6626">
      <w:pPr>
        <w:pStyle w:val="ListParagraph"/>
        <w:numPr>
          <w:ilvl w:val="0"/>
          <w:numId w:val="62"/>
        </w:numPr>
        <w:spacing w:after="60" w:line="264" w:lineRule="auto"/>
        <w:jc w:val="both"/>
        <w:rPr>
          <w:i/>
          <w:color w:val="000000" w:themeColor="text1"/>
          <w:lang w:val="bg-BG"/>
        </w:rPr>
      </w:pPr>
      <w:r w:rsidRPr="009F6D1E">
        <w:rPr>
          <w:i/>
          <w:color w:val="000000" w:themeColor="text1"/>
          <w:lang w:val="bg-BG"/>
        </w:rPr>
        <w:t>Общ запас на дървесина</w:t>
      </w:r>
    </w:p>
    <w:p w14:paraId="7B6A4E80"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Общият запас на дървесина в горите в България към 31.12.2020 г. е 718,441 млн. m</w:t>
      </w:r>
      <w:r w:rsidRPr="009F6D1E">
        <w:rPr>
          <w:rFonts w:cs="Times New Roman"/>
          <w:szCs w:val="24"/>
          <w:vertAlign w:val="superscript"/>
        </w:rPr>
        <w:t>3</w:t>
      </w:r>
      <w:r w:rsidRPr="009F6D1E">
        <w:rPr>
          <w:rFonts w:cs="Times New Roman"/>
          <w:szCs w:val="24"/>
        </w:rPr>
        <w:t xml:space="preserve">. Наблюдава се тенденция на увеличаване както на общия запас, така и на дървесния запас на единица площ, с по-силно изразена динамика при иглолистните гори. От друга страна се установява тенденция за намаляване на средния запас на един хектар в </w:t>
      </w:r>
      <w:proofErr w:type="spellStart"/>
      <w:r w:rsidRPr="009F6D1E">
        <w:rPr>
          <w:rFonts w:cs="Times New Roman"/>
          <w:szCs w:val="24"/>
        </w:rPr>
        <w:t>издънковите</w:t>
      </w:r>
      <w:proofErr w:type="spellEnd"/>
      <w:r w:rsidRPr="009F6D1E">
        <w:rPr>
          <w:rFonts w:cs="Times New Roman"/>
          <w:szCs w:val="24"/>
        </w:rPr>
        <w:t xml:space="preserve"> гори за превръщане в семенни в резултат на увеличената възраст. Както общият, така и средният годишен прираст на дървесина е най-висок през 2010 г., като след това се наблюдава намаляване на стойностите. </w:t>
      </w:r>
    </w:p>
    <w:p w14:paraId="38528215" w14:textId="77777777" w:rsidR="00BB6626" w:rsidRPr="009F6D1E" w:rsidRDefault="00BB6626" w:rsidP="0084747F">
      <w:pPr>
        <w:spacing w:after="60" w:line="264" w:lineRule="auto"/>
        <w:ind w:firstLine="709"/>
        <w:contextualSpacing/>
        <w:jc w:val="both"/>
        <w:rPr>
          <w:rFonts w:cs="Times New Roman"/>
          <w:szCs w:val="24"/>
        </w:rPr>
      </w:pPr>
    </w:p>
    <w:p w14:paraId="50552397"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noProof/>
          <w:szCs w:val="24"/>
          <w:lang w:val="en-US"/>
        </w:rPr>
        <w:lastRenderedPageBreak/>
        <w:drawing>
          <wp:inline distT="0" distB="0" distL="0" distR="0" wp14:anchorId="04AD64F4" wp14:editId="28927025">
            <wp:extent cx="5086350" cy="2509520"/>
            <wp:effectExtent l="0" t="0" r="0" b="5080"/>
            <wp:docPr id="448" name="Chart 73">
              <a:extLst xmlns:a="http://schemas.openxmlformats.org/drawingml/2006/main">
                <a:ext uri="{FF2B5EF4-FFF2-40B4-BE49-F238E27FC236}">
                  <a16:creationId xmlns:a16="http://schemas.microsoft.com/office/drawing/2014/main" id="{1D79D63F-890E-4114-A145-9794EF380D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6D432807" w14:textId="6BDEE755" w:rsidR="00BB6626" w:rsidRPr="009F6D1E" w:rsidRDefault="003E6798" w:rsidP="003E6798">
      <w:pPr>
        <w:pStyle w:val="Caption"/>
        <w:rPr>
          <w:iCs w:val="0"/>
        </w:rPr>
      </w:pPr>
      <w:bookmarkStart w:id="402" w:name="_Toc532216104"/>
      <w:bookmarkStart w:id="403" w:name="_Toc98762613"/>
      <w:bookmarkStart w:id="404" w:name="_Toc115255137"/>
      <w:r w:rsidRPr="009F6D1E">
        <w:t xml:space="preserve">Фигура </w:t>
      </w:r>
      <w:fldSimple w:instr=" SEQ Фигура \* ARABIC ">
        <w:r w:rsidR="00A43EF3">
          <w:rPr>
            <w:noProof/>
          </w:rPr>
          <w:t>76</w:t>
        </w:r>
      </w:fldSimple>
      <w:r w:rsidRPr="009F6D1E">
        <w:t xml:space="preserve">: </w:t>
      </w:r>
      <w:r w:rsidR="00BB6626" w:rsidRPr="009F6D1E">
        <w:t xml:space="preserve"> Запас на горите в България в периода 1960-2020 г. Източник: ИАГ</w:t>
      </w:r>
      <w:bookmarkEnd w:id="402"/>
      <w:bookmarkEnd w:id="403"/>
      <w:bookmarkEnd w:id="404"/>
    </w:p>
    <w:p w14:paraId="44637C05" w14:textId="77777777" w:rsidR="00BB6626" w:rsidRPr="009F6D1E" w:rsidRDefault="00BB6626" w:rsidP="0084747F">
      <w:pPr>
        <w:spacing w:after="60" w:line="264" w:lineRule="auto"/>
        <w:ind w:firstLine="709"/>
        <w:contextualSpacing/>
        <w:jc w:val="both"/>
        <w:rPr>
          <w:rFonts w:cs="Times New Roman"/>
          <w:i/>
          <w:szCs w:val="24"/>
          <w:u w:val="single"/>
        </w:rPr>
      </w:pPr>
    </w:p>
    <w:p w14:paraId="37999FD0" w14:textId="77777777" w:rsidR="00BB6626" w:rsidRPr="009F6D1E" w:rsidRDefault="00BB6626">
      <w:pPr>
        <w:pStyle w:val="ListParagraph"/>
        <w:numPr>
          <w:ilvl w:val="0"/>
          <w:numId w:val="62"/>
        </w:numPr>
        <w:spacing w:after="60" w:line="264" w:lineRule="auto"/>
        <w:jc w:val="both"/>
        <w:rPr>
          <w:i/>
          <w:color w:val="000000" w:themeColor="text1"/>
          <w:lang w:val="bg-BG"/>
        </w:rPr>
      </w:pPr>
      <w:r w:rsidRPr="009F6D1E">
        <w:rPr>
          <w:i/>
          <w:color w:val="000000" w:themeColor="text1"/>
          <w:lang w:val="bg-BG"/>
        </w:rPr>
        <w:t>Ползване</w:t>
      </w:r>
    </w:p>
    <w:p w14:paraId="1B94B9CB"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 xml:space="preserve">Действителното ползване като процент от запаса постепенно намалява до 2000 г., след което се наблюдава колебание в стойностите.  </w:t>
      </w:r>
    </w:p>
    <w:p w14:paraId="33A8624F" w14:textId="77777777" w:rsidR="00BB6626" w:rsidRPr="009F6D1E" w:rsidRDefault="00BB6626" w:rsidP="0084747F">
      <w:pPr>
        <w:spacing w:after="60" w:line="264" w:lineRule="auto"/>
        <w:ind w:firstLine="709"/>
        <w:contextualSpacing/>
        <w:jc w:val="both"/>
        <w:rPr>
          <w:rFonts w:cs="Times New Roman"/>
          <w:szCs w:val="24"/>
        </w:rPr>
      </w:pPr>
    </w:p>
    <w:p w14:paraId="5DD04810"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noProof/>
          <w:szCs w:val="24"/>
          <w:lang w:val="en-US"/>
        </w:rPr>
        <w:drawing>
          <wp:inline distT="0" distB="0" distL="0" distR="0" wp14:anchorId="18A475F3" wp14:editId="14E50626">
            <wp:extent cx="5548630" cy="3108960"/>
            <wp:effectExtent l="0" t="0" r="13970" b="15240"/>
            <wp:docPr id="449"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A698613" w14:textId="77777777" w:rsidR="00BB6626" w:rsidRPr="009F6D1E" w:rsidRDefault="00BB6626" w:rsidP="0084747F">
      <w:pPr>
        <w:spacing w:after="60" w:line="264" w:lineRule="auto"/>
        <w:ind w:firstLine="709"/>
        <w:contextualSpacing/>
        <w:jc w:val="both"/>
        <w:rPr>
          <w:rFonts w:cs="Times New Roman"/>
          <w:szCs w:val="24"/>
        </w:rPr>
      </w:pPr>
    </w:p>
    <w:p w14:paraId="5D494ED5" w14:textId="3B176C8A" w:rsidR="00BB6626" w:rsidRPr="009F6D1E" w:rsidRDefault="003E6798" w:rsidP="003E6798">
      <w:pPr>
        <w:pStyle w:val="Caption"/>
        <w:rPr>
          <w:iCs w:val="0"/>
        </w:rPr>
      </w:pPr>
      <w:bookmarkStart w:id="405" w:name="_Toc98762614"/>
      <w:bookmarkStart w:id="406" w:name="_Toc115255138"/>
      <w:r w:rsidRPr="009F6D1E">
        <w:t xml:space="preserve">Фигура </w:t>
      </w:r>
      <w:fldSimple w:instr=" SEQ Фигура \* ARABIC ">
        <w:r w:rsidR="00A43EF3">
          <w:rPr>
            <w:noProof/>
          </w:rPr>
          <w:t>77</w:t>
        </w:r>
      </w:fldSimple>
      <w:r w:rsidRPr="009F6D1E">
        <w:t xml:space="preserve">:  </w:t>
      </w:r>
      <w:r w:rsidR="00BB6626" w:rsidRPr="009F6D1E">
        <w:t xml:space="preserve">Действително  ползване на дървесина като процент от запаса в периода 1960- </w:t>
      </w:r>
      <w:r w:rsidR="00FA4236" w:rsidRPr="009F6D1E">
        <w:t>20</w:t>
      </w:r>
      <w:r w:rsidR="00FA4236">
        <w:t>2</w:t>
      </w:r>
      <w:r w:rsidR="00FA4236" w:rsidRPr="009F6D1E">
        <w:t>0</w:t>
      </w:r>
      <w:r w:rsidR="00BB6626" w:rsidRPr="009F6D1E">
        <w:t>, Източник: ИАГ</w:t>
      </w:r>
      <w:bookmarkEnd w:id="405"/>
      <w:bookmarkEnd w:id="406"/>
    </w:p>
    <w:p w14:paraId="6062299A" w14:textId="77777777" w:rsidR="00BB6626" w:rsidRPr="009F6D1E" w:rsidRDefault="00BB6626" w:rsidP="0084747F">
      <w:pPr>
        <w:spacing w:after="60" w:line="264" w:lineRule="auto"/>
        <w:ind w:firstLine="709"/>
        <w:contextualSpacing/>
        <w:jc w:val="both"/>
        <w:rPr>
          <w:rFonts w:cs="Times New Roman"/>
          <w:color w:val="1F3864" w:themeColor="accent1" w:themeShade="80"/>
          <w:szCs w:val="24"/>
        </w:rPr>
      </w:pPr>
    </w:p>
    <w:p w14:paraId="30E2EC30"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lastRenderedPageBreak/>
        <w:t xml:space="preserve">Стоева и др. (2018) разглеждат в детайли промените в действителното ползване на дървесина за периода 2000-2017. За разглеждания период се отбелязват два периода на рязко покачване на </w:t>
      </w:r>
    </w:p>
    <w:p w14:paraId="0C8BAEDA" w14:textId="77777777" w:rsidR="00BB6626" w:rsidRPr="009F6D1E" w:rsidRDefault="00BB6626" w:rsidP="0084747F">
      <w:pPr>
        <w:spacing w:after="60" w:line="264" w:lineRule="auto"/>
        <w:ind w:firstLine="709"/>
        <w:contextualSpacing/>
        <w:jc w:val="both"/>
        <w:rPr>
          <w:rFonts w:cs="Times New Roman"/>
          <w:szCs w:val="24"/>
        </w:rPr>
      </w:pPr>
    </w:p>
    <w:p w14:paraId="65BFAAA0" w14:textId="77777777" w:rsidR="00BB6626" w:rsidRPr="009F6D1E" w:rsidRDefault="00BB6626">
      <w:pPr>
        <w:pStyle w:val="ListParagraph"/>
        <w:numPr>
          <w:ilvl w:val="0"/>
          <w:numId w:val="63"/>
        </w:numPr>
        <w:spacing w:after="60" w:line="264" w:lineRule="auto"/>
        <w:jc w:val="both"/>
        <w:rPr>
          <w:i/>
          <w:color w:val="000000" w:themeColor="text1"/>
          <w:lang w:val="bg-BG"/>
        </w:rPr>
      </w:pPr>
      <w:r w:rsidRPr="009F6D1E">
        <w:rPr>
          <w:i/>
          <w:color w:val="000000" w:themeColor="text1"/>
          <w:lang w:val="bg-BG"/>
        </w:rPr>
        <w:t>Разнообразие на дървесни видове</w:t>
      </w:r>
    </w:p>
    <w:p w14:paraId="05019645"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По отношение на дървесните видове, най-голяма площ заемат видовете от семейство Букови (</w:t>
      </w:r>
      <w:proofErr w:type="spellStart"/>
      <w:r w:rsidRPr="009F6D1E">
        <w:rPr>
          <w:rFonts w:cs="Times New Roman"/>
          <w:szCs w:val="24"/>
        </w:rPr>
        <w:t>Fagaceae</w:t>
      </w:r>
      <w:proofErr w:type="spellEnd"/>
      <w:r w:rsidRPr="009F6D1E">
        <w:rPr>
          <w:rFonts w:cs="Times New Roman"/>
          <w:szCs w:val="24"/>
        </w:rPr>
        <w:t>, 52% от горските площи), следвани от Борови (</w:t>
      </w:r>
      <w:proofErr w:type="spellStart"/>
      <w:r w:rsidRPr="009F6D1E">
        <w:rPr>
          <w:rFonts w:cs="Times New Roman"/>
          <w:szCs w:val="24"/>
        </w:rPr>
        <w:t>Pinaceae</w:t>
      </w:r>
      <w:proofErr w:type="spellEnd"/>
      <w:r w:rsidRPr="009F6D1E">
        <w:rPr>
          <w:rFonts w:cs="Times New Roman"/>
          <w:szCs w:val="24"/>
        </w:rPr>
        <w:t>, 27%), Брезови (</w:t>
      </w:r>
      <w:proofErr w:type="spellStart"/>
      <w:r w:rsidRPr="009F6D1E">
        <w:rPr>
          <w:rFonts w:cs="Times New Roman"/>
          <w:szCs w:val="24"/>
        </w:rPr>
        <w:t>Betulaceae</w:t>
      </w:r>
      <w:proofErr w:type="spellEnd"/>
      <w:r w:rsidRPr="009F6D1E">
        <w:rPr>
          <w:rFonts w:cs="Times New Roman"/>
          <w:szCs w:val="24"/>
        </w:rPr>
        <w:t>, 10%), Бобови  (</w:t>
      </w:r>
      <w:proofErr w:type="spellStart"/>
      <w:r w:rsidRPr="009F6D1E">
        <w:rPr>
          <w:rFonts w:cs="Times New Roman"/>
          <w:szCs w:val="24"/>
        </w:rPr>
        <w:t>Fabaceae</w:t>
      </w:r>
      <w:proofErr w:type="spellEnd"/>
      <w:r w:rsidRPr="009F6D1E">
        <w:rPr>
          <w:rFonts w:cs="Times New Roman"/>
          <w:szCs w:val="24"/>
        </w:rPr>
        <w:t xml:space="preserve">, 4%) и други. Семейство  </w:t>
      </w:r>
      <w:proofErr w:type="spellStart"/>
      <w:r w:rsidRPr="009F6D1E">
        <w:rPr>
          <w:rFonts w:cs="Times New Roman"/>
          <w:szCs w:val="24"/>
        </w:rPr>
        <w:t>Fagaceae</w:t>
      </w:r>
      <w:proofErr w:type="spellEnd"/>
      <w:r w:rsidRPr="009F6D1E">
        <w:rPr>
          <w:rFonts w:cs="Times New Roman"/>
          <w:szCs w:val="24"/>
        </w:rPr>
        <w:t xml:space="preserve"> е представено от родовете дъб, бук и кестен. Род дъб е най-важният в зоните с малка надморска височина в страната и преобладава в низини, хълмисти местности и ниските планински склонове до около 800 m </w:t>
      </w:r>
      <w:proofErr w:type="spellStart"/>
      <w:r w:rsidRPr="009F6D1E">
        <w:rPr>
          <w:rFonts w:cs="Times New Roman"/>
          <w:szCs w:val="24"/>
        </w:rPr>
        <w:t>надм</w:t>
      </w:r>
      <w:proofErr w:type="spellEnd"/>
      <w:r w:rsidRPr="009F6D1E">
        <w:rPr>
          <w:rFonts w:cs="Times New Roman"/>
          <w:szCs w:val="24"/>
        </w:rPr>
        <w:t>. в. Видовете бук (</w:t>
      </w:r>
      <w:proofErr w:type="spellStart"/>
      <w:r w:rsidRPr="009F6D1E">
        <w:rPr>
          <w:rFonts w:cs="Times New Roman"/>
          <w:i/>
          <w:szCs w:val="24"/>
        </w:rPr>
        <w:t>Fagus</w:t>
      </w:r>
      <w:proofErr w:type="spellEnd"/>
      <w:r w:rsidRPr="009F6D1E">
        <w:rPr>
          <w:rFonts w:cs="Times New Roman"/>
          <w:i/>
          <w:szCs w:val="24"/>
        </w:rPr>
        <w:t xml:space="preserve"> </w:t>
      </w:r>
      <w:proofErr w:type="spellStart"/>
      <w:r w:rsidRPr="009F6D1E">
        <w:rPr>
          <w:rFonts w:cs="Times New Roman"/>
          <w:i/>
          <w:szCs w:val="24"/>
        </w:rPr>
        <w:t>sylvatica</w:t>
      </w:r>
      <w:proofErr w:type="spellEnd"/>
      <w:r w:rsidRPr="009F6D1E">
        <w:rPr>
          <w:rFonts w:cs="Times New Roman"/>
          <w:i/>
          <w:szCs w:val="24"/>
        </w:rPr>
        <w:t xml:space="preserve"> </w:t>
      </w:r>
      <w:r w:rsidRPr="009F6D1E">
        <w:rPr>
          <w:rFonts w:cs="Times New Roman"/>
          <w:szCs w:val="24"/>
        </w:rPr>
        <w:t>и</w:t>
      </w:r>
      <w:r w:rsidRPr="009F6D1E">
        <w:rPr>
          <w:rFonts w:cs="Times New Roman"/>
          <w:i/>
          <w:szCs w:val="24"/>
        </w:rPr>
        <w:t xml:space="preserve"> </w:t>
      </w:r>
      <w:proofErr w:type="spellStart"/>
      <w:r w:rsidRPr="009F6D1E">
        <w:rPr>
          <w:rFonts w:cs="Times New Roman"/>
          <w:i/>
          <w:szCs w:val="24"/>
        </w:rPr>
        <w:t>Fagus</w:t>
      </w:r>
      <w:proofErr w:type="spellEnd"/>
      <w:r w:rsidRPr="009F6D1E">
        <w:rPr>
          <w:rFonts w:cs="Times New Roman"/>
          <w:i/>
          <w:szCs w:val="24"/>
        </w:rPr>
        <w:t xml:space="preserve"> </w:t>
      </w:r>
      <w:proofErr w:type="spellStart"/>
      <w:r w:rsidRPr="009F6D1E">
        <w:rPr>
          <w:rFonts w:cs="Times New Roman"/>
          <w:i/>
          <w:szCs w:val="24"/>
        </w:rPr>
        <w:t>orientalis</w:t>
      </w:r>
      <w:proofErr w:type="spellEnd"/>
      <w:r w:rsidRPr="009F6D1E">
        <w:rPr>
          <w:rFonts w:cs="Times New Roman"/>
          <w:szCs w:val="24"/>
        </w:rPr>
        <w:t xml:space="preserve">) заемат 17% от общата залесена площ и преобладават на много планински склонове от 900 до 1500  m </w:t>
      </w:r>
      <w:proofErr w:type="spellStart"/>
      <w:r w:rsidRPr="009F6D1E">
        <w:rPr>
          <w:rFonts w:cs="Times New Roman"/>
          <w:szCs w:val="24"/>
        </w:rPr>
        <w:t>надм</w:t>
      </w:r>
      <w:proofErr w:type="spellEnd"/>
      <w:r w:rsidRPr="009F6D1E">
        <w:rPr>
          <w:rFonts w:cs="Times New Roman"/>
          <w:szCs w:val="24"/>
        </w:rPr>
        <w:t xml:space="preserve">. в.  </w:t>
      </w:r>
      <w:proofErr w:type="spellStart"/>
      <w:r w:rsidRPr="009F6D1E">
        <w:rPr>
          <w:rFonts w:cs="Times New Roman"/>
          <w:i/>
          <w:szCs w:val="24"/>
        </w:rPr>
        <w:t>Fagus</w:t>
      </w:r>
      <w:proofErr w:type="spellEnd"/>
      <w:r w:rsidRPr="009F6D1E">
        <w:rPr>
          <w:rFonts w:cs="Times New Roman"/>
          <w:i/>
          <w:szCs w:val="24"/>
        </w:rPr>
        <w:t xml:space="preserve"> </w:t>
      </w:r>
      <w:proofErr w:type="spellStart"/>
      <w:r w:rsidRPr="009F6D1E">
        <w:rPr>
          <w:rFonts w:cs="Times New Roman"/>
          <w:i/>
          <w:szCs w:val="24"/>
        </w:rPr>
        <w:t>orientalis</w:t>
      </w:r>
      <w:proofErr w:type="spellEnd"/>
      <w:r w:rsidRPr="009F6D1E">
        <w:rPr>
          <w:rFonts w:cs="Times New Roman"/>
          <w:szCs w:val="24"/>
        </w:rPr>
        <w:t xml:space="preserve"> е представен в Странджа и някои малки зони в най-източната част на Стара планина, докато </w:t>
      </w:r>
      <w:proofErr w:type="spellStart"/>
      <w:r w:rsidRPr="009F6D1E">
        <w:rPr>
          <w:rFonts w:cs="Times New Roman"/>
          <w:i/>
          <w:szCs w:val="24"/>
        </w:rPr>
        <w:t>Fagus</w:t>
      </w:r>
      <w:proofErr w:type="spellEnd"/>
      <w:r w:rsidRPr="009F6D1E">
        <w:rPr>
          <w:rFonts w:cs="Times New Roman"/>
          <w:i/>
          <w:szCs w:val="24"/>
        </w:rPr>
        <w:t xml:space="preserve"> </w:t>
      </w:r>
      <w:proofErr w:type="spellStart"/>
      <w:r w:rsidRPr="009F6D1E">
        <w:rPr>
          <w:rFonts w:cs="Times New Roman"/>
          <w:i/>
          <w:szCs w:val="24"/>
        </w:rPr>
        <w:t>sylvatica</w:t>
      </w:r>
      <w:proofErr w:type="spellEnd"/>
      <w:r w:rsidRPr="009F6D1E">
        <w:rPr>
          <w:rFonts w:cs="Times New Roman"/>
          <w:szCs w:val="24"/>
        </w:rPr>
        <w:t xml:space="preserve"> преобладава по цялото протежение на планините Стара планина, Средна гора, Осогово, Витоша и Беласица, а в комбинация с иглолистни видове (предимно обикновена ела) се среща в Рила, Пирин и Родопите. Семейство </w:t>
      </w:r>
      <w:proofErr w:type="spellStart"/>
      <w:r w:rsidRPr="009F6D1E">
        <w:rPr>
          <w:rFonts w:cs="Times New Roman"/>
          <w:szCs w:val="24"/>
        </w:rPr>
        <w:t>Pinaceae</w:t>
      </w:r>
      <w:proofErr w:type="spellEnd"/>
      <w:r w:rsidRPr="009F6D1E">
        <w:rPr>
          <w:rFonts w:cs="Times New Roman"/>
          <w:szCs w:val="24"/>
        </w:rPr>
        <w:t xml:space="preserve"> е представено в България от 5 вида бор, един вид смърч и един вид ела. Боровете са бял бор  (</w:t>
      </w:r>
      <w:proofErr w:type="spellStart"/>
      <w:r w:rsidRPr="009F6D1E">
        <w:rPr>
          <w:rFonts w:cs="Times New Roman"/>
          <w:i/>
          <w:szCs w:val="24"/>
        </w:rPr>
        <w:t>Pinus</w:t>
      </w:r>
      <w:proofErr w:type="spellEnd"/>
      <w:r w:rsidRPr="009F6D1E">
        <w:rPr>
          <w:rFonts w:cs="Times New Roman"/>
          <w:i/>
          <w:szCs w:val="24"/>
        </w:rPr>
        <w:t xml:space="preserve"> </w:t>
      </w:r>
      <w:proofErr w:type="spellStart"/>
      <w:r w:rsidRPr="009F6D1E">
        <w:rPr>
          <w:rFonts w:cs="Times New Roman"/>
          <w:i/>
          <w:szCs w:val="24"/>
        </w:rPr>
        <w:t>sylvestris</w:t>
      </w:r>
      <w:proofErr w:type="spellEnd"/>
      <w:r w:rsidRPr="009F6D1E">
        <w:rPr>
          <w:rFonts w:cs="Times New Roman"/>
          <w:szCs w:val="24"/>
        </w:rPr>
        <w:t>), който заема 47% от естествените иглолистни гори, черен бор (</w:t>
      </w:r>
      <w:proofErr w:type="spellStart"/>
      <w:r w:rsidRPr="009F6D1E">
        <w:rPr>
          <w:rFonts w:cs="Times New Roman"/>
          <w:i/>
          <w:szCs w:val="24"/>
        </w:rPr>
        <w:t>Pinus</w:t>
      </w:r>
      <w:proofErr w:type="spellEnd"/>
      <w:r w:rsidRPr="009F6D1E">
        <w:rPr>
          <w:rFonts w:cs="Times New Roman"/>
          <w:i/>
          <w:szCs w:val="24"/>
        </w:rPr>
        <w:t xml:space="preserve"> </w:t>
      </w:r>
      <w:proofErr w:type="spellStart"/>
      <w:r w:rsidRPr="009F6D1E">
        <w:rPr>
          <w:rFonts w:cs="Times New Roman"/>
          <w:i/>
          <w:szCs w:val="24"/>
        </w:rPr>
        <w:t>nigra</w:t>
      </w:r>
      <w:proofErr w:type="spellEnd"/>
      <w:r w:rsidRPr="009F6D1E">
        <w:rPr>
          <w:rFonts w:cs="Times New Roman"/>
          <w:szCs w:val="24"/>
        </w:rPr>
        <w:t>), който заема 8% от естествените иглолистни гори, черна мура (</w:t>
      </w:r>
      <w:proofErr w:type="spellStart"/>
      <w:r w:rsidRPr="009F6D1E">
        <w:rPr>
          <w:rFonts w:cs="Times New Roman"/>
          <w:i/>
          <w:szCs w:val="24"/>
        </w:rPr>
        <w:t>Pinus</w:t>
      </w:r>
      <w:proofErr w:type="spellEnd"/>
      <w:r w:rsidRPr="009F6D1E">
        <w:rPr>
          <w:rFonts w:cs="Times New Roman"/>
          <w:i/>
          <w:szCs w:val="24"/>
        </w:rPr>
        <w:t xml:space="preserve"> </w:t>
      </w:r>
      <w:proofErr w:type="spellStart"/>
      <w:r w:rsidRPr="009F6D1E">
        <w:rPr>
          <w:rFonts w:cs="Times New Roman"/>
          <w:i/>
          <w:szCs w:val="24"/>
        </w:rPr>
        <w:t>heldreichii</w:t>
      </w:r>
      <w:proofErr w:type="spellEnd"/>
      <w:r w:rsidRPr="009F6D1E">
        <w:rPr>
          <w:rFonts w:cs="Times New Roman"/>
          <w:szCs w:val="24"/>
        </w:rPr>
        <w:t>) (ограничено разпространение в Пирин и Славянка), бяла мура, която заема 2% от естествените иглолистни гори, и клек (</w:t>
      </w:r>
      <w:proofErr w:type="spellStart"/>
      <w:r w:rsidRPr="009F6D1E">
        <w:rPr>
          <w:rFonts w:cs="Times New Roman"/>
          <w:szCs w:val="24"/>
        </w:rPr>
        <w:t>Pinus</w:t>
      </w:r>
      <w:proofErr w:type="spellEnd"/>
      <w:r w:rsidRPr="009F6D1E">
        <w:rPr>
          <w:rFonts w:cs="Times New Roman"/>
          <w:szCs w:val="24"/>
        </w:rPr>
        <w:t xml:space="preserve"> </w:t>
      </w:r>
      <w:proofErr w:type="spellStart"/>
      <w:r w:rsidRPr="009F6D1E">
        <w:rPr>
          <w:rFonts w:cs="Times New Roman"/>
          <w:szCs w:val="24"/>
        </w:rPr>
        <w:t>mugo</w:t>
      </w:r>
      <w:proofErr w:type="spellEnd"/>
      <w:r w:rsidRPr="009F6D1E">
        <w:rPr>
          <w:rFonts w:cs="Times New Roman"/>
          <w:szCs w:val="24"/>
        </w:rPr>
        <w:t>), който формира големи храстови съобщества над горната граница на гората предимно в националните паркове Пирин и Рила. Смърчът (</w:t>
      </w:r>
      <w:proofErr w:type="spellStart"/>
      <w:r w:rsidRPr="009F6D1E">
        <w:rPr>
          <w:rFonts w:cs="Times New Roman"/>
          <w:i/>
          <w:szCs w:val="24"/>
        </w:rPr>
        <w:t>Picea</w:t>
      </w:r>
      <w:proofErr w:type="spellEnd"/>
      <w:r w:rsidRPr="009F6D1E">
        <w:rPr>
          <w:rFonts w:cs="Times New Roman"/>
          <w:i/>
          <w:szCs w:val="24"/>
        </w:rPr>
        <w:t xml:space="preserve"> </w:t>
      </w:r>
      <w:proofErr w:type="spellStart"/>
      <w:r w:rsidRPr="009F6D1E">
        <w:rPr>
          <w:rFonts w:cs="Times New Roman"/>
          <w:i/>
          <w:szCs w:val="24"/>
        </w:rPr>
        <w:t>abies</w:t>
      </w:r>
      <w:proofErr w:type="spellEnd"/>
      <w:r w:rsidRPr="009F6D1E">
        <w:rPr>
          <w:rFonts w:cs="Times New Roman"/>
          <w:szCs w:val="24"/>
        </w:rPr>
        <w:t>) заема 22% от естествените иглолистни гори, елата (</w:t>
      </w:r>
      <w:proofErr w:type="spellStart"/>
      <w:r w:rsidRPr="009F6D1E">
        <w:rPr>
          <w:rFonts w:cs="Times New Roman"/>
          <w:i/>
          <w:szCs w:val="24"/>
        </w:rPr>
        <w:t>Abies</w:t>
      </w:r>
      <w:proofErr w:type="spellEnd"/>
      <w:r w:rsidRPr="009F6D1E">
        <w:rPr>
          <w:rFonts w:cs="Times New Roman"/>
          <w:i/>
          <w:szCs w:val="24"/>
        </w:rPr>
        <w:t xml:space="preserve"> </w:t>
      </w:r>
      <w:proofErr w:type="spellStart"/>
      <w:r w:rsidRPr="009F6D1E">
        <w:rPr>
          <w:rFonts w:cs="Times New Roman"/>
          <w:i/>
          <w:szCs w:val="24"/>
        </w:rPr>
        <w:t>alba</w:t>
      </w:r>
      <w:proofErr w:type="spellEnd"/>
      <w:r w:rsidRPr="009F6D1E">
        <w:rPr>
          <w:rFonts w:cs="Times New Roman"/>
          <w:szCs w:val="24"/>
        </w:rPr>
        <w:t>) - 5%, а 12% са смесени буково- иглолистни гори (Родопи, Рила, Пирин, Витоша) (</w:t>
      </w:r>
      <w:proofErr w:type="spellStart"/>
      <w:r w:rsidRPr="009F6D1E">
        <w:rPr>
          <w:rFonts w:cs="Times New Roman"/>
          <w:szCs w:val="24"/>
        </w:rPr>
        <w:t>Panayotov</w:t>
      </w:r>
      <w:proofErr w:type="spellEnd"/>
      <w:r w:rsidRPr="009F6D1E">
        <w:rPr>
          <w:rFonts w:cs="Times New Roman"/>
          <w:szCs w:val="24"/>
        </w:rPr>
        <w:t xml:space="preserve"> и колектив, 2016 г.).</w:t>
      </w:r>
    </w:p>
    <w:p w14:paraId="28EE75E3" w14:textId="77777777" w:rsidR="00BB6626" w:rsidRPr="009F6D1E" w:rsidRDefault="00BB6626" w:rsidP="0084747F">
      <w:pPr>
        <w:spacing w:after="60" w:line="264" w:lineRule="auto"/>
        <w:ind w:firstLine="709"/>
        <w:contextualSpacing/>
        <w:jc w:val="both"/>
        <w:rPr>
          <w:rFonts w:cs="Times New Roman"/>
          <w:szCs w:val="24"/>
        </w:rPr>
      </w:pPr>
    </w:p>
    <w:p w14:paraId="1C795DFD"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 xml:space="preserve">Освен боровите гори с естествен произход има и големи изкуствени насаждения (над 1,5 милиона </w:t>
      </w:r>
      <w:proofErr w:type="spellStart"/>
      <w:r w:rsidRPr="009F6D1E">
        <w:rPr>
          <w:rFonts w:cs="Times New Roman"/>
          <w:szCs w:val="24"/>
        </w:rPr>
        <w:t>ha</w:t>
      </w:r>
      <w:proofErr w:type="spellEnd"/>
      <w:r w:rsidRPr="009F6D1E">
        <w:rPr>
          <w:rFonts w:cs="Times New Roman"/>
          <w:szCs w:val="24"/>
        </w:rPr>
        <w:t xml:space="preserve">), създадени основно в средата на XX век с противоерозионна цел и за възстановяване на деградирали гори. Те се състоят основно от бял бор (48%) и черен бор (41%). Около 30% от тези изкуствени насаждения от бял бор са на надморска височина, която е по-ниска от височината на естественото разпространение на вида в България. Други 35% се намират между 700 и 1000 m </w:t>
      </w:r>
      <w:proofErr w:type="spellStart"/>
      <w:r w:rsidRPr="009F6D1E">
        <w:rPr>
          <w:rFonts w:cs="Times New Roman"/>
          <w:szCs w:val="24"/>
        </w:rPr>
        <w:t>надм</w:t>
      </w:r>
      <w:proofErr w:type="spellEnd"/>
      <w:r w:rsidRPr="009F6D1E">
        <w:rPr>
          <w:rFonts w:cs="Times New Roman"/>
          <w:szCs w:val="24"/>
        </w:rPr>
        <w:t xml:space="preserve">. в., където се срещат само 8% от естествените гори от този вид. Разпространението на културите черен бор по височина е сходно, като 76% обхващат територия под 700 m н. в., където се срещат само 5% естествени гори от този вид. Причините за това са няколко: 1) черният и белият бор се засаждат сравнително лесно и растат на различни почви, включително и ерозирали; 2) иглолистните видове намаляват ерозията и утаяването целогодишно, което е важно са зоните, разположени около язовири; 3) тези два вида имат ценна дървесина с широко приложение в дървообработвателната промишленост и строителството. В последните десетилетия обаче се наблюдава увеличен стрес от засушаване поради по-високите регистрирани температури и дълги </w:t>
      </w:r>
      <w:proofErr w:type="spellStart"/>
      <w:r w:rsidRPr="009F6D1E">
        <w:rPr>
          <w:rFonts w:cs="Times New Roman"/>
          <w:szCs w:val="24"/>
        </w:rPr>
        <w:t>безвалежни</w:t>
      </w:r>
      <w:proofErr w:type="spellEnd"/>
      <w:r w:rsidRPr="009F6D1E">
        <w:rPr>
          <w:rFonts w:cs="Times New Roman"/>
          <w:szCs w:val="24"/>
        </w:rPr>
        <w:t xml:space="preserve"> периоди през лятото и есента. Това допринася за намален прираст и влошено здравословно състояние на много изкуствени насаждения, особено тези от бял бор, намиращи се на ниска надморска височина.</w:t>
      </w:r>
    </w:p>
    <w:p w14:paraId="7717676F" w14:textId="4F9465F8" w:rsidR="00BB6626" w:rsidRDefault="00FA4236" w:rsidP="0084747F">
      <w:pPr>
        <w:spacing w:after="60" w:line="264" w:lineRule="auto"/>
        <w:ind w:firstLine="709"/>
        <w:contextualSpacing/>
        <w:jc w:val="both"/>
        <w:rPr>
          <w:rFonts w:cs="Times New Roman"/>
          <w:i/>
          <w:szCs w:val="24"/>
          <w:u w:val="single"/>
        </w:rPr>
      </w:pPr>
      <w:bookmarkStart w:id="407" w:name="_Toc115255139"/>
      <w:r>
        <w:rPr>
          <w:rFonts w:cs="Times New Roman"/>
          <w:i/>
          <w:szCs w:val="24"/>
          <w:u w:val="single"/>
        </w:rPr>
        <w:lastRenderedPageBreak/>
        <w:t xml:space="preserve">Площите по дървесни видове и </w:t>
      </w:r>
      <w:proofErr w:type="spellStart"/>
      <w:r>
        <w:rPr>
          <w:rFonts w:cs="Times New Roman"/>
          <w:i/>
          <w:szCs w:val="24"/>
          <w:u w:val="single"/>
        </w:rPr>
        <w:t>бонитети</w:t>
      </w:r>
      <w:proofErr w:type="spellEnd"/>
      <w:r>
        <w:rPr>
          <w:rFonts w:cs="Times New Roman"/>
          <w:i/>
          <w:szCs w:val="24"/>
          <w:u w:val="single"/>
        </w:rPr>
        <w:t xml:space="preserve"> към декември 2020 са дадени на </w:t>
      </w:r>
      <w:r w:rsidRPr="009F6D1E">
        <w:t xml:space="preserve">Фигура </w:t>
      </w:r>
      <w:r w:rsidR="003F3D71">
        <w:fldChar w:fldCharType="begin"/>
      </w:r>
      <w:r>
        <w:instrText xml:space="preserve"> SEQ Фигура \* ARABIC </w:instrText>
      </w:r>
      <w:r w:rsidR="003F3D71">
        <w:fldChar w:fldCharType="separate"/>
      </w:r>
      <w:r w:rsidR="00A43EF3">
        <w:rPr>
          <w:noProof/>
        </w:rPr>
        <w:t>78</w:t>
      </w:r>
      <w:r w:rsidR="003F3D71">
        <w:fldChar w:fldCharType="end"/>
      </w:r>
      <w:r>
        <w:t>.</w:t>
      </w:r>
      <w:bookmarkEnd w:id="407"/>
      <w:r w:rsidRPr="009F6D1E">
        <w:t xml:space="preserve"> </w:t>
      </w:r>
      <w:r>
        <w:rPr>
          <w:rFonts w:cs="Times New Roman"/>
          <w:i/>
          <w:szCs w:val="24"/>
          <w:u w:val="single"/>
        </w:rPr>
        <w:t xml:space="preserve">  </w:t>
      </w:r>
    </w:p>
    <w:p w14:paraId="57E7F3D3" w14:textId="77777777" w:rsidR="00FA4236" w:rsidRDefault="00FA4236" w:rsidP="0084747F">
      <w:pPr>
        <w:spacing w:after="60" w:line="264" w:lineRule="auto"/>
        <w:ind w:firstLine="709"/>
        <w:contextualSpacing/>
        <w:jc w:val="both"/>
        <w:rPr>
          <w:rFonts w:cs="Times New Roman"/>
          <w:i/>
          <w:szCs w:val="24"/>
          <w:u w:val="single"/>
        </w:rPr>
      </w:pPr>
    </w:p>
    <w:p w14:paraId="7881D212" w14:textId="77777777" w:rsidR="00160830" w:rsidRDefault="002974E8" w:rsidP="00982D50">
      <w:pPr>
        <w:spacing w:after="60" w:line="264" w:lineRule="auto"/>
        <w:ind w:firstLine="709"/>
        <w:contextualSpacing/>
        <w:jc w:val="center"/>
        <w:rPr>
          <w:rFonts w:cs="Times New Roman"/>
          <w:i/>
          <w:szCs w:val="24"/>
          <w:u w:val="single"/>
        </w:rPr>
      </w:pPr>
      <w:r>
        <w:rPr>
          <w:noProof/>
          <w:lang w:val="en-US"/>
        </w:rPr>
        <w:drawing>
          <wp:inline distT="0" distB="0" distL="0" distR="0" wp14:anchorId="2616734F" wp14:editId="4652596B">
            <wp:extent cx="4292600" cy="4864361"/>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srcRect/>
                    <a:stretch>
                      <a:fillRect/>
                    </a:stretch>
                  </pic:blipFill>
                  <pic:spPr bwMode="auto">
                    <a:xfrm>
                      <a:off x="0" y="0"/>
                      <a:ext cx="4292600" cy="4864361"/>
                    </a:xfrm>
                    <a:prstGeom prst="rect">
                      <a:avLst/>
                    </a:prstGeom>
                    <a:noFill/>
                    <a:ln w="9525">
                      <a:noFill/>
                      <a:miter lim="800000"/>
                      <a:headEnd/>
                      <a:tailEnd/>
                    </a:ln>
                  </pic:spPr>
                </pic:pic>
              </a:graphicData>
            </a:graphic>
          </wp:inline>
        </w:drawing>
      </w:r>
    </w:p>
    <w:p w14:paraId="2764F660" w14:textId="77777777" w:rsidR="00582EAA" w:rsidRDefault="00582EAA" w:rsidP="0084747F">
      <w:pPr>
        <w:spacing w:after="60" w:line="264" w:lineRule="auto"/>
        <w:ind w:firstLine="709"/>
        <w:contextualSpacing/>
        <w:jc w:val="both"/>
        <w:rPr>
          <w:rFonts w:cs="Times New Roman"/>
          <w:i/>
          <w:szCs w:val="24"/>
          <w:u w:val="single"/>
        </w:rPr>
      </w:pPr>
    </w:p>
    <w:p w14:paraId="674C81D6" w14:textId="0E39E9AC" w:rsidR="00582EAA" w:rsidRPr="009F6D1E" w:rsidRDefault="00582EAA" w:rsidP="00582EAA">
      <w:pPr>
        <w:pStyle w:val="Caption"/>
        <w:rPr>
          <w:iCs w:val="0"/>
        </w:rPr>
      </w:pPr>
      <w:bookmarkStart w:id="408" w:name="_Toc115255140"/>
      <w:r w:rsidRPr="009F6D1E">
        <w:t xml:space="preserve">Фигура </w:t>
      </w:r>
      <w:r w:rsidR="003F3D71">
        <w:fldChar w:fldCharType="begin"/>
      </w:r>
      <w:r>
        <w:instrText xml:space="preserve"> SEQ Фигура \* ARABIC </w:instrText>
      </w:r>
      <w:r w:rsidR="003F3D71">
        <w:fldChar w:fldCharType="separate"/>
      </w:r>
      <w:r w:rsidR="00A43EF3">
        <w:rPr>
          <w:noProof/>
        </w:rPr>
        <w:t>79</w:t>
      </w:r>
      <w:r w:rsidR="003F3D71">
        <w:fldChar w:fldCharType="end"/>
      </w:r>
      <w:r w:rsidRPr="009F6D1E">
        <w:t xml:space="preserve">: </w:t>
      </w:r>
      <w:r>
        <w:rPr>
          <w:i w:val="0"/>
          <w:u w:val="single"/>
        </w:rPr>
        <w:t xml:space="preserve">Площите по дървесни видове и </w:t>
      </w:r>
      <w:proofErr w:type="spellStart"/>
      <w:r>
        <w:rPr>
          <w:i w:val="0"/>
          <w:u w:val="single"/>
        </w:rPr>
        <w:t>бонитети</w:t>
      </w:r>
      <w:proofErr w:type="spellEnd"/>
      <w:r>
        <w:rPr>
          <w:i w:val="0"/>
          <w:u w:val="single"/>
        </w:rPr>
        <w:t xml:space="preserve"> към декември 2020 (ИАГ)</w:t>
      </w:r>
      <w:bookmarkEnd w:id="408"/>
    </w:p>
    <w:p w14:paraId="7D1DDB16" w14:textId="77777777" w:rsidR="00582EAA" w:rsidRPr="009F6D1E" w:rsidRDefault="00582EAA" w:rsidP="0084747F">
      <w:pPr>
        <w:spacing w:after="60" w:line="264" w:lineRule="auto"/>
        <w:ind w:firstLine="709"/>
        <w:contextualSpacing/>
        <w:jc w:val="both"/>
        <w:rPr>
          <w:rFonts w:cs="Times New Roman"/>
          <w:i/>
          <w:szCs w:val="24"/>
          <w:u w:val="single"/>
        </w:rPr>
      </w:pPr>
    </w:p>
    <w:p w14:paraId="7D6ACDDB" w14:textId="77777777" w:rsidR="00BB6626" w:rsidRPr="009F6D1E" w:rsidRDefault="00BB6626">
      <w:pPr>
        <w:pStyle w:val="ListParagraph"/>
        <w:numPr>
          <w:ilvl w:val="0"/>
          <w:numId w:val="63"/>
        </w:numPr>
        <w:spacing w:after="60" w:line="264" w:lineRule="auto"/>
        <w:jc w:val="both"/>
        <w:rPr>
          <w:i/>
          <w:color w:val="000000" w:themeColor="text1"/>
          <w:lang w:val="bg-BG"/>
        </w:rPr>
      </w:pPr>
      <w:r w:rsidRPr="009F6D1E">
        <w:rPr>
          <w:i/>
          <w:color w:val="000000" w:themeColor="text1"/>
          <w:lang w:val="bg-BG"/>
        </w:rPr>
        <w:t xml:space="preserve">Сертификация на горите в България </w:t>
      </w:r>
    </w:p>
    <w:p w14:paraId="056835EF"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Законът за горите (2011 г.) регламентира горската сертификация като непрекъснат процес, осигуряващ стопанисването на горските територии по отговорен начин, балансиращ екологичните, икономическите и социалните ползи. Развитието на този процес предоставя възможности за създаване на национален пазар на сертифицираните продукти от българските гори – дървесни и недървесни, осигуряване на достъп до екологично чувствителните пазари в Европа и получаване на икономически ползи от това.</w:t>
      </w:r>
    </w:p>
    <w:p w14:paraId="09E9D08B" w14:textId="77777777" w:rsidR="00BB6626" w:rsidRPr="009F6D1E" w:rsidRDefault="00BB6626" w:rsidP="0084747F">
      <w:pPr>
        <w:spacing w:after="60" w:line="264" w:lineRule="auto"/>
        <w:ind w:firstLine="709"/>
        <w:contextualSpacing/>
        <w:jc w:val="both"/>
        <w:rPr>
          <w:rFonts w:cs="Times New Roman"/>
          <w:szCs w:val="24"/>
        </w:rPr>
      </w:pPr>
      <w:r w:rsidRPr="009F6D1E">
        <w:rPr>
          <w:rFonts w:cs="Times New Roman"/>
          <w:szCs w:val="24"/>
        </w:rPr>
        <w:t xml:space="preserve">Началото на сертификацията на горите в България е през 2003 г. по схема на FSC стандарта. Площта на сертифицираните гори нараства непрекъснато. Към 31.12.2011 г. площта на сертифицираните по FSC горски територии – държавна собственост, е 216 455 </w:t>
      </w:r>
      <w:proofErr w:type="spellStart"/>
      <w:r w:rsidRPr="009F6D1E">
        <w:rPr>
          <w:rFonts w:cs="Times New Roman"/>
          <w:szCs w:val="24"/>
        </w:rPr>
        <w:t>ha</w:t>
      </w:r>
      <w:proofErr w:type="spellEnd"/>
      <w:r w:rsidRPr="009F6D1E">
        <w:rPr>
          <w:rFonts w:cs="Times New Roman"/>
          <w:szCs w:val="24"/>
        </w:rPr>
        <w:t xml:space="preserve"> (7% от </w:t>
      </w:r>
      <w:r w:rsidRPr="009F6D1E">
        <w:rPr>
          <w:rFonts w:cs="Times New Roman"/>
          <w:szCs w:val="24"/>
        </w:rPr>
        <w:lastRenderedPageBreak/>
        <w:t xml:space="preserve">общата им площ), през 2015 г. сертифицираните гори са с площ 800 000 </w:t>
      </w:r>
      <w:proofErr w:type="spellStart"/>
      <w:r w:rsidRPr="009F6D1E">
        <w:rPr>
          <w:rFonts w:cs="Times New Roman"/>
          <w:szCs w:val="24"/>
        </w:rPr>
        <w:t>ha</w:t>
      </w:r>
      <w:proofErr w:type="spellEnd"/>
      <w:r w:rsidRPr="009F6D1E">
        <w:rPr>
          <w:rFonts w:cs="Times New Roman"/>
          <w:szCs w:val="24"/>
        </w:rPr>
        <w:t xml:space="preserve"> (19%). Съгласно годишния бюлетин на FSC (</w:t>
      </w:r>
      <w:proofErr w:type="spellStart"/>
      <w:r w:rsidRPr="009F6D1E">
        <w:rPr>
          <w:rFonts w:cs="Times New Roman"/>
          <w:szCs w:val="24"/>
        </w:rPr>
        <w:t>Facts</w:t>
      </w:r>
      <w:proofErr w:type="spellEnd"/>
      <w:r w:rsidRPr="009F6D1E">
        <w:rPr>
          <w:rFonts w:cs="Times New Roman"/>
          <w:szCs w:val="24"/>
        </w:rPr>
        <w:t xml:space="preserve"> &amp; </w:t>
      </w:r>
      <w:proofErr w:type="spellStart"/>
      <w:r w:rsidRPr="009F6D1E">
        <w:rPr>
          <w:rFonts w:cs="Times New Roman"/>
          <w:szCs w:val="24"/>
        </w:rPr>
        <w:t>Figures</w:t>
      </w:r>
      <w:proofErr w:type="spellEnd"/>
      <w:r w:rsidRPr="009F6D1E">
        <w:rPr>
          <w:rFonts w:cs="Times New Roman"/>
          <w:szCs w:val="24"/>
        </w:rPr>
        <w:t xml:space="preserve">, </w:t>
      </w:r>
      <w:proofErr w:type="spellStart"/>
      <w:r w:rsidRPr="009F6D1E">
        <w:rPr>
          <w:rFonts w:cs="Times New Roman"/>
          <w:szCs w:val="24"/>
        </w:rPr>
        <w:t>January</w:t>
      </w:r>
      <w:proofErr w:type="spellEnd"/>
      <w:r w:rsidRPr="009F6D1E">
        <w:rPr>
          <w:rFonts w:cs="Times New Roman"/>
          <w:szCs w:val="24"/>
        </w:rPr>
        <w:t xml:space="preserve"> 3, 2019) площта на сертифицираните горски територии към декември 2019 г. е 1 454 068 </w:t>
      </w:r>
      <w:proofErr w:type="spellStart"/>
      <w:r w:rsidRPr="009F6D1E">
        <w:rPr>
          <w:rFonts w:cs="Times New Roman"/>
          <w:szCs w:val="24"/>
        </w:rPr>
        <w:t>hа</w:t>
      </w:r>
      <w:proofErr w:type="spellEnd"/>
      <w:r w:rsidRPr="009F6D1E">
        <w:rPr>
          <w:rFonts w:cs="Times New Roman"/>
          <w:szCs w:val="24"/>
        </w:rPr>
        <w:t xml:space="preserve">, равняващи се на 35% от общата горска територия в страната (Годишен отчетен доклад на Изпълнителна агенция по горите за 2020 г.). Към февруари 2021 г. площта на сертифицираните горски територии вече е 2 374 088 </w:t>
      </w:r>
      <w:proofErr w:type="spellStart"/>
      <w:r w:rsidRPr="009F6D1E">
        <w:rPr>
          <w:rFonts w:cs="Times New Roman"/>
          <w:szCs w:val="24"/>
        </w:rPr>
        <w:t>ha</w:t>
      </w:r>
      <w:proofErr w:type="spellEnd"/>
      <w:r w:rsidRPr="009F6D1E">
        <w:rPr>
          <w:rFonts w:cs="Times New Roman"/>
          <w:szCs w:val="24"/>
        </w:rPr>
        <w:t xml:space="preserve">, или 57% от </w:t>
      </w:r>
      <w:proofErr w:type="spellStart"/>
      <w:r w:rsidRPr="009F6D1E">
        <w:rPr>
          <w:rFonts w:cs="Times New Roman"/>
          <w:szCs w:val="24"/>
        </w:rPr>
        <w:t>от</w:t>
      </w:r>
      <w:proofErr w:type="spellEnd"/>
      <w:r w:rsidRPr="009F6D1E">
        <w:rPr>
          <w:rFonts w:cs="Times New Roman"/>
          <w:szCs w:val="24"/>
        </w:rPr>
        <w:t xml:space="preserve"> общата горска територия в страната (Годишен отчетен доклад на Изпълнителна агенция по горите за 2021 г.).</w:t>
      </w:r>
    </w:p>
    <w:p w14:paraId="69F2193E" w14:textId="77777777" w:rsidR="00240F6F" w:rsidRPr="009F6D1E" w:rsidRDefault="00240F6F" w:rsidP="0084747F">
      <w:pPr>
        <w:spacing w:after="60" w:line="264" w:lineRule="auto"/>
        <w:contextualSpacing/>
        <w:jc w:val="both"/>
        <w:rPr>
          <w:rFonts w:eastAsia="Calibri" w:cs="Times New Roman"/>
          <w:b/>
          <w:bCs/>
          <w:i/>
          <w:iCs/>
          <w:szCs w:val="24"/>
          <w:highlight w:val="yellow"/>
        </w:rPr>
      </w:pPr>
    </w:p>
    <w:p w14:paraId="53103C85" w14:textId="77777777" w:rsidR="00471E9F" w:rsidRPr="009F6D1E" w:rsidRDefault="007E215E">
      <w:pPr>
        <w:pStyle w:val="Heading3"/>
        <w:numPr>
          <w:ilvl w:val="2"/>
          <w:numId w:val="31"/>
        </w:numPr>
        <w:shd w:val="clear" w:color="auto" w:fill="E2EFD9" w:themeFill="accent6" w:themeFillTint="33"/>
        <w:tabs>
          <w:tab w:val="clear" w:pos="1701"/>
        </w:tabs>
        <w:spacing w:before="0" w:after="60" w:line="264" w:lineRule="auto"/>
        <w:ind w:left="709"/>
        <w:rPr>
          <w:smallCaps w:val="0"/>
          <w:lang w:bidi="ar-SA"/>
        </w:rPr>
      </w:pPr>
      <w:bookmarkStart w:id="409" w:name="_Toc115255002"/>
      <w:r w:rsidRPr="009F6D1E">
        <w:rPr>
          <w:smallCaps w:val="0"/>
          <w:lang w:bidi="ar-SA"/>
        </w:rPr>
        <w:t>Биологично разнообразие</w:t>
      </w:r>
      <w:bookmarkEnd w:id="409"/>
    </w:p>
    <w:p w14:paraId="30EE8EE9" w14:textId="77777777" w:rsidR="00D16272" w:rsidRPr="009F6D1E" w:rsidRDefault="00D16272" w:rsidP="0084747F">
      <w:pPr>
        <w:tabs>
          <w:tab w:val="left" w:pos="701"/>
        </w:tabs>
        <w:spacing w:after="60" w:line="264" w:lineRule="auto"/>
        <w:ind w:left="1571" w:hanging="720"/>
        <w:jc w:val="both"/>
        <w:rPr>
          <w:rFonts w:eastAsia="Times New Roman" w:cs="Times New Roman"/>
          <w:b/>
          <w:bCs/>
          <w:iCs/>
          <w:szCs w:val="24"/>
        </w:rPr>
      </w:pPr>
      <w:r w:rsidRPr="009F6D1E">
        <w:rPr>
          <w:rFonts w:eastAsia="Times New Roman" w:cs="Times New Roman"/>
          <w:b/>
          <w:bCs/>
          <w:iCs/>
          <w:szCs w:val="24"/>
        </w:rPr>
        <w:t xml:space="preserve"> </w:t>
      </w:r>
    </w:p>
    <w:p w14:paraId="4AED5D41" w14:textId="77777777" w:rsidR="00D16272" w:rsidRPr="009F6D1E" w:rsidRDefault="00D16272">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Флора </w:t>
      </w:r>
    </w:p>
    <w:p w14:paraId="0F1F73F0" w14:textId="77777777" w:rsidR="00D6187E" w:rsidRPr="009F6D1E" w:rsidRDefault="00D6187E" w:rsidP="0084747F">
      <w:pPr>
        <w:spacing w:after="60" w:line="264" w:lineRule="auto"/>
        <w:ind w:firstLine="709"/>
        <w:contextualSpacing/>
        <w:jc w:val="both"/>
        <w:rPr>
          <w:rFonts w:cs="Times New Roman"/>
          <w:color w:val="1F3864" w:themeColor="accent1" w:themeShade="80"/>
          <w:szCs w:val="24"/>
        </w:rPr>
      </w:pPr>
    </w:p>
    <w:p w14:paraId="44AF7230"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България принадлежи към </w:t>
      </w:r>
      <w:proofErr w:type="spellStart"/>
      <w:r w:rsidRPr="009F6D1E">
        <w:rPr>
          <w:rFonts w:cs="Times New Roman"/>
          <w:szCs w:val="24"/>
        </w:rPr>
        <w:t>Холарктическото</w:t>
      </w:r>
      <w:proofErr w:type="spellEnd"/>
      <w:r w:rsidRPr="009F6D1E">
        <w:rPr>
          <w:rFonts w:cs="Times New Roman"/>
          <w:szCs w:val="24"/>
        </w:rPr>
        <w:t xml:space="preserve"> </w:t>
      </w:r>
      <w:proofErr w:type="spellStart"/>
      <w:r w:rsidRPr="009F6D1E">
        <w:rPr>
          <w:rFonts w:cs="Times New Roman"/>
          <w:szCs w:val="24"/>
        </w:rPr>
        <w:t>флористично</w:t>
      </w:r>
      <w:proofErr w:type="spellEnd"/>
      <w:r w:rsidRPr="009F6D1E">
        <w:rPr>
          <w:rFonts w:cs="Times New Roman"/>
          <w:szCs w:val="24"/>
        </w:rPr>
        <w:t xml:space="preserve"> пространство. Сложната геоложка история на страната, планините със силно разчленена топография, речните долини и котловинни полета, влиянието на морските басейни от изток и юг обуславят разнообразен климат и създават условия за разнообразна растителност и богата флора. Територията на страната, въз основа на спектъра от </w:t>
      </w:r>
      <w:proofErr w:type="spellStart"/>
      <w:r w:rsidRPr="009F6D1E">
        <w:rPr>
          <w:rFonts w:cs="Times New Roman"/>
          <w:szCs w:val="24"/>
        </w:rPr>
        <w:t>флорни</w:t>
      </w:r>
      <w:proofErr w:type="spellEnd"/>
      <w:r w:rsidRPr="009F6D1E">
        <w:rPr>
          <w:rFonts w:cs="Times New Roman"/>
          <w:szCs w:val="24"/>
        </w:rPr>
        <w:t xml:space="preserve"> елементи, е включена в три </w:t>
      </w:r>
      <w:proofErr w:type="spellStart"/>
      <w:r w:rsidRPr="009F6D1E">
        <w:rPr>
          <w:rFonts w:cs="Times New Roman"/>
          <w:szCs w:val="24"/>
        </w:rPr>
        <w:t>растителногеографски</w:t>
      </w:r>
      <w:proofErr w:type="spellEnd"/>
      <w:r w:rsidRPr="009F6D1E">
        <w:rPr>
          <w:rFonts w:cs="Times New Roman"/>
          <w:szCs w:val="24"/>
        </w:rPr>
        <w:t xml:space="preserve"> области: Европейска широколистна горска област, Евроазиатска степна и </w:t>
      </w:r>
      <w:proofErr w:type="spellStart"/>
      <w:r w:rsidRPr="009F6D1E">
        <w:rPr>
          <w:rFonts w:cs="Times New Roman"/>
          <w:szCs w:val="24"/>
        </w:rPr>
        <w:t>лесостепна</w:t>
      </w:r>
      <w:proofErr w:type="spellEnd"/>
      <w:r w:rsidRPr="009F6D1E">
        <w:rPr>
          <w:rFonts w:cs="Times New Roman"/>
          <w:szCs w:val="24"/>
        </w:rPr>
        <w:t xml:space="preserve"> област и Средиземноморска </w:t>
      </w:r>
      <w:proofErr w:type="spellStart"/>
      <w:r w:rsidRPr="009F6D1E">
        <w:rPr>
          <w:rFonts w:cs="Times New Roman"/>
          <w:szCs w:val="24"/>
        </w:rPr>
        <w:t>склерофилна</w:t>
      </w:r>
      <w:proofErr w:type="spellEnd"/>
      <w:r w:rsidRPr="009F6D1E">
        <w:rPr>
          <w:rFonts w:cs="Times New Roman"/>
          <w:szCs w:val="24"/>
        </w:rPr>
        <w:t xml:space="preserve"> горска област. За целите на </w:t>
      </w:r>
      <w:proofErr w:type="spellStart"/>
      <w:r w:rsidRPr="009F6D1E">
        <w:rPr>
          <w:rFonts w:cs="Times New Roman"/>
          <w:szCs w:val="24"/>
        </w:rPr>
        <w:t>флористичните</w:t>
      </w:r>
      <w:proofErr w:type="spellEnd"/>
      <w:r w:rsidRPr="009F6D1E">
        <w:rPr>
          <w:rFonts w:cs="Times New Roman"/>
          <w:szCs w:val="24"/>
        </w:rPr>
        <w:t xml:space="preserve"> изследвания  България е разделена на 20 </w:t>
      </w:r>
      <w:proofErr w:type="spellStart"/>
      <w:r w:rsidRPr="009F6D1E">
        <w:rPr>
          <w:rFonts w:cs="Times New Roman"/>
          <w:szCs w:val="24"/>
        </w:rPr>
        <w:t>флористични</w:t>
      </w:r>
      <w:proofErr w:type="spellEnd"/>
      <w:r w:rsidRPr="009F6D1E">
        <w:rPr>
          <w:rFonts w:cs="Times New Roman"/>
          <w:szCs w:val="24"/>
        </w:rPr>
        <w:t xml:space="preserve"> района и 14 </w:t>
      </w:r>
      <w:proofErr w:type="spellStart"/>
      <w:r w:rsidRPr="009F6D1E">
        <w:rPr>
          <w:rFonts w:cs="Times New Roman"/>
          <w:szCs w:val="24"/>
        </w:rPr>
        <w:t>подрайона</w:t>
      </w:r>
      <w:proofErr w:type="spellEnd"/>
      <w:r w:rsidRPr="009F6D1E">
        <w:rPr>
          <w:rFonts w:cs="Times New Roman"/>
          <w:szCs w:val="24"/>
        </w:rPr>
        <w:t xml:space="preserve">, чиито граници приблизително следват техните географски и фитогеографски граници: Черноморско крайбрежие (Северно, Южно), Североизточна България, Дунавска равнина, Предбалкан, Стара планина (Източна, Средна, Западна), Софийски район, Знеполски район, Витошки район (Витоша и Плана), Западни гранични планини, Струмска долина (Северна, Южна), Беласица, Славянка, долината на р. Места, Пирин (Южен, Северен), Рила, Средна гора (Западна, Източна), Родопи (Западни, Средни, Източни), Тракийска низина, Тунджанска хълмиста равнина, Странджа. </w:t>
      </w:r>
    </w:p>
    <w:p w14:paraId="19BC7787"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Българската висша флора включва около 3900 вида висши растения. От тях </w:t>
      </w:r>
      <w:proofErr w:type="spellStart"/>
      <w:r w:rsidRPr="009F6D1E">
        <w:rPr>
          <w:rFonts w:cs="Times New Roman"/>
          <w:szCs w:val="24"/>
        </w:rPr>
        <w:t>папратообразните</w:t>
      </w:r>
      <w:proofErr w:type="spellEnd"/>
      <w:r w:rsidRPr="009F6D1E">
        <w:rPr>
          <w:rFonts w:cs="Times New Roman"/>
          <w:szCs w:val="24"/>
        </w:rPr>
        <w:t xml:space="preserve"> са 45 вида, голосеменните са 17 вида, покритосеменните - около 3823. Видовете се отнасят към 902 рода от 159 растителни семейства. Най-богати на видове са сем. </w:t>
      </w:r>
      <w:proofErr w:type="spellStart"/>
      <w:r w:rsidRPr="009F6D1E">
        <w:rPr>
          <w:rFonts w:cs="Times New Roman"/>
          <w:szCs w:val="24"/>
        </w:rPr>
        <w:t>Asteraceae</w:t>
      </w:r>
      <w:proofErr w:type="spellEnd"/>
      <w:r w:rsidRPr="009F6D1E">
        <w:rPr>
          <w:rFonts w:cs="Times New Roman"/>
          <w:szCs w:val="24"/>
        </w:rPr>
        <w:t xml:space="preserve"> (Сложноцветни) - 480 вида, </w:t>
      </w:r>
      <w:proofErr w:type="spellStart"/>
      <w:r w:rsidRPr="009F6D1E">
        <w:rPr>
          <w:rFonts w:cs="Times New Roman"/>
          <w:szCs w:val="24"/>
        </w:rPr>
        <w:t>Poaceae</w:t>
      </w:r>
      <w:proofErr w:type="spellEnd"/>
      <w:r w:rsidRPr="009F6D1E">
        <w:rPr>
          <w:rFonts w:cs="Times New Roman"/>
          <w:szCs w:val="24"/>
        </w:rPr>
        <w:t xml:space="preserve"> (Житни) - 330 вида, </w:t>
      </w:r>
      <w:proofErr w:type="spellStart"/>
      <w:r w:rsidRPr="009F6D1E">
        <w:rPr>
          <w:rFonts w:cs="Times New Roman"/>
          <w:szCs w:val="24"/>
        </w:rPr>
        <w:t>Fabaceae</w:t>
      </w:r>
      <w:proofErr w:type="spellEnd"/>
      <w:r w:rsidRPr="009F6D1E">
        <w:rPr>
          <w:rFonts w:cs="Times New Roman"/>
          <w:szCs w:val="24"/>
        </w:rPr>
        <w:t xml:space="preserve"> (Бобови) – 290 вида, </w:t>
      </w:r>
      <w:proofErr w:type="spellStart"/>
      <w:r w:rsidRPr="009F6D1E">
        <w:rPr>
          <w:rFonts w:cs="Times New Roman"/>
          <w:szCs w:val="24"/>
        </w:rPr>
        <w:t>Caryophyllaceae</w:t>
      </w:r>
      <w:proofErr w:type="spellEnd"/>
      <w:r w:rsidRPr="009F6D1E">
        <w:rPr>
          <w:rFonts w:cs="Times New Roman"/>
          <w:szCs w:val="24"/>
        </w:rPr>
        <w:t xml:space="preserve"> (Карамфилови) – 260 вида, </w:t>
      </w:r>
      <w:proofErr w:type="spellStart"/>
      <w:r w:rsidRPr="009F6D1E">
        <w:rPr>
          <w:rFonts w:cs="Times New Roman"/>
          <w:szCs w:val="24"/>
        </w:rPr>
        <w:t>Rosaceae</w:t>
      </w:r>
      <w:proofErr w:type="spellEnd"/>
      <w:r w:rsidRPr="009F6D1E">
        <w:rPr>
          <w:rFonts w:cs="Times New Roman"/>
          <w:szCs w:val="24"/>
        </w:rPr>
        <w:t xml:space="preserve"> (</w:t>
      </w:r>
      <w:proofErr w:type="spellStart"/>
      <w:r w:rsidRPr="009F6D1E">
        <w:rPr>
          <w:rFonts w:cs="Times New Roman"/>
          <w:szCs w:val="24"/>
        </w:rPr>
        <w:t>Розоцветни</w:t>
      </w:r>
      <w:proofErr w:type="spellEnd"/>
      <w:r w:rsidRPr="009F6D1E">
        <w:rPr>
          <w:rFonts w:cs="Times New Roman"/>
          <w:szCs w:val="24"/>
        </w:rPr>
        <w:t xml:space="preserve">) – 210 вида, </w:t>
      </w:r>
      <w:proofErr w:type="spellStart"/>
      <w:r w:rsidRPr="009F6D1E">
        <w:rPr>
          <w:rFonts w:cs="Times New Roman"/>
          <w:szCs w:val="24"/>
        </w:rPr>
        <w:t>Brassicaceae</w:t>
      </w:r>
      <w:proofErr w:type="spellEnd"/>
      <w:r w:rsidRPr="009F6D1E">
        <w:rPr>
          <w:rFonts w:cs="Times New Roman"/>
          <w:szCs w:val="24"/>
        </w:rPr>
        <w:t xml:space="preserve"> (Кръстоцветни) – 183 вида, </w:t>
      </w:r>
      <w:proofErr w:type="spellStart"/>
      <w:r w:rsidRPr="009F6D1E">
        <w:rPr>
          <w:rFonts w:cs="Times New Roman"/>
          <w:szCs w:val="24"/>
        </w:rPr>
        <w:t>Scrophulariaceae</w:t>
      </w:r>
      <w:proofErr w:type="spellEnd"/>
      <w:r w:rsidRPr="009F6D1E">
        <w:rPr>
          <w:rFonts w:cs="Times New Roman"/>
          <w:szCs w:val="24"/>
        </w:rPr>
        <w:t xml:space="preserve"> (</w:t>
      </w:r>
      <w:proofErr w:type="spellStart"/>
      <w:r w:rsidRPr="009F6D1E">
        <w:rPr>
          <w:rFonts w:cs="Times New Roman"/>
          <w:szCs w:val="24"/>
        </w:rPr>
        <w:t>Живеничеви</w:t>
      </w:r>
      <w:proofErr w:type="spellEnd"/>
      <w:r w:rsidRPr="009F6D1E">
        <w:rPr>
          <w:rFonts w:cs="Times New Roman"/>
          <w:szCs w:val="24"/>
        </w:rPr>
        <w:t>) – 156 вида. От растителните родове у нас с особено видово богатство се отличават род </w:t>
      </w:r>
      <w:proofErr w:type="spellStart"/>
      <w:r w:rsidRPr="009F6D1E">
        <w:rPr>
          <w:rFonts w:cs="Times New Roman"/>
          <w:i/>
          <w:iCs/>
          <w:szCs w:val="24"/>
        </w:rPr>
        <w:t>Hieracium</w:t>
      </w:r>
      <w:proofErr w:type="spellEnd"/>
      <w:r w:rsidRPr="009F6D1E">
        <w:rPr>
          <w:rFonts w:cs="Times New Roman"/>
          <w:szCs w:val="24"/>
        </w:rPr>
        <w:t>  (</w:t>
      </w:r>
      <w:proofErr w:type="spellStart"/>
      <w:r w:rsidRPr="009F6D1E">
        <w:rPr>
          <w:rFonts w:cs="Times New Roman"/>
          <w:szCs w:val="24"/>
        </w:rPr>
        <w:t>Рунянка</w:t>
      </w:r>
      <w:proofErr w:type="spellEnd"/>
      <w:r w:rsidRPr="009F6D1E">
        <w:rPr>
          <w:rFonts w:cs="Times New Roman"/>
          <w:szCs w:val="24"/>
        </w:rPr>
        <w:t>) с 80 вида,  </w:t>
      </w:r>
      <w:proofErr w:type="spellStart"/>
      <w:r w:rsidRPr="009F6D1E">
        <w:rPr>
          <w:rFonts w:cs="Times New Roman"/>
          <w:i/>
          <w:iCs/>
          <w:szCs w:val="24"/>
        </w:rPr>
        <w:t>Carex</w:t>
      </w:r>
      <w:proofErr w:type="spellEnd"/>
      <w:r w:rsidRPr="009F6D1E">
        <w:rPr>
          <w:rFonts w:cs="Times New Roman"/>
          <w:szCs w:val="24"/>
        </w:rPr>
        <w:t>  (Острица) с 66,  </w:t>
      </w:r>
      <w:proofErr w:type="spellStart"/>
      <w:r w:rsidRPr="009F6D1E">
        <w:rPr>
          <w:rFonts w:cs="Times New Roman"/>
          <w:i/>
          <w:iCs/>
          <w:szCs w:val="24"/>
        </w:rPr>
        <w:t>Centaurea</w:t>
      </w:r>
      <w:proofErr w:type="spellEnd"/>
      <w:r w:rsidRPr="009F6D1E">
        <w:rPr>
          <w:rFonts w:cs="Times New Roman"/>
          <w:i/>
          <w:iCs/>
          <w:szCs w:val="24"/>
        </w:rPr>
        <w:t xml:space="preserve"> </w:t>
      </w:r>
      <w:r w:rsidRPr="009F6D1E">
        <w:rPr>
          <w:rFonts w:cs="Times New Roman"/>
          <w:szCs w:val="24"/>
        </w:rPr>
        <w:t> (Метличина) с 65, </w:t>
      </w:r>
      <w:proofErr w:type="spellStart"/>
      <w:r w:rsidRPr="009F6D1E">
        <w:rPr>
          <w:rFonts w:cs="Times New Roman"/>
          <w:i/>
          <w:iCs/>
          <w:szCs w:val="24"/>
        </w:rPr>
        <w:t>Trifolium</w:t>
      </w:r>
      <w:proofErr w:type="spellEnd"/>
      <w:r w:rsidRPr="009F6D1E">
        <w:rPr>
          <w:rFonts w:cs="Times New Roman"/>
          <w:szCs w:val="24"/>
        </w:rPr>
        <w:t xml:space="preserve">  (Детелина) с 60,  </w:t>
      </w:r>
      <w:proofErr w:type="spellStart"/>
      <w:r w:rsidRPr="009F6D1E">
        <w:rPr>
          <w:rFonts w:cs="Times New Roman"/>
          <w:i/>
          <w:iCs/>
          <w:szCs w:val="24"/>
        </w:rPr>
        <w:t>Silene</w:t>
      </w:r>
      <w:proofErr w:type="spellEnd"/>
      <w:r w:rsidRPr="009F6D1E">
        <w:rPr>
          <w:rFonts w:cs="Times New Roman"/>
          <w:szCs w:val="24"/>
        </w:rPr>
        <w:t>  (</w:t>
      </w:r>
      <w:proofErr w:type="spellStart"/>
      <w:r w:rsidRPr="009F6D1E">
        <w:rPr>
          <w:rFonts w:cs="Times New Roman"/>
          <w:szCs w:val="24"/>
        </w:rPr>
        <w:t>Плюскавиче</w:t>
      </w:r>
      <w:proofErr w:type="spellEnd"/>
      <w:r w:rsidRPr="009F6D1E">
        <w:rPr>
          <w:rFonts w:cs="Times New Roman"/>
          <w:szCs w:val="24"/>
        </w:rPr>
        <w:t xml:space="preserve">) с 50,  </w:t>
      </w:r>
      <w:proofErr w:type="spellStart"/>
      <w:r w:rsidRPr="009F6D1E">
        <w:rPr>
          <w:rFonts w:cs="Times New Roman"/>
          <w:i/>
          <w:iCs/>
          <w:szCs w:val="24"/>
        </w:rPr>
        <w:t>Verbascum</w:t>
      </w:r>
      <w:proofErr w:type="spellEnd"/>
      <w:r w:rsidRPr="009F6D1E">
        <w:rPr>
          <w:rFonts w:cs="Times New Roman"/>
          <w:szCs w:val="24"/>
        </w:rPr>
        <w:t xml:space="preserve">  (Лопен) с 45, и др. Автохтонните видове растения са около 3330. Повече от 500 вида представители на 93 семейства, главно многогодишни тревисти растения, храсти и дървета от тази група, са доминанти и субдоминанти в растителните съобщества. Това са предимно представители на семействата на житните растения, киселите треви, бобовите, сложноцветните, </w:t>
      </w:r>
      <w:proofErr w:type="spellStart"/>
      <w:r w:rsidRPr="009F6D1E">
        <w:rPr>
          <w:rFonts w:cs="Times New Roman"/>
          <w:szCs w:val="24"/>
        </w:rPr>
        <w:t>розоцветните</w:t>
      </w:r>
      <w:proofErr w:type="spellEnd"/>
      <w:r w:rsidRPr="009F6D1E">
        <w:rPr>
          <w:rFonts w:cs="Times New Roman"/>
          <w:szCs w:val="24"/>
        </w:rPr>
        <w:t xml:space="preserve"> и др. С малък брой видове, но с определящо участие като доминанти и </w:t>
      </w:r>
      <w:proofErr w:type="spellStart"/>
      <w:r w:rsidRPr="009F6D1E">
        <w:rPr>
          <w:rFonts w:cs="Times New Roman"/>
          <w:szCs w:val="24"/>
        </w:rPr>
        <w:t>едификатори</w:t>
      </w:r>
      <w:proofErr w:type="spellEnd"/>
      <w:r w:rsidRPr="009F6D1E">
        <w:rPr>
          <w:rFonts w:cs="Times New Roman"/>
          <w:szCs w:val="24"/>
        </w:rPr>
        <w:t xml:space="preserve"> в планинските екосистеми, са </w:t>
      </w:r>
      <w:r w:rsidRPr="009F6D1E">
        <w:rPr>
          <w:rFonts w:cs="Times New Roman"/>
          <w:szCs w:val="24"/>
        </w:rPr>
        <w:lastRenderedPageBreak/>
        <w:t xml:space="preserve">дървесни представители на семействата </w:t>
      </w:r>
      <w:proofErr w:type="spellStart"/>
      <w:r w:rsidRPr="009F6D1E">
        <w:rPr>
          <w:rFonts w:cs="Times New Roman"/>
          <w:szCs w:val="24"/>
        </w:rPr>
        <w:t>Aceraceae</w:t>
      </w:r>
      <w:proofErr w:type="spellEnd"/>
      <w:r w:rsidRPr="009F6D1E">
        <w:rPr>
          <w:rFonts w:cs="Times New Roman"/>
          <w:szCs w:val="24"/>
        </w:rPr>
        <w:t xml:space="preserve"> (Кленови), </w:t>
      </w:r>
      <w:proofErr w:type="spellStart"/>
      <w:r w:rsidRPr="009F6D1E">
        <w:rPr>
          <w:rFonts w:cs="Times New Roman"/>
          <w:szCs w:val="24"/>
        </w:rPr>
        <w:t>Fagaceae</w:t>
      </w:r>
      <w:proofErr w:type="spellEnd"/>
      <w:r w:rsidRPr="009F6D1E">
        <w:rPr>
          <w:rFonts w:cs="Times New Roman"/>
          <w:szCs w:val="24"/>
        </w:rPr>
        <w:t xml:space="preserve"> (Букови), </w:t>
      </w:r>
      <w:proofErr w:type="spellStart"/>
      <w:r w:rsidRPr="009F6D1E">
        <w:rPr>
          <w:rFonts w:cs="Times New Roman"/>
          <w:szCs w:val="24"/>
        </w:rPr>
        <w:t>Pinaceae</w:t>
      </w:r>
      <w:proofErr w:type="spellEnd"/>
      <w:r w:rsidRPr="009F6D1E">
        <w:rPr>
          <w:rFonts w:cs="Times New Roman"/>
          <w:szCs w:val="24"/>
        </w:rPr>
        <w:t xml:space="preserve"> (Борови), </w:t>
      </w:r>
      <w:proofErr w:type="spellStart"/>
      <w:r w:rsidRPr="009F6D1E">
        <w:rPr>
          <w:rFonts w:cs="Times New Roman"/>
          <w:szCs w:val="24"/>
        </w:rPr>
        <w:t>Tiliaceae</w:t>
      </w:r>
      <w:proofErr w:type="spellEnd"/>
      <w:r w:rsidRPr="009F6D1E">
        <w:rPr>
          <w:rFonts w:cs="Times New Roman"/>
          <w:szCs w:val="24"/>
        </w:rPr>
        <w:t xml:space="preserve"> (Липови) с </w:t>
      </w:r>
      <w:proofErr w:type="spellStart"/>
      <w:r w:rsidRPr="009F6D1E">
        <w:rPr>
          <w:rFonts w:cs="Times New Roman"/>
          <w:szCs w:val="24"/>
        </w:rPr>
        <w:t>участитето</w:t>
      </w:r>
      <w:proofErr w:type="spellEnd"/>
      <w:r w:rsidRPr="009F6D1E">
        <w:rPr>
          <w:rFonts w:cs="Times New Roman"/>
          <w:szCs w:val="24"/>
        </w:rPr>
        <w:t xml:space="preserve"> на </w:t>
      </w:r>
      <w:proofErr w:type="spellStart"/>
      <w:r w:rsidRPr="009F6D1E">
        <w:rPr>
          <w:rFonts w:cs="Times New Roman"/>
          <w:szCs w:val="24"/>
        </w:rPr>
        <w:t>съдоминанти</w:t>
      </w:r>
      <w:proofErr w:type="spellEnd"/>
      <w:r w:rsidRPr="009F6D1E">
        <w:rPr>
          <w:rFonts w:cs="Times New Roman"/>
          <w:szCs w:val="24"/>
        </w:rPr>
        <w:t xml:space="preserve"> и </w:t>
      </w:r>
      <w:proofErr w:type="spellStart"/>
      <w:r w:rsidRPr="009F6D1E">
        <w:rPr>
          <w:rFonts w:cs="Times New Roman"/>
          <w:szCs w:val="24"/>
        </w:rPr>
        <w:t>асектатори</w:t>
      </w:r>
      <w:proofErr w:type="spellEnd"/>
      <w:r w:rsidRPr="009F6D1E">
        <w:rPr>
          <w:rFonts w:cs="Times New Roman"/>
          <w:szCs w:val="24"/>
        </w:rPr>
        <w:t xml:space="preserve"> от </w:t>
      </w:r>
      <w:proofErr w:type="spellStart"/>
      <w:r w:rsidRPr="009F6D1E">
        <w:rPr>
          <w:rFonts w:cs="Times New Roman"/>
          <w:szCs w:val="24"/>
        </w:rPr>
        <w:t>Betulaceae</w:t>
      </w:r>
      <w:proofErr w:type="spellEnd"/>
      <w:r w:rsidRPr="009F6D1E">
        <w:rPr>
          <w:rFonts w:cs="Times New Roman"/>
          <w:szCs w:val="24"/>
        </w:rPr>
        <w:t xml:space="preserve"> (Брезови), </w:t>
      </w:r>
      <w:proofErr w:type="spellStart"/>
      <w:r w:rsidRPr="009F6D1E">
        <w:rPr>
          <w:rFonts w:cs="Times New Roman"/>
          <w:szCs w:val="24"/>
        </w:rPr>
        <w:t>Cornaceae</w:t>
      </w:r>
      <w:proofErr w:type="spellEnd"/>
      <w:r w:rsidRPr="009F6D1E">
        <w:rPr>
          <w:rFonts w:cs="Times New Roman"/>
          <w:szCs w:val="24"/>
        </w:rPr>
        <w:t xml:space="preserve"> (Дрянови), </w:t>
      </w:r>
      <w:proofErr w:type="spellStart"/>
      <w:r w:rsidRPr="009F6D1E">
        <w:rPr>
          <w:rFonts w:cs="Times New Roman"/>
          <w:szCs w:val="24"/>
        </w:rPr>
        <w:t>Oleaceae</w:t>
      </w:r>
      <w:proofErr w:type="spellEnd"/>
      <w:r w:rsidRPr="009F6D1E">
        <w:rPr>
          <w:rFonts w:cs="Times New Roman"/>
          <w:szCs w:val="24"/>
        </w:rPr>
        <w:t xml:space="preserve"> (Маслинови), </w:t>
      </w:r>
      <w:proofErr w:type="spellStart"/>
      <w:r w:rsidRPr="009F6D1E">
        <w:rPr>
          <w:rFonts w:cs="Times New Roman"/>
          <w:szCs w:val="24"/>
        </w:rPr>
        <w:t>Rosaceae</w:t>
      </w:r>
      <w:proofErr w:type="spellEnd"/>
      <w:r w:rsidRPr="009F6D1E">
        <w:rPr>
          <w:rFonts w:cs="Times New Roman"/>
          <w:szCs w:val="24"/>
        </w:rPr>
        <w:t xml:space="preserve"> (</w:t>
      </w:r>
      <w:proofErr w:type="spellStart"/>
      <w:r w:rsidRPr="009F6D1E">
        <w:rPr>
          <w:rFonts w:cs="Times New Roman"/>
          <w:szCs w:val="24"/>
        </w:rPr>
        <w:t>Розоцветни</w:t>
      </w:r>
      <w:proofErr w:type="spellEnd"/>
      <w:r w:rsidRPr="009F6D1E">
        <w:rPr>
          <w:rFonts w:cs="Times New Roman"/>
          <w:szCs w:val="24"/>
        </w:rPr>
        <w:t xml:space="preserve">), </w:t>
      </w:r>
      <w:proofErr w:type="spellStart"/>
      <w:r w:rsidRPr="009F6D1E">
        <w:rPr>
          <w:rFonts w:cs="Times New Roman"/>
          <w:szCs w:val="24"/>
        </w:rPr>
        <w:t>Salicaceae</w:t>
      </w:r>
      <w:proofErr w:type="spellEnd"/>
      <w:r w:rsidRPr="009F6D1E">
        <w:rPr>
          <w:rFonts w:cs="Times New Roman"/>
          <w:szCs w:val="24"/>
        </w:rPr>
        <w:t xml:space="preserve"> (Върбови), </w:t>
      </w:r>
      <w:proofErr w:type="spellStart"/>
      <w:r w:rsidRPr="009F6D1E">
        <w:rPr>
          <w:rFonts w:cs="Times New Roman"/>
          <w:szCs w:val="24"/>
        </w:rPr>
        <w:t>Ulmaceae</w:t>
      </w:r>
      <w:proofErr w:type="spellEnd"/>
      <w:r w:rsidRPr="009F6D1E">
        <w:rPr>
          <w:rFonts w:cs="Times New Roman"/>
          <w:szCs w:val="24"/>
        </w:rPr>
        <w:t xml:space="preserve"> (Брястови) и др.</w:t>
      </w:r>
    </w:p>
    <w:p w14:paraId="6E423295"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Около 500 вида дървета, храсти и тревисти растения са ограничено разпространени в българската флора. Част от тях са български или балкански </w:t>
      </w:r>
      <w:proofErr w:type="spellStart"/>
      <w:r w:rsidRPr="009F6D1E">
        <w:rPr>
          <w:rFonts w:cs="Times New Roman"/>
          <w:szCs w:val="24"/>
        </w:rPr>
        <w:t>ендемити</w:t>
      </w:r>
      <w:proofErr w:type="spellEnd"/>
      <w:r w:rsidRPr="009F6D1E">
        <w:rPr>
          <w:rFonts w:cs="Times New Roman"/>
          <w:szCs w:val="24"/>
        </w:rPr>
        <w:t xml:space="preserve">, други са редки растения, остатък от древни </w:t>
      </w:r>
      <w:proofErr w:type="spellStart"/>
      <w:r w:rsidRPr="009F6D1E">
        <w:rPr>
          <w:rFonts w:cs="Times New Roman"/>
          <w:szCs w:val="24"/>
        </w:rPr>
        <w:t>флори</w:t>
      </w:r>
      <w:proofErr w:type="spellEnd"/>
      <w:r w:rsidRPr="009F6D1E">
        <w:rPr>
          <w:rFonts w:cs="Times New Roman"/>
          <w:szCs w:val="24"/>
        </w:rPr>
        <w:t xml:space="preserve"> или видове, чиито основни ареали са извън България. У нас те имат малко на брой популации, понякога в единични находища, често в граничните </w:t>
      </w:r>
      <w:proofErr w:type="spellStart"/>
      <w:r w:rsidRPr="009F6D1E">
        <w:rPr>
          <w:rFonts w:cs="Times New Roman"/>
          <w:szCs w:val="24"/>
        </w:rPr>
        <w:t>флористични</w:t>
      </w:r>
      <w:proofErr w:type="spellEnd"/>
      <w:r w:rsidRPr="009F6D1E">
        <w:rPr>
          <w:rFonts w:cs="Times New Roman"/>
          <w:szCs w:val="24"/>
        </w:rPr>
        <w:t xml:space="preserve"> райони на страната или във високите планини. Много от тези видове, включени в настоящето издание, са защитени от Закона за биологичното разнообразие в България.</w:t>
      </w:r>
    </w:p>
    <w:p w14:paraId="7C9B7556"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Около 560 вида са плевели и </w:t>
      </w:r>
      <w:proofErr w:type="spellStart"/>
      <w:r w:rsidRPr="009F6D1E">
        <w:rPr>
          <w:rFonts w:cs="Times New Roman"/>
          <w:szCs w:val="24"/>
        </w:rPr>
        <w:t>рудерали</w:t>
      </w:r>
      <w:proofErr w:type="spellEnd"/>
      <w:r w:rsidRPr="009F6D1E">
        <w:rPr>
          <w:rFonts w:cs="Times New Roman"/>
          <w:szCs w:val="24"/>
        </w:rPr>
        <w:t>, повечето широко разпространени в места, променени под влияние на човешката дейност. Част от тях (</w:t>
      </w:r>
      <w:proofErr w:type="spellStart"/>
      <w:r w:rsidRPr="009F6D1E">
        <w:rPr>
          <w:rFonts w:cs="Times New Roman"/>
          <w:i/>
          <w:iCs/>
          <w:szCs w:val="24"/>
        </w:rPr>
        <w:t>Avena</w:t>
      </w:r>
      <w:proofErr w:type="spellEnd"/>
      <w:r w:rsidRPr="009F6D1E">
        <w:rPr>
          <w:rFonts w:cs="Times New Roman"/>
          <w:i/>
          <w:iCs/>
          <w:szCs w:val="24"/>
        </w:rPr>
        <w:t xml:space="preserve"> </w:t>
      </w:r>
      <w:proofErr w:type="spellStart"/>
      <w:r w:rsidRPr="009F6D1E">
        <w:rPr>
          <w:rFonts w:cs="Times New Roman"/>
          <w:i/>
          <w:iCs/>
          <w:szCs w:val="24"/>
        </w:rPr>
        <w:t>fatua</w:t>
      </w:r>
      <w:proofErr w:type="spellEnd"/>
      <w:r w:rsidRPr="009F6D1E">
        <w:rPr>
          <w:rFonts w:cs="Times New Roman"/>
          <w:i/>
          <w:iCs/>
          <w:szCs w:val="24"/>
        </w:rPr>
        <w:t xml:space="preserve"> </w:t>
      </w:r>
      <w:r w:rsidRPr="009F6D1E">
        <w:rPr>
          <w:rFonts w:cs="Times New Roman"/>
          <w:szCs w:val="24"/>
        </w:rPr>
        <w:t>(див овес), </w:t>
      </w:r>
      <w:proofErr w:type="spellStart"/>
      <w:r w:rsidRPr="009F6D1E">
        <w:rPr>
          <w:rFonts w:cs="Times New Roman"/>
          <w:i/>
          <w:iCs/>
          <w:szCs w:val="24"/>
        </w:rPr>
        <w:t>Capsella</w:t>
      </w:r>
      <w:proofErr w:type="spellEnd"/>
      <w:r w:rsidRPr="009F6D1E">
        <w:rPr>
          <w:rFonts w:cs="Times New Roman"/>
          <w:i/>
          <w:iCs/>
          <w:szCs w:val="24"/>
        </w:rPr>
        <w:t xml:space="preserve"> </w:t>
      </w:r>
      <w:proofErr w:type="spellStart"/>
      <w:r w:rsidRPr="009F6D1E">
        <w:rPr>
          <w:rFonts w:cs="Times New Roman"/>
          <w:i/>
          <w:iCs/>
          <w:szCs w:val="24"/>
        </w:rPr>
        <w:t>bursa</w:t>
      </w:r>
      <w:proofErr w:type="spellEnd"/>
      <w:r w:rsidRPr="009F6D1E">
        <w:rPr>
          <w:rFonts w:cs="Times New Roman"/>
          <w:i/>
          <w:iCs/>
          <w:szCs w:val="24"/>
        </w:rPr>
        <w:t xml:space="preserve"> –</w:t>
      </w:r>
      <w:proofErr w:type="spellStart"/>
      <w:r w:rsidRPr="009F6D1E">
        <w:rPr>
          <w:rFonts w:cs="Times New Roman"/>
          <w:i/>
          <w:iCs/>
          <w:szCs w:val="24"/>
        </w:rPr>
        <w:t>pastoris</w:t>
      </w:r>
      <w:proofErr w:type="spellEnd"/>
      <w:r w:rsidRPr="009F6D1E">
        <w:rPr>
          <w:rFonts w:cs="Times New Roman"/>
          <w:i/>
          <w:iCs/>
          <w:szCs w:val="24"/>
        </w:rPr>
        <w:t xml:space="preserve"> </w:t>
      </w:r>
      <w:r w:rsidRPr="009F6D1E">
        <w:rPr>
          <w:rFonts w:cs="Times New Roman"/>
          <w:szCs w:val="24"/>
        </w:rPr>
        <w:t>(овчарска торбичка), </w:t>
      </w:r>
      <w:proofErr w:type="spellStart"/>
      <w:r w:rsidRPr="009F6D1E">
        <w:rPr>
          <w:rFonts w:cs="Times New Roman"/>
          <w:i/>
          <w:iCs/>
          <w:szCs w:val="24"/>
        </w:rPr>
        <w:t>Caucalis</w:t>
      </w:r>
      <w:proofErr w:type="spellEnd"/>
      <w:r w:rsidRPr="009F6D1E">
        <w:rPr>
          <w:rFonts w:cs="Times New Roman"/>
          <w:i/>
          <w:iCs/>
          <w:szCs w:val="24"/>
        </w:rPr>
        <w:t xml:space="preserve"> </w:t>
      </w:r>
      <w:proofErr w:type="spellStart"/>
      <w:r w:rsidRPr="009F6D1E">
        <w:rPr>
          <w:rFonts w:cs="Times New Roman"/>
          <w:i/>
          <w:iCs/>
          <w:szCs w:val="24"/>
        </w:rPr>
        <w:t>platycarpos</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бабинец</w:t>
      </w:r>
      <w:proofErr w:type="spellEnd"/>
      <w:r w:rsidRPr="009F6D1E">
        <w:rPr>
          <w:rFonts w:cs="Times New Roman"/>
          <w:szCs w:val="24"/>
        </w:rPr>
        <w:t>), </w:t>
      </w:r>
      <w:proofErr w:type="spellStart"/>
      <w:r w:rsidRPr="009F6D1E">
        <w:rPr>
          <w:rFonts w:cs="Times New Roman"/>
          <w:i/>
          <w:iCs/>
          <w:szCs w:val="24"/>
        </w:rPr>
        <w:t>Galium</w:t>
      </w:r>
      <w:proofErr w:type="spellEnd"/>
      <w:r w:rsidRPr="009F6D1E">
        <w:rPr>
          <w:rFonts w:cs="Times New Roman"/>
          <w:i/>
          <w:iCs/>
          <w:szCs w:val="24"/>
        </w:rPr>
        <w:t xml:space="preserve"> </w:t>
      </w:r>
      <w:proofErr w:type="spellStart"/>
      <w:r w:rsidRPr="009F6D1E">
        <w:rPr>
          <w:rFonts w:cs="Times New Roman"/>
          <w:i/>
          <w:iCs/>
          <w:szCs w:val="24"/>
        </w:rPr>
        <w:t>aparine</w:t>
      </w:r>
      <w:proofErr w:type="spellEnd"/>
      <w:r w:rsidRPr="009F6D1E">
        <w:rPr>
          <w:rFonts w:cs="Times New Roman"/>
          <w:i/>
          <w:iCs/>
          <w:szCs w:val="24"/>
        </w:rPr>
        <w:t xml:space="preserve"> </w:t>
      </w:r>
      <w:r w:rsidRPr="009F6D1E">
        <w:rPr>
          <w:rFonts w:cs="Times New Roman"/>
          <w:szCs w:val="24"/>
        </w:rPr>
        <w:t>(лепка), </w:t>
      </w:r>
      <w:proofErr w:type="spellStart"/>
      <w:r w:rsidRPr="009F6D1E">
        <w:rPr>
          <w:rFonts w:cs="Times New Roman"/>
          <w:i/>
          <w:iCs/>
          <w:szCs w:val="24"/>
        </w:rPr>
        <w:t>Papaver</w:t>
      </w:r>
      <w:proofErr w:type="spellEnd"/>
      <w:r w:rsidRPr="009F6D1E">
        <w:rPr>
          <w:rFonts w:cs="Times New Roman"/>
          <w:i/>
          <w:iCs/>
          <w:szCs w:val="24"/>
        </w:rPr>
        <w:t xml:space="preserve"> </w:t>
      </w:r>
      <w:proofErr w:type="spellStart"/>
      <w:r w:rsidRPr="009F6D1E">
        <w:rPr>
          <w:rFonts w:cs="Times New Roman"/>
          <w:i/>
          <w:iCs/>
          <w:szCs w:val="24"/>
        </w:rPr>
        <w:t>rhoeas</w:t>
      </w:r>
      <w:proofErr w:type="spellEnd"/>
      <w:r w:rsidRPr="009F6D1E">
        <w:rPr>
          <w:rFonts w:cs="Times New Roman"/>
          <w:i/>
          <w:iCs/>
          <w:szCs w:val="24"/>
        </w:rPr>
        <w:t xml:space="preserve"> </w:t>
      </w:r>
      <w:r w:rsidRPr="009F6D1E">
        <w:rPr>
          <w:rFonts w:cs="Times New Roman"/>
          <w:szCs w:val="24"/>
        </w:rPr>
        <w:t>(посевен мак) и др.), са в днешните си местообитания от хилядолетия, свързани с развитието на човешката култура още от ранното заселване на българските земи. Други (</w:t>
      </w:r>
      <w:proofErr w:type="spellStart"/>
      <w:r w:rsidRPr="009F6D1E">
        <w:rPr>
          <w:rFonts w:cs="Times New Roman"/>
          <w:i/>
          <w:iCs/>
          <w:szCs w:val="24"/>
        </w:rPr>
        <w:t>Datura</w:t>
      </w:r>
      <w:proofErr w:type="spellEnd"/>
      <w:r w:rsidRPr="009F6D1E">
        <w:rPr>
          <w:rFonts w:cs="Times New Roman"/>
          <w:i/>
          <w:iCs/>
          <w:szCs w:val="24"/>
        </w:rPr>
        <w:t xml:space="preserve"> </w:t>
      </w:r>
      <w:proofErr w:type="spellStart"/>
      <w:r w:rsidRPr="009F6D1E">
        <w:rPr>
          <w:rFonts w:cs="Times New Roman"/>
          <w:i/>
          <w:iCs/>
          <w:szCs w:val="24"/>
        </w:rPr>
        <w:t>stramonium</w:t>
      </w:r>
      <w:proofErr w:type="spellEnd"/>
      <w:r w:rsidRPr="009F6D1E">
        <w:rPr>
          <w:rFonts w:cs="Times New Roman"/>
          <w:i/>
          <w:iCs/>
          <w:szCs w:val="24"/>
        </w:rPr>
        <w:t xml:space="preserve"> </w:t>
      </w:r>
      <w:r w:rsidRPr="009F6D1E">
        <w:rPr>
          <w:rFonts w:cs="Times New Roman"/>
          <w:szCs w:val="24"/>
        </w:rPr>
        <w:t>(татул), </w:t>
      </w:r>
      <w:proofErr w:type="spellStart"/>
      <w:r w:rsidRPr="009F6D1E">
        <w:rPr>
          <w:rFonts w:cs="Times New Roman"/>
          <w:i/>
          <w:iCs/>
          <w:szCs w:val="24"/>
        </w:rPr>
        <w:t>Galinsoga</w:t>
      </w:r>
      <w:proofErr w:type="spellEnd"/>
      <w:r w:rsidRPr="009F6D1E">
        <w:rPr>
          <w:rFonts w:cs="Times New Roman"/>
          <w:i/>
          <w:iCs/>
          <w:szCs w:val="24"/>
        </w:rPr>
        <w:t xml:space="preserve"> </w:t>
      </w:r>
      <w:proofErr w:type="spellStart"/>
      <w:r w:rsidRPr="009F6D1E">
        <w:rPr>
          <w:rFonts w:cs="Times New Roman"/>
          <w:i/>
          <w:iCs/>
          <w:szCs w:val="24"/>
        </w:rPr>
        <w:t>parviflora</w:t>
      </w:r>
      <w:proofErr w:type="spellEnd"/>
      <w:r w:rsidRPr="009F6D1E">
        <w:rPr>
          <w:rFonts w:cs="Times New Roman"/>
          <w:i/>
          <w:iCs/>
          <w:szCs w:val="24"/>
        </w:rPr>
        <w:t xml:space="preserve"> </w:t>
      </w:r>
      <w:r w:rsidRPr="009F6D1E">
        <w:rPr>
          <w:rFonts w:cs="Times New Roman"/>
          <w:szCs w:val="24"/>
        </w:rPr>
        <w:t>(перуанска лайка), </w:t>
      </w:r>
      <w:proofErr w:type="spellStart"/>
      <w:r w:rsidRPr="009F6D1E">
        <w:rPr>
          <w:rFonts w:cs="Times New Roman"/>
          <w:i/>
          <w:iCs/>
          <w:szCs w:val="24"/>
        </w:rPr>
        <w:t>Oxalis</w:t>
      </w:r>
      <w:proofErr w:type="spellEnd"/>
      <w:r w:rsidRPr="009F6D1E">
        <w:rPr>
          <w:rFonts w:cs="Times New Roman"/>
          <w:i/>
          <w:iCs/>
          <w:szCs w:val="24"/>
        </w:rPr>
        <w:t xml:space="preserve"> </w:t>
      </w:r>
      <w:proofErr w:type="spellStart"/>
      <w:r w:rsidRPr="009F6D1E">
        <w:rPr>
          <w:rFonts w:cs="Times New Roman"/>
          <w:i/>
          <w:iCs/>
          <w:szCs w:val="24"/>
        </w:rPr>
        <w:t>dillenii</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дилениево</w:t>
      </w:r>
      <w:proofErr w:type="spellEnd"/>
      <w:r w:rsidRPr="009F6D1E">
        <w:rPr>
          <w:rFonts w:cs="Times New Roman"/>
          <w:szCs w:val="24"/>
        </w:rPr>
        <w:t xml:space="preserve"> </w:t>
      </w:r>
      <w:proofErr w:type="spellStart"/>
      <w:r w:rsidRPr="009F6D1E">
        <w:rPr>
          <w:rFonts w:cs="Times New Roman"/>
          <w:szCs w:val="24"/>
        </w:rPr>
        <w:t>киселиче</w:t>
      </w:r>
      <w:proofErr w:type="spellEnd"/>
      <w:r w:rsidRPr="009F6D1E">
        <w:rPr>
          <w:rFonts w:cs="Times New Roman"/>
          <w:szCs w:val="24"/>
        </w:rPr>
        <w:t>) и др.) навлизат по-късно. Към тях се отнасят и т.н. инвазивни видове които се разселват бързо и заемат свободни местообитания или изместват автохтонни видове.</w:t>
      </w:r>
    </w:p>
    <w:p w14:paraId="72F16424"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биологичния спектър на българската флора доминират тревистите многогодишни и едногодишни растения, общо около 3540 вида. Дърветата (88 вида), храстите (236 вида) и полухрастите (35 вида) образуват групата на </w:t>
      </w:r>
      <w:proofErr w:type="spellStart"/>
      <w:r w:rsidRPr="009F6D1E">
        <w:rPr>
          <w:rFonts w:cs="Times New Roman"/>
          <w:szCs w:val="24"/>
        </w:rPr>
        <w:t>фанерофитите</w:t>
      </w:r>
      <w:proofErr w:type="spellEnd"/>
      <w:r w:rsidRPr="009F6D1E">
        <w:rPr>
          <w:rFonts w:cs="Times New Roman"/>
          <w:szCs w:val="24"/>
        </w:rPr>
        <w:t xml:space="preserve">. </w:t>
      </w:r>
    </w:p>
    <w:p w14:paraId="319BBBAE"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Във </w:t>
      </w:r>
      <w:proofErr w:type="spellStart"/>
      <w:r w:rsidRPr="009F6D1E">
        <w:rPr>
          <w:rFonts w:cs="Times New Roman"/>
          <w:szCs w:val="24"/>
        </w:rPr>
        <w:t>флористичното</w:t>
      </w:r>
      <w:proofErr w:type="spellEnd"/>
      <w:r w:rsidRPr="009F6D1E">
        <w:rPr>
          <w:rFonts w:cs="Times New Roman"/>
          <w:szCs w:val="24"/>
        </w:rPr>
        <w:t xml:space="preserve"> разнообразие на страната особено място заемат </w:t>
      </w:r>
      <w:proofErr w:type="spellStart"/>
      <w:r w:rsidRPr="009F6D1E">
        <w:rPr>
          <w:rFonts w:cs="Times New Roman"/>
          <w:szCs w:val="24"/>
        </w:rPr>
        <w:t>реликтните</w:t>
      </w:r>
      <w:proofErr w:type="spellEnd"/>
      <w:r w:rsidRPr="009F6D1E">
        <w:rPr>
          <w:rFonts w:cs="Times New Roman"/>
          <w:szCs w:val="24"/>
        </w:rPr>
        <w:t xml:space="preserve"> и ендемичните растения. </w:t>
      </w:r>
      <w:proofErr w:type="spellStart"/>
      <w:r w:rsidRPr="009F6D1E">
        <w:rPr>
          <w:rFonts w:cs="Times New Roman"/>
          <w:szCs w:val="24"/>
        </w:rPr>
        <w:t>Преглациалните</w:t>
      </w:r>
      <w:proofErr w:type="spellEnd"/>
      <w:r w:rsidRPr="009F6D1E">
        <w:rPr>
          <w:rFonts w:cs="Times New Roman"/>
          <w:szCs w:val="24"/>
        </w:rPr>
        <w:t xml:space="preserve"> (терциерните) </w:t>
      </w:r>
      <w:proofErr w:type="spellStart"/>
      <w:r w:rsidRPr="009F6D1E">
        <w:rPr>
          <w:rFonts w:cs="Times New Roman"/>
          <w:szCs w:val="24"/>
        </w:rPr>
        <w:t>реликтни</w:t>
      </w:r>
      <w:proofErr w:type="spellEnd"/>
      <w:r w:rsidRPr="009F6D1E">
        <w:rPr>
          <w:rFonts w:cs="Times New Roman"/>
          <w:szCs w:val="24"/>
        </w:rPr>
        <w:t xml:space="preserve"> видове са древни представители на </w:t>
      </w:r>
      <w:proofErr w:type="spellStart"/>
      <w:r w:rsidRPr="009F6D1E">
        <w:rPr>
          <w:rFonts w:cs="Times New Roman"/>
          <w:szCs w:val="24"/>
        </w:rPr>
        <w:t>арктотерциерна</w:t>
      </w:r>
      <w:proofErr w:type="spellEnd"/>
      <w:r w:rsidRPr="009F6D1E">
        <w:rPr>
          <w:rFonts w:cs="Times New Roman"/>
          <w:szCs w:val="24"/>
        </w:rPr>
        <w:t xml:space="preserve"> флора, запазили се в нашите земи от преди повече от два милиона години. Терциерни реликти са балканските </w:t>
      </w:r>
      <w:proofErr w:type="spellStart"/>
      <w:r w:rsidRPr="009F6D1E">
        <w:rPr>
          <w:rFonts w:cs="Times New Roman"/>
          <w:szCs w:val="24"/>
        </w:rPr>
        <w:t>ендемити</w:t>
      </w:r>
      <w:proofErr w:type="spellEnd"/>
      <w:r w:rsidRPr="009F6D1E">
        <w:rPr>
          <w:rFonts w:cs="Times New Roman"/>
          <w:szCs w:val="24"/>
        </w:rPr>
        <w:t> </w:t>
      </w:r>
      <w:proofErr w:type="spellStart"/>
      <w:r w:rsidRPr="009F6D1E">
        <w:rPr>
          <w:rFonts w:cs="Times New Roman"/>
          <w:i/>
          <w:iCs/>
          <w:szCs w:val="24"/>
        </w:rPr>
        <w:t>Aesculus</w:t>
      </w:r>
      <w:proofErr w:type="spellEnd"/>
      <w:r w:rsidRPr="009F6D1E">
        <w:rPr>
          <w:rFonts w:cs="Times New Roman"/>
          <w:i/>
          <w:iCs/>
          <w:szCs w:val="24"/>
        </w:rPr>
        <w:t xml:space="preserve"> </w:t>
      </w:r>
      <w:proofErr w:type="spellStart"/>
      <w:r w:rsidRPr="009F6D1E">
        <w:rPr>
          <w:rFonts w:cs="Times New Roman"/>
          <w:i/>
          <w:iCs/>
          <w:szCs w:val="24"/>
        </w:rPr>
        <w:t>hippocastanum</w:t>
      </w:r>
      <w:proofErr w:type="spellEnd"/>
      <w:r w:rsidRPr="009F6D1E">
        <w:rPr>
          <w:rFonts w:cs="Times New Roman"/>
          <w:i/>
          <w:iCs/>
          <w:szCs w:val="24"/>
        </w:rPr>
        <w:t xml:space="preserve"> </w:t>
      </w:r>
      <w:r w:rsidRPr="009F6D1E">
        <w:rPr>
          <w:rFonts w:cs="Times New Roman"/>
          <w:szCs w:val="24"/>
        </w:rPr>
        <w:t xml:space="preserve">(конски кестен),  </w:t>
      </w:r>
      <w:proofErr w:type="spellStart"/>
      <w:r w:rsidRPr="009F6D1E">
        <w:rPr>
          <w:rFonts w:cs="Times New Roman"/>
          <w:i/>
          <w:iCs/>
          <w:szCs w:val="24"/>
        </w:rPr>
        <w:t>Lathraea</w:t>
      </w:r>
      <w:proofErr w:type="spellEnd"/>
      <w:r w:rsidRPr="009F6D1E">
        <w:rPr>
          <w:rFonts w:cs="Times New Roman"/>
          <w:i/>
          <w:iCs/>
          <w:szCs w:val="24"/>
        </w:rPr>
        <w:t xml:space="preserve"> </w:t>
      </w:r>
      <w:proofErr w:type="spellStart"/>
      <w:r w:rsidRPr="009F6D1E">
        <w:rPr>
          <w:rFonts w:cs="Times New Roman"/>
          <w:i/>
          <w:iCs/>
          <w:szCs w:val="24"/>
        </w:rPr>
        <w:t>rhodopaea</w:t>
      </w:r>
      <w:proofErr w:type="spellEnd"/>
      <w:r w:rsidRPr="009F6D1E">
        <w:rPr>
          <w:rFonts w:cs="Times New Roman"/>
          <w:i/>
          <w:iCs/>
          <w:szCs w:val="24"/>
        </w:rPr>
        <w:t xml:space="preserve"> </w:t>
      </w:r>
      <w:r w:rsidRPr="009F6D1E">
        <w:rPr>
          <w:rFonts w:cs="Times New Roman"/>
          <w:szCs w:val="24"/>
        </w:rPr>
        <w:t xml:space="preserve">(родопска горска майка),  </w:t>
      </w:r>
      <w:proofErr w:type="spellStart"/>
      <w:r w:rsidRPr="009F6D1E">
        <w:rPr>
          <w:rFonts w:cs="Times New Roman"/>
          <w:i/>
          <w:iCs/>
          <w:szCs w:val="24"/>
        </w:rPr>
        <w:t>Haberlea</w:t>
      </w:r>
      <w:proofErr w:type="spellEnd"/>
      <w:r w:rsidRPr="009F6D1E">
        <w:rPr>
          <w:rFonts w:cs="Times New Roman"/>
          <w:i/>
          <w:iCs/>
          <w:szCs w:val="24"/>
        </w:rPr>
        <w:t xml:space="preserve"> </w:t>
      </w:r>
      <w:proofErr w:type="spellStart"/>
      <w:r w:rsidRPr="009F6D1E">
        <w:rPr>
          <w:rFonts w:cs="Times New Roman"/>
          <w:i/>
          <w:iCs/>
          <w:szCs w:val="24"/>
        </w:rPr>
        <w:t>rhodopensis</w:t>
      </w:r>
      <w:proofErr w:type="spellEnd"/>
      <w:r w:rsidRPr="009F6D1E">
        <w:rPr>
          <w:rFonts w:cs="Times New Roman"/>
          <w:i/>
          <w:iCs/>
          <w:szCs w:val="24"/>
        </w:rPr>
        <w:t xml:space="preserve"> </w:t>
      </w:r>
      <w:r w:rsidRPr="009F6D1E">
        <w:rPr>
          <w:rFonts w:cs="Times New Roman"/>
          <w:szCs w:val="24"/>
        </w:rPr>
        <w:t xml:space="preserve">(родопски </w:t>
      </w:r>
      <w:proofErr w:type="spellStart"/>
      <w:r w:rsidRPr="009F6D1E">
        <w:rPr>
          <w:rFonts w:cs="Times New Roman"/>
          <w:szCs w:val="24"/>
        </w:rPr>
        <w:t>силивряк</w:t>
      </w:r>
      <w:proofErr w:type="spellEnd"/>
      <w:r w:rsidRPr="009F6D1E">
        <w:rPr>
          <w:rFonts w:cs="Times New Roman"/>
          <w:szCs w:val="24"/>
        </w:rPr>
        <w:t xml:space="preserve">),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peuce</w:t>
      </w:r>
      <w:proofErr w:type="spellEnd"/>
      <w:r w:rsidRPr="009F6D1E">
        <w:rPr>
          <w:rFonts w:cs="Times New Roman"/>
          <w:i/>
          <w:iCs/>
          <w:szCs w:val="24"/>
        </w:rPr>
        <w:t xml:space="preserve"> </w:t>
      </w:r>
      <w:r w:rsidRPr="009F6D1E">
        <w:rPr>
          <w:rFonts w:cs="Times New Roman"/>
          <w:szCs w:val="24"/>
        </w:rPr>
        <w:t xml:space="preserve">(бяла мура) и редица др., както и видове дървета, храсти и многогодишни тревисти растения с ареали извън Балканския полуостров, често свързани с </w:t>
      </w:r>
      <w:proofErr w:type="spellStart"/>
      <w:r w:rsidRPr="009F6D1E">
        <w:rPr>
          <w:rFonts w:cs="Times New Roman"/>
          <w:szCs w:val="24"/>
        </w:rPr>
        <w:t>флорите</w:t>
      </w:r>
      <w:proofErr w:type="spellEnd"/>
      <w:r w:rsidRPr="009F6D1E">
        <w:rPr>
          <w:rFonts w:cs="Times New Roman"/>
          <w:szCs w:val="24"/>
        </w:rPr>
        <w:t xml:space="preserve"> на Средиземноморието и на Югозападна Азия, като </w:t>
      </w:r>
      <w:proofErr w:type="spellStart"/>
      <w:r w:rsidRPr="009F6D1E">
        <w:rPr>
          <w:rFonts w:cs="Times New Roman"/>
          <w:i/>
          <w:iCs/>
          <w:szCs w:val="24"/>
        </w:rPr>
        <w:t>Cercis</w:t>
      </w:r>
      <w:proofErr w:type="spellEnd"/>
      <w:r w:rsidRPr="009F6D1E">
        <w:rPr>
          <w:rFonts w:cs="Times New Roman"/>
          <w:i/>
          <w:iCs/>
          <w:szCs w:val="24"/>
        </w:rPr>
        <w:t xml:space="preserve"> </w:t>
      </w:r>
      <w:proofErr w:type="spellStart"/>
      <w:r w:rsidRPr="009F6D1E">
        <w:rPr>
          <w:rFonts w:cs="Times New Roman"/>
          <w:i/>
          <w:iCs/>
          <w:szCs w:val="24"/>
        </w:rPr>
        <w:t>siliquastrum</w:t>
      </w:r>
      <w:proofErr w:type="spellEnd"/>
      <w:r w:rsidRPr="009F6D1E">
        <w:rPr>
          <w:rFonts w:cs="Times New Roman"/>
          <w:i/>
          <w:iCs/>
          <w:szCs w:val="24"/>
        </w:rPr>
        <w:t xml:space="preserve"> </w:t>
      </w:r>
      <w:r w:rsidRPr="009F6D1E">
        <w:rPr>
          <w:rFonts w:cs="Times New Roman"/>
          <w:szCs w:val="24"/>
        </w:rPr>
        <w:t xml:space="preserve">(див рожков),  </w:t>
      </w:r>
      <w:proofErr w:type="spellStart"/>
      <w:r w:rsidRPr="009F6D1E">
        <w:rPr>
          <w:rFonts w:cs="Times New Roman"/>
          <w:i/>
          <w:iCs/>
          <w:szCs w:val="24"/>
        </w:rPr>
        <w:t>Celtis</w:t>
      </w:r>
      <w:proofErr w:type="spellEnd"/>
      <w:r w:rsidRPr="009F6D1E">
        <w:rPr>
          <w:rFonts w:cs="Times New Roman"/>
          <w:i/>
          <w:iCs/>
          <w:szCs w:val="24"/>
        </w:rPr>
        <w:t xml:space="preserve"> </w:t>
      </w:r>
      <w:proofErr w:type="spellStart"/>
      <w:r w:rsidRPr="009F6D1E">
        <w:rPr>
          <w:rFonts w:cs="Times New Roman"/>
          <w:i/>
          <w:iCs/>
          <w:szCs w:val="24"/>
        </w:rPr>
        <w:t>australis</w:t>
      </w:r>
      <w:proofErr w:type="spellEnd"/>
      <w:r w:rsidRPr="009F6D1E">
        <w:rPr>
          <w:rFonts w:cs="Times New Roman"/>
          <w:i/>
          <w:iCs/>
          <w:szCs w:val="24"/>
        </w:rPr>
        <w:t xml:space="preserve"> </w:t>
      </w:r>
      <w:r w:rsidRPr="009F6D1E">
        <w:rPr>
          <w:rFonts w:cs="Times New Roman"/>
          <w:szCs w:val="24"/>
        </w:rPr>
        <w:t xml:space="preserve">(южна </w:t>
      </w:r>
      <w:proofErr w:type="spellStart"/>
      <w:r w:rsidRPr="009F6D1E">
        <w:rPr>
          <w:rFonts w:cs="Times New Roman"/>
          <w:szCs w:val="24"/>
        </w:rPr>
        <w:t>копривка</w:t>
      </w:r>
      <w:proofErr w:type="spellEnd"/>
      <w:r w:rsidRPr="009F6D1E">
        <w:rPr>
          <w:rFonts w:cs="Times New Roman"/>
          <w:szCs w:val="24"/>
        </w:rPr>
        <w:t xml:space="preserve">),  </w:t>
      </w:r>
      <w:proofErr w:type="spellStart"/>
      <w:r w:rsidRPr="009F6D1E">
        <w:rPr>
          <w:rFonts w:cs="Times New Roman"/>
          <w:i/>
          <w:iCs/>
          <w:szCs w:val="24"/>
        </w:rPr>
        <w:t>Juniperus</w:t>
      </w:r>
      <w:proofErr w:type="spellEnd"/>
      <w:r w:rsidRPr="009F6D1E">
        <w:rPr>
          <w:rFonts w:cs="Times New Roman"/>
          <w:i/>
          <w:iCs/>
          <w:szCs w:val="24"/>
        </w:rPr>
        <w:t xml:space="preserve"> </w:t>
      </w:r>
      <w:proofErr w:type="spellStart"/>
      <w:r w:rsidRPr="009F6D1E">
        <w:rPr>
          <w:rFonts w:cs="Times New Roman"/>
          <w:i/>
          <w:iCs/>
          <w:szCs w:val="24"/>
        </w:rPr>
        <w:t>excels</w:t>
      </w:r>
      <w:proofErr w:type="spellEnd"/>
      <w:r w:rsidRPr="009F6D1E">
        <w:rPr>
          <w:rFonts w:cs="Times New Roman"/>
          <w:i/>
          <w:iCs/>
          <w:szCs w:val="24"/>
        </w:rPr>
        <w:t xml:space="preserve"> </w:t>
      </w:r>
      <w:r w:rsidRPr="009F6D1E">
        <w:rPr>
          <w:rFonts w:cs="Times New Roman"/>
          <w:szCs w:val="24"/>
        </w:rPr>
        <w:t>(дървовидна хвойна), </w:t>
      </w:r>
      <w:proofErr w:type="spellStart"/>
      <w:r w:rsidRPr="009F6D1E">
        <w:rPr>
          <w:rFonts w:cs="Times New Roman"/>
          <w:i/>
          <w:iCs/>
          <w:szCs w:val="24"/>
        </w:rPr>
        <w:t>Ostrya</w:t>
      </w:r>
      <w:proofErr w:type="spellEnd"/>
      <w:r w:rsidRPr="009F6D1E">
        <w:rPr>
          <w:rFonts w:cs="Times New Roman"/>
          <w:i/>
          <w:iCs/>
          <w:szCs w:val="24"/>
        </w:rPr>
        <w:t xml:space="preserve"> </w:t>
      </w:r>
      <w:proofErr w:type="spellStart"/>
      <w:r w:rsidRPr="009F6D1E">
        <w:rPr>
          <w:rFonts w:cs="Times New Roman"/>
          <w:i/>
          <w:iCs/>
          <w:szCs w:val="24"/>
        </w:rPr>
        <w:t>carpinifolia</w:t>
      </w:r>
      <w:proofErr w:type="spellEnd"/>
      <w:r w:rsidRPr="009F6D1E">
        <w:rPr>
          <w:rFonts w:cs="Times New Roman"/>
          <w:i/>
          <w:iCs/>
          <w:szCs w:val="24"/>
        </w:rPr>
        <w:t xml:space="preserve"> </w:t>
      </w:r>
      <w:r w:rsidRPr="009F6D1E">
        <w:rPr>
          <w:rFonts w:cs="Times New Roman"/>
          <w:szCs w:val="24"/>
        </w:rPr>
        <w:t xml:space="preserve">(воден габър),  </w:t>
      </w:r>
      <w:proofErr w:type="spellStart"/>
      <w:r w:rsidRPr="009F6D1E">
        <w:rPr>
          <w:rFonts w:cs="Times New Roman"/>
          <w:i/>
          <w:iCs/>
          <w:szCs w:val="24"/>
        </w:rPr>
        <w:t>Platanus</w:t>
      </w:r>
      <w:proofErr w:type="spellEnd"/>
      <w:r w:rsidRPr="009F6D1E">
        <w:rPr>
          <w:rFonts w:cs="Times New Roman"/>
          <w:i/>
          <w:iCs/>
          <w:szCs w:val="24"/>
        </w:rPr>
        <w:t xml:space="preserve"> </w:t>
      </w:r>
      <w:proofErr w:type="spellStart"/>
      <w:r w:rsidRPr="009F6D1E">
        <w:rPr>
          <w:rFonts w:cs="Times New Roman"/>
          <w:i/>
          <w:iCs/>
          <w:szCs w:val="24"/>
        </w:rPr>
        <w:t>orientalis</w:t>
      </w:r>
      <w:proofErr w:type="spellEnd"/>
      <w:r w:rsidRPr="009F6D1E">
        <w:rPr>
          <w:rFonts w:cs="Times New Roman"/>
          <w:i/>
          <w:iCs/>
          <w:szCs w:val="24"/>
        </w:rPr>
        <w:t xml:space="preserve"> </w:t>
      </w:r>
      <w:r w:rsidRPr="009F6D1E">
        <w:rPr>
          <w:rFonts w:cs="Times New Roman"/>
          <w:szCs w:val="24"/>
        </w:rPr>
        <w:t xml:space="preserve">(източен чинар) и др. Друга група видове, разпространени предимно във високите планини на България, са </w:t>
      </w:r>
      <w:proofErr w:type="spellStart"/>
      <w:r w:rsidRPr="009F6D1E">
        <w:rPr>
          <w:rFonts w:cs="Times New Roman"/>
          <w:szCs w:val="24"/>
        </w:rPr>
        <w:t>глациални</w:t>
      </w:r>
      <w:proofErr w:type="spellEnd"/>
      <w:r w:rsidRPr="009F6D1E">
        <w:rPr>
          <w:rFonts w:cs="Times New Roman"/>
          <w:szCs w:val="24"/>
        </w:rPr>
        <w:t xml:space="preserve"> реликти. Част от тях са растения, които по време на последните заледявания в Северна и Централна Европа мигрирали на юг в </w:t>
      </w:r>
      <w:proofErr w:type="spellStart"/>
      <w:r w:rsidRPr="009F6D1E">
        <w:rPr>
          <w:rFonts w:cs="Times New Roman"/>
          <w:szCs w:val="24"/>
        </w:rPr>
        <w:t>планининте</w:t>
      </w:r>
      <w:proofErr w:type="spellEnd"/>
      <w:r w:rsidRPr="009F6D1E">
        <w:rPr>
          <w:rFonts w:cs="Times New Roman"/>
          <w:szCs w:val="24"/>
        </w:rPr>
        <w:t xml:space="preserve"> на Балканския полуостров, превърнали се в техни убежища (</w:t>
      </w:r>
      <w:proofErr w:type="spellStart"/>
      <w:r w:rsidRPr="009F6D1E">
        <w:rPr>
          <w:rFonts w:cs="Times New Roman"/>
          <w:szCs w:val="24"/>
        </w:rPr>
        <w:t>глациални</w:t>
      </w:r>
      <w:proofErr w:type="spellEnd"/>
      <w:r w:rsidRPr="009F6D1E">
        <w:rPr>
          <w:rFonts w:cs="Times New Roman"/>
          <w:szCs w:val="24"/>
        </w:rPr>
        <w:t xml:space="preserve"> </w:t>
      </w:r>
      <w:proofErr w:type="spellStart"/>
      <w:r w:rsidRPr="009F6D1E">
        <w:rPr>
          <w:rFonts w:cs="Times New Roman"/>
          <w:szCs w:val="24"/>
        </w:rPr>
        <w:t>рефугиуми</w:t>
      </w:r>
      <w:proofErr w:type="spellEnd"/>
      <w:r w:rsidRPr="009F6D1E">
        <w:rPr>
          <w:rFonts w:cs="Times New Roman"/>
          <w:szCs w:val="24"/>
        </w:rPr>
        <w:t xml:space="preserve">). Такива са </w:t>
      </w:r>
      <w:proofErr w:type="spellStart"/>
      <w:r w:rsidRPr="009F6D1E">
        <w:rPr>
          <w:rFonts w:cs="Times New Roman"/>
          <w:i/>
          <w:iCs/>
          <w:szCs w:val="24"/>
        </w:rPr>
        <w:t>Campanula</w:t>
      </w:r>
      <w:proofErr w:type="spellEnd"/>
      <w:r w:rsidRPr="009F6D1E">
        <w:rPr>
          <w:rFonts w:cs="Times New Roman"/>
          <w:i/>
          <w:iCs/>
          <w:szCs w:val="24"/>
        </w:rPr>
        <w:t xml:space="preserve"> </w:t>
      </w:r>
      <w:proofErr w:type="spellStart"/>
      <w:r w:rsidRPr="009F6D1E">
        <w:rPr>
          <w:rFonts w:cs="Times New Roman"/>
          <w:i/>
          <w:iCs/>
          <w:szCs w:val="24"/>
        </w:rPr>
        <w:t>cochlearifolia</w:t>
      </w:r>
      <w:proofErr w:type="spellEnd"/>
      <w:r w:rsidRPr="009F6D1E">
        <w:rPr>
          <w:rFonts w:cs="Times New Roman"/>
          <w:i/>
          <w:iCs/>
          <w:szCs w:val="24"/>
        </w:rPr>
        <w:t xml:space="preserve"> </w:t>
      </w:r>
      <w:r w:rsidRPr="009F6D1E">
        <w:rPr>
          <w:rFonts w:cs="Times New Roman"/>
          <w:szCs w:val="24"/>
        </w:rPr>
        <w:t>(дребна камбанка), </w:t>
      </w:r>
      <w:proofErr w:type="spellStart"/>
      <w:r w:rsidRPr="009F6D1E">
        <w:rPr>
          <w:rFonts w:cs="Times New Roman"/>
          <w:i/>
          <w:iCs/>
          <w:szCs w:val="24"/>
        </w:rPr>
        <w:t>Cortusa</w:t>
      </w:r>
      <w:proofErr w:type="spellEnd"/>
      <w:r w:rsidRPr="009F6D1E">
        <w:rPr>
          <w:rFonts w:cs="Times New Roman"/>
          <w:i/>
          <w:iCs/>
          <w:szCs w:val="24"/>
        </w:rPr>
        <w:t xml:space="preserve"> </w:t>
      </w:r>
      <w:proofErr w:type="spellStart"/>
      <w:r w:rsidRPr="009F6D1E">
        <w:rPr>
          <w:rFonts w:cs="Times New Roman"/>
          <w:i/>
          <w:iCs/>
          <w:szCs w:val="24"/>
        </w:rPr>
        <w:t>matthioli</w:t>
      </w:r>
      <w:proofErr w:type="spellEnd"/>
      <w:r w:rsidRPr="009F6D1E">
        <w:rPr>
          <w:rFonts w:cs="Times New Roman"/>
          <w:i/>
          <w:iCs/>
          <w:szCs w:val="24"/>
        </w:rPr>
        <w:t xml:space="preserve"> </w:t>
      </w:r>
      <w:r w:rsidRPr="009F6D1E">
        <w:rPr>
          <w:rFonts w:cs="Times New Roman"/>
          <w:szCs w:val="24"/>
        </w:rPr>
        <w:t>(мечешко око), </w:t>
      </w:r>
      <w:proofErr w:type="spellStart"/>
      <w:r w:rsidRPr="009F6D1E">
        <w:rPr>
          <w:rFonts w:cs="Times New Roman"/>
          <w:i/>
          <w:iCs/>
          <w:szCs w:val="24"/>
        </w:rPr>
        <w:t>Dryas</w:t>
      </w:r>
      <w:proofErr w:type="spellEnd"/>
      <w:r w:rsidRPr="009F6D1E">
        <w:rPr>
          <w:rFonts w:cs="Times New Roman"/>
          <w:i/>
          <w:iCs/>
          <w:szCs w:val="24"/>
        </w:rPr>
        <w:t xml:space="preserve"> </w:t>
      </w:r>
      <w:proofErr w:type="spellStart"/>
      <w:r w:rsidRPr="009F6D1E">
        <w:rPr>
          <w:rFonts w:cs="Times New Roman"/>
          <w:i/>
          <w:iCs/>
          <w:szCs w:val="24"/>
        </w:rPr>
        <w:t>octopetala</w:t>
      </w:r>
      <w:proofErr w:type="spellEnd"/>
      <w:r w:rsidRPr="009F6D1E">
        <w:rPr>
          <w:rFonts w:cs="Times New Roman"/>
          <w:i/>
          <w:iCs/>
          <w:szCs w:val="24"/>
        </w:rPr>
        <w:t xml:space="preserve"> </w:t>
      </w:r>
      <w:r w:rsidRPr="009F6D1E">
        <w:rPr>
          <w:rFonts w:cs="Times New Roman"/>
          <w:szCs w:val="24"/>
        </w:rPr>
        <w:t>(сребърник), </w:t>
      </w:r>
      <w:proofErr w:type="spellStart"/>
      <w:r w:rsidRPr="009F6D1E">
        <w:rPr>
          <w:rFonts w:cs="Times New Roman"/>
          <w:i/>
          <w:iCs/>
          <w:szCs w:val="24"/>
        </w:rPr>
        <w:t>Kobresia</w:t>
      </w:r>
      <w:proofErr w:type="spellEnd"/>
      <w:r w:rsidRPr="009F6D1E">
        <w:rPr>
          <w:rFonts w:cs="Times New Roman"/>
          <w:i/>
          <w:iCs/>
          <w:szCs w:val="24"/>
        </w:rPr>
        <w:t xml:space="preserve"> </w:t>
      </w:r>
      <w:proofErr w:type="spellStart"/>
      <w:r w:rsidRPr="009F6D1E">
        <w:rPr>
          <w:rFonts w:cs="Times New Roman"/>
          <w:i/>
          <w:iCs/>
          <w:szCs w:val="24"/>
        </w:rPr>
        <w:t>myosuroides</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кобресия</w:t>
      </w:r>
      <w:proofErr w:type="spellEnd"/>
      <w:r w:rsidRPr="009F6D1E">
        <w:rPr>
          <w:rFonts w:cs="Times New Roman"/>
          <w:szCs w:val="24"/>
        </w:rPr>
        <w:t xml:space="preserve">) и др. Част от </w:t>
      </w:r>
      <w:proofErr w:type="spellStart"/>
      <w:r w:rsidRPr="009F6D1E">
        <w:rPr>
          <w:rFonts w:cs="Times New Roman"/>
          <w:szCs w:val="24"/>
        </w:rPr>
        <w:t>глациалните</w:t>
      </w:r>
      <w:proofErr w:type="spellEnd"/>
      <w:r w:rsidRPr="009F6D1E">
        <w:rPr>
          <w:rFonts w:cs="Times New Roman"/>
          <w:szCs w:val="24"/>
        </w:rPr>
        <w:t xml:space="preserve"> реликти са локални </w:t>
      </w:r>
      <w:proofErr w:type="spellStart"/>
      <w:r w:rsidRPr="009F6D1E">
        <w:rPr>
          <w:rFonts w:cs="Times New Roman"/>
          <w:szCs w:val="24"/>
        </w:rPr>
        <w:t>ендемити</w:t>
      </w:r>
      <w:proofErr w:type="spellEnd"/>
      <w:r w:rsidRPr="009F6D1E">
        <w:rPr>
          <w:rFonts w:cs="Times New Roman"/>
          <w:szCs w:val="24"/>
        </w:rPr>
        <w:t xml:space="preserve">, резултат от </w:t>
      </w:r>
      <w:proofErr w:type="spellStart"/>
      <w:r w:rsidRPr="009F6D1E">
        <w:rPr>
          <w:rFonts w:cs="Times New Roman"/>
          <w:szCs w:val="24"/>
        </w:rPr>
        <w:t>видообразувателни</w:t>
      </w:r>
      <w:proofErr w:type="spellEnd"/>
      <w:r w:rsidRPr="009F6D1E">
        <w:rPr>
          <w:rFonts w:cs="Times New Roman"/>
          <w:szCs w:val="24"/>
        </w:rPr>
        <w:t xml:space="preserve"> процеси, стимулирани от климатичните промени и динамиката на растителната покривка в нашите високи планини. </w:t>
      </w:r>
    </w:p>
    <w:p w14:paraId="3E7BCCC4" w14:textId="77777777" w:rsidR="00D6187E" w:rsidRPr="009F6D1E" w:rsidRDefault="00D6187E" w:rsidP="0084747F">
      <w:pPr>
        <w:spacing w:after="60" w:line="264" w:lineRule="auto"/>
        <w:ind w:firstLine="709"/>
        <w:contextualSpacing/>
        <w:jc w:val="both"/>
        <w:rPr>
          <w:rFonts w:cs="Times New Roman"/>
          <w:i/>
          <w:iCs/>
          <w:szCs w:val="24"/>
        </w:rPr>
      </w:pPr>
      <w:r w:rsidRPr="009F6D1E">
        <w:rPr>
          <w:rFonts w:cs="Times New Roman"/>
          <w:szCs w:val="24"/>
        </w:rPr>
        <w:t xml:space="preserve">Спецификата на българската флора до голяма степен се определя от българските и балканските ендемични растения. Това са 498 вида или 12,8% от видовото богатство на </w:t>
      </w:r>
      <w:r w:rsidRPr="009F6D1E">
        <w:rPr>
          <w:rFonts w:cs="Times New Roman"/>
          <w:szCs w:val="24"/>
        </w:rPr>
        <w:lastRenderedPageBreak/>
        <w:t xml:space="preserve">страната. Българските </w:t>
      </w:r>
      <w:proofErr w:type="spellStart"/>
      <w:r w:rsidRPr="009F6D1E">
        <w:rPr>
          <w:rFonts w:cs="Times New Roman"/>
          <w:szCs w:val="24"/>
        </w:rPr>
        <w:t>ендемити</w:t>
      </w:r>
      <w:proofErr w:type="spellEnd"/>
      <w:r w:rsidRPr="009F6D1E">
        <w:rPr>
          <w:rFonts w:cs="Times New Roman"/>
          <w:szCs w:val="24"/>
        </w:rPr>
        <w:t xml:space="preserve"> са 186 вида, балканските - 312. Особено богати на ендемични видове са по-</w:t>
      </w:r>
      <w:proofErr w:type="spellStart"/>
      <w:r w:rsidRPr="009F6D1E">
        <w:rPr>
          <w:rFonts w:cs="Times New Roman"/>
          <w:szCs w:val="24"/>
        </w:rPr>
        <w:t>голямите</w:t>
      </w:r>
      <w:proofErr w:type="spellEnd"/>
      <w:r w:rsidRPr="009F6D1E">
        <w:rPr>
          <w:rFonts w:cs="Times New Roman"/>
          <w:szCs w:val="24"/>
        </w:rPr>
        <w:t xml:space="preserve"> семейства, като </w:t>
      </w:r>
      <w:proofErr w:type="spellStart"/>
      <w:r w:rsidRPr="009F6D1E">
        <w:rPr>
          <w:rFonts w:cs="Times New Roman"/>
          <w:szCs w:val="24"/>
        </w:rPr>
        <w:t>Asteraceae</w:t>
      </w:r>
      <w:proofErr w:type="spellEnd"/>
      <w:r w:rsidRPr="009F6D1E">
        <w:rPr>
          <w:rFonts w:cs="Times New Roman"/>
          <w:szCs w:val="24"/>
        </w:rPr>
        <w:t xml:space="preserve">, </w:t>
      </w:r>
      <w:proofErr w:type="spellStart"/>
      <w:r w:rsidRPr="009F6D1E">
        <w:rPr>
          <w:rFonts w:cs="Times New Roman"/>
          <w:szCs w:val="24"/>
        </w:rPr>
        <w:t>Scrophulariaceae</w:t>
      </w:r>
      <w:proofErr w:type="spellEnd"/>
      <w:r w:rsidRPr="009F6D1E">
        <w:rPr>
          <w:rFonts w:cs="Times New Roman"/>
          <w:szCs w:val="24"/>
        </w:rPr>
        <w:t xml:space="preserve">, </w:t>
      </w:r>
      <w:proofErr w:type="spellStart"/>
      <w:r w:rsidRPr="009F6D1E">
        <w:rPr>
          <w:rFonts w:cs="Times New Roman"/>
          <w:szCs w:val="24"/>
        </w:rPr>
        <w:t>Caryophyllaceae</w:t>
      </w:r>
      <w:proofErr w:type="spellEnd"/>
      <w:r w:rsidRPr="009F6D1E">
        <w:rPr>
          <w:rFonts w:cs="Times New Roman"/>
          <w:szCs w:val="24"/>
        </w:rPr>
        <w:t xml:space="preserve">, </w:t>
      </w:r>
      <w:proofErr w:type="spellStart"/>
      <w:r w:rsidRPr="009F6D1E">
        <w:rPr>
          <w:rFonts w:cs="Times New Roman"/>
          <w:szCs w:val="24"/>
        </w:rPr>
        <w:t>Poaceae</w:t>
      </w:r>
      <w:proofErr w:type="spellEnd"/>
      <w:r w:rsidRPr="009F6D1E">
        <w:rPr>
          <w:rFonts w:cs="Times New Roman"/>
          <w:szCs w:val="24"/>
        </w:rPr>
        <w:t xml:space="preserve">, </w:t>
      </w:r>
      <w:proofErr w:type="spellStart"/>
      <w:r w:rsidRPr="009F6D1E">
        <w:rPr>
          <w:rFonts w:cs="Times New Roman"/>
          <w:szCs w:val="24"/>
        </w:rPr>
        <w:t>Borraginaceae</w:t>
      </w:r>
      <w:proofErr w:type="spellEnd"/>
      <w:r w:rsidRPr="009F6D1E">
        <w:rPr>
          <w:rFonts w:cs="Times New Roman"/>
          <w:szCs w:val="24"/>
        </w:rPr>
        <w:t xml:space="preserve">, </w:t>
      </w:r>
      <w:proofErr w:type="spellStart"/>
      <w:r w:rsidRPr="009F6D1E">
        <w:rPr>
          <w:rFonts w:cs="Times New Roman"/>
          <w:szCs w:val="24"/>
        </w:rPr>
        <w:t>Liliaceae</w:t>
      </w:r>
      <w:proofErr w:type="spellEnd"/>
      <w:r w:rsidRPr="009F6D1E">
        <w:rPr>
          <w:rFonts w:cs="Times New Roman"/>
          <w:szCs w:val="24"/>
        </w:rPr>
        <w:t xml:space="preserve">, </w:t>
      </w:r>
      <w:proofErr w:type="spellStart"/>
      <w:r w:rsidRPr="009F6D1E">
        <w:rPr>
          <w:rFonts w:cs="Times New Roman"/>
          <w:szCs w:val="24"/>
        </w:rPr>
        <w:t>Ranunculaceaeи</w:t>
      </w:r>
      <w:proofErr w:type="spellEnd"/>
      <w:r w:rsidRPr="009F6D1E">
        <w:rPr>
          <w:rFonts w:cs="Times New Roman"/>
          <w:szCs w:val="24"/>
        </w:rPr>
        <w:t xml:space="preserve"> др. (Петрова и др., 2005). Със сравнително по голям брой </w:t>
      </w:r>
      <w:proofErr w:type="spellStart"/>
      <w:r w:rsidRPr="009F6D1E">
        <w:rPr>
          <w:rFonts w:cs="Times New Roman"/>
          <w:szCs w:val="24"/>
        </w:rPr>
        <w:t>ендемити</w:t>
      </w:r>
      <w:proofErr w:type="spellEnd"/>
      <w:r w:rsidRPr="009F6D1E">
        <w:rPr>
          <w:rFonts w:cs="Times New Roman"/>
          <w:szCs w:val="24"/>
        </w:rPr>
        <w:t xml:space="preserve"> се отличават родове като </w:t>
      </w:r>
      <w:proofErr w:type="spellStart"/>
      <w:r w:rsidRPr="009F6D1E">
        <w:rPr>
          <w:rFonts w:cs="Times New Roman"/>
          <w:i/>
          <w:iCs/>
          <w:szCs w:val="24"/>
        </w:rPr>
        <w:t>Anthemis</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Подрумиче</w:t>
      </w:r>
      <w:proofErr w:type="spellEnd"/>
      <w:r w:rsidRPr="009F6D1E">
        <w:rPr>
          <w:rFonts w:cs="Times New Roman"/>
          <w:szCs w:val="24"/>
        </w:rPr>
        <w:t>), </w:t>
      </w:r>
      <w:proofErr w:type="spellStart"/>
      <w:r w:rsidRPr="009F6D1E">
        <w:rPr>
          <w:rFonts w:cs="Times New Roman"/>
          <w:i/>
          <w:iCs/>
          <w:szCs w:val="24"/>
        </w:rPr>
        <w:t>Arenaria</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Песъчарка</w:t>
      </w:r>
      <w:proofErr w:type="spellEnd"/>
      <w:r w:rsidRPr="009F6D1E">
        <w:rPr>
          <w:rFonts w:cs="Times New Roman"/>
          <w:szCs w:val="24"/>
        </w:rPr>
        <w:t xml:space="preserve">),  </w:t>
      </w:r>
      <w:proofErr w:type="spellStart"/>
      <w:r w:rsidRPr="009F6D1E">
        <w:rPr>
          <w:rFonts w:cs="Times New Roman"/>
          <w:i/>
          <w:iCs/>
          <w:szCs w:val="24"/>
        </w:rPr>
        <w:t>Centaurea</w:t>
      </w:r>
      <w:proofErr w:type="spellEnd"/>
      <w:r w:rsidRPr="009F6D1E">
        <w:rPr>
          <w:rFonts w:cs="Times New Roman"/>
          <w:i/>
          <w:iCs/>
          <w:szCs w:val="24"/>
        </w:rPr>
        <w:t xml:space="preserve">, </w:t>
      </w:r>
      <w:proofErr w:type="spellStart"/>
      <w:r w:rsidRPr="009F6D1E">
        <w:rPr>
          <w:rFonts w:cs="Times New Roman"/>
          <w:i/>
          <w:iCs/>
          <w:szCs w:val="24"/>
        </w:rPr>
        <w:t>Chamaecytisus</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Зановец</w:t>
      </w:r>
      <w:proofErr w:type="spellEnd"/>
      <w:r w:rsidRPr="009F6D1E">
        <w:rPr>
          <w:rFonts w:cs="Times New Roman"/>
          <w:szCs w:val="24"/>
        </w:rPr>
        <w:t>), </w:t>
      </w:r>
      <w:proofErr w:type="spellStart"/>
      <w:r w:rsidRPr="009F6D1E">
        <w:rPr>
          <w:rFonts w:cs="Times New Roman"/>
          <w:i/>
          <w:iCs/>
          <w:szCs w:val="24"/>
        </w:rPr>
        <w:t>Colchicum</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Мразовец</w:t>
      </w:r>
      <w:proofErr w:type="spellEnd"/>
      <w:r w:rsidRPr="009F6D1E">
        <w:rPr>
          <w:rFonts w:cs="Times New Roman"/>
          <w:szCs w:val="24"/>
        </w:rPr>
        <w:t>), </w:t>
      </w:r>
      <w:proofErr w:type="spellStart"/>
      <w:r w:rsidRPr="009F6D1E">
        <w:rPr>
          <w:rFonts w:cs="Times New Roman"/>
          <w:i/>
          <w:iCs/>
          <w:szCs w:val="24"/>
        </w:rPr>
        <w:t>Erysimum</w:t>
      </w:r>
      <w:proofErr w:type="spellEnd"/>
      <w:r w:rsidRPr="009F6D1E">
        <w:rPr>
          <w:rFonts w:cs="Times New Roman"/>
          <w:i/>
          <w:iCs/>
          <w:szCs w:val="24"/>
        </w:rPr>
        <w:t xml:space="preserve"> </w:t>
      </w:r>
      <w:r w:rsidRPr="009F6D1E">
        <w:rPr>
          <w:rFonts w:cs="Times New Roman"/>
          <w:szCs w:val="24"/>
        </w:rPr>
        <w:t xml:space="preserve">(Боянка),  </w:t>
      </w:r>
      <w:proofErr w:type="spellStart"/>
      <w:r w:rsidRPr="009F6D1E">
        <w:rPr>
          <w:rFonts w:cs="Times New Roman"/>
          <w:i/>
          <w:iCs/>
          <w:szCs w:val="24"/>
        </w:rPr>
        <w:t>Festuca</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Власатка</w:t>
      </w:r>
      <w:proofErr w:type="spellEnd"/>
      <w:r w:rsidRPr="009F6D1E">
        <w:rPr>
          <w:rFonts w:cs="Times New Roman"/>
          <w:szCs w:val="24"/>
        </w:rPr>
        <w:t>), </w:t>
      </w:r>
      <w:proofErr w:type="spellStart"/>
      <w:r w:rsidRPr="009F6D1E">
        <w:rPr>
          <w:rFonts w:cs="Times New Roman"/>
          <w:i/>
          <w:iCs/>
          <w:szCs w:val="24"/>
        </w:rPr>
        <w:t>Poa</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Ливадина</w:t>
      </w:r>
      <w:proofErr w:type="spellEnd"/>
      <w:r w:rsidRPr="009F6D1E">
        <w:rPr>
          <w:rFonts w:cs="Times New Roman"/>
          <w:szCs w:val="24"/>
        </w:rPr>
        <w:t>), </w:t>
      </w:r>
      <w:proofErr w:type="spellStart"/>
      <w:r w:rsidRPr="009F6D1E">
        <w:rPr>
          <w:rFonts w:cs="Times New Roman"/>
          <w:i/>
          <w:iCs/>
          <w:szCs w:val="24"/>
        </w:rPr>
        <w:t>Tulipa</w:t>
      </w:r>
      <w:proofErr w:type="spellEnd"/>
      <w:r w:rsidRPr="009F6D1E">
        <w:rPr>
          <w:rFonts w:cs="Times New Roman"/>
          <w:i/>
          <w:iCs/>
          <w:szCs w:val="24"/>
        </w:rPr>
        <w:t xml:space="preserve"> </w:t>
      </w:r>
      <w:r w:rsidRPr="009F6D1E">
        <w:rPr>
          <w:rFonts w:cs="Times New Roman"/>
          <w:szCs w:val="24"/>
        </w:rPr>
        <w:t>(Лале), </w:t>
      </w:r>
      <w:proofErr w:type="spellStart"/>
      <w:r w:rsidRPr="009F6D1E">
        <w:rPr>
          <w:rFonts w:cs="Times New Roman"/>
          <w:i/>
          <w:iCs/>
          <w:szCs w:val="24"/>
        </w:rPr>
        <w:t>Verbascum</w:t>
      </w:r>
      <w:proofErr w:type="spellEnd"/>
      <w:r w:rsidRPr="009F6D1E">
        <w:rPr>
          <w:rFonts w:cs="Times New Roman"/>
          <w:i/>
          <w:iCs/>
          <w:szCs w:val="24"/>
        </w:rPr>
        <w:t xml:space="preserve"> </w:t>
      </w:r>
      <w:r w:rsidRPr="009F6D1E">
        <w:rPr>
          <w:rFonts w:cs="Times New Roman"/>
          <w:szCs w:val="24"/>
        </w:rPr>
        <w:t xml:space="preserve">(Лопен), както и родове характерни с широка вътрешновидова и междувидова изменчивост с локални процеси на </w:t>
      </w:r>
      <w:proofErr w:type="spellStart"/>
      <w:r w:rsidRPr="009F6D1E">
        <w:rPr>
          <w:rFonts w:cs="Times New Roman"/>
          <w:szCs w:val="24"/>
        </w:rPr>
        <w:t>интрогресивна</w:t>
      </w:r>
      <w:proofErr w:type="spellEnd"/>
      <w:r w:rsidRPr="009F6D1E">
        <w:rPr>
          <w:rFonts w:cs="Times New Roman"/>
          <w:szCs w:val="24"/>
        </w:rPr>
        <w:t xml:space="preserve"> хибридизация в </w:t>
      </w:r>
      <w:proofErr w:type="spellStart"/>
      <w:r w:rsidRPr="009F6D1E">
        <w:rPr>
          <w:rFonts w:cs="Times New Roman"/>
          <w:szCs w:val="24"/>
        </w:rPr>
        <w:t>полиплоидни</w:t>
      </w:r>
      <w:proofErr w:type="spellEnd"/>
      <w:r w:rsidRPr="009F6D1E">
        <w:rPr>
          <w:rFonts w:cs="Times New Roman"/>
          <w:szCs w:val="24"/>
        </w:rPr>
        <w:t xml:space="preserve"> и </w:t>
      </w:r>
      <w:proofErr w:type="spellStart"/>
      <w:r w:rsidRPr="009F6D1E">
        <w:rPr>
          <w:rFonts w:cs="Times New Roman"/>
          <w:szCs w:val="24"/>
        </w:rPr>
        <w:t>агамни</w:t>
      </w:r>
      <w:proofErr w:type="spellEnd"/>
      <w:r w:rsidRPr="009F6D1E">
        <w:rPr>
          <w:rFonts w:cs="Times New Roman"/>
          <w:szCs w:val="24"/>
        </w:rPr>
        <w:t xml:space="preserve"> комплекси, като </w:t>
      </w:r>
      <w:proofErr w:type="spellStart"/>
      <w:r w:rsidRPr="009F6D1E">
        <w:rPr>
          <w:rFonts w:cs="Times New Roman"/>
          <w:i/>
          <w:iCs/>
          <w:szCs w:val="24"/>
        </w:rPr>
        <w:t>Achillea</w:t>
      </w:r>
      <w:proofErr w:type="spellEnd"/>
      <w:r w:rsidRPr="009F6D1E">
        <w:rPr>
          <w:rFonts w:cs="Times New Roman"/>
          <w:i/>
          <w:iCs/>
          <w:szCs w:val="24"/>
        </w:rPr>
        <w:t xml:space="preserve">, </w:t>
      </w:r>
      <w:proofErr w:type="spellStart"/>
      <w:r w:rsidRPr="009F6D1E">
        <w:rPr>
          <w:rFonts w:cs="Times New Roman"/>
          <w:i/>
          <w:iCs/>
          <w:szCs w:val="24"/>
        </w:rPr>
        <w:t>Alchemilla</w:t>
      </w:r>
      <w:proofErr w:type="spellEnd"/>
      <w:r w:rsidRPr="009F6D1E">
        <w:rPr>
          <w:rFonts w:cs="Times New Roman"/>
          <w:i/>
          <w:iCs/>
          <w:szCs w:val="24"/>
        </w:rPr>
        <w:t xml:space="preserve">, </w:t>
      </w:r>
      <w:proofErr w:type="spellStart"/>
      <w:r w:rsidRPr="009F6D1E">
        <w:rPr>
          <w:rFonts w:cs="Times New Roman"/>
          <w:i/>
          <w:iCs/>
          <w:szCs w:val="24"/>
        </w:rPr>
        <w:t>Hieracium</w:t>
      </w:r>
      <w:proofErr w:type="spellEnd"/>
      <w:r w:rsidRPr="009F6D1E">
        <w:rPr>
          <w:rFonts w:cs="Times New Roman"/>
          <w:i/>
          <w:iCs/>
          <w:szCs w:val="24"/>
        </w:rPr>
        <w:t xml:space="preserve">, </w:t>
      </w:r>
      <w:proofErr w:type="spellStart"/>
      <w:r w:rsidRPr="009F6D1E">
        <w:rPr>
          <w:rFonts w:cs="Times New Roman"/>
          <w:i/>
          <w:iCs/>
          <w:szCs w:val="24"/>
        </w:rPr>
        <w:t>Viola</w:t>
      </w:r>
      <w:proofErr w:type="spellEnd"/>
      <w:r w:rsidRPr="009F6D1E">
        <w:rPr>
          <w:rFonts w:cs="Times New Roman"/>
          <w:i/>
          <w:iCs/>
          <w:szCs w:val="24"/>
        </w:rPr>
        <w:t xml:space="preserve">, </w:t>
      </w:r>
      <w:proofErr w:type="spellStart"/>
      <w:r w:rsidRPr="009F6D1E">
        <w:rPr>
          <w:rFonts w:cs="Times New Roman"/>
          <w:i/>
          <w:iCs/>
          <w:szCs w:val="24"/>
        </w:rPr>
        <w:t>Taraxacum</w:t>
      </w:r>
      <w:proofErr w:type="spellEnd"/>
      <w:r w:rsidRPr="009F6D1E">
        <w:rPr>
          <w:rFonts w:cs="Times New Roman"/>
          <w:i/>
          <w:iCs/>
          <w:szCs w:val="24"/>
        </w:rPr>
        <w:t xml:space="preserve"> </w:t>
      </w:r>
      <w:r w:rsidRPr="009F6D1E">
        <w:rPr>
          <w:rFonts w:cs="Times New Roman"/>
          <w:szCs w:val="24"/>
        </w:rPr>
        <w:t>и др</w:t>
      </w:r>
      <w:r w:rsidRPr="009F6D1E">
        <w:rPr>
          <w:rFonts w:cs="Times New Roman"/>
          <w:i/>
          <w:iCs/>
          <w:szCs w:val="24"/>
        </w:rPr>
        <w:t>.</w:t>
      </w:r>
    </w:p>
    <w:p w14:paraId="2E6B4AC7"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В Червена книга на Република България, том І са включени са общо 808 вида, разпределени по следния начин: </w:t>
      </w:r>
      <w:r w:rsidRPr="009F6D1E">
        <w:rPr>
          <w:rFonts w:cs="Times New Roman"/>
          <w:bCs/>
          <w:iCs/>
          <w:szCs w:val="24"/>
        </w:rPr>
        <w:t>водорасли</w:t>
      </w:r>
      <w:r w:rsidRPr="009F6D1E">
        <w:rPr>
          <w:rFonts w:cs="Times New Roman"/>
          <w:szCs w:val="24"/>
        </w:rPr>
        <w:t> – </w:t>
      </w:r>
      <w:r w:rsidRPr="009F6D1E">
        <w:rPr>
          <w:rFonts w:cs="Times New Roman"/>
          <w:bCs/>
          <w:szCs w:val="24"/>
        </w:rPr>
        <w:t>6 вида</w:t>
      </w:r>
      <w:r w:rsidRPr="009F6D1E">
        <w:rPr>
          <w:rFonts w:cs="Times New Roman"/>
          <w:szCs w:val="24"/>
        </w:rPr>
        <w:t> (критично застрашени – 5, застрашен – 1); </w:t>
      </w:r>
      <w:r w:rsidRPr="009F6D1E">
        <w:rPr>
          <w:rFonts w:cs="Times New Roman"/>
          <w:bCs/>
          <w:iCs/>
          <w:szCs w:val="24"/>
        </w:rPr>
        <w:t>мъхове</w:t>
      </w:r>
      <w:r w:rsidRPr="009F6D1E">
        <w:rPr>
          <w:rFonts w:cs="Times New Roman"/>
          <w:szCs w:val="24"/>
        </w:rPr>
        <w:t> – </w:t>
      </w:r>
      <w:r w:rsidRPr="009F6D1E">
        <w:rPr>
          <w:rFonts w:cs="Times New Roman"/>
          <w:bCs/>
          <w:szCs w:val="24"/>
        </w:rPr>
        <w:t>102 вида</w:t>
      </w:r>
      <w:r w:rsidRPr="009F6D1E">
        <w:rPr>
          <w:rFonts w:cs="Times New Roman"/>
          <w:szCs w:val="24"/>
        </w:rPr>
        <w:t> (</w:t>
      </w:r>
      <w:r w:rsidRPr="009F6D1E">
        <w:rPr>
          <w:rFonts w:cs="Times New Roman"/>
          <w:iCs/>
          <w:szCs w:val="24"/>
        </w:rPr>
        <w:t>чернодробни</w:t>
      </w:r>
      <w:r w:rsidRPr="009F6D1E">
        <w:rPr>
          <w:rFonts w:cs="Times New Roman"/>
          <w:szCs w:val="24"/>
        </w:rPr>
        <w:t>: критично застрашени – 10, застрашени – 17, уязвими – 6; </w:t>
      </w:r>
      <w:r w:rsidRPr="009F6D1E">
        <w:rPr>
          <w:rFonts w:cs="Times New Roman"/>
          <w:iCs/>
          <w:szCs w:val="24"/>
        </w:rPr>
        <w:t>листнати мъхове</w:t>
      </w:r>
      <w:r w:rsidRPr="009F6D1E">
        <w:rPr>
          <w:rFonts w:cs="Times New Roman"/>
          <w:szCs w:val="24"/>
        </w:rPr>
        <w:t>: критично застрашени – 17, застрашени – 25, уязвими – 27); </w:t>
      </w:r>
      <w:proofErr w:type="spellStart"/>
      <w:r w:rsidRPr="009F6D1E">
        <w:rPr>
          <w:rFonts w:cs="Times New Roman"/>
          <w:bCs/>
          <w:iCs/>
          <w:szCs w:val="24"/>
        </w:rPr>
        <w:t>папратообразни</w:t>
      </w:r>
      <w:proofErr w:type="spellEnd"/>
      <w:r w:rsidRPr="009F6D1E">
        <w:rPr>
          <w:rFonts w:cs="Times New Roman"/>
          <w:bCs/>
          <w:iCs/>
          <w:szCs w:val="24"/>
        </w:rPr>
        <w:t xml:space="preserve"> растения</w:t>
      </w:r>
      <w:r w:rsidRPr="009F6D1E">
        <w:rPr>
          <w:rFonts w:cs="Times New Roman"/>
          <w:szCs w:val="24"/>
        </w:rPr>
        <w:t> – </w:t>
      </w:r>
      <w:r w:rsidRPr="009F6D1E">
        <w:rPr>
          <w:rFonts w:cs="Times New Roman"/>
          <w:bCs/>
          <w:szCs w:val="24"/>
        </w:rPr>
        <w:t>8 вида</w:t>
      </w:r>
      <w:r w:rsidRPr="009F6D1E">
        <w:rPr>
          <w:rFonts w:cs="Times New Roman"/>
          <w:szCs w:val="24"/>
        </w:rPr>
        <w:t> (регионално изчезнал – 1, критично застрашени – 6, застрашени – 1); </w:t>
      </w:r>
      <w:r w:rsidRPr="009F6D1E">
        <w:rPr>
          <w:rFonts w:cs="Times New Roman"/>
          <w:bCs/>
          <w:iCs/>
          <w:szCs w:val="24"/>
        </w:rPr>
        <w:t>голосеменни растения</w:t>
      </w:r>
      <w:r w:rsidRPr="009F6D1E">
        <w:rPr>
          <w:rFonts w:cs="Times New Roman"/>
          <w:szCs w:val="24"/>
        </w:rPr>
        <w:t> – </w:t>
      </w:r>
      <w:r w:rsidRPr="009F6D1E">
        <w:rPr>
          <w:rFonts w:cs="Times New Roman"/>
          <w:bCs/>
          <w:szCs w:val="24"/>
        </w:rPr>
        <w:t>4 вида</w:t>
      </w:r>
      <w:r w:rsidRPr="009F6D1E">
        <w:rPr>
          <w:rFonts w:cs="Times New Roman"/>
          <w:szCs w:val="24"/>
        </w:rPr>
        <w:t> (критично застрашени – 2, застрашени – 2); </w:t>
      </w:r>
      <w:r w:rsidRPr="009F6D1E">
        <w:rPr>
          <w:rFonts w:cs="Times New Roman"/>
          <w:bCs/>
          <w:iCs/>
          <w:szCs w:val="24"/>
        </w:rPr>
        <w:t>покритосеменни растения</w:t>
      </w:r>
      <w:r w:rsidRPr="009F6D1E">
        <w:rPr>
          <w:rFonts w:cs="Times New Roman"/>
          <w:szCs w:val="24"/>
        </w:rPr>
        <w:t> – </w:t>
      </w:r>
      <w:r w:rsidRPr="009F6D1E">
        <w:rPr>
          <w:rFonts w:cs="Times New Roman"/>
          <w:bCs/>
          <w:szCs w:val="24"/>
        </w:rPr>
        <w:t>539 вида</w:t>
      </w:r>
      <w:r w:rsidRPr="009F6D1E">
        <w:rPr>
          <w:rFonts w:cs="Times New Roman"/>
          <w:szCs w:val="24"/>
        </w:rPr>
        <w:t xml:space="preserve"> (изчезнали – 1, регионално изчезнали – 11, критично застрашени – 197, застрашени – 292, уязвими – 38 избрани видове – български и балкански </w:t>
      </w:r>
      <w:proofErr w:type="spellStart"/>
      <w:r w:rsidRPr="009F6D1E">
        <w:rPr>
          <w:rFonts w:cs="Times New Roman"/>
          <w:szCs w:val="24"/>
        </w:rPr>
        <w:t>ендемити</w:t>
      </w:r>
      <w:proofErr w:type="spellEnd"/>
      <w:r w:rsidRPr="009F6D1E">
        <w:rPr>
          <w:rFonts w:cs="Times New Roman"/>
          <w:szCs w:val="24"/>
        </w:rPr>
        <w:t xml:space="preserve">, включени в Приложение 3 на Закона за биологичното разнообразие и в Директивата за </w:t>
      </w:r>
      <w:proofErr w:type="spellStart"/>
      <w:r w:rsidRPr="009F6D1E">
        <w:rPr>
          <w:rFonts w:cs="Times New Roman"/>
          <w:szCs w:val="24"/>
        </w:rPr>
        <w:t>хабитатите</w:t>
      </w:r>
      <w:proofErr w:type="spellEnd"/>
      <w:r w:rsidRPr="009F6D1E">
        <w:rPr>
          <w:rFonts w:cs="Times New Roman"/>
          <w:szCs w:val="24"/>
        </w:rPr>
        <w:t>). Обект на защита (включени в Приложение 3 на ЗБР) са 574 вида висши растения. Предмет на опазване в защитени зони (включени в Приложение 2 на ЗБР) са 21 вида висши растения и мъхове.</w:t>
      </w:r>
    </w:p>
    <w:p w14:paraId="65208A62"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В Списъка на лечебните растения, които попадат под разпоредбите на Закона за лечебните растения (ЗЛР) (приложение към чл. 1, ал. 2 от ЗЛР) са включени 785 вида. ЗЛР урежда управлението на дейностите по опазване и устойчиво ползване на лечебните растения, включително събирането и изкупуването на получаваните от тях билки.</w:t>
      </w:r>
    </w:p>
    <w:p w14:paraId="2C69C67E" w14:textId="77777777" w:rsidR="00D6187E" w:rsidRPr="009F6D1E" w:rsidRDefault="00D6187E" w:rsidP="0084747F">
      <w:pPr>
        <w:spacing w:after="60" w:line="264" w:lineRule="auto"/>
        <w:ind w:firstLine="709"/>
        <w:contextualSpacing/>
        <w:jc w:val="both"/>
        <w:rPr>
          <w:rFonts w:cs="Times New Roman"/>
          <w:i/>
          <w:color w:val="1F3864" w:themeColor="accent1" w:themeShade="80"/>
          <w:szCs w:val="24"/>
          <w:u w:val="single"/>
        </w:rPr>
      </w:pPr>
    </w:p>
    <w:p w14:paraId="70F09109" w14:textId="77777777" w:rsidR="00D6187E" w:rsidRPr="009F6D1E" w:rsidRDefault="00D6187E" w:rsidP="0038543B">
      <w:pPr>
        <w:pStyle w:val="ListParagraph"/>
        <w:numPr>
          <w:ilvl w:val="0"/>
          <w:numId w:val="25"/>
        </w:numPr>
        <w:spacing w:after="60" w:line="264" w:lineRule="auto"/>
        <w:jc w:val="both"/>
        <w:rPr>
          <w:i/>
          <w:color w:val="000000" w:themeColor="text1"/>
          <w:u w:val="single"/>
          <w:lang w:val="bg-BG"/>
        </w:rPr>
      </w:pPr>
      <w:r w:rsidRPr="009F6D1E">
        <w:rPr>
          <w:i/>
          <w:color w:val="000000" w:themeColor="text1"/>
          <w:u w:val="single"/>
          <w:lang w:val="bg-BG"/>
        </w:rPr>
        <w:t>Растителност</w:t>
      </w:r>
    </w:p>
    <w:p w14:paraId="57F8E820"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От растително-географска гледна точка растителната покривка на България представлява комплекс от съобщества с </w:t>
      </w:r>
      <w:proofErr w:type="spellStart"/>
      <w:r w:rsidRPr="009F6D1E">
        <w:rPr>
          <w:rFonts w:cs="Times New Roman"/>
          <w:szCs w:val="24"/>
        </w:rPr>
        <w:t>бореален</w:t>
      </w:r>
      <w:proofErr w:type="spellEnd"/>
      <w:r w:rsidRPr="009F6D1E">
        <w:rPr>
          <w:rFonts w:cs="Times New Roman"/>
          <w:szCs w:val="24"/>
        </w:rPr>
        <w:t xml:space="preserve">, средноевропейски (най-широко разпространени), степен (на второ място по разпространение), арктичен, алпийски, балкански (включително средиземноморски) и местен характер. Растителността изграждат представители от всички екологични групи по отношение на водния фактор. В широки граници варират видовете по отношение на топлинния фактор и </w:t>
      </w:r>
      <w:proofErr w:type="spellStart"/>
      <w:r w:rsidRPr="009F6D1E">
        <w:rPr>
          <w:rFonts w:cs="Times New Roman"/>
          <w:szCs w:val="24"/>
        </w:rPr>
        <w:t>едафичните</w:t>
      </w:r>
      <w:proofErr w:type="spellEnd"/>
      <w:r w:rsidRPr="009F6D1E">
        <w:rPr>
          <w:rFonts w:cs="Times New Roman"/>
          <w:szCs w:val="24"/>
        </w:rPr>
        <w:t xml:space="preserve"> условия. Киселинността на основната скала и почвите в някои случаи е сред първостепенните условия за развитието на едни или други растителни видове и определя структурата на </w:t>
      </w:r>
      <w:proofErr w:type="spellStart"/>
      <w:r w:rsidRPr="009F6D1E">
        <w:rPr>
          <w:rFonts w:cs="Times New Roman"/>
          <w:szCs w:val="24"/>
        </w:rPr>
        <w:t>фитоценозите</w:t>
      </w:r>
      <w:proofErr w:type="spellEnd"/>
      <w:r w:rsidRPr="009F6D1E">
        <w:rPr>
          <w:rFonts w:cs="Times New Roman"/>
          <w:szCs w:val="24"/>
        </w:rPr>
        <w:t>.</w:t>
      </w:r>
    </w:p>
    <w:p w14:paraId="02EDF629"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планините на България са развити всички пояси, обособени в Средна Европа, без </w:t>
      </w:r>
      <w:proofErr w:type="spellStart"/>
      <w:r w:rsidRPr="009F6D1E">
        <w:rPr>
          <w:rFonts w:cs="Times New Roman"/>
          <w:szCs w:val="24"/>
        </w:rPr>
        <w:t>нивалния</w:t>
      </w:r>
      <w:proofErr w:type="spellEnd"/>
      <w:r w:rsidRPr="009F6D1E">
        <w:rPr>
          <w:rFonts w:cs="Times New Roman"/>
          <w:szCs w:val="24"/>
        </w:rPr>
        <w:t xml:space="preserve">. Отлично развит алпийски пояс има в Рила планина. В Пирин той е представен по-ограничено, а другаде се среща само фрагментарно в средновисоките планини на България, както и в други планини на Балканския полуостров. В тревната и </w:t>
      </w:r>
      <w:proofErr w:type="spellStart"/>
      <w:r w:rsidRPr="009F6D1E">
        <w:rPr>
          <w:rFonts w:cs="Times New Roman"/>
          <w:szCs w:val="24"/>
        </w:rPr>
        <w:t>храстчева</w:t>
      </w:r>
      <w:proofErr w:type="spellEnd"/>
      <w:r w:rsidRPr="009F6D1E">
        <w:rPr>
          <w:rFonts w:cs="Times New Roman"/>
          <w:szCs w:val="24"/>
        </w:rPr>
        <w:t xml:space="preserve"> растителност на алпийския и </w:t>
      </w:r>
      <w:proofErr w:type="spellStart"/>
      <w:r w:rsidRPr="009F6D1E">
        <w:rPr>
          <w:rFonts w:cs="Times New Roman"/>
          <w:szCs w:val="24"/>
        </w:rPr>
        <w:t>субалпийски</w:t>
      </w:r>
      <w:proofErr w:type="spellEnd"/>
      <w:r w:rsidRPr="009F6D1E">
        <w:rPr>
          <w:rFonts w:cs="Times New Roman"/>
          <w:szCs w:val="24"/>
        </w:rPr>
        <w:t xml:space="preserve"> пояси доминират не малко балкански </w:t>
      </w:r>
      <w:proofErr w:type="spellStart"/>
      <w:r w:rsidRPr="009F6D1E">
        <w:rPr>
          <w:rFonts w:cs="Times New Roman"/>
          <w:szCs w:val="24"/>
        </w:rPr>
        <w:t>ендемити</w:t>
      </w:r>
      <w:proofErr w:type="spellEnd"/>
      <w:r w:rsidRPr="009F6D1E">
        <w:rPr>
          <w:rFonts w:cs="Times New Roman"/>
          <w:szCs w:val="24"/>
        </w:rPr>
        <w:t xml:space="preserve"> (</w:t>
      </w:r>
      <w:proofErr w:type="spellStart"/>
      <w:r w:rsidRPr="009F6D1E">
        <w:rPr>
          <w:rFonts w:cs="Times New Roman"/>
          <w:i/>
          <w:iCs/>
          <w:szCs w:val="24"/>
        </w:rPr>
        <w:t>Sesleria</w:t>
      </w:r>
      <w:proofErr w:type="spellEnd"/>
      <w:r w:rsidRPr="009F6D1E">
        <w:rPr>
          <w:rFonts w:cs="Times New Roman"/>
          <w:i/>
          <w:iCs/>
          <w:szCs w:val="24"/>
        </w:rPr>
        <w:t xml:space="preserve"> </w:t>
      </w:r>
      <w:proofErr w:type="spellStart"/>
      <w:r w:rsidRPr="009F6D1E">
        <w:rPr>
          <w:rFonts w:cs="Times New Roman"/>
          <w:i/>
          <w:iCs/>
          <w:szCs w:val="24"/>
        </w:rPr>
        <w:t>comosa</w:t>
      </w:r>
      <w:proofErr w:type="spellEnd"/>
      <w:r w:rsidRPr="009F6D1E">
        <w:rPr>
          <w:rFonts w:cs="Times New Roman"/>
          <w:i/>
          <w:iCs/>
          <w:szCs w:val="24"/>
        </w:rPr>
        <w:t xml:space="preserve">,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riloensis</w:t>
      </w:r>
      <w:proofErr w:type="spellEnd"/>
      <w:r w:rsidRPr="009F6D1E">
        <w:rPr>
          <w:rFonts w:cs="Times New Roman"/>
          <w:i/>
          <w:iCs/>
          <w:szCs w:val="24"/>
        </w:rPr>
        <w:t>, F</w:t>
      </w:r>
      <w:r w:rsidRPr="009F6D1E">
        <w:rPr>
          <w:rFonts w:cs="Times New Roman"/>
          <w:szCs w:val="24"/>
        </w:rPr>
        <w:t>.</w:t>
      </w:r>
      <w:r w:rsidRPr="009F6D1E">
        <w:rPr>
          <w:rFonts w:cs="Times New Roman"/>
          <w:i/>
          <w:iCs/>
          <w:szCs w:val="24"/>
        </w:rPr>
        <w:t> </w:t>
      </w:r>
      <w:proofErr w:type="spellStart"/>
      <w:r w:rsidRPr="009F6D1E">
        <w:rPr>
          <w:rFonts w:cs="Times New Roman"/>
          <w:i/>
          <w:iCs/>
          <w:szCs w:val="24"/>
        </w:rPr>
        <w:t>valida</w:t>
      </w:r>
      <w:proofErr w:type="spellEnd"/>
      <w:r w:rsidRPr="009F6D1E">
        <w:rPr>
          <w:rFonts w:cs="Times New Roman"/>
          <w:i/>
          <w:iCs/>
          <w:szCs w:val="24"/>
        </w:rPr>
        <w:t>, F</w:t>
      </w:r>
      <w:r w:rsidRPr="009F6D1E">
        <w:rPr>
          <w:rFonts w:cs="Times New Roman"/>
          <w:szCs w:val="24"/>
        </w:rPr>
        <w:t>.</w:t>
      </w:r>
      <w:r w:rsidRPr="009F6D1E">
        <w:rPr>
          <w:rFonts w:cs="Times New Roman"/>
          <w:i/>
          <w:iCs/>
          <w:szCs w:val="24"/>
        </w:rPr>
        <w:t> </w:t>
      </w:r>
      <w:proofErr w:type="spellStart"/>
      <w:r w:rsidRPr="009F6D1E">
        <w:rPr>
          <w:rFonts w:cs="Times New Roman"/>
          <w:i/>
          <w:iCs/>
          <w:szCs w:val="24"/>
        </w:rPr>
        <w:t>penzesii</w:t>
      </w:r>
      <w:proofErr w:type="spellEnd"/>
      <w:r w:rsidRPr="009F6D1E">
        <w:rPr>
          <w:rFonts w:cs="Times New Roman"/>
          <w:szCs w:val="24"/>
        </w:rPr>
        <w:t xml:space="preserve"> и др.), а също и някои локални </w:t>
      </w:r>
      <w:proofErr w:type="spellStart"/>
      <w:r w:rsidRPr="009F6D1E">
        <w:rPr>
          <w:rFonts w:cs="Times New Roman"/>
          <w:szCs w:val="24"/>
        </w:rPr>
        <w:t>ендемити</w:t>
      </w:r>
      <w:proofErr w:type="spellEnd"/>
      <w:r w:rsidRPr="009F6D1E">
        <w:rPr>
          <w:rFonts w:cs="Times New Roman"/>
          <w:szCs w:val="24"/>
        </w:rPr>
        <w:t xml:space="preserve"> (</w:t>
      </w:r>
      <w:proofErr w:type="spellStart"/>
      <w:r w:rsidRPr="009F6D1E">
        <w:rPr>
          <w:rFonts w:cs="Times New Roman"/>
          <w:i/>
          <w:iCs/>
          <w:szCs w:val="24"/>
        </w:rPr>
        <w:t>Primula</w:t>
      </w:r>
      <w:proofErr w:type="spellEnd"/>
      <w:r w:rsidRPr="009F6D1E">
        <w:rPr>
          <w:rFonts w:cs="Times New Roman"/>
          <w:i/>
          <w:iCs/>
          <w:szCs w:val="24"/>
        </w:rPr>
        <w:t xml:space="preserve"> </w:t>
      </w:r>
      <w:proofErr w:type="spellStart"/>
      <w:r w:rsidRPr="009F6D1E">
        <w:rPr>
          <w:rFonts w:cs="Times New Roman"/>
          <w:i/>
          <w:iCs/>
          <w:szCs w:val="24"/>
        </w:rPr>
        <w:t>deorum</w:t>
      </w:r>
      <w:proofErr w:type="spellEnd"/>
      <w:r w:rsidRPr="009F6D1E">
        <w:rPr>
          <w:rFonts w:cs="Times New Roman"/>
          <w:i/>
          <w:iCs/>
          <w:szCs w:val="24"/>
        </w:rPr>
        <w:t xml:space="preserve">, </w:t>
      </w:r>
      <w:proofErr w:type="spellStart"/>
      <w:r w:rsidRPr="009F6D1E">
        <w:rPr>
          <w:rFonts w:cs="Times New Roman"/>
          <w:i/>
          <w:iCs/>
          <w:szCs w:val="24"/>
        </w:rPr>
        <w:lastRenderedPageBreak/>
        <w:t>Carex</w:t>
      </w:r>
      <w:proofErr w:type="spellEnd"/>
      <w:r w:rsidRPr="009F6D1E">
        <w:rPr>
          <w:rFonts w:cs="Times New Roman"/>
          <w:i/>
          <w:iCs/>
          <w:szCs w:val="24"/>
        </w:rPr>
        <w:t xml:space="preserve"> </w:t>
      </w:r>
      <w:proofErr w:type="spellStart"/>
      <w:r w:rsidRPr="009F6D1E">
        <w:rPr>
          <w:rFonts w:cs="Times New Roman"/>
          <w:i/>
          <w:iCs/>
          <w:szCs w:val="24"/>
        </w:rPr>
        <w:t>tricolor</w:t>
      </w:r>
      <w:proofErr w:type="spellEnd"/>
      <w:r w:rsidRPr="009F6D1E">
        <w:rPr>
          <w:rFonts w:cs="Times New Roman"/>
          <w:i/>
          <w:iCs/>
          <w:szCs w:val="24"/>
        </w:rPr>
        <w:t xml:space="preserve">, C. </w:t>
      </w:r>
      <w:proofErr w:type="spellStart"/>
      <w:r w:rsidRPr="009F6D1E">
        <w:rPr>
          <w:rFonts w:cs="Times New Roman"/>
          <w:i/>
          <w:iCs/>
          <w:szCs w:val="24"/>
        </w:rPr>
        <w:t>parviflora</w:t>
      </w:r>
      <w:proofErr w:type="spellEnd"/>
      <w:r w:rsidRPr="009F6D1E">
        <w:rPr>
          <w:rFonts w:cs="Times New Roman"/>
          <w:i/>
          <w:iCs/>
          <w:szCs w:val="24"/>
        </w:rPr>
        <w:t xml:space="preserve">, C. </w:t>
      </w:r>
      <w:proofErr w:type="spellStart"/>
      <w:r w:rsidRPr="009F6D1E">
        <w:rPr>
          <w:rFonts w:cs="Times New Roman"/>
          <w:i/>
          <w:iCs/>
          <w:szCs w:val="24"/>
        </w:rPr>
        <w:t>bulgarica</w:t>
      </w:r>
      <w:proofErr w:type="spellEnd"/>
      <w:r w:rsidRPr="009F6D1E">
        <w:rPr>
          <w:rFonts w:cs="Times New Roman"/>
          <w:i/>
          <w:iCs/>
          <w:szCs w:val="24"/>
        </w:rPr>
        <w:t xml:space="preserve">, </w:t>
      </w:r>
      <w:proofErr w:type="spellStart"/>
      <w:r w:rsidRPr="009F6D1E">
        <w:rPr>
          <w:rFonts w:cs="Times New Roman"/>
          <w:i/>
          <w:iCs/>
          <w:szCs w:val="24"/>
        </w:rPr>
        <w:t>Sesleria</w:t>
      </w:r>
      <w:proofErr w:type="spellEnd"/>
      <w:r w:rsidRPr="009F6D1E">
        <w:rPr>
          <w:rFonts w:cs="Times New Roman"/>
          <w:i/>
          <w:iCs/>
          <w:szCs w:val="24"/>
        </w:rPr>
        <w:t xml:space="preserve"> </w:t>
      </w:r>
      <w:proofErr w:type="spellStart"/>
      <w:r w:rsidRPr="009F6D1E">
        <w:rPr>
          <w:rFonts w:cs="Times New Roman"/>
          <w:i/>
          <w:iCs/>
          <w:szCs w:val="24"/>
        </w:rPr>
        <w:t>korabensis</w:t>
      </w:r>
      <w:proofErr w:type="spellEnd"/>
      <w:r w:rsidRPr="009F6D1E">
        <w:rPr>
          <w:rFonts w:cs="Times New Roman"/>
          <w:szCs w:val="24"/>
        </w:rPr>
        <w:t xml:space="preserve"> и др.) заедно с </w:t>
      </w:r>
      <w:proofErr w:type="spellStart"/>
      <w:r w:rsidRPr="009F6D1E">
        <w:rPr>
          <w:rFonts w:cs="Times New Roman"/>
          <w:szCs w:val="24"/>
        </w:rPr>
        <w:t>аркто</w:t>
      </w:r>
      <w:proofErr w:type="spellEnd"/>
      <w:r w:rsidRPr="009F6D1E">
        <w:rPr>
          <w:rFonts w:cs="Times New Roman"/>
          <w:szCs w:val="24"/>
        </w:rPr>
        <w:t>-алпийски и алпийски видове (</w:t>
      </w:r>
      <w:proofErr w:type="spellStart"/>
      <w:r w:rsidRPr="009F6D1E">
        <w:rPr>
          <w:rFonts w:cs="Times New Roman"/>
          <w:i/>
          <w:iCs/>
          <w:szCs w:val="24"/>
        </w:rPr>
        <w:t>Carex</w:t>
      </w:r>
      <w:proofErr w:type="spellEnd"/>
      <w:r w:rsidRPr="009F6D1E">
        <w:rPr>
          <w:rFonts w:cs="Times New Roman"/>
          <w:i/>
          <w:iCs/>
          <w:szCs w:val="24"/>
        </w:rPr>
        <w:t xml:space="preserve"> </w:t>
      </w:r>
      <w:proofErr w:type="spellStart"/>
      <w:r w:rsidRPr="009F6D1E">
        <w:rPr>
          <w:rFonts w:cs="Times New Roman"/>
          <w:i/>
          <w:iCs/>
          <w:szCs w:val="24"/>
        </w:rPr>
        <w:t>curvula</w:t>
      </w:r>
      <w:proofErr w:type="spellEnd"/>
      <w:r w:rsidRPr="009F6D1E">
        <w:rPr>
          <w:rFonts w:cs="Times New Roman"/>
          <w:i/>
          <w:iCs/>
          <w:szCs w:val="24"/>
        </w:rPr>
        <w:t xml:space="preserve">,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airoides</w:t>
      </w:r>
      <w:proofErr w:type="spellEnd"/>
      <w:r w:rsidRPr="009F6D1E">
        <w:rPr>
          <w:rFonts w:cs="Times New Roman"/>
          <w:i/>
          <w:iCs/>
          <w:szCs w:val="24"/>
        </w:rPr>
        <w:t xml:space="preserve">, </w:t>
      </w:r>
      <w:proofErr w:type="spellStart"/>
      <w:r w:rsidRPr="009F6D1E">
        <w:rPr>
          <w:rFonts w:cs="Times New Roman"/>
          <w:i/>
          <w:iCs/>
          <w:szCs w:val="24"/>
        </w:rPr>
        <w:t>Juncus</w:t>
      </w:r>
      <w:proofErr w:type="spellEnd"/>
      <w:r w:rsidRPr="009F6D1E">
        <w:rPr>
          <w:rFonts w:cs="Times New Roman"/>
          <w:i/>
          <w:iCs/>
          <w:szCs w:val="24"/>
        </w:rPr>
        <w:t xml:space="preserve"> </w:t>
      </w:r>
      <w:proofErr w:type="spellStart"/>
      <w:r w:rsidRPr="009F6D1E">
        <w:rPr>
          <w:rFonts w:cs="Times New Roman"/>
          <w:i/>
          <w:iCs/>
          <w:szCs w:val="24"/>
        </w:rPr>
        <w:t>trifidus</w:t>
      </w:r>
      <w:proofErr w:type="spellEnd"/>
      <w:r w:rsidRPr="009F6D1E">
        <w:rPr>
          <w:rFonts w:cs="Times New Roman"/>
          <w:i/>
          <w:iCs/>
          <w:szCs w:val="24"/>
        </w:rPr>
        <w:t xml:space="preserve">, </w:t>
      </w:r>
      <w:proofErr w:type="spellStart"/>
      <w:r w:rsidRPr="009F6D1E">
        <w:rPr>
          <w:rFonts w:cs="Times New Roman"/>
          <w:i/>
          <w:iCs/>
          <w:szCs w:val="24"/>
        </w:rPr>
        <w:t>Cetraria</w:t>
      </w:r>
      <w:proofErr w:type="spellEnd"/>
      <w:r w:rsidRPr="009F6D1E">
        <w:rPr>
          <w:rFonts w:cs="Times New Roman"/>
          <w:i/>
          <w:iCs/>
          <w:szCs w:val="24"/>
        </w:rPr>
        <w:t xml:space="preserve"> </w:t>
      </w:r>
      <w:proofErr w:type="spellStart"/>
      <w:r w:rsidRPr="009F6D1E">
        <w:rPr>
          <w:rFonts w:cs="Times New Roman"/>
          <w:i/>
          <w:iCs/>
          <w:szCs w:val="24"/>
        </w:rPr>
        <w:t>islansiaca</w:t>
      </w:r>
      <w:proofErr w:type="spellEnd"/>
      <w:r w:rsidRPr="009F6D1E">
        <w:rPr>
          <w:rFonts w:cs="Times New Roman"/>
          <w:i/>
          <w:iCs/>
          <w:szCs w:val="24"/>
        </w:rPr>
        <w:t xml:space="preserve">, </w:t>
      </w:r>
      <w:proofErr w:type="spellStart"/>
      <w:r w:rsidRPr="009F6D1E">
        <w:rPr>
          <w:rFonts w:cs="Times New Roman"/>
          <w:i/>
          <w:iCs/>
          <w:szCs w:val="24"/>
        </w:rPr>
        <w:t>Salix</w:t>
      </w:r>
      <w:proofErr w:type="spellEnd"/>
      <w:r w:rsidRPr="009F6D1E">
        <w:rPr>
          <w:rFonts w:cs="Times New Roman"/>
          <w:i/>
          <w:iCs/>
          <w:szCs w:val="24"/>
        </w:rPr>
        <w:t xml:space="preserve"> </w:t>
      </w:r>
      <w:proofErr w:type="spellStart"/>
      <w:r w:rsidRPr="009F6D1E">
        <w:rPr>
          <w:rFonts w:cs="Times New Roman"/>
          <w:i/>
          <w:iCs/>
          <w:szCs w:val="24"/>
        </w:rPr>
        <w:t>herbacea</w:t>
      </w:r>
      <w:proofErr w:type="spellEnd"/>
      <w:r w:rsidRPr="009F6D1E">
        <w:rPr>
          <w:rFonts w:cs="Times New Roman"/>
          <w:i/>
          <w:iCs/>
          <w:szCs w:val="24"/>
        </w:rPr>
        <w:t xml:space="preserve">, </w:t>
      </w:r>
      <w:proofErr w:type="spellStart"/>
      <w:r w:rsidRPr="009F6D1E">
        <w:rPr>
          <w:rFonts w:cs="Times New Roman"/>
          <w:i/>
          <w:iCs/>
          <w:szCs w:val="24"/>
        </w:rPr>
        <w:t>Vaccinium</w:t>
      </w:r>
      <w:proofErr w:type="spellEnd"/>
      <w:r w:rsidRPr="009F6D1E">
        <w:rPr>
          <w:rFonts w:cs="Times New Roman"/>
          <w:i/>
          <w:iCs/>
          <w:szCs w:val="24"/>
        </w:rPr>
        <w:t xml:space="preserve"> </w:t>
      </w:r>
      <w:proofErr w:type="spellStart"/>
      <w:r w:rsidRPr="009F6D1E">
        <w:rPr>
          <w:rFonts w:cs="Times New Roman"/>
          <w:i/>
          <w:iCs/>
          <w:szCs w:val="24"/>
        </w:rPr>
        <w:t>uliginosum</w:t>
      </w:r>
      <w:proofErr w:type="spellEnd"/>
      <w:r w:rsidRPr="009F6D1E">
        <w:rPr>
          <w:rFonts w:cs="Times New Roman"/>
          <w:szCs w:val="24"/>
        </w:rPr>
        <w:t xml:space="preserve"> и др.). Основен компонент на храстовата растителност в горния </w:t>
      </w:r>
      <w:proofErr w:type="spellStart"/>
      <w:r w:rsidRPr="009F6D1E">
        <w:rPr>
          <w:rFonts w:cs="Times New Roman"/>
          <w:szCs w:val="24"/>
        </w:rPr>
        <w:t>субалпийски</w:t>
      </w:r>
      <w:proofErr w:type="spellEnd"/>
      <w:r w:rsidRPr="009F6D1E">
        <w:rPr>
          <w:rFonts w:cs="Times New Roman"/>
          <w:szCs w:val="24"/>
        </w:rPr>
        <w:t xml:space="preserve"> </w:t>
      </w:r>
      <w:proofErr w:type="spellStart"/>
      <w:r w:rsidRPr="009F6D1E">
        <w:rPr>
          <w:rFonts w:cs="Times New Roman"/>
          <w:szCs w:val="24"/>
        </w:rPr>
        <w:t>подпояс</w:t>
      </w:r>
      <w:proofErr w:type="spellEnd"/>
      <w:r w:rsidRPr="009F6D1E">
        <w:rPr>
          <w:rFonts w:cs="Times New Roman"/>
          <w:szCs w:val="24"/>
        </w:rPr>
        <w:t xml:space="preserve"> са </w:t>
      </w:r>
      <w:proofErr w:type="spellStart"/>
      <w:r w:rsidRPr="009F6D1E">
        <w:rPr>
          <w:rFonts w:cs="Times New Roman"/>
          <w:szCs w:val="24"/>
        </w:rPr>
        <w:t>фитоценозите</w:t>
      </w:r>
      <w:proofErr w:type="spellEnd"/>
      <w:r w:rsidRPr="009F6D1E">
        <w:rPr>
          <w:rFonts w:cs="Times New Roman"/>
          <w:szCs w:val="24"/>
        </w:rPr>
        <w:t xml:space="preserve"> на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mugo</w:t>
      </w:r>
      <w:proofErr w:type="spellEnd"/>
      <w:r w:rsidRPr="009F6D1E">
        <w:rPr>
          <w:rFonts w:cs="Times New Roman"/>
          <w:szCs w:val="24"/>
        </w:rPr>
        <w:t> и </w:t>
      </w:r>
      <w:proofErr w:type="spellStart"/>
      <w:r w:rsidRPr="009F6D1E">
        <w:rPr>
          <w:rFonts w:cs="Times New Roman"/>
          <w:i/>
          <w:iCs/>
          <w:szCs w:val="24"/>
        </w:rPr>
        <w:t>Juniperus</w:t>
      </w:r>
      <w:proofErr w:type="spellEnd"/>
      <w:r w:rsidRPr="009F6D1E">
        <w:rPr>
          <w:rFonts w:cs="Times New Roman"/>
          <w:i/>
          <w:iCs/>
          <w:szCs w:val="24"/>
        </w:rPr>
        <w:t xml:space="preserve"> </w:t>
      </w:r>
      <w:proofErr w:type="spellStart"/>
      <w:r w:rsidRPr="009F6D1E">
        <w:rPr>
          <w:rFonts w:cs="Times New Roman"/>
          <w:i/>
          <w:iCs/>
          <w:szCs w:val="24"/>
        </w:rPr>
        <w:t>sibirica</w:t>
      </w:r>
      <w:proofErr w:type="spellEnd"/>
      <w:r w:rsidRPr="009F6D1E">
        <w:rPr>
          <w:rFonts w:cs="Times New Roman"/>
          <w:szCs w:val="24"/>
        </w:rPr>
        <w:t xml:space="preserve">, но и тук има ендемични </w:t>
      </w:r>
      <w:proofErr w:type="spellStart"/>
      <w:r w:rsidRPr="009F6D1E">
        <w:rPr>
          <w:rFonts w:cs="Times New Roman"/>
          <w:szCs w:val="24"/>
        </w:rPr>
        <w:t>фитоценози</w:t>
      </w:r>
      <w:proofErr w:type="spellEnd"/>
      <w:r w:rsidRPr="009F6D1E">
        <w:rPr>
          <w:rFonts w:cs="Times New Roman"/>
          <w:szCs w:val="24"/>
        </w:rPr>
        <w:t xml:space="preserve"> като тези на </w:t>
      </w:r>
      <w:proofErr w:type="spellStart"/>
      <w:r w:rsidRPr="009F6D1E">
        <w:rPr>
          <w:rFonts w:cs="Times New Roman"/>
          <w:i/>
          <w:iCs/>
          <w:szCs w:val="24"/>
        </w:rPr>
        <w:t>Chamaecytisus</w:t>
      </w:r>
      <w:proofErr w:type="spellEnd"/>
      <w:r w:rsidRPr="009F6D1E">
        <w:rPr>
          <w:rFonts w:cs="Times New Roman"/>
          <w:i/>
          <w:iCs/>
          <w:szCs w:val="24"/>
        </w:rPr>
        <w:t xml:space="preserve"> </w:t>
      </w:r>
      <w:proofErr w:type="spellStart"/>
      <w:r w:rsidRPr="009F6D1E">
        <w:rPr>
          <w:rFonts w:cs="Times New Roman"/>
          <w:i/>
          <w:iCs/>
          <w:szCs w:val="24"/>
        </w:rPr>
        <w:t>absinthioides</w:t>
      </w:r>
      <w:proofErr w:type="spellEnd"/>
      <w:r w:rsidRPr="009F6D1E">
        <w:rPr>
          <w:rFonts w:cs="Times New Roman"/>
          <w:szCs w:val="24"/>
        </w:rPr>
        <w:t xml:space="preserve">. Най-забележителни сред тревните </w:t>
      </w:r>
      <w:proofErr w:type="spellStart"/>
      <w:r w:rsidRPr="009F6D1E">
        <w:rPr>
          <w:rFonts w:cs="Times New Roman"/>
          <w:szCs w:val="24"/>
        </w:rPr>
        <w:t>ендемити</w:t>
      </w:r>
      <w:proofErr w:type="spellEnd"/>
      <w:r w:rsidRPr="009F6D1E">
        <w:rPr>
          <w:rFonts w:cs="Times New Roman"/>
          <w:szCs w:val="24"/>
        </w:rPr>
        <w:t xml:space="preserve"> в този </w:t>
      </w:r>
      <w:proofErr w:type="spellStart"/>
      <w:r w:rsidRPr="009F6D1E">
        <w:rPr>
          <w:rFonts w:cs="Times New Roman"/>
          <w:szCs w:val="24"/>
        </w:rPr>
        <w:t>подпояс</w:t>
      </w:r>
      <w:proofErr w:type="spellEnd"/>
      <w:r w:rsidRPr="009F6D1E">
        <w:rPr>
          <w:rFonts w:cs="Times New Roman"/>
          <w:szCs w:val="24"/>
        </w:rPr>
        <w:t xml:space="preserve"> са </w:t>
      </w:r>
      <w:proofErr w:type="spellStart"/>
      <w:r w:rsidRPr="009F6D1E">
        <w:rPr>
          <w:rFonts w:cs="Times New Roman"/>
          <w:i/>
          <w:iCs/>
          <w:szCs w:val="24"/>
        </w:rPr>
        <w:t>Primula</w:t>
      </w:r>
      <w:proofErr w:type="spellEnd"/>
      <w:r w:rsidRPr="009F6D1E">
        <w:rPr>
          <w:rFonts w:cs="Times New Roman"/>
          <w:i/>
          <w:iCs/>
          <w:szCs w:val="24"/>
        </w:rPr>
        <w:t xml:space="preserve"> </w:t>
      </w:r>
      <w:proofErr w:type="spellStart"/>
      <w:r w:rsidRPr="009F6D1E">
        <w:rPr>
          <w:rFonts w:cs="Times New Roman"/>
          <w:i/>
          <w:iCs/>
          <w:szCs w:val="24"/>
        </w:rPr>
        <w:t>deorum</w:t>
      </w:r>
      <w:proofErr w:type="spellEnd"/>
      <w:r w:rsidRPr="009F6D1E">
        <w:rPr>
          <w:rFonts w:cs="Times New Roman"/>
          <w:i/>
          <w:iCs/>
          <w:szCs w:val="24"/>
        </w:rPr>
        <w:t xml:space="preserve">,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valida</w:t>
      </w:r>
      <w:proofErr w:type="spellEnd"/>
      <w:r w:rsidRPr="009F6D1E">
        <w:rPr>
          <w:rFonts w:cs="Times New Roman"/>
          <w:i/>
          <w:iCs/>
          <w:szCs w:val="24"/>
        </w:rPr>
        <w:t>, F</w:t>
      </w:r>
      <w:r w:rsidRPr="009F6D1E">
        <w:rPr>
          <w:rFonts w:cs="Times New Roman"/>
          <w:szCs w:val="24"/>
        </w:rPr>
        <w:t>.</w:t>
      </w:r>
      <w:r w:rsidRPr="009F6D1E">
        <w:rPr>
          <w:rFonts w:cs="Times New Roman"/>
          <w:i/>
          <w:iCs/>
          <w:szCs w:val="24"/>
        </w:rPr>
        <w:t> </w:t>
      </w:r>
      <w:proofErr w:type="spellStart"/>
      <w:r w:rsidRPr="009F6D1E">
        <w:rPr>
          <w:rFonts w:cs="Times New Roman"/>
          <w:i/>
          <w:iCs/>
          <w:szCs w:val="24"/>
        </w:rPr>
        <w:t>penzesii</w:t>
      </w:r>
      <w:proofErr w:type="spellEnd"/>
      <w:r w:rsidRPr="009F6D1E">
        <w:rPr>
          <w:rFonts w:cs="Times New Roman"/>
          <w:i/>
          <w:iCs/>
          <w:szCs w:val="24"/>
        </w:rPr>
        <w:t>, F</w:t>
      </w:r>
      <w:r w:rsidRPr="009F6D1E">
        <w:rPr>
          <w:rFonts w:cs="Times New Roman"/>
          <w:szCs w:val="24"/>
        </w:rPr>
        <w:t>.</w:t>
      </w:r>
      <w:r w:rsidRPr="009F6D1E">
        <w:rPr>
          <w:rFonts w:cs="Times New Roman"/>
          <w:i/>
          <w:iCs/>
          <w:szCs w:val="24"/>
        </w:rPr>
        <w:t> </w:t>
      </w:r>
      <w:proofErr w:type="spellStart"/>
      <w:r w:rsidRPr="009F6D1E">
        <w:rPr>
          <w:rFonts w:cs="Times New Roman"/>
          <w:i/>
          <w:iCs/>
          <w:szCs w:val="24"/>
        </w:rPr>
        <w:t>balcanica</w:t>
      </w:r>
      <w:proofErr w:type="spellEnd"/>
      <w:r w:rsidRPr="009F6D1E">
        <w:rPr>
          <w:rFonts w:cs="Times New Roman"/>
          <w:i/>
          <w:iCs/>
          <w:szCs w:val="24"/>
        </w:rPr>
        <w:t>, F</w:t>
      </w:r>
      <w:r w:rsidRPr="009F6D1E">
        <w:rPr>
          <w:rFonts w:cs="Times New Roman"/>
          <w:szCs w:val="24"/>
        </w:rPr>
        <w:t>.</w:t>
      </w:r>
      <w:r w:rsidRPr="009F6D1E">
        <w:rPr>
          <w:rFonts w:cs="Times New Roman"/>
          <w:i/>
          <w:iCs/>
          <w:szCs w:val="24"/>
        </w:rPr>
        <w:t> </w:t>
      </w:r>
      <w:proofErr w:type="spellStart"/>
      <w:r w:rsidRPr="009F6D1E">
        <w:rPr>
          <w:rFonts w:cs="Times New Roman"/>
          <w:i/>
          <w:iCs/>
          <w:szCs w:val="24"/>
        </w:rPr>
        <w:t>pirinensis</w:t>
      </w:r>
      <w:proofErr w:type="spellEnd"/>
      <w:r w:rsidRPr="009F6D1E">
        <w:rPr>
          <w:rFonts w:cs="Times New Roman"/>
          <w:i/>
          <w:iCs/>
          <w:szCs w:val="24"/>
        </w:rPr>
        <w:t> </w:t>
      </w:r>
      <w:r w:rsidRPr="009F6D1E">
        <w:rPr>
          <w:rFonts w:cs="Times New Roman"/>
          <w:szCs w:val="24"/>
        </w:rPr>
        <w:t>и др.</w:t>
      </w:r>
    </w:p>
    <w:p w14:paraId="7E0930E6"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иглолистния пояс (долния </w:t>
      </w:r>
      <w:proofErr w:type="spellStart"/>
      <w:r w:rsidRPr="009F6D1E">
        <w:rPr>
          <w:rFonts w:cs="Times New Roman"/>
          <w:szCs w:val="24"/>
        </w:rPr>
        <w:t>субалпийски</w:t>
      </w:r>
      <w:proofErr w:type="spellEnd"/>
      <w:r w:rsidRPr="009F6D1E">
        <w:rPr>
          <w:rFonts w:cs="Times New Roman"/>
          <w:szCs w:val="24"/>
        </w:rPr>
        <w:t xml:space="preserve"> </w:t>
      </w:r>
      <w:proofErr w:type="spellStart"/>
      <w:r w:rsidRPr="009F6D1E">
        <w:rPr>
          <w:rFonts w:cs="Times New Roman"/>
          <w:szCs w:val="24"/>
        </w:rPr>
        <w:t>подпояс</w:t>
      </w:r>
      <w:proofErr w:type="spellEnd"/>
      <w:r w:rsidRPr="009F6D1E">
        <w:rPr>
          <w:rFonts w:cs="Times New Roman"/>
          <w:szCs w:val="24"/>
        </w:rPr>
        <w:t xml:space="preserve"> по западноевропейската дефиниция на поясите), наред с горите на широко разпространените в Европа </w:t>
      </w:r>
      <w:proofErr w:type="spellStart"/>
      <w:r w:rsidRPr="009F6D1E">
        <w:rPr>
          <w:rFonts w:cs="Times New Roman"/>
          <w:i/>
          <w:iCs/>
          <w:szCs w:val="24"/>
        </w:rPr>
        <w:t>Picea</w:t>
      </w:r>
      <w:proofErr w:type="spellEnd"/>
      <w:r w:rsidRPr="009F6D1E">
        <w:rPr>
          <w:rFonts w:cs="Times New Roman"/>
          <w:i/>
          <w:iCs/>
          <w:szCs w:val="24"/>
        </w:rPr>
        <w:t xml:space="preserve"> </w:t>
      </w:r>
      <w:proofErr w:type="spellStart"/>
      <w:r w:rsidRPr="009F6D1E">
        <w:rPr>
          <w:rFonts w:cs="Times New Roman"/>
          <w:i/>
          <w:iCs/>
          <w:szCs w:val="24"/>
        </w:rPr>
        <w:t>abies</w:t>
      </w:r>
      <w:proofErr w:type="spellEnd"/>
      <w:r w:rsidRPr="009F6D1E">
        <w:rPr>
          <w:rFonts w:cs="Times New Roman"/>
          <w:szCs w:val="24"/>
        </w:rPr>
        <w:t> и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sylvestris</w:t>
      </w:r>
      <w:proofErr w:type="spellEnd"/>
      <w:r w:rsidRPr="009F6D1E">
        <w:rPr>
          <w:rFonts w:cs="Times New Roman"/>
          <w:szCs w:val="24"/>
        </w:rPr>
        <w:t>, са представени и тези на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peuce</w:t>
      </w:r>
      <w:proofErr w:type="spellEnd"/>
      <w:r w:rsidRPr="009F6D1E">
        <w:rPr>
          <w:rFonts w:cs="Times New Roman"/>
          <w:szCs w:val="24"/>
        </w:rPr>
        <w:t xml:space="preserve">  (балкански </w:t>
      </w:r>
      <w:proofErr w:type="spellStart"/>
      <w:r w:rsidRPr="009F6D1E">
        <w:rPr>
          <w:rFonts w:cs="Times New Roman"/>
          <w:szCs w:val="24"/>
        </w:rPr>
        <w:t>ендемит</w:t>
      </w:r>
      <w:proofErr w:type="spellEnd"/>
      <w:r w:rsidRPr="009F6D1E">
        <w:rPr>
          <w:rFonts w:cs="Times New Roman"/>
          <w:szCs w:val="24"/>
        </w:rPr>
        <w:t>) и </w:t>
      </w:r>
      <w:r w:rsidRPr="009F6D1E">
        <w:rPr>
          <w:rFonts w:cs="Times New Roman"/>
          <w:i/>
          <w:iCs/>
          <w:szCs w:val="24"/>
        </w:rPr>
        <w:t>P</w:t>
      </w:r>
      <w:r w:rsidRPr="009F6D1E">
        <w:rPr>
          <w:rFonts w:cs="Times New Roman"/>
          <w:szCs w:val="24"/>
        </w:rPr>
        <w:t>.</w:t>
      </w:r>
      <w:r w:rsidRPr="009F6D1E">
        <w:rPr>
          <w:rFonts w:cs="Times New Roman"/>
          <w:i/>
          <w:iCs/>
          <w:szCs w:val="24"/>
        </w:rPr>
        <w:t> </w:t>
      </w:r>
      <w:proofErr w:type="spellStart"/>
      <w:r w:rsidRPr="009F6D1E">
        <w:rPr>
          <w:rFonts w:cs="Times New Roman"/>
          <w:i/>
          <w:iCs/>
          <w:szCs w:val="24"/>
        </w:rPr>
        <w:t>heldreichii</w:t>
      </w:r>
      <w:proofErr w:type="spellEnd"/>
      <w:r w:rsidRPr="009F6D1E">
        <w:rPr>
          <w:rFonts w:cs="Times New Roman"/>
          <w:i/>
          <w:iCs/>
          <w:szCs w:val="24"/>
        </w:rPr>
        <w:t xml:space="preserve">  </w:t>
      </w:r>
      <w:r w:rsidRPr="009F6D1E">
        <w:rPr>
          <w:rFonts w:cs="Times New Roman"/>
          <w:szCs w:val="24"/>
        </w:rPr>
        <w:t xml:space="preserve">(балкански </w:t>
      </w:r>
      <w:proofErr w:type="spellStart"/>
      <w:r w:rsidRPr="009F6D1E">
        <w:rPr>
          <w:rFonts w:cs="Times New Roman"/>
          <w:szCs w:val="24"/>
        </w:rPr>
        <w:t>субендемит</w:t>
      </w:r>
      <w:proofErr w:type="spellEnd"/>
      <w:r w:rsidRPr="009F6D1E">
        <w:rPr>
          <w:rFonts w:cs="Times New Roman"/>
          <w:szCs w:val="24"/>
        </w:rPr>
        <w:t>)</w:t>
      </w:r>
      <w:r w:rsidRPr="009F6D1E">
        <w:rPr>
          <w:rFonts w:cs="Times New Roman"/>
          <w:i/>
          <w:iCs/>
          <w:szCs w:val="24"/>
        </w:rPr>
        <w:t>. </w:t>
      </w:r>
      <w:r w:rsidRPr="009F6D1E">
        <w:rPr>
          <w:rFonts w:cs="Times New Roman"/>
          <w:szCs w:val="24"/>
        </w:rPr>
        <w:t>Съобществата на  </w:t>
      </w:r>
      <w:r w:rsidRPr="009F6D1E">
        <w:rPr>
          <w:rFonts w:cs="Times New Roman"/>
          <w:i/>
          <w:iCs/>
          <w:szCs w:val="24"/>
        </w:rPr>
        <w:t>P</w:t>
      </w:r>
      <w:r w:rsidRPr="009F6D1E">
        <w:rPr>
          <w:rFonts w:cs="Times New Roman"/>
          <w:szCs w:val="24"/>
        </w:rPr>
        <w:t>.</w:t>
      </w:r>
      <w:r w:rsidRPr="009F6D1E">
        <w:rPr>
          <w:rFonts w:cs="Times New Roman"/>
          <w:i/>
          <w:iCs/>
          <w:szCs w:val="24"/>
        </w:rPr>
        <w:t> </w:t>
      </w:r>
      <w:proofErr w:type="spellStart"/>
      <w:r w:rsidRPr="009F6D1E">
        <w:rPr>
          <w:rFonts w:cs="Times New Roman"/>
          <w:i/>
          <w:iCs/>
          <w:szCs w:val="24"/>
        </w:rPr>
        <w:t>peuce</w:t>
      </w:r>
      <w:proofErr w:type="spellEnd"/>
      <w:r w:rsidRPr="009F6D1E">
        <w:rPr>
          <w:rFonts w:cs="Times New Roman"/>
          <w:szCs w:val="24"/>
        </w:rPr>
        <w:t xml:space="preserve">  са близки до </w:t>
      </w:r>
      <w:proofErr w:type="spellStart"/>
      <w:r w:rsidRPr="009F6D1E">
        <w:rPr>
          <w:rFonts w:cs="Times New Roman"/>
          <w:szCs w:val="24"/>
        </w:rPr>
        <w:t>мезофилните</w:t>
      </w:r>
      <w:proofErr w:type="spellEnd"/>
      <w:r w:rsidRPr="009F6D1E">
        <w:rPr>
          <w:rFonts w:cs="Times New Roman"/>
          <w:szCs w:val="24"/>
        </w:rPr>
        <w:t>, предпочитат силикатна скална основа, а съставът на приземните етажи им е същият като на смърчовите гори (</w:t>
      </w:r>
      <w:proofErr w:type="spellStart"/>
      <w:r w:rsidRPr="009F6D1E">
        <w:rPr>
          <w:rFonts w:cs="Times New Roman"/>
          <w:i/>
          <w:iCs/>
          <w:szCs w:val="24"/>
        </w:rPr>
        <w:t>Vaccinium</w:t>
      </w:r>
      <w:proofErr w:type="spellEnd"/>
      <w:r w:rsidRPr="009F6D1E">
        <w:rPr>
          <w:rFonts w:cs="Times New Roman"/>
          <w:i/>
          <w:iCs/>
          <w:szCs w:val="24"/>
        </w:rPr>
        <w:t xml:space="preserve"> </w:t>
      </w:r>
      <w:proofErr w:type="spellStart"/>
      <w:r w:rsidRPr="009F6D1E">
        <w:rPr>
          <w:rFonts w:cs="Times New Roman"/>
          <w:i/>
          <w:iCs/>
          <w:szCs w:val="24"/>
        </w:rPr>
        <w:t>myrtillus</w:t>
      </w:r>
      <w:proofErr w:type="spellEnd"/>
      <w:r w:rsidRPr="009F6D1E">
        <w:rPr>
          <w:rFonts w:cs="Times New Roman"/>
          <w:i/>
          <w:iCs/>
          <w:szCs w:val="24"/>
        </w:rPr>
        <w:t xml:space="preserve">, </w:t>
      </w:r>
      <w:proofErr w:type="spellStart"/>
      <w:r w:rsidRPr="009F6D1E">
        <w:rPr>
          <w:rFonts w:cs="Times New Roman"/>
          <w:i/>
          <w:iCs/>
          <w:szCs w:val="24"/>
        </w:rPr>
        <w:t>Luzula</w:t>
      </w:r>
      <w:proofErr w:type="spellEnd"/>
      <w:r w:rsidRPr="009F6D1E">
        <w:rPr>
          <w:rFonts w:cs="Times New Roman"/>
          <w:i/>
          <w:iCs/>
          <w:szCs w:val="24"/>
        </w:rPr>
        <w:t xml:space="preserve"> </w:t>
      </w:r>
      <w:proofErr w:type="spellStart"/>
      <w:r w:rsidRPr="009F6D1E">
        <w:rPr>
          <w:rFonts w:cs="Times New Roman"/>
          <w:i/>
          <w:iCs/>
          <w:szCs w:val="24"/>
        </w:rPr>
        <w:t>sylvatica</w:t>
      </w:r>
      <w:proofErr w:type="spellEnd"/>
      <w:r w:rsidRPr="009F6D1E">
        <w:rPr>
          <w:rFonts w:cs="Times New Roman"/>
          <w:i/>
          <w:iCs/>
          <w:szCs w:val="24"/>
        </w:rPr>
        <w:t xml:space="preserve">, </w:t>
      </w:r>
      <w:proofErr w:type="spellStart"/>
      <w:r w:rsidRPr="009F6D1E">
        <w:rPr>
          <w:rFonts w:cs="Times New Roman"/>
          <w:i/>
          <w:iCs/>
          <w:szCs w:val="24"/>
        </w:rPr>
        <w:t>Calamagrostis</w:t>
      </w:r>
      <w:proofErr w:type="spellEnd"/>
      <w:r w:rsidRPr="009F6D1E">
        <w:rPr>
          <w:rFonts w:cs="Times New Roman"/>
          <w:i/>
          <w:iCs/>
          <w:szCs w:val="24"/>
        </w:rPr>
        <w:t xml:space="preserve"> </w:t>
      </w:r>
      <w:proofErr w:type="spellStart"/>
      <w:r w:rsidRPr="009F6D1E">
        <w:rPr>
          <w:rFonts w:cs="Times New Roman"/>
          <w:i/>
          <w:iCs/>
          <w:szCs w:val="24"/>
        </w:rPr>
        <w:t>arundinacea</w:t>
      </w:r>
      <w:proofErr w:type="spellEnd"/>
      <w:r w:rsidRPr="009F6D1E">
        <w:rPr>
          <w:rFonts w:cs="Times New Roman"/>
          <w:szCs w:val="24"/>
        </w:rPr>
        <w:t xml:space="preserve">  и др.). </w:t>
      </w:r>
      <w:proofErr w:type="spellStart"/>
      <w:r w:rsidRPr="009F6D1E">
        <w:rPr>
          <w:rFonts w:cs="Times New Roman"/>
          <w:szCs w:val="24"/>
        </w:rPr>
        <w:t>Фитоценозите</w:t>
      </w:r>
      <w:proofErr w:type="spellEnd"/>
      <w:r w:rsidRPr="009F6D1E">
        <w:rPr>
          <w:rFonts w:cs="Times New Roman"/>
          <w:szCs w:val="24"/>
        </w:rPr>
        <w:t xml:space="preserve"> на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heldreichii</w:t>
      </w:r>
      <w:proofErr w:type="spellEnd"/>
      <w:r w:rsidRPr="009F6D1E">
        <w:rPr>
          <w:rFonts w:cs="Times New Roman"/>
          <w:szCs w:val="24"/>
        </w:rPr>
        <w:t xml:space="preserve"> са </w:t>
      </w:r>
      <w:proofErr w:type="spellStart"/>
      <w:r w:rsidRPr="009F6D1E">
        <w:rPr>
          <w:rFonts w:cs="Times New Roman"/>
          <w:szCs w:val="24"/>
        </w:rPr>
        <w:t>ксеротермни</w:t>
      </w:r>
      <w:proofErr w:type="spellEnd"/>
      <w:r w:rsidRPr="009F6D1E">
        <w:rPr>
          <w:rFonts w:cs="Times New Roman"/>
          <w:szCs w:val="24"/>
        </w:rPr>
        <w:t xml:space="preserve">, развиват се на алкални скали, в състава им участват </w:t>
      </w:r>
      <w:proofErr w:type="spellStart"/>
      <w:r w:rsidRPr="009F6D1E">
        <w:rPr>
          <w:rFonts w:cs="Times New Roman"/>
          <w:szCs w:val="24"/>
        </w:rPr>
        <w:t>ксеротермни</w:t>
      </w:r>
      <w:proofErr w:type="spellEnd"/>
      <w:r w:rsidRPr="009F6D1E">
        <w:rPr>
          <w:rFonts w:cs="Times New Roman"/>
          <w:szCs w:val="24"/>
        </w:rPr>
        <w:t xml:space="preserve"> </w:t>
      </w:r>
      <w:proofErr w:type="spellStart"/>
      <w:r w:rsidRPr="009F6D1E">
        <w:rPr>
          <w:rFonts w:cs="Times New Roman"/>
          <w:szCs w:val="24"/>
        </w:rPr>
        <w:t>субсредиземноморски</w:t>
      </w:r>
      <w:proofErr w:type="spellEnd"/>
      <w:r w:rsidRPr="009F6D1E">
        <w:rPr>
          <w:rFonts w:cs="Times New Roman"/>
          <w:szCs w:val="24"/>
        </w:rPr>
        <w:t xml:space="preserve"> видове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penzesii</w:t>
      </w:r>
      <w:proofErr w:type="spellEnd"/>
      <w:r w:rsidRPr="009F6D1E">
        <w:rPr>
          <w:rFonts w:cs="Times New Roman"/>
          <w:szCs w:val="24"/>
        </w:rPr>
        <w:t> и др.).</w:t>
      </w:r>
    </w:p>
    <w:p w14:paraId="41A5D5A0"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Приема се, че иглолистните гори в долния </w:t>
      </w:r>
      <w:proofErr w:type="spellStart"/>
      <w:r w:rsidRPr="009F6D1E">
        <w:rPr>
          <w:rFonts w:cs="Times New Roman"/>
          <w:szCs w:val="24"/>
        </w:rPr>
        <w:t>субалпийски</w:t>
      </w:r>
      <w:proofErr w:type="spellEnd"/>
      <w:r w:rsidRPr="009F6D1E">
        <w:rPr>
          <w:rFonts w:cs="Times New Roman"/>
          <w:szCs w:val="24"/>
        </w:rPr>
        <w:t xml:space="preserve"> </w:t>
      </w:r>
      <w:proofErr w:type="spellStart"/>
      <w:r w:rsidRPr="009F6D1E">
        <w:rPr>
          <w:rFonts w:cs="Times New Roman"/>
          <w:szCs w:val="24"/>
        </w:rPr>
        <w:t>подпояс</w:t>
      </w:r>
      <w:proofErr w:type="spellEnd"/>
      <w:r w:rsidRPr="009F6D1E">
        <w:rPr>
          <w:rFonts w:cs="Times New Roman"/>
          <w:szCs w:val="24"/>
        </w:rPr>
        <w:t xml:space="preserve"> са от </w:t>
      </w:r>
      <w:proofErr w:type="spellStart"/>
      <w:r w:rsidRPr="009F6D1E">
        <w:rPr>
          <w:rFonts w:cs="Times New Roman"/>
          <w:szCs w:val="24"/>
        </w:rPr>
        <w:t>субарктичен</w:t>
      </w:r>
      <w:proofErr w:type="spellEnd"/>
      <w:r w:rsidRPr="009F6D1E">
        <w:rPr>
          <w:rFonts w:cs="Times New Roman"/>
          <w:szCs w:val="24"/>
        </w:rPr>
        <w:t xml:space="preserve"> тип, докато в планинския пояс буковите </w:t>
      </w:r>
      <w:proofErr w:type="spellStart"/>
      <w:r w:rsidRPr="009F6D1E">
        <w:rPr>
          <w:rFonts w:cs="Times New Roman"/>
          <w:szCs w:val="24"/>
        </w:rPr>
        <w:t>ценози</w:t>
      </w:r>
      <w:proofErr w:type="spellEnd"/>
      <w:r w:rsidRPr="009F6D1E">
        <w:rPr>
          <w:rFonts w:cs="Times New Roman"/>
          <w:szCs w:val="24"/>
        </w:rPr>
        <w:t xml:space="preserve"> имат средноевропейски черти. В буковия пояс на България има и </w:t>
      </w:r>
      <w:proofErr w:type="spellStart"/>
      <w:r w:rsidRPr="009F6D1E">
        <w:rPr>
          <w:rFonts w:cs="Times New Roman"/>
          <w:szCs w:val="24"/>
        </w:rPr>
        <w:t>фитоценози</w:t>
      </w:r>
      <w:proofErr w:type="spellEnd"/>
      <w:r w:rsidRPr="009F6D1E">
        <w:rPr>
          <w:rFonts w:cs="Times New Roman"/>
          <w:szCs w:val="24"/>
        </w:rPr>
        <w:t xml:space="preserve"> с </w:t>
      </w:r>
      <w:proofErr w:type="spellStart"/>
      <w:r w:rsidRPr="009F6D1E">
        <w:rPr>
          <w:rFonts w:cs="Times New Roman"/>
          <w:i/>
          <w:iCs/>
          <w:szCs w:val="24"/>
        </w:rPr>
        <w:t>Laurocerasus</w:t>
      </w:r>
      <w:proofErr w:type="spellEnd"/>
      <w:r w:rsidRPr="009F6D1E">
        <w:rPr>
          <w:rFonts w:cs="Times New Roman"/>
          <w:i/>
          <w:iCs/>
          <w:szCs w:val="24"/>
        </w:rPr>
        <w:t xml:space="preserve"> </w:t>
      </w:r>
      <w:proofErr w:type="spellStart"/>
      <w:r w:rsidRPr="009F6D1E">
        <w:rPr>
          <w:rFonts w:cs="Times New Roman"/>
          <w:i/>
          <w:iCs/>
          <w:szCs w:val="24"/>
        </w:rPr>
        <w:t>officinalis</w:t>
      </w:r>
      <w:proofErr w:type="spellEnd"/>
      <w:r w:rsidRPr="009F6D1E">
        <w:rPr>
          <w:rFonts w:cs="Times New Roman"/>
          <w:i/>
          <w:iCs/>
          <w:szCs w:val="24"/>
        </w:rPr>
        <w:t xml:space="preserve">, </w:t>
      </w:r>
      <w:proofErr w:type="spellStart"/>
      <w:r w:rsidRPr="009F6D1E">
        <w:rPr>
          <w:rFonts w:cs="Times New Roman"/>
          <w:i/>
          <w:iCs/>
          <w:szCs w:val="24"/>
        </w:rPr>
        <w:t>Haberlea</w:t>
      </w:r>
      <w:proofErr w:type="spellEnd"/>
      <w:r w:rsidRPr="009F6D1E">
        <w:rPr>
          <w:rFonts w:cs="Times New Roman"/>
          <w:i/>
          <w:iCs/>
          <w:szCs w:val="24"/>
        </w:rPr>
        <w:t xml:space="preserve"> </w:t>
      </w:r>
      <w:proofErr w:type="spellStart"/>
      <w:r w:rsidRPr="009F6D1E">
        <w:rPr>
          <w:rFonts w:cs="Times New Roman"/>
          <w:i/>
          <w:iCs/>
          <w:szCs w:val="24"/>
        </w:rPr>
        <w:t>rhodopensis</w:t>
      </w:r>
      <w:proofErr w:type="spellEnd"/>
      <w:r w:rsidRPr="009F6D1E">
        <w:rPr>
          <w:rFonts w:cs="Times New Roman"/>
          <w:szCs w:val="24"/>
        </w:rPr>
        <w:t xml:space="preserve"> и други </w:t>
      </w:r>
      <w:proofErr w:type="spellStart"/>
      <w:r w:rsidRPr="009F6D1E">
        <w:rPr>
          <w:rFonts w:cs="Times New Roman"/>
          <w:szCs w:val="24"/>
        </w:rPr>
        <w:t>ендемити</w:t>
      </w:r>
      <w:proofErr w:type="spellEnd"/>
      <w:r w:rsidRPr="009F6D1E">
        <w:rPr>
          <w:rFonts w:cs="Times New Roman"/>
          <w:szCs w:val="24"/>
        </w:rPr>
        <w:t xml:space="preserve"> и </w:t>
      </w:r>
      <w:proofErr w:type="spellStart"/>
      <w:r w:rsidRPr="009F6D1E">
        <w:rPr>
          <w:rFonts w:cs="Times New Roman"/>
          <w:szCs w:val="24"/>
        </w:rPr>
        <w:t>реликтни</w:t>
      </w:r>
      <w:proofErr w:type="spellEnd"/>
      <w:r w:rsidRPr="009F6D1E">
        <w:rPr>
          <w:rFonts w:cs="Times New Roman"/>
          <w:szCs w:val="24"/>
        </w:rPr>
        <w:t xml:space="preserve"> </w:t>
      </w:r>
      <w:proofErr w:type="spellStart"/>
      <w:r w:rsidRPr="009F6D1E">
        <w:rPr>
          <w:rFonts w:cs="Times New Roman"/>
          <w:szCs w:val="24"/>
        </w:rPr>
        <w:t>видовекато</w:t>
      </w:r>
      <w:proofErr w:type="spellEnd"/>
      <w:r w:rsidRPr="009F6D1E">
        <w:rPr>
          <w:rFonts w:cs="Times New Roman"/>
          <w:szCs w:val="24"/>
        </w:rPr>
        <w:t> </w:t>
      </w:r>
      <w:proofErr w:type="spellStart"/>
      <w:r w:rsidRPr="009F6D1E">
        <w:rPr>
          <w:rFonts w:cs="Times New Roman"/>
          <w:i/>
          <w:iCs/>
          <w:szCs w:val="24"/>
        </w:rPr>
        <w:t>Acer</w:t>
      </w:r>
      <w:proofErr w:type="spellEnd"/>
      <w:r w:rsidRPr="009F6D1E">
        <w:rPr>
          <w:rFonts w:cs="Times New Roman"/>
          <w:i/>
          <w:iCs/>
          <w:szCs w:val="24"/>
        </w:rPr>
        <w:t xml:space="preserve"> </w:t>
      </w:r>
      <w:proofErr w:type="spellStart"/>
      <w:r w:rsidRPr="009F6D1E">
        <w:rPr>
          <w:rFonts w:cs="Times New Roman"/>
          <w:i/>
          <w:iCs/>
          <w:szCs w:val="24"/>
        </w:rPr>
        <w:t>heldreichii</w:t>
      </w:r>
      <w:proofErr w:type="spellEnd"/>
      <w:r w:rsidRPr="009F6D1E">
        <w:rPr>
          <w:rFonts w:cs="Times New Roman"/>
          <w:szCs w:val="24"/>
        </w:rPr>
        <w:t xml:space="preserve">. </w:t>
      </w:r>
    </w:p>
    <w:p w14:paraId="12014574"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най-ниските части на планините български автори обособяват </w:t>
      </w:r>
      <w:proofErr w:type="spellStart"/>
      <w:r w:rsidRPr="009F6D1E">
        <w:rPr>
          <w:rFonts w:cs="Times New Roman"/>
          <w:szCs w:val="24"/>
        </w:rPr>
        <w:t>габърово-горунов</w:t>
      </w:r>
      <w:proofErr w:type="spellEnd"/>
      <w:r w:rsidRPr="009F6D1E">
        <w:rPr>
          <w:rFonts w:cs="Times New Roman"/>
          <w:szCs w:val="24"/>
        </w:rPr>
        <w:t xml:space="preserve"> пояс, фрагменти от който има и извън планините. Растителността в този пояс е с южни черти, свързани със средиземноморската горска растителност. Тук доминират </w:t>
      </w:r>
      <w:proofErr w:type="spellStart"/>
      <w:r w:rsidRPr="009F6D1E">
        <w:rPr>
          <w:rFonts w:cs="Times New Roman"/>
          <w:i/>
          <w:iCs/>
          <w:szCs w:val="24"/>
        </w:rPr>
        <w:t>Fagus</w:t>
      </w:r>
      <w:proofErr w:type="spellEnd"/>
      <w:r w:rsidRPr="009F6D1E">
        <w:rPr>
          <w:rFonts w:cs="Times New Roman"/>
          <w:i/>
          <w:iCs/>
          <w:szCs w:val="24"/>
        </w:rPr>
        <w:t xml:space="preserve"> </w:t>
      </w:r>
      <w:proofErr w:type="spellStart"/>
      <w:r w:rsidRPr="009F6D1E">
        <w:rPr>
          <w:rFonts w:cs="Times New Roman"/>
          <w:i/>
          <w:iCs/>
          <w:szCs w:val="24"/>
        </w:rPr>
        <w:t>sylvatica</w:t>
      </w:r>
      <w:proofErr w:type="spellEnd"/>
      <w:r w:rsidRPr="009F6D1E">
        <w:rPr>
          <w:rFonts w:cs="Times New Roman"/>
          <w:szCs w:val="24"/>
        </w:rPr>
        <w:t> </w:t>
      </w:r>
      <w:proofErr w:type="spellStart"/>
      <w:r w:rsidRPr="009F6D1E">
        <w:rPr>
          <w:rFonts w:cs="Times New Roman"/>
          <w:szCs w:val="24"/>
        </w:rPr>
        <w:t>subsp</w:t>
      </w:r>
      <w:proofErr w:type="spellEnd"/>
      <w:r w:rsidRPr="009F6D1E">
        <w:rPr>
          <w:rFonts w:cs="Times New Roman"/>
          <w:szCs w:val="24"/>
        </w:rPr>
        <w:t>. </w:t>
      </w:r>
      <w:proofErr w:type="spellStart"/>
      <w:r w:rsidRPr="009F6D1E">
        <w:rPr>
          <w:rFonts w:cs="Times New Roman"/>
          <w:i/>
          <w:iCs/>
          <w:szCs w:val="24"/>
        </w:rPr>
        <w:t>moesiaca</w:t>
      </w:r>
      <w:proofErr w:type="spellEnd"/>
      <w:r w:rsidRPr="009F6D1E">
        <w:rPr>
          <w:rFonts w:cs="Times New Roman"/>
          <w:i/>
          <w:iCs/>
          <w:szCs w:val="24"/>
        </w:rPr>
        <w:t xml:space="preserve">, </w:t>
      </w:r>
      <w:proofErr w:type="spellStart"/>
      <w:r w:rsidRPr="009F6D1E">
        <w:rPr>
          <w:rFonts w:cs="Times New Roman"/>
          <w:i/>
          <w:iCs/>
          <w:szCs w:val="24"/>
        </w:rPr>
        <w:t>Carpinus</w:t>
      </w:r>
      <w:proofErr w:type="spellEnd"/>
      <w:r w:rsidRPr="009F6D1E">
        <w:rPr>
          <w:rFonts w:cs="Times New Roman"/>
          <w:i/>
          <w:iCs/>
          <w:szCs w:val="24"/>
        </w:rPr>
        <w:t xml:space="preserve"> </w:t>
      </w:r>
      <w:proofErr w:type="spellStart"/>
      <w:r w:rsidRPr="009F6D1E">
        <w:rPr>
          <w:rFonts w:cs="Times New Roman"/>
          <w:i/>
          <w:iCs/>
          <w:szCs w:val="24"/>
        </w:rPr>
        <w:t>betulus</w:t>
      </w:r>
      <w:proofErr w:type="spellEnd"/>
      <w:r w:rsidRPr="009F6D1E">
        <w:rPr>
          <w:rFonts w:cs="Times New Roman"/>
          <w:i/>
          <w:iCs/>
          <w:szCs w:val="24"/>
        </w:rPr>
        <w:t xml:space="preserve">, </w:t>
      </w:r>
      <w:proofErr w:type="spellStart"/>
      <w:r w:rsidRPr="009F6D1E">
        <w:rPr>
          <w:rFonts w:cs="Times New Roman"/>
          <w:i/>
          <w:iCs/>
          <w:szCs w:val="24"/>
        </w:rPr>
        <w:t>Quercus</w:t>
      </w:r>
      <w:proofErr w:type="spellEnd"/>
      <w:r w:rsidRPr="009F6D1E">
        <w:rPr>
          <w:rFonts w:cs="Times New Roman"/>
          <w:i/>
          <w:iCs/>
          <w:szCs w:val="24"/>
        </w:rPr>
        <w:t xml:space="preserve"> </w:t>
      </w:r>
      <w:proofErr w:type="spellStart"/>
      <w:r w:rsidRPr="009F6D1E">
        <w:rPr>
          <w:rFonts w:cs="Times New Roman"/>
          <w:i/>
          <w:iCs/>
          <w:szCs w:val="24"/>
        </w:rPr>
        <w:t>dalechampii</w:t>
      </w:r>
      <w:proofErr w:type="spellEnd"/>
      <w:r w:rsidRPr="009F6D1E">
        <w:rPr>
          <w:rFonts w:cs="Times New Roman"/>
          <w:i/>
          <w:iCs/>
          <w:szCs w:val="24"/>
        </w:rPr>
        <w:t xml:space="preserve">, </w:t>
      </w:r>
      <w:proofErr w:type="spellStart"/>
      <w:r w:rsidRPr="009F6D1E">
        <w:rPr>
          <w:rFonts w:cs="Times New Roman"/>
          <w:i/>
          <w:iCs/>
          <w:szCs w:val="24"/>
        </w:rPr>
        <w:t>Fraxinus</w:t>
      </w:r>
      <w:proofErr w:type="spellEnd"/>
      <w:r w:rsidRPr="009F6D1E">
        <w:rPr>
          <w:rFonts w:cs="Times New Roman"/>
          <w:i/>
          <w:iCs/>
          <w:szCs w:val="24"/>
        </w:rPr>
        <w:t xml:space="preserve"> </w:t>
      </w:r>
      <w:proofErr w:type="spellStart"/>
      <w:r w:rsidRPr="009F6D1E">
        <w:rPr>
          <w:rFonts w:cs="Times New Roman"/>
          <w:i/>
          <w:iCs/>
          <w:szCs w:val="24"/>
        </w:rPr>
        <w:t>excelsior</w:t>
      </w:r>
      <w:proofErr w:type="spellEnd"/>
      <w:r w:rsidRPr="009F6D1E">
        <w:rPr>
          <w:rFonts w:cs="Times New Roman"/>
          <w:i/>
          <w:iCs/>
          <w:szCs w:val="24"/>
        </w:rPr>
        <w:t xml:space="preserve">, </w:t>
      </w:r>
      <w:proofErr w:type="spellStart"/>
      <w:r w:rsidRPr="009F6D1E">
        <w:rPr>
          <w:rFonts w:cs="Times New Roman"/>
          <w:i/>
          <w:iCs/>
          <w:szCs w:val="24"/>
        </w:rPr>
        <w:t>Acer</w:t>
      </w:r>
      <w:proofErr w:type="spellEnd"/>
      <w:r w:rsidRPr="009F6D1E">
        <w:rPr>
          <w:rFonts w:cs="Times New Roman"/>
          <w:i/>
          <w:iCs/>
          <w:szCs w:val="24"/>
        </w:rPr>
        <w:t xml:space="preserve"> </w:t>
      </w:r>
      <w:proofErr w:type="spellStart"/>
      <w:r w:rsidRPr="009F6D1E">
        <w:rPr>
          <w:rFonts w:cs="Times New Roman"/>
          <w:i/>
          <w:iCs/>
          <w:szCs w:val="24"/>
        </w:rPr>
        <w:t>pseudoplatanus</w:t>
      </w:r>
      <w:proofErr w:type="spellEnd"/>
      <w:r w:rsidRPr="009F6D1E">
        <w:rPr>
          <w:rFonts w:cs="Times New Roman"/>
          <w:i/>
          <w:iCs/>
          <w:szCs w:val="24"/>
        </w:rPr>
        <w:t>, A</w:t>
      </w:r>
      <w:r w:rsidRPr="009F6D1E">
        <w:rPr>
          <w:rFonts w:cs="Times New Roman"/>
          <w:szCs w:val="24"/>
        </w:rPr>
        <w:t>.</w:t>
      </w:r>
      <w:r w:rsidRPr="009F6D1E">
        <w:rPr>
          <w:rFonts w:cs="Times New Roman"/>
          <w:i/>
          <w:iCs/>
          <w:szCs w:val="24"/>
        </w:rPr>
        <w:t> </w:t>
      </w:r>
      <w:proofErr w:type="spellStart"/>
      <w:r w:rsidRPr="009F6D1E">
        <w:rPr>
          <w:rFonts w:cs="Times New Roman"/>
          <w:i/>
          <w:iCs/>
          <w:szCs w:val="24"/>
        </w:rPr>
        <w:t>hyrcanum</w:t>
      </w:r>
      <w:proofErr w:type="spellEnd"/>
      <w:r w:rsidRPr="009F6D1E">
        <w:rPr>
          <w:rFonts w:cs="Times New Roman"/>
          <w:szCs w:val="24"/>
        </w:rPr>
        <w:t> и др., както и видове като </w:t>
      </w:r>
      <w:proofErr w:type="spellStart"/>
      <w:r w:rsidRPr="009F6D1E">
        <w:rPr>
          <w:rFonts w:cs="Times New Roman"/>
          <w:i/>
          <w:iCs/>
          <w:szCs w:val="24"/>
        </w:rPr>
        <w:t>Ostrya</w:t>
      </w:r>
      <w:proofErr w:type="spellEnd"/>
      <w:r w:rsidRPr="009F6D1E">
        <w:rPr>
          <w:rFonts w:cs="Times New Roman"/>
          <w:i/>
          <w:iCs/>
          <w:szCs w:val="24"/>
        </w:rPr>
        <w:t xml:space="preserve"> </w:t>
      </w:r>
      <w:proofErr w:type="spellStart"/>
      <w:r w:rsidRPr="009F6D1E">
        <w:rPr>
          <w:rFonts w:cs="Times New Roman"/>
          <w:i/>
          <w:iCs/>
          <w:szCs w:val="24"/>
        </w:rPr>
        <w:t>carpinifolia</w:t>
      </w:r>
      <w:proofErr w:type="spellEnd"/>
      <w:r w:rsidRPr="009F6D1E">
        <w:rPr>
          <w:rFonts w:cs="Times New Roman"/>
          <w:i/>
          <w:iCs/>
          <w:szCs w:val="24"/>
        </w:rPr>
        <w:t xml:space="preserve">, </w:t>
      </w:r>
      <w:proofErr w:type="spellStart"/>
      <w:r w:rsidRPr="009F6D1E">
        <w:rPr>
          <w:rFonts w:cs="Times New Roman"/>
          <w:i/>
          <w:iCs/>
          <w:szCs w:val="24"/>
        </w:rPr>
        <w:t>Castanea</w:t>
      </w:r>
      <w:proofErr w:type="spellEnd"/>
      <w:r w:rsidRPr="009F6D1E">
        <w:rPr>
          <w:rFonts w:cs="Times New Roman"/>
          <w:i/>
          <w:iCs/>
          <w:szCs w:val="24"/>
        </w:rPr>
        <w:t xml:space="preserve"> </w:t>
      </w:r>
      <w:proofErr w:type="spellStart"/>
      <w:r w:rsidRPr="009F6D1E">
        <w:rPr>
          <w:rFonts w:cs="Times New Roman"/>
          <w:i/>
          <w:iCs/>
          <w:szCs w:val="24"/>
        </w:rPr>
        <w:t>sativa</w:t>
      </w:r>
      <w:proofErr w:type="spellEnd"/>
      <w:r w:rsidRPr="009F6D1E">
        <w:rPr>
          <w:rFonts w:cs="Times New Roman"/>
          <w:i/>
          <w:iCs/>
          <w:szCs w:val="24"/>
        </w:rPr>
        <w:t xml:space="preserve">, </w:t>
      </w:r>
      <w:proofErr w:type="spellStart"/>
      <w:r w:rsidRPr="009F6D1E">
        <w:rPr>
          <w:rFonts w:cs="Times New Roman"/>
          <w:i/>
          <w:iCs/>
          <w:szCs w:val="24"/>
        </w:rPr>
        <w:t>Aesculus</w:t>
      </w:r>
      <w:proofErr w:type="spellEnd"/>
      <w:r w:rsidRPr="009F6D1E">
        <w:rPr>
          <w:rFonts w:cs="Times New Roman"/>
          <w:i/>
          <w:iCs/>
          <w:szCs w:val="24"/>
        </w:rPr>
        <w:t xml:space="preserve"> </w:t>
      </w:r>
      <w:proofErr w:type="spellStart"/>
      <w:r w:rsidRPr="009F6D1E">
        <w:rPr>
          <w:rFonts w:cs="Times New Roman"/>
          <w:i/>
          <w:iCs/>
          <w:szCs w:val="24"/>
        </w:rPr>
        <w:t>hippocastanum</w:t>
      </w:r>
      <w:proofErr w:type="spellEnd"/>
      <w:r w:rsidRPr="009F6D1E">
        <w:rPr>
          <w:rFonts w:cs="Times New Roman"/>
          <w:i/>
          <w:iCs/>
          <w:szCs w:val="24"/>
        </w:rPr>
        <w:t xml:space="preserve">, </w:t>
      </w:r>
      <w:proofErr w:type="spellStart"/>
      <w:r w:rsidRPr="009F6D1E">
        <w:rPr>
          <w:rFonts w:cs="Times New Roman"/>
          <w:i/>
          <w:iCs/>
          <w:szCs w:val="24"/>
        </w:rPr>
        <w:t>Tilia</w:t>
      </w:r>
      <w:proofErr w:type="spellEnd"/>
      <w:r w:rsidRPr="009F6D1E">
        <w:rPr>
          <w:rFonts w:cs="Times New Roman"/>
          <w:i/>
          <w:iCs/>
          <w:szCs w:val="24"/>
        </w:rPr>
        <w:t xml:space="preserve"> </w:t>
      </w:r>
      <w:proofErr w:type="spellStart"/>
      <w:r w:rsidRPr="009F6D1E">
        <w:rPr>
          <w:rFonts w:cs="Times New Roman"/>
          <w:i/>
          <w:iCs/>
          <w:szCs w:val="24"/>
        </w:rPr>
        <w:t>tomentosa</w:t>
      </w:r>
      <w:proofErr w:type="spellEnd"/>
      <w:r w:rsidRPr="009F6D1E">
        <w:rPr>
          <w:rFonts w:cs="Times New Roman"/>
          <w:i/>
          <w:iCs/>
          <w:szCs w:val="24"/>
        </w:rPr>
        <w:t>,</w:t>
      </w:r>
      <w:r w:rsidRPr="009F6D1E">
        <w:rPr>
          <w:rFonts w:cs="Times New Roman"/>
          <w:szCs w:val="24"/>
        </w:rPr>
        <w:t> </w:t>
      </w:r>
      <w:proofErr w:type="spellStart"/>
      <w:r w:rsidRPr="009F6D1E">
        <w:rPr>
          <w:rFonts w:cs="Times New Roman"/>
          <w:i/>
          <w:iCs/>
          <w:szCs w:val="24"/>
        </w:rPr>
        <w:t>Pinus</w:t>
      </w:r>
      <w:proofErr w:type="spellEnd"/>
      <w:r w:rsidRPr="009F6D1E">
        <w:rPr>
          <w:rFonts w:cs="Times New Roman"/>
          <w:i/>
          <w:iCs/>
          <w:szCs w:val="24"/>
        </w:rPr>
        <w:t xml:space="preserve"> </w:t>
      </w:r>
      <w:proofErr w:type="spellStart"/>
      <w:r w:rsidRPr="009F6D1E">
        <w:rPr>
          <w:rFonts w:cs="Times New Roman"/>
          <w:i/>
          <w:iCs/>
          <w:szCs w:val="24"/>
        </w:rPr>
        <w:t>nigra</w:t>
      </w:r>
      <w:proofErr w:type="spellEnd"/>
      <w:r w:rsidRPr="009F6D1E">
        <w:rPr>
          <w:rFonts w:cs="Times New Roman"/>
          <w:i/>
          <w:iCs/>
          <w:szCs w:val="24"/>
        </w:rPr>
        <w:t> </w:t>
      </w:r>
      <w:proofErr w:type="spellStart"/>
      <w:r w:rsidRPr="009F6D1E">
        <w:rPr>
          <w:rFonts w:cs="Times New Roman"/>
          <w:szCs w:val="24"/>
        </w:rPr>
        <w:t>subsp</w:t>
      </w:r>
      <w:proofErr w:type="spellEnd"/>
      <w:r w:rsidRPr="009F6D1E">
        <w:rPr>
          <w:rFonts w:cs="Times New Roman"/>
          <w:szCs w:val="24"/>
        </w:rPr>
        <w:t>. </w:t>
      </w:r>
      <w:proofErr w:type="spellStart"/>
      <w:r w:rsidRPr="009F6D1E">
        <w:rPr>
          <w:rFonts w:cs="Times New Roman"/>
          <w:i/>
          <w:iCs/>
          <w:szCs w:val="24"/>
        </w:rPr>
        <w:t>pallasiana</w:t>
      </w:r>
      <w:proofErr w:type="spellEnd"/>
      <w:r w:rsidRPr="009F6D1E">
        <w:rPr>
          <w:rFonts w:cs="Times New Roman"/>
          <w:szCs w:val="24"/>
        </w:rPr>
        <w:t>, които липсват или почти липсват в Средна Европа.</w:t>
      </w:r>
    </w:p>
    <w:p w14:paraId="55D21CF3"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Вертикалното разпределение на растителната покривка в различните планини на България също се отличава с голямо разнообразие. В Стара планина иглолистният пояс е развит слабо, доминира букът, малко е участието на клека и има фрагменти от алпийска растителност. В Родопите и на Витоша има добре развита иглолистна растителност, клек има малко и са на лице само фрагменти от алпийски пояс. В някои от планините доминират варовиковите скали, други са силикатни и растителността съответно има съществени особености в едните и другите местообитания.</w:t>
      </w:r>
    </w:p>
    <w:p w14:paraId="78AD7DC0"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Особено място в растителната покривка на България имат </w:t>
      </w:r>
      <w:proofErr w:type="spellStart"/>
      <w:r w:rsidRPr="009F6D1E">
        <w:rPr>
          <w:rFonts w:cs="Times New Roman"/>
          <w:szCs w:val="24"/>
        </w:rPr>
        <w:t>фитоценозите</w:t>
      </w:r>
      <w:proofErr w:type="spellEnd"/>
      <w:r w:rsidRPr="009F6D1E">
        <w:rPr>
          <w:rFonts w:cs="Times New Roman"/>
          <w:szCs w:val="24"/>
        </w:rPr>
        <w:t xml:space="preserve"> на </w:t>
      </w:r>
      <w:proofErr w:type="spellStart"/>
      <w:r w:rsidRPr="009F6D1E">
        <w:rPr>
          <w:rFonts w:cs="Times New Roman"/>
          <w:szCs w:val="24"/>
        </w:rPr>
        <w:t>южноевксинските</w:t>
      </w:r>
      <w:proofErr w:type="spellEnd"/>
      <w:r w:rsidRPr="009F6D1E">
        <w:rPr>
          <w:rFonts w:cs="Times New Roman"/>
          <w:szCs w:val="24"/>
        </w:rPr>
        <w:t xml:space="preserve"> видове, локализирани в Странджа и Източна Стара планина. </w:t>
      </w:r>
    </w:p>
    <w:p w14:paraId="32BE2909"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Горите на </w:t>
      </w:r>
      <w:proofErr w:type="spellStart"/>
      <w:r w:rsidRPr="009F6D1E">
        <w:rPr>
          <w:rFonts w:cs="Times New Roman"/>
          <w:i/>
          <w:iCs/>
          <w:szCs w:val="24"/>
        </w:rPr>
        <w:t>Quercus</w:t>
      </w:r>
      <w:proofErr w:type="spellEnd"/>
      <w:r w:rsidRPr="009F6D1E">
        <w:rPr>
          <w:rFonts w:cs="Times New Roman"/>
          <w:i/>
          <w:iCs/>
          <w:szCs w:val="24"/>
        </w:rPr>
        <w:t xml:space="preserve"> </w:t>
      </w:r>
      <w:proofErr w:type="spellStart"/>
      <w:r w:rsidRPr="009F6D1E">
        <w:rPr>
          <w:rFonts w:cs="Times New Roman"/>
          <w:i/>
          <w:iCs/>
          <w:szCs w:val="24"/>
        </w:rPr>
        <w:t>cerris</w:t>
      </w:r>
      <w:proofErr w:type="spellEnd"/>
      <w:r w:rsidRPr="009F6D1E">
        <w:rPr>
          <w:rFonts w:cs="Times New Roman"/>
          <w:i/>
          <w:iCs/>
          <w:szCs w:val="24"/>
        </w:rPr>
        <w:t>,</w:t>
      </w:r>
      <w:r w:rsidRPr="009F6D1E">
        <w:rPr>
          <w:rFonts w:cs="Times New Roman"/>
          <w:szCs w:val="24"/>
        </w:rPr>
        <w:t> </w:t>
      </w:r>
      <w:r w:rsidRPr="009F6D1E">
        <w:rPr>
          <w:rFonts w:cs="Times New Roman"/>
          <w:i/>
          <w:iCs/>
          <w:szCs w:val="24"/>
        </w:rPr>
        <w:t>Q</w:t>
      </w:r>
      <w:r w:rsidRPr="009F6D1E">
        <w:rPr>
          <w:rFonts w:cs="Times New Roman"/>
          <w:szCs w:val="24"/>
        </w:rPr>
        <w:t>.</w:t>
      </w:r>
      <w:r w:rsidRPr="009F6D1E">
        <w:rPr>
          <w:rFonts w:cs="Times New Roman"/>
          <w:i/>
          <w:iCs/>
          <w:szCs w:val="24"/>
        </w:rPr>
        <w:t> </w:t>
      </w:r>
      <w:proofErr w:type="spellStart"/>
      <w:r w:rsidRPr="009F6D1E">
        <w:rPr>
          <w:rFonts w:cs="Times New Roman"/>
          <w:i/>
          <w:iCs/>
          <w:szCs w:val="24"/>
        </w:rPr>
        <w:t>frainetto</w:t>
      </w:r>
      <w:proofErr w:type="spellEnd"/>
      <w:r w:rsidRPr="009F6D1E">
        <w:rPr>
          <w:rFonts w:cs="Times New Roman"/>
          <w:i/>
          <w:iCs/>
          <w:szCs w:val="24"/>
        </w:rPr>
        <w:t> </w:t>
      </w:r>
      <w:r w:rsidRPr="009F6D1E">
        <w:rPr>
          <w:rFonts w:cs="Times New Roman"/>
          <w:szCs w:val="24"/>
        </w:rPr>
        <w:t>и </w:t>
      </w:r>
      <w:r w:rsidRPr="009F6D1E">
        <w:rPr>
          <w:rFonts w:cs="Times New Roman"/>
          <w:i/>
          <w:iCs/>
          <w:szCs w:val="24"/>
        </w:rPr>
        <w:t>Q</w:t>
      </w:r>
      <w:r w:rsidRPr="009F6D1E">
        <w:rPr>
          <w:rFonts w:cs="Times New Roman"/>
          <w:szCs w:val="24"/>
        </w:rPr>
        <w:t>.</w:t>
      </w:r>
      <w:r w:rsidRPr="009F6D1E">
        <w:rPr>
          <w:rFonts w:cs="Times New Roman"/>
          <w:i/>
          <w:iCs/>
          <w:szCs w:val="24"/>
        </w:rPr>
        <w:t> </w:t>
      </w:r>
      <w:proofErr w:type="spellStart"/>
      <w:r w:rsidRPr="009F6D1E">
        <w:rPr>
          <w:rFonts w:cs="Times New Roman"/>
          <w:i/>
          <w:iCs/>
          <w:szCs w:val="24"/>
        </w:rPr>
        <w:t>pubescens</w:t>
      </w:r>
      <w:proofErr w:type="spellEnd"/>
      <w:r w:rsidRPr="009F6D1E">
        <w:rPr>
          <w:rFonts w:cs="Times New Roman"/>
          <w:szCs w:val="24"/>
        </w:rPr>
        <w:t xml:space="preserve"> в хълмисто-равнинните територии на страната са с ареали в югоизточната част на неморалната зона и се отличават с участието на видове с южна природа. </w:t>
      </w:r>
      <w:proofErr w:type="spellStart"/>
      <w:r w:rsidRPr="009F6D1E">
        <w:rPr>
          <w:rFonts w:cs="Times New Roman"/>
          <w:szCs w:val="24"/>
        </w:rPr>
        <w:t>Ксеротермните</w:t>
      </w:r>
      <w:proofErr w:type="spellEnd"/>
      <w:r w:rsidRPr="009F6D1E">
        <w:rPr>
          <w:rFonts w:cs="Times New Roman"/>
          <w:szCs w:val="24"/>
        </w:rPr>
        <w:t xml:space="preserve"> дъбови гори, в състава на които влизат или формират самостоятелни </w:t>
      </w:r>
      <w:proofErr w:type="spellStart"/>
      <w:r w:rsidRPr="009F6D1E">
        <w:rPr>
          <w:rFonts w:cs="Times New Roman"/>
          <w:szCs w:val="24"/>
        </w:rPr>
        <w:t>фитоценози</w:t>
      </w:r>
      <w:proofErr w:type="spellEnd"/>
      <w:r w:rsidRPr="009F6D1E">
        <w:rPr>
          <w:rFonts w:cs="Times New Roman"/>
          <w:szCs w:val="24"/>
        </w:rPr>
        <w:t> </w:t>
      </w:r>
      <w:proofErr w:type="spellStart"/>
      <w:r w:rsidRPr="009F6D1E">
        <w:rPr>
          <w:rFonts w:cs="Times New Roman"/>
          <w:i/>
          <w:iCs/>
          <w:szCs w:val="24"/>
        </w:rPr>
        <w:t>Fraxinus</w:t>
      </w:r>
      <w:proofErr w:type="spellEnd"/>
      <w:r w:rsidRPr="009F6D1E">
        <w:rPr>
          <w:rFonts w:cs="Times New Roman"/>
          <w:i/>
          <w:iCs/>
          <w:szCs w:val="24"/>
        </w:rPr>
        <w:t xml:space="preserve"> </w:t>
      </w:r>
      <w:proofErr w:type="spellStart"/>
      <w:r w:rsidRPr="009F6D1E">
        <w:rPr>
          <w:rFonts w:cs="Times New Roman"/>
          <w:i/>
          <w:iCs/>
          <w:szCs w:val="24"/>
        </w:rPr>
        <w:t>ornus</w:t>
      </w:r>
      <w:proofErr w:type="spellEnd"/>
      <w:r w:rsidRPr="009F6D1E">
        <w:rPr>
          <w:rFonts w:cs="Times New Roman"/>
          <w:i/>
          <w:iCs/>
          <w:szCs w:val="24"/>
        </w:rPr>
        <w:t xml:space="preserve">, </w:t>
      </w:r>
      <w:proofErr w:type="spellStart"/>
      <w:r w:rsidRPr="009F6D1E">
        <w:rPr>
          <w:rFonts w:cs="Times New Roman"/>
          <w:i/>
          <w:iCs/>
          <w:szCs w:val="24"/>
        </w:rPr>
        <w:t>Carpinus</w:t>
      </w:r>
      <w:proofErr w:type="spellEnd"/>
      <w:r w:rsidRPr="009F6D1E">
        <w:rPr>
          <w:rFonts w:cs="Times New Roman"/>
          <w:i/>
          <w:iCs/>
          <w:szCs w:val="24"/>
        </w:rPr>
        <w:t xml:space="preserve"> </w:t>
      </w:r>
      <w:proofErr w:type="spellStart"/>
      <w:r w:rsidRPr="009F6D1E">
        <w:rPr>
          <w:rFonts w:cs="Times New Roman"/>
          <w:i/>
          <w:iCs/>
          <w:szCs w:val="24"/>
        </w:rPr>
        <w:t>orientalis</w:t>
      </w:r>
      <w:proofErr w:type="spellEnd"/>
      <w:r w:rsidRPr="009F6D1E">
        <w:rPr>
          <w:rFonts w:cs="Times New Roman"/>
          <w:i/>
          <w:iCs/>
          <w:szCs w:val="24"/>
        </w:rPr>
        <w:t xml:space="preserve"> </w:t>
      </w:r>
      <w:r w:rsidRPr="009F6D1E">
        <w:rPr>
          <w:rFonts w:cs="Times New Roman"/>
          <w:szCs w:val="24"/>
        </w:rPr>
        <w:t> и др., имат ясно изразени средиземноморски черти. В състава им участват </w:t>
      </w:r>
      <w:proofErr w:type="spellStart"/>
      <w:r w:rsidRPr="009F6D1E">
        <w:rPr>
          <w:rFonts w:cs="Times New Roman"/>
          <w:i/>
          <w:iCs/>
          <w:szCs w:val="24"/>
        </w:rPr>
        <w:t>Cotinus</w:t>
      </w:r>
      <w:proofErr w:type="spellEnd"/>
      <w:r w:rsidRPr="009F6D1E">
        <w:rPr>
          <w:rFonts w:cs="Times New Roman"/>
          <w:i/>
          <w:iCs/>
          <w:szCs w:val="24"/>
        </w:rPr>
        <w:t xml:space="preserve"> </w:t>
      </w:r>
      <w:proofErr w:type="spellStart"/>
      <w:r w:rsidRPr="009F6D1E">
        <w:rPr>
          <w:rFonts w:cs="Times New Roman"/>
          <w:i/>
          <w:iCs/>
          <w:szCs w:val="24"/>
        </w:rPr>
        <w:t>coggygria</w:t>
      </w:r>
      <w:proofErr w:type="spellEnd"/>
      <w:r w:rsidRPr="009F6D1E">
        <w:rPr>
          <w:rFonts w:cs="Times New Roman"/>
          <w:i/>
          <w:iCs/>
          <w:szCs w:val="24"/>
        </w:rPr>
        <w:t xml:space="preserve">, </w:t>
      </w:r>
      <w:proofErr w:type="spellStart"/>
      <w:r w:rsidRPr="009F6D1E">
        <w:rPr>
          <w:rFonts w:cs="Times New Roman"/>
          <w:i/>
          <w:iCs/>
          <w:szCs w:val="24"/>
        </w:rPr>
        <w:t>Paliurus</w:t>
      </w:r>
      <w:proofErr w:type="spellEnd"/>
      <w:r w:rsidRPr="009F6D1E">
        <w:rPr>
          <w:rFonts w:cs="Times New Roman"/>
          <w:i/>
          <w:iCs/>
          <w:szCs w:val="24"/>
        </w:rPr>
        <w:t xml:space="preserve"> </w:t>
      </w:r>
      <w:proofErr w:type="spellStart"/>
      <w:r w:rsidRPr="009F6D1E">
        <w:rPr>
          <w:rFonts w:cs="Times New Roman"/>
          <w:i/>
          <w:iCs/>
          <w:szCs w:val="24"/>
        </w:rPr>
        <w:t>spina-christi</w:t>
      </w:r>
      <w:proofErr w:type="spellEnd"/>
      <w:r w:rsidRPr="009F6D1E">
        <w:rPr>
          <w:rFonts w:cs="Times New Roman"/>
          <w:i/>
          <w:iCs/>
          <w:szCs w:val="24"/>
        </w:rPr>
        <w:t xml:space="preserve">, </w:t>
      </w:r>
      <w:proofErr w:type="spellStart"/>
      <w:r w:rsidRPr="009F6D1E">
        <w:rPr>
          <w:rFonts w:cs="Times New Roman"/>
          <w:i/>
          <w:iCs/>
          <w:szCs w:val="24"/>
        </w:rPr>
        <w:t>Juniperus</w:t>
      </w:r>
      <w:proofErr w:type="spellEnd"/>
      <w:r w:rsidRPr="009F6D1E">
        <w:rPr>
          <w:rFonts w:cs="Times New Roman"/>
          <w:i/>
          <w:iCs/>
          <w:szCs w:val="24"/>
        </w:rPr>
        <w:t xml:space="preserve"> </w:t>
      </w:r>
      <w:proofErr w:type="spellStart"/>
      <w:r w:rsidRPr="009F6D1E">
        <w:rPr>
          <w:rFonts w:cs="Times New Roman"/>
          <w:i/>
          <w:iCs/>
          <w:szCs w:val="24"/>
        </w:rPr>
        <w:t>oxycedrus</w:t>
      </w:r>
      <w:proofErr w:type="spellEnd"/>
      <w:r w:rsidRPr="009F6D1E">
        <w:rPr>
          <w:rFonts w:cs="Times New Roman"/>
          <w:i/>
          <w:iCs/>
          <w:szCs w:val="24"/>
        </w:rPr>
        <w:t xml:space="preserve">, </w:t>
      </w:r>
      <w:proofErr w:type="spellStart"/>
      <w:r w:rsidRPr="009F6D1E">
        <w:rPr>
          <w:rFonts w:cs="Times New Roman"/>
          <w:i/>
          <w:iCs/>
          <w:szCs w:val="24"/>
        </w:rPr>
        <w:t>Ranunculus</w:t>
      </w:r>
      <w:proofErr w:type="spellEnd"/>
      <w:r w:rsidRPr="009F6D1E">
        <w:rPr>
          <w:rFonts w:cs="Times New Roman"/>
          <w:i/>
          <w:iCs/>
          <w:szCs w:val="24"/>
        </w:rPr>
        <w:t xml:space="preserve"> </w:t>
      </w:r>
      <w:proofErr w:type="spellStart"/>
      <w:r w:rsidRPr="009F6D1E">
        <w:rPr>
          <w:rFonts w:cs="Times New Roman"/>
          <w:i/>
          <w:iCs/>
          <w:szCs w:val="24"/>
        </w:rPr>
        <w:t>rumelicus</w:t>
      </w:r>
      <w:proofErr w:type="spellEnd"/>
      <w:r w:rsidRPr="009F6D1E">
        <w:rPr>
          <w:rFonts w:cs="Times New Roman"/>
          <w:i/>
          <w:iCs/>
          <w:szCs w:val="24"/>
        </w:rPr>
        <w:t xml:space="preserve">, </w:t>
      </w:r>
      <w:proofErr w:type="spellStart"/>
      <w:r w:rsidRPr="009F6D1E">
        <w:rPr>
          <w:rFonts w:cs="Times New Roman"/>
          <w:i/>
          <w:iCs/>
          <w:szCs w:val="24"/>
        </w:rPr>
        <w:t>Cyclamen</w:t>
      </w:r>
      <w:proofErr w:type="spellEnd"/>
      <w:r w:rsidRPr="009F6D1E">
        <w:rPr>
          <w:rFonts w:cs="Times New Roman"/>
          <w:i/>
          <w:iCs/>
          <w:szCs w:val="24"/>
        </w:rPr>
        <w:t xml:space="preserve"> </w:t>
      </w:r>
      <w:proofErr w:type="spellStart"/>
      <w:r w:rsidRPr="009F6D1E">
        <w:rPr>
          <w:rFonts w:cs="Times New Roman"/>
          <w:i/>
          <w:iCs/>
          <w:szCs w:val="24"/>
        </w:rPr>
        <w:t>hederifolium</w:t>
      </w:r>
      <w:proofErr w:type="spellEnd"/>
      <w:r w:rsidRPr="009F6D1E">
        <w:rPr>
          <w:rFonts w:cs="Times New Roman"/>
          <w:szCs w:val="24"/>
        </w:rPr>
        <w:t xml:space="preserve">  и др. Някои от </w:t>
      </w:r>
      <w:r w:rsidRPr="009F6D1E">
        <w:rPr>
          <w:rFonts w:cs="Times New Roman"/>
          <w:szCs w:val="24"/>
        </w:rPr>
        <w:lastRenderedPageBreak/>
        <w:t xml:space="preserve">храстовите видове формират </w:t>
      </w:r>
      <w:proofErr w:type="spellStart"/>
      <w:r w:rsidRPr="009F6D1E">
        <w:rPr>
          <w:rFonts w:cs="Times New Roman"/>
          <w:szCs w:val="24"/>
        </w:rPr>
        <w:t>фитоценози</w:t>
      </w:r>
      <w:proofErr w:type="spellEnd"/>
      <w:r w:rsidRPr="009F6D1E">
        <w:rPr>
          <w:rFonts w:cs="Times New Roman"/>
          <w:szCs w:val="24"/>
        </w:rPr>
        <w:t xml:space="preserve">, които имат доста широко разпространение. На места са развити </w:t>
      </w:r>
      <w:proofErr w:type="spellStart"/>
      <w:r w:rsidRPr="009F6D1E">
        <w:rPr>
          <w:rFonts w:cs="Times New Roman"/>
          <w:szCs w:val="24"/>
        </w:rPr>
        <w:t>фитоценози</w:t>
      </w:r>
      <w:proofErr w:type="spellEnd"/>
      <w:r w:rsidRPr="009F6D1E">
        <w:rPr>
          <w:rFonts w:cs="Times New Roman"/>
          <w:szCs w:val="24"/>
        </w:rPr>
        <w:t xml:space="preserve"> на </w:t>
      </w:r>
      <w:proofErr w:type="spellStart"/>
      <w:r w:rsidRPr="009F6D1E">
        <w:rPr>
          <w:rFonts w:cs="Times New Roman"/>
          <w:i/>
          <w:iCs/>
          <w:szCs w:val="24"/>
        </w:rPr>
        <w:t>Genista</w:t>
      </w:r>
      <w:proofErr w:type="spellEnd"/>
      <w:r w:rsidRPr="009F6D1E">
        <w:rPr>
          <w:rFonts w:cs="Times New Roman"/>
          <w:i/>
          <w:iCs/>
          <w:szCs w:val="24"/>
        </w:rPr>
        <w:t xml:space="preserve"> </w:t>
      </w:r>
      <w:proofErr w:type="spellStart"/>
      <w:r w:rsidRPr="009F6D1E">
        <w:rPr>
          <w:rFonts w:cs="Times New Roman"/>
          <w:i/>
          <w:iCs/>
          <w:szCs w:val="24"/>
        </w:rPr>
        <w:t>rumelica</w:t>
      </w:r>
      <w:proofErr w:type="spellEnd"/>
      <w:r w:rsidRPr="009F6D1E">
        <w:rPr>
          <w:rFonts w:cs="Times New Roman"/>
          <w:i/>
          <w:iCs/>
          <w:szCs w:val="24"/>
        </w:rPr>
        <w:t>, G</w:t>
      </w:r>
      <w:r w:rsidRPr="009F6D1E">
        <w:rPr>
          <w:rFonts w:cs="Times New Roman"/>
          <w:szCs w:val="24"/>
        </w:rPr>
        <w:t>.</w:t>
      </w:r>
      <w:r w:rsidRPr="009F6D1E">
        <w:rPr>
          <w:rFonts w:cs="Times New Roman"/>
          <w:i/>
          <w:iCs/>
          <w:szCs w:val="24"/>
        </w:rPr>
        <w:t> </w:t>
      </w:r>
      <w:proofErr w:type="spellStart"/>
      <w:r w:rsidRPr="009F6D1E">
        <w:rPr>
          <w:rFonts w:cs="Times New Roman"/>
          <w:i/>
          <w:iCs/>
          <w:szCs w:val="24"/>
        </w:rPr>
        <w:t>lydia</w:t>
      </w:r>
      <w:proofErr w:type="spellEnd"/>
      <w:r w:rsidRPr="009F6D1E">
        <w:rPr>
          <w:rFonts w:cs="Times New Roman"/>
          <w:szCs w:val="24"/>
        </w:rPr>
        <w:t xml:space="preserve"> и други южни видове, или на локални </w:t>
      </w:r>
      <w:proofErr w:type="spellStart"/>
      <w:r w:rsidRPr="009F6D1E">
        <w:rPr>
          <w:rFonts w:cs="Times New Roman"/>
          <w:szCs w:val="24"/>
        </w:rPr>
        <w:t>ендемити</w:t>
      </w:r>
      <w:proofErr w:type="spellEnd"/>
      <w:r w:rsidRPr="009F6D1E">
        <w:rPr>
          <w:rFonts w:cs="Times New Roman"/>
          <w:szCs w:val="24"/>
        </w:rPr>
        <w:t xml:space="preserve"> като </w:t>
      </w:r>
      <w:proofErr w:type="spellStart"/>
      <w:r w:rsidRPr="009F6D1E">
        <w:rPr>
          <w:rFonts w:cs="Times New Roman"/>
          <w:i/>
          <w:iCs/>
          <w:szCs w:val="24"/>
        </w:rPr>
        <w:t>Astracantha</w:t>
      </w:r>
      <w:proofErr w:type="spellEnd"/>
      <w:r w:rsidRPr="009F6D1E">
        <w:rPr>
          <w:rFonts w:cs="Times New Roman"/>
          <w:i/>
          <w:iCs/>
          <w:szCs w:val="24"/>
        </w:rPr>
        <w:t xml:space="preserve"> </w:t>
      </w:r>
      <w:proofErr w:type="spellStart"/>
      <w:r w:rsidRPr="009F6D1E">
        <w:rPr>
          <w:rFonts w:cs="Times New Roman"/>
          <w:i/>
          <w:iCs/>
          <w:szCs w:val="24"/>
        </w:rPr>
        <w:t>aitosensis</w:t>
      </w:r>
      <w:proofErr w:type="spellEnd"/>
      <w:r w:rsidRPr="009F6D1E">
        <w:rPr>
          <w:rFonts w:cs="Times New Roman"/>
          <w:szCs w:val="24"/>
        </w:rPr>
        <w:t>, </w:t>
      </w:r>
      <w:r w:rsidRPr="009F6D1E">
        <w:rPr>
          <w:rFonts w:cs="Times New Roman"/>
          <w:i/>
          <w:iCs/>
          <w:szCs w:val="24"/>
        </w:rPr>
        <w:t xml:space="preserve">A. </w:t>
      </w:r>
      <w:proofErr w:type="spellStart"/>
      <w:r w:rsidRPr="009F6D1E">
        <w:rPr>
          <w:rFonts w:cs="Times New Roman"/>
          <w:i/>
          <w:iCs/>
          <w:szCs w:val="24"/>
        </w:rPr>
        <w:t>thracica</w:t>
      </w:r>
      <w:proofErr w:type="spellEnd"/>
      <w:r w:rsidRPr="009F6D1E">
        <w:rPr>
          <w:rFonts w:cs="Times New Roman"/>
          <w:i/>
          <w:iCs/>
          <w:szCs w:val="24"/>
        </w:rPr>
        <w:t> </w:t>
      </w:r>
      <w:r w:rsidRPr="009F6D1E">
        <w:rPr>
          <w:rFonts w:cs="Times New Roman"/>
          <w:szCs w:val="24"/>
        </w:rPr>
        <w:t>и др.</w:t>
      </w:r>
    </w:p>
    <w:p w14:paraId="44390287"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Особен интерес представляват и </w:t>
      </w:r>
      <w:proofErr w:type="spellStart"/>
      <w:r w:rsidRPr="009F6D1E">
        <w:rPr>
          <w:rFonts w:cs="Times New Roman"/>
          <w:szCs w:val="24"/>
        </w:rPr>
        <w:t>реликтните</w:t>
      </w:r>
      <w:proofErr w:type="spellEnd"/>
      <w:r w:rsidRPr="009F6D1E">
        <w:rPr>
          <w:rFonts w:cs="Times New Roman"/>
          <w:szCs w:val="24"/>
        </w:rPr>
        <w:t xml:space="preserve"> </w:t>
      </w:r>
      <w:proofErr w:type="spellStart"/>
      <w:r w:rsidRPr="009F6D1E">
        <w:rPr>
          <w:rFonts w:cs="Times New Roman"/>
          <w:szCs w:val="24"/>
        </w:rPr>
        <w:t>ценози</w:t>
      </w:r>
      <w:proofErr w:type="spellEnd"/>
      <w:r w:rsidRPr="009F6D1E">
        <w:rPr>
          <w:rFonts w:cs="Times New Roman"/>
          <w:szCs w:val="24"/>
        </w:rPr>
        <w:t xml:space="preserve"> на степни видове като тези на </w:t>
      </w:r>
      <w:proofErr w:type="spellStart"/>
      <w:r w:rsidRPr="009F6D1E">
        <w:rPr>
          <w:rFonts w:cs="Times New Roman"/>
          <w:i/>
          <w:iCs/>
          <w:szCs w:val="24"/>
        </w:rPr>
        <w:t>Amygdalus</w:t>
      </w:r>
      <w:proofErr w:type="spellEnd"/>
      <w:r w:rsidRPr="009F6D1E">
        <w:rPr>
          <w:rFonts w:cs="Times New Roman"/>
          <w:i/>
          <w:iCs/>
          <w:szCs w:val="24"/>
        </w:rPr>
        <w:t xml:space="preserve"> </w:t>
      </w:r>
      <w:proofErr w:type="spellStart"/>
      <w:r w:rsidRPr="009F6D1E">
        <w:rPr>
          <w:rFonts w:cs="Times New Roman"/>
          <w:i/>
          <w:iCs/>
          <w:szCs w:val="24"/>
        </w:rPr>
        <w:t>nana</w:t>
      </w:r>
      <w:proofErr w:type="spellEnd"/>
      <w:r w:rsidRPr="009F6D1E">
        <w:rPr>
          <w:rFonts w:cs="Times New Roman"/>
          <w:i/>
          <w:iCs/>
          <w:szCs w:val="24"/>
        </w:rPr>
        <w:t xml:space="preserve">, </w:t>
      </w:r>
      <w:proofErr w:type="spellStart"/>
      <w:r w:rsidRPr="009F6D1E">
        <w:rPr>
          <w:rFonts w:cs="Times New Roman"/>
          <w:i/>
          <w:iCs/>
          <w:szCs w:val="24"/>
        </w:rPr>
        <w:t>Artemisia</w:t>
      </w:r>
      <w:proofErr w:type="spellEnd"/>
      <w:r w:rsidRPr="009F6D1E">
        <w:rPr>
          <w:rFonts w:cs="Times New Roman"/>
          <w:i/>
          <w:iCs/>
          <w:szCs w:val="24"/>
        </w:rPr>
        <w:t xml:space="preserve"> </w:t>
      </w:r>
      <w:proofErr w:type="spellStart"/>
      <w:r w:rsidRPr="009F6D1E">
        <w:rPr>
          <w:rFonts w:cs="Times New Roman"/>
          <w:i/>
          <w:iCs/>
          <w:szCs w:val="24"/>
        </w:rPr>
        <w:t>lerchiana</w:t>
      </w:r>
      <w:proofErr w:type="spellEnd"/>
      <w:r w:rsidRPr="009F6D1E">
        <w:rPr>
          <w:rFonts w:cs="Times New Roman"/>
          <w:i/>
          <w:iCs/>
          <w:szCs w:val="24"/>
        </w:rPr>
        <w:t xml:space="preserve">, </w:t>
      </w:r>
      <w:proofErr w:type="spellStart"/>
      <w:r w:rsidRPr="009F6D1E">
        <w:rPr>
          <w:rFonts w:cs="Times New Roman"/>
          <w:i/>
          <w:iCs/>
          <w:szCs w:val="24"/>
        </w:rPr>
        <w:t>Stipa</w:t>
      </w:r>
      <w:proofErr w:type="spellEnd"/>
      <w:r w:rsidRPr="009F6D1E">
        <w:rPr>
          <w:rFonts w:cs="Times New Roman"/>
          <w:i/>
          <w:iCs/>
          <w:szCs w:val="24"/>
        </w:rPr>
        <w:t xml:space="preserve"> </w:t>
      </w:r>
      <w:proofErr w:type="spellStart"/>
      <w:r w:rsidRPr="009F6D1E">
        <w:rPr>
          <w:rFonts w:cs="Times New Roman"/>
          <w:i/>
          <w:iCs/>
          <w:szCs w:val="24"/>
        </w:rPr>
        <w:t>lessingiana</w:t>
      </w:r>
      <w:proofErr w:type="spellEnd"/>
      <w:r w:rsidRPr="009F6D1E">
        <w:rPr>
          <w:rFonts w:cs="Times New Roman"/>
          <w:i/>
          <w:iCs/>
          <w:szCs w:val="24"/>
        </w:rPr>
        <w:t xml:space="preserve">, </w:t>
      </w:r>
      <w:proofErr w:type="spellStart"/>
      <w:r w:rsidRPr="009F6D1E">
        <w:rPr>
          <w:rFonts w:cs="Times New Roman"/>
          <w:i/>
          <w:iCs/>
          <w:szCs w:val="24"/>
        </w:rPr>
        <w:t>Caragana</w:t>
      </w:r>
      <w:proofErr w:type="spellEnd"/>
      <w:r w:rsidRPr="009F6D1E">
        <w:rPr>
          <w:rFonts w:cs="Times New Roman"/>
          <w:i/>
          <w:iCs/>
          <w:szCs w:val="24"/>
        </w:rPr>
        <w:t xml:space="preserve"> </w:t>
      </w:r>
      <w:proofErr w:type="spellStart"/>
      <w:r w:rsidRPr="009F6D1E">
        <w:rPr>
          <w:rFonts w:cs="Times New Roman"/>
          <w:i/>
          <w:iCs/>
          <w:szCs w:val="24"/>
        </w:rPr>
        <w:t>frutex</w:t>
      </w:r>
      <w:proofErr w:type="spellEnd"/>
      <w:r w:rsidRPr="009F6D1E">
        <w:rPr>
          <w:rFonts w:cs="Times New Roman"/>
          <w:i/>
          <w:iCs/>
          <w:szCs w:val="24"/>
        </w:rPr>
        <w:t> </w:t>
      </w:r>
      <w:r w:rsidRPr="009F6D1E">
        <w:rPr>
          <w:rFonts w:cs="Times New Roman"/>
          <w:szCs w:val="24"/>
        </w:rPr>
        <w:t>и др</w:t>
      </w:r>
      <w:r w:rsidRPr="009F6D1E">
        <w:rPr>
          <w:rFonts w:cs="Times New Roman"/>
          <w:i/>
          <w:iCs/>
          <w:szCs w:val="24"/>
        </w:rPr>
        <w:t>.</w:t>
      </w:r>
      <w:r w:rsidRPr="009F6D1E">
        <w:rPr>
          <w:rFonts w:cs="Times New Roman"/>
          <w:szCs w:val="24"/>
        </w:rPr>
        <w:t xml:space="preserve"> Разпространението на </w:t>
      </w:r>
      <w:proofErr w:type="spellStart"/>
      <w:r w:rsidRPr="009F6D1E">
        <w:rPr>
          <w:rFonts w:cs="Times New Roman"/>
          <w:szCs w:val="24"/>
        </w:rPr>
        <w:t>понто-панонски</w:t>
      </w:r>
      <w:proofErr w:type="spellEnd"/>
      <w:r w:rsidRPr="009F6D1E">
        <w:rPr>
          <w:rFonts w:cs="Times New Roman"/>
          <w:szCs w:val="24"/>
        </w:rPr>
        <w:t xml:space="preserve"> континентални льосови и пясъчни степи е ограничено, но съществено за биоразнообразието в България. Специфично е и участието в растителността на страната на ендемични </w:t>
      </w:r>
      <w:proofErr w:type="spellStart"/>
      <w:r w:rsidRPr="009F6D1E">
        <w:rPr>
          <w:rFonts w:cs="Times New Roman"/>
          <w:szCs w:val="24"/>
        </w:rPr>
        <w:t>оро</w:t>
      </w:r>
      <w:proofErr w:type="spellEnd"/>
      <w:r w:rsidRPr="009F6D1E">
        <w:rPr>
          <w:rFonts w:cs="Times New Roman"/>
          <w:szCs w:val="24"/>
        </w:rPr>
        <w:t>-средиземноморски съобщества от ниски бодливи храстчета (</w:t>
      </w:r>
      <w:proofErr w:type="spellStart"/>
      <w:r w:rsidRPr="009F6D1E">
        <w:rPr>
          <w:rFonts w:cs="Times New Roman"/>
          <w:i/>
          <w:iCs/>
          <w:szCs w:val="24"/>
        </w:rPr>
        <w:t>Astragalus</w:t>
      </w:r>
      <w:proofErr w:type="spellEnd"/>
      <w:r w:rsidRPr="009F6D1E">
        <w:rPr>
          <w:rFonts w:cs="Times New Roman"/>
          <w:i/>
          <w:iCs/>
          <w:szCs w:val="24"/>
        </w:rPr>
        <w:t xml:space="preserve"> </w:t>
      </w:r>
      <w:proofErr w:type="spellStart"/>
      <w:r w:rsidRPr="009F6D1E">
        <w:rPr>
          <w:rFonts w:cs="Times New Roman"/>
          <w:i/>
          <w:iCs/>
          <w:szCs w:val="24"/>
        </w:rPr>
        <w:t>angustifolius</w:t>
      </w:r>
      <w:proofErr w:type="spellEnd"/>
      <w:r w:rsidRPr="009F6D1E">
        <w:rPr>
          <w:rFonts w:cs="Times New Roman"/>
          <w:i/>
          <w:iCs/>
          <w:szCs w:val="24"/>
        </w:rPr>
        <w:t> </w:t>
      </w:r>
      <w:r w:rsidRPr="009F6D1E">
        <w:rPr>
          <w:rFonts w:cs="Times New Roman"/>
          <w:szCs w:val="24"/>
        </w:rPr>
        <w:t>и др</w:t>
      </w:r>
      <w:r w:rsidRPr="009F6D1E">
        <w:rPr>
          <w:rFonts w:cs="Times New Roman"/>
          <w:i/>
          <w:iCs/>
          <w:szCs w:val="24"/>
        </w:rPr>
        <w:t>.</w:t>
      </w:r>
      <w:r w:rsidRPr="009F6D1E">
        <w:rPr>
          <w:rFonts w:cs="Times New Roman"/>
          <w:szCs w:val="24"/>
        </w:rPr>
        <w:t xml:space="preserve">) и </w:t>
      </w:r>
      <w:proofErr w:type="spellStart"/>
      <w:r w:rsidRPr="009F6D1E">
        <w:rPr>
          <w:rFonts w:cs="Times New Roman"/>
          <w:szCs w:val="24"/>
        </w:rPr>
        <w:t>субконтинентални</w:t>
      </w:r>
      <w:proofErr w:type="spellEnd"/>
      <w:r w:rsidRPr="009F6D1E">
        <w:rPr>
          <w:rFonts w:cs="Times New Roman"/>
          <w:szCs w:val="24"/>
        </w:rPr>
        <w:t xml:space="preserve"> храстови съобщества. Вечнозелени храстови </w:t>
      </w:r>
      <w:proofErr w:type="spellStart"/>
      <w:r w:rsidRPr="009F6D1E">
        <w:rPr>
          <w:rFonts w:cs="Times New Roman"/>
          <w:szCs w:val="24"/>
        </w:rPr>
        <w:t>ценози</w:t>
      </w:r>
      <w:proofErr w:type="spellEnd"/>
      <w:r w:rsidRPr="009F6D1E">
        <w:rPr>
          <w:rFonts w:cs="Times New Roman"/>
          <w:szCs w:val="24"/>
        </w:rPr>
        <w:t xml:space="preserve"> от </w:t>
      </w:r>
      <w:proofErr w:type="spellStart"/>
      <w:r w:rsidRPr="009F6D1E">
        <w:rPr>
          <w:rFonts w:cs="Times New Roman"/>
          <w:i/>
          <w:iCs/>
          <w:szCs w:val="24"/>
        </w:rPr>
        <w:t>Quеrcus</w:t>
      </w:r>
      <w:proofErr w:type="spellEnd"/>
      <w:r w:rsidRPr="009F6D1E">
        <w:rPr>
          <w:rFonts w:cs="Times New Roman"/>
          <w:i/>
          <w:iCs/>
          <w:szCs w:val="24"/>
        </w:rPr>
        <w:t xml:space="preserve"> </w:t>
      </w:r>
      <w:proofErr w:type="spellStart"/>
      <w:r w:rsidRPr="009F6D1E">
        <w:rPr>
          <w:rFonts w:cs="Times New Roman"/>
          <w:i/>
          <w:iCs/>
          <w:szCs w:val="24"/>
        </w:rPr>
        <w:t>coccifera</w:t>
      </w:r>
      <w:proofErr w:type="spellEnd"/>
      <w:r w:rsidRPr="009F6D1E">
        <w:rPr>
          <w:rFonts w:cs="Times New Roman"/>
          <w:szCs w:val="24"/>
        </w:rPr>
        <w:t> у нас проникват по долината на р. Струма. В състава им участват и други южни видове (</w:t>
      </w:r>
      <w:proofErr w:type="spellStart"/>
      <w:r w:rsidRPr="009F6D1E">
        <w:rPr>
          <w:rFonts w:cs="Times New Roman"/>
          <w:i/>
          <w:iCs/>
          <w:szCs w:val="24"/>
        </w:rPr>
        <w:t>Phillyrea</w:t>
      </w:r>
      <w:proofErr w:type="spellEnd"/>
      <w:r w:rsidRPr="009F6D1E">
        <w:rPr>
          <w:rFonts w:cs="Times New Roman"/>
          <w:i/>
          <w:iCs/>
          <w:szCs w:val="24"/>
        </w:rPr>
        <w:t xml:space="preserve"> </w:t>
      </w:r>
      <w:proofErr w:type="spellStart"/>
      <w:r w:rsidRPr="009F6D1E">
        <w:rPr>
          <w:rFonts w:cs="Times New Roman"/>
          <w:i/>
          <w:iCs/>
          <w:szCs w:val="24"/>
        </w:rPr>
        <w:t>latifolia</w:t>
      </w:r>
      <w:proofErr w:type="spellEnd"/>
      <w:r w:rsidRPr="009F6D1E">
        <w:rPr>
          <w:rFonts w:cs="Times New Roman"/>
          <w:i/>
          <w:iCs/>
          <w:szCs w:val="24"/>
        </w:rPr>
        <w:t xml:space="preserve">, </w:t>
      </w:r>
      <w:proofErr w:type="spellStart"/>
      <w:r w:rsidRPr="009F6D1E">
        <w:rPr>
          <w:rFonts w:cs="Times New Roman"/>
          <w:i/>
          <w:iCs/>
          <w:szCs w:val="24"/>
        </w:rPr>
        <w:t>Pistacia</w:t>
      </w:r>
      <w:proofErr w:type="spellEnd"/>
      <w:r w:rsidRPr="009F6D1E">
        <w:rPr>
          <w:rFonts w:cs="Times New Roman"/>
          <w:i/>
          <w:iCs/>
          <w:szCs w:val="24"/>
        </w:rPr>
        <w:t xml:space="preserve"> </w:t>
      </w:r>
      <w:proofErr w:type="spellStart"/>
      <w:r w:rsidRPr="009F6D1E">
        <w:rPr>
          <w:rFonts w:cs="Times New Roman"/>
          <w:i/>
          <w:iCs/>
          <w:szCs w:val="24"/>
        </w:rPr>
        <w:t>terebinthus</w:t>
      </w:r>
      <w:proofErr w:type="spellEnd"/>
      <w:r w:rsidRPr="009F6D1E">
        <w:rPr>
          <w:rFonts w:cs="Times New Roman"/>
          <w:i/>
          <w:iCs/>
          <w:szCs w:val="24"/>
        </w:rPr>
        <w:t> </w:t>
      </w:r>
      <w:r w:rsidRPr="009F6D1E">
        <w:rPr>
          <w:rFonts w:cs="Times New Roman"/>
          <w:szCs w:val="24"/>
        </w:rPr>
        <w:t xml:space="preserve">и др.), някои от които също са </w:t>
      </w:r>
      <w:proofErr w:type="spellStart"/>
      <w:r w:rsidRPr="009F6D1E">
        <w:rPr>
          <w:rFonts w:cs="Times New Roman"/>
          <w:szCs w:val="24"/>
        </w:rPr>
        <w:t>едификатори</w:t>
      </w:r>
      <w:proofErr w:type="spellEnd"/>
      <w:r w:rsidRPr="009F6D1E">
        <w:rPr>
          <w:rFonts w:cs="Times New Roman"/>
          <w:szCs w:val="24"/>
        </w:rPr>
        <w:t xml:space="preserve"> или доминанти.</w:t>
      </w:r>
    </w:p>
    <w:p w14:paraId="5A22E117"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Сложна е също така структурата на тревната растителност в равнините с участието на много полухрастови видове, особено на варовити и ерозирани терени. Площта на </w:t>
      </w:r>
      <w:proofErr w:type="spellStart"/>
      <w:r w:rsidRPr="009F6D1E">
        <w:rPr>
          <w:rFonts w:cs="Times New Roman"/>
          <w:szCs w:val="24"/>
        </w:rPr>
        <w:t>мезофитната</w:t>
      </w:r>
      <w:proofErr w:type="spellEnd"/>
      <w:r w:rsidRPr="009F6D1E">
        <w:rPr>
          <w:rFonts w:cs="Times New Roman"/>
          <w:szCs w:val="24"/>
        </w:rPr>
        <w:t xml:space="preserve"> (ливадната) тревна растителност с доминанти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pratensis</w:t>
      </w:r>
      <w:proofErr w:type="spellEnd"/>
      <w:r w:rsidRPr="009F6D1E">
        <w:rPr>
          <w:rFonts w:cs="Times New Roman"/>
          <w:i/>
          <w:iCs/>
          <w:szCs w:val="24"/>
        </w:rPr>
        <w:t xml:space="preserve">, </w:t>
      </w:r>
      <w:proofErr w:type="spellStart"/>
      <w:r w:rsidRPr="009F6D1E">
        <w:rPr>
          <w:rFonts w:cs="Times New Roman"/>
          <w:i/>
          <w:iCs/>
          <w:szCs w:val="24"/>
        </w:rPr>
        <w:t>Cynosurus</w:t>
      </w:r>
      <w:proofErr w:type="spellEnd"/>
      <w:r w:rsidRPr="009F6D1E">
        <w:rPr>
          <w:rFonts w:cs="Times New Roman"/>
          <w:i/>
          <w:iCs/>
          <w:szCs w:val="24"/>
        </w:rPr>
        <w:t xml:space="preserve"> </w:t>
      </w:r>
      <w:proofErr w:type="spellStart"/>
      <w:r w:rsidRPr="009F6D1E">
        <w:rPr>
          <w:rFonts w:cs="Times New Roman"/>
          <w:i/>
          <w:iCs/>
          <w:szCs w:val="24"/>
        </w:rPr>
        <w:t>cristatus</w:t>
      </w:r>
      <w:proofErr w:type="spellEnd"/>
      <w:r w:rsidRPr="009F6D1E">
        <w:rPr>
          <w:rFonts w:cs="Times New Roman"/>
          <w:i/>
          <w:iCs/>
          <w:szCs w:val="24"/>
        </w:rPr>
        <w:t xml:space="preserve">, </w:t>
      </w:r>
      <w:proofErr w:type="spellStart"/>
      <w:r w:rsidRPr="009F6D1E">
        <w:rPr>
          <w:rFonts w:cs="Times New Roman"/>
          <w:i/>
          <w:iCs/>
          <w:szCs w:val="24"/>
        </w:rPr>
        <w:t>Lolium</w:t>
      </w:r>
      <w:proofErr w:type="spellEnd"/>
      <w:r w:rsidRPr="009F6D1E">
        <w:rPr>
          <w:rFonts w:cs="Times New Roman"/>
          <w:i/>
          <w:iCs/>
          <w:szCs w:val="24"/>
        </w:rPr>
        <w:t xml:space="preserve"> </w:t>
      </w:r>
      <w:proofErr w:type="spellStart"/>
      <w:r w:rsidRPr="009F6D1E">
        <w:rPr>
          <w:rFonts w:cs="Times New Roman"/>
          <w:i/>
          <w:iCs/>
          <w:szCs w:val="24"/>
        </w:rPr>
        <w:t>perenne</w:t>
      </w:r>
      <w:proofErr w:type="spellEnd"/>
      <w:r w:rsidRPr="009F6D1E">
        <w:rPr>
          <w:rFonts w:cs="Times New Roman"/>
          <w:i/>
          <w:iCs/>
          <w:szCs w:val="24"/>
        </w:rPr>
        <w:t xml:space="preserve">, </w:t>
      </w:r>
      <w:proofErr w:type="spellStart"/>
      <w:r w:rsidRPr="009F6D1E">
        <w:rPr>
          <w:rFonts w:cs="Times New Roman"/>
          <w:i/>
          <w:iCs/>
          <w:szCs w:val="24"/>
        </w:rPr>
        <w:t>Poa</w:t>
      </w:r>
      <w:proofErr w:type="spellEnd"/>
      <w:r w:rsidRPr="009F6D1E">
        <w:rPr>
          <w:rFonts w:cs="Times New Roman"/>
          <w:i/>
          <w:iCs/>
          <w:szCs w:val="24"/>
        </w:rPr>
        <w:t xml:space="preserve"> </w:t>
      </w:r>
      <w:proofErr w:type="spellStart"/>
      <w:r w:rsidRPr="009F6D1E">
        <w:rPr>
          <w:rFonts w:cs="Times New Roman"/>
          <w:i/>
          <w:iCs/>
          <w:szCs w:val="24"/>
        </w:rPr>
        <w:t>sylvicola</w:t>
      </w:r>
      <w:proofErr w:type="spellEnd"/>
      <w:r w:rsidRPr="009F6D1E">
        <w:rPr>
          <w:rFonts w:cs="Times New Roman"/>
          <w:szCs w:val="24"/>
        </w:rPr>
        <w:t xml:space="preserve"> и др. все повече намалява. След унищожаването на горите по-често се развиват </w:t>
      </w:r>
      <w:proofErr w:type="spellStart"/>
      <w:r w:rsidRPr="009F6D1E">
        <w:rPr>
          <w:rFonts w:cs="Times New Roman"/>
          <w:szCs w:val="24"/>
        </w:rPr>
        <w:t>ксеромезофитни</w:t>
      </w:r>
      <w:proofErr w:type="spellEnd"/>
      <w:r w:rsidRPr="009F6D1E">
        <w:rPr>
          <w:rFonts w:cs="Times New Roman"/>
          <w:szCs w:val="24"/>
        </w:rPr>
        <w:t xml:space="preserve"> и </w:t>
      </w:r>
      <w:proofErr w:type="spellStart"/>
      <w:r w:rsidRPr="009F6D1E">
        <w:rPr>
          <w:rFonts w:cs="Times New Roman"/>
          <w:szCs w:val="24"/>
        </w:rPr>
        <w:t>ксеротермни</w:t>
      </w:r>
      <w:proofErr w:type="spellEnd"/>
      <w:r w:rsidRPr="009F6D1E">
        <w:rPr>
          <w:rFonts w:cs="Times New Roman"/>
          <w:szCs w:val="24"/>
        </w:rPr>
        <w:t xml:space="preserve"> </w:t>
      </w:r>
      <w:proofErr w:type="spellStart"/>
      <w:r w:rsidRPr="009F6D1E">
        <w:rPr>
          <w:rFonts w:cs="Times New Roman"/>
          <w:szCs w:val="24"/>
        </w:rPr>
        <w:t>ценози</w:t>
      </w:r>
      <w:proofErr w:type="spellEnd"/>
      <w:r w:rsidRPr="009F6D1E">
        <w:rPr>
          <w:rFonts w:cs="Times New Roman"/>
          <w:szCs w:val="24"/>
        </w:rPr>
        <w:t xml:space="preserve"> на </w:t>
      </w:r>
      <w:proofErr w:type="spellStart"/>
      <w:r w:rsidRPr="009F6D1E">
        <w:rPr>
          <w:rFonts w:cs="Times New Roman"/>
          <w:i/>
          <w:iCs/>
          <w:szCs w:val="24"/>
        </w:rPr>
        <w:t>Chrysopogon</w:t>
      </w:r>
      <w:proofErr w:type="spellEnd"/>
      <w:r w:rsidRPr="009F6D1E">
        <w:rPr>
          <w:rFonts w:cs="Times New Roman"/>
          <w:i/>
          <w:iCs/>
          <w:szCs w:val="24"/>
        </w:rPr>
        <w:t xml:space="preserve"> </w:t>
      </w:r>
      <w:proofErr w:type="spellStart"/>
      <w:r w:rsidRPr="009F6D1E">
        <w:rPr>
          <w:rFonts w:cs="Times New Roman"/>
          <w:i/>
          <w:iCs/>
          <w:szCs w:val="24"/>
        </w:rPr>
        <w:t>gryllus</w:t>
      </w:r>
      <w:proofErr w:type="spellEnd"/>
      <w:r w:rsidRPr="009F6D1E">
        <w:rPr>
          <w:rFonts w:cs="Times New Roman"/>
          <w:i/>
          <w:iCs/>
          <w:szCs w:val="24"/>
        </w:rPr>
        <w:t xml:space="preserve">, </w:t>
      </w:r>
      <w:proofErr w:type="spellStart"/>
      <w:r w:rsidRPr="009F6D1E">
        <w:rPr>
          <w:rFonts w:cs="Times New Roman"/>
          <w:i/>
          <w:iCs/>
          <w:szCs w:val="24"/>
        </w:rPr>
        <w:t>Poa</w:t>
      </w:r>
      <w:proofErr w:type="spellEnd"/>
      <w:r w:rsidRPr="009F6D1E">
        <w:rPr>
          <w:rFonts w:cs="Times New Roman"/>
          <w:i/>
          <w:iCs/>
          <w:szCs w:val="24"/>
        </w:rPr>
        <w:t xml:space="preserve"> </w:t>
      </w:r>
      <w:proofErr w:type="spellStart"/>
      <w:r w:rsidRPr="009F6D1E">
        <w:rPr>
          <w:rFonts w:cs="Times New Roman"/>
          <w:i/>
          <w:iCs/>
          <w:szCs w:val="24"/>
        </w:rPr>
        <w:t>bulbosa</w:t>
      </w:r>
      <w:proofErr w:type="spellEnd"/>
      <w:r w:rsidRPr="009F6D1E">
        <w:rPr>
          <w:rFonts w:cs="Times New Roman"/>
          <w:i/>
          <w:iCs/>
          <w:szCs w:val="24"/>
        </w:rPr>
        <w:t xml:space="preserve">, </w:t>
      </w:r>
      <w:proofErr w:type="spellStart"/>
      <w:r w:rsidRPr="009F6D1E">
        <w:rPr>
          <w:rFonts w:cs="Times New Roman"/>
          <w:i/>
          <w:iCs/>
          <w:szCs w:val="24"/>
        </w:rPr>
        <w:t>Stipa</w:t>
      </w:r>
      <w:proofErr w:type="spellEnd"/>
      <w:r w:rsidRPr="009F6D1E">
        <w:rPr>
          <w:rFonts w:cs="Times New Roman"/>
          <w:i/>
          <w:iCs/>
          <w:szCs w:val="24"/>
        </w:rPr>
        <w:t> </w:t>
      </w:r>
      <w:proofErr w:type="spellStart"/>
      <w:r w:rsidRPr="009F6D1E">
        <w:rPr>
          <w:rFonts w:cs="Times New Roman"/>
          <w:szCs w:val="24"/>
        </w:rPr>
        <w:t>spp</w:t>
      </w:r>
      <w:proofErr w:type="spellEnd"/>
      <w:r w:rsidRPr="009F6D1E">
        <w:rPr>
          <w:rFonts w:cs="Times New Roman"/>
          <w:i/>
          <w:iCs/>
          <w:szCs w:val="24"/>
        </w:rPr>
        <w:t xml:space="preserve">., </w:t>
      </w:r>
      <w:proofErr w:type="spellStart"/>
      <w:r w:rsidRPr="009F6D1E">
        <w:rPr>
          <w:rFonts w:cs="Times New Roman"/>
          <w:i/>
          <w:iCs/>
          <w:szCs w:val="24"/>
        </w:rPr>
        <w:t>Festuca</w:t>
      </w:r>
      <w:proofErr w:type="spellEnd"/>
      <w:r w:rsidRPr="009F6D1E">
        <w:rPr>
          <w:rFonts w:cs="Times New Roman"/>
          <w:i/>
          <w:iCs/>
          <w:szCs w:val="24"/>
        </w:rPr>
        <w:t xml:space="preserve"> </w:t>
      </w:r>
      <w:proofErr w:type="spellStart"/>
      <w:r w:rsidRPr="009F6D1E">
        <w:rPr>
          <w:rFonts w:cs="Times New Roman"/>
          <w:i/>
          <w:iCs/>
          <w:szCs w:val="24"/>
        </w:rPr>
        <w:t>valesiaca</w:t>
      </w:r>
      <w:proofErr w:type="spellEnd"/>
      <w:r w:rsidRPr="009F6D1E">
        <w:rPr>
          <w:rFonts w:cs="Times New Roman"/>
          <w:i/>
          <w:iCs/>
          <w:szCs w:val="24"/>
        </w:rPr>
        <w:t xml:space="preserve">, </w:t>
      </w:r>
      <w:proofErr w:type="spellStart"/>
      <w:r w:rsidRPr="009F6D1E">
        <w:rPr>
          <w:rFonts w:cs="Times New Roman"/>
          <w:i/>
          <w:iCs/>
          <w:szCs w:val="24"/>
        </w:rPr>
        <w:t>Artemisia</w:t>
      </w:r>
      <w:proofErr w:type="spellEnd"/>
      <w:r w:rsidRPr="009F6D1E">
        <w:rPr>
          <w:rFonts w:cs="Times New Roman"/>
          <w:i/>
          <w:iCs/>
          <w:szCs w:val="24"/>
        </w:rPr>
        <w:t xml:space="preserve"> </w:t>
      </w:r>
      <w:proofErr w:type="spellStart"/>
      <w:r w:rsidRPr="009F6D1E">
        <w:rPr>
          <w:rFonts w:cs="Times New Roman"/>
          <w:i/>
          <w:iCs/>
          <w:szCs w:val="24"/>
        </w:rPr>
        <w:t>alba</w:t>
      </w:r>
      <w:proofErr w:type="spellEnd"/>
      <w:r w:rsidRPr="009F6D1E">
        <w:rPr>
          <w:rFonts w:cs="Times New Roman"/>
          <w:i/>
          <w:iCs/>
          <w:szCs w:val="24"/>
        </w:rPr>
        <w:t xml:space="preserve">, </w:t>
      </w:r>
      <w:proofErr w:type="spellStart"/>
      <w:r w:rsidRPr="009F6D1E">
        <w:rPr>
          <w:rFonts w:cs="Times New Roman"/>
          <w:i/>
          <w:iCs/>
          <w:szCs w:val="24"/>
        </w:rPr>
        <w:t>Satureja</w:t>
      </w:r>
      <w:proofErr w:type="spellEnd"/>
      <w:r w:rsidRPr="009F6D1E">
        <w:rPr>
          <w:rFonts w:cs="Times New Roman"/>
          <w:i/>
          <w:iCs/>
          <w:szCs w:val="24"/>
        </w:rPr>
        <w:t xml:space="preserve"> </w:t>
      </w:r>
      <w:proofErr w:type="spellStart"/>
      <w:r w:rsidRPr="009F6D1E">
        <w:rPr>
          <w:rFonts w:cs="Times New Roman"/>
          <w:i/>
          <w:iCs/>
          <w:szCs w:val="24"/>
        </w:rPr>
        <w:t>montana</w:t>
      </w:r>
      <w:proofErr w:type="spellEnd"/>
      <w:r w:rsidRPr="009F6D1E">
        <w:rPr>
          <w:rFonts w:cs="Times New Roman"/>
          <w:i/>
          <w:iCs/>
          <w:szCs w:val="24"/>
        </w:rPr>
        <w:t xml:space="preserve">, </w:t>
      </w:r>
      <w:proofErr w:type="spellStart"/>
      <w:r w:rsidRPr="009F6D1E">
        <w:rPr>
          <w:rFonts w:cs="Times New Roman"/>
          <w:i/>
          <w:iCs/>
          <w:szCs w:val="24"/>
        </w:rPr>
        <w:t>Agropyron</w:t>
      </w:r>
      <w:proofErr w:type="spellEnd"/>
      <w:r w:rsidRPr="009F6D1E">
        <w:rPr>
          <w:rFonts w:cs="Times New Roman"/>
          <w:i/>
          <w:iCs/>
          <w:szCs w:val="24"/>
        </w:rPr>
        <w:t xml:space="preserve"> </w:t>
      </w:r>
      <w:proofErr w:type="spellStart"/>
      <w:r w:rsidRPr="009F6D1E">
        <w:rPr>
          <w:rFonts w:cs="Times New Roman"/>
          <w:i/>
          <w:iCs/>
          <w:szCs w:val="24"/>
        </w:rPr>
        <w:t>brandzae</w:t>
      </w:r>
      <w:proofErr w:type="spellEnd"/>
      <w:r w:rsidRPr="009F6D1E">
        <w:rPr>
          <w:rFonts w:cs="Times New Roman"/>
          <w:szCs w:val="24"/>
        </w:rPr>
        <w:t xml:space="preserve"> и др. В повечето случаи растителната покривка е комплекс от храстови и тревни </w:t>
      </w:r>
      <w:proofErr w:type="spellStart"/>
      <w:r w:rsidRPr="009F6D1E">
        <w:rPr>
          <w:rFonts w:cs="Times New Roman"/>
          <w:szCs w:val="24"/>
        </w:rPr>
        <w:t>ценози</w:t>
      </w:r>
      <w:proofErr w:type="spellEnd"/>
      <w:r w:rsidRPr="009F6D1E">
        <w:rPr>
          <w:rFonts w:cs="Times New Roman"/>
          <w:szCs w:val="24"/>
        </w:rPr>
        <w:t>.</w:t>
      </w:r>
    </w:p>
    <w:p w14:paraId="0722065A"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Все по-нарядко в низините и котловините могат да се намерят запазени гори на </w:t>
      </w:r>
      <w:proofErr w:type="spellStart"/>
      <w:r w:rsidRPr="009F6D1E">
        <w:rPr>
          <w:rFonts w:cs="Times New Roman"/>
          <w:i/>
          <w:iCs/>
          <w:szCs w:val="24"/>
        </w:rPr>
        <w:t>Quercus</w:t>
      </w:r>
      <w:proofErr w:type="spellEnd"/>
      <w:r w:rsidRPr="009F6D1E">
        <w:rPr>
          <w:rFonts w:cs="Times New Roman"/>
          <w:i/>
          <w:iCs/>
          <w:szCs w:val="24"/>
        </w:rPr>
        <w:t xml:space="preserve"> </w:t>
      </w:r>
      <w:proofErr w:type="spellStart"/>
      <w:r w:rsidRPr="009F6D1E">
        <w:rPr>
          <w:rFonts w:cs="Times New Roman"/>
          <w:i/>
          <w:iCs/>
          <w:szCs w:val="24"/>
        </w:rPr>
        <w:t>pedunculiflora</w:t>
      </w:r>
      <w:proofErr w:type="spellEnd"/>
      <w:r w:rsidRPr="009F6D1E">
        <w:rPr>
          <w:rFonts w:cs="Times New Roman"/>
          <w:i/>
          <w:iCs/>
          <w:szCs w:val="24"/>
        </w:rPr>
        <w:t>, Q</w:t>
      </w:r>
      <w:r w:rsidRPr="009F6D1E">
        <w:rPr>
          <w:rFonts w:cs="Times New Roman"/>
          <w:szCs w:val="24"/>
        </w:rPr>
        <w:t>.</w:t>
      </w:r>
      <w:r w:rsidRPr="009F6D1E">
        <w:rPr>
          <w:rFonts w:cs="Times New Roman"/>
          <w:i/>
          <w:iCs/>
          <w:szCs w:val="24"/>
        </w:rPr>
        <w:t xml:space="preserve">  </w:t>
      </w:r>
      <w:proofErr w:type="spellStart"/>
      <w:r w:rsidRPr="009F6D1E">
        <w:rPr>
          <w:rFonts w:cs="Times New Roman"/>
          <w:i/>
          <w:iCs/>
          <w:szCs w:val="24"/>
        </w:rPr>
        <w:t>robur</w:t>
      </w:r>
      <w:proofErr w:type="spellEnd"/>
      <w:r w:rsidRPr="009F6D1E">
        <w:rPr>
          <w:rFonts w:cs="Times New Roman"/>
          <w:i/>
          <w:iCs/>
          <w:szCs w:val="24"/>
        </w:rPr>
        <w:t xml:space="preserve">, </w:t>
      </w:r>
      <w:proofErr w:type="spellStart"/>
      <w:r w:rsidRPr="009F6D1E">
        <w:rPr>
          <w:rFonts w:cs="Times New Roman"/>
          <w:i/>
          <w:iCs/>
          <w:szCs w:val="24"/>
        </w:rPr>
        <w:t>Fraxinus</w:t>
      </w:r>
      <w:proofErr w:type="spellEnd"/>
      <w:r w:rsidRPr="009F6D1E">
        <w:rPr>
          <w:rFonts w:cs="Times New Roman"/>
          <w:i/>
          <w:iCs/>
          <w:szCs w:val="24"/>
        </w:rPr>
        <w:t xml:space="preserve"> </w:t>
      </w:r>
      <w:proofErr w:type="spellStart"/>
      <w:r w:rsidRPr="009F6D1E">
        <w:rPr>
          <w:rFonts w:cs="Times New Roman"/>
          <w:i/>
          <w:iCs/>
          <w:szCs w:val="24"/>
        </w:rPr>
        <w:t>oxycarpa</w:t>
      </w:r>
      <w:proofErr w:type="spellEnd"/>
      <w:r w:rsidRPr="009F6D1E">
        <w:rPr>
          <w:rFonts w:cs="Times New Roman"/>
          <w:i/>
          <w:iCs/>
          <w:szCs w:val="24"/>
        </w:rPr>
        <w:t xml:space="preserve">, </w:t>
      </w:r>
      <w:proofErr w:type="spellStart"/>
      <w:r w:rsidRPr="009F6D1E">
        <w:rPr>
          <w:rFonts w:cs="Times New Roman"/>
          <w:i/>
          <w:iCs/>
          <w:szCs w:val="24"/>
        </w:rPr>
        <w:t>Ulmus</w:t>
      </w:r>
      <w:proofErr w:type="spellEnd"/>
      <w:r w:rsidRPr="009F6D1E">
        <w:rPr>
          <w:rFonts w:cs="Times New Roman"/>
          <w:i/>
          <w:iCs/>
          <w:szCs w:val="24"/>
        </w:rPr>
        <w:t xml:space="preserve"> </w:t>
      </w:r>
      <w:proofErr w:type="spellStart"/>
      <w:r w:rsidRPr="009F6D1E">
        <w:rPr>
          <w:rFonts w:cs="Times New Roman"/>
          <w:i/>
          <w:iCs/>
          <w:szCs w:val="24"/>
        </w:rPr>
        <w:t>minor</w:t>
      </w:r>
      <w:proofErr w:type="spellEnd"/>
      <w:r w:rsidRPr="009F6D1E">
        <w:rPr>
          <w:rFonts w:cs="Times New Roman"/>
          <w:i/>
          <w:iCs/>
          <w:szCs w:val="24"/>
        </w:rPr>
        <w:t xml:space="preserve"> </w:t>
      </w:r>
      <w:r w:rsidRPr="009F6D1E">
        <w:rPr>
          <w:rFonts w:cs="Times New Roman"/>
          <w:szCs w:val="24"/>
        </w:rPr>
        <w:t xml:space="preserve"> и други </w:t>
      </w:r>
      <w:proofErr w:type="spellStart"/>
      <w:r w:rsidRPr="009F6D1E">
        <w:rPr>
          <w:rFonts w:cs="Times New Roman"/>
          <w:szCs w:val="24"/>
        </w:rPr>
        <w:t>мезофилни</w:t>
      </w:r>
      <w:proofErr w:type="spellEnd"/>
      <w:r w:rsidRPr="009F6D1E">
        <w:rPr>
          <w:rFonts w:cs="Times New Roman"/>
          <w:szCs w:val="24"/>
        </w:rPr>
        <w:t xml:space="preserve"> и </w:t>
      </w:r>
      <w:proofErr w:type="spellStart"/>
      <w:r w:rsidRPr="009F6D1E">
        <w:rPr>
          <w:rFonts w:cs="Times New Roman"/>
          <w:szCs w:val="24"/>
        </w:rPr>
        <w:t>хигрофилни</w:t>
      </w:r>
      <w:proofErr w:type="spellEnd"/>
      <w:r w:rsidRPr="009F6D1E">
        <w:rPr>
          <w:rFonts w:cs="Times New Roman"/>
          <w:szCs w:val="24"/>
        </w:rPr>
        <w:t xml:space="preserve"> дървесни видове. Значително е намаляло и разпространението на </w:t>
      </w:r>
      <w:proofErr w:type="spellStart"/>
      <w:r w:rsidRPr="009F6D1E">
        <w:rPr>
          <w:rFonts w:cs="Times New Roman"/>
          <w:szCs w:val="24"/>
        </w:rPr>
        <w:t>мочурни</w:t>
      </w:r>
      <w:proofErr w:type="spellEnd"/>
      <w:r w:rsidRPr="009F6D1E">
        <w:rPr>
          <w:rFonts w:cs="Times New Roman"/>
          <w:szCs w:val="24"/>
        </w:rPr>
        <w:t xml:space="preserve"> и блатни </w:t>
      </w:r>
      <w:proofErr w:type="spellStart"/>
      <w:r w:rsidRPr="009F6D1E">
        <w:rPr>
          <w:rFonts w:cs="Times New Roman"/>
          <w:szCs w:val="24"/>
        </w:rPr>
        <w:t>ценози</w:t>
      </w:r>
      <w:proofErr w:type="spellEnd"/>
      <w:r w:rsidRPr="009F6D1E">
        <w:rPr>
          <w:rFonts w:cs="Times New Roman"/>
          <w:szCs w:val="24"/>
        </w:rPr>
        <w:t xml:space="preserve"> на </w:t>
      </w:r>
      <w:proofErr w:type="spellStart"/>
      <w:r w:rsidRPr="009F6D1E">
        <w:rPr>
          <w:rFonts w:cs="Times New Roman"/>
          <w:i/>
          <w:iCs/>
          <w:szCs w:val="24"/>
        </w:rPr>
        <w:t>Phragmites</w:t>
      </w:r>
      <w:proofErr w:type="spellEnd"/>
      <w:r w:rsidRPr="009F6D1E">
        <w:rPr>
          <w:rFonts w:cs="Times New Roman"/>
          <w:i/>
          <w:iCs/>
          <w:szCs w:val="24"/>
        </w:rPr>
        <w:t xml:space="preserve"> </w:t>
      </w:r>
      <w:proofErr w:type="spellStart"/>
      <w:r w:rsidRPr="009F6D1E">
        <w:rPr>
          <w:rFonts w:cs="Times New Roman"/>
          <w:i/>
          <w:iCs/>
          <w:szCs w:val="24"/>
        </w:rPr>
        <w:t>communis</w:t>
      </w:r>
      <w:proofErr w:type="spellEnd"/>
      <w:r w:rsidRPr="009F6D1E">
        <w:rPr>
          <w:rFonts w:cs="Times New Roman"/>
          <w:i/>
          <w:iCs/>
          <w:szCs w:val="24"/>
        </w:rPr>
        <w:t xml:space="preserve">, </w:t>
      </w:r>
      <w:proofErr w:type="spellStart"/>
      <w:r w:rsidRPr="009F6D1E">
        <w:rPr>
          <w:rFonts w:cs="Times New Roman"/>
          <w:i/>
          <w:iCs/>
          <w:szCs w:val="24"/>
        </w:rPr>
        <w:t>Typha</w:t>
      </w:r>
      <w:proofErr w:type="spellEnd"/>
      <w:r w:rsidRPr="009F6D1E">
        <w:rPr>
          <w:rFonts w:cs="Times New Roman"/>
          <w:szCs w:val="24"/>
        </w:rPr>
        <w:t xml:space="preserve"> </w:t>
      </w:r>
      <w:proofErr w:type="spellStart"/>
      <w:r w:rsidRPr="009F6D1E">
        <w:rPr>
          <w:rFonts w:cs="Times New Roman"/>
          <w:szCs w:val="24"/>
        </w:rPr>
        <w:t>sp</w:t>
      </w:r>
      <w:proofErr w:type="spellEnd"/>
      <w:r w:rsidRPr="009F6D1E">
        <w:rPr>
          <w:rFonts w:cs="Times New Roman"/>
          <w:szCs w:val="24"/>
        </w:rPr>
        <w:t>., </w:t>
      </w:r>
      <w:proofErr w:type="spellStart"/>
      <w:r w:rsidRPr="009F6D1E">
        <w:rPr>
          <w:rFonts w:cs="Times New Roman"/>
          <w:i/>
          <w:iCs/>
          <w:szCs w:val="24"/>
        </w:rPr>
        <w:t>Nymphaea</w:t>
      </w:r>
      <w:proofErr w:type="spellEnd"/>
      <w:r w:rsidRPr="009F6D1E">
        <w:rPr>
          <w:rFonts w:cs="Times New Roman"/>
          <w:i/>
          <w:iCs/>
          <w:szCs w:val="24"/>
        </w:rPr>
        <w:t xml:space="preserve"> </w:t>
      </w:r>
      <w:proofErr w:type="spellStart"/>
      <w:r w:rsidRPr="009F6D1E">
        <w:rPr>
          <w:rFonts w:cs="Times New Roman"/>
          <w:i/>
          <w:iCs/>
          <w:szCs w:val="24"/>
        </w:rPr>
        <w:t>alba</w:t>
      </w:r>
      <w:proofErr w:type="spellEnd"/>
      <w:r w:rsidRPr="009F6D1E">
        <w:rPr>
          <w:rFonts w:cs="Times New Roman"/>
          <w:i/>
          <w:iCs/>
          <w:szCs w:val="24"/>
        </w:rPr>
        <w:t xml:space="preserve">, </w:t>
      </w:r>
      <w:proofErr w:type="spellStart"/>
      <w:r w:rsidRPr="009F6D1E">
        <w:rPr>
          <w:rFonts w:cs="Times New Roman"/>
          <w:i/>
          <w:iCs/>
          <w:szCs w:val="24"/>
        </w:rPr>
        <w:t>Nymphoides</w:t>
      </w:r>
      <w:proofErr w:type="spellEnd"/>
      <w:r w:rsidRPr="009F6D1E">
        <w:rPr>
          <w:rFonts w:cs="Times New Roman"/>
          <w:i/>
          <w:iCs/>
          <w:szCs w:val="24"/>
        </w:rPr>
        <w:t xml:space="preserve"> </w:t>
      </w:r>
      <w:proofErr w:type="spellStart"/>
      <w:r w:rsidRPr="009F6D1E">
        <w:rPr>
          <w:rFonts w:cs="Times New Roman"/>
          <w:i/>
          <w:iCs/>
          <w:szCs w:val="24"/>
        </w:rPr>
        <w:t>peltata</w:t>
      </w:r>
      <w:proofErr w:type="spellEnd"/>
      <w:r w:rsidRPr="009F6D1E">
        <w:rPr>
          <w:rFonts w:cs="Times New Roman"/>
          <w:i/>
          <w:iCs/>
          <w:szCs w:val="24"/>
        </w:rPr>
        <w:t xml:space="preserve">, </w:t>
      </w:r>
      <w:proofErr w:type="spellStart"/>
      <w:r w:rsidRPr="009F6D1E">
        <w:rPr>
          <w:rFonts w:cs="Times New Roman"/>
          <w:i/>
          <w:iCs/>
          <w:szCs w:val="24"/>
        </w:rPr>
        <w:t>Nuphar</w:t>
      </w:r>
      <w:proofErr w:type="spellEnd"/>
      <w:r w:rsidRPr="009F6D1E">
        <w:rPr>
          <w:rFonts w:cs="Times New Roman"/>
          <w:i/>
          <w:iCs/>
          <w:szCs w:val="24"/>
        </w:rPr>
        <w:t xml:space="preserve"> </w:t>
      </w:r>
      <w:proofErr w:type="spellStart"/>
      <w:r w:rsidRPr="009F6D1E">
        <w:rPr>
          <w:rFonts w:cs="Times New Roman"/>
          <w:i/>
          <w:iCs/>
          <w:szCs w:val="24"/>
        </w:rPr>
        <w:t>lutea</w:t>
      </w:r>
      <w:proofErr w:type="spellEnd"/>
      <w:r w:rsidRPr="009F6D1E">
        <w:rPr>
          <w:rFonts w:cs="Times New Roman"/>
          <w:szCs w:val="24"/>
        </w:rPr>
        <w:t> и др.</w:t>
      </w:r>
    </w:p>
    <w:p w14:paraId="3F5A59C0"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Разнообразието на растителната покривка в България се допълва и от </w:t>
      </w:r>
      <w:proofErr w:type="spellStart"/>
      <w:r w:rsidRPr="009F6D1E">
        <w:rPr>
          <w:rFonts w:cs="Times New Roman"/>
          <w:szCs w:val="24"/>
        </w:rPr>
        <w:t>халофитната</w:t>
      </w:r>
      <w:proofErr w:type="spellEnd"/>
      <w:r w:rsidRPr="009F6D1E">
        <w:rPr>
          <w:rFonts w:cs="Times New Roman"/>
          <w:szCs w:val="24"/>
        </w:rPr>
        <w:t xml:space="preserve">  и </w:t>
      </w:r>
      <w:proofErr w:type="spellStart"/>
      <w:r w:rsidRPr="009F6D1E">
        <w:rPr>
          <w:rFonts w:cs="Times New Roman"/>
          <w:szCs w:val="24"/>
        </w:rPr>
        <w:t>псамофитната</w:t>
      </w:r>
      <w:proofErr w:type="spellEnd"/>
      <w:r w:rsidRPr="009F6D1E">
        <w:rPr>
          <w:rFonts w:cs="Times New Roman"/>
          <w:szCs w:val="24"/>
        </w:rPr>
        <w:t xml:space="preserve"> растителност. В </w:t>
      </w:r>
      <w:proofErr w:type="spellStart"/>
      <w:r w:rsidRPr="009F6D1E">
        <w:rPr>
          <w:rFonts w:cs="Times New Roman"/>
          <w:szCs w:val="24"/>
        </w:rPr>
        <w:t>халофитните</w:t>
      </w:r>
      <w:proofErr w:type="spellEnd"/>
      <w:r w:rsidRPr="009F6D1E">
        <w:rPr>
          <w:rFonts w:cs="Times New Roman"/>
          <w:szCs w:val="24"/>
        </w:rPr>
        <w:t xml:space="preserve"> </w:t>
      </w:r>
      <w:proofErr w:type="spellStart"/>
      <w:r w:rsidRPr="009F6D1E">
        <w:rPr>
          <w:rFonts w:cs="Times New Roman"/>
          <w:szCs w:val="24"/>
        </w:rPr>
        <w:t>ценози</w:t>
      </w:r>
      <w:proofErr w:type="spellEnd"/>
      <w:r w:rsidRPr="009F6D1E">
        <w:rPr>
          <w:rFonts w:cs="Times New Roman"/>
          <w:szCs w:val="24"/>
        </w:rPr>
        <w:t xml:space="preserve"> най-често доминират </w:t>
      </w:r>
      <w:proofErr w:type="spellStart"/>
      <w:r w:rsidRPr="009F6D1E">
        <w:rPr>
          <w:rFonts w:cs="Times New Roman"/>
          <w:i/>
          <w:iCs/>
          <w:szCs w:val="24"/>
        </w:rPr>
        <w:t>Puccinellia</w:t>
      </w:r>
      <w:proofErr w:type="spellEnd"/>
      <w:r w:rsidRPr="009F6D1E">
        <w:rPr>
          <w:rFonts w:cs="Times New Roman"/>
          <w:i/>
          <w:iCs/>
          <w:szCs w:val="24"/>
        </w:rPr>
        <w:t xml:space="preserve"> </w:t>
      </w:r>
      <w:proofErr w:type="spellStart"/>
      <w:r w:rsidRPr="009F6D1E">
        <w:rPr>
          <w:rFonts w:cs="Times New Roman"/>
          <w:i/>
          <w:iCs/>
          <w:szCs w:val="24"/>
        </w:rPr>
        <w:t>convoluta</w:t>
      </w:r>
      <w:proofErr w:type="spellEnd"/>
      <w:r w:rsidRPr="009F6D1E">
        <w:rPr>
          <w:rFonts w:cs="Times New Roman"/>
          <w:i/>
          <w:iCs/>
          <w:szCs w:val="24"/>
        </w:rPr>
        <w:t xml:space="preserve">, </w:t>
      </w:r>
      <w:proofErr w:type="spellStart"/>
      <w:r w:rsidRPr="009F6D1E">
        <w:rPr>
          <w:rFonts w:cs="Times New Roman"/>
          <w:i/>
          <w:iCs/>
          <w:szCs w:val="24"/>
        </w:rPr>
        <w:t>Limonium</w:t>
      </w:r>
      <w:proofErr w:type="spellEnd"/>
      <w:r w:rsidRPr="009F6D1E">
        <w:rPr>
          <w:rFonts w:cs="Times New Roman"/>
          <w:i/>
          <w:iCs/>
          <w:szCs w:val="24"/>
        </w:rPr>
        <w:t xml:space="preserve"> </w:t>
      </w:r>
      <w:proofErr w:type="spellStart"/>
      <w:r w:rsidRPr="009F6D1E">
        <w:rPr>
          <w:rFonts w:cs="Times New Roman"/>
          <w:i/>
          <w:iCs/>
          <w:szCs w:val="24"/>
        </w:rPr>
        <w:t>gmelinii</w:t>
      </w:r>
      <w:proofErr w:type="spellEnd"/>
      <w:r w:rsidRPr="009F6D1E">
        <w:rPr>
          <w:rFonts w:cs="Times New Roman"/>
          <w:i/>
          <w:iCs/>
          <w:szCs w:val="24"/>
        </w:rPr>
        <w:t xml:space="preserve">, </w:t>
      </w:r>
      <w:proofErr w:type="spellStart"/>
      <w:r w:rsidRPr="009F6D1E">
        <w:rPr>
          <w:rFonts w:cs="Times New Roman"/>
          <w:i/>
          <w:iCs/>
          <w:szCs w:val="24"/>
        </w:rPr>
        <w:t>Camphorosma</w:t>
      </w:r>
      <w:proofErr w:type="spellEnd"/>
      <w:r w:rsidRPr="009F6D1E">
        <w:rPr>
          <w:rFonts w:cs="Times New Roman"/>
          <w:i/>
          <w:iCs/>
          <w:szCs w:val="24"/>
        </w:rPr>
        <w:t xml:space="preserve"> </w:t>
      </w:r>
      <w:proofErr w:type="spellStart"/>
      <w:r w:rsidRPr="009F6D1E">
        <w:rPr>
          <w:rFonts w:cs="Times New Roman"/>
          <w:i/>
          <w:iCs/>
          <w:szCs w:val="24"/>
        </w:rPr>
        <w:t>monspeliaca</w:t>
      </w:r>
      <w:proofErr w:type="spellEnd"/>
      <w:r w:rsidRPr="009F6D1E">
        <w:rPr>
          <w:rFonts w:cs="Times New Roman"/>
          <w:szCs w:val="24"/>
        </w:rPr>
        <w:t xml:space="preserve"> и др. В състава на </w:t>
      </w:r>
      <w:proofErr w:type="spellStart"/>
      <w:r w:rsidRPr="009F6D1E">
        <w:rPr>
          <w:rFonts w:cs="Times New Roman"/>
          <w:szCs w:val="24"/>
        </w:rPr>
        <w:t>псамофитните</w:t>
      </w:r>
      <w:proofErr w:type="spellEnd"/>
      <w:r w:rsidRPr="009F6D1E">
        <w:rPr>
          <w:rFonts w:cs="Times New Roman"/>
          <w:szCs w:val="24"/>
        </w:rPr>
        <w:t xml:space="preserve"> </w:t>
      </w:r>
      <w:proofErr w:type="spellStart"/>
      <w:r w:rsidRPr="009F6D1E">
        <w:rPr>
          <w:rFonts w:cs="Times New Roman"/>
          <w:szCs w:val="24"/>
        </w:rPr>
        <w:t>ценози</w:t>
      </w:r>
      <w:proofErr w:type="spellEnd"/>
      <w:r w:rsidRPr="009F6D1E">
        <w:rPr>
          <w:rFonts w:cs="Times New Roman"/>
          <w:szCs w:val="24"/>
        </w:rPr>
        <w:t xml:space="preserve"> на </w:t>
      </w:r>
      <w:proofErr w:type="spellStart"/>
      <w:r w:rsidRPr="009F6D1E">
        <w:rPr>
          <w:rFonts w:cs="Times New Roman"/>
          <w:i/>
          <w:iCs/>
          <w:szCs w:val="24"/>
        </w:rPr>
        <w:t>Leymus</w:t>
      </w:r>
      <w:proofErr w:type="spellEnd"/>
      <w:r w:rsidRPr="009F6D1E">
        <w:rPr>
          <w:rFonts w:cs="Times New Roman"/>
          <w:i/>
          <w:iCs/>
          <w:szCs w:val="24"/>
        </w:rPr>
        <w:t xml:space="preserve"> </w:t>
      </w:r>
      <w:proofErr w:type="spellStart"/>
      <w:r w:rsidRPr="009F6D1E">
        <w:rPr>
          <w:rFonts w:cs="Times New Roman"/>
          <w:i/>
          <w:iCs/>
          <w:szCs w:val="24"/>
        </w:rPr>
        <w:t>racemosus</w:t>
      </w:r>
      <w:proofErr w:type="spellEnd"/>
      <w:r w:rsidRPr="009F6D1E">
        <w:rPr>
          <w:rFonts w:cs="Times New Roman"/>
          <w:i/>
          <w:iCs/>
          <w:szCs w:val="24"/>
        </w:rPr>
        <w:t xml:space="preserve">, </w:t>
      </w:r>
      <w:proofErr w:type="spellStart"/>
      <w:r w:rsidRPr="009F6D1E">
        <w:rPr>
          <w:rFonts w:cs="Times New Roman"/>
          <w:i/>
          <w:iCs/>
          <w:szCs w:val="24"/>
        </w:rPr>
        <w:t>Ammophila</w:t>
      </w:r>
      <w:proofErr w:type="spellEnd"/>
      <w:r w:rsidRPr="009F6D1E">
        <w:rPr>
          <w:rFonts w:cs="Times New Roman"/>
          <w:i/>
          <w:iCs/>
          <w:szCs w:val="24"/>
        </w:rPr>
        <w:t xml:space="preserve"> </w:t>
      </w:r>
      <w:proofErr w:type="spellStart"/>
      <w:r w:rsidRPr="009F6D1E">
        <w:rPr>
          <w:rFonts w:cs="Times New Roman"/>
          <w:i/>
          <w:iCs/>
          <w:szCs w:val="24"/>
        </w:rPr>
        <w:t>arenaria</w:t>
      </w:r>
      <w:proofErr w:type="spellEnd"/>
      <w:r w:rsidRPr="009F6D1E">
        <w:rPr>
          <w:rFonts w:cs="Times New Roman"/>
          <w:i/>
          <w:iCs/>
          <w:szCs w:val="24"/>
        </w:rPr>
        <w:t xml:space="preserve">, </w:t>
      </w:r>
      <w:proofErr w:type="spellStart"/>
      <w:r w:rsidRPr="009F6D1E">
        <w:rPr>
          <w:rFonts w:cs="Times New Roman"/>
          <w:i/>
          <w:iCs/>
          <w:szCs w:val="24"/>
        </w:rPr>
        <w:t>Galilea</w:t>
      </w:r>
      <w:proofErr w:type="spellEnd"/>
      <w:r w:rsidRPr="009F6D1E">
        <w:rPr>
          <w:rFonts w:cs="Times New Roman"/>
          <w:i/>
          <w:iCs/>
          <w:szCs w:val="24"/>
        </w:rPr>
        <w:t xml:space="preserve"> </w:t>
      </w:r>
      <w:proofErr w:type="spellStart"/>
      <w:r w:rsidRPr="009F6D1E">
        <w:rPr>
          <w:rFonts w:cs="Times New Roman"/>
          <w:i/>
          <w:iCs/>
          <w:szCs w:val="24"/>
        </w:rPr>
        <w:t>mucronata</w:t>
      </w:r>
      <w:proofErr w:type="spellEnd"/>
      <w:r w:rsidRPr="009F6D1E">
        <w:rPr>
          <w:rFonts w:cs="Times New Roman"/>
          <w:i/>
          <w:iCs/>
          <w:szCs w:val="24"/>
        </w:rPr>
        <w:t xml:space="preserve">, </w:t>
      </w:r>
      <w:proofErr w:type="spellStart"/>
      <w:r w:rsidRPr="009F6D1E">
        <w:rPr>
          <w:rFonts w:cs="Times New Roman"/>
          <w:i/>
          <w:iCs/>
          <w:szCs w:val="24"/>
        </w:rPr>
        <w:t>Artemisia</w:t>
      </w:r>
      <w:proofErr w:type="spellEnd"/>
      <w:r w:rsidRPr="009F6D1E">
        <w:rPr>
          <w:rFonts w:cs="Times New Roman"/>
          <w:i/>
          <w:iCs/>
          <w:szCs w:val="24"/>
        </w:rPr>
        <w:t xml:space="preserve"> </w:t>
      </w:r>
      <w:proofErr w:type="spellStart"/>
      <w:r w:rsidRPr="009F6D1E">
        <w:rPr>
          <w:rFonts w:cs="Times New Roman"/>
          <w:i/>
          <w:iCs/>
          <w:szCs w:val="24"/>
        </w:rPr>
        <w:t>campestris</w:t>
      </w:r>
      <w:proofErr w:type="spellEnd"/>
      <w:r w:rsidRPr="009F6D1E">
        <w:rPr>
          <w:rFonts w:cs="Times New Roman"/>
          <w:i/>
          <w:iCs/>
          <w:szCs w:val="24"/>
        </w:rPr>
        <w:t> </w:t>
      </w:r>
      <w:r w:rsidRPr="009F6D1E">
        <w:rPr>
          <w:rFonts w:cs="Times New Roman"/>
          <w:szCs w:val="24"/>
        </w:rPr>
        <w:t xml:space="preserve">и др. има немалко редки видове и </w:t>
      </w:r>
      <w:proofErr w:type="spellStart"/>
      <w:r w:rsidRPr="009F6D1E">
        <w:rPr>
          <w:rFonts w:cs="Times New Roman"/>
          <w:szCs w:val="24"/>
        </w:rPr>
        <w:t>ендемити</w:t>
      </w:r>
      <w:proofErr w:type="spellEnd"/>
      <w:r w:rsidRPr="009F6D1E">
        <w:rPr>
          <w:rFonts w:cs="Times New Roman"/>
          <w:szCs w:val="24"/>
        </w:rPr>
        <w:t xml:space="preserve">. Крайбрежните скали и скалните разкрития във вътрешността на страната са местообитания на особено редки </w:t>
      </w:r>
      <w:proofErr w:type="spellStart"/>
      <w:r w:rsidRPr="009F6D1E">
        <w:rPr>
          <w:rFonts w:cs="Times New Roman"/>
          <w:szCs w:val="24"/>
        </w:rPr>
        <w:t>фитоценози</w:t>
      </w:r>
      <w:proofErr w:type="spellEnd"/>
      <w:r w:rsidRPr="009F6D1E">
        <w:rPr>
          <w:rFonts w:cs="Times New Roman"/>
          <w:szCs w:val="24"/>
        </w:rPr>
        <w:t xml:space="preserve"> и ендемични видове.</w:t>
      </w:r>
    </w:p>
    <w:p w14:paraId="0831F74A"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Според Класификацията на местообитанията на EUNIS, в страната са идентифицирани 166 </w:t>
      </w:r>
      <w:proofErr w:type="spellStart"/>
      <w:r w:rsidRPr="009F6D1E">
        <w:rPr>
          <w:rFonts w:cs="Times New Roman"/>
          <w:szCs w:val="24"/>
        </w:rPr>
        <w:t>консервационно</w:t>
      </w:r>
      <w:proofErr w:type="spellEnd"/>
      <w:r w:rsidRPr="009F6D1E">
        <w:rPr>
          <w:rFonts w:cs="Times New Roman"/>
          <w:szCs w:val="24"/>
        </w:rPr>
        <w:t xml:space="preserve"> значими природни местообитания, които са обект на Червената книга и подлежат на природозащитни мерки за опазване и възстановяване. Те принадлежат към шест основни групи: морски местообитания – 11 бр.; крайбрежни местообитания – 8 бр.; вътрешни водоеми – 21 бр.; блата, мочурища и торфища – 6 бр.; тревни съобщества и съобщества от мъхове и лишеи – 32 бр.; храстови съобщества – 32 бр.; гори – 40 бр.; вътрешноконтинентални скални местообитания – 16 бр.</w:t>
      </w:r>
    </w:p>
    <w:p w14:paraId="7FE891DE"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По категории на </w:t>
      </w:r>
      <w:proofErr w:type="spellStart"/>
      <w:r w:rsidRPr="009F6D1E">
        <w:rPr>
          <w:rFonts w:cs="Times New Roman"/>
          <w:szCs w:val="24"/>
        </w:rPr>
        <w:t>застрашеност</w:t>
      </w:r>
      <w:proofErr w:type="spellEnd"/>
      <w:r w:rsidRPr="009F6D1E">
        <w:rPr>
          <w:rFonts w:cs="Times New Roman"/>
          <w:szCs w:val="24"/>
        </w:rPr>
        <w:t xml:space="preserve"> природните местообитания в Том 3 се разпределят, както следва: Критично застрашени (CR) – 28 бр., Застрашени (ЕN) – 71 бр., Уязвими (VU) – 47 бр., Потенциално застрашени (NT) – 20 бр.</w:t>
      </w:r>
    </w:p>
    <w:p w14:paraId="1830F680" w14:textId="77777777" w:rsidR="00D6187E" w:rsidRPr="009F6D1E" w:rsidRDefault="00D6187E" w:rsidP="0084747F">
      <w:pPr>
        <w:spacing w:after="60" w:line="264" w:lineRule="auto"/>
        <w:ind w:firstLine="709"/>
        <w:contextualSpacing/>
        <w:jc w:val="both"/>
        <w:rPr>
          <w:rFonts w:cs="Times New Roman"/>
          <w:i/>
          <w:szCs w:val="24"/>
          <w:u w:val="single"/>
        </w:rPr>
      </w:pPr>
    </w:p>
    <w:p w14:paraId="296D41ED" w14:textId="77777777" w:rsidR="00D6187E" w:rsidRPr="009F6D1E" w:rsidRDefault="00D6187E" w:rsidP="000B15B6">
      <w:pPr>
        <w:pStyle w:val="ListParagraph"/>
        <w:numPr>
          <w:ilvl w:val="0"/>
          <w:numId w:val="25"/>
        </w:numPr>
        <w:spacing w:after="60" w:line="264" w:lineRule="auto"/>
        <w:jc w:val="both"/>
        <w:rPr>
          <w:i/>
          <w:color w:val="000000" w:themeColor="text1"/>
          <w:u w:val="single"/>
          <w:lang w:val="bg-BG"/>
        </w:rPr>
      </w:pPr>
      <w:proofErr w:type="spellStart"/>
      <w:r w:rsidRPr="009F6D1E">
        <w:rPr>
          <w:i/>
          <w:color w:val="000000" w:themeColor="text1"/>
          <w:u w:val="single"/>
          <w:lang w:val="bg-BG"/>
        </w:rPr>
        <w:lastRenderedPageBreak/>
        <w:t>Микота</w:t>
      </w:r>
      <w:proofErr w:type="spellEnd"/>
    </w:p>
    <w:p w14:paraId="5F86E821"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състава на българската </w:t>
      </w:r>
      <w:proofErr w:type="spellStart"/>
      <w:r w:rsidRPr="009F6D1E">
        <w:rPr>
          <w:rFonts w:cs="Times New Roman"/>
          <w:szCs w:val="24"/>
        </w:rPr>
        <w:t>микота</w:t>
      </w:r>
      <w:proofErr w:type="spellEnd"/>
      <w:r w:rsidRPr="009F6D1E">
        <w:rPr>
          <w:rFonts w:cs="Times New Roman"/>
          <w:szCs w:val="24"/>
        </w:rPr>
        <w:t xml:space="preserve"> до момента са установени 4900 вида. Разнообразието на </w:t>
      </w:r>
      <w:proofErr w:type="spellStart"/>
      <w:r w:rsidRPr="009F6D1E">
        <w:rPr>
          <w:rFonts w:cs="Times New Roman"/>
          <w:szCs w:val="24"/>
        </w:rPr>
        <w:t>гъбоподобните</w:t>
      </w:r>
      <w:proofErr w:type="spellEnd"/>
      <w:r w:rsidRPr="009F6D1E">
        <w:rPr>
          <w:rFonts w:cs="Times New Roman"/>
          <w:szCs w:val="24"/>
        </w:rPr>
        <w:t xml:space="preserve"> организми и гъбите, чийто генетичен ресурс включва </w:t>
      </w:r>
      <w:proofErr w:type="spellStart"/>
      <w:r w:rsidRPr="009F6D1E">
        <w:rPr>
          <w:rFonts w:cs="Times New Roman"/>
          <w:szCs w:val="24"/>
        </w:rPr>
        <w:t>микромицетите</w:t>
      </w:r>
      <w:proofErr w:type="spellEnd"/>
      <w:r w:rsidRPr="009F6D1E">
        <w:rPr>
          <w:rFonts w:cs="Times New Roman"/>
          <w:szCs w:val="24"/>
        </w:rPr>
        <w:t xml:space="preserve"> и </w:t>
      </w:r>
      <w:proofErr w:type="spellStart"/>
      <w:r w:rsidRPr="009F6D1E">
        <w:rPr>
          <w:rFonts w:cs="Times New Roman"/>
          <w:szCs w:val="24"/>
        </w:rPr>
        <w:t>макромицетите</w:t>
      </w:r>
      <w:proofErr w:type="spellEnd"/>
      <w:r w:rsidRPr="009F6D1E">
        <w:rPr>
          <w:rFonts w:cs="Times New Roman"/>
          <w:szCs w:val="24"/>
        </w:rPr>
        <w:t xml:space="preserve">, се оценява, проучва и опазва на основата на комплексен подход. Поради засилващото се неконтролирано събиране на </w:t>
      </w:r>
      <w:proofErr w:type="spellStart"/>
      <w:r w:rsidRPr="009F6D1E">
        <w:rPr>
          <w:rFonts w:cs="Times New Roman"/>
          <w:szCs w:val="24"/>
        </w:rPr>
        <w:t>макромицети</w:t>
      </w:r>
      <w:proofErr w:type="spellEnd"/>
      <w:r w:rsidRPr="009F6D1E">
        <w:rPr>
          <w:rFonts w:cs="Times New Roman"/>
          <w:szCs w:val="24"/>
        </w:rPr>
        <w:t xml:space="preserve"> в България тяхното опазване става особено приоритетно. В Червената книга на Република България (2011) са включени 149 вида гъби, от които (критично застрашени – 37, застрашени – 104, уязвими – 8 вида.</w:t>
      </w:r>
    </w:p>
    <w:p w14:paraId="55841B52" w14:textId="77777777" w:rsidR="00D16272" w:rsidRPr="009F6D1E" w:rsidRDefault="00D16272" w:rsidP="0084747F">
      <w:pPr>
        <w:tabs>
          <w:tab w:val="left" w:pos="701"/>
        </w:tabs>
        <w:spacing w:after="60" w:line="264" w:lineRule="auto"/>
        <w:ind w:left="1571" w:hanging="720"/>
        <w:jc w:val="both"/>
        <w:rPr>
          <w:rFonts w:eastAsia="Times New Roman" w:cs="Times New Roman"/>
          <w:b/>
          <w:bCs/>
          <w:iCs/>
          <w:szCs w:val="24"/>
        </w:rPr>
      </w:pPr>
      <w:r w:rsidRPr="009F6D1E">
        <w:rPr>
          <w:rFonts w:eastAsia="Times New Roman" w:cs="Times New Roman"/>
          <w:b/>
          <w:bCs/>
          <w:iCs/>
          <w:szCs w:val="24"/>
        </w:rPr>
        <w:t xml:space="preserve">        </w:t>
      </w:r>
      <w:r w:rsidRPr="009F6D1E">
        <w:rPr>
          <w:rFonts w:eastAsia="Times New Roman" w:cs="Times New Roman"/>
          <w:b/>
          <w:bCs/>
          <w:iCs/>
          <w:szCs w:val="24"/>
        </w:rPr>
        <w:tab/>
        <w:t xml:space="preserve">  </w:t>
      </w:r>
    </w:p>
    <w:p w14:paraId="4818F0C1" w14:textId="77777777" w:rsidR="00D16272" w:rsidRPr="009F6D1E" w:rsidRDefault="009819DF">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 </w:t>
      </w:r>
      <w:r w:rsidR="00D6187E" w:rsidRPr="009F6D1E">
        <w:rPr>
          <w:b/>
          <w:bCs/>
          <w:smallCaps w:val="0"/>
          <w:color w:val="262626" w:themeColor="text1" w:themeTint="D9"/>
          <w:lang w:eastAsia="en-US" w:bidi="ar-SA"/>
        </w:rPr>
        <w:t>Фауна</w:t>
      </w:r>
    </w:p>
    <w:p w14:paraId="7FD8FF64" w14:textId="77777777" w:rsidR="00D16272" w:rsidRPr="009F6D1E" w:rsidRDefault="00D16272" w:rsidP="0084747F">
      <w:pPr>
        <w:spacing w:after="60" w:line="264" w:lineRule="auto"/>
        <w:jc w:val="both"/>
        <w:rPr>
          <w:rFonts w:eastAsia="Times New Roman" w:cs="Times New Roman"/>
          <w:b/>
          <w:bCs/>
          <w:i/>
          <w:iCs/>
          <w:color w:val="000000"/>
          <w:szCs w:val="24"/>
          <w:highlight w:val="yellow"/>
        </w:rPr>
      </w:pPr>
    </w:p>
    <w:p w14:paraId="42CA9304"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По богатство и разнообразие на своята фауна, България е на едно от първите места в Европа. Нейното географско положение в югоизточната част на континента, сложното </w:t>
      </w:r>
      <w:proofErr w:type="spellStart"/>
      <w:r w:rsidRPr="009F6D1E">
        <w:rPr>
          <w:rFonts w:cs="Times New Roman"/>
          <w:szCs w:val="24"/>
        </w:rPr>
        <w:t>палеогеографско</w:t>
      </w:r>
      <w:proofErr w:type="spellEnd"/>
      <w:r w:rsidRPr="009F6D1E">
        <w:rPr>
          <w:rFonts w:cs="Times New Roman"/>
          <w:szCs w:val="24"/>
        </w:rPr>
        <w:t xml:space="preserve"> и </w:t>
      </w:r>
      <w:proofErr w:type="spellStart"/>
      <w:r w:rsidRPr="009F6D1E">
        <w:rPr>
          <w:rFonts w:cs="Times New Roman"/>
          <w:szCs w:val="24"/>
        </w:rPr>
        <w:t>палеоклиматично</w:t>
      </w:r>
      <w:proofErr w:type="spellEnd"/>
      <w:r w:rsidRPr="009F6D1E">
        <w:rPr>
          <w:rFonts w:cs="Times New Roman"/>
          <w:szCs w:val="24"/>
        </w:rPr>
        <w:t xml:space="preserve"> минало, разнообразният релеф и климат, наличието на достатъчно сладководни ресурси и близостта с Черно море, значителният горски фонд и др. са основни фактори, благоприятстващи съществуването на богато </w:t>
      </w:r>
      <w:proofErr w:type="spellStart"/>
      <w:r w:rsidRPr="009F6D1E">
        <w:rPr>
          <w:rFonts w:cs="Times New Roman"/>
          <w:szCs w:val="24"/>
        </w:rPr>
        <w:t>фаунистично</w:t>
      </w:r>
      <w:proofErr w:type="spellEnd"/>
      <w:r w:rsidRPr="009F6D1E">
        <w:rPr>
          <w:rFonts w:cs="Times New Roman"/>
          <w:szCs w:val="24"/>
        </w:rPr>
        <w:t xml:space="preserve"> разнообразие. </w:t>
      </w:r>
    </w:p>
    <w:p w14:paraId="7076EBAC"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зоогеографско отношение сухоземната фауна на България се отнася към </w:t>
      </w:r>
      <w:proofErr w:type="spellStart"/>
      <w:r w:rsidRPr="009F6D1E">
        <w:rPr>
          <w:rFonts w:cs="Times New Roman"/>
          <w:szCs w:val="24"/>
        </w:rPr>
        <w:t>Палеарктичната</w:t>
      </w:r>
      <w:proofErr w:type="spellEnd"/>
      <w:r w:rsidRPr="009F6D1E">
        <w:rPr>
          <w:rFonts w:cs="Times New Roman"/>
          <w:szCs w:val="24"/>
        </w:rPr>
        <w:t xml:space="preserve"> зоогеографска област на </w:t>
      </w:r>
      <w:proofErr w:type="spellStart"/>
      <w:r w:rsidRPr="009F6D1E">
        <w:rPr>
          <w:rFonts w:cs="Times New Roman"/>
          <w:szCs w:val="24"/>
        </w:rPr>
        <w:t>Холарктичното</w:t>
      </w:r>
      <w:proofErr w:type="spellEnd"/>
      <w:r w:rsidRPr="009F6D1E">
        <w:rPr>
          <w:rFonts w:cs="Times New Roman"/>
          <w:szCs w:val="24"/>
        </w:rPr>
        <w:t xml:space="preserve"> царство. България е разположена в Евросибирската зоогеографска подобласт, но граничи c </w:t>
      </w:r>
      <w:proofErr w:type="spellStart"/>
      <w:r w:rsidRPr="009F6D1E">
        <w:rPr>
          <w:rFonts w:cs="Times New Roman"/>
          <w:szCs w:val="24"/>
        </w:rPr>
        <w:t>Медитеранската</w:t>
      </w:r>
      <w:proofErr w:type="spellEnd"/>
      <w:r w:rsidRPr="009F6D1E">
        <w:rPr>
          <w:rFonts w:cs="Times New Roman"/>
          <w:szCs w:val="24"/>
        </w:rPr>
        <w:t xml:space="preserve">. Поради това в страната се срещат два основни зоогеографски комплекса - северен (евросибирски), формиран от студоустойчиви видове животни, и южен, включващ множество топлолюбиви видове. От северния комплекс най-широко разпространени са </w:t>
      </w:r>
      <w:proofErr w:type="spellStart"/>
      <w:r w:rsidRPr="009F6D1E">
        <w:rPr>
          <w:rFonts w:cs="Times New Roman"/>
          <w:szCs w:val="24"/>
        </w:rPr>
        <w:t>холарктичните</w:t>
      </w:r>
      <w:proofErr w:type="spellEnd"/>
      <w:r w:rsidRPr="009F6D1E">
        <w:rPr>
          <w:rFonts w:cs="Times New Roman"/>
          <w:szCs w:val="24"/>
        </w:rPr>
        <w:t xml:space="preserve"> видове, които живеят в Северното полукълбо, както в Европа и Азия, така и в Северна Америка. </w:t>
      </w:r>
      <w:proofErr w:type="spellStart"/>
      <w:r w:rsidRPr="009F6D1E">
        <w:rPr>
          <w:rFonts w:cs="Times New Roman"/>
          <w:szCs w:val="24"/>
        </w:rPr>
        <w:t>Холарктични</w:t>
      </w:r>
      <w:proofErr w:type="spellEnd"/>
      <w:r w:rsidRPr="009F6D1E">
        <w:rPr>
          <w:rFonts w:cs="Times New Roman"/>
          <w:szCs w:val="24"/>
        </w:rPr>
        <w:t xml:space="preserve"> видове в българската фауна са напр. мечката, лисицата, невестулката, благородният елен, скалният орел, блатната сова и др. Широко представени в страната са </w:t>
      </w:r>
      <w:proofErr w:type="spellStart"/>
      <w:r w:rsidRPr="009F6D1E">
        <w:rPr>
          <w:rFonts w:cs="Times New Roman"/>
          <w:szCs w:val="24"/>
        </w:rPr>
        <w:t>палеарктичните</w:t>
      </w:r>
      <w:proofErr w:type="spellEnd"/>
      <w:r w:rsidRPr="009F6D1E">
        <w:rPr>
          <w:rFonts w:cs="Times New Roman"/>
          <w:szCs w:val="24"/>
        </w:rPr>
        <w:t xml:space="preserve"> видове животни, които също живеят северно от тропиците, но само в Европа, Азия и Северна Африка. Такива са видрата, белият щъркел, полската чучулига, големият синигер, кафявата крастава жаба и др. Евросибирските видове животни са най-многобройни. Те са по-студоустойчиви и са проникнали в българските земи от Северна Азия и Европа. За много от тях България е южна граница на разпространение. Към тази зоогеографска категория се отнасят катерицата, горската </w:t>
      </w:r>
      <w:proofErr w:type="spellStart"/>
      <w:r w:rsidRPr="009F6D1E">
        <w:rPr>
          <w:rFonts w:cs="Times New Roman"/>
          <w:szCs w:val="24"/>
        </w:rPr>
        <w:t>полевка</w:t>
      </w:r>
      <w:proofErr w:type="spellEnd"/>
      <w:r w:rsidRPr="009F6D1E">
        <w:rPr>
          <w:rFonts w:cs="Times New Roman"/>
          <w:szCs w:val="24"/>
        </w:rPr>
        <w:t xml:space="preserve">, язовецът, сърната, глухарът, яребицата, ливадният гущер и др. Средноевропейските </w:t>
      </w:r>
      <w:proofErr w:type="spellStart"/>
      <w:r w:rsidRPr="009F6D1E">
        <w:rPr>
          <w:rFonts w:cs="Times New Roman"/>
          <w:szCs w:val="24"/>
        </w:rPr>
        <w:t>фаунистични</w:t>
      </w:r>
      <w:proofErr w:type="spellEnd"/>
      <w:r w:rsidRPr="009F6D1E">
        <w:rPr>
          <w:rFonts w:cs="Times New Roman"/>
          <w:szCs w:val="24"/>
        </w:rPr>
        <w:t xml:space="preserve"> елементи имат сходни екологични изисквания с евросибирската фауна. Такива представители в нашата страна са малката водна </w:t>
      </w:r>
      <w:proofErr w:type="spellStart"/>
      <w:r w:rsidRPr="009F6D1E">
        <w:rPr>
          <w:rFonts w:cs="Times New Roman"/>
          <w:szCs w:val="24"/>
        </w:rPr>
        <w:t>земеровка</w:t>
      </w:r>
      <w:proofErr w:type="spellEnd"/>
      <w:r w:rsidRPr="009F6D1E">
        <w:rPr>
          <w:rFonts w:cs="Times New Roman"/>
          <w:szCs w:val="24"/>
        </w:rPr>
        <w:t xml:space="preserve">, подземната </w:t>
      </w:r>
      <w:proofErr w:type="spellStart"/>
      <w:r w:rsidRPr="009F6D1E">
        <w:rPr>
          <w:rFonts w:cs="Times New Roman"/>
          <w:szCs w:val="24"/>
        </w:rPr>
        <w:t>полевка</w:t>
      </w:r>
      <w:proofErr w:type="spellEnd"/>
      <w:r w:rsidRPr="009F6D1E">
        <w:rPr>
          <w:rFonts w:cs="Times New Roman"/>
          <w:szCs w:val="24"/>
        </w:rPr>
        <w:t xml:space="preserve">, алпийският тритон, </w:t>
      </w:r>
      <w:proofErr w:type="spellStart"/>
      <w:r w:rsidRPr="009F6D1E">
        <w:rPr>
          <w:rFonts w:cs="Times New Roman"/>
          <w:szCs w:val="24"/>
        </w:rPr>
        <w:t>червенокоремната</w:t>
      </w:r>
      <w:proofErr w:type="spellEnd"/>
      <w:r w:rsidRPr="009F6D1E">
        <w:rPr>
          <w:rFonts w:cs="Times New Roman"/>
          <w:szCs w:val="24"/>
        </w:rPr>
        <w:t xml:space="preserve"> бумка и др. От северния зоогеографски комплекс в България се срещат, макар и по-ограничено, степни видове (лалугер, скачаща мишка, степен пор, дропла), </w:t>
      </w:r>
      <w:proofErr w:type="spellStart"/>
      <w:r w:rsidRPr="009F6D1E">
        <w:rPr>
          <w:rFonts w:cs="Times New Roman"/>
          <w:szCs w:val="24"/>
        </w:rPr>
        <w:t>арктоалпийски</w:t>
      </w:r>
      <w:proofErr w:type="spellEnd"/>
      <w:r w:rsidRPr="009F6D1E">
        <w:rPr>
          <w:rFonts w:cs="Times New Roman"/>
          <w:szCs w:val="24"/>
        </w:rPr>
        <w:t xml:space="preserve"> видове (</w:t>
      </w:r>
      <w:proofErr w:type="spellStart"/>
      <w:r w:rsidRPr="009F6D1E">
        <w:rPr>
          <w:rFonts w:cs="Times New Roman"/>
          <w:szCs w:val="24"/>
        </w:rPr>
        <w:t>белогуш</w:t>
      </w:r>
      <w:proofErr w:type="spellEnd"/>
      <w:r w:rsidRPr="009F6D1E">
        <w:rPr>
          <w:rFonts w:cs="Times New Roman"/>
          <w:szCs w:val="24"/>
        </w:rPr>
        <w:t xml:space="preserve"> дрозд) и </w:t>
      </w:r>
      <w:proofErr w:type="spellStart"/>
      <w:r w:rsidRPr="009F6D1E">
        <w:rPr>
          <w:rFonts w:cs="Times New Roman"/>
          <w:szCs w:val="24"/>
        </w:rPr>
        <w:t>бореомонтанни</w:t>
      </w:r>
      <w:proofErr w:type="spellEnd"/>
      <w:r w:rsidRPr="009F6D1E">
        <w:rPr>
          <w:rFonts w:cs="Times New Roman"/>
          <w:szCs w:val="24"/>
        </w:rPr>
        <w:t xml:space="preserve"> видове (</w:t>
      </w:r>
      <w:proofErr w:type="spellStart"/>
      <w:r w:rsidRPr="009F6D1E">
        <w:rPr>
          <w:rFonts w:cs="Times New Roman"/>
          <w:szCs w:val="24"/>
        </w:rPr>
        <w:t>живороден</w:t>
      </w:r>
      <w:proofErr w:type="spellEnd"/>
      <w:r w:rsidRPr="009F6D1E">
        <w:rPr>
          <w:rFonts w:cs="Times New Roman"/>
          <w:szCs w:val="24"/>
        </w:rPr>
        <w:t xml:space="preserve"> гущер, усойница). Южният зоогеографски комплекс също е богато представен, особено в южните райони на България. Той се състои почти изцяло от </w:t>
      </w:r>
      <w:proofErr w:type="spellStart"/>
      <w:r w:rsidRPr="009F6D1E">
        <w:rPr>
          <w:rFonts w:cs="Times New Roman"/>
          <w:szCs w:val="24"/>
        </w:rPr>
        <w:t>медитерански</w:t>
      </w:r>
      <w:proofErr w:type="spellEnd"/>
      <w:r w:rsidRPr="009F6D1E">
        <w:rPr>
          <w:rFonts w:cs="Times New Roman"/>
          <w:szCs w:val="24"/>
        </w:rPr>
        <w:t xml:space="preserve"> </w:t>
      </w:r>
      <w:proofErr w:type="spellStart"/>
      <w:r w:rsidRPr="009F6D1E">
        <w:rPr>
          <w:rFonts w:cs="Times New Roman"/>
          <w:szCs w:val="24"/>
        </w:rPr>
        <w:t>фаунистични</w:t>
      </w:r>
      <w:proofErr w:type="spellEnd"/>
      <w:r w:rsidRPr="009F6D1E">
        <w:rPr>
          <w:rFonts w:cs="Times New Roman"/>
          <w:szCs w:val="24"/>
        </w:rPr>
        <w:t xml:space="preserve"> елементи. Част от комплекса са и някои по-малобройни </w:t>
      </w:r>
      <w:proofErr w:type="spellStart"/>
      <w:r w:rsidRPr="009F6D1E">
        <w:rPr>
          <w:rFonts w:cs="Times New Roman"/>
          <w:szCs w:val="24"/>
        </w:rPr>
        <w:t>фаунистични</w:t>
      </w:r>
      <w:proofErr w:type="spellEnd"/>
      <w:r w:rsidRPr="009F6D1E">
        <w:rPr>
          <w:rFonts w:cs="Times New Roman"/>
          <w:szCs w:val="24"/>
        </w:rPr>
        <w:t xml:space="preserve"> елементи като </w:t>
      </w:r>
      <w:proofErr w:type="spellStart"/>
      <w:r w:rsidRPr="009F6D1E">
        <w:rPr>
          <w:rFonts w:cs="Times New Roman"/>
          <w:szCs w:val="24"/>
        </w:rPr>
        <w:t>иранотурански</w:t>
      </w:r>
      <w:proofErr w:type="spellEnd"/>
      <w:r w:rsidRPr="009F6D1E">
        <w:rPr>
          <w:rFonts w:cs="Times New Roman"/>
          <w:szCs w:val="24"/>
        </w:rPr>
        <w:t xml:space="preserve">, понтийски, </w:t>
      </w:r>
      <w:proofErr w:type="spellStart"/>
      <w:r w:rsidRPr="009F6D1E">
        <w:rPr>
          <w:rFonts w:cs="Times New Roman"/>
          <w:szCs w:val="24"/>
        </w:rPr>
        <w:t>монтанмедитерански</w:t>
      </w:r>
      <w:proofErr w:type="spellEnd"/>
      <w:r w:rsidRPr="009F6D1E">
        <w:rPr>
          <w:rFonts w:cs="Times New Roman"/>
          <w:szCs w:val="24"/>
        </w:rPr>
        <w:t xml:space="preserve"> и др. Към южния зоогеографски комплекс в българската фауна спадат видове като </w:t>
      </w:r>
      <w:proofErr w:type="spellStart"/>
      <w:r w:rsidRPr="009F6D1E">
        <w:rPr>
          <w:rFonts w:cs="Times New Roman"/>
          <w:szCs w:val="24"/>
        </w:rPr>
        <w:t>мишевидният</w:t>
      </w:r>
      <w:proofErr w:type="spellEnd"/>
      <w:r w:rsidRPr="009F6D1E">
        <w:rPr>
          <w:rFonts w:cs="Times New Roman"/>
          <w:szCs w:val="24"/>
        </w:rPr>
        <w:t xml:space="preserve"> </w:t>
      </w:r>
      <w:r w:rsidRPr="009F6D1E">
        <w:rPr>
          <w:rFonts w:cs="Times New Roman"/>
          <w:szCs w:val="24"/>
        </w:rPr>
        <w:lastRenderedPageBreak/>
        <w:t xml:space="preserve">сънливец, </w:t>
      </w:r>
      <w:proofErr w:type="spellStart"/>
      <w:r w:rsidRPr="009F6D1E">
        <w:rPr>
          <w:rFonts w:cs="Times New Roman"/>
          <w:szCs w:val="24"/>
        </w:rPr>
        <w:t>гюнтеровата</w:t>
      </w:r>
      <w:proofErr w:type="spellEnd"/>
      <w:r w:rsidRPr="009F6D1E">
        <w:rPr>
          <w:rFonts w:cs="Times New Roman"/>
          <w:szCs w:val="24"/>
        </w:rPr>
        <w:t xml:space="preserve"> </w:t>
      </w:r>
      <w:proofErr w:type="spellStart"/>
      <w:r w:rsidRPr="009F6D1E">
        <w:rPr>
          <w:rFonts w:cs="Times New Roman"/>
          <w:szCs w:val="24"/>
        </w:rPr>
        <w:t>полевка</w:t>
      </w:r>
      <w:proofErr w:type="spellEnd"/>
      <w:r w:rsidRPr="009F6D1E">
        <w:rPr>
          <w:rFonts w:cs="Times New Roman"/>
          <w:szCs w:val="24"/>
        </w:rPr>
        <w:t xml:space="preserve">, </w:t>
      </w:r>
      <w:proofErr w:type="spellStart"/>
      <w:r w:rsidRPr="009F6D1E">
        <w:rPr>
          <w:rFonts w:cs="Times New Roman"/>
          <w:szCs w:val="24"/>
        </w:rPr>
        <w:t>червеногушото</w:t>
      </w:r>
      <w:proofErr w:type="spellEnd"/>
      <w:r w:rsidRPr="009F6D1E">
        <w:rPr>
          <w:rFonts w:cs="Times New Roman"/>
          <w:szCs w:val="24"/>
        </w:rPr>
        <w:t xml:space="preserve"> </w:t>
      </w:r>
      <w:proofErr w:type="spellStart"/>
      <w:r w:rsidRPr="009F6D1E">
        <w:rPr>
          <w:rFonts w:cs="Times New Roman"/>
          <w:szCs w:val="24"/>
        </w:rPr>
        <w:t>коприварче</w:t>
      </w:r>
      <w:proofErr w:type="spellEnd"/>
      <w:r w:rsidRPr="009F6D1E">
        <w:rPr>
          <w:rFonts w:cs="Times New Roman"/>
          <w:szCs w:val="24"/>
        </w:rPr>
        <w:t>, каспийската блатна костенурка, леопардовият смок, пепелянката, дългокраката гръцка жаба и др.</w:t>
      </w:r>
    </w:p>
    <w:p w14:paraId="1D3C22EB"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Значителен е броят на т.н. космополитни видове животни в българската фауна. Много от тях са </w:t>
      </w:r>
      <w:proofErr w:type="spellStart"/>
      <w:r w:rsidRPr="009F6D1E">
        <w:rPr>
          <w:rFonts w:cs="Times New Roman"/>
          <w:szCs w:val="24"/>
        </w:rPr>
        <w:t>синантропни</w:t>
      </w:r>
      <w:proofErr w:type="spellEnd"/>
      <w:r w:rsidRPr="009F6D1E">
        <w:rPr>
          <w:rFonts w:cs="Times New Roman"/>
          <w:szCs w:val="24"/>
        </w:rPr>
        <w:t xml:space="preserve"> видове (сив и черен плъх, домашна муха и др.), а други имат повсеместно разпространение в света (голяма бяла чапла, сокол скитник, забулена сова и др.).</w:t>
      </w:r>
    </w:p>
    <w:p w14:paraId="2714478C"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Голям е и броят на животните, които се срещат само в България или на Балканския полуостров. Те спадат към категориите  </w:t>
      </w:r>
      <w:r w:rsidRPr="009F6D1E">
        <w:rPr>
          <w:rFonts w:cs="Times New Roman"/>
          <w:iCs/>
          <w:szCs w:val="24"/>
        </w:rPr>
        <w:t xml:space="preserve">български </w:t>
      </w:r>
      <w:r w:rsidRPr="009F6D1E">
        <w:rPr>
          <w:rFonts w:cs="Times New Roman"/>
          <w:szCs w:val="24"/>
        </w:rPr>
        <w:t> и  </w:t>
      </w:r>
      <w:r w:rsidRPr="009F6D1E">
        <w:rPr>
          <w:rFonts w:cs="Times New Roman"/>
          <w:iCs/>
          <w:szCs w:val="24"/>
        </w:rPr>
        <w:t xml:space="preserve">балкански </w:t>
      </w:r>
      <w:proofErr w:type="spellStart"/>
      <w:r w:rsidRPr="009F6D1E">
        <w:rPr>
          <w:rFonts w:cs="Times New Roman"/>
          <w:iCs/>
          <w:szCs w:val="24"/>
        </w:rPr>
        <w:t>ендемити</w:t>
      </w:r>
      <w:proofErr w:type="spellEnd"/>
      <w:r w:rsidRPr="009F6D1E">
        <w:rPr>
          <w:rFonts w:cs="Times New Roman"/>
          <w:szCs w:val="24"/>
        </w:rPr>
        <w:t xml:space="preserve">. В много от българските пещери и в южните планини са намерили убежища и са се съхранили голям брой </w:t>
      </w:r>
      <w:proofErr w:type="spellStart"/>
      <w:r w:rsidRPr="009F6D1E">
        <w:rPr>
          <w:rFonts w:cs="Times New Roman"/>
          <w:iCs/>
          <w:szCs w:val="24"/>
        </w:rPr>
        <w:t>реликтни</w:t>
      </w:r>
      <w:proofErr w:type="spellEnd"/>
      <w:r w:rsidRPr="009F6D1E">
        <w:rPr>
          <w:rFonts w:cs="Times New Roman"/>
          <w:szCs w:val="24"/>
        </w:rPr>
        <w:t xml:space="preserve"> видове. Общият брой на ендемичните родове, видове и подвидове животни, установени досега в България, е около 1200. От тях българските </w:t>
      </w:r>
      <w:proofErr w:type="spellStart"/>
      <w:r w:rsidRPr="009F6D1E">
        <w:rPr>
          <w:rFonts w:cs="Times New Roman"/>
          <w:szCs w:val="24"/>
        </w:rPr>
        <w:t>ендемити</w:t>
      </w:r>
      <w:proofErr w:type="spellEnd"/>
      <w:r w:rsidRPr="009F6D1E">
        <w:rPr>
          <w:rFonts w:cs="Times New Roman"/>
          <w:szCs w:val="24"/>
        </w:rPr>
        <w:t xml:space="preserve"> са около 790, а балканските – около 410. </w:t>
      </w:r>
    </w:p>
    <w:p w14:paraId="500985D9" w14:textId="151F2519"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Разнообразна и уникална е пещерната и подземната фауна в България, тъй като страната е богата на карстови образувания и на подземни води. </w:t>
      </w:r>
      <w:r w:rsidR="00582EAA">
        <w:rPr>
          <w:rFonts w:cs="Times New Roman"/>
          <w:szCs w:val="24"/>
        </w:rPr>
        <w:t>У</w:t>
      </w:r>
      <w:r w:rsidRPr="009F6D1E">
        <w:rPr>
          <w:rFonts w:cs="Times New Roman"/>
          <w:szCs w:val="24"/>
        </w:rPr>
        <w:t xml:space="preserve"> нас са установени над 780 вида пещерни животни от различни таксономични групи, от които над 110 вида обитават зоната на вечния мрак дълбоко в пещерите и се отнасят към категорията на типичните </w:t>
      </w:r>
      <w:proofErr w:type="spellStart"/>
      <w:r w:rsidRPr="009F6D1E">
        <w:rPr>
          <w:rFonts w:cs="Times New Roman"/>
          <w:iCs/>
          <w:szCs w:val="24"/>
        </w:rPr>
        <w:t>троглобионти</w:t>
      </w:r>
      <w:proofErr w:type="spellEnd"/>
      <w:r w:rsidRPr="009F6D1E">
        <w:rPr>
          <w:rFonts w:cs="Times New Roman"/>
          <w:szCs w:val="24"/>
        </w:rPr>
        <w:t xml:space="preserve">. По богатство, разнообразие и </w:t>
      </w:r>
      <w:proofErr w:type="spellStart"/>
      <w:r w:rsidRPr="009F6D1E">
        <w:rPr>
          <w:rFonts w:cs="Times New Roman"/>
          <w:szCs w:val="24"/>
        </w:rPr>
        <w:t>ендемизъм</w:t>
      </w:r>
      <w:proofErr w:type="spellEnd"/>
      <w:r w:rsidRPr="009F6D1E">
        <w:rPr>
          <w:rFonts w:cs="Times New Roman"/>
          <w:szCs w:val="24"/>
        </w:rPr>
        <w:t xml:space="preserve"> на пещерната фауна България се нарежда между първите страни в Европа. Много богата и разнообразна е и фауната на българското крайбрежие на Черно море, където са установени над 2260 вида и подвида животни, обитаващи откритото море, крайбрежните езера и </w:t>
      </w:r>
      <w:proofErr w:type="spellStart"/>
      <w:r w:rsidRPr="009F6D1E">
        <w:rPr>
          <w:rFonts w:cs="Times New Roman"/>
          <w:szCs w:val="24"/>
        </w:rPr>
        <w:t>супралиторалната</w:t>
      </w:r>
      <w:proofErr w:type="spellEnd"/>
      <w:r w:rsidRPr="009F6D1E">
        <w:rPr>
          <w:rFonts w:cs="Times New Roman"/>
          <w:szCs w:val="24"/>
        </w:rPr>
        <w:t xml:space="preserve"> ивица.</w:t>
      </w:r>
    </w:p>
    <w:p w14:paraId="1860B452" w14:textId="458A1073"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Публикувани са данни за около 30 000 вида животни, срещащи се в България. Най-добре проучени са гръбначните животни, от които досега са познати около 800 вида. Броят на установените видове, родове, семейства и разреди от отделните класове гръбначни животни в България е представен на </w:t>
      </w:r>
      <w:r w:rsidR="003F3D71" w:rsidRPr="009F6D1E">
        <w:rPr>
          <w:rFonts w:cs="Times New Roman"/>
          <w:highlight w:val="yellow"/>
        </w:rPr>
        <w:fldChar w:fldCharType="begin"/>
      </w:r>
      <w:r w:rsidR="00D14980" w:rsidRPr="009F6D1E">
        <w:rPr>
          <w:rFonts w:cs="Times New Roman"/>
          <w:szCs w:val="24"/>
        </w:rPr>
        <w:instrText xml:space="preserve"> REF _Ref107172522 \h </w:instrText>
      </w:r>
      <w:r w:rsidR="003F3D71" w:rsidRPr="009F6D1E">
        <w:rPr>
          <w:rFonts w:cs="Times New Roman"/>
          <w:highlight w:val="yellow"/>
        </w:rPr>
      </w:r>
      <w:r w:rsidR="003F3D71" w:rsidRPr="009F6D1E">
        <w:rPr>
          <w:rFonts w:cs="Times New Roman"/>
          <w:highlight w:val="yellow"/>
        </w:rPr>
        <w:fldChar w:fldCharType="separate"/>
      </w:r>
      <w:r w:rsidR="00A43EF3" w:rsidRPr="009F6D1E">
        <w:t xml:space="preserve">Таблица </w:t>
      </w:r>
      <w:r w:rsidR="00A43EF3">
        <w:rPr>
          <w:noProof/>
        </w:rPr>
        <w:t>23</w:t>
      </w:r>
      <w:r w:rsidR="003F3D71" w:rsidRPr="009F6D1E">
        <w:rPr>
          <w:rFonts w:cs="Times New Roman"/>
          <w:highlight w:val="yellow"/>
        </w:rPr>
        <w:fldChar w:fldCharType="end"/>
      </w:r>
      <w:r w:rsidRPr="009F6D1E">
        <w:rPr>
          <w:rFonts w:cs="Times New Roman"/>
          <w:szCs w:val="24"/>
        </w:rPr>
        <w:t>.</w:t>
      </w:r>
    </w:p>
    <w:p w14:paraId="50F26323" w14:textId="77777777" w:rsidR="00D6187E" w:rsidRPr="009F6D1E" w:rsidRDefault="00D6187E" w:rsidP="0084747F">
      <w:pPr>
        <w:spacing w:after="60" w:line="264" w:lineRule="auto"/>
        <w:ind w:firstLine="709"/>
        <w:contextualSpacing/>
        <w:jc w:val="both"/>
        <w:rPr>
          <w:rFonts w:cs="Times New Roman"/>
          <w:color w:val="1F3864" w:themeColor="accent1" w:themeShade="80"/>
          <w:szCs w:val="24"/>
        </w:rPr>
      </w:pPr>
    </w:p>
    <w:p w14:paraId="7DD21C23" w14:textId="252DB803" w:rsidR="00D6187E" w:rsidRPr="009F6D1E" w:rsidRDefault="00D14980" w:rsidP="00D14980">
      <w:pPr>
        <w:pStyle w:val="Caption"/>
        <w:rPr>
          <w:color w:val="1F3864" w:themeColor="accent1" w:themeShade="80"/>
        </w:rPr>
      </w:pPr>
      <w:bookmarkStart w:id="410" w:name="_Ref107172522"/>
      <w:bookmarkStart w:id="411" w:name="_Toc98762630"/>
      <w:bookmarkStart w:id="412" w:name="_Toc115255174"/>
      <w:r w:rsidRPr="009F6D1E">
        <w:t xml:space="preserve">Таблица </w:t>
      </w:r>
      <w:fldSimple w:instr=" SEQ Таблица \* ARABIC ">
        <w:r w:rsidR="00A43EF3">
          <w:rPr>
            <w:noProof/>
          </w:rPr>
          <w:t>23</w:t>
        </w:r>
      </w:fldSimple>
      <w:bookmarkEnd w:id="410"/>
      <w:r w:rsidRPr="009F6D1E">
        <w:t xml:space="preserve">: </w:t>
      </w:r>
      <w:proofErr w:type="spellStart"/>
      <w:r w:rsidR="00D6187E" w:rsidRPr="009F6D1E">
        <w:rPr>
          <w:color w:val="1F3864" w:themeColor="accent1" w:themeShade="80"/>
        </w:rPr>
        <w:t>Фаунистично</w:t>
      </w:r>
      <w:proofErr w:type="spellEnd"/>
      <w:r w:rsidR="00D6187E" w:rsidRPr="009F6D1E">
        <w:rPr>
          <w:color w:val="1F3864" w:themeColor="accent1" w:themeShade="80"/>
        </w:rPr>
        <w:t xml:space="preserve"> разнообразие на гръбначните животни в България</w:t>
      </w:r>
      <w:bookmarkEnd w:id="411"/>
      <w:bookmarkEnd w:id="412"/>
    </w:p>
    <w:tbl>
      <w:tblPr>
        <w:tblStyle w:val="LightList-Accent3"/>
        <w:tblW w:w="0" w:type="auto"/>
        <w:jc w:val="center"/>
        <w:tblLook w:val="04A0" w:firstRow="1" w:lastRow="0" w:firstColumn="1" w:lastColumn="0" w:noHBand="0" w:noVBand="1"/>
      </w:tblPr>
      <w:tblGrid>
        <w:gridCol w:w="3234"/>
        <w:gridCol w:w="935"/>
        <w:gridCol w:w="1185"/>
        <w:gridCol w:w="1301"/>
        <w:gridCol w:w="1380"/>
      </w:tblGrid>
      <w:tr w:rsidR="00574BA3" w:rsidRPr="009F6D1E" w14:paraId="07FB68F7" w14:textId="77777777" w:rsidTr="003A1CB7">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8E7689" w14:textId="77777777" w:rsidR="00D6187E" w:rsidRPr="009F6D1E" w:rsidRDefault="00D6187E" w:rsidP="0084747F">
            <w:pPr>
              <w:spacing w:after="60" w:line="264" w:lineRule="auto"/>
              <w:ind w:firstLine="709"/>
              <w:contextualSpacing/>
              <w:jc w:val="both"/>
              <w:rPr>
                <w:rFonts w:cs="Times New Roman"/>
                <w:sz w:val="20"/>
                <w:szCs w:val="20"/>
              </w:rPr>
            </w:pPr>
            <w:r w:rsidRPr="009F6D1E">
              <w:rPr>
                <w:rFonts w:cs="Times New Roman"/>
                <w:sz w:val="20"/>
                <w:szCs w:val="20"/>
              </w:rPr>
              <w:t>Клас</w:t>
            </w:r>
          </w:p>
        </w:tc>
        <w:tc>
          <w:tcPr>
            <w:tcW w:w="0" w:type="auto"/>
            <w:hideMark/>
          </w:tcPr>
          <w:p w14:paraId="74661725" w14:textId="77777777" w:rsidR="00D6187E" w:rsidRPr="009F6D1E" w:rsidRDefault="00D6187E" w:rsidP="0084747F">
            <w:pPr>
              <w:spacing w:after="60" w:line="264"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Разреди</w:t>
            </w:r>
          </w:p>
        </w:tc>
        <w:tc>
          <w:tcPr>
            <w:tcW w:w="0" w:type="auto"/>
            <w:hideMark/>
          </w:tcPr>
          <w:p w14:paraId="0B92DB2F" w14:textId="77777777" w:rsidR="00D6187E" w:rsidRPr="009F6D1E" w:rsidRDefault="00D6187E" w:rsidP="0084747F">
            <w:pPr>
              <w:spacing w:after="60" w:line="264"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Семейства</w:t>
            </w:r>
          </w:p>
        </w:tc>
        <w:tc>
          <w:tcPr>
            <w:tcW w:w="1301" w:type="dxa"/>
            <w:hideMark/>
          </w:tcPr>
          <w:p w14:paraId="1BEF58F1" w14:textId="77777777" w:rsidR="00D6187E" w:rsidRPr="009F6D1E" w:rsidRDefault="00D6187E" w:rsidP="0084747F">
            <w:pPr>
              <w:spacing w:after="60" w:line="264"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Родове</w:t>
            </w:r>
          </w:p>
        </w:tc>
        <w:tc>
          <w:tcPr>
            <w:tcW w:w="1380" w:type="dxa"/>
            <w:hideMark/>
          </w:tcPr>
          <w:p w14:paraId="4833D83D" w14:textId="77777777" w:rsidR="00D6187E" w:rsidRPr="009F6D1E" w:rsidRDefault="00D6187E" w:rsidP="0084747F">
            <w:pPr>
              <w:spacing w:after="60" w:line="264" w:lineRule="auto"/>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Видове</w:t>
            </w:r>
          </w:p>
        </w:tc>
      </w:tr>
      <w:tr w:rsidR="00574BA3" w:rsidRPr="009F6D1E" w14:paraId="6929D33D" w14:textId="77777777" w:rsidTr="003A1CB7">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F6862C"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Cyclostomata</w:t>
            </w:r>
            <w:proofErr w:type="spellEnd"/>
            <w:r w:rsidRPr="009F6D1E">
              <w:rPr>
                <w:rFonts w:cs="Times New Roman"/>
                <w:sz w:val="20"/>
                <w:szCs w:val="20"/>
              </w:rPr>
              <w:t xml:space="preserve"> (Кръглоусти)</w:t>
            </w:r>
          </w:p>
        </w:tc>
        <w:tc>
          <w:tcPr>
            <w:tcW w:w="0" w:type="auto"/>
            <w:hideMark/>
          </w:tcPr>
          <w:p w14:paraId="568639E6"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w:t>
            </w:r>
          </w:p>
        </w:tc>
        <w:tc>
          <w:tcPr>
            <w:tcW w:w="0" w:type="auto"/>
            <w:hideMark/>
          </w:tcPr>
          <w:p w14:paraId="76680651"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w:t>
            </w:r>
          </w:p>
        </w:tc>
        <w:tc>
          <w:tcPr>
            <w:tcW w:w="1301" w:type="dxa"/>
            <w:hideMark/>
          </w:tcPr>
          <w:p w14:paraId="0FC7427F"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w:t>
            </w:r>
          </w:p>
        </w:tc>
        <w:tc>
          <w:tcPr>
            <w:tcW w:w="1380" w:type="dxa"/>
            <w:hideMark/>
          </w:tcPr>
          <w:p w14:paraId="6A4EB95B"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2</w:t>
            </w:r>
          </w:p>
        </w:tc>
      </w:tr>
      <w:tr w:rsidR="00574BA3" w:rsidRPr="009F6D1E" w14:paraId="79004C70" w14:textId="77777777" w:rsidTr="003A1CB7">
        <w:trPr>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99BCAE"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Chondrichthyes</w:t>
            </w:r>
            <w:proofErr w:type="spellEnd"/>
            <w:r w:rsidRPr="009F6D1E">
              <w:rPr>
                <w:rFonts w:cs="Times New Roman"/>
                <w:sz w:val="20"/>
                <w:szCs w:val="20"/>
              </w:rPr>
              <w:t xml:space="preserve"> (Хрущялни риби)</w:t>
            </w:r>
          </w:p>
        </w:tc>
        <w:tc>
          <w:tcPr>
            <w:tcW w:w="0" w:type="auto"/>
            <w:hideMark/>
          </w:tcPr>
          <w:p w14:paraId="18E819CF"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2</w:t>
            </w:r>
          </w:p>
        </w:tc>
        <w:tc>
          <w:tcPr>
            <w:tcW w:w="0" w:type="auto"/>
            <w:hideMark/>
          </w:tcPr>
          <w:p w14:paraId="1B32CF53"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3</w:t>
            </w:r>
          </w:p>
        </w:tc>
        <w:tc>
          <w:tcPr>
            <w:tcW w:w="1301" w:type="dxa"/>
            <w:hideMark/>
          </w:tcPr>
          <w:p w14:paraId="074874AE"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3</w:t>
            </w:r>
          </w:p>
        </w:tc>
        <w:tc>
          <w:tcPr>
            <w:tcW w:w="1380" w:type="dxa"/>
            <w:hideMark/>
          </w:tcPr>
          <w:p w14:paraId="01B0DC4E"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4</w:t>
            </w:r>
          </w:p>
        </w:tc>
      </w:tr>
      <w:tr w:rsidR="00574BA3" w:rsidRPr="009F6D1E" w14:paraId="450052E4" w14:textId="77777777" w:rsidTr="003A1CB7">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81560F"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Osteichthyes</w:t>
            </w:r>
            <w:proofErr w:type="spellEnd"/>
            <w:r w:rsidRPr="009F6D1E">
              <w:rPr>
                <w:rFonts w:cs="Times New Roman"/>
                <w:sz w:val="20"/>
                <w:szCs w:val="20"/>
              </w:rPr>
              <w:t xml:space="preserve"> (Костни риби)</w:t>
            </w:r>
          </w:p>
        </w:tc>
        <w:tc>
          <w:tcPr>
            <w:tcW w:w="0" w:type="auto"/>
            <w:hideMark/>
          </w:tcPr>
          <w:p w14:paraId="4BCF411C"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17</w:t>
            </w:r>
          </w:p>
        </w:tc>
        <w:tc>
          <w:tcPr>
            <w:tcW w:w="0" w:type="auto"/>
            <w:hideMark/>
          </w:tcPr>
          <w:p w14:paraId="6901A9D5"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56</w:t>
            </w:r>
          </w:p>
        </w:tc>
        <w:tc>
          <w:tcPr>
            <w:tcW w:w="1301" w:type="dxa"/>
            <w:hideMark/>
          </w:tcPr>
          <w:p w14:paraId="7FDD4856"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137</w:t>
            </w:r>
          </w:p>
        </w:tc>
        <w:tc>
          <w:tcPr>
            <w:tcW w:w="1380" w:type="dxa"/>
            <w:hideMark/>
          </w:tcPr>
          <w:p w14:paraId="672D0406"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213</w:t>
            </w:r>
          </w:p>
        </w:tc>
      </w:tr>
      <w:tr w:rsidR="00574BA3" w:rsidRPr="009F6D1E" w14:paraId="2B1A6C5F" w14:textId="77777777" w:rsidTr="003A1CB7">
        <w:trPr>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78C035"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Amphibia</w:t>
            </w:r>
            <w:proofErr w:type="spellEnd"/>
            <w:r w:rsidRPr="009F6D1E">
              <w:rPr>
                <w:rFonts w:cs="Times New Roman"/>
                <w:sz w:val="20"/>
                <w:szCs w:val="20"/>
              </w:rPr>
              <w:t xml:space="preserve"> (Земноводни)</w:t>
            </w:r>
          </w:p>
        </w:tc>
        <w:tc>
          <w:tcPr>
            <w:tcW w:w="0" w:type="auto"/>
            <w:hideMark/>
          </w:tcPr>
          <w:p w14:paraId="0B7280C2"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2</w:t>
            </w:r>
          </w:p>
        </w:tc>
        <w:tc>
          <w:tcPr>
            <w:tcW w:w="0" w:type="auto"/>
            <w:hideMark/>
          </w:tcPr>
          <w:p w14:paraId="42C23B3D"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6</w:t>
            </w:r>
          </w:p>
        </w:tc>
        <w:tc>
          <w:tcPr>
            <w:tcW w:w="1301" w:type="dxa"/>
            <w:hideMark/>
          </w:tcPr>
          <w:p w14:paraId="306765CF"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11</w:t>
            </w:r>
          </w:p>
        </w:tc>
        <w:tc>
          <w:tcPr>
            <w:tcW w:w="1380" w:type="dxa"/>
            <w:hideMark/>
          </w:tcPr>
          <w:p w14:paraId="09B97717"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23</w:t>
            </w:r>
          </w:p>
        </w:tc>
      </w:tr>
      <w:tr w:rsidR="00574BA3" w:rsidRPr="009F6D1E" w14:paraId="653824D5" w14:textId="77777777" w:rsidTr="003A1CB7">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BC4923"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Reptilia</w:t>
            </w:r>
            <w:proofErr w:type="spellEnd"/>
            <w:r w:rsidRPr="009F6D1E">
              <w:rPr>
                <w:rFonts w:cs="Times New Roman"/>
                <w:sz w:val="20"/>
                <w:szCs w:val="20"/>
              </w:rPr>
              <w:t xml:space="preserve"> (Влечуги)</w:t>
            </w:r>
          </w:p>
        </w:tc>
        <w:tc>
          <w:tcPr>
            <w:tcW w:w="0" w:type="auto"/>
            <w:hideMark/>
          </w:tcPr>
          <w:p w14:paraId="654E8846"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w:t>
            </w:r>
          </w:p>
        </w:tc>
        <w:tc>
          <w:tcPr>
            <w:tcW w:w="0" w:type="auto"/>
            <w:hideMark/>
          </w:tcPr>
          <w:p w14:paraId="10CEC6FD"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12</w:t>
            </w:r>
          </w:p>
        </w:tc>
        <w:tc>
          <w:tcPr>
            <w:tcW w:w="1301" w:type="dxa"/>
            <w:hideMark/>
          </w:tcPr>
          <w:p w14:paraId="67B49E6A"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26</w:t>
            </w:r>
          </w:p>
        </w:tc>
        <w:tc>
          <w:tcPr>
            <w:tcW w:w="1380" w:type="dxa"/>
            <w:hideMark/>
          </w:tcPr>
          <w:p w14:paraId="172E45CA"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38</w:t>
            </w:r>
          </w:p>
        </w:tc>
      </w:tr>
      <w:tr w:rsidR="00574BA3" w:rsidRPr="009F6D1E" w14:paraId="1AC8F656" w14:textId="77777777" w:rsidTr="003A1CB7">
        <w:trPr>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E9E00A"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Aves</w:t>
            </w:r>
            <w:proofErr w:type="spellEnd"/>
            <w:r w:rsidRPr="009F6D1E">
              <w:rPr>
                <w:rFonts w:cs="Times New Roman"/>
                <w:sz w:val="20"/>
                <w:szCs w:val="20"/>
              </w:rPr>
              <w:t xml:space="preserve"> (Птици)</w:t>
            </w:r>
          </w:p>
        </w:tc>
        <w:tc>
          <w:tcPr>
            <w:tcW w:w="0" w:type="auto"/>
            <w:hideMark/>
          </w:tcPr>
          <w:p w14:paraId="68449F3F"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19</w:t>
            </w:r>
          </w:p>
        </w:tc>
        <w:tc>
          <w:tcPr>
            <w:tcW w:w="0" w:type="auto"/>
            <w:hideMark/>
          </w:tcPr>
          <w:p w14:paraId="2B9E15E5"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62</w:t>
            </w:r>
          </w:p>
        </w:tc>
        <w:tc>
          <w:tcPr>
            <w:tcW w:w="1301" w:type="dxa"/>
            <w:hideMark/>
          </w:tcPr>
          <w:p w14:paraId="6ABABC25"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192</w:t>
            </w:r>
          </w:p>
        </w:tc>
        <w:tc>
          <w:tcPr>
            <w:tcW w:w="1380" w:type="dxa"/>
            <w:hideMark/>
          </w:tcPr>
          <w:p w14:paraId="18D0BBFF" w14:textId="77777777" w:rsidR="00D6187E" w:rsidRPr="009F6D1E"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409</w:t>
            </w:r>
          </w:p>
        </w:tc>
      </w:tr>
      <w:tr w:rsidR="00574BA3" w:rsidRPr="009F6D1E" w14:paraId="63858850" w14:textId="77777777" w:rsidTr="003A1CB7">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9F0CC6" w14:textId="77777777" w:rsidR="00D6187E" w:rsidRPr="009F6D1E" w:rsidRDefault="00D6187E" w:rsidP="0084747F">
            <w:pPr>
              <w:spacing w:after="60" w:line="264" w:lineRule="auto"/>
              <w:contextualSpacing/>
              <w:jc w:val="both"/>
              <w:rPr>
                <w:rFonts w:cs="Times New Roman"/>
                <w:sz w:val="20"/>
                <w:szCs w:val="20"/>
              </w:rPr>
            </w:pPr>
            <w:proofErr w:type="spellStart"/>
            <w:r w:rsidRPr="009F6D1E">
              <w:rPr>
                <w:rFonts w:cs="Times New Roman"/>
                <w:sz w:val="20"/>
                <w:szCs w:val="20"/>
              </w:rPr>
              <w:t>Mammalia</w:t>
            </w:r>
            <w:proofErr w:type="spellEnd"/>
            <w:r w:rsidRPr="009F6D1E">
              <w:rPr>
                <w:rFonts w:cs="Times New Roman"/>
                <w:sz w:val="20"/>
                <w:szCs w:val="20"/>
              </w:rPr>
              <w:t xml:space="preserve"> (Бозайници)</w:t>
            </w:r>
          </w:p>
        </w:tc>
        <w:tc>
          <w:tcPr>
            <w:tcW w:w="0" w:type="auto"/>
            <w:hideMark/>
          </w:tcPr>
          <w:p w14:paraId="32B9BF01"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8</w:t>
            </w:r>
          </w:p>
        </w:tc>
        <w:tc>
          <w:tcPr>
            <w:tcW w:w="0" w:type="auto"/>
            <w:hideMark/>
          </w:tcPr>
          <w:p w14:paraId="1AE1503F"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26</w:t>
            </w:r>
          </w:p>
        </w:tc>
        <w:tc>
          <w:tcPr>
            <w:tcW w:w="1301" w:type="dxa"/>
            <w:hideMark/>
          </w:tcPr>
          <w:p w14:paraId="50D05448"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60</w:t>
            </w:r>
          </w:p>
        </w:tc>
        <w:tc>
          <w:tcPr>
            <w:tcW w:w="1380" w:type="dxa"/>
            <w:hideMark/>
          </w:tcPr>
          <w:p w14:paraId="633E2E5D" w14:textId="77777777" w:rsidR="00D6187E" w:rsidRPr="009F6D1E" w:rsidRDefault="00D6187E" w:rsidP="0084747F">
            <w:pPr>
              <w:spacing w:after="60" w:line="264" w:lineRule="auto"/>
              <w:contextualSpacing/>
              <w:jc w:val="both"/>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97</w:t>
            </w:r>
          </w:p>
        </w:tc>
      </w:tr>
      <w:tr w:rsidR="001469A0" w:rsidRPr="001469A0" w14:paraId="6F1590C9" w14:textId="77777777" w:rsidTr="003A1CB7">
        <w:trPr>
          <w:trHeight w:val="144"/>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CB5FCC" w14:textId="77777777" w:rsidR="00D6187E" w:rsidRPr="001469A0" w:rsidRDefault="00D6187E" w:rsidP="0084747F">
            <w:pPr>
              <w:spacing w:after="60" w:line="264" w:lineRule="auto"/>
              <w:contextualSpacing/>
              <w:jc w:val="both"/>
              <w:rPr>
                <w:rFonts w:cs="Times New Roman"/>
                <w:color w:val="auto"/>
                <w:sz w:val="20"/>
                <w:szCs w:val="20"/>
              </w:rPr>
            </w:pPr>
            <w:r w:rsidRPr="001469A0">
              <w:rPr>
                <w:rFonts w:cs="Times New Roman"/>
                <w:color w:val="auto"/>
                <w:sz w:val="20"/>
                <w:szCs w:val="20"/>
              </w:rPr>
              <w:t>Общо</w:t>
            </w:r>
          </w:p>
        </w:tc>
        <w:tc>
          <w:tcPr>
            <w:tcW w:w="0" w:type="auto"/>
            <w:hideMark/>
          </w:tcPr>
          <w:p w14:paraId="5926DCD1" w14:textId="77777777" w:rsidR="00D6187E" w:rsidRPr="001469A0"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auto"/>
                <w:sz w:val="20"/>
                <w:szCs w:val="20"/>
              </w:rPr>
            </w:pPr>
            <w:r w:rsidRPr="001469A0">
              <w:rPr>
                <w:rFonts w:cs="Times New Roman"/>
                <w:bCs/>
                <w:color w:val="auto"/>
                <w:sz w:val="20"/>
                <w:szCs w:val="20"/>
              </w:rPr>
              <w:t>52</w:t>
            </w:r>
          </w:p>
        </w:tc>
        <w:tc>
          <w:tcPr>
            <w:tcW w:w="0" w:type="auto"/>
            <w:hideMark/>
          </w:tcPr>
          <w:p w14:paraId="42F2113F" w14:textId="77777777" w:rsidR="00D6187E" w:rsidRPr="001469A0"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auto"/>
                <w:sz w:val="20"/>
                <w:szCs w:val="20"/>
              </w:rPr>
            </w:pPr>
            <w:r w:rsidRPr="001469A0">
              <w:rPr>
                <w:rFonts w:cs="Times New Roman"/>
                <w:bCs/>
                <w:color w:val="auto"/>
                <w:sz w:val="20"/>
                <w:szCs w:val="20"/>
              </w:rPr>
              <w:t>166</w:t>
            </w:r>
          </w:p>
        </w:tc>
        <w:tc>
          <w:tcPr>
            <w:tcW w:w="1301" w:type="dxa"/>
            <w:hideMark/>
          </w:tcPr>
          <w:p w14:paraId="5B8C7720" w14:textId="77777777" w:rsidR="00D6187E" w:rsidRPr="001469A0"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auto"/>
                <w:sz w:val="20"/>
                <w:szCs w:val="20"/>
              </w:rPr>
            </w:pPr>
            <w:r w:rsidRPr="001469A0">
              <w:rPr>
                <w:rFonts w:cs="Times New Roman"/>
                <w:bCs/>
                <w:color w:val="auto"/>
                <w:sz w:val="20"/>
                <w:szCs w:val="20"/>
              </w:rPr>
              <w:t>430</w:t>
            </w:r>
          </w:p>
        </w:tc>
        <w:tc>
          <w:tcPr>
            <w:tcW w:w="1380" w:type="dxa"/>
            <w:hideMark/>
          </w:tcPr>
          <w:p w14:paraId="36C2ED47" w14:textId="77777777" w:rsidR="00D6187E" w:rsidRPr="001469A0" w:rsidRDefault="00D6187E" w:rsidP="0084747F">
            <w:pPr>
              <w:spacing w:after="60" w:line="264" w:lineRule="auto"/>
              <w:contextualSpacing/>
              <w:jc w:val="both"/>
              <w:cnfStyle w:val="000000000000" w:firstRow="0" w:lastRow="0" w:firstColumn="0" w:lastColumn="0" w:oddVBand="0" w:evenVBand="0" w:oddHBand="0" w:evenHBand="0" w:firstRowFirstColumn="0" w:firstRowLastColumn="0" w:lastRowFirstColumn="0" w:lastRowLastColumn="0"/>
              <w:rPr>
                <w:rFonts w:cs="Times New Roman"/>
                <w:color w:val="auto"/>
                <w:sz w:val="20"/>
                <w:szCs w:val="20"/>
              </w:rPr>
            </w:pPr>
            <w:r w:rsidRPr="001469A0">
              <w:rPr>
                <w:rFonts w:cs="Times New Roman"/>
                <w:bCs/>
                <w:color w:val="auto"/>
                <w:sz w:val="20"/>
                <w:szCs w:val="20"/>
              </w:rPr>
              <w:t>800</w:t>
            </w:r>
          </w:p>
        </w:tc>
      </w:tr>
    </w:tbl>
    <w:p w14:paraId="2960609D" w14:textId="77777777" w:rsidR="00D6187E" w:rsidRPr="001469A0" w:rsidRDefault="00D6187E" w:rsidP="0084747F">
      <w:pPr>
        <w:spacing w:after="60" w:line="264" w:lineRule="auto"/>
        <w:ind w:firstLine="709"/>
        <w:contextualSpacing/>
        <w:jc w:val="both"/>
        <w:rPr>
          <w:rFonts w:cs="Times New Roman"/>
          <w:color w:val="auto"/>
          <w:szCs w:val="24"/>
        </w:rPr>
      </w:pPr>
    </w:p>
    <w:p w14:paraId="1D8D4CF3" w14:textId="77777777" w:rsidR="00D6187E" w:rsidRPr="001469A0" w:rsidRDefault="00D6187E" w:rsidP="000B15B6">
      <w:pPr>
        <w:pStyle w:val="ListParagraph"/>
        <w:numPr>
          <w:ilvl w:val="0"/>
          <w:numId w:val="25"/>
        </w:numPr>
        <w:spacing w:after="60" w:line="264" w:lineRule="auto"/>
        <w:jc w:val="both"/>
        <w:rPr>
          <w:b/>
          <w:color w:val="auto"/>
          <w:lang w:val="bg-BG"/>
        </w:rPr>
      </w:pPr>
      <w:r w:rsidRPr="001469A0">
        <w:rPr>
          <w:b/>
          <w:color w:val="auto"/>
          <w:lang w:val="bg-BG"/>
        </w:rPr>
        <w:t>Риби</w:t>
      </w:r>
    </w:p>
    <w:p w14:paraId="50CDD853" w14:textId="7CE70707" w:rsidR="00D6187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българската ихтиофауна са представени общо около 220 вида сладководни и морски риби. Основен фактор, оказващ негативно влияние върху рибните съобщества и видове в долните течения на реките, е замърсяването на водите, следван от хидроморфологичния натиск, свързан с изземане на инертни материали от речните корита. В малки равнинни реки от черноморския басейн рибната фауна е силно негативно повлияна от кумулативното </w:t>
      </w:r>
      <w:r w:rsidRPr="009F6D1E">
        <w:rPr>
          <w:rFonts w:cs="Times New Roman"/>
          <w:szCs w:val="24"/>
        </w:rPr>
        <w:lastRenderedPageBreak/>
        <w:t xml:space="preserve">въздействие от дифузно замърсяване и намален отток вследствие на засушаване. В средните и горните течения на реките основните негативни въздействия върху рибните съобщества и видове са резултат от хидроморфологичен натиск. Редица водовземания за </w:t>
      </w:r>
      <w:proofErr w:type="spellStart"/>
      <w:r w:rsidRPr="009F6D1E">
        <w:rPr>
          <w:rFonts w:cs="Times New Roman"/>
          <w:szCs w:val="24"/>
        </w:rPr>
        <w:t>деривационни</w:t>
      </w:r>
      <w:proofErr w:type="spellEnd"/>
      <w:r w:rsidRPr="009F6D1E">
        <w:rPr>
          <w:rFonts w:cs="Times New Roman"/>
          <w:szCs w:val="24"/>
        </w:rPr>
        <w:t xml:space="preserve"> МВЕЦ и други цели, изградени в средните и горните течения на реките, оказват негативно въздействие върху видове като </w:t>
      </w:r>
      <w:proofErr w:type="spellStart"/>
      <w:r w:rsidRPr="009F6D1E">
        <w:rPr>
          <w:rFonts w:cs="Times New Roman"/>
          <w:szCs w:val="24"/>
        </w:rPr>
        <w:t>главоч</w:t>
      </w:r>
      <w:proofErr w:type="spellEnd"/>
      <w:r w:rsidRPr="009F6D1E">
        <w:rPr>
          <w:rFonts w:cs="Times New Roman"/>
          <w:szCs w:val="24"/>
        </w:rPr>
        <w:t xml:space="preserve"> </w:t>
      </w:r>
      <w:proofErr w:type="spellStart"/>
      <w:r w:rsidRPr="009F6D1E">
        <w:rPr>
          <w:rFonts w:cs="Times New Roman"/>
          <w:i/>
          <w:szCs w:val="24"/>
        </w:rPr>
        <w:t>Cottus</w:t>
      </w:r>
      <w:proofErr w:type="spellEnd"/>
      <w:r w:rsidRPr="009F6D1E">
        <w:rPr>
          <w:rFonts w:cs="Times New Roman"/>
          <w:i/>
          <w:szCs w:val="24"/>
        </w:rPr>
        <w:t xml:space="preserve"> </w:t>
      </w:r>
      <w:proofErr w:type="spellStart"/>
      <w:r w:rsidRPr="009F6D1E">
        <w:rPr>
          <w:rFonts w:cs="Times New Roman"/>
          <w:i/>
          <w:szCs w:val="24"/>
        </w:rPr>
        <w:t>gobio</w:t>
      </w:r>
      <w:proofErr w:type="spellEnd"/>
      <w:r w:rsidRPr="009F6D1E">
        <w:rPr>
          <w:rFonts w:cs="Times New Roman"/>
          <w:szCs w:val="24"/>
        </w:rPr>
        <w:t xml:space="preserve">, черна мряна </w:t>
      </w:r>
      <w:proofErr w:type="spellStart"/>
      <w:r w:rsidRPr="009F6D1E">
        <w:rPr>
          <w:rFonts w:cs="Times New Roman"/>
          <w:i/>
          <w:szCs w:val="24"/>
        </w:rPr>
        <w:t>Barbus</w:t>
      </w:r>
      <w:proofErr w:type="spellEnd"/>
      <w:r w:rsidRPr="009F6D1E">
        <w:rPr>
          <w:rFonts w:cs="Times New Roman"/>
          <w:i/>
          <w:szCs w:val="24"/>
        </w:rPr>
        <w:t xml:space="preserve"> </w:t>
      </w:r>
      <w:proofErr w:type="spellStart"/>
      <w:r w:rsidRPr="009F6D1E">
        <w:rPr>
          <w:rFonts w:cs="Times New Roman"/>
          <w:i/>
          <w:szCs w:val="24"/>
        </w:rPr>
        <w:t>petenyi</w:t>
      </w:r>
      <w:proofErr w:type="spellEnd"/>
      <w:r w:rsidRPr="009F6D1E">
        <w:rPr>
          <w:rFonts w:cs="Times New Roman"/>
          <w:szCs w:val="24"/>
        </w:rPr>
        <w:t xml:space="preserve">, маришка мряна </w:t>
      </w:r>
      <w:proofErr w:type="spellStart"/>
      <w:r w:rsidRPr="009F6D1E">
        <w:rPr>
          <w:rFonts w:cs="Times New Roman"/>
          <w:i/>
          <w:szCs w:val="24"/>
        </w:rPr>
        <w:t>Barbus</w:t>
      </w:r>
      <w:proofErr w:type="spellEnd"/>
      <w:r w:rsidRPr="009F6D1E">
        <w:rPr>
          <w:rFonts w:cs="Times New Roman"/>
          <w:i/>
          <w:szCs w:val="24"/>
        </w:rPr>
        <w:t xml:space="preserve"> </w:t>
      </w:r>
      <w:proofErr w:type="spellStart"/>
      <w:r w:rsidRPr="009F6D1E">
        <w:rPr>
          <w:rFonts w:cs="Times New Roman"/>
          <w:i/>
          <w:szCs w:val="24"/>
        </w:rPr>
        <w:t>cyclolepis</w:t>
      </w:r>
      <w:proofErr w:type="spellEnd"/>
      <w:r w:rsidRPr="009F6D1E">
        <w:rPr>
          <w:rFonts w:cs="Times New Roman"/>
          <w:szCs w:val="24"/>
        </w:rPr>
        <w:t xml:space="preserve">, приморска мряна </w:t>
      </w:r>
      <w:proofErr w:type="spellStart"/>
      <w:r w:rsidRPr="009F6D1E">
        <w:rPr>
          <w:rFonts w:cs="Times New Roman"/>
          <w:i/>
          <w:szCs w:val="24"/>
        </w:rPr>
        <w:t>Barbus</w:t>
      </w:r>
      <w:proofErr w:type="spellEnd"/>
      <w:r w:rsidRPr="009F6D1E">
        <w:rPr>
          <w:rFonts w:cs="Times New Roman"/>
          <w:i/>
          <w:szCs w:val="24"/>
        </w:rPr>
        <w:t xml:space="preserve"> </w:t>
      </w:r>
      <w:proofErr w:type="spellStart"/>
      <w:r w:rsidRPr="009F6D1E">
        <w:rPr>
          <w:rFonts w:cs="Times New Roman"/>
          <w:szCs w:val="24"/>
        </w:rPr>
        <w:t>bergi</w:t>
      </w:r>
      <w:proofErr w:type="spellEnd"/>
      <w:r w:rsidRPr="009F6D1E">
        <w:rPr>
          <w:rFonts w:cs="Times New Roman"/>
          <w:szCs w:val="24"/>
        </w:rPr>
        <w:t xml:space="preserve">, говедарка </w:t>
      </w:r>
      <w:proofErr w:type="spellStart"/>
      <w:r w:rsidRPr="009F6D1E">
        <w:rPr>
          <w:rFonts w:cs="Times New Roman"/>
          <w:i/>
          <w:szCs w:val="24"/>
        </w:rPr>
        <w:t>Alburnoides</w:t>
      </w:r>
      <w:proofErr w:type="spellEnd"/>
      <w:r w:rsidRPr="009F6D1E">
        <w:rPr>
          <w:rFonts w:cs="Times New Roman"/>
          <w:i/>
          <w:szCs w:val="24"/>
        </w:rPr>
        <w:t xml:space="preserve"> </w:t>
      </w:r>
      <w:proofErr w:type="spellStart"/>
      <w:r w:rsidRPr="009F6D1E">
        <w:rPr>
          <w:rFonts w:cs="Times New Roman"/>
          <w:i/>
          <w:szCs w:val="24"/>
        </w:rPr>
        <w:t>bipunctatus</w:t>
      </w:r>
      <w:proofErr w:type="spellEnd"/>
      <w:r w:rsidRPr="009F6D1E">
        <w:rPr>
          <w:rFonts w:cs="Times New Roman"/>
          <w:szCs w:val="24"/>
        </w:rPr>
        <w:t xml:space="preserve">, балкански </w:t>
      </w:r>
      <w:proofErr w:type="spellStart"/>
      <w:r w:rsidRPr="009F6D1E">
        <w:rPr>
          <w:rFonts w:cs="Times New Roman"/>
          <w:szCs w:val="24"/>
        </w:rPr>
        <w:t>щипок</w:t>
      </w:r>
      <w:proofErr w:type="spellEnd"/>
      <w:r w:rsidRPr="009F6D1E">
        <w:rPr>
          <w:rFonts w:cs="Times New Roman"/>
          <w:szCs w:val="24"/>
        </w:rPr>
        <w:t xml:space="preserve"> </w:t>
      </w:r>
      <w:proofErr w:type="spellStart"/>
      <w:r w:rsidRPr="009F6D1E">
        <w:rPr>
          <w:rFonts w:cs="Times New Roman"/>
          <w:i/>
          <w:szCs w:val="24"/>
        </w:rPr>
        <w:t>Sabaneyewia</w:t>
      </w:r>
      <w:proofErr w:type="spellEnd"/>
      <w:r w:rsidRPr="009F6D1E">
        <w:rPr>
          <w:rFonts w:cs="Times New Roman"/>
          <w:i/>
          <w:szCs w:val="24"/>
        </w:rPr>
        <w:t xml:space="preserve"> </w:t>
      </w:r>
      <w:proofErr w:type="spellStart"/>
      <w:r w:rsidRPr="009F6D1E">
        <w:rPr>
          <w:rFonts w:cs="Times New Roman"/>
          <w:i/>
          <w:szCs w:val="24"/>
        </w:rPr>
        <w:t>balcanica</w:t>
      </w:r>
      <w:proofErr w:type="spellEnd"/>
      <w:r w:rsidRPr="009F6D1E">
        <w:rPr>
          <w:rFonts w:cs="Times New Roman"/>
          <w:szCs w:val="24"/>
        </w:rPr>
        <w:t xml:space="preserve">, балканска </w:t>
      </w:r>
      <w:proofErr w:type="spellStart"/>
      <w:r w:rsidRPr="009F6D1E">
        <w:rPr>
          <w:rFonts w:cs="Times New Roman"/>
          <w:szCs w:val="24"/>
        </w:rPr>
        <w:t>кротушка</w:t>
      </w:r>
      <w:proofErr w:type="spellEnd"/>
      <w:r w:rsidRPr="009F6D1E">
        <w:rPr>
          <w:rFonts w:cs="Times New Roman"/>
          <w:szCs w:val="24"/>
        </w:rPr>
        <w:t xml:space="preserve"> </w:t>
      </w:r>
      <w:proofErr w:type="spellStart"/>
      <w:r w:rsidRPr="009F6D1E">
        <w:rPr>
          <w:rFonts w:cs="Times New Roman"/>
          <w:i/>
          <w:szCs w:val="24"/>
        </w:rPr>
        <w:t>Romanogobio</w:t>
      </w:r>
      <w:proofErr w:type="spellEnd"/>
      <w:r w:rsidRPr="009F6D1E">
        <w:rPr>
          <w:rFonts w:cs="Times New Roman"/>
          <w:i/>
          <w:szCs w:val="24"/>
        </w:rPr>
        <w:t xml:space="preserve"> </w:t>
      </w:r>
      <w:proofErr w:type="spellStart"/>
      <w:r w:rsidRPr="009F6D1E">
        <w:rPr>
          <w:rFonts w:cs="Times New Roman"/>
          <w:i/>
          <w:szCs w:val="24"/>
        </w:rPr>
        <w:t>kessleri</w:t>
      </w:r>
      <w:proofErr w:type="spellEnd"/>
      <w:r w:rsidRPr="009F6D1E">
        <w:rPr>
          <w:rFonts w:cs="Times New Roman"/>
          <w:szCs w:val="24"/>
        </w:rPr>
        <w:t xml:space="preserve">, малка </w:t>
      </w:r>
      <w:proofErr w:type="spellStart"/>
      <w:r w:rsidRPr="009F6D1E">
        <w:rPr>
          <w:rFonts w:cs="Times New Roman"/>
          <w:szCs w:val="24"/>
        </w:rPr>
        <w:t>кротушка</w:t>
      </w:r>
      <w:proofErr w:type="spellEnd"/>
      <w:r w:rsidRPr="009F6D1E">
        <w:rPr>
          <w:rFonts w:cs="Times New Roman"/>
          <w:szCs w:val="24"/>
        </w:rPr>
        <w:t xml:space="preserve"> </w:t>
      </w:r>
      <w:proofErr w:type="spellStart"/>
      <w:r w:rsidRPr="009F6D1E">
        <w:rPr>
          <w:rFonts w:cs="Times New Roman"/>
          <w:i/>
          <w:szCs w:val="24"/>
        </w:rPr>
        <w:t>Romanogobio</w:t>
      </w:r>
      <w:proofErr w:type="spellEnd"/>
      <w:r w:rsidRPr="009F6D1E">
        <w:rPr>
          <w:rFonts w:cs="Times New Roman"/>
          <w:i/>
          <w:szCs w:val="24"/>
        </w:rPr>
        <w:t xml:space="preserve"> </w:t>
      </w:r>
      <w:proofErr w:type="spellStart"/>
      <w:r w:rsidRPr="009F6D1E">
        <w:rPr>
          <w:rFonts w:cs="Times New Roman"/>
          <w:i/>
          <w:szCs w:val="24"/>
        </w:rPr>
        <w:t>uranoscopus</w:t>
      </w:r>
      <w:proofErr w:type="spellEnd"/>
      <w:r w:rsidRPr="009F6D1E">
        <w:rPr>
          <w:rFonts w:cs="Times New Roman"/>
          <w:szCs w:val="24"/>
        </w:rPr>
        <w:t xml:space="preserve">, балканска пъстърва </w:t>
      </w:r>
      <w:proofErr w:type="spellStart"/>
      <w:r w:rsidRPr="009F6D1E">
        <w:rPr>
          <w:rFonts w:cs="Times New Roman"/>
          <w:i/>
          <w:szCs w:val="24"/>
        </w:rPr>
        <w:t>Salmo</w:t>
      </w:r>
      <w:proofErr w:type="spellEnd"/>
      <w:r w:rsidRPr="009F6D1E">
        <w:rPr>
          <w:rFonts w:cs="Times New Roman"/>
          <w:i/>
          <w:szCs w:val="24"/>
        </w:rPr>
        <w:t xml:space="preserve"> </w:t>
      </w:r>
      <w:proofErr w:type="spellStart"/>
      <w:r w:rsidRPr="009F6D1E">
        <w:rPr>
          <w:rFonts w:cs="Times New Roman"/>
          <w:i/>
          <w:szCs w:val="24"/>
        </w:rPr>
        <w:t>trutta</w:t>
      </w:r>
      <w:proofErr w:type="spellEnd"/>
      <w:r w:rsidRPr="009F6D1E">
        <w:rPr>
          <w:rFonts w:cs="Times New Roman"/>
          <w:szCs w:val="24"/>
        </w:rPr>
        <w:t xml:space="preserve"> и др., свързано с бариерен ефект от бентове на водохващания и увреждане на местообитания поради силно редуциране на оттока в речните участъци между водовземанията и самите ВЕЦ. </w:t>
      </w:r>
    </w:p>
    <w:p w14:paraId="46058098" w14:textId="77777777" w:rsidR="001469A0" w:rsidRPr="009F6D1E" w:rsidRDefault="001469A0" w:rsidP="0084747F">
      <w:pPr>
        <w:spacing w:after="60" w:line="264" w:lineRule="auto"/>
        <w:ind w:firstLine="709"/>
        <w:contextualSpacing/>
        <w:jc w:val="both"/>
        <w:rPr>
          <w:rFonts w:cs="Times New Roman"/>
          <w:szCs w:val="24"/>
        </w:rPr>
      </w:pPr>
    </w:p>
    <w:p w14:paraId="03F0BE06" w14:textId="77777777" w:rsidR="00D6187E" w:rsidRPr="009F6D1E" w:rsidRDefault="00D6187E" w:rsidP="000B15B6">
      <w:pPr>
        <w:pStyle w:val="ListParagraph"/>
        <w:numPr>
          <w:ilvl w:val="0"/>
          <w:numId w:val="25"/>
        </w:numPr>
        <w:spacing w:after="60" w:line="264" w:lineRule="auto"/>
        <w:jc w:val="both"/>
        <w:rPr>
          <w:b/>
          <w:color w:val="000000" w:themeColor="text1"/>
          <w:lang w:val="bg-BG"/>
        </w:rPr>
      </w:pPr>
      <w:r w:rsidRPr="009F6D1E">
        <w:rPr>
          <w:b/>
          <w:color w:val="000000" w:themeColor="text1"/>
          <w:lang w:val="bg-BG"/>
        </w:rPr>
        <w:t>Земноводни и влечуги</w:t>
      </w:r>
    </w:p>
    <w:p w14:paraId="45B6A5CD" w14:textId="77777777" w:rsidR="00D6187E" w:rsidRPr="009F6D1E" w:rsidRDefault="00D6187E" w:rsidP="0084747F">
      <w:pPr>
        <w:spacing w:after="60" w:line="264" w:lineRule="auto"/>
        <w:ind w:firstLine="709"/>
        <w:contextualSpacing/>
        <w:jc w:val="both"/>
        <w:rPr>
          <w:rFonts w:cs="Times New Roman"/>
          <w:b/>
          <w:szCs w:val="24"/>
        </w:rPr>
      </w:pPr>
      <w:r w:rsidRPr="009F6D1E">
        <w:rPr>
          <w:rFonts w:cs="Times New Roman"/>
          <w:szCs w:val="24"/>
        </w:rPr>
        <w:t xml:space="preserve">На територията на България се срещат постоянно 23 вида земноводни и 38 вида </w:t>
      </w:r>
      <w:proofErr w:type="spellStart"/>
      <w:r w:rsidRPr="009F6D1E">
        <w:rPr>
          <w:rFonts w:cs="Times New Roman"/>
          <w:szCs w:val="24"/>
        </w:rPr>
        <w:t>вечуги</w:t>
      </w:r>
      <w:proofErr w:type="spellEnd"/>
      <w:r w:rsidRPr="009F6D1E">
        <w:rPr>
          <w:rFonts w:cs="Times New Roman"/>
          <w:szCs w:val="24"/>
        </w:rPr>
        <w:t xml:space="preserve">. </w:t>
      </w:r>
    </w:p>
    <w:p w14:paraId="0B03771A"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През 2017 г. с конкретни находища са доказани два нови за територията на България вида </w:t>
      </w:r>
      <w:proofErr w:type="spellStart"/>
      <w:r w:rsidRPr="009F6D1E">
        <w:rPr>
          <w:rFonts w:cs="Times New Roman"/>
          <w:szCs w:val="24"/>
        </w:rPr>
        <w:t>безопашати</w:t>
      </w:r>
      <w:proofErr w:type="spellEnd"/>
      <w:r w:rsidRPr="009F6D1E">
        <w:rPr>
          <w:rFonts w:cs="Times New Roman"/>
          <w:szCs w:val="24"/>
        </w:rPr>
        <w:t xml:space="preserve"> земноводни – жаба на </w:t>
      </w:r>
      <w:proofErr w:type="spellStart"/>
      <w:r w:rsidRPr="009F6D1E">
        <w:rPr>
          <w:rFonts w:cs="Times New Roman"/>
          <w:szCs w:val="24"/>
        </w:rPr>
        <w:t>Лесона</w:t>
      </w:r>
      <w:proofErr w:type="spellEnd"/>
      <w:r w:rsidRPr="009F6D1E">
        <w:rPr>
          <w:rFonts w:cs="Times New Roman"/>
          <w:szCs w:val="24"/>
        </w:rPr>
        <w:t xml:space="preserve"> </w:t>
      </w:r>
      <w:proofErr w:type="spellStart"/>
      <w:r w:rsidRPr="009F6D1E">
        <w:rPr>
          <w:rFonts w:cs="Times New Roman"/>
          <w:i/>
          <w:iCs/>
          <w:szCs w:val="24"/>
        </w:rPr>
        <w:t>Pelophylax</w:t>
      </w:r>
      <w:proofErr w:type="spellEnd"/>
      <w:r w:rsidRPr="009F6D1E">
        <w:rPr>
          <w:rFonts w:cs="Times New Roman"/>
          <w:i/>
          <w:iCs/>
          <w:szCs w:val="24"/>
        </w:rPr>
        <w:t xml:space="preserve"> </w:t>
      </w:r>
      <w:proofErr w:type="spellStart"/>
      <w:r w:rsidRPr="009F6D1E">
        <w:rPr>
          <w:rFonts w:cs="Times New Roman"/>
          <w:i/>
          <w:iCs/>
          <w:szCs w:val="24"/>
        </w:rPr>
        <w:t>lessonae</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Camerano</w:t>
      </w:r>
      <w:proofErr w:type="spellEnd"/>
      <w:r w:rsidRPr="009F6D1E">
        <w:rPr>
          <w:rFonts w:cs="Times New Roman"/>
          <w:szCs w:val="24"/>
        </w:rPr>
        <w:t xml:space="preserve">, 1882) и жаба на </w:t>
      </w:r>
      <w:proofErr w:type="spellStart"/>
      <w:r w:rsidRPr="009F6D1E">
        <w:rPr>
          <w:rFonts w:cs="Times New Roman"/>
          <w:szCs w:val="24"/>
        </w:rPr>
        <w:t>Левант</w:t>
      </w:r>
      <w:proofErr w:type="spellEnd"/>
      <w:r w:rsidRPr="009F6D1E">
        <w:rPr>
          <w:rFonts w:cs="Times New Roman"/>
          <w:szCs w:val="24"/>
        </w:rPr>
        <w:t xml:space="preserve"> </w:t>
      </w:r>
      <w:proofErr w:type="spellStart"/>
      <w:r w:rsidRPr="009F6D1E">
        <w:rPr>
          <w:rFonts w:cs="Times New Roman"/>
          <w:i/>
          <w:iCs/>
          <w:szCs w:val="24"/>
        </w:rPr>
        <w:t>Pelophylax</w:t>
      </w:r>
      <w:proofErr w:type="spellEnd"/>
      <w:r w:rsidRPr="009F6D1E">
        <w:rPr>
          <w:rFonts w:cs="Times New Roman"/>
          <w:i/>
          <w:iCs/>
          <w:szCs w:val="24"/>
        </w:rPr>
        <w:t xml:space="preserve"> </w:t>
      </w:r>
      <w:proofErr w:type="spellStart"/>
      <w:r w:rsidRPr="009F6D1E">
        <w:rPr>
          <w:rFonts w:cs="Times New Roman"/>
          <w:i/>
          <w:iCs/>
          <w:szCs w:val="24"/>
        </w:rPr>
        <w:t>bedriagae</w:t>
      </w:r>
      <w:proofErr w:type="spellEnd"/>
      <w:r w:rsidRPr="009F6D1E">
        <w:rPr>
          <w:rFonts w:cs="Times New Roman"/>
          <w:i/>
          <w:iCs/>
          <w:szCs w:val="24"/>
        </w:rPr>
        <w:t xml:space="preserve"> </w:t>
      </w:r>
      <w:r w:rsidRPr="009F6D1E">
        <w:rPr>
          <w:rFonts w:cs="Times New Roman"/>
          <w:szCs w:val="24"/>
        </w:rPr>
        <w:t>(</w:t>
      </w:r>
      <w:proofErr w:type="spellStart"/>
      <w:r w:rsidRPr="009F6D1E">
        <w:rPr>
          <w:rFonts w:cs="Times New Roman"/>
          <w:szCs w:val="24"/>
        </w:rPr>
        <w:t>Camerano</w:t>
      </w:r>
      <w:proofErr w:type="spellEnd"/>
      <w:r w:rsidRPr="009F6D1E">
        <w:rPr>
          <w:rFonts w:cs="Times New Roman"/>
          <w:szCs w:val="24"/>
        </w:rPr>
        <w:t xml:space="preserve">, 1882). На практика, всички местни видове от състава на </w:t>
      </w:r>
      <w:proofErr w:type="spellStart"/>
      <w:r w:rsidRPr="009F6D1E">
        <w:rPr>
          <w:rFonts w:cs="Times New Roman"/>
          <w:szCs w:val="24"/>
        </w:rPr>
        <w:t>херпетофауната</w:t>
      </w:r>
      <w:proofErr w:type="spellEnd"/>
      <w:r w:rsidRPr="009F6D1E">
        <w:rPr>
          <w:rFonts w:cs="Times New Roman"/>
          <w:szCs w:val="24"/>
        </w:rPr>
        <w:t xml:space="preserve"> в България имат </w:t>
      </w:r>
      <w:proofErr w:type="spellStart"/>
      <w:r w:rsidRPr="009F6D1E">
        <w:rPr>
          <w:rFonts w:cs="Times New Roman"/>
          <w:szCs w:val="24"/>
        </w:rPr>
        <w:t>консервационно</w:t>
      </w:r>
      <w:proofErr w:type="spellEnd"/>
      <w:r w:rsidRPr="009F6D1E">
        <w:rPr>
          <w:rFonts w:cs="Times New Roman"/>
          <w:szCs w:val="24"/>
        </w:rPr>
        <w:t xml:space="preserve"> значение и са защитени под една или друга форма.</w:t>
      </w:r>
    </w:p>
    <w:p w14:paraId="1EFCDAD1"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По отношение на чуждия инвазивен вид водна костенурка </w:t>
      </w:r>
      <w:proofErr w:type="spellStart"/>
      <w:r w:rsidRPr="009F6D1E">
        <w:rPr>
          <w:rFonts w:cs="Times New Roman"/>
          <w:i/>
          <w:iCs/>
          <w:szCs w:val="24"/>
        </w:rPr>
        <w:t>Trachemys</w:t>
      </w:r>
      <w:proofErr w:type="spellEnd"/>
      <w:r w:rsidRPr="009F6D1E">
        <w:rPr>
          <w:rFonts w:cs="Times New Roman"/>
          <w:i/>
          <w:iCs/>
          <w:szCs w:val="24"/>
        </w:rPr>
        <w:t xml:space="preserve"> </w:t>
      </w:r>
      <w:proofErr w:type="spellStart"/>
      <w:r w:rsidRPr="009F6D1E">
        <w:rPr>
          <w:rFonts w:cs="Times New Roman"/>
          <w:i/>
          <w:iCs/>
          <w:szCs w:val="24"/>
        </w:rPr>
        <w:t>scripta</w:t>
      </w:r>
      <w:proofErr w:type="spellEnd"/>
      <w:r w:rsidRPr="009F6D1E">
        <w:rPr>
          <w:rFonts w:cs="Times New Roman"/>
          <w:i/>
          <w:iCs/>
          <w:szCs w:val="24"/>
        </w:rPr>
        <w:t xml:space="preserve"> </w:t>
      </w:r>
      <w:r w:rsidRPr="009F6D1E">
        <w:rPr>
          <w:rFonts w:cs="Times New Roman"/>
          <w:szCs w:val="24"/>
        </w:rPr>
        <w:t xml:space="preserve">е установено разширяване на ареала спрямо предходни години, като освен досега срещаният подвид червенобуза водна костенурка </w:t>
      </w:r>
      <w:r w:rsidRPr="009F6D1E">
        <w:rPr>
          <w:rFonts w:cs="Times New Roman"/>
          <w:i/>
          <w:iCs/>
          <w:szCs w:val="24"/>
        </w:rPr>
        <w:t xml:space="preserve">T. </w:t>
      </w:r>
      <w:proofErr w:type="spellStart"/>
      <w:r w:rsidRPr="009F6D1E">
        <w:rPr>
          <w:rFonts w:cs="Times New Roman"/>
          <w:i/>
          <w:iCs/>
          <w:szCs w:val="24"/>
        </w:rPr>
        <w:t>scripta</w:t>
      </w:r>
      <w:proofErr w:type="spellEnd"/>
      <w:r w:rsidRPr="009F6D1E">
        <w:rPr>
          <w:rFonts w:cs="Times New Roman"/>
          <w:i/>
          <w:iCs/>
          <w:szCs w:val="24"/>
        </w:rPr>
        <w:t xml:space="preserve"> </w:t>
      </w:r>
      <w:proofErr w:type="spellStart"/>
      <w:r w:rsidRPr="009F6D1E">
        <w:rPr>
          <w:rFonts w:cs="Times New Roman"/>
          <w:i/>
          <w:iCs/>
          <w:szCs w:val="24"/>
        </w:rPr>
        <w:t>elegans</w:t>
      </w:r>
      <w:proofErr w:type="spellEnd"/>
      <w:r w:rsidRPr="009F6D1E">
        <w:rPr>
          <w:rFonts w:cs="Times New Roman"/>
          <w:i/>
          <w:iCs/>
          <w:szCs w:val="24"/>
        </w:rPr>
        <w:t xml:space="preserve"> </w:t>
      </w:r>
      <w:r w:rsidRPr="009F6D1E">
        <w:rPr>
          <w:rFonts w:cs="Times New Roman"/>
          <w:szCs w:val="24"/>
        </w:rPr>
        <w:t xml:space="preserve">са регистрирани и индивиди от подвида </w:t>
      </w:r>
      <w:proofErr w:type="spellStart"/>
      <w:r w:rsidRPr="009F6D1E">
        <w:rPr>
          <w:rFonts w:cs="Times New Roman"/>
          <w:szCs w:val="24"/>
        </w:rPr>
        <w:t>жълтобуза</w:t>
      </w:r>
      <w:proofErr w:type="spellEnd"/>
      <w:r w:rsidRPr="009F6D1E">
        <w:rPr>
          <w:rFonts w:cs="Times New Roman"/>
          <w:szCs w:val="24"/>
        </w:rPr>
        <w:t xml:space="preserve"> водна костенурка </w:t>
      </w:r>
      <w:r w:rsidRPr="009F6D1E">
        <w:rPr>
          <w:rFonts w:cs="Times New Roman"/>
          <w:i/>
          <w:iCs/>
          <w:szCs w:val="24"/>
        </w:rPr>
        <w:t xml:space="preserve">T. </w:t>
      </w:r>
      <w:proofErr w:type="spellStart"/>
      <w:r w:rsidRPr="009F6D1E">
        <w:rPr>
          <w:rFonts w:cs="Times New Roman"/>
          <w:i/>
          <w:iCs/>
          <w:szCs w:val="24"/>
        </w:rPr>
        <w:t>scripta</w:t>
      </w:r>
      <w:proofErr w:type="spellEnd"/>
      <w:r w:rsidRPr="009F6D1E">
        <w:rPr>
          <w:rFonts w:cs="Times New Roman"/>
          <w:i/>
          <w:iCs/>
          <w:szCs w:val="24"/>
        </w:rPr>
        <w:t xml:space="preserve"> </w:t>
      </w:r>
      <w:proofErr w:type="spellStart"/>
      <w:r w:rsidRPr="009F6D1E">
        <w:rPr>
          <w:rFonts w:cs="Times New Roman"/>
          <w:i/>
          <w:iCs/>
          <w:szCs w:val="24"/>
        </w:rPr>
        <w:t>scripta</w:t>
      </w:r>
      <w:proofErr w:type="spellEnd"/>
      <w:r w:rsidRPr="009F6D1E">
        <w:rPr>
          <w:rFonts w:cs="Times New Roman"/>
          <w:szCs w:val="24"/>
        </w:rPr>
        <w:t xml:space="preserve">. </w:t>
      </w:r>
    </w:p>
    <w:p w14:paraId="65634A82"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Като основни заплахи за земноводните са идентифицирани трайното пресушаване на влажни зони (блата, езера, реки), хидроморфологичният натиск върху реките (модифициране на коритата, водовземане, изграждане на преградни хидротехнически съоръжения), урбанизацията, интензивното земеделие в заливните речни тераси, фрагментирането на популациите вследствие изграждането на линейна инфраструктура, хищническият натиск от страна на чужди инвазивни видове риби.</w:t>
      </w:r>
    </w:p>
    <w:p w14:paraId="2D2E3B1D"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Основните заплахи за влечугите са свързани с промени в </w:t>
      </w:r>
      <w:proofErr w:type="spellStart"/>
      <w:r w:rsidRPr="009F6D1E">
        <w:rPr>
          <w:rFonts w:cs="Times New Roman"/>
          <w:szCs w:val="24"/>
        </w:rPr>
        <w:t>земеползването</w:t>
      </w:r>
      <w:proofErr w:type="spellEnd"/>
      <w:r w:rsidRPr="009F6D1E">
        <w:rPr>
          <w:rFonts w:cs="Times New Roman"/>
          <w:szCs w:val="24"/>
        </w:rPr>
        <w:t xml:space="preserve"> (разораване на пасища и ливади, премахване на синори), урбанизацията, изграждането на линейна инфраструктура, интензификацията на автомобилния трафик, изсичането на горите, разпространението на чужди инвазивни видове.</w:t>
      </w:r>
    </w:p>
    <w:p w14:paraId="619E91DD" w14:textId="77777777" w:rsidR="00D6187E" w:rsidRPr="009F6D1E" w:rsidRDefault="00D6187E" w:rsidP="0084747F">
      <w:pPr>
        <w:spacing w:after="60" w:line="264" w:lineRule="auto"/>
        <w:ind w:firstLine="709"/>
        <w:contextualSpacing/>
        <w:jc w:val="both"/>
        <w:rPr>
          <w:rFonts w:cs="Times New Roman"/>
          <w:b/>
          <w:szCs w:val="24"/>
        </w:rPr>
      </w:pPr>
    </w:p>
    <w:p w14:paraId="1B4EAC52" w14:textId="77777777" w:rsidR="00D6187E" w:rsidRPr="009F6D1E" w:rsidRDefault="00D6187E" w:rsidP="000B15B6">
      <w:pPr>
        <w:pStyle w:val="ListParagraph"/>
        <w:numPr>
          <w:ilvl w:val="0"/>
          <w:numId w:val="25"/>
        </w:numPr>
        <w:spacing w:after="60" w:line="264" w:lineRule="auto"/>
        <w:jc w:val="both"/>
        <w:rPr>
          <w:b/>
          <w:color w:val="000000" w:themeColor="text1"/>
          <w:lang w:val="bg-BG"/>
        </w:rPr>
      </w:pPr>
      <w:r w:rsidRPr="009F6D1E">
        <w:rPr>
          <w:b/>
          <w:color w:val="000000" w:themeColor="text1"/>
          <w:lang w:val="bg-BG"/>
        </w:rPr>
        <w:t xml:space="preserve">Птици </w:t>
      </w:r>
    </w:p>
    <w:p w14:paraId="343581E2" w14:textId="77777777" w:rsidR="00D6187E" w:rsidRPr="009F6D1E" w:rsidRDefault="00D6187E" w:rsidP="0084747F">
      <w:pPr>
        <w:spacing w:after="60" w:line="264" w:lineRule="auto"/>
        <w:ind w:firstLine="709"/>
        <w:contextualSpacing/>
        <w:jc w:val="both"/>
        <w:rPr>
          <w:rFonts w:cs="Times New Roman"/>
          <w:szCs w:val="24"/>
        </w:rPr>
      </w:pPr>
      <w:proofErr w:type="spellStart"/>
      <w:r w:rsidRPr="009F6D1E">
        <w:rPr>
          <w:rFonts w:cs="Times New Roman"/>
          <w:szCs w:val="24"/>
        </w:rPr>
        <w:t>Oт</w:t>
      </w:r>
      <w:proofErr w:type="spellEnd"/>
      <w:r w:rsidRPr="009F6D1E">
        <w:rPr>
          <w:rFonts w:cs="Times New Roman"/>
          <w:szCs w:val="24"/>
        </w:rPr>
        <w:t xml:space="preserve"> 19 век до сега в България са установени 409 вида птици. Гнездящите видове са около 290. Според Янков (2007) видовото богатство на територията на страната към 2005 г. варира между 6 и 163 вида на УТМ квадрат (10 х 10 </w:t>
      </w:r>
      <w:proofErr w:type="spellStart"/>
      <w:r w:rsidRPr="009F6D1E">
        <w:rPr>
          <w:rFonts w:cs="Times New Roman"/>
          <w:szCs w:val="24"/>
        </w:rPr>
        <w:t>km</w:t>
      </w:r>
      <w:proofErr w:type="spellEnd"/>
      <w:r w:rsidRPr="009F6D1E">
        <w:rPr>
          <w:rFonts w:cs="Times New Roman"/>
          <w:szCs w:val="24"/>
        </w:rPr>
        <w:t>) или средно 72 вида/100 km</w:t>
      </w:r>
      <w:r w:rsidRPr="009F6D1E">
        <w:rPr>
          <w:rFonts w:cs="Times New Roman"/>
          <w:szCs w:val="24"/>
          <w:vertAlign w:val="superscript"/>
        </w:rPr>
        <w:t>2</w:t>
      </w:r>
      <w:r w:rsidRPr="009F6D1E">
        <w:rPr>
          <w:rFonts w:cs="Times New Roman"/>
          <w:szCs w:val="24"/>
        </w:rPr>
        <w:t>. На значителни части от територията на страната плътността на природозащитно значимите видове е висока – между 41 и 103 вида/100 km</w:t>
      </w:r>
      <w:r w:rsidRPr="009F6D1E">
        <w:rPr>
          <w:rFonts w:cs="Times New Roman"/>
          <w:szCs w:val="24"/>
          <w:vertAlign w:val="superscript"/>
        </w:rPr>
        <w:t>2</w:t>
      </w:r>
      <w:r w:rsidRPr="009F6D1E">
        <w:rPr>
          <w:rFonts w:cs="Times New Roman"/>
          <w:szCs w:val="24"/>
        </w:rPr>
        <w:t xml:space="preserve">. Наблюдава се висока степен на стабилност на гнездовата </w:t>
      </w:r>
      <w:proofErr w:type="spellStart"/>
      <w:r w:rsidRPr="009F6D1E">
        <w:rPr>
          <w:rFonts w:cs="Times New Roman"/>
          <w:szCs w:val="24"/>
        </w:rPr>
        <w:t>орнитофауна</w:t>
      </w:r>
      <w:proofErr w:type="spellEnd"/>
      <w:r w:rsidRPr="009F6D1E">
        <w:rPr>
          <w:rFonts w:cs="Times New Roman"/>
          <w:szCs w:val="24"/>
        </w:rPr>
        <w:t xml:space="preserve">, изразена чрез тенденциите на разпространението и числеността на националните популации на отделните видове. </w:t>
      </w:r>
    </w:p>
    <w:p w14:paraId="03C48882" w14:textId="77777777" w:rsidR="00D6187E" w:rsidRPr="009F6D1E" w:rsidRDefault="00D6187E" w:rsidP="0084747F">
      <w:pPr>
        <w:spacing w:after="60" w:line="264" w:lineRule="auto"/>
        <w:ind w:firstLine="709"/>
        <w:contextualSpacing/>
        <w:jc w:val="both"/>
        <w:rPr>
          <w:rFonts w:cs="Times New Roman"/>
          <w:b/>
          <w:bCs/>
          <w:szCs w:val="24"/>
        </w:rPr>
      </w:pPr>
      <w:r w:rsidRPr="009F6D1E">
        <w:rPr>
          <w:rFonts w:cs="Times New Roman"/>
          <w:szCs w:val="24"/>
        </w:rPr>
        <w:lastRenderedPageBreak/>
        <w:t xml:space="preserve">По данни на ИАОС, общата тенденция за периода 2005-2019 г. за 50 вида птици, съставляващи индикатора „Индекс на обикновените видове птици за Република България”, е отрицателна, намаляваща с 15%. Сред видовете, обитаващи земеделските земи с най-значителни отрицателни тенденции са посевната врана (-93%) и обикновеното </w:t>
      </w:r>
      <w:proofErr w:type="spellStart"/>
      <w:r w:rsidRPr="009F6D1E">
        <w:rPr>
          <w:rFonts w:cs="Times New Roman"/>
          <w:szCs w:val="24"/>
        </w:rPr>
        <w:t>конопарче</w:t>
      </w:r>
      <w:proofErr w:type="spellEnd"/>
      <w:r w:rsidRPr="009F6D1E">
        <w:rPr>
          <w:rFonts w:cs="Times New Roman"/>
          <w:szCs w:val="24"/>
        </w:rPr>
        <w:t xml:space="preserve"> (-95%), с намаляваща  тенденция са пъдпъдъкът (-66%), сивата </w:t>
      </w:r>
      <w:proofErr w:type="spellStart"/>
      <w:r w:rsidRPr="009F6D1E">
        <w:rPr>
          <w:rFonts w:cs="Times New Roman"/>
          <w:szCs w:val="24"/>
        </w:rPr>
        <w:t>овесарка</w:t>
      </w:r>
      <w:proofErr w:type="spellEnd"/>
      <w:r w:rsidRPr="009F6D1E">
        <w:rPr>
          <w:rFonts w:cs="Times New Roman"/>
          <w:szCs w:val="24"/>
        </w:rPr>
        <w:t xml:space="preserve"> (-50%), жълтата стърчиопашка (-45%), селската лястовица (-43%) и щиглецът (-43%). Силно увеличаваща се численост има единствено голямото </w:t>
      </w:r>
      <w:proofErr w:type="spellStart"/>
      <w:r w:rsidRPr="009F6D1E">
        <w:rPr>
          <w:rFonts w:cs="Times New Roman"/>
          <w:szCs w:val="24"/>
        </w:rPr>
        <w:t>белогушо</w:t>
      </w:r>
      <w:proofErr w:type="spellEnd"/>
      <w:r w:rsidRPr="009F6D1E">
        <w:rPr>
          <w:rFonts w:cs="Times New Roman"/>
          <w:szCs w:val="24"/>
        </w:rPr>
        <w:t xml:space="preserve"> </w:t>
      </w:r>
      <w:proofErr w:type="spellStart"/>
      <w:r w:rsidRPr="009F6D1E">
        <w:rPr>
          <w:rFonts w:cs="Times New Roman"/>
          <w:szCs w:val="24"/>
        </w:rPr>
        <w:t>коприварче</w:t>
      </w:r>
      <w:proofErr w:type="spellEnd"/>
      <w:r w:rsidRPr="009F6D1E">
        <w:rPr>
          <w:rFonts w:cs="Times New Roman"/>
          <w:szCs w:val="24"/>
        </w:rPr>
        <w:t xml:space="preserve"> (303%), а с умерено увеличаване е само полското врабче. От видовете, обитаващи горите, с положителна тенденция на популацията са черешарката, пойният дрозд, еловият певец и гривякът. Със стабилна категория на тенденцията е сойката, големият пъстър кълвач, косът и обикновената чинка. Единственият умерено намаляващ горски вид е горската бъбрица (-79%). </w:t>
      </w:r>
    </w:p>
    <w:p w14:paraId="25B588B1"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Територията на България е кръстопът на прелетни пътища на различни екологични групи птици от най-западната част на Западна </w:t>
      </w:r>
      <w:proofErr w:type="spellStart"/>
      <w:r w:rsidRPr="009F6D1E">
        <w:rPr>
          <w:rFonts w:cs="Times New Roman"/>
          <w:szCs w:val="24"/>
        </w:rPr>
        <w:t>Палеарктика</w:t>
      </w:r>
      <w:proofErr w:type="spellEnd"/>
      <w:r w:rsidRPr="009F6D1E">
        <w:rPr>
          <w:rFonts w:cs="Times New Roman"/>
          <w:szCs w:val="24"/>
        </w:rPr>
        <w:t xml:space="preserve"> - Северна, Източна и Централна Европа. В сравнение с редица държави от Северна и Централна Европа, миграцията през територията на България е много по-значима и по-добре изразена както в количествено, така и във видово отношение. Известно е, че по Черноморското крайбрежие на България е разположен един от основните прелетни пътища на реещите се птици в Европа – </w:t>
      </w:r>
      <w:proofErr w:type="spellStart"/>
      <w:r w:rsidRPr="009F6D1E">
        <w:rPr>
          <w:rFonts w:cs="Times New Roman"/>
          <w:i/>
          <w:szCs w:val="24"/>
        </w:rPr>
        <w:t>Via</w:t>
      </w:r>
      <w:proofErr w:type="spellEnd"/>
      <w:r w:rsidRPr="009F6D1E">
        <w:rPr>
          <w:rFonts w:cs="Times New Roman"/>
          <w:i/>
          <w:szCs w:val="24"/>
        </w:rPr>
        <w:t xml:space="preserve"> </w:t>
      </w:r>
      <w:proofErr w:type="spellStart"/>
      <w:r w:rsidRPr="009F6D1E">
        <w:rPr>
          <w:rFonts w:cs="Times New Roman"/>
          <w:i/>
          <w:szCs w:val="24"/>
        </w:rPr>
        <w:t>Pontica</w:t>
      </w:r>
      <w:proofErr w:type="spellEnd"/>
      <w:r w:rsidRPr="009F6D1E">
        <w:rPr>
          <w:rFonts w:cs="Times New Roman"/>
          <w:szCs w:val="24"/>
        </w:rPr>
        <w:t xml:space="preserve">. Друг утвърден миграционен път е по долината на р. Искър, Софийското поле и долината на р. Струма (познат като </w:t>
      </w:r>
      <w:proofErr w:type="spellStart"/>
      <w:r w:rsidRPr="009F6D1E">
        <w:rPr>
          <w:rFonts w:cs="Times New Roman"/>
          <w:i/>
          <w:szCs w:val="24"/>
        </w:rPr>
        <w:t>Via</w:t>
      </w:r>
      <w:proofErr w:type="spellEnd"/>
      <w:r w:rsidRPr="009F6D1E">
        <w:rPr>
          <w:rFonts w:cs="Times New Roman"/>
          <w:i/>
          <w:szCs w:val="24"/>
        </w:rPr>
        <w:t xml:space="preserve"> </w:t>
      </w:r>
      <w:proofErr w:type="spellStart"/>
      <w:r w:rsidRPr="009F6D1E">
        <w:rPr>
          <w:rFonts w:cs="Times New Roman"/>
          <w:i/>
          <w:szCs w:val="24"/>
        </w:rPr>
        <w:t>Aristotelis</w:t>
      </w:r>
      <w:proofErr w:type="spellEnd"/>
      <w:r w:rsidRPr="009F6D1E">
        <w:rPr>
          <w:rFonts w:cs="Times New Roman"/>
          <w:szCs w:val="24"/>
        </w:rPr>
        <w:t xml:space="preserve">). Освен това, на широк фронт, т.е. през цялата територия на страната, протича миграцията на всички пойни и някои </w:t>
      </w:r>
      <w:proofErr w:type="spellStart"/>
      <w:r w:rsidRPr="009F6D1E">
        <w:rPr>
          <w:rFonts w:cs="Times New Roman"/>
          <w:szCs w:val="24"/>
        </w:rPr>
        <w:t>водолюбиви</w:t>
      </w:r>
      <w:proofErr w:type="spellEnd"/>
      <w:r w:rsidRPr="009F6D1E">
        <w:rPr>
          <w:rFonts w:cs="Times New Roman"/>
          <w:szCs w:val="24"/>
        </w:rPr>
        <w:t xml:space="preserve"> видове птици. </w:t>
      </w:r>
    </w:p>
    <w:p w14:paraId="4049C13F"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През зимата в по-големите влажни зони на България са регистрирани различни по големина концентрации на </w:t>
      </w:r>
      <w:proofErr w:type="spellStart"/>
      <w:r w:rsidRPr="009F6D1E">
        <w:rPr>
          <w:rFonts w:cs="Times New Roman"/>
          <w:szCs w:val="24"/>
        </w:rPr>
        <w:t>водолюбиви</w:t>
      </w:r>
      <w:proofErr w:type="spellEnd"/>
      <w:r w:rsidRPr="009F6D1E">
        <w:rPr>
          <w:rFonts w:cs="Times New Roman"/>
          <w:szCs w:val="24"/>
        </w:rPr>
        <w:t xml:space="preserve"> птици. Най-многочисленият разред, традиционно, се явява </w:t>
      </w:r>
      <w:proofErr w:type="spellStart"/>
      <w:r w:rsidRPr="009F6D1E">
        <w:rPr>
          <w:rFonts w:cs="Times New Roman"/>
          <w:szCs w:val="24"/>
        </w:rPr>
        <w:t>Гъскоподобни</w:t>
      </w:r>
      <w:proofErr w:type="spellEnd"/>
      <w:r w:rsidRPr="009F6D1E">
        <w:rPr>
          <w:rFonts w:cs="Times New Roman"/>
          <w:szCs w:val="24"/>
        </w:rPr>
        <w:t xml:space="preserve"> (</w:t>
      </w:r>
      <w:proofErr w:type="spellStart"/>
      <w:r w:rsidRPr="009F6D1E">
        <w:rPr>
          <w:rFonts w:cs="Times New Roman"/>
          <w:szCs w:val="24"/>
        </w:rPr>
        <w:t>Anseriformes</w:t>
      </w:r>
      <w:proofErr w:type="spellEnd"/>
      <w:r w:rsidRPr="009F6D1E">
        <w:rPr>
          <w:rFonts w:cs="Times New Roman"/>
          <w:szCs w:val="24"/>
        </w:rPr>
        <w:t xml:space="preserve">) – 233 155 екземпляра, следван през 2019 г. от </w:t>
      </w:r>
      <w:proofErr w:type="spellStart"/>
      <w:r w:rsidRPr="009F6D1E">
        <w:rPr>
          <w:rFonts w:cs="Times New Roman"/>
          <w:szCs w:val="24"/>
        </w:rPr>
        <w:t>Жеравоподобни</w:t>
      </w:r>
      <w:proofErr w:type="spellEnd"/>
      <w:r w:rsidRPr="009F6D1E">
        <w:rPr>
          <w:rFonts w:cs="Times New Roman"/>
          <w:szCs w:val="24"/>
        </w:rPr>
        <w:t xml:space="preserve"> (</w:t>
      </w:r>
      <w:proofErr w:type="spellStart"/>
      <w:r w:rsidRPr="009F6D1E">
        <w:rPr>
          <w:rFonts w:cs="Times New Roman"/>
          <w:szCs w:val="24"/>
        </w:rPr>
        <w:t>Gruiformes</w:t>
      </w:r>
      <w:proofErr w:type="spellEnd"/>
      <w:r w:rsidRPr="009F6D1E">
        <w:rPr>
          <w:rFonts w:cs="Times New Roman"/>
          <w:szCs w:val="24"/>
        </w:rPr>
        <w:t xml:space="preserve">) – с </w:t>
      </w:r>
      <w:proofErr w:type="spellStart"/>
      <w:r w:rsidRPr="009F6D1E">
        <w:rPr>
          <w:rFonts w:cs="Times New Roman"/>
          <w:szCs w:val="24"/>
        </w:rPr>
        <w:t>лиската</w:t>
      </w:r>
      <w:proofErr w:type="spellEnd"/>
      <w:r w:rsidRPr="009F6D1E">
        <w:rPr>
          <w:rFonts w:cs="Times New Roman"/>
          <w:szCs w:val="24"/>
        </w:rPr>
        <w:t xml:space="preserve"> (</w:t>
      </w:r>
      <w:proofErr w:type="spellStart"/>
      <w:r w:rsidRPr="009F6D1E">
        <w:rPr>
          <w:rFonts w:cs="Times New Roman"/>
          <w:szCs w:val="24"/>
        </w:rPr>
        <w:t>Fulica</w:t>
      </w:r>
      <w:proofErr w:type="spellEnd"/>
      <w:r w:rsidRPr="009F6D1E">
        <w:rPr>
          <w:rFonts w:cs="Times New Roman"/>
          <w:szCs w:val="24"/>
        </w:rPr>
        <w:t xml:space="preserve"> </w:t>
      </w:r>
      <w:proofErr w:type="spellStart"/>
      <w:r w:rsidRPr="009F6D1E">
        <w:rPr>
          <w:rFonts w:cs="Times New Roman"/>
          <w:szCs w:val="24"/>
        </w:rPr>
        <w:t>atra</w:t>
      </w:r>
      <w:proofErr w:type="spellEnd"/>
      <w:r w:rsidRPr="009F6D1E">
        <w:rPr>
          <w:rFonts w:cs="Times New Roman"/>
          <w:szCs w:val="24"/>
        </w:rPr>
        <w:t xml:space="preserve">) като най-многочислен представител (99.7% от общата численост на разреда) и </w:t>
      </w:r>
      <w:proofErr w:type="spellStart"/>
      <w:r w:rsidRPr="009F6D1E">
        <w:rPr>
          <w:rFonts w:cs="Times New Roman"/>
          <w:szCs w:val="24"/>
        </w:rPr>
        <w:t>Рибоядоподобни</w:t>
      </w:r>
      <w:proofErr w:type="spellEnd"/>
      <w:r w:rsidRPr="009F6D1E">
        <w:rPr>
          <w:rFonts w:cs="Times New Roman"/>
          <w:szCs w:val="24"/>
        </w:rPr>
        <w:t xml:space="preserve"> (</w:t>
      </w:r>
      <w:proofErr w:type="spellStart"/>
      <w:r w:rsidRPr="009F6D1E">
        <w:rPr>
          <w:rFonts w:cs="Times New Roman"/>
          <w:szCs w:val="24"/>
        </w:rPr>
        <w:t>Suliformes</w:t>
      </w:r>
      <w:proofErr w:type="spellEnd"/>
      <w:r w:rsidRPr="009F6D1E">
        <w:rPr>
          <w:rFonts w:cs="Times New Roman"/>
          <w:szCs w:val="24"/>
        </w:rPr>
        <w:t xml:space="preserve">) – с най-многочислен представител голям </w:t>
      </w:r>
      <w:proofErr w:type="spellStart"/>
      <w:r w:rsidRPr="009F6D1E">
        <w:rPr>
          <w:rFonts w:cs="Times New Roman"/>
          <w:szCs w:val="24"/>
        </w:rPr>
        <w:t>корморан</w:t>
      </w:r>
      <w:proofErr w:type="spellEnd"/>
      <w:r w:rsidRPr="009F6D1E">
        <w:rPr>
          <w:rFonts w:cs="Times New Roman"/>
          <w:szCs w:val="24"/>
        </w:rPr>
        <w:t xml:space="preserve"> (</w:t>
      </w:r>
      <w:proofErr w:type="spellStart"/>
      <w:r w:rsidRPr="009F6D1E">
        <w:rPr>
          <w:rFonts w:cs="Times New Roman"/>
          <w:i/>
          <w:szCs w:val="24"/>
        </w:rPr>
        <w:t>Phalacrocorax</w:t>
      </w:r>
      <w:proofErr w:type="spellEnd"/>
      <w:r w:rsidRPr="009F6D1E">
        <w:rPr>
          <w:rFonts w:cs="Times New Roman"/>
          <w:i/>
          <w:szCs w:val="24"/>
        </w:rPr>
        <w:t xml:space="preserve"> </w:t>
      </w:r>
      <w:proofErr w:type="spellStart"/>
      <w:r w:rsidRPr="009F6D1E">
        <w:rPr>
          <w:rFonts w:cs="Times New Roman"/>
          <w:i/>
          <w:szCs w:val="24"/>
        </w:rPr>
        <w:t>carbo</w:t>
      </w:r>
      <w:proofErr w:type="spellEnd"/>
      <w:r w:rsidRPr="009F6D1E">
        <w:rPr>
          <w:rFonts w:cs="Times New Roman"/>
          <w:szCs w:val="24"/>
        </w:rPr>
        <w:t xml:space="preserve">) - 76.4% от общата численост на разреда. Най-широко разпространените видове </w:t>
      </w:r>
      <w:proofErr w:type="spellStart"/>
      <w:r w:rsidRPr="009F6D1E">
        <w:rPr>
          <w:rFonts w:cs="Times New Roman"/>
          <w:szCs w:val="24"/>
        </w:rPr>
        <w:t>водолюбиви</w:t>
      </w:r>
      <w:proofErr w:type="spellEnd"/>
      <w:r w:rsidRPr="009F6D1E">
        <w:rPr>
          <w:rFonts w:cs="Times New Roman"/>
          <w:szCs w:val="24"/>
        </w:rPr>
        <w:t xml:space="preserve"> птици  са </w:t>
      </w:r>
      <w:proofErr w:type="spellStart"/>
      <w:r w:rsidRPr="009F6D1E">
        <w:rPr>
          <w:rFonts w:cs="Times New Roman"/>
          <w:szCs w:val="24"/>
        </w:rPr>
        <w:t>зеленоглавата</w:t>
      </w:r>
      <w:proofErr w:type="spellEnd"/>
      <w:r w:rsidRPr="009F6D1E">
        <w:rPr>
          <w:rFonts w:cs="Times New Roman"/>
          <w:szCs w:val="24"/>
        </w:rPr>
        <w:t xml:space="preserve"> патица (</w:t>
      </w:r>
      <w:proofErr w:type="spellStart"/>
      <w:r w:rsidRPr="009F6D1E">
        <w:rPr>
          <w:rFonts w:cs="Times New Roman"/>
          <w:i/>
          <w:szCs w:val="24"/>
        </w:rPr>
        <w:t>Anas</w:t>
      </w:r>
      <w:proofErr w:type="spellEnd"/>
      <w:r w:rsidRPr="009F6D1E">
        <w:rPr>
          <w:rFonts w:cs="Times New Roman"/>
          <w:i/>
          <w:szCs w:val="24"/>
        </w:rPr>
        <w:t xml:space="preserve"> </w:t>
      </w:r>
      <w:proofErr w:type="spellStart"/>
      <w:r w:rsidRPr="009F6D1E">
        <w:rPr>
          <w:rFonts w:cs="Times New Roman"/>
          <w:i/>
          <w:szCs w:val="24"/>
        </w:rPr>
        <w:t>platyrhynchos</w:t>
      </w:r>
      <w:proofErr w:type="spellEnd"/>
      <w:r w:rsidRPr="009F6D1E">
        <w:rPr>
          <w:rFonts w:cs="Times New Roman"/>
          <w:szCs w:val="24"/>
        </w:rPr>
        <w:t>), сивата чапла (</w:t>
      </w:r>
      <w:proofErr w:type="spellStart"/>
      <w:r w:rsidRPr="009F6D1E">
        <w:rPr>
          <w:rFonts w:cs="Times New Roman"/>
          <w:i/>
          <w:szCs w:val="24"/>
        </w:rPr>
        <w:t>Ardea</w:t>
      </w:r>
      <w:proofErr w:type="spellEnd"/>
      <w:r w:rsidRPr="009F6D1E">
        <w:rPr>
          <w:rFonts w:cs="Times New Roman"/>
          <w:i/>
          <w:szCs w:val="24"/>
        </w:rPr>
        <w:t xml:space="preserve"> </w:t>
      </w:r>
      <w:proofErr w:type="spellStart"/>
      <w:r w:rsidRPr="009F6D1E">
        <w:rPr>
          <w:rFonts w:cs="Times New Roman"/>
          <w:i/>
          <w:szCs w:val="24"/>
        </w:rPr>
        <w:t>cinerea</w:t>
      </w:r>
      <w:proofErr w:type="spellEnd"/>
      <w:r w:rsidRPr="009F6D1E">
        <w:rPr>
          <w:rFonts w:cs="Times New Roman"/>
          <w:szCs w:val="24"/>
        </w:rPr>
        <w:t>) и голямата бяла чапла (</w:t>
      </w:r>
      <w:r w:rsidRPr="009F6D1E">
        <w:rPr>
          <w:rFonts w:cs="Times New Roman"/>
          <w:i/>
          <w:szCs w:val="24"/>
        </w:rPr>
        <w:t xml:space="preserve">A. </w:t>
      </w:r>
      <w:proofErr w:type="spellStart"/>
      <w:r w:rsidRPr="009F6D1E">
        <w:rPr>
          <w:rFonts w:cs="Times New Roman"/>
          <w:i/>
          <w:szCs w:val="24"/>
        </w:rPr>
        <w:t>alba</w:t>
      </w:r>
      <w:proofErr w:type="spellEnd"/>
      <w:r w:rsidRPr="009F6D1E">
        <w:rPr>
          <w:rFonts w:cs="Times New Roman"/>
          <w:szCs w:val="24"/>
        </w:rPr>
        <w:t xml:space="preserve">). </w:t>
      </w:r>
    </w:p>
    <w:p w14:paraId="68876AA5"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По българското черноморско крайбрежие най-многочислени са птиците на територията на Комплекс “ез. Вая”, Комплекс „Дуранкулак“ и Комплекс „Шабленско езеро“. Във вътрешността на страната най-големи концентрации са регистрирани на язовирите Трояново и Крушово, както и на яз. Овчарица. От високопланинските язовири най-голямо значение има язовир Батак.</w:t>
      </w:r>
    </w:p>
    <w:p w14:paraId="2E133733" w14:textId="77777777" w:rsidR="00D6187E" w:rsidRPr="009F6D1E" w:rsidRDefault="00D6187E" w:rsidP="0084747F">
      <w:pPr>
        <w:spacing w:after="60" w:line="264" w:lineRule="auto"/>
        <w:ind w:firstLine="709"/>
        <w:contextualSpacing/>
        <w:jc w:val="both"/>
        <w:rPr>
          <w:rFonts w:cs="Times New Roman"/>
          <w:b/>
          <w:szCs w:val="24"/>
        </w:rPr>
      </w:pPr>
    </w:p>
    <w:p w14:paraId="323971A6" w14:textId="77777777" w:rsidR="00D6187E" w:rsidRPr="009F6D1E" w:rsidRDefault="00D6187E" w:rsidP="000B15B6">
      <w:pPr>
        <w:pStyle w:val="ListParagraph"/>
        <w:numPr>
          <w:ilvl w:val="0"/>
          <w:numId w:val="25"/>
        </w:numPr>
        <w:spacing w:after="60" w:line="264" w:lineRule="auto"/>
        <w:jc w:val="both"/>
        <w:rPr>
          <w:b/>
          <w:color w:val="000000" w:themeColor="text1"/>
          <w:lang w:val="bg-BG"/>
        </w:rPr>
      </w:pPr>
      <w:r w:rsidRPr="009F6D1E">
        <w:rPr>
          <w:b/>
          <w:color w:val="000000" w:themeColor="text1"/>
          <w:lang w:val="bg-BG"/>
        </w:rPr>
        <w:t>Бозайници</w:t>
      </w:r>
    </w:p>
    <w:p w14:paraId="60C9CA24"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България се срещат представители на 8 разреда бозайници - </w:t>
      </w:r>
      <w:proofErr w:type="spellStart"/>
      <w:r w:rsidRPr="009F6D1E">
        <w:rPr>
          <w:rFonts w:cs="Times New Roman"/>
          <w:szCs w:val="24"/>
        </w:rPr>
        <w:t>Insectivora</w:t>
      </w:r>
      <w:proofErr w:type="spellEnd"/>
      <w:r w:rsidRPr="009F6D1E">
        <w:rPr>
          <w:rFonts w:cs="Times New Roman"/>
          <w:szCs w:val="24"/>
        </w:rPr>
        <w:t xml:space="preserve">, </w:t>
      </w:r>
      <w:proofErr w:type="spellStart"/>
      <w:r w:rsidRPr="009F6D1E">
        <w:rPr>
          <w:rFonts w:cs="Times New Roman"/>
          <w:szCs w:val="24"/>
        </w:rPr>
        <w:t>Chiroptera</w:t>
      </w:r>
      <w:proofErr w:type="spellEnd"/>
      <w:r w:rsidRPr="009F6D1E">
        <w:rPr>
          <w:rFonts w:cs="Times New Roman"/>
          <w:szCs w:val="24"/>
        </w:rPr>
        <w:t xml:space="preserve">, </w:t>
      </w:r>
      <w:proofErr w:type="spellStart"/>
      <w:r w:rsidRPr="009F6D1E">
        <w:rPr>
          <w:rFonts w:cs="Times New Roman"/>
          <w:szCs w:val="24"/>
        </w:rPr>
        <w:t>Lagomorpha</w:t>
      </w:r>
      <w:proofErr w:type="spellEnd"/>
      <w:r w:rsidRPr="009F6D1E">
        <w:rPr>
          <w:rFonts w:cs="Times New Roman"/>
          <w:szCs w:val="24"/>
        </w:rPr>
        <w:t xml:space="preserve">, </w:t>
      </w:r>
      <w:proofErr w:type="spellStart"/>
      <w:r w:rsidRPr="009F6D1E">
        <w:rPr>
          <w:rFonts w:cs="Times New Roman"/>
          <w:szCs w:val="24"/>
        </w:rPr>
        <w:t>Rodentia</w:t>
      </w:r>
      <w:proofErr w:type="spellEnd"/>
      <w:r w:rsidRPr="009F6D1E">
        <w:rPr>
          <w:rFonts w:cs="Times New Roman"/>
          <w:szCs w:val="24"/>
        </w:rPr>
        <w:t xml:space="preserve">, </w:t>
      </w:r>
      <w:proofErr w:type="spellStart"/>
      <w:r w:rsidRPr="009F6D1E">
        <w:rPr>
          <w:rFonts w:cs="Times New Roman"/>
          <w:szCs w:val="24"/>
        </w:rPr>
        <w:t>Carnivora</w:t>
      </w:r>
      <w:proofErr w:type="spellEnd"/>
      <w:r w:rsidRPr="009F6D1E">
        <w:rPr>
          <w:rFonts w:cs="Times New Roman"/>
          <w:szCs w:val="24"/>
        </w:rPr>
        <w:t xml:space="preserve">, </w:t>
      </w:r>
      <w:proofErr w:type="spellStart"/>
      <w:r w:rsidRPr="009F6D1E">
        <w:rPr>
          <w:rFonts w:cs="Times New Roman"/>
          <w:szCs w:val="24"/>
        </w:rPr>
        <w:t>Pinipedia</w:t>
      </w:r>
      <w:proofErr w:type="spellEnd"/>
      <w:r w:rsidRPr="009F6D1E">
        <w:rPr>
          <w:rFonts w:cs="Times New Roman"/>
          <w:szCs w:val="24"/>
        </w:rPr>
        <w:t xml:space="preserve">, </w:t>
      </w:r>
      <w:proofErr w:type="spellStart"/>
      <w:r w:rsidRPr="009F6D1E">
        <w:rPr>
          <w:rFonts w:cs="Times New Roman"/>
          <w:szCs w:val="24"/>
        </w:rPr>
        <w:t>Cetacea</w:t>
      </w:r>
      <w:proofErr w:type="spellEnd"/>
      <w:r w:rsidRPr="009F6D1E">
        <w:rPr>
          <w:rFonts w:cs="Times New Roman"/>
          <w:szCs w:val="24"/>
        </w:rPr>
        <w:t xml:space="preserve"> и </w:t>
      </w:r>
      <w:proofErr w:type="spellStart"/>
      <w:r w:rsidRPr="009F6D1E">
        <w:rPr>
          <w:rFonts w:cs="Times New Roman"/>
          <w:szCs w:val="24"/>
        </w:rPr>
        <w:t>Artiodactyla</w:t>
      </w:r>
      <w:proofErr w:type="spellEnd"/>
      <w:r w:rsidRPr="009F6D1E">
        <w:rPr>
          <w:rFonts w:cs="Times New Roman"/>
          <w:szCs w:val="24"/>
        </w:rPr>
        <w:t>. В състава на защитените видове бозайници по ЗБР са включени 4 вида гризачи (</w:t>
      </w:r>
      <w:proofErr w:type="spellStart"/>
      <w:r w:rsidRPr="009F6D1E">
        <w:rPr>
          <w:rFonts w:cs="Times New Roman"/>
          <w:i/>
          <w:szCs w:val="24"/>
        </w:rPr>
        <w:t>Mesocricetus</w:t>
      </w:r>
      <w:proofErr w:type="spellEnd"/>
      <w:r w:rsidRPr="009F6D1E">
        <w:rPr>
          <w:rFonts w:cs="Times New Roman"/>
          <w:i/>
          <w:szCs w:val="24"/>
        </w:rPr>
        <w:t xml:space="preserve"> </w:t>
      </w:r>
      <w:proofErr w:type="spellStart"/>
      <w:r w:rsidRPr="009F6D1E">
        <w:rPr>
          <w:rFonts w:cs="Times New Roman"/>
          <w:i/>
          <w:szCs w:val="24"/>
        </w:rPr>
        <w:t>newtoni</w:t>
      </w:r>
      <w:proofErr w:type="spellEnd"/>
      <w:r w:rsidRPr="009F6D1E">
        <w:rPr>
          <w:rFonts w:cs="Times New Roman"/>
          <w:i/>
          <w:szCs w:val="24"/>
        </w:rPr>
        <w:t xml:space="preserve">, </w:t>
      </w:r>
      <w:proofErr w:type="spellStart"/>
      <w:r w:rsidRPr="009F6D1E">
        <w:rPr>
          <w:rFonts w:cs="Times New Roman"/>
          <w:i/>
          <w:szCs w:val="24"/>
        </w:rPr>
        <w:t>Myomimus</w:t>
      </w:r>
      <w:proofErr w:type="spellEnd"/>
      <w:r w:rsidRPr="009F6D1E">
        <w:rPr>
          <w:rFonts w:cs="Times New Roman"/>
          <w:i/>
          <w:szCs w:val="24"/>
        </w:rPr>
        <w:t xml:space="preserve"> </w:t>
      </w:r>
      <w:proofErr w:type="spellStart"/>
      <w:r w:rsidRPr="009F6D1E">
        <w:rPr>
          <w:rFonts w:cs="Times New Roman"/>
          <w:i/>
          <w:szCs w:val="24"/>
        </w:rPr>
        <w:t>roachi</w:t>
      </w:r>
      <w:proofErr w:type="spellEnd"/>
      <w:r w:rsidRPr="009F6D1E">
        <w:rPr>
          <w:rFonts w:cs="Times New Roman"/>
          <w:i/>
          <w:szCs w:val="24"/>
        </w:rPr>
        <w:t xml:space="preserve">, </w:t>
      </w:r>
      <w:proofErr w:type="spellStart"/>
      <w:r w:rsidRPr="009F6D1E">
        <w:rPr>
          <w:rFonts w:cs="Times New Roman"/>
          <w:i/>
          <w:szCs w:val="24"/>
        </w:rPr>
        <w:t>Spermophilus</w:t>
      </w:r>
      <w:proofErr w:type="spellEnd"/>
      <w:r w:rsidRPr="009F6D1E">
        <w:rPr>
          <w:rFonts w:cs="Times New Roman"/>
          <w:i/>
          <w:szCs w:val="24"/>
        </w:rPr>
        <w:t xml:space="preserve"> </w:t>
      </w:r>
      <w:proofErr w:type="spellStart"/>
      <w:r w:rsidRPr="009F6D1E">
        <w:rPr>
          <w:rFonts w:cs="Times New Roman"/>
          <w:i/>
          <w:szCs w:val="24"/>
        </w:rPr>
        <w:t>citellus</w:t>
      </w:r>
      <w:proofErr w:type="spellEnd"/>
      <w:r w:rsidRPr="009F6D1E">
        <w:rPr>
          <w:rFonts w:cs="Times New Roman"/>
          <w:i/>
          <w:szCs w:val="24"/>
        </w:rPr>
        <w:t xml:space="preserve">, </w:t>
      </w:r>
      <w:proofErr w:type="spellStart"/>
      <w:r w:rsidRPr="009F6D1E">
        <w:rPr>
          <w:rFonts w:cs="Times New Roman"/>
          <w:i/>
          <w:szCs w:val="24"/>
        </w:rPr>
        <w:t>Sicista</w:t>
      </w:r>
      <w:proofErr w:type="spellEnd"/>
      <w:r w:rsidRPr="009F6D1E">
        <w:rPr>
          <w:rFonts w:cs="Times New Roman"/>
          <w:i/>
          <w:szCs w:val="24"/>
        </w:rPr>
        <w:t xml:space="preserve"> </w:t>
      </w:r>
      <w:proofErr w:type="spellStart"/>
      <w:r w:rsidRPr="009F6D1E">
        <w:rPr>
          <w:rFonts w:cs="Times New Roman"/>
          <w:i/>
          <w:szCs w:val="24"/>
        </w:rPr>
        <w:t>subtilis</w:t>
      </w:r>
      <w:proofErr w:type="spellEnd"/>
      <w:r w:rsidRPr="009F6D1E">
        <w:rPr>
          <w:rFonts w:cs="Times New Roman"/>
          <w:szCs w:val="24"/>
        </w:rPr>
        <w:t>), 7 вида хищници (</w:t>
      </w:r>
      <w:proofErr w:type="spellStart"/>
      <w:r w:rsidRPr="009F6D1E">
        <w:rPr>
          <w:rFonts w:cs="Times New Roman"/>
          <w:i/>
          <w:szCs w:val="24"/>
        </w:rPr>
        <w:t>Canis</w:t>
      </w:r>
      <w:proofErr w:type="spellEnd"/>
      <w:r w:rsidRPr="009F6D1E">
        <w:rPr>
          <w:rFonts w:cs="Times New Roman"/>
          <w:i/>
          <w:szCs w:val="24"/>
        </w:rPr>
        <w:t xml:space="preserve"> </w:t>
      </w:r>
      <w:proofErr w:type="spellStart"/>
      <w:r w:rsidRPr="009F6D1E">
        <w:rPr>
          <w:rFonts w:cs="Times New Roman"/>
          <w:i/>
          <w:szCs w:val="24"/>
        </w:rPr>
        <w:t>lupus</w:t>
      </w:r>
      <w:proofErr w:type="spellEnd"/>
      <w:r w:rsidRPr="009F6D1E">
        <w:rPr>
          <w:rFonts w:cs="Times New Roman"/>
          <w:i/>
          <w:szCs w:val="24"/>
        </w:rPr>
        <w:t xml:space="preserve">, </w:t>
      </w:r>
      <w:proofErr w:type="spellStart"/>
      <w:r w:rsidRPr="009F6D1E">
        <w:rPr>
          <w:rFonts w:cs="Times New Roman"/>
          <w:i/>
          <w:szCs w:val="24"/>
        </w:rPr>
        <w:t>Ursus</w:t>
      </w:r>
      <w:proofErr w:type="spellEnd"/>
      <w:r w:rsidRPr="009F6D1E">
        <w:rPr>
          <w:rFonts w:cs="Times New Roman"/>
          <w:i/>
          <w:szCs w:val="24"/>
        </w:rPr>
        <w:t xml:space="preserve"> </w:t>
      </w:r>
      <w:proofErr w:type="spellStart"/>
      <w:r w:rsidRPr="009F6D1E">
        <w:rPr>
          <w:rFonts w:cs="Times New Roman"/>
          <w:i/>
          <w:szCs w:val="24"/>
        </w:rPr>
        <w:t>arctos</w:t>
      </w:r>
      <w:proofErr w:type="spellEnd"/>
      <w:r w:rsidRPr="009F6D1E">
        <w:rPr>
          <w:rFonts w:cs="Times New Roman"/>
          <w:i/>
          <w:szCs w:val="24"/>
        </w:rPr>
        <w:t xml:space="preserve">, </w:t>
      </w:r>
      <w:proofErr w:type="spellStart"/>
      <w:r w:rsidRPr="009F6D1E">
        <w:rPr>
          <w:rFonts w:cs="Times New Roman"/>
          <w:i/>
          <w:szCs w:val="24"/>
        </w:rPr>
        <w:t>Lutra</w:t>
      </w:r>
      <w:proofErr w:type="spellEnd"/>
      <w:r w:rsidRPr="009F6D1E">
        <w:rPr>
          <w:rFonts w:cs="Times New Roman"/>
          <w:i/>
          <w:szCs w:val="24"/>
        </w:rPr>
        <w:t xml:space="preserve"> </w:t>
      </w:r>
      <w:proofErr w:type="spellStart"/>
      <w:r w:rsidRPr="009F6D1E">
        <w:rPr>
          <w:rFonts w:cs="Times New Roman"/>
          <w:i/>
          <w:szCs w:val="24"/>
        </w:rPr>
        <w:t>lutra</w:t>
      </w:r>
      <w:proofErr w:type="spellEnd"/>
      <w:r w:rsidRPr="009F6D1E">
        <w:rPr>
          <w:rFonts w:cs="Times New Roman"/>
          <w:i/>
          <w:szCs w:val="24"/>
        </w:rPr>
        <w:t xml:space="preserve">, </w:t>
      </w:r>
      <w:proofErr w:type="spellStart"/>
      <w:r w:rsidRPr="009F6D1E">
        <w:rPr>
          <w:rFonts w:cs="Times New Roman"/>
          <w:i/>
          <w:szCs w:val="24"/>
        </w:rPr>
        <w:t>Mustela</w:t>
      </w:r>
      <w:proofErr w:type="spellEnd"/>
      <w:r w:rsidRPr="009F6D1E">
        <w:rPr>
          <w:rFonts w:cs="Times New Roman"/>
          <w:i/>
          <w:szCs w:val="24"/>
        </w:rPr>
        <w:t xml:space="preserve"> </w:t>
      </w:r>
      <w:proofErr w:type="spellStart"/>
      <w:r w:rsidRPr="009F6D1E">
        <w:rPr>
          <w:rFonts w:cs="Times New Roman"/>
          <w:i/>
          <w:szCs w:val="24"/>
        </w:rPr>
        <w:t>eversmanii</w:t>
      </w:r>
      <w:proofErr w:type="spellEnd"/>
      <w:r w:rsidRPr="009F6D1E">
        <w:rPr>
          <w:rFonts w:cs="Times New Roman"/>
          <w:i/>
          <w:szCs w:val="24"/>
        </w:rPr>
        <w:t xml:space="preserve">, </w:t>
      </w:r>
      <w:proofErr w:type="spellStart"/>
      <w:r w:rsidRPr="009F6D1E">
        <w:rPr>
          <w:rFonts w:cs="Times New Roman"/>
          <w:i/>
          <w:szCs w:val="24"/>
        </w:rPr>
        <w:t>Vormela</w:t>
      </w:r>
      <w:proofErr w:type="spellEnd"/>
      <w:r w:rsidRPr="009F6D1E">
        <w:rPr>
          <w:rFonts w:cs="Times New Roman"/>
          <w:i/>
          <w:szCs w:val="24"/>
        </w:rPr>
        <w:t xml:space="preserve"> </w:t>
      </w:r>
      <w:proofErr w:type="spellStart"/>
      <w:r w:rsidRPr="009F6D1E">
        <w:rPr>
          <w:rFonts w:cs="Times New Roman"/>
          <w:i/>
          <w:szCs w:val="24"/>
        </w:rPr>
        <w:t>peregusna</w:t>
      </w:r>
      <w:proofErr w:type="spellEnd"/>
      <w:r w:rsidRPr="009F6D1E">
        <w:rPr>
          <w:rFonts w:cs="Times New Roman"/>
          <w:i/>
          <w:szCs w:val="24"/>
        </w:rPr>
        <w:t xml:space="preserve">, </w:t>
      </w:r>
      <w:proofErr w:type="spellStart"/>
      <w:r w:rsidRPr="009F6D1E">
        <w:rPr>
          <w:rFonts w:cs="Times New Roman"/>
          <w:i/>
          <w:szCs w:val="24"/>
        </w:rPr>
        <w:t>Lynx</w:t>
      </w:r>
      <w:proofErr w:type="spellEnd"/>
      <w:r w:rsidRPr="009F6D1E">
        <w:rPr>
          <w:rFonts w:cs="Times New Roman"/>
          <w:i/>
          <w:szCs w:val="24"/>
        </w:rPr>
        <w:t xml:space="preserve"> </w:t>
      </w:r>
      <w:proofErr w:type="spellStart"/>
      <w:r w:rsidRPr="009F6D1E">
        <w:rPr>
          <w:rFonts w:cs="Times New Roman"/>
          <w:i/>
          <w:szCs w:val="24"/>
        </w:rPr>
        <w:t>lynx</w:t>
      </w:r>
      <w:proofErr w:type="spellEnd"/>
      <w:r w:rsidRPr="009F6D1E">
        <w:rPr>
          <w:rFonts w:cs="Times New Roman"/>
          <w:i/>
          <w:szCs w:val="24"/>
        </w:rPr>
        <w:t xml:space="preserve">, </w:t>
      </w:r>
      <w:proofErr w:type="spellStart"/>
      <w:r w:rsidRPr="009F6D1E">
        <w:rPr>
          <w:rFonts w:cs="Times New Roman"/>
          <w:i/>
          <w:szCs w:val="24"/>
        </w:rPr>
        <w:t>Felis</w:t>
      </w:r>
      <w:proofErr w:type="spellEnd"/>
      <w:r w:rsidRPr="009F6D1E">
        <w:rPr>
          <w:rFonts w:cs="Times New Roman"/>
          <w:i/>
          <w:szCs w:val="24"/>
        </w:rPr>
        <w:t xml:space="preserve"> </w:t>
      </w:r>
      <w:proofErr w:type="spellStart"/>
      <w:r w:rsidRPr="009F6D1E">
        <w:rPr>
          <w:rFonts w:cs="Times New Roman"/>
          <w:i/>
          <w:szCs w:val="24"/>
        </w:rPr>
        <w:t>lynx</w:t>
      </w:r>
      <w:proofErr w:type="spellEnd"/>
      <w:r w:rsidRPr="009F6D1E">
        <w:rPr>
          <w:rFonts w:cs="Times New Roman"/>
          <w:szCs w:val="24"/>
        </w:rPr>
        <w:t xml:space="preserve">), 2 вида </w:t>
      </w:r>
      <w:proofErr w:type="spellStart"/>
      <w:r w:rsidRPr="009F6D1E">
        <w:rPr>
          <w:rFonts w:cs="Times New Roman"/>
          <w:szCs w:val="24"/>
        </w:rPr>
        <w:t>китоподобни</w:t>
      </w:r>
      <w:proofErr w:type="spellEnd"/>
      <w:r w:rsidRPr="009F6D1E">
        <w:rPr>
          <w:rFonts w:cs="Times New Roman"/>
          <w:szCs w:val="24"/>
        </w:rPr>
        <w:t xml:space="preserve"> (</w:t>
      </w:r>
      <w:proofErr w:type="spellStart"/>
      <w:r w:rsidRPr="009F6D1E">
        <w:rPr>
          <w:rFonts w:cs="Times New Roman"/>
          <w:i/>
          <w:szCs w:val="24"/>
        </w:rPr>
        <w:t>Phocoena</w:t>
      </w:r>
      <w:proofErr w:type="spellEnd"/>
      <w:r w:rsidRPr="009F6D1E">
        <w:rPr>
          <w:rFonts w:cs="Times New Roman"/>
          <w:i/>
          <w:szCs w:val="24"/>
        </w:rPr>
        <w:t xml:space="preserve"> </w:t>
      </w:r>
      <w:proofErr w:type="spellStart"/>
      <w:r w:rsidRPr="009F6D1E">
        <w:rPr>
          <w:rFonts w:cs="Times New Roman"/>
          <w:i/>
          <w:szCs w:val="24"/>
        </w:rPr>
        <w:t>phocoena</w:t>
      </w:r>
      <w:proofErr w:type="spellEnd"/>
      <w:r w:rsidRPr="009F6D1E">
        <w:rPr>
          <w:rFonts w:cs="Times New Roman"/>
          <w:i/>
          <w:szCs w:val="24"/>
        </w:rPr>
        <w:t xml:space="preserve">, </w:t>
      </w:r>
      <w:proofErr w:type="spellStart"/>
      <w:r w:rsidRPr="009F6D1E">
        <w:rPr>
          <w:rFonts w:cs="Times New Roman"/>
          <w:i/>
          <w:szCs w:val="24"/>
        </w:rPr>
        <w:t>Tursiops</w:t>
      </w:r>
      <w:proofErr w:type="spellEnd"/>
      <w:r w:rsidRPr="009F6D1E">
        <w:rPr>
          <w:rFonts w:cs="Times New Roman"/>
          <w:i/>
          <w:szCs w:val="24"/>
        </w:rPr>
        <w:t xml:space="preserve"> </w:t>
      </w:r>
      <w:proofErr w:type="spellStart"/>
      <w:r w:rsidRPr="009F6D1E">
        <w:rPr>
          <w:rFonts w:cs="Times New Roman"/>
          <w:i/>
          <w:szCs w:val="24"/>
        </w:rPr>
        <w:t>truncates</w:t>
      </w:r>
      <w:proofErr w:type="spellEnd"/>
      <w:r w:rsidRPr="009F6D1E">
        <w:rPr>
          <w:rFonts w:cs="Times New Roman"/>
          <w:szCs w:val="24"/>
        </w:rPr>
        <w:t>) и един вид от разред Чифтокопитни (</w:t>
      </w:r>
      <w:proofErr w:type="spellStart"/>
      <w:r w:rsidRPr="009F6D1E">
        <w:rPr>
          <w:rFonts w:cs="Times New Roman"/>
          <w:i/>
          <w:szCs w:val="24"/>
        </w:rPr>
        <w:t>Rupicapra</w:t>
      </w:r>
      <w:proofErr w:type="spellEnd"/>
      <w:r w:rsidRPr="009F6D1E">
        <w:rPr>
          <w:rFonts w:cs="Times New Roman"/>
          <w:i/>
          <w:szCs w:val="24"/>
        </w:rPr>
        <w:t xml:space="preserve"> </w:t>
      </w:r>
      <w:proofErr w:type="spellStart"/>
      <w:r w:rsidRPr="009F6D1E">
        <w:rPr>
          <w:rFonts w:cs="Times New Roman"/>
          <w:i/>
          <w:szCs w:val="24"/>
        </w:rPr>
        <w:t>rupicapra</w:t>
      </w:r>
      <w:proofErr w:type="spellEnd"/>
      <w:r w:rsidRPr="009F6D1E">
        <w:rPr>
          <w:rFonts w:cs="Times New Roman"/>
          <w:szCs w:val="24"/>
        </w:rPr>
        <w:t xml:space="preserve">). Един </w:t>
      </w:r>
      <w:r w:rsidRPr="009F6D1E">
        <w:rPr>
          <w:rFonts w:cs="Times New Roman"/>
          <w:szCs w:val="24"/>
        </w:rPr>
        <w:lastRenderedPageBreak/>
        <w:t>от видовете от разред хищници (</w:t>
      </w:r>
      <w:proofErr w:type="spellStart"/>
      <w:r w:rsidRPr="009F6D1E">
        <w:rPr>
          <w:rFonts w:cs="Times New Roman"/>
          <w:i/>
          <w:szCs w:val="24"/>
        </w:rPr>
        <w:t>Monachus</w:t>
      </w:r>
      <w:proofErr w:type="spellEnd"/>
      <w:r w:rsidRPr="009F6D1E">
        <w:rPr>
          <w:rFonts w:cs="Times New Roman"/>
          <w:i/>
          <w:szCs w:val="24"/>
        </w:rPr>
        <w:t xml:space="preserve"> </w:t>
      </w:r>
      <w:proofErr w:type="spellStart"/>
      <w:r w:rsidRPr="009F6D1E">
        <w:rPr>
          <w:rFonts w:cs="Times New Roman"/>
          <w:i/>
          <w:szCs w:val="24"/>
        </w:rPr>
        <w:t>monachus</w:t>
      </w:r>
      <w:proofErr w:type="spellEnd"/>
      <w:r w:rsidRPr="009F6D1E">
        <w:rPr>
          <w:rFonts w:cs="Times New Roman"/>
          <w:szCs w:val="24"/>
        </w:rPr>
        <w:t>) към момента от дълго време не присъства в български води, а друг (</w:t>
      </w:r>
      <w:proofErr w:type="spellStart"/>
      <w:r w:rsidRPr="009F6D1E">
        <w:rPr>
          <w:rFonts w:cs="Times New Roman"/>
          <w:i/>
          <w:szCs w:val="24"/>
        </w:rPr>
        <w:t>Lynx</w:t>
      </w:r>
      <w:proofErr w:type="spellEnd"/>
      <w:r w:rsidRPr="009F6D1E">
        <w:rPr>
          <w:rFonts w:cs="Times New Roman"/>
          <w:i/>
          <w:szCs w:val="24"/>
        </w:rPr>
        <w:t xml:space="preserve"> </w:t>
      </w:r>
      <w:proofErr w:type="spellStart"/>
      <w:r w:rsidRPr="009F6D1E">
        <w:rPr>
          <w:rFonts w:cs="Times New Roman"/>
          <w:i/>
          <w:szCs w:val="24"/>
        </w:rPr>
        <w:t>lynx</w:t>
      </w:r>
      <w:proofErr w:type="spellEnd"/>
      <w:r w:rsidRPr="009F6D1E">
        <w:rPr>
          <w:rFonts w:cs="Times New Roman"/>
          <w:szCs w:val="24"/>
        </w:rPr>
        <w:t>) – засега е установен само като временно навлизащ на територията на страната.</w:t>
      </w:r>
    </w:p>
    <w:p w14:paraId="385CA2F1"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България притежава уникално високо разнообразие на прилепи. От установените в границите на континента 35 вида, у нас са известни 33 вида. Най-високо е </w:t>
      </w:r>
      <w:proofErr w:type="spellStart"/>
      <w:r w:rsidRPr="009F6D1E">
        <w:rPr>
          <w:rFonts w:cs="Times New Roman"/>
          <w:szCs w:val="24"/>
        </w:rPr>
        <w:t>прилепното</w:t>
      </w:r>
      <w:proofErr w:type="spellEnd"/>
      <w:r w:rsidRPr="009F6D1E">
        <w:rPr>
          <w:rFonts w:cs="Times New Roman"/>
          <w:szCs w:val="24"/>
        </w:rPr>
        <w:t xml:space="preserve"> разнообразие в пояса от 100 до 400 m, където на сравнително малки по площ места живеят 17–20 вида.</w:t>
      </w:r>
    </w:p>
    <w:p w14:paraId="54E3C58D"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От сем. </w:t>
      </w:r>
      <w:proofErr w:type="spellStart"/>
      <w:r w:rsidRPr="009F6D1E">
        <w:rPr>
          <w:rFonts w:cs="Times New Roman"/>
          <w:szCs w:val="24"/>
        </w:rPr>
        <w:t>Подковоноси</w:t>
      </w:r>
      <w:proofErr w:type="spellEnd"/>
      <w:r w:rsidRPr="009F6D1E">
        <w:rPr>
          <w:rFonts w:cs="Times New Roman"/>
          <w:szCs w:val="24"/>
        </w:rPr>
        <w:t xml:space="preserve"> прилепи в България се срещат 5 вида, вкл. средиземноморски </w:t>
      </w:r>
      <w:proofErr w:type="spellStart"/>
      <w:r w:rsidRPr="009F6D1E">
        <w:rPr>
          <w:rFonts w:cs="Times New Roman"/>
          <w:szCs w:val="24"/>
        </w:rPr>
        <w:t>подковонос</w:t>
      </w:r>
      <w:proofErr w:type="spellEnd"/>
      <w:r w:rsidRPr="009F6D1E">
        <w:rPr>
          <w:rFonts w:cs="Times New Roman"/>
          <w:szCs w:val="24"/>
        </w:rPr>
        <w:t xml:space="preserve"> (</w:t>
      </w:r>
      <w:proofErr w:type="spellStart"/>
      <w:r w:rsidRPr="009F6D1E">
        <w:rPr>
          <w:rFonts w:cs="Times New Roman"/>
          <w:i/>
          <w:szCs w:val="24"/>
        </w:rPr>
        <w:t>Rhinolophus</w:t>
      </w:r>
      <w:proofErr w:type="spellEnd"/>
      <w:r w:rsidRPr="009F6D1E">
        <w:rPr>
          <w:rFonts w:cs="Times New Roman"/>
          <w:i/>
          <w:szCs w:val="24"/>
        </w:rPr>
        <w:t xml:space="preserve"> </w:t>
      </w:r>
      <w:proofErr w:type="spellStart"/>
      <w:r w:rsidRPr="009F6D1E">
        <w:rPr>
          <w:rFonts w:cs="Times New Roman"/>
          <w:i/>
          <w:szCs w:val="24"/>
        </w:rPr>
        <w:t>blasii</w:t>
      </w:r>
      <w:proofErr w:type="spellEnd"/>
      <w:r w:rsidRPr="009F6D1E">
        <w:rPr>
          <w:rFonts w:cs="Times New Roman"/>
          <w:szCs w:val="24"/>
        </w:rPr>
        <w:t xml:space="preserve">), южен </w:t>
      </w:r>
      <w:proofErr w:type="spellStart"/>
      <w:r w:rsidRPr="009F6D1E">
        <w:rPr>
          <w:rFonts w:cs="Times New Roman"/>
          <w:szCs w:val="24"/>
        </w:rPr>
        <w:t>подковонос</w:t>
      </w:r>
      <w:proofErr w:type="spellEnd"/>
      <w:r w:rsidRPr="009F6D1E">
        <w:rPr>
          <w:rFonts w:cs="Times New Roman"/>
          <w:szCs w:val="24"/>
        </w:rPr>
        <w:t xml:space="preserve"> (</w:t>
      </w:r>
      <w:proofErr w:type="spellStart"/>
      <w:r w:rsidRPr="009F6D1E">
        <w:rPr>
          <w:rFonts w:cs="Times New Roman"/>
          <w:i/>
          <w:szCs w:val="24"/>
        </w:rPr>
        <w:t>Rhinolophus</w:t>
      </w:r>
      <w:proofErr w:type="spellEnd"/>
      <w:r w:rsidRPr="009F6D1E">
        <w:rPr>
          <w:rFonts w:cs="Times New Roman"/>
          <w:i/>
          <w:szCs w:val="24"/>
        </w:rPr>
        <w:t xml:space="preserve"> </w:t>
      </w:r>
      <w:proofErr w:type="spellStart"/>
      <w:r w:rsidRPr="009F6D1E">
        <w:rPr>
          <w:rFonts w:cs="Times New Roman"/>
          <w:i/>
          <w:szCs w:val="24"/>
        </w:rPr>
        <w:t>еuryale</w:t>
      </w:r>
      <w:proofErr w:type="spellEnd"/>
      <w:r w:rsidRPr="009F6D1E">
        <w:rPr>
          <w:rFonts w:cs="Times New Roman"/>
          <w:szCs w:val="24"/>
        </w:rPr>
        <w:t xml:space="preserve">), голям </w:t>
      </w:r>
      <w:proofErr w:type="spellStart"/>
      <w:r w:rsidRPr="009F6D1E">
        <w:rPr>
          <w:rFonts w:cs="Times New Roman"/>
          <w:szCs w:val="24"/>
        </w:rPr>
        <w:t>подковонос</w:t>
      </w:r>
      <w:proofErr w:type="spellEnd"/>
      <w:r w:rsidRPr="009F6D1E">
        <w:rPr>
          <w:rFonts w:cs="Times New Roman"/>
          <w:szCs w:val="24"/>
        </w:rPr>
        <w:t xml:space="preserve"> (</w:t>
      </w:r>
      <w:proofErr w:type="spellStart"/>
      <w:r w:rsidRPr="009F6D1E">
        <w:rPr>
          <w:rFonts w:cs="Times New Roman"/>
          <w:i/>
          <w:szCs w:val="24"/>
        </w:rPr>
        <w:t>Rhinolophus</w:t>
      </w:r>
      <w:proofErr w:type="spellEnd"/>
      <w:r w:rsidRPr="009F6D1E">
        <w:rPr>
          <w:rFonts w:cs="Times New Roman"/>
          <w:i/>
          <w:szCs w:val="24"/>
        </w:rPr>
        <w:t xml:space="preserve"> </w:t>
      </w:r>
      <w:proofErr w:type="spellStart"/>
      <w:r w:rsidRPr="009F6D1E">
        <w:rPr>
          <w:rFonts w:cs="Times New Roman"/>
          <w:i/>
          <w:szCs w:val="24"/>
        </w:rPr>
        <w:t>ferrumequinum</w:t>
      </w:r>
      <w:proofErr w:type="spellEnd"/>
      <w:r w:rsidRPr="009F6D1E">
        <w:rPr>
          <w:rFonts w:cs="Times New Roman"/>
          <w:szCs w:val="24"/>
        </w:rPr>
        <w:t xml:space="preserve">) и др., от сем. </w:t>
      </w:r>
      <w:proofErr w:type="spellStart"/>
      <w:r w:rsidRPr="009F6D1E">
        <w:rPr>
          <w:rFonts w:cs="Times New Roman"/>
          <w:szCs w:val="24"/>
        </w:rPr>
        <w:t>булдогови</w:t>
      </w:r>
      <w:proofErr w:type="spellEnd"/>
      <w:r w:rsidRPr="009F6D1E">
        <w:rPr>
          <w:rFonts w:cs="Times New Roman"/>
          <w:szCs w:val="24"/>
        </w:rPr>
        <w:t xml:space="preserve"> прилепи - </w:t>
      </w:r>
      <w:proofErr w:type="spellStart"/>
      <w:r w:rsidRPr="009F6D1E">
        <w:rPr>
          <w:rFonts w:cs="Times New Roman"/>
          <w:szCs w:val="24"/>
        </w:rPr>
        <w:t>булдогов</w:t>
      </w:r>
      <w:proofErr w:type="spellEnd"/>
      <w:r w:rsidRPr="009F6D1E">
        <w:rPr>
          <w:rFonts w:cs="Times New Roman"/>
          <w:szCs w:val="24"/>
        </w:rPr>
        <w:t xml:space="preserve"> прилеп (</w:t>
      </w:r>
      <w:proofErr w:type="spellStart"/>
      <w:r w:rsidRPr="009F6D1E">
        <w:rPr>
          <w:rFonts w:cs="Times New Roman"/>
          <w:i/>
          <w:szCs w:val="24"/>
        </w:rPr>
        <w:t>Tadarida</w:t>
      </w:r>
      <w:proofErr w:type="spellEnd"/>
      <w:r w:rsidRPr="009F6D1E">
        <w:rPr>
          <w:rFonts w:cs="Times New Roman"/>
          <w:i/>
          <w:szCs w:val="24"/>
        </w:rPr>
        <w:t xml:space="preserve"> </w:t>
      </w:r>
      <w:proofErr w:type="spellStart"/>
      <w:r w:rsidRPr="009F6D1E">
        <w:rPr>
          <w:rFonts w:cs="Times New Roman"/>
          <w:i/>
          <w:szCs w:val="24"/>
        </w:rPr>
        <w:t>teniotis</w:t>
      </w:r>
      <w:proofErr w:type="spellEnd"/>
      <w:r w:rsidRPr="009F6D1E">
        <w:rPr>
          <w:rFonts w:cs="Times New Roman"/>
          <w:szCs w:val="24"/>
        </w:rPr>
        <w:t xml:space="preserve">). Най-многочислено е сем. </w:t>
      </w:r>
      <w:proofErr w:type="spellStart"/>
      <w:r w:rsidRPr="009F6D1E">
        <w:rPr>
          <w:rFonts w:cs="Times New Roman"/>
          <w:szCs w:val="24"/>
        </w:rPr>
        <w:t>Гладконоси</w:t>
      </w:r>
      <w:proofErr w:type="spellEnd"/>
      <w:r w:rsidRPr="009F6D1E">
        <w:rPr>
          <w:rFonts w:cs="Times New Roman"/>
          <w:szCs w:val="24"/>
        </w:rPr>
        <w:t xml:space="preserve"> прилепи, представено в страната с 27 вида, вкл. </w:t>
      </w:r>
      <w:proofErr w:type="spellStart"/>
      <w:r w:rsidRPr="009F6D1E">
        <w:rPr>
          <w:rFonts w:cs="Times New Roman"/>
          <w:szCs w:val="24"/>
        </w:rPr>
        <w:t>широкоух</w:t>
      </w:r>
      <w:proofErr w:type="spellEnd"/>
      <w:r w:rsidRPr="009F6D1E">
        <w:rPr>
          <w:rFonts w:cs="Times New Roman"/>
          <w:szCs w:val="24"/>
        </w:rPr>
        <w:t xml:space="preserve"> прилеп (</w:t>
      </w:r>
      <w:proofErr w:type="spellStart"/>
      <w:r w:rsidRPr="009F6D1E">
        <w:rPr>
          <w:rFonts w:cs="Times New Roman"/>
          <w:i/>
          <w:szCs w:val="24"/>
        </w:rPr>
        <w:t>Barbastella</w:t>
      </w:r>
      <w:proofErr w:type="spellEnd"/>
      <w:r w:rsidRPr="009F6D1E">
        <w:rPr>
          <w:rFonts w:cs="Times New Roman"/>
          <w:i/>
          <w:szCs w:val="24"/>
        </w:rPr>
        <w:t xml:space="preserve"> </w:t>
      </w:r>
      <w:proofErr w:type="spellStart"/>
      <w:r w:rsidRPr="009F6D1E">
        <w:rPr>
          <w:rFonts w:cs="Times New Roman"/>
          <w:i/>
          <w:szCs w:val="24"/>
        </w:rPr>
        <w:t>barbastellus</w:t>
      </w:r>
      <w:proofErr w:type="spellEnd"/>
      <w:r w:rsidRPr="009F6D1E">
        <w:rPr>
          <w:rFonts w:cs="Times New Roman"/>
          <w:szCs w:val="24"/>
        </w:rPr>
        <w:t xml:space="preserve">), </w:t>
      </w:r>
      <w:proofErr w:type="spellStart"/>
      <w:r w:rsidRPr="009F6D1E">
        <w:rPr>
          <w:rFonts w:cs="Times New Roman"/>
          <w:szCs w:val="24"/>
        </w:rPr>
        <w:t>савиево</w:t>
      </w:r>
      <w:proofErr w:type="spellEnd"/>
      <w:r w:rsidRPr="009F6D1E">
        <w:rPr>
          <w:rFonts w:cs="Times New Roman"/>
          <w:szCs w:val="24"/>
        </w:rPr>
        <w:t xml:space="preserve"> </w:t>
      </w:r>
      <w:proofErr w:type="spellStart"/>
      <w:r w:rsidRPr="009F6D1E">
        <w:rPr>
          <w:rFonts w:cs="Times New Roman"/>
          <w:szCs w:val="24"/>
        </w:rPr>
        <w:t>прилепче</w:t>
      </w:r>
      <w:proofErr w:type="spellEnd"/>
      <w:r w:rsidRPr="009F6D1E">
        <w:rPr>
          <w:rFonts w:cs="Times New Roman"/>
          <w:szCs w:val="24"/>
        </w:rPr>
        <w:t xml:space="preserve"> (</w:t>
      </w:r>
      <w:proofErr w:type="spellStart"/>
      <w:r w:rsidRPr="009F6D1E">
        <w:rPr>
          <w:rFonts w:cs="Times New Roman"/>
          <w:i/>
          <w:szCs w:val="24"/>
        </w:rPr>
        <w:t>Hypsugo</w:t>
      </w:r>
      <w:proofErr w:type="spellEnd"/>
      <w:r w:rsidRPr="009F6D1E">
        <w:rPr>
          <w:rFonts w:cs="Times New Roman"/>
          <w:i/>
          <w:szCs w:val="24"/>
        </w:rPr>
        <w:t xml:space="preserve"> </w:t>
      </w:r>
      <w:proofErr w:type="spellStart"/>
      <w:r w:rsidRPr="009F6D1E">
        <w:rPr>
          <w:rFonts w:cs="Times New Roman"/>
          <w:i/>
          <w:szCs w:val="24"/>
        </w:rPr>
        <w:t>savii</w:t>
      </w:r>
      <w:proofErr w:type="spellEnd"/>
      <w:r w:rsidRPr="009F6D1E">
        <w:rPr>
          <w:rFonts w:cs="Times New Roman"/>
          <w:szCs w:val="24"/>
        </w:rPr>
        <w:t xml:space="preserve">), </w:t>
      </w:r>
      <w:proofErr w:type="spellStart"/>
      <w:r w:rsidRPr="009F6D1E">
        <w:rPr>
          <w:rFonts w:cs="Times New Roman"/>
          <w:szCs w:val="24"/>
        </w:rPr>
        <w:t>дългокрил</w:t>
      </w:r>
      <w:proofErr w:type="spellEnd"/>
      <w:r w:rsidRPr="009F6D1E">
        <w:rPr>
          <w:rFonts w:cs="Times New Roman"/>
          <w:szCs w:val="24"/>
        </w:rPr>
        <w:t xml:space="preserve"> прилеп (</w:t>
      </w:r>
      <w:proofErr w:type="spellStart"/>
      <w:r w:rsidRPr="009F6D1E">
        <w:rPr>
          <w:rFonts w:cs="Times New Roman"/>
          <w:i/>
          <w:szCs w:val="24"/>
        </w:rPr>
        <w:t>Miniopterus</w:t>
      </w:r>
      <w:proofErr w:type="spellEnd"/>
      <w:r w:rsidRPr="009F6D1E">
        <w:rPr>
          <w:rFonts w:cs="Times New Roman"/>
          <w:i/>
          <w:szCs w:val="24"/>
        </w:rPr>
        <w:t xml:space="preserve"> </w:t>
      </w:r>
      <w:proofErr w:type="spellStart"/>
      <w:r w:rsidRPr="009F6D1E">
        <w:rPr>
          <w:rFonts w:cs="Times New Roman"/>
          <w:i/>
          <w:szCs w:val="24"/>
        </w:rPr>
        <w:t>schreibersii</w:t>
      </w:r>
      <w:proofErr w:type="spellEnd"/>
      <w:r w:rsidRPr="009F6D1E">
        <w:rPr>
          <w:rFonts w:cs="Times New Roman"/>
          <w:szCs w:val="24"/>
        </w:rPr>
        <w:t>), дългоух (</w:t>
      </w:r>
      <w:proofErr w:type="spellStart"/>
      <w:r w:rsidRPr="009F6D1E">
        <w:rPr>
          <w:rFonts w:cs="Times New Roman"/>
          <w:szCs w:val="24"/>
        </w:rPr>
        <w:t>бехщайнов</w:t>
      </w:r>
      <w:proofErr w:type="spellEnd"/>
      <w:r w:rsidRPr="009F6D1E">
        <w:rPr>
          <w:rFonts w:cs="Times New Roman"/>
          <w:szCs w:val="24"/>
        </w:rPr>
        <w:t xml:space="preserve">) </w:t>
      </w:r>
      <w:proofErr w:type="spellStart"/>
      <w:r w:rsidRPr="009F6D1E">
        <w:rPr>
          <w:rFonts w:cs="Times New Roman"/>
          <w:szCs w:val="24"/>
        </w:rPr>
        <w:t>нощник</w:t>
      </w:r>
      <w:proofErr w:type="spellEnd"/>
      <w:r w:rsidRPr="009F6D1E">
        <w:rPr>
          <w:rFonts w:cs="Times New Roman"/>
          <w:szCs w:val="24"/>
        </w:rPr>
        <w:t xml:space="preserve"> (</w:t>
      </w:r>
      <w:proofErr w:type="spellStart"/>
      <w:r w:rsidRPr="009F6D1E">
        <w:rPr>
          <w:rFonts w:cs="Times New Roman"/>
          <w:i/>
          <w:szCs w:val="24"/>
        </w:rPr>
        <w:t>Myotis</w:t>
      </w:r>
      <w:proofErr w:type="spellEnd"/>
      <w:r w:rsidRPr="009F6D1E">
        <w:rPr>
          <w:rFonts w:cs="Times New Roman"/>
          <w:i/>
          <w:szCs w:val="24"/>
        </w:rPr>
        <w:t xml:space="preserve"> </w:t>
      </w:r>
      <w:proofErr w:type="spellStart"/>
      <w:r w:rsidRPr="009F6D1E">
        <w:rPr>
          <w:rFonts w:cs="Times New Roman"/>
          <w:i/>
          <w:szCs w:val="24"/>
        </w:rPr>
        <w:t>bechsteinii</w:t>
      </w:r>
      <w:proofErr w:type="spellEnd"/>
      <w:r w:rsidRPr="009F6D1E">
        <w:rPr>
          <w:rFonts w:cs="Times New Roman"/>
          <w:szCs w:val="24"/>
        </w:rPr>
        <w:t xml:space="preserve">), </w:t>
      </w:r>
      <w:proofErr w:type="spellStart"/>
      <w:r w:rsidRPr="009F6D1E">
        <w:rPr>
          <w:rFonts w:cs="Times New Roman"/>
          <w:szCs w:val="24"/>
        </w:rPr>
        <w:t>дългопръст</w:t>
      </w:r>
      <w:proofErr w:type="spellEnd"/>
      <w:r w:rsidRPr="009F6D1E">
        <w:rPr>
          <w:rFonts w:cs="Times New Roman"/>
          <w:szCs w:val="24"/>
        </w:rPr>
        <w:t xml:space="preserve"> </w:t>
      </w:r>
      <w:proofErr w:type="spellStart"/>
      <w:r w:rsidRPr="009F6D1E">
        <w:rPr>
          <w:rFonts w:cs="Times New Roman"/>
          <w:szCs w:val="24"/>
        </w:rPr>
        <w:t>нощник</w:t>
      </w:r>
      <w:proofErr w:type="spellEnd"/>
      <w:r w:rsidRPr="009F6D1E">
        <w:rPr>
          <w:rFonts w:cs="Times New Roman"/>
          <w:szCs w:val="24"/>
        </w:rPr>
        <w:t xml:space="preserve"> (</w:t>
      </w:r>
      <w:proofErr w:type="spellStart"/>
      <w:r w:rsidRPr="009F6D1E">
        <w:rPr>
          <w:rFonts w:cs="Times New Roman"/>
          <w:i/>
          <w:szCs w:val="24"/>
        </w:rPr>
        <w:t>Myotis</w:t>
      </w:r>
      <w:proofErr w:type="spellEnd"/>
      <w:r w:rsidRPr="009F6D1E">
        <w:rPr>
          <w:rFonts w:cs="Times New Roman"/>
          <w:i/>
          <w:szCs w:val="24"/>
        </w:rPr>
        <w:t xml:space="preserve"> </w:t>
      </w:r>
      <w:proofErr w:type="spellStart"/>
      <w:r w:rsidRPr="009F6D1E">
        <w:rPr>
          <w:rFonts w:cs="Times New Roman"/>
          <w:i/>
          <w:szCs w:val="24"/>
        </w:rPr>
        <w:t>capaccinii</w:t>
      </w:r>
      <w:proofErr w:type="spellEnd"/>
      <w:r w:rsidRPr="009F6D1E">
        <w:rPr>
          <w:rFonts w:cs="Times New Roman"/>
          <w:szCs w:val="24"/>
        </w:rPr>
        <w:t xml:space="preserve">) и др. </w:t>
      </w:r>
    </w:p>
    <w:p w14:paraId="411E8F6F" w14:textId="77777777"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В зависимост от сезона, прилепите обитават различни убежища. През зимата всички видове живеят в убежища с постоянна температура между 2º до 10º С. Такива условия се намират най-често във водните пещери, наводнени минни галерии и по-рядко по тавани и мазета на жилищни сгради. През пролетта и есента могат да бъдат намерени в най-разнообразни убежища, където температурата е променлива или постоянна (напр. изоставени и обитаеми жилищни и промишлени сгради, подземни бункери, галерии, отводнителни и вентилационни шахти, тръби, комини, кухи стълбове, малки и големи пещери, пропасти, скални ниши и т.н.). През лятото прилепите предпочитат убежища с по-висока температура, където се размножават. Колониалните видове се срещат в пещери с големи обеми и големи входове, така че привечер едновременно да могат да излитат стотици или хиляди прилепи. В зависимост от предпочитанията си за среда на живот, прилепите условно се разделят на </w:t>
      </w:r>
      <w:proofErr w:type="spellStart"/>
      <w:r w:rsidRPr="009F6D1E">
        <w:rPr>
          <w:rFonts w:cs="Times New Roman"/>
          <w:szCs w:val="24"/>
        </w:rPr>
        <w:t>пещеролюбиви</w:t>
      </w:r>
      <w:proofErr w:type="spellEnd"/>
      <w:r w:rsidRPr="009F6D1E">
        <w:rPr>
          <w:rFonts w:cs="Times New Roman"/>
          <w:szCs w:val="24"/>
        </w:rPr>
        <w:t xml:space="preserve">, </w:t>
      </w:r>
      <w:proofErr w:type="spellStart"/>
      <w:r w:rsidRPr="009F6D1E">
        <w:rPr>
          <w:rFonts w:cs="Times New Roman"/>
          <w:szCs w:val="24"/>
        </w:rPr>
        <w:t>синантропни</w:t>
      </w:r>
      <w:proofErr w:type="spellEnd"/>
      <w:r w:rsidRPr="009F6D1E">
        <w:rPr>
          <w:rFonts w:cs="Times New Roman"/>
          <w:szCs w:val="24"/>
        </w:rPr>
        <w:t xml:space="preserve"> и горски. </w:t>
      </w:r>
    </w:p>
    <w:p w14:paraId="4C716DAA" w14:textId="77777777" w:rsidR="00D6187E" w:rsidRPr="009F6D1E" w:rsidRDefault="00D6187E" w:rsidP="0084747F">
      <w:pPr>
        <w:spacing w:after="60" w:line="264" w:lineRule="auto"/>
        <w:ind w:firstLine="709"/>
        <w:contextualSpacing/>
        <w:jc w:val="both"/>
        <w:rPr>
          <w:rFonts w:cs="Times New Roman"/>
          <w:szCs w:val="24"/>
        </w:rPr>
      </w:pPr>
    </w:p>
    <w:p w14:paraId="3688F284" w14:textId="77777777" w:rsidR="00D6187E" w:rsidRPr="009F6D1E" w:rsidRDefault="00D6187E" w:rsidP="000B15B6">
      <w:pPr>
        <w:pStyle w:val="ListParagraph"/>
        <w:numPr>
          <w:ilvl w:val="0"/>
          <w:numId w:val="25"/>
        </w:numPr>
        <w:spacing w:after="60" w:line="264" w:lineRule="auto"/>
        <w:jc w:val="both"/>
        <w:rPr>
          <w:b/>
          <w:color w:val="000000" w:themeColor="text1"/>
          <w:lang w:val="bg-BG"/>
        </w:rPr>
      </w:pPr>
      <w:r w:rsidRPr="009F6D1E">
        <w:rPr>
          <w:b/>
          <w:color w:val="000000" w:themeColor="text1"/>
          <w:lang w:val="bg-BG"/>
        </w:rPr>
        <w:t>Безгръбначни</w:t>
      </w:r>
    </w:p>
    <w:p w14:paraId="3ECC910A" w14:textId="13868DE0" w:rsidR="00D6187E" w:rsidRPr="009F6D1E" w:rsidRDefault="00D6187E" w:rsidP="0084747F">
      <w:pPr>
        <w:spacing w:after="60" w:line="264" w:lineRule="auto"/>
        <w:ind w:firstLine="709"/>
        <w:contextualSpacing/>
        <w:jc w:val="both"/>
        <w:rPr>
          <w:rFonts w:cs="Times New Roman"/>
          <w:szCs w:val="24"/>
        </w:rPr>
      </w:pPr>
      <w:r w:rsidRPr="009F6D1E">
        <w:rPr>
          <w:rFonts w:cs="Times New Roman"/>
          <w:szCs w:val="24"/>
        </w:rPr>
        <w:t xml:space="preserve">От огромната група на безгръбначните животни сравнително добре са проучени само някои едноклетъчни (черупчести </w:t>
      </w:r>
      <w:proofErr w:type="spellStart"/>
      <w:r w:rsidRPr="009F6D1E">
        <w:rPr>
          <w:rFonts w:cs="Times New Roman"/>
          <w:szCs w:val="24"/>
        </w:rPr>
        <w:t>ризоподи</w:t>
      </w:r>
      <w:proofErr w:type="spellEnd"/>
      <w:r w:rsidRPr="009F6D1E">
        <w:rPr>
          <w:rFonts w:cs="Times New Roman"/>
          <w:szCs w:val="24"/>
        </w:rPr>
        <w:t>), някои паразитни червеи (</w:t>
      </w:r>
      <w:proofErr w:type="spellStart"/>
      <w:r w:rsidRPr="009F6D1E">
        <w:rPr>
          <w:rFonts w:cs="Times New Roman"/>
          <w:szCs w:val="24"/>
        </w:rPr>
        <w:t>трематоди</w:t>
      </w:r>
      <w:proofErr w:type="spellEnd"/>
      <w:r w:rsidRPr="009F6D1E">
        <w:rPr>
          <w:rFonts w:cs="Times New Roman"/>
          <w:szCs w:val="24"/>
        </w:rPr>
        <w:t xml:space="preserve">, </w:t>
      </w:r>
      <w:proofErr w:type="spellStart"/>
      <w:r w:rsidRPr="009F6D1E">
        <w:rPr>
          <w:rFonts w:cs="Times New Roman"/>
          <w:szCs w:val="24"/>
        </w:rPr>
        <w:t>цестоди</w:t>
      </w:r>
      <w:proofErr w:type="spellEnd"/>
      <w:r w:rsidRPr="009F6D1E">
        <w:rPr>
          <w:rFonts w:cs="Times New Roman"/>
          <w:szCs w:val="24"/>
        </w:rPr>
        <w:t xml:space="preserve">, </w:t>
      </w:r>
      <w:proofErr w:type="spellStart"/>
      <w:r w:rsidRPr="009F6D1E">
        <w:rPr>
          <w:rFonts w:cs="Times New Roman"/>
          <w:szCs w:val="24"/>
        </w:rPr>
        <w:t>нематоди</w:t>
      </w:r>
      <w:proofErr w:type="spellEnd"/>
      <w:r w:rsidRPr="009F6D1E">
        <w:rPr>
          <w:rFonts w:cs="Times New Roman"/>
          <w:szCs w:val="24"/>
        </w:rPr>
        <w:t xml:space="preserve">, </w:t>
      </w:r>
      <w:proofErr w:type="spellStart"/>
      <w:r w:rsidRPr="009F6D1E">
        <w:rPr>
          <w:rFonts w:cs="Times New Roman"/>
          <w:szCs w:val="24"/>
        </w:rPr>
        <w:t>акантоцефали</w:t>
      </w:r>
      <w:proofErr w:type="spellEnd"/>
      <w:r w:rsidRPr="009F6D1E">
        <w:rPr>
          <w:rFonts w:cs="Times New Roman"/>
          <w:szCs w:val="24"/>
        </w:rPr>
        <w:t xml:space="preserve">), прешленестите червеи, ракообразните, паякообразните, </w:t>
      </w:r>
      <w:proofErr w:type="spellStart"/>
      <w:r w:rsidRPr="009F6D1E">
        <w:rPr>
          <w:rFonts w:cs="Times New Roman"/>
          <w:szCs w:val="24"/>
        </w:rPr>
        <w:t>многоножките</w:t>
      </w:r>
      <w:proofErr w:type="spellEnd"/>
      <w:r w:rsidRPr="009F6D1E">
        <w:rPr>
          <w:rFonts w:cs="Times New Roman"/>
          <w:szCs w:val="24"/>
        </w:rPr>
        <w:t xml:space="preserve">, мекотелите и отделни разреди насекоми (еднодневки, водни кончета, </w:t>
      </w:r>
      <w:proofErr w:type="spellStart"/>
      <w:r w:rsidRPr="009F6D1E">
        <w:rPr>
          <w:rFonts w:cs="Times New Roman"/>
          <w:szCs w:val="24"/>
        </w:rPr>
        <w:t>правокрили</w:t>
      </w:r>
      <w:proofErr w:type="spellEnd"/>
      <w:r w:rsidRPr="009F6D1E">
        <w:rPr>
          <w:rFonts w:cs="Times New Roman"/>
          <w:szCs w:val="24"/>
        </w:rPr>
        <w:t xml:space="preserve">, полутвърдокрили, мрежокрили, твърдокрили, </w:t>
      </w:r>
      <w:proofErr w:type="spellStart"/>
      <w:r w:rsidRPr="009F6D1E">
        <w:rPr>
          <w:rFonts w:cs="Times New Roman"/>
          <w:szCs w:val="24"/>
        </w:rPr>
        <w:t>ручейници</w:t>
      </w:r>
      <w:proofErr w:type="spellEnd"/>
      <w:r w:rsidRPr="009F6D1E">
        <w:rPr>
          <w:rFonts w:cs="Times New Roman"/>
          <w:szCs w:val="24"/>
        </w:rPr>
        <w:t xml:space="preserve">, пеперуди и др.). Броят на видовете, разредите и класовете от отделните типове безгръбначни животни, установени досега в България, е представен в </w:t>
      </w:r>
      <w:r w:rsidR="003F3D71" w:rsidRPr="009F6D1E">
        <w:rPr>
          <w:rFonts w:cs="Times New Roman"/>
          <w:highlight w:val="yellow"/>
        </w:rPr>
        <w:fldChar w:fldCharType="begin"/>
      </w:r>
      <w:r w:rsidR="00574BA3" w:rsidRPr="009F6D1E">
        <w:rPr>
          <w:rFonts w:cs="Times New Roman"/>
          <w:szCs w:val="24"/>
        </w:rPr>
        <w:instrText xml:space="preserve"> REF _Ref107172597 \h </w:instrText>
      </w:r>
      <w:r w:rsidR="003F3D71" w:rsidRPr="009F6D1E">
        <w:rPr>
          <w:rFonts w:cs="Times New Roman"/>
          <w:highlight w:val="yellow"/>
        </w:rPr>
      </w:r>
      <w:r w:rsidR="003F3D71" w:rsidRPr="009F6D1E">
        <w:rPr>
          <w:rFonts w:cs="Times New Roman"/>
          <w:highlight w:val="yellow"/>
        </w:rPr>
        <w:fldChar w:fldCharType="separate"/>
      </w:r>
      <w:r w:rsidR="00A43EF3" w:rsidRPr="009F6D1E">
        <w:t xml:space="preserve">Таблица </w:t>
      </w:r>
      <w:r w:rsidR="00A43EF3">
        <w:rPr>
          <w:noProof/>
        </w:rPr>
        <w:t>24</w:t>
      </w:r>
      <w:r w:rsidR="003F3D71" w:rsidRPr="009F6D1E">
        <w:rPr>
          <w:rFonts w:cs="Times New Roman"/>
          <w:highlight w:val="yellow"/>
        </w:rPr>
        <w:fldChar w:fldCharType="end"/>
      </w:r>
    </w:p>
    <w:p w14:paraId="48E4F35D" w14:textId="77777777" w:rsidR="00D6187E" w:rsidRPr="009F6D1E" w:rsidRDefault="00D6187E" w:rsidP="0084747F">
      <w:pPr>
        <w:spacing w:after="60" w:line="264" w:lineRule="auto"/>
        <w:ind w:firstLine="709"/>
        <w:contextualSpacing/>
        <w:jc w:val="both"/>
        <w:rPr>
          <w:rFonts w:cs="Times New Roman"/>
          <w:color w:val="1F3864" w:themeColor="accent1" w:themeShade="80"/>
          <w:szCs w:val="24"/>
        </w:rPr>
      </w:pPr>
    </w:p>
    <w:p w14:paraId="1259229C" w14:textId="082BF8C2" w:rsidR="00D6187E" w:rsidRPr="009F6D1E" w:rsidRDefault="00574BA3" w:rsidP="00574BA3">
      <w:pPr>
        <w:pStyle w:val="Caption"/>
        <w:rPr>
          <w:color w:val="1F3864" w:themeColor="accent1" w:themeShade="80"/>
        </w:rPr>
      </w:pPr>
      <w:bookmarkStart w:id="413" w:name="_Ref107172597"/>
      <w:bookmarkStart w:id="414" w:name="_Ref97729240"/>
      <w:bookmarkStart w:id="415" w:name="_Toc98762631"/>
      <w:bookmarkStart w:id="416" w:name="_Toc115255175"/>
      <w:r w:rsidRPr="009F6D1E">
        <w:t xml:space="preserve">Таблица </w:t>
      </w:r>
      <w:fldSimple w:instr=" SEQ Таблица \* ARABIC ">
        <w:r w:rsidR="00A43EF3">
          <w:rPr>
            <w:noProof/>
          </w:rPr>
          <w:t>24</w:t>
        </w:r>
      </w:fldSimple>
      <w:bookmarkEnd w:id="413"/>
      <w:r w:rsidRPr="009F6D1E">
        <w:t xml:space="preserve">: </w:t>
      </w:r>
      <w:bookmarkEnd w:id="414"/>
      <w:r w:rsidR="00D6187E" w:rsidRPr="009F6D1E">
        <w:rPr>
          <w:color w:val="1F3864" w:themeColor="accent1" w:themeShade="80"/>
        </w:rPr>
        <w:t xml:space="preserve"> </w:t>
      </w:r>
      <w:proofErr w:type="spellStart"/>
      <w:r w:rsidR="00D6187E" w:rsidRPr="009F6D1E">
        <w:rPr>
          <w:color w:val="1F3864" w:themeColor="accent1" w:themeShade="80"/>
        </w:rPr>
        <w:t>Фаунистично</w:t>
      </w:r>
      <w:proofErr w:type="spellEnd"/>
      <w:r w:rsidR="00D6187E" w:rsidRPr="009F6D1E">
        <w:rPr>
          <w:color w:val="1F3864" w:themeColor="accent1" w:themeShade="80"/>
        </w:rPr>
        <w:t xml:space="preserve"> разнообразие на безгръбначните животни в България</w:t>
      </w:r>
      <w:bookmarkEnd w:id="415"/>
      <w:bookmarkEnd w:id="416"/>
    </w:p>
    <w:tbl>
      <w:tblPr>
        <w:tblStyle w:val="LightList-Accent3"/>
        <w:tblW w:w="0" w:type="auto"/>
        <w:jc w:val="center"/>
        <w:tblLook w:val="04A0" w:firstRow="1" w:lastRow="0" w:firstColumn="1" w:lastColumn="0" w:noHBand="0" w:noVBand="1"/>
      </w:tblPr>
      <w:tblGrid>
        <w:gridCol w:w="2610"/>
        <w:gridCol w:w="1710"/>
        <w:gridCol w:w="1763"/>
        <w:gridCol w:w="1603"/>
      </w:tblGrid>
      <w:tr w:rsidR="00574BA3" w:rsidRPr="009F6D1E" w14:paraId="105C5EE4" w14:textId="77777777" w:rsidTr="003A1CB7">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00917CC3" w14:textId="77777777" w:rsidR="00D6187E" w:rsidRPr="009F6D1E" w:rsidRDefault="00D6187E" w:rsidP="0084747F">
            <w:pPr>
              <w:spacing w:after="60" w:line="264" w:lineRule="auto"/>
              <w:ind w:hanging="4"/>
              <w:contextualSpacing/>
              <w:jc w:val="both"/>
              <w:rPr>
                <w:rFonts w:cs="Times New Roman"/>
                <w:sz w:val="20"/>
                <w:szCs w:val="20"/>
              </w:rPr>
            </w:pPr>
            <w:r w:rsidRPr="009F6D1E">
              <w:rPr>
                <w:rFonts w:cs="Times New Roman"/>
                <w:sz w:val="20"/>
                <w:szCs w:val="20"/>
              </w:rPr>
              <w:t>Тип</w:t>
            </w:r>
          </w:p>
        </w:tc>
        <w:tc>
          <w:tcPr>
            <w:tcW w:w="1710" w:type="dxa"/>
            <w:hideMark/>
          </w:tcPr>
          <w:p w14:paraId="686C0041" w14:textId="77777777" w:rsidR="00D6187E" w:rsidRPr="009F6D1E" w:rsidRDefault="00D6187E" w:rsidP="0084747F">
            <w:pPr>
              <w:spacing w:after="60" w:line="264" w:lineRule="auto"/>
              <w:ind w:hanging="4"/>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Класове</w:t>
            </w:r>
          </w:p>
        </w:tc>
        <w:tc>
          <w:tcPr>
            <w:tcW w:w="1763" w:type="dxa"/>
            <w:hideMark/>
          </w:tcPr>
          <w:p w14:paraId="1252BF65" w14:textId="77777777" w:rsidR="00D6187E" w:rsidRPr="009F6D1E" w:rsidRDefault="00D6187E" w:rsidP="0084747F">
            <w:pPr>
              <w:spacing w:after="60" w:line="264" w:lineRule="auto"/>
              <w:ind w:hanging="4"/>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Разреди </w:t>
            </w:r>
          </w:p>
        </w:tc>
        <w:tc>
          <w:tcPr>
            <w:tcW w:w="1603" w:type="dxa"/>
            <w:hideMark/>
          </w:tcPr>
          <w:p w14:paraId="0B853559" w14:textId="77777777" w:rsidR="00D6187E" w:rsidRPr="009F6D1E" w:rsidRDefault="00D6187E" w:rsidP="0084747F">
            <w:pPr>
              <w:spacing w:after="60" w:line="264" w:lineRule="auto"/>
              <w:ind w:hanging="4"/>
              <w:contextualSpacing/>
              <w:jc w:val="both"/>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Видове)</w:t>
            </w:r>
          </w:p>
        </w:tc>
      </w:tr>
      <w:tr w:rsidR="00574BA3" w:rsidRPr="009F6D1E" w14:paraId="7C7D4590"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42B11636"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Sarcomastigophora</w:t>
            </w:r>
            <w:proofErr w:type="spellEnd"/>
          </w:p>
        </w:tc>
        <w:tc>
          <w:tcPr>
            <w:tcW w:w="1710" w:type="dxa"/>
            <w:hideMark/>
          </w:tcPr>
          <w:p w14:paraId="1EADF71A"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8</w:t>
            </w:r>
          </w:p>
        </w:tc>
        <w:tc>
          <w:tcPr>
            <w:tcW w:w="1763" w:type="dxa"/>
            <w:hideMark/>
          </w:tcPr>
          <w:p w14:paraId="12ED5FFD"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28</w:t>
            </w:r>
          </w:p>
        </w:tc>
        <w:tc>
          <w:tcPr>
            <w:tcW w:w="1603" w:type="dxa"/>
            <w:hideMark/>
          </w:tcPr>
          <w:p w14:paraId="37882196"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580</w:t>
            </w:r>
          </w:p>
        </w:tc>
      </w:tr>
      <w:tr w:rsidR="00574BA3" w:rsidRPr="009F6D1E" w14:paraId="0CBC5E7B"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CE2AFDA"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Labyrinthomorpha</w:t>
            </w:r>
            <w:proofErr w:type="spellEnd"/>
          </w:p>
        </w:tc>
        <w:tc>
          <w:tcPr>
            <w:tcW w:w="1710" w:type="dxa"/>
            <w:hideMark/>
          </w:tcPr>
          <w:p w14:paraId="4F8138DA"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2B6EEA6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59221CEC"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r>
      <w:tr w:rsidR="00574BA3" w:rsidRPr="009F6D1E" w14:paraId="46A45275"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318158DF"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Sporozoa</w:t>
            </w:r>
            <w:proofErr w:type="spellEnd"/>
          </w:p>
        </w:tc>
        <w:tc>
          <w:tcPr>
            <w:tcW w:w="1710" w:type="dxa"/>
            <w:hideMark/>
          </w:tcPr>
          <w:p w14:paraId="4A3B21BA"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5989B7AF"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5</w:t>
            </w:r>
          </w:p>
        </w:tc>
        <w:tc>
          <w:tcPr>
            <w:tcW w:w="1603" w:type="dxa"/>
            <w:hideMark/>
          </w:tcPr>
          <w:p w14:paraId="1358899F"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270</w:t>
            </w:r>
          </w:p>
        </w:tc>
      </w:tr>
      <w:tr w:rsidR="00574BA3" w:rsidRPr="009F6D1E" w14:paraId="3313E695"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28FC271A"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lastRenderedPageBreak/>
              <w:t>Microspora</w:t>
            </w:r>
            <w:proofErr w:type="spellEnd"/>
          </w:p>
        </w:tc>
        <w:tc>
          <w:tcPr>
            <w:tcW w:w="1710" w:type="dxa"/>
            <w:hideMark/>
          </w:tcPr>
          <w:p w14:paraId="6C74C6B1"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763" w:type="dxa"/>
            <w:hideMark/>
          </w:tcPr>
          <w:p w14:paraId="56F7619F"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4</w:t>
            </w:r>
          </w:p>
        </w:tc>
        <w:tc>
          <w:tcPr>
            <w:tcW w:w="1603" w:type="dxa"/>
            <w:hideMark/>
          </w:tcPr>
          <w:p w14:paraId="6B68EB33"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27</w:t>
            </w:r>
          </w:p>
        </w:tc>
      </w:tr>
      <w:tr w:rsidR="00574BA3" w:rsidRPr="009F6D1E" w14:paraId="6798C142"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1D81C111"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Ascetospora</w:t>
            </w:r>
            <w:proofErr w:type="spellEnd"/>
          </w:p>
        </w:tc>
        <w:tc>
          <w:tcPr>
            <w:tcW w:w="1710" w:type="dxa"/>
            <w:hideMark/>
          </w:tcPr>
          <w:p w14:paraId="15D861F9"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29335B29"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323CF53C"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w:t>
            </w:r>
          </w:p>
        </w:tc>
      </w:tr>
      <w:tr w:rsidR="00574BA3" w:rsidRPr="009F6D1E" w14:paraId="6A1CAD2C"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A3ADF3C"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Myxozoa</w:t>
            </w:r>
            <w:proofErr w:type="spellEnd"/>
          </w:p>
        </w:tc>
        <w:tc>
          <w:tcPr>
            <w:tcW w:w="1710" w:type="dxa"/>
            <w:hideMark/>
          </w:tcPr>
          <w:p w14:paraId="6F92EDF7"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72C00F85"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4D2045A5"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47</w:t>
            </w:r>
          </w:p>
        </w:tc>
      </w:tr>
      <w:tr w:rsidR="00574BA3" w:rsidRPr="009F6D1E" w14:paraId="1790A7C3"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92C4FD7"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Ciliophora</w:t>
            </w:r>
            <w:proofErr w:type="spellEnd"/>
            <w:r w:rsidRPr="009F6D1E">
              <w:rPr>
                <w:rFonts w:cs="Times New Roman"/>
                <w:sz w:val="20"/>
                <w:szCs w:val="20"/>
              </w:rPr>
              <w:t xml:space="preserve"> (</w:t>
            </w:r>
            <w:proofErr w:type="spellStart"/>
            <w:r w:rsidRPr="009F6D1E">
              <w:rPr>
                <w:rFonts w:cs="Times New Roman"/>
                <w:sz w:val="20"/>
                <w:szCs w:val="20"/>
              </w:rPr>
              <w:t>Infusoria</w:t>
            </w:r>
            <w:proofErr w:type="spellEnd"/>
            <w:r w:rsidRPr="009F6D1E">
              <w:rPr>
                <w:rFonts w:cs="Times New Roman"/>
                <w:sz w:val="20"/>
                <w:szCs w:val="20"/>
              </w:rPr>
              <w:t>)</w:t>
            </w:r>
          </w:p>
        </w:tc>
        <w:tc>
          <w:tcPr>
            <w:tcW w:w="1710" w:type="dxa"/>
            <w:hideMark/>
          </w:tcPr>
          <w:p w14:paraId="63FFE9A8"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763" w:type="dxa"/>
            <w:hideMark/>
          </w:tcPr>
          <w:p w14:paraId="6BB3CA37"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19</w:t>
            </w:r>
          </w:p>
        </w:tc>
        <w:tc>
          <w:tcPr>
            <w:tcW w:w="1603" w:type="dxa"/>
            <w:hideMark/>
          </w:tcPr>
          <w:p w14:paraId="6B61874E"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680</w:t>
            </w:r>
          </w:p>
        </w:tc>
      </w:tr>
      <w:tr w:rsidR="00574BA3" w:rsidRPr="009F6D1E" w14:paraId="570AC3D4"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23809106"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Spongia</w:t>
            </w:r>
            <w:proofErr w:type="spellEnd"/>
            <w:r w:rsidRPr="009F6D1E">
              <w:rPr>
                <w:rFonts w:cs="Times New Roman"/>
                <w:sz w:val="20"/>
                <w:szCs w:val="20"/>
              </w:rPr>
              <w:t xml:space="preserve"> (</w:t>
            </w:r>
            <w:proofErr w:type="spellStart"/>
            <w:r w:rsidRPr="009F6D1E">
              <w:rPr>
                <w:rFonts w:cs="Times New Roman"/>
                <w:sz w:val="20"/>
                <w:szCs w:val="20"/>
              </w:rPr>
              <w:t>Porifera</w:t>
            </w:r>
            <w:proofErr w:type="spellEnd"/>
            <w:r w:rsidRPr="009F6D1E">
              <w:rPr>
                <w:rFonts w:cs="Times New Roman"/>
                <w:sz w:val="20"/>
                <w:szCs w:val="20"/>
              </w:rPr>
              <w:t>)</w:t>
            </w:r>
          </w:p>
        </w:tc>
        <w:tc>
          <w:tcPr>
            <w:tcW w:w="1710" w:type="dxa"/>
            <w:hideMark/>
          </w:tcPr>
          <w:p w14:paraId="16485AF7"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70D669A7"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603" w:type="dxa"/>
            <w:hideMark/>
          </w:tcPr>
          <w:p w14:paraId="6CA02726"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29</w:t>
            </w:r>
          </w:p>
        </w:tc>
      </w:tr>
      <w:tr w:rsidR="00574BA3" w:rsidRPr="009F6D1E" w14:paraId="267D0EAA"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530792ED"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Cnidaria</w:t>
            </w:r>
            <w:proofErr w:type="spellEnd"/>
          </w:p>
        </w:tc>
        <w:tc>
          <w:tcPr>
            <w:tcW w:w="1710" w:type="dxa"/>
            <w:hideMark/>
          </w:tcPr>
          <w:p w14:paraId="649C720D"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763" w:type="dxa"/>
            <w:hideMark/>
          </w:tcPr>
          <w:p w14:paraId="60D04266"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5</w:t>
            </w:r>
          </w:p>
        </w:tc>
        <w:tc>
          <w:tcPr>
            <w:tcW w:w="1603" w:type="dxa"/>
            <w:hideMark/>
          </w:tcPr>
          <w:p w14:paraId="30902F8D"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32</w:t>
            </w:r>
          </w:p>
        </w:tc>
      </w:tr>
      <w:tr w:rsidR="00574BA3" w:rsidRPr="009F6D1E" w14:paraId="3787D112"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26A84C74"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Ctenophora</w:t>
            </w:r>
            <w:proofErr w:type="spellEnd"/>
          </w:p>
        </w:tc>
        <w:tc>
          <w:tcPr>
            <w:tcW w:w="1710" w:type="dxa"/>
            <w:hideMark/>
          </w:tcPr>
          <w:p w14:paraId="2189B69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763" w:type="dxa"/>
            <w:hideMark/>
          </w:tcPr>
          <w:p w14:paraId="3B2D8389"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603" w:type="dxa"/>
            <w:hideMark/>
          </w:tcPr>
          <w:p w14:paraId="5C1BF4B6"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r>
      <w:tr w:rsidR="00574BA3" w:rsidRPr="009F6D1E" w14:paraId="5D620772"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706C690B"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Platyhelminthes</w:t>
            </w:r>
            <w:proofErr w:type="spellEnd"/>
          </w:p>
        </w:tc>
        <w:tc>
          <w:tcPr>
            <w:tcW w:w="1710" w:type="dxa"/>
            <w:hideMark/>
          </w:tcPr>
          <w:p w14:paraId="0A06AC1B"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4</w:t>
            </w:r>
          </w:p>
        </w:tc>
        <w:tc>
          <w:tcPr>
            <w:tcW w:w="1763" w:type="dxa"/>
            <w:hideMark/>
          </w:tcPr>
          <w:p w14:paraId="3D054ADF"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21</w:t>
            </w:r>
          </w:p>
        </w:tc>
        <w:tc>
          <w:tcPr>
            <w:tcW w:w="1603" w:type="dxa"/>
            <w:hideMark/>
          </w:tcPr>
          <w:p w14:paraId="0F16164B"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830</w:t>
            </w:r>
          </w:p>
        </w:tc>
      </w:tr>
      <w:tr w:rsidR="00574BA3" w:rsidRPr="009F6D1E" w14:paraId="4AE61166"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14C49634"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Gastrotricha</w:t>
            </w:r>
            <w:proofErr w:type="spellEnd"/>
          </w:p>
        </w:tc>
        <w:tc>
          <w:tcPr>
            <w:tcW w:w="1710" w:type="dxa"/>
            <w:hideMark/>
          </w:tcPr>
          <w:p w14:paraId="54C3110C"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5A71D02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603" w:type="dxa"/>
            <w:hideMark/>
          </w:tcPr>
          <w:p w14:paraId="5B4A428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40</w:t>
            </w:r>
          </w:p>
        </w:tc>
      </w:tr>
      <w:tr w:rsidR="00574BA3" w:rsidRPr="009F6D1E" w14:paraId="01003F66"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77365B48"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Nematoda</w:t>
            </w:r>
            <w:proofErr w:type="spellEnd"/>
          </w:p>
        </w:tc>
        <w:tc>
          <w:tcPr>
            <w:tcW w:w="1710" w:type="dxa"/>
            <w:hideMark/>
          </w:tcPr>
          <w:p w14:paraId="7B58C234"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763" w:type="dxa"/>
            <w:hideMark/>
          </w:tcPr>
          <w:p w14:paraId="171F3835"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14</w:t>
            </w:r>
          </w:p>
        </w:tc>
        <w:tc>
          <w:tcPr>
            <w:tcW w:w="1603" w:type="dxa"/>
            <w:hideMark/>
          </w:tcPr>
          <w:p w14:paraId="23BC11B6"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970</w:t>
            </w:r>
          </w:p>
        </w:tc>
      </w:tr>
      <w:tr w:rsidR="00574BA3" w:rsidRPr="009F6D1E" w14:paraId="7225D7AC"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018CDC16"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Rotifera</w:t>
            </w:r>
            <w:proofErr w:type="spellEnd"/>
            <w:r w:rsidRPr="009F6D1E">
              <w:rPr>
                <w:rFonts w:cs="Times New Roman"/>
                <w:sz w:val="20"/>
                <w:szCs w:val="20"/>
              </w:rPr>
              <w:t xml:space="preserve"> (</w:t>
            </w:r>
            <w:proofErr w:type="spellStart"/>
            <w:r w:rsidRPr="009F6D1E">
              <w:rPr>
                <w:rFonts w:cs="Times New Roman"/>
                <w:sz w:val="20"/>
                <w:szCs w:val="20"/>
              </w:rPr>
              <w:t>Rotatoria</w:t>
            </w:r>
            <w:proofErr w:type="spellEnd"/>
            <w:r w:rsidRPr="009F6D1E">
              <w:rPr>
                <w:rFonts w:cs="Times New Roman"/>
                <w:sz w:val="20"/>
                <w:szCs w:val="20"/>
              </w:rPr>
              <w:t>)</w:t>
            </w:r>
          </w:p>
        </w:tc>
        <w:tc>
          <w:tcPr>
            <w:tcW w:w="1710" w:type="dxa"/>
            <w:hideMark/>
          </w:tcPr>
          <w:p w14:paraId="13E3FC08"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763" w:type="dxa"/>
            <w:hideMark/>
          </w:tcPr>
          <w:p w14:paraId="2C487B2F"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4</w:t>
            </w:r>
          </w:p>
        </w:tc>
        <w:tc>
          <w:tcPr>
            <w:tcW w:w="1603" w:type="dxa"/>
            <w:hideMark/>
          </w:tcPr>
          <w:p w14:paraId="73AA9512"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 290</w:t>
            </w:r>
          </w:p>
        </w:tc>
      </w:tr>
      <w:tr w:rsidR="00574BA3" w:rsidRPr="009F6D1E" w14:paraId="5A99F861"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30CFDAF2"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Nematomorpha</w:t>
            </w:r>
            <w:proofErr w:type="spellEnd"/>
          </w:p>
        </w:tc>
        <w:tc>
          <w:tcPr>
            <w:tcW w:w="1710" w:type="dxa"/>
            <w:hideMark/>
          </w:tcPr>
          <w:p w14:paraId="310F3A53"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303D55C6"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3C105BAE"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8</w:t>
            </w:r>
          </w:p>
        </w:tc>
      </w:tr>
      <w:tr w:rsidR="00574BA3" w:rsidRPr="009F6D1E" w14:paraId="15470AA1"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5FDA76BB"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Acanthocephala</w:t>
            </w:r>
            <w:proofErr w:type="spellEnd"/>
          </w:p>
        </w:tc>
        <w:tc>
          <w:tcPr>
            <w:tcW w:w="1710" w:type="dxa"/>
            <w:hideMark/>
          </w:tcPr>
          <w:p w14:paraId="5B09C77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763" w:type="dxa"/>
            <w:hideMark/>
          </w:tcPr>
          <w:p w14:paraId="2134F5EC"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6</w:t>
            </w:r>
          </w:p>
        </w:tc>
        <w:tc>
          <w:tcPr>
            <w:tcW w:w="1603" w:type="dxa"/>
            <w:hideMark/>
          </w:tcPr>
          <w:p w14:paraId="07CB173C"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52</w:t>
            </w:r>
          </w:p>
        </w:tc>
      </w:tr>
      <w:tr w:rsidR="00574BA3" w:rsidRPr="009F6D1E" w14:paraId="21EFF9DF"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16F6DF2"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Kinorhyncha</w:t>
            </w:r>
            <w:proofErr w:type="spellEnd"/>
          </w:p>
        </w:tc>
        <w:tc>
          <w:tcPr>
            <w:tcW w:w="1710" w:type="dxa"/>
            <w:hideMark/>
          </w:tcPr>
          <w:p w14:paraId="0AD9C43E"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5F4A4481"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603" w:type="dxa"/>
            <w:hideMark/>
          </w:tcPr>
          <w:p w14:paraId="3F32FBBB"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4</w:t>
            </w:r>
          </w:p>
        </w:tc>
      </w:tr>
      <w:tr w:rsidR="00574BA3" w:rsidRPr="009F6D1E" w14:paraId="7C96FF48"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0E5197B0"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Entoprocta</w:t>
            </w:r>
            <w:proofErr w:type="spellEnd"/>
            <w:r w:rsidRPr="009F6D1E">
              <w:rPr>
                <w:rFonts w:cs="Times New Roman"/>
                <w:sz w:val="20"/>
                <w:szCs w:val="20"/>
              </w:rPr>
              <w:t xml:space="preserve"> (</w:t>
            </w:r>
            <w:proofErr w:type="spellStart"/>
            <w:r w:rsidRPr="009F6D1E">
              <w:rPr>
                <w:rFonts w:cs="Times New Roman"/>
                <w:sz w:val="20"/>
                <w:szCs w:val="20"/>
              </w:rPr>
              <w:t>Kamptozoa</w:t>
            </w:r>
            <w:proofErr w:type="spellEnd"/>
            <w:r w:rsidRPr="009F6D1E">
              <w:rPr>
                <w:rFonts w:cs="Times New Roman"/>
                <w:sz w:val="20"/>
                <w:szCs w:val="20"/>
              </w:rPr>
              <w:t>)</w:t>
            </w:r>
          </w:p>
        </w:tc>
        <w:tc>
          <w:tcPr>
            <w:tcW w:w="1710" w:type="dxa"/>
            <w:hideMark/>
          </w:tcPr>
          <w:p w14:paraId="6B34ECD6"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686ECCE5"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7DB75078"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r>
      <w:tr w:rsidR="00574BA3" w:rsidRPr="009F6D1E" w14:paraId="3B1A5BB1"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47CC5861"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Annelida</w:t>
            </w:r>
            <w:proofErr w:type="spellEnd"/>
          </w:p>
        </w:tc>
        <w:tc>
          <w:tcPr>
            <w:tcW w:w="1710" w:type="dxa"/>
            <w:hideMark/>
          </w:tcPr>
          <w:p w14:paraId="05675862"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5</w:t>
            </w:r>
          </w:p>
        </w:tc>
        <w:tc>
          <w:tcPr>
            <w:tcW w:w="1763" w:type="dxa"/>
            <w:hideMark/>
          </w:tcPr>
          <w:p w14:paraId="68B66497"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15</w:t>
            </w:r>
          </w:p>
        </w:tc>
        <w:tc>
          <w:tcPr>
            <w:tcW w:w="1603" w:type="dxa"/>
            <w:hideMark/>
          </w:tcPr>
          <w:p w14:paraId="383DEF84"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240</w:t>
            </w:r>
          </w:p>
        </w:tc>
      </w:tr>
      <w:tr w:rsidR="00574BA3" w:rsidRPr="009F6D1E" w14:paraId="0E546F11"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7D3C6CBD"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Ectoprocta</w:t>
            </w:r>
            <w:proofErr w:type="spellEnd"/>
            <w:r w:rsidRPr="009F6D1E">
              <w:rPr>
                <w:rFonts w:cs="Times New Roman"/>
                <w:sz w:val="20"/>
                <w:szCs w:val="20"/>
              </w:rPr>
              <w:t xml:space="preserve"> (</w:t>
            </w:r>
            <w:proofErr w:type="spellStart"/>
            <w:r w:rsidRPr="009F6D1E">
              <w:rPr>
                <w:rFonts w:cs="Times New Roman"/>
                <w:sz w:val="20"/>
                <w:szCs w:val="20"/>
              </w:rPr>
              <w:t>Bryozoa</w:t>
            </w:r>
            <w:proofErr w:type="spellEnd"/>
            <w:r w:rsidRPr="009F6D1E">
              <w:rPr>
                <w:rFonts w:cs="Times New Roman"/>
                <w:sz w:val="20"/>
                <w:szCs w:val="20"/>
              </w:rPr>
              <w:t>)</w:t>
            </w:r>
          </w:p>
        </w:tc>
        <w:tc>
          <w:tcPr>
            <w:tcW w:w="1710" w:type="dxa"/>
            <w:hideMark/>
          </w:tcPr>
          <w:p w14:paraId="12248DE4"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763" w:type="dxa"/>
            <w:hideMark/>
          </w:tcPr>
          <w:p w14:paraId="1F6427CA"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603" w:type="dxa"/>
            <w:hideMark/>
          </w:tcPr>
          <w:p w14:paraId="6057408E"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25</w:t>
            </w:r>
          </w:p>
        </w:tc>
      </w:tr>
      <w:tr w:rsidR="00574BA3" w:rsidRPr="009F6D1E" w14:paraId="76CFC3E2"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58358CBB"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Phoronida</w:t>
            </w:r>
            <w:proofErr w:type="spellEnd"/>
          </w:p>
        </w:tc>
        <w:tc>
          <w:tcPr>
            <w:tcW w:w="1710" w:type="dxa"/>
            <w:hideMark/>
          </w:tcPr>
          <w:p w14:paraId="1964CC8F"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4B084FA2"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18E3D0D9"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r>
      <w:tr w:rsidR="00574BA3" w:rsidRPr="009F6D1E" w14:paraId="7B3F4EDC"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1B9AB801"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Nemertea</w:t>
            </w:r>
            <w:proofErr w:type="spellEnd"/>
          </w:p>
        </w:tc>
        <w:tc>
          <w:tcPr>
            <w:tcW w:w="1710" w:type="dxa"/>
            <w:hideMark/>
          </w:tcPr>
          <w:p w14:paraId="1991BE6E"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0743410E"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603" w:type="dxa"/>
            <w:hideMark/>
          </w:tcPr>
          <w:p w14:paraId="3A236751"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26</w:t>
            </w:r>
          </w:p>
        </w:tc>
      </w:tr>
      <w:tr w:rsidR="00574BA3" w:rsidRPr="009F6D1E" w14:paraId="4DBB39DF"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46C15637"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Tardigrada</w:t>
            </w:r>
            <w:proofErr w:type="spellEnd"/>
          </w:p>
        </w:tc>
        <w:tc>
          <w:tcPr>
            <w:tcW w:w="1710" w:type="dxa"/>
            <w:hideMark/>
          </w:tcPr>
          <w:p w14:paraId="02156569"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763" w:type="dxa"/>
            <w:hideMark/>
          </w:tcPr>
          <w:p w14:paraId="09E01011"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4</w:t>
            </w:r>
          </w:p>
        </w:tc>
        <w:tc>
          <w:tcPr>
            <w:tcW w:w="1603" w:type="dxa"/>
            <w:hideMark/>
          </w:tcPr>
          <w:p w14:paraId="73D50204"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34</w:t>
            </w:r>
          </w:p>
        </w:tc>
      </w:tr>
      <w:tr w:rsidR="00574BA3" w:rsidRPr="009F6D1E" w14:paraId="5B159DF6"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22A7F642"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Arthropoda</w:t>
            </w:r>
            <w:proofErr w:type="spellEnd"/>
          </w:p>
        </w:tc>
        <w:tc>
          <w:tcPr>
            <w:tcW w:w="1710" w:type="dxa"/>
            <w:hideMark/>
          </w:tcPr>
          <w:p w14:paraId="209EF814"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9</w:t>
            </w:r>
          </w:p>
        </w:tc>
        <w:tc>
          <w:tcPr>
            <w:tcW w:w="1763" w:type="dxa"/>
            <w:hideMark/>
          </w:tcPr>
          <w:p w14:paraId="0D9FD04A"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62</w:t>
            </w:r>
          </w:p>
        </w:tc>
        <w:tc>
          <w:tcPr>
            <w:tcW w:w="1603" w:type="dxa"/>
            <w:hideMark/>
          </w:tcPr>
          <w:p w14:paraId="47066320"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 24 720</w:t>
            </w:r>
          </w:p>
        </w:tc>
      </w:tr>
      <w:tr w:rsidR="00574BA3" w:rsidRPr="009F6D1E" w14:paraId="47246D4D"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759D050"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Mollusca</w:t>
            </w:r>
            <w:proofErr w:type="spellEnd"/>
          </w:p>
        </w:tc>
        <w:tc>
          <w:tcPr>
            <w:tcW w:w="1710" w:type="dxa"/>
            <w:hideMark/>
          </w:tcPr>
          <w:p w14:paraId="7B99871E"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w:t>
            </w:r>
          </w:p>
        </w:tc>
        <w:tc>
          <w:tcPr>
            <w:tcW w:w="1763" w:type="dxa"/>
            <w:hideMark/>
          </w:tcPr>
          <w:p w14:paraId="4BE185FB"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18</w:t>
            </w:r>
          </w:p>
        </w:tc>
        <w:tc>
          <w:tcPr>
            <w:tcW w:w="1603" w:type="dxa"/>
            <w:hideMark/>
          </w:tcPr>
          <w:p w14:paraId="25DDC03B"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445</w:t>
            </w:r>
          </w:p>
        </w:tc>
      </w:tr>
      <w:tr w:rsidR="00574BA3" w:rsidRPr="009F6D1E" w14:paraId="43B060C5"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5B8202F4"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Echinodermata</w:t>
            </w:r>
            <w:proofErr w:type="spellEnd"/>
          </w:p>
        </w:tc>
        <w:tc>
          <w:tcPr>
            <w:tcW w:w="1710" w:type="dxa"/>
            <w:hideMark/>
          </w:tcPr>
          <w:p w14:paraId="25B83EA2"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28478739"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2</w:t>
            </w:r>
          </w:p>
        </w:tc>
        <w:tc>
          <w:tcPr>
            <w:tcW w:w="1603" w:type="dxa"/>
            <w:hideMark/>
          </w:tcPr>
          <w:p w14:paraId="5B1B5C4A"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4</w:t>
            </w:r>
          </w:p>
        </w:tc>
      </w:tr>
      <w:tr w:rsidR="00574BA3" w:rsidRPr="009F6D1E" w14:paraId="5009C539"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607D2FE5"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Chaetognatha</w:t>
            </w:r>
            <w:proofErr w:type="spellEnd"/>
          </w:p>
        </w:tc>
        <w:tc>
          <w:tcPr>
            <w:tcW w:w="1710" w:type="dxa"/>
            <w:hideMark/>
          </w:tcPr>
          <w:p w14:paraId="3DA34539"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3BA37E2A"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0A2BDEAA"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3</w:t>
            </w:r>
          </w:p>
        </w:tc>
      </w:tr>
      <w:tr w:rsidR="00574BA3" w:rsidRPr="009F6D1E" w14:paraId="19A9B40D" w14:textId="77777777" w:rsidTr="003A1CB7">
        <w:trPr>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21DFEEA8" w14:textId="77777777" w:rsidR="00D6187E" w:rsidRPr="009F6D1E" w:rsidRDefault="00D6187E" w:rsidP="0084747F">
            <w:pPr>
              <w:spacing w:after="60" w:line="264" w:lineRule="auto"/>
              <w:ind w:hanging="4"/>
              <w:contextualSpacing/>
              <w:jc w:val="both"/>
              <w:rPr>
                <w:rFonts w:cs="Times New Roman"/>
                <w:sz w:val="20"/>
                <w:szCs w:val="20"/>
              </w:rPr>
            </w:pPr>
            <w:proofErr w:type="spellStart"/>
            <w:r w:rsidRPr="009F6D1E">
              <w:rPr>
                <w:rFonts w:cs="Times New Roman"/>
                <w:sz w:val="20"/>
                <w:szCs w:val="20"/>
              </w:rPr>
              <w:t>Hemichordata</w:t>
            </w:r>
            <w:proofErr w:type="spellEnd"/>
          </w:p>
        </w:tc>
        <w:tc>
          <w:tcPr>
            <w:tcW w:w="1710" w:type="dxa"/>
            <w:hideMark/>
          </w:tcPr>
          <w:p w14:paraId="26D3596E"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763" w:type="dxa"/>
            <w:hideMark/>
          </w:tcPr>
          <w:p w14:paraId="151AA5DC"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c>
          <w:tcPr>
            <w:tcW w:w="1603" w:type="dxa"/>
            <w:hideMark/>
          </w:tcPr>
          <w:p w14:paraId="3A5994AE" w14:textId="77777777" w:rsidR="00D6187E" w:rsidRPr="009F6D1E" w:rsidRDefault="00D6187E" w:rsidP="0084747F">
            <w:pPr>
              <w:spacing w:after="60" w:line="264" w:lineRule="auto"/>
              <w:ind w:hanging="4"/>
              <w:contextualSpacing/>
              <w:jc w:val="both"/>
              <w:cnfStyle w:val="000000000000" w:firstRow="0" w:lastRow="0" w:firstColumn="0" w:lastColumn="0" w:oddVBand="0" w:evenVBand="0" w:oddHBand="0" w:evenHBand="0" w:firstRowFirstColumn="0" w:firstRowLastColumn="0" w:lastRowFirstColumn="0" w:lastRowLastColumn="0"/>
              <w:rPr>
                <w:rFonts w:cs="Times New Roman"/>
                <w:bCs/>
                <w:sz w:val="20"/>
                <w:szCs w:val="20"/>
              </w:rPr>
            </w:pPr>
            <w:r w:rsidRPr="009F6D1E">
              <w:rPr>
                <w:rFonts w:cs="Times New Roman"/>
                <w:bCs/>
                <w:sz w:val="20"/>
                <w:szCs w:val="20"/>
              </w:rPr>
              <w:t>1</w:t>
            </w:r>
          </w:p>
        </w:tc>
      </w:tr>
      <w:tr w:rsidR="00574BA3" w:rsidRPr="009F6D1E" w14:paraId="314ADE60" w14:textId="77777777" w:rsidTr="003A1CB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10" w:type="dxa"/>
            <w:hideMark/>
          </w:tcPr>
          <w:p w14:paraId="1E6D0C39" w14:textId="77777777" w:rsidR="00D6187E" w:rsidRPr="009F6D1E" w:rsidRDefault="00D6187E" w:rsidP="0084747F">
            <w:pPr>
              <w:spacing w:after="60" w:line="264" w:lineRule="auto"/>
              <w:ind w:hanging="4"/>
              <w:contextualSpacing/>
              <w:jc w:val="both"/>
              <w:rPr>
                <w:rFonts w:cs="Times New Roman"/>
                <w:sz w:val="20"/>
                <w:szCs w:val="20"/>
              </w:rPr>
            </w:pPr>
            <w:r w:rsidRPr="009F6D1E">
              <w:rPr>
                <w:rFonts w:cs="Times New Roman"/>
                <w:sz w:val="20"/>
                <w:szCs w:val="20"/>
              </w:rPr>
              <w:t>Общо</w:t>
            </w:r>
          </w:p>
        </w:tc>
        <w:tc>
          <w:tcPr>
            <w:tcW w:w="1710" w:type="dxa"/>
            <w:hideMark/>
          </w:tcPr>
          <w:p w14:paraId="587AB4B5"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65</w:t>
            </w:r>
          </w:p>
        </w:tc>
        <w:tc>
          <w:tcPr>
            <w:tcW w:w="1763" w:type="dxa"/>
            <w:hideMark/>
          </w:tcPr>
          <w:p w14:paraId="767360F6"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230</w:t>
            </w:r>
          </w:p>
        </w:tc>
        <w:tc>
          <w:tcPr>
            <w:tcW w:w="1603" w:type="dxa"/>
            <w:hideMark/>
          </w:tcPr>
          <w:p w14:paraId="435BBC12" w14:textId="77777777" w:rsidR="00D6187E" w:rsidRPr="009F6D1E" w:rsidRDefault="00D6187E" w:rsidP="0084747F">
            <w:pPr>
              <w:spacing w:after="60" w:line="264" w:lineRule="auto"/>
              <w:ind w:hanging="4"/>
              <w:contextualSpacing/>
              <w:jc w:val="both"/>
              <w:cnfStyle w:val="000000100000" w:firstRow="0" w:lastRow="0" w:firstColumn="0" w:lastColumn="0" w:oddVBand="0" w:evenVBand="0" w:oddHBand="1" w:evenHBand="0" w:firstRowFirstColumn="0" w:firstRowLastColumn="0" w:lastRowFirstColumn="0" w:lastRowLastColumn="0"/>
              <w:rPr>
                <w:rFonts w:cs="Times New Roman"/>
                <w:bCs/>
                <w:sz w:val="20"/>
                <w:szCs w:val="20"/>
              </w:rPr>
            </w:pPr>
            <w:r w:rsidRPr="009F6D1E">
              <w:rPr>
                <w:rFonts w:cs="Times New Roman"/>
                <w:bCs/>
                <w:sz w:val="20"/>
                <w:szCs w:val="20"/>
              </w:rPr>
              <w:t>~ 30 000</w:t>
            </w:r>
          </w:p>
        </w:tc>
      </w:tr>
    </w:tbl>
    <w:p w14:paraId="2041C891" w14:textId="77777777" w:rsidR="00D6187E" w:rsidRPr="009F6D1E" w:rsidRDefault="00D6187E" w:rsidP="0084747F">
      <w:pPr>
        <w:spacing w:after="60" w:line="264" w:lineRule="auto"/>
        <w:ind w:firstLine="709"/>
        <w:contextualSpacing/>
        <w:jc w:val="both"/>
        <w:rPr>
          <w:rFonts w:cs="Times New Roman"/>
          <w:b/>
          <w:color w:val="1F3864" w:themeColor="accent1" w:themeShade="80"/>
          <w:szCs w:val="24"/>
        </w:rPr>
      </w:pPr>
    </w:p>
    <w:p w14:paraId="16B8254A" w14:textId="77777777" w:rsidR="00D6187E" w:rsidRPr="001469A0" w:rsidRDefault="00D6187E" w:rsidP="0084747F">
      <w:pPr>
        <w:spacing w:after="60" w:line="264" w:lineRule="auto"/>
        <w:ind w:firstLine="709"/>
        <w:contextualSpacing/>
        <w:jc w:val="both"/>
        <w:rPr>
          <w:rFonts w:cs="Times New Roman"/>
          <w:color w:val="auto"/>
          <w:szCs w:val="24"/>
        </w:rPr>
      </w:pPr>
      <w:r w:rsidRPr="001469A0">
        <w:rPr>
          <w:rFonts w:cs="Times New Roman"/>
          <w:color w:val="auto"/>
          <w:szCs w:val="24"/>
        </w:rPr>
        <w:t xml:space="preserve">Водната безгръбначна фауна е изградена от представители на 10 типа животни с изключително голям брой видове – едноклетъчни, водни гъби, мешести, </w:t>
      </w:r>
      <w:proofErr w:type="spellStart"/>
      <w:r w:rsidRPr="001469A0">
        <w:rPr>
          <w:rFonts w:cs="Times New Roman"/>
          <w:color w:val="auto"/>
          <w:szCs w:val="24"/>
        </w:rPr>
        <w:t>ктенофори</w:t>
      </w:r>
      <w:proofErr w:type="spellEnd"/>
      <w:r w:rsidRPr="001469A0">
        <w:rPr>
          <w:rFonts w:cs="Times New Roman"/>
          <w:color w:val="auto"/>
          <w:szCs w:val="24"/>
        </w:rPr>
        <w:t xml:space="preserve">, плоски червеи, кръгли червеи, </w:t>
      </w:r>
      <w:proofErr w:type="spellStart"/>
      <w:r w:rsidRPr="001469A0">
        <w:rPr>
          <w:rFonts w:cs="Times New Roman"/>
          <w:color w:val="auto"/>
          <w:szCs w:val="24"/>
        </w:rPr>
        <w:t>киноринхи</w:t>
      </w:r>
      <w:proofErr w:type="spellEnd"/>
      <w:r w:rsidRPr="001469A0">
        <w:rPr>
          <w:rFonts w:cs="Times New Roman"/>
          <w:color w:val="auto"/>
          <w:szCs w:val="24"/>
        </w:rPr>
        <w:t xml:space="preserve">, </w:t>
      </w:r>
      <w:proofErr w:type="spellStart"/>
      <w:r w:rsidRPr="001469A0">
        <w:rPr>
          <w:rFonts w:cs="Times New Roman"/>
          <w:color w:val="auto"/>
          <w:szCs w:val="24"/>
        </w:rPr>
        <w:t>ротифери</w:t>
      </w:r>
      <w:proofErr w:type="spellEnd"/>
      <w:r w:rsidRPr="001469A0">
        <w:rPr>
          <w:rFonts w:cs="Times New Roman"/>
          <w:color w:val="auto"/>
          <w:szCs w:val="24"/>
        </w:rPr>
        <w:t xml:space="preserve">, мекотели, ракообразни, насекоми, паякообразни. Това разнообразие все още е недостатъчно проучено. </w:t>
      </w:r>
    </w:p>
    <w:p w14:paraId="317B4DB8" w14:textId="77777777" w:rsidR="00D6187E" w:rsidRPr="001469A0" w:rsidRDefault="00D6187E" w:rsidP="0084747F">
      <w:pPr>
        <w:spacing w:after="60" w:line="264" w:lineRule="auto"/>
        <w:ind w:firstLine="709"/>
        <w:contextualSpacing/>
        <w:jc w:val="both"/>
        <w:rPr>
          <w:rFonts w:cs="Times New Roman"/>
          <w:color w:val="auto"/>
          <w:szCs w:val="24"/>
        </w:rPr>
      </w:pPr>
      <w:r w:rsidRPr="001469A0">
        <w:rPr>
          <w:rFonts w:cs="Times New Roman"/>
          <w:color w:val="auto"/>
          <w:szCs w:val="24"/>
        </w:rPr>
        <w:t xml:space="preserve">Особено чувствителни към промените на средата са </w:t>
      </w:r>
      <w:proofErr w:type="spellStart"/>
      <w:r w:rsidRPr="001469A0">
        <w:rPr>
          <w:rFonts w:cs="Times New Roman"/>
          <w:color w:val="auto"/>
          <w:szCs w:val="24"/>
        </w:rPr>
        <w:t>арахнидите</w:t>
      </w:r>
      <w:proofErr w:type="spellEnd"/>
      <w:r w:rsidRPr="001469A0">
        <w:rPr>
          <w:rFonts w:cs="Times New Roman"/>
          <w:color w:val="auto"/>
          <w:szCs w:val="24"/>
        </w:rPr>
        <w:t xml:space="preserve"> (скорпиони, паяци и др.). Те също са недостатъчно проучени, но вече се знае, че сред тях има не малко български и балкански </w:t>
      </w:r>
      <w:proofErr w:type="spellStart"/>
      <w:r w:rsidRPr="001469A0">
        <w:rPr>
          <w:rFonts w:cs="Times New Roman"/>
          <w:color w:val="auto"/>
          <w:szCs w:val="24"/>
        </w:rPr>
        <w:t>ендемити</w:t>
      </w:r>
      <w:proofErr w:type="spellEnd"/>
      <w:r w:rsidRPr="001469A0">
        <w:rPr>
          <w:rFonts w:cs="Times New Roman"/>
          <w:color w:val="auto"/>
          <w:szCs w:val="24"/>
        </w:rPr>
        <w:t xml:space="preserve">, някои застрашени от изчезване. С голямо разнообразие се характеризира </w:t>
      </w:r>
      <w:proofErr w:type="spellStart"/>
      <w:r w:rsidRPr="001469A0">
        <w:rPr>
          <w:rFonts w:cs="Times New Roman"/>
          <w:color w:val="auto"/>
          <w:szCs w:val="24"/>
        </w:rPr>
        <w:t>ентомофауната</w:t>
      </w:r>
      <w:proofErr w:type="spellEnd"/>
      <w:r w:rsidRPr="001469A0">
        <w:rPr>
          <w:rFonts w:cs="Times New Roman"/>
          <w:color w:val="auto"/>
          <w:szCs w:val="24"/>
        </w:rPr>
        <w:t xml:space="preserve">. Установените досега в България насекоми принадлежат към 2 класа, 30 разреда и 583 семейства, а видовото богатство е десетки хиляди, като не малко са редки български и балкански </w:t>
      </w:r>
      <w:proofErr w:type="spellStart"/>
      <w:r w:rsidRPr="001469A0">
        <w:rPr>
          <w:rFonts w:cs="Times New Roman"/>
          <w:color w:val="auto"/>
          <w:szCs w:val="24"/>
        </w:rPr>
        <w:t>ендемити</w:t>
      </w:r>
      <w:proofErr w:type="spellEnd"/>
      <w:r w:rsidRPr="001469A0">
        <w:rPr>
          <w:rFonts w:cs="Times New Roman"/>
          <w:color w:val="auto"/>
          <w:szCs w:val="24"/>
        </w:rPr>
        <w:t xml:space="preserve"> и реликти. </w:t>
      </w:r>
      <w:proofErr w:type="spellStart"/>
      <w:r w:rsidRPr="001469A0">
        <w:rPr>
          <w:rFonts w:cs="Times New Roman"/>
          <w:color w:val="auto"/>
          <w:szCs w:val="24"/>
        </w:rPr>
        <w:t>Малакофаунистичното</w:t>
      </w:r>
      <w:proofErr w:type="spellEnd"/>
      <w:r w:rsidRPr="001469A0">
        <w:rPr>
          <w:rFonts w:cs="Times New Roman"/>
          <w:color w:val="auto"/>
          <w:szCs w:val="24"/>
        </w:rPr>
        <w:t xml:space="preserve"> разнообразие на България засега е представено 445 вида мекотели – около 25% черноморски, 21% сладководни и 54% са сухоземни. </w:t>
      </w:r>
    </w:p>
    <w:p w14:paraId="62614A68" w14:textId="77777777" w:rsidR="00D6187E" w:rsidRPr="001469A0" w:rsidRDefault="00D6187E" w:rsidP="0084747F">
      <w:pPr>
        <w:spacing w:after="60" w:line="264" w:lineRule="auto"/>
        <w:ind w:firstLine="709"/>
        <w:contextualSpacing/>
        <w:jc w:val="both"/>
        <w:rPr>
          <w:rFonts w:cs="Times New Roman"/>
          <w:color w:val="auto"/>
          <w:szCs w:val="24"/>
        </w:rPr>
      </w:pPr>
      <w:r w:rsidRPr="001469A0">
        <w:rPr>
          <w:rFonts w:cs="Times New Roman"/>
          <w:color w:val="auto"/>
          <w:szCs w:val="24"/>
        </w:rPr>
        <w:t xml:space="preserve">Сред безгръбначните видове с </w:t>
      </w:r>
      <w:proofErr w:type="spellStart"/>
      <w:r w:rsidRPr="001469A0">
        <w:rPr>
          <w:rFonts w:cs="Times New Roman"/>
          <w:color w:val="auto"/>
          <w:szCs w:val="24"/>
        </w:rPr>
        <w:t>консервационно</w:t>
      </w:r>
      <w:proofErr w:type="spellEnd"/>
      <w:r w:rsidRPr="001469A0">
        <w:rPr>
          <w:rFonts w:cs="Times New Roman"/>
          <w:color w:val="auto"/>
          <w:szCs w:val="24"/>
        </w:rPr>
        <w:t xml:space="preserve"> значение преобладават насекомите, в тази група са включени също немалко видове паякообразни, мекотели (</w:t>
      </w:r>
      <w:proofErr w:type="spellStart"/>
      <w:r w:rsidRPr="001469A0">
        <w:rPr>
          <w:rFonts w:cs="Times New Roman"/>
          <w:i/>
          <w:color w:val="auto"/>
          <w:szCs w:val="24"/>
        </w:rPr>
        <w:t>Unio</w:t>
      </w:r>
      <w:proofErr w:type="spellEnd"/>
      <w:r w:rsidRPr="001469A0">
        <w:rPr>
          <w:rFonts w:cs="Times New Roman"/>
          <w:i/>
          <w:color w:val="auto"/>
          <w:szCs w:val="24"/>
        </w:rPr>
        <w:t xml:space="preserve"> </w:t>
      </w:r>
      <w:proofErr w:type="spellStart"/>
      <w:r w:rsidRPr="001469A0">
        <w:rPr>
          <w:rFonts w:cs="Times New Roman"/>
          <w:i/>
          <w:color w:val="auto"/>
          <w:szCs w:val="24"/>
        </w:rPr>
        <w:t>crassus</w:t>
      </w:r>
      <w:proofErr w:type="spellEnd"/>
      <w:r w:rsidRPr="001469A0">
        <w:rPr>
          <w:rFonts w:cs="Times New Roman"/>
          <w:i/>
          <w:color w:val="auto"/>
          <w:szCs w:val="24"/>
        </w:rPr>
        <w:t xml:space="preserve">, </w:t>
      </w:r>
      <w:proofErr w:type="spellStart"/>
      <w:r w:rsidRPr="001469A0">
        <w:rPr>
          <w:rFonts w:cs="Times New Roman"/>
          <w:i/>
          <w:color w:val="auto"/>
          <w:szCs w:val="24"/>
        </w:rPr>
        <w:t>Teodoxus</w:t>
      </w:r>
      <w:proofErr w:type="spellEnd"/>
      <w:r w:rsidRPr="001469A0">
        <w:rPr>
          <w:rFonts w:cs="Times New Roman"/>
          <w:i/>
          <w:color w:val="auto"/>
          <w:szCs w:val="24"/>
        </w:rPr>
        <w:t xml:space="preserve"> </w:t>
      </w:r>
      <w:proofErr w:type="spellStart"/>
      <w:r w:rsidRPr="001469A0">
        <w:rPr>
          <w:rFonts w:cs="Times New Roman"/>
          <w:i/>
          <w:color w:val="auto"/>
          <w:szCs w:val="24"/>
        </w:rPr>
        <w:t>transversalis</w:t>
      </w:r>
      <w:proofErr w:type="spellEnd"/>
      <w:r w:rsidRPr="001469A0">
        <w:rPr>
          <w:rFonts w:cs="Times New Roman"/>
          <w:color w:val="auto"/>
          <w:szCs w:val="24"/>
        </w:rPr>
        <w:t>) и ракообразни (</w:t>
      </w:r>
      <w:proofErr w:type="spellStart"/>
      <w:r w:rsidRPr="001469A0">
        <w:rPr>
          <w:rFonts w:cs="Times New Roman"/>
          <w:i/>
          <w:color w:val="auto"/>
          <w:szCs w:val="24"/>
        </w:rPr>
        <w:t>Austropotamobius</w:t>
      </w:r>
      <w:proofErr w:type="spellEnd"/>
      <w:r w:rsidRPr="001469A0">
        <w:rPr>
          <w:rFonts w:cs="Times New Roman"/>
          <w:i/>
          <w:color w:val="auto"/>
          <w:szCs w:val="24"/>
        </w:rPr>
        <w:t xml:space="preserve"> </w:t>
      </w:r>
      <w:proofErr w:type="spellStart"/>
      <w:r w:rsidRPr="001469A0">
        <w:rPr>
          <w:rFonts w:cs="Times New Roman"/>
          <w:i/>
          <w:color w:val="auto"/>
          <w:szCs w:val="24"/>
        </w:rPr>
        <w:t>torrentium</w:t>
      </w:r>
      <w:proofErr w:type="spellEnd"/>
      <w:r w:rsidRPr="001469A0">
        <w:rPr>
          <w:rFonts w:cs="Times New Roman"/>
          <w:color w:val="auto"/>
          <w:szCs w:val="24"/>
        </w:rPr>
        <w:t>).</w:t>
      </w:r>
    </w:p>
    <w:p w14:paraId="49706B52" w14:textId="77777777" w:rsidR="00D6187E" w:rsidRPr="001469A0" w:rsidRDefault="00D6187E" w:rsidP="0084747F">
      <w:pPr>
        <w:spacing w:after="60" w:line="264" w:lineRule="auto"/>
        <w:jc w:val="both"/>
        <w:rPr>
          <w:rFonts w:eastAsia="Times New Roman" w:cs="Times New Roman"/>
          <w:b/>
          <w:bCs/>
          <w:i/>
          <w:iCs/>
          <w:color w:val="auto"/>
          <w:szCs w:val="24"/>
          <w:highlight w:val="yellow"/>
        </w:rPr>
      </w:pPr>
    </w:p>
    <w:p w14:paraId="78D20612" w14:textId="77777777" w:rsidR="00D16272" w:rsidRPr="009F6D1E" w:rsidRDefault="00D16272">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lastRenderedPageBreak/>
        <w:t xml:space="preserve"> Национална екологична мрежа – защитени територии и защитени зони</w:t>
      </w:r>
    </w:p>
    <w:p w14:paraId="48C9A45D" w14:textId="77777777" w:rsidR="001469A0" w:rsidRDefault="001469A0" w:rsidP="0084747F">
      <w:pPr>
        <w:spacing w:after="60" w:line="264" w:lineRule="auto"/>
        <w:ind w:firstLine="709"/>
        <w:contextualSpacing/>
        <w:jc w:val="both"/>
        <w:rPr>
          <w:rFonts w:cs="Times New Roman"/>
          <w:szCs w:val="24"/>
        </w:rPr>
      </w:pPr>
    </w:p>
    <w:p w14:paraId="2C3FE636" w14:textId="5C23142B"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Националната екологична мрежа (НЕМ) се изгражда според изискванията на Закона за биологичното разнообразие. Нейните цели са дългосрочно опазване на биологичното, геологично и </w:t>
      </w:r>
      <w:proofErr w:type="spellStart"/>
      <w:r w:rsidRPr="009F6D1E">
        <w:rPr>
          <w:rFonts w:cs="Times New Roman"/>
          <w:szCs w:val="24"/>
        </w:rPr>
        <w:t>ландшафтно</w:t>
      </w:r>
      <w:proofErr w:type="spellEnd"/>
      <w:r w:rsidRPr="009F6D1E">
        <w:rPr>
          <w:rFonts w:cs="Times New Roman"/>
          <w:szCs w:val="24"/>
        </w:rPr>
        <w:t xml:space="preserve"> разнообразие; осигуряване на достатъчни по площ и качество места за размножаване, хранене и почивка, включително при миграция, линеене и зимуване на дивите животни; създаване на условия за генетичен обмен между разделени популации и видове; участие на Република България в европейските и световни екологични мрежи; ограничаване на негативното антропогенно въздействие върху защитени територии.</w:t>
      </w:r>
    </w:p>
    <w:p w14:paraId="2A6F8142"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Националната екологична мрежа се състои от защитени територии, обявени според изискванията на Закона за защитените територии (ЗЗТ), и защитени зони, които се обявяват според изискванията на Директива 92/43/ЕИО на Съвета за опазване на естествените местообитания и на дивата флора и фауна и Директива 2009/147/ЕИО на Съвета относно опазването на дивите птици. В Националната екологична мрежа приоритетно се включват КОРИНЕ места, </w:t>
      </w:r>
      <w:proofErr w:type="spellStart"/>
      <w:r w:rsidRPr="009F6D1E">
        <w:rPr>
          <w:rFonts w:cs="Times New Roman"/>
          <w:szCs w:val="24"/>
        </w:rPr>
        <w:t>Рамсарски</w:t>
      </w:r>
      <w:proofErr w:type="spellEnd"/>
      <w:r w:rsidRPr="009F6D1E">
        <w:rPr>
          <w:rFonts w:cs="Times New Roman"/>
          <w:szCs w:val="24"/>
        </w:rPr>
        <w:t xml:space="preserve"> места, важни места за растенията и </w:t>
      </w:r>
      <w:proofErr w:type="spellStart"/>
      <w:r w:rsidRPr="009F6D1E">
        <w:rPr>
          <w:rFonts w:cs="Times New Roman"/>
          <w:szCs w:val="24"/>
        </w:rPr>
        <w:t>орнитологични</w:t>
      </w:r>
      <w:proofErr w:type="spellEnd"/>
      <w:r w:rsidRPr="009F6D1E">
        <w:rPr>
          <w:rFonts w:cs="Times New Roman"/>
          <w:szCs w:val="24"/>
        </w:rPr>
        <w:t xml:space="preserve"> важни места.</w:t>
      </w:r>
    </w:p>
    <w:p w14:paraId="12BE7A13" w14:textId="77777777" w:rsidR="00917D00" w:rsidRPr="009F6D1E" w:rsidRDefault="00917D00" w:rsidP="0084747F">
      <w:pPr>
        <w:spacing w:after="60" w:line="264" w:lineRule="auto"/>
        <w:ind w:firstLine="709"/>
        <w:contextualSpacing/>
        <w:jc w:val="both"/>
        <w:rPr>
          <w:rFonts w:cs="Times New Roman"/>
          <w:i/>
          <w:szCs w:val="24"/>
          <w:u w:val="single"/>
        </w:rPr>
      </w:pPr>
    </w:p>
    <w:p w14:paraId="305DEE1D" w14:textId="77777777" w:rsidR="00917D00" w:rsidRPr="009F6D1E" w:rsidRDefault="00917D00" w:rsidP="000B15B6">
      <w:pPr>
        <w:pStyle w:val="ListParagraph"/>
        <w:numPr>
          <w:ilvl w:val="0"/>
          <w:numId w:val="25"/>
        </w:numPr>
        <w:spacing w:after="60" w:line="264" w:lineRule="auto"/>
        <w:jc w:val="both"/>
        <w:rPr>
          <w:i/>
          <w:color w:val="000000" w:themeColor="text1"/>
          <w:lang w:val="bg-BG"/>
        </w:rPr>
      </w:pPr>
      <w:r w:rsidRPr="009F6D1E">
        <w:rPr>
          <w:i/>
          <w:color w:val="000000" w:themeColor="text1"/>
          <w:lang w:val="bg-BG"/>
        </w:rPr>
        <w:t>Защитени територии, обявени по ЗЗТ</w:t>
      </w:r>
    </w:p>
    <w:p w14:paraId="1E84A5C1"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Към настоящият момент в България са обявени 1015 защитени територии по ЗЗТ, които обхващат приблизително 5,3 % от територията на страната. Защитените територии по ЗЗТ са 6 категории: резервати, национални паркове, природни забележителности, поддържани резервати, природни паркове, защитени местности.</w:t>
      </w:r>
    </w:p>
    <w:p w14:paraId="61D7A112"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 резервати се обявяват образци от естествени екосистеми, включващи характерни и/или забележителни диви растителни и животински видове и местообитанията им. Резерватите се управляват, за да бъдат запазени естествения им характер, генетичните ресурси, естествените местообитания и популациите на защитени редки, ендемични и </w:t>
      </w:r>
      <w:proofErr w:type="spellStart"/>
      <w:r w:rsidRPr="009F6D1E">
        <w:rPr>
          <w:rFonts w:cs="Times New Roman"/>
          <w:szCs w:val="24"/>
        </w:rPr>
        <w:t>реликтни</w:t>
      </w:r>
      <w:proofErr w:type="spellEnd"/>
      <w:r w:rsidRPr="009F6D1E">
        <w:rPr>
          <w:rFonts w:cs="Times New Roman"/>
          <w:szCs w:val="24"/>
        </w:rPr>
        <w:t xml:space="preserve"> видове. В тях се забраняват всякакви дейности, с изключение на тяхната охрана и посещения с научна цел. Общият брой на строгите резерватите в България е 55. По-популярни резервати у нас са "</w:t>
      </w:r>
      <w:proofErr w:type="spellStart"/>
      <w:r w:rsidRPr="009F6D1E">
        <w:rPr>
          <w:rFonts w:cs="Times New Roman"/>
          <w:szCs w:val="24"/>
        </w:rPr>
        <w:t>Силкосия</w:t>
      </w:r>
      <w:proofErr w:type="spellEnd"/>
      <w:r w:rsidRPr="009F6D1E">
        <w:rPr>
          <w:rFonts w:cs="Times New Roman"/>
          <w:szCs w:val="24"/>
        </w:rPr>
        <w:t>", "</w:t>
      </w:r>
      <w:proofErr w:type="spellStart"/>
      <w:r w:rsidRPr="009F6D1E">
        <w:rPr>
          <w:rFonts w:cs="Times New Roman"/>
          <w:szCs w:val="24"/>
        </w:rPr>
        <w:t>Узунбоджак</w:t>
      </w:r>
      <w:proofErr w:type="spellEnd"/>
      <w:r w:rsidRPr="009F6D1E">
        <w:rPr>
          <w:rFonts w:cs="Times New Roman"/>
          <w:szCs w:val="24"/>
        </w:rPr>
        <w:t>", "</w:t>
      </w:r>
      <w:proofErr w:type="spellStart"/>
      <w:r w:rsidRPr="009F6D1E">
        <w:rPr>
          <w:rFonts w:cs="Times New Roman"/>
          <w:szCs w:val="24"/>
        </w:rPr>
        <w:t>Парангалица</w:t>
      </w:r>
      <w:proofErr w:type="spellEnd"/>
      <w:r w:rsidRPr="009F6D1E">
        <w:rPr>
          <w:rFonts w:cs="Times New Roman"/>
          <w:szCs w:val="24"/>
        </w:rPr>
        <w:t>", "Юлен", "</w:t>
      </w:r>
      <w:proofErr w:type="spellStart"/>
      <w:r w:rsidRPr="009F6D1E">
        <w:rPr>
          <w:rFonts w:cs="Times New Roman"/>
          <w:szCs w:val="24"/>
        </w:rPr>
        <w:t>Боатин</w:t>
      </w:r>
      <w:proofErr w:type="spellEnd"/>
      <w:r w:rsidRPr="009F6D1E">
        <w:rPr>
          <w:rFonts w:cs="Times New Roman"/>
          <w:szCs w:val="24"/>
        </w:rPr>
        <w:t>", "Царичина" , "Ропотамо" и др.</w:t>
      </w:r>
    </w:p>
    <w:p w14:paraId="284B2614"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За национални паркове се обявяват територии, в чиито граници не попадат населени места и селищни образувания и които включват естествени екосистеми с голямо разнообразие на растителни и животински видове и местообитания, с характерни и забележителни ландшафти и обекти на неживата природа. Националните паркове се управляват за поддържане разнообразието на екосистемите и защита на дивата природа, за опазване и поддържане на биологичното разнообразие в екосистемите, за предоставяне на възможности за развитие на научни, образователни и рекреационни дейности, както и за създаване на предпоставки за развитието на туризъм, екологосъобразен поминък на населението и други дейности. Национални паркове в България са създадени в планините Рила, Пирин и Стара планина.</w:t>
      </w:r>
    </w:p>
    <w:p w14:paraId="66008E60"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 природни забележителности се обявяват характерни или забележителни обекти на неживата природа, като скални форми, скални разкрития с научна стойност, земни пирамиди, пещери, </w:t>
      </w:r>
      <w:proofErr w:type="spellStart"/>
      <w:r w:rsidRPr="009F6D1E">
        <w:rPr>
          <w:rFonts w:cs="Times New Roman"/>
          <w:szCs w:val="24"/>
        </w:rPr>
        <w:t>понори</w:t>
      </w:r>
      <w:proofErr w:type="spellEnd"/>
      <w:r w:rsidRPr="009F6D1E">
        <w:rPr>
          <w:rFonts w:cs="Times New Roman"/>
          <w:szCs w:val="24"/>
        </w:rPr>
        <w:t xml:space="preserve">, водопади, находища на вкаменелости и минерали, пясъчни дюни и други, </w:t>
      </w:r>
      <w:r w:rsidRPr="009F6D1E">
        <w:rPr>
          <w:rFonts w:cs="Times New Roman"/>
          <w:szCs w:val="24"/>
        </w:rPr>
        <w:lastRenderedPageBreak/>
        <w:t xml:space="preserve">които са с изключителна стойност поради присъщата им рядкост, представителност, естетичност или които имат значение за науката и културата. В тях се забраняват дейности, които могат да нарушат тяхното естествено състояние или да намалят естетическата им стойност. В България са обявени 348 природни забележителности, вкл. Белоградчишките скали, ждрелото на Ерма, Побитите камъни, Чудните мостове, пещерата Бачо Киро, блатото Алепу, </w:t>
      </w:r>
      <w:proofErr w:type="spellStart"/>
      <w:r w:rsidRPr="009F6D1E">
        <w:rPr>
          <w:rFonts w:cs="Times New Roman"/>
          <w:szCs w:val="24"/>
        </w:rPr>
        <w:t>Буйновското</w:t>
      </w:r>
      <w:proofErr w:type="spellEnd"/>
      <w:r w:rsidRPr="009F6D1E">
        <w:rPr>
          <w:rFonts w:cs="Times New Roman"/>
          <w:szCs w:val="24"/>
        </w:rPr>
        <w:t xml:space="preserve"> ждрело, скалният комплекс </w:t>
      </w:r>
      <w:proofErr w:type="spellStart"/>
      <w:r w:rsidRPr="009F6D1E">
        <w:rPr>
          <w:rFonts w:cs="Times New Roman"/>
          <w:szCs w:val="24"/>
        </w:rPr>
        <w:t>Вратцата</w:t>
      </w:r>
      <w:proofErr w:type="spellEnd"/>
      <w:r w:rsidRPr="009F6D1E">
        <w:rPr>
          <w:rFonts w:cs="Times New Roman"/>
          <w:szCs w:val="24"/>
        </w:rPr>
        <w:t xml:space="preserve">, скалният комплекс </w:t>
      </w:r>
      <w:proofErr w:type="spellStart"/>
      <w:r w:rsidRPr="009F6D1E">
        <w:rPr>
          <w:rFonts w:cs="Times New Roman"/>
          <w:szCs w:val="24"/>
        </w:rPr>
        <w:t>Заского</w:t>
      </w:r>
      <w:proofErr w:type="spellEnd"/>
      <w:r w:rsidRPr="009F6D1E">
        <w:rPr>
          <w:rFonts w:cs="Times New Roman"/>
          <w:szCs w:val="24"/>
        </w:rPr>
        <w:t xml:space="preserve"> при с. Гинци, Софийско и пр.</w:t>
      </w:r>
    </w:p>
    <w:p w14:paraId="3E62F329"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 поддържани резервати се обявяват екосистеми, включващи редки и/или застрашени диви растителни и животински видове и местообитанията им. Те се различават от “строгите” резервати по това, че в тях може да се извършват дейности, насочени към поддържането на природния им характер, възстановяването на популации на растителни и животински видове и опазването на генетичните ресурси. Общият брой на поддържаните резервати у нас е 38. По-популярни от тях са </w:t>
      </w:r>
      <w:proofErr w:type="spellStart"/>
      <w:r w:rsidRPr="009F6D1E">
        <w:rPr>
          <w:rFonts w:cs="Times New Roman"/>
          <w:szCs w:val="24"/>
        </w:rPr>
        <w:t>Атанасовско</w:t>
      </w:r>
      <w:proofErr w:type="spellEnd"/>
      <w:r w:rsidRPr="009F6D1E">
        <w:rPr>
          <w:rFonts w:cs="Times New Roman"/>
          <w:szCs w:val="24"/>
        </w:rPr>
        <w:t xml:space="preserve"> езеро, </w:t>
      </w:r>
      <w:proofErr w:type="spellStart"/>
      <w:r w:rsidRPr="009F6D1E">
        <w:rPr>
          <w:rFonts w:cs="Times New Roman"/>
          <w:szCs w:val="24"/>
        </w:rPr>
        <w:t>Балтата</w:t>
      </w:r>
      <w:proofErr w:type="spellEnd"/>
      <w:r w:rsidRPr="009F6D1E">
        <w:rPr>
          <w:rFonts w:cs="Times New Roman"/>
          <w:szCs w:val="24"/>
        </w:rPr>
        <w:t xml:space="preserve">, </w:t>
      </w:r>
      <w:proofErr w:type="spellStart"/>
      <w:r w:rsidRPr="009F6D1E">
        <w:rPr>
          <w:rFonts w:cs="Times New Roman"/>
          <w:szCs w:val="24"/>
        </w:rPr>
        <w:t>Балабана</w:t>
      </w:r>
      <w:proofErr w:type="spellEnd"/>
      <w:r w:rsidRPr="009F6D1E">
        <w:rPr>
          <w:rFonts w:cs="Times New Roman"/>
          <w:szCs w:val="24"/>
        </w:rPr>
        <w:t xml:space="preserve">, Вельов вир, Долна Топчия, </w:t>
      </w:r>
      <w:proofErr w:type="spellStart"/>
      <w:r w:rsidRPr="009F6D1E">
        <w:rPr>
          <w:rFonts w:cs="Times New Roman"/>
          <w:szCs w:val="24"/>
        </w:rPr>
        <w:t>Патлейна</w:t>
      </w:r>
      <w:proofErr w:type="spellEnd"/>
      <w:r w:rsidRPr="009F6D1E">
        <w:rPr>
          <w:rFonts w:cs="Times New Roman"/>
          <w:szCs w:val="24"/>
        </w:rPr>
        <w:t xml:space="preserve">, </w:t>
      </w:r>
      <w:proofErr w:type="spellStart"/>
      <w:r w:rsidRPr="009F6D1E">
        <w:rPr>
          <w:rFonts w:cs="Times New Roman"/>
          <w:szCs w:val="24"/>
        </w:rPr>
        <w:t>Персински</w:t>
      </w:r>
      <w:proofErr w:type="spellEnd"/>
      <w:r w:rsidRPr="009F6D1E">
        <w:rPr>
          <w:rFonts w:cs="Times New Roman"/>
          <w:szCs w:val="24"/>
        </w:rPr>
        <w:t xml:space="preserve"> блата, Сребърна, </w:t>
      </w:r>
      <w:proofErr w:type="spellStart"/>
      <w:r w:rsidRPr="009F6D1E">
        <w:rPr>
          <w:rFonts w:cs="Times New Roman"/>
          <w:szCs w:val="24"/>
        </w:rPr>
        <w:t>Чамджа</w:t>
      </w:r>
      <w:proofErr w:type="spellEnd"/>
      <w:r w:rsidRPr="009F6D1E">
        <w:rPr>
          <w:rFonts w:cs="Times New Roman"/>
          <w:szCs w:val="24"/>
        </w:rPr>
        <w:t xml:space="preserve">, </w:t>
      </w:r>
      <w:proofErr w:type="spellStart"/>
      <w:r w:rsidRPr="009F6D1E">
        <w:rPr>
          <w:rFonts w:cs="Times New Roman"/>
          <w:szCs w:val="24"/>
        </w:rPr>
        <w:t>Шабаница</w:t>
      </w:r>
      <w:proofErr w:type="spellEnd"/>
      <w:r w:rsidRPr="009F6D1E">
        <w:rPr>
          <w:rFonts w:cs="Times New Roman"/>
          <w:szCs w:val="24"/>
        </w:rPr>
        <w:t xml:space="preserve"> и др.</w:t>
      </w:r>
    </w:p>
    <w:p w14:paraId="75173027"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 природни паркове се обявяват територии, включващи разнообразни екосистеми с многообразие на растителни и животински видове и на техните местообитания, с характерни и забележителни ландшафти и обекти на неживата природа. Природните паркове се управляват с цел поддържане на разнообразието на екосистемите и опазване на биологичното разнообразие в тях, предоставяне на възможности за развитие на научни, образователни и рекреационни дейности, устойчиво ползване на </w:t>
      </w:r>
      <w:proofErr w:type="spellStart"/>
      <w:r w:rsidRPr="009F6D1E">
        <w:rPr>
          <w:rFonts w:cs="Times New Roman"/>
          <w:szCs w:val="24"/>
        </w:rPr>
        <w:t>възобновимите</w:t>
      </w:r>
      <w:proofErr w:type="spellEnd"/>
      <w:r w:rsidRPr="009F6D1E">
        <w:rPr>
          <w:rFonts w:cs="Times New Roman"/>
          <w:szCs w:val="24"/>
        </w:rPr>
        <w:t xml:space="preserve"> природни ресурси при запазване на традиционни форми на поминък, както и осигуряване на условия за развитие на туризъм. Природните паркове у нас са 11, вкл. Българка, Витоша, Врачански балкан, Златни пясъци, </w:t>
      </w:r>
      <w:proofErr w:type="spellStart"/>
      <w:r w:rsidRPr="009F6D1E">
        <w:rPr>
          <w:rFonts w:cs="Times New Roman"/>
          <w:szCs w:val="24"/>
        </w:rPr>
        <w:t>Персина</w:t>
      </w:r>
      <w:proofErr w:type="spellEnd"/>
      <w:r w:rsidRPr="009F6D1E">
        <w:rPr>
          <w:rFonts w:cs="Times New Roman"/>
          <w:szCs w:val="24"/>
        </w:rPr>
        <w:t xml:space="preserve">, Рилски манастир, и др. </w:t>
      </w:r>
    </w:p>
    <w:p w14:paraId="159F3438"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 защитени местности се обявяват територии с характерни или забележителни ландшафти, включително такива, които са резултат на хармонично съжителство на човека и природата; местообитания на застрашени, редки или уязвими растителни и животински видове и </w:t>
      </w:r>
      <w:proofErr w:type="spellStart"/>
      <w:r w:rsidRPr="009F6D1E">
        <w:rPr>
          <w:rFonts w:cs="Times New Roman"/>
          <w:szCs w:val="24"/>
        </w:rPr>
        <w:t>съобщества.Защитените</w:t>
      </w:r>
      <w:proofErr w:type="spellEnd"/>
      <w:r w:rsidRPr="009F6D1E">
        <w:rPr>
          <w:rFonts w:cs="Times New Roman"/>
          <w:szCs w:val="24"/>
        </w:rPr>
        <w:t xml:space="preserve"> местности се управляват с цел запазване на компонентите на ландшафта, опазване, поддържане или възстановяване на условия в местообитанията, отговарящи на екологичните изисквания на видовете и съобществата - обект на защита; предоставяне на възможности за научни изследвания, образователна дейност и екологичен мониторинг; предоставяне на възможности за туризъм и за духовно обогатяване. Защитените местности в България са 563, вкл. Блатото Малък Преславец, Гарванските блата, </w:t>
      </w:r>
      <w:proofErr w:type="spellStart"/>
      <w:r w:rsidRPr="009F6D1E">
        <w:rPr>
          <w:rFonts w:cs="Times New Roman"/>
          <w:szCs w:val="24"/>
        </w:rPr>
        <w:t>Дуранкулашкото</w:t>
      </w:r>
      <w:proofErr w:type="spellEnd"/>
      <w:r w:rsidRPr="009F6D1E">
        <w:rPr>
          <w:rFonts w:cs="Times New Roman"/>
          <w:szCs w:val="24"/>
        </w:rPr>
        <w:t xml:space="preserve"> езеро, островите Св. Иван и Св. Петър, пещерата Елата, местността Иракли и др.</w:t>
      </w:r>
    </w:p>
    <w:p w14:paraId="17A2F920" w14:textId="77777777" w:rsidR="00917D00" w:rsidRPr="009F6D1E" w:rsidRDefault="00917D00" w:rsidP="0084747F">
      <w:pPr>
        <w:spacing w:after="60" w:line="264" w:lineRule="auto"/>
        <w:ind w:firstLine="709"/>
        <w:contextualSpacing/>
        <w:jc w:val="both"/>
        <w:rPr>
          <w:rFonts w:cs="Times New Roman"/>
          <w:i/>
          <w:szCs w:val="24"/>
          <w:u w:val="single"/>
        </w:rPr>
      </w:pPr>
    </w:p>
    <w:p w14:paraId="623BFD9D" w14:textId="77777777" w:rsidR="00917D00" w:rsidRPr="009F6D1E" w:rsidRDefault="00917D00" w:rsidP="000B15B6">
      <w:pPr>
        <w:pStyle w:val="ListParagraph"/>
        <w:numPr>
          <w:ilvl w:val="0"/>
          <w:numId w:val="25"/>
        </w:numPr>
        <w:spacing w:after="60" w:line="264" w:lineRule="auto"/>
        <w:jc w:val="both"/>
        <w:rPr>
          <w:i/>
          <w:color w:val="000000" w:themeColor="text1"/>
          <w:lang w:val="bg-BG"/>
        </w:rPr>
      </w:pPr>
      <w:r w:rsidRPr="009F6D1E">
        <w:rPr>
          <w:i/>
          <w:color w:val="000000" w:themeColor="text1"/>
          <w:lang w:val="bg-BG"/>
        </w:rPr>
        <w:t>Натура 2000</w:t>
      </w:r>
    </w:p>
    <w:p w14:paraId="327D6AB2"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Натура  2000 е общоевропейска мрежа, съставена от защитени зони, за да осигури дългосрочното оцеляване на най-ценните и застрашени видове и природни местообитания за Европа в съответствие с основните международни договорености в областта на опазването на околната среда и биологичното разнообразие. Местата, попадащи в екологичната мрежа, се определят в съответствие с две от директивите на Европейския съюз в сферата на околната </w:t>
      </w:r>
      <w:r w:rsidRPr="009F6D1E">
        <w:rPr>
          <w:rFonts w:cs="Times New Roman"/>
          <w:szCs w:val="24"/>
        </w:rPr>
        <w:lastRenderedPageBreak/>
        <w:t xml:space="preserve">среда – Директива 92/43/ЕЕС за опазване на природните местообитания и на дивата флора и фауна (наричана накратко Директива за </w:t>
      </w:r>
      <w:proofErr w:type="spellStart"/>
      <w:r w:rsidRPr="009F6D1E">
        <w:rPr>
          <w:rFonts w:cs="Times New Roman"/>
          <w:szCs w:val="24"/>
        </w:rPr>
        <w:t>хабитатите</w:t>
      </w:r>
      <w:proofErr w:type="spellEnd"/>
      <w:r w:rsidRPr="009F6D1E">
        <w:rPr>
          <w:rFonts w:cs="Times New Roman"/>
          <w:szCs w:val="24"/>
        </w:rPr>
        <w:t xml:space="preserve">) и Директива 79/409/ЕС, кодифицирана чрез Директива 2009/147/ЕС, за опазването на дивите птици (наричана накратко Директива за птиците). Съгласно Закона за биологичното разнообразие в страната се обявяват защитени зони като част от националната екологична мрежа. Това са места от територията и акваторията на страната, които отговарят на изискванията за наличие на важни за биологичното разнообразие растителни и животински видове, включително птици, както и типове природни местообитания, включени в анексите на Директивата за </w:t>
      </w:r>
      <w:proofErr w:type="spellStart"/>
      <w:r w:rsidRPr="009F6D1E">
        <w:rPr>
          <w:rFonts w:cs="Times New Roman"/>
          <w:szCs w:val="24"/>
        </w:rPr>
        <w:t>хабитатите</w:t>
      </w:r>
      <w:proofErr w:type="spellEnd"/>
      <w:r w:rsidRPr="009F6D1E">
        <w:rPr>
          <w:rFonts w:cs="Times New Roman"/>
          <w:szCs w:val="24"/>
        </w:rPr>
        <w:t xml:space="preserve"> и Директивата за птиците. Списъците с природните местообитания и видовете, включително птици, за чиито местообитания се определят защитени зони, са изброени в Приложения 1 и 2 на закона. Процесът по създаване на екологичната мрежа Натура  2000 в България започва през 2002 г. с приемането на Закона за биологичното разнообразие, който въвежда нормите на двете европейски директиви. </w:t>
      </w:r>
    </w:p>
    <w:p w14:paraId="1072EF68"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От 2002 г. до 2006 г., чрез изпълнението на редица проекти, е изработен национален списък с потенциални места за включване в Натура 2000 мрежата. Първоначално предложеният списък съдържа 114 защитени зони за опазване на дивите птици (Натура  2000 места по Директивата за птиците), обхващащи приблизително 23,6 % от територията на страната, и 225 защитени зони за опазване на природните местообитания и на дивата флора и фауна (Натура 2000 места по Директивата за </w:t>
      </w:r>
      <w:proofErr w:type="spellStart"/>
      <w:r w:rsidRPr="009F6D1E">
        <w:rPr>
          <w:rFonts w:cs="Times New Roman"/>
          <w:szCs w:val="24"/>
        </w:rPr>
        <w:t>хабитатите</w:t>
      </w:r>
      <w:proofErr w:type="spellEnd"/>
      <w:r w:rsidRPr="009F6D1E">
        <w:rPr>
          <w:rFonts w:cs="Times New Roman"/>
          <w:szCs w:val="24"/>
        </w:rPr>
        <w:t>), обхващащи приблизително 30 % от територията на страната.</w:t>
      </w:r>
    </w:p>
    <w:p w14:paraId="245719DC"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През 2007 г., след решения №122/02.03.2007 г., № 661/16.10.2007 г. и № 802/04.12.2007 г. на Министерският съвет на Р България, страната ни представя в Европейската комисия национален списък с потенциални Натура 2000 места, който съдържа:</w:t>
      </w:r>
    </w:p>
    <w:p w14:paraId="3C87E5CA" w14:textId="77777777" w:rsidR="00917D00" w:rsidRPr="009F6D1E" w:rsidRDefault="00917D00">
      <w:pPr>
        <w:numPr>
          <w:ilvl w:val="0"/>
          <w:numId w:val="64"/>
        </w:numPr>
        <w:spacing w:after="60" w:line="264" w:lineRule="auto"/>
        <w:contextualSpacing/>
        <w:jc w:val="both"/>
        <w:rPr>
          <w:rFonts w:cs="Times New Roman"/>
          <w:szCs w:val="24"/>
        </w:rPr>
      </w:pPr>
      <w:r w:rsidRPr="009F6D1E">
        <w:rPr>
          <w:rFonts w:cs="Times New Roman"/>
          <w:szCs w:val="24"/>
        </w:rPr>
        <w:t>114 защитени зони за опазване на дивите птици, покриващи 20,4 % от територията на България;</w:t>
      </w:r>
    </w:p>
    <w:p w14:paraId="44873A31" w14:textId="77777777" w:rsidR="00917D00" w:rsidRPr="009F6D1E" w:rsidRDefault="00917D00">
      <w:pPr>
        <w:numPr>
          <w:ilvl w:val="0"/>
          <w:numId w:val="64"/>
        </w:numPr>
        <w:spacing w:after="60" w:line="264" w:lineRule="auto"/>
        <w:contextualSpacing/>
        <w:jc w:val="both"/>
        <w:rPr>
          <w:rFonts w:cs="Times New Roman"/>
          <w:szCs w:val="24"/>
        </w:rPr>
      </w:pPr>
      <w:r w:rsidRPr="009F6D1E">
        <w:rPr>
          <w:rFonts w:cs="Times New Roman"/>
          <w:szCs w:val="24"/>
        </w:rPr>
        <w:t>228 защитени зони за опазване на природни местообитания, покриващи 29,5 % от територията на България.</w:t>
      </w:r>
    </w:p>
    <w:p w14:paraId="12D05267"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В периода 2008-2021 г. националният списък със защитени зони за опазване на дивите птици  и за опазване на природните местообитания е бил допълван и разширяван с Решения на Министерският съвет: № 811 от 16 ноември 2010г., № 335 от 26 май 2011г., № 660 от 01 ноември  2013г., № 678 от 07 ноември  2013г., № 223 от 24 април 2014г., № 598 от 22 юли 2016г., № 177 от 03 април 2019г., № 564 от 30 юли 2021г. и № 588 от 06 август 2021г. С пълното съдържание на Решенията на Министерският съвет, може да се запознаете от раздел „Регистър на защитените зони“ под раздел  „Приети с решение на </w:t>
      </w:r>
      <w:proofErr w:type="spellStart"/>
      <w:r w:rsidRPr="009F6D1E">
        <w:rPr>
          <w:rFonts w:cs="Times New Roman"/>
          <w:szCs w:val="24"/>
        </w:rPr>
        <w:t>Mинистерскят</w:t>
      </w:r>
      <w:proofErr w:type="spellEnd"/>
      <w:r w:rsidRPr="009F6D1E">
        <w:rPr>
          <w:rFonts w:cs="Times New Roman"/>
          <w:szCs w:val="24"/>
        </w:rPr>
        <w:t xml:space="preserve"> съвет“.</w:t>
      </w:r>
    </w:p>
    <w:p w14:paraId="5CF602C5"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По данни на МОСВ, към момента мрежата от защитени зони включва:</w:t>
      </w:r>
    </w:p>
    <w:p w14:paraId="64D53919" w14:textId="77777777" w:rsidR="00917D00" w:rsidRPr="009F6D1E" w:rsidRDefault="00917D00">
      <w:pPr>
        <w:numPr>
          <w:ilvl w:val="0"/>
          <w:numId w:val="65"/>
        </w:numPr>
        <w:spacing w:after="60" w:line="264" w:lineRule="auto"/>
        <w:contextualSpacing/>
        <w:jc w:val="both"/>
        <w:rPr>
          <w:rFonts w:cs="Times New Roman"/>
          <w:szCs w:val="24"/>
        </w:rPr>
      </w:pPr>
      <w:r w:rsidRPr="009F6D1E">
        <w:rPr>
          <w:rFonts w:cs="Times New Roman"/>
          <w:szCs w:val="24"/>
        </w:rPr>
        <w:t>120 защитени зони за опазване на дивите птици, покриващи 23.1 % от територията на България;</w:t>
      </w:r>
    </w:p>
    <w:p w14:paraId="62FC65BF" w14:textId="77777777" w:rsidR="00917D00" w:rsidRPr="009F6D1E" w:rsidRDefault="00917D00">
      <w:pPr>
        <w:numPr>
          <w:ilvl w:val="0"/>
          <w:numId w:val="65"/>
        </w:numPr>
        <w:spacing w:after="60" w:line="264" w:lineRule="auto"/>
        <w:contextualSpacing/>
        <w:jc w:val="both"/>
        <w:rPr>
          <w:rFonts w:cs="Times New Roman"/>
          <w:szCs w:val="24"/>
        </w:rPr>
      </w:pPr>
      <w:r w:rsidRPr="009F6D1E">
        <w:rPr>
          <w:rFonts w:cs="Times New Roman"/>
          <w:szCs w:val="24"/>
        </w:rPr>
        <w:t>233 защитени зони за опазване на природни местообитания, покриващи 30,3 % от територията на България.</w:t>
      </w:r>
    </w:p>
    <w:p w14:paraId="07D83F49" w14:textId="7AB36F74" w:rsidR="00917D00" w:rsidRDefault="00917D00" w:rsidP="0084747F">
      <w:pPr>
        <w:spacing w:after="60" w:line="264" w:lineRule="auto"/>
        <w:ind w:firstLine="709"/>
        <w:contextualSpacing/>
        <w:jc w:val="both"/>
        <w:rPr>
          <w:rFonts w:cs="Times New Roman"/>
          <w:szCs w:val="24"/>
        </w:rPr>
      </w:pPr>
    </w:p>
    <w:p w14:paraId="50C7B604" w14:textId="77777777" w:rsidR="001469A0" w:rsidRPr="009F6D1E" w:rsidRDefault="001469A0" w:rsidP="0084747F">
      <w:pPr>
        <w:spacing w:after="60" w:line="264" w:lineRule="auto"/>
        <w:ind w:firstLine="709"/>
        <w:contextualSpacing/>
        <w:jc w:val="both"/>
        <w:rPr>
          <w:rFonts w:cs="Times New Roman"/>
          <w:szCs w:val="24"/>
        </w:rPr>
      </w:pPr>
    </w:p>
    <w:p w14:paraId="0E008068" w14:textId="5BB6828E" w:rsidR="00917D00" w:rsidRPr="009F6D1E" w:rsidRDefault="00574BA3" w:rsidP="00574BA3">
      <w:pPr>
        <w:pStyle w:val="Caption"/>
      </w:pPr>
      <w:bookmarkStart w:id="417" w:name="_Toc98762632"/>
      <w:bookmarkStart w:id="418" w:name="_Toc115255176"/>
      <w:r w:rsidRPr="009F6D1E">
        <w:lastRenderedPageBreak/>
        <w:t xml:space="preserve">Таблица </w:t>
      </w:r>
      <w:fldSimple w:instr=" SEQ Таблица \* ARABIC ">
        <w:r w:rsidR="00A43EF3">
          <w:rPr>
            <w:noProof/>
          </w:rPr>
          <w:t>25</w:t>
        </w:r>
      </w:fldSimple>
      <w:r w:rsidRPr="009F6D1E">
        <w:t xml:space="preserve">: </w:t>
      </w:r>
      <w:r w:rsidR="00917D00" w:rsidRPr="009F6D1E">
        <w:t xml:space="preserve"> Натура 2000 в България</w:t>
      </w:r>
      <w:bookmarkEnd w:id="417"/>
      <w:bookmarkEnd w:id="418"/>
    </w:p>
    <w:tbl>
      <w:tblPr>
        <w:tblStyle w:val="LightList-Accent3"/>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10"/>
        <w:gridCol w:w="1900"/>
        <w:gridCol w:w="1919"/>
      </w:tblGrid>
      <w:tr w:rsidR="00574BA3" w:rsidRPr="009F6D1E" w14:paraId="71317C86" w14:textId="77777777" w:rsidTr="0038543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hideMark/>
          </w:tcPr>
          <w:p w14:paraId="444AC1B0" w14:textId="77777777" w:rsidR="00917D00" w:rsidRPr="009F6D1E" w:rsidRDefault="00917D00" w:rsidP="0038543B">
            <w:pPr>
              <w:spacing w:after="60" w:line="264" w:lineRule="auto"/>
              <w:contextualSpacing/>
              <w:jc w:val="center"/>
              <w:rPr>
                <w:rFonts w:cs="Times New Roman"/>
                <w:sz w:val="20"/>
                <w:szCs w:val="20"/>
              </w:rPr>
            </w:pPr>
            <w:r w:rsidRPr="009F6D1E">
              <w:rPr>
                <w:rFonts w:cs="Times New Roman"/>
                <w:sz w:val="20"/>
                <w:szCs w:val="20"/>
              </w:rPr>
              <w:t>33</w:t>
            </w:r>
          </w:p>
        </w:tc>
        <w:tc>
          <w:tcPr>
            <w:tcW w:w="1710" w:type="dxa"/>
            <w:hideMark/>
          </w:tcPr>
          <w:p w14:paraId="02F567B7" w14:textId="77777777" w:rsidR="00917D00" w:rsidRPr="009F6D1E" w:rsidRDefault="00917D00" w:rsidP="0038543B">
            <w:pPr>
              <w:spacing w:after="60" w:line="264" w:lineRule="auto"/>
              <w:contextualSpacing/>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Брой</w:t>
            </w:r>
          </w:p>
          <w:p w14:paraId="1B9884BD" w14:textId="77777777" w:rsidR="00917D00" w:rsidRPr="009F6D1E" w:rsidRDefault="00917D00" w:rsidP="0038543B">
            <w:pPr>
              <w:spacing w:after="60" w:line="264" w:lineRule="auto"/>
              <w:contextualSpacing/>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зони</w:t>
            </w:r>
          </w:p>
        </w:tc>
        <w:tc>
          <w:tcPr>
            <w:tcW w:w="1900" w:type="dxa"/>
            <w:hideMark/>
          </w:tcPr>
          <w:p w14:paraId="4529156A" w14:textId="77777777" w:rsidR="00917D00" w:rsidRPr="009F6D1E" w:rsidRDefault="00917D00" w:rsidP="0038543B">
            <w:pPr>
              <w:spacing w:after="60" w:line="264" w:lineRule="auto"/>
              <w:contextualSpacing/>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Площ</w:t>
            </w:r>
          </w:p>
          <w:p w14:paraId="54274A50" w14:textId="77777777" w:rsidR="00917D00" w:rsidRPr="009F6D1E" w:rsidRDefault="00917D00" w:rsidP="0038543B">
            <w:pPr>
              <w:spacing w:after="60" w:line="264" w:lineRule="auto"/>
              <w:contextualSpacing/>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w:t>
            </w:r>
            <w:proofErr w:type="spellStart"/>
            <w:r w:rsidRPr="009F6D1E">
              <w:rPr>
                <w:rFonts w:cs="Times New Roman"/>
                <w:sz w:val="20"/>
                <w:szCs w:val="20"/>
              </w:rPr>
              <w:t>ha</w:t>
            </w:r>
            <w:proofErr w:type="spellEnd"/>
            <w:r w:rsidRPr="009F6D1E">
              <w:rPr>
                <w:rFonts w:cs="Times New Roman"/>
                <w:sz w:val="20"/>
                <w:szCs w:val="20"/>
              </w:rPr>
              <w:t>)</w:t>
            </w:r>
          </w:p>
        </w:tc>
        <w:tc>
          <w:tcPr>
            <w:tcW w:w="1919" w:type="dxa"/>
            <w:hideMark/>
          </w:tcPr>
          <w:p w14:paraId="025AD1DB" w14:textId="77777777" w:rsidR="00917D00" w:rsidRPr="009F6D1E" w:rsidRDefault="00917D00" w:rsidP="0038543B">
            <w:pPr>
              <w:spacing w:after="60" w:line="264" w:lineRule="auto"/>
              <w:contextualSpacing/>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 от територията на България</w:t>
            </w:r>
          </w:p>
        </w:tc>
      </w:tr>
      <w:tr w:rsidR="00574BA3" w:rsidRPr="009F6D1E" w14:paraId="52BC38B1" w14:textId="77777777" w:rsidTr="003854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hideMark/>
          </w:tcPr>
          <w:p w14:paraId="128302D7" w14:textId="77777777" w:rsidR="00917D00" w:rsidRPr="009F6D1E" w:rsidRDefault="00917D00" w:rsidP="0084747F">
            <w:pPr>
              <w:spacing w:after="60" w:line="264" w:lineRule="auto"/>
              <w:contextualSpacing/>
              <w:jc w:val="both"/>
              <w:rPr>
                <w:rFonts w:cs="Times New Roman"/>
                <w:sz w:val="20"/>
                <w:szCs w:val="20"/>
              </w:rPr>
            </w:pPr>
            <w:r w:rsidRPr="009F6D1E">
              <w:rPr>
                <w:rFonts w:cs="Times New Roman"/>
                <w:sz w:val="20"/>
                <w:szCs w:val="20"/>
              </w:rPr>
              <w:t>33 по Директивата за местообитанията</w:t>
            </w:r>
          </w:p>
        </w:tc>
        <w:tc>
          <w:tcPr>
            <w:tcW w:w="1710" w:type="dxa"/>
            <w:hideMark/>
          </w:tcPr>
          <w:p w14:paraId="4710BAB6"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233</w:t>
            </w:r>
          </w:p>
        </w:tc>
        <w:tc>
          <w:tcPr>
            <w:tcW w:w="1900" w:type="dxa"/>
            <w:hideMark/>
          </w:tcPr>
          <w:p w14:paraId="67D7B254"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3 615 603</w:t>
            </w:r>
          </w:p>
        </w:tc>
        <w:tc>
          <w:tcPr>
            <w:tcW w:w="1919" w:type="dxa"/>
            <w:hideMark/>
          </w:tcPr>
          <w:p w14:paraId="58E13507"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30,3 %</w:t>
            </w:r>
          </w:p>
        </w:tc>
      </w:tr>
      <w:tr w:rsidR="00574BA3" w:rsidRPr="009F6D1E" w14:paraId="1D5AD933" w14:textId="77777777" w:rsidTr="0038543B">
        <w:trPr>
          <w:jc w:val="center"/>
        </w:trPr>
        <w:tc>
          <w:tcPr>
            <w:cnfStyle w:val="001000000000" w:firstRow="0" w:lastRow="0" w:firstColumn="1" w:lastColumn="0" w:oddVBand="0" w:evenVBand="0" w:oddHBand="0" w:evenHBand="0" w:firstRowFirstColumn="0" w:firstRowLastColumn="0" w:lastRowFirstColumn="0" w:lastRowLastColumn="0"/>
            <w:tcW w:w="2830" w:type="dxa"/>
            <w:hideMark/>
          </w:tcPr>
          <w:p w14:paraId="19D7AE67" w14:textId="77777777" w:rsidR="00917D00" w:rsidRPr="009F6D1E" w:rsidRDefault="00917D00" w:rsidP="0084747F">
            <w:pPr>
              <w:spacing w:after="60" w:line="264" w:lineRule="auto"/>
              <w:contextualSpacing/>
              <w:jc w:val="both"/>
              <w:rPr>
                <w:rFonts w:cs="Times New Roman"/>
                <w:sz w:val="20"/>
                <w:szCs w:val="20"/>
              </w:rPr>
            </w:pPr>
            <w:r w:rsidRPr="009F6D1E">
              <w:rPr>
                <w:rFonts w:cs="Times New Roman"/>
                <w:sz w:val="20"/>
                <w:szCs w:val="20"/>
              </w:rPr>
              <w:t>33 по Директивата за дивите птици</w:t>
            </w:r>
          </w:p>
        </w:tc>
        <w:tc>
          <w:tcPr>
            <w:tcW w:w="1710" w:type="dxa"/>
            <w:hideMark/>
          </w:tcPr>
          <w:p w14:paraId="024A5F91" w14:textId="77777777" w:rsidR="00917D00" w:rsidRPr="009F6D1E" w:rsidRDefault="00917D00" w:rsidP="0038543B">
            <w:pPr>
              <w:spacing w:after="60" w:line="264" w:lineRule="auto"/>
              <w:contextualSpacing/>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120</w:t>
            </w:r>
          </w:p>
        </w:tc>
        <w:tc>
          <w:tcPr>
            <w:tcW w:w="1900" w:type="dxa"/>
            <w:hideMark/>
          </w:tcPr>
          <w:p w14:paraId="7A40EF5A" w14:textId="77777777" w:rsidR="00917D00" w:rsidRPr="009F6D1E" w:rsidRDefault="00917D00" w:rsidP="0038543B">
            <w:pPr>
              <w:spacing w:after="60" w:line="264" w:lineRule="auto"/>
              <w:contextualSpacing/>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2 616 550</w:t>
            </w:r>
          </w:p>
        </w:tc>
        <w:tc>
          <w:tcPr>
            <w:tcW w:w="1919" w:type="dxa"/>
            <w:hideMark/>
          </w:tcPr>
          <w:p w14:paraId="282B39F3" w14:textId="77777777" w:rsidR="00917D00" w:rsidRPr="009F6D1E" w:rsidRDefault="00917D00" w:rsidP="0038543B">
            <w:pPr>
              <w:spacing w:after="60" w:line="264" w:lineRule="auto"/>
              <w:contextualSpacing/>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9F6D1E">
              <w:rPr>
                <w:rFonts w:cs="Times New Roman"/>
                <w:sz w:val="20"/>
                <w:szCs w:val="20"/>
              </w:rPr>
              <w:t>23,1%</w:t>
            </w:r>
          </w:p>
        </w:tc>
      </w:tr>
      <w:tr w:rsidR="00574BA3" w:rsidRPr="009F6D1E" w14:paraId="4FC50760" w14:textId="77777777" w:rsidTr="003854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hideMark/>
          </w:tcPr>
          <w:p w14:paraId="414B3CAA" w14:textId="77777777" w:rsidR="00917D00" w:rsidRPr="009F6D1E" w:rsidRDefault="00917D00" w:rsidP="0084747F">
            <w:pPr>
              <w:spacing w:after="60" w:line="264" w:lineRule="auto"/>
              <w:contextualSpacing/>
              <w:jc w:val="both"/>
              <w:rPr>
                <w:rFonts w:cs="Times New Roman"/>
                <w:sz w:val="20"/>
                <w:szCs w:val="20"/>
              </w:rPr>
            </w:pPr>
            <w:r w:rsidRPr="009F6D1E">
              <w:rPr>
                <w:rFonts w:cs="Times New Roman"/>
                <w:sz w:val="20"/>
                <w:szCs w:val="20"/>
              </w:rPr>
              <w:t>Общо 33</w:t>
            </w:r>
          </w:p>
        </w:tc>
        <w:tc>
          <w:tcPr>
            <w:tcW w:w="1710" w:type="dxa"/>
            <w:hideMark/>
          </w:tcPr>
          <w:p w14:paraId="7E631601"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340*</w:t>
            </w:r>
          </w:p>
        </w:tc>
        <w:tc>
          <w:tcPr>
            <w:tcW w:w="1900" w:type="dxa"/>
            <w:hideMark/>
          </w:tcPr>
          <w:p w14:paraId="3A5012CF"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4 155 839</w:t>
            </w:r>
          </w:p>
        </w:tc>
        <w:tc>
          <w:tcPr>
            <w:tcW w:w="1919" w:type="dxa"/>
            <w:hideMark/>
          </w:tcPr>
          <w:p w14:paraId="2CEE5F26" w14:textId="77777777" w:rsidR="00917D00" w:rsidRPr="009F6D1E" w:rsidRDefault="00917D00" w:rsidP="0038543B">
            <w:pPr>
              <w:spacing w:after="60" w:line="264" w:lineRule="auto"/>
              <w:contextualSpacing/>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9F6D1E">
              <w:rPr>
                <w:rFonts w:cs="Times New Roman"/>
                <w:sz w:val="20"/>
                <w:szCs w:val="20"/>
              </w:rPr>
              <w:t>34,9%</w:t>
            </w:r>
          </w:p>
        </w:tc>
      </w:tr>
    </w:tbl>
    <w:p w14:paraId="54B8CE28"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 13 бр. от ЗЗ с обща граница по двете Директиви </w:t>
      </w:r>
    </w:p>
    <w:p w14:paraId="50C9BE08" w14:textId="77777777" w:rsidR="00917D00" w:rsidRPr="009F6D1E" w:rsidRDefault="00917D00" w:rsidP="0084747F">
      <w:pPr>
        <w:spacing w:after="60" w:line="264" w:lineRule="auto"/>
        <w:ind w:firstLine="709"/>
        <w:contextualSpacing/>
        <w:jc w:val="both"/>
        <w:rPr>
          <w:rFonts w:cs="Times New Roman"/>
          <w:szCs w:val="24"/>
        </w:rPr>
      </w:pPr>
    </w:p>
    <w:p w14:paraId="668C0927"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В процес на изготвяне са специфични цели и мерки за защитените зони в страната. </w:t>
      </w:r>
    </w:p>
    <w:p w14:paraId="25480B9D" w14:textId="77777777" w:rsidR="00917D00" w:rsidRPr="009F6D1E" w:rsidRDefault="00917D00" w:rsidP="0084747F">
      <w:pPr>
        <w:spacing w:after="60" w:line="264" w:lineRule="auto"/>
        <w:ind w:firstLine="709"/>
        <w:contextualSpacing/>
        <w:jc w:val="both"/>
        <w:rPr>
          <w:rFonts w:cs="Times New Roman"/>
          <w:szCs w:val="24"/>
        </w:rPr>
      </w:pPr>
      <w:r w:rsidRPr="009F6D1E">
        <w:rPr>
          <w:rFonts w:cs="Times New Roman"/>
          <w:szCs w:val="24"/>
        </w:rPr>
        <w:t xml:space="preserve">Защитените зони от мрежата Натура 2000 са разгледани подробно в ДОСВ, приложен към настоящата ЕО. </w:t>
      </w:r>
      <w:r w:rsidR="00582EAA" w:rsidRPr="00582EAA">
        <w:rPr>
          <w:rFonts w:cs="Times New Roman"/>
          <w:szCs w:val="24"/>
        </w:rPr>
        <w:t xml:space="preserve">ДОСВ </w:t>
      </w:r>
      <w:r w:rsidR="00582EAA">
        <w:rPr>
          <w:rFonts w:cs="Times New Roman"/>
          <w:szCs w:val="24"/>
        </w:rPr>
        <w:t>е получил</w:t>
      </w:r>
      <w:r w:rsidR="00582EAA" w:rsidRPr="00582EAA">
        <w:rPr>
          <w:rFonts w:cs="Times New Roman"/>
          <w:szCs w:val="24"/>
        </w:rPr>
        <w:t xml:space="preserve"> положителна оценка на качеството </w:t>
      </w:r>
      <w:r w:rsidR="00582EAA">
        <w:rPr>
          <w:rFonts w:cs="Times New Roman"/>
          <w:szCs w:val="24"/>
        </w:rPr>
        <w:t>от МОСВ</w:t>
      </w:r>
      <w:r w:rsidR="00582EAA" w:rsidRPr="00582EAA">
        <w:rPr>
          <w:rFonts w:cs="Times New Roman"/>
          <w:szCs w:val="24"/>
        </w:rPr>
        <w:t xml:space="preserve"> и е на обществен достъп</w:t>
      </w:r>
      <w:r w:rsidR="00582EAA">
        <w:rPr>
          <w:rFonts w:cs="Times New Roman"/>
          <w:szCs w:val="24"/>
        </w:rPr>
        <w:t>.</w:t>
      </w:r>
    </w:p>
    <w:p w14:paraId="57F255D5" w14:textId="77777777" w:rsidR="00917D00" w:rsidRPr="009F6D1E" w:rsidRDefault="00917D00" w:rsidP="0084747F">
      <w:pPr>
        <w:spacing w:after="60" w:line="264" w:lineRule="auto"/>
        <w:contextualSpacing/>
        <w:jc w:val="both"/>
        <w:rPr>
          <w:rFonts w:eastAsia="Calibri" w:cs="Times New Roman"/>
          <w:b/>
          <w:bCs/>
          <w:i/>
          <w:iCs/>
          <w:szCs w:val="24"/>
        </w:rPr>
      </w:pPr>
    </w:p>
    <w:p w14:paraId="06D3B761" w14:textId="77777777" w:rsidR="00471E9F" w:rsidRPr="009F6D1E" w:rsidRDefault="008E71F4">
      <w:pPr>
        <w:pStyle w:val="Heading3"/>
        <w:numPr>
          <w:ilvl w:val="2"/>
          <w:numId w:val="31"/>
        </w:numPr>
        <w:shd w:val="clear" w:color="auto" w:fill="E2EFD9" w:themeFill="accent6" w:themeFillTint="33"/>
        <w:tabs>
          <w:tab w:val="clear" w:pos="1701"/>
        </w:tabs>
        <w:spacing w:before="0" w:after="60" w:line="264" w:lineRule="auto"/>
        <w:ind w:left="1146"/>
        <w:rPr>
          <w:smallCaps w:val="0"/>
          <w:lang w:bidi="ar-SA"/>
        </w:rPr>
      </w:pPr>
      <w:r w:rsidRPr="009F6D1E">
        <w:rPr>
          <w:smallCaps w:val="0"/>
          <w:lang w:bidi="ar-SA"/>
        </w:rPr>
        <w:t xml:space="preserve"> </w:t>
      </w:r>
      <w:bookmarkStart w:id="419" w:name="_Toc115255003"/>
      <w:r w:rsidR="00471E9F" w:rsidRPr="009F6D1E">
        <w:rPr>
          <w:smallCaps w:val="0"/>
          <w:lang w:bidi="ar-SA"/>
        </w:rPr>
        <w:t>Културно-историческо наследство</w:t>
      </w:r>
      <w:bookmarkEnd w:id="419"/>
    </w:p>
    <w:p w14:paraId="032EC667" w14:textId="77777777" w:rsidR="00B276CE" w:rsidRPr="009F6D1E" w:rsidRDefault="00B276CE" w:rsidP="0084747F">
      <w:pPr>
        <w:spacing w:after="60" w:line="264" w:lineRule="auto"/>
        <w:contextualSpacing/>
        <w:jc w:val="both"/>
        <w:rPr>
          <w:rFonts w:eastAsia="Calibri" w:cs="Times New Roman"/>
          <w:b/>
          <w:bCs/>
          <w:i/>
          <w:iCs/>
          <w:szCs w:val="24"/>
          <w:highlight w:val="yellow"/>
        </w:rPr>
      </w:pPr>
    </w:p>
    <w:p w14:paraId="347E1FCE"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Културно-историческото наследство (КИН) е съвкупност от културни ценности, обхващащи нематериалното и материалното недвижимо и движимо наследство, носещо историческа памет и национална идентичност и имат научна или културна стойност.</w:t>
      </w:r>
    </w:p>
    <w:p w14:paraId="6596F921"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Нашето културно наследство е естествено формирано на територията на българските земи - регион на културни взаимодействия в течение на хилядолетия, и е сред безспорно признатите в международен план </w:t>
      </w:r>
      <w:proofErr w:type="spellStart"/>
      <w:r w:rsidRPr="009F6D1E">
        <w:rPr>
          <w:rFonts w:eastAsia="Times New Roman" w:cs="Times New Roman"/>
          <w:szCs w:val="24"/>
        </w:rPr>
        <w:t>богат¬ства</w:t>
      </w:r>
      <w:proofErr w:type="spellEnd"/>
      <w:r w:rsidRPr="009F6D1E">
        <w:rPr>
          <w:rFonts w:eastAsia="Times New Roman" w:cs="Times New Roman"/>
          <w:szCs w:val="24"/>
        </w:rPr>
        <w:t xml:space="preserve"> на Република България.</w:t>
      </w:r>
    </w:p>
    <w:p w14:paraId="6BE048EB"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Съществуващото положение на системата на културно-историческото наследство в България е представено от архитектурно-строителни, исторически, художествени, военни и археологически недвижими културни ценности (НКЦ).</w:t>
      </w:r>
    </w:p>
    <w:p w14:paraId="165A48B9"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България се нарежда на призовото трето място по културно-историческо наследство в Европа. По брой и </w:t>
      </w:r>
      <w:proofErr w:type="spellStart"/>
      <w:r w:rsidRPr="009F6D1E">
        <w:rPr>
          <w:rFonts w:eastAsia="Times New Roman" w:cs="Times New Roman"/>
          <w:szCs w:val="24"/>
        </w:rPr>
        <w:t>разноо¬бразие</w:t>
      </w:r>
      <w:proofErr w:type="spellEnd"/>
      <w:r w:rsidRPr="009F6D1E">
        <w:rPr>
          <w:rFonts w:eastAsia="Times New Roman" w:cs="Times New Roman"/>
          <w:szCs w:val="24"/>
        </w:rPr>
        <w:t xml:space="preserve"> на културно-исторически паметници пред нас са само Италия и Гърция. Съкровищницата България остава далеч назад по популярност от средиземноморските държави, въпреки че е земя на седем </w:t>
      </w:r>
      <w:proofErr w:type="spellStart"/>
      <w:r w:rsidRPr="009F6D1E">
        <w:rPr>
          <w:rFonts w:eastAsia="Times New Roman" w:cs="Times New Roman"/>
          <w:szCs w:val="24"/>
        </w:rPr>
        <w:t>цивили¬зации</w:t>
      </w:r>
      <w:proofErr w:type="spellEnd"/>
      <w:r w:rsidRPr="009F6D1E">
        <w:rPr>
          <w:rFonts w:eastAsia="Times New Roman" w:cs="Times New Roman"/>
          <w:szCs w:val="24"/>
        </w:rPr>
        <w:t xml:space="preserve"> - праисторическата, древногръцката, римската, тракийската, византийската, българската и ислямската. </w:t>
      </w:r>
    </w:p>
    <w:p w14:paraId="20A4A3AC"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Повече от 40 хиляди са </w:t>
      </w:r>
      <w:proofErr w:type="spellStart"/>
      <w:r w:rsidRPr="009F6D1E">
        <w:rPr>
          <w:rFonts w:eastAsia="Times New Roman" w:cs="Times New Roman"/>
          <w:szCs w:val="24"/>
        </w:rPr>
        <w:t>реги¬стрираните</w:t>
      </w:r>
      <w:proofErr w:type="spellEnd"/>
      <w:r w:rsidRPr="009F6D1E">
        <w:rPr>
          <w:rFonts w:eastAsia="Times New Roman" w:cs="Times New Roman"/>
          <w:szCs w:val="24"/>
        </w:rPr>
        <w:t xml:space="preserve"> недвижими културни ценности в България, Това включва 19,4 хил. архитектурно-строителни; 33 бр. археологически резервати, един от които със световно значение; над 150 групови НКЦ – територии на исторически селища и зони в централни градски части. До 1982 г. са регистрирани над 500 селищни могили, над 10 500 </w:t>
      </w:r>
      <w:proofErr w:type="spellStart"/>
      <w:r w:rsidRPr="009F6D1E">
        <w:rPr>
          <w:rFonts w:eastAsia="Times New Roman" w:cs="Times New Roman"/>
          <w:szCs w:val="24"/>
        </w:rPr>
        <w:t>некрополни</w:t>
      </w:r>
      <w:proofErr w:type="spellEnd"/>
      <w:r w:rsidRPr="009F6D1E">
        <w:rPr>
          <w:rFonts w:eastAsia="Times New Roman" w:cs="Times New Roman"/>
          <w:szCs w:val="24"/>
        </w:rPr>
        <w:t xml:space="preserve"> могили, около 4000 паметници на античността и Средновековието, над 7000 жилищни сгради и архитектурни паметници от </w:t>
      </w:r>
      <w:proofErr w:type="spellStart"/>
      <w:r w:rsidRPr="009F6D1E">
        <w:rPr>
          <w:rFonts w:eastAsia="Times New Roman" w:cs="Times New Roman"/>
          <w:szCs w:val="24"/>
        </w:rPr>
        <w:t>Въз¬раждането</w:t>
      </w:r>
      <w:proofErr w:type="spellEnd"/>
      <w:r w:rsidRPr="009F6D1E">
        <w:rPr>
          <w:rFonts w:eastAsia="Times New Roman" w:cs="Times New Roman"/>
          <w:szCs w:val="24"/>
        </w:rPr>
        <w:t xml:space="preserve">, около 750 архитектурни паметници след </w:t>
      </w:r>
      <w:proofErr w:type="spellStart"/>
      <w:r w:rsidRPr="009F6D1E">
        <w:rPr>
          <w:rFonts w:eastAsia="Times New Roman" w:cs="Times New Roman"/>
          <w:szCs w:val="24"/>
        </w:rPr>
        <w:t>Ос¬вобождението</w:t>
      </w:r>
      <w:proofErr w:type="spellEnd"/>
      <w:r w:rsidRPr="009F6D1E">
        <w:rPr>
          <w:rFonts w:eastAsia="Times New Roman" w:cs="Times New Roman"/>
          <w:szCs w:val="24"/>
        </w:rPr>
        <w:t xml:space="preserve">, 300 стенописа и мозайки, около 3800 </w:t>
      </w:r>
      <w:proofErr w:type="spellStart"/>
      <w:r w:rsidRPr="009F6D1E">
        <w:rPr>
          <w:rFonts w:eastAsia="Times New Roman" w:cs="Times New Roman"/>
          <w:szCs w:val="24"/>
        </w:rPr>
        <w:t>исто¬рически</w:t>
      </w:r>
      <w:proofErr w:type="spellEnd"/>
      <w:r w:rsidRPr="009F6D1E">
        <w:rPr>
          <w:rFonts w:eastAsia="Times New Roman" w:cs="Times New Roman"/>
          <w:szCs w:val="24"/>
        </w:rPr>
        <w:t xml:space="preserve"> места и местности.</w:t>
      </w:r>
    </w:p>
    <w:p w14:paraId="6727B561"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В България има голям брой музеи и галерии (</w:t>
      </w:r>
      <w:proofErr w:type="spellStart"/>
      <w:r w:rsidRPr="009F6D1E">
        <w:rPr>
          <w:rFonts w:eastAsia="Times New Roman" w:cs="Times New Roman"/>
          <w:szCs w:val="24"/>
        </w:rPr>
        <w:t>худо¬жествени</w:t>
      </w:r>
      <w:proofErr w:type="spellEnd"/>
      <w:r w:rsidRPr="009F6D1E">
        <w:rPr>
          <w:rFonts w:eastAsia="Times New Roman" w:cs="Times New Roman"/>
          <w:szCs w:val="24"/>
        </w:rPr>
        <w:t xml:space="preserve"> музеи) - общо 228, включително и филиалите им. В техните </w:t>
      </w:r>
      <w:proofErr w:type="spellStart"/>
      <w:r w:rsidRPr="009F6D1E">
        <w:rPr>
          <w:rFonts w:eastAsia="Times New Roman" w:cs="Times New Roman"/>
          <w:szCs w:val="24"/>
        </w:rPr>
        <w:t>фондохранилища</w:t>
      </w:r>
      <w:proofErr w:type="spellEnd"/>
      <w:r w:rsidRPr="009F6D1E">
        <w:rPr>
          <w:rFonts w:eastAsia="Times New Roman" w:cs="Times New Roman"/>
          <w:szCs w:val="24"/>
        </w:rPr>
        <w:t xml:space="preserve"> се съхраняват се съхраняват повече </w:t>
      </w:r>
      <w:r w:rsidRPr="009F6D1E">
        <w:rPr>
          <w:rFonts w:eastAsia="Times New Roman" w:cs="Times New Roman"/>
          <w:szCs w:val="24"/>
        </w:rPr>
        <w:lastRenderedPageBreak/>
        <w:t xml:space="preserve">от 5 млн. движими културни ценности. Освен това съществуват повече от 500 музейни сбирки към читалища, училища, общини, ведомства, обществени организации и други юридически лица. Действат и първите частни музеи, но съдържанието и състоянието на частните колекции в нашата страна са почти неизвестни. </w:t>
      </w:r>
    </w:p>
    <w:p w14:paraId="79663768"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България има седем културни ценности и две природни забележителности признати за уникални обекти от световно значение и включени в Списъка на световното наследство на ЮНЕСКО. А от 2005 година сме представени и в областта на нематериалното културно наследство с </w:t>
      </w:r>
      <w:proofErr w:type="spellStart"/>
      <w:r w:rsidRPr="009F6D1E">
        <w:rPr>
          <w:rFonts w:eastAsia="Times New Roman" w:cs="Times New Roman"/>
          <w:szCs w:val="24"/>
        </w:rPr>
        <w:t>Бистришките</w:t>
      </w:r>
      <w:proofErr w:type="spellEnd"/>
      <w:r w:rsidRPr="009F6D1E">
        <w:rPr>
          <w:rFonts w:eastAsia="Times New Roman" w:cs="Times New Roman"/>
          <w:szCs w:val="24"/>
        </w:rPr>
        <w:t xml:space="preserve"> </w:t>
      </w:r>
      <w:proofErr w:type="spellStart"/>
      <w:r w:rsidRPr="009F6D1E">
        <w:rPr>
          <w:rFonts w:eastAsia="Times New Roman" w:cs="Times New Roman"/>
          <w:szCs w:val="24"/>
        </w:rPr>
        <w:t>бабии</w:t>
      </w:r>
      <w:proofErr w:type="spellEnd"/>
      <w:r w:rsidRPr="009F6D1E">
        <w:rPr>
          <w:rFonts w:eastAsia="Times New Roman" w:cs="Times New Roman"/>
          <w:szCs w:val="24"/>
        </w:rPr>
        <w:t xml:space="preserve"> и Нестинарството, чиито песни, танци и ритуали са обявени за шедьовър на устното и нематериално наследство на човечеството.</w:t>
      </w:r>
    </w:p>
    <w:p w14:paraId="61688392"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 Паметниците на ЮНЕСКО в България са уникални обекти на материалната и нематериална култура и природния пейзаж. Опазването и популяризирането им изискват сериозни грижи както от страна на държавата, така и на местните власти и гражданските движения. Особено безпокойство буди факта от заплахата старинният Несебър да бъде изваден от този списък поради безогледното строителство и промяната на облика на града-музей.</w:t>
      </w:r>
    </w:p>
    <w:p w14:paraId="018C5C5F"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 xml:space="preserve">Старият град Несебър е обявен за град-музей през 1956 г. и е включен в списъка на ЮНЕСКО през 1983 г. </w:t>
      </w:r>
    </w:p>
    <w:p w14:paraId="00C0644F"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Разположен е на малък полуостров, свързан с брега с тесен провлак, в южната част на Българското черноморско крайбрежие. Със своето разположение и древна архитектура градът излъчва особена красота и величие, усещане за простор и неповторимост. Един от най-старите градове в Европа - основан преди повече от 3000 години като укрепен тракийски център под името </w:t>
      </w:r>
      <w:proofErr w:type="spellStart"/>
      <w:r w:rsidRPr="009F6D1E">
        <w:rPr>
          <w:rFonts w:eastAsia="Times New Roman" w:cs="Times New Roman"/>
          <w:szCs w:val="24"/>
        </w:rPr>
        <w:t>Месамбрия</w:t>
      </w:r>
      <w:proofErr w:type="spellEnd"/>
      <w:r w:rsidRPr="009F6D1E">
        <w:rPr>
          <w:rFonts w:eastAsia="Times New Roman" w:cs="Times New Roman"/>
          <w:szCs w:val="24"/>
        </w:rPr>
        <w:t xml:space="preserve">. Около 510 г. пр. Хр. е превърнат в гръцка колония, организирана в </w:t>
      </w:r>
      <w:proofErr w:type="spellStart"/>
      <w:r w:rsidRPr="009F6D1E">
        <w:rPr>
          <w:rFonts w:eastAsia="Times New Roman" w:cs="Times New Roman"/>
          <w:szCs w:val="24"/>
        </w:rPr>
        <w:t>полис</w:t>
      </w:r>
      <w:proofErr w:type="spellEnd"/>
      <w:r w:rsidRPr="009F6D1E">
        <w:rPr>
          <w:rFonts w:eastAsia="Times New Roman" w:cs="Times New Roman"/>
          <w:szCs w:val="24"/>
        </w:rPr>
        <w:t>. Превзет е от хан Крум през 812 г. и оттогава е в пределите на българската държава. В Несебър са запазени ценни културно-исторически паметници: античната крепостна стена от V- IV в. пр. Хр.; ранновизантийски черкви от V - VI век; български черкви от X - XIV век; над 60 възрожденски къщи от XVIII в., обединени в прекрасен архитектурен ансамбъл; вятърни мелници; прекрасни калдъръмени улички и площади. Несебърските черкви се отличават със своя живописен архитектурен стил и богата външна украса. Те са едно от най-високите постижения в развитието на българската средновековна черковна архитектура.</w:t>
      </w:r>
    </w:p>
    <w:p w14:paraId="6FD4DC3A"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Свещарската гробница е включена в списъка на ЮНЕСКО през 1985 г.</w:t>
      </w:r>
    </w:p>
    <w:p w14:paraId="541184E1"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Гробницата е уникален паметник на тракийското елинистично изкуство от първата половина на III в пр. Хр. Открита е при археологически разкопки на тракийска могила край с. Свещари през 1982 г. Състои се от коридор и 3 камери с почти квадратен план, покрити със свод във формата на полукръг. В централната гробна камера са поставени 2 каменни легла, над богатата релефната украса е изобразена сцена с култов характер, пресъздаваща обожествяването на знатен тракиец. Удължените пропорции на фигурите, композицията и стилът намират паралели с изображенията в Казанлъшката тракийска гробница. Погребалният ритуал, строителната техника, архитектурното оформление и украсата свидетелстват, че тук е погребан тракийски владетел. Гробницата в Свещари е забележителен паметник с висока </w:t>
      </w:r>
      <w:r w:rsidRPr="009F6D1E">
        <w:rPr>
          <w:rFonts w:eastAsia="Times New Roman" w:cs="Times New Roman"/>
          <w:szCs w:val="24"/>
        </w:rPr>
        <w:lastRenderedPageBreak/>
        <w:t>художествена и историческа стойност, ярко доказателство за приноса на траките в световната културна съкровищница.</w:t>
      </w:r>
    </w:p>
    <w:p w14:paraId="3F239B4F"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Рилският манастир е обявен за национален музей през 1961 г., а в списъка на ЮНЕСКО е включен през 1983 г.</w:t>
      </w:r>
    </w:p>
    <w:p w14:paraId="5409EAEF" w14:textId="3E8C08DA"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Най-големият манастирски комплекс на Балканския полуостров (извън Атон). Важен християнски, културен и просветен център. Величествен паметник на българската средновековна и възрожденска архитектура и живопис. Основан е от българския светец Иван Рилски през X в., манастирът е разположен в северозападната част на планината Рила на височина 1100 м. Днешният му вид е от началото на XIX </w:t>
      </w:r>
      <w:proofErr w:type="spellStart"/>
      <w:r w:rsidRPr="009F6D1E">
        <w:rPr>
          <w:rFonts w:eastAsia="Times New Roman" w:cs="Times New Roman"/>
          <w:szCs w:val="24"/>
        </w:rPr>
        <w:t>в.Манастирският</w:t>
      </w:r>
      <w:proofErr w:type="spellEnd"/>
      <w:r w:rsidRPr="009F6D1E">
        <w:rPr>
          <w:rFonts w:eastAsia="Times New Roman" w:cs="Times New Roman"/>
          <w:szCs w:val="24"/>
        </w:rPr>
        <w:t xml:space="preserve"> комплекс е във формата на четириъгълник с обща площ 8800 кв. м. В двора, с площ 3200 кв. м, са разположени </w:t>
      </w:r>
      <w:proofErr w:type="spellStart"/>
      <w:r w:rsidRPr="009F6D1E">
        <w:rPr>
          <w:rFonts w:eastAsia="Times New Roman" w:cs="Times New Roman"/>
          <w:szCs w:val="24"/>
        </w:rPr>
        <w:t>Хрельовата</w:t>
      </w:r>
      <w:proofErr w:type="spellEnd"/>
      <w:r w:rsidRPr="009F6D1E">
        <w:rPr>
          <w:rFonts w:eastAsia="Times New Roman" w:cs="Times New Roman"/>
          <w:szCs w:val="24"/>
        </w:rPr>
        <w:t xml:space="preserve"> кула (построена през 1335 г.) и главната манастирска черква „Рождество Богородично“ (построена през 1834 - 1837 г.). В 4-етажните жилищни крила има над 300 монашески килии и 4 параклиса. Стените и таваните на манастира са изографисани богато с живопис и дърворезба. Суровият крепостен вид на външните манастирски стени контрастира с жизнерадостната архитектура на църквата и чардаците пред килиите. В четириетажните жилищни крила има над 400 килии, четири параклиса, гостни стаи за поклонниците, манастирска готварница (магерница) с оригинална конструкция. Според надпис на фасадата главната църква е построена 1835 от майстор Павел Иванович. Монументалната украса пък е дело на известните български художници от Възраждането Захарий Зограф, Станислав Д</w:t>
      </w:r>
      <w:r w:rsidR="008C39A2">
        <w:rPr>
          <w:rFonts w:eastAsia="Times New Roman" w:cs="Times New Roman"/>
          <w:szCs w:val="24"/>
        </w:rPr>
        <w:t>осп</w:t>
      </w:r>
      <w:r w:rsidRPr="009F6D1E">
        <w:rPr>
          <w:rFonts w:eastAsia="Times New Roman" w:cs="Times New Roman"/>
          <w:szCs w:val="24"/>
        </w:rPr>
        <w:t>евски, Христо Димитров и др. Рилският манастир е едно от най-важните български книжовни средища. В него се съхраняват някои от най-ценните български книжовни паметници.</w:t>
      </w:r>
    </w:p>
    <w:p w14:paraId="1B86A65F"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Ивановски скални църкви са включени в списъка на ЮНЕСКО през 1979 г.</w:t>
      </w:r>
    </w:p>
    <w:p w14:paraId="17A9524C"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Скалните средновековни паметници в Иваново са комплекс от черкви, параклиси и монашески килии, издълбани в скалите от двете страни на р. Русенски лом на височина от 6 до 10 м. Създаден е през XIII в. и обитаван от монаси до XVII в. Запазените стенописи и надписи свидетелстват за разцвета на голяма монашеска колония през XII-</w:t>
      </w:r>
      <w:proofErr w:type="spellStart"/>
      <w:r w:rsidRPr="009F6D1E">
        <w:rPr>
          <w:rFonts w:eastAsia="Times New Roman" w:cs="Times New Roman"/>
          <w:szCs w:val="24"/>
        </w:rPr>
        <w:t>XIVв</w:t>
      </w:r>
      <w:proofErr w:type="spellEnd"/>
      <w:r w:rsidRPr="009F6D1E">
        <w:rPr>
          <w:rFonts w:eastAsia="Times New Roman" w:cs="Times New Roman"/>
          <w:szCs w:val="24"/>
        </w:rPr>
        <w:t>. и за важното и място като книжовен и просветителски център. Комплексът е богато даряван от българските царе Иван Асен II /1218-1241/ и Иван-Александър /1331-1371/. Уникалните стенописи са едни от най-значимите паметници на монументалната живопис на Балканите, те свидетелстват за високото равнище на художествената култура в средновековна България. Датирани са от началото на XIII в. и се смята, че предшестват стенописите в Боянската черква.</w:t>
      </w:r>
    </w:p>
    <w:p w14:paraId="55C6E189"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Казанлъшката гробница е включена в списъка на ЮНЕСКО през 1979 г.</w:t>
      </w:r>
    </w:p>
    <w:p w14:paraId="49C719E3"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 xml:space="preserve">Един от най-ценните паметници на тракийското архитектурно и художествено изкуство от края на IV-ти и началото на III-ти век пр. Хр. Открита е през 1944 г. в могила в близост до гр. Казанлък. Състои се от </w:t>
      </w:r>
      <w:proofErr w:type="spellStart"/>
      <w:r w:rsidRPr="009F6D1E">
        <w:rPr>
          <w:rFonts w:eastAsia="Times New Roman" w:cs="Times New Roman"/>
          <w:szCs w:val="24"/>
        </w:rPr>
        <w:t>предверие</w:t>
      </w:r>
      <w:proofErr w:type="spellEnd"/>
      <w:r w:rsidRPr="009F6D1E">
        <w:rPr>
          <w:rFonts w:eastAsia="Times New Roman" w:cs="Times New Roman"/>
          <w:szCs w:val="24"/>
        </w:rPr>
        <w:t>, коридор (</w:t>
      </w:r>
      <w:proofErr w:type="spellStart"/>
      <w:r w:rsidRPr="009F6D1E">
        <w:rPr>
          <w:rFonts w:eastAsia="Times New Roman" w:cs="Times New Roman"/>
          <w:szCs w:val="24"/>
        </w:rPr>
        <w:t>дромос</w:t>
      </w:r>
      <w:proofErr w:type="spellEnd"/>
      <w:r w:rsidRPr="009F6D1E">
        <w:rPr>
          <w:rFonts w:eastAsia="Times New Roman" w:cs="Times New Roman"/>
          <w:szCs w:val="24"/>
        </w:rPr>
        <w:t xml:space="preserve">), куполна гробна камера, изградени от тухли и камък. Известна е със стенописите си които са с висока художествена стойност, свързани с тракийското изкуство. В коридора са изписани бойни сцени, в камерата е уникалната сцена  на погребалното угощение и символичното  изпращане на починалия тракийски владетел, съпроводено от три препускащи  колесници. Изображенията са важен </w:t>
      </w:r>
      <w:r w:rsidRPr="009F6D1E">
        <w:rPr>
          <w:rFonts w:eastAsia="Times New Roman" w:cs="Times New Roman"/>
          <w:szCs w:val="24"/>
        </w:rPr>
        <w:lastRenderedPageBreak/>
        <w:t>източник за проучване на живота, бита, облеклото, въоръжението и външния вид на траките. Това е най-добре запазеният в България паметник на тракийското изкуство и един от малкото, останали до днес шедьоври на античната живопис.</w:t>
      </w:r>
    </w:p>
    <w:p w14:paraId="7639007D"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Мадарски конник е включен в списъка на ЮНЕСКО през 1979 г.</w:t>
      </w:r>
    </w:p>
    <w:p w14:paraId="03D4B240"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Единственият в Европа монументален каменен релеф от началото на VIII век. Изсечен е на височина 23 м. върху отвесна скала на северозападния склон на Мадарското плато. Изобразява конник, пронизал с копието си лъв. Релефът има символичен характер. Сцената е триумфална, символизира величието на българския владетел и мощта на българската държава. В изображението се смесват две художествени традиции - плоскостното и декоративното изобразяване на животински фигури, характерно за Изтока и античната художествена традиция на Средиземноморието. Около релефа са издълбани 3 надписа на гръцки език. Тази скална хроника отразява важни политически събития, свързани с отношенията между България и Византия от XVIII-IX век. В надписите за първи път се споменава името българи.</w:t>
      </w:r>
    </w:p>
    <w:p w14:paraId="11C6F807"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w:t>
      </w:r>
      <w:r w:rsidRPr="009F6D1E">
        <w:rPr>
          <w:rFonts w:eastAsia="Times New Roman" w:cs="Times New Roman"/>
          <w:szCs w:val="24"/>
        </w:rPr>
        <w:tab/>
        <w:t>Боянската църква е включена в списъка на ЮНЕСКО през 1979 г.</w:t>
      </w:r>
    </w:p>
    <w:p w14:paraId="1925CF8E" w14:textId="4E3CB33B"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Ценните стенописи от 1259 г. са с високи художествени качества и не</w:t>
      </w:r>
      <w:r w:rsidR="008C39A2">
        <w:rPr>
          <w:rFonts w:eastAsia="Times New Roman" w:cs="Times New Roman"/>
          <w:szCs w:val="24"/>
        </w:rPr>
        <w:t>осп</w:t>
      </w:r>
      <w:r w:rsidRPr="009F6D1E">
        <w:rPr>
          <w:rFonts w:eastAsia="Times New Roman" w:cs="Times New Roman"/>
          <w:szCs w:val="24"/>
        </w:rPr>
        <w:t xml:space="preserve">орим принос в европейската художествена култура. На северната стена са изобразени ктиторите севастократор Калоян, „братовчед царев, внук на сръбския крал Стефан“, и съпругата му Десислава, а на срещуположната стена – царската двойка Константин Тих Асен и Ирина, внучка на цар Иван II Асен и дъщеря на византийския император Теодор </w:t>
      </w:r>
      <w:proofErr w:type="spellStart"/>
      <w:r w:rsidRPr="009F6D1E">
        <w:rPr>
          <w:rFonts w:eastAsia="Times New Roman" w:cs="Times New Roman"/>
          <w:szCs w:val="24"/>
        </w:rPr>
        <w:t>Ласкарие</w:t>
      </w:r>
      <w:proofErr w:type="spellEnd"/>
      <w:r w:rsidRPr="009F6D1E">
        <w:rPr>
          <w:rFonts w:eastAsia="Times New Roman" w:cs="Times New Roman"/>
          <w:szCs w:val="24"/>
        </w:rPr>
        <w:t>. Предадени са всички подробности в облеклото, в лицата са спазени индивидуалните особености, така че може да се приеме, че това са истински портрети, рисувани вероятно от натура и то във време, когато портретната живопис е била в зачатък. В много от религиозните сцени са изобразени черти от тогавашния народен бит. Стенописите имат не само художествена, но и историческа и документална стойност.</w:t>
      </w:r>
    </w:p>
    <w:p w14:paraId="5A98381A" w14:textId="77777777" w:rsidR="00361E51" w:rsidRPr="009F6D1E" w:rsidRDefault="00361E51" w:rsidP="0084747F">
      <w:pPr>
        <w:tabs>
          <w:tab w:val="left" w:pos="993"/>
        </w:tabs>
        <w:spacing w:after="60" w:line="264" w:lineRule="auto"/>
        <w:ind w:firstLine="720"/>
        <w:jc w:val="both"/>
        <w:rPr>
          <w:rFonts w:eastAsia="Times New Roman" w:cs="Times New Roman"/>
          <w:szCs w:val="24"/>
        </w:rPr>
      </w:pPr>
      <w:r w:rsidRPr="009F6D1E">
        <w:rPr>
          <w:rFonts w:eastAsia="Times New Roman" w:cs="Times New Roman"/>
          <w:szCs w:val="24"/>
        </w:rPr>
        <w:t>Културните ценности по нашите земи са богатство и достояние на цялата нация и на човечеството, като част от общото ни наследство. Те безусловно трябва да бъдат съхранени за поколенията, в съответствие с професионалните критерии и изисквания и под егидата на държавата. Но едновременно, наследството на всяко едно населено място е част от живота на населението, негова гордост, отговорност и ежедневна грижа. Общият интерес и усилия за цялостно, урбанистично развитие на населеното място по необходимост имат отношение и към съдбата на неговото наследство.</w:t>
      </w:r>
    </w:p>
    <w:p w14:paraId="1CAD1C28" w14:textId="77777777" w:rsidR="00361E51" w:rsidRPr="009F6D1E" w:rsidRDefault="00361E51" w:rsidP="0084747F">
      <w:pPr>
        <w:spacing w:after="60" w:line="264" w:lineRule="auto"/>
        <w:contextualSpacing/>
        <w:jc w:val="both"/>
        <w:rPr>
          <w:rFonts w:eastAsia="Calibri" w:cs="Times New Roman"/>
          <w:b/>
          <w:bCs/>
          <w:i/>
          <w:iCs/>
          <w:szCs w:val="24"/>
          <w:highlight w:val="yellow"/>
        </w:rPr>
      </w:pPr>
    </w:p>
    <w:p w14:paraId="381DF4C9" w14:textId="77777777" w:rsidR="00471E9F" w:rsidRPr="009F6D1E" w:rsidRDefault="008E71F4">
      <w:pPr>
        <w:pStyle w:val="Heading3"/>
        <w:numPr>
          <w:ilvl w:val="2"/>
          <w:numId w:val="31"/>
        </w:numPr>
        <w:shd w:val="clear" w:color="auto" w:fill="E2EFD9" w:themeFill="accent6" w:themeFillTint="33"/>
        <w:tabs>
          <w:tab w:val="clear" w:pos="1701"/>
        </w:tabs>
        <w:spacing w:before="0" w:after="60" w:line="264" w:lineRule="auto"/>
        <w:ind w:left="709"/>
        <w:rPr>
          <w:smallCaps w:val="0"/>
          <w:lang w:bidi="ar-SA"/>
        </w:rPr>
      </w:pPr>
      <w:r w:rsidRPr="009F6D1E">
        <w:rPr>
          <w:smallCaps w:val="0"/>
          <w:lang w:bidi="ar-SA"/>
        </w:rPr>
        <w:t xml:space="preserve"> </w:t>
      </w:r>
      <w:bookmarkStart w:id="420" w:name="_Toc115255004"/>
      <w:r w:rsidR="00471E9F" w:rsidRPr="009F6D1E">
        <w:rPr>
          <w:smallCaps w:val="0"/>
          <w:lang w:bidi="ar-SA"/>
        </w:rPr>
        <w:t>Материални активи</w:t>
      </w:r>
      <w:bookmarkEnd w:id="420"/>
    </w:p>
    <w:p w14:paraId="18A59FFC" w14:textId="3FFD55DD" w:rsidR="001469A0" w:rsidRPr="001469A0" w:rsidRDefault="001469A0" w:rsidP="001469A0">
      <w:pPr>
        <w:autoSpaceDE w:val="0"/>
        <w:autoSpaceDN w:val="0"/>
        <w:adjustRightInd w:val="0"/>
        <w:spacing w:after="60" w:line="264" w:lineRule="auto"/>
        <w:ind w:firstLine="851"/>
        <w:rPr>
          <w:rFonts w:cs="Times New Roman"/>
          <w:szCs w:val="24"/>
        </w:rPr>
      </w:pPr>
      <w:bookmarkStart w:id="421" w:name="_Toc86754796"/>
      <w:bookmarkStart w:id="422" w:name="_Toc97396444"/>
    </w:p>
    <w:p w14:paraId="70449D15" w14:textId="189EA17B" w:rsidR="007D4C6A" w:rsidRPr="009F6D1E" w:rsidRDefault="007D4C6A">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Бизнес демография</w:t>
      </w:r>
      <w:bookmarkEnd w:id="421"/>
      <w:bookmarkEnd w:id="422"/>
    </w:p>
    <w:p w14:paraId="40A875D4" w14:textId="77777777" w:rsidR="001469A0" w:rsidRDefault="001469A0" w:rsidP="0084747F">
      <w:pPr>
        <w:autoSpaceDE w:val="0"/>
        <w:autoSpaceDN w:val="0"/>
        <w:adjustRightInd w:val="0"/>
        <w:spacing w:after="60" w:line="264" w:lineRule="auto"/>
        <w:ind w:firstLine="851"/>
        <w:rPr>
          <w:rFonts w:cs="Times New Roman"/>
          <w:szCs w:val="24"/>
        </w:rPr>
      </w:pPr>
    </w:p>
    <w:p w14:paraId="134B1535" w14:textId="616A28B4" w:rsidR="007D4C6A" w:rsidRPr="009F6D1E" w:rsidRDefault="007D4C6A" w:rsidP="00323BEC">
      <w:pPr>
        <w:autoSpaceDE w:val="0"/>
        <w:autoSpaceDN w:val="0"/>
        <w:adjustRightInd w:val="0"/>
        <w:spacing w:after="60" w:line="264" w:lineRule="auto"/>
        <w:ind w:firstLine="851"/>
        <w:jc w:val="both"/>
        <w:rPr>
          <w:rFonts w:eastAsia="Times New Roman" w:cs="Times New Roman"/>
          <w:szCs w:val="24"/>
        </w:rPr>
      </w:pPr>
      <w:r w:rsidRPr="009F6D1E">
        <w:rPr>
          <w:rFonts w:cs="Times New Roman"/>
          <w:szCs w:val="24"/>
        </w:rPr>
        <w:t xml:space="preserve">По аналогия на статистиката на населението </w:t>
      </w:r>
      <w:r w:rsidRPr="009F6D1E">
        <w:rPr>
          <w:rFonts w:cs="Times New Roman"/>
          <w:b/>
          <w:bCs/>
          <w:i/>
          <w:iCs/>
          <w:szCs w:val="24"/>
        </w:rPr>
        <w:t>бизнес демографията</w:t>
      </w:r>
      <w:r w:rsidRPr="009F6D1E">
        <w:rPr>
          <w:rFonts w:cs="Times New Roman"/>
          <w:szCs w:val="24"/>
        </w:rPr>
        <w:t xml:space="preserve"> описва жизнения цикъл на предприятията, съгласно класификация на икономическите дейности (КИД - 2008) от тяхното раждане през оцеляването и развитието до смъртта им. По-конкретно, бизнес </w:t>
      </w:r>
      <w:r w:rsidRPr="009F6D1E">
        <w:rPr>
          <w:rFonts w:cs="Times New Roman"/>
          <w:szCs w:val="24"/>
        </w:rPr>
        <w:lastRenderedPageBreak/>
        <w:t>демографията представя данни за активните, новородените и умрелите предприятия, относителния дял на оцелелите предприятия, както и данни за промяната на заетостта в тях.</w:t>
      </w:r>
    </w:p>
    <w:p w14:paraId="42795F5B" w14:textId="77777777" w:rsidR="007D4C6A" w:rsidRPr="009F6D1E" w:rsidRDefault="007D4C6A" w:rsidP="0084747F">
      <w:pPr>
        <w:autoSpaceDE w:val="0"/>
        <w:autoSpaceDN w:val="0"/>
        <w:adjustRightInd w:val="0"/>
        <w:spacing w:after="60" w:line="264" w:lineRule="auto"/>
        <w:ind w:firstLine="851"/>
        <w:rPr>
          <w:rFonts w:cs="Times New Roman"/>
          <w:szCs w:val="24"/>
        </w:rPr>
      </w:pPr>
      <w:r w:rsidRPr="009F6D1E">
        <w:rPr>
          <w:rFonts w:cs="Times New Roman"/>
          <w:szCs w:val="24"/>
        </w:rPr>
        <w:t>В настоящия доклад е представена информация от изследването на демографските събития на предприятията в България за 2018 г. и проследява динамиката им за периода 2015 - 2018 г.</w:t>
      </w:r>
      <w:r w:rsidRPr="009F6D1E">
        <w:rPr>
          <w:rFonts w:cs="Times New Roman"/>
          <w:szCs w:val="24"/>
          <w:vertAlign w:val="superscript"/>
        </w:rPr>
        <w:footnoteReference w:id="69"/>
      </w:r>
    </w:p>
    <w:p w14:paraId="454BFC60" w14:textId="31D596AF" w:rsidR="007D4C6A" w:rsidRPr="009F6D1E" w:rsidRDefault="007D4C6A" w:rsidP="0084747F">
      <w:pPr>
        <w:autoSpaceDE w:val="0"/>
        <w:autoSpaceDN w:val="0"/>
        <w:adjustRightInd w:val="0"/>
        <w:spacing w:after="60" w:line="264" w:lineRule="auto"/>
        <w:ind w:firstLine="851"/>
        <w:rPr>
          <w:rFonts w:cs="Times New Roman"/>
          <w:szCs w:val="24"/>
        </w:rPr>
      </w:pPr>
      <w:r w:rsidRPr="009F6D1E">
        <w:rPr>
          <w:rFonts w:cs="Times New Roman"/>
          <w:szCs w:val="24"/>
        </w:rPr>
        <w:t xml:space="preserve">Данните от НСИ, свързаните с икономически сектор </w:t>
      </w:r>
      <w:r w:rsidRPr="009F6D1E">
        <w:rPr>
          <w:rFonts w:cs="Times New Roman"/>
          <w:i/>
          <w:iCs/>
          <w:szCs w:val="24"/>
        </w:rPr>
        <w:t xml:space="preserve">Производство и разпределение на електрическа и топлинна енергия и на газообразни горива </w:t>
      </w:r>
      <w:r w:rsidRPr="009F6D1E">
        <w:rPr>
          <w:rFonts w:cs="Times New Roman"/>
          <w:szCs w:val="24"/>
        </w:rPr>
        <w:t>предприятия</w:t>
      </w:r>
      <w:r w:rsidRPr="009F6D1E">
        <w:rPr>
          <w:rFonts w:cs="Times New Roman"/>
          <w:i/>
          <w:iCs/>
          <w:szCs w:val="24"/>
        </w:rPr>
        <w:t xml:space="preserve"> </w:t>
      </w:r>
      <w:r w:rsidRPr="009F6D1E">
        <w:rPr>
          <w:rFonts w:cs="Times New Roman"/>
          <w:szCs w:val="24"/>
        </w:rPr>
        <w:t xml:space="preserve">са представени в </w:t>
      </w:r>
      <w:r w:rsidR="003F3D71" w:rsidRPr="009F6D1E">
        <w:rPr>
          <w:rFonts w:cs="Times New Roman"/>
          <w:b/>
          <w:bCs/>
          <w:szCs w:val="24"/>
          <w:highlight w:val="yellow"/>
        </w:rPr>
        <w:fldChar w:fldCharType="begin"/>
      </w:r>
      <w:r w:rsidR="00574BA3" w:rsidRPr="009F6D1E">
        <w:rPr>
          <w:rFonts w:cs="Times New Roman"/>
          <w:szCs w:val="24"/>
        </w:rPr>
        <w:instrText xml:space="preserve"> REF _Ref107172758 \h </w:instrText>
      </w:r>
      <w:r w:rsidR="003F3D71" w:rsidRPr="009F6D1E">
        <w:rPr>
          <w:rFonts w:cs="Times New Roman"/>
          <w:b/>
          <w:bCs/>
          <w:szCs w:val="24"/>
          <w:highlight w:val="yellow"/>
        </w:rPr>
      </w:r>
      <w:r w:rsidR="003F3D71" w:rsidRPr="009F6D1E">
        <w:rPr>
          <w:rFonts w:cs="Times New Roman"/>
          <w:b/>
          <w:bCs/>
          <w:szCs w:val="24"/>
          <w:highlight w:val="yellow"/>
        </w:rPr>
        <w:fldChar w:fldCharType="separate"/>
      </w:r>
      <w:r w:rsidR="00A43EF3" w:rsidRPr="009F6D1E">
        <w:t xml:space="preserve">Таблица </w:t>
      </w:r>
      <w:r w:rsidR="00A43EF3">
        <w:rPr>
          <w:noProof/>
        </w:rPr>
        <w:t>26</w:t>
      </w:r>
      <w:r w:rsidR="003F3D71" w:rsidRPr="009F6D1E">
        <w:rPr>
          <w:rFonts w:cs="Times New Roman"/>
          <w:b/>
          <w:bCs/>
          <w:szCs w:val="24"/>
          <w:highlight w:val="yellow"/>
        </w:rPr>
        <w:fldChar w:fldCharType="end"/>
      </w:r>
    </w:p>
    <w:p w14:paraId="0F1DD24F" w14:textId="0668A161" w:rsidR="007D4C6A" w:rsidRPr="009F6D1E" w:rsidRDefault="00574BA3" w:rsidP="00574BA3">
      <w:pPr>
        <w:pStyle w:val="Caption"/>
        <w:rPr>
          <w:rFonts w:eastAsia="Times New Roman"/>
          <w:i w:val="0"/>
          <w:iCs w:val="0"/>
          <w:smallCaps/>
        </w:rPr>
      </w:pPr>
      <w:bookmarkStart w:id="423" w:name="_Ref107172758"/>
      <w:bookmarkStart w:id="424" w:name="_Ref63682990"/>
      <w:bookmarkStart w:id="425" w:name="_Toc86754985"/>
      <w:bookmarkStart w:id="426" w:name="_Toc97395219"/>
      <w:bookmarkStart w:id="427" w:name="_Toc115255177"/>
      <w:r w:rsidRPr="009F6D1E">
        <w:t xml:space="preserve">Таблица </w:t>
      </w:r>
      <w:fldSimple w:instr=" SEQ Таблица \* ARABIC ">
        <w:r w:rsidR="00A43EF3">
          <w:rPr>
            <w:noProof/>
          </w:rPr>
          <w:t>26</w:t>
        </w:r>
      </w:fldSimple>
      <w:bookmarkEnd w:id="423"/>
      <w:r w:rsidRPr="009F6D1E">
        <w:t xml:space="preserve">: </w:t>
      </w:r>
      <w:bookmarkEnd w:id="424"/>
      <w:r w:rsidR="007D4C6A" w:rsidRPr="009F6D1E">
        <w:t>Динамика на предприятията в сектор Производство и разпределение на електрическа и топлинна енергия и на газообразни горива за периода 2015-2018г.</w:t>
      </w:r>
      <w:r w:rsidR="007D4C6A" w:rsidRPr="009F6D1E">
        <w:rPr>
          <w:rFonts w:eastAsia="Calibri"/>
          <w:smallCaps/>
          <w:vertAlign w:val="superscript"/>
        </w:rPr>
        <w:footnoteReference w:id="70"/>
      </w:r>
      <w:bookmarkEnd w:id="425"/>
      <w:bookmarkEnd w:id="426"/>
      <w:bookmarkEnd w:id="427"/>
    </w:p>
    <w:tbl>
      <w:tblPr>
        <w:tblStyle w:val="TableGrid11"/>
        <w:tblW w:w="9659" w:type="dxa"/>
        <w:tblLook w:val="04A0" w:firstRow="1" w:lastRow="0" w:firstColumn="1" w:lastColumn="0" w:noHBand="0" w:noVBand="1"/>
      </w:tblPr>
      <w:tblGrid>
        <w:gridCol w:w="1652"/>
        <w:gridCol w:w="715"/>
        <w:gridCol w:w="18"/>
        <w:gridCol w:w="608"/>
        <w:gridCol w:w="8"/>
        <w:gridCol w:w="616"/>
        <w:gridCol w:w="726"/>
        <w:gridCol w:w="7"/>
        <w:gridCol w:w="639"/>
        <w:gridCol w:w="642"/>
        <w:gridCol w:w="726"/>
        <w:gridCol w:w="7"/>
        <w:gridCol w:w="639"/>
        <w:gridCol w:w="642"/>
        <w:gridCol w:w="726"/>
        <w:gridCol w:w="7"/>
        <w:gridCol w:w="639"/>
        <w:gridCol w:w="642"/>
      </w:tblGrid>
      <w:tr w:rsidR="00574BA3" w:rsidRPr="009F6D1E" w14:paraId="7E4365E2" w14:textId="77777777" w:rsidTr="008F78D1">
        <w:trPr>
          <w:trHeight w:val="340"/>
        </w:trPr>
        <w:tc>
          <w:tcPr>
            <w:tcW w:w="1584" w:type="dxa"/>
            <w:vMerge w:val="restart"/>
            <w:shd w:val="clear" w:color="auto" w:fill="D9D9D9" w:themeFill="background1" w:themeFillShade="D9"/>
            <w:hideMark/>
          </w:tcPr>
          <w:p w14:paraId="0619D59A" w14:textId="77777777" w:rsidR="007D4C6A" w:rsidRPr="009F6D1E" w:rsidRDefault="007D4C6A" w:rsidP="00574BA3">
            <w:pPr>
              <w:rPr>
                <w:b/>
                <w:bCs/>
              </w:rPr>
            </w:pPr>
            <w:proofErr w:type="spellStart"/>
            <w:r w:rsidRPr="009F6D1E">
              <w:rPr>
                <w:b/>
                <w:bCs/>
              </w:rPr>
              <w:t>Предприятия</w:t>
            </w:r>
            <w:proofErr w:type="spellEnd"/>
          </w:p>
        </w:tc>
        <w:tc>
          <w:tcPr>
            <w:tcW w:w="1997" w:type="dxa"/>
            <w:gridSpan w:val="5"/>
            <w:shd w:val="clear" w:color="auto" w:fill="D9D9D9" w:themeFill="background1" w:themeFillShade="D9"/>
            <w:hideMark/>
          </w:tcPr>
          <w:p w14:paraId="28243190" w14:textId="77777777" w:rsidR="007D4C6A" w:rsidRPr="009F6D1E" w:rsidRDefault="007D4C6A" w:rsidP="008F78D1">
            <w:pPr>
              <w:jc w:val="center"/>
              <w:rPr>
                <w:b/>
                <w:bCs/>
              </w:rPr>
            </w:pPr>
            <w:r w:rsidRPr="009F6D1E">
              <w:rPr>
                <w:b/>
                <w:bCs/>
              </w:rPr>
              <w:t>2015</w:t>
            </w:r>
          </w:p>
        </w:tc>
        <w:tc>
          <w:tcPr>
            <w:tcW w:w="2026" w:type="dxa"/>
            <w:gridSpan w:val="4"/>
            <w:shd w:val="clear" w:color="auto" w:fill="D9D9D9" w:themeFill="background1" w:themeFillShade="D9"/>
            <w:hideMark/>
          </w:tcPr>
          <w:p w14:paraId="0F8E3922" w14:textId="77777777" w:rsidR="007D4C6A" w:rsidRPr="009F6D1E" w:rsidRDefault="007D4C6A" w:rsidP="008F78D1">
            <w:pPr>
              <w:jc w:val="center"/>
              <w:rPr>
                <w:b/>
                <w:bCs/>
              </w:rPr>
            </w:pPr>
            <w:r w:rsidRPr="009F6D1E">
              <w:rPr>
                <w:b/>
                <w:bCs/>
              </w:rPr>
              <w:t>2016</w:t>
            </w:r>
          </w:p>
        </w:tc>
        <w:tc>
          <w:tcPr>
            <w:tcW w:w="2026" w:type="dxa"/>
            <w:gridSpan w:val="4"/>
            <w:shd w:val="clear" w:color="auto" w:fill="D9D9D9" w:themeFill="background1" w:themeFillShade="D9"/>
            <w:hideMark/>
          </w:tcPr>
          <w:p w14:paraId="5E327C55" w14:textId="77777777" w:rsidR="007D4C6A" w:rsidRPr="009F6D1E" w:rsidRDefault="007D4C6A" w:rsidP="008F78D1">
            <w:pPr>
              <w:jc w:val="center"/>
              <w:rPr>
                <w:b/>
                <w:bCs/>
              </w:rPr>
            </w:pPr>
            <w:r w:rsidRPr="009F6D1E">
              <w:rPr>
                <w:b/>
                <w:bCs/>
              </w:rPr>
              <w:t>2017</w:t>
            </w:r>
          </w:p>
        </w:tc>
        <w:tc>
          <w:tcPr>
            <w:tcW w:w="2026" w:type="dxa"/>
            <w:gridSpan w:val="4"/>
            <w:shd w:val="clear" w:color="auto" w:fill="D9D9D9" w:themeFill="background1" w:themeFillShade="D9"/>
            <w:hideMark/>
          </w:tcPr>
          <w:p w14:paraId="51D89E72" w14:textId="77777777" w:rsidR="007D4C6A" w:rsidRPr="009F6D1E" w:rsidRDefault="007D4C6A" w:rsidP="008F78D1">
            <w:pPr>
              <w:jc w:val="center"/>
              <w:rPr>
                <w:b/>
                <w:bCs/>
              </w:rPr>
            </w:pPr>
            <w:r w:rsidRPr="009F6D1E">
              <w:rPr>
                <w:b/>
                <w:bCs/>
              </w:rPr>
              <w:t>2018</w:t>
            </w:r>
          </w:p>
        </w:tc>
      </w:tr>
      <w:tr w:rsidR="008F78D1" w:rsidRPr="009F6D1E" w14:paraId="04AE6CA0" w14:textId="77777777" w:rsidTr="008F78D1">
        <w:trPr>
          <w:trHeight w:val="1231"/>
        </w:trPr>
        <w:tc>
          <w:tcPr>
            <w:tcW w:w="0" w:type="auto"/>
            <w:vMerge/>
            <w:shd w:val="clear" w:color="auto" w:fill="D9D9D9" w:themeFill="background1" w:themeFillShade="D9"/>
            <w:hideMark/>
          </w:tcPr>
          <w:p w14:paraId="7AA89392" w14:textId="77777777" w:rsidR="007D4C6A" w:rsidRPr="009F6D1E" w:rsidRDefault="007D4C6A" w:rsidP="00574BA3">
            <w:pPr>
              <w:rPr>
                <w:b/>
                <w:bCs/>
              </w:rPr>
            </w:pPr>
          </w:p>
        </w:tc>
        <w:tc>
          <w:tcPr>
            <w:tcW w:w="666" w:type="dxa"/>
            <w:shd w:val="clear" w:color="auto" w:fill="D9D9D9" w:themeFill="background1" w:themeFillShade="D9"/>
            <w:textDirection w:val="btLr"/>
            <w:hideMark/>
          </w:tcPr>
          <w:p w14:paraId="30324DA3" w14:textId="77777777" w:rsidR="007D4C6A" w:rsidRPr="009F6D1E" w:rsidRDefault="007D4C6A" w:rsidP="00574BA3">
            <w:pPr>
              <w:rPr>
                <w:b/>
                <w:bCs/>
              </w:rPr>
            </w:pPr>
            <w:proofErr w:type="spellStart"/>
            <w:r w:rsidRPr="009F6D1E">
              <w:rPr>
                <w:b/>
                <w:bCs/>
              </w:rPr>
              <w:t>предприятия</w:t>
            </w:r>
            <w:proofErr w:type="spellEnd"/>
          </w:p>
        </w:tc>
        <w:tc>
          <w:tcPr>
            <w:tcW w:w="665" w:type="dxa"/>
            <w:gridSpan w:val="2"/>
            <w:shd w:val="clear" w:color="auto" w:fill="D9D9D9" w:themeFill="background1" w:themeFillShade="D9"/>
            <w:textDirection w:val="btLr"/>
            <w:hideMark/>
          </w:tcPr>
          <w:p w14:paraId="14D93AF6" w14:textId="77777777" w:rsidR="007D4C6A" w:rsidRPr="009F6D1E" w:rsidRDefault="007D4C6A" w:rsidP="00574BA3">
            <w:pPr>
              <w:rPr>
                <w:b/>
                <w:bCs/>
              </w:rPr>
            </w:pPr>
            <w:proofErr w:type="spellStart"/>
            <w:r w:rsidRPr="009F6D1E">
              <w:rPr>
                <w:b/>
                <w:bCs/>
              </w:rPr>
              <w:t>заети</w:t>
            </w:r>
            <w:proofErr w:type="spellEnd"/>
            <w:r w:rsidRPr="009F6D1E">
              <w:rPr>
                <w:b/>
                <w:bCs/>
              </w:rPr>
              <w:t xml:space="preserve"> </w:t>
            </w:r>
            <w:proofErr w:type="spellStart"/>
            <w:r w:rsidRPr="009F6D1E">
              <w:rPr>
                <w:b/>
                <w:bCs/>
              </w:rPr>
              <w:t>лица</w:t>
            </w:r>
            <w:proofErr w:type="spellEnd"/>
          </w:p>
        </w:tc>
        <w:tc>
          <w:tcPr>
            <w:tcW w:w="666" w:type="dxa"/>
            <w:gridSpan w:val="2"/>
            <w:shd w:val="clear" w:color="auto" w:fill="D9D9D9" w:themeFill="background1" w:themeFillShade="D9"/>
            <w:textDirection w:val="btLr"/>
            <w:hideMark/>
          </w:tcPr>
          <w:p w14:paraId="6CB7B38D" w14:textId="77777777" w:rsidR="007D4C6A" w:rsidRPr="009F6D1E" w:rsidRDefault="007D4C6A" w:rsidP="00574BA3">
            <w:pPr>
              <w:rPr>
                <w:b/>
                <w:bCs/>
              </w:rPr>
            </w:pPr>
            <w:proofErr w:type="spellStart"/>
            <w:r w:rsidRPr="009F6D1E">
              <w:rPr>
                <w:b/>
                <w:bCs/>
              </w:rPr>
              <w:t>наети</w:t>
            </w:r>
            <w:proofErr w:type="spellEnd"/>
            <w:r w:rsidRPr="009F6D1E">
              <w:rPr>
                <w:b/>
                <w:bCs/>
              </w:rPr>
              <w:t xml:space="preserve"> </w:t>
            </w:r>
            <w:proofErr w:type="spellStart"/>
            <w:r w:rsidRPr="009F6D1E">
              <w:rPr>
                <w:b/>
                <w:bCs/>
              </w:rPr>
              <w:t>лица</w:t>
            </w:r>
            <w:proofErr w:type="spellEnd"/>
          </w:p>
        </w:tc>
        <w:tc>
          <w:tcPr>
            <w:tcW w:w="675" w:type="dxa"/>
            <w:shd w:val="clear" w:color="auto" w:fill="D9D9D9" w:themeFill="background1" w:themeFillShade="D9"/>
            <w:textDirection w:val="btLr"/>
            <w:hideMark/>
          </w:tcPr>
          <w:p w14:paraId="5E700D4D" w14:textId="77777777" w:rsidR="007D4C6A" w:rsidRPr="009F6D1E" w:rsidRDefault="007D4C6A" w:rsidP="00574BA3">
            <w:pPr>
              <w:rPr>
                <w:b/>
                <w:bCs/>
              </w:rPr>
            </w:pPr>
            <w:proofErr w:type="spellStart"/>
            <w:r w:rsidRPr="009F6D1E">
              <w:rPr>
                <w:b/>
                <w:bCs/>
              </w:rPr>
              <w:t>предприятия</w:t>
            </w:r>
            <w:proofErr w:type="spellEnd"/>
          </w:p>
        </w:tc>
        <w:tc>
          <w:tcPr>
            <w:tcW w:w="677" w:type="dxa"/>
            <w:gridSpan w:val="2"/>
            <w:shd w:val="clear" w:color="auto" w:fill="D9D9D9" w:themeFill="background1" w:themeFillShade="D9"/>
            <w:textDirection w:val="btLr"/>
            <w:hideMark/>
          </w:tcPr>
          <w:p w14:paraId="0BBB1E2A" w14:textId="77777777" w:rsidR="007D4C6A" w:rsidRPr="009F6D1E" w:rsidRDefault="007D4C6A" w:rsidP="00574BA3">
            <w:pPr>
              <w:rPr>
                <w:b/>
                <w:bCs/>
              </w:rPr>
            </w:pPr>
            <w:proofErr w:type="spellStart"/>
            <w:r w:rsidRPr="009F6D1E">
              <w:rPr>
                <w:b/>
                <w:bCs/>
              </w:rPr>
              <w:t>заети</w:t>
            </w:r>
            <w:proofErr w:type="spellEnd"/>
            <w:r w:rsidRPr="009F6D1E">
              <w:rPr>
                <w:b/>
                <w:bCs/>
              </w:rPr>
              <w:t xml:space="preserve"> </w:t>
            </w:r>
            <w:proofErr w:type="spellStart"/>
            <w:r w:rsidRPr="009F6D1E">
              <w:rPr>
                <w:b/>
                <w:bCs/>
              </w:rPr>
              <w:t>лица</w:t>
            </w:r>
            <w:proofErr w:type="spellEnd"/>
          </w:p>
        </w:tc>
        <w:tc>
          <w:tcPr>
            <w:tcW w:w="674" w:type="dxa"/>
            <w:shd w:val="clear" w:color="auto" w:fill="D9D9D9" w:themeFill="background1" w:themeFillShade="D9"/>
            <w:textDirection w:val="btLr"/>
            <w:hideMark/>
          </w:tcPr>
          <w:p w14:paraId="2480E6E9" w14:textId="77777777" w:rsidR="007D4C6A" w:rsidRPr="009F6D1E" w:rsidRDefault="007D4C6A" w:rsidP="00574BA3">
            <w:pPr>
              <w:rPr>
                <w:b/>
                <w:bCs/>
              </w:rPr>
            </w:pPr>
            <w:proofErr w:type="spellStart"/>
            <w:r w:rsidRPr="009F6D1E">
              <w:rPr>
                <w:b/>
                <w:bCs/>
              </w:rPr>
              <w:t>наети</w:t>
            </w:r>
            <w:proofErr w:type="spellEnd"/>
            <w:r w:rsidRPr="009F6D1E">
              <w:rPr>
                <w:b/>
                <w:bCs/>
              </w:rPr>
              <w:t xml:space="preserve"> </w:t>
            </w:r>
            <w:proofErr w:type="spellStart"/>
            <w:r w:rsidRPr="009F6D1E">
              <w:rPr>
                <w:b/>
                <w:bCs/>
              </w:rPr>
              <w:t>лица</w:t>
            </w:r>
            <w:proofErr w:type="spellEnd"/>
          </w:p>
        </w:tc>
        <w:tc>
          <w:tcPr>
            <w:tcW w:w="675" w:type="dxa"/>
            <w:shd w:val="clear" w:color="auto" w:fill="D9D9D9" w:themeFill="background1" w:themeFillShade="D9"/>
            <w:textDirection w:val="btLr"/>
            <w:hideMark/>
          </w:tcPr>
          <w:p w14:paraId="00272E39" w14:textId="77777777" w:rsidR="007D4C6A" w:rsidRPr="009F6D1E" w:rsidRDefault="007D4C6A" w:rsidP="00574BA3">
            <w:pPr>
              <w:rPr>
                <w:b/>
                <w:bCs/>
              </w:rPr>
            </w:pPr>
            <w:proofErr w:type="spellStart"/>
            <w:r w:rsidRPr="009F6D1E">
              <w:rPr>
                <w:b/>
                <w:bCs/>
              </w:rPr>
              <w:t>предприятия</w:t>
            </w:r>
            <w:proofErr w:type="spellEnd"/>
          </w:p>
        </w:tc>
        <w:tc>
          <w:tcPr>
            <w:tcW w:w="677" w:type="dxa"/>
            <w:gridSpan w:val="2"/>
            <w:shd w:val="clear" w:color="auto" w:fill="D9D9D9" w:themeFill="background1" w:themeFillShade="D9"/>
            <w:textDirection w:val="btLr"/>
            <w:hideMark/>
          </w:tcPr>
          <w:p w14:paraId="7A24EF4F" w14:textId="77777777" w:rsidR="007D4C6A" w:rsidRPr="009F6D1E" w:rsidRDefault="007D4C6A" w:rsidP="00574BA3">
            <w:pPr>
              <w:rPr>
                <w:b/>
                <w:bCs/>
              </w:rPr>
            </w:pPr>
            <w:proofErr w:type="spellStart"/>
            <w:r w:rsidRPr="009F6D1E">
              <w:rPr>
                <w:b/>
                <w:bCs/>
              </w:rPr>
              <w:t>заети</w:t>
            </w:r>
            <w:proofErr w:type="spellEnd"/>
            <w:r w:rsidRPr="009F6D1E">
              <w:rPr>
                <w:b/>
                <w:bCs/>
              </w:rPr>
              <w:t xml:space="preserve"> </w:t>
            </w:r>
            <w:proofErr w:type="spellStart"/>
            <w:r w:rsidRPr="009F6D1E">
              <w:rPr>
                <w:b/>
                <w:bCs/>
              </w:rPr>
              <w:t>лица</w:t>
            </w:r>
            <w:proofErr w:type="spellEnd"/>
          </w:p>
        </w:tc>
        <w:tc>
          <w:tcPr>
            <w:tcW w:w="674" w:type="dxa"/>
            <w:shd w:val="clear" w:color="auto" w:fill="D9D9D9" w:themeFill="background1" w:themeFillShade="D9"/>
            <w:textDirection w:val="btLr"/>
            <w:hideMark/>
          </w:tcPr>
          <w:p w14:paraId="75FDA927" w14:textId="77777777" w:rsidR="007D4C6A" w:rsidRPr="009F6D1E" w:rsidRDefault="007D4C6A" w:rsidP="00574BA3">
            <w:pPr>
              <w:rPr>
                <w:b/>
                <w:bCs/>
              </w:rPr>
            </w:pPr>
            <w:proofErr w:type="spellStart"/>
            <w:r w:rsidRPr="009F6D1E">
              <w:rPr>
                <w:b/>
                <w:bCs/>
              </w:rPr>
              <w:t>наети</w:t>
            </w:r>
            <w:proofErr w:type="spellEnd"/>
            <w:r w:rsidRPr="009F6D1E">
              <w:rPr>
                <w:b/>
                <w:bCs/>
              </w:rPr>
              <w:t xml:space="preserve"> </w:t>
            </w:r>
            <w:proofErr w:type="spellStart"/>
            <w:r w:rsidRPr="009F6D1E">
              <w:rPr>
                <w:b/>
                <w:bCs/>
              </w:rPr>
              <w:t>лица</w:t>
            </w:r>
            <w:proofErr w:type="spellEnd"/>
          </w:p>
        </w:tc>
        <w:tc>
          <w:tcPr>
            <w:tcW w:w="675" w:type="dxa"/>
            <w:shd w:val="clear" w:color="auto" w:fill="D9D9D9" w:themeFill="background1" w:themeFillShade="D9"/>
            <w:textDirection w:val="btLr"/>
            <w:hideMark/>
          </w:tcPr>
          <w:p w14:paraId="1F4F2459" w14:textId="77777777" w:rsidR="007D4C6A" w:rsidRPr="009F6D1E" w:rsidRDefault="007D4C6A" w:rsidP="00574BA3">
            <w:pPr>
              <w:rPr>
                <w:b/>
                <w:bCs/>
              </w:rPr>
            </w:pPr>
            <w:proofErr w:type="spellStart"/>
            <w:r w:rsidRPr="009F6D1E">
              <w:rPr>
                <w:b/>
                <w:bCs/>
              </w:rPr>
              <w:t>предприятия</w:t>
            </w:r>
            <w:proofErr w:type="spellEnd"/>
          </w:p>
        </w:tc>
        <w:tc>
          <w:tcPr>
            <w:tcW w:w="677" w:type="dxa"/>
            <w:gridSpan w:val="2"/>
            <w:shd w:val="clear" w:color="auto" w:fill="D9D9D9" w:themeFill="background1" w:themeFillShade="D9"/>
            <w:textDirection w:val="btLr"/>
            <w:hideMark/>
          </w:tcPr>
          <w:p w14:paraId="3A322274" w14:textId="77777777" w:rsidR="007D4C6A" w:rsidRPr="009F6D1E" w:rsidRDefault="007D4C6A" w:rsidP="00574BA3">
            <w:pPr>
              <w:rPr>
                <w:b/>
                <w:bCs/>
              </w:rPr>
            </w:pPr>
            <w:proofErr w:type="spellStart"/>
            <w:r w:rsidRPr="009F6D1E">
              <w:rPr>
                <w:b/>
                <w:bCs/>
              </w:rPr>
              <w:t>заети</w:t>
            </w:r>
            <w:proofErr w:type="spellEnd"/>
            <w:r w:rsidRPr="009F6D1E">
              <w:rPr>
                <w:b/>
                <w:bCs/>
              </w:rPr>
              <w:t xml:space="preserve"> </w:t>
            </w:r>
            <w:proofErr w:type="spellStart"/>
            <w:r w:rsidRPr="009F6D1E">
              <w:rPr>
                <w:b/>
                <w:bCs/>
              </w:rPr>
              <w:t>лица</w:t>
            </w:r>
            <w:proofErr w:type="spellEnd"/>
          </w:p>
        </w:tc>
        <w:tc>
          <w:tcPr>
            <w:tcW w:w="674" w:type="dxa"/>
            <w:shd w:val="clear" w:color="auto" w:fill="D9D9D9" w:themeFill="background1" w:themeFillShade="D9"/>
            <w:textDirection w:val="btLr"/>
            <w:hideMark/>
          </w:tcPr>
          <w:p w14:paraId="306097DB" w14:textId="77777777" w:rsidR="007D4C6A" w:rsidRPr="009F6D1E" w:rsidRDefault="007D4C6A" w:rsidP="00574BA3">
            <w:pPr>
              <w:rPr>
                <w:b/>
                <w:bCs/>
              </w:rPr>
            </w:pPr>
            <w:proofErr w:type="spellStart"/>
            <w:r w:rsidRPr="009F6D1E">
              <w:rPr>
                <w:b/>
                <w:bCs/>
              </w:rPr>
              <w:t>наети</w:t>
            </w:r>
            <w:proofErr w:type="spellEnd"/>
            <w:r w:rsidRPr="009F6D1E">
              <w:rPr>
                <w:b/>
                <w:bCs/>
              </w:rPr>
              <w:t xml:space="preserve"> </w:t>
            </w:r>
            <w:proofErr w:type="spellStart"/>
            <w:r w:rsidRPr="009F6D1E">
              <w:rPr>
                <w:b/>
                <w:bCs/>
              </w:rPr>
              <w:t>лица</w:t>
            </w:r>
            <w:proofErr w:type="spellEnd"/>
          </w:p>
        </w:tc>
      </w:tr>
      <w:tr w:rsidR="00574BA3" w:rsidRPr="009F6D1E" w14:paraId="72A2E546" w14:textId="77777777" w:rsidTr="008F78D1">
        <w:trPr>
          <w:trHeight w:val="283"/>
        </w:trPr>
        <w:tc>
          <w:tcPr>
            <w:tcW w:w="1584" w:type="dxa"/>
            <w:hideMark/>
          </w:tcPr>
          <w:p w14:paraId="3289F537" w14:textId="77777777" w:rsidR="007D4C6A" w:rsidRPr="009F6D1E" w:rsidRDefault="007D4C6A" w:rsidP="00574BA3">
            <w:proofErr w:type="spellStart"/>
            <w:r w:rsidRPr="009F6D1E">
              <w:t>Активни</w:t>
            </w:r>
            <w:proofErr w:type="spellEnd"/>
          </w:p>
        </w:tc>
        <w:tc>
          <w:tcPr>
            <w:tcW w:w="681" w:type="dxa"/>
            <w:gridSpan w:val="2"/>
            <w:hideMark/>
          </w:tcPr>
          <w:p w14:paraId="71911692" w14:textId="77777777" w:rsidR="007D4C6A" w:rsidRPr="009F6D1E" w:rsidRDefault="007D4C6A" w:rsidP="00574BA3">
            <w:r w:rsidRPr="009F6D1E">
              <w:t>-</w:t>
            </w:r>
          </w:p>
        </w:tc>
        <w:tc>
          <w:tcPr>
            <w:tcW w:w="658" w:type="dxa"/>
            <w:gridSpan w:val="2"/>
            <w:hideMark/>
          </w:tcPr>
          <w:p w14:paraId="661BC5D7" w14:textId="77777777" w:rsidR="007D4C6A" w:rsidRPr="009F6D1E" w:rsidRDefault="007D4C6A" w:rsidP="00574BA3">
            <w:r w:rsidRPr="009F6D1E">
              <w:t>-</w:t>
            </w:r>
          </w:p>
        </w:tc>
        <w:tc>
          <w:tcPr>
            <w:tcW w:w="658" w:type="dxa"/>
            <w:hideMark/>
          </w:tcPr>
          <w:p w14:paraId="5281AB09" w14:textId="77777777" w:rsidR="007D4C6A" w:rsidRPr="009F6D1E" w:rsidRDefault="007D4C6A" w:rsidP="00574BA3">
            <w:r w:rsidRPr="009F6D1E">
              <w:t>-</w:t>
            </w:r>
          </w:p>
        </w:tc>
        <w:tc>
          <w:tcPr>
            <w:tcW w:w="681" w:type="dxa"/>
            <w:gridSpan w:val="2"/>
            <w:hideMark/>
          </w:tcPr>
          <w:p w14:paraId="538B619E" w14:textId="77777777" w:rsidR="007D4C6A" w:rsidRPr="009F6D1E" w:rsidRDefault="007D4C6A" w:rsidP="00574BA3">
            <w:r w:rsidRPr="009F6D1E">
              <w:t>1 877</w:t>
            </w:r>
          </w:p>
        </w:tc>
        <w:tc>
          <w:tcPr>
            <w:tcW w:w="671" w:type="dxa"/>
            <w:hideMark/>
          </w:tcPr>
          <w:p w14:paraId="252CD313" w14:textId="77777777" w:rsidR="007D4C6A" w:rsidRPr="009F6D1E" w:rsidRDefault="007D4C6A" w:rsidP="00574BA3">
            <w:r w:rsidRPr="009F6D1E">
              <w:t>32 189</w:t>
            </w:r>
          </w:p>
        </w:tc>
        <w:tc>
          <w:tcPr>
            <w:tcW w:w="674" w:type="dxa"/>
            <w:hideMark/>
          </w:tcPr>
          <w:p w14:paraId="43AA503A" w14:textId="77777777" w:rsidR="007D4C6A" w:rsidRPr="009F6D1E" w:rsidRDefault="007D4C6A" w:rsidP="00574BA3">
            <w:r w:rsidRPr="009F6D1E">
              <w:t>31 104</w:t>
            </w:r>
          </w:p>
        </w:tc>
        <w:tc>
          <w:tcPr>
            <w:tcW w:w="681" w:type="dxa"/>
            <w:gridSpan w:val="2"/>
            <w:hideMark/>
          </w:tcPr>
          <w:p w14:paraId="77D4901E" w14:textId="77777777" w:rsidR="007D4C6A" w:rsidRPr="009F6D1E" w:rsidRDefault="007D4C6A" w:rsidP="00574BA3">
            <w:r w:rsidRPr="009F6D1E">
              <w:t>1 877</w:t>
            </w:r>
          </w:p>
        </w:tc>
        <w:tc>
          <w:tcPr>
            <w:tcW w:w="671" w:type="dxa"/>
            <w:hideMark/>
          </w:tcPr>
          <w:p w14:paraId="30A9C0F1" w14:textId="77777777" w:rsidR="007D4C6A" w:rsidRPr="009F6D1E" w:rsidRDefault="007D4C6A" w:rsidP="00574BA3">
            <w:r w:rsidRPr="009F6D1E">
              <w:t>32 189</w:t>
            </w:r>
          </w:p>
        </w:tc>
        <w:tc>
          <w:tcPr>
            <w:tcW w:w="674" w:type="dxa"/>
            <w:hideMark/>
          </w:tcPr>
          <w:p w14:paraId="7B5BA2B5" w14:textId="77777777" w:rsidR="007D4C6A" w:rsidRPr="009F6D1E" w:rsidRDefault="007D4C6A" w:rsidP="00574BA3">
            <w:r w:rsidRPr="009F6D1E">
              <w:t>31 104</w:t>
            </w:r>
          </w:p>
        </w:tc>
        <w:tc>
          <w:tcPr>
            <w:tcW w:w="681" w:type="dxa"/>
            <w:gridSpan w:val="2"/>
            <w:hideMark/>
          </w:tcPr>
          <w:p w14:paraId="057DECB3" w14:textId="77777777" w:rsidR="007D4C6A" w:rsidRPr="009F6D1E" w:rsidRDefault="007D4C6A" w:rsidP="00574BA3">
            <w:r w:rsidRPr="009F6D1E">
              <w:t>1 773</w:t>
            </w:r>
          </w:p>
        </w:tc>
        <w:tc>
          <w:tcPr>
            <w:tcW w:w="671" w:type="dxa"/>
            <w:hideMark/>
          </w:tcPr>
          <w:p w14:paraId="4AEE34B7" w14:textId="77777777" w:rsidR="007D4C6A" w:rsidRPr="009F6D1E" w:rsidRDefault="007D4C6A" w:rsidP="00574BA3">
            <w:r w:rsidRPr="009F6D1E">
              <w:t>31 845</w:t>
            </w:r>
          </w:p>
        </w:tc>
        <w:tc>
          <w:tcPr>
            <w:tcW w:w="674" w:type="dxa"/>
            <w:hideMark/>
          </w:tcPr>
          <w:p w14:paraId="2F693855" w14:textId="77777777" w:rsidR="007D4C6A" w:rsidRPr="009F6D1E" w:rsidRDefault="007D4C6A" w:rsidP="00574BA3">
            <w:r w:rsidRPr="009F6D1E">
              <w:t>30 758</w:t>
            </w:r>
          </w:p>
        </w:tc>
      </w:tr>
      <w:tr w:rsidR="00574BA3" w:rsidRPr="009F6D1E" w14:paraId="0CAB4829" w14:textId="77777777" w:rsidTr="008F78D1">
        <w:trPr>
          <w:trHeight w:val="283"/>
        </w:trPr>
        <w:tc>
          <w:tcPr>
            <w:tcW w:w="1584" w:type="dxa"/>
            <w:hideMark/>
          </w:tcPr>
          <w:p w14:paraId="6E42AACF" w14:textId="77777777" w:rsidR="007D4C6A" w:rsidRPr="009F6D1E" w:rsidRDefault="007D4C6A" w:rsidP="00574BA3">
            <w:proofErr w:type="spellStart"/>
            <w:r w:rsidRPr="009F6D1E">
              <w:t>Родени</w:t>
            </w:r>
            <w:proofErr w:type="spellEnd"/>
          </w:p>
        </w:tc>
        <w:tc>
          <w:tcPr>
            <w:tcW w:w="681" w:type="dxa"/>
            <w:gridSpan w:val="2"/>
            <w:hideMark/>
          </w:tcPr>
          <w:p w14:paraId="0E9FB51F" w14:textId="77777777" w:rsidR="007D4C6A" w:rsidRPr="009F6D1E" w:rsidRDefault="007D4C6A" w:rsidP="00574BA3">
            <w:r w:rsidRPr="009F6D1E">
              <w:t>-</w:t>
            </w:r>
          </w:p>
        </w:tc>
        <w:tc>
          <w:tcPr>
            <w:tcW w:w="658" w:type="dxa"/>
            <w:gridSpan w:val="2"/>
            <w:hideMark/>
          </w:tcPr>
          <w:p w14:paraId="1FF42BB9" w14:textId="77777777" w:rsidR="007D4C6A" w:rsidRPr="009F6D1E" w:rsidRDefault="007D4C6A" w:rsidP="00574BA3">
            <w:r w:rsidRPr="009F6D1E">
              <w:t>-</w:t>
            </w:r>
          </w:p>
        </w:tc>
        <w:tc>
          <w:tcPr>
            <w:tcW w:w="658" w:type="dxa"/>
            <w:hideMark/>
          </w:tcPr>
          <w:p w14:paraId="753E1A4A" w14:textId="77777777" w:rsidR="007D4C6A" w:rsidRPr="009F6D1E" w:rsidRDefault="007D4C6A" w:rsidP="00574BA3">
            <w:r w:rsidRPr="009F6D1E">
              <w:t>-</w:t>
            </w:r>
          </w:p>
        </w:tc>
        <w:tc>
          <w:tcPr>
            <w:tcW w:w="681" w:type="dxa"/>
            <w:gridSpan w:val="2"/>
            <w:hideMark/>
          </w:tcPr>
          <w:p w14:paraId="6A839106" w14:textId="77777777" w:rsidR="007D4C6A" w:rsidRPr="009F6D1E" w:rsidRDefault="007D4C6A" w:rsidP="00574BA3">
            <w:r w:rsidRPr="009F6D1E">
              <w:t>71</w:t>
            </w:r>
          </w:p>
        </w:tc>
        <w:tc>
          <w:tcPr>
            <w:tcW w:w="671" w:type="dxa"/>
            <w:hideMark/>
          </w:tcPr>
          <w:p w14:paraId="545F9508" w14:textId="77777777" w:rsidR="007D4C6A" w:rsidRPr="009F6D1E" w:rsidRDefault="007D4C6A" w:rsidP="00574BA3">
            <w:r w:rsidRPr="009F6D1E">
              <w:t>55</w:t>
            </w:r>
          </w:p>
        </w:tc>
        <w:tc>
          <w:tcPr>
            <w:tcW w:w="674" w:type="dxa"/>
            <w:hideMark/>
          </w:tcPr>
          <w:p w14:paraId="71E5256D" w14:textId="77777777" w:rsidR="007D4C6A" w:rsidRPr="009F6D1E" w:rsidRDefault="007D4C6A" w:rsidP="00574BA3">
            <w:r w:rsidRPr="009F6D1E">
              <w:t>28</w:t>
            </w:r>
          </w:p>
        </w:tc>
        <w:tc>
          <w:tcPr>
            <w:tcW w:w="681" w:type="dxa"/>
            <w:gridSpan w:val="2"/>
            <w:hideMark/>
          </w:tcPr>
          <w:p w14:paraId="7ED9B869" w14:textId="77777777" w:rsidR="007D4C6A" w:rsidRPr="009F6D1E" w:rsidRDefault="007D4C6A" w:rsidP="00574BA3">
            <w:r w:rsidRPr="009F6D1E">
              <w:t>71</w:t>
            </w:r>
          </w:p>
        </w:tc>
        <w:tc>
          <w:tcPr>
            <w:tcW w:w="671" w:type="dxa"/>
            <w:hideMark/>
          </w:tcPr>
          <w:p w14:paraId="0184910E" w14:textId="77777777" w:rsidR="007D4C6A" w:rsidRPr="009F6D1E" w:rsidRDefault="007D4C6A" w:rsidP="00574BA3">
            <w:r w:rsidRPr="009F6D1E">
              <w:t>55</w:t>
            </w:r>
          </w:p>
        </w:tc>
        <w:tc>
          <w:tcPr>
            <w:tcW w:w="674" w:type="dxa"/>
            <w:hideMark/>
          </w:tcPr>
          <w:p w14:paraId="55BD71C5" w14:textId="77777777" w:rsidR="007D4C6A" w:rsidRPr="009F6D1E" w:rsidRDefault="007D4C6A" w:rsidP="00574BA3">
            <w:r w:rsidRPr="009F6D1E">
              <w:t>28</w:t>
            </w:r>
          </w:p>
        </w:tc>
        <w:tc>
          <w:tcPr>
            <w:tcW w:w="681" w:type="dxa"/>
            <w:gridSpan w:val="2"/>
            <w:hideMark/>
          </w:tcPr>
          <w:p w14:paraId="5FC2686F" w14:textId="77777777" w:rsidR="007D4C6A" w:rsidRPr="009F6D1E" w:rsidRDefault="007D4C6A" w:rsidP="00574BA3">
            <w:r w:rsidRPr="009F6D1E">
              <w:t>50</w:t>
            </w:r>
          </w:p>
        </w:tc>
        <w:tc>
          <w:tcPr>
            <w:tcW w:w="671" w:type="dxa"/>
            <w:hideMark/>
          </w:tcPr>
          <w:p w14:paraId="402D55C6" w14:textId="77777777" w:rsidR="007D4C6A" w:rsidRPr="009F6D1E" w:rsidRDefault="007D4C6A" w:rsidP="00574BA3">
            <w:r w:rsidRPr="009F6D1E">
              <w:t>43</w:t>
            </w:r>
          </w:p>
        </w:tc>
        <w:tc>
          <w:tcPr>
            <w:tcW w:w="674" w:type="dxa"/>
            <w:hideMark/>
          </w:tcPr>
          <w:p w14:paraId="2640528A" w14:textId="77777777" w:rsidR="007D4C6A" w:rsidRPr="009F6D1E" w:rsidRDefault="007D4C6A" w:rsidP="00574BA3">
            <w:r w:rsidRPr="009F6D1E">
              <w:t>21</w:t>
            </w:r>
          </w:p>
        </w:tc>
      </w:tr>
      <w:tr w:rsidR="00574BA3" w:rsidRPr="009F6D1E" w14:paraId="66569154" w14:textId="77777777" w:rsidTr="008F78D1">
        <w:trPr>
          <w:trHeight w:val="283"/>
        </w:trPr>
        <w:tc>
          <w:tcPr>
            <w:tcW w:w="1584" w:type="dxa"/>
            <w:hideMark/>
          </w:tcPr>
          <w:p w14:paraId="21FC0013" w14:textId="77777777" w:rsidR="007D4C6A" w:rsidRPr="009F6D1E" w:rsidRDefault="007D4C6A" w:rsidP="00574BA3">
            <w:proofErr w:type="spellStart"/>
            <w:r w:rsidRPr="009F6D1E">
              <w:t>Оцелели</w:t>
            </w:r>
            <w:proofErr w:type="spellEnd"/>
          </w:p>
        </w:tc>
        <w:tc>
          <w:tcPr>
            <w:tcW w:w="681" w:type="dxa"/>
            <w:gridSpan w:val="2"/>
            <w:hideMark/>
          </w:tcPr>
          <w:p w14:paraId="5B9B8EB3" w14:textId="77777777" w:rsidR="007D4C6A" w:rsidRPr="009F6D1E" w:rsidRDefault="007D4C6A" w:rsidP="00574BA3">
            <w:r w:rsidRPr="009F6D1E">
              <w:t>31</w:t>
            </w:r>
          </w:p>
        </w:tc>
        <w:tc>
          <w:tcPr>
            <w:tcW w:w="658" w:type="dxa"/>
            <w:gridSpan w:val="2"/>
            <w:hideMark/>
          </w:tcPr>
          <w:p w14:paraId="79BE52E6" w14:textId="77777777" w:rsidR="007D4C6A" w:rsidRPr="009F6D1E" w:rsidRDefault="007D4C6A" w:rsidP="00574BA3">
            <w:r w:rsidRPr="009F6D1E">
              <w:t>60</w:t>
            </w:r>
          </w:p>
        </w:tc>
        <w:tc>
          <w:tcPr>
            <w:tcW w:w="658" w:type="dxa"/>
            <w:hideMark/>
          </w:tcPr>
          <w:p w14:paraId="157F34A6" w14:textId="77777777" w:rsidR="007D4C6A" w:rsidRPr="009F6D1E" w:rsidRDefault="007D4C6A" w:rsidP="00574BA3">
            <w:r w:rsidRPr="009F6D1E">
              <w:t>32</w:t>
            </w:r>
          </w:p>
        </w:tc>
        <w:tc>
          <w:tcPr>
            <w:tcW w:w="681" w:type="dxa"/>
            <w:gridSpan w:val="2"/>
            <w:hideMark/>
          </w:tcPr>
          <w:p w14:paraId="4C1377C8" w14:textId="77777777" w:rsidR="007D4C6A" w:rsidRPr="009F6D1E" w:rsidRDefault="007D4C6A" w:rsidP="00574BA3">
            <w:r w:rsidRPr="009F6D1E">
              <w:t>31</w:t>
            </w:r>
          </w:p>
        </w:tc>
        <w:tc>
          <w:tcPr>
            <w:tcW w:w="671" w:type="dxa"/>
            <w:hideMark/>
          </w:tcPr>
          <w:p w14:paraId="21E70555" w14:textId="77777777" w:rsidR="007D4C6A" w:rsidRPr="009F6D1E" w:rsidRDefault="007D4C6A" w:rsidP="00574BA3">
            <w:r w:rsidRPr="009F6D1E">
              <w:t>60</w:t>
            </w:r>
          </w:p>
        </w:tc>
        <w:tc>
          <w:tcPr>
            <w:tcW w:w="674" w:type="dxa"/>
            <w:hideMark/>
          </w:tcPr>
          <w:p w14:paraId="36C440E8" w14:textId="77777777" w:rsidR="007D4C6A" w:rsidRPr="009F6D1E" w:rsidRDefault="007D4C6A" w:rsidP="00574BA3">
            <w:r w:rsidRPr="009F6D1E">
              <w:t>32</w:t>
            </w:r>
          </w:p>
        </w:tc>
        <w:tc>
          <w:tcPr>
            <w:tcW w:w="681" w:type="dxa"/>
            <w:gridSpan w:val="2"/>
            <w:hideMark/>
          </w:tcPr>
          <w:p w14:paraId="21FAD282" w14:textId="77777777" w:rsidR="007D4C6A" w:rsidRPr="009F6D1E" w:rsidRDefault="007D4C6A" w:rsidP="00574BA3">
            <w:r w:rsidRPr="009F6D1E">
              <w:t>48</w:t>
            </w:r>
          </w:p>
        </w:tc>
        <w:tc>
          <w:tcPr>
            <w:tcW w:w="671" w:type="dxa"/>
            <w:hideMark/>
          </w:tcPr>
          <w:p w14:paraId="2E6A90FB" w14:textId="77777777" w:rsidR="007D4C6A" w:rsidRPr="009F6D1E" w:rsidRDefault="007D4C6A" w:rsidP="00574BA3">
            <w:r w:rsidRPr="009F6D1E">
              <w:t>38</w:t>
            </w:r>
          </w:p>
        </w:tc>
        <w:tc>
          <w:tcPr>
            <w:tcW w:w="674" w:type="dxa"/>
            <w:hideMark/>
          </w:tcPr>
          <w:p w14:paraId="4948B929" w14:textId="77777777" w:rsidR="007D4C6A" w:rsidRPr="009F6D1E" w:rsidRDefault="007D4C6A" w:rsidP="00574BA3">
            <w:r w:rsidRPr="009F6D1E">
              <w:t>59</w:t>
            </w:r>
          </w:p>
        </w:tc>
        <w:tc>
          <w:tcPr>
            <w:tcW w:w="681" w:type="dxa"/>
            <w:gridSpan w:val="2"/>
          </w:tcPr>
          <w:p w14:paraId="05F43AC8" w14:textId="77777777" w:rsidR="007D4C6A" w:rsidRPr="009F6D1E" w:rsidRDefault="007D4C6A" w:rsidP="00574BA3"/>
        </w:tc>
        <w:tc>
          <w:tcPr>
            <w:tcW w:w="671" w:type="dxa"/>
          </w:tcPr>
          <w:p w14:paraId="057FB8D1" w14:textId="77777777" w:rsidR="007D4C6A" w:rsidRPr="009F6D1E" w:rsidRDefault="007D4C6A" w:rsidP="00574BA3"/>
        </w:tc>
        <w:tc>
          <w:tcPr>
            <w:tcW w:w="674" w:type="dxa"/>
          </w:tcPr>
          <w:p w14:paraId="0FE1D935" w14:textId="77777777" w:rsidR="007D4C6A" w:rsidRPr="009F6D1E" w:rsidRDefault="007D4C6A" w:rsidP="00574BA3"/>
        </w:tc>
      </w:tr>
      <w:tr w:rsidR="00574BA3" w:rsidRPr="009F6D1E" w14:paraId="399827C1" w14:textId="77777777" w:rsidTr="008F78D1">
        <w:trPr>
          <w:trHeight w:val="283"/>
        </w:trPr>
        <w:tc>
          <w:tcPr>
            <w:tcW w:w="1584" w:type="dxa"/>
            <w:hideMark/>
          </w:tcPr>
          <w:p w14:paraId="221243DF" w14:textId="77777777" w:rsidR="007D4C6A" w:rsidRPr="009F6D1E" w:rsidRDefault="007D4C6A" w:rsidP="00574BA3">
            <w:proofErr w:type="spellStart"/>
            <w:r w:rsidRPr="009F6D1E">
              <w:t>Умрели</w:t>
            </w:r>
            <w:proofErr w:type="spellEnd"/>
          </w:p>
        </w:tc>
        <w:tc>
          <w:tcPr>
            <w:tcW w:w="681" w:type="dxa"/>
            <w:gridSpan w:val="2"/>
            <w:hideMark/>
          </w:tcPr>
          <w:p w14:paraId="31C27B42" w14:textId="77777777" w:rsidR="007D4C6A" w:rsidRPr="009F6D1E" w:rsidRDefault="007D4C6A" w:rsidP="00574BA3">
            <w:r w:rsidRPr="009F6D1E">
              <w:t>125</w:t>
            </w:r>
          </w:p>
        </w:tc>
        <w:tc>
          <w:tcPr>
            <w:tcW w:w="658" w:type="dxa"/>
            <w:gridSpan w:val="2"/>
            <w:hideMark/>
          </w:tcPr>
          <w:p w14:paraId="0CFF6421" w14:textId="77777777" w:rsidR="007D4C6A" w:rsidRPr="009F6D1E" w:rsidRDefault="007D4C6A" w:rsidP="00574BA3">
            <w:r w:rsidRPr="009F6D1E">
              <w:t>79</w:t>
            </w:r>
          </w:p>
        </w:tc>
        <w:tc>
          <w:tcPr>
            <w:tcW w:w="658" w:type="dxa"/>
            <w:hideMark/>
          </w:tcPr>
          <w:p w14:paraId="3CB0EE9A" w14:textId="77777777" w:rsidR="007D4C6A" w:rsidRPr="009F6D1E" w:rsidRDefault="007D4C6A" w:rsidP="00574BA3">
            <w:r w:rsidRPr="009F6D1E">
              <w:t>52</w:t>
            </w:r>
          </w:p>
        </w:tc>
        <w:tc>
          <w:tcPr>
            <w:tcW w:w="681" w:type="dxa"/>
            <w:gridSpan w:val="2"/>
            <w:hideMark/>
          </w:tcPr>
          <w:p w14:paraId="6ABE4EA7" w14:textId="77777777" w:rsidR="007D4C6A" w:rsidRPr="009F6D1E" w:rsidRDefault="007D4C6A" w:rsidP="00574BA3">
            <w:r w:rsidRPr="009F6D1E">
              <w:t>125</w:t>
            </w:r>
          </w:p>
        </w:tc>
        <w:tc>
          <w:tcPr>
            <w:tcW w:w="671" w:type="dxa"/>
            <w:hideMark/>
          </w:tcPr>
          <w:p w14:paraId="21DC4C2A" w14:textId="77777777" w:rsidR="007D4C6A" w:rsidRPr="009F6D1E" w:rsidRDefault="007D4C6A" w:rsidP="00574BA3">
            <w:r w:rsidRPr="009F6D1E">
              <w:t>79</w:t>
            </w:r>
          </w:p>
        </w:tc>
        <w:tc>
          <w:tcPr>
            <w:tcW w:w="674" w:type="dxa"/>
            <w:hideMark/>
          </w:tcPr>
          <w:p w14:paraId="1B62A587" w14:textId="77777777" w:rsidR="007D4C6A" w:rsidRPr="009F6D1E" w:rsidRDefault="007D4C6A" w:rsidP="00574BA3">
            <w:r w:rsidRPr="009F6D1E">
              <w:t>52</w:t>
            </w:r>
          </w:p>
        </w:tc>
        <w:tc>
          <w:tcPr>
            <w:tcW w:w="681" w:type="dxa"/>
            <w:gridSpan w:val="2"/>
            <w:hideMark/>
          </w:tcPr>
          <w:p w14:paraId="3274DD59" w14:textId="77777777" w:rsidR="007D4C6A" w:rsidRPr="009F6D1E" w:rsidRDefault="007D4C6A" w:rsidP="00574BA3">
            <w:r w:rsidRPr="009F6D1E">
              <w:t>47</w:t>
            </w:r>
          </w:p>
        </w:tc>
        <w:tc>
          <w:tcPr>
            <w:tcW w:w="671" w:type="dxa"/>
            <w:hideMark/>
          </w:tcPr>
          <w:p w14:paraId="485C66BD" w14:textId="77777777" w:rsidR="007D4C6A" w:rsidRPr="009F6D1E" w:rsidRDefault="007D4C6A" w:rsidP="00574BA3">
            <w:r w:rsidRPr="009F6D1E">
              <w:t>56</w:t>
            </w:r>
          </w:p>
        </w:tc>
        <w:tc>
          <w:tcPr>
            <w:tcW w:w="674" w:type="dxa"/>
            <w:hideMark/>
          </w:tcPr>
          <w:p w14:paraId="1BDE3E79" w14:textId="77777777" w:rsidR="007D4C6A" w:rsidRPr="009F6D1E" w:rsidRDefault="007D4C6A" w:rsidP="00574BA3">
            <w:r w:rsidRPr="009F6D1E">
              <w:t>39</w:t>
            </w:r>
          </w:p>
        </w:tc>
        <w:tc>
          <w:tcPr>
            <w:tcW w:w="681" w:type="dxa"/>
            <w:gridSpan w:val="2"/>
          </w:tcPr>
          <w:p w14:paraId="380F6B52" w14:textId="77777777" w:rsidR="007D4C6A" w:rsidRPr="009F6D1E" w:rsidRDefault="007D4C6A" w:rsidP="00574BA3"/>
        </w:tc>
        <w:tc>
          <w:tcPr>
            <w:tcW w:w="671" w:type="dxa"/>
          </w:tcPr>
          <w:p w14:paraId="4294E794" w14:textId="77777777" w:rsidR="007D4C6A" w:rsidRPr="009F6D1E" w:rsidRDefault="007D4C6A" w:rsidP="00574BA3"/>
        </w:tc>
        <w:tc>
          <w:tcPr>
            <w:tcW w:w="674" w:type="dxa"/>
          </w:tcPr>
          <w:p w14:paraId="6584FAD8" w14:textId="77777777" w:rsidR="007D4C6A" w:rsidRPr="009F6D1E" w:rsidRDefault="007D4C6A" w:rsidP="00574BA3"/>
        </w:tc>
      </w:tr>
      <w:tr w:rsidR="00574BA3" w:rsidRPr="009F6D1E" w14:paraId="53DA86EE" w14:textId="77777777" w:rsidTr="008F78D1">
        <w:trPr>
          <w:trHeight w:val="283"/>
        </w:trPr>
        <w:tc>
          <w:tcPr>
            <w:tcW w:w="9659" w:type="dxa"/>
            <w:gridSpan w:val="18"/>
            <w:hideMark/>
          </w:tcPr>
          <w:p w14:paraId="1D39F78C" w14:textId="77777777" w:rsidR="007D4C6A" w:rsidRPr="009F6D1E" w:rsidRDefault="007D4C6A" w:rsidP="00574BA3">
            <w:proofErr w:type="spellStart"/>
            <w:r w:rsidRPr="009F6D1E">
              <w:t>Процент</w:t>
            </w:r>
            <w:proofErr w:type="spellEnd"/>
            <w:r w:rsidRPr="009F6D1E">
              <w:t xml:space="preserve"> </w:t>
            </w:r>
            <w:proofErr w:type="spellStart"/>
            <w:r w:rsidRPr="009F6D1E">
              <w:t>към</w:t>
            </w:r>
            <w:proofErr w:type="spellEnd"/>
            <w:r w:rsidRPr="009F6D1E">
              <w:t xml:space="preserve"> </w:t>
            </w:r>
            <w:proofErr w:type="spellStart"/>
            <w:r w:rsidRPr="009F6D1E">
              <w:t>всички</w:t>
            </w:r>
            <w:proofErr w:type="spellEnd"/>
            <w:r w:rsidRPr="009F6D1E">
              <w:t xml:space="preserve"> </w:t>
            </w:r>
            <w:proofErr w:type="spellStart"/>
            <w:r w:rsidRPr="009F6D1E">
              <w:t>икономически</w:t>
            </w:r>
            <w:proofErr w:type="spellEnd"/>
            <w:r w:rsidRPr="009F6D1E">
              <w:t xml:space="preserve"> </w:t>
            </w:r>
            <w:proofErr w:type="spellStart"/>
            <w:r w:rsidRPr="009F6D1E">
              <w:t>сектори</w:t>
            </w:r>
            <w:proofErr w:type="spellEnd"/>
            <w:r w:rsidRPr="009F6D1E">
              <w:t xml:space="preserve"> </w:t>
            </w:r>
            <w:proofErr w:type="spellStart"/>
            <w:r w:rsidRPr="009F6D1E">
              <w:t>за</w:t>
            </w:r>
            <w:proofErr w:type="spellEnd"/>
            <w:r w:rsidRPr="009F6D1E">
              <w:t xml:space="preserve"> </w:t>
            </w:r>
            <w:proofErr w:type="spellStart"/>
            <w:r w:rsidRPr="009F6D1E">
              <w:t>съответната</w:t>
            </w:r>
            <w:proofErr w:type="spellEnd"/>
            <w:r w:rsidRPr="009F6D1E">
              <w:t xml:space="preserve"> </w:t>
            </w:r>
            <w:proofErr w:type="spellStart"/>
            <w:r w:rsidRPr="009F6D1E">
              <w:t>година</w:t>
            </w:r>
            <w:proofErr w:type="spellEnd"/>
          </w:p>
        </w:tc>
      </w:tr>
      <w:tr w:rsidR="00574BA3" w:rsidRPr="009F6D1E" w14:paraId="31B2DFDD" w14:textId="77777777" w:rsidTr="008F78D1">
        <w:trPr>
          <w:trHeight w:val="283"/>
        </w:trPr>
        <w:tc>
          <w:tcPr>
            <w:tcW w:w="1584" w:type="dxa"/>
            <w:hideMark/>
          </w:tcPr>
          <w:p w14:paraId="017746D6" w14:textId="77777777" w:rsidR="007D4C6A" w:rsidRPr="009F6D1E" w:rsidRDefault="007D4C6A" w:rsidP="00574BA3">
            <w:proofErr w:type="spellStart"/>
            <w:r w:rsidRPr="009F6D1E">
              <w:t>Активни</w:t>
            </w:r>
            <w:proofErr w:type="spellEnd"/>
            <w:r w:rsidRPr="009F6D1E">
              <w:t>/</w:t>
            </w:r>
            <w:proofErr w:type="spellStart"/>
            <w:r w:rsidRPr="009F6D1E">
              <w:t>Всички</w:t>
            </w:r>
            <w:proofErr w:type="spellEnd"/>
          </w:p>
        </w:tc>
        <w:tc>
          <w:tcPr>
            <w:tcW w:w="681" w:type="dxa"/>
            <w:gridSpan w:val="2"/>
          </w:tcPr>
          <w:p w14:paraId="57E52235" w14:textId="77777777" w:rsidR="007D4C6A" w:rsidRPr="009F6D1E" w:rsidRDefault="007D4C6A" w:rsidP="00574BA3"/>
        </w:tc>
        <w:tc>
          <w:tcPr>
            <w:tcW w:w="658" w:type="dxa"/>
            <w:gridSpan w:val="2"/>
          </w:tcPr>
          <w:p w14:paraId="0C5E3A61" w14:textId="77777777" w:rsidR="007D4C6A" w:rsidRPr="009F6D1E" w:rsidRDefault="007D4C6A" w:rsidP="00574BA3"/>
        </w:tc>
        <w:tc>
          <w:tcPr>
            <w:tcW w:w="658" w:type="dxa"/>
          </w:tcPr>
          <w:p w14:paraId="15F24221" w14:textId="77777777" w:rsidR="007D4C6A" w:rsidRPr="009F6D1E" w:rsidRDefault="007D4C6A" w:rsidP="00574BA3"/>
        </w:tc>
        <w:tc>
          <w:tcPr>
            <w:tcW w:w="681" w:type="dxa"/>
            <w:gridSpan w:val="2"/>
            <w:hideMark/>
          </w:tcPr>
          <w:p w14:paraId="09DFA9E2" w14:textId="77777777" w:rsidR="007D4C6A" w:rsidRPr="009F6D1E" w:rsidRDefault="007D4C6A" w:rsidP="00574BA3">
            <w:r w:rsidRPr="009F6D1E">
              <w:t>0.54%</w:t>
            </w:r>
          </w:p>
        </w:tc>
        <w:tc>
          <w:tcPr>
            <w:tcW w:w="671" w:type="dxa"/>
          </w:tcPr>
          <w:p w14:paraId="6484F7ED" w14:textId="77777777" w:rsidR="007D4C6A" w:rsidRPr="009F6D1E" w:rsidRDefault="007D4C6A" w:rsidP="00574BA3"/>
        </w:tc>
        <w:tc>
          <w:tcPr>
            <w:tcW w:w="674" w:type="dxa"/>
          </w:tcPr>
          <w:p w14:paraId="5C281B1C" w14:textId="77777777" w:rsidR="007D4C6A" w:rsidRPr="009F6D1E" w:rsidRDefault="007D4C6A" w:rsidP="00574BA3"/>
        </w:tc>
        <w:tc>
          <w:tcPr>
            <w:tcW w:w="681" w:type="dxa"/>
            <w:gridSpan w:val="2"/>
            <w:hideMark/>
          </w:tcPr>
          <w:p w14:paraId="09A4DD1D" w14:textId="77777777" w:rsidR="007D4C6A" w:rsidRPr="009F6D1E" w:rsidRDefault="007D4C6A" w:rsidP="00574BA3">
            <w:r w:rsidRPr="009F6D1E">
              <w:t>0.51%</w:t>
            </w:r>
          </w:p>
        </w:tc>
        <w:tc>
          <w:tcPr>
            <w:tcW w:w="671" w:type="dxa"/>
          </w:tcPr>
          <w:p w14:paraId="14C35025" w14:textId="77777777" w:rsidR="007D4C6A" w:rsidRPr="009F6D1E" w:rsidRDefault="007D4C6A" w:rsidP="00574BA3"/>
        </w:tc>
        <w:tc>
          <w:tcPr>
            <w:tcW w:w="674" w:type="dxa"/>
          </w:tcPr>
          <w:p w14:paraId="23E64E2B" w14:textId="77777777" w:rsidR="007D4C6A" w:rsidRPr="009F6D1E" w:rsidRDefault="007D4C6A" w:rsidP="00574BA3"/>
        </w:tc>
        <w:tc>
          <w:tcPr>
            <w:tcW w:w="681" w:type="dxa"/>
            <w:gridSpan w:val="2"/>
            <w:hideMark/>
          </w:tcPr>
          <w:p w14:paraId="5551A056" w14:textId="77777777" w:rsidR="007D4C6A" w:rsidRPr="009F6D1E" w:rsidRDefault="007D4C6A" w:rsidP="00574BA3">
            <w:r w:rsidRPr="009F6D1E">
              <w:t>0.50%</w:t>
            </w:r>
          </w:p>
        </w:tc>
        <w:tc>
          <w:tcPr>
            <w:tcW w:w="671" w:type="dxa"/>
          </w:tcPr>
          <w:p w14:paraId="3780DF7B" w14:textId="77777777" w:rsidR="007D4C6A" w:rsidRPr="009F6D1E" w:rsidRDefault="007D4C6A" w:rsidP="00574BA3"/>
        </w:tc>
        <w:tc>
          <w:tcPr>
            <w:tcW w:w="674" w:type="dxa"/>
          </w:tcPr>
          <w:p w14:paraId="660A3C29" w14:textId="77777777" w:rsidR="007D4C6A" w:rsidRPr="009F6D1E" w:rsidRDefault="007D4C6A" w:rsidP="00574BA3"/>
        </w:tc>
      </w:tr>
      <w:tr w:rsidR="00574BA3" w:rsidRPr="009F6D1E" w14:paraId="202E3BAD" w14:textId="77777777" w:rsidTr="008F78D1">
        <w:trPr>
          <w:trHeight w:val="283"/>
        </w:trPr>
        <w:tc>
          <w:tcPr>
            <w:tcW w:w="1584" w:type="dxa"/>
            <w:hideMark/>
          </w:tcPr>
          <w:p w14:paraId="3642FB80" w14:textId="77777777" w:rsidR="007D4C6A" w:rsidRPr="009F6D1E" w:rsidRDefault="007D4C6A" w:rsidP="00574BA3">
            <w:proofErr w:type="spellStart"/>
            <w:r w:rsidRPr="009F6D1E">
              <w:t>Родени</w:t>
            </w:r>
            <w:proofErr w:type="spellEnd"/>
            <w:r w:rsidRPr="009F6D1E">
              <w:t>/</w:t>
            </w:r>
            <w:proofErr w:type="spellStart"/>
            <w:r w:rsidRPr="009F6D1E">
              <w:t>Всички</w:t>
            </w:r>
            <w:proofErr w:type="spellEnd"/>
          </w:p>
        </w:tc>
        <w:tc>
          <w:tcPr>
            <w:tcW w:w="681" w:type="dxa"/>
            <w:gridSpan w:val="2"/>
          </w:tcPr>
          <w:p w14:paraId="42B72BA6" w14:textId="77777777" w:rsidR="007D4C6A" w:rsidRPr="009F6D1E" w:rsidRDefault="007D4C6A" w:rsidP="00574BA3"/>
        </w:tc>
        <w:tc>
          <w:tcPr>
            <w:tcW w:w="658" w:type="dxa"/>
            <w:gridSpan w:val="2"/>
          </w:tcPr>
          <w:p w14:paraId="08126A75" w14:textId="77777777" w:rsidR="007D4C6A" w:rsidRPr="009F6D1E" w:rsidRDefault="007D4C6A" w:rsidP="00574BA3"/>
        </w:tc>
        <w:tc>
          <w:tcPr>
            <w:tcW w:w="658" w:type="dxa"/>
          </w:tcPr>
          <w:p w14:paraId="458AB43D" w14:textId="77777777" w:rsidR="007D4C6A" w:rsidRPr="009F6D1E" w:rsidRDefault="007D4C6A" w:rsidP="00574BA3"/>
        </w:tc>
        <w:tc>
          <w:tcPr>
            <w:tcW w:w="681" w:type="dxa"/>
            <w:gridSpan w:val="2"/>
            <w:hideMark/>
          </w:tcPr>
          <w:p w14:paraId="753168AA" w14:textId="77777777" w:rsidR="007D4C6A" w:rsidRPr="009F6D1E" w:rsidRDefault="007D4C6A" w:rsidP="00574BA3">
            <w:r w:rsidRPr="009F6D1E">
              <w:t>16%</w:t>
            </w:r>
          </w:p>
        </w:tc>
        <w:tc>
          <w:tcPr>
            <w:tcW w:w="671" w:type="dxa"/>
          </w:tcPr>
          <w:p w14:paraId="0389402A" w14:textId="77777777" w:rsidR="007D4C6A" w:rsidRPr="009F6D1E" w:rsidRDefault="007D4C6A" w:rsidP="00574BA3"/>
        </w:tc>
        <w:tc>
          <w:tcPr>
            <w:tcW w:w="674" w:type="dxa"/>
          </w:tcPr>
          <w:p w14:paraId="436F4F38" w14:textId="77777777" w:rsidR="007D4C6A" w:rsidRPr="009F6D1E" w:rsidRDefault="007D4C6A" w:rsidP="00574BA3"/>
        </w:tc>
        <w:tc>
          <w:tcPr>
            <w:tcW w:w="681" w:type="dxa"/>
            <w:gridSpan w:val="2"/>
            <w:hideMark/>
          </w:tcPr>
          <w:p w14:paraId="203EE785" w14:textId="77777777" w:rsidR="007D4C6A" w:rsidRPr="009F6D1E" w:rsidRDefault="007D4C6A" w:rsidP="00574BA3">
            <w:r w:rsidRPr="009F6D1E">
              <w:t>14%</w:t>
            </w:r>
          </w:p>
        </w:tc>
        <w:tc>
          <w:tcPr>
            <w:tcW w:w="671" w:type="dxa"/>
          </w:tcPr>
          <w:p w14:paraId="28449A6E" w14:textId="77777777" w:rsidR="007D4C6A" w:rsidRPr="009F6D1E" w:rsidRDefault="007D4C6A" w:rsidP="00574BA3"/>
        </w:tc>
        <w:tc>
          <w:tcPr>
            <w:tcW w:w="674" w:type="dxa"/>
          </w:tcPr>
          <w:p w14:paraId="6AE541E1" w14:textId="77777777" w:rsidR="007D4C6A" w:rsidRPr="009F6D1E" w:rsidRDefault="007D4C6A" w:rsidP="00574BA3"/>
        </w:tc>
        <w:tc>
          <w:tcPr>
            <w:tcW w:w="681" w:type="dxa"/>
            <w:gridSpan w:val="2"/>
            <w:hideMark/>
          </w:tcPr>
          <w:p w14:paraId="781D3F5C" w14:textId="77777777" w:rsidR="007D4C6A" w:rsidRPr="009F6D1E" w:rsidRDefault="007D4C6A" w:rsidP="00574BA3">
            <w:r w:rsidRPr="009F6D1E">
              <w:t>12%</w:t>
            </w:r>
          </w:p>
        </w:tc>
        <w:tc>
          <w:tcPr>
            <w:tcW w:w="671" w:type="dxa"/>
          </w:tcPr>
          <w:p w14:paraId="1514988C" w14:textId="77777777" w:rsidR="007D4C6A" w:rsidRPr="009F6D1E" w:rsidRDefault="007D4C6A" w:rsidP="00574BA3"/>
        </w:tc>
        <w:tc>
          <w:tcPr>
            <w:tcW w:w="674" w:type="dxa"/>
          </w:tcPr>
          <w:p w14:paraId="522CEA88" w14:textId="77777777" w:rsidR="007D4C6A" w:rsidRPr="009F6D1E" w:rsidRDefault="007D4C6A" w:rsidP="00574BA3"/>
        </w:tc>
      </w:tr>
      <w:tr w:rsidR="00574BA3" w:rsidRPr="009F6D1E" w14:paraId="249BC1E3" w14:textId="77777777" w:rsidTr="008F78D1">
        <w:trPr>
          <w:trHeight w:val="283"/>
        </w:trPr>
        <w:tc>
          <w:tcPr>
            <w:tcW w:w="1584" w:type="dxa"/>
            <w:hideMark/>
          </w:tcPr>
          <w:p w14:paraId="28B40E47" w14:textId="77777777" w:rsidR="007D4C6A" w:rsidRPr="009F6D1E" w:rsidRDefault="007D4C6A" w:rsidP="00574BA3">
            <w:proofErr w:type="spellStart"/>
            <w:r w:rsidRPr="009F6D1E">
              <w:t>Оцелели</w:t>
            </w:r>
            <w:proofErr w:type="spellEnd"/>
            <w:r w:rsidRPr="009F6D1E">
              <w:t>/</w:t>
            </w:r>
            <w:proofErr w:type="spellStart"/>
            <w:r w:rsidRPr="009F6D1E">
              <w:t>Всички</w:t>
            </w:r>
            <w:proofErr w:type="spellEnd"/>
          </w:p>
        </w:tc>
        <w:tc>
          <w:tcPr>
            <w:tcW w:w="681" w:type="dxa"/>
            <w:gridSpan w:val="2"/>
            <w:hideMark/>
          </w:tcPr>
          <w:p w14:paraId="1E9476A3" w14:textId="77777777" w:rsidR="007D4C6A" w:rsidRPr="009F6D1E" w:rsidRDefault="007D4C6A" w:rsidP="00574BA3">
            <w:r w:rsidRPr="009F6D1E">
              <w:t>0.12%</w:t>
            </w:r>
          </w:p>
        </w:tc>
        <w:tc>
          <w:tcPr>
            <w:tcW w:w="658" w:type="dxa"/>
            <w:gridSpan w:val="2"/>
          </w:tcPr>
          <w:p w14:paraId="40981193" w14:textId="77777777" w:rsidR="007D4C6A" w:rsidRPr="009F6D1E" w:rsidRDefault="007D4C6A" w:rsidP="00574BA3"/>
        </w:tc>
        <w:tc>
          <w:tcPr>
            <w:tcW w:w="658" w:type="dxa"/>
          </w:tcPr>
          <w:p w14:paraId="24E6FD62" w14:textId="77777777" w:rsidR="007D4C6A" w:rsidRPr="009F6D1E" w:rsidRDefault="007D4C6A" w:rsidP="00574BA3"/>
        </w:tc>
        <w:tc>
          <w:tcPr>
            <w:tcW w:w="681" w:type="dxa"/>
            <w:gridSpan w:val="2"/>
            <w:hideMark/>
          </w:tcPr>
          <w:p w14:paraId="4C936F4B" w14:textId="77777777" w:rsidR="007D4C6A" w:rsidRPr="009F6D1E" w:rsidRDefault="007D4C6A" w:rsidP="00574BA3">
            <w:r w:rsidRPr="009F6D1E">
              <w:t>0.11%</w:t>
            </w:r>
          </w:p>
        </w:tc>
        <w:tc>
          <w:tcPr>
            <w:tcW w:w="671" w:type="dxa"/>
          </w:tcPr>
          <w:p w14:paraId="4F217027" w14:textId="77777777" w:rsidR="007D4C6A" w:rsidRPr="009F6D1E" w:rsidRDefault="007D4C6A" w:rsidP="00574BA3"/>
        </w:tc>
        <w:tc>
          <w:tcPr>
            <w:tcW w:w="674" w:type="dxa"/>
          </w:tcPr>
          <w:p w14:paraId="50D87530" w14:textId="77777777" w:rsidR="007D4C6A" w:rsidRPr="009F6D1E" w:rsidRDefault="007D4C6A" w:rsidP="00574BA3"/>
        </w:tc>
        <w:tc>
          <w:tcPr>
            <w:tcW w:w="681" w:type="dxa"/>
            <w:gridSpan w:val="2"/>
            <w:hideMark/>
          </w:tcPr>
          <w:p w14:paraId="1B14974B" w14:textId="77777777" w:rsidR="007D4C6A" w:rsidRPr="009F6D1E" w:rsidRDefault="007D4C6A" w:rsidP="00574BA3">
            <w:r w:rsidRPr="009F6D1E">
              <w:t>0.14%</w:t>
            </w:r>
          </w:p>
        </w:tc>
        <w:tc>
          <w:tcPr>
            <w:tcW w:w="671" w:type="dxa"/>
          </w:tcPr>
          <w:p w14:paraId="7FFCDE73" w14:textId="77777777" w:rsidR="007D4C6A" w:rsidRPr="009F6D1E" w:rsidRDefault="007D4C6A" w:rsidP="00574BA3"/>
        </w:tc>
        <w:tc>
          <w:tcPr>
            <w:tcW w:w="674" w:type="dxa"/>
          </w:tcPr>
          <w:p w14:paraId="22EEE98D" w14:textId="77777777" w:rsidR="007D4C6A" w:rsidRPr="009F6D1E" w:rsidRDefault="007D4C6A" w:rsidP="00574BA3"/>
        </w:tc>
        <w:tc>
          <w:tcPr>
            <w:tcW w:w="681" w:type="dxa"/>
            <w:gridSpan w:val="2"/>
            <w:hideMark/>
          </w:tcPr>
          <w:p w14:paraId="42827ECB" w14:textId="77777777" w:rsidR="007D4C6A" w:rsidRPr="009F6D1E" w:rsidRDefault="007D4C6A" w:rsidP="00574BA3">
            <w:r w:rsidRPr="009F6D1E">
              <w:t>-</w:t>
            </w:r>
          </w:p>
        </w:tc>
        <w:tc>
          <w:tcPr>
            <w:tcW w:w="671" w:type="dxa"/>
          </w:tcPr>
          <w:p w14:paraId="234710E8" w14:textId="77777777" w:rsidR="007D4C6A" w:rsidRPr="009F6D1E" w:rsidRDefault="007D4C6A" w:rsidP="00574BA3"/>
        </w:tc>
        <w:tc>
          <w:tcPr>
            <w:tcW w:w="674" w:type="dxa"/>
          </w:tcPr>
          <w:p w14:paraId="786061FB" w14:textId="77777777" w:rsidR="007D4C6A" w:rsidRPr="009F6D1E" w:rsidRDefault="007D4C6A" w:rsidP="00574BA3"/>
        </w:tc>
      </w:tr>
      <w:tr w:rsidR="00574BA3" w:rsidRPr="009F6D1E" w14:paraId="4AD389E8" w14:textId="77777777" w:rsidTr="008F78D1">
        <w:trPr>
          <w:trHeight w:val="283"/>
        </w:trPr>
        <w:tc>
          <w:tcPr>
            <w:tcW w:w="1584" w:type="dxa"/>
            <w:hideMark/>
          </w:tcPr>
          <w:p w14:paraId="0669E3EE" w14:textId="77777777" w:rsidR="007D4C6A" w:rsidRPr="009F6D1E" w:rsidRDefault="007D4C6A" w:rsidP="00574BA3">
            <w:proofErr w:type="spellStart"/>
            <w:r w:rsidRPr="009F6D1E">
              <w:t>Умрели</w:t>
            </w:r>
            <w:proofErr w:type="spellEnd"/>
            <w:r w:rsidRPr="009F6D1E">
              <w:t>/</w:t>
            </w:r>
            <w:proofErr w:type="spellStart"/>
            <w:r w:rsidRPr="009F6D1E">
              <w:t>Всички</w:t>
            </w:r>
            <w:proofErr w:type="spellEnd"/>
          </w:p>
        </w:tc>
        <w:tc>
          <w:tcPr>
            <w:tcW w:w="681" w:type="dxa"/>
            <w:gridSpan w:val="2"/>
            <w:hideMark/>
          </w:tcPr>
          <w:p w14:paraId="2759D95C" w14:textId="77777777" w:rsidR="007D4C6A" w:rsidRPr="009F6D1E" w:rsidRDefault="007D4C6A" w:rsidP="00574BA3">
            <w:r w:rsidRPr="009F6D1E">
              <w:t>0.36%</w:t>
            </w:r>
          </w:p>
        </w:tc>
        <w:tc>
          <w:tcPr>
            <w:tcW w:w="658" w:type="dxa"/>
            <w:gridSpan w:val="2"/>
          </w:tcPr>
          <w:p w14:paraId="3CF4653B" w14:textId="77777777" w:rsidR="007D4C6A" w:rsidRPr="009F6D1E" w:rsidRDefault="007D4C6A" w:rsidP="00574BA3"/>
        </w:tc>
        <w:tc>
          <w:tcPr>
            <w:tcW w:w="658" w:type="dxa"/>
          </w:tcPr>
          <w:p w14:paraId="06DC54DD" w14:textId="77777777" w:rsidR="007D4C6A" w:rsidRPr="009F6D1E" w:rsidRDefault="007D4C6A" w:rsidP="00574BA3"/>
        </w:tc>
        <w:tc>
          <w:tcPr>
            <w:tcW w:w="681" w:type="dxa"/>
            <w:gridSpan w:val="2"/>
            <w:hideMark/>
          </w:tcPr>
          <w:p w14:paraId="4DB06040" w14:textId="77777777" w:rsidR="007D4C6A" w:rsidRPr="009F6D1E" w:rsidRDefault="007D4C6A" w:rsidP="00574BA3">
            <w:r w:rsidRPr="009F6D1E">
              <w:t>0.38%</w:t>
            </w:r>
          </w:p>
        </w:tc>
        <w:tc>
          <w:tcPr>
            <w:tcW w:w="671" w:type="dxa"/>
          </w:tcPr>
          <w:p w14:paraId="02695969" w14:textId="77777777" w:rsidR="007D4C6A" w:rsidRPr="009F6D1E" w:rsidRDefault="007D4C6A" w:rsidP="00574BA3"/>
        </w:tc>
        <w:tc>
          <w:tcPr>
            <w:tcW w:w="674" w:type="dxa"/>
          </w:tcPr>
          <w:p w14:paraId="1E97C2AD" w14:textId="77777777" w:rsidR="007D4C6A" w:rsidRPr="009F6D1E" w:rsidRDefault="007D4C6A" w:rsidP="00574BA3"/>
        </w:tc>
        <w:tc>
          <w:tcPr>
            <w:tcW w:w="681" w:type="dxa"/>
            <w:gridSpan w:val="2"/>
            <w:hideMark/>
          </w:tcPr>
          <w:p w14:paraId="3F141CCC" w14:textId="77777777" w:rsidR="007D4C6A" w:rsidRPr="009F6D1E" w:rsidRDefault="007D4C6A" w:rsidP="00574BA3">
            <w:r w:rsidRPr="009F6D1E">
              <w:t>0.13%</w:t>
            </w:r>
          </w:p>
        </w:tc>
        <w:tc>
          <w:tcPr>
            <w:tcW w:w="671" w:type="dxa"/>
          </w:tcPr>
          <w:p w14:paraId="01A1A690" w14:textId="77777777" w:rsidR="007D4C6A" w:rsidRPr="009F6D1E" w:rsidRDefault="007D4C6A" w:rsidP="00574BA3"/>
        </w:tc>
        <w:tc>
          <w:tcPr>
            <w:tcW w:w="674" w:type="dxa"/>
          </w:tcPr>
          <w:p w14:paraId="317F9DBB" w14:textId="77777777" w:rsidR="007D4C6A" w:rsidRPr="009F6D1E" w:rsidRDefault="007D4C6A" w:rsidP="00574BA3"/>
        </w:tc>
        <w:tc>
          <w:tcPr>
            <w:tcW w:w="681" w:type="dxa"/>
            <w:gridSpan w:val="2"/>
            <w:hideMark/>
          </w:tcPr>
          <w:p w14:paraId="07D2EA5A" w14:textId="77777777" w:rsidR="007D4C6A" w:rsidRPr="009F6D1E" w:rsidRDefault="007D4C6A" w:rsidP="00574BA3">
            <w:r w:rsidRPr="009F6D1E">
              <w:t>-</w:t>
            </w:r>
          </w:p>
        </w:tc>
        <w:tc>
          <w:tcPr>
            <w:tcW w:w="671" w:type="dxa"/>
          </w:tcPr>
          <w:p w14:paraId="41752E63" w14:textId="77777777" w:rsidR="007D4C6A" w:rsidRPr="009F6D1E" w:rsidRDefault="007D4C6A" w:rsidP="00574BA3"/>
        </w:tc>
        <w:tc>
          <w:tcPr>
            <w:tcW w:w="674" w:type="dxa"/>
          </w:tcPr>
          <w:p w14:paraId="47816A30" w14:textId="77777777" w:rsidR="007D4C6A" w:rsidRPr="009F6D1E" w:rsidRDefault="007D4C6A" w:rsidP="00574BA3"/>
        </w:tc>
      </w:tr>
    </w:tbl>
    <w:p w14:paraId="305E5449" w14:textId="77777777" w:rsidR="007D4C6A" w:rsidRPr="009F6D1E" w:rsidRDefault="007D4C6A">
      <w:pPr>
        <w:numPr>
          <w:ilvl w:val="0"/>
          <w:numId w:val="51"/>
        </w:numPr>
        <w:spacing w:after="60" w:line="264" w:lineRule="auto"/>
        <w:ind w:left="426"/>
        <w:contextualSpacing/>
        <w:rPr>
          <w:rFonts w:eastAsia="Times New Roman" w:cs="Times New Roman"/>
          <w:i/>
          <w:iCs/>
          <w:szCs w:val="24"/>
        </w:rPr>
      </w:pPr>
      <w:r w:rsidRPr="009F6D1E">
        <w:rPr>
          <w:rFonts w:cs="Times New Roman"/>
          <w:i/>
          <w:iCs/>
          <w:szCs w:val="24"/>
        </w:rPr>
        <w:t>няма данни</w:t>
      </w:r>
    </w:p>
    <w:p w14:paraId="2DD4478B" w14:textId="77777777" w:rsidR="007D4C6A" w:rsidRPr="009F6D1E" w:rsidRDefault="007D4C6A" w:rsidP="0084747F">
      <w:pPr>
        <w:spacing w:after="60" w:line="264" w:lineRule="auto"/>
        <w:rPr>
          <w:rFonts w:cs="Times New Roman"/>
          <w:szCs w:val="24"/>
        </w:rPr>
      </w:pPr>
    </w:p>
    <w:p w14:paraId="43C95CDD" w14:textId="77777777" w:rsidR="007D4C6A" w:rsidRPr="009F6D1E" w:rsidRDefault="007D4C6A" w:rsidP="0084747F">
      <w:pPr>
        <w:autoSpaceDE w:val="0"/>
        <w:autoSpaceDN w:val="0"/>
        <w:adjustRightInd w:val="0"/>
        <w:spacing w:after="60" w:line="264" w:lineRule="auto"/>
        <w:ind w:firstLine="851"/>
        <w:jc w:val="both"/>
        <w:rPr>
          <w:rFonts w:cs="Times New Roman"/>
          <w:szCs w:val="24"/>
        </w:rPr>
      </w:pPr>
      <w:r w:rsidRPr="009F6D1E">
        <w:rPr>
          <w:rFonts w:cs="Times New Roman"/>
          <w:szCs w:val="24"/>
        </w:rPr>
        <w:t xml:space="preserve">Видно от горната таблица през периода 2015-2018 г се забелязва спад в броя на </w:t>
      </w:r>
      <w:r w:rsidRPr="009F6D1E">
        <w:rPr>
          <w:rFonts w:cs="Times New Roman"/>
          <w:b/>
          <w:bCs/>
          <w:szCs w:val="24"/>
        </w:rPr>
        <w:t>активните</w:t>
      </w:r>
      <w:r w:rsidRPr="009F6D1E">
        <w:rPr>
          <w:rFonts w:cs="Times New Roman"/>
          <w:szCs w:val="24"/>
        </w:rPr>
        <w:t xml:space="preserve"> и </w:t>
      </w:r>
      <w:r w:rsidRPr="009F6D1E">
        <w:rPr>
          <w:rFonts w:cs="Times New Roman"/>
          <w:b/>
          <w:bCs/>
          <w:szCs w:val="24"/>
        </w:rPr>
        <w:t xml:space="preserve">родените </w:t>
      </w:r>
      <w:r w:rsidRPr="009F6D1E">
        <w:rPr>
          <w:rFonts w:cs="Times New Roman"/>
          <w:szCs w:val="24"/>
        </w:rPr>
        <w:t xml:space="preserve">предприятията, свързани със сектор </w:t>
      </w:r>
      <w:r w:rsidRPr="009F6D1E">
        <w:rPr>
          <w:rFonts w:cs="Times New Roman"/>
          <w:i/>
          <w:iCs/>
          <w:szCs w:val="24"/>
        </w:rPr>
        <w:t>Производство и разпределение на електрическа и топлинна енергия и на газообразни горива</w:t>
      </w:r>
      <w:r w:rsidRPr="009F6D1E">
        <w:rPr>
          <w:rFonts w:cs="Times New Roman"/>
          <w:szCs w:val="24"/>
        </w:rPr>
        <w:t>, както и в броя на заетите и наемни лица.</w:t>
      </w:r>
    </w:p>
    <w:p w14:paraId="1EFC5B0F" w14:textId="77777777" w:rsidR="00DA7644" w:rsidRPr="009F6D1E" w:rsidRDefault="00DA7644" w:rsidP="0084747F">
      <w:pPr>
        <w:autoSpaceDE w:val="0"/>
        <w:autoSpaceDN w:val="0"/>
        <w:adjustRightInd w:val="0"/>
        <w:spacing w:after="60" w:line="264" w:lineRule="auto"/>
        <w:ind w:firstLine="851"/>
        <w:jc w:val="both"/>
        <w:rPr>
          <w:rFonts w:cs="Times New Roman"/>
          <w:szCs w:val="24"/>
        </w:rPr>
      </w:pPr>
    </w:p>
    <w:p w14:paraId="523E20F2" w14:textId="77777777" w:rsidR="007D4C6A" w:rsidRPr="009F6D1E" w:rsidRDefault="007D4C6A">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bookmarkStart w:id="428" w:name="_Toc86754797"/>
      <w:bookmarkStart w:id="429" w:name="_Toc97396445"/>
      <w:r w:rsidRPr="009F6D1E">
        <w:rPr>
          <w:b/>
          <w:bCs/>
          <w:smallCaps w:val="0"/>
          <w:color w:val="262626" w:themeColor="text1" w:themeTint="D9"/>
          <w:lang w:eastAsia="en-US" w:bidi="ar-SA"/>
        </w:rPr>
        <w:t>Дълготрайни материални и нематериални активи с екологично предназначение (ДМА и НДМА-ЕП)</w:t>
      </w:r>
      <w:bookmarkEnd w:id="428"/>
      <w:bookmarkEnd w:id="429"/>
    </w:p>
    <w:p w14:paraId="3482BD3B" w14:textId="77777777" w:rsidR="00DA7644" w:rsidRPr="009F6D1E" w:rsidRDefault="00DA7644" w:rsidP="0084747F">
      <w:pPr>
        <w:autoSpaceDE w:val="0"/>
        <w:autoSpaceDN w:val="0"/>
        <w:adjustRightInd w:val="0"/>
        <w:spacing w:after="60" w:line="264" w:lineRule="auto"/>
        <w:ind w:firstLine="851"/>
        <w:rPr>
          <w:rFonts w:cs="Times New Roman"/>
          <w:color w:val="auto"/>
          <w:szCs w:val="24"/>
        </w:rPr>
      </w:pPr>
    </w:p>
    <w:p w14:paraId="16A247B1" w14:textId="77777777" w:rsidR="007D4C6A" w:rsidRPr="009F6D1E" w:rsidRDefault="007D4C6A" w:rsidP="0084747F">
      <w:pPr>
        <w:autoSpaceDE w:val="0"/>
        <w:autoSpaceDN w:val="0"/>
        <w:adjustRightInd w:val="0"/>
        <w:spacing w:after="60" w:line="264" w:lineRule="auto"/>
        <w:ind w:firstLine="851"/>
        <w:rPr>
          <w:rFonts w:eastAsia="Times New Roman" w:cs="Times New Roman"/>
          <w:color w:val="auto"/>
          <w:szCs w:val="24"/>
        </w:rPr>
      </w:pPr>
      <w:r w:rsidRPr="009F6D1E">
        <w:rPr>
          <w:rFonts w:cs="Times New Roman"/>
          <w:color w:val="auto"/>
          <w:szCs w:val="24"/>
        </w:rPr>
        <w:t>Разходите за опазване и възстановяване на околната среда са систематизирани по данни от МОСВ, ИАОС и от районните инспекции за околната среда, които включват:</w:t>
      </w:r>
    </w:p>
    <w:p w14:paraId="6AA5212C" w14:textId="77777777" w:rsidR="007D4C6A" w:rsidRPr="009F6D1E" w:rsidRDefault="007D4C6A">
      <w:pPr>
        <w:numPr>
          <w:ilvl w:val="0"/>
          <w:numId w:val="52"/>
        </w:numPr>
        <w:autoSpaceDE w:val="0"/>
        <w:autoSpaceDN w:val="0"/>
        <w:adjustRightInd w:val="0"/>
        <w:spacing w:after="60" w:line="264" w:lineRule="auto"/>
        <w:contextualSpacing/>
        <w:jc w:val="both"/>
        <w:rPr>
          <w:rFonts w:cs="Times New Roman"/>
          <w:color w:val="auto"/>
          <w:szCs w:val="24"/>
        </w:rPr>
      </w:pPr>
      <w:r w:rsidRPr="009F6D1E">
        <w:rPr>
          <w:rFonts w:cs="Times New Roman"/>
          <w:i/>
          <w:iCs/>
          <w:color w:val="auto"/>
          <w:szCs w:val="24"/>
        </w:rPr>
        <w:lastRenderedPageBreak/>
        <w:t xml:space="preserve">разходи за </w:t>
      </w:r>
      <w:r w:rsidRPr="009F6D1E">
        <w:rPr>
          <w:rFonts w:cs="Times New Roman"/>
          <w:i/>
          <w:iCs/>
          <w:color w:val="auto"/>
          <w:szCs w:val="24"/>
          <w:u w:val="single"/>
        </w:rPr>
        <w:t>придобиване</w:t>
      </w:r>
      <w:r w:rsidRPr="009F6D1E">
        <w:rPr>
          <w:rFonts w:cs="Times New Roman"/>
          <w:i/>
          <w:iCs/>
          <w:color w:val="auto"/>
          <w:szCs w:val="24"/>
        </w:rPr>
        <w:t xml:space="preserve"> на </w:t>
      </w:r>
      <w:bookmarkStart w:id="430" w:name="_Hlk94960608"/>
      <w:r w:rsidRPr="009F6D1E">
        <w:rPr>
          <w:rFonts w:cs="Times New Roman"/>
          <w:i/>
          <w:iCs/>
          <w:color w:val="auto"/>
          <w:szCs w:val="24"/>
        </w:rPr>
        <w:t>дълготрайни</w:t>
      </w:r>
      <w:bookmarkEnd w:id="430"/>
      <w:r w:rsidRPr="009F6D1E">
        <w:rPr>
          <w:rFonts w:cs="Times New Roman"/>
          <w:i/>
          <w:iCs/>
          <w:color w:val="auto"/>
          <w:szCs w:val="24"/>
        </w:rPr>
        <w:t xml:space="preserve"> материални и нематериални активи с екологично предназначение</w:t>
      </w:r>
      <w:r w:rsidRPr="009F6D1E">
        <w:rPr>
          <w:rFonts w:cs="Times New Roman"/>
          <w:color w:val="auto"/>
          <w:szCs w:val="24"/>
        </w:rPr>
        <w:t xml:space="preserve"> (ДМА и НДМА–ЕП);</w:t>
      </w:r>
    </w:p>
    <w:p w14:paraId="5BF686F3" w14:textId="77777777" w:rsidR="007D4C6A" w:rsidRPr="009F6D1E" w:rsidRDefault="007D4C6A">
      <w:pPr>
        <w:numPr>
          <w:ilvl w:val="0"/>
          <w:numId w:val="52"/>
        </w:numPr>
        <w:autoSpaceDE w:val="0"/>
        <w:autoSpaceDN w:val="0"/>
        <w:adjustRightInd w:val="0"/>
        <w:spacing w:after="60" w:line="264" w:lineRule="auto"/>
        <w:contextualSpacing/>
        <w:jc w:val="both"/>
        <w:rPr>
          <w:rFonts w:cs="Times New Roman"/>
          <w:color w:val="auto"/>
          <w:szCs w:val="24"/>
        </w:rPr>
      </w:pPr>
      <w:r w:rsidRPr="009F6D1E">
        <w:rPr>
          <w:rFonts w:cs="Times New Roman"/>
          <w:i/>
          <w:iCs/>
          <w:color w:val="auto"/>
          <w:szCs w:val="24"/>
        </w:rPr>
        <w:t xml:space="preserve">разходи за </w:t>
      </w:r>
      <w:r w:rsidRPr="009F6D1E">
        <w:rPr>
          <w:rFonts w:cs="Times New Roman"/>
          <w:i/>
          <w:iCs/>
          <w:color w:val="auto"/>
          <w:szCs w:val="24"/>
          <w:u w:val="single"/>
        </w:rPr>
        <w:t>поддържане</w:t>
      </w:r>
      <w:r w:rsidRPr="009F6D1E">
        <w:rPr>
          <w:rFonts w:cs="Times New Roman"/>
          <w:i/>
          <w:iCs/>
          <w:color w:val="auto"/>
          <w:szCs w:val="24"/>
        </w:rPr>
        <w:t xml:space="preserve"> и </w:t>
      </w:r>
      <w:r w:rsidRPr="009F6D1E">
        <w:rPr>
          <w:rFonts w:cs="Times New Roman"/>
          <w:i/>
          <w:iCs/>
          <w:color w:val="auto"/>
          <w:szCs w:val="24"/>
          <w:u w:val="single"/>
        </w:rPr>
        <w:t>експлоатация</w:t>
      </w:r>
      <w:r w:rsidRPr="009F6D1E">
        <w:rPr>
          <w:rFonts w:cs="Times New Roman"/>
          <w:color w:val="auto"/>
          <w:szCs w:val="24"/>
        </w:rPr>
        <w:t xml:space="preserve"> на ДМА–ЕП – те съдържат разходите за извършване на мероприятия за опазване и възстановяване на околната среда и разходите за административна дейност (вкл. изплатени суми за работни заплати, социални осигуровки и надбавки на персонала, зает в административни дейности, свързани с опазване на околната среда).</w:t>
      </w:r>
    </w:p>
    <w:p w14:paraId="1BA3FCAF" w14:textId="187A47BC" w:rsidR="007D4C6A" w:rsidRPr="009F6D1E" w:rsidRDefault="007D4C6A" w:rsidP="0084747F">
      <w:pPr>
        <w:autoSpaceDE w:val="0"/>
        <w:autoSpaceDN w:val="0"/>
        <w:adjustRightInd w:val="0"/>
        <w:spacing w:after="60" w:line="264" w:lineRule="auto"/>
        <w:ind w:firstLine="851"/>
        <w:rPr>
          <w:rFonts w:cs="Times New Roman"/>
          <w:color w:val="auto"/>
          <w:szCs w:val="24"/>
        </w:rPr>
      </w:pPr>
      <w:r w:rsidRPr="009F6D1E">
        <w:rPr>
          <w:rFonts w:cs="Times New Roman"/>
          <w:color w:val="auto"/>
          <w:szCs w:val="24"/>
        </w:rPr>
        <w:t>По данни от НСИ</w:t>
      </w:r>
      <w:r w:rsidRPr="009F6D1E">
        <w:rPr>
          <w:rFonts w:cs="Times New Roman"/>
          <w:color w:val="auto"/>
          <w:szCs w:val="24"/>
          <w:vertAlign w:val="superscript"/>
        </w:rPr>
        <w:footnoteReference w:id="71"/>
      </w:r>
      <w:r w:rsidRPr="009F6D1E">
        <w:rPr>
          <w:rFonts w:cs="Times New Roman"/>
          <w:color w:val="auto"/>
          <w:szCs w:val="24"/>
        </w:rPr>
        <w:t xml:space="preserve">, на </w:t>
      </w:r>
      <w:r>
        <w:fldChar w:fldCharType="begin"/>
      </w:r>
      <w:r>
        <w:instrText xml:space="preserve"> REF _Ref94961532 \h  \* MERGEFORMAT </w:instrText>
      </w:r>
      <w:r>
        <w:fldChar w:fldCharType="separate"/>
      </w:r>
      <w:r w:rsidR="00A43EF3" w:rsidRPr="00A43EF3">
        <w:rPr>
          <w:rFonts w:cs="Times New Roman"/>
          <w:b/>
          <w:bCs/>
          <w:color w:val="auto"/>
          <w:szCs w:val="24"/>
        </w:rPr>
        <w:t xml:space="preserve">Фигура </w:t>
      </w:r>
      <w:r w:rsidR="00A43EF3" w:rsidRPr="00A43EF3">
        <w:rPr>
          <w:noProof/>
        </w:rPr>
        <w:t>81:</w:t>
      </w:r>
      <w:r>
        <w:fldChar w:fldCharType="end"/>
      </w:r>
      <w:r w:rsidRPr="009F6D1E">
        <w:rPr>
          <w:rFonts w:cs="Times New Roman"/>
          <w:b/>
          <w:bCs/>
          <w:color w:val="auto"/>
          <w:szCs w:val="24"/>
        </w:rPr>
        <w:t xml:space="preserve"> </w:t>
      </w:r>
      <w:r w:rsidRPr="009F6D1E">
        <w:rPr>
          <w:rFonts w:cs="Times New Roman"/>
          <w:color w:val="auto"/>
          <w:szCs w:val="24"/>
        </w:rPr>
        <w:t>е показана динамиката на разходите (в хил. лева – вертикалните стълбове) и делът на тези разходи в проценти (линейните графики) за периода 2010-2020г.</w:t>
      </w:r>
    </w:p>
    <w:p w14:paraId="7D218855" w14:textId="77777777" w:rsidR="007D4C6A" w:rsidRPr="009F6D1E" w:rsidRDefault="007D4C6A" w:rsidP="0084747F">
      <w:pPr>
        <w:autoSpaceDE w:val="0"/>
        <w:autoSpaceDN w:val="0"/>
        <w:adjustRightInd w:val="0"/>
        <w:spacing w:after="60" w:line="264" w:lineRule="auto"/>
        <w:jc w:val="center"/>
        <w:rPr>
          <w:rFonts w:cs="Times New Roman"/>
          <w:color w:val="BF8F00" w:themeColor="accent4" w:themeShade="BF"/>
          <w:szCs w:val="24"/>
        </w:rPr>
      </w:pPr>
      <w:r w:rsidRPr="009F6D1E">
        <w:rPr>
          <w:rFonts w:cs="Times New Roman"/>
          <w:noProof/>
          <w:color w:val="BF8F00" w:themeColor="accent4" w:themeShade="BF"/>
          <w:szCs w:val="24"/>
          <w:lang w:val="en-US"/>
        </w:rPr>
        <w:drawing>
          <wp:inline distT="0" distB="0" distL="0" distR="0" wp14:anchorId="603D2ECB" wp14:editId="2639022E">
            <wp:extent cx="5402580" cy="2735580"/>
            <wp:effectExtent l="0" t="0" r="7620" b="762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2580" cy="2735580"/>
                    </a:xfrm>
                    <a:prstGeom prst="rect">
                      <a:avLst/>
                    </a:prstGeom>
                    <a:noFill/>
                    <a:ln>
                      <a:noFill/>
                    </a:ln>
                  </pic:spPr>
                </pic:pic>
              </a:graphicData>
            </a:graphic>
          </wp:inline>
        </w:drawing>
      </w:r>
    </w:p>
    <w:p w14:paraId="0A781F04" w14:textId="01A540A5" w:rsidR="007D4C6A" w:rsidRPr="009F6D1E" w:rsidRDefault="008F78D1" w:rsidP="008F78D1">
      <w:pPr>
        <w:pStyle w:val="Caption"/>
        <w:rPr>
          <w:rFonts w:eastAsia="Times New Roman"/>
          <w:i w:val="0"/>
          <w:iCs w:val="0"/>
          <w:smallCaps/>
          <w:color w:val="auto"/>
        </w:rPr>
      </w:pPr>
      <w:bookmarkStart w:id="431" w:name="_Toc97396309"/>
      <w:bookmarkStart w:id="432" w:name="_Toc115255141"/>
      <w:r w:rsidRPr="009F6D1E">
        <w:t xml:space="preserve">Фигура </w:t>
      </w:r>
      <w:fldSimple w:instr=" SEQ Фигура \* ARABIC ">
        <w:r w:rsidR="00A43EF3">
          <w:rPr>
            <w:noProof/>
          </w:rPr>
          <w:t>80</w:t>
        </w:r>
      </w:fldSimple>
      <w:r w:rsidRPr="009F6D1E">
        <w:t>:</w:t>
      </w:r>
      <w:r w:rsidRPr="009F6D1E">
        <w:rPr>
          <w:color w:val="auto"/>
        </w:rPr>
        <w:t xml:space="preserve"> </w:t>
      </w:r>
      <w:r w:rsidR="007D4C6A" w:rsidRPr="009F6D1E">
        <w:rPr>
          <w:rFonts w:eastAsia="Times New Roman"/>
          <w:smallCaps/>
          <w:color w:val="auto"/>
        </w:rPr>
        <w:t xml:space="preserve"> </w:t>
      </w:r>
      <w:r w:rsidR="007D4C6A" w:rsidRPr="009F6D1E">
        <w:rPr>
          <w:color w:val="auto"/>
        </w:rPr>
        <w:t>Разходи за ДМА-ЕП за опазване и възстановяване на околната среда - общо за страната.</w:t>
      </w:r>
      <w:bookmarkEnd w:id="431"/>
      <w:bookmarkEnd w:id="432"/>
    </w:p>
    <w:p w14:paraId="3D4A92ED" w14:textId="77777777" w:rsidR="007D4C6A" w:rsidRPr="009F6D1E" w:rsidRDefault="007D4C6A" w:rsidP="00323BEC">
      <w:pPr>
        <w:autoSpaceDE w:val="0"/>
        <w:autoSpaceDN w:val="0"/>
        <w:adjustRightInd w:val="0"/>
        <w:spacing w:after="60" w:line="264" w:lineRule="auto"/>
        <w:ind w:firstLine="851"/>
        <w:jc w:val="both"/>
        <w:rPr>
          <w:rFonts w:cs="Times New Roman"/>
          <w:color w:val="auto"/>
          <w:szCs w:val="24"/>
        </w:rPr>
      </w:pPr>
      <w:r w:rsidRPr="009F6D1E">
        <w:rPr>
          <w:rFonts w:cs="Times New Roman"/>
          <w:color w:val="auto"/>
          <w:szCs w:val="24"/>
        </w:rPr>
        <w:t>Както се вижда от графиката, делът на разходите за придобиване на ДМА-ЕП единствено през 2015г. е по-висок от дела на разходите за поддържане в съотношение 60% към 40%. След 2015г. този дял силно намалява, а делът за поддържане и извършване на екологични мероприятия силно нараства. Най-висок той е през 2019г – 80%.</w:t>
      </w:r>
    </w:p>
    <w:p w14:paraId="70F369F5" w14:textId="2FC26D6B" w:rsidR="007D4C6A" w:rsidRPr="009F6D1E" w:rsidRDefault="007D4C6A" w:rsidP="00323BEC">
      <w:pPr>
        <w:autoSpaceDE w:val="0"/>
        <w:autoSpaceDN w:val="0"/>
        <w:adjustRightInd w:val="0"/>
        <w:spacing w:after="60" w:line="264" w:lineRule="auto"/>
        <w:ind w:firstLine="851"/>
        <w:jc w:val="both"/>
        <w:rPr>
          <w:rFonts w:cs="Times New Roman"/>
          <w:color w:val="auto"/>
          <w:szCs w:val="24"/>
        </w:rPr>
      </w:pPr>
      <w:r w:rsidRPr="009F6D1E">
        <w:rPr>
          <w:rFonts w:cs="Times New Roman"/>
          <w:color w:val="auto"/>
          <w:szCs w:val="24"/>
        </w:rPr>
        <w:t xml:space="preserve">Инвестициите за придобиване на ДМП-ЕП с цел опазване и възстановяване на околната среда по направления са показани на </w:t>
      </w:r>
      <w:r>
        <w:fldChar w:fldCharType="begin"/>
      </w:r>
      <w:r>
        <w:instrText xml:space="preserve"> REF _Ref94961532 \h  \* MERGEFORMAT </w:instrText>
      </w:r>
      <w:r>
        <w:fldChar w:fldCharType="separate"/>
      </w:r>
      <w:r w:rsidR="00A43EF3" w:rsidRPr="00A43EF3">
        <w:rPr>
          <w:rFonts w:cs="Times New Roman"/>
          <w:b/>
          <w:bCs/>
          <w:color w:val="auto"/>
          <w:szCs w:val="24"/>
        </w:rPr>
        <w:t>Фигура 81:</w:t>
      </w:r>
      <w:r>
        <w:fldChar w:fldCharType="end"/>
      </w:r>
      <w:r w:rsidRPr="009F6D1E">
        <w:rPr>
          <w:rFonts w:cs="Times New Roman"/>
          <w:color w:val="auto"/>
          <w:szCs w:val="24"/>
        </w:rPr>
        <w:t>.</w:t>
      </w:r>
    </w:p>
    <w:p w14:paraId="4534D05E" w14:textId="77777777" w:rsidR="007D4C6A" w:rsidRPr="009F6D1E" w:rsidRDefault="007D4C6A" w:rsidP="0084747F">
      <w:pPr>
        <w:autoSpaceDE w:val="0"/>
        <w:autoSpaceDN w:val="0"/>
        <w:adjustRightInd w:val="0"/>
        <w:spacing w:after="60" w:line="264" w:lineRule="auto"/>
        <w:jc w:val="center"/>
        <w:rPr>
          <w:rFonts w:cs="Times New Roman"/>
          <w:color w:val="BF8F00" w:themeColor="accent4" w:themeShade="BF"/>
          <w:szCs w:val="24"/>
        </w:rPr>
      </w:pPr>
      <w:r w:rsidRPr="009F6D1E">
        <w:rPr>
          <w:rFonts w:cs="Times New Roman"/>
          <w:noProof/>
          <w:color w:val="BF8F00" w:themeColor="accent4" w:themeShade="BF"/>
          <w:szCs w:val="24"/>
          <w:lang w:val="en-US"/>
        </w:rPr>
        <w:lastRenderedPageBreak/>
        <w:drawing>
          <wp:inline distT="0" distB="0" distL="0" distR="0" wp14:anchorId="74156FC8" wp14:editId="756E3A06">
            <wp:extent cx="5394960" cy="270510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394960" cy="2705100"/>
                    </a:xfrm>
                    <a:prstGeom prst="rect">
                      <a:avLst/>
                    </a:prstGeom>
                    <a:noFill/>
                    <a:ln>
                      <a:noFill/>
                    </a:ln>
                  </pic:spPr>
                </pic:pic>
              </a:graphicData>
            </a:graphic>
          </wp:inline>
        </w:drawing>
      </w:r>
    </w:p>
    <w:p w14:paraId="162A8370" w14:textId="5AD85DCE" w:rsidR="007D4C6A" w:rsidRPr="009F6D1E" w:rsidRDefault="008F78D1" w:rsidP="008F78D1">
      <w:pPr>
        <w:pStyle w:val="Caption"/>
        <w:rPr>
          <w:rFonts w:eastAsia="Times New Roman"/>
          <w:i w:val="0"/>
          <w:iCs w:val="0"/>
          <w:smallCaps/>
          <w:color w:val="auto"/>
        </w:rPr>
      </w:pPr>
      <w:bookmarkStart w:id="433" w:name="_Ref107173015"/>
      <w:bookmarkStart w:id="434" w:name="_Ref94961532"/>
      <w:bookmarkStart w:id="435" w:name="_Toc97396310"/>
      <w:bookmarkStart w:id="436" w:name="_Toc115255142"/>
      <w:r w:rsidRPr="009F6D1E">
        <w:t xml:space="preserve">Фигура </w:t>
      </w:r>
      <w:r w:rsidRPr="00323BEC">
        <w:rPr>
          <w:color w:val="auto"/>
        </w:rPr>
        <w:fldChar w:fldCharType="begin"/>
      </w:r>
      <w:r w:rsidRPr="00323BEC">
        <w:rPr>
          <w:color w:val="auto"/>
        </w:rPr>
        <w:instrText xml:space="preserve"> SEQ Фигура \* ARABIC </w:instrText>
      </w:r>
      <w:r w:rsidRPr="00323BEC">
        <w:rPr>
          <w:color w:val="auto"/>
        </w:rPr>
        <w:fldChar w:fldCharType="separate"/>
      </w:r>
      <w:r w:rsidR="00A43EF3">
        <w:rPr>
          <w:noProof/>
          <w:color w:val="auto"/>
        </w:rPr>
        <w:t>81</w:t>
      </w:r>
      <w:r w:rsidRPr="00323BEC">
        <w:rPr>
          <w:noProof/>
          <w:color w:val="auto"/>
        </w:rPr>
        <w:fldChar w:fldCharType="end"/>
      </w:r>
      <w:bookmarkEnd w:id="433"/>
      <w:r w:rsidRPr="00323BEC">
        <w:rPr>
          <w:color w:val="auto"/>
        </w:rPr>
        <w:t>:</w:t>
      </w:r>
      <w:bookmarkEnd w:id="434"/>
      <w:r w:rsidRPr="00323BEC">
        <w:rPr>
          <w:color w:val="auto"/>
        </w:rPr>
        <w:t xml:space="preserve"> </w:t>
      </w:r>
      <w:r w:rsidR="007D4C6A" w:rsidRPr="00323BEC">
        <w:rPr>
          <w:color w:val="auto"/>
        </w:rPr>
        <w:t xml:space="preserve"> Разходи</w:t>
      </w:r>
      <w:r w:rsidR="007D4C6A" w:rsidRPr="009F6D1E">
        <w:rPr>
          <w:color w:val="auto"/>
        </w:rPr>
        <w:t xml:space="preserve"> за придобиване на (ДМА-ЕП) по направления за околната среда - общо за страната</w:t>
      </w:r>
      <w:r w:rsidR="007D4C6A" w:rsidRPr="009F6D1E">
        <w:rPr>
          <w:rFonts w:eastAsia="Times New Roman"/>
          <w:smallCaps/>
          <w:color w:val="auto"/>
        </w:rPr>
        <w:t>.</w:t>
      </w:r>
      <w:bookmarkEnd w:id="435"/>
      <w:bookmarkEnd w:id="436"/>
    </w:p>
    <w:p w14:paraId="780118A1" w14:textId="25F311D8" w:rsidR="007D4C6A" w:rsidRPr="009F6D1E" w:rsidRDefault="007D4C6A" w:rsidP="00323BEC">
      <w:pPr>
        <w:autoSpaceDE w:val="0"/>
        <w:autoSpaceDN w:val="0"/>
        <w:adjustRightInd w:val="0"/>
        <w:spacing w:after="60" w:line="264" w:lineRule="auto"/>
        <w:ind w:firstLine="851"/>
        <w:jc w:val="both"/>
        <w:rPr>
          <w:rFonts w:cs="Times New Roman"/>
          <w:color w:val="auto"/>
          <w:szCs w:val="24"/>
        </w:rPr>
      </w:pPr>
      <w:r w:rsidRPr="009F6D1E">
        <w:rPr>
          <w:rFonts w:cs="Times New Roman"/>
          <w:color w:val="auto"/>
          <w:szCs w:val="24"/>
        </w:rPr>
        <w:t>Най-високи са инвестициите в 3 направления: третиране на отпадъчни води, третиране на отпадъци и опазване на чистотата на въздуха -</w:t>
      </w:r>
      <w:r>
        <w:fldChar w:fldCharType="begin"/>
      </w:r>
      <w:r>
        <w:instrText xml:space="preserve"> REF _Ref94967364 \h  \* MERGEFORMAT </w:instrText>
      </w:r>
      <w:r>
        <w:fldChar w:fldCharType="separate"/>
      </w:r>
      <w:r w:rsidR="00A43EF3" w:rsidRPr="00A43EF3">
        <w:rPr>
          <w:rFonts w:cs="Times New Roman"/>
          <w:b/>
          <w:bCs/>
          <w:color w:val="auto"/>
          <w:szCs w:val="24"/>
        </w:rPr>
        <w:t xml:space="preserve">Таблица 27: </w:t>
      </w:r>
      <w:r>
        <w:fldChar w:fldCharType="end"/>
      </w:r>
      <w:r w:rsidRPr="009F6D1E">
        <w:rPr>
          <w:rFonts w:cs="Times New Roman"/>
          <w:color w:val="auto"/>
          <w:szCs w:val="24"/>
        </w:rPr>
        <w:t>.</w:t>
      </w:r>
    </w:p>
    <w:p w14:paraId="5D1ADA7D" w14:textId="3458C6C4" w:rsidR="007D4C6A" w:rsidRPr="009F6D1E" w:rsidRDefault="008F78D1" w:rsidP="008F78D1">
      <w:pPr>
        <w:pStyle w:val="Caption"/>
        <w:rPr>
          <w:rFonts w:eastAsia="Times New Roman"/>
          <w:i w:val="0"/>
          <w:iCs w:val="0"/>
          <w:smallCaps/>
          <w:color w:val="auto"/>
        </w:rPr>
      </w:pPr>
      <w:bookmarkStart w:id="437" w:name="_Ref107173078"/>
      <w:bookmarkStart w:id="438" w:name="_Ref94967364"/>
      <w:bookmarkStart w:id="439" w:name="_Toc97395220"/>
      <w:bookmarkStart w:id="440" w:name="_Ref107173072"/>
      <w:bookmarkStart w:id="441" w:name="_Toc115255178"/>
      <w:r w:rsidRPr="009F6D1E">
        <w:rPr>
          <w:color w:val="auto"/>
        </w:rPr>
        <w:t xml:space="preserve">Таблица </w:t>
      </w:r>
      <w:r w:rsidR="003F3D71" w:rsidRPr="009F6D1E">
        <w:rPr>
          <w:color w:val="auto"/>
        </w:rPr>
        <w:fldChar w:fldCharType="begin"/>
      </w:r>
      <w:r w:rsidRPr="009F6D1E">
        <w:rPr>
          <w:color w:val="auto"/>
        </w:rPr>
        <w:instrText xml:space="preserve"> SEQ Таблица \* ARABIC </w:instrText>
      </w:r>
      <w:r w:rsidR="003F3D71" w:rsidRPr="009F6D1E">
        <w:rPr>
          <w:color w:val="auto"/>
        </w:rPr>
        <w:fldChar w:fldCharType="separate"/>
      </w:r>
      <w:r w:rsidR="00A43EF3">
        <w:rPr>
          <w:noProof/>
          <w:color w:val="auto"/>
        </w:rPr>
        <w:t>27</w:t>
      </w:r>
      <w:r w:rsidR="003F3D71" w:rsidRPr="009F6D1E">
        <w:rPr>
          <w:color w:val="auto"/>
        </w:rPr>
        <w:fldChar w:fldCharType="end"/>
      </w:r>
      <w:bookmarkEnd w:id="437"/>
      <w:r w:rsidRPr="009F6D1E">
        <w:rPr>
          <w:color w:val="auto"/>
        </w:rPr>
        <w:t xml:space="preserve">: </w:t>
      </w:r>
      <w:bookmarkEnd w:id="438"/>
      <w:r w:rsidR="007D4C6A" w:rsidRPr="009F6D1E">
        <w:rPr>
          <w:rFonts w:eastAsia="Times New Roman"/>
          <w:smallCaps/>
          <w:color w:val="auto"/>
        </w:rPr>
        <w:t xml:space="preserve"> </w:t>
      </w:r>
      <w:r w:rsidR="007D4C6A" w:rsidRPr="009F6D1E">
        <w:rPr>
          <w:color w:val="auto"/>
        </w:rPr>
        <w:t>Най-висок дял инвестиции в три направления на околната среда.</w:t>
      </w:r>
      <w:bookmarkEnd w:id="439"/>
      <w:bookmarkEnd w:id="440"/>
      <w:bookmarkEnd w:id="441"/>
    </w:p>
    <w:tbl>
      <w:tblPr>
        <w:tblStyle w:val="TableGrid2"/>
        <w:tblW w:w="9745" w:type="dxa"/>
        <w:tblLook w:val="04A0" w:firstRow="1" w:lastRow="0" w:firstColumn="1" w:lastColumn="0" w:noHBand="0" w:noVBand="1"/>
      </w:tblPr>
      <w:tblGrid>
        <w:gridCol w:w="2045"/>
        <w:gridCol w:w="700"/>
        <w:gridCol w:w="700"/>
        <w:gridCol w:w="700"/>
        <w:gridCol w:w="700"/>
        <w:gridCol w:w="700"/>
        <w:gridCol w:w="700"/>
        <w:gridCol w:w="700"/>
        <w:gridCol w:w="700"/>
        <w:gridCol w:w="700"/>
        <w:gridCol w:w="700"/>
        <w:gridCol w:w="700"/>
      </w:tblGrid>
      <w:tr w:rsidR="000B15B6" w:rsidRPr="009F6D1E" w14:paraId="3F761C24" w14:textId="77777777" w:rsidTr="000B15B6">
        <w:trPr>
          <w:trHeight w:val="340"/>
        </w:trPr>
        <w:tc>
          <w:tcPr>
            <w:tcW w:w="2045" w:type="dxa"/>
            <w:shd w:val="clear" w:color="auto" w:fill="D9D9D9" w:themeFill="background1" w:themeFillShade="D9"/>
            <w:noWrap/>
            <w:hideMark/>
          </w:tcPr>
          <w:p w14:paraId="6A3CCCF1" w14:textId="77777777" w:rsidR="007D4C6A" w:rsidRPr="009F6D1E" w:rsidRDefault="007D4C6A" w:rsidP="008F78D1">
            <w:pPr>
              <w:spacing w:after="60" w:line="264" w:lineRule="auto"/>
              <w:jc w:val="center"/>
              <w:rPr>
                <w:rFonts w:cs="Times New Roman"/>
                <w:color w:val="auto"/>
                <w:sz w:val="20"/>
                <w:szCs w:val="20"/>
              </w:rPr>
            </w:pPr>
          </w:p>
        </w:tc>
        <w:tc>
          <w:tcPr>
            <w:tcW w:w="700" w:type="dxa"/>
            <w:shd w:val="clear" w:color="auto" w:fill="D9D9D9" w:themeFill="background1" w:themeFillShade="D9"/>
            <w:noWrap/>
            <w:hideMark/>
          </w:tcPr>
          <w:p w14:paraId="398F2A18"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2010</w:t>
            </w:r>
          </w:p>
        </w:tc>
        <w:tc>
          <w:tcPr>
            <w:tcW w:w="700" w:type="dxa"/>
            <w:shd w:val="clear" w:color="auto" w:fill="D9D9D9" w:themeFill="background1" w:themeFillShade="D9"/>
            <w:noWrap/>
            <w:hideMark/>
          </w:tcPr>
          <w:p w14:paraId="444EADD0"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2011</w:t>
            </w:r>
          </w:p>
        </w:tc>
        <w:tc>
          <w:tcPr>
            <w:tcW w:w="700" w:type="dxa"/>
            <w:shd w:val="clear" w:color="auto" w:fill="D9D9D9" w:themeFill="background1" w:themeFillShade="D9"/>
            <w:noWrap/>
            <w:hideMark/>
          </w:tcPr>
          <w:p w14:paraId="196EEF43"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2012</w:t>
            </w:r>
          </w:p>
        </w:tc>
        <w:tc>
          <w:tcPr>
            <w:tcW w:w="700" w:type="dxa"/>
            <w:shd w:val="clear" w:color="auto" w:fill="D9D9D9" w:themeFill="background1" w:themeFillShade="D9"/>
            <w:noWrap/>
            <w:hideMark/>
          </w:tcPr>
          <w:p w14:paraId="4FDDA9FE"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2013</w:t>
            </w:r>
          </w:p>
        </w:tc>
        <w:tc>
          <w:tcPr>
            <w:tcW w:w="700" w:type="dxa"/>
            <w:shd w:val="clear" w:color="auto" w:fill="D9D9D9" w:themeFill="background1" w:themeFillShade="D9"/>
            <w:noWrap/>
            <w:hideMark/>
          </w:tcPr>
          <w:p w14:paraId="05CF4826"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2014</w:t>
            </w:r>
          </w:p>
        </w:tc>
        <w:tc>
          <w:tcPr>
            <w:tcW w:w="700" w:type="dxa"/>
            <w:shd w:val="clear" w:color="auto" w:fill="D9D9D9" w:themeFill="background1" w:themeFillShade="D9"/>
            <w:noWrap/>
            <w:hideMark/>
          </w:tcPr>
          <w:p w14:paraId="7C0F893B"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2015</w:t>
            </w:r>
          </w:p>
        </w:tc>
        <w:tc>
          <w:tcPr>
            <w:tcW w:w="700" w:type="dxa"/>
            <w:shd w:val="clear" w:color="auto" w:fill="D9D9D9" w:themeFill="background1" w:themeFillShade="D9"/>
            <w:noWrap/>
            <w:hideMark/>
          </w:tcPr>
          <w:p w14:paraId="7B109BCF"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2016</w:t>
            </w:r>
          </w:p>
        </w:tc>
        <w:tc>
          <w:tcPr>
            <w:tcW w:w="700" w:type="dxa"/>
            <w:shd w:val="clear" w:color="auto" w:fill="D9D9D9" w:themeFill="background1" w:themeFillShade="D9"/>
            <w:noWrap/>
            <w:hideMark/>
          </w:tcPr>
          <w:p w14:paraId="47364C4F"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2017</w:t>
            </w:r>
          </w:p>
        </w:tc>
        <w:tc>
          <w:tcPr>
            <w:tcW w:w="700" w:type="dxa"/>
            <w:shd w:val="clear" w:color="auto" w:fill="D9D9D9" w:themeFill="background1" w:themeFillShade="D9"/>
            <w:noWrap/>
            <w:hideMark/>
          </w:tcPr>
          <w:p w14:paraId="091A5323"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2018</w:t>
            </w:r>
          </w:p>
        </w:tc>
        <w:tc>
          <w:tcPr>
            <w:tcW w:w="700" w:type="dxa"/>
            <w:shd w:val="clear" w:color="auto" w:fill="D9D9D9" w:themeFill="background1" w:themeFillShade="D9"/>
            <w:noWrap/>
            <w:hideMark/>
          </w:tcPr>
          <w:p w14:paraId="51F4106C"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2019</w:t>
            </w:r>
          </w:p>
        </w:tc>
        <w:tc>
          <w:tcPr>
            <w:tcW w:w="700" w:type="dxa"/>
            <w:shd w:val="clear" w:color="auto" w:fill="D9D9D9" w:themeFill="background1" w:themeFillShade="D9"/>
            <w:noWrap/>
            <w:hideMark/>
          </w:tcPr>
          <w:p w14:paraId="1B26ED9B"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2020</w:t>
            </w:r>
          </w:p>
        </w:tc>
      </w:tr>
      <w:tr w:rsidR="000B15B6" w:rsidRPr="009F6D1E" w14:paraId="3463F3F3" w14:textId="77777777" w:rsidTr="008F78D1">
        <w:trPr>
          <w:trHeight w:val="340"/>
        </w:trPr>
        <w:tc>
          <w:tcPr>
            <w:tcW w:w="2045" w:type="dxa"/>
            <w:noWrap/>
            <w:hideMark/>
          </w:tcPr>
          <w:p w14:paraId="312259D6" w14:textId="77777777" w:rsidR="007D4C6A" w:rsidRPr="009F6D1E" w:rsidRDefault="007D4C6A" w:rsidP="008F78D1">
            <w:pPr>
              <w:autoSpaceDE w:val="0"/>
              <w:autoSpaceDN w:val="0"/>
              <w:adjustRightInd w:val="0"/>
              <w:spacing w:after="60" w:line="264" w:lineRule="auto"/>
              <w:ind w:left="-57" w:right="-113"/>
              <w:jc w:val="center"/>
              <w:rPr>
                <w:rFonts w:cs="Times New Roman"/>
                <w:color w:val="auto"/>
                <w:spacing w:val="-6"/>
                <w:sz w:val="20"/>
                <w:szCs w:val="20"/>
                <w:lang w:eastAsia="bg-BG"/>
              </w:rPr>
            </w:pPr>
            <w:r w:rsidRPr="009F6D1E">
              <w:rPr>
                <w:rFonts w:cs="Times New Roman"/>
                <w:color w:val="auto"/>
                <w:spacing w:val="-6"/>
                <w:sz w:val="20"/>
                <w:szCs w:val="20"/>
                <w:lang w:eastAsia="bg-BG"/>
              </w:rPr>
              <w:t>Отпадъчните води</w:t>
            </w:r>
          </w:p>
        </w:tc>
        <w:tc>
          <w:tcPr>
            <w:tcW w:w="700" w:type="dxa"/>
            <w:noWrap/>
            <w:hideMark/>
          </w:tcPr>
          <w:p w14:paraId="0DDD2888"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27.0%</w:t>
            </w:r>
          </w:p>
        </w:tc>
        <w:tc>
          <w:tcPr>
            <w:tcW w:w="700" w:type="dxa"/>
            <w:noWrap/>
            <w:hideMark/>
          </w:tcPr>
          <w:p w14:paraId="7868AF50"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35.1%</w:t>
            </w:r>
          </w:p>
        </w:tc>
        <w:tc>
          <w:tcPr>
            <w:tcW w:w="700" w:type="dxa"/>
            <w:noWrap/>
            <w:hideMark/>
          </w:tcPr>
          <w:p w14:paraId="631A7BF5"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31.2%</w:t>
            </w:r>
          </w:p>
        </w:tc>
        <w:tc>
          <w:tcPr>
            <w:tcW w:w="700" w:type="dxa"/>
            <w:noWrap/>
            <w:hideMark/>
          </w:tcPr>
          <w:p w14:paraId="0A12556D"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42.8%</w:t>
            </w:r>
          </w:p>
        </w:tc>
        <w:tc>
          <w:tcPr>
            <w:tcW w:w="700" w:type="dxa"/>
            <w:noWrap/>
            <w:hideMark/>
          </w:tcPr>
          <w:p w14:paraId="7C63EDE4"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51.4%</w:t>
            </w:r>
          </w:p>
        </w:tc>
        <w:tc>
          <w:tcPr>
            <w:tcW w:w="700" w:type="dxa"/>
            <w:noWrap/>
            <w:hideMark/>
          </w:tcPr>
          <w:p w14:paraId="20AA45FB"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58.4%</w:t>
            </w:r>
          </w:p>
        </w:tc>
        <w:tc>
          <w:tcPr>
            <w:tcW w:w="700" w:type="dxa"/>
            <w:noWrap/>
            <w:hideMark/>
          </w:tcPr>
          <w:p w14:paraId="3F4B754A"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28.7%</w:t>
            </w:r>
          </w:p>
        </w:tc>
        <w:tc>
          <w:tcPr>
            <w:tcW w:w="700" w:type="dxa"/>
            <w:noWrap/>
            <w:hideMark/>
          </w:tcPr>
          <w:p w14:paraId="4CDF802F"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37.2%</w:t>
            </w:r>
          </w:p>
        </w:tc>
        <w:tc>
          <w:tcPr>
            <w:tcW w:w="700" w:type="dxa"/>
            <w:noWrap/>
            <w:hideMark/>
          </w:tcPr>
          <w:p w14:paraId="35455EEC"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49.1%</w:t>
            </w:r>
          </w:p>
        </w:tc>
        <w:tc>
          <w:tcPr>
            <w:tcW w:w="700" w:type="dxa"/>
            <w:noWrap/>
            <w:hideMark/>
          </w:tcPr>
          <w:p w14:paraId="41574107"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34.0%</w:t>
            </w:r>
          </w:p>
        </w:tc>
        <w:tc>
          <w:tcPr>
            <w:tcW w:w="700" w:type="dxa"/>
            <w:noWrap/>
            <w:hideMark/>
          </w:tcPr>
          <w:p w14:paraId="4B667359"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33.1%</w:t>
            </w:r>
          </w:p>
        </w:tc>
      </w:tr>
      <w:tr w:rsidR="000B15B6" w:rsidRPr="009F6D1E" w14:paraId="40B43097" w14:textId="77777777" w:rsidTr="008F78D1">
        <w:trPr>
          <w:trHeight w:val="340"/>
        </w:trPr>
        <w:tc>
          <w:tcPr>
            <w:tcW w:w="2045" w:type="dxa"/>
            <w:noWrap/>
            <w:hideMark/>
          </w:tcPr>
          <w:p w14:paraId="79928A37" w14:textId="77777777" w:rsidR="007D4C6A" w:rsidRPr="009F6D1E" w:rsidRDefault="007D4C6A" w:rsidP="008F78D1">
            <w:pPr>
              <w:autoSpaceDE w:val="0"/>
              <w:autoSpaceDN w:val="0"/>
              <w:adjustRightInd w:val="0"/>
              <w:spacing w:after="60" w:line="264" w:lineRule="auto"/>
              <w:ind w:left="-57" w:right="-113"/>
              <w:jc w:val="center"/>
              <w:rPr>
                <w:rFonts w:cs="Times New Roman"/>
                <w:color w:val="auto"/>
                <w:spacing w:val="-6"/>
                <w:sz w:val="20"/>
                <w:szCs w:val="20"/>
                <w:lang w:eastAsia="bg-BG"/>
              </w:rPr>
            </w:pPr>
            <w:r w:rsidRPr="009F6D1E">
              <w:rPr>
                <w:rFonts w:cs="Times New Roman"/>
                <w:color w:val="auto"/>
                <w:spacing w:val="-6"/>
                <w:sz w:val="20"/>
                <w:szCs w:val="20"/>
                <w:lang w:eastAsia="bg-BG"/>
              </w:rPr>
              <w:t>Отпадъците</w:t>
            </w:r>
          </w:p>
        </w:tc>
        <w:tc>
          <w:tcPr>
            <w:tcW w:w="700" w:type="dxa"/>
            <w:noWrap/>
            <w:hideMark/>
          </w:tcPr>
          <w:p w14:paraId="05CD5120"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44.4%</w:t>
            </w:r>
          </w:p>
        </w:tc>
        <w:tc>
          <w:tcPr>
            <w:tcW w:w="700" w:type="dxa"/>
            <w:noWrap/>
            <w:hideMark/>
          </w:tcPr>
          <w:p w14:paraId="30ADF6E4"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32.5%</w:t>
            </w:r>
          </w:p>
        </w:tc>
        <w:tc>
          <w:tcPr>
            <w:tcW w:w="700" w:type="dxa"/>
            <w:noWrap/>
            <w:hideMark/>
          </w:tcPr>
          <w:p w14:paraId="1CE5607F"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35.1%</w:t>
            </w:r>
          </w:p>
        </w:tc>
        <w:tc>
          <w:tcPr>
            <w:tcW w:w="700" w:type="dxa"/>
            <w:noWrap/>
            <w:hideMark/>
          </w:tcPr>
          <w:p w14:paraId="26B3AF8C"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29.0%</w:t>
            </w:r>
          </w:p>
        </w:tc>
        <w:tc>
          <w:tcPr>
            <w:tcW w:w="700" w:type="dxa"/>
            <w:noWrap/>
            <w:hideMark/>
          </w:tcPr>
          <w:p w14:paraId="5662454E"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24.4%</w:t>
            </w:r>
          </w:p>
        </w:tc>
        <w:tc>
          <w:tcPr>
            <w:tcW w:w="700" w:type="dxa"/>
            <w:noWrap/>
            <w:hideMark/>
          </w:tcPr>
          <w:p w14:paraId="1309AB10"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32.0%</w:t>
            </w:r>
          </w:p>
        </w:tc>
        <w:tc>
          <w:tcPr>
            <w:tcW w:w="700" w:type="dxa"/>
            <w:noWrap/>
            <w:hideMark/>
          </w:tcPr>
          <w:p w14:paraId="74F44399"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34.7%</w:t>
            </w:r>
          </w:p>
        </w:tc>
        <w:tc>
          <w:tcPr>
            <w:tcW w:w="700" w:type="dxa"/>
            <w:noWrap/>
            <w:hideMark/>
          </w:tcPr>
          <w:p w14:paraId="59D24D06"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31.7%</w:t>
            </w:r>
          </w:p>
        </w:tc>
        <w:tc>
          <w:tcPr>
            <w:tcW w:w="700" w:type="dxa"/>
            <w:noWrap/>
            <w:hideMark/>
          </w:tcPr>
          <w:p w14:paraId="73E1D68A"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25.5%</w:t>
            </w:r>
          </w:p>
        </w:tc>
        <w:tc>
          <w:tcPr>
            <w:tcW w:w="700" w:type="dxa"/>
            <w:noWrap/>
            <w:hideMark/>
          </w:tcPr>
          <w:p w14:paraId="39F05389"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36.0%</w:t>
            </w:r>
          </w:p>
        </w:tc>
        <w:tc>
          <w:tcPr>
            <w:tcW w:w="700" w:type="dxa"/>
            <w:noWrap/>
            <w:hideMark/>
          </w:tcPr>
          <w:p w14:paraId="53C17BB8"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27.3%</w:t>
            </w:r>
          </w:p>
        </w:tc>
      </w:tr>
      <w:tr w:rsidR="000B15B6" w:rsidRPr="009F6D1E" w14:paraId="3BE3289E" w14:textId="77777777" w:rsidTr="008F78D1">
        <w:trPr>
          <w:trHeight w:val="340"/>
        </w:trPr>
        <w:tc>
          <w:tcPr>
            <w:tcW w:w="2045" w:type="dxa"/>
            <w:noWrap/>
            <w:hideMark/>
          </w:tcPr>
          <w:p w14:paraId="5BB8D62A" w14:textId="77777777" w:rsidR="007D4C6A" w:rsidRPr="009F6D1E" w:rsidRDefault="007D4C6A" w:rsidP="008F78D1">
            <w:pPr>
              <w:autoSpaceDE w:val="0"/>
              <w:autoSpaceDN w:val="0"/>
              <w:adjustRightInd w:val="0"/>
              <w:spacing w:after="60" w:line="264" w:lineRule="auto"/>
              <w:ind w:left="-57" w:right="-113"/>
              <w:jc w:val="center"/>
              <w:rPr>
                <w:rFonts w:cs="Times New Roman"/>
                <w:color w:val="auto"/>
                <w:spacing w:val="-6"/>
                <w:sz w:val="20"/>
                <w:szCs w:val="20"/>
                <w:lang w:eastAsia="bg-BG"/>
              </w:rPr>
            </w:pPr>
            <w:r w:rsidRPr="009F6D1E">
              <w:rPr>
                <w:rFonts w:cs="Times New Roman"/>
                <w:color w:val="auto"/>
                <w:spacing w:val="-6"/>
                <w:sz w:val="20"/>
                <w:szCs w:val="20"/>
                <w:lang w:eastAsia="bg-BG"/>
              </w:rPr>
              <w:t>Чистота на въздуха</w:t>
            </w:r>
          </w:p>
        </w:tc>
        <w:tc>
          <w:tcPr>
            <w:tcW w:w="700" w:type="dxa"/>
            <w:noWrap/>
            <w:hideMark/>
          </w:tcPr>
          <w:p w14:paraId="5CFCE3C5"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13.6%</w:t>
            </w:r>
          </w:p>
        </w:tc>
        <w:tc>
          <w:tcPr>
            <w:tcW w:w="700" w:type="dxa"/>
            <w:noWrap/>
            <w:hideMark/>
          </w:tcPr>
          <w:p w14:paraId="6CBAE696"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28.4%</w:t>
            </w:r>
          </w:p>
        </w:tc>
        <w:tc>
          <w:tcPr>
            <w:tcW w:w="700" w:type="dxa"/>
            <w:noWrap/>
            <w:hideMark/>
          </w:tcPr>
          <w:p w14:paraId="592D0984"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28.2%</w:t>
            </w:r>
          </w:p>
        </w:tc>
        <w:tc>
          <w:tcPr>
            <w:tcW w:w="700" w:type="dxa"/>
            <w:noWrap/>
            <w:hideMark/>
          </w:tcPr>
          <w:p w14:paraId="2FD30511"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23.3%</w:t>
            </w:r>
          </w:p>
        </w:tc>
        <w:tc>
          <w:tcPr>
            <w:tcW w:w="700" w:type="dxa"/>
            <w:noWrap/>
            <w:hideMark/>
          </w:tcPr>
          <w:p w14:paraId="4D76172B"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21.2%</w:t>
            </w:r>
          </w:p>
        </w:tc>
        <w:tc>
          <w:tcPr>
            <w:tcW w:w="700" w:type="dxa"/>
            <w:noWrap/>
            <w:hideMark/>
          </w:tcPr>
          <w:p w14:paraId="4663BD17"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8.3%</w:t>
            </w:r>
          </w:p>
        </w:tc>
        <w:tc>
          <w:tcPr>
            <w:tcW w:w="700" w:type="dxa"/>
            <w:noWrap/>
            <w:hideMark/>
          </w:tcPr>
          <w:p w14:paraId="7B59E77B"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30.3%</w:t>
            </w:r>
          </w:p>
        </w:tc>
        <w:tc>
          <w:tcPr>
            <w:tcW w:w="700" w:type="dxa"/>
            <w:noWrap/>
            <w:hideMark/>
          </w:tcPr>
          <w:p w14:paraId="43124881"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26.0%</w:t>
            </w:r>
          </w:p>
        </w:tc>
        <w:tc>
          <w:tcPr>
            <w:tcW w:w="700" w:type="dxa"/>
            <w:noWrap/>
            <w:hideMark/>
          </w:tcPr>
          <w:p w14:paraId="2F744937"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18.4%</w:t>
            </w:r>
          </w:p>
        </w:tc>
        <w:tc>
          <w:tcPr>
            <w:tcW w:w="700" w:type="dxa"/>
            <w:noWrap/>
            <w:hideMark/>
          </w:tcPr>
          <w:p w14:paraId="1B29A058" w14:textId="77777777" w:rsidR="007D4C6A" w:rsidRPr="009F6D1E" w:rsidRDefault="007D4C6A" w:rsidP="008F78D1">
            <w:pPr>
              <w:autoSpaceDE w:val="0"/>
              <w:autoSpaceDN w:val="0"/>
              <w:adjustRightInd w:val="0"/>
              <w:spacing w:after="60" w:line="264" w:lineRule="auto"/>
              <w:ind w:left="-113" w:right="-113"/>
              <w:jc w:val="center"/>
              <w:rPr>
                <w:rFonts w:cs="Times New Roman"/>
                <w:color w:val="auto"/>
                <w:sz w:val="20"/>
                <w:szCs w:val="20"/>
                <w:lang w:eastAsia="bg-BG"/>
              </w:rPr>
            </w:pPr>
            <w:r w:rsidRPr="009F6D1E">
              <w:rPr>
                <w:rFonts w:cs="Times New Roman"/>
                <w:color w:val="auto"/>
                <w:sz w:val="20"/>
                <w:szCs w:val="20"/>
                <w:lang w:eastAsia="bg-BG"/>
              </w:rPr>
              <w:t>22.1%</w:t>
            </w:r>
          </w:p>
        </w:tc>
        <w:tc>
          <w:tcPr>
            <w:tcW w:w="700" w:type="dxa"/>
            <w:noWrap/>
            <w:hideMark/>
          </w:tcPr>
          <w:p w14:paraId="26F90FE2" w14:textId="77777777" w:rsidR="007D4C6A" w:rsidRPr="009F6D1E" w:rsidRDefault="007D4C6A" w:rsidP="008F78D1">
            <w:pPr>
              <w:autoSpaceDE w:val="0"/>
              <w:autoSpaceDN w:val="0"/>
              <w:adjustRightInd w:val="0"/>
              <w:spacing w:after="60" w:line="264" w:lineRule="auto"/>
              <w:ind w:left="-113" w:right="-113"/>
              <w:jc w:val="center"/>
              <w:rPr>
                <w:rFonts w:cs="Times New Roman"/>
                <w:b/>
                <w:bCs/>
                <w:i/>
                <w:iCs/>
                <w:color w:val="auto"/>
                <w:sz w:val="20"/>
                <w:szCs w:val="20"/>
                <w:lang w:eastAsia="bg-BG"/>
              </w:rPr>
            </w:pPr>
            <w:r w:rsidRPr="009F6D1E">
              <w:rPr>
                <w:rFonts w:cs="Times New Roman"/>
                <w:b/>
                <w:bCs/>
                <w:i/>
                <w:iCs/>
                <w:color w:val="auto"/>
                <w:sz w:val="20"/>
                <w:szCs w:val="20"/>
                <w:lang w:eastAsia="bg-BG"/>
              </w:rPr>
              <w:t>31.5%</w:t>
            </w:r>
          </w:p>
        </w:tc>
      </w:tr>
      <w:tr w:rsidR="000B15B6" w:rsidRPr="009F6D1E" w14:paraId="13B0ED66" w14:textId="77777777" w:rsidTr="008F78D1">
        <w:trPr>
          <w:trHeight w:val="340"/>
        </w:trPr>
        <w:tc>
          <w:tcPr>
            <w:tcW w:w="2045" w:type="dxa"/>
            <w:noWrap/>
            <w:hideMark/>
          </w:tcPr>
          <w:p w14:paraId="149A153C" w14:textId="77777777" w:rsidR="007D4C6A" w:rsidRPr="009F6D1E" w:rsidRDefault="007D4C6A" w:rsidP="008F78D1">
            <w:pPr>
              <w:autoSpaceDE w:val="0"/>
              <w:autoSpaceDN w:val="0"/>
              <w:adjustRightInd w:val="0"/>
              <w:spacing w:after="60" w:line="264" w:lineRule="auto"/>
              <w:ind w:left="-57" w:right="-113"/>
              <w:jc w:val="center"/>
              <w:rPr>
                <w:rFonts w:cs="Times New Roman"/>
                <w:color w:val="auto"/>
                <w:spacing w:val="-6"/>
                <w:sz w:val="20"/>
                <w:szCs w:val="20"/>
                <w:lang w:eastAsia="bg-BG"/>
              </w:rPr>
            </w:pPr>
            <w:r w:rsidRPr="009F6D1E">
              <w:rPr>
                <w:rFonts w:cs="Times New Roman"/>
                <w:color w:val="auto"/>
                <w:spacing w:val="-6"/>
                <w:sz w:val="20"/>
                <w:szCs w:val="20"/>
                <w:lang w:eastAsia="bg-BG"/>
              </w:rPr>
              <w:t>Дял на 3</w:t>
            </w:r>
            <w:r w:rsidRPr="009F6D1E">
              <w:rPr>
                <w:rFonts w:cs="Times New Roman"/>
                <w:color w:val="auto"/>
                <w:spacing w:val="-6"/>
                <w:sz w:val="20"/>
                <w:szCs w:val="20"/>
                <w:vertAlign w:val="superscript"/>
                <w:lang w:eastAsia="bg-BG"/>
              </w:rPr>
              <w:t>-те</w:t>
            </w:r>
            <w:r w:rsidRPr="009F6D1E">
              <w:rPr>
                <w:rFonts w:cs="Times New Roman"/>
                <w:color w:val="auto"/>
                <w:spacing w:val="-6"/>
                <w:sz w:val="20"/>
                <w:szCs w:val="20"/>
                <w:lang w:eastAsia="bg-BG"/>
              </w:rPr>
              <w:t xml:space="preserve"> направления</w:t>
            </w:r>
          </w:p>
          <w:p w14:paraId="762D5E7C" w14:textId="77777777" w:rsidR="007D4C6A" w:rsidRPr="009F6D1E" w:rsidRDefault="007D4C6A" w:rsidP="008F78D1">
            <w:pPr>
              <w:autoSpaceDE w:val="0"/>
              <w:autoSpaceDN w:val="0"/>
              <w:adjustRightInd w:val="0"/>
              <w:spacing w:after="60" w:line="264" w:lineRule="auto"/>
              <w:ind w:left="-57" w:right="-113"/>
              <w:jc w:val="center"/>
              <w:rPr>
                <w:rFonts w:cs="Times New Roman"/>
                <w:color w:val="auto"/>
                <w:spacing w:val="-6"/>
                <w:sz w:val="20"/>
                <w:szCs w:val="20"/>
                <w:lang w:eastAsia="bg-BG"/>
              </w:rPr>
            </w:pPr>
            <w:r w:rsidRPr="009F6D1E">
              <w:rPr>
                <w:rFonts w:cs="Times New Roman"/>
                <w:color w:val="auto"/>
                <w:spacing w:val="-6"/>
                <w:sz w:val="20"/>
                <w:szCs w:val="20"/>
                <w:lang w:eastAsia="bg-BG"/>
              </w:rPr>
              <w:t>от общите инвестиции</w:t>
            </w:r>
          </w:p>
        </w:tc>
        <w:tc>
          <w:tcPr>
            <w:tcW w:w="700" w:type="dxa"/>
            <w:noWrap/>
            <w:hideMark/>
          </w:tcPr>
          <w:p w14:paraId="458EA405"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84.9%</w:t>
            </w:r>
          </w:p>
        </w:tc>
        <w:tc>
          <w:tcPr>
            <w:tcW w:w="700" w:type="dxa"/>
            <w:noWrap/>
            <w:hideMark/>
          </w:tcPr>
          <w:p w14:paraId="0C374017"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96.1%</w:t>
            </w:r>
          </w:p>
        </w:tc>
        <w:tc>
          <w:tcPr>
            <w:tcW w:w="700" w:type="dxa"/>
            <w:noWrap/>
            <w:hideMark/>
          </w:tcPr>
          <w:p w14:paraId="3EA277E4"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94.5%</w:t>
            </w:r>
          </w:p>
        </w:tc>
        <w:tc>
          <w:tcPr>
            <w:tcW w:w="700" w:type="dxa"/>
            <w:noWrap/>
            <w:hideMark/>
          </w:tcPr>
          <w:p w14:paraId="79DE2EE1"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95.0%</w:t>
            </w:r>
          </w:p>
        </w:tc>
        <w:tc>
          <w:tcPr>
            <w:tcW w:w="700" w:type="dxa"/>
            <w:noWrap/>
            <w:hideMark/>
          </w:tcPr>
          <w:p w14:paraId="5BB971C3"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96.9%</w:t>
            </w:r>
          </w:p>
        </w:tc>
        <w:tc>
          <w:tcPr>
            <w:tcW w:w="700" w:type="dxa"/>
            <w:noWrap/>
            <w:hideMark/>
          </w:tcPr>
          <w:p w14:paraId="744E21C6"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98.7%</w:t>
            </w:r>
          </w:p>
        </w:tc>
        <w:tc>
          <w:tcPr>
            <w:tcW w:w="700" w:type="dxa"/>
            <w:noWrap/>
            <w:hideMark/>
          </w:tcPr>
          <w:p w14:paraId="7472A442"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93.7%</w:t>
            </w:r>
          </w:p>
        </w:tc>
        <w:tc>
          <w:tcPr>
            <w:tcW w:w="700" w:type="dxa"/>
            <w:noWrap/>
            <w:hideMark/>
          </w:tcPr>
          <w:p w14:paraId="6D147794"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94.9%</w:t>
            </w:r>
          </w:p>
        </w:tc>
        <w:tc>
          <w:tcPr>
            <w:tcW w:w="700" w:type="dxa"/>
            <w:noWrap/>
            <w:hideMark/>
          </w:tcPr>
          <w:p w14:paraId="453C4F7E"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93.1%</w:t>
            </w:r>
          </w:p>
        </w:tc>
        <w:tc>
          <w:tcPr>
            <w:tcW w:w="700" w:type="dxa"/>
            <w:noWrap/>
            <w:hideMark/>
          </w:tcPr>
          <w:p w14:paraId="35C26FD0"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92.1%</w:t>
            </w:r>
          </w:p>
        </w:tc>
        <w:tc>
          <w:tcPr>
            <w:tcW w:w="700" w:type="dxa"/>
            <w:noWrap/>
            <w:hideMark/>
          </w:tcPr>
          <w:p w14:paraId="7F484CA2" w14:textId="77777777" w:rsidR="007D4C6A" w:rsidRPr="009F6D1E" w:rsidRDefault="007D4C6A" w:rsidP="008F78D1">
            <w:pPr>
              <w:autoSpaceDE w:val="0"/>
              <w:autoSpaceDN w:val="0"/>
              <w:adjustRightInd w:val="0"/>
              <w:spacing w:after="60" w:line="264" w:lineRule="auto"/>
              <w:ind w:left="-113" w:right="-113"/>
              <w:jc w:val="center"/>
              <w:rPr>
                <w:rFonts w:cs="Times New Roman"/>
                <w:b/>
                <w:bCs/>
                <w:color w:val="auto"/>
                <w:sz w:val="20"/>
                <w:szCs w:val="20"/>
                <w:lang w:eastAsia="bg-BG"/>
              </w:rPr>
            </w:pPr>
            <w:r w:rsidRPr="009F6D1E">
              <w:rPr>
                <w:rFonts w:cs="Times New Roman"/>
                <w:b/>
                <w:bCs/>
                <w:color w:val="auto"/>
                <w:sz w:val="20"/>
                <w:szCs w:val="20"/>
                <w:lang w:eastAsia="bg-BG"/>
              </w:rPr>
              <w:t>91.9%</w:t>
            </w:r>
          </w:p>
        </w:tc>
      </w:tr>
    </w:tbl>
    <w:p w14:paraId="05900FFD" w14:textId="77777777" w:rsidR="007D4C6A" w:rsidRPr="009F6D1E" w:rsidRDefault="007D4C6A" w:rsidP="0084747F">
      <w:pPr>
        <w:autoSpaceDE w:val="0"/>
        <w:autoSpaceDN w:val="0"/>
        <w:adjustRightInd w:val="0"/>
        <w:spacing w:after="60" w:line="264" w:lineRule="auto"/>
        <w:ind w:firstLine="851"/>
        <w:rPr>
          <w:rFonts w:eastAsia="Times New Roman" w:cs="Times New Roman"/>
          <w:color w:val="BF8F00" w:themeColor="accent4" w:themeShade="BF"/>
          <w:szCs w:val="24"/>
        </w:rPr>
      </w:pPr>
    </w:p>
    <w:p w14:paraId="02C21DA7" w14:textId="77777777" w:rsidR="007D4C6A" w:rsidRPr="009F6D1E" w:rsidRDefault="007D4C6A" w:rsidP="00D61D0C">
      <w:pPr>
        <w:autoSpaceDE w:val="0"/>
        <w:autoSpaceDN w:val="0"/>
        <w:adjustRightInd w:val="0"/>
        <w:spacing w:after="60" w:line="264" w:lineRule="auto"/>
        <w:ind w:firstLine="851"/>
        <w:jc w:val="both"/>
        <w:rPr>
          <w:rFonts w:cs="Times New Roman"/>
          <w:color w:val="auto"/>
          <w:szCs w:val="24"/>
        </w:rPr>
      </w:pPr>
      <w:r w:rsidRPr="009F6D1E">
        <w:rPr>
          <w:rFonts w:cs="Times New Roman"/>
          <w:color w:val="auto"/>
          <w:szCs w:val="24"/>
        </w:rPr>
        <w:t>Обемът на инвестициите в тези 3 направления на околната среда са винаги над 90% с изключение през 2010г. Инвестициите за опазване чистотата на въздуха са били винаги на трето място и за първи път през 2020г. надминават инвестициите за третиране на отпадъци. Плашещо малко са били през 2015г. – една 8.3%.</w:t>
      </w:r>
    </w:p>
    <w:p w14:paraId="6BF840BE" w14:textId="79EFF594" w:rsidR="007D4C6A" w:rsidRPr="009F6D1E" w:rsidRDefault="007D4C6A" w:rsidP="00D61D0C">
      <w:pPr>
        <w:autoSpaceDE w:val="0"/>
        <w:autoSpaceDN w:val="0"/>
        <w:adjustRightInd w:val="0"/>
        <w:spacing w:after="60" w:line="264" w:lineRule="auto"/>
        <w:ind w:firstLine="720"/>
        <w:jc w:val="both"/>
        <w:rPr>
          <w:rFonts w:cs="Times New Roman"/>
          <w:color w:val="auto"/>
          <w:szCs w:val="24"/>
        </w:rPr>
      </w:pPr>
      <w:r w:rsidRPr="009F6D1E">
        <w:rPr>
          <w:rFonts w:cs="Times New Roman"/>
          <w:color w:val="auto"/>
          <w:szCs w:val="24"/>
        </w:rPr>
        <w:t>Данните от НСИ</w:t>
      </w:r>
      <w:r w:rsidRPr="009F6D1E">
        <w:rPr>
          <w:rFonts w:cs="Times New Roman"/>
          <w:color w:val="auto"/>
          <w:szCs w:val="24"/>
          <w:vertAlign w:val="superscript"/>
        </w:rPr>
        <w:footnoteReference w:id="72"/>
      </w:r>
      <w:r w:rsidRPr="009F6D1E">
        <w:rPr>
          <w:rFonts w:cs="Times New Roman"/>
          <w:color w:val="auto"/>
          <w:szCs w:val="24"/>
        </w:rPr>
        <w:t xml:space="preserve">, свързаните с дълготрайните материални активи с екологично предназначение (ДМА-ЕП) от всички икономически сектори в 6-те статистическите райони са представени на </w:t>
      </w:r>
      <w:r w:rsidR="003F3D71" w:rsidRPr="009F6D1E">
        <w:rPr>
          <w:rFonts w:cs="Times New Roman"/>
          <w:b/>
          <w:bCs/>
          <w:color w:val="auto"/>
          <w:szCs w:val="24"/>
        </w:rPr>
        <w:fldChar w:fldCharType="begin"/>
      </w:r>
      <w:r w:rsidR="000B15B6" w:rsidRPr="009F6D1E">
        <w:rPr>
          <w:rFonts w:cs="Times New Roman"/>
          <w:color w:val="auto"/>
          <w:szCs w:val="24"/>
        </w:rPr>
        <w:instrText xml:space="preserve"> REF _Ref107173221 \h </w:instrText>
      </w:r>
      <w:r w:rsidR="00D61D0C">
        <w:rPr>
          <w:rFonts w:cs="Times New Roman"/>
          <w:b/>
          <w:bCs/>
          <w:color w:val="auto"/>
          <w:szCs w:val="24"/>
        </w:rPr>
        <w:instrText xml:space="preserve"> \* MERGEFORMAT </w:instrText>
      </w:r>
      <w:r w:rsidR="003F3D71" w:rsidRPr="009F6D1E">
        <w:rPr>
          <w:rFonts w:cs="Times New Roman"/>
          <w:b/>
          <w:bCs/>
          <w:color w:val="auto"/>
          <w:szCs w:val="24"/>
        </w:rPr>
      </w:r>
      <w:r w:rsidR="003F3D71" w:rsidRPr="009F6D1E">
        <w:rPr>
          <w:rFonts w:cs="Times New Roman"/>
          <w:b/>
          <w:bCs/>
          <w:color w:val="auto"/>
          <w:szCs w:val="24"/>
        </w:rPr>
        <w:fldChar w:fldCharType="separate"/>
      </w:r>
      <w:r w:rsidR="00A43EF3" w:rsidRPr="009F6D1E">
        <w:t xml:space="preserve">Фигура </w:t>
      </w:r>
      <w:r w:rsidR="00A43EF3">
        <w:rPr>
          <w:noProof/>
        </w:rPr>
        <w:t>82</w:t>
      </w:r>
      <w:r w:rsidR="003F3D71" w:rsidRPr="009F6D1E">
        <w:rPr>
          <w:rFonts w:cs="Times New Roman"/>
          <w:b/>
          <w:bCs/>
          <w:color w:val="auto"/>
          <w:szCs w:val="24"/>
        </w:rPr>
        <w:fldChar w:fldCharType="end"/>
      </w:r>
      <w:r w:rsidRPr="009F6D1E">
        <w:rPr>
          <w:rFonts w:cs="Times New Roman"/>
          <w:color w:val="auto"/>
          <w:szCs w:val="24"/>
        </w:rPr>
        <w:t>.</w:t>
      </w:r>
    </w:p>
    <w:p w14:paraId="2DD8B841" w14:textId="77777777" w:rsidR="007D4C6A" w:rsidRPr="009F6D1E" w:rsidRDefault="007D4C6A" w:rsidP="0084747F">
      <w:pPr>
        <w:autoSpaceDE w:val="0"/>
        <w:autoSpaceDN w:val="0"/>
        <w:adjustRightInd w:val="0"/>
        <w:spacing w:after="60" w:line="264" w:lineRule="auto"/>
        <w:jc w:val="center"/>
        <w:rPr>
          <w:rFonts w:cs="Times New Roman"/>
          <w:color w:val="auto"/>
          <w:szCs w:val="24"/>
        </w:rPr>
      </w:pPr>
      <w:r w:rsidRPr="009F6D1E">
        <w:rPr>
          <w:rFonts w:cs="Times New Roman"/>
          <w:noProof/>
          <w:color w:val="auto"/>
          <w:szCs w:val="24"/>
          <w:lang w:val="en-US"/>
        </w:rPr>
        <w:lastRenderedPageBreak/>
        <w:drawing>
          <wp:inline distT="0" distB="0" distL="0" distR="0" wp14:anchorId="20B4E773" wp14:editId="571FF693">
            <wp:extent cx="4930140" cy="2179320"/>
            <wp:effectExtent l="0" t="0" r="381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930140" cy="2179320"/>
                    </a:xfrm>
                    <a:prstGeom prst="rect">
                      <a:avLst/>
                    </a:prstGeom>
                    <a:noFill/>
                    <a:ln>
                      <a:noFill/>
                    </a:ln>
                  </pic:spPr>
                </pic:pic>
              </a:graphicData>
            </a:graphic>
          </wp:inline>
        </w:drawing>
      </w:r>
    </w:p>
    <w:p w14:paraId="6E217080" w14:textId="319B678B" w:rsidR="007D4C6A" w:rsidRPr="009F6D1E" w:rsidRDefault="000B15B6" w:rsidP="000B15B6">
      <w:pPr>
        <w:pStyle w:val="Caption"/>
        <w:rPr>
          <w:rFonts w:eastAsia="Times New Roman"/>
          <w:i w:val="0"/>
          <w:iCs w:val="0"/>
          <w:smallCaps/>
          <w:color w:val="auto"/>
        </w:rPr>
      </w:pPr>
      <w:bookmarkStart w:id="442" w:name="_Ref107173221"/>
      <w:bookmarkStart w:id="443" w:name="_Ref63683719"/>
      <w:bookmarkStart w:id="444" w:name="_Toc86755110"/>
      <w:bookmarkStart w:id="445" w:name="_Toc97396311"/>
      <w:bookmarkStart w:id="446" w:name="_Toc115255143"/>
      <w:r w:rsidRPr="009F6D1E">
        <w:t xml:space="preserve">Фигура </w:t>
      </w:r>
      <w:fldSimple w:instr=" SEQ Фигура \* ARABIC ">
        <w:r w:rsidR="00A43EF3">
          <w:rPr>
            <w:noProof/>
          </w:rPr>
          <w:t>82</w:t>
        </w:r>
      </w:fldSimple>
      <w:bookmarkEnd w:id="442"/>
      <w:r w:rsidRPr="009F6D1E">
        <w:t xml:space="preserve">: </w:t>
      </w:r>
      <w:bookmarkEnd w:id="443"/>
      <w:r w:rsidR="007D4C6A" w:rsidRPr="009F6D1E">
        <w:rPr>
          <w:color w:val="auto"/>
        </w:rPr>
        <w:t xml:space="preserve"> Наличност на дълготрайните материални активи с екологично предназначение (ДМА-ЕП) към края на 2020г. по статистически зони, райони и области в хил. левове.</w:t>
      </w:r>
      <w:bookmarkEnd w:id="444"/>
      <w:bookmarkEnd w:id="445"/>
      <w:bookmarkEnd w:id="446"/>
    </w:p>
    <w:p w14:paraId="13E5C501" w14:textId="77777777" w:rsidR="007D4C6A" w:rsidRPr="009F6D1E" w:rsidRDefault="007D4C6A" w:rsidP="00D61D0C">
      <w:pPr>
        <w:spacing w:after="60" w:line="264" w:lineRule="auto"/>
        <w:jc w:val="both"/>
        <w:rPr>
          <w:rFonts w:cs="Times New Roman"/>
          <w:color w:val="auto"/>
          <w:szCs w:val="24"/>
        </w:rPr>
      </w:pPr>
    </w:p>
    <w:p w14:paraId="70C37D6B" w14:textId="77777777" w:rsidR="007D4C6A" w:rsidRPr="009F6D1E" w:rsidRDefault="007D4C6A" w:rsidP="00D61D0C">
      <w:pPr>
        <w:autoSpaceDE w:val="0"/>
        <w:autoSpaceDN w:val="0"/>
        <w:adjustRightInd w:val="0"/>
        <w:spacing w:after="60" w:line="264" w:lineRule="auto"/>
        <w:ind w:firstLine="851"/>
        <w:jc w:val="both"/>
        <w:rPr>
          <w:rFonts w:cs="Times New Roman"/>
          <w:color w:val="auto"/>
          <w:szCs w:val="24"/>
        </w:rPr>
      </w:pPr>
      <w:bookmarkStart w:id="447" w:name="_Hlk66191317"/>
      <w:r w:rsidRPr="009F6D1E">
        <w:rPr>
          <w:rFonts w:cs="Times New Roman"/>
          <w:color w:val="auto"/>
          <w:szCs w:val="24"/>
        </w:rPr>
        <w:t>Силно забележимо е неравномерното разпределение на ДМА-ЕП за северна и южна България: материалните активи за южните статистически райони са винаги с дял от над 70% (стигащи до 72% през 2020г.) по-високи от тези за северните, т.е. над 2.5 пъти по-високи.</w:t>
      </w:r>
    </w:p>
    <w:p w14:paraId="16AF6BB5" w14:textId="77777777" w:rsidR="007D4C6A" w:rsidRPr="009F6D1E" w:rsidRDefault="007D4C6A" w:rsidP="00D61D0C">
      <w:pPr>
        <w:autoSpaceDE w:val="0"/>
        <w:autoSpaceDN w:val="0"/>
        <w:adjustRightInd w:val="0"/>
        <w:spacing w:after="60" w:line="264" w:lineRule="auto"/>
        <w:ind w:firstLine="851"/>
        <w:jc w:val="both"/>
        <w:rPr>
          <w:rFonts w:cs="Times New Roman"/>
          <w:color w:val="auto"/>
          <w:szCs w:val="24"/>
        </w:rPr>
      </w:pPr>
      <w:r w:rsidRPr="009F6D1E">
        <w:rPr>
          <w:rFonts w:cs="Times New Roman"/>
          <w:color w:val="auto"/>
          <w:szCs w:val="24"/>
        </w:rPr>
        <w:t xml:space="preserve">В годишен аспект най-голям е делът на ДМА-ЕП в </w:t>
      </w:r>
      <w:r w:rsidRPr="009F6D1E">
        <w:rPr>
          <w:rFonts w:cs="Times New Roman"/>
          <w:b/>
          <w:bCs/>
          <w:color w:val="auto"/>
          <w:szCs w:val="24"/>
        </w:rPr>
        <w:t>Югозападен район</w:t>
      </w:r>
      <w:r w:rsidRPr="009F6D1E">
        <w:rPr>
          <w:rFonts w:cs="Times New Roman"/>
          <w:color w:val="auto"/>
          <w:szCs w:val="24"/>
        </w:rPr>
        <w:t xml:space="preserve"> в периода 2010-2013г.(от 35.5% през 2010г. до 28.6% през 2013г.), след което за периода 2014-2020г. </w:t>
      </w:r>
      <w:r w:rsidRPr="009F6D1E">
        <w:rPr>
          <w:rFonts w:cs="Times New Roman"/>
          <w:b/>
          <w:bCs/>
          <w:color w:val="auto"/>
          <w:szCs w:val="24"/>
        </w:rPr>
        <w:t>Югоизточен район</w:t>
      </w:r>
      <w:r w:rsidRPr="009F6D1E">
        <w:rPr>
          <w:rFonts w:cs="Times New Roman"/>
          <w:color w:val="auto"/>
          <w:szCs w:val="24"/>
        </w:rPr>
        <w:t xml:space="preserve"> е с най-голям дял – от 35.4% през 2014г до 30.3% през 2020г.</w:t>
      </w:r>
    </w:p>
    <w:bookmarkEnd w:id="447"/>
    <w:p w14:paraId="5925CB9F" w14:textId="7CC50D77" w:rsidR="00D61D0C" w:rsidRDefault="007D4C6A" w:rsidP="00D61D0C">
      <w:pPr>
        <w:autoSpaceDE w:val="0"/>
        <w:autoSpaceDN w:val="0"/>
        <w:adjustRightInd w:val="0"/>
        <w:spacing w:after="60" w:line="264" w:lineRule="auto"/>
        <w:ind w:firstLine="851"/>
        <w:jc w:val="both"/>
        <w:rPr>
          <w:rFonts w:cs="Times New Roman"/>
          <w:color w:val="auto"/>
          <w:szCs w:val="24"/>
        </w:rPr>
        <w:sectPr w:rsidR="00D61D0C" w:rsidSect="005B1C6B">
          <w:pgSz w:w="11907" w:h="16840" w:code="9"/>
          <w:pgMar w:top="1418" w:right="851" w:bottom="1134" w:left="1418" w:header="709" w:footer="709" w:gutter="0"/>
          <w:cols w:space="720"/>
          <w:docGrid w:linePitch="360"/>
        </w:sectPr>
      </w:pPr>
      <w:r w:rsidRPr="009F6D1E">
        <w:rPr>
          <w:rFonts w:cs="Times New Roman"/>
          <w:color w:val="auto"/>
          <w:szCs w:val="24"/>
        </w:rPr>
        <w:t xml:space="preserve">В </w:t>
      </w:r>
      <w:r>
        <w:fldChar w:fldCharType="begin"/>
      </w:r>
      <w:r>
        <w:instrText xml:space="preserve"> REF _Ref63683785 \h  \* MERGEFORMAT </w:instrText>
      </w:r>
      <w:r>
        <w:fldChar w:fldCharType="separate"/>
      </w:r>
      <w:r w:rsidR="00A43EF3" w:rsidRPr="00A43EF3">
        <w:rPr>
          <w:rFonts w:cs="Times New Roman"/>
          <w:b/>
          <w:bCs/>
          <w:color w:val="auto"/>
          <w:szCs w:val="24"/>
        </w:rPr>
        <w:t xml:space="preserve">Таблица 28: </w:t>
      </w:r>
      <w:r>
        <w:fldChar w:fldCharType="end"/>
      </w:r>
      <w:r w:rsidRPr="009F6D1E">
        <w:rPr>
          <w:rFonts w:cs="Times New Roman"/>
          <w:color w:val="auto"/>
          <w:szCs w:val="24"/>
        </w:rPr>
        <w:t xml:space="preserve"> са представени данните за движението на ДМА-ЕП по икономически дейности през периода 2010-2020г.</w:t>
      </w:r>
      <w:r w:rsidRPr="009F6D1E">
        <w:rPr>
          <w:rFonts w:cs="Times New Roman"/>
          <w:color w:val="auto"/>
          <w:szCs w:val="24"/>
          <w:vertAlign w:val="superscript"/>
        </w:rPr>
        <w:footnoteReference w:id="73"/>
      </w:r>
    </w:p>
    <w:p w14:paraId="0A9EBBD5" w14:textId="237EC9E3" w:rsidR="007D4C6A" w:rsidRPr="009F6D1E" w:rsidRDefault="000B15B6" w:rsidP="000B15B6">
      <w:pPr>
        <w:pStyle w:val="Caption"/>
        <w:rPr>
          <w:color w:val="auto"/>
          <w:highlight w:val="yellow"/>
        </w:rPr>
      </w:pPr>
      <w:bookmarkStart w:id="448" w:name="_Ref107173257"/>
      <w:bookmarkStart w:id="449" w:name="_Ref63683785"/>
      <w:bookmarkStart w:id="450" w:name="_Toc86754986"/>
      <w:bookmarkStart w:id="451" w:name="_Toc97395221"/>
      <w:bookmarkStart w:id="452" w:name="_Toc115255179"/>
      <w:r w:rsidRPr="009F6D1E">
        <w:lastRenderedPageBreak/>
        <w:t xml:space="preserve">Таблица </w:t>
      </w:r>
      <w:fldSimple w:instr=" SEQ Таблица \* ARABIC ">
        <w:r w:rsidR="00A43EF3">
          <w:rPr>
            <w:noProof/>
          </w:rPr>
          <w:t>28</w:t>
        </w:r>
      </w:fldSimple>
      <w:bookmarkEnd w:id="448"/>
      <w:r w:rsidRPr="009F6D1E">
        <w:t xml:space="preserve">: </w:t>
      </w:r>
      <w:bookmarkEnd w:id="449"/>
      <w:r w:rsidR="007D4C6A" w:rsidRPr="009F6D1E">
        <w:rPr>
          <w:color w:val="auto"/>
        </w:rPr>
        <w:t xml:space="preserve"> Наличност и движение на </w:t>
      </w:r>
      <w:bookmarkStart w:id="453" w:name="_Hlk63683849"/>
      <w:r w:rsidR="007D4C6A" w:rsidRPr="009F6D1E">
        <w:rPr>
          <w:color w:val="auto"/>
        </w:rPr>
        <w:t>ДМА-ЕП по икономически дейности през 2010-2020г. (в млн. левове</w:t>
      </w:r>
      <w:bookmarkEnd w:id="453"/>
      <w:r w:rsidR="007D4C6A" w:rsidRPr="009F6D1E">
        <w:rPr>
          <w:color w:val="auto"/>
        </w:rPr>
        <w:t>).</w:t>
      </w:r>
      <w:bookmarkEnd w:id="450"/>
      <w:bookmarkEnd w:id="451"/>
      <w:bookmarkEnd w:id="452"/>
    </w:p>
    <w:tbl>
      <w:tblPr>
        <w:tblStyle w:val="TableGrid11"/>
        <w:tblW w:w="5000" w:type="pct"/>
        <w:jc w:val="center"/>
        <w:tblLook w:val="04A0" w:firstRow="1" w:lastRow="0" w:firstColumn="1" w:lastColumn="0" w:noHBand="0" w:noVBand="1"/>
      </w:tblPr>
      <w:tblGrid>
        <w:gridCol w:w="3782"/>
        <w:gridCol w:w="962"/>
        <w:gridCol w:w="15"/>
        <w:gridCol w:w="861"/>
        <w:gridCol w:w="962"/>
        <w:gridCol w:w="963"/>
        <w:gridCol w:w="963"/>
        <w:gridCol w:w="963"/>
        <w:gridCol w:w="963"/>
        <w:gridCol w:w="963"/>
        <w:gridCol w:w="963"/>
        <w:gridCol w:w="963"/>
        <w:gridCol w:w="958"/>
      </w:tblGrid>
      <w:tr w:rsidR="00D61D0C" w:rsidRPr="00D61D0C" w14:paraId="49AF8D05" w14:textId="77777777" w:rsidTr="00D61D0C">
        <w:trPr>
          <w:trHeight w:val="397"/>
          <w:jc w:val="center"/>
        </w:trPr>
        <w:tc>
          <w:tcPr>
            <w:tcW w:w="965" w:type="pct"/>
            <w:noWrap/>
            <w:hideMark/>
          </w:tcPr>
          <w:p w14:paraId="76579DDB" w14:textId="77777777" w:rsidR="00D61D0C" w:rsidRPr="00D61D0C" w:rsidRDefault="00D61D0C" w:rsidP="003A6AB9">
            <w:pPr>
              <w:ind w:left="-57" w:right="-57"/>
              <w:jc w:val="center"/>
              <w:rPr>
                <w:rFonts w:cs="Times New Roman"/>
                <w:sz w:val="18"/>
                <w:szCs w:val="18"/>
                <w:lang w:val="bg-BG" w:eastAsia="bg-BG"/>
              </w:rPr>
            </w:pPr>
          </w:p>
        </w:tc>
        <w:tc>
          <w:tcPr>
            <w:tcW w:w="374" w:type="pct"/>
            <w:gridSpan w:val="2"/>
            <w:noWrap/>
            <w:hideMark/>
          </w:tcPr>
          <w:p w14:paraId="1A4FBF31" w14:textId="77777777" w:rsidR="00D61D0C" w:rsidRPr="00D61D0C" w:rsidRDefault="00D61D0C" w:rsidP="003A6AB9">
            <w:pPr>
              <w:ind w:left="-57" w:right="-57"/>
              <w:jc w:val="center"/>
              <w:rPr>
                <w:rFonts w:cs="Times New Roman"/>
                <w:b/>
                <w:bCs/>
                <w:sz w:val="18"/>
                <w:szCs w:val="18"/>
                <w:lang w:val="bg-BG" w:eastAsia="bg-BG"/>
              </w:rPr>
            </w:pPr>
            <w:r w:rsidRPr="00D61D0C">
              <w:rPr>
                <w:rFonts w:cs="Times New Roman"/>
                <w:sz w:val="18"/>
                <w:szCs w:val="18"/>
                <w:lang w:val="bg-BG" w:eastAsia="bg-BG"/>
              </w:rPr>
              <w:t>2020</w:t>
            </w:r>
          </w:p>
        </w:tc>
        <w:tc>
          <w:tcPr>
            <w:tcW w:w="360" w:type="pct"/>
          </w:tcPr>
          <w:p w14:paraId="00666C2F"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2019</w:t>
            </w:r>
          </w:p>
        </w:tc>
        <w:tc>
          <w:tcPr>
            <w:tcW w:w="367" w:type="pct"/>
            <w:noWrap/>
            <w:hideMark/>
          </w:tcPr>
          <w:p w14:paraId="7450EF15"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2018</w:t>
            </w:r>
          </w:p>
        </w:tc>
        <w:tc>
          <w:tcPr>
            <w:tcW w:w="367" w:type="pct"/>
            <w:noWrap/>
            <w:hideMark/>
          </w:tcPr>
          <w:p w14:paraId="5FF0F8AE"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2017</w:t>
            </w:r>
          </w:p>
        </w:tc>
        <w:tc>
          <w:tcPr>
            <w:tcW w:w="367" w:type="pct"/>
            <w:noWrap/>
            <w:hideMark/>
          </w:tcPr>
          <w:p w14:paraId="3A8123C5"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2016</w:t>
            </w:r>
          </w:p>
        </w:tc>
        <w:tc>
          <w:tcPr>
            <w:tcW w:w="367" w:type="pct"/>
            <w:noWrap/>
            <w:hideMark/>
          </w:tcPr>
          <w:p w14:paraId="07462060"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2015</w:t>
            </w:r>
          </w:p>
        </w:tc>
        <w:tc>
          <w:tcPr>
            <w:tcW w:w="367" w:type="pct"/>
            <w:noWrap/>
            <w:hideMark/>
          </w:tcPr>
          <w:p w14:paraId="2854B441"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2014</w:t>
            </w:r>
          </w:p>
        </w:tc>
        <w:tc>
          <w:tcPr>
            <w:tcW w:w="367" w:type="pct"/>
            <w:noWrap/>
            <w:hideMark/>
          </w:tcPr>
          <w:p w14:paraId="5493EFFD"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2013</w:t>
            </w:r>
          </w:p>
        </w:tc>
        <w:tc>
          <w:tcPr>
            <w:tcW w:w="367" w:type="pct"/>
            <w:noWrap/>
            <w:hideMark/>
          </w:tcPr>
          <w:p w14:paraId="4A6A9699"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2012</w:t>
            </w:r>
          </w:p>
        </w:tc>
        <w:tc>
          <w:tcPr>
            <w:tcW w:w="367" w:type="pct"/>
            <w:noWrap/>
            <w:hideMark/>
          </w:tcPr>
          <w:p w14:paraId="762055AD"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2011</w:t>
            </w:r>
          </w:p>
        </w:tc>
        <w:tc>
          <w:tcPr>
            <w:tcW w:w="367" w:type="pct"/>
            <w:noWrap/>
            <w:hideMark/>
          </w:tcPr>
          <w:p w14:paraId="5183D5D7" w14:textId="77777777" w:rsidR="00D61D0C" w:rsidRPr="00D61D0C" w:rsidRDefault="00D61D0C" w:rsidP="003A6AB9">
            <w:pPr>
              <w:ind w:left="-57" w:right="-57"/>
              <w:jc w:val="center"/>
              <w:rPr>
                <w:rFonts w:cs="Times New Roman"/>
                <w:sz w:val="18"/>
                <w:szCs w:val="18"/>
                <w:lang w:val="bg-BG" w:eastAsia="bg-BG"/>
              </w:rPr>
            </w:pPr>
            <w:r w:rsidRPr="00D61D0C">
              <w:rPr>
                <w:rFonts w:cs="Times New Roman"/>
                <w:sz w:val="18"/>
                <w:szCs w:val="18"/>
                <w:lang w:val="bg-BG" w:eastAsia="bg-BG"/>
              </w:rPr>
              <w:t>2010</w:t>
            </w:r>
          </w:p>
        </w:tc>
      </w:tr>
      <w:tr w:rsidR="00D61D0C" w:rsidRPr="00D61D0C" w14:paraId="6DACD10E" w14:textId="77777777" w:rsidTr="00D61D0C">
        <w:trPr>
          <w:trHeight w:val="276"/>
          <w:jc w:val="center"/>
        </w:trPr>
        <w:tc>
          <w:tcPr>
            <w:tcW w:w="965" w:type="pct"/>
            <w:noWrap/>
            <w:hideMark/>
          </w:tcPr>
          <w:p w14:paraId="6EC1D294" w14:textId="77777777" w:rsidR="00D61D0C" w:rsidRPr="00D61D0C" w:rsidRDefault="00D61D0C" w:rsidP="003A6AB9">
            <w:pPr>
              <w:ind w:left="-57" w:right="-57"/>
              <w:jc w:val="left"/>
              <w:rPr>
                <w:rFonts w:cs="Times New Roman"/>
                <w:b/>
                <w:bCs/>
                <w:sz w:val="18"/>
                <w:szCs w:val="18"/>
                <w:lang w:val="bg-BG" w:eastAsia="bg-BG"/>
              </w:rPr>
            </w:pPr>
            <w:r w:rsidRPr="00D61D0C">
              <w:rPr>
                <w:rFonts w:cs="Times New Roman"/>
                <w:b/>
                <w:bCs/>
                <w:sz w:val="18"/>
                <w:szCs w:val="18"/>
                <w:lang w:val="bg-BG" w:eastAsia="bg-BG"/>
              </w:rPr>
              <w:t>Общо за страната</w:t>
            </w:r>
          </w:p>
        </w:tc>
        <w:tc>
          <w:tcPr>
            <w:tcW w:w="374" w:type="pct"/>
            <w:gridSpan w:val="2"/>
            <w:noWrap/>
          </w:tcPr>
          <w:p w14:paraId="1CB868D6"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10 468.0</w:t>
            </w:r>
          </w:p>
        </w:tc>
        <w:tc>
          <w:tcPr>
            <w:tcW w:w="360" w:type="pct"/>
          </w:tcPr>
          <w:p w14:paraId="699A90F6"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9 889.8</w:t>
            </w:r>
          </w:p>
        </w:tc>
        <w:tc>
          <w:tcPr>
            <w:tcW w:w="367" w:type="pct"/>
            <w:noWrap/>
          </w:tcPr>
          <w:p w14:paraId="69B8288C"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9 523.6</w:t>
            </w:r>
          </w:p>
        </w:tc>
        <w:tc>
          <w:tcPr>
            <w:tcW w:w="367" w:type="pct"/>
            <w:noWrap/>
          </w:tcPr>
          <w:p w14:paraId="58F87460"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9 468.3</w:t>
            </w:r>
          </w:p>
        </w:tc>
        <w:tc>
          <w:tcPr>
            <w:tcW w:w="367" w:type="pct"/>
            <w:noWrap/>
          </w:tcPr>
          <w:p w14:paraId="4E9567D5"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9 045.5</w:t>
            </w:r>
          </w:p>
        </w:tc>
        <w:tc>
          <w:tcPr>
            <w:tcW w:w="367" w:type="pct"/>
            <w:noWrap/>
          </w:tcPr>
          <w:p w14:paraId="54BD31DE"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8 343.1</w:t>
            </w:r>
          </w:p>
        </w:tc>
        <w:tc>
          <w:tcPr>
            <w:tcW w:w="367" w:type="pct"/>
            <w:noWrap/>
          </w:tcPr>
          <w:p w14:paraId="792EE32B"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6 617.0</w:t>
            </w:r>
          </w:p>
        </w:tc>
        <w:tc>
          <w:tcPr>
            <w:tcW w:w="367" w:type="pct"/>
            <w:noWrap/>
          </w:tcPr>
          <w:p w14:paraId="16CDDA71"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5 871.1</w:t>
            </w:r>
          </w:p>
        </w:tc>
        <w:tc>
          <w:tcPr>
            <w:tcW w:w="367" w:type="pct"/>
            <w:noWrap/>
          </w:tcPr>
          <w:p w14:paraId="7241D13A"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4 948.5</w:t>
            </w:r>
          </w:p>
        </w:tc>
        <w:tc>
          <w:tcPr>
            <w:tcW w:w="367" w:type="pct"/>
            <w:noWrap/>
          </w:tcPr>
          <w:p w14:paraId="62049667"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4 696.3</w:t>
            </w:r>
          </w:p>
        </w:tc>
        <w:tc>
          <w:tcPr>
            <w:tcW w:w="367" w:type="pct"/>
            <w:noWrap/>
          </w:tcPr>
          <w:p w14:paraId="650AE2D4" w14:textId="77777777" w:rsidR="00D61D0C" w:rsidRPr="00D61D0C" w:rsidRDefault="00D61D0C" w:rsidP="003A6AB9">
            <w:pPr>
              <w:tabs>
                <w:tab w:val="decimal" w:pos="440"/>
              </w:tabs>
              <w:ind w:left="-57" w:right="-57"/>
              <w:jc w:val="center"/>
              <w:rPr>
                <w:rFonts w:cs="Times New Roman"/>
                <w:b/>
                <w:bCs/>
                <w:spacing w:val="-6"/>
                <w:sz w:val="18"/>
                <w:szCs w:val="18"/>
                <w:lang w:val="bg-BG" w:eastAsia="bg-BG"/>
              </w:rPr>
            </w:pPr>
            <w:r w:rsidRPr="00D61D0C">
              <w:rPr>
                <w:rFonts w:cs="Times New Roman"/>
                <w:b/>
                <w:bCs/>
                <w:spacing w:val="-6"/>
                <w:sz w:val="18"/>
                <w:szCs w:val="18"/>
                <w:lang w:val="bg-BG"/>
              </w:rPr>
              <w:t>4 053.0</w:t>
            </w:r>
          </w:p>
        </w:tc>
      </w:tr>
      <w:tr w:rsidR="00D61D0C" w:rsidRPr="00D61D0C" w14:paraId="641D4088" w14:textId="77777777" w:rsidTr="00D61D0C">
        <w:trPr>
          <w:trHeight w:val="276"/>
          <w:jc w:val="center"/>
        </w:trPr>
        <w:tc>
          <w:tcPr>
            <w:tcW w:w="965" w:type="pct"/>
            <w:noWrap/>
            <w:hideMark/>
          </w:tcPr>
          <w:p w14:paraId="19DCF176" w14:textId="77777777" w:rsidR="00D61D0C" w:rsidRPr="00D61D0C" w:rsidRDefault="00D61D0C" w:rsidP="003A6AB9">
            <w:pPr>
              <w:ind w:left="-57" w:right="-57"/>
              <w:jc w:val="left"/>
              <w:rPr>
                <w:rFonts w:cs="Times New Roman"/>
                <w:b/>
                <w:bCs/>
                <w:sz w:val="18"/>
                <w:szCs w:val="18"/>
                <w:lang w:val="bg-BG" w:eastAsia="bg-BG"/>
              </w:rPr>
            </w:pPr>
            <w:r w:rsidRPr="00D61D0C">
              <w:rPr>
                <w:rFonts w:cs="Times New Roman"/>
                <w:b/>
                <w:bCs/>
                <w:sz w:val="18"/>
                <w:szCs w:val="18"/>
                <w:lang w:val="bg-BG" w:eastAsia="bg-BG"/>
              </w:rPr>
              <w:t xml:space="preserve">Селско, горско и </w:t>
            </w:r>
          </w:p>
          <w:p w14:paraId="4C27FA95" w14:textId="77777777" w:rsidR="00D61D0C" w:rsidRPr="00D61D0C" w:rsidRDefault="00D61D0C" w:rsidP="003A6AB9">
            <w:pPr>
              <w:ind w:left="-57" w:right="-57"/>
              <w:jc w:val="left"/>
              <w:rPr>
                <w:rFonts w:cs="Times New Roman"/>
                <w:b/>
                <w:bCs/>
                <w:sz w:val="18"/>
                <w:szCs w:val="18"/>
                <w:lang w:val="bg-BG" w:eastAsia="bg-BG"/>
              </w:rPr>
            </w:pPr>
            <w:r w:rsidRPr="00D61D0C">
              <w:rPr>
                <w:rFonts w:cs="Times New Roman"/>
                <w:b/>
                <w:bCs/>
                <w:sz w:val="18"/>
                <w:szCs w:val="18"/>
                <w:lang w:val="bg-BG" w:eastAsia="bg-BG"/>
              </w:rPr>
              <w:t xml:space="preserve">рибно стопанство </w:t>
            </w:r>
          </w:p>
        </w:tc>
        <w:tc>
          <w:tcPr>
            <w:tcW w:w="374" w:type="pct"/>
            <w:gridSpan w:val="2"/>
            <w:noWrap/>
            <w:hideMark/>
          </w:tcPr>
          <w:p w14:paraId="34C5013E"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19.2</w:t>
            </w:r>
          </w:p>
        </w:tc>
        <w:tc>
          <w:tcPr>
            <w:tcW w:w="360" w:type="pct"/>
          </w:tcPr>
          <w:p w14:paraId="04CD7C92"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21.4</w:t>
            </w:r>
          </w:p>
        </w:tc>
        <w:tc>
          <w:tcPr>
            <w:tcW w:w="367" w:type="pct"/>
            <w:noWrap/>
            <w:hideMark/>
          </w:tcPr>
          <w:p w14:paraId="5A30A6BC"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17.1</w:t>
            </w:r>
          </w:p>
        </w:tc>
        <w:tc>
          <w:tcPr>
            <w:tcW w:w="367" w:type="pct"/>
            <w:noWrap/>
            <w:hideMark/>
          </w:tcPr>
          <w:p w14:paraId="17794EE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15.4</w:t>
            </w:r>
          </w:p>
        </w:tc>
        <w:tc>
          <w:tcPr>
            <w:tcW w:w="367" w:type="pct"/>
            <w:noWrap/>
            <w:hideMark/>
          </w:tcPr>
          <w:p w14:paraId="23D45D71"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14.2</w:t>
            </w:r>
          </w:p>
        </w:tc>
        <w:tc>
          <w:tcPr>
            <w:tcW w:w="367" w:type="pct"/>
            <w:noWrap/>
            <w:hideMark/>
          </w:tcPr>
          <w:p w14:paraId="25117F03"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13.5</w:t>
            </w:r>
          </w:p>
        </w:tc>
        <w:tc>
          <w:tcPr>
            <w:tcW w:w="367" w:type="pct"/>
            <w:noWrap/>
            <w:hideMark/>
          </w:tcPr>
          <w:p w14:paraId="2B424A17"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13.0</w:t>
            </w:r>
          </w:p>
        </w:tc>
        <w:tc>
          <w:tcPr>
            <w:tcW w:w="367" w:type="pct"/>
            <w:noWrap/>
            <w:hideMark/>
          </w:tcPr>
          <w:p w14:paraId="29213072"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12.8</w:t>
            </w:r>
          </w:p>
        </w:tc>
        <w:tc>
          <w:tcPr>
            <w:tcW w:w="367" w:type="pct"/>
            <w:noWrap/>
            <w:hideMark/>
          </w:tcPr>
          <w:p w14:paraId="794C41F4"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13.6</w:t>
            </w:r>
          </w:p>
        </w:tc>
        <w:tc>
          <w:tcPr>
            <w:tcW w:w="367" w:type="pct"/>
            <w:noWrap/>
            <w:hideMark/>
          </w:tcPr>
          <w:p w14:paraId="7D8B24D9"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9.2</w:t>
            </w:r>
          </w:p>
        </w:tc>
        <w:tc>
          <w:tcPr>
            <w:tcW w:w="367" w:type="pct"/>
            <w:noWrap/>
            <w:hideMark/>
          </w:tcPr>
          <w:p w14:paraId="5E1198BC"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6.2</w:t>
            </w:r>
          </w:p>
        </w:tc>
      </w:tr>
      <w:tr w:rsidR="00D61D0C" w:rsidRPr="00D61D0C" w14:paraId="5F1F6382" w14:textId="77777777" w:rsidTr="00D61D0C">
        <w:trPr>
          <w:trHeight w:val="276"/>
          <w:jc w:val="center"/>
        </w:trPr>
        <w:tc>
          <w:tcPr>
            <w:tcW w:w="965" w:type="pct"/>
            <w:noWrap/>
            <w:hideMark/>
          </w:tcPr>
          <w:p w14:paraId="5141923F" w14:textId="77777777" w:rsidR="00D61D0C" w:rsidRPr="00D61D0C" w:rsidRDefault="00D61D0C" w:rsidP="003A6AB9">
            <w:pPr>
              <w:ind w:left="-57" w:right="-57"/>
              <w:jc w:val="left"/>
              <w:rPr>
                <w:rFonts w:cs="Times New Roman"/>
                <w:b/>
                <w:bCs/>
                <w:sz w:val="18"/>
                <w:szCs w:val="18"/>
                <w:lang w:val="bg-BG" w:eastAsia="bg-BG"/>
              </w:rPr>
            </w:pPr>
            <w:r w:rsidRPr="00D61D0C">
              <w:rPr>
                <w:rFonts w:cs="Times New Roman"/>
                <w:b/>
                <w:bCs/>
                <w:sz w:val="18"/>
                <w:szCs w:val="18"/>
                <w:lang w:val="bg-BG" w:eastAsia="bg-BG"/>
              </w:rPr>
              <w:t>Промишленост</w:t>
            </w:r>
          </w:p>
          <w:p w14:paraId="5B9469DB" w14:textId="77777777" w:rsidR="00D61D0C" w:rsidRPr="00D61D0C" w:rsidRDefault="00D61D0C" w:rsidP="003A6AB9">
            <w:pPr>
              <w:ind w:left="113" w:right="-57"/>
              <w:jc w:val="left"/>
              <w:rPr>
                <w:rFonts w:cs="Times New Roman"/>
                <w:b/>
                <w:bCs/>
                <w:sz w:val="18"/>
                <w:szCs w:val="18"/>
                <w:lang w:val="bg-BG" w:eastAsia="bg-BG"/>
              </w:rPr>
            </w:pPr>
            <w:r w:rsidRPr="00D61D0C">
              <w:rPr>
                <w:rFonts w:cs="Times New Roman"/>
                <w:i/>
                <w:iCs/>
                <w:sz w:val="18"/>
                <w:szCs w:val="18"/>
                <w:lang w:val="bg-BG" w:eastAsia="bg-BG"/>
              </w:rPr>
              <w:t>в това число</w:t>
            </w:r>
            <w:r w:rsidRPr="00D61D0C">
              <w:rPr>
                <w:rFonts w:cs="Times New Roman"/>
                <w:b/>
                <w:bCs/>
                <w:sz w:val="18"/>
                <w:szCs w:val="18"/>
                <w:lang w:val="bg-BG" w:eastAsia="bg-BG"/>
              </w:rPr>
              <w:t>:</w:t>
            </w:r>
          </w:p>
        </w:tc>
        <w:tc>
          <w:tcPr>
            <w:tcW w:w="374" w:type="pct"/>
            <w:gridSpan w:val="2"/>
            <w:noWrap/>
            <w:hideMark/>
          </w:tcPr>
          <w:p w14:paraId="67ADD0C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6 101.6</w:t>
            </w:r>
          </w:p>
        </w:tc>
        <w:tc>
          <w:tcPr>
            <w:tcW w:w="360" w:type="pct"/>
          </w:tcPr>
          <w:p w14:paraId="122F0A1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5 789.3</w:t>
            </w:r>
          </w:p>
        </w:tc>
        <w:tc>
          <w:tcPr>
            <w:tcW w:w="367" w:type="pct"/>
            <w:noWrap/>
            <w:hideMark/>
          </w:tcPr>
          <w:p w14:paraId="31A28C6A"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5 641.7</w:t>
            </w:r>
          </w:p>
        </w:tc>
        <w:tc>
          <w:tcPr>
            <w:tcW w:w="367" w:type="pct"/>
            <w:noWrap/>
            <w:hideMark/>
          </w:tcPr>
          <w:p w14:paraId="43F18E9B"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5 422.7</w:t>
            </w:r>
          </w:p>
        </w:tc>
        <w:tc>
          <w:tcPr>
            <w:tcW w:w="367" w:type="pct"/>
            <w:noWrap/>
            <w:hideMark/>
          </w:tcPr>
          <w:p w14:paraId="24F8B0D1"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5 166.5</w:t>
            </w:r>
          </w:p>
        </w:tc>
        <w:tc>
          <w:tcPr>
            <w:tcW w:w="367" w:type="pct"/>
            <w:noWrap/>
            <w:hideMark/>
          </w:tcPr>
          <w:p w14:paraId="73A419F7"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4 871.4</w:t>
            </w:r>
          </w:p>
        </w:tc>
        <w:tc>
          <w:tcPr>
            <w:tcW w:w="367" w:type="pct"/>
            <w:noWrap/>
            <w:hideMark/>
          </w:tcPr>
          <w:p w14:paraId="798502FA"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4 428.5</w:t>
            </w:r>
          </w:p>
        </w:tc>
        <w:tc>
          <w:tcPr>
            <w:tcW w:w="367" w:type="pct"/>
            <w:noWrap/>
            <w:hideMark/>
          </w:tcPr>
          <w:p w14:paraId="7ED02089"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3 695.6</w:t>
            </w:r>
          </w:p>
        </w:tc>
        <w:tc>
          <w:tcPr>
            <w:tcW w:w="367" w:type="pct"/>
            <w:noWrap/>
            <w:hideMark/>
          </w:tcPr>
          <w:p w14:paraId="117D2162"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3 416.6</w:t>
            </w:r>
          </w:p>
        </w:tc>
        <w:tc>
          <w:tcPr>
            <w:tcW w:w="367" w:type="pct"/>
            <w:noWrap/>
            <w:hideMark/>
          </w:tcPr>
          <w:p w14:paraId="08765897"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3 334.2</w:t>
            </w:r>
          </w:p>
        </w:tc>
        <w:tc>
          <w:tcPr>
            <w:tcW w:w="367" w:type="pct"/>
            <w:noWrap/>
            <w:hideMark/>
          </w:tcPr>
          <w:p w14:paraId="3F313DDF"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3 000.6</w:t>
            </w:r>
          </w:p>
        </w:tc>
      </w:tr>
      <w:tr w:rsidR="00D61D0C" w:rsidRPr="00D61D0C" w14:paraId="487D9ED8" w14:textId="77777777" w:rsidTr="00D61D0C">
        <w:trPr>
          <w:trHeight w:val="276"/>
          <w:jc w:val="center"/>
        </w:trPr>
        <w:tc>
          <w:tcPr>
            <w:tcW w:w="965" w:type="pct"/>
            <w:noWrap/>
            <w:hideMark/>
          </w:tcPr>
          <w:p w14:paraId="523967B7" w14:textId="77777777" w:rsidR="00D61D0C" w:rsidRPr="00D61D0C" w:rsidRDefault="00D61D0C" w:rsidP="003A6AB9">
            <w:pPr>
              <w:ind w:left="113" w:right="-57"/>
              <w:jc w:val="left"/>
              <w:rPr>
                <w:rFonts w:cs="Times New Roman"/>
                <w:i/>
                <w:iCs/>
                <w:sz w:val="18"/>
                <w:szCs w:val="18"/>
                <w:lang w:val="bg-BG" w:eastAsia="bg-BG"/>
              </w:rPr>
            </w:pPr>
            <w:r w:rsidRPr="00D61D0C">
              <w:rPr>
                <w:rFonts w:cs="Times New Roman"/>
                <w:i/>
                <w:iCs/>
                <w:sz w:val="18"/>
                <w:szCs w:val="18"/>
                <w:lang w:val="bg-BG" w:eastAsia="bg-BG"/>
              </w:rPr>
              <w:t xml:space="preserve">Добивна промишленост </w:t>
            </w:r>
          </w:p>
        </w:tc>
        <w:tc>
          <w:tcPr>
            <w:tcW w:w="374" w:type="pct"/>
            <w:gridSpan w:val="2"/>
            <w:noWrap/>
            <w:hideMark/>
          </w:tcPr>
          <w:p w14:paraId="7F4CAA1F"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243.4</w:t>
            </w:r>
          </w:p>
        </w:tc>
        <w:tc>
          <w:tcPr>
            <w:tcW w:w="360" w:type="pct"/>
          </w:tcPr>
          <w:p w14:paraId="3B2774E0"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109.6</w:t>
            </w:r>
          </w:p>
        </w:tc>
        <w:tc>
          <w:tcPr>
            <w:tcW w:w="367" w:type="pct"/>
            <w:noWrap/>
            <w:hideMark/>
          </w:tcPr>
          <w:p w14:paraId="73BB9AE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123.6</w:t>
            </w:r>
          </w:p>
        </w:tc>
        <w:tc>
          <w:tcPr>
            <w:tcW w:w="367" w:type="pct"/>
            <w:noWrap/>
            <w:hideMark/>
          </w:tcPr>
          <w:p w14:paraId="7F326E79"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117.0</w:t>
            </w:r>
          </w:p>
        </w:tc>
        <w:tc>
          <w:tcPr>
            <w:tcW w:w="367" w:type="pct"/>
            <w:noWrap/>
            <w:hideMark/>
          </w:tcPr>
          <w:p w14:paraId="4CC5212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120.2</w:t>
            </w:r>
          </w:p>
        </w:tc>
        <w:tc>
          <w:tcPr>
            <w:tcW w:w="367" w:type="pct"/>
            <w:noWrap/>
            <w:hideMark/>
          </w:tcPr>
          <w:p w14:paraId="41959F1F"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111.2</w:t>
            </w:r>
          </w:p>
        </w:tc>
        <w:tc>
          <w:tcPr>
            <w:tcW w:w="367" w:type="pct"/>
            <w:noWrap/>
            <w:hideMark/>
          </w:tcPr>
          <w:p w14:paraId="24064CD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111.3</w:t>
            </w:r>
          </w:p>
        </w:tc>
        <w:tc>
          <w:tcPr>
            <w:tcW w:w="367" w:type="pct"/>
            <w:noWrap/>
            <w:hideMark/>
          </w:tcPr>
          <w:p w14:paraId="20BDBEA0"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88.5</w:t>
            </w:r>
          </w:p>
        </w:tc>
        <w:tc>
          <w:tcPr>
            <w:tcW w:w="367" w:type="pct"/>
            <w:noWrap/>
            <w:hideMark/>
          </w:tcPr>
          <w:p w14:paraId="2A46CBA8"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85.5</w:t>
            </w:r>
          </w:p>
        </w:tc>
        <w:tc>
          <w:tcPr>
            <w:tcW w:w="367" w:type="pct"/>
            <w:noWrap/>
            <w:hideMark/>
          </w:tcPr>
          <w:p w14:paraId="78FFA31A"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87.1</w:t>
            </w:r>
          </w:p>
        </w:tc>
        <w:tc>
          <w:tcPr>
            <w:tcW w:w="367" w:type="pct"/>
            <w:noWrap/>
            <w:hideMark/>
          </w:tcPr>
          <w:p w14:paraId="022109B2"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86.0</w:t>
            </w:r>
          </w:p>
        </w:tc>
      </w:tr>
      <w:tr w:rsidR="00D61D0C" w:rsidRPr="00D61D0C" w14:paraId="4E0E91E7" w14:textId="77777777" w:rsidTr="00D61D0C">
        <w:trPr>
          <w:trHeight w:val="276"/>
          <w:jc w:val="center"/>
        </w:trPr>
        <w:tc>
          <w:tcPr>
            <w:tcW w:w="965" w:type="pct"/>
            <w:noWrap/>
            <w:hideMark/>
          </w:tcPr>
          <w:p w14:paraId="1643B29E" w14:textId="77777777" w:rsidR="00D61D0C" w:rsidRPr="00D61D0C" w:rsidRDefault="00D61D0C" w:rsidP="003A6AB9">
            <w:pPr>
              <w:ind w:left="113" w:right="-57"/>
              <w:jc w:val="left"/>
              <w:rPr>
                <w:rFonts w:cs="Times New Roman"/>
                <w:i/>
                <w:iCs/>
                <w:sz w:val="18"/>
                <w:szCs w:val="18"/>
                <w:lang w:val="bg-BG" w:eastAsia="bg-BG"/>
              </w:rPr>
            </w:pPr>
            <w:r w:rsidRPr="00D61D0C">
              <w:rPr>
                <w:rFonts w:cs="Times New Roman"/>
                <w:i/>
                <w:iCs/>
                <w:sz w:val="18"/>
                <w:szCs w:val="18"/>
                <w:lang w:val="bg-BG" w:eastAsia="bg-BG"/>
              </w:rPr>
              <w:t xml:space="preserve">Преработваща промишленост </w:t>
            </w:r>
          </w:p>
        </w:tc>
        <w:tc>
          <w:tcPr>
            <w:tcW w:w="374" w:type="pct"/>
            <w:gridSpan w:val="2"/>
            <w:noWrap/>
            <w:hideMark/>
          </w:tcPr>
          <w:p w14:paraId="3E282254"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2 268.1</w:t>
            </w:r>
          </w:p>
        </w:tc>
        <w:tc>
          <w:tcPr>
            <w:tcW w:w="360" w:type="pct"/>
          </w:tcPr>
          <w:p w14:paraId="24B9BC92"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2 201.1</w:t>
            </w:r>
          </w:p>
        </w:tc>
        <w:tc>
          <w:tcPr>
            <w:tcW w:w="367" w:type="pct"/>
            <w:noWrap/>
            <w:hideMark/>
          </w:tcPr>
          <w:p w14:paraId="0483EE88"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2 109.2</w:t>
            </w:r>
          </w:p>
        </w:tc>
        <w:tc>
          <w:tcPr>
            <w:tcW w:w="367" w:type="pct"/>
            <w:noWrap/>
            <w:hideMark/>
          </w:tcPr>
          <w:p w14:paraId="5462817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2 032.2</w:t>
            </w:r>
          </w:p>
        </w:tc>
        <w:tc>
          <w:tcPr>
            <w:tcW w:w="367" w:type="pct"/>
            <w:noWrap/>
            <w:hideMark/>
          </w:tcPr>
          <w:p w14:paraId="620CA21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1 790.0</w:t>
            </w:r>
          </w:p>
        </w:tc>
        <w:tc>
          <w:tcPr>
            <w:tcW w:w="367" w:type="pct"/>
            <w:noWrap/>
            <w:hideMark/>
          </w:tcPr>
          <w:p w14:paraId="19B25419"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1 628.4</w:t>
            </w:r>
          </w:p>
        </w:tc>
        <w:tc>
          <w:tcPr>
            <w:tcW w:w="367" w:type="pct"/>
            <w:noWrap/>
            <w:hideMark/>
          </w:tcPr>
          <w:p w14:paraId="69510877"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1 380.2</w:t>
            </w:r>
          </w:p>
        </w:tc>
        <w:tc>
          <w:tcPr>
            <w:tcW w:w="367" w:type="pct"/>
            <w:noWrap/>
            <w:hideMark/>
          </w:tcPr>
          <w:p w14:paraId="64BE9EB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1 260.7</w:t>
            </w:r>
          </w:p>
        </w:tc>
        <w:tc>
          <w:tcPr>
            <w:tcW w:w="367" w:type="pct"/>
            <w:noWrap/>
            <w:hideMark/>
          </w:tcPr>
          <w:p w14:paraId="7FDB9204"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1 123.9</w:t>
            </w:r>
          </w:p>
        </w:tc>
        <w:tc>
          <w:tcPr>
            <w:tcW w:w="367" w:type="pct"/>
            <w:noWrap/>
            <w:hideMark/>
          </w:tcPr>
          <w:p w14:paraId="257DA4DB"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1 204.4</w:t>
            </w:r>
          </w:p>
        </w:tc>
        <w:tc>
          <w:tcPr>
            <w:tcW w:w="367" w:type="pct"/>
            <w:noWrap/>
            <w:hideMark/>
          </w:tcPr>
          <w:p w14:paraId="602A33B5"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1 098.8</w:t>
            </w:r>
          </w:p>
        </w:tc>
      </w:tr>
      <w:tr w:rsidR="00D61D0C" w:rsidRPr="00D61D0C" w14:paraId="2D15CE6E" w14:textId="77777777" w:rsidTr="00D61D0C">
        <w:trPr>
          <w:trHeight w:val="636"/>
          <w:jc w:val="center"/>
        </w:trPr>
        <w:tc>
          <w:tcPr>
            <w:tcW w:w="965" w:type="pct"/>
            <w:hideMark/>
          </w:tcPr>
          <w:p w14:paraId="20001B05" w14:textId="77777777" w:rsidR="00D61D0C" w:rsidRPr="00D61D0C" w:rsidRDefault="00D61D0C" w:rsidP="003A6AB9">
            <w:pPr>
              <w:ind w:left="113" w:right="-57"/>
              <w:jc w:val="left"/>
              <w:rPr>
                <w:rFonts w:cs="Times New Roman"/>
                <w:i/>
                <w:iCs/>
                <w:sz w:val="18"/>
                <w:szCs w:val="18"/>
                <w:lang w:val="bg-BG" w:eastAsia="bg-BG"/>
              </w:rPr>
            </w:pPr>
            <w:bookmarkStart w:id="454" w:name="_Hlk63676314"/>
            <w:bookmarkStart w:id="455" w:name="_Hlk63433620"/>
            <w:r w:rsidRPr="00D61D0C">
              <w:rPr>
                <w:rFonts w:cs="Times New Roman"/>
                <w:i/>
                <w:iCs/>
                <w:sz w:val="18"/>
                <w:szCs w:val="18"/>
                <w:lang w:val="bg-BG" w:eastAsia="bg-BG"/>
              </w:rPr>
              <w:t xml:space="preserve">Производство и разпределение на електрическа и топлинна енергия и на газообразни горива, доставяне на води </w:t>
            </w:r>
            <w:bookmarkEnd w:id="454"/>
          </w:p>
        </w:tc>
        <w:tc>
          <w:tcPr>
            <w:tcW w:w="374" w:type="pct"/>
            <w:gridSpan w:val="2"/>
            <w:noWrap/>
            <w:hideMark/>
          </w:tcPr>
          <w:p w14:paraId="3F1948F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2 577.2</w:t>
            </w:r>
          </w:p>
        </w:tc>
        <w:tc>
          <w:tcPr>
            <w:tcW w:w="360" w:type="pct"/>
          </w:tcPr>
          <w:p w14:paraId="4810DD68"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2 537.1</w:t>
            </w:r>
          </w:p>
        </w:tc>
        <w:tc>
          <w:tcPr>
            <w:tcW w:w="367" w:type="pct"/>
            <w:noWrap/>
            <w:hideMark/>
          </w:tcPr>
          <w:p w14:paraId="4A0AC907"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2 477.6</w:t>
            </w:r>
          </w:p>
        </w:tc>
        <w:tc>
          <w:tcPr>
            <w:tcW w:w="367" w:type="pct"/>
            <w:noWrap/>
            <w:hideMark/>
          </w:tcPr>
          <w:p w14:paraId="1ACF011D"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2 520.9</w:t>
            </w:r>
          </w:p>
        </w:tc>
        <w:tc>
          <w:tcPr>
            <w:tcW w:w="367" w:type="pct"/>
            <w:noWrap/>
            <w:hideMark/>
          </w:tcPr>
          <w:p w14:paraId="126A7AC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2 560.5</w:t>
            </w:r>
          </w:p>
        </w:tc>
        <w:tc>
          <w:tcPr>
            <w:tcW w:w="367" w:type="pct"/>
            <w:noWrap/>
            <w:hideMark/>
          </w:tcPr>
          <w:p w14:paraId="19F4AB1D"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2 460.4</w:t>
            </w:r>
          </w:p>
        </w:tc>
        <w:tc>
          <w:tcPr>
            <w:tcW w:w="367" w:type="pct"/>
            <w:noWrap/>
            <w:hideMark/>
          </w:tcPr>
          <w:p w14:paraId="5A553F5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2 472.1</w:t>
            </w:r>
          </w:p>
        </w:tc>
        <w:tc>
          <w:tcPr>
            <w:tcW w:w="367" w:type="pct"/>
            <w:noWrap/>
            <w:hideMark/>
          </w:tcPr>
          <w:p w14:paraId="136AE0B8"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1 808.5</w:t>
            </w:r>
          </w:p>
        </w:tc>
        <w:tc>
          <w:tcPr>
            <w:tcW w:w="367" w:type="pct"/>
            <w:noWrap/>
            <w:hideMark/>
          </w:tcPr>
          <w:p w14:paraId="063BA19A"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1 735.7</w:t>
            </w:r>
          </w:p>
        </w:tc>
        <w:tc>
          <w:tcPr>
            <w:tcW w:w="367" w:type="pct"/>
            <w:noWrap/>
            <w:hideMark/>
          </w:tcPr>
          <w:p w14:paraId="38B3519C"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1 675.2</w:t>
            </w:r>
          </w:p>
        </w:tc>
        <w:tc>
          <w:tcPr>
            <w:tcW w:w="367" w:type="pct"/>
            <w:noWrap/>
            <w:hideMark/>
          </w:tcPr>
          <w:p w14:paraId="524E9E25"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1 574.6</w:t>
            </w:r>
          </w:p>
        </w:tc>
      </w:tr>
      <w:bookmarkEnd w:id="455"/>
      <w:tr w:rsidR="00D61D0C" w:rsidRPr="00D61D0C" w14:paraId="79A70A86" w14:textId="77777777" w:rsidTr="00D61D0C">
        <w:trPr>
          <w:trHeight w:val="276"/>
          <w:jc w:val="center"/>
        </w:trPr>
        <w:tc>
          <w:tcPr>
            <w:tcW w:w="965" w:type="pct"/>
            <w:noWrap/>
            <w:hideMark/>
          </w:tcPr>
          <w:p w14:paraId="389D1566" w14:textId="77777777" w:rsidR="00D61D0C" w:rsidRPr="00D61D0C" w:rsidRDefault="00D61D0C" w:rsidP="003A6AB9">
            <w:pPr>
              <w:ind w:left="113" w:right="-57"/>
              <w:jc w:val="left"/>
              <w:rPr>
                <w:rFonts w:cs="Times New Roman"/>
                <w:i/>
                <w:iCs/>
                <w:sz w:val="18"/>
                <w:szCs w:val="18"/>
                <w:lang w:val="bg-BG" w:eastAsia="bg-BG"/>
              </w:rPr>
            </w:pPr>
            <w:r w:rsidRPr="00D61D0C">
              <w:rPr>
                <w:rFonts w:cs="Times New Roman"/>
                <w:i/>
                <w:iCs/>
                <w:sz w:val="18"/>
                <w:szCs w:val="18"/>
                <w:lang w:val="bg-BG" w:eastAsia="bg-BG"/>
              </w:rPr>
              <w:t>Специализирани производители на екоуслуги</w:t>
            </w:r>
          </w:p>
        </w:tc>
        <w:tc>
          <w:tcPr>
            <w:tcW w:w="374" w:type="pct"/>
            <w:gridSpan w:val="2"/>
            <w:noWrap/>
            <w:hideMark/>
          </w:tcPr>
          <w:p w14:paraId="7D4AAFCF"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984.4</w:t>
            </w:r>
          </w:p>
        </w:tc>
        <w:tc>
          <w:tcPr>
            <w:tcW w:w="360" w:type="pct"/>
          </w:tcPr>
          <w:p w14:paraId="35479C86"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941.5</w:t>
            </w:r>
          </w:p>
        </w:tc>
        <w:tc>
          <w:tcPr>
            <w:tcW w:w="367" w:type="pct"/>
            <w:noWrap/>
            <w:hideMark/>
          </w:tcPr>
          <w:p w14:paraId="174C922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931.4</w:t>
            </w:r>
          </w:p>
        </w:tc>
        <w:tc>
          <w:tcPr>
            <w:tcW w:w="367" w:type="pct"/>
            <w:noWrap/>
            <w:hideMark/>
          </w:tcPr>
          <w:p w14:paraId="6F8EC078"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752.6</w:t>
            </w:r>
          </w:p>
        </w:tc>
        <w:tc>
          <w:tcPr>
            <w:tcW w:w="367" w:type="pct"/>
            <w:noWrap/>
            <w:hideMark/>
          </w:tcPr>
          <w:p w14:paraId="527ABC8B"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695.7</w:t>
            </w:r>
          </w:p>
        </w:tc>
        <w:tc>
          <w:tcPr>
            <w:tcW w:w="367" w:type="pct"/>
            <w:noWrap/>
            <w:hideMark/>
          </w:tcPr>
          <w:p w14:paraId="49A01190"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671.4</w:t>
            </w:r>
          </w:p>
        </w:tc>
        <w:tc>
          <w:tcPr>
            <w:tcW w:w="367" w:type="pct"/>
            <w:noWrap/>
            <w:hideMark/>
          </w:tcPr>
          <w:p w14:paraId="1CCE9ED3"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464.9</w:t>
            </w:r>
          </w:p>
        </w:tc>
        <w:tc>
          <w:tcPr>
            <w:tcW w:w="367" w:type="pct"/>
            <w:noWrap/>
            <w:hideMark/>
          </w:tcPr>
          <w:p w14:paraId="3DAFD281"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537.9</w:t>
            </w:r>
          </w:p>
        </w:tc>
        <w:tc>
          <w:tcPr>
            <w:tcW w:w="367" w:type="pct"/>
            <w:noWrap/>
            <w:hideMark/>
          </w:tcPr>
          <w:p w14:paraId="1D2B6E24"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471.4</w:t>
            </w:r>
          </w:p>
        </w:tc>
        <w:tc>
          <w:tcPr>
            <w:tcW w:w="367" w:type="pct"/>
            <w:noWrap/>
            <w:hideMark/>
          </w:tcPr>
          <w:p w14:paraId="262D154D"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367.5</w:t>
            </w:r>
          </w:p>
        </w:tc>
        <w:tc>
          <w:tcPr>
            <w:tcW w:w="367" w:type="pct"/>
            <w:noWrap/>
            <w:hideMark/>
          </w:tcPr>
          <w:p w14:paraId="2A96E39F" w14:textId="77777777" w:rsidR="00D61D0C" w:rsidRPr="00D61D0C" w:rsidRDefault="00D61D0C" w:rsidP="003A6AB9">
            <w:pPr>
              <w:tabs>
                <w:tab w:val="decimal" w:pos="440"/>
              </w:tabs>
              <w:ind w:left="-57" w:right="-57"/>
              <w:jc w:val="center"/>
              <w:rPr>
                <w:rFonts w:cs="Times New Roman"/>
                <w:i/>
                <w:iCs/>
                <w:spacing w:val="-16"/>
                <w:sz w:val="18"/>
                <w:szCs w:val="18"/>
                <w:lang w:val="bg-BG" w:eastAsia="bg-BG"/>
              </w:rPr>
            </w:pPr>
            <w:r w:rsidRPr="00D61D0C">
              <w:rPr>
                <w:rFonts w:cs="Times New Roman"/>
                <w:i/>
                <w:iCs/>
                <w:sz w:val="18"/>
                <w:szCs w:val="18"/>
                <w:lang w:val="bg-BG"/>
              </w:rPr>
              <w:t>241.2</w:t>
            </w:r>
          </w:p>
        </w:tc>
      </w:tr>
      <w:tr w:rsidR="00D61D0C" w:rsidRPr="00D61D0C" w14:paraId="23C8656B" w14:textId="77777777" w:rsidTr="00D61D0C">
        <w:trPr>
          <w:trHeight w:val="276"/>
          <w:jc w:val="center"/>
        </w:trPr>
        <w:tc>
          <w:tcPr>
            <w:tcW w:w="965" w:type="pct"/>
            <w:noWrap/>
            <w:hideMark/>
          </w:tcPr>
          <w:p w14:paraId="184BA6A0" w14:textId="77777777" w:rsidR="00D61D0C" w:rsidRPr="00D61D0C" w:rsidRDefault="00D61D0C" w:rsidP="003A6AB9">
            <w:pPr>
              <w:ind w:left="-57" w:right="-57"/>
              <w:jc w:val="left"/>
              <w:rPr>
                <w:rFonts w:cs="Times New Roman"/>
                <w:b/>
                <w:bCs/>
                <w:color w:val="auto"/>
                <w:sz w:val="18"/>
                <w:szCs w:val="18"/>
                <w:lang w:val="bg-BG" w:eastAsia="bg-BG"/>
              </w:rPr>
            </w:pPr>
            <w:r w:rsidRPr="00D61D0C">
              <w:rPr>
                <w:rFonts w:cs="Times New Roman"/>
                <w:b/>
                <w:bCs/>
                <w:color w:val="auto"/>
                <w:sz w:val="18"/>
                <w:szCs w:val="18"/>
                <w:lang w:val="bg-BG" w:eastAsia="bg-BG"/>
              </w:rPr>
              <w:t xml:space="preserve">Строителство </w:t>
            </w:r>
          </w:p>
        </w:tc>
        <w:tc>
          <w:tcPr>
            <w:tcW w:w="374" w:type="pct"/>
            <w:gridSpan w:val="2"/>
            <w:noWrap/>
            <w:hideMark/>
          </w:tcPr>
          <w:p w14:paraId="294409F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28.5</w:t>
            </w:r>
          </w:p>
        </w:tc>
        <w:tc>
          <w:tcPr>
            <w:tcW w:w="360" w:type="pct"/>
          </w:tcPr>
          <w:p w14:paraId="323FFBCA"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26.9</w:t>
            </w:r>
          </w:p>
        </w:tc>
        <w:tc>
          <w:tcPr>
            <w:tcW w:w="367" w:type="pct"/>
            <w:noWrap/>
            <w:hideMark/>
          </w:tcPr>
          <w:p w14:paraId="5BAB35CB"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14.7</w:t>
            </w:r>
          </w:p>
        </w:tc>
        <w:tc>
          <w:tcPr>
            <w:tcW w:w="367" w:type="pct"/>
            <w:noWrap/>
            <w:hideMark/>
          </w:tcPr>
          <w:p w14:paraId="523B9C8A"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11.8</w:t>
            </w:r>
          </w:p>
        </w:tc>
        <w:tc>
          <w:tcPr>
            <w:tcW w:w="367" w:type="pct"/>
            <w:noWrap/>
            <w:hideMark/>
          </w:tcPr>
          <w:p w14:paraId="53F1344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13.3</w:t>
            </w:r>
          </w:p>
        </w:tc>
        <w:tc>
          <w:tcPr>
            <w:tcW w:w="367" w:type="pct"/>
            <w:noWrap/>
            <w:hideMark/>
          </w:tcPr>
          <w:p w14:paraId="676F289C"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12.8</w:t>
            </w:r>
          </w:p>
        </w:tc>
        <w:tc>
          <w:tcPr>
            <w:tcW w:w="367" w:type="pct"/>
            <w:noWrap/>
            <w:hideMark/>
          </w:tcPr>
          <w:p w14:paraId="2E75D7F1"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12.1</w:t>
            </w:r>
          </w:p>
        </w:tc>
        <w:tc>
          <w:tcPr>
            <w:tcW w:w="367" w:type="pct"/>
            <w:noWrap/>
            <w:hideMark/>
          </w:tcPr>
          <w:p w14:paraId="79EA084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12.3</w:t>
            </w:r>
          </w:p>
        </w:tc>
        <w:tc>
          <w:tcPr>
            <w:tcW w:w="367" w:type="pct"/>
            <w:noWrap/>
            <w:hideMark/>
          </w:tcPr>
          <w:p w14:paraId="224C4976"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11.4</w:t>
            </w:r>
          </w:p>
        </w:tc>
        <w:tc>
          <w:tcPr>
            <w:tcW w:w="367" w:type="pct"/>
            <w:noWrap/>
            <w:hideMark/>
          </w:tcPr>
          <w:p w14:paraId="63AAFA39"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8.3</w:t>
            </w:r>
          </w:p>
        </w:tc>
        <w:tc>
          <w:tcPr>
            <w:tcW w:w="367" w:type="pct"/>
            <w:noWrap/>
            <w:hideMark/>
          </w:tcPr>
          <w:p w14:paraId="314E4C0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13.9</w:t>
            </w:r>
          </w:p>
        </w:tc>
      </w:tr>
      <w:tr w:rsidR="00D61D0C" w:rsidRPr="00D61D0C" w14:paraId="0E97113C" w14:textId="77777777" w:rsidTr="00D61D0C">
        <w:trPr>
          <w:trHeight w:val="276"/>
          <w:jc w:val="center"/>
        </w:trPr>
        <w:tc>
          <w:tcPr>
            <w:tcW w:w="965" w:type="pct"/>
            <w:noWrap/>
          </w:tcPr>
          <w:p w14:paraId="59E7736A" w14:textId="77777777" w:rsidR="00D61D0C" w:rsidRPr="00D61D0C" w:rsidRDefault="00D61D0C" w:rsidP="003A6AB9">
            <w:pPr>
              <w:ind w:left="-57" w:right="-57"/>
              <w:jc w:val="left"/>
              <w:rPr>
                <w:rFonts w:cs="Times New Roman"/>
                <w:b/>
                <w:bCs/>
                <w:color w:val="auto"/>
                <w:sz w:val="18"/>
                <w:szCs w:val="18"/>
                <w:lang w:val="bg-BG" w:eastAsia="bg-BG"/>
              </w:rPr>
            </w:pPr>
            <w:r w:rsidRPr="00D61D0C">
              <w:rPr>
                <w:rFonts w:cs="Times New Roman"/>
                <w:b/>
                <w:bCs/>
                <w:color w:val="auto"/>
                <w:sz w:val="18"/>
                <w:szCs w:val="18"/>
                <w:lang w:val="bg-BG" w:eastAsia="bg-BG"/>
              </w:rPr>
              <w:t>Други дейности</w:t>
            </w:r>
          </w:p>
        </w:tc>
        <w:tc>
          <w:tcPr>
            <w:tcW w:w="374" w:type="pct"/>
            <w:gridSpan w:val="2"/>
            <w:noWrap/>
          </w:tcPr>
          <w:p w14:paraId="1F439688"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4 347.3</w:t>
            </w:r>
          </w:p>
        </w:tc>
        <w:tc>
          <w:tcPr>
            <w:tcW w:w="360" w:type="pct"/>
          </w:tcPr>
          <w:p w14:paraId="7EF29DE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4 052.2</w:t>
            </w:r>
          </w:p>
        </w:tc>
        <w:tc>
          <w:tcPr>
            <w:tcW w:w="367" w:type="pct"/>
            <w:noWrap/>
          </w:tcPr>
          <w:p w14:paraId="3CA046C3"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3 850.1</w:t>
            </w:r>
          </w:p>
        </w:tc>
        <w:tc>
          <w:tcPr>
            <w:tcW w:w="367" w:type="pct"/>
            <w:noWrap/>
          </w:tcPr>
          <w:p w14:paraId="6BC78852"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4 018.4</w:t>
            </w:r>
          </w:p>
        </w:tc>
        <w:tc>
          <w:tcPr>
            <w:tcW w:w="367" w:type="pct"/>
            <w:noWrap/>
          </w:tcPr>
          <w:p w14:paraId="60C597B1"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3 851.4</w:t>
            </w:r>
          </w:p>
        </w:tc>
        <w:tc>
          <w:tcPr>
            <w:tcW w:w="367" w:type="pct"/>
            <w:noWrap/>
          </w:tcPr>
          <w:p w14:paraId="17593C57"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3 445.4</w:t>
            </w:r>
          </w:p>
        </w:tc>
        <w:tc>
          <w:tcPr>
            <w:tcW w:w="367" w:type="pct"/>
            <w:noWrap/>
          </w:tcPr>
          <w:p w14:paraId="556CA3AE"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2 163.4</w:t>
            </w:r>
          </w:p>
        </w:tc>
        <w:tc>
          <w:tcPr>
            <w:tcW w:w="367" w:type="pct"/>
            <w:noWrap/>
          </w:tcPr>
          <w:p w14:paraId="43D02E64"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2 150.4</w:t>
            </w:r>
          </w:p>
        </w:tc>
        <w:tc>
          <w:tcPr>
            <w:tcW w:w="367" w:type="pct"/>
            <w:noWrap/>
          </w:tcPr>
          <w:p w14:paraId="2490868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1 506.9</w:t>
            </w:r>
          </w:p>
        </w:tc>
        <w:tc>
          <w:tcPr>
            <w:tcW w:w="367" w:type="pct"/>
            <w:noWrap/>
          </w:tcPr>
          <w:p w14:paraId="578688FE"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1 344.7</w:t>
            </w:r>
          </w:p>
        </w:tc>
        <w:tc>
          <w:tcPr>
            <w:tcW w:w="367" w:type="pct"/>
            <w:noWrap/>
          </w:tcPr>
          <w:p w14:paraId="5F4253D6"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1 032.3</w:t>
            </w:r>
          </w:p>
        </w:tc>
      </w:tr>
      <w:tr w:rsidR="00D61D0C" w:rsidRPr="00D61D0C" w14:paraId="7DEA7BB6" w14:textId="77777777" w:rsidTr="00D61D0C">
        <w:trPr>
          <w:trHeight w:val="276"/>
          <w:jc w:val="center"/>
        </w:trPr>
        <w:tc>
          <w:tcPr>
            <w:tcW w:w="965" w:type="pct"/>
            <w:noWrap/>
          </w:tcPr>
          <w:p w14:paraId="547CF221" w14:textId="77777777" w:rsidR="00D61D0C" w:rsidRPr="00D61D0C" w:rsidRDefault="00D61D0C" w:rsidP="003A6AB9">
            <w:pPr>
              <w:ind w:left="-57" w:right="-57"/>
              <w:jc w:val="left"/>
              <w:rPr>
                <w:rFonts w:cs="Times New Roman"/>
                <w:b/>
                <w:bCs/>
                <w:color w:val="auto"/>
                <w:sz w:val="18"/>
                <w:szCs w:val="18"/>
                <w:lang w:val="bg-BG" w:eastAsia="bg-BG"/>
              </w:rPr>
            </w:pPr>
            <w:r w:rsidRPr="00D61D0C">
              <w:rPr>
                <w:rFonts w:cs="Times New Roman"/>
                <w:b/>
                <w:bCs/>
                <w:color w:val="auto"/>
                <w:sz w:val="18"/>
                <w:szCs w:val="18"/>
                <w:lang w:val="bg-BG" w:eastAsia="bg-BG"/>
              </w:rPr>
              <w:t>Държавно</w:t>
            </w:r>
          </w:p>
          <w:p w14:paraId="5861B2D4" w14:textId="77777777" w:rsidR="00D61D0C" w:rsidRPr="00D61D0C" w:rsidRDefault="00D61D0C" w:rsidP="003A6AB9">
            <w:pPr>
              <w:ind w:left="-57" w:right="-57"/>
              <w:jc w:val="left"/>
              <w:rPr>
                <w:rFonts w:cs="Times New Roman"/>
                <w:b/>
                <w:bCs/>
                <w:color w:val="auto"/>
                <w:sz w:val="18"/>
                <w:szCs w:val="18"/>
                <w:lang w:val="bg-BG" w:eastAsia="bg-BG"/>
              </w:rPr>
            </w:pPr>
            <w:r w:rsidRPr="00D61D0C">
              <w:rPr>
                <w:rFonts w:cs="Times New Roman"/>
                <w:b/>
                <w:bCs/>
                <w:color w:val="auto"/>
                <w:sz w:val="18"/>
                <w:szCs w:val="18"/>
                <w:lang w:val="bg-BG" w:eastAsia="bg-BG"/>
              </w:rPr>
              <w:t>управление</w:t>
            </w:r>
          </w:p>
        </w:tc>
        <w:tc>
          <w:tcPr>
            <w:tcW w:w="374" w:type="pct"/>
            <w:gridSpan w:val="2"/>
            <w:noWrap/>
          </w:tcPr>
          <w:p w14:paraId="37165CD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4 023.2</w:t>
            </w:r>
          </w:p>
        </w:tc>
        <w:tc>
          <w:tcPr>
            <w:tcW w:w="360" w:type="pct"/>
          </w:tcPr>
          <w:p w14:paraId="6FF548B3"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3 854.9</w:t>
            </w:r>
          </w:p>
        </w:tc>
        <w:tc>
          <w:tcPr>
            <w:tcW w:w="367" w:type="pct"/>
            <w:noWrap/>
          </w:tcPr>
          <w:p w14:paraId="2FF2E0A2"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3 655.0</w:t>
            </w:r>
          </w:p>
        </w:tc>
        <w:tc>
          <w:tcPr>
            <w:tcW w:w="367" w:type="pct"/>
            <w:noWrap/>
          </w:tcPr>
          <w:p w14:paraId="13A0660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3 679.6</w:t>
            </w:r>
          </w:p>
        </w:tc>
        <w:tc>
          <w:tcPr>
            <w:tcW w:w="367" w:type="pct"/>
            <w:noWrap/>
          </w:tcPr>
          <w:p w14:paraId="0B768604"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3 536.2</w:t>
            </w:r>
          </w:p>
        </w:tc>
        <w:tc>
          <w:tcPr>
            <w:tcW w:w="367" w:type="pct"/>
            <w:noWrap/>
          </w:tcPr>
          <w:p w14:paraId="5D0003C5"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3 220.6</w:t>
            </w:r>
          </w:p>
        </w:tc>
        <w:tc>
          <w:tcPr>
            <w:tcW w:w="367" w:type="pct"/>
            <w:noWrap/>
          </w:tcPr>
          <w:p w14:paraId="649D7EDF"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2 046.3</w:t>
            </w:r>
          </w:p>
        </w:tc>
        <w:tc>
          <w:tcPr>
            <w:tcW w:w="367" w:type="pct"/>
            <w:noWrap/>
          </w:tcPr>
          <w:p w14:paraId="091916D8"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1 857.2</w:t>
            </w:r>
          </w:p>
        </w:tc>
        <w:tc>
          <w:tcPr>
            <w:tcW w:w="367" w:type="pct"/>
            <w:noWrap/>
          </w:tcPr>
          <w:p w14:paraId="228E0A2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1 234.4</w:t>
            </w:r>
          </w:p>
        </w:tc>
        <w:tc>
          <w:tcPr>
            <w:tcW w:w="367" w:type="pct"/>
            <w:noWrap/>
          </w:tcPr>
          <w:p w14:paraId="3E29328B"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1 211.3</w:t>
            </w:r>
          </w:p>
        </w:tc>
        <w:tc>
          <w:tcPr>
            <w:tcW w:w="367" w:type="pct"/>
            <w:noWrap/>
          </w:tcPr>
          <w:p w14:paraId="4D84E24D" w14:textId="77777777" w:rsidR="00D61D0C" w:rsidRPr="00D61D0C" w:rsidRDefault="00D61D0C" w:rsidP="003A6AB9">
            <w:pPr>
              <w:tabs>
                <w:tab w:val="decimal" w:pos="440"/>
              </w:tabs>
              <w:ind w:left="-57" w:right="-57"/>
              <w:jc w:val="center"/>
              <w:rPr>
                <w:rFonts w:cs="Times New Roman"/>
                <w:spacing w:val="-16"/>
                <w:sz w:val="18"/>
                <w:szCs w:val="18"/>
                <w:lang w:val="bg-BG" w:eastAsia="bg-BG"/>
              </w:rPr>
            </w:pPr>
            <w:r w:rsidRPr="00D61D0C">
              <w:rPr>
                <w:rFonts w:cs="Times New Roman"/>
                <w:sz w:val="18"/>
                <w:szCs w:val="18"/>
                <w:lang w:val="bg-BG"/>
              </w:rPr>
              <w:t>938.5</w:t>
            </w:r>
          </w:p>
        </w:tc>
      </w:tr>
      <w:tr w:rsidR="00D61D0C" w:rsidRPr="00D61D0C" w14:paraId="30505066" w14:textId="77777777" w:rsidTr="00D61D0C">
        <w:trPr>
          <w:trHeight w:val="276"/>
          <w:jc w:val="center"/>
        </w:trPr>
        <w:tc>
          <w:tcPr>
            <w:tcW w:w="5000" w:type="pct"/>
            <w:gridSpan w:val="13"/>
            <w:noWrap/>
          </w:tcPr>
          <w:p w14:paraId="2798E9DB" w14:textId="77777777" w:rsidR="00D61D0C" w:rsidRPr="00D61D0C" w:rsidRDefault="00D61D0C" w:rsidP="003A6AB9">
            <w:pPr>
              <w:tabs>
                <w:tab w:val="decimal" w:pos="440"/>
              </w:tabs>
              <w:ind w:left="-57" w:right="-57"/>
              <w:rPr>
                <w:rFonts w:cs="Times New Roman"/>
                <w:b/>
                <w:bCs/>
                <w:color w:val="auto"/>
                <w:sz w:val="18"/>
                <w:szCs w:val="18"/>
                <w:lang w:val="bg-BG" w:eastAsia="bg-BG"/>
              </w:rPr>
            </w:pPr>
            <w:r w:rsidRPr="00D61D0C">
              <w:rPr>
                <w:rFonts w:cs="Times New Roman"/>
                <w:b/>
                <w:bCs/>
                <w:color w:val="auto"/>
                <w:sz w:val="18"/>
                <w:szCs w:val="18"/>
                <w:u w:val="single"/>
                <w:lang w:val="bg-BG" w:eastAsia="bg-BG"/>
              </w:rPr>
              <w:t>Процен</w:t>
            </w:r>
            <w:r w:rsidRPr="00D61D0C">
              <w:rPr>
                <w:rFonts w:cs="Times New Roman"/>
                <w:b/>
                <w:bCs/>
                <w:color w:val="auto"/>
                <w:sz w:val="18"/>
                <w:szCs w:val="18"/>
                <w:lang w:val="bg-BG" w:eastAsia="bg-BG"/>
              </w:rPr>
              <w:t xml:space="preserve">т на </w:t>
            </w:r>
            <w:r w:rsidRPr="00D61D0C">
              <w:rPr>
                <w:rFonts w:cs="Times New Roman"/>
                <w:b/>
                <w:bCs/>
                <w:i/>
                <w:iCs/>
                <w:color w:val="auto"/>
                <w:sz w:val="18"/>
                <w:szCs w:val="18"/>
                <w:lang w:val="bg-BG" w:eastAsia="bg-BG"/>
              </w:rPr>
              <w:t>Производство и разпределение на електрическа и топлинна енергия и на газообразни горива, доставяне на води</w:t>
            </w:r>
            <w:r w:rsidRPr="00D61D0C">
              <w:rPr>
                <w:rFonts w:cs="Times New Roman"/>
                <w:b/>
                <w:bCs/>
                <w:color w:val="auto"/>
                <w:sz w:val="18"/>
                <w:szCs w:val="18"/>
                <w:lang w:val="bg-BG" w:eastAsia="bg-BG"/>
              </w:rPr>
              <w:t xml:space="preserve"> </w:t>
            </w:r>
            <w:r w:rsidRPr="00D61D0C">
              <w:rPr>
                <w:rFonts w:cs="Times New Roman"/>
                <w:b/>
                <w:bCs/>
                <w:color w:val="auto"/>
                <w:sz w:val="18"/>
                <w:szCs w:val="18"/>
                <w:u w:val="single"/>
                <w:lang w:val="bg-BG" w:eastAsia="bg-BG"/>
              </w:rPr>
              <w:t>към</w:t>
            </w:r>
          </w:p>
        </w:tc>
      </w:tr>
      <w:tr w:rsidR="00D61D0C" w:rsidRPr="00D61D0C" w14:paraId="6F606683" w14:textId="77777777" w:rsidTr="00D61D0C">
        <w:trPr>
          <w:trHeight w:val="276"/>
          <w:jc w:val="center"/>
        </w:trPr>
        <w:tc>
          <w:tcPr>
            <w:tcW w:w="965" w:type="pct"/>
            <w:noWrap/>
          </w:tcPr>
          <w:p w14:paraId="14292ABB" w14:textId="77777777" w:rsidR="00D61D0C" w:rsidRPr="00D61D0C" w:rsidRDefault="00D61D0C" w:rsidP="003A6AB9">
            <w:pPr>
              <w:ind w:left="-57" w:right="-57"/>
              <w:rPr>
                <w:rFonts w:cs="Times New Roman"/>
                <w:b/>
                <w:bCs/>
                <w:color w:val="auto"/>
                <w:sz w:val="18"/>
                <w:szCs w:val="18"/>
                <w:lang w:val="bg-BG" w:eastAsia="bg-BG"/>
              </w:rPr>
            </w:pPr>
            <w:r w:rsidRPr="00D61D0C">
              <w:rPr>
                <w:rFonts w:cs="Times New Roman"/>
                <w:i/>
                <w:iCs/>
                <w:color w:val="auto"/>
                <w:sz w:val="18"/>
                <w:szCs w:val="18"/>
                <w:lang w:val="bg-BG" w:eastAsia="bg-BG"/>
              </w:rPr>
              <w:t>ПРОМИШЛЕНОСТ</w:t>
            </w:r>
          </w:p>
        </w:tc>
        <w:tc>
          <w:tcPr>
            <w:tcW w:w="367" w:type="pct"/>
            <w:noWrap/>
          </w:tcPr>
          <w:p w14:paraId="0A58FAF7"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42%</w:t>
            </w:r>
          </w:p>
        </w:tc>
        <w:tc>
          <w:tcPr>
            <w:tcW w:w="367" w:type="pct"/>
            <w:gridSpan w:val="2"/>
          </w:tcPr>
          <w:p w14:paraId="12A07D98"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44%</w:t>
            </w:r>
          </w:p>
        </w:tc>
        <w:tc>
          <w:tcPr>
            <w:tcW w:w="367" w:type="pct"/>
            <w:noWrap/>
          </w:tcPr>
          <w:p w14:paraId="31FEFBF9"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44%</w:t>
            </w:r>
          </w:p>
        </w:tc>
        <w:tc>
          <w:tcPr>
            <w:tcW w:w="367" w:type="pct"/>
            <w:noWrap/>
          </w:tcPr>
          <w:p w14:paraId="1E154B70"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46%</w:t>
            </w:r>
          </w:p>
        </w:tc>
        <w:tc>
          <w:tcPr>
            <w:tcW w:w="367" w:type="pct"/>
            <w:noWrap/>
          </w:tcPr>
          <w:p w14:paraId="31FBC235"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50%</w:t>
            </w:r>
          </w:p>
        </w:tc>
        <w:tc>
          <w:tcPr>
            <w:tcW w:w="367" w:type="pct"/>
            <w:noWrap/>
          </w:tcPr>
          <w:p w14:paraId="22563FC6"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51%</w:t>
            </w:r>
          </w:p>
        </w:tc>
        <w:tc>
          <w:tcPr>
            <w:tcW w:w="367" w:type="pct"/>
            <w:noWrap/>
          </w:tcPr>
          <w:p w14:paraId="61D96492"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56%</w:t>
            </w:r>
          </w:p>
        </w:tc>
        <w:tc>
          <w:tcPr>
            <w:tcW w:w="367" w:type="pct"/>
            <w:noWrap/>
          </w:tcPr>
          <w:p w14:paraId="6BF4267A"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49%</w:t>
            </w:r>
          </w:p>
        </w:tc>
        <w:tc>
          <w:tcPr>
            <w:tcW w:w="367" w:type="pct"/>
            <w:noWrap/>
          </w:tcPr>
          <w:p w14:paraId="107516AD"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51%</w:t>
            </w:r>
          </w:p>
        </w:tc>
        <w:tc>
          <w:tcPr>
            <w:tcW w:w="367" w:type="pct"/>
            <w:noWrap/>
          </w:tcPr>
          <w:p w14:paraId="76F3A42A"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50%</w:t>
            </w:r>
          </w:p>
        </w:tc>
        <w:tc>
          <w:tcPr>
            <w:tcW w:w="367" w:type="pct"/>
            <w:noWrap/>
          </w:tcPr>
          <w:p w14:paraId="7BEDDDBC"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52%</w:t>
            </w:r>
          </w:p>
        </w:tc>
      </w:tr>
      <w:tr w:rsidR="00D61D0C" w:rsidRPr="00D61D0C" w14:paraId="6CF55251" w14:textId="77777777" w:rsidTr="00D61D0C">
        <w:trPr>
          <w:trHeight w:val="276"/>
          <w:jc w:val="center"/>
        </w:trPr>
        <w:tc>
          <w:tcPr>
            <w:tcW w:w="965" w:type="pct"/>
            <w:noWrap/>
          </w:tcPr>
          <w:p w14:paraId="60499B1C" w14:textId="77777777" w:rsidR="00D61D0C" w:rsidRPr="00D61D0C" w:rsidRDefault="00D61D0C" w:rsidP="003A6AB9">
            <w:pPr>
              <w:ind w:left="-57" w:right="-57"/>
              <w:rPr>
                <w:rFonts w:cs="Times New Roman"/>
                <w:b/>
                <w:bCs/>
                <w:sz w:val="18"/>
                <w:szCs w:val="18"/>
                <w:lang w:val="bg-BG" w:eastAsia="bg-BG"/>
              </w:rPr>
            </w:pPr>
            <w:r w:rsidRPr="00D61D0C">
              <w:rPr>
                <w:rFonts w:cs="Times New Roman"/>
                <w:i/>
                <w:iCs/>
                <w:sz w:val="18"/>
                <w:szCs w:val="18"/>
                <w:lang w:val="bg-BG" w:eastAsia="bg-BG"/>
              </w:rPr>
              <w:t>ОБЩО за страната</w:t>
            </w:r>
          </w:p>
        </w:tc>
        <w:tc>
          <w:tcPr>
            <w:tcW w:w="367" w:type="pct"/>
            <w:noWrap/>
          </w:tcPr>
          <w:p w14:paraId="02D07431"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25%</w:t>
            </w:r>
          </w:p>
        </w:tc>
        <w:tc>
          <w:tcPr>
            <w:tcW w:w="367" w:type="pct"/>
            <w:gridSpan w:val="2"/>
          </w:tcPr>
          <w:p w14:paraId="12062850"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26%</w:t>
            </w:r>
          </w:p>
        </w:tc>
        <w:tc>
          <w:tcPr>
            <w:tcW w:w="367" w:type="pct"/>
            <w:noWrap/>
          </w:tcPr>
          <w:p w14:paraId="1145347F"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26%</w:t>
            </w:r>
          </w:p>
        </w:tc>
        <w:tc>
          <w:tcPr>
            <w:tcW w:w="367" w:type="pct"/>
            <w:noWrap/>
          </w:tcPr>
          <w:p w14:paraId="26FBB5CB"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27%</w:t>
            </w:r>
          </w:p>
        </w:tc>
        <w:tc>
          <w:tcPr>
            <w:tcW w:w="367" w:type="pct"/>
            <w:noWrap/>
          </w:tcPr>
          <w:p w14:paraId="2179F56E"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28%</w:t>
            </w:r>
          </w:p>
        </w:tc>
        <w:tc>
          <w:tcPr>
            <w:tcW w:w="367" w:type="pct"/>
            <w:noWrap/>
          </w:tcPr>
          <w:p w14:paraId="5EC937C7"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29%</w:t>
            </w:r>
          </w:p>
        </w:tc>
        <w:tc>
          <w:tcPr>
            <w:tcW w:w="367" w:type="pct"/>
            <w:noWrap/>
          </w:tcPr>
          <w:p w14:paraId="686DBDAF"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37%</w:t>
            </w:r>
          </w:p>
        </w:tc>
        <w:tc>
          <w:tcPr>
            <w:tcW w:w="367" w:type="pct"/>
            <w:noWrap/>
          </w:tcPr>
          <w:p w14:paraId="5512CE18"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31%</w:t>
            </w:r>
          </w:p>
        </w:tc>
        <w:tc>
          <w:tcPr>
            <w:tcW w:w="367" w:type="pct"/>
            <w:noWrap/>
          </w:tcPr>
          <w:p w14:paraId="4D7961A9"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35%</w:t>
            </w:r>
          </w:p>
        </w:tc>
        <w:tc>
          <w:tcPr>
            <w:tcW w:w="367" w:type="pct"/>
            <w:noWrap/>
          </w:tcPr>
          <w:p w14:paraId="44A45C4C"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36%</w:t>
            </w:r>
          </w:p>
        </w:tc>
        <w:tc>
          <w:tcPr>
            <w:tcW w:w="367" w:type="pct"/>
            <w:noWrap/>
          </w:tcPr>
          <w:p w14:paraId="7075A985" w14:textId="77777777" w:rsidR="00D61D0C" w:rsidRPr="00D61D0C" w:rsidRDefault="00D61D0C" w:rsidP="003A6AB9">
            <w:pPr>
              <w:tabs>
                <w:tab w:val="decimal" w:pos="440"/>
              </w:tabs>
              <w:ind w:left="-57" w:right="-57"/>
              <w:jc w:val="center"/>
              <w:rPr>
                <w:rFonts w:cs="Times New Roman"/>
                <w:b/>
                <w:bCs/>
                <w:sz w:val="18"/>
                <w:szCs w:val="18"/>
                <w:lang w:val="bg-BG" w:eastAsia="bg-BG"/>
              </w:rPr>
            </w:pPr>
            <w:r w:rsidRPr="00D61D0C">
              <w:rPr>
                <w:rFonts w:cs="Times New Roman"/>
                <w:i/>
                <w:iCs/>
                <w:sz w:val="18"/>
                <w:szCs w:val="18"/>
                <w:lang w:val="bg-BG" w:eastAsia="bg-BG"/>
              </w:rPr>
              <w:t>39%</w:t>
            </w:r>
          </w:p>
        </w:tc>
      </w:tr>
    </w:tbl>
    <w:p w14:paraId="1A0183E8" w14:textId="77777777" w:rsidR="00D61D0C" w:rsidRDefault="00D61D0C" w:rsidP="0084747F">
      <w:pPr>
        <w:autoSpaceDE w:val="0"/>
        <w:autoSpaceDN w:val="0"/>
        <w:adjustRightInd w:val="0"/>
        <w:spacing w:after="60" w:line="264" w:lineRule="auto"/>
        <w:ind w:firstLine="851"/>
        <w:rPr>
          <w:rFonts w:eastAsia="Times New Roman" w:cs="Times New Roman"/>
          <w:color w:val="BF8F00" w:themeColor="accent4" w:themeShade="BF"/>
          <w:szCs w:val="24"/>
        </w:rPr>
        <w:sectPr w:rsidR="00D61D0C" w:rsidSect="00D61D0C">
          <w:pgSz w:w="16840" w:h="11907" w:orient="landscape" w:code="9"/>
          <w:pgMar w:top="1411" w:right="1411" w:bottom="850" w:left="1138" w:header="706" w:footer="706" w:gutter="0"/>
          <w:cols w:space="720"/>
          <w:docGrid w:linePitch="360"/>
        </w:sectPr>
      </w:pPr>
    </w:p>
    <w:p w14:paraId="6A968CC7" w14:textId="77777777" w:rsidR="007D4C6A" w:rsidRPr="009F6D1E" w:rsidRDefault="007D4C6A" w:rsidP="0084747F">
      <w:pPr>
        <w:autoSpaceDE w:val="0"/>
        <w:autoSpaceDN w:val="0"/>
        <w:adjustRightInd w:val="0"/>
        <w:spacing w:after="60" w:line="264" w:lineRule="auto"/>
        <w:ind w:firstLine="851"/>
        <w:rPr>
          <w:rFonts w:cs="Times New Roman"/>
          <w:color w:val="auto"/>
          <w:szCs w:val="24"/>
        </w:rPr>
      </w:pPr>
      <w:r w:rsidRPr="009F6D1E">
        <w:rPr>
          <w:rFonts w:cs="Times New Roman"/>
          <w:color w:val="auto"/>
          <w:szCs w:val="24"/>
        </w:rPr>
        <w:lastRenderedPageBreak/>
        <w:t xml:space="preserve">Средно за периода 2010-2020г. делът на ДМА-ЕП в </w:t>
      </w:r>
      <w:r w:rsidRPr="009F6D1E">
        <w:rPr>
          <w:rFonts w:cs="Times New Roman"/>
          <w:i/>
          <w:iCs/>
          <w:color w:val="auto"/>
          <w:szCs w:val="24"/>
        </w:rPr>
        <w:t>Производство и разпределение на електрическа и топлинна енергия и на газообразни горива, доставяне на води</w:t>
      </w:r>
      <w:r w:rsidRPr="009F6D1E">
        <w:rPr>
          <w:rFonts w:cs="Times New Roman"/>
          <w:color w:val="auto"/>
          <w:szCs w:val="24"/>
        </w:rPr>
        <w:t xml:space="preserve"> към </w:t>
      </w:r>
      <w:r w:rsidRPr="009F6D1E">
        <w:rPr>
          <w:rFonts w:cs="Times New Roman"/>
          <w:b/>
          <w:bCs/>
          <w:i/>
          <w:iCs/>
          <w:color w:val="auto"/>
          <w:szCs w:val="24"/>
        </w:rPr>
        <w:t xml:space="preserve">Промишленост </w:t>
      </w:r>
      <w:r w:rsidRPr="009F6D1E">
        <w:rPr>
          <w:rFonts w:cs="Times New Roman"/>
          <w:color w:val="auto"/>
          <w:szCs w:val="24"/>
        </w:rPr>
        <w:t xml:space="preserve">е 49%, а към </w:t>
      </w:r>
      <w:r w:rsidRPr="009F6D1E">
        <w:rPr>
          <w:rFonts w:cs="Times New Roman"/>
          <w:b/>
          <w:bCs/>
          <w:i/>
          <w:iCs/>
          <w:color w:val="auto"/>
          <w:szCs w:val="24"/>
        </w:rPr>
        <w:t>ОБЩО за страната</w:t>
      </w:r>
      <w:r w:rsidRPr="009F6D1E">
        <w:rPr>
          <w:rFonts w:cs="Times New Roman"/>
          <w:color w:val="auto"/>
          <w:szCs w:val="24"/>
        </w:rPr>
        <w:t xml:space="preserve"> е 31%.</w:t>
      </w:r>
    </w:p>
    <w:p w14:paraId="2CA3AC06" w14:textId="77777777" w:rsidR="007D4C6A" w:rsidRPr="009F6D1E" w:rsidRDefault="007D4C6A" w:rsidP="0084747F">
      <w:pPr>
        <w:spacing w:after="60" w:line="264" w:lineRule="auto"/>
        <w:contextualSpacing/>
        <w:jc w:val="both"/>
        <w:rPr>
          <w:rFonts w:eastAsia="Calibri" w:cs="Times New Roman"/>
          <w:b/>
          <w:bCs/>
          <w:i/>
          <w:iCs/>
          <w:szCs w:val="24"/>
          <w:highlight w:val="yellow"/>
        </w:rPr>
      </w:pPr>
    </w:p>
    <w:p w14:paraId="1E0B3414" w14:textId="77777777" w:rsidR="00471E9F" w:rsidRPr="009F6D1E" w:rsidRDefault="008E71F4">
      <w:pPr>
        <w:pStyle w:val="Heading3"/>
        <w:numPr>
          <w:ilvl w:val="2"/>
          <w:numId w:val="31"/>
        </w:numPr>
        <w:shd w:val="clear" w:color="auto" w:fill="E2EFD9" w:themeFill="accent6" w:themeFillTint="33"/>
        <w:tabs>
          <w:tab w:val="clear" w:pos="1701"/>
        </w:tabs>
        <w:spacing w:before="0" w:after="60" w:line="264" w:lineRule="auto"/>
        <w:ind w:left="1146"/>
        <w:rPr>
          <w:smallCaps w:val="0"/>
          <w:lang w:bidi="ar-SA"/>
        </w:rPr>
      </w:pPr>
      <w:r w:rsidRPr="009F6D1E">
        <w:rPr>
          <w:smallCaps w:val="0"/>
          <w:lang w:bidi="ar-SA"/>
        </w:rPr>
        <w:t xml:space="preserve"> </w:t>
      </w:r>
      <w:bookmarkStart w:id="456" w:name="_Toc115255005"/>
      <w:r w:rsidR="00471E9F" w:rsidRPr="009F6D1E">
        <w:rPr>
          <w:smallCaps w:val="0"/>
          <w:lang w:bidi="ar-SA"/>
        </w:rPr>
        <w:t>Население и човешко здраве</w:t>
      </w:r>
      <w:bookmarkEnd w:id="456"/>
    </w:p>
    <w:p w14:paraId="2ED9AB33" w14:textId="77777777" w:rsidR="00746A88" w:rsidRPr="009F6D1E" w:rsidRDefault="00746A88" w:rsidP="0084747F">
      <w:pPr>
        <w:spacing w:after="60" w:line="264" w:lineRule="auto"/>
        <w:contextualSpacing/>
        <w:jc w:val="both"/>
        <w:rPr>
          <w:rFonts w:eastAsia="Calibri" w:cs="Times New Roman"/>
          <w:b/>
          <w:bCs/>
          <w:i/>
          <w:iCs/>
          <w:szCs w:val="24"/>
          <w:highlight w:val="yellow"/>
        </w:rPr>
      </w:pPr>
    </w:p>
    <w:p w14:paraId="6F898563" w14:textId="77777777" w:rsidR="00E56BA8" w:rsidRPr="009F6D1E" w:rsidRDefault="00E56BA8" w:rsidP="0084747F">
      <w:pPr>
        <w:spacing w:after="60" w:line="264" w:lineRule="auto"/>
        <w:ind w:firstLine="556"/>
        <w:jc w:val="both"/>
        <w:rPr>
          <w:rFonts w:eastAsia="Times New Roman" w:cs="Times New Roman"/>
          <w:color w:val="auto"/>
          <w:szCs w:val="24"/>
        </w:rPr>
      </w:pPr>
      <w:r w:rsidRPr="009F6D1E">
        <w:rPr>
          <w:rFonts w:eastAsia="Times New Roman" w:cs="Times New Roman"/>
          <w:color w:val="auto"/>
          <w:szCs w:val="24"/>
        </w:rPr>
        <w:t>За разработка на настоящият доклад са ползвани данни от Здравеопазване 2021, издание на НСИ и Национален център по обществено здраве и анализи към Министерство на здравеопазването (с актуалност на данните – 2020 г.).</w:t>
      </w:r>
    </w:p>
    <w:p w14:paraId="09CF1A35" w14:textId="77777777" w:rsidR="00583753" w:rsidRPr="009F6D1E" w:rsidRDefault="00583753" w:rsidP="0084747F">
      <w:pPr>
        <w:spacing w:after="60" w:line="264" w:lineRule="auto"/>
        <w:ind w:firstLine="556"/>
        <w:jc w:val="both"/>
        <w:rPr>
          <w:rFonts w:eastAsia="Times New Roman" w:cs="Times New Roman"/>
          <w:color w:val="auto"/>
          <w:szCs w:val="24"/>
        </w:rPr>
      </w:pPr>
    </w:p>
    <w:p w14:paraId="692D24D0" w14:textId="77777777" w:rsidR="00E56BA8" w:rsidRPr="009F6D1E" w:rsidRDefault="00E56BA8">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Брой, възрастова структура и териториално разпределение на населението</w:t>
      </w:r>
    </w:p>
    <w:p w14:paraId="03EA3D4C" w14:textId="77777777" w:rsidR="00583753" w:rsidRPr="009F6D1E" w:rsidRDefault="00583753" w:rsidP="0084747F">
      <w:pPr>
        <w:spacing w:after="60" w:line="264" w:lineRule="auto"/>
        <w:ind w:firstLine="556"/>
        <w:jc w:val="both"/>
        <w:rPr>
          <w:rFonts w:eastAsia="Times New Roman" w:cs="Times New Roman"/>
          <w:color w:val="auto"/>
          <w:szCs w:val="24"/>
        </w:rPr>
      </w:pPr>
    </w:p>
    <w:p w14:paraId="4C3E3824" w14:textId="77777777" w:rsidR="00E56BA8" w:rsidRPr="009F6D1E" w:rsidRDefault="00E56BA8" w:rsidP="0084747F">
      <w:pPr>
        <w:spacing w:after="60" w:line="264" w:lineRule="auto"/>
        <w:ind w:firstLine="556"/>
        <w:jc w:val="both"/>
        <w:rPr>
          <w:rFonts w:eastAsia="Times New Roman" w:cs="Times New Roman"/>
          <w:color w:val="auto"/>
          <w:szCs w:val="24"/>
        </w:rPr>
      </w:pPr>
      <w:r w:rsidRPr="009F6D1E">
        <w:rPr>
          <w:rFonts w:eastAsia="Times New Roman" w:cs="Times New Roman"/>
          <w:color w:val="auto"/>
          <w:szCs w:val="24"/>
        </w:rPr>
        <w:t>Към 31 декември 2020 г. населението на Бъл</w:t>
      </w:r>
      <w:r w:rsidRPr="009F6D1E">
        <w:rPr>
          <w:rFonts w:eastAsia="Times New Roman" w:cs="Times New Roman"/>
          <w:color w:val="auto"/>
          <w:szCs w:val="24"/>
        </w:rPr>
        <w:softHyphen/>
        <w:t>гария е 6 916 548 души, като в сравнение с предход</w:t>
      </w:r>
      <w:r w:rsidRPr="009F6D1E">
        <w:rPr>
          <w:rFonts w:eastAsia="Times New Roman" w:cs="Times New Roman"/>
          <w:color w:val="auto"/>
          <w:szCs w:val="24"/>
        </w:rPr>
        <w:softHyphen/>
        <w:t>ната година е намаляло с 34 934 души (0.5%). По-голямата част от общия брой на насе</w:t>
      </w:r>
      <w:r w:rsidRPr="009F6D1E">
        <w:rPr>
          <w:rFonts w:eastAsia="Times New Roman" w:cs="Times New Roman"/>
          <w:color w:val="auto"/>
          <w:szCs w:val="24"/>
        </w:rPr>
        <w:softHyphen/>
        <w:t>лението са жени - 51.6%, или на 1 000 мъже се падат 1 065 жени. Броят на мъжете преобладава във възрас</w:t>
      </w:r>
      <w:r w:rsidRPr="009F6D1E">
        <w:rPr>
          <w:rFonts w:eastAsia="Times New Roman" w:cs="Times New Roman"/>
          <w:color w:val="auto"/>
          <w:szCs w:val="24"/>
        </w:rPr>
        <w:softHyphen/>
        <w:t>тите до 54 години, а след тази възраст броят на жените превишава този на мъжете. Пет области увеличават населението си през 2020 г. спрямо 2019 г. - София - с 5.2%, Кърджали - с 1.6%, Перник - с 1.0%, Бургас и Варна - по 0.1%. При всички останали области има намаление, като най-голямо е за областите Видин - с 2.0%, Смолян - с 1.6%, София (столи</w:t>
      </w:r>
      <w:r w:rsidRPr="009F6D1E">
        <w:rPr>
          <w:rFonts w:eastAsia="Times New Roman" w:cs="Times New Roman"/>
          <w:color w:val="auto"/>
          <w:szCs w:val="24"/>
        </w:rPr>
        <w:softHyphen/>
        <w:t>ца) - с 1.5%, Русе и Монтана - по 1.3%.</w:t>
      </w:r>
    </w:p>
    <w:p w14:paraId="09FCAB60" w14:textId="77777777" w:rsidR="00E56BA8" w:rsidRPr="009F6D1E" w:rsidRDefault="00E56BA8" w:rsidP="0084747F">
      <w:pPr>
        <w:spacing w:after="60" w:line="264" w:lineRule="auto"/>
        <w:ind w:firstLine="556"/>
        <w:jc w:val="both"/>
        <w:rPr>
          <w:rFonts w:eastAsia="Times New Roman" w:cs="Times New Roman"/>
          <w:color w:val="auto"/>
          <w:szCs w:val="24"/>
        </w:rPr>
      </w:pPr>
      <w:r w:rsidRPr="009F6D1E">
        <w:rPr>
          <w:rFonts w:eastAsia="Times New Roman" w:cs="Times New Roman"/>
          <w:color w:val="auto"/>
          <w:szCs w:val="24"/>
        </w:rPr>
        <w:t>От населението на страната 5 043 186 души, или 72.9%, живеят в градовете, а 1 873 362 души, или 27.1% - в селата.</w:t>
      </w:r>
    </w:p>
    <w:p w14:paraId="3D4743BD" w14:textId="77777777" w:rsidR="00E56BA8" w:rsidRPr="009F6D1E" w:rsidRDefault="00E56BA8" w:rsidP="0084747F">
      <w:pPr>
        <w:spacing w:after="60" w:line="264" w:lineRule="auto"/>
        <w:ind w:firstLine="556"/>
        <w:jc w:val="both"/>
        <w:rPr>
          <w:rFonts w:eastAsia="Times New Roman" w:cs="Times New Roman"/>
          <w:color w:val="auto"/>
          <w:szCs w:val="24"/>
        </w:rPr>
      </w:pPr>
      <w:r w:rsidRPr="009F6D1E">
        <w:rPr>
          <w:rFonts w:eastAsia="Times New Roman" w:cs="Times New Roman"/>
          <w:color w:val="auto"/>
          <w:szCs w:val="24"/>
        </w:rPr>
        <w:t>Продължава процесът на демографско ос</w:t>
      </w:r>
      <w:r w:rsidRPr="009F6D1E">
        <w:rPr>
          <w:rFonts w:eastAsia="Times New Roman" w:cs="Times New Roman"/>
          <w:color w:val="auto"/>
          <w:szCs w:val="24"/>
        </w:rPr>
        <w:softHyphen/>
        <w:t>таряване на населението. В края на 2020 г. от</w:t>
      </w:r>
      <w:r w:rsidRPr="009F6D1E">
        <w:rPr>
          <w:rFonts w:eastAsia="Times New Roman" w:cs="Times New Roman"/>
          <w:color w:val="auto"/>
          <w:szCs w:val="24"/>
        </w:rPr>
        <w:softHyphen/>
        <w:t>носителният дял на лицата на възраст над 65 години е 21.8%, докато относителният дял на младото население от 0 до 17 години е 17.2%. Процесът на остаряване е по-силно изра</w:t>
      </w:r>
      <w:r w:rsidRPr="009F6D1E">
        <w:rPr>
          <w:rFonts w:eastAsia="Times New Roman" w:cs="Times New Roman"/>
          <w:color w:val="auto"/>
          <w:szCs w:val="24"/>
        </w:rPr>
        <w:softHyphen/>
        <w:t>зен сред жените отколкото сред мъжете, което се дължи на по-високата смъртност сред мъ</w:t>
      </w:r>
      <w:r w:rsidRPr="009F6D1E">
        <w:rPr>
          <w:rFonts w:eastAsia="Times New Roman" w:cs="Times New Roman"/>
          <w:color w:val="auto"/>
          <w:szCs w:val="24"/>
        </w:rPr>
        <w:softHyphen/>
        <w:t>жете и в резултат на това на по-ниската средна продължителност на живота при тях. Остаряването на населението е по-силно изразено в селата отколкото в градовете. От</w:t>
      </w:r>
      <w:r w:rsidRPr="009F6D1E">
        <w:rPr>
          <w:rFonts w:eastAsia="Times New Roman" w:cs="Times New Roman"/>
          <w:color w:val="auto"/>
          <w:szCs w:val="24"/>
        </w:rPr>
        <w:softHyphen/>
        <w:t>носителният дял на възрастното население (65 и повече години) в селата е 26.6% и е 1.3 пъти по-голям отколкото в градовете - 19.9%. Делът на младото население (до 17 години) в селата е 15.9%, а в градовете - 17.7%.</w:t>
      </w:r>
    </w:p>
    <w:p w14:paraId="71FE7689" w14:textId="77777777" w:rsidR="00583753" w:rsidRPr="009F6D1E" w:rsidRDefault="00583753" w:rsidP="0084747F">
      <w:pPr>
        <w:spacing w:after="60" w:line="264" w:lineRule="auto"/>
        <w:ind w:firstLine="556"/>
        <w:jc w:val="both"/>
        <w:rPr>
          <w:rFonts w:eastAsia="Times New Roman" w:cs="Times New Roman"/>
          <w:color w:val="auto"/>
          <w:szCs w:val="24"/>
        </w:rPr>
      </w:pPr>
    </w:p>
    <w:p w14:paraId="4A164D8C" w14:textId="77777777" w:rsidR="00E56BA8" w:rsidRPr="009F6D1E" w:rsidRDefault="00583753">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Раждаемост и смъртност</w:t>
      </w:r>
    </w:p>
    <w:p w14:paraId="54A9BD5D" w14:textId="77777777" w:rsidR="00583753" w:rsidRPr="009F6D1E" w:rsidRDefault="00583753" w:rsidP="00583753">
      <w:pPr>
        <w:pStyle w:val="ListParagraph"/>
        <w:spacing w:after="60" w:line="264" w:lineRule="auto"/>
        <w:ind w:left="1428"/>
        <w:jc w:val="both"/>
        <w:rPr>
          <w:b/>
          <w:bCs/>
          <w:i/>
          <w:iCs/>
          <w:color w:val="auto"/>
          <w:lang w:val="bg-BG"/>
        </w:rPr>
      </w:pPr>
    </w:p>
    <w:p w14:paraId="0ED279E5" w14:textId="77777777" w:rsidR="00E56BA8" w:rsidRPr="009F6D1E" w:rsidRDefault="00E56BA8" w:rsidP="00D02E9D">
      <w:pPr>
        <w:pStyle w:val="ListParagraph"/>
        <w:numPr>
          <w:ilvl w:val="0"/>
          <w:numId w:val="25"/>
        </w:numPr>
        <w:spacing w:after="60" w:line="264" w:lineRule="auto"/>
        <w:jc w:val="both"/>
        <w:rPr>
          <w:b/>
          <w:bCs/>
          <w:i/>
          <w:iCs/>
          <w:color w:val="auto"/>
          <w:lang w:val="bg-BG"/>
        </w:rPr>
      </w:pPr>
      <w:r w:rsidRPr="009F6D1E">
        <w:rPr>
          <w:b/>
          <w:bCs/>
          <w:i/>
          <w:iCs/>
          <w:color w:val="auto"/>
          <w:lang w:val="bg-BG"/>
        </w:rPr>
        <w:t>Раждаемост</w:t>
      </w:r>
    </w:p>
    <w:p w14:paraId="3B9B0941"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в страната са регистрирани 59 440 родени деца, от които 59 086 са </w:t>
      </w:r>
      <w:proofErr w:type="spellStart"/>
      <w:r w:rsidRPr="009F6D1E">
        <w:rPr>
          <w:rFonts w:cs="Times New Roman"/>
          <w:color w:val="auto"/>
          <w:szCs w:val="24"/>
        </w:rPr>
        <w:t>живородени</w:t>
      </w:r>
      <w:proofErr w:type="spellEnd"/>
      <w:r w:rsidRPr="009F6D1E">
        <w:rPr>
          <w:rFonts w:cs="Times New Roman"/>
          <w:color w:val="auto"/>
          <w:szCs w:val="24"/>
        </w:rPr>
        <w:t xml:space="preserve"> (99.4%) и 354 - мъртвородени. В сравнение с предходната година броят на </w:t>
      </w:r>
      <w:proofErr w:type="spellStart"/>
      <w:r w:rsidRPr="009F6D1E">
        <w:rPr>
          <w:rFonts w:cs="Times New Roman"/>
          <w:color w:val="auto"/>
          <w:szCs w:val="24"/>
        </w:rPr>
        <w:t>живородените</w:t>
      </w:r>
      <w:proofErr w:type="spellEnd"/>
      <w:r w:rsidRPr="009F6D1E">
        <w:rPr>
          <w:rFonts w:cs="Times New Roman"/>
          <w:color w:val="auto"/>
          <w:szCs w:val="24"/>
        </w:rPr>
        <w:t xml:space="preserve"> е намалял с 2 452, а на мъртвородените се е увеличил с 10. Коефициентът на общата раждаемост през 2020 г. е 8.5‰, а през предходната 2019 г. - 8.8‰. В градовете и селата </w:t>
      </w:r>
      <w:r w:rsidRPr="009F6D1E">
        <w:rPr>
          <w:rFonts w:cs="Times New Roman"/>
          <w:color w:val="auto"/>
          <w:szCs w:val="24"/>
        </w:rPr>
        <w:lastRenderedPageBreak/>
        <w:t>раждаемостта е била съот</w:t>
      </w:r>
      <w:r w:rsidRPr="009F6D1E">
        <w:rPr>
          <w:rFonts w:cs="Times New Roman"/>
          <w:color w:val="auto"/>
          <w:szCs w:val="24"/>
        </w:rPr>
        <w:softHyphen/>
        <w:t>ветно 8.6 и 8.2 на хиляда души от населението. През 2019 г. тези коефициенти са били съответ</w:t>
      </w:r>
      <w:r w:rsidRPr="009F6D1E">
        <w:rPr>
          <w:rFonts w:cs="Times New Roman"/>
          <w:color w:val="auto"/>
          <w:szCs w:val="24"/>
        </w:rPr>
        <w:softHyphen/>
        <w:t>но 8.9 и 8.5%. В териториален аспект раждаемостта е най-висока в областите Сливен - 11.7%, Со</w:t>
      </w:r>
      <w:r w:rsidRPr="009F6D1E">
        <w:rPr>
          <w:rFonts w:cs="Times New Roman"/>
          <w:color w:val="auto"/>
          <w:szCs w:val="24"/>
        </w:rPr>
        <w:softHyphen/>
        <w:t>фия (столица) - 9.9%, Ямбол - 9.4%, Пловдив - 9.1%, Варна - 9.0%, София и Стара Загора - по 8.9%, Благоевград - 8.8%. С най-ниска раждае</w:t>
      </w:r>
      <w:r w:rsidRPr="009F6D1E">
        <w:rPr>
          <w:rFonts w:cs="Times New Roman"/>
          <w:color w:val="auto"/>
          <w:szCs w:val="24"/>
        </w:rPr>
        <w:softHyphen/>
        <w:t>мост през 2020 г. са областите Видин - 5.8%, Га</w:t>
      </w:r>
      <w:r w:rsidRPr="009F6D1E">
        <w:rPr>
          <w:rFonts w:cs="Times New Roman"/>
          <w:color w:val="auto"/>
          <w:szCs w:val="24"/>
        </w:rPr>
        <w:softHyphen/>
        <w:t>брово - 5.9%, Смолян - 6.1%, и Перник - 6.7%. Нивото на раждаемостта зависи от пло</w:t>
      </w:r>
      <w:r w:rsidRPr="009F6D1E">
        <w:rPr>
          <w:rFonts w:cs="Times New Roman"/>
          <w:color w:val="auto"/>
          <w:szCs w:val="24"/>
        </w:rPr>
        <w:softHyphen/>
        <w:t xml:space="preserve">довитостта на родилните контингенти и от броя на жените във фертилна възраст. </w:t>
      </w:r>
      <w:proofErr w:type="spellStart"/>
      <w:r w:rsidRPr="009F6D1E">
        <w:rPr>
          <w:rFonts w:cs="Times New Roman"/>
          <w:color w:val="auto"/>
          <w:szCs w:val="24"/>
        </w:rPr>
        <w:t>Повъз</w:t>
      </w:r>
      <w:proofErr w:type="spellEnd"/>
      <w:r w:rsidRPr="009F6D1E">
        <w:rPr>
          <w:rFonts w:cs="Times New Roman"/>
          <w:color w:val="auto"/>
          <w:szCs w:val="24"/>
        </w:rPr>
        <w:t xml:space="preserve">- </w:t>
      </w:r>
      <w:proofErr w:type="spellStart"/>
      <w:r w:rsidRPr="009F6D1E">
        <w:rPr>
          <w:rFonts w:cs="Times New Roman"/>
          <w:color w:val="auto"/>
          <w:szCs w:val="24"/>
        </w:rPr>
        <w:t>растовите</w:t>
      </w:r>
      <w:proofErr w:type="spellEnd"/>
      <w:r w:rsidRPr="009F6D1E">
        <w:rPr>
          <w:rFonts w:cs="Times New Roman"/>
          <w:color w:val="auto"/>
          <w:szCs w:val="24"/>
        </w:rPr>
        <w:t xml:space="preserve"> показатели на жените показват, че с най-висока стойност е показателят сред жените на възраст от 25 до 29 години, следван от пока</w:t>
      </w:r>
      <w:r w:rsidRPr="009F6D1E">
        <w:rPr>
          <w:rFonts w:cs="Times New Roman"/>
          <w:color w:val="auto"/>
          <w:szCs w:val="24"/>
        </w:rPr>
        <w:softHyphen/>
        <w:t>зателя сред жените на възраст 30 - 34, 20 - 24 години и сред по-младите майки на възраст от 15 до 19 години.</w:t>
      </w:r>
    </w:p>
    <w:p w14:paraId="45BECBE5" w14:textId="6EB7BA44" w:rsidR="00E56BA8" w:rsidRPr="009F6D1E" w:rsidRDefault="00E56BA8" w:rsidP="0084747F">
      <w:pPr>
        <w:spacing w:after="60" w:line="264" w:lineRule="auto"/>
        <w:jc w:val="both"/>
        <w:rPr>
          <w:rFonts w:cs="Times New Roman"/>
          <w:color w:val="auto"/>
          <w:szCs w:val="24"/>
        </w:rPr>
      </w:pPr>
      <w:r w:rsidRPr="009F6D1E">
        <w:rPr>
          <w:rFonts w:cs="Times New Roman"/>
          <w:color w:val="auto"/>
          <w:szCs w:val="24"/>
        </w:rPr>
        <w:t xml:space="preserve">Данни за раждаемостта по полове, общо за страната и за всеки един от регионите в страната е дадена в </w:t>
      </w:r>
      <w:r w:rsidR="003F3D71" w:rsidRPr="009F6D1E">
        <w:rPr>
          <w:rFonts w:cs="Times New Roman"/>
          <w:color w:val="auto"/>
          <w:szCs w:val="24"/>
        </w:rPr>
        <w:fldChar w:fldCharType="begin"/>
      </w:r>
      <w:r w:rsidR="0038543B" w:rsidRPr="009F6D1E">
        <w:rPr>
          <w:rFonts w:cs="Times New Roman"/>
          <w:color w:val="auto"/>
          <w:szCs w:val="24"/>
        </w:rPr>
        <w:instrText xml:space="preserve"> REF _Ref107173558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Таблиц</w:t>
      </w:r>
      <w:r w:rsidR="00A43EF3" w:rsidRPr="009F6D1E">
        <w:rPr>
          <w:color w:val="auto"/>
        </w:rPr>
        <w:t xml:space="preserve">а </w:t>
      </w:r>
      <w:r w:rsidR="00A43EF3">
        <w:rPr>
          <w:noProof/>
          <w:color w:val="auto"/>
        </w:rPr>
        <w:t>29</w:t>
      </w:r>
      <w:r w:rsidR="003F3D71" w:rsidRPr="009F6D1E">
        <w:rPr>
          <w:rFonts w:cs="Times New Roman"/>
          <w:color w:val="auto"/>
          <w:szCs w:val="24"/>
        </w:rPr>
        <w:fldChar w:fldCharType="end"/>
      </w:r>
      <w:r w:rsidRPr="009F6D1E">
        <w:rPr>
          <w:rFonts w:cs="Times New Roman"/>
          <w:color w:val="auto"/>
          <w:szCs w:val="24"/>
        </w:rPr>
        <w:t xml:space="preserve"> по-долу.</w:t>
      </w:r>
    </w:p>
    <w:p w14:paraId="43A0DC65" w14:textId="6C87D4E4" w:rsidR="00E56BA8" w:rsidRPr="009F6D1E" w:rsidRDefault="0038543B" w:rsidP="0038543B">
      <w:pPr>
        <w:pStyle w:val="Caption"/>
        <w:rPr>
          <w:color w:val="auto"/>
        </w:rPr>
      </w:pPr>
      <w:bookmarkStart w:id="457" w:name="_Ref107173558"/>
      <w:bookmarkStart w:id="458" w:name="_Toc115255180"/>
      <w:r w:rsidRPr="009F6D1E">
        <w:t>Таблиц</w:t>
      </w:r>
      <w:r w:rsidRPr="009F6D1E">
        <w:rPr>
          <w:color w:val="auto"/>
        </w:rPr>
        <w:t xml:space="preserve">а </w:t>
      </w:r>
      <w:r w:rsidR="003F3D71" w:rsidRPr="009F6D1E">
        <w:rPr>
          <w:color w:val="auto"/>
        </w:rPr>
        <w:fldChar w:fldCharType="begin"/>
      </w:r>
      <w:r w:rsidRPr="009F6D1E">
        <w:rPr>
          <w:color w:val="auto"/>
        </w:rPr>
        <w:instrText xml:space="preserve"> SEQ Таблица \* ARABIC </w:instrText>
      </w:r>
      <w:r w:rsidR="003F3D71" w:rsidRPr="009F6D1E">
        <w:rPr>
          <w:color w:val="auto"/>
        </w:rPr>
        <w:fldChar w:fldCharType="separate"/>
      </w:r>
      <w:r w:rsidR="00A43EF3">
        <w:rPr>
          <w:noProof/>
          <w:color w:val="auto"/>
        </w:rPr>
        <w:t>29</w:t>
      </w:r>
      <w:r w:rsidR="003F3D71" w:rsidRPr="009F6D1E">
        <w:rPr>
          <w:color w:val="auto"/>
        </w:rPr>
        <w:fldChar w:fldCharType="end"/>
      </w:r>
      <w:bookmarkEnd w:id="457"/>
      <w:r w:rsidRPr="009F6D1E">
        <w:rPr>
          <w:color w:val="auto"/>
        </w:rPr>
        <w:t xml:space="preserve">: </w:t>
      </w:r>
      <w:r w:rsidR="00E56BA8" w:rsidRPr="009F6D1E">
        <w:rPr>
          <w:color w:val="auto"/>
        </w:rPr>
        <w:t>Раждаемост по полове, общо за страната и за всеки един от регионите (брой)</w:t>
      </w:r>
      <w:r w:rsidR="00067FD6">
        <w:rPr>
          <w:color w:val="auto"/>
        </w:rPr>
        <w:t xml:space="preserve"> за 2020 год.</w:t>
      </w:r>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12"/>
        <w:gridCol w:w="640"/>
        <w:gridCol w:w="913"/>
        <w:gridCol w:w="1028"/>
      </w:tblGrid>
      <w:tr w:rsidR="0038543B" w:rsidRPr="009F6D1E" w14:paraId="4B7F08DA" w14:textId="77777777" w:rsidTr="00981F7B">
        <w:trPr>
          <w:trHeight w:val="270"/>
          <w:tblHeader/>
          <w:jc w:val="center"/>
        </w:trPr>
        <w:tc>
          <w:tcPr>
            <w:tcW w:w="0" w:type="auto"/>
            <w:shd w:val="clear" w:color="auto" w:fill="D9D9D9" w:themeFill="background1" w:themeFillShade="D9"/>
            <w:noWrap/>
            <w:vAlign w:val="center"/>
            <w:hideMark/>
          </w:tcPr>
          <w:p w14:paraId="0D33DE1E"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Местоживеене</w:t>
            </w:r>
          </w:p>
        </w:tc>
        <w:tc>
          <w:tcPr>
            <w:tcW w:w="0" w:type="auto"/>
            <w:gridSpan w:val="3"/>
            <w:shd w:val="clear" w:color="auto" w:fill="D9D9D9" w:themeFill="background1" w:themeFillShade="D9"/>
            <w:noWrap/>
            <w:vAlign w:val="center"/>
            <w:hideMark/>
          </w:tcPr>
          <w:p w14:paraId="19DCED0F"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w:t>
            </w:r>
          </w:p>
        </w:tc>
      </w:tr>
      <w:tr w:rsidR="0038543B" w:rsidRPr="009F6D1E" w14:paraId="3E715467" w14:textId="77777777" w:rsidTr="00981F7B">
        <w:trPr>
          <w:trHeight w:val="270"/>
          <w:tblHeader/>
          <w:jc w:val="center"/>
        </w:trPr>
        <w:tc>
          <w:tcPr>
            <w:tcW w:w="0" w:type="auto"/>
            <w:shd w:val="clear" w:color="auto" w:fill="D9D9D9" w:themeFill="background1" w:themeFillShade="D9"/>
            <w:noWrap/>
            <w:vAlign w:val="center"/>
            <w:hideMark/>
          </w:tcPr>
          <w:p w14:paraId="63837A12"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Статистически райони</w:t>
            </w:r>
          </w:p>
        </w:tc>
        <w:tc>
          <w:tcPr>
            <w:tcW w:w="0" w:type="auto"/>
            <w:shd w:val="clear" w:color="auto" w:fill="D9D9D9" w:themeFill="background1" w:themeFillShade="D9"/>
            <w:vAlign w:val="center"/>
            <w:hideMark/>
          </w:tcPr>
          <w:p w14:paraId="45EEED70"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w:t>
            </w:r>
          </w:p>
        </w:tc>
        <w:tc>
          <w:tcPr>
            <w:tcW w:w="0" w:type="auto"/>
            <w:shd w:val="clear" w:color="auto" w:fill="D9D9D9" w:themeFill="background1" w:themeFillShade="D9"/>
            <w:vAlign w:val="center"/>
            <w:hideMark/>
          </w:tcPr>
          <w:p w14:paraId="7A17C6EA"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момчета</w:t>
            </w:r>
          </w:p>
        </w:tc>
        <w:tc>
          <w:tcPr>
            <w:tcW w:w="0" w:type="auto"/>
            <w:shd w:val="clear" w:color="auto" w:fill="D9D9D9" w:themeFill="background1" w:themeFillShade="D9"/>
            <w:vAlign w:val="center"/>
            <w:hideMark/>
          </w:tcPr>
          <w:p w14:paraId="7D36E80E"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момичета</w:t>
            </w:r>
          </w:p>
        </w:tc>
      </w:tr>
      <w:tr w:rsidR="0038543B" w:rsidRPr="009F6D1E" w14:paraId="3BFD58F9" w14:textId="77777777" w:rsidTr="00981F7B">
        <w:trPr>
          <w:trHeight w:val="270"/>
          <w:jc w:val="center"/>
        </w:trPr>
        <w:tc>
          <w:tcPr>
            <w:tcW w:w="0" w:type="auto"/>
            <w:shd w:val="clear" w:color="auto" w:fill="auto"/>
            <w:noWrap/>
            <w:vAlign w:val="bottom"/>
            <w:hideMark/>
          </w:tcPr>
          <w:p w14:paraId="1CBFBBE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 за страната</w:t>
            </w:r>
          </w:p>
        </w:tc>
        <w:tc>
          <w:tcPr>
            <w:tcW w:w="0" w:type="auto"/>
            <w:shd w:val="clear" w:color="auto" w:fill="auto"/>
            <w:noWrap/>
            <w:vAlign w:val="bottom"/>
            <w:hideMark/>
          </w:tcPr>
          <w:p w14:paraId="02974CA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59440</w:t>
            </w:r>
          </w:p>
        </w:tc>
        <w:tc>
          <w:tcPr>
            <w:tcW w:w="0" w:type="auto"/>
            <w:shd w:val="clear" w:color="auto" w:fill="auto"/>
            <w:noWrap/>
            <w:vAlign w:val="bottom"/>
            <w:hideMark/>
          </w:tcPr>
          <w:p w14:paraId="0164791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30544</w:t>
            </w:r>
          </w:p>
        </w:tc>
        <w:tc>
          <w:tcPr>
            <w:tcW w:w="0" w:type="auto"/>
            <w:shd w:val="clear" w:color="auto" w:fill="auto"/>
            <w:noWrap/>
            <w:vAlign w:val="bottom"/>
            <w:hideMark/>
          </w:tcPr>
          <w:p w14:paraId="06851ED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28896</w:t>
            </w:r>
          </w:p>
        </w:tc>
      </w:tr>
      <w:tr w:rsidR="0038543B" w:rsidRPr="009F6D1E" w14:paraId="67691249" w14:textId="77777777" w:rsidTr="00981F7B">
        <w:trPr>
          <w:trHeight w:val="134"/>
          <w:jc w:val="center"/>
        </w:trPr>
        <w:tc>
          <w:tcPr>
            <w:tcW w:w="0" w:type="auto"/>
            <w:shd w:val="clear" w:color="auto" w:fill="auto"/>
            <w:vAlign w:val="bottom"/>
            <w:hideMark/>
          </w:tcPr>
          <w:p w14:paraId="014B0FA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Северна и Югоизточна България</w:t>
            </w:r>
          </w:p>
        </w:tc>
        <w:tc>
          <w:tcPr>
            <w:tcW w:w="0" w:type="auto"/>
            <w:shd w:val="clear" w:color="auto" w:fill="auto"/>
            <w:noWrap/>
            <w:vAlign w:val="bottom"/>
            <w:hideMark/>
          </w:tcPr>
          <w:p w14:paraId="37A3178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28203</w:t>
            </w:r>
          </w:p>
        </w:tc>
        <w:tc>
          <w:tcPr>
            <w:tcW w:w="0" w:type="auto"/>
            <w:shd w:val="clear" w:color="auto" w:fill="auto"/>
            <w:noWrap/>
            <w:vAlign w:val="bottom"/>
            <w:hideMark/>
          </w:tcPr>
          <w:p w14:paraId="06CAB54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14439</w:t>
            </w:r>
          </w:p>
        </w:tc>
        <w:tc>
          <w:tcPr>
            <w:tcW w:w="0" w:type="auto"/>
            <w:shd w:val="clear" w:color="auto" w:fill="auto"/>
            <w:noWrap/>
            <w:vAlign w:val="bottom"/>
            <w:hideMark/>
          </w:tcPr>
          <w:p w14:paraId="2998D67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13764</w:t>
            </w:r>
          </w:p>
        </w:tc>
      </w:tr>
      <w:tr w:rsidR="0038543B" w:rsidRPr="009F6D1E" w14:paraId="162C6F60" w14:textId="77777777" w:rsidTr="00981F7B">
        <w:trPr>
          <w:trHeight w:val="270"/>
          <w:jc w:val="center"/>
        </w:trPr>
        <w:tc>
          <w:tcPr>
            <w:tcW w:w="0" w:type="auto"/>
            <w:shd w:val="clear" w:color="auto" w:fill="auto"/>
            <w:noWrap/>
            <w:vAlign w:val="bottom"/>
            <w:hideMark/>
          </w:tcPr>
          <w:p w14:paraId="44EF600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Северозападен</w:t>
            </w:r>
          </w:p>
        </w:tc>
        <w:tc>
          <w:tcPr>
            <w:tcW w:w="0" w:type="auto"/>
            <w:shd w:val="clear" w:color="auto" w:fill="auto"/>
            <w:noWrap/>
            <w:vAlign w:val="bottom"/>
            <w:hideMark/>
          </w:tcPr>
          <w:p w14:paraId="2E448AE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5689</w:t>
            </w:r>
          </w:p>
        </w:tc>
        <w:tc>
          <w:tcPr>
            <w:tcW w:w="0" w:type="auto"/>
            <w:shd w:val="clear" w:color="auto" w:fill="auto"/>
            <w:noWrap/>
            <w:vAlign w:val="bottom"/>
            <w:hideMark/>
          </w:tcPr>
          <w:p w14:paraId="16923C0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2874</w:t>
            </w:r>
          </w:p>
        </w:tc>
        <w:tc>
          <w:tcPr>
            <w:tcW w:w="0" w:type="auto"/>
            <w:shd w:val="clear" w:color="auto" w:fill="auto"/>
            <w:noWrap/>
            <w:vAlign w:val="bottom"/>
            <w:hideMark/>
          </w:tcPr>
          <w:p w14:paraId="0316A10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2815</w:t>
            </w:r>
          </w:p>
        </w:tc>
      </w:tr>
      <w:tr w:rsidR="0038543B" w:rsidRPr="009F6D1E" w14:paraId="2079FC64" w14:textId="77777777" w:rsidTr="00981F7B">
        <w:trPr>
          <w:trHeight w:val="270"/>
          <w:jc w:val="center"/>
        </w:trPr>
        <w:tc>
          <w:tcPr>
            <w:tcW w:w="0" w:type="auto"/>
            <w:shd w:val="clear" w:color="auto" w:fill="auto"/>
            <w:noWrap/>
            <w:vAlign w:val="bottom"/>
            <w:hideMark/>
          </w:tcPr>
          <w:p w14:paraId="41B96395"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Северен централен</w:t>
            </w:r>
          </w:p>
        </w:tc>
        <w:tc>
          <w:tcPr>
            <w:tcW w:w="0" w:type="auto"/>
            <w:shd w:val="clear" w:color="auto" w:fill="auto"/>
            <w:noWrap/>
            <w:vAlign w:val="bottom"/>
            <w:hideMark/>
          </w:tcPr>
          <w:p w14:paraId="002E345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5420</w:t>
            </w:r>
          </w:p>
        </w:tc>
        <w:tc>
          <w:tcPr>
            <w:tcW w:w="0" w:type="auto"/>
            <w:shd w:val="clear" w:color="auto" w:fill="auto"/>
            <w:noWrap/>
            <w:vAlign w:val="bottom"/>
            <w:hideMark/>
          </w:tcPr>
          <w:p w14:paraId="079A554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2777</w:t>
            </w:r>
          </w:p>
        </w:tc>
        <w:tc>
          <w:tcPr>
            <w:tcW w:w="0" w:type="auto"/>
            <w:shd w:val="clear" w:color="auto" w:fill="auto"/>
            <w:noWrap/>
            <w:vAlign w:val="bottom"/>
            <w:hideMark/>
          </w:tcPr>
          <w:p w14:paraId="46C5772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2643</w:t>
            </w:r>
          </w:p>
        </w:tc>
      </w:tr>
      <w:tr w:rsidR="0038543B" w:rsidRPr="009F6D1E" w14:paraId="6378D627" w14:textId="77777777" w:rsidTr="00981F7B">
        <w:trPr>
          <w:trHeight w:val="270"/>
          <w:jc w:val="center"/>
        </w:trPr>
        <w:tc>
          <w:tcPr>
            <w:tcW w:w="0" w:type="auto"/>
            <w:shd w:val="clear" w:color="auto" w:fill="auto"/>
            <w:noWrap/>
            <w:vAlign w:val="bottom"/>
            <w:hideMark/>
          </w:tcPr>
          <w:p w14:paraId="02D446F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Североизточен</w:t>
            </w:r>
          </w:p>
        </w:tc>
        <w:tc>
          <w:tcPr>
            <w:tcW w:w="0" w:type="auto"/>
            <w:shd w:val="clear" w:color="auto" w:fill="auto"/>
            <w:noWrap/>
            <w:vAlign w:val="bottom"/>
            <w:hideMark/>
          </w:tcPr>
          <w:p w14:paraId="24B36C3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7506</w:t>
            </w:r>
          </w:p>
        </w:tc>
        <w:tc>
          <w:tcPr>
            <w:tcW w:w="0" w:type="auto"/>
            <w:shd w:val="clear" w:color="auto" w:fill="auto"/>
            <w:noWrap/>
            <w:vAlign w:val="bottom"/>
            <w:hideMark/>
          </w:tcPr>
          <w:p w14:paraId="124C395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3887</w:t>
            </w:r>
          </w:p>
        </w:tc>
        <w:tc>
          <w:tcPr>
            <w:tcW w:w="0" w:type="auto"/>
            <w:shd w:val="clear" w:color="auto" w:fill="auto"/>
            <w:noWrap/>
            <w:vAlign w:val="bottom"/>
            <w:hideMark/>
          </w:tcPr>
          <w:p w14:paraId="11401BD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3619</w:t>
            </w:r>
          </w:p>
        </w:tc>
      </w:tr>
      <w:tr w:rsidR="0038543B" w:rsidRPr="009F6D1E" w14:paraId="566C4A84" w14:textId="77777777" w:rsidTr="00981F7B">
        <w:trPr>
          <w:trHeight w:val="270"/>
          <w:jc w:val="center"/>
        </w:trPr>
        <w:tc>
          <w:tcPr>
            <w:tcW w:w="0" w:type="auto"/>
            <w:shd w:val="clear" w:color="auto" w:fill="auto"/>
            <w:noWrap/>
            <w:vAlign w:val="bottom"/>
            <w:hideMark/>
          </w:tcPr>
          <w:p w14:paraId="2DBC8836"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Югоизточен</w:t>
            </w:r>
          </w:p>
        </w:tc>
        <w:tc>
          <w:tcPr>
            <w:tcW w:w="0" w:type="auto"/>
            <w:shd w:val="clear" w:color="auto" w:fill="auto"/>
            <w:noWrap/>
            <w:vAlign w:val="bottom"/>
            <w:hideMark/>
          </w:tcPr>
          <w:p w14:paraId="34C244A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9588</w:t>
            </w:r>
          </w:p>
        </w:tc>
        <w:tc>
          <w:tcPr>
            <w:tcW w:w="0" w:type="auto"/>
            <w:shd w:val="clear" w:color="auto" w:fill="auto"/>
            <w:noWrap/>
            <w:vAlign w:val="bottom"/>
            <w:hideMark/>
          </w:tcPr>
          <w:p w14:paraId="1BCF932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4901</w:t>
            </w:r>
          </w:p>
        </w:tc>
        <w:tc>
          <w:tcPr>
            <w:tcW w:w="0" w:type="auto"/>
            <w:shd w:val="clear" w:color="auto" w:fill="auto"/>
            <w:noWrap/>
            <w:vAlign w:val="bottom"/>
            <w:hideMark/>
          </w:tcPr>
          <w:p w14:paraId="054C2D2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4687</w:t>
            </w:r>
          </w:p>
        </w:tc>
      </w:tr>
      <w:tr w:rsidR="0038543B" w:rsidRPr="009F6D1E" w14:paraId="678B3335" w14:textId="77777777" w:rsidTr="00981F7B">
        <w:trPr>
          <w:trHeight w:val="179"/>
          <w:jc w:val="center"/>
        </w:trPr>
        <w:tc>
          <w:tcPr>
            <w:tcW w:w="0" w:type="auto"/>
            <w:shd w:val="clear" w:color="auto" w:fill="auto"/>
            <w:vAlign w:val="bottom"/>
            <w:hideMark/>
          </w:tcPr>
          <w:p w14:paraId="137389A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Югозападна и Южна централна България</w:t>
            </w:r>
          </w:p>
        </w:tc>
        <w:tc>
          <w:tcPr>
            <w:tcW w:w="0" w:type="auto"/>
            <w:shd w:val="clear" w:color="auto" w:fill="auto"/>
            <w:noWrap/>
            <w:vAlign w:val="bottom"/>
            <w:hideMark/>
          </w:tcPr>
          <w:p w14:paraId="52740A5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31237</w:t>
            </w:r>
          </w:p>
        </w:tc>
        <w:tc>
          <w:tcPr>
            <w:tcW w:w="0" w:type="auto"/>
            <w:shd w:val="clear" w:color="auto" w:fill="auto"/>
            <w:noWrap/>
            <w:vAlign w:val="bottom"/>
            <w:hideMark/>
          </w:tcPr>
          <w:p w14:paraId="48BD29B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16105</w:t>
            </w:r>
          </w:p>
        </w:tc>
        <w:tc>
          <w:tcPr>
            <w:tcW w:w="0" w:type="auto"/>
            <w:shd w:val="clear" w:color="auto" w:fill="auto"/>
            <w:noWrap/>
            <w:vAlign w:val="bottom"/>
            <w:hideMark/>
          </w:tcPr>
          <w:p w14:paraId="1BF6D66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15132</w:t>
            </w:r>
          </w:p>
        </w:tc>
      </w:tr>
      <w:tr w:rsidR="0038543B" w:rsidRPr="009F6D1E" w14:paraId="65B783E0" w14:textId="77777777" w:rsidTr="00981F7B">
        <w:trPr>
          <w:trHeight w:val="270"/>
          <w:jc w:val="center"/>
        </w:trPr>
        <w:tc>
          <w:tcPr>
            <w:tcW w:w="0" w:type="auto"/>
            <w:shd w:val="clear" w:color="auto" w:fill="auto"/>
            <w:noWrap/>
            <w:vAlign w:val="bottom"/>
            <w:hideMark/>
          </w:tcPr>
          <w:p w14:paraId="62386EA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Югозападен</w:t>
            </w:r>
          </w:p>
        </w:tc>
        <w:tc>
          <w:tcPr>
            <w:tcW w:w="0" w:type="auto"/>
            <w:shd w:val="clear" w:color="auto" w:fill="auto"/>
            <w:noWrap/>
            <w:vAlign w:val="bottom"/>
            <w:hideMark/>
          </w:tcPr>
          <w:p w14:paraId="29F9631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19510</w:t>
            </w:r>
          </w:p>
        </w:tc>
        <w:tc>
          <w:tcPr>
            <w:tcW w:w="0" w:type="auto"/>
            <w:shd w:val="clear" w:color="auto" w:fill="auto"/>
            <w:noWrap/>
            <w:vAlign w:val="bottom"/>
            <w:hideMark/>
          </w:tcPr>
          <w:p w14:paraId="5F5C520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10060</w:t>
            </w:r>
          </w:p>
        </w:tc>
        <w:tc>
          <w:tcPr>
            <w:tcW w:w="0" w:type="auto"/>
            <w:shd w:val="clear" w:color="auto" w:fill="auto"/>
            <w:noWrap/>
            <w:vAlign w:val="bottom"/>
            <w:hideMark/>
          </w:tcPr>
          <w:p w14:paraId="73C4F35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9450</w:t>
            </w:r>
          </w:p>
        </w:tc>
      </w:tr>
      <w:tr w:rsidR="0038543B" w:rsidRPr="009F6D1E" w14:paraId="6386DB65" w14:textId="77777777" w:rsidTr="00981F7B">
        <w:trPr>
          <w:trHeight w:val="270"/>
          <w:jc w:val="center"/>
        </w:trPr>
        <w:tc>
          <w:tcPr>
            <w:tcW w:w="0" w:type="auto"/>
            <w:shd w:val="clear" w:color="auto" w:fill="auto"/>
            <w:noWrap/>
            <w:vAlign w:val="bottom"/>
            <w:hideMark/>
          </w:tcPr>
          <w:p w14:paraId="4C4B289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Южен централен</w:t>
            </w:r>
          </w:p>
        </w:tc>
        <w:tc>
          <w:tcPr>
            <w:tcW w:w="0" w:type="auto"/>
            <w:shd w:val="clear" w:color="auto" w:fill="auto"/>
            <w:noWrap/>
            <w:vAlign w:val="bottom"/>
            <w:hideMark/>
          </w:tcPr>
          <w:p w14:paraId="7A60876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11727</w:t>
            </w:r>
          </w:p>
        </w:tc>
        <w:tc>
          <w:tcPr>
            <w:tcW w:w="0" w:type="auto"/>
            <w:shd w:val="clear" w:color="auto" w:fill="auto"/>
            <w:noWrap/>
            <w:vAlign w:val="bottom"/>
            <w:hideMark/>
          </w:tcPr>
          <w:p w14:paraId="6438AD1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6045</w:t>
            </w:r>
          </w:p>
        </w:tc>
        <w:tc>
          <w:tcPr>
            <w:tcW w:w="0" w:type="auto"/>
            <w:shd w:val="clear" w:color="auto" w:fill="auto"/>
            <w:noWrap/>
            <w:vAlign w:val="bottom"/>
            <w:hideMark/>
          </w:tcPr>
          <w:p w14:paraId="6D54A69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5682</w:t>
            </w:r>
          </w:p>
        </w:tc>
      </w:tr>
      <w:tr w:rsidR="0038543B" w:rsidRPr="009F6D1E" w14:paraId="2B59C519" w14:textId="77777777" w:rsidTr="00981F7B">
        <w:trPr>
          <w:trHeight w:val="270"/>
          <w:jc w:val="center"/>
        </w:trPr>
        <w:tc>
          <w:tcPr>
            <w:tcW w:w="0" w:type="auto"/>
            <w:shd w:val="clear" w:color="auto" w:fill="auto"/>
            <w:noWrap/>
            <w:vAlign w:val="bottom"/>
            <w:hideMark/>
          </w:tcPr>
          <w:p w14:paraId="479B9FE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 градовете</w:t>
            </w:r>
          </w:p>
        </w:tc>
        <w:tc>
          <w:tcPr>
            <w:tcW w:w="0" w:type="auto"/>
            <w:shd w:val="clear" w:color="auto" w:fill="auto"/>
            <w:noWrap/>
            <w:vAlign w:val="bottom"/>
            <w:hideMark/>
          </w:tcPr>
          <w:p w14:paraId="38528EE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44060</w:t>
            </w:r>
          </w:p>
        </w:tc>
        <w:tc>
          <w:tcPr>
            <w:tcW w:w="0" w:type="auto"/>
            <w:shd w:val="clear" w:color="auto" w:fill="auto"/>
            <w:noWrap/>
            <w:vAlign w:val="bottom"/>
            <w:hideMark/>
          </w:tcPr>
          <w:p w14:paraId="524104E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22729</w:t>
            </w:r>
          </w:p>
        </w:tc>
        <w:tc>
          <w:tcPr>
            <w:tcW w:w="0" w:type="auto"/>
            <w:shd w:val="clear" w:color="auto" w:fill="auto"/>
            <w:noWrap/>
            <w:vAlign w:val="bottom"/>
            <w:hideMark/>
          </w:tcPr>
          <w:p w14:paraId="23666C6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21331</w:t>
            </w:r>
          </w:p>
        </w:tc>
      </w:tr>
      <w:tr w:rsidR="0038543B" w:rsidRPr="009F6D1E" w14:paraId="064B7766" w14:textId="77777777" w:rsidTr="00981F7B">
        <w:trPr>
          <w:trHeight w:val="242"/>
          <w:jc w:val="center"/>
        </w:trPr>
        <w:tc>
          <w:tcPr>
            <w:tcW w:w="0" w:type="auto"/>
            <w:shd w:val="clear" w:color="auto" w:fill="auto"/>
            <w:vAlign w:val="bottom"/>
            <w:hideMark/>
          </w:tcPr>
          <w:p w14:paraId="2DEB1877"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Северна и Югоизточна България</w:t>
            </w:r>
          </w:p>
        </w:tc>
        <w:tc>
          <w:tcPr>
            <w:tcW w:w="0" w:type="auto"/>
            <w:shd w:val="clear" w:color="auto" w:fill="auto"/>
            <w:noWrap/>
            <w:vAlign w:val="bottom"/>
            <w:hideMark/>
          </w:tcPr>
          <w:p w14:paraId="2F16528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19100</w:t>
            </w:r>
          </w:p>
        </w:tc>
        <w:tc>
          <w:tcPr>
            <w:tcW w:w="0" w:type="auto"/>
            <w:shd w:val="clear" w:color="auto" w:fill="auto"/>
            <w:noWrap/>
            <w:vAlign w:val="bottom"/>
            <w:hideMark/>
          </w:tcPr>
          <w:p w14:paraId="066952A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9859</w:t>
            </w:r>
          </w:p>
        </w:tc>
        <w:tc>
          <w:tcPr>
            <w:tcW w:w="0" w:type="auto"/>
            <w:shd w:val="clear" w:color="auto" w:fill="auto"/>
            <w:noWrap/>
            <w:vAlign w:val="bottom"/>
            <w:hideMark/>
          </w:tcPr>
          <w:p w14:paraId="11946DF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9241</w:t>
            </w:r>
          </w:p>
        </w:tc>
      </w:tr>
      <w:tr w:rsidR="0038543B" w:rsidRPr="009F6D1E" w14:paraId="61ECD223" w14:textId="77777777" w:rsidTr="00981F7B">
        <w:trPr>
          <w:trHeight w:val="270"/>
          <w:jc w:val="center"/>
        </w:trPr>
        <w:tc>
          <w:tcPr>
            <w:tcW w:w="0" w:type="auto"/>
            <w:shd w:val="clear" w:color="auto" w:fill="auto"/>
            <w:noWrap/>
            <w:vAlign w:val="bottom"/>
            <w:hideMark/>
          </w:tcPr>
          <w:p w14:paraId="18302F4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Северозападен</w:t>
            </w:r>
          </w:p>
        </w:tc>
        <w:tc>
          <w:tcPr>
            <w:tcW w:w="0" w:type="auto"/>
            <w:shd w:val="clear" w:color="auto" w:fill="auto"/>
            <w:noWrap/>
            <w:vAlign w:val="bottom"/>
            <w:hideMark/>
          </w:tcPr>
          <w:p w14:paraId="0B92FC4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3433</w:t>
            </w:r>
          </w:p>
        </w:tc>
        <w:tc>
          <w:tcPr>
            <w:tcW w:w="0" w:type="auto"/>
            <w:shd w:val="clear" w:color="auto" w:fill="auto"/>
            <w:noWrap/>
            <w:vAlign w:val="bottom"/>
            <w:hideMark/>
          </w:tcPr>
          <w:p w14:paraId="20E60EA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1760</w:t>
            </w:r>
          </w:p>
        </w:tc>
        <w:tc>
          <w:tcPr>
            <w:tcW w:w="0" w:type="auto"/>
            <w:shd w:val="clear" w:color="auto" w:fill="auto"/>
            <w:noWrap/>
            <w:vAlign w:val="bottom"/>
            <w:hideMark/>
          </w:tcPr>
          <w:p w14:paraId="34CE1AF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1673</w:t>
            </w:r>
          </w:p>
        </w:tc>
      </w:tr>
      <w:tr w:rsidR="0038543B" w:rsidRPr="009F6D1E" w14:paraId="070855CB" w14:textId="77777777" w:rsidTr="00981F7B">
        <w:trPr>
          <w:trHeight w:val="270"/>
          <w:jc w:val="center"/>
        </w:trPr>
        <w:tc>
          <w:tcPr>
            <w:tcW w:w="0" w:type="auto"/>
            <w:shd w:val="clear" w:color="auto" w:fill="auto"/>
            <w:noWrap/>
            <w:vAlign w:val="bottom"/>
            <w:hideMark/>
          </w:tcPr>
          <w:p w14:paraId="55467E3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Северен централен</w:t>
            </w:r>
          </w:p>
        </w:tc>
        <w:tc>
          <w:tcPr>
            <w:tcW w:w="0" w:type="auto"/>
            <w:shd w:val="clear" w:color="auto" w:fill="auto"/>
            <w:noWrap/>
            <w:vAlign w:val="bottom"/>
            <w:hideMark/>
          </w:tcPr>
          <w:p w14:paraId="0C64638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3560</w:t>
            </w:r>
          </w:p>
        </w:tc>
        <w:tc>
          <w:tcPr>
            <w:tcW w:w="0" w:type="auto"/>
            <w:shd w:val="clear" w:color="auto" w:fill="auto"/>
            <w:noWrap/>
            <w:vAlign w:val="bottom"/>
            <w:hideMark/>
          </w:tcPr>
          <w:p w14:paraId="024B660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1848</w:t>
            </w:r>
          </w:p>
        </w:tc>
        <w:tc>
          <w:tcPr>
            <w:tcW w:w="0" w:type="auto"/>
            <w:shd w:val="clear" w:color="auto" w:fill="auto"/>
            <w:noWrap/>
            <w:vAlign w:val="bottom"/>
            <w:hideMark/>
          </w:tcPr>
          <w:p w14:paraId="2195B33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1712</w:t>
            </w:r>
          </w:p>
        </w:tc>
      </w:tr>
      <w:tr w:rsidR="0038543B" w:rsidRPr="009F6D1E" w14:paraId="034EC5B9" w14:textId="77777777" w:rsidTr="00981F7B">
        <w:trPr>
          <w:trHeight w:val="270"/>
          <w:jc w:val="center"/>
        </w:trPr>
        <w:tc>
          <w:tcPr>
            <w:tcW w:w="0" w:type="auto"/>
            <w:shd w:val="clear" w:color="auto" w:fill="auto"/>
            <w:noWrap/>
            <w:vAlign w:val="bottom"/>
            <w:hideMark/>
          </w:tcPr>
          <w:p w14:paraId="65D001F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Североизточен</w:t>
            </w:r>
          </w:p>
        </w:tc>
        <w:tc>
          <w:tcPr>
            <w:tcW w:w="0" w:type="auto"/>
            <w:shd w:val="clear" w:color="auto" w:fill="auto"/>
            <w:noWrap/>
            <w:vAlign w:val="bottom"/>
            <w:hideMark/>
          </w:tcPr>
          <w:p w14:paraId="77E7796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5522</w:t>
            </w:r>
          </w:p>
        </w:tc>
        <w:tc>
          <w:tcPr>
            <w:tcW w:w="0" w:type="auto"/>
            <w:shd w:val="clear" w:color="auto" w:fill="auto"/>
            <w:noWrap/>
            <w:vAlign w:val="bottom"/>
            <w:hideMark/>
          </w:tcPr>
          <w:p w14:paraId="0629521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2849</w:t>
            </w:r>
          </w:p>
        </w:tc>
        <w:tc>
          <w:tcPr>
            <w:tcW w:w="0" w:type="auto"/>
            <w:shd w:val="clear" w:color="auto" w:fill="auto"/>
            <w:noWrap/>
            <w:vAlign w:val="bottom"/>
            <w:hideMark/>
          </w:tcPr>
          <w:p w14:paraId="7A3FF96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2673</w:t>
            </w:r>
          </w:p>
        </w:tc>
      </w:tr>
      <w:tr w:rsidR="0038543B" w:rsidRPr="009F6D1E" w14:paraId="3F31B1CC" w14:textId="77777777" w:rsidTr="00981F7B">
        <w:trPr>
          <w:trHeight w:val="270"/>
          <w:jc w:val="center"/>
        </w:trPr>
        <w:tc>
          <w:tcPr>
            <w:tcW w:w="0" w:type="auto"/>
            <w:shd w:val="clear" w:color="auto" w:fill="auto"/>
            <w:noWrap/>
            <w:vAlign w:val="bottom"/>
            <w:hideMark/>
          </w:tcPr>
          <w:p w14:paraId="000408C7"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Югоизточен</w:t>
            </w:r>
          </w:p>
        </w:tc>
        <w:tc>
          <w:tcPr>
            <w:tcW w:w="0" w:type="auto"/>
            <w:shd w:val="clear" w:color="auto" w:fill="auto"/>
            <w:noWrap/>
            <w:vAlign w:val="bottom"/>
            <w:hideMark/>
          </w:tcPr>
          <w:p w14:paraId="35D1611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6585</w:t>
            </w:r>
          </w:p>
        </w:tc>
        <w:tc>
          <w:tcPr>
            <w:tcW w:w="0" w:type="auto"/>
            <w:shd w:val="clear" w:color="auto" w:fill="auto"/>
            <w:noWrap/>
            <w:vAlign w:val="bottom"/>
            <w:hideMark/>
          </w:tcPr>
          <w:p w14:paraId="3C873D1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3402</w:t>
            </w:r>
          </w:p>
        </w:tc>
        <w:tc>
          <w:tcPr>
            <w:tcW w:w="0" w:type="auto"/>
            <w:shd w:val="clear" w:color="auto" w:fill="auto"/>
            <w:noWrap/>
            <w:vAlign w:val="bottom"/>
            <w:hideMark/>
          </w:tcPr>
          <w:p w14:paraId="2B3F872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3183</w:t>
            </w:r>
          </w:p>
        </w:tc>
      </w:tr>
      <w:tr w:rsidR="0038543B" w:rsidRPr="009F6D1E" w14:paraId="12AC3F33" w14:textId="77777777" w:rsidTr="00981F7B">
        <w:trPr>
          <w:trHeight w:val="323"/>
          <w:jc w:val="center"/>
        </w:trPr>
        <w:tc>
          <w:tcPr>
            <w:tcW w:w="0" w:type="auto"/>
            <w:shd w:val="clear" w:color="auto" w:fill="auto"/>
            <w:vAlign w:val="bottom"/>
            <w:hideMark/>
          </w:tcPr>
          <w:p w14:paraId="707EC0E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Югозападна и Южна</w:t>
            </w:r>
            <w:r w:rsidRPr="009F6D1E">
              <w:rPr>
                <w:rFonts w:eastAsia="Times New Roman" w:cs="Times New Roman"/>
                <w:b/>
                <w:bCs/>
                <w:color w:val="auto"/>
                <w:sz w:val="20"/>
                <w:szCs w:val="20"/>
                <w:lang w:eastAsia="bg-BG"/>
              </w:rPr>
              <w:br/>
              <w:t>централна България</w:t>
            </w:r>
          </w:p>
        </w:tc>
        <w:tc>
          <w:tcPr>
            <w:tcW w:w="0" w:type="auto"/>
            <w:shd w:val="clear" w:color="auto" w:fill="auto"/>
            <w:noWrap/>
            <w:vAlign w:val="bottom"/>
            <w:hideMark/>
          </w:tcPr>
          <w:p w14:paraId="49BAC63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24960</w:t>
            </w:r>
          </w:p>
        </w:tc>
        <w:tc>
          <w:tcPr>
            <w:tcW w:w="0" w:type="auto"/>
            <w:shd w:val="clear" w:color="auto" w:fill="auto"/>
            <w:noWrap/>
            <w:vAlign w:val="bottom"/>
            <w:hideMark/>
          </w:tcPr>
          <w:p w14:paraId="1D54031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12870</w:t>
            </w:r>
          </w:p>
        </w:tc>
        <w:tc>
          <w:tcPr>
            <w:tcW w:w="0" w:type="auto"/>
            <w:shd w:val="clear" w:color="auto" w:fill="auto"/>
            <w:noWrap/>
            <w:vAlign w:val="bottom"/>
            <w:hideMark/>
          </w:tcPr>
          <w:p w14:paraId="3B06E5D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12090</w:t>
            </w:r>
          </w:p>
        </w:tc>
      </w:tr>
      <w:tr w:rsidR="0038543B" w:rsidRPr="009F6D1E" w14:paraId="64C8FF9C" w14:textId="77777777" w:rsidTr="00981F7B">
        <w:trPr>
          <w:trHeight w:val="270"/>
          <w:jc w:val="center"/>
        </w:trPr>
        <w:tc>
          <w:tcPr>
            <w:tcW w:w="0" w:type="auto"/>
            <w:shd w:val="clear" w:color="auto" w:fill="auto"/>
            <w:noWrap/>
            <w:vAlign w:val="bottom"/>
            <w:hideMark/>
          </w:tcPr>
          <w:p w14:paraId="7501560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Югозападен</w:t>
            </w:r>
          </w:p>
        </w:tc>
        <w:tc>
          <w:tcPr>
            <w:tcW w:w="0" w:type="auto"/>
            <w:shd w:val="clear" w:color="auto" w:fill="auto"/>
            <w:noWrap/>
            <w:vAlign w:val="bottom"/>
            <w:hideMark/>
          </w:tcPr>
          <w:p w14:paraId="4F4F185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16965</w:t>
            </w:r>
          </w:p>
        </w:tc>
        <w:tc>
          <w:tcPr>
            <w:tcW w:w="0" w:type="auto"/>
            <w:shd w:val="clear" w:color="auto" w:fill="auto"/>
            <w:noWrap/>
            <w:vAlign w:val="bottom"/>
            <w:hideMark/>
          </w:tcPr>
          <w:p w14:paraId="2865F04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8734</w:t>
            </w:r>
          </w:p>
        </w:tc>
        <w:tc>
          <w:tcPr>
            <w:tcW w:w="0" w:type="auto"/>
            <w:shd w:val="clear" w:color="auto" w:fill="auto"/>
            <w:noWrap/>
            <w:vAlign w:val="bottom"/>
            <w:hideMark/>
          </w:tcPr>
          <w:p w14:paraId="69BF23B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8231</w:t>
            </w:r>
          </w:p>
        </w:tc>
      </w:tr>
      <w:tr w:rsidR="0038543B" w:rsidRPr="009F6D1E" w14:paraId="698EC0B5" w14:textId="77777777" w:rsidTr="00981F7B">
        <w:trPr>
          <w:trHeight w:val="270"/>
          <w:jc w:val="center"/>
        </w:trPr>
        <w:tc>
          <w:tcPr>
            <w:tcW w:w="0" w:type="auto"/>
            <w:shd w:val="clear" w:color="auto" w:fill="auto"/>
            <w:noWrap/>
            <w:vAlign w:val="bottom"/>
            <w:hideMark/>
          </w:tcPr>
          <w:p w14:paraId="0E02FA5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Южен централен</w:t>
            </w:r>
          </w:p>
        </w:tc>
        <w:tc>
          <w:tcPr>
            <w:tcW w:w="0" w:type="auto"/>
            <w:shd w:val="clear" w:color="auto" w:fill="auto"/>
            <w:noWrap/>
            <w:vAlign w:val="bottom"/>
            <w:hideMark/>
          </w:tcPr>
          <w:p w14:paraId="234B6A7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7995</w:t>
            </w:r>
          </w:p>
        </w:tc>
        <w:tc>
          <w:tcPr>
            <w:tcW w:w="0" w:type="auto"/>
            <w:shd w:val="clear" w:color="auto" w:fill="auto"/>
            <w:noWrap/>
            <w:vAlign w:val="bottom"/>
            <w:hideMark/>
          </w:tcPr>
          <w:p w14:paraId="1F406FA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4136</w:t>
            </w:r>
          </w:p>
        </w:tc>
        <w:tc>
          <w:tcPr>
            <w:tcW w:w="0" w:type="auto"/>
            <w:shd w:val="clear" w:color="auto" w:fill="auto"/>
            <w:noWrap/>
            <w:vAlign w:val="bottom"/>
            <w:hideMark/>
          </w:tcPr>
          <w:p w14:paraId="0607853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3859</w:t>
            </w:r>
          </w:p>
        </w:tc>
      </w:tr>
      <w:tr w:rsidR="0038543B" w:rsidRPr="009F6D1E" w14:paraId="787CA88B" w14:textId="77777777" w:rsidTr="00981F7B">
        <w:trPr>
          <w:trHeight w:val="270"/>
          <w:jc w:val="center"/>
        </w:trPr>
        <w:tc>
          <w:tcPr>
            <w:tcW w:w="0" w:type="auto"/>
            <w:shd w:val="clear" w:color="auto" w:fill="auto"/>
            <w:noWrap/>
            <w:vAlign w:val="bottom"/>
            <w:hideMark/>
          </w:tcPr>
          <w:p w14:paraId="2483DA4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 селата</w:t>
            </w:r>
          </w:p>
        </w:tc>
        <w:tc>
          <w:tcPr>
            <w:tcW w:w="0" w:type="auto"/>
            <w:shd w:val="clear" w:color="auto" w:fill="auto"/>
            <w:noWrap/>
            <w:vAlign w:val="bottom"/>
            <w:hideMark/>
          </w:tcPr>
          <w:p w14:paraId="7159158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15380</w:t>
            </w:r>
          </w:p>
        </w:tc>
        <w:tc>
          <w:tcPr>
            <w:tcW w:w="0" w:type="auto"/>
            <w:shd w:val="clear" w:color="auto" w:fill="auto"/>
            <w:noWrap/>
            <w:vAlign w:val="bottom"/>
            <w:hideMark/>
          </w:tcPr>
          <w:p w14:paraId="019AD58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7815</w:t>
            </w:r>
          </w:p>
        </w:tc>
        <w:tc>
          <w:tcPr>
            <w:tcW w:w="0" w:type="auto"/>
            <w:shd w:val="clear" w:color="auto" w:fill="auto"/>
            <w:noWrap/>
            <w:vAlign w:val="bottom"/>
            <w:hideMark/>
          </w:tcPr>
          <w:p w14:paraId="2BFF340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7565</w:t>
            </w:r>
          </w:p>
        </w:tc>
      </w:tr>
      <w:tr w:rsidR="0038543B" w:rsidRPr="009F6D1E" w14:paraId="08008E85" w14:textId="77777777" w:rsidTr="00981F7B">
        <w:trPr>
          <w:trHeight w:val="305"/>
          <w:jc w:val="center"/>
        </w:trPr>
        <w:tc>
          <w:tcPr>
            <w:tcW w:w="0" w:type="auto"/>
            <w:shd w:val="clear" w:color="auto" w:fill="auto"/>
            <w:vAlign w:val="bottom"/>
            <w:hideMark/>
          </w:tcPr>
          <w:p w14:paraId="615ACF5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Северна и Югоизточна България</w:t>
            </w:r>
          </w:p>
        </w:tc>
        <w:tc>
          <w:tcPr>
            <w:tcW w:w="0" w:type="auto"/>
            <w:shd w:val="clear" w:color="auto" w:fill="auto"/>
            <w:noWrap/>
            <w:vAlign w:val="bottom"/>
            <w:hideMark/>
          </w:tcPr>
          <w:p w14:paraId="73D077E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9103</w:t>
            </w:r>
          </w:p>
        </w:tc>
        <w:tc>
          <w:tcPr>
            <w:tcW w:w="0" w:type="auto"/>
            <w:shd w:val="clear" w:color="auto" w:fill="auto"/>
            <w:noWrap/>
            <w:vAlign w:val="bottom"/>
            <w:hideMark/>
          </w:tcPr>
          <w:p w14:paraId="1F9476B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4580</w:t>
            </w:r>
          </w:p>
        </w:tc>
        <w:tc>
          <w:tcPr>
            <w:tcW w:w="0" w:type="auto"/>
            <w:shd w:val="clear" w:color="auto" w:fill="auto"/>
            <w:noWrap/>
            <w:vAlign w:val="bottom"/>
            <w:hideMark/>
          </w:tcPr>
          <w:p w14:paraId="1D9C15E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4523</w:t>
            </w:r>
          </w:p>
        </w:tc>
      </w:tr>
      <w:tr w:rsidR="0038543B" w:rsidRPr="009F6D1E" w14:paraId="616D0618" w14:textId="77777777" w:rsidTr="00981F7B">
        <w:trPr>
          <w:trHeight w:val="270"/>
          <w:jc w:val="center"/>
        </w:trPr>
        <w:tc>
          <w:tcPr>
            <w:tcW w:w="0" w:type="auto"/>
            <w:shd w:val="clear" w:color="auto" w:fill="auto"/>
            <w:noWrap/>
            <w:vAlign w:val="bottom"/>
            <w:hideMark/>
          </w:tcPr>
          <w:p w14:paraId="18682AC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Северозападен</w:t>
            </w:r>
          </w:p>
        </w:tc>
        <w:tc>
          <w:tcPr>
            <w:tcW w:w="0" w:type="auto"/>
            <w:shd w:val="clear" w:color="auto" w:fill="auto"/>
            <w:noWrap/>
            <w:vAlign w:val="bottom"/>
            <w:hideMark/>
          </w:tcPr>
          <w:p w14:paraId="6F3D0EE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2256</w:t>
            </w:r>
          </w:p>
        </w:tc>
        <w:tc>
          <w:tcPr>
            <w:tcW w:w="0" w:type="auto"/>
            <w:shd w:val="clear" w:color="auto" w:fill="auto"/>
            <w:noWrap/>
            <w:vAlign w:val="bottom"/>
            <w:hideMark/>
          </w:tcPr>
          <w:p w14:paraId="1472414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1114</w:t>
            </w:r>
          </w:p>
        </w:tc>
        <w:tc>
          <w:tcPr>
            <w:tcW w:w="0" w:type="auto"/>
            <w:shd w:val="clear" w:color="auto" w:fill="auto"/>
            <w:noWrap/>
            <w:vAlign w:val="bottom"/>
            <w:hideMark/>
          </w:tcPr>
          <w:p w14:paraId="7E3F675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1142</w:t>
            </w:r>
          </w:p>
        </w:tc>
      </w:tr>
      <w:tr w:rsidR="0038543B" w:rsidRPr="009F6D1E" w14:paraId="140C8EF9" w14:textId="77777777" w:rsidTr="00981F7B">
        <w:trPr>
          <w:trHeight w:val="270"/>
          <w:jc w:val="center"/>
        </w:trPr>
        <w:tc>
          <w:tcPr>
            <w:tcW w:w="0" w:type="auto"/>
            <w:shd w:val="clear" w:color="auto" w:fill="auto"/>
            <w:noWrap/>
            <w:vAlign w:val="bottom"/>
            <w:hideMark/>
          </w:tcPr>
          <w:p w14:paraId="2E8FA04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Северен централен</w:t>
            </w:r>
          </w:p>
        </w:tc>
        <w:tc>
          <w:tcPr>
            <w:tcW w:w="0" w:type="auto"/>
            <w:shd w:val="clear" w:color="auto" w:fill="auto"/>
            <w:noWrap/>
            <w:vAlign w:val="bottom"/>
            <w:hideMark/>
          </w:tcPr>
          <w:p w14:paraId="5703E02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1860</w:t>
            </w:r>
          </w:p>
        </w:tc>
        <w:tc>
          <w:tcPr>
            <w:tcW w:w="0" w:type="auto"/>
            <w:shd w:val="clear" w:color="auto" w:fill="auto"/>
            <w:noWrap/>
            <w:vAlign w:val="bottom"/>
            <w:hideMark/>
          </w:tcPr>
          <w:p w14:paraId="4ABA889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929</w:t>
            </w:r>
          </w:p>
        </w:tc>
        <w:tc>
          <w:tcPr>
            <w:tcW w:w="0" w:type="auto"/>
            <w:shd w:val="clear" w:color="auto" w:fill="auto"/>
            <w:noWrap/>
            <w:vAlign w:val="bottom"/>
            <w:hideMark/>
          </w:tcPr>
          <w:p w14:paraId="7116D59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931</w:t>
            </w:r>
          </w:p>
        </w:tc>
      </w:tr>
      <w:tr w:rsidR="0038543B" w:rsidRPr="009F6D1E" w14:paraId="512B47F7" w14:textId="77777777" w:rsidTr="00981F7B">
        <w:trPr>
          <w:trHeight w:val="270"/>
          <w:jc w:val="center"/>
        </w:trPr>
        <w:tc>
          <w:tcPr>
            <w:tcW w:w="0" w:type="auto"/>
            <w:shd w:val="clear" w:color="auto" w:fill="auto"/>
            <w:noWrap/>
            <w:vAlign w:val="bottom"/>
            <w:hideMark/>
          </w:tcPr>
          <w:p w14:paraId="40D591D7"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Североизточен</w:t>
            </w:r>
          </w:p>
        </w:tc>
        <w:tc>
          <w:tcPr>
            <w:tcW w:w="0" w:type="auto"/>
            <w:shd w:val="clear" w:color="auto" w:fill="auto"/>
            <w:noWrap/>
            <w:vAlign w:val="bottom"/>
            <w:hideMark/>
          </w:tcPr>
          <w:p w14:paraId="5C48C57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1984</w:t>
            </w:r>
          </w:p>
        </w:tc>
        <w:tc>
          <w:tcPr>
            <w:tcW w:w="0" w:type="auto"/>
            <w:shd w:val="clear" w:color="auto" w:fill="auto"/>
            <w:noWrap/>
            <w:vAlign w:val="bottom"/>
            <w:hideMark/>
          </w:tcPr>
          <w:p w14:paraId="6ECC305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1038</w:t>
            </w:r>
          </w:p>
        </w:tc>
        <w:tc>
          <w:tcPr>
            <w:tcW w:w="0" w:type="auto"/>
            <w:shd w:val="clear" w:color="auto" w:fill="auto"/>
            <w:noWrap/>
            <w:vAlign w:val="bottom"/>
            <w:hideMark/>
          </w:tcPr>
          <w:p w14:paraId="2A671F5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946</w:t>
            </w:r>
          </w:p>
        </w:tc>
      </w:tr>
      <w:tr w:rsidR="0038543B" w:rsidRPr="009F6D1E" w14:paraId="509B2308" w14:textId="77777777" w:rsidTr="00981F7B">
        <w:trPr>
          <w:trHeight w:val="270"/>
          <w:jc w:val="center"/>
        </w:trPr>
        <w:tc>
          <w:tcPr>
            <w:tcW w:w="0" w:type="auto"/>
            <w:shd w:val="clear" w:color="auto" w:fill="auto"/>
            <w:noWrap/>
            <w:vAlign w:val="bottom"/>
            <w:hideMark/>
          </w:tcPr>
          <w:p w14:paraId="0474C16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lastRenderedPageBreak/>
              <w:t>Югоизточен</w:t>
            </w:r>
          </w:p>
        </w:tc>
        <w:tc>
          <w:tcPr>
            <w:tcW w:w="0" w:type="auto"/>
            <w:shd w:val="clear" w:color="auto" w:fill="auto"/>
            <w:noWrap/>
            <w:vAlign w:val="bottom"/>
            <w:hideMark/>
          </w:tcPr>
          <w:p w14:paraId="0E2B2FE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3003</w:t>
            </w:r>
          </w:p>
        </w:tc>
        <w:tc>
          <w:tcPr>
            <w:tcW w:w="0" w:type="auto"/>
            <w:shd w:val="clear" w:color="auto" w:fill="auto"/>
            <w:noWrap/>
            <w:vAlign w:val="bottom"/>
            <w:hideMark/>
          </w:tcPr>
          <w:p w14:paraId="29D99B5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1499</w:t>
            </w:r>
          </w:p>
        </w:tc>
        <w:tc>
          <w:tcPr>
            <w:tcW w:w="0" w:type="auto"/>
            <w:shd w:val="clear" w:color="auto" w:fill="auto"/>
            <w:noWrap/>
            <w:vAlign w:val="bottom"/>
            <w:hideMark/>
          </w:tcPr>
          <w:p w14:paraId="1C28499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1504</w:t>
            </w:r>
          </w:p>
        </w:tc>
      </w:tr>
      <w:tr w:rsidR="0038543B" w:rsidRPr="009F6D1E" w14:paraId="2A259546" w14:textId="77777777" w:rsidTr="00981F7B">
        <w:trPr>
          <w:trHeight w:val="377"/>
          <w:jc w:val="center"/>
        </w:trPr>
        <w:tc>
          <w:tcPr>
            <w:tcW w:w="0" w:type="auto"/>
            <w:shd w:val="clear" w:color="auto" w:fill="auto"/>
            <w:vAlign w:val="bottom"/>
            <w:hideMark/>
          </w:tcPr>
          <w:p w14:paraId="6A9BBE3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Югозападна и Южна</w:t>
            </w:r>
            <w:r w:rsidRPr="009F6D1E">
              <w:rPr>
                <w:rFonts w:eastAsia="Times New Roman" w:cs="Times New Roman"/>
                <w:b/>
                <w:bCs/>
                <w:color w:val="auto"/>
                <w:sz w:val="20"/>
                <w:szCs w:val="20"/>
                <w:lang w:eastAsia="bg-BG"/>
              </w:rPr>
              <w:br/>
              <w:t>централна България</w:t>
            </w:r>
          </w:p>
        </w:tc>
        <w:tc>
          <w:tcPr>
            <w:tcW w:w="0" w:type="auto"/>
            <w:shd w:val="clear" w:color="auto" w:fill="auto"/>
            <w:noWrap/>
            <w:vAlign w:val="bottom"/>
            <w:hideMark/>
          </w:tcPr>
          <w:p w14:paraId="73DC91A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6277</w:t>
            </w:r>
          </w:p>
        </w:tc>
        <w:tc>
          <w:tcPr>
            <w:tcW w:w="0" w:type="auto"/>
            <w:shd w:val="clear" w:color="auto" w:fill="auto"/>
            <w:noWrap/>
            <w:vAlign w:val="bottom"/>
            <w:hideMark/>
          </w:tcPr>
          <w:p w14:paraId="6FCBA4E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3235</w:t>
            </w:r>
          </w:p>
        </w:tc>
        <w:tc>
          <w:tcPr>
            <w:tcW w:w="0" w:type="auto"/>
            <w:shd w:val="clear" w:color="auto" w:fill="auto"/>
            <w:noWrap/>
            <w:vAlign w:val="bottom"/>
            <w:hideMark/>
          </w:tcPr>
          <w:p w14:paraId="7283176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3042</w:t>
            </w:r>
          </w:p>
        </w:tc>
      </w:tr>
      <w:tr w:rsidR="0038543B" w:rsidRPr="009F6D1E" w14:paraId="40FAE3F8" w14:textId="77777777" w:rsidTr="00981F7B">
        <w:trPr>
          <w:trHeight w:val="270"/>
          <w:jc w:val="center"/>
        </w:trPr>
        <w:tc>
          <w:tcPr>
            <w:tcW w:w="0" w:type="auto"/>
            <w:shd w:val="clear" w:color="auto" w:fill="auto"/>
            <w:noWrap/>
            <w:vAlign w:val="bottom"/>
            <w:hideMark/>
          </w:tcPr>
          <w:p w14:paraId="7EDC6396"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Югозападен</w:t>
            </w:r>
          </w:p>
        </w:tc>
        <w:tc>
          <w:tcPr>
            <w:tcW w:w="0" w:type="auto"/>
            <w:shd w:val="clear" w:color="auto" w:fill="auto"/>
            <w:noWrap/>
            <w:vAlign w:val="bottom"/>
            <w:hideMark/>
          </w:tcPr>
          <w:p w14:paraId="67E5646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2545</w:t>
            </w:r>
          </w:p>
        </w:tc>
        <w:tc>
          <w:tcPr>
            <w:tcW w:w="0" w:type="auto"/>
            <w:shd w:val="clear" w:color="auto" w:fill="auto"/>
            <w:noWrap/>
            <w:vAlign w:val="bottom"/>
            <w:hideMark/>
          </w:tcPr>
          <w:p w14:paraId="664AC26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1326</w:t>
            </w:r>
          </w:p>
        </w:tc>
        <w:tc>
          <w:tcPr>
            <w:tcW w:w="0" w:type="auto"/>
            <w:shd w:val="clear" w:color="auto" w:fill="auto"/>
            <w:noWrap/>
            <w:vAlign w:val="bottom"/>
            <w:hideMark/>
          </w:tcPr>
          <w:p w14:paraId="5D0FC4B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1219</w:t>
            </w:r>
          </w:p>
        </w:tc>
      </w:tr>
      <w:tr w:rsidR="0038543B" w:rsidRPr="009F6D1E" w14:paraId="1E5256E5" w14:textId="77777777" w:rsidTr="00981F7B">
        <w:trPr>
          <w:trHeight w:val="270"/>
          <w:jc w:val="center"/>
        </w:trPr>
        <w:tc>
          <w:tcPr>
            <w:tcW w:w="0" w:type="auto"/>
            <w:shd w:val="clear" w:color="auto" w:fill="auto"/>
            <w:noWrap/>
            <w:vAlign w:val="bottom"/>
            <w:hideMark/>
          </w:tcPr>
          <w:p w14:paraId="7408771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Южен централен</w:t>
            </w:r>
          </w:p>
        </w:tc>
        <w:tc>
          <w:tcPr>
            <w:tcW w:w="0" w:type="auto"/>
            <w:shd w:val="clear" w:color="auto" w:fill="auto"/>
            <w:noWrap/>
            <w:vAlign w:val="bottom"/>
            <w:hideMark/>
          </w:tcPr>
          <w:p w14:paraId="03CE5B1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3732</w:t>
            </w:r>
          </w:p>
        </w:tc>
        <w:tc>
          <w:tcPr>
            <w:tcW w:w="0" w:type="auto"/>
            <w:shd w:val="clear" w:color="auto" w:fill="auto"/>
            <w:noWrap/>
            <w:vAlign w:val="bottom"/>
            <w:hideMark/>
          </w:tcPr>
          <w:p w14:paraId="1E896D2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1909</w:t>
            </w:r>
          </w:p>
        </w:tc>
        <w:tc>
          <w:tcPr>
            <w:tcW w:w="0" w:type="auto"/>
            <w:shd w:val="clear" w:color="auto" w:fill="auto"/>
            <w:noWrap/>
            <w:vAlign w:val="bottom"/>
            <w:hideMark/>
          </w:tcPr>
          <w:p w14:paraId="192E3FC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1823</w:t>
            </w:r>
          </w:p>
        </w:tc>
      </w:tr>
    </w:tbl>
    <w:p w14:paraId="57DC443D" w14:textId="77777777" w:rsidR="00E56BA8" w:rsidRPr="009F6D1E" w:rsidRDefault="00E56BA8" w:rsidP="0084747F">
      <w:pPr>
        <w:spacing w:after="60" w:line="264" w:lineRule="auto"/>
        <w:ind w:left="708" w:firstLine="708"/>
        <w:jc w:val="both"/>
        <w:rPr>
          <w:rFonts w:cs="Times New Roman"/>
          <w:i/>
          <w:color w:val="auto"/>
          <w:szCs w:val="24"/>
        </w:rPr>
      </w:pPr>
      <w:r w:rsidRPr="009F6D1E">
        <w:rPr>
          <w:rFonts w:cs="Times New Roman"/>
          <w:i/>
          <w:color w:val="auto"/>
          <w:szCs w:val="24"/>
        </w:rPr>
        <w:t>Източник: НСИ</w:t>
      </w:r>
    </w:p>
    <w:p w14:paraId="3832C914" w14:textId="77777777" w:rsidR="00E56BA8" w:rsidRPr="009F6D1E" w:rsidRDefault="00E56BA8" w:rsidP="00D02E9D">
      <w:pPr>
        <w:pStyle w:val="ListParagraph"/>
        <w:numPr>
          <w:ilvl w:val="0"/>
          <w:numId w:val="25"/>
        </w:numPr>
        <w:spacing w:after="60" w:line="264" w:lineRule="auto"/>
        <w:jc w:val="both"/>
        <w:rPr>
          <w:b/>
          <w:bCs/>
          <w:i/>
          <w:iCs/>
          <w:color w:val="auto"/>
          <w:lang w:val="bg-BG"/>
        </w:rPr>
      </w:pPr>
      <w:r w:rsidRPr="009F6D1E">
        <w:rPr>
          <w:b/>
          <w:bCs/>
          <w:i/>
          <w:iCs/>
          <w:color w:val="auto"/>
          <w:lang w:val="bg-BG"/>
        </w:rPr>
        <w:t>Смъртност</w:t>
      </w:r>
    </w:p>
    <w:p w14:paraId="0F58D3D8"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Все още проблем в демографското разви</w:t>
      </w:r>
      <w:r w:rsidRPr="009F6D1E">
        <w:rPr>
          <w:rFonts w:cs="Times New Roman"/>
          <w:color w:val="auto"/>
          <w:szCs w:val="24"/>
        </w:rPr>
        <w:softHyphen/>
        <w:t>тие на страната, силно изразен през последна</w:t>
      </w:r>
      <w:r w:rsidRPr="009F6D1E">
        <w:rPr>
          <w:rFonts w:cs="Times New Roman"/>
          <w:color w:val="auto"/>
          <w:szCs w:val="24"/>
        </w:rPr>
        <w:softHyphen/>
        <w:t>та година, продължава да е високото ниво на смъртност сред населението. През 2020 г. броят на умрелите лица е 124 735 души, или с 16 652 души повече в сравнение с 2019 г., а коефици</w:t>
      </w:r>
      <w:r w:rsidRPr="009F6D1E">
        <w:rPr>
          <w:rFonts w:cs="Times New Roman"/>
          <w:color w:val="auto"/>
          <w:szCs w:val="24"/>
        </w:rPr>
        <w:softHyphen/>
        <w:t>ентът на общата смъртност - 18.0 на хиляда души, е нараснал с 2.5%. Смъртността на насе</w:t>
      </w:r>
      <w:r w:rsidRPr="009F6D1E">
        <w:rPr>
          <w:rFonts w:cs="Times New Roman"/>
          <w:color w:val="auto"/>
          <w:szCs w:val="24"/>
        </w:rPr>
        <w:softHyphen/>
        <w:t>лението в градовете е 15.7 на хиляда, а в селата - 24.2 на хиляда души. Чувствителната разлика в смъртността на градското и селското население е резултат преди всичко на по-интензивния процес на остаряване на населението в селата. През 2020 г. с най-високо равнище на смъртност се отличават областите Видин, Мон</w:t>
      </w:r>
      <w:r w:rsidRPr="009F6D1E">
        <w:rPr>
          <w:rFonts w:cs="Times New Roman"/>
          <w:color w:val="auto"/>
          <w:szCs w:val="24"/>
        </w:rPr>
        <w:softHyphen/>
        <w:t>тана, Кюстендил, Габрово, Перник, Ловеч, Вра</w:t>
      </w:r>
      <w:r w:rsidRPr="009F6D1E">
        <w:rPr>
          <w:rFonts w:cs="Times New Roman"/>
          <w:color w:val="auto"/>
          <w:szCs w:val="24"/>
        </w:rPr>
        <w:softHyphen/>
        <w:t>ца, Плевен, Разград, Силистра, София, Ямбол, а най-ниска стойност на този показател е регис</w:t>
      </w:r>
      <w:r w:rsidRPr="009F6D1E">
        <w:rPr>
          <w:rFonts w:cs="Times New Roman"/>
          <w:color w:val="auto"/>
          <w:szCs w:val="24"/>
        </w:rPr>
        <w:softHyphen/>
        <w:t>трирана в областите София (столица), Кърджа</w:t>
      </w:r>
      <w:r w:rsidRPr="009F6D1E">
        <w:rPr>
          <w:rFonts w:cs="Times New Roman"/>
          <w:color w:val="auto"/>
          <w:szCs w:val="24"/>
        </w:rPr>
        <w:softHyphen/>
        <w:t>ли, Варна и Бургас. Продължава да се наблюдава силно изра</w:t>
      </w:r>
      <w:r w:rsidRPr="009F6D1E">
        <w:rPr>
          <w:rFonts w:cs="Times New Roman"/>
          <w:color w:val="auto"/>
          <w:szCs w:val="24"/>
        </w:rPr>
        <w:softHyphen/>
        <w:t>зена мъжка свръхсмъртност. През 2020 г. на 100 жени умират 112 мъже, като показателят за смъртност сред мъжете е 19.6 на хиляда срещу 16.4 на хиляда при жените.</w:t>
      </w:r>
    </w:p>
    <w:p w14:paraId="5DC3B532"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През 2020 г. в страната са умрели 301 деца на възраст до една година. Техният брой е с 41 по-малък в сравнение с предходната годи</w:t>
      </w:r>
      <w:r w:rsidRPr="009F6D1E">
        <w:rPr>
          <w:rFonts w:cs="Times New Roman"/>
          <w:color w:val="auto"/>
          <w:szCs w:val="24"/>
        </w:rPr>
        <w:softHyphen/>
        <w:t xml:space="preserve">на. Коефициентът на детската смъртност през 2020 г. е 5.1 на хиляда </w:t>
      </w:r>
      <w:proofErr w:type="spellStart"/>
      <w:r w:rsidRPr="009F6D1E">
        <w:rPr>
          <w:rFonts w:cs="Times New Roman"/>
          <w:color w:val="auto"/>
          <w:szCs w:val="24"/>
        </w:rPr>
        <w:t>живородени</w:t>
      </w:r>
      <w:proofErr w:type="spellEnd"/>
      <w:r w:rsidRPr="009F6D1E">
        <w:rPr>
          <w:rFonts w:cs="Times New Roman"/>
          <w:color w:val="auto"/>
          <w:szCs w:val="24"/>
        </w:rPr>
        <w:t xml:space="preserve">. Смъртността сред децата в селата - 6.9 на хиляда, е значително по-висока отколкото сред децата в градовете - 4.5 на хиляда. По области детската смъртност варира в границите от 2.0 на хиляда </w:t>
      </w:r>
      <w:proofErr w:type="spellStart"/>
      <w:r w:rsidRPr="009F6D1E">
        <w:rPr>
          <w:rFonts w:cs="Times New Roman"/>
          <w:color w:val="auto"/>
          <w:szCs w:val="24"/>
        </w:rPr>
        <w:t>живородени</w:t>
      </w:r>
      <w:proofErr w:type="spellEnd"/>
      <w:r w:rsidRPr="009F6D1E">
        <w:rPr>
          <w:rFonts w:cs="Times New Roman"/>
          <w:color w:val="auto"/>
          <w:szCs w:val="24"/>
        </w:rPr>
        <w:t xml:space="preserve"> в об</w:t>
      </w:r>
      <w:r w:rsidRPr="009F6D1E">
        <w:rPr>
          <w:rFonts w:cs="Times New Roman"/>
          <w:color w:val="auto"/>
          <w:szCs w:val="24"/>
        </w:rPr>
        <w:softHyphen/>
        <w:t xml:space="preserve">ласт Русе до 11.7 на хиляда в област Сливен. В повече от половината от областите детската смъртност е над средното ниво за страната. </w:t>
      </w:r>
    </w:p>
    <w:p w14:paraId="380B340E"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смъртността на децата в пери- </w:t>
      </w:r>
      <w:proofErr w:type="spellStart"/>
      <w:r w:rsidRPr="009F6D1E">
        <w:rPr>
          <w:rFonts w:cs="Times New Roman"/>
          <w:color w:val="auto"/>
          <w:szCs w:val="24"/>
        </w:rPr>
        <w:t>наталния</w:t>
      </w:r>
      <w:proofErr w:type="spellEnd"/>
      <w:r w:rsidRPr="009F6D1E">
        <w:rPr>
          <w:rFonts w:cs="Times New Roman"/>
          <w:color w:val="auto"/>
          <w:szCs w:val="24"/>
        </w:rPr>
        <w:t xml:space="preserve"> период е 7.9 на хиляда родени деца. Сравнително по-ниска е честотата на умира- </w:t>
      </w:r>
      <w:proofErr w:type="spellStart"/>
      <w:r w:rsidRPr="009F6D1E">
        <w:rPr>
          <w:rFonts w:cs="Times New Roman"/>
          <w:color w:val="auto"/>
          <w:szCs w:val="24"/>
        </w:rPr>
        <w:t>нията</w:t>
      </w:r>
      <w:proofErr w:type="spellEnd"/>
      <w:r w:rsidRPr="009F6D1E">
        <w:rPr>
          <w:rFonts w:cs="Times New Roman"/>
          <w:color w:val="auto"/>
          <w:szCs w:val="24"/>
        </w:rPr>
        <w:t xml:space="preserve"> сред новородените в </w:t>
      </w:r>
      <w:proofErr w:type="spellStart"/>
      <w:r w:rsidRPr="009F6D1E">
        <w:rPr>
          <w:rFonts w:cs="Times New Roman"/>
          <w:color w:val="auto"/>
          <w:szCs w:val="24"/>
        </w:rPr>
        <w:t>неонатална</w:t>
      </w:r>
      <w:proofErr w:type="spellEnd"/>
      <w:r w:rsidRPr="009F6D1E">
        <w:rPr>
          <w:rFonts w:cs="Times New Roman"/>
          <w:color w:val="auto"/>
          <w:szCs w:val="24"/>
        </w:rPr>
        <w:t xml:space="preserve"> възраст (2.8 на хиляда </w:t>
      </w:r>
      <w:proofErr w:type="spellStart"/>
      <w:r w:rsidRPr="009F6D1E">
        <w:rPr>
          <w:rFonts w:cs="Times New Roman"/>
          <w:color w:val="auto"/>
          <w:szCs w:val="24"/>
        </w:rPr>
        <w:t>живородени</w:t>
      </w:r>
      <w:proofErr w:type="spellEnd"/>
      <w:r w:rsidRPr="009F6D1E">
        <w:rPr>
          <w:rFonts w:cs="Times New Roman"/>
          <w:color w:val="auto"/>
          <w:szCs w:val="24"/>
        </w:rPr>
        <w:t xml:space="preserve">) и в </w:t>
      </w:r>
      <w:proofErr w:type="spellStart"/>
      <w:r w:rsidRPr="009F6D1E">
        <w:rPr>
          <w:rFonts w:cs="Times New Roman"/>
          <w:color w:val="auto"/>
          <w:szCs w:val="24"/>
        </w:rPr>
        <w:t>постнеонатална</w:t>
      </w:r>
      <w:proofErr w:type="spellEnd"/>
      <w:r w:rsidRPr="009F6D1E">
        <w:rPr>
          <w:rFonts w:cs="Times New Roman"/>
          <w:color w:val="auto"/>
          <w:szCs w:val="24"/>
        </w:rPr>
        <w:t xml:space="preserve"> възраст (2.3 на хиляда </w:t>
      </w:r>
      <w:proofErr w:type="spellStart"/>
      <w:r w:rsidRPr="009F6D1E">
        <w:rPr>
          <w:rFonts w:cs="Times New Roman"/>
          <w:color w:val="auto"/>
          <w:szCs w:val="24"/>
        </w:rPr>
        <w:t>живородени</w:t>
      </w:r>
      <w:proofErr w:type="spellEnd"/>
      <w:r w:rsidRPr="009F6D1E">
        <w:rPr>
          <w:rFonts w:cs="Times New Roman"/>
          <w:color w:val="auto"/>
          <w:szCs w:val="24"/>
        </w:rPr>
        <w:t xml:space="preserve"> без умрели</w:t>
      </w:r>
      <w:r w:rsidRPr="009F6D1E">
        <w:rPr>
          <w:rFonts w:cs="Times New Roman"/>
          <w:color w:val="auto"/>
          <w:szCs w:val="24"/>
        </w:rPr>
        <w:softHyphen/>
        <w:t>те до 28-ия ден).</w:t>
      </w:r>
    </w:p>
    <w:p w14:paraId="20D8BE5A" w14:textId="5C787E5E" w:rsidR="00E56BA8" w:rsidRPr="009F6D1E" w:rsidRDefault="00E56BA8" w:rsidP="0084747F">
      <w:pPr>
        <w:spacing w:after="60" w:line="264" w:lineRule="auto"/>
        <w:jc w:val="both"/>
        <w:rPr>
          <w:rFonts w:cs="Times New Roman"/>
          <w:color w:val="auto"/>
          <w:szCs w:val="24"/>
        </w:rPr>
      </w:pPr>
      <w:r w:rsidRPr="009F6D1E">
        <w:rPr>
          <w:rFonts w:cs="Times New Roman"/>
          <w:color w:val="auto"/>
          <w:szCs w:val="24"/>
        </w:rPr>
        <w:t xml:space="preserve">Данни за смъртността по полове, общо за страната и за всяка област е дадена в </w:t>
      </w:r>
      <w:r w:rsidR="003F3D71" w:rsidRPr="009F6D1E">
        <w:rPr>
          <w:rFonts w:cs="Times New Roman"/>
          <w:color w:val="auto"/>
          <w:szCs w:val="24"/>
        </w:rPr>
        <w:fldChar w:fldCharType="begin"/>
      </w:r>
      <w:r w:rsidR="0038543B" w:rsidRPr="009F6D1E">
        <w:rPr>
          <w:rFonts w:cs="Times New Roman"/>
          <w:color w:val="auto"/>
          <w:szCs w:val="24"/>
        </w:rPr>
        <w:instrText xml:space="preserve"> REF _Ref107173636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Таблица </w:t>
      </w:r>
      <w:r w:rsidR="00A43EF3">
        <w:rPr>
          <w:noProof/>
        </w:rPr>
        <w:t>30</w:t>
      </w:r>
      <w:r w:rsidR="003F3D71" w:rsidRPr="009F6D1E">
        <w:rPr>
          <w:rFonts w:cs="Times New Roman"/>
          <w:color w:val="auto"/>
          <w:szCs w:val="24"/>
        </w:rPr>
        <w:fldChar w:fldCharType="end"/>
      </w:r>
      <w:r w:rsidRPr="009F6D1E">
        <w:rPr>
          <w:rFonts w:cs="Times New Roman"/>
          <w:color w:val="auto"/>
          <w:szCs w:val="24"/>
        </w:rPr>
        <w:t xml:space="preserve"> по-долу.</w:t>
      </w:r>
    </w:p>
    <w:p w14:paraId="360B3E30" w14:textId="53993222" w:rsidR="00E56BA8" w:rsidRPr="009F6D1E" w:rsidRDefault="0038543B" w:rsidP="0038543B">
      <w:pPr>
        <w:pStyle w:val="Caption"/>
        <w:rPr>
          <w:color w:val="auto"/>
        </w:rPr>
      </w:pPr>
      <w:bookmarkStart w:id="459" w:name="_Ref107173636"/>
      <w:bookmarkStart w:id="460" w:name="_Toc115255181"/>
      <w:r w:rsidRPr="009F6D1E">
        <w:t xml:space="preserve">Таблица </w:t>
      </w:r>
      <w:fldSimple w:instr=" SEQ Таблица \* ARABIC ">
        <w:r w:rsidR="00A43EF3">
          <w:rPr>
            <w:noProof/>
          </w:rPr>
          <w:t>30</w:t>
        </w:r>
      </w:fldSimple>
      <w:bookmarkEnd w:id="459"/>
      <w:r w:rsidRPr="009F6D1E">
        <w:t xml:space="preserve">: </w:t>
      </w:r>
      <w:r w:rsidR="00E56BA8" w:rsidRPr="009F6D1E">
        <w:rPr>
          <w:color w:val="auto"/>
        </w:rPr>
        <w:t>Смъртност по полове и области (брой)</w:t>
      </w:r>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57"/>
        <w:gridCol w:w="740"/>
        <w:gridCol w:w="680"/>
        <w:gridCol w:w="657"/>
      </w:tblGrid>
      <w:tr w:rsidR="0038543B" w:rsidRPr="009F6D1E" w14:paraId="3DE13028" w14:textId="77777777" w:rsidTr="00981F7B">
        <w:trPr>
          <w:trHeight w:val="270"/>
          <w:tblHeader/>
          <w:jc w:val="center"/>
        </w:trPr>
        <w:tc>
          <w:tcPr>
            <w:tcW w:w="0" w:type="auto"/>
            <w:vMerge w:val="restart"/>
            <w:shd w:val="clear" w:color="auto" w:fill="D9D9D9" w:themeFill="background1" w:themeFillShade="D9"/>
            <w:noWrap/>
            <w:vAlign w:val="center"/>
            <w:hideMark/>
          </w:tcPr>
          <w:p w14:paraId="685D99D1"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Области</w:t>
            </w:r>
          </w:p>
        </w:tc>
        <w:tc>
          <w:tcPr>
            <w:tcW w:w="0" w:type="auto"/>
            <w:gridSpan w:val="3"/>
            <w:shd w:val="clear" w:color="auto" w:fill="D9D9D9" w:themeFill="background1" w:themeFillShade="D9"/>
            <w:noWrap/>
            <w:vAlign w:val="center"/>
            <w:hideMark/>
          </w:tcPr>
          <w:p w14:paraId="69E2D3B8"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2020</w:t>
            </w:r>
          </w:p>
        </w:tc>
      </w:tr>
      <w:tr w:rsidR="0038543B" w:rsidRPr="009F6D1E" w14:paraId="3C5F7AC3" w14:textId="77777777" w:rsidTr="00981F7B">
        <w:trPr>
          <w:trHeight w:val="450"/>
          <w:tblHeader/>
          <w:jc w:val="center"/>
        </w:trPr>
        <w:tc>
          <w:tcPr>
            <w:tcW w:w="0" w:type="auto"/>
            <w:vMerge/>
            <w:shd w:val="clear" w:color="auto" w:fill="D9D9D9" w:themeFill="background1" w:themeFillShade="D9"/>
            <w:noWrap/>
            <w:vAlign w:val="center"/>
            <w:hideMark/>
          </w:tcPr>
          <w:p w14:paraId="0301411B"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p>
        </w:tc>
        <w:tc>
          <w:tcPr>
            <w:tcW w:w="0" w:type="auto"/>
            <w:shd w:val="clear" w:color="auto" w:fill="D9D9D9" w:themeFill="background1" w:themeFillShade="D9"/>
            <w:noWrap/>
            <w:vAlign w:val="center"/>
            <w:hideMark/>
          </w:tcPr>
          <w:p w14:paraId="622B62BA"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w:t>
            </w:r>
          </w:p>
        </w:tc>
        <w:tc>
          <w:tcPr>
            <w:tcW w:w="0" w:type="auto"/>
            <w:shd w:val="clear" w:color="auto" w:fill="D9D9D9" w:themeFill="background1" w:themeFillShade="D9"/>
            <w:noWrap/>
            <w:vAlign w:val="center"/>
            <w:hideMark/>
          </w:tcPr>
          <w:p w14:paraId="35776313"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Мъже</w:t>
            </w:r>
          </w:p>
        </w:tc>
        <w:tc>
          <w:tcPr>
            <w:tcW w:w="0" w:type="auto"/>
            <w:shd w:val="clear" w:color="auto" w:fill="D9D9D9" w:themeFill="background1" w:themeFillShade="D9"/>
            <w:noWrap/>
            <w:vAlign w:val="center"/>
            <w:hideMark/>
          </w:tcPr>
          <w:p w14:paraId="402090CA"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Жени</w:t>
            </w:r>
          </w:p>
        </w:tc>
      </w:tr>
      <w:tr w:rsidR="0038543B" w:rsidRPr="009F6D1E" w14:paraId="76A6085D" w14:textId="77777777" w:rsidTr="00981F7B">
        <w:trPr>
          <w:trHeight w:val="270"/>
          <w:jc w:val="center"/>
        </w:trPr>
        <w:tc>
          <w:tcPr>
            <w:tcW w:w="0" w:type="auto"/>
            <w:shd w:val="clear" w:color="auto" w:fill="auto"/>
            <w:noWrap/>
            <w:vAlign w:val="bottom"/>
            <w:hideMark/>
          </w:tcPr>
          <w:p w14:paraId="35F55B77"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 за страната</w:t>
            </w:r>
          </w:p>
        </w:tc>
        <w:tc>
          <w:tcPr>
            <w:tcW w:w="0" w:type="auto"/>
            <w:shd w:val="clear" w:color="auto" w:fill="auto"/>
            <w:noWrap/>
            <w:vAlign w:val="bottom"/>
            <w:hideMark/>
          </w:tcPr>
          <w:p w14:paraId="20C2A8C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124735</w:t>
            </w:r>
          </w:p>
        </w:tc>
        <w:tc>
          <w:tcPr>
            <w:tcW w:w="0" w:type="auto"/>
            <w:shd w:val="clear" w:color="auto" w:fill="auto"/>
            <w:noWrap/>
            <w:vAlign w:val="bottom"/>
            <w:hideMark/>
          </w:tcPr>
          <w:p w14:paraId="66D22EF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65950</w:t>
            </w:r>
          </w:p>
        </w:tc>
        <w:tc>
          <w:tcPr>
            <w:tcW w:w="0" w:type="auto"/>
            <w:shd w:val="clear" w:color="auto" w:fill="auto"/>
            <w:noWrap/>
            <w:vAlign w:val="bottom"/>
            <w:hideMark/>
          </w:tcPr>
          <w:p w14:paraId="285F9A0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58785</w:t>
            </w:r>
          </w:p>
        </w:tc>
      </w:tr>
      <w:tr w:rsidR="0038543B" w:rsidRPr="009F6D1E" w14:paraId="1762DF5E" w14:textId="77777777" w:rsidTr="00981F7B">
        <w:trPr>
          <w:trHeight w:val="270"/>
          <w:jc w:val="center"/>
        </w:trPr>
        <w:tc>
          <w:tcPr>
            <w:tcW w:w="0" w:type="auto"/>
            <w:shd w:val="clear" w:color="auto" w:fill="auto"/>
            <w:noWrap/>
            <w:vAlign w:val="bottom"/>
            <w:hideMark/>
          </w:tcPr>
          <w:p w14:paraId="5A9BCC9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Благоевград</w:t>
            </w:r>
          </w:p>
        </w:tc>
        <w:tc>
          <w:tcPr>
            <w:tcW w:w="0" w:type="auto"/>
            <w:shd w:val="clear" w:color="auto" w:fill="auto"/>
            <w:noWrap/>
            <w:vAlign w:val="bottom"/>
            <w:hideMark/>
          </w:tcPr>
          <w:p w14:paraId="2604EA5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4963</w:t>
            </w:r>
          </w:p>
        </w:tc>
        <w:tc>
          <w:tcPr>
            <w:tcW w:w="0" w:type="auto"/>
            <w:shd w:val="clear" w:color="auto" w:fill="auto"/>
            <w:noWrap/>
            <w:vAlign w:val="bottom"/>
            <w:hideMark/>
          </w:tcPr>
          <w:p w14:paraId="259DEC0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2648</w:t>
            </w:r>
          </w:p>
        </w:tc>
        <w:tc>
          <w:tcPr>
            <w:tcW w:w="0" w:type="auto"/>
            <w:shd w:val="clear" w:color="auto" w:fill="auto"/>
            <w:noWrap/>
            <w:vAlign w:val="bottom"/>
            <w:hideMark/>
          </w:tcPr>
          <w:p w14:paraId="3673E69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2315</w:t>
            </w:r>
          </w:p>
        </w:tc>
      </w:tr>
      <w:tr w:rsidR="0038543B" w:rsidRPr="009F6D1E" w14:paraId="5CEF80BF" w14:textId="77777777" w:rsidTr="00981F7B">
        <w:trPr>
          <w:trHeight w:val="270"/>
          <w:jc w:val="center"/>
        </w:trPr>
        <w:tc>
          <w:tcPr>
            <w:tcW w:w="0" w:type="auto"/>
            <w:shd w:val="clear" w:color="auto" w:fill="auto"/>
            <w:noWrap/>
            <w:vAlign w:val="bottom"/>
            <w:hideMark/>
          </w:tcPr>
          <w:p w14:paraId="471FD3D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lastRenderedPageBreak/>
              <w:t>Бургас</w:t>
            </w:r>
          </w:p>
        </w:tc>
        <w:tc>
          <w:tcPr>
            <w:tcW w:w="0" w:type="auto"/>
            <w:shd w:val="clear" w:color="auto" w:fill="auto"/>
            <w:noWrap/>
            <w:vAlign w:val="bottom"/>
            <w:hideMark/>
          </w:tcPr>
          <w:p w14:paraId="2B0DDB6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6200</w:t>
            </w:r>
          </w:p>
        </w:tc>
        <w:tc>
          <w:tcPr>
            <w:tcW w:w="0" w:type="auto"/>
            <w:shd w:val="clear" w:color="auto" w:fill="auto"/>
            <w:noWrap/>
            <w:vAlign w:val="bottom"/>
            <w:hideMark/>
          </w:tcPr>
          <w:p w14:paraId="4DA60C0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3329</w:t>
            </w:r>
          </w:p>
        </w:tc>
        <w:tc>
          <w:tcPr>
            <w:tcW w:w="0" w:type="auto"/>
            <w:shd w:val="clear" w:color="auto" w:fill="auto"/>
            <w:noWrap/>
            <w:vAlign w:val="bottom"/>
            <w:hideMark/>
          </w:tcPr>
          <w:p w14:paraId="76274E3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2871</w:t>
            </w:r>
          </w:p>
        </w:tc>
      </w:tr>
      <w:tr w:rsidR="0038543B" w:rsidRPr="009F6D1E" w14:paraId="02A17777" w14:textId="77777777" w:rsidTr="00981F7B">
        <w:trPr>
          <w:trHeight w:val="270"/>
          <w:jc w:val="center"/>
        </w:trPr>
        <w:tc>
          <w:tcPr>
            <w:tcW w:w="0" w:type="auto"/>
            <w:shd w:val="clear" w:color="auto" w:fill="auto"/>
            <w:noWrap/>
            <w:vAlign w:val="bottom"/>
            <w:hideMark/>
          </w:tcPr>
          <w:p w14:paraId="6B2AFC3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Варна</w:t>
            </w:r>
          </w:p>
        </w:tc>
        <w:tc>
          <w:tcPr>
            <w:tcW w:w="0" w:type="auto"/>
            <w:shd w:val="clear" w:color="auto" w:fill="auto"/>
            <w:noWrap/>
            <w:vAlign w:val="bottom"/>
            <w:hideMark/>
          </w:tcPr>
          <w:p w14:paraId="6B1AF29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6930</w:t>
            </w:r>
          </w:p>
        </w:tc>
        <w:tc>
          <w:tcPr>
            <w:tcW w:w="0" w:type="auto"/>
            <w:shd w:val="clear" w:color="auto" w:fill="auto"/>
            <w:noWrap/>
            <w:vAlign w:val="bottom"/>
            <w:hideMark/>
          </w:tcPr>
          <w:p w14:paraId="03D8993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3636</w:t>
            </w:r>
          </w:p>
        </w:tc>
        <w:tc>
          <w:tcPr>
            <w:tcW w:w="0" w:type="auto"/>
            <w:shd w:val="clear" w:color="auto" w:fill="auto"/>
            <w:noWrap/>
            <w:vAlign w:val="bottom"/>
            <w:hideMark/>
          </w:tcPr>
          <w:p w14:paraId="2779B1A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3294</w:t>
            </w:r>
          </w:p>
        </w:tc>
      </w:tr>
      <w:tr w:rsidR="0038543B" w:rsidRPr="009F6D1E" w14:paraId="6D46B238" w14:textId="77777777" w:rsidTr="00981F7B">
        <w:trPr>
          <w:trHeight w:val="270"/>
          <w:jc w:val="center"/>
        </w:trPr>
        <w:tc>
          <w:tcPr>
            <w:tcW w:w="0" w:type="auto"/>
            <w:shd w:val="clear" w:color="auto" w:fill="auto"/>
            <w:noWrap/>
            <w:vAlign w:val="bottom"/>
            <w:hideMark/>
          </w:tcPr>
          <w:p w14:paraId="0770C64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Велико Търново</w:t>
            </w:r>
          </w:p>
        </w:tc>
        <w:tc>
          <w:tcPr>
            <w:tcW w:w="0" w:type="auto"/>
            <w:shd w:val="clear" w:color="auto" w:fill="auto"/>
            <w:noWrap/>
            <w:vAlign w:val="bottom"/>
            <w:hideMark/>
          </w:tcPr>
          <w:p w14:paraId="0C72840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4499</w:t>
            </w:r>
          </w:p>
        </w:tc>
        <w:tc>
          <w:tcPr>
            <w:tcW w:w="0" w:type="auto"/>
            <w:shd w:val="clear" w:color="auto" w:fill="auto"/>
            <w:noWrap/>
            <w:vAlign w:val="bottom"/>
            <w:hideMark/>
          </w:tcPr>
          <w:p w14:paraId="203FFE4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2397</w:t>
            </w:r>
          </w:p>
        </w:tc>
        <w:tc>
          <w:tcPr>
            <w:tcW w:w="0" w:type="auto"/>
            <w:shd w:val="clear" w:color="auto" w:fill="auto"/>
            <w:noWrap/>
            <w:vAlign w:val="bottom"/>
            <w:hideMark/>
          </w:tcPr>
          <w:p w14:paraId="520A395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2102</w:t>
            </w:r>
          </w:p>
        </w:tc>
      </w:tr>
      <w:tr w:rsidR="0038543B" w:rsidRPr="009F6D1E" w14:paraId="3F2956C4" w14:textId="77777777" w:rsidTr="00981F7B">
        <w:trPr>
          <w:trHeight w:val="270"/>
          <w:jc w:val="center"/>
        </w:trPr>
        <w:tc>
          <w:tcPr>
            <w:tcW w:w="0" w:type="auto"/>
            <w:shd w:val="clear" w:color="auto" w:fill="auto"/>
            <w:noWrap/>
            <w:vAlign w:val="bottom"/>
            <w:hideMark/>
          </w:tcPr>
          <w:p w14:paraId="4C2FF29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Видин</w:t>
            </w:r>
          </w:p>
        </w:tc>
        <w:tc>
          <w:tcPr>
            <w:tcW w:w="0" w:type="auto"/>
            <w:shd w:val="clear" w:color="auto" w:fill="auto"/>
            <w:noWrap/>
            <w:vAlign w:val="bottom"/>
            <w:hideMark/>
          </w:tcPr>
          <w:p w14:paraId="667AB2E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2269</w:t>
            </w:r>
          </w:p>
        </w:tc>
        <w:tc>
          <w:tcPr>
            <w:tcW w:w="0" w:type="auto"/>
            <w:shd w:val="clear" w:color="auto" w:fill="auto"/>
            <w:noWrap/>
            <w:vAlign w:val="bottom"/>
            <w:hideMark/>
          </w:tcPr>
          <w:p w14:paraId="0C2ECB5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1173</w:t>
            </w:r>
          </w:p>
        </w:tc>
        <w:tc>
          <w:tcPr>
            <w:tcW w:w="0" w:type="auto"/>
            <w:shd w:val="clear" w:color="auto" w:fill="auto"/>
            <w:noWrap/>
            <w:vAlign w:val="bottom"/>
            <w:hideMark/>
          </w:tcPr>
          <w:p w14:paraId="7A3ADC7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1096</w:t>
            </w:r>
          </w:p>
        </w:tc>
      </w:tr>
      <w:tr w:rsidR="0038543B" w:rsidRPr="009F6D1E" w14:paraId="10B5844F" w14:textId="77777777" w:rsidTr="00981F7B">
        <w:trPr>
          <w:trHeight w:val="270"/>
          <w:jc w:val="center"/>
        </w:trPr>
        <w:tc>
          <w:tcPr>
            <w:tcW w:w="0" w:type="auto"/>
            <w:shd w:val="clear" w:color="auto" w:fill="auto"/>
            <w:noWrap/>
            <w:vAlign w:val="bottom"/>
            <w:hideMark/>
          </w:tcPr>
          <w:p w14:paraId="2FF26F4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Враца</w:t>
            </w:r>
          </w:p>
        </w:tc>
        <w:tc>
          <w:tcPr>
            <w:tcW w:w="0" w:type="auto"/>
            <w:shd w:val="clear" w:color="auto" w:fill="auto"/>
            <w:noWrap/>
            <w:vAlign w:val="bottom"/>
            <w:hideMark/>
          </w:tcPr>
          <w:p w14:paraId="02A2C01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3539</w:t>
            </w:r>
          </w:p>
        </w:tc>
        <w:tc>
          <w:tcPr>
            <w:tcW w:w="0" w:type="auto"/>
            <w:shd w:val="clear" w:color="auto" w:fill="auto"/>
            <w:noWrap/>
            <w:vAlign w:val="bottom"/>
            <w:hideMark/>
          </w:tcPr>
          <w:p w14:paraId="38B11EE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1906</w:t>
            </w:r>
          </w:p>
        </w:tc>
        <w:tc>
          <w:tcPr>
            <w:tcW w:w="0" w:type="auto"/>
            <w:shd w:val="clear" w:color="auto" w:fill="auto"/>
            <w:noWrap/>
            <w:vAlign w:val="bottom"/>
            <w:hideMark/>
          </w:tcPr>
          <w:p w14:paraId="7DFA91B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1633</w:t>
            </w:r>
          </w:p>
        </w:tc>
      </w:tr>
      <w:tr w:rsidR="0038543B" w:rsidRPr="009F6D1E" w14:paraId="3582D69F" w14:textId="77777777" w:rsidTr="00981F7B">
        <w:trPr>
          <w:trHeight w:val="270"/>
          <w:jc w:val="center"/>
        </w:trPr>
        <w:tc>
          <w:tcPr>
            <w:tcW w:w="0" w:type="auto"/>
            <w:shd w:val="clear" w:color="auto" w:fill="auto"/>
            <w:noWrap/>
            <w:vAlign w:val="bottom"/>
            <w:hideMark/>
          </w:tcPr>
          <w:p w14:paraId="1EA1885E"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Добрич</w:t>
            </w:r>
          </w:p>
        </w:tc>
        <w:tc>
          <w:tcPr>
            <w:tcW w:w="0" w:type="auto"/>
            <w:shd w:val="clear" w:color="auto" w:fill="auto"/>
            <w:noWrap/>
            <w:vAlign w:val="bottom"/>
            <w:hideMark/>
          </w:tcPr>
          <w:p w14:paraId="35F9446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3262</w:t>
            </w:r>
          </w:p>
        </w:tc>
        <w:tc>
          <w:tcPr>
            <w:tcW w:w="0" w:type="auto"/>
            <w:shd w:val="clear" w:color="auto" w:fill="auto"/>
            <w:noWrap/>
            <w:vAlign w:val="bottom"/>
            <w:hideMark/>
          </w:tcPr>
          <w:p w14:paraId="36C3185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1762</w:t>
            </w:r>
          </w:p>
        </w:tc>
        <w:tc>
          <w:tcPr>
            <w:tcW w:w="0" w:type="auto"/>
            <w:shd w:val="clear" w:color="auto" w:fill="auto"/>
            <w:noWrap/>
            <w:vAlign w:val="bottom"/>
            <w:hideMark/>
          </w:tcPr>
          <w:p w14:paraId="7589760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1500</w:t>
            </w:r>
          </w:p>
        </w:tc>
      </w:tr>
      <w:tr w:rsidR="0038543B" w:rsidRPr="009F6D1E" w14:paraId="0884F475" w14:textId="77777777" w:rsidTr="00981F7B">
        <w:trPr>
          <w:trHeight w:val="270"/>
          <w:jc w:val="center"/>
        </w:trPr>
        <w:tc>
          <w:tcPr>
            <w:tcW w:w="0" w:type="auto"/>
            <w:shd w:val="clear" w:color="auto" w:fill="auto"/>
            <w:noWrap/>
            <w:vAlign w:val="bottom"/>
            <w:hideMark/>
          </w:tcPr>
          <w:p w14:paraId="77705C0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Кърджали</w:t>
            </w:r>
          </w:p>
        </w:tc>
        <w:tc>
          <w:tcPr>
            <w:tcW w:w="0" w:type="auto"/>
            <w:shd w:val="clear" w:color="auto" w:fill="auto"/>
            <w:noWrap/>
            <w:vAlign w:val="bottom"/>
            <w:hideMark/>
          </w:tcPr>
          <w:p w14:paraId="2C86DF8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2290</w:t>
            </w:r>
          </w:p>
        </w:tc>
        <w:tc>
          <w:tcPr>
            <w:tcW w:w="0" w:type="auto"/>
            <w:shd w:val="clear" w:color="auto" w:fill="auto"/>
            <w:noWrap/>
            <w:vAlign w:val="bottom"/>
            <w:hideMark/>
          </w:tcPr>
          <w:p w14:paraId="4D39B1A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1246</w:t>
            </w:r>
          </w:p>
        </w:tc>
        <w:tc>
          <w:tcPr>
            <w:tcW w:w="0" w:type="auto"/>
            <w:shd w:val="clear" w:color="auto" w:fill="auto"/>
            <w:noWrap/>
            <w:vAlign w:val="bottom"/>
            <w:hideMark/>
          </w:tcPr>
          <w:p w14:paraId="39623B2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1044</w:t>
            </w:r>
          </w:p>
        </w:tc>
      </w:tr>
      <w:tr w:rsidR="0038543B" w:rsidRPr="009F6D1E" w14:paraId="3ED3EFB9" w14:textId="77777777" w:rsidTr="00981F7B">
        <w:trPr>
          <w:trHeight w:val="270"/>
          <w:jc w:val="center"/>
        </w:trPr>
        <w:tc>
          <w:tcPr>
            <w:tcW w:w="0" w:type="auto"/>
            <w:shd w:val="clear" w:color="auto" w:fill="auto"/>
            <w:noWrap/>
            <w:vAlign w:val="bottom"/>
            <w:hideMark/>
          </w:tcPr>
          <w:p w14:paraId="6FA2EE7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Кюстендил</w:t>
            </w:r>
          </w:p>
        </w:tc>
        <w:tc>
          <w:tcPr>
            <w:tcW w:w="0" w:type="auto"/>
            <w:shd w:val="clear" w:color="auto" w:fill="auto"/>
            <w:noWrap/>
            <w:vAlign w:val="bottom"/>
            <w:hideMark/>
          </w:tcPr>
          <w:p w14:paraId="58A238E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2807</w:t>
            </w:r>
          </w:p>
        </w:tc>
        <w:tc>
          <w:tcPr>
            <w:tcW w:w="0" w:type="auto"/>
            <w:shd w:val="clear" w:color="auto" w:fill="auto"/>
            <w:noWrap/>
            <w:vAlign w:val="bottom"/>
            <w:hideMark/>
          </w:tcPr>
          <w:p w14:paraId="626D8CE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1491</w:t>
            </w:r>
          </w:p>
        </w:tc>
        <w:tc>
          <w:tcPr>
            <w:tcW w:w="0" w:type="auto"/>
            <w:shd w:val="clear" w:color="auto" w:fill="auto"/>
            <w:noWrap/>
            <w:vAlign w:val="bottom"/>
            <w:hideMark/>
          </w:tcPr>
          <w:p w14:paraId="1FC40A8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1316</w:t>
            </w:r>
          </w:p>
        </w:tc>
      </w:tr>
      <w:tr w:rsidR="0038543B" w:rsidRPr="009F6D1E" w14:paraId="38708EEA" w14:textId="77777777" w:rsidTr="00981F7B">
        <w:trPr>
          <w:trHeight w:val="270"/>
          <w:jc w:val="center"/>
        </w:trPr>
        <w:tc>
          <w:tcPr>
            <w:tcW w:w="0" w:type="auto"/>
            <w:shd w:val="clear" w:color="auto" w:fill="auto"/>
            <w:noWrap/>
            <w:vAlign w:val="bottom"/>
            <w:hideMark/>
          </w:tcPr>
          <w:p w14:paraId="63A06585"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Ловеч</w:t>
            </w:r>
          </w:p>
        </w:tc>
        <w:tc>
          <w:tcPr>
            <w:tcW w:w="0" w:type="auto"/>
            <w:shd w:val="clear" w:color="auto" w:fill="auto"/>
            <w:noWrap/>
            <w:vAlign w:val="bottom"/>
            <w:hideMark/>
          </w:tcPr>
          <w:p w14:paraId="1B638CF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2754</w:t>
            </w:r>
          </w:p>
        </w:tc>
        <w:tc>
          <w:tcPr>
            <w:tcW w:w="0" w:type="auto"/>
            <w:shd w:val="clear" w:color="auto" w:fill="auto"/>
            <w:noWrap/>
            <w:vAlign w:val="bottom"/>
            <w:hideMark/>
          </w:tcPr>
          <w:p w14:paraId="5522A30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1441</w:t>
            </w:r>
          </w:p>
        </w:tc>
        <w:tc>
          <w:tcPr>
            <w:tcW w:w="0" w:type="auto"/>
            <w:shd w:val="clear" w:color="auto" w:fill="auto"/>
            <w:noWrap/>
            <w:vAlign w:val="bottom"/>
            <w:hideMark/>
          </w:tcPr>
          <w:p w14:paraId="2CD6686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1313</w:t>
            </w:r>
          </w:p>
        </w:tc>
      </w:tr>
      <w:tr w:rsidR="0038543B" w:rsidRPr="009F6D1E" w14:paraId="2C8B9114" w14:textId="77777777" w:rsidTr="00981F7B">
        <w:trPr>
          <w:trHeight w:val="270"/>
          <w:jc w:val="center"/>
        </w:trPr>
        <w:tc>
          <w:tcPr>
            <w:tcW w:w="0" w:type="auto"/>
            <w:shd w:val="clear" w:color="auto" w:fill="auto"/>
            <w:noWrap/>
            <w:vAlign w:val="bottom"/>
            <w:hideMark/>
          </w:tcPr>
          <w:p w14:paraId="512769C5"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Монтана</w:t>
            </w:r>
          </w:p>
        </w:tc>
        <w:tc>
          <w:tcPr>
            <w:tcW w:w="0" w:type="auto"/>
            <w:shd w:val="clear" w:color="auto" w:fill="auto"/>
            <w:noWrap/>
            <w:vAlign w:val="bottom"/>
            <w:hideMark/>
          </w:tcPr>
          <w:p w14:paraId="70117E5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3216</w:t>
            </w:r>
          </w:p>
        </w:tc>
        <w:tc>
          <w:tcPr>
            <w:tcW w:w="0" w:type="auto"/>
            <w:shd w:val="clear" w:color="auto" w:fill="auto"/>
            <w:noWrap/>
            <w:vAlign w:val="bottom"/>
            <w:hideMark/>
          </w:tcPr>
          <w:p w14:paraId="6A2885E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1754</w:t>
            </w:r>
          </w:p>
        </w:tc>
        <w:tc>
          <w:tcPr>
            <w:tcW w:w="0" w:type="auto"/>
            <w:shd w:val="clear" w:color="auto" w:fill="auto"/>
            <w:noWrap/>
            <w:vAlign w:val="bottom"/>
            <w:hideMark/>
          </w:tcPr>
          <w:p w14:paraId="2FA6C97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1462</w:t>
            </w:r>
          </w:p>
        </w:tc>
      </w:tr>
      <w:tr w:rsidR="0038543B" w:rsidRPr="009F6D1E" w14:paraId="185C6051" w14:textId="77777777" w:rsidTr="00981F7B">
        <w:trPr>
          <w:trHeight w:val="270"/>
          <w:jc w:val="center"/>
        </w:trPr>
        <w:tc>
          <w:tcPr>
            <w:tcW w:w="0" w:type="auto"/>
            <w:shd w:val="clear" w:color="auto" w:fill="auto"/>
            <w:noWrap/>
            <w:vAlign w:val="bottom"/>
            <w:hideMark/>
          </w:tcPr>
          <w:p w14:paraId="0149849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Пазарджик</w:t>
            </w:r>
          </w:p>
        </w:tc>
        <w:tc>
          <w:tcPr>
            <w:tcW w:w="0" w:type="auto"/>
            <w:shd w:val="clear" w:color="auto" w:fill="auto"/>
            <w:noWrap/>
            <w:vAlign w:val="bottom"/>
            <w:hideMark/>
          </w:tcPr>
          <w:p w14:paraId="7C710E1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4807</w:t>
            </w:r>
          </w:p>
        </w:tc>
        <w:tc>
          <w:tcPr>
            <w:tcW w:w="0" w:type="auto"/>
            <w:shd w:val="clear" w:color="auto" w:fill="auto"/>
            <w:noWrap/>
            <w:vAlign w:val="bottom"/>
            <w:hideMark/>
          </w:tcPr>
          <w:p w14:paraId="1835814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2578</w:t>
            </w:r>
          </w:p>
        </w:tc>
        <w:tc>
          <w:tcPr>
            <w:tcW w:w="0" w:type="auto"/>
            <w:shd w:val="clear" w:color="auto" w:fill="auto"/>
            <w:noWrap/>
            <w:vAlign w:val="bottom"/>
            <w:hideMark/>
          </w:tcPr>
          <w:p w14:paraId="57ACB9A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2229</w:t>
            </w:r>
          </w:p>
        </w:tc>
      </w:tr>
      <w:tr w:rsidR="0038543B" w:rsidRPr="009F6D1E" w14:paraId="0972364C" w14:textId="77777777" w:rsidTr="00981F7B">
        <w:trPr>
          <w:trHeight w:val="270"/>
          <w:jc w:val="center"/>
        </w:trPr>
        <w:tc>
          <w:tcPr>
            <w:tcW w:w="0" w:type="auto"/>
            <w:shd w:val="clear" w:color="auto" w:fill="auto"/>
            <w:noWrap/>
            <w:vAlign w:val="bottom"/>
            <w:hideMark/>
          </w:tcPr>
          <w:p w14:paraId="2AE7D2E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Перник</w:t>
            </w:r>
          </w:p>
        </w:tc>
        <w:tc>
          <w:tcPr>
            <w:tcW w:w="0" w:type="auto"/>
            <w:shd w:val="clear" w:color="auto" w:fill="auto"/>
            <w:noWrap/>
            <w:vAlign w:val="bottom"/>
            <w:hideMark/>
          </w:tcPr>
          <w:p w14:paraId="1A939D3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2755</w:t>
            </w:r>
          </w:p>
        </w:tc>
        <w:tc>
          <w:tcPr>
            <w:tcW w:w="0" w:type="auto"/>
            <w:shd w:val="clear" w:color="auto" w:fill="auto"/>
            <w:noWrap/>
            <w:vAlign w:val="bottom"/>
            <w:hideMark/>
          </w:tcPr>
          <w:p w14:paraId="2C03665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1512</w:t>
            </w:r>
          </w:p>
        </w:tc>
        <w:tc>
          <w:tcPr>
            <w:tcW w:w="0" w:type="auto"/>
            <w:shd w:val="clear" w:color="auto" w:fill="auto"/>
            <w:noWrap/>
            <w:vAlign w:val="bottom"/>
            <w:hideMark/>
          </w:tcPr>
          <w:p w14:paraId="197A71F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1243</w:t>
            </w:r>
          </w:p>
        </w:tc>
      </w:tr>
      <w:tr w:rsidR="0038543B" w:rsidRPr="009F6D1E" w14:paraId="7F6BEF4F" w14:textId="77777777" w:rsidTr="00981F7B">
        <w:trPr>
          <w:trHeight w:val="270"/>
          <w:jc w:val="center"/>
        </w:trPr>
        <w:tc>
          <w:tcPr>
            <w:tcW w:w="0" w:type="auto"/>
            <w:shd w:val="clear" w:color="auto" w:fill="auto"/>
            <w:noWrap/>
            <w:vAlign w:val="bottom"/>
            <w:hideMark/>
          </w:tcPr>
          <w:p w14:paraId="7D99ABDE"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Плевен</w:t>
            </w:r>
          </w:p>
        </w:tc>
        <w:tc>
          <w:tcPr>
            <w:tcW w:w="0" w:type="auto"/>
            <w:shd w:val="clear" w:color="auto" w:fill="auto"/>
            <w:noWrap/>
            <w:vAlign w:val="bottom"/>
            <w:hideMark/>
          </w:tcPr>
          <w:p w14:paraId="0B634E9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5100</w:t>
            </w:r>
          </w:p>
        </w:tc>
        <w:tc>
          <w:tcPr>
            <w:tcW w:w="0" w:type="auto"/>
            <w:shd w:val="clear" w:color="auto" w:fill="auto"/>
            <w:noWrap/>
            <w:vAlign w:val="bottom"/>
            <w:hideMark/>
          </w:tcPr>
          <w:p w14:paraId="7BCA18A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2701</w:t>
            </w:r>
          </w:p>
        </w:tc>
        <w:tc>
          <w:tcPr>
            <w:tcW w:w="0" w:type="auto"/>
            <w:shd w:val="clear" w:color="auto" w:fill="auto"/>
            <w:noWrap/>
            <w:vAlign w:val="bottom"/>
            <w:hideMark/>
          </w:tcPr>
          <w:p w14:paraId="13214BF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2399</w:t>
            </w:r>
          </w:p>
        </w:tc>
      </w:tr>
      <w:tr w:rsidR="0038543B" w:rsidRPr="009F6D1E" w14:paraId="5A42CEF9" w14:textId="77777777" w:rsidTr="00981F7B">
        <w:trPr>
          <w:trHeight w:val="270"/>
          <w:jc w:val="center"/>
        </w:trPr>
        <w:tc>
          <w:tcPr>
            <w:tcW w:w="0" w:type="auto"/>
            <w:shd w:val="clear" w:color="auto" w:fill="auto"/>
            <w:noWrap/>
            <w:vAlign w:val="bottom"/>
            <w:hideMark/>
          </w:tcPr>
          <w:p w14:paraId="6AC8ACD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Пловдив</w:t>
            </w:r>
          </w:p>
        </w:tc>
        <w:tc>
          <w:tcPr>
            <w:tcW w:w="0" w:type="auto"/>
            <w:shd w:val="clear" w:color="auto" w:fill="auto"/>
            <w:noWrap/>
            <w:vAlign w:val="bottom"/>
            <w:hideMark/>
          </w:tcPr>
          <w:p w14:paraId="2F9AEFB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11569</w:t>
            </w:r>
          </w:p>
        </w:tc>
        <w:tc>
          <w:tcPr>
            <w:tcW w:w="0" w:type="auto"/>
            <w:shd w:val="clear" w:color="auto" w:fill="auto"/>
            <w:noWrap/>
            <w:vAlign w:val="bottom"/>
            <w:hideMark/>
          </w:tcPr>
          <w:p w14:paraId="65EA5FC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6038</w:t>
            </w:r>
          </w:p>
        </w:tc>
        <w:tc>
          <w:tcPr>
            <w:tcW w:w="0" w:type="auto"/>
            <w:shd w:val="clear" w:color="auto" w:fill="auto"/>
            <w:noWrap/>
            <w:vAlign w:val="bottom"/>
            <w:hideMark/>
          </w:tcPr>
          <w:p w14:paraId="6B69F0A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5531</w:t>
            </w:r>
          </w:p>
        </w:tc>
      </w:tr>
      <w:tr w:rsidR="0038543B" w:rsidRPr="009F6D1E" w14:paraId="190DE8E6" w14:textId="77777777" w:rsidTr="00981F7B">
        <w:trPr>
          <w:trHeight w:val="270"/>
          <w:jc w:val="center"/>
        </w:trPr>
        <w:tc>
          <w:tcPr>
            <w:tcW w:w="0" w:type="auto"/>
            <w:shd w:val="clear" w:color="auto" w:fill="auto"/>
            <w:noWrap/>
            <w:vAlign w:val="bottom"/>
            <w:hideMark/>
          </w:tcPr>
          <w:p w14:paraId="500B143A"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Разград</w:t>
            </w:r>
          </w:p>
        </w:tc>
        <w:tc>
          <w:tcPr>
            <w:tcW w:w="0" w:type="auto"/>
            <w:shd w:val="clear" w:color="auto" w:fill="auto"/>
            <w:noWrap/>
            <w:vAlign w:val="bottom"/>
            <w:hideMark/>
          </w:tcPr>
          <w:p w14:paraId="5413D2E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2367</w:t>
            </w:r>
          </w:p>
        </w:tc>
        <w:tc>
          <w:tcPr>
            <w:tcW w:w="0" w:type="auto"/>
            <w:shd w:val="clear" w:color="auto" w:fill="auto"/>
            <w:noWrap/>
            <w:vAlign w:val="bottom"/>
            <w:hideMark/>
          </w:tcPr>
          <w:p w14:paraId="178DEB7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1249</w:t>
            </w:r>
          </w:p>
        </w:tc>
        <w:tc>
          <w:tcPr>
            <w:tcW w:w="0" w:type="auto"/>
            <w:shd w:val="clear" w:color="auto" w:fill="auto"/>
            <w:noWrap/>
            <w:vAlign w:val="bottom"/>
            <w:hideMark/>
          </w:tcPr>
          <w:p w14:paraId="3A8EF30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1118</w:t>
            </w:r>
          </w:p>
        </w:tc>
      </w:tr>
      <w:tr w:rsidR="0038543B" w:rsidRPr="009F6D1E" w14:paraId="3651103F" w14:textId="77777777" w:rsidTr="00981F7B">
        <w:trPr>
          <w:trHeight w:val="270"/>
          <w:jc w:val="center"/>
        </w:trPr>
        <w:tc>
          <w:tcPr>
            <w:tcW w:w="0" w:type="auto"/>
            <w:shd w:val="clear" w:color="auto" w:fill="auto"/>
            <w:noWrap/>
            <w:vAlign w:val="bottom"/>
            <w:hideMark/>
          </w:tcPr>
          <w:p w14:paraId="45AC907A"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Русе</w:t>
            </w:r>
          </w:p>
        </w:tc>
        <w:tc>
          <w:tcPr>
            <w:tcW w:w="0" w:type="auto"/>
            <w:shd w:val="clear" w:color="auto" w:fill="auto"/>
            <w:noWrap/>
            <w:vAlign w:val="bottom"/>
            <w:hideMark/>
          </w:tcPr>
          <w:p w14:paraId="082F78C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4394</w:t>
            </w:r>
          </w:p>
        </w:tc>
        <w:tc>
          <w:tcPr>
            <w:tcW w:w="0" w:type="auto"/>
            <w:shd w:val="clear" w:color="auto" w:fill="auto"/>
            <w:noWrap/>
            <w:vAlign w:val="bottom"/>
            <w:hideMark/>
          </w:tcPr>
          <w:p w14:paraId="2038553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2368</w:t>
            </w:r>
          </w:p>
        </w:tc>
        <w:tc>
          <w:tcPr>
            <w:tcW w:w="0" w:type="auto"/>
            <w:shd w:val="clear" w:color="auto" w:fill="auto"/>
            <w:noWrap/>
            <w:vAlign w:val="bottom"/>
            <w:hideMark/>
          </w:tcPr>
          <w:p w14:paraId="2C28DA7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2026</w:t>
            </w:r>
          </w:p>
        </w:tc>
      </w:tr>
      <w:tr w:rsidR="0038543B" w:rsidRPr="009F6D1E" w14:paraId="2364266C" w14:textId="77777777" w:rsidTr="00981F7B">
        <w:trPr>
          <w:trHeight w:val="270"/>
          <w:jc w:val="center"/>
        </w:trPr>
        <w:tc>
          <w:tcPr>
            <w:tcW w:w="0" w:type="auto"/>
            <w:shd w:val="clear" w:color="auto" w:fill="auto"/>
            <w:noWrap/>
            <w:vAlign w:val="bottom"/>
            <w:hideMark/>
          </w:tcPr>
          <w:p w14:paraId="5EE909A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Силистра</w:t>
            </w:r>
          </w:p>
        </w:tc>
        <w:tc>
          <w:tcPr>
            <w:tcW w:w="0" w:type="auto"/>
            <w:shd w:val="clear" w:color="auto" w:fill="auto"/>
            <w:noWrap/>
            <w:vAlign w:val="bottom"/>
            <w:hideMark/>
          </w:tcPr>
          <w:p w14:paraId="2D23C0B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2302</w:t>
            </w:r>
          </w:p>
        </w:tc>
        <w:tc>
          <w:tcPr>
            <w:tcW w:w="0" w:type="auto"/>
            <w:shd w:val="clear" w:color="auto" w:fill="auto"/>
            <w:noWrap/>
            <w:vAlign w:val="bottom"/>
            <w:hideMark/>
          </w:tcPr>
          <w:p w14:paraId="4FA58BD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1264</w:t>
            </w:r>
          </w:p>
        </w:tc>
        <w:tc>
          <w:tcPr>
            <w:tcW w:w="0" w:type="auto"/>
            <w:shd w:val="clear" w:color="auto" w:fill="auto"/>
            <w:noWrap/>
            <w:vAlign w:val="bottom"/>
            <w:hideMark/>
          </w:tcPr>
          <w:p w14:paraId="1CF2A30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1038</w:t>
            </w:r>
          </w:p>
        </w:tc>
      </w:tr>
      <w:tr w:rsidR="0038543B" w:rsidRPr="009F6D1E" w14:paraId="198AB51B" w14:textId="77777777" w:rsidTr="00981F7B">
        <w:trPr>
          <w:trHeight w:val="270"/>
          <w:jc w:val="center"/>
        </w:trPr>
        <w:tc>
          <w:tcPr>
            <w:tcW w:w="0" w:type="auto"/>
            <w:shd w:val="clear" w:color="auto" w:fill="auto"/>
            <w:noWrap/>
            <w:vAlign w:val="bottom"/>
            <w:hideMark/>
          </w:tcPr>
          <w:p w14:paraId="5422B48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Сливен</w:t>
            </w:r>
          </w:p>
        </w:tc>
        <w:tc>
          <w:tcPr>
            <w:tcW w:w="0" w:type="auto"/>
            <w:shd w:val="clear" w:color="auto" w:fill="auto"/>
            <w:noWrap/>
            <w:vAlign w:val="bottom"/>
            <w:hideMark/>
          </w:tcPr>
          <w:p w14:paraId="5274A13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3313</w:t>
            </w:r>
          </w:p>
        </w:tc>
        <w:tc>
          <w:tcPr>
            <w:tcW w:w="0" w:type="auto"/>
            <w:shd w:val="clear" w:color="auto" w:fill="auto"/>
            <w:noWrap/>
            <w:vAlign w:val="bottom"/>
            <w:hideMark/>
          </w:tcPr>
          <w:p w14:paraId="5F58C23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1718</w:t>
            </w:r>
          </w:p>
        </w:tc>
        <w:tc>
          <w:tcPr>
            <w:tcW w:w="0" w:type="auto"/>
            <w:shd w:val="clear" w:color="auto" w:fill="auto"/>
            <w:noWrap/>
            <w:vAlign w:val="bottom"/>
            <w:hideMark/>
          </w:tcPr>
          <w:p w14:paraId="6B1ED97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1595</w:t>
            </w:r>
          </w:p>
        </w:tc>
      </w:tr>
      <w:tr w:rsidR="0038543B" w:rsidRPr="009F6D1E" w14:paraId="10E7CC2F" w14:textId="77777777" w:rsidTr="00981F7B">
        <w:trPr>
          <w:trHeight w:val="270"/>
          <w:jc w:val="center"/>
        </w:trPr>
        <w:tc>
          <w:tcPr>
            <w:tcW w:w="0" w:type="auto"/>
            <w:shd w:val="clear" w:color="auto" w:fill="auto"/>
            <w:noWrap/>
            <w:vAlign w:val="bottom"/>
            <w:hideMark/>
          </w:tcPr>
          <w:p w14:paraId="795289D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Смолян</w:t>
            </w:r>
          </w:p>
        </w:tc>
        <w:tc>
          <w:tcPr>
            <w:tcW w:w="0" w:type="auto"/>
            <w:shd w:val="clear" w:color="auto" w:fill="auto"/>
            <w:noWrap/>
            <w:vAlign w:val="bottom"/>
            <w:hideMark/>
          </w:tcPr>
          <w:p w14:paraId="6E8031A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2107</w:t>
            </w:r>
          </w:p>
        </w:tc>
        <w:tc>
          <w:tcPr>
            <w:tcW w:w="0" w:type="auto"/>
            <w:shd w:val="clear" w:color="auto" w:fill="auto"/>
            <w:noWrap/>
            <w:vAlign w:val="bottom"/>
            <w:hideMark/>
          </w:tcPr>
          <w:p w14:paraId="46FD1D5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1123</w:t>
            </w:r>
          </w:p>
        </w:tc>
        <w:tc>
          <w:tcPr>
            <w:tcW w:w="0" w:type="auto"/>
            <w:shd w:val="clear" w:color="auto" w:fill="auto"/>
            <w:noWrap/>
            <w:vAlign w:val="bottom"/>
            <w:hideMark/>
          </w:tcPr>
          <w:p w14:paraId="775B9EC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984</w:t>
            </w:r>
          </w:p>
        </w:tc>
      </w:tr>
      <w:tr w:rsidR="0038543B" w:rsidRPr="009F6D1E" w14:paraId="6ED435C8" w14:textId="77777777" w:rsidTr="00981F7B">
        <w:trPr>
          <w:trHeight w:val="270"/>
          <w:jc w:val="center"/>
        </w:trPr>
        <w:tc>
          <w:tcPr>
            <w:tcW w:w="0" w:type="auto"/>
            <w:shd w:val="clear" w:color="auto" w:fill="auto"/>
            <w:noWrap/>
            <w:vAlign w:val="bottom"/>
            <w:hideMark/>
          </w:tcPr>
          <w:p w14:paraId="2790D30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 (столица)</w:t>
            </w:r>
          </w:p>
        </w:tc>
        <w:tc>
          <w:tcPr>
            <w:tcW w:w="0" w:type="auto"/>
            <w:shd w:val="clear" w:color="auto" w:fill="auto"/>
            <w:noWrap/>
            <w:vAlign w:val="bottom"/>
            <w:hideMark/>
          </w:tcPr>
          <w:p w14:paraId="79FDB1D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17721</w:t>
            </w:r>
          </w:p>
        </w:tc>
        <w:tc>
          <w:tcPr>
            <w:tcW w:w="0" w:type="auto"/>
            <w:shd w:val="clear" w:color="auto" w:fill="auto"/>
            <w:noWrap/>
            <w:vAlign w:val="bottom"/>
            <w:hideMark/>
          </w:tcPr>
          <w:p w14:paraId="149BE18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9124</w:t>
            </w:r>
          </w:p>
        </w:tc>
        <w:tc>
          <w:tcPr>
            <w:tcW w:w="0" w:type="auto"/>
            <w:shd w:val="clear" w:color="auto" w:fill="auto"/>
            <w:noWrap/>
            <w:vAlign w:val="bottom"/>
            <w:hideMark/>
          </w:tcPr>
          <w:p w14:paraId="3B27542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8597</w:t>
            </w:r>
          </w:p>
        </w:tc>
      </w:tr>
      <w:tr w:rsidR="0038543B" w:rsidRPr="009F6D1E" w14:paraId="30F0F457" w14:textId="77777777" w:rsidTr="00981F7B">
        <w:trPr>
          <w:trHeight w:val="270"/>
          <w:jc w:val="center"/>
        </w:trPr>
        <w:tc>
          <w:tcPr>
            <w:tcW w:w="0" w:type="auto"/>
            <w:shd w:val="clear" w:color="auto" w:fill="auto"/>
            <w:noWrap/>
            <w:vAlign w:val="bottom"/>
            <w:hideMark/>
          </w:tcPr>
          <w:p w14:paraId="5E201CC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w:t>
            </w:r>
          </w:p>
        </w:tc>
        <w:tc>
          <w:tcPr>
            <w:tcW w:w="0" w:type="auto"/>
            <w:shd w:val="clear" w:color="auto" w:fill="auto"/>
            <w:noWrap/>
            <w:vAlign w:val="bottom"/>
            <w:hideMark/>
          </w:tcPr>
          <w:p w14:paraId="10FD30D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4926</w:t>
            </w:r>
          </w:p>
        </w:tc>
        <w:tc>
          <w:tcPr>
            <w:tcW w:w="0" w:type="auto"/>
            <w:shd w:val="clear" w:color="auto" w:fill="auto"/>
            <w:noWrap/>
            <w:vAlign w:val="bottom"/>
            <w:hideMark/>
          </w:tcPr>
          <w:p w14:paraId="5C47C8E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2696</w:t>
            </w:r>
          </w:p>
        </w:tc>
        <w:tc>
          <w:tcPr>
            <w:tcW w:w="0" w:type="auto"/>
            <w:shd w:val="clear" w:color="auto" w:fill="auto"/>
            <w:noWrap/>
            <w:vAlign w:val="bottom"/>
            <w:hideMark/>
          </w:tcPr>
          <w:p w14:paraId="48F3181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2230</w:t>
            </w:r>
          </w:p>
        </w:tc>
      </w:tr>
      <w:tr w:rsidR="0038543B" w:rsidRPr="009F6D1E" w14:paraId="62E4326F" w14:textId="77777777" w:rsidTr="00981F7B">
        <w:trPr>
          <w:trHeight w:val="270"/>
          <w:jc w:val="center"/>
        </w:trPr>
        <w:tc>
          <w:tcPr>
            <w:tcW w:w="0" w:type="auto"/>
            <w:shd w:val="clear" w:color="auto" w:fill="auto"/>
            <w:noWrap/>
            <w:vAlign w:val="bottom"/>
            <w:hideMark/>
          </w:tcPr>
          <w:p w14:paraId="26DA855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Стара Загора</w:t>
            </w:r>
          </w:p>
        </w:tc>
        <w:tc>
          <w:tcPr>
            <w:tcW w:w="0" w:type="auto"/>
            <w:shd w:val="clear" w:color="auto" w:fill="auto"/>
            <w:noWrap/>
            <w:vAlign w:val="bottom"/>
            <w:hideMark/>
          </w:tcPr>
          <w:p w14:paraId="283A75B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5935</w:t>
            </w:r>
          </w:p>
        </w:tc>
        <w:tc>
          <w:tcPr>
            <w:tcW w:w="0" w:type="auto"/>
            <w:shd w:val="clear" w:color="auto" w:fill="auto"/>
            <w:noWrap/>
            <w:vAlign w:val="bottom"/>
            <w:hideMark/>
          </w:tcPr>
          <w:p w14:paraId="65C27A7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3133</w:t>
            </w:r>
          </w:p>
        </w:tc>
        <w:tc>
          <w:tcPr>
            <w:tcW w:w="0" w:type="auto"/>
            <w:shd w:val="clear" w:color="auto" w:fill="auto"/>
            <w:noWrap/>
            <w:vAlign w:val="bottom"/>
            <w:hideMark/>
          </w:tcPr>
          <w:p w14:paraId="70E02B2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2802</w:t>
            </w:r>
          </w:p>
        </w:tc>
      </w:tr>
      <w:tr w:rsidR="0038543B" w:rsidRPr="009F6D1E" w14:paraId="4B3AA166" w14:textId="77777777" w:rsidTr="00981F7B">
        <w:trPr>
          <w:trHeight w:val="270"/>
          <w:jc w:val="center"/>
        </w:trPr>
        <w:tc>
          <w:tcPr>
            <w:tcW w:w="0" w:type="auto"/>
            <w:shd w:val="clear" w:color="auto" w:fill="auto"/>
            <w:noWrap/>
            <w:vAlign w:val="bottom"/>
            <w:hideMark/>
          </w:tcPr>
          <w:p w14:paraId="676FC03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Търговище</w:t>
            </w:r>
          </w:p>
        </w:tc>
        <w:tc>
          <w:tcPr>
            <w:tcW w:w="0" w:type="auto"/>
            <w:shd w:val="clear" w:color="auto" w:fill="auto"/>
            <w:noWrap/>
            <w:vAlign w:val="bottom"/>
            <w:hideMark/>
          </w:tcPr>
          <w:p w14:paraId="452EBDE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2181</w:t>
            </w:r>
          </w:p>
        </w:tc>
        <w:tc>
          <w:tcPr>
            <w:tcW w:w="0" w:type="auto"/>
            <w:shd w:val="clear" w:color="auto" w:fill="auto"/>
            <w:noWrap/>
            <w:vAlign w:val="bottom"/>
            <w:hideMark/>
          </w:tcPr>
          <w:p w14:paraId="2D38F7C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1127</w:t>
            </w:r>
          </w:p>
        </w:tc>
        <w:tc>
          <w:tcPr>
            <w:tcW w:w="0" w:type="auto"/>
            <w:shd w:val="clear" w:color="auto" w:fill="auto"/>
            <w:noWrap/>
            <w:vAlign w:val="bottom"/>
            <w:hideMark/>
          </w:tcPr>
          <w:p w14:paraId="7D8750F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1054</w:t>
            </w:r>
          </w:p>
        </w:tc>
      </w:tr>
      <w:tr w:rsidR="0038543B" w:rsidRPr="009F6D1E" w14:paraId="5D0433FE" w14:textId="77777777" w:rsidTr="00981F7B">
        <w:trPr>
          <w:trHeight w:val="270"/>
          <w:jc w:val="center"/>
        </w:trPr>
        <w:tc>
          <w:tcPr>
            <w:tcW w:w="0" w:type="auto"/>
            <w:shd w:val="clear" w:color="auto" w:fill="auto"/>
            <w:noWrap/>
            <w:vAlign w:val="bottom"/>
            <w:hideMark/>
          </w:tcPr>
          <w:p w14:paraId="234E956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Хасково</w:t>
            </w:r>
          </w:p>
        </w:tc>
        <w:tc>
          <w:tcPr>
            <w:tcW w:w="0" w:type="auto"/>
            <w:shd w:val="clear" w:color="auto" w:fill="auto"/>
            <w:noWrap/>
            <w:vAlign w:val="bottom"/>
            <w:hideMark/>
          </w:tcPr>
          <w:p w14:paraId="18C677F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4420</w:t>
            </w:r>
          </w:p>
        </w:tc>
        <w:tc>
          <w:tcPr>
            <w:tcW w:w="0" w:type="auto"/>
            <w:shd w:val="clear" w:color="auto" w:fill="auto"/>
            <w:noWrap/>
            <w:vAlign w:val="bottom"/>
            <w:hideMark/>
          </w:tcPr>
          <w:p w14:paraId="10F53FF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2340</w:t>
            </w:r>
          </w:p>
        </w:tc>
        <w:tc>
          <w:tcPr>
            <w:tcW w:w="0" w:type="auto"/>
            <w:shd w:val="clear" w:color="auto" w:fill="auto"/>
            <w:noWrap/>
            <w:vAlign w:val="bottom"/>
            <w:hideMark/>
          </w:tcPr>
          <w:p w14:paraId="2BA466B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2080</w:t>
            </w:r>
          </w:p>
        </w:tc>
      </w:tr>
      <w:tr w:rsidR="0038543B" w:rsidRPr="009F6D1E" w14:paraId="45D58CEF" w14:textId="77777777" w:rsidTr="00981F7B">
        <w:trPr>
          <w:trHeight w:val="270"/>
          <w:jc w:val="center"/>
        </w:trPr>
        <w:tc>
          <w:tcPr>
            <w:tcW w:w="0" w:type="auto"/>
            <w:shd w:val="clear" w:color="auto" w:fill="auto"/>
            <w:noWrap/>
            <w:vAlign w:val="bottom"/>
            <w:hideMark/>
          </w:tcPr>
          <w:p w14:paraId="054B911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Шумен</w:t>
            </w:r>
          </w:p>
        </w:tc>
        <w:tc>
          <w:tcPr>
            <w:tcW w:w="0" w:type="auto"/>
            <w:shd w:val="clear" w:color="auto" w:fill="auto"/>
            <w:noWrap/>
            <w:vAlign w:val="bottom"/>
            <w:hideMark/>
          </w:tcPr>
          <w:p w14:paraId="3F0A9FF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3116</w:t>
            </w:r>
          </w:p>
        </w:tc>
        <w:tc>
          <w:tcPr>
            <w:tcW w:w="0" w:type="auto"/>
            <w:shd w:val="clear" w:color="auto" w:fill="auto"/>
            <w:noWrap/>
            <w:vAlign w:val="bottom"/>
            <w:hideMark/>
          </w:tcPr>
          <w:p w14:paraId="15A864F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1607</w:t>
            </w:r>
          </w:p>
        </w:tc>
        <w:tc>
          <w:tcPr>
            <w:tcW w:w="0" w:type="auto"/>
            <w:shd w:val="clear" w:color="auto" w:fill="auto"/>
            <w:noWrap/>
            <w:vAlign w:val="bottom"/>
            <w:hideMark/>
          </w:tcPr>
          <w:p w14:paraId="7835DFB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1509</w:t>
            </w:r>
          </w:p>
        </w:tc>
      </w:tr>
      <w:tr w:rsidR="0038543B" w:rsidRPr="009F6D1E" w14:paraId="12FC8594" w14:textId="77777777" w:rsidTr="00981F7B">
        <w:trPr>
          <w:trHeight w:val="270"/>
          <w:jc w:val="center"/>
        </w:trPr>
        <w:tc>
          <w:tcPr>
            <w:tcW w:w="0" w:type="auto"/>
            <w:shd w:val="clear" w:color="auto" w:fill="auto"/>
            <w:noWrap/>
            <w:vAlign w:val="bottom"/>
            <w:hideMark/>
          </w:tcPr>
          <w:p w14:paraId="2C8C920E"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Ямбол</w:t>
            </w:r>
          </w:p>
        </w:tc>
        <w:tc>
          <w:tcPr>
            <w:tcW w:w="0" w:type="auto"/>
            <w:shd w:val="clear" w:color="auto" w:fill="auto"/>
            <w:noWrap/>
            <w:vAlign w:val="bottom"/>
            <w:hideMark/>
          </w:tcPr>
          <w:p w14:paraId="27CBE5C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2449</w:t>
            </w:r>
          </w:p>
        </w:tc>
        <w:tc>
          <w:tcPr>
            <w:tcW w:w="0" w:type="auto"/>
            <w:shd w:val="clear" w:color="auto" w:fill="auto"/>
            <w:noWrap/>
            <w:vAlign w:val="bottom"/>
            <w:hideMark/>
          </w:tcPr>
          <w:p w14:paraId="543AA9B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1284</w:t>
            </w:r>
          </w:p>
        </w:tc>
        <w:tc>
          <w:tcPr>
            <w:tcW w:w="0" w:type="auto"/>
            <w:shd w:val="clear" w:color="auto" w:fill="auto"/>
            <w:noWrap/>
            <w:vAlign w:val="bottom"/>
            <w:hideMark/>
          </w:tcPr>
          <w:p w14:paraId="698E4BB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1165</w:t>
            </w:r>
          </w:p>
        </w:tc>
      </w:tr>
    </w:tbl>
    <w:p w14:paraId="7C9D322A" w14:textId="77777777" w:rsidR="00E56BA8" w:rsidRPr="009F6D1E" w:rsidRDefault="00E56BA8" w:rsidP="0084747F">
      <w:pPr>
        <w:spacing w:after="60" w:line="264" w:lineRule="auto"/>
        <w:ind w:left="2124" w:firstLine="708"/>
        <w:jc w:val="both"/>
        <w:rPr>
          <w:rFonts w:cs="Times New Roman"/>
          <w:i/>
          <w:color w:val="auto"/>
          <w:szCs w:val="24"/>
        </w:rPr>
      </w:pPr>
      <w:r w:rsidRPr="009F6D1E">
        <w:rPr>
          <w:rFonts w:cs="Times New Roman"/>
          <w:i/>
          <w:color w:val="auto"/>
          <w:szCs w:val="24"/>
        </w:rPr>
        <w:t>Източник: НСИ</w:t>
      </w:r>
    </w:p>
    <w:p w14:paraId="359A6653" w14:textId="77777777" w:rsidR="00E56BA8" w:rsidRPr="009F6D1E" w:rsidRDefault="00E56BA8" w:rsidP="00D02E9D">
      <w:pPr>
        <w:pStyle w:val="ListParagraph"/>
        <w:numPr>
          <w:ilvl w:val="0"/>
          <w:numId w:val="25"/>
        </w:numPr>
        <w:spacing w:after="60" w:line="264" w:lineRule="auto"/>
        <w:jc w:val="both"/>
        <w:rPr>
          <w:b/>
          <w:bCs/>
          <w:i/>
          <w:iCs/>
          <w:color w:val="auto"/>
          <w:lang w:val="bg-BG"/>
        </w:rPr>
      </w:pPr>
      <w:r w:rsidRPr="009F6D1E">
        <w:rPr>
          <w:b/>
          <w:bCs/>
          <w:i/>
          <w:iCs/>
          <w:color w:val="auto"/>
          <w:lang w:val="bg-BG"/>
        </w:rPr>
        <w:t>Смъртност по причини</w:t>
      </w:r>
    </w:p>
    <w:p w14:paraId="7F545BBC"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В структурата на смъртността по причини през 2020 г. се наблюдава промяна. Водеща при</w:t>
      </w:r>
      <w:r w:rsidRPr="009F6D1E">
        <w:rPr>
          <w:rFonts w:cs="Times New Roman"/>
          <w:color w:val="auto"/>
          <w:szCs w:val="24"/>
        </w:rPr>
        <w:softHyphen/>
        <w:t>чина за умиранията остават болестите на орга</w:t>
      </w:r>
      <w:r w:rsidRPr="009F6D1E">
        <w:rPr>
          <w:rFonts w:cs="Times New Roman"/>
          <w:color w:val="auto"/>
          <w:szCs w:val="24"/>
        </w:rPr>
        <w:softHyphen/>
        <w:t xml:space="preserve">ните на кръвообращението, чийто интензитет е 1 090.1 на сто хиляди души от населението, а относителният им дял е 60.6%. Сред тях най-голяма е честотата на умиранията от </w:t>
      </w:r>
      <w:proofErr w:type="spellStart"/>
      <w:r w:rsidRPr="009F6D1E">
        <w:rPr>
          <w:rFonts w:cs="Times New Roman"/>
          <w:color w:val="auto"/>
          <w:szCs w:val="24"/>
        </w:rPr>
        <w:t>мозъчносъдови</w:t>
      </w:r>
      <w:proofErr w:type="spellEnd"/>
      <w:r w:rsidRPr="009F6D1E">
        <w:rPr>
          <w:rFonts w:cs="Times New Roman"/>
          <w:color w:val="auto"/>
          <w:szCs w:val="24"/>
        </w:rPr>
        <w:t xml:space="preserve"> болести и исхемична болест на сърцето. На второ място са умиранията от новообра</w:t>
      </w:r>
      <w:r w:rsidRPr="009F6D1E">
        <w:rPr>
          <w:rFonts w:cs="Times New Roman"/>
          <w:color w:val="auto"/>
          <w:szCs w:val="24"/>
        </w:rPr>
        <w:softHyphen/>
        <w:t>зувания. През 2020 г. равнището на смъртност по тази причина е 267.2 на сто хиляди от населе</w:t>
      </w:r>
      <w:r w:rsidRPr="009F6D1E">
        <w:rPr>
          <w:rFonts w:cs="Times New Roman"/>
          <w:color w:val="auto"/>
          <w:szCs w:val="24"/>
        </w:rPr>
        <w:softHyphen/>
        <w:t>нието, като смъртността сред мъжете се запазва много по-висока отколкото при жените. Съществената промяна в структурата на смъртността по причини е, че на трето място са умиранията по причини от Клас ХХП - Кодо</w:t>
      </w:r>
      <w:r w:rsidRPr="009F6D1E">
        <w:rPr>
          <w:rFonts w:cs="Times New Roman"/>
          <w:color w:val="auto"/>
          <w:szCs w:val="24"/>
        </w:rPr>
        <w:softHyphen/>
        <w:t>ве за специални цели (COVID-19), като относи</w:t>
      </w:r>
      <w:r w:rsidRPr="009F6D1E">
        <w:rPr>
          <w:rFonts w:cs="Times New Roman"/>
          <w:color w:val="auto"/>
          <w:szCs w:val="24"/>
        </w:rPr>
        <w:softHyphen/>
        <w:t>телният им дял е 6.9%, а равнището на смърт</w:t>
      </w:r>
      <w:r w:rsidRPr="009F6D1E">
        <w:rPr>
          <w:rFonts w:cs="Times New Roman"/>
          <w:color w:val="auto"/>
          <w:szCs w:val="24"/>
        </w:rPr>
        <w:softHyphen/>
        <w:t xml:space="preserve">ност е 123.4 на сто </w:t>
      </w:r>
      <w:r w:rsidRPr="009F6D1E">
        <w:rPr>
          <w:rFonts w:cs="Times New Roman"/>
          <w:color w:val="auto"/>
          <w:szCs w:val="24"/>
        </w:rPr>
        <w:lastRenderedPageBreak/>
        <w:t>хиляди души от населението. В структурата на останалите причини за смърт следват: болести на дихателната система; болести на храносмилателната система; симп</w:t>
      </w:r>
      <w:r w:rsidRPr="009F6D1E">
        <w:rPr>
          <w:rFonts w:cs="Times New Roman"/>
          <w:color w:val="auto"/>
          <w:szCs w:val="24"/>
        </w:rPr>
        <w:softHyphen/>
        <w:t>томи, признаци и отклонения от нормата, от</w:t>
      </w:r>
      <w:r w:rsidRPr="009F6D1E">
        <w:rPr>
          <w:rFonts w:cs="Times New Roman"/>
          <w:color w:val="auto"/>
          <w:szCs w:val="24"/>
        </w:rPr>
        <w:softHyphen/>
        <w:t>крити при клинични и лабораторни изследва</w:t>
      </w:r>
      <w:r w:rsidRPr="009F6D1E">
        <w:rPr>
          <w:rFonts w:cs="Times New Roman"/>
          <w:color w:val="auto"/>
          <w:szCs w:val="24"/>
        </w:rPr>
        <w:softHyphen/>
        <w:t>ния, некласифицирани другаде; външни при</w:t>
      </w:r>
      <w:r w:rsidRPr="009F6D1E">
        <w:rPr>
          <w:rFonts w:cs="Times New Roman"/>
          <w:color w:val="auto"/>
          <w:szCs w:val="24"/>
        </w:rPr>
        <w:softHyphen/>
        <w:t>чини за заболеваемост и смъртност и т.н. На тези седем класа болести през 2020 г. се дължат 96% от всички смъртни случаи в страната.</w:t>
      </w:r>
    </w:p>
    <w:p w14:paraId="6250367A"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Основните причини за умиранията на де</w:t>
      </w:r>
      <w:r w:rsidRPr="009F6D1E">
        <w:rPr>
          <w:rFonts w:cs="Times New Roman"/>
          <w:color w:val="auto"/>
          <w:szCs w:val="24"/>
        </w:rPr>
        <w:softHyphen/>
        <w:t xml:space="preserve">цата на възраст под една година през 2020 г. са: някои състояния, възникващи в </w:t>
      </w:r>
      <w:proofErr w:type="spellStart"/>
      <w:r w:rsidRPr="009F6D1E">
        <w:rPr>
          <w:rFonts w:cs="Times New Roman"/>
          <w:color w:val="auto"/>
          <w:szCs w:val="24"/>
        </w:rPr>
        <w:t>перинаталния</w:t>
      </w:r>
      <w:proofErr w:type="spellEnd"/>
      <w:r w:rsidRPr="009F6D1E">
        <w:rPr>
          <w:rFonts w:cs="Times New Roman"/>
          <w:color w:val="auto"/>
          <w:szCs w:val="24"/>
        </w:rPr>
        <w:t xml:space="preserve"> период (231.9 на сто хиляди </w:t>
      </w:r>
      <w:proofErr w:type="spellStart"/>
      <w:r w:rsidRPr="009F6D1E">
        <w:rPr>
          <w:rFonts w:cs="Times New Roman"/>
          <w:color w:val="auto"/>
          <w:szCs w:val="24"/>
        </w:rPr>
        <w:t>живородени</w:t>
      </w:r>
      <w:proofErr w:type="spellEnd"/>
      <w:r w:rsidRPr="009F6D1E">
        <w:rPr>
          <w:rFonts w:cs="Times New Roman"/>
          <w:color w:val="auto"/>
          <w:szCs w:val="24"/>
        </w:rPr>
        <w:t>); вродени аномалии (пороци на развитието), дефор</w:t>
      </w:r>
      <w:r w:rsidRPr="009F6D1E">
        <w:rPr>
          <w:rFonts w:cs="Times New Roman"/>
          <w:color w:val="auto"/>
          <w:szCs w:val="24"/>
        </w:rPr>
        <w:softHyphen/>
        <w:t>мации и хромозомни аберации (96.5 на сто хи</w:t>
      </w:r>
      <w:r w:rsidRPr="009F6D1E">
        <w:rPr>
          <w:rFonts w:cs="Times New Roman"/>
          <w:color w:val="auto"/>
          <w:szCs w:val="24"/>
        </w:rPr>
        <w:softHyphen/>
        <w:t xml:space="preserve">ляди </w:t>
      </w:r>
      <w:proofErr w:type="spellStart"/>
      <w:r w:rsidRPr="009F6D1E">
        <w:rPr>
          <w:rFonts w:cs="Times New Roman"/>
          <w:color w:val="auto"/>
          <w:szCs w:val="24"/>
        </w:rPr>
        <w:t>живородени</w:t>
      </w:r>
      <w:proofErr w:type="spellEnd"/>
      <w:r w:rsidRPr="009F6D1E">
        <w:rPr>
          <w:rFonts w:cs="Times New Roman"/>
          <w:color w:val="auto"/>
          <w:szCs w:val="24"/>
        </w:rPr>
        <w:t xml:space="preserve">). Сравнително висока е детската смъртност от: болести на дихателната система - 69.4 на сто хиляди </w:t>
      </w:r>
      <w:proofErr w:type="spellStart"/>
      <w:r w:rsidRPr="009F6D1E">
        <w:rPr>
          <w:rFonts w:cs="Times New Roman"/>
          <w:color w:val="auto"/>
          <w:szCs w:val="24"/>
        </w:rPr>
        <w:t>живородени</w:t>
      </w:r>
      <w:proofErr w:type="spellEnd"/>
      <w:r w:rsidRPr="009F6D1E">
        <w:rPr>
          <w:rFonts w:cs="Times New Roman"/>
          <w:color w:val="auto"/>
          <w:szCs w:val="24"/>
        </w:rPr>
        <w:t>, вкл. пневмония, на която се дължат 73% от тези смъртни случаи; болести на органите на кръвообращението - 32.2 на сто хиляди; симптоми, признаци и отклонения от нормата, открити при клинични и лабораторни изследвания, некласифицирани другаде - 28.8 на сто хиляди; външни причини за заболеваемост и смъртност - 11.8 на сто хиляди, някои инфек</w:t>
      </w:r>
      <w:r w:rsidRPr="009F6D1E">
        <w:rPr>
          <w:rFonts w:cs="Times New Roman"/>
          <w:color w:val="auto"/>
          <w:szCs w:val="24"/>
        </w:rPr>
        <w:softHyphen/>
        <w:t>циозни и паразитни болести и болести на нерв</w:t>
      </w:r>
      <w:r w:rsidRPr="009F6D1E">
        <w:rPr>
          <w:rFonts w:cs="Times New Roman"/>
          <w:color w:val="auto"/>
          <w:szCs w:val="24"/>
        </w:rPr>
        <w:softHyphen/>
        <w:t>ната система - по 10.2 на сто хиляди и т.н.</w:t>
      </w:r>
    </w:p>
    <w:p w14:paraId="3A46D7D6" w14:textId="33258F4C" w:rsidR="00E56BA8" w:rsidRPr="009F6D1E" w:rsidRDefault="00E56BA8" w:rsidP="0084747F">
      <w:pPr>
        <w:spacing w:after="60" w:line="264" w:lineRule="auto"/>
        <w:ind w:firstLine="708"/>
        <w:jc w:val="both"/>
        <w:rPr>
          <w:rFonts w:cs="Times New Roman"/>
          <w:color w:val="4472C4" w:themeColor="accent1"/>
          <w:szCs w:val="24"/>
        </w:rPr>
      </w:pPr>
      <w:r w:rsidRPr="009F6D1E">
        <w:rPr>
          <w:rFonts w:cs="Times New Roman"/>
          <w:color w:val="auto"/>
          <w:szCs w:val="24"/>
        </w:rPr>
        <w:t xml:space="preserve">На </w:t>
      </w:r>
      <w:r w:rsidR="003F3D71" w:rsidRPr="009F6D1E">
        <w:rPr>
          <w:rFonts w:cs="Times New Roman"/>
          <w:color w:val="auto"/>
          <w:szCs w:val="24"/>
        </w:rPr>
        <w:fldChar w:fldCharType="begin"/>
      </w:r>
      <w:r w:rsidR="0038543B" w:rsidRPr="009F6D1E">
        <w:rPr>
          <w:rFonts w:cs="Times New Roman"/>
          <w:color w:val="auto"/>
          <w:szCs w:val="24"/>
        </w:rPr>
        <w:instrText xml:space="preserve"> REF _Ref107173734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Фигу</w:t>
      </w:r>
      <w:r w:rsidR="00A43EF3" w:rsidRPr="009F6D1E">
        <w:rPr>
          <w:color w:val="auto"/>
        </w:rPr>
        <w:t xml:space="preserve">ра </w:t>
      </w:r>
      <w:r w:rsidR="00A43EF3">
        <w:rPr>
          <w:noProof/>
          <w:color w:val="auto"/>
        </w:rPr>
        <w:t>83</w:t>
      </w:r>
      <w:r w:rsidR="003F3D71" w:rsidRPr="009F6D1E">
        <w:rPr>
          <w:rFonts w:cs="Times New Roman"/>
          <w:color w:val="auto"/>
          <w:szCs w:val="24"/>
        </w:rPr>
        <w:fldChar w:fldCharType="end"/>
      </w:r>
      <w:r w:rsidRPr="009F6D1E">
        <w:rPr>
          <w:rFonts w:cs="Times New Roman"/>
          <w:color w:val="auto"/>
          <w:szCs w:val="24"/>
        </w:rPr>
        <w:t xml:space="preserve"> и </w:t>
      </w:r>
      <w:r w:rsidR="003F3D71" w:rsidRPr="009F6D1E">
        <w:rPr>
          <w:rFonts w:cs="Times New Roman"/>
          <w:color w:val="auto"/>
          <w:szCs w:val="24"/>
        </w:rPr>
        <w:fldChar w:fldCharType="begin"/>
      </w:r>
      <w:r w:rsidR="0038543B" w:rsidRPr="009F6D1E">
        <w:rPr>
          <w:rFonts w:cs="Times New Roman"/>
          <w:color w:val="auto"/>
          <w:szCs w:val="24"/>
        </w:rPr>
        <w:instrText xml:space="preserve"> REF _Ref107173741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Фигура </w:t>
      </w:r>
      <w:r w:rsidR="00A43EF3">
        <w:rPr>
          <w:noProof/>
        </w:rPr>
        <w:t>84</w:t>
      </w:r>
      <w:r w:rsidR="003F3D71" w:rsidRPr="009F6D1E">
        <w:rPr>
          <w:rFonts w:cs="Times New Roman"/>
          <w:color w:val="auto"/>
          <w:szCs w:val="24"/>
        </w:rPr>
        <w:fldChar w:fldCharType="end"/>
      </w:r>
      <w:r w:rsidRPr="009F6D1E">
        <w:rPr>
          <w:rFonts w:cs="Times New Roman"/>
          <w:color w:val="auto"/>
          <w:szCs w:val="24"/>
        </w:rPr>
        <w:t xml:space="preserve"> по-долу е дадена обобщена информация за основните причини за смъртност на 100 000 души от населението през 2020год., както и информация за детската смъртност по основни причини на 100 000 </w:t>
      </w:r>
      <w:proofErr w:type="spellStart"/>
      <w:r w:rsidRPr="009F6D1E">
        <w:rPr>
          <w:rFonts w:cs="Times New Roman"/>
          <w:color w:val="auto"/>
          <w:szCs w:val="24"/>
        </w:rPr>
        <w:t>живородени</w:t>
      </w:r>
      <w:proofErr w:type="spellEnd"/>
      <w:r w:rsidRPr="009F6D1E">
        <w:rPr>
          <w:rFonts w:cs="Times New Roman"/>
          <w:color w:val="auto"/>
          <w:szCs w:val="24"/>
        </w:rPr>
        <w:t xml:space="preserve"> през 2020 год</w:t>
      </w:r>
      <w:r w:rsidRPr="009F6D1E">
        <w:rPr>
          <w:rFonts w:cs="Times New Roman"/>
          <w:color w:val="4472C4" w:themeColor="accent1"/>
          <w:szCs w:val="24"/>
        </w:rPr>
        <w:t>.</w:t>
      </w:r>
    </w:p>
    <w:p w14:paraId="4AD30DB3" w14:textId="77777777" w:rsidR="00E56BA8" w:rsidRPr="009F6D1E" w:rsidRDefault="00E56BA8"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drawing>
          <wp:inline distT="0" distB="0" distL="0" distR="0" wp14:anchorId="00435067" wp14:editId="31704195">
            <wp:extent cx="5851668" cy="2788920"/>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5859736" cy="2792765"/>
                    </a:xfrm>
                    <a:prstGeom prst="rect">
                      <a:avLst/>
                    </a:prstGeom>
                  </pic:spPr>
                </pic:pic>
              </a:graphicData>
            </a:graphic>
          </wp:inline>
        </w:drawing>
      </w:r>
    </w:p>
    <w:p w14:paraId="1DC16784" w14:textId="1A50BE81" w:rsidR="00E56BA8" w:rsidRPr="009F6D1E" w:rsidRDefault="0038543B" w:rsidP="0038543B">
      <w:pPr>
        <w:pStyle w:val="Caption"/>
        <w:rPr>
          <w:color w:val="4472C4" w:themeColor="accent1"/>
        </w:rPr>
      </w:pPr>
      <w:bookmarkStart w:id="461" w:name="_Ref107173734"/>
      <w:bookmarkStart w:id="462" w:name="_Toc115255144"/>
      <w:r w:rsidRPr="009F6D1E">
        <w:t>Фигу</w:t>
      </w:r>
      <w:r w:rsidRPr="009F6D1E">
        <w:rPr>
          <w:color w:val="auto"/>
        </w:rPr>
        <w:t xml:space="preserve">ра </w:t>
      </w:r>
      <w:r w:rsidR="003F3D71" w:rsidRPr="009F6D1E">
        <w:rPr>
          <w:color w:val="auto"/>
        </w:rPr>
        <w:fldChar w:fldCharType="begin"/>
      </w:r>
      <w:r w:rsidRPr="009F6D1E">
        <w:rPr>
          <w:color w:val="auto"/>
        </w:rPr>
        <w:instrText xml:space="preserve"> SEQ Фигура \* ARABIC </w:instrText>
      </w:r>
      <w:r w:rsidR="003F3D71" w:rsidRPr="009F6D1E">
        <w:rPr>
          <w:color w:val="auto"/>
        </w:rPr>
        <w:fldChar w:fldCharType="separate"/>
      </w:r>
      <w:r w:rsidR="00A43EF3">
        <w:rPr>
          <w:noProof/>
          <w:color w:val="auto"/>
        </w:rPr>
        <w:t>83</w:t>
      </w:r>
      <w:r w:rsidR="003F3D71" w:rsidRPr="009F6D1E">
        <w:rPr>
          <w:color w:val="auto"/>
        </w:rPr>
        <w:fldChar w:fldCharType="end"/>
      </w:r>
      <w:bookmarkEnd w:id="461"/>
      <w:r w:rsidRPr="009F6D1E">
        <w:rPr>
          <w:color w:val="auto"/>
        </w:rPr>
        <w:t xml:space="preserve">: </w:t>
      </w:r>
      <w:r w:rsidR="00E56BA8" w:rsidRPr="009F6D1E">
        <w:rPr>
          <w:color w:val="auto"/>
        </w:rPr>
        <w:t>Основните причини за смъртност на 100 000 души от населението през 2020 год.</w:t>
      </w:r>
      <w:bookmarkEnd w:id="462"/>
    </w:p>
    <w:p w14:paraId="1FAD047A" w14:textId="77777777" w:rsidR="00E56BA8" w:rsidRPr="009F6D1E" w:rsidRDefault="00E56BA8" w:rsidP="0084747F">
      <w:pPr>
        <w:spacing w:after="60" w:line="264" w:lineRule="auto"/>
        <w:jc w:val="center"/>
        <w:rPr>
          <w:rFonts w:cs="Times New Roman"/>
          <w:b/>
          <w:bCs/>
          <w:color w:val="4472C4" w:themeColor="accent1"/>
          <w:szCs w:val="24"/>
        </w:rPr>
      </w:pPr>
    </w:p>
    <w:p w14:paraId="4B9187C6" w14:textId="77777777" w:rsidR="00E56BA8" w:rsidRPr="009F6D1E" w:rsidRDefault="00E56BA8" w:rsidP="0084747F">
      <w:pPr>
        <w:spacing w:after="60" w:line="264" w:lineRule="auto"/>
        <w:jc w:val="center"/>
        <w:rPr>
          <w:rFonts w:cs="Times New Roman"/>
          <w:b/>
          <w:bCs/>
          <w:i/>
          <w:iCs/>
          <w:color w:val="4472C4" w:themeColor="accent1"/>
          <w:szCs w:val="24"/>
        </w:rPr>
      </w:pPr>
      <w:r w:rsidRPr="009F6D1E">
        <w:rPr>
          <w:rFonts w:cs="Times New Roman"/>
          <w:b/>
          <w:bCs/>
          <w:i/>
          <w:iCs/>
          <w:noProof/>
          <w:color w:val="4472C4" w:themeColor="accent1"/>
          <w:szCs w:val="24"/>
          <w:lang w:val="en-US"/>
        </w:rPr>
        <w:lastRenderedPageBreak/>
        <w:drawing>
          <wp:inline distT="0" distB="0" distL="0" distR="0" wp14:anchorId="3A90B384" wp14:editId="5C43B4A1">
            <wp:extent cx="5715000" cy="2832466"/>
            <wp:effectExtent l="0" t="0" r="0" b="635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stretch>
                      <a:fillRect/>
                    </a:stretch>
                  </pic:blipFill>
                  <pic:spPr>
                    <a:xfrm>
                      <a:off x="0" y="0"/>
                      <a:ext cx="5720305" cy="2835095"/>
                    </a:xfrm>
                    <a:prstGeom prst="rect">
                      <a:avLst/>
                    </a:prstGeom>
                  </pic:spPr>
                </pic:pic>
              </a:graphicData>
            </a:graphic>
          </wp:inline>
        </w:drawing>
      </w:r>
    </w:p>
    <w:p w14:paraId="29128D66" w14:textId="63C80B7A" w:rsidR="00E56BA8" w:rsidRPr="009F6D1E" w:rsidRDefault="0038543B" w:rsidP="0038543B">
      <w:pPr>
        <w:pStyle w:val="Caption"/>
        <w:rPr>
          <w:color w:val="auto"/>
        </w:rPr>
      </w:pPr>
      <w:bookmarkStart w:id="463" w:name="_Ref107173741"/>
      <w:bookmarkStart w:id="464" w:name="_Toc115255145"/>
      <w:r w:rsidRPr="009F6D1E">
        <w:t xml:space="preserve">Фигура </w:t>
      </w:r>
      <w:fldSimple w:instr=" SEQ Фигура \* ARABIC ">
        <w:r w:rsidR="00A43EF3">
          <w:rPr>
            <w:noProof/>
          </w:rPr>
          <w:t>84</w:t>
        </w:r>
      </w:fldSimple>
      <w:bookmarkEnd w:id="463"/>
      <w:r w:rsidRPr="009F6D1E">
        <w:t xml:space="preserve">: </w:t>
      </w:r>
      <w:r w:rsidR="00E56BA8" w:rsidRPr="009F6D1E">
        <w:rPr>
          <w:color w:val="auto"/>
        </w:rPr>
        <w:t xml:space="preserve"> Детска смъртност по основни причини на 100 000 </w:t>
      </w:r>
      <w:proofErr w:type="spellStart"/>
      <w:r w:rsidR="00E56BA8" w:rsidRPr="009F6D1E">
        <w:rPr>
          <w:color w:val="auto"/>
        </w:rPr>
        <w:t>живородени</w:t>
      </w:r>
      <w:proofErr w:type="spellEnd"/>
      <w:r w:rsidR="00E56BA8" w:rsidRPr="009F6D1E">
        <w:rPr>
          <w:color w:val="auto"/>
        </w:rPr>
        <w:t xml:space="preserve"> през 2020 год.</w:t>
      </w:r>
      <w:bookmarkEnd w:id="464"/>
    </w:p>
    <w:p w14:paraId="43E40B78" w14:textId="77777777" w:rsidR="00583753" w:rsidRPr="009F6D1E" w:rsidRDefault="00583753" w:rsidP="00583753"/>
    <w:p w14:paraId="1E98DE53" w14:textId="77777777" w:rsidR="00E56BA8" w:rsidRPr="009F6D1E" w:rsidRDefault="00E56BA8">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Естествен и механичен прираст на населението</w:t>
      </w:r>
    </w:p>
    <w:p w14:paraId="6995E6EC" w14:textId="77777777" w:rsidR="00583753" w:rsidRPr="009F6D1E" w:rsidRDefault="00583753" w:rsidP="0084747F">
      <w:pPr>
        <w:spacing w:after="60" w:line="264" w:lineRule="auto"/>
        <w:ind w:firstLine="708"/>
        <w:jc w:val="both"/>
        <w:rPr>
          <w:rFonts w:cs="Times New Roman"/>
          <w:color w:val="auto"/>
          <w:szCs w:val="24"/>
        </w:rPr>
      </w:pPr>
    </w:p>
    <w:p w14:paraId="36C8E498"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Броят и структурите на населението се определят от размерите и интензивността на неговото естествено и механично (миграционно) движение. Разликата между </w:t>
      </w:r>
      <w:proofErr w:type="spellStart"/>
      <w:r w:rsidRPr="009F6D1E">
        <w:rPr>
          <w:rFonts w:cs="Times New Roman"/>
          <w:color w:val="auto"/>
          <w:szCs w:val="24"/>
        </w:rPr>
        <w:t>живородените</w:t>
      </w:r>
      <w:proofErr w:type="spellEnd"/>
      <w:r w:rsidRPr="009F6D1E">
        <w:rPr>
          <w:rFonts w:cs="Times New Roman"/>
          <w:color w:val="auto"/>
          <w:szCs w:val="24"/>
        </w:rPr>
        <w:t xml:space="preserve"> и умрелите представлява естественият прираст на населението. След 1990 г. демографското развитие на страната се характеризира с отрицателен естествен прираст на населението. През 2020 г. в резултат на отрицателния естествен прираст населението на страната е намаляло с 65 649 души. Намалението на населението, измерено чрез коефициента на естествения прираст, е минус 9.5‰. Коефициентът на естествения прираст в градовете е минус 7.1‰, а в селата - минус 16.0‰.</w:t>
      </w:r>
    </w:p>
    <w:p w14:paraId="53F67488"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През 2020 г. всички области в страната имат отрицателен естествен прираст. С най-малки по стойности коефициенти на отрицателен естествен прираст са областите София (столица) (-3.5‰) и Варна (-5.7‰). С най-голямо намаление на населението вследствие на високия отрицателен естествен прираст е област Видин - минус 21.9‰, следвана от областите Монтана - минус 18.2‰, и Габрово - минус 18.1‰. В двадесет и една области населението намалява с над 10 на 1 000 души през 2020 година.</w:t>
      </w:r>
    </w:p>
    <w:p w14:paraId="30E17307" w14:textId="34F705E9" w:rsidR="00E56BA8" w:rsidRDefault="00E56BA8" w:rsidP="0084747F">
      <w:pPr>
        <w:spacing w:after="60" w:line="264" w:lineRule="auto"/>
        <w:jc w:val="both"/>
        <w:rPr>
          <w:rFonts w:cs="Times New Roman"/>
          <w:color w:val="auto"/>
          <w:szCs w:val="24"/>
        </w:rPr>
      </w:pPr>
      <w:r w:rsidRPr="009F6D1E">
        <w:rPr>
          <w:rFonts w:cs="Times New Roman"/>
          <w:color w:val="auto"/>
          <w:szCs w:val="24"/>
        </w:rPr>
        <w:t xml:space="preserve">В </w:t>
      </w:r>
      <w:r w:rsidR="003F3D71" w:rsidRPr="009F6D1E">
        <w:rPr>
          <w:rFonts w:cs="Times New Roman"/>
          <w:color w:val="auto"/>
          <w:szCs w:val="24"/>
        </w:rPr>
        <w:fldChar w:fldCharType="begin"/>
      </w:r>
      <w:r w:rsidR="00BA3843" w:rsidRPr="009F6D1E">
        <w:rPr>
          <w:rFonts w:cs="Times New Roman"/>
          <w:color w:val="auto"/>
          <w:szCs w:val="24"/>
        </w:rPr>
        <w:instrText xml:space="preserve"> REF _Ref107173841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Таблица </w:t>
      </w:r>
      <w:r w:rsidR="00A43EF3">
        <w:rPr>
          <w:noProof/>
        </w:rPr>
        <w:t>31</w:t>
      </w:r>
      <w:r w:rsidR="003F3D71" w:rsidRPr="009F6D1E">
        <w:rPr>
          <w:rFonts w:cs="Times New Roman"/>
          <w:color w:val="auto"/>
          <w:szCs w:val="24"/>
        </w:rPr>
        <w:fldChar w:fldCharType="end"/>
      </w:r>
      <w:r w:rsidRPr="009F6D1E">
        <w:rPr>
          <w:rFonts w:cs="Times New Roman"/>
          <w:color w:val="auto"/>
          <w:szCs w:val="24"/>
        </w:rPr>
        <w:t xml:space="preserve"> е дадена информация за естественото движение на населението през 2020 г. по области и пол. </w:t>
      </w:r>
      <w:r w:rsidR="003F3D71" w:rsidRPr="009F6D1E">
        <w:rPr>
          <w:rFonts w:cs="Times New Roman"/>
          <w:color w:val="auto"/>
          <w:szCs w:val="24"/>
        </w:rPr>
        <w:fldChar w:fldCharType="begin"/>
      </w:r>
      <w:r w:rsidR="00BA3843" w:rsidRPr="009F6D1E">
        <w:rPr>
          <w:rFonts w:cs="Times New Roman"/>
          <w:color w:val="auto"/>
          <w:szCs w:val="24"/>
        </w:rPr>
        <w:instrText xml:space="preserve"> REF _Ref107173865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rPr>
          <w:color w:val="auto"/>
        </w:rPr>
        <w:t xml:space="preserve">Фигура </w:t>
      </w:r>
      <w:r w:rsidR="00A43EF3">
        <w:rPr>
          <w:noProof/>
          <w:color w:val="auto"/>
        </w:rPr>
        <w:t>85</w:t>
      </w:r>
      <w:r w:rsidR="003F3D71" w:rsidRPr="009F6D1E">
        <w:rPr>
          <w:rFonts w:cs="Times New Roman"/>
          <w:color w:val="auto"/>
          <w:szCs w:val="24"/>
        </w:rPr>
        <w:fldChar w:fldCharType="end"/>
      </w:r>
      <w:r w:rsidRPr="009F6D1E">
        <w:rPr>
          <w:rFonts w:cs="Times New Roman"/>
          <w:color w:val="auto"/>
          <w:szCs w:val="24"/>
        </w:rPr>
        <w:t xml:space="preserve"> дава визуална представа за естествения прираст на населението през 2020 год.</w:t>
      </w:r>
    </w:p>
    <w:p w14:paraId="4E77538E" w14:textId="52CD480D" w:rsidR="00D61D0C" w:rsidRDefault="00D61D0C" w:rsidP="0084747F">
      <w:pPr>
        <w:spacing w:after="60" w:line="264" w:lineRule="auto"/>
        <w:jc w:val="both"/>
        <w:rPr>
          <w:rFonts w:cs="Times New Roman"/>
          <w:color w:val="auto"/>
          <w:szCs w:val="24"/>
        </w:rPr>
      </w:pPr>
    </w:p>
    <w:p w14:paraId="2851EFEB" w14:textId="2D0C15D8" w:rsidR="00D61D0C" w:rsidRDefault="00D61D0C" w:rsidP="0084747F">
      <w:pPr>
        <w:spacing w:after="60" w:line="264" w:lineRule="auto"/>
        <w:jc w:val="both"/>
        <w:rPr>
          <w:rFonts w:cs="Times New Roman"/>
          <w:color w:val="auto"/>
          <w:szCs w:val="24"/>
        </w:rPr>
      </w:pPr>
    </w:p>
    <w:p w14:paraId="43AEBF62" w14:textId="77777777" w:rsidR="00D61D0C" w:rsidRPr="009F6D1E" w:rsidRDefault="00D61D0C" w:rsidP="0084747F">
      <w:pPr>
        <w:spacing w:after="60" w:line="264" w:lineRule="auto"/>
        <w:jc w:val="both"/>
        <w:rPr>
          <w:rFonts w:cs="Times New Roman"/>
          <w:color w:val="auto"/>
          <w:szCs w:val="24"/>
        </w:rPr>
      </w:pPr>
    </w:p>
    <w:p w14:paraId="5406A36A" w14:textId="6F7BEBE4" w:rsidR="00E56BA8" w:rsidRPr="009F6D1E" w:rsidRDefault="0038543B" w:rsidP="0038543B">
      <w:pPr>
        <w:pStyle w:val="Caption"/>
        <w:rPr>
          <w:color w:val="4472C4" w:themeColor="accent1"/>
        </w:rPr>
      </w:pPr>
      <w:bookmarkStart w:id="465" w:name="_Ref107173841"/>
      <w:bookmarkStart w:id="466" w:name="_Toc115255182"/>
      <w:r w:rsidRPr="009F6D1E">
        <w:lastRenderedPageBreak/>
        <w:t xml:space="preserve">Таблица </w:t>
      </w:r>
      <w:fldSimple w:instr=" SEQ Таблица \* ARABIC ">
        <w:r w:rsidR="00A43EF3">
          <w:rPr>
            <w:noProof/>
          </w:rPr>
          <w:t>31</w:t>
        </w:r>
      </w:fldSimple>
      <w:bookmarkEnd w:id="465"/>
      <w:r w:rsidRPr="009F6D1E">
        <w:t xml:space="preserve">: </w:t>
      </w:r>
      <w:r w:rsidR="00E56BA8" w:rsidRPr="009F6D1E">
        <w:rPr>
          <w:color w:val="auto"/>
        </w:rPr>
        <w:t>Естествено движение на населението през 2020 г. по области и пол (брой)</w:t>
      </w:r>
      <w:bookmarkEnd w:id="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57"/>
        <w:gridCol w:w="781"/>
        <w:gridCol w:w="707"/>
        <w:gridCol w:w="707"/>
      </w:tblGrid>
      <w:tr w:rsidR="0038543B" w:rsidRPr="009F6D1E" w14:paraId="7AE3838B" w14:textId="77777777" w:rsidTr="00981F7B">
        <w:trPr>
          <w:trHeight w:val="276"/>
          <w:tblHeader/>
          <w:jc w:val="center"/>
        </w:trPr>
        <w:tc>
          <w:tcPr>
            <w:tcW w:w="0" w:type="auto"/>
            <w:vMerge w:val="restart"/>
            <w:shd w:val="clear" w:color="auto" w:fill="D9D9D9" w:themeFill="background1" w:themeFillShade="D9"/>
            <w:noWrap/>
            <w:vAlign w:val="center"/>
            <w:hideMark/>
          </w:tcPr>
          <w:p w14:paraId="1DB80B7A"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Области</w:t>
            </w:r>
          </w:p>
        </w:tc>
        <w:tc>
          <w:tcPr>
            <w:tcW w:w="0" w:type="auto"/>
            <w:gridSpan w:val="3"/>
            <w:shd w:val="clear" w:color="auto" w:fill="D9D9D9" w:themeFill="background1" w:themeFillShade="D9"/>
            <w:noWrap/>
            <w:vAlign w:val="center"/>
            <w:hideMark/>
          </w:tcPr>
          <w:p w14:paraId="389D055D"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Естествен прираст</w:t>
            </w:r>
          </w:p>
        </w:tc>
      </w:tr>
      <w:tr w:rsidR="0038543B" w:rsidRPr="009F6D1E" w14:paraId="6BEFBC59" w14:textId="77777777" w:rsidTr="00981F7B">
        <w:trPr>
          <w:trHeight w:val="276"/>
          <w:tblHeader/>
          <w:jc w:val="center"/>
        </w:trPr>
        <w:tc>
          <w:tcPr>
            <w:tcW w:w="0" w:type="auto"/>
            <w:vMerge/>
            <w:shd w:val="clear" w:color="auto" w:fill="D9D9D9" w:themeFill="background1" w:themeFillShade="D9"/>
            <w:noWrap/>
            <w:vAlign w:val="center"/>
            <w:hideMark/>
          </w:tcPr>
          <w:p w14:paraId="053A65A2"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p>
        </w:tc>
        <w:tc>
          <w:tcPr>
            <w:tcW w:w="0" w:type="auto"/>
            <w:shd w:val="clear" w:color="auto" w:fill="D9D9D9" w:themeFill="background1" w:themeFillShade="D9"/>
            <w:noWrap/>
            <w:vAlign w:val="center"/>
            <w:hideMark/>
          </w:tcPr>
          <w:p w14:paraId="2C59AE53"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всичко</w:t>
            </w:r>
          </w:p>
        </w:tc>
        <w:tc>
          <w:tcPr>
            <w:tcW w:w="0" w:type="auto"/>
            <w:shd w:val="clear" w:color="auto" w:fill="D9D9D9" w:themeFill="background1" w:themeFillShade="D9"/>
            <w:noWrap/>
            <w:vAlign w:val="center"/>
            <w:hideMark/>
          </w:tcPr>
          <w:p w14:paraId="07818205"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мъже</w:t>
            </w:r>
          </w:p>
        </w:tc>
        <w:tc>
          <w:tcPr>
            <w:tcW w:w="0" w:type="auto"/>
            <w:shd w:val="clear" w:color="auto" w:fill="D9D9D9" w:themeFill="background1" w:themeFillShade="D9"/>
            <w:noWrap/>
            <w:vAlign w:val="center"/>
            <w:hideMark/>
          </w:tcPr>
          <w:p w14:paraId="0E65A175"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жени</w:t>
            </w:r>
          </w:p>
        </w:tc>
      </w:tr>
      <w:tr w:rsidR="0038543B" w:rsidRPr="009F6D1E" w14:paraId="09029C5F" w14:textId="77777777" w:rsidTr="00981F7B">
        <w:trPr>
          <w:trHeight w:val="276"/>
          <w:jc w:val="center"/>
        </w:trPr>
        <w:tc>
          <w:tcPr>
            <w:tcW w:w="0" w:type="auto"/>
            <w:shd w:val="clear" w:color="auto" w:fill="auto"/>
            <w:noWrap/>
            <w:vAlign w:val="bottom"/>
            <w:hideMark/>
          </w:tcPr>
          <w:p w14:paraId="6719A10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Общо за страната</w:t>
            </w:r>
          </w:p>
        </w:tc>
        <w:tc>
          <w:tcPr>
            <w:tcW w:w="0" w:type="auto"/>
            <w:shd w:val="clear" w:color="auto" w:fill="auto"/>
            <w:noWrap/>
            <w:vAlign w:val="bottom"/>
            <w:hideMark/>
          </w:tcPr>
          <w:p w14:paraId="5D43B61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-65649</w:t>
            </w:r>
          </w:p>
        </w:tc>
        <w:tc>
          <w:tcPr>
            <w:tcW w:w="0" w:type="auto"/>
            <w:shd w:val="clear" w:color="auto" w:fill="auto"/>
            <w:noWrap/>
            <w:vAlign w:val="bottom"/>
            <w:hideMark/>
          </w:tcPr>
          <w:p w14:paraId="09ADE98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-35578</w:t>
            </w:r>
          </w:p>
        </w:tc>
        <w:tc>
          <w:tcPr>
            <w:tcW w:w="0" w:type="auto"/>
            <w:shd w:val="clear" w:color="auto" w:fill="auto"/>
            <w:noWrap/>
            <w:vAlign w:val="bottom"/>
            <w:hideMark/>
          </w:tcPr>
          <w:p w14:paraId="6FE3961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-30071</w:t>
            </w:r>
          </w:p>
        </w:tc>
      </w:tr>
      <w:tr w:rsidR="0038543B" w:rsidRPr="009F6D1E" w14:paraId="6CF7F5DC" w14:textId="77777777" w:rsidTr="00981F7B">
        <w:trPr>
          <w:trHeight w:val="276"/>
          <w:jc w:val="center"/>
        </w:trPr>
        <w:tc>
          <w:tcPr>
            <w:tcW w:w="0" w:type="auto"/>
            <w:shd w:val="clear" w:color="auto" w:fill="auto"/>
            <w:noWrap/>
            <w:vAlign w:val="bottom"/>
            <w:hideMark/>
          </w:tcPr>
          <w:p w14:paraId="4435A71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Благоевград</w:t>
            </w:r>
          </w:p>
        </w:tc>
        <w:tc>
          <w:tcPr>
            <w:tcW w:w="0" w:type="auto"/>
            <w:shd w:val="clear" w:color="auto" w:fill="auto"/>
            <w:noWrap/>
            <w:vAlign w:val="bottom"/>
            <w:hideMark/>
          </w:tcPr>
          <w:p w14:paraId="5957777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-2308</w:t>
            </w:r>
          </w:p>
        </w:tc>
        <w:tc>
          <w:tcPr>
            <w:tcW w:w="0" w:type="auto"/>
            <w:shd w:val="clear" w:color="auto" w:fill="auto"/>
            <w:noWrap/>
            <w:vAlign w:val="bottom"/>
            <w:hideMark/>
          </w:tcPr>
          <w:p w14:paraId="0B8E075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-1261</w:t>
            </w:r>
          </w:p>
        </w:tc>
        <w:tc>
          <w:tcPr>
            <w:tcW w:w="0" w:type="auto"/>
            <w:shd w:val="clear" w:color="auto" w:fill="auto"/>
            <w:noWrap/>
            <w:vAlign w:val="bottom"/>
            <w:hideMark/>
          </w:tcPr>
          <w:p w14:paraId="62BC4D8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-1047</w:t>
            </w:r>
          </w:p>
        </w:tc>
      </w:tr>
      <w:tr w:rsidR="0038543B" w:rsidRPr="009F6D1E" w14:paraId="0779F7DF" w14:textId="77777777" w:rsidTr="00981F7B">
        <w:trPr>
          <w:trHeight w:val="276"/>
          <w:jc w:val="center"/>
        </w:trPr>
        <w:tc>
          <w:tcPr>
            <w:tcW w:w="0" w:type="auto"/>
            <w:shd w:val="clear" w:color="auto" w:fill="auto"/>
            <w:noWrap/>
            <w:vAlign w:val="bottom"/>
            <w:hideMark/>
          </w:tcPr>
          <w:p w14:paraId="7F9FD86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Бургас</w:t>
            </w:r>
          </w:p>
        </w:tc>
        <w:tc>
          <w:tcPr>
            <w:tcW w:w="0" w:type="auto"/>
            <w:shd w:val="clear" w:color="auto" w:fill="auto"/>
            <w:noWrap/>
            <w:vAlign w:val="bottom"/>
            <w:hideMark/>
          </w:tcPr>
          <w:p w14:paraId="323CEAF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-2708</w:t>
            </w:r>
          </w:p>
        </w:tc>
        <w:tc>
          <w:tcPr>
            <w:tcW w:w="0" w:type="auto"/>
            <w:shd w:val="clear" w:color="auto" w:fill="auto"/>
            <w:noWrap/>
            <w:vAlign w:val="bottom"/>
            <w:hideMark/>
          </w:tcPr>
          <w:p w14:paraId="660EC49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-1548</w:t>
            </w:r>
          </w:p>
        </w:tc>
        <w:tc>
          <w:tcPr>
            <w:tcW w:w="0" w:type="auto"/>
            <w:shd w:val="clear" w:color="auto" w:fill="auto"/>
            <w:noWrap/>
            <w:vAlign w:val="bottom"/>
            <w:hideMark/>
          </w:tcPr>
          <w:p w14:paraId="5F98E44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-1160</w:t>
            </w:r>
          </w:p>
        </w:tc>
      </w:tr>
      <w:tr w:rsidR="0038543B" w:rsidRPr="009F6D1E" w14:paraId="5B61D01B" w14:textId="77777777" w:rsidTr="00981F7B">
        <w:trPr>
          <w:trHeight w:val="276"/>
          <w:jc w:val="center"/>
        </w:trPr>
        <w:tc>
          <w:tcPr>
            <w:tcW w:w="0" w:type="auto"/>
            <w:shd w:val="clear" w:color="auto" w:fill="auto"/>
            <w:noWrap/>
            <w:vAlign w:val="bottom"/>
            <w:hideMark/>
          </w:tcPr>
          <w:p w14:paraId="6D26E07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Варна</w:t>
            </w:r>
          </w:p>
        </w:tc>
        <w:tc>
          <w:tcPr>
            <w:tcW w:w="0" w:type="auto"/>
            <w:shd w:val="clear" w:color="auto" w:fill="auto"/>
            <w:noWrap/>
            <w:vAlign w:val="bottom"/>
            <w:hideMark/>
          </w:tcPr>
          <w:p w14:paraId="077DB60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-2711</w:t>
            </w:r>
          </w:p>
        </w:tc>
        <w:tc>
          <w:tcPr>
            <w:tcW w:w="0" w:type="auto"/>
            <w:shd w:val="clear" w:color="auto" w:fill="auto"/>
            <w:noWrap/>
            <w:vAlign w:val="bottom"/>
            <w:hideMark/>
          </w:tcPr>
          <w:p w14:paraId="7CBE10E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-1469</w:t>
            </w:r>
          </w:p>
        </w:tc>
        <w:tc>
          <w:tcPr>
            <w:tcW w:w="0" w:type="auto"/>
            <w:shd w:val="clear" w:color="auto" w:fill="auto"/>
            <w:noWrap/>
            <w:vAlign w:val="bottom"/>
            <w:hideMark/>
          </w:tcPr>
          <w:p w14:paraId="229C25C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-1242</w:t>
            </w:r>
          </w:p>
        </w:tc>
      </w:tr>
      <w:tr w:rsidR="0038543B" w:rsidRPr="009F6D1E" w14:paraId="390D39A9" w14:textId="77777777" w:rsidTr="00981F7B">
        <w:trPr>
          <w:trHeight w:val="276"/>
          <w:jc w:val="center"/>
        </w:trPr>
        <w:tc>
          <w:tcPr>
            <w:tcW w:w="0" w:type="auto"/>
            <w:shd w:val="clear" w:color="auto" w:fill="auto"/>
            <w:noWrap/>
            <w:vAlign w:val="bottom"/>
            <w:hideMark/>
          </w:tcPr>
          <w:p w14:paraId="527977F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Велико Търново</w:t>
            </w:r>
          </w:p>
        </w:tc>
        <w:tc>
          <w:tcPr>
            <w:tcW w:w="0" w:type="auto"/>
            <w:shd w:val="clear" w:color="auto" w:fill="auto"/>
            <w:noWrap/>
            <w:vAlign w:val="bottom"/>
            <w:hideMark/>
          </w:tcPr>
          <w:p w14:paraId="18FC4EF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-2837</w:t>
            </w:r>
          </w:p>
        </w:tc>
        <w:tc>
          <w:tcPr>
            <w:tcW w:w="0" w:type="auto"/>
            <w:shd w:val="clear" w:color="auto" w:fill="auto"/>
            <w:noWrap/>
            <w:vAlign w:val="bottom"/>
            <w:hideMark/>
          </w:tcPr>
          <w:p w14:paraId="226E4CD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-1577</w:t>
            </w:r>
          </w:p>
        </w:tc>
        <w:tc>
          <w:tcPr>
            <w:tcW w:w="0" w:type="auto"/>
            <w:shd w:val="clear" w:color="auto" w:fill="auto"/>
            <w:noWrap/>
            <w:vAlign w:val="bottom"/>
            <w:hideMark/>
          </w:tcPr>
          <w:p w14:paraId="7C85EE2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-1260</w:t>
            </w:r>
          </w:p>
        </w:tc>
      </w:tr>
      <w:tr w:rsidR="0038543B" w:rsidRPr="009F6D1E" w14:paraId="36C8C835" w14:textId="77777777" w:rsidTr="00981F7B">
        <w:trPr>
          <w:trHeight w:val="276"/>
          <w:jc w:val="center"/>
        </w:trPr>
        <w:tc>
          <w:tcPr>
            <w:tcW w:w="0" w:type="auto"/>
            <w:shd w:val="clear" w:color="auto" w:fill="auto"/>
            <w:noWrap/>
            <w:vAlign w:val="bottom"/>
            <w:hideMark/>
          </w:tcPr>
          <w:p w14:paraId="4B69E1E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Видин</w:t>
            </w:r>
          </w:p>
        </w:tc>
        <w:tc>
          <w:tcPr>
            <w:tcW w:w="0" w:type="auto"/>
            <w:shd w:val="clear" w:color="auto" w:fill="auto"/>
            <w:noWrap/>
            <w:vAlign w:val="bottom"/>
            <w:hideMark/>
          </w:tcPr>
          <w:p w14:paraId="380D69F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-1796</w:t>
            </w:r>
          </w:p>
        </w:tc>
        <w:tc>
          <w:tcPr>
            <w:tcW w:w="0" w:type="auto"/>
            <w:shd w:val="clear" w:color="auto" w:fill="auto"/>
            <w:noWrap/>
            <w:vAlign w:val="bottom"/>
            <w:hideMark/>
          </w:tcPr>
          <w:p w14:paraId="75A7D26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-931</w:t>
            </w:r>
          </w:p>
        </w:tc>
        <w:tc>
          <w:tcPr>
            <w:tcW w:w="0" w:type="auto"/>
            <w:shd w:val="clear" w:color="auto" w:fill="auto"/>
            <w:noWrap/>
            <w:vAlign w:val="bottom"/>
            <w:hideMark/>
          </w:tcPr>
          <w:p w14:paraId="424045F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-865</w:t>
            </w:r>
          </w:p>
        </w:tc>
      </w:tr>
      <w:tr w:rsidR="0038543B" w:rsidRPr="009F6D1E" w14:paraId="114A3A13" w14:textId="77777777" w:rsidTr="00981F7B">
        <w:trPr>
          <w:trHeight w:val="276"/>
          <w:jc w:val="center"/>
        </w:trPr>
        <w:tc>
          <w:tcPr>
            <w:tcW w:w="0" w:type="auto"/>
            <w:shd w:val="clear" w:color="auto" w:fill="auto"/>
            <w:noWrap/>
            <w:vAlign w:val="bottom"/>
            <w:hideMark/>
          </w:tcPr>
          <w:p w14:paraId="4FB56AE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Враца</w:t>
            </w:r>
          </w:p>
        </w:tc>
        <w:tc>
          <w:tcPr>
            <w:tcW w:w="0" w:type="auto"/>
            <w:shd w:val="clear" w:color="auto" w:fill="auto"/>
            <w:noWrap/>
            <w:vAlign w:val="bottom"/>
            <w:hideMark/>
          </w:tcPr>
          <w:p w14:paraId="7DD3DF7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-2205</w:t>
            </w:r>
          </w:p>
        </w:tc>
        <w:tc>
          <w:tcPr>
            <w:tcW w:w="0" w:type="auto"/>
            <w:shd w:val="clear" w:color="auto" w:fill="auto"/>
            <w:noWrap/>
            <w:vAlign w:val="bottom"/>
            <w:hideMark/>
          </w:tcPr>
          <w:p w14:paraId="44318CA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-1228</w:t>
            </w:r>
          </w:p>
        </w:tc>
        <w:tc>
          <w:tcPr>
            <w:tcW w:w="0" w:type="auto"/>
            <w:shd w:val="clear" w:color="auto" w:fill="auto"/>
            <w:noWrap/>
            <w:vAlign w:val="bottom"/>
            <w:hideMark/>
          </w:tcPr>
          <w:p w14:paraId="3BED14F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-977</w:t>
            </w:r>
          </w:p>
        </w:tc>
      </w:tr>
      <w:tr w:rsidR="0038543B" w:rsidRPr="009F6D1E" w14:paraId="2D7FB794" w14:textId="77777777" w:rsidTr="00981F7B">
        <w:trPr>
          <w:trHeight w:val="276"/>
          <w:jc w:val="center"/>
        </w:trPr>
        <w:tc>
          <w:tcPr>
            <w:tcW w:w="0" w:type="auto"/>
            <w:shd w:val="clear" w:color="auto" w:fill="auto"/>
            <w:noWrap/>
            <w:vAlign w:val="bottom"/>
            <w:hideMark/>
          </w:tcPr>
          <w:p w14:paraId="67A2A56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Габрово</w:t>
            </w:r>
          </w:p>
        </w:tc>
        <w:tc>
          <w:tcPr>
            <w:tcW w:w="0" w:type="auto"/>
            <w:shd w:val="clear" w:color="auto" w:fill="auto"/>
            <w:noWrap/>
            <w:vAlign w:val="bottom"/>
            <w:hideMark/>
          </w:tcPr>
          <w:p w14:paraId="65B0F4C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-1922</w:t>
            </w:r>
          </w:p>
        </w:tc>
        <w:tc>
          <w:tcPr>
            <w:tcW w:w="0" w:type="auto"/>
            <w:shd w:val="clear" w:color="auto" w:fill="auto"/>
            <w:noWrap/>
            <w:vAlign w:val="bottom"/>
            <w:hideMark/>
          </w:tcPr>
          <w:p w14:paraId="50AA65C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-988</w:t>
            </w:r>
          </w:p>
        </w:tc>
        <w:tc>
          <w:tcPr>
            <w:tcW w:w="0" w:type="auto"/>
            <w:shd w:val="clear" w:color="auto" w:fill="auto"/>
            <w:noWrap/>
            <w:vAlign w:val="bottom"/>
            <w:hideMark/>
          </w:tcPr>
          <w:p w14:paraId="340E8E8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-934</w:t>
            </w:r>
          </w:p>
        </w:tc>
      </w:tr>
      <w:tr w:rsidR="0038543B" w:rsidRPr="009F6D1E" w14:paraId="312F56BB" w14:textId="77777777" w:rsidTr="00981F7B">
        <w:trPr>
          <w:trHeight w:val="276"/>
          <w:jc w:val="center"/>
        </w:trPr>
        <w:tc>
          <w:tcPr>
            <w:tcW w:w="0" w:type="auto"/>
            <w:shd w:val="clear" w:color="auto" w:fill="auto"/>
            <w:noWrap/>
            <w:vAlign w:val="bottom"/>
            <w:hideMark/>
          </w:tcPr>
          <w:p w14:paraId="17B2620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Добрич</w:t>
            </w:r>
          </w:p>
        </w:tc>
        <w:tc>
          <w:tcPr>
            <w:tcW w:w="0" w:type="auto"/>
            <w:shd w:val="clear" w:color="auto" w:fill="auto"/>
            <w:noWrap/>
            <w:vAlign w:val="bottom"/>
            <w:hideMark/>
          </w:tcPr>
          <w:p w14:paraId="3166DE3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-2038</w:t>
            </w:r>
          </w:p>
        </w:tc>
        <w:tc>
          <w:tcPr>
            <w:tcW w:w="0" w:type="auto"/>
            <w:shd w:val="clear" w:color="auto" w:fill="auto"/>
            <w:noWrap/>
            <w:vAlign w:val="bottom"/>
            <w:hideMark/>
          </w:tcPr>
          <w:p w14:paraId="5268992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-1122</w:t>
            </w:r>
          </w:p>
        </w:tc>
        <w:tc>
          <w:tcPr>
            <w:tcW w:w="0" w:type="auto"/>
            <w:shd w:val="clear" w:color="auto" w:fill="auto"/>
            <w:noWrap/>
            <w:vAlign w:val="bottom"/>
            <w:hideMark/>
          </w:tcPr>
          <w:p w14:paraId="11C7986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-916</w:t>
            </w:r>
          </w:p>
        </w:tc>
      </w:tr>
      <w:tr w:rsidR="0038543B" w:rsidRPr="009F6D1E" w14:paraId="656896B9" w14:textId="77777777" w:rsidTr="00981F7B">
        <w:trPr>
          <w:trHeight w:val="276"/>
          <w:jc w:val="center"/>
        </w:trPr>
        <w:tc>
          <w:tcPr>
            <w:tcW w:w="0" w:type="auto"/>
            <w:shd w:val="clear" w:color="auto" w:fill="auto"/>
            <w:noWrap/>
            <w:vAlign w:val="bottom"/>
            <w:hideMark/>
          </w:tcPr>
          <w:p w14:paraId="001F023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Кърджали</w:t>
            </w:r>
          </w:p>
        </w:tc>
        <w:tc>
          <w:tcPr>
            <w:tcW w:w="0" w:type="auto"/>
            <w:shd w:val="clear" w:color="auto" w:fill="auto"/>
            <w:noWrap/>
            <w:vAlign w:val="bottom"/>
            <w:hideMark/>
          </w:tcPr>
          <w:p w14:paraId="40A4363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-1119</w:t>
            </w:r>
          </w:p>
        </w:tc>
        <w:tc>
          <w:tcPr>
            <w:tcW w:w="0" w:type="auto"/>
            <w:shd w:val="clear" w:color="auto" w:fill="auto"/>
            <w:noWrap/>
            <w:vAlign w:val="bottom"/>
            <w:hideMark/>
          </w:tcPr>
          <w:p w14:paraId="76BFE39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-611</w:t>
            </w:r>
          </w:p>
        </w:tc>
        <w:tc>
          <w:tcPr>
            <w:tcW w:w="0" w:type="auto"/>
            <w:shd w:val="clear" w:color="auto" w:fill="auto"/>
            <w:noWrap/>
            <w:vAlign w:val="bottom"/>
            <w:hideMark/>
          </w:tcPr>
          <w:p w14:paraId="3A8A443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-508</w:t>
            </w:r>
          </w:p>
        </w:tc>
      </w:tr>
      <w:tr w:rsidR="0038543B" w:rsidRPr="009F6D1E" w14:paraId="1AE006F4" w14:textId="77777777" w:rsidTr="00981F7B">
        <w:trPr>
          <w:trHeight w:val="276"/>
          <w:jc w:val="center"/>
        </w:trPr>
        <w:tc>
          <w:tcPr>
            <w:tcW w:w="0" w:type="auto"/>
            <w:shd w:val="clear" w:color="auto" w:fill="auto"/>
            <w:noWrap/>
            <w:vAlign w:val="bottom"/>
            <w:hideMark/>
          </w:tcPr>
          <w:p w14:paraId="786B2ABE"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Кюстендил</w:t>
            </w:r>
          </w:p>
        </w:tc>
        <w:tc>
          <w:tcPr>
            <w:tcW w:w="0" w:type="auto"/>
            <w:shd w:val="clear" w:color="auto" w:fill="auto"/>
            <w:noWrap/>
            <w:vAlign w:val="bottom"/>
            <w:hideMark/>
          </w:tcPr>
          <w:p w14:paraId="4253BEA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-2014</w:t>
            </w:r>
          </w:p>
        </w:tc>
        <w:tc>
          <w:tcPr>
            <w:tcW w:w="0" w:type="auto"/>
            <w:shd w:val="clear" w:color="auto" w:fill="auto"/>
            <w:noWrap/>
            <w:vAlign w:val="bottom"/>
            <w:hideMark/>
          </w:tcPr>
          <w:p w14:paraId="21C6ABD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-1081</w:t>
            </w:r>
          </w:p>
        </w:tc>
        <w:tc>
          <w:tcPr>
            <w:tcW w:w="0" w:type="auto"/>
            <w:shd w:val="clear" w:color="auto" w:fill="auto"/>
            <w:noWrap/>
            <w:vAlign w:val="bottom"/>
            <w:hideMark/>
          </w:tcPr>
          <w:p w14:paraId="5DBC464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-933</w:t>
            </w:r>
          </w:p>
        </w:tc>
      </w:tr>
      <w:tr w:rsidR="0038543B" w:rsidRPr="009F6D1E" w14:paraId="13976B87" w14:textId="77777777" w:rsidTr="00981F7B">
        <w:trPr>
          <w:trHeight w:val="276"/>
          <w:jc w:val="center"/>
        </w:trPr>
        <w:tc>
          <w:tcPr>
            <w:tcW w:w="0" w:type="auto"/>
            <w:shd w:val="clear" w:color="auto" w:fill="auto"/>
            <w:noWrap/>
            <w:vAlign w:val="bottom"/>
            <w:hideMark/>
          </w:tcPr>
          <w:p w14:paraId="1F77823A"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Ловеч</w:t>
            </w:r>
          </w:p>
        </w:tc>
        <w:tc>
          <w:tcPr>
            <w:tcW w:w="0" w:type="auto"/>
            <w:shd w:val="clear" w:color="auto" w:fill="auto"/>
            <w:noWrap/>
            <w:vAlign w:val="bottom"/>
            <w:hideMark/>
          </w:tcPr>
          <w:p w14:paraId="46CBBEC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-1772</w:t>
            </w:r>
          </w:p>
        </w:tc>
        <w:tc>
          <w:tcPr>
            <w:tcW w:w="0" w:type="auto"/>
            <w:shd w:val="clear" w:color="auto" w:fill="auto"/>
            <w:noWrap/>
            <w:vAlign w:val="bottom"/>
            <w:hideMark/>
          </w:tcPr>
          <w:p w14:paraId="11623AE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-959</w:t>
            </w:r>
          </w:p>
        </w:tc>
        <w:tc>
          <w:tcPr>
            <w:tcW w:w="0" w:type="auto"/>
            <w:shd w:val="clear" w:color="auto" w:fill="auto"/>
            <w:noWrap/>
            <w:vAlign w:val="bottom"/>
            <w:hideMark/>
          </w:tcPr>
          <w:p w14:paraId="007B41C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-813</w:t>
            </w:r>
          </w:p>
        </w:tc>
      </w:tr>
      <w:tr w:rsidR="0038543B" w:rsidRPr="009F6D1E" w14:paraId="7AD91E98" w14:textId="77777777" w:rsidTr="00981F7B">
        <w:trPr>
          <w:trHeight w:val="276"/>
          <w:jc w:val="center"/>
        </w:trPr>
        <w:tc>
          <w:tcPr>
            <w:tcW w:w="0" w:type="auto"/>
            <w:shd w:val="clear" w:color="auto" w:fill="auto"/>
            <w:noWrap/>
            <w:vAlign w:val="bottom"/>
            <w:hideMark/>
          </w:tcPr>
          <w:p w14:paraId="3304D3AA"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Монтана</w:t>
            </w:r>
          </w:p>
        </w:tc>
        <w:tc>
          <w:tcPr>
            <w:tcW w:w="0" w:type="auto"/>
            <w:shd w:val="clear" w:color="auto" w:fill="auto"/>
            <w:noWrap/>
            <w:vAlign w:val="bottom"/>
            <w:hideMark/>
          </w:tcPr>
          <w:p w14:paraId="5B38F9E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-2293</w:t>
            </w:r>
          </w:p>
        </w:tc>
        <w:tc>
          <w:tcPr>
            <w:tcW w:w="0" w:type="auto"/>
            <w:shd w:val="clear" w:color="auto" w:fill="auto"/>
            <w:noWrap/>
            <w:vAlign w:val="bottom"/>
            <w:hideMark/>
          </w:tcPr>
          <w:p w14:paraId="33D7427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-1295</w:t>
            </w:r>
          </w:p>
        </w:tc>
        <w:tc>
          <w:tcPr>
            <w:tcW w:w="0" w:type="auto"/>
            <w:shd w:val="clear" w:color="auto" w:fill="auto"/>
            <w:noWrap/>
            <w:vAlign w:val="bottom"/>
            <w:hideMark/>
          </w:tcPr>
          <w:p w14:paraId="641E561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-998</w:t>
            </w:r>
          </w:p>
        </w:tc>
      </w:tr>
      <w:tr w:rsidR="0038543B" w:rsidRPr="009F6D1E" w14:paraId="51795A17" w14:textId="77777777" w:rsidTr="00981F7B">
        <w:trPr>
          <w:trHeight w:val="276"/>
          <w:jc w:val="center"/>
        </w:trPr>
        <w:tc>
          <w:tcPr>
            <w:tcW w:w="0" w:type="auto"/>
            <w:shd w:val="clear" w:color="auto" w:fill="auto"/>
            <w:noWrap/>
            <w:vAlign w:val="bottom"/>
            <w:hideMark/>
          </w:tcPr>
          <w:p w14:paraId="7677AB8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Пазарджик</w:t>
            </w:r>
          </w:p>
        </w:tc>
        <w:tc>
          <w:tcPr>
            <w:tcW w:w="0" w:type="auto"/>
            <w:shd w:val="clear" w:color="auto" w:fill="auto"/>
            <w:noWrap/>
            <w:vAlign w:val="bottom"/>
            <w:hideMark/>
          </w:tcPr>
          <w:p w14:paraId="67FCFD4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-2684</w:t>
            </w:r>
          </w:p>
        </w:tc>
        <w:tc>
          <w:tcPr>
            <w:tcW w:w="0" w:type="auto"/>
            <w:shd w:val="clear" w:color="auto" w:fill="auto"/>
            <w:noWrap/>
            <w:vAlign w:val="bottom"/>
            <w:hideMark/>
          </w:tcPr>
          <w:p w14:paraId="6F8DDB3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-1455</w:t>
            </w:r>
          </w:p>
        </w:tc>
        <w:tc>
          <w:tcPr>
            <w:tcW w:w="0" w:type="auto"/>
            <w:shd w:val="clear" w:color="auto" w:fill="auto"/>
            <w:noWrap/>
            <w:vAlign w:val="bottom"/>
            <w:hideMark/>
          </w:tcPr>
          <w:p w14:paraId="301FDD4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-1229</w:t>
            </w:r>
          </w:p>
        </w:tc>
      </w:tr>
      <w:tr w:rsidR="0038543B" w:rsidRPr="009F6D1E" w14:paraId="324928EF" w14:textId="77777777" w:rsidTr="00981F7B">
        <w:trPr>
          <w:trHeight w:val="276"/>
          <w:jc w:val="center"/>
        </w:trPr>
        <w:tc>
          <w:tcPr>
            <w:tcW w:w="0" w:type="auto"/>
            <w:shd w:val="clear" w:color="auto" w:fill="auto"/>
            <w:noWrap/>
            <w:vAlign w:val="bottom"/>
            <w:hideMark/>
          </w:tcPr>
          <w:p w14:paraId="3782080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Перник</w:t>
            </w:r>
          </w:p>
        </w:tc>
        <w:tc>
          <w:tcPr>
            <w:tcW w:w="0" w:type="auto"/>
            <w:shd w:val="clear" w:color="auto" w:fill="auto"/>
            <w:noWrap/>
            <w:vAlign w:val="bottom"/>
            <w:hideMark/>
          </w:tcPr>
          <w:p w14:paraId="127A24E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-1952</w:t>
            </w:r>
          </w:p>
        </w:tc>
        <w:tc>
          <w:tcPr>
            <w:tcW w:w="0" w:type="auto"/>
            <w:shd w:val="clear" w:color="auto" w:fill="auto"/>
            <w:noWrap/>
            <w:vAlign w:val="bottom"/>
            <w:hideMark/>
          </w:tcPr>
          <w:p w14:paraId="72E63BC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-1087</w:t>
            </w:r>
          </w:p>
        </w:tc>
        <w:tc>
          <w:tcPr>
            <w:tcW w:w="0" w:type="auto"/>
            <w:shd w:val="clear" w:color="auto" w:fill="auto"/>
            <w:noWrap/>
            <w:vAlign w:val="bottom"/>
            <w:hideMark/>
          </w:tcPr>
          <w:p w14:paraId="05914D2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-865</w:t>
            </w:r>
          </w:p>
        </w:tc>
      </w:tr>
      <w:tr w:rsidR="0038543B" w:rsidRPr="009F6D1E" w14:paraId="4D0B0846" w14:textId="77777777" w:rsidTr="00981F7B">
        <w:trPr>
          <w:trHeight w:val="276"/>
          <w:jc w:val="center"/>
        </w:trPr>
        <w:tc>
          <w:tcPr>
            <w:tcW w:w="0" w:type="auto"/>
            <w:shd w:val="clear" w:color="auto" w:fill="auto"/>
            <w:noWrap/>
            <w:vAlign w:val="bottom"/>
            <w:hideMark/>
          </w:tcPr>
          <w:p w14:paraId="3BB41DE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Плевен</w:t>
            </w:r>
          </w:p>
        </w:tc>
        <w:tc>
          <w:tcPr>
            <w:tcW w:w="0" w:type="auto"/>
            <w:shd w:val="clear" w:color="auto" w:fill="auto"/>
            <w:noWrap/>
            <w:vAlign w:val="bottom"/>
            <w:hideMark/>
          </w:tcPr>
          <w:p w14:paraId="07EC394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-3177</w:t>
            </w:r>
          </w:p>
        </w:tc>
        <w:tc>
          <w:tcPr>
            <w:tcW w:w="0" w:type="auto"/>
            <w:shd w:val="clear" w:color="auto" w:fill="auto"/>
            <w:noWrap/>
            <w:vAlign w:val="bottom"/>
            <w:hideMark/>
          </w:tcPr>
          <w:p w14:paraId="0C5D42A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-1713</w:t>
            </w:r>
          </w:p>
        </w:tc>
        <w:tc>
          <w:tcPr>
            <w:tcW w:w="0" w:type="auto"/>
            <w:shd w:val="clear" w:color="auto" w:fill="auto"/>
            <w:noWrap/>
            <w:vAlign w:val="bottom"/>
            <w:hideMark/>
          </w:tcPr>
          <w:p w14:paraId="70D240C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-1464</w:t>
            </w:r>
          </w:p>
        </w:tc>
      </w:tr>
      <w:tr w:rsidR="0038543B" w:rsidRPr="009F6D1E" w14:paraId="1A6B70BC" w14:textId="77777777" w:rsidTr="00981F7B">
        <w:trPr>
          <w:trHeight w:val="276"/>
          <w:jc w:val="center"/>
        </w:trPr>
        <w:tc>
          <w:tcPr>
            <w:tcW w:w="0" w:type="auto"/>
            <w:shd w:val="clear" w:color="auto" w:fill="auto"/>
            <w:noWrap/>
            <w:vAlign w:val="bottom"/>
            <w:hideMark/>
          </w:tcPr>
          <w:p w14:paraId="3B494F7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Пловдив</w:t>
            </w:r>
          </w:p>
        </w:tc>
        <w:tc>
          <w:tcPr>
            <w:tcW w:w="0" w:type="auto"/>
            <w:shd w:val="clear" w:color="auto" w:fill="auto"/>
            <w:noWrap/>
            <w:vAlign w:val="bottom"/>
            <w:hideMark/>
          </w:tcPr>
          <w:p w14:paraId="0679EFC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-5507</w:t>
            </w:r>
          </w:p>
        </w:tc>
        <w:tc>
          <w:tcPr>
            <w:tcW w:w="0" w:type="auto"/>
            <w:shd w:val="clear" w:color="auto" w:fill="auto"/>
            <w:noWrap/>
            <w:vAlign w:val="bottom"/>
            <w:hideMark/>
          </w:tcPr>
          <w:p w14:paraId="0EF1837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-2912</w:t>
            </w:r>
          </w:p>
        </w:tc>
        <w:tc>
          <w:tcPr>
            <w:tcW w:w="0" w:type="auto"/>
            <w:shd w:val="clear" w:color="auto" w:fill="auto"/>
            <w:noWrap/>
            <w:vAlign w:val="bottom"/>
            <w:hideMark/>
          </w:tcPr>
          <w:p w14:paraId="624C0BB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-2595</w:t>
            </w:r>
          </w:p>
        </w:tc>
      </w:tr>
      <w:tr w:rsidR="0038543B" w:rsidRPr="009F6D1E" w14:paraId="689EB80E" w14:textId="77777777" w:rsidTr="00981F7B">
        <w:trPr>
          <w:trHeight w:val="276"/>
          <w:jc w:val="center"/>
        </w:trPr>
        <w:tc>
          <w:tcPr>
            <w:tcW w:w="0" w:type="auto"/>
            <w:shd w:val="clear" w:color="auto" w:fill="auto"/>
            <w:noWrap/>
            <w:vAlign w:val="bottom"/>
            <w:hideMark/>
          </w:tcPr>
          <w:p w14:paraId="26D0A7A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Разград</w:t>
            </w:r>
          </w:p>
        </w:tc>
        <w:tc>
          <w:tcPr>
            <w:tcW w:w="0" w:type="auto"/>
            <w:shd w:val="clear" w:color="auto" w:fill="auto"/>
            <w:noWrap/>
            <w:vAlign w:val="bottom"/>
            <w:hideMark/>
          </w:tcPr>
          <w:p w14:paraId="2DBD675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-1564</w:t>
            </w:r>
          </w:p>
        </w:tc>
        <w:tc>
          <w:tcPr>
            <w:tcW w:w="0" w:type="auto"/>
            <w:shd w:val="clear" w:color="auto" w:fill="auto"/>
            <w:noWrap/>
            <w:vAlign w:val="bottom"/>
            <w:hideMark/>
          </w:tcPr>
          <w:p w14:paraId="5632907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-841</w:t>
            </w:r>
          </w:p>
        </w:tc>
        <w:tc>
          <w:tcPr>
            <w:tcW w:w="0" w:type="auto"/>
            <w:shd w:val="clear" w:color="auto" w:fill="auto"/>
            <w:noWrap/>
            <w:vAlign w:val="bottom"/>
            <w:hideMark/>
          </w:tcPr>
          <w:p w14:paraId="6CDCAB2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-723</w:t>
            </w:r>
          </w:p>
        </w:tc>
      </w:tr>
      <w:tr w:rsidR="0038543B" w:rsidRPr="009F6D1E" w14:paraId="4B7992C0" w14:textId="77777777" w:rsidTr="00981F7B">
        <w:trPr>
          <w:trHeight w:val="276"/>
          <w:jc w:val="center"/>
        </w:trPr>
        <w:tc>
          <w:tcPr>
            <w:tcW w:w="0" w:type="auto"/>
            <w:shd w:val="clear" w:color="auto" w:fill="auto"/>
            <w:noWrap/>
            <w:vAlign w:val="bottom"/>
            <w:hideMark/>
          </w:tcPr>
          <w:p w14:paraId="2C07D69E"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Русе</w:t>
            </w:r>
          </w:p>
        </w:tc>
        <w:tc>
          <w:tcPr>
            <w:tcW w:w="0" w:type="auto"/>
            <w:shd w:val="clear" w:color="auto" w:fill="auto"/>
            <w:noWrap/>
            <w:vAlign w:val="bottom"/>
            <w:hideMark/>
          </w:tcPr>
          <w:p w14:paraId="43C1239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-2889</w:t>
            </w:r>
          </w:p>
        </w:tc>
        <w:tc>
          <w:tcPr>
            <w:tcW w:w="0" w:type="auto"/>
            <w:shd w:val="clear" w:color="auto" w:fill="auto"/>
            <w:noWrap/>
            <w:vAlign w:val="bottom"/>
            <w:hideMark/>
          </w:tcPr>
          <w:p w14:paraId="637F60E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-1573</w:t>
            </w:r>
          </w:p>
        </w:tc>
        <w:tc>
          <w:tcPr>
            <w:tcW w:w="0" w:type="auto"/>
            <w:shd w:val="clear" w:color="auto" w:fill="auto"/>
            <w:noWrap/>
            <w:vAlign w:val="bottom"/>
            <w:hideMark/>
          </w:tcPr>
          <w:p w14:paraId="28B539D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-1316</w:t>
            </w:r>
          </w:p>
        </w:tc>
      </w:tr>
      <w:tr w:rsidR="0038543B" w:rsidRPr="009F6D1E" w14:paraId="5748BC90" w14:textId="77777777" w:rsidTr="00981F7B">
        <w:trPr>
          <w:trHeight w:val="276"/>
          <w:jc w:val="center"/>
        </w:trPr>
        <w:tc>
          <w:tcPr>
            <w:tcW w:w="0" w:type="auto"/>
            <w:shd w:val="clear" w:color="auto" w:fill="auto"/>
            <w:noWrap/>
            <w:vAlign w:val="bottom"/>
            <w:hideMark/>
          </w:tcPr>
          <w:p w14:paraId="11FFA3D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Силистра</w:t>
            </w:r>
          </w:p>
        </w:tc>
        <w:tc>
          <w:tcPr>
            <w:tcW w:w="0" w:type="auto"/>
            <w:shd w:val="clear" w:color="auto" w:fill="auto"/>
            <w:noWrap/>
            <w:vAlign w:val="bottom"/>
            <w:hideMark/>
          </w:tcPr>
          <w:p w14:paraId="173C817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-1506</w:t>
            </w:r>
          </w:p>
        </w:tc>
        <w:tc>
          <w:tcPr>
            <w:tcW w:w="0" w:type="auto"/>
            <w:shd w:val="clear" w:color="auto" w:fill="auto"/>
            <w:noWrap/>
            <w:vAlign w:val="bottom"/>
            <w:hideMark/>
          </w:tcPr>
          <w:p w14:paraId="074055D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-839</w:t>
            </w:r>
          </w:p>
        </w:tc>
        <w:tc>
          <w:tcPr>
            <w:tcW w:w="0" w:type="auto"/>
            <w:shd w:val="clear" w:color="auto" w:fill="auto"/>
            <w:noWrap/>
            <w:vAlign w:val="bottom"/>
            <w:hideMark/>
          </w:tcPr>
          <w:p w14:paraId="4A2A63F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-667</w:t>
            </w:r>
          </w:p>
        </w:tc>
      </w:tr>
      <w:tr w:rsidR="0038543B" w:rsidRPr="009F6D1E" w14:paraId="15464ACD" w14:textId="77777777" w:rsidTr="00981F7B">
        <w:trPr>
          <w:trHeight w:val="276"/>
          <w:jc w:val="center"/>
        </w:trPr>
        <w:tc>
          <w:tcPr>
            <w:tcW w:w="0" w:type="auto"/>
            <w:shd w:val="clear" w:color="auto" w:fill="auto"/>
            <w:noWrap/>
            <w:vAlign w:val="bottom"/>
            <w:hideMark/>
          </w:tcPr>
          <w:p w14:paraId="1C76BA0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Сливен</w:t>
            </w:r>
          </w:p>
        </w:tc>
        <w:tc>
          <w:tcPr>
            <w:tcW w:w="0" w:type="auto"/>
            <w:shd w:val="clear" w:color="auto" w:fill="auto"/>
            <w:noWrap/>
            <w:vAlign w:val="bottom"/>
            <w:hideMark/>
          </w:tcPr>
          <w:p w14:paraId="11CA7C1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-1169</w:t>
            </w:r>
          </w:p>
        </w:tc>
        <w:tc>
          <w:tcPr>
            <w:tcW w:w="0" w:type="auto"/>
            <w:shd w:val="clear" w:color="auto" w:fill="auto"/>
            <w:noWrap/>
            <w:vAlign w:val="bottom"/>
            <w:hideMark/>
          </w:tcPr>
          <w:p w14:paraId="2007ACB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-634</w:t>
            </w:r>
          </w:p>
        </w:tc>
        <w:tc>
          <w:tcPr>
            <w:tcW w:w="0" w:type="auto"/>
            <w:shd w:val="clear" w:color="auto" w:fill="auto"/>
            <w:noWrap/>
            <w:vAlign w:val="bottom"/>
            <w:hideMark/>
          </w:tcPr>
          <w:p w14:paraId="6179B5F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-535</w:t>
            </w:r>
          </w:p>
        </w:tc>
      </w:tr>
      <w:tr w:rsidR="0038543B" w:rsidRPr="009F6D1E" w14:paraId="16D3C8C5" w14:textId="77777777" w:rsidTr="00981F7B">
        <w:trPr>
          <w:trHeight w:val="276"/>
          <w:jc w:val="center"/>
        </w:trPr>
        <w:tc>
          <w:tcPr>
            <w:tcW w:w="0" w:type="auto"/>
            <w:shd w:val="clear" w:color="auto" w:fill="auto"/>
            <w:noWrap/>
            <w:vAlign w:val="bottom"/>
            <w:hideMark/>
          </w:tcPr>
          <w:p w14:paraId="44B0694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Смолян</w:t>
            </w:r>
          </w:p>
        </w:tc>
        <w:tc>
          <w:tcPr>
            <w:tcW w:w="0" w:type="auto"/>
            <w:shd w:val="clear" w:color="auto" w:fill="auto"/>
            <w:noWrap/>
            <w:vAlign w:val="bottom"/>
            <w:hideMark/>
          </w:tcPr>
          <w:p w14:paraId="3EC465B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-1476</w:t>
            </w:r>
          </w:p>
        </w:tc>
        <w:tc>
          <w:tcPr>
            <w:tcW w:w="0" w:type="auto"/>
            <w:shd w:val="clear" w:color="auto" w:fill="auto"/>
            <w:noWrap/>
            <w:vAlign w:val="bottom"/>
            <w:hideMark/>
          </w:tcPr>
          <w:p w14:paraId="0F8021C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-856</w:t>
            </w:r>
          </w:p>
        </w:tc>
        <w:tc>
          <w:tcPr>
            <w:tcW w:w="0" w:type="auto"/>
            <w:shd w:val="clear" w:color="auto" w:fill="auto"/>
            <w:noWrap/>
            <w:vAlign w:val="bottom"/>
            <w:hideMark/>
          </w:tcPr>
          <w:p w14:paraId="419BF35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-620</w:t>
            </w:r>
          </w:p>
        </w:tc>
      </w:tr>
      <w:tr w:rsidR="0038543B" w:rsidRPr="009F6D1E" w14:paraId="719035DA" w14:textId="77777777" w:rsidTr="00981F7B">
        <w:trPr>
          <w:trHeight w:val="276"/>
          <w:jc w:val="center"/>
        </w:trPr>
        <w:tc>
          <w:tcPr>
            <w:tcW w:w="0" w:type="auto"/>
            <w:shd w:val="clear" w:color="auto" w:fill="auto"/>
            <w:noWrap/>
            <w:vAlign w:val="bottom"/>
            <w:hideMark/>
          </w:tcPr>
          <w:p w14:paraId="55C9F7D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 (столица)</w:t>
            </w:r>
          </w:p>
        </w:tc>
        <w:tc>
          <w:tcPr>
            <w:tcW w:w="0" w:type="auto"/>
            <w:shd w:val="clear" w:color="auto" w:fill="auto"/>
            <w:noWrap/>
            <w:vAlign w:val="bottom"/>
            <w:hideMark/>
          </w:tcPr>
          <w:p w14:paraId="40350D5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-4613</w:t>
            </w:r>
          </w:p>
        </w:tc>
        <w:tc>
          <w:tcPr>
            <w:tcW w:w="0" w:type="auto"/>
            <w:shd w:val="clear" w:color="auto" w:fill="auto"/>
            <w:noWrap/>
            <w:vAlign w:val="bottom"/>
            <w:hideMark/>
          </w:tcPr>
          <w:p w14:paraId="4E4E1C4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-2397</w:t>
            </w:r>
          </w:p>
        </w:tc>
        <w:tc>
          <w:tcPr>
            <w:tcW w:w="0" w:type="auto"/>
            <w:shd w:val="clear" w:color="auto" w:fill="auto"/>
            <w:noWrap/>
            <w:vAlign w:val="bottom"/>
            <w:hideMark/>
          </w:tcPr>
          <w:p w14:paraId="259F767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-2216</w:t>
            </w:r>
          </w:p>
        </w:tc>
      </w:tr>
      <w:tr w:rsidR="0038543B" w:rsidRPr="009F6D1E" w14:paraId="71A42FF9" w14:textId="77777777" w:rsidTr="00981F7B">
        <w:trPr>
          <w:trHeight w:val="276"/>
          <w:jc w:val="center"/>
        </w:trPr>
        <w:tc>
          <w:tcPr>
            <w:tcW w:w="0" w:type="auto"/>
            <w:shd w:val="clear" w:color="auto" w:fill="auto"/>
            <w:noWrap/>
            <w:vAlign w:val="bottom"/>
            <w:hideMark/>
          </w:tcPr>
          <w:p w14:paraId="446ED3BF" w14:textId="77777777" w:rsidR="00E56BA8" w:rsidRPr="009F6D1E" w:rsidRDefault="00E56BA8" w:rsidP="0084747F">
            <w:pPr>
              <w:spacing w:after="60" w:line="264" w:lineRule="auto"/>
              <w:rPr>
                <w:rFonts w:eastAsia="Times New Roman" w:cs="Times New Roman"/>
                <w:color w:val="auto"/>
                <w:sz w:val="20"/>
                <w:szCs w:val="20"/>
                <w:lang w:eastAsia="bg-BG"/>
              </w:rPr>
            </w:pPr>
            <w:r w:rsidRPr="009F6D1E">
              <w:rPr>
                <w:rFonts w:eastAsia="Times New Roman" w:cs="Times New Roman"/>
                <w:color w:val="auto"/>
                <w:sz w:val="20"/>
                <w:szCs w:val="20"/>
                <w:lang w:eastAsia="bg-BG"/>
              </w:rPr>
              <w:t>Столична</w:t>
            </w:r>
          </w:p>
        </w:tc>
        <w:tc>
          <w:tcPr>
            <w:tcW w:w="0" w:type="auto"/>
            <w:shd w:val="clear" w:color="auto" w:fill="auto"/>
            <w:noWrap/>
            <w:vAlign w:val="bottom"/>
            <w:hideMark/>
          </w:tcPr>
          <w:p w14:paraId="6ABE216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-4613</w:t>
            </w:r>
          </w:p>
        </w:tc>
        <w:tc>
          <w:tcPr>
            <w:tcW w:w="0" w:type="auto"/>
            <w:shd w:val="clear" w:color="auto" w:fill="auto"/>
            <w:noWrap/>
            <w:vAlign w:val="bottom"/>
            <w:hideMark/>
          </w:tcPr>
          <w:p w14:paraId="1B1520A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-2397</w:t>
            </w:r>
          </w:p>
        </w:tc>
        <w:tc>
          <w:tcPr>
            <w:tcW w:w="0" w:type="auto"/>
            <w:shd w:val="clear" w:color="auto" w:fill="auto"/>
            <w:noWrap/>
            <w:vAlign w:val="bottom"/>
            <w:hideMark/>
          </w:tcPr>
          <w:p w14:paraId="14934AA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-2216</w:t>
            </w:r>
          </w:p>
        </w:tc>
      </w:tr>
      <w:tr w:rsidR="0038543B" w:rsidRPr="009F6D1E" w14:paraId="3E18659C" w14:textId="77777777" w:rsidTr="00981F7B">
        <w:trPr>
          <w:trHeight w:val="276"/>
          <w:jc w:val="center"/>
        </w:trPr>
        <w:tc>
          <w:tcPr>
            <w:tcW w:w="0" w:type="auto"/>
            <w:shd w:val="clear" w:color="auto" w:fill="auto"/>
            <w:noWrap/>
            <w:vAlign w:val="bottom"/>
            <w:hideMark/>
          </w:tcPr>
          <w:p w14:paraId="42D169F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w:t>
            </w:r>
          </w:p>
        </w:tc>
        <w:tc>
          <w:tcPr>
            <w:tcW w:w="0" w:type="auto"/>
            <w:shd w:val="clear" w:color="auto" w:fill="auto"/>
            <w:noWrap/>
            <w:vAlign w:val="bottom"/>
            <w:hideMark/>
          </w:tcPr>
          <w:p w14:paraId="76DA914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-2847</w:t>
            </w:r>
          </w:p>
        </w:tc>
        <w:tc>
          <w:tcPr>
            <w:tcW w:w="0" w:type="auto"/>
            <w:shd w:val="clear" w:color="auto" w:fill="auto"/>
            <w:noWrap/>
            <w:vAlign w:val="bottom"/>
            <w:hideMark/>
          </w:tcPr>
          <w:p w14:paraId="3A04304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-1621</w:t>
            </w:r>
          </w:p>
        </w:tc>
        <w:tc>
          <w:tcPr>
            <w:tcW w:w="0" w:type="auto"/>
            <w:shd w:val="clear" w:color="auto" w:fill="auto"/>
            <w:noWrap/>
            <w:vAlign w:val="bottom"/>
            <w:hideMark/>
          </w:tcPr>
          <w:p w14:paraId="4DBBF0F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-1226</w:t>
            </w:r>
          </w:p>
        </w:tc>
      </w:tr>
      <w:tr w:rsidR="0038543B" w:rsidRPr="009F6D1E" w14:paraId="1C33B41D" w14:textId="77777777" w:rsidTr="00981F7B">
        <w:trPr>
          <w:trHeight w:val="276"/>
          <w:jc w:val="center"/>
        </w:trPr>
        <w:tc>
          <w:tcPr>
            <w:tcW w:w="0" w:type="auto"/>
            <w:shd w:val="clear" w:color="auto" w:fill="auto"/>
            <w:noWrap/>
            <w:vAlign w:val="bottom"/>
            <w:hideMark/>
          </w:tcPr>
          <w:p w14:paraId="48FEF3C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Стара Загора</w:t>
            </w:r>
          </w:p>
        </w:tc>
        <w:tc>
          <w:tcPr>
            <w:tcW w:w="0" w:type="auto"/>
            <w:shd w:val="clear" w:color="auto" w:fill="auto"/>
            <w:noWrap/>
            <w:vAlign w:val="bottom"/>
            <w:hideMark/>
          </w:tcPr>
          <w:p w14:paraId="77DA040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-3162</w:t>
            </w:r>
          </w:p>
        </w:tc>
        <w:tc>
          <w:tcPr>
            <w:tcW w:w="0" w:type="auto"/>
            <w:shd w:val="clear" w:color="auto" w:fill="auto"/>
            <w:noWrap/>
            <w:vAlign w:val="bottom"/>
            <w:hideMark/>
          </w:tcPr>
          <w:p w14:paraId="01D9ADB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-1724</w:t>
            </w:r>
          </w:p>
        </w:tc>
        <w:tc>
          <w:tcPr>
            <w:tcW w:w="0" w:type="auto"/>
            <w:shd w:val="clear" w:color="auto" w:fill="auto"/>
            <w:noWrap/>
            <w:vAlign w:val="bottom"/>
            <w:hideMark/>
          </w:tcPr>
          <w:p w14:paraId="16E9A38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-1438</w:t>
            </w:r>
          </w:p>
        </w:tc>
      </w:tr>
      <w:tr w:rsidR="0038543B" w:rsidRPr="009F6D1E" w14:paraId="70B6FE5F" w14:textId="77777777" w:rsidTr="00981F7B">
        <w:trPr>
          <w:trHeight w:val="276"/>
          <w:jc w:val="center"/>
        </w:trPr>
        <w:tc>
          <w:tcPr>
            <w:tcW w:w="0" w:type="auto"/>
            <w:shd w:val="clear" w:color="auto" w:fill="auto"/>
            <w:noWrap/>
            <w:vAlign w:val="bottom"/>
            <w:hideMark/>
          </w:tcPr>
          <w:p w14:paraId="069171E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Търговище</w:t>
            </w:r>
          </w:p>
        </w:tc>
        <w:tc>
          <w:tcPr>
            <w:tcW w:w="0" w:type="auto"/>
            <w:shd w:val="clear" w:color="auto" w:fill="auto"/>
            <w:noWrap/>
            <w:vAlign w:val="bottom"/>
            <w:hideMark/>
          </w:tcPr>
          <w:p w14:paraId="14CAD18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-1388</w:t>
            </w:r>
          </w:p>
        </w:tc>
        <w:tc>
          <w:tcPr>
            <w:tcW w:w="0" w:type="auto"/>
            <w:shd w:val="clear" w:color="auto" w:fill="auto"/>
            <w:noWrap/>
            <w:vAlign w:val="bottom"/>
            <w:hideMark/>
          </w:tcPr>
          <w:p w14:paraId="43D50D7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-725</w:t>
            </w:r>
          </w:p>
        </w:tc>
        <w:tc>
          <w:tcPr>
            <w:tcW w:w="0" w:type="auto"/>
            <w:shd w:val="clear" w:color="auto" w:fill="auto"/>
            <w:noWrap/>
            <w:vAlign w:val="bottom"/>
            <w:hideMark/>
          </w:tcPr>
          <w:p w14:paraId="5F7398B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-663</w:t>
            </w:r>
          </w:p>
        </w:tc>
      </w:tr>
      <w:tr w:rsidR="0038543B" w:rsidRPr="009F6D1E" w14:paraId="3EC8163B" w14:textId="77777777" w:rsidTr="00981F7B">
        <w:trPr>
          <w:trHeight w:val="276"/>
          <w:jc w:val="center"/>
        </w:trPr>
        <w:tc>
          <w:tcPr>
            <w:tcW w:w="0" w:type="auto"/>
            <w:shd w:val="clear" w:color="auto" w:fill="auto"/>
            <w:noWrap/>
            <w:vAlign w:val="bottom"/>
            <w:hideMark/>
          </w:tcPr>
          <w:p w14:paraId="3749647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Хасково</w:t>
            </w:r>
          </w:p>
        </w:tc>
        <w:tc>
          <w:tcPr>
            <w:tcW w:w="0" w:type="auto"/>
            <w:shd w:val="clear" w:color="auto" w:fill="auto"/>
            <w:noWrap/>
            <w:vAlign w:val="bottom"/>
            <w:hideMark/>
          </w:tcPr>
          <w:p w14:paraId="159F2C7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-2750</w:t>
            </w:r>
          </w:p>
        </w:tc>
        <w:tc>
          <w:tcPr>
            <w:tcW w:w="0" w:type="auto"/>
            <w:shd w:val="clear" w:color="auto" w:fill="auto"/>
            <w:noWrap/>
            <w:vAlign w:val="bottom"/>
            <w:hideMark/>
          </w:tcPr>
          <w:p w14:paraId="167A0D9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-1483</w:t>
            </w:r>
          </w:p>
        </w:tc>
        <w:tc>
          <w:tcPr>
            <w:tcW w:w="0" w:type="auto"/>
            <w:shd w:val="clear" w:color="auto" w:fill="auto"/>
            <w:noWrap/>
            <w:vAlign w:val="bottom"/>
            <w:hideMark/>
          </w:tcPr>
          <w:p w14:paraId="6368992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-1267</w:t>
            </w:r>
          </w:p>
        </w:tc>
      </w:tr>
      <w:tr w:rsidR="0038543B" w:rsidRPr="009F6D1E" w14:paraId="3A3B05C4" w14:textId="77777777" w:rsidTr="00981F7B">
        <w:trPr>
          <w:trHeight w:val="276"/>
          <w:jc w:val="center"/>
        </w:trPr>
        <w:tc>
          <w:tcPr>
            <w:tcW w:w="0" w:type="auto"/>
            <w:shd w:val="clear" w:color="auto" w:fill="auto"/>
            <w:noWrap/>
            <w:vAlign w:val="bottom"/>
            <w:hideMark/>
          </w:tcPr>
          <w:p w14:paraId="1D099D9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Шумен</w:t>
            </w:r>
          </w:p>
        </w:tc>
        <w:tc>
          <w:tcPr>
            <w:tcW w:w="0" w:type="auto"/>
            <w:shd w:val="clear" w:color="auto" w:fill="auto"/>
            <w:noWrap/>
            <w:vAlign w:val="bottom"/>
            <w:hideMark/>
          </w:tcPr>
          <w:p w14:paraId="14EF80A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-1891</w:t>
            </w:r>
          </w:p>
        </w:tc>
        <w:tc>
          <w:tcPr>
            <w:tcW w:w="0" w:type="auto"/>
            <w:shd w:val="clear" w:color="auto" w:fill="auto"/>
            <w:noWrap/>
            <w:vAlign w:val="bottom"/>
            <w:hideMark/>
          </w:tcPr>
          <w:p w14:paraId="43263AA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-954</w:t>
            </w:r>
          </w:p>
        </w:tc>
        <w:tc>
          <w:tcPr>
            <w:tcW w:w="0" w:type="auto"/>
            <w:shd w:val="clear" w:color="auto" w:fill="auto"/>
            <w:noWrap/>
            <w:vAlign w:val="bottom"/>
            <w:hideMark/>
          </w:tcPr>
          <w:p w14:paraId="2CA4681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-937</w:t>
            </w:r>
          </w:p>
        </w:tc>
      </w:tr>
      <w:tr w:rsidR="0038543B" w:rsidRPr="009F6D1E" w14:paraId="1FCBF9A9" w14:textId="77777777" w:rsidTr="00981F7B">
        <w:trPr>
          <w:trHeight w:val="276"/>
          <w:jc w:val="center"/>
        </w:trPr>
        <w:tc>
          <w:tcPr>
            <w:tcW w:w="0" w:type="auto"/>
            <w:shd w:val="clear" w:color="auto" w:fill="auto"/>
            <w:noWrap/>
            <w:vAlign w:val="bottom"/>
            <w:hideMark/>
          </w:tcPr>
          <w:p w14:paraId="0558F2E5"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Ямбол</w:t>
            </w:r>
          </w:p>
        </w:tc>
        <w:tc>
          <w:tcPr>
            <w:tcW w:w="0" w:type="auto"/>
            <w:shd w:val="clear" w:color="auto" w:fill="auto"/>
            <w:noWrap/>
            <w:vAlign w:val="bottom"/>
            <w:hideMark/>
          </w:tcPr>
          <w:p w14:paraId="406AE1A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-1351</w:t>
            </w:r>
          </w:p>
        </w:tc>
        <w:tc>
          <w:tcPr>
            <w:tcW w:w="0" w:type="auto"/>
            <w:shd w:val="clear" w:color="auto" w:fill="auto"/>
            <w:noWrap/>
            <w:vAlign w:val="bottom"/>
            <w:hideMark/>
          </w:tcPr>
          <w:p w14:paraId="5F5EBE4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-694</w:t>
            </w:r>
          </w:p>
        </w:tc>
        <w:tc>
          <w:tcPr>
            <w:tcW w:w="0" w:type="auto"/>
            <w:shd w:val="clear" w:color="auto" w:fill="auto"/>
            <w:noWrap/>
            <w:vAlign w:val="bottom"/>
            <w:hideMark/>
          </w:tcPr>
          <w:p w14:paraId="50B7372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-657</w:t>
            </w:r>
          </w:p>
        </w:tc>
      </w:tr>
    </w:tbl>
    <w:p w14:paraId="6F359318" w14:textId="77777777" w:rsidR="00E56BA8" w:rsidRPr="009F6D1E" w:rsidRDefault="00E56BA8" w:rsidP="0084747F">
      <w:pPr>
        <w:spacing w:after="60" w:line="264" w:lineRule="auto"/>
        <w:jc w:val="center"/>
        <w:rPr>
          <w:rFonts w:cs="Times New Roman"/>
          <w:b/>
          <w:bCs/>
          <w:color w:val="4472C4" w:themeColor="accent1"/>
          <w:szCs w:val="24"/>
        </w:rPr>
      </w:pPr>
    </w:p>
    <w:p w14:paraId="75590397" w14:textId="77777777" w:rsidR="00E56BA8" w:rsidRPr="009F6D1E" w:rsidRDefault="00E56BA8" w:rsidP="0084747F">
      <w:pPr>
        <w:spacing w:after="60" w:line="264" w:lineRule="auto"/>
        <w:jc w:val="center"/>
        <w:rPr>
          <w:rFonts w:cs="Times New Roman"/>
          <w:b/>
          <w:bCs/>
          <w:color w:val="auto"/>
          <w:szCs w:val="24"/>
        </w:rPr>
      </w:pPr>
      <w:r w:rsidRPr="009F6D1E">
        <w:rPr>
          <w:rFonts w:cs="Times New Roman"/>
          <w:noProof/>
          <w:color w:val="auto"/>
          <w:szCs w:val="24"/>
          <w:lang w:val="en-US"/>
        </w:rPr>
        <w:lastRenderedPageBreak/>
        <w:drawing>
          <wp:inline distT="0" distB="0" distL="0" distR="0" wp14:anchorId="2C7570FC" wp14:editId="307C4DFD">
            <wp:extent cx="4861560" cy="2679052"/>
            <wp:effectExtent l="0" t="0" r="0" b="762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stretch>
                      <a:fillRect/>
                    </a:stretch>
                  </pic:blipFill>
                  <pic:spPr>
                    <a:xfrm>
                      <a:off x="0" y="0"/>
                      <a:ext cx="4872532" cy="2685098"/>
                    </a:xfrm>
                    <a:prstGeom prst="rect">
                      <a:avLst/>
                    </a:prstGeom>
                  </pic:spPr>
                </pic:pic>
              </a:graphicData>
            </a:graphic>
          </wp:inline>
        </w:drawing>
      </w:r>
    </w:p>
    <w:p w14:paraId="72EBAC11" w14:textId="14BF7623" w:rsidR="00E56BA8" w:rsidRPr="009F6D1E" w:rsidRDefault="00BA3843" w:rsidP="00BA3843">
      <w:pPr>
        <w:pStyle w:val="Caption"/>
        <w:rPr>
          <w:color w:val="auto"/>
        </w:rPr>
      </w:pPr>
      <w:bookmarkStart w:id="467" w:name="_Ref107173865"/>
      <w:bookmarkStart w:id="468" w:name="_Toc115255146"/>
      <w:r w:rsidRPr="009F6D1E">
        <w:rPr>
          <w:color w:val="auto"/>
        </w:rPr>
        <w:t xml:space="preserve">Фигура </w:t>
      </w:r>
      <w:r w:rsidR="003F3D71" w:rsidRPr="009F6D1E">
        <w:rPr>
          <w:color w:val="auto"/>
        </w:rPr>
        <w:fldChar w:fldCharType="begin"/>
      </w:r>
      <w:r w:rsidRPr="009F6D1E">
        <w:rPr>
          <w:color w:val="auto"/>
        </w:rPr>
        <w:instrText xml:space="preserve"> SEQ Фигура \* ARABIC </w:instrText>
      </w:r>
      <w:r w:rsidR="003F3D71" w:rsidRPr="009F6D1E">
        <w:rPr>
          <w:color w:val="auto"/>
        </w:rPr>
        <w:fldChar w:fldCharType="separate"/>
      </w:r>
      <w:r w:rsidR="00A43EF3">
        <w:rPr>
          <w:noProof/>
          <w:color w:val="auto"/>
        </w:rPr>
        <w:t>85</w:t>
      </w:r>
      <w:r w:rsidR="003F3D71" w:rsidRPr="009F6D1E">
        <w:rPr>
          <w:color w:val="auto"/>
        </w:rPr>
        <w:fldChar w:fldCharType="end"/>
      </w:r>
      <w:bookmarkEnd w:id="467"/>
      <w:r w:rsidRPr="009F6D1E">
        <w:rPr>
          <w:color w:val="auto"/>
        </w:rPr>
        <w:t xml:space="preserve">: </w:t>
      </w:r>
      <w:r w:rsidR="00E56BA8" w:rsidRPr="009F6D1E">
        <w:rPr>
          <w:color w:val="auto"/>
        </w:rPr>
        <w:t xml:space="preserve"> Естествен прираст на населението през 2020 год.</w:t>
      </w:r>
      <w:bookmarkEnd w:id="468"/>
    </w:p>
    <w:p w14:paraId="5634FDE3"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Съществено влияние върху броя и структурите на населението в страната оказва и механичният прираст (нетното салдо от външната миграция), който през 2020 г. е положителен - плюс 30 715 души. Той се формира като разлика между броя на заселилите се и изселилите се от страната. Изменението на населението в резултат на външната миграция, измерено чрез коефициента на нетна миграция, е +4.4‰. През 2020 г. двадесет и четири области имат положителен механичен прираст. Най-голям механичен прираст има в областите София (63.0‰), Перник (26.6‰), Кърджали (23.2‰). С намаление на населението в резултат на отрицателния механичен прираст са областите София (столица) (-11.9‰), Сливен (-2.2‰), Смолян (-1.7‰) и Велико Търново (-0.1‰).</w:t>
      </w:r>
    </w:p>
    <w:p w14:paraId="49FCD517" w14:textId="7E62A411"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Данни за механичния прираст на населението като цяло за страната и по области и пол е дадена в </w:t>
      </w:r>
      <w:r w:rsidR="003F3D71" w:rsidRPr="009F6D1E">
        <w:rPr>
          <w:rFonts w:cs="Times New Roman"/>
          <w:color w:val="auto"/>
          <w:szCs w:val="24"/>
        </w:rPr>
        <w:fldChar w:fldCharType="begin"/>
      </w:r>
      <w:r w:rsidR="00BA3843" w:rsidRPr="009F6D1E">
        <w:rPr>
          <w:rFonts w:cs="Times New Roman"/>
          <w:color w:val="auto"/>
          <w:szCs w:val="24"/>
        </w:rPr>
        <w:instrText xml:space="preserve"> REF _Ref107173938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rPr>
          <w:color w:val="auto"/>
        </w:rPr>
        <w:t xml:space="preserve">Таблица </w:t>
      </w:r>
      <w:r w:rsidR="00A43EF3">
        <w:rPr>
          <w:noProof/>
          <w:color w:val="auto"/>
        </w:rPr>
        <w:t>32</w:t>
      </w:r>
      <w:r w:rsidR="003F3D71" w:rsidRPr="009F6D1E">
        <w:rPr>
          <w:rFonts w:cs="Times New Roman"/>
          <w:color w:val="auto"/>
          <w:szCs w:val="24"/>
        </w:rPr>
        <w:fldChar w:fldCharType="end"/>
      </w:r>
      <w:r w:rsidRPr="009F6D1E">
        <w:rPr>
          <w:rFonts w:cs="Times New Roman"/>
          <w:color w:val="auto"/>
          <w:szCs w:val="24"/>
        </w:rPr>
        <w:t xml:space="preserve"> по-долу.</w:t>
      </w:r>
    </w:p>
    <w:p w14:paraId="0387B537" w14:textId="097F9C1D" w:rsidR="00E56BA8" w:rsidRPr="009F6D1E" w:rsidRDefault="00BA3843" w:rsidP="00BA3843">
      <w:pPr>
        <w:pStyle w:val="Caption"/>
        <w:rPr>
          <w:color w:val="auto"/>
        </w:rPr>
      </w:pPr>
      <w:bookmarkStart w:id="469" w:name="_Ref107173938"/>
      <w:bookmarkStart w:id="470" w:name="_Toc115255183"/>
      <w:r w:rsidRPr="009F6D1E">
        <w:rPr>
          <w:color w:val="auto"/>
        </w:rPr>
        <w:t xml:space="preserve">Таблица </w:t>
      </w:r>
      <w:r w:rsidR="003F3D71" w:rsidRPr="009F6D1E">
        <w:rPr>
          <w:color w:val="auto"/>
        </w:rPr>
        <w:fldChar w:fldCharType="begin"/>
      </w:r>
      <w:r w:rsidRPr="009F6D1E">
        <w:rPr>
          <w:color w:val="auto"/>
        </w:rPr>
        <w:instrText xml:space="preserve"> SEQ Таблица \* ARABIC </w:instrText>
      </w:r>
      <w:r w:rsidR="003F3D71" w:rsidRPr="009F6D1E">
        <w:rPr>
          <w:color w:val="auto"/>
        </w:rPr>
        <w:fldChar w:fldCharType="separate"/>
      </w:r>
      <w:r w:rsidR="00A43EF3">
        <w:rPr>
          <w:noProof/>
          <w:color w:val="auto"/>
        </w:rPr>
        <w:t>32</w:t>
      </w:r>
      <w:r w:rsidR="003F3D71" w:rsidRPr="009F6D1E">
        <w:rPr>
          <w:color w:val="auto"/>
        </w:rPr>
        <w:fldChar w:fldCharType="end"/>
      </w:r>
      <w:bookmarkEnd w:id="469"/>
      <w:r w:rsidRPr="009F6D1E">
        <w:rPr>
          <w:color w:val="auto"/>
        </w:rPr>
        <w:t xml:space="preserve">: </w:t>
      </w:r>
      <w:r w:rsidR="00E56BA8" w:rsidRPr="009F6D1E">
        <w:rPr>
          <w:color w:val="auto"/>
        </w:rPr>
        <w:t>Механично движение на населението през 2020 г. по области и пол* (брой)</w:t>
      </w:r>
      <w:bookmarkEnd w:id="470"/>
    </w:p>
    <w:tbl>
      <w:tblPr>
        <w:tblW w:w="0" w:type="auto"/>
        <w:jc w:val="center"/>
        <w:tblCellMar>
          <w:left w:w="70" w:type="dxa"/>
          <w:right w:w="70" w:type="dxa"/>
        </w:tblCellMar>
        <w:tblLook w:val="04A0" w:firstRow="1" w:lastRow="0" w:firstColumn="1" w:lastColumn="0" w:noHBand="0" w:noVBand="1"/>
      </w:tblPr>
      <w:tblGrid>
        <w:gridCol w:w="4291"/>
        <w:gridCol w:w="2019"/>
        <w:gridCol w:w="1654"/>
        <w:gridCol w:w="1654"/>
      </w:tblGrid>
      <w:tr w:rsidR="00BA3843" w:rsidRPr="009F6D1E" w14:paraId="603E3345" w14:textId="77777777" w:rsidTr="00981F7B">
        <w:trPr>
          <w:trHeight w:val="276"/>
          <w:tblHeader/>
          <w:jc w:val="center"/>
        </w:trPr>
        <w:tc>
          <w:tcPr>
            <w:tcW w:w="0" w:type="auto"/>
            <w:vMerge w:val="restart"/>
            <w:tcBorders>
              <w:top w:val="single" w:sz="8" w:space="0" w:color="969696"/>
              <w:left w:val="single" w:sz="8" w:space="0" w:color="969696"/>
              <w:right w:val="single" w:sz="8" w:space="0" w:color="969696"/>
            </w:tcBorders>
            <w:shd w:val="clear" w:color="auto" w:fill="D9D9D9" w:themeFill="background1" w:themeFillShade="D9"/>
            <w:noWrap/>
            <w:vAlign w:val="center"/>
            <w:hideMark/>
          </w:tcPr>
          <w:p w14:paraId="083FBB00"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Области</w:t>
            </w:r>
          </w:p>
        </w:tc>
        <w:tc>
          <w:tcPr>
            <w:tcW w:w="0" w:type="auto"/>
            <w:gridSpan w:val="3"/>
            <w:tcBorders>
              <w:top w:val="single" w:sz="8" w:space="0" w:color="969696"/>
              <w:left w:val="nil"/>
              <w:bottom w:val="single" w:sz="8" w:space="0" w:color="969696"/>
              <w:right w:val="single" w:sz="8" w:space="0" w:color="969696"/>
            </w:tcBorders>
            <w:shd w:val="clear" w:color="auto" w:fill="D9D9D9" w:themeFill="background1" w:themeFillShade="D9"/>
            <w:noWrap/>
            <w:vAlign w:val="center"/>
            <w:hideMark/>
          </w:tcPr>
          <w:p w14:paraId="0FF5B570"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Механичен прираст</w:t>
            </w:r>
          </w:p>
        </w:tc>
      </w:tr>
      <w:tr w:rsidR="00BA3843" w:rsidRPr="009F6D1E" w14:paraId="13B6ED3E" w14:textId="77777777" w:rsidTr="00981F7B">
        <w:trPr>
          <w:trHeight w:val="276"/>
          <w:tblHeader/>
          <w:jc w:val="center"/>
        </w:trPr>
        <w:tc>
          <w:tcPr>
            <w:tcW w:w="0" w:type="auto"/>
            <w:vMerge/>
            <w:tcBorders>
              <w:left w:val="single" w:sz="8" w:space="0" w:color="969696"/>
              <w:bottom w:val="single" w:sz="8" w:space="0" w:color="969696"/>
              <w:right w:val="single" w:sz="8" w:space="0" w:color="969696"/>
            </w:tcBorders>
            <w:shd w:val="clear" w:color="auto" w:fill="D9D9D9" w:themeFill="background1" w:themeFillShade="D9"/>
            <w:noWrap/>
            <w:vAlign w:val="center"/>
            <w:hideMark/>
          </w:tcPr>
          <w:p w14:paraId="4D41D700"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p>
        </w:tc>
        <w:tc>
          <w:tcPr>
            <w:tcW w:w="0" w:type="auto"/>
            <w:tcBorders>
              <w:top w:val="nil"/>
              <w:left w:val="nil"/>
              <w:bottom w:val="single" w:sz="8" w:space="0" w:color="969696"/>
              <w:right w:val="single" w:sz="8" w:space="0" w:color="969696"/>
            </w:tcBorders>
            <w:shd w:val="clear" w:color="auto" w:fill="D9D9D9" w:themeFill="background1" w:themeFillShade="D9"/>
            <w:noWrap/>
            <w:vAlign w:val="center"/>
            <w:hideMark/>
          </w:tcPr>
          <w:p w14:paraId="71E1FB48"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всичко</w:t>
            </w:r>
          </w:p>
        </w:tc>
        <w:tc>
          <w:tcPr>
            <w:tcW w:w="0" w:type="auto"/>
            <w:tcBorders>
              <w:top w:val="nil"/>
              <w:left w:val="nil"/>
              <w:bottom w:val="single" w:sz="8" w:space="0" w:color="969696"/>
              <w:right w:val="single" w:sz="8" w:space="0" w:color="969696"/>
            </w:tcBorders>
            <w:shd w:val="clear" w:color="auto" w:fill="D9D9D9" w:themeFill="background1" w:themeFillShade="D9"/>
            <w:noWrap/>
            <w:vAlign w:val="center"/>
            <w:hideMark/>
          </w:tcPr>
          <w:p w14:paraId="0571E2A9"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мъже</w:t>
            </w:r>
          </w:p>
        </w:tc>
        <w:tc>
          <w:tcPr>
            <w:tcW w:w="0" w:type="auto"/>
            <w:tcBorders>
              <w:top w:val="nil"/>
              <w:left w:val="nil"/>
              <w:bottom w:val="single" w:sz="8" w:space="0" w:color="969696"/>
              <w:right w:val="single" w:sz="8" w:space="0" w:color="969696"/>
            </w:tcBorders>
            <w:shd w:val="clear" w:color="auto" w:fill="D9D9D9" w:themeFill="background1" w:themeFillShade="D9"/>
            <w:noWrap/>
            <w:vAlign w:val="center"/>
            <w:hideMark/>
          </w:tcPr>
          <w:p w14:paraId="7D111747" w14:textId="77777777" w:rsidR="00E56BA8" w:rsidRPr="009F6D1E" w:rsidRDefault="00E56BA8" w:rsidP="0084747F">
            <w:pPr>
              <w:spacing w:after="60" w:line="264" w:lineRule="auto"/>
              <w:jc w:val="center"/>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жени</w:t>
            </w:r>
          </w:p>
        </w:tc>
      </w:tr>
      <w:tr w:rsidR="00BA3843" w:rsidRPr="009F6D1E" w14:paraId="747DDCC5"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6BB80D1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България</w:t>
            </w:r>
          </w:p>
        </w:tc>
        <w:tc>
          <w:tcPr>
            <w:tcW w:w="0" w:type="auto"/>
            <w:tcBorders>
              <w:top w:val="nil"/>
              <w:left w:val="nil"/>
              <w:bottom w:val="single" w:sz="8" w:space="0" w:color="969696"/>
              <w:right w:val="single" w:sz="8" w:space="0" w:color="969696"/>
            </w:tcBorders>
            <w:shd w:val="clear" w:color="auto" w:fill="auto"/>
            <w:noWrap/>
            <w:vAlign w:val="bottom"/>
            <w:hideMark/>
          </w:tcPr>
          <w:p w14:paraId="0EDBBDB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30715</w:t>
            </w:r>
          </w:p>
        </w:tc>
        <w:tc>
          <w:tcPr>
            <w:tcW w:w="0" w:type="auto"/>
            <w:tcBorders>
              <w:top w:val="nil"/>
              <w:left w:val="nil"/>
              <w:bottom w:val="single" w:sz="8" w:space="0" w:color="969696"/>
              <w:right w:val="single" w:sz="8" w:space="0" w:color="969696"/>
            </w:tcBorders>
            <w:shd w:val="clear" w:color="auto" w:fill="auto"/>
            <w:noWrap/>
            <w:vAlign w:val="bottom"/>
            <w:hideMark/>
          </w:tcPr>
          <w:p w14:paraId="1F0B027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15647</w:t>
            </w:r>
          </w:p>
        </w:tc>
        <w:tc>
          <w:tcPr>
            <w:tcW w:w="0" w:type="auto"/>
            <w:tcBorders>
              <w:top w:val="nil"/>
              <w:left w:val="nil"/>
              <w:bottom w:val="single" w:sz="8" w:space="0" w:color="969696"/>
              <w:right w:val="single" w:sz="8" w:space="0" w:color="969696"/>
            </w:tcBorders>
            <w:shd w:val="clear" w:color="auto" w:fill="auto"/>
            <w:noWrap/>
            <w:vAlign w:val="bottom"/>
            <w:hideMark/>
          </w:tcPr>
          <w:p w14:paraId="046A139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15068</w:t>
            </w:r>
          </w:p>
        </w:tc>
      </w:tr>
      <w:tr w:rsidR="00BA3843" w:rsidRPr="009F6D1E" w14:paraId="6A737AC4"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1B8B60C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Благоевград</w:t>
            </w:r>
          </w:p>
        </w:tc>
        <w:tc>
          <w:tcPr>
            <w:tcW w:w="0" w:type="auto"/>
            <w:tcBorders>
              <w:top w:val="nil"/>
              <w:left w:val="nil"/>
              <w:bottom w:val="single" w:sz="8" w:space="0" w:color="969696"/>
              <w:right w:val="single" w:sz="8" w:space="0" w:color="969696"/>
            </w:tcBorders>
            <w:shd w:val="clear" w:color="auto" w:fill="auto"/>
            <w:noWrap/>
            <w:vAlign w:val="bottom"/>
            <w:hideMark/>
          </w:tcPr>
          <w:p w14:paraId="4D0BE19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752</w:t>
            </w:r>
          </w:p>
        </w:tc>
        <w:tc>
          <w:tcPr>
            <w:tcW w:w="0" w:type="auto"/>
            <w:tcBorders>
              <w:top w:val="nil"/>
              <w:left w:val="nil"/>
              <w:bottom w:val="single" w:sz="8" w:space="0" w:color="969696"/>
              <w:right w:val="single" w:sz="8" w:space="0" w:color="969696"/>
            </w:tcBorders>
            <w:shd w:val="clear" w:color="auto" w:fill="auto"/>
            <w:noWrap/>
            <w:vAlign w:val="bottom"/>
            <w:hideMark/>
          </w:tcPr>
          <w:p w14:paraId="5BDA6C5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399</w:t>
            </w:r>
          </w:p>
        </w:tc>
        <w:tc>
          <w:tcPr>
            <w:tcW w:w="0" w:type="auto"/>
            <w:tcBorders>
              <w:top w:val="nil"/>
              <w:left w:val="nil"/>
              <w:bottom w:val="single" w:sz="8" w:space="0" w:color="969696"/>
              <w:right w:val="single" w:sz="8" w:space="0" w:color="969696"/>
            </w:tcBorders>
            <w:shd w:val="clear" w:color="auto" w:fill="auto"/>
            <w:noWrap/>
            <w:vAlign w:val="bottom"/>
            <w:hideMark/>
          </w:tcPr>
          <w:p w14:paraId="657C3E6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353</w:t>
            </w:r>
          </w:p>
        </w:tc>
      </w:tr>
      <w:tr w:rsidR="00BA3843" w:rsidRPr="009F6D1E" w14:paraId="119F5DBC"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6B39A09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Бургас</w:t>
            </w:r>
          </w:p>
        </w:tc>
        <w:tc>
          <w:tcPr>
            <w:tcW w:w="0" w:type="auto"/>
            <w:tcBorders>
              <w:top w:val="nil"/>
              <w:left w:val="nil"/>
              <w:bottom w:val="single" w:sz="8" w:space="0" w:color="969696"/>
              <w:right w:val="single" w:sz="8" w:space="0" w:color="969696"/>
            </w:tcBorders>
            <w:shd w:val="clear" w:color="auto" w:fill="auto"/>
            <w:noWrap/>
            <w:vAlign w:val="bottom"/>
            <w:hideMark/>
          </w:tcPr>
          <w:p w14:paraId="1CD3D16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3193</w:t>
            </w:r>
          </w:p>
        </w:tc>
        <w:tc>
          <w:tcPr>
            <w:tcW w:w="0" w:type="auto"/>
            <w:tcBorders>
              <w:top w:val="nil"/>
              <w:left w:val="nil"/>
              <w:bottom w:val="single" w:sz="8" w:space="0" w:color="969696"/>
              <w:right w:val="single" w:sz="8" w:space="0" w:color="969696"/>
            </w:tcBorders>
            <w:shd w:val="clear" w:color="auto" w:fill="auto"/>
            <w:noWrap/>
            <w:vAlign w:val="bottom"/>
            <w:hideMark/>
          </w:tcPr>
          <w:p w14:paraId="0515F82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1450</w:t>
            </w:r>
          </w:p>
        </w:tc>
        <w:tc>
          <w:tcPr>
            <w:tcW w:w="0" w:type="auto"/>
            <w:tcBorders>
              <w:top w:val="nil"/>
              <w:left w:val="nil"/>
              <w:bottom w:val="single" w:sz="8" w:space="0" w:color="969696"/>
              <w:right w:val="single" w:sz="8" w:space="0" w:color="969696"/>
            </w:tcBorders>
            <w:shd w:val="clear" w:color="auto" w:fill="auto"/>
            <w:noWrap/>
            <w:vAlign w:val="bottom"/>
            <w:hideMark/>
          </w:tcPr>
          <w:p w14:paraId="36DE84F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1743</w:t>
            </w:r>
          </w:p>
        </w:tc>
      </w:tr>
      <w:tr w:rsidR="00BA3843" w:rsidRPr="009F6D1E" w14:paraId="55E423CF"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29DBA7A6"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Варна</w:t>
            </w:r>
          </w:p>
        </w:tc>
        <w:tc>
          <w:tcPr>
            <w:tcW w:w="0" w:type="auto"/>
            <w:tcBorders>
              <w:top w:val="nil"/>
              <w:left w:val="nil"/>
              <w:bottom w:val="single" w:sz="8" w:space="0" w:color="969696"/>
              <w:right w:val="single" w:sz="8" w:space="0" w:color="969696"/>
            </w:tcBorders>
            <w:shd w:val="clear" w:color="auto" w:fill="auto"/>
            <w:noWrap/>
            <w:vAlign w:val="bottom"/>
            <w:hideMark/>
          </w:tcPr>
          <w:p w14:paraId="6ABB678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2950</w:t>
            </w:r>
          </w:p>
        </w:tc>
        <w:tc>
          <w:tcPr>
            <w:tcW w:w="0" w:type="auto"/>
            <w:tcBorders>
              <w:top w:val="nil"/>
              <w:left w:val="nil"/>
              <w:bottom w:val="single" w:sz="8" w:space="0" w:color="969696"/>
              <w:right w:val="single" w:sz="8" w:space="0" w:color="969696"/>
            </w:tcBorders>
            <w:shd w:val="clear" w:color="auto" w:fill="auto"/>
            <w:noWrap/>
            <w:vAlign w:val="bottom"/>
            <w:hideMark/>
          </w:tcPr>
          <w:p w14:paraId="328009F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1382</w:t>
            </w:r>
          </w:p>
        </w:tc>
        <w:tc>
          <w:tcPr>
            <w:tcW w:w="0" w:type="auto"/>
            <w:tcBorders>
              <w:top w:val="nil"/>
              <w:left w:val="nil"/>
              <w:bottom w:val="single" w:sz="8" w:space="0" w:color="969696"/>
              <w:right w:val="single" w:sz="8" w:space="0" w:color="969696"/>
            </w:tcBorders>
            <w:shd w:val="clear" w:color="auto" w:fill="auto"/>
            <w:noWrap/>
            <w:vAlign w:val="bottom"/>
            <w:hideMark/>
          </w:tcPr>
          <w:p w14:paraId="750B846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1568</w:t>
            </w:r>
          </w:p>
        </w:tc>
      </w:tr>
      <w:tr w:rsidR="00BA3843" w:rsidRPr="009F6D1E" w14:paraId="5BB93218"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2C3EB0B7"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Велико Търново</w:t>
            </w:r>
          </w:p>
        </w:tc>
        <w:tc>
          <w:tcPr>
            <w:tcW w:w="0" w:type="auto"/>
            <w:tcBorders>
              <w:top w:val="nil"/>
              <w:left w:val="nil"/>
              <w:bottom w:val="single" w:sz="8" w:space="0" w:color="969696"/>
              <w:right w:val="single" w:sz="8" w:space="0" w:color="969696"/>
            </w:tcBorders>
            <w:shd w:val="clear" w:color="auto" w:fill="auto"/>
            <w:noWrap/>
            <w:vAlign w:val="bottom"/>
            <w:hideMark/>
          </w:tcPr>
          <w:p w14:paraId="7C0E214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w:t>
            </w:r>
          </w:p>
        </w:tc>
        <w:tc>
          <w:tcPr>
            <w:tcW w:w="0" w:type="auto"/>
            <w:tcBorders>
              <w:top w:val="nil"/>
              <w:left w:val="nil"/>
              <w:bottom w:val="single" w:sz="8" w:space="0" w:color="969696"/>
              <w:right w:val="single" w:sz="8" w:space="0" w:color="969696"/>
            </w:tcBorders>
            <w:shd w:val="clear" w:color="auto" w:fill="auto"/>
            <w:noWrap/>
            <w:vAlign w:val="bottom"/>
            <w:hideMark/>
          </w:tcPr>
          <w:p w14:paraId="451EFDC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w:t>
            </w:r>
          </w:p>
        </w:tc>
        <w:tc>
          <w:tcPr>
            <w:tcW w:w="0" w:type="auto"/>
            <w:tcBorders>
              <w:top w:val="nil"/>
              <w:left w:val="nil"/>
              <w:bottom w:val="single" w:sz="8" w:space="0" w:color="969696"/>
              <w:right w:val="single" w:sz="8" w:space="0" w:color="969696"/>
            </w:tcBorders>
            <w:shd w:val="clear" w:color="auto" w:fill="auto"/>
            <w:noWrap/>
            <w:vAlign w:val="bottom"/>
            <w:hideMark/>
          </w:tcPr>
          <w:p w14:paraId="50FB820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w:t>
            </w:r>
          </w:p>
        </w:tc>
      </w:tr>
      <w:tr w:rsidR="00BA3843" w:rsidRPr="009F6D1E" w14:paraId="7E7180D4"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6AC3A8D8"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Видин</w:t>
            </w:r>
          </w:p>
        </w:tc>
        <w:tc>
          <w:tcPr>
            <w:tcW w:w="0" w:type="auto"/>
            <w:tcBorders>
              <w:top w:val="nil"/>
              <w:left w:val="nil"/>
              <w:bottom w:val="single" w:sz="8" w:space="0" w:color="969696"/>
              <w:right w:val="single" w:sz="8" w:space="0" w:color="969696"/>
            </w:tcBorders>
            <w:shd w:val="clear" w:color="auto" w:fill="auto"/>
            <w:noWrap/>
            <w:vAlign w:val="bottom"/>
            <w:hideMark/>
          </w:tcPr>
          <w:p w14:paraId="6F31566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173</w:t>
            </w:r>
          </w:p>
        </w:tc>
        <w:tc>
          <w:tcPr>
            <w:tcW w:w="0" w:type="auto"/>
            <w:tcBorders>
              <w:top w:val="nil"/>
              <w:left w:val="nil"/>
              <w:bottom w:val="single" w:sz="8" w:space="0" w:color="969696"/>
              <w:right w:val="single" w:sz="8" w:space="0" w:color="969696"/>
            </w:tcBorders>
            <w:shd w:val="clear" w:color="auto" w:fill="auto"/>
            <w:noWrap/>
            <w:vAlign w:val="bottom"/>
            <w:hideMark/>
          </w:tcPr>
          <w:p w14:paraId="52CCE23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49</w:t>
            </w:r>
          </w:p>
        </w:tc>
        <w:tc>
          <w:tcPr>
            <w:tcW w:w="0" w:type="auto"/>
            <w:tcBorders>
              <w:top w:val="nil"/>
              <w:left w:val="nil"/>
              <w:bottom w:val="single" w:sz="8" w:space="0" w:color="969696"/>
              <w:right w:val="single" w:sz="8" w:space="0" w:color="969696"/>
            </w:tcBorders>
            <w:shd w:val="clear" w:color="auto" w:fill="auto"/>
            <w:noWrap/>
            <w:vAlign w:val="bottom"/>
            <w:hideMark/>
          </w:tcPr>
          <w:p w14:paraId="190F63B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124</w:t>
            </w:r>
          </w:p>
        </w:tc>
      </w:tr>
      <w:tr w:rsidR="00BA3843" w:rsidRPr="009F6D1E" w14:paraId="682BBCD3"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63682FF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Враца</w:t>
            </w:r>
          </w:p>
        </w:tc>
        <w:tc>
          <w:tcPr>
            <w:tcW w:w="0" w:type="auto"/>
            <w:tcBorders>
              <w:top w:val="nil"/>
              <w:left w:val="nil"/>
              <w:bottom w:val="single" w:sz="8" w:space="0" w:color="969696"/>
              <w:right w:val="single" w:sz="8" w:space="0" w:color="969696"/>
            </w:tcBorders>
            <w:shd w:val="clear" w:color="auto" w:fill="auto"/>
            <w:noWrap/>
            <w:vAlign w:val="bottom"/>
            <w:hideMark/>
          </w:tcPr>
          <w:p w14:paraId="2F03EBD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372</w:t>
            </w:r>
          </w:p>
        </w:tc>
        <w:tc>
          <w:tcPr>
            <w:tcW w:w="0" w:type="auto"/>
            <w:tcBorders>
              <w:top w:val="nil"/>
              <w:left w:val="nil"/>
              <w:bottom w:val="single" w:sz="8" w:space="0" w:color="969696"/>
              <w:right w:val="single" w:sz="8" w:space="0" w:color="969696"/>
            </w:tcBorders>
            <w:shd w:val="clear" w:color="auto" w:fill="auto"/>
            <w:noWrap/>
            <w:vAlign w:val="bottom"/>
            <w:hideMark/>
          </w:tcPr>
          <w:p w14:paraId="447AA4C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190</w:t>
            </w:r>
          </w:p>
        </w:tc>
        <w:tc>
          <w:tcPr>
            <w:tcW w:w="0" w:type="auto"/>
            <w:tcBorders>
              <w:top w:val="nil"/>
              <w:left w:val="nil"/>
              <w:bottom w:val="single" w:sz="8" w:space="0" w:color="969696"/>
              <w:right w:val="single" w:sz="8" w:space="0" w:color="969696"/>
            </w:tcBorders>
            <w:shd w:val="clear" w:color="auto" w:fill="auto"/>
            <w:noWrap/>
            <w:vAlign w:val="bottom"/>
            <w:hideMark/>
          </w:tcPr>
          <w:p w14:paraId="300FC60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182</w:t>
            </w:r>
          </w:p>
        </w:tc>
      </w:tr>
      <w:tr w:rsidR="00BA3843" w:rsidRPr="009F6D1E" w14:paraId="299F2388"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0F7C7C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Габрово</w:t>
            </w:r>
          </w:p>
        </w:tc>
        <w:tc>
          <w:tcPr>
            <w:tcW w:w="0" w:type="auto"/>
            <w:tcBorders>
              <w:top w:val="nil"/>
              <w:left w:val="nil"/>
              <w:bottom w:val="single" w:sz="8" w:space="0" w:color="969696"/>
              <w:right w:val="single" w:sz="8" w:space="0" w:color="969696"/>
            </w:tcBorders>
            <w:shd w:val="clear" w:color="auto" w:fill="auto"/>
            <w:noWrap/>
            <w:vAlign w:val="bottom"/>
            <w:hideMark/>
          </w:tcPr>
          <w:p w14:paraId="6CB861C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1112</w:t>
            </w:r>
          </w:p>
        </w:tc>
        <w:tc>
          <w:tcPr>
            <w:tcW w:w="0" w:type="auto"/>
            <w:tcBorders>
              <w:top w:val="nil"/>
              <w:left w:val="nil"/>
              <w:bottom w:val="single" w:sz="8" w:space="0" w:color="969696"/>
              <w:right w:val="single" w:sz="8" w:space="0" w:color="969696"/>
            </w:tcBorders>
            <w:shd w:val="clear" w:color="auto" w:fill="auto"/>
            <w:noWrap/>
            <w:vAlign w:val="bottom"/>
            <w:hideMark/>
          </w:tcPr>
          <w:p w14:paraId="788B0D2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564</w:t>
            </w:r>
          </w:p>
        </w:tc>
        <w:tc>
          <w:tcPr>
            <w:tcW w:w="0" w:type="auto"/>
            <w:tcBorders>
              <w:top w:val="nil"/>
              <w:left w:val="nil"/>
              <w:bottom w:val="single" w:sz="8" w:space="0" w:color="969696"/>
              <w:right w:val="single" w:sz="8" w:space="0" w:color="969696"/>
            </w:tcBorders>
            <w:shd w:val="clear" w:color="auto" w:fill="auto"/>
            <w:noWrap/>
            <w:vAlign w:val="bottom"/>
            <w:hideMark/>
          </w:tcPr>
          <w:p w14:paraId="09840AC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548</w:t>
            </w:r>
          </w:p>
        </w:tc>
      </w:tr>
      <w:tr w:rsidR="00BA3843" w:rsidRPr="009F6D1E" w14:paraId="550F9807"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5922CFB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Добрич</w:t>
            </w:r>
          </w:p>
        </w:tc>
        <w:tc>
          <w:tcPr>
            <w:tcW w:w="0" w:type="auto"/>
            <w:tcBorders>
              <w:top w:val="nil"/>
              <w:left w:val="nil"/>
              <w:bottom w:val="single" w:sz="8" w:space="0" w:color="969696"/>
              <w:right w:val="single" w:sz="8" w:space="0" w:color="969696"/>
            </w:tcBorders>
            <w:shd w:val="clear" w:color="auto" w:fill="auto"/>
            <w:noWrap/>
            <w:vAlign w:val="bottom"/>
            <w:hideMark/>
          </w:tcPr>
          <w:p w14:paraId="2787082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527</w:t>
            </w:r>
          </w:p>
        </w:tc>
        <w:tc>
          <w:tcPr>
            <w:tcW w:w="0" w:type="auto"/>
            <w:tcBorders>
              <w:top w:val="nil"/>
              <w:left w:val="nil"/>
              <w:bottom w:val="single" w:sz="8" w:space="0" w:color="969696"/>
              <w:right w:val="single" w:sz="8" w:space="0" w:color="969696"/>
            </w:tcBorders>
            <w:shd w:val="clear" w:color="auto" w:fill="auto"/>
            <w:noWrap/>
            <w:vAlign w:val="bottom"/>
            <w:hideMark/>
          </w:tcPr>
          <w:p w14:paraId="025193B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249</w:t>
            </w:r>
          </w:p>
        </w:tc>
        <w:tc>
          <w:tcPr>
            <w:tcW w:w="0" w:type="auto"/>
            <w:tcBorders>
              <w:top w:val="nil"/>
              <w:left w:val="nil"/>
              <w:bottom w:val="single" w:sz="8" w:space="0" w:color="969696"/>
              <w:right w:val="single" w:sz="8" w:space="0" w:color="969696"/>
            </w:tcBorders>
            <w:shd w:val="clear" w:color="auto" w:fill="auto"/>
            <w:noWrap/>
            <w:vAlign w:val="bottom"/>
            <w:hideMark/>
          </w:tcPr>
          <w:p w14:paraId="0E9DC15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278</w:t>
            </w:r>
          </w:p>
        </w:tc>
      </w:tr>
      <w:tr w:rsidR="00BA3843" w:rsidRPr="009F6D1E" w14:paraId="730C148D"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52481876"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Кърджали</w:t>
            </w:r>
          </w:p>
        </w:tc>
        <w:tc>
          <w:tcPr>
            <w:tcW w:w="0" w:type="auto"/>
            <w:tcBorders>
              <w:top w:val="nil"/>
              <w:left w:val="nil"/>
              <w:bottom w:val="single" w:sz="8" w:space="0" w:color="969696"/>
              <w:right w:val="single" w:sz="8" w:space="0" w:color="969696"/>
            </w:tcBorders>
            <w:shd w:val="clear" w:color="auto" w:fill="auto"/>
            <w:noWrap/>
            <w:vAlign w:val="bottom"/>
            <w:hideMark/>
          </w:tcPr>
          <w:p w14:paraId="32DF517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3696</w:t>
            </w:r>
          </w:p>
        </w:tc>
        <w:tc>
          <w:tcPr>
            <w:tcW w:w="0" w:type="auto"/>
            <w:tcBorders>
              <w:top w:val="nil"/>
              <w:left w:val="nil"/>
              <w:bottom w:val="single" w:sz="8" w:space="0" w:color="969696"/>
              <w:right w:val="single" w:sz="8" w:space="0" w:color="969696"/>
            </w:tcBorders>
            <w:shd w:val="clear" w:color="auto" w:fill="auto"/>
            <w:noWrap/>
            <w:vAlign w:val="bottom"/>
            <w:hideMark/>
          </w:tcPr>
          <w:p w14:paraId="3C46147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1939</w:t>
            </w:r>
          </w:p>
        </w:tc>
        <w:tc>
          <w:tcPr>
            <w:tcW w:w="0" w:type="auto"/>
            <w:tcBorders>
              <w:top w:val="nil"/>
              <w:left w:val="nil"/>
              <w:bottom w:val="single" w:sz="8" w:space="0" w:color="969696"/>
              <w:right w:val="single" w:sz="8" w:space="0" w:color="969696"/>
            </w:tcBorders>
            <w:shd w:val="clear" w:color="auto" w:fill="auto"/>
            <w:noWrap/>
            <w:vAlign w:val="bottom"/>
            <w:hideMark/>
          </w:tcPr>
          <w:p w14:paraId="678BA37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1757</w:t>
            </w:r>
          </w:p>
        </w:tc>
      </w:tr>
      <w:tr w:rsidR="00BA3843" w:rsidRPr="009F6D1E" w14:paraId="098D912D"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317D6820"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lastRenderedPageBreak/>
              <w:t>Кюстендил</w:t>
            </w:r>
          </w:p>
        </w:tc>
        <w:tc>
          <w:tcPr>
            <w:tcW w:w="0" w:type="auto"/>
            <w:tcBorders>
              <w:top w:val="nil"/>
              <w:left w:val="nil"/>
              <w:bottom w:val="single" w:sz="8" w:space="0" w:color="969696"/>
              <w:right w:val="single" w:sz="8" w:space="0" w:color="969696"/>
            </w:tcBorders>
            <w:shd w:val="clear" w:color="auto" w:fill="auto"/>
            <w:noWrap/>
            <w:vAlign w:val="bottom"/>
            <w:hideMark/>
          </w:tcPr>
          <w:p w14:paraId="331053B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1718</w:t>
            </w:r>
          </w:p>
        </w:tc>
        <w:tc>
          <w:tcPr>
            <w:tcW w:w="0" w:type="auto"/>
            <w:tcBorders>
              <w:top w:val="nil"/>
              <w:left w:val="nil"/>
              <w:bottom w:val="single" w:sz="8" w:space="0" w:color="969696"/>
              <w:right w:val="single" w:sz="8" w:space="0" w:color="969696"/>
            </w:tcBorders>
            <w:shd w:val="clear" w:color="auto" w:fill="auto"/>
            <w:noWrap/>
            <w:vAlign w:val="bottom"/>
            <w:hideMark/>
          </w:tcPr>
          <w:p w14:paraId="14676C6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858</w:t>
            </w:r>
          </w:p>
        </w:tc>
        <w:tc>
          <w:tcPr>
            <w:tcW w:w="0" w:type="auto"/>
            <w:tcBorders>
              <w:top w:val="nil"/>
              <w:left w:val="nil"/>
              <w:bottom w:val="single" w:sz="8" w:space="0" w:color="969696"/>
              <w:right w:val="single" w:sz="8" w:space="0" w:color="969696"/>
            </w:tcBorders>
            <w:shd w:val="clear" w:color="auto" w:fill="auto"/>
            <w:noWrap/>
            <w:vAlign w:val="bottom"/>
            <w:hideMark/>
          </w:tcPr>
          <w:p w14:paraId="5EB60FE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860</w:t>
            </w:r>
          </w:p>
        </w:tc>
      </w:tr>
      <w:tr w:rsidR="00BA3843" w:rsidRPr="009F6D1E" w14:paraId="224639D0"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170726E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Ловеч</w:t>
            </w:r>
          </w:p>
        </w:tc>
        <w:tc>
          <w:tcPr>
            <w:tcW w:w="0" w:type="auto"/>
            <w:tcBorders>
              <w:top w:val="nil"/>
              <w:left w:val="nil"/>
              <w:bottom w:val="single" w:sz="8" w:space="0" w:color="969696"/>
              <w:right w:val="single" w:sz="8" w:space="0" w:color="969696"/>
            </w:tcBorders>
            <w:shd w:val="clear" w:color="auto" w:fill="auto"/>
            <w:noWrap/>
            <w:vAlign w:val="bottom"/>
            <w:hideMark/>
          </w:tcPr>
          <w:p w14:paraId="086CC85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1716</w:t>
            </w:r>
          </w:p>
        </w:tc>
        <w:tc>
          <w:tcPr>
            <w:tcW w:w="0" w:type="auto"/>
            <w:tcBorders>
              <w:top w:val="nil"/>
              <w:left w:val="nil"/>
              <w:bottom w:val="single" w:sz="8" w:space="0" w:color="969696"/>
              <w:right w:val="single" w:sz="8" w:space="0" w:color="969696"/>
            </w:tcBorders>
            <w:shd w:val="clear" w:color="auto" w:fill="auto"/>
            <w:noWrap/>
            <w:vAlign w:val="bottom"/>
            <w:hideMark/>
          </w:tcPr>
          <w:p w14:paraId="504F33B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881</w:t>
            </w:r>
          </w:p>
        </w:tc>
        <w:tc>
          <w:tcPr>
            <w:tcW w:w="0" w:type="auto"/>
            <w:tcBorders>
              <w:top w:val="nil"/>
              <w:left w:val="nil"/>
              <w:bottom w:val="single" w:sz="8" w:space="0" w:color="969696"/>
              <w:right w:val="single" w:sz="8" w:space="0" w:color="969696"/>
            </w:tcBorders>
            <w:shd w:val="clear" w:color="auto" w:fill="auto"/>
            <w:noWrap/>
            <w:vAlign w:val="bottom"/>
            <w:hideMark/>
          </w:tcPr>
          <w:p w14:paraId="098083A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835</w:t>
            </w:r>
          </w:p>
        </w:tc>
      </w:tr>
      <w:tr w:rsidR="00BA3843" w:rsidRPr="009F6D1E" w14:paraId="223756F1"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B24AC3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Монтана</w:t>
            </w:r>
          </w:p>
        </w:tc>
        <w:tc>
          <w:tcPr>
            <w:tcW w:w="0" w:type="auto"/>
            <w:tcBorders>
              <w:top w:val="nil"/>
              <w:left w:val="nil"/>
              <w:bottom w:val="single" w:sz="8" w:space="0" w:color="969696"/>
              <w:right w:val="single" w:sz="8" w:space="0" w:color="969696"/>
            </w:tcBorders>
            <w:shd w:val="clear" w:color="auto" w:fill="auto"/>
            <w:noWrap/>
            <w:vAlign w:val="bottom"/>
            <w:hideMark/>
          </w:tcPr>
          <w:p w14:paraId="48F08B8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687</w:t>
            </w:r>
          </w:p>
        </w:tc>
        <w:tc>
          <w:tcPr>
            <w:tcW w:w="0" w:type="auto"/>
            <w:tcBorders>
              <w:top w:val="nil"/>
              <w:left w:val="nil"/>
              <w:bottom w:val="single" w:sz="8" w:space="0" w:color="969696"/>
              <w:right w:val="single" w:sz="8" w:space="0" w:color="969696"/>
            </w:tcBorders>
            <w:shd w:val="clear" w:color="auto" w:fill="auto"/>
            <w:noWrap/>
            <w:vAlign w:val="bottom"/>
            <w:hideMark/>
          </w:tcPr>
          <w:p w14:paraId="4F25C57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340</w:t>
            </w:r>
          </w:p>
        </w:tc>
        <w:tc>
          <w:tcPr>
            <w:tcW w:w="0" w:type="auto"/>
            <w:tcBorders>
              <w:top w:val="nil"/>
              <w:left w:val="nil"/>
              <w:bottom w:val="single" w:sz="8" w:space="0" w:color="969696"/>
              <w:right w:val="single" w:sz="8" w:space="0" w:color="969696"/>
            </w:tcBorders>
            <w:shd w:val="clear" w:color="auto" w:fill="auto"/>
            <w:noWrap/>
            <w:vAlign w:val="bottom"/>
            <w:hideMark/>
          </w:tcPr>
          <w:p w14:paraId="77160128"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347</w:t>
            </w:r>
          </w:p>
        </w:tc>
      </w:tr>
      <w:tr w:rsidR="00BA3843" w:rsidRPr="009F6D1E" w14:paraId="34D20F69"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400F155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Пазарджик</w:t>
            </w:r>
          </w:p>
        </w:tc>
        <w:tc>
          <w:tcPr>
            <w:tcW w:w="0" w:type="auto"/>
            <w:tcBorders>
              <w:top w:val="nil"/>
              <w:left w:val="nil"/>
              <w:bottom w:val="single" w:sz="8" w:space="0" w:color="969696"/>
              <w:right w:val="single" w:sz="8" w:space="0" w:color="969696"/>
            </w:tcBorders>
            <w:shd w:val="clear" w:color="auto" w:fill="auto"/>
            <w:noWrap/>
            <w:vAlign w:val="bottom"/>
            <w:hideMark/>
          </w:tcPr>
          <w:p w14:paraId="1DB1C65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1208</w:t>
            </w:r>
          </w:p>
        </w:tc>
        <w:tc>
          <w:tcPr>
            <w:tcW w:w="0" w:type="auto"/>
            <w:tcBorders>
              <w:top w:val="nil"/>
              <w:left w:val="nil"/>
              <w:bottom w:val="single" w:sz="8" w:space="0" w:color="969696"/>
              <w:right w:val="single" w:sz="8" w:space="0" w:color="969696"/>
            </w:tcBorders>
            <w:shd w:val="clear" w:color="auto" w:fill="auto"/>
            <w:noWrap/>
            <w:vAlign w:val="bottom"/>
            <w:hideMark/>
          </w:tcPr>
          <w:p w14:paraId="4813432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561</w:t>
            </w:r>
          </w:p>
        </w:tc>
        <w:tc>
          <w:tcPr>
            <w:tcW w:w="0" w:type="auto"/>
            <w:tcBorders>
              <w:top w:val="nil"/>
              <w:left w:val="nil"/>
              <w:bottom w:val="single" w:sz="8" w:space="0" w:color="969696"/>
              <w:right w:val="single" w:sz="8" w:space="0" w:color="969696"/>
            </w:tcBorders>
            <w:shd w:val="clear" w:color="auto" w:fill="auto"/>
            <w:noWrap/>
            <w:vAlign w:val="bottom"/>
            <w:hideMark/>
          </w:tcPr>
          <w:p w14:paraId="26054FC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647</w:t>
            </w:r>
          </w:p>
        </w:tc>
      </w:tr>
      <w:tr w:rsidR="00BA3843" w:rsidRPr="009F6D1E" w14:paraId="125A34CB"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9A5F69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Перник</w:t>
            </w:r>
          </w:p>
        </w:tc>
        <w:tc>
          <w:tcPr>
            <w:tcW w:w="0" w:type="auto"/>
            <w:tcBorders>
              <w:top w:val="nil"/>
              <w:left w:val="nil"/>
              <w:bottom w:val="single" w:sz="8" w:space="0" w:color="969696"/>
              <w:right w:val="single" w:sz="8" w:space="0" w:color="969696"/>
            </w:tcBorders>
            <w:shd w:val="clear" w:color="auto" w:fill="auto"/>
            <w:noWrap/>
            <w:vAlign w:val="bottom"/>
            <w:hideMark/>
          </w:tcPr>
          <w:p w14:paraId="6EF33CE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3188</w:t>
            </w:r>
          </w:p>
        </w:tc>
        <w:tc>
          <w:tcPr>
            <w:tcW w:w="0" w:type="auto"/>
            <w:tcBorders>
              <w:top w:val="nil"/>
              <w:left w:val="nil"/>
              <w:bottom w:val="single" w:sz="8" w:space="0" w:color="969696"/>
              <w:right w:val="single" w:sz="8" w:space="0" w:color="969696"/>
            </w:tcBorders>
            <w:shd w:val="clear" w:color="auto" w:fill="auto"/>
            <w:noWrap/>
            <w:vAlign w:val="bottom"/>
            <w:hideMark/>
          </w:tcPr>
          <w:p w14:paraId="04744F9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1705</w:t>
            </w:r>
          </w:p>
        </w:tc>
        <w:tc>
          <w:tcPr>
            <w:tcW w:w="0" w:type="auto"/>
            <w:tcBorders>
              <w:top w:val="nil"/>
              <w:left w:val="nil"/>
              <w:bottom w:val="single" w:sz="8" w:space="0" w:color="969696"/>
              <w:right w:val="single" w:sz="8" w:space="0" w:color="969696"/>
            </w:tcBorders>
            <w:shd w:val="clear" w:color="auto" w:fill="auto"/>
            <w:noWrap/>
            <w:vAlign w:val="bottom"/>
            <w:hideMark/>
          </w:tcPr>
          <w:p w14:paraId="7D1E66C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1483</w:t>
            </w:r>
          </w:p>
        </w:tc>
      </w:tr>
      <w:tr w:rsidR="00BA3843" w:rsidRPr="009F6D1E" w14:paraId="5A241453"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29A8085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Плевен</w:t>
            </w:r>
          </w:p>
        </w:tc>
        <w:tc>
          <w:tcPr>
            <w:tcW w:w="0" w:type="auto"/>
            <w:tcBorders>
              <w:top w:val="nil"/>
              <w:left w:val="nil"/>
              <w:bottom w:val="single" w:sz="8" w:space="0" w:color="969696"/>
              <w:right w:val="single" w:sz="8" w:space="0" w:color="969696"/>
            </w:tcBorders>
            <w:shd w:val="clear" w:color="auto" w:fill="auto"/>
            <w:noWrap/>
            <w:vAlign w:val="bottom"/>
            <w:hideMark/>
          </w:tcPr>
          <w:p w14:paraId="2E53EA9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310</w:t>
            </w:r>
          </w:p>
        </w:tc>
        <w:tc>
          <w:tcPr>
            <w:tcW w:w="0" w:type="auto"/>
            <w:tcBorders>
              <w:top w:val="nil"/>
              <w:left w:val="nil"/>
              <w:bottom w:val="single" w:sz="8" w:space="0" w:color="969696"/>
              <w:right w:val="single" w:sz="8" w:space="0" w:color="969696"/>
            </w:tcBorders>
            <w:shd w:val="clear" w:color="auto" w:fill="auto"/>
            <w:noWrap/>
            <w:vAlign w:val="bottom"/>
            <w:hideMark/>
          </w:tcPr>
          <w:p w14:paraId="645B4A3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66</w:t>
            </w:r>
          </w:p>
        </w:tc>
        <w:tc>
          <w:tcPr>
            <w:tcW w:w="0" w:type="auto"/>
            <w:tcBorders>
              <w:top w:val="nil"/>
              <w:left w:val="nil"/>
              <w:bottom w:val="single" w:sz="8" w:space="0" w:color="969696"/>
              <w:right w:val="single" w:sz="8" w:space="0" w:color="969696"/>
            </w:tcBorders>
            <w:shd w:val="clear" w:color="auto" w:fill="auto"/>
            <w:noWrap/>
            <w:vAlign w:val="bottom"/>
            <w:hideMark/>
          </w:tcPr>
          <w:p w14:paraId="1D3A218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244</w:t>
            </w:r>
          </w:p>
        </w:tc>
      </w:tr>
      <w:tr w:rsidR="00BA3843" w:rsidRPr="009F6D1E" w14:paraId="0CA70FD7"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352C926A"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Пловдив</w:t>
            </w:r>
          </w:p>
        </w:tc>
        <w:tc>
          <w:tcPr>
            <w:tcW w:w="0" w:type="auto"/>
            <w:tcBorders>
              <w:top w:val="nil"/>
              <w:left w:val="nil"/>
              <w:bottom w:val="single" w:sz="8" w:space="0" w:color="969696"/>
              <w:right w:val="single" w:sz="8" w:space="0" w:color="969696"/>
            </w:tcBorders>
            <w:shd w:val="clear" w:color="auto" w:fill="auto"/>
            <w:noWrap/>
            <w:vAlign w:val="bottom"/>
            <w:hideMark/>
          </w:tcPr>
          <w:p w14:paraId="09F9B35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5104</w:t>
            </w:r>
          </w:p>
        </w:tc>
        <w:tc>
          <w:tcPr>
            <w:tcW w:w="0" w:type="auto"/>
            <w:tcBorders>
              <w:top w:val="nil"/>
              <w:left w:val="nil"/>
              <w:bottom w:val="single" w:sz="8" w:space="0" w:color="969696"/>
              <w:right w:val="single" w:sz="8" w:space="0" w:color="969696"/>
            </w:tcBorders>
            <w:shd w:val="clear" w:color="auto" w:fill="auto"/>
            <w:noWrap/>
            <w:vAlign w:val="bottom"/>
            <w:hideMark/>
          </w:tcPr>
          <w:p w14:paraId="4B60F6D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2627</w:t>
            </w:r>
          </w:p>
        </w:tc>
        <w:tc>
          <w:tcPr>
            <w:tcW w:w="0" w:type="auto"/>
            <w:tcBorders>
              <w:top w:val="nil"/>
              <w:left w:val="nil"/>
              <w:bottom w:val="single" w:sz="8" w:space="0" w:color="969696"/>
              <w:right w:val="single" w:sz="8" w:space="0" w:color="969696"/>
            </w:tcBorders>
            <w:shd w:val="clear" w:color="auto" w:fill="auto"/>
            <w:noWrap/>
            <w:vAlign w:val="bottom"/>
            <w:hideMark/>
          </w:tcPr>
          <w:p w14:paraId="61EAED8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2477</w:t>
            </w:r>
          </w:p>
        </w:tc>
      </w:tr>
      <w:tr w:rsidR="00BA3843" w:rsidRPr="009F6D1E" w14:paraId="054BC237"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00175CA3"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Разград</w:t>
            </w:r>
          </w:p>
        </w:tc>
        <w:tc>
          <w:tcPr>
            <w:tcW w:w="0" w:type="auto"/>
            <w:tcBorders>
              <w:top w:val="nil"/>
              <w:left w:val="nil"/>
              <w:bottom w:val="single" w:sz="8" w:space="0" w:color="969696"/>
              <w:right w:val="single" w:sz="8" w:space="0" w:color="969696"/>
            </w:tcBorders>
            <w:shd w:val="clear" w:color="auto" w:fill="auto"/>
            <w:noWrap/>
            <w:vAlign w:val="bottom"/>
            <w:hideMark/>
          </w:tcPr>
          <w:p w14:paraId="1B498F2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585</w:t>
            </w:r>
          </w:p>
        </w:tc>
        <w:tc>
          <w:tcPr>
            <w:tcW w:w="0" w:type="auto"/>
            <w:tcBorders>
              <w:top w:val="nil"/>
              <w:left w:val="nil"/>
              <w:bottom w:val="single" w:sz="8" w:space="0" w:color="969696"/>
              <w:right w:val="single" w:sz="8" w:space="0" w:color="969696"/>
            </w:tcBorders>
            <w:shd w:val="clear" w:color="auto" w:fill="auto"/>
            <w:noWrap/>
            <w:vAlign w:val="bottom"/>
            <w:hideMark/>
          </w:tcPr>
          <w:p w14:paraId="70060FB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296</w:t>
            </w:r>
          </w:p>
        </w:tc>
        <w:tc>
          <w:tcPr>
            <w:tcW w:w="0" w:type="auto"/>
            <w:tcBorders>
              <w:top w:val="nil"/>
              <w:left w:val="nil"/>
              <w:bottom w:val="single" w:sz="8" w:space="0" w:color="969696"/>
              <w:right w:val="single" w:sz="8" w:space="0" w:color="969696"/>
            </w:tcBorders>
            <w:shd w:val="clear" w:color="auto" w:fill="auto"/>
            <w:noWrap/>
            <w:vAlign w:val="bottom"/>
            <w:hideMark/>
          </w:tcPr>
          <w:p w14:paraId="339564E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289</w:t>
            </w:r>
          </w:p>
        </w:tc>
      </w:tr>
      <w:tr w:rsidR="00BA3843" w:rsidRPr="009F6D1E" w14:paraId="2344D32F"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46666D7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Русе</w:t>
            </w:r>
          </w:p>
        </w:tc>
        <w:tc>
          <w:tcPr>
            <w:tcW w:w="0" w:type="auto"/>
            <w:tcBorders>
              <w:top w:val="nil"/>
              <w:left w:val="nil"/>
              <w:bottom w:val="single" w:sz="8" w:space="0" w:color="969696"/>
              <w:right w:val="single" w:sz="8" w:space="0" w:color="969696"/>
            </w:tcBorders>
            <w:shd w:val="clear" w:color="auto" w:fill="auto"/>
            <w:noWrap/>
            <w:vAlign w:val="bottom"/>
            <w:hideMark/>
          </w:tcPr>
          <w:p w14:paraId="6282D5AF"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141</w:t>
            </w:r>
          </w:p>
        </w:tc>
        <w:tc>
          <w:tcPr>
            <w:tcW w:w="0" w:type="auto"/>
            <w:tcBorders>
              <w:top w:val="nil"/>
              <w:left w:val="nil"/>
              <w:bottom w:val="single" w:sz="8" w:space="0" w:color="969696"/>
              <w:right w:val="single" w:sz="8" w:space="0" w:color="969696"/>
            </w:tcBorders>
            <w:shd w:val="clear" w:color="auto" w:fill="auto"/>
            <w:noWrap/>
            <w:vAlign w:val="bottom"/>
            <w:hideMark/>
          </w:tcPr>
          <w:p w14:paraId="504C77C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68</w:t>
            </w:r>
          </w:p>
        </w:tc>
        <w:tc>
          <w:tcPr>
            <w:tcW w:w="0" w:type="auto"/>
            <w:tcBorders>
              <w:top w:val="nil"/>
              <w:left w:val="nil"/>
              <w:bottom w:val="single" w:sz="8" w:space="0" w:color="969696"/>
              <w:right w:val="single" w:sz="8" w:space="0" w:color="969696"/>
            </w:tcBorders>
            <w:shd w:val="clear" w:color="auto" w:fill="auto"/>
            <w:noWrap/>
            <w:vAlign w:val="bottom"/>
            <w:hideMark/>
          </w:tcPr>
          <w:p w14:paraId="209C325D"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73</w:t>
            </w:r>
          </w:p>
        </w:tc>
      </w:tr>
      <w:tr w:rsidR="00BA3843" w:rsidRPr="009F6D1E" w14:paraId="68E3D5A3"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22666ACC"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Силистра</w:t>
            </w:r>
          </w:p>
        </w:tc>
        <w:tc>
          <w:tcPr>
            <w:tcW w:w="0" w:type="auto"/>
            <w:tcBorders>
              <w:top w:val="nil"/>
              <w:left w:val="nil"/>
              <w:bottom w:val="single" w:sz="8" w:space="0" w:color="969696"/>
              <w:right w:val="single" w:sz="8" w:space="0" w:color="969696"/>
            </w:tcBorders>
            <w:shd w:val="clear" w:color="auto" w:fill="auto"/>
            <w:noWrap/>
            <w:vAlign w:val="bottom"/>
            <w:hideMark/>
          </w:tcPr>
          <w:p w14:paraId="4E1BDAD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340</w:t>
            </w:r>
          </w:p>
        </w:tc>
        <w:tc>
          <w:tcPr>
            <w:tcW w:w="0" w:type="auto"/>
            <w:tcBorders>
              <w:top w:val="nil"/>
              <w:left w:val="nil"/>
              <w:bottom w:val="single" w:sz="8" w:space="0" w:color="969696"/>
              <w:right w:val="single" w:sz="8" w:space="0" w:color="969696"/>
            </w:tcBorders>
            <w:shd w:val="clear" w:color="auto" w:fill="auto"/>
            <w:noWrap/>
            <w:vAlign w:val="bottom"/>
            <w:hideMark/>
          </w:tcPr>
          <w:p w14:paraId="1DA755E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150</w:t>
            </w:r>
          </w:p>
        </w:tc>
        <w:tc>
          <w:tcPr>
            <w:tcW w:w="0" w:type="auto"/>
            <w:tcBorders>
              <w:top w:val="nil"/>
              <w:left w:val="nil"/>
              <w:bottom w:val="single" w:sz="8" w:space="0" w:color="969696"/>
              <w:right w:val="single" w:sz="8" w:space="0" w:color="969696"/>
            </w:tcBorders>
            <w:shd w:val="clear" w:color="auto" w:fill="auto"/>
            <w:noWrap/>
            <w:vAlign w:val="bottom"/>
            <w:hideMark/>
          </w:tcPr>
          <w:p w14:paraId="37984D8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190</w:t>
            </w:r>
          </w:p>
        </w:tc>
      </w:tr>
      <w:tr w:rsidR="00BA3843" w:rsidRPr="009F6D1E" w14:paraId="00529A31"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0787CFF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Сливен</w:t>
            </w:r>
          </w:p>
        </w:tc>
        <w:tc>
          <w:tcPr>
            <w:tcW w:w="0" w:type="auto"/>
            <w:tcBorders>
              <w:top w:val="nil"/>
              <w:left w:val="nil"/>
              <w:bottom w:val="single" w:sz="8" w:space="0" w:color="969696"/>
              <w:right w:val="single" w:sz="8" w:space="0" w:color="969696"/>
            </w:tcBorders>
            <w:shd w:val="clear" w:color="auto" w:fill="auto"/>
            <w:noWrap/>
            <w:vAlign w:val="bottom"/>
            <w:hideMark/>
          </w:tcPr>
          <w:p w14:paraId="00430DD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-399</w:t>
            </w:r>
          </w:p>
        </w:tc>
        <w:tc>
          <w:tcPr>
            <w:tcW w:w="0" w:type="auto"/>
            <w:tcBorders>
              <w:top w:val="nil"/>
              <w:left w:val="nil"/>
              <w:bottom w:val="single" w:sz="8" w:space="0" w:color="969696"/>
              <w:right w:val="single" w:sz="8" w:space="0" w:color="969696"/>
            </w:tcBorders>
            <w:shd w:val="clear" w:color="auto" w:fill="auto"/>
            <w:noWrap/>
            <w:vAlign w:val="bottom"/>
            <w:hideMark/>
          </w:tcPr>
          <w:p w14:paraId="27764D97"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-212</w:t>
            </w:r>
          </w:p>
        </w:tc>
        <w:tc>
          <w:tcPr>
            <w:tcW w:w="0" w:type="auto"/>
            <w:tcBorders>
              <w:top w:val="nil"/>
              <w:left w:val="nil"/>
              <w:bottom w:val="single" w:sz="8" w:space="0" w:color="969696"/>
              <w:right w:val="single" w:sz="8" w:space="0" w:color="969696"/>
            </w:tcBorders>
            <w:shd w:val="clear" w:color="auto" w:fill="auto"/>
            <w:noWrap/>
            <w:vAlign w:val="bottom"/>
            <w:hideMark/>
          </w:tcPr>
          <w:p w14:paraId="008B6FF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-187</w:t>
            </w:r>
          </w:p>
        </w:tc>
      </w:tr>
      <w:tr w:rsidR="00BA3843" w:rsidRPr="009F6D1E" w14:paraId="3D3F0C51"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BF20644"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Смолян</w:t>
            </w:r>
          </w:p>
        </w:tc>
        <w:tc>
          <w:tcPr>
            <w:tcW w:w="0" w:type="auto"/>
            <w:tcBorders>
              <w:top w:val="nil"/>
              <w:left w:val="nil"/>
              <w:bottom w:val="single" w:sz="8" w:space="0" w:color="969696"/>
              <w:right w:val="single" w:sz="8" w:space="0" w:color="969696"/>
            </w:tcBorders>
            <w:shd w:val="clear" w:color="auto" w:fill="auto"/>
            <w:noWrap/>
            <w:vAlign w:val="bottom"/>
            <w:hideMark/>
          </w:tcPr>
          <w:p w14:paraId="0EE75A7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-169</w:t>
            </w:r>
          </w:p>
        </w:tc>
        <w:tc>
          <w:tcPr>
            <w:tcW w:w="0" w:type="auto"/>
            <w:tcBorders>
              <w:top w:val="nil"/>
              <w:left w:val="nil"/>
              <w:bottom w:val="single" w:sz="8" w:space="0" w:color="969696"/>
              <w:right w:val="single" w:sz="8" w:space="0" w:color="969696"/>
            </w:tcBorders>
            <w:shd w:val="clear" w:color="auto" w:fill="auto"/>
            <w:noWrap/>
            <w:vAlign w:val="bottom"/>
            <w:hideMark/>
          </w:tcPr>
          <w:p w14:paraId="5C859F9A"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-134</w:t>
            </w:r>
          </w:p>
        </w:tc>
        <w:tc>
          <w:tcPr>
            <w:tcW w:w="0" w:type="auto"/>
            <w:tcBorders>
              <w:top w:val="nil"/>
              <w:left w:val="nil"/>
              <w:bottom w:val="single" w:sz="8" w:space="0" w:color="969696"/>
              <w:right w:val="single" w:sz="8" w:space="0" w:color="969696"/>
            </w:tcBorders>
            <w:shd w:val="clear" w:color="auto" w:fill="auto"/>
            <w:noWrap/>
            <w:vAlign w:val="bottom"/>
            <w:hideMark/>
          </w:tcPr>
          <w:p w14:paraId="0D48CF2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-35</w:t>
            </w:r>
          </w:p>
        </w:tc>
      </w:tr>
      <w:tr w:rsidR="00BA3843" w:rsidRPr="009F6D1E" w14:paraId="43D09A6E"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36C84569"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 (столица)</w:t>
            </w:r>
          </w:p>
        </w:tc>
        <w:tc>
          <w:tcPr>
            <w:tcW w:w="0" w:type="auto"/>
            <w:tcBorders>
              <w:top w:val="nil"/>
              <w:left w:val="nil"/>
              <w:bottom w:val="single" w:sz="8" w:space="0" w:color="969696"/>
              <w:right w:val="single" w:sz="8" w:space="0" w:color="969696"/>
            </w:tcBorders>
            <w:shd w:val="clear" w:color="auto" w:fill="auto"/>
            <w:noWrap/>
            <w:vAlign w:val="bottom"/>
            <w:hideMark/>
          </w:tcPr>
          <w:p w14:paraId="3C1B99A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-15765</w:t>
            </w:r>
          </w:p>
        </w:tc>
        <w:tc>
          <w:tcPr>
            <w:tcW w:w="0" w:type="auto"/>
            <w:tcBorders>
              <w:top w:val="nil"/>
              <w:left w:val="nil"/>
              <w:bottom w:val="single" w:sz="8" w:space="0" w:color="969696"/>
              <w:right w:val="single" w:sz="8" w:space="0" w:color="969696"/>
            </w:tcBorders>
            <w:shd w:val="clear" w:color="auto" w:fill="auto"/>
            <w:noWrap/>
            <w:vAlign w:val="bottom"/>
            <w:hideMark/>
          </w:tcPr>
          <w:p w14:paraId="09E23A3E"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-7870</w:t>
            </w:r>
          </w:p>
        </w:tc>
        <w:tc>
          <w:tcPr>
            <w:tcW w:w="0" w:type="auto"/>
            <w:tcBorders>
              <w:top w:val="nil"/>
              <w:left w:val="nil"/>
              <w:bottom w:val="single" w:sz="8" w:space="0" w:color="969696"/>
              <w:right w:val="single" w:sz="8" w:space="0" w:color="969696"/>
            </w:tcBorders>
            <w:shd w:val="clear" w:color="auto" w:fill="auto"/>
            <w:noWrap/>
            <w:vAlign w:val="bottom"/>
            <w:hideMark/>
          </w:tcPr>
          <w:p w14:paraId="46E1143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-7895</w:t>
            </w:r>
          </w:p>
        </w:tc>
      </w:tr>
      <w:tr w:rsidR="00BA3843" w:rsidRPr="009F6D1E" w14:paraId="315A80D8"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34C146C1"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София</w:t>
            </w:r>
          </w:p>
        </w:tc>
        <w:tc>
          <w:tcPr>
            <w:tcW w:w="0" w:type="auto"/>
            <w:tcBorders>
              <w:top w:val="nil"/>
              <w:left w:val="nil"/>
              <w:bottom w:val="single" w:sz="8" w:space="0" w:color="969696"/>
              <w:right w:val="single" w:sz="8" w:space="0" w:color="969696"/>
            </w:tcBorders>
            <w:shd w:val="clear" w:color="auto" w:fill="auto"/>
            <w:noWrap/>
            <w:vAlign w:val="bottom"/>
            <w:hideMark/>
          </w:tcPr>
          <w:p w14:paraId="75C416F4"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14652</w:t>
            </w:r>
          </w:p>
        </w:tc>
        <w:tc>
          <w:tcPr>
            <w:tcW w:w="0" w:type="auto"/>
            <w:tcBorders>
              <w:top w:val="nil"/>
              <w:left w:val="nil"/>
              <w:bottom w:val="single" w:sz="8" w:space="0" w:color="969696"/>
              <w:right w:val="single" w:sz="8" w:space="0" w:color="969696"/>
            </w:tcBorders>
            <w:shd w:val="clear" w:color="auto" w:fill="auto"/>
            <w:noWrap/>
            <w:vAlign w:val="bottom"/>
            <w:hideMark/>
          </w:tcPr>
          <w:p w14:paraId="7EB17B5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7633</w:t>
            </w:r>
          </w:p>
        </w:tc>
        <w:tc>
          <w:tcPr>
            <w:tcW w:w="0" w:type="auto"/>
            <w:tcBorders>
              <w:top w:val="nil"/>
              <w:left w:val="nil"/>
              <w:bottom w:val="single" w:sz="8" w:space="0" w:color="969696"/>
              <w:right w:val="single" w:sz="8" w:space="0" w:color="969696"/>
            </w:tcBorders>
            <w:shd w:val="clear" w:color="auto" w:fill="auto"/>
            <w:noWrap/>
            <w:vAlign w:val="bottom"/>
            <w:hideMark/>
          </w:tcPr>
          <w:p w14:paraId="79D667D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7019</w:t>
            </w:r>
          </w:p>
        </w:tc>
      </w:tr>
      <w:tr w:rsidR="00BA3843" w:rsidRPr="009F6D1E" w14:paraId="78529B7A"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80D9AE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Стара Загора</w:t>
            </w:r>
          </w:p>
        </w:tc>
        <w:tc>
          <w:tcPr>
            <w:tcW w:w="0" w:type="auto"/>
            <w:tcBorders>
              <w:top w:val="nil"/>
              <w:left w:val="nil"/>
              <w:bottom w:val="single" w:sz="8" w:space="0" w:color="969696"/>
              <w:right w:val="single" w:sz="8" w:space="0" w:color="969696"/>
            </w:tcBorders>
            <w:shd w:val="clear" w:color="auto" w:fill="auto"/>
            <w:noWrap/>
            <w:vAlign w:val="bottom"/>
            <w:hideMark/>
          </w:tcPr>
          <w:p w14:paraId="3CFDB31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1166</w:t>
            </w:r>
          </w:p>
        </w:tc>
        <w:tc>
          <w:tcPr>
            <w:tcW w:w="0" w:type="auto"/>
            <w:tcBorders>
              <w:top w:val="nil"/>
              <w:left w:val="nil"/>
              <w:bottom w:val="single" w:sz="8" w:space="0" w:color="969696"/>
              <w:right w:val="single" w:sz="8" w:space="0" w:color="969696"/>
            </w:tcBorders>
            <w:shd w:val="clear" w:color="auto" w:fill="auto"/>
            <w:noWrap/>
            <w:vAlign w:val="bottom"/>
            <w:hideMark/>
          </w:tcPr>
          <w:p w14:paraId="6BCB70E9"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637</w:t>
            </w:r>
          </w:p>
        </w:tc>
        <w:tc>
          <w:tcPr>
            <w:tcW w:w="0" w:type="auto"/>
            <w:tcBorders>
              <w:top w:val="nil"/>
              <w:left w:val="nil"/>
              <w:bottom w:val="single" w:sz="8" w:space="0" w:color="969696"/>
              <w:right w:val="single" w:sz="8" w:space="0" w:color="969696"/>
            </w:tcBorders>
            <w:shd w:val="clear" w:color="auto" w:fill="auto"/>
            <w:noWrap/>
            <w:vAlign w:val="bottom"/>
            <w:hideMark/>
          </w:tcPr>
          <w:p w14:paraId="76B77D6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529</w:t>
            </w:r>
          </w:p>
        </w:tc>
      </w:tr>
      <w:tr w:rsidR="00BA3843" w:rsidRPr="009F6D1E" w14:paraId="782D281E"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1423870B"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Търговище</w:t>
            </w:r>
          </w:p>
        </w:tc>
        <w:tc>
          <w:tcPr>
            <w:tcW w:w="0" w:type="auto"/>
            <w:tcBorders>
              <w:top w:val="nil"/>
              <w:left w:val="nil"/>
              <w:bottom w:val="single" w:sz="8" w:space="0" w:color="969696"/>
              <w:right w:val="single" w:sz="8" w:space="0" w:color="969696"/>
            </w:tcBorders>
            <w:shd w:val="clear" w:color="auto" w:fill="auto"/>
            <w:noWrap/>
            <w:vAlign w:val="bottom"/>
            <w:hideMark/>
          </w:tcPr>
          <w:p w14:paraId="32005DE1"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501</w:t>
            </w:r>
          </w:p>
        </w:tc>
        <w:tc>
          <w:tcPr>
            <w:tcW w:w="0" w:type="auto"/>
            <w:tcBorders>
              <w:top w:val="nil"/>
              <w:left w:val="nil"/>
              <w:bottom w:val="single" w:sz="8" w:space="0" w:color="969696"/>
              <w:right w:val="single" w:sz="8" w:space="0" w:color="969696"/>
            </w:tcBorders>
            <w:shd w:val="clear" w:color="auto" w:fill="auto"/>
            <w:noWrap/>
            <w:vAlign w:val="bottom"/>
            <w:hideMark/>
          </w:tcPr>
          <w:p w14:paraId="531E530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226</w:t>
            </w:r>
          </w:p>
        </w:tc>
        <w:tc>
          <w:tcPr>
            <w:tcW w:w="0" w:type="auto"/>
            <w:tcBorders>
              <w:top w:val="nil"/>
              <w:left w:val="nil"/>
              <w:bottom w:val="single" w:sz="8" w:space="0" w:color="969696"/>
              <w:right w:val="single" w:sz="8" w:space="0" w:color="969696"/>
            </w:tcBorders>
            <w:shd w:val="clear" w:color="auto" w:fill="auto"/>
            <w:noWrap/>
            <w:vAlign w:val="bottom"/>
            <w:hideMark/>
          </w:tcPr>
          <w:p w14:paraId="4D635E80"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275</w:t>
            </w:r>
          </w:p>
        </w:tc>
      </w:tr>
      <w:tr w:rsidR="00BA3843" w:rsidRPr="009F6D1E" w14:paraId="5BC4C868"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7768FC02"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Хасково</w:t>
            </w:r>
          </w:p>
        </w:tc>
        <w:tc>
          <w:tcPr>
            <w:tcW w:w="0" w:type="auto"/>
            <w:tcBorders>
              <w:top w:val="nil"/>
              <w:left w:val="nil"/>
              <w:bottom w:val="single" w:sz="8" w:space="0" w:color="969696"/>
              <w:right w:val="single" w:sz="8" w:space="0" w:color="969696"/>
            </w:tcBorders>
            <w:shd w:val="clear" w:color="auto" w:fill="auto"/>
            <w:noWrap/>
            <w:vAlign w:val="bottom"/>
            <w:hideMark/>
          </w:tcPr>
          <w:p w14:paraId="1198D55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1058</w:t>
            </w:r>
          </w:p>
        </w:tc>
        <w:tc>
          <w:tcPr>
            <w:tcW w:w="0" w:type="auto"/>
            <w:tcBorders>
              <w:top w:val="nil"/>
              <w:left w:val="nil"/>
              <w:bottom w:val="single" w:sz="8" w:space="0" w:color="969696"/>
              <w:right w:val="single" w:sz="8" w:space="0" w:color="969696"/>
            </w:tcBorders>
            <w:shd w:val="clear" w:color="auto" w:fill="auto"/>
            <w:noWrap/>
            <w:vAlign w:val="bottom"/>
            <w:hideMark/>
          </w:tcPr>
          <w:p w14:paraId="2F3CFA6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639</w:t>
            </w:r>
          </w:p>
        </w:tc>
        <w:tc>
          <w:tcPr>
            <w:tcW w:w="0" w:type="auto"/>
            <w:tcBorders>
              <w:top w:val="nil"/>
              <w:left w:val="nil"/>
              <w:bottom w:val="single" w:sz="8" w:space="0" w:color="969696"/>
              <w:right w:val="single" w:sz="8" w:space="0" w:color="969696"/>
            </w:tcBorders>
            <w:shd w:val="clear" w:color="auto" w:fill="auto"/>
            <w:noWrap/>
            <w:vAlign w:val="bottom"/>
            <w:hideMark/>
          </w:tcPr>
          <w:p w14:paraId="515F9ADC"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419</w:t>
            </w:r>
          </w:p>
        </w:tc>
      </w:tr>
      <w:tr w:rsidR="00BA3843" w:rsidRPr="009F6D1E" w14:paraId="6C9698BB"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2749197F"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Шумен</w:t>
            </w:r>
          </w:p>
        </w:tc>
        <w:tc>
          <w:tcPr>
            <w:tcW w:w="0" w:type="auto"/>
            <w:tcBorders>
              <w:top w:val="nil"/>
              <w:left w:val="nil"/>
              <w:bottom w:val="single" w:sz="8" w:space="0" w:color="969696"/>
              <w:right w:val="single" w:sz="8" w:space="0" w:color="969696"/>
            </w:tcBorders>
            <w:shd w:val="clear" w:color="auto" w:fill="auto"/>
            <w:noWrap/>
            <w:vAlign w:val="bottom"/>
            <w:hideMark/>
          </w:tcPr>
          <w:p w14:paraId="3A63DD33"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1410</w:t>
            </w:r>
          </w:p>
        </w:tc>
        <w:tc>
          <w:tcPr>
            <w:tcW w:w="0" w:type="auto"/>
            <w:tcBorders>
              <w:top w:val="nil"/>
              <w:left w:val="nil"/>
              <w:bottom w:val="single" w:sz="8" w:space="0" w:color="969696"/>
              <w:right w:val="single" w:sz="8" w:space="0" w:color="969696"/>
            </w:tcBorders>
            <w:shd w:val="clear" w:color="auto" w:fill="auto"/>
            <w:noWrap/>
            <w:vAlign w:val="bottom"/>
            <w:hideMark/>
          </w:tcPr>
          <w:p w14:paraId="2429D2FB"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728</w:t>
            </w:r>
          </w:p>
        </w:tc>
        <w:tc>
          <w:tcPr>
            <w:tcW w:w="0" w:type="auto"/>
            <w:tcBorders>
              <w:top w:val="nil"/>
              <w:left w:val="nil"/>
              <w:bottom w:val="single" w:sz="8" w:space="0" w:color="969696"/>
              <w:right w:val="single" w:sz="8" w:space="0" w:color="969696"/>
            </w:tcBorders>
            <w:shd w:val="clear" w:color="auto" w:fill="auto"/>
            <w:noWrap/>
            <w:vAlign w:val="bottom"/>
            <w:hideMark/>
          </w:tcPr>
          <w:p w14:paraId="738FBEC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682</w:t>
            </w:r>
          </w:p>
        </w:tc>
      </w:tr>
      <w:tr w:rsidR="00BA3843" w:rsidRPr="009F6D1E" w14:paraId="68AD8D66" w14:textId="77777777" w:rsidTr="00981F7B">
        <w:trPr>
          <w:trHeight w:val="276"/>
          <w:jc w:val="center"/>
        </w:trPr>
        <w:tc>
          <w:tcPr>
            <w:tcW w:w="0" w:type="auto"/>
            <w:tcBorders>
              <w:top w:val="nil"/>
              <w:left w:val="single" w:sz="8" w:space="0" w:color="969696"/>
              <w:bottom w:val="single" w:sz="8" w:space="0" w:color="969696"/>
              <w:right w:val="single" w:sz="8" w:space="0" w:color="969696"/>
            </w:tcBorders>
            <w:shd w:val="clear" w:color="auto" w:fill="auto"/>
            <w:noWrap/>
            <w:vAlign w:val="bottom"/>
            <w:hideMark/>
          </w:tcPr>
          <w:p w14:paraId="686E1FDD" w14:textId="77777777" w:rsidR="00E56BA8" w:rsidRPr="009F6D1E" w:rsidRDefault="00E56BA8" w:rsidP="0084747F">
            <w:pPr>
              <w:spacing w:after="60" w:line="264" w:lineRule="auto"/>
              <w:rPr>
                <w:rFonts w:eastAsia="Times New Roman" w:cs="Times New Roman"/>
                <w:b/>
                <w:bCs/>
                <w:color w:val="auto"/>
                <w:sz w:val="20"/>
                <w:szCs w:val="20"/>
                <w:lang w:eastAsia="bg-BG"/>
              </w:rPr>
            </w:pPr>
            <w:r w:rsidRPr="009F6D1E">
              <w:rPr>
                <w:rFonts w:eastAsia="Times New Roman" w:cs="Times New Roman"/>
                <w:b/>
                <w:bCs/>
                <w:color w:val="auto"/>
                <w:sz w:val="20"/>
                <w:szCs w:val="20"/>
                <w:lang w:eastAsia="bg-BG"/>
              </w:rPr>
              <w:t>Ямбол</w:t>
            </w:r>
          </w:p>
        </w:tc>
        <w:tc>
          <w:tcPr>
            <w:tcW w:w="0" w:type="auto"/>
            <w:tcBorders>
              <w:top w:val="nil"/>
              <w:left w:val="nil"/>
              <w:bottom w:val="single" w:sz="8" w:space="0" w:color="969696"/>
              <w:right w:val="single" w:sz="8" w:space="0" w:color="969696"/>
            </w:tcBorders>
            <w:shd w:val="clear" w:color="auto" w:fill="auto"/>
            <w:noWrap/>
            <w:vAlign w:val="bottom"/>
            <w:hideMark/>
          </w:tcPr>
          <w:p w14:paraId="63C94AB5"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502</w:t>
            </w:r>
          </w:p>
        </w:tc>
        <w:tc>
          <w:tcPr>
            <w:tcW w:w="0" w:type="auto"/>
            <w:tcBorders>
              <w:top w:val="nil"/>
              <w:left w:val="nil"/>
              <w:bottom w:val="single" w:sz="8" w:space="0" w:color="969696"/>
              <w:right w:val="single" w:sz="8" w:space="0" w:color="969696"/>
            </w:tcBorders>
            <w:shd w:val="clear" w:color="auto" w:fill="auto"/>
            <w:noWrap/>
            <w:vAlign w:val="bottom"/>
            <w:hideMark/>
          </w:tcPr>
          <w:p w14:paraId="3C43F166"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247</w:t>
            </w:r>
          </w:p>
        </w:tc>
        <w:tc>
          <w:tcPr>
            <w:tcW w:w="0" w:type="auto"/>
            <w:tcBorders>
              <w:top w:val="nil"/>
              <w:left w:val="nil"/>
              <w:bottom w:val="single" w:sz="8" w:space="0" w:color="969696"/>
              <w:right w:val="single" w:sz="8" w:space="0" w:color="969696"/>
            </w:tcBorders>
            <w:shd w:val="clear" w:color="auto" w:fill="auto"/>
            <w:noWrap/>
            <w:vAlign w:val="bottom"/>
            <w:hideMark/>
          </w:tcPr>
          <w:p w14:paraId="1590A242" w14:textId="77777777" w:rsidR="00E56BA8" w:rsidRPr="009F6D1E" w:rsidRDefault="00E56BA8" w:rsidP="0084747F">
            <w:pPr>
              <w:spacing w:after="60" w:line="264" w:lineRule="auto"/>
              <w:jc w:val="right"/>
              <w:rPr>
                <w:rFonts w:eastAsia="Times New Roman" w:cs="Times New Roman"/>
                <w:color w:val="auto"/>
                <w:sz w:val="20"/>
                <w:szCs w:val="20"/>
                <w:lang w:eastAsia="bg-BG"/>
              </w:rPr>
            </w:pPr>
            <w:r w:rsidRPr="009F6D1E">
              <w:rPr>
                <w:rFonts w:eastAsia="Times New Roman" w:cs="Times New Roman"/>
                <w:color w:val="auto"/>
                <w:sz w:val="20"/>
                <w:szCs w:val="20"/>
                <w:lang w:eastAsia="bg-BG"/>
              </w:rPr>
              <w:t>255</w:t>
            </w:r>
          </w:p>
        </w:tc>
      </w:tr>
      <w:tr w:rsidR="00BA3843" w:rsidRPr="009F6D1E" w14:paraId="4F6D6709" w14:textId="77777777" w:rsidTr="00981F7B">
        <w:trPr>
          <w:trHeight w:val="264"/>
          <w:jc w:val="center"/>
        </w:trPr>
        <w:tc>
          <w:tcPr>
            <w:tcW w:w="0" w:type="auto"/>
            <w:gridSpan w:val="4"/>
            <w:tcBorders>
              <w:top w:val="single" w:sz="4" w:space="0" w:color="auto"/>
              <w:left w:val="nil"/>
              <w:bottom w:val="nil"/>
              <w:right w:val="nil"/>
            </w:tcBorders>
            <w:shd w:val="clear" w:color="auto" w:fill="auto"/>
            <w:vAlign w:val="center"/>
            <w:hideMark/>
          </w:tcPr>
          <w:p w14:paraId="65167092" w14:textId="77777777" w:rsidR="00E56BA8" w:rsidRPr="009F6D1E" w:rsidRDefault="00E56BA8" w:rsidP="0084747F">
            <w:pPr>
              <w:spacing w:after="60" w:line="264" w:lineRule="auto"/>
              <w:jc w:val="both"/>
              <w:rPr>
                <w:rFonts w:cs="Times New Roman"/>
                <w:i/>
                <w:color w:val="auto"/>
                <w:sz w:val="20"/>
                <w:szCs w:val="20"/>
              </w:rPr>
            </w:pPr>
            <w:r w:rsidRPr="009F6D1E">
              <w:rPr>
                <w:rFonts w:cs="Times New Roman"/>
                <w:i/>
                <w:color w:val="auto"/>
                <w:sz w:val="20"/>
                <w:szCs w:val="20"/>
              </w:rPr>
              <w:t>* От 2007 година механичното движение на населението включва не само вътрешната миграция, а и движението на лицата към и от страната</w:t>
            </w:r>
          </w:p>
          <w:p w14:paraId="28E98E2C" w14:textId="77777777" w:rsidR="00EE71AE" w:rsidRPr="009F6D1E" w:rsidRDefault="00EE71AE" w:rsidP="0084747F">
            <w:pPr>
              <w:spacing w:after="60" w:line="264" w:lineRule="auto"/>
              <w:jc w:val="both"/>
              <w:rPr>
                <w:rFonts w:cs="Times New Roman"/>
                <w:i/>
                <w:color w:val="auto"/>
                <w:sz w:val="20"/>
                <w:szCs w:val="20"/>
              </w:rPr>
            </w:pPr>
          </w:p>
          <w:p w14:paraId="22FFEE80" w14:textId="77777777" w:rsidR="00E56BA8" w:rsidRPr="009F6D1E" w:rsidRDefault="00E56BA8" w:rsidP="0084747F">
            <w:pPr>
              <w:spacing w:after="60" w:line="264" w:lineRule="auto"/>
              <w:jc w:val="both"/>
              <w:rPr>
                <w:rFonts w:eastAsia="Times New Roman" w:cs="Times New Roman"/>
                <w:i/>
                <w:color w:val="auto"/>
                <w:sz w:val="20"/>
                <w:szCs w:val="20"/>
                <w:lang w:eastAsia="bg-BG"/>
              </w:rPr>
            </w:pPr>
          </w:p>
        </w:tc>
      </w:tr>
    </w:tbl>
    <w:p w14:paraId="3316A980" w14:textId="77777777" w:rsidR="00E56BA8" w:rsidRPr="009F6D1E" w:rsidRDefault="00E56BA8">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proofErr w:type="spellStart"/>
      <w:r w:rsidRPr="009F6D1E">
        <w:rPr>
          <w:b/>
          <w:bCs/>
          <w:smallCaps w:val="0"/>
          <w:color w:val="262626" w:themeColor="text1" w:themeTint="D9"/>
          <w:lang w:eastAsia="en-US" w:bidi="ar-SA"/>
        </w:rPr>
        <w:t>Болестност</w:t>
      </w:r>
      <w:proofErr w:type="spellEnd"/>
      <w:r w:rsidRPr="009F6D1E">
        <w:rPr>
          <w:b/>
          <w:bCs/>
          <w:smallCaps w:val="0"/>
          <w:color w:val="262626" w:themeColor="text1" w:themeTint="D9"/>
          <w:lang w:eastAsia="en-US" w:bidi="ar-SA"/>
        </w:rPr>
        <w:t xml:space="preserve"> и заболеваемост</w:t>
      </w:r>
    </w:p>
    <w:p w14:paraId="07715631" w14:textId="77777777" w:rsidR="00EE71AE" w:rsidRPr="009F6D1E" w:rsidRDefault="00EE71AE" w:rsidP="0084747F">
      <w:pPr>
        <w:spacing w:after="60" w:line="264" w:lineRule="auto"/>
        <w:ind w:firstLine="708"/>
        <w:jc w:val="both"/>
        <w:rPr>
          <w:rFonts w:cs="Times New Roman"/>
          <w:color w:val="auto"/>
          <w:szCs w:val="24"/>
        </w:rPr>
      </w:pPr>
    </w:p>
    <w:p w14:paraId="22043C3E"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През 2020 г. се наблюдава увеличаване на заболяванията от Ку треска. Регистрирани са пет случая на малария, внесени от чужбина и един случай на тетанус.</w:t>
      </w:r>
    </w:p>
    <w:p w14:paraId="1787D0F8" w14:textId="77777777"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Намаляват случаите на заболявания от ос</w:t>
      </w:r>
      <w:r w:rsidRPr="009F6D1E">
        <w:rPr>
          <w:rFonts w:cs="Times New Roman"/>
          <w:color w:val="auto"/>
          <w:szCs w:val="24"/>
        </w:rPr>
        <w:softHyphen/>
        <w:t xml:space="preserve">таналите представени заразни болести, бележещи ръст през 2019 </w:t>
      </w:r>
      <w:proofErr w:type="spellStart"/>
      <w:r w:rsidRPr="009F6D1E">
        <w:rPr>
          <w:rFonts w:cs="Times New Roman"/>
          <w:color w:val="auto"/>
          <w:szCs w:val="24"/>
        </w:rPr>
        <w:t>год</w:t>
      </w:r>
      <w:proofErr w:type="spellEnd"/>
      <w:r w:rsidRPr="009F6D1E">
        <w:rPr>
          <w:rFonts w:cs="Times New Roman"/>
          <w:color w:val="auto"/>
          <w:szCs w:val="24"/>
        </w:rPr>
        <w:t xml:space="preserve">, каквито са морбили, варицела, епидемичен </w:t>
      </w:r>
      <w:proofErr w:type="spellStart"/>
      <w:r w:rsidRPr="009F6D1E">
        <w:rPr>
          <w:rFonts w:cs="Times New Roman"/>
          <w:color w:val="auto"/>
          <w:szCs w:val="24"/>
        </w:rPr>
        <w:t>паротит</w:t>
      </w:r>
      <w:proofErr w:type="spellEnd"/>
      <w:r w:rsidRPr="009F6D1E">
        <w:rPr>
          <w:rFonts w:cs="Times New Roman"/>
          <w:color w:val="auto"/>
          <w:szCs w:val="24"/>
        </w:rPr>
        <w:t xml:space="preserve">, </w:t>
      </w:r>
      <w:proofErr w:type="spellStart"/>
      <w:r w:rsidRPr="009F6D1E">
        <w:rPr>
          <w:rFonts w:cs="Times New Roman"/>
          <w:color w:val="auto"/>
          <w:szCs w:val="24"/>
        </w:rPr>
        <w:t>менингококов</w:t>
      </w:r>
      <w:proofErr w:type="spellEnd"/>
      <w:r w:rsidRPr="009F6D1E">
        <w:rPr>
          <w:rFonts w:cs="Times New Roman"/>
          <w:color w:val="auto"/>
          <w:szCs w:val="24"/>
        </w:rPr>
        <w:t xml:space="preserve"> менингит и сепсис, вирусни хепатити, вирусни менингити и менингоенцефалити. </w:t>
      </w:r>
    </w:p>
    <w:p w14:paraId="506887A5" w14:textId="1FB955F8"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Обобщена информация за регистрираните заболявания от заразни болести на 100 000 души от населението през 2020 год. е представена на </w:t>
      </w:r>
      <w:r w:rsidR="003F3D71" w:rsidRPr="009F6D1E">
        <w:rPr>
          <w:rFonts w:cs="Times New Roman"/>
          <w:color w:val="auto"/>
          <w:szCs w:val="24"/>
        </w:rPr>
        <w:fldChar w:fldCharType="begin"/>
      </w:r>
      <w:r w:rsidR="00BA3843" w:rsidRPr="009F6D1E">
        <w:rPr>
          <w:rFonts w:cs="Times New Roman"/>
          <w:color w:val="auto"/>
          <w:szCs w:val="24"/>
        </w:rPr>
        <w:instrText xml:space="preserve"> REF _Ref107174025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Фигура </w:t>
      </w:r>
      <w:r w:rsidR="00A43EF3">
        <w:rPr>
          <w:noProof/>
        </w:rPr>
        <w:t>86</w:t>
      </w:r>
      <w:r w:rsidR="003F3D71" w:rsidRPr="009F6D1E">
        <w:rPr>
          <w:rFonts w:cs="Times New Roman"/>
          <w:color w:val="auto"/>
          <w:szCs w:val="24"/>
        </w:rPr>
        <w:fldChar w:fldCharType="end"/>
      </w:r>
      <w:r w:rsidR="00BA3843" w:rsidRPr="009F6D1E">
        <w:rPr>
          <w:rFonts w:cs="Times New Roman"/>
          <w:color w:val="auto"/>
          <w:szCs w:val="24"/>
        </w:rPr>
        <w:t xml:space="preserve"> </w:t>
      </w:r>
      <w:r w:rsidRPr="009F6D1E">
        <w:rPr>
          <w:rFonts w:cs="Times New Roman"/>
          <w:color w:val="auto"/>
          <w:szCs w:val="24"/>
        </w:rPr>
        <w:t>по-долу.</w:t>
      </w:r>
    </w:p>
    <w:p w14:paraId="55289EB4" w14:textId="77777777" w:rsidR="00E56BA8" w:rsidRPr="009F6D1E" w:rsidRDefault="00E56BA8" w:rsidP="0084747F">
      <w:pPr>
        <w:spacing w:after="60" w:line="264" w:lineRule="auto"/>
        <w:jc w:val="center"/>
        <w:rPr>
          <w:rFonts w:cs="Times New Roman"/>
          <w:color w:val="auto"/>
          <w:szCs w:val="24"/>
        </w:rPr>
      </w:pPr>
      <w:r w:rsidRPr="009F6D1E">
        <w:rPr>
          <w:rFonts w:cs="Times New Roman"/>
          <w:noProof/>
          <w:color w:val="auto"/>
          <w:szCs w:val="24"/>
          <w:lang w:val="en-US"/>
        </w:rPr>
        <w:lastRenderedPageBreak/>
        <w:drawing>
          <wp:inline distT="0" distB="0" distL="0" distR="0" wp14:anchorId="2BC89F9B" wp14:editId="4A9FB5BB">
            <wp:extent cx="5557962" cy="3178608"/>
            <wp:effectExtent l="0" t="0" r="5080" b="3175"/>
            <wp:docPr id="6"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14" cstate="print"/>
                    <a:stretch>
                      <a:fillRect/>
                    </a:stretch>
                  </pic:blipFill>
                  <pic:spPr>
                    <a:xfrm>
                      <a:off x="0" y="0"/>
                      <a:ext cx="5570387" cy="3185714"/>
                    </a:xfrm>
                    <a:prstGeom prst="rect">
                      <a:avLst/>
                    </a:prstGeom>
                  </pic:spPr>
                </pic:pic>
              </a:graphicData>
            </a:graphic>
          </wp:inline>
        </w:drawing>
      </w:r>
    </w:p>
    <w:p w14:paraId="125D5076" w14:textId="0A8BDECD" w:rsidR="00E56BA8" w:rsidRPr="009F6D1E" w:rsidRDefault="00BA3843" w:rsidP="00BA3843">
      <w:pPr>
        <w:pStyle w:val="Caption"/>
        <w:rPr>
          <w:color w:val="auto"/>
        </w:rPr>
      </w:pPr>
      <w:bookmarkStart w:id="471" w:name="_Ref107174025"/>
      <w:bookmarkStart w:id="472" w:name="_Toc115255147"/>
      <w:r w:rsidRPr="009F6D1E">
        <w:t xml:space="preserve">Фигура </w:t>
      </w:r>
      <w:fldSimple w:instr=" SEQ Фигура \* ARABIC ">
        <w:r w:rsidR="00A43EF3">
          <w:rPr>
            <w:noProof/>
          </w:rPr>
          <w:t>86</w:t>
        </w:r>
      </w:fldSimple>
      <w:bookmarkEnd w:id="471"/>
      <w:r w:rsidRPr="009F6D1E">
        <w:t xml:space="preserve">: </w:t>
      </w:r>
      <w:r w:rsidR="00E56BA8" w:rsidRPr="009F6D1E">
        <w:rPr>
          <w:color w:val="auto"/>
        </w:rPr>
        <w:t>Регистрираните заболявания от заразни болести на 100 000 души от населението през 2020 год.</w:t>
      </w:r>
      <w:bookmarkEnd w:id="472"/>
    </w:p>
    <w:p w14:paraId="20E47604" w14:textId="189A744A" w:rsidR="00E56BA8" w:rsidRPr="009F6D1E" w:rsidRDefault="00E56BA8" w:rsidP="0084747F">
      <w:pPr>
        <w:spacing w:after="60" w:line="264" w:lineRule="auto"/>
        <w:ind w:firstLine="708"/>
        <w:jc w:val="both"/>
        <w:rPr>
          <w:rFonts w:cs="Times New Roman"/>
          <w:color w:val="auto"/>
          <w:szCs w:val="24"/>
        </w:rPr>
      </w:pPr>
      <w:r w:rsidRPr="009F6D1E">
        <w:rPr>
          <w:rFonts w:cs="Times New Roman"/>
          <w:color w:val="auto"/>
          <w:szCs w:val="24"/>
        </w:rPr>
        <w:t xml:space="preserve">Заболеваемостта от активна туберкулоза през 2020 г. е 13.0 на сто хиляди. Сред децата до 17-годишна възраст е 2.2 на сто хиляди и е по- ниска в сравнение с предходната година. </w:t>
      </w:r>
      <w:r w:rsidR="003F3D71" w:rsidRPr="009F6D1E">
        <w:rPr>
          <w:rFonts w:cs="Times New Roman"/>
          <w:color w:val="auto"/>
          <w:szCs w:val="24"/>
        </w:rPr>
        <w:fldChar w:fldCharType="begin"/>
      </w:r>
      <w:r w:rsidR="00BA3843" w:rsidRPr="009F6D1E">
        <w:rPr>
          <w:rFonts w:cs="Times New Roman"/>
          <w:color w:val="auto"/>
          <w:szCs w:val="24"/>
        </w:rPr>
        <w:instrText xml:space="preserve"> REF _Ref107174057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rPr>
          <w:color w:val="auto"/>
        </w:rPr>
        <w:t xml:space="preserve">Фигура </w:t>
      </w:r>
      <w:r w:rsidR="00A43EF3">
        <w:rPr>
          <w:noProof/>
          <w:color w:val="auto"/>
        </w:rPr>
        <w:t>87</w:t>
      </w:r>
      <w:r w:rsidR="003F3D71" w:rsidRPr="009F6D1E">
        <w:rPr>
          <w:rFonts w:cs="Times New Roman"/>
          <w:color w:val="auto"/>
          <w:szCs w:val="24"/>
        </w:rPr>
        <w:fldChar w:fldCharType="end"/>
      </w:r>
      <w:r w:rsidRPr="009F6D1E">
        <w:rPr>
          <w:rFonts w:cs="Times New Roman"/>
          <w:color w:val="auto"/>
          <w:szCs w:val="24"/>
        </w:rPr>
        <w:t xml:space="preserve"> дава информация за случаите на активна туберкулоза на 100 000 души от населението през 2020 год.</w:t>
      </w:r>
    </w:p>
    <w:p w14:paraId="7790454D" w14:textId="77777777" w:rsidR="00981F7B" w:rsidRPr="009F6D1E" w:rsidRDefault="00981F7B"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drawing>
          <wp:inline distT="0" distB="0" distL="0" distR="0" wp14:anchorId="6C0B9827" wp14:editId="13D90C7A">
            <wp:extent cx="4734586" cy="2991267"/>
            <wp:effectExtent l="0" t="0" r="8890" b="0"/>
            <wp:docPr id="7"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15" cstate="print"/>
                    <a:stretch>
                      <a:fillRect/>
                    </a:stretch>
                  </pic:blipFill>
                  <pic:spPr>
                    <a:xfrm>
                      <a:off x="0" y="0"/>
                      <a:ext cx="4734586" cy="2991267"/>
                    </a:xfrm>
                    <a:prstGeom prst="rect">
                      <a:avLst/>
                    </a:prstGeom>
                  </pic:spPr>
                </pic:pic>
              </a:graphicData>
            </a:graphic>
          </wp:inline>
        </w:drawing>
      </w:r>
    </w:p>
    <w:p w14:paraId="74BF909B" w14:textId="65AE1B3C" w:rsidR="00981F7B" w:rsidRPr="009F6D1E" w:rsidRDefault="00BA3843" w:rsidP="00BA3843">
      <w:pPr>
        <w:pStyle w:val="Caption"/>
        <w:rPr>
          <w:color w:val="auto"/>
        </w:rPr>
      </w:pPr>
      <w:bookmarkStart w:id="473" w:name="_Ref107174057"/>
      <w:bookmarkStart w:id="474" w:name="_Toc115255148"/>
      <w:r w:rsidRPr="009F6D1E">
        <w:rPr>
          <w:color w:val="auto"/>
        </w:rPr>
        <w:t xml:space="preserve">Фигура </w:t>
      </w:r>
      <w:r w:rsidR="003F3D71" w:rsidRPr="009F6D1E">
        <w:rPr>
          <w:color w:val="auto"/>
        </w:rPr>
        <w:fldChar w:fldCharType="begin"/>
      </w:r>
      <w:r w:rsidRPr="009F6D1E">
        <w:rPr>
          <w:color w:val="auto"/>
        </w:rPr>
        <w:instrText xml:space="preserve"> SEQ Фигура \* ARABIC </w:instrText>
      </w:r>
      <w:r w:rsidR="003F3D71" w:rsidRPr="009F6D1E">
        <w:rPr>
          <w:color w:val="auto"/>
        </w:rPr>
        <w:fldChar w:fldCharType="separate"/>
      </w:r>
      <w:r w:rsidR="00A43EF3">
        <w:rPr>
          <w:noProof/>
          <w:color w:val="auto"/>
        </w:rPr>
        <w:t>87</w:t>
      </w:r>
      <w:r w:rsidR="003F3D71" w:rsidRPr="009F6D1E">
        <w:rPr>
          <w:color w:val="auto"/>
        </w:rPr>
        <w:fldChar w:fldCharType="end"/>
      </w:r>
      <w:bookmarkEnd w:id="473"/>
      <w:r w:rsidRPr="009F6D1E">
        <w:rPr>
          <w:color w:val="auto"/>
        </w:rPr>
        <w:t xml:space="preserve">: </w:t>
      </w:r>
      <w:r w:rsidR="00981F7B" w:rsidRPr="009F6D1E">
        <w:rPr>
          <w:color w:val="auto"/>
        </w:rPr>
        <w:t xml:space="preserve"> Случаи на активна туберкулоза на 100 000 души от населението през 2020 год.</w:t>
      </w:r>
      <w:bookmarkEnd w:id="474"/>
    </w:p>
    <w:p w14:paraId="741B9167"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lastRenderedPageBreak/>
        <w:t>През 2020 г. честотата на новите случаи на заболявания от злокачествени новообразува</w:t>
      </w:r>
      <w:r w:rsidRPr="009F6D1E">
        <w:rPr>
          <w:rFonts w:cs="Times New Roman"/>
          <w:color w:val="auto"/>
          <w:szCs w:val="24"/>
        </w:rPr>
        <w:softHyphen/>
        <w:t>ния намалява спрямо предходната година и е 399.3 на сто хиляди души от населението.</w:t>
      </w:r>
    </w:p>
    <w:p w14:paraId="60A60970" w14:textId="46B496FF"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В </w:t>
      </w:r>
      <w:proofErr w:type="spellStart"/>
      <w:r w:rsidRPr="009F6D1E">
        <w:rPr>
          <w:rFonts w:cs="Times New Roman"/>
          <w:color w:val="auto"/>
          <w:szCs w:val="24"/>
        </w:rPr>
        <w:t>нозологичната</w:t>
      </w:r>
      <w:proofErr w:type="spellEnd"/>
      <w:r w:rsidRPr="009F6D1E">
        <w:rPr>
          <w:rFonts w:cs="Times New Roman"/>
          <w:color w:val="auto"/>
          <w:szCs w:val="24"/>
        </w:rPr>
        <w:t xml:space="preserve"> структура на тези </w:t>
      </w:r>
      <w:proofErr w:type="spellStart"/>
      <w:r w:rsidRPr="009F6D1E">
        <w:rPr>
          <w:rFonts w:cs="Times New Roman"/>
          <w:color w:val="auto"/>
          <w:szCs w:val="24"/>
        </w:rPr>
        <w:t>забо</w:t>
      </w:r>
      <w:proofErr w:type="spellEnd"/>
      <w:r w:rsidRPr="009F6D1E">
        <w:rPr>
          <w:rFonts w:cs="Times New Roman"/>
          <w:color w:val="auto"/>
          <w:szCs w:val="24"/>
        </w:rPr>
        <w:t xml:space="preserve">- </w:t>
      </w:r>
      <w:proofErr w:type="spellStart"/>
      <w:r w:rsidRPr="009F6D1E">
        <w:rPr>
          <w:rFonts w:cs="Times New Roman"/>
          <w:color w:val="auto"/>
          <w:szCs w:val="24"/>
        </w:rPr>
        <w:t>лявания</w:t>
      </w:r>
      <w:proofErr w:type="spellEnd"/>
      <w:r w:rsidRPr="009F6D1E">
        <w:rPr>
          <w:rFonts w:cs="Times New Roman"/>
          <w:color w:val="auto"/>
          <w:szCs w:val="24"/>
        </w:rPr>
        <w:t xml:space="preserve"> няма съществени изменения. Висока е заболеваемостта от злокачествени новообразу</w:t>
      </w:r>
      <w:r w:rsidRPr="009F6D1E">
        <w:rPr>
          <w:rFonts w:cs="Times New Roman"/>
          <w:color w:val="auto"/>
          <w:szCs w:val="24"/>
        </w:rPr>
        <w:softHyphen/>
        <w:t>вания на: млечната жлеза при жените; проста</w:t>
      </w:r>
      <w:r w:rsidRPr="009F6D1E">
        <w:rPr>
          <w:rFonts w:cs="Times New Roman"/>
          <w:color w:val="auto"/>
          <w:szCs w:val="24"/>
        </w:rPr>
        <w:softHyphen/>
        <w:t xml:space="preserve">тата; кожата; трахеята, бронхите и белия дроб; дебелото черво; тялото на матката; шийката на матката; пикочния мехур; </w:t>
      </w:r>
      <w:proofErr w:type="spellStart"/>
      <w:r w:rsidRPr="009F6D1E">
        <w:rPr>
          <w:rFonts w:cs="Times New Roman"/>
          <w:color w:val="auto"/>
          <w:szCs w:val="24"/>
        </w:rPr>
        <w:t>ректосигмоидалната</w:t>
      </w:r>
      <w:proofErr w:type="spellEnd"/>
      <w:r w:rsidRPr="009F6D1E">
        <w:rPr>
          <w:rFonts w:cs="Times New Roman"/>
          <w:color w:val="auto"/>
          <w:szCs w:val="24"/>
        </w:rPr>
        <w:t xml:space="preserve"> област, правото черво (ректум), ануса и анал</w:t>
      </w:r>
      <w:r w:rsidRPr="009F6D1E">
        <w:rPr>
          <w:rFonts w:cs="Times New Roman"/>
          <w:color w:val="auto"/>
          <w:szCs w:val="24"/>
        </w:rPr>
        <w:softHyphen/>
        <w:t xml:space="preserve">ния канал и т.н. Данни за регистрираните случаи на злокачествени новообразувания през 2020 год. на 100 000 души от населението е дадена на </w:t>
      </w:r>
      <w:r w:rsidR="003F3D71" w:rsidRPr="009F6D1E">
        <w:rPr>
          <w:rFonts w:cs="Times New Roman"/>
          <w:color w:val="auto"/>
          <w:szCs w:val="24"/>
        </w:rPr>
        <w:fldChar w:fldCharType="begin"/>
      </w:r>
      <w:r w:rsidR="00BC5238" w:rsidRPr="009F6D1E">
        <w:rPr>
          <w:rFonts w:cs="Times New Roman"/>
          <w:color w:val="auto"/>
          <w:szCs w:val="24"/>
        </w:rPr>
        <w:instrText xml:space="preserve"> REF _Ref107174159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D61D0C">
        <w:rPr>
          <w:color w:val="auto"/>
        </w:rPr>
        <w:t xml:space="preserve">Фигура </w:t>
      </w:r>
      <w:r w:rsidR="00A43EF3">
        <w:rPr>
          <w:noProof/>
          <w:color w:val="auto"/>
        </w:rPr>
        <w:t>88</w:t>
      </w:r>
      <w:r w:rsidR="003F3D71" w:rsidRPr="009F6D1E">
        <w:rPr>
          <w:rFonts w:cs="Times New Roman"/>
          <w:color w:val="auto"/>
          <w:szCs w:val="24"/>
        </w:rPr>
        <w:fldChar w:fldCharType="end"/>
      </w:r>
      <w:r w:rsidRPr="009F6D1E">
        <w:rPr>
          <w:rFonts w:cs="Times New Roman"/>
          <w:color w:val="auto"/>
          <w:szCs w:val="24"/>
        </w:rPr>
        <w:t xml:space="preserve"> по-долу.</w:t>
      </w:r>
    </w:p>
    <w:p w14:paraId="5CC4F29D" w14:textId="77777777" w:rsidR="00EE71AE" w:rsidRPr="009F6D1E" w:rsidRDefault="00EE71AE" w:rsidP="0084747F">
      <w:pPr>
        <w:spacing w:after="60" w:line="264" w:lineRule="auto"/>
        <w:ind w:firstLine="708"/>
        <w:jc w:val="both"/>
        <w:rPr>
          <w:rFonts w:cs="Times New Roman"/>
          <w:color w:val="auto"/>
          <w:szCs w:val="24"/>
        </w:rPr>
      </w:pPr>
    </w:p>
    <w:p w14:paraId="0A9C6494" w14:textId="77777777" w:rsidR="00981F7B" w:rsidRPr="009F6D1E" w:rsidRDefault="00981F7B"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drawing>
          <wp:inline distT="0" distB="0" distL="0" distR="0" wp14:anchorId="08C064FD" wp14:editId="57EEE805">
            <wp:extent cx="4882101" cy="3099311"/>
            <wp:effectExtent l="0" t="0" r="0" b="6350"/>
            <wp:docPr id="8"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16" cstate="print"/>
                    <a:stretch>
                      <a:fillRect/>
                    </a:stretch>
                  </pic:blipFill>
                  <pic:spPr>
                    <a:xfrm>
                      <a:off x="0" y="0"/>
                      <a:ext cx="4885512" cy="3101476"/>
                    </a:xfrm>
                    <a:prstGeom prst="rect">
                      <a:avLst/>
                    </a:prstGeom>
                  </pic:spPr>
                </pic:pic>
              </a:graphicData>
            </a:graphic>
          </wp:inline>
        </w:drawing>
      </w:r>
    </w:p>
    <w:p w14:paraId="2CCB38B1" w14:textId="1C83C745" w:rsidR="00981F7B" w:rsidRPr="009F6D1E" w:rsidRDefault="00BC5238" w:rsidP="00BC5238">
      <w:pPr>
        <w:pStyle w:val="Caption"/>
        <w:rPr>
          <w:color w:val="auto"/>
        </w:rPr>
      </w:pPr>
      <w:bookmarkStart w:id="475" w:name="_Ref107174159"/>
      <w:bookmarkStart w:id="476" w:name="_Toc115255149"/>
      <w:r w:rsidRPr="00D61D0C">
        <w:rPr>
          <w:color w:val="auto"/>
        </w:rPr>
        <w:t xml:space="preserve">Фигура </w:t>
      </w:r>
      <w:r w:rsidRPr="00D61D0C">
        <w:rPr>
          <w:color w:val="auto"/>
        </w:rPr>
        <w:fldChar w:fldCharType="begin"/>
      </w:r>
      <w:r w:rsidRPr="00D61D0C">
        <w:rPr>
          <w:color w:val="auto"/>
        </w:rPr>
        <w:instrText xml:space="preserve"> SEQ Фигура \* ARABIC </w:instrText>
      </w:r>
      <w:r w:rsidRPr="00D61D0C">
        <w:rPr>
          <w:color w:val="auto"/>
        </w:rPr>
        <w:fldChar w:fldCharType="separate"/>
      </w:r>
      <w:r w:rsidR="00A43EF3">
        <w:rPr>
          <w:noProof/>
          <w:color w:val="auto"/>
        </w:rPr>
        <w:t>88</w:t>
      </w:r>
      <w:r w:rsidRPr="00D61D0C">
        <w:rPr>
          <w:noProof/>
          <w:color w:val="auto"/>
        </w:rPr>
        <w:fldChar w:fldCharType="end"/>
      </w:r>
      <w:bookmarkEnd w:id="475"/>
      <w:r w:rsidRPr="00D61D0C">
        <w:rPr>
          <w:color w:val="auto"/>
        </w:rPr>
        <w:t xml:space="preserve">: </w:t>
      </w:r>
      <w:r w:rsidR="00981F7B" w:rsidRPr="00D61D0C">
        <w:rPr>
          <w:color w:val="auto"/>
        </w:rPr>
        <w:t xml:space="preserve">Регистрирани случаи на злокачествени новообразувания през 2020 год. на 100 000 души </w:t>
      </w:r>
      <w:r w:rsidR="00981F7B" w:rsidRPr="009F6D1E">
        <w:rPr>
          <w:color w:val="auto"/>
        </w:rPr>
        <w:t>от населението</w:t>
      </w:r>
      <w:bookmarkEnd w:id="476"/>
    </w:p>
    <w:p w14:paraId="0B4A9740"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През 2020 г. заболеваемостта от злокачест</w:t>
      </w:r>
      <w:r w:rsidRPr="009F6D1E">
        <w:rPr>
          <w:rFonts w:cs="Times New Roman"/>
          <w:color w:val="auto"/>
          <w:szCs w:val="24"/>
        </w:rPr>
        <w:softHyphen/>
        <w:t>вени новообразувания при децата до 17 години е 5.2 на сто хиляди, като с най-висока честота са злокачествените заболявания на лимфна</w:t>
      </w:r>
      <w:r w:rsidRPr="009F6D1E">
        <w:rPr>
          <w:rFonts w:cs="Times New Roman"/>
          <w:color w:val="auto"/>
          <w:szCs w:val="24"/>
        </w:rPr>
        <w:softHyphen/>
        <w:t xml:space="preserve">та, </w:t>
      </w:r>
      <w:proofErr w:type="spellStart"/>
      <w:r w:rsidRPr="009F6D1E">
        <w:rPr>
          <w:rFonts w:cs="Times New Roman"/>
          <w:color w:val="auto"/>
          <w:szCs w:val="24"/>
        </w:rPr>
        <w:t>кръвотворната</w:t>
      </w:r>
      <w:proofErr w:type="spellEnd"/>
      <w:r w:rsidRPr="009F6D1E">
        <w:rPr>
          <w:rFonts w:cs="Times New Roman"/>
          <w:color w:val="auto"/>
          <w:szCs w:val="24"/>
        </w:rPr>
        <w:t xml:space="preserve"> и сродните им тъкани - 3.0 на сто хиляди. Следват злокачествените ново</w:t>
      </w:r>
      <w:r w:rsidRPr="009F6D1E">
        <w:rPr>
          <w:rFonts w:cs="Times New Roman"/>
          <w:color w:val="auto"/>
          <w:szCs w:val="24"/>
        </w:rPr>
        <w:softHyphen/>
        <w:t>образувания на: окото, главния мозък и други части на централната нервна система, пикочна</w:t>
      </w:r>
      <w:r w:rsidRPr="009F6D1E">
        <w:rPr>
          <w:rFonts w:cs="Times New Roman"/>
          <w:color w:val="auto"/>
          <w:szCs w:val="24"/>
        </w:rPr>
        <w:softHyphen/>
        <w:t xml:space="preserve">та система и неточно определени, вторични и неуточнени </w:t>
      </w:r>
      <w:proofErr w:type="spellStart"/>
      <w:r w:rsidRPr="009F6D1E">
        <w:rPr>
          <w:rFonts w:cs="Times New Roman"/>
          <w:color w:val="auto"/>
          <w:szCs w:val="24"/>
        </w:rPr>
        <w:t>лoкaлuзaции</w:t>
      </w:r>
      <w:proofErr w:type="spellEnd"/>
      <w:r w:rsidRPr="009F6D1E">
        <w:rPr>
          <w:rFonts w:cs="Times New Roman"/>
          <w:color w:val="auto"/>
          <w:szCs w:val="24"/>
        </w:rPr>
        <w:t xml:space="preserve"> - по 0.4 на сто хиляди; женските полови органи и </w:t>
      </w:r>
      <w:proofErr w:type="spellStart"/>
      <w:r w:rsidRPr="009F6D1E">
        <w:rPr>
          <w:rFonts w:cs="Times New Roman"/>
          <w:color w:val="auto"/>
          <w:szCs w:val="24"/>
        </w:rPr>
        <w:t>мезотелиалната</w:t>
      </w:r>
      <w:proofErr w:type="spellEnd"/>
      <w:r w:rsidRPr="009F6D1E">
        <w:rPr>
          <w:rFonts w:cs="Times New Roman"/>
          <w:color w:val="auto"/>
          <w:szCs w:val="24"/>
        </w:rPr>
        <w:t xml:space="preserve"> и меките тъкани - по 0.3 на сто хиляди, щито</w:t>
      </w:r>
      <w:r w:rsidRPr="009F6D1E">
        <w:rPr>
          <w:rFonts w:cs="Times New Roman"/>
          <w:color w:val="auto"/>
          <w:szCs w:val="24"/>
        </w:rPr>
        <w:softHyphen/>
        <w:t>видна и други ендокринни жлези и мъжки по</w:t>
      </w:r>
      <w:r w:rsidRPr="009F6D1E">
        <w:rPr>
          <w:rFonts w:cs="Times New Roman"/>
          <w:color w:val="auto"/>
          <w:szCs w:val="24"/>
        </w:rPr>
        <w:softHyphen/>
        <w:t>лови органи - по 0.2 на сто хиляди, и т.н.</w:t>
      </w:r>
    </w:p>
    <w:p w14:paraId="47992786"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Заболеваемостта от сифилис през 2020 г. е по-ниска в сравнение с предходната година и е 4.7 на сто хиляди души от населението.</w:t>
      </w:r>
    </w:p>
    <w:p w14:paraId="598E1F23" w14:textId="43BE58F9" w:rsidR="00981F7B" w:rsidRPr="009F6D1E" w:rsidRDefault="00981F7B" w:rsidP="0084747F">
      <w:pPr>
        <w:spacing w:after="60" w:line="264" w:lineRule="auto"/>
        <w:jc w:val="both"/>
        <w:rPr>
          <w:rFonts w:cs="Times New Roman"/>
          <w:color w:val="auto"/>
          <w:szCs w:val="24"/>
        </w:rPr>
      </w:pPr>
      <w:r w:rsidRPr="009F6D1E">
        <w:rPr>
          <w:rFonts w:cs="Times New Roman"/>
          <w:color w:val="auto"/>
          <w:szCs w:val="24"/>
        </w:rPr>
        <w:t xml:space="preserve">Сред децата до 17-годишна възраст водещо място заемат заболяванията от </w:t>
      </w:r>
      <w:proofErr w:type="spellStart"/>
      <w:r w:rsidRPr="009F6D1E">
        <w:rPr>
          <w:rFonts w:cs="Times New Roman"/>
          <w:color w:val="auto"/>
          <w:szCs w:val="24"/>
        </w:rPr>
        <w:t>микр</w:t>
      </w:r>
      <w:r w:rsidR="008C39A2">
        <w:rPr>
          <w:rFonts w:cs="Times New Roman"/>
          <w:color w:val="auto"/>
          <w:szCs w:val="24"/>
        </w:rPr>
        <w:t>осп</w:t>
      </w:r>
      <w:r w:rsidRPr="009F6D1E">
        <w:rPr>
          <w:rFonts w:cs="Times New Roman"/>
          <w:color w:val="auto"/>
          <w:szCs w:val="24"/>
        </w:rPr>
        <w:t>ория</w:t>
      </w:r>
      <w:proofErr w:type="spellEnd"/>
      <w:r w:rsidRPr="009F6D1E">
        <w:rPr>
          <w:rFonts w:cs="Times New Roman"/>
          <w:color w:val="auto"/>
          <w:szCs w:val="24"/>
        </w:rPr>
        <w:t xml:space="preserve">, </w:t>
      </w:r>
      <w:proofErr w:type="spellStart"/>
      <w:r w:rsidRPr="009F6D1E">
        <w:rPr>
          <w:rFonts w:cs="Times New Roman"/>
          <w:color w:val="auto"/>
          <w:szCs w:val="24"/>
        </w:rPr>
        <w:t>трихофития</w:t>
      </w:r>
      <w:proofErr w:type="spellEnd"/>
      <w:r w:rsidRPr="009F6D1E">
        <w:rPr>
          <w:rFonts w:cs="Times New Roman"/>
          <w:color w:val="auto"/>
          <w:szCs w:val="24"/>
        </w:rPr>
        <w:t xml:space="preserve"> и </w:t>
      </w:r>
      <w:proofErr w:type="spellStart"/>
      <w:r w:rsidRPr="009F6D1E">
        <w:rPr>
          <w:rFonts w:cs="Times New Roman"/>
          <w:color w:val="auto"/>
          <w:szCs w:val="24"/>
        </w:rPr>
        <w:t>фавус</w:t>
      </w:r>
      <w:proofErr w:type="spellEnd"/>
      <w:r w:rsidRPr="009F6D1E">
        <w:rPr>
          <w:rFonts w:cs="Times New Roman"/>
          <w:color w:val="auto"/>
          <w:szCs w:val="24"/>
        </w:rPr>
        <w:t>, като по-голямата част от регистрираните случаи са нови.</w:t>
      </w:r>
    </w:p>
    <w:p w14:paraId="3C4D6B4A" w14:textId="5063B183"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Х</w:t>
      </w:r>
      <w:r w:rsidR="008C39A2">
        <w:rPr>
          <w:rFonts w:cs="Times New Roman"/>
          <w:color w:val="auto"/>
          <w:szCs w:val="24"/>
        </w:rPr>
        <w:t>осп</w:t>
      </w:r>
      <w:r w:rsidRPr="009F6D1E">
        <w:rPr>
          <w:rFonts w:cs="Times New Roman"/>
          <w:color w:val="auto"/>
          <w:szCs w:val="24"/>
        </w:rPr>
        <w:t>итализираните случаи (изписани и умрели) в стационарите на лечебните заведе</w:t>
      </w:r>
      <w:r w:rsidRPr="009F6D1E">
        <w:rPr>
          <w:rFonts w:cs="Times New Roman"/>
          <w:color w:val="auto"/>
          <w:szCs w:val="24"/>
        </w:rPr>
        <w:softHyphen/>
        <w:t xml:space="preserve">ния през 2020 г. показват рязко намаление - с 448 697 от 2 412 523 през 2019 г. на 1 963 826 през </w:t>
      </w:r>
      <w:r w:rsidRPr="009F6D1E">
        <w:rPr>
          <w:rFonts w:cs="Times New Roman"/>
          <w:color w:val="auto"/>
          <w:szCs w:val="24"/>
        </w:rPr>
        <w:lastRenderedPageBreak/>
        <w:t>2020 година. От тях 343 322 (17.5%) случая са по повод фактори, влияещи върху здравното със</w:t>
      </w:r>
      <w:r w:rsidRPr="009F6D1E">
        <w:rPr>
          <w:rFonts w:cs="Times New Roman"/>
          <w:color w:val="auto"/>
          <w:szCs w:val="24"/>
        </w:rPr>
        <w:softHyphen/>
        <w:t>тояние на населението и контакта със здравни</w:t>
      </w:r>
      <w:r w:rsidRPr="009F6D1E">
        <w:rPr>
          <w:rFonts w:cs="Times New Roman"/>
          <w:color w:val="auto"/>
          <w:szCs w:val="24"/>
        </w:rPr>
        <w:softHyphen/>
        <w:t>те служби.</w:t>
      </w:r>
    </w:p>
    <w:p w14:paraId="0119CD1A" w14:textId="09BDD33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В структурата на х</w:t>
      </w:r>
      <w:r w:rsidR="008C39A2">
        <w:rPr>
          <w:rFonts w:cs="Times New Roman"/>
          <w:color w:val="auto"/>
          <w:szCs w:val="24"/>
        </w:rPr>
        <w:t>осп</w:t>
      </w:r>
      <w:r w:rsidRPr="009F6D1E">
        <w:rPr>
          <w:rFonts w:cs="Times New Roman"/>
          <w:color w:val="auto"/>
          <w:szCs w:val="24"/>
        </w:rPr>
        <w:t>итализираните слу</w:t>
      </w:r>
      <w:r w:rsidRPr="009F6D1E">
        <w:rPr>
          <w:rFonts w:cs="Times New Roman"/>
          <w:color w:val="auto"/>
          <w:szCs w:val="24"/>
        </w:rPr>
        <w:softHyphen/>
        <w:t>чаи по класове болести водещо място през 2020 г. заемат болестите на органите на кръ</w:t>
      </w:r>
      <w:r w:rsidRPr="009F6D1E">
        <w:rPr>
          <w:rFonts w:cs="Times New Roman"/>
          <w:color w:val="auto"/>
          <w:szCs w:val="24"/>
        </w:rPr>
        <w:softHyphen/>
        <w:t>вообращението, храносмилателната система, дихателната система, новообразуванията, бо</w:t>
      </w:r>
      <w:r w:rsidRPr="009F6D1E">
        <w:rPr>
          <w:rFonts w:cs="Times New Roman"/>
          <w:color w:val="auto"/>
          <w:szCs w:val="24"/>
        </w:rPr>
        <w:softHyphen/>
        <w:t xml:space="preserve">лестите на </w:t>
      </w:r>
      <w:proofErr w:type="spellStart"/>
      <w:r w:rsidRPr="009F6D1E">
        <w:rPr>
          <w:rFonts w:cs="Times New Roman"/>
          <w:color w:val="auto"/>
          <w:szCs w:val="24"/>
        </w:rPr>
        <w:t>пикочо</w:t>
      </w:r>
      <w:proofErr w:type="spellEnd"/>
      <w:r w:rsidRPr="009F6D1E">
        <w:rPr>
          <w:rFonts w:cs="Times New Roman"/>
          <w:color w:val="auto"/>
          <w:szCs w:val="24"/>
        </w:rPr>
        <w:t>-половата система, травмите, отравянията и някои други последици от въз</w:t>
      </w:r>
      <w:r w:rsidRPr="009F6D1E">
        <w:rPr>
          <w:rFonts w:cs="Times New Roman"/>
          <w:color w:val="auto"/>
          <w:szCs w:val="24"/>
        </w:rPr>
        <w:softHyphen/>
        <w:t xml:space="preserve">действието на външни причини, бременността, раждането и </w:t>
      </w:r>
      <w:proofErr w:type="spellStart"/>
      <w:r w:rsidRPr="009F6D1E">
        <w:rPr>
          <w:rFonts w:cs="Times New Roman"/>
          <w:color w:val="auto"/>
          <w:szCs w:val="24"/>
        </w:rPr>
        <w:t>послеродовият</w:t>
      </w:r>
      <w:proofErr w:type="spellEnd"/>
      <w:r w:rsidRPr="009F6D1E">
        <w:rPr>
          <w:rFonts w:cs="Times New Roman"/>
          <w:color w:val="auto"/>
          <w:szCs w:val="24"/>
        </w:rPr>
        <w:t xml:space="preserve"> период, болестите на костно-мускулната и на съединителната тъ</w:t>
      </w:r>
      <w:r w:rsidRPr="009F6D1E">
        <w:rPr>
          <w:rFonts w:cs="Times New Roman"/>
          <w:color w:val="auto"/>
          <w:szCs w:val="24"/>
        </w:rPr>
        <w:softHyphen/>
        <w:t>кан, COVID-19 инфекция.</w:t>
      </w:r>
    </w:p>
    <w:p w14:paraId="55DE2267" w14:textId="1C738C2D"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При децата до 17-годишна възраст най-го- </w:t>
      </w:r>
      <w:proofErr w:type="spellStart"/>
      <w:r w:rsidRPr="009F6D1E">
        <w:rPr>
          <w:rFonts w:cs="Times New Roman"/>
          <w:color w:val="auto"/>
          <w:szCs w:val="24"/>
        </w:rPr>
        <w:t>лям</w:t>
      </w:r>
      <w:proofErr w:type="spellEnd"/>
      <w:r w:rsidRPr="009F6D1E">
        <w:rPr>
          <w:rFonts w:cs="Times New Roman"/>
          <w:color w:val="auto"/>
          <w:szCs w:val="24"/>
        </w:rPr>
        <w:t xml:space="preserve"> сред класовете болести е относителният дял на х</w:t>
      </w:r>
      <w:r w:rsidR="008C39A2">
        <w:rPr>
          <w:rFonts w:cs="Times New Roman"/>
          <w:color w:val="auto"/>
          <w:szCs w:val="24"/>
        </w:rPr>
        <w:t>осп</w:t>
      </w:r>
      <w:r w:rsidRPr="009F6D1E">
        <w:rPr>
          <w:rFonts w:cs="Times New Roman"/>
          <w:color w:val="auto"/>
          <w:szCs w:val="24"/>
        </w:rPr>
        <w:t>итализираните случаи поради: бо</w:t>
      </w:r>
      <w:r w:rsidRPr="009F6D1E">
        <w:rPr>
          <w:rFonts w:cs="Times New Roman"/>
          <w:color w:val="auto"/>
          <w:szCs w:val="24"/>
        </w:rPr>
        <w:softHyphen/>
        <w:t>лести на дихателната система; някои състоя</w:t>
      </w:r>
      <w:r w:rsidRPr="009F6D1E">
        <w:rPr>
          <w:rFonts w:cs="Times New Roman"/>
          <w:color w:val="auto"/>
          <w:szCs w:val="24"/>
        </w:rPr>
        <w:softHyphen/>
        <w:t xml:space="preserve">ния, възникващи през </w:t>
      </w:r>
      <w:proofErr w:type="spellStart"/>
      <w:r w:rsidRPr="009F6D1E">
        <w:rPr>
          <w:rFonts w:cs="Times New Roman"/>
          <w:color w:val="auto"/>
          <w:szCs w:val="24"/>
        </w:rPr>
        <w:t>перинаталния</w:t>
      </w:r>
      <w:proofErr w:type="spellEnd"/>
      <w:r w:rsidRPr="009F6D1E">
        <w:rPr>
          <w:rFonts w:cs="Times New Roman"/>
          <w:color w:val="auto"/>
          <w:szCs w:val="24"/>
        </w:rPr>
        <w:t xml:space="preserve"> период; травми, отравяния и някои други последици от въздействието на външни причини; болести на храносмилателната система, болести на </w:t>
      </w:r>
      <w:proofErr w:type="spellStart"/>
      <w:r w:rsidRPr="009F6D1E">
        <w:rPr>
          <w:rFonts w:cs="Times New Roman"/>
          <w:color w:val="auto"/>
          <w:szCs w:val="24"/>
        </w:rPr>
        <w:t>пикочо</w:t>
      </w:r>
      <w:proofErr w:type="spellEnd"/>
      <w:r w:rsidRPr="009F6D1E">
        <w:rPr>
          <w:rFonts w:cs="Times New Roman"/>
          <w:color w:val="auto"/>
          <w:szCs w:val="24"/>
        </w:rPr>
        <w:t>-половата система. Сравнително висо</w:t>
      </w:r>
      <w:r w:rsidRPr="009F6D1E">
        <w:rPr>
          <w:rFonts w:cs="Times New Roman"/>
          <w:color w:val="auto"/>
          <w:szCs w:val="24"/>
        </w:rPr>
        <w:softHyphen/>
        <w:t>кият относителен дял на х</w:t>
      </w:r>
      <w:r w:rsidR="008C39A2">
        <w:rPr>
          <w:rFonts w:cs="Times New Roman"/>
          <w:color w:val="auto"/>
          <w:szCs w:val="24"/>
        </w:rPr>
        <w:t>осп</w:t>
      </w:r>
      <w:r w:rsidRPr="009F6D1E">
        <w:rPr>
          <w:rFonts w:cs="Times New Roman"/>
          <w:color w:val="auto"/>
          <w:szCs w:val="24"/>
        </w:rPr>
        <w:t xml:space="preserve">итализираните случаи при децата по повод фактори, влияещи върху здравното състояние на населението и контакта със здравните служби, е резултат от отчитането на здравите </w:t>
      </w:r>
      <w:proofErr w:type="spellStart"/>
      <w:r w:rsidRPr="009F6D1E">
        <w:rPr>
          <w:rFonts w:cs="Times New Roman"/>
          <w:color w:val="auto"/>
          <w:szCs w:val="24"/>
        </w:rPr>
        <w:t>живородени</w:t>
      </w:r>
      <w:proofErr w:type="spellEnd"/>
      <w:r w:rsidRPr="009F6D1E">
        <w:rPr>
          <w:rFonts w:cs="Times New Roman"/>
          <w:color w:val="auto"/>
          <w:szCs w:val="24"/>
        </w:rPr>
        <w:t xml:space="preserve"> деца към този клас.</w:t>
      </w:r>
    </w:p>
    <w:p w14:paraId="45DABFF5" w14:textId="2A52E592"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Сред лицата на възраст 18 - 64 години най-голям сред класовете болести е делът на х</w:t>
      </w:r>
      <w:r w:rsidR="008C39A2">
        <w:rPr>
          <w:rFonts w:cs="Times New Roman"/>
          <w:color w:val="auto"/>
          <w:szCs w:val="24"/>
        </w:rPr>
        <w:t>осп</w:t>
      </w:r>
      <w:r w:rsidRPr="009F6D1E">
        <w:rPr>
          <w:rFonts w:cs="Times New Roman"/>
          <w:color w:val="auto"/>
          <w:szCs w:val="24"/>
        </w:rPr>
        <w:t>итализираните случаи поради бремен</w:t>
      </w:r>
      <w:r w:rsidRPr="009F6D1E">
        <w:rPr>
          <w:rFonts w:cs="Times New Roman"/>
          <w:color w:val="auto"/>
          <w:szCs w:val="24"/>
        </w:rPr>
        <w:softHyphen/>
        <w:t xml:space="preserve">ност, раждане и </w:t>
      </w:r>
      <w:proofErr w:type="spellStart"/>
      <w:r w:rsidRPr="009F6D1E">
        <w:rPr>
          <w:rFonts w:cs="Times New Roman"/>
          <w:color w:val="auto"/>
          <w:szCs w:val="24"/>
        </w:rPr>
        <w:t>послеродов</w:t>
      </w:r>
      <w:proofErr w:type="spellEnd"/>
      <w:r w:rsidRPr="009F6D1E">
        <w:rPr>
          <w:rFonts w:cs="Times New Roman"/>
          <w:color w:val="auto"/>
          <w:szCs w:val="24"/>
        </w:rPr>
        <w:t xml:space="preserve"> период, болести на храносмилателната система, болести на орга</w:t>
      </w:r>
      <w:r w:rsidRPr="009F6D1E">
        <w:rPr>
          <w:rFonts w:cs="Times New Roman"/>
          <w:color w:val="auto"/>
          <w:szCs w:val="24"/>
        </w:rPr>
        <w:softHyphen/>
        <w:t xml:space="preserve">ните на кръвообращението, новообразувания, болести на </w:t>
      </w:r>
      <w:proofErr w:type="spellStart"/>
      <w:r w:rsidRPr="009F6D1E">
        <w:rPr>
          <w:rFonts w:cs="Times New Roman"/>
          <w:color w:val="auto"/>
          <w:szCs w:val="24"/>
        </w:rPr>
        <w:t>пикочо</w:t>
      </w:r>
      <w:proofErr w:type="spellEnd"/>
      <w:r w:rsidRPr="009F6D1E">
        <w:rPr>
          <w:rFonts w:cs="Times New Roman"/>
          <w:color w:val="auto"/>
          <w:szCs w:val="24"/>
        </w:rPr>
        <w:t>-половата система, травми, отравяния и някои други последици от въз</w:t>
      </w:r>
      <w:r w:rsidRPr="009F6D1E">
        <w:rPr>
          <w:rFonts w:cs="Times New Roman"/>
          <w:color w:val="auto"/>
          <w:szCs w:val="24"/>
        </w:rPr>
        <w:softHyphen/>
        <w:t>действието на външни причини, болести на костно-мускулната система и съединителната тъкан.</w:t>
      </w:r>
    </w:p>
    <w:p w14:paraId="7402E694" w14:textId="76CDF28C"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Водещи заболявания в структурата на х</w:t>
      </w:r>
      <w:r w:rsidR="008C39A2">
        <w:rPr>
          <w:rFonts w:cs="Times New Roman"/>
          <w:color w:val="auto"/>
          <w:szCs w:val="24"/>
        </w:rPr>
        <w:t>осп</w:t>
      </w:r>
      <w:r w:rsidRPr="009F6D1E">
        <w:rPr>
          <w:rFonts w:cs="Times New Roman"/>
          <w:color w:val="auto"/>
          <w:szCs w:val="24"/>
        </w:rPr>
        <w:t>итализираните случаи по класове болести над 65-годишна възраст са болестите на органите на кръвообращението, на храносмилателната система, новообразуванията и болестите на ди</w:t>
      </w:r>
      <w:r w:rsidRPr="009F6D1E">
        <w:rPr>
          <w:rFonts w:cs="Times New Roman"/>
          <w:color w:val="auto"/>
          <w:szCs w:val="24"/>
        </w:rPr>
        <w:softHyphen/>
        <w:t>хателната система.</w:t>
      </w:r>
    </w:p>
    <w:p w14:paraId="2E54AE08" w14:textId="759320BA"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16-годишна възраст, на които е призна</w:t>
      </w:r>
      <w:r w:rsidRPr="009F6D1E">
        <w:rPr>
          <w:rFonts w:cs="Times New Roman"/>
          <w:color w:val="auto"/>
          <w:szCs w:val="24"/>
        </w:rPr>
        <w:softHyphen/>
        <w:t>та трайно намалена работ</w:t>
      </w:r>
      <w:r w:rsidR="008C39A2">
        <w:rPr>
          <w:rFonts w:cs="Times New Roman"/>
          <w:color w:val="auto"/>
          <w:szCs w:val="24"/>
        </w:rPr>
        <w:t>осп</w:t>
      </w:r>
      <w:r w:rsidRPr="009F6D1E">
        <w:rPr>
          <w:rFonts w:cs="Times New Roman"/>
          <w:color w:val="auto"/>
          <w:szCs w:val="24"/>
        </w:rPr>
        <w:t>особност/вид и степен на увреждане, e 52 879, или 9.0 на хиля</w:t>
      </w:r>
      <w:r w:rsidRPr="009F6D1E">
        <w:rPr>
          <w:rFonts w:cs="Times New Roman"/>
          <w:color w:val="auto"/>
          <w:szCs w:val="24"/>
        </w:rPr>
        <w:softHyphen/>
        <w:t>да души от населението над 16 години.</w:t>
      </w:r>
    </w:p>
    <w:p w14:paraId="01A542E6" w14:textId="22618140"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Лицата с трайно намалена работ</w:t>
      </w:r>
      <w:r w:rsidR="008C39A2">
        <w:rPr>
          <w:rFonts w:cs="Times New Roman"/>
          <w:color w:val="auto"/>
          <w:szCs w:val="24"/>
        </w:rPr>
        <w:t>осп</w:t>
      </w:r>
      <w:r w:rsidRPr="009F6D1E">
        <w:rPr>
          <w:rFonts w:cs="Times New Roman"/>
          <w:color w:val="auto"/>
          <w:szCs w:val="24"/>
        </w:rPr>
        <w:t>особност/вид и степен на увреждане от 50 до 70% са с най-голям относителен дял (33.6%), след</w:t>
      </w:r>
      <w:r w:rsidRPr="009F6D1E">
        <w:rPr>
          <w:rFonts w:cs="Times New Roman"/>
          <w:color w:val="auto"/>
          <w:szCs w:val="24"/>
        </w:rPr>
        <w:softHyphen/>
        <w:t>вани от лицата с над 90% (26.0%), със 71 - 90% (25.6%) и тези с до 50% (14.8%).</w:t>
      </w:r>
    </w:p>
    <w:p w14:paraId="3C042ACD" w14:textId="788BF9AF"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От общия брой на освидетелстваните лица, на които е призната трайно намалена работ</w:t>
      </w:r>
      <w:r w:rsidR="008C39A2">
        <w:rPr>
          <w:rFonts w:cs="Times New Roman"/>
          <w:color w:val="auto"/>
          <w:szCs w:val="24"/>
        </w:rPr>
        <w:t>осп</w:t>
      </w:r>
      <w:r w:rsidRPr="009F6D1E">
        <w:rPr>
          <w:rFonts w:cs="Times New Roman"/>
          <w:color w:val="auto"/>
          <w:szCs w:val="24"/>
        </w:rPr>
        <w:t>особност/вид и степен на увреждане през 2020 г., 34.7% са със срок две и три години, а 41.4% са „пожизнено“.</w:t>
      </w:r>
    </w:p>
    <w:p w14:paraId="06EACBA0" w14:textId="50037610"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Най-честата причина за призната трайно намалена работ</w:t>
      </w:r>
      <w:r w:rsidR="008C39A2">
        <w:rPr>
          <w:rFonts w:cs="Times New Roman"/>
          <w:color w:val="auto"/>
          <w:szCs w:val="24"/>
        </w:rPr>
        <w:t>осп</w:t>
      </w:r>
      <w:r w:rsidRPr="009F6D1E">
        <w:rPr>
          <w:rFonts w:cs="Times New Roman"/>
          <w:color w:val="auto"/>
          <w:szCs w:val="24"/>
        </w:rPr>
        <w:t>особност/вид и степен на ув</w:t>
      </w:r>
      <w:r w:rsidRPr="009F6D1E">
        <w:rPr>
          <w:rFonts w:cs="Times New Roman"/>
          <w:color w:val="auto"/>
          <w:szCs w:val="24"/>
        </w:rPr>
        <w:softHyphen/>
        <w:t>реждане са болестите на органите на кръвообра</w:t>
      </w:r>
      <w:r w:rsidRPr="009F6D1E">
        <w:rPr>
          <w:rFonts w:cs="Times New Roman"/>
          <w:color w:val="auto"/>
          <w:szCs w:val="24"/>
        </w:rPr>
        <w:softHyphen/>
        <w:t>щението - 32.3%. Следват новообразуванията (24.5%), болестите на костно-мускулната систе</w:t>
      </w:r>
      <w:r w:rsidRPr="009F6D1E">
        <w:rPr>
          <w:rFonts w:cs="Times New Roman"/>
          <w:color w:val="auto"/>
          <w:szCs w:val="24"/>
        </w:rPr>
        <w:softHyphen/>
        <w:t>ма и съединителната тъкан (11.5%), болестите на ендокринната система, разстройствата на хра</w:t>
      </w:r>
      <w:r w:rsidRPr="009F6D1E">
        <w:rPr>
          <w:rFonts w:cs="Times New Roman"/>
          <w:color w:val="auto"/>
          <w:szCs w:val="24"/>
        </w:rPr>
        <w:softHyphen/>
        <w:t>ненето и обмяната на веществата (5.8%) и т.н.</w:t>
      </w:r>
    </w:p>
    <w:p w14:paraId="78926D32" w14:textId="08A30911"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Наблюдава се определена специфика в </w:t>
      </w:r>
      <w:proofErr w:type="spellStart"/>
      <w:r w:rsidRPr="009F6D1E">
        <w:rPr>
          <w:rFonts w:cs="Times New Roman"/>
          <w:color w:val="auto"/>
          <w:szCs w:val="24"/>
        </w:rPr>
        <w:t>нозологичната</w:t>
      </w:r>
      <w:proofErr w:type="spellEnd"/>
      <w:r w:rsidRPr="009F6D1E">
        <w:rPr>
          <w:rFonts w:cs="Times New Roman"/>
          <w:color w:val="auto"/>
          <w:szCs w:val="24"/>
        </w:rPr>
        <w:t xml:space="preserve"> структура на заболяванията според тежестта на трайно намалената работ</w:t>
      </w:r>
      <w:r w:rsidR="008C39A2">
        <w:rPr>
          <w:rFonts w:cs="Times New Roman"/>
          <w:color w:val="auto"/>
          <w:szCs w:val="24"/>
        </w:rPr>
        <w:t>осп</w:t>
      </w:r>
      <w:r w:rsidRPr="009F6D1E">
        <w:rPr>
          <w:rFonts w:cs="Times New Roman"/>
          <w:color w:val="auto"/>
          <w:szCs w:val="24"/>
        </w:rPr>
        <w:t xml:space="preserve">особност/вид и степен на увреждане. При </w:t>
      </w:r>
      <w:r w:rsidRPr="009F6D1E">
        <w:rPr>
          <w:rFonts w:cs="Times New Roman"/>
          <w:color w:val="auto"/>
          <w:szCs w:val="24"/>
        </w:rPr>
        <w:lastRenderedPageBreak/>
        <w:t>лицата с над 90% трайно намалена работ</w:t>
      </w:r>
      <w:r w:rsidR="008C39A2">
        <w:rPr>
          <w:rFonts w:cs="Times New Roman"/>
          <w:color w:val="auto"/>
          <w:szCs w:val="24"/>
        </w:rPr>
        <w:t>оспо</w:t>
      </w:r>
      <w:r w:rsidRPr="009F6D1E">
        <w:rPr>
          <w:rFonts w:cs="Times New Roman"/>
          <w:color w:val="auto"/>
          <w:szCs w:val="24"/>
        </w:rPr>
        <w:t xml:space="preserve">собност/вид и степен на увреждане водещи за- </w:t>
      </w:r>
      <w:proofErr w:type="spellStart"/>
      <w:r w:rsidRPr="009F6D1E">
        <w:rPr>
          <w:rFonts w:cs="Times New Roman"/>
          <w:color w:val="auto"/>
          <w:szCs w:val="24"/>
        </w:rPr>
        <w:t>болявания</w:t>
      </w:r>
      <w:proofErr w:type="spellEnd"/>
      <w:r w:rsidRPr="009F6D1E">
        <w:rPr>
          <w:rFonts w:cs="Times New Roman"/>
          <w:color w:val="auto"/>
          <w:szCs w:val="24"/>
        </w:rPr>
        <w:t xml:space="preserve"> са новообразуванията, следвани от болестите на органите на кръвообращението, психичните и поведенческите разстройства, болестите на окото и придатъците му, болести</w:t>
      </w:r>
      <w:r w:rsidRPr="009F6D1E">
        <w:rPr>
          <w:rFonts w:cs="Times New Roman"/>
          <w:color w:val="auto"/>
          <w:szCs w:val="24"/>
        </w:rPr>
        <w:softHyphen/>
        <w:t>те на костно-мускулната система и съедини</w:t>
      </w:r>
      <w:r w:rsidRPr="009F6D1E">
        <w:rPr>
          <w:rFonts w:cs="Times New Roman"/>
          <w:color w:val="auto"/>
          <w:szCs w:val="24"/>
        </w:rPr>
        <w:softHyphen/>
        <w:t>телната тъкан, болестите на нервната система, травмите и отравянията и някои други после</w:t>
      </w:r>
      <w:r w:rsidRPr="009F6D1E">
        <w:rPr>
          <w:rFonts w:cs="Times New Roman"/>
          <w:color w:val="auto"/>
          <w:szCs w:val="24"/>
        </w:rPr>
        <w:softHyphen/>
        <w:t>дици от въздействието на външни причини. При лицата с трайно намалена работ</w:t>
      </w:r>
      <w:r w:rsidR="008C39A2">
        <w:rPr>
          <w:rFonts w:cs="Times New Roman"/>
          <w:color w:val="auto"/>
          <w:szCs w:val="24"/>
        </w:rPr>
        <w:t>о</w:t>
      </w:r>
      <w:r w:rsidR="00605A5C">
        <w:rPr>
          <w:rFonts w:cs="Times New Roman"/>
          <w:color w:val="auto"/>
          <w:szCs w:val="24"/>
        </w:rPr>
        <w:t>сп</w:t>
      </w:r>
      <w:r w:rsidRPr="009F6D1E">
        <w:rPr>
          <w:rFonts w:cs="Times New Roman"/>
          <w:color w:val="auto"/>
          <w:szCs w:val="24"/>
        </w:rPr>
        <w:t>особност/вид и степен на увреждане от 71 до 90% водещи са новообразуванията, следвани от бо</w:t>
      </w:r>
      <w:r w:rsidRPr="009F6D1E">
        <w:rPr>
          <w:rFonts w:cs="Times New Roman"/>
          <w:color w:val="auto"/>
          <w:szCs w:val="24"/>
        </w:rPr>
        <w:softHyphen/>
        <w:t>лестите на органите на кръвообращението, бо</w:t>
      </w:r>
      <w:r w:rsidRPr="009F6D1E">
        <w:rPr>
          <w:rFonts w:cs="Times New Roman"/>
          <w:color w:val="auto"/>
          <w:szCs w:val="24"/>
        </w:rPr>
        <w:softHyphen/>
        <w:t>лестите на костно-мускулната система и съеди</w:t>
      </w:r>
      <w:r w:rsidRPr="009F6D1E">
        <w:rPr>
          <w:rFonts w:cs="Times New Roman"/>
          <w:color w:val="auto"/>
          <w:szCs w:val="24"/>
        </w:rPr>
        <w:softHyphen/>
        <w:t>нителната тъкан, психичните и поведенческите разстройства, болестите на ендокринната сис</w:t>
      </w:r>
      <w:r w:rsidRPr="009F6D1E">
        <w:rPr>
          <w:rFonts w:cs="Times New Roman"/>
          <w:color w:val="auto"/>
          <w:szCs w:val="24"/>
        </w:rPr>
        <w:softHyphen/>
        <w:t>тема, разстройствата на храненето и обмяната на веществата, а при лицата с трайно намалена работ</w:t>
      </w:r>
      <w:r w:rsidR="00605A5C">
        <w:rPr>
          <w:rFonts w:cs="Times New Roman"/>
          <w:color w:val="auto"/>
          <w:szCs w:val="24"/>
        </w:rPr>
        <w:t>осп</w:t>
      </w:r>
      <w:r w:rsidRPr="009F6D1E">
        <w:rPr>
          <w:rFonts w:cs="Times New Roman"/>
          <w:color w:val="auto"/>
          <w:szCs w:val="24"/>
        </w:rPr>
        <w:t>особност/вид и степен на уврежда</w:t>
      </w:r>
      <w:r w:rsidRPr="009F6D1E">
        <w:rPr>
          <w:rFonts w:cs="Times New Roman"/>
          <w:color w:val="auto"/>
          <w:szCs w:val="24"/>
        </w:rPr>
        <w:softHyphen/>
        <w:t>не от 50 до 70% след болестите на органите на кръвообращението се нареждат болестите на костно-мускулната система и на съединител</w:t>
      </w:r>
      <w:r w:rsidRPr="009F6D1E">
        <w:rPr>
          <w:rFonts w:cs="Times New Roman"/>
          <w:color w:val="auto"/>
          <w:szCs w:val="24"/>
        </w:rPr>
        <w:softHyphen/>
        <w:t>ната тъкан, болестите на ендокринната систе</w:t>
      </w:r>
      <w:r w:rsidRPr="009F6D1E">
        <w:rPr>
          <w:rFonts w:cs="Times New Roman"/>
          <w:color w:val="auto"/>
          <w:szCs w:val="24"/>
        </w:rPr>
        <w:softHyphen/>
        <w:t>ма, разстройствата на храненето и обмяната на веществата, травмите и отравянията и някои други последици от въздействието на външни причини, психичните и поведенческите раз</w:t>
      </w:r>
      <w:r w:rsidRPr="009F6D1E">
        <w:rPr>
          <w:rFonts w:cs="Times New Roman"/>
          <w:color w:val="auto"/>
          <w:szCs w:val="24"/>
        </w:rPr>
        <w:softHyphen/>
        <w:t>стройства и други. Сред лицата с призната не- работ</w:t>
      </w:r>
      <w:r w:rsidR="00605A5C">
        <w:rPr>
          <w:rFonts w:cs="Times New Roman"/>
          <w:color w:val="auto"/>
          <w:szCs w:val="24"/>
        </w:rPr>
        <w:t>осп</w:t>
      </w:r>
      <w:r w:rsidRPr="009F6D1E">
        <w:rPr>
          <w:rFonts w:cs="Times New Roman"/>
          <w:color w:val="auto"/>
          <w:szCs w:val="24"/>
        </w:rPr>
        <w:t>особност/вид и степен на увреждане до 50% най-чести са заболяванията на органите на кръвообращението, на костно-мускулната система и на съединителната тъкан, на ендо</w:t>
      </w:r>
      <w:r w:rsidRPr="009F6D1E">
        <w:rPr>
          <w:rFonts w:cs="Times New Roman"/>
          <w:color w:val="auto"/>
          <w:szCs w:val="24"/>
        </w:rPr>
        <w:softHyphen/>
        <w:t>кринната система, разстройствата на хранене</w:t>
      </w:r>
      <w:r w:rsidRPr="009F6D1E">
        <w:rPr>
          <w:rFonts w:cs="Times New Roman"/>
          <w:color w:val="auto"/>
          <w:szCs w:val="24"/>
        </w:rPr>
        <w:softHyphen/>
        <w:t>то и на обмяната на веществата.</w:t>
      </w:r>
    </w:p>
    <w:p w14:paraId="24742096"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През последната година броят на освиде</w:t>
      </w:r>
      <w:r w:rsidRPr="009F6D1E">
        <w:rPr>
          <w:rFonts w:cs="Times New Roman"/>
          <w:color w:val="auto"/>
          <w:szCs w:val="24"/>
        </w:rPr>
        <w:softHyphen/>
        <w:t>телстваните деца до 16-годишна възраст, на които са признати вид и степен на увреждане, е 3 079, или 2.9 на хиляда.</w:t>
      </w:r>
    </w:p>
    <w:p w14:paraId="1612D311" w14:textId="77777777" w:rsidR="00981F7B" w:rsidRPr="009F6D1E" w:rsidRDefault="00981F7B" w:rsidP="0084747F">
      <w:pPr>
        <w:spacing w:after="60" w:line="264" w:lineRule="auto"/>
        <w:jc w:val="both"/>
        <w:rPr>
          <w:rFonts w:cs="Times New Roman"/>
          <w:color w:val="auto"/>
          <w:szCs w:val="24"/>
        </w:rPr>
      </w:pPr>
      <w:r w:rsidRPr="009F6D1E">
        <w:rPr>
          <w:rFonts w:cs="Times New Roman"/>
          <w:color w:val="auto"/>
          <w:szCs w:val="24"/>
        </w:rPr>
        <w:t>Най-голям е делът на освидетелстваните деца с вид и степен на увреждане от 50 до 70% (40.2%).</w:t>
      </w:r>
    </w:p>
    <w:p w14:paraId="6B37EBF8"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От освидетелстваните деца с признати вид и степен на увреждане 51.7% са със срок две и три години.</w:t>
      </w:r>
    </w:p>
    <w:p w14:paraId="5B647D28"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Водещи причини за признати вид и сте</w:t>
      </w:r>
      <w:r w:rsidRPr="009F6D1E">
        <w:rPr>
          <w:rFonts w:cs="Times New Roman"/>
          <w:color w:val="auto"/>
          <w:szCs w:val="24"/>
        </w:rPr>
        <w:softHyphen/>
        <w:t>пен на увреждане при освидетелстваните деца са психичните и поведенческите разстройства (24.0%), вродените аномалии (пороци на раз</w:t>
      </w:r>
      <w:r w:rsidRPr="009F6D1E">
        <w:rPr>
          <w:rFonts w:cs="Times New Roman"/>
          <w:color w:val="auto"/>
          <w:szCs w:val="24"/>
        </w:rPr>
        <w:softHyphen/>
        <w:t xml:space="preserve">витието), деформациите и хромозомните </w:t>
      </w:r>
      <w:proofErr w:type="spellStart"/>
      <w:r w:rsidRPr="009F6D1E">
        <w:rPr>
          <w:rFonts w:cs="Times New Roman"/>
          <w:color w:val="auto"/>
          <w:szCs w:val="24"/>
        </w:rPr>
        <w:t>абе</w:t>
      </w:r>
      <w:proofErr w:type="spellEnd"/>
      <w:r w:rsidRPr="009F6D1E">
        <w:rPr>
          <w:rFonts w:cs="Times New Roman"/>
          <w:color w:val="auto"/>
          <w:szCs w:val="24"/>
        </w:rPr>
        <w:t xml:space="preserve">- </w:t>
      </w:r>
      <w:proofErr w:type="spellStart"/>
      <w:r w:rsidRPr="009F6D1E">
        <w:rPr>
          <w:rFonts w:cs="Times New Roman"/>
          <w:color w:val="auto"/>
          <w:szCs w:val="24"/>
        </w:rPr>
        <w:t>рации</w:t>
      </w:r>
      <w:proofErr w:type="spellEnd"/>
      <w:r w:rsidRPr="009F6D1E">
        <w:rPr>
          <w:rFonts w:cs="Times New Roman"/>
          <w:color w:val="auto"/>
          <w:szCs w:val="24"/>
        </w:rPr>
        <w:t xml:space="preserve"> (17.5%), болестите на дихателната сис</w:t>
      </w:r>
      <w:r w:rsidRPr="009F6D1E">
        <w:rPr>
          <w:rFonts w:cs="Times New Roman"/>
          <w:color w:val="auto"/>
          <w:szCs w:val="24"/>
        </w:rPr>
        <w:softHyphen/>
        <w:t>тема (16.1%) и болестите на нервната система (11.1%).</w:t>
      </w:r>
    </w:p>
    <w:p w14:paraId="39224F4F"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При децата също се наблюдава известна специфика в </w:t>
      </w:r>
      <w:proofErr w:type="spellStart"/>
      <w:r w:rsidRPr="009F6D1E">
        <w:rPr>
          <w:rFonts w:cs="Times New Roman"/>
          <w:color w:val="auto"/>
          <w:szCs w:val="24"/>
        </w:rPr>
        <w:t>нозологичната</w:t>
      </w:r>
      <w:proofErr w:type="spellEnd"/>
      <w:r w:rsidRPr="009F6D1E">
        <w:rPr>
          <w:rFonts w:cs="Times New Roman"/>
          <w:color w:val="auto"/>
          <w:szCs w:val="24"/>
        </w:rPr>
        <w:t xml:space="preserve"> структура на за- </w:t>
      </w:r>
      <w:proofErr w:type="spellStart"/>
      <w:r w:rsidRPr="009F6D1E">
        <w:rPr>
          <w:rFonts w:cs="Times New Roman"/>
          <w:color w:val="auto"/>
          <w:szCs w:val="24"/>
        </w:rPr>
        <w:t>боляванията</w:t>
      </w:r>
      <w:proofErr w:type="spellEnd"/>
      <w:r w:rsidRPr="009F6D1E">
        <w:rPr>
          <w:rFonts w:cs="Times New Roman"/>
          <w:color w:val="auto"/>
          <w:szCs w:val="24"/>
        </w:rPr>
        <w:t xml:space="preserve"> според тежестта на признатите вид и степен на увреждане. За съвкупността с вид и степен на увреждане над 90% водещи заболявания са вродените аномалии (пороци на развитието), деформациите и хромозомни- те аберации, новообразуванията, болестите на нервната система, психичните и поведенче</w:t>
      </w:r>
      <w:r w:rsidRPr="009F6D1E">
        <w:rPr>
          <w:rFonts w:cs="Times New Roman"/>
          <w:color w:val="auto"/>
          <w:szCs w:val="24"/>
        </w:rPr>
        <w:softHyphen/>
        <w:t>ските разстройства. При децата с вид и степен на увреждане 71 - 90% водещи заболявания са психичните и поведенческите разстройства, болестите на ендокринната система, разстрой</w:t>
      </w:r>
      <w:r w:rsidRPr="009F6D1E">
        <w:rPr>
          <w:rFonts w:cs="Times New Roman"/>
          <w:color w:val="auto"/>
          <w:szCs w:val="24"/>
        </w:rPr>
        <w:softHyphen/>
        <w:t>ствата на храненето и на обмяната на вещества</w:t>
      </w:r>
      <w:r w:rsidRPr="009F6D1E">
        <w:rPr>
          <w:rFonts w:cs="Times New Roman"/>
          <w:color w:val="auto"/>
          <w:szCs w:val="24"/>
        </w:rPr>
        <w:softHyphen/>
        <w:t>та, болестите на нервната система, вродените аномалии (пороци на развитието), деформа</w:t>
      </w:r>
      <w:r w:rsidRPr="009F6D1E">
        <w:rPr>
          <w:rFonts w:cs="Times New Roman"/>
          <w:color w:val="auto"/>
          <w:szCs w:val="24"/>
        </w:rPr>
        <w:softHyphen/>
        <w:t>циите и хромозомните аберации. При децата с вид и степен на увреждане 50 - 70% и до 50% на първо място са болестите на дихателната сис</w:t>
      </w:r>
      <w:r w:rsidRPr="009F6D1E">
        <w:rPr>
          <w:rFonts w:cs="Times New Roman"/>
          <w:color w:val="auto"/>
          <w:szCs w:val="24"/>
        </w:rPr>
        <w:softHyphen/>
        <w:t>тема, психичните и поведенческите разстрой</w:t>
      </w:r>
      <w:r w:rsidRPr="009F6D1E">
        <w:rPr>
          <w:rFonts w:cs="Times New Roman"/>
          <w:color w:val="auto"/>
          <w:szCs w:val="24"/>
        </w:rPr>
        <w:softHyphen/>
        <w:t xml:space="preserve">ства, следвани от вродените аномалии (пороци на развитието), деформациите и хромозомните аберации, болестите на нервната система, като при първата група деца следват болестите на </w:t>
      </w:r>
      <w:r w:rsidRPr="009F6D1E">
        <w:rPr>
          <w:rFonts w:cs="Times New Roman"/>
          <w:color w:val="auto"/>
          <w:szCs w:val="24"/>
        </w:rPr>
        <w:lastRenderedPageBreak/>
        <w:t>костно-мускулната система и на съединител</w:t>
      </w:r>
      <w:r w:rsidRPr="009F6D1E">
        <w:rPr>
          <w:rFonts w:cs="Times New Roman"/>
          <w:color w:val="auto"/>
          <w:szCs w:val="24"/>
        </w:rPr>
        <w:softHyphen/>
        <w:t>ната тъкан и болестите на окото и придатъци</w:t>
      </w:r>
      <w:r w:rsidRPr="009F6D1E">
        <w:rPr>
          <w:rFonts w:cs="Times New Roman"/>
          <w:color w:val="auto"/>
          <w:szCs w:val="24"/>
        </w:rPr>
        <w:softHyphen/>
        <w:t xml:space="preserve">те му, а при втората група деца - болестите на окото и придатъците му и болестите на ухото и </w:t>
      </w:r>
      <w:proofErr w:type="spellStart"/>
      <w:r w:rsidRPr="009F6D1E">
        <w:rPr>
          <w:rFonts w:cs="Times New Roman"/>
          <w:color w:val="auto"/>
          <w:szCs w:val="24"/>
        </w:rPr>
        <w:t>мастоидния</w:t>
      </w:r>
      <w:proofErr w:type="spellEnd"/>
      <w:r w:rsidRPr="009F6D1E">
        <w:rPr>
          <w:rFonts w:cs="Times New Roman"/>
          <w:color w:val="auto"/>
          <w:szCs w:val="24"/>
        </w:rPr>
        <w:t xml:space="preserve"> израстък.</w:t>
      </w:r>
    </w:p>
    <w:p w14:paraId="74495320" w14:textId="77777777" w:rsidR="00981F7B" w:rsidRPr="009F6D1E" w:rsidRDefault="00981F7B" w:rsidP="0084747F">
      <w:pPr>
        <w:spacing w:after="60" w:line="264" w:lineRule="auto"/>
        <w:jc w:val="both"/>
        <w:rPr>
          <w:rFonts w:cs="Times New Roman"/>
          <w:color w:val="auto"/>
          <w:szCs w:val="24"/>
        </w:rPr>
      </w:pPr>
    </w:p>
    <w:p w14:paraId="3C06F321" w14:textId="77777777" w:rsidR="00981F7B" w:rsidRPr="009F6D1E" w:rsidRDefault="00981F7B">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Здравна мрежа и леглови фонд</w:t>
      </w:r>
    </w:p>
    <w:p w14:paraId="71AA003E" w14:textId="77777777" w:rsidR="00EE71AE" w:rsidRPr="009F6D1E" w:rsidRDefault="00EE71AE" w:rsidP="0084747F">
      <w:pPr>
        <w:spacing w:after="60" w:line="264" w:lineRule="auto"/>
        <w:ind w:firstLine="708"/>
        <w:jc w:val="both"/>
        <w:rPr>
          <w:rFonts w:cs="Times New Roman"/>
          <w:color w:val="auto"/>
          <w:szCs w:val="24"/>
        </w:rPr>
      </w:pPr>
    </w:p>
    <w:p w14:paraId="21D840C3"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Към 31.12.2020 г. в страната функционират 320 болници (публични и частни) с 51 991 лег</w:t>
      </w:r>
      <w:r w:rsidRPr="009F6D1E">
        <w:rPr>
          <w:rFonts w:cs="Times New Roman"/>
          <w:color w:val="auto"/>
          <w:szCs w:val="24"/>
        </w:rPr>
        <w:softHyphen/>
        <w:t>ла. От тях 183 са многопрофилните болници, които разполагат с 38 256 легла. Специализира</w:t>
      </w:r>
      <w:r w:rsidRPr="009F6D1E">
        <w:rPr>
          <w:rFonts w:cs="Times New Roman"/>
          <w:color w:val="auto"/>
          <w:szCs w:val="24"/>
        </w:rPr>
        <w:softHyphen/>
        <w:t>ните болници са 137. От тях за активно лечение са 74, за продължително лечение - 1, за про</w:t>
      </w:r>
      <w:r w:rsidRPr="009F6D1E">
        <w:rPr>
          <w:rFonts w:cs="Times New Roman"/>
          <w:color w:val="auto"/>
          <w:szCs w:val="24"/>
        </w:rPr>
        <w:softHyphen/>
        <w:t>дължително лечение и рехабилитация - 16, а специализираните болници за рехабилитация са 34. Общият брой легла в специализираните болници е 13 735. От тях 4 415 са в болниците за активно лечение, а 5 083 - в болниците за ре- хабилитация.</w:t>
      </w:r>
    </w:p>
    <w:p w14:paraId="00394499"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Няма промяна в броя на психиатричните болници - 12, а леглата, с които разполагат, са 2 114.</w:t>
      </w:r>
    </w:p>
    <w:p w14:paraId="30094733"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Към 31.12.2020 г. центровете за кожно-ве</w:t>
      </w:r>
      <w:r w:rsidRPr="009F6D1E">
        <w:rPr>
          <w:rFonts w:cs="Times New Roman"/>
          <w:color w:val="auto"/>
          <w:szCs w:val="24"/>
        </w:rPr>
        <w:softHyphen/>
        <w:t>нерически заболявания са 3 с 30 легла, цен</w:t>
      </w:r>
      <w:r w:rsidRPr="009F6D1E">
        <w:rPr>
          <w:rFonts w:cs="Times New Roman"/>
          <w:color w:val="auto"/>
          <w:szCs w:val="24"/>
        </w:rPr>
        <w:softHyphen/>
        <w:t>тровете за психично здраве - 12 с 1 010 легла, а комплексните онкологични центрове - 7 с 1 185 легла. Броят на центровете за психично здраве и комплексните онкологични центрове е една</w:t>
      </w:r>
      <w:r w:rsidRPr="009F6D1E">
        <w:rPr>
          <w:rFonts w:cs="Times New Roman"/>
          <w:color w:val="auto"/>
          <w:szCs w:val="24"/>
        </w:rPr>
        <w:softHyphen/>
        <w:t>къв с предходната година.</w:t>
      </w:r>
    </w:p>
    <w:p w14:paraId="6EFD2A0C"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Към 31.12.2020 г. броят на лечебните заве</w:t>
      </w:r>
      <w:r w:rsidRPr="009F6D1E">
        <w:rPr>
          <w:rFonts w:cs="Times New Roman"/>
          <w:color w:val="auto"/>
          <w:szCs w:val="24"/>
        </w:rPr>
        <w:softHyphen/>
        <w:t>дения за извънболнична помощ е 2 098. От тях най-голям е броят на медико-диагностичните и медико-техническите лаборатории - 1 132. След</w:t>
      </w:r>
      <w:r w:rsidRPr="009F6D1E">
        <w:rPr>
          <w:rFonts w:cs="Times New Roman"/>
          <w:color w:val="auto"/>
          <w:szCs w:val="24"/>
        </w:rPr>
        <w:softHyphen/>
        <w:t>ват медицинските центрове - 752, диагностич</w:t>
      </w:r>
      <w:r w:rsidRPr="009F6D1E">
        <w:rPr>
          <w:rFonts w:cs="Times New Roman"/>
          <w:color w:val="auto"/>
          <w:szCs w:val="24"/>
        </w:rPr>
        <w:softHyphen/>
        <w:t>но-консултативните центрове - 110, денталните центрове - 54, и медико-денталните центрове - 50. Независимо от статута им на лечебни за</w:t>
      </w:r>
      <w:r w:rsidRPr="009F6D1E">
        <w:rPr>
          <w:rFonts w:cs="Times New Roman"/>
          <w:color w:val="auto"/>
          <w:szCs w:val="24"/>
        </w:rPr>
        <w:softHyphen/>
        <w:t>ведения за извънболнична помощ по закон те имат право да разкриват легла за наблюдение и лечение до 48 часа. Общият брой легла в тези лечебни заведения на 31.12.2020 г. е 1 296.</w:t>
      </w:r>
    </w:p>
    <w:p w14:paraId="0142F145"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Броят на леглата в болниците към 31.12.2020 г. е 51 991. Осигуреността на 10 000 души от населението с легла в болниците е 75.2. Най-висока е осигуреността с легла за активно лечение - 54.1 на десет хиляди. От тях най-висо</w:t>
      </w:r>
      <w:r w:rsidRPr="009F6D1E">
        <w:rPr>
          <w:rFonts w:cs="Times New Roman"/>
          <w:color w:val="auto"/>
          <w:szCs w:val="24"/>
        </w:rPr>
        <w:softHyphen/>
        <w:t>ка е осигуреността с терапевтични легла - 29.4. Осигуреността с хирургични легла е 11.6 на де</w:t>
      </w:r>
      <w:r w:rsidRPr="009F6D1E">
        <w:rPr>
          <w:rFonts w:cs="Times New Roman"/>
          <w:color w:val="auto"/>
          <w:szCs w:val="24"/>
        </w:rPr>
        <w:softHyphen/>
        <w:t xml:space="preserve">сет хиляди, с педиатрични - 5.7, с </w:t>
      </w:r>
      <w:proofErr w:type="spellStart"/>
      <w:r w:rsidRPr="009F6D1E">
        <w:rPr>
          <w:rFonts w:cs="Times New Roman"/>
          <w:color w:val="auto"/>
          <w:szCs w:val="24"/>
        </w:rPr>
        <w:t>акушеро</w:t>
      </w:r>
      <w:proofErr w:type="spellEnd"/>
      <w:r w:rsidRPr="009F6D1E">
        <w:rPr>
          <w:rFonts w:cs="Times New Roman"/>
          <w:color w:val="auto"/>
          <w:szCs w:val="24"/>
        </w:rPr>
        <w:t xml:space="preserve">-ги- </w:t>
      </w:r>
      <w:proofErr w:type="spellStart"/>
      <w:r w:rsidRPr="009F6D1E">
        <w:rPr>
          <w:rFonts w:cs="Times New Roman"/>
          <w:color w:val="auto"/>
          <w:szCs w:val="24"/>
        </w:rPr>
        <w:t>некологични</w:t>
      </w:r>
      <w:proofErr w:type="spellEnd"/>
      <w:r w:rsidRPr="009F6D1E">
        <w:rPr>
          <w:rFonts w:cs="Times New Roman"/>
          <w:color w:val="auto"/>
          <w:szCs w:val="24"/>
        </w:rPr>
        <w:t xml:space="preserve"> - 4.2, с интензивни - 3.2. От тера</w:t>
      </w:r>
      <w:r w:rsidRPr="009F6D1E">
        <w:rPr>
          <w:rFonts w:cs="Times New Roman"/>
          <w:color w:val="auto"/>
          <w:szCs w:val="24"/>
        </w:rPr>
        <w:softHyphen/>
        <w:t>певтичните легла най-висока е осигуреността с легла за COVID-19 инфекция (трансформирани от други видове легла извън инфекциозните легла) - 10.4, нервни болести - 3.6 на десет хи</w:t>
      </w:r>
      <w:r w:rsidRPr="009F6D1E">
        <w:rPr>
          <w:rFonts w:cs="Times New Roman"/>
          <w:color w:val="auto"/>
          <w:szCs w:val="24"/>
        </w:rPr>
        <w:softHyphen/>
        <w:t>ляди, и кардиология - 3.1 на десет хиляди, а от хирургичните легла най-висока е осигуреност</w:t>
      </w:r>
      <w:r w:rsidRPr="009F6D1E">
        <w:rPr>
          <w:rFonts w:cs="Times New Roman"/>
          <w:color w:val="auto"/>
          <w:szCs w:val="24"/>
        </w:rPr>
        <w:softHyphen/>
        <w:t>та с леглата за хирургия - 4.0, и ортопедия и травматология - 2.4. Осигуреността с легла за рехабилитация е 9.4 на десет хиляди, с психиа</w:t>
      </w:r>
      <w:r w:rsidRPr="009F6D1E">
        <w:rPr>
          <w:rFonts w:cs="Times New Roman"/>
          <w:color w:val="auto"/>
          <w:szCs w:val="24"/>
        </w:rPr>
        <w:softHyphen/>
        <w:t>трични легла - 4.2, а с легла за дългосрочни гри</w:t>
      </w:r>
      <w:r w:rsidRPr="009F6D1E">
        <w:rPr>
          <w:rFonts w:cs="Times New Roman"/>
          <w:color w:val="auto"/>
          <w:szCs w:val="24"/>
        </w:rPr>
        <w:softHyphen/>
        <w:t>жи - 2.3. Осигуреността с места за краткотраен престой е 2.3 на десет хиляди от населението.</w:t>
      </w:r>
    </w:p>
    <w:p w14:paraId="002E8E8E"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По области осигуреността с легла в болни</w:t>
      </w:r>
      <w:r w:rsidRPr="009F6D1E">
        <w:rPr>
          <w:rFonts w:cs="Times New Roman"/>
          <w:color w:val="auto"/>
          <w:szCs w:val="24"/>
        </w:rPr>
        <w:softHyphen/>
        <w:t>ците варира в широки граници - от 37.1 на де</w:t>
      </w:r>
      <w:r w:rsidRPr="009F6D1E">
        <w:rPr>
          <w:rFonts w:cs="Times New Roman"/>
          <w:color w:val="auto"/>
          <w:szCs w:val="24"/>
        </w:rPr>
        <w:softHyphen/>
        <w:t>сет хиляди души от населението в област Пер</w:t>
      </w:r>
      <w:r w:rsidRPr="009F6D1E">
        <w:rPr>
          <w:rFonts w:cs="Times New Roman"/>
          <w:color w:val="auto"/>
          <w:szCs w:val="24"/>
        </w:rPr>
        <w:softHyphen/>
        <w:t>ник до 101.5 в област Плевен. Други области с по-висок от средния за страната показател са Смолян, Пловдив, Кюстендил, Габрово, София (столица), Ловеч, Пазарджик, Монтана, Русе и Стара Загора.</w:t>
      </w:r>
    </w:p>
    <w:p w14:paraId="151F90B1"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lastRenderedPageBreak/>
        <w:t>Към 31.12.2020 г. броят на детските ясли е 838 с 32 575 места. В края на 2020 г. в тях има 29 238 деца.</w:t>
      </w:r>
    </w:p>
    <w:p w14:paraId="76FE90A1" w14:textId="6F54C5D1"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Обобщена информация за легловия фонд на здравните заведения на 100 000 души от населението е дадена на </w:t>
      </w:r>
      <w:r w:rsidR="003F3D71" w:rsidRPr="009F6D1E">
        <w:rPr>
          <w:rFonts w:cs="Times New Roman"/>
          <w:color w:val="auto"/>
          <w:szCs w:val="24"/>
        </w:rPr>
        <w:fldChar w:fldCharType="begin"/>
      </w:r>
      <w:r w:rsidR="00BC5238" w:rsidRPr="009F6D1E">
        <w:rPr>
          <w:rFonts w:cs="Times New Roman"/>
          <w:color w:val="auto"/>
          <w:szCs w:val="24"/>
        </w:rPr>
        <w:instrText xml:space="preserve"> REF _Ref107174211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Фигура </w:t>
      </w:r>
      <w:r w:rsidR="00A43EF3">
        <w:rPr>
          <w:noProof/>
        </w:rPr>
        <w:t>89</w:t>
      </w:r>
      <w:r w:rsidR="003F3D71" w:rsidRPr="009F6D1E">
        <w:rPr>
          <w:rFonts w:cs="Times New Roman"/>
          <w:color w:val="auto"/>
          <w:szCs w:val="24"/>
        </w:rPr>
        <w:fldChar w:fldCharType="end"/>
      </w:r>
      <w:r w:rsidRPr="009F6D1E">
        <w:rPr>
          <w:rFonts w:cs="Times New Roman"/>
          <w:color w:val="auto"/>
          <w:szCs w:val="24"/>
        </w:rPr>
        <w:t xml:space="preserve"> по-долу.</w:t>
      </w:r>
    </w:p>
    <w:p w14:paraId="1EFF5904" w14:textId="77777777" w:rsidR="00981F7B" w:rsidRPr="009F6D1E" w:rsidRDefault="00981F7B"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drawing>
          <wp:inline distT="0" distB="0" distL="0" distR="0" wp14:anchorId="0347E4CE" wp14:editId="78217645">
            <wp:extent cx="4734586" cy="3057952"/>
            <wp:effectExtent l="0" t="0" r="8890" b="9525"/>
            <wp:docPr id="10"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17" cstate="print"/>
                    <a:stretch>
                      <a:fillRect/>
                    </a:stretch>
                  </pic:blipFill>
                  <pic:spPr>
                    <a:xfrm>
                      <a:off x="0" y="0"/>
                      <a:ext cx="4734586" cy="3057952"/>
                    </a:xfrm>
                    <a:prstGeom prst="rect">
                      <a:avLst/>
                    </a:prstGeom>
                  </pic:spPr>
                </pic:pic>
              </a:graphicData>
            </a:graphic>
          </wp:inline>
        </w:drawing>
      </w:r>
    </w:p>
    <w:p w14:paraId="4506B0EA" w14:textId="4BF00E45" w:rsidR="00981F7B" w:rsidRPr="009F6D1E" w:rsidRDefault="00BC5238" w:rsidP="00BC5238">
      <w:pPr>
        <w:pStyle w:val="Caption"/>
        <w:rPr>
          <w:color w:val="auto"/>
        </w:rPr>
      </w:pPr>
      <w:bookmarkStart w:id="477" w:name="_Ref107174211"/>
      <w:bookmarkStart w:id="478" w:name="_Toc115255150"/>
      <w:r w:rsidRPr="009F6D1E">
        <w:t xml:space="preserve">Фигура </w:t>
      </w:r>
      <w:fldSimple w:instr=" SEQ Фигура \* ARABIC ">
        <w:r w:rsidR="00A43EF3">
          <w:rPr>
            <w:noProof/>
          </w:rPr>
          <w:t>89</w:t>
        </w:r>
      </w:fldSimple>
      <w:bookmarkEnd w:id="477"/>
      <w:r w:rsidRPr="009F6D1E">
        <w:t xml:space="preserve">: </w:t>
      </w:r>
      <w:r w:rsidR="00981F7B" w:rsidRPr="009F6D1E">
        <w:rPr>
          <w:color w:val="auto"/>
        </w:rPr>
        <w:t>Леглови фонд на здравните заведения на 100 000 души от населението</w:t>
      </w:r>
      <w:bookmarkEnd w:id="478"/>
    </w:p>
    <w:p w14:paraId="2CBDDF45" w14:textId="77777777" w:rsidR="00981F7B" w:rsidRPr="009F6D1E" w:rsidRDefault="00981F7B" w:rsidP="0084747F">
      <w:pPr>
        <w:spacing w:after="60" w:line="264" w:lineRule="auto"/>
        <w:jc w:val="center"/>
        <w:rPr>
          <w:rFonts w:cs="Times New Roman"/>
          <w:b/>
          <w:bCs/>
          <w:color w:val="auto"/>
          <w:szCs w:val="24"/>
        </w:rPr>
      </w:pPr>
    </w:p>
    <w:p w14:paraId="0B2B20E1" w14:textId="77777777" w:rsidR="00981F7B" w:rsidRPr="009F6D1E" w:rsidRDefault="00981F7B">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Медицински персонал </w:t>
      </w:r>
    </w:p>
    <w:p w14:paraId="1098FDCE" w14:textId="77777777" w:rsidR="00EE71AE" w:rsidRPr="009F6D1E" w:rsidRDefault="00EE71AE" w:rsidP="0084747F">
      <w:pPr>
        <w:spacing w:after="60" w:line="264" w:lineRule="auto"/>
        <w:ind w:firstLine="708"/>
        <w:jc w:val="both"/>
        <w:rPr>
          <w:rFonts w:cs="Times New Roman"/>
          <w:color w:val="auto"/>
          <w:szCs w:val="24"/>
        </w:rPr>
      </w:pPr>
    </w:p>
    <w:p w14:paraId="584D85CD"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На 31.12.2020 г. броят на лекарите е 29 717. Най-висока е осигуреността на населението с общопрактикуващи лекари - 5.8 на десет хиляди души от населението. Следват кардиолозите - 2.7, акушер-гинеколозите - 2.6, лекарите по анестезиология и интензивно лечение - 2.4, хирурзите - 2.2, лекарите по нервни болести - 2.1, лекарите по педиатрия - 2.0, лекарите по спешна медицина - 1.9 на десет хиляди души от населението, и т.н. Общият показател за осигуреност с лекари е 43.0 на десет хиляди души от населението. По области по-висока осигуреност от средната за страната има в Плевен, София (столица), Пловдив и Варна.</w:t>
      </w:r>
    </w:p>
    <w:p w14:paraId="3112EBA1"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Броят на населението на един лекар през разглеждания период е 233 души.</w:t>
      </w:r>
    </w:p>
    <w:p w14:paraId="3DE65761"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Броят на медицинските специалисти по здравни грижи е 44 676, като осигуреността с този вид кадри е 64.6 на десет хиляди души от населението.</w:t>
      </w:r>
    </w:p>
    <w:p w14:paraId="48B3008D" w14:textId="5B4C878F"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Информация за осигуреността с медицински персонал на 100 000 души от населението през 2020 год. е дадена на</w:t>
      </w:r>
      <w:r w:rsidR="00BC5238" w:rsidRPr="009F6D1E">
        <w:rPr>
          <w:rFonts w:cs="Times New Roman"/>
          <w:color w:val="auto"/>
          <w:szCs w:val="24"/>
        </w:rPr>
        <w:t xml:space="preserve"> </w:t>
      </w:r>
      <w:r w:rsidR="003F3D71" w:rsidRPr="009F6D1E">
        <w:rPr>
          <w:rFonts w:cs="Times New Roman"/>
          <w:color w:val="auto"/>
          <w:szCs w:val="24"/>
        </w:rPr>
        <w:fldChar w:fldCharType="begin"/>
      </w:r>
      <w:r w:rsidR="00BC5238" w:rsidRPr="009F6D1E">
        <w:rPr>
          <w:rFonts w:cs="Times New Roman"/>
          <w:color w:val="auto"/>
          <w:szCs w:val="24"/>
        </w:rPr>
        <w:instrText xml:space="preserve"> REF _Ref107174260 \h </w:instrText>
      </w:r>
      <w:r w:rsidR="003F3D71" w:rsidRPr="009F6D1E">
        <w:rPr>
          <w:rFonts w:cs="Times New Roman"/>
          <w:color w:val="auto"/>
          <w:szCs w:val="24"/>
        </w:rPr>
      </w:r>
      <w:r w:rsidR="003F3D71" w:rsidRPr="009F6D1E">
        <w:rPr>
          <w:rFonts w:cs="Times New Roman"/>
          <w:color w:val="auto"/>
          <w:szCs w:val="24"/>
        </w:rPr>
        <w:fldChar w:fldCharType="separate"/>
      </w:r>
      <w:r w:rsidR="00A43EF3" w:rsidRPr="009F6D1E">
        <w:t xml:space="preserve">Фигура </w:t>
      </w:r>
      <w:r w:rsidR="00A43EF3">
        <w:rPr>
          <w:noProof/>
        </w:rPr>
        <w:t>90</w:t>
      </w:r>
      <w:r w:rsidR="003F3D71" w:rsidRPr="009F6D1E">
        <w:rPr>
          <w:rFonts w:cs="Times New Roman"/>
          <w:color w:val="auto"/>
          <w:szCs w:val="24"/>
        </w:rPr>
        <w:fldChar w:fldCharType="end"/>
      </w:r>
      <w:r w:rsidRPr="009F6D1E">
        <w:rPr>
          <w:rFonts w:cs="Times New Roman"/>
          <w:color w:val="auto"/>
          <w:szCs w:val="24"/>
        </w:rPr>
        <w:t xml:space="preserve"> по-долу.</w:t>
      </w:r>
    </w:p>
    <w:p w14:paraId="1628F2AC" w14:textId="77777777" w:rsidR="00981F7B" w:rsidRPr="009F6D1E" w:rsidRDefault="00981F7B" w:rsidP="0084747F">
      <w:pPr>
        <w:spacing w:after="60" w:line="264" w:lineRule="auto"/>
        <w:jc w:val="center"/>
        <w:rPr>
          <w:rFonts w:cs="Times New Roman"/>
          <w:color w:val="4472C4" w:themeColor="accent1"/>
          <w:szCs w:val="24"/>
        </w:rPr>
      </w:pPr>
      <w:r w:rsidRPr="009F6D1E">
        <w:rPr>
          <w:rFonts w:cs="Times New Roman"/>
          <w:noProof/>
          <w:color w:val="4472C4" w:themeColor="accent1"/>
          <w:szCs w:val="24"/>
          <w:lang w:val="en-US"/>
        </w:rPr>
        <w:lastRenderedPageBreak/>
        <w:drawing>
          <wp:inline distT="0" distB="0" distL="0" distR="0" wp14:anchorId="36C32131" wp14:editId="76DD2366">
            <wp:extent cx="5327374" cy="2667671"/>
            <wp:effectExtent l="0" t="0" r="6985" b="0"/>
            <wp:docPr id="11"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18" cstate="print"/>
                    <a:stretch>
                      <a:fillRect/>
                    </a:stretch>
                  </pic:blipFill>
                  <pic:spPr>
                    <a:xfrm>
                      <a:off x="0" y="0"/>
                      <a:ext cx="5333726" cy="2670852"/>
                    </a:xfrm>
                    <a:prstGeom prst="rect">
                      <a:avLst/>
                    </a:prstGeom>
                  </pic:spPr>
                </pic:pic>
              </a:graphicData>
            </a:graphic>
          </wp:inline>
        </w:drawing>
      </w:r>
    </w:p>
    <w:p w14:paraId="3BF274F8" w14:textId="5BAF4E89" w:rsidR="00981F7B" w:rsidRPr="009F6D1E" w:rsidRDefault="00BC5238" w:rsidP="00BC5238">
      <w:pPr>
        <w:pStyle w:val="Caption"/>
        <w:rPr>
          <w:color w:val="auto"/>
        </w:rPr>
      </w:pPr>
      <w:bookmarkStart w:id="479" w:name="_Ref107174260"/>
      <w:bookmarkStart w:id="480" w:name="_Toc115255151"/>
      <w:r w:rsidRPr="009F6D1E">
        <w:t xml:space="preserve">Фигура </w:t>
      </w:r>
      <w:fldSimple w:instr=" SEQ Фигура \* ARABIC ">
        <w:r w:rsidR="00A43EF3">
          <w:rPr>
            <w:noProof/>
          </w:rPr>
          <w:t>90</w:t>
        </w:r>
      </w:fldSimple>
      <w:bookmarkEnd w:id="479"/>
      <w:r w:rsidRPr="009F6D1E">
        <w:t xml:space="preserve">: </w:t>
      </w:r>
      <w:r w:rsidR="00981F7B" w:rsidRPr="009F6D1E">
        <w:rPr>
          <w:color w:val="auto"/>
        </w:rPr>
        <w:t>Информация за осигуреността с медицински персонал на 100 000 души от населението през 2020 год.</w:t>
      </w:r>
      <w:bookmarkEnd w:id="480"/>
    </w:p>
    <w:p w14:paraId="5F7E28AE" w14:textId="77777777" w:rsidR="00981F7B" w:rsidRPr="009F6D1E" w:rsidRDefault="00981F7B" w:rsidP="0084747F">
      <w:pPr>
        <w:spacing w:after="60" w:line="264" w:lineRule="auto"/>
        <w:jc w:val="center"/>
        <w:rPr>
          <w:rFonts w:cs="Times New Roman"/>
          <w:b/>
          <w:bCs/>
          <w:color w:val="4472C4" w:themeColor="accent1"/>
          <w:szCs w:val="24"/>
        </w:rPr>
      </w:pPr>
    </w:p>
    <w:p w14:paraId="05EB8C35" w14:textId="77777777" w:rsidR="00981F7B" w:rsidRPr="009F6D1E" w:rsidRDefault="00981F7B">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Дейност на стационарите на лечебните заведения </w:t>
      </w:r>
    </w:p>
    <w:p w14:paraId="386E7D6F" w14:textId="77777777" w:rsidR="00EE71AE" w:rsidRPr="009F6D1E" w:rsidRDefault="00EE71AE" w:rsidP="0084747F">
      <w:pPr>
        <w:spacing w:after="60" w:line="264" w:lineRule="auto"/>
        <w:ind w:firstLine="708"/>
        <w:jc w:val="both"/>
        <w:rPr>
          <w:rFonts w:cs="Times New Roman"/>
          <w:color w:val="auto"/>
          <w:szCs w:val="24"/>
        </w:rPr>
      </w:pPr>
    </w:p>
    <w:p w14:paraId="01CEDD4D" w14:textId="45B57CA8"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През 2020 г. броят на постъпилите в стационарите на лечебните заведения е 1 876 441, или 27.1 на 100 души от населението. По видове лечебни заведения най-голяма е честотата на х</w:t>
      </w:r>
      <w:r w:rsidR="00605A5C">
        <w:rPr>
          <w:rFonts w:cs="Times New Roman"/>
          <w:color w:val="auto"/>
          <w:szCs w:val="24"/>
        </w:rPr>
        <w:t>осп</w:t>
      </w:r>
      <w:r w:rsidRPr="009F6D1E">
        <w:rPr>
          <w:rFonts w:cs="Times New Roman"/>
          <w:color w:val="auto"/>
          <w:szCs w:val="24"/>
        </w:rPr>
        <w:t xml:space="preserve">итализациите в многопрофилните болници - 13.8, в т.ч. в многопрофилните болници за активно лечение - 13.8 на сто души. След тях се нареждат частните заведения за болнична помощ - 9.1 на сто души, специализираните болници - 2.9 на сто души, от които 1.8 на сто души в специализираните болници за активно лечение, 0.9 на сто души - в болниците за рехабилитация. </w:t>
      </w:r>
    </w:p>
    <w:p w14:paraId="780C7B81"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По видове легла за активно лечение в болниците показателят е най-висок за терапевтичните легла - 11.2 постъпили на сто души от населението, следвани от хирургичните легла - 6.9. След тях се нареждат </w:t>
      </w:r>
      <w:proofErr w:type="spellStart"/>
      <w:r w:rsidRPr="009F6D1E">
        <w:rPr>
          <w:rFonts w:cs="Times New Roman"/>
          <w:color w:val="auto"/>
          <w:szCs w:val="24"/>
        </w:rPr>
        <w:t>акушеро</w:t>
      </w:r>
      <w:proofErr w:type="spellEnd"/>
      <w:r w:rsidRPr="009F6D1E">
        <w:rPr>
          <w:rFonts w:cs="Times New Roman"/>
          <w:color w:val="auto"/>
          <w:szCs w:val="24"/>
        </w:rPr>
        <w:t xml:space="preserve">-гинекологичните - 2.4, педиатричните легла - 2.3 на сто души. От терапевтичните легла с най-висок показател са леглата по кардиология - 2.0 постъпили на сто души от населението, следвани от леглата по нервни болести - 1.9. От хирургичните легла с най-висок показател са леглата по хирургия - 2.3 постъпили на сто души от населението и леглата по ортопедия и травматология - 1.3. Показателят за леглата за рехабилитация е 2.3. </w:t>
      </w:r>
    </w:p>
    <w:p w14:paraId="11EB0E56"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умрелите в стационарите на болниците са 35 197. Най-много от тях са на терапевтичните легла - 55.9%, следвани от тези на интензивните легла - 25.1%, и на хирургичните легла - 15.5%. Сред терапевтичните легла с най-голям брой са леглата за COVID-19 инфекция (трансформирани от други видове легла извън инфекциозните легла), по нервни болести, следвани от леглата по кардиология, а сред хирургичните - леглата по хирургия. </w:t>
      </w:r>
    </w:p>
    <w:p w14:paraId="0191B736"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lastRenderedPageBreak/>
        <w:t xml:space="preserve">През 2020 г. извършените аутопсии в лечебните заведения са 3 645, като 94.6% от тях са извършени в многопрофилните болници. </w:t>
      </w:r>
    </w:p>
    <w:p w14:paraId="4E2E4E69"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използваемостта на легловия фонд в болниците е 53.0%, оборотът на леглата е 38, средният престой - 5.1 дни, и болничният </w:t>
      </w:r>
      <w:proofErr w:type="spellStart"/>
      <w:r w:rsidRPr="009F6D1E">
        <w:rPr>
          <w:rFonts w:cs="Times New Roman"/>
          <w:color w:val="auto"/>
          <w:szCs w:val="24"/>
        </w:rPr>
        <w:t>леталитет</w:t>
      </w:r>
      <w:proofErr w:type="spellEnd"/>
      <w:r w:rsidRPr="009F6D1E">
        <w:rPr>
          <w:rFonts w:cs="Times New Roman"/>
          <w:color w:val="auto"/>
          <w:szCs w:val="24"/>
        </w:rPr>
        <w:t xml:space="preserve"> - 2.0%. Промяната на показателите се движи в широки граници, което зависи основно от естеството на дейност на лечебното заведение. </w:t>
      </w:r>
    </w:p>
    <w:p w14:paraId="6182EA09"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са регистрирани 19 328 аборта в лечебните заведения, т.е. с 2 536 по-малко в сравнение с 2019 година. Най-голям дял от тях са на жени на възраст 30 - 34 години и 25 - 29 години. От всички аборти 57.2% са по желание. Регистрираните аборти са основно в многопрофилните болници за активно лечение - 47.3%. В специализираните болници за активно лечение са извършени 13.1%, в частните болници - 27.0%, а в лечебните заведения за извънболнична помощ - 12.5% от абортите. </w:t>
      </w:r>
    </w:p>
    <w:p w14:paraId="7659430B"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В стационарите на лечебните заведения са обслужени 55 015 родилки. От заболяванията на родилките честотата на </w:t>
      </w:r>
      <w:proofErr w:type="spellStart"/>
      <w:r w:rsidRPr="009F6D1E">
        <w:rPr>
          <w:rFonts w:cs="Times New Roman"/>
          <w:color w:val="auto"/>
          <w:szCs w:val="24"/>
        </w:rPr>
        <w:t>еклампсията</w:t>
      </w:r>
      <w:proofErr w:type="spellEnd"/>
      <w:r w:rsidRPr="009F6D1E">
        <w:rPr>
          <w:rFonts w:cs="Times New Roman"/>
          <w:color w:val="auto"/>
          <w:szCs w:val="24"/>
        </w:rPr>
        <w:t xml:space="preserve"> е 0.3 на хиляда родилки. </w:t>
      </w:r>
    </w:p>
    <w:p w14:paraId="596DECCA"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оперираните болни, напуснали стационарите на лечебните заведения, са 526 573, като броят им значително намалява в сравнение с 2019 година, когато са 629 545. Постоперативните усложнения са 0.5%. Те са най-чести при операции на дебелото черво поради рак, на сърцето и сърдечните съдове, операции на белите дробове поради абсцеси, операции на стомаха и </w:t>
      </w:r>
      <w:proofErr w:type="spellStart"/>
      <w:r w:rsidRPr="009F6D1E">
        <w:rPr>
          <w:rFonts w:cs="Times New Roman"/>
          <w:color w:val="auto"/>
          <w:szCs w:val="24"/>
        </w:rPr>
        <w:t>дуоденума</w:t>
      </w:r>
      <w:proofErr w:type="spellEnd"/>
      <w:r w:rsidRPr="009F6D1E">
        <w:rPr>
          <w:rFonts w:cs="Times New Roman"/>
          <w:color w:val="auto"/>
          <w:szCs w:val="24"/>
        </w:rPr>
        <w:t xml:space="preserve"> поради язва, операции на стомаха поради тумор, </w:t>
      </w:r>
      <w:proofErr w:type="spellStart"/>
      <w:r w:rsidRPr="009F6D1E">
        <w:rPr>
          <w:rFonts w:cs="Times New Roman"/>
          <w:color w:val="auto"/>
          <w:szCs w:val="24"/>
        </w:rPr>
        <w:t>неврохирургични</w:t>
      </w:r>
      <w:proofErr w:type="spellEnd"/>
      <w:r w:rsidRPr="009F6D1E">
        <w:rPr>
          <w:rFonts w:cs="Times New Roman"/>
          <w:color w:val="auto"/>
          <w:szCs w:val="24"/>
        </w:rPr>
        <w:t xml:space="preserve"> операции на главния мозък, гръдни операции и т.н. Постоперативният </w:t>
      </w:r>
      <w:proofErr w:type="spellStart"/>
      <w:r w:rsidRPr="009F6D1E">
        <w:rPr>
          <w:rFonts w:cs="Times New Roman"/>
          <w:color w:val="auto"/>
          <w:szCs w:val="24"/>
        </w:rPr>
        <w:t>леталитет</w:t>
      </w:r>
      <w:proofErr w:type="spellEnd"/>
      <w:r w:rsidRPr="009F6D1E">
        <w:rPr>
          <w:rFonts w:cs="Times New Roman"/>
          <w:color w:val="auto"/>
          <w:szCs w:val="24"/>
        </w:rPr>
        <w:t xml:space="preserve"> е 0.8%, като най-висок е при операции на стомаха и </w:t>
      </w:r>
      <w:proofErr w:type="spellStart"/>
      <w:r w:rsidRPr="009F6D1E">
        <w:rPr>
          <w:rFonts w:cs="Times New Roman"/>
          <w:color w:val="auto"/>
          <w:szCs w:val="24"/>
        </w:rPr>
        <w:t>дуоденума</w:t>
      </w:r>
      <w:proofErr w:type="spellEnd"/>
      <w:r w:rsidRPr="009F6D1E">
        <w:rPr>
          <w:rFonts w:cs="Times New Roman"/>
          <w:color w:val="auto"/>
          <w:szCs w:val="24"/>
        </w:rPr>
        <w:t xml:space="preserve"> поради язва, </w:t>
      </w:r>
      <w:proofErr w:type="spellStart"/>
      <w:r w:rsidRPr="009F6D1E">
        <w:rPr>
          <w:rFonts w:cs="Times New Roman"/>
          <w:color w:val="auto"/>
          <w:szCs w:val="24"/>
        </w:rPr>
        <w:t>неврохирургични</w:t>
      </w:r>
      <w:proofErr w:type="spellEnd"/>
      <w:r w:rsidRPr="009F6D1E">
        <w:rPr>
          <w:rFonts w:cs="Times New Roman"/>
          <w:color w:val="auto"/>
          <w:szCs w:val="24"/>
        </w:rPr>
        <w:t xml:space="preserve"> операции на главния мозък, операции на дебелото черво поради рак, </w:t>
      </w:r>
      <w:proofErr w:type="spellStart"/>
      <w:r w:rsidRPr="009F6D1E">
        <w:rPr>
          <w:rFonts w:cs="Times New Roman"/>
          <w:color w:val="auto"/>
          <w:szCs w:val="24"/>
        </w:rPr>
        <w:t>операциии</w:t>
      </w:r>
      <w:proofErr w:type="spellEnd"/>
      <w:r w:rsidRPr="009F6D1E">
        <w:rPr>
          <w:rFonts w:cs="Times New Roman"/>
          <w:color w:val="auto"/>
          <w:szCs w:val="24"/>
        </w:rPr>
        <w:t xml:space="preserve"> на стомаха поради тумор, </w:t>
      </w:r>
      <w:proofErr w:type="spellStart"/>
      <w:r w:rsidRPr="009F6D1E">
        <w:rPr>
          <w:rFonts w:cs="Times New Roman"/>
          <w:color w:val="auto"/>
          <w:szCs w:val="24"/>
        </w:rPr>
        <w:t>неврохирургични</w:t>
      </w:r>
      <w:proofErr w:type="spellEnd"/>
      <w:r w:rsidRPr="009F6D1E">
        <w:rPr>
          <w:rFonts w:cs="Times New Roman"/>
          <w:color w:val="auto"/>
          <w:szCs w:val="24"/>
        </w:rPr>
        <w:t xml:space="preserve"> операции, операции на белите дробове поради абсцеси, операции на сърцето и сърдечните съдове, ампутации и </w:t>
      </w:r>
      <w:proofErr w:type="spellStart"/>
      <w:r w:rsidRPr="009F6D1E">
        <w:rPr>
          <w:rFonts w:cs="Times New Roman"/>
          <w:color w:val="auto"/>
          <w:szCs w:val="24"/>
        </w:rPr>
        <w:t>екзартикулации</w:t>
      </w:r>
      <w:proofErr w:type="spellEnd"/>
      <w:r w:rsidRPr="009F6D1E">
        <w:rPr>
          <w:rFonts w:cs="Times New Roman"/>
          <w:color w:val="auto"/>
          <w:szCs w:val="24"/>
        </w:rPr>
        <w:t xml:space="preserve">, гръдни операции и т.н. Средният престой на опериран болен е 4.0 дни. Най-продължителен среден престой се наблюдава при </w:t>
      </w:r>
      <w:proofErr w:type="spellStart"/>
      <w:r w:rsidRPr="009F6D1E">
        <w:rPr>
          <w:rFonts w:cs="Times New Roman"/>
          <w:color w:val="auto"/>
          <w:szCs w:val="24"/>
        </w:rPr>
        <w:t>неврохирургични</w:t>
      </w:r>
      <w:proofErr w:type="spellEnd"/>
      <w:r w:rsidRPr="009F6D1E">
        <w:rPr>
          <w:rFonts w:cs="Times New Roman"/>
          <w:color w:val="auto"/>
          <w:szCs w:val="24"/>
        </w:rPr>
        <w:t xml:space="preserve"> операции на главния мозък, счупване на бедрената кост поради остеопороза, операции на дебелото черво поради рак, операции на стомаха поради тумор, операции на белите дробове поради абсцеси, операции на стомаха и </w:t>
      </w:r>
      <w:proofErr w:type="spellStart"/>
      <w:r w:rsidRPr="009F6D1E">
        <w:rPr>
          <w:rFonts w:cs="Times New Roman"/>
          <w:color w:val="auto"/>
          <w:szCs w:val="24"/>
        </w:rPr>
        <w:t>дуоденума</w:t>
      </w:r>
      <w:proofErr w:type="spellEnd"/>
      <w:r w:rsidRPr="009F6D1E">
        <w:rPr>
          <w:rFonts w:cs="Times New Roman"/>
          <w:color w:val="auto"/>
          <w:szCs w:val="24"/>
        </w:rPr>
        <w:t xml:space="preserve"> поради язва, </w:t>
      </w:r>
      <w:proofErr w:type="spellStart"/>
      <w:r w:rsidRPr="009F6D1E">
        <w:rPr>
          <w:rFonts w:cs="Times New Roman"/>
          <w:color w:val="auto"/>
          <w:szCs w:val="24"/>
        </w:rPr>
        <w:t>неврохирургични</w:t>
      </w:r>
      <w:proofErr w:type="spellEnd"/>
      <w:r w:rsidRPr="009F6D1E">
        <w:rPr>
          <w:rFonts w:cs="Times New Roman"/>
          <w:color w:val="auto"/>
          <w:szCs w:val="24"/>
        </w:rPr>
        <w:t xml:space="preserve"> </w:t>
      </w:r>
      <w:proofErr w:type="spellStart"/>
      <w:r w:rsidRPr="009F6D1E">
        <w:rPr>
          <w:rFonts w:cs="Times New Roman"/>
          <w:color w:val="auto"/>
          <w:szCs w:val="24"/>
        </w:rPr>
        <w:t>операци</w:t>
      </w:r>
      <w:proofErr w:type="spellEnd"/>
      <w:r w:rsidRPr="009F6D1E">
        <w:rPr>
          <w:rFonts w:cs="Times New Roman"/>
          <w:color w:val="auto"/>
          <w:szCs w:val="24"/>
        </w:rPr>
        <w:t xml:space="preserve"> и т.н. </w:t>
      </w:r>
    </w:p>
    <w:p w14:paraId="6921DB85"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 xml:space="preserve">През 2020 г. </w:t>
      </w:r>
      <w:proofErr w:type="spellStart"/>
      <w:r w:rsidRPr="009F6D1E">
        <w:rPr>
          <w:rFonts w:cs="Times New Roman"/>
          <w:color w:val="auto"/>
          <w:szCs w:val="24"/>
        </w:rPr>
        <w:t>диализираните</w:t>
      </w:r>
      <w:proofErr w:type="spellEnd"/>
      <w:r w:rsidRPr="009F6D1E">
        <w:rPr>
          <w:rFonts w:cs="Times New Roman"/>
          <w:color w:val="auto"/>
          <w:szCs w:val="24"/>
        </w:rPr>
        <w:t xml:space="preserve"> болни са 10 090, като 76.4% от тях са с хронична бъбречна недостатъчност.</w:t>
      </w:r>
    </w:p>
    <w:p w14:paraId="52EF6ADC" w14:textId="77777777" w:rsidR="00981F7B" w:rsidRPr="009F6D1E" w:rsidRDefault="00981F7B" w:rsidP="0084747F">
      <w:pPr>
        <w:spacing w:after="60" w:line="264" w:lineRule="auto"/>
        <w:jc w:val="both"/>
        <w:rPr>
          <w:rFonts w:cs="Times New Roman"/>
          <w:b/>
          <w:bCs/>
          <w:color w:val="auto"/>
          <w:szCs w:val="24"/>
        </w:rPr>
      </w:pPr>
    </w:p>
    <w:p w14:paraId="45E36931" w14:textId="77777777" w:rsidR="00981F7B" w:rsidRPr="009F6D1E" w:rsidRDefault="00981F7B">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 xml:space="preserve">Дейност на центровете за спешна медицинска помощ </w:t>
      </w:r>
    </w:p>
    <w:p w14:paraId="40474C86" w14:textId="77777777" w:rsidR="00EE71AE" w:rsidRPr="009F6D1E" w:rsidRDefault="00EE71AE" w:rsidP="0084747F">
      <w:pPr>
        <w:spacing w:after="60" w:line="264" w:lineRule="auto"/>
        <w:ind w:firstLine="708"/>
        <w:jc w:val="both"/>
        <w:rPr>
          <w:rFonts w:cs="Times New Roman"/>
          <w:color w:val="auto"/>
          <w:szCs w:val="24"/>
        </w:rPr>
      </w:pPr>
    </w:p>
    <w:p w14:paraId="0A4F94B6" w14:textId="77777777" w:rsidR="00981F7B" w:rsidRPr="009F6D1E" w:rsidRDefault="00981F7B" w:rsidP="0084747F">
      <w:pPr>
        <w:spacing w:after="60" w:line="264" w:lineRule="auto"/>
        <w:ind w:firstLine="708"/>
        <w:jc w:val="both"/>
        <w:rPr>
          <w:rFonts w:cs="Times New Roman"/>
          <w:color w:val="auto"/>
          <w:szCs w:val="24"/>
        </w:rPr>
      </w:pPr>
      <w:r w:rsidRPr="009F6D1E">
        <w:rPr>
          <w:rFonts w:cs="Times New Roman"/>
          <w:color w:val="auto"/>
          <w:szCs w:val="24"/>
        </w:rPr>
        <w:t>През 2020 г. броят на повикванията за спешна медицинска помощ е 718 432. Делът на изпълнените повиквания е 99.3%. От тях 81.5% са за спешна медицинска помощ, а 4.1% - за санитарен транспорт</w:t>
      </w:r>
    </w:p>
    <w:p w14:paraId="2A08D067" w14:textId="5537605C" w:rsidR="00981F7B" w:rsidRPr="009F6D1E" w:rsidRDefault="00981F7B" w:rsidP="0084747F">
      <w:pPr>
        <w:spacing w:after="60" w:line="264" w:lineRule="auto"/>
        <w:ind w:firstLine="306"/>
        <w:jc w:val="both"/>
        <w:rPr>
          <w:rFonts w:cs="Times New Roman"/>
          <w:color w:val="auto"/>
          <w:szCs w:val="24"/>
        </w:rPr>
      </w:pPr>
      <w:r w:rsidRPr="009F6D1E">
        <w:rPr>
          <w:rFonts w:cs="Times New Roman"/>
          <w:color w:val="auto"/>
          <w:szCs w:val="24"/>
        </w:rPr>
        <w:t>Обслужените от центровете за спешна медицинска помощ са 675 975 души, като от тях 28.4% са х</w:t>
      </w:r>
      <w:r w:rsidR="00D61D0C">
        <w:rPr>
          <w:rFonts w:cs="Times New Roman"/>
          <w:color w:val="auto"/>
          <w:szCs w:val="24"/>
        </w:rPr>
        <w:t>осп</w:t>
      </w:r>
      <w:r w:rsidRPr="009F6D1E">
        <w:rPr>
          <w:rFonts w:cs="Times New Roman"/>
          <w:color w:val="auto"/>
          <w:szCs w:val="24"/>
        </w:rPr>
        <w:t>итализирани в болници.</w:t>
      </w:r>
    </w:p>
    <w:p w14:paraId="2F2FC16E" w14:textId="77777777" w:rsidR="00E56BA8" w:rsidRPr="009F6D1E" w:rsidRDefault="00E56BA8" w:rsidP="0084747F">
      <w:pPr>
        <w:spacing w:after="60" w:line="264" w:lineRule="auto"/>
        <w:contextualSpacing/>
        <w:jc w:val="both"/>
        <w:rPr>
          <w:rFonts w:eastAsia="Calibri" w:cs="Times New Roman"/>
          <w:b/>
          <w:bCs/>
          <w:i/>
          <w:iCs/>
          <w:color w:val="auto"/>
          <w:szCs w:val="24"/>
        </w:rPr>
      </w:pPr>
    </w:p>
    <w:p w14:paraId="561C73C6" w14:textId="77777777" w:rsidR="007E5122" w:rsidRPr="009F6D1E" w:rsidRDefault="007E5122">
      <w:pPr>
        <w:pStyle w:val="Heading4"/>
        <w:keepLines w:val="0"/>
        <w:numPr>
          <w:ilvl w:val="3"/>
          <w:numId w:val="31"/>
        </w:numPr>
        <w:shd w:val="clear" w:color="auto" w:fill="FFF2CC" w:themeFill="accent4" w:themeFillTint="33"/>
        <w:spacing w:before="0" w:after="60" w:line="264" w:lineRule="auto"/>
        <w:rPr>
          <w:b/>
          <w:bCs/>
          <w:smallCaps w:val="0"/>
          <w:color w:val="262626" w:themeColor="text1" w:themeTint="D9"/>
          <w:lang w:eastAsia="en-US" w:bidi="ar-SA"/>
        </w:rPr>
      </w:pPr>
      <w:r w:rsidRPr="009F6D1E">
        <w:rPr>
          <w:b/>
          <w:bCs/>
          <w:smallCaps w:val="0"/>
          <w:color w:val="262626" w:themeColor="text1" w:themeTint="D9"/>
          <w:lang w:eastAsia="en-US" w:bidi="ar-SA"/>
        </w:rPr>
        <w:t>Анализ на рисковите фактори, свързани с населението и човешкото здраве, в т. ч. свързани с околната среда</w:t>
      </w:r>
    </w:p>
    <w:p w14:paraId="1C925277" w14:textId="77777777" w:rsidR="00EE71AE" w:rsidRPr="009F6D1E" w:rsidRDefault="00EE71AE" w:rsidP="00EE71AE"/>
    <w:p w14:paraId="34726969" w14:textId="77777777" w:rsidR="007E5122" w:rsidRPr="009F6D1E" w:rsidRDefault="007E5122" w:rsidP="00D02E9D">
      <w:pPr>
        <w:pStyle w:val="ListParagraph"/>
        <w:numPr>
          <w:ilvl w:val="0"/>
          <w:numId w:val="25"/>
        </w:numPr>
        <w:spacing w:after="60" w:line="264" w:lineRule="auto"/>
        <w:ind w:left="1134"/>
        <w:jc w:val="both"/>
        <w:rPr>
          <w:b/>
          <w:bCs/>
          <w:color w:val="auto"/>
          <w:lang w:val="bg-BG"/>
        </w:rPr>
      </w:pPr>
      <w:r w:rsidRPr="009F6D1E">
        <w:rPr>
          <w:b/>
          <w:bCs/>
          <w:i/>
          <w:iCs/>
          <w:color w:val="auto"/>
          <w:lang w:val="bg-BG"/>
        </w:rPr>
        <w:t xml:space="preserve">Рискови фактори, свързани със социално-икономическата среда </w:t>
      </w:r>
    </w:p>
    <w:p w14:paraId="2442B43E" w14:textId="77777777" w:rsidR="007E5122" w:rsidRPr="009F6D1E" w:rsidRDefault="007E5122">
      <w:pPr>
        <w:pStyle w:val="ListParagraph"/>
        <w:numPr>
          <w:ilvl w:val="0"/>
          <w:numId w:val="30"/>
        </w:numPr>
        <w:spacing w:after="60" w:line="264" w:lineRule="auto"/>
        <w:ind w:left="1134"/>
        <w:jc w:val="both"/>
        <w:rPr>
          <w:b/>
          <w:bCs/>
          <w:color w:val="auto"/>
          <w:lang w:val="bg-BG"/>
        </w:rPr>
      </w:pPr>
      <w:r w:rsidRPr="009F6D1E">
        <w:rPr>
          <w:b/>
          <w:bCs/>
          <w:color w:val="auto"/>
          <w:lang w:val="bg-BG"/>
        </w:rPr>
        <w:t>Доходи и разходи</w:t>
      </w:r>
    </w:p>
    <w:p w14:paraId="2E0972DC"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2020 г. годишният общ доход средно на лице от домакинство е 7 002 лв. и нараства с 6.2% спрямо 2019 година. За последните десет години (2011 - 2020 г.) общият доход средно на лице от домакинство се увеличава 1.9 пъти.</w:t>
      </w:r>
    </w:p>
    <w:p w14:paraId="3B882E93"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Реалните доходи на домакинствата нарастват с 4.4% през 2020 г. в сравнение с 2019 г., като най-висок е индексът на реалните доходи през 2020 г. спрямо 2011 г. - 165.9%.</w:t>
      </w:r>
    </w:p>
    <w:p w14:paraId="726F9045" w14:textId="77777777" w:rsidR="007E5122" w:rsidRPr="009F6D1E" w:rsidRDefault="007E5122" w:rsidP="0084747F">
      <w:pPr>
        <w:spacing w:after="60" w:line="264" w:lineRule="auto"/>
        <w:jc w:val="both"/>
        <w:rPr>
          <w:rFonts w:cs="Times New Roman"/>
          <w:color w:val="auto"/>
          <w:szCs w:val="24"/>
        </w:rPr>
      </w:pPr>
      <w:r w:rsidRPr="009F6D1E">
        <w:rPr>
          <w:rFonts w:cs="Times New Roman"/>
          <w:color w:val="auto"/>
          <w:szCs w:val="24"/>
        </w:rPr>
        <w:t xml:space="preserve">През периода 2011 - 2020 г. са регистрирани следните по-важни изменения по отношение на източниците на общия доход средно на лице от домакинство: </w:t>
      </w:r>
    </w:p>
    <w:p w14:paraId="3CFEA339"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Доходът от работна заплата през 2020 г. е 3 927 лв. и се увеличава с 5.3% спрямо 2019 г., а нарастването му в сравнение с 2011 г. е 2 пъти; </w:t>
      </w:r>
    </w:p>
    <w:p w14:paraId="0FC89ACD"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Доходите от пенсии за последната година са 2 018 лева. Те нарастват с 12.0% спрямо 2019 г. и със 77.0% в сравнение с 2011 година; </w:t>
      </w:r>
    </w:p>
    <w:p w14:paraId="1DE75CD4"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Доходите от самостоятелна заетост през 2020 г. са 434 лв. и се увеличават с 3.1% спрямо 2019 г., а спрямо 2011 г. - с 50.7%; </w:t>
      </w:r>
    </w:p>
    <w:p w14:paraId="4FE0E6E3"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Доходът от трудова дейност извън работната заплата за последната година е 46 лв. и намалява спрямо 2019 г. със 17.9%, а в сравнение с 2011 г. - с 8.0%; </w:t>
      </w:r>
    </w:p>
    <w:p w14:paraId="02068350"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Доходите от другите социални трансфери (обезщетения за безработни, семейни добавки за деца и други социални помощи и обезщетения) през 2020 г. са 204 лева. Те нарастват с 5.2% спрямо 2019 г. и с 63.2% спрямо 2011 година. </w:t>
      </w:r>
    </w:p>
    <w:p w14:paraId="4EE8364E"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В структурата на общия доход с най-висок относителен дял е работната заплата. През 2020 г. той е 56.1%, което е с 0.5 процентни пункта по-малко в сравнение с 2019 г. и с 4.3 процентни пункта повече спрямо 2011 година.</w:t>
      </w:r>
    </w:p>
    <w:p w14:paraId="3D78288D"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Доходите от всички социални трансфери (пенсии, обезщетения за безработни, семейни добавки за деца и други социални помощи и обезщетения) формират 31.8% от общия доход на домакинствата през 2020 година. </w:t>
      </w:r>
    </w:p>
    <w:p w14:paraId="45B88E60"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От получените социални трансфери с най-висок относителен дял в общия доход на домакинствата са доходите от пенсии - 28.8%, който е с 1.5 процентни пункта повече в сравнение с 2019 г. и с 1.3 процентни пункта по-малко в сравнение с 2011 година.</w:t>
      </w:r>
    </w:p>
    <w:p w14:paraId="543ADAF5"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2020 г. относителният дял на доходите на домакинствата от самостоятелна заетост в общия доход на домакинствата e 6.2% и намалява с 0.2 процентни пункта в сравнение с 2019 г. и с 1.4 процентни пункта спрямо 2011 година.</w:t>
      </w:r>
    </w:p>
    <w:p w14:paraId="70EEB9EC"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Относителният дял на дохода от трудова дейност извън работната заплата е 0.7% и намалява спрямо 2019 г. с 0.2 процентни пункта, а спрямо 2011 г. намалението е с 0.6 процентни пункта.</w:t>
      </w:r>
    </w:p>
    <w:p w14:paraId="115F9989"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lastRenderedPageBreak/>
        <w:t>През 2020 г. българските домакинства са изразходвали 6 220 лв. средно на лице, което е почти без промяна в сравнение с 2019 година. За периода 2011 - 2020 г. разходите на домакинствата се увеличават 1.8 пъти.</w:t>
      </w:r>
    </w:p>
    <w:p w14:paraId="1B91C78E"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Относителният дял на потребителския разход от общите разходи на домакинствата намалява от 84.0% през 2011 г. на 81.3% през 2020 година. </w:t>
      </w:r>
    </w:p>
    <w:p w14:paraId="42A1618F"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периода 2011 - 2020 г. се наблюдават следните промени по отношение на някои видове разходи средно на лице от домакинство:</w:t>
      </w:r>
    </w:p>
    <w:p w14:paraId="44289606"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Изразходваните средства за храна и безалкохолни напитки през 2020 г. са 1 872 лв., или с 2.1% повече спрямо 2019 г. и с 48.0% повече в сравнение с 2011 година; </w:t>
      </w:r>
    </w:p>
    <w:p w14:paraId="64102D4F"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Разходите за облекло и обувки през 2020 г. са 188 лева. В сравнение с предходната година те намаляват с 6.9%, а спрямо 2011 г. нарастват 1.8 пъти; </w:t>
      </w:r>
    </w:p>
    <w:p w14:paraId="5BA71454"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Разходите, свързани с жилището (вода, електроенергия, горива, жилищно обзавеждане и поддържане на дома), за последната година са 1 121 лева. В сравнение с 2019 г. те нарастват с 5.1%, а спрямо 2011 г. - с 90.3%; </w:t>
      </w:r>
    </w:p>
    <w:p w14:paraId="33C3B22F"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За здравеопазване през 2020 г. </w:t>
      </w:r>
      <w:proofErr w:type="spellStart"/>
      <w:r w:rsidRPr="009F6D1E">
        <w:rPr>
          <w:rFonts w:cs="Times New Roman"/>
          <w:color w:val="auto"/>
          <w:szCs w:val="24"/>
        </w:rPr>
        <w:t>cа</w:t>
      </w:r>
      <w:proofErr w:type="spellEnd"/>
      <w:r w:rsidRPr="009F6D1E">
        <w:rPr>
          <w:rFonts w:cs="Times New Roman"/>
          <w:color w:val="auto"/>
          <w:szCs w:val="24"/>
        </w:rPr>
        <w:t xml:space="preserve"> изразходвани 388 лв. - с 0.5% повече от 2019 г. и 2 пъти повече спрямо 2011 година; </w:t>
      </w:r>
    </w:p>
    <w:p w14:paraId="75977C7A"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За транспорт и съобщения през 2020 г. са похарчени 700 лв., което е с 4.1% по-малко от 2019 г. и 1.9 пъти повече спрямо 2011 година; </w:t>
      </w:r>
    </w:p>
    <w:p w14:paraId="4F8F587E"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Разходите за свободно време, културен отдих и образование през 2020 г. са 250 лева. В сравнение с 2019 г. те намаляват с 22.4%, а спрямо 2011 г. се увеличават 2.1 пъти; </w:t>
      </w:r>
    </w:p>
    <w:p w14:paraId="4942C37F" w14:textId="77777777" w:rsidR="007E5122" w:rsidRPr="009F6D1E" w:rsidRDefault="007E5122" w:rsidP="00D02E9D">
      <w:pPr>
        <w:numPr>
          <w:ilvl w:val="0"/>
          <w:numId w:val="27"/>
        </w:numPr>
        <w:spacing w:after="60" w:line="264" w:lineRule="auto"/>
        <w:contextualSpacing/>
        <w:jc w:val="both"/>
        <w:rPr>
          <w:rFonts w:cs="Times New Roman"/>
          <w:color w:val="auto"/>
          <w:szCs w:val="24"/>
        </w:rPr>
      </w:pPr>
      <w:r w:rsidRPr="009F6D1E">
        <w:rPr>
          <w:rFonts w:cs="Times New Roman"/>
          <w:color w:val="auto"/>
          <w:szCs w:val="24"/>
        </w:rPr>
        <w:t xml:space="preserve">През последната година разходите за данъци и социални осигуровки са в размер на 860 лв. и се увеличават с 4.9% в сравнение с 2019 г., а спрямо 2011 г. нарастват над 2 пъти. </w:t>
      </w:r>
    </w:p>
    <w:p w14:paraId="2152C44B"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2020 г. относителният дял на разходите за храна от общия разход е 30.1%, което е с 0.6 процентни пункта повече в сравнение с 2019 г. и с 6.1 процентни пункта по-малко спрямо 2011 година.</w:t>
      </w:r>
    </w:p>
    <w:p w14:paraId="7F412CF6"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Относителният дял на разходите, свързани с жилището, се увеличава с 0.8 процентни пункта през 2020 г. спрямо 2019 г., а в сравнение с 2011 г. - с 1.1 процентни пункта. </w:t>
      </w:r>
    </w:p>
    <w:p w14:paraId="0266D0A8"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Делът на разходите за данъци и социални осигуровки е 13.8% от общия разход през 2020 г., което е с 0.6 процентни пункта повече в сравнение с 2019 г., а увеличението спрямо 2011 г. е с 2.8 процентни пункта. </w:t>
      </w:r>
    </w:p>
    <w:p w14:paraId="3D5F771A"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Относителният дял на разходите за здравеопазване през 2020 г. е същият както през 2019 г. - 6.2%, с 0.6 процентни пункта повече спрямо 2011 година. </w:t>
      </w:r>
    </w:p>
    <w:p w14:paraId="1268F186"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периода 2011 - 2020 г. делът на разходите за транспорт и съобщения в общия разход е в рамките на 11 - 12%.</w:t>
      </w:r>
    </w:p>
    <w:p w14:paraId="5F065A53" w14:textId="77777777" w:rsidR="007E5122" w:rsidRPr="009F6D1E" w:rsidRDefault="007E5122">
      <w:pPr>
        <w:pStyle w:val="ListParagraph"/>
        <w:numPr>
          <w:ilvl w:val="0"/>
          <w:numId w:val="30"/>
        </w:numPr>
        <w:spacing w:after="60" w:line="264" w:lineRule="auto"/>
        <w:jc w:val="both"/>
        <w:rPr>
          <w:b/>
          <w:bCs/>
          <w:color w:val="auto"/>
          <w:lang w:val="bg-BG"/>
        </w:rPr>
      </w:pPr>
      <w:r w:rsidRPr="009F6D1E">
        <w:rPr>
          <w:b/>
          <w:bCs/>
          <w:color w:val="auto"/>
          <w:lang w:val="bg-BG"/>
        </w:rPr>
        <w:t>Бедност</w:t>
      </w:r>
    </w:p>
    <w:p w14:paraId="11C40848"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Борбата с бедността и социалното изключване е една от конкретните цели на ЕС и неговите държави - членки в областта на социалната политика. Бедността се запазва като фактор с многопосочно въздействие върху здравето в неговите биологични, психични и </w:t>
      </w:r>
      <w:r w:rsidRPr="009F6D1E">
        <w:rPr>
          <w:rFonts w:cs="Times New Roman"/>
          <w:color w:val="auto"/>
          <w:szCs w:val="24"/>
        </w:rPr>
        <w:lastRenderedPageBreak/>
        <w:t xml:space="preserve">социални намерения. Все още няма универсално решение за преодоляване на бедността и социалното изключване. </w:t>
      </w:r>
    </w:p>
    <w:p w14:paraId="287E7BBD"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През 2020 г. линията на бедност общо за страната e 451.00 лв. средномесечно на лице от домакинство. При този размер на линията под прага на бедност са били 1 659.9 хил. лица, или 23.8% от населението на страната.  В сравнение с предходната година размерът на линията на бедност нараства с 9.2%, а относителният дял на бедното население нараства с 1.2 процентни пункта.</w:t>
      </w:r>
    </w:p>
    <w:p w14:paraId="175DC360"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 xml:space="preserve">Безработица </w:t>
      </w:r>
    </w:p>
    <w:p w14:paraId="031CF8D2"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Анализирайки повечето индикатори, се наблюдава оживление в икономиката и на пазара на труда, което е в унисон и с положителното развитие в Европа като цяло. Големият проблем, обаче, остава все по-острата липса на работна ръка, което може да ограничи или възпре подема на българската икономика. </w:t>
      </w:r>
    </w:p>
    <w:p w14:paraId="09823395"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По данни на НСИ безработните лица в страната на 15 и повече навършени години са 168,6 хил. души, като </w:t>
      </w:r>
      <w:proofErr w:type="spellStart"/>
      <w:r w:rsidRPr="009F6D1E">
        <w:rPr>
          <w:rFonts w:cs="Times New Roman"/>
          <w:color w:val="auto"/>
          <w:szCs w:val="24"/>
        </w:rPr>
        <w:t>коефицента</w:t>
      </w:r>
      <w:proofErr w:type="spellEnd"/>
      <w:r w:rsidRPr="009F6D1E">
        <w:rPr>
          <w:rFonts w:cs="Times New Roman"/>
          <w:color w:val="auto"/>
          <w:szCs w:val="24"/>
        </w:rPr>
        <w:t xml:space="preserve"> на безработица е 5,1 %</w:t>
      </w:r>
    </w:p>
    <w:p w14:paraId="50F63460" w14:textId="77777777" w:rsidR="007E5122" w:rsidRPr="009F6D1E" w:rsidRDefault="007E5122" w:rsidP="00D02E9D">
      <w:pPr>
        <w:pStyle w:val="ListParagraph"/>
        <w:numPr>
          <w:ilvl w:val="0"/>
          <w:numId w:val="25"/>
        </w:numPr>
        <w:spacing w:after="60" w:line="264" w:lineRule="auto"/>
        <w:ind w:left="851"/>
        <w:jc w:val="both"/>
        <w:rPr>
          <w:b/>
          <w:bCs/>
          <w:i/>
          <w:iCs/>
          <w:color w:val="auto"/>
          <w:lang w:val="bg-BG"/>
        </w:rPr>
      </w:pPr>
      <w:r w:rsidRPr="009F6D1E">
        <w:rPr>
          <w:b/>
          <w:bCs/>
          <w:i/>
          <w:iCs/>
          <w:color w:val="auto"/>
          <w:lang w:val="bg-BG"/>
        </w:rPr>
        <w:t xml:space="preserve">Рискови фактори, свързани с начина на живот </w:t>
      </w:r>
    </w:p>
    <w:p w14:paraId="10441EEB" w14:textId="1FCA09F4"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Рисковите фактори, свързани с начина на живот са тютюнопушенето, употребата на алкохол, ниската физическа активност, храненето и хранителния статус на населението, употребата на наркотици. Предвид това, че нямат отношение към </w:t>
      </w:r>
      <w:r w:rsidR="008961A4" w:rsidRPr="008961A4">
        <w:rPr>
          <w:rFonts w:cs="Times New Roman"/>
          <w:color w:val="auto"/>
          <w:szCs w:val="24"/>
        </w:rPr>
        <w:t>СПРЗСР</w:t>
      </w:r>
      <w:r w:rsidRPr="009F6D1E">
        <w:rPr>
          <w:rFonts w:cs="Times New Roman"/>
          <w:color w:val="auto"/>
          <w:szCs w:val="24"/>
        </w:rPr>
        <w:t>, обект на настоящата оценка, то същите не се разглеждат детайлно.</w:t>
      </w:r>
    </w:p>
    <w:p w14:paraId="0C686A2F" w14:textId="77777777" w:rsidR="007E5122" w:rsidRPr="009F6D1E" w:rsidRDefault="007E5122" w:rsidP="00D02E9D">
      <w:pPr>
        <w:pStyle w:val="ListParagraph"/>
        <w:numPr>
          <w:ilvl w:val="0"/>
          <w:numId w:val="25"/>
        </w:numPr>
        <w:spacing w:after="60" w:line="264" w:lineRule="auto"/>
        <w:ind w:left="993"/>
        <w:jc w:val="both"/>
        <w:rPr>
          <w:b/>
          <w:bCs/>
          <w:i/>
          <w:iCs/>
          <w:color w:val="auto"/>
          <w:lang w:val="bg-BG"/>
        </w:rPr>
      </w:pPr>
      <w:r w:rsidRPr="009F6D1E">
        <w:rPr>
          <w:b/>
          <w:bCs/>
          <w:i/>
          <w:iCs/>
          <w:color w:val="auto"/>
          <w:lang w:val="bg-BG"/>
        </w:rPr>
        <w:t>Рискови фактори, свързани с околната и трудовата среда</w:t>
      </w:r>
    </w:p>
    <w:p w14:paraId="1CBE524F" w14:textId="52469439"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Рисковите фактори, свързани с околната среда, са атмосферния въздух, питейните води, води за къпане, почви, отпадъци, шум, генетично модифицирани организми в храни, </w:t>
      </w:r>
      <w:proofErr w:type="spellStart"/>
      <w:r w:rsidRPr="009F6D1E">
        <w:rPr>
          <w:rFonts w:cs="Times New Roman"/>
          <w:color w:val="auto"/>
          <w:szCs w:val="24"/>
        </w:rPr>
        <w:t>нейонизиращи</w:t>
      </w:r>
      <w:proofErr w:type="spellEnd"/>
      <w:r w:rsidRPr="009F6D1E">
        <w:rPr>
          <w:rFonts w:cs="Times New Roman"/>
          <w:color w:val="auto"/>
          <w:szCs w:val="24"/>
        </w:rPr>
        <w:t xml:space="preserve"> лъчения, йонизиращи лъчения. Предвид значимостта им и директната връзка, в честност възможното замърсяване или генериране на емисии от някои от вредните физични фактори, резултат от прилагането на </w:t>
      </w:r>
      <w:r w:rsidR="008961A4" w:rsidRPr="008961A4">
        <w:rPr>
          <w:rFonts w:cs="Times New Roman"/>
          <w:color w:val="auto"/>
          <w:szCs w:val="24"/>
        </w:rPr>
        <w:t>СПРЗСР</w:t>
      </w:r>
      <w:r w:rsidRPr="009F6D1E">
        <w:rPr>
          <w:rFonts w:cs="Times New Roman"/>
          <w:color w:val="auto"/>
          <w:szCs w:val="24"/>
        </w:rPr>
        <w:t>, обект на настоящата оценка, то рисковите фактори, свързани с околната и трудовата среда са разгледани в детайли в настоящата екологична оценка.</w:t>
      </w:r>
    </w:p>
    <w:p w14:paraId="4C68743E" w14:textId="77777777" w:rsidR="007E5122" w:rsidRPr="00571820" w:rsidRDefault="007E5122" w:rsidP="00571820">
      <w:pPr>
        <w:pStyle w:val="ListParagraph"/>
        <w:numPr>
          <w:ilvl w:val="0"/>
          <w:numId w:val="25"/>
        </w:numPr>
        <w:spacing w:after="60" w:line="264" w:lineRule="auto"/>
        <w:ind w:left="993"/>
        <w:jc w:val="both"/>
        <w:rPr>
          <w:b/>
          <w:bCs/>
          <w:i/>
          <w:iCs/>
          <w:color w:val="auto"/>
          <w:lang w:val="bg-BG"/>
        </w:rPr>
      </w:pPr>
      <w:r w:rsidRPr="00571820">
        <w:rPr>
          <w:b/>
          <w:bCs/>
          <w:i/>
          <w:iCs/>
          <w:color w:val="auto"/>
          <w:lang w:val="bg-BG"/>
        </w:rPr>
        <w:t xml:space="preserve">Рискови фактори по отношение на „атмосферния въздух“ </w:t>
      </w:r>
    </w:p>
    <w:p w14:paraId="5E405CAB" w14:textId="77777777" w:rsidR="007E5122" w:rsidRPr="009F6D1E" w:rsidRDefault="007E5122" w:rsidP="0084747F">
      <w:pPr>
        <w:spacing w:after="60" w:line="264" w:lineRule="auto"/>
        <w:ind w:firstLine="633"/>
        <w:jc w:val="both"/>
        <w:rPr>
          <w:rFonts w:cs="Times New Roman"/>
          <w:color w:val="auto"/>
          <w:szCs w:val="24"/>
        </w:rPr>
      </w:pPr>
      <w:r w:rsidRPr="009F6D1E">
        <w:rPr>
          <w:rFonts w:cs="Times New Roman"/>
          <w:color w:val="auto"/>
          <w:szCs w:val="24"/>
        </w:rPr>
        <w:t xml:space="preserve">Замърсяването на атмосферния въздух се определя като съществен, но предотвратим рисков за човешкото здраве фактор и се използва като маркер за устойчиво развитие. Системната експозиция на повишени нива на атмосферни замърсители директно или индиректно провокира диапазон от нежелани ефекти - от незначителни функционални смущения до появата на сериозни заболявания на отделни органи и системи като: </w:t>
      </w:r>
    </w:p>
    <w:p w14:paraId="662FE668"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Понижена белодробна функция; </w:t>
      </w:r>
    </w:p>
    <w:p w14:paraId="56A71F43"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Повишена възприемчивост на организма към респираторни инфекции; </w:t>
      </w:r>
    </w:p>
    <w:p w14:paraId="6467345D"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Усложнено протичане на съществуващи сърдечносъдови заболявания; </w:t>
      </w:r>
    </w:p>
    <w:p w14:paraId="6650CA9F"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Усложнено протичане на съществуващи хронични респираторни заболявания, включително и астма; </w:t>
      </w:r>
    </w:p>
    <w:p w14:paraId="447A12BF"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Намалена средна продължителност на живота. </w:t>
      </w:r>
    </w:p>
    <w:p w14:paraId="1A2E1330"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lastRenderedPageBreak/>
        <w:t>Емисиите от икономическите дейности: изгаряне на горива при производство на електрическа и топлинна енергия, в промишлеността и в битовото отопление са основен източник на замърсяване на атмосферния въздух. Не малък дял имат и емисиите от транспорта и селското стопанство.</w:t>
      </w:r>
    </w:p>
    <w:p w14:paraId="74A2DE31"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Фините прахови частици (ФПЧ10 и ФПЧ2.5) и озон (О</w:t>
      </w:r>
      <w:r w:rsidRPr="009F6D1E">
        <w:rPr>
          <w:rFonts w:cs="Times New Roman"/>
          <w:color w:val="auto"/>
          <w:szCs w:val="24"/>
          <w:vertAlign w:val="subscript"/>
        </w:rPr>
        <w:t>3</w:t>
      </w:r>
      <w:r w:rsidRPr="009F6D1E">
        <w:rPr>
          <w:rFonts w:cs="Times New Roman"/>
          <w:color w:val="auto"/>
          <w:szCs w:val="24"/>
        </w:rPr>
        <w:t xml:space="preserve">) са най-проблемните замърсители по отношение на човешкото здраве, следвани от </w:t>
      </w:r>
      <w:proofErr w:type="spellStart"/>
      <w:r w:rsidRPr="009F6D1E">
        <w:rPr>
          <w:rFonts w:cs="Times New Roman"/>
          <w:color w:val="auto"/>
          <w:szCs w:val="24"/>
        </w:rPr>
        <w:t>бензо</w:t>
      </w:r>
      <w:proofErr w:type="spellEnd"/>
      <w:r w:rsidRPr="009F6D1E">
        <w:rPr>
          <w:rFonts w:cs="Times New Roman"/>
          <w:color w:val="auto"/>
          <w:szCs w:val="24"/>
        </w:rPr>
        <w:t xml:space="preserve">(а)пирен (индикатор за </w:t>
      </w:r>
      <w:proofErr w:type="spellStart"/>
      <w:r w:rsidRPr="009F6D1E">
        <w:rPr>
          <w:rFonts w:cs="Times New Roman"/>
          <w:color w:val="auto"/>
          <w:szCs w:val="24"/>
        </w:rPr>
        <w:t>полициклични</w:t>
      </w:r>
      <w:proofErr w:type="spellEnd"/>
      <w:r w:rsidRPr="009F6D1E">
        <w:rPr>
          <w:rFonts w:cs="Times New Roman"/>
          <w:color w:val="auto"/>
          <w:szCs w:val="24"/>
        </w:rPr>
        <w:t xml:space="preserve"> ароматни въглеводороди) и азотен диоксид (NO</w:t>
      </w:r>
      <w:r w:rsidRPr="009F6D1E">
        <w:rPr>
          <w:rFonts w:cs="Times New Roman"/>
          <w:color w:val="auto"/>
          <w:szCs w:val="24"/>
          <w:vertAlign w:val="subscript"/>
        </w:rPr>
        <w:t>2</w:t>
      </w:r>
      <w:r w:rsidRPr="009F6D1E">
        <w:rPr>
          <w:rFonts w:cs="Times New Roman"/>
          <w:color w:val="auto"/>
          <w:szCs w:val="24"/>
        </w:rPr>
        <w:t>). Най-силно засегнати от въздействието на високите концентрации на озон (О</w:t>
      </w:r>
      <w:r w:rsidRPr="009F6D1E">
        <w:rPr>
          <w:rFonts w:cs="Times New Roman"/>
          <w:color w:val="auto"/>
          <w:szCs w:val="24"/>
          <w:vertAlign w:val="subscript"/>
        </w:rPr>
        <w:t>3</w:t>
      </w:r>
      <w:r w:rsidRPr="009F6D1E">
        <w:rPr>
          <w:rFonts w:cs="Times New Roman"/>
          <w:color w:val="auto"/>
          <w:szCs w:val="24"/>
        </w:rPr>
        <w:t>), амоняк (NH</w:t>
      </w:r>
      <w:r w:rsidRPr="009F6D1E">
        <w:rPr>
          <w:rFonts w:cs="Times New Roman"/>
          <w:color w:val="auto"/>
          <w:szCs w:val="24"/>
          <w:vertAlign w:val="subscript"/>
        </w:rPr>
        <w:t>3</w:t>
      </w:r>
      <w:r w:rsidRPr="009F6D1E">
        <w:rPr>
          <w:rFonts w:cs="Times New Roman"/>
          <w:color w:val="auto"/>
          <w:szCs w:val="24"/>
        </w:rPr>
        <w:t>) и азотни оксиди (NO</w:t>
      </w:r>
      <w:r w:rsidRPr="009F6D1E">
        <w:rPr>
          <w:rFonts w:cs="Times New Roman"/>
          <w:color w:val="auto"/>
          <w:szCs w:val="24"/>
          <w:vertAlign w:val="subscript"/>
        </w:rPr>
        <w:t>X</w:t>
      </w:r>
      <w:r w:rsidRPr="009F6D1E">
        <w:rPr>
          <w:rFonts w:cs="Times New Roman"/>
          <w:color w:val="auto"/>
          <w:szCs w:val="24"/>
        </w:rPr>
        <w:t>) са екосистемите и горите във високопланинските райони.</w:t>
      </w:r>
    </w:p>
    <w:p w14:paraId="27330220"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Ефектите от лошото качество на въздуха се усещат най-силно в две основни области – в градските райони, където хората изпитват значителни здравословни проблеми и екосистемите, където се уврежда растежа на растителността, а </w:t>
      </w:r>
      <w:proofErr w:type="spellStart"/>
      <w:r w:rsidRPr="009F6D1E">
        <w:rPr>
          <w:rFonts w:cs="Times New Roman"/>
          <w:color w:val="auto"/>
          <w:szCs w:val="24"/>
        </w:rPr>
        <w:t>еутрофикацията</w:t>
      </w:r>
      <w:proofErr w:type="spellEnd"/>
      <w:r w:rsidRPr="009F6D1E">
        <w:rPr>
          <w:rFonts w:cs="Times New Roman"/>
          <w:color w:val="auto"/>
          <w:szCs w:val="24"/>
        </w:rPr>
        <w:t xml:space="preserve"> е довела до загубата на биологично разнообразие.</w:t>
      </w:r>
    </w:p>
    <w:p w14:paraId="6AE55712"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Анализът на емисиите на вредни вещества в атмосферата показват, че:</w:t>
      </w:r>
    </w:p>
    <w:p w14:paraId="7CEBAA5B" w14:textId="77777777" w:rsidR="00571820" w:rsidRPr="00571820" w:rsidRDefault="00571820" w:rsidP="00571820">
      <w:pPr>
        <w:spacing w:before="80" w:after="120" w:line="264" w:lineRule="auto"/>
        <w:ind w:firstLine="851"/>
        <w:rPr>
          <w:rFonts w:cs="Times New Roman"/>
          <w:b/>
          <w:bCs/>
          <w:smallCaps/>
          <w:szCs w:val="24"/>
        </w:rPr>
      </w:pPr>
      <w:r w:rsidRPr="00571820">
        <w:rPr>
          <w:rFonts w:cs="Times New Roman"/>
          <w:b/>
          <w:bCs/>
          <w:smallCaps/>
          <w:szCs w:val="24"/>
          <w:bdr w:val="single" w:sz="4" w:space="0" w:color="auto"/>
        </w:rPr>
        <w:t>Емисии</w:t>
      </w:r>
    </w:p>
    <w:p w14:paraId="77F36ABA" w14:textId="77777777" w:rsidR="00571820" w:rsidRPr="00571820" w:rsidRDefault="00571820">
      <w:pPr>
        <w:pStyle w:val="ListParagraph"/>
        <w:numPr>
          <w:ilvl w:val="0"/>
          <w:numId w:val="97"/>
        </w:numPr>
        <w:spacing w:before="80" w:after="120" w:line="264" w:lineRule="auto"/>
        <w:jc w:val="both"/>
        <w:rPr>
          <w:b/>
          <w:bCs/>
          <w:smallCaps/>
          <w:lang w:val="bg-BG"/>
        </w:rPr>
      </w:pPr>
      <w:r w:rsidRPr="00571820">
        <w:rPr>
          <w:b/>
          <w:bCs/>
          <w:smallCaps/>
          <w:lang w:val="bg-BG"/>
        </w:rPr>
        <w:t>Общи емисии</w:t>
      </w:r>
    </w:p>
    <w:p w14:paraId="50526392" w14:textId="77777777" w:rsidR="00571820" w:rsidRPr="00571820" w:rsidRDefault="00571820" w:rsidP="00571820">
      <w:pPr>
        <w:spacing w:before="80" w:after="120" w:line="264" w:lineRule="auto"/>
        <w:ind w:left="851"/>
        <w:rPr>
          <w:rFonts w:cs="Times New Roman"/>
          <w:szCs w:val="24"/>
        </w:rPr>
      </w:pPr>
      <w:r w:rsidRPr="00571820">
        <w:rPr>
          <w:rFonts w:cs="Times New Roman"/>
          <w:szCs w:val="24"/>
        </w:rPr>
        <w:t>Анализът на емисиите на някои атмосферни замърсители показват, че в периода 2005–2020г.:</w:t>
      </w:r>
    </w:p>
    <w:p w14:paraId="03C2B794" w14:textId="77777777" w:rsidR="00571820" w:rsidRPr="00571820" w:rsidRDefault="00571820">
      <w:pPr>
        <w:pStyle w:val="ListParagraph1"/>
        <w:numPr>
          <w:ilvl w:val="0"/>
          <w:numId w:val="94"/>
        </w:numPr>
        <w:spacing w:before="0" w:after="120" w:line="264" w:lineRule="auto"/>
        <w:ind w:left="1418" w:hanging="567"/>
        <w:jc w:val="both"/>
        <w:rPr>
          <w:lang w:val="bg-BG"/>
        </w:rPr>
      </w:pPr>
      <w:r w:rsidRPr="00571820">
        <w:rPr>
          <w:lang w:val="bg-BG"/>
        </w:rPr>
        <w:t>Емисиите на SO</w:t>
      </w:r>
      <w:r w:rsidRPr="00571820">
        <w:rPr>
          <w:vertAlign w:val="subscript"/>
          <w:lang w:val="bg-BG"/>
        </w:rPr>
        <w:t>2</w:t>
      </w:r>
      <w:r w:rsidRPr="00571820">
        <w:rPr>
          <w:lang w:val="bg-BG"/>
        </w:rPr>
        <w:t xml:space="preserve"> намаляват с 93% за 2020 г. в сравнение с базовата 2005г., което основно се дължи на намалените емисиите от топлоелектрическите централи (ТЕЦ).</w:t>
      </w:r>
    </w:p>
    <w:p w14:paraId="60094C94" w14:textId="77777777" w:rsidR="00571820" w:rsidRPr="00571820" w:rsidRDefault="00571820">
      <w:pPr>
        <w:pStyle w:val="ListParagraph1"/>
        <w:numPr>
          <w:ilvl w:val="0"/>
          <w:numId w:val="94"/>
        </w:numPr>
        <w:spacing w:before="0" w:after="120" w:line="264" w:lineRule="auto"/>
        <w:ind w:left="1418" w:hanging="567"/>
        <w:jc w:val="both"/>
        <w:rPr>
          <w:lang w:val="bg-BG"/>
        </w:rPr>
      </w:pPr>
      <w:r w:rsidRPr="00571820">
        <w:rPr>
          <w:lang w:val="bg-BG"/>
        </w:rPr>
        <w:t>Емисиите на NO</w:t>
      </w:r>
      <w:r w:rsidRPr="00571820">
        <w:rPr>
          <w:vertAlign w:val="subscript"/>
          <w:lang w:val="bg-BG"/>
        </w:rPr>
        <w:t>Х</w:t>
      </w:r>
      <w:r w:rsidRPr="00571820">
        <w:rPr>
          <w:lang w:val="bg-BG"/>
        </w:rPr>
        <w:t xml:space="preserve"> намаляват с 51% за периода 2005-2020г., което основно се дължи на редуцираните емисии от ТЕЦ и в по-малка степен на намаление на емисиите от автомобилния транспорт.</w:t>
      </w:r>
    </w:p>
    <w:p w14:paraId="5FCBC339" w14:textId="77777777" w:rsidR="00571820" w:rsidRPr="00571820" w:rsidRDefault="00571820">
      <w:pPr>
        <w:pStyle w:val="ListParagraph1"/>
        <w:numPr>
          <w:ilvl w:val="0"/>
          <w:numId w:val="94"/>
        </w:numPr>
        <w:spacing w:before="0" w:after="120" w:line="264" w:lineRule="auto"/>
        <w:ind w:left="1418" w:hanging="567"/>
        <w:jc w:val="both"/>
        <w:rPr>
          <w:lang w:val="bg-BG"/>
        </w:rPr>
      </w:pPr>
      <w:r w:rsidRPr="00571820">
        <w:rPr>
          <w:lang w:val="bg-BG"/>
        </w:rPr>
        <w:t>Емисиите на NMVOC намаляват с 29% за 2020г. в сравнение с базовата 2005г.</w:t>
      </w:r>
    </w:p>
    <w:p w14:paraId="270D4C68" w14:textId="77777777" w:rsidR="00571820" w:rsidRPr="00571820" w:rsidRDefault="00571820">
      <w:pPr>
        <w:pStyle w:val="ListParagraph1"/>
        <w:numPr>
          <w:ilvl w:val="0"/>
          <w:numId w:val="94"/>
        </w:numPr>
        <w:spacing w:before="0" w:after="120" w:line="264" w:lineRule="auto"/>
        <w:ind w:left="1418" w:hanging="567"/>
        <w:jc w:val="both"/>
        <w:rPr>
          <w:lang w:val="bg-BG"/>
        </w:rPr>
      </w:pPr>
      <w:r w:rsidRPr="00571820">
        <w:rPr>
          <w:lang w:val="bg-BG"/>
        </w:rPr>
        <w:t>За периода 2005-2020г. емисиите на NH</w:t>
      </w:r>
      <w:r w:rsidRPr="00571820">
        <w:rPr>
          <w:vertAlign w:val="subscript"/>
          <w:lang w:val="bg-BG"/>
        </w:rPr>
        <w:t>3</w:t>
      </w:r>
      <w:r w:rsidRPr="00571820">
        <w:rPr>
          <w:lang w:val="bg-BG"/>
        </w:rPr>
        <w:t xml:space="preserve"> се увеличават с 1.7% – от 42 до 42.7 </w:t>
      </w:r>
      <w:proofErr w:type="spellStart"/>
      <w:r w:rsidRPr="00571820">
        <w:rPr>
          <w:lang w:val="bg-BG"/>
        </w:rPr>
        <w:t>kt</w:t>
      </w:r>
      <w:proofErr w:type="spellEnd"/>
      <w:r w:rsidRPr="00571820">
        <w:rPr>
          <w:lang w:val="bg-BG"/>
        </w:rPr>
        <w:t>.</w:t>
      </w:r>
    </w:p>
    <w:p w14:paraId="4438FE6F" w14:textId="77777777" w:rsidR="00571820" w:rsidRPr="00571820" w:rsidRDefault="00571820">
      <w:pPr>
        <w:pStyle w:val="ListParagraph1"/>
        <w:numPr>
          <w:ilvl w:val="0"/>
          <w:numId w:val="94"/>
        </w:numPr>
        <w:spacing w:before="0" w:after="120" w:line="264" w:lineRule="auto"/>
        <w:ind w:left="1418" w:hanging="567"/>
        <w:jc w:val="both"/>
        <w:rPr>
          <w:lang w:val="bg-BG"/>
        </w:rPr>
      </w:pPr>
      <w:r w:rsidRPr="00571820">
        <w:rPr>
          <w:lang w:val="bg-BG"/>
        </w:rPr>
        <w:t>Емисиите на ФПЧ</w:t>
      </w:r>
      <w:r w:rsidRPr="00571820">
        <w:rPr>
          <w:vertAlign w:val="subscript"/>
          <w:lang w:val="bg-BG"/>
        </w:rPr>
        <w:t xml:space="preserve">2.5 </w:t>
      </w:r>
      <w:r w:rsidRPr="00571820">
        <w:rPr>
          <w:lang w:val="bg-BG"/>
        </w:rPr>
        <w:t>са се увеличили с 4% през 2020 г. Основният източник на ФПЧ</w:t>
      </w:r>
      <w:r w:rsidRPr="00571820">
        <w:rPr>
          <w:vertAlign w:val="subscript"/>
          <w:lang w:val="bg-BG"/>
        </w:rPr>
        <w:t xml:space="preserve">2.5 </w:t>
      </w:r>
      <w:r w:rsidRPr="00571820">
        <w:rPr>
          <w:lang w:val="bg-BG"/>
        </w:rPr>
        <w:t>е изгарянето на горива в битовия сектор.</w:t>
      </w:r>
    </w:p>
    <w:p w14:paraId="5985BB32" w14:textId="77777777" w:rsidR="00571820" w:rsidRPr="00571820" w:rsidRDefault="00571820">
      <w:pPr>
        <w:pStyle w:val="ListParagraph"/>
        <w:numPr>
          <w:ilvl w:val="0"/>
          <w:numId w:val="96"/>
        </w:numPr>
        <w:spacing w:before="80" w:after="120" w:line="264" w:lineRule="auto"/>
        <w:jc w:val="both"/>
        <w:rPr>
          <w:b/>
          <w:bCs/>
          <w:smallCaps/>
          <w:lang w:val="bg-BG"/>
        </w:rPr>
      </w:pPr>
      <w:r w:rsidRPr="00571820">
        <w:rPr>
          <w:b/>
          <w:bCs/>
          <w:smallCaps/>
          <w:lang w:val="bg-BG"/>
        </w:rPr>
        <w:t>По групи източници</w:t>
      </w:r>
    </w:p>
    <w:p w14:paraId="7A6B42F4" w14:textId="77777777" w:rsidR="00571820" w:rsidRPr="00571820" w:rsidRDefault="00571820" w:rsidP="00571820">
      <w:pPr>
        <w:spacing w:before="80" w:after="120" w:line="264" w:lineRule="auto"/>
        <w:ind w:left="720"/>
        <w:rPr>
          <w:rFonts w:cs="Times New Roman"/>
          <w:szCs w:val="24"/>
        </w:rPr>
      </w:pPr>
      <w:r w:rsidRPr="00571820">
        <w:rPr>
          <w:rFonts w:cs="Times New Roman"/>
          <w:szCs w:val="24"/>
        </w:rPr>
        <w:t>Процентното сравнение по групи източници на количеството генерирани атмосферни замърсители през 2019г. (</w:t>
      </w:r>
      <w:r w:rsidRPr="00571820">
        <w:rPr>
          <w:rFonts w:cs="Times New Roman"/>
          <w:b/>
          <w:bCs/>
          <w:szCs w:val="24"/>
        </w:rPr>
        <w:t>пред-</w:t>
      </w:r>
      <w:proofErr w:type="spellStart"/>
      <w:r w:rsidRPr="00571820">
        <w:rPr>
          <w:rFonts w:cs="Times New Roman"/>
          <w:b/>
          <w:bCs/>
          <w:szCs w:val="24"/>
        </w:rPr>
        <w:t>пандемична</w:t>
      </w:r>
      <w:proofErr w:type="spellEnd"/>
      <w:r w:rsidRPr="00571820">
        <w:rPr>
          <w:rFonts w:cs="Times New Roman"/>
          <w:b/>
          <w:bCs/>
          <w:szCs w:val="24"/>
        </w:rPr>
        <w:t xml:space="preserve"> </w:t>
      </w:r>
      <w:r w:rsidRPr="00571820">
        <w:rPr>
          <w:rFonts w:cs="Times New Roman"/>
          <w:szCs w:val="24"/>
        </w:rPr>
        <w:t xml:space="preserve">година) и през 2020г. (първата </w:t>
      </w:r>
      <w:proofErr w:type="spellStart"/>
      <w:r w:rsidRPr="00571820">
        <w:rPr>
          <w:rFonts w:cs="Times New Roman"/>
          <w:b/>
          <w:bCs/>
          <w:szCs w:val="24"/>
        </w:rPr>
        <w:t>пандемична</w:t>
      </w:r>
      <w:proofErr w:type="spellEnd"/>
      <w:r w:rsidRPr="00571820">
        <w:rPr>
          <w:rFonts w:cs="Times New Roman"/>
          <w:b/>
          <w:bCs/>
          <w:szCs w:val="24"/>
        </w:rPr>
        <w:t xml:space="preserve"> </w:t>
      </w:r>
      <w:r w:rsidRPr="00571820">
        <w:rPr>
          <w:rFonts w:cs="Times New Roman"/>
          <w:szCs w:val="24"/>
        </w:rPr>
        <w:t xml:space="preserve">година) показват следното: </w:t>
      </w:r>
    </w:p>
    <w:p w14:paraId="7FF48A04" w14:textId="77777777" w:rsidR="00571820" w:rsidRPr="00571820" w:rsidRDefault="00571820">
      <w:pPr>
        <w:pStyle w:val="ListParagraph1"/>
        <w:numPr>
          <w:ilvl w:val="0"/>
          <w:numId w:val="94"/>
        </w:numPr>
        <w:spacing w:before="80" w:after="120" w:line="264" w:lineRule="auto"/>
        <w:ind w:left="1418" w:hanging="567"/>
        <w:jc w:val="both"/>
        <w:rPr>
          <w:i/>
          <w:iCs/>
          <w:color w:val="auto"/>
          <w:lang w:val="bg-BG"/>
        </w:rPr>
      </w:pPr>
      <w:r w:rsidRPr="00571820">
        <w:rPr>
          <w:b/>
          <w:bCs/>
          <w:color w:val="auto"/>
          <w:lang w:val="bg-BG"/>
        </w:rPr>
        <w:t>SO</w:t>
      </w:r>
      <w:r w:rsidRPr="00571820">
        <w:rPr>
          <w:b/>
          <w:bCs/>
          <w:color w:val="auto"/>
          <w:vertAlign w:val="subscript"/>
          <w:lang w:val="bg-BG"/>
        </w:rPr>
        <w:t>X</w:t>
      </w:r>
      <w:r w:rsidRPr="00571820">
        <w:rPr>
          <w:color w:val="auto"/>
          <w:lang w:val="bg-BG"/>
        </w:rPr>
        <w:t xml:space="preserve"> - общото количество на серни оксиди емитирано в страната </w:t>
      </w:r>
      <w:r w:rsidRPr="00571820">
        <w:rPr>
          <w:color w:val="auto"/>
          <w:u w:val="single"/>
          <w:lang w:val="bg-BG"/>
        </w:rPr>
        <w:t xml:space="preserve">намалява </w:t>
      </w:r>
      <w:r w:rsidRPr="00571820">
        <w:rPr>
          <w:color w:val="auto"/>
          <w:lang w:val="bg-BG"/>
        </w:rPr>
        <w:t xml:space="preserve">от 74.19 хил. тона (през 2019г.) на 69.6 хил. тона (през 2020г.), т.е. </w:t>
      </w:r>
      <w:r w:rsidRPr="00571820">
        <w:rPr>
          <w:b/>
          <w:bCs/>
          <w:color w:val="auto"/>
          <w:lang w:val="bg-BG"/>
        </w:rPr>
        <w:t>спад от 6.2%</w:t>
      </w:r>
      <w:r w:rsidRPr="00571820">
        <w:rPr>
          <w:color w:val="auto"/>
          <w:lang w:val="bg-BG"/>
        </w:rPr>
        <w:t>.</w:t>
      </w:r>
    </w:p>
    <w:p w14:paraId="635FB390"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№1–</w:t>
      </w:r>
      <w:r w:rsidRPr="00571820">
        <w:rPr>
          <w:i/>
          <w:iCs/>
          <w:lang w:val="bg-BG"/>
        </w:rPr>
        <w:t>ТЕЦ (вкл. рафинерии)</w:t>
      </w:r>
      <w:r w:rsidRPr="00571820">
        <w:rPr>
          <w:b/>
          <w:bCs/>
          <w:color w:val="auto"/>
          <w:lang w:val="bg-BG"/>
        </w:rPr>
        <w:t xml:space="preserve"> </w:t>
      </w:r>
      <w:r w:rsidRPr="00571820">
        <w:rPr>
          <w:color w:val="auto"/>
          <w:u w:val="single"/>
          <w:lang w:val="bg-BG"/>
        </w:rPr>
        <w:t>пада</w:t>
      </w:r>
      <w:r w:rsidRPr="00571820">
        <w:rPr>
          <w:color w:val="auto"/>
          <w:lang w:val="bg-BG"/>
        </w:rPr>
        <w:t xml:space="preserve"> от 45.7% на 38.7%, като в количествено изражение емисиите от този източник намалява </w:t>
      </w:r>
      <w:r w:rsidRPr="00571820">
        <w:rPr>
          <w:color w:val="auto"/>
          <w:lang w:val="bg-BG"/>
        </w:rPr>
        <w:lastRenderedPageBreak/>
        <w:t xml:space="preserve">от 33.9 хил. тона (през 2019г.) на 26.9 хил. тона (през 2020г.), т.е. </w:t>
      </w:r>
      <w:r w:rsidRPr="00571820">
        <w:rPr>
          <w:b/>
          <w:bCs/>
          <w:color w:val="auto"/>
          <w:lang w:val="bg-BG"/>
        </w:rPr>
        <w:t>спад от 21%</w:t>
      </w:r>
      <w:r w:rsidRPr="00571820">
        <w:rPr>
          <w:color w:val="auto"/>
          <w:lang w:val="bg-BG"/>
        </w:rPr>
        <w:t>.</w:t>
      </w:r>
    </w:p>
    <w:p w14:paraId="69787BBE"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№3–</w:t>
      </w:r>
      <w:r w:rsidRPr="00571820">
        <w:rPr>
          <w:i/>
          <w:iCs/>
          <w:color w:val="auto"/>
          <w:lang w:val="bg-BG"/>
        </w:rPr>
        <w:t>Горивни процеси в индустрията (в т.ч. производство на енергия)</w:t>
      </w:r>
      <w:r w:rsidRPr="00571820">
        <w:rPr>
          <w:color w:val="auto"/>
          <w:lang w:val="bg-BG"/>
        </w:rPr>
        <w:t xml:space="preserve"> </w:t>
      </w:r>
      <w:r w:rsidRPr="00571820">
        <w:rPr>
          <w:color w:val="auto"/>
          <w:u w:val="single"/>
          <w:lang w:val="bg-BG"/>
        </w:rPr>
        <w:t>пада</w:t>
      </w:r>
      <w:r w:rsidRPr="00571820">
        <w:rPr>
          <w:color w:val="auto"/>
          <w:lang w:val="bg-BG"/>
        </w:rPr>
        <w:t xml:space="preserve"> от 7.3% на 2.3%, като в количествено изражение емисиите от този източник намалява от 5.45 хил. тона (през 2019г.) на 1.57 хил. тона (през 2020г.), т.е. </w:t>
      </w:r>
      <w:r w:rsidRPr="00571820">
        <w:rPr>
          <w:b/>
          <w:bCs/>
          <w:color w:val="auto"/>
          <w:lang w:val="bg-BG"/>
        </w:rPr>
        <w:t>спад от 71.2%</w:t>
      </w:r>
      <w:r w:rsidRPr="00571820">
        <w:rPr>
          <w:color w:val="auto"/>
          <w:lang w:val="bg-BG"/>
        </w:rPr>
        <w:t>.</w:t>
      </w:r>
    </w:p>
    <w:p w14:paraId="4E301F75"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№5–</w:t>
      </w:r>
      <w:r w:rsidRPr="00571820">
        <w:rPr>
          <w:i/>
          <w:iCs/>
          <w:color w:val="auto"/>
          <w:lang w:val="bg-BG"/>
        </w:rPr>
        <w:t>Добив и преработка на изкопаеми горива)</w:t>
      </w:r>
      <w:r w:rsidRPr="00571820">
        <w:rPr>
          <w:color w:val="auto"/>
          <w:lang w:val="bg-BG"/>
        </w:rPr>
        <w:t xml:space="preserve"> </w:t>
      </w:r>
      <w:r w:rsidRPr="00571820">
        <w:rPr>
          <w:color w:val="auto"/>
          <w:u w:val="single"/>
          <w:lang w:val="bg-BG"/>
        </w:rPr>
        <w:t>пада</w:t>
      </w:r>
      <w:r w:rsidRPr="00571820">
        <w:rPr>
          <w:color w:val="auto"/>
          <w:lang w:val="bg-BG"/>
        </w:rPr>
        <w:t xml:space="preserve"> от 7.7% на 4.9%, като в количествено изражение емисиите от този източник намалява от 5.69 хил. тона (през 2019г.) на 3.39 хил. тона (през 2020г.), т.е. </w:t>
      </w:r>
      <w:r w:rsidRPr="00571820">
        <w:rPr>
          <w:b/>
          <w:bCs/>
          <w:color w:val="auto"/>
          <w:lang w:val="bg-BG"/>
        </w:rPr>
        <w:t>спад от 40.4%</w:t>
      </w:r>
      <w:r w:rsidRPr="00571820">
        <w:rPr>
          <w:color w:val="auto"/>
          <w:lang w:val="bg-BG"/>
        </w:rPr>
        <w:t>.</w:t>
      </w:r>
    </w:p>
    <w:p w14:paraId="2733B9E0"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№4–</w:t>
      </w:r>
      <w:r w:rsidRPr="00571820">
        <w:rPr>
          <w:i/>
          <w:iCs/>
          <w:lang w:val="bg-BG"/>
        </w:rPr>
        <w:t>Негоривни производствени процеси</w:t>
      </w:r>
      <w:r w:rsidRPr="00571820">
        <w:rPr>
          <w:b/>
          <w:bCs/>
          <w:color w:val="auto"/>
          <w:lang w:val="bg-BG"/>
        </w:rPr>
        <w:t xml:space="preserve"> </w:t>
      </w:r>
      <w:r w:rsidRPr="00571820">
        <w:rPr>
          <w:color w:val="auto"/>
          <w:lang w:val="bg-BG"/>
        </w:rPr>
        <w:t xml:space="preserve">се </w:t>
      </w:r>
      <w:r w:rsidRPr="00571820">
        <w:rPr>
          <w:color w:val="auto"/>
          <w:u w:val="single"/>
          <w:lang w:val="bg-BG"/>
        </w:rPr>
        <w:t>увеличава</w:t>
      </w:r>
      <w:r w:rsidRPr="00571820">
        <w:rPr>
          <w:color w:val="auto"/>
          <w:lang w:val="bg-BG"/>
        </w:rPr>
        <w:t xml:space="preserve"> от 29.1% на 44.3%, като в количествено изражение емисиите от този източник се увеличават от 21.58 хил. тона (през 2019г.) на 30.83 хил. тона (през 2020г.), т.е. </w:t>
      </w:r>
      <w:r w:rsidRPr="00571820">
        <w:rPr>
          <w:b/>
          <w:bCs/>
          <w:color w:val="auto"/>
          <w:lang w:val="bg-BG"/>
        </w:rPr>
        <w:t>увеличение с 42.9%</w:t>
      </w:r>
      <w:r w:rsidRPr="00571820">
        <w:rPr>
          <w:color w:val="auto"/>
          <w:lang w:val="bg-BG"/>
        </w:rPr>
        <w:t>.</w:t>
      </w:r>
    </w:p>
    <w:p w14:paraId="066E8F36"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емисиите от останалите източници показват по-малки изменения.</w:t>
      </w:r>
    </w:p>
    <w:p w14:paraId="5A78AD02" w14:textId="77777777" w:rsidR="00571820" w:rsidRPr="00571820" w:rsidRDefault="00571820">
      <w:pPr>
        <w:pStyle w:val="ListParagraph1"/>
        <w:numPr>
          <w:ilvl w:val="0"/>
          <w:numId w:val="94"/>
        </w:numPr>
        <w:spacing w:before="80" w:after="120" w:line="264" w:lineRule="auto"/>
        <w:ind w:left="1418" w:hanging="567"/>
        <w:jc w:val="both"/>
        <w:rPr>
          <w:i/>
          <w:iCs/>
          <w:color w:val="auto"/>
          <w:lang w:val="bg-BG"/>
        </w:rPr>
      </w:pPr>
      <w:r w:rsidRPr="00571820">
        <w:rPr>
          <w:b/>
          <w:bCs/>
          <w:color w:val="auto"/>
          <w:lang w:val="bg-BG"/>
        </w:rPr>
        <w:t>NO</w:t>
      </w:r>
      <w:r w:rsidRPr="00571820">
        <w:rPr>
          <w:b/>
          <w:bCs/>
          <w:color w:val="auto"/>
          <w:vertAlign w:val="subscript"/>
          <w:lang w:val="bg-BG"/>
        </w:rPr>
        <w:t>X</w:t>
      </w:r>
      <w:r w:rsidRPr="00571820">
        <w:rPr>
          <w:color w:val="auto"/>
          <w:lang w:val="bg-BG"/>
        </w:rPr>
        <w:t xml:space="preserve"> - общото количество на азотни оксиди емитирано в страната се </w:t>
      </w:r>
      <w:r w:rsidRPr="00571820">
        <w:rPr>
          <w:color w:val="auto"/>
          <w:u w:val="single"/>
          <w:lang w:val="bg-BG"/>
        </w:rPr>
        <w:t>увеличава</w:t>
      </w:r>
      <w:r w:rsidRPr="00571820">
        <w:rPr>
          <w:color w:val="auto"/>
          <w:lang w:val="bg-BG"/>
        </w:rPr>
        <w:t xml:space="preserve"> от 91.49 хил. тона (през 2019г.) на 91.6 хил. тона (през 2020г.), т.е. </w:t>
      </w:r>
      <w:r w:rsidRPr="00571820">
        <w:rPr>
          <w:b/>
          <w:bCs/>
          <w:color w:val="auto"/>
          <w:lang w:val="bg-BG"/>
        </w:rPr>
        <w:t>почти незабележимо увеличение от 0.1%</w:t>
      </w:r>
      <w:r w:rsidRPr="00571820">
        <w:rPr>
          <w:color w:val="auto"/>
          <w:lang w:val="bg-BG"/>
        </w:rPr>
        <w:t>.</w:t>
      </w:r>
    </w:p>
    <w:p w14:paraId="62920DE0"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color w:val="auto"/>
          <w:lang w:val="bg-BG"/>
        </w:rPr>
        <w:t>№7–</w:t>
      </w:r>
      <w:r w:rsidRPr="00571820">
        <w:rPr>
          <w:i/>
          <w:iCs/>
          <w:color w:val="auto"/>
          <w:lang w:val="bg-BG"/>
        </w:rPr>
        <w:t>Пътен транспорт</w:t>
      </w:r>
      <w:r w:rsidRPr="00571820">
        <w:rPr>
          <w:color w:val="auto"/>
          <w:u w:val="single"/>
          <w:lang w:val="bg-BG"/>
        </w:rPr>
        <w:t xml:space="preserve"> пада</w:t>
      </w:r>
      <w:r w:rsidRPr="00571820">
        <w:rPr>
          <w:color w:val="auto"/>
          <w:lang w:val="bg-BG"/>
        </w:rPr>
        <w:t xml:space="preserve"> от 43.2% на 39.2%, като в количествено изражение емисиите от този източник намалява от 39.52 хил. тона (през 2019г.) на 35.91 хил. тона (през 2020г.), т.е. </w:t>
      </w:r>
      <w:r w:rsidRPr="00571820">
        <w:rPr>
          <w:b/>
          <w:bCs/>
          <w:color w:val="auto"/>
          <w:lang w:val="bg-BG"/>
        </w:rPr>
        <w:t>спад от 50%</w:t>
      </w:r>
      <w:r w:rsidRPr="00571820">
        <w:rPr>
          <w:color w:val="auto"/>
          <w:lang w:val="bg-BG"/>
        </w:rPr>
        <w:t>.</w:t>
      </w:r>
    </w:p>
    <w:p w14:paraId="182B36A6"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№3–</w:t>
      </w:r>
      <w:r w:rsidRPr="00571820">
        <w:rPr>
          <w:i/>
          <w:iCs/>
          <w:color w:val="auto"/>
          <w:lang w:val="bg-BG"/>
        </w:rPr>
        <w:t>Горивни процеси в индустрията (в т.ч. производство на енергия)</w:t>
      </w:r>
      <w:r w:rsidRPr="00571820">
        <w:rPr>
          <w:color w:val="auto"/>
          <w:lang w:val="bg-BG"/>
        </w:rPr>
        <w:t xml:space="preserve"> </w:t>
      </w:r>
      <w:r w:rsidRPr="00571820">
        <w:rPr>
          <w:color w:val="auto"/>
          <w:u w:val="single"/>
          <w:lang w:val="bg-BG"/>
        </w:rPr>
        <w:t>пада</w:t>
      </w:r>
      <w:r w:rsidRPr="00571820">
        <w:rPr>
          <w:color w:val="auto"/>
          <w:lang w:val="bg-BG"/>
        </w:rPr>
        <w:t xml:space="preserve"> от 7.2% на 2.9%, като в количествено изражение емисиите от този източник намалява от 6.56 хил. тона (през 2019г.) на 2.63 хил. тона (през 2020г.), т.е. </w:t>
      </w:r>
      <w:r w:rsidRPr="00571820">
        <w:rPr>
          <w:b/>
          <w:bCs/>
          <w:color w:val="auto"/>
          <w:lang w:val="bg-BG"/>
        </w:rPr>
        <w:t>спад от 59.9%</w:t>
      </w:r>
      <w:r w:rsidRPr="00571820">
        <w:rPr>
          <w:color w:val="auto"/>
          <w:lang w:val="bg-BG"/>
        </w:rPr>
        <w:t>.</w:t>
      </w:r>
    </w:p>
    <w:p w14:paraId="4CDC43D6"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№4–</w:t>
      </w:r>
      <w:r w:rsidRPr="00571820">
        <w:rPr>
          <w:i/>
          <w:iCs/>
          <w:lang w:val="bg-BG"/>
        </w:rPr>
        <w:t>Негоривни производствени процеси</w:t>
      </w:r>
      <w:r w:rsidRPr="00571820">
        <w:rPr>
          <w:b/>
          <w:bCs/>
          <w:color w:val="auto"/>
          <w:lang w:val="bg-BG"/>
        </w:rPr>
        <w:t xml:space="preserve"> </w:t>
      </w:r>
      <w:r w:rsidRPr="00571820">
        <w:rPr>
          <w:color w:val="auto"/>
          <w:lang w:val="bg-BG"/>
        </w:rPr>
        <w:t xml:space="preserve">се </w:t>
      </w:r>
      <w:r w:rsidRPr="00571820">
        <w:rPr>
          <w:color w:val="auto"/>
          <w:u w:val="single"/>
          <w:lang w:val="bg-BG"/>
        </w:rPr>
        <w:t>увеличава</w:t>
      </w:r>
      <w:r w:rsidRPr="00571820">
        <w:rPr>
          <w:color w:val="auto"/>
          <w:lang w:val="bg-BG"/>
        </w:rPr>
        <w:t xml:space="preserve"> от 1.3% на 5.4%, като в количествено изражение емисиите от този източник се увеличават от 1.16 хил. тона (през 2019г.) на 4.92 хил. тона (през 2020г.), т.е. </w:t>
      </w:r>
      <w:r w:rsidRPr="00571820">
        <w:rPr>
          <w:b/>
          <w:bCs/>
          <w:color w:val="auto"/>
          <w:lang w:val="bg-BG"/>
        </w:rPr>
        <w:t>увеличение от 3.2 пъти</w:t>
      </w:r>
      <w:r w:rsidRPr="00571820">
        <w:rPr>
          <w:color w:val="auto"/>
          <w:lang w:val="bg-BG"/>
        </w:rPr>
        <w:t>.</w:t>
      </w:r>
    </w:p>
    <w:p w14:paraId="39235829"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№5–</w:t>
      </w:r>
      <w:r w:rsidRPr="00571820">
        <w:rPr>
          <w:i/>
          <w:iCs/>
          <w:color w:val="auto"/>
          <w:lang w:val="bg-BG"/>
        </w:rPr>
        <w:t>Добив и преработка на изкопаеми горива)</w:t>
      </w:r>
      <w:r w:rsidRPr="00571820">
        <w:rPr>
          <w:color w:val="auto"/>
          <w:lang w:val="bg-BG"/>
        </w:rPr>
        <w:t xml:space="preserve"> се </w:t>
      </w:r>
      <w:r w:rsidRPr="00571820">
        <w:rPr>
          <w:color w:val="auto"/>
          <w:u w:val="single"/>
          <w:lang w:val="bg-BG"/>
        </w:rPr>
        <w:t>увеличава</w:t>
      </w:r>
      <w:r w:rsidRPr="00571820">
        <w:rPr>
          <w:color w:val="auto"/>
          <w:lang w:val="bg-BG"/>
        </w:rPr>
        <w:t xml:space="preserve"> от 0.4% на 1.6%, като в количествено изражение емисиите от този източник намалява от 0.37 хил. тона (през 2019г.) на 1.43 хил. тона (през 2020г.), т.е. </w:t>
      </w:r>
      <w:r w:rsidRPr="00571820">
        <w:rPr>
          <w:b/>
          <w:bCs/>
          <w:color w:val="auto"/>
          <w:lang w:val="bg-BG"/>
        </w:rPr>
        <w:t>увеличение от 2.9 пъти.</w:t>
      </w:r>
    </w:p>
    <w:p w14:paraId="1BF9FA8F"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емисиите от останалите източници показват по-малки изменения.</w:t>
      </w:r>
    </w:p>
    <w:p w14:paraId="600DF55F" w14:textId="77777777" w:rsidR="00571820" w:rsidRPr="00571820" w:rsidRDefault="00571820">
      <w:pPr>
        <w:pStyle w:val="ListParagraph1"/>
        <w:numPr>
          <w:ilvl w:val="0"/>
          <w:numId w:val="94"/>
        </w:numPr>
        <w:spacing w:before="80" w:after="120" w:line="264" w:lineRule="auto"/>
        <w:ind w:left="1418" w:hanging="567"/>
        <w:jc w:val="both"/>
        <w:rPr>
          <w:i/>
          <w:iCs/>
          <w:color w:val="auto"/>
          <w:lang w:val="bg-BG"/>
        </w:rPr>
      </w:pPr>
      <w:r w:rsidRPr="00571820">
        <w:rPr>
          <w:b/>
          <w:bCs/>
          <w:color w:val="auto"/>
          <w:lang w:val="bg-BG"/>
        </w:rPr>
        <w:lastRenderedPageBreak/>
        <w:t>ФПЧ</w:t>
      </w:r>
      <w:r w:rsidRPr="00571820">
        <w:rPr>
          <w:b/>
          <w:bCs/>
          <w:color w:val="auto"/>
          <w:vertAlign w:val="subscript"/>
          <w:lang w:val="bg-BG"/>
        </w:rPr>
        <w:t>10</w:t>
      </w:r>
      <w:r w:rsidRPr="00571820">
        <w:rPr>
          <w:color w:val="auto"/>
          <w:lang w:val="bg-BG"/>
        </w:rPr>
        <w:t xml:space="preserve"> - общото количество на ФПЧ</w:t>
      </w:r>
      <w:r w:rsidRPr="00571820">
        <w:rPr>
          <w:color w:val="auto"/>
          <w:vertAlign w:val="subscript"/>
          <w:lang w:val="bg-BG"/>
        </w:rPr>
        <w:t>10</w:t>
      </w:r>
      <w:r w:rsidRPr="00571820">
        <w:rPr>
          <w:color w:val="auto"/>
          <w:lang w:val="bg-BG"/>
        </w:rPr>
        <w:t xml:space="preserve"> емитирано в страната се </w:t>
      </w:r>
      <w:r w:rsidRPr="00571820">
        <w:rPr>
          <w:color w:val="auto"/>
          <w:u w:val="single"/>
          <w:lang w:val="bg-BG"/>
        </w:rPr>
        <w:t>увеличава</w:t>
      </w:r>
      <w:r w:rsidRPr="00571820">
        <w:rPr>
          <w:color w:val="auto"/>
          <w:lang w:val="bg-BG"/>
        </w:rPr>
        <w:t xml:space="preserve"> от 44.18 хил. тона (през 2019г.) на 44.75 хил. тона (през 2020г.), т.е. </w:t>
      </w:r>
      <w:r w:rsidRPr="00571820">
        <w:rPr>
          <w:b/>
          <w:bCs/>
          <w:color w:val="auto"/>
          <w:lang w:val="bg-BG"/>
        </w:rPr>
        <w:t>почти незабележимо увеличение от 1.3%</w:t>
      </w:r>
      <w:r w:rsidRPr="00571820">
        <w:rPr>
          <w:color w:val="auto"/>
          <w:lang w:val="bg-BG"/>
        </w:rPr>
        <w:t>.</w:t>
      </w:r>
    </w:p>
    <w:p w14:paraId="128B2AE9"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№4–</w:t>
      </w:r>
      <w:r w:rsidRPr="00571820">
        <w:rPr>
          <w:i/>
          <w:iCs/>
          <w:lang w:val="bg-BG"/>
        </w:rPr>
        <w:t>Негоривни производствени процеси</w:t>
      </w:r>
      <w:r w:rsidRPr="00571820">
        <w:rPr>
          <w:b/>
          <w:bCs/>
          <w:color w:val="auto"/>
          <w:lang w:val="bg-BG"/>
        </w:rPr>
        <w:t xml:space="preserve"> </w:t>
      </w:r>
      <w:r w:rsidRPr="00571820">
        <w:rPr>
          <w:color w:val="auto"/>
          <w:lang w:val="bg-BG"/>
        </w:rPr>
        <w:t xml:space="preserve">се </w:t>
      </w:r>
      <w:r w:rsidRPr="00571820">
        <w:rPr>
          <w:color w:val="auto"/>
          <w:u w:val="single"/>
          <w:lang w:val="bg-BG"/>
        </w:rPr>
        <w:t>увеличава</w:t>
      </w:r>
      <w:r w:rsidRPr="00571820">
        <w:rPr>
          <w:color w:val="auto"/>
          <w:lang w:val="bg-BG"/>
        </w:rPr>
        <w:t xml:space="preserve"> от 0.5% на 15.0%, като в количествено изражение емисиите от този източник се увеличават от 0.23 хил. тона (през 2019г.) на 6.7 хил. тона (през 2020г.), т.е. </w:t>
      </w:r>
      <w:r w:rsidRPr="00571820">
        <w:rPr>
          <w:b/>
          <w:bCs/>
          <w:color w:val="auto"/>
          <w:lang w:val="bg-BG"/>
        </w:rPr>
        <w:t>увеличение от 28 пъти</w:t>
      </w:r>
      <w:r w:rsidRPr="00571820">
        <w:rPr>
          <w:color w:val="auto"/>
          <w:lang w:val="bg-BG"/>
        </w:rPr>
        <w:t>.</w:t>
      </w:r>
    </w:p>
    <w:p w14:paraId="7FF9E79C"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№5–</w:t>
      </w:r>
      <w:r w:rsidRPr="00571820">
        <w:rPr>
          <w:i/>
          <w:iCs/>
          <w:color w:val="auto"/>
          <w:lang w:val="bg-BG"/>
        </w:rPr>
        <w:t>Добив и преработка на изкопаеми горива)</w:t>
      </w:r>
      <w:r w:rsidRPr="00571820">
        <w:rPr>
          <w:color w:val="auto"/>
          <w:lang w:val="bg-BG"/>
        </w:rPr>
        <w:t xml:space="preserve"> </w:t>
      </w:r>
      <w:r w:rsidRPr="00571820">
        <w:rPr>
          <w:color w:val="auto"/>
          <w:u w:val="single"/>
          <w:lang w:val="bg-BG"/>
        </w:rPr>
        <w:t>намалява</w:t>
      </w:r>
      <w:r w:rsidRPr="00571820">
        <w:rPr>
          <w:color w:val="auto"/>
          <w:lang w:val="bg-BG"/>
        </w:rPr>
        <w:t xml:space="preserve"> от 2.5% на 2.0%, като в количествено изражение емисиите от този източник намалява от 1.11 хил. тона (през 2019г.) на 0.91 хил. тона (през 2020г.), т.е. </w:t>
      </w:r>
      <w:r w:rsidRPr="00571820">
        <w:rPr>
          <w:b/>
          <w:bCs/>
          <w:color w:val="auto"/>
          <w:lang w:val="bg-BG"/>
        </w:rPr>
        <w:t>спад от 18%.</w:t>
      </w:r>
    </w:p>
    <w:p w14:paraId="31374A01"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lang w:val="bg-BG"/>
        </w:rPr>
        <w:t>№6–</w:t>
      </w:r>
      <w:r w:rsidRPr="00571820">
        <w:rPr>
          <w:i/>
          <w:iCs/>
          <w:lang w:val="bg-BG"/>
        </w:rPr>
        <w:t>Използване на разтворители</w:t>
      </w:r>
      <w:r w:rsidRPr="00571820">
        <w:rPr>
          <w:color w:val="auto"/>
          <w:lang w:val="bg-BG"/>
        </w:rPr>
        <w:t xml:space="preserve"> </w:t>
      </w:r>
      <w:r w:rsidRPr="00571820">
        <w:rPr>
          <w:color w:val="auto"/>
          <w:u w:val="single"/>
          <w:lang w:val="bg-BG"/>
        </w:rPr>
        <w:t>намалява</w:t>
      </w:r>
      <w:r w:rsidRPr="00571820">
        <w:rPr>
          <w:color w:val="auto"/>
          <w:lang w:val="bg-BG"/>
        </w:rPr>
        <w:t xml:space="preserve"> от 2.6% на 1.9%, като в количествено изражение емисиите от този източник намалява от 1.17 хил. тона (през 2019г.) на 0.86 хил. тона (през 2020г.), т.е. </w:t>
      </w:r>
      <w:r w:rsidRPr="00571820">
        <w:rPr>
          <w:b/>
          <w:bCs/>
          <w:color w:val="auto"/>
          <w:lang w:val="bg-BG"/>
        </w:rPr>
        <w:t>спад от 26.5%.</w:t>
      </w:r>
    </w:p>
    <w:p w14:paraId="311EC56E"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емисиите от останалите източници показват по-малки изменения.</w:t>
      </w:r>
    </w:p>
    <w:p w14:paraId="0488E83A" w14:textId="77777777" w:rsidR="00571820" w:rsidRPr="00571820" w:rsidRDefault="00571820">
      <w:pPr>
        <w:pStyle w:val="ListParagraph1"/>
        <w:numPr>
          <w:ilvl w:val="0"/>
          <w:numId w:val="94"/>
        </w:numPr>
        <w:spacing w:before="80" w:after="120" w:line="264" w:lineRule="auto"/>
        <w:ind w:left="1418" w:hanging="567"/>
        <w:jc w:val="both"/>
        <w:rPr>
          <w:i/>
          <w:iCs/>
          <w:color w:val="auto"/>
          <w:lang w:val="bg-BG"/>
        </w:rPr>
      </w:pPr>
      <w:r w:rsidRPr="00571820">
        <w:rPr>
          <w:b/>
          <w:bCs/>
          <w:color w:val="auto"/>
          <w:lang w:val="bg-BG"/>
        </w:rPr>
        <w:t>ФПЧ</w:t>
      </w:r>
      <w:r w:rsidRPr="00571820">
        <w:rPr>
          <w:b/>
          <w:bCs/>
          <w:color w:val="auto"/>
          <w:vertAlign w:val="subscript"/>
          <w:lang w:val="bg-BG"/>
        </w:rPr>
        <w:t>2.5</w:t>
      </w:r>
      <w:r w:rsidRPr="00571820">
        <w:rPr>
          <w:color w:val="auto"/>
          <w:lang w:val="bg-BG"/>
        </w:rPr>
        <w:t xml:space="preserve"> - общото количество на ФПЧ</w:t>
      </w:r>
      <w:r w:rsidRPr="00571820">
        <w:rPr>
          <w:color w:val="auto"/>
          <w:vertAlign w:val="subscript"/>
          <w:lang w:val="bg-BG"/>
        </w:rPr>
        <w:t>10</w:t>
      </w:r>
      <w:r w:rsidRPr="00571820">
        <w:rPr>
          <w:color w:val="auto"/>
          <w:lang w:val="bg-BG"/>
        </w:rPr>
        <w:t xml:space="preserve"> емитирано в страната се </w:t>
      </w:r>
      <w:r w:rsidRPr="00571820">
        <w:rPr>
          <w:color w:val="auto"/>
          <w:u w:val="single"/>
          <w:lang w:val="bg-BG"/>
        </w:rPr>
        <w:t>увеличава</w:t>
      </w:r>
      <w:r w:rsidRPr="00571820">
        <w:rPr>
          <w:color w:val="auto"/>
          <w:lang w:val="bg-BG"/>
        </w:rPr>
        <w:t xml:space="preserve"> от 30.07 хил. тона (през 2019г.) на 31.725 хил. тона (през 2020г.), т.е. </w:t>
      </w:r>
      <w:r w:rsidRPr="00571820">
        <w:rPr>
          <w:b/>
          <w:bCs/>
          <w:color w:val="auto"/>
          <w:lang w:val="bg-BG"/>
        </w:rPr>
        <w:t>увеличение от 5.5%</w:t>
      </w:r>
      <w:r w:rsidRPr="00571820">
        <w:rPr>
          <w:color w:val="auto"/>
          <w:lang w:val="bg-BG"/>
        </w:rPr>
        <w:t>.</w:t>
      </w:r>
    </w:p>
    <w:p w14:paraId="1341B5B1"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№1–</w:t>
      </w:r>
      <w:r w:rsidRPr="00571820">
        <w:rPr>
          <w:i/>
          <w:iCs/>
          <w:lang w:val="bg-BG"/>
        </w:rPr>
        <w:t>ТЕЦ (вкл. рафинерии)</w:t>
      </w:r>
      <w:r w:rsidRPr="00571820">
        <w:rPr>
          <w:b/>
          <w:bCs/>
          <w:color w:val="auto"/>
          <w:lang w:val="bg-BG"/>
        </w:rPr>
        <w:t xml:space="preserve"> </w:t>
      </w:r>
      <w:r w:rsidRPr="00571820">
        <w:rPr>
          <w:color w:val="auto"/>
          <w:u w:val="single"/>
          <w:lang w:val="bg-BG"/>
        </w:rPr>
        <w:t>се увеличава</w:t>
      </w:r>
      <w:r w:rsidRPr="00571820">
        <w:rPr>
          <w:color w:val="auto"/>
          <w:lang w:val="bg-BG"/>
        </w:rPr>
        <w:t xml:space="preserve"> от 0.2% на 0.6%, като в количествено изражение емисиите от този източник намалява от 0.07 хил. тона (през 2019г.) на 0.18 хил. тона (през 2020г.), т.е. </w:t>
      </w:r>
      <w:r w:rsidRPr="00571820">
        <w:rPr>
          <w:b/>
          <w:bCs/>
          <w:color w:val="auto"/>
          <w:lang w:val="bg-BG"/>
        </w:rPr>
        <w:t>увеличение от 1.57 пъти</w:t>
      </w:r>
      <w:r w:rsidRPr="00571820">
        <w:rPr>
          <w:color w:val="auto"/>
          <w:lang w:val="bg-BG"/>
        </w:rPr>
        <w:t>.</w:t>
      </w:r>
    </w:p>
    <w:p w14:paraId="5AE3F8C1"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color w:val="auto"/>
          <w:lang w:val="bg-BG"/>
        </w:rPr>
        <w:t>№3–</w:t>
      </w:r>
      <w:r w:rsidRPr="00571820">
        <w:rPr>
          <w:i/>
          <w:iCs/>
          <w:color w:val="auto"/>
          <w:lang w:val="bg-BG"/>
        </w:rPr>
        <w:t>Горивни процеси в индустрията (в т.ч. производство на енергия)</w:t>
      </w:r>
      <w:r w:rsidRPr="00571820">
        <w:rPr>
          <w:color w:val="auto"/>
          <w:lang w:val="bg-BG"/>
        </w:rPr>
        <w:t xml:space="preserve"> </w:t>
      </w:r>
      <w:r w:rsidRPr="00571820">
        <w:rPr>
          <w:color w:val="auto"/>
          <w:u w:val="single"/>
          <w:lang w:val="bg-BG"/>
        </w:rPr>
        <w:t>пада</w:t>
      </w:r>
      <w:r w:rsidRPr="00571820">
        <w:rPr>
          <w:color w:val="auto"/>
          <w:lang w:val="bg-BG"/>
        </w:rPr>
        <w:t xml:space="preserve"> от 7.3% на 1.2%, като в количествено изражение емисиите от този източник намалява от 2.2 хил. тона (през 2019г.) на 0.37 хил. тона (през 2020г.), т.е. </w:t>
      </w:r>
      <w:r w:rsidRPr="00571820">
        <w:rPr>
          <w:b/>
          <w:bCs/>
          <w:color w:val="auto"/>
          <w:lang w:val="bg-BG"/>
        </w:rPr>
        <w:t>спад от 83.2%</w:t>
      </w:r>
      <w:r w:rsidRPr="00571820">
        <w:rPr>
          <w:color w:val="auto"/>
          <w:lang w:val="bg-BG"/>
        </w:rPr>
        <w:t>.</w:t>
      </w:r>
    </w:p>
    <w:p w14:paraId="76CAD974"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източник </w:t>
      </w:r>
      <w:r w:rsidRPr="00571820">
        <w:rPr>
          <w:b/>
          <w:bCs/>
          <w:lang w:val="bg-BG"/>
        </w:rPr>
        <w:t>№4–</w:t>
      </w:r>
      <w:r w:rsidRPr="00571820">
        <w:rPr>
          <w:i/>
          <w:iCs/>
          <w:lang w:val="bg-BG"/>
        </w:rPr>
        <w:t>Негоривни производствени процеси</w:t>
      </w:r>
      <w:r w:rsidRPr="00571820">
        <w:rPr>
          <w:b/>
          <w:bCs/>
          <w:color w:val="auto"/>
          <w:lang w:val="bg-BG"/>
        </w:rPr>
        <w:t xml:space="preserve"> </w:t>
      </w:r>
      <w:r w:rsidRPr="00571820">
        <w:rPr>
          <w:color w:val="auto"/>
          <w:lang w:val="bg-BG"/>
        </w:rPr>
        <w:t xml:space="preserve">се </w:t>
      </w:r>
      <w:r w:rsidRPr="00571820">
        <w:rPr>
          <w:color w:val="auto"/>
          <w:u w:val="single"/>
          <w:lang w:val="bg-BG"/>
        </w:rPr>
        <w:t>увеличава</w:t>
      </w:r>
      <w:r w:rsidRPr="00571820">
        <w:rPr>
          <w:color w:val="auto"/>
          <w:lang w:val="bg-BG"/>
        </w:rPr>
        <w:t xml:space="preserve"> от 0.6% на 5.7%, като в количествено изражение емисиите от този източник се увеличават от 0.17 хил. тона (през 2019г.) на 1.81 хил. тона (през 2020г.), т.е. </w:t>
      </w:r>
      <w:r w:rsidRPr="00571820">
        <w:rPr>
          <w:b/>
          <w:bCs/>
          <w:color w:val="auto"/>
          <w:lang w:val="bg-BG"/>
        </w:rPr>
        <w:t>увеличение от 9.65 пъти</w:t>
      </w:r>
      <w:r w:rsidRPr="00571820">
        <w:rPr>
          <w:color w:val="auto"/>
          <w:lang w:val="bg-BG"/>
        </w:rPr>
        <w:t>.</w:t>
      </w:r>
    </w:p>
    <w:p w14:paraId="5F053312"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 xml:space="preserve">делът на емисиите от </w:t>
      </w:r>
      <w:r w:rsidRPr="00571820">
        <w:rPr>
          <w:b/>
          <w:bCs/>
          <w:lang w:val="bg-BG"/>
        </w:rPr>
        <w:t>№6–</w:t>
      </w:r>
      <w:r w:rsidRPr="00571820">
        <w:rPr>
          <w:i/>
          <w:iCs/>
          <w:lang w:val="bg-BG"/>
        </w:rPr>
        <w:t>Използване на разтворители</w:t>
      </w:r>
      <w:r w:rsidRPr="00571820">
        <w:rPr>
          <w:color w:val="auto"/>
          <w:lang w:val="bg-BG"/>
        </w:rPr>
        <w:t xml:space="preserve"> </w:t>
      </w:r>
      <w:r w:rsidRPr="00571820">
        <w:rPr>
          <w:color w:val="auto"/>
          <w:u w:val="single"/>
          <w:lang w:val="bg-BG"/>
        </w:rPr>
        <w:t>намалява</w:t>
      </w:r>
      <w:r w:rsidRPr="00571820">
        <w:rPr>
          <w:color w:val="auto"/>
          <w:lang w:val="bg-BG"/>
        </w:rPr>
        <w:t xml:space="preserve"> от 2.9% на 1.9%, като в количествено изражение емисиите от този източник намалява от 0.87 хил. тона (през 2019г.) на 0.61 хил. тона (през 2020г.), т.е. </w:t>
      </w:r>
      <w:r w:rsidRPr="00571820">
        <w:rPr>
          <w:b/>
          <w:bCs/>
          <w:color w:val="auto"/>
          <w:lang w:val="bg-BG"/>
        </w:rPr>
        <w:t>спад от 29.9%.</w:t>
      </w:r>
    </w:p>
    <w:p w14:paraId="65852429" w14:textId="77777777" w:rsidR="00571820" w:rsidRPr="00571820" w:rsidRDefault="00571820">
      <w:pPr>
        <w:pStyle w:val="ListParagraph1"/>
        <w:numPr>
          <w:ilvl w:val="1"/>
          <w:numId w:val="94"/>
        </w:numPr>
        <w:spacing w:before="80" w:after="120" w:line="264" w:lineRule="auto"/>
        <w:jc w:val="both"/>
        <w:rPr>
          <w:color w:val="auto"/>
          <w:lang w:val="bg-BG"/>
        </w:rPr>
      </w:pPr>
      <w:r w:rsidRPr="00571820">
        <w:rPr>
          <w:color w:val="auto"/>
          <w:lang w:val="bg-BG"/>
        </w:rPr>
        <w:t>емисиите от останалите източници показват по-малки изменения.</w:t>
      </w:r>
    </w:p>
    <w:p w14:paraId="3FC924F1" w14:textId="77777777" w:rsidR="00571820" w:rsidRPr="00571820" w:rsidRDefault="00571820">
      <w:pPr>
        <w:pStyle w:val="ListParagraph"/>
        <w:numPr>
          <w:ilvl w:val="1"/>
          <w:numId w:val="96"/>
        </w:numPr>
        <w:spacing w:before="80" w:after="120" w:line="264" w:lineRule="auto"/>
        <w:ind w:left="851" w:firstLine="0"/>
        <w:jc w:val="both"/>
        <w:rPr>
          <w:b/>
          <w:bCs/>
          <w:smallCaps/>
          <w:lang w:val="bg-BG"/>
        </w:rPr>
      </w:pPr>
      <w:r w:rsidRPr="00571820">
        <w:rPr>
          <w:b/>
          <w:bCs/>
          <w:smallCaps/>
          <w:lang w:val="bg-BG"/>
        </w:rPr>
        <w:t>От големи горивни инсталации (ГГИ)</w:t>
      </w:r>
    </w:p>
    <w:p w14:paraId="229B088B" w14:textId="77777777" w:rsidR="00571820" w:rsidRPr="00571820" w:rsidRDefault="00571820">
      <w:pPr>
        <w:pStyle w:val="ListParagraph1"/>
        <w:numPr>
          <w:ilvl w:val="0"/>
          <w:numId w:val="94"/>
        </w:numPr>
        <w:spacing w:before="0" w:after="120" w:line="264" w:lineRule="auto"/>
        <w:ind w:left="1588" w:hanging="567"/>
        <w:jc w:val="both"/>
        <w:rPr>
          <w:rFonts w:eastAsia="Times New Roman"/>
          <w:color w:val="auto"/>
          <w:lang w:val="bg-BG"/>
        </w:rPr>
      </w:pPr>
      <w:r w:rsidRPr="00571820">
        <w:rPr>
          <w:rFonts w:eastAsia="Times New Roman"/>
          <w:b/>
          <w:bCs/>
          <w:color w:val="auto"/>
          <w:lang w:val="bg-BG"/>
        </w:rPr>
        <w:t>Серните оксиди</w:t>
      </w:r>
    </w:p>
    <w:p w14:paraId="30A391EA"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lastRenderedPageBreak/>
        <w:t xml:space="preserve">през 2019г. най-голям дял имат енергийните инсталации в Маришкия басейн (община Стара Загора) – 88.2%, следвано от ТЕЦ „Брикел“ с 5.4% и ТЕЦ „Бобов дол“ със само 2.5% </w:t>
      </w:r>
    </w:p>
    <w:p w14:paraId="0E219A8C"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t>през 2020г. делът на централите в Маришкия басейн е паднал на 83.1%, делът на ТЕЦ „Бобов дол“ се е увеличил на 7.5% и на ТЕЦ „Брикел“ – се е увеличил на 6.6%.</w:t>
      </w:r>
    </w:p>
    <w:p w14:paraId="3A32ACD9" w14:textId="77777777" w:rsidR="00571820" w:rsidRPr="00571820" w:rsidRDefault="00571820">
      <w:pPr>
        <w:pStyle w:val="ListParagraph1"/>
        <w:numPr>
          <w:ilvl w:val="0"/>
          <w:numId w:val="94"/>
        </w:numPr>
        <w:spacing w:before="0" w:after="120" w:line="264" w:lineRule="auto"/>
        <w:ind w:left="1588" w:hanging="567"/>
        <w:jc w:val="both"/>
        <w:rPr>
          <w:rFonts w:eastAsia="Times New Roman"/>
          <w:color w:val="auto"/>
          <w:lang w:val="bg-BG"/>
        </w:rPr>
      </w:pPr>
      <w:r w:rsidRPr="00571820">
        <w:rPr>
          <w:rFonts w:eastAsia="Times New Roman"/>
          <w:b/>
          <w:bCs/>
          <w:color w:val="auto"/>
          <w:lang w:val="bg-BG"/>
        </w:rPr>
        <w:t>Азотни оксиди</w:t>
      </w:r>
      <w:r w:rsidRPr="00571820">
        <w:rPr>
          <w:rFonts w:eastAsia="Times New Roman"/>
          <w:color w:val="auto"/>
          <w:lang w:val="bg-BG"/>
        </w:rPr>
        <w:t xml:space="preserve"> </w:t>
      </w:r>
    </w:p>
    <w:p w14:paraId="451DDF51"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t>през 2019г. най-голям дял отново имат централите в Маришкия басейн – 69.8%. Софийските централи имат дял от 9.6% от общите емисиите.</w:t>
      </w:r>
    </w:p>
    <w:p w14:paraId="260D0224"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t>през 2020г. делът на централите в Маришкия басейн е паднал на 63.0%, а този на Софийските централи се е увеличил на 10.5%.</w:t>
      </w:r>
    </w:p>
    <w:p w14:paraId="5C17DF24" w14:textId="77777777" w:rsidR="00571820" w:rsidRPr="00571820" w:rsidRDefault="00571820">
      <w:pPr>
        <w:pStyle w:val="ListParagraph1"/>
        <w:numPr>
          <w:ilvl w:val="0"/>
          <w:numId w:val="94"/>
        </w:numPr>
        <w:spacing w:before="0" w:after="120" w:line="264" w:lineRule="auto"/>
        <w:ind w:left="1588" w:hanging="567"/>
        <w:jc w:val="both"/>
        <w:rPr>
          <w:rFonts w:eastAsia="Times New Roman"/>
          <w:color w:val="auto"/>
          <w:lang w:val="bg-BG"/>
        </w:rPr>
      </w:pPr>
      <w:r w:rsidRPr="00571820">
        <w:rPr>
          <w:rFonts w:eastAsia="Times New Roman"/>
          <w:b/>
          <w:bCs/>
          <w:color w:val="auto"/>
          <w:lang w:val="bg-BG"/>
        </w:rPr>
        <w:t>Прах</w:t>
      </w:r>
    </w:p>
    <w:p w14:paraId="1AD84D89"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t>през 2019г. най-голям дял има ТЕЦ Девен-“Солвей Соди” - 25.5%, следван от емисиите на ТЕЦ "Марица Изток 2" с дял от 20.3%.</w:t>
      </w:r>
    </w:p>
    <w:p w14:paraId="772331FF" w14:textId="77777777" w:rsidR="00571820" w:rsidRPr="00571820" w:rsidRDefault="00571820">
      <w:pPr>
        <w:pStyle w:val="ListParagraph1"/>
        <w:numPr>
          <w:ilvl w:val="1"/>
          <w:numId w:val="94"/>
        </w:numPr>
        <w:spacing w:before="0" w:after="120" w:line="264" w:lineRule="auto"/>
        <w:jc w:val="both"/>
        <w:rPr>
          <w:rFonts w:eastAsia="Times New Roman"/>
          <w:color w:val="auto"/>
          <w:lang w:val="bg-BG"/>
        </w:rPr>
      </w:pPr>
      <w:r w:rsidRPr="00571820">
        <w:rPr>
          <w:rFonts w:eastAsia="Times New Roman"/>
          <w:color w:val="auto"/>
          <w:lang w:val="bg-BG"/>
        </w:rPr>
        <w:t>през 2020г. най-голям дял има ТЕЦ „Бобов дол“ - 24.7%, следван от емисиите на ТЕЦ Девен-“Солвей Соди” и ТЕЦ „Брикел“ с дял от 18.1%.</w:t>
      </w:r>
    </w:p>
    <w:p w14:paraId="1C41EA71" w14:textId="77777777" w:rsidR="00571820" w:rsidRPr="00571820" w:rsidRDefault="00571820" w:rsidP="00571820">
      <w:pPr>
        <w:spacing w:before="80" w:after="120" w:line="264" w:lineRule="auto"/>
        <w:ind w:firstLine="851"/>
        <w:rPr>
          <w:rFonts w:cs="Times New Roman"/>
          <w:b/>
          <w:bCs/>
          <w:smallCaps/>
          <w:szCs w:val="24"/>
        </w:rPr>
      </w:pPr>
      <w:r w:rsidRPr="00571820">
        <w:rPr>
          <w:rFonts w:cs="Times New Roman"/>
          <w:b/>
          <w:bCs/>
          <w:smallCaps/>
          <w:szCs w:val="24"/>
          <w:bdr w:val="single" w:sz="4" w:space="0" w:color="auto"/>
        </w:rPr>
        <w:t>Концентрации</w:t>
      </w:r>
    </w:p>
    <w:p w14:paraId="27CBAC9F" w14:textId="77777777" w:rsidR="00571820" w:rsidRPr="00571820" w:rsidRDefault="00571820" w:rsidP="00571820">
      <w:pPr>
        <w:spacing w:before="80" w:after="120" w:line="264" w:lineRule="auto"/>
        <w:ind w:firstLine="851"/>
        <w:rPr>
          <w:rFonts w:cs="Times New Roman"/>
          <w:szCs w:val="24"/>
        </w:rPr>
      </w:pPr>
      <w:r w:rsidRPr="00571820">
        <w:rPr>
          <w:rFonts w:cs="Times New Roman"/>
          <w:szCs w:val="24"/>
        </w:rPr>
        <w:t>Анализът на измерените (часови) и осреднени (за 24 часа или една календарна година) концентрации, регистрирани в пунктовете за мониторинг през 2019г. и 2020г. показва:</w:t>
      </w:r>
    </w:p>
    <w:p w14:paraId="4BAA12BF" w14:textId="77777777" w:rsidR="00571820" w:rsidRPr="00571820" w:rsidRDefault="00571820">
      <w:pPr>
        <w:pStyle w:val="ListParagraph1"/>
        <w:numPr>
          <w:ilvl w:val="0"/>
          <w:numId w:val="94"/>
        </w:numPr>
        <w:spacing w:before="0" w:after="120" w:line="264" w:lineRule="auto"/>
        <w:ind w:left="1418" w:hanging="567"/>
        <w:jc w:val="both"/>
        <w:rPr>
          <w:rFonts w:eastAsia="Times New Roman"/>
          <w:b/>
          <w:bCs/>
          <w:lang w:val="bg-BG"/>
        </w:rPr>
      </w:pPr>
      <w:r w:rsidRPr="00571820">
        <w:rPr>
          <w:rFonts w:eastAsia="Times New Roman"/>
          <w:b/>
          <w:bCs/>
          <w:lang w:val="bg-BG"/>
        </w:rPr>
        <w:t>Серен диоксид:</w:t>
      </w:r>
    </w:p>
    <w:p w14:paraId="569E120F"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2019г</w:t>
      </w:r>
      <w:r w:rsidRPr="00571820">
        <w:rPr>
          <w:rFonts w:eastAsia="Times New Roman"/>
          <w:lang w:val="bg-BG"/>
        </w:rPr>
        <w:t>.: превишение на СЧН (350µg/m</w:t>
      </w:r>
      <w:r w:rsidRPr="00571820">
        <w:rPr>
          <w:rFonts w:eastAsia="Times New Roman"/>
          <w:vertAlign w:val="superscript"/>
          <w:lang w:val="bg-BG"/>
        </w:rPr>
        <w:t>3</w:t>
      </w:r>
      <w:r w:rsidRPr="00571820">
        <w:rPr>
          <w:rFonts w:eastAsia="Times New Roman"/>
          <w:lang w:val="bg-BG"/>
        </w:rPr>
        <w:t xml:space="preserve">) – 9 броя в АИС </w:t>
      </w:r>
      <w:r w:rsidRPr="00571820">
        <w:rPr>
          <w:lang w:val="bg-BG"/>
        </w:rPr>
        <w:t xml:space="preserve">„Перник - Църква“ (Югозападен РОУКАВ) и </w:t>
      </w:r>
      <w:r w:rsidRPr="00571820">
        <w:rPr>
          <w:b/>
          <w:bCs/>
          <w:lang w:val="bg-BG"/>
        </w:rPr>
        <w:t>95</w:t>
      </w:r>
      <w:r w:rsidRPr="00571820">
        <w:rPr>
          <w:lang w:val="bg-BG"/>
        </w:rPr>
        <w:t xml:space="preserve"> броя (над разрешените 35 броя в една календарна година) в АИС „Гълъбово“ (Югоизточен РОУКАВ), 4 броя в АИС „Димитровград–Раковски“ и 2 броя в АИС „Сливен“.</w:t>
      </w:r>
    </w:p>
    <w:p w14:paraId="0927C024"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u w:val="single"/>
          <w:lang w:val="bg-BG"/>
        </w:rPr>
        <w:t>През 2020г</w:t>
      </w:r>
      <w:r w:rsidRPr="00571820">
        <w:rPr>
          <w:lang w:val="bg-BG"/>
        </w:rPr>
        <w:t xml:space="preserve">.: </w:t>
      </w:r>
      <w:r w:rsidRPr="00571820">
        <w:rPr>
          <w:rFonts w:eastAsia="Times New Roman"/>
          <w:lang w:val="bg-BG"/>
        </w:rPr>
        <w:t>превишение на СЧН (350µg/m</w:t>
      </w:r>
      <w:r w:rsidRPr="00571820">
        <w:rPr>
          <w:rFonts w:eastAsia="Times New Roman"/>
          <w:vertAlign w:val="superscript"/>
          <w:lang w:val="bg-BG"/>
        </w:rPr>
        <w:t>3</w:t>
      </w:r>
      <w:r w:rsidRPr="00571820">
        <w:rPr>
          <w:rFonts w:eastAsia="Times New Roman"/>
          <w:lang w:val="bg-BG"/>
        </w:rPr>
        <w:t xml:space="preserve">) – 23 броя в АИС </w:t>
      </w:r>
      <w:r w:rsidRPr="00571820">
        <w:rPr>
          <w:lang w:val="bg-BG"/>
        </w:rPr>
        <w:t>„Перник - Църква“ (Югозападен РОУКАВ) и 28 броя в АИС „Гълъбово“ (Югоизточен РОУКАВ), 4 броя в АИС „Димитровград–Раковски“ и 1 броя в АИС „Сливен“.</w:t>
      </w:r>
    </w:p>
    <w:p w14:paraId="5502CDC3"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2019г</w:t>
      </w:r>
      <w:r w:rsidRPr="00571820">
        <w:rPr>
          <w:rFonts w:eastAsia="Times New Roman"/>
          <w:lang w:val="bg-BG"/>
        </w:rPr>
        <w:t>.: превишение на СДН (125µg/m</w:t>
      </w:r>
      <w:r w:rsidRPr="00571820">
        <w:rPr>
          <w:rFonts w:eastAsia="Times New Roman"/>
          <w:vertAlign w:val="superscript"/>
          <w:lang w:val="bg-BG"/>
        </w:rPr>
        <w:t>3</w:t>
      </w:r>
      <w:r w:rsidRPr="00571820">
        <w:rPr>
          <w:rFonts w:eastAsia="Times New Roman"/>
          <w:lang w:val="bg-BG"/>
        </w:rPr>
        <w:t xml:space="preserve">) – 3 броя в АИС </w:t>
      </w:r>
      <w:r w:rsidRPr="00571820">
        <w:rPr>
          <w:lang w:val="bg-BG"/>
        </w:rPr>
        <w:t>„Перник - Църква“ (Югозападен РОУКАВ) и 10 броя в АИС „Гълъбово“ (Югоизточен РОУКАВ).</w:t>
      </w:r>
    </w:p>
    <w:p w14:paraId="679CA3E1"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2020г</w:t>
      </w:r>
      <w:r w:rsidRPr="00571820">
        <w:rPr>
          <w:rFonts w:eastAsia="Times New Roman"/>
          <w:lang w:val="bg-BG"/>
        </w:rPr>
        <w:t>.: превишение на СДН (125µg/m</w:t>
      </w:r>
      <w:r w:rsidRPr="00571820">
        <w:rPr>
          <w:rFonts w:eastAsia="Times New Roman"/>
          <w:vertAlign w:val="superscript"/>
          <w:lang w:val="bg-BG"/>
        </w:rPr>
        <w:t>3</w:t>
      </w:r>
      <w:r w:rsidRPr="00571820">
        <w:rPr>
          <w:rFonts w:eastAsia="Times New Roman"/>
          <w:lang w:val="bg-BG"/>
        </w:rPr>
        <w:t xml:space="preserve">) – 3 броя (разрешени 3 броя в една календарна година) в АИС </w:t>
      </w:r>
      <w:r w:rsidRPr="00571820">
        <w:rPr>
          <w:lang w:val="bg-BG"/>
        </w:rPr>
        <w:t>„Перник - Църква“ (Югозападен РОУКАВ) и 2 броя в АИС „Гълъбово“ (Югоизточен РОУКАВ).</w:t>
      </w:r>
    </w:p>
    <w:p w14:paraId="7F47DA1B" w14:textId="77777777" w:rsidR="00571820" w:rsidRPr="00571820" w:rsidRDefault="00571820">
      <w:pPr>
        <w:pStyle w:val="ListParagraph1"/>
        <w:numPr>
          <w:ilvl w:val="0"/>
          <w:numId w:val="94"/>
        </w:numPr>
        <w:spacing w:before="0" w:after="120" w:line="264" w:lineRule="auto"/>
        <w:ind w:left="1418" w:hanging="567"/>
        <w:jc w:val="both"/>
        <w:rPr>
          <w:rFonts w:eastAsia="Times New Roman"/>
          <w:b/>
          <w:bCs/>
          <w:lang w:val="bg-BG"/>
        </w:rPr>
      </w:pPr>
      <w:r w:rsidRPr="00571820">
        <w:rPr>
          <w:rFonts w:eastAsia="Times New Roman"/>
          <w:b/>
          <w:bCs/>
          <w:lang w:val="bg-BG"/>
        </w:rPr>
        <w:lastRenderedPageBreak/>
        <w:t>Азотен диоксид:</w:t>
      </w:r>
    </w:p>
    <w:p w14:paraId="0287492E"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2019г</w:t>
      </w:r>
      <w:r w:rsidRPr="00571820">
        <w:rPr>
          <w:rFonts w:eastAsia="Times New Roman"/>
          <w:lang w:val="bg-BG"/>
        </w:rPr>
        <w:t>.: превишение на СЧН (200µg/m</w:t>
      </w:r>
      <w:r w:rsidRPr="00571820">
        <w:rPr>
          <w:rFonts w:eastAsia="Times New Roman"/>
          <w:vertAlign w:val="superscript"/>
          <w:lang w:val="bg-BG"/>
        </w:rPr>
        <w:t>3</w:t>
      </w:r>
      <w:r w:rsidRPr="00571820">
        <w:rPr>
          <w:rFonts w:eastAsia="Times New Roman"/>
          <w:lang w:val="bg-BG"/>
        </w:rPr>
        <w:t xml:space="preserve">) – 3 броя в АИС </w:t>
      </w:r>
      <w:r w:rsidRPr="00571820">
        <w:rPr>
          <w:lang w:val="bg-BG"/>
        </w:rPr>
        <w:t>„Павлово“ и 2 броя в АИС „Младост“ (Агломерация София), 4 броя в АИС „Каменица“ и 9 броя в АИС „ж.к. Тракия“ (Агломерация Пловдив), 4 броя в АИС „СОУ Ангел Кънчев” (Агломерация Варна).</w:t>
      </w:r>
    </w:p>
    <w:p w14:paraId="1B0F177F"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2020г</w:t>
      </w:r>
      <w:r w:rsidRPr="00571820">
        <w:rPr>
          <w:rFonts w:eastAsia="Times New Roman"/>
          <w:lang w:val="bg-BG"/>
        </w:rPr>
        <w:t>.: превишение на СЧН (200µg/m</w:t>
      </w:r>
      <w:r w:rsidRPr="00571820">
        <w:rPr>
          <w:rFonts w:eastAsia="Times New Roman"/>
          <w:vertAlign w:val="superscript"/>
          <w:lang w:val="bg-BG"/>
        </w:rPr>
        <w:t>3</w:t>
      </w:r>
      <w:r w:rsidRPr="00571820">
        <w:rPr>
          <w:rFonts w:eastAsia="Times New Roman"/>
          <w:lang w:val="bg-BG"/>
        </w:rPr>
        <w:t xml:space="preserve">) – по </w:t>
      </w:r>
      <w:r w:rsidRPr="00571820">
        <w:rPr>
          <w:lang w:val="bg-BG"/>
        </w:rPr>
        <w:t>1 брой в АИС „Младост“ и АИС „Надежда“(Агломерация София), 8 броя в АИС „Каменица“ и 9 броя в АИС „ж.к. Тракия“ (Агломерация Пловдив), 5 броя в АИС „СОУ Ангел Кънчев” (Агломерация Варна).</w:t>
      </w:r>
    </w:p>
    <w:p w14:paraId="2D0515F1"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2019г</w:t>
      </w:r>
      <w:r w:rsidRPr="00571820">
        <w:rPr>
          <w:rFonts w:eastAsia="Times New Roman"/>
          <w:lang w:val="bg-BG"/>
        </w:rPr>
        <w:t>.: превишение на СГН (40µg/m</w:t>
      </w:r>
      <w:r w:rsidRPr="00571820">
        <w:rPr>
          <w:rFonts w:eastAsia="Times New Roman"/>
          <w:vertAlign w:val="superscript"/>
          <w:lang w:val="bg-BG"/>
        </w:rPr>
        <w:t>3</w:t>
      </w:r>
      <w:r w:rsidRPr="00571820">
        <w:rPr>
          <w:rFonts w:eastAsia="Times New Roman"/>
          <w:lang w:val="bg-BG"/>
        </w:rPr>
        <w:t xml:space="preserve">) само в пункт АИС </w:t>
      </w:r>
      <w:r w:rsidRPr="00571820">
        <w:rPr>
          <w:lang w:val="bg-BG"/>
        </w:rPr>
        <w:t>„Пловдив-ж.к. Тракия“ (Агломерация Пловдив), която е 47.17</w:t>
      </w:r>
      <w:r w:rsidRPr="00571820">
        <w:rPr>
          <w:rFonts w:eastAsia="Times New Roman"/>
          <w:lang w:val="bg-BG"/>
        </w:rPr>
        <w:t>µg/m</w:t>
      </w:r>
      <w:r w:rsidRPr="00571820">
        <w:rPr>
          <w:rFonts w:eastAsia="Times New Roman"/>
          <w:vertAlign w:val="superscript"/>
          <w:lang w:val="bg-BG"/>
        </w:rPr>
        <w:t>3</w:t>
      </w:r>
      <w:r w:rsidRPr="00571820">
        <w:rPr>
          <w:lang w:val="bg-BG"/>
        </w:rPr>
        <w:t>, т.е. 15% над нормата.</w:t>
      </w:r>
    </w:p>
    <w:p w14:paraId="37278EE0"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2020г</w:t>
      </w:r>
      <w:r w:rsidRPr="00571820">
        <w:rPr>
          <w:rFonts w:eastAsia="Times New Roman"/>
          <w:lang w:val="bg-BG"/>
        </w:rPr>
        <w:t>.: СГН (40µg/m</w:t>
      </w:r>
      <w:r w:rsidRPr="00571820">
        <w:rPr>
          <w:rFonts w:eastAsia="Times New Roman"/>
          <w:vertAlign w:val="superscript"/>
          <w:lang w:val="bg-BG"/>
        </w:rPr>
        <w:t>3</w:t>
      </w:r>
      <w:r w:rsidRPr="00571820">
        <w:rPr>
          <w:rFonts w:eastAsia="Times New Roman"/>
          <w:lang w:val="bg-BG"/>
        </w:rPr>
        <w:t>) – няма превишена средногодишната концентрация в нито един пункт</w:t>
      </w:r>
      <w:r w:rsidRPr="00571820">
        <w:rPr>
          <w:lang w:val="bg-BG"/>
        </w:rPr>
        <w:t>.</w:t>
      </w:r>
    </w:p>
    <w:p w14:paraId="03A0F66E" w14:textId="77777777" w:rsidR="00571820" w:rsidRPr="00571820" w:rsidRDefault="00571820">
      <w:pPr>
        <w:pStyle w:val="ListParagraph1"/>
        <w:numPr>
          <w:ilvl w:val="0"/>
          <w:numId w:val="94"/>
        </w:numPr>
        <w:spacing w:before="0" w:after="120" w:line="264" w:lineRule="auto"/>
        <w:ind w:left="1418" w:hanging="567"/>
        <w:jc w:val="both"/>
        <w:rPr>
          <w:rFonts w:eastAsia="Times New Roman"/>
          <w:b/>
          <w:bCs/>
          <w:lang w:val="bg-BG"/>
        </w:rPr>
      </w:pPr>
      <w:r w:rsidRPr="00571820">
        <w:rPr>
          <w:rFonts w:eastAsia="Times New Roman"/>
          <w:b/>
          <w:bCs/>
          <w:lang w:val="bg-BG"/>
        </w:rPr>
        <w:t>ФПЧ</w:t>
      </w:r>
      <w:r w:rsidRPr="00571820">
        <w:rPr>
          <w:rFonts w:eastAsia="Times New Roman"/>
          <w:b/>
          <w:bCs/>
          <w:vertAlign w:val="subscript"/>
          <w:lang w:val="bg-BG"/>
        </w:rPr>
        <w:t>10</w:t>
      </w:r>
      <w:r w:rsidRPr="00571820">
        <w:rPr>
          <w:rFonts w:eastAsia="Times New Roman"/>
          <w:b/>
          <w:bCs/>
          <w:lang w:val="bg-BG"/>
        </w:rPr>
        <w:t>:</w:t>
      </w:r>
    </w:p>
    <w:p w14:paraId="511A7F46"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2019г</w:t>
      </w:r>
      <w:r w:rsidRPr="00571820">
        <w:rPr>
          <w:rFonts w:eastAsia="Times New Roman"/>
          <w:lang w:val="bg-BG"/>
        </w:rPr>
        <w:t>.: превишение на СДН (50µg/m</w:t>
      </w:r>
      <w:r w:rsidRPr="00571820">
        <w:rPr>
          <w:rFonts w:eastAsia="Times New Roman"/>
          <w:vertAlign w:val="superscript"/>
          <w:lang w:val="bg-BG"/>
        </w:rPr>
        <w:t>3</w:t>
      </w:r>
      <w:r w:rsidRPr="00571820">
        <w:rPr>
          <w:rFonts w:eastAsia="Times New Roman"/>
          <w:lang w:val="bg-BG"/>
        </w:rPr>
        <w:t>) във всички 46 станции за мониторинг на КАВ, като в 20 станции е превишен и допустимия брой за СДН от 35 в една календарна година</w:t>
      </w:r>
      <w:r w:rsidRPr="00571820">
        <w:rPr>
          <w:rFonts w:eastAsia="Times New Roman"/>
          <w:b/>
          <w:bCs/>
          <w:lang w:val="bg-BG"/>
        </w:rPr>
        <w:t>.</w:t>
      </w:r>
    </w:p>
    <w:p w14:paraId="00918BCE"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u w:val="single"/>
          <w:lang w:val="bg-BG"/>
        </w:rPr>
        <w:t>През 2020г</w:t>
      </w:r>
      <w:r w:rsidRPr="00571820">
        <w:rPr>
          <w:rFonts w:eastAsia="Times New Roman"/>
          <w:lang w:val="bg-BG"/>
        </w:rPr>
        <w:t>.: превишение на СДН (50µg/m</w:t>
      </w:r>
      <w:r w:rsidRPr="00571820">
        <w:rPr>
          <w:rFonts w:eastAsia="Times New Roman"/>
          <w:vertAlign w:val="superscript"/>
          <w:lang w:val="bg-BG"/>
        </w:rPr>
        <w:t>3</w:t>
      </w:r>
      <w:r w:rsidRPr="00571820">
        <w:rPr>
          <w:rFonts w:eastAsia="Times New Roman"/>
          <w:lang w:val="bg-BG"/>
        </w:rPr>
        <w:t>) в 44 станции за мониторинг на КАВ, като в 21 станции е превишен и допустимия брой за СДН от 35 в една календарна година</w:t>
      </w:r>
      <w:r w:rsidRPr="00571820">
        <w:rPr>
          <w:rFonts w:eastAsia="Times New Roman"/>
          <w:b/>
          <w:bCs/>
          <w:lang w:val="bg-BG"/>
        </w:rPr>
        <w:t>.</w:t>
      </w:r>
    </w:p>
    <w:p w14:paraId="6AAD1C79" w14:textId="77777777" w:rsidR="00571820" w:rsidRPr="00571820" w:rsidRDefault="00571820">
      <w:pPr>
        <w:pStyle w:val="ListParagraph1"/>
        <w:numPr>
          <w:ilvl w:val="0"/>
          <w:numId w:val="94"/>
        </w:numPr>
        <w:spacing w:before="0" w:after="120" w:line="264" w:lineRule="auto"/>
        <w:ind w:left="1418" w:hanging="567"/>
        <w:jc w:val="both"/>
        <w:rPr>
          <w:rFonts w:eastAsia="Times New Roman"/>
          <w:b/>
          <w:bCs/>
          <w:lang w:val="bg-BG"/>
        </w:rPr>
      </w:pPr>
      <w:r w:rsidRPr="00571820">
        <w:rPr>
          <w:rFonts w:eastAsia="Times New Roman"/>
          <w:b/>
          <w:bCs/>
          <w:lang w:val="bg-BG"/>
        </w:rPr>
        <w:t>ФПЧ</w:t>
      </w:r>
      <w:r w:rsidRPr="00571820">
        <w:rPr>
          <w:rFonts w:eastAsia="Times New Roman"/>
          <w:b/>
          <w:bCs/>
          <w:vertAlign w:val="subscript"/>
          <w:lang w:val="bg-BG"/>
        </w:rPr>
        <w:t>2.5</w:t>
      </w:r>
      <w:r w:rsidRPr="00571820">
        <w:rPr>
          <w:rFonts w:eastAsia="Times New Roman"/>
          <w:b/>
          <w:bCs/>
          <w:lang w:val="bg-BG"/>
        </w:rPr>
        <w:t>:</w:t>
      </w:r>
    </w:p>
    <w:p w14:paraId="0E2A4878" w14:textId="77777777" w:rsidR="00571820" w:rsidRPr="00571820" w:rsidRDefault="00571820">
      <w:pPr>
        <w:pStyle w:val="ListParagraph1"/>
        <w:numPr>
          <w:ilvl w:val="1"/>
          <w:numId w:val="95"/>
        </w:numPr>
        <w:tabs>
          <w:tab w:val="left" w:pos="1276"/>
        </w:tabs>
        <w:suppressAutoHyphens/>
        <w:spacing w:before="80" w:after="120" w:line="264" w:lineRule="auto"/>
        <w:ind w:left="1786" w:hanging="510"/>
        <w:jc w:val="both"/>
        <w:rPr>
          <w:rFonts w:eastAsia="Times New Roman"/>
          <w:lang w:val="bg-BG"/>
        </w:rPr>
      </w:pPr>
      <w:r w:rsidRPr="00571820">
        <w:rPr>
          <w:rFonts w:eastAsia="Times New Roman"/>
          <w:lang w:val="bg-BG"/>
        </w:rPr>
        <w:t>Няма превишение на СГН (25µg/m</w:t>
      </w:r>
      <w:r w:rsidRPr="00571820">
        <w:rPr>
          <w:rFonts w:eastAsia="Times New Roman"/>
          <w:vertAlign w:val="superscript"/>
          <w:lang w:val="bg-BG"/>
        </w:rPr>
        <w:t>3</w:t>
      </w:r>
      <w:r w:rsidRPr="00571820">
        <w:rPr>
          <w:rFonts w:eastAsia="Times New Roman"/>
          <w:lang w:val="bg-BG"/>
        </w:rPr>
        <w:t>) за данните през 2019г., както и няма превишение на новата норма от 20µg/m</w:t>
      </w:r>
      <w:r w:rsidRPr="00571820">
        <w:rPr>
          <w:rFonts w:eastAsia="Times New Roman"/>
          <w:vertAlign w:val="superscript"/>
          <w:lang w:val="bg-BG"/>
        </w:rPr>
        <w:t>3</w:t>
      </w:r>
      <w:r w:rsidRPr="00571820">
        <w:rPr>
          <w:rFonts w:eastAsia="Times New Roman"/>
          <w:lang w:val="bg-BG"/>
        </w:rPr>
        <w:t xml:space="preserve"> за данните през 2020г. в нито един пункт за мониторинг на КАВ.</w:t>
      </w:r>
    </w:p>
    <w:p w14:paraId="072AE1DD" w14:textId="77777777" w:rsidR="00571820" w:rsidRPr="00571820" w:rsidRDefault="00571820" w:rsidP="00571820">
      <w:pPr>
        <w:spacing w:before="80" w:after="120" w:line="264" w:lineRule="auto"/>
        <w:ind w:firstLine="851"/>
        <w:jc w:val="both"/>
        <w:rPr>
          <w:rFonts w:cs="Times New Roman"/>
          <w:szCs w:val="24"/>
        </w:rPr>
      </w:pPr>
      <w:bookmarkStart w:id="481" w:name="_Hlk97919955"/>
      <w:r w:rsidRPr="00571820">
        <w:rPr>
          <w:rFonts w:cs="Times New Roman"/>
          <w:szCs w:val="24"/>
        </w:rPr>
        <w:t>Предвид гореизложеното може да се заключи, че основен проблем за здравето на хората остава замърсяването с ФПЧ</w:t>
      </w:r>
      <w:r w:rsidRPr="00571820">
        <w:rPr>
          <w:rFonts w:cs="Times New Roman"/>
          <w:szCs w:val="24"/>
          <w:vertAlign w:val="subscript"/>
        </w:rPr>
        <w:t>10</w:t>
      </w:r>
      <w:r w:rsidRPr="00571820">
        <w:rPr>
          <w:rFonts w:cs="Times New Roman"/>
          <w:szCs w:val="24"/>
        </w:rPr>
        <w:t>, като значителен принос за превишенията на нормите имат ГГИ, работещи основно на въглища. Не на последно място трябва да се отбележи, че превишенията на серен диоксид се наблюдават отново в райони с функциониращи ГГИ, използващи като гориво въглища.</w:t>
      </w:r>
    </w:p>
    <w:bookmarkEnd w:id="481"/>
    <w:p w14:paraId="6721610F" w14:textId="77777777" w:rsidR="007E5122" w:rsidRPr="009F6D1E" w:rsidRDefault="007E5122" w:rsidP="0084747F">
      <w:pPr>
        <w:spacing w:after="60" w:line="264" w:lineRule="auto"/>
        <w:jc w:val="both"/>
        <w:rPr>
          <w:rFonts w:cs="Times New Roman"/>
          <w:color w:val="auto"/>
          <w:szCs w:val="24"/>
        </w:rPr>
      </w:pPr>
    </w:p>
    <w:p w14:paraId="0695752A"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 xml:space="preserve">Рискови фактори по отношение на „качеството на питейните води“ и „водите за къпане“ </w:t>
      </w:r>
    </w:p>
    <w:p w14:paraId="25A55ABB"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 xml:space="preserve">Според протокола „Вода и Здраве” на UNECE и СЗО, “Питейна вода е водата, която се използва или ще бъде достъпна за употреба от човека за пиене, готвене, приготвяне на храна, лична хигиена или подобни нужди,” питейната вода е вода с достатъчно високо качество, която може да бъде консумирана или използвана специално за пиене и готвене, с наличие на </w:t>
      </w:r>
      <w:r w:rsidRPr="00571820">
        <w:rPr>
          <w:rFonts w:cs="Times New Roman"/>
          <w:color w:val="auto"/>
          <w:szCs w:val="24"/>
        </w:rPr>
        <w:lastRenderedPageBreak/>
        <w:t xml:space="preserve">много нисък риск от незабавна или дългосрочна вреда. Следователно тя трябва да е много чиста. </w:t>
      </w:r>
    </w:p>
    <w:p w14:paraId="539689D4"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 xml:space="preserve">Качеството на водите зависи от водния източник и промените, свързани с геоложките условия, </w:t>
      </w:r>
      <w:proofErr w:type="spellStart"/>
      <w:r w:rsidRPr="00571820">
        <w:rPr>
          <w:rFonts w:cs="Times New Roman"/>
          <w:color w:val="auto"/>
          <w:szCs w:val="24"/>
        </w:rPr>
        <w:t>земеползването</w:t>
      </w:r>
      <w:proofErr w:type="spellEnd"/>
      <w:r w:rsidRPr="00571820">
        <w:rPr>
          <w:rFonts w:cs="Times New Roman"/>
          <w:color w:val="auto"/>
          <w:szCs w:val="24"/>
        </w:rPr>
        <w:t xml:space="preserve"> и метеорологичните условия.</w:t>
      </w:r>
    </w:p>
    <w:p w14:paraId="5132784F"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Общо в България продължават да се регистрират отклонения по химични показатели със здравно значение:</w:t>
      </w:r>
    </w:p>
    <w:p w14:paraId="183E56ED" w14:textId="77777777" w:rsidR="00571820" w:rsidRPr="00571820" w:rsidRDefault="00571820" w:rsidP="00571820">
      <w:pPr>
        <w:numPr>
          <w:ilvl w:val="0"/>
          <w:numId w:val="28"/>
        </w:numPr>
        <w:spacing w:after="60" w:line="264" w:lineRule="auto"/>
        <w:contextualSpacing/>
        <w:jc w:val="both"/>
        <w:rPr>
          <w:rFonts w:cs="Times New Roman"/>
          <w:color w:val="auto"/>
          <w:szCs w:val="24"/>
        </w:rPr>
      </w:pPr>
      <w:r w:rsidRPr="00571820">
        <w:rPr>
          <w:rFonts w:cs="Times New Roman"/>
          <w:color w:val="auto"/>
          <w:szCs w:val="24"/>
        </w:rPr>
        <w:t>нитрати - все още отклоненията по този показател остават най-широко разпространени. Такива продължават да се регистрират в сравнително голям брой, предимно малки зони, преобладаващо в райони с обработваеми земеделски земи и развито животновъдство. Проблемът е от десетилетия, като най-засегнати са водоснабдителни зони в областите В. Търново, Бургас, Плевен, Ямбол, Шумен, Варна, Русе, Ст. Загора, Ловеч, Разград, Добрич, Търговище, Пловдив, Пазарджик, Враца, Сливен, Хасково. Отклонения от стандартите се отбелязва и в някои зони на територията на областите Силистра, Благоевград, Габрово и Монтана;</w:t>
      </w:r>
    </w:p>
    <w:p w14:paraId="2A998EFA" w14:textId="77777777" w:rsidR="00571820" w:rsidRPr="00571820" w:rsidRDefault="00571820" w:rsidP="00571820">
      <w:pPr>
        <w:numPr>
          <w:ilvl w:val="0"/>
          <w:numId w:val="28"/>
        </w:numPr>
        <w:spacing w:after="60" w:line="264" w:lineRule="auto"/>
        <w:contextualSpacing/>
        <w:jc w:val="both"/>
        <w:rPr>
          <w:rFonts w:cs="Times New Roman"/>
          <w:color w:val="auto"/>
          <w:szCs w:val="24"/>
        </w:rPr>
      </w:pPr>
      <w:r w:rsidRPr="00571820">
        <w:rPr>
          <w:rFonts w:cs="Times New Roman"/>
          <w:color w:val="auto"/>
          <w:szCs w:val="24"/>
        </w:rPr>
        <w:t>хром - устойчивите отклонения по този показател са с по-малък териториален обхват и са установени в определен брой малки зони в областите Плевен и Монтана. Дължат се на естествено обусловено по-високо съдържание на хром във водоизточниците и отсъствие на коригиращи мерки;</w:t>
      </w:r>
    </w:p>
    <w:p w14:paraId="600ECE3B" w14:textId="77777777" w:rsidR="00571820" w:rsidRPr="00571820" w:rsidRDefault="00571820" w:rsidP="00571820">
      <w:pPr>
        <w:numPr>
          <w:ilvl w:val="0"/>
          <w:numId w:val="28"/>
        </w:numPr>
        <w:spacing w:after="60" w:line="264" w:lineRule="auto"/>
        <w:contextualSpacing/>
        <w:jc w:val="both"/>
        <w:rPr>
          <w:rFonts w:cs="Times New Roman"/>
          <w:color w:val="auto"/>
          <w:szCs w:val="24"/>
        </w:rPr>
      </w:pPr>
      <w:r w:rsidRPr="00571820">
        <w:rPr>
          <w:rFonts w:cs="Times New Roman"/>
          <w:color w:val="auto"/>
          <w:szCs w:val="24"/>
        </w:rPr>
        <w:t>естествен уран - показателят се нормира и наблюдава по отношение на неговата химична токсичност. Резултатите от проведения от органите на държавния здравен контрол мониторинг показват, че надвишаване на съдържанието на естествен уран е наблюдавано в 12 бр. проби, в резултат на което са предприети адекватни и навременни мерки от страна на РЗИ и ВиК, като ограничаване ползването на водата за питейни и други цели, технически мерки от страна на дружествата и др.</w:t>
      </w:r>
    </w:p>
    <w:p w14:paraId="330A9D3A"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През 2020г. несъответствия с изискванията за качество на питейната вода се установяват и по физикохимични и химични показатели с индикаторно значение. Последните не се свързват с пряк здравен риск, но свидетелстват за наличието на проблемни звена във водоснабдителните системи и обработката на водата, което влошава качеството на водата и може да доведе до индиректен здравен риск, например при ползване на вода от нерегламентирани водоизточници. Сравнено с предишни периоди, отклонения продължават да се регистрират по показатели:</w:t>
      </w:r>
    </w:p>
    <w:p w14:paraId="393E9436" w14:textId="77777777" w:rsidR="00571820" w:rsidRPr="00571820" w:rsidRDefault="00571820" w:rsidP="00571820">
      <w:pPr>
        <w:numPr>
          <w:ilvl w:val="0"/>
          <w:numId w:val="28"/>
        </w:numPr>
        <w:spacing w:after="60" w:line="264" w:lineRule="auto"/>
        <w:contextualSpacing/>
        <w:jc w:val="both"/>
        <w:rPr>
          <w:rFonts w:cs="Times New Roman"/>
          <w:color w:val="auto"/>
          <w:szCs w:val="24"/>
        </w:rPr>
      </w:pPr>
      <w:r w:rsidRPr="00571820">
        <w:rPr>
          <w:rFonts w:cs="Times New Roman"/>
          <w:color w:val="auto"/>
          <w:szCs w:val="24"/>
        </w:rPr>
        <w:t>манган - в няколко зони в областите Хасково и Плевен. Особено остър, свързан с естествените условия, при които се формират водите, остава проблемът в зони на водоснабдяване Брягово, Николово, Симеоновград и Българин, обл. Хасково, където от години са наложени ограничения за ползването на питейната вода.</w:t>
      </w:r>
    </w:p>
    <w:p w14:paraId="30C8A2CD"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 xml:space="preserve">Съществен фактор за наличие на несъответствия и влошена </w:t>
      </w:r>
      <w:proofErr w:type="spellStart"/>
      <w:r w:rsidRPr="00571820">
        <w:rPr>
          <w:rFonts w:cs="Times New Roman"/>
          <w:color w:val="auto"/>
          <w:szCs w:val="24"/>
        </w:rPr>
        <w:t>органолептика</w:t>
      </w:r>
      <w:proofErr w:type="spellEnd"/>
      <w:r w:rsidRPr="00571820">
        <w:rPr>
          <w:rFonts w:cs="Times New Roman"/>
          <w:color w:val="auto"/>
          <w:szCs w:val="24"/>
        </w:rPr>
        <w:t xml:space="preserve"> на водата е и състоянието на вътрешните водопроводни инсталации в жилищните и административните сгради, за чието стопанисване са отговорни техните собственици.</w:t>
      </w:r>
    </w:p>
    <w:p w14:paraId="1C1A5B61" w14:textId="77777777" w:rsidR="00571820" w:rsidRPr="007C3C44" w:rsidRDefault="00571820" w:rsidP="007C3C44">
      <w:pPr>
        <w:numPr>
          <w:ilvl w:val="0"/>
          <w:numId w:val="28"/>
        </w:numPr>
        <w:spacing w:after="60" w:line="264" w:lineRule="auto"/>
        <w:contextualSpacing/>
        <w:jc w:val="both"/>
        <w:rPr>
          <w:rFonts w:cs="Times New Roman"/>
          <w:color w:val="auto"/>
          <w:szCs w:val="24"/>
        </w:rPr>
      </w:pPr>
      <w:r w:rsidRPr="007C3C44">
        <w:rPr>
          <w:rFonts w:cs="Times New Roman"/>
          <w:color w:val="auto"/>
          <w:szCs w:val="24"/>
        </w:rPr>
        <w:lastRenderedPageBreak/>
        <w:t>желязо – най-често в зони с несъответствия по манган, като обл. Хасково или преходно в зони от обл. Бургас, Варна, Габрово и др., свързано с понижено потребление, застояване на водата, стари и често авариращи водопроводни мрежи и др.;</w:t>
      </w:r>
    </w:p>
    <w:p w14:paraId="3A3067F6" w14:textId="77777777" w:rsidR="00571820" w:rsidRPr="007C3C44" w:rsidRDefault="00571820" w:rsidP="007C3C44">
      <w:pPr>
        <w:numPr>
          <w:ilvl w:val="0"/>
          <w:numId w:val="28"/>
        </w:numPr>
        <w:spacing w:after="60" w:line="264" w:lineRule="auto"/>
        <w:contextualSpacing/>
        <w:jc w:val="both"/>
        <w:rPr>
          <w:rFonts w:cs="Times New Roman"/>
          <w:color w:val="auto"/>
          <w:szCs w:val="24"/>
        </w:rPr>
      </w:pPr>
      <w:r w:rsidRPr="007C3C44">
        <w:rPr>
          <w:rFonts w:cs="Times New Roman"/>
          <w:color w:val="auto"/>
          <w:szCs w:val="24"/>
        </w:rPr>
        <w:t>органолептични (мътност, цвят, мирис, вкус). Обикновено несъответствията са с непостоянен характер, в някои случаи са свързани с наднормени количества на желязо и манган в подаваната вода, а в други с липса на пречистване на водата от повърхностни водоизточници, често авариращи водоснабдителни мрежи, ремонтни дейности и др.;</w:t>
      </w:r>
    </w:p>
    <w:p w14:paraId="6E112C65" w14:textId="77777777" w:rsidR="00571820" w:rsidRPr="007C3C44" w:rsidRDefault="00571820" w:rsidP="007C3C44">
      <w:pPr>
        <w:numPr>
          <w:ilvl w:val="0"/>
          <w:numId w:val="28"/>
        </w:numPr>
        <w:spacing w:after="60" w:line="264" w:lineRule="auto"/>
        <w:contextualSpacing/>
        <w:jc w:val="both"/>
        <w:rPr>
          <w:rFonts w:cs="Times New Roman"/>
          <w:color w:val="auto"/>
          <w:szCs w:val="24"/>
        </w:rPr>
      </w:pPr>
      <w:r w:rsidRPr="007C3C44">
        <w:rPr>
          <w:rFonts w:cs="Times New Roman"/>
          <w:color w:val="auto"/>
          <w:szCs w:val="24"/>
        </w:rPr>
        <w:t>в много ограничен брой малки зони на територията на различни области, често в отделни проби, са констатирани несъответствия по показатели, като например: флуориди, бор, фосфати, активна реакция (</w:t>
      </w:r>
      <w:proofErr w:type="spellStart"/>
      <w:r w:rsidRPr="007C3C44">
        <w:rPr>
          <w:rFonts w:cs="Times New Roman"/>
          <w:color w:val="auto"/>
          <w:szCs w:val="24"/>
        </w:rPr>
        <w:t>рН</w:t>
      </w:r>
      <w:proofErr w:type="spellEnd"/>
      <w:r w:rsidRPr="007C3C44">
        <w:rPr>
          <w:rFonts w:cs="Times New Roman"/>
          <w:color w:val="auto"/>
          <w:szCs w:val="24"/>
        </w:rPr>
        <w:t>), алуминий, желязо, амониев йон и нитрити, сулфати и хлориди, както и калций и/или магнезий, участващи във формирането на общата твърдост на водата.</w:t>
      </w:r>
    </w:p>
    <w:p w14:paraId="23E10B57"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 xml:space="preserve">Констатираните отклонения са предимно в по-малки населени места – индикация за недобра водоснабдителна практика, респ. нерегулярна профилактика на съоръженията и неефективен режим на дезинфекция на водата, включително в зони с амортизирана водоразпределителна мрежа и чести аварии. Епизодични несъответствия по микробиологични показатели се отбелязват и в отделни големи зони, водоснабдявани от повърхностни водоизточници, най-често повлияни от неблагоприятни метеорологични условия, отсъствие на пречистване или несъответстваща обработка на водата. Същевременно по тези показатели е постигната много висока </w:t>
      </w:r>
      <w:proofErr w:type="spellStart"/>
      <w:r w:rsidRPr="00571820">
        <w:rPr>
          <w:rFonts w:cs="Times New Roman"/>
          <w:color w:val="auto"/>
          <w:szCs w:val="24"/>
        </w:rPr>
        <w:t>стандартност</w:t>
      </w:r>
      <w:proofErr w:type="spellEnd"/>
      <w:r w:rsidRPr="00571820">
        <w:rPr>
          <w:rFonts w:cs="Times New Roman"/>
          <w:color w:val="auto"/>
          <w:szCs w:val="24"/>
        </w:rPr>
        <w:t xml:space="preserve"> в зони, в които през годината са реализирани конкретни мерки за подобряване процеса на дезинфекция и автоматизирането му.</w:t>
      </w:r>
    </w:p>
    <w:p w14:paraId="0B7CCAC5"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Съгласно изискванията на Наредба № 9 от 2001 г. за качеството на водата за питейно- битови цели, в НЦРРЗ и отделите „Радиационен контрол“ към РЗИ Пловдив, РЗИ Варна, РЗИ Бургас, РЗИ Русе и РЗИ Враца, на териториален принцип се провежда мониторинг и на радиологичните показатели на питейните води в цялата страна.</w:t>
      </w:r>
    </w:p>
    <w:p w14:paraId="4D7BA9F4" w14:textId="77777777" w:rsidR="00571820" w:rsidRPr="00571820" w:rsidRDefault="00571820" w:rsidP="00571820">
      <w:pPr>
        <w:spacing w:after="60" w:line="264" w:lineRule="auto"/>
        <w:ind w:firstLine="708"/>
        <w:jc w:val="both"/>
        <w:rPr>
          <w:rFonts w:cs="Times New Roman"/>
          <w:color w:val="auto"/>
          <w:szCs w:val="24"/>
        </w:rPr>
      </w:pPr>
      <w:r w:rsidRPr="00571820">
        <w:rPr>
          <w:rFonts w:cs="Times New Roman"/>
          <w:color w:val="auto"/>
          <w:szCs w:val="24"/>
        </w:rPr>
        <w:t xml:space="preserve">От експертите на НЦРРЗ и радиационните отдели към РЗИ е извършена оценка на общата индикативна доза за съответните населени места. Оценките показват, че по радиологичен параметър индикативна доза от поглъщане на </w:t>
      </w:r>
      <w:proofErr w:type="spellStart"/>
      <w:r w:rsidRPr="00571820">
        <w:rPr>
          <w:rFonts w:cs="Times New Roman"/>
          <w:color w:val="auto"/>
          <w:szCs w:val="24"/>
        </w:rPr>
        <w:t>радионуклиди</w:t>
      </w:r>
      <w:proofErr w:type="spellEnd"/>
      <w:r w:rsidRPr="00571820">
        <w:rPr>
          <w:rFonts w:cs="Times New Roman"/>
          <w:color w:val="auto"/>
          <w:szCs w:val="24"/>
        </w:rPr>
        <w:t xml:space="preserve"> с питейна вода, който всъщност е показателя със здравно значение, всички питейни води, с изключение на една, отговарят на нормативните изисквания.</w:t>
      </w:r>
    </w:p>
    <w:p w14:paraId="0C3218AB" w14:textId="77777777" w:rsidR="007E5122" w:rsidRPr="009F6D1E" w:rsidRDefault="007E5122" w:rsidP="0084747F">
      <w:pPr>
        <w:spacing w:after="60" w:line="264" w:lineRule="auto"/>
        <w:jc w:val="both"/>
        <w:rPr>
          <w:rFonts w:cs="Times New Roman"/>
          <w:color w:val="auto"/>
          <w:szCs w:val="24"/>
        </w:rPr>
      </w:pPr>
    </w:p>
    <w:p w14:paraId="67CEBCFA" w14:textId="77777777" w:rsidR="007C3C44"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Изискванията към качеството на водите за къпане (това са водите в открити водни площи, използвани масово от хората за къпане – море, язовири, реки, езера) и мониторинга, който се извършва, са регламентирани в Директива 2006/7/EО на Европейския парламент и на Съвета от 15 февруари 2006 година за управление качеството на водите за къпане и съответната българска наредба, транспонираща тази директива в националното законодателство - Наредба 5 от 30.05.2008 г. за управление качеството на водите за къпане.</w:t>
      </w:r>
    </w:p>
    <w:p w14:paraId="0134AAC0" w14:textId="77777777" w:rsidR="007C3C44"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 xml:space="preserve">В съответствие със задълженията си на контролен компетентен орган по прилагане на европейското законодателство в тази област, Министерство на здравеопазването чрез своите териториални органи – Регионалните здравни инспекции извършва регулярен контрол и </w:t>
      </w:r>
      <w:r w:rsidRPr="007C3C44">
        <w:rPr>
          <w:rFonts w:cs="Times New Roman"/>
          <w:color w:val="auto"/>
          <w:szCs w:val="24"/>
        </w:rPr>
        <w:lastRenderedPageBreak/>
        <w:t xml:space="preserve">мониторинг на качеството на водите за къпане през сезона за къпане, чрез </w:t>
      </w:r>
      <w:proofErr w:type="spellStart"/>
      <w:r w:rsidRPr="007C3C44">
        <w:rPr>
          <w:rFonts w:cs="Times New Roman"/>
          <w:color w:val="auto"/>
          <w:szCs w:val="24"/>
        </w:rPr>
        <w:t>пробонабиране</w:t>
      </w:r>
      <w:proofErr w:type="spellEnd"/>
      <w:r w:rsidRPr="007C3C44">
        <w:rPr>
          <w:rFonts w:cs="Times New Roman"/>
          <w:color w:val="auto"/>
          <w:szCs w:val="24"/>
        </w:rPr>
        <w:t xml:space="preserve"> и анализ на водата най-малко веднъж на две седмици от всяка зона за къпане. Пробите се изследват по два микробиологични показателя – „</w:t>
      </w:r>
      <w:proofErr w:type="spellStart"/>
      <w:r w:rsidRPr="007C3C44">
        <w:rPr>
          <w:rFonts w:cs="Times New Roman"/>
          <w:color w:val="auto"/>
          <w:szCs w:val="24"/>
        </w:rPr>
        <w:t>ешерихия</w:t>
      </w:r>
      <w:proofErr w:type="spellEnd"/>
      <w:r w:rsidRPr="007C3C44">
        <w:rPr>
          <w:rFonts w:cs="Times New Roman"/>
          <w:color w:val="auto"/>
          <w:szCs w:val="24"/>
        </w:rPr>
        <w:t xml:space="preserve"> коли“ и „чревни </w:t>
      </w:r>
      <w:proofErr w:type="spellStart"/>
      <w:r w:rsidRPr="007C3C44">
        <w:rPr>
          <w:rFonts w:cs="Times New Roman"/>
          <w:color w:val="auto"/>
          <w:szCs w:val="24"/>
        </w:rPr>
        <w:t>ентерококи</w:t>
      </w:r>
      <w:proofErr w:type="spellEnd"/>
      <w:r w:rsidRPr="007C3C44">
        <w:rPr>
          <w:rFonts w:cs="Times New Roman"/>
          <w:color w:val="auto"/>
          <w:szCs w:val="24"/>
        </w:rPr>
        <w:t>“.</w:t>
      </w:r>
    </w:p>
    <w:p w14:paraId="5C8738C0" w14:textId="77777777" w:rsidR="007C3C44"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Данните по-горе показват, че през сезон 2020 г. за първи път няма зони, в които водите за къпане се класифицират с „лошо“ и „незадоволително“ качество. Процентът на водите с „отлично“ качество обаче, е по-нисък в сравнение с предходната година, и като цяло остава значително под средноевропейския, който за сезон 2020 г. е 82.9%. Зоните за къпане, които подобряват класификацията си спрямо 2019 г. са седем (четири зони от „задоволително“ преминават в „добро“ качество, а три – от „добро“ в „отлично“).</w:t>
      </w:r>
    </w:p>
    <w:p w14:paraId="4A991603" w14:textId="77777777" w:rsidR="007C3C44"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При установени отклонения в качеството на водите за къпане, представляващи непосредствен риск за човешкото здраве, органите на държавния здравен контрол своевременно са уведомявали другите компетентни органи – МОСВ или регионалните му структури – РИОСВ и Басейнови дирекции, областни управители и кметове за идентифициране на причините и предприемане на необходимите мерки. При опасност от възникване на здравен риск за хората се налага временна или постоянна забрана за къпане. През сезон 2020г. такива ограничения не са налагани. </w:t>
      </w:r>
    </w:p>
    <w:p w14:paraId="6DEE447C" w14:textId="77777777" w:rsidR="007C3C44"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Най-често причините за влошаване качеството на водите за къпане са свързани с недостатъчен брой и капацитет на станциите и съоръжения за пречистване на отпадъчни води, нерегламентирано изпускане на непречистени отпадъчни води, или заустване на отпадъчни води в дъждовни канализации, изливащи се в или в близост до зоните за къпане и др.</w:t>
      </w:r>
    </w:p>
    <w:p w14:paraId="3E8A465A" w14:textId="58C4F35E" w:rsidR="007E5122" w:rsidRPr="007C3C44" w:rsidRDefault="007C3C44" w:rsidP="007C3C44">
      <w:pPr>
        <w:spacing w:after="60" w:line="264" w:lineRule="auto"/>
        <w:ind w:firstLine="708"/>
        <w:jc w:val="both"/>
        <w:rPr>
          <w:rFonts w:cs="Times New Roman"/>
          <w:color w:val="auto"/>
          <w:szCs w:val="24"/>
        </w:rPr>
      </w:pPr>
      <w:r w:rsidRPr="007C3C44">
        <w:rPr>
          <w:rFonts w:cs="Times New Roman"/>
          <w:color w:val="auto"/>
          <w:szCs w:val="24"/>
        </w:rPr>
        <w:t>Важно е да се подчертае, че предприеманите мерки за подобряване качеството на водите за къпане трябва да осигуряват устойчиво и трайно подобрение на качеството на водите за къпане, което да даде възможност същите, дори и на базата на четиригодишен период, да могат да бъдат квалифицирани като води с добро или отлично качество, като стремежа следва да бъде максимално голям брой зони да бъдат с отлично качество. Това ще даде възможност за постигане на качество на водите за къпане сравнимо с водещите в това отношение държави-членки на ЕС, като Хърватия, Малта, Кипър, Гърция и др</w:t>
      </w:r>
      <w:r w:rsidR="007E5122" w:rsidRPr="009F6D1E">
        <w:rPr>
          <w:rFonts w:cs="Times New Roman"/>
          <w:color w:val="auto"/>
          <w:szCs w:val="24"/>
        </w:rPr>
        <w:t>.</w:t>
      </w:r>
    </w:p>
    <w:p w14:paraId="59B9BCBE" w14:textId="77777777" w:rsidR="007E5122" w:rsidRPr="009F6D1E" w:rsidRDefault="007E5122" w:rsidP="0084747F">
      <w:pPr>
        <w:spacing w:after="60" w:line="264" w:lineRule="auto"/>
        <w:jc w:val="both"/>
        <w:rPr>
          <w:rFonts w:cs="Times New Roman"/>
          <w:color w:val="auto"/>
          <w:szCs w:val="24"/>
        </w:rPr>
      </w:pPr>
    </w:p>
    <w:p w14:paraId="458A9AE4"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фактори по отношение на шума</w:t>
      </w:r>
    </w:p>
    <w:p w14:paraId="7164FCCF"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Обикновено този фактор не действа изолирано, а участва в изключително сложна комбинация с други рискови за здравето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Вредата от шума се превръща в една от характеристиките на модерния живот. </w:t>
      </w:r>
    </w:p>
    <w:p w14:paraId="4A438530"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Шумът атакува почти всички органи и системи на човешкия организъм, като се проявява главно в четири насоки: </w:t>
      </w:r>
    </w:p>
    <w:p w14:paraId="1B59632C" w14:textId="31753411"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Психологично въздействие: раздразнение, влияние върху работ</w:t>
      </w:r>
      <w:r w:rsidR="00605A5C">
        <w:rPr>
          <w:rFonts w:cs="Times New Roman"/>
          <w:color w:val="auto"/>
          <w:szCs w:val="24"/>
        </w:rPr>
        <w:t>осп</w:t>
      </w:r>
      <w:r w:rsidRPr="009F6D1E">
        <w:rPr>
          <w:rFonts w:cs="Times New Roman"/>
          <w:color w:val="auto"/>
          <w:szCs w:val="24"/>
        </w:rPr>
        <w:t xml:space="preserve">особността, въздействие върху речевата разбираемост и умствените способности. </w:t>
      </w:r>
    </w:p>
    <w:p w14:paraId="4F3E5591"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Физиологично въздействие: </w:t>
      </w:r>
    </w:p>
    <w:p w14:paraId="25657990" w14:textId="77777777" w:rsidR="007E5122" w:rsidRPr="009F6D1E" w:rsidRDefault="007E5122" w:rsidP="00D02E9D">
      <w:pPr>
        <w:numPr>
          <w:ilvl w:val="0"/>
          <w:numId w:val="29"/>
        </w:numPr>
        <w:spacing w:after="60" w:line="264" w:lineRule="auto"/>
        <w:contextualSpacing/>
        <w:jc w:val="both"/>
        <w:rPr>
          <w:rFonts w:cs="Times New Roman"/>
          <w:color w:val="auto"/>
          <w:szCs w:val="24"/>
        </w:rPr>
      </w:pPr>
      <w:r w:rsidRPr="009F6D1E">
        <w:rPr>
          <w:rFonts w:cs="Times New Roman"/>
          <w:color w:val="auto"/>
          <w:szCs w:val="24"/>
        </w:rPr>
        <w:t xml:space="preserve">Върху слуховия орган. </w:t>
      </w:r>
    </w:p>
    <w:p w14:paraId="40F553A4" w14:textId="77777777" w:rsidR="007E5122" w:rsidRPr="009F6D1E" w:rsidRDefault="007E5122" w:rsidP="00D02E9D">
      <w:pPr>
        <w:numPr>
          <w:ilvl w:val="0"/>
          <w:numId w:val="29"/>
        </w:numPr>
        <w:spacing w:after="60" w:line="264" w:lineRule="auto"/>
        <w:contextualSpacing/>
        <w:jc w:val="both"/>
        <w:rPr>
          <w:rFonts w:cs="Times New Roman"/>
          <w:color w:val="auto"/>
          <w:szCs w:val="24"/>
        </w:rPr>
      </w:pPr>
      <w:r w:rsidRPr="009F6D1E">
        <w:rPr>
          <w:rFonts w:cs="Times New Roman"/>
          <w:color w:val="auto"/>
          <w:szCs w:val="24"/>
        </w:rPr>
        <w:lastRenderedPageBreak/>
        <w:t xml:space="preserve">Върху функциите на отделни органи и системи: сърдечно съдовата система – учестяване на сърдечния ритъм, промени, които водят до повишаване на кръвното налягане и дихателната система – изменения на респираторния ритъм; храносмилателна система – забавяне пасажа на храната и различни по степен и вид увреждания на стомаха и ендокринна система – изменение количеството на кръвната захар, повишаване на основната обмяна, задържане на вода в организма, вестибуларна система, процесите на обмяната </w:t>
      </w:r>
    </w:p>
    <w:p w14:paraId="1E969B9D" w14:textId="77777777" w:rsidR="007E5122" w:rsidRPr="009F6D1E" w:rsidRDefault="007E5122" w:rsidP="00D02E9D">
      <w:pPr>
        <w:numPr>
          <w:ilvl w:val="0"/>
          <w:numId w:val="29"/>
        </w:numPr>
        <w:spacing w:after="60" w:line="264" w:lineRule="auto"/>
        <w:contextualSpacing/>
        <w:jc w:val="both"/>
        <w:rPr>
          <w:rFonts w:cs="Times New Roman"/>
          <w:color w:val="auto"/>
          <w:szCs w:val="24"/>
        </w:rPr>
      </w:pPr>
      <w:r w:rsidRPr="009F6D1E">
        <w:rPr>
          <w:rFonts w:cs="Times New Roman"/>
          <w:color w:val="auto"/>
          <w:szCs w:val="24"/>
        </w:rPr>
        <w:t xml:space="preserve">Върху организма като цяло и в частност върху висшата нервна дейност (нервна преумора, психични смущения и нестабилност, смущения на паметта, раздразнителност) и вегетативната нервна система (усилен тонус, който може да доведе до редица сърдечни, </w:t>
      </w:r>
      <w:proofErr w:type="spellStart"/>
      <w:r w:rsidRPr="009F6D1E">
        <w:rPr>
          <w:rFonts w:cs="Times New Roman"/>
          <w:color w:val="auto"/>
          <w:szCs w:val="24"/>
        </w:rPr>
        <w:t>циркулаторни</w:t>
      </w:r>
      <w:proofErr w:type="spellEnd"/>
      <w:r w:rsidRPr="009F6D1E">
        <w:rPr>
          <w:rFonts w:cs="Times New Roman"/>
          <w:color w:val="auto"/>
          <w:szCs w:val="24"/>
        </w:rPr>
        <w:t xml:space="preserve"> и други прояви).</w:t>
      </w:r>
    </w:p>
    <w:p w14:paraId="12DC9221" w14:textId="15984B09"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Въздействие върху съня – смущаването на нощната почивка не дава възможност за възстановяване на работ</w:t>
      </w:r>
      <w:r w:rsidR="007D1377">
        <w:rPr>
          <w:rFonts w:cs="Times New Roman"/>
          <w:color w:val="auto"/>
          <w:szCs w:val="24"/>
        </w:rPr>
        <w:t>осп</w:t>
      </w:r>
      <w:r w:rsidRPr="009F6D1E">
        <w:rPr>
          <w:rFonts w:cs="Times New Roman"/>
          <w:color w:val="auto"/>
          <w:szCs w:val="24"/>
        </w:rPr>
        <w:t xml:space="preserve">особността и постепенно довежда организма до състояние на преумора. </w:t>
      </w:r>
    </w:p>
    <w:p w14:paraId="32DEC964" w14:textId="77777777" w:rsidR="007E5122" w:rsidRPr="009F6D1E" w:rsidRDefault="007E5122" w:rsidP="00D02E9D">
      <w:pPr>
        <w:numPr>
          <w:ilvl w:val="0"/>
          <w:numId w:val="28"/>
        </w:numPr>
        <w:spacing w:after="60" w:line="264" w:lineRule="auto"/>
        <w:contextualSpacing/>
        <w:jc w:val="both"/>
        <w:rPr>
          <w:rFonts w:cs="Times New Roman"/>
          <w:color w:val="auto"/>
          <w:szCs w:val="24"/>
        </w:rPr>
      </w:pPr>
      <w:r w:rsidRPr="009F6D1E">
        <w:rPr>
          <w:rFonts w:cs="Times New Roman"/>
          <w:color w:val="auto"/>
          <w:szCs w:val="24"/>
        </w:rPr>
        <w:t xml:space="preserve">Загуба на слуха в резултат на продължително влияние на шум с висока интензивност. </w:t>
      </w:r>
    </w:p>
    <w:p w14:paraId="27E0CD28"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Действието на фактора шум е най-отчетливо изразен в урбанизираните райони с население над 100 000 жители. Шумовото им натоварване зависи както от интензитета на шума, така и от продължителността на неговото въздействие. </w:t>
      </w:r>
    </w:p>
    <w:p w14:paraId="762B4A79"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Авиационният шум е по-дразнещ в сравнение с шумовете от други източници, тъй като се състои от спорадични шумови събития с определен издигащ се и спадащ модел и с по-висока честота и сила, към които човешкото ухо е особено чувствително. </w:t>
      </w:r>
    </w:p>
    <w:p w14:paraId="75D50714"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Най-силно въздействие върху акустичната обстановка оказва транспортният шум. Неговият дял е 80-85% от общото шумово натоварване в градовете. Непрекъснатото увеличаване броя на моторните превозни средства и грешките в градоустройственото планиране са основните причини за оформянето на урбанизирана среда с утежнен, неблагоприятен за човешкото здраве акустичен режим.</w:t>
      </w:r>
    </w:p>
    <w:p w14:paraId="087D85AD" w14:textId="6A1E77B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По отношение фактор шум може да се заключи, че от значение са нивата на промишлен шум, регистрирани на териториите на промишлените площадки, което от своя страна дава отражение върху нивото на живот и върху здравето на работниците, но при правилен контрол и навременно взети защитни мерки, то последствията от продължително излагане на високи нива на шума могат да бъдат ограничени и да не застрашават живота и здравето на работниците, а от тук и на население</w:t>
      </w:r>
      <w:r w:rsidR="007C3C44">
        <w:rPr>
          <w:rFonts w:cs="Times New Roman"/>
          <w:color w:val="auto"/>
          <w:szCs w:val="24"/>
        </w:rPr>
        <w:t>т</w:t>
      </w:r>
      <w:r w:rsidRPr="009F6D1E">
        <w:rPr>
          <w:rFonts w:cs="Times New Roman"/>
          <w:color w:val="auto"/>
          <w:szCs w:val="24"/>
        </w:rPr>
        <w:t xml:space="preserve">о от близко разположените населени места. </w:t>
      </w:r>
    </w:p>
    <w:p w14:paraId="527DF79E"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Излъчваните нива на инфразвук и ултразвук в хода на експлоатацията на енергийните и други производствени обекти са причина за въздействие върху служителите и работниците, като същите не достигат нива, излагащи на риск населението от близко разположените населени места. Въздействието зависи от нивото на инфразвуковото налягане, честотата и продължителността. При продължително действие настъпват увреждания в ЦНС, ССС, дихателната, ендокринната и други системи, вестибуларния апарат, слуховия апарат. Оплакванията са свързани с главоболие, световъртеж, гадене, затруднено преглъщане, модулиране на речта, тремор на ръцете, треска, необясним страх, безпокойство, които се сменят с чувство за умора и разсеяност.</w:t>
      </w:r>
    </w:p>
    <w:p w14:paraId="459143F6" w14:textId="7041C005"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lastRenderedPageBreak/>
        <w:t xml:space="preserve">В производствени условия са регистрирани </w:t>
      </w:r>
      <w:proofErr w:type="spellStart"/>
      <w:r w:rsidRPr="009F6D1E">
        <w:rPr>
          <w:rFonts w:cs="Times New Roman"/>
          <w:color w:val="auto"/>
          <w:szCs w:val="24"/>
        </w:rPr>
        <w:t>астено</w:t>
      </w:r>
      <w:proofErr w:type="spellEnd"/>
      <w:r w:rsidRPr="009F6D1E">
        <w:rPr>
          <w:rFonts w:cs="Times New Roman"/>
          <w:color w:val="auto"/>
          <w:szCs w:val="24"/>
        </w:rPr>
        <w:t>-вегетативен синдром, понижена умствена работ</w:t>
      </w:r>
      <w:r w:rsidR="007D1377">
        <w:rPr>
          <w:rFonts w:cs="Times New Roman"/>
          <w:color w:val="auto"/>
          <w:szCs w:val="24"/>
        </w:rPr>
        <w:t>осп</w:t>
      </w:r>
      <w:r w:rsidRPr="009F6D1E">
        <w:rPr>
          <w:rFonts w:cs="Times New Roman"/>
          <w:color w:val="auto"/>
          <w:szCs w:val="24"/>
        </w:rPr>
        <w:t>особност, световъртеж, нарушения в равновесието, невротични симптоми: гадене, раздразнителност, нервност.</w:t>
      </w:r>
    </w:p>
    <w:p w14:paraId="70E90CDB" w14:textId="77777777" w:rsidR="007E5122" w:rsidRPr="009F6D1E" w:rsidRDefault="007E5122" w:rsidP="0084747F">
      <w:pPr>
        <w:spacing w:after="60" w:line="264" w:lineRule="auto"/>
        <w:jc w:val="both"/>
        <w:rPr>
          <w:rFonts w:cs="Times New Roman"/>
          <w:color w:val="auto"/>
          <w:szCs w:val="24"/>
        </w:rPr>
      </w:pPr>
    </w:p>
    <w:p w14:paraId="379F1B41"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 xml:space="preserve">Рискови фактори по отношение на вибрациите </w:t>
      </w:r>
    </w:p>
    <w:p w14:paraId="6DE56374" w14:textId="17D51672"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Вибрациите са рисков фактор, характерен предимно за работещите в такива условия. Вибрациите предизвикват увреждане на периферните кръвоносни съдове, нервни окончания и костите. Предпазните мерки включват основно технически решения за ограничаване нивото на вибрациите: монтиране на оборудването върху специален фундамент, </w:t>
      </w:r>
      <w:proofErr w:type="spellStart"/>
      <w:r w:rsidRPr="009F6D1E">
        <w:rPr>
          <w:rFonts w:cs="Times New Roman"/>
          <w:color w:val="auto"/>
          <w:szCs w:val="24"/>
        </w:rPr>
        <w:t>виброгасящи</w:t>
      </w:r>
      <w:proofErr w:type="spellEnd"/>
      <w:r w:rsidRPr="009F6D1E">
        <w:rPr>
          <w:rFonts w:cs="Times New Roman"/>
          <w:color w:val="auto"/>
          <w:szCs w:val="24"/>
        </w:rPr>
        <w:t xml:space="preserve"> ръкохватки, и др. конструктивни решения, които осигуряват спазването на нормите, свързани с експозиция на вибрации. Този фактор не е рисков за населението и не се очаква въздействието му във връзка с реализирането на </w:t>
      </w:r>
      <w:r w:rsidR="007F668E">
        <w:rPr>
          <w:rFonts w:cs="Times New Roman"/>
          <w:color w:val="auto"/>
          <w:szCs w:val="24"/>
        </w:rPr>
        <w:t>Стратегическия план</w:t>
      </w:r>
      <w:r w:rsidRPr="009F6D1E">
        <w:rPr>
          <w:rFonts w:cs="Times New Roman"/>
          <w:color w:val="auto"/>
          <w:szCs w:val="24"/>
        </w:rPr>
        <w:t xml:space="preserve">, обект на настоящата оценка.   </w:t>
      </w:r>
    </w:p>
    <w:p w14:paraId="142546FD" w14:textId="77777777" w:rsidR="007E5122" w:rsidRPr="009F6D1E" w:rsidRDefault="007E5122" w:rsidP="0084747F">
      <w:pPr>
        <w:autoSpaceDE w:val="0"/>
        <w:autoSpaceDN w:val="0"/>
        <w:adjustRightInd w:val="0"/>
        <w:spacing w:after="60" w:line="264" w:lineRule="auto"/>
        <w:rPr>
          <w:rFonts w:cs="Times New Roman"/>
          <w:color w:val="auto"/>
          <w:szCs w:val="24"/>
        </w:rPr>
      </w:pPr>
    </w:p>
    <w:p w14:paraId="75211679"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фактори по отношение на йонизиращите лъчения (радиационна обстановка)</w:t>
      </w:r>
    </w:p>
    <w:p w14:paraId="11681380"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Радиационната обстановка представлява естествена и изкуствена радиация. Може да предизвика остри и хронични увреждания – остра лъчева болест, злокачествени заболявания, мутации в поколенията и смърт. Защитата от йонизиращи лъчения включва: устройства за дистанционно управление, херметизиращи и ограждащи устройства, вентилация, защитни покрития, знаци за безопасност и сигнализация, лични предпазни средства. </w:t>
      </w:r>
    </w:p>
    <w:p w14:paraId="60C0CC92" w14:textId="77777777" w:rsidR="007E5122" w:rsidRPr="009F6D1E" w:rsidRDefault="007E5122" w:rsidP="0084747F">
      <w:pPr>
        <w:autoSpaceDE w:val="0"/>
        <w:autoSpaceDN w:val="0"/>
        <w:adjustRightInd w:val="0"/>
        <w:spacing w:after="60" w:line="264" w:lineRule="auto"/>
        <w:rPr>
          <w:rFonts w:cs="Times New Roman"/>
          <w:b/>
          <w:bCs/>
          <w:color w:val="auto"/>
          <w:szCs w:val="24"/>
        </w:rPr>
      </w:pPr>
    </w:p>
    <w:p w14:paraId="5F74EA48"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 xml:space="preserve">Рискови фактори по отношение </w:t>
      </w:r>
      <w:proofErr w:type="spellStart"/>
      <w:r w:rsidRPr="009F6D1E">
        <w:rPr>
          <w:b/>
          <w:bCs/>
          <w:color w:val="auto"/>
          <w:lang w:val="bg-BG"/>
        </w:rPr>
        <w:t>нейонизиращи</w:t>
      </w:r>
      <w:proofErr w:type="spellEnd"/>
      <w:r w:rsidRPr="009F6D1E">
        <w:rPr>
          <w:b/>
          <w:bCs/>
          <w:color w:val="auto"/>
          <w:lang w:val="bg-BG"/>
        </w:rPr>
        <w:t xml:space="preserve"> лъчения</w:t>
      </w:r>
    </w:p>
    <w:p w14:paraId="234CC5EB"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Това са електрически, магнитни или електромагнитни лъчения с възможно неблагоприятно въздействие върху здравето. Те предизвикват болести на органите на кръвообращението (хипертония), увреждане на очите и на централната и вегетативна нервна система. Защитата от </w:t>
      </w:r>
      <w:proofErr w:type="spellStart"/>
      <w:r w:rsidRPr="009F6D1E">
        <w:rPr>
          <w:rFonts w:cs="Times New Roman"/>
          <w:color w:val="auto"/>
          <w:szCs w:val="24"/>
        </w:rPr>
        <w:t>нейонизиращи</w:t>
      </w:r>
      <w:proofErr w:type="spellEnd"/>
      <w:r w:rsidRPr="009F6D1E">
        <w:rPr>
          <w:rFonts w:cs="Times New Roman"/>
          <w:color w:val="auto"/>
          <w:szCs w:val="24"/>
        </w:rPr>
        <w:t xml:space="preserve"> лъчения се осъществява чрез заземяване и електростатични полета. </w:t>
      </w:r>
    </w:p>
    <w:p w14:paraId="53518237" w14:textId="77777777" w:rsidR="007E5122" w:rsidRPr="009F6D1E" w:rsidRDefault="007E5122" w:rsidP="0084747F">
      <w:pPr>
        <w:autoSpaceDE w:val="0"/>
        <w:autoSpaceDN w:val="0"/>
        <w:adjustRightInd w:val="0"/>
        <w:spacing w:after="60" w:line="264" w:lineRule="auto"/>
        <w:jc w:val="both"/>
        <w:rPr>
          <w:rFonts w:cs="Times New Roman"/>
          <w:color w:val="auto"/>
          <w:szCs w:val="24"/>
        </w:rPr>
      </w:pPr>
    </w:p>
    <w:p w14:paraId="78FD5A82" w14:textId="77777777" w:rsidR="007E5122" w:rsidRPr="009F6D1E" w:rsidRDefault="007E5122" w:rsidP="0084747F">
      <w:pPr>
        <w:spacing w:after="60" w:line="264" w:lineRule="auto"/>
        <w:ind w:firstLine="708"/>
        <w:jc w:val="both"/>
        <w:rPr>
          <w:rFonts w:cs="Times New Roman"/>
          <w:color w:val="auto"/>
          <w:szCs w:val="24"/>
        </w:rPr>
      </w:pPr>
      <w:r w:rsidRPr="009F6D1E">
        <w:rPr>
          <w:rFonts w:cs="Times New Roman"/>
          <w:color w:val="auto"/>
          <w:szCs w:val="24"/>
        </w:rPr>
        <w:t xml:space="preserve">Информация относно съществуващото състояние по отношение вредните физични фактори е дадена </w:t>
      </w:r>
      <w:r w:rsidR="00CD6D4E" w:rsidRPr="009F6D1E">
        <w:rPr>
          <w:rFonts w:cs="Times New Roman"/>
          <w:color w:val="auto"/>
          <w:szCs w:val="24"/>
        </w:rPr>
        <w:t>по-горе в настоящата точка.</w:t>
      </w:r>
    </w:p>
    <w:p w14:paraId="2A8627F6" w14:textId="77777777" w:rsidR="007E5122" w:rsidRPr="009F6D1E" w:rsidRDefault="007E5122" w:rsidP="0084747F">
      <w:pPr>
        <w:spacing w:after="60" w:line="264" w:lineRule="auto"/>
        <w:jc w:val="both"/>
        <w:rPr>
          <w:rFonts w:cs="Times New Roman"/>
          <w:color w:val="auto"/>
          <w:szCs w:val="24"/>
        </w:rPr>
      </w:pPr>
    </w:p>
    <w:p w14:paraId="61BBFBF6" w14:textId="77777777" w:rsidR="007E5122" w:rsidRPr="009F6D1E" w:rsidRDefault="007E5122" w:rsidP="007C3C44">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фактори по отношение на температурата на въздуха</w:t>
      </w:r>
    </w:p>
    <w:p w14:paraId="03BE03E2"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При прегряващи условия на работа (металургия, рудодобив, апретурно производство, стъкларска промишленост, производство на захар и др.) може да се стигне до различни смущения и изменения в организма като промяна в: температурата на кожата и тялото; водно - </w:t>
      </w:r>
      <w:proofErr w:type="spellStart"/>
      <w:r w:rsidRPr="009F6D1E">
        <w:rPr>
          <w:rFonts w:cs="Times New Roman"/>
          <w:color w:val="auto"/>
          <w:szCs w:val="24"/>
        </w:rPr>
        <w:t>солевия</w:t>
      </w:r>
      <w:proofErr w:type="spellEnd"/>
      <w:r w:rsidRPr="009F6D1E">
        <w:rPr>
          <w:rFonts w:cs="Times New Roman"/>
          <w:color w:val="auto"/>
          <w:szCs w:val="24"/>
        </w:rPr>
        <w:t xml:space="preserve"> баланс на организма; сърдечно - съдовата; храносмилателната, отделителната; и централната нервни системи. При крайно неблагоприятни условия може да се получи </w:t>
      </w:r>
      <w:r w:rsidRPr="009F6D1E">
        <w:rPr>
          <w:rFonts w:cs="Times New Roman"/>
          <w:color w:val="auto"/>
          <w:szCs w:val="24"/>
        </w:rPr>
        <w:lastRenderedPageBreak/>
        <w:t xml:space="preserve">топлинен удар. При ниски температури и в охлаждащи условия работят в горското и селско стопанство, строителството, транспорт, консервна промишленост и др. Неприятното </w:t>
      </w:r>
      <w:proofErr w:type="spellStart"/>
      <w:r w:rsidRPr="009F6D1E">
        <w:rPr>
          <w:rFonts w:cs="Times New Roman"/>
          <w:color w:val="auto"/>
          <w:szCs w:val="24"/>
        </w:rPr>
        <w:t>студово</w:t>
      </w:r>
      <w:proofErr w:type="spellEnd"/>
      <w:r w:rsidRPr="009F6D1E">
        <w:rPr>
          <w:rFonts w:cs="Times New Roman"/>
          <w:color w:val="auto"/>
          <w:szCs w:val="24"/>
        </w:rPr>
        <w:t xml:space="preserve"> натоварване довежда до смущения в кръвообращението, измръзване на крайниците, трайни нарушения и увреждане на вътрешните органи, забавяне на реакцията и координацията на движенията. </w:t>
      </w:r>
    </w:p>
    <w:p w14:paraId="2BA79DB7" w14:textId="77777777" w:rsidR="007E5122" w:rsidRPr="009F6D1E" w:rsidRDefault="007E5122" w:rsidP="0084747F">
      <w:pPr>
        <w:spacing w:after="60" w:line="264" w:lineRule="auto"/>
        <w:jc w:val="both"/>
        <w:rPr>
          <w:rFonts w:cs="Times New Roman"/>
          <w:color w:val="auto"/>
          <w:szCs w:val="24"/>
        </w:rPr>
      </w:pPr>
      <w:r w:rsidRPr="009F6D1E">
        <w:rPr>
          <w:rFonts w:cs="Times New Roman"/>
          <w:color w:val="auto"/>
          <w:szCs w:val="24"/>
        </w:rPr>
        <w:t xml:space="preserve"> </w:t>
      </w:r>
    </w:p>
    <w:p w14:paraId="585A3A30"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биологични фактори</w:t>
      </w:r>
    </w:p>
    <w:p w14:paraId="187732EF"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"Биологични агенти" са микроорганизми, включително онези, които са генетично модифицирани, клетъчни култури и човешки </w:t>
      </w:r>
      <w:proofErr w:type="spellStart"/>
      <w:r w:rsidRPr="009F6D1E">
        <w:rPr>
          <w:rFonts w:cs="Times New Roman"/>
          <w:color w:val="auto"/>
          <w:szCs w:val="24"/>
        </w:rPr>
        <w:t>ендопаразити</w:t>
      </w:r>
      <w:proofErr w:type="spellEnd"/>
      <w:r w:rsidRPr="009F6D1E">
        <w:rPr>
          <w:rFonts w:cs="Times New Roman"/>
          <w:color w:val="auto"/>
          <w:szCs w:val="24"/>
        </w:rPr>
        <w:t xml:space="preserve">, които могат да провокират инфекция, алергия или токсичност. Застрашени са работещите в предприятия за производство на храни, селско стопанство, работа с животни и/или продукти от животински произход, здравни и лечебни заведения, ветеринарномедицински и диагностични лаборатории, третиране на отпадъци, пречиствателни станции за отпадъчни води. Част от защитните мерки са организационни и технически, за да се избегне или сведе до минимум контаминирането на работното място с биологични агенти, както и осигуряване на колективни средства за защита и/или лични предпазни средства. Биологичните фактори повишиха своето значение във връзка с развилата се пандемия от Коронавирус. В тази връзка трябва да се отбележи, че биологичните фактори съпътстват хората постоянно и биха могли да окажат негативно влияние във всеки един момент и на всяко място – в околната или в работната среда. Допълнителна опасност представляват „новите биологични фактори”, т.е. нови микроорганизми (най-често вируси или техни мутации), за които няма или не е достатъчна информацията, не могат да се предвидят въздействията и мерките за превенция.  </w:t>
      </w:r>
    </w:p>
    <w:p w14:paraId="2FE9B917" w14:textId="5DCF12DB"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Реализирането на </w:t>
      </w:r>
      <w:r w:rsidR="008961A4" w:rsidRPr="008961A4">
        <w:rPr>
          <w:rFonts w:cs="Times New Roman"/>
          <w:color w:val="auto"/>
          <w:szCs w:val="24"/>
        </w:rPr>
        <w:t>СПРЗСР</w:t>
      </w:r>
      <w:r w:rsidR="008961A4" w:rsidRPr="009F6D1E">
        <w:rPr>
          <w:rFonts w:cs="Times New Roman"/>
          <w:color w:val="auto"/>
          <w:szCs w:val="24"/>
        </w:rPr>
        <w:t xml:space="preserve"> </w:t>
      </w:r>
      <w:r w:rsidRPr="009F6D1E">
        <w:rPr>
          <w:rFonts w:cs="Times New Roman"/>
          <w:color w:val="auto"/>
          <w:szCs w:val="24"/>
        </w:rPr>
        <w:t xml:space="preserve">не е свързано с генериране на биологични агенти. Ето защо и тези фактори не са разгледани подробно. </w:t>
      </w:r>
    </w:p>
    <w:p w14:paraId="346E7F06" w14:textId="77777777" w:rsidR="007E5122" w:rsidRPr="009F6D1E" w:rsidRDefault="007E5122" w:rsidP="0084747F">
      <w:pPr>
        <w:autoSpaceDE w:val="0"/>
        <w:autoSpaceDN w:val="0"/>
        <w:adjustRightInd w:val="0"/>
        <w:spacing w:after="60" w:line="264" w:lineRule="auto"/>
        <w:jc w:val="both"/>
        <w:rPr>
          <w:rFonts w:cs="Times New Roman"/>
          <w:color w:val="auto"/>
          <w:szCs w:val="24"/>
        </w:rPr>
      </w:pPr>
    </w:p>
    <w:p w14:paraId="0E0BD097"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фактори свързани с градската среда</w:t>
      </w:r>
    </w:p>
    <w:p w14:paraId="764DE84D"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Над 50% от хората в света живеят в градове и начинът им на живот предопределя изявата на различни заболявания, скъсяващи жизнената им перспектива. Налице са доказателства за така наречените Асоциирани с града заболявания (</w:t>
      </w:r>
      <w:proofErr w:type="spellStart"/>
      <w:r w:rsidRPr="009F6D1E">
        <w:rPr>
          <w:rFonts w:cs="Times New Roman"/>
          <w:color w:val="auto"/>
          <w:szCs w:val="24"/>
        </w:rPr>
        <w:t>Urban</w:t>
      </w:r>
      <w:proofErr w:type="spellEnd"/>
      <w:r w:rsidRPr="009F6D1E">
        <w:rPr>
          <w:rFonts w:cs="Times New Roman"/>
          <w:color w:val="auto"/>
          <w:szCs w:val="24"/>
        </w:rPr>
        <w:t xml:space="preserve"> Associated </w:t>
      </w:r>
      <w:proofErr w:type="spellStart"/>
      <w:r w:rsidRPr="009F6D1E">
        <w:rPr>
          <w:rFonts w:cs="Times New Roman"/>
          <w:color w:val="auto"/>
          <w:szCs w:val="24"/>
        </w:rPr>
        <w:t>Diseases</w:t>
      </w:r>
      <w:proofErr w:type="spellEnd"/>
      <w:r w:rsidRPr="009F6D1E">
        <w:rPr>
          <w:rFonts w:cs="Times New Roman"/>
          <w:color w:val="auto"/>
          <w:szCs w:val="24"/>
        </w:rPr>
        <w:t xml:space="preserve">), в които са включени почти всички социално значими болести: алергии и астма, автоимунни и възпалителни </w:t>
      </w:r>
      <w:proofErr w:type="spellStart"/>
      <w:r w:rsidRPr="009F6D1E">
        <w:rPr>
          <w:rFonts w:cs="Times New Roman"/>
          <w:color w:val="auto"/>
          <w:szCs w:val="24"/>
        </w:rPr>
        <w:t>зболявания</w:t>
      </w:r>
      <w:proofErr w:type="spellEnd"/>
      <w:r w:rsidRPr="009F6D1E">
        <w:rPr>
          <w:rFonts w:cs="Times New Roman"/>
          <w:color w:val="auto"/>
          <w:szCs w:val="24"/>
        </w:rPr>
        <w:t xml:space="preserve">, затлъстяване и диабет, сърдечно-съдови заболявания, рак, хронична </w:t>
      </w:r>
      <w:proofErr w:type="spellStart"/>
      <w:r w:rsidRPr="009F6D1E">
        <w:rPr>
          <w:rFonts w:cs="Times New Roman"/>
          <w:color w:val="auto"/>
          <w:szCs w:val="24"/>
        </w:rPr>
        <w:t>обструктивна</w:t>
      </w:r>
      <w:proofErr w:type="spellEnd"/>
      <w:r w:rsidRPr="009F6D1E">
        <w:rPr>
          <w:rFonts w:cs="Times New Roman"/>
          <w:color w:val="auto"/>
          <w:szCs w:val="24"/>
        </w:rPr>
        <w:t xml:space="preserve"> белодробна болест, инфекциозни заболявания и психични разстройства. </w:t>
      </w:r>
    </w:p>
    <w:p w14:paraId="25D5BBB3" w14:textId="77777777" w:rsidR="007E5122" w:rsidRPr="009F6D1E" w:rsidRDefault="007E5122" w:rsidP="0084747F">
      <w:pPr>
        <w:autoSpaceDE w:val="0"/>
        <w:autoSpaceDN w:val="0"/>
        <w:adjustRightInd w:val="0"/>
        <w:spacing w:after="60" w:line="264" w:lineRule="auto"/>
        <w:jc w:val="both"/>
        <w:rPr>
          <w:rFonts w:cs="Times New Roman"/>
          <w:color w:val="auto"/>
          <w:szCs w:val="24"/>
        </w:rPr>
      </w:pPr>
      <w:r w:rsidRPr="009F6D1E">
        <w:rPr>
          <w:rFonts w:cs="Times New Roman"/>
          <w:color w:val="auto"/>
          <w:szCs w:val="24"/>
        </w:rPr>
        <w:t xml:space="preserve">Много от рисковите фактори, дължащи се на градския начин на живот не са преки. Те, обаче, повлияват неблагоприятно генетично предразположените индивиди към развитие на определено състояние. Заседналият начин на живот, замърсяването на въздуха с фини прахови частици, промененият </w:t>
      </w:r>
      <w:proofErr w:type="spellStart"/>
      <w:r w:rsidRPr="009F6D1E">
        <w:rPr>
          <w:rFonts w:cs="Times New Roman"/>
          <w:color w:val="auto"/>
          <w:szCs w:val="24"/>
        </w:rPr>
        <w:t>микробиом</w:t>
      </w:r>
      <w:proofErr w:type="spellEnd"/>
      <w:r w:rsidRPr="009F6D1E">
        <w:rPr>
          <w:rFonts w:cs="Times New Roman"/>
          <w:color w:val="auto"/>
          <w:szCs w:val="24"/>
        </w:rPr>
        <w:t xml:space="preserve">, недостигът на витамин D, шумовото и светлинно замърсяване, неприятната заобикаляща среда, струпването на много хора – това са само някои от факторите в градската среда. </w:t>
      </w:r>
    </w:p>
    <w:p w14:paraId="138E80E5"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В заключение и предвид предимно антропогенния характер на по-голямата част от атмосферните замърсители (производство на топлинна и електроенергия, неефективни </w:t>
      </w:r>
      <w:r w:rsidRPr="009F6D1E">
        <w:rPr>
          <w:rFonts w:cs="Times New Roman"/>
          <w:color w:val="auto"/>
          <w:szCs w:val="24"/>
        </w:rPr>
        <w:lastRenderedPageBreak/>
        <w:t>транспортни системи, лоши градоустройствени решения, пренаселеност в съчетание със специфичен релеф) като приоритетни за общественото здраве могат да бъдат определени персистиращите високи нива на фините прахови частици, следвани от някои газообразни замърсители с предимно локално значение (серен диоксид, сероводород, летливи органични съединения).</w:t>
      </w:r>
    </w:p>
    <w:p w14:paraId="5CF393E0"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Отчитайки значително по-високия процент от населението на страната 5 043 186 души, или 72.9%, което живее в градовете, а 1 873 362 души, или 27.1% - в селата, то рисковите фактори, свързани с градската среда са от съществено значение по отношение здравния статус на населението. </w:t>
      </w:r>
    </w:p>
    <w:p w14:paraId="077CEB8B" w14:textId="77777777" w:rsidR="007E5122" w:rsidRPr="009F6D1E" w:rsidRDefault="007E5122" w:rsidP="0084747F">
      <w:pPr>
        <w:autoSpaceDE w:val="0"/>
        <w:autoSpaceDN w:val="0"/>
        <w:adjustRightInd w:val="0"/>
        <w:spacing w:after="60" w:line="264" w:lineRule="auto"/>
        <w:jc w:val="both"/>
        <w:rPr>
          <w:rFonts w:cs="Times New Roman"/>
          <w:color w:val="auto"/>
          <w:szCs w:val="24"/>
        </w:rPr>
      </w:pPr>
    </w:p>
    <w:p w14:paraId="5E64EDF0" w14:textId="77777777" w:rsidR="007E5122" w:rsidRPr="009F6D1E" w:rsidRDefault="007E5122" w:rsidP="00CA7BDC">
      <w:pPr>
        <w:pStyle w:val="ListParagraph"/>
        <w:numPr>
          <w:ilvl w:val="0"/>
          <w:numId w:val="25"/>
        </w:numPr>
        <w:spacing w:after="60" w:line="264" w:lineRule="auto"/>
        <w:ind w:left="851"/>
        <w:jc w:val="both"/>
        <w:rPr>
          <w:b/>
          <w:bCs/>
          <w:color w:val="auto"/>
          <w:lang w:val="bg-BG"/>
        </w:rPr>
      </w:pPr>
      <w:r w:rsidRPr="009F6D1E">
        <w:rPr>
          <w:b/>
          <w:bCs/>
          <w:color w:val="auto"/>
          <w:lang w:val="bg-BG"/>
        </w:rPr>
        <w:t>Рискови фактори свързани с отпадъците</w:t>
      </w:r>
    </w:p>
    <w:p w14:paraId="6109041A" w14:textId="77777777" w:rsidR="007E5122" w:rsidRPr="009F6D1E" w:rsidRDefault="007E5122" w:rsidP="0084747F">
      <w:pPr>
        <w:autoSpaceDE w:val="0"/>
        <w:autoSpaceDN w:val="0"/>
        <w:adjustRightInd w:val="0"/>
        <w:spacing w:after="60" w:line="264" w:lineRule="auto"/>
        <w:ind w:firstLine="708"/>
        <w:jc w:val="both"/>
        <w:rPr>
          <w:rFonts w:cs="Times New Roman"/>
          <w:color w:val="auto"/>
          <w:szCs w:val="24"/>
        </w:rPr>
      </w:pPr>
      <w:r w:rsidRPr="009F6D1E">
        <w:rPr>
          <w:rFonts w:cs="Times New Roman"/>
          <w:color w:val="auto"/>
          <w:szCs w:val="24"/>
        </w:rPr>
        <w:t xml:space="preserve">Образуваните на територията на страната отпадъци са дадени в т. </w:t>
      </w:r>
      <w:r w:rsidR="00CA7BDC" w:rsidRPr="009F6D1E">
        <w:rPr>
          <w:rFonts w:cs="Times New Roman"/>
          <w:color w:val="auto"/>
          <w:szCs w:val="24"/>
        </w:rPr>
        <w:t xml:space="preserve">4.1.6. </w:t>
      </w:r>
      <w:r w:rsidRPr="009F6D1E">
        <w:rPr>
          <w:rFonts w:cs="Times New Roman"/>
          <w:color w:val="auto"/>
          <w:szCs w:val="24"/>
        </w:rPr>
        <w:t xml:space="preserve"> Макар че същите нямат пряко отношение към живота и здравето на населението, то те са със съществено индиректно влияние, поради това, че неправилното третиране на същите може да доведе до индиректно замърсяване на компонентите на околната среда, в т. ч. въздух, води и почви, като по този начин окаже дори и значително въздействие върху здравето на хората. Не на последно място нерегламентираното изхвърляне на отпадъците и неправилното им третиране води до увреждане на флората и фауната и нарушаване на баланса в околната среда, което също така може да има своите индиректни последици върху живота и здравето на хората.</w:t>
      </w:r>
    </w:p>
    <w:p w14:paraId="31EF3336" w14:textId="77777777" w:rsidR="00E56BA8" w:rsidRPr="009F6D1E" w:rsidRDefault="00E56BA8" w:rsidP="0084747F">
      <w:pPr>
        <w:spacing w:after="60" w:line="264" w:lineRule="auto"/>
        <w:contextualSpacing/>
        <w:jc w:val="both"/>
        <w:rPr>
          <w:rFonts w:eastAsia="Calibri" w:cs="Times New Roman"/>
          <w:b/>
          <w:bCs/>
          <w:i/>
          <w:iCs/>
          <w:szCs w:val="24"/>
        </w:rPr>
      </w:pPr>
    </w:p>
    <w:p w14:paraId="408C6952" w14:textId="77777777" w:rsidR="00471E9F" w:rsidRPr="009F6D1E" w:rsidRDefault="008E71F4" w:rsidP="00D02E9D">
      <w:pPr>
        <w:pStyle w:val="Heading3"/>
        <w:numPr>
          <w:ilvl w:val="2"/>
          <w:numId w:val="26"/>
        </w:numPr>
        <w:shd w:val="clear" w:color="auto" w:fill="E2EFD9" w:themeFill="accent6" w:themeFillTint="33"/>
        <w:tabs>
          <w:tab w:val="clear" w:pos="1701"/>
        </w:tabs>
        <w:spacing w:before="0" w:after="60" w:line="264" w:lineRule="auto"/>
        <w:ind w:left="1146"/>
        <w:rPr>
          <w:smallCaps w:val="0"/>
          <w:lang w:bidi="ar-SA"/>
        </w:rPr>
      </w:pPr>
      <w:r w:rsidRPr="009F6D1E">
        <w:rPr>
          <w:smallCaps w:val="0"/>
          <w:lang w:bidi="ar-SA"/>
        </w:rPr>
        <w:t xml:space="preserve"> </w:t>
      </w:r>
      <w:bookmarkStart w:id="482" w:name="_Toc115255006"/>
      <w:r w:rsidR="00471E9F" w:rsidRPr="009F6D1E">
        <w:rPr>
          <w:smallCaps w:val="0"/>
          <w:lang w:bidi="ar-SA"/>
        </w:rPr>
        <w:t>Социални аспекти</w:t>
      </w:r>
      <w:bookmarkEnd w:id="482"/>
    </w:p>
    <w:p w14:paraId="65B14C4C" w14:textId="77777777" w:rsidR="00AA1E51" w:rsidRPr="009F6D1E" w:rsidRDefault="00AA1E51" w:rsidP="0084747F">
      <w:pPr>
        <w:spacing w:after="60" w:line="264" w:lineRule="auto"/>
        <w:contextualSpacing/>
        <w:jc w:val="both"/>
        <w:rPr>
          <w:rFonts w:eastAsia="Calibri" w:cs="Times New Roman"/>
          <w:b/>
          <w:bCs/>
          <w:i/>
          <w:iCs/>
          <w:szCs w:val="24"/>
        </w:rPr>
      </w:pPr>
    </w:p>
    <w:p w14:paraId="5DC8F3D2" w14:textId="77777777" w:rsidR="00A8379B" w:rsidRPr="009F6D1E" w:rsidRDefault="00B35923" w:rsidP="0084747F">
      <w:pPr>
        <w:spacing w:after="60" w:line="264" w:lineRule="auto"/>
        <w:ind w:firstLine="708"/>
        <w:contextualSpacing/>
        <w:jc w:val="both"/>
        <w:rPr>
          <w:rFonts w:cs="Times New Roman"/>
          <w:szCs w:val="24"/>
        </w:rPr>
      </w:pPr>
      <w:r w:rsidRPr="009F6D1E">
        <w:rPr>
          <w:rFonts w:cs="Times New Roman"/>
          <w:szCs w:val="24"/>
        </w:rPr>
        <w:t>О</w:t>
      </w:r>
      <w:r w:rsidR="00A8379B" w:rsidRPr="009F6D1E">
        <w:rPr>
          <w:rFonts w:cs="Times New Roman"/>
          <w:szCs w:val="24"/>
        </w:rPr>
        <w:t xml:space="preserve">пределянето на социалните аспекти </w:t>
      </w:r>
      <w:r w:rsidRPr="009F6D1E">
        <w:rPr>
          <w:rFonts w:cs="Times New Roman"/>
          <w:szCs w:val="24"/>
        </w:rPr>
        <w:t>е подробно описано в</w:t>
      </w:r>
      <w:r w:rsidR="00A8379B" w:rsidRPr="009F6D1E">
        <w:rPr>
          <w:rFonts w:cs="Times New Roman"/>
          <w:szCs w:val="24"/>
        </w:rPr>
        <w:t xml:space="preserve"> изготвения </w:t>
      </w:r>
      <w:bookmarkStart w:id="483" w:name="_Hlk98762815"/>
      <w:r w:rsidR="00A8379B" w:rsidRPr="009F6D1E">
        <w:rPr>
          <w:rFonts w:cs="Times New Roman"/>
          <w:i/>
          <w:iCs/>
          <w:szCs w:val="24"/>
        </w:rPr>
        <w:t>Доклад за Социално-икономическия анализ на селските райони</w:t>
      </w:r>
      <w:bookmarkEnd w:id="483"/>
      <w:r w:rsidR="00A8379B" w:rsidRPr="009F6D1E">
        <w:rPr>
          <w:rFonts w:cs="Times New Roman"/>
          <w:szCs w:val="24"/>
        </w:rPr>
        <w:t xml:space="preserve">, съгласно споразумение РД 50-33 от 01.08.2019г. сключено между МЗХГ, МОН и УНСС. Направеният анализ на социално-икономическото развитие на селските райони в Доклада, е компонент от подготовката на Стратегически план за земеделие и развитие на селските </w:t>
      </w:r>
      <w:proofErr w:type="spellStart"/>
      <w:r w:rsidR="00A8379B" w:rsidRPr="009F6D1E">
        <w:rPr>
          <w:rFonts w:cs="Times New Roman"/>
          <w:szCs w:val="24"/>
        </w:rPr>
        <w:t>районии</w:t>
      </w:r>
      <w:proofErr w:type="spellEnd"/>
      <w:r w:rsidR="00A8379B" w:rsidRPr="009F6D1E">
        <w:rPr>
          <w:rFonts w:cs="Times New Roman"/>
          <w:szCs w:val="24"/>
        </w:rPr>
        <w:t xml:space="preserve"> за програмен период 2021-2027 г. Целта е да подпомогне определянето на основните проблеми, потребности и възможности за развитие на селските райони, за да се насочи финансирането към тях. Проучването на икономическите дейности в селските райони има за цел да покаже степента на диверсификация на структурата на икономиката.</w:t>
      </w:r>
    </w:p>
    <w:p w14:paraId="013EB4EE" w14:textId="085EF452" w:rsidR="00B35923" w:rsidRPr="009F6D1E" w:rsidRDefault="00B35923" w:rsidP="0084747F">
      <w:pPr>
        <w:spacing w:after="60" w:line="264" w:lineRule="auto"/>
        <w:ind w:firstLine="708"/>
        <w:contextualSpacing/>
        <w:jc w:val="both"/>
        <w:rPr>
          <w:rFonts w:cs="Times New Roman"/>
          <w:szCs w:val="24"/>
        </w:rPr>
      </w:pPr>
      <w:r w:rsidRPr="009F6D1E">
        <w:rPr>
          <w:rFonts w:cs="Times New Roman"/>
          <w:szCs w:val="24"/>
        </w:rPr>
        <w:t xml:space="preserve">Доклад за Социално-икономическия анализ на селските райони е представен в </w:t>
      </w:r>
      <w:r w:rsidRPr="007C3C44">
        <w:rPr>
          <w:rFonts w:cs="Times New Roman"/>
          <w:szCs w:val="24"/>
          <w:highlight w:val="cyan"/>
        </w:rPr>
        <w:t>Приложение №</w:t>
      </w:r>
      <w:r w:rsidR="007C3C44" w:rsidRPr="007C3C44">
        <w:rPr>
          <w:rFonts w:cs="Times New Roman"/>
          <w:szCs w:val="24"/>
          <w:highlight w:val="cyan"/>
        </w:rPr>
        <w:t xml:space="preserve"> 2</w:t>
      </w:r>
      <w:r w:rsidRPr="009F6D1E">
        <w:rPr>
          <w:rFonts w:cs="Times New Roman"/>
          <w:szCs w:val="24"/>
        </w:rPr>
        <w:t xml:space="preserve"> на настоящия ДЕО.</w:t>
      </w:r>
    </w:p>
    <w:p w14:paraId="5DAFC8AE" w14:textId="77777777" w:rsidR="00A8379B" w:rsidRPr="009F6D1E" w:rsidRDefault="00A8379B" w:rsidP="0084747F">
      <w:pPr>
        <w:spacing w:after="60" w:line="264" w:lineRule="auto"/>
        <w:contextualSpacing/>
        <w:jc w:val="both"/>
        <w:rPr>
          <w:rFonts w:eastAsia="Calibri" w:cs="Times New Roman"/>
          <w:b/>
          <w:bCs/>
          <w:i/>
          <w:iCs/>
          <w:szCs w:val="24"/>
          <w:highlight w:val="yellow"/>
        </w:rPr>
      </w:pPr>
    </w:p>
    <w:p w14:paraId="3BB29A39"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484" w:name="_Toc115255007"/>
      <w:r w:rsidRPr="009F6D1E">
        <w:rPr>
          <w:rFonts w:eastAsia="Times New Roman"/>
          <w:b/>
          <w:i/>
          <w:lang w:val="bg-BG"/>
        </w:rPr>
        <w:t xml:space="preserve">Евентуално развитие на околната среда без прилагането на </w:t>
      </w:r>
      <w:r w:rsidR="00CD4045" w:rsidRPr="009F6D1E">
        <w:rPr>
          <w:rFonts w:eastAsia="Times New Roman"/>
          <w:b/>
          <w:i/>
          <w:lang w:val="bg-BG"/>
        </w:rPr>
        <w:t>СПРЗСР</w:t>
      </w:r>
      <w:bookmarkEnd w:id="484"/>
    </w:p>
    <w:p w14:paraId="4DD347EF" w14:textId="77777777" w:rsidR="00AA1E51" w:rsidRPr="009F6D1E" w:rsidRDefault="00AA1E51" w:rsidP="0084747F">
      <w:pPr>
        <w:spacing w:after="60" w:line="264" w:lineRule="auto"/>
        <w:contextualSpacing/>
        <w:jc w:val="both"/>
        <w:rPr>
          <w:rFonts w:eastAsia="Calibri" w:cs="Times New Roman"/>
          <w:b/>
          <w:bCs/>
          <w:i/>
          <w:iCs/>
          <w:szCs w:val="24"/>
        </w:rPr>
      </w:pPr>
    </w:p>
    <w:p w14:paraId="3D7B83C0" w14:textId="77777777" w:rsidR="00AA1E51" w:rsidRPr="009F6D1E" w:rsidRDefault="00AA1E51" w:rsidP="0084747F">
      <w:pPr>
        <w:spacing w:after="60" w:line="264" w:lineRule="auto"/>
        <w:ind w:firstLine="709"/>
        <w:contextualSpacing/>
        <w:jc w:val="both"/>
        <w:rPr>
          <w:rFonts w:cs="Times New Roman"/>
          <w:szCs w:val="24"/>
        </w:rPr>
      </w:pPr>
      <w:r w:rsidRPr="009F6D1E">
        <w:rPr>
          <w:rFonts w:cs="Times New Roman"/>
          <w:szCs w:val="24"/>
        </w:rPr>
        <w:t>Въз основа на анализа на данните от характеристиката на околната среда в предходната т</w:t>
      </w:r>
      <w:r w:rsidR="00CD6D4E" w:rsidRPr="009F6D1E">
        <w:rPr>
          <w:rFonts w:cs="Times New Roman"/>
          <w:szCs w:val="24"/>
        </w:rPr>
        <w:t>очка от настоящия ДЕО</w:t>
      </w:r>
      <w:r w:rsidRPr="009F6D1E">
        <w:rPr>
          <w:rFonts w:cs="Times New Roman"/>
          <w:szCs w:val="24"/>
        </w:rPr>
        <w:t xml:space="preserve">, в следващата таблица е оценено развитието на аспектите на околната среда без прилагането на </w:t>
      </w:r>
      <w:r w:rsidR="00CD4045" w:rsidRPr="009F6D1E">
        <w:rPr>
          <w:rFonts w:cs="Times New Roman"/>
          <w:szCs w:val="24"/>
        </w:rPr>
        <w:t>СПРЗСР</w:t>
      </w:r>
      <w:r w:rsidRPr="009F6D1E">
        <w:rPr>
          <w:rFonts w:cs="Times New Roman"/>
          <w:szCs w:val="24"/>
        </w:rPr>
        <w:t xml:space="preserve"> по компоненти и фактори на околната среда, вкл. човешкото </w:t>
      </w:r>
      <w:r w:rsidRPr="009F6D1E">
        <w:rPr>
          <w:rFonts w:cs="Times New Roman"/>
          <w:szCs w:val="24"/>
        </w:rPr>
        <w:lastRenderedPageBreak/>
        <w:t xml:space="preserve">здраве. По този начин е оценено въздействието и на „нулевата алтернатива“, т.е. отказ от реализиране на </w:t>
      </w:r>
      <w:r w:rsidR="00CD4045" w:rsidRPr="009F6D1E">
        <w:rPr>
          <w:rFonts w:cs="Times New Roman"/>
          <w:szCs w:val="24"/>
        </w:rPr>
        <w:t>СПРЗСР</w:t>
      </w:r>
      <w:r w:rsidRPr="009F6D1E">
        <w:rPr>
          <w:rFonts w:cs="Times New Roman"/>
          <w:szCs w:val="24"/>
        </w:rPr>
        <w:t>.</w:t>
      </w:r>
    </w:p>
    <w:p w14:paraId="467A341E" w14:textId="09724147" w:rsidR="00AA1E51" w:rsidRPr="009F6D1E" w:rsidRDefault="00874C81" w:rsidP="0084747F">
      <w:pPr>
        <w:pStyle w:val="Caption"/>
        <w:spacing w:after="60" w:line="264" w:lineRule="auto"/>
        <w:rPr>
          <w:i w:val="0"/>
        </w:rPr>
      </w:pPr>
      <w:bookmarkStart w:id="485" w:name="_Toc115255184"/>
      <w:r w:rsidRPr="009F6D1E">
        <w:t xml:space="preserve">Таблица </w:t>
      </w:r>
      <w:fldSimple w:instr=" SEQ Таблица \* ARABIC ">
        <w:r w:rsidR="00A43EF3">
          <w:rPr>
            <w:noProof/>
          </w:rPr>
          <w:t>33</w:t>
        </w:r>
      </w:fldSimple>
      <w:r w:rsidRPr="009F6D1E">
        <w:t xml:space="preserve">: </w:t>
      </w:r>
      <w:r w:rsidR="00AA1E51" w:rsidRPr="009F6D1E">
        <w:t xml:space="preserve">Евентуално развитие на околната среда без прилагането на </w:t>
      </w:r>
      <w:r w:rsidR="00CD4045" w:rsidRPr="009F6D1E">
        <w:t>СПРЗСР</w:t>
      </w:r>
      <w:bookmarkEnd w:id="48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12"/>
      </w:tblGrid>
      <w:tr w:rsidR="00074ACE" w:rsidRPr="009F6D1E" w14:paraId="56D4EDDB" w14:textId="77777777" w:rsidTr="00AB2292">
        <w:trPr>
          <w:tblHeader/>
        </w:trPr>
        <w:tc>
          <w:tcPr>
            <w:tcW w:w="2122" w:type="dxa"/>
            <w:shd w:val="clear" w:color="auto" w:fill="D9D9D9" w:themeFill="background1" w:themeFillShade="D9"/>
            <w:vAlign w:val="center"/>
          </w:tcPr>
          <w:p w14:paraId="592E34CB" w14:textId="77777777" w:rsidR="00074ACE" w:rsidRPr="009F6D1E" w:rsidRDefault="00074ACE" w:rsidP="0084747F">
            <w:pPr>
              <w:spacing w:after="60" w:line="264" w:lineRule="auto"/>
              <w:contextualSpacing/>
              <w:jc w:val="center"/>
              <w:rPr>
                <w:rFonts w:cs="Times New Roman"/>
                <w:b/>
                <w:bCs/>
                <w:iCs/>
                <w:szCs w:val="24"/>
              </w:rPr>
            </w:pPr>
            <w:r w:rsidRPr="009F6D1E">
              <w:rPr>
                <w:rFonts w:cs="Times New Roman"/>
                <w:b/>
                <w:bCs/>
                <w:iCs/>
                <w:szCs w:val="24"/>
              </w:rPr>
              <w:t>Компоненти и фактори на околната среда</w:t>
            </w:r>
          </w:p>
        </w:tc>
        <w:tc>
          <w:tcPr>
            <w:tcW w:w="7512" w:type="dxa"/>
            <w:shd w:val="clear" w:color="auto" w:fill="D9D9D9" w:themeFill="background1" w:themeFillShade="D9"/>
            <w:vAlign w:val="center"/>
          </w:tcPr>
          <w:p w14:paraId="5CAC3E0A" w14:textId="77777777" w:rsidR="00074ACE" w:rsidRPr="009F6D1E" w:rsidRDefault="00074ACE" w:rsidP="0084747F">
            <w:pPr>
              <w:spacing w:after="60" w:line="264" w:lineRule="auto"/>
              <w:contextualSpacing/>
              <w:jc w:val="center"/>
              <w:rPr>
                <w:rFonts w:cs="Times New Roman"/>
                <w:b/>
                <w:bCs/>
                <w:iCs/>
                <w:szCs w:val="24"/>
              </w:rPr>
            </w:pPr>
            <w:r w:rsidRPr="009F6D1E">
              <w:rPr>
                <w:rFonts w:cs="Times New Roman"/>
                <w:b/>
                <w:bCs/>
                <w:iCs/>
                <w:szCs w:val="24"/>
              </w:rPr>
              <w:t xml:space="preserve">Развитие без прилагане на </w:t>
            </w:r>
            <w:r w:rsidR="00CD4045" w:rsidRPr="009F6D1E">
              <w:rPr>
                <w:rFonts w:cs="Times New Roman"/>
                <w:b/>
                <w:bCs/>
                <w:iCs/>
                <w:szCs w:val="24"/>
              </w:rPr>
              <w:t>СПРЗСР</w:t>
            </w:r>
          </w:p>
        </w:tc>
      </w:tr>
      <w:tr w:rsidR="00074ACE" w:rsidRPr="009F6D1E" w14:paraId="2649F655" w14:textId="77777777" w:rsidTr="00AB2292">
        <w:trPr>
          <w:trHeight w:val="1729"/>
        </w:trPr>
        <w:tc>
          <w:tcPr>
            <w:tcW w:w="2122" w:type="dxa"/>
            <w:shd w:val="clear" w:color="auto" w:fill="auto"/>
          </w:tcPr>
          <w:p w14:paraId="41B5DDCC" w14:textId="77777777" w:rsidR="00074ACE" w:rsidRPr="009F6D1E" w:rsidRDefault="00074ACE" w:rsidP="0084747F">
            <w:pPr>
              <w:spacing w:after="60" w:line="264" w:lineRule="auto"/>
              <w:contextualSpacing/>
              <w:jc w:val="both"/>
              <w:rPr>
                <w:rFonts w:cs="Times New Roman"/>
                <w:b/>
                <w:bCs/>
                <w:iCs/>
                <w:szCs w:val="24"/>
              </w:rPr>
            </w:pPr>
            <w:r w:rsidRPr="009F6D1E">
              <w:rPr>
                <w:rFonts w:cs="Times New Roman"/>
                <w:b/>
                <w:bCs/>
                <w:iCs/>
                <w:szCs w:val="24"/>
              </w:rPr>
              <w:t>Климат и климатични изменения</w:t>
            </w:r>
          </w:p>
        </w:tc>
        <w:tc>
          <w:tcPr>
            <w:tcW w:w="7512" w:type="dxa"/>
          </w:tcPr>
          <w:p w14:paraId="790AC2E2"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В </w:t>
            </w:r>
            <w:r w:rsidR="00CD4045" w:rsidRPr="009F6D1E">
              <w:rPr>
                <w:rFonts w:cs="Times New Roman"/>
              </w:rPr>
              <w:t>СПРЗСР</w:t>
            </w:r>
            <w:r w:rsidRPr="009F6D1E">
              <w:rPr>
                <w:rFonts w:cs="Times New Roman"/>
              </w:rPr>
              <w:t xml:space="preserve"> е заложена 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2CE347E5"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Неприлагането на </w:t>
            </w:r>
            <w:r w:rsidR="00CD4045" w:rsidRPr="009F6D1E">
              <w:rPr>
                <w:rFonts w:cs="Times New Roman"/>
              </w:rPr>
              <w:t>СПРЗСР</w:t>
            </w:r>
            <w:r w:rsidRPr="009F6D1E">
              <w:rPr>
                <w:rFonts w:cs="Times New Roman"/>
              </w:rPr>
              <w:t xml:space="preserve"> ще доведе до продължаване на тенденциите, свързани с генериране на парникови газове от наличните към момента и за в бъдеще изградени източници. Възможно е да се стигне и до тяхното увеличаване, но отчитайки факта, че през последните години е налице тенденция за намаляване на нивата на парниковите газове, то очакванията са тази тенденция да продължи и за в бъдеще, без прилагането на </w:t>
            </w:r>
            <w:r w:rsidR="00CD4045" w:rsidRPr="009F6D1E">
              <w:rPr>
                <w:rFonts w:cs="Times New Roman"/>
              </w:rPr>
              <w:t>СПРЗСР</w:t>
            </w:r>
            <w:r w:rsidRPr="009F6D1E">
              <w:rPr>
                <w:rFonts w:cs="Times New Roman"/>
              </w:rPr>
              <w:t xml:space="preserve">. </w:t>
            </w:r>
          </w:p>
        </w:tc>
      </w:tr>
      <w:tr w:rsidR="00074ACE" w:rsidRPr="009F6D1E" w14:paraId="139E8AA5" w14:textId="77777777" w:rsidTr="00AB2292">
        <w:trPr>
          <w:trHeight w:val="1092"/>
        </w:trPr>
        <w:tc>
          <w:tcPr>
            <w:tcW w:w="2122" w:type="dxa"/>
            <w:shd w:val="clear" w:color="auto" w:fill="auto"/>
          </w:tcPr>
          <w:p w14:paraId="7E7BE20F" w14:textId="77777777" w:rsidR="00074ACE" w:rsidRPr="009F6D1E" w:rsidRDefault="00074ACE" w:rsidP="0084747F">
            <w:pPr>
              <w:spacing w:after="60" w:line="264" w:lineRule="auto"/>
              <w:contextualSpacing/>
              <w:jc w:val="both"/>
              <w:rPr>
                <w:rFonts w:cs="Times New Roman"/>
                <w:b/>
                <w:bCs/>
                <w:iCs/>
                <w:szCs w:val="24"/>
              </w:rPr>
            </w:pPr>
            <w:r w:rsidRPr="009F6D1E">
              <w:rPr>
                <w:rFonts w:cs="Times New Roman"/>
                <w:b/>
                <w:bCs/>
                <w:iCs/>
                <w:szCs w:val="24"/>
              </w:rPr>
              <w:t>Адаптация</w:t>
            </w:r>
          </w:p>
        </w:tc>
        <w:tc>
          <w:tcPr>
            <w:tcW w:w="7512" w:type="dxa"/>
          </w:tcPr>
          <w:p w14:paraId="719C48B7" w14:textId="77777777" w:rsidR="00074ACE" w:rsidRPr="009F6D1E" w:rsidRDefault="00074ACE" w:rsidP="0084747F">
            <w:pPr>
              <w:spacing w:after="60" w:line="264" w:lineRule="auto"/>
              <w:contextualSpacing/>
              <w:jc w:val="both"/>
              <w:rPr>
                <w:rFonts w:cs="Times New Roman"/>
              </w:rPr>
            </w:pPr>
            <w:proofErr w:type="spellStart"/>
            <w:r w:rsidRPr="009F6D1E">
              <w:rPr>
                <w:rFonts w:cs="Times New Roman"/>
              </w:rPr>
              <w:t>Нереализирането</w:t>
            </w:r>
            <w:proofErr w:type="spellEnd"/>
            <w:r w:rsidRPr="009F6D1E">
              <w:rPr>
                <w:rFonts w:cs="Times New Roman"/>
              </w:rPr>
              <w:t xml:space="preserve"> на </w:t>
            </w:r>
            <w:r w:rsidR="00CD4045" w:rsidRPr="009F6D1E">
              <w:rPr>
                <w:rFonts w:cs="Times New Roman"/>
              </w:rPr>
              <w:t>СПРЗСР</w:t>
            </w:r>
            <w:r w:rsidRPr="009F6D1E">
              <w:rPr>
                <w:rFonts w:cs="Times New Roman"/>
              </w:rPr>
              <w:t xml:space="preserve"> ще доведе до пропуск на редица ползи, свързани с адаптация към променящите се климатични условия на средата, като напр. адаптиране на земеделието в определени райони към променящите се условия на средата, намаляване разхода на вода за поливни цели и редица други. Това от своя страна ще забави развитието на определени райони.</w:t>
            </w:r>
          </w:p>
        </w:tc>
      </w:tr>
      <w:tr w:rsidR="00074ACE" w:rsidRPr="009F6D1E" w14:paraId="110049BE" w14:textId="77777777" w:rsidTr="00AB2292">
        <w:tc>
          <w:tcPr>
            <w:tcW w:w="2122" w:type="dxa"/>
            <w:shd w:val="clear" w:color="auto" w:fill="auto"/>
          </w:tcPr>
          <w:p w14:paraId="4439A0A7" w14:textId="77777777" w:rsidR="00074ACE" w:rsidRPr="009F6D1E" w:rsidRDefault="00074ACE" w:rsidP="0084747F">
            <w:pPr>
              <w:spacing w:after="60" w:line="264" w:lineRule="auto"/>
              <w:contextualSpacing/>
              <w:jc w:val="both"/>
              <w:rPr>
                <w:rFonts w:cs="Times New Roman"/>
                <w:b/>
                <w:bCs/>
                <w:iCs/>
                <w:szCs w:val="24"/>
              </w:rPr>
            </w:pPr>
            <w:r w:rsidRPr="009F6D1E">
              <w:rPr>
                <w:rFonts w:cs="Times New Roman"/>
                <w:b/>
                <w:bCs/>
                <w:iCs/>
                <w:szCs w:val="24"/>
              </w:rPr>
              <w:t>Атмосферен въздух</w:t>
            </w:r>
          </w:p>
        </w:tc>
        <w:tc>
          <w:tcPr>
            <w:tcW w:w="7512" w:type="dxa"/>
          </w:tcPr>
          <w:p w14:paraId="71D4EFCC" w14:textId="77777777" w:rsidR="00074ACE" w:rsidRPr="009F6D1E" w:rsidRDefault="00074ACE" w:rsidP="0084747F">
            <w:pPr>
              <w:spacing w:after="60" w:line="264" w:lineRule="auto"/>
              <w:contextualSpacing/>
              <w:jc w:val="both"/>
              <w:rPr>
                <w:rFonts w:cs="Times New Roman"/>
                <w:iCs/>
              </w:rPr>
            </w:pPr>
            <w:r w:rsidRPr="009F6D1E">
              <w:rPr>
                <w:rFonts w:cs="Times New Roman"/>
              </w:rPr>
              <w:t xml:space="preserve">Без прилагане на </w:t>
            </w:r>
            <w:r w:rsidR="00CD4045" w:rsidRPr="009F6D1E">
              <w:rPr>
                <w:rFonts w:cs="Times New Roman"/>
                <w:iCs/>
              </w:rPr>
              <w:t>СПРЗСР</w:t>
            </w:r>
            <w:r w:rsidRPr="009F6D1E">
              <w:rPr>
                <w:rFonts w:cs="Times New Roman"/>
                <w:iCs/>
              </w:rPr>
              <w:t xml:space="preserve"> няма да бъде използвана възможността за финансиране и изпълнение на потребности и интервенции, заложени в </w:t>
            </w:r>
            <w:r w:rsidRPr="009F6D1E">
              <w:rPr>
                <w:rFonts w:cs="Times New Roman"/>
                <w:i/>
              </w:rPr>
              <w:t xml:space="preserve">Специфична цел №5: 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 </w:t>
            </w:r>
            <w:r w:rsidRPr="009F6D1E">
              <w:rPr>
                <w:rFonts w:cs="Times New Roman"/>
                <w:iCs/>
              </w:rPr>
              <w:t>чрез</w:t>
            </w:r>
            <w:r w:rsidRPr="009F6D1E">
              <w:rPr>
                <w:rFonts w:cs="Times New Roman"/>
                <w:i/>
              </w:rPr>
              <w:t xml:space="preserve">  </w:t>
            </w:r>
            <w:r w:rsidRPr="009F6D1E">
              <w:rPr>
                <w:rFonts w:cs="Times New Roman"/>
                <w:iCs/>
              </w:rPr>
              <w:t>които ще се</w:t>
            </w:r>
            <w:r w:rsidRPr="009F6D1E">
              <w:rPr>
                <w:rFonts w:cs="Times New Roman"/>
              </w:rPr>
              <w:t xml:space="preserve"> повиши качеството на живот, здравословният начин на живот, респективно осигуряване на приятна околна среда, запазване на богатата природа на основата на устойчиво развитие на околната среда. </w:t>
            </w:r>
          </w:p>
        </w:tc>
      </w:tr>
      <w:tr w:rsidR="00074ACE" w:rsidRPr="009F6D1E" w14:paraId="5E275A1A" w14:textId="77777777" w:rsidTr="00AB2292">
        <w:tc>
          <w:tcPr>
            <w:tcW w:w="2122" w:type="dxa"/>
            <w:shd w:val="clear" w:color="auto" w:fill="auto"/>
          </w:tcPr>
          <w:p w14:paraId="5319AF66"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Повърхностни и подземни води</w:t>
            </w:r>
          </w:p>
        </w:tc>
        <w:tc>
          <w:tcPr>
            <w:tcW w:w="7512" w:type="dxa"/>
            <w:shd w:val="clear" w:color="auto" w:fill="auto"/>
          </w:tcPr>
          <w:p w14:paraId="1B6AD0CC" w14:textId="77777777" w:rsidR="00074ACE" w:rsidRPr="009F6D1E" w:rsidRDefault="00074ACE" w:rsidP="0084747F">
            <w:pPr>
              <w:spacing w:after="60" w:line="264" w:lineRule="auto"/>
              <w:jc w:val="both"/>
              <w:rPr>
                <w:rFonts w:cs="Times New Roman"/>
              </w:rPr>
            </w:pPr>
            <w:r w:rsidRPr="009F6D1E">
              <w:rPr>
                <w:rFonts w:cs="Times New Roman"/>
              </w:rPr>
              <w:t xml:space="preserve">Без прилагане на </w:t>
            </w:r>
            <w:r w:rsidR="00CD4045" w:rsidRPr="009F6D1E">
              <w:rPr>
                <w:rFonts w:cs="Times New Roman"/>
              </w:rPr>
              <w:t>СПРЗСР</w:t>
            </w:r>
            <w:r w:rsidRPr="009F6D1E">
              <w:rPr>
                <w:rFonts w:cs="Times New Roman"/>
              </w:rPr>
              <w:t xml:space="preserve"> 2021-2027 г. се очаква известно подобряване на количественото и химичното състояние на повърхностните и подземните води, в това число и на минералните води, от реализацията на мерките по Плановете за управление на речните басейни в Дунавски, Черноморски, Източнобеломорски и </w:t>
            </w:r>
            <w:proofErr w:type="spellStart"/>
            <w:r w:rsidRPr="009F6D1E">
              <w:rPr>
                <w:rFonts w:cs="Times New Roman"/>
              </w:rPr>
              <w:t>Западнобеломорски</w:t>
            </w:r>
            <w:proofErr w:type="spellEnd"/>
            <w:r w:rsidRPr="009F6D1E">
              <w:rPr>
                <w:rFonts w:cs="Times New Roman"/>
              </w:rPr>
              <w:t xml:space="preserve"> район 2022-2027 г., както и от разработваните понастоящем аналогични планове за периода 2016-2021 г. ., в които се предвиждат:</w:t>
            </w:r>
          </w:p>
          <w:p w14:paraId="6BD8D56F"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t>Предотвратяване влошаването на състоянието на всички водни тела;</w:t>
            </w:r>
          </w:p>
          <w:p w14:paraId="7880ED6B"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lastRenderedPageBreak/>
              <w:t xml:space="preserve">Опазване, подобряване и възстановяване на всички водни тела за постигане на добро състояние на водите; </w:t>
            </w:r>
          </w:p>
          <w:p w14:paraId="052129DF"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t xml:space="preserve">Опазване и подобряване качеството на водите във всички изкуствени и силно модифицирани водни тела и постигане на добър екологичен потенциал и добро химично състояние на водите; </w:t>
            </w:r>
          </w:p>
          <w:p w14:paraId="644FF733"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t>Предотвратяване, прогресивно намаляване и прекратяване наведнъж или на етапи на замърсяването от емисии, зауствания и изпускания на приоритетни и приоритетно опасни вещества.</w:t>
            </w:r>
          </w:p>
          <w:p w14:paraId="6ACB394A"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t xml:space="preserve">Регламентиране на водовземането от всички </w:t>
            </w:r>
            <w:proofErr w:type="spellStart"/>
            <w:r w:rsidRPr="009F6D1E">
              <w:rPr>
                <w:rFonts w:cs="Times New Roman"/>
              </w:rPr>
              <w:t>водовземни</w:t>
            </w:r>
            <w:proofErr w:type="spellEnd"/>
            <w:r w:rsidRPr="009F6D1E">
              <w:rPr>
                <w:rFonts w:cs="Times New Roman"/>
              </w:rPr>
              <w:t xml:space="preserve"> съоръжения от повърхностни и подземни води, проектиране, учредяване и изграждане на санитарно-охранителни зони около водоизточниците за питейно-битови нужди и около водоизточниците на минерални води в съответствие с изискванията в нормативни актове; </w:t>
            </w:r>
          </w:p>
          <w:p w14:paraId="1161BCF4" w14:textId="77777777" w:rsidR="00074ACE" w:rsidRPr="009F6D1E" w:rsidRDefault="00074ACE" w:rsidP="0084747F">
            <w:pPr>
              <w:numPr>
                <w:ilvl w:val="0"/>
                <w:numId w:val="14"/>
              </w:numPr>
              <w:spacing w:after="60" w:line="264" w:lineRule="auto"/>
              <w:contextualSpacing/>
              <w:jc w:val="both"/>
              <w:rPr>
                <w:rFonts w:cs="Times New Roman"/>
              </w:rPr>
            </w:pPr>
            <w:r w:rsidRPr="009F6D1E">
              <w:rPr>
                <w:rFonts w:cs="Times New Roman"/>
              </w:rPr>
              <w:t>Осъществяване от Районните инспекции по околната среда и водите на превантивен, текущ и последващ контрол на обекти, формиращи при дейността си отпадъчни води.</w:t>
            </w:r>
          </w:p>
          <w:p w14:paraId="6D9A93DC"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Въпреки положителните тенденции, без реализирането на </w:t>
            </w:r>
            <w:r w:rsidR="00CD4045" w:rsidRPr="009F6D1E">
              <w:rPr>
                <w:rFonts w:cs="Times New Roman"/>
              </w:rPr>
              <w:t>СПРЗСР</w:t>
            </w:r>
            <w:r w:rsidRPr="009F6D1E">
              <w:rPr>
                <w:rFonts w:cs="Times New Roman"/>
              </w:rPr>
              <w:t xml:space="preserve"> 2021-2027 г. същите ще бъдат с по-ниски темпове и значимост, отколкото с реализирането на програмата</w:t>
            </w:r>
          </w:p>
        </w:tc>
      </w:tr>
      <w:tr w:rsidR="00074ACE" w:rsidRPr="009F6D1E" w14:paraId="79AA19A3" w14:textId="77777777" w:rsidTr="00AB2292">
        <w:tc>
          <w:tcPr>
            <w:tcW w:w="2122" w:type="dxa"/>
            <w:shd w:val="clear" w:color="auto" w:fill="auto"/>
          </w:tcPr>
          <w:p w14:paraId="26B888F7"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lastRenderedPageBreak/>
              <w:t>Земни недра</w:t>
            </w:r>
          </w:p>
        </w:tc>
        <w:tc>
          <w:tcPr>
            <w:tcW w:w="7512" w:type="dxa"/>
          </w:tcPr>
          <w:p w14:paraId="106B2654" w14:textId="77777777" w:rsidR="00074ACE" w:rsidRPr="009F6D1E" w:rsidRDefault="00074ACE" w:rsidP="0084747F">
            <w:pPr>
              <w:spacing w:after="60" w:line="264" w:lineRule="auto"/>
              <w:contextualSpacing/>
              <w:jc w:val="both"/>
              <w:rPr>
                <w:rFonts w:cs="Times New Roman"/>
              </w:rPr>
            </w:pPr>
            <w:r w:rsidRPr="009F6D1E">
              <w:rPr>
                <w:rFonts w:cs="Times New Roman"/>
              </w:rPr>
              <w:t>Не се очаква промяна в тенденциите</w:t>
            </w:r>
          </w:p>
        </w:tc>
      </w:tr>
      <w:tr w:rsidR="00074ACE" w:rsidRPr="009F6D1E" w14:paraId="10270806" w14:textId="77777777" w:rsidTr="00AB2292">
        <w:tc>
          <w:tcPr>
            <w:tcW w:w="2122" w:type="dxa"/>
            <w:shd w:val="clear" w:color="auto" w:fill="auto"/>
          </w:tcPr>
          <w:p w14:paraId="0DA67A1A"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 xml:space="preserve">Почви и </w:t>
            </w:r>
            <w:proofErr w:type="spellStart"/>
            <w:r w:rsidRPr="009F6D1E">
              <w:rPr>
                <w:rFonts w:cs="Times New Roman"/>
                <w:b/>
                <w:bCs/>
                <w:iCs/>
                <w:szCs w:val="24"/>
              </w:rPr>
              <w:t>земеползване</w:t>
            </w:r>
            <w:proofErr w:type="spellEnd"/>
          </w:p>
        </w:tc>
        <w:tc>
          <w:tcPr>
            <w:tcW w:w="7512" w:type="dxa"/>
          </w:tcPr>
          <w:p w14:paraId="46A702E6"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Не се очаква развитие. Възможно е да се наблюдава задълбочаване на съществуващите проблеми с почвите и </w:t>
            </w:r>
            <w:proofErr w:type="spellStart"/>
            <w:r w:rsidRPr="009F6D1E">
              <w:rPr>
                <w:rFonts w:cs="Times New Roman"/>
              </w:rPr>
              <w:t>земеползването</w:t>
            </w:r>
            <w:proofErr w:type="spellEnd"/>
            <w:r w:rsidRPr="009F6D1E">
              <w:rPr>
                <w:rFonts w:cs="Times New Roman"/>
              </w:rPr>
              <w:t>.</w:t>
            </w:r>
          </w:p>
        </w:tc>
      </w:tr>
      <w:tr w:rsidR="00074ACE" w:rsidRPr="009F6D1E" w14:paraId="542C6D31" w14:textId="77777777" w:rsidTr="00AB2292">
        <w:trPr>
          <w:trHeight w:val="1214"/>
        </w:trPr>
        <w:tc>
          <w:tcPr>
            <w:tcW w:w="2122" w:type="dxa"/>
            <w:shd w:val="clear" w:color="auto" w:fill="auto"/>
          </w:tcPr>
          <w:p w14:paraId="446B992F" w14:textId="77777777" w:rsidR="00074ACE" w:rsidRPr="007C3C44" w:rsidRDefault="003F3D71" w:rsidP="0084747F">
            <w:pPr>
              <w:spacing w:after="60" w:line="264" w:lineRule="auto"/>
              <w:contextualSpacing/>
              <w:jc w:val="both"/>
              <w:rPr>
                <w:rFonts w:cs="Times New Roman"/>
                <w:b/>
                <w:bCs/>
                <w:iCs/>
                <w:szCs w:val="24"/>
              </w:rPr>
            </w:pPr>
            <w:r w:rsidRPr="007C3C44">
              <w:rPr>
                <w:rFonts w:cs="Times New Roman"/>
                <w:b/>
                <w:bCs/>
                <w:iCs/>
                <w:szCs w:val="24"/>
              </w:rPr>
              <w:t>Биоразнообразие</w:t>
            </w:r>
          </w:p>
          <w:p w14:paraId="6EE07318" w14:textId="77777777" w:rsidR="00074ACE" w:rsidRPr="007C3C44" w:rsidRDefault="003F3D71" w:rsidP="0084747F">
            <w:pPr>
              <w:spacing w:after="60" w:line="264" w:lineRule="auto"/>
              <w:contextualSpacing/>
              <w:jc w:val="both"/>
              <w:rPr>
                <w:rFonts w:cs="Times New Roman"/>
                <w:b/>
                <w:bCs/>
                <w:iCs/>
                <w:szCs w:val="24"/>
              </w:rPr>
            </w:pPr>
            <w:r w:rsidRPr="007C3C44">
              <w:rPr>
                <w:rFonts w:cs="Times New Roman"/>
                <w:b/>
                <w:bCs/>
                <w:iCs/>
                <w:szCs w:val="24"/>
              </w:rPr>
              <w:t>Горски територии</w:t>
            </w:r>
          </w:p>
          <w:p w14:paraId="33AC4373" w14:textId="77777777" w:rsidR="00074ACE" w:rsidRPr="007C3C44" w:rsidRDefault="003F3D71" w:rsidP="0084747F">
            <w:pPr>
              <w:spacing w:after="60" w:line="264" w:lineRule="auto"/>
              <w:contextualSpacing/>
              <w:jc w:val="both"/>
              <w:rPr>
                <w:rFonts w:cs="Times New Roman"/>
                <w:i/>
                <w:szCs w:val="24"/>
              </w:rPr>
            </w:pPr>
            <w:r w:rsidRPr="007C3C44">
              <w:rPr>
                <w:rFonts w:cs="Times New Roman"/>
                <w:b/>
                <w:bCs/>
                <w:iCs/>
                <w:szCs w:val="24"/>
              </w:rPr>
              <w:t>ЗТ</w:t>
            </w:r>
          </w:p>
        </w:tc>
        <w:tc>
          <w:tcPr>
            <w:tcW w:w="7512" w:type="dxa"/>
          </w:tcPr>
          <w:p w14:paraId="72A4639F" w14:textId="77777777" w:rsidR="00AC5388" w:rsidRPr="007C3C44" w:rsidRDefault="001D0082" w:rsidP="00AC5388">
            <w:pPr>
              <w:keepNext/>
              <w:tabs>
                <w:tab w:val="left" w:pos="993"/>
              </w:tabs>
              <w:spacing w:after="120" w:line="20" w:lineRule="atLeast"/>
              <w:ind w:firstLine="720"/>
              <w:jc w:val="both"/>
            </w:pPr>
            <w:r w:rsidRPr="007C3C44">
              <w:t xml:space="preserve">През последните години в България се наблюдава </w:t>
            </w:r>
            <w:r w:rsidR="00611273" w:rsidRPr="007C3C44">
              <w:t xml:space="preserve">засилване на </w:t>
            </w:r>
            <w:r w:rsidRPr="007C3C44">
              <w:t>стремеж</w:t>
            </w:r>
            <w:r w:rsidR="00611273" w:rsidRPr="007C3C44">
              <w:t>а</w:t>
            </w:r>
            <w:r w:rsidRPr="007C3C44">
              <w:t xml:space="preserve"> към поддържане и възстановяване на биологичното разнообразие. </w:t>
            </w:r>
            <w:r w:rsidR="00611273" w:rsidRPr="007C3C44">
              <w:t xml:space="preserve">Въпреки това на лице са и редица негативни тенденции, като загуба и увреждане на местообитания, замърсяване, </w:t>
            </w:r>
            <w:r w:rsidR="003F3D71" w:rsidRPr="007C3C44">
              <w:t>с изкуствени торове и химикали в земеделието, неустойчиво ползване на ливади и пасища /свръхпаша, ранно косене, неподходящи практики на паша и косене, внасяне на неместни видове</w:t>
            </w:r>
            <w:r w:rsidR="00611273" w:rsidRPr="007C3C44">
              <w:t xml:space="preserve"> и др. </w:t>
            </w:r>
            <w:r w:rsidR="00AC5388" w:rsidRPr="007C3C44">
              <w:t xml:space="preserve">Без прилагане на СПРЗСР ще се запазят съществуващите тенденции в развитието. </w:t>
            </w:r>
          </w:p>
          <w:p w14:paraId="278ECA97" w14:textId="77777777" w:rsidR="00160830" w:rsidRPr="007C3C44" w:rsidRDefault="00611273" w:rsidP="00982D50">
            <w:pPr>
              <w:keepNext/>
              <w:tabs>
                <w:tab w:val="left" w:pos="993"/>
              </w:tabs>
              <w:spacing w:after="120" w:line="20" w:lineRule="atLeast"/>
              <w:ind w:firstLine="720"/>
              <w:jc w:val="both"/>
            </w:pPr>
            <w:r w:rsidRPr="007C3C44">
              <w:t xml:space="preserve">Прилагането на СПРЗСР ще допринесе благоприятно с </w:t>
            </w:r>
            <w:r w:rsidR="003F3D71" w:rsidRPr="007C3C44">
              <w:t>инвестициите в екологични съоръжения, стимулиране на биологично земеделие, смекчаване на въздействието на климатичните промен</w:t>
            </w:r>
            <w:r w:rsidR="00AC5388" w:rsidRPr="007C3C44">
              <w:t xml:space="preserve">и, подобрено качество на води, </w:t>
            </w:r>
            <w:r w:rsidR="003F3D71" w:rsidRPr="007C3C44">
              <w:t xml:space="preserve">почви и почвеното биоразнообразие, подобрени условия и редуцирани въздействия за биоразнообразието. Въвеждането на екстензивни земеделски практики ще намали нитрификацията и </w:t>
            </w:r>
            <w:proofErr w:type="spellStart"/>
            <w:r w:rsidR="003F3D71" w:rsidRPr="007C3C44">
              <w:t>втока</w:t>
            </w:r>
            <w:proofErr w:type="spellEnd"/>
            <w:r w:rsidR="003F3D71" w:rsidRPr="007C3C44">
              <w:t xml:space="preserve"> на биогени в естествените и полуестествени </w:t>
            </w:r>
            <w:r w:rsidR="003F3D71" w:rsidRPr="007C3C44">
              <w:lastRenderedPageBreak/>
              <w:t xml:space="preserve">екосистеми особено тревните съобщества и водните местообитания. Въвеждането на добри земеделски практики и опазване на традиционните селскостопански практики за опазване на биологичното разнообразие в земеделските земи, базирано на повишаване на компетенциите в резултат от предвидените консултантски услуги,  повишаване на консултантския капацитет, професионално обучение и придобиване на знания, също би  довело до положително въздействие върху биоразнообразието. </w:t>
            </w:r>
          </w:p>
          <w:p w14:paraId="6AB8F218" w14:textId="2367248C" w:rsidR="00074ACE" w:rsidRPr="007C3C44" w:rsidRDefault="001D0082" w:rsidP="007C3C44">
            <w:pPr>
              <w:keepNext/>
              <w:tabs>
                <w:tab w:val="left" w:pos="993"/>
              </w:tabs>
              <w:spacing w:after="120" w:line="20" w:lineRule="atLeast"/>
              <w:ind w:firstLine="720"/>
              <w:jc w:val="both"/>
            </w:pPr>
            <w:r w:rsidRPr="007C3C44">
              <w:t xml:space="preserve">Без прилагането на Стратегията целевото запазване и подобряване на биоразнообразието ще се постигне с по-бавни темпове, тъй като </w:t>
            </w:r>
            <w:r w:rsidR="00611273" w:rsidRPr="007C3C44">
              <w:t>негативните последици от интензификацията на селското стопанство</w:t>
            </w:r>
            <w:r w:rsidRPr="007C3C44">
              <w:t xml:space="preserve"> които засягат биологичното разнообразие,  ще продължат да бъдат проблем в следващия програмен период, наред с недостатъчн</w:t>
            </w:r>
            <w:r w:rsidR="00AC5388" w:rsidRPr="007C3C44">
              <w:t xml:space="preserve">ата осведоменост на заинтересованите страни </w:t>
            </w:r>
            <w:r w:rsidRPr="007C3C44">
              <w:t xml:space="preserve">по отношение на биоразнообразието и опазването на околната среда. </w:t>
            </w:r>
          </w:p>
        </w:tc>
      </w:tr>
      <w:tr w:rsidR="00074ACE" w:rsidRPr="009F6D1E" w14:paraId="7D654F67" w14:textId="77777777" w:rsidTr="00AB2292">
        <w:tc>
          <w:tcPr>
            <w:tcW w:w="2122" w:type="dxa"/>
            <w:shd w:val="clear" w:color="auto" w:fill="auto"/>
          </w:tcPr>
          <w:p w14:paraId="4765CEE9"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lastRenderedPageBreak/>
              <w:t xml:space="preserve">Ландшафт </w:t>
            </w:r>
          </w:p>
        </w:tc>
        <w:tc>
          <w:tcPr>
            <w:tcW w:w="7512" w:type="dxa"/>
          </w:tcPr>
          <w:p w14:paraId="27BF9FE1" w14:textId="77777777" w:rsidR="00074ACE" w:rsidRPr="009F6D1E" w:rsidRDefault="00074ACE" w:rsidP="0084747F">
            <w:pPr>
              <w:spacing w:after="60" w:line="264" w:lineRule="auto"/>
              <w:contextualSpacing/>
              <w:jc w:val="both"/>
              <w:rPr>
                <w:rFonts w:cs="Times New Roman"/>
              </w:rPr>
            </w:pPr>
            <w:r w:rsidRPr="009F6D1E">
              <w:rPr>
                <w:rFonts w:cs="Times New Roman"/>
              </w:rPr>
              <w:t>Тенденциите ще се запазят същите като в момента.</w:t>
            </w:r>
          </w:p>
        </w:tc>
      </w:tr>
      <w:tr w:rsidR="00074ACE" w:rsidRPr="009F6D1E" w14:paraId="268244F5" w14:textId="77777777" w:rsidTr="00AB2292">
        <w:tc>
          <w:tcPr>
            <w:tcW w:w="2122" w:type="dxa"/>
            <w:shd w:val="clear" w:color="auto" w:fill="auto"/>
          </w:tcPr>
          <w:p w14:paraId="32A42C5D"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Материални активи</w:t>
            </w:r>
          </w:p>
        </w:tc>
        <w:tc>
          <w:tcPr>
            <w:tcW w:w="7512" w:type="dxa"/>
          </w:tcPr>
          <w:p w14:paraId="5F46AEB2"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Дефинираните специфични цели, потребности и интервенции на </w:t>
            </w:r>
            <w:r w:rsidR="00CD4045" w:rsidRPr="009F6D1E">
              <w:rPr>
                <w:rFonts w:cs="Times New Roman"/>
              </w:rPr>
              <w:t>СПРЗСР</w:t>
            </w:r>
            <w:r w:rsidRPr="009F6D1E">
              <w:rPr>
                <w:rFonts w:cs="Times New Roman"/>
              </w:rPr>
              <w:t xml:space="preserve"> ще окажат както пряко, така и косвено положително въздействие върху състоянието и развитието на материалните активи. </w:t>
            </w:r>
          </w:p>
          <w:p w14:paraId="35A8C45F"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В случай на неприлагане на </w:t>
            </w:r>
            <w:r w:rsidR="00CD4045" w:rsidRPr="009F6D1E">
              <w:rPr>
                <w:rFonts w:cs="Times New Roman"/>
              </w:rPr>
              <w:t>СПРЗСР</w:t>
            </w:r>
            <w:r w:rsidRPr="009F6D1E">
              <w:rPr>
                <w:rFonts w:cs="Times New Roman"/>
              </w:rPr>
              <w:t>, не се предполага положително развитие на материалните активи, а по-скоро може да се наблюдава тенденция към влошаване на състоянието им поради не полагане на грижи по поддържането им и липса на целенасочени инвестиции за обновяване и развитие.</w:t>
            </w:r>
          </w:p>
        </w:tc>
      </w:tr>
      <w:tr w:rsidR="00074ACE" w:rsidRPr="009F6D1E" w14:paraId="738670D5" w14:textId="77777777" w:rsidTr="00AB2292">
        <w:tc>
          <w:tcPr>
            <w:tcW w:w="2122" w:type="dxa"/>
            <w:shd w:val="clear" w:color="auto" w:fill="auto"/>
          </w:tcPr>
          <w:p w14:paraId="6E9C39AD"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Културно-историческо наследство</w:t>
            </w:r>
          </w:p>
        </w:tc>
        <w:tc>
          <w:tcPr>
            <w:tcW w:w="7512" w:type="dxa"/>
          </w:tcPr>
          <w:p w14:paraId="7A5D9768" w14:textId="679E2C6E" w:rsidR="00074ACE" w:rsidRPr="009F6D1E" w:rsidRDefault="00074ACE" w:rsidP="0084747F">
            <w:pPr>
              <w:spacing w:after="60" w:line="264" w:lineRule="auto"/>
              <w:contextualSpacing/>
              <w:jc w:val="both"/>
              <w:rPr>
                <w:rFonts w:cs="Times New Roman"/>
              </w:rPr>
            </w:pPr>
            <w:r w:rsidRPr="009F6D1E">
              <w:rPr>
                <w:rFonts w:cs="Times New Roman"/>
              </w:rPr>
              <w:t xml:space="preserve">В случай на неприлагане на </w:t>
            </w:r>
            <w:r w:rsidR="00CD4045" w:rsidRPr="009F6D1E">
              <w:rPr>
                <w:rFonts w:cs="Times New Roman"/>
              </w:rPr>
              <w:t>СПРЗСР</w:t>
            </w:r>
            <w:r w:rsidRPr="009F6D1E">
              <w:rPr>
                <w:rFonts w:cs="Times New Roman"/>
              </w:rPr>
              <w:t>,  ще се запази съществуващото състояние на културно-историческото наследство, а дори може да се наблюдава тенденция към влошаване на състоянието му поради липса на целенасочени инвестиции за обновяване и развитие, като напр. за подпомагане и развитие на туризма и конкурент</w:t>
            </w:r>
            <w:r w:rsidR="00605A5C">
              <w:rPr>
                <w:rFonts w:cs="Times New Roman"/>
              </w:rPr>
              <w:t>осп</w:t>
            </w:r>
            <w:r w:rsidRPr="009F6D1E">
              <w:rPr>
                <w:rFonts w:cs="Times New Roman"/>
              </w:rPr>
              <w:t>особността, свързани със създаване на регионален туристически продукт, базиран на културното наследство; стимулиране на местното занаятчийство.</w:t>
            </w:r>
          </w:p>
        </w:tc>
      </w:tr>
      <w:tr w:rsidR="00074ACE" w:rsidRPr="009F6D1E" w14:paraId="7776F9E0" w14:textId="77777777" w:rsidTr="00AB2292">
        <w:tc>
          <w:tcPr>
            <w:tcW w:w="2122" w:type="dxa"/>
            <w:shd w:val="clear" w:color="auto" w:fill="auto"/>
          </w:tcPr>
          <w:p w14:paraId="07A3858E"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Вредни физични фактори</w:t>
            </w:r>
          </w:p>
        </w:tc>
        <w:tc>
          <w:tcPr>
            <w:tcW w:w="7512" w:type="dxa"/>
          </w:tcPr>
          <w:p w14:paraId="27475AE6" w14:textId="77777777" w:rsidR="00074ACE" w:rsidRPr="009F6D1E" w:rsidRDefault="00074ACE" w:rsidP="0084747F">
            <w:pPr>
              <w:spacing w:after="60" w:line="264" w:lineRule="auto"/>
              <w:contextualSpacing/>
              <w:jc w:val="both"/>
              <w:rPr>
                <w:rFonts w:cs="Times New Roman"/>
              </w:rPr>
            </w:pPr>
            <w:r w:rsidRPr="009F6D1E">
              <w:rPr>
                <w:rFonts w:cs="Times New Roman"/>
              </w:rPr>
              <w:t>Не се очаква промяна.</w:t>
            </w:r>
          </w:p>
        </w:tc>
      </w:tr>
      <w:tr w:rsidR="00074ACE" w:rsidRPr="009F6D1E" w14:paraId="0B8D4AB2" w14:textId="77777777" w:rsidTr="00AB2292">
        <w:tc>
          <w:tcPr>
            <w:tcW w:w="2122" w:type="dxa"/>
            <w:shd w:val="clear" w:color="auto" w:fill="auto"/>
          </w:tcPr>
          <w:p w14:paraId="2A5CFBCA"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 xml:space="preserve">Отпадъци </w:t>
            </w:r>
          </w:p>
        </w:tc>
        <w:tc>
          <w:tcPr>
            <w:tcW w:w="7512" w:type="dxa"/>
          </w:tcPr>
          <w:p w14:paraId="4C344023"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Без прилагане на </w:t>
            </w:r>
            <w:r w:rsidR="00CD4045" w:rsidRPr="009F6D1E">
              <w:rPr>
                <w:rFonts w:cs="Times New Roman"/>
              </w:rPr>
              <w:t>СПРЗСР</w:t>
            </w:r>
            <w:r w:rsidRPr="009F6D1E">
              <w:rPr>
                <w:rFonts w:cs="Times New Roman"/>
              </w:rPr>
              <w:t xml:space="preserve"> ще се запази сега съществуващото състояние на средата по отношение на фактор отпадъци. Ще бъдат изпуснати редица ползи и възможности за използване на финансовите инструменти на ЕС за решаване на проблемите, свързани с ефективното управление на образуваните отпадъчни потоци от земеделието. Няма да се постигне значителна промяна на обществените нагласи в полза на </w:t>
            </w:r>
            <w:r w:rsidRPr="009F6D1E">
              <w:rPr>
                <w:rFonts w:cs="Times New Roman"/>
              </w:rPr>
              <w:lastRenderedPageBreak/>
              <w:t>екологосъобразното и ефективно управление на отпадъците, като няма да се позволи инвестиции за съоръжения за третиране на отпадъци, съоръжения за съхраняване или оползотворяване на различни отпадъчни суровини от селскостопански продукти получени в резултат на извършваната преработка, инсталации за пречистване на отпадъчни води в преработката и маркетинга, инсталации за ВЕИ за производство на енергия за собствено потребление, включително такива използващи биомаса, включително инвестиции и дейности свързани с подобряване на енергийната ефективност на съществуващи предприятия.</w:t>
            </w:r>
          </w:p>
        </w:tc>
      </w:tr>
      <w:tr w:rsidR="00074ACE" w:rsidRPr="009F6D1E" w14:paraId="4002F0DD" w14:textId="77777777" w:rsidTr="00AB2292">
        <w:tc>
          <w:tcPr>
            <w:tcW w:w="2122" w:type="dxa"/>
            <w:shd w:val="clear" w:color="auto" w:fill="auto"/>
          </w:tcPr>
          <w:p w14:paraId="4677492F"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lastRenderedPageBreak/>
              <w:t>Опасни химични вещества и риск от големи аварии</w:t>
            </w:r>
          </w:p>
        </w:tc>
        <w:tc>
          <w:tcPr>
            <w:tcW w:w="7512" w:type="dxa"/>
          </w:tcPr>
          <w:p w14:paraId="693F6497" w14:textId="77777777" w:rsidR="00074ACE" w:rsidRPr="009F6D1E" w:rsidRDefault="00074ACE" w:rsidP="0084747F">
            <w:pPr>
              <w:spacing w:after="60" w:line="264" w:lineRule="auto"/>
              <w:contextualSpacing/>
              <w:jc w:val="both"/>
              <w:rPr>
                <w:rFonts w:cs="Times New Roman"/>
              </w:rPr>
            </w:pPr>
            <w:r w:rsidRPr="009F6D1E">
              <w:rPr>
                <w:rFonts w:cs="Times New Roman"/>
              </w:rPr>
              <w:t>Не се очаква промяна в състоянието на управлението на опасните химични вещества и риска от големи аварии.</w:t>
            </w:r>
          </w:p>
        </w:tc>
      </w:tr>
      <w:tr w:rsidR="00074ACE" w:rsidRPr="009F6D1E" w14:paraId="5C5B3189" w14:textId="77777777" w:rsidTr="00AB2292">
        <w:tc>
          <w:tcPr>
            <w:tcW w:w="2122" w:type="dxa"/>
            <w:shd w:val="clear" w:color="auto" w:fill="auto"/>
          </w:tcPr>
          <w:p w14:paraId="4BDF195D" w14:textId="77777777" w:rsidR="00074ACE" w:rsidRPr="009F6D1E" w:rsidRDefault="00074ACE" w:rsidP="0084747F">
            <w:pPr>
              <w:spacing w:after="60" w:line="264" w:lineRule="auto"/>
              <w:contextualSpacing/>
              <w:jc w:val="both"/>
              <w:rPr>
                <w:rFonts w:cs="Times New Roman"/>
                <w:i/>
                <w:szCs w:val="24"/>
              </w:rPr>
            </w:pPr>
            <w:r w:rsidRPr="009F6D1E">
              <w:rPr>
                <w:rFonts w:cs="Times New Roman"/>
                <w:b/>
                <w:bCs/>
                <w:iCs/>
                <w:szCs w:val="24"/>
              </w:rPr>
              <w:t>Здравно състояние на населението и здравен риск</w:t>
            </w:r>
          </w:p>
        </w:tc>
        <w:tc>
          <w:tcPr>
            <w:tcW w:w="7512" w:type="dxa"/>
          </w:tcPr>
          <w:p w14:paraId="48DCDEC6" w14:textId="77777777" w:rsidR="00074ACE" w:rsidRPr="009F6D1E" w:rsidRDefault="00074ACE" w:rsidP="0084747F">
            <w:pPr>
              <w:spacing w:after="60" w:line="264" w:lineRule="auto"/>
              <w:contextualSpacing/>
              <w:jc w:val="both"/>
              <w:rPr>
                <w:rFonts w:cs="Times New Roman"/>
              </w:rPr>
            </w:pPr>
            <w:r w:rsidRPr="009F6D1E">
              <w:rPr>
                <w:rFonts w:cs="Times New Roman"/>
              </w:rPr>
              <w:t xml:space="preserve">По отношение населението и човешкото здраве </w:t>
            </w:r>
            <w:proofErr w:type="spellStart"/>
            <w:r w:rsidRPr="009F6D1E">
              <w:rPr>
                <w:rFonts w:cs="Times New Roman"/>
              </w:rPr>
              <w:t>нереализирането</w:t>
            </w:r>
            <w:proofErr w:type="spellEnd"/>
            <w:r w:rsidRPr="009F6D1E">
              <w:rPr>
                <w:rFonts w:cs="Times New Roman"/>
              </w:rPr>
              <w:t xml:space="preserve"> на </w:t>
            </w:r>
            <w:r w:rsidR="00CD4045" w:rsidRPr="009F6D1E">
              <w:rPr>
                <w:rFonts w:cs="Times New Roman"/>
              </w:rPr>
              <w:t>СПРЗСР</w:t>
            </w:r>
            <w:r w:rsidRPr="009F6D1E">
              <w:rPr>
                <w:rFonts w:cs="Times New Roman"/>
              </w:rPr>
              <w:t xml:space="preserve"> ще доведе до запазване на сегашното състояние по отношение компонентите и факторите на околната среда или тяхното сравнително по-бавно развитие, като най-силно това ще бъде изразено по отношение КАВ, качество на водите, в т. ч. и питейните води и фактора отпадъци. Ще се забави икономическото развитие на засегнатите от програмата райони. Ще се пропуснат ползи за финансиране и допълнителни инвестиции, както и усвояване на средства от Европейския съюз, допринасящи съответно за подобряване условия на труд, повишаване качеството на живот и здравословният начин на живот, респективно осигуряване на чиста и приятна околна среда и запазване на природните богатства, дължащо се на устойчиво развитие на околната среда.</w:t>
            </w:r>
          </w:p>
        </w:tc>
      </w:tr>
    </w:tbl>
    <w:p w14:paraId="31884C48" w14:textId="77777777" w:rsidR="00AA1E51" w:rsidRPr="009F6D1E" w:rsidRDefault="00AA1E51" w:rsidP="0084747F">
      <w:pPr>
        <w:spacing w:after="60" w:line="264" w:lineRule="auto"/>
        <w:contextualSpacing/>
        <w:jc w:val="both"/>
        <w:rPr>
          <w:rFonts w:eastAsia="Calibri" w:cs="Times New Roman"/>
          <w:b/>
          <w:bCs/>
          <w:i/>
          <w:iCs/>
          <w:szCs w:val="24"/>
        </w:rPr>
      </w:pPr>
    </w:p>
    <w:p w14:paraId="54E33521" w14:textId="77777777" w:rsidR="00471E9F" w:rsidRPr="009F6D1E" w:rsidRDefault="00471E9F" w:rsidP="00D02E9D">
      <w:pPr>
        <w:pStyle w:val="Heading1"/>
        <w:numPr>
          <w:ilvl w:val="0"/>
          <w:numId w:val="26"/>
        </w:numPr>
        <w:shd w:val="clear" w:color="auto" w:fill="DBDBDB" w:themeFill="accent3" w:themeFillTint="66"/>
        <w:tabs>
          <w:tab w:val="clear" w:pos="742"/>
        </w:tabs>
        <w:spacing w:before="0" w:after="60" w:line="264" w:lineRule="auto"/>
        <w:ind w:left="0" w:firstLine="0"/>
        <w:jc w:val="left"/>
        <w:rPr>
          <w:sz w:val="24"/>
          <w:szCs w:val="24"/>
        </w:rPr>
      </w:pPr>
      <w:bookmarkStart w:id="486" w:name="_Toc115255008"/>
      <w:r w:rsidRPr="009F6D1E">
        <w:rPr>
          <w:sz w:val="24"/>
          <w:szCs w:val="24"/>
        </w:rPr>
        <w:t xml:space="preserve">ХАРАКТЕРИСТИКА НА ОКОЛНАТА СРЕДА ЗА ТЕРИТОРИИ, КОИТО ВЕРОЯТНО ЩЕ БЪДАТ ЗНАЧИТЕЛНО ЗАСЕГНАТИ С РЕАЛИЗАЦИЯТА НА </w:t>
      </w:r>
      <w:r w:rsidR="00CD4045" w:rsidRPr="009F6D1E">
        <w:rPr>
          <w:sz w:val="24"/>
          <w:szCs w:val="24"/>
        </w:rPr>
        <w:t>СПРЗСР</w:t>
      </w:r>
      <w:bookmarkEnd w:id="486"/>
    </w:p>
    <w:p w14:paraId="2B7A1E10" w14:textId="77777777" w:rsidR="00CE0604" w:rsidRPr="009F6D1E" w:rsidRDefault="00CE0604" w:rsidP="0084747F">
      <w:pPr>
        <w:spacing w:after="60" w:line="264" w:lineRule="auto"/>
        <w:ind w:firstLine="709"/>
        <w:contextualSpacing/>
        <w:jc w:val="both"/>
        <w:rPr>
          <w:rFonts w:cs="Times New Roman"/>
          <w:szCs w:val="24"/>
        </w:rPr>
      </w:pPr>
    </w:p>
    <w:p w14:paraId="06E014F2" w14:textId="77777777" w:rsidR="00A606F5" w:rsidRPr="009F6D1E" w:rsidRDefault="00CD4045" w:rsidP="0084747F">
      <w:pPr>
        <w:spacing w:after="60" w:line="264" w:lineRule="auto"/>
        <w:ind w:firstLine="709"/>
        <w:contextualSpacing/>
        <w:jc w:val="both"/>
        <w:rPr>
          <w:rFonts w:cs="Times New Roman"/>
          <w:szCs w:val="24"/>
        </w:rPr>
      </w:pPr>
      <w:r w:rsidRPr="009F6D1E">
        <w:rPr>
          <w:rFonts w:cs="Times New Roman"/>
          <w:szCs w:val="24"/>
        </w:rPr>
        <w:t>СПРЗСР</w:t>
      </w:r>
      <w:r w:rsidR="00A606F5" w:rsidRPr="009F6D1E">
        <w:rPr>
          <w:rFonts w:cs="Times New Roman"/>
          <w:szCs w:val="24"/>
        </w:rPr>
        <w:t xml:space="preserve"> ще се реализира в зададения</w:t>
      </w:r>
      <w:r w:rsidR="00A606F5" w:rsidRPr="009F6D1E">
        <w:rPr>
          <w:rFonts w:eastAsia="Calibri" w:cs="Times New Roman"/>
          <w:szCs w:val="24"/>
        </w:rPr>
        <w:t xml:space="preserve"> географски обхват: </w:t>
      </w:r>
      <w:r w:rsidR="00CE0604" w:rsidRPr="009F6D1E">
        <w:rPr>
          <w:rFonts w:eastAsia="Calibri" w:cs="Times New Roman"/>
          <w:szCs w:val="24"/>
        </w:rPr>
        <w:t xml:space="preserve">цялата територия на </w:t>
      </w:r>
      <w:r w:rsidR="00CE0604" w:rsidRPr="009F6D1E">
        <w:rPr>
          <w:rFonts w:eastAsia="Calibri" w:cs="Times New Roman"/>
          <w:i/>
          <w:iCs/>
          <w:szCs w:val="24"/>
        </w:rPr>
        <w:t xml:space="preserve">Република България. </w:t>
      </w:r>
      <w:r w:rsidR="00A606F5" w:rsidRPr="009F6D1E">
        <w:rPr>
          <w:rFonts w:cs="Times New Roman"/>
          <w:szCs w:val="24"/>
        </w:rPr>
        <w:t xml:space="preserve">Съответно и в този териториален обхват ще се реализират въздействията върху околната среда, населението и човешкото здраве. Част от </w:t>
      </w:r>
      <w:r w:rsidR="00CE0604" w:rsidRPr="009F6D1E">
        <w:rPr>
          <w:rFonts w:cs="Times New Roman"/>
          <w:szCs w:val="24"/>
        </w:rPr>
        <w:t>специфичните цели, потребности и интервенции</w:t>
      </w:r>
      <w:r w:rsidR="00A606F5" w:rsidRPr="009F6D1E">
        <w:rPr>
          <w:rFonts w:cs="Times New Roman"/>
          <w:szCs w:val="24"/>
        </w:rPr>
        <w:t>, които са без инвестиционен характер – меки мерки (</w:t>
      </w:r>
      <w:r w:rsidR="009529B3" w:rsidRPr="009F6D1E">
        <w:rPr>
          <w:rFonts w:cs="Times New Roman"/>
          <w:szCs w:val="24"/>
        </w:rPr>
        <w:t>събиране и анализ на информация</w:t>
      </w:r>
      <w:r w:rsidR="00A606F5" w:rsidRPr="009F6D1E">
        <w:rPr>
          <w:rFonts w:cs="Times New Roman"/>
          <w:szCs w:val="24"/>
        </w:rPr>
        <w:t>, обучения</w:t>
      </w:r>
      <w:r w:rsidR="009529B3" w:rsidRPr="009F6D1E">
        <w:rPr>
          <w:rFonts w:cs="Times New Roman"/>
          <w:szCs w:val="24"/>
        </w:rPr>
        <w:t xml:space="preserve"> и др.</w:t>
      </w:r>
      <w:r w:rsidR="00A606F5" w:rsidRPr="009F6D1E">
        <w:rPr>
          <w:rFonts w:cs="Times New Roman"/>
          <w:szCs w:val="24"/>
        </w:rPr>
        <w:t xml:space="preserve">) нямат потенциал за засягане на околната среда, в т.ч. към тях се отнася </w:t>
      </w:r>
      <w:r w:rsidR="00426D11" w:rsidRPr="009F6D1E">
        <w:rPr>
          <w:rFonts w:cs="Times New Roman"/>
          <w:szCs w:val="24"/>
        </w:rPr>
        <w:t>Междусекторна цел</w:t>
      </w:r>
      <w:r w:rsidR="009529B3" w:rsidRPr="009F6D1E">
        <w:rPr>
          <w:rFonts w:cs="Times New Roman"/>
          <w:szCs w:val="24"/>
        </w:rPr>
        <w:t xml:space="preserve"> № 10: </w:t>
      </w:r>
      <w:r w:rsidR="00426D11" w:rsidRPr="009F6D1E">
        <w:rPr>
          <w:rFonts w:cs="Times New Roman"/>
          <w:i/>
          <w:iCs/>
          <w:szCs w:val="24"/>
        </w:rPr>
        <w:t xml:space="preserve">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w:t>
      </w:r>
      <w:r w:rsidR="00426D11" w:rsidRPr="009F6D1E">
        <w:rPr>
          <w:rFonts w:cs="Times New Roman"/>
          <w:i/>
          <w:iCs/>
          <w:szCs w:val="24"/>
        </w:rPr>
        <w:lastRenderedPageBreak/>
        <w:t>степен от земеделските стопани чрез по-добър достъп до научни изследвания, иновации, обмен на знания и обучение</w:t>
      </w:r>
      <w:r w:rsidR="00A606F5" w:rsidRPr="009F6D1E">
        <w:rPr>
          <w:rFonts w:cs="Times New Roman"/>
          <w:szCs w:val="24"/>
        </w:rPr>
        <w:t>.</w:t>
      </w:r>
    </w:p>
    <w:p w14:paraId="5D90462E" w14:textId="77777777" w:rsidR="00A606F5" w:rsidRPr="009F6D1E" w:rsidRDefault="00A606F5" w:rsidP="0084747F">
      <w:pPr>
        <w:spacing w:after="60" w:line="264" w:lineRule="auto"/>
        <w:ind w:firstLine="709"/>
        <w:contextualSpacing/>
        <w:jc w:val="both"/>
        <w:rPr>
          <w:rFonts w:cs="Times New Roman"/>
          <w:szCs w:val="24"/>
        </w:rPr>
      </w:pPr>
      <w:r w:rsidRPr="009F6D1E">
        <w:rPr>
          <w:rFonts w:cs="Times New Roman"/>
          <w:szCs w:val="24"/>
        </w:rPr>
        <w:t xml:space="preserve">Дейностите и мерките с инвестиционен характер - твърди мерки - са с ниска подробност – без определено конкретно местоположение, параметри, обхват и съпътстващи дейности, поради което, при съобразяване на принципа на превантивността, като засегната се разглежда цялата територия в обхвата на </w:t>
      </w:r>
      <w:r w:rsidR="00CD4045" w:rsidRPr="009F6D1E">
        <w:rPr>
          <w:rFonts w:cs="Times New Roman"/>
          <w:szCs w:val="24"/>
        </w:rPr>
        <w:t>СПРЗСР</w:t>
      </w:r>
      <w:r w:rsidRPr="009F6D1E">
        <w:rPr>
          <w:rFonts w:cs="Times New Roman"/>
          <w:szCs w:val="24"/>
        </w:rPr>
        <w:t xml:space="preserve">. </w:t>
      </w:r>
    </w:p>
    <w:p w14:paraId="02E12A62" w14:textId="77777777" w:rsidR="00A606F5" w:rsidRPr="009F6D1E" w:rsidRDefault="00A606F5" w:rsidP="0084747F">
      <w:pPr>
        <w:spacing w:after="60" w:line="264" w:lineRule="auto"/>
        <w:ind w:firstLine="720"/>
        <w:jc w:val="both"/>
        <w:rPr>
          <w:rFonts w:cs="Times New Roman"/>
          <w:szCs w:val="24"/>
        </w:rPr>
      </w:pPr>
      <w:r w:rsidRPr="009F6D1E">
        <w:rPr>
          <w:rFonts w:cs="Times New Roman"/>
          <w:szCs w:val="24"/>
        </w:rPr>
        <w:t xml:space="preserve">Анализът на възможното значително засягане на територии от реализирането на </w:t>
      </w:r>
      <w:r w:rsidR="00CD4045" w:rsidRPr="009F6D1E">
        <w:rPr>
          <w:rFonts w:cs="Times New Roman"/>
          <w:szCs w:val="24"/>
        </w:rPr>
        <w:t>СПРЗСР</w:t>
      </w:r>
      <w:r w:rsidRPr="009F6D1E">
        <w:rPr>
          <w:rFonts w:cs="Times New Roman"/>
          <w:szCs w:val="24"/>
        </w:rPr>
        <w:t xml:space="preserve"> е направен, като са съобразени актуалните насоки на Европейската комисия, в т.ч.: </w:t>
      </w:r>
    </w:p>
    <w:p w14:paraId="132392A6" w14:textId="77777777" w:rsidR="00A606F5" w:rsidRPr="009F6D1E" w:rsidRDefault="00A606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Техническите насоки на Европейска комисия за интегриране на принципа за „</w:t>
      </w:r>
      <w:proofErr w:type="spellStart"/>
      <w:r w:rsidRPr="009F6D1E">
        <w:rPr>
          <w:rFonts w:eastAsia="Times New Roman" w:cs="Times New Roman"/>
          <w:szCs w:val="24"/>
          <w:lang w:eastAsia="bg-BG" w:bidi="bg-BG"/>
        </w:rPr>
        <w:t>ненанасяне</w:t>
      </w:r>
      <w:proofErr w:type="spellEnd"/>
      <w:r w:rsidRPr="009F6D1E">
        <w:rPr>
          <w:rFonts w:eastAsia="Times New Roman" w:cs="Times New Roman"/>
          <w:szCs w:val="24"/>
          <w:lang w:eastAsia="bg-BG" w:bidi="bg-BG"/>
        </w:rPr>
        <w:t xml:space="preserve"> на значителни вреди“ съгласно Регламента за Механизма за възстановяване и устойчивост, като въздействията са анализирани и спрямо шестте екологични цели, обхванати от Регламента на таксономията, и </w:t>
      </w:r>
    </w:p>
    <w:p w14:paraId="56BDA1C1" w14:textId="77777777" w:rsidR="00A606F5" w:rsidRPr="009F6D1E" w:rsidRDefault="00A606F5"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Техническите насоки за климатична устойчивост на инфраструктурни проекти в периода 2021-2027 г., Известие на Европейска комисия, С(2021)5430.</w:t>
      </w:r>
    </w:p>
    <w:p w14:paraId="43F3437A" w14:textId="77777777" w:rsidR="00A606F5" w:rsidRPr="009F6D1E" w:rsidRDefault="00A606F5" w:rsidP="0084747F">
      <w:pPr>
        <w:spacing w:after="60" w:line="264" w:lineRule="auto"/>
        <w:contextualSpacing/>
        <w:jc w:val="both"/>
        <w:rPr>
          <w:rFonts w:eastAsia="Calibri" w:cs="Times New Roman"/>
          <w:b/>
          <w:bCs/>
          <w:i/>
          <w:iCs/>
          <w:szCs w:val="24"/>
        </w:rPr>
      </w:pPr>
    </w:p>
    <w:p w14:paraId="66707B68" w14:textId="46F1DD29" w:rsidR="00471E9F" w:rsidRPr="009F6D1E" w:rsidRDefault="00DD2893"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r w:rsidRPr="009F6D1E">
        <w:rPr>
          <w:rFonts w:eastAsia="Times New Roman"/>
          <w:b/>
          <w:i/>
          <w:lang w:val="bg-BG"/>
        </w:rPr>
        <w:t xml:space="preserve"> </w:t>
      </w:r>
      <w:bookmarkStart w:id="487" w:name="_Toc115255009"/>
      <w:r w:rsidR="00AC7515" w:rsidRPr="009F6D1E">
        <w:rPr>
          <w:rFonts w:eastAsia="Times New Roman"/>
          <w:b/>
          <w:i/>
          <w:lang w:val="bg-BG"/>
        </w:rPr>
        <w:t>НЕМ, биоразноо</w:t>
      </w:r>
      <w:r w:rsidR="007C3C44">
        <w:rPr>
          <w:rFonts w:eastAsia="Times New Roman"/>
          <w:b/>
          <w:i/>
          <w:lang w:val="bg-BG"/>
        </w:rPr>
        <w:t>б</w:t>
      </w:r>
      <w:r w:rsidR="00AC7515" w:rsidRPr="009F6D1E">
        <w:rPr>
          <w:rFonts w:eastAsia="Times New Roman"/>
          <w:b/>
          <w:i/>
          <w:lang w:val="bg-BG"/>
        </w:rPr>
        <w:t>разие и горски</w:t>
      </w:r>
      <w:r w:rsidR="00471E9F" w:rsidRPr="009F6D1E">
        <w:rPr>
          <w:rFonts w:eastAsia="Times New Roman"/>
          <w:b/>
          <w:i/>
          <w:lang w:val="bg-BG"/>
        </w:rPr>
        <w:t xml:space="preserve"> територии</w:t>
      </w:r>
      <w:bookmarkEnd w:id="487"/>
    </w:p>
    <w:p w14:paraId="043B27B1" w14:textId="77777777" w:rsidR="00CD6D4E" w:rsidRPr="009F6D1E" w:rsidRDefault="00CD6D4E" w:rsidP="0084747F">
      <w:pPr>
        <w:autoSpaceDE w:val="0"/>
        <w:autoSpaceDN w:val="0"/>
        <w:adjustRightInd w:val="0"/>
        <w:spacing w:after="60" w:line="264" w:lineRule="auto"/>
        <w:ind w:firstLine="708"/>
        <w:jc w:val="both"/>
        <w:rPr>
          <w:rFonts w:cs="Times New Roman"/>
          <w:color w:val="000000"/>
          <w:szCs w:val="24"/>
        </w:rPr>
      </w:pPr>
      <w:bookmarkStart w:id="488" w:name="_Toc97657050"/>
      <w:bookmarkStart w:id="489" w:name="_Toc97657336"/>
      <w:bookmarkStart w:id="490" w:name="_Toc97657051"/>
      <w:bookmarkStart w:id="491" w:name="_Toc97657337"/>
      <w:bookmarkStart w:id="492" w:name="_Toc97657052"/>
      <w:bookmarkStart w:id="493" w:name="_Toc97657338"/>
      <w:bookmarkStart w:id="494" w:name="_Toc97657053"/>
      <w:bookmarkStart w:id="495" w:name="_Toc97657339"/>
      <w:bookmarkStart w:id="496" w:name="_Toc97657054"/>
      <w:bookmarkStart w:id="497" w:name="_Toc97657340"/>
      <w:bookmarkStart w:id="498" w:name="_Toc97657055"/>
      <w:bookmarkStart w:id="499" w:name="_Toc97657341"/>
      <w:bookmarkStart w:id="500" w:name="_Toc97657056"/>
      <w:bookmarkStart w:id="501" w:name="_Toc97657342"/>
      <w:bookmarkStart w:id="502" w:name="_Toc97657057"/>
      <w:bookmarkStart w:id="503" w:name="_Toc97657343"/>
      <w:bookmarkStart w:id="504" w:name="_Toc97657058"/>
      <w:bookmarkStart w:id="505" w:name="_Toc97657344"/>
      <w:bookmarkStart w:id="506" w:name="_Toc97657059"/>
      <w:bookmarkStart w:id="507" w:name="_Toc97657345"/>
      <w:bookmarkStart w:id="508" w:name="_Toc97657060"/>
      <w:bookmarkStart w:id="509" w:name="_Toc97657346"/>
      <w:bookmarkStart w:id="510" w:name="_Toc97657061"/>
      <w:bookmarkStart w:id="511" w:name="_Toc97657347"/>
      <w:bookmarkStart w:id="512" w:name="_Toc97657062"/>
      <w:bookmarkStart w:id="513" w:name="_Toc97657348"/>
      <w:bookmarkStart w:id="514" w:name="_Toc97657063"/>
      <w:bookmarkStart w:id="515" w:name="_Toc97657349"/>
      <w:bookmarkStart w:id="516" w:name="_Toc97657064"/>
      <w:bookmarkStart w:id="517" w:name="_Toc97657350"/>
      <w:bookmarkStart w:id="518" w:name="_Toc97657065"/>
      <w:bookmarkStart w:id="519" w:name="_Toc97657351"/>
      <w:bookmarkStart w:id="520" w:name="_Toc97657066"/>
      <w:bookmarkStart w:id="521" w:name="_Toc97657352"/>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6C6E5BC8"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Националната екологична мрежа се изгражда според изискванията на Закона за биологичното разнообразие. Нейните цели са: дългосрочно опазване на биологичното, геологично и </w:t>
      </w:r>
      <w:proofErr w:type="spellStart"/>
      <w:r w:rsidRPr="009F6D1E">
        <w:rPr>
          <w:rFonts w:cs="Times New Roman"/>
          <w:color w:val="000000"/>
          <w:szCs w:val="24"/>
        </w:rPr>
        <w:t>ландшафтно</w:t>
      </w:r>
      <w:proofErr w:type="spellEnd"/>
      <w:r w:rsidRPr="009F6D1E">
        <w:rPr>
          <w:rFonts w:cs="Times New Roman"/>
          <w:color w:val="000000"/>
          <w:szCs w:val="24"/>
        </w:rPr>
        <w:t xml:space="preserve"> разнообразие; осигуряване на достатъчни по площ и качество места за размножаване, хранене и почивка, включително при миграция, линеене и зимуване на дивите животни; създаване на условия за генетичен обмен между разделени популации и видове; участие на Република България в европейските и световни екологични мрежи; ограничаване на негативното антропогенно въздействие върху защитени територии.</w:t>
      </w:r>
    </w:p>
    <w:p w14:paraId="60C4077B"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Националната екологична мрежа се състои от защитени територии, обявени според изискванията на Закона за защитените територии, и защитени зони, които се обявяват според изискванията на Директива 92/43/ЕИО на Съвета за опазване на естествените местообитания и на дивата флора и фауна и Директива 2009/147/ЕИО на Съвета относно опазването на дивите птици. В Националната екологична мрежа приоритетно се включват КОРИНЕ места, </w:t>
      </w:r>
      <w:proofErr w:type="spellStart"/>
      <w:r w:rsidRPr="009F6D1E">
        <w:rPr>
          <w:rFonts w:cs="Times New Roman"/>
          <w:color w:val="000000"/>
          <w:szCs w:val="24"/>
        </w:rPr>
        <w:t>Рамсарски</w:t>
      </w:r>
      <w:proofErr w:type="spellEnd"/>
      <w:r w:rsidRPr="009F6D1E">
        <w:rPr>
          <w:rFonts w:cs="Times New Roman"/>
          <w:color w:val="000000"/>
          <w:szCs w:val="24"/>
        </w:rPr>
        <w:t xml:space="preserve"> места, важни места за растенията и </w:t>
      </w:r>
      <w:proofErr w:type="spellStart"/>
      <w:r w:rsidRPr="009F6D1E">
        <w:rPr>
          <w:rFonts w:cs="Times New Roman"/>
          <w:color w:val="000000"/>
          <w:szCs w:val="24"/>
        </w:rPr>
        <w:t>орнитологични</w:t>
      </w:r>
      <w:proofErr w:type="spellEnd"/>
      <w:r w:rsidRPr="009F6D1E">
        <w:rPr>
          <w:rFonts w:cs="Times New Roman"/>
          <w:color w:val="000000"/>
          <w:szCs w:val="24"/>
        </w:rPr>
        <w:t xml:space="preserve"> важни места.</w:t>
      </w:r>
    </w:p>
    <w:p w14:paraId="5B5FF564"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Към настоящият момент в България са обявени 1015 защитени територии, които обхващат приблизително 5,3 % от територията на страната. Според Закона за защитените територии, защитените територии са 6 категории: резервати (55), национални паркове (3), природни забележителности (348), поддържани резервати (35), природни паркове (11), защитени местности (563). </w:t>
      </w:r>
    </w:p>
    <w:p w14:paraId="0B55D2E6"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proofErr w:type="spellStart"/>
      <w:r w:rsidRPr="009F6D1E">
        <w:rPr>
          <w:rFonts w:cs="Times New Roman"/>
          <w:color w:val="000000"/>
          <w:szCs w:val="24"/>
        </w:rPr>
        <w:t>Mрежата</w:t>
      </w:r>
      <w:proofErr w:type="spellEnd"/>
      <w:r w:rsidRPr="009F6D1E">
        <w:rPr>
          <w:rFonts w:cs="Times New Roman"/>
          <w:color w:val="000000"/>
          <w:szCs w:val="24"/>
        </w:rPr>
        <w:t xml:space="preserve"> от защитени зони включва 120 защитени зони за опазване на дивите птици, покриващи 23,1 % от територията на България и 233 защитени зони за опазване на природни местообитания, покриващи 30,3 % от територията на България. Общо в България към момента от Министерски съвет са приети 340 защитени зони от Натура 2000 покриващи общо 34,9 % от територията на страната.</w:t>
      </w:r>
    </w:p>
    <w:p w14:paraId="768885A9"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lastRenderedPageBreak/>
        <w:t xml:space="preserve">Според МОСВ (писмо изх. № ЕО-1/04.10.2021 г.) </w:t>
      </w:r>
      <w:r w:rsidR="00CD4045" w:rsidRPr="009F6D1E">
        <w:rPr>
          <w:rFonts w:cs="Times New Roman"/>
          <w:color w:val="000000"/>
          <w:szCs w:val="24"/>
        </w:rPr>
        <w:t>СПРЗСР</w:t>
      </w:r>
      <w:r w:rsidRPr="009F6D1E">
        <w:rPr>
          <w:rFonts w:cs="Times New Roman"/>
          <w:color w:val="000000"/>
          <w:szCs w:val="24"/>
        </w:rPr>
        <w:t xml:space="preserve"> е допустим при съобразяване на предвижданията му с: </w:t>
      </w:r>
    </w:p>
    <w:p w14:paraId="6E7CA8DE" w14:textId="77777777"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режимите на защитените територии, определени със Закона за защитените територии, заповедите за обявяването им и с утвърдените планове за управление; </w:t>
      </w:r>
    </w:p>
    <w:p w14:paraId="3F672BE2" w14:textId="77777777"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режимите на защитените зони, определени със заповедите за обявяването им и с утвърдените планове за управление. </w:t>
      </w:r>
    </w:p>
    <w:p w14:paraId="740B51D8"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Според компетентния орган проекта на </w:t>
      </w:r>
      <w:r w:rsidR="00CD4045" w:rsidRPr="009F6D1E">
        <w:rPr>
          <w:rFonts w:cs="Times New Roman"/>
          <w:color w:val="000000"/>
          <w:szCs w:val="24"/>
        </w:rPr>
        <w:t>СПРЗСР</w:t>
      </w:r>
      <w:r w:rsidRPr="009F6D1E">
        <w:rPr>
          <w:rFonts w:cs="Times New Roman"/>
          <w:color w:val="000000"/>
          <w:szCs w:val="24"/>
        </w:rPr>
        <w:t xml:space="preserve"> има вероятност да окаже значително отрицателно въздействие върху природни местообитания, популации и местообитания на видове, предмет на опазване в защитените зони от екологичната мрежа Натура 2000. </w:t>
      </w:r>
    </w:p>
    <w:p w14:paraId="714FB604"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Прилагането на Програмата е възможно да окаже отрицателно въздействие върху определени територии и екосистеми, важни за поддържане на биоразнообразието, като:</w:t>
      </w:r>
    </w:p>
    <w:p w14:paraId="1A069CAF" w14:textId="77777777"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Земеделски земи с висока природна стойност (ЗЗВПС). Те могат да се дефинират като „територии, в които земеделието е основен (обикновено преобладаващ) начин на </w:t>
      </w:r>
      <w:proofErr w:type="spellStart"/>
      <w:r w:rsidRPr="009F6D1E">
        <w:rPr>
          <w:rFonts w:cs="Times New Roman"/>
          <w:szCs w:val="24"/>
          <w:lang w:bidi="bg-BG"/>
        </w:rPr>
        <w:t>земеползване</w:t>
      </w:r>
      <w:proofErr w:type="spellEnd"/>
      <w:r w:rsidRPr="009F6D1E">
        <w:rPr>
          <w:rFonts w:cs="Times New Roman"/>
          <w:szCs w:val="24"/>
          <w:lang w:bidi="bg-BG"/>
        </w:rPr>
        <w:t xml:space="preserve"> и земеделската дейност поддържа или е свързана с голямо разнообразие на видове или местообитания или на видове от европейска </w:t>
      </w:r>
      <w:proofErr w:type="spellStart"/>
      <w:r w:rsidRPr="009F6D1E">
        <w:rPr>
          <w:rFonts w:cs="Times New Roman"/>
          <w:szCs w:val="24"/>
          <w:lang w:bidi="bg-BG"/>
        </w:rPr>
        <w:t>консервационна</w:t>
      </w:r>
      <w:proofErr w:type="spellEnd"/>
      <w:r w:rsidRPr="009F6D1E">
        <w:rPr>
          <w:rFonts w:cs="Times New Roman"/>
          <w:szCs w:val="24"/>
          <w:lang w:bidi="bg-BG"/>
        </w:rPr>
        <w:t xml:space="preserve"> значимост, или и двете”. Има три основни типа 33ВПС: </w:t>
      </w:r>
    </w:p>
    <w:p w14:paraId="0AB5A857"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Тип 1. Земеделски земи със значително участие на полу-естествена растителност, предимно ливади и пасища. </w:t>
      </w:r>
    </w:p>
    <w:p w14:paraId="7607BF02"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Тип 2. Земеделски земи с мозаечно отглеждани култури, с ниска степен на интензивност на обработката и пояси от естествена растителност – синори, малки групи от дървета и храсталаци, малки рекички и вади, скални групи и т.н. В тези територии се обособяват голям брой екологични ниши и дивите растения и животни могат да съществуват независимо и/или благодарение на земеделските практики. </w:t>
      </w:r>
    </w:p>
    <w:p w14:paraId="2237B2C7" w14:textId="77777777" w:rsidR="00AC7515" w:rsidRPr="009F6D1E" w:rsidRDefault="00AC7515"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Тип 3. Земеделски (обработваеми) земи, които поддържат популации на редки видове с европейско и световно природозащитно значение – редки, застрашени видове, защитени от българското и международното законодателство. Голяма част от земите с ВПС обхващат територии в планинските и полупланински райони или такива в равнините, но с ниска продуктивност, където земеделието е затруднено от фактори като стръмни склонове, бедни почви, голяма надморска височина, малко количество на валежите и др.</w:t>
      </w:r>
    </w:p>
    <w:p w14:paraId="4DD24A4B" w14:textId="77777777"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Обработваеми земи, формиращи специфични изкуствено създадени екосистеми – </w:t>
      </w:r>
      <w:proofErr w:type="spellStart"/>
      <w:r w:rsidRPr="009F6D1E">
        <w:rPr>
          <w:rFonts w:cs="Times New Roman"/>
          <w:szCs w:val="24"/>
          <w:lang w:bidi="bg-BG"/>
        </w:rPr>
        <w:t>агроекосиeтеми</w:t>
      </w:r>
      <w:proofErr w:type="spellEnd"/>
      <w:r w:rsidRPr="009F6D1E">
        <w:rPr>
          <w:rFonts w:cs="Times New Roman"/>
          <w:szCs w:val="24"/>
          <w:lang w:bidi="bg-BG"/>
        </w:rPr>
        <w:t xml:space="preserve">. Те се характеризират с относително ограничено биоразнообразие, но са обитавани от някои видове (вкл. защитени, редки или с неблагоприятен природозащитен статус) като вторично местообитание. Много птици използват </w:t>
      </w:r>
      <w:proofErr w:type="spellStart"/>
      <w:r w:rsidRPr="009F6D1E">
        <w:rPr>
          <w:rFonts w:cs="Times New Roman"/>
          <w:szCs w:val="24"/>
          <w:lang w:bidi="bg-BG"/>
        </w:rPr>
        <w:t>агроценозите</w:t>
      </w:r>
      <w:proofErr w:type="spellEnd"/>
      <w:r w:rsidRPr="009F6D1E">
        <w:rPr>
          <w:rFonts w:cs="Times New Roman"/>
          <w:szCs w:val="24"/>
          <w:lang w:bidi="bg-BG"/>
        </w:rPr>
        <w:t xml:space="preserve"> като източник на храна и за ловуване (хищни птици, чучулиги и др.), въпреки че гнездят в различни гнездови местообитания. </w:t>
      </w:r>
    </w:p>
    <w:p w14:paraId="1778FC76" w14:textId="68C1B541"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 xml:space="preserve">Пасища, ливади, мери (тревни местообитания в земеделски земи и горския фонд). Тревните местообитания се характеризират с богато биоразнообразие от всички биологични групи. Тревистите екосистеми са на трето място по </w:t>
      </w:r>
      <w:proofErr w:type="spellStart"/>
      <w:r w:rsidRPr="009F6D1E">
        <w:rPr>
          <w:rFonts w:cs="Times New Roman"/>
          <w:szCs w:val="24"/>
          <w:lang w:bidi="bg-BG"/>
        </w:rPr>
        <w:t>площно</w:t>
      </w:r>
      <w:proofErr w:type="spellEnd"/>
      <w:r w:rsidRPr="009F6D1E">
        <w:rPr>
          <w:rFonts w:cs="Times New Roman"/>
          <w:szCs w:val="24"/>
          <w:lang w:bidi="bg-BG"/>
        </w:rPr>
        <w:t xml:space="preserve"> покритие на територията на страната, но на второ по покритие в мрежата от защитени зони, което определя тяхното изключително значение за опазване на биоразнообразието в тях.</w:t>
      </w:r>
    </w:p>
    <w:p w14:paraId="1779ECD9" w14:textId="77777777"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lastRenderedPageBreak/>
        <w:t>Храстови екосистеми. Храстовите съобщества са богати на растения и животни. В тях са установени над  30 растителни вида и 130 гръбначни и безгръбначни животни. В повечето от степно-храстовите екосистеми у нас (83 %) няма или са налични до три чужди инвазивни вида, което повишава значението им.</w:t>
      </w:r>
    </w:p>
    <w:p w14:paraId="3B7FFA3A" w14:textId="6A535FDE" w:rsidR="00AC7515" w:rsidRPr="009F6D1E" w:rsidRDefault="00AC7515"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Гори. Г</w:t>
      </w:r>
      <w:r w:rsidR="007C3C44">
        <w:rPr>
          <w:rFonts w:cs="Times New Roman"/>
          <w:szCs w:val="24"/>
          <w:lang w:bidi="bg-BG"/>
        </w:rPr>
        <w:t>о</w:t>
      </w:r>
      <w:r w:rsidRPr="009F6D1E">
        <w:rPr>
          <w:rFonts w:cs="Times New Roman"/>
          <w:szCs w:val="24"/>
          <w:lang w:bidi="bg-BG"/>
        </w:rPr>
        <w:t xml:space="preserve">рските екосистеми (равнинни, планински, крайречни, и </w:t>
      </w:r>
      <w:proofErr w:type="spellStart"/>
      <w:r w:rsidRPr="009F6D1E">
        <w:rPr>
          <w:rFonts w:cs="Times New Roman"/>
          <w:szCs w:val="24"/>
          <w:lang w:bidi="bg-BG"/>
        </w:rPr>
        <w:t>т.н</w:t>
      </w:r>
      <w:proofErr w:type="spellEnd"/>
      <w:r w:rsidRPr="009F6D1E">
        <w:rPr>
          <w:rFonts w:cs="Times New Roman"/>
          <w:szCs w:val="24"/>
          <w:lang w:bidi="bg-BG"/>
        </w:rPr>
        <w:t>) са важно местообитание за много растителни и животински видове. С особено висока значимост са горите във фаза на старост - вековни гори, които са слабо повлияни от човека, съхраняващи ценно биоразнообразие. Обвяването им за вековни гори налага и специален режим за тяхното стопанисване като добивът на дървесина в тях е забранен.</w:t>
      </w:r>
    </w:p>
    <w:p w14:paraId="37AF6228" w14:textId="77777777" w:rsidR="00DD2893" w:rsidRPr="009F6D1E" w:rsidRDefault="00DD2893" w:rsidP="0084747F">
      <w:pPr>
        <w:autoSpaceDE w:val="0"/>
        <w:autoSpaceDN w:val="0"/>
        <w:adjustRightInd w:val="0"/>
        <w:spacing w:after="60" w:line="264" w:lineRule="auto"/>
        <w:ind w:firstLine="720"/>
        <w:jc w:val="both"/>
        <w:rPr>
          <w:rFonts w:eastAsia="ヒラギノ角ゴ Pro W3" w:cs="Times New Roman"/>
          <w:color w:val="000000"/>
          <w:szCs w:val="24"/>
          <w:highlight w:val="yellow"/>
        </w:rPr>
      </w:pPr>
    </w:p>
    <w:p w14:paraId="5E555F43"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22" w:name="_Toc115255010"/>
      <w:r w:rsidRPr="009F6D1E">
        <w:rPr>
          <w:rFonts w:eastAsia="Times New Roman"/>
          <w:b/>
          <w:i/>
          <w:lang w:val="bg-BG"/>
        </w:rPr>
        <w:t>Зони за защита на водите, съгласно чл. 119а, ал. 1 от закона за водите</w:t>
      </w:r>
      <w:bookmarkEnd w:id="522"/>
    </w:p>
    <w:p w14:paraId="0C34792A" w14:textId="77777777" w:rsidR="00A606F5" w:rsidRPr="009F6D1E" w:rsidRDefault="00A606F5" w:rsidP="0084747F">
      <w:pPr>
        <w:spacing w:after="60" w:line="264" w:lineRule="auto"/>
        <w:contextualSpacing/>
        <w:jc w:val="both"/>
        <w:rPr>
          <w:rFonts w:eastAsia="Calibri" w:cs="Times New Roman"/>
          <w:b/>
          <w:bCs/>
          <w:i/>
          <w:iCs/>
          <w:szCs w:val="24"/>
        </w:rPr>
      </w:pPr>
    </w:p>
    <w:p w14:paraId="54190258"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Съгласно Закона за водите, чл. 119а, зоните за защита на водите са:</w:t>
      </w:r>
    </w:p>
    <w:p w14:paraId="5E7BCBC0" w14:textId="77777777" w:rsidR="00382F2C" w:rsidRPr="009F6D1E" w:rsidRDefault="005D41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Територията </w:t>
      </w:r>
      <w:r w:rsidR="00382F2C" w:rsidRPr="009F6D1E">
        <w:rPr>
          <w:rFonts w:eastAsia="Times New Roman" w:cs="Times New Roman"/>
          <w:szCs w:val="24"/>
          <w:lang w:eastAsia="bg-BG" w:bidi="bg-BG"/>
        </w:rPr>
        <w:t>на водосбора на повърхностните водни тела и земната повърхност над подземните водни тела по чл. 119, ал. 1, т. 1 и 2;</w:t>
      </w:r>
    </w:p>
    <w:p w14:paraId="4E446029" w14:textId="77777777" w:rsidR="00382F2C" w:rsidRPr="009F6D1E" w:rsidRDefault="005D41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Водните </w:t>
      </w:r>
      <w:r w:rsidR="00382F2C" w:rsidRPr="009F6D1E">
        <w:rPr>
          <w:rFonts w:eastAsia="Times New Roman" w:cs="Times New Roman"/>
          <w:szCs w:val="24"/>
          <w:lang w:eastAsia="bg-BG" w:bidi="bg-BG"/>
        </w:rPr>
        <w:t>тела, определени като води за отдих и водни спортове, включително определените зони с води за къпане, съгласно наредбата по чл. 135, ал. 1, т. 7;</w:t>
      </w:r>
    </w:p>
    <w:p w14:paraId="3029F5D0"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Зоните, в които водите са чувствителни към биогенни елементи, включително:</w:t>
      </w:r>
    </w:p>
    <w:p w14:paraId="54C7FC23" w14:textId="77777777" w:rsidR="00382F2C" w:rsidRPr="009F6D1E" w:rsidRDefault="00382F2C"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уязвими зони;</w:t>
      </w:r>
    </w:p>
    <w:p w14:paraId="1720A0CF" w14:textId="77777777" w:rsidR="00382F2C" w:rsidRPr="009F6D1E" w:rsidRDefault="00382F2C" w:rsidP="0084747F">
      <w:pPr>
        <w:pStyle w:val="ListParagraph"/>
        <w:widowControl w:val="0"/>
        <w:numPr>
          <w:ilvl w:val="0"/>
          <w:numId w:val="4"/>
        </w:numPr>
        <w:spacing w:after="60" w:line="264" w:lineRule="auto"/>
        <w:ind w:left="0" w:firstLine="900"/>
        <w:jc w:val="both"/>
        <w:rPr>
          <w:rFonts w:eastAsia="Times New Roman"/>
          <w:lang w:val="bg-BG" w:eastAsia="bg-BG" w:bidi="bg-BG"/>
        </w:rPr>
      </w:pPr>
      <w:r w:rsidRPr="009F6D1E">
        <w:rPr>
          <w:rFonts w:eastAsia="Times New Roman"/>
          <w:lang w:val="bg-BG" w:eastAsia="bg-BG" w:bidi="bg-BG"/>
        </w:rPr>
        <w:t>чувствителни зони;</w:t>
      </w:r>
    </w:p>
    <w:p w14:paraId="59C5F3B9" w14:textId="77777777" w:rsidR="00382F2C" w:rsidRPr="009F6D1E" w:rsidRDefault="005D41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w:t>
      </w:r>
      <w:r w:rsidR="00382F2C" w:rsidRPr="009F6D1E">
        <w:rPr>
          <w:rFonts w:eastAsia="Times New Roman" w:cs="Times New Roman"/>
          <w:szCs w:val="24"/>
          <w:lang w:eastAsia="bg-BG" w:bidi="bg-BG"/>
        </w:rPr>
        <w:t>оните за опазване на стопански ценни видове риби и други водни организми;</w:t>
      </w:r>
    </w:p>
    <w:p w14:paraId="1A23E7D6" w14:textId="77777777" w:rsidR="00382F2C" w:rsidRPr="009F6D1E" w:rsidRDefault="005D41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З</w:t>
      </w:r>
      <w:r w:rsidR="00382F2C" w:rsidRPr="009F6D1E">
        <w:rPr>
          <w:rFonts w:eastAsia="Times New Roman" w:cs="Times New Roman"/>
          <w:szCs w:val="24"/>
          <w:lang w:eastAsia="bg-BG" w:bidi="bg-BG"/>
        </w:rPr>
        <w:t>ащитените територии и зони, определени или обявени за опазване на местообитания и биологични видове, в които поддържането или подобряването на състоянието на водите е важен фактор за тяхното опазване.</w:t>
      </w:r>
    </w:p>
    <w:p w14:paraId="6E81B83C" w14:textId="77777777" w:rsidR="00382F2C" w:rsidRPr="009F6D1E" w:rsidRDefault="00382F2C" w:rsidP="0084747F">
      <w:pPr>
        <w:autoSpaceDE w:val="0"/>
        <w:autoSpaceDN w:val="0"/>
        <w:adjustRightInd w:val="0"/>
        <w:spacing w:after="60" w:line="264" w:lineRule="auto"/>
        <w:jc w:val="both"/>
        <w:rPr>
          <w:rFonts w:cs="Times New Roman"/>
        </w:rPr>
      </w:pPr>
    </w:p>
    <w:p w14:paraId="0185B82F" w14:textId="77777777" w:rsidR="00382F2C" w:rsidRPr="009F6D1E" w:rsidRDefault="00382F2C" w:rsidP="0084747F">
      <w:pPr>
        <w:widowControl w:val="0"/>
        <w:spacing w:after="60" w:line="264" w:lineRule="auto"/>
        <w:ind w:firstLine="760"/>
        <w:jc w:val="both"/>
        <w:rPr>
          <w:rFonts w:eastAsia="Times New Roman" w:cs="Times New Roman"/>
          <w:iCs/>
          <w:szCs w:val="24"/>
        </w:rPr>
      </w:pPr>
      <w:r w:rsidRPr="009F6D1E">
        <w:rPr>
          <w:rFonts w:eastAsia="Times New Roman" w:cs="Times New Roman"/>
          <w:iCs/>
          <w:szCs w:val="24"/>
        </w:rPr>
        <w:t xml:space="preserve">На територията на Република България са обособени зони за защита на водите, чиито мониторинг се извършва по райони за басейново управление (Дунавски, Черноморски, Източнобеломорски и </w:t>
      </w:r>
      <w:proofErr w:type="spellStart"/>
      <w:r w:rsidRPr="009F6D1E">
        <w:rPr>
          <w:rFonts w:eastAsia="Times New Roman" w:cs="Times New Roman"/>
          <w:iCs/>
          <w:szCs w:val="24"/>
        </w:rPr>
        <w:t>Западнобеломорски</w:t>
      </w:r>
      <w:proofErr w:type="spellEnd"/>
      <w:r w:rsidRPr="009F6D1E">
        <w:rPr>
          <w:rFonts w:eastAsia="Times New Roman" w:cs="Times New Roman"/>
          <w:iCs/>
          <w:szCs w:val="24"/>
        </w:rPr>
        <w:t xml:space="preserve"> район за басейново управление).</w:t>
      </w:r>
    </w:p>
    <w:p w14:paraId="01F78339" w14:textId="77777777" w:rsidR="00382F2C" w:rsidRPr="009F6D1E" w:rsidRDefault="00382F2C" w:rsidP="0084747F">
      <w:pPr>
        <w:widowControl w:val="0"/>
        <w:spacing w:after="60" w:line="264" w:lineRule="auto"/>
        <w:ind w:firstLine="760"/>
        <w:jc w:val="both"/>
        <w:rPr>
          <w:rFonts w:eastAsia="Times New Roman" w:cs="Times New Roman"/>
          <w:iCs/>
          <w:szCs w:val="24"/>
        </w:rPr>
      </w:pPr>
      <w:r w:rsidRPr="009F6D1E">
        <w:rPr>
          <w:rFonts w:eastAsia="Times New Roman" w:cs="Times New Roman"/>
          <w:iCs/>
          <w:szCs w:val="24"/>
        </w:rPr>
        <w:t>Оценката на състоянието на отделните зони за защита на водите (ЗЗВ) е извършена на база данните от проведения мониторинг в съответствие с нормативните документи и утвърдения подход за оценка на състоянието на ЗЗВ.</w:t>
      </w:r>
    </w:p>
    <w:p w14:paraId="0F71D244" w14:textId="77777777" w:rsidR="00382F2C" w:rsidRPr="009F6D1E" w:rsidRDefault="00382F2C" w:rsidP="0084747F">
      <w:pPr>
        <w:widowControl w:val="0"/>
        <w:spacing w:after="60" w:line="264" w:lineRule="auto"/>
        <w:ind w:firstLine="760"/>
        <w:jc w:val="both"/>
        <w:rPr>
          <w:rFonts w:eastAsia="Times New Roman" w:cs="Times New Roman"/>
          <w:iCs/>
          <w:szCs w:val="24"/>
        </w:rPr>
      </w:pPr>
      <w:r w:rsidRPr="009F6D1E">
        <w:rPr>
          <w:rFonts w:eastAsia="Times New Roman" w:cs="Times New Roman"/>
          <w:iCs/>
          <w:szCs w:val="24"/>
        </w:rPr>
        <w:t>Съгласно Плановете за управление на речните басейни (ПУРБ 2016-2021 г.), оценката на състоянието на зоните за защита на водите по басейнови дирекции е както следва:</w:t>
      </w:r>
    </w:p>
    <w:p w14:paraId="1C9C2E4B" w14:textId="77777777" w:rsidR="00382F2C" w:rsidRPr="009F6D1E" w:rsidRDefault="00382F2C" w:rsidP="0084747F">
      <w:pPr>
        <w:autoSpaceDE w:val="0"/>
        <w:autoSpaceDN w:val="0"/>
        <w:adjustRightInd w:val="0"/>
        <w:spacing w:after="60" w:line="264" w:lineRule="auto"/>
        <w:jc w:val="both"/>
        <w:rPr>
          <w:rFonts w:cs="Times New Roman"/>
        </w:rPr>
      </w:pPr>
    </w:p>
    <w:p w14:paraId="2EA8A530" w14:textId="77777777" w:rsidR="00382F2C" w:rsidRPr="009F6D1E" w:rsidRDefault="005D412C" w:rsidP="0084747F">
      <w:pPr>
        <w:widowControl w:val="0"/>
        <w:spacing w:after="60" w:line="264" w:lineRule="auto"/>
        <w:ind w:firstLine="760"/>
        <w:jc w:val="both"/>
        <w:rPr>
          <w:rFonts w:eastAsia="Times New Roman" w:cs="Times New Roman"/>
          <w:b/>
          <w:bCs/>
          <w:iCs/>
          <w:szCs w:val="24"/>
        </w:rPr>
      </w:pPr>
      <w:r w:rsidRPr="009F6D1E">
        <w:rPr>
          <w:rFonts w:eastAsia="Times New Roman" w:cs="Times New Roman"/>
          <w:b/>
          <w:bCs/>
          <w:iCs/>
          <w:szCs w:val="24"/>
        </w:rPr>
        <w:t>Зони за защита на повърхностни води, предназначени за питейно-битово водоснабдяване — повърхностни води</w:t>
      </w:r>
    </w:p>
    <w:p w14:paraId="16D5EB88"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„Дунавски район“</w:t>
      </w:r>
    </w:p>
    <w:p w14:paraId="27B98E5F"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lastRenderedPageBreak/>
        <w:t>В следствие на извършената актуализация на регистъра на зоните за защита на повърхностни води, предназначени за ПБВ, от 66 броя в първия план за управление на речните басейни в Дунавския район за басейново управление в  ПУРБ 2016-2021 г. са определени 72 броя зони за защита на водите, предназначени за питейно-битово водоснабдяване. В добро състояние са оценени 71 от зоните, като не достигаща добро състояние е зона с код BG1DSWIS1109 - РВ „Каменно здание“ на р. Перловска.</w:t>
      </w:r>
    </w:p>
    <w:p w14:paraId="1497990F" w14:textId="4BD1F056"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Тези зони представляват повърхностни водни тела категория „река“ или „езеро“. Обобщена информация за разпределение на зоните по поречия е представена в </w:t>
      </w:r>
      <w:r>
        <w:fldChar w:fldCharType="begin"/>
      </w:r>
      <w:r>
        <w:instrText xml:space="preserve"> REF _Ref97646907 \h  \* MERGEFORMAT </w:instrText>
      </w:r>
      <w:r>
        <w:fldChar w:fldCharType="separate"/>
      </w:r>
      <w:r w:rsidR="00A43EF3" w:rsidRPr="00A43EF3">
        <w:rPr>
          <w:rFonts w:cs="Times New Roman"/>
        </w:rPr>
        <w:t xml:space="preserve">Таблица </w:t>
      </w:r>
      <w:r w:rsidR="00A43EF3" w:rsidRPr="00A43EF3">
        <w:rPr>
          <w:rFonts w:cs="Times New Roman"/>
          <w:noProof/>
        </w:rPr>
        <w:t>34</w:t>
      </w:r>
      <w:r>
        <w:fldChar w:fldCharType="end"/>
      </w:r>
      <w:r w:rsidRPr="009F6D1E">
        <w:rPr>
          <w:rFonts w:cs="Times New Roman"/>
          <w:color w:val="000000"/>
          <w:szCs w:val="24"/>
        </w:rPr>
        <w:t>.</w:t>
      </w:r>
    </w:p>
    <w:p w14:paraId="16D79BAC" w14:textId="60D24E70" w:rsidR="00382F2C" w:rsidRPr="009F6D1E" w:rsidRDefault="005D412C" w:rsidP="0084747F">
      <w:pPr>
        <w:pStyle w:val="Caption"/>
        <w:spacing w:after="60" w:line="264" w:lineRule="auto"/>
      </w:pPr>
      <w:bookmarkStart w:id="523" w:name="_Ref97646907"/>
      <w:bookmarkStart w:id="524" w:name="_Toc115255185"/>
      <w:r w:rsidRPr="009F6D1E">
        <w:t xml:space="preserve">Таблица </w:t>
      </w:r>
      <w:fldSimple w:instr=" SEQ Таблица \* ARABIC ">
        <w:r w:rsidR="00A43EF3">
          <w:rPr>
            <w:noProof/>
          </w:rPr>
          <w:t>34</w:t>
        </w:r>
      </w:fldSimple>
      <w:bookmarkEnd w:id="523"/>
      <w:r w:rsidRPr="009F6D1E">
        <w:t xml:space="preserve">: </w:t>
      </w:r>
      <w:bookmarkStart w:id="525" w:name="bookmark99"/>
      <w:r w:rsidR="00382F2C" w:rsidRPr="009F6D1E">
        <w:t>Обобщена информация за разпределението на зоните за защита на водите в БДДР</w:t>
      </w:r>
      <w:bookmarkEnd w:id="524"/>
      <w:bookmarkEnd w:id="525"/>
    </w:p>
    <w:tbl>
      <w:tblPr>
        <w:tblOverlap w:val="never"/>
        <w:tblW w:w="0" w:type="auto"/>
        <w:jc w:val="center"/>
        <w:tblCellMar>
          <w:left w:w="10" w:type="dxa"/>
          <w:right w:w="10" w:type="dxa"/>
        </w:tblCellMar>
        <w:tblLook w:val="0000" w:firstRow="0" w:lastRow="0" w:firstColumn="0" w:lastColumn="0" w:noHBand="0" w:noVBand="0"/>
      </w:tblPr>
      <w:tblGrid>
        <w:gridCol w:w="1511"/>
        <w:gridCol w:w="5669"/>
        <w:gridCol w:w="2448"/>
      </w:tblGrid>
      <w:tr w:rsidR="00382F2C" w:rsidRPr="009F6D1E" w14:paraId="7CA9C000" w14:textId="77777777" w:rsidTr="005D412C">
        <w:trPr>
          <w:trHeight w:hRule="exact" w:val="806"/>
          <w:tblHeader/>
          <w:jc w:val="center"/>
        </w:trPr>
        <w:tc>
          <w:tcPr>
            <w:tcW w:w="0" w:type="auto"/>
            <w:tcBorders>
              <w:top w:val="single" w:sz="4" w:space="0" w:color="auto"/>
              <w:left w:val="single" w:sz="4" w:space="0" w:color="auto"/>
              <w:bottom w:val="single" w:sz="4" w:space="0" w:color="auto"/>
            </w:tcBorders>
            <w:shd w:val="pct20" w:color="auto" w:fill="FFFFFF"/>
            <w:vAlign w:val="center"/>
          </w:tcPr>
          <w:p w14:paraId="687BCEB1" w14:textId="77777777" w:rsidR="00382F2C" w:rsidRPr="009F6D1E" w:rsidRDefault="00382F2C" w:rsidP="0084747F">
            <w:pPr>
              <w:spacing w:after="60" w:line="264" w:lineRule="auto"/>
              <w:jc w:val="center"/>
              <w:rPr>
                <w:rFonts w:cs="Times New Roman"/>
                <w:b/>
              </w:rPr>
            </w:pPr>
            <w:r w:rsidRPr="009F6D1E">
              <w:rPr>
                <w:rFonts w:cs="Times New Roman"/>
                <w:b/>
                <w:color w:val="000000"/>
                <w:sz w:val="20"/>
                <w:szCs w:val="20"/>
                <w:lang w:eastAsia="bg-BG" w:bidi="bg-BG"/>
              </w:rPr>
              <w:t>Поречие</w:t>
            </w:r>
          </w:p>
        </w:tc>
        <w:tc>
          <w:tcPr>
            <w:tcW w:w="0" w:type="auto"/>
            <w:tcBorders>
              <w:top w:val="single" w:sz="4" w:space="0" w:color="auto"/>
              <w:left w:val="single" w:sz="4" w:space="0" w:color="auto"/>
              <w:bottom w:val="single" w:sz="4" w:space="0" w:color="auto"/>
            </w:tcBorders>
            <w:shd w:val="pct20" w:color="auto" w:fill="FFFFFF"/>
            <w:vAlign w:val="center"/>
          </w:tcPr>
          <w:p w14:paraId="70B53D25" w14:textId="77777777" w:rsidR="00382F2C" w:rsidRPr="009F6D1E" w:rsidRDefault="00382F2C" w:rsidP="0084747F">
            <w:pPr>
              <w:spacing w:after="60" w:line="264" w:lineRule="auto"/>
              <w:jc w:val="center"/>
              <w:rPr>
                <w:rFonts w:cs="Times New Roman"/>
                <w:b/>
              </w:rPr>
            </w:pPr>
            <w:r w:rsidRPr="009F6D1E">
              <w:rPr>
                <w:rFonts w:cs="Times New Roman"/>
                <w:b/>
                <w:color w:val="000000"/>
                <w:sz w:val="20"/>
                <w:szCs w:val="20"/>
                <w:lang w:eastAsia="bg-BG" w:bidi="bg-BG"/>
              </w:rPr>
              <w:t>Зони за защита на повърхностни води, предназначени за ПБВ, брой</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center"/>
          </w:tcPr>
          <w:p w14:paraId="73F798B1" w14:textId="77777777" w:rsidR="00382F2C" w:rsidRPr="009F6D1E" w:rsidRDefault="00382F2C" w:rsidP="0084747F">
            <w:pPr>
              <w:spacing w:after="60" w:line="264" w:lineRule="auto"/>
              <w:jc w:val="center"/>
              <w:rPr>
                <w:rFonts w:cs="Times New Roman"/>
                <w:b/>
              </w:rPr>
            </w:pPr>
            <w:r w:rsidRPr="009F6D1E">
              <w:rPr>
                <w:rFonts w:cs="Times New Roman"/>
                <w:b/>
                <w:color w:val="000000"/>
                <w:sz w:val="20"/>
                <w:szCs w:val="20"/>
                <w:lang w:eastAsia="bg-BG" w:bidi="bg-BG"/>
              </w:rPr>
              <w:t xml:space="preserve">Обща водосборна площ, </w:t>
            </w:r>
            <w:r w:rsidRPr="009F6D1E">
              <w:rPr>
                <w:rFonts w:cs="Times New Roman"/>
                <w:b/>
                <w:color w:val="000000"/>
                <w:sz w:val="20"/>
                <w:szCs w:val="20"/>
                <w:lang w:eastAsia="bg-BG" w:bidi="en-US"/>
              </w:rPr>
              <w:t>km</w:t>
            </w:r>
            <w:r w:rsidRPr="009F6D1E">
              <w:rPr>
                <w:rFonts w:cs="Times New Roman"/>
                <w:b/>
                <w:color w:val="000000"/>
                <w:sz w:val="20"/>
                <w:szCs w:val="20"/>
                <w:vertAlign w:val="superscript"/>
                <w:lang w:eastAsia="bg-BG" w:bidi="en-US"/>
              </w:rPr>
              <w:t>2</w:t>
            </w:r>
          </w:p>
        </w:tc>
      </w:tr>
      <w:tr w:rsidR="00382F2C" w:rsidRPr="009F6D1E" w14:paraId="51524A7D"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1737AA07"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Искър</w:t>
            </w:r>
          </w:p>
        </w:tc>
        <w:tc>
          <w:tcPr>
            <w:tcW w:w="0" w:type="auto"/>
            <w:tcBorders>
              <w:top w:val="single" w:sz="4" w:space="0" w:color="auto"/>
              <w:left w:val="single" w:sz="4" w:space="0" w:color="auto"/>
            </w:tcBorders>
            <w:shd w:val="clear" w:color="auto" w:fill="FFFFFF"/>
          </w:tcPr>
          <w:p w14:paraId="4D8282EB"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37</w:t>
            </w:r>
          </w:p>
        </w:tc>
        <w:tc>
          <w:tcPr>
            <w:tcW w:w="0" w:type="auto"/>
            <w:tcBorders>
              <w:top w:val="single" w:sz="4" w:space="0" w:color="auto"/>
              <w:left w:val="single" w:sz="4" w:space="0" w:color="auto"/>
              <w:right w:val="single" w:sz="4" w:space="0" w:color="auto"/>
            </w:tcBorders>
            <w:shd w:val="clear" w:color="auto" w:fill="FFFFFF"/>
          </w:tcPr>
          <w:p w14:paraId="22E549F0"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985,098</w:t>
            </w:r>
          </w:p>
        </w:tc>
      </w:tr>
      <w:tr w:rsidR="00382F2C" w:rsidRPr="009F6D1E" w14:paraId="14C7CCBD"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5D007021"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Янтра</w:t>
            </w:r>
          </w:p>
        </w:tc>
        <w:tc>
          <w:tcPr>
            <w:tcW w:w="0" w:type="auto"/>
            <w:tcBorders>
              <w:top w:val="single" w:sz="4" w:space="0" w:color="auto"/>
              <w:left w:val="single" w:sz="4" w:space="0" w:color="auto"/>
            </w:tcBorders>
            <w:shd w:val="clear" w:color="auto" w:fill="FFFFFF"/>
            <w:vAlign w:val="bottom"/>
          </w:tcPr>
          <w:p w14:paraId="74DA9034"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12</w:t>
            </w:r>
          </w:p>
        </w:tc>
        <w:tc>
          <w:tcPr>
            <w:tcW w:w="0" w:type="auto"/>
            <w:tcBorders>
              <w:top w:val="single" w:sz="4" w:space="0" w:color="auto"/>
              <w:left w:val="single" w:sz="4" w:space="0" w:color="auto"/>
              <w:right w:val="single" w:sz="4" w:space="0" w:color="auto"/>
            </w:tcBorders>
            <w:shd w:val="clear" w:color="auto" w:fill="FFFFFF"/>
          </w:tcPr>
          <w:p w14:paraId="7FDB2282"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745,466</w:t>
            </w:r>
          </w:p>
        </w:tc>
      </w:tr>
      <w:tr w:rsidR="00382F2C" w:rsidRPr="009F6D1E" w14:paraId="358388E7"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50063DB5"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Огоста</w:t>
            </w:r>
          </w:p>
        </w:tc>
        <w:tc>
          <w:tcPr>
            <w:tcW w:w="0" w:type="auto"/>
            <w:tcBorders>
              <w:top w:val="single" w:sz="4" w:space="0" w:color="auto"/>
              <w:left w:val="single" w:sz="4" w:space="0" w:color="auto"/>
            </w:tcBorders>
            <w:shd w:val="clear" w:color="auto" w:fill="FFFFFF"/>
          </w:tcPr>
          <w:p w14:paraId="1A7A3ACC"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7</w:t>
            </w:r>
          </w:p>
        </w:tc>
        <w:tc>
          <w:tcPr>
            <w:tcW w:w="0" w:type="auto"/>
            <w:tcBorders>
              <w:top w:val="single" w:sz="4" w:space="0" w:color="auto"/>
              <w:left w:val="single" w:sz="4" w:space="0" w:color="auto"/>
              <w:right w:val="single" w:sz="4" w:space="0" w:color="auto"/>
            </w:tcBorders>
            <w:shd w:val="clear" w:color="auto" w:fill="FFFFFF"/>
          </w:tcPr>
          <w:p w14:paraId="5E2E691E"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346,803</w:t>
            </w:r>
          </w:p>
        </w:tc>
      </w:tr>
      <w:tr w:rsidR="00382F2C" w:rsidRPr="009F6D1E" w14:paraId="62025AFA" w14:textId="77777777" w:rsidTr="005D412C">
        <w:trPr>
          <w:trHeight w:hRule="exact" w:val="278"/>
          <w:jc w:val="center"/>
        </w:trPr>
        <w:tc>
          <w:tcPr>
            <w:tcW w:w="0" w:type="auto"/>
            <w:tcBorders>
              <w:top w:val="single" w:sz="4" w:space="0" w:color="auto"/>
              <w:left w:val="single" w:sz="4" w:space="0" w:color="auto"/>
            </w:tcBorders>
            <w:shd w:val="clear" w:color="auto" w:fill="FFFFFF"/>
          </w:tcPr>
          <w:p w14:paraId="1227DA11"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Осъм</w:t>
            </w:r>
          </w:p>
        </w:tc>
        <w:tc>
          <w:tcPr>
            <w:tcW w:w="0" w:type="auto"/>
            <w:tcBorders>
              <w:top w:val="single" w:sz="4" w:space="0" w:color="auto"/>
              <w:left w:val="single" w:sz="4" w:space="0" w:color="auto"/>
            </w:tcBorders>
            <w:shd w:val="clear" w:color="auto" w:fill="FFFFFF"/>
          </w:tcPr>
          <w:p w14:paraId="1DE570FB"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7</w:t>
            </w:r>
          </w:p>
        </w:tc>
        <w:tc>
          <w:tcPr>
            <w:tcW w:w="0" w:type="auto"/>
            <w:tcBorders>
              <w:top w:val="single" w:sz="4" w:space="0" w:color="auto"/>
              <w:left w:val="single" w:sz="4" w:space="0" w:color="auto"/>
              <w:right w:val="single" w:sz="4" w:space="0" w:color="auto"/>
            </w:tcBorders>
            <w:shd w:val="clear" w:color="auto" w:fill="FFFFFF"/>
          </w:tcPr>
          <w:p w14:paraId="062C0682"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341,789</w:t>
            </w:r>
          </w:p>
        </w:tc>
      </w:tr>
      <w:tr w:rsidR="00382F2C" w:rsidRPr="009F6D1E" w14:paraId="4F9B102A"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0F691A0A"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Западно от Огоста</w:t>
            </w:r>
          </w:p>
        </w:tc>
        <w:tc>
          <w:tcPr>
            <w:tcW w:w="0" w:type="auto"/>
            <w:tcBorders>
              <w:top w:val="single" w:sz="4" w:space="0" w:color="auto"/>
              <w:left w:val="single" w:sz="4" w:space="0" w:color="auto"/>
            </w:tcBorders>
            <w:shd w:val="clear" w:color="auto" w:fill="FFFFFF"/>
          </w:tcPr>
          <w:p w14:paraId="4E18B6B7"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5</w:t>
            </w:r>
          </w:p>
        </w:tc>
        <w:tc>
          <w:tcPr>
            <w:tcW w:w="0" w:type="auto"/>
            <w:tcBorders>
              <w:top w:val="single" w:sz="4" w:space="0" w:color="auto"/>
              <w:left w:val="single" w:sz="4" w:space="0" w:color="auto"/>
              <w:right w:val="single" w:sz="4" w:space="0" w:color="auto"/>
            </w:tcBorders>
            <w:shd w:val="clear" w:color="auto" w:fill="FFFFFF"/>
          </w:tcPr>
          <w:p w14:paraId="25267674"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67,547</w:t>
            </w:r>
          </w:p>
        </w:tc>
      </w:tr>
      <w:tr w:rsidR="00382F2C" w:rsidRPr="009F6D1E" w14:paraId="65FA4C46"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0AC7F4CD"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Вит</w:t>
            </w:r>
          </w:p>
        </w:tc>
        <w:tc>
          <w:tcPr>
            <w:tcW w:w="0" w:type="auto"/>
            <w:tcBorders>
              <w:top w:val="single" w:sz="4" w:space="0" w:color="auto"/>
              <w:left w:val="single" w:sz="4" w:space="0" w:color="auto"/>
            </w:tcBorders>
            <w:shd w:val="clear" w:color="auto" w:fill="FFFFFF"/>
            <w:vAlign w:val="center"/>
          </w:tcPr>
          <w:p w14:paraId="34071246"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2</w:t>
            </w:r>
          </w:p>
        </w:tc>
        <w:tc>
          <w:tcPr>
            <w:tcW w:w="0" w:type="auto"/>
            <w:tcBorders>
              <w:top w:val="single" w:sz="4" w:space="0" w:color="auto"/>
              <w:left w:val="single" w:sz="4" w:space="0" w:color="auto"/>
              <w:right w:val="single" w:sz="4" w:space="0" w:color="auto"/>
            </w:tcBorders>
            <w:shd w:val="clear" w:color="auto" w:fill="FFFFFF"/>
          </w:tcPr>
          <w:p w14:paraId="0E54CAF2"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38,111</w:t>
            </w:r>
          </w:p>
        </w:tc>
      </w:tr>
      <w:tr w:rsidR="00382F2C" w:rsidRPr="009F6D1E" w14:paraId="523B4BD7" w14:textId="77777777" w:rsidTr="005D412C">
        <w:trPr>
          <w:trHeight w:hRule="exact" w:val="274"/>
          <w:jc w:val="center"/>
        </w:trPr>
        <w:tc>
          <w:tcPr>
            <w:tcW w:w="0" w:type="auto"/>
            <w:tcBorders>
              <w:top w:val="single" w:sz="4" w:space="0" w:color="auto"/>
              <w:left w:val="single" w:sz="4" w:space="0" w:color="auto"/>
            </w:tcBorders>
            <w:shd w:val="clear" w:color="auto" w:fill="FFFFFF"/>
          </w:tcPr>
          <w:p w14:paraId="4E4D19A2"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Нишава</w:t>
            </w:r>
          </w:p>
        </w:tc>
        <w:tc>
          <w:tcPr>
            <w:tcW w:w="0" w:type="auto"/>
            <w:tcBorders>
              <w:top w:val="single" w:sz="4" w:space="0" w:color="auto"/>
              <w:left w:val="single" w:sz="4" w:space="0" w:color="auto"/>
            </w:tcBorders>
            <w:shd w:val="clear" w:color="auto" w:fill="FFFFFF"/>
            <w:vAlign w:val="center"/>
          </w:tcPr>
          <w:p w14:paraId="7EDD2D85"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2</w:t>
            </w:r>
          </w:p>
        </w:tc>
        <w:tc>
          <w:tcPr>
            <w:tcW w:w="0" w:type="auto"/>
            <w:tcBorders>
              <w:top w:val="single" w:sz="4" w:space="0" w:color="auto"/>
              <w:left w:val="single" w:sz="4" w:space="0" w:color="auto"/>
              <w:right w:val="single" w:sz="4" w:space="0" w:color="auto"/>
            </w:tcBorders>
            <w:shd w:val="clear" w:color="auto" w:fill="FFFFFF"/>
          </w:tcPr>
          <w:p w14:paraId="06284713"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63,631</w:t>
            </w:r>
          </w:p>
        </w:tc>
      </w:tr>
      <w:tr w:rsidR="00382F2C" w:rsidRPr="009F6D1E" w14:paraId="5ACD1D36" w14:textId="77777777" w:rsidTr="005D412C">
        <w:trPr>
          <w:trHeight w:hRule="exact" w:val="283"/>
          <w:jc w:val="center"/>
        </w:trPr>
        <w:tc>
          <w:tcPr>
            <w:tcW w:w="0" w:type="auto"/>
            <w:tcBorders>
              <w:top w:val="single" w:sz="4" w:space="0" w:color="auto"/>
              <w:left w:val="single" w:sz="4" w:space="0" w:color="auto"/>
              <w:bottom w:val="single" w:sz="4" w:space="0" w:color="auto"/>
            </w:tcBorders>
            <w:shd w:val="clear" w:color="auto" w:fill="FFFFFF"/>
          </w:tcPr>
          <w:p w14:paraId="47D949D3"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Общо /</w:t>
            </w:r>
          </w:p>
        </w:tc>
        <w:tc>
          <w:tcPr>
            <w:tcW w:w="0" w:type="auto"/>
            <w:tcBorders>
              <w:top w:val="single" w:sz="4" w:space="0" w:color="auto"/>
              <w:left w:val="single" w:sz="4" w:space="0" w:color="auto"/>
              <w:bottom w:val="single" w:sz="4" w:space="0" w:color="auto"/>
            </w:tcBorders>
            <w:shd w:val="clear" w:color="auto" w:fill="FFFFFF"/>
          </w:tcPr>
          <w:p w14:paraId="75F211DE"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72</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62A47944" w14:textId="77777777" w:rsidR="00382F2C" w:rsidRPr="009F6D1E" w:rsidRDefault="00382F2C" w:rsidP="0084747F">
            <w:pPr>
              <w:spacing w:after="60" w:line="264" w:lineRule="auto"/>
              <w:jc w:val="center"/>
              <w:rPr>
                <w:rFonts w:cs="Times New Roman"/>
              </w:rPr>
            </w:pPr>
            <w:r w:rsidRPr="009F6D1E">
              <w:rPr>
                <w:rFonts w:cs="Times New Roman"/>
                <w:color w:val="000000"/>
                <w:sz w:val="20"/>
                <w:szCs w:val="20"/>
                <w:lang w:eastAsia="bg-BG" w:bidi="bg-BG"/>
              </w:rPr>
              <w:t>2588,445</w:t>
            </w:r>
          </w:p>
        </w:tc>
      </w:tr>
    </w:tbl>
    <w:p w14:paraId="09E695F5" w14:textId="77777777" w:rsidR="00382F2C" w:rsidRPr="009F6D1E" w:rsidRDefault="00382F2C" w:rsidP="0084747F">
      <w:pPr>
        <w:spacing w:after="60" w:line="264" w:lineRule="auto"/>
        <w:jc w:val="right"/>
        <w:rPr>
          <w:rFonts w:cs="Times New Roman"/>
          <w:i/>
        </w:rPr>
      </w:pPr>
      <w:r w:rsidRPr="009F6D1E">
        <w:rPr>
          <w:rFonts w:cs="Times New Roman"/>
          <w:i/>
        </w:rPr>
        <w:t>Източник: ПУРБ БДДР 2016-2021 г.</w:t>
      </w:r>
    </w:p>
    <w:p w14:paraId="6E139CB6"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„Черноморски район“</w:t>
      </w:r>
    </w:p>
    <w:p w14:paraId="016FE19D" w14:textId="77777777" w:rsidR="00382F2C" w:rsidRPr="009F6D1E" w:rsidRDefault="00382F2C" w:rsidP="0084747F">
      <w:pPr>
        <w:autoSpaceDE w:val="0"/>
        <w:autoSpaceDN w:val="0"/>
        <w:adjustRightInd w:val="0"/>
        <w:spacing w:after="60" w:line="264" w:lineRule="auto"/>
        <w:ind w:firstLine="720"/>
        <w:jc w:val="both"/>
        <w:rPr>
          <w:rFonts w:cs="Times New Roman"/>
          <w:color w:val="000000"/>
          <w:szCs w:val="24"/>
        </w:rPr>
      </w:pPr>
      <w:r w:rsidRPr="009F6D1E">
        <w:rPr>
          <w:rFonts w:cs="Times New Roman"/>
          <w:color w:val="000000"/>
          <w:szCs w:val="24"/>
        </w:rPr>
        <w:t>В Черноморски район за басейново управление са определени 3 броя самостоятелни питейни повърхностни водни тела. Съгласно Заповед № РД-415/28.04.2004 г. на Министъра на околната среда и водите, на основание Наредба №12/18.06.2002 г. за качествените изисквания към повърхностни води, предназначените за питейно – битово водоснабдяване, в Черноморски район за басейново управление, това са трите язовира за питейно-битово водоснабдяване: “Камчия”, “Ясна поляна” и “Тича”. Съгласно ПУРБ Черноморски район 2016-2021 г., състоянието на зоните за защита на повърхностни води, предназначени за питейно-битово водоснабдяване, е оценено като добро.</w:t>
      </w:r>
    </w:p>
    <w:p w14:paraId="3C2F024D"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72781BA3"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„Източнобеломорски район“</w:t>
      </w:r>
    </w:p>
    <w:p w14:paraId="04C93574"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За територията на Басейнова дирекция Източнобеломорски район, в регистъра на зоните за защита на повърхностни води, предназначени за ПБВ са включени 63 зони, които съвпадат с границите и броя на водните тела, в които има водоизточници за ПБВ, обхващащи поречията Арда, Марица и Тунджа.</w:t>
      </w:r>
    </w:p>
    <w:p w14:paraId="361452B9"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Резултатите от определяне на състоянието на повърхностните питейни водни тела на територията на ИБР в периода 2012-2014 г. показват добро състояние на питейните водни тела. За 6 от тях е определено умерено състояние по допълнителни данни от проведен биологичен мониторинг (</w:t>
      </w:r>
      <w:proofErr w:type="spellStart"/>
      <w:r w:rsidRPr="009F6D1E">
        <w:rPr>
          <w:rFonts w:cs="Times New Roman"/>
          <w:color w:val="000000"/>
          <w:szCs w:val="24"/>
        </w:rPr>
        <w:t>макрозообентос</w:t>
      </w:r>
      <w:proofErr w:type="spellEnd"/>
      <w:r w:rsidRPr="009F6D1E">
        <w:rPr>
          <w:rFonts w:cs="Times New Roman"/>
          <w:color w:val="000000"/>
          <w:szCs w:val="24"/>
        </w:rPr>
        <w:t xml:space="preserve">) от мрежата за вътрешен мониторинг. Въпреки, че категорията </w:t>
      </w:r>
      <w:r w:rsidRPr="009F6D1E">
        <w:rPr>
          <w:rFonts w:cs="Times New Roman"/>
          <w:color w:val="000000"/>
          <w:szCs w:val="24"/>
        </w:rPr>
        <w:lastRenderedPageBreak/>
        <w:t xml:space="preserve">на водохващанията в тези водни тела отговаря на добро състояние, данните от допълнителния мониторинг се вземат предвид, тъй като територията на водните тела включва и </w:t>
      </w:r>
      <w:proofErr w:type="spellStart"/>
      <w:r w:rsidRPr="009F6D1E">
        <w:rPr>
          <w:rFonts w:cs="Times New Roman"/>
          <w:color w:val="000000"/>
          <w:szCs w:val="24"/>
        </w:rPr>
        <w:t>водосбори</w:t>
      </w:r>
      <w:proofErr w:type="spellEnd"/>
      <w:r w:rsidRPr="009F6D1E">
        <w:rPr>
          <w:rFonts w:cs="Times New Roman"/>
          <w:color w:val="000000"/>
          <w:szCs w:val="24"/>
        </w:rPr>
        <w:t>, в които се установява антропогенен натиск и въздействие и като правило при общата оценка за състоянието на водното тяло се вземат предвид по-лошите резултати за екологично състояние.</w:t>
      </w:r>
    </w:p>
    <w:p w14:paraId="44B643CC"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1F53B29E"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w:t>
      </w:r>
      <w:proofErr w:type="spellStart"/>
      <w:r w:rsidRPr="009F6D1E">
        <w:rPr>
          <w:rFonts w:eastAsia="Times New Roman" w:cs="Times New Roman"/>
          <w:b/>
          <w:bCs/>
          <w:i/>
          <w:szCs w:val="24"/>
        </w:rPr>
        <w:t>Западнобеломорски</w:t>
      </w:r>
      <w:proofErr w:type="spellEnd"/>
      <w:r w:rsidRPr="009F6D1E">
        <w:rPr>
          <w:rFonts w:eastAsia="Times New Roman" w:cs="Times New Roman"/>
          <w:b/>
          <w:bCs/>
          <w:i/>
          <w:szCs w:val="24"/>
        </w:rPr>
        <w:t xml:space="preserve"> район“</w:t>
      </w:r>
    </w:p>
    <w:p w14:paraId="68F81224"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 </w:t>
      </w:r>
      <w:proofErr w:type="spellStart"/>
      <w:r w:rsidRPr="009F6D1E">
        <w:rPr>
          <w:rFonts w:cs="Times New Roman"/>
          <w:color w:val="000000"/>
          <w:szCs w:val="24"/>
        </w:rPr>
        <w:t>Западнобеломорски</w:t>
      </w:r>
      <w:proofErr w:type="spellEnd"/>
      <w:r w:rsidRPr="009F6D1E">
        <w:rPr>
          <w:rFonts w:cs="Times New Roman"/>
          <w:color w:val="000000"/>
          <w:szCs w:val="24"/>
        </w:rPr>
        <w:t xml:space="preserve"> район за басейново управление са определени 63 броя повърхностни питейни тела, представляващи зони за защита. От тях 60 бр. са повърхностни водни тела категория „река“ и 3 бр. са повърхностни водни тела категория „езеро“.</w:t>
      </w:r>
    </w:p>
    <w:p w14:paraId="0FDCD881" w14:textId="6EEDE8C8"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bookmarkStart w:id="526" w:name="bookmark119"/>
      <w:r w:rsidRPr="009F6D1E">
        <w:rPr>
          <w:rFonts w:cs="Times New Roman"/>
          <w:color w:val="000000"/>
          <w:szCs w:val="24"/>
        </w:rPr>
        <w:t xml:space="preserve">Обобщена информация за разпределение на зоните по поречия и водосборната им площ е представена в следващата </w:t>
      </w:r>
      <w:r>
        <w:fldChar w:fldCharType="begin"/>
      </w:r>
      <w:r>
        <w:instrText xml:space="preserve"> REF _Ref97647199 \h  \* MERGEFORMAT </w:instrText>
      </w:r>
      <w:r>
        <w:fldChar w:fldCharType="separate"/>
      </w:r>
      <w:r w:rsidR="00A43EF3" w:rsidRPr="00A43EF3">
        <w:rPr>
          <w:rFonts w:cs="Times New Roman"/>
          <w:color w:val="000000"/>
          <w:szCs w:val="24"/>
        </w:rPr>
        <w:t>Таблица 35</w:t>
      </w:r>
      <w:r>
        <w:fldChar w:fldCharType="end"/>
      </w:r>
      <w:bookmarkEnd w:id="526"/>
      <w:r w:rsidR="005E2EB8" w:rsidRPr="009F6D1E">
        <w:rPr>
          <w:rFonts w:cs="Times New Roman"/>
          <w:color w:val="000000"/>
          <w:szCs w:val="24"/>
        </w:rPr>
        <w:t>.</w:t>
      </w:r>
    </w:p>
    <w:p w14:paraId="266A9625" w14:textId="2D15ED7E" w:rsidR="00382F2C" w:rsidRPr="009F6D1E" w:rsidRDefault="005E2EB8" w:rsidP="0084747F">
      <w:pPr>
        <w:pStyle w:val="Caption"/>
        <w:spacing w:after="60" w:line="264" w:lineRule="auto"/>
      </w:pPr>
      <w:bookmarkStart w:id="527" w:name="_Ref97647199"/>
      <w:bookmarkStart w:id="528" w:name="_Toc115255186"/>
      <w:r w:rsidRPr="009F6D1E">
        <w:t xml:space="preserve">Таблица </w:t>
      </w:r>
      <w:fldSimple w:instr=" SEQ Таблица \* ARABIC ">
        <w:r w:rsidR="00A43EF3">
          <w:rPr>
            <w:noProof/>
          </w:rPr>
          <w:t>35</w:t>
        </w:r>
      </w:fldSimple>
      <w:bookmarkEnd w:id="527"/>
      <w:r w:rsidRPr="009F6D1E">
        <w:t xml:space="preserve">: </w:t>
      </w:r>
      <w:r w:rsidR="00382F2C" w:rsidRPr="009F6D1E">
        <w:t>Разпределение на зоните за защита на водите по поречия и водосборната им площ</w:t>
      </w:r>
      <w:bookmarkEnd w:id="528"/>
    </w:p>
    <w:tbl>
      <w:tblPr>
        <w:tblOverlap w:val="never"/>
        <w:tblW w:w="0" w:type="auto"/>
        <w:jc w:val="center"/>
        <w:tblCellMar>
          <w:left w:w="10" w:type="dxa"/>
          <w:right w:w="10" w:type="dxa"/>
        </w:tblCellMar>
        <w:tblLook w:val="0000" w:firstRow="0" w:lastRow="0" w:firstColumn="0" w:lastColumn="0" w:noHBand="0" w:noVBand="0"/>
      </w:tblPr>
      <w:tblGrid>
        <w:gridCol w:w="793"/>
        <w:gridCol w:w="4672"/>
        <w:gridCol w:w="4137"/>
        <w:gridCol w:w="26"/>
      </w:tblGrid>
      <w:tr w:rsidR="00382F2C" w:rsidRPr="009F6D1E" w14:paraId="4C901794" w14:textId="77777777" w:rsidTr="005E2EB8">
        <w:trPr>
          <w:trHeight w:hRule="exact" w:val="542"/>
          <w:tblHeader/>
          <w:jc w:val="center"/>
        </w:trPr>
        <w:tc>
          <w:tcPr>
            <w:tcW w:w="0" w:type="auto"/>
            <w:vMerge w:val="restart"/>
            <w:tcBorders>
              <w:top w:val="single" w:sz="4" w:space="0" w:color="auto"/>
              <w:left w:val="single" w:sz="4" w:space="0" w:color="auto"/>
            </w:tcBorders>
            <w:shd w:val="pct20" w:color="auto" w:fill="FFFFFF"/>
            <w:vAlign w:val="center"/>
          </w:tcPr>
          <w:p w14:paraId="620ED5A4"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rPr>
              <w:t>Поречие</w:t>
            </w:r>
          </w:p>
        </w:tc>
        <w:tc>
          <w:tcPr>
            <w:tcW w:w="0" w:type="auto"/>
            <w:vMerge w:val="restart"/>
            <w:tcBorders>
              <w:top w:val="single" w:sz="4" w:space="0" w:color="auto"/>
              <w:left w:val="single" w:sz="4" w:space="0" w:color="auto"/>
            </w:tcBorders>
            <w:shd w:val="pct20" w:color="auto" w:fill="FFFFFF"/>
            <w:vAlign w:val="center"/>
          </w:tcPr>
          <w:p w14:paraId="6E26EA5D"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rPr>
              <w:t>Зони за защита на повърхностни води, предназначени за ПБВ, брой</w:t>
            </w:r>
          </w:p>
        </w:tc>
        <w:tc>
          <w:tcPr>
            <w:tcW w:w="0" w:type="auto"/>
            <w:vMerge w:val="restart"/>
            <w:tcBorders>
              <w:top w:val="single" w:sz="4" w:space="0" w:color="auto"/>
              <w:left w:val="single" w:sz="4" w:space="0" w:color="auto"/>
            </w:tcBorders>
            <w:shd w:val="pct20" w:color="auto" w:fill="FFFFFF"/>
            <w:vAlign w:val="center"/>
          </w:tcPr>
          <w:p w14:paraId="65F9E04D"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rPr>
              <w:t>Водосборна площ на Зони за защита на повърхностни води</w:t>
            </w:r>
          </w:p>
          <w:p w14:paraId="3E1EE72E"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rPr>
              <w:t xml:space="preserve">предназначени за ПБВ, </w:t>
            </w:r>
            <w:r w:rsidRPr="009F6D1E">
              <w:rPr>
                <w:rFonts w:cs="Times New Roman"/>
                <w:b/>
                <w:color w:val="000000"/>
                <w:sz w:val="20"/>
                <w:szCs w:val="20"/>
                <w:lang w:eastAsia="bg-BG"/>
              </w:rPr>
              <w:t>km</w:t>
            </w:r>
            <w:r w:rsidRPr="009F6D1E">
              <w:rPr>
                <w:rFonts w:cs="Times New Roman"/>
                <w:b/>
                <w:color w:val="000000"/>
                <w:sz w:val="20"/>
                <w:szCs w:val="20"/>
                <w:vertAlign w:val="superscript"/>
                <w:lang w:eastAsia="bg-BG"/>
              </w:rPr>
              <w:t>2</w:t>
            </w:r>
          </w:p>
        </w:tc>
        <w:tc>
          <w:tcPr>
            <w:tcW w:w="0" w:type="auto"/>
            <w:tcBorders>
              <w:top w:val="single" w:sz="4" w:space="0" w:color="auto"/>
              <w:right w:val="single" w:sz="4" w:space="0" w:color="auto"/>
            </w:tcBorders>
            <w:shd w:val="clear" w:color="auto" w:fill="FFFFFF"/>
          </w:tcPr>
          <w:p w14:paraId="42979731" w14:textId="77777777" w:rsidR="00382F2C" w:rsidRPr="009F6D1E" w:rsidRDefault="00382F2C" w:rsidP="0084747F">
            <w:pPr>
              <w:spacing w:after="60" w:line="264" w:lineRule="auto"/>
              <w:jc w:val="center"/>
              <w:rPr>
                <w:rFonts w:cs="Times New Roman"/>
                <w:sz w:val="20"/>
                <w:szCs w:val="20"/>
              </w:rPr>
            </w:pPr>
          </w:p>
        </w:tc>
      </w:tr>
      <w:tr w:rsidR="00382F2C" w:rsidRPr="009F6D1E" w14:paraId="0DCA412D" w14:textId="77777777" w:rsidTr="005E2EB8">
        <w:trPr>
          <w:trHeight w:hRule="exact" w:val="580"/>
          <w:tblHeader/>
          <w:jc w:val="center"/>
        </w:trPr>
        <w:tc>
          <w:tcPr>
            <w:tcW w:w="0" w:type="auto"/>
            <w:vMerge/>
            <w:tcBorders>
              <w:top w:val="single" w:sz="4" w:space="0" w:color="auto"/>
              <w:left w:val="single" w:sz="4" w:space="0" w:color="auto"/>
            </w:tcBorders>
            <w:shd w:val="pct20" w:color="auto" w:fill="FFFFFF"/>
          </w:tcPr>
          <w:p w14:paraId="4EE56E5E" w14:textId="77777777" w:rsidR="00382F2C" w:rsidRPr="009F6D1E" w:rsidRDefault="00382F2C" w:rsidP="0084747F">
            <w:pPr>
              <w:spacing w:after="60" w:line="264" w:lineRule="auto"/>
              <w:jc w:val="center"/>
              <w:rPr>
                <w:rFonts w:cs="Times New Roman"/>
                <w:b/>
                <w:color w:val="000000"/>
                <w:sz w:val="20"/>
                <w:szCs w:val="20"/>
                <w:lang w:eastAsia="bg-BG" w:bidi="bg-BG"/>
              </w:rPr>
            </w:pPr>
          </w:p>
        </w:tc>
        <w:tc>
          <w:tcPr>
            <w:tcW w:w="0" w:type="auto"/>
            <w:vMerge/>
            <w:tcBorders>
              <w:top w:val="single" w:sz="4" w:space="0" w:color="auto"/>
              <w:left w:val="single" w:sz="4" w:space="0" w:color="auto"/>
            </w:tcBorders>
            <w:shd w:val="pct20" w:color="auto" w:fill="FFFFFF"/>
          </w:tcPr>
          <w:p w14:paraId="52C7F1AD" w14:textId="77777777" w:rsidR="00382F2C" w:rsidRPr="009F6D1E" w:rsidRDefault="00382F2C" w:rsidP="0084747F">
            <w:pPr>
              <w:spacing w:after="60" w:line="264" w:lineRule="auto"/>
              <w:jc w:val="center"/>
              <w:rPr>
                <w:rFonts w:cs="Times New Roman"/>
                <w:b/>
                <w:color w:val="000000"/>
                <w:sz w:val="20"/>
                <w:szCs w:val="20"/>
                <w:lang w:eastAsia="bg-BG" w:bidi="bg-BG"/>
              </w:rPr>
            </w:pPr>
          </w:p>
        </w:tc>
        <w:tc>
          <w:tcPr>
            <w:tcW w:w="0" w:type="auto"/>
            <w:vMerge/>
            <w:tcBorders>
              <w:top w:val="single" w:sz="4" w:space="0" w:color="auto"/>
              <w:left w:val="single" w:sz="4" w:space="0" w:color="auto"/>
            </w:tcBorders>
            <w:shd w:val="pct20" w:color="auto" w:fill="FFFFFF"/>
            <w:vAlign w:val="bottom"/>
          </w:tcPr>
          <w:p w14:paraId="5B8F5868" w14:textId="77777777" w:rsidR="00382F2C" w:rsidRPr="009F6D1E" w:rsidRDefault="00382F2C" w:rsidP="0084747F">
            <w:pPr>
              <w:spacing w:after="60" w:line="264" w:lineRule="auto"/>
              <w:jc w:val="center"/>
              <w:rPr>
                <w:rFonts w:cs="Times New Roman"/>
                <w:b/>
                <w:color w:val="000000"/>
                <w:sz w:val="20"/>
                <w:szCs w:val="20"/>
                <w:lang w:eastAsia="bg-BG" w:bidi="bg-BG"/>
              </w:rPr>
            </w:pPr>
          </w:p>
        </w:tc>
        <w:tc>
          <w:tcPr>
            <w:tcW w:w="0" w:type="auto"/>
            <w:tcBorders>
              <w:right w:val="single" w:sz="4" w:space="0" w:color="auto"/>
            </w:tcBorders>
            <w:shd w:val="clear" w:color="auto" w:fill="FFFFFF"/>
          </w:tcPr>
          <w:p w14:paraId="253F7077" w14:textId="77777777" w:rsidR="00382F2C" w:rsidRPr="009F6D1E" w:rsidRDefault="00382F2C" w:rsidP="0084747F">
            <w:pPr>
              <w:spacing w:after="60" w:line="264" w:lineRule="auto"/>
              <w:jc w:val="center"/>
              <w:rPr>
                <w:rFonts w:cs="Times New Roman"/>
                <w:sz w:val="20"/>
                <w:szCs w:val="20"/>
              </w:rPr>
            </w:pPr>
          </w:p>
        </w:tc>
      </w:tr>
      <w:tr w:rsidR="00382F2C" w:rsidRPr="009F6D1E" w14:paraId="155C7E3E" w14:textId="77777777" w:rsidTr="005E2EB8">
        <w:trPr>
          <w:trHeight w:hRule="exact" w:val="274"/>
          <w:jc w:val="center"/>
        </w:trPr>
        <w:tc>
          <w:tcPr>
            <w:tcW w:w="0" w:type="auto"/>
            <w:tcBorders>
              <w:top w:val="single" w:sz="4" w:space="0" w:color="auto"/>
              <w:left w:val="single" w:sz="4" w:space="0" w:color="auto"/>
            </w:tcBorders>
            <w:shd w:val="clear" w:color="auto" w:fill="FFFFFF"/>
          </w:tcPr>
          <w:p w14:paraId="23331AD0"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Струма</w:t>
            </w:r>
          </w:p>
        </w:tc>
        <w:tc>
          <w:tcPr>
            <w:tcW w:w="0" w:type="auto"/>
            <w:tcBorders>
              <w:top w:val="single" w:sz="4" w:space="0" w:color="auto"/>
              <w:left w:val="single" w:sz="4" w:space="0" w:color="auto"/>
            </w:tcBorders>
            <w:shd w:val="clear" w:color="auto" w:fill="FFFFFF"/>
          </w:tcPr>
          <w:p w14:paraId="7A9871A1"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44</w:t>
            </w:r>
          </w:p>
        </w:tc>
        <w:tc>
          <w:tcPr>
            <w:tcW w:w="0" w:type="auto"/>
            <w:gridSpan w:val="2"/>
            <w:tcBorders>
              <w:top w:val="single" w:sz="4" w:space="0" w:color="auto"/>
              <w:left w:val="single" w:sz="4" w:space="0" w:color="auto"/>
              <w:right w:val="single" w:sz="4" w:space="0" w:color="auto"/>
            </w:tcBorders>
            <w:shd w:val="clear" w:color="auto" w:fill="FFFFFF"/>
          </w:tcPr>
          <w:p w14:paraId="454C260C"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741,04</w:t>
            </w:r>
          </w:p>
        </w:tc>
      </w:tr>
      <w:tr w:rsidR="00382F2C" w:rsidRPr="009F6D1E" w14:paraId="23A06CC8" w14:textId="77777777" w:rsidTr="005E2EB8">
        <w:trPr>
          <w:trHeight w:hRule="exact" w:val="278"/>
          <w:jc w:val="center"/>
        </w:trPr>
        <w:tc>
          <w:tcPr>
            <w:tcW w:w="0" w:type="auto"/>
            <w:tcBorders>
              <w:top w:val="single" w:sz="4" w:space="0" w:color="auto"/>
              <w:left w:val="single" w:sz="4" w:space="0" w:color="auto"/>
            </w:tcBorders>
            <w:shd w:val="clear" w:color="auto" w:fill="FFFFFF"/>
          </w:tcPr>
          <w:p w14:paraId="1863C8DF"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Места</w:t>
            </w:r>
          </w:p>
        </w:tc>
        <w:tc>
          <w:tcPr>
            <w:tcW w:w="0" w:type="auto"/>
            <w:tcBorders>
              <w:top w:val="single" w:sz="4" w:space="0" w:color="auto"/>
              <w:left w:val="single" w:sz="4" w:space="0" w:color="auto"/>
            </w:tcBorders>
            <w:shd w:val="clear" w:color="auto" w:fill="FFFFFF"/>
            <w:vAlign w:val="center"/>
          </w:tcPr>
          <w:p w14:paraId="471DDD44"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16</w:t>
            </w:r>
          </w:p>
        </w:tc>
        <w:tc>
          <w:tcPr>
            <w:tcW w:w="0" w:type="auto"/>
            <w:gridSpan w:val="2"/>
            <w:tcBorders>
              <w:top w:val="single" w:sz="4" w:space="0" w:color="auto"/>
              <w:left w:val="single" w:sz="4" w:space="0" w:color="auto"/>
              <w:right w:val="single" w:sz="4" w:space="0" w:color="auto"/>
            </w:tcBorders>
            <w:shd w:val="clear" w:color="auto" w:fill="FFFFFF"/>
          </w:tcPr>
          <w:p w14:paraId="5FBE53C4"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175,50</w:t>
            </w:r>
          </w:p>
        </w:tc>
      </w:tr>
      <w:tr w:rsidR="00382F2C" w:rsidRPr="009F6D1E" w14:paraId="32962969" w14:textId="77777777" w:rsidTr="005E2EB8">
        <w:trPr>
          <w:trHeight w:hRule="exact" w:val="274"/>
          <w:jc w:val="center"/>
        </w:trPr>
        <w:tc>
          <w:tcPr>
            <w:tcW w:w="0" w:type="auto"/>
            <w:tcBorders>
              <w:top w:val="single" w:sz="4" w:space="0" w:color="auto"/>
              <w:left w:val="single" w:sz="4" w:space="0" w:color="auto"/>
            </w:tcBorders>
            <w:shd w:val="clear" w:color="auto" w:fill="FFFFFF"/>
          </w:tcPr>
          <w:p w14:paraId="5C7A01AE" w14:textId="2950BA4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Д</w:t>
            </w:r>
            <w:r w:rsidR="007D1377">
              <w:rPr>
                <w:rFonts w:cs="Times New Roman"/>
                <w:sz w:val="20"/>
                <w:szCs w:val="20"/>
              </w:rPr>
              <w:t>осп</w:t>
            </w:r>
            <w:r w:rsidRPr="009F6D1E">
              <w:rPr>
                <w:rFonts w:cs="Times New Roman"/>
                <w:sz w:val="20"/>
                <w:szCs w:val="20"/>
              </w:rPr>
              <w:t>ат</w:t>
            </w:r>
          </w:p>
        </w:tc>
        <w:tc>
          <w:tcPr>
            <w:tcW w:w="0" w:type="auto"/>
            <w:tcBorders>
              <w:top w:val="single" w:sz="4" w:space="0" w:color="auto"/>
              <w:left w:val="single" w:sz="4" w:space="0" w:color="auto"/>
            </w:tcBorders>
            <w:shd w:val="clear" w:color="auto" w:fill="FFFFFF"/>
          </w:tcPr>
          <w:p w14:paraId="4F9F65EC"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3</w:t>
            </w:r>
          </w:p>
        </w:tc>
        <w:tc>
          <w:tcPr>
            <w:tcW w:w="0" w:type="auto"/>
            <w:gridSpan w:val="2"/>
            <w:tcBorders>
              <w:top w:val="single" w:sz="4" w:space="0" w:color="auto"/>
              <w:left w:val="single" w:sz="4" w:space="0" w:color="auto"/>
              <w:right w:val="single" w:sz="4" w:space="0" w:color="auto"/>
            </w:tcBorders>
            <w:shd w:val="clear" w:color="auto" w:fill="FFFFFF"/>
          </w:tcPr>
          <w:p w14:paraId="3115F649"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102,53</w:t>
            </w:r>
          </w:p>
        </w:tc>
      </w:tr>
      <w:tr w:rsidR="00382F2C" w:rsidRPr="009F6D1E" w14:paraId="0D740CFA" w14:textId="77777777" w:rsidTr="005E2EB8">
        <w:trPr>
          <w:trHeight w:hRule="exact" w:val="283"/>
          <w:jc w:val="center"/>
        </w:trPr>
        <w:tc>
          <w:tcPr>
            <w:tcW w:w="0" w:type="auto"/>
            <w:tcBorders>
              <w:top w:val="single" w:sz="4" w:space="0" w:color="auto"/>
              <w:left w:val="single" w:sz="4" w:space="0" w:color="auto"/>
              <w:bottom w:val="single" w:sz="4" w:space="0" w:color="auto"/>
            </w:tcBorders>
            <w:shd w:val="clear" w:color="auto" w:fill="FFFFFF"/>
          </w:tcPr>
          <w:p w14:paraId="45BF6148"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Общо</w:t>
            </w:r>
          </w:p>
        </w:tc>
        <w:tc>
          <w:tcPr>
            <w:tcW w:w="0" w:type="auto"/>
            <w:tcBorders>
              <w:top w:val="single" w:sz="4" w:space="0" w:color="auto"/>
              <w:left w:val="single" w:sz="4" w:space="0" w:color="auto"/>
              <w:bottom w:val="single" w:sz="4" w:space="0" w:color="auto"/>
            </w:tcBorders>
            <w:shd w:val="clear" w:color="auto" w:fill="FFFFFF"/>
          </w:tcPr>
          <w:p w14:paraId="5A03F394"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63</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tcPr>
          <w:p w14:paraId="64A4483C" w14:textId="77777777" w:rsidR="00382F2C" w:rsidRPr="009F6D1E" w:rsidRDefault="00382F2C" w:rsidP="0084747F">
            <w:pPr>
              <w:spacing w:after="60" w:line="264" w:lineRule="auto"/>
              <w:jc w:val="center"/>
              <w:rPr>
                <w:rFonts w:cs="Times New Roman"/>
                <w:sz w:val="20"/>
                <w:szCs w:val="20"/>
              </w:rPr>
            </w:pPr>
            <w:r w:rsidRPr="009F6D1E">
              <w:rPr>
                <w:rFonts w:cs="Times New Roman"/>
                <w:sz w:val="20"/>
                <w:szCs w:val="20"/>
              </w:rPr>
              <w:t>1 019,08</w:t>
            </w:r>
          </w:p>
        </w:tc>
      </w:tr>
    </w:tbl>
    <w:p w14:paraId="38228ADE" w14:textId="77777777" w:rsidR="00382F2C" w:rsidRPr="009F6D1E" w:rsidRDefault="00382F2C" w:rsidP="0084747F">
      <w:pPr>
        <w:spacing w:after="60" w:line="264" w:lineRule="auto"/>
        <w:jc w:val="right"/>
        <w:rPr>
          <w:rFonts w:cs="Times New Roman"/>
          <w:i/>
          <w:szCs w:val="24"/>
        </w:rPr>
      </w:pPr>
      <w:r w:rsidRPr="009F6D1E">
        <w:rPr>
          <w:rFonts w:cs="Times New Roman"/>
          <w:i/>
          <w:szCs w:val="24"/>
        </w:rPr>
        <w:t>Източник: БДЗБР</w:t>
      </w:r>
    </w:p>
    <w:p w14:paraId="20363B65"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Направената оценка на състоянието на зоните за защита за води, предназначени за питейно-битово водоснабдяване показва следното: </w:t>
      </w:r>
    </w:p>
    <w:p w14:paraId="5B9155E0" w14:textId="77777777" w:rsidR="00382F2C" w:rsidRPr="009F6D1E" w:rsidRDefault="005E2EB8"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w:t>
      </w:r>
      <w:r w:rsidR="00382F2C" w:rsidRPr="009F6D1E">
        <w:rPr>
          <w:rFonts w:eastAsia="Times New Roman" w:cs="Times New Roman"/>
          <w:szCs w:val="24"/>
          <w:lang w:eastAsia="bg-BG" w:bidi="bg-BG"/>
        </w:rPr>
        <w:t xml:space="preserve"> добро състояние са оценени всички 63 зони за защита на повърхностни води, предназначени за ПБВ; </w:t>
      </w:r>
    </w:p>
    <w:p w14:paraId="71985773" w14:textId="77777777" w:rsidR="00382F2C" w:rsidRPr="009F6D1E" w:rsidRDefault="005E2EB8"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В</w:t>
      </w:r>
      <w:r w:rsidR="00382F2C" w:rsidRPr="009F6D1E">
        <w:rPr>
          <w:rFonts w:eastAsia="Times New Roman" w:cs="Times New Roman"/>
          <w:szCs w:val="24"/>
          <w:lang w:eastAsia="bg-BG" w:bidi="bg-BG"/>
        </w:rPr>
        <w:t xml:space="preserve"> недостигащо добро състояние - няма оценени зони за защита на повърхностни води, предназначени за ПБВ.</w:t>
      </w:r>
    </w:p>
    <w:p w14:paraId="7C5FD840" w14:textId="77777777" w:rsidR="00382F2C" w:rsidRPr="009F6D1E" w:rsidRDefault="00382F2C" w:rsidP="0084747F">
      <w:pPr>
        <w:autoSpaceDE w:val="0"/>
        <w:autoSpaceDN w:val="0"/>
        <w:adjustRightInd w:val="0"/>
        <w:spacing w:after="60" w:line="264" w:lineRule="auto"/>
        <w:jc w:val="both"/>
        <w:rPr>
          <w:rFonts w:cs="Times New Roman"/>
        </w:rPr>
      </w:pPr>
    </w:p>
    <w:p w14:paraId="03F80AA9" w14:textId="77777777" w:rsidR="00382F2C" w:rsidRPr="009F6D1E" w:rsidRDefault="00FF6943" w:rsidP="0084747F">
      <w:pPr>
        <w:widowControl w:val="0"/>
        <w:spacing w:after="60" w:line="264" w:lineRule="auto"/>
        <w:ind w:firstLine="760"/>
        <w:jc w:val="both"/>
        <w:rPr>
          <w:rFonts w:eastAsia="Times New Roman" w:cs="Times New Roman"/>
          <w:b/>
          <w:bCs/>
          <w:iCs/>
          <w:szCs w:val="24"/>
        </w:rPr>
      </w:pPr>
      <w:r w:rsidRPr="009F6D1E">
        <w:rPr>
          <w:rFonts w:eastAsia="Times New Roman" w:cs="Times New Roman"/>
          <w:b/>
          <w:bCs/>
          <w:iCs/>
          <w:szCs w:val="24"/>
        </w:rPr>
        <w:t>З</w:t>
      </w:r>
      <w:r w:rsidR="005E2EB8" w:rsidRPr="009F6D1E">
        <w:rPr>
          <w:rFonts w:eastAsia="Times New Roman" w:cs="Times New Roman"/>
          <w:b/>
          <w:bCs/>
          <w:iCs/>
          <w:szCs w:val="24"/>
        </w:rPr>
        <w:t>они за защита на подземни води, предназначени за питейно - битово водоснабдяване — подземни води</w:t>
      </w:r>
    </w:p>
    <w:p w14:paraId="5DBDAF2A"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„Дунавски район“</w:t>
      </w:r>
    </w:p>
    <w:p w14:paraId="50F5B9D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При актуализацията на регистъра на зоните за защита на подземни води, предназначени за ПБВ, всичките 50 на брой подземни водни тела в Басейнова дирекция „Дунавски района“ са определени като зони за защита на водите, в изпълнение на чл. 119 от ЗВ. Регистърът на тези зони се увеличава с една - BG1DGW00000NQ032, която е определена от подземно ВТ с код BG1G00000NQ032 и име Порови води в </w:t>
      </w:r>
      <w:proofErr w:type="spellStart"/>
      <w:r w:rsidRPr="009F6D1E">
        <w:rPr>
          <w:rFonts w:cs="Times New Roman"/>
          <w:color w:val="000000"/>
          <w:szCs w:val="24"/>
        </w:rPr>
        <w:t>Неоген</w:t>
      </w:r>
      <w:proofErr w:type="spellEnd"/>
      <w:r w:rsidRPr="009F6D1E">
        <w:rPr>
          <w:rFonts w:cs="Times New Roman"/>
          <w:color w:val="000000"/>
          <w:szCs w:val="24"/>
        </w:rPr>
        <w:t>-Кватернера - Знеполска долина.</w:t>
      </w:r>
    </w:p>
    <w:p w14:paraId="7DE685C7"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lastRenderedPageBreak/>
        <w:t>Оценката на състоянието на зоните за защита на подземните води, предназначени за питейно-битово водоснабдяване, съгласно ПУРБ Дунавски район 2016-2021 г. показва, че 28 зони са в добро състояние и 22 са в лошо състояние.</w:t>
      </w:r>
    </w:p>
    <w:p w14:paraId="0FA710FE"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174390C1"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„Черноморски район“</w:t>
      </w:r>
    </w:p>
    <w:p w14:paraId="16150399"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Съгласно ПУРБ Черноморски район 2016-2021 г. са идентифицирани 31 бр. подземни тела, които отговарят на критериите, съгласно Закона за водите и са определени като води, предназначени за човешка консумация.</w:t>
      </w:r>
    </w:p>
    <w:p w14:paraId="3F37C2FF"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5940963D"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„Източнобеломорски район“</w:t>
      </w:r>
    </w:p>
    <w:p w14:paraId="1DD087B1"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Всички 41 подземни водни тела на територията на Източнобеломорски район са определени като зони за защита на подземните води, предназначени за питейно-битово водоснабдяване. Оценката на химичното състояние на подземните водни тела, е представена в две категории - добро и лошо: 68 % от тях са оценени в добро и 32 % в лошо състояние.</w:t>
      </w:r>
    </w:p>
    <w:p w14:paraId="63F2497F"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60FA6FD1"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w:t>
      </w:r>
      <w:proofErr w:type="spellStart"/>
      <w:r w:rsidRPr="009F6D1E">
        <w:rPr>
          <w:rFonts w:eastAsia="Times New Roman" w:cs="Times New Roman"/>
          <w:b/>
          <w:bCs/>
          <w:i/>
          <w:szCs w:val="24"/>
        </w:rPr>
        <w:t>Западнобеломорски</w:t>
      </w:r>
      <w:proofErr w:type="spellEnd"/>
      <w:r w:rsidRPr="009F6D1E">
        <w:rPr>
          <w:rFonts w:eastAsia="Times New Roman" w:cs="Times New Roman"/>
          <w:b/>
          <w:bCs/>
          <w:i/>
          <w:szCs w:val="24"/>
        </w:rPr>
        <w:t xml:space="preserve"> район“</w:t>
      </w:r>
    </w:p>
    <w:p w14:paraId="02A0873C" w14:textId="77777777" w:rsidR="00382F2C" w:rsidRPr="009F6D1E" w:rsidRDefault="00382F2C" w:rsidP="0084747F">
      <w:pPr>
        <w:spacing w:after="60" w:line="264" w:lineRule="auto"/>
        <w:rPr>
          <w:rFonts w:cs="Times New Roman"/>
          <w:sz w:val="2"/>
          <w:szCs w:val="2"/>
        </w:rPr>
      </w:pPr>
    </w:p>
    <w:p w14:paraId="6370C84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При актуализацията на регистъра на зоните за защита на подземни води в ПУРБ 2016</w:t>
      </w:r>
      <w:r w:rsidRPr="009F6D1E">
        <w:rPr>
          <w:rFonts w:cs="Times New Roman"/>
          <w:color w:val="000000"/>
          <w:szCs w:val="24"/>
        </w:rPr>
        <w:softHyphen/>
        <w:t>2021 г. на БДЗБР, предназначени за питейно-битово водоснабдяване, от всичките 38 на брой актуализирани подземни водни тела, 34 броя отговорят на критериите на чл. 119, ал.1, т. 1 и т. 2 от ЗВ и са определени като води за водочерпене за човешка консумация.</w:t>
      </w:r>
    </w:p>
    <w:p w14:paraId="78BF8669"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Оценката на състоянието на зоните за защита на подземните води, предназначени за питейно-битово водоснабдяване, също показва, че всички 34 зони са в добро състояние.</w:t>
      </w:r>
    </w:p>
    <w:p w14:paraId="66945358" w14:textId="77777777" w:rsidR="00382F2C" w:rsidRPr="009F6D1E" w:rsidRDefault="00382F2C" w:rsidP="0084747F">
      <w:pPr>
        <w:autoSpaceDE w:val="0"/>
        <w:autoSpaceDN w:val="0"/>
        <w:adjustRightInd w:val="0"/>
        <w:spacing w:after="60" w:line="264" w:lineRule="auto"/>
        <w:jc w:val="both"/>
        <w:rPr>
          <w:rFonts w:cs="Times New Roman"/>
        </w:rPr>
      </w:pPr>
    </w:p>
    <w:p w14:paraId="634E31B5" w14:textId="77777777" w:rsidR="00382F2C" w:rsidRPr="009F6D1E" w:rsidRDefault="00FF6943" w:rsidP="0084747F">
      <w:pPr>
        <w:widowControl w:val="0"/>
        <w:spacing w:after="60" w:line="264" w:lineRule="auto"/>
        <w:ind w:firstLine="760"/>
        <w:jc w:val="both"/>
        <w:rPr>
          <w:rFonts w:eastAsia="Times New Roman" w:cs="Times New Roman"/>
          <w:b/>
          <w:bCs/>
          <w:iCs/>
          <w:szCs w:val="24"/>
        </w:rPr>
      </w:pPr>
      <w:r w:rsidRPr="009F6D1E">
        <w:rPr>
          <w:rFonts w:eastAsia="Times New Roman" w:cs="Times New Roman"/>
          <w:b/>
          <w:bCs/>
          <w:iCs/>
          <w:szCs w:val="24"/>
        </w:rPr>
        <w:t>Зони за защита – водни тела, определени като води за отдих и водни спортове, включително определените зони с води за къпане</w:t>
      </w:r>
    </w:p>
    <w:p w14:paraId="49D5C55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Поради общото ниво на планиране в </w:t>
      </w:r>
      <w:r w:rsidR="00CD4045" w:rsidRPr="009F6D1E">
        <w:rPr>
          <w:rFonts w:cs="Times New Roman"/>
          <w:color w:val="000000"/>
          <w:szCs w:val="24"/>
        </w:rPr>
        <w:t>СПРЗСР</w:t>
      </w:r>
      <w:r w:rsidRPr="009F6D1E">
        <w:rPr>
          <w:rFonts w:cs="Times New Roman"/>
          <w:color w:val="000000"/>
          <w:szCs w:val="24"/>
        </w:rPr>
        <w:t xml:space="preserve"> 2021 -2027 г. и това, че дейностите ще се извършват на цялата територия на страната, има вероятност да се </w:t>
      </w:r>
      <w:proofErr w:type="spellStart"/>
      <w:r w:rsidRPr="009F6D1E">
        <w:rPr>
          <w:rFonts w:cs="Times New Roman"/>
          <w:color w:val="000000"/>
          <w:szCs w:val="24"/>
        </w:rPr>
        <w:t>припокрият</w:t>
      </w:r>
      <w:proofErr w:type="spellEnd"/>
      <w:r w:rsidRPr="009F6D1E">
        <w:rPr>
          <w:rFonts w:cs="Times New Roman"/>
          <w:color w:val="000000"/>
          <w:szCs w:val="24"/>
        </w:rPr>
        <w:t xml:space="preserve"> със зони за къпане, като в тези зони ще има повишен риск от засягане. На този етап не може да се установи дали или кои точно води за къпане може да бъдат засегнати.</w:t>
      </w:r>
    </w:p>
    <w:p w14:paraId="28FFA917"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„Дунавски район“</w:t>
      </w:r>
    </w:p>
    <w:p w14:paraId="7306AA13"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На територията на ДРБУ има определена една зона за къпане с име „Язовир Пчелина 2” и код BG3242661710017001, която се запазва и при актуализацията на регистъра на тези зони. Зоната попада в контролираната от РЗИ - Разград територия и е разположена в почивна зона „Пчелина“ югозападно от гр. Разград. Към настоящият момент от актуализация на плана в ДРБУ не са определяни други зони за отдих и/или водни спортове. Зоната с води за къпане „Язовир Пчелина 2” с код BG3242661710017001 е определена в съответствие с действащата Наредба № 5 от 30.05.2008 г. за управление качеството на водите за къпане.</w:t>
      </w:r>
    </w:p>
    <w:p w14:paraId="61B7891F"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59144B98"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lastRenderedPageBreak/>
        <w:t>Басейнова дирекция „Черноморски район“</w:t>
      </w:r>
    </w:p>
    <w:p w14:paraId="7AA4DE2E"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В обхвата на Черноморски район за басейново управление, към 2014г. са определени 90 бр. зони за къпане, попадащи в крайбрежните води. На територията на ЧРБУ от 90 зони за къпане, разположени по Черноморското крайбрежие, 65 са категоризирани с отлично качество на водите, 17 от зоните са с добро качество, със задоволително качество са водите в 5 зони, а с лошо качество - в 3 зони за защита.</w:t>
      </w:r>
    </w:p>
    <w:p w14:paraId="21EC945B"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0C043477"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„Източнобеломорски район“</w:t>
      </w:r>
    </w:p>
    <w:p w14:paraId="185D5EB3" w14:textId="7351521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 територията на Източнобеломорски район има определени 3 такива зони за къпане, разположени на два язовира - повърхностни водни тела от категория “езеро”, както </w:t>
      </w:r>
      <w:r w:rsidR="001B3FAC" w:rsidRPr="009F6D1E">
        <w:rPr>
          <w:rFonts w:cs="Times New Roman"/>
          <w:color w:val="000000"/>
          <w:szCs w:val="24"/>
        </w:rPr>
        <w:t xml:space="preserve">е дадено в </w:t>
      </w:r>
      <w:r>
        <w:fldChar w:fldCharType="begin"/>
      </w:r>
      <w:r>
        <w:instrText xml:space="preserve"> REF _Ref97648039 \h  \* MERGEFORMAT </w:instrText>
      </w:r>
      <w:r>
        <w:fldChar w:fldCharType="separate"/>
      </w:r>
      <w:r w:rsidR="00A43EF3" w:rsidRPr="00A43EF3">
        <w:rPr>
          <w:rFonts w:cs="Times New Roman"/>
          <w:color w:val="000000"/>
          <w:szCs w:val="24"/>
        </w:rPr>
        <w:t>Таблица 36</w:t>
      </w:r>
      <w:r>
        <w:fldChar w:fldCharType="end"/>
      </w:r>
      <w:r w:rsidR="001B3FAC" w:rsidRPr="009F6D1E">
        <w:rPr>
          <w:rFonts w:cs="Times New Roman"/>
          <w:color w:val="000000"/>
          <w:szCs w:val="24"/>
        </w:rPr>
        <w:t xml:space="preserve"> по-долу.</w:t>
      </w:r>
    </w:p>
    <w:p w14:paraId="5106A59C" w14:textId="66C6D846" w:rsidR="00FF6943" w:rsidRPr="009F6D1E" w:rsidRDefault="00FF6943" w:rsidP="0084747F">
      <w:pPr>
        <w:pStyle w:val="Caption"/>
        <w:spacing w:after="60" w:line="264" w:lineRule="auto"/>
        <w:rPr>
          <w:color w:val="000000"/>
        </w:rPr>
      </w:pPr>
      <w:bookmarkStart w:id="529" w:name="_Ref97648039"/>
      <w:bookmarkStart w:id="530" w:name="_Toc115255187"/>
      <w:r w:rsidRPr="009F6D1E">
        <w:t xml:space="preserve">Таблица </w:t>
      </w:r>
      <w:fldSimple w:instr=" SEQ Таблица \* ARABIC ">
        <w:r w:rsidR="00A43EF3">
          <w:rPr>
            <w:noProof/>
          </w:rPr>
          <w:t>36</w:t>
        </w:r>
      </w:fldSimple>
      <w:bookmarkEnd w:id="529"/>
      <w:r w:rsidRPr="009F6D1E">
        <w:t xml:space="preserve">: </w:t>
      </w:r>
      <w:r w:rsidR="001B3FAC" w:rsidRPr="009F6D1E">
        <w:t>Зони за къпане БДИБР</w:t>
      </w:r>
      <w:bookmarkEnd w:id="530"/>
    </w:p>
    <w:tbl>
      <w:tblPr>
        <w:tblOverlap w:val="never"/>
        <w:tblW w:w="0" w:type="auto"/>
        <w:jc w:val="center"/>
        <w:tblCellMar>
          <w:left w:w="10" w:type="dxa"/>
          <w:right w:w="10" w:type="dxa"/>
        </w:tblCellMar>
        <w:tblLook w:val="0000" w:firstRow="0" w:lastRow="0" w:firstColumn="0" w:lastColumn="0" w:noHBand="0" w:noVBand="0"/>
      </w:tblPr>
      <w:tblGrid>
        <w:gridCol w:w="221"/>
        <w:gridCol w:w="1898"/>
        <w:gridCol w:w="1835"/>
        <w:gridCol w:w="1187"/>
        <w:gridCol w:w="1873"/>
        <w:gridCol w:w="1908"/>
      </w:tblGrid>
      <w:tr w:rsidR="00382F2C" w:rsidRPr="009F6D1E" w14:paraId="37CD57EF" w14:textId="77777777" w:rsidTr="00B61933">
        <w:trPr>
          <w:trHeight w:hRule="exact" w:val="542"/>
          <w:tblHeader/>
          <w:jc w:val="center"/>
        </w:trPr>
        <w:tc>
          <w:tcPr>
            <w:tcW w:w="0" w:type="auto"/>
            <w:tcBorders>
              <w:top w:val="single" w:sz="4" w:space="0" w:color="auto"/>
              <w:left w:val="single" w:sz="4" w:space="0" w:color="auto"/>
              <w:bottom w:val="single" w:sz="4" w:space="0" w:color="auto"/>
            </w:tcBorders>
            <w:shd w:val="pct20" w:color="auto" w:fill="FFFFFF"/>
            <w:vAlign w:val="center"/>
          </w:tcPr>
          <w:p w14:paraId="070C2E70"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w:t>
            </w:r>
          </w:p>
        </w:tc>
        <w:tc>
          <w:tcPr>
            <w:tcW w:w="0" w:type="auto"/>
            <w:tcBorders>
              <w:top w:val="single" w:sz="4" w:space="0" w:color="auto"/>
              <w:left w:val="single" w:sz="4" w:space="0" w:color="auto"/>
              <w:bottom w:val="single" w:sz="4" w:space="0" w:color="auto"/>
            </w:tcBorders>
            <w:shd w:val="pct20" w:color="auto" w:fill="FFFFFF"/>
            <w:vAlign w:val="center"/>
          </w:tcPr>
          <w:p w14:paraId="795E2D37"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Код на зоната</w:t>
            </w:r>
          </w:p>
        </w:tc>
        <w:tc>
          <w:tcPr>
            <w:tcW w:w="0" w:type="auto"/>
            <w:tcBorders>
              <w:top w:val="single" w:sz="4" w:space="0" w:color="auto"/>
              <w:left w:val="single" w:sz="4" w:space="0" w:color="auto"/>
              <w:bottom w:val="single" w:sz="4" w:space="0" w:color="auto"/>
            </w:tcBorders>
            <w:shd w:val="pct20" w:color="auto" w:fill="FFFFFF"/>
            <w:vAlign w:val="center"/>
          </w:tcPr>
          <w:p w14:paraId="2CF98F77"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Име на зоната</w:t>
            </w:r>
          </w:p>
        </w:tc>
        <w:tc>
          <w:tcPr>
            <w:tcW w:w="0" w:type="auto"/>
            <w:tcBorders>
              <w:top w:val="single" w:sz="4" w:space="0" w:color="auto"/>
              <w:left w:val="single" w:sz="4" w:space="0" w:color="auto"/>
              <w:bottom w:val="single" w:sz="4" w:space="0" w:color="auto"/>
            </w:tcBorders>
            <w:shd w:val="pct20" w:color="auto" w:fill="FFFFFF"/>
            <w:vAlign w:val="center"/>
          </w:tcPr>
          <w:p w14:paraId="7D01A510"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Населено</w:t>
            </w:r>
          </w:p>
          <w:p w14:paraId="4326590A"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място</w:t>
            </w:r>
          </w:p>
        </w:tc>
        <w:tc>
          <w:tcPr>
            <w:tcW w:w="0" w:type="auto"/>
            <w:tcBorders>
              <w:top w:val="single" w:sz="4" w:space="0" w:color="auto"/>
              <w:left w:val="single" w:sz="4" w:space="0" w:color="auto"/>
              <w:bottom w:val="single" w:sz="4" w:space="0" w:color="auto"/>
            </w:tcBorders>
            <w:shd w:val="pct20" w:color="auto" w:fill="FFFFFF"/>
            <w:vAlign w:val="center"/>
          </w:tcPr>
          <w:p w14:paraId="3132A2C9"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Код на водното тяло</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center"/>
          </w:tcPr>
          <w:p w14:paraId="7E9BBDCD" w14:textId="77777777" w:rsidR="00382F2C" w:rsidRPr="009F6D1E" w:rsidRDefault="00382F2C" w:rsidP="0084747F">
            <w:pPr>
              <w:spacing w:after="60" w:line="264" w:lineRule="auto"/>
              <w:jc w:val="center"/>
              <w:rPr>
                <w:rFonts w:cs="Times New Roman"/>
                <w:b/>
                <w:color w:val="000000"/>
                <w:sz w:val="20"/>
                <w:szCs w:val="20"/>
                <w:lang w:eastAsia="bg-BG" w:bidi="bg-BG"/>
              </w:rPr>
            </w:pPr>
            <w:r w:rsidRPr="009F6D1E">
              <w:rPr>
                <w:rFonts w:cs="Times New Roman"/>
                <w:b/>
                <w:color w:val="000000"/>
                <w:sz w:val="20"/>
                <w:szCs w:val="20"/>
                <w:lang w:eastAsia="bg-BG" w:bidi="bg-BG"/>
              </w:rPr>
              <w:t>Име на водното тяло</w:t>
            </w:r>
          </w:p>
        </w:tc>
      </w:tr>
      <w:tr w:rsidR="00382F2C" w:rsidRPr="009F6D1E" w14:paraId="378C83C0" w14:textId="77777777" w:rsidTr="00B61933">
        <w:trPr>
          <w:trHeight w:hRule="exact" w:val="542"/>
          <w:jc w:val="center"/>
        </w:trPr>
        <w:tc>
          <w:tcPr>
            <w:tcW w:w="0" w:type="auto"/>
            <w:tcBorders>
              <w:top w:val="single" w:sz="4" w:space="0" w:color="auto"/>
              <w:left w:val="single" w:sz="4" w:space="0" w:color="auto"/>
            </w:tcBorders>
            <w:shd w:val="clear" w:color="auto" w:fill="FFFFFF"/>
            <w:vAlign w:val="center"/>
          </w:tcPr>
          <w:p w14:paraId="5BB34C68"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1</w:t>
            </w:r>
          </w:p>
        </w:tc>
        <w:tc>
          <w:tcPr>
            <w:tcW w:w="0" w:type="auto"/>
            <w:tcBorders>
              <w:top w:val="single" w:sz="4" w:space="0" w:color="auto"/>
              <w:left w:val="single" w:sz="4" w:space="0" w:color="auto"/>
            </w:tcBorders>
            <w:shd w:val="clear" w:color="auto" w:fill="FFFFFF"/>
            <w:vAlign w:val="center"/>
          </w:tcPr>
          <w:p w14:paraId="088710CB"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BG4251606567009001</w:t>
            </w:r>
          </w:p>
        </w:tc>
        <w:tc>
          <w:tcPr>
            <w:tcW w:w="0" w:type="auto"/>
            <w:tcBorders>
              <w:top w:val="single" w:sz="4" w:space="0" w:color="auto"/>
              <w:left w:val="single" w:sz="4" w:space="0" w:color="auto"/>
            </w:tcBorders>
            <w:shd w:val="clear" w:color="auto" w:fill="FFFFFF"/>
            <w:vAlign w:val="center"/>
          </w:tcPr>
          <w:p w14:paraId="409BFB83"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 Кърджали Плаж 1</w:t>
            </w:r>
          </w:p>
        </w:tc>
        <w:tc>
          <w:tcPr>
            <w:tcW w:w="0" w:type="auto"/>
            <w:tcBorders>
              <w:top w:val="single" w:sz="4" w:space="0" w:color="auto"/>
              <w:left w:val="single" w:sz="4" w:space="0" w:color="auto"/>
            </w:tcBorders>
            <w:shd w:val="clear" w:color="auto" w:fill="FFFFFF"/>
            <w:vAlign w:val="center"/>
          </w:tcPr>
          <w:p w14:paraId="3B0C9A2C"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с. Брош</w:t>
            </w:r>
          </w:p>
        </w:tc>
        <w:tc>
          <w:tcPr>
            <w:tcW w:w="0" w:type="auto"/>
            <w:tcBorders>
              <w:top w:val="single" w:sz="4" w:space="0" w:color="auto"/>
              <w:left w:val="single" w:sz="4" w:space="0" w:color="auto"/>
            </w:tcBorders>
            <w:shd w:val="clear" w:color="auto" w:fill="FFFFFF"/>
            <w:vAlign w:val="center"/>
          </w:tcPr>
          <w:p w14:paraId="6D834BB2"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BG3AR570L021</w:t>
            </w:r>
          </w:p>
        </w:tc>
        <w:tc>
          <w:tcPr>
            <w:tcW w:w="0" w:type="auto"/>
            <w:tcBorders>
              <w:top w:val="single" w:sz="4" w:space="0" w:color="auto"/>
              <w:left w:val="single" w:sz="4" w:space="0" w:color="auto"/>
              <w:right w:val="single" w:sz="4" w:space="0" w:color="auto"/>
            </w:tcBorders>
            <w:shd w:val="clear" w:color="auto" w:fill="FFFFFF"/>
            <w:vAlign w:val="center"/>
          </w:tcPr>
          <w:p w14:paraId="60FBD0F7"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w:t>
            </w:r>
            <w:r w:rsidR="00B61933" w:rsidRPr="009F6D1E">
              <w:rPr>
                <w:rFonts w:cs="Times New Roman"/>
                <w:color w:val="000000"/>
                <w:sz w:val="20"/>
                <w:szCs w:val="20"/>
                <w:lang w:eastAsia="bg-BG" w:bidi="bg-BG"/>
              </w:rPr>
              <w:t xml:space="preserve"> </w:t>
            </w:r>
            <w:r w:rsidRPr="009F6D1E">
              <w:rPr>
                <w:rFonts w:cs="Times New Roman"/>
                <w:color w:val="000000"/>
                <w:sz w:val="20"/>
                <w:szCs w:val="20"/>
                <w:lang w:eastAsia="bg-BG" w:bidi="bg-BG"/>
              </w:rPr>
              <w:t>Кърджали</w:t>
            </w:r>
          </w:p>
        </w:tc>
      </w:tr>
      <w:tr w:rsidR="00382F2C" w:rsidRPr="009F6D1E" w14:paraId="3365299F" w14:textId="77777777" w:rsidTr="00B61933">
        <w:trPr>
          <w:trHeight w:hRule="exact" w:val="547"/>
          <w:jc w:val="center"/>
        </w:trPr>
        <w:tc>
          <w:tcPr>
            <w:tcW w:w="0" w:type="auto"/>
            <w:tcBorders>
              <w:top w:val="single" w:sz="4" w:space="0" w:color="auto"/>
              <w:left w:val="single" w:sz="4" w:space="0" w:color="auto"/>
              <w:bottom w:val="single" w:sz="4" w:space="0" w:color="auto"/>
            </w:tcBorders>
            <w:shd w:val="clear" w:color="auto" w:fill="FFFFFF"/>
            <w:vAlign w:val="center"/>
          </w:tcPr>
          <w:p w14:paraId="24A7256F"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2</w:t>
            </w:r>
          </w:p>
        </w:tc>
        <w:tc>
          <w:tcPr>
            <w:tcW w:w="0" w:type="auto"/>
            <w:tcBorders>
              <w:top w:val="single" w:sz="4" w:space="0" w:color="auto"/>
              <w:left w:val="single" w:sz="4" w:space="0" w:color="auto"/>
              <w:bottom w:val="single" w:sz="4" w:space="0" w:color="auto"/>
            </w:tcBorders>
            <w:shd w:val="clear" w:color="auto" w:fill="FFFFFF"/>
            <w:vAlign w:val="center"/>
          </w:tcPr>
          <w:p w14:paraId="3B53CE25"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BG4251615000009002</w:t>
            </w:r>
          </w:p>
        </w:tc>
        <w:tc>
          <w:tcPr>
            <w:tcW w:w="0" w:type="auto"/>
            <w:tcBorders>
              <w:top w:val="single" w:sz="4" w:space="0" w:color="auto"/>
              <w:left w:val="single" w:sz="4" w:space="0" w:color="auto"/>
              <w:bottom w:val="single" w:sz="4" w:space="0" w:color="auto"/>
            </w:tcBorders>
            <w:shd w:val="clear" w:color="auto" w:fill="FFFFFF"/>
            <w:vAlign w:val="center"/>
          </w:tcPr>
          <w:p w14:paraId="19182B79"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 Кърджали Плаж 2</w:t>
            </w:r>
          </w:p>
        </w:tc>
        <w:tc>
          <w:tcPr>
            <w:tcW w:w="0" w:type="auto"/>
            <w:tcBorders>
              <w:top w:val="single" w:sz="4" w:space="0" w:color="auto"/>
              <w:left w:val="single" w:sz="4" w:space="0" w:color="auto"/>
              <w:bottom w:val="single" w:sz="4" w:space="0" w:color="auto"/>
            </w:tcBorders>
            <w:shd w:val="clear" w:color="auto" w:fill="FFFFFF"/>
            <w:vAlign w:val="center"/>
          </w:tcPr>
          <w:p w14:paraId="4F48861E"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с. Главатарци</w:t>
            </w:r>
          </w:p>
        </w:tc>
        <w:tc>
          <w:tcPr>
            <w:tcW w:w="0" w:type="auto"/>
            <w:tcBorders>
              <w:top w:val="single" w:sz="4" w:space="0" w:color="auto"/>
              <w:left w:val="single" w:sz="4" w:space="0" w:color="auto"/>
              <w:bottom w:val="single" w:sz="4" w:space="0" w:color="auto"/>
            </w:tcBorders>
            <w:shd w:val="clear" w:color="auto" w:fill="FFFFFF"/>
            <w:vAlign w:val="center"/>
          </w:tcPr>
          <w:p w14:paraId="2C4DF97A"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BG3AR570L021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88939"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w:t>
            </w:r>
            <w:r w:rsidR="00B61933" w:rsidRPr="009F6D1E">
              <w:rPr>
                <w:rFonts w:cs="Times New Roman"/>
                <w:color w:val="000000"/>
                <w:sz w:val="20"/>
                <w:szCs w:val="20"/>
                <w:lang w:eastAsia="bg-BG" w:bidi="bg-BG"/>
              </w:rPr>
              <w:t xml:space="preserve"> </w:t>
            </w:r>
            <w:r w:rsidRPr="009F6D1E">
              <w:rPr>
                <w:rFonts w:cs="Times New Roman"/>
                <w:color w:val="000000"/>
                <w:sz w:val="20"/>
                <w:szCs w:val="20"/>
                <w:lang w:eastAsia="bg-BG" w:bidi="bg-BG"/>
              </w:rPr>
              <w:t>Кърджали</w:t>
            </w:r>
          </w:p>
        </w:tc>
      </w:tr>
      <w:tr w:rsidR="00382F2C" w:rsidRPr="009F6D1E" w14:paraId="461E76D0" w14:textId="77777777" w:rsidTr="00B61933">
        <w:trPr>
          <w:trHeight w:hRule="exact" w:val="547"/>
          <w:jc w:val="center"/>
        </w:trPr>
        <w:tc>
          <w:tcPr>
            <w:tcW w:w="0" w:type="auto"/>
            <w:tcBorders>
              <w:top w:val="single" w:sz="4" w:space="0" w:color="auto"/>
              <w:left w:val="single" w:sz="4" w:space="0" w:color="auto"/>
              <w:bottom w:val="single" w:sz="4" w:space="0" w:color="auto"/>
            </w:tcBorders>
            <w:shd w:val="clear" w:color="auto" w:fill="FFFFFF"/>
            <w:vAlign w:val="center"/>
          </w:tcPr>
          <w:p w14:paraId="4AFA9167"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3</w:t>
            </w:r>
          </w:p>
        </w:tc>
        <w:tc>
          <w:tcPr>
            <w:tcW w:w="0" w:type="auto"/>
            <w:tcBorders>
              <w:top w:val="single" w:sz="4" w:space="0" w:color="auto"/>
              <w:left w:val="single" w:sz="4" w:space="0" w:color="auto"/>
              <w:bottom w:val="single" w:sz="4" w:space="0" w:color="auto"/>
            </w:tcBorders>
            <w:shd w:val="clear" w:color="auto" w:fill="FFFFFF"/>
            <w:vAlign w:val="center"/>
          </w:tcPr>
          <w:p w14:paraId="09A8F1B1"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BG4251615268009003</w:t>
            </w:r>
          </w:p>
        </w:tc>
        <w:tc>
          <w:tcPr>
            <w:tcW w:w="0" w:type="auto"/>
            <w:tcBorders>
              <w:top w:val="single" w:sz="4" w:space="0" w:color="auto"/>
              <w:left w:val="single" w:sz="4" w:space="0" w:color="auto"/>
              <w:bottom w:val="single" w:sz="4" w:space="0" w:color="auto"/>
            </w:tcBorders>
            <w:shd w:val="clear" w:color="auto" w:fill="FFFFFF"/>
            <w:vAlign w:val="center"/>
          </w:tcPr>
          <w:p w14:paraId="314CBB8A"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 Студен кладенец"</w:t>
            </w:r>
          </w:p>
        </w:tc>
        <w:tc>
          <w:tcPr>
            <w:tcW w:w="0" w:type="auto"/>
            <w:tcBorders>
              <w:top w:val="single" w:sz="4" w:space="0" w:color="auto"/>
              <w:left w:val="single" w:sz="4" w:space="0" w:color="auto"/>
              <w:bottom w:val="single" w:sz="4" w:space="0" w:color="auto"/>
            </w:tcBorders>
            <w:shd w:val="clear" w:color="auto" w:fill="FFFFFF"/>
            <w:vAlign w:val="center"/>
          </w:tcPr>
          <w:p w14:paraId="67C3655D"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с. Гняздово</w:t>
            </w:r>
          </w:p>
        </w:tc>
        <w:tc>
          <w:tcPr>
            <w:tcW w:w="0" w:type="auto"/>
            <w:tcBorders>
              <w:top w:val="single" w:sz="4" w:space="0" w:color="auto"/>
              <w:left w:val="single" w:sz="4" w:space="0" w:color="auto"/>
              <w:bottom w:val="single" w:sz="4" w:space="0" w:color="auto"/>
            </w:tcBorders>
            <w:shd w:val="clear" w:color="auto" w:fill="FFFFFF"/>
            <w:vAlign w:val="center"/>
          </w:tcPr>
          <w:p w14:paraId="4E147E85"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BG3AR350L010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3469713" w14:textId="77777777" w:rsidR="00382F2C" w:rsidRPr="009F6D1E" w:rsidRDefault="00382F2C" w:rsidP="0084747F">
            <w:pPr>
              <w:spacing w:after="60" w:line="264" w:lineRule="auto"/>
              <w:jc w:val="center"/>
              <w:rPr>
                <w:rFonts w:cs="Times New Roman"/>
                <w:color w:val="000000"/>
                <w:sz w:val="20"/>
                <w:szCs w:val="20"/>
                <w:lang w:eastAsia="bg-BG" w:bidi="bg-BG"/>
              </w:rPr>
            </w:pPr>
            <w:r w:rsidRPr="009F6D1E">
              <w:rPr>
                <w:rFonts w:cs="Times New Roman"/>
                <w:color w:val="000000"/>
                <w:sz w:val="20"/>
                <w:szCs w:val="20"/>
                <w:lang w:eastAsia="bg-BG" w:bidi="bg-BG"/>
              </w:rPr>
              <w:t>яз. Студен кладенец"</w:t>
            </w:r>
          </w:p>
        </w:tc>
      </w:tr>
    </w:tbl>
    <w:p w14:paraId="19C0EB46" w14:textId="77777777" w:rsidR="00382F2C" w:rsidRPr="009F6D1E" w:rsidRDefault="00382F2C" w:rsidP="0084747F">
      <w:pPr>
        <w:spacing w:after="60" w:line="264" w:lineRule="auto"/>
        <w:rPr>
          <w:rFonts w:cs="Times New Roman"/>
          <w:sz w:val="2"/>
          <w:szCs w:val="2"/>
        </w:rPr>
      </w:pPr>
    </w:p>
    <w:p w14:paraId="190EA184" w14:textId="77777777" w:rsidR="00382F2C" w:rsidRPr="009F6D1E" w:rsidRDefault="00382F2C" w:rsidP="0084747F">
      <w:pPr>
        <w:spacing w:after="60" w:line="264" w:lineRule="auto"/>
        <w:jc w:val="right"/>
        <w:rPr>
          <w:rFonts w:cs="Times New Roman"/>
          <w:i/>
          <w:szCs w:val="24"/>
        </w:rPr>
      </w:pPr>
      <w:r w:rsidRPr="009F6D1E">
        <w:rPr>
          <w:rFonts w:cs="Times New Roman"/>
          <w:i/>
          <w:szCs w:val="24"/>
        </w:rPr>
        <w:t>Източник: БДИБР</w:t>
      </w:r>
    </w:p>
    <w:p w14:paraId="61570A8F" w14:textId="77777777" w:rsidR="00382F2C" w:rsidRPr="009F6D1E" w:rsidRDefault="00382F2C" w:rsidP="0084747F">
      <w:pPr>
        <w:widowControl w:val="0"/>
        <w:spacing w:after="60" w:line="264" w:lineRule="auto"/>
        <w:ind w:firstLine="760"/>
        <w:jc w:val="both"/>
        <w:rPr>
          <w:rFonts w:eastAsia="Times New Roman" w:cs="Times New Roman"/>
          <w:b/>
          <w:bCs/>
          <w:i/>
          <w:szCs w:val="24"/>
        </w:rPr>
      </w:pPr>
      <w:r w:rsidRPr="009F6D1E">
        <w:rPr>
          <w:rFonts w:eastAsia="Times New Roman" w:cs="Times New Roman"/>
          <w:b/>
          <w:bCs/>
          <w:i/>
          <w:szCs w:val="24"/>
        </w:rPr>
        <w:t>Басейнова дирекция „</w:t>
      </w:r>
      <w:proofErr w:type="spellStart"/>
      <w:r w:rsidRPr="009F6D1E">
        <w:rPr>
          <w:rFonts w:eastAsia="Times New Roman" w:cs="Times New Roman"/>
          <w:b/>
          <w:bCs/>
          <w:i/>
          <w:szCs w:val="24"/>
        </w:rPr>
        <w:t>Западнобеломорски</w:t>
      </w:r>
      <w:proofErr w:type="spellEnd"/>
      <w:r w:rsidRPr="009F6D1E">
        <w:rPr>
          <w:rFonts w:eastAsia="Times New Roman" w:cs="Times New Roman"/>
          <w:b/>
          <w:bCs/>
          <w:i/>
          <w:szCs w:val="24"/>
        </w:rPr>
        <w:t xml:space="preserve"> район“</w:t>
      </w:r>
    </w:p>
    <w:p w14:paraId="633D0656"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 ПУРБ (2016 – 2021 г.) няма определени зони за къпане в териториалния обхват на </w:t>
      </w:r>
      <w:proofErr w:type="spellStart"/>
      <w:r w:rsidRPr="009F6D1E">
        <w:rPr>
          <w:rFonts w:cs="Times New Roman"/>
          <w:color w:val="000000"/>
          <w:szCs w:val="24"/>
        </w:rPr>
        <w:t>Западнобеломорски</w:t>
      </w:r>
      <w:proofErr w:type="spellEnd"/>
      <w:r w:rsidRPr="009F6D1E">
        <w:rPr>
          <w:rFonts w:cs="Times New Roman"/>
          <w:color w:val="000000"/>
          <w:szCs w:val="24"/>
        </w:rPr>
        <w:t xml:space="preserve"> район на басейново управление. В ЗБР не са определени и зони за отдих и/или водни спортове, в съответствие с влезлите в сила промени на Закона за водите, считано от юли 2015г.</w:t>
      </w:r>
    </w:p>
    <w:p w14:paraId="3728EAC8"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37C3D6D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Европейските изисквания към качеството на водите за къпане са транспонирани с Наредба № 5 от 2008 г. за управление качеството на водите за къпане (обн., ДВ, бр. 53 от 2008 г.). Това са водите в открити водни площи, използвани масово от хората за къпане - море, язовири, реки, езера.</w:t>
      </w:r>
    </w:p>
    <w:p w14:paraId="6F14F9CC"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През сезон 2019г. е извършван мониторинг на водите за къпане във всичките определени 95 зони за къпане (91 по Черноморското крайбрежие и 4 във вътрешността на страната). Всяка от зоните има представителен пункт, включен в Информационната система по водите на ЕС (WISE). През сезона за къпане се извършва </w:t>
      </w:r>
      <w:proofErr w:type="spellStart"/>
      <w:r w:rsidRPr="009F6D1E">
        <w:rPr>
          <w:rFonts w:cs="Times New Roman"/>
          <w:color w:val="000000"/>
          <w:szCs w:val="24"/>
        </w:rPr>
        <w:t>пробовземане</w:t>
      </w:r>
      <w:proofErr w:type="spellEnd"/>
      <w:r w:rsidRPr="009F6D1E">
        <w:rPr>
          <w:rFonts w:cs="Times New Roman"/>
          <w:color w:val="000000"/>
          <w:szCs w:val="24"/>
        </w:rPr>
        <w:t xml:space="preserve"> и анализ на водите, най-малко веднъж на две седмици от всяка една зона за къпане. В зависимост от местоположението на водите за къпане, началото на сезона започва в периода от 15 май до 30.06 юни и завършва в периода от 01 септември до 30 септември.</w:t>
      </w:r>
    </w:p>
    <w:p w14:paraId="12BFFA34"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Водите за къпане се </w:t>
      </w:r>
      <w:proofErr w:type="spellStart"/>
      <w:r w:rsidRPr="009F6D1E">
        <w:rPr>
          <w:rFonts w:cs="Times New Roman"/>
          <w:color w:val="000000"/>
          <w:szCs w:val="24"/>
        </w:rPr>
        <w:t>мониторират</w:t>
      </w:r>
      <w:proofErr w:type="spellEnd"/>
      <w:r w:rsidRPr="009F6D1E">
        <w:rPr>
          <w:rFonts w:cs="Times New Roman"/>
          <w:color w:val="000000"/>
          <w:szCs w:val="24"/>
        </w:rPr>
        <w:t xml:space="preserve"> по микробиологични показатели (</w:t>
      </w:r>
      <w:proofErr w:type="spellStart"/>
      <w:r w:rsidRPr="009F6D1E">
        <w:rPr>
          <w:rFonts w:cs="Times New Roman"/>
          <w:color w:val="000000"/>
          <w:szCs w:val="24"/>
        </w:rPr>
        <w:t>ешерихия</w:t>
      </w:r>
      <w:proofErr w:type="spellEnd"/>
      <w:r w:rsidRPr="009F6D1E">
        <w:rPr>
          <w:rFonts w:cs="Times New Roman"/>
          <w:color w:val="000000"/>
          <w:szCs w:val="24"/>
        </w:rPr>
        <w:t xml:space="preserve"> коли и чревни </w:t>
      </w:r>
      <w:proofErr w:type="spellStart"/>
      <w:r w:rsidRPr="009F6D1E">
        <w:rPr>
          <w:rFonts w:cs="Times New Roman"/>
          <w:color w:val="000000"/>
          <w:szCs w:val="24"/>
        </w:rPr>
        <w:t>ентерококи</w:t>
      </w:r>
      <w:proofErr w:type="spellEnd"/>
      <w:r w:rsidRPr="009F6D1E">
        <w:rPr>
          <w:rFonts w:cs="Times New Roman"/>
          <w:color w:val="000000"/>
          <w:szCs w:val="24"/>
        </w:rPr>
        <w:t xml:space="preserve">). Актуална информация за качеството на водите по време на сезона за </w:t>
      </w:r>
      <w:r w:rsidRPr="009F6D1E">
        <w:rPr>
          <w:rFonts w:cs="Times New Roman"/>
          <w:color w:val="000000"/>
          <w:szCs w:val="24"/>
        </w:rPr>
        <w:lastRenderedPageBreak/>
        <w:t>къпане се публикува на интернет-страниците на Министерство на здравеопазването и Регионалните здравни инспекции (РЗИ) - Бургас, Варна, Добрич, Кърджали и Разград.</w:t>
      </w:r>
    </w:p>
    <w:p w14:paraId="69EE505D" w14:textId="77777777" w:rsidR="00382F2C" w:rsidRPr="009F6D1E" w:rsidRDefault="00382F2C" w:rsidP="0084747F">
      <w:pPr>
        <w:shd w:val="clear" w:color="auto" w:fill="FFFFFF"/>
        <w:spacing w:after="60" w:line="264" w:lineRule="auto"/>
        <w:jc w:val="both"/>
        <w:rPr>
          <w:rFonts w:eastAsia="Times New Roman" w:cs="Times New Roman"/>
          <w:color w:val="000000"/>
          <w:sz w:val="19"/>
          <w:szCs w:val="19"/>
          <w:lang w:eastAsia="bg-BG"/>
        </w:rPr>
      </w:pPr>
    </w:p>
    <w:p w14:paraId="768DF7D1"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Съгласно изискванията на горепосоченото европейско и национално законодателство в тази област, водите за къпане се класифицират в следните категории – с отлично, добро, задоволително и лошо качество. </w:t>
      </w:r>
    </w:p>
    <w:p w14:paraId="3F690CAE"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Според резултатите от провеждания мониторинг през сезон 2019г. категоризация на зоните за къпане в България, е както следва: </w:t>
      </w:r>
    </w:p>
    <w:p w14:paraId="3C183D83" w14:textId="77777777" w:rsidR="00382F2C" w:rsidRPr="009F6D1E" w:rsidRDefault="001B3FA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 </w:t>
      </w:r>
      <w:r w:rsidR="00382F2C" w:rsidRPr="009F6D1E">
        <w:rPr>
          <w:rFonts w:eastAsia="Times New Roman" w:cs="Times New Roman"/>
          <w:szCs w:val="24"/>
          <w:lang w:eastAsia="bg-BG" w:bidi="bg-BG"/>
        </w:rPr>
        <w:t>„отлично качество“ са 65,3% от зоните - 62 зони за къпане (при 50 зони за 2018г.);</w:t>
      </w:r>
    </w:p>
    <w:p w14:paraId="08FC9D50" w14:textId="77777777" w:rsidR="00382F2C" w:rsidRPr="009F6D1E" w:rsidRDefault="001B3FA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 </w:t>
      </w:r>
      <w:r w:rsidR="00382F2C" w:rsidRPr="009F6D1E">
        <w:rPr>
          <w:rFonts w:eastAsia="Times New Roman" w:cs="Times New Roman"/>
          <w:szCs w:val="24"/>
          <w:lang w:eastAsia="bg-BG" w:bidi="bg-BG"/>
        </w:rPr>
        <w:t>„добро качество“  са 29,5% от зоните – 28 зони за къпане (при 36 зони през 2018г.);</w:t>
      </w:r>
    </w:p>
    <w:p w14:paraId="5E2BCDEB" w14:textId="77777777" w:rsidR="00382F2C" w:rsidRPr="009F6D1E" w:rsidRDefault="001B3FA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Със </w:t>
      </w:r>
      <w:r w:rsidR="00382F2C" w:rsidRPr="009F6D1E">
        <w:rPr>
          <w:rFonts w:eastAsia="Times New Roman" w:cs="Times New Roman"/>
          <w:szCs w:val="24"/>
          <w:lang w:eastAsia="bg-BG" w:bidi="bg-BG"/>
        </w:rPr>
        <w:t>„задоволително качество“ са 4,2% от зоните – 4 зони за къпане (при 7 зони за 2018г.);</w:t>
      </w:r>
    </w:p>
    <w:p w14:paraId="518791A1" w14:textId="77777777" w:rsidR="00382F2C" w:rsidRPr="009F6D1E" w:rsidRDefault="001B3FA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С </w:t>
      </w:r>
      <w:r w:rsidR="00382F2C" w:rsidRPr="009F6D1E">
        <w:rPr>
          <w:rFonts w:eastAsia="Times New Roman" w:cs="Times New Roman"/>
          <w:szCs w:val="24"/>
          <w:lang w:eastAsia="bg-BG" w:bidi="bg-BG"/>
        </w:rPr>
        <w:t>„лошо качество“ -няма (при 1 зона за 2018г.)</w:t>
      </w:r>
    </w:p>
    <w:p w14:paraId="58EA9E7C" w14:textId="77777777" w:rsidR="00382F2C" w:rsidRPr="009F6D1E" w:rsidRDefault="001B3FA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 xml:space="preserve">Без </w:t>
      </w:r>
      <w:r w:rsidR="00382F2C" w:rsidRPr="009F6D1E">
        <w:rPr>
          <w:rFonts w:eastAsia="Times New Roman" w:cs="Times New Roman"/>
          <w:szCs w:val="24"/>
          <w:lang w:eastAsia="bg-BG" w:bidi="bg-BG"/>
        </w:rPr>
        <w:t>класификация – 1 зона за къпане. </w:t>
      </w:r>
    </w:p>
    <w:p w14:paraId="3BCEE273"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Данните по-горе показват, че и през сезон 2019г. продължава очерталата се през последните две години положителна тенденция за подобряване качеството на водите като цяло. През сезон 2019г. общо 16 зони на къпане са с подобрено качество на водите, а само една е с по-лошо качество спрямо сезон 2018г. Въпреки това следва да се посочи, че все още, макар и в по-малка степен процентът на зоните с отлично качество е по-нисък, а на зоните с добро качество по-висок в сравнение</w:t>
      </w:r>
      <w:r w:rsidRPr="009F6D1E">
        <w:rPr>
          <w:rFonts w:cs="Times New Roman"/>
          <w:b/>
          <w:bCs/>
          <w:i/>
          <w:iCs/>
          <w:color w:val="000000"/>
          <w:szCs w:val="24"/>
        </w:rPr>
        <w:t> със средните за ЕС, които за сезон 2019г. са съответно 84,8% и 7,98%).  </w:t>
      </w:r>
    </w:p>
    <w:p w14:paraId="0AD222BB"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През 2019 г. спрямо 2018 г. 3 зони от „задоволително“ преминават в „добро“ качество - „Бяла, плаж Чайка“, „Св. Св. Константин и Елена до минерален басейн“ и „Варна-Централен плаж“. Зоните, в които класификацията на качеството на водата се подобрява от „добро“ в „отлично“ са по една в област Добрич и Варна и 11 в област Бургас.</w:t>
      </w:r>
    </w:p>
    <w:p w14:paraId="3A8B2851"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b/>
          <w:bCs/>
          <w:color w:val="000000"/>
          <w:szCs w:val="24"/>
        </w:rPr>
        <w:t>Зоните със „задоволително“ качество на водите за къпане </w:t>
      </w:r>
      <w:r w:rsidRPr="009F6D1E">
        <w:rPr>
          <w:rFonts w:cs="Times New Roman"/>
          <w:color w:val="000000"/>
          <w:szCs w:val="24"/>
        </w:rPr>
        <w:t>(т.е. в които също е имало значителни отрицателни въздействия върху качеството на водите през периода 2016-2019 г.) са: „Южен плаж“- гр. Варна, „Аспарухово-централен плаж“ – гр. Варна, „Северен плаж“, гр. Бяла, „Централен плаж“ – гр. Бяла, но за тези зони също се отчита подобрение през последните 1-2 години, което ако продължи и през следващите 1-2 сезона ще позволи подобряване на категоризацията им. </w:t>
      </w:r>
    </w:p>
    <w:p w14:paraId="079670BD" w14:textId="77777777" w:rsidR="001B3FAC" w:rsidRPr="009F6D1E" w:rsidRDefault="001B3FAC" w:rsidP="0084747F">
      <w:pPr>
        <w:autoSpaceDE w:val="0"/>
        <w:autoSpaceDN w:val="0"/>
        <w:adjustRightInd w:val="0"/>
        <w:spacing w:after="60" w:line="264" w:lineRule="auto"/>
        <w:ind w:firstLine="708"/>
        <w:jc w:val="both"/>
        <w:rPr>
          <w:rFonts w:cs="Times New Roman"/>
          <w:color w:val="000000"/>
          <w:szCs w:val="24"/>
        </w:rPr>
      </w:pPr>
    </w:p>
    <w:p w14:paraId="316FB6D0" w14:textId="77777777" w:rsidR="00382F2C" w:rsidRPr="009F6D1E" w:rsidRDefault="001B3FAC" w:rsidP="0084747F">
      <w:pPr>
        <w:autoSpaceDE w:val="0"/>
        <w:autoSpaceDN w:val="0"/>
        <w:adjustRightInd w:val="0"/>
        <w:spacing w:after="60" w:line="264" w:lineRule="auto"/>
        <w:ind w:firstLine="708"/>
        <w:jc w:val="both"/>
        <w:rPr>
          <w:rFonts w:cs="Times New Roman"/>
          <w:b/>
          <w:bCs/>
          <w:color w:val="000000"/>
          <w:szCs w:val="24"/>
        </w:rPr>
      </w:pPr>
      <w:r w:rsidRPr="009F6D1E">
        <w:rPr>
          <w:rFonts w:cs="Times New Roman"/>
          <w:b/>
          <w:bCs/>
          <w:color w:val="000000"/>
          <w:szCs w:val="24"/>
        </w:rPr>
        <w:t>Зони, в които водите са чувствителни към биогенни елементи</w:t>
      </w:r>
    </w:p>
    <w:p w14:paraId="25C50D3A"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Територии, върху който ще се изпълнява програмата, попадат и в границите на определени зони за защита на водите, съгласно чл. 119а, ал. 1, т. 3 от ЗВ, в които водите са чувствителни към биогенни елементи включително чувствителни и уязвими зони:</w:t>
      </w:r>
    </w:p>
    <w:p w14:paraId="13991E60" w14:textId="77777777" w:rsidR="00382F2C" w:rsidRPr="009F6D1E" w:rsidRDefault="00382F2C" w:rsidP="0084747F">
      <w:pPr>
        <w:autoSpaceDE w:val="0"/>
        <w:autoSpaceDN w:val="0"/>
        <w:adjustRightInd w:val="0"/>
        <w:spacing w:after="60" w:line="264" w:lineRule="auto"/>
        <w:ind w:firstLine="708"/>
        <w:jc w:val="both"/>
        <w:rPr>
          <w:rFonts w:cs="Times New Roman"/>
          <w:b/>
          <w:bCs/>
          <w:color w:val="000000"/>
          <w:szCs w:val="24"/>
        </w:rPr>
      </w:pPr>
      <w:r w:rsidRPr="009F6D1E">
        <w:rPr>
          <w:rFonts w:cs="Times New Roman"/>
          <w:b/>
          <w:bCs/>
          <w:color w:val="000000"/>
          <w:szCs w:val="24"/>
        </w:rPr>
        <w:t>А)</w:t>
      </w:r>
      <w:r w:rsidRPr="009F6D1E">
        <w:rPr>
          <w:rFonts w:cs="Times New Roman"/>
          <w:b/>
          <w:bCs/>
          <w:color w:val="000000"/>
          <w:szCs w:val="24"/>
        </w:rPr>
        <w:tab/>
        <w:t>У</w:t>
      </w:r>
      <w:r w:rsidR="001B3FAC" w:rsidRPr="009F6D1E">
        <w:rPr>
          <w:rFonts w:cs="Times New Roman"/>
          <w:b/>
          <w:bCs/>
          <w:color w:val="000000"/>
          <w:szCs w:val="24"/>
        </w:rPr>
        <w:t>язвими зони</w:t>
      </w:r>
    </w:p>
    <w:p w14:paraId="742EF41B" w14:textId="77777777" w:rsidR="00382F2C" w:rsidRPr="009F6D1E" w:rsidRDefault="00382F2C" w:rsidP="0084747F">
      <w:pPr>
        <w:autoSpaceDE w:val="0"/>
        <w:autoSpaceDN w:val="0"/>
        <w:adjustRightInd w:val="0"/>
        <w:spacing w:after="60" w:line="264" w:lineRule="auto"/>
        <w:ind w:firstLine="708"/>
        <w:jc w:val="both"/>
        <w:rPr>
          <w:rFonts w:cs="Times New Roman"/>
          <w:b/>
          <w:bCs/>
          <w:szCs w:val="24"/>
        </w:rPr>
      </w:pPr>
      <w:r w:rsidRPr="009F6D1E">
        <w:rPr>
          <w:rFonts w:cs="Times New Roman"/>
          <w:color w:val="000000"/>
          <w:szCs w:val="24"/>
        </w:rPr>
        <w:t xml:space="preserve">Уязвимите зони се определят съгласно изискванията на </w:t>
      </w:r>
      <w:r w:rsidRPr="009F6D1E">
        <w:rPr>
          <w:rFonts w:cs="Times New Roman"/>
          <w:b/>
          <w:bCs/>
          <w:szCs w:val="24"/>
        </w:rPr>
        <w:t>Наредба № 2 от 13 септември 2007г. за опазване на водите от замърсяване с нитрати от земеделски източници.</w:t>
      </w:r>
    </w:p>
    <w:p w14:paraId="4857A898" w14:textId="77777777" w:rsidR="00382F2C" w:rsidRPr="009F6D1E" w:rsidRDefault="00382F2C" w:rsidP="0084747F">
      <w:pPr>
        <w:autoSpaceDE w:val="0"/>
        <w:autoSpaceDN w:val="0"/>
        <w:adjustRightInd w:val="0"/>
        <w:spacing w:after="60" w:line="264" w:lineRule="auto"/>
        <w:ind w:firstLine="708"/>
        <w:jc w:val="both"/>
        <w:rPr>
          <w:rFonts w:cs="Times New Roman"/>
          <w:b/>
          <w:i/>
        </w:rPr>
      </w:pPr>
    </w:p>
    <w:p w14:paraId="65EBA190" w14:textId="77777777" w:rsidR="00382F2C" w:rsidRPr="009F6D1E" w:rsidRDefault="00382F2C" w:rsidP="0084747F">
      <w:pPr>
        <w:autoSpaceDE w:val="0"/>
        <w:autoSpaceDN w:val="0"/>
        <w:adjustRightInd w:val="0"/>
        <w:spacing w:after="60" w:line="264" w:lineRule="auto"/>
        <w:ind w:firstLine="708"/>
        <w:jc w:val="both"/>
        <w:rPr>
          <w:rFonts w:cs="Times New Roman"/>
          <w:b/>
          <w:bCs/>
          <w:color w:val="000000"/>
          <w:szCs w:val="24"/>
        </w:rPr>
      </w:pPr>
      <w:r w:rsidRPr="009F6D1E">
        <w:rPr>
          <w:rFonts w:cs="Times New Roman"/>
          <w:b/>
          <w:bCs/>
          <w:color w:val="000000"/>
          <w:szCs w:val="24"/>
        </w:rPr>
        <w:t>Б)</w:t>
      </w:r>
      <w:r w:rsidRPr="009F6D1E">
        <w:rPr>
          <w:rFonts w:cs="Times New Roman"/>
          <w:b/>
          <w:bCs/>
          <w:color w:val="000000"/>
          <w:szCs w:val="24"/>
        </w:rPr>
        <w:tab/>
        <w:t>Ч</w:t>
      </w:r>
      <w:r w:rsidR="001B3FAC" w:rsidRPr="009F6D1E">
        <w:rPr>
          <w:rFonts w:cs="Times New Roman"/>
          <w:b/>
          <w:bCs/>
          <w:color w:val="000000"/>
          <w:szCs w:val="24"/>
        </w:rPr>
        <w:t>увствителни зони</w:t>
      </w:r>
    </w:p>
    <w:p w14:paraId="1BA2030E"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Понятието "чувствителни зони" е термин, характеризиращ даден водоприемник, който се намира в, или има риск да достигне до състояние на </w:t>
      </w:r>
      <w:proofErr w:type="spellStart"/>
      <w:r w:rsidRPr="009F6D1E">
        <w:rPr>
          <w:rFonts w:cs="Times New Roman"/>
          <w:color w:val="000000"/>
          <w:szCs w:val="24"/>
        </w:rPr>
        <w:t>еутрофикация</w:t>
      </w:r>
      <w:proofErr w:type="spellEnd"/>
      <w:r w:rsidRPr="009F6D1E">
        <w:rPr>
          <w:rFonts w:cs="Times New Roman"/>
          <w:color w:val="000000"/>
          <w:szCs w:val="24"/>
        </w:rPr>
        <w:t xml:space="preserve">. Определянето на чувствителни зони е регламентирано в изискванията на Наредба № 6 от 9 ноември 2000г. за емисионни норми за допустимото съдържание на вредни и опасни вещества в отпадъчните води, </w:t>
      </w:r>
      <w:proofErr w:type="spellStart"/>
      <w:r w:rsidRPr="009F6D1E">
        <w:rPr>
          <w:rFonts w:cs="Times New Roman"/>
          <w:color w:val="000000"/>
          <w:szCs w:val="24"/>
        </w:rPr>
        <w:t>зауствани</w:t>
      </w:r>
      <w:proofErr w:type="spellEnd"/>
      <w:r w:rsidRPr="009F6D1E">
        <w:rPr>
          <w:rFonts w:cs="Times New Roman"/>
          <w:color w:val="000000"/>
          <w:szCs w:val="24"/>
        </w:rPr>
        <w:t xml:space="preserve"> във водни обекти.</w:t>
      </w:r>
    </w:p>
    <w:p w14:paraId="315BFF96" w14:textId="77777777" w:rsidR="00382F2C" w:rsidRPr="009F6D1E" w:rsidRDefault="00382F2C" w:rsidP="0084747F">
      <w:pPr>
        <w:spacing w:after="60" w:line="264" w:lineRule="auto"/>
        <w:jc w:val="both"/>
        <w:rPr>
          <w:rFonts w:cs="Times New Roman"/>
          <w:b/>
          <w:i/>
        </w:rPr>
      </w:pPr>
    </w:p>
    <w:p w14:paraId="3168EC9E" w14:textId="77777777" w:rsidR="00382F2C" w:rsidRPr="009F6D1E" w:rsidRDefault="00382F2C" w:rsidP="0084747F">
      <w:pPr>
        <w:autoSpaceDE w:val="0"/>
        <w:autoSpaceDN w:val="0"/>
        <w:adjustRightInd w:val="0"/>
        <w:spacing w:after="60" w:line="264" w:lineRule="auto"/>
        <w:ind w:firstLine="708"/>
        <w:jc w:val="both"/>
        <w:rPr>
          <w:rFonts w:cs="Times New Roman"/>
          <w:b/>
          <w:bCs/>
          <w:i/>
          <w:iCs/>
          <w:color w:val="000000"/>
          <w:szCs w:val="24"/>
        </w:rPr>
      </w:pPr>
      <w:r w:rsidRPr="009F6D1E">
        <w:rPr>
          <w:rFonts w:cs="Times New Roman"/>
          <w:b/>
          <w:bCs/>
          <w:i/>
          <w:iCs/>
          <w:color w:val="000000"/>
          <w:szCs w:val="24"/>
        </w:rPr>
        <w:t>Басейнова дирекция „Дунавски район“</w:t>
      </w:r>
    </w:p>
    <w:p w14:paraId="214A3C0C"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1" w:name="bookmark101"/>
      <w:r w:rsidRPr="009F6D1E">
        <w:rPr>
          <w:rFonts w:eastAsia="ヒラギノ角ゴ Pro W3" w:cs="Times New Roman"/>
          <w:b/>
          <w:i/>
          <w:color w:val="000000"/>
          <w:szCs w:val="24"/>
        </w:rPr>
        <w:t>Уязвими зони</w:t>
      </w:r>
      <w:bookmarkEnd w:id="531"/>
    </w:p>
    <w:p w14:paraId="37EE5940"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Актуализацията на регистъра на уязвими зони в Б</w:t>
      </w:r>
      <w:r w:rsidRPr="009F6D1E">
        <w:rPr>
          <w:rFonts w:cs="Times New Roman"/>
          <w:szCs w:val="24"/>
        </w:rPr>
        <w:t>ДД</w:t>
      </w:r>
      <w:r w:rsidRPr="009F6D1E">
        <w:rPr>
          <w:rFonts w:cs="Times New Roman"/>
          <w:color w:val="000000"/>
          <w:szCs w:val="24"/>
        </w:rPr>
        <w:t xml:space="preserve">Р е извършена въз основа на действащата към момента Заповед № РД 660/28.08.2019 г. на министъра на околната среда и водите за определяне на нитратно уязвимите зони. В приложения към заповедта са определени водните тела, които са замърсени или са застрашени от замърсяване с нитрати от земеделски източници, териториите на общините или части от тях в обхвата на уязвимата. </w:t>
      </w:r>
    </w:p>
    <w:p w14:paraId="4DE2AB44"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2" w:name="bookmark102"/>
      <w:r w:rsidRPr="009F6D1E">
        <w:rPr>
          <w:rFonts w:eastAsia="ヒラギノ角ゴ Pro W3" w:cs="Times New Roman"/>
          <w:b/>
          <w:i/>
          <w:color w:val="000000"/>
          <w:szCs w:val="24"/>
        </w:rPr>
        <w:t>Чувствителни зони</w:t>
      </w:r>
      <w:bookmarkEnd w:id="532"/>
    </w:p>
    <w:p w14:paraId="0BD12054"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Съгласно действащата към момента Заповед № РД 970/28.07.2003г. чувствителните зони в повърхностните водни обекти в ДРБУ са: с начало „р. Дунав, от границата при с. Ново село“ и край „р. Дунав, до границата при гр. Силистра“, както и „Всички водни обекти във водосбора на р. Дунав на територията на Р България“. Според така определените чувствителни зони в ДРБУ, само водоприемниците в поречие Дунавски Добруджански реки попадат в нормална зона, а всички останали водоприемници са определени като чувствителни зони.</w:t>
      </w:r>
    </w:p>
    <w:p w14:paraId="70D1FB13"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4299E976"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„Черноморски район“</w:t>
      </w:r>
    </w:p>
    <w:p w14:paraId="259E1A87"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3" w:name="bookmark107"/>
      <w:r w:rsidRPr="009F6D1E">
        <w:rPr>
          <w:rFonts w:eastAsia="ヒラギノ角ゴ Pro W3" w:cs="Times New Roman"/>
          <w:b/>
          <w:i/>
          <w:color w:val="000000"/>
          <w:szCs w:val="24"/>
        </w:rPr>
        <w:t>Уязвими зони</w:t>
      </w:r>
      <w:bookmarkEnd w:id="533"/>
    </w:p>
    <w:p w14:paraId="3D6C6B89"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Със Заповед № РД 660/28.08.2019г. на Министъра на околната среда и водите са определени нитратно уязвимите зони на територията. Регистър на нитратно уязвими зони на подземни и повърхностни водни тела определени като замърсени и такива, които са застрашени от замърсяване с нитрати на територията на БДЧР са представени в раздел 3, №3.3.2.1 на ПУРБ 2016-2021 г.</w:t>
      </w:r>
    </w:p>
    <w:p w14:paraId="03662CFB"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4" w:name="bookmark108"/>
      <w:r w:rsidRPr="009F6D1E">
        <w:rPr>
          <w:rFonts w:eastAsia="ヒラギノ角ゴ Pro W3" w:cs="Times New Roman"/>
          <w:b/>
          <w:i/>
          <w:color w:val="000000"/>
          <w:szCs w:val="24"/>
        </w:rPr>
        <w:t>Чувствителни зони</w:t>
      </w:r>
      <w:bookmarkEnd w:id="534"/>
    </w:p>
    <w:p w14:paraId="01D8543B"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За територията на Черноморския район за басейново управление като чувствителни зони са определени: Черно море, от границата при с. Дуранкулак до границата при с. Резово, както и всички водни обекти във водосбора на Черно море.</w:t>
      </w:r>
    </w:p>
    <w:p w14:paraId="63241401" w14:textId="16D91DB8" w:rsidR="00382F2C" w:rsidRDefault="00382F2C" w:rsidP="0084747F">
      <w:pPr>
        <w:autoSpaceDE w:val="0"/>
        <w:autoSpaceDN w:val="0"/>
        <w:adjustRightInd w:val="0"/>
        <w:spacing w:after="60" w:line="264" w:lineRule="auto"/>
        <w:jc w:val="both"/>
        <w:rPr>
          <w:rFonts w:cs="Times New Roman"/>
        </w:rPr>
      </w:pPr>
    </w:p>
    <w:p w14:paraId="2255EB0C" w14:textId="5526DE9C" w:rsidR="00AD646E" w:rsidRDefault="00AD646E" w:rsidP="0084747F">
      <w:pPr>
        <w:autoSpaceDE w:val="0"/>
        <w:autoSpaceDN w:val="0"/>
        <w:adjustRightInd w:val="0"/>
        <w:spacing w:after="60" w:line="264" w:lineRule="auto"/>
        <w:jc w:val="both"/>
        <w:rPr>
          <w:rFonts w:cs="Times New Roman"/>
        </w:rPr>
      </w:pPr>
    </w:p>
    <w:p w14:paraId="4F36E9CD" w14:textId="08B4433B" w:rsidR="00AD646E" w:rsidRDefault="00AD646E" w:rsidP="0084747F">
      <w:pPr>
        <w:autoSpaceDE w:val="0"/>
        <w:autoSpaceDN w:val="0"/>
        <w:adjustRightInd w:val="0"/>
        <w:spacing w:after="60" w:line="264" w:lineRule="auto"/>
        <w:jc w:val="both"/>
        <w:rPr>
          <w:rFonts w:cs="Times New Roman"/>
        </w:rPr>
      </w:pPr>
    </w:p>
    <w:p w14:paraId="0683D52D" w14:textId="77777777" w:rsidR="00AD646E" w:rsidRPr="009F6D1E" w:rsidRDefault="00AD646E" w:rsidP="0084747F">
      <w:pPr>
        <w:autoSpaceDE w:val="0"/>
        <w:autoSpaceDN w:val="0"/>
        <w:adjustRightInd w:val="0"/>
        <w:spacing w:after="60" w:line="264" w:lineRule="auto"/>
        <w:jc w:val="both"/>
        <w:rPr>
          <w:rFonts w:cs="Times New Roman"/>
        </w:rPr>
      </w:pPr>
    </w:p>
    <w:p w14:paraId="7A204985"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lastRenderedPageBreak/>
        <w:t>Басейнова дирекция „Източнобеломорски район“</w:t>
      </w:r>
    </w:p>
    <w:p w14:paraId="43B17E62"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5" w:name="bookmark114"/>
      <w:r w:rsidRPr="009F6D1E">
        <w:rPr>
          <w:rFonts w:eastAsia="ヒラギノ角ゴ Pro W3" w:cs="Times New Roman"/>
          <w:b/>
          <w:i/>
          <w:color w:val="000000"/>
          <w:szCs w:val="24"/>
        </w:rPr>
        <w:t>Уязвими зони</w:t>
      </w:r>
      <w:bookmarkEnd w:id="535"/>
    </w:p>
    <w:p w14:paraId="0B4A543D" w14:textId="5D45C755"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bookmarkStart w:id="536" w:name="bookmark115"/>
      <w:r w:rsidRPr="009F6D1E">
        <w:rPr>
          <w:rFonts w:cs="Times New Roman"/>
          <w:color w:val="000000"/>
          <w:szCs w:val="24"/>
        </w:rPr>
        <w:t>За Източнобеломорски район в ПУРБ 2016-2021 г. тази зона е една, но заема 16 620 км</w:t>
      </w:r>
      <w:r w:rsidRPr="009F6D1E">
        <w:rPr>
          <w:rFonts w:cs="Times New Roman"/>
          <w:color w:val="000000"/>
          <w:szCs w:val="24"/>
          <w:vertAlign w:val="superscript"/>
        </w:rPr>
        <w:t>2</w:t>
      </w:r>
      <w:r w:rsidRPr="009F6D1E">
        <w:rPr>
          <w:rFonts w:cs="Times New Roman"/>
          <w:color w:val="000000"/>
          <w:szCs w:val="24"/>
        </w:rPr>
        <w:t xml:space="preserve"> , което представлява 47% от площта на района за басейново управление. Съгласно последната заповед на министъра на околната среда и водите № РД 660/28.08.2019г. за територията на БДИБР са определени общо 38 уязвими зони, представени в следващата </w:t>
      </w:r>
      <w:r>
        <w:fldChar w:fldCharType="begin"/>
      </w:r>
      <w:r>
        <w:instrText xml:space="preserve"> REF _Ref97648197 \h  \* MERGEFORMAT </w:instrText>
      </w:r>
      <w:r>
        <w:fldChar w:fldCharType="separate"/>
      </w:r>
      <w:r w:rsidR="00A43EF3" w:rsidRPr="00A43EF3">
        <w:rPr>
          <w:rFonts w:cs="Times New Roman"/>
          <w:color w:val="000000"/>
          <w:szCs w:val="24"/>
        </w:rPr>
        <w:t>Таблица 37</w:t>
      </w:r>
      <w:r>
        <w:fldChar w:fldCharType="end"/>
      </w:r>
      <w:r w:rsidR="001B3FAC" w:rsidRPr="009F6D1E">
        <w:rPr>
          <w:rFonts w:cs="Times New Roman"/>
          <w:color w:val="000000"/>
          <w:szCs w:val="24"/>
        </w:rPr>
        <w:t>.</w:t>
      </w:r>
      <w:bookmarkEnd w:id="536"/>
    </w:p>
    <w:p w14:paraId="3D8E6B72" w14:textId="386FEA38" w:rsidR="00382F2C" w:rsidRPr="009F6D1E" w:rsidRDefault="001B3FAC" w:rsidP="0084747F">
      <w:pPr>
        <w:pStyle w:val="Caption"/>
        <w:spacing w:after="60" w:line="264" w:lineRule="auto"/>
      </w:pPr>
      <w:bookmarkStart w:id="537" w:name="_Ref97648197"/>
      <w:bookmarkStart w:id="538" w:name="_Toc115255188"/>
      <w:r w:rsidRPr="009F6D1E">
        <w:t xml:space="preserve">Таблица </w:t>
      </w:r>
      <w:fldSimple w:instr=" SEQ Таблица \* ARABIC ">
        <w:r w:rsidR="00A43EF3">
          <w:rPr>
            <w:noProof/>
          </w:rPr>
          <w:t>37</w:t>
        </w:r>
      </w:fldSimple>
      <w:bookmarkEnd w:id="537"/>
      <w:r w:rsidRPr="009F6D1E">
        <w:t xml:space="preserve">: </w:t>
      </w:r>
      <w:r w:rsidR="00382F2C" w:rsidRPr="009F6D1E">
        <w:t>Списък на общините в ИБР, определени като уязвими зони за опазване на водите от</w:t>
      </w:r>
      <w:r w:rsidRPr="009F6D1E">
        <w:t xml:space="preserve"> </w:t>
      </w:r>
      <w:r w:rsidR="00382F2C" w:rsidRPr="009F6D1E">
        <w:t>замърсяване с нитрати от земеделски източници като извадка от Приложение 2 към Заповед № РД-660/28.08.2019 г</w:t>
      </w:r>
      <w:bookmarkEnd w:id="538"/>
    </w:p>
    <w:tbl>
      <w:tblPr>
        <w:tblOverlap w:val="never"/>
        <w:tblW w:w="0" w:type="auto"/>
        <w:jc w:val="center"/>
        <w:tblCellMar>
          <w:left w:w="10" w:type="dxa"/>
          <w:right w:w="10" w:type="dxa"/>
        </w:tblCellMar>
        <w:tblLook w:val="0000" w:firstRow="0" w:lastRow="0" w:firstColumn="0" w:lastColumn="0" w:noHBand="0" w:noVBand="0"/>
      </w:tblPr>
      <w:tblGrid>
        <w:gridCol w:w="400"/>
        <w:gridCol w:w="1458"/>
        <w:gridCol w:w="5228"/>
      </w:tblGrid>
      <w:tr w:rsidR="00382F2C" w:rsidRPr="009F6D1E" w14:paraId="2CDD36A2" w14:textId="77777777" w:rsidTr="001B3FAC">
        <w:trPr>
          <w:trHeight w:hRule="exact" w:val="312"/>
          <w:tblHeader/>
          <w:jc w:val="center"/>
        </w:trPr>
        <w:tc>
          <w:tcPr>
            <w:tcW w:w="0" w:type="auto"/>
            <w:tcBorders>
              <w:top w:val="single" w:sz="4" w:space="0" w:color="auto"/>
              <w:left w:val="single" w:sz="4" w:space="0" w:color="auto"/>
              <w:bottom w:val="single" w:sz="4" w:space="0" w:color="auto"/>
            </w:tcBorders>
            <w:shd w:val="pct20" w:color="auto" w:fill="FFFFFF"/>
            <w:vAlign w:val="bottom"/>
          </w:tcPr>
          <w:p w14:paraId="1BBCD29A" w14:textId="77777777" w:rsidR="00382F2C" w:rsidRPr="009F6D1E" w:rsidRDefault="00382F2C" w:rsidP="0084747F">
            <w:pPr>
              <w:spacing w:after="60" w:line="264" w:lineRule="auto"/>
              <w:jc w:val="center"/>
              <w:rPr>
                <w:rFonts w:cs="Times New Roman"/>
                <w:b/>
                <w:sz w:val="20"/>
                <w:szCs w:val="20"/>
              </w:rPr>
            </w:pPr>
            <w:r w:rsidRPr="009F6D1E">
              <w:rPr>
                <w:rFonts w:cs="Times New Roman"/>
                <w:b/>
                <w:color w:val="000000"/>
                <w:sz w:val="20"/>
                <w:szCs w:val="20"/>
                <w:lang w:eastAsia="bg-BG" w:bidi="bg-BG"/>
              </w:rPr>
              <w:t>№</w:t>
            </w:r>
          </w:p>
        </w:tc>
        <w:tc>
          <w:tcPr>
            <w:tcW w:w="0" w:type="auto"/>
            <w:tcBorders>
              <w:top w:val="single" w:sz="4" w:space="0" w:color="auto"/>
              <w:left w:val="single" w:sz="4" w:space="0" w:color="auto"/>
              <w:bottom w:val="single" w:sz="4" w:space="0" w:color="auto"/>
            </w:tcBorders>
            <w:shd w:val="pct20" w:color="auto" w:fill="FFFFFF"/>
            <w:vAlign w:val="bottom"/>
          </w:tcPr>
          <w:p w14:paraId="35E81DC9" w14:textId="77777777" w:rsidR="00382F2C" w:rsidRPr="009F6D1E" w:rsidRDefault="00382F2C" w:rsidP="0084747F">
            <w:pPr>
              <w:spacing w:after="60" w:line="264" w:lineRule="auto"/>
              <w:jc w:val="center"/>
              <w:rPr>
                <w:rFonts w:cs="Times New Roman"/>
                <w:b/>
                <w:sz w:val="20"/>
                <w:szCs w:val="20"/>
              </w:rPr>
            </w:pPr>
            <w:r w:rsidRPr="009F6D1E">
              <w:rPr>
                <w:rFonts w:cs="Times New Roman"/>
                <w:b/>
                <w:color w:val="000000"/>
                <w:sz w:val="20"/>
                <w:szCs w:val="20"/>
                <w:lang w:eastAsia="bg-BG" w:bidi="bg-BG"/>
              </w:rPr>
              <w:t>Община</w:t>
            </w:r>
          </w:p>
        </w:tc>
        <w:tc>
          <w:tcPr>
            <w:tcW w:w="0" w:type="auto"/>
            <w:tcBorders>
              <w:top w:val="single" w:sz="4" w:space="0" w:color="auto"/>
              <w:left w:val="single" w:sz="4" w:space="0" w:color="auto"/>
              <w:bottom w:val="single" w:sz="4" w:space="0" w:color="auto"/>
              <w:right w:val="single" w:sz="4" w:space="0" w:color="auto"/>
            </w:tcBorders>
            <w:shd w:val="pct20" w:color="auto" w:fill="FFFFFF"/>
            <w:vAlign w:val="bottom"/>
          </w:tcPr>
          <w:p w14:paraId="24CB7892" w14:textId="77777777" w:rsidR="00382F2C" w:rsidRPr="009F6D1E" w:rsidRDefault="00382F2C" w:rsidP="0084747F">
            <w:pPr>
              <w:spacing w:after="60" w:line="264" w:lineRule="auto"/>
              <w:jc w:val="center"/>
              <w:rPr>
                <w:rFonts w:cs="Times New Roman"/>
                <w:b/>
                <w:sz w:val="20"/>
                <w:szCs w:val="20"/>
              </w:rPr>
            </w:pPr>
            <w:r w:rsidRPr="009F6D1E">
              <w:rPr>
                <w:rFonts w:cs="Times New Roman"/>
                <w:b/>
                <w:color w:val="000000"/>
                <w:sz w:val="20"/>
                <w:szCs w:val="20"/>
                <w:lang w:eastAsia="bg-BG" w:bidi="bg-BG"/>
              </w:rPr>
              <w:t>Обхват на уязвимата зона по надморска височина, метри</w:t>
            </w:r>
          </w:p>
        </w:tc>
      </w:tr>
      <w:tr w:rsidR="00382F2C" w:rsidRPr="009F6D1E" w14:paraId="6F205546" w14:textId="77777777" w:rsidTr="001B3FAC">
        <w:trPr>
          <w:trHeight w:hRule="exact" w:val="370"/>
          <w:jc w:val="center"/>
        </w:trPr>
        <w:tc>
          <w:tcPr>
            <w:tcW w:w="0" w:type="auto"/>
            <w:tcBorders>
              <w:top w:val="single" w:sz="4" w:space="0" w:color="auto"/>
              <w:left w:val="single" w:sz="4" w:space="0" w:color="auto"/>
            </w:tcBorders>
            <w:shd w:val="clear" w:color="auto" w:fill="FFFFFF"/>
            <w:vAlign w:val="center"/>
          </w:tcPr>
          <w:p w14:paraId="3D85A42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w:t>
            </w:r>
          </w:p>
        </w:tc>
        <w:tc>
          <w:tcPr>
            <w:tcW w:w="0" w:type="auto"/>
            <w:tcBorders>
              <w:top w:val="single" w:sz="4" w:space="0" w:color="auto"/>
              <w:left w:val="single" w:sz="4" w:space="0" w:color="auto"/>
            </w:tcBorders>
            <w:shd w:val="clear" w:color="auto" w:fill="FFFFFF"/>
            <w:vAlign w:val="center"/>
          </w:tcPr>
          <w:p w14:paraId="4AF7CBC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Болярово</w:t>
            </w:r>
          </w:p>
        </w:tc>
        <w:tc>
          <w:tcPr>
            <w:tcW w:w="0" w:type="auto"/>
            <w:tcBorders>
              <w:top w:val="single" w:sz="4" w:space="0" w:color="auto"/>
              <w:left w:val="single" w:sz="4" w:space="0" w:color="auto"/>
              <w:right w:val="single" w:sz="4" w:space="0" w:color="auto"/>
            </w:tcBorders>
            <w:shd w:val="clear" w:color="auto" w:fill="FFFFFF"/>
            <w:vAlign w:val="center"/>
          </w:tcPr>
          <w:p w14:paraId="1F50858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7FDABC09"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4674639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2</w:t>
            </w:r>
          </w:p>
        </w:tc>
        <w:tc>
          <w:tcPr>
            <w:tcW w:w="0" w:type="auto"/>
            <w:tcBorders>
              <w:top w:val="single" w:sz="4" w:space="0" w:color="auto"/>
              <w:left w:val="single" w:sz="4" w:space="0" w:color="auto"/>
            </w:tcBorders>
            <w:shd w:val="clear" w:color="auto" w:fill="FFFFFF"/>
            <w:vAlign w:val="bottom"/>
          </w:tcPr>
          <w:p w14:paraId="7A1CF60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Братя Даскалови</w:t>
            </w:r>
          </w:p>
        </w:tc>
        <w:tc>
          <w:tcPr>
            <w:tcW w:w="0" w:type="auto"/>
            <w:tcBorders>
              <w:top w:val="single" w:sz="4" w:space="0" w:color="auto"/>
              <w:left w:val="single" w:sz="4" w:space="0" w:color="auto"/>
              <w:right w:val="single" w:sz="4" w:space="0" w:color="auto"/>
            </w:tcBorders>
            <w:shd w:val="clear" w:color="auto" w:fill="FFFFFF"/>
            <w:vAlign w:val="bottom"/>
          </w:tcPr>
          <w:p w14:paraId="4418A0B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7F5C178D" w14:textId="77777777" w:rsidTr="001B3FAC">
        <w:trPr>
          <w:trHeight w:hRule="exact" w:val="317"/>
          <w:jc w:val="center"/>
        </w:trPr>
        <w:tc>
          <w:tcPr>
            <w:tcW w:w="0" w:type="auto"/>
            <w:tcBorders>
              <w:top w:val="single" w:sz="4" w:space="0" w:color="auto"/>
              <w:left w:val="single" w:sz="4" w:space="0" w:color="auto"/>
            </w:tcBorders>
            <w:shd w:val="clear" w:color="auto" w:fill="FFFFFF"/>
            <w:vAlign w:val="bottom"/>
          </w:tcPr>
          <w:p w14:paraId="056C958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3</w:t>
            </w:r>
          </w:p>
        </w:tc>
        <w:tc>
          <w:tcPr>
            <w:tcW w:w="0" w:type="auto"/>
            <w:tcBorders>
              <w:top w:val="single" w:sz="4" w:space="0" w:color="auto"/>
              <w:left w:val="single" w:sz="4" w:space="0" w:color="auto"/>
            </w:tcBorders>
            <w:shd w:val="clear" w:color="auto" w:fill="FFFFFF"/>
            <w:vAlign w:val="bottom"/>
          </w:tcPr>
          <w:p w14:paraId="31B0A05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Брезово</w:t>
            </w:r>
          </w:p>
        </w:tc>
        <w:tc>
          <w:tcPr>
            <w:tcW w:w="0" w:type="auto"/>
            <w:tcBorders>
              <w:top w:val="single" w:sz="4" w:space="0" w:color="auto"/>
              <w:left w:val="single" w:sz="4" w:space="0" w:color="auto"/>
              <w:right w:val="single" w:sz="4" w:space="0" w:color="auto"/>
            </w:tcBorders>
            <w:shd w:val="clear" w:color="auto" w:fill="FFFFFF"/>
            <w:vAlign w:val="bottom"/>
          </w:tcPr>
          <w:p w14:paraId="600372E8"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300</w:t>
            </w:r>
          </w:p>
        </w:tc>
      </w:tr>
      <w:tr w:rsidR="00382F2C" w:rsidRPr="009F6D1E" w14:paraId="7288B704" w14:textId="77777777" w:rsidTr="001B3FAC">
        <w:trPr>
          <w:trHeight w:hRule="exact" w:val="322"/>
          <w:jc w:val="center"/>
        </w:trPr>
        <w:tc>
          <w:tcPr>
            <w:tcW w:w="0" w:type="auto"/>
            <w:tcBorders>
              <w:top w:val="single" w:sz="4" w:space="0" w:color="auto"/>
              <w:left w:val="single" w:sz="4" w:space="0" w:color="auto"/>
            </w:tcBorders>
            <w:shd w:val="clear" w:color="auto" w:fill="FFFFFF"/>
            <w:vAlign w:val="bottom"/>
          </w:tcPr>
          <w:p w14:paraId="0B00844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4</w:t>
            </w:r>
          </w:p>
        </w:tc>
        <w:tc>
          <w:tcPr>
            <w:tcW w:w="0" w:type="auto"/>
            <w:tcBorders>
              <w:top w:val="single" w:sz="4" w:space="0" w:color="auto"/>
              <w:left w:val="single" w:sz="4" w:space="0" w:color="auto"/>
            </w:tcBorders>
            <w:shd w:val="clear" w:color="auto" w:fill="FFFFFF"/>
            <w:vAlign w:val="bottom"/>
          </w:tcPr>
          <w:p w14:paraId="2DE005B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Гурково</w:t>
            </w:r>
          </w:p>
        </w:tc>
        <w:tc>
          <w:tcPr>
            <w:tcW w:w="0" w:type="auto"/>
            <w:tcBorders>
              <w:top w:val="single" w:sz="4" w:space="0" w:color="auto"/>
              <w:left w:val="single" w:sz="4" w:space="0" w:color="auto"/>
              <w:right w:val="single" w:sz="4" w:space="0" w:color="auto"/>
            </w:tcBorders>
            <w:shd w:val="clear" w:color="auto" w:fill="FFFFFF"/>
            <w:vAlign w:val="bottom"/>
          </w:tcPr>
          <w:p w14:paraId="064725F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450</w:t>
            </w:r>
          </w:p>
        </w:tc>
      </w:tr>
      <w:tr w:rsidR="00382F2C" w:rsidRPr="009F6D1E" w14:paraId="5C4E0946" w14:textId="77777777" w:rsidTr="001B3FAC">
        <w:trPr>
          <w:trHeight w:hRule="exact" w:val="422"/>
          <w:jc w:val="center"/>
        </w:trPr>
        <w:tc>
          <w:tcPr>
            <w:tcW w:w="0" w:type="auto"/>
            <w:tcBorders>
              <w:top w:val="single" w:sz="4" w:space="0" w:color="auto"/>
              <w:left w:val="single" w:sz="4" w:space="0" w:color="auto"/>
            </w:tcBorders>
            <w:shd w:val="clear" w:color="auto" w:fill="FFFFFF"/>
          </w:tcPr>
          <w:p w14:paraId="01E2146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5</w:t>
            </w:r>
          </w:p>
        </w:tc>
        <w:tc>
          <w:tcPr>
            <w:tcW w:w="0" w:type="auto"/>
            <w:tcBorders>
              <w:top w:val="single" w:sz="4" w:space="0" w:color="auto"/>
              <w:left w:val="single" w:sz="4" w:space="0" w:color="auto"/>
            </w:tcBorders>
            <w:shd w:val="clear" w:color="auto" w:fill="FFFFFF"/>
          </w:tcPr>
          <w:p w14:paraId="5936A317"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Гълъбово</w:t>
            </w:r>
          </w:p>
        </w:tc>
        <w:tc>
          <w:tcPr>
            <w:tcW w:w="0" w:type="auto"/>
            <w:tcBorders>
              <w:top w:val="single" w:sz="4" w:space="0" w:color="auto"/>
              <w:left w:val="single" w:sz="4" w:space="0" w:color="auto"/>
              <w:right w:val="single" w:sz="4" w:space="0" w:color="auto"/>
            </w:tcBorders>
            <w:shd w:val="clear" w:color="auto" w:fill="FFFFFF"/>
          </w:tcPr>
          <w:p w14:paraId="201B8F1D"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138EF6B4"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38C6B60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6</w:t>
            </w:r>
          </w:p>
        </w:tc>
        <w:tc>
          <w:tcPr>
            <w:tcW w:w="0" w:type="auto"/>
            <w:tcBorders>
              <w:top w:val="single" w:sz="4" w:space="0" w:color="auto"/>
              <w:left w:val="single" w:sz="4" w:space="0" w:color="auto"/>
            </w:tcBorders>
            <w:shd w:val="clear" w:color="auto" w:fill="FFFFFF"/>
            <w:vAlign w:val="bottom"/>
          </w:tcPr>
          <w:p w14:paraId="3A42A84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Димитровград</w:t>
            </w:r>
          </w:p>
        </w:tc>
        <w:tc>
          <w:tcPr>
            <w:tcW w:w="0" w:type="auto"/>
            <w:tcBorders>
              <w:top w:val="single" w:sz="4" w:space="0" w:color="auto"/>
              <w:left w:val="single" w:sz="4" w:space="0" w:color="auto"/>
              <w:right w:val="single" w:sz="4" w:space="0" w:color="auto"/>
            </w:tcBorders>
            <w:shd w:val="clear" w:color="auto" w:fill="FFFFFF"/>
            <w:vAlign w:val="bottom"/>
          </w:tcPr>
          <w:p w14:paraId="2A3D7A7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590A675B"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6E9B0CF6"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7</w:t>
            </w:r>
          </w:p>
        </w:tc>
        <w:tc>
          <w:tcPr>
            <w:tcW w:w="0" w:type="auto"/>
            <w:tcBorders>
              <w:top w:val="single" w:sz="4" w:space="0" w:color="auto"/>
              <w:left w:val="single" w:sz="4" w:space="0" w:color="auto"/>
            </w:tcBorders>
            <w:shd w:val="clear" w:color="auto" w:fill="FFFFFF"/>
            <w:vAlign w:val="bottom"/>
          </w:tcPr>
          <w:p w14:paraId="4D4D34B3"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Елхово</w:t>
            </w:r>
          </w:p>
        </w:tc>
        <w:tc>
          <w:tcPr>
            <w:tcW w:w="0" w:type="auto"/>
            <w:tcBorders>
              <w:top w:val="single" w:sz="4" w:space="0" w:color="auto"/>
              <w:left w:val="single" w:sz="4" w:space="0" w:color="auto"/>
              <w:right w:val="single" w:sz="4" w:space="0" w:color="auto"/>
            </w:tcBorders>
            <w:shd w:val="clear" w:color="auto" w:fill="FFFFFF"/>
            <w:vAlign w:val="bottom"/>
          </w:tcPr>
          <w:p w14:paraId="25EB904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08860348" w14:textId="77777777" w:rsidTr="001B3FAC">
        <w:trPr>
          <w:trHeight w:hRule="exact" w:val="379"/>
          <w:jc w:val="center"/>
        </w:trPr>
        <w:tc>
          <w:tcPr>
            <w:tcW w:w="0" w:type="auto"/>
            <w:tcBorders>
              <w:top w:val="single" w:sz="4" w:space="0" w:color="auto"/>
              <w:left w:val="single" w:sz="4" w:space="0" w:color="auto"/>
            </w:tcBorders>
            <w:shd w:val="clear" w:color="auto" w:fill="FFFFFF"/>
            <w:vAlign w:val="center"/>
          </w:tcPr>
          <w:p w14:paraId="7F2BE20D"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8</w:t>
            </w:r>
          </w:p>
        </w:tc>
        <w:tc>
          <w:tcPr>
            <w:tcW w:w="0" w:type="auto"/>
            <w:tcBorders>
              <w:top w:val="single" w:sz="4" w:space="0" w:color="auto"/>
              <w:left w:val="single" w:sz="4" w:space="0" w:color="auto"/>
            </w:tcBorders>
            <w:shd w:val="clear" w:color="auto" w:fill="FFFFFF"/>
            <w:vAlign w:val="center"/>
          </w:tcPr>
          <w:p w14:paraId="518BFE5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Карнобат</w:t>
            </w:r>
          </w:p>
        </w:tc>
        <w:tc>
          <w:tcPr>
            <w:tcW w:w="0" w:type="auto"/>
            <w:tcBorders>
              <w:top w:val="single" w:sz="4" w:space="0" w:color="auto"/>
              <w:left w:val="single" w:sz="4" w:space="0" w:color="auto"/>
              <w:right w:val="single" w:sz="4" w:space="0" w:color="auto"/>
            </w:tcBorders>
            <w:shd w:val="clear" w:color="auto" w:fill="FFFFFF"/>
            <w:vAlign w:val="center"/>
          </w:tcPr>
          <w:p w14:paraId="02A82AF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6FFC087D"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18388CB2"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9</w:t>
            </w:r>
          </w:p>
        </w:tc>
        <w:tc>
          <w:tcPr>
            <w:tcW w:w="0" w:type="auto"/>
            <w:tcBorders>
              <w:top w:val="single" w:sz="4" w:space="0" w:color="auto"/>
              <w:left w:val="single" w:sz="4" w:space="0" w:color="auto"/>
            </w:tcBorders>
            <w:shd w:val="clear" w:color="auto" w:fill="FFFFFF"/>
            <w:vAlign w:val="bottom"/>
          </w:tcPr>
          <w:p w14:paraId="4C7A413A"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Любимец</w:t>
            </w:r>
          </w:p>
        </w:tc>
        <w:tc>
          <w:tcPr>
            <w:tcW w:w="0" w:type="auto"/>
            <w:tcBorders>
              <w:top w:val="single" w:sz="4" w:space="0" w:color="auto"/>
              <w:left w:val="single" w:sz="4" w:space="0" w:color="auto"/>
              <w:right w:val="single" w:sz="4" w:space="0" w:color="auto"/>
            </w:tcBorders>
            <w:shd w:val="clear" w:color="auto" w:fill="FFFFFF"/>
            <w:vAlign w:val="bottom"/>
          </w:tcPr>
          <w:p w14:paraId="09251DF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100</w:t>
            </w:r>
          </w:p>
        </w:tc>
      </w:tr>
      <w:tr w:rsidR="00382F2C" w:rsidRPr="009F6D1E" w14:paraId="6018382F" w14:textId="77777777" w:rsidTr="001B3FAC">
        <w:trPr>
          <w:trHeight w:hRule="exact" w:val="403"/>
          <w:jc w:val="center"/>
        </w:trPr>
        <w:tc>
          <w:tcPr>
            <w:tcW w:w="0" w:type="auto"/>
            <w:tcBorders>
              <w:top w:val="single" w:sz="4" w:space="0" w:color="auto"/>
              <w:left w:val="single" w:sz="4" w:space="0" w:color="auto"/>
            </w:tcBorders>
            <w:shd w:val="clear" w:color="auto" w:fill="FFFFFF"/>
            <w:vAlign w:val="center"/>
          </w:tcPr>
          <w:p w14:paraId="32DE893D"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10</w:t>
            </w:r>
          </w:p>
        </w:tc>
        <w:tc>
          <w:tcPr>
            <w:tcW w:w="0" w:type="auto"/>
            <w:tcBorders>
              <w:top w:val="single" w:sz="4" w:space="0" w:color="auto"/>
              <w:left w:val="single" w:sz="4" w:space="0" w:color="auto"/>
            </w:tcBorders>
            <w:shd w:val="clear" w:color="auto" w:fill="FFFFFF"/>
            <w:vAlign w:val="center"/>
          </w:tcPr>
          <w:p w14:paraId="1E43BD4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Марица</w:t>
            </w:r>
          </w:p>
        </w:tc>
        <w:tc>
          <w:tcPr>
            <w:tcW w:w="0" w:type="auto"/>
            <w:tcBorders>
              <w:top w:val="single" w:sz="4" w:space="0" w:color="auto"/>
              <w:left w:val="single" w:sz="4" w:space="0" w:color="auto"/>
              <w:right w:val="single" w:sz="4" w:space="0" w:color="auto"/>
            </w:tcBorders>
            <w:shd w:val="clear" w:color="auto" w:fill="FFFFFF"/>
            <w:vAlign w:val="center"/>
          </w:tcPr>
          <w:p w14:paraId="27C2328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73B80781"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1C303B3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11</w:t>
            </w:r>
          </w:p>
        </w:tc>
        <w:tc>
          <w:tcPr>
            <w:tcW w:w="0" w:type="auto"/>
            <w:tcBorders>
              <w:top w:val="single" w:sz="4" w:space="0" w:color="auto"/>
              <w:left w:val="single" w:sz="4" w:space="0" w:color="auto"/>
            </w:tcBorders>
            <w:shd w:val="clear" w:color="auto" w:fill="FFFFFF"/>
            <w:vAlign w:val="bottom"/>
          </w:tcPr>
          <w:p w14:paraId="015B91A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Минерални бани</w:t>
            </w:r>
          </w:p>
        </w:tc>
        <w:tc>
          <w:tcPr>
            <w:tcW w:w="0" w:type="auto"/>
            <w:tcBorders>
              <w:top w:val="single" w:sz="4" w:space="0" w:color="auto"/>
              <w:left w:val="single" w:sz="4" w:space="0" w:color="auto"/>
              <w:right w:val="single" w:sz="4" w:space="0" w:color="auto"/>
            </w:tcBorders>
            <w:shd w:val="clear" w:color="auto" w:fill="FFFFFF"/>
            <w:vAlign w:val="bottom"/>
          </w:tcPr>
          <w:p w14:paraId="30EF9F1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300</w:t>
            </w:r>
          </w:p>
        </w:tc>
      </w:tr>
      <w:tr w:rsidR="00382F2C" w:rsidRPr="009F6D1E" w14:paraId="2EB10550" w14:textId="77777777" w:rsidTr="001B3FAC">
        <w:trPr>
          <w:trHeight w:hRule="exact" w:val="403"/>
          <w:jc w:val="center"/>
        </w:trPr>
        <w:tc>
          <w:tcPr>
            <w:tcW w:w="0" w:type="auto"/>
            <w:tcBorders>
              <w:top w:val="single" w:sz="4" w:space="0" w:color="auto"/>
              <w:left w:val="single" w:sz="4" w:space="0" w:color="auto"/>
            </w:tcBorders>
            <w:shd w:val="clear" w:color="auto" w:fill="FFFFFF"/>
            <w:vAlign w:val="center"/>
          </w:tcPr>
          <w:p w14:paraId="7604E1C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12</w:t>
            </w:r>
          </w:p>
        </w:tc>
        <w:tc>
          <w:tcPr>
            <w:tcW w:w="0" w:type="auto"/>
            <w:tcBorders>
              <w:top w:val="single" w:sz="4" w:space="0" w:color="auto"/>
              <w:left w:val="single" w:sz="4" w:space="0" w:color="auto"/>
            </w:tcBorders>
            <w:shd w:val="clear" w:color="auto" w:fill="FFFFFF"/>
            <w:vAlign w:val="center"/>
          </w:tcPr>
          <w:p w14:paraId="34556AFA"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Нова Загора</w:t>
            </w:r>
          </w:p>
        </w:tc>
        <w:tc>
          <w:tcPr>
            <w:tcW w:w="0" w:type="auto"/>
            <w:tcBorders>
              <w:top w:val="single" w:sz="4" w:space="0" w:color="auto"/>
              <w:left w:val="single" w:sz="4" w:space="0" w:color="auto"/>
              <w:right w:val="single" w:sz="4" w:space="0" w:color="auto"/>
            </w:tcBorders>
            <w:shd w:val="clear" w:color="auto" w:fill="FFFFFF"/>
            <w:vAlign w:val="center"/>
          </w:tcPr>
          <w:p w14:paraId="4BF5C5C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29CD238E"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5825935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13</w:t>
            </w:r>
          </w:p>
        </w:tc>
        <w:tc>
          <w:tcPr>
            <w:tcW w:w="0" w:type="auto"/>
            <w:tcBorders>
              <w:top w:val="single" w:sz="4" w:space="0" w:color="auto"/>
              <w:left w:val="single" w:sz="4" w:space="0" w:color="auto"/>
            </w:tcBorders>
            <w:shd w:val="clear" w:color="auto" w:fill="FFFFFF"/>
            <w:vAlign w:val="bottom"/>
          </w:tcPr>
          <w:p w14:paraId="34937E07"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 xml:space="preserve">Опан </w:t>
            </w:r>
            <w:r w:rsidRPr="009F6D1E">
              <w:rPr>
                <w:rFonts w:eastAsia="Microsoft Sans Serif" w:cs="Times New Roman"/>
                <w:color w:val="000000"/>
                <w:sz w:val="20"/>
                <w:szCs w:val="20"/>
                <w:lang w:eastAsia="bg-BG" w:bidi="bg-BG"/>
              </w:rPr>
              <w:t>у</w:t>
            </w:r>
          </w:p>
        </w:tc>
        <w:tc>
          <w:tcPr>
            <w:tcW w:w="0" w:type="auto"/>
            <w:tcBorders>
              <w:top w:val="single" w:sz="4" w:space="0" w:color="auto"/>
              <w:left w:val="single" w:sz="4" w:space="0" w:color="auto"/>
              <w:right w:val="single" w:sz="4" w:space="0" w:color="auto"/>
            </w:tcBorders>
            <w:shd w:val="clear" w:color="auto" w:fill="FFFFFF"/>
            <w:vAlign w:val="bottom"/>
          </w:tcPr>
          <w:p w14:paraId="1956963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4F90276D"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3DD9D02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14</w:t>
            </w:r>
          </w:p>
        </w:tc>
        <w:tc>
          <w:tcPr>
            <w:tcW w:w="0" w:type="auto"/>
            <w:tcBorders>
              <w:top w:val="single" w:sz="4" w:space="0" w:color="auto"/>
              <w:left w:val="single" w:sz="4" w:space="0" w:color="auto"/>
            </w:tcBorders>
            <w:shd w:val="clear" w:color="auto" w:fill="FFFFFF"/>
            <w:vAlign w:val="bottom"/>
          </w:tcPr>
          <w:p w14:paraId="68146D7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Пазарджик</w:t>
            </w:r>
          </w:p>
        </w:tc>
        <w:tc>
          <w:tcPr>
            <w:tcW w:w="0" w:type="auto"/>
            <w:tcBorders>
              <w:top w:val="single" w:sz="4" w:space="0" w:color="auto"/>
              <w:left w:val="single" w:sz="4" w:space="0" w:color="auto"/>
              <w:right w:val="single" w:sz="4" w:space="0" w:color="auto"/>
            </w:tcBorders>
            <w:shd w:val="clear" w:color="auto" w:fill="FFFFFF"/>
            <w:vAlign w:val="bottom"/>
          </w:tcPr>
          <w:p w14:paraId="72B9737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450</w:t>
            </w:r>
          </w:p>
        </w:tc>
      </w:tr>
      <w:tr w:rsidR="00382F2C" w:rsidRPr="009F6D1E" w14:paraId="17F4E437" w14:textId="77777777" w:rsidTr="001B3FAC">
        <w:trPr>
          <w:trHeight w:hRule="exact" w:val="384"/>
          <w:jc w:val="center"/>
        </w:trPr>
        <w:tc>
          <w:tcPr>
            <w:tcW w:w="0" w:type="auto"/>
            <w:tcBorders>
              <w:top w:val="single" w:sz="4" w:space="0" w:color="auto"/>
              <w:left w:val="single" w:sz="4" w:space="0" w:color="auto"/>
            </w:tcBorders>
            <w:shd w:val="clear" w:color="auto" w:fill="FFFFFF"/>
            <w:vAlign w:val="center"/>
          </w:tcPr>
          <w:p w14:paraId="6845503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15</w:t>
            </w:r>
          </w:p>
        </w:tc>
        <w:tc>
          <w:tcPr>
            <w:tcW w:w="0" w:type="auto"/>
            <w:tcBorders>
              <w:top w:val="single" w:sz="4" w:space="0" w:color="auto"/>
              <w:left w:val="single" w:sz="4" w:space="0" w:color="auto"/>
            </w:tcBorders>
            <w:shd w:val="clear" w:color="auto" w:fill="FFFFFF"/>
            <w:vAlign w:val="center"/>
          </w:tcPr>
          <w:p w14:paraId="46245DF3"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Пещера</w:t>
            </w:r>
          </w:p>
        </w:tc>
        <w:tc>
          <w:tcPr>
            <w:tcW w:w="0" w:type="auto"/>
            <w:tcBorders>
              <w:top w:val="single" w:sz="4" w:space="0" w:color="auto"/>
              <w:left w:val="single" w:sz="4" w:space="0" w:color="auto"/>
              <w:right w:val="single" w:sz="4" w:space="0" w:color="auto"/>
            </w:tcBorders>
            <w:shd w:val="clear" w:color="auto" w:fill="FFFFFF"/>
            <w:vAlign w:val="center"/>
          </w:tcPr>
          <w:p w14:paraId="7C34FDA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450</w:t>
            </w:r>
          </w:p>
        </w:tc>
      </w:tr>
      <w:tr w:rsidR="00382F2C" w:rsidRPr="009F6D1E" w14:paraId="16354B0E" w14:textId="77777777" w:rsidTr="001B3FAC">
        <w:trPr>
          <w:trHeight w:hRule="exact" w:val="329"/>
          <w:jc w:val="center"/>
        </w:trPr>
        <w:tc>
          <w:tcPr>
            <w:tcW w:w="0" w:type="auto"/>
            <w:tcBorders>
              <w:top w:val="single" w:sz="4" w:space="0" w:color="auto"/>
              <w:left w:val="single" w:sz="4" w:space="0" w:color="auto"/>
            </w:tcBorders>
            <w:shd w:val="clear" w:color="auto" w:fill="FFFFFF"/>
            <w:vAlign w:val="center"/>
          </w:tcPr>
          <w:p w14:paraId="28E3C9F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16</w:t>
            </w:r>
          </w:p>
        </w:tc>
        <w:tc>
          <w:tcPr>
            <w:tcW w:w="0" w:type="auto"/>
            <w:tcBorders>
              <w:top w:val="single" w:sz="4" w:space="0" w:color="auto"/>
              <w:left w:val="single" w:sz="4" w:space="0" w:color="auto"/>
            </w:tcBorders>
            <w:shd w:val="clear" w:color="auto" w:fill="FFFFFF"/>
            <w:vAlign w:val="center"/>
          </w:tcPr>
          <w:p w14:paraId="45C7636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Пловдив</w:t>
            </w:r>
          </w:p>
        </w:tc>
        <w:tc>
          <w:tcPr>
            <w:tcW w:w="0" w:type="auto"/>
            <w:tcBorders>
              <w:top w:val="single" w:sz="4" w:space="0" w:color="auto"/>
              <w:left w:val="single" w:sz="4" w:space="0" w:color="auto"/>
              <w:right w:val="single" w:sz="4" w:space="0" w:color="auto"/>
            </w:tcBorders>
            <w:shd w:val="clear" w:color="auto" w:fill="FFFFFF"/>
            <w:vAlign w:val="center"/>
          </w:tcPr>
          <w:p w14:paraId="0D3DC82E"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0DBB0265"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158D105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17</w:t>
            </w:r>
          </w:p>
        </w:tc>
        <w:tc>
          <w:tcPr>
            <w:tcW w:w="0" w:type="auto"/>
            <w:tcBorders>
              <w:top w:val="single" w:sz="4" w:space="0" w:color="auto"/>
              <w:left w:val="single" w:sz="4" w:space="0" w:color="auto"/>
            </w:tcBorders>
            <w:shd w:val="clear" w:color="auto" w:fill="FFFFFF"/>
            <w:vAlign w:val="bottom"/>
          </w:tcPr>
          <w:p w14:paraId="5FB95CB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Първомай</w:t>
            </w:r>
          </w:p>
        </w:tc>
        <w:tc>
          <w:tcPr>
            <w:tcW w:w="0" w:type="auto"/>
            <w:tcBorders>
              <w:top w:val="single" w:sz="4" w:space="0" w:color="auto"/>
              <w:left w:val="single" w:sz="4" w:space="0" w:color="auto"/>
              <w:right w:val="single" w:sz="4" w:space="0" w:color="auto"/>
            </w:tcBorders>
            <w:shd w:val="clear" w:color="auto" w:fill="FFFFFF"/>
            <w:vAlign w:val="bottom"/>
          </w:tcPr>
          <w:p w14:paraId="652669F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300</w:t>
            </w:r>
          </w:p>
        </w:tc>
      </w:tr>
      <w:tr w:rsidR="00382F2C" w:rsidRPr="009F6D1E" w14:paraId="40FECB5F" w14:textId="77777777" w:rsidTr="001B3FAC">
        <w:trPr>
          <w:trHeight w:hRule="exact" w:val="338"/>
          <w:jc w:val="center"/>
        </w:trPr>
        <w:tc>
          <w:tcPr>
            <w:tcW w:w="0" w:type="auto"/>
            <w:tcBorders>
              <w:top w:val="single" w:sz="4" w:space="0" w:color="auto"/>
              <w:left w:val="single" w:sz="4" w:space="0" w:color="auto"/>
            </w:tcBorders>
            <w:shd w:val="clear" w:color="auto" w:fill="FFFFFF"/>
            <w:vAlign w:val="center"/>
          </w:tcPr>
          <w:p w14:paraId="5A5786E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18</w:t>
            </w:r>
          </w:p>
        </w:tc>
        <w:tc>
          <w:tcPr>
            <w:tcW w:w="0" w:type="auto"/>
            <w:tcBorders>
              <w:top w:val="single" w:sz="4" w:space="0" w:color="auto"/>
              <w:left w:val="single" w:sz="4" w:space="0" w:color="auto"/>
            </w:tcBorders>
            <w:shd w:val="clear" w:color="auto" w:fill="FFFFFF"/>
            <w:vAlign w:val="center"/>
          </w:tcPr>
          <w:p w14:paraId="6ADE235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Раднево</w:t>
            </w:r>
          </w:p>
        </w:tc>
        <w:tc>
          <w:tcPr>
            <w:tcW w:w="0" w:type="auto"/>
            <w:tcBorders>
              <w:top w:val="single" w:sz="4" w:space="0" w:color="auto"/>
              <w:left w:val="single" w:sz="4" w:space="0" w:color="auto"/>
              <w:right w:val="single" w:sz="4" w:space="0" w:color="auto"/>
            </w:tcBorders>
            <w:shd w:val="clear" w:color="auto" w:fill="FFFFFF"/>
            <w:vAlign w:val="center"/>
          </w:tcPr>
          <w:p w14:paraId="66FE333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6C255AD6" w14:textId="77777777" w:rsidTr="001B3FAC">
        <w:trPr>
          <w:trHeight w:hRule="exact" w:val="422"/>
          <w:jc w:val="center"/>
        </w:trPr>
        <w:tc>
          <w:tcPr>
            <w:tcW w:w="0" w:type="auto"/>
            <w:tcBorders>
              <w:top w:val="single" w:sz="4" w:space="0" w:color="auto"/>
              <w:left w:val="single" w:sz="4" w:space="0" w:color="auto"/>
            </w:tcBorders>
            <w:shd w:val="clear" w:color="auto" w:fill="FFFFFF"/>
            <w:vAlign w:val="center"/>
          </w:tcPr>
          <w:p w14:paraId="09CCDCE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19</w:t>
            </w:r>
          </w:p>
        </w:tc>
        <w:tc>
          <w:tcPr>
            <w:tcW w:w="0" w:type="auto"/>
            <w:tcBorders>
              <w:top w:val="single" w:sz="4" w:space="0" w:color="auto"/>
              <w:left w:val="single" w:sz="4" w:space="0" w:color="auto"/>
            </w:tcBorders>
            <w:shd w:val="clear" w:color="auto" w:fill="FFFFFF"/>
            <w:vAlign w:val="center"/>
          </w:tcPr>
          <w:p w14:paraId="1344024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Раковски</w:t>
            </w:r>
          </w:p>
        </w:tc>
        <w:tc>
          <w:tcPr>
            <w:tcW w:w="0" w:type="auto"/>
            <w:tcBorders>
              <w:top w:val="single" w:sz="4" w:space="0" w:color="auto"/>
              <w:left w:val="single" w:sz="4" w:space="0" w:color="auto"/>
              <w:right w:val="single" w:sz="4" w:space="0" w:color="auto"/>
            </w:tcBorders>
            <w:shd w:val="clear" w:color="auto" w:fill="FFFFFF"/>
            <w:vAlign w:val="center"/>
          </w:tcPr>
          <w:p w14:paraId="3319497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11C68CE5" w14:textId="77777777" w:rsidTr="001B3FAC">
        <w:trPr>
          <w:trHeight w:hRule="exact" w:val="413"/>
          <w:jc w:val="center"/>
        </w:trPr>
        <w:tc>
          <w:tcPr>
            <w:tcW w:w="0" w:type="auto"/>
            <w:tcBorders>
              <w:top w:val="single" w:sz="4" w:space="0" w:color="auto"/>
              <w:left w:val="single" w:sz="4" w:space="0" w:color="auto"/>
            </w:tcBorders>
            <w:shd w:val="clear" w:color="auto" w:fill="FFFFFF"/>
            <w:vAlign w:val="center"/>
          </w:tcPr>
          <w:p w14:paraId="701AAB7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20</w:t>
            </w:r>
          </w:p>
        </w:tc>
        <w:tc>
          <w:tcPr>
            <w:tcW w:w="0" w:type="auto"/>
            <w:tcBorders>
              <w:top w:val="single" w:sz="4" w:space="0" w:color="auto"/>
              <w:left w:val="single" w:sz="4" w:space="0" w:color="auto"/>
            </w:tcBorders>
            <w:shd w:val="clear" w:color="auto" w:fill="FFFFFF"/>
            <w:vAlign w:val="center"/>
          </w:tcPr>
          <w:p w14:paraId="4A2FF6E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Родопи</w:t>
            </w:r>
          </w:p>
        </w:tc>
        <w:tc>
          <w:tcPr>
            <w:tcW w:w="0" w:type="auto"/>
            <w:tcBorders>
              <w:top w:val="single" w:sz="4" w:space="0" w:color="auto"/>
              <w:left w:val="single" w:sz="4" w:space="0" w:color="auto"/>
              <w:right w:val="single" w:sz="4" w:space="0" w:color="auto"/>
            </w:tcBorders>
            <w:shd w:val="clear" w:color="auto" w:fill="FFFFFF"/>
            <w:vAlign w:val="center"/>
          </w:tcPr>
          <w:p w14:paraId="2D1ECDB6"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300</w:t>
            </w:r>
          </w:p>
        </w:tc>
      </w:tr>
      <w:tr w:rsidR="00382F2C" w:rsidRPr="009F6D1E" w14:paraId="70FA4F62" w14:textId="77777777" w:rsidTr="001B3FAC">
        <w:trPr>
          <w:trHeight w:hRule="exact" w:val="437"/>
          <w:jc w:val="center"/>
        </w:trPr>
        <w:tc>
          <w:tcPr>
            <w:tcW w:w="0" w:type="auto"/>
            <w:tcBorders>
              <w:top w:val="single" w:sz="4" w:space="0" w:color="auto"/>
              <w:left w:val="single" w:sz="4" w:space="0" w:color="auto"/>
            </w:tcBorders>
            <w:shd w:val="clear" w:color="auto" w:fill="FFFFFF"/>
            <w:vAlign w:val="center"/>
          </w:tcPr>
          <w:p w14:paraId="0917F58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21</w:t>
            </w:r>
          </w:p>
        </w:tc>
        <w:tc>
          <w:tcPr>
            <w:tcW w:w="0" w:type="auto"/>
            <w:tcBorders>
              <w:top w:val="single" w:sz="4" w:space="0" w:color="auto"/>
              <w:left w:val="single" w:sz="4" w:space="0" w:color="auto"/>
            </w:tcBorders>
            <w:shd w:val="clear" w:color="auto" w:fill="FFFFFF"/>
            <w:vAlign w:val="center"/>
          </w:tcPr>
          <w:p w14:paraId="7731EDD6"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Садово</w:t>
            </w:r>
          </w:p>
        </w:tc>
        <w:tc>
          <w:tcPr>
            <w:tcW w:w="0" w:type="auto"/>
            <w:tcBorders>
              <w:top w:val="single" w:sz="4" w:space="0" w:color="auto"/>
              <w:left w:val="single" w:sz="4" w:space="0" w:color="auto"/>
              <w:right w:val="single" w:sz="4" w:space="0" w:color="auto"/>
            </w:tcBorders>
            <w:shd w:val="clear" w:color="auto" w:fill="FFFFFF"/>
            <w:vAlign w:val="center"/>
          </w:tcPr>
          <w:p w14:paraId="517E2FBD"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15EDD45C" w14:textId="77777777" w:rsidTr="001B3FAC">
        <w:trPr>
          <w:trHeight w:hRule="exact" w:val="312"/>
          <w:jc w:val="center"/>
        </w:trPr>
        <w:tc>
          <w:tcPr>
            <w:tcW w:w="0" w:type="auto"/>
            <w:tcBorders>
              <w:top w:val="single" w:sz="4" w:space="0" w:color="auto"/>
              <w:left w:val="single" w:sz="4" w:space="0" w:color="auto"/>
              <w:bottom w:val="single" w:sz="4" w:space="0" w:color="auto"/>
            </w:tcBorders>
            <w:shd w:val="clear" w:color="auto" w:fill="FFFFFF"/>
            <w:vAlign w:val="bottom"/>
          </w:tcPr>
          <w:p w14:paraId="4DC447C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22</w:t>
            </w:r>
          </w:p>
        </w:tc>
        <w:tc>
          <w:tcPr>
            <w:tcW w:w="0" w:type="auto"/>
            <w:tcBorders>
              <w:top w:val="single" w:sz="4" w:space="0" w:color="auto"/>
              <w:left w:val="single" w:sz="4" w:space="0" w:color="auto"/>
              <w:bottom w:val="single" w:sz="4" w:space="0" w:color="auto"/>
            </w:tcBorders>
            <w:shd w:val="clear" w:color="auto" w:fill="FFFFFF"/>
            <w:vAlign w:val="bottom"/>
          </w:tcPr>
          <w:p w14:paraId="7E019957"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Свиленград</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bottom"/>
          </w:tcPr>
          <w:p w14:paraId="1E64A3D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100</w:t>
            </w:r>
          </w:p>
        </w:tc>
      </w:tr>
      <w:tr w:rsidR="00382F2C" w:rsidRPr="009F6D1E" w14:paraId="64DA301C" w14:textId="77777777" w:rsidTr="001B3FAC">
        <w:trPr>
          <w:trHeight w:hRule="exact" w:val="422"/>
          <w:jc w:val="center"/>
        </w:trPr>
        <w:tc>
          <w:tcPr>
            <w:tcW w:w="0" w:type="auto"/>
            <w:tcBorders>
              <w:top w:val="single" w:sz="4" w:space="0" w:color="auto"/>
              <w:left w:val="single" w:sz="4" w:space="0" w:color="auto"/>
            </w:tcBorders>
            <w:shd w:val="clear" w:color="auto" w:fill="FFFFFF"/>
            <w:vAlign w:val="center"/>
          </w:tcPr>
          <w:p w14:paraId="5FF886D1"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23</w:t>
            </w:r>
          </w:p>
        </w:tc>
        <w:tc>
          <w:tcPr>
            <w:tcW w:w="0" w:type="auto"/>
            <w:tcBorders>
              <w:top w:val="single" w:sz="4" w:space="0" w:color="auto"/>
              <w:left w:val="single" w:sz="4" w:space="0" w:color="auto"/>
            </w:tcBorders>
            <w:shd w:val="clear" w:color="auto" w:fill="FFFFFF"/>
            <w:vAlign w:val="center"/>
          </w:tcPr>
          <w:p w14:paraId="5C58DF02"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Симеоновград</w:t>
            </w:r>
          </w:p>
        </w:tc>
        <w:tc>
          <w:tcPr>
            <w:tcW w:w="0" w:type="auto"/>
            <w:tcBorders>
              <w:top w:val="single" w:sz="4" w:space="0" w:color="auto"/>
              <w:left w:val="single" w:sz="4" w:space="0" w:color="auto"/>
              <w:right w:val="single" w:sz="4" w:space="0" w:color="auto"/>
            </w:tcBorders>
            <w:shd w:val="clear" w:color="auto" w:fill="FFFFFF"/>
            <w:vAlign w:val="center"/>
          </w:tcPr>
          <w:p w14:paraId="58703CD2"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5BF01732" w14:textId="77777777" w:rsidTr="001B3FAC">
        <w:trPr>
          <w:trHeight w:hRule="exact" w:val="239"/>
          <w:jc w:val="center"/>
        </w:trPr>
        <w:tc>
          <w:tcPr>
            <w:tcW w:w="0" w:type="auto"/>
            <w:tcBorders>
              <w:top w:val="single" w:sz="4" w:space="0" w:color="auto"/>
              <w:left w:val="single" w:sz="4" w:space="0" w:color="auto"/>
            </w:tcBorders>
            <w:shd w:val="clear" w:color="auto" w:fill="FFFFFF"/>
            <w:vAlign w:val="center"/>
          </w:tcPr>
          <w:p w14:paraId="21748AA0"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24</w:t>
            </w:r>
          </w:p>
        </w:tc>
        <w:tc>
          <w:tcPr>
            <w:tcW w:w="0" w:type="auto"/>
            <w:tcBorders>
              <w:top w:val="single" w:sz="4" w:space="0" w:color="auto"/>
              <w:left w:val="single" w:sz="4" w:space="0" w:color="auto"/>
            </w:tcBorders>
            <w:shd w:val="clear" w:color="auto" w:fill="FFFFFF"/>
            <w:vAlign w:val="center"/>
          </w:tcPr>
          <w:p w14:paraId="0EF6D78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Сливен</w:t>
            </w:r>
          </w:p>
        </w:tc>
        <w:tc>
          <w:tcPr>
            <w:tcW w:w="0" w:type="auto"/>
            <w:tcBorders>
              <w:top w:val="single" w:sz="4" w:space="0" w:color="auto"/>
              <w:left w:val="single" w:sz="4" w:space="0" w:color="auto"/>
              <w:right w:val="single" w:sz="4" w:space="0" w:color="auto"/>
            </w:tcBorders>
            <w:shd w:val="clear" w:color="auto" w:fill="FFFFFF"/>
            <w:vAlign w:val="center"/>
          </w:tcPr>
          <w:p w14:paraId="2EB7CAE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350</w:t>
            </w:r>
          </w:p>
        </w:tc>
      </w:tr>
      <w:tr w:rsidR="00382F2C" w:rsidRPr="009F6D1E" w14:paraId="3433FEA8" w14:textId="77777777" w:rsidTr="001B3FAC">
        <w:trPr>
          <w:trHeight w:hRule="exact" w:val="356"/>
          <w:jc w:val="center"/>
        </w:trPr>
        <w:tc>
          <w:tcPr>
            <w:tcW w:w="0" w:type="auto"/>
            <w:tcBorders>
              <w:top w:val="single" w:sz="4" w:space="0" w:color="auto"/>
              <w:left w:val="single" w:sz="4" w:space="0" w:color="auto"/>
            </w:tcBorders>
            <w:shd w:val="clear" w:color="auto" w:fill="FFFFFF"/>
            <w:vAlign w:val="center"/>
          </w:tcPr>
          <w:p w14:paraId="24B6CF1A"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25</w:t>
            </w:r>
          </w:p>
        </w:tc>
        <w:tc>
          <w:tcPr>
            <w:tcW w:w="0" w:type="auto"/>
            <w:tcBorders>
              <w:top w:val="single" w:sz="4" w:space="0" w:color="auto"/>
              <w:left w:val="single" w:sz="4" w:space="0" w:color="auto"/>
            </w:tcBorders>
            <w:shd w:val="clear" w:color="auto" w:fill="FFFFFF"/>
            <w:vAlign w:val="center"/>
          </w:tcPr>
          <w:p w14:paraId="1433EE8A"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Стамболийски</w:t>
            </w:r>
          </w:p>
        </w:tc>
        <w:tc>
          <w:tcPr>
            <w:tcW w:w="0" w:type="auto"/>
            <w:tcBorders>
              <w:top w:val="single" w:sz="4" w:space="0" w:color="auto"/>
              <w:left w:val="single" w:sz="4" w:space="0" w:color="auto"/>
              <w:right w:val="single" w:sz="4" w:space="0" w:color="auto"/>
            </w:tcBorders>
            <w:shd w:val="clear" w:color="auto" w:fill="FFFFFF"/>
            <w:vAlign w:val="center"/>
          </w:tcPr>
          <w:p w14:paraId="2752F2A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5BA079A6" w14:textId="77777777" w:rsidTr="001B3FAC">
        <w:trPr>
          <w:trHeight w:hRule="exact" w:val="374"/>
          <w:jc w:val="center"/>
        </w:trPr>
        <w:tc>
          <w:tcPr>
            <w:tcW w:w="0" w:type="auto"/>
            <w:tcBorders>
              <w:top w:val="single" w:sz="4" w:space="0" w:color="auto"/>
              <w:left w:val="single" w:sz="4" w:space="0" w:color="auto"/>
            </w:tcBorders>
            <w:shd w:val="clear" w:color="auto" w:fill="FFFFFF"/>
            <w:vAlign w:val="center"/>
          </w:tcPr>
          <w:p w14:paraId="49BD54E3"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26</w:t>
            </w:r>
          </w:p>
        </w:tc>
        <w:tc>
          <w:tcPr>
            <w:tcW w:w="0" w:type="auto"/>
            <w:tcBorders>
              <w:top w:val="single" w:sz="4" w:space="0" w:color="auto"/>
              <w:left w:val="single" w:sz="4" w:space="0" w:color="auto"/>
            </w:tcBorders>
            <w:shd w:val="clear" w:color="auto" w:fill="FFFFFF"/>
            <w:vAlign w:val="center"/>
          </w:tcPr>
          <w:p w14:paraId="7F6E6AD8"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Стара Загора</w:t>
            </w:r>
          </w:p>
        </w:tc>
        <w:tc>
          <w:tcPr>
            <w:tcW w:w="0" w:type="auto"/>
            <w:tcBorders>
              <w:top w:val="single" w:sz="4" w:space="0" w:color="auto"/>
              <w:left w:val="single" w:sz="4" w:space="0" w:color="auto"/>
              <w:right w:val="single" w:sz="4" w:space="0" w:color="auto"/>
            </w:tcBorders>
            <w:shd w:val="clear" w:color="auto" w:fill="FFFFFF"/>
            <w:vAlign w:val="center"/>
          </w:tcPr>
          <w:p w14:paraId="4A05CD4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573D9378" w14:textId="77777777" w:rsidTr="001B3FAC">
        <w:trPr>
          <w:trHeight w:hRule="exact" w:val="383"/>
          <w:jc w:val="center"/>
        </w:trPr>
        <w:tc>
          <w:tcPr>
            <w:tcW w:w="0" w:type="auto"/>
            <w:tcBorders>
              <w:top w:val="single" w:sz="4" w:space="0" w:color="auto"/>
              <w:left w:val="single" w:sz="4" w:space="0" w:color="auto"/>
            </w:tcBorders>
            <w:shd w:val="clear" w:color="auto" w:fill="FFFFFF"/>
            <w:vAlign w:val="center"/>
          </w:tcPr>
          <w:p w14:paraId="3667CE3D"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lastRenderedPageBreak/>
              <w:t>27</w:t>
            </w:r>
          </w:p>
        </w:tc>
        <w:tc>
          <w:tcPr>
            <w:tcW w:w="0" w:type="auto"/>
            <w:tcBorders>
              <w:top w:val="single" w:sz="4" w:space="0" w:color="auto"/>
              <w:left w:val="single" w:sz="4" w:space="0" w:color="auto"/>
            </w:tcBorders>
            <w:shd w:val="clear" w:color="auto" w:fill="FFFFFF"/>
            <w:vAlign w:val="center"/>
          </w:tcPr>
          <w:p w14:paraId="475FDA7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Стралджа</w:t>
            </w:r>
          </w:p>
        </w:tc>
        <w:tc>
          <w:tcPr>
            <w:tcW w:w="0" w:type="auto"/>
            <w:tcBorders>
              <w:top w:val="single" w:sz="4" w:space="0" w:color="auto"/>
              <w:left w:val="single" w:sz="4" w:space="0" w:color="auto"/>
              <w:right w:val="single" w:sz="4" w:space="0" w:color="auto"/>
            </w:tcBorders>
            <w:shd w:val="clear" w:color="auto" w:fill="FFFFFF"/>
            <w:vAlign w:val="center"/>
          </w:tcPr>
          <w:p w14:paraId="434C0A8D"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7D6A2965"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704F5109"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28</w:t>
            </w:r>
          </w:p>
        </w:tc>
        <w:tc>
          <w:tcPr>
            <w:tcW w:w="0" w:type="auto"/>
            <w:tcBorders>
              <w:top w:val="single" w:sz="4" w:space="0" w:color="auto"/>
              <w:left w:val="single" w:sz="4" w:space="0" w:color="auto"/>
            </w:tcBorders>
            <w:shd w:val="clear" w:color="auto" w:fill="FFFFFF"/>
            <w:vAlign w:val="bottom"/>
          </w:tcPr>
          <w:p w14:paraId="2DE4BC6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Стрелча</w:t>
            </w:r>
          </w:p>
        </w:tc>
        <w:tc>
          <w:tcPr>
            <w:tcW w:w="0" w:type="auto"/>
            <w:tcBorders>
              <w:top w:val="single" w:sz="4" w:space="0" w:color="auto"/>
              <w:left w:val="single" w:sz="4" w:space="0" w:color="auto"/>
              <w:right w:val="single" w:sz="4" w:space="0" w:color="auto"/>
            </w:tcBorders>
            <w:shd w:val="clear" w:color="auto" w:fill="FFFFFF"/>
            <w:vAlign w:val="bottom"/>
          </w:tcPr>
          <w:p w14:paraId="3B1DB30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450</w:t>
            </w:r>
          </w:p>
        </w:tc>
      </w:tr>
      <w:tr w:rsidR="00382F2C" w:rsidRPr="009F6D1E" w14:paraId="5B1CB208" w14:textId="77777777" w:rsidTr="001B3FAC">
        <w:trPr>
          <w:trHeight w:hRule="exact" w:val="403"/>
          <w:jc w:val="center"/>
        </w:trPr>
        <w:tc>
          <w:tcPr>
            <w:tcW w:w="0" w:type="auto"/>
            <w:tcBorders>
              <w:top w:val="single" w:sz="4" w:space="0" w:color="auto"/>
              <w:left w:val="single" w:sz="4" w:space="0" w:color="auto"/>
            </w:tcBorders>
            <w:shd w:val="clear" w:color="auto" w:fill="FFFFFF"/>
            <w:vAlign w:val="center"/>
          </w:tcPr>
          <w:p w14:paraId="6CC312AE"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29</w:t>
            </w:r>
          </w:p>
        </w:tc>
        <w:tc>
          <w:tcPr>
            <w:tcW w:w="0" w:type="auto"/>
            <w:tcBorders>
              <w:top w:val="single" w:sz="4" w:space="0" w:color="auto"/>
              <w:left w:val="single" w:sz="4" w:space="0" w:color="auto"/>
            </w:tcBorders>
            <w:shd w:val="clear" w:color="auto" w:fill="FFFFFF"/>
            <w:vAlign w:val="center"/>
          </w:tcPr>
          <w:p w14:paraId="12B09B5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Сунгурларе</w:t>
            </w:r>
          </w:p>
        </w:tc>
        <w:tc>
          <w:tcPr>
            <w:tcW w:w="0" w:type="auto"/>
            <w:tcBorders>
              <w:top w:val="single" w:sz="4" w:space="0" w:color="auto"/>
              <w:left w:val="single" w:sz="4" w:space="0" w:color="auto"/>
              <w:right w:val="single" w:sz="4" w:space="0" w:color="auto"/>
            </w:tcBorders>
            <w:shd w:val="clear" w:color="auto" w:fill="FFFFFF"/>
            <w:vAlign w:val="center"/>
          </w:tcPr>
          <w:p w14:paraId="1C4340E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350</w:t>
            </w:r>
          </w:p>
        </w:tc>
      </w:tr>
      <w:tr w:rsidR="00382F2C" w:rsidRPr="009F6D1E" w14:paraId="112BC62F" w14:textId="77777777" w:rsidTr="001B3FAC">
        <w:trPr>
          <w:trHeight w:hRule="exact" w:val="257"/>
          <w:jc w:val="center"/>
        </w:trPr>
        <w:tc>
          <w:tcPr>
            <w:tcW w:w="0" w:type="auto"/>
            <w:tcBorders>
              <w:top w:val="single" w:sz="4" w:space="0" w:color="auto"/>
              <w:left w:val="single" w:sz="4" w:space="0" w:color="auto"/>
            </w:tcBorders>
            <w:shd w:val="clear" w:color="auto" w:fill="FFFFFF"/>
            <w:vAlign w:val="center"/>
          </w:tcPr>
          <w:p w14:paraId="76E6C2E1"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30</w:t>
            </w:r>
          </w:p>
        </w:tc>
        <w:tc>
          <w:tcPr>
            <w:tcW w:w="0" w:type="auto"/>
            <w:tcBorders>
              <w:top w:val="single" w:sz="4" w:space="0" w:color="auto"/>
              <w:left w:val="single" w:sz="4" w:space="0" w:color="auto"/>
            </w:tcBorders>
            <w:shd w:val="clear" w:color="auto" w:fill="FFFFFF"/>
            <w:vAlign w:val="center"/>
          </w:tcPr>
          <w:p w14:paraId="0DCF3A1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Съединение</w:t>
            </w:r>
          </w:p>
        </w:tc>
        <w:tc>
          <w:tcPr>
            <w:tcW w:w="0" w:type="auto"/>
            <w:tcBorders>
              <w:top w:val="single" w:sz="4" w:space="0" w:color="auto"/>
              <w:left w:val="single" w:sz="4" w:space="0" w:color="auto"/>
              <w:right w:val="single" w:sz="4" w:space="0" w:color="auto"/>
            </w:tcBorders>
            <w:shd w:val="clear" w:color="auto" w:fill="FFFFFF"/>
            <w:vAlign w:val="center"/>
          </w:tcPr>
          <w:p w14:paraId="61F50E2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43AD899E" w14:textId="77777777" w:rsidTr="001B3FAC">
        <w:trPr>
          <w:trHeight w:hRule="exact" w:val="317"/>
          <w:jc w:val="center"/>
        </w:trPr>
        <w:tc>
          <w:tcPr>
            <w:tcW w:w="0" w:type="auto"/>
            <w:tcBorders>
              <w:top w:val="single" w:sz="4" w:space="0" w:color="auto"/>
              <w:left w:val="single" w:sz="4" w:space="0" w:color="auto"/>
            </w:tcBorders>
            <w:shd w:val="clear" w:color="auto" w:fill="FFFFFF"/>
            <w:vAlign w:val="bottom"/>
          </w:tcPr>
          <w:p w14:paraId="575EA368"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31</w:t>
            </w:r>
          </w:p>
        </w:tc>
        <w:tc>
          <w:tcPr>
            <w:tcW w:w="0" w:type="auto"/>
            <w:tcBorders>
              <w:top w:val="single" w:sz="4" w:space="0" w:color="auto"/>
              <w:left w:val="single" w:sz="4" w:space="0" w:color="auto"/>
            </w:tcBorders>
            <w:shd w:val="clear" w:color="auto" w:fill="FFFFFF"/>
            <w:vAlign w:val="bottom"/>
          </w:tcPr>
          <w:p w14:paraId="64AFBEA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Твърдица</w:t>
            </w:r>
          </w:p>
        </w:tc>
        <w:tc>
          <w:tcPr>
            <w:tcW w:w="0" w:type="auto"/>
            <w:tcBorders>
              <w:top w:val="single" w:sz="4" w:space="0" w:color="auto"/>
              <w:left w:val="single" w:sz="4" w:space="0" w:color="auto"/>
              <w:right w:val="single" w:sz="4" w:space="0" w:color="auto"/>
            </w:tcBorders>
            <w:shd w:val="clear" w:color="auto" w:fill="FFFFFF"/>
            <w:vAlign w:val="bottom"/>
          </w:tcPr>
          <w:p w14:paraId="4532A9EC"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400</w:t>
            </w:r>
          </w:p>
        </w:tc>
      </w:tr>
      <w:tr w:rsidR="00382F2C" w:rsidRPr="009F6D1E" w14:paraId="51FB6F5A" w14:textId="77777777" w:rsidTr="001B3FAC">
        <w:trPr>
          <w:trHeight w:hRule="exact" w:val="311"/>
          <w:jc w:val="center"/>
        </w:trPr>
        <w:tc>
          <w:tcPr>
            <w:tcW w:w="0" w:type="auto"/>
            <w:tcBorders>
              <w:top w:val="single" w:sz="4" w:space="0" w:color="auto"/>
              <w:left w:val="single" w:sz="4" w:space="0" w:color="auto"/>
            </w:tcBorders>
            <w:shd w:val="clear" w:color="auto" w:fill="FFFFFF"/>
          </w:tcPr>
          <w:p w14:paraId="738545CA"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32</w:t>
            </w:r>
          </w:p>
        </w:tc>
        <w:tc>
          <w:tcPr>
            <w:tcW w:w="0" w:type="auto"/>
            <w:tcBorders>
              <w:top w:val="single" w:sz="4" w:space="0" w:color="auto"/>
              <w:left w:val="single" w:sz="4" w:space="0" w:color="auto"/>
            </w:tcBorders>
            <w:shd w:val="clear" w:color="auto" w:fill="FFFFFF"/>
          </w:tcPr>
          <w:p w14:paraId="5AD35CF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Тополовград</w:t>
            </w:r>
          </w:p>
        </w:tc>
        <w:tc>
          <w:tcPr>
            <w:tcW w:w="0" w:type="auto"/>
            <w:tcBorders>
              <w:top w:val="single" w:sz="4" w:space="0" w:color="auto"/>
              <w:left w:val="single" w:sz="4" w:space="0" w:color="auto"/>
              <w:right w:val="single" w:sz="4" w:space="0" w:color="auto"/>
            </w:tcBorders>
            <w:shd w:val="clear" w:color="auto" w:fill="FFFFFF"/>
          </w:tcPr>
          <w:p w14:paraId="79A1DF2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350</w:t>
            </w:r>
          </w:p>
        </w:tc>
      </w:tr>
      <w:tr w:rsidR="00382F2C" w:rsidRPr="009F6D1E" w14:paraId="293ACA6E" w14:textId="77777777" w:rsidTr="001B3FAC">
        <w:trPr>
          <w:trHeight w:hRule="exact" w:val="275"/>
          <w:jc w:val="center"/>
        </w:trPr>
        <w:tc>
          <w:tcPr>
            <w:tcW w:w="0" w:type="auto"/>
            <w:tcBorders>
              <w:top w:val="single" w:sz="4" w:space="0" w:color="auto"/>
              <w:left w:val="single" w:sz="4" w:space="0" w:color="auto"/>
            </w:tcBorders>
            <w:shd w:val="clear" w:color="auto" w:fill="FFFFFF"/>
            <w:vAlign w:val="center"/>
          </w:tcPr>
          <w:p w14:paraId="35EBBDEA"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33</w:t>
            </w:r>
          </w:p>
        </w:tc>
        <w:tc>
          <w:tcPr>
            <w:tcW w:w="0" w:type="auto"/>
            <w:tcBorders>
              <w:top w:val="single" w:sz="4" w:space="0" w:color="auto"/>
              <w:left w:val="single" w:sz="4" w:space="0" w:color="auto"/>
            </w:tcBorders>
            <w:shd w:val="clear" w:color="auto" w:fill="FFFFFF"/>
            <w:vAlign w:val="center"/>
          </w:tcPr>
          <w:p w14:paraId="2FE19B4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Тунджа</w:t>
            </w:r>
          </w:p>
        </w:tc>
        <w:tc>
          <w:tcPr>
            <w:tcW w:w="0" w:type="auto"/>
            <w:tcBorders>
              <w:top w:val="single" w:sz="4" w:space="0" w:color="auto"/>
              <w:left w:val="single" w:sz="4" w:space="0" w:color="auto"/>
              <w:right w:val="single" w:sz="4" w:space="0" w:color="auto"/>
            </w:tcBorders>
            <w:shd w:val="clear" w:color="auto" w:fill="FFFFFF"/>
            <w:vAlign w:val="center"/>
          </w:tcPr>
          <w:p w14:paraId="7D0E50B2"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r w:rsidR="00382F2C" w:rsidRPr="009F6D1E" w14:paraId="75BE17BA"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4F74AAE9"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34</w:t>
            </w:r>
          </w:p>
        </w:tc>
        <w:tc>
          <w:tcPr>
            <w:tcW w:w="0" w:type="auto"/>
            <w:tcBorders>
              <w:top w:val="single" w:sz="4" w:space="0" w:color="auto"/>
              <w:left w:val="single" w:sz="4" w:space="0" w:color="auto"/>
            </w:tcBorders>
            <w:shd w:val="clear" w:color="auto" w:fill="FFFFFF"/>
            <w:vAlign w:val="bottom"/>
          </w:tcPr>
          <w:p w14:paraId="49CD9B63"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Харманли</w:t>
            </w:r>
          </w:p>
        </w:tc>
        <w:tc>
          <w:tcPr>
            <w:tcW w:w="0" w:type="auto"/>
            <w:tcBorders>
              <w:top w:val="single" w:sz="4" w:space="0" w:color="auto"/>
              <w:left w:val="single" w:sz="4" w:space="0" w:color="auto"/>
              <w:right w:val="single" w:sz="4" w:space="0" w:color="auto"/>
            </w:tcBorders>
            <w:shd w:val="clear" w:color="auto" w:fill="FFFFFF"/>
            <w:vAlign w:val="bottom"/>
          </w:tcPr>
          <w:p w14:paraId="6FCF10A2"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100</w:t>
            </w:r>
          </w:p>
        </w:tc>
      </w:tr>
      <w:tr w:rsidR="00382F2C" w:rsidRPr="009F6D1E" w14:paraId="1E79BF7E" w14:textId="77777777" w:rsidTr="001B3FAC">
        <w:trPr>
          <w:trHeight w:hRule="exact" w:val="302"/>
          <w:jc w:val="center"/>
        </w:trPr>
        <w:tc>
          <w:tcPr>
            <w:tcW w:w="0" w:type="auto"/>
            <w:tcBorders>
              <w:top w:val="single" w:sz="4" w:space="0" w:color="auto"/>
              <w:left w:val="single" w:sz="4" w:space="0" w:color="auto"/>
            </w:tcBorders>
            <w:shd w:val="clear" w:color="auto" w:fill="FFFFFF"/>
            <w:vAlign w:val="bottom"/>
          </w:tcPr>
          <w:p w14:paraId="18A12499"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35</w:t>
            </w:r>
          </w:p>
        </w:tc>
        <w:tc>
          <w:tcPr>
            <w:tcW w:w="0" w:type="auto"/>
            <w:tcBorders>
              <w:top w:val="single" w:sz="4" w:space="0" w:color="auto"/>
              <w:left w:val="single" w:sz="4" w:space="0" w:color="auto"/>
            </w:tcBorders>
            <w:shd w:val="clear" w:color="auto" w:fill="FFFFFF"/>
            <w:vAlign w:val="bottom"/>
          </w:tcPr>
          <w:p w14:paraId="7905B5F4"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Хасково</w:t>
            </w:r>
          </w:p>
        </w:tc>
        <w:tc>
          <w:tcPr>
            <w:tcW w:w="0" w:type="auto"/>
            <w:tcBorders>
              <w:top w:val="single" w:sz="4" w:space="0" w:color="auto"/>
              <w:left w:val="single" w:sz="4" w:space="0" w:color="auto"/>
              <w:right w:val="single" w:sz="4" w:space="0" w:color="auto"/>
            </w:tcBorders>
            <w:shd w:val="clear" w:color="auto" w:fill="FFFFFF"/>
            <w:vAlign w:val="bottom"/>
          </w:tcPr>
          <w:p w14:paraId="6B225091"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7ACFE794"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3FB3FF25"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36</w:t>
            </w:r>
          </w:p>
        </w:tc>
        <w:tc>
          <w:tcPr>
            <w:tcW w:w="0" w:type="auto"/>
            <w:tcBorders>
              <w:top w:val="single" w:sz="4" w:space="0" w:color="auto"/>
              <w:left w:val="single" w:sz="4" w:space="0" w:color="auto"/>
            </w:tcBorders>
            <w:shd w:val="clear" w:color="auto" w:fill="FFFFFF"/>
            <w:vAlign w:val="bottom"/>
          </w:tcPr>
          <w:p w14:paraId="774FF505"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Хисаря</w:t>
            </w:r>
          </w:p>
        </w:tc>
        <w:tc>
          <w:tcPr>
            <w:tcW w:w="0" w:type="auto"/>
            <w:tcBorders>
              <w:top w:val="single" w:sz="4" w:space="0" w:color="auto"/>
              <w:left w:val="single" w:sz="4" w:space="0" w:color="auto"/>
              <w:right w:val="single" w:sz="4" w:space="0" w:color="auto"/>
            </w:tcBorders>
            <w:shd w:val="clear" w:color="auto" w:fill="FFFFFF"/>
            <w:vAlign w:val="bottom"/>
          </w:tcPr>
          <w:p w14:paraId="5177C510"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400</w:t>
            </w:r>
          </w:p>
        </w:tc>
      </w:tr>
      <w:tr w:rsidR="00382F2C" w:rsidRPr="009F6D1E" w14:paraId="7D924719" w14:textId="77777777" w:rsidTr="001B3FAC">
        <w:trPr>
          <w:trHeight w:hRule="exact" w:val="307"/>
          <w:jc w:val="center"/>
        </w:trPr>
        <w:tc>
          <w:tcPr>
            <w:tcW w:w="0" w:type="auto"/>
            <w:tcBorders>
              <w:top w:val="single" w:sz="4" w:space="0" w:color="auto"/>
              <w:left w:val="single" w:sz="4" w:space="0" w:color="auto"/>
            </w:tcBorders>
            <w:shd w:val="clear" w:color="auto" w:fill="FFFFFF"/>
            <w:vAlign w:val="bottom"/>
          </w:tcPr>
          <w:p w14:paraId="14F400C5"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37</w:t>
            </w:r>
          </w:p>
        </w:tc>
        <w:tc>
          <w:tcPr>
            <w:tcW w:w="0" w:type="auto"/>
            <w:tcBorders>
              <w:top w:val="single" w:sz="4" w:space="0" w:color="auto"/>
              <w:left w:val="single" w:sz="4" w:space="0" w:color="auto"/>
            </w:tcBorders>
            <w:shd w:val="clear" w:color="auto" w:fill="FFFFFF"/>
            <w:vAlign w:val="bottom"/>
          </w:tcPr>
          <w:p w14:paraId="6FCE3D89"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Чирпан</w:t>
            </w:r>
          </w:p>
        </w:tc>
        <w:tc>
          <w:tcPr>
            <w:tcW w:w="0" w:type="auto"/>
            <w:tcBorders>
              <w:top w:val="single" w:sz="4" w:space="0" w:color="auto"/>
              <w:left w:val="single" w:sz="4" w:space="0" w:color="auto"/>
              <w:right w:val="single" w:sz="4" w:space="0" w:color="auto"/>
            </w:tcBorders>
            <w:shd w:val="clear" w:color="auto" w:fill="FFFFFF"/>
            <w:vAlign w:val="bottom"/>
          </w:tcPr>
          <w:p w14:paraId="561BA4E8"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до 250</w:t>
            </w:r>
          </w:p>
        </w:tc>
      </w:tr>
      <w:tr w:rsidR="00382F2C" w:rsidRPr="009F6D1E" w14:paraId="4EB4F60D" w14:textId="77777777" w:rsidTr="001B3FAC">
        <w:trPr>
          <w:trHeight w:hRule="exact" w:val="408"/>
          <w:jc w:val="center"/>
        </w:trPr>
        <w:tc>
          <w:tcPr>
            <w:tcW w:w="0" w:type="auto"/>
            <w:tcBorders>
              <w:top w:val="single" w:sz="4" w:space="0" w:color="auto"/>
              <w:left w:val="single" w:sz="4" w:space="0" w:color="auto"/>
              <w:bottom w:val="single" w:sz="4" w:space="0" w:color="auto"/>
            </w:tcBorders>
            <w:shd w:val="clear" w:color="auto" w:fill="FFFFFF"/>
            <w:vAlign w:val="center"/>
          </w:tcPr>
          <w:p w14:paraId="6FBE7CB8" w14:textId="77777777" w:rsidR="00382F2C" w:rsidRPr="009F6D1E" w:rsidRDefault="00382F2C" w:rsidP="0084747F">
            <w:pPr>
              <w:spacing w:after="60" w:line="264" w:lineRule="auto"/>
              <w:ind w:left="180"/>
              <w:jc w:val="center"/>
              <w:rPr>
                <w:rFonts w:cs="Times New Roman"/>
                <w:sz w:val="20"/>
                <w:szCs w:val="20"/>
              </w:rPr>
            </w:pPr>
            <w:r w:rsidRPr="009F6D1E">
              <w:rPr>
                <w:rFonts w:cs="Times New Roman"/>
                <w:color w:val="000000"/>
                <w:sz w:val="20"/>
                <w:szCs w:val="20"/>
                <w:lang w:eastAsia="bg-BG" w:bidi="bg-BG"/>
              </w:rPr>
              <w:t>38</w:t>
            </w:r>
          </w:p>
        </w:tc>
        <w:tc>
          <w:tcPr>
            <w:tcW w:w="0" w:type="auto"/>
            <w:tcBorders>
              <w:top w:val="single" w:sz="4" w:space="0" w:color="auto"/>
              <w:left w:val="single" w:sz="4" w:space="0" w:color="auto"/>
              <w:bottom w:val="single" w:sz="4" w:space="0" w:color="auto"/>
            </w:tcBorders>
            <w:shd w:val="clear" w:color="auto" w:fill="FFFFFF"/>
            <w:vAlign w:val="center"/>
          </w:tcPr>
          <w:p w14:paraId="79C39BBF"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Ямбол</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03AE6CB" w14:textId="77777777" w:rsidR="00382F2C" w:rsidRPr="009F6D1E" w:rsidRDefault="00382F2C" w:rsidP="0084747F">
            <w:pPr>
              <w:spacing w:after="60" w:line="264" w:lineRule="auto"/>
              <w:jc w:val="center"/>
              <w:rPr>
                <w:rFonts w:cs="Times New Roman"/>
                <w:sz w:val="20"/>
                <w:szCs w:val="20"/>
              </w:rPr>
            </w:pPr>
            <w:r w:rsidRPr="009F6D1E">
              <w:rPr>
                <w:rFonts w:cs="Times New Roman"/>
                <w:color w:val="000000"/>
                <w:sz w:val="20"/>
                <w:szCs w:val="20"/>
                <w:lang w:eastAsia="bg-BG" w:bidi="bg-BG"/>
              </w:rPr>
              <w:t>пълен обхват</w:t>
            </w:r>
          </w:p>
        </w:tc>
      </w:tr>
    </w:tbl>
    <w:p w14:paraId="0F5037AD" w14:textId="77777777" w:rsidR="00382F2C" w:rsidRPr="009F6D1E" w:rsidRDefault="00382F2C" w:rsidP="0084747F">
      <w:pPr>
        <w:spacing w:after="60" w:line="264" w:lineRule="auto"/>
        <w:rPr>
          <w:rFonts w:cs="Times New Roman"/>
          <w:sz w:val="2"/>
          <w:szCs w:val="2"/>
        </w:rPr>
      </w:pPr>
    </w:p>
    <w:p w14:paraId="1374B15B" w14:textId="77777777" w:rsidR="00382F2C" w:rsidRPr="009F6D1E" w:rsidRDefault="00382F2C" w:rsidP="0084747F">
      <w:pPr>
        <w:spacing w:after="60" w:line="264" w:lineRule="auto"/>
        <w:rPr>
          <w:rFonts w:cs="Times New Roman"/>
          <w:sz w:val="2"/>
          <w:szCs w:val="2"/>
        </w:rPr>
      </w:pPr>
    </w:p>
    <w:p w14:paraId="7EC4AACD"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39" w:name="bookmark116"/>
      <w:r w:rsidRPr="009F6D1E">
        <w:rPr>
          <w:rFonts w:eastAsia="ヒラギノ角ゴ Pro W3" w:cs="Times New Roman"/>
          <w:b/>
          <w:i/>
          <w:color w:val="000000"/>
          <w:szCs w:val="24"/>
        </w:rPr>
        <w:t>Чувствителни зони</w:t>
      </w:r>
      <w:bookmarkEnd w:id="539"/>
    </w:p>
    <w:p w14:paraId="59D963E5"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 Източнобеломорски район са определени 6 зони за защита на водите - чувствителни зони. Във водосбор на чувствителна зона попада целият басейн на р. Марица и р. Тунджа и басейна на р. Арда от извори до вливане на р. Крумовица. </w:t>
      </w:r>
      <w:proofErr w:type="spellStart"/>
      <w:r w:rsidRPr="009F6D1E">
        <w:rPr>
          <w:rFonts w:cs="Times New Roman"/>
          <w:color w:val="000000"/>
          <w:szCs w:val="24"/>
        </w:rPr>
        <w:t>Водосборите</w:t>
      </w:r>
      <w:proofErr w:type="spellEnd"/>
      <w:r w:rsidRPr="009F6D1E">
        <w:rPr>
          <w:rFonts w:cs="Times New Roman"/>
          <w:color w:val="000000"/>
          <w:szCs w:val="24"/>
        </w:rPr>
        <w:t xml:space="preserve"> на чувствителните зони заемат 33 116 км</w:t>
      </w:r>
      <w:r w:rsidRPr="009F6D1E">
        <w:rPr>
          <w:rFonts w:cs="Times New Roman"/>
          <w:color w:val="000000"/>
          <w:szCs w:val="24"/>
          <w:vertAlign w:val="superscript"/>
        </w:rPr>
        <w:t>2</w:t>
      </w:r>
      <w:r w:rsidRPr="009F6D1E">
        <w:rPr>
          <w:rFonts w:cs="Times New Roman"/>
          <w:color w:val="000000"/>
          <w:szCs w:val="24"/>
        </w:rPr>
        <w:t>, което представлява 94% от площта на ИБР.</w:t>
      </w:r>
    </w:p>
    <w:p w14:paraId="03DA37EA"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659FB8D0"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w:t>
      </w:r>
      <w:proofErr w:type="spellStart"/>
      <w:r w:rsidRPr="009F6D1E">
        <w:rPr>
          <w:rFonts w:eastAsia="ヒラギノ角ゴ Pro W3" w:cs="Times New Roman"/>
          <w:b/>
          <w:i/>
          <w:color w:val="000000"/>
          <w:szCs w:val="24"/>
        </w:rPr>
        <w:t>Западнобеломорски</w:t>
      </w:r>
      <w:proofErr w:type="spellEnd"/>
      <w:r w:rsidRPr="009F6D1E">
        <w:rPr>
          <w:rFonts w:eastAsia="ヒラギノ角ゴ Pro W3" w:cs="Times New Roman"/>
          <w:b/>
          <w:i/>
          <w:color w:val="000000"/>
          <w:szCs w:val="24"/>
        </w:rPr>
        <w:t xml:space="preserve"> район“</w:t>
      </w:r>
    </w:p>
    <w:p w14:paraId="3B81F53B"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40" w:name="bookmark121"/>
      <w:r w:rsidRPr="009F6D1E">
        <w:rPr>
          <w:rFonts w:eastAsia="ヒラギノ角ゴ Pro W3" w:cs="Times New Roman"/>
          <w:b/>
          <w:i/>
          <w:color w:val="000000"/>
          <w:szCs w:val="24"/>
        </w:rPr>
        <w:t>Уязвими зони</w:t>
      </w:r>
      <w:bookmarkEnd w:id="540"/>
    </w:p>
    <w:p w14:paraId="03A9A0F8"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Със Заповед №РД-146/25.02.2015 г. на Министъра на околната среда и водите са определени нитратно уязвимите зони на територията на БДЗБР. Регистър на нитратно уязвими зони определени като замърсени и такива, които са застрашени от замърсяване с нитратни на територията на БДЗБР са представени в Заповед № РД-660/28.08.2019 г, като и в приложения към Раздел 3 на ПУРБ 2016-2021 г.</w:t>
      </w:r>
    </w:p>
    <w:p w14:paraId="1D90F6FA"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bookmarkStart w:id="541" w:name="bookmark122"/>
      <w:r w:rsidRPr="009F6D1E">
        <w:rPr>
          <w:rFonts w:eastAsia="ヒラギノ角ゴ Pro W3" w:cs="Times New Roman"/>
          <w:b/>
          <w:i/>
          <w:color w:val="000000"/>
          <w:szCs w:val="24"/>
        </w:rPr>
        <w:t>Чувствителни зони</w:t>
      </w:r>
      <w:bookmarkEnd w:id="541"/>
    </w:p>
    <w:p w14:paraId="5D5FA717"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 териториалния обхват на </w:t>
      </w:r>
      <w:proofErr w:type="spellStart"/>
      <w:r w:rsidRPr="009F6D1E">
        <w:rPr>
          <w:rFonts w:cs="Times New Roman"/>
          <w:color w:val="000000"/>
          <w:szCs w:val="24"/>
        </w:rPr>
        <w:t>Западнобеломорски</w:t>
      </w:r>
      <w:proofErr w:type="spellEnd"/>
      <w:r w:rsidRPr="009F6D1E">
        <w:rPr>
          <w:rFonts w:cs="Times New Roman"/>
          <w:color w:val="000000"/>
          <w:szCs w:val="24"/>
        </w:rPr>
        <w:t xml:space="preserve"> район за басейново управление за чувствителни зони са определени 9 участъка от повърхностни водни тела, всичките в поречието на р. Струма.</w:t>
      </w:r>
    </w:p>
    <w:p w14:paraId="399A0821"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6536AD9B" w14:textId="77777777" w:rsidR="00382F2C" w:rsidRPr="009F6D1E" w:rsidRDefault="001B3FAC" w:rsidP="0084747F">
      <w:pPr>
        <w:autoSpaceDE w:val="0"/>
        <w:autoSpaceDN w:val="0"/>
        <w:adjustRightInd w:val="0"/>
        <w:spacing w:after="60" w:line="264" w:lineRule="auto"/>
        <w:ind w:firstLine="708"/>
        <w:jc w:val="both"/>
        <w:rPr>
          <w:rFonts w:eastAsia="ヒラギノ角ゴ Pro W3" w:cs="Times New Roman"/>
          <w:b/>
          <w:iCs/>
          <w:color w:val="000000"/>
          <w:szCs w:val="24"/>
        </w:rPr>
      </w:pPr>
      <w:r w:rsidRPr="009F6D1E">
        <w:rPr>
          <w:rFonts w:eastAsia="ヒラギノ角ゴ Pro W3" w:cs="Times New Roman"/>
          <w:b/>
          <w:iCs/>
          <w:color w:val="000000"/>
          <w:szCs w:val="24"/>
        </w:rPr>
        <w:t>Зони за опазване на стопански ценни видове риби и други водни организми</w:t>
      </w:r>
    </w:p>
    <w:p w14:paraId="7DAF086B"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„Дунавски район“</w:t>
      </w:r>
    </w:p>
    <w:p w14:paraId="3EE2ED67"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Определянето на този вид зони се извършва съгласно изискванията на Закона за рибарството и аквакултурите (ЗРА), Наредба № 4 от 20.10.2000г. за качеството на водите за рибовъдство и за развъждане на черупкови организми и утвърдения от министъра на околната среда и водите, списък на стопански ценни видове риби и други водни организми. В ДРБУ в ПУРБ 2016-2021 г. са определени 39 броя зони за опазване на стопански ценни видове риби и </w:t>
      </w:r>
      <w:r w:rsidRPr="009F6D1E">
        <w:rPr>
          <w:rFonts w:cs="Times New Roman"/>
          <w:color w:val="000000"/>
          <w:szCs w:val="24"/>
        </w:rPr>
        <w:lastRenderedPageBreak/>
        <w:t>други водни организми. В тези определени зони, предмет на опазване са видовете, включени в списъка на стопански ценни видове риби и други водни организми</w:t>
      </w:r>
    </w:p>
    <w:p w14:paraId="22BA5E10"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62B756E4"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„Черноморски район“</w:t>
      </w:r>
    </w:p>
    <w:p w14:paraId="2E8D42D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При определяне на зоните в крайбрежни морски води, осигуряващи или имащи възможност да осигурят условия за живот и възпроизводство на черупкови организми, са изключени зоните за къпане, зоните на заустване на непречистени отпадъчни води, местата на вливане на по-големите реки, районите с пристанищни съоръжения, защитените акватории, фарватерите и морските полигони. Като приложение № 3.4.1.1 на ПУРБ 2016-2021 г. е представен Регистър на зони за опазване на стопански ценни видове риби и други водни организми в повърхностни води и Регистър на Зони за развъждане на черупкови организми в крайбрежните морски води в БДЧР.</w:t>
      </w:r>
    </w:p>
    <w:p w14:paraId="7C492B88"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p>
    <w:p w14:paraId="1E17F7EB"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„Източнобеломорски район“</w:t>
      </w:r>
    </w:p>
    <w:p w14:paraId="188EC16C"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На територията на ИБР посочените видове са обект на изкуствено отглеждане (пъстърва, шаран, </w:t>
      </w:r>
      <w:proofErr w:type="spellStart"/>
      <w:r w:rsidRPr="009F6D1E">
        <w:rPr>
          <w:rFonts w:cs="Times New Roman"/>
          <w:color w:val="000000"/>
          <w:szCs w:val="24"/>
        </w:rPr>
        <w:t>толстолоб</w:t>
      </w:r>
      <w:proofErr w:type="spellEnd"/>
      <w:r w:rsidRPr="009F6D1E">
        <w:rPr>
          <w:rFonts w:cs="Times New Roman"/>
          <w:color w:val="000000"/>
          <w:szCs w:val="24"/>
        </w:rPr>
        <w:t xml:space="preserve">, бял </w:t>
      </w:r>
      <w:proofErr w:type="spellStart"/>
      <w:r w:rsidRPr="009F6D1E">
        <w:rPr>
          <w:rFonts w:cs="Times New Roman"/>
          <w:color w:val="000000"/>
          <w:szCs w:val="24"/>
        </w:rPr>
        <w:t>амур</w:t>
      </w:r>
      <w:proofErr w:type="spellEnd"/>
      <w:r w:rsidRPr="009F6D1E">
        <w:rPr>
          <w:rFonts w:cs="Times New Roman"/>
          <w:color w:val="000000"/>
          <w:szCs w:val="24"/>
        </w:rPr>
        <w:t xml:space="preserve">, европейски сом, щука, бяла риба), както и на любителски риболов в техните естествени местообитания. На територията на ИБР са определени 49 бр. ЗЗВ за </w:t>
      </w:r>
      <w:proofErr w:type="spellStart"/>
      <w:r w:rsidRPr="009F6D1E">
        <w:rPr>
          <w:rFonts w:cs="Times New Roman"/>
          <w:color w:val="000000"/>
          <w:szCs w:val="24"/>
        </w:rPr>
        <w:t>опазвене</w:t>
      </w:r>
      <w:proofErr w:type="spellEnd"/>
      <w:r w:rsidRPr="009F6D1E">
        <w:rPr>
          <w:rFonts w:cs="Times New Roman"/>
          <w:color w:val="000000"/>
          <w:szCs w:val="24"/>
        </w:rPr>
        <w:t xml:space="preserve"> на стопански ценни видове риби съгласно чл. 119а, ал. 1, т. 4 от ЗВ.</w:t>
      </w:r>
    </w:p>
    <w:p w14:paraId="379F17EA"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Засилен интерес предизвиква опазването на местната популация от балканска пъстърва, която е балкански </w:t>
      </w:r>
      <w:proofErr w:type="spellStart"/>
      <w:r w:rsidRPr="009F6D1E">
        <w:rPr>
          <w:rFonts w:cs="Times New Roman"/>
          <w:color w:val="000000"/>
          <w:szCs w:val="24"/>
        </w:rPr>
        <w:t>ендемит</w:t>
      </w:r>
      <w:proofErr w:type="spellEnd"/>
      <w:r w:rsidRPr="009F6D1E">
        <w:rPr>
          <w:rFonts w:cs="Times New Roman"/>
          <w:color w:val="000000"/>
          <w:szCs w:val="24"/>
        </w:rPr>
        <w:t xml:space="preserve"> и е подложена на силен натиск от унищожаване на естествените местообитания за размножаване, замърсяване на водите в тях, както и от любителски риболов. Затова върху този вид е поставен сериозен акцент при планирането на мерки за опазване и са определени зони за защита, които да осигурят възпроизводството на съществуващите популации.</w:t>
      </w:r>
    </w:p>
    <w:p w14:paraId="6D653104" w14:textId="77777777" w:rsidR="001B3FAC" w:rsidRPr="009F6D1E" w:rsidRDefault="001B3FAC" w:rsidP="0084747F">
      <w:pPr>
        <w:autoSpaceDE w:val="0"/>
        <w:autoSpaceDN w:val="0"/>
        <w:adjustRightInd w:val="0"/>
        <w:spacing w:after="60" w:line="264" w:lineRule="auto"/>
        <w:ind w:firstLine="708"/>
        <w:jc w:val="both"/>
        <w:rPr>
          <w:rFonts w:cs="Times New Roman"/>
          <w:color w:val="000000"/>
          <w:szCs w:val="24"/>
        </w:rPr>
      </w:pPr>
    </w:p>
    <w:p w14:paraId="5E164B74"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w:t>
      </w:r>
      <w:proofErr w:type="spellStart"/>
      <w:r w:rsidRPr="009F6D1E">
        <w:rPr>
          <w:rFonts w:eastAsia="ヒラギノ角ゴ Pro W3" w:cs="Times New Roman"/>
          <w:b/>
          <w:i/>
          <w:color w:val="000000"/>
          <w:szCs w:val="24"/>
        </w:rPr>
        <w:t>Западнобеломорски</w:t>
      </w:r>
      <w:proofErr w:type="spellEnd"/>
      <w:r w:rsidRPr="009F6D1E">
        <w:rPr>
          <w:rFonts w:eastAsia="ヒラギノ角ゴ Pro W3" w:cs="Times New Roman"/>
          <w:b/>
          <w:i/>
          <w:color w:val="000000"/>
          <w:szCs w:val="24"/>
        </w:rPr>
        <w:t xml:space="preserve"> район“</w:t>
      </w:r>
    </w:p>
    <w:p w14:paraId="18599BA7"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В териториалния обхват на </w:t>
      </w:r>
      <w:proofErr w:type="spellStart"/>
      <w:r w:rsidRPr="009F6D1E">
        <w:rPr>
          <w:rFonts w:cs="Times New Roman"/>
          <w:color w:val="000000"/>
          <w:szCs w:val="24"/>
        </w:rPr>
        <w:t>Западнобеломорски</w:t>
      </w:r>
      <w:proofErr w:type="spellEnd"/>
      <w:r w:rsidRPr="009F6D1E">
        <w:rPr>
          <w:rFonts w:cs="Times New Roman"/>
          <w:color w:val="000000"/>
          <w:szCs w:val="24"/>
        </w:rPr>
        <w:t xml:space="preserve"> район за басейново управление няма определени стопански ценни видове риби и други водни организми, респективно не са обявени зони за защитата им.</w:t>
      </w:r>
    </w:p>
    <w:p w14:paraId="40B50878" w14:textId="77777777" w:rsidR="00382F2C" w:rsidRPr="009F6D1E" w:rsidRDefault="00382F2C" w:rsidP="0084747F">
      <w:pPr>
        <w:spacing w:after="60" w:line="264" w:lineRule="auto"/>
        <w:jc w:val="both"/>
        <w:rPr>
          <w:rFonts w:cs="Times New Roman"/>
          <w:b/>
          <w:i/>
        </w:rPr>
      </w:pPr>
    </w:p>
    <w:p w14:paraId="7C12C346" w14:textId="77777777" w:rsidR="00382F2C" w:rsidRPr="009F6D1E" w:rsidRDefault="001B3FAC" w:rsidP="0084747F">
      <w:pPr>
        <w:autoSpaceDE w:val="0"/>
        <w:autoSpaceDN w:val="0"/>
        <w:adjustRightInd w:val="0"/>
        <w:spacing w:after="60" w:line="264" w:lineRule="auto"/>
        <w:ind w:firstLine="708"/>
        <w:jc w:val="both"/>
        <w:rPr>
          <w:rFonts w:eastAsia="ヒラギノ角ゴ Pro W3" w:cs="Times New Roman"/>
          <w:b/>
          <w:iCs/>
          <w:color w:val="000000"/>
          <w:szCs w:val="24"/>
        </w:rPr>
      </w:pPr>
      <w:r w:rsidRPr="009F6D1E">
        <w:rPr>
          <w:rFonts w:eastAsia="ヒラギノ角ゴ Pro W3" w:cs="Times New Roman"/>
          <w:b/>
          <w:iCs/>
          <w:color w:val="000000"/>
          <w:szCs w:val="24"/>
        </w:rPr>
        <w:t>Защитените територии и зони, определени или обявени за опазване на местообитания и биологични видове, в които поддържането или подобряването на състоянието на водите е важен фактор за тяхното опазване.</w:t>
      </w:r>
    </w:p>
    <w:p w14:paraId="76DA52E8"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„Дунавски район“</w:t>
      </w:r>
    </w:p>
    <w:p w14:paraId="30AB7F80"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Защитени зони</w:t>
      </w:r>
    </w:p>
    <w:p w14:paraId="3E4716A9"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При актуализацията на регистъра на тези зони в ПУРБ на БДДР 2016-2021 </w:t>
      </w:r>
      <w:proofErr w:type="spellStart"/>
      <w:r w:rsidRPr="009F6D1E">
        <w:rPr>
          <w:rFonts w:cs="Times New Roman"/>
          <w:color w:val="000000"/>
          <w:szCs w:val="24"/>
        </w:rPr>
        <w:t>г.са</w:t>
      </w:r>
      <w:proofErr w:type="spellEnd"/>
      <w:r w:rsidRPr="009F6D1E">
        <w:rPr>
          <w:rFonts w:cs="Times New Roman"/>
          <w:color w:val="000000"/>
          <w:szCs w:val="24"/>
        </w:rPr>
        <w:t xml:space="preserve"> извършени следните промени:</w:t>
      </w:r>
    </w:p>
    <w:p w14:paraId="483D1DF9"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i/>
          <w:szCs w:val="24"/>
        </w:rPr>
        <w:lastRenderedPageBreak/>
        <w:t>Защитените зони от Националната екологична мрежа Натура 2000 за опазване на типовете природни местообитания и местообитания на видовете растения и животни (без птици)</w:t>
      </w:r>
      <w:r w:rsidRPr="009F6D1E">
        <w:rPr>
          <w:rFonts w:cs="Times New Roman"/>
          <w:iCs/>
          <w:color w:val="000000"/>
          <w:szCs w:val="24"/>
          <w:lang w:eastAsia="bg-BG" w:bidi="bg-BG"/>
        </w:rPr>
        <w:t xml:space="preserve"> -</w:t>
      </w:r>
      <w:r w:rsidRPr="009F6D1E">
        <w:rPr>
          <w:rFonts w:cs="Times New Roman"/>
          <w:i/>
          <w:iCs/>
          <w:color w:val="000000"/>
          <w:szCs w:val="24"/>
          <w:lang w:eastAsia="bg-BG" w:bidi="bg-BG"/>
        </w:rPr>
        <w:t xml:space="preserve"> </w:t>
      </w:r>
      <w:r w:rsidRPr="009F6D1E">
        <w:rPr>
          <w:rFonts w:cs="Times New Roman"/>
          <w:iCs/>
          <w:color w:val="000000"/>
          <w:szCs w:val="24"/>
          <w:lang w:eastAsia="bg-BG" w:bidi="bg-BG"/>
        </w:rPr>
        <w:t xml:space="preserve">от 110 </w:t>
      </w:r>
      <w:r w:rsidRPr="009F6D1E">
        <w:rPr>
          <w:rFonts w:eastAsia="Times New Roman" w:cs="Times New Roman"/>
          <w:szCs w:val="24"/>
          <w:lang w:eastAsia="bg-BG" w:bidi="bg-BG"/>
        </w:rPr>
        <w:t>броя</w:t>
      </w:r>
      <w:r w:rsidRPr="009F6D1E">
        <w:rPr>
          <w:rFonts w:cs="Times New Roman"/>
          <w:iCs/>
          <w:color w:val="000000"/>
          <w:szCs w:val="24"/>
          <w:lang w:eastAsia="bg-BG" w:bidi="bg-BG"/>
        </w:rPr>
        <w:t xml:space="preserve"> в първия план на 98 броя при актуализацията (в ПУРБ 2016-2021 г. отпадат 15 от зоните, а 3 зони за първи път се включват);</w:t>
      </w:r>
    </w:p>
    <w:p w14:paraId="6BB3A55B"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cs="Times New Roman"/>
          <w:szCs w:val="24"/>
        </w:rPr>
      </w:pPr>
      <w:r w:rsidRPr="009F6D1E">
        <w:rPr>
          <w:rFonts w:cs="Times New Roman"/>
          <w:i/>
          <w:szCs w:val="24"/>
        </w:rPr>
        <w:t>Защитените зони от Националната екологична мрежа Натура 2000 за опазване на местообитания на птици и на територии, в които по време на размножаване, линеене, зимуване или миграция се струпват значителни количества птици</w:t>
      </w:r>
      <w:r w:rsidRPr="009F6D1E">
        <w:rPr>
          <w:rFonts w:cs="Times New Roman"/>
          <w:iCs/>
          <w:color w:val="000000"/>
          <w:szCs w:val="24"/>
          <w:lang w:eastAsia="bg-BG" w:bidi="bg-BG"/>
        </w:rPr>
        <w:t xml:space="preserve"> </w:t>
      </w:r>
      <w:r w:rsidRPr="009F6D1E">
        <w:rPr>
          <w:rFonts w:cs="Times New Roman"/>
          <w:i/>
          <w:iCs/>
          <w:color w:val="000000"/>
          <w:szCs w:val="24"/>
          <w:lang w:eastAsia="bg-BG" w:bidi="bg-BG"/>
        </w:rPr>
        <w:t xml:space="preserve">- </w:t>
      </w:r>
      <w:r w:rsidRPr="009F6D1E">
        <w:rPr>
          <w:rFonts w:cs="Times New Roman"/>
          <w:iCs/>
          <w:color w:val="000000"/>
          <w:szCs w:val="24"/>
          <w:lang w:eastAsia="bg-BG" w:bidi="bg-BG"/>
        </w:rPr>
        <w:t xml:space="preserve">от 47 броя в първия план на 50 броя при </w:t>
      </w:r>
      <w:r w:rsidRPr="009F6D1E">
        <w:rPr>
          <w:rFonts w:eastAsia="Times New Roman" w:cs="Times New Roman"/>
          <w:szCs w:val="24"/>
          <w:lang w:eastAsia="bg-BG" w:bidi="bg-BG"/>
        </w:rPr>
        <w:t>актуализацията</w:t>
      </w:r>
      <w:r w:rsidRPr="009F6D1E">
        <w:rPr>
          <w:rFonts w:cs="Times New Roman"/>
          <w:iCs/>
          <w:color w:val="000000"/>
          <w:szCs w:val="24"/>
          <w:lang w:eastAsia="bg-BG" w:bidi="bg-BG"/>
        </w:rPr>
        <w:t xml:space="preserve"> на ПУРБ 2016-2021 г. (3 зони за първи път се включват).</w:t>
      </w:r>
    </w:p>
    <w:p w14:paraId="65DB9455"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 xml:space="preserve">Защитени територии </w:t>
      </w:r>
    </w:p>
    <w:p w14:paraId="33D67FE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В ДРБУ са определени 190 броя защитени територии (ЗТ) обявени по ЗТТ, в които поддържането или подобряването на състоянието на водите е важен фактор за тяхното опазване. Те включват национални паркове, природни паркове, резервати, поддържани резервати, природни забележителности и защитени местности.</w:t>
      </w:r>
    </w:p>
    <w:p w14:paraId="19C025C5" w14:textId="77777777" w:rsidR="00EE71AE" w:rsidRPr="009F6D1E" w:rsidRDefault="00EE71AE" w:rsidP="0084747F">
      <w:pPr>
        <w:widowControl w:val="0"/>
        <w:tabs>
          <w:tab w:val="left" w:pos="288"/>
        </w:tabs>
        <w:spacing w:after="60" w:line="264" w:lineRule="auto"/>
        <w:jc w:val="both"/>
        <w:rPr>
          <w:rFonts w:cs="Times New Roman"/>
          <w:szCs w:val="24"/>
        </w:rPr>
      </w:pPr>
    </w:p>
    <w:p w14:paraId="7B75ADEF"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Басейнова дирекция „Черноморски район“</w:t>
      </w:r>
    </w:p>
    <w:p w14:paraId="6C9EB2F1" w14:textId="77777777" w:rsidR="00382F2C" w:rsidRPr="009F6D1E" w:rsidRDefault="00382F2C" w:rsidP="0084747F">
      <w:pPr>
        <w:autoSpaceDE w:val="0"/>
        <w:autoSpaceDN w:val="0"/>
        <w:adjustRightInd w:val="0"/>
        <w:spacing w:after="60" w:line="264" w:lineRule="auto"/>
        <w:ind w:firstLine="708"/>
        <w:jc w:val="both"/>
        <w:rPr>
          <w:rFonts w:eastAsia="ヒラギノ角ゴ Pro W3" w:cs="Times New Roman"/>
          <w:b/>
          <w:i/>
          <w:color w:val="000000"/>
          <w:szCs w:val="24"/>
        </w:rPr>
      </w:pPr>
      <w:r w:rsidRPr="009F6D1E">
        <w:rPr>
          <w:rFonts w:eastAsia="ヒラギノ角ゴ Pro W3" w:cs="Times New Roman"/>
          <w:b/>
          <w:i/>
          <w:color w:val="000000"/>
          <w:szCs w:val="24"/>
        </w:rPr>
        <w:t>Защитени зони</w:t>
      </w:r>
    </w:p>
    <w:p w14:paraId="1F43B0FA"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За територията на Черноморски район за басейново управление, екосистемите, в които водата е основният фактор, от който зависят екологичните условия и свързаните с тях животни и растения - влажни зони остават 7 бр. Това са </w:t>
      </w:r>
      <w:proofErr w:type="spellStart"/>
      <w:r w:rsidRPr="009F6D1E">
        <w:rPr>
          <w:rFonts w:cs="Times New Roman"/>
          <w:color w:val="000000"/>
          <w:szCs w:val="24"/>
        </w:rPr>
        <w:t>Дуранкулашко</w:t>
      </w:r>
      <w:proofErr w:type="spellEnd"/>
      <w:r w:rsidRPr="009F6D1E">
        <w:rPr>
          <w:rFonts w:cs="Times New Roman"/>
          <w:color w:val="000000"/>
          <w:szCs w:val="24"/>
        </w:rPr>
        <w:t xml:space="preserve"> езеро, Шабленско езеро, Комплекс Поморие (Поморийското езеро и устието на р. Ахелой), </w:t>
      </w:r>
      <w:proofErr w:type="spellStart"/>
      <w:r w:rsidRPr="009F6D1E">
        <w:rPr>
          <w:rFonts w:cs="Times New Roman"/>
          <w:color w:val="000000"/>
          <w:szCs w:val="24"/>
        </w:rPr>
        <w:t>Атанасовско</w:t>
      </w:r>
      <w:proofErr w:type="spellEnd"/>
      <w:r w:rsidRPr="009F6D1E">
        <w:rPr>
          <w:rFonts w:cs="Times New Roman"/>
          <w:color w:val="000000"/>
          <w:szCs w:val="24"/>
        </w:rPr>
        <w:t xml:space="preserve"> езеро, Езеро Вая, Пода (Защитена местност Пода и залива Форос), Комплекс Ропотамо.</w:t>
      </w:r>
    </w:p>
    <w:p w14:paraId="02E9302E" w14:textId="77777777" w:rsidR="00382F2C" w:rsidRPr="009F6D1E" w:rsidRDefault="00382F2C" w:rsidP="0084747F">
      <w:pPr>
        <w:autoSpaceDE w:val="0"/>
        <w:autoSpaceDN w:val="0"/>
        <w:adjustRightInd w:val="0"/>
        <w:spacing w:after="60" w:line="264" w:lineRule="auto"/>
        <w:ind w:firstLine="708"/>
        <w:jc w:val="both"/>
        <w:rPr>
          <w:rFonts w:cs="Times New Roman"/>
          <w:b/>
          <w:bCs/>
          <w:color w:val="000000"/>
          <w:szCs w:val="24"/>
        </w:rPr>
      </w:pPr>
      <w:r w:rsidRPr="009F6D1E">
        <w:rPr>
          <w:rFonts w:cs="Times New Roman"/>
          <w:b/>
          <w:bCs/>
          <w:i/>
          <w:szCs w:val="24"/>
        </w:rPr>
        <w:t>Защитени територии</w:t>
      </w:r>
      <w:r w:rsidRPr="009F6D1E">
        <w:rPr>
          <w:rFonts w:cs="Times New Roman"/>
          <w:b/>
          <w:bCs/>
          <w:color w:val="000000"/>
          <w:szCs w:val="24"/>
        </w:rPr>
        <w:t xml:space="preserve"> </w:t>
      </w:r>
    </w:p>
    <w:p w14:paraId="46EA0185"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В първия ПУРБ на Черноморски район за басейново управление, регистъра на защитените територии включва 195 защитени територии. При актуализацията на ПУРБ (2016-2021 г.) на ЧРБУ, регистъра на защитените територии включва 216 защитени територии.</w:t>
      </w:r>
    </w:p>
    <w:p w14:paraId="00F5B14D" w14:textId="77777777" w:rsidR="00382F2C" w:rsidRPr="009F6D1E" w:rsidRDefault="00382F2C" w:rsidP="0084747F">
      <w:pPr>
        <w:widowControl w:val="0"/>
        <w:spacing w:after="60" w:line="264" w:lineRule="auto"/>
        <w:ind w:firstLine="760"/>
        <w:rPr>
          <w:rFonts w:eastAsia="Times New Roman" w:cs="Times New Roman"/>
          <w:i/>
          <w:iCs/>
          <w:sz w:val="20"/>
          <w:szCs w:val="20"/>
        </w:rPr>
      </w:pPr>
    </w:p>
    <w:p w14:paraId="6C9F7AC9"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t>Басейнова дирекция „Източнобеломорски район“</w:t>
      </w:r>
    </w:p>
    <w:p w14:paraId="3D366A7B"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t>Защитени зони</w:t>
      </w:r>
    </w:p>
    <w:p w14:paraId="6B9FC0A1"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cs="Times New Roman"/>
          <w:i/>
          <w:szCs w:val="24"/>
        </w:rPr>
      </w:pPr>
      <w:r w:rsidRPr="009F6D1E">
        <w:rPr>
          <w:rFonts w:cs="Times New Roman"/>
          <w:i/>
          <w:szCs w:val="24"/>
        </w:rPr>
        <w:t>Зони за защита на водите от „Натура 2000” съгласно Директива 92/43/ЕИО за запазване на природните местообитания и на дивата флора и фауна, в които поддържането или подобряването на състоянието на водите е важен фактор за тяхното опазване</w:t>
      </w:r>
    </w:p>
    <w:p w14:paraId="6AADD96C"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За Източнобеломорски район са определени 63 такива зони, като те заемат 34,1% от площта на района за басейново управление.</w:t>
      </w:r>
    </w:p>
    <w:p w14:paraId="2A7AE4AB"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cs="Times New Roman"/>
          <w:i/>
          <w:szCs w:val="24"/>
        </w:rPr>
      </w:pPr>
      <w:r w:rsidRPr="009F6D1E">
        <w:rPr>
          <w:rFonts w:cs="Times New Roman"/>
          <w:i/>
          <w:szCs w:val="24"/>
        </w:rPr>
        <w:t>Зони за защита на водите от „Натура 2000” съгласно Директива 79/409/ЕИО за съхранението на дивите птици, в които поддържането или подобряването на състоянието на водите е важен фактор за тяхното опазване</w:t>
      </w:r>
    </w:p>
    <w:p w14:paraId="47A34532"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В Източнобеломорски район са определени 36 зони за защита, които заемат 20,7% от площта на района за басейново управление.</w:t>
      </w:r>
    </w:p>
    <w:p w14:paraId="5DA2572B"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lastRenderedPageBreak/>
        <w:t xml:space="preserve">Защитени територии </w:t>
      </w:r>
    </w:p>
    <w:p w14:paraId="37F6FBD1"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Защитените територии в Източнобеломорски район, целта на обявяване, на които включва опазване на местообитания на животински и растителни видове, за които важен фактор е поддръжката или подобряването на състоянието на водите, заемат 2,11% от площта на района за басейново управление. Това са 46 защитени територии, които са зони за защита на водите. </w:t>
      </w:r>
    </w:p>
    <w:p w14:paraId="192749AF" w14:textId="77777777" w:rsidR="00382F2C" w:rsidRPr="009F6D1E" w:rsidRDefault="00382F2C" w:rsidP="0084747F">
      <w:pPr>
        <w:widowControl w:val="0"/>
        <w:spacing w:after="60" w:line="264" w:lineRule="auto"/>
        <w:ind w:firstLine="760"/>
        <w:rPr>
          <w:rFonts w:eastAsia="Times New Roman" w:cs="Times New Roman"/>
          <w:i/>
          <w:iCs/>
          <w:sz w:val="20"/>
          <w:szCs w:val="20"/>
        </w:rPr>
      </w:pPr>
    </w:p>
    <w:p w14:paraId="1342805D"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t>Басейнова дирекция „</w:t>
      </w:r>
      <w:proofErr w:type="spellStart"/>
      <w:r w:rsidRPr="009F6D1E">
        <w:rPr>
          <w:rFonts w:cs="Times New Roman"/>
          <w:b/>
          <w:bCs/>
          <w:i/>
          <w:szCs w:val="24"/>
        </w:rPr>
        <w:t>Западнобеломорски</w:t>
      </w:r>
      <w:proofErr w:type="spellEnd"/>
      <w:r w:rsidRPr="009F6D1E">
        <w:rPr>
          <w:rFonts w:cs="Times New Roman"/>
          <w:b/>
          <w:bCs/>
          <w:i/>
          <w:szCs w:val="24"/>
        </w:rPr>
        <w:t xml:space="preserve"> район “</w:t>
      </w:r>
    </w:p>
    <w:p w14:paraId="794335B1"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t>Защитени зони</w:t>
      </w:r>
    </w:p>
    <w:p w14:paraId="226FB333"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При актуализация на регистъра за защитените зони, обявени за опазване на местообитания и биологични видове, в които поддържането или подобряването на състоянието на водите е важен фактор за тяхното опазване е извършена следната промяна: от общо 42 броя при определянето им в ПУРБ 2010 - 2015 г. на 44 броя за втория планов период.</w:t>
      </w:r>
    </w:p>
    <w:p w14:paraId="323A7495"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cs="Times New Roman"/>
          <w:i/>
          <w:szCs w:val="24"/>
        </w:rPr>
        <w:t>Зони за защита на водите от „Натура 2000” съгласно Директива 92/43/ЕИО за запазване на природните местообитания и на дивата флора и фауна, в които поддържането или подобряването на състоянието на водите е важен фактор за тяхното опазване</w:t>
      </w:r>
    </w:p>
    <w:p w14:paraId="079755CB"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При актуализацията се запазва първоначално определения брой от 25 зони за местообитания, определени в първия ПУРБ. </w:t>
      </w:r>
    </w:p>
    <w:p w14:paraId="53C3022B"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cs="Times New Roman"/>
          <w:i/>
          <w:szCs w:val="24"/>
        </w:rPr>
      </w:pPr>
      <w:r w:rsidRPr="009F6D1E">
        <w:rPr>
          <w:rFonts w:cs="Times New Roman"/>
          <w:i/>
          <w:szCs w:val="24"/>
        </w:rPr>
        <w:t>Зони за защита на водите от „Натура 2000” съгласно Директива 79/409/ЕИО за съхранението на дивите птици, в които поддържането или подобряването на състоянието на водите е важен фактор за тяхното опазване</w:t>
      </w:r>
    </w:p>
    <w:p w14:paraId="7B371903"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При актуализацията на регистъра са идентифицирани 19 зони за птици в ПУРБ (2016- 2021) при определени 17 броя в ПУРБ (2010-2015). Същото произтича от обстоятелството, че в периода на действие на първия план са определени две нови зони за опазване на дивите птици - ЗЗ „Пирин буфер”, обявена със Заповед №РД352/11.04.2013г. и ЗЗ „Рилски манастир”, обявена със Заповед №РД- 886/25.11.2013г., които са включени в регистъра.</w:t>
      </w:r>
    </w:p>
    <w:p w14:paraId="0BC78FCA" w14:textId="77777777" w:rsidR="00382F2C" w:rsidRPr="009F6D1E" w:rsidRDefault="00382F2C" w:rsidP="0084747F">
      <w:pPr>
        <w:autoSpaceDE w:val="0"/>
        <w:autoSpaceDN w:val="0"/>
        <w:adjustRightInd w:val="0"/>
        <w:spacing w:after="60" w:line="264" w:lineRule="auto"/>
        <w:ind w:firstLine="708"/>
        <w:jc w:val="both"/>
        <w:rPr>
          <w:rFonts w:cs="Times New Roman"/>
          <w:b/>
          <w:bCs/>
          <w:i/>
          <w:szCs w:val="24"/>
        </w:rPr>
      </w:pPr>
      <w:r w:rsidRPr="009F6D1E">
        <w:rPr>
          <w:rFonts w:cs="Times New Roman"/>
          <w:b/>
          <w:bCs/>
          <w:i/>
          <w:szCs w:val="24"/>
        </w:rPr>
        <w:t xml:space="preserve">Защитени територии </w:t>
      </w:r>
    </w:p>
    <w:p w14:paraId="01E3EA10"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Към настоящия момент в териториалния обхват на Басейнова Дирекция „</w:t>
      </w:r>
      <w:proofErr w:type="spellStart"/>
      <w:r w:rsidRPr="009F6D1E">
        <w:rPr>
          <w:rFonts w:cs="Times New Roman"/>
          <w:color w:val="000000"/>
          <w:szCs w:val="24"/>
        </w:rPr>
        <w:t>Западнобеломорски</w:t>
      </w:r>
      <w:proofErr w:type="spellEnd"/>
      <w:r w:rsidRPr="009F6D1E">
        <w:rPr>
          <w:rFonts w:cs="Times New Roman"/>
          <w:color w:val="000000"/>
          <w:szCs w:val="24"/>
        </w:rPr>
        <w:t xml:space="preserve"> район“ по смисъла на Закона за защитените територии (ЗЗТ) попадат 96 броя защитени територии. От тях 83 броя са зони за защита, в които поддържането или подобряването на състоянието на водите е важен фактор за тяхното опазване, разпределени както следва: 2 национални парка, 3 природни парка, 12 резервата, 4 поддържани резервата, 21 природни забележителности и 41 защитени местности.</w:t>
      </w:r>
    </w:p>
    <w:p w14:paraId="1F972BB3" w14:textId="77777777" w:rsidR="00382F2C" w:rsidRPr="009F6D1E" w:rsidRDefault="00382F2C" w:rsidP="0084747F">
      <w:pPr>
        <w:spacing w:after="60" w:line="264" w:lineRule="auto"/>
        <w:contextualSpacing/>
        <w:jc w:val="both"/>
        <w:rPr>
          <w:rFonts w:eastAsia="Calibri" w:cs="Times New Roman"/>
          <w:b/>
          <w:bCs/>
          <w:i/>
          <w:iCs/>
          <w:szCs w:val="24"/>
        </w:rPr>
      </w:pPr>
    </w:p>
    <w:p w14:paraId="05743B3D" w14:textId="77777777" w:rsidR="00471E9F" w:rsidRPr="009F6D1E" w:rsidRDefault="00471E9F" w:rsidP="00D02E9D">
      <w:pPr>
        <w:pStyle w:val="Heading3"/>
        <w:numPr>
          <w:ilvl w:val="2"/>
          <w:numId w:val="26"/>
        </w:numPr>
        <w:shd w:val="clear" w:color="auto" w:fill="E2EFD9" w:themeFill="accent6" w:themeFillTint="33"/>
        <w:tabs>
          <w:tab w:val="clear" w:pos="1701"/>
        </w:tabs>
        <w:spacing w:before="0" w:after="60" w:line="264" w:lineRule="auto"/>
        <w:rPr>
          <w:smallCaps w:val="0"/>
          <w:lang w:bidi="ar-SA"/>
        </w:rPr>
      </w:pPr>
      <w:bookmarkStart w:id="542" w:name="_Toc115255011"/>
      <w:r w:rsidRPr="009F6D1E">
        <w:rPr>
          <w:smallCaps w:val="0"/>
          <w:lang w:bidi="ar-SA"/>
        </w:rPr>
        <w:t>Зони, повлияни от плана</w:t>
      </w:r>
      <w:bookmarkEnd w:id="542"/>
    </w:p>
    <w:p w14:paraId="57114908" w14:textId="77777777" w:rsidR="00A606F5" w:rsidRPr="009F6D1E" w:rsidRDefault="00A606F5" w:rsidP="0084747F">
      <w:pPr>
        <w:spacing w:after="60" w:line="264" w:lineRule="auto"/>
        <w:contextualSpacing/>
        <w:jc w:val="both"/>
        <w:rPr>
          <w:rFonts w:eastAsia="Calibri" w:cs="Times New Roman"/>
          <w:b/>
          <w:bCs/>
          <w:i/>
          <w:iCs/>
          <w:szCs w:val="24"/>
        </w:rPr>
      </w:pPr>
    </w:p>
    <w:p w14:paraId="4D2BA8BF"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t xml:space="preserve">Състоянието и характеристиката на повърхностните и подземните води по отношение на количественото и качеството им състояние е описано в т.2.1.2 от настоящата Екологична оценка (ЕО). </w:t>
      </w:r>
    </w:p>
    <w:p w14:paraId="1EF5965C" w14:textId="77777777" w:rsidR="00382F2C" w:rsidRPr="009F6D1E" w:rsidRDefault="00382F2C" w:rsidP="0084747F">
      <w:pPr>
        <w:autoSpaceDE w:val="0"/>
        <w:autoSpaceDN w:val="0"/>
        <w:adjustRightInd w:val="0"/>
        <w:spacing w:after="60" w:line="264" w:lineRule="auto"/>
        <w:ind w:firstLine="708"/>
        <w:jc w:val="both"/>
        <w:rPr>
          <w:rFonts w:cs="Times New Roman"/>
          <w:color w:val="000000"/>
          <w:szCs w:val="24"/>
        </w:rPr>
      </w:pPr>
      <w:r w:rsidRPr="009F6D1E">
        <w:rPr>
          <w:rFonts w:cs="Times New Roman"/>
          <w:color w:val="000000"/>
          <w:szCs w:val="24"/>
        </w:rPr>
        <w:lastRenderedPageBreak/>
        <w:t xml:space="preserve">Предмет на </w:t>
      </w:r>
      <w:r w:rsidR="00CD4045" w:rsidRPr="009F6D1E">
        <w:rPr>
          <w:rFonts w:cs="Times New Roman"/>
          <w:color w:val="000000"/>
          <w:szCs w:val="24"/>
        </w:rPr>
        <w:t>СПРЗСР</w:t>
      </w:r>
      <w:r w:rsidRPr="009F6D1E">
        <w:rPr>
          <w:rFonts w:cs="Times New Roman"/>
          <w:color w:val="000000"/>
          <w:szCs w:val="24"/>
        </w:rPr>
        <w:t xml:space="preserve"> не са конкретни планове, проекти, програми или инвестиционни предложения, а общата идейна рамка на визията за развитие, което поражда невъзможност за прецизно определяне как и къде точно ще бъдат засегнати от реализирането на дейностите зоните за защита на водите, съгласно чл. 119а, т.1÷5 от Закона за водите.</w:t>
      </w:r>
    </w:p>
    <w:p w14:paraId="4E95FB46" w14:textId="77777777" w:rsidR="00382F2C" w:rsidRPr="009F6D1E" w:rsidRDefault="00382F2C" w:rsidP="0084747F">
      <w:pPr>
        <w:spacing w:after="60" w:line="264" w:lineRule="auto"/>
        <w:contextualSpacing/>
        <w:jc w:val="both"/>
        <w:rPr>
          <w:rFonts w:eastAsia="Calibri" w:cs="Times New Roman"/>
          <w:b/>
          <w:bCs/>
          <w:i/>
          <w:iCs/>
          <w:szCs w:val="24"/>
        </w:rPr>
      </w:pPr>
    </w:p>
    <w:p w14:paraId="6AD57A94" w14:textId="77777777" w:rsidR="00471E9F" w:rsidRPr="009F6D1E" w:rsidRDefault="00471E9F" w:rsidP="00D02E9D">
      <w:pPr>
        <w:pStyle w:val="Heading3"/>
        <w:numPr>
          <w:ilvl w:val="2"/>
          <w:numId w:val="26"/>
        </w:numPr>
        <w:shd w:val="clear" w:color="auto" w:fill="E2EFD9" w:themeFill="accent6" w:themeFillTint="33"/>
        <w:tabs>
          <w:tab w:val="clear" w:pos="1701"/>
        </w:tabs>
        <w:spacing w:before="0" w:after="60" w:line="264" w:lineRule="auto"/>
        <w:rPr>
          <w:smallCaps w:val="0"/>
          <w:lang w:bidi="ar-SA"/>
        </w:rPr>
      </w:pPr>
      <w:bookmarkStart w:id="543" w:name="_Toc115255012"/>
      <w:r w:rsidRPr="009F6D1E">
        <w:rPr>
          <w:smallCaps w:val="0"/>
          <w:lang w:bidi="ar-SA"/>
        </w:rPr>
        <w:t>Зони с риск от наводнения</w:t>
      </w:r>
      <w:bookmarkEnd w:id="543"/>
    </w:p>
    <w:p w14:paraId="1ACC6AEA" w14:textId="77777777" w:rsidR="00CD6D4E" w:rsidRPr="009F6D1E" w:rsidRDefault="00CD6D4E" w:rsidP="0084747F">
      <w:pPr>
        <w:autoSpaceDE w:val="0"/>
        <w:autoSpaceDN w:val="0"/>
        <w:adjustRightInd w:val="0"/>
        <w:spacing w:after="60" w:line="264" w:lineRule="auto"/>
        <w:ind w:firstLine="708"/>
        <w:jc w:val="both"/>
        <w:rPr>
          <w:rFonts w:eastAsia="Times New Roman" w:cs="Times New Roman"/>
          <w:szCs w:val="24"/>
          <w:lang w:eastAsia="bg-BG"/>
        </w:rPr>
      </w:pPr>
    </w:p>
    <w:p w14:paraId="2F2E6342"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 xml:space="preserve">Зоните с риск от наводнения са идентифицирани в изготвените от Басейновите дирекции Предварителни оценки на риска от наводнения, представляващи част от Плановете за управление на риска от наводнения. Необходимо е съобразяването им при реализиране на дейности по </w:t>
      </w:r>
      <w:r w:rsidR="00CD4045" w:rsidRPr="009F6D1E">
        <w:rPr>
          <w:rFonts w:eastAsia="Times New Roman" w:cs="Times New Roman"/>
          <w:szCs w:val="24"/>
          <w:lang w:eastAsia="bg-BG"/>
        </w:rPr>
        <w:t>СПРЗСР</w:t>
      </w:r>
      <w:r w:rsidRPr="009F6D1E">
        <w:rPr>
          <w:rFonts w:eastAsia="Times New Roman" w:cs="Times New Roman"/>
          <w:szCs w:val="24"/>
          <w:lang w:eastAsia="bg-BG"/>
        </w:rPr>
        <w:t xml:space="preserve"> 2021 -2027 г. с оглед превенция на риска от наводнения.</w:t>
      </w:r>
    </w:p>
    <w:p w14:paraId="21A2A30F"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 xml:space="preserve">Операции по </w:t>
      </w:r>
      <w:r w:rsidR="00CD4045" w:rsidRPr="009F6D1E">
        <w:rPr>
          <w:rFonts w:eastAsia="Times New Roman" w:cs="Times New Roman"/>
          <w:szCs w:val="24"/>
          <w:lang w:eastAsia="bg-BG"/>
        </w:rPr>
        <w:t>СПРЗСР</w:t>
      </w:r>
      <w:r w:rsidRPr="009F6D1E">
        <w:rPr>
          <w:rFonts w:eastAsia="Times New Roman" w:cs="Times New Roman"/>
          <w:szCs w:val="24"/>
          <w:lang w:eastAsia="bg-BG"/>
        </w:rPr>
        <w:t xml:space="preserve"> 2021 -2027 г. ще се извършват на цялата територия на страната територии от като ще се </w:t>
      </w:r>
      <w:proofErr w:type="spellStart"/>
      <w:r w:rsidRPr="009F6D1E">
        <w:rPr>
          <w:rFonts w:eastAsia="Times New Roman" w:cs="Times New Roman"/>
          <w:szCs w:val="24"/>
          <w:lang w:eastAsia="bg-BG"/>
        </w:rPr>
        <w:t>припокрият</w:t>
      </w:r>
      <w:proofErr w:type="spellEnd"/>
      <w:r w:rsidRPr="009F6D1E">
        <w:rPr>
          <w:rFonts w:eastAsia="Times New Roman" w:cs="Times New Roman"/>
          <w:szCs w:val="24"/>
          <w:lang w:eastAsia="bg-BG"/>
        </w:rPr>
        <w:t xml:space="preserve"> с райони определени като райони със значителен потенциален риск от наводнения (РЗПРН). В тези зони ще има повишен риск от засягане на селскостопански територии.</w:t>
      </w:r>
    </w:p>
    <w:p w14:paraId="7756463F"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p>
    <w:p w14:paraId="43D1C9E2"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Наводненията са едни от най-често срещаните природни бедствия, които регистрират през последните години най- унищожителните си проявления. Наводненията най-често са предизвикани от проливни дъждове и градушки, които освен, че стават причина за икономически проблеми, водят и до проблеми свързани със здравословното състояние на населението в бедстващите райони. Наводненията са причина за огромни щети на заливните зони, засягайки обширни територии с жилищни и промишлени обекти, земеделски земи и горски масиви.</w:t>
      </w:r>
    </w:p>
    <w:p w14:paraId="623ACBA0" w14:textId="77777777" w:rsidR="00382F2C" w:rsidRPr="009F6D1E" w:rsidRDefault="00382F2C" w:rsidP="0084747F">
      <w:pPr>
        <w:widowControl w:val="0"/>
        <w:spacing w:after="60" w:line="264" w:lineRule="auto"/>
        <w:ind w:firstLine="760"/>
        <w:jc w:val="both"/>
        <w:rPr>
          <w:rFonts w:eastAsia="Times New Roman" w:cs="Times New Roman"/>
          <w:szCs w:val="24"/>
          <w:lang w:eastAsia="bg-BG"/>
        </w:rPr>
      </w:pPr>
      <w:r w:rsidRPr="009F6D1E">
        <w:rPr>
          <w:rFonts w:eastAsia="Times New Roman" w:cs="Times New Roman"/>
          <w:szCs w:val="24"/>
          <w:lang w:eastAsia="bg-BG"/>
        </w:rPr>
        <w:t xml:space="preserve">Отношение към състоянието на повърхностните води има също така оценката и управлението на риска от наводнения. Планове за управление на риска от наводнения (ПУРН) за периода 2016-2021 г. са изготвени за територията на четирите района за басейново управление. В рамките на ПУРН са разработени Предварителна оценка на риска от наводнения с определени райони със значителен потенциален риск от наводнения (РЗПРН), Карти на заплахата и карти на риска от наводнения за сценарии с различна вероятност на настъпване, както и Програма от мерки за изпълнение на идентифицираните приоритети и цели за управление на риска от наводнения (УРН). Периодът на действие на </w:t>
      </w:r>
      <w:r w:rsidR="00CD4045" w:rsidRPr="009F6D1E">
        <w:rPr>
          <w:rFonts w:eastAsia="Times New Roman" w:cs="Times New Roman"/>
          <w:szCs w:val="24"/>
          <w:lang w:eastAsia="bg-BG"/>
        </w:rPr>
        <w:t>СПРЗСР</w:t>
      </w:r>
      <w:r w:rsidRPr="009F6D1E">
        <w:rPr>
          <w:rFonts w:eastAsia="Times New Roman" w:cs="Times New Roman"/>
          <w:szCs w:val="24"/>
          <w:lang w:eastAsia="bg-BG"/>
        </w:rPr>
        <w:t xml:space="preserve"> 2021-2027 г. съвпада с прилагането на ПУРН за периода 2016-2021 г., актуализирането/изготвянето и прилагането на ПУРН за периода 2022-2027 г..</w:t>
      </w:r>
    </w:p>
    <w:p w14:paraId="04A2A1E1" w14:textId="77777777" w:rsidR="00382F2C" w:rsidRPr="009F6D1E" w:rsidRDefault="00382F2C" w:rsidP="0084747F">
      <w:pPr>
        <w:widowControl w:val="0"/>
        <w:spacing w:after="60" w:line="264" w:lineRule="auto"/>
        <w:ind w:firstLine="760"/>
        <w:jc w:val="both"/>
        <w:rPr>
          <w:rFonts w:eastAsia="Times New Roman" w:cs="Times New Roman"/>
          <w:szCs w:val="24"/>
          <w:lang w:eastAsia="bg-BG"/>
        </w:rPr>
      </w:pPr>
      <w:r w:rsidRPr="009F6D1E">
        <w:rPr>
          <w:rFonts w:eastAsia="Times New Roman" w:cs="Times New Roman"/>
          <w:szCs w:val="24"/>
          <w:lang w:eastAsia="bg-BG"/>
        </w:rPr>
        <w:t>Районите със значителен потенциален риск от наводнения са определени в изпълнение на чл. 146г от ЗВ, които се утвърждават и от Министъра на околната среда и водите.</w:t>
      </w:r>
    </w:p>
    <w:p w14:paraId="6E28E5AA" w14:textId="77777777" w:rsidR="00382F2C" w:rsidRPr="009F6D1E" w:rsidRDefault="00382F2C" w:rsidP="0084747F">
      <w:pPr>
        <w:widowControl w:val="0"/>
        <w:spacing w:after="60" w:line="264" w:lineRule="auto"/>
        <w:ind w:firstLine="760"/>
        <w:jc w:val="both"/>
        <w:rPr>
          <w:rFonts w:eastAsia="Times New Roman" w:cs="Times New Roman"/>
          <w:szCs w:val="24"/>
          <w:lang w:eastAsia="bg-BG"/>
        </w:rPr>
      </w:pPr>
      <w:r w:rsidRPr="009F6D1E">
        <w:rPr>
          <w:rFonts w:eastAsia="Times New Roman" w:cs="Times New Roman"/>
          <w:szCs w:val="24"/>
          <w:lang w:eastAsia="bg-BG"/>
        </w:rPr>
        <w:t xml:space="preserve">Предварителните РЗПРН са класифицирани в три степени на риск по отношение на човешкото здраве, стопанската дейност, околната среда и културно-историческото наследство - нисък, среден и висок. Утвърдените РЗПРН съдържат само районите със степен на риск „висок“ и „среден“. Всички басейнови дирекции на територията на страната са изготвили предварителни оценки на риска от наводнения за своите райони. Обхватът на наводненията е </w:t>
      </w:r>
      <w:r w:rsidRPr="009F6D1E">
        <w:rPr>
          <w:rFonts w:eastAsia="Times New Roman" w:cs="Times New Roman"/>
          <w:szCs w:val="24"/>
          <w:lang w:eastAsia="bg-BG"/>
        </w:rPr>
        <w:lastRenderedPageBreak/>
        <w:t xml:space="preserve">определен при максимални годишни водни количества при обезпеченост: 5%, 1% и 0.1% или </w:t>
      </w:r>
      <w:proofErr w:type="spellStart"/>
      <w:r w:rsidRPr="009F6D1E">
        <w:rPr>
          <w:rFonts w:eastAsia="Times New Roman" w:cs="Times New Roman"/>
          <w:szCs w:val="24"/>
          <w:lang w:eastAsia="bg-BG"/>
        </w:rPr>
        <w:t>повтаряемост</w:t>
      </w:r>
      <w:proofErr w:type="spellEnd"/>
      <w:r w:rsidRPr="009F6D1E">
        <w:rPr>
          <w:rFonts w:eastAsia="Times New Roman" w:cs="Times New Roman"/>
          <w:szCs w:val="24"/>
          <w:lang w:eastAsia="bg-BG"/>
        </w:rPr>
        <w:t xml:space="preserve"> веднъж на 20 г., 100 г. и 1 000 г. </w:t>
      </w:r>
    </w:p>
    <w:p w14:paraId="31FF9C0D"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 xml:space="preserve">Около половината застрашени от наводнения участъци са разположени на територията на Басейнова дирекция Черноморски район, където са идентифицирани както участъци, застрашени от наводнения от реки, така и от морето. Общия брой регистрирани райони със значителен потенциален риск от наводнения (висок и среден риск) за Черноморски район за басейново управление са 45 бр. Обзорна карта на районите със значителен потенциален риск от наводнения и пълен списък на РЗНПРН са представени като приложение към ПУРН 2016 - 2021 г. на БДЧР. В резултат на изпълнението на ПОРН (2022 – 2027 г.) за Черноморски РБУ са определени 34 РЗПРН, от които 4 нови. </w:t>
      </w:r>
    </w:p>
    <w:p w14:paraId="36126AC7" w14:textId="77777777" w:rsidR="00382F2C" w:rsidRPr="009F6D1E" w:rsidRDefault="00382F2C" w:rsidP="0084747F">
      <w:pPr>
        <w:spacing w:after="60" w:line="264" w:lineRule="auto"/>
        <w:ind w:firstLine="740"/>
        <w:jc w:val="both"/>
        <w:rPr>
          <w:rFonts w:cs="Times New Roman"/>
          <w:szCs w:val="24"/>
        </w:rPr>
      </w:pPr>
      <w:r w:rsidRPr="009F6D1E">
        <w:rPr>
          <w:rFonts w:cs="Times New Roman"/>
          <w:szCs w:val="24"/>
        </w:rPr>
        <w:t>На територията на Басейнова дирекция - Дунавски район са идентифицирани 26 (двадесет и шест) РЗПРН (вкл. р. Дунав) представляващи райони с "висока" и "средна" степен на риск, намиращи се по следните основни поречия:</w:t>
      </w:r>
    </w:p>
    <w:p w14:paraId="7B9715C7"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Реки западно от река Огоста - 1бр.</w:t>
      </w:r>
    </w:p>
    <w:p w14:paraId="6E2B6A0D"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Огоста - 4 бр.;</w:t>
      </w:r>
    </w:p>
    <w:p w14:paraId="1290712F"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Искър - 4 бр</w:t>
      </w:r>
      <w:r w:rsidR="00815311" w:rsidRPr="009F6D1E">
        <w:rPr>
          <w:rFonts w:eastAsia="Times New Roman" w:cs="Times New Roman"/>
          <w:szCs w:val="24"/>
          <w:lang w:eastAsia="bg-BG" w:bidi="bg-BG"/>
        </w:rPr>
        <w:t>.;</w:t>
      </w:r>
    </w:p>
    <w:p w14:paraId="4A52C04F"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Вит - 1 бр</w:t>
      </w:r>
      <w:r w:rsidR="00815311" w:rsidRPr="009F6D1E">
        <w:rPr>
          <w:rFonts w:eastAsia="Times New Roman" w:cs="Times New Roman"/>
          <w:szCs w:val="24"/>
          <w:lang w:eastAsia="bg-BG" w:bidi="bg-BG"/>
        </w:rPr>
        <w:t>.;</w:t>
      </w:r>
    </w:p>
    <w:p w14:paraId="63A8854B"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Осъм - 4 бр. ;</w:t>
      </w:r>
    </w:p>
    <w:p w14:paraId="530E6BFB"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Янтра - 8 бр. ;</w:t>
      </w:r>
    </w:p>
    <w:p w14:paraId="6B515EF0"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Русенски Лом - 3 бр. ;</w:t>
      </w:r>
    </w:p>
    <w:p w14:paraId="2BB40677"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Дунав - 1 бр.</w:t>
      </w:r>
    </w:p>
    <w:p w14:paraId="3468BEA6" w14:textId="77777777" w:rsidR="00815311" w:rsidRPr="009F6D1E" w:rsidRDefault="00815311" w:rsidP="0084747F">
      <w:pPr>
        <w:autoSpaceDE w:val="0"/>
        <w:autoSpaceDN w:val="0"/>
        <w:adjustRightInd w:val="0"/>
        <w:spacing w:after="60" w:line="264" w:lineRule="auto"/>
        <w:ind w:firstLine="708"/>
        <w:jc w:val="both"/>
        <w:rPr>
          <w:rFonts w:eastAsia="Times New Roman" w:cs="Times New Roman"/>
          <w:szCs w:val="24"/>
          <w:lang w:eastAsia="bg-BG"/>
        </w:rPr>
      </w:pPr>
    </w:p>
    <w:p w14:paraId="3166C1B8"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В резултат на изпълнението на Предварителна оценка на риска от наводнения (2022 – 2027 г.) за Дунавски район за басейново управление определените РЗПРН за Дунавски РБУ са 35.</w:t>
      </w:r>
    </w:p>
    <w:p w14:paraId="4E227A66" w14:textId="77777777" w:rsidR="00382F2C" w:rsidRPr="009F6D1E" w:rsidRDefault="00382F2C" w:rsidP="0084747F">
      <w:pPr>
        <w:widowControl w:val="0"/>
        <w:tabs>
          <w:tab w:val="left" w:pos="770"/>
        </w:tabs>
        <w:spacing w:after="60" w:line="264" w:lineRule="auto"/>
        <w:jc w:val="both"/>
        <w:rPr>
          <w:rFonts w:cs="Times New Roman"/>
        </w:rPr>
      </w:pPr>
    </w:p>
    <w:p w14:paraId="1BBE6AA2" w14:textId="77777777" w:rsidR="00CD6D4E" w:rsidRPr="009F6D1E" w:rsidRDefault="00382F2C" w:rsidP="00EE71AE">
      <w:pPr>
        <w:autoSpaceDE w:val="0"/>
        <w:autoSpaceDN w:val="0"/>
        <w:adjustRightInd w:val="0"/>
        <w:spacing w:after="60" w:line="264" w:lineRule="auto"/>
        <w:ind w:firstLine="708"/>
        <w:jc w:val="both"/>
        <w:rPr>
          <w:rFonts w:eastAsia="Times New Roman" w:cs="Times New Roman"/>
          <w:szCs w:val="24"/>
          <w:lang w:eastAsia="bg-BG" w:bidi="bg-BG"/>
        </w:rPr>
      </w:pPr>
      <w:r w:rsidRPr="009F6D1E">
        <w:rPr>
          <w:rFonts w:cs="Times New Roman"/>
        </w:rPr>
        <w:t xml:space="preserve">В </w:t>
      </w:r>
      <w:r w:rsidRPr="009F6D1E">
        <w:rPr>
          <w:rFonts w:eastAsia="Times New Roman" w:cs="Times New Roman"/>
          <w:szCs w:val="24"/>
          <w:lang w:eastAsia="bg-BG"/>
        </w:rPr>
        <w:t>Басейнова</w:t>
      </w:r>
      <w:r w:rsidRPr="009F6D1E">
        <w:rPr>
          <w:rFonts w:cs="Times New Roman"/>
        </w:rPr>
        <w:t xml:space="preserve"> дирекция Източнобеломорски район са идентифицирани 31 района със значителен </w:t>
      </w:r>
      <w:proofErr w:type="spellStart"/>
      <w:r w:rsidRPr="009F6D1E">
        <w:rPr>
          <w:rFonts w:cs="Times New Roman"/>
        </w:rPr>
        <w:t>потенциалне</w:t>
      </w:r>
      <w:proofErr w:type="spellEnd"/>
      <w:r w:rsidRPr="009F6D1E">
        <w:rPr>
          <w:rFonts w:cs="Times New Roman"/>
        </w:rPr>
        <w:t xml:space="preserve"> риск от наводнения, по основните поречия на:</w:t>
      </w:r>
    </w:p>
    <w:p w14:paraId="730D7894"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Марица -18 бр.</w:t>
      </w:r>
      <w:r w:rsidR="00815311" w:rsidRPr="009F6D1E">
        <w:rPr>
          <w:rFonts w:eastAsia="Times New Roman" w:cs="Times New Roman"/>
          <w:szCs w:val="24"/>
          <w:lang w:eastAsia="bg-BG" w:bidi="bg-BG"/>
        </w:rPr>
        <w:t>;</w:t>
      </w:r>
    </w:p>
    <w:p w14:paraId="66D7BAA7"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Тунджа - 5 бр</w:t>
      </w:r>
      <w:r w:rsidR="00815311" w:rsidRPr="009F6D1E">
        <w:rPr>
          <w:rFonts w:eastAsia="Times New Roman" w:cs="Times New Roman"/>
          <w:szCs w:val="24"/>
          <w:lang w:eastAsia="bg-BG" w:bidi="bg-BG"/>
        </w:rPr>
        <w:t>.</w:t>
      </w:r>
      <w:r w:rsidRPr="009F6D1E">
        <w:rPr>
          <w:rFonts w:eastAsia="Times New Roman" w:cs="Times New Roman"/>
          <w:szCs w:val="24"/>
          <w:lang w:eastAsia="bg-BG" w:bidi="bg-BG"/>
        </w:rPr>
        <w:t>;</w:t>
      </w:r>
    </w:p>
    <w:p w14:paraId="7D20804A" w14:textId="77777777" w:rsidR="00382F2C" w:rsidRPr="009F6D1E" w:rsidRDefault="00382F2C" w:rsidP="00CD6D4E">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Арда - 8 бр.</w:t>
      </w:r>
    </w:p>
    <w:p w14:paraId="62E69F1A"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p>
    <w:p w14:paraId="44728AFA"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В резултат на изпълнението на Предварителна оценка на риска от наводнения (2022 – 2027 г.) за ИБР за басейново управление определените като РЗПРН са 41 района</w:t>
      </w:r>
    </w:p>
    <w:p w14:paraId="794A6D30" w14:textId="77777777" w:rsidR="00382F2C" w:rsidRPr="009F6D1E" w:rsidRDefault="00382F2C" w:rsidP="0084747F">
      <w:pPr>
        <w:widowControl w:val="0"/>
        <w:tabs>
          <w:tab w:val="left" w:pos="770"/>
        </w:tabs>
        <w:spacing w:after="60" w:line="264" w:lineRule="auto"/>
        <w:jc w:val="both"/>
        <w:rPr>
          <w:rFonts w:cs="Times New Roman"/>
        </w:rPr>
      </w:pPr>
    </w:p>
    <w:p w14:paraId="374BB882" w14:textId="77777777" w:rsidR="00382F2C" w:rsidRPr="009F6D1E" w:rsidRDefault="00382F2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t xml:space="preserve">На </w:t>
      </w:r>
      <w:r w:rsidRPr="009F6D1E">
        <w:rPr>
          <w:rFonts w:eastAsia="Times New Roman" w:cs="Times New Roman"/>
          <w:szCs w:val="24"/>
          <w:lang w:eastAsia="bg-BG"/>
        </w:rPr>
        <w:t>територия</w:t>
      </w:r>
      <w:r w:rsidRPr="009F6D1E">
        <w:rPr>
          <w:rFonts w:cs="Times New Roman"/>
          <w:szCs w:val="24"/>
        </w:rPr>
        <w:t xml:space="preserve"> Басейнова дирекция - </w:t>
      </w:r>
      <w:proofErr w:type="spellStart"/>
      <w:r w:rsidRPr="009F6D1E">
        <w:rPr>
          <w:rFonts w:cs="Times New Roman"/>
          <w:szCs w:val="24"/>
        </w:rPr>
        <w:t>Западнобеломорски</w:t>
      </w:r>
      <w:proofErr w:type="spellEnd"/>
      <w:r w:rsidRPr="009F6D1E">
        <w:rPr>
          <w:rFonts w:cs="Times New Roman"/>
          <w:szCs w:val="24"/>
        </w:rPr>
        <w:t xml:space="preserve"> район са регистрирани следните райони със значителен потенциален риск.</w:t>
      </w:r>
    </w:p>
    <w:p w14:paraId="6EF2269F" w14:textId="77777777" w:rsidR="00382F2C" w:rsidRPr="009F6D1E" w:rsidRDefault="00382F2C" w:rsidP="0084747F">
      <w:pPr>
        <w:autoSpaceDE w:val="0"/>
        <w:autoSpaceDN w:val="0"/>
        <w:adjustRightInd w:val="0"/>
        <w:spacing w:after="60" w:line="264" w:lineRule="auto"/>
        <w:ind w:firstLine="708"/>
        <w:jc w:val="both"/>
        <w:rPr>
          <w:rFonts w:cs="Times New Roman"/>
          <w:szCs w:val="24"/>
        </w:rPr>
      </w:pPr>
      <w:r w:rsidRPr="009F6D1E">
        <w:rPr>
          <w:rFonts w:cs="Times New Roman"/>
          <w:szCs w:val="24"/>
        </w:rPr>
        <w:lastRenderedPageBreak/>
        <w:t>С висок риск от наводнения са поречията:</w:t>
      </w:r>
    </w:p>
    <w:p w14:paraId="5AC081F8"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Струма - 11 бр.</w:t>
      </w:r>
      <w:r w:rsidR="00815311" w:rsidRPr="009F6D1E">
        <w:rPr>
          <w:rFonts w:eastAsia="Times New Roman" w:cs="Times New Roman"/>
          <w:szCs w:val="24"/>
          <w:lang w:eastAsia="bg-BG" w:bidi="bg-BG"/>
        </w:rPr>
        <w:t>;</w:t>
      </w:r>
    </w:p>
    <w:p w14:paraId="2646E9A0" w14:textId="79FC1E18"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Река Места и Д</w:t>
      </w:r>
      <w:r w:rsidR="007D1377">
        <w:rPr>
          <w:rFonts w:eastAsia="Times New Roman" w:cs="Times New Roman"/>
          <w:szCs w:val="24"/>
          <w:lang w:eastAsia="bg-BG" w:bidi="bg-BG"/>
        </w:rPr>
        <w:t>осп</w:t>
      </w:r>
      <w:r w:rsidRPr="009F6D1E">
        <w:rPr>
          <w:rFonts w:eastAsia="Times New Roman" w:cs="Times New Roman"/>
          <w:szCs w:val="24"/>
          <w:lang w:eastAsia="bg-BG" w:bidi="bg-BG"/>
        </w:rPr>
        <w:t>а</w:t>
      </w:r>
      <w:r w:rsidR="007D1377">
        <w:rPr>
          <w:rFonts w:eastAsia="Times New Roman" w:cs="Times New Roman"/>
          <w:szCs w:val="24"/>
          <w:lang w:eastAsia="bg-BG" w:bidi="bg-BG"/>
        </w:rPr>
        <w:t>т</w:t>
      </w:r>
      <w:r w:rsidR="00815311" w:rsidRPr="009F6D1E">
        <w:rPr>
          <w:rFonts w:eastAsia="Times New Roman" w:cs="Times New Roman"/>
          <w:szCs w:val="24"/>
          <w:lang w:eastAsia="bg-BG" w:bidi="bg-BG"/>
        </w:rPr>
        <w:t xml:space="preserve"> - </w:t>
      </w:r>
      <w:r w:rsidRPr="009F6D1E">
        <w:rPr>
          <w:rFonts w:eastAsia="Times New Roman" w:cs="Times New Roman"/>
          <w:szCs w:val="24"/>
          <w:lang w:eastAsia="bg-BG" w:bidi="bg-BG"/>
        </w:rPr>
        <w:t>3 бр.</w:t>
      </w:r>
    </w:p>
    <w:p w14:paraId="097D737F"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С висок и среден риск от наводнения са поречията:</w:t>
      </w:r>
    </w:p>
    <w:p w14:paraId="2CC496D8" w14:textId="77777777"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Поречие Струма - 14 бр.</w:t>
      </w:r>
    </w:p>
    <w:p w14:paraId="0CDBAFCB" w14:textId="5B18E9AF" w:rsidR="00382F2C" w:rsidRPr="009F6D1E" w:rsidRDefault="00382F2C" w:rsidP="0084747F">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9F6D1E">
        <w:rPr>
          <w:rFonts w:eastAsia="Times New Roman" w:cs="Times New Roman"/>
          <w:szCs w:val="24"/>
          <w:lang w:eastAsia="bg-BG" w:bidi="bg-BG"/>
        </w:rPr>
        <w:t>Поречия Места и Д</w:t>
      </w:r>
      <w:r w:rsidR="007D1377">
        <w:rPr>
          <w:rFonts w:eastAsia="Times New Roman" w:cs="Times New Roman"/>
          <w:szCs w:val="24"/>
          <w:lang w:eastAsia="bg-BG" w:bidi="bg-BG"/>
        </w:rPr>
        <w:t>осп</w:t>
      </w:r>
      <w:r w:rsidRPr="009F6D1E">
        <w:rPr>
          <w:rFonts w:eastAsia="Times New Roman" w:cs="Times New Roman"/>
          <w:szCs w:val="24"/>
          <w:lang w:eastAsia="bg-BG" w:bidi="bg-BG"/>
        </w:rPr>
        <w:t>ат - 4 бр.</w:t>
      </w:r>
    </w:p>
    <w:p w14:paraId="62F3B19F" w14:textId="77777777" w:rsidR="00382F2C" w:rsidRPr="009F6D1E" w:rsidRDefault="00382F2C" w:rsidP="0084747F">
      <w:pPr>
        <w:widowControl w:val="0"/>
        <w:tabs>
          <w:tab w:val="left" w:pos="770"/>
        </w:tabs>
        <w:spacing w:after="60" w:line="264" w:lineRule="auto"/>
        <w:jc w:val="both"/>
        <w:rPr>
          <w:rFonts w:cs="Times New Roman"/>
        </w:rPr>
      </w:pPr>
    </w:p>
    <w:p w14:paraId="39F2076A" w14:textId="58FD0216"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 xml:space="preserve">В резултат на изпълнението на Предварителна оценка на риска от наводнения (2022 – 2027 г.) </w:t>
      </w:r>
      <w:hyperlink r:id="rId119" w:history="1">
        <w:proofErr w:type="spellStart"/>
        <w:r w:rsidRPr="009F6D1E">
          <w:rPr>
            <w:rFonts w:eastAsia="Times New Roman" w:cs="Times New Roman"/>
            <w:szCs w:val="24"/>
            <w:lang w:eastAsia="bg-BG"/>
          </w:rPr>
          <w:t>Западнобеломорски</w:t>
        </w:r>
        <w:proofErr w:type="spellEnd"/>
        <w:r w:rsidRPr="009F6D1E">
          <w:rPr>
            <w:rFonts w:eastAsia="Times New Roman" w:cs="Times New Roman"/>
            <w:szCs w:val="24"/>
            <w:lang w:eastAsia="bg-BG"/>
          </w:rPr>
          <w:t xml:space="preserve"> РБУ</w:t>
        </w:r>
      </w:hyperlink>
      <w:r w:rsidRPr="009F6D1E">
        <w:rPr>
          <w:rFonts w:eastAsia="Times New Roman" w:cs="Times New Roman"/>
          <w:szCs w:val="24"/>
          <w:lang w:eastAsia="bg-BG"/>
        </w:rPr>
        <w:t xml:space="preserve"> определените като РЗПРН са 17 района</w:t>
      </w:r>
    </w:p>
    <w:p w14:paraId="15134181" w14:textId="77777777" w:rsidR="00382F2C" w:rsidRPr="009F6D1E" w:rsidRDefault="00382F2C" w:rsidP="0084747F">
      <w:pPr>
        <w:widowControl w:val="0"/>
        <w:tabs>
          <w:tab w:val="left" w:pos="770"/>
        </w:tabs>
        <w:spacing w:after="60" w:line="264" w:lineRule="auto"/>
        <w:jc w:val="both"/>
        <w:rPr>
          <w:rFonts w:cs="Times New Roman"/>
        </w:rPr>
      </w:pPr>
    </w:p>
    <w:p w14:paraId="1EC4BD18" w14:textId="77777777" w:rsidR="00382F2C" w:rsidRPr="009F6D1E" w:rsidRDefault="00382F2C" w:rsidP="0084747F">
      <w:pPr>
        <w:autoSpaceDE w:val="0"/>
        <w:autoSpaceDN w:val="0"/>
        <w:adjustRightInd w:val="0"/>
        <w:spacing w:after="60" w:line="264" w:lineRule="auto"/>
        <w:ind w:firstLine="708"/>
        <w:jc w:val="both"/>
        <w:rPr>
          <w:rFonts w:eastAsia="Times New Roman" w:cs="Times New Roman"/>
          <w:szCs w:val="24"/>
          <w:lang w:eastAsia="bg-BG"/>
        </w:rPr>
      </w:pPr>
      <w:r w:rsidRPr="009F6D1E">
        <w:rPr>
          <w:rFonts w:eastAsia="Times New Roman" w:cs="Times New Roman"/>
          <w:szCs w:val="24"/>
          <w:lang w:eastAsia="bg-BG"/>
        </w:rPr>
        <w:t>За предпазване от наводнения в голяма степен са изградени защитни съоръжения, както в рамките на населените места, така и извън регулация по коритата на реките. Съгласно Директивата за управление на риска от наводнения (2007/60/ЕО) четирите Басейнови дирекции за управление на водите са разработили Предварителни оценки на риска от наводнения (ПОРН), в които е направена оценка на миналите наводнения, оценка на бъдещия риск от наводнения и са определени районите с потенциален риск. Основната цел на ПОРН е да осигури оценка на евентуалните рискове от бъдещи наводнения, въз основа на налична или лесно достъпна информация и да послужи като основа за определяне на Райони със значителен потенциален риск от наводнения. Изготвянето на ПОРН е първи етап от изготвянето на Плана за управление на риска от наводнения (ПУРН).</w:t>
      </w:r>
    </w:p>
    <w:p w14:paraId="7C970347" w14:textId="77777777" w:rsidR="00A606F5" w:rsidRPr="009F6D1E" w:rsidRDefault="00A606F5" w:rsidP="0084747F">
      <w:pPr>
        <w:spacing w:after="60" w:line="264" w:lineRule="auto"/>
        <w:contextualSpacing/>
        <w:jc w:val="both"/>
        <w:rPr>
          <w:rFonts w:eastAsia="Calibri" w:cs="Times New Roman"/>
          <w:b/>
          <w:bCs/>
          <w:i/>
          <w:iCs/>
          <w:szCs w:val="24"/>
          <w:highlight w:val="yellow"/>
        </w:rPr>
      </w:pPr>
    </w:p>
    <w:p w14:paraId="4865B886"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44" w:name="_Toc115255013"/>
      <w:r w:rsidRPr="009F6D1E">
        <w:rPr>
          <w:rFonts w:eastAsia="Times New Roman"/>
          <w:b/>
          <w:i/>
          <w:lang w:val="bg-BG"/>
        </w:rPr>
        <w:t>Подземни води</w:t>
      </w:r>
      <w:bookmarkEnd w:id="544"/>
    </w:p>
    <w:p w14:paraId="0164BEBB" w14:textId="77777777" w:rsidR="00A606F5" w:rsidRPr="009F6D1E" w:rsidRDefault="00A606F5" w:rsidP="0084747F">
      <w:pPr>
        <w:spacing w:after="60" w:line="264" w:lineRule="auto"/>
        <w:contextualSpacing/>
        <w:jc w:val="both"/>
        <w:rPr>
          <w:rFonts w:eastAsia="Calibri" w:cs="Times New Roman"/>
          <w:b/>
          <w:bCs/>
          <w:i/>
          <w:iCs/>
          <w:szCs w:val="24"/>
          <w:highlight w:val="yellow"/>
        </w:rPr>
      </w:pPr>
    </w:p>
    <w:p w14:paraId="10F5BB71" w14:textId="77777777" w:rsidR="00382F2C" w:rsidRPr="009F6D1E" w:rsidRDefault="00382F2C" w:rsidP="0084747F">
      <w:pPr>
        <w:widowControl w:val="0"/>
        <w:spacing w:after="60" w:line="264" w:lineRule="auto"/>
        <w:ind w:right="-1" w:firstLine="720"/>
        <w:jc w:val="both"/>
        <w:rPr>
          <w:rFonts w:eastAsia="SimSun" w:cs="Times New Roman"/>
          <w:noProof/>
          <w:szCs w:val="24"/>
          <w:lang w:eastAsia="zh-CN"/>
        </w:rPr>
      </w:pPr>
      <w:r w:rsidRPr="009F6D1E">
        <w:rPr>
          <w:rFonts w:eastAsia="SimSun" w:cs="Times New Roman"/>
          <w:noProof/>
          <w:szCs w:val="24"/>
          <w:lang w:eastAsia="zh-CN"/>
        </w:rPr>
        <w:t xml:space="preserve">В плановете за управление на речните басейни всички подземни водни тела, с изключение на четири водни тела в Басейнова дирекция Западнобеломорски район, са определени като зони за защита на водите, от които се извлича вода за консумация от човека със средно денонощен дебит над 10 m³ или служат за водоснабдяване на повече от 50 човека. Следователно предвидените в </w:t>
      </w:r>
      <w:r w:rsidR="00CD4045" w:rsidRPr="009F6D1E">
        <w:rPr>
          <w:rFonts w:cs="Times New Roman"/>
          <w:szCs w:val="24"/>
        </w:rPr>
        <w:t>СПРЗСР</w:t>
      </w:r>
      <w:r w:rsidRPr="009F6D1E">
        <w:rPr>
          <w:rFonts w:cs="Times New Roman"/>
          <w:szCs w:val="24"/>
        </w:rPr>
        <w:t xml:space="preserve"> 2021 -2027 г.</w:t>
      </w:r>
      <w:r w:rsidRPr="009F6D1E">
        <w:rPr>
          <w:rFonts w:eastAsia="SimSun" w:cs="Times New Roman"/>
          <w:noProof/>
          <w:szCs w:val="24"/>
          <w:lang w:eastAsia="zh-CN"/>
        </w:rPr>
        <w:t xml:space="preserve"> дейности, ще засегнат изцяло подземните водни тела на територията на цялата страна, но преди всичко онези подземни водни тела, които са в лошо количествено и химично състояние. Такива са предимно подземните водни тела с плитко залягащи порови води в крайречните тераси, в това число и в крайдунавските низини, отчасти в междуречните льосови масиви в Мизийския регион и в окарстени райони. </w:t>
      </w:r>
    </w:p>
    <w:p w14:paraId="3E2497AC" w14:textId="77777777" w:rsidR="00382F2C" w:rsidRPr="009F6D1E" w:rsidRDefault="00382F2C" w:rsidP="0084747F">
      <w:pPr>
        <w:spacing w:after="60" w:line="264" w:lineRule="auto"/>
        <w:contextualSpacing/>
        <w:jc w:val="both"/>
        <w:rPr>
          <w:rFonts w:eastAsia="Calibri" w:cs="Times New Roman"/>
          <w:b/>
          <w:bCs/>
          <w:i/>
          <w:iCs/>
          <w:szCs w:val="24"/>
          <w:highlight w:val="yellow"/>
        </w:rPr>
      </w:pPr>
    </w:p>
    <w:p w14:paraId="1CDB7A9D"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color w:val="auto"/>
          <w:lang w:val="bg-BG"/>
        </w:rPr>
      </w:pPr>
      <w:bookmarkStart w:id="545" w:name="_Toc115255014"/>
      <w:r w:rsidRPr="009F6D1E">
        <w:rPr>
          <w:rFonts w:eastAsia="Times New Roman"/>
          <w:b/>
          <w:i/>
          <w:color w:val="auto"/>
          <w:lang w:val="bg-BG"/>
        </w:rPr>
        <w:t>Обекти, които подлежат на здравна защита и обекти със специфичен хигиенно-охранителен статут</w:t>
      </w:r>
      <w:bookmarkEnd w:id="545"/>
    </w:p>
    <w:p w14:paraId="2AFBA204" w14:textId="77777777" w:rsidR="00CD6D4E" w:rsidRPr="009F6D1E" w:rsidRDefault="00CD6D4E" w:rsidP="0084747F">
      <w:pPr>
        <w:widowControl w:val="0"/>
        <w:spacing w:after="60" w:line="264" w:lineRule="auto"/>
        <w:ind w:right="-1" w:firstLine="720"/>
        <w:jc w:val="both"/>
        <w:rPr>
          <w:rFonts w:eastAsia="SimSun" w:cs="Times New Roman"/>
          <w:noProof/>
          <w:szCs w:val="24"/>
          <w:lang w:eastAsia="zh-CN"/>
        </w:rPr>
      </w:pPr>
    </w:p>
    <w:p w14:paraId="12834A26" w14:textId="77777777" w:rsidR="00AC7515" w:rsidRPr="009F6D1E" w:rsidRDefault="00AC7515" w:rsidP="0084747F">
      <w:pPr>
        <w:widowControl w:val="0"/>
        <w:spacing w:after="60" w:line="264" w:lineRule="auto"/>
        <w:ind w:right="-1" w:firstLine="720"/>
        <w:jc w:val="both"/>
        <w:rPr>
          <w:rFonts w:eastAsia="SimSun" w:cs="Times New Roman"/>
          <w:noProof/>
          <w:szCs w:val="24"/>
          <w:lang w:eastAsia="zh-CN"/>
        </w:rPr>
      </w:pPr>
      <w:r w:rsidRPr="009F6D1E">
        <w:rPr>
          <w:rFonts w:eastAsia="SimSun" w:cs="Times New Roman"/>
          <w:noProof/>
          <w:szCs w:val="24"/>
          <w:lang w:eastAsia="zh-CN"/>
        </w:rPr>
        <w:t xml:space="preserve">Що се касае до човешкото здраве, то при реализирането на </w:t>
      </w:r>
      <w:r w:rsidR="00CD4045" w:rsidRPr="009F6D1E">
        <w:rPr>
          <w:rFonts w:eastAsia="SimSun" w:cs="Times New Roman"/>
          <w:noProof/>
          <w:szCs w:val="24"/>
          <w:lang w:eastAsia="zh-CN"/>
        </w:rPr>
        <w:t>СПРЗСР</w:t>
      </w:r>
      <w:r w:rsidRPr="009F6D1E">
        <w:rPr>
          <w:rFonts w:eastAsia="SimSun" w:cs="Times New Roman"/>
          <w:noProof/>
          <w:szCs w:val="24"/>
          <w:lang w:eastAsia="zh-CN"/>
        </w:rPr>
        <w:t xml:space="preserve"> не се очаква да бъдат реализирани нови, значими източници на емисии във въздуха, водите и почвите, както </w:t>
      </w:r>
      <w:r w:rsidRPr="009F6D1E">
        <w:rPr>
          <w:rFonts w:eastAsia="SimSun" w:cs="Times New Roman"/>
          <w:noProof/>
          <w:szCs w:val="24"/>
          <w:lang w:eastAsia="zh-CN"/>
        </w:rPr>
        <w:lastRenderedPageBreak/>
        <w:t xml:space="preserve">и такива, които да водят до наднормени шумови емисии и/или образуването на нови по вид и значителни количества отпадъци. Точно обратното, би могло да се сметне, че реализирането на </w:t>
      </w:r>
      <w:r w:rsidR="00CD4045" w:rsidRPr="009F6D1E">
        <w:rPr>
          <w:rFonts w:eastAsia="SimSun" w:cs="Times New Roman"/>
          <w:noProof/>
          <w:szCs w:val="24"/>
          <w:lang w:eastAsia="zh-CN"/>
        </w:rPr>
        <w:t>СПРЗСР</w:t>
      </w:r>
      <w:r w:rsidRPr="009F6D1E">
        <w:rPr>
          <w:rFonts w:eastAsia="SimSun" w:cs="Times New Roman"/>
          <w:noProof/>
          <w:szCs w:val="24"/>
          <w:lang w:eastAsia="zh-CN"/>
        </w:rPr>
        <w:t xml:space="preserve"> ще доведе до редица преки и косвени въздействия върху социално-икономическите условия на средата, а от тук и върху населението и човешкото здраве. В случаите на изграждане на нови обекти по програмата от изключителна важност е тяхното местоположение. Същото трябва да бъде съобразено с най-близко разположените зони и обекти, подрежащи на здравна защита, както и да се гарантира спазване на нормативните изискванията по отношение опазване на водите и по-специално забраните и ограниченията в санитарно-охранителните зони на водоизточниците за питейно-битово водоснабдяване и на минерални води, използвани за лечебни, профилактични, питейни и хигиенни нужди. Подробна оценка на очакваните въздействия е представена по-долу в настоящия доклад, като също така са препоръчани мерки за ограничаване на потенциалните неблагоприятни въздействия.</w:t>
      </w:r>
    </w:p>
    <w:p w14:paraId="51C04D59" w14:textId="77777777" w:rsidR="00A606F5" w:rsidRPr="009F6D1E" w:rsidRDefault="00A606F5" w:rsidP="0084747F">
      <w:pPr>
        <w:spacing w:after="60" w:line="264" w:lineRule="auto"/>
        <w:contextualSpacing/>
        <w:jc w:val="both"/>
        <w:rPr>
          <w:rFonts w:eastAsia="Calibri" w:cs="Times New Roman"/>
          <w:b/>
          <w:bCs/>
          <w:i/>
          <w:iCs/>
          <w:szCs w:val="24"/>
        </w:rPr>
      </w:pPr>
    </w:p>
    <w:p w14:paraId="59643C5A" w14:textId="77777777" w:rsidR="00471E9F" w:rsidRPr="009F6D1E" w:rsidRDefault="00471E9F" w:rsidP="00D02E9D">
      <w:pPr>
        <w:pStyle w:val="Heading1"/>
        <w:numPr>
          <w:ilvl w:val="0"/>
          <w:numId w:val="26"/>
        </w:numPr>
        <w:shd w:val="clear" w:color="auto" w:fill="DBDBDB" w:themeFill="accent3" w:themeFillTint="66"/>
        <w:tabs>
          <w:tab w:val="clear" w:pos="742"/>
        </w:tabs>
        <w:spacing w:before="0" w:after="60" w:line="264" w:lineRule="auto"/>
        <w:ind w:left="0" w:firstLine="0"/>
        <w:rPr>
          <w:rFonts w:eastAsia="Calibri"/>
          <w:b w:val="0"/>
          <w:bCs w:val="0"/>
          <w:i/>
          <w:iCs/>
        </w:rPr>
      </w:pPr>
      <w:bookmarkStart w:id="546" w:name="_Toc115255015"/>
      <w:r w:rsidRPr="009F6D1E">
        <w:rPr>
          <w:sz w:val="24"/>
          <w:szCs w:val="24"/>
        </w:rPr>
        <w:t xml:space="preserve">СЪЩЕСТВУВАЩИ ЕКОЛОГИЧНИ ПРОБЛЕМИ, УСТАНОВЕНИ НА РАЗЛИЧНО НИВО, ИМАЩИ ОТНОШЕНИЕ КЪМ </w:t>
      </w:r>
      <w:r w:rsidR="00CD4045" w:rsidRPr="009F6D1E">
        <w:rPr>
          <w:sz w:val="24"/>
          <w:szCs w:val="24"/>
        </w:rPr>
        <w:t>СПРЗСР</w:t>
      </w:r>
      <w:r w:rsidRPr="009F6D1E">
        <w:rPr>
          <w:sz w:val="24"/>
          <w:szCs w:val="24"/>
        </w:rPr>
        <w:t xml:space="preserve"> ВКЛЮЧИТЕЛНО ОТНАСЯЩИТЕ СЕ ДО РАЙОНИ С ОСОБЕНО ЕКОЛОГИЧНО ЗНАЧЕНИЕ, КАТО ЗАЩИТЕНИТЕ ЗОНИ ПО ЗАКОНА ЗА БИОЛОГИЧНОТО РАЗНООБРАЗИЕ</w:t>
      </w:r>
      <w:bookmarkEnd w:id="546"/>
      <w:r w:rsidRPr="009F6D1E">
        <w:rPr>
          <w:rFonts w:eastAsia="Calibri"/>
          <w:i/>
          <w:iCs/>
        </w:rPr>
        <w:tab/>
      </w:r>
    </w:p>
    <w:p w14:paraId="756C2D8C" w14:textId="77777777" w:rsidR="00B44E17" w:rsidRPr="009F6D1E" w:rsidRDefault="00B44E17" w:rsidP="0084747F">
      <w:pPr>
        <w:spacing w:after="60" w:line="264" w:lineRule="auto"/>
        <w:contextualSpacing/>
        <w:jc w:val="both"/>
        <w:rPr>
          <w:rFonts w:eastAsia="Calibri" w:cs="Times New Roman"/>
          <w:b/>
          <w:bCs/>
          <w:i/>
          <w:iCs/>
          <w:szCs w:val="24"/>
        </w:rPr>
      </w:pPr>
    </w:p>
    <w:p w14:paraId="521C406E"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47" w:name="_Toc115255016"/>
      <w:r w:rsidRPr="009F6D1E">
        <w:rPr>
          <w:rFonts w:eastAsia="Times New Roman"/>
          <w:b/>
          <w:i/>
          <w:lang w:val="bg-BG"/>
        </w:rPr>
        <w:t>Качество на атмосферния въздух</w:t>
      </w:r>
      <w:bookmarkEnd w:id="547"/>
    </w:p>
    <w:p w14:paraId="20E09D72" w14:textId="77777777" w:rsidR="00CD6D4E" w:rsidRPr="009F6D1E" w:rsidRDefault="00CD6D4E" w:rsidP="0084747F">
      <w:pPr>
        <w:widowControl w:val="0"/>
        <w:tabs>
          <w:tab w:val="left" w:pos="993"/>
        </w:tabs>
        <w:spacing w:after="60" w:line="264" w:lineRule="auto"/>
        <w:ind w:firstLine="720"/>
        <w:jc w:val="both"/>
        <w:rPr>
          <w:rFonts w:cs="Times New Roman"/>
          <w:b/>
          <w:bCs/>
          <w:szCs w:val="24"/>
        </w:rPr>
      </w:pPr>
    </w:p>
    <w:p w14:paraId="6404DDF4" w14:textId="77777777" w:rsidR="002831ED" w:rsidRPr="009F6D1E" w:rsidRDefault="002831ED" w:rsidP="0084747F">
      <w:pPr>
        <w:widowControl w:val="0"/>
        <w:tabs>
          <w:tab w:val="left" w:pos="993"/>
        </w:tabs>
        <w:spacing w:after="60" w:line="264" w:lineRule="auto"/>
        <w:ind w:firstLine="720"/>
        <w:jc w:val="both"/>
        <w:rPr>
          <w:rFonts w:cs="Times New Roman"/>
          <w:b/>
          <w:bCs/>
          <w:szCs w:val="24"/>
        </w:rPr>
      </w:pPr>
      <w:r w:rsidRPr="009F6D1E">
        <w:rPr>
          <w:rFonts w:cs="Times New Roman"/>
          <w:b/>
          <w:bCs/>
          <w:szCs w:val="24"/>
        </w:rPr>
        <w:t>Климат</w:t>
      </w:r>
    </w:p>
    <w:p w14:paraId="72987871" w14:textId="534A7DDD" w:rsidR="00D37F61" w:rsidRDefault="00D37F61" w:rsidP="0084747F">
      <w:pPr>
        <w:widowControl w:val="0"/>
        <w:tabs>
          <w:tab w:val="left" w:pos="993"/>
        </w:tabs>
        <w:spacing w:after="60" w:line="264" w:lineRule="auto"/>
        <w:ind w:firstLine="720"/>
        <w:jc w:val="both"/>
        <w:rPr>
          <w:rFonts w:cs="Times New Roman"/>
          <w:szCs w:val="24"/>
        </w:rPr>
      </w:pPr>
      <w:r w:rsidRPr="00D37F61">
        <w:rPr>
          <w:rFonts w:cs="Times New Roman"/>
          <w:szCs w:val="24"/>
        </w:rPr>
        <w:t xml:space="preserve">През последните години се увеличава честотата на екстремните метеорологични и климатични явления: има значително увеличение на средния брой дни с денонощни суми на валежите над 100 mm – с около 30% за периода 1991-2020 г. спрямо базисния период 1961-1990 г. Зачестяват случаите с типично пролетно-летен тип </w:t>
      </w:r>
      <w:proofErr w:type="spellStart"/>
      <w:r w:rsidRPr="00D37F61">
        <w:rPr>
          <w:rFonts w:cs="Times New Roman"/>
          <w:szCs w:val="24"/>
        </w:rPr>
        <w:t>конвективна</w:t>
      </w:r>
      <w:proofErr w:type="spellEnd"/>
      <w:r w:rsidRPr="00D37F61">
        <w:rPr>
          <w:rFonts w:cs="Times New Roman"/>
          <w:szCs w:val="24"/>
        </w:rPr>
        <w:t xml:space="preserve"> облачност с валежи от дъжд, гръмотевични бури и понякога с валежи от град през зимни месеци като януари и февруари. Годишната амплитуда между максималната и минималната температура на въздуха намалява – минималната температура се повишава по-бързо от максималната.</w:t>
      </w:r>
      <w:r>
        <w:rPr>
          <w:rFonts w:cs="Times New Roman"/>
          <w:szCs w:val="24"/>
        </w:rPr>
        <w:t xml:space="preserve"> Всичко това застрашава нормалния живот на хората, както и развитието на селското стопанство. </w:t>
      </w:r>
    </w:p>
    <w:p w14:paraId="29C3B4AE" w14:textId="3658C866" w:rsidR="002831ED" w:rsidRDefault="002831ED" w:rsidP="0084747F">
      <w:pPr>
        <w:widowControl w:val="0"/>
        <w:tabs>
          <w:tab w:val="left" w:pos="993"/>
        </w:tabs>
        <w:spacing w:after="60" w:line="264" w:lineRule="auto"/>
        <w:ind w:firstLine="720"/>
        <w:jc w:val="both"/>
        <w:rPr>
          <w:rFonts w:cs="Times New Roman"/>
          <w:szCs w:val="24"/>
        </w:rPr>
      </w:pPr>
      <w:r w:rsidRPr="009F6D1E">
        <w:rPr>
          <w:rFonts w:cs="Times New Roman"/>
          <w:szCs w:val="24"/>
        </w:rPr>
        <w:t>Емисии на парникови газове (CO</w:t>
      </w:r>
      <w:r w:rsidRPr="00D37F61">
        <w:rPr>
          <w:rFonts w:cs="Times New Roman"/>
          <w:szCs w:val="24"/>
          <w:vertAlign w:val="subscript"/>
        </w:rPr>
        <w:t>2</w:t>
      </w:r>
      <w:r w:rsidRPr="009F6D1E">
        <w:rPr>
          <w:rFonts w:cs="Times New Roman"/>
          <w:szCs w:val="24"/>
        </w:rPr>
        <w:t>, CH</w:t>
      </w:r>
      <w:r w:rsidRPr="00D37F61">
        <w:rPr>
          <w:rFonts w:cs="Times New Roman"/>
          <w:szCs w:val="24"/>
          <w:vertAlign w:val="subscript"/>
        </w:rPr>
        <w:t>4</w:t>
      </w:r>
      <w:r w:rsidRPr="009F6D1E">
        <w:rPr>
          <w:rFonts w:cs="Times New Roman"/>
          <w:szCs w:val="24"/>
        </w:rPr>
        <w:t>, N</w:t>
      </w:r>
      <w:r w:rsidRPr="00D37F61">
        <w:rPr>
          <w:rFonts w:cs="Times New Roman"/>
          <w:szCs w:val="24"/>
          <w:vertAlign w:val="subscript"/>
        </w:rPr>
        <w:t>2</w:t>
      </w:r>
      <w:r w:rsidRPr="009F6D1E">
        <w:rPr>
          <w:rFonts w:cs="Times New Roman"/>
          <w:szCs w:val="24"/>
        </w:rPr>
        <w:t>O, O</w:t>
      </w:r>
      <w:r w:rsidRPr="00D37F61">
        <w:rPr>
          <w:rFonts w:cs="Times New Roman"/>
          <w:szCs w:val="24"/>
          <w:vertAlign w:val="subscript"/>
        </w:rPr>
        <w:t>3</w:t>
      </w:r>
      <w:r w:rsidRPr="009F6D1E">
        <w:rPr>
          <w:rFonts w:cs="Times New Roman"/>
          <w:szCs w:val="24"/>
        </w:rPr>
        <w:t xml:space="preserve"> и халогенни въглеводороди) се отделят при всички процеси на превръщане на изкопаемите горива в енергия – твърдите горива, използвани в битово отопление или течните горива, използвани в двигателите с вътрешно горене на автомобилния транспорт</w:t>
      </w:r>
      <w:r w:rsidR="00D37F61">
        <w:rPr>
          <w:rFonts w:cs="Times New Roman"/>
          <w:szCs w:val="24"/>
        </w:rPr>
        <w:t xml:space="preserve">, както и резултат от дейностите в сектор Земеделие, </w:t>
      </w:r>
      <w:r w:rsidR="001A18CC">
        <w:rPr>
          <w:rFonts w:cs="Times New Roman"/>
          <w:szCs w:val="24"/>
        </w:rPr>
        <w:t>в частност от животновъдството</w:t>
      </w:r>
      <w:r w:rsidRPr="009F6D1E">
        <w:rPr>
          <w:rFonts w:cs="Times New Roman"/>
          <w:szCs w:val="24"/>
        </w:rPr>
        <w:t>.</w:t>
      </w:r>
      <w:r w:rsidR="001A18CC">
        <w:rPr>
          <w:rFonts w:cs="Times New Roman"/>
          <w:szCs w:val="24"/>
        </w:rPr>
        <w:t xml:space="preserve"> </w:t>
      </w:r>
    </w:p>
    <w:p w14:paraId="070CB64B" w14:textId="0A95CF4E" w:rsidR="001A18CC" w:rsidRDefault="001A18CC" w:rsidP="0084747F">
      <w:pPr>
        <w:widowControl w:val="0"/>
        <w:tabs>
          <w:tab w:val="left" w:pos="993"/>
        </w:tabs>
        <w:spacing w:after="60" w:line="264" w:lineRule="auto"/>
        <w:ind w:firstLine="720"/>
        <w:jc w:val="both"/>
        <w:rPr>
          <w:rFonts w:cs="Times New Roman"/>
          <w:szCs w:val="24"/>
        </w:rPr>
      </w:pPr>
      <w:r>
        <w:rPr>
          <w:rFonts w:cs="Times New Roman"/>
          <w:szCs w:val="24"/>
        </w:rPr>
        <w:t>Реализирането на СПРЗС</w:t>
      </w:r>
      <w:r w:rsidR="006E2902">
        <w:rPr>
          <w:rFonts w:cs="Times New Roman"/>
          <w:szCs w:val="24"/>
        </w:rPr>
        <w:t>Р</w:t>
      </w:r>
      <w:r>
        <w:rPr>
          <w:rFonts w:cs="Times New Roman"/>
          <w:szCs w:val="24"/>
        </w:rPr>
        <w:t xml:space="preserve"> ще допринесе за намаляване на парниковите газове, като ще подпомогне водената от нациите борба с климатичните промени</w:t>
      </w:r>
      <w:r w:rsidR="00016A7C">
        <w:rPr>
          <w:rFonts w:cs="Times New Roman"/>
          <w:szCs w:val="24"/>
        </w:rPr>
        <w:t>, което не би станало без реализирането на СПРЗС</w:t>
      </w:r>
      <w:r w:rsidR="006E2902">
        <w:rPr>
          <w:rFonts w:cs="Times New Roman"/>
          <w:szCs w:val="24"/>
        </w:rPr>
        <w:t>Р</w:t>
      </w:r>
      <w:r w:rsidR="00016A7C">
        <w:rPr>
          <w:rFonts w:cs="Times New Roman"/>
          <w:szCs w:val="24"/>
        </w:rPr>
        <w:t xml:space="preserve"> и постигане на целите й</w:t>
      </w:r>
      <w:r>
        <w:rPr>
          <w:rFonts w:cs="Times New Roman"/>
          <w:szCs w:val="24"/>
        </w:rPr>
        <w:t>.</w:t>
      </w:r>
    </w:p>
    <w:p w14:paraId="303EA067" w14:textId="77777777" w:rsidR="00AD646E" w:rsidRPr="00016A7C" w:rsidRDefault="00AD646E" w:rsidP="0084747F">
      <w:pPr>
        <w:widowControl w:val="0"/>
        <w:tabs>
          <w:tab w:val="left" w:pos="993"/>
        </w:tabs>
        <w:spacing w:after="60" w:line="264" w:lineRule="auto"/>
        <w:ind w:firstLine="720"/>
        <w:jc w:val="both"/>
        <w:rPr>
          <w:rFonts w:cs="Times New Roman"/>
          <w:szCs w:val="24"/>
          <w:lang w:val="en-US"/>
        </w:rPr>
      </w:pPr>
    </w:p>
    <w:p w14:paraId="53F74549" w14:textId="77777777" w:rsidR="002831ED" w:rsidRPr="009F6D1E" w:rsidRDefault="002831ED" w:rsidP="0084747F">
      <w:pPr>
        <w:widowControl w:val="0"/>
        <w:tabs>
          <w:tab w:val="left" w:pos="993"/>
        </w:tabs>
        <w:spacing w:after="60" w:line="264" w:lineRule="auto"/>
        <w:ind w:firstLine="720"/>
        <w:jc w:val="both"/>
        <w:rPr>
          <w:rFonts w:cs="Times New Roman"/>
          <w:b/>
          <w:bCs/>
          <w:szCs w:val="24"/>
        </w:rPr>
      </w:pPr>
      <w:r w:rsidRPr="009F6D1E">
        <w:rPr>
          <w:rFonts w:cs="Times New Roman"/>
          <w:b/>
          <w:bCs/>
          <w:szCs w:val="24"/>
        </w:rPr>
        <w:lastRenderedPageBreak/>
        <w:t>Атмосферен въздух</w:t>
      </w:r>
    </w:p>
    <w:p w14:paraId="5029E5B3" w14:textId="539107DF" w:rsidR="002831ED" w:rsidRDefault="002831ED" w:rsidP="0084747F">
      <w:pPr>
        <w:widowControl w:val="0"/>
        <w:tabs>
          <w:tab w:val="left" w:pos="993"/>
        </w:tabs>
        <w:spacing w:after="60" w:line="264" w:lineRule="auto"/>
        <w:ind w:firstLine="720"/>
        <w:jc w:val="both"/>
        <w:rPr>
          <w:rFonts w:cs="Times New Roman"/>
          <w:szCs w:val="24"/>
        </w:rPr>
      </w:pPr>
      <w:r w:rsidRPr="009F6D1E">
        <w:rPr>
          <w:rFonts w:cs="Times New Roman"/>
          <w:szCs w:val="24"/>
        </w:rPr>
        <w:t xml:space="preserve">Значителна част от </w:t>
      </w:r>
      <w:r w:rsidR="00D37F61" w:rsidRPr="009F6D1E">
        <w:rPr>
          <w:rFonts w:cs="Times New Roman"/>
          <w:szCs w:val="24"/>
        </w:rPr>
        <w:t>антропогенните</w:t>
      </w:r>
      <w:r w:rsidRPr="009F6D1E">
        <w:rPr>
          <w:rFonts w:cs="Times New Roman"/>
          <w:szCs w:val="24"/>
        </w:rPr>
        <w:t xml:space="preserve"> дейности водят до промяна на състава на приземния въздушен слой, имащ отношение към живота и здравето на населението. От </w:t>
      </w:r>
      <w:proofErr w:type="spellStart"/>
      <w:r w:rsidRPr="009F6D1E">
        <w:rPr>
          <w:rFonts w:cs="Times New Roman"/>
          <w:szCs w:val="24"/>
        </w:rPr>
        <w:t>особенно</w:t>
      </w:r>
      <w:proofErr w:type="spellEnd"/>
      <w:r w:rsidRPr="009F6D1E">
        <w:rPr>
          <w:rFonts w:cs="Times New Roman"/>
          <w:szCs w:val="24"/>
        </w:rPr>
        <w:t xml:space="preserve"> важно значение за опазване и подобряване на КАВ е правилният избор на място за развитие на дадена индустрия. </w:t>
      </w:r>
    </w:p>
    <w:p w14:paraId="7DE7C881" w14:textId="213C1428" w:rsidR="00234784" w:rsidRDefault="00234784" w:rsidP="0084747F">
      <w:pPr>
        <w:widowControl w:val="0"/>
        <w:tabs>
          <w:tab w:val="left" w:pos="993"/>
        </w:tabs>
        <w:spacing w:after="60" w:line="264" w:lineRule="auto"/>
        <w:ind w:firstLine="720"/>
        <w:jc w:val="both"/>
        <w:rPr>
          <w:rFonts w:cs="Times New Roman"/>
          <w:szCs w:val="24"/>
        </w:rPr>
      </w:pPr>
      <w:r>
        <w:rPr>
          <w:rFonts w:cs="Times New Roman"/>
          <w:szCs w:val="24"/>
        </w:rPr>
        <w:t xml:space="preserve">Основните проблеми пред КАВ на национално ниво, съгласно последния Национален доклад </w:t>
      </w:r>
      <w:r w:rsidRPr="00234784">
        <w:rPr>
          <w:rFonts w:cs="Times New Roman"/>
          <w:szCs w:val="24"/>
        </w:rPr>
        <w:t>за състоянието и опазването на околната среда в Република България</w:t>
      </w:r>
      <w:r>
        <w:rPr>
          <w:rFonts w:cs="Times New Roman"/>
          <w:szCs w:val="24"/>
        </w:rPr>
        <w:t>, са както следва:</w:t>
      </w:r>
    </w:p>
    <w:p w14:paraId="60CA4248" w14:textId="1B6E11E4" w:rsidR="00234784" w:rsidRDefault="00234784" w:rsidP="00234784">
      <w:pPr>
        <w:widowControl w:val="0"/>
        <w:numPr>
          <w:ilvl w:val="0"/>
          <w:numId w:val="5"/>
        </w:numPr>
        <w:tabs>
          <w:tab w:val="left" w:pos="720"/>
          <w:tab w:val="left" w:pos="1080"/>
        </w:tabs>
        <w:spacing w:after="60" w:line="264" w:lineRule="auto"/>
        <w:ind w:firstLine="720"/>
        <w:jc w:val="both"/>
        <w:rPr>
          <w:rFonts w:eastAsia="Times New Roman" w:cs="Times New Roman"/>
          <w:szCs w:val="24"/>
          <w:lang w:eastAsia="bg-BG" w:bidi="bg-BG"/>
        </w:rPr>
      </w:pPr>
      <w:r w:rsidRPr="00234784">
        <w:rPr>
          <w:rFonts w:eastAsia="Times New Roman" w:cs="Times New Roman"/>
          <w:szCs w:val="24"/>
          <w:lang w:eastAsia="bg-BG" w:bidi="bg-BG"/>
        </w:rPr>
        <w:t>Замърсяването с ФПЧ10 продължава да бъде основен проблем за качеството на атмосферния въздух в страната и процентът на населението, живеещо при нива на замърсяване с ФПЧ10 над допустимите норми е много висок – 60.2 % от 3.3 млн. население, живеещо в населени места, в които се контролира този замърсител.</w:t>
      </w:r>
    </w:p>
    <w:p w14:paraId="18DDF569" w14:textId="79EEC9BE" w:rsidR="00234784" w:rsidRPr="00FE37D0" w:rsidRDefault="00234784" w:rsidP="00FE37D0">
      <w:pPr>
        <w:widowControl w:val="0"/>
        <w:numPr>
          <w:ilvl w:val="0"/>
          <w:numId w:val="5"/>
        </w:numPr>
        <w:tabs>
          <w:tab w:val="left" w:pos="720"/>
          <w:tab w:val="left" w:pos="1080"/>
        </w:tabs>
        <w:spacing w:after="60" w:line="264" w:lineRule="auto"/>
        <w:ind w:firstLine="720"/>
        <w:jc w:val="both"/>
        <w:rPr>
          <w:rFonts w:cs="Times New Roman"/>
          <w:szCs w:val="24"/>
        </w:rPr>
      </w:pPr>
      <w:r w:rsidRPr="00234784">
        <w:rPr>
          <w:rFonts w:eastAsia="Times New Roman" w:cs="Times New Roman"/>
          <w:szCs w:val="24"/>
          <w:lang w:eastAsia="bg-BG" w:bidi="bg-BG"/>
        </w:rPr>
        <w:t xml:space="preserve">Продължава тенденцията за превишение на средно часовата норма (СЧН) за серен диоксид в гр. Гълъбово, </w:t>
      </w:r>
      <w:r w:rsidR="00FE37D0">
        <w:rPr>
          <w:rFonts w:eastAsia="Times New Roman" w:cs="Times New Roman"/>
          <w:szCs w:val="24"/>
          <w:lang w:eastAsia="bg-BG" w:bidi="bg-BG"/>
        </w:rPr>
        <w:t>независимо, че</w:t>
      </w:r>
      <w:r w:rsidRPr="00234784">
        <w:rPr>
          <w:rFonts w:eastAsia="Times New Roman" w:cs="Times New Roman"/>
          <w:szCs w:val="24"/>
          <w:lang w:eastAsia="bg-BG" w:bidi="bg-BG"/>
        </w:rPr>
        <w:t xml:space="preserve"> регистрираните превишения през 2020г. (28 броя) са значително по-малко в сравнение с 2019 г. (95 броя). В гр. Гълъбово са регистрирани две превишения на алармения праг за серен диоксид (500 µg/m3) през 2020 г. </w:t>
      </w:r>
    </w:p>
    <w:p w14:paraId="58BE6679" w14:textId="7D84E7BC" w:rsidR="00FE37D0" w:rsidRDefault="00FE37D0" w:rsidP="00FE37D0">
      <w:pPr>
        <w:widowControl w:val="0"/>
        <w:tabs>
          <w:tab w:val="left" w:pos="993"/>
        </w:tabs>
        <w:spacing w:after="60" w:line="264" w:lineRule="auto"/>
        <w:ind w:firstLine="720"/>
        <w:jc w:val="both"/>
        <w:rPr>
          <w:rFonts w:cs="Times New Roman"/>
          <w:szCs w:val="24"/>
        </w:rPr>
      </w:pPr>
      <w:r w:rsidRPr="00FE37D0">
        <w:rPr>
          <w:rFonts w:cs="Times New Roman"/>
          <w:szCs w:val="24"/>
        </w:rPr>
        <w:t>Основният източник на емисии на първични ФПЧ10 е битовото отопление с използване на неефективни горивни устройства на твърдо гориво, за които е изчислено, че представляват най-малко 85% от емисиите на ФПЧ10. Транспортът - емисиите на изгорелите газове, има допълнителен принос и може да бъде значим фактор на местно равнище, особено в големите общини. Други сектори, като промишлеността, строителството и изгарянето на отпадъци могат да бъдат допълнителни фактори в конкретни общини, но техният принос на практика не е определящ. Допълнителен принос към замърсяването на атмосферния въздух с прахови частици оказва и влиянието на неблагоприятните метеорологични условия като продължителното време с ниска скорост на вятъра и продължителни засушавания</w:t>
      </w:r>
    </w:p>
    <w:p w14:paraId="1B27A6B7" w14:textId="2DBC2E6A" w:rsidR="00AE5313" w:rsidRDefault="00E326C8" w:rsidP="00AE5313">
      <w:pPr>
        <w:widowControl w:val="0"/>
        <w:tabs>
          <w:tab w:val="left" w:pos="993"/>
        </w:tabs>
        <w:spacing w:after="60" w:line="264" w:lineRule="auto"/>
        <w:ind w:firstLine="720"/>
        <w:jc w:val="both"/>
        <w:rPr>
          <w:rFonts w:cs="Times New Roman"/>
          <w:szCs w:val="24"/>
        </w:rPr>
      </w:pPr>
      <w:r>
        <w:rPr>
          <w:rFonts w:cs="Times New Roman"/>
          <w:szCs w:val="24"/>
        </w:rPr>
        <w:t>Прави впечатление, че регистрираните проблеми с КАВ засягат главно районите с ГГИ, както и големите агломерации, гъсто населени, с автомобилен трафик над средния за страната и неблагоприятни климатични условия за разсейване на замърсителите. Що се касае до основната част от засегнатите от прилагането на СПРЗС</w:t>
      </w:r>
      <w:r w:rsidR="006E2902">
        <w:rPr>
          <w:rFonts w:cs="Times New Roman"/>
          <w:szCs w:val="24"/>
        </w:rPr>
        <w:t>Р</w:t>
      </w:r>
      <w:r>
        <w:rPr>
          <w:rFonts w:cs="Times New Roman"/>
          <w:szCs w:val="24"/>
        </w:rPr>
        <w:t xml:space="preserve"> в страната, то за тях </w:t>
      </w:r>
      <w:r w:rsidR="00AE5313">
        <w:rPr>
          <w:rFonts w:cs="Times New Roman"/>
          <w:szCs w:val="24"/>
        </w:rPr>
        <w:t>не може да се твърди, че попадат изцяло в проблемните по отношение на КАВ райони. Проблемите по отношение нивата на атмосферните замърсители в тези райони са главно в резултат от отоплението на домакинствата с твърди горива през зимните месеци, както и до някъде на масовото използване на стар автомобилен парк.</w:t>
      </w:r>
    </w:p>
    <w:p w14:paraId="322DACD1" w14:textId="7A1A538E" w:rsidR="00AE5313" w:rsidRPr="009F6D1E" w:rsidRDefault="00AE5313" w:rsidP="00AE5313">
      <w:pPr>
        <w:widowControl w:val="0"/>
        <w:tabs>
          <w:tab w:val="left" w:pos="993"/>
        </w:tabs>
        <w:spacing w:after="60" w:line="264" w:lineRule="auto"/>
        <w:ind w:firstLine="720"/>
        <w:jc w:val="both"/>
        <w:rPr>
          <w:rFonts w:cs="Times New Roman"/>
          <w:szCs w:val="24"/>
        </w:rPr>
      </w:pPr>
      <w:r>
        <w:rPr>
          <w:rFonts w:cs="Times New Roman"/>
          <w:szCs w:val="24"/>
        </w:rPr>
        <w:t>Видно от представеното до тук е, че във връзка с КАВ не са регистрирани проблеми, които да са в пряко отношение със СПРЗС</w:t>
      </w:r>
      <w:r w:rsidR="006E2902">
        <w:rPr>
          <w:rFonts w:cs="Times New Roman"/>
          <w:szCs w:val="24"/>
        </w:rPr>
        <w:t>Р</w:t>
      </w:r>
      <w:r>
        <w:rPr>
          <w:rFonts w:cs="Times New Roman"/>
          <w:szCs w:val="24"/>
        </w:rPr>
        <w:t xml:space="preserve">, което не изключва факта, че реализирането на Стратегическия план за развитие </w:t>
      </w:r>
      <w:r w:rsidR="006E2902">
        <w:rPr>
          <w:rFonts w:cs="Times New Roman"/>
          <w:szCs w:val="24"/>
        </w:rPr>
        <w:t>на земеделието и селските райони ще допринесе за намаляване на генерираните в атмосферата замърсители, както е видно и от представеното в т. 8 по-долу.</w:t>
      </w:r>
    </w:p>
    <w:p w14:paraId="153DC906" w14:textId="6D9C6AAE" w:rsidR="00B44E17" w:rsidRDefault="00B44E17" w:rsidP="0084747F">
      <w:pPr>
        <w:widowControl w:val="0"/>
        <w:tabs>
          <w:tab w:val="left" w:pos="993"/>
        </w:tabs>
        <w:spacing w:after="60" w:line="264" w:lineRule="auto"/>
        <w:ind w:firstLine="720"/>
        <w:jc w:val="both"/>
        <w:rPr>
          <w:rFonts w:cs="Times New Roman"/>
          <w:szCs w:val="24"/>
        </w:rPr>
      </w:pPr>
    </w:p>
    <w:p w14:paraId="24B57831" w14:textId="77777777" w:rsidR="00AD646E" w:rsidRPr="009F6D1E" w:rsidRDefault="00AD646E" w:rsidP="0084747F">
      <w:pPr>
        <w:widowControl w:val="0"/>
        <w:tabs>
          <w:tab w:val="left" w:pos="993"/>
        </w:tabs>
        <w:spacing w:after="60" w:line="264" w:lineRule="auto"/>
        <w:ind w:firstLine="720"/>
        <w:jc w:val="both"/>
        <w:rPr>
          <w:rFonts w:cs="Times New Roman"/>
          <w:szCs w:val="24"/>
        </w:rPr>
      </w:pPr>
    </w:p>
    <w:p w14:paraId="7E55A073"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48" w:name="_Toc115255017"/>
      <w:r w:rsidRPr="009F6D1E">
        <w:rPr>
          <w:rFonts w:eastAsia="Times New Roman"/>
          <w:b/>
          <w:i/>
          <w:lang w:val="bg-BG"/>
        </w:rPr>
        <w:lastRenderedPageBreak/>
        <w:t>Води– повърхностни и подземни</w:t>
      </w:r>
      <w:bookmarkEnd w:id="548"/>
    </w:p>
    <w:p w14:paraId="35F9619A" w14:textId="77777777" w:rsidR="00BA5B39" w:rsidRPr="009F6D1E" w:rsidRDefault="00BA5B39" w:rsidP="0084747F">
      <w:pPr>
        <w:widowControl w:val="0"/>
        <w:tabs>
          <w:tab w:val="left" w:pos="993"/>
        </w:tabs>
        <w:spacing w:after="60" w:line="264" w:lineRule="auto"/>
        <w:ind w:firstLine="720"/>
        <w:jc w:val="both"/>
        <w:rPr>
          <w:rFonts w:cs="Times New Roman"/>
          <w:szCs w:val="24"/>
          <w:highlight w:val="cyan"/>
        </w:rPr>
      </w:pPr>
    </w:p>
    <w:p w14:paraId="3B22144E" w14:textId="77777777" w:rsidR="00BA5B39" w:rsidRPr="009F6D1E" w:rsidRDefault="00BA5B39" w:rsidP="0084747F">
      <w:pPr>
        <w:widowControl w:val="0"/>
        <w:tabs>
          <w:tab w:val="left" w:pos="993"/>
        </w:tabs>
        <w:spacing w:after="60" w:line="264" w:lineRule="auto"/>
        <w:ind w:firstLine="720"/>
        <w:jc w:val="both"/>
        <w:rPr>
          <w:rFonts w:eastAsia="SimSun" w:cs="Times New Roman"/>
          <w:noProof/>
          <w:szCs w:val="24"/>
          <w:lang w:eastAsia="zh-CN"/>
        </w:rPr>
      </w:pPr>
      <w:r w:rsidRPr="009F6D1E">
        <w:rPr>
          <w:rFonts w:cs="Times New Roman"/>
          <w:szCs w:val="24"/>
        </w:rPr>
        <w:t xml:space="preserve">Качеството на повърхностните води е негативно повлияно от недоизградените канализационни мрежи и ПСОВ, прилагане на недобри земеделски практики, нерегламентирани сметища и стари индустриални замърсявания. Липсват пречиствателни съоръжения при преобладаващата част от </w:t>
      </w:r>
      <w:proofErr w:type="spellStart"/>
      <w:r w:rsidRPr="009F6D1E">
        <w:rPr>
          <w:rFonts w:cs="Times New Roman"/>
          <w:szCs w:val="24"/>
        </w:rPr>
        <w:t>водовземните</w:t>
      </w:r>
      <w:proofErr w:type="spellEnd"/>
      <w:r w:rsidRPr="009F6D1E">
        <w:rPr>
          <w:rFonts w:cs="Times New Roman"/>
          <w:szCs w:val="24"/>
        </w:rPr>
        <w:t xml:space="preserve"> съоръжения от реки и язовири, което е причина за влошаване качеството на питейните води особено при обилни валежи, бързо снеготопене и др., и е предпоставка за възникване на здравен риск за потребителите. Не навсякъде е осигурено добро техническо състояние на хидротехническите съоръжения (</w:t>
      </w:r>
      <w:proofErr w:type="spellStart"/>
      <w:r w:rsidRPr="009F6D1E">
        <w:rPr>
          <w:rFonts w:cs="Times New Roman"/>
          <w:szCs w:val="24"/>
        </w:rPr>
        <w:t>водовземни</w:t>
      </w:r>
      <w:proofErr w:type="spellEnd"/>
      <w:r w:rsidRPr="009F6D1E">
        <w:rPr>
          <w:rFonts w:cs="Times New Roman"/>
          <w:szCs w:val="24"/>
        </w:rPr>
        <w:t xml:space="preserve"> съоръжения, напоителни язовири, диги). Селата на собствени водоизточници страдат от режим на водата в случаите, когато водоизточниците им пресъхнат или са с изключително нисък дебит поради засушаване. Отпадъчните води от населените места не са обхванати напълно от канализационна мрежа; в селата са обхванати около и под 50%. Има много селища с неизградени канализационни системи и колектори за отвеждане на отпадъчни води. Проблемите с пречистването на отпадъчните води са характерни за по-малките градове и селата, където липсват пречиствателни съоръжения, а настаняването на икономически дейности в тях поражда рискове за опазване на околната среда</w:t>
      </w:r>
      <w:r w:rsidRPr="009F6D1E">
        <w:rPr>
          <w:rFonts w:eastAsia="SimSun" w:cs="Times New Roman"/>
          <w:noProof/>
          <w:szCs w:val="24"/>
          <w:lang w:eastAsia="zh-CN"/>
        </w:rPr>
        <w:t>.</w:t>
      </w:r>
    </w:p>
    <w:p w14:paraId="2571D97E" w14:textId="77777777" w:rsidR="00BA5B39" w:rsidRPr="009F6D1E" w:rsidRDefault="00BA5B39"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Най-значим проблем, свързан с подземните води, е антропогенното въздействие върху химичното и количественото им състояние, дължащо се на точкови и дифузни източници на замърсяване и на състоянието на водовземането и водоподаването. По отношение на селските райони екологичните проблеми, свързани с водите, са както следва:</w:t>
      </w:r>
    </w:p>
    <w:p w14:paraId="1BB1727E"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Големи загуби на вода по водопроводните мрежи в селските райони, поради остарели и амортизирани водопроводи;</w:t>
      </w:r>
    </w:p>
    <w:p w14:paraId="01821CB3"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Недостиг на вода в някои райони;</w:t>
      </w:r>
    </w:p>
    <w:p w14:paraId="7793B918"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Непълно или неизградена канализационна мрежа, особено в селата;</w:t>
      </w:r>
    </w:p>
    <w:p w14:paraId="7930C527"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Липса на подходящо пречистване на отпадъчните води и директно заустване в повърхностни водни обекти;</w:t>
      </w:r>
    </w:p>
    <w:p w14:paraId="5F086313"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Неефективно използване на природните ресурси, включително свръхексплоатиране; замърсявания, нарушен воден баланс;</w:t>
      </w:r>
    </w:p>
    <w:p w14:paraId="5FCDBE1F"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Използване на питейна вода за напояване, нерегламентирано водовземане (без актуални разрешителни за водовземане и учредени санитарно-охранителни зони);</w:t>
      </w:r>
    </w:p>
    <w:p w14:paraId="73038C84"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Риск от замърсяване на подземните води от освобождаването на отпадъчни води без пречистване;</w:t>
      </w:r>
    </w:p>
    <w:p w14:paraId="6A329B50" w14:textId="77777777" w:rsidR="00BA5B39" w:rsidRPr="009F6D1E" w:rsidRDefault="00BA5B39"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Риск от замърсяване на подземните води чрез инфилтрация на води, замърсени с торове и пестициди.</w:t>
      </w:r>
    </w:p>
    <w:p w14:paraId="327D338A" w14:textId="45A20550" w:rsidR="00BA5B39" w:rsidRPr="00441F0D" w:rsidRDefault="00441F0D" w:rsidP="006E2902">
      <w:pPr>
        <w:widowControl w:val="0"/>
        <w:tabs>
          <w:tab w:val="left" w:pos="993"/>
        </w:tabs>
        <w:autoSpaceDE w:val="0"/>
        <w:autoSpaceDN w:val="0"/>
        <w:adjustRightInd w:val="0"/>
        <w:spacing w:after="60" w:line="264" w:lineRule="auto"/>
        <w:ind w:firstLine="720"/>
        <w:jc w:val="both"/>
        <w:rPr>
          <w:rFonts w:eastAsia="Calibri" w:cs="Times New Roman"/>
          <w:szCs w:val="24"/>
        </w:rPr>
      </w:pPr>
      <w:r>
        <w:rPr>
          <w:rFonts w:eastAsia="Calibri" w:cs="Times New Roman"/>
          <w:szCs w:val="24"/>
        </w:rPr>
        <w:t>Редица от изброените по-горе са в пряка връзка със Стратегическия план за развитие, като реализирането на същия ще доведе до положително въздействие върху компонент води, посочено по-долу в т. 8 от ДЕО – съхраняване на ресурси свежа вода чрез оптимизиране на възможностите за напояване</w:t>
      </w:r>
      <w:r w:rsidR="00D73BEE">
        <w:rPr>
          <w:rFonts w:eastAsia="Calibri" w:cs="Times New Roman"/>
          <w:szCs w:val="24"/>
        </w:rPr>
        <w:t>;</w:t>
      </w:r>
      <w:r>
        <w:rPr>
          <w:rFonts w:eastAsia="Calibri" w:cs="Times New Roman"/>
          <w:szCs w:val="24"/>
        </w:rPr>
        <w:t xml:space="preserve"> модернизация и развитие, вкл. чрез иновации, на съществуващи </w:t>
      </w:r>
      <w:r>
        <w:rPr>
          <w:rFonts w:eastAsia="Calibri" w:cs="Times New Roman"/>
          <w:szCs w:val="24"/>
        </w:rPr>
        <w:lastRenderedPageBreak/>
        <w:t xml:space="preserve">и </w:t>
      </w:r>
      <w:proofErr w:type="spellStart"/>
      <w:r>
        <w:rPr>
          <w:rFonts w:eastAsia="Calibri" w:cs="Times New Roman"/>
          <w:szCs w:val="24"/>
        </w:rPr>
        <w:t>новоразвиващи</w:t>
      </w:r>
      <w:proofErr w:type="spellEnd"/>
      <w:r>
        <w:rPr>
          <w:rFonts w:eastAsia="Calibri" w:cs="Times New Roman"/>
          <w:szCs w:val="24"/>
        </w:rPr>
        <w:t xml:space="preserve"> се производства, което ще намали значително риска от замърсяване на водите, поради директно заустване на непречистени отпадъчни води </w:t>
      </w:r>
      <w:r>
        <w:rPr>
          <w:rFonts w:eastAsia="Calibri" w:cs="Times New Roman"/>
          <w:szCs w:val="24"/>
          <w:lang w:val="en-US"/>
        </w:rPr>
        <w:t>(</w:t>
      </w:r>
      <w:r>
        <w:rPr>
          <w:rFonts w:eastAsia="Calibri" w:cs="Times New Roman"/>
          <w:szCs w:val="24"/>
        </w:rPr>
        <w:t>развитие на методи за пречистване</w:t>
      </w:r>
      <w:r>
        <w:rPr>
          <w:rFonts w:eastAsia="Calibri" w:cs="Times New Roman"/>
          <w:szCs w:val="24"/>
          <w:lang w:val="en-US"/>
        </w:rPr>
        <w:t>)</w:t>
      </w:r>
      <w:r>
        <w:rPr>
          <w:rFonts w:eastAsia="Calibri" w:cs="Times New Roman"/>
          <w:szCs w:val="24"/>
        </w:rPr>
        <w:t>;</w:t>
      </w:r>
      <w:r w:rsidR="00D73BEE">
        <w:rPr>
          <w:rFonts w:eastAsia="Calibri" w:cs="Times New Roman"/>
          <w:szCs w:val="24"/>
        </w:rPr>
        <w:t xml:space="preserve"> насърчаване на устойчивото развитие и ефективно управление на водите, което ще подпомогне запазването на водни количества и борба с проблема, свързан с недоимък на свежа вода в редица селски райони и пр.</w:t>
      </w:r>
    </w:p>
    <w:p w14:paraId="473DB72A" w14:textId="77777777" w:rsidR="006E2902" w:rsidRPr="009F6D1E" w:rsidRDefault="006E2902" w:rsidP="0084747F">
      <w:pPr>
        <w:spacing w:after="60" w:line="264" w:lineRule="auto"/>
        <w:contextualSpacing/>
        <w:jc w:val="both"/>
        <w:rPr>
          <w:rFonts w:eastAsia="Calibri" w:cs="Times New Roman"/>
          <w:b/>
          <w:bCs/>
          <w:i/>
          <w:iCs/>
          <w:szCs w:val="24"/>
        </w:rPr>
      </w:pPr>
    </w:p>
    <w:p w14:paraId="082F090E"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49" w:name="_Toc115255018"/>
      <w:r w:rsidRPr="009F6D1E">
        <w:rPr>
          <w:rFonts w:eastAsia="Times New Roman"/>
          <w:b/>
          <w:i/>
          <w:lang w:val="bg-BG"/>
        </w:rPr>
        <w:t>Земни недра, Геоложки строеж, Сеизмична опасност</w:t>
      </w:r>
      <w:bookmarkEnd w:id="549"/>
    </w:p>
    <w:p w14:paraId="0F7B2259"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01E17605" w14:textId="77777777"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Не са установени проблеми по отношение земните недра. От значение е сеизмичната характеристика на даден район, нещо, което трябва да се взема предвид и отчита при реализирането на програмата.</w:t>
      </w:r>
    </w:p>
    <w:p w14:paraId="41794E72" w14:textId="77777777" w:rsidR="00B44E17" w:rsidRPr="009F6D1E" w:rsidRDefault="00B44E17" w:rsidP="0084747F">
      <w:pPr>
        <w:spacing w:after="60" w:line="264" w:lineRule="auto"/>
        <w:contextualSpacing/>
        <w:jc w:val="both"/>
        <w:rPr>
          <w:rFonts w:eastAsia="Calibri" w:cs="Times New Roman"/>
          <w:b/>
          <w:bCs/>
          <w:i/>
          <w:iCs/>
          <w:szCs w:val="24"/>
        </w:rPr>
      </w:pPr>
    </w:p>
    <w:p w14:paraId="65C340D5"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50" w:name="_Toc115255019"/>
      <w:r w:rsidRPr="009F6D1E">
        <w:rPr>
          <w:rFonts w:eastAsia="Times New Roman"/>
          <w:b/>
          <w:i/>
          <w:lang w:val="bg-BG"/>
        </w:rPr>
        <w:t>Почви</w:t>
      </w:r>
      <w:bookmarkEnd w:id="550"/>
    </w:p>
    <w:p w14:paraId="0E9B1EEC"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6FFDFAA7"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Основните екологични проблеми и тенденции по отношение на почвите се изразяват най-вече с развитие на проблемите, свързани с почвено запечатване, уплътняване, ерозия, </w:t>
      </w:r>
      <w:proofErr w:type="spellStart"/>
      <w:r w:rsidRPr="009F6D1E">
        <w:rPr>
          <w:rFonts w:cs="Times New Roman"/>
          <w:szCs w:val="24"/>
        </w:rPr>
        <w:t>свлачищни</w:t>
      </w:r>
      <w:proofErr w:type="spellEnd"/>
      <w:r w:rsidRPr="009F6D1E">
        <w:rPr>
          <w:rFonts w:cs="Times New Roman"/>
          <w:szCs w:val="24"/>
        </w:rPr>
        <w:t xml:space="preserve"> процеси, локално замърсяване и </w:t>
      </w:r>
      <w:proofErr w:type="spellStart"/>
      <w:r w:rsidRPr="009F6D1E">
        <w:rPr>
          <w:rFonts w:cs="Times New Roman"/>
          <w:szCs w:val="24"/>
        </w:rPr>
        <w:t>вкисляване</w:t>
      </w:r>
      <w:proofErr w:type="spellEnd"/>
      <w:r w:rsidRPr="009F6D1E">
        <w:rPr>
          <w:rFonts w:cs="Times New Roman"/>
          <w:szCs w:val="24"/>
        </w:rPr>
        <w:t>.</w:t>
      </w:r>
    </w:p>
    <w:p w14:paraId="7D85DE56"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При оказване на натиск върху почвената повърхност се получава уплътняване, което променя качествата на почвата като въздейства върху нейните порьозност и пропускливост. Порите се разрушават (слепват) като в резултат на това се нарушава водно-въздушния режим на почвата и респективно количеството на вода и кислород в нея намалява. Неподходящото управление на земята е основната причина за уплътняването на почвите, като примери за това са твърде големият брой животни на определена територия, неподходящата употреба на тежки селскостопански машини и обработването на земята при неблагоприятни климатични условия. Почвите са най-податливи на уплътняване, когато съдържанието на вода в повърхностния слой е над пределната полска </w:t>
      </w:r>
      <w:proofErr w:type="spellStart"/>
      <w:r w:rsidRPr="009F6D1E">
        <w:rPr>
          <w:rFonts w:cs="Times New Roman"/>
          <w:szCs w:val="24"/>
        </w:rPr>
        <w:t>влагоемкост</w:t>
      </w:r>
      <w:proofErr w:type="spellEnd"/>
      <w:r w:rsidRPr="009F6D1E">
        <w:rPr>
          <w:rFonts w:cs="Times New Roman"/>
          <w:szCs w:val="24"/>
        </w:rPr>
        <w:t xml:space="preserve">. Влажните почви не са достатъчно стабилни, за да осигурят съпротивление на тежестта и това води до уплътняване. </w:t>
      </w:r>
    </w:p>
    <w:p w14:paraId="13AF8B3F"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В зависимост от разположението и начина на образуването си, уплътнените почвени слоеве биват: повърхностна почвена кора, плитко уплътняване в или под орния хоризонт  и дълбочинно уплътняване. </w:t>
      </w:r>
    </w:p>
    <w:p w14:paraId="507DA90E"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Почвите се различават по склонност и степен на уплътняване в зависимост от състава и свойствата им, но процеса на уплътняване е най-характерен за почвите с тежък механичен състав – глинести и тежко </w:t>
      </w:r>
      <w:proofErr w:type="spellStart"/>
      <w:r w:rsidRPr="009F6D1E">
        <w:rPr>
          <w:rFonts w:cs="Times New Roman"/>
          <w:szCs w:val="24"/>
        </w:rPr>
        <w:t>песъкливо</w:t>
      </w:r>
      <w:proofErr w:type="spellEnd"/>
      <w:r w:rsidRPr="009F6D1E">
        <w:rPr>
          <w:rFonts w:cs="Times New Roman"/>
          <w:szCs w:val="24"/>
        </w:rPr>
        <w:t xml:space="preserve">-глинести.  Такива са широко застъпените в Южна България </w:t>
      </w:r>
      <w:proofErr w:type="spellStart"/>
      <w:r w:rsidRPr="009F6D1E">
        <w:rPr>
          <w:rFonts w:cs="Times New Roman"/>
          <w:szCs w:val="24"/>
        </w:rPr>
        <w:t>смолници</w:t>
      </w:r>
      <w:proofErr w:type="spellEnd"/>
      <w:r w:rsidRPr="009F6D1E">
        <w:rPr>
          <w:rFonts w:cs="Times New Roman"/>
          <w:szCs w:val="24"/>
        </w:rPr>
        <w:t xml:space="preserve"> и </w:t>
      </w:r>
      <w:proofErr w:type="spellStart"/>
      <w:r w:rsidRPr="009F6D1E">
        <w:rPr>
          <w:rFonts w:cs="Times New Roman"/>
          <w:szCs w:val="24"/>
        </w:rPr>
        <w:t>смолницовидни</w:t>
      </w:r>
      <w:proofErr w:type="spellEnd"/>
      <w:r w:rsidRPr="009F6D1E">
        <w:rPr>
          <w:rFonts w:cs="Times New Roman"/>
          <w:szCs w:val="24"/>
        </w:rPr>
        <w:t xml:space="preserve"> почви с високо съдържание на </w:t>
      </w:r>
      <w:proofErr w:type="spellStart"/>
      <w:r w:rsidRPr="009F6D1E">
        <w:rPr>
          <w:rFonts w:cs="Times New Roman"/>
          <w:szCs w:val="24"/>
        </w:rPr>
        <w:t>монтморилонитови</w:t>
      </w:r>
      <w:proofErr w:type="spellEnd"/>
      <w:r w:rsidRPr="009F6D1E">
        <w:rPr>
          <w:rFonts w:cs="Times New Roman"/>
          <w:szCs w:val="24"/>
        </w:rPr>
        <w:t xml:space="preserve"> глини. </w:t>
      </w:r>
    </w:p>
    <w:p w14:paraId="7FCB6EA0"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Процесът на почвено запечатване се отнася за почви, използвани и трайно застроени за селищно изграждане, промишлено и инфраструктурно строителство, търговски и транспортни участъци, пътна и железопътна мрежа и др. Очаква се през следващите години процесът да е още по-силно изразен поради запазващите се темпове на разрастване на някои селищни </w:t>
      </w:r>
      <w:r w:rsidRPr="009F6D1E">
        <w:rPr>
          <w:rFonts w:cs="Times New Roman"/>
          <w:szCs w:val="24"/>
        </w:rPr>
        <w:lastRenderedPageBreak/>
        <w:t>структури и развитието на съпътстваща инфраструктура</w:t>
      </w:r>
    </w:p>
    <w:p w14:paraId="3A5FE996"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Почвената ерозия засяга огромни площи от територията на страната. Тя е естествен процес, който е силно зависим от антропогенните фактори. Обезлесяването и прочистването на естествената растителност при реализация на инфраструктурни, промишлени, туристически и др. проекти, интензивното земеделие и липсата на адекватни противоерозионни мероприятия водят до задълбочаване на проблемите, свързани със загуба на ценни почви в следствие на развитието на ерозия. Свлачищата също са природни процеси и причините за възникването им са свързани със силно пресечения релеф и други специфични геоложки дадености в определени райони, но са и много зависими от дейността на човека в урбанизираните райони.</w:t>
      </w:r>
    </w:p>
    <w:p w14:paraId="0C90E3E8"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Локалното замърсяване на почвите е свързано най-често с транспортната мрежа, складовете за опасни вещества и промишлените предприятия. Проблемите, свързани с транспорта, се изразяват в локални замърсявания с нефтопродукти, засоляване на околните почви в следствие на поддръжката на пътната мрежа в зимни условия и замърсяване с битови отпадъци. Всички складове за опасни вещества създават реална опасност за околната среда и населението, а промишлените предприятия са един от основните източници на замърсяване на почвите с тежки метали.</w:t>
      </w:r>
    </w:p>
    <w:p w14:paraId="2D83E88A" w14:textId="77777777" w:rsidR="00361E51" w:rsidRPr="009F6D1E" w:rsidRDefault="00361E51" w:rsidP="0084747F">
      <w:pPr>
        <w:widowControl w:val="0"/>
        <w:tabs>
          <w:tab w:val="left" w:pos="993"/>
        </w:tabs>
        <w:autoSpaceDE w:val="0"/>
        <w:autoSpaceDN w:val="0"/>
        <w:adjustRightInd w:val="0"/>
        <w:spacing w:after="60" w:line="264" w:lineRule="auto"/>
        <w:ind w:firstLine="720"/>
        <w:jc w:val="both"/>
        <w:rPr>
          <w:rFonts w:cs="Times New Roman"/>
          <w:szCs w:val="24"/>
        </w:rPr>
      </w:pPr>
      <w:proofErr w:type="spellStart"/>
      <w:r w:rsidRPr="009F6D1E">
        <w:rPr>
          <w:rFonts w:cs="Times New Roman"/>
          <w:szCs w:val="24"/>
        </w:rPr>
        <w:t>Вкисляването</w:t>
      </w:r>
      <w:proofErr w:type="spellEnd"/>
      <w:r w:rsidRPr="009F6D1E">
        <w:rPr>
          <w:rFonts w:cs="Times New Roman"/>
          <w:szCs w:val="24"/>
        </w:rPr>
        <w:t xml:space="preserve"> е процес, при който под действие на природни и антропогенни фактори се увеличава съдържанието на киселини в почвата. Реакцията на почвата влияе пряко върху подвижността и </w:t>
      </w:r>
      <w:proofErr w:type="spellStart"/>
      <w:r w:rsidRPr="009F6D1E">
        <w:rPr>
          <w:rFonts w:cs="Times New Roman"/>
          <w:szCs w:val="24"/>
        </w:rPr>
        <w:t>усвоимостта</w:t>
      </w:r>
      <w:proofErr w:type="spellEnd"/>
      <w:r w:rsidRPr="009F6D1E">
        <w:rPr>
          <w:rFonts w:cs="Times New Roman"/>
          <w:szCs w:val="24"/>
        </w:rPr>
        <w:t xml:space="preserve"> на хранителните и нехранителните елементи, а оттам и върху растежа и развитието на растенията. Селскостопанските култури реагират силно на високата почвена киселинност, като най-уязвими са растенията в начален стадии на развитие.</w:t>
      </w:r>
    </w:p>
    <w:p w14:paraId="387CC4E2" w14:textId="77777777" w:rsidR="00361E51" w:rsidRPr="009F6D1E" w:rsidRDefault="00361E51" w:rsidP="0084747F">
      <w:pPr>
        <w:spacing w:after="60" w:line="264" w:lineRule="auto"/>
        <w:contextualSpacing/>
        <w:jc w:val="both"/>
        <w:rPr>
          <w:rFonts w:eastAsia="Calibri" w:cs="Times New Roman"/>
          <w:b/>
          <w:bCs/>
          <w:i/>
          <w:iCs/>
          <w:szCs w:val="24"/>
        </w:rPr>
      </w:pPr>
    </w:p>
    <w:p w14:paraId="2599E845"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51" w:name="_Toc115255020"/>
      <w:r w:rsidRPr="009F6D1E">
        <w:rPr>
          <w:rFonts w:eastAsia="Times New Roman"/>
          <w:b/>
          <w:i/>
          <w:lang w:val="bg-BG"/>
        </w:rPr>
        <w:t>Ландшафт</w:t>
      </w:r>
      <w:bookmarkEnd w:id="551"/>
    </w:p>
    <w:p w14:paraId="1C707490" w14:textId="77777777" w:rsidR="00B44E17" w:rsidRPr="009F6D1E" w:rsidRDefault="00B44E17" w:rsidP="0084747F">
      <w:pPr>
        <w:spacing w:after="60" w:line="264" w:lineRule="auto"/>
        <w:contextualSpacing/>
        <w:jc w:val="both"/>
        <w:rPr>
          <w:rFonts w:eastAsia="Calibri" w:cs="Times New Roman"/>
          <w:b/>
          <w:bCs/>
          <w:i/>
          <w:iCs/>
          <w:szCs w:val="24"/>
        </w:rPr>
      </w:pPr>
    </w:p>
    <w:p w14:paraId="4A448F65" w14:textId="24B71D0E" w:rsidR="00493E4C" w:rsidRPr="009F6D1E" w:rsidRDefault="00D015B2" w:rsidP="00493E4C">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По отношение на ландшафта, като един от основните съществуващи проблеми</w:t>
      </w:r>
      <w:r w:rsidR="00493E4C">
        <w:rPr>
          <w:rFonts w:cs="Times New Roman"/>
          <w:szCs w:val="24"/>
        </w:rPr>
        <w:t>, имащ отношение и към СПРЗСР,</w:t>
      </w:r>
      <w:r w:rsidRPr="009F6D1E">
        <w:rPr>
          <w:rFonts w:cs="Times New Roman"/>
          <w:szCs w:val="24"/>
        </w:rPr>
        <w:t xml:space="preserve"> може да се посочи липсата на конкретно законодателство в областта. </w:t>
      </w:r>
      <w:r w:rsidR="00493E4C" w:rsidRPr="009F6D1E">
        <w:rPr>
          <w:rFonts w:cs="Times New Roman"/>
          <w:szCs w:val="24"/>
        </w:rPr>
        <w:t>Понастоящем единственият нормативен документ в България, който предвижда опазване и управление на ландшафта, е Европейската конвенция за ландшафта. Липсата на национално законодателство в областта е сериозна пречка за правилната оценка на въздействията върху него и съставните му части и съответно за опазването му. Дейностите по опазване и устойчиво управление на ландшафта следва да бъдат уредени в законодателството</w:t>
      </w:r>
      <w:r w:rsidR="00493E4C">
        <w:rPr>
          <w:rFonts w:cs="Times New Roman"/>
          <w:szCs w:val="24"/>
        </w:rPr>
        <w:t xml:space="preserve">, което да е в основата на неговата защита, в хода на прилагане на </w:t>
      </w:r>
      <w:r w:rsidR="00987217">
        <w:rPr>
          <w:rFonts w:cs="Times New Roman"/>
          <w:szCs w:val="24"/>
        </w:rPr>
        <w:t>съответните планове, програми и ИП, включително и настоящата стратегия</w:t>
      </w:r>
      <w:r w:rsidR="00493E4C" w:rsidRPr="009F6D1E">
        <w:rPr>
          <w:rFonts w:cs="Times New Roman"/>
          <w:szCs w:val="24"/>
        </w:rPr>
        <w:t>.</w:t>
      </w:r>
    </w:p>
    <w:p w14:paraId="21347575" w14:textId="3572BB5F"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Други проблеми</w:t>
      </w:r>
      <w:r w:rsidR="00987217">
        <w:rPr>
          <w:rFonts w:cs="Times New Roman"/>
          <w:szCs w:val="24"/>
        </w:rPr>
        <w:t xml:space="preserve"> по отношение на ландшафта, в директна връзка с настоящия Стратегически план, са също така и</w:t>
      </w:r>
      <w:r w:rsidRPr="009F6D1E">
        <w:rPr>
          <w:rFonts w:cs="Times New Roman"/>
          <w:szCs w:val="24"/>
        </w:rPr>
        <w:t xml:space="preserve"> замърсяването на компонентите му, промяната на видовете ландшафт, както и унищожаване и/или нарушаване на съществуващите природни ландшафти и свързаните с тях отрицателни визуално-естетични въздействия.</w:t>
      </w:r>
    </w:p>
    <w:p w14:paraId="0AC2AC60" w14:textId="77777777"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Строителните дейности свързани с изграждане на нови обекти или за реконструкция и рехабилитация на съществуващи такива, както и полагане на необходимата инфраструктура, </w:t>
      </w:r>
      <w:r w:rsidRPr="009F6D1E">
        <w:rPr>
          <w:rFonts w:cs="Times New Roman"/>
          <w:szCs w:val="24"/>
        </w:rPr>
        <w:lastRenderedPageBreak/>
        <w:t xml:space="preserve">води до </w:t>
      </w:r>
      <w:proofErr w:type="spellStart"/>
      <w:r w:rsidRPr="009F6D1E">
        <w:rPr>
          <w:rFonts w:cs="Times New Roman"/>
          <w:szCs w:val="24"/>
        </w:rPr>
        <w:t>запрашаване</w:t>
      </w:r>
      <w:proofErr w:type="spellEnd"/>
      <w:r w:rsidRPr="009F6D1E">
        <w:rPr>
          <w:rFonts w:cs="Times New Roman"/>
          <w:szCs w:val="24"/>
        </w:rPr>
        <w:t xml:space="preserve"> и замърсяване на отделни компоненти на ландшафта. Замърсителите могат да бъдат прахови фракции с различен произход (естествен или изкуствен), строителни отпадъци и горивно-смазочни материали от превозни средства и строителна техника, битови отпадъци в резултат на човешката дейност и др.</w:t>
      </w:r>
    </w:p>
    <w:p w14:paraId="695B90DA" w14:textId="3F0FDCBF"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Промяната на съществуващите ландшафти, както и замърсяването им с отпадъци има неблагоприятно визуално-естетично въздействие. Създаването на нови видове ландшафт в резултат на интензивни земеделски дейности и влиянието на човека върху териториите също представлява значителен проблем.</w:t>
      </w:r>
      <w:r w:rsidR="00987217">
        <w:rPr>
          <w:rFonts w:cs="Times New Roman"/>
          <w:szCs w:val="24"/>
        </w:rPr>
        <w:t xml:space="preserve"> Редица от посочените по-горе проблеми е възможно да бъдат задълбочени от прилагането на настоящия Стратегически план, ако реализирането на стратегическите цели на плана в съответните райони не бъдат синхронизирани, така че да не окажат отрицателно въздействие върху ландшафтите в тези райони.</w:t>
      </w:r>
    </w:p>
    <w:p w14:paraId="78D0DAF3" w14:textId="10166049" w:rsidR="00D015B2"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Нарушаването на ландшафта</w:t>
      </w:r>
      <w:r w:rsidR="00987217">
        <w:rPr>
          <w:rFonts w:cs="Times New Roman"/>
          <w:szCs w:val="24"/>
        </w:rPr>
        <w:t xml:space="preserve"> от реализацията на Плана</w:t>
      </w:r>
      <w:r w:rsidRPr="009F6D1E">
        <w:rPr>
          <w:rFonts w:cs="Times New Roman"/>
          <w:szCs w:val="24"/>
        </w:rPr>
        <w:t xml:space="preserve"> може да бъде пряко и косвено. Пряко увреждане на  </w:t>
      </w:r>
      <w:proofErr w:type="spellStart"/>
      <w:r w:rsidRPr="009F6D1E">
        <w:rPr>
          <w:rFonts w:cs="Times New Roman"/>
          <w:szCs w:val="24"/>
        </w:rPr>
        <w:t>ландшафтните</w:t>
      </w:r>
      <w:proofErr w:type="spellEnd"/>
      <w:r w:rsidRPr="009F6D1E">
        <w:rPr>
          <w:rFonts w:cs="Times New Roman"/>
          <w:szCs w:val="24"/>
        </w:rPr>
        <w:t xml:space="preserve"> компоненти има по време на строителни работи и рехабилитация на всички видове обекти в резултат от наличието и използването на строително оборудване; трябва да се обърне внимание и на визуално-естетичното натоварване на териториите. Косвени промени в ландшафтите </w:t>
      </w:r>
      <w:r w:rsidR="00987217">
        <w:rPr>
          <w:rFonts w:cs="Times New Roman"/>
          <w:szCs w:val="24"/>
        </w:rPr>
        <w:t xml:space="preserve">могат да </w:t>
      </w:r>
      <w:r w:rsidRPr="009F6D1E">
        <w:rPr>
          <w:rFonts w:cs="Times New Roman"/>
          <w:szCs w:val="24"/>
        </w:rPr>
        <w:t xml:space="preserve">се наблюдават в резултат от следните дейности: промени в </w:t>
      </w:r>
      <w:proofErr w:type="spellStart"/>
      <w:r w:rsidRPr="009F6D1E">
        <w:rPr>
          <w:rFonts w:cs="Times New Roman"/>
          <w:szCs w:val="24"/>
        </w:rPr>
        <w:t>земеползването</w:t>
      </w:r>
      <w:proofErr w:type="spellEnd"/>
      <w:r w:rsidRPr="009F6D1E">
        <w:rPr>
          <w:rFonts w:cs="Times New Roman"/>
          <w:szCs w:val="24"/>
        </w:rPr>
        <w:t>, поставяне на заграждения и осветление, промяна в характеристиките на ландшафта в резултат на интензификацията на ползването на терените, ерозията на почвите, влиянието върху ландшафтите в резултат на предложенията за оформянето им. Косвените промени в съставните части на ландшафта са резултат също от изграждането на нови постройки и обекти.</w:t>
      </w:r>
    </w:p>
    <w:p w14:paraId="457884BF" w14:textId="5DA6D697" w:rsidR="00987217" w:rsidRPr="009F6D1E" w:rsidRDefault="00987217" w:rsidP="0084747F">
      <w:pPr>
        <w:widowControl w:val="0"/>
        <w:tabs>
          <w:tab w:val="left" w:pos="993"/>
        </w:tabs>
        <w:autoSpaceDE w:val="0"/>
        <w:autoSpaceDN w:val="0"/>
        <w:adjustRightInd w:val="0"/>
        <w:spacing w:after="60" w:line="264" w:lineRule="auto"/>
        <w:ind w:firstLine="720"/>
        <w:jc w:val="both"/>
        <w:rPr>
          <w:rFonts w:cs="Times New Roman"/>
          <w:szCs w:val="24"/>
        </w:rPr>
      </w:pPr>
      <w:r>
        <w:rPr>
          <w:rFonts w:cs="Times New Roman"/>
          <w:szCs w:val="24"/>
        </w:rPr>
        <w:t xml:space="preserve">Независимо от посоченото по-горе, то правилното </w:t>
      </w:r>
      <w:r w:rsidR="00EC5231">
        <w:rPr>
          <w:rFonts w:cs="Times New Roman"/>
          <w:szCs w:val="24"/>
        </w:rPr>
        <w:t xml:space="preserve">набелязване на дейности за постигане на съответните цели на Стратегическия план за развитие на земеделието и селските райони, както и коректното им изпълнение, ще допринесе за подобряване на ландшафтите в засегнатите райони, основно чрез дейности за борба с </w:t>
      </w:r>
      <w:proofErr w:type="spellStart"/>
      <w:r w:rsidR="00EC5231">
        <w:rPr>
          <w:rFonts w:cs="Times New Roman"/>
          <w:szCs w:val="24"/>
        </w:rPr>
        <w:t>осушаването</w:t>
      </w:r>
      <w:proofErr w:type="spellEnd"/>
      <w:r w:rsidR="00EC5231">
        <w:rPr>
          <w:rFonts w:cs="Times New Roman"/>
          <w:szCs w:val="24"/>
        </w:rPr>
        <w:t xml:space="preserve"> и ерозията, както и модернизация на съществуващите производства, водещо до образуване на по-малки емисии в околната среда и очистване на компонентите на средата и не на последно място чрез въвеждане на иновативни методи и технологии в съществуваща и новоизградена производствена база.</w:t>
      </w:r>
    </w:p>
    <w:p w14:paraId="7F6CA1B9" w14:textId="77777777" w:rsidR="00D015B2" w:rsidRPr="009F6D1E" w:rsidRDefault="00D015B2" w:rsidP="0084747F">
      <w:pPr>
        <w:spacing w:after="60" w:line="264" w:lineRule="auto"/>
        <w:contextualSpacing/>
        <w:jc w:val="both"/>
        <w:rPr>
          <w:rFonts w:eastAsia="Calibri" w:cs="Times New Roman"/>
          <w:b/>
          <w:bCs/>
          <w:i/>
          <w:iCs/>
          <w:szCs w:val="24"/>
        </w:rPr>
      </w:pPr>
    </w:p>
    <w:p w14:paraId="05852362"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52" w:name="_Toc115255021"/>
      <w:r w:rsidRPr="009F6D1E">
        <w:rPr>
          <w:rFonts w:eastAsia="Times New Roman"/>
          <w:b/>
          <w:i/>
          <w:lang w:val="bg-BG"/>
        </w:rPr>
        <w:t>Отпадъци</w:t>
      </w:r>
      <w:bookmarkEnd w:id="552"/>
    </w:p>
    <w:p w14:paraId="5FAB0CBD"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401499F5" w14:textId="77777777"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Преобладаващата част от битовите отпадъци в страната се третират чрез депониране (най-ниското ниво в йерархията за управление на отпадъците), а нерегламентираното изхвърляне на отпадъци, създаващо рискове от замърсяване на почви, води и съответно – риск за здравето на хората, продължава да е често срещано явление.</w:t>
      </w:r>
    </w:p>
    <w:p w14:paraId="71632A09" w14:textId="77777777"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По отношение на типичните отпадъци, характерни за районите с развито земеделие представлява опасност неправилното третиране на растителни и животински отпадъци, дължащо се донякъде и на липсата на изградена инфраструктура, вкл. съоръжения, за това.</w:t>
      </w:r>
    </w:p>
    <w:p w14:paraId="045099E7" w14:textId="77777777"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Не на последно място опасност представляват и редицата складове за пестициди, макар </w:t>
      </w:r>
      <w:r w:rsidRPr="009F6D1E">
        <w:rPr>
          <w:rFonts w:cs="Times New Roman"/>
          <w:szCs w:val="24"/>
        </w:rPr>
        <w:lastRenderedPageBreak/>
        <w:t>че извозването и третирането на тези замърсители на водите и почвите е процес, който вече е в ход.</w:t>
      </w:r>
    </w:p>
    <w:p w14:paraId="232CE57F" w14:textId="77777777" w:rsidR="00B44E17" w:rsidRPr="009F6D1E" w:rsidRDefault="00B44E17" w:rsidP="0084747F">
      <w:pPr>
        <w:widowControl w:val="0"/>
        <w:tabs>
          <w:tab w:val="left" w:pos="993"/>
        </w:tabs>
        <w:autoSpaceDE w:val="0"/>
        <w:autoSpaceDN w:val="0"/>
        <w:adjustRightInd w:val="0"/>
        <w:spacing w:after="60" w:line="264" w:lineRule="auto"/>
        <w:ind w:firstLine="720"/>
        <w:jc w:val="both"/>
        <w:rPr>
          <w:rFonts w:cs="Times New Roman"/>
          <w:szCs w:val="24"/>
        </w:rPr>
      </w:pPr>
    </w:p>
    <w:p w14:paraId="0C6D03EB"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53" w:name="_Toc115255022"/>
      <w:r w:rsidRPr="009F6D1E">
        <w:rPr>
          <w:rFonts w:eastAsia="Times New Roman"/>
          <w:b/>
          <w:i/>
          <w:lang w:val="bg-BG"/>
        </w:rPr>
        <w:t xml:space="preserve">Вредни физични фактори – Шум, Вибрации, Йонизиращи лъчения, </w:t>
      </w:r>
      <w:proofErr w:type="spellStart"/>
      <w:r w:rsidRPr="009F6D1E">
        <w:rPr>
          <w:rFonts w:eastAsia="Times New Roman"/>
          <w:b/>
          <w:i/>
          <w:lang w:val="bg-BG"/>
        </w:rPr>
        <w:t>Нейонизиращи</w:t>
      </w:r>
      <w:proofErr w:type="spellEnd"/>
      <w:r w:rsidRPr="009F6D1E">
        <w:rPr>
          <w:rFonts w:eastAsia="Times New Roman"/>
          <w:b/>
          <w:i/>
          <w:lang w:val="bg-BG"/>
        </w:rPr>
        <w:t xml:space="preserve"> лъчения</w:t>
      </w:r>
      <w:bookmarkEnd w:id="553"/>
    </w:p>
    <w:p w14:paraId="4D3C0C7C"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13B7E125" w14:textId="6080CF49"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Основните проблеми по отношение на вредните физични фактори </w:t>
      </w:r>
      <w:r w:rsidR="00941F21">
        <w:rPr>
          <w:rFonts w:cs="Times New Roman"/>
          <w:szCs w:val="24"/>
        </w:rPr>
        <w:t xml:space="preserve">на територията на цялата страна, в т. ч.  и в засегнатите от Стратегическия план райони, </w:t>
      </w:r>
      <w:r w:rsidRPr="009F6D1E">
        <w:rPr>
          <w:rFonts w:cs="Times New Roman"/>
          <w:szCs w:val="24"/>
        </w:rPr>
        <w:t>се дължат на завишените шумови нива в населените места, които са подложени на засилен автомобилен или друг вид трафик, както и на тези, разположени в близост до индустриални зони с ниско ниво на контрол и морално остарели бази</w:t>
      </w:r>
      <w:r w:rsidR="006C67DE">
        <w:rPr>
          <w:rFonts w:cs="Times New Roman"/>
          <w:szCs w:val="24"/>
        </w:rPr>
        <w:t>, което за редица райони в обхвата на Плана би намерило своето решение, основно чрез модернизация на съществуващите производства и разработване и внедряване на иновативни технологии</w:t>
      </w:r>
      <w:r w:rsidRPr="009F6D1E">
        <w:rPr>
          <w:rFonts w:cs="Times New Roman"/>
          <w:szCs w:val="24"/>
        </w:rPr>
        <w:t>.</w:t>
      </w:r>
    </w:p>
    <w:p w14:paraId="1044F1BB" w14:textId="77777777" w:rsidR="00B44E17" w:rsidRPr="009F6D1E" w:rsidRDefault="00B44E17" w:rsidP="0084747F">
      <w:pPr>
        <w:spacing w:after="60" w:line="264" w:lineRule="auto"/>
        <w:contextualSpacing/>
        <w:jc w:val="both"/>
        <w:rPr>
          <w:rFonts w:eastAsia="Calibri" w:cs="Times New Roman"/>
          <w:b/>
          <w:bCs/>
          <w:i/>
          <w:iCs/>
          <w:szCs w:val="24"/>
        </w:rPr>
      </w:pPr>
    </w:p>
    <w:p w14:paraId="3FFA49A2" w14:textId="77777777" w:rsidR="00E16D4C" w:rsidRPr="009F6D1E" w:rsidRDefault="00E16D4C" w:rsidP="00D02E9D">
      <w:pPr>
        <w:pStyle w:val="ListParagraph"/>
        <w:keepNext/>
        <w:keepLines/>
        <w:numPr>
          <w:ilvl w:val="1"/>
          <w:numId w:val="26"/>
        </w:numPr>
        <w:shd w:val="clear" w:color="auto" w:fill="E2EFD9" w:themeFill="accent6" w:themeFillTint="33"/>
        <w:spacing w:after="60" w:line="264" w:lineRule="auto"/>
        <w:jc w:val="both"/>
        <w:outlineLvl w:val="1"/>
        <w:rPr>
          <w:rFonts w:eastAsia="Times New Roman"/>
          <w:b/>
          <w:i/>
          <w:lang w:val="bg-BG"/>
        </w:rPr>
      </w:pPr>
      <w:bookmarkStart w:id="554" w:name="_Toc99437282"/>
      <w:bookmarkStart w:id="555" w:name="_Toc115255023"/>
      <w:r w:rsidRPr="009F6D1E">
        <w:rPr>
          <w:rFonts w:eastAsia="Times New Roman"/>
          <w:b/>
          <w:i/>
          <w:lang w:val="bg-BG"/>
        </w:rPr>
        <w:t>Горски територии</w:t>
      </w:r>
      <w:bookmarkEnd w:id="554"/>
      <w:bookmarkEnd w:id="555"/>
    </w:p>
    <w:p w14:paraId="7FE79640"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727C239C"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Основните рискове за общото състояние на горите са свързани с потенциално негативното въздействие на изменението на климата и очакваното увеличение в честота на възникване на природни нарушения (пожари, </w:t>
      </w:r>
      <w:proofErr w:type="spellStart"/>
      <w:r w:rsidRPr="009F6D1E">
        <w:rPr>
          <w:rFonts w:cs="Times New Roman"/>
          <w:szCs w:val="24"/>
        </w:rPr>
        <w:t>каламитети</w:t>
      </w:r>
      <w:proofErr w:type="spellEnd"/>
      <w:r w:rsidRPr="009F6D1E">
        <w:rPr>
          <w:rFonts w:cs="Times New Roman"/>
          <w:szCs w:val="24"/>
        </w:rPr>
        <w:t xml:space="preserve">, повреди причинени от </w:t>
      </w:r>
      <w:proofErr w:type="spellStart"/>
      <w:r w:rsidRPr="009F6D1E">
        <w:rPr>
          <w:rFonts w:cs="Times New Roman"/>
          <w:szCs w:val="24"/>
        </w:rPr>
        <w:t>абиотични</w:t>
      </w:r>
      <w:proofErr w:type="spellEnd"/>
      <w:r w:rsidRPr="009F6D1E">
        <w:rPr>
          <w:rFonts w:cs="Times New Roman"/>
          <w:szCs w:val="24"/>
        </w:rPr>
        <w:t xml:space="preserve"> фактори и др.). Налице е висока степен на неяснота относно естеството на това въздействие и неговия обхват.</w:t>
      </w:r>
    </w:p>
    <w:p w14:paraId="1F6F1C5F"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Последните доклади за здравословното състояние на горите в България показват смъртност, пряко свързана с нападение от насекоми, които обаче често се предхождат от общо влошаване на здравословното състояние след години на засушаване. Най-силно засегнати са </w:t>
      </w:r>
      <w:proofErr w:type="spellStart"/>
      <w:r w:rsidRPr="009F6D1E">
        <w:rPr>
          <w:rFonts w:cs="Times New Roman"/>
          <w:szCs w:val="24"/>
        </w:rPr>
        <w:t>белоборовите</w:t>
      </w:r>
      <w:proofErr w:type="spellEnd"/>
      <w:r w:rsidRPr="009F6D1E">
        <w:rPr>
          <w:rFonts w:cs="Times New Roman"/>
          <w:szCs w:val="24"/>
        </w:rPr>
        <w:t xml:space="preserve"> култури на ниска надморска височина, където нападенията са предимно от </w:t>
      </w:r>
      <w:proofErr w:type="spellStart"/>
      <w:r w:rsidRPr="009F6D1E">
        <w:rPr>
          <w:rFonts w:cs="Times New Roman"/>
          <w:szCs w:val="24"/>
        </w:rPr>
        <w:t>Ips</w:t>
      </w:r>
      <w:proofErr w:type="spellEnd"/>
      <w:r w:rsidRPr="009F6D1E">
        <w:rPr>
          <w:rFonts w:cs="Times New Roman"/>
          <w:szCs w:val="24"/>
        </w:rPr>
        <w:t xml:space="preserve"> </w:t>
      </w:r>
      <w:proofErr w:type="spellStart"/>
      <w:r w:rsidRPr="009F6D1E">
        <w:rPr>
          <w:rFonts w:cs="Times New Roman"/>
          <w:szCs w:val="24"/>
        </w:rPr>
        <w:t>acuminatus</w:t>
      </w:r>
      <w:proofErr w:type="spellEnd"/>
      <w:r w:rsidRPr="009F6D1E">
        <w:rPr>
          <w:rFonts w:cs="Times New Roman"/>
          <w:szCs w:val="24"/>
        </w:rPr>
        <w:t xml:space="preserve"> и </w:t>
      </w:r>
      <w:proofErr w:type="spellStart"/>
      <w:r w:rsidRPr="009F6D1E">
        <w:rPr>
          <w:rFonts w:cs="Times New Roman"/>
          <w:szCs w:val="24"/>
        </w:rPr>
        <w:t>Ips</w:t>
      </w:r>
      <w:proofErr w:type="spellEnd"/>
      <w:r w:rsidRPr="009F6D1E">
        <w:rPr>
          <w:rFonts w:cs="Times New Roman"/>
          <w:szCs w:val="24"/>
        </w:rPr>
        <w:t xml:space="preserve"> </w:t>
      </w:r>
      <w:proofErr w:type="spellStart"/>
      <w:r w:rsidRPr="009F6D1E">
        <w:rPr>
          <w:rFonts w:cs="Times New Roman"/>
          <w:szCs w:val="24"/>
        </w:rPr>
        <w:t>sexdentatus</w:t>
      </w:r>
      <w:proofErr w:type="spellEnd"/>
      <w:r w:rsidRPr="009F6D1E">
        <w:rPr>
          <w:rFonts w:cs="Times New Roman"/>
          <w:szCs w:val="24"/>
        </w:rPr>
        <w:t xml:space="preserve">. По-устойчивите на засушаване горски насаждения от </w:t>
      </w:r>
      <w:proofErr w:type="spellStart"/>
      <w:r w:rsidRPr="009F6D1E">
        <w:rPr>
          <w:rFonts w:cs="Times New Roman"/>
          <w:szCs w:val="24"/>
        </w:rPr>
        <w:t>Pinus</w:t>
      </w:r>
      <w:proofErr w:type="spellEnd"/>
      <w:r w:rsidRPr="009F6D1E">
        <w:rPr>
          <w:rFonts w:cs="Times New Roman"/>
          <w:szCs w:val="24"/>
        </w:rPr>
        <w:t xml:space="preserve"> </w:t>
      </w:r>
      <w:proofErr w:type="spellStart"/>
      <w:r w:rsidRPr="009F6D1E">
        <w:rPr>
          <w:rFonts w:cs="Times New Roman"/>
          <w:szCs w:val="24"/>
        </w:rPr>
        <w:t>nigra</w:t>
      </w:r>
      <w:proofErr w:type="spellEnd"/>
      <w:r w:rsidRPr="009F6D1E">
        <w:rPr>
          <w:rFonts w:cs="Times New Roman"/>
          <w:szCs w:val="24"/>
        </w:rPr>
        <w:t xml:space="preserve"> също страдат от по-висок стрес на ниски височини през последните десетилетия основно заради периодични нападения на борова </w:t>
      </w:r>
      <w:proofErr w:type="spellStart"/>
      <w:r w:rsidRPr="009F6D1E">
        <w:rPr>
          <w:rFonts w:cs="Times New Roman"/>
          <w:szCs w:val="24"/>
        </w:rPr>
        <w:t>процесионка</w:t>
      </w:r>
      <w:proofErr w:type="spellEnd"/>
      <w:r w:rsidRPr="009F6D1E">
        <w:rPr>
          <w:rFonts w:cs="Times New Roman"/>
          <w:szCs w:val="24"/>
        </w:rPr>
        <w:t xml:space="preserve"> (</w:t>
      </w:r>
      <w:proofErr w:type="spellStart"/>
      <w:r w:rsidRPr="009F6D1E">
        <w:rPr>
          <w:rFonts w:cs="Times New Roman"/>
          <w:szCs w:val="24"/>
        </w:rPr>
        <w:t>Thaumetopoea</w:t>
      </w:r>
      <w:proofErr w:type="spellEnd"/>
      <w:r w:rsidRPr="009F6D1E">
        <w:rPr>
          <w:rFonts w:cs="Times New Roman"/>
          <w:szCs w:val="24"/>
        </w:rPr>
        <w:t xml:space="preserve"> </w:t>
      </w:r>
      <w:proofErr w:type="spellStart"/>
      <w:r w:rsidRPr="009F6D1E">
        <w:rPr>
          <w:rFonts w:cs="Times New Roman"/>
          <w:szCs w:val="24"/>
        </w:rPr>
        <w:t>pityocampa</w:t>
      </w:r>
      <w:proofErr w:type="spellEnd"/>
      <w:r w:rsidRPr="009F6D1E">
        <w:rPr>
          <w:rFonts w:cs="Times New Roman"/>
          <w:szCs w:val="24"/>
        </w:rPr>
        <w:t>) и групата на боровите листни оси (</w:t>
      </w:r>
      <w:proofErr w:type="spellStart"/>
      <w:r w:rsidRPr="009F6D1E">
        <w:rPr>
          <w:rFonts w:cs="Times New Roman"/>
          <w:szCs w:val="24"/>
        </w:rPr>
        <w:t>Diprionidae</w:t>
      </w:r>
      <w:proofErr w:type="spellEnd"/>
      <w:r w:rsidRPr="009F6D1E">
        <w:rPr>
          <w:rFonts w:cs="Times New Roman"/>
          <w:szCs w:val="24"/>
        </w:rPr>
        <w:t xml:space="preserve">). Широколистните видове, предимно дъб, страдат от нападения на </w:t>
      </w:r>
      <w:proofErr w:type="spellStart"/>
      <w:r w:rsidRPr="009F6D1E">
        <w:rPr>
          <w:rFonts w:cs="Times New Roman"/>
          <w:szCs w:val="24"/>
        </w:rPr>
        <w:t>Lymantria</w:t>
      </w:r>
      <w:proofErr w:type="spellEnd"/>
      <w:r w:rsidRPr="009F6D1E">
        <w:rPr>
          <w:rFonts w:cs="Times New Roman"/>
          <w:szCs w:val="24"/>
        </w:rPr>
        <w:t xml:space="preserve"> </w:t>
      </w:r>
      <w:proofErr w:type="spellStart"/>
      <w:r w:rsidRPr="009F6D1E">
        <w:rPr>
          <w:rFonts w:cs="Times New Roman"/>
          <w:szCs w:val="24"/>
        </w:rPr>
        <w:t>dispar</w:t>
      </w:r>
      <w:proofErr w:type="spellEnd"/>
      <w:r w:rsidRPr="009F6D1E">
        <w:rPr>
          <w:rFonts w:cs="Times New Roman"/>
          <w:szCs w:val="24"/>
        </w:rPr>
        <w:t xml:space="preserve"> L., причиняваща обезлистване, загуба на прираст и физиологичен стрес. Освен повредите, причинени от насекоми, иглолистните гори са уязвими и на разпространението на болестотворни гъби. </w:t>
      </w:r>
    </w:p>
    <w:p w14:paraId="04A0365E"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Важно последствие от продължителното засушаване и затопляне е увеличаването на риска от пожари. Статистическите данни за пожарите на ИАГ отчитат рязко увеличение на горските пожари след 1990 г. </w:t>
      </w:r>
    </w:p>
    <w:p w14:paraId="11525D10"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Други проблеми в горите са свързани с обилни мокри снеговалежи, които нанасят значителни поражения в горите, бури със силен вятър предизвикват ендемични и катастрофални ветровали, предимно в гори от обикновен смърч (</w:t>
      </w:r>
      <w:proofErr w:type="spellStart"/>
      <w:r w:rsidRPr="009F6D1E">
        <w:rPr>
          <w:rFonts w:cs="Times New Roman"/>
          <w:szCs w:val="24"/>
        </w:rPr>
        <w:t>Picea</w:t>
      </w:r>
      <w:proofErr w:type="spellEnd"/>
      <w:r w:rsidRPr="009F6D1E">
        <w:rPr>
          <w:rFonts w:cs="Times New Roman"/>
          <w:szCs w:val="24"/>
        </w:rPr>
        <w:t xml:space="preserve"> </w:t>
      </w:r>
      <w:proofErr w:type="spellStart"/>
      <w:r w:rsidRPr="009F6D1E">
        <w:rPr>
          <w:rFonts w:cs="Times New Roman"/>
          <w:szCs w:val="24"/>
        </w:rPr>
        <w:t>abies</w:t>
      </w:r>
      <w:proofErr w:type="spellEnd"/>
      <w:r w:rsidRPr="009F6D1E">
        <w:rPr>
          <w:rFonts w:cs="Times New Roman"/>
          <w:szCs w:val="24"/>
        </w:rPr>
        <w:t xml:space="preserve">), </w:t>
      </w:r>
      <w:proofErr w:type="spellStart"/>
      <w:r w:rsidRPr="009F6D1E">
        <w:rPr>
          <w:rFonts w:cs="Times New Roman"/>
          <w:szCs w:val="24"/>
        </w:rPr>
        <w:t>обледяването</w:t>
      </w:r>
      <w:proofErr w:type="spellEnd"/>
      <w:r w:rsidRPr="009F6D1E">
        <w:rPr>
          <w:rFonts w:cs="Times New Roman"/>
          <w:szCs w:val="24"/>
        </w:rPr>
        <w:t xml:space="preserve"> на дърветата е често природно явление в източната част на България и обикновено е свързано със </w:t>
      </w:r>
      <w:r w:rsidRPr="009F6D1E">
        <w:rPr>
          <w:rFonts w:cs="Times New Roman"/>
          <w:szCs w:val="24"/>
        </w:rPr>
        <w:lastRenderedPageBreak/>
        <w:t xml:space="preserve">зимните бури, преминаващи през  Черно море. Наводненията обикновено причиняват поражения в ниските части на България, но са пряко свързани със състоянието на горите поради голямото им значение за предпазване от ерозия и водния отток на стръмни склонове. Незаконният дърводобив причинява значително увреждане и унищожаване на </w:t>
      </w:r>
      <w:proofErr w:type="spellStart"/>
      <w:r w:rsidRPr="009F6D1E">
        <w:rPr>
          <w:rFonts w:cs="Times New Roman"/>
          <w:szCs w:val="24"/>
        </w:rPr>
        <w:t>на</w:t>
      </w:r>
      <w:proofErr w:type="spellEnd"/>
      <w:r w:rsidRPr="009F6D1E">
        <w:rPr>
          <w:rFonts w:cs="Times New Roman"/>
          <w:szCs w:val="24"/>
        </w:rPr>
        <w:t xml:space="preserve">  горите в България, с неблагоприятни последствия.</w:t>
      </w:r>
    </w:p>
    <w:p w14:paraId="1FC8E909" w14:textId="77777777" w:rsidR="00E16D4C" w:rsidRPr="009F6D1E" w:rsidRDefault="00E16D4C" w:rsidP="0084747F">
      <w:pPr>
        <w:spacing w:after="60" w:line="264" w:lineRule="auto"/>
        <w:ind w:firstLine="709"/>
        <w:contextualSpacing/>
        <w:jc w:val="both"/>
        <w:rPr>
          <w:rFonts w:cs="Times New Roman"/>
          <w:szCs w:val="24"/>
        </w:rPr>
      </w:pPr>
    </w:p>
    <w:p w14:paraId="79A0B6EA" w14:textId="77777777" w:rsidR="00E16D4C" w:rsidRPr="009F6D1E" w:rsidRDefault="007E215E" w:rsidP="00D02E9D">
      <w:pPr>
        <w:pStyle w:val="ListParagraph"/>
        <w:keepNext/>
        <w:keepLines/>
        <w:numPr>
          <w:ilvl w:val="1"/>
          <w:numId w:val="26"/>
        </w:numPr>
        <w:shd w:val="clear" w:color="auto" w:fill="E2EFD9" w:themeFill="accent6" w:themeFillTint="33"/>
        <w:spacing w:after="60" w:line="264" w:lineRule="auto"/>
        <w:jc w:val="both"/>
        <w:outlineLvl w:val="1"/>
        <w:rPr>
          <w:rFonts w:eastAsia="Times New Roman"/>
          <w:b/>
          <w:i/>
          <w:lang w:val="bg-BG"/>
        </w:rPr>
      </w:pPr>
      <w:bookmarkStart w:id="556" w:name="_Toc115255024"/>
      <w:r w:rsidRPr="009F6D1E">
        <w:rPr>
          <w:rFonts w:eastAsia="Times New Roman"/>
          <w:b/>
          <w:i/>
          <w:lang w:val="bg-BG"/>
        </w:rPr>
        <w:t>Биологично разнообразие</w:t>
      </w:r>
      <w:bookmarkEnd w:id="556"/>
    </w:p>
    <w:p w14:paraId="25961523"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09B5A95F"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Богатото биологично разнообразие на България е подложено на въздействието на широк спектър от заплахи в резултат на човешката дейност и на естествените процеси, протичащи в екосистемите. Заплахите, самостоятелно или в комбинация, засягат в различна степен различните </w:t>
      </w:r>
      <w:proofErr w:type="spellStart"/>
      <w:r w:rsidRPr="009F6D1E">
        <w:rPr>
          <w:rFonts w:cs="Times New Roman"/>
          <w:szCs w:val="24"/>
        </w:rPr>
        <w:t>организмови</w:t>
      </w:r>
      <w:proofErr w:type="spellEnd"/>
      <w:r w:rsidRPr="009F6D1E">
        <w:rPr>
          <w:rFonts w:cs="Times New Roman"/>
          <w:szCs w:val="24"/>
        </w:rPr>
        <w:t xml:space="preserve"> групи и местообитания в страната. Те могат да влияят пряко върху видовете, съобществата и природните местообитанията или ефектът от тях да се отразява косвено. </w:t>
      </w:r>
    </w:p>
    <w:p w14:paraId="192F6A32"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Страната попада в зоната на засушаване. Намалява общото количество на валежите и на речния отток с характерни минимуми през 4-5 години, особено ярко изразени в Черноморския район за басейново управление. Този факт се отразява неблагоприятно върху </w:t>
      </w:r>
      <w:proofErr w:type="spellStart"/>
      <w:r w:rsidRPr="009F6D1E">
        <w:rPr>
          <w:rFonts w:cs="Times New Roman"/>
          <w:szCs w:val="24"/>
        </w:rPr>
        <w:t>хигрофилните</w:t>
      </w:r>
      <w:proofErr w:type="spellEnd"/>
      <w:r w:rsidRPr="009F6D1E">
        <w:rPr>
          <w:rFonts w:cs="Times New Roman"/>
          <w:szCs w:val="24"/>
        </w:rPr>
        <w:t xml:space="preserve"> растения, водните и влаголюбиви животни и като цяло върху </w:t>
      </w:r>
      <w:proofErr w:type="spellStart"/>
      <w:r w:rsidRPr="009F6D1E">
        <w:rPr>
          <w:rFonts w:cs="Times New Roman"/>
          <w:szCs w:val="24"/>
        </w:rPr>
        <w:t>хабитатите</w:t>
      </w:r>
      <w:proofErr w:type="spellEnd"/>
      <w:r w:rsidRPr="009F6D1E">
        <w:rPr>
          <w:rFonts w:cs="Times New Roman"/>
          <w:szCs w:val="24"/>
        </w:rPr>
        <w:t xml:space="preserve"> край реки, езера, торфища, заблатени места и други влажни зони. По-нататъшното затопляне и засушаване на климата би оказало изключително неблагоприятно влияние върху видовото и </w:t>
      </w:r>
      <w:proofErr w:type="spellStart"/>
      <w:r w:rsidRPr="009F6D1E">
        <w:rPr>
          <w:rFonts w:cs="Times New Roman"/>
          <w:szCs w:val="24"/>
        </w:rPr>
        <w:t>хабитатно</w:t>
      </w:r>
      <w:proofErr w:type="spellEnd"/>
      <w:r w:rsidRPr="009F6D1E">
        <w:rPr>
          <w:rFonts w:cs="Times New Roman"/>
          <w:szCs w:val="24"/>
        </w:rPr>
        <w:t xml:space="preserve"> разнообразие в България.</w:t>
      </w:r>
    </w:p>
    <w:p w14:paraId="4B09BAFC"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Разрушаването на местообитанията е най-сериозната заплаха за биологичното разнообразие в страната. То засяга както водните така и сухоземните местообитания и е от дейности в различни сектори на икономиката. Сериозни щети върху местообитанията оказват строителството и инфраструктурните проекти. В сферата на селското стопанство заплаха водеща до промяна и загуба на местообитанията се явява както интензификацията, така и </w:t>
      </w:r>
      <w:proofErr w:type="spellStart"/>
      <w:r w:rsidRPr="009F6D1E">
        <w:rPr>
          <w:rFonts w:cs="Times New Roman"/>
          <w:szCs w:val="24"/>
        </w:rPr>
        <w:t>екстензификацията</w:t>
      </w:r>
      <w:proofErr w:type="spellEnd"/>
      <w:r w:rsidRPr="009F6D1E">
        <w:rPr>
          <w:rFonts w:cs="Times New Roman"/>
          <w:szCs w:val="24"/>
        </w:rPr>
        <w:t xml:space="preserve"> на селскостопанските дейности. В първия случай са засегнати предимно селскостопански земи в равнинните части на страната, които се разорават и превръщат в ниви, лозя, овощни градини и други обработваеми площи. В планинските и полупланинските райони се наблюдава обратният процес - намаляването или спирането на традиционните селскостопански дейности, свързани с животновъдството водят до загуба на местообитания и намаляване на биоразнообразието. </w:t>
      </w:r>
    </w:p>
    <w:p w14:paraId="4F571F93"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Налице е и значителна загуба на земеделски земи с висока природна стойност и традиционни ландшафти, в следствие на промяна в начина на трайно ползване на земята, разораване, залесяване, отводняване и др. Земеделските практики са заплаха за тях. Справянето с тези предизвикателства налага прилагането на устойчиви земеделски практики с цел намаляване на натиска върху екосистемите и присъщото им биологично разнообразие.</w:t>
      </w:r>
    </w:p>
    <w:p w14:paraId="5C6335EC"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Биологичното разнообразие в България е засегнато в различна степен от различни форми на замърсяване - замърсяване на почвите от селскостопанска и промишлена дейност; замърсяване на водите (пестициди и химическо замърсяване, индустриално замърсяване, </w:t>
      </w:r>
      <w:r w:rsidRPr="009F6D1E">
        <w:rPr>
          <w:rFonts w:cs="Times New Roman"/>
          <w:szCs w:val="24"/>
        </w:rPr>
        <w:lastRenderedPageBreak/>
        <w:t xml:space="preserve">петролни разливи и др.); замърсяване с твърди битови отпадъци. Установени са пунктове в земеделски райони с постоянно високо равнище на нитратите в подземните води. Отчитаните високи стойности на нитратите най-често се дължат на неприлагане на добри земеделски практики. Рискът от </w:t>
      </w:r>
      <w:proofErr w:type="spellStart"/>
      <w:r w:rsidRPr="009F6D1E">
        <w:rPr>
          <w:rFonts w:cs="Times New Roman"/>
          <w:szCs w:val="24"/>
        </w:rPr>
        <w:t>еутрофикация</w:t>
      </w:r>
      <w:proofErr w:type="spellEnd"/>
      <w:r w:rsidRPr="009F6D1E">
        <w:rPr>
          <w:rFonts w:cs="Times New Roman"/>
          <w:szCs w:val="24"/>
        </w:rPr>
        <w:t xml:space="preserve"> на отделни крайморски езера или участъци в крайбрежната зона за ползване не намалява в желаната степен. </w:t>
      </w:r>
    </w:p>
    <w:p w14:paraId="651891AC"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Прякото унищожаване на животни и растения в повечето случаи е резултат от пряката експлоатация на ресурси, като засяга в различна степен екосистеми, местообитания и </w:t>
      </w:r>
      <w:proofErr w:type="spellStart"/>
      <w:r w:rsidRPr="009F6D1E">
        <w:rPr>
          <w:rFonts w:cs="Times New Roman"/>
          <w:szCs w:val="24"/>
        </w:rPr>
        <w:t>таксони</w:t>
      </w:r>
      <w:proofErr w:type="spellEnd"/>
      <w:r w:rsidRPr="009F6D1E">
        <w:rPr>
          <w:rFonts w:cs="Times New Roman"/>
          <w:szCs w:val="24"/>
        </w:rPr>
        <w:t>. В тази категория влиза прекомерното или неправилно събиране на лечебни растения, растения за декоративни цели, ядливи гъби, охлюви, горски плодове, прекомерният улов на стопански ценни видове риба в Черно море е сериозна заплаха, водеща до намаляване на ресурсите основно от калкан, паламуд и др. До пряко унищожаване водят бракониерството и спортният лов, износът и търговия с редки видове. Пряко биват унищожавани диви животни и при някои строителни и селскостопански дейности (косене, жътва и др.) както и при инциденти по пътищата.</w:t>
      </w:r>
    </w:p>
    <w:p w14:paraId="7A9965BF"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В България по естествен път или в резултат на човешката дейност са разпространени и се разпространяват чужди видове, някои от които представляват заплаха за генетична чистота на местните популации или увреждат качествата на природните местообитания.</w:t>
      </w:r>
    </w:p>
    <w:p w14:paraId="69E150A9"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Алпийските и </w:t>
      </w:r>
      <w:proofErr w:type="spellStart"/>
      <w:r w:rsidRPr="009F6D1E">
        <w:rPr>
          <w:rFonts w:cs="Times New Roman"/>
          <w:szCs w:val="24"/>
        </w:rPr>
        <w:t>субалпийски</w:t>
      </w:r>
      <w:proofErr w:type="spellEnd"/>
      <w:r w:rsidRPr="009F6D1E">
        <w:rPr>
          <w:rFonts w:cs="Times New Roman"/>
          <w:szCs w:val="24"/>
        </w:rPr>
        <w:t xml:space="preserve"> пасища са с ниска производителност; и с ясни симптоми на прекомерна паша на практически всички места, подходящи за паша. Ефектът е значителен и застрашава популациите на някои чувствителни видове. Високата концентрация на животински единици на хектар води до видима промяна в растителността в резултат на пренасищане с говеда е придружена от утъпкване, обедняване и интензивно развитие на  </w:t>
      </w:r>
      <w:proofErr w:type="spellStart"/>
      <w:r w:rsidRPr="009F6D1E">
        <w:rPr>
          <w:rFonts w:cs="Times New Roman"/>
          <w:szCs w:val="24"/>
        </w:rPr>
        <w:t>Rumex</w:t>
      </w:r>
      <w:proofErr w:type="spellEnd"/>
      <w:r w:rsidRPr="009F6D1E">
        <w:rPr>
          <w:rFonts w:cs="Times New Roman"/>
          <w:szCs w:val="24"/>
        </w:rPr>
        <w:t xml:space="preserve"> </w:t>
      </w:r>
      <w:proofErr w:type="spellStart"/>
      <w:r w:rsidRPr="009F6D1E">
        <w:rPr>
          <w:rFonts w:cs="Times New Roman"/>
          <w:szCs w:val="24"/>
        </w:rPr>
        <w:t>alpinus</w:t>
      </w:r>
      <w:proofErr w:type="spellEnd"/>
      <w:r w:rsidRPr="009F6D1E">
        <w:rPr>
          <w:rFonts w:cs="Times New Roman"/>
          <w:szCs w:val="24"/>
        </w:rPr>
        <w:t xml:space="preserve">, </w:t>
      </w:r>
      <w:proofErr w:type="spellStart"/>
      <w:r w:rsidRPr="009F6D1E">
        <w:rPr>
          <w:rFonts w:cs="Times New Roman"/>
          <w:szCs w:val="24"/>
        </w:rPr>
        <w:t>Veratrum</w:t>
      </w:r>
      <w:proofErr w:type="spellEnd"/>
      <w:r w:rsidRPr="009F6D1E">
        <w:rPr>
          <w:rFonts w:cs="Times New Roman"/>
          <w:szCs w:val="24"/>
        </w:rPr>
        <w:t xml:space="preserve"> </w:t>
      </w:r>
      <w:proofErr w:type="spellStart"/>
      <w:r w:rsidRPr="009F6D1E">
        <w:rPr>
          <w:rFonts w:cs="Times New Roman"/>
          <w:szCs w:val="24"/>
        </w:rPr>
        <w:t>lobelianum</w:t>
      </w:r>
      <w:proofErr w:type="spellEnd"/>
      <w:r w:rsidRPr="009F6D1E">
        <w:rPr>
          <w:rFonts w:cs="Times New Roman"/>
          <w:szCs w:val="24"/>
        </w:rPr>
        <w:t xml:space="preserve"> и </w:t>
      </w:r>
      <w:proofErr w:type="spellStart"/>
      <w:r w:rsidRPr="009F6D1E">
        <w:rPr>
          <w:rFonts w:cs="Times New Roman"/>
          <w:szCs w:val="24"/>
        </w:rPr>
        <w:t>Vertascum</w:t>
      </w:r>
      <w:proofErr w:type="spellEnd"/>
      <w:r w:rsidRPr="009F6D1E">
        <w:rPr>
          <w:rFonts w:cs="Times New Roman"/>
          <w:szCs w:val="24"/>
        </w:rPr>
        <w:t xml:space="preserve"> </w:t>
      </w:r>
      <w:proofErr w:type="spellStart"/>
      <w:r w:rsidRPr="009F6D1E">
        <w:rPr>
          <w:rFonts w:cs="Times New Roman"/>
          <w:szCs w:val="24"/>
        </w:rPr>
        <w:t>longifolius</w:t>
      </w:r>
      <w:proofErr w:type="spellEnd"/>
      <w:r w:rsidRPr="009F6D1E">
        <w:rPr>
          <w:rFonts w:cs="Times New Roman"/>
          <w:szCs w:val="24"/>
        </w:rPr>
        <w:t xml:space="preserve">. Пашата около езерата, води до </w:t>
      </w:r>
      <w:proofErr w:type="spellStart"/>
      <w:r w:rsidRPr="009F6D1E">
        <w:rPr>
          <w:rFonts w:cs="Times New Roman"/>
          <w:szCs w:val="24"/>
        </w:rPr>
        <w:t>еутрофикация</w:t>
      </w:r>
      <w:proofErr w:type="spellEnd"/>
      <w:r w:rsidRPr="009F6D1E">
        <w:rPr>
          <w:rFonts w:cs="Times New Roman"/>
          <w:szCs w:val="24"/>
        </w:rPr>
        <w:t xml:space="preserve"> на водите, нашествие на плевели и/или вторична сукцесия, развитие на вторична дървесна и храстова растителност в пасищата.  Това налага прилагане на устойчиви земеделски практики, съобразени със спецификите на биоразнообразието и екосистемите в даден район. Част от проблемите произтичат от недостатъчна осведоменост на земеделските стопани относно природната стойност на земята и устойчивото </w:t>
      </w:r>
      <w:proofErr w:type="spellStart"/>
      <w:r w:rsidRPr="009F6D1E">
        <w:rPr>
          <w:rFonts w:cs="Times New Roman"/>
          <w:szCs w:val="24"/>
        </w:rPr>
        <w:t>земеползване</w:t>
      </w:r>
      <w:proofErr w:type="spellEnd"/>
      <w:r w:rsidRPr="009F6D1E">
        <w:rPr>
          <w:rFonts w:cs="Times New Roman"/>
          <w:szCs w:val="24"/>
        </w:rPr>
        <w:t xml:space="preserve"> и промените в климата, както и от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14:paraId="03E06267"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bookmarkStart w:id="557" w:name="_TOC_250034"/>
      <w:bookmarkEnd w:id="557"/>
    </w:p>
    <w:p w14:paraId="522BB853" w14:textId="77777777" w:rsidR="00E16D4C" w:rsidRPr="009F6D1E" w:rsidRDefault="00E16D4C"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color w:val="auto"/>
          <w:lang w:val="bg-BG"/>
        </w:rPr>
      </w:pPr>
      <w:bookmarkStart w:id="558" w:name="_TOC_250032"/>
      <w:bookmarkStart w:id="559" w:name="_Toc99437284"/>
      <w:bookmarkStart w:id="560" w:name="_Toc115255025"/>
      <w:r w:rsidRPr="009F6D1E">
        <w:rPr>
          <w:rFonts w:eastAsia="Times New Roman"/>
          <w:b/>
          <w:i/>
          <w:color w:val="auto"/>
          <w:lang w:val="bg-BG"/>
        </w:rPr>
        <w:t>НЕМ</w:t>
      </w:r>
      <w:bookmarkEnd w:id="558"/>
      <w:bookmarkEnd w:id="559"/>
      <w:bookmarkEnd w:id="560"/>
    </w:p>
    <w:p w14:paraId="724B16C0"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45B4B258"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В защитените територии, и в много по-голяма степен в защитените зони, много от природните местообитания и местообитанията на видовете представляват земеделски земи и земи от горския фонд. Дейностите в зоните се контролират основно от структурите на МОСВ и задължение на държавата е да поддържа особено целевите видове и местообитания в благоприятно природозащитно състояние. Понастоящем обаче, за повечето, особено в по- ниските части на страната, то не е такова поради редица осъществявани в миналото и понастоящем дейности в горския фонд и в земеделските земи.</w:t>
      </w:r>
    </w:p>
    <w:p w14:paraId="402AB7B4"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lastRenderedPageBreak/>
        <w:t xml:space="preserve">Основни проблеми, влошаващи като цяло състоянието на Националната екологична мрежа (защитени територии и зони) са пресушаване на влажни зони и водохващания, язовири, корекции на речни корита, премахване на крайречна растителност, разораване на ливади и пасища в обработваеми земи, изоставяне на ливади и пасища и обрастването им с храсти и дървета, опожаряване на пасища и стърнища, неустойчиво ползване и управление на горите, строителство на сгради, селища, курорти, спортни съоръжения и др., развитие на инфраструктурата, промяна на </w:t>
      </w:r>
      <w:proofErr w:type="spellStart"/>
      <w:r w:rsidRPr="009F6D1E">
        <w:rPr>
          <w:rFonts w:cs="Times New Roman"/>
          <w:szCs w:val="24"/>
        </w:rPr>
        <w:t>земеползването</w:t>
      </w:r>
      <w:proofErr w:type="spellEnd"/>
      <w:r w:rsidRPr="009F6D1E">
        <w:rPr>
          <w:rFonts w:cs="Times New Roman"/>
          <w:szCs w:val="24"/>
        </w:rPr>
        <w:t xml:space="preserve">, </w:t>
      </w:r>
      <w:proofErr w:type="spellStart"/>
      <w:r w:rsidRPr="009F6D1E">
        <w:rPr>
          <w:rFonts w:cs="Times New Roman"/>
          <w:szCs w:val="24"/>
        </w:rPr>
        <w:t>интезивно</w:t>
      </w:r>
      <w:proofErr w:type="spellEnd"/>
      <w:r w:rsidRPr="009F6D1E">
        <w:rPr>
          <w:rFonts w:cs="Times New Roman"/>
          <w:szCs w:val="24"/>
        </w:rPr>
        <w:t xml:space="preserve"> земеделие и употреба на торове и пестициди, свръхексплоатация на ресурсни видове животни и растения, включително и целеви защитените зони или обект на опазване в защитените територии.</w:t>
      </w:r>
    </w:p>
    <w:p w14:paraId="41D65725" w14:textId="77777777" w:rsidR="00E16D4C" w:rsidRPr="009F6D1E" w:rsidRDefault="00E16D4C"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Проблемите на защитените територии, свързани със земеделието и горското стопанство са следните:</w:t>
      </w:r>
    </w:p>
    <w:p w14:paraId="56DA0FB7" w14:textId="77777777" w:rsidR="00E16D4C" w:rsidRPr="009F6D1E" w:rsidRDefault="00E16D4C"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Разрушаване и влошаване на естествени местообитания около защитените територии;</w:t>
      </w:r>
    </w:p>
    <w:p w14:paraId="0699C131" w14:textId="77777777" w:rsidR="00E16D4C" w:rsidRPr="009F6D1E" w:rsidRDefault="00E16D4C"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Безпокойство в по-</w:t>
      </w:r>
      <w:proofErr w:type="spellStart"/>
      <w:r w:rsidRPr="009F6D1E">
        <w:rPr>
          <w:rFonts w:cs="Times New Roman"/>
          <w:szCs w:val="24"/>
          <w:lang w:bidi="bg-BG"/>
        </w:rPr>
        <w:t>интезивно</w:t>
      </w:r>
      <w:proofErr w:type="spellEnd"/>
      <w:r w:rsidRPr="009F6D1E">
        <w:rPr>
          <w:rFonts w:cs="Times New Roman"/>
          <w:szCs w:val="24"/>
          <w:lang w:bidi="bg-BG"/>
        </w:rPr>
        <w:t xml:space="preserve"> посещаваните защитени територии;</w:t>
      </w:r>
    </w:p>
    <w:p w14:paraId="539522E1" w14:textId="77777777" w:rsidR="00E16D4C" w:rsidRPr="009F6D1E" w:rsidRDefault="00E16D4C"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Нарушаване на ограничителните режими в рамките на територията;</w:t>
      </w:r>
    </w:p>
    <w:p w14:paraId="1B6806C7" w14:textId="77777777" w:rsidR="00E16D4C" w:rsidRPr="009F6D1E" w:rsidRDefault="00E16D4C" w:rsidP="0084747F">
      <w:pPr>
        <w:widowControl w:val="0"/>
        <w:numPr>
          <w:ilvl w:val="0"/>
          <w:numId w:val="5"/>
        </w:numPr>
        <w:tabs>
          <w:tab w:val="left" w:pos="720"/>
          <w:tab w:val="left" w:pos="1080"/>
        </w:tabs>
        <w:spacing w:after="60" w:line="264" w:lineRule="auto"/>
        <w:ind w:firstLine="720"/>
        <w:jc w:val="both"/>
        <w:rPr>
          <w:rFonts w:cs="Times New Roman"/>
          <w:szCs w:val="24"/>
          <w:lang w:bidi="bg-BG"/>
        </w:rPr>
      </w:pPr>
      <w:r w:rsidRPr="009F6D1E">
        <w:rPr>
          <w:rFonts w:cs="Times New Roman"/>
          <w:szCs w:val="24"/>
          <w:lang w:bidi="bg-BG"/>
        </w:rPr>
        <w:t>Неустойчиви практики и експлоатация на природни ресурси в и около защитените територии.</w:t>
      </w:r>
    </w:p>
    <w:p w14:paraId="00D8CF7F" w14:textId="77777777" w:rsidR="00B44E17" w:rsidRPr="009F6D1E" w:rsidRDefault="00B44E17" w:rsidP="0084747F">
      <w:pPr>
        <w:spacing w:after="60" w:line="264" w:lineRule="auto"/>
        <w:contextualSpacing/>
        <w:jc w:val="both"/>
        <w:rPr>
          <w:rFonts w:eastAsia="Calibri" w:cs="Times New Roman"/>
          <w:b/>
          <w:bCs/>
          <w:i/>
          <w:iCs/>
          <w:szCs w:val="24"/>
        </w:rPr>
      </w:pPr>
    </w:p>
    <w:p w14:paraId="189CEE64"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61" w:name="_Toc115255026"/>
      <w:r w:rsidRPr="009F6D1E">
        <w:rPr>
          <w:rFonts w:eastAsia="Times New Roman"/>
          <w:b/>
          <w:i/>
          <w:lang w:val="bg-BG"/>
        </w:rPr>
        <w:t>Културно-историческо наследство</w:t>
      </w:r>
      <w:bookmarkEnd w:id="561"/>
    </w:p>
    <w:p w14:paraId="57722F18"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52859CF9" w14:textId="35A5A733"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В страните на Европейския съюз в областта на културното и природно наследство стои концепцията за интегрирането му в съответната национална система за </w:t>
      </w:r>
      <w:proofErr w:type="spellStart"/>
      <w:r w:rsidRPr="009F6D1E">
        <w:rPr>
          <w:rFonts w:cs="Times New Roman"/>
          <w:szCs w:val="24"/>
        </w:rPr>
        <w:t>пр</w:t>
      </w:r>
      <w:r w:rsidR="007D1377">
        <w:rPr>
          <w:rFonts w:cs="Times New Roman"/>
          <w:szCs w:val="24"/>
        </w:rPr>
        <w:t>осп</w:t>
      </w:r>
      <w:r w:rsidRPr="009F6D1E">
        <w:rPr>
          <w:rFonts w:cs="Times New Roman"/>
          <w:szCs w:val="24"/>
        </w:rPr>
        <w:t>ективно</w:t>
      </w:r>
      <w:proofErr w:type="spellEnd"/>
      <w:r w:rsidRPr="009F6D1E">
        <w:rPr>
          <w:rFonts w:cs="Times New Roman"/>
          <w:szCs w:val="24"/>
        </w:rPr>
        <w:t xml:space="preserve"> развитие, а дейността в тази област се разглежда като неотменим структуроопределящ елемент от плановете и програмите за екологична промяна на средата. А това означава, че културното и природно наследство се явяват гарант за стабилността и устойчивото развитие на всяко общество и държава.</w:t>
      </w:r>
    </w:p>
    <w:p w14:paraId="6AE3D82B" w14:textId="77777777"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Организацията, управлението и защитата на българското културно-историческо наследство са национален приоритет, определен от чл. 23 на Конституцията на Република България. Основна причина за процесите с негативен нюанс в системата на културно-историческото наследство на нашата страна е липсата на ефективни механизми за целенасочено развитие на дейността в областта на защитата на културно-историческото наследство.</w:t>
      </w:r>
    </w:p>
    <w:p w14:paraId="41E8D00C" w14:textId="77777777"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Въпреки всички ограничителните режими за намеси в границите на недвижимите културни ценности, ставаме свидетели на нерегламентирани дейности в защитени територии, което довежда до обезличаване на териториите с концентрация на КИН. Също така безогледното прилагане на дълбока оран довежда да безвъзвратно унищожаване на археологически структури. Нещо повече, такива дейности съзнателно се извършват в територии на археологически обекти с цел да се открият и заграбят артефакти. Липсата на ресурси не позволява на общинската администрация да предприеме мерки за физическото </w:t>
      </w:r>
      <w:r w:rsidRPr="009F6D1E">
        <w:rPr>
          <w:rFonts w:cs="Times New Roman"/>
          <w:szCs w:val="24"/>
        </w:rPr>
        <w:lastRenderedPageBreak/>
        <w:t>съхраняване на архитектурно-строителните, археологическите, историческите и художествените недвижими културни ценности.</w:t>
      </w:r>
    </w:p>
    <w:p w14:paraId="1B8241E4" w14:textId="77777777" w:rsidR="00D015B2" w:rsidRPr="009F6D1E" w:rsidRDefault="00D015B2" w:rsidP="0084747F">
      <w:pPr>
        <w:widowControl w:val="0"/>
        <w:tabs>
          <w:tab w:val="left" w:pos="993"/>
        </w:tabs>
        <w:autoSpaceDE w:val="0"/>
        <w:autoSpaceDN w:val="0"/>
        <w:adjustRightInd w:val="0"/>
        <w:spacing w:after="60" w:line="264" w:lineRule="auto"/>
        <w:ind w:firstLine="720"/>
        <w:jc w:val="both"/>
        <w:rPr>
          <w:rFonts w:cs="Times New Roman"/>
          <w:szCs w:val="24"/>
        </w:rPr>
      </w:pPr>
    </w:p>
    <w:p w14:paraId="6F268006"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62" w:name="_Toc115255027"/>
      <w:r w:rsidRPr="009F6D1E">
        <w:rPr>
          <w:rFonts w:eastAsia="Times New Roman"/>
          <w:b/>
          <w:i/>
          <w:lang w:val="bg-BG"/>
        </w:rPr>
        <w:t>Материални активи</w:t>
      </w:r>
      <w:bookmarkEnd w:id="562"/>
    </w:p>
    <w:p w14:paraId="330A48DD"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2C9A024E" w14:textId="0B469EAB" w:rsidR="002831ED" w:rsidRPr="009F6D1E" w:rsidRDefault="00F62526" w:rsidP="0084747F">
      <w:pPr>
        <w:widowControl w:val="0"/>
        <w:tabs>
          <w:tab w:val="left" w:pos="993"/>
        </w:tabs>
        <w:autoSpaceDE w:val="0"/>
        <w:autoSpaceDN w:val="0"/>
        <w:adjustRightInd w:val="0"/>
        <w:spacing w:after="60" w:line="264" w:lineRule="auto"/>
        <w:ind w:firstLine="720"/>
        <w:jc w:val="both"/>
        <w:rPr>
          <w:rFonts w:cs="Times New Roman"/>
          <w:szCs w:val="24"/>
        </w:rPr>
      </w:pPr>
      <w:r>
        <w:rPr>
          <w:rFonts w:cs="Times New Roman"/>
          <w:szCs w:val="24"/>
        </w:rPr>
        <w:t>Основните проблеми пред материалните активи, имащи отношение и към Стратегическия план, обект на оценката, са сведени до това, че о</w:t>
      </w:r>
      <w:r w:rsidR="002831ED" w:rsidRPr="009F6D1E">
        <w:rPr>
          <w:rFonts w:cs="Times New Roman"/>
          <w:szCs w:val="24"/>
        </w:rPr>
        <w:t xml:space="preserve">бществената и културната инфраструктура се нуждаят от основни ремонти (в т.ч. възстановяване на пътната инфраструктура и системи за предотвратяване на бедствия). Културната инфраструктура се сблъсква с липса на средства за поддръжка и развитие. Същото важи и за дълготрайните материални активи с екологично предназначение, като съоръжения и оборудване, необходими за опазване и възстановяване на околната среда и оборудване за наблюдение и контрол. </w:t>
      </w:r>
    </w:p>
    <w:p w14:paraId="2B5730C5" w14:textId="33B8FF15" w:rsidR="002831ED"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Материалните активи, имащи пряко отношение към околната среда, като ВиК инфраструктурата и пречиствателни станции за води, депа за отпадъци и др. се нуждаят от реконструкция и модернизация. </w:t>
      </w:r>
      <w:bookmarkStart w:id="563" w:name="_Toc456859589"/>
      <w:bookmarkEnd w:id="563"/>
    </w:p>
    <w:p w14:paraId="6D155A1E" w14:textId="4E02DEF1" w:rsidR="005E23D1" w:rsidRPr="009F6D1E" w:rsidRDefault="005E23D1" w:rsidP="005E23D1">
      <w:pPr>
        <w:widowControl w:val="0"/>
        <w:tabs>
          <w:tab w:val="left" w:pos="993"/>
        </w:tabs>
        <w:autoSpaceDE w:val="0"/>
        <w:autoSpaceDN w:val="0"/>
        <w:adjustRightInd w:val="0"/>
        <w:spacing w:after="60" w:line="264" w:lineRule="auto"/>
        <w:ind w:firstLine="720"/>
        <w:jc w:val="both"/>
        <w:rPr>
          <w:rFonts w:cs="Times New Roman"/>
          <w:szCs w:val="24"/>
        </w:rPr>
      </w:pPr>
      <w:r>
        <w:rPr>
          <w:rFonts w:cs="Times New Roman"/>
          <w:szCs w:val="24"/>
        </w:rPr>
        <w:t>Реализирането на потребностите от Специфична цел №8 ще допринесат за подобряване на обществената и културна инфраструктура и ще подпомогнат неутрализирането на идентифицирани проблеми в някои от селските райони. От друга страна материалната база в засегнатите райони ще се подобри и от прилагане на интервенциите, свързани с модернизация на съществуващи и развитие на иновативни нови производства.</w:t>
      </w:r>
    </w:p>
    <w:p w14:paraId="4AF6C584" w14:textId="77777777" w:rsidR="00B44E17" w:rsidRPr="009F6D1E" w:rsidRDefault="00B44E17" w:rsidP="0084747F">
      <w:pPr>
        <w:spacing w:after="60" w:line="264" w:lineRule="auto"/>
        <w:contextualSpacing/>
        <w:jc w:val="both"/>
        <w:rPr>
          <w:rFonts w:eastAsia="Calibri" w:cs="Times New Roman"/>
          <w:b/>
          <w:bCs/>
          <w:i/>
          <w:iCs/>
          <w:szCs w:val="24"/>
        </w:rPr>
      </w:pPr>
    </w:p>
    <w:p w14:paraId="78042B85"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64" w:name="_Toc115255028"/>
      <w:r w:rsidRPr="009F6D1E">
        <w:rPr>
          <w:rFonts w:eastAsia="Times New Roman"/>
          <w:b/>
          <w:i/>
          <w:lang w:val="bg-BG"/>
        </w:rPr>
        <w:t>Население и Човешко здраве</w:t>
      </w:r>
      <w:bookmarkEnd w:id="564"/>
    </w:p>
    <w:p w14:paraId="530693F6"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3E672DF1" w14:textId="72404330"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Основните проблеми на демографското развитие в страната</w:t>
      </w:r>
      <w:r w:rsidR="005E23D1">
        <w:rPr>
          <w:rFonts w:cs="Times New Roman"/>
          <w:szCs w:val="24"/>
        </w:rPr>
        <w:t xml:space="preserve"> като цяло, в т. ч. и в районите, които се очаква да бъдат засегнати от реализирането на Плана,</w:t>
      </w:r>
      <w:r w:rsidRPr="009F6D1E">
        <w:rPr>
          <w:rFonts w:cs="Times New Roman"/>
          <w:szCs w:val="24"/>
        </w:rPr>
        <w:t xml:space="preserve"> са свързани с  ниската раждаемост и високият процент на смъртност, което определя негативния прираст в последните години, в комбинация с продължаващата емиграция на хора в активна възраст (18-50 г.)</w:t>
      </w:r>
    </w:p>
    <w:p w14:paraId="175A4DC5" w14:textId="77777777" w:rsidR="002831ED" w:rsidRPr="009F6D1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Наблюдава се увеличаване на броя на лечебните заведения в определени райони на страната, като за сравнение в други здравната мрежа и легловия фонд са значително по-слабо развити и дори се отличават с недостиг спрямо официално регистрираното с постоянно местожителство в тези райони население. Същото важи и по отношение медицинския персонал.</w:t>
      </w:r>
    </w:p>
    <w:p w14:paraId="7E664286" w14:textId="265E7B9B" w:rsidR="002831ED"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 xml:space="preserve">В част от болничните заведения в страната наличната апаратура е морално остаряла, което в едно с недостига на медицински персонал поставя под здравен риск населението в тези райони. </w:t>
      </w:r>
    </w:p>
    <w:p w14:paraId="11B8A3D5" w14:textId="5CFF048C" w:rsidR="005E23D1" w:rsidRPr="009F6D1E" w:rsidRDefault="005E23D1" w:rsidP="0084747F">
      <w:pPr>
        <w:widowControl w:val="0"/>
        <w:tabs>
          <w:tab w:val="left" w:pos="993"/>
        </w:tabs>
        <w:autoSpaceDE w:val="0"/>
        <w:autoSpaceDN w:val="0"/>
        <w:adjustRightInd w:val="0"/>
        <w:spacing w:after="60" w:line="264" w:lineRule="auto"/>
        <w:ind w:firstLine="720"/>
        <w:jc w:val="both"/>
        <w:rPr>
          <w:rFonts w:cs="Times New Roman"/>
          <w:szCs w:val="24"/>
        </w:rPr>
      </w:pPr>
      <w:r>
        <w:rPr>
          <w:rFonts w:cs="Times New Roman"/>
          <w:szCs w:val="24"/>
        </w:rPr>
        <w:t xml:space="preserve">Стратегическият план за развитие на земеделието и селските райони си поставя цели и потребности, постигането на които чрез съответните интервенции, ще допринесе до подобряване на </w:t>
      </w:r>
      <w:r w:rsidR="00B4713E">
        <w:rPr>
          <w:rFonts w:cs="Times New Roman"/>
          <w:szCs w:val="24"/>
        </w:rPr>
        <w:t xml:space="preserve">здравно-хигиенните условия на средата и ще подпомогне за решаването на </w:t>
      </w:r>
      <w:r w:rsidR="00B4713E">
        <w:rPr>
          <w:rFonts w:cs="Times New Roman"/>
          <w:szCs w:val="24"/>
        </w:rPr>
        <w:lastRenderedPageBreak/>
        <w:t>идентифицираните по-горе проблеми, характеризиращи се като такива на национално ниво – специфична цел №8 предвижда подобряване на здравните и социални услуги, а самият План като цяло ще допринесе до положително въздействие върху социално-икономическите фактори в селските райони, което ще има пряко положително въздействие върху населението и човешкото здраве.</w:t>
      </w:r>
    </w:p>
    <w:p w14:paraId="34130538" w14:textId="77777777" w:rsidR="00B44E17" w:rsidRPr="009F6D1E" w:rsidRDefault="00B44E17" w:rsidP="0084747F">
      <w:pPr>
        <w:spacing w:after="60" w:line="264" w:lineRule="auto"/>
        <w:contextualSpacing/>
        <w:jc w:val="both"/>
        <w:rPr>
          <w:rFonts w:eastAsia="Calibri" w:cs="Times New Roman"/>
          <w:b/>
          <w:bCs/>
          <w:i/>
          <w:iCs/>
          <w:szCs w:val="24"/>
        </w:rPr>
      </w:pPr>
    </w:p>
    <w:p w14:paraId="58BBF69B"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65" w:name="_Toc115255029"/>
      <w:r w:rsidRPr="009F6D1E">
        <w:rPr>
          <w:rFonts w:eastAsia="Times New Roman"/>
          <w:b/>
          <w:i/>
          <w:lang w:val="bg-BG"/>
        </w:rPr>
        <w:t>Социални аспекти</w:t>
      </w:r>
      <w:bookmarkEnd w:id="565"/>
    </w:p>
    <w:p w14:paraId="3DF07A2A" w14:textId="77777777" w:rsidR="00CD6D4E" w:rsidRPr="009F6D1E" w:rsidRDefault="00CD6D4E" w:rsidP="0084747F">
      <w:pPr>
        <w:widowControl w:val="0"/>
        <w:tabs>
          <w:tab w:val="left" w:pos="993"/>
        </w:tabs>
        <w:autoSpaceDE w:val="0"/>
        <w:autoSpaceDN w:val="0"/>
        <w:adjustRightInd w:val="0"/>
        <w:spacing w:after="60" w:line="264" w:lineRule="auto"/>
        <w:ind w:firstLine="720"/>
        <w:jc w:val="both"/>
        <w:rPr>
          <w:rFonts w:cs="Times New Roman"/>
          <w:szCs w:val="24"/>
        </w:rPr>
      </w:pPr>
    </w:p>
    <w:p w14:paraId="545FE4A6" w14:textId="77777777" w:rsidR="00B4713E" w:rsidRDefault="002831ED" w:rsidP="0084747F">
      <w:pPr>
        <w:widowControl w:val="0"/>
        <w:tabs>
          <w:tab w:val="left" w:pos="993"/>
        </w:tabs>
        <w:autoSpaceDE w:val="0"/>
        <w:autoSpaceDN w:val="0"/>
        <w:adjustRightInd w:val="0"/>
        <w:spacing w:after="60" w:line="264" w:lineRule="auto"/>
        <w:ind w:firstLine="720"/>
        <w:jc w:val="both"/>
        <w:rPr>
          <w:rFonts w:cs="Times New Roman"/>
          <w:szCs w:val="24"/>
        </w:rPr>
      </w:pPr>
      <w:r w:rsidRPr="009F6D1E">
        <w:rPr>
          <w:rFonts w:cs="Times New Roman"/>
          <w:szCs w:val="24"/>
        </w:rPr>
        <w:t>Що се касае до социалните аспекти</w:t>
      </w:r>
      <w:r w:rsidR="00B4713E">
        <w:rPr>
          <w:rFonts w:cs="Times New Roman"/>
          <w:szCs w:val="24"/>
        </w:rPr>
        <w:t>, основният проблем, в пряка връзка с настоящия План, е</w:t>
      </w:r>
      <w:r w:rsidRPr="009F6D1E">
        <w:rPr>
          <w:rFonts w:cs="Times New Roman"/>
          <w:szCs w:val="24"/>
        </w:rPr>
        <w:t xml:space="preserve"> наблюдава</w:t>
      </w:r>
      <w:r w:rsidR="00B4713E">
        <w:rPr>
          <w:rFonts w:cs="Times New Roman"/>
          <w:szCs w:val="24"/>
        </w:rPr>
        <w:t>нето на</w:t>
      </w:r>
      <w:r w:rsidRPr="009F6D1E">
        <w:rPr>
          <w:rFonts w:cs="Times New Roman"/>
          <w:szCs w:val="24"/>
        </w:rPr>
        <w:t xml:space="preserve"> значителни различия в социално-икономическите условия на живот в големите градове и малките населени места. Това е в резултат, както на по-слабо развитата инфраструктура и икономика в тези райони, така и на демографските проблеми.</w:t>
      </w:r>
    </w:p>
    <w:p w14:paraId="4D8B7FA3" w14:textId="598E7F49" w:rsidR="002831ED" w:rsidRPr="009F6D1E" w:rsidRDefault="00B4713E" w:rsidP="0084747F">
      <w:pPr>
        <w:widowControl w:val="0"/>
        <w:tabs>
          <w:tab w:val="left" w:pos="993"/>
        </w:tabs>
        <w:autoSpaceDE w:val="0"/>
        <w:autoSpaceDN w:val="0"/>
        <w:adjustRightInd w:val="0"/>
        <w:spacing w:after="60" w:line="264" w:lineRule="auto"/>
        <w:ind w:firstLine="720"/>
        <w:jc w:val="both"/>
        <w:rPr>
          <w:rFonts w:cs="Times New Roman"/>
          <w:szCs w:val="24"/>
        </w:rPr>
      </w:pPr>
      <w:r>
        <w:rPr>
          <w:rFonts w:cs="Times New Roman"/>
          <w:szCs w:val="24"/>
        </w:rPr>
        <w:t xml:space="preserve">Реализирането на СПРЗСР, както бе посочено и по-горе, ще допринесе за развитието на социално-икономическите аспекти на средата, като ще подобри условията на живот на хората, основно чрез възможността за откриване на нови работни места, в резултат от развитието на нови производства, постигнато и индиректно чрез модернизация на съществуващата и изграждането на нова инфраструктура, което ще увеличи </w:t>
      </w:r>
      <w:r w:rsidR="004743DA">
        <w:rPr>
          <w:rFonts w:cs="Times New Roman"/>
          <w:szCs w:val="24"/>
        </w:rPr>
        <w:t>инвестициите в засегнатите райони.</w:t>
      </w:r>
      <w:r w:rsidR="002831ED" w:rsidRPr="009F6D1E">
        <w:rPr>
          <w:rFonts w:cs="Times New Roman"/>
          <w:szCs w:val="24"/>
        </w:rPr>
        <w:t xml:space="preserve"> </w:t>
      </w:r>
    </w:p>
    <w:p w14:paraId="7BAC7D02" w14:textId="77777777" w:rsidR="0098203F" w:rsidRPr="009F6D1E" w:rsidRDefault="0098203F" w:rsidP="0084747F">
      <w:pPr>
        <w:spacing w:after="60" w:line="264" w:lineRule="auto"/>
        <w:contextualSpacing/>
        <w:jc w:val="both"/>
        <w:rPr>
          <w:rFonts w:eastAsia="Calibri" w:cs="Times New Roman"/>
          <w:b/>
          <w:bCs/>
          <w:i/>
          <w:iCs/>
          <w:szCs w:val="24"/>
        </w:rPr>
      </w:pPr>
    </w:p>
    <w:p w14:paraId="2344AC0A" w14:textId="77777777" w:rsidR="00471E9F" w:rsidRPr="009F6D1E" w:rsidRDefault="00471E9F" w:rsidP="00D02E9D">
      <w:pPr>
        <w:pStyle w:val="Heading1"/>
        <w:numPr>
          <w:ilvl w:val="0"/>
          <w:numId w:val="26"/>
        </w:numPr>
        <w:shd w:val="clear" w:color="auto" w:fill="DBDBDB" w:themeFill="accent3" w:themeFillTint="66"/>
        <w:tabs>
          <w:tab w:val="clear" w:pos="742"/>
        </w:tabs>
        <w:spacing w:before="0" w:after="60" w:line="264" w:lineRule="auto"/>
        <w:ind w:left="0" w:firstLine="0"/>
        <w:rPr>
          <w:sz w:val="24"/>
          <w:szCs w:val="24"/>
        </w:rPr>
      </w:pPr>
      <w:bookmarkStart w:id="566" w:name="_Toc115255030"/>
      <w:r w:rsidRPr="009F6D1E">
        <w:rPr>
          <w:sz w:val="24"/>
          <w:szCs w:val="24"/>
        </w:rPr>
        <w:t xml:space="preserve">ЦЕЛИ НА ОПАЗВАНЕ НА ОКОЛНАТА СРЕДА НА НАЦИОНАЛНО И МЕЖДУНАРОДНО РАВНИЩЕ, ИМАЩИ ОТНОШЕНИЕ КЪМ </w:t>
      </w:r>
      <w:r w:rsidR="00CD4045" w:rsidRPr="009F6D1E">
        <w:rPr>
          <w:sz w:val="24"/>
          <w:szCs w:val="24"/>
        </w:rPr>
        <w:t>СПРЗСР</w:t>
      </w:r>
      <w:r w:rsidRPr="009F6D1E">
        <w:rPr>
          <w:sz w:val="24"/>
          <w:szCs w:val="24"/>
        </w:rPr>
        <w:t xml:space="preserve"> И НАЧИН, ПО КОЙТО ТЕЗИ ЦЕЛИ И ВСИЧКИ ЕКОЛОГИЧНИ СЪОБРАЖЕНИЯ СА ВЗЕТИ ПОД ВНИМАНИЕ ПРИ ИЗГОТВЯНЕТО НА ПРОГРАМАТА И СТРАТЕГИЯТА</w:t>
      </w:r>
      <w:bookmarkEnd w:id="566"/>
    </w:p>
    <w:p w14:paraId="1C88CE48" w14:textId="77777777" w:rsidR="00CD6D4E" w:rsidRPr="009F6D1E" w:rsidRDefault="00CD6D4E" w:rsidP="0084747F">
      <w:pPr>
        <w:spacing w:after="60" w:line="264" w:lineRule="auto"/>
        <w:ind w:firstLine="708"/>
        <w:contextualSpacing/>
        <w:jc w:val="both"/>
        <w:rPr>
          <w:rFonts w:eastAsia="Calibri" w:cs="Times New Roman"/>
          <w:szCs w:val="24"/>
        </w:rPr>
      </w:pPr>
    </w:p>
    <w:p w14:paraId="475E610B" w14:textId="77777777" w:rsidR="008C436C" w:rsidRPr="009F6D1E" w:rsidRDefault="00473948" w:rsidP="0084747F">
      <w:pPr>
        <w:spacing w:after="60" w:line="264" w:lineRule="auto"/>
        <w:ind w:firstLine="708"/>
        <w:contextualSpacing/>
        <w:jc w:val="both"/>
        <w:rPr>
          <w:rFonts w:eastAsia="Calibri" w:cs="Times New Roman"/>
          <w:szCs w:val="24"/>
        </w:rPr>
        <w:sectPr w:rsidR="008C436C" w:rsidRPr="009F6D1E" w:rsidSect="005B1C6B">
          <w:pgSz w:w="11907" w:h="16840" w:code="9"/>
          <w:pgMar w:top="1418" w:right="851" w:bottom="1134" w:left="1418" w:header="709" w:footer="709" w:gutter="0"/>
          <w:cols w:space="720"/>
          <w:docGrid w:linePitch="360"/>
        </w:sectPr>
      </w:pPr>
      <w:r w:rsidRPr="009F6D1E">
        <w:rPr>
          <w:rFonts w:eastAsia="Calibri" w:cs="Times New Roman"/>
          <w:szCs w:val="24"/>
        </w:rPr>
        <w:t xml:space="preserve">В следващите таблици е направен анализ на </w:t>
      </w:r>
      <w:proofErr w:type="spellStart"/>
      <w:r w:rsidRPr="009F6D1E">
        <w:rPr>
          <w:rFonts w:eastAsia="Calibri" w:cs="Times New Roman"/>
          <w:szCs w:val="24"/>
        </w:rPr>
        <w:t>относимостта</w:t>
      </w:r>
      <w:proofErr w:type="spellEnd"/>
      <w:r w:rsidRPr="009F6D1E">
        <w:rPr>
          <w:rFonts w:eastAsia="Calibri" w:cs="Times New Roman"/>
          <w:szCs w:val="24"/>
        </w:rPr>
        <w:t xml:space="preserve"> на целите на опазване на околната среда на международно и национално ниво, включени в част от стратегиите, плановете и програмите от описаните в т.1.</w:t>
      </w:r>
      <w:r w:rsidR="000358D2" w:rsidRPr="009F6D1E">
        <w:rPr>
          <w:rFonts w:eastAsia="Calibri" w:cs="Times New Roman"/>
          <w:szCs w:val="24"/>
        </w:rPr>
        <w:t>4</w:t>
      </w:r>
      <w:r w:rsidRPr="009F6D1E">
        <w:rPr>
          <w:rFonts w:eastAsia="Calibri" w:cs="Times New Roman"/>
          <w:szCs w:val="24"/>
        </w:rPr>
        <w:t xml:space="preserve"> на ДЕО</w:t>
      </w:r>
      <w:r w:rsidR="0098203F" w:rsidRPr="009F6D1E">
        <w:rPr>
          <w:rFonts w:eastAsia="Calibri" w:cs="Times New Roman"/>
          <w:szCs w:val="24"/>
        </w:rPr>
        <w:t xml:space="preserve"> и имащи отношение към Стратегическия план по </w:t>
      </w:r>
      <w:r w:rsidR="00D809BC" w:rsidRPr="009F6D1E">
        <w:rPr>
          <w:rFonts w:eastAsia="Calibri" w:cs="Times New Roman"/>
          <w:szCs w:val="24"/>
        </w:rPr>
        <w:t>РЗСР</w:t>
      </w:r>
      <w:r w:rsidR="0098203F" w:rsidRPr="009F6D1E">
        <w:rPr>
          <w:rFonts w:eastAsia="Calibri" w:cs="Times New Roman"/>
          <w:szCs w:val="24"/>
        </w:rPr>
        <w:t xml:space="preserve"> 2023-2027 г</w:t>
      </w:r>
      <w:r w:rsidRPr="009F6D1E">
        <w:rPr>
          <w:rFonts w:eastAsia="Calibri" w:cs="Times New Roman"/>
          <w:szCs w:val="24"/>
        </w:rPr>
        <w:t>:</w:t>
      </w:r>
    </w:p>
    <w:p w14:paraId="0ABDC861" w14:textId="77777777" w:rsidR="00471E9F"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67" w:name="_Toc115255031"/>
      <w:r w:rsidRPr="009F6D1E">
        <w:rPr>
          <w:rFonts w:eastAsia="Times New Roman"/>
          <w:b/>
          <w:i/>
          <w:lang w:val="bg-BG"/>
        </w:rPr>
        <w:lastRenderedPageBreak/>
        <w:t>Цели на опазване на околната среда на европейско равнище</w:t>
      </w:r>
      <w:bookmarkEnd w:id="567"/>
    </w:p>
    <w:p w14:paraId="2DBCDB80" w14:textId="77777777" w:rsidR="00CD6D4E" w:rsidRPr="009F6D1E" w:rsidRDefault="00CD6D4E" w:rsidP="0084747F">
      <w:pPr>
        <w:pStyle w:val="Caption"/>
        <w:spacing w:after="60" w:line="264" w:lineRule="auto"/>
      </w:pPr>
    </w:p>
    <w:p w14:paraId="413D820F" w14:textId="0807ED46" w:rsidR="0078017C" w:rsidRPr="009F6D1E" w:rsidRDefault="002E6770" w:rsidP="0084747F">
      <w:pPr>
        <w:pStyle w:val="Caption"/>
        <w:spacing w:after="60" w:line="264" w:lineRule="auto"/>
      </w:pPr>
      <w:bookmarkStart w:id="568" w:name="_Toc115255189"/>
      <w:r w:rsidRPr="009F6D1E">
        <w:t xml:space="preserve">Таблица </w:t>
      </w:r>
      <w:fldSimple w:instr=" SEQ Таблица \* ARABIC ">
        <w:r w:rsidR="00A43EF3">
          <w:rPr>
            <w:noProof/>
          </w:rPr>
          <w:t>38</w:t>
        </w:r>
      </w:fldSimple>
      <w:r w:rsidRPr="009F6D1E">
        <w:t xml:space="preserve">: </w:t>
      </w:r>
      <w:proofErr w:type="spellStart"/>
      <w:r w:rsidRPr="009F6D1E">
        <w:t>О</w:t>
      </w:r>
      <w:r w:rsidR="0078017C" w:rsidRPr="009F6D1E">
        <w:t>тносимост</w:t>
      </w:r>
      <w:proofErr w:type="spellEnd"/>
      <w:r w:rsidR="0078017C" w:rsidRPr="009F6D1E">
        <w:t xml:space="preserve"> и степен на съобразяване на целите по опазване на околната среда на международно ниво</w:t>
      </w:r>
      <w:bookmarkEnd w:id="568"/>
    </w:p>
    <w:tbl>
      <w:tblPr>
        <w:tblStyle w:val="TableGrid"/>
        <w:tblW w:w="0" w:type="auto"/>
        <w:tblLook w:val="04A0" w:firstRow="1" w:lastRow="0" w:firstColumn="1" w:lastColumn="0" w:noHBand="0" w:noVBand="1"/>
      </w:tblPr>
      <w:tblGrid>
        <w:gridCol w:w="7139"/>
        <w:gridCol w:w="7139"/>
      </w:tblGrid>
      <w:tr w:rsidR="0078017C" w:rsidRPr="009F6D1E" w14:paraId="62A92EC9" w14:textId="77777777" w:rsidTr="002E6770">
        <w:trPr>
          <w:tblHeader/>
        </w:trPr>
        <w:tc>
          <w:tcPr>
            <w:tcW w:w="7139" w:type="dxa"/>
            <w:shd w:val="clear" w:color="auto" w:fill="D9D9D9" w:themeFill="background1" w:themeFillShade="D9"/>
            <w:vAlign w:val="center"/>
          </w:tcPr>
          <w:p w14:paraId="6FB35B01" w14:textId="77777777" w:rsidR="0078017C" w:rsidRPr="009F6D1E" w:rsidRDefault="0078017C" w:rsidP="0084747F">
            <w:pPr>
              <w:widowControl w:val="0"/>
              <w:spacing w:after="60" w:line="264" w:lineRule="auto"/>
              <w:contextualSpacing/>
              <w:jc w:val="center"/>
              <w:rPr>
                <w:rFonts w:eastAsia="Calibri" w:cs="Times New Roman"/>
                <w:b/>
                <w:bCs/>
              </w:rPr>
            </w:pPr>
            <w:bookmarkStart w:id="569" w:name="_Hlk97022525"/>
            <w:r w:rsidRPr="009F6D1E">
              <w:rPr>
                <w:rFonts w:eastAsia="Calibri" w:cs="Times New Roman"/>
                <w:b/>
                <w:bCs/>
              </w:rPr>
              <w:t xml:space="preserve">Стратегически документ и цели по опазване на околната среда на международно (в т.ч. европейско) ниво, имащи отношение към </w:t>
            </w:r>
            <w:r w:rsidR="00CD4045" w:rsidRPr="009F6D1E">
              <w:rPr>
                <w:rFonts w:eastAsia="Calibri" w:cs="Times New Roman"/>
                <w:b/>
                <w:bCs/>
              </w:rPr>
              <w:t>СПРЗСР</w:t>
            </w:r>
          </w:p>
        </w:tc>
        <w:tc>
          <w:tcPr>
            <w:tcW w:w="7139" w:type="dxa"/>
            <w:shd w:val="clear" w:color="auto" w:fill="D9D9D9" w:themeFill="background1" w:themeFillShade="D9"/>
            <w:vAlign w:val="center"/>
          </w:tcPr>
          <w:p w14:paraId="4EB7223C" w14:textId="77777777" w:rsidR="0078017C" w:rsidRPr="009F6D1E" w:rsidRDefault="0078017C" w:rsidP="0084747F">
            <w:pPr>
              <w:widowControl w:val="0"/>
              <w:spacing w:after="60" w:line="264" w:lineRule="auto"/>
              <w:contextualSpacing/>
              <w:jc w:val="center"/>
              <w:rPr>
                <w:rFonts w:eastAsia="Calibri" w:cs="Times New Roman"/>
                <w:b/>
                <w:bCs/>
              </w:rPr>
            </w:pPr>
            <w:r w:rsidRPr="009F6D1E">
              <w:rPr>
                <w:rFonts w:eastAsia="Calibri" w:cs="Times New Roman"/>
                <w:b/>
                <w:bCs/>
              </w:rPr>
              <w:t xml:space="preserve">Начин, по който целите и съответните екологични аспекти са взети предвид при изготвянето на </w:t>
            </w:r>
            <w:r w:rsidR="00CD4045" w:rsidRPr="009F6D1E">
              <w:rPr>
                <w:rFonts w:eastAsia="Calibri" w:cs="Times New Roman"/>
                <w:b/>
                <w:bCs/>
              </w:rPr>
              <w:t>СПРЗСР</w:t>
            </w:r>
            <w:r w:rsidRPr="009F6D1E">
              <w:rPr>
                <w:rFonts w:eastAsia="Calibri" w:cs="Times New Roman"/>
                <w:b/>
                <w:bCs/>
              </w:rPr>
              <w:t xml:space="preserve"> 2023-2027 г.</w:t>
            </w:r>
          </w:p>
        </w:tc>
      </w:tr>
      <w:tr w:rsidR="0078017C" w:rsidRPr="009F6D1E" w14:paraId="116E71C1" w14:textId="77777777" w:rsidTr="0078017C">
        <w:tc>
          <w:tcPr>
            <w:tcW w:w="7139" w:type="dxa"/>
          </w:tcPr>
          <w:p w14:paraId="0F74D0CE" w14:textId="77777777" w:rsidR="0078017C" w:rsidRPr="009F6D1E" w:rsidRDefault="0078017C" w:rsidP="0084747F">
            <w:pPr>
              <w:widowControl w:val="0"/>
              <w:spacing w:after="60" w:line="264" w:lineRule="auto"/>
              <w:contextualSpacing/>
              <w:jc w:val="both"/>
              <w:rPr>
                <w:rFonts w:eastAsia="Calibri" w:cs="Times New Roman"/>
                <w:b/>
                <w:bCs/>
                <w:i/>
                <w:iCs/>
              </w:rPr>
            </w:pPr>
            <w:r w:rsidRPr="009F6D1E">
              <w:rPr>
                <w:rFonts w:eastAsia="Calibri" w:cs="Times New Roman"/>
                <w:b/>
                <w:bCs/>
                <w:i/>
                <w:iCs/>
              </w:rPr>
              <w:t>Препоръки към Държавите членки по отношение на техните стратегически планове по общата селскостопанска политика (СОМ (2020) 846/18.12.2020г.)</w:t>
            </w:r>
          </w:p>
          <w:p w14:paraId="0F7B2503" w14:textId="77777777" w:rsidR="0078017C" w:rsidRPr="009F6D1E" w:rsidRDefault="00045E99" w:rsidP="0084747F">
            <w:pPr>
              <w:widowControl w:val="0"/>
              <w:spacing w:after="60" w:line="264" w:lineRule="auto"/>
              <w:jc w:val="both"/>
              <w:rPr>
                <w:rFonts w:eastAsia="Calibri" w:cs="Times New Roman"/>
                <w:b/>
                <w:bCs/>
                <w:i/>
                <w:iCs/>
              </w:rPr>
            </w:pPr>
            <w:r w:rsidRPr="009F6D1E">
              <w:rPr>
                <w:rFonts w:cs="Times New Roman"/>
              </w:rPr>
              <w:t xml:space="preserve">В контекста на </w:t>
            </w:r>
            <w:r w:rsidRPr="009F6D1E">
              <w:rPr>
                <w:rFonts w:cs="Times New Roman"/>
                <w:b/>
                <w:bCs/>
                <w:i/>
                <w:iCs/>
              </w:rPr>
              <w:t>Европейския зелен пакт</w:t>
            </w:r>
            <w:r w:rsidRPr="009F6D1E">
              <w:rPr>
                <w:rFonts w:cs="Times New Roman"/>
              </w:rPr>
              <w:t xml:space="preserve"> са представени </w:t>
            </w:r>
            <w:r w:rsidR="00AB12E2" w:rsidRPr="009F6D1E">
              <w:rPr>
                <w:rFonts w:cs="Times New Roman"/>
                <w:b/>
                <w:bCs/>
                <w:i/>
                <w:iCs/>
              </w:rPr>
              <w:t>С</w:t>
            </w:r>
            <w:r w:rsidRPr="009F6D1E">
              <w:rPr>
                <w:rFonts w:cs="Times New Roman"/>
                <w:b/>
                <w:bCs/>
                <w:i/>
                <w:iCs/>
              </w:rPr>
              <w:t>тратеги</w:t>
            </w:r>
            <w:r w:rsidR="00AB12E2" w:rsidRPr="009F6D1E">
              <w:rPr>
                <w:rFonts w:cs="Times New Roman"/>
                <w:b/>
                <w:bCs/>
                <w:i/>
                <w:iCs/>
              </w:rPr>
              <w:t>ята</w:t>
            </w:r>
            <w:r w:rsidRPr="009F6D1E">
              <w:rPr>
                <w:rFonts w:cs="Times New Roman"/>
              </w:rPr>
              <w:t xml:space="preserve"> </w:t>
            </w:r>
            <w:r w:rsidR="0078017C" w:rsidRPr="009F6D1E">
              <w:rPr>
                <w:rFonts w:cs="Times New Roman"/>
              </w:rPr>
              <w:t>„</w:t>
            </w:r>
            <w:r w:rsidR="0078017C" w:rsidRPr="009F6D1E">
              <w:rPr>
                <w:rFonts w:cs="Times New Roman"/>
                <w:b/>
                <w:bCs/>
                <w:i/>
                <w:iCs/>
              </w:rPr>
              <w:t>От фермата до трапезата</w:t>
            </w:r>
            <w:r w:rsidR="0078017C" w:rsidRPr="009F6D1E">
              <w:rPr>
                <w:rFonts w:cs="Times New Roman"/>
              </w:rPr>
              <w:t xml:space="preserve">“ и </w:t>
            </w:r>
            <w:r w:rsidR="0078017C" w:rsidRPr="009F6D1E">
              <w:rPr>
                <w:rFonts w:cs="Times New Roman"/>
                <w:b/>
                <w:bCs/>
                <w:i/>
                <w:iCs/>
              </w:rPr>
              <w:t>Стратегията за биологичното разнообразие</w:t>
            </w:r>
            <w:r w:rsidR="0078017C" w:rsidRPr="009F6D1E">
              <w:rPr>
                <w:rFonts w:cs="Times New Roman"/>
              </w:rPr>
              <w:t>,</w:t>
            </w:r>
            <w:r w:rsidR="00AB12E2" w:rsidRPr="009F6D1E">
              <w:rPr>
                <w:rFonts w:cs="Times New Roman"/>
              </w:rPr>
              <w:t xml:space="preserve"> с цел</w:t>
            </w:r>
            <w:r w:rsidR="0078017C" w:rsidRPr="009F6D1E">
              <w:rPr>
                <w:rFonts w:cs="Times New Roman"/>
              </w:rPr>
              <w:t xml:space="preserve"> подпом</w:t>
            </w:r>
            <w:r w:rsidR="00AB12E2" w:rsidRPr="009F6D1E">
              <w:rPr>
                <w:rFonts w:cs="Times New Roman"/>
              </w:rPr>
              <w:t>агане на</w:t>
            </w:r>
            <w:r w:rsidR="0078017C" w:rsidRPr="009F6D1E">
              <w:rPr>
                <w:rFonts w:cs="Times New Roman"/>
              </w:rPr>
              <w:t xml:space="preserve"> прехода към по-голяма устойчивост на продоволствените системи и преодоля</w:t>
            </w:r>
            <w:r w:rsidR="00AB12E2" w:rsidRPr="009F6D1E">
              <w:rPr>
                <w:rFonts w:cs="Times New Roman"/>
              </w:rPr>
              <w:t>ване на</w:t>
            </w:r>
            <w:r w:rsidR="0078017C" w:rsidRPr="009F6D1E">
              <w:rPr>
                <w:rFonts w:cs="Times New Roman"/>
              </w:rPr>
              <w:t xml:space="preserve"> основните фактори за загубата на биологично разнообразие. </w:t>
            </w:r>
          </w:p>
        </w:tc>
        <w:tc>
          <w:tcPr>
            <w:tcW w:w="7139" w:type="dxa"/>
          </w:tcPr>
          <w:p w14:paraId="0247A415" w14:textId="77777777" w:rsidR="0078017C" w:rsidRPr="009F6D1E" w:rsidRDefault="00CD4045" w:rsidP="0084747F">
            <w:pPr>
              <w:widowControl w:val="0"/>
              <w:spacing w:after="60" w:line="264" w:lineRule="auto"/>
              <w:contextualSpacing/>
              <w:jc w:val="both"/>
              <w:rPr>
                <w:rFonts w:eastAsia="Calibri" w:cs="Times New Roman"/>
                <w:b/>
                <w:bCs/>
                <w:i/>
                <w:iCs/>
              </w:rPr>
            </w:pPr>
            <w:r w:rsidRPr="009F6D1E">
              <w:rPr>
                <w:rFonts w:cs="Times New Roman"/>
              </w:rPr>
              <w:t>СПРЗСР</w:t>
            </w:r>
            <w:r w:rsidR="00112EAF" w:rsidRPr="009F6D1E">
              <w:rPr>
                <w:rFonts w:cs="Times New Roman"/>
              </w:rPr>
              <w:t xml:space="preserve"> съобразява </w:t>
            </w:r>
            <w:r w:rsidR="001767F3" w:rsidRPr="009F6D1E">
              <w:rPr>
                <w:rFonts w:cs="Times New Roman"/>
              </w:rPr>
              <w:t>Препоръките</w:t>
            </w:r>
            <w:r w:rsidR="00112EAF" w:rsidRPr="009F6D1E">
              <w:rPr>
                <w:rFonts w:cs="Times New Roman"/>
              </w:rPr>
              <w:t xml:space="preserve"> на ЕК, като </w:t>
            </w:r>
            <w:r w:rsidR="001767F3" w:rsidRPr="009F6D1E">
              <w:rPr>
                <w:rFonts w:cs="Times New Roman"/>
              </w:rPr>
              <w:t xml:space="preserve">начина, по който целите на документите </w:t>
            </w:r>
            <w:r w:rsidR="001767F3" w:rsidRPr="009F6D1E">
              <w:rPr>
                <w:rFonts w:cs="Times New Roman"/>
                <w:b/>
                <w:bCs/>
                <w:i/>
                <w:iCs/>
              </w:rPr>
              <w:t>Европейския зелен пакт, Стратегията</w:t>
            </w:r>
            <w:r w:rsidR="001767F3" w:rsidRPr="009F6D1E">
              <w:rPr>
                <w:rFonts w:cs="Times New Roman"/>
              </w:rPr>
              <w:t xml:space="preserve"> „</w:t>
            </w:r>
            <w:r w:rsidR="001767F3" w:rsidRPr="009F6D1E">
              <w:rPr>
                <w:rFonts w:cs="Times New Roman"/>
                <w:b/>
                <w:bCs/>
                <w:i/>
                <w:iCs/>
              </w:rPr>
              <w:t>От фермата до трапезата</w:t>
            </w:r>
            <w:r w:rsidR="001767F3" w:rsidRPr="009F6D1E">
              <w:rPr>
                <w:rFonts w:cs="Times New Roman"/>
              </w:rPr>
              <w:t xml:space="preserve">“ и </w:t>
            </w:r>
            <w:r w:rsidR="001767F3" w:rsidRPr="009F6D1E">
              <w:rPr>
                <w:rFonts w:cs="Times New Roman"/>
                <w:b/>
                <w:bCs/>
                <w:i/>
                <w:iCs/>
              </w:rPr>
              <w:t xml:space="preserve">Стратегията за биологичното разнообразие </w:t>
            </w:r>
            <w:r w:rsidR="001767F3" w:rsidRPr="009F6D1E">
              <w:rPr>
                <w:rFonts w:cs="Times New Roman"/>
              </w:rPr>
              <w:t>са взети предвид, е подробно описан по-долу в текста</w:t>
            </w:r>
            <w:r w:rsidR="00112EAF" w:rsidRPr="009F6D1E">
              <w:rPr>
                <w:rFonts w:cs="Times New Roman"/>
              </w:rPr>
              <w:t>.</w:t>
            </w:r>
          </w:p>
        </w:tc>
      </w:tr>
      <w:tr w:rsidR="0078017C" w:rsidRPr="009F6D1E" w14:paraId="2EE2DAA3" w14:textId="77777777" w:rsidTr="0078017C">
        <w:tc>
          <w:tcPr>
            <w:tcW w:w="7139" w:type="dxa"/>
          </w:tcPr>
          <w:p w14:paraId="550EAE77" w14:textId="77777777" w:rsidR="00F37FC7" w:rsidRPr="009F6D1E" w:rsidRDefault="00F37FC7" w:rsidP="0084747F">
            <w:pPr>
              <w:widowControl w:val="0"/>
              <w:spacing w:after="60" w:line="264" w:lineRule="auto"/>
              <w:jc w:val="both"/>
              <w:rPr>
                <w:rFonts w:eastAsia="Calibri" w:cs="Times New Roman"/>
                <w:b/>
                <w:bCs/>
                <w:i/>
                <w:iCs/>
              </w:rPr>
            </w:pPr>
            <w:r w:rsidRPr="009F6D1E">
              <w:rPr>
                <w:rFonts w:eastAsia="Calibri" w:cs="Times New Roman"/>
                <w:b/>
                <w:bCs/>
                <w:i/>
                <w:iCs/>
              </w:rPr>
              <w:t xml:space="preserve">Препоръки на Комисията относно стратегическия план по </w:t>
            </w:r>
            <w:r w:rsidR="00D809BC" w:rsidRPr="009F6D1E">
              <w:rPr>
                <w:rFonts w:eastAsia="Calibri" w:cs="Times New Roman"/>
                <w:b/>
                <w:bCs/>
                <w:i/>
                <w:iCs/>
              </w:rPr>
              <w:t>РЗСР</w:t>
            </w:r>
            <w:r w:rsidRPr="009F6D1E">
              <w:rPr>
                <w:rFonts w:eastAsia="Calibri" w:cs="Times New Roman"/>
                <w:b/>
                <w:bCs/>
                <w:i/>
                <w:iCs/>
              </w:rPr>
              <w:t xml:space="preserve"> на България (SWD (2020) 369/18.12.2020г.) </w:t>
            </w:r>
          </w:p>
          <w:p w14:paraId="2F47E24C" w14:textId="77777777" w:rsidR="00C301B6" w:rsidRPr="009F6D1E" w:rsidRDefault="00BC3BFF" w:rsidP="0084747F">
            <w:pPr>
              <w:widowControl w:val="0"/>
              <w:spacing w:after="60" w:line="264" w:lineRule="auto"/>
              <w:jc w:val="both"/>
              <w:rPr>
                <w:rFonts w:eastAsia="ヒラギノ角ゴ Pro W3" w:cs="Times New Roman"/>
                <w:color w:val="000000"/>
              </w:rPr>
            </w:pPr>
            <w:r w:rsidRPr="009F6D1E">
              <w:rPr>
                <w:rFonts w:eastAsia="ヒラギノ角ゴ Pro W3" w:cs="Times New Roman"/>
                <w:b/>
                <w:bCs/>
                <w:color w:val="000000"/>
              </w:rPr>
              <w:t xml:space="preserve">Препоръка 1: </w:t>
            </w:r>
            <w:r w:rsidR="00C301B6" w:rsidRPr="009F6D1E">
              <w:rPr>
                <w:rFonts w:eastAsia="ヒラギノ角ゴ Pro W3" w:cs="Times New Roman"/>
                <w:color w:val="000000"/>
              </w:rPr>
              <w:t>Насърчаване на развитието на интелигентен устойчив и диверсифициран сектор на селското стопанство с цел гарантиране на продоволствената сигурност</w:t>
            </w:r>
          </w:p>
          <w:p w14:paraId="73C159FE" w14:textId="77777777" w:rsidR="00C301B6" w:rsidRPr="009F6D1E" w:rsidRDefault="00FB33FE" w:rsidP="0084747F">
            <w:pPr>
              <w:widowControl w:val="0"/>
              <w:spacing w:after="60" w:line="264" w:lineRule="auto"/>
              <w:jc w:val="both"/>
              <w:rPr>
                <w:rFonts w:eastAsia="ヒラギノ角ゴ Pro W3" w:cs="Times New Roman"/>
                <w:color w:val="000000"/>
              </w:rPr>
            </w:pPr>
            <w:r w:rsidRPr="009F6D1E">
              <w:rPr>
                <w:rFonts w:eastAsia="ヒラギノ角ゴ Pro W3" w:cs="Times New Roman"/>
                <w:b/>
                <w:bCs/>
                <w:color w:val="000000"/>
              </w:rPr>
              <w:t>Препоръка 2:</w:t>
            </w:r>
            <w:r w:rsidRPr="009F6D1E">
              <w:rPr>
                <w:rFonts w:eastAsia="ヒラギノ角ゴ Pro W3" w:cs="Times New Roman"/>
                <w:color w:val="000000"/>
              </w:rPr>
              <w:t xml:space="preserve"> </w:t>
            </w:r>
            <w:r w:rsidR="00C301B6" w:rsidRPr="009F6D1E">
              <w:rPr>
                <w:rFonts w:eastAsia="ヒラギノ角ゴ Pro W3" w:cs="Times New Roman"/>
                <w:color w:val="000000"/>
              </w:rPr>
              <w:t>Укрепване на грижите за околната среда и действията в областта на климата и принос за постигането на целите на Съюза, свързани с околната среда и климата</w:t>
            </w:r>
          </w:p>
          <w:p w14:paraId="5BA6640D" w14:textId="77777777" w:rsidR="00C301B6" w:rsidRPr="009F6D1E" w:rsidRDefault="00FB33FE" w:rsidP="0084747F">
            <w:pPr>
              <w:widowControl w:val="0"/>
              <w:spacing w:after="60" w:line="264" w:lineRule="auto"/>
              <w:jc w:val="both"/>
              <w:rPr>
                <w:rFonts w:eastAsia="ヒラギノ角ゴ Pro W3" w:cs="Times New Roman"/>
                <w:color w:val="000000"/>
              </w:rPr>
            </w:pPr>
            <w:r w:rsidRPr="009F6D1E">
              <w:rPr>
                <w:rFonts w:eastAsia="ヒラギノ角ゴ Pro W3" w:cs="Times New Roman"/>
                <w:b/>
                <w:bCs/>
                <w:color w:val="000000"/>
              </w:rPr>
              <w:t>Препоръка 3:</w:t>
            </w:r>
            <w:r w:rsidRPr="009F6D1E">
              <w:rPr>
                <w:rFonts w:eastAsia="ヒラギノ角ゴ Pro W3" w:cs="Times New Roman"/>
                <w:color w:val="000000"/>
              </w:rPr>
              <w:t xml:space="preserve"> </w:t>
            </w:r>
            <w:r w:rsidR="00C301B6" w:rsidRPr="009F6D1E">
              <w:rPr>
                <w:rFonts w:eastAsia="ヒラギノ角ゴ Pro W3" w:cs="Times New Roman"/>
                <w:color w:val="000000"/>
              </w:rPr>
              <w:t xml:space="preserve">Укрепване на социално-икономическата структура </w:t>
            </w:r>
            <w:r w:rsidR="00C301B6" w:rsidRPr="009F6D1E">
              <w:rPr>
                <w:rFonts w:eastAsia="ヒラギノ角ゴ Pro W3" w:cs="Times New Roman"/>
                <w:color w:val="000000"/>
              </w:rPr>
              <w:lastRenderedPageBreak/>
              <w:t>на селските райони и решаване на социалните проблеми</w:t>
            </w:r>
          </w:p>
          <w:p w14:paraId="19592D74" w14:textId="77777777" w:rsidR="0078017C" w:rsidRPr="009F6D1E" w:rsidRDefault="00FB33FE" w:rsidP="0084747F">
            <w:pPr>
              <w:widowControl w:val="0"/>
              <w:spacing w:after="60" w:line="264" w:lineRule="auto"/>
              <w:jc w:val="both"/>
              <w:rPr>
                <w:rFonts w:eastAsia="Calibri" w:cs="Times New Roman"/>
                <w:b/>
                <w:bCs/>
                <w:i/>
                <w:iCs/>
              </w:rPr>
            </w:pPr>
            <w:r w:rsidRPr="009F6D1E">
              <w:rPr>
                <w:rFonts w:eastAsia="ヒラギノ角ゴ Pro W3" w:cs="Times New Roman"/>
                <w:b/>
                <w:bCs/>
                <w:color w:val="000000"/>
              </w:rPr>
              <w:t>Препоръка 4:</w:t>
            </w:r>
            <w:r w:rsidRPr="009F6D1E">
              <w:rPr>
                <w:rFonts w:eastAsia="ヒラギノ角ゴ Pro W3" w:cs="Times New Roman"/>
                <w:color w:val="000000"/>
              </w:rPr>
              <w:t xml:space="preserve"> </w:t>
            </w:r>
            <w:r w:rsidR="00C301B6" w:rsidRPr="009F6D1E">
              <w:rPr>
                <w:rFonts w:eastAsia="ヒラギノ角ゴ Pro W3" w:cs="Times New Roman"/>
                <w:color w:val="000000"/>
              </w:rPr>
              <w:t>Стимулиране и споделяне на знанията, иновациите и цифровизацията в селското стопанство и селските райони и насърчаване на използването им в по-голяма степен</w:t>
            </w:r>
            <w:r w:rsidR="001767F3" w:rsidRPr="009F6D1E">
              <w:rPr>
                <w:rFonts w:eastAsia="ヒラギノ角ゴ Pro W3" w:cs="Times New Roman"/>
                <w:color w:val="000000"/>
              </w:rPr>
              <w:t>.</w:t>
            </w:r>
          </w:p>
        </w:tc>
        <w:tc>
          <w:tcPr>
            <w:tcW w:w="7139" w:type="dxa"/>
          </w:tcPr>
          <w:p w14:paraId="0D316FBE" w14:textId="77777777" w:rsidR="0078017C" w:rsidRPr="009F6D1E" w:rsidRDefault="004F11B9" w:rsidP="0084747F">
            <w:pPr>
              <w:widowControl w:val="0"/>
              <w:spacing w:after="60" w:line="264" w:lineRule="auto"/>
              <w:contextualSpacing/>
              <w:jc w:val="both"/>
              <w:rPr>
                <w:rFonts w:eastAsia="ヒラギノ角ゴ Pro W3" w:cs="Times New Roman"/>
                <w:color w:val="000000"/>
              </w:rPr>
            </w:pPr>
            <w:r w:rsidRPr="009F6D1E">
              <w:rPr>
                <w:rFonts w:eastAsia="ヒラギノ角ゴ Pro W3" w:cs="Times New Roman"/>
                <w:color w:val="000000"/>
              </w:rPr>
              <w:lastRenderedPageBreak/>
              <w:t>Подпомагането от Европейския фонд за гарантиране на земеделието (ЕФГЗ) и Европейския земеделски фонд з развитие на селските райони (ЕЗФРСР) има за цел допълнително да подобри устойчивото развитие на селското стопанство, прехраната и селските райони и да допринесе за постигането на общите цели.</w:t>
            </w:r>
          </w:p>
          <w:p w14:paraId="3C989322" w14:textId="77777777" w:rsidR="004F11B9" w:rsidRPr="009F6D1E" w:rsidRDefault="005046C7" w:rsidP="0084747F">
            <w:pPr>
              <w:widowControl w:val="0"/>
              <w:spacing w:after="60" w:line="264" w:lineRule="auto"/>
              <w:contextualSpacing/>
              <w:jc w:val="both"/>
              <w:rPr>
                <w:rFonts w:eastAsia="Calibri" w:cs="Times New Roman"/>
                <w:i/>
                <w:iCs/>
              </w:rPr>
            </w:pPr>
            <w:r w:rsidRPr="009F6D1E">
              <w:rPr>
                <w:rFonts w:eastAsia="Calibri" w:cs="Times New Roman"/>
                <w:i/>
                <w:iCs/>
              </w:rPr>
              <w:t xml:space="preserve">Междусекторна цел 10 </w:t>
            </w:r>
            <w:r w:rsidR="00893585" w:rsidRPr="009F6D1E">
              <w:rPr>
                <w:rFonts w:eastAsia="Calibri" w:cs="Times New Roman"/>
                <w:i/>
                <w:iCs/>
              </w:rPr>
              <w:t xml:space="preserve">на </w:t>
            </w:r>
            <w:r w:rsidR="00CD4045" w:rsidRPr="009F6D1E">
              <w:rPr>
                <w:rFonts w:eastAsia="Calibri" w:cs="Times New Roman"/>
                <w:i/>
                <w:iCs/>
              </w:rPr>
              <w:t>СПРЗСР</w:t>
            </w:r>
            <w:r w:rsidR="004F11B9" w:rsidRPr="009F6D1E">
              <w:rPr>
                <w:rFonts w:eastAsia="Calibri" w:cs="Times New Roman"/>
                <w:i/>
                <w:iCs/>
              </w:rPr>
              <w:t xml:space="preserve">: </w:t>
            </w:r>
            <w:r w:rsidR="00530554" w:rsidRPr="009F6D1E">
              <w:rPr>
                <w:rFonts w:eastAsia="Calibri" w:cs="Times New Roman"/>
                <w:i/>
                <w:iCs/>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w:t>
            </w:r>
            <w:r w:rsidR="00530554" w:rsidRPr="009F6D1E">
              <w:rPr>
                <w:rFonts w:eastAsia="Calibri" w:cs="Times New Roman"/>
                <w:i/>
                <w:iCs/>
              </w:rPr>
              <w:lastRenderedPageBreak/>
              <w:t>голяма степен от земеделските стопани чрез по-добър достъп до научни изследвания, иновации, обмен на знания и обучение</w:t>
            </w:r>
          </w:p>
          <w:p w14:paraId="4451414A" w14:textId="77777777" w:rsidR="00E56172"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A80D9C" w:rsidRPr="009F6D1E">
              <w:rPr>
                <w:rFonts w:eastAsia="Times New Roman" w:cs="Times New Roman"/>
                <w:i/>
                <w:iCs/>
                <w:u w:val="single"/>
                <w:lang w:eastAsia="bg-BG" w:bidi="bg-BG"/>
              </w:rPr>
              <w:t xml:space="preserve"> съобразява пряко </w:t>
            </w:r>
            <w:r w:rsidR="00BC3BFF" w:rsidRPr="009F6D1E">
              <w:rPr>
                <w:rFonts w:eastAsia="Times New Roman" w:cs="Times New Roman"/>
                <w:i/>
                <w:iCs/>
                <w:u w:val="single"/>
                <w:lang w:eastAsia="bg-BG" w:bidi="bg-BG"/>
              </w:rPr>
              <w:t>П</w:t>
            </w:r>
            <w:r w:rsidR="00A80D9C" w:rsidRPr="009F6D1E">
              <w:rPr>
                <w:rFonts w:eastAsia="Times New Roman" w:cs="Times New Roman"/>
                <w:i/>
                <w:iCs/>
                <w:u w:val="single"/>
                <w:lang w:eastAsia="bg-BG" w:bidi="bg-BG"/>
              </w:rPr>
              <w:t>репорък</w:t>
            </w:r>
            <w:r w:rsidR="00BC3BFF" w:rsidRPr="009F6D1E">
              <w:rPr>
                <w:rFonts w:eastAsia="Times New Roman" w:cs="Times New Roman"/>
                <w:i/>
                <w:iCs/>
                <w:u w:val="single"/>
                <w:lang w:eastAsia="bg-BG" w:bidi="bg-BG"/>
              </w:rPr>
              <w:t>а 1</w:t>
            </w:r>
            <w:r w:rsidR="00A80D9C" w:rsidRPr="009F6D1E">
              <w:rPr>
                <w:rFonts w:eastAsia="Times New Roman" w:cs="Times New Roman"/>
                <w:i/>
                <w:iCs/>
                <w:u w:val="single"/>
                <w:lang w:eastAsia="bg-BG" w:bidi="bg-BG"/>
              </w:rPr>
              <w:t xml:space="preserve"> на ЕК чрез</w:t>
            </w:r>
            <w:r w:rsidR="00E56172" w:rsidRPr="009F6D1E">
              <w:rPr>
                <w:rFonts w:eastAsia="Times New Roman" w:cs="Times New Roman"/>
                <w:i/>
                <w:iCs/>
                <w:u w:val="single"/>
                <w:lang w:eastAsia="bg-BG" w:bidi="bg-BG"/>
              </w:rPr>
              <w:t>:</w:t>
            </w:r>
          </w:p>
          <w:p w14:paraId="7C4287B9" w14:textId="77777777" w:rsidR="00A80D9C" w:rsidRPr="009F6D1E" w:rsidRDefault="00A80D9C"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0C2B12" w:rsidRPr="009F6D1E">
              <w:rPr>
                <w:rFonts w:cs="Times New Roman"/>
              </w:rPr>
              <w:t xml:space="preserve"> </w:t>
            </w:r>
            <w:r w:rsidR="000C2B12" w:rsidRPr="009F6D1E">
              <w:rPr>
                <w:rFonts w:cs="Times New Roman"/>
                <w:i/>
              </w:rPr>
              <w:t>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1F5DCE3A" w14:textId="77777777" w:rsidR="00E56172" w:rsidRPr="009F6D1E" w:rsidRDefault="00E56172"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530554" w:rsidRPr="009F6D1E">
              <w:rPr>
                <w:rFonts w:cs="Times New Roman"/>
              </w:rPr>
              <w:t xml:space="preserve"> </w:t>
            </w:r>
            <w:r w:rsidR="00530554"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6CBD5106" w14:textId="77777777" w:rsidR="00E56172" w:rsidRPr="009F6D1E" w:rsidRDefault="00A80D9C" w:rsidP="0084747F">
            <w:pPr>
              <w:widowControl w:val="0"/>
              <w:spacing w:after="60" w:line="264" w:lineRule="auto"/>
              <w:jc w:val="both"/>
              <w:rPr>
                <w:rFonts w:cs="Times New Roman"/>
                <w:iCs/>
              </w:rPr>
            </w:pPr>
            <w:r w:rsidRPr="009F6D1E">
              <w:rPr>
                <w:rFonts w:cs="Times New Roman"/>
                <w:iCs/>
              </w:rPr>
              <w:t>Косвен</w:t>
            </w:r>
            <w:r w:rsidR="00E56172" w:rsidRPr="009F6D1E">
              <w:rPr>
                <w:rFonts w:cs="Times New Roman"/>
                <w:iCs/>
              </w:rPr>
              <w:t xml:space="preserve"> принос имат:</w:t>
            </w:r>
          </w:p>
          <w:p w14:paraId="35DA37BC" w14:textId="77777777" w:rsidR="00A80D9C" w:rsidRPr="009F6D1E" w:rsidRDefault="00A80D9C"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530554" w:rsidRPr="009F6D1E">
              <w:rPr>
                <w:rFonts w:cs="Times New Roman"/>
                <w:lang w:bidi="bg-BG"/>
              </w:rPr>
              <w:t xml:space="preserve"> </w:t>
            </w:r>
            <w:r w:rsidR="00530554" w:rsidRPr="009F6D1E">
              <w:rPr>
                <w:rFonts w:cs="Times New Roman"/>
                <w:i/>
              </w:rPr>
              <w:t>П.1.5.Надграждане и диверсифициране на системата за управление на риска и управление на кризите в земеделието</w:t>
            </w:r>
            <w:r w:rsidRPr="009F6D1E">
              <w:rPr>
                <w:rFonts w:eastAsia="Times New Roman" w:cs="Times New Roman"/>
                <w:i/>
                <w:iCs/>
                <w:lang w:eastAsia="bg-BG" w:bidi="bg-BG"/>
              </w:rPr>
              <w:t xml:space="preserve"> </w:t>
            </w:r>
            <w:r w:rsidRPr="009F6D1E">
              <w:rPr>
                <w:rFonts w:eastAsia="Times New Roman" w:cs="Times New Roman"/>
                <w:lang w:eastAsia="bg-BG" w:bidi="bg-BG"/>
              </w:rPr>
              <w:t>и интервенциите към нея.</w:t>
            </w:r>
          </w:p>
          <w:p w14:paraId="0F98F826" w14:textId="77777777" w:rsidR="00A80D9C" w:rsidRPr="009F6D1E" w:rsidRDefault="00A80D9C" w:rsidP="0084747F">
            <w:pPr>
              <w:widowControl w:val="0"/>
              <w:tabs>
                <w:tab w:val="left" w:pos="1080"/>
              </w:tabs>
              <w:spacing w:after="60" w:line="264" w:lineRule="auto"/>
              <w:jc w:val="both"/>
              <w:rPr>
                <w:rFonts w:cs="Times New Roman"/>
                <w:i/>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00E56172" w:rsidRPr="009F6D1E">
              <w:rPr>
                <w:rFonts w:cs="Times New Roman"/>
                <w:i/>
              </w:rPr>
              <w:t>потребност</w:t>
            </w:r>
            <w:r w:rsidR="0050251C" w:rsidRPr="009F6D1E">
              <w:rPr>
                <w:rFonts w:cs="Times New Roman"/>
                <w:lang w:bidi="bg-BG"/>
              </w:rPr>
              <w:t xml:space="preserve"> </w:t>
            </w:r>
            <w:r w:rsidR="0050251C"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w:t>
            </w:r>
            <w:r w:rsidR="0050251C" w:rsidRPr="009F6D1E">
              <w:rPr>
                <w:rFonts w:eastAsia="Times New Roman" w:cs="Times New Roman"/>
                <w:iCs/>
                <w:lang w:eastAsia="bg-BG" w:bidi="bg-BG"/>
              </w:rPr>
              <w:t xml:space="preserve">: „Инвестиции за неселскостопански  </w:t>
            </w:r>
            <w:r w:rsidR="0050251C" w:rsidRPr="009F6D1E">
              <w:rPr>
                <w:rFonts w:eastAsia="Times New Roman" w:cs="Times New Roman"/>
                <w:iCs/>
                <w:lang w:eastAsia="bg-BG" w:bidi="bg-BG"/>
              </w:rPr>
              <w:lastRenderedPageBreak/>
              <w:t>дейности  в селските райони“. Предвижда се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p w14:paraId="7A747CE7" w14:textId="77777777" w:rsidR="00BC3BFF"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BC3BFF" w:rsidRPr="009F6D1E">
              <w:rPr>
                <w:rFonts w:eastAsia="Times New Roman" w:cs="Times New Roman"/>
                <w:i/>
                <w:iCs/>
                <w:u w:val="single"/>
                <w:lang w:eastAsia="bg-BG" w:bidi="bg-BG"/>
              </w:rPr>
              <w:t xml:space="preserve"> съобразява пряко Препоръка 2 на ЕК чрез:</w:t>
            </w:r>
          </w:p>
          <w:p w14:paraId="61E8A579" w14:textId="77777777" w:rsidR="00BC3BFF" w:rsidRPr="009F6D1E" w:rsidRDefault="00BC3BFF" w:rsidP="0084747F">
            <w:pPr>
              <w:widowControl w:val="0"/>
              <w:spacing w:after="60" w:line="264" w:lineRule="auto"/>
              <w:jc w:val="both"/>
              <w:rPr>
                <w:rFonts w:cs="Times New Roman"/>
                <w:bCs/>
                <w:i/>
              </w:rPr>
            </w:pPr>
            <w:r w:rsidRPr="009F6D1E">
              <w:rPr>
                <w:rFonts w:cs="Times New Roman"/>
                <w:bCs/>
                <w:i/>
              </w:rPr>
              <w:t>Специфична цел №1:</w:t>
            </w:r>
          </w:p>
          <w:p w14:paraId="35210107" w14:textId="77777777" w:rsidR="00BC3BFF" w:rsidRPr="009F6D1E" w:rsidRDefault="00BC3BFF" w:rsidP="0084747F">
            <w:pPr>
              <w:widowControl w:val="0"/>
              <w:spacing w:after="60" w:line="264" w:lineRule="auto"/>
              <w:jc w:val="both"/>
              <w:rPr>
                <w:rFonts w:eastAsia="Times New Roman" w:cs="Times New Roman"/>
                <w:bCs/>
                <w:lang w:eastAsia="bg-BG" w:bidi="bg-BG"/>
              </w:rPr>
            </w:pPr>
            <w:r w:rsidRPr="009F6D1E">
              <w:rPr>
                <w:rFonts w:cs="Times New Roman"/>
                <w:bCs/>
                <w:i/>
              </w:rPr>
              <w:t>Потребност</w:t>
            </w:r>
            <w:r w:rsidR="00FD0FAA" w:rsidRPr="009F6D1E">
              <w:rPr>
                <w:rFonts w:cs="Times New Roman"/>
                <w:i/>
              </w:rPr>
              <w:t xml:space="preserve"> П.1.5.</w:t>
            </w:r>
            <w:r w:rsidRPr="009F6D1E">
              <w:rPr>
                <w:rFonts w:eastAsia="Times New Roman" w:cs="Times New Roman"/>
                <w:bCs/>
                <w:i/>
                <w:iCs/>
                <w:lang w:eastAsia="bg-BG" w:bidi="bg-BG"/>
              </w:rPr>
              <w:t xml:space="preserve"> Надграждане и диверсификация на системата за управление на риска в земеделието, </w:t>
            </w:r>
            <w:r w:rsidRPr="009F6D1E">
              <w:rPr>
                <w:rFonts w:eastAsia="Times New Roman" w:cs="Times New Roman"/>
                <w:bCs/>
                <w:lang w:eastAsia="bg-BG" w:bidi="bg-BG"/>
              </w:rPr>
              <w:t>интервенция</w:t>
            </w:r>
            <w:r w:rsidRPr="009F6D1E">
              <w:rPr>
                <w:rFonts w:eastAsia="Times New Roman" w:cs="Times New Roman"/>
                <w:bCs/>
                <w:i/>
                <w:iCs/>
                <w:lang w:eastAsia="bg-BG" w:bidi="bg-BG"/>
              </w:rPr>
              <w:t xml:space="preserve"> „Възстановяването на земеделски потенциал след природни бедствия или катастрофични събития и инвестиции в подходящи превантивни действия“, съгласно чл. </w:t>
            </w:r>
            <w:r w:rsidR="0050251C" w:rsidRPr="009F6D1E">
              <w:rPr>
                <w:rFonts w:eastAsia="Times New Roman" w:cs="Times New Roman"/>
                <w:bCs/>
                <w:i/>
                <w:iCs/>
                <w:lang w:eastAsia="bg-BG" w:bidi="bg-BG"/>
              </w:rPr>
              <w:t>73</w:t>
            </w:r>
            <w:r w:rsidRPr="009F6D1E">
              <w:rPr>
                <w:rFonts w:eastAsia="Times New Roman" w:cs="Times New Roman"/>
                <w:bCs/>
                <w:i/>
                <w:iCs/>
                <w:lang w:eastAsia="bg-BG" w:bidi="bg-BG"/>
              </w:rPr>
              <w:t xml:space="preserve"> от ЕЗФРСР.  </w:t>
            </w:r>
            <w:r w:rsidRPr="009F6D1E">
              <w:rPr>
                <w:rFonts w:eastAsia="Times New Roman" w:cs="Times New Roman"/>
                <w:bCs/>
                <w:lang w:eastAsia="bg-BG" w:bidi="bg-BG"/>
              </w:rPr>
              <w:t>Чрез интервенцията ще се осигури подкрепа, която ще повиши нивото на превенция в земеделските стопанства, а също така и подкрепа за възстановяването на земеделски производствен потенциал в случаите, в които той е бил нарушен в резултат от природни бедствия или катастрофични събития, свързани с неблагоприятни климатични събития, природни бедствия, заболявания по растенията и животните, нестабилност на цените, трудности при намиране на пазари и други.</w:t>
            </w:r>
          </w:p>
          <w:p w14:paraId="4E313CDD" w14:textId="77777777" w:rsidR="00BC3BFF" w:rsidRPr="009F6D1E" w:rsidRDefault="00BC3BFF" w:rsidP="0084747F">
            <w:pPr>
              <w:widowControl w:val="0"/>
              <w:spacing w:after="60" w:line="264" w:lineRule="auto"/>
              <w:jc w:val="both"/>
              <w:rPr>
                <w:rFonts w:cs="Times New Roman"/>
                <w:lang w:bidi="bg-BG"/>
              </w:rPr>
            </w:pPr>
            <w:r w:rsidRPr="009F6D1E">
              <w:rPr>
                <w:rFonts w:eastAsia="Times New Roman" w:cs="Times New Roman"/>
                <w:i/>
                <w:iCs/>
                <w:lang w:eastAsia="bg-BG" w:bidi="bg-BG"/>
              </w:rPr>
              <w:lastRenderedPageBreak/>
              <w:t>Потребност</w:t>
            </w:r>
            <w:r w:rsidR="00FD0FAA" w:rsidRPr="009F6D1E">
              <w:rPr>
                <w:rFonts w:eastAsia="Times New Roman" w:cs="Times New Roman"/>
                <w:i/>
                <w:iCs/>
                <w:lang w:eastAsia="bg-BG" w:bidi="bg-BG"/>
              </w:rPr>
              <w:t xml:space="preserve"> П.1.6. Оптимизиране на възможностите за напояване за намаляване на негативните последици от проявлението на </w:t>
            </w:r>
            <w:proofErr w:type="spellStart"/>
            <w:r w:rsidR="00FD0FAA" w:rsidRPr="009F6D1E">
              <w:rPr>
                <w:rFonts w:eastAsia="Times New Roman" w:cs="Times New Roman"/>
                <w:i/>
                <w:iCs/>
                <w:lang w:eastAsia="bg-BG" w:bidi="bg-BG"/>
              </w:rPr>
              <w:t>природо</w:t>
            </w:r>
            <w:proofErr w:type="spellEnd"/>
            <w:r w:rsidR="00FD0FAA" w:rsidRPr="009F6D1E">
              <w:rPr>
                <w:rFonts w:eastAsia="Times New Roman" w:cs="Times New Roman"/>
                <w:i/>
                <w:iCs/>
                <w:lang w:eastAsia="bg-BG" w:bidi="bg-BG"/>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r w:rsidRPr="009F6D1E">
              <w:rPr>
                <w:rFonts w:eastAsia="Times New Roman" w:cs="Times New Roman"/>
                <w:i/>
                <w:iCs/>
                <w:lang w:eastAsia="bg-BG" w:bidi="bg-BG"/>
              </w:rPr>
              <w:t xml:space="preserve">, </w:t>
            </w:r>
            <w:r w:rsidRPr="009F6D1E">
              <w:rPr>
                <w:rFonts w:eastAsia="Times New Roman" w:cs="Times New Roman"/>
                <w:lang w:eastAsia="bg-BG" w:bidi="bg-BG"/>
              </w:rPr>
              <w:t>интервенция</w:t>
            </w:r>
            <w:r w:rsidRPr="009F6D1E">
              <w:rPr>
                <w:rFonts w:eastAsia="Times New Roman" w:cs="Times New Roman"/>
                <w:i/>
                <w:iCs/>
                <w:lang w:eastAsia="bg-BG" w:bidi="bg-BG"/>
              </w:rPr>
              <w:t xml:space="preserve"> </w:t>
            </w:r>
            <w:r w:rsidRPr="009F6D1E">
              <w:rPr>
                <w:rFonts w:cs="Times New Roman"/>
                <w:lang w:bidi="bg-BG"/>
              </w:rPr>
              <w:t>„</w:t>
            </w:r>
            <w:r w:rsidRPr="009F6D1E">
              <w:rPr>
                <w:rFonts w:cs="Times New Roman"/>
                <w:i/>
                <w:lang w:bidi="bg-BG"/>
              </w:rPr>
              <w:t xml:space="preserve">Инвестиции в земеделски стопанства“ – чл. </w:t>
            </w:r>
            <w:r w:rsidR="004F4ADA" w:rsidRPr="009F6D1E">
              <w:rPr>
                <w:rFonts w:cs="Times New Roman"/>
                <w:i/>
                <w:lang w:bidi="bg-BG"/>
              </w:rPr>
              <w:t>73 и чл. 74 от ЕЗФРСР.</w:t>
            </w:r>
            <w:r w:rsidRPr="009F6D1E">
              <w:rPr>
                <w:rFonts w:cs="Times New Roman"/>
                <w:lang w:bidi="bg-BG"/>
              </w:rPr>
              <w:t xml:space="preserve"> 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 Също така ще спомогне за преодоляване на климатичните изменения, свързани с дълги периоди на засушаване.</w:t>
            </w:r>
          </w:p>
          <w:p w14:paraId="51F8C386" w14:textId="77777777" w:rsidR="00BC3BFF" w:rsidRPr="009F6D1E" w:rsidRDefault="00BC3BFF" w:rsidP="0084747F">
            <w:pPr>
              <w:widowControl w:val="0"/>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t>Специфична цел №4:</w:t>
            </w:r>
          </w:p>
          <w:p w14:paraId="4F71D255" w14:textId="77777777" w:rsidR="00BC3BFF" w:rsidRPr="009F6D1E" w:rsidRDefault="00BC3BFF" w:rsidP="0084747F">
            <w:pPr>
              <w:widowControl w:val="0"/>
              <w:spacing w:after="60" w:line="264" w:lineRule="auto"/>
              <w:jc w:val="both"/>
              <w:rPr>
                <w:rFonts w:eastAsia="Calibri" w:cs="Times New Roman"/>
                <w:bCs/>
                <w:lang w:eastAsia="en-GB" w:bidi="bg-BG"/>
              </w:rPr>
            </w:pPr>
            <w:r w:rsidRPr="009F6D1E">
              <w:rPr>
                <w:rFonts w:eastAsia="Times New Roman" w:cs="Times New Roman"/>
                <w:i/>
                <w:iCs/>
                <w:lang w:eastAsia="bg-BG" w:bidi="bg-BG"/>
              </w:rPr>
              <w:t>Потребност</w:t>
            </w:r>
            <w:r w:rsidR="007F11D7" w:rsidRPr="009F6D1E">
              <w:rPr>
                <w:rFonts w:cs="Times New Roman"/>
                <w:lang w:bidi="bg-BG"/>
              </w:rPr>
              <w:t xml:space="preserve"> </w:t>
            </w:r>
            <w:r w:rsidR="007F11D7" w:rsidRPr="009F6D1E">
              <w:rPr>
                <w:rFonts w:eastAsia="Times New Roman" w:cs="Times New Roman"/>
                <w:i/>
                <w:iCs/>
                <w:lang w:eastAsia="bg-BG" w:bidi="bg-BG"/>
              </w:rPr>
              <w:t>П.4.1.</w:t>
            </w:r>
            <w:r w:rsidRPr="009F6D1E">
              <w:rPr>
                <w:rFonts w:eastAsia="Times New Roman" w:cs="Times New Roman"/>
                <w:i/>
                <w:iCs/>
                <w:lang w:eastAsia="bg-BG" w:bidi="bg-BG"/>
              </w:rPr>
              <w:t xml:space="preserve"> Намаляване на емисиите на парникови газове от селското стопанство</w:t>
            </w:r>
            <w:r w:rsidR="007F11D7" w:rsidRPr="009F6D1E">
              <w:rPr>
                <w:rFonts w:eastAsia="Times New Roman" w:cs="Times New Roman"/>
                <w:i/>
                <w:iCs/>
                <w:lang w:eastAsia="bg-BG" w:bidi="bg-BG"/>
              </w:rPr>
              <w:t xml:space="preserve"> </w:t>
            </w:r>
            <w:r w:rsidRPr="009F6D1E">
              <w:rPr>
                <w:rFonts w:eastAsia="Times New Roman" w:cs="Times New Roman"/>
                <w:lang w:eastAsia="bg-BG" w:bidi="bg-BG"/>
              </w:rPr>
              <w:t>и</w:t>
            </w:r>
            <w:r w:rsidR="007F11D7" w:rsidRPr="009F6D1E">
              <w:rPr>
                <w:rFonts w:eastAsia="Times New Roman" w:cs="Times New Roman"/>
                <w:lang w:eastAsia="bg-BG" w:bidi="bg-BG"/>
              </w:rPr>
              <w:t xml:space="preserve"> и</w:t>
            </w:r>
            <w:r w:rsidRPr="009F6D1E">
              <w:rPr>
                <w:rFonts w:eastAsia="Times New Roman" w:cs="Times New Roman"/>
                <w:lang w:eastAsia="bg-BG" w:bidi="bg-BG"/>
              </w:rPr>
              <w:t>нтервенци</w:t>
            </w:r>
            <w:r w:rsidR="007F11D7" w:rsidRPr="009F6D1E">
              <w:rPr>
                <w:rFonts w:eastAsia="Times New Roman" w:cs="Times New Roman"/>
                <w:lang w:eastAsia="bg-BG" w:bidi="bg-BG"/>
              </w:rPr>
              <w:t>ите към нея.</w:t>
            </w:r>
          </w:p>
          <w:p w14:paraId="5C9EDADF" w14:textId="77777777" w:rsidR="00BC3BFF" w:rsidRPr="009F6D1E" w:rsidRDefault="00BC3BFF" w:rsidP="0084747F">
            <w:pPr>
              <w:widowControl w:val="0"/>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007F11D7" w:rsidRPr="009F6D1E">
              <w:rPr>
                <w:rFonts w:cs="Times New Roman"/>
              </w:rPr>
              <w:t xml:space="preserve"> </w:t>
            </w:r>
            <w:r w:rsidR="007F11D7" w:rsidRPr="009F6D1E">
              <w:rPr>
                <w:rFonts w:eastAsia="Times New Roman" w:cs="Times New Roman"/>
                <w:i/>
                <w:iCs/>
                <w:lang w:eastAsia="bg-BG" w:bidi="bg-BG"/>
              </w:rPr>
              <w:t>П.4.4.Потребност от използването на култури и сортове, приспособени към климата</w:t>
            </w:r>
            <w:r w:rsidR="005D5C19" w:rsidRPr="009F6D1E">
              <w:rPr>
                <w:rFonts w:eastAsia="Times New Roman" w:cs="Times New Roman"/>
                <w:i/>
                <w:iCs/>
                <w:lang w:eastAsia="bg-BG" w:bidi="bg-BG"/>
              </w:rPr>
              <w:t xml:space="preserve"> </w:t>
            </w:r>
            <w:r w:rsidR="005D5C19" w:rsidRPr="009F6D1E">
              <w:rPr>
                <w:rFonts w:eastAsia="Times New Roman" w:cs="Times New Roman"/>
                <w:lang w:eastAsia="bg-BG" w:bidi="bg-BG"/>
              </w:rPr>
              <w:t>и интервенциите към нея</w:t>
            </w:r>
          </w:p>
          <w:p w14:paraId="553F8E9A" w14:textId="77777777" w:rsidR="005D5C19" w:rsidRPr="009F6D1E" w:rsidRDefault="005D5C19" w:rsidP="0084747F">
            <w:pPr>
              <w:widowControl w:val="0"/>
              <w:spacing w:after="60" w:line="264" w:lineRule="auto"/>
              <w:jc w:val="both"/>
              <w:rPr>
                <w:rFonts w:eastAsia="Calibri" w:cs="Times New Roman"/>
                <w:bCs/>
                <w:i/>
                <w:iCs/>
                <w:lang w:eastAsia="en-GB" w:bidi="bg-BG"/>
              </w:rPr>
            </w:pPr>
            <w:r w:rsidRPr="009F6D1E">
              <w:rPr>
                <w:rFonts w:eastAsia="Times New Roman" w:cs="Times New Roman"/>
                <w:i/>
                <w:iCs/>
                <w:lang w:eastAsia="bg-BG" w:bidi="bg-BG"/>
              </w:rPr>
              <w:t>Потребност</w:t>
            </w:r>
            <w:r w:rsidRPr="009F6D1E">
              <w:rPr>
                <w:rFonts w:cs="Times New Roman"/>
              </w:rPr>
              <w:t xml:space="preserve"> </w:t>
            </w:r>
            <w:r w:rsidRPr="009F6D1E">
              <w:rPr>
                <w:rFonts w:eastAsia="Calibri" w:cs="Times New Roman"/>
                <w:bCs/>
                <w:i/>
                <w:iCs/>
                <w:lang w:eastAsia="en-GB" w:bidi="bg-BG"/>
              </w:rPr>
              <w:t xml:space="preserve">П.4.8. Устойчиво управление на горските територии, запасите от дървесина и въглерод в горската биомаса, за адаптиране към промените на климата </w:t>
            </w:r>
            <w:r w:rsidRPr="009F6D1E">
              <w:rPr>
                <w:rFonts w:eastAsia="Times New Roman" w:cs="Times New Roman"/>
                <w:lang w:eastAsia="bg-BG" w:bidi="bg-BG"/>
              </w:rPr>
              <w:t>и интервенциите към нея</w:t>
            </w:r>
          </w:p>
          <w:p w14:paraId="024E91E0" w14:textId="77777777" w:rsidR="005D5C19" w:rsidRPr="009F6D1E" w:rsidRDefault="005D5C19" w:rsidP="0084747F">
            <w:pPr>
              <w:widowControl w:val="0"/>
              <w:spacing w:after="60" w:line="264" w:lineRule="auto"/>
              <w:jc w:val="both"/>
              <w:rPr>
                <w:rFonts w:eastAsia="Calibri" w:cs="Times New Roman"/>
                <w:bCs/>
                <w:i/>
                <w:iCs/>
                <w:lang w:eastAsia="en-GB" w:bidi="bg-BG"/>
              </w:rPr>
            </w:pPr>
          </w:p>
          <w:p w14:paraId="1B3EEF61" w14:textId="77777777" w:rsidR="00FB33FE"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lastRenderedPageBreak/>
              <w:t>СПРЗСР</w:t>
            </w:r>
            <w:r w:rsidR="00FB33FE" w:rsidRPr="009F6D1E">
              <w:rPr>
                <w:rFonts w:eastAsia="Times New Roman" w:cs="Times New Roman"/>
                <w:i/>
                <w:iCs/>
                <w:u w:val="single"/>
                <w:lang w:eastAsia="bg-BG" w:bidi="bg-BG"/>
              </w:rPr>
              <w:t xml:space="preserve"> съобразява пряко Препоръка 3 на ЕК чрез:</w:t>
            </w:r>
          </w:p>
          <w:p w14:paraId="58722E23" w14:textId="77777777" w:rsidR="00FB33FE" w:rsidRPr="009F6D1E" w:rsidRDefault="00FB33FE" w:rsidP="0084747F">
            <w:pPr>
              <w:widowControl w:val="0"/>
              <w:tabs>
                <w:tab w:val="left" w:pos="1080"/>
              </w:tabs>
              <w:spacing w:after="60" w:line="264" w:lineRule="auto"/>
              <w:jc w:val="both"/>
              <w:rPr>
                <w:rFonts w:eastAsia="Times New Roman" w:cs="Times New Roman"/>
                <w:bCs/>
                <w:i/>
                <w:lang w:eastAsia="bg-BG" w:bidi="bg-BG"/>
              </w:rPr>
            </w:pPr>
            <w:r w:rsidRPr="009F6D1E">
              <w:rPr>
                <w:rFonts w:cs="Times New Roman"/>
                <w:bCs/>
                <w:i/>
              </w:rPr>
              <w:t xml:space="preserve">Специфична цел № 8 – потребност </w:t>
            </w:r>
            <w:r w:rsidR="00163844" w:rsidRPr="009F6D1E">
              <w:rPr>
                <w:rFonts w:eastAsia="Times New Roman" w:cs="Times New Roman"/>
                <w:bCs/>
                <w:i/>
                <w:lang w:eastAsia="bg-BG" w:bidi="bg-BG"/>
              </w:rPr>
              <w:t>П.8.2. Подобряване на здравните и социалните услуги</w:t>
            </w:r>
            <w:r w:rsidRPr="009F6D1E">
              <w:rPr>
                <w:rFonts w:eastAsia="Times New Roman" w:cs="Times New Roman"/>
                <w:bCs/>
                <w:i/>
                <w:lang w:eastAsia="bg-BG" w:bidi="bg-BG"/>
              </w:rPr>
              <w:t xml:space="preserve">, </w:t>
            </w:r>
            <w:r w:rsidRPr="009F6D1E">
              <w:rPr>
                <w:rFonts w:eastAsia="Times New Roman" w:cs="Times New Roman"/>
                <w:bCs/>
                <w:iCs/>
                <w:lang w:eastAsia="bg-BG" w:bidi="bg-BG"/>
              </w:rPr>
              <w:t>интервенция</w:t>
            </w:r>
            <w:r w:rsidRPr="009F6D1E">
              <w:rPr>
                <w:rFonts w:eastAsia="Times New Roman" w:cs="Times New Roman"/>
                <w:bCs/>
                <w:i/>
                <w:lang w:eastAsia="bg-BG" w:bidi="bg-BG"/>
              </w:rPr>
              <w:t xml:space="preserve"> „</w:t>
            </w:r>
            <w:r w:rsidRPr="009F6D1E">
              <w:rPr>
                <w:rFonts w:eastAsia="Times New Roman" w:cs="Times New Roman"/>
                <w:bCs/>
                <w:i/>
                <w:iCs/>
                <w:lang w:eastAsia="bg-BG" w:bidi="bg-BG"/>
              </w:rPr>
              <w:t xml:space="preserve">Инвестиции  за  неселскостопански  дейности в селските райони“ -  </w:t>
            </w:r>
            <w:r w:rsidRPr="009F6D1E">
              <w:rPr>
                <w:rFonts w:eastAsia="Times New Roman" w:cs="Times New Roman"/>
                <w:bCs/>
                <w:iCs/>
                <w:lang w:eastAsia="bg-BG" w:bidi="bg-BG"/>
              </w:rPr>
              <w:t>Осигуряване на инвестиции за бизнеса в областта на здравеопазването и социалните услуги  за преодоляване на множество здравни проблеми и предизвикателства в селските райони като достъпни, качествени, здравни и социални услуги.</w:t>
            </w:r>
          </w:p>
          <w:p w14:paraId="2F60D3A6" w14:textId="77777777" w:rsidR="00BC3BFF" w:rsidRPr="009F6D1E" w:rsidRDefault="00FB33FE" w:rsidP="0084747F">
            <w:pPr>
              <w:widowControl w:val="0"/>
              <w:spacing w:after="60" w:line="264" w:lineRule="auto"/>
              <w:jc w:val="both"/>
              <w:rPr>
                <w:rFonts w:cs="Times New Roman"/>
                <w:bCs/>
                <w:i/>
              </w:rPr>
            </w:pPr>
            <w:r w:rsidRPr="009F6D1E">
              <w:rPr>
                <w:rFonts w:cs="Times New Roman"/>
                <w:bCs/>
                <w:i/>
              </w:rPr>
              <w:t>Специфична цел № 9 – потребност</w:t>
            </w:r>
            <w:r w:rsidR="00163844" w:rsidRPr="009F6D1E">
              <w:rPr>
                <w:rFonts w:cs="Times New Roman"/>
                <w:bCs/>
                <w:i/>
              </w:rPr>
              <w:t xml:space="preserve"> П.9.3.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r w:rsidRPr="009F6D1E">
              <w:rPr>
                <w:rFonts w:cs="Times New Roman"/>
                <w:bCs/>
                <w:i/>
              </w:rPr>
              <w:t>;</w:t>
            </w:r>
          </w:p>
          <w:p w14:paraId="30A46677" w14:textId="77777777" w:rsidR="00FB33FE"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FB33FE" w:rsidRPr="009F6D1E">
              <w:rPr>
                <w:rFonts w:eastAsia="Times New Roman" w:cs="Times New Roman"/>
                <w:i/>
                <w:iCs/>
                <w:u w:val="single"/>
                <w:lang w:eastAsia="bg-BG" w:bidi="bg-BG"/>
              </w:rPr>
              <w:t xml:space="preserve"> съобразява пряко Препоръка 4 на ЕК чрез:</w:t>
            </w:r>
          </w:p>
          <w:p w14:paraId="2DFBB0EF" w14:textId="77777777" w:rsidR="00385B42" w:rsidRPr="009F6D1E" w:rsidRDefault="00385B42" w:rsidP="0084747F">
            <w:pPr>
              <w:widowControl w:val="0"/>
              <w:autoSpaceDE w:val="0"/>
              <w:autoSpaceDN w:val="0"/>
              <w:adjustRightInd w:val="0"/>
              <w:spacing w:after="60" w:line="264" w:lineRule="auto"/>
              <w:jc w:val="both"/>
              <w:rPr>
                <w:rFonts w:cs="Times New Roman"/>
                <w:bCs/>
                <w:iCs/>
                <w:lang w:bidi="bg-BG"/>
              </w:rPr>
            </w:pPr>
            <w:r w:rsidRPr="009F6D1E">
              <w:rPr>
                <w:rFonts w:cs="Times New Roman"/>
                <w:i/>
              </w:rPr>
              <w:t>Специфична цел №2 – потребност</w:t>
            </w:r>
            <w:r w:rsidR="00163844" w:rsidRPr="009F6D1E">
              <w:rPr>
                <w:rFonts w:cs="Times New Roman"/>
              </w:rPr>
              <w:t xml:space="preserve"> </w:t>
            </w:r>
            <w:r w:rsidR="00163844" w:rsidRPr="009F6D1E">
              <w:rPr>
                <w:rFonts w:cs="Times New Roman"/>
                <w:i/>
              </w:rPr>
              <w:t>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r w:rsidRPr="009F6D1E">
              <w:rPr>
                <w:rFonts w:eastAsia="Times New Roman" w:cs="Times New Roman"/>
                <w:i/>
                <w:iCs/>
                <w:lang w:eastAsia="bg-BG" w:bidi="bg-BG"/>
              </w:rPr>
              <w:t xml:space="preserve">, Интервенция: </w:t>
            </w:r>
            <w:r w:rsidR="00C42930" w:rsidRPr="009F6D1E">
              <w:rPr>
                <w:rFonts w:cs="Times New Roman"/>
                <w:lang w:bidi="bg-BG"/>
              </w:rPr>
              <w:t>„</w:t>
            </w:r>
            <w:r w:rsidR="00C42930" w:rsidRPr="009F6D1E">
              <w:rPr>
                <w:rFonts w:cs="Times New Roman"/>
                <w:i/>
                <w:iCs/>
                <w:lang w:bidi="bg-BG"/>
              </w:rPr>
              <w:t>Инвестиции в земеделски стопанства</w:t>
            </w:r>
            <w:r w:rsidR="00C42930" w:rsidRPr="009F6D1E">
              <w:rPr>
                <w:rFonts w:cs="Times New Roman"/>
                <w:lang w:bidi="bg-BG"/>
              </w:rPr>
              <w:t xml:space="preserve">“ – чл. 73 (ЕЗФРСР). </w:t>
            </w:r>
            <w:r w:rsidR="00C42930" w:rsidRPr="009F6D1E">
              <w:rPr>
                <w:rFonts w:cs="Times New Roman"/>
                <w:lang w:bidi="bg-BG"/>
              </w:rPr>
              <w:lastRenderedPageBreak/>
              <w:t>Подпомагането ще бъде насочено към  адресиране на необходимостта от внедряване на нови технологии в стопанства, които са пазарно ориентирани и насочени към инвестиции и диверсификация на производствата</w:t>
            </w:r>
            <w:r w:rsidRPr="009F6D1E">
              <w:rPr>
                <w:rFonts w:cs="Times New Roman"/>
                <w:bCs/>
                <w:iCs/>
                <w:lang w:bidi="bg-BG"/>
              </w:rPr>
              <w:t>.</w:t>
            </w:r>
          </w:p>
          <w:p w14:paraId="2BBF822A" w14:textId="77777777" w:rsidR="00C42930" w:rsidRPr="009F6D1E" w:rsidRDefault="00C42930" w:rsidP="0084747F">
            <w:pPr>
              <w:widowControl w:val="0"/>
              <w:spacing w:after="60" w:line="264" w:lineRule="auto"/>
              <w:jc w:val="both"/>
              <w:rPr>
                <w:rFonts w:cs="Times New Roman"/>
                <w:bCs/>
                <w:i/>
                <w:lang w:bidi="bg-BG"/>
              </w:rPr>
            </w:pPr>
            <w:r w:rsidRPr="009F6D1E">
              <w:rPr>
                <w:rFonts w:cs="Times New Roman"/>
                <w:bCs/>
                <w:i/>
              </w:rPr>
              <w:t>Специфична цел № 7 - Потребност</w:t>
            </w:r>
            <w:r w:rsidRPr="009F6D1E">
              <w:rPr>
                <w:rFonts w:cs="Times New Roman"/>
              </w:rPr>
              <w:t xml:space="preserve"> </w:t>
            </w:r>
            <w:r w:rsidRPr="009F6D1E">
              <w:rPr>
                <w:rFonts w:cs="Times New Roman"/>
                <w:bCs/>
                <w:i/>
                <w:lang w:bidi="bg-BG"/>
              </w:rPr>
              <w:t xml:space="preserve">П.7.6. 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 </w:t>
            </w:r>
            <w:r w:rsidRPr="009F6D1E">
              <w:rPr>
                <w:rFonts w:cs="Times New Roman"/>
                <w:bCs/>
                <w:iCs/>
                <w:lang w:bidi="bg-BG"/>
              </w:rPr>
              <w:t>и интервенциите към нея</w:t>
            </w:r>
          </w:p>
          <w:p w14:paraId="6CF147B7" w14:textId="77777777" w:rsidR="00385B42" w:rsidRPr="009F6D1E" w:rsidRDefault="00385B42" w:rsidP="0084747F">
            <w:pPr>
              <w:widowControl w:val="0"/>
              <w:spacing w:after="60" w:line="264" w:lineRule="auto"/>
              <w:jc w:val="both"/>
              <w:rPr>
                <w:rFonts w:cs="Times New Roman"/>
                <w:bCs/>
                <w:i/>
              </w:rPr>
            </w:pPr>
            <w:r w:rsidRPr="009F6D1E">
              <w:rPr>
                <w:rFonts w:cs="Times New Roman"/>
                <w:bCs/>
                <w:i/>
              </w:rPr>
              <w:t>Специфична цел № 10:</w:t>
            </w:r>
          </w:p>
          <w:p w14:paraId="7F593C1A" w14:textId="77777777" w:rsidR="00C42930" w:rsidRPr="009F6D1E" w:rsidRDefault="00C42930" w:rsidP="0084747F">
            <w:pPr>
              <w:widowControl w:val="0"/>
              <w:spacing w:after="60" w:line="264" w:lineRule="auto"/>
              <w:jc w:val="both"/>
              <w:rPr>
                <w:rFonts w:cs="Times New Roman"/>
                <w:bCs/>
                <w:i/>
              </w:rPr>
            </w:pPr>
            <w:r w:rsidRPr="009F6D1E">
              <w:rPr>
                <w:rFonts w:cs="Times New Roman"/>
                <w:bCs/>
                <w:i/>
              </w:rPr>
              <w:t>Потребност</w:t>
            </w:r>
            <w:r w:rsidRPr="009F6D1E">
              <w:rPr>
                <w:rFonts w:cs="Times New Roman"/>
              </w:rPr>
              <w:t xml:space="preserve"> </w:t>
            </w:r>
            <w:r w:rsidRPr="009F6D1E">
              <w:rPr>
                <w:rFonts w:cs="Times New Roman"/>
                <w:bCs/>
                <w:i/>
              </w:rPr>
              <w:t xml:space="preserve">П.10.4. Насърчаване на различни форми на коопериране между различните участници в системата на ССЗИСС </w:t>
            </w:r>
            <w:r w:rsidRPr="009F6D1E">
              <w:rPr>
                <w:rFonts w:eastAsia="Times New Roman" w:cs="Times New Roman"/>
                <w:i/>
                <w:color w:val="000000"/>
                <w:lang w:eastAsia="bg-BG" w:bidi="bg-BG"/>
              </w:rPr>
              <w:t xml:space="preserve">(AKIS) </w:t>
            </w:r>
            <w:r w:rsidRPr="009F6D1E">
              <w:rPr>
                <w:rFonts w:cs="Times New Roman"/>
                <w:bCs/>
                <w:i/>
              </w:rPr>
              <w:t>за подобряване ефективността от внедряването, разпространението и приложението на иновативни решения базирани на дигитални технологии и споделяне на знания, специфични за различните секторни производства;</w:t>
            </w:r>
          </w:p>
          <w:p w14:paraId="1D639EC5" w14:textId="77777777" w:rsidR="00BC3BFF" w:rsidRPr="009F6D1E" w:rsidRDefault="00385B42" w:rsidP="0084747F">
            <w:pPr>
              <w:widowControl w:val="0"/>
              <w:spacing w:after="60" w:line="264" w:lineRule="auto"/>
              <w:jc w:val="both"/>
              <w:rPr>
                <w:rFonts w:cs="Times New Roman"/>
                <w:bCs/>
                <w:i/>
              </w:rPr>
            </w:pPr>
            <w:r w:rsidRPr="009F6D1E">
              <w:rPr>
                <w:rFonts w:cs="Times New Roman"/>
                <w:bCs/>
                <w:i/>
              </w:rPr>
              <w:t>Потребност</w:t>
            </w:r>
            <w:r w:rsidR="00C42930" w:rsidRPr="009F6D1E">
              <w:rPr>
                <w:rFonts w:cs="Times New Roman"/>
              </w:rPr>
              <w:t xml:space="preserve"> </w:t>
            </w:r>
            <w:r w:rsidR="00C42930" w:rsidRPr="009F6D1E">
              <w:rPr>
                <w:rFonts w:cs="Times New Roman"/>
                <w:bCs/>
                <w:i/>
              </w:rPr>
              <w:t>П.10.5.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r w:rsidRPr="009F6D1E">
              <w:rPr>
                <w:rFonts w:cs="Times New Roman"/>
                <w:bCs/>
                <w:i/>
              </w:rPr>
              <w:t>;</w:t>
            </w:r>
          </w:p>
          <w:p w14:paraId="11CE9FA5" w14:textId="77777777" w:rsidR="00FB33FE" w:rsidRPr="009F6D1E" w:rsidRDefault="00FB33FE" w:rsidP="0084747F">
            <w:pPr>
              <w:widowControl w:val="0"/>
              <w:spacing w:after="60" w:line="264" w:lineRule="auto"/>
              <w:jc w:val="both"/>
              <w:rPr>
                <w:rFonts w:cs="Times New Roman"/>
                <w:iCs/>
              </w:rPr>
            </w:pPr>
            <w:r w:rsidRPr="009F6D1E">
              <w:rPr>
                <w:rFonts w:cs="Times New Roman"/>
                <w:iCs/>
              </w:rPr>
              <w:lastRenderedPageBreak/>
              <w:t>Косвен принос имат:</w:t>
            </w:r>
          </w:p>
          <w:p w14:paraId="3ECF39A2" w14:textId="0697EA2D" w:rsidR="00A80D9C" w:rsidRPr="009F6D1E" w:rsidRDefault="00FB33FE" w:rsidP="0084747F">
            <w:pPr>
              <w:widowControl w:val="0"/>
              <w:spacing w:after="60" w:line="264" w:lineRule="auto"/>
              <w:jc w:val="both"/>
              <w:rPr>
                <w:rFonts w:eastAsia="Calibri" w:cs="Times New Roman"/>
                <w:b/>
                <w:bCs/>
                <w:i/>
                <w:iCs/>
              </w:rPr>
            </w:pPr>
            <w:r w:rsidRPr="009F6D1E">
              <w:rPr>
                <w:rFonts w:cs="Times New Roman"/>
                <w:i/>
              </w:rPr>
              <w:t>Специфична цел №2 – потребност</w:t>
            </w:r>
            <w:r w:rsidR="00B327AE" w:rsidRPr="009F6D1E">
              <w:rPr>
                <w:rFonts w:cs="Times New Roman"/>
                <w:lang w:bidi="bg-BG"/>
              </w:rPr>
              <w:t xml:space="preserve"> </w:t>
            </w:r>
            <w:r w:rsidR="00B327AE" w:rsidRPr="009F6D1E">
              <w:rPr>
                <w:rFonts w:cs="Times New Roman"/>
                <w:i/>
              </w:rPr>
              <w:t>П.2.2. Подобряване на производителността и добивите в секторите на селското стопанство, осигуряващи продукти с по-висока добавена стойност</w:t>
            </w:r>
            <w:r w:rsidRPr="009F6D1E">
              <w:rPr>
                <w:rFonts w:eastAsia="Times New Roman" w:cs="Times New Roman"/>
                <w:b/>
                <w:bCs/>
                <w:i/>
                <w:iCs/>
                <w:lang w:eastAsia="bg-BG" w:bidi="bg-BG"/>
              </w:rPr>
              <w:t xml:space="preserve">, </w:t>
            </w:r>
            <w:r w:rsidRPr="009F6D1E">
              <w:rPr>
                <w:rFonts w:eastAsia="Times New Roman" w:cs="Times New Roman"/>
                <w:lang w:eastAsia="bg-BG" w:bidi="bg-BG"/>
              </w:rPr>
              <w:t>интервенция „</w:t>
            </w:r>
            <w:r w:rsidRPr="009F6D1E">
              <w:rPr>
                <w:rFonts w:eastAsia="Times New Roman" w:cs="Times New Roman"/>
                <w:i/>
                <w:iCs/>
                <w:lang w:eastAsia="bg-BG" w:bidi="bg-BG"/>
              </w:rPr>
              <w:t>Консултантски услуги и повишаване на консултантския капацитет“, съгласно чл. 72 "Обмен на знания и информация"(ЕЗФРСР)</w:t>
            </w:r>
            <w:r w:rsidRPr="009F6D1E">
              <w:rPr>
                <w:rFonts w:eastAsia="Times New Roman" w:cs="Times New Roman"/>
                <w:lang w:eastAsia="bg-BG" w:bidi="bg-BG"/>
              </w:rPr>
              <w:t>. Предвидената подкрепа ще осигури възможност за консултиране на земеделските стопанства по теми, свързани с устойчивото развитие на земеделските стопанствата, вкл. интервенции на равнище стопанство, които са насочени към модернизиране на стопанството, изграждане на конкурент</w:t>
            </w:r>
            <w:r w:rsidR="007D1377">
              <w:rPr>
                <w:rFonts w:eastAsia="Times New Roman" w:cs="Times New Roman"/>
                <w:lang w:eastAsia="bg-BG" w:bidi="bg-BG"/>
              </w:rPr>
              <w:t>ос</w:t>
            </w:r>
            <w:r w:rsidR="00F31AED">
              <w:rPr>
                <w:rFonts w:eastAsia="Times New Roman" w:cs="Times New Roman"/>
                <w:lang w:eastAsia="bg-BG" w:bidi="bg-BG"/>
              </w:rPr>
              <w:t>п</w:t>
            </w:r>
            <w:r w:rsidRPr="009F6D1E">
              <w:rPr>
                <w:rFonts w:eastAsia="Times New Roman" w:cs="Times New Roman"/>
                <w:lang w:eastAsia="bg-BG" w:bidi="bg-BG"/>
              </w:rPr>
              <w:t>особност, секторна интеграция, иновации и пазарно ориентиране;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w:t>
            </w:r>
            <w:r w:rsidR="00F31AED">
              <w:rPr>
                <w:rFonts w:eastAsia="Times New Roman" w:cs="Times New Roman"/>
                <w:lang w:eastAsia="bg-BG" w:bidi="bg-BG"/>
              </w:rPr>
              <w:t>осп</w:t>
            </w:r>
            <w:r w:rsidRPr="009F6D1E">
              <w:rPr>
                <w:rFonts w:eastAsia="Times New Roman" w:cs="Times New Roman"/>
                <w:lang w:eastAsia="bg-BG" w:bidi="bg-BG"/>
              </w:rPr>
              <w:t>особността и маркетинга и реализация на произвежданите земеделски продукти; управление на риска в земеделското стопанството, като по този начин се очаква да бъде постигнат ефект по отношение на подобряване на производителността и добивите на малките земеделски стопанства.</w:t>
            </w:r>
          </w:p>
        </w:tc>
      </w:tr>
      <w:tr w:rsidR="0078017C" w:rsidRPr="009F6D1E" w14:paraId="1E61AD82" w14:textId="77777777" w:rsidTr="0078017C">
        <w:tc>
          <w:tcPr>
            <w:tcW w:w="7139" w:type="dxa"/>
          </w:tcPr>
          <w:p w14:paraId="4FEA7070" w14:textId="77777777" w:rsidR="00D121EB" w:rsidRPr="009F6D1E" w:rsidRDefault="00C301B6" w:rsidP="0084747F">
            <w:pPr>
              <w:widowControl w:val="0"/>
              <w:spacing w:after="60" w:line="264" w:lineRule="auto"/>
              <w:contextualSpacing/>
              <w:jc w:val="both"/>
              <w:rPr>
                <w:rFonts w:eastAsia="Calibri" w:cs="Times New Roman"/>
                <w:b/>
                <w:bCs/>
                <w:i/>
                <w:iCs/>
              </w:rPr>
            </w:pPr>
            <w:r w:rsidRPr="009F6D1E">
              <w:rPr>
                <w:rFonts w:eastAsia="Calibri" w:cs="Times New Roman"/>
                <w:b/>
                <w:bCs/>
                <w:i/>
                <w:iCs/>
              </w:rPr>
              <w:lastRenderedPageBreak/>
              <w:t>Съобщение на Европейската комисия за Европейски зелен пакт, СОМ (2019)640</w:t>
            </w:r>
          </w:p>
          <w:p w14:paraId="6FE84EA1"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rPr>
              <w:t>Документът поставя 10 основни точки в плана на Европейската комисия:</w:t>
            </w:r>
          </w:p>
          <w:p w14:paraId="3E1D5D71"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1. „Климатично неутрална“ Европа</w:t>
            </w:r>
            <w:r w:rsidRPr="009F6D1E">
              <w:rPr>
                <w:rFonts w:cs="Times New Roman"/>
              </w:rPr>
              <w:t xml:space="preserve"> – цел за постигане на нулеви нетни емисии на парниковите газове до 2050 г., която ще бъде подпомогната от нов „Закон за климата“</w:t>
            </w:r>
          </w:p>
          <w:p w14:paraId="079681B6"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2. Кръгова икономика</w:t>
            </w:r>
            <w:r w:rsidRPr="009F6D1E">
              <w:rPr>
                <w:rFonts w:cs="Times New Roman"/>
              </w:rPr>
              <w:t xml:space="preserve"> – предвиден е нов план за действие, свързан с кръговата икономика, като част от по-широката индустриална стратегия на ЕС – насочен към устойчива продуктова политика с „предписания как да се произвеждат стоки“, използвайки по-малко материали и гарантирайки, че те ще могат да бъдат използвани повторно и да бъдат рециклирани;</w:t>
            </w:r>
          </w:p>
          <w:p w14:paraId="33FAC56F" w14:textId="77777777" w:rsidR="00D121EB" w:rsidRPr="009F6D1E" w:rsidRDefault="00C301B6" w:rsidP="0084747F">
            <w:pPr>
              <w:widowControl w:val="0"/>
              <w:spacing w:after="60" w:line="264" w:lineRule="auto"/>
              <w:contextualSpacing/>
              <w:jc w:val="both"/>
              <w:rPr>
                <w:rFonts w:cs="Times New Roman"/>
                <w:b/>
                <w:bCs/>
                <w:i/>
                <w:iCs/>
              </w:rPr>
            </w:pPr>
            <w:r w:rsidRPr="009F6D1E">
              <w:rPr>
                <w:rFonts w:cs="Times New Roman"/>
                <w:b/>
                <w:bCs/>
                <w:i/>
                <w:iCs/>
              </w:rPr>
              <w:t>3. Реновиране на сградите;</w:t>
            </w:r>
          </w:p>
          <w:p w14:paraId="36751482"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4. Нулево замърсяване</w:t>
            </w:r>
            <w:r w:rsidRPr="009F6D1E">
              <w:rPr>
                <w:rFonts w:cs="Times New Roman"/>
              </w:rPr>
              <w:t xml:space="preserve"> - независимо дали във въздуха, почвата или водата, целта е да се постигне „околна среда без замърсители“ до 2050 г.;</w:t>
            </w:r>
          </w:p>
          <w:p w14:paraId="44A08941"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5. Екосистеми и биоразнообразие</w:t>
            </w:r>
            <w:r w:rsidRPr="009F6D1E">
              <w:rPr>
                <w:rFonts w:cs="Times New Roman"/>
              </w:rPr>
              <w:t xml:space="preserve"> – нова стратегия за биологичното разнообразие до 2030 г. с нови мерки, адресиращи основните причинители за загубата на биологично разнообразие, мерки за справяне със замърсяването на почвата и водите, както и </w:t>
            </w:r>
            <w:r w:rsidRPr="009F6D1E">
              <w:rPr>
                <w:rFonts w:cs="Times New Roman"/>
              </w:rPr>
              <w:lastRenderedPageBreak/>
              <w:t>нова стратегия за горите;</w:t>
            </w:r>
          </w:p>
          <w:p w14:paraId="5DBE6E22"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6. Стратегия „От фермата до трапезата“</w:t>
            </w:r>
            <w:r w:rsidRPr="009F6D1E">
              <w:rPr>
                <w:rFonts w:cs="Times New Roman"/>
              </w:rPr>
              <w:t xml:space="preserve"> – цели „зелено и по-здравословно земеделие“ и включва планове за „значително намаляване на използването на химически пестициди, торове и антибиотици;</w:t>
            </w:r>
          </w:p>
          <w:p w14:paraId="6D94014A"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 xml:space="preserve">7. Транспорт </w:t>
            </w:r>
            <w:r w:rsidRPr="009F6D1E">
              <w:rPr>
                <w:rFonts w:cs="Times New Roman"/>
              </w:rPr>
              <w:t>– цели по отношение на въглеродните</w:t>
            </w:r>
            <w:r w:rsidRPr="009F6D1E">
              <w:rPr>
                <w:rFonts w:cs="Times New Roman"/>
                <w:b/>
                <w:bCs/>
                <w:i/>
                <w:iCs/>
              </w:rPr>
              <w:t xml:space="preserve"> </w:t>
            </w:r>
            <w:r w:rsidRPr="009F6D1E">
              <w:rPr>
                <w:rFonts w:cs="Times New Roman"/>
              </w:rPr>
              <w:t>емисии на автомобилите; насърчаване на електрическите превозни средства и на устойчивите алтернативни горива.</w:t>
            </w:r>
          </w:p>
          <w:p w14:paraId="62026626" w14:textId="77777777" w:rsidR="00D121EB" w:rsidRPr="009F6D1E" w:rsidRDefault="00C301B6" w:rsidP="0084747F">
            <w:pPr>
              <w:widowControl w:val="0"/>
              <w:spacing w:after="60" w:line="264" w:lineRule="auto"/>
              <w:contextualSpacing/>
              <w:jc w:val="both"/>
              <w:rPr>
                <w:rFonts w:cs="Times New Roman"/>
              </w:rPr>
            </w:pPr>
            <w:r w:rsidRPr="009F6D1E">
              <w:rPr>
                <w:rFonts w:cs="Times New Roman"/>
                <w:b/>
                <w:bCs/>
                <w:i/>
                <w:iCs/>
              </w:rPr>
              <w:t>8. Финанси</w:t>
            </w:r>
            <w:r w:rsidRPr="009F6D1E">
              <w:rPr>
                <w:rFonts w:cs="Times New Roman"/>
              </w:rPr>
              <w:t xml:space="preserve"> – механизъм за справедлив преход чрез предоставяне на помощ за районите, които са най-силно зависими от изкопаемите горива;</w:t>
            </w:r>
          </w:p>
          <w:p w14:paraId="111599CC" w14:textId="77777777" w:rsidR="00C301B6" w:rsidRPr="009F6D1E" w:rsidRDefault="00C301B6" w:rsidP="0084747F">
            <w:pPr>
              <w:widowControl w:val="0"/>
              <w:spacing w:after="60" w:line="264" w:lineRule="auto"/>
              <w:contextualSpacing/>
              <w:jc w:val="both"/>
              <w:rPr>
                <w:rFonts w:cs="Times New Roman"/>
              </w:rPr>
            </w:pPr>
            <w:r w:rsidRPr="009F6D1E">
              <w:rPr>
                <w:rFonts w:cs="Times New Roman"/>
              </w:rPr>
              <w:t>9</w:t>
            </w:r>
            <w:r w:rsidRPr="009F6D1E">
              <w:rPr>
                <w:rFonts w:cs="Times New Roman"/>
                <w:b/>
                <w:bCs/>
                <w:i/>
                <w:iCs/>
              </w:rPr>
              <w:t>. Научни изследвания и разработки и иновации</w:t>
            </w:r>
            <w:r w:rsidRPr="009F6D1E">
              <w:rPr>
                <w:rFonts w:cs="Times New Roman"/>
              </w:rPr>
              <w:t xml:space="preserve"> – финансиране на научни изследвания за благоприятни за климата технологии и изследователски проекти с екологични цели;</w:t>
            </w:r>
          </w:p>
          <w:p w14:paraId="04B9E05C" w14:textId="77777777" w:rsidR="0078017C" w:rsidRPr="009F6D1E" w:rsidRDefault="00C301B6" w:rsidP="0084747F">
            <w:pPr>
              <w:widowControl w:val="0"/>
              <w:spacing w:after="60" w:line="264" w:lineRule="auto"/>
              <w:contextualSpacing/>
              <w:jc w:val="both"/>
              <w:rPr>
                <w:rFonts w:eastAsia="Calibri" w:cs="Times New Roman"/>
                <w:b/>
                <w:bCs/>
                <w:i/>
                <w:iCs/>
              </w:rPr>
            </w:pPr>
            <w:r w:rsidRPr="009F6D1E">
              <w:rPr>
                <w:rFonts w:cs="Times New Roman"/>
                <w:b/>
                <w:bCs/>
                <w:i/>
                <w:iCs/>
              </w:rPr>
              <w:t>10. Външни отношения</w:t>
            </w:r>
            <w:r w:rsidRPr="009F6D1E">
              <w:rPr>
                <w:rFonts w:cs="Times New Roman"/>
              </w:rPr>
              <w:t>.</w:t>
            </w:r>
          </w:p>
        </w:tc>
        <w:tc>
          <w:tcPr>
            <w:tcW w:w="7139" w:type="dxa"/>
          </w:tcPr>
          <w:p w14:paraId="69E0D434" w14:textId="77777777" w:rsidR="00D121EB"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lastRenderedPageBreak/>
              <w:t>СПРЗСР</w:t>
            </w:r>
            <w:r w:rsidR="00D121EB" w:rsidRPr="009F6D1E">
              <w:rPr>
                <w:rFonts w:eastAsia="Times New Roman" w:cs="Times New Roman"/>
                <w:i/>
                <w:iCs/>
                <w:u w:val="single"/>
                <w:lang w:eastAsia="bg-BG" w:bidi="bg-BG"/>
              </w:rPr>
              <w:t xml:space="preserve"> ще има пряк принос към  точка 1 чрез:</w:t>
            </w:r>
          </w:p>
          <w:p w14:paraId="7139C43A" w14:textId="77777777" w:rsidR="00D121EB" w:rsidRPr="009F6D1E" w:rsidRDefault="00D121EB" w:rsidP="0084747F">
            <w:pPr>
              <w:widowControl w:val="0"/>
              <w:spacing w:after="60" w:line="264" w:lineRule="auto"/>
              <w:jc w:val="both"/>
              <w:rPr>
                <w:rFonts w:cs="Times New Roman"/>
                <w:bCs/>
                <w:i/>
              </w:rPr>
            </w:pPr>
            <w:r w:rsidRPr="009F6D1E">
              <w:rPr>
                <w:rFonts w:cs="Times New Roman"/>
                <w:bCs/>
                <w:i/>
              </w:rPr>
              <w:t>Специфична цел №1:</w:t>
            </w:r>
          </w:p>
          <w:p w14:paraId="5029D024" w14:textId="77777777" w:rsidR="00D121EB" w:rsidRPr="009F6D1E" w:rsidRDefault="00D121EB" w:rsidP="0084747F">
            <w:pPr>
              <w:widowControl w:val="0"/>
              <w:spacing w:after="60" w:line="264" w:lineRule="auto"/>
              <w:jc w:val="both"/>
              <w:rPr>
                <w:rFonts w:eastAsia="Times New Roman" w:cs="Times New Roman"/>
                <w:bCs/>
                <w:lang w:eastAsia="bg-BG" w:bidi="bg-BG"/>
              </w:rPr>
            </w:pPr>
            <w:r w:rsidRPr="009F6D1E">
              <w:rPr>
                <w:rFonts w:cs="Times New Roman"/>
                <w:bCs/>
                <w:i/>
              </w:rPr>
              <w:t>Потребност</w:t>
            </w:r>
            <w:r w:rsidR="00BD77EA" w:rsidRPr="009F6D1E">
              <w:rPr>
                <w:rFonts w:cs="Times New Roman"/>
                <w:lang w:bidi="bg-BG"/>
              </w:rPr>
              <w:t xml:space="preserve"> </w:t>
            </w:r>
            <w:r w:rsidR="00BD77EA" w:rsidRPr="009F6D1E">
              <w:rPr>
                <w:rFonts w:cs="Times New Roman"/>
                <w:bCs/>
                <w:i/>
              </w:rPr>
              <w:t>П.1.5.Надграждане и диверсифициране на системата за управление на риска и управление на кризите в земеделието</w:t>
            </w:r>
            <w:r w:rsidRPr="009F6D1E">
              <w:rPr>
                <w:rFonts w:eastAsia="Times New Roman" w:cs="Times New Roman"/>
                <w:bCs/>
                <w:i/>
                <w:iCs/>
                <w:lang w:eastAsia="bg-BG" w:bidi="bg-BG"/>
              </w:rPr>
              <w:t xml:space="preserve">, </w:t>
            </w:r>
            <w:r w:rsidRPr="009F6D1E">
              <w:rPr>
                <w:rFonts w:eastAsia="Times New Roman" w:cs="Times New Roman"/>
                <w:bCs/>
                <w:lang w:eastAsia="bg-BG" w:bidi="bg-BG"/>
              </w:rPr>
              <w:t>интервенция</w:t>
            </w:r>
            <w:r w:rsidRPr="009F6D1E">
              <w:rPr>
                <w:rFonts w:eastAsia="Times New Roman" w:cs="Times New Roman"/>
                <w:bCs/>
                <w:i/>
                <w:iCs/>
                <w:lang w:eastAsia="bg-BG" w:bidi="bg-BG"/>
              </w:rPr>
              <w:t xml:space="preserve"> „Възстановяването на земеделски потенциал след природни бедствия или катастрофични събития и инвестиции в подходящи превантивни действия“, съгласно чл. </w:t>
            </w:r>
            <w:r w:rsidR="00BD77EA" w:rsidRPr="009F6D1E">
              <w:rPr>
                <w:rFonts w:eastAsia="Times New Roman" w:cs="Times New Roman"/>
                <w:bCs/>
                <w:i/>
                <w:iCs/>
                <w:lang w:eastAsia="bg-BG" w:bidi="bg-BG"/>
              </w:rPr>
              <w:t>73</w:t>
            </w:r>
            <w:r w:rsidRPr="009F6D1E">
              <w:rPr>
                <w:rFonts w:eastAsia="Times New Roman" w:cs="Times New Roman"/>
                <w:bCs/>
                <w:i/>
                <w:iCs/>
                <w:lang w:eastAsia="bg-BG" w:bidi="bg-BG"/>
              </w:rPr>
              <w:t xml:space="preserve"> от ЕЗФРСР.  </w:t>
            </w:r>
            <w:r w:rsidRPr="009F6D1E">
              <w:rPr>
                <w:rFonts w:eastAsia="Times New Roman" w:cs="Times New Roman"/>
                <w:bCs/>
                <w:lang w:eastAsia="bg-BG" w:bidi="bg-BG"/>
              </w:rPr>
              <w:t>Чрез интервенцията ще се осигури подкрепа, която ще повиши нивото на превенция в земеделските стопанства, а също така и подкрепа за възстановяването на земеделски производствен потенциал в случаите, в които той е бил нарушен в резултат от природни бедствия или катастрофични събития, свързани с неблагоприятни климатични събития, природни бедствия, заболявания по растенията и животните, нестабилност на цените, трудности при намиране на пазари и други.</w:t>
            </w:r>
          </w:p>
          <w:p w14:paraId="6F22E4A5" w14:textId="77777777" w:rsidR="00D121EB" w:rsidRPr="009F6D1E" w:rsidRDefault="00D121EB" w:rsidP="0084747F">
            <w:pPr>
              <w:widowControl w:val="0"/>
              <w:spacing w:after="60" w:line="264" w:lineRule="auto"/>
              <w:jc w:val="both"/>
              <w:rPr>
                <w:rFonts w:cs="Times New Roman"/>
                <w:lang w:bidi="bg-BG"/>
              </w:rPr>
            </w:pPr>
            <w:r w:rsidRPr="009F6D1E">
              <w:rPr>
                <w:rFonts w:eastAsia="Times New Roman" w:cs="Times New Roman"/>
                <w:i/>
                <w:iCs/>
                <w:lang w:eastAsia="bg-BG" w:bidi="bg-BG"/>
              </w:rPr>
              <w:t>Потребност</w:t>
            </w:r>
            <w:r w:rsidR="00BD77EA" w:rsidRPr="009F6D1E">
              <w:rPr>
                <w:rFonts w:eastAsia="Times New Roman" w:cs="Times New Roman"/>
                <w:i/>
                <w:iCs/>
                <w:lang w:eastAsia="bg-BG" w:bidi="bg-BG"/>
              </w:rPr>
              <w:t xml:space="preserve"> П.1.6. Оптимизиране на възможностите за напояване за намаляване на негативните последици от проявлението на </w:t>
            </w:r>
            <w:proofErr w:type="spellStart"/>
            <w:r w:rsidR="00BD77EA" w:rsidRPr="009F6D1E">
              <w:rPr>
                <w:rFonts w:eastAsia="Times New Roman" w:cs="Times New Roman"/>
                <w:i/>
                <w:iCs/>
                <w:lang w:eastAsia="bg-BG" w:bidi="bg-BG"/>
              </w:rPr>
              <w:t>природо</w:t>
            </w:r>
            <w:proofErr w:type="spellEnd"/>
            <w:r w:rsidR="00BD77EA" w:rsidRPr="009F6D1E">
              <w:rPr>
                <w:rFonts w:eastAsia="Times New Roman" w:cs="Times New Roman"/>
                <w:i/>
                <w:iCs/>
                <w:lang w:eastAsia="bg-BG" w:bidi="bg-BG"/>
              </w:rPr>
              <w:t xml:space="preserve">-климатичните рискове и увеличаване на добивите, включително чрез изграждане, възстановяване и модернизиране на хидромелиоративната  инфраструктура в </w:t>
            </w:r>
            <w:r w:rsidR="00BD77EA" w:rsidRPr="009F6D1E">
              <w:rPr>
                <w:rFonts w:eastAsia="Times New Roman" w:cs="Times New Roman"/>
                <w:i/>
                <w:iCs/>
                <w:lang w:eastAsia="bg-BG" w:bidi="bg-BG"/>
              </w:rPr>
              <w:lastRenderedPageBreak/>
              <w:t>стопанствата</w:t>
            </w:r>
            <w:r w:rsidRPr="009F6D1E">
              <w:rPr>
                <w:rFonts w:eastAsia="Times New Roman" w:cs="Times New Roman"/>
                <w:i/>
                <w:iCs/>
                <w:lang w:eastAsia="bg-BG" w:bidi="bg-BG"/>
              </w:rPr>
              <w:t xml:space="preserve">, </w:t>
            </w:r>
            <w:r w:rsidRPr="009F6D1E">
              <w:rPr>
                <w:rFonts w:eastAsia="Times New Roman" w:cs="Times New Roman"/>
                <w:lang w:eastAsia="bg-BG" w:bidi="bg-BG"/>
              </w:rPr>
              <w:t>интервенция</w:t>
            </w:r>
            <w:r w:rsidRPr="009F6D1E">
              <w:rPr>
                <w:rFonts w:eastAsia="Times New Roman" w:cs="Times New Roman"/>
                <w:i/>
                <w:iCs/>
                <w:lang w:eastAsia="bg-BG" w:bidi="bg-BG"/>
              </w:rPr>
              <w:t xml:space="preserve"> </w:t>
            </w:r>
            <w:r w:rsidRPr="009F6D1E">
              <w:rPr>
                <w:rFonts w:cs="Times New Roman"/>
                <w:lang w:bidi="bg-BG"/>
              </w:rPr>
              <w:t>„</w:t>
            </w:r>
            <w:r w:rsidRPr="009F6D1E">
              <w:rPr>
                <w:rFonts w:cs="Times New Roman"/>
                <w:i/>
                <w:lang w:bidi="bg-BG"/>
              </w:rPr>
              <w:t xml:space="preserve">Инвестиции в земеделски стопанства“ – </w:t>
            </w:r>
            <w:r w:rsidR="00BD77EA" w:rsidRPr="009F6D1E">
              <w:rPr>
                <w:rFonts w:cs="Times New Roman"/>
                <w:i/>
                <w:lang w:bidi="bg-BG"/>
              </w:rPr>
              <w:t>чл. 73 и чл. 74 от</w:t>
            </w:r>
            <w:r w:rsidRPr="009F6D1E">
              <w:rPr>
                <w:rFonts w:cs="Times New Roman"/>
                <w:i/>
                <w:lang w:bidi="bg-BG"/>
              </w:rPr>
              <w:t xml:space="preserve"> ЕЗФРСР.</w:t>
            </w:r>
            <w:r w:rsidRPr="009F6D1E">
              <w:rPr>
                <w:rFonts w:cs="Times New Roman"/>
                <w:lang w:bidi="bg-BG"/>
              </w:rPr>
              <w:t xml:space="preserve"> 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 Също така ще спомогне за преодоляване на климатичните изменения, свързани с дълги периоди на засушаване.</w:t>
            </w:r>
          </w:p>
          <w:p w14:paraId="28AA798A" w14:textId="77777777" w:rsidR="00D121EB" w:rsidRPr="009F6D1E" w:rsidRDefault="00D121EB" w:rsidP="0084747F">
            <w:pPr>
              <w:widowControl w:val="0"/>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t>Специфична цел №4:</w:t>
            </w:r>
          </w:p>
          <w:p w14:paraId="2F0576AE" w14:textId="77777777" w:rsidR="00D47534" w:rsidRPr="009F6D1E" w:rsidRDefault="00D121EB" w:rsidP="0084747F">
            <w:pPr>
              <w:widowControl w:val="0"/>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00BD77EA" w:rsidRPr="009F6D1E">
              <w:rPr>
                <w:rFonts w:cs="Times New Roman"/>
                <w:lang w:bidi="bg-BG"/>
              </w:rPr>
              <w:t xml:space="preserve"> </w:t>
            </w:r>
            <w:r w:rsidR="00BD77EA" w:rsidRPr="009F6D1E">
              <w:rPr>
                <w:rFonts w:eastAsia="Times New Roman" w:cs="Times New Roman"/>
                <w:i/>
                <w:iCs/>
                <w:lang w:eastAsia="bg-BG" w:bidi="bg-BG"/>
              </w:rPr>
              <w:t>П.4.1.</w:t>
            </w:r>
            <w:r w:rsidRPr="009F6D1E">
              <w:rPr>
                <w:rFonts w:eastAsia="Times New Roman" w:cs="Times New Roman"/>
                <w:i/>
                <w:iCs/>
                <w:lang w:eastAsia="bg-BG" w:bidi="bg-BG"/>
              </w:rPr>
              <w:t xml:space="preserve"> Намаляване на емисиите на парникови газове от селското стопанство</w:t>
            </w:r>
            <w:r w:rsidR="00D47534" w:rsidRPr="009F6D1E">
              <w:rPr>
                <w:rFonts w:eastAsia="Times New Roman" w:cs="Times New Roman"/>
                <w:i/>
                <w:iCs/>
                <w:lang w:eastAsia="bg-BG" w:bidi="bg-BG"/>
              </w:rPr>
              <w:t>.</w:t>
            </w:r>
            <w:r w:rsidRPr="009F6D1E">
              <w:rPr>
                <w:rFonts w:eastAsia="Times New Roman" w:cs="Times New Roman"/>
                <w:i/>
                <w:iCs/>
                <w:lang w:eastAsia="bg-BG" w:bidi="bg-BG"/>
              </w:rPr>
              <w:t xml:space="preserve"> </w:t>
            </w:r>
            <w:r w:rsidR="00D47534" w:rsidRPr="009F6D1E">
              <w:rPr>
                <w:rFonts w:eastAsia="Times New Roman" w:cs="Times New Roman"/>
                <w:lang w:eastAsia="bg-BG" w:bidi="bg-BG"/>
              </w:rPr>
              <w:t>Потребността от намаляване на емисиите на парникови газове от селското стопанство ще се адресира чрез комплекс от интервенции по ЕФГЗ и ЕЗФРСР:</w:t>
            </w:r>
          </w:p>
          <w:p w14:paraId="7FA6B8FD" w14:textId="77777777" w:rsidR="00D47534" w:rsidRPr="009F6D1E" w:rsidRDefault="00D47534" w:rsidP="0084747F">
            <w:pPr>
              <w:widowControl w:val="0"/>
              <w:spacing w:after="60" w:line="264" w:lineRule="auto"/>
              <w:jc w:val="both"/>
              <w:rPr>
                <w:rFonts w:eastAsia="Times New Roman" w:cs="Times New Roman"/>
                <w:lang w:eastAsia="bg-BG" w:bidi="bg-BG"/>
              </w:rPr>
            </w:pPr>
            <w:r w:rsidRPr="009F6D1E">
              <w:rPr>
                <w:rFonts w:eastAsia="Times New Roman" w:cs="Times New Roman"/>
                <w:lang w:eastAsia="bg-BG" w:bidi="bg-BG"/>
              </w:rPr>
              <w:t xml:space="preserve">„Инвестиции в земеделските стопанства насочени към опазване на компонентите на околната среда“ – член 73 и член 74. Интервенцията е насочена към прилагането на различни практики, с които може да бъде постигнато </w:t>
            </w:r>
            <w:proofErr w:type="spellStart"/>
            <w:r w:rsidRPr="009F6D1E">
              <w:rPr>
                <w:rFonts w:eastAsia="Times New Roman" w:cs="Times New Roman"/>
                <w:lang w:eastAsia="bg-BG" w:bidi="bg-BG"/>
              </w:rPr>
              <w:t>ограничаванеотделянето</w:t>
            </w:r>
            <w:proofErr w:type="spellEnd"/>
            <w:r w:rsidRPr="009F6D1E">
              <w:rPr>
                <w:rFonts w:eastAsia="Times New Roman" w:cs="Times New Roman"/>
                <w:lang w:eastAsia="bg-BG" w:bidi="bg-BG"/>
              </w:rPr>
              <w:t xml:space="preserve"> на емисии на ПГ от почвите, както и за запазване на органичното вещество.</w:t>
            </w:r>
          </w:p>
          <w:p w14:paraId="3A13C290" w14:textId="77777777" w:rsidR="00D47534" w:rsidRPr="009F6D1E" w:rsidRDefault="00D47534" w:rsidP="0084747F">
            <w:pPr>
              <w:widowControl w:val="0"/>
              <w:spacing w:after="60" w:line="264" w:lineRule="auto"/>
              <w:jc w:val="both"/>
              <w:rPr>
                <w:rFonts w:eastAsia="Times New Roman" w:cs="Times New Roman"/>
                <w:lang w:eastAsia="bg-BG" w:bidi="bg-BG"/>
              </w:rPr>
            </w:pPr>
            <w:r w:rsidRPr="009F6D1E">
              <w:rPr>
                <w:rFonts w:eastAsia="Times New Roman" w:cs="Times New Roman"/>
                <w:lang w:eastAsia="bg-BG" w:bidi="bg-BG"/>
              </w:rPr>
              <w:t xml:space="preserve">Инвестиции в управлението на оборския тор и въвеждане на нисковъглеродни практики за преработка на оборски тор в стопанства и/или мерки посочени в Правилата за добра земеделска </w:t>
            </w:r>
            <w:r w:rsidRPr="009F6D1E">
              <w:rPr>
                <w:rFonts w:eastAsia="Times New Roman" w:cs="Times New Roman"/>
                <w:lang w:eastAsia="bg-BG" w:bidi="bg-BG"/>
              </w:rPr>
              <w:lastRenderedPageBreak/>
              <w:t>практика за контролиране на емисиите от амоняк във въздуха, отделени от селскостопански източници.</w:t>
            </w:r>
          </w:p>
          <w:p w14:paraId="231BE382" w14:textId="77777777" w:rsidR="00D121EB" w:rsidRPr="009F6D1E" w:rsidRDefault="00D47534" w:rsidP="0084747F">
            <w:pPr>
              <w:widowControl w:val="0"/>
              <w:spacing w:after="60" w:line="264" w:lineRule="auto"/>
              <w:jc w:val="both"/>
              <w:rPr>
                <w:rFonts w:eastAsia="Calibri" w:cs="Times New Roman"/>
                <w:bCs/>
                <w:lang w:eastAsia="en-GB" w:bidi="bg-BG"/>
              </w:rPr>
            </w:pPr>
            <w:r w:rsidRPr="009F6D1E">
              <w:rPr>
                <w:rFonts w:eastAsia="Times New Roman" w:cs="Times New Roman"/>
                <w:lang w:eastAsia="bg-BG" w:bidi="bg-BG"/>
              </w:rPr>
              <w:t>Интервенции „Консултантски услуги и повишаване на консултантския капацитет“ и „Професионално обучение и придобиване на знания са имат принос към постигане на специфичната цел“, чрез насочване на знания, иновации и обучения по теми, свързани с намаляване на емисиите от парникови газове.</w:t>
            </w:r>
          </w:p>
          <w:p w14:paraId="7FF3B9DB" w14:textId="77777777" w:rsidR="00D121EB" w:rsidRPr="009F6D1E" w:rsidRDefault="00D121EB" w:rsidP="0084747F">
            <w:pPr>
              <w:widowControl w:val="0"/>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00D47534" w:rsidRPr="009F6D1E">
              <w:rPr>
                <w:rFonts w:cs="Times New Roman"/>
                <w:lang w:bidi="bg-BG"/>
              </w:rPr>
              <w:t xml:space="preserve"> </w:t>
            </w:r>
            <w:r w:rsidR="00D47534" w:rsidRPr="009F6D1E">
              <w:rPr>
                <w:rFonts w:eastAsia="Times New Roman" w:cs="Times New Roman"/>
                <w:i/>
                <w:iCs/>
                <w:lang w:eastAsia="bg-BG" w:bidi="bg-BG"/>
              </w:rPr>
              <w:t xml:space="preserve">П.4.4.Потребност от използването на култури и сортове, приспособени към климата </w:t>
            </w:r>
            <w:r w:rsidR="00D47534" w:rsidRPr="009F6D1E">
              <w:rPr>
                <w:rFonts w:eastAsia="Times New Roman" w:cs="Times New Roman"/>
                <w:lang w:eastAsia="bg-BG" w:bidi="bg-BG"/>
              </w:rPr>
              <w:t>и интервенциите към нея</w:t>
            </w:r>
          </w:p>
          <w:p w14:paraId="442DF946" w14:textId="77777777" w:rsidR="00D47534" w:rsidRPr="009F6D1E" w:rsidRDefault="00D47534" w:rsidP="0084747F">
            <w:pPr>
              <w:widowControl w:val="0"/>
              <w:spacing w:after="60" w:line="264" w:lineRule="auto"/>
              <w:jc w:val="both"/>
              <w:rPr>
                <w:rFonts w:eastAsia="Calibri" w:cs="Times New Roman"/>
                <w:bCs/>
                <w:i/>
                <w:iCs/>
                <w:lang w:eastAsia="en-GB" w:bidi="bg-BG"/>
              </w:rPr>
            </w:pPr>
            <w:r w:rsidRPr="009F6D1E">
              <w:rPr>
                <w:rFonts w:eastAsia="Calibri" w:cs="Times New Roman"/>
                <w:bCs/>
                <w:i/>
                <w:iCs/>
                <w:lang w:eastAsia="en-GB" w:bidi="bg-BG"/>
              </w:rPr>
              <w:t xml:space="preserve">П.4.5. Потребност от прилагане на нискоинтензивни земеделски практики като </w:t>
            </w:r>
            <w:proofErr w:type="spellStart"/>
            <w:r w:rsidRPr="009F6D1E">
              <w:rPr>
                <w:rFonts w:eastAsia="Calibri" w:cs="Times New Roman"/>
                <w:bCs/>
                <w:i/>
                <w:iCs/>
                <w:lang w:eastAsia="en-GB" w:bidi="bg-BG"/>
              </w:rPr>
              <w:t>консервационно</w:t>
            </w:r>
            <w:proofErr w:type="spellEnd"/>
            <w:r w:rsidRPr="009F6D1E">
              <w:rPr>
                <w:rFonts w:eastAsia="Calibri" w:cs="Times New Roman"/>
                <w:bCs/>
                <w:i/>
                <w:iCs/>
                <w:lang w:eastAsia="en-GB" w:bidi="bg-BG"/>
              </w:rPr>
              <w:t xml:space="preserve">, интегрирано и биологично земеделие, интервенция </w:t>
            </w:r>
            <w:r w:rsidRPr="009F6D1E">
              <w:rPr>
                <w:rFonts w:cs="Times New Roman"/>
                <w:lang w:bidi="bg-BG"/>
              </w:rPr>
              <w:t>„</w:t>
            </w:r>
            <w:r w:rsidRPr="009F6D1E">
              <w:rPr>
                <w:rFonts w:cs="Times New Roman"/>
                <w:i/>
                <w:iCs/>
                <w:lang w:bidi="bg-BG"/>
              </w:rPr>
              <w:t>Насърчаване използването на култури и сортове, устойчиви към климатичните условия член 7</w:t>
            </w:r>
            <w:r w:rsidRPr="009F6D1E">
              <w:rPr>
                <w:rFonts w:cs="Times New Roman"/>
                <w:lang w:bidi="bg-BG"/>
              </w:rPr>
              <w:t>0: Въвеждането на устойчиви култури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w:t>
            </w:r>
          </w:p>
          <w:p w14:paraId="32C0CFDE" w14:textId="77777777" w:rsidR="00D121EB" w:rsidRPr="009F6D1E" w:rsidRDefault="00D121EB" w:rsidP="0084747F">
            <w:pPr>
              <w:widowControl w:val="0"/>
              <w:spacing w:after="60" w:line="264" w:lineRule="auto"/>
              <w:jc w:val="both"/>
              <w:rPr>
                <w:rFonts w:cs="Times New Roman"/>
                <w:iCs/>
              </w:rPr>
            </w:pPr>
            <w:r w:rsidRPr="009F6D1E">
              <w:rPr>
                <w:rFonts w:cs="Times New Roman"/>
                <w:iCs/>
              </w:rPr>
              <w:t>Косвен принос имат:</w:t>
            </w:r>
          </w:p>
          <w:p w14:paraId="29F33E88" w14:textId="77777777" w:rsidR="00D47534" w:rsidRPr="009F6D1E" w:rsidRDefault="00D121EB" w:rsidP="0084747F">
            <w:pPr>
              <w:widowControl w:val="0"/>
              <w:tabs>
                <w:tab w:val="left" w:pos="1080"/>
              </w:tabs>
              <w:spacing w:after="60" w:line="264" w:lineRule="auto"/>
              <w:jc w:val="both"/>
              <w:rPr>
                <w:rFonts w:cs="Times New Roman"/>
                <w:i/>
              </w:rPr>
            </w:pPr>
            <w:r w:rsidRPr="009F6D1E">
              <w:rPr>
                <w:rFonts w:cs="Times New Roman"/>
                <w:i/>
              </w:rPr>
              <w:lastRenderedPageBreak/>
              <w:t xml:space="preserve">Специфична цел №6 – </w:t>
            </w:r>
          </w:p>
          <w:p w14:paraId="73B2BACC" w14:textId="77777777" w:rsidR="00D121EB" w:rsidRPr="009F6D1E" w:rsidRDefault="00D47534" w:rsidP="0084747F">
            <w:pPr>
              <w:widowControl w:val="0"/>
              <w:tabs>
                <w:tab w:val="left" w:pos="1080"/>
              </w:tabs>
              <w:spacing w:after="60" w:line="264" w:lineRule="auto"/>
              <w:jc w:val="both"/>
              <w:rPr>
                <w:rFonts w:cs="Times New Roman"/>
                <w:iCs/>
              </w:rPr>
            </w:pPr>
            <w:r w:rsidRPr="009F6D1E">
              <w:rPr>
                <w:rFonts w:cs="Times New Roman"/>
                <w:i/>
              </w:rPr>
              <w:t>Потребност П.6.6. Насърчаване на практики за справяне с генетична ерозия и внасяне на Инвазивни чужди видове (ИЧВ) и неместни, съгласно националното законодателство видове</w:t>
            </w:r>
            <w:r w:rsidR="00890C5E" w:rsidRPr="009F6D1E">
              <w:rPr>
                <w:rFonts w:cs="Times New Roman"/>
                <w:i/>
              </w:rPr>
              <w:t xml:space="preserve"> </w:t>
            </w:r>
            <w:r w:rsidR="00890C5E" w:rsidRPr="009F6D1E">
              <w:rPr>
                <w:rFonts w:cs="Times New Roman"/>
                <w:iCs/>
              </w:rPr>
              <w:t xml:space="preserve">и </w:t>
            </w:r>
            <w:proofErr w:type="spellStart"/>
            <w:r w:rsidR="00890C5E" w:rsidRPr="009F6D1E">
              <w:rPr>
                <w:rFonts w:eastAsia="Times New Roman" w:cs="Times New Roman"/>
                <w:iCs/>
                <w:lang w:eastAsia="bg-BG" w:bidi="bg-BG"/>
              </w:rPr>
              <w:t>интернетциите</w:t>
            </w:r>
            <w:proofErr w:type="spellEnd"/>
            <w:r w:rsidR="00890C5E" w:rsidRPr="009F6D1E">
              <w:rPr>
                <w:rFonts w:eastAsia="Times New Roman" w:cs="Times New Roman"/>
                <w:iCs/>
                <w:lang w:eastAsia="bg-BG" w:bidi="bg-BG"/>
              </w:rPr>
              <w:t xml:space="preserve"> към нея</w:t>
            </w:r>
          </w:p>
          <w:p w14:paraId="2AB52AAF" w14:textId="77777777" w:rsidR="00D121EB"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D121EB" w:rsidRPr="009F6D1E">
              <w:rPr>
                <w:rFonts w:eastAsia="Times New Roman" w:cs="Times New Roman"/>
                <w:i/>
                <w:iCs/>
                <w:u w:val="single"/>
                <w:lang w:eastAsia="bg-BG" w:bidi="bg-BG"/>
              </w:rPr>
              <w:t xml:space="preserve"> ще има пряк принос към  точка </w:t>
            </w:r>
            <w:r w:rsidR="003B433B" w:rsidRPr="009F6D1E">
              <w:rPr>
                <w:rFonts w:eastAsia="Times New Roman" w:cs="Times New Roman"/>
                <w:i/>
                <w:iCs/>
                <w:u w:val="single"/>
                <w:lang w:eastAsia="bg-BG" w:bidi="bg-BG"/>
              </w:rPr>
              <w:t>2</w:t>
            </w:r>
            <w:r w:rsidR="00D121EB" w:rsidRPr="009F6D1E">
              <w:rPr>
                <w:rFonts w:eastAsia="Times New Roman" w:cs="Times New Roman"/>
                <w:i/>
                <w:iCs/>
                <w:u w:val="single"/>
                <w:lang w:eastAsia="bg-BG" w:bidi="bg-BG"/>
              </w:rPr>
              <w:t xml:space="preserve"> чрез:</w:t>
            </w:r>
          </w:p>
          <w:p w14:paraId="033337BF" w14:textId="77777777" w:rsidR="0078017C" w:rsidRPr="009F6D1E" w:rsidRDefault="000260DA" w:rsidP="0084747F">
            <w:pPr>
              <w:widowControl w:val="0"/>
              <w:spacing w:after="60" w:line="264" w:lineRule="auto"/>
              <w:contextualSpacing/>
              <w:jc w:val="both"/>
              <w:rPr>
                <w:rFonts w:eastAsia="Calibri" w:cs="Times New Roman"/>
              </w:rPr>
            </w:pPr>
            <w:r w:rsidRPr="009F6D1E">
              <w:rPr>
                <w:rFonts w:eastAsia="Calibri" w:cs="Times New Roman"/>
                <w:i/>
                <w:iCs/>
              </w:rPr>
              <w:t>Специфична цел № 8 – потребност</w:t>
            </w:r>
            <w:r w:rsidR="00D73AA0" w:rsidRPr="009F6D1E">
              <w:rPr>
                <w:rFonts w:cs="Times New Roman"/>
              </w:rPr>
              <w:t xml:space="preserve"> </w:t>
            </w:r>
            <w:r w:rsidR="00D73AA0" w:rsidRPr="009F6D1E">
              <w:rPr>
                <w:rFonts w:eastAsia="Calibri" w:cs="Times New Roman"/>
                <w:i/>
                <w:iCs/>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Calibri" w:cs="Times New Roman"/>
                <w:i/>
                <w:iCs/>
              </w:rPr>
              <w:t xml:space="preserve"> </w:t>
            </w:r>
            <w:r w:rsidRPr="009F6D1E">
              <w:rPr>
                <w:rFonts w:eastAsia="Calibri" w:cs="Times New Roman"/>
              </w:rPr>
              <w:t>и интервенциите към нея</w:t>
            </w:r>
          </w:p>
          <w:p w14:paraId="5EEE4864" w14:textId="77777777" w:rsidR="000260DA"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0260DA" w:rsidRPr="009F6D1E">
              <w:rPr>
                <w:rFonts w:eastAsia="Times New Roman" w:cs="Times New Roman"/>
                <w:i/>
                <w:iCs/>
                <w:u w:val="single"/>
                <w:lang w:eastAsia="bg-BG" w:bidi="bg-BG"/>
              </w:rPr>
              <w:t xml:space="preserve"> ще има пряк принос към  точка 3 чрез:</w:t>
            </w:r>
          </w:p>
          <w:p w14:paraId="765C1266" w14:textId="77777777" w:rsidR="008D3C77" w:rsidRPr="009F6D1E" w:rsidRDefault="000260DA" w:rsidP="0084747F">
            <w:pPr>
              <w:widowControl w:val="0"/>
              <w:spacing w:after="60" w:line="264" w:lineRule="auto"/>
              <w:contextualSpacing/>
              <w:jc w:val="both"/>
              <w:rPr>
                <w:rFonts w:eastAsia="Calibri" w:cs="Times New Roman"/>
                <w:lang w:bidi="bg-BG"/>
              </w:rPr>
            </w:pPr>
            <w:r w:rsidRPr="009F6D1E">
              <w:rPr>
                <w:rFonts w:eastAsia="Calibri" w:cs="Times New Roman"/>
                <w:i/>
                <w:iCs/>
              </w:rPr>
              <w:t>Специфична цел № 8 – потребност</w:t>
            </w:r>
            <w:r w:rsidR="00D73AA0" w:rsidRPr="009F6D1E">
              <w:rPr>
                <w:rFonts w:cs="Times New Roman"/>
                <w:lang w:bidi="bg-BG"/>
              </w:rPr>
              <w:t xml:space="preserve"> </w:t>
            </w:r>
            <w:r w:rsidR="00D73AA0" w:rsidRPr="009F6D1E">
              <w:rPr>
                <w:rFonts w:eastAsia="Calibri" w:cs="Times New Roman"/>
                <w:i/>
                <w:iCs/>
              </w:rPr>
              <w:t xml:space="preserve">П.8.3. Подобряване на публична инфраструктурата и технико-комуникационните системи в селските райони чрез: </w:t>
            </w:r>
            <w:r w:rsidRPr="009F6D1E">
              <w:rPr>
                <w:rFonts w:eastAsia="Calibri" w:cs="Times New Roman"/>
                <w:i/>
                <w:iCs/>
                <w:lang w:bidi="bg-BG"/>
              </w:rPr>
              <w:t xml:space="preserve"> </w:t>
            </w:r>
            <w:r w:rsidR="008D3C77" w:rsidRPr="009F6D1E">
              <w:rPr>
                <w:rFonts w:eastAsia="Calibri" w:cs="Times New Roman"/>
                <w:lang w:bidi="bg-BG"/>
              </w:rPr>
              <w:t>Инвестиции в основни услуги и дребна по мащаби инфраструктура в селските райони. В рамките на тази интервенция ще се прилага подход за насочване на инвестиции в малки по мащаби инфраструктура, който се състои в предварително определяне на разполагаем бюджет за съответната общинска територия съобразно обективни и недискриминационни критерии.</w:t>
            </w:r>
          </w:p>
          <w:p w14:paraId="453ABD61" w14:textId="77777777" w:rsidR="008D3C77" w:rsidRPr="009F6D1E" w:rsidRDefault="008D3C77" w:rsidP="0084747F">
            <w:pPr>
              <w:pStyle w:val="Other0"/>
              <w:spacing w:after="60" w:line="264" w:lineRule="auto"/>
              <w:jc w:val="both"/>
              <w:rPr>
                <w:rFonts w:eastAsia="Calibri"/>
                <w:lang w:bidi="bg-BG"/>
              </w:rPr>
            </w:pPr>
            <w:r w:rsidRPr="009F6D1E">
              <w:rPr>
                <w:rFonts w:eastAsia="Calibri"/>
                <w:lang w:bidi="bg-BG"/>
              </w:rPr>
              <w:t xml:space="preserve"> Част от инвестициите по интервенцията ще се допълват през </w:t>
            </w:r>
            <w:r w:rsidRPr="009F6D1E">
              <w:rPr>
                <w:rFonts w:eastAsia="Calibri"/>
                <w:lang w:bidi="bg-BG"/>
              </w:rPr>
              <w:lastRenderedPageBreak/>
              <w:t>подхода ВОМР, който ще подпомага „Подобряване на обектите за развитие на традициите и на културно-историческите обекти, чрез инвестиции за обекти, свързани с културния живот</w:t>
            </w:r>
          </w:p>
          <w:p w14:paraId="7980027C" w14:textId="77777777" w:rsidR="000260DA" w:rsidRPr="009F6D1E" w:rsidRDefault="00CD4045" w:rsidP="0084747F">
            <w:pPr>
              <w:pStyle w:val="Other0"/>
              <w:spacing w:after="60" w:line="264" w:lineRule="auto"/>
              <w:jc w:val="both"/>
              <w:rPr>
                <w:i/>
                <w:iCs/>
                <w:lang w:eastAsia="bg-BG" w:bidi="bg-BG"/>
              </w:rPr>
            </w:pPr>
            <w:r w:rsidRPr="009F6D1E">
              <w:rPr>
                <w:i/>
                <w:iCs/>
                <w:u w:val="single"/>
                <w:lang w:eastAsia="bg-BG" w:bidi="bg-BG"/>
              </w:rPr>
              <w:t>СПРЗСР</w:t>
            </w:r>
            <w:r w:rsidR="000260DA" w:rsidRPr="009F6D1E">
              <w:rPr>
                <w:i/>
                <w:iCs/>
                <w:u w:val="single"/>
                <w:lang w:eastAsia="bg-BG" w:bidi="bg-BG"/>
              </w:rPr>
              <w:t xml:space="preserve"> ще има пряк принос към  точка 4</w:t>
            </w:r>
            <w:r w:rsidR="000260DA" w:rsidRPr="009F6D1E">
              <w:rPr>
                <w:lang w:eastAsia="bg-BG" w:bidi="bg-BG"/>
              </w:rPr>
              <w:t xml:space="preserve"> </w:t>
            </w:r>
            <w:r w:rsidR="003E1BE1" w:rsidRPr="009F6D1E">
              <w:rPr>
                <w:lang w:eastAsia="bg-BG" w:bidi="bg-BG"/>
              </w:rPr>
              <w:t xml:space="preserve"> </w:t>
            </w:r>
            <w:r w:rsidR="000260DA" w:rsidRPr="009F6D1E">
              <w:rPr>
                <w:lang w:eastAsia="bg-BG" w:bidi="bg-BG"/>
              </w:rPr>
              <w:t>чрез</w:t>
            </w:r>
            <w:r w:rsidR="002E6A63" w:rsidRPr="009F6D1E">
              <w:t xml:space="preserve"> </w:t>
            </w:r>
            <w:r w:rsidR="002E6A63" w:rsidRPr="009F6D1E">
              <w:rPr>
                <w:i/>
                <w:iCs/>
                <w:lang w:eastAsia="bg-BG" w:bidi="bg-BG"/>
              </w:rPr>
              <w:t xml:space="preserve">Специфична цел №5: </w:t>
            </w:r>
            <w:r w:rsidR="003E1BE1" w:rsidRPr="009F6D1E">
              <w:rPr>
                <w:i/>
                <w:iCs/>
                <w:lang w:eastAsia="bg-BG" w:bidi="bg-BG"/>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3EEC3D7E" w14:textId="77777777" w:rsidR="000260DA"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2E6A63" w:rsidRPr="009F6D1E">
              <w:rPr>
                <w:rFonts w:eastAsia="Times New Roman" w:cs="Times New Roman"/>
                <w:i/>
                <w:iCs/>
                <w:u w:val="single"/>
                <w:lang w:eastAsia="bg-BG" w:bidi="bg-BG"/>
              </w:rPr>
              <w:t xml:space="preserve"> ще има пряк принос към  точка 5 чрез</w:t>
            </w:r>
            <w:r w:rsidR="00A7218A" w:rsidRPr="009F6D1E">
              <w:rPr>
                <w:rFonts w:eastAsia="Times New Roman" w:cs="Times New Roman"/>
                <w:i/>
                <w:iCs/>
                <w:u w:val="single"/>
                <w:lang w:eastAsia="bg-BG" w:bidi="bg-BG"/>
              </w:rPr>
              <w:t>:</w:t>
            </w:r>
          </w:p>
          <w:p w14:paraId="07FFDABA" w14:textId="77777777" w:rsidR="005060A3" w:rsidRPr="009F6D1E" w:rsidRDefault="005060A3"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
                <w:iCs/>
                <w:lang w:eastAsia="bg-BG" w:bidi="bg-BG"/>
              </w:rPr>
              <w:t>Специфична цел №4 - Потребност 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w:t>
            </w:r>
            <w:r w:rsidRPr="009F6D1E">
              <w:rPr>
                <w:rFonts w:eastAsia="Times New Roman" w:cs="Times New Roman"/>
                <w:iCs/>
                <w:lang w:eastAsia="bg-BG" w:bidi="bg-BG"/>
              </w:rPr>
              <w:t xml:space="preserve"> и интервенциите към нея.</w:t>
            </w:r>
          </w:p>
          <w:p w14:paraId="7D76BDC6" w14:textId="77777777" w:rsidR="00BD278E" w:rsidRPr="009F6D1E" w:rsidRDefault="00A7218A" w:rsidP="0084747F">
            <w:pPr>
              <w:widowControl w:val="0"/>
              <w:tabs>
                <w:tab w:val="left" w:pos="1080"/>
              </w:tabs>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t>Специфична цел №</w:t>
            </w:r>
            <w:r w:rsidR="005060A3" w:rsidRPr="009F6D1E">
              <w:rPr>
                <w:rFonts w:eastAsia="Times New Roman" w:cs="Times New Roman"/>
                <w:i/>
                <w:iCs/>
                <w:lang w:eastAsia="bg-BG" w:bidi="bg-BG"/>
              </w:rPr>
              <w:t>6</w:t>
            </w:r>
            <w:r w:rsidR="00BD278E" w:rsidRPr="009F6D1E">
              <w:rPr>
                <w:rFonts w:eastAsia="Times New Roman" w:cs="Times New Roman"/>
                <w:i/>
                <w:iCs/>
                <w:lang w:eastAsia="bg-BG" w:bidi="bg-BG"/>
              </w:rPr>
              <w:t>:</w:t>
            </w:r>
          </w:p>
          <w:p w14:paraId="4F5B5B93" w14:textId="77777777" w:rsidR="00BD278E" w:rsidRPr="009F6D1E" w:rsidRDefault="00BD278E" w:rsidP="0084747F">
            <w:pPr>
              <w:widowControl w:val="0"/>
              <w:tabs>
                <w:tab w:val="left" w:pos="1080"/>
              </w:tabs>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Pr="009F6D1E">
              <w:rPr>
                <w:rFonts w:cs="Times New Roman"/>
                <w:lang w:bidi="bg-BG"/>
              </w:rPr>
              <w:t xml:space="preserve"> </w:t>
            </w:r>
            <w:r w:rsidRPr="009F6D1E">
              <w:rPr>
                <w:rFonts w:eastAsia="Times New Roman" w:cs="Times New Roman"/>
                <w:i/>
                <w:iCs/>
                <w:lang w:eastAsia="bg-BG" w:bidi="bg-BG"/>
              </w:rPr>
              <w:t>П.6.5. Интервенция „Използване 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на хранителни вещества с поне 50%, като същевременно се 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w:t>
            </w:r>
            <w:r w:rsidRPr="009F6D1E">
              <w:rPr>
                <w:rFonts w:eastAsia="Times New Roman" w:cs="Times New Roman"/>
                <w:lang w:eastAsia="bg-BG" w:bidi="bg-BG"/>
              </w:rPr>
              <w:lastRenderedPageBreak/>
              <w:t>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p w14:paraId="7ED4FFF9" w14:textId="77777777" w:rsidR="00A7218A" w:rsidRPr="009F6D1E" w:rsidRDefault="005060A3"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
                <w:iCs/>
                <w:lang w:eastAsia="bg-BG" w:bidi="bg-BG"/>
              </w:rPr>
              <w:t xml:space="preserve"> </w:t>
            </w:r>
            <w:r w:rsidR="00A7218A" w:rsidRPr="009F6D1E">
              <w:rPr>
                <w:rFonts w:eastAsia="Times New Roman" w:cs="Times New Roman"/>
                <w:i/>
                <w:iCs/>
                <w:lang w:eastAsia="bg-BG" w:bidi="bg-BG"/>
              </w:rPr>
              <w:t>Потребност</w:t>
            </w:r>
            <w:r w:rsidR="003E1BE1" w:rsidRPr="009F6D1E">
              <w:rPr>
                <w:rFonts w:cs="Times New Roman"/>
                <w:lang w:bidi="bg-BG"/>
              </w:rPr>
              <w:t xml:space="preserve"> </w:t>
            </w:r>
            <w:r w:rsidR="003E1BE1" w:rsidRPr="009F6D1E">
              <w:rPr>
                <w:rFonts w:eastAsia="Times New Roman" w:cs="Times New Roman"/>
                <w:i/>
                <w:iCs/>
                <w:lang w:eastAsia="bg-BG" w:bidi="bg-BG"/>
              </w:rPr>
              <w:t xml:space="preserve">П.6.8. Подобряване на </w:t>
            </w:r>
            <w:proofErr w:type="spellStart"/>
            <w:r w:rsidR="003E1BE1" w:rsidRPr="009F6D1E">
              <w:rPr>
                <w:rFonts w:eastAsia="Times New Roman" w:cs="Times New Roman"/>
                <w:i/>
                <w:iCs/>
                <w:lang w:eastAsia="bg-BG" w:bidi="bg-BG"/>
              </w:rPr>
              <w:t>опрашителния</w:t>
            </w:r>
            <w:proofErr w:type="spellEnd"/>
            <w:r w:rsidR="003E1BE1" w:rsidRPr="009F6D1E">
              <w:rPr>
                <w:rFonts w:eastAsia="Times New Roman" w:cs="Times New Roman"/>
                <w:i/>
                <w:iCs/>
                <w:lang w:eastAsia="bg-BG" w:bidi="bg-BG"/>
              </w:rPr>
              <w:t xml:space="preserve"> потенциал на екосистемите и наличието на подходящи растения</w:t>
            </w:r>
            <w:r w:rsidR="00A7218A" w:rsidRPr="009F6D1E">
              <w:rPr>
                <w:rFonts w:eastAsia="Times New Roman" w:cs="Times New Roman"/>
                <w:b/>
                <w:bCs/>
                <w:i/>
                <w:lang w:eastAsia="bg-BG" w:bidi="bg-BG"/>
              </w:rPr>
              <w:t xml:space="preserve"> </w:t>
            </w:r>
            <w:r w:rsidRPr="009F6D1E">
              <w:rPr>
                <w:rFonts w:eastAsia="Times New Roman" w:cs="Times New Roman"/>
                <w:iCs/>
                <w:lang w:eastAsia="bg-BG" w:bidi="bg-BG"/>
              </w:rPr>
              <w:t>и интервенциите към нея</w:t>
            </w:r>
            <w:r w:rsidR="00A7218A" w:rsidRPr="009F6D1E">
              <w:rPr>
                <w:rFonts w:eastAsia="Times New Roman" w:cs="Times New Roman"/>
                <w:iCs/>
                <w:lang w:eastAsia="bg-BG" w:bidi="bg-BG"/>
              </w:rPr>
              <w:t>.</w:t>
            </w:r>
          </w:p>
          <w:p w14:paraId="4C6CF109" w14:textId="77777777" w:rsidR="00F83DAE" w:rsidRPr="009F6D1E" w:rsidRDefault="00A7218A" w:rsidP="0084747F">
            <w:pPr>
              <w:widowControl w:val="0"/>
              <w:tabs>
                <w:tab w:val="left" w:pos="1080"/>
              </w:tabs>
              <w:spacing w:after="60" w:line="264" w:lineRule="auto"/>
              <w:jc w:val="both"/>
              <w:rPr>
                <w:rFonts w:eastAsia="Times New Roman" w:cs="Times New Roman"/>
                <w:i/>
                <w:iCs/>
                <w:lang w:eastAsia="bg-BG" w:bidi="bg-BG"/>
              </w:rPr>
            </w:pPr>
            <w:r w:rsidRPr="009F6D1E">
              <w:rPr>
                <w:rFonts w:eastAsia="Calibri" w:cs="Times New Roman"/>
              </w:rPr>
              <w:t>Косвен принос има</w:t>
            </w:r>
            <w:r w:rsidRPr="009F6D1E">
              <w:rPr>
                <w:rFonts w:eastAsia="Calibri" w:cs="Times New Roman"/>
                <w:i/>
                <w:iCs/>
              </w:rPr>
              <w:t xml:space="preserve"> </w:t>
            </w:r>
            <w:r w:rsidRPr="009F6D1E">
              <w:rPr>
                <w:rFonts w:eastAsia="Times New Roman" w:cs="Times New Roman"/>
                <w:i/>
                <w:iCs/>
                <w:lang w:eastAsia="bg-BG" w:bidi="bg-BG"/>
              </w:rPr>
              <w:t>Специфична цел №5</w:t>
            </w:r>
            <w:r w:rsidR="00F83DAE" w:rsidRPr="009F6D1E">
              <w:rPr>
                <w:rFonts w:eastAsia="Times New Roman" w:cs="Times New Roman"/>
                <w:i/>
                <w:iCs/>
                <w:lang w:eastAsia="bg-BG" w:bidi="bg-BG"/>
              </w:rPr>
              <w:t xml:space="preserve"> – Потребност П.5.2. Подобряване качеството на почвите чрез продължаване на усилията за ограничаване на процесите на водна и ветрова ерозия</w:t>
            </w:r>
          </w:p>
          <w:p w14:paraId="0A67D099" w14:textId="77777777" w:rsidR="00A7218A" w:rsidRPr="009F6D1E" w:rsidRDefault="00A7218A" w:rsidP="0084747F">
            <w:pPr>
              <w:widowControl w:val="0"/>
              <w:tabs>
                <w:tab w:val="left" w:pos="1080"/>
              </w:tabs>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lastRenderedPageBreak/>
              <w:t xml:space="preserve"> </w:t>
            </w:r>
            <w:r w:rsidRPr="009F6D1E">
              <w:rPr>
                <w:rFonts w:eastAsia="Calibri" w:cs="Times New Roman"/>
                <w:bCs/>
                <w:lang w:eastAsia="en-GB" w:bidi="bg-BG"/>
              </w:rPr>
              <w:t xml:space="preserve">В интервенцията по чл. 65 от РСП могат да се включат дейности, които надграждат въведените  изисквания в ДЗЕС 4, ДЗЕС 6 и ДЗЕС 7, задължителни са и могат да бъдат обособени на база териториалния им обхват на прилагане. Според спецификата на райони и площта и въз основа на изготвяне на план за противоерозионни мероприятия към задължителните дейности, предвидени в ДЗЕС 4, ДЗЕС 6 и ДЗЕС 7 могат да се включат практики за: поясно земеделие, затревяване на междуредията в трайни насаждения и лозя (в т.ч. цялостно затревяване), преобразуване на обработваеми земи в постоянно затревени площи; </w:t>
            </w:r>
            <w:proofErr w:type="spellStart"/>
            <w:r w:rsidRPr="009F6D1E">
              <w:rPr>
                <w:rFonts w:eastAsia="Calibri" w:cs="Times New Roman"/>
                <w:bCs/>
                <w:lang w:eastAsia="en-GB" w:bidi="bg-BG"/>
              </w:rPr>
              <w:t>контурно</w:t>
            </w:r>
            <w:proofErr w:type="spellEnd"/>
            <w:r w:rsidRPr="009F6D1E">
              <w:rPr>
                <w:rFonts w:eastAsia="Calibri" w:cs="Times New Roman"/>
                <w:bCs/>
                <w:lang w:eastAsia="en-GB" w:bidi="bg-BG"/>
              </w:rPr>
              <w:t xml:space="preserve"> земеделие, вертикално </w:t>
            </w:r>
            <w:proofErr w:type="spellStart"/>
            <w:r w:rsidRPr="009F6D1E">
              <w:rPr>
                <w:rFonts w:eastAsia="Calibri" w:cs="Times New Roman"/>
                <w:bCs/>
                <w:lang w:eastAsia="en-GB" w:bidi="bg-BG"/>
              </w:rPr>
              <w:t>мулчиране</w:t>
            </w:r>
            <w:proofErr w:type="spellEnd"/>
            <w:r w:rsidRPr="009F6D1E">
              <w:rPr>
                <w:rFonts w:eastAsia="Calibri" w:cs="Times New Roman"/>
                <w:bCs/>
                <w:lang w:eastAsia="en-GB" w:bidi="bg-BG"/>
              </w:rPr>
              <w:t xml:space="preserve">; изграждане на </w:t>
            </w:r>
            <w:proofErr w:type="spellStart"/>
            <w:r w:rsidRPr="009F6D1E">
              <w:rPr>
                <w:rFonts w:eastAsia="Calibri" w:cs="Times New Roman"/>
                <w:bCs/>
                <w:lang w:eastAsia="en-GB" w:bidi="bg-BG"/>
              </w:rPr>
              <w:t>отокоотвеждащи</w:t>
            </w:r>
            <w:proofErr w:type="spellEnd"/>
            <w:r w:rsidRPr="009F6D1E">
              <w:rPr>
                <w:rFonts w:eastAsia="Calibri" w:cs="Times New Roman"/>
                <w:bCs/>
                <w:lang w:eastAsia="en-GB" w:bidi="bg-BG"/>
              </w:rPr>
              <w:t xml:space="preserve"> и </w:t>
            </w:r>
            <w:proofErr w:type="spellStart"/>
            <w:r w:rsidRPr="009F6D1E">
              <w:rPr>
                <w:rFonts w:eastAsia="Calibri" w:cs="Times New Roman"/>
                <w:bCs/>
                <w:lang w:eastAsia="en-GB" w:bidi="bg-BG"/>
              </w:rPr>
              <w:t>отокозадържащи</w:t>
            </w:r>
            <w:proofErr w:type="spellEnd"/>
            <w:r w:rsidRPr="009F6D1E">
              <w:rPr>
                <w:rFonts w:eastAsia="Calibri" w:cs="Times New Roman"/>
                <w:bCs/>
                <w:lang w:eastAsia="en-GB" w:bidi="bg-BG"/>
              </w:rPr>
              <w:t xml:space="preserve"> бразди; минимални или нулеви обработки; противоерозионна организация на площите като се намаляват площта на парцелите чрез включване на други земеделски култури; изграждане на тревни буферни ивици, мултифункционални растителни буферни ивици, допринасящи също за биоразнообразието и подобряване на опрашването, както и изграждане и поддържане на полезащитни пояси</w:t>
            </w:r>
          </w:p>
          <w:p w14:paraId="4BBA2764" w14:textId="77777777" w:rsidR="00A7218A" w:rsidRPr="009F6D1E" w:rsidRDefault="00A7218A"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
                <w:lang w:eastAsia="bg-BG" w:bidi="bg-BG"/>
              </w:rPr>
              <w:t>Специфична цел №6 - потребност</w:t>
            </w:r>
            <w:r w:rsidR="00F83DAE" w:rsidRPr="009F6D1E">
              <w:rPr>
                <w:rFonts w:cs="Times New Roman"/>
                <w:lang w:bidi="bg-BG"/>
              </w:rPr>
              <w:t xml:space="preserve"> </w:t>
            </w:r>
            <w:r w:rsidR="00F83DAE" w:rsidRPr="009F6D1E">
              <w:rPr>
                <w:rFonts w:eastAsia="Times New Roman" w:cs="Times New Roman"/>
                <w:i/>
                <w:lang w:eastAsia="bg-BG" w:bidi="bg-BG"/>
              </w:rPr>
              <w:t xml:space="preserve">П.6.6. Насърчаване на практики за справяне с генетична ерозия и внасяне на Инвазивни чужди видове (ИЧВ) и неместни, съгласно националното </w:t>
            </w:r>
            <w:r w:rsidR="00F83DAE" w:rsidRPr="009F6D1E">
              <w:rPr>
                <w:rFonts w:eastAsia="Times New Roman" w:cs="Times New Roman"/>
                <w:i/>
                <w:lang w:eastAsia="bg-BG" w:bidi="bg-BG"/>
              </w:rPr>
              <w:lastRenderedPageBreak/>
              <w:t>законодателство видове</w:t>
            </w:r>
            <w:r w:rsidRPr="009F6D1E">
              <w:rPr>
                <w:rFonts w:eastAsia="Times New Roman" w:cs="Times New Roman"/>
                <w:i/>
                <w:lang w:eastAsia="bg-BG" w:bidi="bg-BG"/>
              </w:rPr>
              <w:t>.</w:t>
            </w:r>
          </w:p>
          <w:p w14:paraId="3F860ECE" w14:textId="77777777" w:rsidR="00893585" w:rsidRPr="009F6D1E" w:rsidRDefault="00CD4045" w:rsidP="0084747F">
            <w:pPr>
              <w:pStyle w:val="Other0"/>
              <w:spacing w:after="60" w:line="264" w:lineRule="auto"/>
              <w:jc w:val="both"/>
              <w:rPr>
                <w:lang w:eastAsia="bg-BG" w:bidi="bg-BG"/>
              </w:rPr>
            </w:pPr>
            <w:r w:rsidRPr="009F6D1E">
              <w:rPr>
                <w:i/>
                <w:iCs/>
                <w:u w:val="single"/>
                <w:lang w:eastAsia="bg-BG" w:bidi="bg-BG"/>
              </w:rPr>
              <w:t>СПРЗСР</w:t>
            </w:r>
            <w:r w:rsidR="003B17E9" w:rsidRPr="009F6D1E">
              <w:rPr>
                <w:i/>
                <w:iCs/>
                <w:u w:val="single"/>
                <w:lang w:eastAsia="bg-BG" w:bidi="bg-BG"/>
              </w:rPr>
              <w:t xml:space="preserve"> ще има пряк принос към  точка 6</w:t>
            </w:r>
            <w:r w:rsidR="003B17E9" w:rsidRPr="009F6D1E">
              <w:rPr>
                <w:lang w:eastAsia="bg-BG" w:bidi="bg-BG"/>
              </w:rPr>
              <w:t xml:space="preserve"> </w:t>
            </w:r>
            <w:r w:rsidR="00893585" w:rsidRPr="009F6D1E">
              <w:rPr>
                <w:lang w:eastAsia="bg-BG" w:bidi="bg-BG"/>
              </w:rPr>
              <w:t xml:space="preserve">чрез </w:t>
            </w:r>
            <w:r w:rsidR="00893585" w:rsidRPr="009F6D1E">
              <w:rPr>
                <w:bCs/>
                <w:i/>
                <w:iCs/>
              </w:rPr>
              <w:t>Интервенция „Биологично земеделие“</w:t>
            </w:r>
            <w:r w:rsidR="00C735AA" w:rsidRPr="009F6D1E">
              <w:rPr>
                <w:bCs/>
                <w:i/>
                <w:iCs/>
              </w:rPr>
              <w:t xml:space="preserve"> и Интервенция „Биологично производство",</w:t>
            </w:r>
            <w:r w:rsidR="00893585" w:rsidRPr="009F6D1E">
              <w:rPr>
                <w:bCs/>
                <w:i/>
                <w:iCs/>
              </w:rPr>
              <w:t xml:space="preserve"> </w:t>
            </w:r>
            <w:r w:rsidR="00893585" w:rsidRPr="009F6D1E">
              <w:rPr>
                <w:bCs/>
              </w:rPr>
              <w:t>със следните с</w:t>
            </w:r>
            <w:r w:rsidR="00893585" w:rsidRPr="009F6D1E">
              <w:rPr>
                <w:bCs/>
                <w:u w:val="single"/>
              </w:rPr>
              <w:t>вързани специфични цели :</w:t>
            </w:r>
          </w:p>
          <w:p w14:paraId="14F2C8C2" w14:textId="77777777" w:rsidR="00C735AA" w:rsidRPr="009F6D1E" w:rsidRDefault="00C735AA"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410C7EBD" w14:textId="77777777" w:rsidR="00C735AA" w:rsidRPr="009F6D1E" w:rsidRDefault="00C735AA"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№5: 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1766DE59" w14:textId="77777777" w:rsidR="00C735AA" w:rsidRPr="009F6D1E" w:rsidRDefault="00C735AA"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 6: 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p>
          <w:p w14:paraId="606CACF5" w14:textId="77777777" w:rsidR="00C735AA" w:rsidRPr="009F6D1E" w:rsidRDefault="00C735AA" w:rsidP="0084747F">
            <w:pPr>
              <w:widowControl w:val="0"/>
              <w:spacing w:after="60" w:line="264" w:lineRule="auto"/>
              <w:jc w:val="both"/>
              <w:rPr>
                <w:rFonts w:eastAsia="Times New Roman" w:cs="Times New Roman"/>
                <w:bCs/>
                <w:i/>
                <w:iCs/>
              </w:rPr>
            </w:pPr>
            <w:r w:rsidRPr="009F6D1E">
              <w:rPr>
                <w:rFonts w:eastAsia="Times New Roman" w:cs="Times New Roman"/>
                <w:bCs/>
                <w:i/>
                <w:iCs/>
              </w:rPr>
              <w:t xml:space="preserve">Специфична цел № 9: 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w:t>
            </w:r>
            <w:r w:rsidRPr="009F6D1E">
              <w:rPr>
                <w:rFonts w:eastAsia="Times New Roman" w:cs="Times New Roman"/>
                <w:bCs/>
                <w:i/>
                <w:iCs/>
              </w:rPr>
              <w:lastRenderedPageBreak/>
              <w:t>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44342EC9" w14:textId="77777777" w:rsidR="003B17E9" w:rsidRPr="009F6D1E" w:rsidRDefault="003B17E9" w:rsidP="0084747F">
            <w:pPr>
              <w:widowControl w:val="0"/>
              <w:spacing w:after="60" w:line="264" w:lineRule="auto"/>
              <w:jc w:val="both"/>
              <w:rPr>
                <w:rFonts w:cs="Times New Roman"/>
                <w:iCs/>
              </w:rPr>
            </w:pPr>
            <w:r w:rsidRPr="009F6D1E">
              <w:rPr>
                <w:rFonts w:cs="Times New Roman"/>
                <w:iCs/>
              </w:rPr>
              <w:t>Косвен принос имат:</w:t>
            </w:r>
          </w:p>
          <w:p w14:paraId="20F3B18F" w14:textId="71EE86C5" w:rsidR="003B17E9" w:rsidRPr="009F6D1E" w:rsidRDefault="003B17E9" w:rsidP="0084747F">
            <w:pPr>
              <w:widowControl w:val="0"/>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t xml:space="preserve">Специфична цел №2 </w:t>
            </w:r>
            <w:r w:rsidR="00606F87" w:rsidRPr="009F6D1E">
              <w:rPr>
                <w:rFonts w:eastAsia="Times New Roman" w:cs="Times New Roman"/>
                <w:i/>
                <w:iCs/>
                <w:lang w:eastAsia="bg-BG" w:bidi="bg-BG"/>
              </w:rPr>
              <w:t>–</w:t>
            </w:r>
            <w:r w:rsidRPr="009F6D1E">
              <w:rPr>
                <w:rFonts w:eastAsia="Times New Roman" w:cs="Times New Roman"/>
                <w:i/>
                <w:iCs/>
                <w:lang w:eastAsia="bg-BG" w:bidi="bg-BG"/>
              </w:rPr>
              <w:t xml:space="preserve"> потребност</w:t>
            </w:r>
            <w:r w:rsidR="00606F87" w:rsidRPr="009F6D1E">
              <w:rPr>
                <w:rFonts w:eastAsia="Times New Roman" w:cs="Times New Roman"/>
                <w:i/>
                <w:iCs/>
                <w:lang w:eastAsia="bg-BG" w:bidi="bg-BG"/>
              </w:rPr>
              <w:t xml:space="preserve"> П.2.7.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F31AED">
              <w:rPr>
                <w:rFonts w:eastAsia="Times New Roman" w:cs="Times New Roman"/>
                <w:i/>
                <w:iCs/>
                <w:lang w:eastAsia="bg-BG" w:bidi="bg-BG"/>
              </w:rPr>
              <w:t>осп</w:t>
            </w:r>
            <w:r w:rsidR="00606F87" w:rsidRPr="009F6D1E">
              <w:rPr>
                <w:rFonts w:eastAsia="Times New Roman" w:cs="Times New Roman"/>
                <w:i/>
                <w:iCs/>
                <w:lang w:eastAsia="bg-BG" w:bidi="bg-BG"/>
              </w:rPr>
              <w:t>особност чрез модернизация на стопанствата, използване на цифровизацията, както и по-широкото прилагане на подвижното пчеларство</w:t>
            </w:r>
            <w:r w:rsidRPr="009F6D1E">
              <w:rPr>
                <w:rFonts w:eastAsia="Times New Roman" w:cs="Times New Roman"/>
                <w:i/>
                <w:iCs/>
                <w:lang w:eastAsia="bg-BG" w:bidi="bg-BG"/>
              </w:rPr>
              <w:t>, и</w:t>
            </w:r>
            <w:r w:rsidRPr="009F6D1E">
              <w:rPr>
                <w:rFonts w:eastAsia="Times New Roman" w:cs="Times New Roman"/>
                <w:lang w:eastAsia="bg-BG" w:bidi="bg-BG"/>
              </w:rPr>
              <w:t>нтервенция</w:t>
            </w:r>
            <w:r w:rsidRPr="009F6D1E">
              <w:rPr>
                <w:rFonts w:eastAsia="Times New Roman" w:cs="Times New Roman"/>
                <w:i/>
                <w:iCs/>
                <w:lang w:eastAsia="bg-BG" w:bidi="bg-BG"/>
              </w:rPr>
              <w:t xml:space="preserve"> </w:t>
            </w:r>
            <w:r w:rsidR="00606F87" w:rsidRPr="009F6D1E">
              <w:rPr>
                <w:rFonts w:eastAsia="Times New Roman" w:cs="Times New Roman"/>
                <w:i/>
                <w:iCs/>
                <w:lang w:eastAsia="bg-BG" w:bidi="bg-BG"/>
              </w:rPr>
              <w:t>„Сътрудничество със специализирани органи за изпълнението на изследователски програми в областта на пчеларството и пчелните продукти“ – чл. 55 (ЕЗФРСР), ще допринесе в най-голяма степен за засилване и укрепване на връзките между пчеларите, национално и регионално представителни браншови организации и специализираните органи за изследователска дейност чрез прилагането на проекти с потенциал за развитие на сектора.</w:t>
            </w:r>
            <w:r w:rsidRPr="009F6D1E">
              <w:rPr>
                <w:rFonts w:eastAsia="Times New Roman" w:cs="Times New Roman"/>
                <w:i/>
                <w:iCs/>
                <w:lang w:eastAsia="bg-BG" w:bidi="bg-BG"/>
              </w:rPr>
              <w:t>“.</w:t>
            </w:r>
          </w:p>
          <w:p w14:paraId="3FEF7AF0" w14:textId="77777777" w:rsidR="004656F6"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4656F6" w:rsidRPr="009F6D1E">
              <w:rPr>
                <w:rFonts w:eastAsia="Times New Roman" w:cs="Times New Roman"/>
                <w:i/>
                <w:iCs/>
                <w:u w:val="single"/>
                <w:lang w:eastAsia="bg-BG" w:bidi="bg-BG"/>
              </w:rPr>
              <w:t xml:space="preserve"> ще има пряк принос към  точка 7 чрез:</w:t>
            </w:r>
          </w:p>
          <w:p w14:paraId="614C27AC" w14:textId="77777777" w:rsidR="004656F6" w:rsidRPr="009F6D1E" w:rsidRDefault="004656F6" w:rsidP="0084747F">
            <w:pPr>
              <w:widowControl w:val="0"/>
              <w:spacing w:after="60" w:line="264" w:lineRule="auto"/>
              <w:jc w:val="both"/>
              <w:rPr>
                <w:rFonts w:eastAsia="Calibri" w:cs="Times New Roman"/>
                <w:lang w:eastAsia="en-GB" w:bidi="bg-BG"/>
              </w:rPr>
            </w:pPr>
            <w:r w:rsidRPr="009F6D1E">
              <w:rPr>
                <w:rFonts w:eastAsia="Times New Roman" w:cs="Times New Roman"/>
                <w:i/>
                <w:iCs/>
                <w:lang w:eastAsia="bg-BG" w:bidi="bg-BG"/>
              </w:rPr>
              <w:t>Специфична цел №8 - потребност</w:t>
            </w:r>
            <w:r w:rsidR="00F0020A" w:rsidRPr="009F6D1E">
              <w:rPr>
                <w:rFonts w:cs="Times New Roman"/>
              </w:rPr>
              <w:t xml:space="preserve"> </w:t>
            </w:r>
            <w:r w:rsidR="00F0020A" w:rsidRPr="009F6D1E">
              <w:rPr>
                <w:rFonts w:eastAsia="Times New Roman" w:cs="Times New Roman"/>
                <w:i/>
                <w:iCs/>
                <w:lang w:eastAsia="bg-BG" w:bidi="bg-BG"/>
              </w:rPr>
              <w:t xml:space="preserve">П.8.3. Подобряване на публична инфраструктурата и технико-комуникационните системи в </w:t>
            </w:r>
            <w:r w:rsidR="00F0020A" w:rsidRPr="009F6D1E">
              <w:rPr>
                <w:rFonts w:eastAsia="Times New Roman" w:cs="Times New Roman"/>
                <w:i/>
                <w:iCs/>
                <w:lang w:eastAsia="bg-BG" w:bidi="bg-BG"/>
              </w:rPr>
              <w:lastRenderedPageBreak/>
              <w:t>селските райони чрез</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w:t>
            </w:r>
            <w:r w:rsidRPr="009F6D1E">
              <w:rPr>
                <w:rFonts w:eastAsia="Calibri" w:cs="Times New Roman"/>
                <w:i/>
                <w:iCs/>
                <w:lang w:eastAsia="en-GB" w:bidi="bg-BG"/>
              </w:rPr>
              <w:t xml:space="preserve"> Инвестиции в основни услуги и дребна по мащаби инфраструктура в селските райони </w:t>
            </w:r>
            <w:r w:rsidRPr="009F6D1E">
              <w:rPr>
                <w:rFonts w:eastAsia="Calibri" w:cs="Times New Roman"/>
                <w:lang w:eastAsia="en-GB" w:bidi="bg-BG"/>
              </w:rPr>
              <w:t xml:space="preserve">чрез: </w:t>
            </w:r>
            <w:r w:rsidRPr="009F6D1E">
              <w:rPr>
                <w:rFonts w:eastAsia="Calibri" w:cs="Times New Roman"/>
                <w:i/>
                <w:iCs/>
                <w:lang w:eastAsia="en-GB" w:bidi="bg-BG"/>
              </w:rPr>
              <w:t>„- Подобряване на общинската пътна инфраструктура в селските райони, което от своя страна би довело до подобрение на транспортната свързаност и достъпност на по-отдалечените населени места.“</w:t>
            </w:r>
          </w:p>
          <w:p w14:paraId="419ACD32" w14:textId="77777777" w:rsidR="004656F6" w:rsidRPr="009F6D1E" w:rsidRDefault="00CD4045" w:rsidP="0084747F">
            <w:pPr>
              <w:widowControl w:val="0"/>
              <w:spacing w:after="60" w:line="264" w:lineRule="auto"/>
              <w:jc w:val="both"/>
              <w:rPr>
                <w:rFonts w:eastAsia="Times New Roman" w:cs="Times New Roman"/>
                <w:i/>
                <w:iCs/>
                <w:u w:val="single"/>
                <w:lang w:eastAsia="bg-BG" w:bidi="bg-BG"/>
              </w:rPr>
            </w:pPr>
            <w:r w:rsidRPr="009F6D1E">
              <w:rPr>
                <w:rFonts w:eastAsia="Times New Roman" w:cs="Times New Roman"/>
                <w:i/>
                <w:iCs/>
                <w:u w:val="single"/>
                <w:lang w:eastAsia="bg-BG" w:bidi="bg-BG"/>
              </w:rPr>
              <w:t>СПРЗСР</w:t>
            </w:r>
            <w:r w:rsidR="004656F6" w:rsidRPr="009F6D1E">
              <w:rPr>
                <w:rFonts w:eastAsia="Times New Roman" w:cs="Times New Roman"/>
                <w:i/>
                <w:iCs/>
                <w:u w:val="single"/>
                <w:lang w:eastAsia="bg-BG" w:bidi="bg-BG"/>
              </w:rPr>
              <w:t xml:space="preserve"> ще има пряк принос към  точка 9 чрез:</w:t>
            </w:r>
          </w:p>
          <w:p w14:paraId="6ABEDD97" w14:textId="0464CCB2" w:rsidR="004656F6" w:rsidRPr="009F6D1E" w:rsidRDefault="00BF6FA6" w:rsidP="0084747F">
            <w:pPr>
              <w:widowControl w:val="0"/>
              <w:spacing w:after="60" w:line="264" w:lineRule="auto"/>
              <w:jc w:val="both"/>
              <w:rPr>
                <w:rFonts w:eastAsia="Times New Roman" w:cs="Times New Roman"/>
                <w:i/>
                <w:lang w:eastAsia="bg-BG" w:bidi="bg-BG"/>
              </w:rPr>
            </w:pPr>
            <w:r w:rsidRPr="009F6D1E">
              <w:rPr>
                <w:rFonts w:eastAsia="Times New Roman" w:cs="Times New Roman"/>
                <w:i/>
                <w:lang w:eastAsia="bg-BG" w:bidi="bg-BG"/>
              </w:rPr>
              <w:t>Специфична цел №2: Засилване на пазарната ориентация и повишаване на конкурент</w:t>
            </w:r>
            <w:r w:rsidR="00F31AED">
              <w:rPr>
                <w:rFonts w:eastAsia="Times New Roman" w:cs="Times New Roman"/>
                <w:i/>
                <w:lang w:eastAsia="bg-BG" w:bidi="bg-BG"/>
              </w:rPr>
              <w:t>осп</w:t>
            </w:r>
            <w:r w:rsidRPr="009F6D1E">
              <w:rPr>
                <w:rFonts w:eastAsia="Times New Roman" w:cs="Times New Roman"/>
                <w:i/>
                <w:lang w:eastAsia="bg-BG" w:bidi="bg-BG"/>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r w:rsidR="004656F6" w:rsidRPr="009F6D1E">
              <w:rPr>
                <w:rFonts w:eastAsia="Times New Roman" w:cs="Times New Roman"/>
                <w:i/>
                <w:lang w:eastAsia="bg-BG" w:bidi="bg-BG"/>
              </w:rPr>
              <w:t xml:space="preserve"> </w:t>
            </w:r>
            <w:r w:rsidR="004656F6" w:rsidRPr="009F6D1E">
              <w:rPr>
                <w:rFonts w:eastAsia="Times New Roman" w:cs="Times New Roman"/>
                <w:iCs/>
                <w:lang w:eastAsia="bg-BG" w:bidi="bg-BG"/>
              </w:rPr>
              <w:t>и</w:t>
            </w:r>
          </w:p>
          <w:p w14:paraId="3747CF4F" w14:textId="77777777" w:rsidR="00BF6FA6" w:rsidRPr="009F6D1E" w:rsidRDefault="004656F6" w:rsidP="0084747F">
            <w:pPr>
              <w:widowControl w:val="0"/>
              <w:spacing w:after="60" w:line="264" w:lineRule="auto"/>
              <w:jc w:val="both"/>
              <w:rPr>
                <w:rFonts w:eastAsia="Times New Roman" w:cs="Times New Roman"/>
                <w:i/>
                <w:lang w:eastAsia="bg-BG" w:bidi="bg-BG"/>
              </w:rPr>
            </w:pPr>
            <w:r w:rsidRPr="009F6D1E">
              <w:rPr>
                <w:rFonts w:eastAsia="Times New Roman" w:cs="Times New Roman"/>
                <w:i/>
                <w:lang w:eastAsia="bg-BG" w:bidi="bg-BG"/>
              </w:rPr>
              <w:t>Специфична цел №9 - потребност</w:t>
            </w:r>
            <w:r w:rsidR="00BF6FA6" w:rsidRPr="009F6D1E">
              <w:rPr>
                <w:rFonts w:cs="Times New Roman"/>
              </w:rPr>
              <w:t xml:space="preserve"> </w:t>
            </w:r>
            <w:r w:rsidR="00BF6FA6" w:rsidRPr="009F6D1E">
              <w:rPr>
                <w:rFonts w:eastAsia="Times New Roman" w:cs="Times New Roman"/>
                <w:i/>
                <w:lang w:eastAsia="bg-BG" w:bidi="bg-BG"/>
              </w:rPr>
              <w:t>П.9.1.Насърчаване и подпомагане на биологичното земеделие, както и на научните изследвания в тази посока</w:t>
            </w:r>
          </w:p>
          <w:p w14:paraId="58E8E14A" w14:textId="77777777" w:rsidR="004656F6" w:rsidRPr="009F6D1E" w:rsidRDefault="00BF6FA6" w:rsidP="0084747F">
            <w:pPr>
              <w:widowControl w:val="0"/>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Интервенции към </w:t>
            </w:r>
            <w:r w:rsidR="005046C7" w:rsidRPr="009F6D1E">
              <w:rPr>
                <w:rFonts w:eastAsia="Times New Roman" w:cs="Times New Roman"/>
                <w:i/>
                <w:lang w:eastAsia="bg-BG" w:bidi="bg-BG"/>
              </w:rPr>
              <w:t xml:space="preserve">Междусекторна цел 10 </w:t>
            </w:r>
            <w:r w:rsidRPr="009F6D1E">
              <w:rPr>
                <w:rFonts w:eastAsia="Times New Roman" w:cs="Times New Roman"/>
                <w:i/>
                <w:lang w:eastAsia="bg-BG" w:bidi="bg-BG"/>
              </w:rPr>
              <w:t xml:space="preserve">на СПОС 2023-2027г.: 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w:t>
            </w:r>
            <w:r w:rsidRPr="009F6D1E">
              <w:rPr>
                <w:rFonts w:eastAsia="Times New Roman" w:cs="Times New Roman"/>
                <w:i/>
                <w:lang w:eastAsia="bg-BG" w:bidi="bg-BG"/>
              </w:rPr>
              <w:lastRenderedPageBreak/>
              <w:t xml:space="preserve">по-добър достъп до научни изследвания, иновации, обмен на знания и обучение </w:t>
            </w:r>
            <w:r w:rsidR="004656F6" w:rsidRPr="009F6D1E">
              <w:rPr>
                <w:rFonts w:eastAsia="Times New Roman" w:cs="Times New Roman"/>
                <w:i/>
                <w:lang w:eastAsia="bg-BG" w:bidi="bg-BG"/>
              </w:rPr>
              <w:t>;</w:t>
            </w:r>
          </w:p>
          <w:p w14:paraId="7917BAAE" w14:textId="77777777" w:rsidR="003B17E9" w:rsidRPr="009F6D1E" w:rsidRDefault="004656F6" w:rsidP="0084747F">
            <w:pPr>
              <w:widowControl w:val="0"/>
              <w:spacing w:after="60" w:line="264" w:lineRule="auto"/>
              <w:contextualSpacing/>
              <w:jc w:val="both"/>
              <w:rPr>
                <w:rFonts w:eastAsia="Calibri" w:cs="Times New Roman"/>
                <w:i/>
                <w:iCs/>
              </w:rPr>
            </w:pPr>
            <w:r w:rsidRPr="009F6D1E">
              <w:rPr>
                <w:rFonts w:cs="Times New Roman"/>
                <w:i/>
                <w:iCs/>
                <w:u w:val="single"/>
              </w:rPr>
              <w:t xml:space="preserve">Точки 8 и 10 от плана няма отношение към </w:t>
            </w:r>
            <w:r w:rsidR="00CD4045" w:rsidRPr="009F6D1E">
              <w:rPr>
                <w:rFonts w:cs="Times New Roman"/>
                <w:i/>
                <w:iCs/>
                <w:u w:val="single"/>
              </w:rPr>
              <w:t>СПРЗСР</w:t>
            </w:r>
            <w:r w:rsidRPr="009F6D1E">
              <w:rPr>
                <w:rFonts w:cs="Times New Roman"/>
              </w:rPr>
              <w:t>.</w:t>
            </w:r>
          </w:p>
        </w:tc>
      </w:tr>
      <w:tr w:rsidR="0078017C" w:rsidRPr="009F6D1E" w14:paraId="7204920D" w14:textId="77777777" w:rsidTr="0078017C">
        <w:tc>
          <w:tcPr>
            <w:tcW w:w="7139" w:type="dxa"/>
          </w:tcPr>
          <w:p w14:paraId="244A174A" w14:textId="77777777" w:rsidR="00C301B6" w:rsidRPr="009F6D1E" w:rsidRDefault="00C301B6" w:rsidP="0084747F">
            <w:pPr>
              <w:widowControl w:val="0"/>
              <w:spacing w:after="60" w:line="264" w:lineRule="auto"/>
              <w:contextualSpacing/>
              <w:jc w:val="both"/>
              <w:rPr>
                <w:rFonts w:cs="Times New Roman"/>
                <w:b/>
                <w:bCs/>
                <w:i/>
                <w:iCs/>
              </w:rPr>
            </w:pPr>
            <w:r w:rsidRPr="009F6D1E">
              <w:rPr>
                <w:rFonts w:cs="Times New Roman"/>
                <w:b/>
                <w:bCs/>
                <w:i/>
                <w:iCs/>
              </w:rPr>
              <w:lastRenderedPageBreak/>
              <w:t xml:space="preserve">Съобщение на Европейската комисия „Стратегия „От фермата до трапезата“ за справедлива, здравословна и екологосъобразна продоволствена система“, COM(2020) 381  </w:t>
            </w:r>
          </w:p>
          <w:p w14:paraId="496C3B2A" w14:textId="77777777" w:rsidR="00C301B6" w:rsidRPr="009F6D1E" w:rsidRDefault="00C301B6" w:rsidP="0084747F">
            <w:pPr>
              <w:widowControl w:val="0"/>
              <w:spacing w:after="60" w:line="264" w:lineRule="auto"/>
              <w:contextualSpacing/>
              <w:jc w:val="both"/>
              <w:rPr>
                <w:rFonts w:cs="Times New Roman"/>
              </w:rPr>
            </w:pPr>
            <w:r w:rsidRPr="009F6D1E">
              <w:rPr>
                <w:rFonts w:cs="Times New Roman"/>
              </w:rPr>
              <w:t>Цели в стратегията за 2030 г.</w:t>
            </w:r>
          </w:p>
          <w:p w14:paraId="58268675" w14:textId="77777777" w:rsidR="00C301B6" w:rsidRPr="009F6D1E" w:rsidRDefault="00C301B6" w:rsidP="0084747F">
            <w:pPr>
              <w:widowControl w:val="0"/>
              <w:numPr>
                <w:ilvl w:val="0"/>
                <w:numId w:val="13"/>
              </w:numPr>
              <w:tabs>
                <w:tab w:val="num" w:pos="360"/>
              </w:tabs>
              <w:spacing w:after="60" w:line="264" w:lineRule="auto"/>
              <w:contextualSpacing/>
              <w:jc w:val="both"/>
              <w:rPr>
                <w:rFonts w:cs="Times New Roman"/>
              </w:rPr>
            </w:pPr>
            <w:r w:rsidRPr="009F6D1E">
              <w:rPr>
                <w:rFonts w:cs="Times New Roman"/>
              </w:rPr>
              <w:t>50% намаление на използването на пестициди</w:t>
            </w:r>
          </w:p>
          <w:p w14:paraId="59012C4A" w14:textId="77777777" w:rsidR="00C301B6" w:rsidRPr="009F6D1E" w:rsidRDefault="00C301B6" w:rsidP="0084747F">
            <w:pPr>
              <w:widowControl w:val="0"/>
              <w:numPr>
                <w:ilvl w:val="0"/>
                <w:numId w:val="13"/>
              </w:numPr>
              <w:tabs>
                <w:tab w:val="num" w:pos="360"/>
              </w:tabs>
              <w:spacing w:after="60" w:line="264" w:lineRule="auto"/>
              <w:contextualSpacing/>
              <w:jc w:val="both"/>
              <w:rPr>
                <w:rFonts w:cs="Times New Roman"/>
              </w:rPr>
            </w:pPr>
            <w:r w:rsidRPr="009F6D1E">
              <w:rPr>
                <w:rFonts w:cs="Times New Roman"/>
              </w:rPr>
              <w:t>Поне 20% намаление на използването на изкуствени торове</w:t>
            </w:r>
          </w:p>
          <w:p w14:paraId="1D0D0168" w14:textId="77777777" w:rsidR="00893585" w:rsidRPr="009F6D1E" w:rsidRDefault="00C301B6" w:rsidP="0084747F">
            <w:pPr>
              <w:widowControl w:val="0"/>
              <w:numPr>
                <w:ilvl w:val="0"/>
                <w:numId w:val="13"/>
              </w:numPr>
              <w:tabs>
                <w:tab w:val="num" w:pos="360"/>
              </w:tabs>
              <w:spacing w:after="60" w:line="264" w:lineRule="auto"/>
              <w:contextualSpacing/>
              <w:jc w:val="both"/>
              <w:rPr>
                <w:rFonts w:cs="Times New Roman"/>
              </w:rPr>
            </w:pPr>
            <w:r w:rsidRPr="009F6D1E">
              <w:rPr>
                <w:rFonts w:cs="Times New Roman"/>
              </w:rPr>
              <w:t>50% намаление на продажбите на антимикробни средства за селскостопанските животни</w:t>
            </w:r>
            <w:r w:rsidR="00893585" w:rsidRPr="009F6D1E">
              <w:rPr>
                <w:rFonts w:cs="Times New Roman"/>
              </w:rPr>
              <w:t xml:space="preserve"> </w:t>
            </w:r>
          </w:p>
          <w:p w14:paraId="16FBA330" w14:textId="77777777" w:rsidR="00C301B6" w:rsidRPr="009F6D1E" w:rsidRDefault="00C301B6" w:rsidP="0084747F">
            <w:pPr>
              <w:widowControl w:val="0"/>
              <w:numPr>
                <w:ilvl w:val="0"/>
                <w:numId w:val="13"/>
              </w:numPr>
              <w:tabs>
                <w:tab w:val="num" w:pos="360"/>
              </w:tabs>
              <w:spacing w:after="60" w:line="264" w:lineRule="auto"/>
              <w:contextualSpacing/>
              <w:jc w:val="both"/>
              <w:rPr>
                <w:rFonts w:cs="Times New Roman"/>
              </w:rPr>
            </w:pPr>
            <w:r w:rsidRPr="009F6D1E">
              <w:rPr>
                <w:rFonts w:cs="Times New Roman"/>
              </w:rPr>
              <w:t>25% от земеделската земя да бъде обработвана по правилата за био земеделие</w:t>
            </w:r>
          </w:p>
          <w:p w14:paraId="4EB028F3" w14:textId="77777777" w:rsidR="00C301B6" w:rsidRPr="009F6D1E" w:rsidRDefault="00C301B6" w:rsidP="0084747F">
            <w:pPr>
              <w:widowControl w:val="0"/>
              <w:spacing w:after="60" w:line="264" w:lineRule="auto"/>
              <w:contextualSpacing/>
              <w:jc w:val="both"/>
              <w:rPr>
                <w:rFonts w:eastAsia="Calibri" w:cs="Times New Roman"/>
                <w:b/>
                <w:bCs/>
                <w:i/>
                <w:iCs/>
              </w:rPr>
            </w:pPr>
          </w:p>
        </w:tc>
        <w:tc>
          <w:tcPr>
            <w:tcW w:w="7139" w:type="dxa"/>
          </w:tcPr>
          <w:p w14:paraId="571FDB2D" w14:textId="77777777" w:rsidR="009E630B" w:rsidRPr="009F6D1E" w:rsidRDefault="00CD4045" w:rsidP="0084747F">
            <w:pPr>
              <w:widowControl w:val="0"/>
              <w:spacing w:after="60" w:line="264" w:lineRule="auto"/>
              <w:jc w:val="both"/>
              <w:rPr>
                <w:rFonts w:eastAsia="Times New Roman" w:cs="Times New Roman"/>
                <w:bCs/>
                <w:u w:val="single"/>
              </w:rPr>
            </w:pPr>
            <w:r w:rsidRPr="009F6D1E">
              <w:rPr>
                <w:rFonts w:cs="Times New Roman"/>
                <w:lang w:eastAsia="bg-BG" w:bidi="bg-BG"/>
              </w:rPr>
              <w:t>СПРЗСР</w:t>
            </w:r>
            <w:r w:rsidR="009E630B" w:rsidRPr="009F6D1E">
              <w:rPr>
                <w:rFonts w:cs="Times New Roman"/>
                <w:lang w:eastAsia="bg-BG" w:bidi="bg-BG"/>
              </w:rPr>
              <w:t xml:space="preserve"> ще има пряк принос към стратегията чрез </w:t>
            </w:r>
            <w:r w:rsidR="009E630B" w:rsidRPr="009F6D1E">
              <w:rPr>
                <w:rFonts w:eastAsia="Times New Roman" w:cs="Times New Roman"/>
                <w:bCs/>
                <w:i/>
                <w:iCs/>
              </w:rPr>
              <w:t>Интервенция „Биологично земеделие“</w:t>
            </w:r>
            <w:r w:rsidR="00893585" w:rsidRPr="009F6D1E">
              <w:rPr>
                <w:rFonts w:eastAsia="Times New Roman" w:cs="Times New Roman"/>
                <w:bCs/>
                <w:i/>
                <w:iCs/>
              </w:rPr>
              <w:t xml:space="preserve">, </w:t>
            </w:r>
            <w:r w:rsidR="00893585" w:rsidRPr="009F6D1E">
              <w:rPr>
                <w:rFonts w:eastAsia="Times New Roman" w:cs="Times New Roman"/>
                <w:bCs/>
              </w:rPr>
              <w:t>със следните с</w:t>
            </w:r>
            <w:r w:rsidR="009E630B" w:rsidRPr="009F6D1E">
              <w:rPr>
                <w:rFonts w:eastAsia="Times New Roman" w:cs="Times New Roman"/>
                <w:bCs/>
                <w:u w:val="single"/>
              </w:rPr>
              <w:t>вързани специфични цели</w:t>
            </w:r>
            <w:r w:rsidR="00893585" w:rsidRPr="009F6D1E">
              <w:rPr>
                <w:rFonts w:eastAsia="Times New Roman" w:cs="Times New Roman"/>
                <w:bCs/>
                <w:u w:val="single"/>
              </w:rPr>
              <w:t xml:space="preserve"> </w:t>
            </w:r>
            <w:r w:rsidR="009E630B" w:rsidRPr="009F6D1E">
              <w:rPr>
                <w:rFonts w:eastAsia="Times New Roman" w:cs="Times New Roman"/>
                <w:bCs/>
                <w:u w:val="single"/>
              </w:rPr>
              <w:t>:</w:t>
            </w:r>
          </w:p>
          <w:p w14:paraId="7C283293" w14:textId="77777777" w:rsidR="00D83575" w:rsidRPr="009F6D1E" w:rsidRDefault="00D83575"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2D291A74" w14:textId="77777777" w:rsidR="00D83575" w:rsidRPr="009F6D1E" w:rsidRDefault="00D83575"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№5: 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1CE8A118" w14:textId="77777777" w:rsidR="00D83575" w:rsidRPr="009F6D1E" w:rsidRDefault="00D83575" w:rsidP="0084747F">
            <w:pPr>
              <w:widowControl w:val="0"/>
              <w:spacing w:after="60" w:line="264" w:lineRule="auto"/>
              <w:jc w:val="both"/>
              <w:rPr>
                <w:rFonts w:eastAsia="Times New Roman" w:cs="Times New Roman"/>
                <w:bCs/>
                <w:i/>
                <w:iCs/>
              </w:rPr>
            </w:pPr>
            <w:r w:rsidRPr="009F6D1E">
              <w:rPr>
                <w:rFonts w:eastAsia="Times New Roman" w:cs="Times New Roman"/>
                <w:bCs/>
                <w:i/>
                <w:iCs/>
              </w:rPr>
              <w:t>Специфична цел № 6: 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p>
          <w:p w14:paraId="2378DE1A" w14:textId="77777777" w:rsidR="00BD278E" w:rsidRPr="009F6D1E" w:rsidRDefault="00BD278E" w:rsidP="0084747F">
            <w:pPr>
              <w:widowControl w:val="0"/>
              <w:tabs>
                <w:tab w:val="left" w:pos="1080"/>
              </w:tabs>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Pr="009F6D1E">
              <w:rPr>
                <w:rFonts w:cs="Times New Roman"/>
                <w:lang w:bidi="bg-BG"/>
              </w:rPr>
              <w:t xml:space="preserve"> </w:t>
            </w:r>
            <w:r w:rsidRPr="009F6D1E">
              <w:rPr>
                <w:rFonts w:eastAsia="Times New Roman" w:cs="Times New Roman"/>
                <w:i/>
                <w:iCs/>
                <w:lang w:eastAsia="bg-BG" w:bidi="bg-BG"/>
              </w:rPr>
              <w:t>П.6.5. Интервенция „Използване 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на хранителни </w:t>
            </w:r>
            <w:r w:rsidRPr="009F6D1E">
              <w:rPr>
                <w:rFonts w:eastAsia="Times New Roman" w:cs="Times New Roman"/>
                <w:lang w:eastAsia="bg-BG" w:bidi="bg-BG"/>
              </w:rPr>
              <w:lastRenderedPageBreak/>
              <w:t xml:space="preserve">вещества с поне 50%, като същевременно се 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p w14:paraId="6EED50C0" w14:textId="77777777" w:rsidR="00D83575" w:rsidRPr="009F6D1E" w:rsidRDefault="00D83575" w:rsidP="0084747F">
            <w:pPr>
              <w:widowControl w:val="0"/>
              <w:spacing w:after="60" w:line="264" w:lineRule="auto"/>
              <w:jc w:val="both"/>
              <w:rPr>
                <w:rFonts w:eastAsia="Times New Roman" w:cs="Times New Roman"/>
                <w:bCs/>
                <w:i/>
                <w:iCs/>
              </w:rPr>
            </w:pPr>
            <w:r w:rsidRPr="009F6D1E">
              <w:rPr>
                <w:rFonts w:eastAsia="Times New Roman" w:cs="Times New Roman"/>
                <w:bCs/>
                <w:i/>
                <w:iCs/>
              </w:rPr>
              <w:t xml:space="preserve">Специфична цел № 9: 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w:t>
            </w:r>
            <w:r w:rsidRPr="009F6D1E">
              <w:rPr>
                <w:rFonts w:eastAsia="Times New Roman" w:cs="Times New Roman"/>
                <w:bCs/>
                <w:i/>
                <w:iCs/>
              </w:rPr>
              <w:lastRenderedPageBreak/>
              <w:t>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213FD6A1" w14:textId="77777777" w:rsidR="009E630B" w:rsidRPr="009F6D1E" w:rsidRDefault="009E630B" w:rsidP="0084747F">
            <w:pPr>
              <w:widowControl w:val="0"/>
              <w:spacing w:after="60" w:line="264" w:lineRule="auto"/>
              <w:jc w:val="both"/>
              <w:rPr>
                <w:rFonts w:eastAsia="Times New Roman" w:cs="Times New Roman"/>
              </w:rPr>
            </w:pPr>
            <w:r w:rsidRPr="009F6D1E">
              <w:rPr>
                <w:rFonts w:eastAsia="Times New Roman" w:cs="Times New Roman"/>
              </w:rPr>
              <w:t>Очаква се интервенцията да доведе до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 Дейностите по интервенцията ще допринесат и за постигането на целите на Стратегия на ЕС за биологичното разнообразие до 2030 г. и да удовлетвори заложените цели в стратегията от „Фермата до трапезата“.</w:t>
            </w:r>
          </w:p>
          <w:p w14:paraId="2919A226" w14:textId="77777777" w:rsidR="009E630B" w:rsidRPr="009F6D1E" w:rsidRDefault="009E630B" w:rsidP="0084747F">
            <w:pPr>
              <w:widowControl w:val="0"/>
              <w:spacing w:after="60" w:line="264" w:lineRule="auto"/>
              <w:jc w:val="both"/>
              <w:rPr>
                <w:rFonts w:eastAsia="Times New Roman" w:cs="Times New Roman"/>
              </w:rPr>
            </w:pPr>
            <w:r w:rsidRPr="009F6D1E">
              <w:rPr>
                <w:rFonts w:eastAsia="Times New Roman" w:cs="Times New Roman"/>
              </w:rPr>
              <w:t>По интервенция „Биологично земеделие“ ще се подпомагат на територията на цялата страна, земеделски стопани, чиито стопанства са в период на преход или са преминали периода на преход, развиващи земеделска дейност в следните направления:</w:t>
            </w:r>
          </w:p>
          <w:p w14:paraId="576E6678" w14:textId="77777777" w:rsidR="009E630B" w:rsidRPr="009F6D1E" w:rsidRDefault="009E630B" w:rsidP="0084747F">
            <w:pPr>
              <w:widowControl w:val="0"/>
              <w:numPr>
                <w:ilvl w:val="0"/>
                <w:numId w:val="16"/>
              </w:numPr>
              <w:spacing w:after="60" w:line="264" w:lineRule="auto"/>
              <w:contextualSpacing/>
              <w:jc w:val="both"/>
              <w:rPr>
                <w:rFonts w:eastAsia="Times New Roman" w:cs="Times New Roman"/>
              </w:rPr>
            </w:pPr>
            <w:r w:rsidRPr="009F6D1E">
              <w:rPr>
                <w:rFonts w:eastAsia="Times New Roman" w:cs="Times New Roman"/>
              </w:rPr>
              <w:t>Биологично растениевъдство</w:t>
            </w:r>
          </w:p>
          <w:p w14:paraId="415DDB31" w14:textId="77777777" w:rsidR="009E630B" w:rsidRPr="009F6D1E" w:rsidRDefault="009E630B" w:rsidP="0084747F">
            <w:pPr>
              <w:widowControl w:val="0"/>
              <w:numPr>
                <w:ilvl w:val="0"/>
                <w:numId w:val="16"/>
              </w:numPr>
              <w:spacing w:after="60" w:line="264" w:lineRule="auto"/>
              <w:contextualSpacing/>
              <w:jc w:val="both"/>
              <w:rPr>
                <w:rFonts w:eastAsia="Times New Roman" w:cs="Times New Roman"/>
              </w:rPr>
            </w:pPr>
            <w:r w:rsidRPr="009F6D1E">
              <w:rPr>
                <w:rFonts w:eastAsia="Times New Roman" w:cs="Times New Roman"/>
              </w:rPr>
              <w:t>Биологично пчеларство</w:t>
            </w:r>
          </w:p>
          <w:p w14:paraId="48AEB939" w14:textId="77777777" w:rsidR="009E630B" w:rsidRPr="009F6D1E" w:rsidRDefault="009E630B" w:rsidP="0084747F">
            <w:pPr>
              <w:widowControl w:val="0"/>
              <w:numPr>
                <w:ilvl w:val="0"/>
                <w:numId w:val="16"/>
              </w:numPr>
              <w:spacing w:after="60" w:line="264" w:lineRule="auto"/>
              <w:contextualSpacing/>
              <w:jc w:val="both"/>
              <w:rPr>
                <w:rFonts w:eastAsia="Calibri" w:cs="Times New Roman"/>
                <w:b/>
                <w:bCs/>
                <w:i/>
                <w:iCs/>
              </w:rPr>
            </w:pPr>
            <w:r w:rsidRPr="009F6D1E">
              <w:rPr>
                <w:rFonts w:eastAsia="Times New Roman" w:cs="Times New Roman"/>
              </w:rPr>
              <w:lastRenderedPageBreak/>
              <w:t>Биологично животновъдство</w:t>
            </w:r>
          </w:p>
        </w:tc>
      </w:tr>
      <w:tr w:rsidR="0078017C" w:rsidRPr="009F6D1E" w14:paraId="3A0741CB" w14:textId="77777777" w:rsidTr="0078017C">
        <w:tc>
          <w:tcPr>
            <w:tcW w:w="7139" w:type="dxa"/>
          </w:tcPr>
          <w:p w14:paraId="3463EE77" w14:textId="77777777" w:rsidR="00C301B6" w:rsidRPr="009F6D1E" w:rsidRDefault="00C301B6" w:rsidP="0084747F">
            <w:pPr>
              <w:widowControl w:val="0"/>
              <w:spacing w:after="60" w:line="264" w:lineRule="auto"/>
              <w:contextualSpacing/>
              <w:jc w:val="both"/>
              <w:rPr>
                <w:rFonts w:cs="Times New Roman"/>
                <w:b/>
                <w:bCs/>
                <w:i/>
                <w:iCs/>
              </w:rPr>
            </w:pPr>
            <w:r w:rsidRPr="009F6D1E">
              <w:rPr>
                <w:rFonts w:cs="Times New Roman"/>
                <w:b/>
                <w:bCs/>
                <w:i/>
                <w:iCs/>
              </w:rPr>
              <w:lastRenderedPageBreak/>
              <w:t>Стратегия на ЕС за биологичното разнообразие до 2030 г.</w:t>
            </w:r>
          </w:p>
          <w:p w14:paraId="78C01AE0" w14:textId="77777777" w:rsidR="00C301B6" w:rsidRPr="009F6D1E" w:rsidRDefault="00C301B6" w:rsidP="0084747F">
            <w:pPr>
              <w:widowControl w:val="0"/>
              <w:spacing w:after="60" w:line="264" w:lineRule="auto"/>
              <w:contextualSpacing/>
              <w:jc w:val="both"/>
              <w:rPr>
                <w:rFonts w:cs="Times New Roman"/>
                <w:b/>
                <w:bCs/>
                <w:i/>
                <w:iCs/>
              </w:rPr>
            </w:pPr>
            <w:r w:rsidRPr="009F6D1E">
              <w:rPr>
                <w:rFonts w:cs="Times New Roman"/>
              </w:rPr>
              <w:t>Инициативи</w:t>
            </w:r>
            <w:r w:rsidRPr="009F6D1E">
              <w:rPr>
                <w:rFonts w:cs="Times New Roman"/>
                <w:b/>
                <w:bCs/>
                <w:i/>
                <w:iCs/>
              </w:rPr>
              <w:t>:</w:t>
            </w:r>
          </w:p>
          <w:p w14:paraId="7CD406CC" w14:textId="77777777" w:rsidR="00C301B6" w:rsidRPr="009F6D1E" w:rsidRDefault="00C301B6" w:rsidP="0084747F">
            <w:pPr>
              <w:widowControl w:val="0"/>
              <w:spacing w:after="60" w:line="264" w:lineRule="auto"/>
              <w:contextualSpacing/>
              <w:jc w:val="both"/>
              <w:rPr>
                <w:rFonts w:eastAsia="Calibri" w:cs="Times New Roman"/>
                <w:b/>
                <w:bCs/>
              </w:rPr>
            </w:pPr>
            <w:r w:rsidRPr="009F6D1E">
              <w:rPr>
                <w:rFonts w:eastAsia="Calibri" w:cs="Times New Roman"/>
                <w:b/>
                <w:bCs/>
              </w:rPr>
              <w:t xml:space="preserve">1. Опазване и възстановяване на природата в ЕС </w:t>
            </w:r>
          </w:p>
          <w:p w14:paraId="6D15B106"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хармонизирана мрежа от защитени зони – защита на най-малко 30% от сухоземната територия и 30% от морските басейни в ЕС;</w:t>
            </w:r>
          </w:p>
          <w:p w14:paraId="74352930"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въвеждане на мерки за строга защита на най-малко една трета от защитените зони</w:t>
            </w:r>
          </w:p>
          <w:p w14:paraId="367A19F0"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10% от сухоземната територия и 10% от морските басейни на ЕС;</w:t>
            </w:r>
          </w:p>
          <w:p w14:paraId="0541DDA3"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строга защита на естествените вековни гори;</w:t>
            </w:r>
          </w:p>
          <w:p w14:paraId="4AE07AB3"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установяване на екологични коридори за предотвратяване на генетичната изолация, позволяващи миграцията и  подобряването на екосистемите;</w:t>
            </w:r>
          </w:p>
          <w:p w14:paraId="20CFFF9E"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rPr>
              <w:t>- ефективно управление на защитените зони – определяне на ясни природозащитни цели и мерки и подходящ мониторинг.</w:t>
            </w:r>
          </w:p>
          <w:p w14:paraId="668E1B06"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b/>
                <w:bCs/>
              </w:rPr>
              <w:t>2. План на ЕС за възстановяване на природата</w:t>
            </w:r>
            <w:r w:rsidRPr="009F6D1E">
              <w:rPr>
                <w:rFonts w:eastAsia="Calibri" w:cs="Times New Roman"/>
              </w:rPr>
              <w:t xml:space="preserve"> – ЕС ще предложи количествени цели за възстановяване на природата, класифициране на защитени видове и местообитания, преразглеждане на законодателството за употреба на пестициди, на инициативите на ЕС за </w:t>
            </w:r>
            <w:proofErr w:type="spellStart"/>
            <w:r w:rsidRPr="009F6D1E">
              <w:rPr>
                <w:rFonts w:eastAsia="Calibri" w:cs="Times New Roman"/>
              </w:rPr>
              <w:t>опрашителите</w:t>
            </w:r>
            <w:proofErr w:type="spellEnd"/>
            <w:r w:rsidRPr="009F6D1E">
              <w:rPr>
                <w:rFonts w:eastAsia="Calibri" w:cs="Times New Roman"/>
              </w:rPr>
              <w:t xml:space="preserve">, планове за действие, нови/преразглеждане на стратегии за почви и гори, развитие на информационната система </w:t>
            </w:r>
            <w:r w:rsidRPr="009F6D1E">
              <w:rPr>
                <w:rFonts w:eastAsia="Calibri" w:cs="Times New Roman"/>
              </w:rPr>
              <w:lastRenderedPageBreak/>
              <w:t>за горите, критерии за устойчивост и др.</w:t>
            </w:r>
          </w:p>
          <w:p w14:paraId="74AFB215" w14:textId="77777777" w:rsidR="00C301B6" w:rsidRPr="009F6D1E" w:rsidRDefault="00C301B6" w:rsidP="0084747F">
            <w:pPr>
              <w:widowControl w:val="0"/>
              <w:spacing w:after="60" w:line="264" w:lineRule="auto"/>
              <w:contextualSpacing/>
              <w:jc w:val="both"/>
              <w:rPr>
                <w:rFonts w:eastAsia="Calibri" w:cs="Times New Roman"/>
              </w:rPr>
            </w:pPr>
            <w:r w:rsidRPr="009F6D1E">
              <w:rPr>
                <w:rFonts w:eastAsia="Calibri" w:cs="Times New Roman"/>
                <w:b/>
                <w:bCs/>
              </w:rPr>
              <w:t xml:space="preserve">3. Създаване на условия за преобразяваща икономика </w:t>
            </w:r>
            <w:r w:rsidRPr="009F6D1E">
              <w:rPr>
                <w:rFonts w:eastAsia="Calibri" w:cs="Times New Roman"/>
              </w:rPr>
              <w:t>– ще се разработят насоки и инициативи на ЕС за сътрудничество, устойчиво корпоративно управление, устойчиво финансиране, класификации на дейности с принос за опазване и възстановяване на биологичното разнообразие, център за знания, насърчаване на сътрудничеството.</w:t>
            </w:r>
          </w:p>
          <w:p w14:paraId="134FC7F8" w14:textId="77777777" w:rsidR="0078017C" w:rsidRPr="009F6D1E" w:rsidRDefault="00C301B6" w:rsidP="0084747F">
            <w:pPr>
              <w:widowControl w:val="0"/>
              <w:spacing w:after="60" w:line="264" w:lineRule="auto"/>
              <w:contextualSpacing/>
              <w:jc w:val="both"/>
              <w:rPr>
                <w:rFonts w:eastAsia="Calibri" w:cs="Times New Roman"/>
                <w:b/>
                <w:bCs/>
                <w:i/>
                <w:iCs/>
              </w:rPr>
            </w:pPr>
            <w:r w:rsidRPr="009F6D1E">
              <w:rPr>
                <w:rFonts w:eastAsia="Calibri" w:cs="Times New Roman"/>
                <w:b/>
                <w:bCs/>
              </w:rPr>
              <w:t>4. Усилия на ЕС за прилагане на амбициозната Световна програма за биологичното разнообразие</w:t>
            </w:r>
            <w:r w:rsidRPr="009F6D1E">
              <w:rPr>
                <w:rFonts w:eastAsia="Calibri" w:cs="Times New Roman"/>
              </w:rPr>
              <w:t xml:space="preserve"> – международни договори и споразумения, мерки за свеждане до минимум на предлагането на пазара на ЕС на продукти, свързани с обезлесяване или деградация на горите и </w:t>
            </w:r>
            <w:proofErr w:type="spellStart"/>
            <w:r w:rsidRPr="009F6D1E">
              <w:rPr>
                <w:rFonts w:eastAsia="Calibri" w:cs="Times New Roman"/>
              </w:rPr>
              <w:t>др</w:t>
            </w:r>
            <w:proofErr w:type="spellEnd"/>
          </w:p>
        </w:tc>
        <w:tc>
          <w:tcPr>
            <w:tcW w:w="7139" w:type="dxa"/>
          </w:tcPr>
          <w:p w14:paraId="76B71DC7" w14:textId="77777777" w:rsidR="00D44258" w:rsidRPr="009F6D1E" w:rsidRDefault="00CD4045" w:rsidP="0084747F">
            <w:pPr>
              <w:widowControl w:val="0"/>
              <w:spacing w:after="60" w:line="264" w:lineRule="auto"/>
              <w:jc w:val="both"/>
              <w:rPr>
                <w:rFonts w:eastAsia="Times New Roman" w:cs="Times New Roman"/>
                <w:bCs/>
                <w:i/>
                <w:iCs/>
              </w:rPr>
            </w:pPr>
            <w:r w:rsidRPr="009F6D1E">
              <w:rPr>
                <w:rFonts w:cs="Times New Roman"/>
                <w:lang w:eastAsia="bg-BG" w:bidi="bg-BG"/>
              </w:rPr>
              <w:lastRenderedPageBreak/>
              <w:t>СПРЗСР</w:t>
            </w:r>
            <w:r w:rsidR="00D44258" w:rsidRPr="009F6D1E">
              <w:rPr>
                <w:rFonts w:cs="Times New Roman"/>
                <w:lang w:eastAsia="bg-BG" w:bidi="bg-BG"/>
              </w:rPr>
              <w:t xml:space="preserve"> ще има пряк принос към Стратегията чрез </w:t>
            </w:r>
            <w:r w:rsidR="00D83575" w:rsidRPr="009F6D1E">
              <w:rPr>
                <w:rFonts w:eastAsia="Times New Roman" w:cs="Times New Roman"/>
                <w:bCs/>
                <w:i/>
                <w:iCs/>
              </w:rPr>
              <w:t>Специфична цел № 6: 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r w:rsidR="00D44258" w:rsidRPr="009F6D1E">
              <w:rPr>
                <w:rFonts w:eastAsia="Calibri" w:cs="Times New Roman"/>
                <w:i/>
                <w:iCs/>
                <w:lang w:bidi="bg-BG"/>
              </w:rPr>
              <w:t xml:space="preserve"> </w:t>
            </w:r>
            <w:r w:rsidR="00D44258" w:rsidRPr="009F6D1E">
              <w:rPr>
                <w:rFonts w:eastAsia="Calibri" w:cs="Times New Roman"/>
                <w:lang w:bidi="bg-BG"/>
              </w:rPr>
              <w:t>и интервенциите към нея</w:t>
            </w:r>
          </w:p>
          <w:p w14:paraId="69FE4D55" w14:textId="77777777" w:rsidR="004B3207" w:rsidRPr="009F6D1E" w:rsidRDefault="004B3207" w:rsidP="0084747F">
            <w:pPr>
              <w:widowControl w:val="0"/>
              <w:spacing w:after="60" w:line="264" w:lineRule="auto"/>
              <w:contextualSpacing/>
              <w:jc w:val="both"/>
              <w:rPr>
                <w:rFonts w:eastAsia="Calibri" w:cs="Times New Roman"/>
                <w:lang w:bidi="bg-BG"/>
              </w:rPr>
            </w:pPr>
            <w:r w:rsidRPr="009F6D1E">
              <w:rPr>
                <w:rFonts w:eastAsia="Calibri" w:cs="Times New Roman"/>
                <w:lang w:bidi="bg-BG"/>
              </w:rPr>
              <w:t>В СП е указано, че „</w:t>
            </w:r>
            <w:r w:rsidRPr="009F6D1E">
              <w:rPr>
                <w:rFonts w:eastAsia="Calibri" w:cs="Times New Roman"/>
                <w:i/>
                <w:iCs/>
                <w:lang w:bidi="bg-BG"/>
              </w:rPr>
              <w:t>държавите членки следва да се стремят в своите стратегически планове да осигурят площ от поне 10 % за елементи на ландшафта, благоприятни за биологичното разнообразие</w:t>
            </w:r>
            <w:r w:rsidRPr="009F6D1E">
              <w:rPr>
                <w:rFonts w:eastAsia="Calibri" w:cs="Times New Roman"/>
                <w:lang w:bidi="bg-BG"/>
              </w:rPr>
              <w:t>“. В тази връзка, елементите могат да бъдат обвързани както с устойчивото управление на пасища, така и с надграждане по втори стълб с т. нар. „поддържане и изграждане на мултифункционални (растителни) буферни</w:t>
            </w:r>
            <w:r w:rsidRPr="009F6D1E">
              <w:rPr>
                <w:rFonts w:eastAsia="Calibri" w:cs="Times New Roman"/>
                <w:b/>
                <w:bCs/>
                <w:i/>
                <w:iCs/>
                <w:lang w:bidi="bg-BG"/>
              </w:rPr>
              <w:t xml:space="preserve"> </w:t>
            </w:r>
            <w:r w:rsidRPr="009F6D1E">
              <w:rPr>
                <w:rFonts w:eastAsia="Calibri" w:cs="Times New Roman"/>
                <w:lang w:bidi="bg-BG"/>
              </w:rPr>
              <w:t>ивици около обработваемите площи“ и зони по Натура 2000, които освен че имат ефект върху биоразнообразието влияят положително и на друг важен процес в земеделието - опрашването.</w:t>
            </w:r>
          </w:p>
          <w:p w14:paraId="5BE9A166" w14:textId="77777777" w:rsidR="004B3207" w:rsidRPr="009F6D1E" w:rsidRDefault="004B3207" w:rsidP="0084747F">
            <w:pPr>
              <w:widowControl w:val="0"/>
              <w:spacing w:after="60" w:line="264" w:lineRule="auto"/>
              <w:contextualSpacing/>
              <w:jc w:val="both"/>
              <w:rPr>
                <w:rFonts w:eastAsia="Calibri" w:cs="Times New Roman"/>
                <w:lang w:bidi="bg-BG"/>
              </w:rPr>
            </w:pPr>
            <w:r w:rsidRPr="009F6D1E">
              <w:rPr>
                <w:rFonts w:eastAsia="Calibri" w:cs="Times New Roman"/>
                <w:lang w:bidi="bg-BG"/>
              </w:rPr>
              <w:t xml:space="preserve">Това кореспондира с </w:t>
            </w:r>
            <w:proofErr w:type="spellStart"/>
            <w:r w:rsidRPr="009F6D1E">
              <w:rPr>
                <w:rFonts w:eastAsia="Calibri" w:cs="Times New Roman"/>
                <w:lang w:bidi="bg-BG"/>
              </w:rPr>
              <w:t>Directive</w:t>
            </w:r>
            <w:proofErr w:type="spellEnd"/>
            <w:r w:rsidRPr="009F6D1E">
              <w:rPr>
                <w:rFonts w:eastAsia="Calibri" w:cs="Times New Roman"/>
                <w:lang w:bidi="bg-BG"/>
              </w:rPr>
              <w:t xml:space="preserve"> 2009/128/EC </w:t>
            </w:r>
            <w:proofErr w:type="spellStart"/>
            <w:r w:rsidRPr="009F6D1E">
              <w:rPr>
                <w:rFonts w:eastAsia="Calibri" w:cs="Times New Roman"/>
                <w:lang w:bidi="bg-BG"/>
              </w:rPr>
              <w:t>of</w:t>
            </w:r>
            <w:proofErr w:type="spellEnd"/>
            <w:r w:rsidRPr="009F6D1E">
              <w:rPr>
                <w:rFonts w:eastAsia="Calibri" w:cs="Times New Roman"/>
                <w:lang w:bidi="bg-BG"/>
              </w:rPr>
              <w:t xml:space="preserve"> </w:t>
            </w:r>
            <w:proofErr w:type="spellStart"/>
            <w:r w:rsidRPr="009F6D1E">
              <w:rPr>
                <w:rFonts w:eastAsia="Calibri" w:cs="Times New Roman"/>
                <w:lang w:bidi="bg-BG"/>
              </w:rPr>
              <w:t>the</w:t>
            </w:r>
            <w:proofErr w:type="spellEnd"/>
            <w:r w:rsidRPr="009F6D1E">
              <w:rPr>
                <w:rFonts w:eastAsia="Calibri" w:cs="Times New Roman"/>
                <w:lang w:bidi="bg-BG"/>
              </w:rPr>
              <w:t xml:space="preserve"> </w:t>
            </w:r>
            <w:proofErr w:type="spellStart"/>
            <w:r w:rsidRPr="009F6D1E">
              <w:rPr>
                <w:rFonts w:eastAsia="Calibri" w:cs="Times New Roman"/>
                <w:lang w:bidi="bg-BG"/>
              </w:rPr>
              <w:t>European</w:t>
            </w:r>
            <w:proofErr w:type="spellEnd"/>
            <w:r w:rsidRPr="009F6D1E">
              <w:rPr>
                <w:rFonts w:eastAsia="Calibri" w:cs="Times New Roman"/>
                <w:lang w:bidi="bg-BG"/>
              </w:rPr>
              <w:t xml:space="preserve"> </w:t>
            </w:r>
            <w:proofErr w:type="spellStart"/>
            <w:r w:rsidRPr="009F6D1E">
              <w:rPr>
                <w:rFonts w:eastAsia="Calibri" w:cs="Times New Roman"/>
                <w:lang w:bidi="bg-BG"/>
              </w:rPr>
              <w:t>Parliament</w:t>
            </w:r>
            <w:proofErr w:type="spellEnd"/>
            <w:r w:rsidRPr="009F6D1E">
              <w:rPr>
                <w:rFonts w:eastAsia="Calibri" w:cs="Times New Roman"/>
                <w:lang w:bidi="bg-BG"/>
              </w:rPr>
              <w:t xml:space="preserve"> </w:t>
            </w:r>
            <w:proofErr w:type="spellStart"/>
            <w:r w:rsidRPr="009F6D1E">
              <w:rPr>
                <w:rFonts w:eastAsia="Calibri" w:cs="Times New Roman"/>
                <w:lang w:bidi="bg-BG"/>
              </w:rPr>
              <w:t>and</w:t>
            </w:r>
            <w:proofErr w:type="spellEnd"/>
            <w:r w:rsidRPr="009F6D1E">
              <w:rPr>
                <w:rFonts w:eastAsia="Calibri" w:cs="Times New Roman"/>
                <w:lang w:bidi="bg-BG"/>
              </w:rPr>
              <w:t xml:space="preserve"> </w:t>
            </w:r>
            <w:proofErr w:type="spellStart"/>
            <w:r w:rsidRPr="009F6D1E">
              <w:rPr>
                <w:rFonts w:eastAsia="Calibri" w:cs="Times New Roman"/>
                <w:lang w:bidi="bg-BG"/>
              </w:rPr>
              <w:t>of</w:t>
            </w:r>
            <w:proofErr w:type="spellEnd"/>
            <w:r w:rsidRPr="009F6D1E">
              <w:rPr>
                <w:rFonts w:eastAsia="Calibri" w:cs="Times New Roman"/>
                <w:lang w:bidi="bg-BG"/>
              </w:rPr>
              <w:t xml:space="preserve"> </w:t>
            </w:r>
            <w:proofErr w:type="spellStart"/>
            <w:r w:rsidRPr="009F6D1E">
              <w:rPr>
                <w:rFonts w:eastAsia="Calibri" w:cs="Times New Roman"/>
                <w:lang w:bidi="bg-BG"/>
              </w:rPr>
              <w:t>the</w:t>
            </w:r>
            <w:proofErr w:type="spellEnd"/>
            <w:r w:rsidRPr="009F6D1E">
              <w:rPr>
                <w:rFonts w:eastAsia="Calibri" w:cs="Times New Roman"/>
                <w:lang w:bidi="bg-BG"/>
              </w:rPr>
              <w:t xml:space="preserve"> </w:t>
            </w:r>
            <w:proofErr w:type="spellStart"/>
            <w:r w:rsidRPr="009F6D1E">
              <w:rPr>
                <w:rFonts w:eastAsia="Calibri" w:cs="Times New Roman"/>
                <w:lang w:bidi="bg-BG"/>
              </w:rPr>
              <w:t>Council</w:t>
            </w:r>
            <w:proofErr w:type="spellEnd"/>
            <w:r w:rsidRPr="009F6D1E">
              <w:rPr>
                <w:rFonts w:eastAsia="Calibri" w:cs="Times New Roman"/>
                <w:lang w:bidi="bg-BG"/>
              </w:rPr>
              <w:t xml:space="preserve"> </w:t>
            </w:r>
            <w:proofErr w:type="spellStart"/>
            <w:r w:rsidRPr="009F6D1E">
              <w:rPr>
                <w:rFonts w:eastAsia="Calibri" w:cs="Times New Roman"/>
                <w:lang w:bidi="bg-BG"/>
              </w:rPr>
              <w:t>of</w:t>
            </w:r>
            <w:proofErr w:type="spellEnd"/>
            <w:r w:rsidRPr="009F6D1E">
              <w:rPr>
                <w:rFonts w:eastAsia="Calibri" w:cs="Times New Roman"/>
                <w:lang w:bidi="bg-BG"/>
              </w:rPr>
              <w:t xml:space="preserve"> 21 </w:t>
            </w:r>
            <w:proofErr w:type="spellStart"/>
            <w:r w:rsidRPr="009F6D1E">
              <w:rPr>
                <w:rFonts w:eastAsia="Calibri" w:cs="Times New Roman"/>
                <w:lang w:bidi="bg-BG"/>
              </w:rPr>
              <w:t>October</w:t>
            </w:r>
            <w:proofErr w:type="spellEnd"/>
            <w:r w:rsidRPr="009F6D1E">
              <w:rPr>
                <w:rFonts w:eastAsia="Calibri" w:cs="Times New Roman"/>
                <w:lang w:bidi="bg-BG"/>
              </w:rPr>
              <w:t xml:space="preserve"> 2009 </w:t>
            </w:r>
            <w:proofErr w:type="spellStart"/>
            <w:r w:rsidRPr="009F6D1E">
              <w:rPr>
                <w:rFonts w:eastAsia="Calibri" w:cs="Times New Roman"/>
                <w:lang w:bidi="bg-BG"/>
              </w:rPr>
              <w:t>establishing</w:t>
            </w:r>
            <w:proofErr w:type="spellEnd"/>
            <w:r w:rsidRPr="009F6D1E">
              <w:rPr>
                <w:rFonts w:eastAsia="Calibri" w:cs="Times New Roman"/>
                <w:lang w:bidi="bg-BG"/>
              </w:rPr>
              <w:t xml:space="preserve"> a </w:t>
            </w:r>
            <w:proofErr w:type="spellStart"/>
            <w:r w:rsidRPr="009F6D1E">
              <w:rPr>
                <w:rFonts w:eastAsia="Calibri" w:cs="Times New Roman"/>
                <w:lang w:bidi="bg-BG"/>
              </w:rPr>
              <w:t>framework</w:t>
            </w:r>
            <w:proofErr w:type="spellEnd"/>
            <w:r w:rsidRPr="009F6D1E">
              <w:rPr>
                <w:rFonts w:eastAsia="Calibri" w:cs="Times New Roman"/>
                <w:lang w:bidi="bg-BG"/>
              </w:rPr>
              <w:t xml:space="preserve"> </w:t>
            </w:r>
            <w:proofErr w:type="spellStart"/>
            <w:r w:rsidRPr="009F6D1E">
              <w:rPr>
                <w:rFonts w:eastAsia="Calibri" w:cs="Times New Roman"/>
                <w:lang w:bidi="bg-BG"/>
              </w:rPr>
              <w:t>for</w:t>
            </w:r>
            <w:proofErr w:type="spellEnd"/>
            <w:r w:rsidRPr="009F6D1E">
              <w:rPr>
                <w:rFonts w:eastAsia="Calibri" w:cs="Times New Roman"/>
                <w:lang w:bidi="bg-BG"/>
              </w:rPr>
              <w:t xml:space="preserve"> </w:t>
            </w:r>
            <w:proofErr w:type="spellStart"/>
            <w:r w:rsidRPr="009F6D1E">
              <w:rPr>
                <w:rFonts w:eastAsia="Calibri" w:cs="Times New Roman"/>
                <w:lang w:bidi="bg-BG"/>
              </w:rPr>
              <w:t>Community</w:t>
            </w:r>
            <w:proofErr w:type="spellEnd"/>
            <w:r w:rsidRPr="009F6D1E">
              <w:rPr>
                <w:rFonts w:eastAsia="Calibri" w:cs="Times New Roman"/>
                <w:lang w:bidi="bg-BG"/>
              </w:rPr>
              <w:t xml:space="preserve"> </w:t>
            </w:r>
            <w:proofErr w:type="spellStart"/>
            <w:r w:rsidRPr="009F6D1E">
              <w:rPr>
                <w:rFonts w:eastAsia="Calibri" w:cs="Times New Roman"/>
                <w:lang w:bidi="bg-BG"/>
              </w:rPr>
              <w:t>action</w:t>
            </w:r>
            <w:proofErr w:type="spellEnd"/>
            <w:r w:rsidRPr="009F6D1E">
              <w:rPr>
                <w:rFonts w:eastAsia="Calibri" w:cs="Times New Roman"/>
                <w:lang w:bidi="bg-BG"/>
              </w:rPr>
              <w:t xml:space="preserve"> </w:t>
            </w:r>
            <w:proofErr w:type="spellStart"/>
            <w:r w:rsidRPr="009F6D1E">
              <w:rPr>
                <w:rFonts w:eastAsia="Calibri" w:cs="Times New Roman"/>
                <w:lang w:bidi="bg-BG"/>
              </w:rPr>
              <w:t>to</w:t>
            </w:r>
            <w:proofErr w:type="spellEnd"/>
            <w:r w:rsidRPr="009F6D1E">
              <w:rPr>
                <w:rFonts w:eastAsia="Calibri" w:cs="Times New Roman"/>
                <w:lang w:bidi="bg-BG"/>
              </w:rPr>
              <w:t xml:space="preserve"> </w:t>
            </w:r>
            <w:proofErr w:type="spellStart"/>
            <w:r w:rsidRPr="009F6D1E">
              <w:rPr>
                <w:rFonts w:eastAsia="Calibri" w:cs="Times New Roman"/>
                <w:lang w:bidi="bg-BG"/>
              </w:rPr>
              <w:t>achieve</w:t>
            </w:r>
            <w:proofErr w:type="spellEnd"/>
            <w:r w:rsidRPr="009F6D1E">
              <w:rPr>
                <w:rFonts w:eastAsia="Calibri" w:cs="Times New Roman"/>
                <w:lang w:bidi="bg-BG"/>
              </w:rPr>
              <w:t xml:space="preserve"> </w:t>
            </w:r>
            <w:proofErr w:type="spellStart"/>
            <w:r w:rsidRPr="009F6D1E">
              <w:rPr>
                <w:rFonts w:eastAsia="Calibri" w:cs="Times New Roman"/>
                <w:lang w:bidi="bg-BG"/>
              </w:rPr>
              <w:t>the</w:t>
            </w:r>
            <w:proofErr w:type="spellEnd"/>
            <w:r w:rsidRPr="009F6D1E">
              <w:rPr>
                <w:rFonts w:eastAsia="Calibri" w:cs="Times New Roman"/>
                <w:lang w:bidi="bg-BG"/>
              </w:rPr>
              <w:t xml:space="preserve"> </w:t>
            </w:r>
            <w:proofErr w:type="spellStart"/>
            <w:r w:rsidRPr="009F6D1E">
              <w:rPr>
                <w:rFonts w:eastAsia="Calibri" w:cs="Times New Roman"/>
                <w:lang w:bidi="bg-BG"/>
              </w:rPr>
              <w:t>sustainable</w:t>
            </w:r>
            <w:proofErr w:type="spellEnd"/>
            <w:r w:rsidRPr="009F6D1E">
              <w:rPr>
                <w:rFonts w:eastAsia="Calibri" w:cs="Times New Roman"/>
                <w:lang w:bidi="bg-BG"/>
              </w:rPr>
              <w:t xml:space="preserve"> </w:t>
            </w:r>
            <w:proofErr w:type="spellStart"/>
            <w:r w:rsidRPr="009F6D1E">
              <w:rPr>
                <w:rFonts w:eastAsia="Calibri" w:cs="Times New Roman"/>
                <w:lang w:bidi="bg-BG"/>
              </w:rPr>
              <w:t>use</w:t>
            </w:r>
            <w:proofErr w:type="spellEnd"/>
            <w:r w:rsidRPr="009F6D1E">
              <w:rPr>
                <w:rFonts w:eastAsia="Calibri" w:cs="Times New Roman"/>
                <w:lang w:bidi="bg-BG"/>
              </w:rPr>
              <w:t xml:space="preserve"> </w:t>
            </w:r>
            <w:proofErr w:type="spellStart"/>
            <w:r w:rsidRPr="009F6D1E">
              <w:rPr>
                <w:rFonts w:eastAsia="Calibri" w:cs="Times New Roman"/>
                <w:lang w:bidi="bg-BG"/>
              </w:rPr>
              <w:t>of</w:t>
            </w:r>
            <w:proofErr w:type="spellEnd"/>
            <w:r w:rsidRPr="009F6D1E">
              <w:rPr>
                <w:rFonts w:eastAsia="Calibri" w:cs="Times New Roman"/>
                <w:lang w:bidi="bg-BG"/>
              </w:rPr>
              <w:t xml:space="preserve"> </w:t>
            </w:r>
            <w:proofErr w:type="spellStart"/>
            <w:r w:rsidRPr="009F6D1E">
              <w:rPr>
                <w:rFonts w:eastAsia="Calibri" w:cs="Times New Roman"/>
                <w:lang w:bidi="bg-BG"/>
              </w:rPr>
              <w:t>pesticides</w:t>
            </w:r>
            <w:proofErr w:type="spellEnd"/>
            <w:r w:rsidRPr="009F6D1E">
              <w:rPr>
                <w:rFonts w:eastAsia="Calibri" w:cs="Times New Roman"/>
                <w:lang w:bidi="bg-BG"/>
              </w:rPr>
              <w:t xml:space="preserve"> и Директива 2009/147/ЕО относно опазването на дивите птици от Анекс XI.</w:t>
            </w:r>
          </w:p>
          <w:p w14:paraId="2CE1B8FF" w14:textId="2E9B4CFF" w:rsidR="00190D07" w:rsidRPr="009F6D1E" w:rsidRDefault="004B3207" w:rsidP="0084747F">
            <w:pPr>
              <w:widowControl w:val="0"/>
              <w:spacing w:after="60" w:line="264" w:lineRule="auto"/>
              <w:jc w:val="both"/>
              <w:rPr>
                <w:rFonts w:eastAsia="Calibri" w:cs="Times New Roman"/>
                <w:i/>
                <w:iCs/>
                <w:lang w:bidi="bg-BG"/>
              </w:rPr>
            </w:pPr>
            <w:r w:rsidRPr="009F6D1E">
              <w:rPr>
                <w:rFonts w:eastAsia="Calibri" w:cs="Times New Roman"/>
                <w:lang w:bidi="bg-BG"/>
              </w:rPr>
              <w:lastRenderedPageBreak/>
              <w:t xml:space="preserve">Отделно от това </w:t>
            </w:r>
            <w:r w:rsidR="00190D07" w:rsidRPr="009F6D1E">
              <w:rPr>
                <w:rFonts w:eastAsia="Calibri" w:cs="Times New Roman"/>
                <w:i/>
                <w:iCs/>
                <w:lang w:bidi="bg-BG"/>
              </w:rPr>
              <w:t>Специфична цел №4, Потребност П.4.9. Устойчиво управление на горите, включително увеличаване на залесените площи в страната,</w:t>
            </w:r>
            <w:r w:rsidR="00BD5842" w:rsidRPr="009F6D1E">
              <w:rPr>
                <w:rFonts w:cs="Times New Roman"/>
                <w:lang w:bidi="bg-BG"/>
              </w:rPr>
              <w:t xml:space="preserve"> включва интервенции: „</w:t>
            </w:r>
            <w:r w:rsidR="00BD5842" w:rsidRPr="009F6D1E">
              <w:rPr>
                <w:rFonts w:cs="Times New Roman"/>
                <w:i/>
                <w:iCs/>
                <w:lang w:bidi="bg-BG"/>
              </w:rPr>
              <w:t>Горско екологични дейности в горит</w:t>
            </w:r>
            <w:r w:rsidR="00BD5842" w:rsidRPr="009F6D1E">
              <w:rPr>
                <w:rFonts w:cs="Times New Roman"/>
                <w:lang w:bidi="bg-BG"/>
              </w:rPr>
              <w:t xml:space="preserve">е“ член 70: Тази интервенция има за цели да се намали традиционното горскостопанско въздействие върху горите, чрез промяна в традиционните </w:t>
            </w:r>
            <w:proofErr w:type="spellStart"/>
            <w:r w:rsidR="00BD5842" w:rsidRPr="009F6D1E">
              <w:rPr>
                <w:rFonts w:cs="Times New Roman"/>
                <w:lang w:bidi="bg-BG"/>
              </w:rPr>
              <w:t>дървопроизводствени</w:t>
            </w:r>
            <w:proofErr w:type="spellEnd"/>
            <w:r w:rsidR="00BD5842" w:rsidRPr="009F6D1E">
              <w:rPr>
                <w:rFonts w:cs="Times New Roman"/>
                <w:lang w:bidi="bg-BG"/>
              </w:rPr>
              <w:t>, лесовъдски цели; да се стимулира опазването естествения им характер, чрез подпомагане на съхраняването на естествени, природосъобразни видов състав и структура на насажденията и да се подобрят условията за поддържане и възстановяване на биологичното разнообразие, чрез създаване на необходимите за това екологични условия. Интервенция „</w:t>
            </w:r>
            <w:r w:rsidR="00BD5842" w:rsidRPr="009F6D1E">
              <w:rPr>
                <w:rFonts w:cs="Times New Roman"/>
                <w:i/>
                <w:iCs/>
                <w:lang w:bidi="bg-BG"/>
              </w:rPr>
              <w:t>Залесяване и презалесяване</w:t>
            </w:r>
            <w:r w:rsidR="00BD5842" w:rsidRPr="009F6D1E">
              <w:rPr>
                <w:rFonts w:cs="Times New Roman"/>
                <w:lang w:bidi="bg-BG"/>
              </w:rPr>
              <w:t>“ – член 73: Интервенцията ще подпомага залесяване на земеделски и неземеделски земи, както и поддръжка на новосъздадените култури. Поддръжката на новосъздадените култури включва отглеждане до петата година след създаването и попълване до третата година след създаването. Ще се подпомага и възстановяването на пострадали от горски пожари, природни бедствия и катастрофични събития гори. Интервенция „</w:t>
            </w:r>
            <w:r w:rsidR="00BD5842" w:rsidRPr="009F6D1E">
              <w:rPr>
                <w:rFonts w:cs="Times New Roman"/>
                <w:i/>
                <w:iCs/>
                <w:lang w:bidi="bg-BG"/>
              </w:rPr>
              <w:t>Предотвратяване на щети по горите от горски пожари, природни бедствия и катастрофични събития“</w:t>
            </w:r>
            <w:r w:rsidR="00BD5842" w:rsidRPr="009F6D1E">
              <w:rPr>
                <w:rFonts w:cs="Times New Roman"/>
                <w:lang w:bidi="bg-BG"/>
              </w:rPr>
              <w:t xml:space="preserve"> – член 73: </w:t>
            </w:r>
            <w:r w:rsidR="00BD5842" w:rsidRPr="009F6D1E">
              <w:rPr>
                <w:rFonts w:cs="Times New Roman"/>
                <w:lang w:bidi="bg-BG"/>
              </w:rPr>
              <w:lastRenderedPageBreak/>
              <w:t>Предвижда се по тази интервенция да се подпомогне създаване, подобряване и поддръжка на противопожарна инфраструктура – бариерни прегради,</w:t>
            </w:r>
            <w:r w:rsidR="00BD5842" w:rsidRPr="009F6D1E">
              <w:rPr>
                <w:rFonts w:cs="Times New Roman"/>
              </w:rPr>
              <w:t xml:space="preserve"> </w:t>
            </w:r>
            <w:proofErr w:type="spellStart"/>
            <w:r w:rsidR="00BD5842" w:rsidRPr="009F6D1E">
              <w:rPr>
                <w:rFonts w:cs="Times New Roman"/>
                <w:lang w:bidi="bg-BG"/>
              </w:rPr>
              <w:t>лесокултурни</w:t>
            </w:r>
            <w:proofErr w:type="spellEnd"/>
            <w:r w:rsidR="00BD5842" w:rsidRPr="009F6D1E">
              <w:rPr>
                <w:rFonts w:cs="Times New Roman"/>
                <w:lang w:bidi="bg-BG"/>
              </w:rPr>
              <w:t xml:space="preserve"> прегради, противопожарни просеки, </w:t>
            </w:r>
            <w:proofErr w:type="spellStart"/>
            <w:r w:rsidR="00BD5842" w:rsidRPr="009F6D1E">
              <w:rPr>
                <w:rFonts w:cs="Times New Roman"/>
                <w:lang w:bidi="bg-BG"/>
              </w:rPr>
              <w:t>минерализовани</w:t>
            </w:r>
            <w:proofErr w:type="spellEnd"/>
            <w:r w:rsidR="00BD5842" w:rsidRPr="009F6D1E">
              <w:rPr>
                <w:rFonts w:cs="Times New Roman"/>
                <w:lang w:bidi="bg-BG"/>
              </w:rPr>
              <w:t xml:space="preserve"> ивици и санитарни ивици; изграждане/подобряване на водоизточници за нуждите на опазването и защитата на горите от пожари; изграждане/подобряване на стационарни наблюдателни пунктове; закупуване на комуникационно оборудване и средства за откриване и наблюдение на горски пожари, вредители и болести; изграждане и подобряване на пътища за движение на противопожарни автомобили. Интервенция „</w:t>
            </w:r>
            <w:r w:rsidR="00BD5842" w:rsidRPr="009F6D1E">
              <w:rPr>
                <w:rFonts w:cs="Times New Roman"/>
                <w:i/>
                <w:iCs/>
                <w:lang w:bidi="bg-BG"/>
              </w:rPr>
              <w:t>Подобряване на здравословното състояние и устойчивостта на горските екосистеми чрез подпомагане провеждането на сечи в горските територии</w:t>
            </w:r>
            <w:r w:rsidR="00BD5842" w:rsidRPr="009F6D1E">
              <w:rPr>
                <w:rFonts w:cs="Times New Roman"/>
                <w:lang w:bidi="bg-BG"/>
              </w:rPr>
              <w:t xml:space="preserve">“ – член 73. Настоящата интервенция цели да се подсигурят средства за подпомагане извеждането на планираните сечи в горските територии, като по този начин горите ще могат да запазят </w:t>
            </w:r>
            <w:proofErr w:type="spellStart"/>
            <w:r w:rsidR="00BD5842" w:rsidRPr="009F6D1E">
              <w:rPr>
                <w:rFonts w:cs="Times New Roman"/>
                <w:lang w:bidi="bg-BG"/>
              </w:rPr>
              <w:t>кактосвоята</w:t>
            </w:r>
            <w:proofErr w:type="spellEnd"/>
            <w:r w:rsidR="00BD5842" w:rsidRPr="009F6D1E">
              <w:rPr>
                <w:rFonts w:cs="Times New Roman"/>
                <w:lang w:bidi="bg-BG"/>
              </w:rPr>
              <w:t xml:space="preserve"> </w:t>
            </w:r>
            <w:proofErr w:type="spellStart"/>
            <w:r w:rsidR="00BD5842" w:rsidRPr="009F6D1E">
              <w:rPr>
                <w:rFonts w:cs="Times New Roman"/>
                <w:lang w:bidi="bg-BG"/>
              </w:rPr>
              <w:t>многофункционалност</w:t>
            </w:r>
            <w:proofErr w:type="spellEnd"/>
            <w:r w:rsidR="00BD5842" w:rsidRPr="009F6D1E">
              <w:rPr>
                <w:rFonts w:cs="Times New Roman"/>
                <w:lang w:bidi="bg-BG"/>
              </w:rPr>
              <w:t>, така и конкурент</w:t>
            </w:r>
            <w:r w:rsidR="00F31AED">
              <w:rPr>
                <w:rFonts w:cs="Times New Roman"/>
                <w:lang w:bidi="bg-BG"/>
              </w:rPr>
              <w:t>осп</w:t>
            </w:r>
            <w:r w:rsidR="00BD5842" w:rsidRPr="009F6D1E">
              <w:rPr>
                <w:rFonts w:cs="Times New Roman"/>
                <w:lang w:bidi="bg-BG"/>
              </w:rPr>
              <w:t>особността на собствениците си, за да продължат с устойчивото им управление. За целта, предвиждаме и подпомагане закупуването на горска техника за провеждане на планираните сечи във горите.</w:t>
            </w:r>
          </w:p>
          <w:p w14:paraId="6A82DA89" w14:textId="77777777" w:rsidR="004B3207" w:rsidRPr="009F6D1E" w:rsidRDefault="00BD5842" w:rsidP="0084747F">
            <w:pPr>
              <w:widowControl w:val="0"/>
              <w:spacing w:after="60" w:line="264" w:lineRule="auto"/>
              <w:jc w:val="both"/>
              <w:rPr>
                <w:rFonts w:eastAsia="Calibri" w:cs="Times New Roman"/>
                <w:lang w:bidi="bg-BG"/>
              </w:rPr>
            </w:pPr>
            <w:r w:rsidRPr="009F6D1E">
              <w:rPr>
                <w:rFonts w:eastAsia="Calibri" w:cs="Times New Roman"/>
                <w:i/>
                <w:iCs/>
                <w:lang w:bidi="bg-BG"/>
              </w:rPr>
              <w:t>И</w:t>
            </w:r>
            <w:r w:rsidR="004B3207" w:rsidRPr="009F6D1E">
              <w:rPr>
                <w:rFonts w:eastAsia="Calibri" w:cs="Times New Roman"/>
                <w:i/>
                <w:iCs/>
                <w:lang w:bidi="bg-BG"/>
              </w:rPr>
              <w:t xml:space="preserve">нтервенцията </w:t>
            </w:r>
            <w:r w:rsidRPr="009F6D1E">
              <w:rPr>
                <w:rFonts w:eastAsia="Calibri" w:cs="Times New Roman"/>
                <w:i/>
                <w:iCs/>
                <w:lang w:bidi="bg-BG"/>
              </w:rPr>
              <w:t xml:space="preserve">Еко схема за поддържане и подобряване на </w:t>
            </w:r>
            <w:r w:rsidRPr="009F6D1E">
              <w:rPr>
                <w:rFonts w:eastAsia="Calibri" w:cs="Times New Roman"/>
                <w:i/>
                <w:iCs/>
                <w:lang w:bidi="bg-BG"/>
              </w:rPr>
              <w:lastRenderedPageBreak/>
              <w:t xml:space="preserve">биоразнообразието в горски екосистеми (по чл. 31 от Регламент (ЕС) 2021/2115) </w:t>
            </w:r>
            <w:r w:rsidR="004B3207" w:rsidRPr="009F6D1E">
              <w:rPr>
                <w:rFonts w:eastAsia="Calibri" w:cs="Times New Roman"/>
                <w:lang w:bidi="bg-BG"/>
              </w:rPr>
              <w:t>към</w:t>
            </w:r>
            <w:r w:rsidR="004B3207" w:rsidRPr="009F6D1E">
              <w:rPr>
                <w:rFonts w:eastAsia="Times New Roman" w:cs="Times New Roman"/>
                <w:b/>
                <w:lang w:eastAsia="en-GB" w:bidi="bg-BG"/>
              </w:rPr>
              <w:t xml:space="preserve"> </w:t>
            </w:r>
            <w:r w:rsidR="004B3207" w:rsidRPr="009F6D1E">
              <w:rPr>
                <w:rFonts w:eastAsia="Times New Roman" w:cs="Times New Roman"/>
                <w:i/>
                <w:lang w:eastAsia="bg-BG" w:bidi="bg-BG"/>
              </w:rPr>
              <w:t>Потребност</w:t>
            </w:r>
            <w:r w:rsidRPr="009F6D1E">
              <w:rPr>
                <w:rFonts w:eastAsia="Times New Roman" w:cs="Times New Roman"/>
                <w:i/>
                <w:lang w:eastAsia="bg-BG" w:bidi="bg-BG"/>
              </w:rPr>
              <w:t xml:space="preserve"> П.6.9.</w:t>
            </w:r>
            <w:r w:rsidR="004B3207" w:rsidRPr="009F6D1E">
              <w:rPr>
                <w:rFonts w:eastAsia="Times New Roman" w:cs="Times New Roman"/>
                <w:i/>
                <w:lang w:eastAsia="bg-BG" w:bidi="bg-BG"/>
              </w:rPr>
              <w:t xml:space="preserve"> „</w:t>
            </w:r>
            <w:r w:rsidRPr="009F6D1E">
              <w:rPr>
                <w:rFonts w:eastAsia="Times New Roman" w:cs="Times New Roman"/>
                <w:i/>
                <w:lang w:eastAsia="bg-BG" w:bidi="bg-BG"/>
              </w:rPr>
              <w:t>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w:t>
            </w:r>
            <w:r w:rsidR="004B3207" w:rsidRPr="009F6D1E">
              <w:rPr>
                <w:rFonts w:eastAsia="Times New Roman" w:cs="Times New Roman"/>
                <w:i/>
                <w:lang w:eastAsia="bg-BG" w:bidi="bg-BG"/>
              </w:rPr>
              <w:t xml:space="preserve">“  -  Специфична цел №6 </w:t>
            </w:r>
            <w:r w:rsidR="004B3207" w:rsidRPr="009F6D1E">
              <w:rPr>
                <w:rFonts w:eastAsia="Calibri" w:cs="Times New Roman"/>
                <w:lang w:bidi="bg-BG"/>
              </w:rPr>
              <w:t xml:space="preserve">е пряко свързана с изведената потребност. Управлението на българските гори е ключов фактор за опазване на биологичното и </w:t>
            </w:r>
            <w:proofErr w:type="spellStart"/>
            <w:r w:rsidR="004B3207" w:rsidRPr="009F6D1E">
              <w:rPr>
                <w:rFonts w:eastAsia="Calibri" w:cs="Times New Roman"/>
                <w:lang w:bidi="bg-BG"/>
              </w:rPr>
              <w:t>ландшафтно</w:t>
            </w:r>
            <w:proofErr w:type="spellEnd"/>
            <w:r w:rsidR="004B3207" w:rsidRPr="009F6D1E">
              <w:rPr>
                <w:rFonts w:eastAsia="Calibri" w:cs="Times New Roman"/>
                <w:lang w:bidi="bg-BG"/>
              </w:rPr>
              <w:t xml:space="preserve"> разнообразие у нас. Горските територии и горите на България съхраняват над 80 % от защитените видове растения, над 60 % от застрашените от изчезване видове животни, над 60% от приоритетните за опазване видове местообитания и осем от дванадесетте </w:t>
            </w:r>
            <w:proofErr w:type="spellStart"/>
            <w:r w:rsidR="004B3207" w:rsidRPr="009F6D1E">
              <w:rPr>
                <w:rFonts w:eastAsia="Calibri" w:cs="Times New Roman"/>
                <w:lang w:bidi="bg-BG"/>
              </w:rPr>
              <w:t>ландшафтни</w:t>
            </w:r>
            <w:proofErr w:type="spellEnd"/>
            <w:r w:rsidR="004B3207" w:rsidRPr="009F6D1E">
              <w:rPr>
                <w:rFonts w:eastAsia="Calibri" w:cs="Times New Roman"/>
                <w:lang w:bidi="bg-BG"/>
              </w:rPr>
              <w:t xml:space="preserve"> комплекса, определени в Националната стратегия за опазване на биологичното разнообразие като уникални и представителни за българското биологично разнообразие.</w:t>
            </w:r>
          </w:p>
          <w:p w14:paraId="3906BA0C" w14:textId="77777777" w:rsidR="00220832" w:rsidRPr="009F6D1E" w:rsidRDefault="00CD4045" w:rsidP="0084747F">
            <w:pPr>
              <w:widowControl w:val="0"/>
              <w:tabs>
                <w:tab w:val="left" w:pos="1080"/>
              </w:tabs>
              <w:spacing w:after="60" w:line="264" w:lineRule="auto"/>
              <w:jc w:val="both"/>
              <w:rPr>
                <w:rFonts w:eastAsia="Times New Roman" w:cs="Times New Roman"/>
                <w:bCs/>
              </w:rPr>
            </w:pPr>
            <w:r w:rsidRPr="009F6D1E">
              <w:rPr>
                <w:rFonts w:cs="Times New Roman"/>
                <w:lang w:eastAsia="bg-BG" w:bidi="bg-BG"/>
              </w:rPr>
              <w:t>СПРЗСР</w:t>
            </w:r>
            <w:r w:rsidR="00220832" w:rsidRPr="009F6D1E">
              <w:rPr>
                <w:rFonts w:cs="Times New Roman"/>
                <w:lang w:eastAsia="bg-BG" w:bidi="bg-BG"/>
              </w:rPr>
              <w:t xml:space="preserve"> ще има пряк принос към стратегията чрез </w:t>
            </w:r>
            <w:r w:rsidR="00220832" w:rsidRPr="009F6D1E">
              <w:rPr>
                <w:rFonts w:eastAsia="Times New Roman" w:cs="Times New Roman"/>
                <w:bCs/>
                <w:i/>
                <w:iCs/>
              </w:rPr>
              <w:t xml:space="preserve">Интервенция „Биологично земеделие“ - </w:t>
            </w:r>
            <w:r w:rsidR="00220832" w:rsidRPr="009F6D1E">
              <w:rPr>
                <w:rFonts w:eastAsia="Times New Roman" w:cs="Times New Roman"/>
                <w:i/>
                <w:lang w:eastAsia="bg-BG" w:bidi="bg-BG"/>
              </w:rPr>
              <w:t>Специфична цел №6</w:t>
            </w:r>
            <w:r w:rsidR="00220832" w:rsidRPr="009F6D1E">
              <w:rPr>
                <w:rFonts w:eastAsia="Times New Roman" w:cs="Times New Roman"/>
                <w:bCs/>
                <w:u w:val="single"/>
              </w:rPr>
              <w:t>:</w:t>
            </w:r>
            <w:r w:rsidR="00220832" w:rsidRPr="009F6D1E">
              <w:rPr>
                <w:rFonts w:eastAsia="Times New Roman" w:cs="Times New Roman"/>
              </w:rPr>
              <w:t xml:space="preserve"> </w:t>
            </w:r>
            <w:r w:rsidR="00220832" w:rsidRPr="009F6D1E">
              <w:rPr>
                <w:rFonts w:eastAsia="Times New Roman" w:cs="Times New Roman"/>
                <w:bCs/>
              </w:rPr>
              <w:t xml:space="preserve">Очаква се интервенцията да доведе до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Предвид факта, че повечето биологични производители </w:t>
            </w:r>
            <w:r w:rsidR="00220832" w:rsidRPr="009F6D1E">
              <w:rPr>
                <w:rFonts w:eastAsia="Times New Roman" w:cs="Times New Roman"/>
                <w:bCs/>
              </w:rPr>
              <w:lastRenderedPageBreak/>
              <w:t>предпочитат да развиват къси вериги на доставки, се очаква също да допринесе за социалната съгласуваност на селските райони. Дейностите по интервенцията ще допринесат и за постигането на целите на Стратегия на ЕС за биологичното разнообразие до 2030 г. и да удовлетвори заложените цели в стратегията от „Фермата до трапезата“.</w:t>
            </w:r>
          </w:p>
          <w:p w14:paraId="521C3700" w14:textId="77777777" w:rsidR="00220832" w:rsidRPr="009F6D1E" w:rsidRDefault="00220832" w:rsidP="0084747F">
            <w:pPr>
              <w:widowControl w:val="0"/>
              <w:tabs>
                <w:tab w:val="left" w:pos="1080"/>
              </w:tabs>
              <w:spacing w:after="60" w:line="264" w:lineRule="auto"/>
              <w:jc w:val="both"/>
              <w:rPr>
                <w:rFonts w:eastAsia="Times New Roman" w:cs="Times New Roman"/>
                <w:bCs/>
              </w:rPr>
            </w:pPr>
            <w:r w:rsidRPr="009F6D1E">
              <w:rPr>
                <w:rFonts w:eastAsia="Times New Roman" w:cs="Times New Roman"/>
                <w:bCs/>
              </w:rPr>
              <w:t>По интервенция „</w:t>
            </w:r>
            <w:r w:rsidRPr="009F6D1E">
              <w:rPr>
                <w:rFonts w:eastAsia="Times New Roman" w:cs="Times New Roman"/>
                <w:bCs/>
                <w:i/>
                <w:iCs/>
              </w:rPr>
              <w:t>Биологично земеделие</w:t>
            </w:r>
            <w:r w:rsidRPr="009F6D1E">
              <w:rPr>
                <w:rFonts w:eastAsia="Times New Roman" w:cs="Times New Roman"/>
                <w:bCs/>
              </w:rPr>
              <w:t>“ ще се подпомагат на територията на цялата страна, земеделски стопани, чиито стопанства са в период на преход или са преминали периода на преход, развиващи земеделска дейност в следните направления:</w:t>
            </w:r>
          </w:p>
          <w:p w14:paraId="1F76D045" w14:textId="77777777" w:rsidR="00220832" w:rsidRPr="009F6D1E" w:rsidRDefault="00220832"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растениевъдство</w:t>
            </w:r>
          </w:p>
          <w:p w14:paraId="2C20B5AB" w14:textId="77777777" w:rsidR="00220832" w:rsidRPr="009F6D1E" w:rsidRDefault="00220832"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пчеларство</w:t>
            </w:r>
          </w:p>
          <w:p w14:paraId="7DE62959" w14:textId="77777777" w:rsidR="00220832" w:rsidRPr="009F6D1E" w:rsidRDefault="00220832"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животновъдство</w:t>
            </w:r>
          </w:p>
          <w:p w14:paraId="01CD3F6F" w14:textId="77777777" w:rsidR="002F1E83" w:rsidRPr="009F6D1E" w:rsidRDefault="00CD4045" w:rsidP="0084747F">
            <w:pPr>
              <w:widowControl w:val="0"/>
              <w:spacing w:after="60" w:line="264" w:lineRule="auto"/>
              <w:contextualSpacing/>
              <w:jc w:val="both"/>
              <w:rPr>
                <w:rFonts w:eastAsia="Calibri" w:cs="Times New Roman"/>
              </w:rPr>
            </w:pPr>
            <w:r w:rsidRPr="009F6D1E">
              <w:rPr>
                <w:rFonts w:cs="Times New Roman"/>
                <w:lang w:eastAsia="bg-BG" w:bidi="bg-BG"/>
              </w:rPr>
              <w:t>СПРЗСР</w:t>
            </w:r>
            <w:r w:rsidR="00220832" w:rsidRPr="009F6D1E">
              <w:rPr>
                <w:rFonts w:cs="Times New Roman"/>
                <w:lang w:eastAsia="bg-BG" w:bidi="bg-BG"/>
              </w:rPr>
              <w:t xml:space="preserve"> ще има пряк принос към стратегията чрез</w:t>
            </w:r>
            <w:r w:rsidR="00220832" w:rsidRPr="009F6D1E">
              <w:rPr>
                <w:rFonts w:eastAsia="Calibri" w:cs="Times New Roman"/>
                <w:b/>
                <w:bCs/>
                <w:i/>
                <w:iCs/>
              </w:rPr>
              <w:t xml:space="preserve"> </w:t>
            </w:r>
            <w:proofErr w:type="spellStart"/>
            <w:r w:rsidR="00220832" w:rsidRPr="009F6D1E">
              <w:rPr>
                <w:rFonts w:eastAsia="Calibri" w:cs="Times New Roman"/>
                <w:i/>
                <w:iCs/>
              </w:rPr>
              <w:t>Интервенцята</w:t>
            </w:r>
            <w:proofErr w:type="spellEnd"/>
            <w:r w:rsidR="00220832" w:rsidRPr="009F6D1E">
              <w:rPr>
                <w:rFonts w:eastAsia="Calibri" w:cs="Times New Roman"/>
                <w:i/>
                <w:iCs/>
              </w:rPr>
              <w:t xml:space="preserve"> Плащания за земеделски земи в зони от Натура 2000 – Специфична цел№</w:t>
            </w:r>
            <w:r w:rsidR="003772C7" w:rsidRPr="009F6D1E">
              <w:rPr>
                <w:rFonts w:eastAsia="Calibri" w:cs="Times New Roman"/>
                <w:i/>
                <w:iCs/>
              </w:rPr>
              <w:t>5 и Специфична цел№6.</w:t>
            </w:r>
            <w:r w:rsidR="00220832" w:rsidRPr="009F6D1E">
              <w:rPr>
                <w:rFonts w:eastAsia="Calibri" w:cs="Times New Roman"/>
                <w:i/>
                <w:iCs/>
              </w:rPr>
              <w:t xml:space="preserve"> </w:t>
            </w:r>
            <w:r w:rsidR="00220832" w:rsidRPr="009F6D1E">
              <w:rPr>
                <w:rFonts w:eastAsia="Calibri" w:cs="Times New Roman"/>
              </w:rPr>
              <w:t xml:space="preserve">Интервенцията ще допринесе за съхранението на биологичното разнообразие в България чрез опазването на видовете и местообитанията в естествената им среда. Устойчивите екосистеми в добро състояние притежават голям потенциал за смекчаване на последиците от изменението на </w:t>
            </w:r>
            <w:r w:rsidR="00220832" w:rsidRPr="009F6D1E">
              <w:rPr>
                <w:rFonts w:eastAsia="Calibri" w:cs="Times New Roman"/>
              </w:rPr>
              <w:lastRenderedPageBreak/>
              <w:t xml:space="preserve">климата и приспособяването към тях. Положително ще бъде въздействието при компенсаторни плащания за земеделски земи, влажни  зони, гори и </w:t>
            </w:r>
            <w:proofErr w:type="spellStart"/>
            <w:r w:rsidR="00220832" w:rsidRPr="009F6D1E">
              <w:rPr>
                <w:rFonts w:eastAsia="Calibri" w:cs="Times New Roman"/>
              </w:rPr>
              <w:t>т.н</w:t>
            </w:r>
            <w:proofErr w:type="spellEnd"/>
            <w:r w:rsidR="00220832" w:rsidRPr="009F6D1E">
              <w:rPr>
                <w:rFonts w:eastAsia="Calibri" w:cs="Times New Roman"/>
              </w:rPr>
              <w:t>,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w:t>
            </w:r>
            <w:r w:rsidR="002F1E83" w:rsidRPr="009F6D1E">
              <w:rPr>
                <w:rFonts w:eastAsia="Calibri" w:cs="Times New Roman"/>
              </w:rPr>
              <w:t xml:space="preserve"> </w:t>
            </w:r>
          </w:p>
        </w:tc>
      </w:tr>
      <w:tr w:rsidR="0078017C" w:rsidRPr="009F6D1E" w14:paraId="0A7EE646" w14:textId="77777777" w:rsidTr="0078017C">
        <w:tc>
          <w:tcPr>
            <w:tcW w:w="7139" w:type="dxa"/>
          </w:tcPr>
          <w:p w14:paraId="4373D2A1" w14:textId="77777777" w:rsidR="00C301B6" w:rsidRPr="009F6D1E" w:rsidRDefault="00C301B6" w:rsidP="0084747F">
            <w:pPr>
              <w:widowControl w:val="0"/>
              <w:spacing w:after="60" w:line="264" w:lineRule="auto"/>
              <w:jc w:val="both"/>
              <w:rPr>
                <w:rFonts w:cs="Times New Roman"/>
                <w:b/>
                <w:bCs/>
                <w:i/>
                <w:iCs/>
              </w:rPr>
            </w:pPr>
            <w:r w:rsidRPr="009F6D1E">
              <w:rPr>
                <w:rFonts w:cs="Times New Roman"/>
                <w:b/>
                <w:bCs/>
                <w:i/>
                <w:iCs/>
              </w:rPr>
              <w:lastRenderedPageBreak/>
              <w:t>Политика  на сближаване през периода 2021-2027г. (Регламент (ЕС) 2021/1060 от 24 юни 2021 година)</w:t>
            </w:r>
          </w:p>
          <w:p w14:paraId="4D6438B7" w14:textId="77777777" w:rsidR="00C301B6" w:rsidRPr="009F6D1E" w:rsidRDefault="00C301B6" w:rsidP="0084747F">
            <w:pPr>
              <w:widowControl w:val="0"/>
              <w:spacing w:after="60" w:line="264" w:lineRule="auto"/>
              <w:jc w:val="both"/>
              <w:rPr>
                <w:rFonts w:cs="Times New Roman"/>
                <w:i/>
                <w:iCs/>
                <w:u w:val="single"/>
              </w:rPr>
            </w:pPr>
            <w:r w:rsidRPr="009F6D1E">
              <w:rPr>
                <w:rFonts w:cs="Times New Roman"/>
                <w:i/>
                <w:iCs/>
                <w:u w:val="single"/>
              </w:rPr>
              <w:t xml:space="preserve">Целите с отношение към опазването на околната среда са: </w:t>
            </w:r>
          </w:p>
          <w:p w14:paraId="18E0903C" w14:textId="5D64B6E8" w:rsidR="00C301B6" w:rsidRPr="009F6D1E" w:rsidRDefault="00C301B6" w:rsidP="0084747F">
            <w:pPr>
              <w:widowControl w:val="0"/>
              <w:spacing w:after="60" w:line="264" w:lineRule="auto"/>
              <w:jc w:val="both"/>
              <w:rPr>
                <w:rFonts w:cs="Times New Roman"/>
              </w:rPr>
            </w:pPr>
            <w:r w:rsidRPr="009F6D1E">
              <w:rPr>
                <w:rFonts w:cs="Times New Roman"/>
                <w:b/>
                <w:bCs/>
              </w:rPr>
              <w:t>Цел 1.</w:t>
            </w:r>
            <w:r w:rsidRPr="009F6D1E">
              <w:rPr>
                <w:rFonts w:cs="Times New Roman"/>
              </w:rPr>
              <w:t xml:space="preserve"> по-конкурент</w:t>
            </w:r>
            <w:r w:rsidR="00F31AED">
              <w:rPr>
                <w:rFonts w:cs="Times New Roman"/>
              </w:rPr>
              <w:t>осп</w:t>
            </w:r>
            <w:r w:rsidRPr="009F6D1E">
              <w:rPr>
                <w:rFonts w:cs="Times New Roman"/>
              </w:rPr>
              <w:t xml:space="preserve">особна и по-интелигентна Европа чрез насърчаване на иновативна и интелигентна икономическа трансформация и регионална свързаност на ИКТ; </w:t>
            </w:r>
          </w:p>
          <w:p w14:paraId="7A0A19C5" w14:textId="77777777" w:rsidR="00C301B6" w:rsidRPr="009F6D1E" w:rsidRDefault="00C301B6" w:rsidP="0084747F">
            <w:pPr>
              <w:widowControl w:val="0"/>
              <w:spacing w:after="60" w:line="264" w:lineRule="auto"/>
              <w:jc w:val="both"/>
              <w:rPr>
                <w:rFonts w:cs="Times New Roman"/>
              </w:rPr>
            </w:pPr>
            <w:r w:rsidRPr="009F6D1E">
              <w:rPr>
                <w:rFonts w:cs="Times New Roman"/>
                <w:b/>
                <w:bCs/>
              </w:rPr>
              <w:t>Цел 2</w:t>
            </w:r>
            <w:bookmarkStart w:id="570" w:name="_Hlk94787771"/>
            <w:r w:rsidRPr="009F6D1E">
              <w:rPr>
                <w:rFonts w:cs="Times New Roman"/>
                <w:b/>
                <w:bCs/>
              </w:rPr>
              <w:t>.</w:t>
            </w:r>
            <w:r w:rsidRPr="009F6D1E">
              <w:rPr>
                <w:rFonts w:cs="Times New Roman"/>
              </w:rPr>
              <w:t xml:space="preserve"> по-зелена, нисковъглеродна и устойчива Европа с икономика в преход към нулеви нетни въглеродни емисии чрез насърчаване на чист и справедлив енергиен преход, зелени и сини инвестиции, кръгова икономика, смекчаване на последиците от изменението на климата и приспособяване към него, превенция и управление на риска и устойчива градска мобилност;</w:t>
            </w:r>
          </w:p>
          <w:p w14:paraId="708BA1CF" w14:textId="77777777" w:rsidR="00C301B6" w:rsidRPr="009F6D1E" w:rsidRDefault="00C301B6" w:rsidP="0084747F">
            <w:pPr>
              <w:widowControl w:val="0"/>
              <w:spacing w:after="60" w:line="264" w:lineRule="auto"/>
              <w:jc w:val="both"/>
              <w:rPr>
                <w:rFonts w:cs="Times New Roman"/>
              </w:rPr>
            </w:pPr>
            <w:bookmarkStart w:id="571" w:name="_Hlk94788461"/>
            <w:bookmarkEnd w:id="570"/>
            <w:r w:rsidRPr="009F6D1E">
              <w:rPr>
                <w:rFonts w:cs="Times New Roman"/>
                <w:b/>
                <w:bCs/>
              </w:rPr>
              <w:t>Цел 3.</w:t>
            </w:r>
            <w:r w:rsidRPr="009F6D1E">
              <w:rPr>
                <w:rFonts w:cs="Times New Roman"/>
              </w:rPr>
              <w:t xml:space="preserve"> по-добре свързана Европа чрез подобряване на мобилността; </w:t>
            </w:r>
          </w:p>
          <w:p w14:paraId="37CB7D28" w14:textId="77777777" w:rsidR="0078017C" w:rsidRPr="009F6D1E" w:rsidRDefault="00C301B6" w:rsidP="0084747F">
            <w:pPr>
              <w:widowControl w:val="0"/>
              <w:spacing w:after="60" w:line="264" w:lineRule="auto"/>
              <w:jc w:val="both"/>
              <w:rPr>
                <w:rFonts w:eastAsia="Calibri" w:cs="Times New Roman"/>
                <w:b/>
                <w:bCs/>
                <w:i/>
                <w:iCs/>
              </w:rPr>
            </w:pPr>
            <w:r w:rsidRPr="009F6D1E">
              <w:rPr>
                <w:rFonts w:cs="Times New Roman"/>
                <w:b/>
                <w:bCs/>
              </w:rPr>
              <w:t>Цел 5.</w:t>
            </w:r>
            <w:r w:rsidRPr="009F6D1E">
              <w:rPr>
                <w:rFonts w:cs="Times New Roman"/>
              </w:rPr>
              <w:t xml:space="preserve"> Европа по-близо до гражданите чрез насърчаване на </w:t>
            </w:r>
            <w:r w:rsidRPr="009F6D1E">
              <w:rPr>
                <w:rFonts w:cs="Times New Roman"/>
              </w:rPr>
              <w:lastRenderedPageBreak/>
              <w:t>устойчивото и интегрирано развитие на всички видове територии и местни инициативи.</w:t>
            </w:r>
            <w:bookmarkEnd w:id="571"/>
          </w:p>
        </w:tc>
        <w:tc>
          <w:tcPr>
            <w:tcW w:w="7139" w:type="dxa"/>
          </w:tcPr>
          <w:p w14:paraId="148D4438" w14:textId="77777777" w:rsidR="0078017C" w:rsidRPr="009F6D1E" w:rsidRDefault="00CD4045" w:rsidP="0084747F">
            <w:pPr>
              <w:widowControl w:val="0"/>
              <w:spacing w:after="60" w:line="264" w:lineRule="auto"/>
              <w:contextualSpacing/>
              <w:jc w:val="both"/>
              <w:rPr>
                <w:rFonts w:eastAsia="Calibri" w:cs="Times New Roman"/>
                <w:b/>
                <w:bCs/>
                <w:i/>
                <w:iCs/>
              </w:rPr>
            </w:pPr>
            <w:r w:rsidRPr="009F6D1E">
              <w:rPr>
                <w:rFonts w:eastAsia="Calibri" w:cs="Times New Roman"/>
              </w:rPr>
              <w:lastRenderedPageBreak/>
              <w:t>СПРЗСР</w:t>
            </w:r>
            <w:r w:rsidR="00511BA7" w:rsidRPr="009F6D1E">
              <w:rPr>
                <w:rFonts w:eastAsia="Calibri" w:cs="Times New Roman"/>
              </w:rPr>
              <w:t xml:space="preserve"> интегрира целта на политиката за по-зелена, нисковъглеродна Европа, като са предвидени конкретни дейности и мерки, с принос към адаптация към изменението на климата – за опазване на биологичното разнообразие, кръгова икономика, ресурсна и енергийна ефективност.</w:t>
            </w:r>
          </w:p>
        </w:tc>
      </w:tr>
      <w:tr w:rsidR="0078017C" w:rsidRPr="009F6D1E" w14:paraId="541DEDBB" w14:textId="77777777" w:rsidTr="002E6770">
        <w:trPr>
          <w:trHeight w:val="3774"/>
        </w:trPr>
        <w:tc>
          <w:tcPr>
            <w:tcW w:w="7139" w:type="dxa"/>
          </w:tcPr>
          <w:p w14:paraId="4154BB4F" w14:textId="77777777" w:rsidR="00C301B6" w:rsidRPr="009F6D1E" w:rsidRDefault="00C301B6" w:rsidP="0084747F">
            <w:pPr>
              <w:widowControl w:val="0"/>
              <w:spacing w:after="60" w:line="264" w:lineRule="auto"/>
              <w:contextualSpacing/>
              <w:jc w:val="both"/>
              <w:rPr>
                <w:rFonts w:eastAsia="Calibri" w:cs="Times New Roman"/>
                <w:b/>
                <w:bCs/>
                <w:i/>
                <w:iCs/>
              </w:rPr>
            </w:pPr>
            <w:r w:rsidRPr="009F6D1E">
              <w:rPr>
                <w:rFonts w:eastAsia="Calibri" w:cs="Times New Roman"/>
                <w:b/>
                <w:bCs/>
                <w:i/>
                <w:iCs/>
              </w:rPr>
              <w:t>Законодателен пакет „Чиста енергия за всички  европейци“ (Публикуван от Европейската комисия на 30 ноември 2016 г.)</w:t>
            </w:r>
          </w:p>
          <w:p w14:paraId="6AA2A229" w14:textId="77777777" w:rsidR="00C301B6" w:rsidRPr="009F6D1E" w:rsidRDefault="00C301B6" w:rsidP="0084747F">
            <w:pPr>
              <w:widowControl w:val="0"/>
              <w:spacing w:after="60" w:line="264" w:lineRule="auto"/>
              <w:contextualSpacing/>
              <w:jc w:val="both"/>
              <w:rPr>
                <w:rFonts w:eastAsia="Calibri" w:cs="Times New Roman"/>
                <w:b/>
                <w:bCs/>
                <w:i/>
                <w:iCs/>
              </w:rPr>
            </w:pPr>
            <w:r w:rsidRPr="009F6D1E">
              <w:rPr>
                <w:rFonts w:eastAsia="Calibri" w:cs="Times New Roman"/>
              </w:rPr>
              <w:t>Области:</w:t>
            </w:r>
          </w:p>
          <w:p w14:paraId="7C33DE46" w14:textId="7E2E203A" w:rsidR="00C301B6" w:rsidRPr="009F6D1E" w:rsidRDefault="00C301B6" w:rsidP="0084747F">
            <w:pPr>
              <w:widowControl w:val="0"/>
              <w:numPr>
                <w:ilvl w:val="0"/>
                <w:numId w:val="15"/>
              </w:numPr>
              <w:spacing w:after="60" w:line="264" w:lineRule="auto"/>
              <w:contextualSpacing/>
              <w:jc w:val="both"/>
              <w:rPr>
                <w:rFonts w:eastAsia="Calibri" w:cs="Times New Roman"/>
              </w:rPr>
            </w:pPr>
            <w:r w:rsidRPr="009F6D1E">
              <w:rPr>
                <w:rFonts w:eastAsia="Calibri" w:cs="Times New Roman"/>
                <w:b/>
                <w:bCs/>
              </w:rPr>
              <w:t>Енергийната ефективност:</w:t>
            </w:r>
            <w:r w:rsidRPr="009F6D1E">
              <w:rPr>
                <w:rFonts w:eastAsia="Calibri" w:cs="Times New Roman"/>
              </w:rPr>
              <w:t xml:space="preserve"> Изменената директива за енергийна ефективност поставя нова, по-висока цел за повишаване на енергийната ефективност с 32.5% до 2030 г., а новата директива за енергийните характеристики на сградите увеличава потенциала за енерг</w:t>
            </w:r>
            <w:r w:rsidR="00F31AED">
              <w:rPr>
                <w:rFonts w:eastAsia="Calibri" w:cs="Times New Roman"/>
              </w:rPr>
              <w:t>осп</w:t>
            </w:r>
            <w:r w:rsidRPr="009F6D1E">
              <w:rPr>
                <w:rFonts w:eastAsia="Calibri" w:cs="Times New Roman"/>
              </w:rPr>
              <w:t>естяване на по-интелигентните и екологични сгради.</w:t>
            </w:r>
          </w:p>
          <w:p w14:paraId="6CE32C65" w14:textId="77777777" w:rsidR="00C301B6" w:rsidRPr="009F6D1E" w:rsidRDefault="00C301B6" w:rsidP="0084747F">
            <w:pPr>
              <w:widowControl w:val="0"/>
              <w:numPr>
                <w:ilvl w:val="0"/>
                <w:numId w:val="15"/>
              </w:numPr>
              <w:spacing w:after="60" w:line="264" w:lineRule="auto"/>
              <w:contextualSpacing/>
              <w:jc w:val="both"/>
              <w:rPr>
                <w:rFonts w:eastAsia="Calibri" w:cs="Times New Roman"/>
              </w:rPr>
            </w:pPr>
            <w:r w:rsidRPr="009F6D1E">
              <w:rPr>
                <w:rFonts w:eastAsia="Calibri" w:cs="Times New Roman"/>
                <w:b/>
                <w:bCs/>
              </w:rPr>
              <w:t>Нова цел за енергията от възобновяемите източници:</w:t>
            </w:r>
            <w:r w:rsidRPr="009F6D1E">
              <w:rPr>
                <w:rFonts w:eastAsia="Calibri" w:cs="Times New Roman"/>
              </w:rPr>
              <w:t xml:space="preserve"> Нова амбициозна цел от поне 32% дял на енергията от възобновяеми източници в брутното крайно потребление на енергия до 2030 г. </w:t>
            </w:r>
          </w:p>
          <w:p w14:paraId="622B2064" w14:textId="77777777" w:rsidR="00C301B6" w:rsidRPr="009F6D1E" w:rsidRDefault="00C301B6" w:rsidP="0084747F">
            <w:pPr>
              <w:pStyle w:val="ListParagraph"/>
              <w:widowControl w:val="0"/>
              <w:numPr>
                <w:ilvl w:val="0"/>
                <w:numId w:val="15"/>
              </w:numPr>
              <w:spacing w:after="60" w:line="264" w:lineRule="auto"/>
              <w:jc w:val="both"/>
              <w:rPr>
                <w:rFonts w:eastAsia="Calibri"/>
                <w:sz w:val="22"/>
                <w:szCs w:val="22"/>
                <w:lang w:val="bg-BG"/>
              </w:rPr>
            </w:pPr>
            <w:r w:rsidRPr="009F6D1E">
              <w:rPr>
                <w:rFonts w:eastAsia="Calibri"/>
                <w:b/>
                <w:bCs/>
                <w:sz w:val="22"/>
                <w:szCs w:val="22"/>
                <w:lang w:val="bg-BG"/>
              </w:rPr>
              <w:t>По-добро управление на Енергийния съюз:</w:t>
            </w:r>
            <w:r w:rsidRPr="009F6D1E">
              <w:rPr>
                <w:rFonts w:eastAsia="Calibri"/>
                <w:sz w:val="22"/>
                <w:szCs w:val="22"/>
                <w:lang w:val="bg-BG"/>
              </w:rPr>
              <w:t xml:space="preserve"> Нов регламент за управление на Енергийния съюз и действия в областта на климата, съгласно който всяка държава членка изготвя интегриран план в областта на енергетиката и климата за периода 2021 - 2030 г., с който определя индивидуалните си цели в областта на енергийната ефективност, енергията от възобновяеми източници и междусистемната електроенергийна свързаност и</w:t>
            </w:r>
            <w:r w:rsidRPr="009F6D1E">
              <w:rPr>
                <w:rFonts w:eastAsia="Calibri"/>
                <w:b/>
                <w:bCs/>
                <w:i/>
                <w:iCs/>
                <w:sz w:val="22"/>
                <w:szCs w:val="22"/>
                <w:lang w:val="bg-BG"/>
              </w:rPr>
              <w:t xml:space="preserve"> </w:t>
            </w:r>
            <w:r w:rsidRPr="009F6D1E">
              <w:rPr>
                <w:rFonts w:eastAsia="Calibri"/>
                <w:sz w:val="22"/>
                <w:szCs w:val="22"/>
                <w:lang w:val="bg-BG"/>
              </w:rPr>
              <w:t xml:space="preserve">посочва политиките </w:t>
            </w:r>
            <w:r w:rsidRPr="009F6D1E">
              <w:rPr>
                <w:rFonts w:eastAsia="Calibri"/>
                <w:sz w:val="22"/>
                <w:szCs w:val="22"/>
                <w:lang w:val="bg-BG"/>
              </w:rPr>
              <w:lastRenderedPageBreak/>
              <w:t xml:space="preserve">и мерките за тяхното постигане, като принос към общите европейски цели. </w:t>
            </w:r>
          </w:p>
          <w:p w14:paraId="2B86865A" w14:textId="77777777" w:rsidR="00C301B6" w:rsidRPr="009F6D1E" w:rsidRDefault="00C301B6" w:rsidP="0084747F">
            <w:pPr>
              <w:widowControl w:val="0"/>
              <w:numPr>
                <w:ilvl w:val="0"/>
                <w:numId w:val="15"/>
              </w:numPr>
              <w:spacing w:after="60" w:line="264" w:lineRule="auto"/>
              <w:contextualSpacing/>
              <w:jc w:val="both"/>
              <w:rPr>
                <w:rFonts w:eastAsia="Calibri" w:cs="Times New Roman"/>
              </w:rPr>
            </w:pPr>
            <w:r w:rsidRPr="009F6D1E">
              <w:rPr>
                <w:rFonts w:eastAsia="Calibri" w:cs="Times New Roman"/>
                <w:b/>
                <w:bCs/>
              </w:rPr>
              <w:t>Повече права за потребителите:</w:t>
            </w:r>
            <w:r w:rsidRPr="009F6D1E">
              <w:rPr>
                <w:rFonts w:eastAsia="Calibri" w:cs="Times New Roman"/>
              </w:rPr>
              <w:t xml:space="preserve"> Новите законодателни актове насърчават хората да произвеждат, потребяват, съхраняват и/или продават произведената от тях енергия и допълват правата на потребителите с повече прозрачност по отношение на сметките, и по-голяма гъвкавост при избора на начина на доставка и потребление на енергия.</w:t>
            </w:r>
          </w:p>
          <w:p w14:paraId="62DD055B" w14:textId="77777777" w:rsidR="0078017C" w:rsidRPr="009F6D1E" w:rsidRDefault="00C301B6" w:rsidP="0084747F">
            <w:pPr>
              <w:pStyle w:val="ListParagraph"/>
              <w:widowControl w:val="0"/>
              <w:numPr>
                <w:ilvl w:val="0"/>
                <w:numId w:val="15"/>
              </w:numPr>
              <w:spacing w:after="60" w:line="264" w:lineRule="auto"/>
              <w:jc w:val="both"/>
              <w:rPr>
                <w:rFonts w:eastAsia="Calibri"/>
                <w:b/>
                <w:bCs/>
                <w:i/>
                <w:iCs/>
                <w:sz w:val="22"/>
                <w:szCs w:val="22"/>
                <w:lang w:val="bg-BG"/>
              </w:rPr>
            </w:pPr>
            <w:r w:rsidRPr="009F6D1E">
              <w:rPr>
                <w:rFonts w:eastAsia="Calibri"/>
                <w:b/>
                <w:bCs/>
                <w:sz w:val="22"/>
                <w:szCs w:val="22"/>
                <w:lang w:val="bg-BG"/>
              </w:rPr>
              <w:t>По-интелигентен и по-ефективен пазар на електрическа енергия:</w:t>
            </w:r>
            <w:r w:rsidRPr="009F6D1E">
              <w:rPr>
                <w:rFonts w:eastAsia="Calibri"/>
                <w:sz w:val="22"/>
                <w:szCs w:val="22"/>
                <w:lang w:val="bg-BG"/>
              </w:rPr>
              <w:t xml:space="preserve"> С новите законодателни промени се цели повишаване сигурността на доставките на енергия чрез подпомагане интегрирането на електрическата енергия от възобновяемите източници в електрическите мрежи, подобряване на трансграничното сътрудничество и управление на рисковете</w:t>
            </w:r>
          </w:p>
        </w:tc>
        <w:tc>
          <w:tcPr>
            <w:tcW w:w="7139" w:type="dxa"/>
          </w:tcPr>
          <w:p w14:paraId="54236C05" w14:textId="77777777" w:rsidR="001B29CB" w:rsidRPr="009F6D1E" w:rsidRDefault="00511BA7" w:rsidP="0084747F">
            <w:pPr>
              <w:widowControl w:val="0"/>
              <w:spacing w:after="60" w:line="264" w:lineRule="auto"/>
              <w:jc w:val="both"/>
              <w:rPr>
                <w:rFonts w:eastAsia="Calibri" w:cs="Times New Roman"/>
                <w:bCs/>
                <w:lang w:eastAsia="en-GB" w:bidi="bg-BG"/>
              </w:rPr>
            </w:pPr>
            <w:r w:rsidRPr="009F6D1E">
              <w:rPr>
                <w:rFonts w:cs="Times New Roman"/>
              </w:rPr>
              <w:lastRenderedPageBreak/>
              <w:t xml:space="preserve">Пряко отношение и принос към областите на Законодателния пакет има </w:t>
            </w:r>
            <w:r w:rsidRPr="009F6D1E">
              <w:rPr>
                <w:rFonts w:eastAsia="Times New Roman" w:cs="Times New Roman"/>
                <w:bCs/>
                <w:i/>
                <w:iCs/>
              </w:rPr>
              <w:t>Специфична цел 4</w:t>
            </w:r>
            <w:r w:rsidR="00D21881" w:rsidRPr="009F6D1E">
              <w:rPr>
                <w:rFonts w:eastAsia="Times New Roman" w:cs="Times New Roman"/>
                <w:i/>
                <w:iCs/>
              </w:rPr>
              <w:t>: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Pr="009F6D1E">
              <w:rPr>
                <w:rFonts w:eastAsia="Times New Roman" w:cs="Times New Roman"/>
                <w:i/>
                <w:iCs/>
                <w:lang w:eastAsia="bg-BG" w:bidi="bg-BG"/>
              </w:rPr>
              <w:t>;</w:t>
            </w:r>
            <w:r w:rsidR="001B29CB" w:rsidRPr="009F6D1E">
              <w:rPr>
                <w:rFonts w:eastAsia="Calibri" w:cs="Times New Roman"/>
                <w:bCs/>
                <w:lang w:eastAsia="en-GB" w:bidi="bg-BG"/>
              </w:rPr>
              <w:t xml:space="preserve"> </w:t>
            </w:r>
          </w:p>
          <w:p w14:paraId="6DF3CE3C" w14:textId="77777777" w:rsidR="00D21881" w:rsidRPr="009F6D1E" w:rsidRDefault="00D21881" w:rsidP="0084747F">
            <w:pPr>
              <w:widowControl w:val="0"/>
              <w:spacing w:after="60" w:line="264" w:lineRule="auto"/>
              <w:jc w:val="both"/>
              <w:rPr>
                <w:rFonts w:eastAsia="Calibri" w:cs="Times New Roman"/>
                <w:bCs/>
                <w:lang w:eastAsia="en-GB" w:bidi="bg-BG"/>
              </w:rPr>
            </w:pPr>
            <w:r w:rsidRPr="009F6D1E">
              <w:rPr>
                <w:rFonts w:eastAsia="Calibri" w:cs="Times New Roman"/>
                <w:bCs/>
                <w:lang w:eastAsia="en-GB" w:bidi="bg-BG"/>
              </w:rPr>
              <w:t xml:space="preserve">За осигуряване на принос на Стратегическия план за смекчаване на последиците от изменението на климата се предвижда включването на интервенциите: </w:t>
            </w:r>
          </w:p>
          <w:p w14:paraId="3D3BCC82" w14:textId="77777777" w:rsidR="00D21881" w:rsidRPr="009F6D1E" w:rsidRDefault="00D21881" w:rsidP="0084747F">
            <w:pPr>
              <w:widowControl w:val="0"/>
              <w:spacing w:after="60" w:line="264" w:lineRule="auto"/>
              <w:jc w:val="both"/>
              <w:rPr>
                <w:rFonts w:eastAsia="Calibri" w:cs="Times New Roman"/>
                <w:bCs/>
                <w:i/>
                <w:iCs/>
                <w:lang w:eastAsia="en-GB" w:bidi="bg-BG"/>
              </w:rPr>
            </w:pPr>
            <w:r w:rsidRPr="009F6D1E">
              <w:rPr>
                <w:rFonts w:eastAsia="Calibri" w:cs="Times New Roman"/>
                <w:bCs/>
                <w:i/>
                <w:iCs/>
                <w:lang w:eastAsia="en-GB" w:bidi="bg-BG"/>
              </w:rPr>
              <w:t>Насърчаване използването на култури и сортове, подходящи за отглеждане при специфични климатични условия,  чл. 70 (ЕЗФРСР)</w:t>
            </w:r>
          </w:p>
          <w:p w14:paraId="3A2162AE" w14:textId="77777777" w:rsidR="00D21881" w:rsidRPr="009F6D1E" w:rsidRDefault="00D21881" w:rsidP="0084747F">
            <w:pPr>
              <w:widowControl w:val="0"/>
              <w:spacing w:after="60" w:line="264" w:lineRule="auto"/>
              <w:jc w:val="both"/>
              <w:rPr>
                <w:rFonts w:eastAsia="Calibri" w:cs="Times New Roman"/>
                <w:bCs/>
                <w:i/>
                <w:iCs/>
                <w:lang w:eastAsia="en-GB" w:bidi="bg-BG"/>
              </w:rPr>
            </w:pPr>
            <w:r w:rsidRPr="009F6D1E">
              <w:rPr>
                <w:rFonts w:eastAsia="Calibri" w:cs="Times New Roman"/>
                <w:bCs/>
                <w:i/>
                <w:iCs/>
                <w:lang w:eastAsia="en-GB" w:bidi="bg-BG"/>
              </w:rPr>
              <w:t>Интервенция „Използване на устойчиви практики и сортове, отглеждани при специфични условия“ – член 70.</w:t>
            </w:r>
          </w:p>
          <w:p w14:paraId="2DD383AE" w14:textId="77777777" w:rsidR="00D21881" w:rsidRPr="009F6D1E" w:rsidRDefault="00D21881" w:rsidP="0084747F">
            <w:pPr>
              <w:widowControl w:val="0"/>
              <w:spacing w:after="60" w:line="264" w:lineRule="auto"/>
              <w:jc w:val="both"/>
              <w:rPr>
                <w:rFonts w:eastAsia="Calibri" w:cs="Times New Roman"/>
                <w:bCs/>
                <w:i/>
                <w:iCs/>
                <w:lang w:eastAsia="en-GB" w:bidi="bg-BG"/>
              </w:rPr>
            </w:pPr>
            <w:r w:rsidRPr="009F6D1E">
              <w:rPr>
                <w:rFonts w:eastAsia="Calibri" w:cs="Times New Roman"/>
                <w:bCs/>
                <w:i/>
                <w:iCs/>
                <w:lang w:eastAsia="en-GB" w:bidi="bg-BG"/>
              </w:rPr>
              <w:t>Интервенция „Насърчаване намалението на употребата на продукти за растителна защита и торове през контрол в краен продукт“ – член 70</w:t>
            </w:r>
          </w:p>
          <w:p w14:paraId="266F7537" w14:textId="77777777" w:rsidR="001B29CB" w:rsidRPr="009F6D1E" w:rsidRDefault="001B29CB" w:rsidP="0084747F">
            <w:pPr>
              <w:widowControl w:val="0"/>
              <w:spacing w:after="60" w:line="264" w:lineRule="auto"/>
              <w:jc w:val="both"/>
              <w:rPr>
                <w:rFonts w:eastAsia="Calibri" w:cs="Times New Roman"/>
                <w:bCs/>
                <w:lang w:eastAsia="en-GB" w:bidi="bg-BG"/>
              </w:rPr>
            </w:pPr>
            <w:r w:rsidRPr="009F6D1E">
              <w:rPr>
                <w:rFonts w:eastAsia="Calibri" w:cs="Times New Roman"/>
                <w:bCs/>
                <w:lang w:eastAsia="en-GB" w:bidi="bg-BG"/>
              </w:rPr>
              <w:t xml:space="preserve">Когато кандидатите за инвестиране са млади земеделски или горски стопани, могат да получат подкрепа и чрез интервенцията за </w:t>
            </w:r>
            <w:r w:rsidRPr="009F6D1E">
              <w:rPr>
                <w:rFonts w:eastAsia="Calibri" w:cs="Times New Roman"/>
                <w:i/>
                <w:lang w:eastAsia="en-GB" w:bidi="bg-BG"/>
              </w:rPr>
              <w:t xml:space="preserve">стартиране на стопанска дейност и разнообразяване на </w:t>
            </w:r>
            <w:r w:rsidRPr="009F6D1E">
              <w:rPr>
                <w:rFonts w:eastAsia="Calibri" w:cs="Times New Roman"/>
                <w:i/>
                <w:lang w:eastAsia="en-GB" w:bidi="bg-BG"/>
              </w:rPr>
              <w:lastRenderedPageBreak/>
              <w:t>дейностите</w:t>
            </w:r>
            <w:r w:rsidRPr="009F6D1E">
              <w:rPr>
                <w:rFonts w:eastAsia="Calibri" w:cs="Times New Roman"/>
                <w:lang w:eastAsia="en-GB" w:bidi="bg-BG"/>
              </w:rPr>
              <w:t>, а</w:t>
            </w:r>
            <w:r w:rsidRPr="009F6D1E">
              <w:rPr>
                <w:rFonts w:eastAsia="Calibri" w:cs="Times New Roman"/>
                <w:bCs/>
                <w:lang w:eastAsia="en-GB" w:bidi="bg-BG"/>
              </w:rPr>
              <w:t xml:space="preserve">ко размерът на инвестицията е в границите на подкрепата по мярката за млади земеделски стопани. Биомасата, която селското стопанство осигурява за храна, фуражи, производство на </w:t>
            </w:r>
            <w:proofErr w:type="spellStart"/>
            <w:r w:rsidRPr="009F6D1E">
              <w:rPr>
                <w:rFonts w:eastAsia="Calibri" w:cs="Times New Roman"/>
                <w:bCs/>
                <w:lang w:eastAsia="en-GB" w:bidi="bg-BG"/>
              </w:rPr>
              <w:t>биобазирани</w:t>
            </w:r>
            <w:proofErr w:type="spellEnd"/>
            <w:r w:rsidRPr="009F6D1E">
              <w:rPr>
                <w:rFonts w:eastAsia="Calibri" w:cs="Times New Roman"/>
                <w:bCs/>
                <w:lang w:eastAsia="en-GB" w:bidi="bg-BG"/>
              </w:rPr>
              <w:t xml:space="preserve"> продукти и енергия, има два източника: основния добив от земеделските култури (икономическа биомаса) и остатъците (твърдите отпадъци) след прибирането на реколтата. При определени условия биогазът може да се използва и като транспортно гориво. Има пряка връзка с Директива (ЕС) 2018/2001 за насърчаване използването на енергия от възобновяеми източници, както и с Интегриран национален план за енергетиката и климата на Република България за 2020-2030 (ПИНПЕКРБ).</w:t>
            </w:r>
          </w:p>
          <w:p w14:paraId="1CF09201" w14:textId="77777777" w:rsidR="0078017C" w:rsidRPr="009F6D1E" w:rsidRDefault="00511BA7" w:rsidP="0084747F">
            <w:pPr>
              <w:widowControl w:val="0"/>
              <w:spacing w:after="60" w:line="264" w:lineRule="auto"/>
              <w:contextualSpacing/>
              <w:jc w:val="both"/>
              <w:rPr>
                <w:rFonts w:eastAsia="Calibri" w:cs="Times New Roman"/>
                <w:b/>
                <w:bCs/>
                <w:i/>
                <w:iCs/>
              </w:rPr>
            </w:pPr>
            <w:r w:rsidRPr="009F6D1E">
              <w:rPr>
                <w:rFonts w:cs="Times New Roman"/>
                <w:bCs/>
                <w:iCs/>
                <w:lang w:bidi="bg-BG"/>
              </w:rPr>
              <w:t xml:space="preserve">Допълнителен ефект по отношение на </w:t>
            </w:r>
            <w:r w:rsidR="001B29CB" w:rsidRPr="009F6D1E">
              <w:rPr>
                <w:rFonts w:cs="Times New Roman"/>
                <w:bCs/>
                <w:iCs/>
                <w:lang w:bidi="bg-BG"/>
              </w:rPr>
              <w:t xml:space="preserve"> законодателния пакет  имат </w:t>
            </w:r>
            <w:r w:rsidR="001B29CB" w:rsidRPr="009F6D1E">
              <w:rPr>
                <w:rFonts w:cs="Times New Roman"/>
                <w:bCs/>
                <w:i/>
                <w:lang w:bidi="bg-BG"/>
              </w:rPr>
              <w:t>С</w:t>
            </w:r>
            <w:r w:rsidRPr="009F6D1E">
              <w:rPr>
                <w:rFonts w:cs="Times New Roman"/>
                <w:bCs/>
                <w:i/>
                <w:lang w:bidi="bg-BG"/>
              </w:rPr>
              <w:t>пецифични цели № 4, 5 и 6</w:t>
            </w:r>
            <w:r w:rsidRPr="009F6D1E">
              <w:rPr>
                <w:rFonts w:cs="Times New Roman"/>
                <w:bCs/>
                <w:iCs/>
                <w:lang w:bidi="bg-BG"/>
              </w:rPr>
              <w:t xml:space="preserve"> чрез представяне на обучения и с</w:t>
            </w:r>
            <w:r w:rsidRPr="009F6D1E">
              <w:rPr>
                <w:rFonts w:cs="Times New Roman"/>
                <w:lang w:bidi="bg-BG"/>
              </w:rPr>
              <w:t>ъветнически услуги, насочени към повишаване на знанията за смекчаване на последиците от изменението на климата и за адаптация към него, както и за устойчивата енергия;</w:t>
            </w:r>
          </w:p>
        </w:tc>
      </w:tr>
      <w:tr w:rsidR="002E6770" w:rsidRPr="009F6D1E" w14:paraId="2CBE001C" w14:textId="77777777" w:rsidTr="0078017C">
        <w:tc>
          <w:tcPr>
            <w:tcW w:w="7139" w:type="dxa"/>
          </w:tcPr>
          <w:p w14:paraId="1B35EFB5" w14:textId="1BC5B0F8" w:rsidR="002E6770" w:rsidRPr="009F6D1E" w:rsidRDefault="002E6770" w:rsidP="0084747F">
            <w:pPr>
              <w:widowControl w:val="0"/>
              <w:spacing w:after="60" w:line="264" w:lineRule="auto"/>
              <w:jc w:val="both"/>
              <w:outlineLvl w:val="3"/>
              <w:rPr>
                <w:rFonts w:cs="Times New Roman"/>
                <w:b/>
                <w:bCs/>
                <w:i/>
                <w:iCs/>
              </w:rPr>
            </w:pPr>
            <w:r w:rsidRPr="009F6D1E">
              <w:rPr>
                <w:rFonts w:cs="Times New Roman"/>
                <w:b/>
                <w:bCs/>
                <w:i/>
                <w:iCs/>
              </w:rPr>
              <w:lastRenderedPageBreak/>
              <w:t>Съобщение на Европейската комисия: Нов план за действие относно кръговата икономика – За по-чиста и по конкурент</w:t>
            </w:r>
            <w:r w:rsidR="00F31AED">
              <w:rPr>
                <w:rFonts w:cs="Times New Roman"/>
                <w:b/>
                <w:bCs/>
                <w:i/>
                <w:iCs/>
              </w:rPr>
              <w:t>осп</w:t>
            </w:r>
            <w:r w:rsidRPr="009F6D1E">
              <w:rPr>
                <w:rFonts w:cs="Times New Roman"/>
                <w:b/>
                <w:bCs/>
                <w:i/>
                <w:iCs/>
              </w:rPr>
              <w:t>особна Европа (СОМ/2020/98)</w:t>
            </w:r>
          </w:p>
          <w:p w14:paraId="7F39C53F" w14:textId="77777777" w:rsidR="002E6770" w:rsidRPr="009F6D1E" w:rsidRDefault="002E6770" w:rsidP="0084747F">
            <w:pPr>
              <w:widowControl w:val="0"/>
              <w:spacing w:after="60" w:line="264" w:lineRule="auto"/>
              <w:jc w:val="both"/>
              <w:outlineLvl w:val="3"/>
              <w:rPr>
                <w:rFonts w:cs="Times New Roman"/>
              </w:rPr>
            </w:pPr>
            <w:r w:rsidRPr="009F6D1E">
              <w:rPr>
                <w:rFonts w:cs="Times New Roman"/>
              </w:rPr>
              <w:t>Направления за ключови действия:</w:t>
            </w:r>
          </w:p>
          <w:p w14:paraId="66510190" w14:textId="77777777" w:rsidR="002E6770" w:rsidRPr="009F6D1E" w:rsidRDefault="002E6770" w:rsidP="0084747F">
            <w:pPr>
              <w:widowControl w:val="0"/>
              <w:spacing w:after="60" w:line="264" w:lineRule="auto"/>
              <w:jc w:val="both"/>
              <w:outlineLvl w:val="3"/>
              <w:rPr>
                <w:rFonts w:cs="Times New Roman"/>
              </w:rPr>
            </w:pPr>
            <w:r w:rsidRPr="009F6D1E">
              <w:rPr>
                <w:rFonts w:cs="Times New Roman"/>
              </w:rPr>
              <w:lastRenderedPageBreak/>
              <w:t xml:space="preserve">1. </w:t>
            </w:r>
            <w:r w:rsidRPr="009F6D1E">
              <w:rPr>
                <w:rFonts w:cs="Times New Roman"/>
                <w:b/>
                <w:bCs/>
              </w:rPr>
              <w:t>Рамка за политика за устойчиви продукти</w:t>
            </w:r>
            <w:r w:rsidRPr="009F6D1E">
              <w:rPr>
                <w:rFonts w:cs="Times New Roman"/>
              </w:rPr>
              <w:t xml:space="preserve"> – проектиране на устойчиви продукти и установяване на принципи за устойчивост (дълготрайност на продуктите, с възможност за повторно използване, модернизиране и поправка, повишена енергийна и ресурсна ефективност, повишаване съдържанието на рециклирани материали в продуктите, вторично производство и висококачествено рециклиране, намаляване на емисиите на СО2, ограничаване на продуктите за еднократна употреба, цифровизация на продуктовата информация и др.), предоставяне на повече възможности за потребителите и публичните купувачи, </w:t>
            </w:r>
            <w:proofErr w:type="spellStart"/>
            <w:r w:rsidRPr="009F6D1E">
              <w:rPr>
                <w:rFonts w:cs="Times New Roman"/>
              </w:rPr>
              <w:t>кръговост</w:t>
            </w:r>
            <w:proofErr w:type="spellEnd"/>
            <w:r w:rsidRPr="009F6D1E">
              <w:rPr>
                <w:rFonts w:cs="Times New Roman"/>
              </w:rPr>
              <w:t xml:space="preserve"> в производствените процеси;</w:t>
            </w:r>
          </w:p>
          <w:p w14:paraId="4CB5DEEF" w14:textId="77777777" w:rsidR="002E6770" w:rsidRPr="009F6D1E" w:rsidRDefault="002E6770" w:rsidP="0084747F">
            <w:pPr>
              <w:widowControl w:val="0"/>
              <w:spacing w:after="60" w:line="264" w:lineRule="auto"/>
              <w:jc w:val="both"/>
              <w:outlineLvl w:val="3"/>
              <w:rPr>
                <w:rFonts w:cs="Times New Roman"/>
              </w:rPr>
            </w:pPr>
            <w:r w:rsidRPr="009F6D1E">
              <w:rPr>
                <w:rFonts w:cs="Times New Roman"/>
              </w:rPr>
              <w:t xml:space="preserve">2. </w:t>
            </w:r>
            <w:r w:rsidRPr="009F6D1E">
              <w:rPr>
                <w:rFonts w:cs="Times New Roman"/>
                <w:b/>
                <w:bCs/>
              </w:rPr>
              <w:t>Ключови вериги за създаване на стойност в областта на продуктите</w:t>
            </w:r>
            <w:r w:rsidRPr="009F6D1E">
              <w:rPr>
                <w:rFonts w:cs="Times New Roman"/>
              </w:rPr>
              <w:t xml:space="preserve"> – насоки за електроника и ИКТ, акумулаторни батерии от превозни средства, опаковки, пластмаси, текстилни изделия, строителство и сгради, храна, вода и хранителни вещества;</w:t>
            </w:r>
          </w:p>
          <w:p w14:paraId="783646B2" w14:textId="77777777" w:rsidR="002E6770" w:rsidRPr="009F6D1E" w:rsidRDefault="002E6770" w:rsidP="0084747F">
            <w:pPr>
              <w:widowControl w:val="0"/>
              <w:spacing w:after="60" w:line="264" w:lineRule="auto"/>
              <w:contextualSpacing/>
              <w:jc w:val="both"/>
              <w:rPr>
                <w:rFonts w:eastAsia="Calibri" w:cs="Times New Roman"/>
                <w:b/>
                <w:bCs/>
                <w:i/>
                <w:iCs/>
              </w:rPr>
            </w:pPr>
            <w:r w:rsidRPr="009F6D1E">
              <w:rPr>
                <w:rFonts w:cs="Times New Roman"/>
              </w:rPr>
              <w:t xml:space="preserve">3. </w:t>
            </w:r>
            <w:r w:rsidRPr="009F6D1E">
              <w:rPr>
                <w:rFonts w:cs="Times New Roman"/>
                <w:b/>
                <w:bCs/>
              </w:rPr>
              <w:t>По-малко отпадъци, повече стойност</w:t>
            </w:r>
            <w:r w:rsidRPr="009F6D1E">
              <w:rPr>
                <w:rFonts w:cs="Times New Roman"/>
              </w:rPr>
              <w:t xml:space="preserve"> – по-ефективна политика за предотвратяване на отпадъците и подкрепа на техния кръгов характер, повишаване на кръговата и нетоксична среда, създаване на функциониращ пазар на ЕС за вторични суровини, предприемане на мерки във връзка с износа на отпадъци;</w:t>
            </w:r>
          </w:p>
        </w:tc>
        <w:tc>
          <w:tcPr>
            <w:tcW w:w="7139" w:type="dxa"/>
          </w:tcPr>
          <w:p w14:paraId="55430CA1" w14:textId="77777777" w:rsidR="002E6770" w:rsidRPr="009F6D1E" w:rsidRDefault="002E6770" w:rsidP="0084747F">
            <w:pPr>
              <w:widowControl w:val="0"/>
              <w:spacing w:after="60" w:line="264" w:lineRule="auto"/>
              <w:jc w:val="both"/>
              <w:rPr>
                <w:rFonts w:eastAsia="Times New Roman" w:cs="Times New Roman"/>
                <w:i/>
                <w:iCs/>
                <w:u w:val="single"/>
                <w:lang w:eastAsia="bg-BG" w:bidi="bg-BG"/>
              </w:rPr>
            </w:pPr>
            <w:r w:rsidRPr="009F6D1E">
              <w:rPr>
                <w:rFonts w:cs="Times New Roman"/>
              </w:rPr>
              <w:lastRenderedPageBreak/>
              <w:t>Пряко отношение и принос към направленията на Новия план за действие, има</w:t>
            </w:r>
            <w:r w:rsidRPr="009F6D1E">
              <w:rPr>
                <w:rFonts w:eastAsia="Times New Roman" w:cs="Times New Roman"/>
                <w:lang w:eastAsia="bg-BG" w:bidi="bg-BG"/>
              </w:rPr>
              <w:t>т:</w:t>
            </w:r>
          </w:p>
          <w:p w14:paraId="084860F9" w14:textId="77777777" w:rsidR="002E6770" w:rsidRPr="009F6D1E" w:rsidRDefault="002E6770" w:rsidP="0084747F">
            <w:pPr>
              <w:widowControl w:val="0"/>
              <w:spacing w:after="60" w:line="264" w:lineRule="auto"/>
              <w:jc w:val="both"/>
              <w:rPr>
                <w:rFonts w:cs="Times New Roman"/>
                <w:i/>
              </w:rPr>
            </w:pPr>
            <w:r w:rsidRPr="009F6D1E">
              <w:rPr>
                <w:rFonts w:cs="Times New Roman"/>
                <w:i/>
              </w:rPr>
              <w:t>Специфична цел №2 – потребност</w:t>
            </w:r>
            <w:r w:rsidR="00136AAD" w:rsidRPr="009F6D1E">
              <w:rPr>
                <w:rFonts w:cs="Times New Roman"/>
                <w:lang w:bidi="bg-BG"/>
              </w:rPr>
              <w:t xml:space="preserve"> </w:t>
            </w:r>
            <w:r w:rsidR="00136AAD"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w:t>
            </w:r>
            <w:r w:rsidR="00136AAD" w:rsidRPr="009F6D1E">
              <w:rPr>
                <w:rFonts w:cs="Times New Roman"/>
                <w:i/>
              </w:rPr>
              <w:lastRenderedPageBreak/>
              <w:t xml:space="preserve">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5BBCD3D2" w14:textId="77777777" w:rsidR="002E6770" w:rsidRPr="009F6D1E" w:rsidRDefault="002E6770"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83643B" w:rsidRPr="009F6D1E">
              <w:rPr>
                <w:rFonts w:cs="Times New Roman"/>
                <w:lang w:bidi="bg-BG"/>
              </w:rPr>
              <w:t xml:space="preserve"> </w:t>
            </w:r>
            <w:r w:rsidR="0083643B" w:rsidRPr="009F6D1E">
              <w:rPr>
                <w:rFonts w:cs="Times New Roman"/>
                <w:bCs/>
                <w:i/>
              </w:rPr>
              <w:t xml:space="preserve">П.8.1. Диверсификация на икономическата дейност. Стимулиране на нови производства в областта на биоикономиката и кръговата икономика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7617154C" w14:textId="77777777" w:rsidR="002E6770" w:rsidRPr="009F6D1E" w:rsidRDefault="002E6770" w:rsidP="0084747F">
            <w:pPr>
              <w:widowControl w:val="0"/>
              <w:spacing w:after="60" w:line="264" w:lineRule="auto"/>
              <w:jc w:val="both"/>
              <w:rPr>
                <w:rFonts w:cs="Times New Roman"/>
                <w:iCs/>
              </w:rPr>
            </w:pPr>
            <w:r w:rsidRPr="009F6D1E">
              <w:rPr>
                <w:rFonts w:cs="Times New Roman"/>
                <w:iCs/>
              </w:rPr>
              <w:t>Косвен принос имат:</w:t>
            </w:r>
          </w:p>
          <w:p w14:paraId="6E990808" w14:textId="77777777" w:rsidR="0083643B" w:rsidRPr="009F6D1E" w:rsidRDefault="005046C7" w:rsidP="0084747F">
            <w:pPr>
              <w:widowControl w:val="0"/>
              <w:spacing w:after="60" w:line="264" w:lineRule="auto"/>
              <w:jc w:val="both"/>
              <w:rPr>
                <w:rFonts w:cs="Times New Roman"/>
                <w:i/>
              </w:rPr>
            </w:pPr>
            <w:r w:rsidRPr="009F6D1E">
              <w:rPr>
                <w:rFonts w:cs="Times New Roman"/>
                <w:i/>
              </w:rPr>
              <w:t>Междусекторна цел 10</w:t>
            </w:r>
            <w:r w:rsidR="0083643B" w:rsidRPr="009F6D1E">
              <w:rPr>
                <w:rFonts w:cs="Times New Roman"/>
                <w:i/>
              </w:rPr>
              <w:t>, Потребност П.10.5.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p>
          <w:p w14:paraId="7FD60BD2" w14:textId="77777777" w:rsidR="002E6770" w:rsidRPr="009F6D1E" w:rsidRDefault="002E6770"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83643B" w:rsidRPr="009F6D1E">
              <w:rPr>
                <w:rFonts w:cs="Times New Roman"/>
              </w:rPr>
              <w:t xml:space="preserve"> </w:t>
            </w:r>
            <w:r w:rsidR="0083643B" w:rsidRPr="009F6D1E">
              <w:rPr>
                <w:rFonts w:cs="Times New Roman"/>
                <w:i/>
              </w:rPr>
              <w:t>П.1.5.Надграждане и диверсифициране на системата за управление на риска и управление на кризите в земеделието</w:t>
            </w:r>
            <w:r w:rsidRPr="009F6D1E">
              <w:rPr>
                <w:rFonts w:eastAsia="Times New Roman" w:cs="Times New Roman"/>
                <w:i/>
                <w:iCs/>
                <w:lang w:eastAsia="bg-BG" w:bidi="bg-BG"/>
              </w:rPr>
              <w:t xml:space="preserve"> </w:t>
            </w:r>
            <w:r w:rsidRPr="009F6D1E">
              <w:rPr>
                <w:rFonts w:eastAsia="Times New Roman" w:cs="Times New Roman"/>
                <w:lang w:eastAsia="bg-BG" w:bidi="bg-BG"/>
              </w:rPr>
              <w:t>и интервенциите към нея.</w:t>
            </w:r>
          </w:p>
          <w:p w14:paraId="51906D4D" w14:textId="77777777" w:rsidR="002E6770" w:rsidRPr="009F6D1E" w:rsidRDefault="002E6770" w:rsidP="0084747F">
            <w:pPr>
              <w:widowControl w:val="0"/>
              <w:tabs>
                <w:tab w:val="left" w:pos="1080"/>
              </w:tabs>
              <w:spacing w:after="60" w:line="264" w:lineRule="auto"/>
              <w:jc w:val="both"/>
              <w:rPr>
                <w:rFonts w:cs="Times New Roman"/>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83643B" w:rsidRPr="009F6D1E">
              <w:rPr>
                <w:rFonts w:cs="Times New Roman"/>
              </w:rPr>
              <w:t xml:space="preserve"> </w:t>
            </w:r>
            <w:r w:rsidR="0083643B"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 xml:space="preserve">интервенция „Инвестиции за неселскостопански  дейности  в селските райони, чрез която се предвижда предоставяне на подкрепа за инвестиции за развитие на икономически дейности, </w:t>
            </w:r>
            <w:r w:rsidRPr="009F6D1E">
              <w:rPr>
                <w:rFonts w:eastAsia="Times New Roman" w:cs="Times New Roman"/>
                <w:iCs/>
                <w:lang w:eastAsia="bg-BG" w:bidi="bg-BG"/>
              </w:rPr>
              <w:lastRenderedPageBreak/>
              <w:t>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tc>
      </w:tr>
      <w:tr w:rsidR="00C301B6" w:rsidRPr="009F6D1E" w14:paraId="224619A9" w14:textId="77777777" w:rsidTr="0078017C">
        <w:tc>
          <w:tcPr>
            <w:tcW w:w="7139" w:type="dxa"/>
          </w:tcPr>
          <w:p w14:paraId="1017038C" w14:textId="77777777" w:rsidR="00F54523" w:rsidRPr="009F6D1E" w:rsidRDefault="00F54523" w:rsidP="0084747F">
            <w:pPr>
              <w:widowControl w:val="0"/>
              <w:spacing w:after="60" w:line="264" w:lineRule="auto"/>
              <w:contextualSpacing/>
              <w:jc w:val="both"/>
              <w:rPr>
                <w:rFonts w:eastAsia="Calibri" w:cs="Times New Roman"/>
                <w:b/>
                <w:bCs/>
                <w:i/>
                <w:iCs/>
              </w:rPr>
            </w:pPr>
            <w:r w:rsidRPr="009F6D1E">
              <w:rPr>
                <w:rFonts w:eastAsia="Calibri" w:cs="Times New Roman"/>
                <w:b/>
                <w:bCs/>
                <w:i/>
                <w:iCs/>
              </w:rPr>
              <w:lastRenderedPageBreak/>
              <w:t>Териториален дневен ред 2030 „Бъдеще за всички места“</w:t>
            </w:r>
          </w:p>
          <w:p w14:paraId="5DEFCF60"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rPr>
              <w:t>Основни приоритети:</w:t>
            </w:r>
          </w:p>
          <w:p w14:paraId="53F37495"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b/>
                <w:bCs/>
              </w:rPr>
              <w:t>Приоритет 1:</w:t>
            </w:r>
            <w:r w:rsidRPr="009F6D1E">
              <w:rPr>
                <w:rFonts w:eastAsia="Calibri" w:cs="Times New Roman"/>
              </w:rPr>
              <w:t xml:space="preserve"> балансирано териториално развитие;</w:t>
            </w:r>
          </w:p>
          <w:p w14:paraId="3DCC68BF"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b/>
                <w:bCs/>
              </w:rPr>
              <w:t>Приоритет 2:</w:t>
            </w:r>
            <w:r w:rsidRPr="009F6D1E">
              <w:rPr>
                <w:rFonts w:eastAsia="Calibri" w:cs="Times New Roman"/>
              </w:rPr>
              <w:t xml:space="preserve"> функционални райони с по-малко неравенства;</w:t>
            </w:r>
          </w:p>
          <w:p w14:paraId="65DB4173"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b/>
                <w:bCs/>
              </w:rPr>
              <w:t>Приоритет</w:t>
            </w:r>
            <w:r w:rsidR="007D2879" w:rsidRPr="009F6D1E">
              <w:rPr>
                <w:rFonts w:eastAsia="Calibri" w:cs="Times New Roman"/>
                <w:b/>
                <w:bCs/>
              </w:rPr>
              <w:t xml:space="preserve"> </w:t>
            </w:r>
            <w:r w:rsidRPr="009F6D1E">
              <w:rPr>
                <w:rFonts w:eastAsia="Calibri" w:cs="Times New Roman"/>
                <w:b/>
                <w:bCs/>
              </w:rPr>
              <w:t>3:</w:t>
            </w:r>
            <w:r w:rsidR="007D2879" w:rsidRPr="009F6D1E">
              <w:rPr>
                <w:rFonts w:eastAsia="Calibri" w:cs="Times New Roman"/>
                <w:b/>
                <w:bCs/>
              </w:rPr>
              <w:t xml:space="preserve"> </w:t>
            </w:r>
            <w:r w:rsidRPr="009F6D1E">
              <w:rPr>
                <w:rFonts w:eastAsia="Calibri" w:cs="Times New Roman"/>
              </w:rPr>
              <w:t>интеграция и сътрудничество извън административно</w:t>
            </w:r>
            <w:r w:rsidR="007D2879" w:rsidRPr="009F6D1E">
              <w:rPr>
                <w:rFonts w:eastAsia="Calibri" w:cs="Times New Roman"/>
              </w:rPr>
              <w:t xml:space="preserve"> </w:t>
            </w:r>
            <w:r w:rsidRPr="009F6D1E">
              <w:rPr>
                <w:rFonts w:eastAsia="Calibri" w:cs="Times New Roman"/>
              </w:rPr>
              <w:t>-</w:t>
            </w:r>
            <w:r w:rsidR="007D2879" w:rsidRPr="009F6D1E">
              <w:rPr>
                <w:rFonts w:eastAsia="Calibri" w:cs="Times New Roman"/>
              </w:rPr>
              <w:t xml:space="preserve"> </w:t>
            </w:r>
            <w:r w:rsidRPr="009F6D1E">
              <w:rPr>
                <w:rFonts w:eastAsia="Calibri" w:cs="Times New Roman"/>
              </w:rPr>
              <w:t>териториалните и националните граници;</w:t>
            </w:r>
          </w:p>
          <w:p w14:paraId="276ABF5B"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b/>
                <w:bCs/>
              </w:rPr>
              <w:t>Приоритет 4:</w:t>
            </w:r>
            <w:r w:rsidRPr="009F6D1E">
              <w:rPr>
                <w:rFonts w:eastAsia="Calibri" w:cs="Times New Roman"/>
              </w:rPr>
              <w:t xml:space="preserve"> здравословна среда;</w:t>
            </w:r>
          </w:p>
          <w:p w14:paraId="453BD316" w14:textId="77777777" w:rsidR="00F54523" w:rsidRPr="009F6D1E" w:rsidRDefault="00F54523" w:rsidP="0084747F">
            <w:pPr>
              <w:widowControl w:val="0"/>
              <w:spacing w:after="60" w:line="264" w:lineRule="auto"/>
              <w:contextualSpacing/>
              <w:jc w:val="both"/>
              <w:rPr>
                <w:rFonts w:eastAsia="Calibri" w:cs="Times New Roman"/>
              </w:rPr>
            </w:pPr>
            <w:r w:rsidRPr="009F6D1E">
              <w:rPr>
                <w:rFonts w:eastAsia="Calibri" w:cs="Times New Roman"/>
                <w:b/>
                <w:bCs/>
              </w:rPr>
              <w:t>Приоритет 5:</w:t>
            </w:r>
            <w:r w:rsidRPr="009F6D1E">
              <w:rPr>
                <w:rFonts w:eastAsia="Calibri" w:cs="Times New Roman"/>
              </w:rPr>
              <w:t xml:space="preserve"> кръгова икономика;</w:t>
            </w:r>
          </w:p>
          <w:p w14:paraId="231DC258" w14:textId="77777777" w:rsidR="00C301B6" w:rsidRPr="009F6D1E" w:rsidRDefault="00F54523" w:rsidP="0084747F">
            <w:pPr>
              <w:widowControl w:val="0"/>
              <w:spacing w:after="60" w:line="264" w:lineRule="auto"/>
              <w:contextualSpacing/>
              <w:jc w:val="both"/>
              <w:rPr>
                <w:rFonts w:eastAsia="Calibri" w:cs="Times New Roman"/>
                <w:b/>
                <w:bCs/>
                <w:i/>
                <w:iCs/>
              </w:rPr>
            </w:pPr>
            <w:r w:rsidRPr="009F6D1E">
              <w:rPr>
                <w:rFonts w:eastAsia="Calibri" w:cs="Times New Roman"/>
                <w:b/>
                <w:bCs/>
              </w:rPr>
              <w:t>Приоритет 6:</w:t>
            </w:r>
            <w:r w:rsidRPr="009F6D1E">
              <w:rPr>
                <w:rFonts w:eastAsia="Calibri" w:cs="Times New Roman"/>
              </w:rPr>
              <w:t xml:space="preserve"> устойчива цифрова и физическа свързаност.</w:t>
            </w:r>
          </w:p>
        </w:tc>
        <w:tc>
          <w:tcPr>
            <w:tcW w:w="7139" w:type="dxa"/>
          </w:tcPr>
          <w:p w14:paraId="47B56B28" w14:textId="77777777" w:rsidR="00805795" w:rsidRPr="009F6D1E" w:rsidRDefault="00805795" w:rsidP="0084747F">
            <w:pPr>
              <w:widowControl w:val="0"/>
              <w:spacing w:after="60" w:line="264" w:lineRule="auto"/>
              <w:jc w:val="both"/>
              <w:rPr>
                <w:rFonts w:cs="Times New Roman"/>
                <w:i/>
                <w:iCs/>
              </w:rPr>
            </w:pPr>
            <w:r w:rsidRPr="009F6D1E">
              <w:rPr>
                <w:rFonts w:cs="Times New Roman"/>
              </w:rPr>
              <w:t xml:space="preserve">Пряко отношение и принос към </w:t>
            </w:r>
            <w:r w:rsidR="00F35B60" w:rsidRPr="009F6D1E">
              <w:rPr>
                <w:rFonts w:cs="Times New Roman"/>
              </w:rPr>
              <w:t xml:space="preserve">Приоритети 1, 2, 3, 4 и 6 на </w:t>
            </w:r>
            <w:r w:rsidR="00690D0F" w:rsidRPr="009F6D1E">
              <w:rPr>
                <w:rFonts w:cs="Times New Roman"/>
              </w:rPr>
              <w:t>Териториалния дневен ред</w:t>
            </w:r>
            <w:r w:rsidRPr="009F6D1E">
              <w:rPr>
                <w:rFonts w:cs="Times New Roman"/>
              </w:rPr>
              <w:t xml:space="preserve"> има</w:t>
            </w:r>
            <w:r w:rsidR="00690D0F" w:rsidRPr="009F6D1E">
              <w:rPr>
                <w:rFonts w:cs="Times New Roman"/>
              </w:rPr>
              <w:t xml:space="preserve"> </w:t>
            </w:r>
            <w:r w:rsidR="00F15724" w:rsidRPr="009F6D1E">
              <w:rPr>
                <w:rFonts w:cs="Times New Roman"/>
                <w:i/>
                <w:iCs/>
              </w:rPr>
              <w:t>Специфична цел № 8: 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w:t>
            </w:r>
            <w:r w:rsidR="00690D0F" w:rsidRPr="009F6D1E">
              <w:rPr>
                <w:rFonts w:cs="Times New Roman"/>
                <w:i/>
                <w:iCs/>
              </w:rPr>
              <w:t xml:space="preserve"> </w:t>
            </w:r>
            <w:r w:rsidR="00690D0F" w:rsidRPr="009F6D1E">
              <w:rPr>
                <w:rFonts w:cs="Times New Roman"/>
              </w:rPr>
              <w:t>и интервенциите към нея</w:t>
            </w:r>
          </w:p>
          <w:p w14:paraId="15DCB86C" w14:textId="77777777" w:rsidR="00805795" w:rsidRPr="009F6D1E" w:rsidRDefault="00805795" w:rsidP="0084747F">
            <w:pPr>
              <w:widowControl w:val="0"/>
              <w:spacing w:after="60" w:line="264" w:lineRule="auto"/>
              <w:jc w:val="both"/>
              <w:rPr>
                <w:rFonts w:eastAsia="Times New Roman" w:cs="Times New Roman"/>
              </w:rPr>
            </w:pPr>
            <w:r w:rsidRPr="009F6D1E">
              <w:rPr>
                <w:rFonts w:eastAsia="Times New Roman" w:cs="Times New Roman"/>
              </w:rPr>
              <w:t xml:space="preserve">Водещ фонд, предоставящ подкрепа на Воденото от общностите местно развитие (ВОМР)/ЛИДЕР е Европейския земеделски фонд за развитие на селските райони. Многофондовото прилагане на подхода ВОМР получава подкрепа и от Европейския фонд за регионално развитие (ЕФРР), Европейския социален фонд (ЕСФ+). Подходът ВОМР/ЛИДЕР се прилага на териториален принцип на </w:t>
            </w:r>
            <w:proofErr w:type="spellStart"/>
            <w:r w:rsidRPr="009F6D1E">
              <w:rPr>
                <w:rFonts w:eastAsia="Times New Roman" w:cs="Times New Roman"/>
              </w:rPr>
              <w:t>подрегионално</w:t>
            </w:r>
            <w:proofErr w:type="spellEnd"/>
            <w:r w:rsidRPr="009F6D1E">
              <w:rPr>
                <w:rFonts w:eastAsia="Times New Roman" w:cs="Times New Roman"/>
              </w:rPr>
              <w:t xml:space="preserve"> ниво – ниво община, част от община или група от съседни общини, с обхват на населението между 10 000 и 150 000 жители. 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w:t>
            </w:r>
            <w:r w:rsidRPr="009F6D1E">
              <w:rPr>
                <w:rFonts w:eastAsia="Times New Roman" w:cs="Times New Roman"/>
              </w:rPr>
              <w:lastRenderedPageBreak/>
              <w:t xml:space="preserve">пространствено развитие за периода 2013 – 2025 г.) с изключение на градовете с население над 30 000 жители, в техните строителни граници. За населените места, на чиито територии се прилага подходът ВОМР/ЛИДЕР и които са подпомагани от „Програма за развитие на регионите“ 2023 – 2027 г. се прилага </w:t>
            </w:r>
            <w:proofErr w:type="spellStart"/>
            <w:r w:rsidRPr="009F6D1E">
              <w:rPr>
                <w:rFonts w:eastAsia="Times New Roman" w:cs="Times New Roman"/>
              </w:rPr>
              <w:t>демаркация</w:t>
            </w:r>
            <w:proofErr w:type="spellEnd"/>
            <w:r w:rsidRPr="009F6D1E">
              <w:rPr>
                <w:rFonts w:eastAsia="Times New Roman" w:cs="Times New Roman"/>
              </w:rPr>
              <w:t xml:space="preserve"> на инвестициите.</w:t>
            </w:r>
          </w:p>
          <w:p w14:paraId="4F9BC75F"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Подходът ВОМР/ЛИДЕР води до постигането на специфична цел съгласно чл. 6, параграф 1, буква з): „</w:t>
            </w:r>
            <w:r w:rsidRPr="009F6D1E">
              <w:rPr>
                <w:rFonts w:eastAsia="Times New Roman" w:cs="Times New Roman"/>
                <w:i/>
                <w:iCs/>
              </w:rPr>
              <w:t>Насърчаване на заетостта, растежа, социалното приобщаване и местното развитие в селските райони, включително биоикономиката и устойчивото горско стопанство</w:t>
            </w:r>
            <w:r w:rsidRPr="009F6D1E">
              <w:rPr>
                <w:rFonts w:eastAsia="Times New Roman" w:cs="Times New Roman"/>
              </w:rPr>
              <w:t xml:space="preserve">“ на предложение за Регламент на Европейския парламент и Съвета за установяване на правила за подкрепа на Стратегически планове за </w:t>
            </w:r>
            <w:r w:rsidR="00D809BC" w:rsidRPr="009F6D1E">
              <w:rPr>
                <w:rFonts w:eastAsia="Times New Roman" w:cs="Times New Roman"/>
              </w:rPr>
              <w:t>РЗСР</w:t>
            </w:r>
            <w:r w:rsidRPr="009F6D1E">
              <w:rPr>
                <w:rFonts w:eastAsia="Times New Roman" w:cs="Times New Roman"/>
              </w:rPr>
              <w:t>.</w:t>
            </w:r>
          </w:p>
          <w:p w14:paraId="263C73EF"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xml:space="preserve">Прилагането на стратегии за ВОМР дава възможност за финансиране на проекти, които отговарят на местните </w:t>
            </w:r>
            <w:proofErr w:type="spellStart"/>
            <w:r w:rsidRPr="009F6D1E">
              <w:rPr>
                <w:rFonts w:eastAsia="Times New Roman" w:cs="Times New Roman"/>
              </w:rPr>
              <w:t>потребности,създават</w:t>
            </w:r>
            <w:proofErr w:type="spellEnd"/>
            <w:r w:rsidRPr="009F6D1E">
              <w:rPr>
                <w:rFonts w:eastAsia="Times New Roman" w:cs="Times New Roman"/>
              </w:rPr>
              <w:t xml:space="preserve"> и запазват заетост за местното население и са в полза на малкия местен бизнес. Чрез тях се създават по-добри икономически, социални и екологични условия за живот в малките население места, подкрепя се многосекторното развитие на местните икономики.  </w:t>
            </w:r>
          </w:p>
          <w:p w14:paraId="78386B4B"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lastRenderedPageBreak/>
              <w:t>С прилагането на подхода ВОМР/ЛИДЕР се цели и постигане на следните специфични цели за местно развитие:</w:t>
            </w:r>
          </w:p>
          <w:p w14:paraId="2779036D"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Подобряване на условията на живот на териториите на местните общности;</w:t>
            </w:r>
          </w:p>
          <w:p w14:paraId="688524B8"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Създаване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 както и на практики и модели за добро управление и участие на заинтересованите страни в развитието на територията, като основа за териториално развитие;</w:t>
            </w:r>
          </w:p>
          <w:p w14:paraId="56DE828E"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Подкрепа за териториалната идентичност, маркетинг и марки на база на специфичния териториален потенциал и продукти от местен характер;</w:t>
            </w:r>
          </w:p>
          <w:p w14:paraId="31436804" w14:textId="568D31B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Повишаване на конкурент</w:t>
            </w:r>
            <w:r w:rsidR="00F31AED">
              <w:rPr>
                <w:rFonts w:eastAsia="Times New Roman" w:cs="Times New Roman"/>
              </w:rPr>
              <w:t>осп</w:t>
            </w:r>
            <w:r w:rsidRPr="009F6D1E">
              <w:rPr>
                <w:rFonts w:eastAsia="Times New Roman" w:cs="Times New Roman"/>
              </w:rPr>
              <w:t>особността на местните икономики и възможности за създаване на местен бизнес, включително чрез диверсификация и подкрепа за алтернативни дейности;</w:t>
            </w:r>
          </w:p>
          <w:p w14:paraId="01FA208C"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Подкрепа за въвеждането на иновации;</w:t>
            </w:r>
          </w:p>
          <w:p w14:paraId="73BF4C16"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xml:space="preserve">- Засилване на капацитета за научни изследвания и иновации и на въвеждането на модерни технологии чрез подкрепа за иновации в предприятията  и насърчаване на прехода към кръгова икономика </w:t>
            </w:r>
            <w:r w:rsidRPr="009F6D1E">
              <w:rPr>
                <w:rFonts w:eastAsia="Times New Roman" w:cs="Times New Roman"/>
              </w:rPr>
              <w:lastRenderedPageBreak/>
              <w:t>чрез подкрепа за инвестиции в предприятията с цел подобряване на ресурсната ефективност;</w:t>
            </w:r>
          </w:p>
          <w:p w14:paraId="0CD6CECD"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Насърчаване на устойчивата и качествена заетост и социално включване на уязвими и маргинализирани групи;</w:t>
            </w:r>
          </w:p>
          <w:p w14:paraId="27C83AC2" w14:textId="77777777" w:rsidR="00690D0F" w:rsidRPr="009F6D1E" w:rsidRDefault="00690D0F" w:rsidP="0084747F">
            <w:pPr>
              <w:widowControl w:val="0"/>
              <w:spacing w:after="60" w:line="264" w:lineRule="auto"/>
              <w:jc w:val="both"/>
              <w:rPr>
                <w:rFonts w:eastAsia="Times New Roman" w:cs="Times New Roman"/>
              </w:rPr>
            </w:pPr>
            <w:r w:rsidRPr="009F6D1E">
              <w:rPr>
                <w:rFonts w:eastAsia="Times New Roman" w:cs="Times New Roman"/>
              </w:rPr>
              <w:t>-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w:t>
            </w:r>
          </w:p>
          <w:p w14:paraId="4782E55D" w14:textId="77777777" w:rsidR="00C301B6" w:rsidRPr="009F6D1E" w:rsidRDefault="00690D0F" w:rsidP="0084747F">
            <w:pPr>
              <w:widowControl w:val="0"/>
              <w:spacing w:after="60" w:line="264" w:lineRule="auto"/>
              <w:contextualSpacing/>
              <w:jc w:val="both"/>
              <w:rPr>
                <w:rFonts w:eastAsia="Times New Roman" w:cs="Times New Roman"/>
              </w:rPr>
            </w:pPr>
            <w:r w:rsidRPr="009F6D1E">
              <w:rPr>
                <w:rFonts w:eastAsia="Times New Roman" w:cs="Times New Roman"/>
              </w:rPr>
              <w:t>- Приобщаващо образование и образователна интеграция</w:t>
            </w:r>
          </w:p>
          <w:p w14:paraId="03A6062B" w14:textId="77777777" w:rsidR="00F35B60" w:rsidRPr="009F6D1E" w:rsidRDefault="00F35B60" w:rsidP="0084747F">
            <w:pPr>
              <w:widowControl w:val="0"/>
              <w:spacing w:after="60" w:line="264" w:lineRule="auto"/>
              <w:jc w:val="both"/>
              <w:rPr>
                <w:rFonts w:eastAsia="Times New Roman" w:cs="Times New Roman"/>
                <w:i/>
                <w:iCs/>
                <w:u w:val="single"/>
                <w:lang w:eastAsia="bg-BG" w:bidi="bg-BG"/>
              </w:rPr>
            </w:pPr>
            <w:r w:rsidRPr="009F6D1E">
              <w:rPr>
                <w:rFonts w:cs="Times New Roman"/>
              </w:rPr>
              <w:t>Пряко отношение и принос към Приоритет 5, има</w:t>
            </w:r>
            <w:r w:rsidRPr="009F6D1E">
              <w:rPr>
                <w:rFonts w:eastAsia="Times New Roman" w:cs="Times New Roman"/>
                <w:lang w:eastAsia="bg-BG" w:bidi="bg-BG"/>
              </w:rPr>
              <w:t>т:</w:t>
            </w:r>
          </w:p>
          <w:p w14:paraId="134749E2" w14:textId="77777777" w:rsidR="00F35B60" w:rsidRPr="009F6D1E" w:rsidRDefault="00F35B60"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F15724" w:rsidRPr="009F6D1E">
              <w:rPr>
                <w:rFonts w:cs="Times New Roman"/>
              </w:rPr>
              <w:t xml:space="preserve"> </w:t>
            </w:r>
            <w:r w:rsidR="00F15724"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30EA27AA" w14:textId="77777777" w:rsidR="00F35B60" w:rsidRPr="009F6D1E" w:rsidRDefault="00F35B60"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F15724" w:rsidRPr="009F6D1E">
              <w:rPr>
                <w:rFonts w:cs="Times New Roman"/>
              </w:rPr>
              <w:t xml:space="preserve"> </w:t>
            </w:r>
            <w:r w:rsidR="00F15724"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22005FF4" w14:textId="77777777" w:rsidR="00F35B60" w:rsidRPr="009F6D1E" w:rsidRDefault="00F35B60" w:rsidP="0084747F">
            <w:pPr>
              <w:widowControl w:val="0"/>
              <w:spacing w:after="60" w:line="264" w:lineRule="auto"/>
              <w:jc w:val="both"/>
              <w:rPr>
                <w:rFonts w:cs="Times New Roman"/>
                <w:iCs/>
              </w:rPr>
            </w:pPr>
            <w:r w:rsidRPr="009F6D1E">
              <w:rPr>
                <w:rFonts w:cs="Times New Roman"/>
                <w:iCs/>
              </w:rPr>
              <w:t>Косвен принос имат:</w:t>
            </w:r>
          </w:p>
          <w:p w14:paraId="036DDA27" w14:textId="77777777" w:rsidR="00F35B60" w:rsidRPr="009F6D1E" w:rsidRDefault="00F35B60"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F15724" w:rsidRPr="009F6D1E">
              <w:rPr>
                <w:rFonts w:cs="Times New Roman"/>
              </w:rPr>
              <w:t xml:space="preserve"> </w:t>
            </w:r>
            <w:r w:rsidR="00F15724" w:rsidRPr="009F6D1E">
              <w:rPr>
                <w:rFonts w:cs="Times New Roman"/>
                <w:i/>
              </w:rPr>
              <w:t xml:space="preserve">П.1.5.Надграждане и </w:t>
            </w:r>
            <w:r w:rsidR="00F15724" w:rsidRPr="009F6D1E">
              <w:rPr>
                <w:rFonts w:cs="Times New Roman"/>
                <w:i/>
              </w:rPr>
              <w:lastRenderedPageBreak/>
              <w:t xml:space="preserve">диверсифициране на системата за управление на риска и управление на кризите в земеделието </w:t>
            </w:r>
            <w:r w:rsidRPr="009F6D1E">
              <w:rPr>
                <w:rFonts w:eastAsia="Times New Roman" w:cs="Times New Roman"/>
                <w:lang w:eastAsia="bg-BG" w:bidi="bg-BG"/>
              </w:rPr>
              <w:t>и интервенциите към нея.</w:t>
            </w:r>
          </w:p>
          <w:p w14:paraId="2856BAB9" w14:textId="77777777" w:rsidR="00F35B60" w:rsidRPr="009F6D1E" w:rsidRDefault="00F35B60" w:rsidP="0084747F">
            <w:pPr>
              <w:widowControl w:val="0"/>
              <w:tabs>
                <w:tab w:val="left" w:pos="1080"/>
              </w:tabs>
              <w:spacing w:after="60" w:line="264" w:lineRule="auto"/>
              <w:jc w:val="both"/>
              <w:rPr>
                <w:rFonts w:eastAsia="Calibri" w:cs="Times New Roman"/>
                <w:b/>
                <w:bCs/>
                <w:i/>
                <w:iCs/>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895974" w:rsidRPr="009F6D1E">
              <w:rPr>
                <w:rFonts w:cs="Times New Roman"/>
              </w:rPr>
              <w:t xml:space="preserve"> </w:t>
            </w:r>
            <w:r w:rsidR="00895974"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 „</w:t>
            </w:r>
            <w:r w:rsidR="00895974" w:rsidRPr="009F6D1E">
              <w:rPr>
                <w:rFonts w:eastAsia="Times New Roman" w:cs="Times New Roman"/>
                <w:iCs/>
                <w:lang w:eastAsia="bg-BG" w:bidi="bg-BG"/>
              </w:rPr>
              <w:t>Инвестиции за неселскостопански  дейности  в селските райони“. Предвижда се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tc>
      </w:tr>
      <w:tr w:rsidR="00F21FE8" w:rsidRPr="009F6D1E" w14:paraId="56938765" w14:textId="77777777" w:rsidTr="0078017C">
        <w:tc>
          <w:tcPr>
            <w:tcW w:w="7139" w:type="dxa"/>
          </w:tcPr>
          <w:p w14:paraId="765322B0" w14:textId="77777777" w:rsidR="00F21FE8" w:rsidRPr="009F6D1E" w:rsidRDefault="00F21FE8" w:rsidP="0084747F">
            <w:pPr>
              <w:widowControl w:val="0"/>
              <w:spacing w:after="60" w:line="264" w:lineRule="auto"/>
              <w:jc w:val="both"/>
              <w:outlineLvl w:val="3"/>
              <w:rPr>
                <w:rFonts w:cs="Times New Roman"/>
                <w:b/>
                <w:bCs/>
                <w:i/>
                <w:iCs/>
              </w:rPr>
            </w:pPr>
            <w:r w:rsidRPr="009F6D1E">
              <w:rPr>
                <w:rFonts w:cs="Times New Roman"/>
                <w:b/>
                <w:bCs/>
                <w:i/>
                <w:iCs/>
              </w:rPr>
              <w:lastRenderedPageBreak/>
              <w:t>Програмата за устойчиво развитие за периода до 2030 г. на Организацията на обединените нации (ООН) „Да преобразим света“</w:t>
            </w:r>
          </w:p>
          <w:p w14:paraId="6E669FEA" w14:textId="77777777" w:rsidR="00F21FE8" w:rsidRPr="009F6D1E" w:rsidRDefault="00F21FE8" w:rsidP="0084747F">
            <w:pPr>
              <w:widowControl w:val="0"/>
              <w:spacing w:after="60" w:line="264" w:lineRule="auto"/>
              <w:jc w:val="both"/>
              <w:outlineLvl w:val="3"/>
              <w:rPr>
                <w:rFonts w:cs="Times New Roman"/>
              </w:rPr>
            </w:pPr>
            <w:r w:rsidRPr="009F6D1E">
              <w:rPr>
                <w:rFonts w:cs="Times New Roman"/>
              </w:rPr>
              <w:t>Целите с отношение към опазването на околната среда са:</w:t>
            </w:r>
          </w:p>
          <w:p w14:paraId="7211B616"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3:</w:t>
            </w:r>
            <w:r w:rsidRPr="009F6D1E">
              <w:rPr>
                <w:rFonts w:cs="Times New Roman"/>
              </w:rPr>
              <w:t xml:space="preserve"> Добро здраве и благоденствие;</w:t>
            </w:r>
          </w:p>
          <w:p w14:paraId="2C83615B"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6</w:t>
            </w:r>
            <w:r w:rsidRPr="009F6D1E">
              <w:rPr>
                <w:rFonts w:cs="Times New Roman"/>
              </w:rPr>
              <w:t>: Чиста вода и канализация;</w:t>
            </w:r>
          </w:p>
          <w:p w14:paraId="473AA12C"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7:</w:t>
            </w:r>
            <w:r w:rsidRPr="009F6D1E">
              <w:rPr>
                <w:rFonts w:cs="Times New Roman"/>
              </w:rPr>
              <w:t xml:space="preserve"> Икономически достъпна и чиста енергия;</w:t>
            </w:r>
          </w:p>
          <w:p w14:paraId="2F45E8E8"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9:</w:t>
            </w:r>
            <w:r w:rsidRPr="009F6D1E">
              <w:rPr>
                <w:rFonts w:cs="Times New Roman"/>
              </w:rPr>
              <w:t xml:space="preserve"> Промишленост, иновации и инфраструктура;</w:t>
            </w:r>
          </w:p>
          <w:p w14:paraId="2804D08B"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lastRenderedPageBreak/>
              <w:t>Цел 11:</w:t>
            </w:r>
            <w:r w:rsidRPr="009F6D1E">
              <w:rPr>
                <w:rFonts w:cs="Times New Roman"/>
              </w:rPr>
              <w:t xml:space="preserve"> Устойчиви градове и общности </w:t>
            </w:r>
          </w:p>
          <w:p w14:paraId="5BC12A2E"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12:</w:t>
            </w:r>
            <w:r w:rsidRPr="009F6D1E">
              <w:rPr>
                <w:rFonts w:cs="Times New Roman"/>
              </w:rPr>
              <w:t xml:space="preserve"> Отговорно потребление и производство </w:t>
            </w:r>
          </w:p>
          <w:p w14:paraId="1C7BFDB5"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13:</w:t>
            </w:r>
            <w:r w:rsidRPr="009F6D1E">
              <w:rPr>
                <w:rFonts w:cs="Times New Roman"/>
              </w:rPr>
              <w:t xml:space="preserve"> Дейности във връзка с климата </w:t>
            </w:r>
          </w:p>
          <w:p w14:paraId="5BC0B7CF" w14:textId="77777777" w:rsidR="00345ED6" w:rsidRPr="009F6D1E" w:rsidRDefault="00345ED6" w:rsidP="0084747F">
            <w:pPr>
              <w:widowControl w:val="0"/>
              <w:spacing w:after="60" w:line="264" w:lineRule="auto"/>
              <w:ind w:firstLine="851"/>
              <w:jc w:val="both"/>
              <w:rPr>
                <w:rFonts w:cs="Times New Roman"/>
              </w:rPr>
            </w:pPr>
            <w:r w:rsidRPr="009F6D1E">
              <w:rPr>
                <w:rFonts w:cs="Times New Roman"/>
                <w:b/>
                <w:bCs/>
              </w:rPr>
              <w:t>Цел 14:</w:t>
            </w:r>
            <w:r w:rsidRPr="009F6D1E">
              <w:rPr>
                <w:rFonts w:cs="Times New Roman"/>
              </w:rPr>
              <w:t xml:space="preserve"> Живот под водата </w:t>
            </w:r>
          </w:p>
          <w:p w14:paraId="0B585CBD" w14:textId="77777777" w:rsidR="00F21FE8" w:rsidRPr="009F6D1E" w:rsidRDefault="00345ED6" w:rsidP="0084747F">
            <w:pPr>
              <w:widowControl w:val="0"/>
              <w:spacing w:after="60" w:line="264" w:lineRule="auto"/>
              <w:contextualSpacing/>
              <w:jc w:val="both"/>
              <w:rPr>
                <w:rFonts w:cs="Times New Roman"/>
              </w:rPr>
            </w:pPr>
            <w:r w:rsidRPr="009F6D1E">
              <w:rPr>
                <w:rFonts w:cs="Times New Roman"/>
                <w:b/>
                <w:bCs/>
              </w:rPr>
              <w:t xml:space="preserve">              Цел 15</w:t>
            </w:r>
            <w:r w:rsidRPr="009F6D1E">
              <w:rPr>
                <w:rFonts w:cs="Times New Roman"/>
              </w:rPr>
              <w:t>: Живот на земята</w:t>
            </w:r>
          </w:p>
        </w:tc>
        <w:tc>
          <w:tcPr>
            <w:tcW w:w="7139" w:type="dxa"/>
          </w:tcPr>
          <w:p w14:paraId="57EA7EA6" w14:textId="77777777" w:rsidR="00345ED6" w:rsidRPr="009F6D1E" w:rsidRDefault="00CD4045" w:rsidP="0084747F">
            <w:pPr>
              <w:widowControl w:val="0"/>
              <w:spacing w:after="60" w:line="264" w:lineRule="auto"/>
              <w:contextualSpacing/>
              <w:jc w:val="both"/>
              <w:rPr>
                <w:rFonts w:eastAsia="Calibri" w:cs="Times New Roman"/>
              </w:rPr>
            </w:pPr>
            <w:r w:rsidRPr="009F6D1E">
              <w:rPr>
                <w:rFonts w:eastAsia="Calibri" w:cs="Times New Roman"/>
              </w:rPr>
              <w:lastRenderedPageBreak/>
              <w:t>СПРЗСР</w:t>
            </w:r>
            <w:r w:rsidR="00345ED6" w:rsidRPr="009F6D1E">
              <w:rPr>
                <w:rFonts w:eastAsia="Calibri" w:cs="Times New Roman"/>
              </w:rPr>
              <w:t xml:space="preserve"> има отношение и принос към всички посочени цели, в т.ч.: </w:t>
            </w:r>
          </w:p>
          <w:p w14:paraId="5A0984CA" w14:textId="77777777" w:rsidR="007D2879" w:rsidRPr="009F6D1E" w:rsidRDefault="00345ED6" w:rsidP="0084747F">
            <w:pPr>
              <w:widowControl w:val="0"/>
              <w:spacing w:after="60" w:line="264" w:lineRule="auto"/>
              <w:contextualSpacing/>
              <w:jc w:val="both"/>
              <w:rPr>
                <w:rFonts w:eastAsia="Calibri" w:cs="Times New Roman"/>
              </w:rPr>
            </w:pPr>
            <w:r w:rsidRPr="009F6D1E">
              <w:rPr>
                <w:rFonts w:eastAsia="Calibri" w:cs="Times New Roman"/>
              </w:rPr>
              <w:t>По Цели 3</w:t>
            </w:r>
            <w:r w:rsidR="007D2879" w:rsidRPr="009F6D1E">
              <w:rPr>
                <w:rFonts w:eastAsia="Calibri" w:cs="Times New Roman"/>
              </w:rPr>
              <w:t>, 6</w:t>
            </w:r>
            <w:r w:rsidRPr="009F6D1E">
              <w:rPr>
                <w:rFonts w:eastAsia="Calibri" w:cs="Times New Roman"/>
              </w:rPr>
              <w:t xml:space="preserve"> и 11 комплексен принос имат всички предвиждания на </w:t>
            </w:r>
            <w:r w:rsidR="00CD4045" w:rsidRPr="009F6D1E">
              <w:rPr>
                <w:rFonts w:eastAsia="Calibri" w:cs="Times New Roman"/>
              </w:rPr>
              <w:t>СПРЗСР</w:t>
            </w:r>
            <w:r w:rsidRPr="009F6D1E">
              <w:rPr>
                <w:rFonts w:eastAsia="Calibri" w:cs="Times New Roman"/>
              </w:rPr>
              <w:t>,</w:t>
            </w:r>
            <w:r w:rsidR="007D2879" w:rsidRPr="009F6D1E">
              <w:rPr>
                <w:rFonts w:eastAsia="Calibri" w:cs="Times New Roman"/>
              </w:rPr>
              <w:t xml:space="preserve"> и по-специално</w:t>
            </w:r>
            <w:r w:rsidRPr="009F6D1E">
              <w:rPr>
                <w:rFonts w:eastAsia="Calibri" w:cs="Times New Roman"/>
              </w:rPr>
              <w:t xml:space="preserve"> </w:t>
            </w:r>
            <w:r w:rsidR="007D2879" w:rsidRPr="009F6D1E">
              <w:rPr>
                <w:rFonts w:cs="Times New Roman"/>
                <w:i/>
                <w:iCs/>
              </w:rPr>
              <w:t>Специфична цел № 8:</w:t>
            </w:r>
            <w:r w:rsidR="007D2879" w:rsidRPr="009F6D1E">
              <w:rPr>
                <w:rFonts w:cs="Times New Roman"/>
              </w:rPr>
              <w:t xml:space="preserve"> </w:t>
            </w:r>
            <w:r w:rsidR="00877BED" w:rsidRPr="009F6D1E">
              <w:rPr>
                <w:rFonts w:cs="Times New Roman"/>
                <w:i/>
                <w:iCs/>
              </w:rPr>
              <w:t xml:space="preserve">Специфична цел № 8: 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 </w:t>
            </w:r>
            <w:r w:rsidR="007D2879" w:rsidRPr="009F6D1E">
              <w:rPr>
                <w:rFonts w:cs="Times New Roman"/>
              </w:rPr>
              <w:t>и интервенциите към нея</w:t>
            </w:r>
            <w:r w:rsidR="007D2879" w:rsidRPr="009F6D1E">
              <w:rPr>
                <w:rFonts w:eastAsia="Calibri" w:cs="Times New Roman"/>
              </w:rPr>
              <w:t xml:space="preserve"> </w:t>
            </w:r>
          </w:p>
          <w:p w14:paraId="3A381519" w14:textId="77777777" w:rsidR="00D33F23" w:rsidRPr="009F6D1E" w:rsidRDefault="00D33F23" w:rsidP="0084747F">
            <w:pPr>
              <w:widowControl w:val="0"/>
              <w:spacing w:after="60" w:line="264" w:lineRule="auto"/>
              <w:jc w:val="both"/>
              <w:rPr>
                <w:rFonts w:eastAsia="Calibri" w:cs="Times New Roman"/>
                <w:bCs/>
                <w:lang w:eastAsia="en-GB" w:bidi="bg-BG"/>
              </w:rPr>
            </w:pPr>
            <w:r w:rsidRPr="009F6D1E">
              <w:rPr>
                <w:rFonts w:cs="Times New Roman"/>
              </w:rPr>
              <w:t>Пряко отношение и принос към Цел</w:t>
            </w:r>
            <w:r w:rsidR="00224411" w:rsidRPr="009F6D1E">
              <w:rPr>
                <w:rFonts w:cs="Times New Roman"/>
              </w:rPr>
              <w:t>и</w:t>
            </w:r>
            <w:r w:rsidRPr="009F6D1E">
              <w:rPr>
                <w:rFonts w:cs="Times New Roman"/>
              </w:rPr>
              <w:t xml:space="preserve"> 7</w:t>
            </w:r>
            <w:r w:rsidR="00224411" w:rsidRPr="009F6D1E">
              <w:rPr>
                <w:rFonts w:cs="Times New Roman"/>
              </w:rPr>
              <w:t xml:space="preserve"> и 13</w:t>
            </w:r>
            <w:r w:rsidRPr="009F6D1E">
              <w:rPr>
                <w:rFonts w:cs="Times New Roman"/>
              </w:rPr>
              <w:t xml:space="preserve"> има </w:t>
            </w:r>
            <w:r w:rsidR="00877BED" w:rsidRPr="009F6D1E">
              <w:rPr>
                <w:rFonts w:eastAsia="Times New Roman" w:cs="Times New Roman"/>
                <w:bCs/>
                <w:i/>
                <w:iCs/>
              </w:rPr>
              <w:t xml:space="preserve">Специфична цел </w:t>
            </w:r>
            <w:r w:rsidR="00877BED" w:rsidRPr="009F6D1E">
              <w:rPr>
                <w:rFonts w:eastAsia="Times New Roman" w:cs="Times New Roman"/>
                <w:bCs/>
                <w:i/>
                <w:iCs/>
              </w:rPr>
              <w:lastRenderedPageBreak/>
              <w:t>№4: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Pr="009F6D1E">
              <w:rPr>
                <w:rFonts w:eastAsia="Times New Roman" w:cs="Times New Roman"/>
                <w:i/>
                <w:iCs/>
                <w:lang w:eastAsia="bg-BG" w:bidi="bg-BG"/>
              </w:rPr>
              <w:t>;</w:t>
            </w:r>
            <w:r w:rsidRPr="009F6D1E">
              <w:rPr>
                <w:rFonts w:eastAsia="Calibri" w:cs="Times New Roman"/>
                <w:bCs/>
                <w:lang w:eastAsia="en-GB" w:bidi="bg-BG"/>
              </w:rPr>
              <w:t xml:space="preserve"> </w:t>
            </w:r>
          </w:p>
          <w:p w14:paraId="148E2026" w14:textId="77777777" w:rsidR="00D33F23" w:rsidRPr="009F6D1E" w:rsidRDefault="00D33F23" w:rsidP="0084747F">
            <w:pPr>
              <w:widowControl w:val="0"/>
              <w:spacing w:after="60" w:line="264" w:lineRule="auto"/>
              <w:jc w:val="both"/>
              <w:rPr>
                <w:rFonts w:eastAsia="Calibri" w:cs="Times New Roman"/>
                <w:bCs/>
                <w:lang w:eastAsia="en-GB" w:bidi="bg-BG"/>
              </w:rPr>
            </w:pPr>
            <w:r w:rsidRPr="009F6D1E">
              <w:rPr>
                <w:rFonts w:eastAsia="Calibri" w:cs="Times New Roman"/>
                <w:bCs/>
                <w:lang w:eastAsia="en-GB" w:bidi="bg-BG"/>
              </w:rPr>
              <w:t xml:space="preserve">Когато кандидатите за инвестиране са млади земеделски или горски стопани, могат да получат подкрепа и чрез интервенцията за </w:t>
            </w:r>
            <w:r w:rsidRPr="009F6D1E">
              <w:rPr>
                <w:rFonts w:eastAsia="Calibri" w:cs="Times New Roman"/>
                <w:i/>
                <w:lang w:eastAsia="en-GB" w:bidi="bg-BG"/>
              </w:rPr>
              <w:t>стартиране на стопанска дейност и разнообразяване на дейностите</w:t>
            </w:r>
            <w:r w:rsidRPr="009F6D1E">
              <w:rPr>
                <w:rFonts w:eastAsia="Calibri" w:cs="Times New Roman"/>
                <w:lang w:eastAsia="en-GB" w:bidi="bg-BG"/>
              </w:rPr>
              <w:t>, а</w:t>
            </w:r>
            <w:r w:rsidRPr="009F6D1E">
              <w:rPr>
                <w:rFonts w:eastAsia="Calibri" w:cs="Times New Roman"/>
                <w:bCs/>
                <w:lang w:eastAsia="en-GB" w:bidi="bg-BG"/>
              </w:rPr>
              <w:t xml:space="preserve">ко размерът на инвестицията е в границите на подкрепата по мярката за млади земеделски стопани. Биомасата, която селското стопанство осигурява за храна, фуражи, производство на </w:t>
            </w:r>
            <w:proofErr w:type="spellStart"/>
            <w:r w:rsidRPr="009F6D1E">
              <w:rPr>
                <w:rFonts w:eastAsia="Calibri" w:cs="Times New Roman"/>
                <w:bCs/>
                <w:lang w:eastAsia="en-GB" w:bidi="bg-BG"/>
              </w:rPr>
              <w:t>биобазирани</w:t>
            </w:r>
            <w:proofErr w:type="spellEnd"/>
            <w:r w:rsidRPr="009F6D1E">
              <w:rPr>
                <w:rFonts w:eastAsia="Calibri" w:cs="Times New Roman"/>
                <w:bCs/>
                <w:lang w:eastAsia="en-GB" w:bidi="bg-BG"/>
              </w:rPr>
              <w:t xml:space="preserve"> продукти и енергия, има два източника: основния добив от земеделските култури (икономическа биомаса) и остатъците (твърдите отпадъци) след прибирането на реколтата. При определени условия биогазът може да се използва и като транспортно гориво. Има пряка връзка с Директива (ЕС) 2018/2001 за насърчаване използването на енергия от възобновяеми източници, както и с Интегриран национален план за енергетиката и климата на Република България за 2020-2030 (ПИНПЕКРБ).</w:t>
            </w:r>
          </w:p>
          <w:p w14:paraId="2B7410E5" w14:textId="77777777" w:rsidR="00D33F23" w:rsidRPr="009F6D1E" w:rsidRDefault="00D33F23" w:rsidP="0084747F">
            <w:pPr>
              <w:widowControl w:val="0"/>
              <w:spacing w:after="60" w:line="264" w:lineRule="auto"/>
              <w:jc w:val="both"/>
              <w:rPr>
                <w:rFonts w:eastAsia="Times New Roman" w:cs="Times New Roman"/>
                <w:i/>
                <w:iCs/>
                <w:u w:val="single"/>
                <w:lang w:eastAsia="bg-BG" w:bidi="bg-BG"/>
              </w:rPr>
            </w:pPr>
            <w:r w:rsidRPr="009F6D1E">
              <w:rPr>
                <w:rFonts w:cs="Times New Roman"/>
              </w:rPr>
              <w:t>Пряко отношение и принос към Цел 9, има</w:t>
            </w:r>
            <w:r w:rsidRPr="009F6D1E">
              <w:rPr>
                <w:rFonts w:eastAsia="Times New Roman" w:cs="Times New Roman"/>
                <w:lang w:eastAsia="bg-BG" w:bidi="bg-BG"/>
              </w:rPr>
              <w:t>т:</w:t>
            </w:r>
          </w:p>
          <w:p w14:paraId="1EB8F8C9" w14:textId="77777777" w:rsidR="00D33F23" w:rsidRPr="009F6D1E" w:rsidRDefault="00D33F23"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877BED" w:rsidRPr="009F6D1E">
              <w:rPr>
                <w:rFonts w:cs="Times New Roman"/>
              </w:rPr>
              <w:t xml:space="preserve"> </w:t>
            </w:r>
            <w:r w:rsidR="00877BED" w:rsidRPr="009F6D1E">
              <w:rPr>
                <w:rFonts w:cs="Times New Roman"/>
                <w:i/>
              </w:rPr>
              <w:t xml:space="preserve">П.2.6. Модернизация и </w:t>
            </w:r>
            <w:r w:rsidR="00877BED" w:rsidRPr="009F6D1E">
              <w:rPr>
                <w:rFonts w:cs="Times New Roman"/>
                <w:i/>
              </w:rPr>
              <w:lastRenderedPageBreak/>
              <w:t xml:space="preserve">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392CF775" w14:textId="77777777" w:rsidR="00D33F23" w:rsidRPr="009F6D1E" w:rsidRDefault="00D33F23"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877BED" w:rsidRPr="009F6D1E">
              <w:rPr>
                <w:rFonts w:cs="Times New Roman"/>
              </w:rPr>
              <w:t xml:space="preserve"> </w:t>
            </w:r>
            <w:r w:rsidR="00877BED"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0D1E2570" w14:textId="77777777" w:rsidR="00224411" w:rsidRPr="009F6D1E" w:rsidRDefault="00224411" w:rsidP="0084747F">
            <w:pPr>
              <w:widowControl w:val="0"/>
              <w:spacing w:after="60" w:line="264" w:lineRule="auto"/>
              <w:jc w:val="both"/>
              <w:rPr>
                <w:rFonts w:eastAsia="Times New Roman" w:cs="Times New Roman"/>
                <w:i/>
                <w:iCs/>
                <w:u w:val="single"/>
                <w:lang w:eastAsia="bg-BG" w:bidi="bg-BG"/>
              </w:rPr>
            </w:pPr>
            <w:r w:rsidRPr="009F6D1E">
              <w:rPr>
                <w:rFonts w:cs="Times New Roman"/>
              </w:rPr>
              <w:t>Пряко отношение и принос към Цел 12, има</w:t>
            </w:r>
            <w:r w:rsidRPr="009F6D1E">
              <w:rPr>
                <w:rFonts w:eastAsia="Times New Roman" w:cs="Times New Roman"/>
                <w:lang w:eastAsia="bg-BG" w:bidi="bg-BG"/>
              </w:rPr>
              <w:t>т:</w:t>
            </w:r>
          </w:p>
          <w:p w14:paraId="588EFCAC" w14:textId="77777777" w:rsidR="00224411" w:rsidRPr="009F6D1E" w:rsidRDefault="00224411"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877BED" w:rsidRPr="009F6D1E">
              <w:rPr>
                <w:rFonts w:cs="Times New Roman"/>
              </w:rPr>
              <w:t xml:space="preserve"> </w:t>
            </w:r>
            <w:r w:rsidR="00877BED"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00803B2A" w14:textId="77777777" w:rsidR="00224411" w:rsidRPr="009F6D1E" w:rsidRDefault="00224411"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877BED" w:rsidRPr="009F6D1E">
              <w:rPr>
                <w:rFonts w:cs="Times New Roman"/>
              </w:rPr>
              <w:t xml:space="preserve"> </w:t>
            </w:r>
            <w:r w:rsidR="00877BED"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526A6438" w14:textId="77777777" w:rsidR="00F21FE8" w:rsidRPr="009F6D1E" w:rsidRDefault="00345ED6" w:rsidP="0084747F">
            <w:pPr>
              <w:widowControl w:val="0"/>
              <w:spacing w:after="60" w:line="264" w:lineRule="auto"/>
              <w:contextualSpacing/>
              <w:jc w:val="both"/>
              <w:rPr>
                <w:rFonts w:eastAsia="Calibri" w:cs="Times New Roman"/>
              </w:rPr>
            </w:pPr>
            <w:r w:rsidRPr="009F6D1E">
              <w:rPr>
                <w:rFonts w:eastAsia="Calibri" w:cs="Times New Roman"/>
              </w:rPr>
              <w:t xml:space="preserve">По цели 14 и 15 от изпълнение на </w:t>
            </w:r>
            <w:r w:rsidR="00224411" w:rsidRPr="009F6D1E">
              <w:rPr>
                <w:rFonts w:eastAsia="Calibri" w:cs="Times New Roman"/>
              </w:rPr>
              <w:t>потребностите/интервенциите</w:t>
            </w:r>
            <w:r w:rsidRPr="009F6D1E">
              <w:rPr>
                <w:rFonts w:eastAsia="Calibri" w:cs="Times New Roman"/>
              </w:rPr>
              <w:t xml:space="preserve"> от </w:t>
            </w:r>
            <w:r w:rsidR="00CD4045" w:rsidRPr="009F6D1E">
              <w:rPr>
                <w:rFonts w:eastAsia="Calibri" w:cs="Times New Roman"/>
              </w:rPr>
              <w:t>СПРЗСР</w:t>
            </w:r>
            <w:r w:rsidRPr="009F6D1E">
              <w:rPr>
                <w:rFonts w:eastAsia="Calibri" w:cs="Times New Roman"/>
              </w:rPr>
              <w:t xml:space="preserve"> ще имат като цяло положителен принос, предвид </w:t>
            </w:r>
            <w:r w:rsidRPr="009F6D1E">
              <w:rPr>
                <w:rFonts w:eastAsia="Calibri" w:cs="Times New Roman"/>
              </w:rPr>
              <w:lastRenderedPageBreak/>
              <w:t>подобряване на състоянието на околната среда като цяло в резултат на прилагане на предвижданията им.</w:t>
            </w:r>
          </w:p>
        </w:tc>
      </w:tr>
      <w:tr w:rsidR="00C301B6" w:rsidRPr="009F6D1E" w14:paraId="28CA42CE" w14:textId="77777777" w:rsidTr="0078017C">
        <w:tc>
          <w:tcPr>
            <w:tcW w:w="7139" w:type="dxa"/>
          </w:tcPr>
          <w:p w14:paraId="74BE04D5" w14:textId="77777777" w:rsidR="00F54523" w:rsidRPr="009F6D1E" w:rsidRDefault="00F54523" w:rsidP="0084747F">
            <w:pPr>
              <w:widowControl w:val="0"/>
              <w:autoSpaceDE w:val="0"/>
              <w:autoSpaceDN w:val="0"/>
              <w:adjustRightInd w:val="0"/>
              <w:spacing w:after="60" w:line="264" w:lineRule="auto"/>
              <w:jc w:val="both"/>
              <w:rPr>
                <w:rFonts w:cs="Times New Roman"/>
                <w:b/>
                <w:bCs/>
                <w:i/>
                <w:iCs/>
              </w:rPr>
            </w:pPr>
            <w:r w:rsidRPr="009F6D1E">
              <w:rPr>
                <w:rFonts w:cs="Times New Roman"/>
                <w:b/>
                <w:bCs/>
                <w:i/>
                <w:iCs/>
              </w:rPr>
              <w:lastRenderedPageBreak/>
              <w:t>Предложение за Решение на Европейския парламент и на Съвета относно Обща програма на Европейския съюз за действие за околна среда до 2030 г. (Осма програма за действие на ЕС за околната среда до 2030 г.) (COM(2020)652)</w:t>
            </w:r>
          </w:p>
          <w:p w14:paraId="38CC42BC" w14:textId="77777777" w:rsidR="00F54523" w:rsidRPr="009F6D1E" w:rsidRDefault="00F54523" w:rsidP="0084747F">
            <w:pPr>
              <w:widowControl w:val="0"/>
              <w:autoSpaceDE w:val="0"/>
              <w:autoSpaceDN w:val="0"/>
              <w:adjustRightInd w:val="0"/>
              <w:spacing w:after="60" w:line="264" w:lineRule="auto"/>
              <w:jc w:val="both"/>
              <w:rPr>
                <w:rFonts w:cs="Times New Roman"/>
                <w:u w:val="single"/>
              </w:rPr>
            </w:pPr>
            <w:r w:rsidRPr="009F6D1E">
              <w:rPr>
                <w:rFonts w:cs="Times New Roman"/>
                <w:u w:val="single"/>
              </w:rPr>
              <w:t xml:space="preserve">Тематични приоритетни цели: </w:t>
            </w:r>
          </w:p>
          <w:p w14:paraId="0F28FABF" w14:textId="77777777" w:rsidR="00F54523" w:rsidRPr="009F6D1E" w:rsidRDefault="00F54523" w:rsidP="0084747F">
            <w:pPr>
              <w:widowControl w:val="0"/>
              <w:autoSpaceDE w:val="0"/>
              <w:autoSpaceDN w:val="0"/>
              <w:adjustRightInd w:val="0"/>
              <w:spacing w:after="60" w:line="264" w:lineRule="auto"/>
              <w:jc w:val="both"/>
              <w:rPr>
                <w:rFonts w:cs="Times New Roman"/>
              </w:rPr>
            </w:pPr>
            <w:r w:rsidRPr="009F6D1E">
              <w:rPr>
                <w:rFonts w:cs="Times New Roman"/>
              </w:rPr>
              <w:t>а)</w:t>
            </w:r>
            <w:r w:rsidRPr="009F6D1E">
              <w:rPr>
                <w:rFonts w:cs="Times New Roman"/>
              </w:rPr>
              <w:tab/>
              <w:t xml:space="preserve">необратимо и постепенно намаляване на емисиите на парникови газове и увеличаване на поглъщанията от естествени или други </w:t>
            </w:r>
            <w:proofErr w:type="spellStart"/>
            <w:r w:rsidRPr="009F6D1E">
              <w:rPr>
                <w:rFonts w:cs="Times New Roman"/>
              </w:rPr>
              <w:t>поглътители</w:t>
            </w:r>
            <w:proofErr w:type="spellEnd"/>
            <w:r w:rsidRPr="009F6D1E">
              <w:rPr>
                <w:rFonts w:cs="Times New Roman"/>
              </w:rPr>
              <w:t xml:space="preserve"> в Съюза, за да се постигне целта за намаляване на емисиите на парникови газове до 2030 г. и неутралност по отношение на климата до 2050 г., определени в Регламент (EС) .../...</w:t>
            </w:r>
          </w:p>
          <w:p w14:paraId="322819B3" w14:textId="77777777" w:rsidR="00F54523" w:rsidRPr="009F6D1E" w:rsidRDefault="00F54523" w:rsidP="0084747F">
            <w:pPr>
              <w:widowControl w:val="0"/>
              <w:autoSpaceDE w:val="0"/>
              <w:autoSpaceDN w:val="0"/>
              <w:adjustRightInd w:val="0"/>
              <w:spacing w:after="60" w:line="264" w:lineRule="auto"/>
              <w:jc w:val="both"/>
              <w:rPr>
                <w:rFonts w:cs="Times New Roman"/>
              </w:rPr>
            </w:pPr>
            <w:r w:rsidRPr="009F6D1E">
              <w:rPr>
                <w:rFonts w:cs="Times New Roman"/>
              </w:rPr>
              <w:t>б)</w:t>
            </w:r>
            <w:r w:rsidRPr="009F6D1E">
              <w:rPr>
                <w:rFonts w:cs="Times New Roman"/>
              </w:rPr>
              <w:tab/>
              <w:t>постоянен напредък в повишаването на капацитета за адаптиране, укрепването на</w:t>
            </w:r>
            <w:r w:rsidRPr="009F6D1E">
              <w:rPr>
                <w:rFonts w:cs="Times New Roman"/>
                <w:b/>
                <w:bCs/>
                <w:i/>
                <w:iCs/>
              </w:rPr>
              <w:t xml:space="preserve"> </w:t>
            </w:r>
            <w:r w:rsidRPr="009F6D1E">
              <w:rPr>
                <w:rFonts w:cs="Times New Roman"/>
              </w:rPr>
              <w:t>устойчивостта и намаляването на уязвимостта към изменението на климата;</w:t>
            </w:r>
          </w:p>
          <w:p w14:paraId="476EB73A" w14:textId="77777777" w:rsidR="00F54523" w:rsidRPr="009F6D1E" w:rsidRDefault="00F54523" w:rsidP="0084747F">
            <w:pPr>
              <w:widowControl w:val="0"/>
              <w:autoSpaceDE w:val="0"/>
              <w:autoSpaceDN w:val="0"/>
              <w:adjustRightInd w:val="0"/>
              <w:spacing w:after="60" w:line="264" w:lineRule="auto"/>
              <w:jc w:val="both"/>
              <w:rPr>
                <w:rFonts w:cs="Times New Roman"/>
              </w:rPr>
            </w:pPr>
            <w:r w:rsidRPr="009F6D1E">
              <w:rPr>
                <w:rFonts w:cs="Times New Roman"/>
              </w:rPr>
              <w:t>в)</w:t>
            </w:r>
            <w:r w:rsidRPr="009F6D1E">
              <w:rPr>
                <w:rFonts w:cs="Times New Roman"/>
              </w:rPr>
              <w:tab/>
              <w:t>напредък към модел на растеж с възстановяване, чрез който на планетата се връща обратно повече, отколкото се взема, отделяне на икономическия растеж от използването на ресурси и влошаването на околната среда и ускоряване на прехода към кръгова икономика;</w:t>
            </w:r>
          </w:p>
          <w:p w14:paraId="7D7805AE" w14:textId="77777777" w:rsidR="00F54523" w:rsidRPr="009F6D1E" w:rsidRDefault="00F54523" w:rsidP="0084747F">
            <w:pPr>
              <w:widowControl w:val="0"/>
              <w:autoSpaceDE w:val="0"/>
              <w:autoSpaceDN w:val="0"/>
              <w:adjustRightInd w:val="0"/>
              <w:spacing w:after="60" w:line="264" w:lineRule="auto"/>
              <w:jc w:val="both"/>
              <w:rPr>
                <w:rFonts w:cs="Times New Roman"/>
              </w:rPr>
            </w:pPr>
            <w:r w:rsidRPr="009F6D1E">
              <w:rPr>
                <w:rFonts w:cs="Times New Roman"/>
              </w:rPr>
              <w:lastRenderedPageBreak/>
              <w:t>г)</w:t>
            </w:r>
            <w:r w:rsidRPr="009F6D1E">
              <w:rPr>
                <w:rFonts w:cs="Times New Roman"/>
              </w:rPr>
              <w:tab/>
              <w:t>амбиция за нулево замърсяване за нетоксична околна среда, включително въздуха, водата и почвите, както и защита на здравето и благоденствието на гражданите от свързани с околната среда рискове и въздействия;</w:t>
            </w:r>
          </w:p>
          <w:p w14:paraId="007EEDB5" w14:textId="77777777" w:rsidR="00F54523" w:rsidRPr="009F6D1E" w:rsidRDefault="00F54523" w:rsidP="0084747F">
            <w:pPr>
              <w:widowControl w:val="0"/>
              <w:autoSpaceDE w:val="0"/>
              <w:autoSpaceDN w:val="0"/>
              <w:adjustRightInd w:val="0"/>
              <w:spacing w:after="60" w:line="264" w:lineRule="auto"/>
              <w:jc w:val="both"/>
              <w:rPr>
                <w:rFonts w:cs="Times New Roman"/>
              </w:rPr>
            </w:pPr>
            <w:r w:rsidRPr="009F6D1E">
              <w:rPr>
                <w:rFonts w:cs="Times New Roman"/>
              </w:rPr>
              <w:t>д)</w:t>
            </w:r>
            <w:r w:rsidRPr="009F6D1E">
              <w:rPr>
                <w:rFonts w:cs="Times New Roman"/>
              </w:rPr>
              <w:tab/>
              <w:t>защита, опазване и възстановяване на биологичното разнообразие и увеличаване на природния капитал, по-специално по отношение на въздуха, водата, почвите и горите, прясната вода, влажните зони и морските екосистеми;</w:t>
            </w:r>
          </w:p>
          <w:p w14:paraId="2071F838" w14:textId="77777777" w:rsidR="00C301B6" w:rsidRPr="009F6D1E" w:rsidRDefault="00F54523" w:rsidP="0084747F">
            <w:pPr>
              <w:widowControl w:val="0"/>
              <w:spacing w:after="60" w:line="264" w:lineRule="auto"/>
              <w:contextualSpacing/>
              <w:jc w:val="both"/>
              <w:rPr>
                <w:rFonts w:eastAsia="Calibri" w:cs="Times New Roman"/>
                <w:b/>
                <w:bCs/>
                <w:i/>
                <w:iCs/>
              </w:rPr>
            </w:pPr>
            <w:r w:rsidRPr="009F6D1E">
              <w:rPr>
                <w:rFonts w:cs="Times New Roman"/>
              </w:rPr>
              <w:t>е)</w:t>
            </w:r>
            <w:r w:rsidRPr="009F6D1E">
              <w:rPr>
                <w:rFonts w:cs="Times New Roman"/>
              </w:rPr>
              <w:tab/>
              <w:t>насърчаване на екологичната устойчивост и намаляване на основните видове натиск върху околната среда и климата, свързани с производството и потреблението, по-специално в областта на енергетиката, промишленото развитие, сградите и инфраструктурата, мобилността и продоволствената система.</w:t>
            </w:r>
          </w:p>
        </w:tc>
        <w:tc>
          <w:tcPr>
            <w:tcW w:w="7139" w:type="dxa"/>
          </w:tcPr>
          <w:p w14:paraId="4F4C506A" w14:textId="77777777" w:rsidR="00FE4847" w:rsidRPr="009F6D1E" w:rsidRDefault="00FE4847" w:rsidP="0084747F">
            <w:pPr>
              <w:widowControl w:val="0"/>
              <w:spacing w:after="60" w:line="264" w:lineRule="auto"/>
              <w:jc w:val="both"/>
              <w:rPr>
                <w:rFonts w:cs="Times New Roman"/>
              </w:rPr>
            </w:pPr>
            <w:r w:rsidRPr="009F6D1E">
              <w:rPr>
                <w:rFonts w:cs="Times New Roman"/>
              </w:rPr>
              <w:lastRenderedPageBreak/>
              <w:t>Пряко отношение и принос към Тематични цели а)</w:t>
            </w:r>
            <w:r w:rsidR="0053557A" w:rsidRPr="009F6D1E">
              <w:rPr>
                <w:rFonts w:cs="Times New Roman"/>
              </w:rPr>
              <w:t xml:space="preserve">, </w:t>
            </w:r>
            <w:r w:rsidRPr="009F6D1E">
              <w:rPr>
                <w:rFonts w:cs="Times New Roman"/>
              </w:rPr>
              <w:t>б)</w:t>
            </w:r>
            <w:r w:rsidR="0053557A" w:rsidRPr="009F6D1E">
              <w:rPr>
                <w:rFonts w:cs="Times New Roman"/>
              </w:rPr>
              <w:t xml:space="preserve"> и е)</w:t>
            </w:r>
            <w:r w:rsidRPr="009F6D1E">
              <w:rPr>
                <w:rFonts w:cs="Times New Roman"/>
              </w:rPr>
              <w:t xml:space="preserve"> има:</w:t>
            </w:r>
          </w:p>
          <w:p w14:paraId="3DB5D035" w14:textId="77777777" w:rsidR="00FE4847" w:rsidRPr="009F6D1E" w:rsidRDefault="00FE4847" w:rsidP="0084747F">
            <w:pPr>
              <w:widowControl w:val="0"/>
              <w:spacing w:after="60" w:line="264" w:lineRule="auto"/>
              <w:jc w:val="both"/>
              <w:rPr>
                <w:rFonts w:eastAsia="Calibri" w:cs="Times New Roman"/>
                <w:bCs/>
                <w:lang w:eastAsia="en-GB" w:bidi="bg-BG"/>
              </w:rPr>
            </w:pPr>
            <w:r w:rsidRPr="009F6D1E">
              <w:rPr>
                <w:rFonts w:eastAsia="Times New Roman" w:cs="Times New Roman"/>
                <w:bCs/>
                <w:i/>
                <w:iCs/>
              </w:rPr>
              <w:t>Специфична цел 4</w:t>
            </w:r>
            <w:r w:rsidRPr="009F6D1E">
              <w:rPr>
                <w:rFonts w:eastAsia="Times New Roman" w:cs="Times New Roman"/>
                <w:b/>
                <w:i/>
                <w:iCs/>
              </w:rPr>
              <w:t>:</w:t>
            </w:r>
            <w:r w:rsidRPr="009F6D1E">
              <w:rPr>
                <w:rFonts w:eastAsia="Times New Roman" w:cs="Times New Roman"/>
                <w:i/>
                <w:iCs/>
              </w:rPr>
              <w:t xml:space="preserve"> </w:t>
            </w:r>
            <w:r w:rsidR="00E72855" w:rsidRPr="009F6D1E">
              <w:rPr>
                <w:rFonts w:eastAsia="Times New Roman" w:cs="Times New Roman"/>
                <w:i/>
                <w:iCs/>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Pr="009F6D1E">
              <w:rPr>
                <w:rFonts w:eastAsia="Times New Roman" w:cs="Times New Roman"/>
                <w:i/>
                <w:iCs/>
                <w:lang w:eastAsia="bg-BG" w:bidi="bg-BG"/>
              </w:rPr>
              <w:t>;</w:t>
            </w:r>
            <w:r w:rsidRPr="009F6D1E">
              <w:rPr>
                <w:rFonts w:eastAsia="Calibri" w:cs="Times New Roman"/>
                <w:bCs/>
                <w:lang w:eastAsia="en-GB" w:bidi="bg-BG"/>
              </w:rPr>
              <w:t xml:space="preserve"> </w:t>
            </w:r>
          </w:p>
          <w:p w14:paraId="03014D63" w14:textId="77777777" w:rsidR="00FE4847" w:rsidRPr="009F6D1E" w:rsidRDefault="00FE4847" w:rsidP="0084747F">
            <w:pPr>
              <w:widowControl w:val="0"/>
              <w:spacing w:after="60" w:line="264" w:lineRule="auto"/>
              <w:jc w:val="both"/>
              <w:rPr>
                <w:rFonts w:eastAsia="Calibri" w:cs="Times New Roman"/>
                <w:bCs/>
                <w:lang w:eastAsia="en-GB" w:bidi="bg-BG"/>
              </w:rPr>
            </w:pPr>
            <w:r w:rsidRPr="009F6D1E">
              <w:rPr>
                <w:rFonts w:eastAsia="Calibri" w:cs="Times New Roman"/>
                <w:bCs/>
                <w:lang w:eastAsia="en-GB" w:bidi="bg-BG"/>
              </w:rPr>
              <w:t xml:space="preserve">Когато кандидатите за инвестиране са млади земеделски или горски стопани, могат да получат подкрепа и чрез интервенцията за </w:t>
            </w:r>
            <w:r w:rsidRPr="009F6D1E">
              <w:rPr>
                <w:rFonts w:eastAsia="Calibri" w:cs="Times New Roman"/>
                <w:i/>
                <w:lang w:eastAsia="en-GB" w:bidi="bg-BG"/>
              </w:rPr>
              <w:t>стартиране на стопанска дейност и разнообразяване на дейностите</w:t>
            </w:r>
            <w:r w:rsidRPr="009F6D1E">
              <w:rPr>
                <w:rFonts w:eastAsia="Calibri" w:cs="Times New Roman"/>
                <w:lang w:eastAsia="en-GB" w:bidi="bg-BG"/>
              </w:rPr>
              <w:t>, а</w:t>
            </w:r>
            <w:r w:rsidRPr="009F6D1E">
              <w:rPr>
                <w:rFonts w:eastAsia="Calibri" w:cs="Times New Roman"/>
                <w:bCs/>
                <w:lang w:eastAsia="en-GB" w:bidi="bg-BG"/>
              </w:rPr>
              <w:t xml:space="preserve">ко размерът на инвестицията е в границите на подкрепата по мярката за млади земеделски стопани. Биомасата, която селското стопанство осигурява за храна, фуражи, производство на </w:t>
            </w:r>
            <w:proofErr w:type="spellStart"/>
            <w:r w:rsidRPr="009F6D1E">
              <w:rPr>
                <w:rFonts w:eastAsia="Calibri" w:cs="Times New Roman"/>
                <w:bCs/>
                <w:lang w:eastAsia="en-GB" w:bidi="bg-BG"/>
              </w:rPr>
              <w:t>биобазирани</w:t>
            </w:r>
            <w:proofErr w:type="spellEnd"/>
            <w:r w:rsidRPr="009F6D1E">
              <w:rPr>
                <w:rFonts w:eastAsia="Calibri" w:cs="Times New Roman"/>
                <w:bCs/>
                <w:lang w:eastAsia="en-GB" w:bidi="bg-BG"/>
              </w:rPr>
              <w:t xml:space="preserve"> продукти и енергия, има два източника: основния добив от земеделските култури (икономическа биомаса) и остатъците (твърдите отпадъци) след прибирането на реколтата. При определени условия биогазът може да се използва и като транспортно гориво. Има пряка връзка с Директива (ЕС) 2018/2001 за насърчаване използването на енергия от възобновяеми източници, както и с Интегриран национален план за енергетиката </w:t>
            </w:r>
            <w:r w:rsidRPr="009F6D1E">
              <w:rPr>
                <w:rFonts w:eastAsia="Calibri" w:cs="Times New Roman"/>
                <w:bCs/>
                <w:lang w:eastAsia="en-GB" w:bidi="bg-BG"/>
              </w:rPr>
              <w:lastRenderedPageBreak/>
              <w:t>и климата на Република България за 2020-2030 (ПИНПЕКРБ).</w:t>
            </w:r>
          </w:p>
          <w:p w14:paraId="6402710E" w14:textId="77777777" w:rsidR="0053557A" w:rsidRPr="009F6D1E" w:rsidRDefault="0053557A" w:rsidP="0084747F">
            <w:pPr>
              <w:widowControl w:val="0"/>
              <w:spacing w:after="60" w:line="264" w:lineRule="auto"/>
              <w:jc w:val="both"/>
              <w:rPr>
                <w:rFonts w:cs="Times New Roman"/>
              </w:rPr>
            </w:pPr>
            <w:r w:rsidRPr="009F6D1E">
              <w:rPr>
                <w:rFonts w:cs="Times New Roman"/>
              </w:rPr>
              <w:t>Пряко отношение и принос към Тематични цели в) има:</w:t>
            </w:r>
          </w:p>
          <w:p w14:paraId="4CB818BA" w14:textId="77777777" w:rsidR="0053557A" w:rsidRPr="009F6D1E" w:rsidRDefault="0053557A"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E72855" w:rsidRPr="009F6D1E">
              <w:rPr>
                <w:rFonts w:cs="Times New Roman"/>
                <w:bCs/>
                <w:i/>
              </w:rPr>
              <w:t xml:space="preserve"> П.8.1. Диверсификация на икономическата дейност. Стимулиране на нови производства в областта на биоикономиката и кръговата икономика</w:t>
            </w:r>
            <w:r w:rsidR="00E72855" w:rsidRPr="009F6D1E">
              <w:rPr>
                <w:rFonts w:cs="Times New Roman"/>
                <w:bCs/>
                <w:i/>
                <w:lang w:bidi="bg-BG"/>
              </w:rPr>
              <w:t xml:space="preserve">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4D9984F7" w14:textId="77777777" w:rsidR="00FE4847" w:rsidRPr="009F6D1E" w:rsidRDefault="00FE4847" w:rsidP="0084747F">
            <w:pPr>
              <w:widowControl w:val="0"/>
              <w:spacing w:after="60" w:line="264" w:lineRule="auto"/>
              <w:jc w:val="both"/>
              <w:rPr>
                <w:rFonts w:cs="Times New Roman"/>
              </w:rPr>
            </w:pPr>
            <w:r w:rsidRPr="009F6D1E">
              <w:rPr>
                <w:rFonts w:cs="Times New Roman"/>
              </w:rPr>
              <w:t>Пряко отношение и принос към Тематични цели г) и д) има:</w:t>
            </w:r>
          </w:p>
          <w:p w14:paraId="158ED911" w14:textId="77777777" w:rsidR="00FE4847" w:rsidRPr="009F6D1E" w:rsidRDefault="00FE4847" w:rsidP="0084747F">
            <w:pPr>
              <w:pStyle w:val="Other0"/>
              <w:spacing w:after="60" w:line="264" w:lineRule="auto"/>
              <w:jc w:val="both"/>
              <w:rPr>
                <w:i/>
                <w:iCs/>
                <w:lang w:eastAsia="bg-BG" w:bidi="bg-BG"/>
              </w:rPr>
            </w:pPr>
            <w:r w:rsidRPr="009F6D1E">
              <w:rPr>
                <w:i/>
                <w:iCs/>
                <w:lang w:eastAsia="bg-BG" w:bidi="bg-BG"/>
              </w:rPr>
              <w:t xml:space="preserve">Специфична цел №5: </w:t>
            </w:r>
            <w:r w:rsidR="00E72855" w:rsidRPr="009F6D1E">
              <w:rPr>
                <w:i/>
                <w:iCs/>
                <w:lang w:eastAsia="bg-BG" w:bidi="bg-BG"/>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p w14:paraId="242A12C8" w14:textId="77777777" w:rsidR="00FE4847" w:rsidRPr="009F6D1E" w:rsidRDefault="00BC72E8"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Специфична цел № </w:t>
            </w:r>
            <w:r w:rsidR="00BD278E" w:rsidRPr="009F6D1E">
              <w:rPr>
                <w:rFonts w:eastAsia="Times New Roman" w:cs="Times New Roman"/>
                <w:i/>
                <w:lang w:eastAsia="bg-BG" w:bidi="bg-BG"/>
              </w:rPr>
              <w:t>4</w:t>
            </w:r>
            <w:r w:rsidRPr="009F6D1E">
              <w:rPr>
                <w:rFonts w:eastAsia="Times New Roman" w:cs="Times New Roman"/>
                <w:i/>
                <w:lang w:eastAsia="bg-BG" w:bidi="bg-BG"/>
              </w:rPr>
              <w:t xml:space="preserve"> – потребност П.4.9. Устойчиво управление на горите, включително увеличаване на залесените площи в </w:t>
            </w:r>
            <w:proofErr w:type="spellStart"/>
            <w:r w:rsidRPr="009F6D1E">
              <w:rPr>
                <w:rFonts w:eastAsia="Times New Roman" w:cs="Times New Roman"/>
                <w:i/>
                <w:lang w:eastAsia="bg-BG" w:bidi="bg-BG"/>
              </w:rPr>
              <w:t>страната,опазване</w:t>
            </w:r>
            <w:proofErr w:type="spellEnd"/>
            <w:r w:rsidRPr="009F6D1E">
              <w:rPr>
                <w:rFonts w:eastAsia="Times New Roman" w:cs="Times New Roman"/>
                <w:i/>
                <w:lang w:eastAsia="bg-BG" w:bidi="bg-BG"/>
              </w:rPr>
              <w:t xml:space="preserve"> на горските местообитания, биоразнообразието и екосистемните услуги от</w:t>
            </w:r>
            <w:r w:rsidRPr="009F6D1E">
              <w:rPr>
                <w:rFonts w:eastAsia="Times New Roman" w:cs="Times New Roman"/>
                <w:iCs/>
                <w:lang w:eastAsia="bg-BG" w:bidi="bg-BG"/>
              </w:rPr>
              <w:t xml:space="preserve"> </w:t>
            </w:r>
            <w:r w:rsidRPr="009F6D1E">
              <w:rPr>
                <w:rFonts w:eastAsia="Times New Roman" w:cs="Times New Roman"/>
                <w:i/>
                <w:lang w:eastAsia="bg-BG" w:bidi="bg-BG"/>
              </w:rPr>
              <w:t>горите</w:t>
            </w:r>
            <w:r w:rsidR="00FE4847" w:rsidRPr="009F6D1E">
              <w:rPr>
                <w:rFonts w:eastAsia="Times New Roman" w:cs="Times New Roman"/>
                <w:i/>
                <w:lang w:eastAsia="bg-BG" w:bidi="bg-BG"/>
              </w:rPr>
              <w:t>.</w:t>
            </w:r>
          </w:p>
          <w:p w14:paraId="7D1F3F92" w14:textId="77777777" w:rsidR="00FE4847" w:rsidRPr="009F6D1E" w:rsidRDefault="00CD4045" w:rsidP="0084747F">
            <w:pPr>
              <w:widowControl w:val="0"/>
              <w:tabs>
                <w:tab w:val="left" w:pos="1080"/>
              </w:tabs>
              <w:spacing w:after="60" w:line="264" w:lineRule="auto"/>
              <w:jc w:val="both"/>
              <w:rPr>
                <w:rFonts w:eastAsia="Times New Roman" w:cs="Times New Roman"/>
                <w:bCs/>
              </w:rPr>
            </w:pPr>
            <w:r w:rsidRPr="009F6D1E">
              <w:rPr>
                <w:rFonts w:cs="Times New Roman"/>
                <w:lang w:eastAsia="bg-BG" w:bidi="bg-BG"/>
              </w:rPr>
              <w:t>СПРЗСР</w:t>
            </w:r>
            <w:r w:rsidR="00FE4847" w:rsidRPr="009F6D1E">
              <w:rPr>
                <w:rFonts w:cs="Times New Roman"/>
                <w:lang w:eastAsia="bg-BG" w:bidi="bg-BG"/>
              </w:rPr>
              <w:t xml:space="preserve"> ще има пряк принос към стратегията чрез </w:t>
            </w:r>
            <w:r w:rsidR="00FE4847" w:rsidRPr="009F6D1E">
              <w:rPr>
                <w:rFonts w:eastAsia="Times New Roman" w:cs="Times New Roman"/>
                <w:bCs/>
                <w:i/>
                <w:iCs/>
              </w:rPr>
              <w:t xml:space="preserve">Интервенция „Биологично земеделие“ - </w:t>
            </w:r>
            <w:r w:rsidR="00FE4847" w:rsidRPr="009F6D1E">
              <w:rPr>
                <w:rFonts w:eastAsia="Times New Roman" w:cs="Times New Roman"/>
                <w:i/>
                <w:lang w:eastAsia="bg-BG" w:bidi="bg-BG"/>
              </w:rPr>
              <w:t>Специфична цел №6</w:t>
            </w:r>
            <w:r w:rsidR="00FE4847" w:rsidRPr="009F6D1E">
              <w:rPr>
                <w:rFonts w:eastAsia="Times New Roman" w:cs="Times New Roman"/>
                <w:bCs/>
                <w:u w:val="single"/>
              </w:rPr>
              <w:t>:</w:t>
            </w:r>
            <w:r w:rsidR="00FE4847" w:rsidRPr="009F6D1E">
              <w:rPr>
                <w:rFonts w:eastAsia="Times New Roman" w:cs="Times New Roman"/>
              </w:rPr>
              <w:t xml:space="preserve"> </w:t>
            </w:r>
            <w:r w:rsidR="00FE4847" w:rsidRPr="009F6D1E">
              <w:rPr>
                <w:rFonts w:eastAsia="Times New Roman" w:cs="Times New Roman"/>
                <w:bCs/>
              </w:rPr>
              <w:t xml:space="preserve">Очаква се интервенцията да доведе до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w:t>
            </w:r>
            <w:r w:rsidR="00FE4847" w:rsidRPr="009F6D1E">
              <w:rPr>
                <w:rFonts w:eastAsia="Times New Roman" w:cs="Times New Roman"/>
                <w:bCs/>
              </w:rPr>
              <w:lastRenderedPageBreak/>
              <w:t>климата и подкрепата на малки и средни ферми, повечето от които са семейни.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 Дейностите по интервенцията ще допринесат и за постигането на целите на Стратегия на ЕС за биологичното разнообразие до 2030 г. и да удовлетвори заложените цели в стратегията от „Фермата до трапезата“.</w:t>
            </w:r>
          </w:p>
          <w:p w14:paraId="32D6B7BB" w14:textId="77777777" w:rsidR="00FE4847" w:rsidRPr="009F6D1E" w:rsidRDefault="00BC72E8" w:rsidP="0084747F">
            <w:pPr>
              <w:widowControl w:val="0"/>
              <w:tabs>
                <w:tab w:val="left" w:pos="1080"/>
              </w:tabs>
              <w:spacing w:after="60" w:line="264" w:lineRule="auto"/>
              <w:jc w:val="both"/>
              <w:rPr>
                <w:rFonts w:eastAsia="Times New Roman" w:cs="Times New Roman"/>
                <w:bCs/>
              </w:rPr>
            </w:pPr>
            <w:r w:rsidRPr="009F6D1E">
              <w:rPr>
                <w:rFonts w:eastAsia="Times New Roman" w:cs="Times New Roman"/>
                <w:bCs/>
              </w:rPr>
              <w:t xml:space="preserve">Прилагане на 2 еко схеми по чл. 31 от Регламент (ЕС) 2021/2115 – Еко схема за поддържане на биологично земеделие (земеделски площи) и Еко схема за поддържане на биологично земеделие (селскостопански животни). </w:t>
            </w:r>
            <w:r w:rsidR="00FE4847" w:rsidRPr="009F6D1E">
              <w:rPr>
                <w:rFonts w:eastAsia="Times New Roman" w:cs="Times New Roman"/>
                <w:bCs/>
              </w:rPr>
              <w:t>По интервенция „</w:t>
            </w:r>
            <w:r w:rsidR="00FE4847" w:rsidRPr="009F6D1E">
              <w:rPr>
                <w:rFonts w:eastAsia="Times New Roman" w:cs="Times New Roman"/>
                <w:bCs/>
                <w:i/>
                <w:iCs/>
              </w:rPr>
              <w:t>Биологично земеделие</w:t>
            </w:r>
            <w:r w:rsidR="00FE4847" w:rsidRPr="009F6D1E">
              <w:rPr>
                <w:rFonts w:eastAsia="Times New Roman" w:cs="Times New Roman"/>
                <w:bCs/>
              </w:rPr>
              <w:t>“ ще се подпомагат на територията на цялата страна, земеделски стопани, чиито стопанства са в период на преход или са преминали периода на преход, развиващи земеделска дейност в следните направления:</w:t>
            </w:r>
          </w:p>
          <w:p w14:paraId="725345CA" w14:textId="77777777" w:rsidR="00FE4847" w:rsidRPr="009F6D1E" w:rsidRDefault="00FE4847"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растениевъдство</w:t>
            </w:r>
          </w:p>
          <w:p w14:paraId="7FA953CF" w14:textId="77777777" w:rsidR="00FE4847" w:rsidRPr="009F6D1E" w:rsidRDefault="00FE4847"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пчеларство</w:t>
            </w:r>
          </w:p>
          <w:p w14:paraId="1E012F1A" w14:textId="77777777" w:rsidR="00C301B6" w:rsidRPr="009F6D1E" w:rsidRDefault="00FE4847"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животновъдство</w:t>
            </w:r>
          </w:p>
          <w:p w14:paraId="2E78B883" w14:textId="77777777" w:rsidR="00BD278E" w:rsidRPr="009F6D1E" w:rsidRDefault="00BD278E" w:rsidP="0084747F">
            <w:pPr>
              <w:widowControl w:val="0"/>
              <w:tabs>
                <w:tab w:val="left" w:pos="1080"/>
              </w:tabs>
              <w:spacing w:after="60" w:line="264" w:lineRule="auto"/>
              <w:jc w:val="both"/>
              <w:rPr>
                <w:rFonts w:eastAsia="Times New Roman" w:cs="Times New Roman"/>
                <w:lang w:eastAsia="bg-BG" w:bidi="bg-BG"/>
              </w:rPr>
            </w:pPr>
            <w:r w:rsidRPr="009F6D1E">
              <w:rPr>
                <w:rFonts w:eastAsia="Times New Roman" w:cs="Times New Roman"/>
                <w:i/>
                <w:iCs/>
                <w:lang w:eastAsia="bg-BG" w:bidi="bg-BG"/>
              </w:rPr>
              <w:t>Специфична цел №6, Потребност</w:t>
            </w:r>
            <w:r w:rsidRPr="009F6D1E">
              <w:rPr>
                <w:rFonts w:cs="Times New Roman"/>
                <w:lang w:bidi="bg-BG"/>
              </w:rPr>
              <w:t xml:space="preserve"> </w:t>
            </w:r>
            <w:r w:rsidRPr="009F6D1E">
              <w:rPr>
                <w:rFonts w:eastAsia="Times New Roman" w:cs="Times New Roman"/>
                <w:i/>
                <w:iCs/>
                <w:lang w:eastAsia="bg-BG" w:bidi="bg-BG"/>
              </w:rPr>
              <w:t xml:space="preserve">П.6.5. Интервенция „Използване </w:t>
            </w:r>
            <w:r w:rsidRPr="009F6D1E">
              <w:rPr>
                <w:rFonts w:eastAsia="Times New Roman" w:cs="Times New Roman"/>
                <w:i/>
                <w:iCs/>
                <w:lang w:eastAsia="bg-BG" w:bidi="bg-BG"/>
              </w:rPr>
              <w:lastRenderedPageBreak/>
              <w:t>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на хранителни вещества с поне 50%, като същевременно се 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p w14:paraId="684B38AD" w14:textId="77777777" w:rsidR="00BD278E" w:rsidRPr="009F6D1E" w:rsidRDefault="00BD278E" w:rsidP="0084747F">
            <w:pPr>
              <w:widowControl w:val="0"/>
              <w:tabs>
                <w:tab w:val="left" w:pos="1080"/>
              </w:tabs>
              <w:spacing w:after="60" w:line="264" w:lineRule="auto"/>
              <w:jc w:val="both"/>
              <w:rPr>
                <w:rFonts w:eastAsia="Times New Roman" w:cs="Times New Roman"/>
                <w:bCs/>
              </w:rPr>
            </w:pPr>
          </w:p>
        </w:tc>
      </w:tr>
      <w:tr w:rsidR="00C301B6" w:rsidRPr="009F6D1E" w14:paraId="39D2F53E" w14:textId="77777777" w:rsidTr="0078017C">
        <w:tc>
          <w:tcPr>
            <w:tcW w:w="7139" w:type="dxa"/>
          </w:tcPr>
          <w:p w14:paraId="72719946" w14:textId="51740DB2" w:rsidR="00045E99" w:rsidRPr="009F6D1E" w:rsidRDefault="00045E99" w:rsidP="0084747F">
            <w:pPr>
              <w:widowControl w:val="0"/>
              <w:spacing w:after="60" w:line="264" w:lineRule="auto"/>
              <w:jc w:val="both"/>
              <w:rPr>
                <w:rFonts w:cs="Times New Roman"/>
                <w:b/>
                <w:bCs/>
                <w:i/>
                <w:iCs/>
              </w:rPr>
            </w:pPr>
            <w:r w:rsidRPr="009F6D1E">
              <w:rPr>
                <w:rFonts w:cs="Times New Roman"/>
                <w:b/>
                <w:bCs/>
                <w:i/>
                <w:iCs/>
              </w:rPr>
              <w:lastRenderedPageBreak/>
              <w:t>Съобщение на Европейската комисия „Чиста планета за всички. Европейска стратегическа дългосрочна визия за пр</w:t>
            </w:r>
            <w:r w:rsidR="00F31AED">
              <w:rPr>
                <w:rFonts w:cs="Times New Roman"/>
                <w:b/>
                <w:bCs/>
                <w:i/>
                <w:iCs/>
              </w:rPr>
              <w:t>осп</w:t>
            </w:r>
            <w:r w:rsidRPr="009F6D1E">
              <w:rPr>
                <w:rFonts w:cs="Times New Roman"/>
                <w:b/>
                <w:bCs/>
                <w:i/>
                <w:iCs/>
              </w:rPr>
              <w:t>ерираща, модерна, конкурент</w:t>
            </w:r>
            <w:r w:rsidR="00F31AED">
              <w:rPr>
                <w:rFonts w:cs="Times New Roman"/>
                <w:b/>
                <w:bCs/>
                <w:i/>
                <w:iCs/>
              </w:rPr>
              <w:t>осп</w:t>
            </w:r>
            <w:r w:rsidRPr="009F6D1E">
              <w:rPr>
                <w:rFonts w:cs="Times New Roman"/>
                <w:b/>
                <w:bCs/>
                <w:i/>
                <w:iCs/>
              </w:rPr>
              <w:t>особна и неутрална по отношение на климата икономика“ (СОМ (2018)773)</w:t>
            </w:r>
          </w:p>
          <w:p w14:paraId="0B11F45D" w14:textId="77777777" w:rsidR="00045E99" w:rsidRPr="009F6D1E" w:rsidRDefault="00045E99" w:rsidP="0084747F">
            <w:pPr>
              <w:widowControl w:val="0"/>
              <w:spacing w:after="60" w:line="264" w:lineRule="auto"/>
              <w:jc w:val="both"/>
              <w:rPr>
                <w:rFonts w:cs="Times New Roman"/>
                <w:b/>
                <w:bCs/>
                <w:u w:val="single"/>
              </w:rPr>
            </w:pPr>
            <w:r w:rsidRPr="009F6D1E">
              <w:rPr>
                <w:rFonts w:cs="Times New Roman"/>
                <w:b/>
                <w:bCs/>
                <w:u w:val="single"/>
              </w:rPr>
              <w:t>Стратегически градивни елементи:</w:t>
            </w:r>
          </w:p>
          <w:p w14:paraId="4AD856D8" w14:textId="77777777" w:rsidR="00045E99" w:rsidRPr="009F6D1E" w:rsidRDefault="00045E99" w:rsidP="0084747F">
            <w:pPr>
              <w:widowControl w:val="0"/>
              <w:spacing w:after="60" w:line="264" w:lineRule="auto"/>
              <w:jc w:val="both"/>
              <w:rPr>
                <w:rFonts w:cs="Times New Roman"/>
              </w:rPr>
            </w:pPr>
            <w:r w:rsidRPr="009F6D1E">
              <w:rPr>
                <w:rFonts w:cs="Times New Roman"/>
              </w:rPr>
              <w:t>1. Максимално увеличаване на ползите от енергийна ефективност, включително от сградите с нулеви емисии</w:t>
            </w:r>
          </w:p>
          <w:p w14:paraId="68888C1C"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2. Въвеждане в максимална степен на възобновяемите енергийни източници и максимално увеличаване на използването на електроенергия за пълно </w:t>
            </w:r>
            <w:proofErr w:type="spellStart"/>
            <w:r w:rsidRPr="009F6D1E">
              <w:rPr>
                <w:rFonts w:cs="Times New Roman"/>
              </w:rPr>
              <w:t>декарбонизиране</w:t>
            </w:r>
            <w:proofErr w:type="spellEnd"/>
            <w:r w:rsidRPr="009F6D1E">
              <w:rPr>
                <w:rFonts w:cs="Times New Roman"/>
              </w:rPr>
              <w:t xml:space="preserve"> на енергийните доставки за Европа</w:t>
            </w:r>
          </w:p>
          <w:p w14:paraId="597400BC" w14:textId="77777777" w:rsidR="00045E99" w:rsidRPr="009F6D1E" w:rsidRDefault="00045E99" w:rsidP="0084747F">
            <w:pPr>
              <w:widowControl w:val="0"/>
              <w:spacing w:after="60" w:line="264" w:lineRule="auto"/>
              <w:jc w:val="both"/>
              <w:rPr>
                <w:rFonts w:cs="Times New Roman"/>
              </w:rPr>
            </w:pPr>
            <w:r w:rsidRPr="009F6D1E">
              <w:rPr>
                <w:rFonts w:cs="Times New Roman"/>
              </w:rPr>
              <w:t>3. Постигане на чиста, безопасна и свързана мобилност</w:t>
            </w:r>
          </w:p>
          <w:p w14:paraId="524D2215" w14:textId="1F876268" w:rsidR="00045E99" w:rsidRPr="009F6D1E" w:rsidRDefault="00045E99" w:rsidP="0084747F">
            <w:pPr>
              <w:widowControl w:val="0"/>
              <w:spacing w:after="60" w:line="264" w:lineRule="auto"/>
              <w:jc w:val="both"/>
              <w:rPr>
                <w:rFonts w:cs="Times New Roman"/>
              </w:rPr>
            </w:pPr>
            <w:r w:rsidRPr="009F6D1E">
              <w:rPr>
                <w:rFonts w:cs="Times New Roman"/>
              </w:rPr>
              <w:t>4. Наличието на конкурент</w:t>
            </w:r>
            <w:r w:rsidR="00F31AED">
              <w:rPr>
                <w:rFonts w:cs="Times New Roman"/>
              </w:rPr>
              <w:t>осп</w:t>
            </w:r>
            <w:r w:rsidRPr="009F6D1E">
              <w:rPr>
                <w:rFonts w:cs="Times New Roman"/>
              </w:rPr>
              <w:t>особна промишленост на ЕС и кръгова икономика като ключов фактор за намаляване на емисиите на парникови газове</w:t>
            </w:r>
          </w:p>
          <w:p w14:paraId="74216E25" w14:textId="77777777" w:rsidR="00045E99" w:rsidRPr="009F6D1E" w:rsidRDefault="00045E99" w:rsidP="0084747F">
            <w:pPr>
              <w:widowControl w:val="0"/>
              <w:spacing w:after="60" w:line="264" w:lineRule="auto"/>
              <w:jc w:val="both"/>
              <w:rPr>
                <w:rFonts w:cs="Times New Roman"/>
              </w:rPr>
            </w:pPr>
            <w:r w:rsidRPr="009F6D1E">
              <w:rPr>
                <w:rFonts w:cs="Times New Roman"/>
              </w:rPr>
              <w:t>5. Развиване на адекватна интелигентна мрежова инфраструктура и междусистемни връзки</w:t>
            </w:r>
          </w:p>
          <w:p w14:paraId="418B7E92"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6. Пълноценно реализиране на предимствата на биоикономиката и създаване на въглеродни </w:t>
            </w:r>
            <w:proofErr w:type="spellStart"/>
            <w:r w:rsidRPr="009F6D1E">
              <w:rPr>
                <w:rFonts w:cs="Times New Roman"/>
              </w:rPr>
              <w:t>поглътители</w:t>
            </w:r>
            <w:proofErr w:type="spellEnd"/>
            <w:r w:rsidRPr="009F6D1E">
              <w:rPr>
                <w:rFonts w:cs="Times New Roman"/>
              </w:rPr>
              <w:t xml:space="preserve"> от основно значение</w:t>
            </w:r>
          </w:p>
          <w:p w14:paraId="1F838E11" w14:textId="77777777" w:rsidR="00C301B6" w:rsidRPr="009F6D1E" w:rsidRDefault="00045E99" w:rsidP="0084747F">
            <w:pPr>
              <w:widowControl w:val="0"/>
              <w:spacing w:after="60" w:line="264" w:lineRule="auto"/>
              <w:contextualSpacing/>
              <w:jc w:val="both"/>
              <w:rPr>
                <w:rFonts w:eastAsia="Calibri" w:cs="Times New Roman"/>
                <w:b/>
                <w:bCs/>
                <w:i/>
                <w:iCs/>
              </w:rPr>
            </w:pPr>
            <w:r w:rsidRPr="009F6D1E">
              <w:rPr>
                <w:rFonts w:cs="Times New Roman"/>
              </w:rPr>
              <w:lastRenderedPageBreak/>
              <w:t>7. Премахване на оставащите емисии чрез улавяне и съхранение на CO2</w:t>
            </w:r>
          </w:p>
        </w:tc>
        <w:tc>
          <w:tcPr>
            <w:tcW w:w="7139" w:type="dxa"/>
          </w:tcPr>
          <w:p w14:paraId="14EDF2A7" w14:textId="77777777" w:rsidR="00F45AB2" w:rsidRPr="009F6D1E" w:rsidRDefault="00F45AB2" w:rsidP="0084747F">
            <w:pPr>
              <w:widowControl w:val="0"/>
              <w:spacing w:after="60" w:line="264" w:lineRule="auto"/>
              <w:jc w:val="both"/>
              <w:rPr>
                <w:rFonts w:cs="Times New Roman"/>
              </w:rPr>
            </w:pPr>
            <w:r w:rsidRPr="009F6D1E">
              <w:rPr>
                <w:rFonts w:cs="Times New Roman"/>
              </w:rPr>
              <w:lastRenderedPageBreak/>
              <w:t xml:space="preserve">Пряко отношение и принос към елементи 1 и 2 имат: </w:t>
            </w:r>
          </w:p>
          <w:p w14:paraId="0782A74B" w14:textId="77777777" w:rsidR="00F45AB2" w:rsidRPr="009F6D1E" w:rsidRDefault="00F45AB2" w:rsidP="0084747F">
            <w:pPr>
              <w:widowControl w:val="0"/>
              <w:spacing w:after="60" w:line="264" w:lineRule="auto"/>
              <w:jc w:val="both"/>
              <w:rPr>
                <w:rFonts w:eastAsia="Calibri" w:cs="Times New Roman"/>
                <w:bCs/>
                <w:lang w:eastAsia="en-GB" w:bidi="bg-BG"/>
              </w:rPr>
            </w:pPr>
            <w:r w:rsidRPr="009F6D1E">
              <w:rPr>
                <w:rFonts w:eastAsia="Times New Roman" w:cs="Times New Roman"/>
                <w:bCs/>
                <w:i/>
                <w:iCs/>
              </w:rPr>
              <w:t>Специфична цел 4</w:t>
            </w:r>
            <w:r w:rsidRPr="009F6D1E">
              <w:rPr>
                <w:rFonts w:eastAsia="Times New Roman" w:cs="Times New Roman"/>
                <w:b/>
                <w:i/>
                <w:iCs/>
              </w:rPr>
              <w:t>:</w:t>
            </w:r>
            <w:r w:rsidRPr="009F6D1E">
              <w:rPr>
                <w:rFonts w:eastAsia="Times New Roman" w:cs="Times New Roman"/>
                <w:i/>
                <w:iCs/>
              </w:rPr>
              <w:t xml:space="preserve"> </w:t>
            </w:r>
            <w:r w:rsidR="00AD32C9" w:rsidRPr="009F6D1E">
              <w:rPr>
                <w:rFonts w:eastAsia="Times New Roman" w:cs="Times New Roman"/>
                <w:i/>
                <w:iCs/>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Pr="009F6D1E">
              <w:rPr>
                <w:rFonts w:eastAsia="Times New Roman" w:cs="Times New Roman"/>
                <w:i/>
                <w:iCs/>
                <w:lang w:eastAsia="bg-BG" w:bidi="bg-BG"/>
              </w:rPr>
              <w:t>;</w:t>
            </w:r>
            <w:r w:rsidRPr="009F6D1E">
              <w:rPr>
                <w:rFonts w:eastAsia="Calibri" w:cs="Times New Roman"/>
                <w:bCs/>
                <w:lang w:eastAsia="en-GB" w:bidi="bg-BG"/>
              </w:rPr>
              <w:t xml:space="preserve"> </w:t>
            </w:r>
          </w:p>
          <w:p w14:paraId="3A58ABAF" w14:textId="77777777" w:rsidR="00F45AB2" w:rsidRPr="009F6D1E" w:rsidRDefault="00F45AB2" w:rsidP="0084747F">
            <w:pPr>
              <w:widowControl w:val="0"/>
              <w:spacing w:after="60" w:line="264" w:lineRule="auto"/>
              <w:jc w:val="both"/>
              <w:rPr>
                <w:rFonts w:eastAsia="Calibri" w:cs="Times New Roman"/>
                <w:bCs/>
                <w:lang w:eastAsia="en-GB" w:bidi="bg-BG"/>
              </w:rPr>
            </w:pPr>
            <w:r w:rsidRPr="009F6D1E">
              <w:rPr>
                <w:rFonts w:eastAsia="Calibri" w:cs="Times New Roman"/>
                <w:bCs/>
                <w:lang w:eastAsia="en-GB" w:bidi="bg-BG"/>
              </w:rPr>
              <w:t xml:space="preserve">Когато кандидатите за инвестиране са млади земеделски или горски стопани, могат да получат подкрепа и чрез интервенцията за </w:t>
            </w:r>
            <w:r w:rsidRPr="009F6D1E">
              <w:rPr>
                <w:rFonts w:eastAsia="Calibri" w:cs="Times New Roman"/>
                <w:i/>
                <w:lang w:eastAsia="en-GB" w:bidi="bg-BG"/>
              </w:rPr>
              <w:t>стартиране на стопанска дейност и разнообразяване на дейностите</w:t>
            </w:r>
            <w:r w:rsidRPr="009F6D1E">
              <w:rPr>
                <w:rFonts w:eastAsia="Calibri" w:cs="Times New Roman"/>
                <w:lang w:eastAsia="en-GB" w:bidi="bg-BG"/>
              </w:rPr>
              <w:t>, а</w:t>
            </w:r>
            <w:r w:rsidRPr="009F6D1E">
              <w:rPr>
                <w:rFonts w:eastAsia="Calibri" w:cs="Times New Roman"/>
                <w:bCs/>
                <w:lang w:eastAsia="en-GB" w:bidi="bg-BG"/>
              </w:rPr>
              <w:t xml:space="preserve">ко размерът на инвестицията е в границите на подкрепата по мярката за млади земеделски стопани. Биомасата, която селското стопанство осигурява за храна, фуражи, производство на </w:t>
            </w:r>
            <w:proofErr w:type="spellStart"/>
            <w:r w:rsidRPr="009F6D1E">
              <w:rPr>
                <w:rFonts w:eastAsia="Calibri" w:cs="Times New Roman"/>
                <w:bCs/>
                <w:lang w:eastAsia="en-GB" w:bidi="bg-BG"/>
              </w:rPr>
              <w:t>биобазирани</w:t>
            </w:r>
            <w:proofErr w:type="spellEnd"/>
            <w:r w:rsidRPr="009F6D1E">
              <w:rPr>
                <w:rFonts w:eastAsia="Calibri" w:cs="Times New Roman"/>
                <w:bCs/>
                <w:lang w:eastAsia="en-GB" w:bidi="bg-BG"/>
              </w:rPr>
              <w:t xml:space="preserve"> продукти и енергия, има два източника: основния добив от земеделските култури (икономическа биомаса) и остатъците (твърдите отпадъци) след прибирането на реколтата. При определени условия биогазът може да се използва и като транспортно гориво. Има пряка връзка с Директива (ЕС) 2018/2001 за насърчаване използването на енергия от възобновяеми източници, както и с Интегриран национален план за енергетиката и климата на Република България за 2020-2030 (ПИНПЕКРБ).</w:t>
            </w:r>
          </w:p>
          <w:p w14:paraId="76BF1E54" w14:textId="77777777" w:rsidR="00F45AB2" w:rsidRPr="009F6D1E" w:rsidRDefault="00F45AB2" w:rsidP="0084747F">
            <w:pPr>
              <w:widowControl w:val="0"/>
              <w:spacing w:after="60" w:line="264" w:lineRule="auto"/>
              <w:jc w:val="both"/>
              <w:rPr>
                <w:rFonts w:eastAsia="Times New Roman" w:cs="Times New Roman"/>
                <w:i/>
                <w:iCs/>
                <w:u w:val="single"/>
                <w:lang w:eastAsia="bg-BG" w:bidi="bg-BG"/>
              </w:rPr>
            </w:pPr>
            <w:r w:rsidRPr="009F6D1E">
              <w:rPr>
                <w:rFonts w:cs="Times New Roman"/>
              </w:rPr>
              <w:t xml:space="preserve">Пряко отношение и принос към направленията на Новия план за </w:t>
            </w:r>
            <w:r w:rsidRPr="009F6D1E">
              <w:rPr>
                <w:rFonts w:cs="Times New Roman"/>
              </w:rPr>
              <w:lastRenderedPageBreak/>
              <w:t>действие, има</w:t>
            </w:r>
            <w:r w:rsidRPr="009F6D1E">
              <w:rPr>
                <w:rFonts w:eastAsia="Times New Roman" w:cs="Times New Roman"/>
                <w:lang w:eastAsia="bg-BG" w:bidi="bg-BG"/>
              </w:rPr>
              <w:t>т:</w:t>
            </w:r>
          </w:p>
          <w:p w14:paraId="1CFB80D7" w14:textId="77777777" w:rsidR="00F45AB2" w:rsidRPr="009F6D1E" w:rsidRDefault="00F45AB2"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CA3789" w:rsidRPr="009F6D1E">
              <w:rPr>
                <w:rFonts w:cs="Times New Roman"/>
              </w:rPr>
              <w:t xml:space="preserve"> </w:t>
            </w:r>
            <w:r w:rsidR="00CA3789"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778A898D" w14:textId="77777777" w:rsidR="00F45AB2" w:rsidRPr="009F6D1E" w:rsidRDefault="00F45AB2"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CA3789" w:rsidRPr="009F6D1E">
              <w:rPr>
                <w:rFonts w:cs="Times New Roman"/>
              </w:rPr>
              <w:t xml:space="preserve"> </w:t>
            </w:r>
            <w:r w:rsidR="00CA3789"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18CBD113" w14:textId="77777777" w:rsidR="00F45AB2" w:rsidRPr="009F6D1E" w:rsidRDefault="00F45AB2" w:rsidP="0084747F">
            <w:pPr>
              <w:widowControl w:val="0"/>
              <w:spacing w:after="60" w:line="264" w:lineRule="auto"/>
              <w:jc w:val="both"/>
              <w:rPr>
                <w:rFonts w:cs="Times New Roman"/>
                <w:iCs/>
              </w:rPr>
            </w:pPr>
            <w:r w:rsidRPr="009F6D1E">
              <w:rPr>
                <w:rFonts w:cs="Times New Roman"/>
                <w:iCs/>
              </w:rPr>
              <w:t>Косвен принос имат:</w:t>
            </w:r>
          </w:p>
          <w:p w14:paraId="5E207A47" w14:textId="77777777" w:rsidR="00F45AB2" w:rsidRPr="009F6D1E" w:rsidRDefault="00F45AB2"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F27CB8" w:rsidRPr="009F6D1E">
              <w:rPr>
                <w:rFonts w:cs="Times New Roman"/>
              </w:rPr>
              <w:t xml:space="preserve"> </w:t>
            </w:r>
            <w:r w:rsidR="00F27CB8" w:rsidRPr="009F6D1E">
              <w:rPr>
                <w:rFonts w:cs="Times New Roman"/>
                <w:i/>
              </w:rPr>
              <w:t xml:space="preserve">П.1.5.Надграждане и диверсифициране на системата за управление на риска и управление на кризите в земеделието </w:t>
            </w:r>
            <w:r w:rsidRPr="009F6D1E">
              <w:rPr>
                <w:rFonts w:eastAsia="Times New Roman" w:cs="Times New Roman"/>
                <w:lang w:eastAsia="bg-BG" w:bidi="bg-BG"/>
              </w:rPr>
              <w:t>и интервенциите към нея.</w:t>
            </w:r>
          </w:p>
          <w:p w14:paraId="1EFFCE5C" w14:textId="77777777" w:rsidR="00F45AB2" w:rsidRPr="009F6D1E" w:rsidRDefault="00F45AB2"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AA7293" w:rsidRPr="009F6D1E">
              <w:rPr>
                <w:rFonts w:cs="Times New Roman"/>
              </w:rPr>
              <w:t xml:space="preserve"> </w:t>
            </w:r>
            <w:r w:rsidR="00AA7293"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 „Инвестиции за неселскостопански  дейности  в селските райони</w:t>
            </w:r>
            <w:r w:rsidR="00AA7293" w:rsidRPr="009F6D1E">
              <w:rPr>
                <w:rFonts w:eastAsia="Times New Roman" w:cs="Times New Roman"/>
                <w:iCs/>
                <w:lang w:eastAsia="bg-BG" w:bidi="bg-BG"/>
              </w:rPr>
              <w:t>“</w:t>
            </w:r>
            <w:r w:rsidRPr="009F6D1E">
              <w:rPr>
                <w:rFonts w:eastAsia="Times New Roman" w:cs="Times New Roman"/>
                <w:iCs/>
                <w:lang w:eastAsia="bg-BG" w:bidi="bg-BG"/>
              </w:rPr>
              <w:t xml:space="preserve">, чрез която се предвижда предоставяне на подкрепа за инвестиции за развитие на </w:t>
            </w:r>
            <w:r w:rsidRPr="009F6D1E">
              <w:rPr>
                <w:rFonts w:eastAsia="Times New Roman" w:cs="Times New Roman"/>
                <w:iCs/>
                <w:lang w:eastAsia="bg-BG" w:bidi="bg-BG"/>
              </w:rPr>
              <w:lastRenderedPageBreak/>
              <w:t>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p w14:paraId="569C6DB9" w14:textId="77777777" w:rsidR="00F45AB2" w:rsidRPr="009F6D1E" w:rsidRDefault="00CD4045" w:rsidP="0084747F">
            <w:pPr>
              <w:widowControl w:val="0"/>
              <w:spacing w:after="60" w:line="264" w:lineRule="auto"/>
              <w:jc w:val="both"/>
              <w:rPr>
                <w:rFonts w:eastAsia="Times New Roman" w:cs="Times New Roman"/>
                <w:lang w:eastAsia="bg-BG" w:bidi="bg-BG"/>
              </w:rPr>
            </w:pPr>
            <w:r w:rsidRPr="009F6D1E">
              <w:rPr>
                <w:rFonts w:eastAsia="Times New Roman" w:cs="Times New Roman"/>
                <w:lang w:eastAsia="bg-BG" w:bidi="bg-BG"/>
              </w:rPr>
              <w:t>СПРЗСР</w:t>
            </w:r>
            <w:r w:rsidR="00F45AB2" w:rsidRPr="009F6D1E">
              <w:rPr>
                <w:rFonts w:eastAsia="Times New Roman" w:cs="Times New Roman"/>
                <w:lang w:eastAsia="bg-BG" w:bidi="bg-BG"/>
              </w:rPr>
              <w:t xml:space="preserve"> ще има пряк принос към  елемент</w:t>
            </w:r>
            <w:r w:rsidR="00D667A2" w:rsidRPr="009F6D1E">
              <w:rPr>
                <w:rFonts w:eastAsia="Times New Roman" w:cs="Times New Roman"/>
                <w:lang w:eastAsia="bg-BG" w:bidi="bg-BG"/>
              </w:rPr>
              <w:t>и</w:t>
            </w:r>
            <w:r w:rsidR="00F45AB2" w:rsidRPr="009F6D1E">
              <w:rPr>
                <w:rFonts w:eastAsia="Times New Roman" w:cs="Times New Roman"/>
                <w:lang w:eastAsia="bg-BG" w:bidi="bg-BG"/>
              </w:rPr>
              <w:t xml:space="preserve"> 3 </w:t>
            </w:r>
            <w:r w:rsidR="00D667A2" w:rsidRPr="009F6D1E">
              <w:rPr>
                <w:rFonts w:eastAsia="Times New Roman" w:cs="Times New Roman"/>
                <w:lang w:eastAsia="bg-BG" w:bidi="bg-BG"/>
              </w:rPr>
              <w:t xml:space="preserve">и 5 </w:t>
            </w:r>
            <w:r w:rsidR="00F45AB2" w:rsidRPr="009F6D1E">
              <w:rPr>
                <w:rFonts w:eastAsia="Times New Roman" w:cs="Times New Roman"/>
                <w:lang w:eastAsia="bg-BG" w:bidi="bg-BG"/>
              </w:rPr>
              <w:t>чрез:</w:t>
            </w:r>
          </w:p>
          <w:p w14:paraId="4A2A24ED" w14:textId="77777777" w:rsidR="00573111" w:rsidRPr="009F6D1E" w:rsidRDefault="00F45AB2" w:rsidP="0084747F">
            <w:pPr>
              <w:widowControl w:val="0"/>
              <w:spacing w:after="60" w:line="264" w:lineRule="auto"/>
              <w:jc w:val="both"/>
              <w:rPr>
                <w:rFonts w:eastAsia="Calibri" w:cs="Times New Roman"/>
                <w:lang w:eastAsia="en-GB" w:bidi="bg-BG"/>
              </w:rPr>
            </w:pPr>
            <w:r w:rsidRPr="009F6D1E">
              <w:rPr>
                <w:rFonts w:eastAsia="Times New Roman" w:cs="Times New Roman"/>
                <w:i/>
                <w:iCs/>
                <w:lang w:eastAsia="bg-BG" w:bidi="bg-BG"/>
              </w:rPr>
              <w:t>Специфична цел №8 - потребност</w:t>
            </w:r>
            <w:r w:rsidR="00573111" w:rsidRPr="009F6D1E">
              <w:rPr>
                <w:rFonts w:cs="Times New Roman"/>
                <w:lang w:bidi="bg-BG"/>
              </w:rPr>
              <w:t xml:space="preserve"> </w:t>
            </w:r>
            <w:r w:rsidR="00573111" w:rsidRPr="009F6D1E">
              <w:rPr>
                <w:rFonts w:eastAsia="Times New Roman" w:cs="Times New Roman"/>
                <w:i/>
                <w:iCs/>
                <w:lang w:eastAsia="bg-BG" w:bidi="bg-BG"/>
              </w:rPr>
              <w:t xml:space="preserve">Подобряване на публична инфраструктурата и технико-комуникационните системи </w:t>
            </w:r>
            <w:proofErr w:type="spellStart"/>
            <w:r w:rsidR="00573111" w:rsidRPr="009F6D1E">
              <w:rPr>
                <w:rFonts w:eastAsia="Times New Roman" w:cs="Times New Roman"/>
                <w:i/>
                <w:iCs/>
                <w:lang w:eastAsia="bg-BG" w:bidi="bg-BG"/>
              </w:rPr>
              <w:t>вселските</w:t>
            </w:r>
            <w:proofErr w:type="spellEnd"/>
            <w:r w:rsidR="00573111" w:rsidRPr="009F6D1E">
              <w:rPr>
                <w:rFonts w:eastAsia="Times New Roman" w:cs="Times New Roman"/>
                <w:i/>
                <w:iCs/>
                <w:lang w:eastAsia="bg-BG" w:bidi="bg-BG"/>
              </w:rPr>
              <w:t xml:space="preserve"> райони, чрез</w:t>
            </w:r>
            <w:r w:rsidRPr="009F6D1E">
              <w:rPr>
                <w:rFonts w:eastAsia="Calibri" w:cs="Times New Roman"/>
                <w:lang w:eastAsia="en-GB" w:bidi="bg-BG"/>
              </w:rPr>
              <w:t xml:space="preserve"> </w:t>
            </w:r>
            <w:r w:rsidR="00573111" w:rsidRPr="009F6D1E">
              <w:rPr>
                <w:rFonts w:eastAsia="Calibri" w:cs="Times New Roman"/>
                <w:lang w:eastAsia="en-GB" w:bidi="bg-BG"/>
              </w:rPr>
              <w:t>инвестиции в основни услуги и дребна по мащаби инфраструктура в селските райони. В рамките на тази интервенция ще се прилага подход за насочване на инвестиции в малки по мащаби инфраструктура, който се състои в предварително определяне на разполагаем бюджет за съответната общинска територия съобразно обективни и недискриминационни критерии.</w:t>
            </w:r>
          </w:p>
          <w:p w14:paraId="4DD78651" w14:textId="77777777" w:rsidR="00F45AB2" w:rsidRPr="009F6D1E" w:rsidRDefault="00573111" w:rsidP="0084747F">
            <w:pPr>
              <w:widowControl w:val="0"/>
              <w:spacing w:after="60" w:line="264" w:lineRule="auto"/>
              <w:jc w:val="both"/>
              <w:rPr>
                <w:rFonts w:eastAsia="Calibri" w:cs="Times New Roman"/>
                <w:lang w:eastAsia="en-GB" w:bidi="bg-BG"/>
              </w:rPr>
            </w:pPr>
            <w:r w:rsidRPr="009F6D1E">
              <w:rPr>
                <w:rFonts w:eastAsia="Calibri" w:cs="Times New Roman"/>
                <w:i/>
                <w:iCs/>
                <w:lang w:eastAsia="en-GB" w:bidi="bg-BG"/>
              </w:rPr>
              <w:t xml:space="preserve"> Част от инвестициите по интервенцията ще се допълват през подхода ВОМР, който ще подпомага „Подобряване на обектите за развитие на традициите и на културно-историческите обекти―, чрез инвестиции за обекти, свързани с културния живот.</w:t>
            </w:r>
            <w:r w:rsidR="00F45AB2" w:rsidRPr="009F6D1E">
              <w:rPr>
                <w:rFonts w:eastAsia="Calibri" w:cs="Times New Roman"/>
                <w:i/>
                <w:iCs/>
                <w:lang w:eastAsia="en-GB" w:bidi="bg-BG"/>
              </w:rPr>
              <w:t>.“</w:t>
            </w:r>
          </w:p>
          <w:p w14:paraId="6048B2AE" w14:textId="77777777" w:rsidR="00F45AB2" w:rsidRPr="009F6D1E" w:rsidRDefault="00F45AB2" w:rsidP="0084747F">
            <w:pPr>
              <w:widowControl w:val="0"/>
              <w:spacing w:after="60" w:line="264" w:lineRule="auto"/>
              <w:jc w:val="both"/>
              <w:rPr>
                <w:rFonts w:eastAsia="Times New Roman" w:cs="Times New Roman"/>
                <w:i/>
                <w:iCs/>
                <w:u w:val="single"/>
                <w:lang w:eastAsia="bg-BG" w:bidi="bg-BG"/>
              </w:rPr>
            </w:pPr>
            <w:r w:rsidRPr="009F6D1E">
              <w:rPr>
                <w:rFonts w:cs="Times New Roman"/>
              </w:rPr>
              <w:t>Пряко отношение и принос към Елемент 4, има</w:t>
            </w:r>
            <w:r w:rsidRPr="009F6D1E">
              <w:rPr>
                <w:rFonts w:eastAsia="Times New Roman" w:cs="Times New Roman"/>
                <w:lang w:eastAsia="bg-BG" w:bidi="bg-BG"/>
              </w:rPr>
              <w:t>т:</w:t>
            </w:r>
          </w:p>
          <w:p w14:paraId="5FFBB492" w14:textId="77777777" w:rsidR="00F45AB2" w:rsidRPr="009F6D1E" w:rsidRDefault="00F45AB2"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B20D0A" w:rsidRPr="009F6D1E">
              <w:rPr>
                <w:rFonts w:cs="Times New Roman"/>
              </w:rPr>
              <w:t xml:space="preserve"> </w:t>
            </w:r>
            <w:r w:rsidR="00B20D0A"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w:t>
            </w:r>
            <w:r w:rsidR="00B20D0A" w:rsidRPr="009F6D1E">
              <w:rPr>
                <w:rFonts w:cs="Times New Roman"/>
                <w:i/>
              </w:rPr>
              <w:lastRenderedPageBreak/>
              <w:t xml:space="preserve">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564B2C70" w14:textId="77777777" w:rsidR="00F45AB2" w:rsidRPr="009F6D1E" w:rsidRDefault="00F45AB2"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CD1D38" w:rsidRPr="009F6D1E">
              <w:rPr>
                <w:rFonts w:cs="Times New Roman"/>
              </w:rPr>
              <w:t xml:space="preserve"> </w:t>
            </w:r>
            <w:r w:rsidR="00CD1D38"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1CF4B801" w14:textId="77777777" w:rsidR="00F45AB2" w:rsidRPr="009F6D1E" w:rsidRDefault="00F45AB2" w:rsidP="0084747F">
            <w:pPr>
              <w:widowControl w:val="0"/>
              <w:spacing w:after="60" w:line="264" w:lineRule="auto"/>
              <w:jc w:val="both"/>
              <w:rPr>
                <w:rFonts w:cs="Times New Roman"/>
                <w:iCs/>
              </w:rPr>
            </w:pPr>
            <w:r w:rsidRPr="009F6D1E">
              <w:rPr>
                <w:rFonts w:cs="Times New Roman"/>
                <w:iCs/>
              </w:rPr>
              <w:t>Косвен принос имат:</w:t>
            </w:r>
          </w:p>
          <w:p w14:paraId="7343C6BE" w14:textId="77777777" w:rsidR="00F45AB2" w:rsidRPr="009F6D1E" w:rsidRDefault="00F45AB2"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CD1D38" w:rsidRPr="009F6D1E">
              <w:rPr>
                <w:rFonts w:cs="Times New Roman"/>
              </w:rPr>
              <w:t xml:space="preserve"> </w:t>
            </w:r>
            <w:r w:rsidR="00CD1D38" w:rsidRPr="009F6D1E">
              <w:rPr>
                <w:rFonts w:cs="Times New Roman"/>
                <w:i/>
              </w:rPr>
              <w:t xml:space="preserve">П.1.5.Надграждане и диверсифициране на системата за управление на риска и управление на кризите в земеделието </w:t>
            </w:r>
            <w:r w:rsidRPr="009F6D1E">
              <w:rPr>
                <w:rFonts w:eastAsia="Times New Roman" w:cs="Times New Roman"/>
                <w:lang w:eastAsia="bg-BG" w:bidi="bg-BG"/>
              </w:rPr>
              <w:t>и интервенциите към нея.</w:t>
            </w:r>
          </w:p>
          <w:p w14:paraId="0A2C52B3" w14:textId="77777777" w:rsidR="00C301B6" w:rsidRPr="009F6D1E" w:rsidRDefault="00F45AB2" w:rsidP="0084747F">
            <w:pPr>
              <w:widowControl w:val="0"/>
              <w:spacing w:after="60" w:line="264" w:lineRule="auto"/>
              <w:contextualSpacing/>
              <w:jc w:val="both"/>
              <w:rPr>
                <w:rFonts w:eastAsia="Times New Roman" w:cs="Times New Roman"/>
                <w:i/>
                <w:lang w:eastAsia="bg-BG" w:bidi="bg-BG"/>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CD1D38" w:rsidRPr="009F6D1E">
              <w:rPr>
                <w:rFonts w:cs="Times New Roman"/>
              </w:rPr>
              <w:t xml:space="preserve"> </w:t>
            </w:r>
            <w:r w:rsidR="00CD1D38"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 „Инвестиции за неселскостопански  дейности  в селските райони</w:t>
            </w:r>
            <w:r w:rsidR="00CD1D38" w:rsidRPr="009F6D1E">
              <w:rPr>
                <w:rFonts w:eastAsia="Times New Roman" w:cs="Times New Roman"/>
                <w:iCs/>
                <w:lang w:eastAsia="bg-BG" w:bidi="bg-BG"/>
              </w:rPr>
              <w:t>“</w:t>
            </w:r>
            <w:r w:rsidRPr="009F6D1E">
              <w:rPr>
                <w:rFonts w:eastAsia="Times New Roman" w:cs="Times New Roman"/>
                <w:iCs/>
                <w:lang w:eastAsia="bg-BG" w:bidi="bg-BG"/>
              </w:rPr>
              <w:t>, чрез която се предвижда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p w14:paraId="616D5140" w14:textId="77777777" w:rsidR="00D667A2" w:rsidRPr="009F6D1E" w:rsidRDefault="00D667A2" w:rsidP="0084747F">
            <w:pPr>
              <w:widowControl w:val="0"/>
              <w:spacing w:after="60" w:line="264" w:lineRule="auto"/>
              <w:contextualSpacing/>
              <w:jc w:val="both"/>
              <w:rPr>
                <w:rFonts w:eastAsia="Calibri" w:cs="Times New Roman"/>
                <w:b/>
                <w:bCs/>
                <w:i/>
                <w:iCs/>
              </w:rPr>
            </w:pPr>
            <w:r w:rsidRPr="009F6D1E">
              <w:rPr>
                <w:rFonts w:eastAsia="Calibri" w:cs="Times New Roman"/>
              </w:rPr>
              <w:t xml:space="preserve">По отношение на Елементи 6 и 7 </w:t>
            </w:r>
            <w:r w:rsidR="00CD4045" w:rsidRPr="009F6D1E">
              <w:rPr>
                <w:rFonts w:eastAsia="Calibri" w:cs="Times New Roman"/>
              </w:rPr>
              <w:t>СПРЗСР</w:t>
            </w:r>
            <w:r w:rsidRPr="009F6D1E">
              <w:rPr>
                <w:rFonts w:eastAsia="Calibri" w:cs="Times New Roman"/>
              </w:rPr>
              <w:t xml:space="preserve"> интегрира целта на </w:t>
            </w:r>
            <w:r w:rsidRPr="009F6D1E">
              <w:rPr>
                <w:rFonts w:eastAsia="Calibri" w:cs="Times New Roman"/>
              </w:rPr>
              <w:lastRenderedPageBreak/>
              <w:t>политиката за по-зелена, нисковъглеродна Европа, като са предвидени конкретни дейности и мерки, с принос към адаптация към изменението на климата – за опазване на биологичното разнообразие, кръгова икономика, ресурсна и енергийна ефективност.</w:t>
            </w:r>
          </w:p>
        </w:tc>
      </w:tr>
      <w:tr w:rsidR="00045E99" w:rsidRPr="009F6D1E" w14:paraId="6A30C726" w14:textId="77777777" w:rsidTr="0078017C">
        <w:tc>
          <w:tcPr>
            <w:tcW w:w="7139" w:type="dxa"/>
          </w:tcPr>
          <w:p w14:paraId="6D172210" w14:textId="77777777" w:rsidR="00045E99" w:rsidRPr="009F6D1E" w:rsidRDefault="00045E99" w:rsidP="0084747F">
            <w:pPr>
              <w:widowControl w:val="0"/>
              <w:spacing w:after="60" w:line="264" w:lineRule="auto"/>
              <w:jc w:val="both"/>
              <w:rPr>
                <w:rFonts w:cs="Times New Roman"/>
                <w:b/>
                <w:bCs/>
                <w:i/>
                <w:iCs/>
              </w:rPr>
            </w:pPr>
            <w:r w:rsidRPr="009F6D1E">
              <w:rPr>
                <w:rFonts w:cs="Times New Roman"/>
                <w:b/>
                <w:bCs/>
                <w:i/>
                <w:iCs/>
              </w:rPr>
              <w:lastRenderedPageBreak/>
              <w:t>Съобщение на Европейската комисия: „Изграждане на устойчива към климатичните изменения Европа – новата стратегия на ЕС за адаптиране към изменението на климата“ (COM(2021)82)</w:t>
            </w:r>
          </w:p>
          <w:p w14:paraId="2B82B826" w14:textId="77777777" w:rsidR="00045E99" w:rsidRPr="009F6D1E" w:rsidRDefault="00045E99" w:rsidP="0084747F">
            <w:pPr>
              <w:widowControl w:val="0"/>
              <w:spacing w:after="60" w:line="264" w:lineRule="auto"/>
              <w:jc w:val="both"/>
              <w:rPr>
                <w:rFonts w:cs="Times New Roman"/>
                <w:i/>
                <w:iCs/>
              </w:rPr>
            </w:pPr>
            <w:r w:rsidRPr="009F6D1E">
              <w:rPr>
                <w:rFonts w:cs="Times New Roman"/>
                <w:i/>
                <w:iCs/>
              </w:rPr>
              <w:t xml:space="preserve">Насоки: </w:t>
            </w:r>
          </w:p>
          <w:p w14:paraId="50DF58DA"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1. Изграждане на устойчив на климатичните изменения Съюз: </w:t>
            </w:r>
          </w:p>
          <w:p w14:paraId="2360953D"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1.1. По-интелигентно адаптиране: подобряване на знанията и управление на несигурността – разширяване на границите на знанието относно адаптирането; повече и по-добри данни за риска и загубите, свързани с климата; превръщане на </w:t>
            </w:r>
            <w:proofErr w:type="spellStart"/>
            <w:r w:rsidRPr="009F6D1E">
              <w:rPr>
                <w:rFonts w:cs="Times New Roman"/>
              </w:rPr>
              <w:t>Climate</w:t>
            </w:r>
            <w:proofErr w:type="spellEnd"/>
            <w:r w:rsidRPr="009F6D1E">
              <w:rPr>
                <w:rFonts w:cs="Times New Roman"/>
              </w:rPr>
              <w:t>-ADAPT в авторитетна европейска платформа по въпросите на адаптирането.</w:t>
            </w:r>
          </w:p>
          <w:p w14:paraId="4B4A0A2B"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1.2. По-систематично адаптиране: подкрепа за разработване на политика на всички равнища и във всички сектори – подобряване на стратегиите и плановете за адаптиране; насърчаване на местната, индивидуална и справедлива устойчивост; интегриране на </w:t>
            </w:r>
            <w:r w:rsidRPr="009F6D1E">
              <w:rPr>
                <w:rFonts w:cs="Times New Roman"/>
              </w:rPr>
              <w:lastRenderedPageBreak/>
              <w:t xml:space="preserve">устойчивостта спрямо изменението на климата в националните фискални рамки; насърчаване на природосъобразни решения за адаптиране; </w:t>
            </w:r>
          </w:p>
          <w:p w14:paraId="7274F89F" w14:textId="77777777" w:rsidR="00045E99" w:rsidRPr="009F6D1E" w:rsidRDefault="00045E99" w:rsidP="0084747F">
            <w:pPr>
              <w:widowControl w:val="0"/>
              <w:spacing w:after="60" w:line="264" w:lineRule="auto"/>
              <w:jc w:val="both"/>
              <w:rPr>
                <w:rFonts w:cs="Times New Roman"/>
              </w:rPr>
            </w:pPr>
            <w:r w:rsidRPr="009F6D1E">
              <w:rPr>
                <w:rFonts w:cs="Times New Roman"/>
              </w:rPr>
              <w:t>1.3. По-бързо адаптиране: повсеместно ускоряване на адаптирането – ускоряване на внедряването на решения за адаптиране; намаляване на риска, свързан с климата; отстраняване на пропуските в опазването на климата; осигуряване на наличност и устойчивост на прясната вода.</w:t>
            </w:r>
          </w:p>
          <w:p w14:paraId="0C72E646" w14:textId="77777777" w:rsidR="00045E99" w:rsidRPr="009F6D1E" w:rsidRDefault="00045E99" w:rsidP="0084747F">
            <w:pPr>
              <w:widowControl w:val="0"/>
              <w:spacing w:after="60" w:line="264" w:lineRule="auto"/>
              <w:jc w:val="both"/>
              <w:rPr>
                <w:rFonts w:cs="Times New Roman"/>
              </w:rPr>
            </w:pPr>
            <w:r w:rsidRPr="009F6D1E">
              <w:rPr>
                <w:rFonts w:cs="Times New Roman"/>
              </w:rPr>
              <w:t xml:space="preserve">2. Засилване на международните действия за устойчивост спрямо изменението на климата: </w:t>
            </w:r>
          </w:p>
          <w:p w14:paraId="2EF8BE4F" w14:textId="77777777" w:rsidR="00045E99" w:rsidRPr="009F6D1E" w:rsidRDefault="00045E99" w:rsidP="0084747F">
            <w:pPr>
              <w:widowControl w:val="0"/>
              <w:spacing w:after="60" w:line="264" w:lineRule="auto"/>
              <w:jc w:val="both"/>
              <w:rPr>
                <w:rFonts w:cs="Times New Roman"/>
              </w:rPr>
            </w:pPr>
            <w:r w:rsidRPr="009F6D1E">
              <w:rPr>
                <w:rFonts w:cs="Times New Roman"/>
              </w:rPr>
              <w:t>2.1. Увеличаване на подкрепата за международната устойчивост и готовност по отношение на климата</w:t>
            </w:r>
          </w:p>
          <w:p w14:paraId="17A99CFE" w14:textId="77777777" w:rsidR="00045E99" w:rsidRPr="009F6D1E" w:rsidRDefault="00045E99" w:rsidP="0084747F">
            <w:pPr>
              <w:widowControl w:val="0"/>
              <w:spacing w:after="60" w:line="264" w:lineRule="auto"/>
              <w:jc w:val="both"/>
              <w:rPr>
                <w:rFonts w:cs="Times New Roman"/>
              </w:rPr>
            </w:pPr>
            <w:r w:rsidRPr="009F6D1E">
              <w:rPr>
                <w:rFonts w:cs="Times New Roman"/>
              </w:rPr>
              <w:t>2.2. Увеличаване на международното финансиране за изграждане на устойчивост спрямо изменението на климата</w:t>
            </w:r>
          </w:p>
          <w:p w14:paraId="60F869E7" w14:textId="77777777" w:rsidR="00045E99" w:rsidRPr="009F6D1E" w:rsidRDefault="00045E99" w:rsidP="0084747F">
            <w:pPr>
              <w:widowControl w:val="0"/>
              <w:spacing w:after="60" w:line="264" w:lineRule="auto"/>
              <w:jc w:val="both"/>
              <w:rPr>
                <w:rFonts w:cs="Times New Roman"/>
                <w:b/>
                <w:bCs/>
              </w:rPr>
            </w:pPr>
            <w:r w:rsidRPr="009F6D1E">
              <w:rPr>
                <w:rFonts w:cs="Times New Roman"/>
              </w:rPr>
              <w:t>2.3. Укрепване на глобалния ангажимент и обмена по отношение на адаптирането</w:t>
            </w:r>
          </w:p>
        </w:tc>
        <w:tc>
          <w:tcPr>
            <w:tcW w:w="7139" w:type="dxa"/>
          </w:tcPr>
          <w:p w14:paraId="3503B483" w14:textId="77777777" w:rsidR="00045E99" w:rsidRPr="009F6D1E" w:rsidRDefault="00CD4045" w:rsidP="0084747F">
            <w:pPr>
              <w:widowControl w:val="0"/>
              <w:spacing w:after="60" w:line="264" w:lineRule="auto"/>
              <w:contextualSpacing/>
              <w:jc w:val="both"/>
              <w:rPr>
                <w:rFonts w:eastAsia="Calibri" w:cs="Times New Roman"/>
                <w:b/>
                <w:bCs/>
                <w:i/>
                <w:iCs/>
              </w:rPr>
            </w:pPr>
            <w:r w:rsidRPr="009F6D1E">
              <w:rPr>
                <w:rFonts w:eastAsia="Calibri" w:cs="Times New Roman"/>
              </w:rPr>
              <w:lastRenderedPageBreak/>
              <w:t>СПРЗСР</w:t>
            </w:r>
            <w:r w:rsidR="00F76DFF" w:rsidRPr="009F6D1E">
              <w:rPr>
                <w:rFonts w:eastAsia="Calibri" w:cs="Times New Roman"/>
              </w:rPr>
              <w:t xml:space="preserve"> интегрира целта на политиката за по-зелена, нисковъглеродна Европа, като са предвидени конкретни </w:t>
            </w:r>
            <w:r w:rsidR="00D129B4" w:rsidRPr="009F6D1E">
              <w:rPr>
                <w:rFonts w:eastAsia="Calibri" w:cs="Times New Roman"/>
              </w:rPr>
              <w:t>потребности и интервенции</w:t>
            </w:r>
            <w:r w:rsidR="00F76DFF" w:rsidRPr="009F6D1E">
              <w:rPr>
                <w:rFonts w:eastAsia="Calibri" w:cs="Times New Roman"/>
              </w:rPr>
              <w:t>, с принос към адаптация към изменението на климата – за опазване на биологичното разнообразие, кръгова икономика, ресурсна и енергийна ефективност.</w:t>
            </w:r>
          </w:p>
        </w:tc>
      </w:tr>
      <w:tr w:rsidR="00045E99" w:rsidRPr="009F6D1E" w14:paraId="4DB2394C" w14:textId="77777777" w:rsidTr="0078017C">
        <w:tc>
          <w:tcPr>
            <w:tcW w:w="7139" w:type="dxa"/>
          </w:tcPr>
          <w:p w14:paraId="6C54FA88" w14:textId="77777777" w:rsidR="00045E99" w:rsidRPr="009F6D1E" w:rsidRDefault="00045E99" w:rsidP="0084747F">
            <w:pPr>
              <w:widowControl w:val="0"/>
              <w:spacing w:after="60" w:line="264" w:lineRule="auto"/>
              <w:jc w:val="both"/>
              <w:rPr>
                <w:rFonts w:cs="Times New Roman"/>
                <w:b/>
                <w:bCs/>
                <w:i/>
                <w:iCs/>
              </w:rPr>
            </w:pPr>
            <w:r w:rsidRPr="009F6D1E">
              <w:rPr>
                <w:rFonts w:cs="Times New Roman"/>
                <w:b/>
                <w:bCs/>
                <w:i/>
                <w:iCs/>
              </w:rPr>
              <w:t>Съобщение на Европейската комисия „Път към здравословна планета за всички. План за действие на ЕС: Към нулево замърсяване на въздуха, водата и почвата“ (COM(2021)400)</w:t>
            </w:r>
          </w:p>
          <w:p w14:paraId="131C2BAB" w14:textId="77777777" w:rsidR="00045E99" w:rsidRPr="009F6D1E" w:rsidRDefault="00045E99" w:rsidP="0084747F">
            <w:pPr>
              <w:widowControl w:val="0"/>
              <w:spacing w:after="60" w:line="264" w:lineRule="auto"/>
              <w:jc w:val="both"/>
              <w:rPr>
                <w:rFonts w:cs="Times New Roman"/>
                <w:b/>
                <w:bCs/>
                <w:i/>
                <w:iCs/>
              </w:rPr>
            </w:pPr>
            <w:r w:rsidRPr="009F6D1E">
              <w:rPr>
                <w:rFonts w:cs="Times New Roman"/>
                <w:b/>
                <w:bCs/>
                <w:i/>
                <w:iCs/>
              </w:rPr>
              <w:lastRenderedPageBreak/>
              <w:t xml:space="preserve">Водещи инициативи: </w:t>
            </w:r>
          </w:p>
          <w:p w14:paraId="3AC40721"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1: Намаляване на неравнопоставеността в здравеопазването посредством нулево замърсяване</w:t>
            </w:r>
          </w:p>
          <w:p w14:paraId="0D5245D2"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2: Подкрепа на действия за нулево замърсяване в градските райони</w:t>
            </w:r>
          </w:p>
          <w:p w14:paraId="284D520C"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3: Насърчаване на нулево замърсяване в различните региони</w:t>
            </w:r>
          </w:p>
          <w:p w14:paraId="39515826"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4:  Улесняване на избора за нулево замърсяване</w:t>
            </w:r>
          </w:p>
          <w:p w14:paraId="00AF6FB8"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5: Съвместно прилагане на нулево замърсяване</w:t>
            </w:r>
          </w:p>
          <w:p w14:paraId="655D8503"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6: Представяне на решения за нулево замърсяване за сгради</w:t>
            </w:r>
          </w:p>
          <w:p w14:paraId="4FC4B382"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7: Живи лаборатории за екологични цифрови решения и интелигентно нулево замърсяване</w:t>
            </w:r>
          </w:p>
          <w:p w14:paraId="48276B5A" w14:textId="77777777" w:rsidR="00045E99" w:rsidRPr="009F6D1E" w:rsidRDefault="00045E99" w:rsidP="0084747F">
            <w:pPr>
              <w:widowControl w:val="0"/>
              <w:spacing w:after="60" w:line="264" w:lineRule="auto"/>
              <w:jc w:val="both"/>
              <w:rPr>
                <w:rFonts w:cs="Times New Roman"/>
              </w:rPr>
            </w:pPr>
            <w:r w:rsidRPr="009F6D1E">
              <w:rPr>
                <w:rFonts w:cs="Times New Roman"/>
              </w:rPr>
              <w:t>Водеща инициатива 8: Свеждане до минимум на европейския отпечатък при замърсяването в други региони на света</w:t>
            </w:r>
          </w:p>
          <w:p w14:paraId="2B4E2F77" w14:textId="77777777" w:rsidR="00045E99" w:rsidRPr="009F6D1E" w:rsidRDefault="00045E99" w:rsidP="0084747F">
            <w:pPr>
              <w:widowControl w:val="0"/>
              <w:spacing w:after="60" w:line="264" w:lineRule="auto"/>
              <w:jc w:val="both"/>
              <w:rPr>
                <w:rFonts w:cs="Times New Roman"/>
                <w:b/>
                <w:bCs/>
              </w:rPr>
            </w:pPr>
            <w:r w:rsidRPr="009F6D1E">
              <w:rPr>
                <w:rFonts w:cs="Times New Roman"/>
              </w:rPr>
              <w:t>Водеща инициатива 9: Консолидиране на центровете за знания на ЕС в областта на нулевото замърсяване</w:t>
            </w:r>
          </w:p>
        </w:tc>
        <w:tc>
          <w:tcPr>
            <w:tcW w:w="7139" w:type="dxa"/>
          </w:tcPr>
          <w:p w14:paraId="717FC4EA" w14:textId="77777777" w:rsidR="00045E99" w:rsidRPr="009F6D1E" w:rsidRDefault="00CD4045" w:rsidP="0084747F">
            <w:pPr>
              <w:widowControl w:val="0"/>
              <w:spacing w:after="60" w:line="264" w:lineRule="auto"/>
              <w:contextualSpacing/>
              <w:jc w:val="both"/>
              <w:rPr>
                <w:rFonts w:eastAsia="Calibri" w:cs="Times New Roman"/>
              </w:rPr>
            </w:pPr>
            <w:r w:rsidRPr="009F6D1E">
              <w:rPr>
                <w:rFonts w:eastAsia="Calibri" w:cs="Times New Roman"/>
              </w:rPr>
              <w:lastRenderedPageBreak/>
              <w:t>СПРЗСР</w:t>
            </w:r>
            <w:r w:rsidR="00D129B4" w:rsidRPr="009F6D1E">
              <w:rPr>
                <w:rFonts w:eastAsia="Calibri" w:cs="Times New Roman"/>
              </w:rPr>
              <w:t xml:space="preserve"> съобразява Съобщението на ЕК, като са предвидени конкретни цели и потребности за намаляване на неравенствата, съответно – неравнопоставеността, в т.ч. по отношение на здравното състояние на населението, което ще се постигне чрез </w:t>
            </w:r>
            <w:r w:rsidR="00D129B4" w:rsidRPr="009F6D1E">
              <w:rPr>
                <w:rFonts w:eastAsia="Calibri" w:cs="Times New Roman"/>
              </w:rPr>
              <w:lastRenderedPageBreak/>
              <w:t xml:space="preserve">реализиране на интервенциите, </w:t>
            </w:r>
            <w:proofErr w:type="spellStart"/>
            <w:r w:rsidR="00D129B4" w:rsidRPr="009F6D1E">
              <w:rPr>
                <w:rFonts w:eastAsia="Calibri" w:cs="Times New Roman"/>
              </w:rPr>
              <w:t>т.к</w:t>
            </w:r>
            <w:proofErr w:type="spellEnd"/>
            <w:r w:rsidR="00D129B4" w:rsidRPr="009F6D1E">
              <w:rPr>
                <w:rFonts w:eastAsia="Calibri" w:cs="Times New Roman"/>
              </w:rPr>
              <w:t>. те ще доведат до подобряване качеството на средата на населените места, ограничаване на замърсяването и подобряване на качеството на живот като цяло.</w:t>
            </w:r>
          </w:p>
        </w:tc>
      </w:tr>
      <w:tr w:rsidR="00045E99" w:rsidRPr="009F6D1E" w14:paraId="3E56FACE" w14:textId="77777777" w:rsidTr="0078017C">
        <w:tc>
          <w:tcPr>
            <w:tcW w:w="7139" w:type="dxa"/>
          </w:tcPr>
          <w:p w14:paraId="494CEEDA" w14:textId="77777777" w:rsidR="00045E99" w:rsidRPr="009F6D1E" w:rsidRDefault="00045E99" w:rsidP="0084747F">
            <w:pPr>
              <w:widowControl w:val="0"/>
              <w:autoSpaceDE w:val="0"/>
              <w:autoSpaceDN w:val="0"/>
              <w:adjustRightInd w:val="0"/>
              <w:spacing w:after="60" w:line="264" w:lineRule="auto"/>
              <w:jc w:val="both"/>
              <w:rPr>
                <w:rFonts w:cs="Times New Roman"/>
                <w:b/>
                <w:bCs/>
                <w:i/>
                <w:iCs/>
              </w:rPr>
            </w:pPr>
            <w:r w:rsidRPr="009F6D1E">
              <w:rPr>
                <w:rFonts w:cs="Times New Roman"/>
                <w:b/>
                <w:bCs/>
                <w:i/>
                <w:iCs/>
              </w:rPr>
              <w:lastRenderedPageBreak/>
              <w:t>Съобщение на Европейската комисия „Нова стратегия на ЕС за горите за 2030 г.“, COM(2021) 572</w:t>
            </w:r>
          </w:p>
          <w:p w14:paraId="2773FDA9" w14:textId="77777777" w:rsidR="00045E99" w:rsidRPr="009F6D1E" w:rsidRDefault="00045E99" w:rsidP="0084747F">
            <w:pPr>
              <w:widowControl w:val="0"/>
              <w:spacing w:after="60" w:line="264" w:lineRule="auto"/>
              <w:jc w:val="both"/>
              <w:rPr>
                <w:rFonts w:cs="Times New Roman"/>
                <w:b/>
                <w:bCs/>
              </w:rPr>
            </w:pPr>
            <w:r w:rsidRPr="009F6D1E">
              <w:rPr>
                <w:rFonts w:eastAsia="Times New Roman" w:cs="Times New Roman"/>
              </w:rPr>
              <w:lastRenderedPageBreak/>
              <w:t>Основна цел: приспособяване на европейските гори към новите условия, екстремните метеорологични явления и високата степен на несигурност, породена от изменението на климата</w:t>
            </w:r>
          </w:p>
        </w:tc>
        <w:tc>
          <w:tcPr>
            <w:tcW w:w="7139" w:type="dxa"/>
          </w:tcPr>
          <w:p w14:paraId="27D6F56B" w14:textId="77777777" w:rsidR="00DB30ED" w:rsidRPr="009F6D1E" w:rsidRDefault="00CD4045" w:rsidP="0084747F">
            <w:pPr>
              <w:widowControl w:val="0"/>
              <w:spacing w:after="60" w:line="264" w:lineRule="auto"/>
              <w:jc w:val="both"/>
              <w:rPr>
                <w:rFonts w:eastAsia="Times New Roman" w:cs="Times New Roman"/>
                <w:lang w:eastAsia="bg-BG" w:bidi="bg-BG"/>
              </w:rPr>
            </w:pPr>
            <w:r w:rsidRPr="009F6D1E">
              <w:rPr>
                <w:rFonts w:eastAsia="Times New Roman" w:cs="Times New Roman"/>
                <w:lang w:eastAsia="bg-BG" w:bidi="bg-BG"/>
              </w:rPr>
              <w:lastRenderedPageBreak/>
              <w:t>СПРЗСР</w:t>
            </w:r>
            <w:r w:rsidR="00DB30ED" w:rsidRPr="009F6D1E">
              <w:rPr>
                <w:rFonts w:eastAsia="Times New Roman" w:cs="Times New Roman"/>
                <w:lang w:eastAsia="bg-BG" w:bidi="bg-BG"/>
              </w:rPr>
              <w:t xml:space="preserve"> ще има пряк принос към  Новата стратегия чрез:</w:t>
            </w:r>
          </w:p>
          <w:p w14:paraId="7C91C61C" w14:textId="77777777" w:rsidR="00DB30ED" w:rsidRPr="009F6D1E" w:rsidRDefault="00DB30ED" w:rsidP="0084747F">
            <w:pPr>
              <w:widowControl w:val="0"/>
              <w:spacing w:after="60" w:line="264" w:lineRule="auto"/>
              <w:jc w:val="both"/>
              <w:rPr>
                <w:rFonts w:eastAsia="Calibri" w:cs="Times New Roman"/>
                <w:lang w:bidi="bg-BG"/>
              </w:rPr>
            </w:pPr>
            <w:r w:rsidRPr="009F6D1E">
              <w:rPr>
                <w:rFonts w:eastAsia="Calibri" w:cs="Times New Roman"/>
                <w:i/>
                <w:iCs/>
                <w:lang w:bidi="bg-BG"/>
              </w:rPr>
              <w:t>Интервенцията „Горско-екологични дейности в горите“</w:t>
            </w:r>
            <w:r w:rsidRPr="009F6D1E">
              <w:rPr>
                <w:rFonts w:eastAsia="Calibri" w:cs="Times New Roman"/>
                <w:lang w:bidi="bg-BG"/>
              </w:rPr>
              <w:t xml:space="preserve"> към</w:t>
            </w:r>
            <w:r w:rsidRPr="009F6D1E">
              <w:rPr>
                <w:rFonts w:eastAsia="Times New Roman" w:cs="Times New Roman"/>
                <w:b/>
                <w:lang w:eastAsia="en-GB" w:bidi="bg-BG"/>
              </w:rPr>
              <w:t xml:space="preserve"> </w:t>
            </w:r>
            <w:r w:rsidRPr="009F6D1E">
              <w:rPr>
                <w:rFonts w:eastAsia="Times New Roman" w:cs="Times New Roman"/>
                <w:i/>
                <w:lang w:eastAsia="bg-BG" w:bidi="bg-BG"/>
              </w:rPr>
              <w:lastRenderedPageBreak/>
              <w:t xml:space="preserve">Потребност </w:t>
            </w:r>
            <w:r w:rsidR="008F7661" w:rsidRPr="009F6D1E">
              <w:rPr>
                <w:rFonts w:eastAsia="Times New Roman" w:cs="Times New Roman"/>
                <w:i/>
                <w:lang w:eastAsia="bg-BG" w:bidi="bg-BG"/>
              </w:rPr>
              <w:t>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w:t>
            </w:r>
            <w:r w:rsidRPr="009F6D1E">
              <w:rPr>
                <w:rFonts w:eastAsia="Times New Roman" w:cs="Times New Roman"/>
                <w:i/>
                <w:lang w:eastAsia="bg-BG" w:bidi="bg-BG"/>
              </w:rPr>
              <w:t>“  -  Специфична цел №</w:t>
            </w:r>
            <w:r w:rsidR="008F7661" w:rsidRPr="009F6D1E">
              <w:rPr>
                <w:rFonts w:eastAsia="Times New Roman" w:cs="Times New Roman"/>
                <w:i/>
                <w:lang w:eastAsia="bg-BG" w:bidi="bg-BG"/>
              </w:rPr>
              <w:t>4</w:t>
            </w:r>
            <w:r w:rsidRPr="009F6D1E">
              <w:rPr>
                <w:rFonts w:eastAsia="Calibri" w:cs="Times New Roman"/>
                <w:lang w:bidi="bg-BG"/>
              </w:rPr>
              <w:t xml:space="preserve">. Управлението на българските гори е ключов фактор за опазване на биологичното и </w:t>
            </w:r>
            <w:proofErr w:type="spellStart"/>
            <w:r w:rsidRPr="009F6D1E">
              <w:rPr>
                <w:rFonts w:eastAsia="Calibri" w:cs="Times New Roman"/>
                <w:lang w:bidi="bg-BG"/>
              </w:rPr>
              <w:t>ландшафтно</w:t>
            </w:r>
            <w:proofErr w:type="spellEnd"/>
            <w:r w:rsidRPr="009F6D1E">
              <w:rPr>
                <w:rFonts w:eastAsia="Calibri" w:cs="Times New Roman"/>
                <w:lang w:bidi="bg-BG"/>
              </w:rPr>
              <w:t xml:space="preserve"> разнообразие у нас. Горските територии и горите на България съхраняват над 80 % от защитените видове растения, над 60 % от застрашените от изчезване видове животни, над 60% от приоритетните за опазване видове местообитания и осем от дванадесетте </w:t>
            </w:r>
            <w:proofErr w:type="spellStart"/>
            <w:r w:rsidRPr="009F6D1E">
              <w:rPr>
                <w:rFonts w:eastAsia="Calibri" w:cs="Times New Roman"/>
                <w:lang w:bidi="bg-BG"/>
              </w:rPr>
              <w:t>ландшафтни</w:t>
            </w:r>
            <w:proofErr w:type="spellEnd"/>
            <w:r w:rsidRPr="009F6D1E">
              <w:rPr>
                <w:rFonts w:eastAsia="Calibri" w:cs="Times New Roman"/>
                <w:lang w:bidi="bg-BG"/>
              </w:rPr>
              <w:t xml:space="preserve"> комплекса, определени в Националната стратегия за опазване на биологичното разнообразие като уникални и представителни за българското биологично разнообразие.</w:t>
            </w:r>
            <w:r w:rsidR="008F7661" w:rsidRPr="009F6D1E">
              <w:rPr>
                <w:rFonts w:cs="Times New Roman"/>
              </w:rPr>
              <w:t xml:space="preserve"> </w:t>
            </w:r>
            <w:r w:rsidR="008F7661" w:rsidRPr="009F6D1E">
              <w:rPr>
                <w:rFonts w:eastAsia="Calibri" w:cs="Times New Roman"/>
                <w:lang w:bidi="bg-BG"/>
              </w:rPr>
              <w:t xml:space="preserve">Тази интервенция има за цел да се намали традиционното горскостопанско въздействие върху горите, чрез промяна в традиционните </w:t>
            </w:r>
            <w:proofErr w:type="spellStart"/>
            <w:r w:rsidR="008F7661" w:rsidRPr="009F6D1E">
              <w:rPr>
                <w:rFonts w:eastAsia="Calibri" w:cs="Times New Roman"/>
                <w:lang w:bidi="bg-BG"/>
              </w:rPr>
              <w:t>дървопроизводствени</w:t>
            </w:r>
            <w:proofErr w:type="spellEnd"/>
            <w:r w:rsidR="008F7661" w:rsidRPr="009F6D1E">
              <w:rPr>
                <w:rFonts w:eastAsia="Calibri" w:cs="Times New Roman"/>
                <w:lang w:bidi="bg-BG"/>
              </w:rPr>
              <w:t>, лесовъдски цели; да се стимулира опазването естествения им характер, чрез подпомагане на съхраняването на естествени, природосъобразни видов състав и структура на насажденията и да се подобрят условията за поддържане и възстановяване на биологичното разнообразие, чрез създаване на необходимите за това екологични условия.</w:t>
            </w:r>
          </w:p>
          <w:p w14:paraId="7F6A21DF" w14:textId="77777777" w:rsidR="00DB30ED" w:rsidRPr="009F6D1E" w:rsidRDefault="00DB30ED"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Cs/>
                <w:lang w:eastAsia="bg-BG" w:bidi="bg-BG"/>
              </w:rPr>
              <w:t xml:space="preserve">За опазване на биоразнообразието се предвижда и включването на </w:t>
            </w:r>
            <w:r w:rsidRPr="009F6D1E">
              <w:rPr>
                <w:rFonts w:eastAsia="Times New Roman" w:cs="Times New Roman"/>
                <w:iCs/>
                <w:lang w:eastAsia="bg-BG" w:bidi="bg-BG"/>
              </w:rPr>
              <w:lastRenderedPageBreak/>
              <w:t>комплекс от</w:t>
            </w:r>
            <w:r w:rsidRPr="009F6D1E">
              <w:rPr>
                <w:rFonts w:eastAsia="Times New Roman" w:cs="Times New Roman"/>
                <w:i/>
                <w:lang w:eastAsia="bg-BG" w:bidi="bg-BG"/>
              </w:rPr>
              <w:t xml:space="preserve"> интервенции </w:t>
            </w:r>
            <w:r w:rsidR="00BB3AC1" w:rsidRPr="009F6D1E">
              <w:rPr>
                <w:rFonts w:eastAsia="Times New Roman" w:cs="Times New Roman"/>
                <w:i/>
                <w:lang w:eastAsia="bg-BG" w:bidi="bg-BG"/>
              </w:rPr>
              <w:t xml:space="preserve">по член 73, </w:t>
            </w:r>
            <w:r w:rsidRPr="009F6D1E">
              <w:rPr>
                <w:rFonts w:eastAsia="Times New Roman" w:cs="Times New Roman"/>
                <w:iCs/>
                <w:lang w:eastAsia="bg-BG" w:bidi="bg-BG"/>
              </w:rPr>
              <w:t>като</w:t>
            </w:r>
            <w:r w:rsidRPr="009F6D1E">
              <w:rPr>
                <w:rFonts w:eastAsia="Times New Roman" w:cs="Times New Roman"/>
                <w:i/>
                <w:lang w:eastAsia="bg-BG" w:bidi="bg-BG"/>
              </w:rPr>
              <w:t xml:space="preserve">: </w:t>
            </w:r>
            <w:r w:rsidR="008F7661" w:rsidRPr="009F6D1E">
              <w:rPr>
                <w:rFonts w:eastAsia="Times New Roman" w:cs="Times New Roman"/>
                <w:i/>
                <w:lang w:eastAsia="bg-BG" w:bidi="bg-BG"/>
              </w:rPr>
              <w:t>„Залесяване и презалесяване“</w:t>
            </w:r>
            <w:r w:rsidRPr="009F6D1E">
              <w:rPr>
                <w:rFonts w:eastAsia="Times New Roman" w:cs="Times New Roman"/>
                <w:i/>
                <w:lang w:eastAsia="bg-BG" w:bidi="bg-BG"/>
              </w:rPr>
              <w:t xml:space="preserve">; </w:t>
            </w:r>
            <w:r w:rsidR="00BB3AC1" w:rsidRPr="009F6D1E">
              <w:rPr>
                <w:rFonts w:eastAsia="Times New Roman" w:cs="Times New Roman"/>
                <w:i/>
                <w:lang w:eastAsia="bg-BG" w:bidi="bg-BG"/>
              </w:rPr>
              <w:t xml:space="preserve">Подобряване на здравословното състояние и устойчивостта на горските екосистеми чрез подпомагане провеждането на сечи в горските територии; </w:t>
            </w:r>
            <w:r w:rsidRPr="009F6D1E">
              <w:rPr>
                <w:rFonts w:eastAsia="Times New Roman" w:cs="Times New Roman"/>
                <w:i/>
                <w:lang w:eastAsia="bg-BG" w:bidi="bg-BG"/>
              </w:rPr>
              <w:t>Предотвратяване и възстановяване на щети по горите от горски пожари, природни бедствия и катастрофични събития.</w:t>
            </w:r>
          </w:p>
          <w:p w14:paraId="25A2520A" w14:textId="77777777" w:rsidR="006A0F31" w:rsidRPr="009F6D1E" w:rsidRDefault="00DB30ED" w:rsidP="0084747F">
            <w:pPr>
              <w:widowControl w:val="0"/>
              <w:tabs>
                <w:tab w:val="left" w:pos="1080"/>
              </w:tabs>
              <w:spacing w:after="60" w:line="264" w:lineRule="auto"/>
              <w:jc w:val="both"/>
              <w:rPr>
                <w:rFonts w:eastAsia="Times New Roman" w:cs="Times New Roman"/>
                <w:i/>
                <w:iCs/>
                <w:lang w:eastAsia="bg-BG" w:bidi="bg-BG"/>
              </w:rPr>
            </w:pPr>
            <w:r w:rsidRPr="009F6D1E">
              <w:rPr>
                <w:rFonts w:eastAsia="Times New Roman" w:cs="Times New Roman"/>
                <w:lang w:eastAsia="bg-BG" w:bidi="bg-BG"/>
              </w:rPr>
              <w:t>Отделно от това принос има</w:t>
            </w:r>
            <w:r w:rsidR="00BB3AC1" w:rsidRPr="009F6D1E">
              <w:rPr>
                <w:rFonts w:eastAsia="Times New Roman" w:cs="Times New Roman"/>
                <w:lang w:eastAsia="bg-BG" w:bidi="bg-BG"/>
              </w:rPr>
              <w:t xml:space="preserve"> </w:t>
            </w:r>
            <w:r w:rsidR="00BB3AC1" w:rsidRPr="009F6D1E">
              <w:rPr>
                <w:rFonts w:eastAsia="Times New Roman" w:cs="Times New Roman"/>
                <w:i/>
                <w:iCs/>
                <w:lang w:eastAsia="bg-BG" w:bidi="bg-BG"/>
              </w:rPr>
              <w:t>Специфична цел №6</w:t>
            </w:r>
            <w:r w:rsidR="006A0F31" w:rsidRPr="009F6D1E">
              <w:rPr>
                <w:rFonts w:eastAsia="Times New Roman" w:cs="Times New Roman"/>
                <w:i/>
                <w:iCs/>
                <w:lang w:eastAsia="bg-BG" w:bidi="bg-BG"/>
              </w:rPr>
              <w:t>:</w:t>
            </w:r>
          </w:p>
          <w:p w14:paraId="5F31FE02" w14:textId="77777777" w:rsidR="002828BF" w:rsidRPr="009F6D1E" w:rsidRDefault="002828BF"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Потребност</w:t>
            </w:r>
            <w:r w:rsidRPr="009F6D1E">
              <w:rPr>
                <w:rFonts w:cs="Times New Roman"/>
                <w:i/>
                <w:iCs/>
                <w:lang w:bidi="bg-BG"/>
              </w:rPr>
              <w:t xml:space="preserve"> П</w:t>
            </w:r>
            <w:r w:rsidRPr="009F6D1E">
              <w:rPr>
                <w:rFonts w:eastAsia="Times New Roman" w:cs="Times New Roman"/>
                <w:i/>
                <w:iCs/>
                <w:lang w:eastAsia="bg-BG" w:bidi="bg-BG"/>
              </w:rPr>
              <w:t xml:space="preserve">.6.8. Подобряване на </w:t>
            </w:r>
            <w:proofErr w:type="spellStart"/>
            <w:r w:rsidRPr="009F6D1E">
              <w:rPr>
                <w:rFonts w:eastAsia="Times New Roman" w:cs="Times New Roman"/>
                <w:i/>
                <w:iCs/>
                <w:lang w:eastAsia="bg-BG" w:bidi="bg-BG"/>
              </w:rPr>
              <w:t>опрашителния</w:t>
            </w:r>
            <w:proofErr w:type="spellEnd"/>
            <w:r w:rsidRPr="009F6D1E">
              <w:rPr>
                <w:rFonts w:eastAsia="Times New Roman" w:cs="Times New Roman"/>
                <w:i/>
                <w:iCs/>
                <w:lang w:eastAsia="bg-BG" w:bidi="bg-BG"/>
              </w:rPr>
              <w:t xml:space="preserve"> потенциал на екосистемите и наличието на подходящи растения</w:t>
            </w:r>
            <w:r w:rsidRPr="009F6D1E">
              <w:rPr>
                <w:rFonts w:cs="Times New Roman"/>
                <w:lang w:bidi="bg-BG"/>
              </w:rPr>
              <w:t xml:space="preserve">. </w:t>
            </w:r>
            <w:r w:rsidRPr="009F6D1E">
              <w:rPr>
                <w:rFonts w:eastAsia="Times New Roman" w:cs="Times New Roman"/>
                <w:iCs/>
                <w:lang w:eastAsia="bg-BG" w:bidi="bg-BG"/>
              </w:rPr>
              <w:t xml:space="preserve">За адресиране на нуждата от подобряване на </w:t>
            </w:r>
            <w:proofErr w:type="spellStart"/>
            <w:r w:rsidRPr="009F6D1E">
              <w:rPr>
                <w:rFonts w:eastAsia="Times New Roman" w:cs="Times New Roman"/>
                <w:iCs/>
                <w:lang w:eastAsia="bg-BG" w:bidi="bg-BG"/>
              </w:rPr>
              <w:t>опрашителния</w:t>
            </w:r>
            <w:proofErr w:type="spellEnd"/>
            <w:r w:rsidRPr="009F6D1E">
              <w:rPr>
                <w:rFonts w:eastAsia="Times New Roman" w:cs="Times New Roman"/>
                <w:iCs/>
                <w:lang w:eastAsia="bg-BG" w:bidi="bg-BG"/>
              </w:rPr>
              <w:t xml:space="preserve"> потенциал на екосистемите и наличието на подходящи растения се предвиждат</w:t>
            </w:r>
            <w:r w:rsidRPr="009F6D1E">
              <w:rPr>
                <w:rFonts w:eastAsia="Times New Roman" w:cs="Times New Roman"/>
                <w:i/>
                <w:lang w:eastAsia="bg-BG" w:bidi="bg-BG"/>
              </w:rPr>
              <w:t xml:space="preserve"> интервенции съгл. чл. 55</w:t>
            </w:r>
            <w:r w:rsidRPr="009F6D1E">
              <w:rPr>
                <w:rFonts w:eastAsia="Times New Roman" w:cs="Times New Roman"/>
                <w:iCs/>
                <w:lang w:eastAsia="bg-BG" w:bidi="bg-BG"/>
              </w:rPr>
              <w:t>.</w:t>
            </w:r>
          </w:p>
          <w:p w14:paraId="1BEA6B4B" w14:textId="77777777" w:rsidR="00BB3AC1" w:rsidRPr="009F6D1E" w:rsidRDefault="00BB3AC1" w:rsidP="0084747F">
            <w:pPr>
              <w:widowControl w:val="0"/>
              <w:tabs>
                <w:tab w:val="left" w:pos="1080"/>
              </w:tabs>
              <w:spacing w:after="60" w:line="264" w:lineRule="auto"/>
              <w:jc w:val="both"/>
              <w:rPr>
                <w:rFonts w:cs="Times New Roman"/>
                <w:lang w:bidi="bg-BG"/>
              </w:rPr>
            </w:pPr>
            <w:r w:rsidRPr="009F6D1E">
              <w:rPr>
                <w:rFonts w:eastAsia="Times New Roman" w:cs="Times New Roman"/>
                <w:i/>
                <w:iCs/>
                <w:lang w:eastAsia="bg-BG" w:bidi="bg-BG"/>
              </w:rPr>
              <w:t xml:space="preserve">Потребност П.6.9.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 </w:t>
            </w:r>
            <w:r w:rsidRPr="009F6D1E">
              <w:rPr>
                <w:rFonts w:cs="Times New Roman"/>
                <w:lang w:bidi="bg-BG"/>
              </w:rPr>
              <w:t xml:space="preserve"> чрез прилагане на Еко схема за поддържане и подобряване на биоразнообразието в горски екосистеми (по чл. 31 от Регламент (ЕС) 2021/2115). Интервенцията е насочена към поддържане и подобряване на биоразнообразието в горски екосистеми като въвежда практика в граничните земеделски </w:t>
            </w:r>
            <w:r w:rsidRPr="009F6D1E">
              <w:rPr>
                <w:rFonts w:cs="Times New Roman"/>
                <w:lang w:bidi="bg-BG"/>
              </w:rPr>
              <w:lastRenderedPageBreak/>
              <w:t>земи да се отглеждат култури достигнали степен на зрялост, които са благоприятни за изхранване на диви животни.</w:t>
            </w:r>
          </w:p>
          <w:p w14:paraId="0B22EA8D" w14:textId="77777777" w:rsidR="00DB30ED" w:rsidRPr="009F6D1E" w:rsidRDefault="00DB30ED" w:rsidP="0084747F">
            <w:pPr>
              <w:widowControl w:val="0"/>
              <w:tabs>
                <w:tab w:val="left" w:pos="1080"/>
              </w:tabs>
              <w:spacing w:after="60" w:line="264" w:lineRule="auto"/>
              <w:jc w:val="both"/>
              <w:rPr>
                <w:rFonts w:eastAsia="Times New Roman" w:cs="Times New Roman"/>
                <w:i/>
                <w:iCs/>
                <w:lang w:eastAsia="bg-BG" w:bidi="bg-BG"/>
              </w:rPr>
            </w:pPr>
            <w:r w:rsidRPr="009F6D1E">
              <w:rPr>
                <w:rFonts w:eastAsia="Calibri" w:cs="Times New Roman"/>
              </w:rPr>
              <w:t>Косвен принос има</w:t>
            </w:r>
            <w:r w:rsidRPr="009F6D1E">
              <w:rPr>
                <w:rFonts w:eastAsia="Calibri" w:cs="Times New Roman"/>
                <w:i/>
                <w:iCs/>
              </w:rPr>
              <w:t xml:space="preserve"> </w:t>
            </w:r>
            <w:r w:rsidRPr="009F6D1E">
              <w:rPr>
                <w:rFonts w:eastAsia="Times New Roman" w:cs="Times New Roman"/>
                <w:i/>
                <w:iCs/>
                <w:lang w:eastAsia="bg-BG" w:bidi="bg-BG"/>
              </w:rPr>
              <w:t>Специфична цел №5</w:t>
            </w:r>
            <w:r w:rsidR="002828BF" w:rsidRPr="009F6D1E">
              <w:rPr>
                <w:rFonts w:eastAsia="Times New Roman" w:cs="Times New Roman"/>
                <w:i/>
                <w:iCs/>
                <w:lang w:eastAsia="bg-BG" w:bidi="bg-BG"/>
              </w:rPr>
              <w:t>, Потребност</w:t>
            </w:r>
            <w:r w:rsidRPr="009F6D1E">
              <w:rPr>
                <w:rFonts w:eastAsia="Times New Roman" w:cs="Times New Roman"/>
                <w:i/>
                <w:iCs/>
                <w:lang w:eastAsia="bg-BG" w:bidi="bg-BG"/>
              </w:rPr>
              <w:t xml:space="preserve"> </w:t>
            </w:r>
            <w:r w:rsidR="002828BF" w:rsidRPr="009F6D1E">
              <w:rPr>
                <w:rFonts w:eastAsia="Times New Roman" w:cs="Times New Roman"/>
                <w:i/>
                <w:iCs/>
                <w:lang w:eastAsia="bg-BG" w:bidi="bg-BG"/>
              </w:rPr>
              <w:t>П.5.2. Подобряване качеството на почвите чрез продължаване на усилията за ограничаване на процесите на водна и ветрова ерозия</w:t>
            </w:r>
            <w:r w:rsidRPr="009F6D1E">
              <w:rPr>
                <w:rFonts w:eastAsia="Times New Roman" w:cs="Times New Roman"/>
                <w:i/>
                <w:iCs/>
                <w:lang w:eastAsia="bg-BG" w:bidi="bg-BG"/>
              </w:rPr>
              <w:t xml:space="preserve">. </w:t>
            </w:r>
          </w:p>
          <w:p w14:paraId="558CCF94" w14:textId="77777777" w:rsidR="00045E99" w:rsidRPr="009F6D1E" w:rsidRDefault="002828BF" w:rsidP="0084747F">
            <w:pPr>
              <w:widowControl w:val="0"/>
              <w:tabs>
                <w:tab w:val="left" w:pos="1080"/>
              </w:tabs>
              <w:spacing w:after="60" w:line="264" w:lineRule="auto"/>
              <w:jc w:val="both"/>
              <w:rPr>
                <w:rFonts w:eastAsia="Calibri" w:cs="Times New Roman"/>
                <w:bCs/>
                <w:lang w:eastAsia="en-GB" w:bidi="bg-BG"/>
              </w:rPr>
            </w:pPr>
            <w:r w:rsidRPr="009F6D1E">
              <w:rPr>
                <w:rFonts w:eastAsia="Calibri" w:cs="Times New Roman"/>
                <w:bCs/>
                <w:lang w:eastAsia="en-GB" w:bidi="bg-BG"/>
              </w:rPr>
              <w:t xml:space="preserve">В интервенцията по чл. 65 от РСП могат да се включат дейности, които надграждат въведените  изисквания в ДЗЕС 4, ДЗЕС 6 и ДЗЕС 7, задължителни са и могат да бъдат обособени на база териториалния им обхват на прилагане. Според спецификата на райони и площта и въз основа на изготвяне на план за противоерозионни мероприятия към задължителните дейности, предвидени в ДЗЕС 4, ДЗЕС 6 и ДЗЕС 7 могат да се включат практики за: поясно земеделие, затревяване на междуредията в трайни насаждения и лозя (в т.ч. цялостно затревяване), преобразуване на обработваеми земи в постоянно затревени площи; </w:t>
            </w:r>
            <w:proofErr w:type="spellStart"/>
            <w:r w:rsidRPr="009F6D1E">
              <w:rPr>
                <w:rFonts w:eastAsia="Calibri" w:cs="Times New Roman"/>
                <w:bCs/>
                <w:lang w:eastAsia="en-GB" w:bidi="bg-BG"/>
              </w:rPr>
              <w:t>контурно</w:t>
            </w:r>
            <w:proofErr w:type="spellEnd"/>
            <w:r w:rsidRPr="009F6D1E">
              <w:rPr>
                <w:rFonts w:eastAsia="Calibri" w:cs="Times New Roman"/>
                <w:bCs/>
                <w:lang w:eastAsia="en-GB" w:bidi="bg-BG"/>
              </w:rPr>
              <w:t xml:space="preserve"> земеделие, вертикално </w:t>
            </w:r>
            <w:proofErr w:type="spellStart"/>
            <w:r w:rsidRPr="009F6D1E">
              <w:rPr>
                <w:rFonts w:eastAsia="Calibri" w:cs="Times New Roman"/>
                <w:bCs/>
                <w:lang w:eastAsia="en-GB" w:bidi="bg-BG"/>
              </w:rPr>
              <w:t>мулчиране</w:t>
            </w:r>
            <w:proofErr w:type="spellEnd"/>
            <w:r w:rsidRPr="009F6D1E">
              <w:rPr>
                <w:rFonts w:eastAsia="Calibri" w:cs="Times New Roman"/>
                <w:bCs/>
                <w:lang w:eastAsia="en-GB" w:bidi="bg-BG"/>
              </w:rPr>
              <w:t xml:space="preserve">; изграждане на </w:t>
            </w:r>
            <w:proofErr w:type="spellStart"/>
            <w:r w:rsidRPr="009F6D1E">
              <w:rPr>
                <w:rFonts w:eastAsia="Calibri" w:cs="Times New Roman"/>
                <w:bCs/>
                <w:lang w:eastAsia="en-GB" w:bidi="bg-BG"/>
              </w:rPr>
              <w:t>отокоотвеждащи</w:t>
            </w:r>
            <w:proofErr w:type="spellEnd"/>
            <w:r w:rsidRPr="009F6D1E">
              <w:rPr>
                <w:rFonts w:eastAsia="Calibri" w:cs="Times New Roman"/>
                <w:bCs/>
                <w:lang w:eastAsia="en-GB" w:bidi="bg-BG"/>
              </w:rPr>
              <w:t xml:space="preserve"> и </w:t>
            </w:r>
            <w:proofErr w:type="spellStart"/>
            <w:r w:rsidRPr="009F6D1E">
              <w:rPr>
                <w:rFonts w:eastAsia="Calibri" w:cs="Times New Roman"/>
                <w:bCs/>
                <w:lang w:eastAsia="en-GB" w:bidi="bg-BG"/>
              </w:rPr>
              <w:t>отокозадържащи</w:t>
            </w:r>
            <w:proofErr w:type="spellEnd"/>
            <w:r w:rsidRPr="009F6D1E">
              <w:rPr>
                <w:rFonts w:eastAsia="Calibri" w:cs="Times New Roman"/>
                <w:bCs/>
                <w:lang w:eastAsia="en-GB" w:bidi="bg-BG"/>
              </w:rPr>
              <w:t xml:space="preserve"> бразди; минимални или нулеви обработки; противоерозионна организация на площите като се намаляват площта на парцелите чрез включване на други земеделски култури; изграждане на тревни буферни ивици, мултифункционални растителни буферни ивици, допринасящи </w:t>
            </w:r>
            <w:r w:rsidRPr="009F6D1E">
              <w:rPr>
                <w:rFonts w:eastAsia="Calibri" w:cs="Times New Roman"/>
                <w:bCs/>
                <w:lang w:eastAsia="en-GB" w:bidi="bg-BG"/>
              </w:rPr>
              <w:lastRenderedPageBreak/>
              <w:t>също за биоразнообразието и подобряване на опрашването, както и изграждане и поддържане на полезащитни пояси.</w:t>
            </w:r>
          </w:p>
          <w:p w14:paraId="16044EFD" w14:textId="77777777" w:rsidR="002828BF" w:rsidRPr="009F6D1E" w:rsidRDefault="002828BF" w:rsidP="0084747F">
            <w:pPr>
              <w:widowControl w:val="0"/>
              <w:tabs>
                <w:tab w:val="left" w:pos="1080"/>
              </w:tabs>
              <w:spacing w:after="60" w:line="264" w:lineRule="auto"/>
              <w:jc w:val="both"/>
              <w:rPr>
                <w:rFonts w:eastAsia="Calibri" w:cs="Times New Roman"/>
                <w:b/>
                <w:bCs/>
                <w:i/>
                <w:iCs/>
              </w:rPr>
            </w:pPr>
            <w:r w:rsidRPr="009F6D1E">
              <w:rPr>
                <w:rFonts w:cs="Times New Roman"/>
                <w:lang w:bidi="bg-BG"/>
              </w:rPr>
              <w:t>Предвидена е и Интервенция „</w:t>
            </w:r>
            <w:r w:rsidRPr="009F6D1E">
              <w:rPr>
                <w:rFonts w:cs="Times New Roman"/>
                <w:i/>
                <w:iCs/>
                <w:lang w:bidi="bg-BG"/>
              </w:rPr>
              <w:t>Възстановяване и поддържане на деградирали пасищни територии</w:t>
            </w:r>
            <w:r w:rsidRPr="009F6D1E">
              <w:rPr>
                <w:rFonts w:cs="Times New Roman"/>
                <w:lang w:bidi="bg-BG"/>
              </w:rPr>
              <w:t>“ – член 70, насочена към дейности и практики, които увеличат почвения органичен въглерод, имат благоприятен ефект както върху почвата и пасищните територии, които с течение на годините намаляват производствения си капацитет</w:t>
            </w:r>
          </w:p>
        </w:tc>
      </w:tr>
      <w:tr w:rsidR="00045E99" w:rsidRPr="009F6D1E" w14:paraId="3D3FD3F1" w14:textId="77777777" w:rsidTr="0078017C">
        <w:tc>
          <w:tcPr>
            <w:tcW w:w="7139" w:type="dxa"/>
          </w:tcPr>
          <w:p w14:paraId="29E081D6" w14:textId="77777777" w:rsidR="00045E99" w:rsidRPr="009F6D1E" w:rsidRDefault="00045E99" w:rsidP="0084747F">
            <w:pPr>
              <w:widowControl w:val="0"/>
              <w:autoSpaceDE w:val="0"/>
              <w:autoSpaceDN w:val="0"/>
              <w:adjustRightInd w:val="0"/>
              <w:spacing w:after="60" w:line="264" w:lineRule="auto"/>
              <w:jc w:val="both"/>
              <w:rPr>
                <w:rFonts w:cs="Times New Roman"/>
                <w:b/>
                <w:bCs/>
                <w:i/>
                <w:iCs/>
                <w:vertAlign w:val="superscript"/>
              </w:rPr>
            </w:pPr>
            <w:r w:rsidRPr="009F6D1E">
              <w:rPr>
                <w:rFonts w:cs="Times New Roman"/>
                <w:b/>
                <w:bCs/>
                <w:i/>
                <w:iCs/>
              </w:rPr>
              <w:lastRenderedPageBreak/>
              <w:t>Регламент (ЕС) 2021/694 на Европейския парламент и на Съвета от 29 април 2021 година за създаване на програмата „Цифрова Европа“ и за отмяна на Решение (ЕС) 2015/2240</w:t>
            </w:r>
          </w:p>
          <w:p w14:paraId="24E1AFC8" w14:textId="77777777" w:rsidR="00045E99" w:rsidRPr="009F6D1E" w:rsidRDefault="00045E99" w:rsidP="0084747F">
            <w:pPr>
              <w:widowControl w:val="0"/>
              <w:autoSpaceDE w:val="0"/>
              <w:autoSpaceDN w:val="0"/>
              <w:adjustRightInd w:val="0"/>
              <w:spacing w:after="60" w:line="264" w:lineRule="auto"/>
              <w:jc w:val="both"/>
              <w:rPr>
                <w:rFonts w:cs="Times New Roman"/>
                <w:u w:val="single"/>
              </w:rPr>
            </w:pPr>
            <w:r w:rsidRPr="009F6D1E">
              <w:rPr>
                <w:rFonts w:cs="Times New Roman"/>
                <w:u w:val="single"/>
              </w:rPr>
              <w:t>5 ключови области:</w:t>
            </w:r>
          </w:p>
          <w:p w14:paraId="0121589D" w14:textId="77777777" w:rsidR="00045E99" w:rsidRPr="009F6D1E" w:rsidRDefault="00045E99" w:rsidP="0084747F">
            <w:pPr>
              <w:widowControl w:val="0"/>
              <w:numPr>
                <w:ilvl w:val="0"/>
                <w:numId w:val="12"/>
              </w:numPr>
              <w:autoSpaceDE w:val="0"/>
              <w:autoSpaceDN w:val="0"/>
              <w:adjustRightInd w:val="0"/>
              <w:spacing w:after="60" w:line="264" w:lineRule="auto"/>
              <w:ind w:left="360"/>
              <w:jc w:val="both"/>
              <w:rPr>
                <w:rFonts w:cs="Times New Roman"/>
              </w:rPr>
            </w:pPr>
            <w:r w:rsidRPr="009F6D1E">
              <w:rPr>
                <w:rFonts w:cs="Times New Roman"/>
              </w:rPr>
              <w:t>Високопроизводителни изчислителни технологии: 2.2 млрд. евро;</w:t>
            </w:r>
          </w:p>
          <w:p w14:paraId="7751210D" w14:textId="77777777" w:rsidR="00045E99" w:rsidRPr="009F6D1E" w:rsidRDefault="00045E99" w:rsidP="0084747F">
            <w:pPr>
              <w:widowControl w:val="0"/>
              <w:numPr>
                <w:ilvl w:val="0"/>
                <w:numId w:val="12"/>
              </w:numPr>
              <w:autoSpaceDE w:val="0"/>
              <w:autoSpaceDN w:val="0"/>
              <w:adjustRightInd w:val="0"/>
              <w:spacing w:after="60" w:line="264" w:lineRule="auto"/>
              <w:ind w:left="360"/>
              <w:jc w:val="both"/>
              <w:rPr>
                <w:rFonts w:cs="Times New Roman"/>
              </w:rPr>
            </w:pPr>
            <w:r w:rsidRPr="009F6D1E">
              <w:rPr>
                <w:rFonts w:cs="Times New Roman"/>
              </w:rPr>
              <w:t>Изкуствен интелект: 2 млрд. евро;</w:t>
            </w:r>
          </w:p>
          <w:p w14:paraId="7E6DDB64" w14:textId="77777777" w:rsidR="00045E99" w:rsidRPr="009F6D1E" w:rsidRDefault="00045E99" w:rsidP="0084747F">
            <w:pPr>
              <w:widowControl w:val="0"/>
              <w:numPr>
                <w:ilvl w:val="0"/>
                <w:numId w:val="12"/>
              </w:numPr>
              <w:autoSpaceDE w:val="0"/>
              <w:autoSpaceDN w:val="0"/>
              <w:adjustRightInd w:val="0"/>
              <w:spacing w:after="60" w:line="264" w:lineRule="auto"/>
              <w:ind w:left="360"/>
              <w:jc w:val="both"/>
              <w:rPr>
                <w:rFonts w:cs="Times New Roman"/>
              </w:rPr>
            </w:pPr>
            <w:r w:rsidRPr="009F6D1E">
              <w:rPr>
                <w:rFonts w:cs="Times New Roman"/>
              </w:rPr>
              <w:t>Киберсигурност и доверие: 1.6 млрд. евро;</w:t>
            </w:r>
          </w:p>
          <w:p w14:paraId="578697D1" w14:textId="77777777" w:rsidR="00045E99" w:rsidRPr="009F6D1E" w:rsidRDefault="00045E99" w:rsidP="0084747F">
            <w:pPr>
              <w:widowControl w:val="0"/>
              <w:numPr>
                <w:ilvl w:val="0"/>
                <w:numId w:val="12"/>
              </w:numPr>
              <w:autoSpaceDE w:val="0"/>
              <w:autoSpaceDN w:val="0"/>
              <w:adjustRightInd w:val="0"/>
              <w:spacing w:after="60" w:line="264" w:lineRule="auto"/>
              <w:ind w:left="360"/>
              <w:jc w:val="both"/>
              <w:rPr>
                <w:rFonts w:cs="Times New Roman"/>
              </w:rPr>
            </w:pPr>
            <w:r w:rsidRPr="009F6D1E">
              <w:rPr>
                <w:rFonts w:cs="Times New Roman"/>
              </w:rPr>
              <w:t>Задълбочени цифрови умения: 577 млн. евро;</w:t>
            </w:r>
          </w:p>
          <w:p w14:paraId="617B1CF1" w14:textId="77777777" w:rsidR="00045E99" w:rsidRPr="009F6D1E" w:rsidRDefault="00045E99" w:rsidP="0084747F">
            <w:pPr>
              <w:widowControl w:val="0"/>
              <w:numPr>
                <w:ilvl w:val="0"/>
                <w:numId w:val="12"/>
              </w:numPr>
              <w:autoSpaceDE w:val="0"/>
              <w:autoSpaceDN w:val="0"/>
              <w:adjustRightInd w:val="0"/>
              <w:spacing w:after="60" w:line="264" w:lineRule="auto"/>
              <w:ind w:left="360"/>
              <w:jc w:val="both"/>
              <w:rPr>
                <w:rFonts w:cs="Times New Roman"/>
              </w:rPr>
            </w:pPr>
            <w:r w:rsidRPr="009F6D1E">
              <w:rPr>
                <w:rFonts w:cs="Times New Roman"/>
              </w:rPr>
              <w:t>Внедряване, използване по най-добрия начин на цифровия капацитет и оперативна съвместимост: 1 млрд. евро.</w:t>
            </w:r>
          </w:p>
          <w:p w14:paraId="4B123898" w14:textId="77777777" w:rsidR="00045E99" w:rsidRPr="009F6D1E" w:rsidRDefault="00045E99" w:rsidP="0084747F">
            <w:pPr>
              <w:widowControl w:val="0"/>
              <w:spacing w:after="60" w:line="264" w:lineRule="auto"/>
              <w:ind w:firstLine="851"/>
              <w:jc w:val="both"/>
              <w:rPr>
                <w:rFonts w:cs="Times New Roman"/>
                <w:b/>
                <w:bCs/>
              </w:rPr>
            </w:pPr>
          </w:p>
        </w:tc>
        <w:tc>
          <w:tcPr>
            <w:tcW w:w="7139" w:type="dxa"/>
          </w:tcPr>
          <w:p w14:paraId="15120067" w14:textId="77777777" w:rsidR="00B71C72" w:rsidRPr="009F6D1E" w:rsidRDefault="005046C7" w:rsidP="0084747F">
            <w:pPr>
              <w:widowControl w:val="0"/>
              <w:spacing w:after="60" w:line="264" w:lineRule="auto"/>
              <w:jc w:val="both"/>
              <w:rPr>
                <w:rFonts w:cs="Times New Roman"/>
                <w:lang w:bidi="bg-BG"/>
              </w:rPr>
            </w:pPr>
            <w:r w:rsidRPr="009F6D1E">
              <w:rPr>
                <w:rFonts w:cs="Times New Roman"/>
                <w:b/>
                <w:bCs/>
                <w:i/>
                <w:iCs/>
                <w:lang w:bidi="bg-BG"/>
              </w:rPr>
              <w:lastRenderedPageBreak/>
              <w:t xml:space="preserve">Междусекторна цел 10 </w:t>
            </w:r>
            <w:r w:rsidR="00B71C72" w:rsidRPr="009F6D1E">
              <w:rPr>
                <w:rFonts w:cs="Times New Roman"/>
                <w:lang w:bidi="bg-BG"/>
              </w:rPr>
              <w:t>на СПОС 2023-2027г., е „</w:t>
            </w:r>
            <w:r w:rsidR="00663C19" w:rsidRPr="009F6D1E">
              <w:rPr>
                <w:rFonts w:cs="Times New Roman"/>
                <w:i/>
                <w:iCs/>
                <w:lang w:bidi="bg-BG"/>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r w:rsidR="00B71C72" w:rsidRPr="009F6D1E">
              <w:rPr>
                <w:rFonts w:cs="Times New Roman"/>
                <w:lang w:bidi="bg-BG"/>
              </w:rPr>
              <w:t>“</w:t>
            </w:r>
          </w:p>
          <w:p w14:paraId="6EA63972" w14:textId="77777777" w:rsidR="00B71C72" w:rsidRPr="009F6D1E" w:rsidRDefault="00B71C72" w:rsidP="0084747F">
            <w:pPr>
              <w:widowControl w:val="0"/>
              <w:spacing w:after="60" w:line="264" w:lineRule="auto"/>
              <w:jc w:val="both"/>
              <w:rPr>
                <w:rFonts w:eastAsia="Times New Roman" w:cs="Times New Roman"/>
                <w:i/>
                <w:iCs/>
                <w:u w:val="single"/>
                <w:lang w:eastAsia="bg-BG" w:bidi="bg-BG"/>
              </w:rPr>
            </w:pPr>
            <w:r w:rsidRPr="009F6D1E">
              <w:rPr>
                <w:rFonts w:cs="Times New Roman"/>
              </w:rPr>
              <w:t xml:space="preserve">Пряк принос към </w:t>
            </w:r>
            <w:r w:rsidR="00E879F5" w:rsidRPr="009F6D1E">
              <w:rPr>
                <w:rFonts w:cs="Times New Roman"/>
              </w:rPr>
              <w:t>Регламента</w:t>
            </w:r>
            <w:r w:rsidRPr="009F6D1E">
              <w:rPr>
                <w:rFonts w:cs="Times New Roman"/>
              </w:rPr>
              <w:t>, има</w:t>
            </w:r>
            <w:r w:rsidRPr="009F6D1E">
              <w:rPr>
                <w:rFonts w:eastAsia="Times New Roman" w:cs="Times New Roman"/>
                <w:lang w:eastAsia="bg-BG" w:bidi="bg-BG"/>
              </w:rPr>
              <w:t>т:</w:t>
            </w:r>
          </w:p>
          <w:p w14:paraId="79F6B5EF" w14:textId="77777777" w:rsidR="00B71C72" w:rsidRPr="009F6D1E" w:rsidRDefault="00B71C72" w:rsidP="0084747F">
            <w:pPr>
              <w:widowControl w:val="0"/>
              <w:spacing w:after="60" w:line="264" w:lineRule="auto"/>
              <w:jc w:val="both"/>
              <w:rPr>
                <w:rFonts w:eastAsia="Times New Roman" w:cs="Times New Roman"/>
                <w:i/>
                <w:iCs/>
                <w:lang w:eastAsia="bg-BG" w:bidi="bg-BG"/>
              </w:rPr>
            </w:pPr>
            <w:r w:rsidRPr="009F6D1E">
              <w:rPr>
                <w:rFonts w:cs="Times New Roman"/>
                <w:i/>
              </w:rPr>
              <w:t>Специфична цел №2 – потребност</w:t>
            </w:r>
            <w:r w:rsidR="00663C19" w:rsidRPr="009F6D1E">
              <w:rPr>
                <w:rFonts w:cs="Times New Roman"/>
              </w:rPr>
              <w:t xml:space="preserve"> </w:t>
            </w:r>
            <w:r w:rsidR="00663C19"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 xml:space="preserve">и интервенциите </w:t>
            </w:r>
            <w:r w:rsidRPr="009F6D1E">
              <w:rPr>
                <w:rFonts w:eastAsia="Times New Roman" w:cs="Times New Roman"/>
                <w:lang w:eastAsia="bg-BG" w:bidi="bg-BG"/>
              </w:rPr>
              <w:lastRenderedPageBreak/>
              <w:t>към нея.</w:t>
            </w:r>
            <w:r w:rsidRPr="009F6D1E">
              <w:rPr>
                <w:rFonts w:eastAsia="Times New Roman" w:cs="Times New Roman"/>
                <w:i/>
                <w:iCs/>
                <w:lang w:eastAsia="bg-BG" w:bidi="bg-BG"/>
              </w:rPr>
              <w:t>;</w:t>
            </w:r>
          </w:p>
          <w:p w14:paraId="08AE84D8" w14:textId="77777777" w:rsidR="00B71C72" w:rsidRPr="009F6D1E" w:rsidRDefault="00B71C72" w:rsidP="0084747F">
            <w:pPr>
              <w:widowControl w:val="0"/>
              <w:spacing w:after="60" w:line="264" w:lineRule="auto"/>
              <w:jc w:val="both"/>
              <w:rPr>
                <w:rFonts w:eastAsia="Times New Roman" w:cs="Times New Roman"/>
                <w:i/>
                <w:iCs/>
                <w:lang w:eastAsia="bg-BG" w:bidi="bg-BG"/>
              </w:rPr>
            </w:pPr>
            <w:r w:rsidRPr="009F6D1E">
              <w:rPr>
                <w:rFonts w:cs="Times New Roman"/>
                <w:bCs/>
                <w:i/>
              </w:rPr>
              <w:t>Специфична цел № 8 – потребност</w:t>
            </w:r>
            <w:r w:rsidR="00663C19" w:rsidRPr="009F6D1E">
              <w:rPr>
                <w:rFonts w:cs="Times New Roman"/>
                <w:lang w:bidi="bg-BG"/>
              </w:rPr>
              <w:t xml:space="preserve"> </w:t>
            </w:r>
            <w:r w:rsidR="00663C19" w:rsidRPr="009F6D1E">
              <w:rPr>
                <w:rFonts w:cs="Times New Roman"/>
                <w:bCs/>
                <w:i/>
              </w:rPr>
              <w:t xml:space="preserve">П.8.1. Диверсификация на икономическата дейност. Стимулиране на нови производства в областта на биоикономиката и кръговата икономика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2A2AFF0E" w14:textId="77777777" w:rsidR="00B71C72" w:rsidRPr="009F6D1E" w:rsidRDefault="00B71C72" w:rsidP="0084747F">
            <w:pPr>
              <w:widowControl w:val="0"/>
              <w:spacing w:after="60" w:line="264" w:lineRule="auto"/>
              <w:jc w:val="both"/>
              <w:rPr>
                <w:rFonts w:cs="Times New Roman"/>
                <w:iCs/>
              </w:rPr>
            </w:pPr>
            <w:r w:rsidRPr="009F6D1E">
              <w:rPr>
                <w:rFonts w:cs="Times New Roman"/>
                <w:iCs/>
              </w:rPr>
              <w:t>Косвен принос имат:</w:t>
            </w:r>
          </w:p>
          <w:p w14:paraId="4E87727C" w14:textId="77777777" w:rsidR="00045E99" w:rsidRPr="009F6D1E" w:rsidRDefault="00B71C72" w:rsidP="0084747F">
            <w:pPr>
              <w:widowControl w:val="0"/>
              <w:spacing w:after="60" w:line="264" w:lineRule="auto"/>
              <w:jc w:val="both"/>
              <w:rPr>
                <w:rFonts w:eastAsia="Times New Roman" w:cs="Times New Roman"/>
                <w:lang w:eastAsia="bg-BG" w:bidi="bg-BG"/>
              </w:rPr>
            </w:pPr>
            <w:r w:rsidRPr="009F6D1E">
              <w:rPr>
                <w:rFonts w:cs="Times New Roman"/>
                <w:i/>
              </w:rPr>
              <w:t>Специфична цел №1 – потребност</w:t>
            </w:r>
            <w:r w:rsidR="00663C19" w:rsidRPr="009F6D1E">
              <w:rPr>
                <w:rFonts w:cs="Times New Roman"/>
              </w:rPr>
              <w:t xml:space="preserve"> </w:t>
            </w:r>
            <w:r w:rsidR="00663C19" w:rsidRPr="009F6D1E">
              <w:rPr>
                <w:rFonts w:cs="Times New Roman"/>
                <w:i/>
              </w:rPr>
              <w:t>П.1.5.Надграждане и диверсифициране на системата за управление на риска и управление на кризите в земеделието</w:t>
            </w:r>
            <w:r w:rsidRPr="009F6D1E">
              <w:rPr>
                <w:rFonts w:eastAsia="Times New Roman" w:cs="Times New Roman"/>
                <w:i/>
                <w:iCs/>
                <w:lang w:eastAsia="bg-BG" w:bidi="bg-BG"/>
              </w:rPr>
              <w:t xml:space="preserve"> </w:t>
            </w:r>
            <w:r w:rsidRPr="009F6D1E">
              <w:rPr>
                <w:rFonts w:eastAsia="Times New Roman" w:cs="Times New Roman"/>
                <w:lang w:eastAsia="bg-BG" w:bidi="bg-BG"/>
              </w:rPr>
              <w:t>и интервенциите към нея.</w:t>
            </w:r>
          </w:p>
        </w:tc>
      </w:tr>
      <w:tr w:rsidR="002E3829" w:rsidRPr="009F6D1E" w14:paraId="2FA874B9" w14:textId="77777777" w:rsidTr="0078017C">
        <w:tc>
          <w:tcPr>
            <w:tcW w:w="7139" w:type="dxa"/>
          </w:tcPr>
          <w:p w14:paraId="54B296AC" w14:textId="77777777" w:rsidR="002E3829" w:rsidRPr="009F6D1E" w:rsidRDefault="002E3829" w:rsidP="0084747F">
            <w:pPr>
              <w:widowControl w:val="0"/>
              <w:autoSpaceDE w:val="0"/>
              <w:autoSpaceDN w:val="0"/>
              <w:adjustRightInd w:val="0"/>
              <w:spacing w:after="60" w:line="264" w:lineRule="auto"/>
              <w:jc w:val="both"/>
              <w:rPr>
                <w:rFonts w:cs="Times New Roman"/>
                <w:b/>
                <w:bCs/>
                <w:i/>
                <w:iCs/>
              </w:rPr>
            </w:pPr>
            <w:r w:rsidRPr="009F6D1E">
              <w:rPr>
                <w:rFonts w:cs="Times New Roman"/>
                <w:b/>
                <w:bCs/>
                <w:i/>
                <w:iCs/>
              </w:rPr>
              <w:lastRenderedPageBreak/>
              <w:t xml:space="preserve">Съобщение на Европейската комисия „План за действие за развитието на биологичното производство“, COM(2021) 141 </w:t>
            </w:r>
            <w:proofErr w:type="spellStart"/>
            <w:r w:rsidRPr="009F6D1E">
              <w:rPr>
                <w:rFonts w:cs="Times New Roman"/>
                <w:b/>
                <w:bCs/>
                <w:i/>
                <w:iCs/>
              </w:rPr>
              <w:t>final</w:t>
            </w:r>
            <w:proofErr w:type="spellEnd"/>
          </w:p>
          <w:p w14:paraId="624B2152" w14:textId="77777777" w:rsidR="002E3829" w:rsidRPr="009F6D1E" w:rsidRDefault="002E3829" w:rsidP="0084747F">
            <w:pPr>
              <w:spacing w:after="60" w:line="264" w:lineRule="auto"/>
              <w:jc w:val="both"/>
              <w:rPr>
                <w:rFonts w:cs="Times New Roman"/>
              </w:rPr>
            </w:pPr>
            <w:r w:rsidRPr="009F6D1E">
              <w:rPr>
                <w:rFonts w:cs="Times New Roman"/>
              </w:rPr>
              <w:t>Водещата цел: „</w:t>
            </w:r>
            <w:r w:rsidRPr="009F6D1E">
              <w:rPr>
                <w:rFonts w:cs="Times New Roman"/>
                <w:i/>
              </w:rPr>
              <w:t>Да се осигури стабилна основа за бъдещето на сектора</w:t>
            </w:r>
            <w:r w:rsidRPr="009F6D1E">
              <w:rPr>
                <w:rFonts w:cs="Times New Roman"/>
              </w:rPr>
              <w:t>“.</w:t>
            </w:r>
          </w:p>
          <w:p w14:paraId="774A22A6" w14:textId="77777777" w:rsidR="002E3829" w:rsidRPr="009F6D1E" w:rsidRDefault="002E3829" w:rsidP="0084747F">
            <w:pPr>
              <w:spacing w:after="60" w:line="264" w:lineRule="auto"/>
              <w:jc w:val="both"/>
              <w:rPr>
                <w:rFonts w:cs="Times New Roman"/>
              </w:rPr>
            </w:pPr>
            <w:r w:rsidRPr="009F6D1E">
              <w:rPr>
                <w:rFonts w:cs="Times New Roman"/>
                <w:b/>
                <w:i/>
              </w:rPr>
              <w:t>Направление 1.</w:t>
            </w:r>
            <w:r w:rsidRPr="009F6D1E">
              <w:rPr>
                <w:rFonts w:cs="Times New Roman"/>
                <w:b/>
              </w:rPr>
              <w:t>:</w:t>
            </w:r>
            <w:r w:rsidRPr="009F6D1E">
              <w:rPr>
                <w:rFonts w:cs="Times New Roman"/>
              </w:rPr>
              <w:t xml:space="preserve"> Биологични храни и продукти за всички: стимулиране на търсенето и гарантиране на доверието на потребителите</w:t>
            </w:r>
          </w:p>
          <w:p w14:paraId="72202EAA" w14:textId="77777777" w:rsidR="002E3829" w:rsidRPr="009F6D1E" w:rsidRDefault="002E3829" w:rsidP="0084747F">
            <w:pPr>
              <w:pStyle w:val="li"/>
              <w:spacing w:before="0" w:beforeAutospacing="0" w:after="60" w:afterAutospacing="0" w:line="264" w:lineRule="auto"/>
              <w:rPr>
                <w:i/>
                <w:iCs/>
                <w:sz w:val="22"/>
                <w:szCs w:val="22"/>
                <w:lang w:val="bg-BG"/>
              </w:rPr>
            </w:pPr>
            <w:r w:rsidRPr="009F6D1E">
              <w:rPr>
                <w:rStyle w:val="num"/>
                <w:rFonts w:eastAsiaTheme="majorEastAsia"/>
                <w:i/>
                <w:iCs/>
                <w:sz w:val="22"/>
                <w:szCs w:val="22"/>
                <w:lang w:val="bg-BG"/>
              </w:rPr>
              <w:t>1.1.</w:t>
            </w:r>
            <w:r w:rsidRPr="009F6D1E">
              <w:rPr>
                <w:i/>
                <w:iCs/>
                <w:sz w:val="22"/>
                <w:szCs w:val="22"/>
                <w:lang w:val="bg-BG"/>
              </w:rPr>
              <w:t xml:space="preserve"> Популяризиране на биологичното земеделие и на логото на ЕС </w:t>
            </w:r>
          </w:p>
          <w:p w14:paraId="57AB3368" w14:textId="77777777" w:rsidR="002E3829" w:rsidRPr="009F6D1E" w:rsidRDefault="002E3829" w:rsidP="0084747F">
            <w:pPr>
              <w:pStyle w:val="li"/>
              <w:spacing w:before="0" w:beforeAutospacing="0" w:after="60" w:afterAutospacing="0" w:line="264" w:lineRule="auto"/>
              <w:rPr>
                <w:i/>
                <w:sz w:val="22"/>
                <w:szCs w:val="22"/>
                <w:lang w:val="bg-BG"/>
              </w:rPr>
            </w:pPr>
            <w:r w:rsidRPr="009F6D1E">
              <w:rPr>
                <w:rStyle w:val="num"/>
                <w:rFonts w:eastAsiaTheme="majorEastAsia"/>
                <w:i/>
                <w:iCs/>
                <w:sz w:val="22"/>
                <w:szCs w:val="22"/>
                <w:lang w:val="bg-BG"/>
              </w:rPr>
              <w:lastRenderedPageBreak/>
              <w:t>1.2.</w:t>
            </w:r>
            <w:r w:rsidRPr="009F6D1E">
              <w:rPr>
                <w:i/>
                <w:sz w:val="22"/>
                <w:szCs w:val="22"/>
                <w:lang w:val="bg-BG"/>
              </w:rPr>
              <w:t xml:space="preserve"> Насърчаване на столови с биологични продукти и увеличаване на използването на екологосъобразни обществени поръчки </w:t>
            </w:r>
          </w:p>
          <w:p w14:paraId="5DDFFC2A" w14:textId="77777777" w:rsidR="002E3829" w:rsidRPr="009F6D1E" w:rsidRDefault="002E3829" w:rsidP="0084747F">
            <w:pPr>
              <w:pStyle w:val="li"/>
              <w:spacing w:before="0" w:beforeAutospacing="0" w:after="60" w:afterAutospacing="0" w:line="264" w:lineRule="auto"/>
              <w:rPr>
                <w:i/>
                <w:sz w:val="22"/>
                <w:szCs w:val="22"/>
                <w:lang w:val="bg-BG"/>
              </w:rPr>
            </w:pPr>
            <w:r w:rsidRPr="009F6D1E">
              <w:rPr>
                <w:rStyle w:val="num"/>
                <w:rFonts w:eastAsiaTheme="majorEastAsia"/>
                <w:sz w:val="22"/>
                <w:szCs w:val="22"/>
                <w:lang w:val="bg-BG"/>
              </w:rPr>
              <w:t>1.3.</w:t>
            </w:r>
            <w:r w:rsidRPr="009F6D1E">
              <w:rPr>
                <w:i/>
                <w:sz w:val="22"/>
                <w:szCs w:val="22"/>
                <w:lang w:val="bg-BG"/>
              </w:rPr>
              <w:t xml:space="preserve"> Засилване на присъствието на биологичните храни в схемите за училищата</w:t>
            </w:r>
          </w:p>
          <w:p w14:paraId="74D9B9DC" w14:textId="77777777" w:rsidR="002E3829" w:rsidRPr="009F6D1E" w:rsidRDefault="002E3829" w:rsidP="0084747F">
            <w:pPr>
              <w:pStyle w:val="li"/>
              <w:spacing w:before="0" w:beforeAutospacing="0" w:after="60" w:afterAutospacing="0" w:line="264" w:lineRule="auto"/>
              <w:jc w:val="both"/>
              <w:rPr>
                <w:rStyle w:val="num"/>
                <w:rFonts w:eastAsia="ヒラギノ角ゴ Pro W3"/>
                <w:i/>
                <w:sz w:val="22"/>
                <w:szCs w:val="22"/>
                <w:lang w:val="bg-BG"/>
              </w:rPr>
            </w:pPr>
            <w:r w:rsidRPr="009F6D1E">
              <w:rPr>
                <w:rStyle w:val="num"/>
                <w:rFonts w:eastAsiaTheme="majorEastAsia"/>
                <w:i/>
                <w:sz w:val="22"/>
                <w:szCs w:val="22"/>
                <w:lang w:val="bg-BG"/>
              </w:rPr>
              <w:t>1.4.</w:t>
            </w:r>
            <w:r w:rsidRPr="009F6D1E">
              <w:rPr>
                <w:rStyle w:val="num"/>
                <w:rFonts w:eastAsia="ヒラギノ角ゴ Pro W3"/>
                <w:i/>
                <w:sz w:val="22"/>
                <w:szCs w:val="22"/>
                <w:lang w:val="bg-BG"/>
              </w:rPr>
              <w:t xml:space="preserve"> Предотвратяване на измамите с храни и засилване на доверието на потребителите </w:t>
            </w:r>
          </w:p>
          <w:p w14:paraId="5FBC2E9F" w14:textId="77777777" w:rsidR="002E3829" w:rsidRPr="009F6D1E" w:rsidRDefault="002E3829" w:rsidP="0084747F">
            <w:pPr>
              <w:pStyle w:val="li"/>
              <w:spacing w:before="0" w:beforeAutospacing="0" w:after="60" w:afterAutospacing="0" w:line="264" w:lineRule="auto"/>
              <w:rPr>
                <w:i/>
                <w:sz w:val="22"/>
                <w:szCs w:val="22"/>
                <w:lang w:val="bg-BG"/>
              </w:rPr>
            </w:pPr>
            <w:r w:rsidRPr="009F6D1E">
              <w:rPr>
                <w:rStyle w:val="num"/>
                <w:rFonts w:eastAsiaTheme="majorEastAsia"/>
                <w:i/>
                <w:sz w:val="22"/>
                <w:szCs w:val="22"/>
                <w:lang w:val="bg-BG"/>
              </w:rPr>
              <w:t>1.5.</w:t>
            </w:r>
            <w:r w:rsidRPr="009F6D1E">
              <w:rPr>
                <w:rStyle w:val="num"/>
                <w:rFonts w:eastAsia="ヒラギノ角ゴ Pro W3"/>
                <w:i/>
                <w:sz w:val="22"/>
                <w:szCs w:val="22"/>
                <w:lang w:val="bg-BG"/>
              </w:rPr>
              <w:t xml:space="preserve"> Подобряване на проследимостта</w:t>
            </w:r>
          </w:p>
          <w:p w14:paraId="515573C9" w14:textId="77777777" w:rsidR="002E3829" w:rsidRPr="009F6D1E" w:rsidRDefault="002E3829" w:rsidP="0084747F">
            <w:pPr>
              <w:pStyle w:val="li"/>
              <w:spacing w:before="0" w:beforeAutospacing="0" w:after="60" w:afterAutospacing="0" w:line="264" w:lineRule="auto"/>
              <w:rPr>
                <w:rStyle w:val="num"/>
                <w:rFonts w:eastAsia="ヒラギノ角ゴ Pro W3"/>
                <w:i/>
                <w:sz w:val="22"/>
                <w:szCs w:val="22"/>
                <w:lang w:val="bg-BG"/>
              </w:rPr>
            </w:pPr>
            <w:r w:rsidRPr="009F6D1E">
              <w:rPr>
                <w:rStyle w:val="num"/>
                <w:rFonts w:eastAsia="ヒラギノ角ゴ Pro W3"/>
                <w:i/>
                <w:sz w:val="22"/>
                <w:szCs w:val="22"/>
                <w:lang w:val="bg-BG"/>
              </w:rPr>
              <w:t xml:space="preserve">1.6. Приносът на частния сектор </w:t>
            </w:r>
          </w:p>
          <w:p w14:paraId="5647C0AF" w14:textId="77777777" w:rsidR="002E3829" w:rsidRPr="009F6D1E" w:rsidRDefault="002E3829" w:rsidP="0084747F">
            <w:pPr>
              <w:spacing w:after="60" w:line="264" w:lineRule="auto"/>
              <w:jc w:val="both"/>
              <w:rPr>
                <w:rFonts w:cs="Times New Roman"/>
              </w:rPr>
            </w:pPr>
            <w:r w:rsidRPr="009F6D1E">
              <w:rPr>
                <w:rFonts w:cs="Times New Roman"/>
                <w:b/>
                <w:i/>
              </w:rPr>
              <w:t>Направление 2.:</w:t>
            </w:r>
            <w:r w:rsidRPr="009F6D1E">
              <w:rPr>
                <w:rFonts w:cs="Times New Roman"/>
              </w:rPr>
              <w:t xml:space="preserve"> По пътя към 2030 г.: стимулиране на прехода и укрепване на цялата верига за създаване на стойност</w:t>
            </w:r>
          </w:p>
          <w:p w14:paraId="19B7CB2C" w14:textId="77777777" w:rsidR="002E3829" w:rsidRPr="009F6D1E" w:rsidRDefault="002E3829" w:rsidP="0084747F">
            <w:pPr>
              <w:pStyle w:val="li"/>
              <w:spacing w:before="0" w:beforeAutospacing="0" w:after="60" w:afterAutospacing="0" w:line="264" w:lineRule="auto"/>
              <w:rPr>
                <w:rStyle w:val="num"/>
                <w:rFonts w:eastAsia="ヒラギノ角ゴ Pro W3"/>
                <w:i/>
                <w:iCs/>
                <w:sz w:val="22"/>
                <w:szCs w:val="22"/>
                <w:lang w:val="bg-BG"/>
              </w:rPr>
            </w:pPr>
            <w:r w:rsidRPr="009F6D1E">
              <w:rPr>
                <w:rStyle w:val="num"/>
                <w:rFonts w:eastAsia="ヒラギノ角ゴ Pro W3"/>
                <w:i/>
                <w:iCs/>
                <w:sz w:val="22"/>
                <w:szCs w:val="22"/>
                <w:lang w:val="bg-BG"/>
              </w:rPr>
              <w:t>2.1 Насърчаване на прехода, инвестициите и обмена на най-добри практики</w:t>
            </w:r>
          </w:p>
          <w:p w14:paraId="3AFA2968" w14:textId="77777777" w:rsidR="002E3829" w:rsidRPr="009F6D1E" w:rsidRDefault="002E3829" w:rsidP="0084747F">
            <w:pPr>
              <w:pStyle w:val="li"/>
              <w:spacing w:before="0" w:beforeAutospacing="0" w:after="60" w:afterAutospacing="0" w:line="264" w:lineRule="auto"/>
              <w:jc w:val="both"/>
              <w:rPr>
                <w:rStyle w:val="num"/>
                <w:rFonts w:eastAsia="ヒラギノ角ゴ Pro W3"/>
                <w:i/>
                <w:iCs/>
                <w:sz w:val="22"/>
                <w:szCs w:val="22"/>
                <w:lang w:val="bg-BG"/>
              </w:rPr>
            </w:pPr>
            <w:r w:rsidRPr="009F6D1E">
              <w:rPr>
                <w:rStyle w:val="num"/>
                <w:rFonts w:eastAsia="ヒラギノ角ゴ Pro W3"/>
                <w:i/>
                <w:iCs/>
                <w:sz w:val="22"/>
                <w:szCs w:val="22"/>
                <w:lang w:val="bg-BG"/>
              </w:rPr>
              <w:t>2.2. Разработване на секторен анализ, за да се увеличи прозрачността на пазара</w:t>
            </w:r>
          </w:p>
          <w:p w14:paraId="2A134D21" w14:textId="77777777" w:rsidR="002E3829" w:rsidRPr="009F6D1E" w:rsidRDefault="002E3829" w:rsidP="0084747F">
            <w:pPr>
              <w:pStyle w:val="li"/>
              <w:spacing w:before="0" w:beforeAutospacing="0" w:after="60" w:afterAutospacing="0" w:line="264" w:lineRule="auto"/>
              <w:rPr>
                <w:rStyle w:val="num"/>
                <w:rFonts w:eastAsia="ヒラギノ角ゴ Pro W3"/>
                <w:i/>
                <w:iCs/>
                <w:sz w:val="22"/>
                <w:szCs w:val="22"/>
                <w:lang w:val="bg-BG"/>
              </w:rPr>
            </w:pPr>
            <w:r w:rsidRPr="009F6D1E">
              <w:rPr>
                <w:rStyle w:val="num"/>
                <w:rFonts w:eastAsiaTheme="majorEastAsia"/>
                <w:i/>
                <w:iCs/>
                <w:sz w:val="22"/>
                <w:szCs w:val="22"/>
                <w:lang w:val="bg-BG"/>
              </w:rPr>
              <w:t>2.3.</w:t>
            </w:r>
            <w:r w:rsidRPr="009F6D1E">
              <w:rPr>
                <w:rStyle w:val="num"/>
                <w:rFonts w:eastAsia="ヒラギノ角ゴ Pro W3"/>
                <w:i/>
                <w:iCs/>
                <w:sz w:val="22"/>
                <w:szCs w:val="22"/>
                <w:lang w:val="bg-BG"/>
              </w:rPr>
              <w:t xml:space="preserve"> Подкрепа за организацията на веригата за доставки на храни </w:t>
            </w:r>
          </w:p>
          <w:p w14:paraId="4182B65E" w14:textId="77777777" w:rsidR="002E3829" w:rsidRPr="009F6D1E" w:rsidRDefault="002E3829" w:rsidP="0084747F">
            <w:pPr>
              <w:pStyle w:val="li"/>
              <w:spacing w:before="0" w:beforeAutospacing="0" w:after="60" w:afterAutospacing="0" w:line="264" w:lineRule="auto"/>
              <w:jc w:val="both"/>
              <w:rPr>
                <w:rStyle w:val="num"/>
                <w:rFonts w:eastAsia="ヒラギノ角ゴ Pro W3"/>
                <w:i/>
                <w:iCs/>
                <w:sz w:val="22"/>
                <w:szCs w:val="22"/>
                <w:lang w:val="bg-BG"/>
              </w:rPr>
            </w:pPr>
            <w:r w:rsidRPr="009F6D1E">
              <w:rPr>
                <w:rStyle w:val="num"/>
                <w:rFonts w:eastAsia="ヒラギノ角ゴ Pro W3"/>
                <w:i/>
                <w:iCs/>
                <w:sz w:val="22"/>
                <w:szCs w:val="22"/>
                <w:lang w:val="bg-BG"/>
              </w:rPr>
              <w:t xml:space="preserve">2.4. Укрепване на местната и </w:t>
            </w:r>
            <w:proofErr w:type="spellStart"/>
            <w:r w:rsidRPr="009F6D1E">
              <w:rPr>
                <w:rStyle w:val="num"/>
                <w:rFonts w:eastAsia="ヒラギノ角ゴ Pro W3"/>
                <w:i/>
                <w:iCs/>
                <w:sz w:val="22"/>
                <w:szCs w:val="22"/>
                <w:lang w:val="bg-BG"/>
              </w:rPr>
              <w:t>дребномащабната</w:t>
            </w:r>
            <w:proofErr w:type="spellEnd"/>
            <w:r w:rsidRPr="009F6D1E">
              <w:rPr>
                <w:rStyle w:val="num"/>
                <w:rFonts w:eastAsia="ヒラギノ角ゴ Pro W3"/>
                <w:i/>
                <w:iCs/>
                <w:sz w:val="22"/>
                <w:szCs w:val="22"/>
                <w:lang w:val="bg-BG"/>
              </w:rPr>
              <w:t xml:space="preserve"> преработка и насърчаване на късите вериги на търговия</w:t>
            </w:r>
          </w:p>
          <w:p w14:paraId="4E9B03A6" w14:textId="77777777" w:rsidR="002E3829" w:rsidRPr="009F6D1E" w:rsidRDefault="002E3829" w:rsidP="0084747F">
            <w:pPr>
              <w:pStyle w:val="li"/>
              <w:spacing w:before="0" w:beforeAutospacing="0" w:after="60" w:afterAutospacing="0" w:line="264" w:lineRule="auto"/>
              <w:rPr>
                <w:i/>
                <w:iCs/>
                <w:sz w:val="22"/>
                <w:szCs w:val="22"/>
                <w:lang w:val="bg-BG"/>
              </w:rPr>
            </w:pPr>
            <w:r w:rsidRPr="009F6D1E">
              <w:rPr>
                <w:rStyle w:val="num"/>
                <w:rFonts w:eastAsiaTheme="majorEastAsia"/>
                <w:i/>
                <w:iCs/>
                <w:sz w:val="22"/>
                <w:szCs w:val="22"/>
                <w:lang w:val="bg-BG"/>
              </w:rPr>
              <w:t>2.5.</w:t>
            </w:r>
            <w:r w:rsidRPr="009F6D1E">
              <w:rPr>
                <w:i/>
                <w:iCs/>
                <w:sz w:val="22"/>
                <w:szCs w:val="22"/>
                <w:lang w:val="bg-BG"/>
              </w:rPr>
              <w:t xml:space="preserve"> Подобряване на храненето на животните в съответствие с правилата за биологично производство </w:t>
            </w:r>
          </w:p>
          <w:p w14:paraId="2BE7C66E" w14:textId="77777777" w:rsidR="002E3829" w:rsidRPr="009F6D1E" w:rsidRDefault="002E3829" w:rsidP="0084747F">
            <w:pPr>
              <w:pStyle w:val="li"/>
              <w:spacing w:before="0" w:beforeAutospacing="0" w:after="60" w:afterAutospacing="0" w:line="264" w:lineRule="auto"/>
              <w:rPr>
                <w:rStyle w:val="num"/>
                <w:rFonts w:eastAsia="ヒラギノ角ゴ Pro W3"/>
                <w:i/>
                <w:iCs/>
                <w:sz w:val="22"/>
                <w:szCs w:val="22"/>
                <w:lang w:val="bg-BG"/>
              </w:rPr>
            </w:pPr>
            <w:r w:rsidRPr="009F6D1E">
              <w:rPr>
                <w:rStyle w:val="num"/>
                <w:rFonts w:eastAsia="ヒラギノ角ゴ Pro W3"/>
                <w:i/>
                <w:iCs/>
                <w:sz w:val="22"/>
                <w:szCs w:val="22"/>
                <w:lang w:val="bg-BG"/>
              </w:rPr>
              <w:t>2.6. Укрепване на биологичната аквакултура</w:t>
            </w:r>
          </w:p>
          <w:p w14:paraId="75B43C9B" w14:textId="77777777" w:rsidR="002E3829" w:rsidRPr="009F6D1E" w:rsidRDefault="002E3829" w:rsidP="0084747F">
            <w:pPr>
              <w:spacing w:after="60" w:line="264" w:lineRule="auto"/>
              <w:jc w:val="both"/>
              <w:rPr>
                <w:rFonts w:cs="Times New Roman"/>
              </w:rPr>
            </w:pPr>
            <w:r w:rsidRPr="009F6D1E">
              <w:rPr>
                <w:rFonts w:cs="Times New Roman"/>
                <w:b/>
              </w:rPr>
              <w:lastRenderedPageBreak/>
              <w:t>Направление 3:</w:t>
            </w:r>
            <w:r w:rsidRPr="009F6D1E">
              <w:rPr>
                <w:rFonts w:cs="Times New Roman"/>
              </w:rPr>
              <w:t xml:space="preserve"> Биологичното производство като пример за подражание: подобряване на приноса на биологичното земеделие за устойчивостта</w:t>
            </w:r>
          </w:p>
          <w:p w14:paraId="1E85ED90" w14:textId="77777777" w:rsidR="002E3829" w:rsidRPr="009F6D1E" w:rsidRDefault="002E3829" w:rsidP="0084747F">
            <w:pPr>
              <w:pStyle w:val="li"/>
              <w:spacing w:before="0" w:beforeAutospacing="0" w:after="60" w:afterAutospacing="0" w:line="264" w:lineRule="auto"/>
              <w:rPr>
                <w:rStyle w:val="num"/>
                <w:rFonts w:eastAsia="ヒラギノ角ゴ Pro W3"/>
                <w:i/>
                <w:iCs/>
                <w:sz w:val="22"/>
                <w:szCs w:val="22"/>
                <w:lang w:val="bg-BG"/>
              </w:rPr>
            </w:pPr>
            <w:r w:rsidRPr="009F6D1E">
              <w:rPr>
                <w:rStyle w:val="num"/>
                <w:rFonts w:eastAsiaTheme="majorEastAsia"/>
                <w:i/>
                <w:iCs/>
                <w:sz w:val="22"/>
                <w:szCs w:val="22"/>
                <w:lang w:val="bg-BG"/>
              </w:rPr>
              <w:t>3.1.</w:t>
            </w:r>
            <w:r w:rsidRPr="009F6D1E">
              <w:rPr>
                <w:rStyle w:val="num"/>
                <w:rFonts w:eastAsia="ヒラギノ角ゴ Pro W3"/>
                <w:i/>
                <w:iCs/>
                <w:sz w:val="22"/>
                <w:szCs w:val="22"/>
                <w:lang w:val="bg-BG"/>
              </w:rPr>
              <w:t xml:space="preserve"> Намаляване на отпечатъка върху климата и околната среда </w:t>
            </w:r>
          </w:p>
          <w:p w14:paraId="12F76C7B" w14:textId="77777777" w:rsidR="002E3829" w:rsidRPr="009F6D1E" w:rsidRDefault="002E3829" w:rsidP="0084747F">
            <w:pPr>
              <w:pStyle w:val="li"/>
              <w:spacing w:before="0" w:beforeAutospacing="0" w:after="60" w:afterAutospacing="0" w:line="264" w:lineRule="auto"/>
              <w:jc w:val="both"/>
              <w:rPr>
                <w:rStyle w:val="num"/>
                <w:rFonts w:eastAsia="ヒラギノ角ゴ Pro W3"/>
                <w:i/>
                <w:iCs/>
                <w:sz w:val="22"/>
                <w:szCs w:val="22"/>
                <w:lang w:val="bg-BG"/>
              </w:rPr>
            </w:pPr>
            <w:r w:rsidRPr="009F6D1E">
              <w:rPr>
                <w:rStyle w:val="num"/>
                <w:rFonts w:eastAsiaTheme="majorEastAsia"/>
                <w:i/>
                <w:iCs/>
                <w:sz w:val="22"/>
                <w:szCs w:val="22"/>
                <w:lang w:val="bg-BG"/>
              </w:rPr>
              <w:t>3.2.</w:t>
            </w:r>
            <w:r w:rsidRPr="009F6D1E">
              <w:rPr>
                <w:rStyle w:val="num"/>
                <w:rFonts w:eastAsia="ヒラギノ角ゴ Pro W3"/>
                <w:i/>
                <w:iCs/>
                <w:sz w:val="22"/>
                <w:szCs w:val="22"/>
                <w:lang w:val="bg-BG"/>
              </w:rPr>
              <w:t xml:space="preserve"> Подобряване на генетичното биологично разнообразие и увеличаване на добивите </w:t>
            </w:r>
          </w:p>
          <w:p w14:paraId="390962E1" w14:textId="77777777" w:rsidR="002E3829" w:rsidRPr="009F6D1E" w:rsidRDefault="002E3829" w:rsidP="0084747F">
            <w:pPr>
              <w:pStyle w:val="li"/>
              <w:spacing w:before="0" w:beforeAutospacing="0" w:after="60" w:afterAutospacing="0" w:line="264" w:lineRule="auto"/>
              <w:jc w:val="both"/>
              <w:rPr>
                <w:rStyle w:val="num"/>
                <w:rFonts w:eastAsia="ヒラギノ角ゴ Pro W3"/>
                <w:i/>
                <w:iCs/>
                <w:sz w:val="22"/>
                <w:szCs w:val="22"/>
                <w:lang w:val="bg-BG"/>
              </w:rPr>
            </w:pPr>
            <w:r w:rsidRPr="009F6D1E">
              <w:rPr>
                <w:rStyle w:val="num"/>
                <w:rFonts w:eastAsia="ヒラギノ角ゴ Pro W3"/>
                <w:i/>
                <w:iCs/>
                <w:sz w:val="22"/>
                <w:szCs w:val="22"/>
                <w:lang w:val="bg-BG"/>
              </w:rPr>
              <w:t>3.3 Алтернативи на спорните влагани ресурси и други продукти за растителна защита</w:t>
            </w:r>
          </w:p>
          <w:p w14:paraId="3823346B" w14:textId="77777777" w:rsidR="002E3829" w:rsidRPr="009F6D1E" w:rsidRDefault="002E3829" w:rsidP="0084747F">
            <w:pPr>
              <w:spacing w:after="60" w:line="264" w:lineRule="auto"/>
              <w:rPr>
                <w:rFonts w:eastAsia="ヒラギノ角ゴ Pro W3" w:cs="Times New Roman"/>
                <w:i/>
                <w:iCs/>
              </w:rPr>
            </w:pPr>
            <w:r w:rsidRPr="009F6D1E">
              <w:rPr>
                <w:rFonts w:eastAsia="Times New Roman" w:cs="Times New Roman"/>
                <w:i/>
                <w:iCs/>
              </w:rPr>
              <w:t>3.4.</w:t>
            </w:r>
            <w:r w:rsidRPr="009F6D1E">
              <w:rPr>
                <w:rFonts w:eastAsia="ヒラギノ角ゴ Pro W3" w:cs="Times New Roman"/>
                <w:i/>
                <w:iCs/>
              </w:rPr>
              <w:t xml:space="preserve"> Подобряване на хуманното отношение към животните </w:t>
            </w:r>
          </w:p>
          <w:p w14:paraId="399ECF2D" w14:textId="77777777" w:rsidR="002E3829" w:rsidRPr="009F6D1E" w:rsidRDefault="002E3829" w:rsidP="0084747F">
            <w:pPr>
              <w:pStyle w:val="li"/>
              <w:spacing w:before="0" w:beforeAutospacing="0" w:after="60" w:afterAutospacing="0" w:line="264" w:lineRule="auto"/>
              <w:rPr>
                <w:b/>
                <w:bCs/>
                <w:i/>
                <w:iCs/>
                <w:sz w:val="22"/>
                <w:szCs w:val="22"/>
                <w:lang w:val="bg-BG"/>
              </w:rPr>
            </w:pPr>
            <w:r w:rsidRPr="009F6D1E">
              <w:rPr>
                <w:rStyle w:val="num"/>
                <w:rFonts w:eastAsia="ヒラギノ角ゴ Pro W3"/>
                <w:i/>
                <w:iCs/>
                <w:sz w:val="22"/>
                <w:szCs w:val="22"/>
                <w:lang w:val="bg-BG"/>
              </w:rPr>
              <w:t>3.5. По-ефективно използване на ресурсите</w:t>
            </w:r>
          </w:p>
        </w:tc>
        <w:tc>
          <w:tcPr>
            <w:tcW w:w="7139" w:type="dxa"/>
          </w:tcPr>
          <w:p w14:paraId="1C7ED72D" w14:textId="77777777" w:rsidR="007147B5" w:rsidRPr="009F6D1E" w:rsidRDefault="00AF750E" w:rsidP="0084747F">
            <w:pPr>
              <w:widowControl w:val="0"/>
              <w:spacing w:after="60" w:line="264" w:lineRule="auto"/>
              <w:jc w:val="both"/>
              <w:rPr>
                <w:rFonts w:cs="Times New Roman"/>
                <w:i/>
              </w:rPr>
            </w:pPr>
            <w:r w:rsidRPr="009F6D1E">
              <w:rPr>
                <w:rFonts w:cs="Times New Roman"/>
              </w:rPr>
              <w:lastRenderedPageBreak/>
              <w:t xml:space="preserve">Пряко отношение и принос към </w:t>
            </w:r>
            <w:r w:rsidRPr="009F6D1E">
              <w:rPr>
                <w:rFonts w:cs="Times New Roman"/>
                <w:b/>
                <w:i/>
              </w:rPr>
              <w:t xml:space="preserve">Направление 1. </w:t>
            </w:r>
            <w:r w:rsidR="007147B5" w:rsidRPr="009F6D1E">
              <w:rPr>
                <w:rFonts w:cs="Times New Roman"/>
                <w:bCs/>
                <w:iCs/>
              </w:rPr>
              <w:t>и</w:t>
            </w:r>
            <w:r w:rsidRPr="009F6D1E">
              <w:rPr>
                <w:rFonts w:cs="Times New Roman"/>
                <w:bCs/>
                <w:iCs/>
              </w:rPr>
              <w:t>м</w:t>
            </w:r>
            <w:r w:rsidRPr="009F6D1E">
              <w:rPr>
                <w:rFonts w:cs="Times New Roman"/>
              </w:rPr>
              <w:t>а</w:t>
            </w:r>
            <w:r w:rsidR="007147B5" w:rsidRPr="009F6D1E">
              <w:rPr>
                <w:rFonts w:cs="Times New Roman"/>
              </w:rPr>
              <w:t xml:space="preserve"> </w:t>
            </w:r>
            <w:r w:rsidRPr="009F6D1E">
              <w:rPr>
                <w:rFonts w:cs="Times New Roman"/>
                <w:i/>
              </w:rPr>
              <w:t>Специфична цел №9</w:t>
            </w:r>
            <w:r w:rsidR="007147B5" w:rsidRPr="009F6D1E">
              <w:rPr>
                <w:rFonts w:cs="Times New Roman"/>
                <w:i/>
              </w:rPr>
              <w:t>:</w:t>
            </w:r>
            <w:r w:rsidRPr="009F6D1E">
              <w:rPr>
                <w:rFonts w:cs="Times New Roman"/>
                <w:i/>
              </w:rPr>
              <w:t xml:space="preserve"> </w:t>
            </w:r>
            <w:r w:rsidR="007147B5" w:rsidRPr="009F6D1E">
              <w:rPr>
                <w:rFonts w:cs="Times New Roman"/>
                <w:i/>
              </w:rPr>
              <w:t>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4911AD6B" w14:textId="77777777" w:rsidR="007147B5" w:rsidRPr="009F6D1E" w:rsidRDefault="007147B5" w:rsidP="0084747F">
            <w:pPr>
              <w:widowControl w:val="0"/>
              <w:spacing w:after="60" w:line="264" w:lineRule="auto"/>
              <w:jc w:val="both"/>
              <w:rPr>
                <w:rFonts w:cs="Times New Roman"/>
                <w:iCs/>
              </w:rPr>
            </w:pPr>
            <w:r w:rsidRPr="009F6D1E">
              <w:rPr>
                <w:rFonts w:cs="Times New Roman"/>
                <w:iCs/>
              </w:rPr>
              <w:t>Косвен принос имат:</w:t>
            </w:r>
          </w:p>
          <w:p w14:paraId="4636B411" w14:textId="77777777" w:rsidR="008D39A9" w:rsidRPr="009F6D1E" w:rsidRDefault="008D39A9" w:rsidP="0084747F">
            <w:pPr>
              <w:widowControl w:val="0"/>
              <w:spacing w:after="60" w:line="264" w:lineRule="auto"/>
              <w:jc w:val="both"/>
              <w:rPr>
                <w:rFonts w:cs="Times New Roman"/>
                <w:lang w:bidi="bg-BG"/>
              </w:rPr>
            </w:pPr>
            <w:r w:rsidRPr="009F6D1E">
              <w:rPr>
                <w:rFonts w:cs="Times New Roman"/>
                <w:i/>
              </w:rPr>
              <w:t xml:space="preserve">Специфична цел №4 - Потребност </w:t>
            </w:r>
            <w:r w:rsidRPr="009F6D1E">
              <w:rPr>
                <w:rFonts w:cs="Times New Roman"/>
                <w:i/>
                <w:iCs/>
                <w:lang w:bidi="bg-BG"/>
              </w:rPr>
              <w:t xml:space="preserve">П.4.5. Потребност от прилагане на нискоинтензивни земеделски практики като </w:t>
            </w:r>
            <w:proofErr w:type="spellStart"/>
            <w:r w:rsidRPr="009F6D1E">
              <w:rPr>
                <w:rFonts w:cs="Times New Roman"/>
                <w:i/>
                <w:iCs/>
                <w:lang w:bidi="bg-BG"/>
              </w:rPr>
              <w:lastRenderedPageBreak/>
              <w:t>консервационно</w:t>
            </w:r>
            <w:proofErr w:type="spellEnd"/>
            <w:r w:rsidRPr="009F6D1E">
              <w:rPr>
                <w:rFonts w:cs="Times New Roman"/>
                <w:i/>
                <w:iCs/>
                <w:lang w:bidi="bg-BG"/>
              </w:rPr>
              <w:t>, интегрирано и биологично земеделие</w:t>
            </w:r>
            <w:r w:rsidRPr="009F6D1E">
              <w:rPr>
                <w:rFonts w:cs="Times New Roman"/>
                <w:lang w:bidi="bg-BG"/>
              </w:rPr>
              <w:t xml:space="preserve"> и интервенциите към нея</w:t>
            </w:r>
          </w:p>
          <w:p w14:paraId="3BA6D3FB" w14:textId="77777777" w:rsidR="008D39A9" w:rsidRPr="009F6D1E" w:rsidRDefault="008D39A9" w:rsidP="0084747F">
            <w:pPr>
              <w:widowControl w:val="0"/>
              <w:spacing w:after="60" w:line="264" w:lineRule="auto"/>
              <w:jc w:val="both"/>
              <w:rPr>
                <w:rFonts w:cs="Times New Roman"/>
                <w:lang w:bidi="bg-BG"/>
              </w:rPr>
            </w:pPr>
            <w:r w:rsidRPr="009F6D1E">
              <w:rPr>
                <w:rFonts w:cs="Times New Roman"/>
                <w:i/>
              </w:rPr>
              <w:t xml:space="preserve">Специфична цел №6 - Потребност </w:t>
            </w:r>
            <w:r w:rsidRPr="009F6D1E">
              <w:rPr>
                <w:rFonts w:cs="Times New Roman"/>
                <w:i/>
                <w:iCs/>
                <w:lang w:bidi="bg-BG"/>
              </w:rPr>
              <w:t>П.6.5. Насърчаване на практиките за разширяване биологично земеделие</w:t>
            </w:r>
            <w:r w:rsidRPr="009F6D1E">
              <w:rPr>
                <w:rFonts w:cs="Times New Roman"/>
                <w:lang w:bidi="bg-BG"/>
              </w:rPr>
              <w:t xml:space="preserve"> и интервенциите към нея</w:t>
            </w:r>
          </w:p>
          <w:p w14:paraId="0A1F1BEE" w14:textId="77777777" w:rsidR="00936A78" w:rsidRPr="009F6D1E" w:rsidRDefault="00BE1B7E" w:rsidP="0084747F">
            <w:pPr>
              <w:widowControl w:val="0"/>
              <w:spacing w:after="60" w:line="264" w:lineRule="auto"/>
              <w:jc w:val="both"/>
              <w:rPr>
                <w:rFonts w:cs="Times New Roman"/>
                <w:lang w:bidi="bg-BG"/>
              </w:rPr>
            </w:pPr>
            <w:r w:rsidRPr="009F6D1E">
              <w:rPr>
                <w:rFonts w:cs="Times New Roman"/>
                <w:lang w:bidi="bg-BG"/>
              </w:rPr>
              <w:t>Пряко отношение</w:t>
            </w:r>
            <w:r w:rsidR="007276B9" w:rsidRPr="009F6D1E">
              <w:rPr>
                <w:rFonts w:cs="Times New Roman"/>
                <w:lang w:bidi="bg-BG"/>
              </w:rPr>
              <w:t xml:space="preserve"> и принос</w:t>
            </w:r>
            <w:r w:rsidRPr="009F6D1E">
              <w:rPr>
                <w:rFonts w:cs="Times New Roman"/>
                <w:lang w:bidi="bg-BG"/>
              </w:rPr>
              <w:t xml:space="preserve"> </w:t>
            </w:r>
            <w:r w:rsidRPr="009F6D1E">
              <w:rPr>
                <w:rFonts w:cs="Times New Roman"/>
                <w:b/>
                <w:bCs/>
                <w:lang w:bidi="bg-BG"/>
              </w:rPr>
              <w:t xml:space="preserve">към </w:t>
            </w:r>
            <w:r w:rsidRPr="009F6D1E">
              <w:rPr>
                <w:rFonts w:cs="Times New Roman"/>
                <w:b/>
                <w:bCs/>
                <w:i/>
                <w:iCs/>
                <w:lang w:bidi="bg-BG"/>
              </w:rPr>
              <w:t>Направление 2</w:t>
            </w:r>
            <w:r w:rsidRPr="009F6D1E">
              <w:rPr>
                <w:rFonts w:cs="Times New Roman"/>
                <w:b/>
                <w:bCs/>
                <w:lang w:bidi="bg-BG"/>
              </w:rPr>
              <w:t xml:space="preserve"> </w:t>
            </w:r>
            <w:r w:rsidRPr="009F6D1E">
              <w:rPr>
                <w:rFonts w:cs="Times New Roman"/>
                <w:lang w:bidi="bg-BG"/>
              </w:rPr>
              <w:t>имат:</w:t>
            </w:r>
          </w:p>
          <w:p w14:paraId="667F2178" w14:textId="77777777" w:rsidR="00BE1B7E" w:rsidRPr="009F6D1E" w:rsidRDefault="00BE1B7E" w:rsidP="0084747F">
            <w:pPr>
              <w:widowControl w:val="0"/>
              <w:spacing w:after="60" w:line="264" w:lineRule="auto"/>
              <w:jc w:val="both"/>
              <w:rPr>
                <w:rFonts w:cs="Times New Roman"/>
                <w:b/>
                <w:bCs/>
                <w:i/>
                <w:iCs/>
                <w:u w:val="single"/>
                <w:lang w:bidi="bg-BG"/>
              </w:rPr>
            </w:pPr>
            <w:r w:rsidRPr="009F6D1E">
              <w:rPr>
                <w:rFonts w:cs="Times New Roman"/>
                <w:b/>
                <w:bCs/>
                <w:i/>
                <w:iCs/>
                <w:u w:val="single"/>
                <w:lang w:bidi="bg-BG"/>
              </w:rPr>
              <w:t>По 2.1</w:t>
            </w:r>
            <w:r w:rsidR="00CB0A85" w:rsidRPr="009F6D1E">
              <w:rPr>
                <w:rFonts w:cs="Times New Roman"/>
                <w:b/>
                <w:bCs/>
                <w:i/>
                <w:iCs/>
                <w:u w:val="single"/>
                <w:lang w:bidi="bg-BG"/>
              </w:rPr>
              <w:t>. и 2.4.</w:t>
            </w:r>
            <w:r w:rsidR="007276B9" w:rsidRPr="009F6D1E">
              <w:rPr>
                <w:rFonts w:cs="Times New Roman"/>
                <w:b/>
                <w:bCs/>
                <w:i/>
                <w:iCs/>
                <w:u w:val="single"/>
                <w:lang w:bidi="bg-BG"/>
              </w:rPr>
              <w:t>:</w:t>
            </w:r>
          </w:p>
          <w:p w14:paraId="3633F8A6" w14:textId="77777777" w:rsidR="00936A78" w:rsidRPr="009F6D1E" w:rsidRDefault="00936A78" w:rsidP="0084747F">
            <w:pPr>
              <w:spacing w:after="60" w:line="264" w:lineRule="auto"/>
              <w:jc w:val="both"/>
              <w:rPr>
                <w:rFonts w:cs="Times New Roman"/>
                <w:lang w:bidi="bg-BG"/>
              </w:rPr>
            </w:pPr>
            <w:r w:rsidRPr="009F6D1E">
              <w:rPr>
                <w:rFonts w:cs="Times New Roman"/>
                <w:i/>
                <w:iCs/>
                <w:lang w:bidi="bg-BG"/>
              </w:rPr>
              <w:t>Интервенция „Инвестиции в земеделски стопанства“ - член 73 (ЕЗФРСР)</w:t>
            </w:r>
            <w:r w:rsidRPr="009F6D1E">
              <w:rPr>
                <w:rFonts w:cs="Times New Roman"/>
                <w:lang w:bidi="bg-BG"/>
              </w:rPr>
              <w:t xml:space="preserve">, чрез която </w:t>
            </w:r>
            <w:r w:rsidR="007276B9" w:rsidRPr="009F6D1E">
              <w:rPr>
                <w:rFonts w:cs="Times New Roman"/>
                <w:lang w:bidi="bg-BG"/>
              </w:rPr>
              <w:t>щ</w:t>
            </w:r>
            <w:r w:rsidRPr="009F6D1E">
              <w:rPr>
                <w:rFonts w:cs="Times New Roman"/>
                <w:lang w:bidi="bg-BG"/>
              </w:rPr>
              <w:t>е се подкрепя внедряване на нови технологии, които са пазарно ориентирани и насочени към инвестиции и диверсификация на производствата.</w:t>
            </w:r>
          </w:p>
          <w:p w14:paraId="02D6BC0B" w14:textId="77777777" w:rsidR="00936A78" w:rsidRPr="009F6D1E" w:rsidRDefault="005046C7" w:rsidP="0084747F">
            <w:pPr>
              <w:widowControl w:val="0"/>
              <w:spacing w:after="60" w:line="264" w:lineRule="auto"/>
              <w:jc w:val="both"/>
              <w:rPr>
                <w:rFonts w:cs="Times New Roman"/>
                <w:lang w:bidi="bg-BG"/>
              </w:rPr>
            </w:pPr>
            <w:r w:rsidRPr="009F6D1E">
              <w:rPr>
                <w:rFonts w:cs="Times New Roman"/>
                <w:i/>
                <w:iCs/>
                <w:lang w:bidi="bg-BG"/>
              </w:rPr>
              <w:t xml:space="preserve">Междусекторна цел 10 </w:t>
            </w:r>
            <w:r w:rsidR="007276B9" w:rsidRPr="009F6D1E">
              <w:rPr>
                <w:rFonts w:cs="Times New Roman"/>
                <w:i/>
                <w:iCs/>
                <w:lang w:bidi="bg-BG"/>
              </w:rPr>
              <w:t xml:space="preserve">– потребност </w:t>
            </w:r>
            <w:r w:rsidR="00936A78" w:rsidRPr="009F6D1E">
              <w:rPr>
                <w:rFonts w:cs="Times New Roman"/>
                <w:i/>
                <w:iCs/>
                <w:lang w:bidi="bg-BG"/>
              </w:rPr>
              <w:t>П.10.5.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r w:rsidR="00936A78" w:rsidRPr="009F6D1E">
              <w:rPr>
                <w:rFonts w:cs="Times New Roman"/>
                <w:lang w:bidi="bg-BG"/>
              </w:rPr>
              <w:t>.</w:t>
            </w:r>
          </w:p>
          <w:p w14:paraId="02F8AD45" w14:textId="77777777" w:rsidR="0048478B" w:rsidRPr="009F6D1E" w:rsidRDefault="007276B9" w:rsidP="0084747F">
            <w:pPr>
              <w:widowControl w:val="0"/>
              <w:spacing w:after="60" w:line="264" w:lineRule="auto"/>
              <w:jc w:val="both"/>
              <w:rPr>
                <w:rFonts w:cs="Times New Roman"/>
                <w:i/>
              </w:rPr>
            </w:pPr>
            <w:r w:rsidRPr="009F6D1E">
              <w:rPr>
                <w:rFonts w:cs="Times New Roman"/>
                <w:i/>
              </w:rPr>
              <w:t>Специфична цел №2</w:t>
            </w:r>
            <w:r w:rsidR="0048478B" w:rsidRPr="009F6D1E">
              <w:rPr>
                <w:rFonts w:cs="Times New Roman"/>
                <w:i/>
              </w:rPr>
              <w:t>:</w:t>
            </w:r>
          </w:p>
          <w:p w14:paraId="191BD72F" w14:textId="77777777" w:rsidR="00936A78" w:rsidRPr="009F6D1E" w:rsidRDefault="007276B9" w:rsidP="0084747F">
            <w:pPr>
              <w:widowControl w:val="0"/>
              <w:spacing w:after="60" w:line="264" w:lineRule="auto"/>
              <w:jc w:val="both"/>
              <w:rPr>
                <w:rFonts w:cs="Times New Roman"/>
                <w:lang w:bidi="bg-BG"/>
              </w:rPr>
            </w:pPr>
            <w:r w:rsidRPr="009F6D1E">
              <w:rPr>
                <w:rFonts w:cs="Times New Roman"/>
                <w:i/>
              </w:rPr>
              <w:t xml:space="preserve">Потребност </w:t>
            </w:r>
            <w:r w:rsidR="00936A78" w:rsidRPr="009F6D1E">
              <w:rPr>
                <w:rFonts w:cs="Times New Roman"/>
                <w:i/>
                <w:iCs/>
                <w:lang w:bidi="bg-BG"/>
              </w:rPr>
              <w:t>П.2.2. Подобряване на производителността и добивите в секторите на селското стопанство, осигуряващи продукти с по-висока добавена стойност</w:t>
            </w:r>
          </w:p>
          <w:p w14:paraId="5C1AE981" w14:textId="77777777" w:rsidR="00936A78" w:rsidRPr="009F6D1E" w:rsidRDefault="007276B9" w:rsidP="0084747F">
            <w:pPr>
              <w:spacing w:after="60" w:line="264" w:lineRule="auto"/>
              <w:jc w:val="both"/>
              <w:rPr>
                <w:rFonts w:cs="Times New Roman"/>
                <w:i/>
                <w:iCs/>
                <w:lang w:bidi="bg-BG"/>
              </w:rPr>
            </w:pPr>
            <w:r w:rsidRPr="009F6D1E">
              <w:rPr>
                <w:rFonts w:cs="Times New Roman"/>
                <w:i/>
              </w:rPr>
              <w:lastRenderedPageBreak/>
              <w:t xml:space="preserve">Потребност </w:t>
            </w:r>
            <w:r w:rsidR="00936A78" w:rsidRPr="009F6D1E">
              <w:rPr>
                <w:rFonts w:cs="Times New Roman"/>
                <w:i/>
                <w:iCs/>
                <w:lang w:bidi="bg-BG"/>
              </w:rPr>
              <w:t>П.2.3.Ускоряване на модернизацията и технологично обновяване на малките и средни стопанства;</w:t>
            </w:r>
          </w:p>
          <w:p w14:paraId="0F7CDE5D" w14:textId="77777777" w:rsidR="00936A78" w:rsidRPr="009F6D1E" w:rsidRDefault="007276B9" w:rsidP="0084747F">
            <w:pPr>
              <w:spacing w:after="60" w:line="264" w:lineRule="auto"/>
              <w:jc w:val="both"/>
              <w:rPr>
                <w:rFonts w:cs="Times New Roman"/>
                <w:i/>
                <w:iCs/>
                <w:lang w:bidi="bg-BG"/>
              </w:rPr>
            </w:pPr>
            <w:r w:rsidRPr="009F6D1E">
              <w:rPr>
                <w:rFonts w:cs="Times New Roman"/>
                <w:i/>
                <w:iCs/>
                <w:lang w:bidi="bg-BG"/>
              </w:rPr>
              <w:t>Потребност П</w:t>
            </w:r>
            <w:r w:rsidR="00936A78" w:rsidRPr="009F6D1E">
              <w:rPr>
                <w:rFonts w:cs="Times New Roman"/>
                <w:i/>
                <w:iCs/>
                <w:lang w:bidi="bg-BG"/>
              </w:rPr>
              <w:t>.2.6.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p>
          <w:p w14:paraId="446B57A6" w14:textId="410F2ACD" w:rsidR="0048478B" w:rsidRPr="009F6D1E" w:rsidRDefault="0048478B" w:rsidP="0084747F">
            <w:pPr>
              <w:spacing w:after="60" w:line="264" w:lineRule="auto"/>
              <w:jc w:val="both"/>
              <w:rPr>
                <w:rFonts w:cs="Times New Roman"/>
                <w:lang w:bidi="bg-BG"/>
              </w:rPr>
            </w:pPr>
            <w:r w:rsidRPr="009F6D1E">
              <w:rPr>
                <w:rFonts w:cs="Times New Roman"/>
                <w:i/>
              </w:rPr>
              <w:t xml:space="preserve">Потребност </w:t>
            </w:r>
            <w:r w:rsidR="00A05339" w:rsidRPr="009F6D1E">
              <w:rPr>
                <w:rFonts w:cs="Times New Roman"/>
                <w:i/>
                <w:iCs/>
                <w:lang w:bidi="bg-BG"/>
              </w:rPr>
              <w:t>П.2.7.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F31AED">
              <w:rPr>
                <w:rFonts w:cs="Times New Roman"/>
                <w:i/>
                <w:iCs/>
                <w:lang w:bidi="bg-BG"/>
              </w:rPr>
              <w:t>осп</w:t>
            </w:r>
            <w:r w:rsidR="00A05339" w:rsidRPr="009F6D1E">
              <w:rPr>
                <w:rFonts w:cs="Times New Roman"/>
                <w:i/>
                <w:iCs/>
                <w:lang w:bidi="bg-BG"/>
              </w:rPr>
              <w:t>особност чрез модернизация на стопанствата, използване на цифровизацията, както и по-широкото прилагане на подвижното пчеларство</w:t>
            </w:r>
            <w:r w:rsidRPr="009F6D1E">
              <w:rPr>
                <w:rFonts w:cs="Times New Roman"/>
                <w:i/>
                <w:iCs/>
                <w:lang w:bidi="bg-BG"/>
              </w:rPr>
              <w:t xml:space="preserve"> ч</w:t>
            </w:r>
            <w:r w:rsidRPr="009F6D1E">
              <w:rPr>
                <w:rFonts w:cs="Times New Roman"/>
                <w:lang w:bidi="bg-BG"/>
              </w:rPr>
              <w:t>рез и</w:t>
            </w:r>
            <w:r w:rsidR="00936A78" w:rsidRPr="009F6D1E">
              <w:rPr>
                <w:rFonts w:cs="Times New Roman"/>
                <w:lang w:bidi="bg-BG"/>
              </w:rPr>
              <w:t>нтервенция за „</w:t>
            </w:r>
            <w:r w:rsidR="00936A78" w:rsidRPr="009F6D1E">
              <w:rPr>
                <w:rFonts w:cs="Times New Roman"/>
                <w:i/>
                <w:iCs/>
                <w:lang w:bidi="bg-BG"/>
              </w:rPr>
              <w:t>Инвестиции в материални и нематериални активи</w:t>
            </w:r>
            <w:r w:rsidR="00936A78" w:rsidRPr="009F6D1E">
              <w:rPr>
                <w:rFonts w:cs="Times New Roman"/>
                <w:lang w:bidi="bg-BG"/>
              </w:rPr>
              <w:t xml:space="preserve">“ – чл. 55 (ЕЗФРСР), </w:t>
            </w:r>
            <w:r w:rsidRPr="009F6D1E">
              <w:rPr>
                <w:rFonts w:cs="Times New Roman"/>
                <w:lang w:bidi="bg-BG"/>
              </w:rPr>
              <w:t xml:space="preserve">която </w:t>
            </w:r>
            <w:r w:rsidR="00936A78" w:rsidRPr="009F6D1E">
              <w:rPr>
                <w:rFonts w:cs="Times New Roman"/>
                <w:lang w:bidi="bg-BG"/>
              </w:rPr>
              <w:t>ще създаде възможност за пчеларите за закупуване на пчеларски инвентар, необходим при първичния добив на пчелен мед и други пчелни продукти, като част от подобряване на общите условия за производство в сектора.</w:t>
            </w:r>
          </w:p>
          <w:p w14:paraId="650E482E" w14:textId="2BBE2056" w:rsidR="00A05339" w:rsidRPr="009F6D1E" w:rsidRDefault="0048478B" w:rsidP="0084747F">
            <w:pPr>
              <w:spacing w:after="60" w:line="264" w:lineRule="auto"/>
              <w:jc w:val="both"/>
              <w:rPr>
                <w:rFonts w:cs="Times New Roman"/>
                <w:lang w:bidi="bg-BG"/>
              </w:rPr>
            </w:pPr>
            <w:r w:rsidRPr="009F6D1E">
              <w:rPr>
                <w:rFonts w:cs="Times New Roman"/>
                <w:i/>
              </w:rPr>
              <w:t xml:space="preserve">Потребност </w:t>
            </w:r>
            <w:r w:rsidR="00A05339" w:rsidRPr="009F6D1E">
              <w:rPr>
                <w:rFonts w:cs="Times New Roman"/>
                <w:i/>
                <w:iCs/>
                <w:lang w:bidi="bg-BG"/>
              </w:rPr>
              <w:t>П.2.8. Повишаване на конкурент</w:t>
            </w:r>
            <w:r w:rsidR="00F31AED">
              <w:rPr>
                <w:rFonts w:cs="Times New Roman"/>
                <w:i/>
                <w:iCs/>
                <w:lang w:bidi="bg-BG"/>
              </w:rPr>
              <w:t>осп</w:t>
            </w:r>
            <w:r w:rsidR="00A05339" w:rsidRPr="009F6D1E">
              <w:rPr>
                <w:rFonts w:cs="Times New Roman"/>
                <w:i/>
                <w:iCs/>
                <w:lang w:bidi="bg-BG"/>
              </w:rPr>
              <w:t xml:space="preserve">особността на производителите и преработвателите в </w:t>
            </w:r>
            <w:proofErr w:type="spellStart"/>
            <w:r w:rsidR="00A05339" w:rsidRPr="009F6D1E">
              <w:rPr>
                <w:rFonts w:cs="Times New Roman"/>
                <w:i/>
                <w:iCs/>
                <w:lang w:bidi="bg-BG"/>
              </w:rPr>
              <w:t>лозаровинарския</w:t>
            </w:r>
            <w:proofErr w:type="spellEnd"/>
            <w:r w:rsidR="00A05339" w:rsidRPr="009F6D1E">
              <w:rPr>
                <w:rFonts w:cs="Times New Roman"/>
                <w:i/>
                <w:iCs/>
                <w:lang w:bidi="bg-BG"/>
              </w:rPr>
              <w:t xml:space="preserve"> сектор, модернизация на стопанствата и предприятията за производство </w:t>
            </w:r>
            <w:r w:rsidR="00A05339" w:rsidRPr="009F6D1E">
              <w:rPr>
                <w:rFonts w:cs="Times New Roman"/>
                <w:i/>
                <w:iCs/>
                <w:lang w:bidi="bg-BG"/>
              </w:rPr>
              <w:lastRenderedPageBreak/>
              <w:t>на вино. Стимулиране на експортната ориентация и подобряване на структурата в сектора</w:t>
            </w:r>
            <w:r w:rsidR="00A05339" w:rsidRPr="009F6D1E">
              <w:rPr>
                <w:rFonts w:cs="Times New Roman"/>
                <w:lang w:bidi="bg-BG"/>
              </w:rPr>
              <w:t xml:space="preserve">. </w:t>
            </w:r>
            <w:r w:rsidR="00033B5C" w:rsidRPr="009F6D1E">
              <w:rPr>
                <w:rFonts w:cs="Times New Roman"/>
                <w:lang w:bidi="bg-BG"/>
              </w:rPr>
              <w:t xml:space="preserve"> -  </w:t>
            </w:r>
            <w:r w:rsidR="00A05339" w:rsidRPr="009F6D1E">
              <w:rPr>
                <w:rFonts w:cs="Times New Roman"/>
                <w:i/>
                <w:iCs/>
                <w:lang w:bidi="bg-BG"/>
              </w:rPr>
              <w:t xml:space="preserve">Интервенция „Инвестиции в </w:t>
            </w:r>
            <w:proofErr w:type="spellStart"/>
            <w:r w:rsidR="00A05339" w:rsidRPr="009F6D1E">
              <w:rPr>
                <w:rFonts w:cs="Times New Roman"/>
                <w:i/>
                <w:iCs/>
                <w:lang w:bidi="bg-BG"/>
              </w:rPr>
              <w:t>лозаро</w:t>
            </w:r>
            <w:proofErr w:type="spellEnd"/>
            <w:r w:rsidR="00A05339" w:rsidRPr="009F6D1E">
              <w:rPr>
                <w:rFonts w:cs="Times New Roman"/>
                <w:i/>
                <w:iCs/>
                <w:lang w:bidi="bg-BG"/>
              </w:rPr>
              <w:t>-винарския сектор“ (чл. 58</w:t>
            </w:r>
            <w:r w:rsidR="00A05339" w:rsidRPr="009F6D1E">
              <w:rPr>
                <w:rFonts w:cs="Times New Roman"/>
                <w:i/>
                <w:iCs/>
              </w:rPr>
              <w:t xml:space="preserve"> </w:t>
            </w:r>
            <w:r w:rsidR="00A05339" w:rsidRPr="009F6D1E">
              <w:rPr>
                <w:rFonts w:cs="Times New Roman"/>
                <w:i/>
                <w:iCs/>
                <w:lang w:bidi="bg-BG"/>
              </w:rPr>
              <w:t>от ЕЗФРСР)</w:t>
            </w:r>
            <w:r w:rsidR="00A05339" w:rsidRPr="009F6D1E">
              <w:rPr>
                <w:rFonts w:cs="Times New Roman"/>
                <w:lang w:bidi="bg-BG"/>
              </w:rPr>
              <w:t>, която чрез материални и нематериални инвестиции в преработвателни съоръжения, винарска и маркетингова инфраструктура ще доведе до подобряването на общите резултати на винарските предприятията и адаптирането им към изискванията на пазара, както и повишаване на тяхната конкурент</w:t>
            </w:r>
            <w:r w:rsidR="00F31AED">
              <w:rPr>
                <w:rFonts w:cs="Times New Roman"/>
                <w:lang w:bidi="bg-BG"/>
              </w:rPr>
              <w:t>осп</w:t>
            </w:r>
            <w:r w:rsidR="00A05339" w:rsidRPr="009F6D1E">
              <w:rPr>
                <w:rFonts w:cs="Times New Roman"/>
                <w:lang w:bidi="bg-BG"/>
              </w:rPr>
              <w:t xml:space="preserve">особност. </w:t>
            </w:r>
            <w:r w:rsidR="00A05339" w:rsidRPr="009F6D1E">
              <w:rPr>
                <w:rFonts w:cs="Times New Roman"/>
                <w:i/>
                <w:iCs/>
                <w:lang w:bidi="bg-BG"/>
              </w:rPr>
              <w:t>Интервенция „Инвестиции в екологични съоръжения“</w:t>
            </w:r>
            <w:r w:rsidR="00A05339" w:rsidRPr="009F6D1E">
              <w:rPr>
                <w:rFonts w:cs="Times New Roman"/>
                <w:lang w:bidi="bg-BG"/>
              </w:rPr>
              <w:t>, чрез която се цели да допринесе за повишаване на устойчивостта на винарските предприятия и в икономическото и екологичното й измерение</w:t>
            </w:r>
            <w:r w:rsidR="00033B5C" w:rsidRPr="009F6D1E">
              <w:rPr>
                <w:rFonts w:cs="Times New Roman"/>
                <w:lang w:bidi="bg-BG"/>
              </w:rPr>
              <w:t>.</w:t>
            </w:r>
          </w:p>
          <w:p w14:paraId="6FF3F47C" w14:textId="77777777" w:rsidR="00A05339" w:rsidRPr="009F6D1E" w:rsidRDefault="00033B5C" w:rsidP="0084747F">
            <w:pPr>
              <w:widowControl w:val="0"/>
              <w:spacing w:after="60" w:line="264" w:lineRule="auto"/>
              <w:jc w:val="both"/>
              <w:rPr>
                <w:rFonts w:cs="Times New Roman"/>
                <w:lang w:bidi="bg-BG"/>
              </w:rPr>
            </w:pPr>
            <w:r w:rsidRPr="009F6D1E">
              <w:rPr>
                <w:rFonts w:cs="Times New Roman"/>
                <w:i/>
              </w:rPr>
              <w:t xml:space="preserve">Специфична цел №3, Потребност </w:t>
            </w:r>
            <w:r w:rsidR="00A05339" w:rsidRPr="009F6D1E">
              <w:rPr>
                <w:rFonts w:cs="Times New Roman"/>
                <w:lang w:bidi="bg-BG"/>
              </w:rPr>
              <w:t>П</w:t>
            </w:r>
            <w:r w:rsidR="00A05339" w:rsidRPr="009F6D1E">
              <w:rPr>
                <w:rFonts w:cs="Times New Roman"/>
                <w:i/>
                <w:iCs/>
                <w:lang w:bidi="bg-BG"/>
              </w:rPr>
              <w:t xml:space="preserve">.3.6.Осигуряване на необходимото количество и </w:t>
            </w:r>
            <w:proofErr w:type="spellStart"/>
            <w:r w:rsidR="00A05339" w:rsidRPr="009F6D1E">
              <w:rPr>
                <w:rFonts w:cs="Times New Roman"/>
                <w:i/>
                <w:iCs/>
                <w:lang w:bidi="bg-BG"/>
              </w:rPr>
              <w:t>качествоместни</w:t>
            </w:r>
            <w:proofErr w:type="spellEnd"/>
            <w:r w:rsidR="00A05339" w:rsidRPr="009F6D1E">
              <w:rPr>
                <w:rFonts w:cs="Times New Roman"/>
                <w:i/>
                <w:iCs/>
                <w:lang w:bidi="bg-BG"/>
              </w:rPr>
              <w:t xml:space="preserve"> суровини за по-пълно използване на капацитета на предприятията и повишаване добавената стойност и ефективността на предприятията от ХВП</w:t>
            </w:r>
            <w:r w:rsidRPr="009F6D1E">
              <w:rPr>
                <w:rFonts w:cs="Times New Roman"/>
                <w:i/>
                <w:iCs/>
                <w:lang w:bidi="bg-BG"/>
              </w:rPr>
              <w:t xml:space="preserve"> </w:t>
            </w:r>
            <w:r w:rsidRPr="009F6D1E">
              <w:rPr>
                <w:rFonts w:cs="Times New Roman"/>
                <w:lang w:bidi="bg-BG"/>
              </w:rPr>
              <w:t>чрез предвидената</w:t>
            </w:r>
            <w:r w:rsidRPr="009F6D1E">
              <w:rPr>
                <w:rFonts w:cs="Times New Roman"/>
                <w:i/>
                <w:iCs/>
                <w:lang w:bidi="bg-BG"/>
              </w:rPr>
              <w:t xml:space="preserve"> </w:t>
            </w:r>
            <w:r w:rsidR="00B73DB6" w:rsidRPr="009F6D1E">
              <w:rPr>
                <w:rFonts w:cs="Times New Roman"/>
                <w:i/>
                <w:iCs/>
                <w:lang w:bidi="bg-BG"/>
              </w:rPr>
              <w:t xml:space="preserve">Интервенция </w:t>
            </w:r>
            <w:r w:rsidR="00A05339" w:rsidRPr="009F6D1E">
              <w:rPr>
                <w:rFonts w:cs="Times New Roman"/>
                <w:lang w:bidi="bg-BG"/>
              </w:rPr>
              <w:t>„</w:t>
            </w:r>
            <w:r w:rsidR="00A05339" w:rsidRPr="009F6D1E">
              <w:rPr>
                <w:rFonts w:cs="Times New Roman"/>
                <w:i/>
                <w:iCs/>
                <w:lang w:bidi="bg-BG"/>
              </w:rPr>
              <w:t>Инвестиции за преработка на селскостопански продукти“, съгласно чл. 73 от ЕЗФРСР</w:t>
            </w:r>
            <w:r w:rsidR="00A05339" w:rsidRPr="009F6D1E">
              <w:rPr>
                <w:rFonts w:cs="Times New Roman"/>
                <w:lang w:bidi="bg-BG"/>
              </w:rPr>
              <w:t>. 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w:t>
            </w:r>
          </w:p>
          <w:p w14:paraId="7CF728D6" w14:textId="77777777" w:rsidR="00A05339" w:rsidRPr="009F6D1E" w:rsidRDefault="00B73DB6" w:rsidP="0084747F">
            <w:pPr>
              <w:spacing w:after="60" w:line="264" w:lineRule="auto"/>
              <w:jc w:val="both"/>
              <w:rPr>
                <w:rFonts w:cs="Times New Roman"/>
                <w:lang w:bidi="bg-BG"/>
              </w:rPr>
            </w:pPr>
            <w:r w:rsidRPr="009F6D1E">
              <w:rPr>
                <w:rFonts w:cs="Times New Roman"/>
                <w:i/>
              </w:rPr>
              <w:lastRenderedPageBreak/>
              <w:t>Специфична цел №5, Потребност</w:t>
            </w:r>
            <w:r w:rsidRPr="009F6D1E">
              <w:rPr>
                <w:rFonts w:cs="Times New Roman"/>
                <w:lang w:bidi="bg-BG"/>
              </w:rPr>
              <w:t xml:space="preserve"> </w:t>
            </w:r>
            <w:r w:rsidR="00A05339" w:rsidRPr="009F6D1E">
              <w:rPr>
                <w:rFonts w:cs="Times New Roman"/>
                <w:i/>
                <w:iCs/>
                <w:lang w:bidi="bg-BG"/>
              </w:rPr>
              <w:t>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r w:rsidR="00A05339" w:rsidRPr="009F6D1E">
              <w:rPr>
                <w:rFonts w:cs="Times New Roman"/>
                <w:lang w:bidi="bg-BG"/>
              </w:rPr>
              <w:t xml:space="preserve">. </w:t>
            </w:r>
            <w:r w:rsidRPr="009F6D1E">
              <w:rPr>
                <w:rFonts w:cs="Times New Roman"/>
                <w:lang w:bidi="bg-BG"/>
              </w:rPr>
              <w:t xml:space="preserve">чрез </w:t>
            </w:r>
            <w:r w:rsidR="00A05339" w:rsidRPr="009F6D1E">
              <w:rPr>
                <w:rFonts w:cs="Times New Roman"/>
                <w:i/>
                <w:iCs/>
                <w:lang w:bidi="bg-BG"/>
              </w:rPr>
              <w:t>Интервенция „Инвестиции в инфраструктура за напояване“ – член 74</w:t>
            </w:r>
            <w:r w:rsidR="00A05339" w:rsidRPr="009F6D1E">
              <w:rPr>
                <w:rFonts w:cs="Times New Roman"/>
                <w:lang w:bidi="bg-BG"/>
              </w:rPr>
              <w:t xml:space="preserve"> - насочена към инфраструктура за напояване, чрез която, от една страна, се постига икономическа устойчивост чрез увеличаване на съотношението между ползите за сектора на селското стопанство и от друга страна постигане на екологична устойчивост чрез ефективно използване на водните ресурси.</w:t>
            </w:r>
          </w:p>
          <w:p w14:paraId="30E69A3F" w14:textId="77777777" w:rsidR="0055793D" w:rsidRPr="009F6D1E" w:rsidRDefault="0055793D" w:rsidP="0084747F">
            <w:pPr>
              <w:spacing w:after="60" w:line="264" w:lineRule="auto"/>
              <w:jc w:val="both"/>
              <w:rPr>
                <w:rFonts w:cs="Times New Roman"/>
                <w:lang w:bidi="bg-BG"/>
              </w:rPr>
            </w:pPr>
            <w:r w:rsidRPr="009F6D1E">
              <w:rPr>
                <w:rFonts w:cs="Times New Roman"/>
                <w:i/>
                <w:iCs/>
                <w:lang w:bidi="bg-BG"/>
              </w:rPr>
              <w:t>Интервенция „Биологично производство"</w:t>
            </w:r>
            <w:r w:rsidRPr="009F6D1E">
              <w:rPr>
                <w:rFonts w:cs="Times New Roman"/>
                <w:lang w:bidi="bg-BG"/>
              </w:rPr>
              <w:t>– член 70</w:t>
            </w:r>
            <w:r w:rsidRPr="009F6D1E">
              <w:rPr>
                <w:rFonts w:cs="Times New Roman"/>
                <w:i/>
                <w:iCs/>
                <w:lang w:bidi="bg-BG"/>
              </w:rPr>
              <w:t xml:space="preserve"> към Потребност 6.1, Стратегическа цел №6</w:t>
            </w:r>
            <w:r w:rsidRPr="009F6D1E">
              <w:rPr>
                <w:rFonts w:cs="Times New Roman"/>
                <w:lang w:bidi="bg-BG"/>
              </w:rPr>
              <w:t xml:space="preserve">, чрез която се цели да се подпомогнат земеделските стопани, които искат да прилагат методите на биологичното производство в съответствие с изискванията на Регламент (ЕС) 2018/848 относно биологичното производство и етикетирането на биологични продукти в стопанствата, като се покрият разликите в допълнителните разходи и пропуснатите приходи при биологичния начин на отглеждане на земеделската продукция, сравнени с конвенционалните методи на производство. Очаква се интервенцията да доведе до положителен ефект и принос към устойчивото развитие на селските райони, като </w:t>
            </w:r>
            <w:r w:rsidRPr="009F6D1E">
              <w:rPr>
                <w:rFonts w:cs="Times New Roman"/>
                <w:lang w:bidi="bg-BG"/>
              </w:rPr>
              <w:lastRenderedPageBreak/>
              <w:t>допринася за околната среда и смекчаването на последиците от изменението на климата.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w:t>
            </w:r>
          </w:p>
          <w:p w14:paraId="19B82A25" w14:textId="77777777" w:rsidR="00551EE1" w:rsidRPr="009F6D1E" w:rsidRDefault="00B73DB6" w:rsidP="0084747F">
            <w:pPr>
              <w:spacing w:after="60" w:line="264" w:lineRule="auto"/>
              <w:jc w:val="both"/>
              <w:rPr>
                <w:rFonts w:cs="Times New Roman"/>
                <w:i/>
              </w:rPr>
            </w:pPr>
            <w:r w:rsidRPr="009F6D1E">
              <w:rPr>
                <w:rFonts w:cs="Times New Roman"/>
                <w:i/>
              </w:rPr>
              <w:t>Специфична цел №7</w:t>
            </w:r>
            <w:r w:rsidR="00551EE1" w:rsidRPr="009F6D1E">
              <w:rPr>
                <w:rFonts w:cs="Times New Roman"/>
                <w:i/>
              </w:rPr>
              <w:t>:</w:t>
            </w:r>
          </w:p>
          <w:p w14:paraId="49359D51" w14:textId="77777777" w:rsidR="00A05339" w:rsidRPr="009F6D1E" w:rsidRDefault="00B73DB6" w:rsidP="0084747F">
            <w:pPr>
              <w:spacing w:after="60" w:line="264" w:lineRule="auto"/>
              <w:jc w:val="both"/>
              <w:rPr>
                <w:rFonts w:cs="Times New Roman"/>
                <w:lang w:bidi="bg-BG"/>
              </w:rPr>
            </w:pPr>
            <w:r w:rsidRPr="009F6D1E">
              <w:rPr>
                <w:rFonts w:cs="Times New Roman"/>
                <w:i/>
              </w:rPr>
              <w:t>Потребност</w:t>
            </w:r>
            <w:r w:rsidRPr="009F6D1E">
              <w:rPr>
                <w:rFonts w:cs="Times New Roman"/>
                <w:lang w:bidi="bg-BG"/>
              </w:rPr>
              <w:t xml:space="preserve"> </w:t>
            </w:r>
            <w:r w:rsidR="00A05339" w:rsidRPr="009F6D1E">
              <w:rPr>
                <w:rFonts w:cs="Times New Roman"/>
                <w:i/>
                <w:iCs/>
                <w:lang w:bidi="bg-BG"/>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00A05339" w:rsidRPr="009F6D1E">
              <w:rPr>
                <w:rFonts w:cs="Times New Roman"/>
                <w:lang w:bidi="bg-BG"/>
              </w:rPr>
              <w:t xml:space="preserve">. </w:t>
            </w:r>
            <w:r w:rsidR="00BE1B7E" w:rsidRPr="009F6D1E">
              <w:rPr>
                <w:rFonts w:cs="Times New Roman"/>
                <w:lang w:bidi="bg-BG"/>
              </w:rPr>
              <w:t>За адресиране на тази потребност ще бъде включена интервенция: Инвестиции за неселскостопански  дейности  в селските райони. Предвижда се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p>
          <w:p w14:paraId="28E0F808" w14:textId="77777777" w:rsidR="00A05339" w:rsidRPr="009F6D1E" w:rsidRDefault="00551EE1" w:rsidP="0084747F">
            <w:pPr>
              <w:spacing w:after="60" w:line="264" w:lineRule="auto"/>
              <w:jc w:val="both"/>
              <w:rPr>
                <w:rFonts w:cs="Times New Roman"/>
                <w:lang w:bidi="bg-BG"/>
              </w:rPr>
            </w:pPr>
            <w:r w:rsidRPr="009F6D1E">
              <w:rPr>
                <w:rFonts w:cs="Times New Roman"/>
                <w:i/>
              </w:rPr>
              <w:t>Потребност</w:t>
            </w:r>
            <w:r w:rsidRPr="009F6D1E">
              <w:rPr>
                <w:rFonts w:cs="Times New Roman"/>
                <w:lang w:bidi="bg-BG"/>
              </w:rPr>
              <w:t xml:space="preserve"> </w:t>
            </w:r>
            <w:r w:rsidR="00BE1B7E" w:rsidRPr="009F6D1E">
              <w:rPr>
                <w:rFonts w:cs="Times New Roman"/>
                <w:i/>
                <w:iCs/>
                <w:lang w:bidi="bg-BG"/>
              </w:rPr>
              <w:t>П.7.6. 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w:t>
            </w:r>
            <w:r w:rsidR="00BE1B7E" w:rsidRPr="009F6D1E">
              <w:rPr>
                <w:rFonts w:cs="Times New Roman"/>
                <w:lang w:bidi="bg-BG"/>
              </w:rPr>
              <w:t xml:space="preserve">. </w:t>
            </w:r>
            <w:r w:rsidRPr="009F6D1E">
              <w:rPr>
                <w:rFonts w:cs="Times New Roman"/>
                <w:lang w:bidi="bg-BG"/>
              </w:rPr>
              <w:t xml:space="preserve">Включва </w:t>
            </w:r>
            <w:r w:rsidRPr="009F6D1E">
              <w:rPr>
                <w:rFonts w:cs="Times New Roman"/>
                <w:i/>
                <w:iCs/>
                <w:lang w:bidi="bg-BG"/>
              </w:rPr>
              <w:t>Интервенция „</w:t>
            </w:r>
            <w:r w:rsidR="00BE1B7E" w:rsidRPr="009F6D1E">
              <w:rPr>
                <w:rFonts w:cs="Times New Roman"/>
                <w:i/>
                <w:iCs/>
                <w:lang w:bidi="bg-BG"/>
              </w:rPr>
              <w:t>Инвестиции за неселскостопански  дейности  в селските райони</w:t>
            </w:r>
            <w:r w:rsidRPr="009F6D1E">
              <w:rPr>
                <w:rFonts w:cs="Times New Roman"/>
                <w:lang w:bidi="bg-BG"/>
              </w:rPr>
              <w:t>“</w:t>
            </w:r>
            <w:r w:rsidR="00BE1B7E" w:rsidRPr="009F6D1E">
              <w:rPr>
                <w:rFonts w:cs="Times New Roman"/>
                <w:lang w:bidi="bg-BG"/>
              </w:rPr>
              <w:t xml:space="preserve">. </w:t>
            </w:r>
            <w:r w:rsidR="00BE1B7E" w:rsidRPr="009F6D1E">
              <w:rPr>
                <w:rFonts w:cs="Times New Roman"/>
                <w:lang w:bidi="bg-BG"/>
              </w:rPr>
              <w:lastRenderedPageBreak/>
              <w:t>С инвестиции за въвеждане на нови технологии и цифровизация на бизнес процесите ще се подобрят позициите на микропредприятията на местния и международния пазар, както и тяхната рентабилност.</w:t>
            </w:r>
          </w:p>
          <w:p w14:paraId="599808F2" w14:textId="77777777" w:rsidR="00BE1B7E" w:rsidRPr="009F6D1E" w:rsidRDefault="00D7621E" w:rsidP="0084747F">
            <w:pPr>
              <w:spacing w:after="60" w:line="264" w:lineRule="auto"/>
              <w:jc w:val="both"/>
              <w:rPr>
                <w:rFonts w:cs="Times New Roman"/>
                <w:i/>
              </w:rPr>
            </w:pPr>
            <w:r w:rsidRPr="009F6D1E">
              <w:rPr>
                <w:rFonts w:cs="Times New Roman"/>
                <w:i/>
              </w:rPr>
              <w:t xml:space="preserve">Специфична цел №8: </w:t>
            </w:r>
            <w:r w:rsidR="00551EE1" w:rsidRPr="009F6D1E">
              <w:rPr>
                <w:rFonts w:cs="Times New Roman"/>
                <w:i/>
              </w:rPr>
              <w:t>Потребност</w:t>
            </w:r>
            <w:r w:rsidR="00551EE1" w:rsidRPr="009F6D1E">
              <w:rPr>
                <w:rFonts w:cs="Times New Roman"/>
                <w:lang w:bidi="bg-BG"/>
              </w:rPr>
              <w:t xml:space="preserve"> </w:t>
            </w:r>
            <w:r w:rsidR="00BE1B7E" w:rsidRPr="009F6D1E">
              <w:rPr>
                <w:rFonts w:cs="Times New Roman"/>
                <w:i/>
                <w:iCs/>
                <w:lang w:bidi="bg-BG"/>
              </w:rPr>
              <w:t>П.8.1. Диверсификация на икономическата дейност. Стимулиране на нови производства в областта на биоикономиката и кръговата икономика</w:t>
            </w:r>
            <w:r w:rsidR="00BE1B7E" w:rsidRPr="009F6D1E">
              <w:rPr>
                <w:rFonts w:cs="Times New Roman"/>
                <w:lang w:bidi="bg-BG"/>
              </w:rPr>
              <w:t xml:space="preserve"> и интервенциите към нея</w:t>
            </w:r>
          </w:p>
          <w:p w14:paraId="389C150A" w14:textId="77777777" w:rsidR="00BE1B7E" w:rsidRPr="009F6D1E" w:rsidRDefault="00BD50BD" w:rsidP="0084747F">
            <w:pPr>
              <w:spacing w:after="60" w:line="264" w:lineRule="auto"/>
              <w:jc w:val="both"/>
              <w:rPr>
                <w:rFonts w:cs="Times New Roman"/>
                <w:lang w:bidi="bg-BG"/>
              </w:rPr>
            </w:pPr>
            <w:r w:rsidRPr="009F6D1E">
              <w:rPr>
                <w:rFonts w:cs="Times New Roman"/>
                <w:b/>
                <w:bCs/>
                <w:i/>
                <w:iCs/>
                <w:u w:val="single"/>
                <w:lang w:bidi="bg-BG"/>
              </w:rPr>
              <w:t>Към 2.2.</w:t>
            </w:r>
            <w:r w:rsidRPr="009F6D1E">
              <w:rPr>
                <w:rFonts w:cs="Times New Roman"/>
                <w:lang w:bidi="bg-BG"/>
              </w:rPr>
              <w:t xml:space="preserve"> принос има </w:t>
            </w:r>
            <w:r w:rsidR="005046C7" w:rsidRPr="009F6D1E">
              <w:rPr>
                <w:rFonts w:cs="Times New Roman"/>
                <w:lang w:bidi="bg-BG"/>
              </w:rPr>
              <w:t>Междусекторна цел 10</w:t>
            </w:r>
            <w:r w:rsidRPr="009F6D1E">
              <w:rPr>
                <w:rFonts w:cs="Times New Roman"/>
                <w:lang w:bidi="bg-BG"/>
              </w:rPr>
              <w:t xml:space="preserve"> на СПОС, </w:t>
            </w:r>
            <w:r w:rsidRPr="009F6D1E">
              <w:rPr>
                <w:rFonts w:cs="Times New Roman"/>
                <w:i/>
                <w:iCs/>
                <w:lang w:bidi="bg-BG"/>
              </w:rPr>
              <w:t>Потребност П.10.1. Осигуряване на ефективни методи за събиране, систематизиране и анализ на цялостна и представителна информация за състоянието и развитието на Системата за споделяне на знания и иновации и цифровизация в селското стопанство /ССЗИСС/, включително чрез 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56DFF467" w14:textId="77777777" w:rsidR="00BE1B7E" w:rsidRPr="009F6D1E" w:rsidRDefault="00BE1B7E" w:rsidP="0084747F">
            <w:pPr>
              <w:spacing w:after="60" w:line="264" w:lineRule="auto"/>
              <w:jc w:val="both"/>
              <w:rPr>
                <w:rFonts w:cs="Times New Roman"/>
                <w:i/>
                <w:iCs/>
              </w:rPr>
            </w:pPr>
            <w:r w:rsidRPr="009F6D1E">
              <w:rPr>
                <w:rFonts w:cs="Times New Roman"/>
                <w:b/>
                <w:bCs/>
                <w:i/>
                <w:iCs/>
                <w:u w:val="single"/>
              </w:rPr>
              <w:t>Към 2.3.</w:t>
            </w:r>
            <w:r w:rsidRPr="009F6D1E">
              <w:rPr>
                <w:rFonts w:cs="Times New Roman"/>
                <w:i/>
                <w:iCs/>
              </w:rPr>
              <w:t xml:space="preserve"> </w:t>
            </w:r>
            <w:r w:rsidRPr="009F6D1E">
              <w:rPr>
                <w:rFonts w:cs="Times New Roman"/>
              </w:rPr>
              <w:t>пряк принос има</w:t>
            </w:r>
            <w:r w:rsidRPr="009F6D1E">
              <w:rPr>
                <w:rFonts w:cs="Times New Roman"/>
                <w:i/>
                <w:iCs/>
              </w:rPr>
              <w:t xml:space="preserve"> Специфична цел № 9: Подобряване на реакцията на селското стопанство в Съюза в отговор на обществените изисквания по отношение на храните и здравето, </w:t>
            </w:r>
            <w:r w:rsidRPr="009F6D1E">
              <w:rPr>
                <w:rFonts w:cs="Times New Roman"/>
                <w:i/>
                <w:iCs/>
              </w:rPr>
              <w:lastRenderedPageBreak/>
              <w:t>включително висококачествена, безопасна и питателна храна, произведена по 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68AFF01A" w14:textId="29A12954" w:rsidR="000F3D40" w:rsidRPr="009F6D1E" w:rsidRDefault="000F3D40" w:rsidP="0084747F">
            <w:pPr>
              <w:widowControl w:val="0"/>
              <w:spacing w:after="60" w:line="264" w:lineRule="auto"/>
              <w:jc w:val="both"/>
              <w:rPr>
                <w:rFonts w:cs="Times New Roman"/>
                <w:lang w:bidi="bg-BG"/>
              </w:rPr>
            </w:pPr>
            <w:r w:rsidRPr="009F6D1E">
              <w:rPr>
                <w:rFonts w:cs="Times New Roman"/>
                <w:b/>
                <w:bCs/>
                <w:i/>
                <w:iCs/>
                <w:u w:val="single"/>
                <w:lang w:bidi="bg-BG"/>
              </w:rPr>
              <w:t>Към 2.5</w:t>
            </w:r>
            <w:r w:rsidR="00006DE3" w:rsidRPr="009F6D1E">
              <w:rPr>
                <w:rFonts w:cs="Times New Roman"/>
              </w:rPr>
              <w:t xml:space="preserve"> пряк принос има </w:t>
            </w:r>
            <w:r w:rsidR="00006DE3" w:rsidRPr="009F6D1E">
              <w:rPr>
                <w:rFonts w:cs="Times New Roman"/>
                <w:i/>
                <w:iCs/>
              </w:rPr>
              <w:t xml:space="preserve">Специфична цел № 1, </w:t>
            </w:r>
            <w:r w:rsidR="00551EE1" w:rsidRPr="009F6D1E">
              <w:rPr>
                <w:rFonts w:cs="Times New Roman"/>
                <w:i/>
              </w:rPr>
              <w:t>Потребност</w:t>
            </w:r>
            <w:r w:rsidR="00551EE1" w:rsidRPr="009F6D1E">
              <w:rPr>
                <w:rFonts w:cs="Times New Roman"/>
                <w:lang w:bidi="bg-BG"/>
              </w:rPr>
              <w:t xml:space="preserve"> </w:t>
            </w:r>
            <w:r w:rsidRPr="009F6D1E">
              <w:rPr>
                <w:rFonts w:cs="Times New Roman"/>
                <w:i/>
                <w:iCs/>
                <w:lang w:bidi="bg-BG"/>
              </w:rPr>
              <w:t>П.1.3. Потребност от подпомагане на земеделските стопанства в секторите зеленчуци, трайни насаждения и преживни животни за увеличаване на икономическия им потенциал</w:t>
            </w:r>
            <w:r w:rsidR="00006DE3" w:rsidRPr="009F6D1E">
              <w:rPr>
                <w:rFonts w:cs="Times New Roman"/>
                <w:i/>
                <w:iCs/>
                <w:lang w:bidi="bg-BG"/>
              </w:rPr>
              <w:t xml:space="preserve">, </w:t>
            </w:r>
            <w:r w:rsidR="00006DE3" w:rsidRPr="009F6D1E">
              <w:rPr>
                <w:rFonts w:cs="Times New Roman"/>
                <w:lang w:bidi="bg-BG"/>
              </w:rPr>
              <w:t>чрез</w:t>
            </w:r>
            <w:r w:rsidR="00006DE3" w:rsidRPr="009F6D1E">
              <w:rPr>
                <w:rFonts w:cs="Times New Roman"/>
                <w:i/>
                <w:iCs/>
                <w:lang w:bidi="bg-BG"/>
              </w:rPr>
              <w:t xml:space="preserve"> Интервенция</w:t>
            </w:r>
            <w:r w:rsidRPr="009F6D1E">
              <w:rPr>
                <w:rFonts w:cs="Times New Roman"/>
                <w:lang w:bidi="bg-BG"/>
              </w:rPr>
              <w:t xml:space="preserve"> „</w:t>
            </w:r>
            <w:r w:rsidRPr="009F6D1E">
              <w:rPr>
                <w:rFonts w:cs="Times New Roman"/>
                <w:i/>
                <w:iCs/>
                <w:lang w:bidi="bg-BG"/>
              </w:rPr>
              <w:t>Обвързано с производството подпомагане на доходите, съгласно чл. 32-34 от ЕФГЗ</w:t>
            </w:r>
            <w:r w:rsidR="00006DE3" w:rsidRPr="009F6D1E">
              <w:rPr>
                <w:rFonts w:cs="Times New Roman"/>
                <w:i/>
                <w:iCs/>
                <w:lang w:bidi="bg-BG"/>
              </w:rPr>
              <w:t xml:space="preserve">, която ще осигури </w:t>
            </w:r>
            <w:r w:rsidRPr="009F6D1E">
              <w:rPr>
                <w:rFonts w:cs="Times New Roman"/>
                <w:lang w:bidi="bg-BG"/>
              </w:rPr>
              <w:t xml:space="preserve"> подкрепата на сектори и производства, изпитващи трудности, ще се подобрява тяхната конкурент</w:t>
            </w:r>
            <w:r w:rsidR="00F31AED">
              <w:rPr>
                <w:rFonts w:cs="Times New Roman"/>
                <w:lang w:bidi="bg-BG"/>
              </w:rPr>
              <w:t>осп</w:t>
            </w:r>
            <w:r w:rsidRPr="009F6D1E">
              <w:rPr>
                <w:rFonts w:cs="Times New Roman"/>
                <w:lang w:bidi="bg-BG"/>
              </w:rPr>
              <w:t>особност, устойчивост, качество и икономически потенциал.</w:t>
            </w:r>
          </w:p>
          <w:p w14:paraId="409B09BC" w14:textId="2FF78D0A" w:rsidR="000F3D40" w:rsidRPr="009F6D1E" w:rsidRDefault="00006DE3" w:rsidP="0084747F">
            <w:pPr>
              <w:spacing w:after="60" w:line="264" w:lineRule="auto"/>
              <w:jc w:val="both"/>
              <w:rPr>
                <w:rFonts w:cs="Times New Roman"/>
                <w:b/>
                <w:bCs/>
                <w:i/>
                <w:iCs/>
                <w:lang w:bidi="bg-BG"/>
              </w:rPr>
            </w:pPr>
            <w:r w:rsidRPr="009F6D1E">
              <w:rPr>
                <w:rFonts w:cs="Times New Roman"/>
                <w:i/>
                <w:iCs/>
              </w:rPr>
              <w:t xml:space="preserve">Специфична цел № 1, </w:t>
            </w:r>
            <w:r w:rsidR="00551EE1" w:rsidRPr="009F6D1E">
              <w:rPr>
                <w:rFonts w:cs="Times New Roman"/>
                <w:i/>
              </w:rPr>
              <w:t>Потребност</w:t>
            </w:r>
            <w:r w:rsidR="00551EE1" w:rsidRPr="009F6D1E">
              <w:rPr>
                <w:rFonts w:cs="Times New Roman"/>
                <w:lang w:bidi="bg-BG"/>
              </w:rPr>
              <w:t xml:space="preserve"> </w:t>
            </w:r>
            <w:r w:rsidR="00350CE1" w:rsidRPr="009F6D1E">
              <w:rPr>
                <w:rFonts w:cs="Times New Roman"/>
                <w:i/>
                <w:iCs/>
                <w:lang w:bidi="bg-BG"/>
              </w:rPr>
              <w:t>П.2.1. Повишаване на конкурент</w:t>
            </w:r>
            <w:r w:rsidR="00F31AED">
              <w:rPr>
                <w:rFonts w:cs="Times New Roman"/>
                <w:i/>
                <w:iCs/>
                <w:lang w:bidi="bg-BG"/>
              </w:rPr>
              <w:t>осп</w:t>
            </w:r>
            <w:r w:rsidR="00350CE1" w:rsidRPr="009F6D1E">
              <w:rPr>
                <w:rFonts w:cs="Times New Roman"/>
                <w:i/>
                <w:iCs/>
                <w:lang w:bidi="bg-BG"/>
              </w:rPr>
              <w:t xml:space="preserve">особността на стопанствата, приоритетно в </w:t>
            </w:r>
            <w:proofErr w:type="spellStart"/>
            <w:r w:rsidR="00350CE1" w:rsidRPr="009F6D1E">
              <w:rPr>
                <w:rFonts w:cs="Times New Roman"/>
                <w:i/>
                <w:iCs/>
                <w:lang w:bidi="bg-BG"/>
              </w:rPr>
              <w:t>секторитепроизводство</w:t>
            </w:r>
            <w:proofErr w:type="spellEnd"/>
            <w:r w:rsidR="00350CE1" w:rsidRPr="009F6D1E">
              <w:rPr>
                <w:rFonts w:cs="Times New Roman"/>
                <w:i/>
                <w:iCs/>
                <w:lang w:bidi="bg-BG"/>
              </w:rPr>
              <w:t xml:space="preserve"> на зеленчуци, плодове, мляко и месо от преживни животни и интервенциите към нея</w:t>
            </w:r>
          </w:p>
          <w:p w14:paraId="16D1478B" w14:textId="77777777" w:rsidR="000F3D40" w:rsidRPr="009F6D1E" w:rsidRDefault="00006DE3" w:rsidP="0084747F">
            <w:pPr>
              <w:widowControl w:val="0"/>
              <w:spacing w:after="60" w:line="264" w:lineRule="auto"/>
              <w:jc w:val="both"/>
              <w:rPr>
                <w:rFonts w:cs="Times New Roman"/>
                <w:i/>
                <w:iCs/>
                <w:lang w:bidi="bg-BG"/>
              </w:rPr>
            </w:pPr>
            <w:r w:rsidRPr="009F6D1E">
              <w:rPr>
                <w:rFonts w:cs="Times New Roman"/>
                <w:i/>
                <w:iCs/>
              </w:rPr>
              <w:t xml:space="preserve">Специфична цел № 6, </w:t>
            </w:r>
            <w:r w:rsidR="00551EE1" w:rsidRPr="009F6D1E">
              <w:rPr>
                <w:rFonts w:cs="Times New Roman"/>
                <w:i/>
              </w:rPr>
              <w:t>Потребност</w:t>
            </w:r>
            <w:r w:rsidR="00551EE1" w:rsidRPr="009F6D1E">
              <w:rPr>
                <w:rFonts w:cs="Times New Roman"/>
                <w:lang w:bidi="bg-BG"/>
              </w:rPr>
              <w:t xml:space="preserve"> </w:t>
            </w:r>
            <w:r w:rsidR="000F3D40" w:rsidRPr="009F6D1E">
              <w:rPr>
                <w:rFonts w:cs="Times New Roman"/>
                <w:i/>
                <w:iCs/>
                <w:lang w:bidi="bg-BG"/>
              </w:rPr>
              <w:t>П.6.5. Насърчаване на практиките за разширяване биологично земеделие</w:t>
            </w:r>
            <w:r w:rsidR="000F3D40" w:rsidRPr="009F6D1E">
              <w:rPr>
                <w:rFonts w:cs="Times New Roman"/>
                <w:i/>
                <w:iCs/>
              </w:rPr>
              <w:t xml:space="preserve"> </w:t>
            </w:r>
            <w:r w:rsidRPr="009F6D1E">
              <w:rPr>
                <w:rFonts w:cs="Times New Roman"/>
              </w:rPr>
              <w:t>чрез</w:t>
            </w:r>
            <w:r w:rsidRPr="009F6D1E">
              <w:rPr>
                <w:rFonts w:cs="Times New Roman"/>
                <w:i/>
                <w:iCs/>
              </w:rPr>
              <w:t xml:space="preserve"> </w:t>
            </w:r>
            <w:r w:rsidR="000F3D40" w:rsidRPr="009F6D1E">
              <w:rPr>
                <w:rFonts w:cs="Times New Roman"/>
                <w:i/>
                <w:iCs/>
                <w:lang w:bidi="bg-BG"/>
              </w:rPr>
              <w:t xml:space="preserve">Прилагане на 2 еко схеми по чл. 31 от Регламент (ЕС) 2021/2115 – Еко схема </w:t>
            </w:r>
            <w:r w:rsidR="000F3D40" w:rsidRPr="009F6D1E">
              <w:rPr>
                <w:rFonts w:cs="Times New Roman"/>
                <w:i/>
                <w:iCs/>
                <w:lang w:bidi="bg-BG"/>
              </w:rPr>
              <w:lastRenderedPageBreak/>
              <w:t>за поддържане на биологично земеделие (земеделски площи) и Еко схема за поддържане на биологично земеделие (селскостопански животни)</w:t>
            </w:r>
            <w:r w:rsidRPr="009F6D1E">
              <w:rPr>
                <w:rFonts w:cs="Times New Roman"/>
                <w:i/>
                <w:iCs/>
                <w:lang w:bidi="bg-BG"/>
              </w:rPr>
              <w:t xml:space="preserve">, </w:t>
            </w:r>
            <w:r w:rsidRPr="009F6D1E">
              <w:rPr>
                <w:rFonts w:cs="Times New Roman"/>
                <w:lang w:bidi="bg-BG"/>
              </w:rPr>
              <w:t xml:space="preserve">както и чрез </w:t>
            </w:r>
            <w:r w:rsidR="000F3D40" w:rsidRPr="009F6D1E">
              <w:rPr>
                <w:rFonts w:cs="Times New Roman"/>
                <w:i/>
                <w:iCs/>
                <w:lang w:bidi="bg-BG"/>
              </w:rPr>
              <w:t>Интервенция „Биологично производство" – член 70.</w:t>
            </w:r>
          </w:p>
          <w:p w14:paraId="75B25597" w14:textId="77777777" w:rsidR="00766731" w:rsidRPr="009F6D1E" w:rsidRDefault="000F3D40" w:rsidP="0084747F">
            <w:pPr>
              <w:widowControl w:val="0"/>
              <w:spacing w:after="60" w:line="264" w:lineRule="auto"/>
              <w:jc w:val="both"/>
              <w:rPr>
                <w:rFonts w:cs="Times New Roman"/>
                <w:b/>
                <w:bCs/>
                <w:i/>
                <w:iCs/>
                <w:lang w:bidi="bg-BG"/>
              </w:rPr>
            </w:pPr>
            <w:r w:rsidRPr="009F6D1E">
              <w:rPr>
                <w:rFonts w:cs="Times New Roman"/>
                <w:b/>
                <w:bCs/>
                <w:i/>
                <w:iCs/>
                <w:lang w:bidi="bg-BG"/>
              </w:rPr>
              <w:t>Косвен принос има</w:t>
            </w:r>
            <w:r w:rsidR="00766731" w:rsidRPr="009F6D1E">
              <w:rPr>
                <w:rFonts w:cs="Times New Roman"/>
                <w:b/>
                <w:bCs/>
                <w:i/>
                <w:iCs/>
                <w:lang w:bidi="bg-BG"/>
              </w:rPr>
              <w:t>т:</w:t>
            </w:r>
            <w:r w:rsidRPr="009F6D1E">
              <w:rPr>
                <w:rFonts w:cs="Times New Roman"/>
                <w:b/>
                <w:bCs/>
                <w:i/>
                <w:iCs/>
                <w:lang w:bidi="bg-BG"/>
              </w:rPr>
              <w:t xml:space="preserve"> </w:t>
            </w:r>
          </w:p>
          <w:p w14:paraId="558A879A" w14:textId="77777777" w:rsidR="000F3D40" w:rsidRPr="009F6D1E" w:rsidRDefault="00006DE3" w:rsidP="0084747F">
            <w:pPr>
              <w:widowControl w:val="0"/>
              <w:spacing w:after="60" w:line="264" w:lineRule="auto"/>
              <w:jc w:val="both"/>
              <w:rPr>
                <w:rFonts w:cs="Times New Roman"/>
                <w:i/>
                <w:iCs/>
                <w:lang w:bidi="bg-BG"/>
              </w:rPr>
            </w:pPr>
            <w:r w:rsidRPr="009F6D1E">
              <w:rPr>
                <w:rFonts w:cs="Times New Roman"/>
                <w:i/>
                <w:iCs/>
              </w:rPr>
              <w:t xml:space="preserve">Специфична цел № 6, </w:t>
            </w:r>
            <w:r w:rsidRPr="009F6D1E">
              <w:rPr>
                <w:rFonts w:cs="Times New Roman"/>
                <w:i/>
              </w:rPr>
              <w:t>Потребност</w:t>
            </w:r>
            <w:r w:rsidRPr="009F6D1E">
              <w:rPr>
                <w:rFonts w:cs="Times New Roman"/>
                <w:lang w:bidi="bg-BG"/>
              </w:rPr>
              <w:t xml:space="preserve"> </w:t>
            </w:r>
            <w:r w:rsidR="000F3D40" w:rsidRPr="009F6D1E">
              <w:rPr>
                <w:rFonts w:cs="Times New Roman"/>
                <w:i/>
                <w:iCs/>
                <w:lang w:bidi="bg-BG"/>
              </w:rPr>
              <w:t>П.6.7. Запазване и подобряване на генетичното разнообразие в животновъдството и растениевъдството в селското стопанство</w:t>
            </w:r>
            <w:r w:rsidR="00766731" w:rsidRPr="009F6D1E">
              <w:rPr>
                <w:rFonts w:cs="Times New Roman"/>
                <w:i/>
                <w:iCs/>
                <w:lang w:bidi="bg-BG"/>
              </w:rPr>
              <w:t xml:space="preserve"> и </w:t>
            </w:r>
            <w:r w:rsidR="000F3D40" w:rsidRPr="009F6D1E">
              <w:rPr>
                <w:rFonts w:cs="Times New Roman"/>
                <w:lang w:bidi="bg-BG"/>
              </w:rPr>
              <w:t>и</w:t>
            </w:r>
            <w:r w:rsidR="00766731" w:rsidRPr="009F6D1E">
              <w:rPr>
                <w:rFonts w:cs="Times New Roman"/>
                <w:lang w:bidi="bg-BG"/>
              </w:rPr>
              <w:t>н</w:t>
            </w:r>
            <w:r w:rsidR="000F3D40" w:rsidRPr="009F6D1E">
              <w:rPr>
                <w:rFonts w:cs="Times New Roman"/>
                <w:lang w:bidi="bg-BG"/>
              </w:rPr>
              <w:t>тервенциите към нея</w:t>
            </w:r>
          </w:p>
          <w:p w14:paraId="3E8101A0" w14:textId="77777777" w:rsidR="000F3D40" w:rsidRPr="009F6D1E" w:rsidRDefault="00766731" w:rsidP="0084747F">
            <w:pPr>
              <w:spacing w:after="60" w:line="264" w:lineRule="auto"/>
              <w:jc w:val="both"/>
              <w:rPr>
                <w:rFonts w:cs="Times New Roman"/>
                <w:i/>
                <w:iCs/>
                <w:lang w:bidi="bg-BG"/>
              </w:rPr>
            </w:pPr>
            <w:r w:rsidRPr="009F6D1E">
              <w:rPr>
                <w:rFonts w:cs="Times New Roman"/>
                <w:i/>
                <w:iCs/>
              </w:rPr>
              <w:t xml:space="preserve">Специфична цел № 9, </w:t>
            </w:r>
            <w:r w:rsidR="00D7621E" w:rsidRPr="009F6D1E">
              <w:rPr>
                <w:rFonts w:cs="Times New Roman"/>
                <w:i/>
              </w:rPr>
              <w:t>Потребност</w:t>
            </w:r>
            <w:r w:rsidR="00D7621E" w:rsidRPr="009F6D1E">
              <w:rPr>
                <w:rFonts w:cs="Times New Roman"/>
                <w:lang w:bidi="bg-BG"/>
              </w:rPr>
              <w:t xml:space="preserve"> </w:t>
            </w:r>
            <w:r w:rsidR="000F3D40" w:rsidRPr="009F6D1E">
              <w:rPr>
                <w:rFonts w:cs="Times New Roman"/>
                <w:i/>
                <w:iCs/>
                <w:lang w:bidi="bg-BG"/>
              </w:rPr>
              <w:t>П.9.6. Подобряване отглеждането на животните;</w:t>
            </w:r>
          </w:p>
          <w:p w14:paraId="7628396E" w14:textId="77777777" w:rsidR="00350CE1" w:rsidRPr="009F6D1E" w:rsidRDefault="00766731" w:rsidP="0084747F">
            <w:pPr>
              <w:spacing w:after="60" w:line="264" w:lineRule="auto"/>
              <w:jc w:val="both"/>
              <w:rPr>
                <w:rFonts w:cs="Times New Roman"/>
                <w:lang w:bidi="bg-BG"/>
              </w:rPr>
            </w:pPr>
            <w:r w:rsidRPr="009F6D1E">
              <w:rPr>
                <w:rFonts w:cs="Times New Roman"/>
                <w:lang w:bidi="bg-BG"/>
              </w:rPr>
              <w:t xml:space="preserve">Пряко отношение и принос </w:t>
            </w:r>
            <w:r w:rsidRPr="009F6D1E">
              <w:rPr>
                <w:rFonts w:cs="Times New Roman"/>
                <w:b/>
                <w:bCs/>
                <w:lang w:bidi="bg-BG"/>
              </w:rPr>
              <w:t xml:space="preserve">към </w:t>
            </w:r>
            <w:r w:rsidRPr="009F6D1E">
              <w:rPr>
                <w:rFonts w:cs="Times New Roman"/>
                <w:b/>
                <w:bCs/>
                <w:i/>
                <w:iCs/>
                <w:lang w:bidi="bg-BG"/>
              </w:rPr>
              <w:t>Н</w:t>
            </w:r>
            <w:r w:rsidR="00350CE1" w:rsidRPr="009F6D1E">
              <w:rPr>
                <w:rFonts w:cs="Times New Roman"/>
                <w:b/>
                <w:bCs/>
                <w:i/>
                <w:iCs/>
                <w:lang w:bidi="bg-BG"/>
              </w:rPr>
              <w:t>аправление 3</w:t>
            </w:r>
            <w:r w:rsidR="00350CE1" w:rsidRPr="009F6D1E">
              <w:rPr>
                <w:rFonts w:cs="Times New Roman"/>
                <w:lang w:bidi="bg-BG"/>
              </w:rPr>
              <w:t xml:space="preserve"> имат:</w:t>
            </w:r>
          </w:p>
          <w:p w14:paraId="003016CB" w14:textId="77777777" w:rsidR="00174A3A" w:rsidRPr="009F6D1E" w:rsidRDefault="00766731" w:rsidP="0084747F">
            <w:pPr>
              <w:spacing w:after="60" w:line="264" w:lineRule="auto"/>
              <w:jc w:val="both"/>
              <w:rPr>
                <w:rFonts w:cs="Times New Roman"/>
                <w:b/>
                <w:bCs/>
                <w:i/>
                <w:iCs/>
                <w:u w:val="single"/>
                <w:lang w:bidi="bg-BG"/>
              </w:rPr>
            </w:pPr>
            <w:r w:rsidRPr="009F6D1E">
              <w:rPr>
                <w:rFonts w:cs="Times New Roman"/>
                <w:b/>
                <w:bCs/>
                <w:i/>
                <w:iCs/>
                <w:u w:val="single"/>
                <w:lang w:bidi="bg-BG"/>
              </w:rPr>
              <w:t>Към</w:t>
            </w:r>
            <w:r w:rsidR="00174A3A" w:rsidRPr="009F6D1E">
              <w:rPr>
                <w:rFonts w:cs="Times New Roman"/>
                <w:b/>
                <w:bCs/>
                <w:i/>
                <w:iCs/>
                <w:u w:val="single"/>
                <w:lang w:bidi="bg-BG"/>
              </w:rPr>
              <w:t xml:space="preserve"> 3.1. </w:t>
            </w:r>
          </w:p>
          <w:p w14:paraId="4FE71787" w14:textId="77777777" w:rsidR="00350CE1" w:rsidRPr="009F6D1E" w:rsidRDefault="00766731" w:rsidP="0084747F">
            <w:pPr>
              <w:spacing w:after="60" w:line="264" w:lineRule="auto"/>
              <w:jc w:val="both"/>
              <w:rPr>
                <w:rFonts w:cs="Times New Roman"/>
                <w:lang w:bidi="bg-BG"/>
              </w:rPr>
            </w:pPr>
            <w:r w:rsidRPr="009F6D1E">
              <w:rPr>
                <w:rFonts w:cs="Times New Roman"/>
                <w:i/>
                <w:iCs/>
              </w:rPr>
              <w:t xml:space="preserve">Специфична цел № 1, </w:t>
            </w:r>
            <w:r w:rsidR="00D7621E" w:rsidRPr="009F6D1E">
              <w:rPr>
                <w:rFonts w:cs="Times New Roman"/>
                <w:i/>
              </w:rPr>
              <w:t>Потребност</w:t>
            </w:r>
            <w:r w:rsidR="00D7621E" w:rsidRPr="009F6D1E">
              <w:rPr>
                <w:rFonts w:cs="Times New Roman"/>
                <w:lang w:bidi="bg-BG"/>
              </w:rPr>
              <w:t xml:space="preserve"> </w:t>
            </w:r>
            <w:r w:rsidR="00350CE1" w:rsidRPr="009F6D1E">
              <w:rPr>
                <w:rFonts w:cs="Times New Roman"/>
                <w:i/>
                <w:iCs/>
                <w:lang w:bidi="bg-BG"/>
              </w:rPr>
              <w:t xml:space="preserve">П.1.6. Оптимизиране на възможностите за напояване за намаляване на негативните последици от проявлението на </w:t>
            </w:r>
            <w:proofErr w:type="spellStart"/>
            <w:r w:rsidR="00350CE1" w:rsidRPr="009F6D1E">
              <w:rPr>
                <w:rFonts w:cs="Times New Roman"/>
                <w:i/>
                <w:iCs/>
                <w:lang w:bidi="bg-BG"/>
              </w:rPr>
              <w:t>природо</w:t>
            </w:r>
            <w:proofErr w:type="spellEnd"/>
            <w:r w:rsidR="00350CE1" w:rsidRPr="009F6D1E">
              <w:rPr>
                <w:rFonts w:cs="Times New Roman"/>
                <w:i/>
                <w:iCs/>
                <w:lang w:bidi="bg-BG"/>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r w:rsidR="00350CE1" w:rsidRPr="009F6D1E">
              <w:rPr>
                <w:rFonts w:cs="Times New Roman"/>
                <w:lang w:bidi="bg-BG"/>
              </w:rPr>
              <w:t>;</w:t>
            </w:r>
          </w:p>
          <w:p w14:paraId="6F7E6F35" w14:textId="77777777" w:rsidR="00350CE1" w:rsidRPr="009F6D1E" w:rsidRDefault="00350CE1" w:rsidP="0084747F">
            <w:pPr>
              <w:spacing w:after="60" w:line="264" w:lineRule="auto"/>
              <w:jc w:val="both"/>
              <w:rPr>
                <w:rFonts w:cs="Times New Roman"/>
                <w:i/>
                <w:iCs/>
              </w:rPr>
            </w:pPr>
            <w:r w:rsidRPr="009F6D1E">
              <w:rPr>
                <w:rFonts w:cs="Times New Roman"/>
              </w:rPr>
              <w:lastRenderedPageBreak/>
              <w:t xml:space="preserve">Потребностите и интервенциите към </w:t>
            </w:r>
            <w:r w:rsidRPr="009F6D1E">
              <w:rPr>
                <w:rFonts w:cs="Times New Roman"/>
                <w:i/>
                <w:iCs/>
              </w:rPr>
              <w:t>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p w14:paraId="607D3252" w14:textId="77777777" w:rsidR="00766731" w:rsidRPr="009F6D1E" w:rsidRDefault="00766731" w:rsidP="0084747F">
            <w:pPr>
              <w:spacing w:after="60" w:line="264" w:lineRule="auto"/>
              <w:jc w:val="both"/>
              <w:rPr>
                <w:rFonts w:cs="Times New Roman"/>
                <w:b/>
                <w:bCs/>
                <w:i/>
                <w:iCs/>
                <w:u w:val="single"/>
                <w:lang w:bidi="bg-BG"/>
              </w:rPr>
            </w:pPr>
            <w:r w:rsidRPr="009F6D1E">
              <w:rPr>
                <w:rFonts w:cs="Times New Roman"/>
                <w:b/>
                <w:bCs/>
                <w:i/>
                <w:iCs/>
                <w:u w:val="single"/>
                <w:lang w:bidi="bg-BG"/>
              </w:rPr>
              <w:t xml:space="preserve">Към 3.2. </w:t>
            </w:r>
          </w:p>
          <w:p w14:paraId="3E006D8C" w14:textId="77777777" w:rsidR="00E5235D" w:rsidRPr="009F6D1E" w:rsidRDefault="00E5235D" w:rsidP="0084747F">
            <w:pPr>
              <w:spacing w:after="60" w:line="264" w:lineRule="auto"/>
              <w:jc w:val="both"/>
              <w:rPr>
                <w:rFonts w:cs="Times New Roman"/>
                <w:i/>
                <w:iCs/>
              </w:rPr>
            </w:pPr>
            <w:r w:rsidRPr="009F6D1E">
              <w:rPr>
                <w:rFonts w:cs="Times New Roman"/>
                <w:i/>
                <w:iCs/>
              </w:rPr>
              <w:t>Специфична цел №6:</w:t>
            </w:r>
          </w:p>
          <w:p w14:paraId="31777412" w14:textId="77777777" w:rsidR="00E5235D" w:rsidRPr="009F6D1E" w:rsidRDefault="00E5235D" w:rsidP="0084747F">
            <w:pPr>
              <w:spacing w:after="60" w:line="264" w:lineRule="auto"/>
              <w:jc w:val="both"/>
              <w:rPr>
                <w:rFonts w:cs="Times New Roman"/>
                <w:i/>
                <w:iCs/>
                <w:lang w:bidi="bg-BG"/>
              </w:rPr>
            </w:pPr>
            <w:r w:rsidRPr="009F6D1E">
              <w:rPr>
                <w:rFonts w:cs="Times New Roman"/>
                <w:i/>
                <w:iCs/>
              </w:rPr>
              <w:t xml:space="preserve"> </w:t>
            </w:r>
            <w:r w:rsidR="00D7621E" w:rsidRPr="009F6D1E">
              <w:rPr>
                <w:rFonts w:cs="Times New Roman"/>
                <w:i/>
              </w:rPr>
              <w:t>Потребност</w:t>
            </w:r>
            <w:r w:rsidR="00D7621E" w:rsidRPr="009F6D1E">
              <w:rPr>
                <w:rFonts w:cs="Times New Roman"/>
                <w:lang w:bidi="bg-BG"/>
              </w:rPr>
              <w:t xml:space="preserve"> </w:t>
            </w:r>
            <w:r w:rsidR="00174A3A" w:rsidRPr="009F6D1E">
              <w:rPr>
                <w:rFonts w:cs="Times New Roman"/>
                <w:lang w:bidi="bg-BG"/>
              </w:rPr>
              <w:t>П</w:t>
            </w:r>
            <w:r w:rsidR="00174A3A" w:rsidRPr="009F6D1E">
              <w:rPr>
                <w:rFonts w:cs="Times New Roman"/>
                <w:i/>
                <w:iCs/>
                <w:lang w:bidi="bg-BG"/>
              </w:rPr>
              <w:t>.6.7. Запазване и подобряване на генетичното разнообразие в животновъдството и растениевъдството в селското стопанство.</w:t>
            </w:r>
          </w:p>
          <w:p w14:paraId="4EAC92B5" w14:textId="77777777" w:rsidR="00174A3A" w:rsidRPr="009F6D1E" w:rsidRDefault="00E5235D" w:rsidP="0084747F">
            <w:pPr>
              <w:spacing w:after="60" w:line="264" w:lineRule="auto"/>
              <w:jc w:val="both"/>
              <w:rPr>
                <w:rFonts w:cs="Times New Roman"/>
                <w:i/>
                <w:iCs/>
                <w:lang w:bidi="bg-BG"/>
              </w:rPr>
            </w:pPr>
            <w:r w:rsidRPr="009F6D1E">
              <w:rPr>
                <w:rFonts w:cs="Times New Roman"/>
                <w:lang w:bidi="bg-BG"/>
              </w:rPr>
              <w:t xml:space="preserve"> </w:t>
            </w:r>
            <w:r w:rsidR="00174A3A" w:rsidRPr="009F6D1E">
              <w:rPr>
                <w:rFonts w:cs="Times New Roman"/>
                <w:i/>
                <w:iCs/>
                <w:lang w:bidi="bg-BG"/>
              </w:rPr>
              <w:t>Интервенция „Рационализиране на подвижното пчеларство“ – член 55, ще осигури постигането на специфични цели б) и e) като улесни и стимулира прилагането на подвижното пчеларство, което от своя страна ще подобри ефективността на пчелното стопанство, чрез осигуряване на разнообразна паша на пчелите, повишаване на добивите и екологичния потенциал.</w:t>
            </w:r>
            <w:r w:rsidR="00174A3A" w:rsidRPr="009F6D1E">
              <w:rPr>
                <w:rFonts w:cs="Times New Roman"/>
                <w:lang w:bidi="bg-BG"/>
              </w:rPr>
              <w:t xml:space="preserve"> към </w:t>
            </w:r>
            <w:r w:rsidR="00174A3A" w:rsidRPr="009F6D1E">
              <w:rPr>
                <w:rFonts w:cs="Times New Roman"/>
                <w:i/>
                <w:iCs/>
                <w:lang w:bidi="bg-BG"/>
              </w:rPr>
              <w:t xml:space="preserve">Потребност П.6.8. Подобряване на </w:t>
            </w:r>
            <w:proofErr w:type="spellStart"/>
            <w:r w:rsidR="00174A3A" w:rsidRPr="009F6D1E">
              <w:rPr>
                <w:rFonts w:cs="Times New Roman"/>
                <w:i/>
                <w:iCs/>
                <w:lang w:bidi="bg-BG"/>
              </w:rPr>
              <w:t>опрашителния</w:t>
            </w:r>
            <w:proofErr w:type="spellEnd"/>
            <w:r w:rsidR="00174A3A" w:rsidRPr="009F6D1E">
              <w:rPr>
                <w:rFonts w:cs="Times New Roman"/>
                <w:i/>
                <w:iCs/>
                <w:lang w:bidi="bg-BG"/>
              </w:rPr>
              <w:t xml:space="preserve"> потенциал на екосистемите и наличието на подходящи растения.</w:t>
            </w:r>
          </w:p>
          <w:p w14:paraId="4D84FE1F" w14:textId="77777777" w:rsidR="00350CE1" w:rsidRPr="009F6D1E" w:rsidRDefault="00B87DA2" w:rsidP="0084747F">
            <w:pPr>
              <w:spacing w:after="60" w:line="264" w:lineRule="auto"/>
              <w:jc w:val="both"/>
              <w:rPr>
                <w:rFonts w:cs="Times New Roman"/>
                <w:lang w:bidi="bg-BG"/>
              </w:rPr>
            </w:pPr>
            <w:r w:rsidRPr="009F6D1E">
              <w:rPr>
                <w:rFonts w:cs="Times New Roman"/>
                <w:i/>
                <w:iCs/>
              </w:rPr>
              <w:t xml:space="preserve">Специфична цел №1, </w:t>
            </w:r>
            <w:r w:rsidR="00D7621E" w:rsidRPr="009F6D1E">
              <w:rPr>
                <w:rFonts w:cs="Times New Roman"/>
                <w:i/>
              </w:rPr>
              <w:t>Потребност</w:t>
            </w:r>
            <w:r w:rsidR="00D7621E" w:rsidRPr="009F6D1E">
              <w:rPr>
                <w:rFonts w:cs="Times New Roman"/>
                <w:lang w:bidi="bg-BG"/>
              </w:rPr>
              <w:t xml:space="preserve"> </w:t>
            </w:r>
            <w:r w:rsidR="00174A3A" w:rsidRPr="009F6D1E">
              <w:rPr>
                <w:rFonts w:cs="Times New Roman"/>
                <w:lang w:bidi="bg-BG"/>
              </w:rPr>
              <w:t>П</w:t>
            </w:r>
            <w:r w:rsidR="00174A3A" w:rsidRPr="009F6D1E">
              <w:rPr>
                <w:rFonts w:cs="Times New Roman"/>
                <w:i/>
                <w:iCs/>
                <w:lang w:bidi="bg-BG"/>
              </w:rPr>
              <w:t xml:space="preserve">.1.6. Оптимизиране на възможностите за напояване за намаляване на негативните </w:t>
            </w:r>
            <w:r w:rsidR="00174A3A" w:rsidRPr="009F6D1E">
              <w:rPr>
                <w:rFonts w:cs="Times New Roman"/>
                <w:i/>
                <w:iCs/>
                <w:lang w:bidi="bg-BG"/>
              </w:rPr>
              <w:lastRenderedPageBreak/>
              <w:t xml:space="preserve">последици от проявлението на </w:t>
            </w:r>
            <w:proofErr w:type="spellStart"/>
            <w:r w:rsidR="00174A3A" w:rsidRPr="009F6D1E">
              <w:rPr>
                <w:rFonts w:cs="Times New Roman"/>
                <w:i/>
                <w:iCs/>
                <w:lang w:bidi="bg-BG"/>
              </w:rPr>
              <w:t>природо</w:t>
            </w:r>
            <w:proofErr w:type="spellEnd"/>
            <w:r w:rsidR="00174A3A" w:rsidRPr="009F6D1E">
              <w:rPr>
                <w:rFonts w:cs="Times New Roman"/>
                <w:i/>
                <w:iCs/>
                <w:lang w:bidi="bg-BG"/>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r w:rsidR="00174A3A" w:rsidRPr="009F6D1E">
              <w:rPr>
                <w:rFonts w:cs="Times New Roman"/>
                <w:lang w:bidi="bg-BG"/>
              </w:rPr>
              <w:t>;</w:t>
            </w:r>
          </w:p>
          <w:p w14:paraId="0215D956" w14:textId="77777777" w:rsidR="009C5119" w:rsidRPr="009F6D1E" w:rsidRDefault="00B87DA2" w:rsidP="0084747F">
            <w:pPr>
              <w:spacing w:after="60" w:line="264" w:lineRule="auto"/>
              <w:jc w:val="both"/>
              <w:rPr>
                <w:rFonts w:cs="Times New Roman"/>
                <w:lang w:bidi="bg-BG"/>
              </w:rPr>
            </w:pPr>
            <w:r w:rsidRPr="009F6D1E">
              <w:rPr>
                <w:rFonts w:cs="Times New Roman"/>
                <w:i/>
                <w:iCs/>
              </w:rPr>
              <w:t xml:space="preserve">Специфична цел №2, </w:t>
            </w:r>
            <w:r w:rsidR="00D7621E" w:rsidRPr="009F6D1E">
              <w:rPr>
                <w:rFonts w:cs="Times New Roman"/>
                <w:i/>
              </w:rPr>
              <w:t>Потребност</w:t>
            </w:r>
            <w:r w:rsidR="00D7621E" w:rsidRPr="009F6D1E">
              <w:rPr>
                <w:rFonts w:cs="Times New Roman"/>
                <w:lang w:bidi="bg-BG"/>
              </w:rPr>
              <w:t xml:space="preserve"> </w:t>
            </w:r>
            <w:r w:rsidR="009C5119" w:rsidRPr="009F6D1E">
              <w:rPr>
                <w:rFonts w:cs="Times New Roman"/>
                <w:lang w:bidi="bg-BG"/>
              </w:rPr>
              <w:t xml:space="preserve">П.2.2. </w:t>
            </w:r>
            <w:r w:rsidR="009C5119" w:rsidRPr="009F6D1E">
              <w:rPr>
                <w:rFonts w:cs="Times New Roman"/>
                <w:i/>
                <w:iCs/>
                <w:lang w:bidi="bg-BG"/>
              </w:rPr>
              <w:t>Подобряване на производителността и добивите в секторите на селското стопанство, осигуряващи продукти с по-висока добавена стойност</w:t>
            </w:r>
            <w:r w:rsidR="009C5119" w:rsidRPr="009F6D1E">
              <w:rPr>
                <w:rFonts w:cs="Times New Roman"/>
                <w:lang w:bidi="bg-BG"/>
              </w:rPr>
              <w:t xml:space="preserve"> и </w:t>
            </w:r>
            <w:proofErr w:type="spellStart"/>
            <w:r w:rsidR="009C5119" w:rsidRPr="009F6D1E">
              <w:rPr>
                <w:rFonts w:cs="Times New Roman"/>
                <w:lang w:bidi="bg-BG"/>
              </w:rPr>
              <w:t>интерневциите</w:t>
            </w:r>
            <w:proofErr w:type="spellEnd"/>
            <w:r w:rsidR="009C5119" w:rsidRPr="009F6D1E">
              <w:rPr>
                <w:rFonts w:cs="Times New Roman"/>
                <w:lang w:bidi="bg-BG"/>
              </w:rPr>
              <w:t xml:space="preserve"> към нея</w:t>
            </w:r>
          </w:p>
          <w:p w14:paraId="1B3F6534" w14:textId="77777777" w:rsidR="009C5119" w:rsidRPr="009F6D1E" w:rsidRDefault="009C5119" w:rsidP="0084747F">
            <w:pPr>
              <w:spacing w:after="60" w:line="264" w:lineRule="auto"/>
              <w:jc w:val="both"/>
              <w:rPr>
                <w:rFonts w:cs="Times New Roman"/>
                <w:lang w:bidi="bg-BG"/>
              </w:rPr>
            </w:pPr>
            <w:r w:rsidRPr="009F6D1E">
              <w:rPr>
                <w:rFonts w:cs="Times New Roman"/>
                <w:lang w:bidi="bg-BG"/>
              </w:rPr>
              <w:t>Косвен принос има</w:t>
            </w:r>
            <w:r w:rsidR="00B87DA2" w:rsidRPr="009F6D1E">
              <w:rPr>
                <w:rFonts w:cs="Times New Roman"/>
                <w:i/>
                <w:iCs/>
              </w:rPr>
              <w:t xml:space="preserve"> Специфична цел №4, </w:t>
            </w:r>
            <w:r w:rsidRPr="009F6D1E">
              <w:rPr>
                <w:rFonts w:cs="Times New Roman"/>
                <w:lang w:bidi="bg-BG"/>
              </w:rPr>
              <w:t xml:space="preserve"> </w:t>
            </w:r>
            <w:r w:rsidR="00B87DA2" w:rsidRPr="009F6D1E">
              <w:rPr>
                <w:rFonts w:cs="Times New Roman"/>
                <w:i/>
              </w:rPr>
              <w:t>Потребност</w:t>
            </w:r>
            <w:r w:rsidR="00B87DA2" w:rsidRPr="009F6D1E">
              <w:rPr>
                <w:rFonts w:cs="Times New Roman"/>
                <w:lang w:bidi="bg-BG"/>
              </w:rPr>
              <w:t xml:space="preserve"> </w:t>
            </w:r>
            <w:r w:rsidRPr="009F6D1E">
              <w:rPr>
                <w:rFonts w:cs="Times New Roman"/>
                <w:lang w:bidi="bg-BG"/>
              </w:rPr>
              <w:t>П.</w:t>
            </w:r>
            <w:r w:rsidRPr="009F6D1E">
              <w:rPr>
                <w:rFonts w:cs="Times New Roman"/>
                <w:i/>
                <w:iCs/>
                <w:lang w:bidi="bg-BG"/>
              </w:rPr>
              <w:t xml:space="preserve">4.5. Потребност от прилагане на нискоинтензивни земеделски практики като </w:t>
            </w:r>
            <w:proofErr w:type="spellStart"/>
            <w:r w:rsidRPr="009F6D1E">
              <w:rPr>
                <w:rFonts w:cs="Times New Roman"/>
                <w:i/>
                <w:iCs/>
                <w:lang w:bidi="bg-BG"/>
              </w:rPr>
              <w:t>консервационно</w:t>
            </w:r>
            <w:proofErr w:type="spellEnd"/>
            <w:r w:rsidRPr="009F6D1E">
              <w:rPr>
                <w:rFonts w:cs="Times New Roman"/>
                <w:i/>
                <w:iCs/>
                <w:lang w:bidi="bg-BG"/>
              </w:rPr>
              <w:t>, интегрирано и биологично земедели</w:t>
            </w:r>
            <w:r w:rsidRPr="009F6D1E">
              <w:rPr>
                <w:rFonts w:cs="Times New Roman"/>
                <w:lang w:bidi="bg-BG"/>
              </w:rPr>
              <w:t>е</w:t>
            </w:r>
          </w:p>
          <w:p w14:paraId="6A1A2EC4" w14:textId="77777777" w:rsidR="00350CE1" w:rsidRPr="009F6D1E" w:rsidRDefault="009C5119" w:rsidP="0084747F">
            <w:pPr>
              <w:spacing w:after="60" w:line="264" w:lineRule="auto"/>
              <w:jc w:val="both"/>
              <w:rPr>
                <w:rFonts w:cs="Times New Roman"/>
                <w:b/>
                <w:bCs/>
                <w:i/>
                <w:iCs/>
                <w:u w:val="single"/>
                <w:lang w:bidi="bg-BG"/>
              </w:rPr>
            </w:pPr>
            <w:r w:rsidRPr="009F6D1E">
              <w:rPr>
                <w:rFonts w:cs="Times New Roman"/>
                <w:b/>
                <w:bCs/>
                <w:i/>
                <w:iCs/>
                <w:u w:val="single"/>
                <w:lang w:bidi="bg-BG"/>
              </w:rPr>
              <w:t>Към 3.3.</w:t>
            </w:r>
          </w:p>
          <w:p w14:paraId="098112DD" w14:textId="77777777" w:rsidR="00B87DA2" w:rsidRPr="009F6D1E" w:rsidRDefault="00B87DA2" w:rsidP="0084747F">
            <w:pPr>
              <w:spacing w:after="60" w:line="264" w:lineRule="auto"/>
              <w:jc w:val="both"/>
              <w:rPr>
                <w:rFonts w:cs="Times New Roman"/>
                <w:i/>
                <w:iCs/>
                <w:lang w:bidi="bg-BG"/>
              </w:rPr>
            </w:pPr>
            <w:r w:rsidRPr="009F6D1E">
              <w:rPr>
                <w:rFonts w:cs="Times New Roman"/>
                <w:i/>
                <w:iCs/>
              </w:rPr>
              <w:t>Специфична цел №5:</w:t>
            </w:r>
          </w:p>
          <w:p w14:paraId="37BD4CDA" w14:textId="77777777" w:rsidR="009C5119" w:rsidRPr="009F6D1E" w:rsidRDefault="009C5119" w:rsidP="0084747F">
            <w:pPr>
              <w:spacing w:after="60" w:line="264" w:lineRule="auto"/>
              <w:jc w:val="both"/>
              <w:rPr>
                <w:rFonts w:cs="Times New Roman"/>
                <w:lang w:bidi="bg-BG"/>
              </w:rPr>
            </w:pPr>
            <w:r w:rsidRPr="009F6D1E">
              <w:rPr>
                <w:rFonts w:cs="Times New Roman"/>
                <w:i/>
                <w:iCs/>
                <w:lang w:bidi="bg-BG"/>
              </w:rPr>
              <w:t>Интервенция „Насърчаване намалението на употребата на продукти за растителна защита и торове през контрол в краен продукт“ – член 70</w:t>
            </w:r>
            <w:r w:rsidRPr="009F6D1E">
              <w:rPr>
                <w:rFonts w:cs="Times New Roman"/>
                <w:lang w:bidi="bg-BG"/>
              </w:rPr>
              <w:t xml:space="preserve"> към </w:t>
            </w:r>
            <w:r w:rsidRPr="009F6D1E">
              <w:rPr>
                <w:rFonts w:cs="Times New Roman"/>
                <w:i/>
                <w:iCs/>
                <w:lang w:bidi="bg-BG"/>
              </w:rPr>
              <w:t>Потребност П.5.4. Продължаване на поддържането на нисък азотен и фосфорен отпечатък в почвите</w:t>
            </w:r>
          </w:p>
          <w:p w14:paraId="743A133F" w14:textId="77777777" w:rsidR="009C5119" w:rsidRPr="009F6D1E" w:rsidRDefault="00D7621E" w:rsidP="0084747F">
            <w:pPr>
              <w:spacing w:after="60" w:line="264" w:lineRule="auto"/>
              <w:jc w:val="both"/>
              <w:rPr>
                <w:rFonts w:cs="Times New Roman"/>
                <w:lang w:bidi="bg-BG"/>
              </w:rPr>
            </w:pPr>
            <w:r w:rsidRPr="009F6D1E">
              <w:rPr>
                <w:rFonts w:cs="Times New Roman"/>
                <w:i/>
              </w:rPr>
              <w:lastRenderedPageBreak/>
              <w:t>Потребност</w:t>
            </w:r>
            <w:r w:rsidRPr="009F6D1E">
              <w:rPr>
                <w:rFonts w:cs="Times New Roman"/>
                <w:lang w:bidi="bg-BG"/>
              </w:rPr>
              <w:t xml:space="preserve"> </w:t>
            </w:r>
            <w:r w:rsidR="009C5119" w:rsidRPr="009F6D1E">
              <w:rPr>
                <w:rFonts w:cs="Times New Roman"/>
                <w:i/>
                <w:iCs/>
                <w:lang w:bidi="bg-BG"/>
              </w:rPr>
              <w:t>П.5.5. Продължаване на прилагане на оптимизирана и устойчива употреба на ПРЗ, минерални и органични торове с цел опазване на водите</w:t>
            </w:r>
            <w:r w:rsidR="009C5119" w:rsidRPr="009F6D1E">
              <w:rPr>
                <w:rFonts w:cs="Times New Roman"/>
                <w:lang w:bidi="bg-BG"/>
              </w:rPr>
              <w:t xml:space="preserve"> и интервенциите към нея</w:t>
            </w:r>
          </w:p>
          <w:p w14:paraId="73013FBC" w14:textId="77777777" w:rsidR="000F3D40" w:rsidRPr="009F6D1E" w:rsidRDefault="00B87DA2" w:rsidP="0084747F">
            <w:pPr>
              <w:widowControl w:val="0"/>
              <w:spacing w:after="60" w:line="264" w:lineRule="auto"/>
              <w:jc w:val="both"/>
              <w:rPr>
                <w:rFonts w:cs="Times New Roman"/>
                <w:lang w:bidi="bg-BG"/>
              </w:rPr>
            </w:pPr>
            <w:r w:rsidRPr="009F6D1E">
              <w:rPr>
                <w:rFonts w:cs="Times New Roman"/>
                <w:i/>
                <w:iCs/>
              </w:rPr>
              <w:t xml:space="preserve">Специфична цел №9, </w:t>
            </w:r>
            <w:r w:rsidRPr="009F6D1E">
              <w:rPr>
                <w:rFonts w:cs="Times New Roman"/>
                <w:i/>
              </w:rPr>
              <w:t>Потребност</w:t>
            </w:r>
            <w:r w:rsidRPr="009F6D1E">
              <w:rPr>
                <w:rFonts w:cs="Times New Roman"/>
                <w:lang w:bidi="bg-BG"/>
              </w:rPr>
              <w:t xml:space="preserve"> </w:t>
            </w:r>
            <w:r w:rsidR="009C5119" w:rsidRPr="009F6D1E">
              <w:rPr>
                <w:rFonts w:cs="Times New Roman"/>
                <w:lang w:bidi="bg-BG"/>
              </w:rPr>
              <w:t>П</w:t>
            </w:r>
            <w:r w:rsidR="009C5119" w:rsidRPr="009F6D1E">
              <w:rPr>
                <w:rFonts w:cs="Times New Roman"/>
                <w:i/>
                <w:iCs/>
                <w:lang w:bidi="bg-BG"/>
              </w:rPr>
              <w:t>.9.8.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r w:rsidR="009C5119" w:rsidRPr="009F6D1E">
              <w:rPr>
                <w:rFonts w:cs="Times New Roman"/>
                <w:lang w:bidi="bg-BG"/>
              </w:rPr>
              <w:t>.</w:t>
            </w:r>
          </w:p>
          <w:p w14:paraId="11F70636" w14:textId="77777777" w:rsidR="009C5119" w:rsidRPr="009F6D1E" w:rsidRDefault="009C5119" w:rsidP="0084747F">
            <w:pPr>
              <w:widowControl w:val="0"/>
              <w:spacing w:after="60" w:line="264" w:lineRule="auto"/>
              <w:jc w:val="both"/>
              <w:rPr>
                <w:rFonts w:cs="Times New Roman"/>
                <w:b/>
                <w:bCs/>
                <w:i/>
                <w:iCs/>
                <w:lang w:bidi="bg-BG"/>
              </w:rPr>
            </w:pPr>
            <w:r w:rsidRPr="009F6D1E">
              <w:rPr>
                <w:rFonts w:cs="Times New Roman"/>
                <w:b/>
                <w:bCs/>
                <w:i/>
                <w:iCs/>
                <w:lang w:bidi="bg-BG"/>
              </w:rPr>
              <w:t>Към 3.4. принос имат</w:t>
            </w:r>
            <w:r w:rsidR="001C5549" w:rsidRPr="009F6D1E">
              <w:rPr>
                <w:rFonts w:cs="Times New Roman"/>
                <w:b/>
                <w:bCs/>
                <w:i/>
                <w:iCs/>
                <w:lang w:bidi="bg-BG"/>
              </w:rPr>
              <w:t>:</w:t>
            </w:r>
          </w:p>
          <w:p w14:paraId="4CB60348" w14:textId="77777777" w:rsidR="001C5549" w:rsidRPr="009F6D1E" w:rsidRDefault="001C5549" w:rsidP="0084747F">
            <w:pPr>
              <w:spacing w:after="60" w:line="264" w:lineRule="auto"/>
              <w:jc w:val="both"/>
              <w:rPr>
                <w:rFonts w:cs="Times New Roman"/>
              </w:rPr>
            </w:pPr>
            <w:r w:rsidRPr="009F6D1E">
              <w:rPr>
                <w:rFonts w:cs="Times New Roman"/>
                <w:i/>
                <w:iCs/>
              </w:rPr>
              <w:t>Специфична цел № 9:</w:t>
            </w:r>
            <w:r w:rsidRPr="009F6D1E">
              <w:rPr>
                <w:rFonts w:cs="Times New Roman"/>
              </w:rPr>
              <w:t xml:space="preserve"> </w:t>
            </w:r>
            <w:r w:rsidRPr="009F6D1E">
              <w:rPr>
                <w:rFonts w:cs="Times New Roman"/>
                <w:i/>
                <w:iCs/>
              </w:rPr>
              <w:t>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p>
          <w:p w14:paraId="7DA8CDCD" w14:textId="77777777" w:rsidR="001C5549" w:rsidRPr="009F6D1E" w:rsidRDefault="001C5549" w:rsidP="0084747F">
            <w:pPr>
              <w:widowControl w:val="0"/>
              <w:spacing w:after="60" w:line="264" w:lineRule="auto"/>
              <w:jc w:val="both"/>
              <w:rPr>
                <w:rFonts w:cs="Times New Roman"/>
              </w:rPr>
            </w:pPr>
            <w:r w:rsidRPr="009F6D1E">
              <w:rPr>
                <w:rFonts w:cs="Times New Roman"/>
              </w:rPr>
              <w:t xml:space="preserve">Тази специфична цел </w:t>
            </w:r>
            <w:proofErr w:type="spellStart"/>
            <w:r w:rsidRPr="009F6D1E">
              <w:rPr>
                <w:rFonts w:cs="Times New Roman"/>
              </w:rPr>
              <w:t>тангентира</w:t>
            </w:r>
            <w:proofErr w:type="spellEnd"/>
            <w:r w:rsidRPr="009F6D1E">
              <w:rPr>
                <w:rFonts w:cs="Times New Roman"/>
              </w:rPr>
              <w:t xml:space="preserve"> с цел</w:t>
            </w:r>
            <w:r w:rsidR="00415091" w:rsidRPr="009F6D1E">
              <w:rPr>
                <w:rFonts w:cs="Times New Roman"/>
              </w:rPr>
              <w:t>и</w:t>
            </w:r>
            <w:r w:rsidRPr="009F6D1E">
              <w:rPr>
                <w:rFonts w:cs="Times New Roman"/>
              </w:rPr>
              <w:t xml:space="preserve"> № 5 и № 6. Поставя се акцент върху храните, здравето, хуманното отношение към животните и биологичното производство</w:t>
            </w:r>
          </w:p>
          <w:p w14:paraId="4FEC19D9" w14:textId="77777777" w:rsidR="001C5549" w:rsidRPr="009F6D1E" w:rsidRDefault="007276B9" w:rsidP="0084747F">
            <w:pPr>
              <w:spacing w:after="60" w:line="264" w:lineRule="auto"/>
              <w:jc w:val="both"/>
              <w:rPr>
                <w:rFonts w:cs="Times New Roman"/>
                <w:i/>
                <w:iCs/>
              </w:rPr>
            </w:pPr>
            <w:r w:rsidRPr="009F6D1E">
              <w:rPr>
                <w:rFonts w:cs="Times New Roman"/>
                <w:b/>
                <w:bCs/>
                <w:i/>
                <w:iCs/>
                <w:lang w:bidi="bg-BG"/>
              </w:rPr>
              <w:t xml:space="preserve">Към 3.5. принос има </w:t>
            </w:r>
            <w:r w:rsidRPr="009F6D1E">
              <w:rPr>
                <w:rFonts w:cs="Times New Roman"/>
                <w:i/>
                <w:iCs/>
              </w:rPr>
              <w:t xml:space="preserve">Специфична цел №5: Насърчаване на устойчиво развитие и ефективно управление на природните </w:t>
            </w:r>
            <w:r w:rsidRPr="009F6D1E">
              <w:rPr>
                <w:rFonts w:cs="Times New Roman"/>
                <w:i/>
                <w:iCs/>
              </w:rPr>
              <w:lastRenderedPageBreak/>
              <w:t>ресурси като вода, почва и въздух, включително чрез намаляване на зависимостта от химикали</w:t>
            </w:r>
          </w:p>
        </w:tc>
      </w:tr>
      <w:tr w:rsidR="002E3829" w:rsidRPr="009F6D1E" w14:paraId="4C3F7111" w14:textId="77777777" w:rsidTr="0078017C">
        <w:tc>
          <w:tcPr>
            <w:tcW w:w="7139" w:type="dxa"/>
          </w:tcPr>
          <w:p w14:paraId="6C929D58" w14:textId="77777777" w:rsidR="002E3829" w:rsidRPr="009F6D1E" w:rsidRDefault="002E3829" w:rsidP="0084747F">
            <w:pPr>
              <w:widowControl w:val="0"/>
              <w:autoSpaceDE w:val="0"/>
              <w:autoSpaceDN w:val="0"/>
              <w:adjustRightInd w:val="0"/>
              <w:spacing w:after="60" w:line="264" w:lineRule="auto"/>
              <w:jc w:val="both"/>
              <w:rPr>
                <w:rFonts w:cs="Times New Roman"/>
                <w:b/>
                <w:bCs/>
                <w:i/>
                <w:iCs/>
              </w:rPr>
            </w:pPr>
            <w:r w:rsidRPr="009F6D1E">
              <w:rPr>
                <w:rFonts w:cs="Times New Roman"/>
                <w:b/>
                <w:bCs/>
                <w:i/>
                <w:iCs/>
              </w:rPr>
              <w:lastRenderedPageBreak/>
              <w:t xml:space="preserve">Съобщение на Европейската комисия „Стратегия на ЕС за почвите за 2030 г. Извличане на ползите от здравите почви за хората, храните, природата  и климата“, COM(2021) 699 </w:t>
            </w:r>
            <w:proofErr w:type="spellStart"/>
            <w:r w:rsidRPr="009F6D1E">
              <w:rPr>
                <w:rFonts w:cs="Times New Roman"/>
                <w:b/>
                <w:bCs/>
                <w:i/>
                <w:iCs/>
              </w:rPr>
              <w:t>final</w:t>
            </w:r>
            <w:proofErr w:type="spellEnd"/>
          </w:p>
          <w:p w14:paraId="4FAB2564" w14:textId="77777777" w:rsidR="00DE76EC" w:rsidRPr="009F6D1E" w:rsidRDefault="00DE76EC" w:rsidP="0084747F">
            <w:pPr>
              <w:spacing w:after="60" w:line="264" w:lineRule="auto"/>
              <w:jc w:val="both"/>
              <w:rPr>
                <w:rFonts w:eastAsia="Calibri" w:cs="Times New Roman"/>
              </w:rPr>
            </w:pPr>
            <w:r w:rsidRPr="009F6D1E">
              <w:rPr>
                <w:rFonts w:eastAsia="Calibri" w:cs="Times New Roman"/>
                <w:b/>
                <w:i/>
              </w:rPr>
              <w:t>Визия и цели:</w:t>
            </w:r>
            <w:r w:rsidRPr="009F6D1E">
              <w:rPr>
                <w:rFonts w:eastAsia="Calibri" w:cs="Times New Roman"/>
              </w:rPr>
              <w:t xml:space="preserve"> Постигане на добро здраве на почвите до 2050 г.</w:t>
            </w:r>
          </w:p>
          <w:p w14:paraId="73C640DF" w14:textId="77777777" w:rsidR="00C41F0E" w:rsidRPr="009F6D1E" w:rsidRDefault="00C41F0E" w:rsidP="0084747F">
            <w:pPr>
              <w:spacing w:after="60" w:line="264" w:lineRule="auto"/>
              <w:jc w:val="both"/>
              <w:rPr>
                <w:rFonts w:eastAsia="Calibri" w:cs="Times New Roman"/>
                <w:b/>
                <w:i/>
                <w:noProof/>
              </w:rPr>
            </w:pPr>
            <w:r w:rsidRPr="009F6D1E">
              <w:rPr>
                <w:rFonts w:eastAsia="Calibri" w:cs="Times New Roman"/>
                <w:b/>
                <w:i/>
                <w:noProof/>
              </w:rPr>
              <w:t>Средносрочни цели до 2030 г.:</w:t>
            </w:r>
          </w:p>
          <w:p w14:paraId="17B39929" w14:textId="77777777" w:rsidR="00C41F0E" w:rsidRPr="009F6D1E" w:rsidRDefault="00C41F0E">
            <w:pPr>
              <w:numPr>
                <w:ilvl w:val="0"/>
                <w:numId w:val="74"/>
              </w:numPr>
              <w:spacing w:after="60" w:line="264" w:lineRule="auto"/>
              <w:jc w:val="both"/>
              <w:rPr>
                <w:rFonts w:eastAsia="Calibri" w:cs="Times New Roman"/>
                <w:noProof/>
              </w:rPr>
            </w:pPr>
            <w:r w:rsidRPr="009F6D1E">
              <w:rPr>
                <w:rFonts w:eastAsia="Calibri" w:cs="Times New Roman"/>
                <w:noProof/>
              </w:rPr>
              <w:t xml:space="preserve">борба с опустиняването, възстановяване на увредените земи и почви, включително земите, засегнати от опустиняване, суша и наводнения, и стремеж към преустановяване на влошаването на качеството на земите в световен мащаб (цел за устойчиво развитие 15.3); </w:t>
            </w:r>
          </w:p>
          <w:p w14:paraId="60076DF8" w14:textId="77777777" w:rsidR="00C41F0E" w:rsidRPr="009F6D1E" w:rsidRDefault="00C41F0E">
            <w:pPr>
              <w:numPr>
                <w:ilvl w:val="0"/>
                <w:numId w:val="74"/>
              </w:numPr>
              <w:spacing w:after="60" w:line="264" w:lineRule="auto"/>
              <w:jc w:val="both"/>
              <w:rPr>
                <w:rFonts w:eastAsia="Calibri" w:cs="Times New Roman"/>
                <w:noProof/>
              </w:rPr>
            </w:pPr>
            <w:r w:rsidRPr="009F6D1E">
              <w:rPr>
                <w:rFonts w:eastAsia="Calibri" w:cs="Times New Roman"/>
                <w:noProof/>
              </w:rPr>
              <w:t>възстановяване на значителни площи от увредени и богати на въглерод екосистеми, включително почви;</w:t>
            </w:r>
          </w:p>
          <w:p w14:paraId="1812A627" w14:textId="77777777" w:rsidR="00C41F0E" w:rsidRPr="009F6D1E" w:rsidRDefault="00C41F0E">
            <w:pPr>
              <w:numPr>
                <w:ilvl w:val="0"/>
                <w:numId w:val="74"/>
              </w:numPr>
              <w:spacing w:after="60" w:line="264" w:lineRule="auto"/>
              <w:ind w:left="714" w:hanging="357"/>
              <w:jc w:val="both"/>
              <w:rPr>
                <w:rFonts w:eastAsia="Calibri" w:cs="Times New Roman"/>
                <w:noProof/>
              </w:rPr>
            </w:pPr>
            <w:r w:rsidRPr="009F6D1E">
              <w:rPr>
                <w:rFonts w:eastAsia="Calibri" w:cs="Times New Roman"/>
                <w:noProof/>
              </w:rPr>
              <w:t>постигане на нетни поглъщания на парникови газове в размер на 310 милиона тона CO</w:t>
            </w:r>
            <w:r w:rsidRPr="009F6D1E">
              <w:rPr>
                <w:rFonts w:eastAsia="Calibri" w:cs="Times New Roman"/>
                <w:noProof/>
                <w:vertAlign w:val="subscript"/>
              </w:rPr>
              <w:t>2</w:t>
            </w:r>
            <w:r w:rsidRPr="009F6D1E">
              <w:rPr>
                <w:rFonts w:eastAsia="Calibri" w:cs="Times New Roman"/>
                <w:noProof/>
              </w:rPr>
              <w:t xml:space="preserve"> еквивалент на година в сектора на земеползването, промените в земеползването и горското стопанство (ЗПЗГС);</w:t>
            </w:r>
          </w:p>
          <w:p w14:paraId="1E7CDE97" w14:textId="77777777" w:rsidR="00C41F0E" w:rsidRPr="009F6D1E" w:rsidRDefault="00C41F0E">
            <w:pPr>
              <w:numPr>
                <w:ilvl w:val="0"/>
                <w:numId w:val="74"/>
              </w:numPr>
              <w:spacing w:after="60" w:line="264" w:lineRule="auto"/>
              <w:ind w:left="714" w:hanging="357"/>
              <w:jc w:val="both"/>
              <w:rPr>
                <w:rFonts w:eastAsia="Calibri" w:cs="Times New Roman"/>
                <w:noProof/>
              </w:rPr>
            </w:pPr>
            <w:r w:rsidRPr="009F6D1E">
              <w:rPr>
                <w:rFonts w:eastAsia="Calibri" w:cs="Times New Roman"/>
                <w:noProof/>
              </w:rPr>
              <w:lastRenderedPageBreak/>
              <w:t>постигане на добро екологично и химично състояние на повърхностните води и добро химично и количествено състояние на подземните води до 2027 г.;</w:t>
            </w:r>
          </w:p>
          <w:p w14:paraId="37741814" w14:textId="77777777" w:rsidR="00C41F0E" w:rsidRPr="009F6D1E" w:rsidRDefault="00C41F0E">
            <w:pPr>
              <w:numPr>
                <w:ilvl w:val="0"/>
                <w:numId w:val="74"/>
              </w:numPr>
              <w:spacing w:after="60" w:line="264" w:lineRule="auto"/>
              <w:ind w:left="714" w:hanging="357"/>
              <w:jc w:val="both"/>
              <w:rPr>
                <w:rFonts w:eastAsia="Calibri" w:cs="Times New Roman"/>
                <w:noProof/>
              </w:rPr>
            </w:pPr>
            <w:r w:rsidRPr="009F6D1E">
              <w:rPr>
                <w:rFonts w:eastAsia="Calibri" w:cs="Times New Roman"/>
                <w:noProof/>
              </w:rPr>
              <w:t>намаляване на загубите на хранителни вещества с поне 50 %, на общата употреба на химически пестициди и свързания с тях риск с 50 % и на употребата на по-опасни пестициди с 50 % до 2030 г.;</w:t>
            </w:r>
          </w:p>
          <w:p w14:paraId="7BCC8D34" w14:textId="77777777" w:rsidR="00C41F0E" w:rsidRPr="009F6D1E" w:rsidRDefault="00C41F0E">
            <w:pPr>
              <w:numPr>
                <w:ilvl w:val="0"/>
                <w:numId w:val="74"/>
              </w:numPr>
              <w:spacing w:after="60" w:line="264" w:lineRule="auto"/>
              <w:ind w:left="714" w:hanging="357"/>
              <w:jc w:val="both"/>
              <w:rPr>
                <w:rFonts w:eastAsia="ヒラギノ角ゴ Pro W3" w:cs="Times New Roman"/>
                <w:noProof/>
                <w:color w:val="000000"/>
              </w:rPr>
            </w:pPr>
            <w:r w:rsidRPr="009F6D1E">
              <w:rPr>
                <w:rFonts w:eastAsia="ヒラギノ角ゴ Pro W3" w:cs="Times New Roman"/>
                <w:noProof/>
                <w:color w:val="000000"/>
              </w:rPr>
              <w:t xml:space="preserve">постигане на значителен напредък при възстановяването на замърсени терени; </w:t>
            </w:r>
          </w:p>
          <w:p w14:paraId="71521134" w14:textId="77777777" w:rsidR="00C41F0E" w:rsidRPr="009F6D1E" w:rsidRDefault="00C41F0E" w:rsidP="0084747F">
            <w:pPr>
              <w:spacing w:after="60" w:line="264" w:lineRule="auto"/>
              <w:jc w:val="both"/>
              <w:rPr>
                <w:rFonts w:eastAsia="Calibri" w:cs="Times New Roman"/>
                <w:b/>
                <w:i/>
                <w:noProof/>
              </w:rPr>
            </w:pPr>
            <w:r w:rsidRPr="009F6D1E">
              <w:rPr>
                <w:rFonts w:eastAsia="Calibri" w:cs="Times New Roman"/>
                <w:b/>
                <w:i/>
                <w:noProof/>
              </w:rPr>
              <w:t>Дългосрочни цели до 2050 г.:</w:t>
            </w:r>
          </w:p>
          <w:p w14:paraId="746AE7E8" w14:textId="77777777" w:rsidR="00C41F0E" w:rsidRPr="009F6D1E" w:rsidRDefault="00C41F0E">
            <w:pPr>
              <w:numPr>
                <w:ilvl w:val="0"/>
                <w:numId w:val="74"/>
              </w:numPr>
              <w:spacing w:after="60" w:line="264" w:lineRule="auto"/>
              <w:ind w:left="714" w:hanging="357"/>
              <w:jc w:val="both"/>
              <w:rPr>
                <w:rFonts w:eastAsia="Calibri" w:cs="Times New Roman"/>
                <w:noProof/>
              </w:rPr>
            </w:pPr>
            <w:r w:rsidRPr="009F6D1E">
              <w:rPr>
                <w:rFonts w:eastAsia="Calibri" w:cs="Times New Roman"/>
                <w:noProof/>
              </w:rPr>
              <w:t>слагане на край на нетното усвояване на земя;</w:t>
            </w:r>
          </w:p>
          <w:p w14:paraId="444F9E66" w14:textId="77777777" w:rsidR="00C41F0E" w:rsidRPr="009F6D1E" w:rsidRDefault="00C41F0E">
            <w:pPr>
              <w:numPr>
                <w:ilvl w:val="0"/>
                <w:numId w:val="74"/>
              </w:numPr>
              <w:spacing w:after="60" w:line="264" w:lineRule="auto"/>
              <w:ind w:left="714" w:hanging="357"/>
              <w:jc w:val="both"/>
              <w:rPr>
                <w:rFonts w:eastAsia="Calibri" w:cs="Times New Roman"/>
                <w:noProof/>
              </w:rPr>
            </w:pPr>
            <w:r w:rsidRPr="009F6D1E">
              <w:rPr>
                <w:rFonts w:eastAsia="Calibri" w:cs="Times New Roman"/>
                <w:noProof/>
              </w:rPr>
              <w:t>замърсяването на почвата следва да бъде намалено до нива, които вече не се считат за вредни за здравето и за природните екосистеми и които са съобразени с границите, до които нашата планета е в състояние да се справи, като по този начин се създава нетоксична околна среда;</w:t>
            </w:r>
          </w:p>
          <w:p w14:paraId="3D7C9748" w14:textId="77777777" w:rsidR="00C41F0E" w:rsidRPr="009F6D1E" w:rsidRDefault="00C41F0E">
            <w:pPr>
              <w:numPr>
                <w:ilvl w:val="0"/>
                <w:numId w:val="74"/>
              </w:numPr>
              <w:spacing w:after="60" w:line="264" w:lineRule="auto"/>
              <w:jc w:val="both"/>
              <w:rPr>
                <w:rFonts w:eastAsia="Calibri" w:cs="Times New Roman"/>
                <w:noProof/>
              </w:rPr>
            </w:pPr>
            <w:r w:rsidRPr="009F6D1E">
              <w:rPr>
                <w:rFonts w:eastAsia="Calibri" w:cs="Times New Roman"/>
                <w:noProof/>
              </w:rPr>
              <w:lastRenderedPageBreak/>
              <w:t>постигане на неутрална по отношение на климата Европа</w:t>
            </w:r>
            <w:r w:rsidRPr="009F6D1E">
              <w:rPr>
                <w:rFonts w:eastAsia="Calibri" w:cs="Times New Roman"/>
                <w:noProof/>
                <w:vertAlign w:val="superscript"/>
              </w:rPr>
              <w:footnoteReference w:id="74"/>
            </w:r>
            <w:r w:rsidRPr="009F6D1E">
              <w:rPr>
                <w:rFonts w:eastAsia="Calibri" w:cs="Times New Roman"/>
                <w:noProof/>
              </w:rPr>
              <w:t xml:space="preserve"> и, като първа стъпка, стремеж към постигане на неутралност по отношение на климата на сушата в ЕС до 2035 г.; </w:t>
            </w:r>
          </w:p>
          <w:p w14:paraId="6FC47208" w14:textId="77777777" w:rsidR="002E3829" w:rsidRPr="009F6D1E" w:rsidRDefault="00C41F0E">
            <w:pPr>
              <w:numPr>
                <w:ilvl w:val="0"/>
                <w:numId w:val="74"/>
              </w:numPr>
              <w:spacing w:after="60" w:line="264" w:lineRule="auto"/>
              <w:jc w:val="both"/>
              <w:rPr>
                <w:rFonts w:cs="Times New Roman"/>
                <w:b/>
                <w:bCs/>
                <w:i/>
                <w:iCs/>
              </w:rPr>
            </w:pPr>
            <w:r w:rsidRPr="009F6D1E">
              <w:rPr>
                <w:rFonts w:eastAsia="Calibri" w:cs="Times New Roman"/>
                <w:noProof/>
              </w:rPr>
              <w:t>постигане на устойчиво на изменението на климата общество, напълно адаптирано към неизбежното въздействие на изменението на климата,</w:t>
            </w:r>
            <w:r w:rsidRPr="009F6D1E">
              <w:rPr>
                <w:rFonts w:eastAsia="Calibri" w:cs="Times New Roman"/>
                <w:noProof/>
                <w:vertAlign w:val="superscript"/>
              </w:rPr>
              <w:t xml:space="preserve"> </w:t>
            </w:r>
            <w:r w:rsidRPr="009F6D1E">
              <w:rPr>
                <w:rFonts w:eastAsia="Calibri" w:cs="Times New Roman"/>
                <w:noProof/>
              </w:rPr>
              <w:t>до 2050 г.</w:t>
            </w:r>
          </w:p>
        </w:tc>
        <w:tc>
          <w:tcPr>
            <w:tcW w:w="7139" w:type="dxa"/>
          </w:tcPr>
          <w:p w14:paraId="5E5784AE" w14:textId="77777777" w:rsidR="00E243CA" w:rsidRPr="009F6D1E" w:rsidRDefault="00CD4045" w:rsidP="0084747F">
            <w:pPr>
              <w:pStyle w:val="Other0"/>
              <w:spacing w:after="60" w:line="264" w:lineRule="auto"/>
              <w:jc w:val="both"/>
              <w:rPr>
                <w:lang w:eastAsia="bg-BG" w:bidi="bg-BG"/>
              </w:rPr>
            </w:pPr>
            <w:r w:rsidRPr="009F6D1E">
              <w:rPr>
                <w:rFonts w:eastAsia="Calibri"/>
              </w:rPr>
              <w:lastRenderedPageBreak/>
              <w:t>СПРЗСР</w:t>
            </w:r>
            <w:r w:rsidR="00E243CA" w:rsidRPr="009F6D1E">
              <w:rPr>
                <w:rFonts w:eastAsia="Calibri"/>
              </w:rPr>
              <w:t xml:space="preserve"> допринася за постигане на визията и целите на Стратегията чрез </w:t>
            </w:r>
            <w:r w:rsidR="00E243CA" w:rsidRPr="009F6D1E">
              <w:rPr>
                <w:i/>
                <w:iCs/>
                <w:lang w:eastAsia="bg-BG" w:bidi="bg-BG"/>
              </w:rPr>
              <w:t xml:space="preserve">Специфична цел №5: 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  </w:t>
            </w:r>
            <w:r w:rsidR="00E243CA" w:rsidRPr="009F6D1E">
              <w:rPr>
                <w:lang w:eastAsia="bg-BG" w:bidi="bg-BG"/>
              </w:rPr>
              <w:t>и интервенциите към нея</w:t>
            </w:r>
          </w:p>
          <w:p w14:paraId="5E89F714" w14:textId="77777777" w:rsidR="00E243CA" w:rsidRPr="009F6D1E" w:rsidRDefault="00E243CA" w:rsidP="0084747F">
            <w:pPr>
              <w:spacing w:after="60" w:line="264" w:lineRule="auto"/>
              <w:jc w:val="both"/>
              <w:rPr>
                <w:rFonts w:eastAsia="Calibri" w:cs="Times New Roman"/>
                <w:bCs/>
                <w:iCs/>
                <w:noProof/>
              </w:rPr>
            </w:pPr>
            <w:r w:rsidRPr="009F6D1E">
              <w:rPr>
                <w:rFonts w:eastAsia="Times New Roman" w:cs="Times New Roman"/>
                <w:lang w:eastAsia="bg-BG" w:bidi="bg-BG"/>
              </w:rPr>
              <w:t>За постигане на</w:t>
            </w:r>
            <w:r w:rsidRPr="009F6D1E">
              <w:rPr>
                <w:rFonts w:cs="Times New Roman"/>
                <w:lang w:eastAsia="bg-BG" w:bidi="bg-BG"/>
              </w:rPr>
              <w:t xml:space="preserve"> </w:t>
            </w:r>
            <w:r w:rsidRPr="009F6D1E">
              <w:rPr>
                <w:rFonts w:eastAsia="Calibri" w:cs="Times New Roman"/>
                <w:b/>
                <w:i/>
                <w:noProof/>
              </w:rPr>
              <w:t>Средносрочните</w:t>
            </w:r>
            <w:r w:rsidR="00933BD0" w:rsidRPr="009F6D1E">
              <w:rPr>
                <w:rFonts w:eastAsia="Calibri" w:cs="Times New Roman"/>
                <w:b/>
                <w:i/>
                <w:noProof/>
              </w:rPr>
              <w:t xml:space="preserve"> и дългосрочните</w:t>
            </w:r>
            <w:r w:rsidRPr="009F6D1E">
              <w:rPr>
                <w:rFonts w:eastAsia="Calibri" w:cs="Times New Roman"/>
                <w:b/>
                <w:i/>
                <w:noProof/>
              </w:rPr>
              <w:t xml:space="preserve"> цели</w:t>
            </w:r>
            <w:r w:rsidR="001B5D24" w:rsidRPr="009F6D1E">
              <w:rPr>
                <w:rFonts w:eastAsia="Calibri" w:cs="Times New Roman"/>
                <w:bCs/>
                <w:iCs/>
                <w:noProof/>
              </w:rPr>
              <w:t>, принос имат:</w:t>
            </w:r>
          </w:p>
          <w:p w14:paraId="6DD89B5F" w14:textId="77777777" w:rsidR="00933BD0" w:rsidRPr="009F6D1E" w:rsidRDefault="006F4F7F" w:rsidP="0084747F">
            <w:pPr>
              <w:spacing w:after="60" w:line="264" w:lineRule="auto"/>
              <w:jc w:val="both"/>
              <w:rPr>
                <w:rFonts w:cs="Times New Roman"/>
                <w:lang w:bidi="bg-BG"/>
              </w:rPr>
            </w:pPr>
            <w:r w:rsidRPr="009F6D1E">
              <w:rPr>
                <w:rFonts w:cs="Times New Roman"/>
                <w:i/>
                <w:iCs/>
              </w:rPr>
              <w:t>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 и</w:t>
            </w:r>
            <w:r w:rsidRPr="009F6D1E">
              <w:rPr>
                <w:rFonts w:cs="Times New Roman"/>
                <w:lang w:bidi="bg-BG"/>
              </w:rPr>
              <w:t xml:space="preserve"> потребностите и интервенциите към нея</w:t>
            </w:r>
            <w:r w:rsidR="00933BD0" w:rsidRPr="009F6D1E">
              <w:rPr>
                <w:rFonts w:cs="Times New Roman"/>
                <w:lang w:bidi="bg-BG"/>
              </w:rPr>
              <w:t xml:space="preserve"> като засилен принос има: </w:t>
            </w:r>
          </w:p>
          <w:p w14:paraId="29CD74F0" w14:textId="77777777" w:rsidR="00933BD0" w:rsidRPr="009F6D1E" w:rsidRDefault="00933BD0" w:rsidP="0084747F">
            <w:pPr>
              <w:spacing w:after="60" w:line="264" w:lineRule="auto"/>
              <w:jc w:val="both"/>
              <w:rPr>
                <w:rFonts w:cs="Times New Roman"/>
                <w:i/>
                <w:iCs/>
                <w:lang w:bidi="bg-BG"/>
              </w:rPr>
            </w:pPr>
            <w:r w:rsidRPr="009F6D1E">
              <w:rPr>
                <w:rFonts w:cs="Times New Roman"/>
                <w:i/>
                <w:iCs/>
                <w:lang w:bidi="bg-BG"/>
              </w:rPr>
              <w:t xml:space="preserve">Потребност П.4.1.Намаляване на емисиите на парникови газове от селското стопанство. „Инвестиции в земеделските стопанства насочени към опазване на компонентите на околната среда“ – член 73 и член 74. Интервенцията е насочена към прилагането на различни практики, с които може да бъде </w:t>
            </w:r>
            <w:r w:rsidRPr="009F6D1E">
              <w:rPr>
                <w:rFonts w:cs="Times New Roman"/>
                <w:i/>
                <w:iCs/>
                <w:lang w:bidi="bg-BG"/>
              </w:rPr>
              <w:lastRenderedPageBreak/>
              <w:t xml:space="preserve">постигнато </w:t>
            </w:r>
            <w:proofErr w:type="spellStart"/>
            <w:r w:rsidRPr="009F6D1E">
              <w:rPr>
                <w:rFonts w:cs="Times New Roman"/>
                <w:i/>
                <w:iCs/>
                <w:lang w:bidi="bg-BG"/>
              </w:rPr>
              <w:t>ограничаванеотделянето</w:t>
            </w:r>
            <w:proofErr w:type="spellEnd"/>
            <w:r w:rsidRPr="009F6D1E">
              <w:rPr>
                <w:rFonts w:cs="Times New Roman"/>
                <w:i/>
                <w:iCs/>
                <w:lang w:bidi="bg-BG"/>
              </w:rPr>
              <w:t xml:space="preserve"> на емисии на ПГ от почвите, както и за запазване на органичното вещество</w:t>
            </w:r>
          </w:p>
          <w:p w14:paraId="4A0BE48B" w14:textId="77777777" w:rsidR="00933BD0" w:rsidRPr="009F6D1E" w:rsidRDefault="003B560D" w:rsidP="0084747F">
            <w:pPr>
              <w:spacing w:after="60" w:line="264" w:lineRule="auto"/>
              <w:jc w:val="both"/>
              <w:rPr>
                <w:rFonts w:cs="Times New Roman"/>
                <w:lang w:bidi="bg-BG"/>
              </w:rPr>
            </w:pPr>
            <w:r w:rsidRPr="009F6D1E">
              <w:rPr>
                <w:rFonts w:cs="Times New Roman"/>
              </w:rPr>
              <w:t xml:space="preserve">Специфична цел №5: </w:t>
            </w:r>
            <w:r w:rsidR="00933BD0" w:rsidRPr="009F6D1E">
              <w:rPr>
                <w:rFonts w:eastAsia="Times New Roman" w:cs="Times New Roman"/>
                <w:i/>
                <w:iCs/>
                <w:lang w:eastAsia="bg-BG" w:bidi="bg-BG"/>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r w:rsidR="00933BD0" w:rsidRPr="009F6D1E">
              <w:rPr>
                <w:rFonts w:cs="Times New Roman"/>
                <w:i/>
                <w:iCs/>
                <w:lang w:eastAsia="bg-BG" w:bidi="bg-BG"/>
              </w:rPr>
              <w:t xml:space="preserve">  </w:t>
            </w:r>
            <w:r w:rsidR="00933BD0" w:rsidRPr="009F6D1E">
              <w:rPr>
                <w:rFonts w:cs="Times New Roman"/>
                <w:i/>
                <w:iCs/>
              </w:rPr>
              <w:t>и</w:t>
            </w:r>
            <w:r w:rsidR="00933BD0" w:rsidRPr="009F6D1E">
              <w:rPr>
                <w:rFonts w:cs="Times New Roman"/>
                <w:lang w:bidi="bg-BG"/>
              </w:rPr>
              <w:t xml:space="preserve"> потребностите и интервенциите към нея, като засилен принос има: </w:t>
            </w:r>
          </w:p>
          <w:p w14:paraId="454B7BAB" w14:textId="77777777" w:rsidR="003B560D" w:rsidRPr="009F6D1E" w:rsidRDefault="00933BD0" w:rsidP="0084747F">
            <w:pPr>
              <w:spacing w:after="60" w:line="264" w:lineRule="auto"/>
              <w:jc w:val="both"/>
              <w:rPr>
                <w:rFonts w:cs="Times New Roman"/>
                <w:i/>
                <w:iCs/>
              </w:rPr>
            </w:pPr>
            <w:r w:rsidRPr="009F6D1E">
              <w:rPr>
                <w:rFonts w:cs="Times New Roman"/>
                <w:i/>
                <w:iCs/>
                <w:lang w:bidi="bg-BG"/>
              </w:rPr>
              <w:t xml:space="preserve">Потребност </w:t>
            </w:r>
            <w:r w:rsidR="003B560D" w:rsidRPr="009F6D1E">
              <w:rPr>
                <w:rFonts w:cs="Times New Roman"/>
                <w:i/>
                <w:iCs/>
                <w:lang w:bidi="bg-BG"/>
              </w:rPr>
              <w:t>П.5.2. Подобряване качеството на почвите чрез продължаване на усилията за ограничаване на процесите на водна и ветрова ерозия</w:t>
            </w:r>
          </w:p>
          <w:p w14:paraId="7BD41A6C" w14:textId="77777777" w:rsidR="00E243CA" w:rsidRPr="009F6D1E" w:rsidRDefault="00933BD0" w:rsidP="0084747F">
            <w:pPr>
              <w:pStyle w:val="Other0"/>
              <w:spacing w:after="60" w:line="264" w:lineRule="auto"/>
              <w:jc w:val="both"/>
              <w:rPr>
                <w:i/>
                <w:iCs/>
                <w:lang w:eastAsia="bg-BG" w:bidi="bg-BG"/>
              </w:rPr>
            </w:pPr>
            <w:r w:rsidRPr="009F6D1E">
              <w:rPr>
                <w:i/>
                <w:iCs/>
                <w:lang w:bidi="bg-BG"/>
              </w:rPr>
              <w:t xml:space="preserve">Потребност </w:t>
            </w:r>
            <w:r w:rsidR="003B560D" w:rsidRPr="009F6D1E">
              <w:rPr>
                <w:i/>
                <w:iCs/>
                <w:lang w:bidi="bg-BG"/>
              </w:rPr>
              <w:t>П.5.4. Продължаване на поддържането на нисък азотен и фосфорен отпечатък в почвите</w:t>
            </w:r>
          </w:p>
          <w:p w14:paraId="13069022" w14:textId="77777777" w:rsidR="003B560D" w:rsidRPr="009F6D1E" w:rsidRDefault="00933BD0" w:rsidP="0084747F">
            <w:pPr>
              <w:spacing w:after="60" w:line="264" w:lineRule="auto"/>
              <w:jc w:val="both"/>
              <w:rPr>
                <w:rFonts w:cs="Times New Roman"/>
                <w:i/>
                <w:iCs/>
                <w:lang w:bidi="bg-BG"/>
              </w:rPr>
            </w:pPr>
            <w:r w:rsidRPr="009F6D1E">
              <w:rPr>
                <w:rFonts w:cs="Times New Roman"/>
                <w:i/>
                <w:iCs/>
                <w:lang w:bidi="bg-BG"/>
              </w:rPr>
              <w:t xml:space="preserve">Потребност </w:t>
            </w:r>
            <w:r w:rsidR="003B560D" w:rsidRPr="009F6D1E">
              <w:rPr>
                <w:rFonts w:cs="Times New Roman"/>
                <w:i/>
                <w:iCs/>
                <w:lang w:bidi="bg-BG"/>
              </w:rPr>
              <w:t>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p>
          <w:p w14:paraId="7DD4153B" w14:textId="77777777" w:rsidR="002E3829" w:rsidRPr="009F6D1E" w:rsidRDefault="00663A1D" w:rsidP="0084747F">
            <w:pPr>
              <w:widowControl w:val="0"/>
              <w:tabs>
                <w:tab w:val="left" w:pos="1080"/>
              </w:tabs>
              <w:spacing w:after="60" w:line="264" w:lineRule="auto"/>
              <w:jc w:val="both"/>
              <w:rPr>
                <w:rFonts w:cs="Times New Roman"/>
                <w:b/>
                <w:bCs/>
                <w:i/>
                <w:iCs/>
                <w:lang w:bidi="bg-BG"/>
              </w:rPr>
            </w:pPr>
            <w:r w:rsidRPr="009F6D1E">
              <w:rPr>
                <w:rFonts w:eastAsia="Times New Roman" w:cs="Times New Roman"/>
                <w:i/>
                <w:iCs/>
                <w:lang w:eastAsia="bg-BG" w:bidi="bg-BG"/>
              </w:rPr>
              <w:t>Специфична цел №6, Потребност</w:t>
            </w:r>
            <w:r w:rsidRPr="009F6D1E">
              <w:rPr>
                <w:rFonts w:cs="Times New Roman"/>
                <w:lang w:bidi="bg-BG"/>
              </w:rPr>
              <w:t xml:space="preserve"> </w:t>
            </w:r>
            <w:r w:rsidRPr="009F6D1E">
              <w:rPr>
                <w:rFonts w:eastAsia="Times New Roman" w:cs="Times New Roman"/>
                <w:i/>
                <w:iCs/>
                <w:lang w:eastAsia="bg-BG" w:bidi="bg-BG"/>
              </w:rPr>
              <w:t>П.6.5. Интервенция „Използване 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на хранителни вещества с поне 50%, като същевременно се </w:t>
            </w:r>
            <w:r w:rsidRPr="009F6D1E">
              <w:rPr>
                <w:rFonts w:eastAsia="Times New Roman" w:cs="Times New Roman"/>
                <w:lang w:eastAsia="bg-BG" w:bidi="bg-BG"/>
              </w:rPr>
              <w:lastRenderedPageBreak/>
              <w:t xml:space="preserve">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tc>
      </w:tr>
      <w:bookmarkEnd w:id="569"/>
    </w:tbl>
    <w:p w14:paraId="38E18419" w14:textId="77777777" w:rsidR="002E3829" w:rsidRPr="009F6D1E" w:rsidRDefault="002E3829" w:rsidP="0084747F">
      <w:pPr>
        <w:pStyle w:val="ListParagraph"/>
        <w:keepNext/>
        <w:keepLines/>
        <w:spacing w:after="60" w:line="264" w:lineRule="auto"/>
        <w:ind w:left="0"/>
        <w:jc w:val="both"/>
        <w:outlineLvl w:val="1"/>
        <w:rPr>
          <w:rFonts w:eastAsia="Times New Roman"/>
          <w:b/>
          <w:i/>
          <w:lang w:val="bg-BG"/>
        </w:rPr>
      </w:pPr>
    </w:p>
    <w:p w14:paraId="3E9594A4" w14:textId="77777777" w:rsidR="002E3829" w:rsidRPr="009F6D1E" w:rsidRDefault="002E3829" w:rsidP="0084747F">
      <w:pPr>
        <w:pStyle w:val="ListParagraph"/>
        <w:keepNext/>
        <w:keepLines/>
        <w:spacing w:after="60" w:line="264" w:lineRule="auto"/>
        <w:ind w:left="0"/>
        <w:jc w:val="both"/>
        <w:outlineLvl w:val="1"/>
        <w:rPr>
          <w:rFonts w:eastAsia="Times New Roman"/>
          <w:b/>
          <w:i/>
          <w:lang w:val="bg-BG"/>
        </w:rPr>
      </w:pPr>
    </w:p>
    <w:p w14:paraId="0B741E17" w14:textId="77777777" w:rsidR="008C436C" w:rsidRPr="009F6D1E" w:rsidRDefault="00471E9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72" w:name="_Toc115255032"/>
      <w:r w:rsidRPr="009F6D1E">
        <w:rPr>
          <w:rFonts w:eastAsia="Times New Roman"/>
          <w:b/>
          <w:i/>
          <w:lang w:val="bg-BG"/>
        </w:rPr>
        <w:t>Цели на опазване на околната среда на национално равнище</w:t>
      </w:r>
      <w:bookmarkEnd w:id="572"/>
    </w:p>
    <w:p w14:paraId="00B308EA" w14:textId="704ADC14" w:rsidR="006541CF" w:rsidRPr="009F6D1E" w:rsidRDefault="001471A8" w:rsidP="0084747F">
      <w:pPr>
        <w:pStyle w:val="Caption"/>
        <w:spacing w:after="60" w:line="264" w:lineRule="auto"/>
        <w:rPr>
          <w:rFonts w:eastAsia="Calibri"/>
          <w:i w:val="0"/>
        </w:rPr>
      </w:pPr>
      <w:bookmarkStart w:id="573" w:name="_Toc115255190"/>
      <w:r w:rsidRPr="009F6D1E">
        <w:t xml:space="preserve">Таблица </w:t>
      </w:r>
      <w:fldSimple w:instr=" SEQ Таблица \* ARABIC ">
        <w:r w:rsidR="00A43EF3">
          <w:rPr>
            <w:noProof/>
          </w:rPr>
          <w:t>39</w:t>
        </w:r>
      </w:fldSimple>
      <w:r w:rsidRPr="009F6D1E">
        <w:t xml:space="preserve">: </w:t>
      </w:r>
      <w:proofErr w:type="spellStart"/>
      <w:r w:rsidRPr="009F6D1E">
        <w:t>О</w:t>
      </w:r>
      <w:r w:rsidR="006541CF" w:rsidRPr="009F6D1E">
        <w:rPr>
          <w:rFonts w:eastAsia="Calibri"/>
        </w:rPr>
        <w:t>тносимост</w:t>
      </w:r>
      <w:proofErr w:type="spellEnd"/>
      <w:r w:rsidR="006541CF" w:rsidRPr="009F6D1E">
        <w:rPr>
          <w:rFonts w:eastAsia="Calibri"/>
        </w:rPr>
        <w:t xml:space="preserve"> и степен на съобразяване на целите по опазване на околната среда на национално равнище</w:t>
      </w:r>
      <w:bookmarkEnd w:id="573"/>
    </w:p>
    <w:tbl>
      <w:tblPr>
        <w:tblStyle w:val="TableGrid"/>
        <w:tblW w:w="0" w:type="auto"/>
        <w:tblLook w:val="04A0" w:firstRow="1" w:lastRow="0" w:firstColumn="1" w:lastColumn="0" w:noHBand="0" w:noVBand="1"/>
      </w:tblPr>
      <w:tblGrid>
        <w:gridCol w:w="7139"/>
        <w:gridCol w:w="7139"/>
      </w:tblGrid>
      <w:tr w:rsidR="006541CF" w:rsidRPr="009F6D1E" w14:paraId="76D9B263" w14:textId="77777777" w:rsidTr="001471A8">
        <w:trPr>
          <w:tblHeader/>
        </w:trPr>
        <w:tc>
          <w:tcPr>
            <w:tcW w:w="7139" w:type="dxa"/>
            <w:shd w:val="clear" w:color="auto" w:fill="D9D9D9" w:themeFill="background1" w:themeFillShade="D9"/>
            <w:vAlign w:val="center"/>
          </w:tcPr>
          <w:p w14:paraId="6F69A118" w14:textId="77777777" w:rsidR="006541CF" w:rsidRPr="009F6D1E" w:rsidRDefault="006541CF" w:rsidP="0084747F">
            <w:pPr>
              <w:spacing w:after="60" w:line="264" w:lineRule="auto"/>
              <w:contextualSpacing/>
              <w:jc w:val="center"/>
              <w:rPr>
                <w:rFonts w:eastAsia="Calibri" w:cs="Times New Roman"/>
                <w:b/>
                <w:bCs/>
              </w:rPr>
            </w:pPr>
            <w:bookmarkStart w:id="574" w:name="_Hlk97023203"/>
            <w:r w:rsidRPr="009F6D1E">
              <w:rPr>
                <w:rFonts w:eastAsia="Calibri" w:cs="Times New Roman"/>
                <w:b/>
                <w:bCs/>
              </w:rPr>
              <w:t xml:space="preserve">Стратегически документ и цели по опазване на околната среда на национално равнище, имащи отношение към </w:t>
            </w:r>
            <w:r w:rsidR="00CD4045" w:rsidRPr="009F6D1E">
              <w:rPr>
                <w:rFonts w:eastAsia="Calibri" w:cs="Times New Roman"/>
                <w:b/>
                <w:bCs/>
              </w:rPr>
              <w:t>СПРЗСР</w:t>
            </w:r>
          </w:p>
        </w:tc>
        <w:tc>
          <w:tcPr>
            <w:tcW w:w="7139" w:type="dxa"/>
            <w:shd w:val="clear" w:color="auto" w:fill="D9D9D9" w:themeFill="background1" w:themeFillShade="D9"/>
            <w:vAlign w:val="center"/>
          </w:tcPr>
          <w:p w14:paraId="4255F661" w14:textId="77777777" w:rsidR="006541CF" w:rsidRPr="009F6D1E" w:rsidRDefault="006541CF" w:rsidP="0084747F">
            <w:pPr>
              <w:spacing w:after="60" w:line="264" w:lineRule="auto"/>
              <w:contextualSpacing/>
              <w:jc w:val="center"/>
              <w:rPr>
                <w:rFonts w:eastAsia="Calibri" w:cs="Times New Roman"/>
                <w:b/>
                <w:bCs/>
              </w:rPr>
            </w:pPr>
            <w:r w:rsidRPr="009F6D1E">
              <w:rPr>
                <w:rFonts w:eastAsia="Calibri" w:cs="Times New Roman"/>
                <w:b/>
                <w:bCs/>
              </w:rPr>
              <w:t xml:space="preserve">Начин, по който целите и съответните екологични аспекти са взети предвид при изготвянето на </w:t>
            </w:r>
            <w:r w:rsidR="00CD4045" w:rsidRPr="009F6D1E">
              <w:rPr>
                <w:rFonts w:eastAsia="Calibri" w:cs="Times New Roman"/>
                <w:b/>
                <w:bCs/>
              </w:rPr>
              <w:t>СПРЗСР</w:t>
            </w:r>
            <w:r w:rsidRPr="009F6D1E">
              <w:rPr>
                <w:rFonts w:eastAsia="Calibri" w:cs="Times New Roman"/>
                <w:b/>
                <w:bCs/>
              </w:rPr>
              <w:t xml:space="preserve"> 2023-2027 г.</w:t>
            </w:r>
          </w:p>
        </w:tc>
      </w:tr>
      <w:tr w:rsidR="005723A9" w:rsidRPr="009F6D1E" w14:paraId="5793F8A5" w14:textId="77777777" w:rsidTr="00981F7B">
        <w:tc>
          <w:tcPr>
            <w:tcW w:w="7139" w:type="dxa"/>
          </w:tcPr>
          <w:p w14:paraId="189D874A" w14:textId="77777777" w:rsidR="005723A9" w:rsidRPr="009F6D1E" w:rsidRDefault="005723A9" w:rsidP="0084747F">
            <w:pPr>
              <w:spacing w:after="60" w:line="264" w:lineRule="auto"/>
              <w:jc w:val="both"/>
              <w:rPr>
                <w:rFonts w:cs="Times New Roman"/>
                <w:b/>
                <w:bCs/>
                <w:i/>
                <w:iCs/>
              </w:rPr>
            </w:pPr>
            <w:r w:rsidRPr="009F6D1E">
              <w:rPr>
                <w:rFonts w:cs="Times New Roman"/>
                <w:b/>
                <w:bCs/>
                <w:i/>
                <w:iCs/>
              </w:rPr>
              <w:t>Националната рамка за приоритетни действия за Натура 2000 за периода 2021 – 2027 г. (Приета от ЕК – февруари 2022 г.)</w:t>
            </w:r>
          </w:p>
          <w:p w14:paraId="6E5BD728" w14:textId="77777777" w:rsidR="005723A9" w:rsidRPr="009F6D1E" w:rsidRDefault="005723A9" w:rsidP="0084747F">
            <w:pPr>
              <w:spacing w:after="60" w:line="264" w:lineRule="auto"/>
              <w:jc w:val="both"/>
              <w:rPr>
                <w:rFonts w:cs="Times New Roman"/>
              </w:rPr>
            </w:pPr>
            <w:r w:rsidRPr="009F6D1E">
              <w:rPr>
                <w:rFonts w:cs="Times New Roman"/>
              </w:rPr>
              <w:t>Очаквани резултати:</w:t>
            </w:r>
          </w:p>
          <w:p w14:paraId="5459F8FD" w14:textId="77777777" w:rsidR="005723A9" w:rsidRPr="009F6D1E" w:rsidRDefault="005723A9" w:rsidP="0084747F">
            <w:pPr>
              <w:spacing w:after="60" w:line="264" w:lineRule="auto"/>
              <w:jc w:val="both"/>
              <w:rPr>
                <w:rFonts w:cs="Times New Roman"/>
              </w:rPr>
            </w:pPr>
            <w:r w:rsidRPr="009F6D1E">
              <w:rPr>
                <w:rFonts w:cs="Times New Roman"/>
              </w:rPr>
              <w:t>• Разработени мерки за поддържане и подобряване на природозащитния статус на видовете и природните местообитания, подлежащи на опазване в Натура 2000;</w:t>
            </w:r>
          </w:p>
          <w:p w14:paraId="1AB1EBA3" w14:textId="77777777" w:rsidR="005723A9" w:rsidRPr="009F6D1E" w:rsidRDefault="005723A9" w:rsidP="0084747F">
            <w:pPr>
              <w:spacing w:after="60" w:line="264" w:lineRule="auto"/>
              <w:jc w:val="both"/>
              <w:rPr>
                <w:rFonts w:cs="Times New Roman"/>
              </w:rPr>
            </w:pPr>
            <w:r w:rsidRPr="009F6D1E">
              <w:rPr>
                <w:rFonts w:cs="Times New Roman"/>
              </w:rPr>
              <w:t>• Оценка на размера на финансовите средства, необходими за изпълнение на разработените мерки, както и източника за тяхното финансиране;</w:t>
            </w:r>
          </w:p>
          <w:p w14:paraId="36A98B01" w14:textId="77777777" w:rsidR="005723A9" w:rsidRPr="009F6D1E" w:rsidRDefault="005723A9" w:rsidP="0084747F">
            <w:pPr>
              <w:spacing w:after="60" w:line="264" w:lineRule="auto"/>
              <w:jc w:val="both"/>
              <w:rPr>
                <w:rFonts w:cs="Times New Roman"/>
              </w:rPr>
            </w:pPr>
            <w:r w:rsidRPr="009F6D1E">
              <w:rPr>
                <w:rFonts w:cs="Times New Roman"/>
              </w:rPr>
              <w:t>• Разработена система за наблюдение, отчитане и актуализиране на рамката за периода 2021 – 2027 г.;</w:t>
            </w:r>
          </w:p>
          <w:p w14:paraId="21468772" w14:textId="77777777" w:rsidR="005723A9" w:rsidRPr="009F6D1E" w:rsidRDefault="005723A9" w:rsidP="0084747F">
            <w:pPr>
              <w:spacing w:after="60" w:line="264" w:lineRule="auto"/>
              <w:jc w:val="both"/>
              <w:rPr>
                <w:rFonts w:cs="Times New Roman"/>
              </w:rPr>
            </w:pPr>
            <w:r w:rsidRPr="009F6D1E">
              <w:rPr>
                <w:rFonts w:cs="Times New Roman"/>
              </w:rPr>
              <w:t>• Завършен формат на рамката за периода 2021 - 2027;</w:t>
            </w:r>
          </w:p>
          <w:p w14:paraId="29C6F157" w14:textId="77777777" w:rsidR="005723A9" w:rsidRPr="009F6D1E" w:rsidRDefault="005723A9" w:rsidP="0084747F">
            <w:pPr>
              <w:spacing w:after="60" w:line="264" w:lineRule="auto"/>
              <w:jc w:val="both"/>
              <w:rPr>
                <w:rFonts w:cs="Times New Roman"/>
              </w:rPr>
            </w:pPr>
            <w:r w:rsidRPr="009F6D1E">
              <w:rPr>
                <w:rFonts w:cs="Times New Roman"/>
              </w:rPr>
              <w:t>• Осъществен процес за обсъждане и привеждане в съответствие на рамката за периода 2021 – 2027 г.;</w:t>
            </w:r>
          </w:p>
          <w:p w14:paraId="502550AD" w14:textId="77777777" w:rsidR="005723A9" w:rsidRPr="009F6D1E" w:rsidRDefault="005723A9" w:rsidP="0084747F">
            <w:pPr>
              <w:spacing w:after="60" w:line="264" w:lineRule="auto"/>
              <w:jc w:val="both"/>
              <w:rPr>
                <w:rFonts w:cs="Times New Roman"/>
                <w:b/>
                <w:bCs/>
                <w:i/>
                <w:iCs/>
              </w:rPr>
            </w:pPr>
            <w:r w:rsidRPr="009F6D1E">
              <w:rPr>
                <w:rFonts w:cs="Times New Roman"/>
              </w:rPr>
              <w:t>• Осигурена съгласуваност с приоритетите на фондовете на ЕС и други финансови инструменти.</w:t>
            </w:r>
          </w:p>
        </w:tc>
        <w:tc>
          <w:tcPr>
            <w:tcW w:w="7139" w:type="dxa"/>
          </w:tcPr>
          <w:p w14:paraId="4294CDEC" w14:textId="77777777" w:rsidR="00AE18F8" w:rsidRPr="009F6D1E" w:rsidRDefault="00AE18F8" w:rsidP="0084747F">
            <w:pPr>
              <w:spacing w:after="60" w:line="264" w:lineRule="auto"/>
              <w:jc w:val="both"/>
              <w:rPr>
                <w:rFonts w:eastAsia="Times New Roman" w:cs="Times New Roman"/>
              </w:rPr>
            </w:pPr>
            <w:r w:rsidRPr="009F6D1E">
              <w:rPr>
                <w:rFonts w:eastAsia="Times New Roman" w:cs="Times New Roman"/>
              </w:rPr>
              <w:t>Пряк принос към НРПД имат</w:t>
            </w:r>
          </w:p>
          <w:p w14:paraId="61AC9EBD" w14:textId="5068C4C0" w:rsidR="00AE18F8" w:rsidRPr="009F6D1E" w:rsidRDefault="006E1F13" w:rsidP="0084747F">
            <w:pPr>
              <w:spacing w:after="60" w:line="264" w:lineRule="auto"/>
              <w:jc w:val="both"/>
              <w:rPr>
                <w:rFonts w:eastAsia="Times New Roman" w:cs="Times New Roman"/>
              </w:rPr>
            </w:pPr>
            <w:r w:rsidRPr="009F6D1E">
              <w:rPr>
                <w:rFonts w:eastAsia="Times New Roman" w:cs="Times New Roman"/>
                <w:i/>
                <w:iCs/>
              </w:rPr>
              <w:t xml:space="preserve">Специфична цел </w:t>
            </w:r>
            <w:r w:rsidR="006C3C72" w:rsidRPr="009F6D1E">
              <w:rPr>
                <w:rFonts w:eastAsia="Times New Roman" w:cs="Times New Roman"/>
                <w:i/>
                <w:iCs/>
              </w:rPr>
              <w:t>№</w:t>
            </w:r>
            <w:r w:rsidRPr="009F6D1E">
              <w:rPr>
                <w:rFonts w:eastAsia="Times New Roman" w:cs="Times New Roman"/>
                <w:i/>
                <w:iCs/>
              </w:rPr>
              <w:t>2</w:t>
            </w:r>
            <w:r w:rsidR="006C3C72" w:rsidRPr="009F6D1E">
              <w:rPr>
                <w:rFonts w:eastAsia="Times New Roman" w:cs="Times New Roman"/>
                <w:i/>
                <w:iCs/>
              </w:rPr>
              <w:t>: Засилване на пазарната ориентация и повишаване на конкурент</w:t>
            </w:r>
            <w:r w:rsidR="00F31AED">
              <w:rPr>
                <w:rFonts w:eastAsia="Times New Roman" w:cs="Times New Roman"/>
                <w:i/>
                <w:iCs/>
              </w:rPr>
              <w:t>осп</w:t>
            </w:r>
            <w:r w:rsidR="006C3C72" w:rsidRPr="009F6D1E">
              <w:rPr>
                <w:rFonts w:eastAsia="Times New Roman" w:cs="Times New Roman"/>
                <w:i/>
                <w:iCs/>
              </w:rPr>
              <w:t xml:space="preserve">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 </w:t>
            </w:r>
            <w:r w:rsidR="00AE18F8" w:rsidRPr="009F6D1E">
              <w:rPr>
                <w:rFonts w:eastAsia="Times New Roman" w:cs="Times New Roman"/>
              </w:rPr>
              <w:t xml:space="preserve">чрез </w:t>
            </w:r>
            <w:r w:rsidRPr="009F6D1E">
              <w:rPr>
                <w:rFonts w:eastAsia="Times New Roman" w:cs="Times New Roman"/>
                <w:i/>
                <w:iCs/>
              </w:rPr>
              <w:t>Инвестиции в земеделските стопанства</w:t>
            </w:r>
            <w:r w:rsidR="00AE18F8" w:rsidRPr="009F6D1E">
              <w:rPr>
                <w:rFonts w:eastAsia="Times New Roman" w:cs="Times New Roman"/>
              </w:rPr>
              <w:t>.</w:t>
            </w:r>
          </w:p>
          <w:p w14:paraId="3652A7DB" w14:textId="77777777" w:rsidR="006E1F13" w:rsidRPr="009F6D1E" w:rsidRDefault="00AE18F8" w:rsidP="0084747F">
            <w:pPr>
              <w:spacing w:after="60" w:line="264" w:lineRule="auto"/>
              <w:contextualSpacing/>
              <w:jc w:val="both"/>
              <w:rPr>
                <w:rFonts w:eastAsia="Times New Roman" w:cs="Times New Roman"/>
                <w:i/>
                <w:iCs/>
              </w:rPr>
            </w:pPr>
            <w:r w:rsidRPr="009F6D1E">
              <w:rPr>
                <w:rFonts w:eastAsia="Times New Roman" w:cs="Times New Roman"/>
                <w:i/>
                <w:iCs/>
              </w:rPr>
              <w:t>Специфична ц</w:t>
            </w:r>
            <w:r w:rsidR="006E1F13" w:rsidRPr="009F6D1E">
              <w:rPr>
                <w:rFonts w:eastAsia="Times New Roman" w:cs="Times New Roman"/>
                <w:i/>
                <w:iCs/>
              </w:rPr>
              <w:t xml:space="preserve">ел </w:t>
            </w:r>
            <w:r w:rsidRPr="009F6D1E">
              <w:rPr>
                <w:rFonts w:eastAsia="Times New Roman" w:cs="Times New Roman"/>
                <w:i/>
                <w:iCs/>
              </w:rPr>
              <w:t>№</w:t>
            </w:r>
            <w:r w:rsidR="006E1F13" w:rsidRPr="009F6D1E">
              <w:rPr>
                <w:rFonts w:eastAsia="Times New Roman" w:cs="Times New Roman"/>
                <w:i/>
                <w:iCs/>
              </w:rPr>
              <w:t xml:space="preserve">6: </w:t>
            </w:r>
            <w:r w:rsidR="006C3C72" w:rsidRPr="009F6D1E">
              <w:rPr>
                <w:rFonts w:eastAsia="Times New Roman" w:cs="Times New Roman"/>
                <w:i/>
                <w:iCs/>
              </w:rPr>
              <w:t>Специфична цел № 6: 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r w:rsidRPr="009F6D1E">
              <w:rPr>
                <w:rFonts w:eastAsia="Times New Roman" w:cs="Times New Roman"/>
                <w:i/>
                <w:iCs/>
              </w:rPr>
              <w:t xml:space="preserve"> </w:t>
            </w:r>
            <w:r w:rsidR="006C3C72" w:rsidRPr="009F6D1E">
              <w:rPr>
                <w:rFonts w:eastAsia="Times New Roman" w:cs="Times New Roman"/>
                <w:i/>
                <w:iCs/>
              </w:rPr>
              <w:t xml:space="preserve">и </w:t>
            </w:r>
            <w:r w:rsidRPr="009F6D1E">
              <w:rPr>
                <w:rFonts w:eastAsia="Times New Roman" w:cs="Times New Roman"/>
              </w:rPr>
              <w:t>и</w:t>
            </w:r>
            <w:r w:rsidR="006E1F13" w:rsidRPr="009F6D1E">
              <w:rPr>
                <w:rFonts w:eastAsia="Times New Roman" w:cs="Times New Roman"/>
              </w:rPr>
              <w:t>нтервенци</w:t>
            </w:r>
            <w:r w:rsidR="006C3C72" w:rsidRPr="009F6D1E">
              <w:rPr>
                <w:rFonts w:eastAsia="Times New Roman" w:cs="Times New Roman"/>
              </w:rPr>
              <w:t>ите към нея</w:t>
            </w:r>
            <w:r w:rsidR="006E1F13" w:rsidRPr="009F6D1E">
              <w:rPr>
                <w:rFonts w:eastAsia="Times New Roman" w:cs="Times New Roman"/>
              </w:rPr>
              <w:t>.</w:t>
            </w:r>
          </w:p>
          <w:p w14:paraId="1BFE4551"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Интервенции, свързани с опазване на Натура 2000 и биоразнообразието:</w:t>
            </w:r>
          </w:p>
          <w:p w14:paraId="04B5F637"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xml:space="preserve">Управлението на българските гори е ключов фактор за опазване на биологичното и </w:t>
            </w:r>
            <w:proofErr w:type="spellStart"/>
            <w:r w:rsidRPr="009F6D1E">
              <w:rPr>
                <w:rFonts w:eastAsia="Times New Roman" w:cs="Times New Roman"/>
              </w:rPr>
              <w:t>ландшафтно</w:t>
            </w:r>
            <w:proofErr w:type="spellEnd"/>
            <w:r w:rsidRPr="009F6D1E">
              <w:rPr>
                <w:rFonts w:eastAsia="Times New Roman" w:cs="Times New Roman"/>
              </w:rPr>
              <w:t xml:space="preserve"> разнообразие у нас. Горските територии и горите от на България съхраняват: </w:t>
            </w:r>
          </w:p>
          <w:p w14:paraId="53B361E3"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над 80 % от защитените видове растения;</w:t>
            </w:r>
          </w:p>
          <w:p w14:paraId="23BF2D5D"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lastRenderedPageBreak/>
              <w:t>- над 60 % от застрашените от изчезване видове животни;</w:t>
            </w:r>
          </w:p>
          <w:p w14:paraId="783C11D6"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над 60% от приоритетните за опазване видове местообитания;</w:t>
            </w:r>
          </w:p>
          <w:p w14:paraId="338542C4"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xml:space="preserve">- осем от дванадесетте </w:t>
            </w:r>
            <w:proofErr w:type="spellStart"/>
            <w:r w:rsidRPr="009F6D1E">
              <w:rPr>
                <w:rFonts w:eastAsia="Times New Roman" w:cs="Times New Roman"/>
              </w:rPr>
              <w:t>ландшафтни</w:t>
            </w:r>
            <w:proofErr w:type="spellEnd"/>
            <w:r w:rsidRPr="009F6D1E">
              <w:rPr>
                <w:rFonts w:eastAsia="Times New Roman" w:cs="Times New Roman"/>
              </w:rPr>
              <w:t xml:space="preserve"> комплекса определени в националната стратегия за опазване на биологичното разнообразие като уникални и представителни за българското биологично разнообразие;</w:t>
            </w:r>
          </w:p>
          <w:p w14:paraId="1A5F3525"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популациите на 43 световно застрашени вида;</w:t>
            </w:r>
          </w:p>
          <w:p w14:paraId="51867B0C"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xml:space="preserve">СП ще подкрепя мерки само за поддържане и предотвратяване на </w:t>
            </w:r>
            <w:proofErr w:type="spellStart"/>
            <w:r w:rsidRPr="009F6D1E">
              <w:rPr>
                <w:rFonts w:eastAsia="Times New Roman" w:cs="Times New Roman"/>
              </w:rPr>
              <w:t>деградационните</w:t>
            </w:r>
            <w:proofErr w:type="spellEnd"/>
            <w:r w:rsidRPr="009F6D1E">
              <w:rPr>
                <w:rFonts w:eastAsia="Times New Roman" w:cs="Times New Roman"/>
              </w:rPr>
              <w:t xml:space="preserve"> процеси, извън земите изключителна държавна собственост, както и мерки за подобряване на местообитанията и птици в земеделските земи, попадащи в защитените зони и мерки за подобряване на природозащитния статус на горските природни местообитания чрез въвеждане на лесовъдни практики за устойчиво управление на горските местообитания.</w:t>
            </w:r>
          </w:p>
          <w:p w14:paraId="2F2B5473"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По отношение на мерки в горски територии, СП предвижда подпомагане за подобряване на структурата и функциите на горите за територии, вкл. и в мрежата Натура 2000, с изключение на земите изключителна държавна собственост.</w:t>
            </w:r>
          </w:p>
          <w:p w14:paraId="2C53987E"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 xml:space="preserve">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w:t>
            </w:r>
            <w:r w:rsidRPr="009F6D1E">
              <w:rPr>
                <w:rFonts w:eastAsia="Times New Roman" w:cs="Times New Roman"/>
              </w:rPr>
              <w:lastRenderedPageBreak/>
              <w:t>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СП.</w:t>
            </w:r>
          </w:p>
          <w:p w14:paraId="1E0DF603" w14:textId="77777777" w:rsidR="00CD5345" w:rsidRPr="009F6D1E" w:rsidRDefault="00CD5345" w:rsidP="0084747F">
            <w:pPr>
              <w:spacing w:after="60" w:line="264" w:lineRule="auto"/>
              <w:jc w:val="both"/>
              <w:rPr>
                <w:rFonts w:eastAsia="Times New Roman" w:cs="Times New Roman"/>
              </w:rPr>
            </w:pPr>
            <w:r w:rsidRPr="009F6D1E">
              <w:rPr>
                <w:rFonts w:eastAsia="Times New Roman" w:cs="Times New Roman"/>
              </w:rPr>
              <w:t>В СП е предвидено предоставяне на компенсаторни плащания за земеделски площи в Натура 2000 при издадени заповеди за защитени зони с разписани конкретни забрани/режими/ ограничения за земеделски дейности.</w:t>
            </w:r>
          </w:p>
          <w:p w14:paraId="18A39B92" w14:textId="77777777" w:rsidR="006E1F13" w:rsidRPr="009F6D1E" w:rsidRDefault="006E1F13" w:rsidP="0084747F">
            <w:pPr>
              <w:spacing w:after="60" w:line="264" w:lineRule="auto"/>
              <w:contextualSpacing/>
              <w:jc w:val="both"/>
              <w:rPr>
                <w:rFonts w:eastAsia="Calibri" w:cs="Times New Roman"/>
                <w:i/>
                <w:iCs/>
              </w:rPr>
            </w:pPr>
            <w:r w:rsidRPr="009F6D1E">
              <w:rPr>
                <w:rFonts w:eastAsia="Calibri" w:cs="Times New Roman"/>
              </w:rPr>
              <w:t>Косвен принос има</w:t>
            </w:r>
            <w:r w:rsidRPr="009F6D1E">
              <w:rPr>
                <w:rFonts w:eastAsia="Calibri" w:cs="Times New Roman"/>
                <w:i/>
                <w:iCs/>
              </w:rPr>
              <w:t xml:space="preserve"> </w:t>
            </w:r>
            <w:r w:rsidR="00AE18F8" w:rsidRPr="009F6D1E">
              <w:rPr>
                <w:rFonts w:eastAsia="Calibri" w:cs="Times New Roman"/>
                <w:i/>
                <w:iCs/>
              </w:rPr>
              <w:t xml:space="preserve">Специфична цел </w:t>
            </w:r>
            <w:r w:rsidRPr="009F6D1E">
              <w:rPr>
                <w:rFonts w:eastAsia="Calibri" w:cs="Times New Roman"/>
                <w:i/>
                <w:iCs/>
              </w:rPr>
              <w:t xml:space="preserve">4: </w:t>
            </w:r>
            <w:r w:rsidR="0032032E" w:rsidRPr="009F6D1E">
              <w:rPr>
                <w:rFonts w:eastAsia="Calibri" w:cs="Times New Roman"/>
                <w:i/>
                <w:iCs/>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tc>
      </w:tr>
      <w:tr w:rsidR="002845D5" w:rsidRPr="009F6D1E" w14:paraId="422D9831" w14:textId="77777777" w:rsidTr="00981F7B">
        <w:tc>
          <w:tcPr>
            <w:tcW w:w="7139" w:type="dxa"/>
          </w:tcPr>
          <w:p w14:paraId="62B6AC27" w14:textId="77777777" w:rsidR="002845D5" w:rsidRPr="009F6D1E" w:rsidRDefault="002845D5" w:rsidP="0084747F">
            <w:pPr>
              <w:spacing w:after="60" w:line="264" w:lineRule="auto"/>
              <w:jc w:val="both"/>
              <w:rPr>
                <w:rFonts w:cs="Times New Roman"/>
                <w:b/>
                <w:bCs/>
                <w:i/>
                <w:iCs/>
              </w:rPr>
            </w:pPr>
            <w:r w:rsidRPr="009F6D1E">
              <w:rPr>
                <w:rFonts w:cs="Times New Roman"/>
                <w:b/>
                <w:bCs/>
                <w:i/>
                <w:iCs/>
              </w:rPr>
              <w:lastRenderedPageBreak/>
              <w:t>Стратегически план за развитие на горския сектор (2014-2023)</w:t>
            </w:r>
          </w:p>
          <w:p w14:paraId="14F748AF" w14:textId="77777777" w:rsidR="002845D5" w:rsidRPr="009F6D1E" w:rsidRDefault="002845D5" w:rsidP="0084747F">
            <w:pPr>
              <w:widowControl w:val="0"/>
              <w:spacing w:after="60" w:line="264" w:lineRule="auto"/>
              <w:jc w:val="both"/>
              <w:rPr>
                <w:rFonts w:cs="Times New Roman"/>
              </w:rPr>
            </w:pPr>
            <w:r w:rsidRPr="009F6D1E">
              <w:rPr>
                <w:rFonts w:cs="Times New Roman"/>
                <w:b/>
                <w:bCs/>
                <w:u w:val="single"/>
              </w:rPr>
              <w:t>Мисия</w:t>
            </w:r>
            <w:r w:rsidRPr="009F6D1E">
              <w:rPr>
                <w:rFonts w:cs="Times New Roman"/>
                <w:b/>
                <w:bCs/>
                <w:i/>
                <w:iCs/>
                <w:u w:val="single"/>
              </w:rPr>
              <w:t>:</w:t>
            </w:r>
            <w:r w:rsidR="00C24C51" w:rsidRPr="009F6D1E">
              <w:rPr>
                <w:rFonts w:cs="Times New Roman"/>
                <w:b/>
                <w:bCs/>
                <w:i/>
                <w:iCs/>
                <w:u w:val="single"/>
              </w:rPr>
              <w:t xml:space="preserve"> </w:t>
            </w:r>
            <w:r w:rsidRPr="009F6D1E">
              <w:rPr>
                <w:rFonts w:cs="Times New Roman"/>
              </w:rPr>
              <w:t>Защита на горите и горските ресурси, природосъобразно развитие, управление по устойчив начин в рамките на екосистемната цялост и предоставяне на многостранни ползи на обществото.</w:t>
            </w:r>
          </w:p>
          <w:p w14:paraId="6DAC265B" w14:textId="77777777" w:rsidR="002845D5" w:rsidRPr="009F6D1E" w:rsidRDefault="002845D5" w:rsidP="0084747F">
            <w:pPr>
              <w:spacing w:after="60" w:line="264" w:lineRule="auto"/>
              <w:contextualSpacing/>
              <w:jc w:val="both"/>
              <w:rPr>
                <w:rFonts w:eastAsia="Calibri" w:cs="Times New Roman"/>
                <w:b/>
                <w:bCs/>
                <w:i/>
                <w:iCs/>
              </w:rPr>
            </w:pPr>
          </w:p>
        </w:tc>
        <w:tc>
          <w:tcPr>
            <w:tcW w:w="7139" w:type="dxa"/>
          </w:tcPr>
          <w:p w14:paraId="00486786" w14:textId="77777777" w:rsidR="002845D5" w:rsidRPr="009F6D1E" w:rsidRDefault="00CD4045" w:rsidP="0084747F">
            <w:pPr>
              <w:widowControl w:val="0"/>
              <w:spacing w:after="60" w:line="264" w:lineRule="auto"/>
              <w:jc w:val="both"/>
              <w:rPr>
                <w:rFonts w:eastAsia="Times New Roman" w:cs="Times New Roman"/>
                <w:lang w:eastAsia="bg-BG" w:bidi="bg-BG"/>
              </w:rPr>
            </w:pPr>
            <w:r w:rsidRPr="009F6D1E">
              <w:rPr>
                <w:rFonts w:eastAsia="Times New Roman" w:cs="Times New Roman"/>
                <w:lang w:eastAsia="bg-BG" w:bidi="bg-BG"/>
              </w:rPr>
              <w:t>СПРЗСР</w:t>
            </w:r>
            <w:r w:rsidR="002845D5" w:rsidRPr="009F6D1E">
              <w:rPr>
                <w:rFonts w:eastAsia="Times New Roman" w:cs="Times New Roman"/>
                <w:lang w:eastAsia="bg-BG" w:bidi="bg-BG"/>
              </w:rPr>
              <w:t xml:space="preserve"> ще има пряк принос към  </w:t>
            </w:r>
            <w:r w:rsidR="00C24C51" w:rsidRPr="009F6D1E">
              <w:rPr>
                <w:rFonts w:eastAsia="Times New Roman" w:cs="Times New Roman"/>
                <w:lang w:eastAsia="bg-BG" w:bidi="bg-BG"/>
              </w:rPr>
              <w:t>Стратегическия план</w:t>
            </w:r>
            <w:r w:rsidR="002845D5" w:rsidRPr="009F6D1E">
              <w:rPr>
                <w:rFonts w:eastAsia="Times New Roman" w:cs="Times New Roman"/>
                <w:lang w:eastAsia="bg-BG" w:bidi="bg-BG"/>
              </w:rPr>
              <w:t xml:space="preserve"> чрез:</w:t>
            </w:r>
          </w:p>
          <w:p w14:paraId="74B839E5" w14:textId="77777777" w:rsidR="002845D5" w:rsidRPr="009F6D1E" w:rsidRDefault="0032032E" w:rsidP="0084747F">
            <w:pPr>
              <w:spacing w:after="60" w:line="264" w:lineRule="auto"/>
              <w:jc w:val="both"/>
              <w:rPr>
                <w:rFonts w:eastAsia="Calibri" w:cs="Times New Roman"/>
                <w:lang w:bidi="bg-BG"/>
              </w:rPr>
            </w:pPr>
            <w:r w:rsidRPr="009F6D1E">
              <w:rPr>
                <w:rFonts w:eastAsia="Calibri" w:cs="Times New Roman"/>
                <w:i/>
                <w:iCs/>
                <w:lang w:bidi="bg-BG"/>
              </w:rPr>
              <w:t xml:space="preserve">Прилагане на Еко схема за поддържане и подобряване на биоразнообразието в горски екосистеми (по чл. 31 от Регламент (ЕС) 2021/2115) </w:t>
            </w:r>
            <w:r w:rsidR="002845D5" w:rsidRPr="009F6D1E">
              <w:rPr>
                <w:rFonts w:eastAsia="Calibri" w:cs="Times New Roman"/>
                <w:lang w:bidi="bg-BG"/>
              </w:rPr>
              <w:t>към</w:t>
            </w:r>
            <w:r w:rsidR="002845D5" w:rsidRPr="009F6D1E">
              <w:rPr>
                <w:rFonts w:eastAsia="Times New Roman" w:cs="Times New Roman"/>
                <w:b/>
                <w:lang w:eastAsia="en-GB" w:bidi="bg-BG"/>
              </w:rPr>
              <w:t xml:space="preserve"> </w:t>
            </w:r>
            <w:r w:rsidR="002845D5" w:rsidRPr="009F6D1E">
              <w:rPr>
                <w:rFonts w:eastAsia="Times New Roman" w:cs="Times New Roman"/>
                <w:i/>
                <w:lang w:eastAsia="bg-BG" w:bidi="bg-BG"/>
              </w:rPr>
              <w:t xml:space="preserve">Потребност </w:t>
            </w:r>
            <w:r w:rsidRPr="009F6D1E">
              <w:rPr>
                <w:rFonts w:eastAsia="Times New Roman" w:cs="Times New Roman"/>
                <w:i/>
                <w:lang w:eastAsia="bg-BG" w:bidi="bg-BG"/>
              </w:rPr>
              <w:t>П.6.9.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w:t>
            </w:r>
            <w:r w:rsidR="002845D5" w:rsidRPr="009F6D1E">
              <w:rPr>
                <w:rFonts w:eastAsia="Times New Roman" w:cs="Times New Roman"/>
                <w:i/>
                <w:lang w:eastAsia="bg-BG" w:bidi="bg-BG"/>
              </w:rPr>
              <w:t>“  -  Специфична цел №6</w:t>
            </w:r>
            <w:r w:rsidR="002845D5" w:rsidRPr="009F6D1E">
              <w:rPr>
                <w:rFonts w:eastAsia="Calibri" w:cs="Times New Roman"/>
                <w:lang w:bidi="bg-BG"/>
              </w:rPr>
              <w:t xml:space="preserve">. Управлението на българските гори е ключов фактор за опазване на биологичното и </w:t>
            </w:r>
            <w:proofErr w:type="spellStart"/>
            <w:r w:rsidR="002845D5" w:rsidRPr="009F6D1E">
              <w:rPr>
                <w:rFonts w:eastAsia="Calibri" w:cs="Times New Roman"/>
                <w:lang w:bidi="bg-BG"/>
              </w:rPr>
              <w:t>ландшафтно</w:t>
            </w:r>
            <w:proofErr w:type="spellEnd"/>
            <w:r w:rsidR="002845D5" w:rsidRPr="009F6D1E">
              <w:rPr>
                <w:rFonts w:eastAsia="Calibri" w:cs="Times New Roman"/>
                <w:lang w:bidi="bg-BG"/>
              </w:rPr>
              <w:t xml:space="preserve"> разнообразие у нас. Горските територии и горите на </w:t>
            </w:r>
            <w:r w:rsidR="002845D5" w:rsidRPr="009F6D1E">
              <w:rPr>
                <w:rFonts w:eastAsia="Calibri" w:cs="Times New Roman"/>
                <w:lang w:bidi="bg-BG"/>
              </w:rPr>
              <w:lastRenderedPageBreak/>
              <w:t xml:space="preserve">България съхраняват над 80 % от защитените видове растения, над 60 % от застрашените от изчезване видове животни, над 60% от приоритетните за опазване видове местообитания и осем от дванадесетте </w:t>
            </w:r>
            <w:proofErr w:type="spellStart"/>
            <w:r w:rsidR="002845D5" w:rsidRPr="009F6D1E">
              <w:rPr>
                <w:rFonts w:eastAsia="Calibri" w:cs="Times New Roman"/>
                <w:lang w:bidi="bg-BG"/>
              </w:rPr>
              <w:t>ландшафтни</w:t>
            </w:r>
            <w:proofErr w:type="spellEnd"/>
            <w:r w:rsidR="002845D5" w:rsidRPr="009F6D1E">
              <w:rPr>
                <w:rFonts w:eastAsia="Calibri" w:cs="Times New Roman"/>
                <w:lang w:bidi="bg-BG"/>
              </w:rPr>
              <w:t xml:space="preserve"> комплекса, определени в Националната стратегия за опазване на биологичното разнообразие като уникални и представителни за българското биологично разнообразие.</w:t>
            </w:r>
          </w:p>
          <w:p w14:paraId="5A920B90" w14:textId="77777777" w:rsidR="002845D5" w:rsidRPr="009F6D1E" w:rsidRDefault="002845D5" w:rsidP="0084747F">
            <w:pPr>
              <w:widowControl w:val="0"/>
              <w:tabs>
                <w:tab w:val="left" w:pos="1080"/>
              </w:tabs>
              <w:spacing w:after="60" w:line="264" w:lineRule="auto"/>
              <w:jc w:val="both"/>
              <w:rPr>
                <w:rFonts w:eastAsia="Times New Roman" w:cs="Times New Roman"/>
                <w:lang w:eastAsia="bg-BG" w:bidi="bg-BG"/>
              </w:rPr>
            </w:pPr>
            <w:r w:rsidRPr="009F6D1E">
              <w:rPr>
                <w:rFonts w:eastAsia="Times New Roman" w:cs="Times New Roman"/>
                <w:lang w:eastAsia="bg-BG" w:bidi="bg-BG"/>
              </w:rPr>
              <w:t>Отделно от това принос имат следните интервенции:</w:t>
            </w:r>
          </w:p>
          <w:p w14:paraId="2FD287D4" w14:textId="77777777" w:rsidR="005A3DC3" w:rsidRPr="009F6D1E" w:rsidRDefault="002845D5" w:rsidP="0084747F">
            <w:pPr>
              <w:widowControl w:val="0"/>
              <w:tabs>
                <w:tab w:val="left" w:pos="1080"/>
              </w:tabs>
              <w:spacing w:after="60" w:line="264" w:lineRule="auto"/>
              <w:jc w:val="both"/>
              <w:rPr>
                <w:rFonts w:eastAsia="Times New Roman" w:cs="Times New Roman"/>
                <w:b/>
                <w:bCs/>
                <w:i/>
                <w:lang w:eastAsia="bg-BG" w:bidi="bg-BG"/>
              </w:rPr>
            </w:pPr>
            <w:r w:rsidRPr="009F6D1E">
              <w:rPr>
                <w:rFonts w:eastAsia="Times New Roman" w:cs="Times New Roman"/>
                <w:i/>
                <w:iCs/>
                <w:lang w:eastAsia="bg-BG" w:bidi="bg-BG"/>
              </w:rPr>
              <w:t>Потребност</w:t>
            </w:r>
            <w:r w:rsidR="005A3DC3" w:rsidRPr="009F6D1E">
              <w:rPr>
                <w:rFonts w:cs="Times New Roman"/>
                <w:lang w:bidi="bg-BG"/>
              </w:rPr>
              <w:t xml:space="preserve"> </w:t>
            </w:r>
            <w:r w:rsidR="005A3DC3" w:rsidRPr="009F6D1E">
              <w:rPr>
                <w:rFonts w:eastAsia="Times New Roman" w:cs="Times New Roman"/>
                <w:i/>
                <w:iCs/>
                <w:lang w:eastAsia="bg-BG" w:bidi="bg-BG"/>
              </w:rPr>
              <w:t xml:space="preserve">П.6.8. Подобряване на </w:t>
            </w:r>
            <w:proofErr w:type="spellStart"/>
            <w:r w:rsidR="005A3DC3" w:rsidRPr="009F6D1E">
              <w:rPr>
                <w:rFonts w:eastAsia="Times New Roman" w:cs="Times New Roman"/>
                <w:i/>
                <w:iCs/>
                <w:lang w:eastAsia="bg-BG" w:bidi="bg-BG"/>
              </w:rPr>
              <w:t>опрашителния</w:t>
            </w:r>
            <w:proofErr w:type="spellEnd"/>
            <w:r w:rsidR="005A3DC3" w:rsidRPr="009F6D1E">
              <w:rPr>
                <w:rFonts w:eastAsia="Times New Roman" w:cs="Times New Roman"/>
                <w:i/>
                <w:iCs/>
                <w:lang w:eastAsia="bg-BG" w:bidi="bg-BG"/>
              </w:rPr>
              <w:t xml:space="preserve"> потенциал на екосистемите и наличието на подходящи растения.</w:t>
            </w:r>
            <w:r w:rsidRPr="009F6D1E">
              <w:rPr>
                <w:rFonts w:eastAsia="Times New Roman" w:cs="Times New Roman"/>
                <w:i/>
                <w:lang w:eastAsia="bg-BG" w:bidi="bg-BG"/>
              </w:rPr>
              <w:t>.</w:t>
            </w:r>
            <w:r w:rsidRPr="009F6D1E">
              <w:rPr>
                <w:rFonts w:eastAsia="Times New Roman" w:cs="Times New Roman"/>
                <w:b/>
                <w:bCs/>
                <w:i/>
                <w:lang w:eastAsia="bg-BG" w:bidi="bg-BG"/>
              </w:rPr>
              <w:t xml:space="preserve"> </w:t>
            </w:r>
          </w:p>
          <w:p w14:paraId="3AB194CD" w14:textId="77777777" w:rsidR="005A3DC3" w:rsidRPr="009F6D1E" w:rsidRDefault="005A3DC3"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Интервенцията „Горско-екологични дейности в горите“</w:t>
            </w:r>
            <w:r w:rsidRPr="009F6D1E">
              <w:rPr>
                <w:rFonts w:eastAsia="Times New Roman" w:cs="Times New Roman"/>
                <w:iCs/>
                <w:lang w:eastAsia="bg-BG" w:bidi="bg-BG"/>
              </w:rPr>
              <w:t xml:space="preserve"> към</w:t>
            </w:r>
            <w:r w:rsidRPr="009F6D1E">
              <w:rPr>
                <w:rFonts w:eastAsia="Times New Roman" w:cs="Times New Roman"/>
                <w:b/>
                <w:iCs/>
                <w:lang w:eastAsia="bg-BG" w:bidi="bg-BG"/>
              </w:rPr>
              <w:t xml:space="preserve"> </w:t>
            </w:r>
            <w:r w:rsidRPr="009F6D1E">
              <w:rPr>
                <w:rFonts w:eastAsia="Times New Roman" w:cs="Times New Roman"/>
                <w:i/>
                <w:iCs/>
                <w:lang w:eastAsia="bg-BG" w:bidi="bg-BG"/>
              </w:rPr>
              <w:t>Потребност 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  -  Специфична цел №4</w:t>
            </w:r>
            <w:r w:rsidRPr="009F6D1E">
              <w:rPr>
                <w:rFonts w:eastAsia="Times New Roman" w:cs="Times New Roman"/>
                <w:iCs/>
                <w:lang w:eastAsia="bg-BG" w:bidi="bg-BG"/>
              </w:rPr>
              <w:t xml:space="preserve">. Управлението на българските гори е ключов фактор за опазване на биологичното и </w:t>
            </w:r>
            <w:proofErr w:type="spellStart"/>
            <w:r w:rsidRPr="009F6D1E">
              <w:rPr>
                <w:rFonts w:eastAsia="Times New Roman" w:cs="Times New Roman"/>
                <w:iCs/>
                <w:lang w:eastAsia="bg-BG" w:bidi="bg-BG"/>
              </w:rPr>
              <w:t>ландшафтно</w:t>
            </w:r>
            <w:proofErr w:type="spellEnd"/>
            <w:r w:rsidRPr="009F6D1E">
              <w:rPr>
                <w:rFonts w:eastAsia="Times New Roman" w:cs="Times New Roman"/>
                <w:iCs/>
                <w:lang w:eastAsia="bg-BG" w:bidi="bg-BG"/>
              </w:rPr>
              <w:t xml:space="preserve"> разнообразие у нас. Горските територии и горите на България съхраняват над 80 % от защитените видове растения, над 60 % от застрашените от изчезване видове животни, над 60% от приоритетните за опазване видове местообитания и осем от дванадесетте </w:t>
            </w:r>
            <w:proofErr w:type="spellStart"/>
            <w:r w:rsidRPr="009F6D1E">
              <w:rPr>
                <w:rFonts w:eastAsia="Times New Roman" w:cs="Times New Roman"/>
                <w:iCs/>
                <w:lang w:eastAsia="bg-BG" w:bidi="bg-BG"/>
              </w:rPr>
              <w:t>ландшафтни</w:t>
            </w:r>
            <w:proofErr w:type="spellEnd"/>
            <w:r w:rsidRPr="009F6D1E">
              <w:rPr>
                <w:rFonts w:eastAsia="Times New Roman" w:cs="Times New Roman"/>
                <w:iCs/>
                <w:lang w:eastAsia="bg-BG" w:bidi="bg-BG"/>
              </w:rPr>
              <w:t xml:space="preserve"> комплекса, определени в Националната стратегия за опазване на биологичното разнообразие като уникални </w:t>
            </w:r>
            <w:r w:rsidRPr="009F6D1E">
              <w:rPr>
                <w:rFonts w:eastAsia="Times New Roman" w:cs="Times New Roman"/>
                <w:iCs/>
                <w:lang w:eastAsia="bg-BG" w:bidi="bg-BG"/>
              </w:rPr>
              <w:lastRenderedPageBreak/>
              <w:t xml:space="preserve">и представителни за българското биологично разнообразие. Тази интервенция има за цел да се намали традиционното горскостопанско въздействие върху горите, чрез промяна в традиционните </w:t>
            </w:r>
            <w:proofErr w:type="spellStart"/>
            <w:r w:rsidRPr="009F6D1E">
              <w:rPr>
                <w:rFonts w:eastAsia="Times New Roman" w:cs="Times New Roman"/>
                <w:iCs/>
                <w:lang w:eastAsia="bg-BG" w:bidi="bg-BG"/>
              </w:rPr>
              <w:t>дървопроизводствени</w:t>
            </w:r>
            <w:proofErr w:type="spellEnd"/>
            <w:r w:rsidRPr="009F6D1E">
              <w:rPr>
                <w:rFonts w:eastAsia="Times New Roman" w:cs="Times New Roman"/>
                <w:iCs/>
                <w:lang w:eastAsia="bg-BG" w:bidi="bg-BG"/>
              </w:rPr>
              <w:t>, лесовъдски цели; да се стимулира опазването естествения им характер, чрез подпомагане на съхраняването на естествени, природосъобразни видов състав и структура на насажденията и да се подобрят условията за поддържане и възстановяване на биологичното разнообразие, чрез създаване на необходимите за това екологични условия.</w:t>
            </w:r>
          </w:p>
          <w:p w14:paraId="49A64C92" w14:textId="77777777" w:rsidR="005A3DC3" w:rsidRPr="009F6D1E" w:rsidRDefault="005A3DC3" w:rsidP="0084747F">
            <w:pPr>
              <w:widowControl w:val="0"/>
              <w:tabs>
                <w:tab w:val="left" w:pos="1080"/>
              </w:tabs>
              <w:spacing w:after="60" w:line="264" w:lineRule="auto"/>
              <w:jc w:val="both"/>
              <w:rPr>
                <w:rFonts w:eastAsia="Times New Roman" w:cs="Times New Roman"/>
                <w:i/>
                <w:iCs/>
                <w:lang w:eastAsia="bg-BG" w:bidi="bg-BG"/>
              </w:rPr>
            </w:pPr>
            <w:r w:rsidRPr="009F6D1E">
              <w:rPr>
                <w:rFonts w:eastAsia="Times New Roman" w:cs="Times New Roman"/>
                <w:iCs/>
                <w:lang w:eastAsia="bg-BG" w:bidi="bg-BG"/>
              </w:rPr>
              <w:t>За опазване на биоразнообразието се предвижда и включването на комплекс от</w:t>
            </w:r>
            <w:r w:rsidRPr="009F6D1E">
              <w:rPr>
                <w:rFonts w:eastAsia="Times New Roman" w:cs="Times New Roman"/>
                <w:i/>
                <w:iCs/>
                <w:lang w:eastAsia="bg-BG" w:bidi="bg-BG"/>
              </w:rPr>
              <w:t xml:space="preserve"> интервенции по член 73, </w:t>
            </w:r>
            <w:r w:rsidRPr="009F6D1E">
              <w:rPr>
                <w:rFonts w:eastAsia="Times New Roman" w:cs="Times New Roman"/>
                <w:iCs/>
                <w:lang w:eastAsia="bg-BG" w:bidi="bg-BG"/>
              </w:rPr>
              <w:t>като</w:t>
            </w:r>
            <w:r w:rsidRPr="009F6D1E">
              <w:rPr>
                <w:rFonts w:eastAsia="Times New Roman" w:cs="Times New Roman"/>
                <w:i/>
                <w:iCs/>
                <w:lang w:eastAsia="bg-BG" w:bidi="bg-BG"/>
              </w:rPr>
              <w:t>: „Залесяване и презалесяване“; Подобряване на здравословното състояние и устойчивостта на горските екосистеми чрез подпомагане провеждането на сечи в горските територии; Предотвратяване и възстановяване на щети по горите от горски пожари, природни бедствия и катастрофични събития.</w:t>
            </w:r>
          </w:p>
          <w:p w14:paraId="0BD45D8D" w14:textId="77777777" w:rsidR="002845D5" w:rsidRPr="009F6D1E" w:rsidRDefault="002845D5" w:rsidP="0084747F">
            <w:pPr>
              <w:widowControl w:val="0"/>
              <w:tabs>
                <w:tab w:val="left" w:pos="1080"/>
              </w:tabs>
              <w:spacing w:after="60" w:line="264" w:lineRule="auto"/>
              <w:jc w:val="both"/>
              <w:rPr>
                <w:rFonts w:eastAsia="Times New Roman" w:cs="Times New Roman"/>
                <w:i/>
                <w:iCs/>
                <w:lang w:eastAsia="bg-BG" w:bidi="bg-BG"/>
              </w:rPr>
            </w:pPr>
            <w:r w:rsidRPr="009F6D1E">
              <w:rPr>
                <w:rFonts w:eastAsia="Calibri" w:cs="Times New Roman"/>
              </w:rPr>
              <w:t>Косвен принос има</w:t>
            </w:r>
            <w:r w:rsidRPr="009F6D1E">
              <w:rPr>
                <w:rFonts w:eastAsia="Calibri" w:cs="Times New Roman"/>
                <w:i/>
                <w:iCs/>
              </w:rPr>
              <w:t xml:space="preserve"> </w:t>
            </w:r>
            <w:r w:rsidRPr="009F6D1E">
              <w:rPr>
                <w:rFonts w:eastAsia="Times New Roman" w:cs="Times New Roman"/>
                <w:i/>
                <w:iCs/>
                <w:lang w:eastAsia="bg-BG" w:bidi="bg-BG"/>
              </w:rPr>
              <w:t xml:space="preserve">Специфична цел №5: </w:t>
            </w:r>
            <w:r w:rsidR="00934715" w:rsidRPr="009F6D1E">
              <w:rPr>
                <w:rFonts w:eastAsia="Times New Roman" w:cs="Times New Roman"/>
                <w:i/>
                <w:iCs/>
                <w:lang w:eastAsia="bg-BG" w:bidi="bg-BG"/>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r w:rsidRPr="009F6D1E">
              <w:rPr>
                <w:rFonts w:eastAsia="Times New Roman" w:cs="Times New Roman"/>
                <w:i/>
                <w:iCs/>
                <w:lang w:eastAsia="bg-BG" w:bidi="bg-BG"/>
              </w:rPr>
              <w:t xml:space="preserve">. </w:t>
            </w:r>
          </w:p>
          <w:p w14:paraId="6D159BE6" w14:textId="77777777" w:rsidR="002845D5" w:rsidRPr="009F6D1E" w:rsidRDefault="002845D5" w:rsidP="0084747F">
            <w:pPr>
              <w:spacing w:after="60" w:line="264" w:lineRule="auto"/>
              <w:contextualSpacing/>
              <w:jc w:val="both"/>
              <w:rPr>
                <w:rFonts w:eastAsia="Calibri" w:cs="Times New Roman"/>
                <w:bCs/>
                <w:lang w:eastAsia="en-GB" w:bidi="bg-BG"/>
              </w:rPr>
            </w:pPr>
            <w:r w:rsidRPr="009F6D1E">
              <w:rPr>
                <w:rFonts w:eastAsia="Calibri" w:cs="Times New Roman"/>
                <w:bCs/>
                <w:lang w:eastAsia="en-GB" w:bidi="bg-BG"/>
              </w:rPr>
              <w:lastRenderedPageBreak/>
              <w:t xml:space="preserve">В интервенцията по чл. 65 от РСП могат да се включат дейности, които надграждат въведените  изисквания в ДЗЕС 4, ДЗЕС 6 и ДЗЕС 7, задължителни са и могат да бъдат обособени на база териториалния им обхват на прилагане. Според спецификата на райони и площта и въз основа на изготвяне на план за противоерозионни мероприятия към задължителните дейности, предвидени в ДЗЕС 4, ДЗЕС 6 и ДЗЕС 7 могат да се включат практики за: поясно земеделие, затревяване на междуредията в трайни насаждения и лозя (в т.ч. цялостно затревяване), преобразуване на обработваеми земи в постоянно затревени площи; </w:t>
            </w:r>
            <w:proofErr w:type="spellStart"/>
            <w:r w:rsidRPr="009F6D1E">
              <w:rPr>
                <w:rFonts w:eastAsia="Calibri" w:cs="Times New Roman"/>
                <w:bCs/>
                <w:lang w:eastAsia="en-GB" w:bidi="bg-BG"/>
              </w:rPr>
              <w:t>контурно</w:t>
            </w:r>
            <w:proofErr w:type="spellEnd"/>
            <w:r w:rsidRPr="009F6D1E">
              <w:rPr>
                <w:rFonts w:eastAsia="Calibri" w:cs="Times New Roman"/>
                <w:bCs/>
                <w:lang w:eastAsia="en-GB" w:bidi="bg-BG"/>
              </w:rPr>
              <w:t xml:space="preserve"> земеделие, вертикално </w:t>
            </w:r>
            <w:proofErr w:type="spellStart"/>
            <w:r w:rsidRPr="009F6D1E">
              <w:rPr>
                <w:rFonts w:eastAsia="Calibri" w:cs="Times New Roman"/>
                <w:bCs/>
                <w:lang w:eastAsia="en-GB" w:bidi="bg-BG"/>
              </w:rPr>
              <w:t>мулчиране</w:t>
            </w:r>
            <w:proofErr w:type="spellEnd"/>
            <w:r w:rsidRPr="009F6D1E">
              <w:rPr>
                <w:rFonts w:eastAsia="Calibri" w:cs="Times New Roman"/>
                <w:bCs/>
                <w:lang w:eastAsia="en-GB" w:bidi="bg-BG"/>
              </w:rPr>
              <w:t xml:space="preserve">; изграждане на </w:t>
            </w:r>
            <w:proofErr w:type="spellStart"/>
            <w:r w:rsidRPr="009F6D1E">
              <w:rPr>
                <w:rFonts w:eastAsia="Calibri" w:cs="Times New Roman"/>
                <w:bCs/>
                <w:lang w:eastAsia="en-GB" w:bidi="bg-BG"/>
              </w:rPr>
              <w:t>отокоотвеждащи</w:t>
            </w:r>
            <w:proofErr w:type="spellEnd"/>
            <w:r w:rsidRPr="009F6D1E">
              <w:rPr>
                <w:rFonts w:eastAsia="Calibri" w:cs="Times New Roman"/>
                <w:bCs/>
                <w:lang w:eastAsia="en-GB" w:bidi="bg-BG"/>
              </w:rPr>
              <w:t xml:space="preserve"> и </w:t>
            </w:r>
            <w:proofErr w:type="spellStart"/>
            <w:r w:rsidRPr="009F6D1E">
              <w:rPr>
                <w:rFonts w:eastAsia="Calibri" w:cs="Times New Roman"/>
                <w:bCs/>
                <w:lang w:eastAsia="en-GB" w:bidi="bg-BG"/>
              </w:rPr>
              <w:t>отокозадържащи</w:t>
            </w:r>
            <w:proofErr w:type="spellEnd"/>
            <w:r w:rsidRPr="009F6D1E">
              <w:rPr>
                <w:rFonts w:eastAsia="Calibri" w:cs="Times New Roman"/>
                <w:bCs/>
                <w:lang w:eastAsia="en-GB" w:bidi="bg-BG"/>
              </w:rPr>
              <w:t xml:space="preserve"> бразди; минимални или нулеви обработки; противоерозионна организация на площите като се намаляват площта на парцелите чрез включване на други земеделски култури; изграждане на тревни буферни ивици, мултифункционални растителни буферни ивици, допринасящи също за биоразнообразието и подобряване на опрашването, както и изграждане и поддържане на полезащитни пояси.</w:t>
            </w:r>
          </w:p>
          <w:p w14:paraId="710AB0CD" w14:textId="77777777" w:rsidR="00663A1D" w:rsidRPr="009F6D1E" w:rsidRDefault="00663A1D" w:rsidP="0084747F">
            <w:pPr>
              <w:widowControl w:val="0"/>
              <w:tabs>
                <w:tab w:val="left" w:pos="1080"/>
              </w:tabs>
              <w:spacing w:after="60" w:line="264" w:lineRule="auto"/>
              <w:jc w:val="both"/>
              <w:rPr>
                <w:rFonts w:cs="Times New Roman"/>
              </w:rPr>
            </w:pPr>
            <w:r w:rsidRPr="009F6D1E">
              <w:rPr>
                <w:rFonts w:eastAsia="Times New Roman" w:cs="Times New Roman"/>
                <w:i/>
                <w:iCs/>
                <w:lang w:eastAsia="bg-BG" w:bidi="bg-BG"/>
              </w:rPr>
              <w:t>Специфична цел №6, Потребност</w:t>
            </w:r>
            <w:r w:rsidRPr="009F6D1E">
              <w:rPr>
                <w:rFonts w:cs="Times New Roman"/>
                <w:lang w:bidi="bg-BG"/>
              </w:rPr>
              <w:t xml:space="preserve"> </w:t>
            </w:r>
            <w:r w:rsidRPr="009F6D1E">
              <w:rPr>
                <w:rFonts w:eastAsia="Times New Roman" w:cs="Times New Roman"/>
                <w:i/>
                <w:iCs/>
                <w:lang w:eastAsia="bg-BG" w:bidi="bg-BG"/>
              </w:rPr>
              <w:t>П.6.5. Интервенция „Използване 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на хранителни вещества с поне 50%, като същевременно се </w:t>
            </w:r>
            <w:r w:rsidRPr="009F6D1E">
              <w:rPr>
                <w:rFonts w:eastAsia="Times New Roman" w:cs="Times New Roman"/>
                <w:lang w:eastAsia="bg-BG" w:bidi="bg-BG"/>
              </w:rPr>
              <w:lastRenderedPageBreak/>
              <w:t xml:space="preserve">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tc>
      </w:tr>
      <w:tr w:rsidR="002845D5" w:rsidRPr="009F6D1E" w14:paraId="697E7433" w14:textId="77777777" w:rsidTr="00981F7B">
        <w:tc>
          <w:tcPr>
            <w:tcW w:w="7139" w:type="dxa"/>
          </w:tcPr>
          <w:p w14:paraId="6A34630B" w14:textId="77777777" w:rsidR="002845D5" w:rsidRPr="009F6D1E" w:rsidRDefault="002845D5" w:rsidP="0084747F">
            <w:pPr>
              <w:spacing w:after="60" w:line="264" w:lineRule="auto"/>
              <w:jc w:val="both"/>
              <w:rPr>
                <w:rFonts w:cs="Times New Roman"/>
                <w:b/>
                <w:bCs/>
                <w:i/>
                <w:iCs/>
              </w:rPr>
            </w:pPr>
            <w:r w:rsidRPr="009F6D1E">
              <w:rPr>
                <w:rFonts w:cs="Times New Roman"/>
                <w:b/>
                <w:bCs/>
                <w:i/>
                <w:iCs/>
              </w:rPr>
              <w:lastRenderedPageBreak/>
              <w:t>Проект на Стратегия за устойчиво енергийно развитие на Република България до 2030 г. с хоризонт до 2050 г.</w:t>
            </w:r>
          </w:p>
          <w:p w14:paraId="76C895A1" w14:textId="77777777" w:rsidR="002845D5" w:rsidRPr="009F6D1E" w:rsidRDefault="002845D5" w:rsidP="0084747F">
            <w:pPr>
              <w:spacing w:after="60" w:line="264" w:lineRule="auto"/>
              <w:jc w:val="both"/>
              <w:rPr>
                <w:rFonts w:cs="Times New Roman"/>
                <w:bCs/>
                <w:u w:val="single"/>
              </w:rPr>
            </w:pPr>
            <w:r w:rsidRPr="009F6D1E">
              <w:rPr>
                <w:rFonts w:cs="Times New Roman"/>
                <w:b/>
                <w:u w:val="single"/>
              </w:rPr>
              <w:t>Приоритети</w:t>
            </w:r>
            <w:r w:rsidRPr="009F6D1E">
              <w:rPr>
                <w:rFonts w:cs="Times New Roman"/>
                <w:bCs/>
                <w:u w:val="single"/>
              </w:rPr>
              <w:t>:</w:t>
            </w:r>
          </w:p>
          <w:p w14:paraId="08212C44" w14:textId="77777777" w:rsidR="002845D5" w:rsidRPr="009F6D1E" w:rsidRDefault="002845D5" w:rsidP="0084747F">
            <w:pPr>
              <w:numPr>
                <w:ilvl w:val="0"/>
                <w:numId w:val="17"/>
              </w:numPr>
              <w:spacing w:after="60" w:line="264" w:lineRule="auto"/>
              <w:jc w:val="both"/>
              <w:rPr>
                <w:rFonts w:cs="Times New Roman"/>
              </w:rPr>
            </w:pPr>
            <w:r w:rsidRPr="009F6D1E">
              <w:rPr>
                <w:rFonts w:cs="Times New Roman"/>
              </w:rPr>
              <w:t>Гарантиране на енергийната сигурност и устойчивото енергийно развитие;</w:t>
            </w:r>
          </w:p>
          <w:p w14:paraId="7BABDA08" w14:textId="77777777" w:rsidR="002845D5" w:rsidRPr="009F6D1E" w:rsidRDefault="002845D5" w:rsidP="0084747F">
            <w:pPr>
              <w:numPr>
                <w:ilvl w:val="0"/>
                <w:numId w:val="17"/>
              </w:numPr>
              <w:spacing w:after="60" w:line="264" w:lineRule="auto"/>
              <w:jc w:val="both"/>
              <w:rPr>
                <w:rFonts w:cs="Times New Roman"/>
              </w:rPr>
            </w:pPr>
            <w:r w:rsidRPr="009F6D1E">
              <w:rPr>
                <w:rFonts w:cs="Times New Roman"/>
              </w:rPr>
              <w:lastRenderedPageBreak/>
              <w:t xml:space="preserve">Повишаване на енергийната ефективност в процесите от производство до крайното потребление на енергия; </w:t>
            </w:r>
          </w:p>
          <w:p w14:paraId="0AD860FE" w14:textId="77777777" w:rsidR="002845D5" w:rsidRPr="009F6D1E" w:rsidRDefault="002845D5" w:rsidP="0084747F">
            <w:pPr>
              <w:numPr>
                <w:ilvl w:val="0"/>
                <w:numId w:val="17"/>
              </w:numPr>
              <w:spacing w:after="60" w:line="264" w:lineRule="auto"/>
              <w:jc w:val="both"/>
              <w:rPr>
                <w:rFonts w:cs="Times New Roman"/>
              </w:rPr>
            </w:pPr>
            <w:r w:rsidRPr="009F6D1E">
              <w:rPr>
                <w:rFonts w:cs="Times New Roman"/>
              </w:rPr>
              <w:t>Използване и развитие на енергията от възобновяеми източници, съобразно наличния потенциал, капацитета на мрежите и националните специфики, като част от прехода към нисковъглеродна икономика;</w:t>
            </w:r>
          </w:p>
          <w:p w14:paraId="2A0D9BF5" w14:textId="77777777" w:rsidR="002845D5" w:rsidRPr="009F6D1E" w:rsidRDefault="002845D5" w:rsidP="0084747F">
            <w:pPr>
              <w:spacing w:after="60" w:line="264" w:lineRule="auto"/>
              <w:jc w:val="both"/>
              <w:rPr>
                <w:rFonts w:eastAsia="Calibri" w:cs="Times New Roman"/>
                <w:b/>
                <w:bCs/>
              </w:rPr>
            </w:pPr>
            <w:r w:rsidRPr="009F6D1E">
              <w:rPr>
                <w:rFonts w:cs="Times New Roman"/>
              </w:rPr>
              <w:t>Внедряване на иновативни технологии за устойчиво енергийно развитие.</w:t>
            </w:r>
          </w:p>
        </w:tc>
        <w:tc>
          <w:tcPr>
            <w:tcW w:w="7139" w:type="dxa"/>
          </w:tcPr>
          <w:p w14:paraId="6724DBDF" w14:textId="77777777" w:rsidR="002845D5" w:rsidRPr="009F6D1E" w:rsidRDefault="002845D5" w:rsidP="0084747F">
            <w:pPr>
              <w:spacing w:after="60" w:line="264" w:lineRule="auto"/>
              <w:jc w:val="both"/>
              <w:rPr>
                <w:rFonts w:cs="Times New Roman"/>
              </w:rPr>
            </w:pPr>
            <w:r w:rsidRPr="009F6D1E">
              <w:rPr>
                <w:rFonts w:cs="Times New Roman"/>
              </w:rPr>
              <w:lastRenderedPageBreak/>
              <w:t xml:space="preserve">Пряко отношение и принос </w:t>
            </w:r>
            <w:r w:rsidR="00C24C51" w:rsidRPr="009F6D1E">
              <w:rPr>
                <w:rFonts w:cs="Times New Roman"/>
              </w:rPr>
              <w:t>към проекта на Стратегията</w:t>
            </w:r>
            <w:r w:rsidRPr="009F6D1E">
              <w:rPr>
                <w:rFonts w:cs="Times New Roman"/>
              </w:rPr>
              <w:t xml:space="preserve"> имат: </w:t>
            </w:r>
          </w:p>
          <w:p w14:paraId="0C13DA00" w14:textId="77777777" w:rsidR="002E59A7" w:rsidRPr="009F6D1E" w:rsidRDefault="002845D5" w:rsidP="0084747F">
            <w:pPr>
              <w:spacing w:after="60" w:line="264" w:lineRule="auto"/>
              <w:jc w:val="both"/>
              <w:rPr>
                <w:rFonts w:eastAsia="Calibri" w:cs="Times New Roman"/>
                <w:bCs/>
                <w:lang w:eastAsia="en-GB" w:bidi="bg-BG"/>
              </w:rPr>
            </w:pPr>
            <w:r w:rsidRPr="009F6D1E">
              <w:rPr>
                <w:rFonts w:eastAsia="Times New Roman" w:cs="Times New Roman"/>
                <w:bCs/>
                <w:i/>
                <w:iCs/>
              </w:rPr>
              <w:t>Специфична цел 4</w:t>
            </w:r>
            <w:r w:rsidRPr="009F6D1E">
              <w:rPr>
                <w:rFonts w:eastAsia="Times New Roman" w:cs="Times New Roman"/>
                <w:b/>
                <w:i/>
                <w:iCs/>
              </w:rPr>
              <w:t>:</w:t>
            </w:r>
            <w:r w:rsidRPr="009F6D1E">
              <w:rPr>
                <w:rFonts w:eastAsia="Times New Roman" w:cs="Times New Roman"/>
                <w:i/>
                <w:iCs/>
              </w:rPr>
              <w:t xml:space="preserve"> </w:t>
            </w:r>
            <w:r w:rsidR="00F85514" w:rsidRPr="009F6D1E">
              <w:rPr>
                <w:rFonts w:eastAsia="Times New Roman" w:cs="Times New Roman"/>
                <w:i/>
                <w:iCs/>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002E59A7" w:rsidRPr="009F6D1E">
              <w:rPr>
                <w:rFonts w:eastAsia="Times New Roman" w:cs="Times New Roman"/>
                <w:i/>
                <w:iCs/>
              </w:rPr>
              <w:t xml:space="preserve">, чрез </w:t>
            </w:r>
            <w:r w:rsidR="002E59A7" w:rsidRPr="009F6D1E">
              <w:rPr>
                <w:rFonts w:eastAsia="Calibri" w:cs="Times New Roman"/>
                <w:bCs/>
                <w:i/>
                <w:iCs/>
                <w:lang w:eastAsia="en-GB" w:bidi="bg-BG"/>
              </w:rPr>
              <w:t xml:space="preserve">Потребност П.4.3.Производство на енергия от възобновяеми </w:t>
            </w:r>
            <w:r w:rsidR="002E59A7" w:rsidRPr="009F6D1E">
              <w:rPr>
                <w:rFonts w:eastAsia="Calibri" w:cs="Times New Roman"/>
                <w:bCs/>
                <w:i/>
                <w:iCs/>
                <w:lang w:eastAsia="en-GB" w:bidi="bg-BG"/>
              </w:rPr>
              <w:lastRenderedPageBreak/>
              <w:t xml:space="preserve">източници от селското стопанство (от водна, вятърна, слънчева, геотермална енергия и остатъчна/отпадъчна биомаса от селското стопанство). </w:t>
            </w:r>
            <w:r w:rsidR="002E59A7" w:rsidRPr="009F6D1E">
              <w:rPr>
                <w:rFonts w:eastAsia="Calibri" w:cs="Times New Roman"/>
                <w:bCs/>
                <w:lang w:eastAsia="en-GB" w:bidi="bg-BG"/>
              </w:rPr>
              <w:t>Когато кандидатите за инвестиране са млади земеделски или горски стопани, могат да получат подкрепа и чрез интервенцията за „стартиране на стопанска дейност и разнообразяване на дейностите“, ако размерът на инвестицията е в границите на подкрепата по мярката за млади земеделски стопани.</w:t>
            </w:r>
          </w:p>
          <w:p w14:paraId="709ED943" w14:textId="77777777" w:rsidR="002E59A7" w:rsidRPr="009F6D1E" w:rsidRDefault="002E59A7"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Интервенция „</w:t>
            </w:r>
            <w:r w:rsidRPr="009F6D1E">
              <w:rPr>
                <w:rFonts w:eastAsia="Calibri" w:cs="Times New Roman"/>
                <w:bCs/>
                <w:i/>
                <w:iCs/>
                <w:lang w:eastAsia="en-GB" w:bidi="bg-BG"/>
              </w:rPr>
              <w:t>Инвестиции за преработка на селскостопански продукти, насочени към опазване на компонентите на околната среда</w:t>
            </w:r>
            <w:r w:rsidRPr="009F6D1E">
              <w:rPr>
                <w:rFonts w:eastAsia="Calibri" w:cs="Times New Roman"/>
                <w:bCs/>
                <w:lang w:eastAsia="en-GB" w:bidi="bg-BG"/>
              </w:rPr>
              <w:t>“ – член 73. Чрез интервенцията ще се подпомагат единствено инвестиции свързани с околна среда и климат, като например: пречиствателни съоръжения и съоръжения за третиране на отпадъци, съоръжения за съхраняване или оползотворяване на различни отпадъчни суровини от селскостопански продукти получени в резултат на извършваната преработка, инсталации за пречистване на отпадъчни води в преработката и маркетинга, инсталации за ВЕИ за производство на енергия за собствено потребление, включително такива използващи биомаса, включително инвестиции и дейности свързани с подобряване на енергийната ефективност на съществуващи предприятия.</w:t>
            </w:r>
          </w:p>
          <w:p w14:paraId="1901C013" w14:textId="77777777" w:rsidR="002845D5" w:rsidRPr="009F6D1E" w:rsidRDefault="002E59A7" w:rsidP="0084747F">
            <w:pPr>
              <w:spacing w:after="60" w:line="264" w:lineRule="auto"/>
              <w:jc w:val="both"/>
              <w:rPr>
                <w:rFonts w:eastAsia="Calibri" w:cs="Times New Roman"/>
                <w:bCs/>
                <w:lang w:eastAsia="en-GB" w:bidi="bg-BG"/>
              </w:rPr>
            </w:pPr>
            <w:r w:rsidRPr="009F6D1E">
              <w:rPr>
                <w:rFonts w:eastAsia="Calibri" w:cs="Times New Roman"/>
                <w:bCs/>
                <w:lang w:eastAsia="en-GB" w:bidi="bg-BG"/>
              </w:rPr>
              <w:t xml:space="preserve">За ефективно постигане на тази потребност, ще бъдат прилагани дейности по придобиване на знания чрез консултации, обмен на </w:t>
            </w:r>
            <w:r w:rsidRPr="009F6D1E">
              <w:rPr>
                <w:rFonts w:eastAsia="Calibri" w:cs="Times New Roman"/>
                <w:bCs/>
                <w:lang w:eastAsia="en-GB" w:bidi="bg-BG"/>
              </w:rPr>
              <w:lastRenderedPageBreak/>
              <w:t>знания по интервенции „Консултантски услуги и повишаване на консултантския капацитет“ и „Професионално обучение и придобиване на знания“. Тази интервенция и</w:t>
            </w:r>
            <w:r w:rsidR="002845D5" w:rsidRPr="009F6D1E">
              <w:rPr>
                <w:rFonts w:eastAsia="Calibri" w:cs="Times New Roman"/>
                <w:bCs/>
                <w:lang w:eastAsia="en-GB" w:bidi="bg-BG"/>
              </w:rPr>
              <w:t>ма пряка връзка с Директива (ЕС) 2018/2001 за насърчаване използването на енергия от възобновяеми източници, както и с Интегриран национален план за енергетиката и климата на Република България за 2020-2030 (ПИНПЕКРБ).</w:t>
            </w:r>
          </w:p>
          <w:p w14:paraId="73325F8F" w14:textId="77777777" w:rsidR="002845D5" w:rsidRPr="009F6D1E" w:rsidRDefault="002845D5" w:rsidP="0084747F">
            <w:pPr>
              <w:widowControl w:val="0"/>
              <w:spacing w:after="60" w:line="264" w:lineRule="auto"/>
              <w:jc w:val="both"/>
              <w:rPr>
                <w:rFonts w:eastAsia="Times New Roman" w:cs="Times New Roman"/>
                <w:i/>
                <w:iCs/>
                <w:u w:val="single"/>
                <w:lang w:eastAsia="bg-BG" w:bidi="bg-BG"/>
              </w:rPr>
            </w:pPr>
            <w:r w:rsidRPr="009F6D1E">
              <w:rPr>
                <w:rFonts w:cs="Times New Roman"/>
              </w:rPr>
              <w:t>Пряко отношение и принос към направленията на Новия план за действие, има</w:t>
            </w:r>
            <w:r w:rsidRPr="009F6D1E">
              <w:rPr>
                <w:rFonts w:eastAsia="Times New Roman" w:cs="Times New Roman"/>
                <w:lang w:eastAsia="bg-BG" w:bidi="bg-BG"/>
              </w:rPr>
              <w:t>т:</w:t>
            </w:r>
          </w:p>
          <w:p w14:paraId="6E88D5CD" w14:textId="77777777" w:rsidR="002845D5" w:rsidRPr="009F6D1E" w:rsidRDefault="002845D5" w:rsidP="0084747F">
            <w:pPr>
              <w:widowControl w:val="0"/>
              <w:spacing w:after="60" w:line="264" w:lineRule="auto"/>
              <w:jc w:val="both"/>
              <w:rPr>
                <w:rFonts w:cs="Times New Roman"/>
                <w:bCs/>
                <w:i/>
              </w:rPr>
            </w:pPr>
            <w:r w:rsidRPr="009F6D1E">
              <w:rPr>
                <w:rFonts w:cs="Times New Roman"/>
                <w:bCs/>
                <w:i/>
              </w:rPr>
              <w:t>Специфична цел № 8 – потребност</w:t>
            </w:r>
            <w:r w:rsidR="002E59A7" w:rsidRPr="009F6D1E">
              <w:rPr>
                <w:rFonts w:cs="Times New Roman"/>
                <w:lang w:bidi="bg-BG"/>
              </w:rPr>
              <w:t xml:space="preserve"> </w:t>
            </w:r>
            <w:r w:rsidR="002E59A7"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127F0632" w14:textId="77777777" w:rsidR="002845D5" w:rsidRPr="009F6D1E" w:rsidRDefault="002845D5" w:rsidP="0084747F">
            <w:pPr>
              <w:widowControl w:val="0"/>
              <w:spacing w:after="60" w:line="264" w:lineRule="auto"/>
              <w:jc w:val="both"/>
              <w:rPr>
                <w:rFonts w:cs="Times New Roman"/>
                <w:iCs/>
              </w:rPr>
            </w:pPr>
            <w:r w:rsidRPr="009F6D1E">
              <w:rPr>
                <w:rFonts w:cs="Times New Roman"/>
                <w:iCs/>
              </w:rPr>
              <w:t>Косвен принос имат:</w:t>
            </w:r>
          </w:p>
          <w:p w14:paraId="2E1D7538" w14:textId="77777777" w:rsidR="002845D5" w:rsidRPr="009F6D1E" w:rsidRDefault="002845D5" w:rsidP="0084747F">
            <w:pPr>
              <w:widowControl w:val="0"/>
              <w:spacing w:after="60" w:line="264" w:lineRule="auto"/>
              <w:jc w:val="both"/>
              <w:rPr>
                <w:rFonts w:cs="Times New Roman"/>
                <w:i/>
              </w:rPr>
            </w:pPr>
            <w:r w:rsidRPr="009F6D1E">
              <w:rPr>
                <w:rFonts w:cs="Times New Roman"/>
                <w:i/>
              </w:rPr>
              <w:t>Специфична цел №1 – потребност</w:t>
            </w:r>
            <w:r w:rsidR="002E59A7" w:rsidRPr="009F6D1E">
              <w:rPr>
                <w:rFonts w:cs="Times New Roman"/>
                <w:lang w:bidi="bg-BG"/>
              </w:rPr>
              <w:t xml:space="preserve"> </w:t>
            </w:r>
            <w:r w:rsidR="002E59A7" w:rsidRPr="009F6D1E">
              <w:rPr>
                <w:rFonts w:cs="Times New Roman"/>
                <w:i/>
              </w:rPr>
              <w:t xml:space="preserve">П.1.5.Надграждане и диверсифициране на системата за управление на риска и управление на кризите в земеделието </w:t>
            </w:r>
            <w:r w:rsidRPr="009F6D1E">
              <w:rPr>
                <w:rFonts w:eastAsia="Times New Roman" w:cs="Times New Roman"/>
                <w:i/>
                <w:iCs/>
                <w:lang w:eastAsia="bg-BG" w:bidi="bg-BG"/>
              </w:rPr>
              <w:t xml:space="preserve"> </w:t>
            </w:r>
            <w:r w:rsidRPr="009F6D1E">
              <w:rPr>
                <w:rFonts w:eastAsia="Times New Roman" w:cs="Times New Roman"/>
                <w:lang w:eastAsia="bg-BG" w:bidi="bg-BG"/>
              </w:rPr>
              <w:t>и интервенциите към нея.</w:t>
            </w:r>
          </w:p>
          <w:p w14:paraId="3B26C301" w14:textId="77777777" w:rsidR="002845D5" w:rsidRPr="009F6D1E" w:rsidRDefault="002845D5" w:rsidP="0084747F">
            <w:pPr>
              <w:widowControl w:val="0"/>
              <w:tabs>
                <w:tab w:val="left" w:pos="1080"/>
              </w:tabs>
              <w:spacing w:after="60" w:line="264" w:lineRule="auto"/>
              <w:jc w:val="both"/>
              <w:rPr>
                <w:rFonts w:cs="Times New Roman"/>
                <w:i/>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C87824" w:rsidRPr="009F6D1E">
              <w:rPr>
                <w:rFonts w:cs="Times New Roman"/>
                <w:lang w:bidi="bg-BG"/>
              </w:rPr>
              <w:t xml:space="preserve"> </w:t>
            </w:r>
            <w:r w:rsidR="00C87824"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 „</w:t>
            </w:r>
            <w:r w:rsidRPr="009F6D1E">
              <w:rPr>
                <w:rFonts w:eastAsia="Times New Roman" w:cs="Times New Roman"/>
                <w:i/>
                <w:lang w:eastAsia="bg-BG" w:bidi="bg-BG"/>
              </w:rPr>
              <w:t xml:space="preserve">Инвестиции за неселскостопански  </w:t>
            </w:r>
            <w:r w:rsidRPr="009F6D1E">
              <w:rPr>
                <w:rFonts w:eastAsia="Times New Roman" w:cs="Times New Roman"/>
                <w:i/>
                <w:lang w:eastAsia="bg-BG" w:bidi="bg-BG"/>
              </w:rPr>
              <w:lastRenderedPageBreak/>
              <w:t>дейности  в селските райони</w:t>
            </w:r>
            <w:r w:rsidRPr="009F6D1E">
              <w:rPr>
                <w:rFonts w:eastAsia="Times New Roman" w:cs="Times New Roman"/>
                <w:iCs/>
                <w:lang w:eastAsia="bg-BG" w:bidi="bg-BG"/>
              </w:rPr>
              <w:t>, чрез която се предвижда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p w14:paraId="5913D926" w14:textId="77777777" w:rsidR="002845D5" w:rsidRPr="009F6D1E" w:rsidRDefault="00CD4045" w:rsidP="0084747F">
            <w:pPr>
              <w:spacing w:after="60" w:line="264" w:lineRule="auto"/>
              <w:contextualSpacing/>
              <w:jc w:val="both"/>
              <w:rPr>
                <w:rFonts w:eastAsia="Calibri" w:cs="Times New Roman"/>
                <w:b/>
                <w:bCs/>
                <w:i/>
                <w:iCs/>
              </w:rPr>
            </w:pPr>
            <w:r w:rsidRPr="009F6D1E">
              <w:rPr>
                <w:rFonts w:eastAsia="Calibri" w:cs="Times New Roman"/>
              </w:rPr>
              <w:t>СПРЗСР</w:t>
            </w:r>
            <w:r w:rsidR="00C24C51" w:rsidRPr="009F6D1E">
              <w:rPr>
                <w:rFonts w:eastAsia="Calibri" w:cs="Times New Roman"/>
              </w:rPr>
              <w:t xml:space="preserve"> интегрира целта на Стратегията за по-зелена, нисковъглеродна Европа, като са предвидени конкретни потребности и интервенции, с принос към адаптация към изменението на климата – за опазване на биологичното разнообразие, кръгова икономика, ресурсна и енергийна ефективност.</w:t>
            </w:r>
          </w:p>
        </w:tc>
      </w:tr>
      <w:tr w:rsidR="002845D5" w:rsidRPr="009F6D1E" w14:paraId="1150D5C1" w14:textId="77777777" w:rsidTr="00981F7B">
        <w:tc>
          <w:tcPr>
            <w:tcW w:w="7139" w:type="dxa"/>
          </w:tcPr>
          <w:p w14:paraId="333CA9DC" w14:textId="77777777" w:rsidR="002845D5" w:rsidRPr="009F6D1E" w:rsidRDefault="002845D5"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Интегриран план в областта на енергетиката и климата на Република България 2021–2030 г., приет с Протокол № 8 на Министерския съвет от 27.02.2020г.</w:t>
            </w:r>
          </w:p>
          <w:p w14:paraId="394D34E3"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Основните цели:</w:t>
            </w:r>
          </w:p>
          <w:p w14:paraId="61F2CBBE"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o</w:t>
            </w:r>
            <w:r w:rsidRPr="009F6D1E">
              <w:rPr>
                <w:rFonts w:eastAsia="Calibri" w:cs="Times New Roman"/>
              </w:rPr>
              <w:tab/>
              <w:t>стимулиране на нисковъглеродно развитие на икономиката;</w:t>
            </w:r>
          </w:p>
          <w:p w14:paraId="3A7F2BB7" w14:textId="6D90855B"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o</w:t>
            </w:r>
            <w:r w:rsidRPr="009F6D1E">
              <w:rPr>
                <w:rFonts w:eastAsia="Calibri" w:cs="Times New Roman"/>
              </w:rPr>
              <w:tab/>
              <w:t>развитие на конкурент</w:t>
            </w:r>
            <w:r w:rsidR="00F31AED">
              <w:rPr>
                <w:rFonts w:eastAsia="Calibri" w:cs="Times New Roman"/>
              </w:rPr>
              <w:t>осп</w:t>
            </w:r>
            <w:r w:rsidRPr="009F6D1E">
              <w:rPr>
                <w:rFonts w:eastAsia="Calibri" w:cs="Times New Roman"/>
              </w:rPr>
              <w:t>особна и сигурна енергетика;</w:t>
            </w:r>
          </w:p>
          <w:p w14:paraId="3BBCD057"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o</w:t>
            </w:r>
            <w:r w:rsidRPr="009F6D1E">
              <w:rPr>
                <w:rFonts w:eastAsia="Calibri" w:cs="Times New Roman"/>
              </w:rPr>
              <w:tab/>
              <w:t>повишаване на енергийната ефективност чрез развитие и прилагане на нови технологии за постигане на модерна и устойчива енергетика</w:t>
            </w:r>
          </w:p>
          <w:p w14:paraId="559170AC" w14:textId="77777777" w:rsidR="002845D5" w:rsidRPr="009F6D1E" w:rsidRDefault="002845D5" w:rsidP="0084747F">
            <w:pPr>
              <w:spacing w:after="60" w:line="264" w:lineRule="auto"/>
              <w:contextualSpacing/>
              <w:jc w:val="both"/>
              <w:rPr>
                <w:rFonts w:eastAsia="Calibri" w:cs="Times New Roman"/>
                <w:b/>
                <w:bCs/>
                <w:i/>
                <w:iCs/>
              </w:rPr>
            </w:pPr>
          </w:p>
        </w:tc>
        <w:tc>
          <w:tcPr>
            <w:tcW w:w="7139" w:type="dxa"/>
          </w:tcPr>
          <w:p w14:paraId="479C52DF" w14:textId="77777777" w:rsidR="002845D5" w:rsidRPr="009F6D1E" w:rsidRDefault="002845D5" w:rsidP="0084747F">
            <w:pPr>
              <w:spacing w:after="60" w:line="264" w:lineRule="auto"/>
              <w:jc w:val="both"/>
              <w:rPr>
                <w:rFonts w:cs="Times New Roman"/>
              </w:rPr>
            </w:pPr>
            <w:r w:rsidRPr="009F6D1E">
              <w:rPr>
                <w:rFonts w:cs="Times New Roman"/>
              </w:rPr>
              <w:t xml:space="preserve">Пряко отношение и принос </w:t>
            </w:r>
            <w:r w:rsidR="000B75CB" w:rsidRPr="009F6D1E">
              <w:rPr>
                <w:rFonts w:cs="Times New Roman"/>
              </w:rPr>
              <w:t>Интегрирания план</w:t>
            </w:r>
            <w:r w:rsidRPr="009F6D1E">
              <w:rPr>
                <w:rFonts w:cs="Times New Roman"/>
              </w:rPr>
              <w:t xml:space="preserve"> имат: </w:t>
            </w:r>
          </w:p>
          <w:p w14:paraId="53240D6D" w14:textId="77777777" w:rsidR="00310B7B" w:rsidRPr="009F6D1E" w:rsidRDefault="002845D5" w:rsidP="0084747F">
            <w:pPr>
              <w:spacing w:after="60" w:line="264" w:lineRule="auto"/>
              <w:jc w:val="both"/>
              <w:rPr>
                <w:rFonts w:eastAsia="Times New Roman" w:cs="Times New Roman"/>
                <w:i/>
                <w:iCs/>
                <w:lang w:eastAsia="bg-BG" w:bidi="bg-BG"/>
              </w:rPr>
            </w:pPr>
            <w:r w:rsidRPr="009F6D1E">
              <w:rPr>
                <w:rFonts w:eastAsia="Times New Roman" w:cs="Times New Roman"/>
                <w:bCs/>
                <w:i/>
                <w:iCs/>
              </w:rPr>
              <w:t>Специфична цел 4</w:t>
            </w:r>
            <w:r w:rsidRPr="009F6D1E">
              <w:rPr>
                <w:rFonts w:eastAsia="Times New Roman" w:cs="Times New Roman"/>
                <w:b/>
                <w:i/>
                <w:iCs/>
              </w:rPr>
              <w:t>:</w:t>
            </w:r>
            <w:r w:rsidRPr="009F6D1E">
              <w:rPr>
                <w:rFonts w:eastAsia="Times New Roman" w:cs="Times New Roman"/>
                <w:i/>
                <w:iCs/>
              </w:rPr>
              <w:t xml:space="preserve"> </w:t>
            </w:r>
            <w:r w:rsidR="00310B7B" w:rsidRPr="009F6D1E">
              <w:rPr>
                <w:rFonts w:eastAsia="Times New Roman" w:cs="Times New Roman"/>
                <w:i/>
                <w:iCs/>
              </w:rPr>
              <w:t>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r w:rsidRPr="009F6D1E">
              <w:rPr>
                <w:rFonts w:eastAsia="Times New Roman" w:cs="Times New Roman"/>
                <w:i/>
                <w:iCs/>
              </w:rPr>
              <w:t xml:space="preserve"> и </w:t>
            </w:r>
            <w:r w:rsidR="00310B7B" w:rsidRPr="009F6D1E">
              <w:rPr>
                <w:rFonts w:eastAsia="Times New Roman" w:cs="Times New Roman"/>
                <w:i/>
                <w:iCs/>
              </w:rPr>
              <w:t xml:space="preserve">Потребност </w:t>
            </w:r>
            <w:r w:rsidR="00310B7B" w:rsidRPr="009F6D1E">
              <w:rPr>
                <w:rFonts w:eastAsia="Times New Roman" w:cs="Times New Roman"/>
                <w:i/>
                <w:iCs/>
                <w:lang w:eastAsia="bg-BG" w:bidi="bg-BG"/>
              </w:rPr>
              <w:t xml:space="preserve">П.4.3.Производство на енергия от възобновяеми източници от селското стопанство (от водна, вятърна, слънчева, геотермална енергия и остатъчна/отпадъчна биомаса от селското стопанство),Интервенция „Инвестиции в екологични съоръжения“, сред чиито допустими дейности е възможността </w:t>
            </w:r>
            <w:r w:rsidR="00310B7B" w:rsidRPr="009F6D1E">
              <w:rPr>
                <w:rFonts w:eastAsia="Times New Roman" w:cs="Times New Roman"/>
                <w:i/>
                <w:iCs/>
                <w:lang w:eastAsia="bg-BG" w:bidi="bg-BG"/>
              </w:rPr>
              <w:lastRenderedPageBreak/>
              <w:t>за изграждане на инсталации за производство на енергия от възобновяеми енергийни източници.</w:t>
            </w:r>
          </w:p>
          <w:p w14:paraId="2923F553" w14:textId="77777777" w:rsidR="002845D5" w:rsidRPr="009F6D1E" w:rsidRDefault="002845D5" w:rsidP="0084747F">
            <w:pPr>
              <w:widowControl w:val="0"/>
              <w:spacing w:after="60" w:line="264" w:lineRule="auto"/>
              <w:jc w:val="both"/>
              <w:rPr>
                <w:rFonts w:cs="Times New Roman"/>
                <w:i/>
              </w:rPr>
            </w:pPr>
            <w:r w:rsidRPr="009F6D1E">
              <w:rPr>
                <w:rFonts w:cs="Times New Roman"/>
                <w:i/>
              </w:rPr>
              <w:t>Специфична цел №2 – потребност</w:t>
            </w:r>
            <w:r w:rsidR="00310B7B" w:rsidRPr="009F6D1E">
              <w:rPr>
                <w:rFonts w:cs="Times New Roman"/>
                <w:lang w:bidi="bg-BG"/>
              </w:rPr>
              <w:t xml:space="preserve"> </w:t>
            </w:r>
            <w:r w:rsidR="00310B7B" w:rsidRPr="009F6D1E">
              <w:rPr>
                <w:rFonts w:cs="Times New Roman"/>
                <w:i/>
              </w:rPr>
              <w:t xml:space="preserve">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 </w:t>
            </w:r>
            <w:r w:rsidRPr="009F6D1E">
              <w:rPr>
                <w:rFonts w:eastAsia="Times New Roman" w:cs="Times New Roman"/>
                <w:lang w:eastAsia="bg-BG" w:bidi="bg-BG"/>
              </w:rPr>
              <w:t>и интервенциите към нея.</w:t>
            </w:r>
            <w:r w:rsidRPr="009F6D1E">
              <w:rPr>
                <w:rFonts w:eastAsia="Times New Roman" w:cs="Times New Roman"/>
                <w:i/>
                <w:iCs/>
                <w:lang w:eastAsia="bg-BG" w:bidi="bg-BG"/>
              </w:rPr>
              <w:t>;</w:t>
            </w:r>
          </w:p>
          <w:p w14:paraId="63874C1D" w14:textId="77777777" w:rsidR="002845D5" w:rsidRPr="009F6D1E" w:rsidRDefault="002845D5" w:rsidP="0084747F">
            <w:pPr>
              <w:widowControl w:val="0"/>
              <w:spacing w:after="60" w:line="264" w:lineRule="auto"/>
              <w:jc w:val="both"/>
              <w:rPr>
                <w:rFonts w:cs="Times New Roman"/>
                <w:bCs/>
                <w:i/>
              </w:rPr>
            </w:pPr>
            <w:r w:rsidRPr="009F6D1E">
              <w:rPr>
                <w:rFonts w:cs="Times New Roman"/>
                <w:bCs/>
                <w:i/>
              </w:rPr>
              <w:t>Специфична цел № 8 – потребност</w:t>
            </w:r>
            <w:r w:rsidR="00601E02" w:rsidRPr="009F6D1E">
              <w:rPr>
                <w:rFonts w:cs="Times New Roman"/>
                <w:lang w:bidi="bg-BG"/>
              </w:rPr>
              <w:t xml:space="preserve"> </w:t>
            </w:r>
            <w:r w:rsidR="00601E02"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587FE201" w14:textId="77777777" w:rsidR="002845D5" w:rsidRPr="009F6D1E" w:rsidRDefault="002845D5" w:rsidP="0084747F">
            <w:pPr>
              <w:widowControl w:val="0"/>
              <w:spacing w:after="60" w:line="264" w:lineRule="auto"/>
              <w:jc w:val="both"/>
              <w:rPr>
                <w:rFonts w:cs="Times New Roman"/>
                <w:iCs/>
              </w:rPr>
            </w:pPr>
            <w:r w:rsidRPr="009F6D1E">
              <w:rPr>
                <w:rFonts w:cs="Times New Roman"/>
                <w:iCs/>
              </w:rPr>
              <w:t>Косвен принос имат:</w:t>
            </w:r>
          </w:p>
          <w:p w14:paraId="3D0E28AA" w14:textId="77777777" w:rsidR="002845D5" w:rsidRPr="009F6D1E" w:rsidRDefault="002845D5" w:rsidP="0084747F">
            <w:pPr>
              <w:widowControl w:val="0"/>
              <w:spacing w:after="60" w:line="264" w:lineRule="auto"/>
              <w:jc w:val="both"/>
              <w:rPr>
                <w:rFonts w:eastAsia="Times New Roman" w:cs="Times New Roman"/>
                <w:lang w:eastAsia="bg-BG" w:bidi="bg-BG"/>
              </w:rPr>
            </w:pPr>
            <w:r w:rsidRPr="009F6D1E">
              <w:rPr>
                <w:rFonts w:cs="Times New Roman"/>
                <w:i/>
              </w:rPr>
              <w:t xml:space="preserve">Специфична цел №1 – </w:t>
            </w:r>
            <w:r w:rsidR="00601E02" w:rsidRPr="009F6D1E">
              <w:rPr>
                <w:rFonts w:cs="Times New Roman"/>
                <w:i/>
              </w:rPr>
              <w:t>П</w:t>
            </w:r>
            <w:r w:rsidRPr="009F6D1E">
              <w:rPr>
                <w:rFonts w:cs="Times New Roman"/>
                <w:i/>
              </w:rPr>
              <w:t>отребност</w:t>
            </w:r>
            <w:r w:rsidR="00601E02" w:rsidRPr="009F6D1E">
              <w:rPr>
                <w:rFonts w:cs="Times New Roman"/>
                <w:lang w:bidi="bg-BG"/>
              </w:rPr>
              <w:t xml:space="preserve"> </w:t>
            </w:r>
            <w:r w:rsidR="00601E02" w:rsidRPr="009F6D1E">
              <w:rPr>
                <w:rFonts w:cs="Times New Roman"/>
                <w:i/>
              </w:rPr>
              <w:t>П.1.5. Надграждане и диверсифициране на системата за управление на риска и управление на кризите в земеделието</w:t>
            </w:r>
            <w:r w:rsidR="00601E02" w:rsidRPr="009F6D1E">
              <w:rPr>
                <w:rFonts w:cs="Times New Roman"/>
                <w:i/>
                <w:lang w:bidi="bg-BG"/>
              </w:rPr>
              <w:t xml:space="preserve"> </w:t>
            </w:r>
            <w:r w:rsidRPr="009F6D1E">
              <w:rPr>
                <w:rFonts w:eastAsia="Times New Roman" w:cs="Times New Roman"/>
                <w:lang w:eastAsia="bg-BG" w:bidi="bg-BG"/>
              </w:rPr>
              <w:t>и интервенциите към нея.</w:t>
            </w:r>
          </w:p>
          <w:p w14:paraId="633AD59A" w14:textId="77777777" w:rsidR="002845D5" w:rsidRPr="009F6D1E" w:rsidRDefault="002845D5" w:rsidP="0084747F">
            <w:pPr>
              <w:spacing w:after="60" w:line="264" w:lineRule="auto"/>
              <w:contextualSpacing/>
              <w:jc w:val="both"/>
              <w:rPr>
                <w:rFonts w:eastAsia="Times New Roman" w:cs="Times New Roman"/>
                <w:i/>
                <w:lang w:eastAsia="bg-BG" w:bidi="bg-BG"/>
              </w:rPr>
            </w:pPr>
            <w:r w:rsidRPr="009F6D1E">
              <w:rPr>
                <w:rFonts w:eastAsia="Times New Roman" w:cs="Times New Roman"/>
                <w:i/>
                <w:iCs/>
                <w:lang w:eastAsia="bg-BG" w:bidi="bg-BG"/>
              </w:rPr>
              <w:t>Специфична цел №: 7</w:t>
            </w:r>
            <w:r w:rsidRPr="009F6D1E">
              <w:rPr>
                <w:rFonts w:eastAsia="Times New Roman" w:cs="Times New Roman"/>
                <w:lang w:eastAsia="bg-BG" w:bidi="bg-BG"/>
              </w:rPr>
              <w:t xml:space="preserve"> - </w:t>
            </w:r>
            <w:r w:rsidRPr="009F6D1E">
              <w:rPr>
                <w:rFonts w:cs="Times New Roman"/>
                <w:i/>
              </w:rPr>
              <w:t>потребност</w:t>
            </w:r>
            <w:r w:rsidR="00BF1CF0" w:rsidRPr="009F6D1E">
              <w:rPr>
                <w:rFonts w:cs="Times New Roman"/>
              </w:rPr>
              <w:t xml:space="preserve"> </w:t>
            </w:r>
            <w:r w:rsidR="00BF1CF0" w:rsidRPr="009F6D1E">
              <w:rPr>
                <w:rFonts w:cs="Times New Roman"/>
                <w:i/>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 „</w:t>
            </w:r>
            <w:r w:rsidRPr="009F6D1E">
              <w:rPr>
                <w:rFonts w:eastAsia="Times New Roman" w:cs="Times New Roman"/>
                <w:i/>
                <w:lang w:eastAsia="bg-BG" w:bidi="bg-BG"/>
              </w:rPr>
              <w:t>Инвестиции за неселскостопански  дейности  в селските райони</w:t>
            </w:r>
            <w:r w:rsidRPr="009F6D1E">
              <w:rPr>
                <w:rFonts w:eastAsia="Times New Roman" w:cs="Times New Roman"/>
                <w:iCs/>
                <w:lang w:eastAsia="bg-BG" w:bidi="bg-BG"/>
              </w:rPr>
              <w:t xml:space="preserve">, чрез която се предвижда </w:t>
            </w:r>
            <w:r w:rsidR="00BF1CF0" w:rsidRPr="009F6D1E">
              <w:rPr>
                <w:rFonts w:cs="Times New Roman"/>
                <w:lang w:bidi="bg-BG"/>
              </w:rPr>
              <w:t xml:space="preserve">подкрепа за инвестиции за развитие на икономически дейности, което ще </w:t>
            </w:r>
            <w:r w:rsidR="00BF1CF0" w:rsidRPr="009F6D1E">
              <w:rPr>
                <w:rFonts w:cs="Times New Roman"/>
                <w:lang w:bidi="bg-BG"/>
              </w:rPr>
              <w:lastRenderedPageBreak/>
              <w:t>спомогне стопанствата в България да се диверсифицират към други неземеделски дейности и да минимизират риска от нестабилност на доходите</w:t>
            </w:r>
            <w:r w:rsidRPr="009F6D1E">
              <w:rPr>
                <w:rFonts w:eastAsia="Times New Roman" w:cs="Times New Roman"/>
                <w:i/>
                <w:lang w:eastAsia="bg-BG" w:bidi="bg-BG"/>
              </w:rPr>
              <w:t>.</w:t>
            </w:r>
          </w:p>
          <w:p w14:paraId="63215899" w14:textId="77777777" w:rsidR="000B75CB" w:rsidRPr="009F6D1E" w:rsidRDefault="00CD4045" w:rsidP="0084747F">
            <w:pPr>
              <w:spacing w:after="60" w:line="264" w:lineRule="auto"/>
              <w:contextualSpacing/>
              <w:jc w:val="both"/>
              <w:rPr>
                <w:rFonts w:cs="Times New Roman"/>
              </w:rPr>
            </w:pPr>
            <w:r w:rsidRPr="009F6D1E">
              <w:rPr>
                <w:rFonts w:eastAsia="Calibri" w:cs="Times New Roman"/>
              </w:rPr>
              <w:t>СПРЗСР</w:t>
            </w:r>
            <w:r w:rsidR="000B75CB" w:rsidRPr="009F6D1E">
              <w:rPr>
                <w:rFonts w:eastAsia="Calibri" w:cs="Times New Roman"/>
              </w:rPr>
              <w:t xml:space="preserve"> интегрира целта на плана за по-зелена, нисковъглеродна Европа, като са предвидени конкретни дейности и мерки, с принос към адаптация към изменението на климата – за опазване на биологичното разнообразие, кръгова икономика, ресурсна и енергийна ефективност.</w:t>
            </w:r>
          </w:p>
        </w:tc>
      </w:tr>
      <w:tr w:rsidR="002845D5" w:rsidRPr="009F6D1E" w14:paraId="52ACD21E" w14:textId="77777777" w:rsidTr="00981F7B">
        <w:tc>
          <w:tcPr>
            <w:tcW w:w="7139" w:type="dxa"/>
          </w:tcPr>
          <w:p w14:paraId="6524FD5D" w14:textId="77777777" w:rsidR="002845D5" w:rsidRPr="009F6D1E" w:rsidRDefault="002845D5"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Национална програма за развитие България 2030 г. (приета с Протокол № 67 на Министерски съвет от 02.12.2020 г.)</w:t>
            </w:r>
          </w:p>
          <w:p w14:paraId="5718D816" w14:textId="77777777" w:rsidR="002845D5" w:rsidRPr="009F6D1E" w:rsidRDefault="002845D5" w:rsidP="0084747F">
            <w:pPr>
              <w:spacing w:after="60" w:line="264" w:lineRule="auto"/>
              <w:contextualSpacing/>
              <w:jc w:val="both"/>
              <w:rPr>
                <w:rFonts w:eastAsia="Calibri" w:cs="Times New Roman"/>
                <w:u w:val="single"/>
              </w:rPr>
            </w:pPr>
            <w:r w:rsidRPr="009F6D1E">
              <w:rPr>
                <w:rFonts w:eastAsia="Calibri" w:cs="Times New Roman"/>
                <w:u w:val="single"/>
              </w:rPr>
              <w:t>13 национални приоритета:</w:t>
            </w:r>
          </w:p>
          <w:p w14:paraId="6F26B522"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П1. Образование и умения;</w:t>
            </w:r>
          </w:p>
          <w:p w14:paraId="3AFFBDD5"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П2. Наука и научна инфраструктура;</w:t>
            </w:r>
          </w:p>
          <w:p w14:paraId="00225E30"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П3. Интелигентна индустрия;</w:t>
            </w:r>
          </w:p>
          <w:p w14:paraId="418407B1"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П4. Кръгова и нисковъглеродна икономика;</w:t>
            </w:r>
          </w:p>
          <w:p w14:paraId="0127EA3F"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П5. Чист въздух и биоразнообразие;</w:t>
            </w:r>
          </w:p>
          <w:p w14:paraId="735225AF"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П6. Устойчиво селско стопанство;</w:t>
            </w:r>
          </w:p>
          <w:p w14:paraId="317CB0A0"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П7. Транспортна свързаност;</w:t>
            </w:r>
          </w:p>
          <w:p w14:paraId="1790A77E"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П8. Цифрова свързаност;</w:t>
            </w:r>
          </w:p>
          <w:p w14:paraId="23765D8C"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П9. Местно развитие;</w:t>
            </w:r>
          </w:p>
          <w:p w14:paraId="0EEF965C"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П10. Институционална рамка;</w:t>
            </w:r>
          </w:p>
          <w:p w14:paraId="1867FA60"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П11. Социално включване;</w:t>
            </w:r>
          </w:p>
          <w:p w14:paraId="67FCFC21"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lastRenderedPageBreak/>
              <w:t>П12. Здраве и спорт;</w:t>
            </w:r>
          </w:p>
          <w:p w14:paraId="6F617439" w14:textId="77777777" w:rsidR="002845D5" w:rsidRPr="009F6D1E" w:rsidRDefault="002845D5" w:rsidP="0084747F">
            <w:pPr>
              <w:spacing w:after="60" w:line="264" w:lineRule="auto"/>
              <w:contextualSpacing/>
              <w:jc w:val="both"/>
              <w:rPr>
                <w:rFonts w:eastAsia="Calibri" w:cs="Times New Roman"/>
              </w:rPr>
            </w:pPr>
            <w:r w:rsidRPr="009F6D1E">
              <w:rPr>
                <w:rFonts w:eastAsia="Calibri" w:cs="Times New Roman"/>
              </w:rPr>
              <w:t>П13. Култура, наследство и туризъм.</w:t>
            </w:r>
          </w:p>
          <w:p w14:paraId="08B4A0AD" w14:textId="77777777" w:rsidR="002845D5" w:rsidRPr="009F6D1E" w:rsidRDefault="002845D5" w:rsidP="0084747F">
            <w:pPr>
              <w:spacing w:after="60" w:line="264" w:lineRule="auto"/>
              <w:contextualSpacing/>
              <w:jc w:val="both"/>
              <w:rPr>
                <w:rFonts w:eastAsia="Calibri" w:cs="Times New Roman"/>
                <w:b/>
                <w:bCs/>
                <w:i/>
                <w:iCs/>
              </w:rPr>
            </w:pPr>
          </w:p>
        </w:tc>
        <w:tc>
          <w:tcPr>
            <w:tcW w:w="7139" w:type="dxa"/>
          </w:tcPr>
          <w:p w14:paraId="1484CAF7" w14:textId="77777777" w:rsidR="00EC6C2C" w:rsidRPr="009F6D1E" w:rsidRDefault="00EC6C2C" w:rsidP="0084747F">
            <w:pPr>
              <w:spacing w:after="60" w:line="264" w:lineRule="auto"/>
              <w:jc w:val="both"/>
              <w:rPr>
                <w:rFonts w:cs="Times New Roman"/>
              </w:rPr>
            </w:pPr>
            <w:r w:rsidRPr="009F6D1E">
              <w:rPr>
                <w:rFonts w:cs="Times New Roman"/>
              </w:rPr>
              <w:lastRenderedPageBreak/>
              <w:t xml:space="preserve">Комплексен принос имат всички предвиждания на </w:t>
            </w:r>
            <w:r w:rsidR="00CD4045" w:rsidRPr="009F6D1E">
              <w:rPr>
                <w:rFonts w:cs="Times New Roman"/>
              </w:rPr>
              <w:t>СПРЗСР</w:t>
            </w:r>
            <w:r w:rsidRPr="009F6D1E">
              <w:rPr>
                <w:rFonts w:cs="Times New Roman"/>
              </w:rPr>
              <w:t xml:space="preserve">, относими към: преход към кръгова и ресурсно ефективна икономика; реформи за икономически растеж и подобряване на бизнес средата, действията за намаляване на замърсяването – свързани с подобряване състоянието на околната среда, благосъстоянието на населението и качеството на живот, и по-конкретно: </w:t>
            </w:r>
          </w:p>
          <w:p w14:paraId="456B2F76" w14:textId="7DFDF715" w:rsidR="002845D5" w:rsidRPr="009F6D1E" w:rsidRDefault="00EC6C2C" w:rsidP="0084747F">
            <w:pPr>
              <w:spacing w:after="60" w:line="264" w:lineRule="auto"/>
              <w:contextualSpacing/>
              <w:jc w:val="both"/>
              <w:rPr>
                <w:rFonts w:cs="Times New Roman"/>
              </w:rPr>
            </w:pPr>
            <w:r w:rsidRPr="009F6D1E">
              <w:rPr>
                <w:rFonts w:cs="Times New Roman"/>
              </w:rPr>
              <w:t xml:space="preserve">По </w:t>
            </w:r>
            <w:r w:rsidRPr="009F6D1E">
              <w:rPr>
                <w:rFonts w:cs="Times New Roman"/>
                <w:b/>
                <w:bCs/>
              </w:rPr>
              <w:t>П1</w:t>
            </w:r>
            <w:r w:rsidRPr="009F6D1E">
              <w:rPr>
                <w:rFonts w:cs="Times New Roman"/>
              </w:rPr>
              <w:t xml:space="preserve"> и </w:t>
            </w:r>
            <w:r w:rsidRPr="009F6D1E">
              <w:rPr>
                <w:rFonts w:cs="Times New Roman"/>
                <w:b/>
                <w:bCs/>
              </w:rPr>
              <w:t xml:space="preserve">П2 </w:t>
            </w:r>
            <w:r w:rsidRPr="009F6D1E">
              <w:rPr>
                <w:rFonts w:cs="Times New Roman"/>
              </w:rPr>
              <w:t xml:space="preserve">принос имат </w:t>
            </w:r>
            <w:r w:rsidRPr="009F6D1E">
              <w:rPr>
                <w:rFonts w:cs="Times New Roman"/>
                <w:i/>
                <w:iCs/>
              </w:rPr>
              <w:t xml:space="preserve">Специфична цел №2: </w:t>
            </w:r>
            <w:r w:rsidR="00BF1CF0" w:rsidRPr="009F6D1E">
              <w:rPr>
                <w:rFonts w:cs="Times New Roman"/>
                <w:i/>
                <w:iCs/>
              </w:rPr>
              <w:t>Засилване на пазарната ориентация и повишаване на конкурент</w:t>
            </w:r>
            <w:r w:rsidR="00F31AED">
              <w:rPr>
                <w:rFonts w:cs="Times New Roman"/>
                <w:i/>
                <w:iCs/>
              </w:rPr>
              <w:t>осп</w:t>
            </w:r>
            <w:r w:rsidR="00BF1CF0" w:rsidRPr="009F6D1E">
              <w:rPr>
                <w:rFonts w:cs="Times New Roman"/>
                <w:i/>
                <w:iCs/>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r w:rsidRPr="009F6D1E">
              <w:rPr>
                <w:rFonts w:cs="Times New Roman"/>
              </w:rPr>
              <w:t xml:space="preserve"> и </w:t>
            </w:r>
            <w:r w:rsidRPr="009F6D1E">
              <w:rPr>
                <w:rFonts w:cs="Times New Roman"/>
                <w:i/>
                <w:iCs/>
              </w:rPr>
              <w:t xml:space="preserve">Специфична цел № 8: </w:t>
            </w:r>
            <w:r w:rsidR="00BF1CF0" w:rsidRPr="009F6D1E">
              <w:rPr>
                <w:rFonts w:cs="Times New Roman"/>
                <w:i/>
                <w:iCs/>
              </w:rPr>
              <w:t xml:space="preserve">Насърчаване на заетостта, растежа, равенството между половете, включително участието на жените в </w:t>
            </w:r>
            <w:r w:rsidR="00BF1CF0" w:rsidRPr="009F6D1E">
              <w:rPr>
                <w:rFonts w:cs="Times New Roman"/>
                <w:i/>
                <w:iCs/>
              </w:rPr>
              <w:lastRenderedPageBreak/>
              <w:t>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 и</w:t>
            </w:r>
            <w:r w:rsidRPr="009F6D1E">
              <w:rPr>
                <w:rFonts w:cs="Times New Roman"/>
              </w:rPr>
              <w:t xml:space="preserve"> интервенциите към тях.</w:t>
            </w:r>
          </w:p>
          <w:p w14:paraId="3C089184" w14:textId="77777777" w:rsidR="00FC6914" w:rsidRPr="009F6D1E" w:rsidRDefault="00EC6C2C" w:rsidP="0084747F">
            <w:pPr>
              <w:spacing w:after="60" w:line="264" w:lineRule="auto"/>
              <w:contextualSpacing/>
              <w:jc w:val="both"/>
              <w:rPr>
                <w:rFonts w:cs="Times New Roman"/>
              </w:rPr>
            </w:pPr>
            <w:r w:rsidRPr="009F6D1E">
              <w:rPr>
                <w:rFonts w:cs="Times New Roman"/>
                <w:b/>
                <w:bCs/>
              </w:rPr>
              <w:t>По П3</w:t>
            </w:r>
            <w:r w:rsidR="00FC6914" w:rsidRPr="009F6D1E">
              <w:rPr>
                <w:rFonts w:cs="Times New Roman"/>
                <w:b/>
                <w:bCs/>
              </w:rPr>
              <w:t xml:space="preserve">, П8 </w:t>
            </w:r>
            <w:r w:rsidRPr="009F6D1E">
              <w:rPr>
                <w:rFonts w:cs="Times New Roman"/>
              </w:rPr>
              <w:t xml:space="preserve"> </w:t>
            </w:r>
            <w:r w:rsidR="00FC6914" w:rsidRPr="009F6D1E">
              <w:rPr>
                <w:rFonts w:cs="Times New Roman"/>
                <w:b/>
                <w:bCs/>
              </w:rPr>
              <w:t>и П10</w:t>
            </w:r>
            <w:r w:rsidR="00FC6914" w:rsidRPr="009F6D1E">
              <w:rPr>
                <w:rFonts w:cs="Times New Roman"/>
              </w:rPr>
              <w:t xml:space="preserve"> </w:t>
            </w:r>
            <w:r w:rsidRPr="009F6D1E">
              <w:rPr>
                <w:rFonts w:cs="Times New Roman"/>
              </w:rPr>
              <w:t>принос има</w:t>
            </w:r>
            <w:r w:rsidR="00FC6914" w:rsidRPr="009F6D1E">
              <w:rPr>
                <w:rFonts w:cs="Times New Roman"/>
              </w:rPr>
              <w:t>:</w:t>
            </w:r>
          </w:p>
          <w:p w14:paraId="2FC35204" w14:textId="77777777" w:rsidR="00EC6C2C" w:rsidRPr="009F6D1E" w:rsidRDefault="00EC6C2C" w:rsidP="0084747F">
            <w:pPr>
              <w:spacing w:after="60" w:line="264" w:lineRule="auto"/>
              <w:contextualSpacing/>
              <w:jc w:val="both"/>
              <w:rPr>
                <w:rFonts w:cs="Times New Roman"/>
              </w:rPr>
            </w:pPr>
            <w:r w:rsidRPr="009F6D1E">
              <w:rPr>
                <w:rFonts w:cs="Times New Roman"/>
              </w:rPr>
              <w:t xml:space="preserve"> </w:t>
            </w:r>
            <w:r w:rsidRPr="009F6D1E">
              <w:rPr>
                <w:rFonts w:cs="Times New Roman"/>
                <w:i/>
                <w:iCs/>
              </w:rPr>
              <w:t xml:space="preserve">Специфична цел №: 7 </w:t>
            </w:r>
            <w:r w:rsidR="00B841E6" w:rsidRPr="009F6D1E">
              <w:rPr>
                <w:rFonts w:cs="Times New Roman"/>
                <w:i/>
                <w:iCs/>
              </w:rPr>
              <w:t>Привличане и подкрепа на млади земеделски стопани и други нови земеделски стопани и улесняване на устойчивото развитие на стопанска дейност в селските райони</w:t>
            </w:r>
            <w:r w:rsidRPr="009F6D1E">
              <w:rPr>
                <w:rFonts w:cs="Times New Roman"/>
              </w:rPr>
              <w:t xml:space="preserve"> и предвидените инвестиции за неселскостопански  дейности  в селските райони. С инвестиции за въвеждане на нови технологии и цифровизация на бизнес процесите ще се подобрят позициите на микропредприятията на местния и международния пазар, както и тяхната рентабилност.</w:t>
            </w:r>
          </w:p>
          <w:p w14:paraId="732E2DDB" w14:textId="163616F0" w:rsidR="00FC6914" w:rsidRPr="009F6D1E" w:rsidRDefault="00FC6914" w:rsidP="0084747F">
            <w:pPr>
              <w:spacing w:after="60" w:line="264" w:lineRule="auto"/>
              <w:contextualSpacing/>
              <w:jc w:val="both"/>
              <w:rPr>
                <w:rFonts w:cs="Times New Roman"/>
              </w:rPr>
            </w:pPr>
            <w:r w:rsidRPr="009F6D1E">
              <w:rPr>
                <w:rFonts w:cs="Times New Roman"/>
                <w:i/>
                <w:iCs/>
              </w:rPr>
              <w:t xml:space="preserve">Специфична цел </w:t>
            </w:r>
            <w:r w:rsidR="00B841E6" w:rsidRPr="009F6D1E">
              <w:rPr>
                <w:rFonts w:cs="Times New Roman"/>
                <w:i/>
                <w:iCs/>
              </w:rPr>
              <w:t>№</w:t>
            </w:r>
            <w:r w:rsidRPr="009F6D1E">
              <w:rPr>
                <w:rFonts w:cs="Times New Roman"/>
                <w:i/>
                <w:iCs/>
              </w:rPr>
              <w:t xml:space="preserve">2 </w:t>
            </w:r>
            <w:r w:rsidR="00BF1CF0" w:rsidRPr="009F6D1E">
              <w:rPr>
                <w:rFonts w:cs="Times New Roman"/>
                <w:i/>
                <w:iCs/>
              </w:rPr>
              <w:t>Засилване на пазарната ориентация и повишаване на конкурент</w:t>
            </w:r>
            <w:r w:rsidR="00F31AED">
              <w:rPr>
                <w:rFonts w:cs="Times New Roman"/>
                <w:i/>
                <w:iCs/>
              </w:rPr>
              <w:t>осп</w:t>
            </w:r>
            <w:r w:rsidR="00BF1CF0" w:rsidRPr="009F6D1E">
              <w:rPr>
                <w:rFonts w:cs="Times New Roman"/>
                <w:i/>
                <w:iCs/>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r w:rsidRPr="009F6D1E">
              <w:rPr>
                <w:rFonts w:cs="Times New Roman"/>
              </w:rPr>
              <w:t xml:space="preserve"> чрез Инвестиции в земеделските стопанства.</w:t>
            </w:r>
          </w:p>
          <w:p w14:paraId="4DA2128F" w14:textId="77777777" w:rsidR="00EC6C2C" w:rsidRPr="009F6D1E" w:rsidRDefault="00EC6C2C" w:rsidP="0084747F">
            <w:pPr>
              <w:widowControl w:val="0"/>
              <w:spacing w:after="60" w:line="264" w:lineRule="auto"/>
              <w:jc w:val="both"/>
              <w:rPr>
                <w:rFonts w:cs="Times New Roman"/>
                <w:bCs/>
                <w:i/>
              </w:rPr>
            </w:pPr>
            <w:r w:rsidRPr="009F6D1E">
              <w:rPr>
                <w:rFonts w:cs="Times New Roman"/>
                <w:b/>
                <w:bCs/>
              </w:rPr>
              <w:t>По П4</w:t>
            </w:r>
            <w:r w:rsidRPr="009F6D1E">
              <w:rPr>
                <w:rFonts w:cs="Times New Roman"/>
              </w:rPr>
              <w:t xml:space="preserve"> принос има </w:t>
            </w:r>
            <w:r w:rsidRPr="009F6D1E">
              <w:rPr>
                <w:rFonts w:cs="Times New Roman"/>
                <w:bCs/>
                <w:i/>
              </w:rPr>
              <w:t>Специфична цел № 8 – потребност</w:t>
            </w:r>
            <w:r w:rsidR="00B841E6" w:rsidRPr="009F6D1E">
              <w:rPr>
                <w:rFonts w:cs="Times New Roman"/>
                <w:lang w:bidi="bg-BG"/>
              </w:rPr>
              <w:t xml:space="preserve"> </w:t>
            </w:r>
            <w:r w:rsidR="00B841E6" w:rsidRPr="009F6D1E">
              <w:rPr>
                <w:rFonts w:cs="Times New Roman"/>
                <w:bCs/>
                <w:i/>
              </w:rPr>
              <w:t>П.8.1. Диверсификация на икономическата дейност. Стимулиране на нови производства в областта на биоикономиката и кръговата икономика</w:t>
            </w:r>
            <w:r w:rsidRPr="009F6D1E">
              <w:rPr>
                <w:rFonts w:eastAsia="Times New Roman" w:cs="Times New Roman"/>
                <w:lang w:eastAsia="bg-BG" w:bidi="bg-BG"/>
              </w:rPr>
              <w:t xml:space="preserve"> и интервенциите към нея.</w:t>
            </w:r>
            <w:r w:rsidRPr="009F6D1E">
              <w:rPr>
                <w:rFonts w:eastAsia="Times New Roman" w:cs="Times New Roman"/>
                <w:i/>
                <w:iCs/>
                <w:lang w:eastAsia="bg-BG" w:bidi="bg-BG"/>
              </w:rPr>
              <w:t>;</w:t>
            </w:r>
          </w:p>
          <w:p w14:paraId="5DAED648" w14:textId="77777777" w:rsidR="00C8235E" w:rsidRPr="009F6D1E" w:rsidRDefault="00C8235E" w:rsidP="0084747F">
            <w:pPr>
              <w:spacing w:after="60" w:line="264" w:lineRule="auto"/>
              <w:jc w:val="both"/>
              <w:rPr>
                <w:rFonts w:eastAsia="Calibri" w:cs="Times New Roman"/>
                <w:lang w:bidi="bg-BG"/>
              </w:rPr>
            </w:pPr>
            <w:r w:rsidRPr="009F6D1E">
              <w:rPr>
                <w:rFonts w:cs="Times New Roman"/>
                <w:b/>
                <w:bCs/>
              </w:rPr>
              <w:lastRenderedPageBreak/>
              <w:t>По П5</w:t>
            </w:r>
            <w:r w:rsidRPr="009F6D1E">
              <w:rPr>
                <w:rFonts w:cs="Times New Roman"/>
              </w:rPr>
              <w:t xml:space="preserve"> принос има </w:t>
            </w:r>
            <w:r w:rsidR="00B841E6" w:rsidRPr="009F6D1E">
              <w:rPr>
                <w:rFonts w:eastAsia="Times New Roman" w:cs="Times New Roman"/>
                <w:i/>
                <w:iCs/>
                <w:lang w:eastAsia="bg-BG" w:bidi="bg-BG"/>
              </w:rPr>
              <w:t>Интервенцията „Горско-екологични дейности в горите“</w:t>
            </w:r>
            <w:r w:rsidR="00B841E6" w:rsidRPr="009F6D1E">
              <w:rPr>
                <w:rFonts w:eastAsia="Times New Roman" w:cs="Times New Roman"/>
                <w:iCs/>
                <w:lang w:eastAsia="bg-BG" w:bidi="bg-BG"/>
              </w:rPr>
              <w:t xml:space="preserve"> към</w:t>
            </w:r>
            <w:r w:rsidR="00B841E6" w:rsidRPr="009F6D1E">
              <w:rPr>
                <w:rFonts w:eastAsia="Times New Roman" w:cs="Times New Roman"/>
                <w:b/>
                <w:iCs/>
                <w:lang w:eastAsia="bg-BG" w:bidi="bg-BG"/>
              </w:rPr>
              <w:t xml:space="preserve"> </w:t>
            </w:r>
            <w:r w:rsidR="00B841E6" w:rsidRPr="009F6D1E">
              <w:rPr>
                <w:rFonts w:eastAsia="Times New Roman" w:cs="Times New Roman"/>
                <w:i/>
                <w:iCs/>
                <w:lang w:eastAsia="bg-BG" w:bidi="bg-BG"/>
              </w:rPr>
              <w:t>Потребност 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  -  Специфична цел №4</w:t>
            </w:r>
            <w:r w:rsidR="00B841E6" w:rsidRPr="009F6D1E">
              <w:rPr>
                <w:rFonts w:eastAsia="Times New Roman" w:cs="Times New Roman"/>
                <w:iCs/>
                <w:lang w:eastAsia="bg-BG" w:bidi="bg-BG"/>
              </w:rPr>
              <w:t xml:space="preserve">. </w:t>
            </w:r>
            <w:r w:rsidRPr="009F6D1E">
              <w:rPr>
                <w:rFonts w:eastAsia="Times New Roman" w:cs="Times New Roman"/>
                <w:i/>
                <w:lang w:eastAsia="bg-BG" w:bidi="bg-BG"/>
              </w:rPr>
              <w:t xml:space="preserve">  </w:t>
            </w:r>
            <w:r w:rsidR="00B841E6" w:rsidRPr="009F6D1E">
              <w:rPr>
                <w:rFonts w:eastAsia="Calibri" w:cs="Times New Roman"/>
                <w:lang w:bidi="bg-BG"/>
              </w:rPr>
              <w:t xml:space="preserve">Управлението на българските гори е ключов фактор за опазване на биологичното и </w:t>
            </w:r>
            <w:proofErr w:type="spellStart"/>
            <w:r w:rsidR="00B841E6" w:rsidRPr="009F6D1E">
              <w:rPr>
                <w:rFonts w:eastAsia="Calibri" w:cs="Times New Roman"/>
                <w:lang w:bidi="bg-BG"/>
              </w:rPr>
              <w:t>ландшафтно</w:t>
            </w:r>
            <w:proofErr w:type="spellEnd"/>
            <w:r w:rsidR="00B841E6" w:rsidRPr="009F6D1E">
              <w:rPr>
                <w:rFonts w:eastAsia="Calibri" w:cs="Times New Roman"/>
                <w:lang w:bidi="bg-BG"/>
              </w:rPr>
              <w:t xml:space="preserve"> разнообразие у нас. Горските територии и горите на България съхраняват над 80 % от защитените видове растения, над 60 % от застрашените от изчезване видове животни, над 60% от приоритетните за опазване видове местообитания и осем от дванадесетте </w:t>
            </w:r>
            <w:proofErr w:type="spellStart"/>
            <w:r w:rsidR="00B841E6" w:rsidRPr="009F6D1E">
              <w:rPr>
                <w:rFonts w:eastAsia="Calibri" w:cs="Times New Roman"/>
                <w:lang w:bidi="bg-BG"/>
              </w:rPr>
              <w:t>ландшафтни</w:t>
            </w:r>
            <w:proofErr w:type="spellEnd"/>
            <w:r w:rsidR="00B841E6" w:rsidRPr="009F6D1E">
              <w:rPr>
                <w:rFonts w:eastAsia="Calibri" w:cs="Times New Roman"/>
                <w:lang w:bidi="bg-BG"/>
              </w:rPr>
              <w:t xml:space="preserve"> комплекса, определени в Националната стратегия за опазване на биологичното разнообразие като уникални и представителни за българското биологично разнообразие. Тази интервенция има за цел да се намали традиционното горскостопанско въздействие върху горите, чрез промяна в традиционните </w:t>
            </w:r>
            <w:proofErr w:type="spellStart"/>
            <w:r w:rsidR="00B841E6" w:rsidRPr="009F6D1E">
              <w:rPr>
                <w:rFonts w:eastAsia="Calibri" w:cs="Times New Roman"/>
                <w:lang w:bidi="bg-BG"/>
              </w:rPr>
              <w:t>дървопроизводствени</w:t>
            </w:r>
            <w:proofErr w:type="spellEnd"/>
            <w:r w:rsidR="00B841E6" w:rsidRPr="009F6D1E">
              <w:rPr>
                <w:rFonts w:eastAsia="Calibri" w:cs="Times New Roman"/>
                <w:lang w:bidi="bg-BG"/>
              </w:rPr>
              <w:t>, лесовъдски цели; да се стимулира опазването естествения им характер, чрез подпомагане на съхраняването на естествени, природосъобразни видов състав и структура на насажденията и да се подобрят условията за поддържане и възстановяване на биологичното разнообразие, чрез създаване на необходимите за това екологични условия</w:t>
            </w:r>
            <w:r w:rsidRPr="009F6D1E">
              <w:rPr>
                <w:rFonts w:eastAsia="Calibri" w:cs="Times New Roman"/>
                <w:lang w:bidi="bg-BG"/>
              </w:rPr>
              <w:t>.</w:t>
            </w:r>
          </w:p>
          <w:p w14:paraId="175F7C4C" w14:textId="77777777" w:rsidR="00B841E6" w:rsidRPr="009F6D1E" w:rsidRDefault="00B841E6" w:rsidP="0084747F">
            <w:pPr>
              <w:widowControl w:val="0"/>
              <w:tabs>
                <w:tab w:val="left" w:pos="1080"/>
              </w:tabs>
              <w:spacing w:after="60" w:line="264" w:lineRule="auto"/>
              <w:jc w:val="both"/>
              <w:rPr>
                <w:rFonts w:eastAsia="Times New Roman" w:cs="Times New Roman"/>
                <w:i/>
                <w:iCs/>
                <w:lang w:eastAsia="bg-BG" w:bidi="bg-BG"/>
              </w:rPr>
            </w:pPr>
            <w:r w:rsidRPr="009F6D1E">
              <w:rPr>
                <w:rFonts w:eastAsia="Times New Roman" w:cs="Times New Roman"/>
                <w:iCs/>
                <w:lang w:eastAsia="bg-BG" w:bidi="bg-BG"/>
              </w:rPr>
              <w:lastRenderedPageBreak/>
              <w:t>За опазване на биоразнообразието се предвижда и включването на комплекс от</w:t>
            </w:r>
            <w:r w:rsidRPr="009F6D1E">
              <w:rPr>
                <w:rFonts w:eastAsia="Times New Roman" w:cs="Times New Roman"/>
                <w:i/>
                <w:iCs/>
                <w:lang w:eastAsia="bg-BG" w:bidi="bg-BG"/>
              </w:rPr>
              <w:t xml:space="preserve"> интервенции по член 73, </w:t>
            </w:r>
            <w:r w:rsidRPr="009F6D1E">
              <w:rPr>
                <w:rFonts w:eastAsia="Times New Roman" w:cs="Times New Roman"/>
                <w:iCs/>
                <w:lang w:eastAsia="bg-BG" w:bidi="bg-BG"/>
              </w:rPr>
              <w:t>като</w:t>
            </w:r>
            <w:r w:rsidRPr="009F6D1E">
              <w:rPr>
                <w:rFonts w:eastAsia="Times New Roman" w:cs="Times New Roman"/>
                <w:i/>
                <w:iCs/>
                <w:lang w:eastAsia="bg-BG" w:bidi="bg-BG"/>
              </w:rPr>
              <w:t>: „Залесяване и презалесяване“; Подобряване на здравословното състояние и устойчивостта на горските екосистеми чрез подпомагане провеждането на сечи в горските територии; Предотвратяване и възстановяване на щети по горите от горски пожари, природни бедствия и катастрофични събития.</w:t>
            </w:r>
          </w:p>
          <w:p w14:paraId="453037EA" w14:textId="77777777" w:rsidR="00C8235E" w:rsidRPr="009F6D1E" w:rsidRDefault="00C8235E" w:rsidP="0084747F">
            <w:pPr>
              <w:widowControl w:val="0"/>
              <w:tabs>
                <w:tab w:val="left" w:pos="1080"/>
              </w:tabs>
              <w:spacing w:after="60" w:line="264" w:lineRule="auto"/>
              <w:jc w:val="both"/>
              <w:rPr>
                <w:rFonts w:eastAsia="Times New Roman" w:cs="Times New Roman"/>
                <w:lang w:eastAsia="bg-BG" w:bidi="bg-BG"/>
              </w:rPr>
            </w:pPr>
            <w:r w:rsidRPr="009F6D1E">
              <w:rPr>
                <w:rFonts w:eastAsia="Times New Roman" w:cs="Times New Roman"/>
                <w:lang w:eastAsia="bg-BG" w:bidi="bg-BG"/>
              </w:rPr>
              <w:t>Отделно от това принос имат следните интервенции:</w:t>
            </w:r>
          </w:p>
          <w:p w14:paraId="65DDF0B6" w14:textId="77777777" w:rsidR="00C8235E" w:rsidRPr="009F6D1E" w:rsidRDefault="00C8235E" w:rsidP="0084747F">
            <w:pPr>
              <w:widowControl w:val="0"/>
              <w:tabs>
                <w:tab w:val="left" w:pos="1080"/>
              </w:tabs>
              <w:spacing w:after="60" w:line="264" w:lineRule="auto"/>
              <w:jc w:val="both"/>
              <w:rPr>
                <w:rFonts w:eastAsia="Times New Roman" w:cs="Times New Roman"/>
                <w:iCs/>
                <w:lang w:eastAsia="bg-BG" w:bidi="bg-BG"/>
              </w:rPr>
            </w:pPr>
            <w:r w:rsidRPr="009F6D1E">
              <w:rPr>
                <w:rFonts w:eastAsia="Times New Roman" w:cs="Times New Roman"/>
                <w:i/>
                <w:iCs/>
                <w:lang w:eastAsia="bg-BG" w:bidi="bg-BG"/>
              </w:rPr>
              <w:t>Потребност</w:t>
            </w:r>
            <w:r w:rsidR="00B841E6" w:rsidRPr="009F6D1E">
              <w:rPr>
                <w:rFonts w:cs="Times New Roman"/>
                <w:lang w:bidi="bg-BG"/>
              </w:rPr>
              <w:t xml:space="preserve"> </w:t>
            </w:r>
            <w:r w:rsidR="00B841E6" w:rsidRPr="009F6D1E">
              <w:rPr>
                <w:rFonts w:eastAsia="Times New Roman" w:cs="Times New Roman"/>
                <w:i/>
                <w:iCs/>
                <w:lang w:eastAsia="bg-BG" w:bidi="bg-BG"/>
              </w:rPr>
              <w:t xml:space="preserve">П.6.8. Подобряване на </w:t>
            </w:r>
            <w:proofErr w:type="spellStart"/>
            <w:r w:rsidR="00B841E6" w:rsidRPr="009F6D1E">
              <w:rPr>
                <w:rFonts w:eastAsia="Times New Roman" w:cs="Times New Roman"/>
                <w:i/>
                <w:iCs/>
                <w:lang w:eastAsia="bg-BG" w:bidi="bg-BG"/>
              </w:rPr>
              <w:t>опрашителния</w:t>
            </w:r>
            <w:proofErr w:type="spellEnd"/>
            <w:r w:rsidR="00B841E6" w:rsidRPr="009F6D1E">
              <w:rPr>
                <w:rFonts w:eastAsia="Times New Roman" w:cs="Times New Roman"/>
                <w:i/>
                <w:iCs/>
                <w:lang w:eastAsia="bg-BG" w:bidi="bg-BG"/>
              </w:rPr>
              <w:t xml:space="preserve"> потенциал на екосистемите и наличието на подходящи растения</w:t>
            </w:r>
            <w:r w:rsidR="009F463C" w:rsidRPr="009F6D1E">
              <w:rPr>
                <w:rFonts w:eastAsia="Times New Roman" w:cs="Times New Roman"/>
                <w:i/>
                <w:iCs/>
                <w:lang w:eastAsia="bg-BG" w:bidi="bg-BG"/>
              </w:rPr>
              <w:t xml:space="preserve"> към Специфична цел №6</w:t>
            </w:r>
            <w:r w:rsidRPr="009F6D1E">
              <w:rPr>
                <w:rFonts w:eastAsia="Times New Roman" w:cs="Times New Roman"/>
                <w:i/>
                <w:lang w:eastAsia="bg-BG" w:bidi="bg-BG"/>
              </w:rPr>
              <w:t>.</w:t>
            </w:r>
            <w:r w:rsidRPr="009F6D1E">
              <w:rPr>
                <w:rFonts w:eastAsia="Times New Roman" w:cs="Times New Roman"/>
                <w:b/>
                <w:bCs/>
                <w:i/>
                <w:lang w:eastAsia="bg-BG" w:bidi="bg-BG"/>
              </w:rPr>
              <w:t xml:space="preserve"> </w:t>
            </w:r>
            <w:r w:rsidRPr="009F6D1E">
              <w:rPr>
                <w:rFonts w:eastAsia="Times New Roman" w:cs="Times New Roman"/>
                <w:iCs/>
                <w:lang w:eastAsia="bg-BG" w:bidi="bg-BG"/>
              </w:rPr>
              <w:t xml:space="preserve">За адресиране на нуждата от подобряване на </w:t>
            </w:r>
            <w:proofErr w:type="spellStart"/>
            <w:r w:rsidRPr="009F6D1E">
              <w:rPr>
                <w:rFonts w:eastAsia="Times New Roman" w:cs="Times New Roman"/>
                <w:iCs/>
                <w:lang w:eastAsia="bg-BG" w:bidi="bg-BG"/>
              </w:rPr>
              <w:t>опрашителния</w:t>
            </w:r>
            <w:proofErr w:type="spellEnd"/>
            <w:r w:rsidRPr="009F6D1E">
              <w:rPr>
                <w:rFonts w:eastAsia="Times New Roman" w:cs="Times New Roman"/>
                <w:iCs/>
                <w:lang w:eastAsia="bg-BG" w:bidi="bg-BG"/>
              </w:rPr>
              <w:t xml:space="preserve"> потенциал на екосистемите и наличието на подходящи растения се предвижда</w:t>
            </w:r>
            <w:r w:rsidRPr="009F6D1E">
              <w:rPr>
                <w:rFonts w:eastAsia="Times New Roman" w:cs="Times New Roman"/>
                <w:i/>
                <w:lang w:eastAsia="bg-BG" w:bidi="bg-BG"/>
              </w:rPr>
              <w:t xml:space="preserve"> интервенция съгл. чл. </w:t>
            </w:r>
            <w:r w:rsidR="009F463C" w:rsidRPr="009F6D1E">
              <w:rPr>
                <w:rFonts w:eastAsia="Times New Roman" w:cs="Times New Roman"/>
                <w:i/>
                <w:lang w:eastAsia="bg-BG" w:bidi="bg-BG"/>
              </w:rPr>
              <w:t>70</w:t>
            </w:r>
            <w:r w:rsidRPr="009F6D1E">
              <w:rPr>
                <w:rFonts w:eastAsia="Times New Roman" w:cs="Times New Roman"/>
                <w:i/>
                <w:lang w:eastAsia="bg-BG" w:bidi="bg-BG"/>
              </w:rPr>
              <w:t xml:space="preserve"> - </w:t>
            </w:r>
            <w:r w:rsidR="009F463C" w:rsidRPr="009F6D1E">
              <w:rPr>
                <w:rFonts w:eastAsia="Times New Roman" w:cs="Times New Roman"/>
                <w:i/>
                <w:lang w:eastAsia="bg-BG" w:bidi="bg-BG"/>
              </w:rPr>
              <w:t>Интервенция „Насърчаване на естественото опрашване“</w:t>
            </w:r>
            <w:r w:rsidRPr="009F6D1E">
              <w:rPr>
                <w:rFonts w:eastAsia="Times New Roman" w:cs="Times New Roman"/>
                <w:iCs/>
                <w:lang w:eastAsia="bg-BG" w:bidi="bg-BG"/>
              </w:rPr>
              <w:t>.</w:t>
            </w:r>
          </w:p>
          <w:p w14:paraId="0E6854C1" w14:textId="77777777" w:rsidR="009F463C" w:rsidRPr="009F6D1E" w:rsidRDefault="009F463C"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
                <w:lang w:eastAsia="bg-BG" w:bidi="bg-BG"/>
              </w:rPr>
              <w:t xml:space="preserve">Потребност П.6.9.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  чрез прилагане на Еко схема за поддържане и подобряване на биоразнообразието в горски екосистеми (по чл. 31 от Регламент (ЕС) 2021/2115). </w:t>
            </w:r>
            <w:r w:rsidRPr="009F6D1E">
              <w:rPr>
                <w:rFonts w:eastAsia="Times New Roman" w:cs="Times New Roman"/>
                <w:iCs/>
                <w:lang w:eastAsia="bg-BG" w:bidi="bg-BG"/>
              </w:rPr>
              <w:t xml:space="preserve">Интервенцията е насочена към поддържане и подобряване на </w:t>
            </w:r>
            <w:r w:rsidRPr="009F6D1E">
              <w:rPr>
                <w:rFonts w:eastAsia="Times New Roman" w:cs="Times New Roman"/>
                <w:iCs/>
                <w:lang w:eastAsia="bg-BG" w:bidi="bg-BG"/>
              </w:rPr>
              <w:lastRenderedPageBreak/>
              <w:t>биоразнообразието в горски екосистеми като въвежда практика в граничните земеделски земи да се отглеждат култури достигнали степен на зрялост, които са благоприятни за изхранване на диви животни</w:t>
            </w:r>
            <w:r w:rsidRPr="009F6D1E">
              <w:rPr>
                <w:rFonts w:eastAsia="Times New Roman" w:cs="Times New Roman"/>
                <w:i/>
                <w:lang w:eastAsia="bg-BG" w:bidi="bg-BG"/>
              </w:rPr>
              <w:t>.</w:t>
            </w:r>
          </w:p>
          <w:p w14:paraId="53883366" w14:textId="77777777" w:rsidR="00C8235E" w:rsidRPr="009F6D1E" w:rsidRDefault="009F463C" w:rsidP="0084747F">
            <w:pPr>
              <w:widowControl w:val="0"/>
              <w:tabs>
                <w:tab w:val="left" w:pos="1080"/>
              </w:tabs>
              <w:spacing w:after="60" w:line="264" w:lineRule="auto"/>
              <w:jc w:val="both"/>
              <w:rPr>
                <w:rFonts w:eastAsia="Times New Roman" w:cs="Times New Roman"/>
                <w:i/>
                <w:lang w:eastAsia="bg-BG" w:bidi="bg-BG"/>
              </w:rPr>
            </w:pPr>
            <w:r w:rsidRPr="009F6D1E">
              <w:rPr>
                <w:rFonts w:eastAsia="Times New Roman" w:cs="Times New Roman"/>
                <w:iCs/>
                <w:lang w:eastAsia="bg-BG" w:bidi="bg-BG"/>
              </w:rPr>
              <w:t>Косвен принос има</w:t>
            </w:r>
            <w:r w:rsidRPr="009F6D1E">
              <w:rPr>
                <w:rFonts w:eastAsia="Times New Roman" w:cs="Times New Roman"/>
                <w:i/>
                <w:lang w:eastAsia="bg-BG" w:bidi="bg-BG"/>
              </w:rPr>
              <w:t xml:space="preserve"> Специфична цел №5, Потребност П.5.2. Подобряване качеството на почвите чрез продължаване на усилията за ограничаване на процесите на водна и ветрова ерозия.</w:t>
            </w:r>
            <w:r w:rsidR="00C8235E" w:rsidRPr="009F6D1E">
              <w:rPr>
                <w:rFonts w:eastAsia="Times New Roman" w:cs="Times New Roman"/>
                <w:i/>
                <w:lang w:eastAsia="bg-BG" w:bidi="bg-BG"/>
              </w:rPr>
              <w:t>.</w:t>
            </w:r>
            <w:r w:rsidR="00C8235E" w:rsidRPr="009F6D1E">
              <w:rPr>
                <w:rFonts w:cs="Times New Roman"/>
              </w:rPr>
              <w:t xml:space="preserve"> </w:t>
            </w:r>
          </w:p>
          <w:p w14:paraId="2B28AE3E" w14:textId="77777777" w:rsidR="00EC6C2C" w:rsidRPr="009F6D1E" w:rsidRDefault="00C8235E" w:rsidP="0084747F">
            <w:pPr>
              <w:spacing w:after="60" w:line="264" w:lineRule="auto"/>
              <w:contextualSpacing/>
              <w:jc w:val="both"/>
              <w:rPr>
                <w:rFonts w:eastAsia="Calibri" w:cs="Times New Roman"/>
                <w:bCs/>
                <w:lang w:eastAsia="en-GB" w:bidi="bg-BG"/>
              </w:rPr>
            </w:pPr>
            <w:r w:rsidRPr="009F6D1E">
              <w:rPr>
                <w:rFonts w:eastAsia="Calibri" w:cs="Times New Roman"/>
                <w:bCs/>
                <w:lang w:eastAsia="en-GB" w:bidi="bg-BG"/>
              </w:rPr>
              <w:t xml:space="preserve">В интервенцията по чл. 65 от РСП могат да се включат дейности, които надграждат въведените  изисквания в ДЗЕС 4, ДЗЕС 6 и ДЗЕС 7, задължителни са и могат да бъдат обособени на база териториалния им обхват на прилагане. Според спецификата на райони и площта и въз основа на изготвяне на план за противоерозионни мероприятия към задължителните дейности, предвидени в ДЗЕС 4, ДЗЕС 6 и ДЗЕС 7 могат да се включат практики за: поясно земеделие, затревяване на междуредията в трайни насаждения и лозя (в т.ч. цялостно затревяване), преобразуване на обработваеми земи в постоянно затревени площи; </w:t>
            </w:r>
            <w:proofErr w:type="spellStart"/>
            <w:r w:rsidRPr="009F6D1E">
              <w:rPr>
                <w:rFonts w:eastAsia="Calibri" w:cs="Times New Roman"/>
                <w:bCs/>
                <w:lang w:eastAsia="en-GB" w:bidi="bg-BG"/>
              </w:rPr>
              <w:t>контурно</w:t>
            </w:r>
            <w:proofErr w:type="spellEnd"/>
            <w:r w:rsidRPr="009F6D1E">
              <w:rPr>
                <w:rFonts w:eastAsia="Calibri" w:cs="Times New Roman"/>
                <w:bCs/>
                <w:lang w:eastAsia="en-GB" w:bidi="bg-BG"/>
              </w:rPr>
              <w:t xml:space="preserve"> земеделие, вертикално </w:t>
            </w:r>
            <w:proofErr w:type="spellStart"/>
            <w:r w:rsidRPr="009F6D1E">
              <w:rPr>
                <w:rFonts w:eastAsia="Calibri" w:cs="Times New Roman"/>
                <w:bCs/>
                <w:lang w:eastAsia="en-GB" w:bidi="bg-BG"/>
              </w:rPr>
              <w:t>мулчиране</w:t>
            </w:r>
            <w:proofErr w:type="spellEnd"/>
            <w:r w:rsidRPr="009F6D1E">
              <w:rPr>
                <w:rFonts w:eastAsia="Calibri" w:cs="Times New Roman"/>
                <w:bCs/>
                <w:lang w:eastAsia="en-GB" w:bidi="bg-BG"/>
              </w:rPr>
              <w:t xml:space="preserve">; изграждане на </w:t>
            </w:r>
            <w:proofErr w:type="spellStart"/>
            <w:r w:rsidRPr="009F6D1E">
              <w:rPr>
                <w:rFonts w:eastAsia="Calibri" w:cs="Times New Roman"/>
                <w:bCs/>
                <w:lang w:eastAsia="en-GB" w:bidi="bg-BG"/>
              </w:rPr>
              <w:t>отокоотвеждащи</w:t>
            </w:r>
            <w:proofErr w:type="spellEnd"/>
            <w:r w:rsidRPr="009F6D1E">
              <w:rPr>
                <w:rFonts w:eastAsia="Calibri" w:cs="Times New Roman"/>
                <w:bCs/>
                <w:lang w:eastAsia="en-GB" w:bidi="bg-BG"/>
              </w:rPr>
              <w:t xml:space="preserve"> и </w:t>
            </w:r>
            <w:proofErr w:type="spellStart"/>
            <w:r w:rsidRPr="009F6D1E">
              <w:rPr>
                <w:rFonts w:eastAsia="Calibri" w:cs="Times New Roman"/>
                <w:bCs/>
                <w:lang w:eastAsia="en-GB" w:bidi="bg-BG"/>
              </w:rPr>
              <w:t>отокозадържащи</w:t>
            </w:r>
            <w:proofErr w:type="spellEnd"/>
            <w:r w:rsidRPr="009F6D1E">
              <w:rPr>
                <w:rFonts w:eastAsia="Calibri" w:cs="Times New Roman"/>
                <w:bCs/>
                <w:lang w:eastAsia="en-GB" w:bidi="bg-BG"/>
              </w:rPr>
              <w:t xml:space="preserve"> бразди; минимални или нулеви обработки; противоерозионна организация на площите като се намаляват площта на парцелите чрез включване на други земеделски култури; изграждане на тревни буферни ивици, </w:t>
            </w:r>
            <w:r w:rsidRPr="009F6D1E">
              <w:rPr>
                <w:rFonts w:eastAsia="Calibri" w:cs="Times New Roman"/>
                <w:bCs/>
                <w:lang w:eastAsia="en-GB" w:bidi="bg-BG"/>
              </w:rPr>
              <w:lastRenderedPageBreak/>
              <w:t>мултифункционални растителни буферни ивици, допринасящи също за биоразнообразието и подобряване на опрашването, както и изграждане и поддържане на полезащитни пояси.</w:t>
            </w:r>
          </w:p>
          <w:p w14:paraId="52B1405D" w14:textId="77777777" w:rsidR="00FC6914" w:rsidRPr="009F6D1E" w:rsidRDefault="00FC6914" w:rsidP="0084747F">
            <w:pPr>
              <w:widowControl w:val="0"/>
              <w:tabs>
                <w:tab w:val="left" w:pos="1080"/>
              </w:tabs>
              <w:spacing w:after="60" w:line="264" w:lineRule="auto"/>
              <w:jc w:val="both"/>
              <w:rPr>
                <w:rFonts w:eastAsia="Times New Roman" w:cs="Times New Roman"/>
                <w:bCs/>
              </w:rPr>
            </w:pPr>
            <w:r w:rsidRPr="009F6D1E">
              <w:rPr>
                <w:rFonts w:cs="Times New Roman"/>
                <w:b/>
                <w:bCs/>
                <w:lang w:eastAsia="bg-BG" w:bidi="bg-BG"/>
              </w:rPr>
              <w:t>По П6</w:t>
            </w:r>
            <w:r w:rsidRPr="009F6D1E">
              <w:rPr>
                <w:rFonts w:cs="Times New Roman"/>
                <w:lang w:eastAsia="bg-BG" w:bidi="bg-BG"/>
              </w:rPr>
              <w:t xml:space="preserve"> </w:t>
            </w:r>
            <w:r w:rsidR="00CD4045" w:rsidRPr="009F6D1E">
              <w:rPr>
                <w:rFonts w:cs="Times New Roman"/>
                <w:lang w:eastAsia="bg-BG" w:bidi="bg-BG"/>
              </w:rPr>
              <w:t>СПРЗСР</w:t>
            </w:r>
            <w:r w:rsidRPr="009F6D1E">
              <w:rPr>
                <w:rFonts w:cs="Times New Roman"/>
                <w:lang w:eastAsia="bg-BG" w:bidi="bg-BG"/>
              </w:rPr>
              <w:t xml:space="preserve"> ще има пряк принос чрез </w:t>
            </w:r>
            <w:r w:rsidRPr="009F6D1E">
              <w:rPr>
                <w:rFonts w:eastAsia="Times New Roman" w:cs="Times New Roman"/>
                <w:bCs/>
                <w:i/>
                <w:iCs/>
              </w:rPr>
              <w:t xml:space="preserve">Интервенция „Биологично земеделие“ - </w:t>
            </w:r>
            <w:r w:rsidRPr="009F6D1E">
              <w:rPr>
                <w:rFonts w:eastAsia="Times New Roman" w:cs="Times New Roman"/>
                <w:i/>
                <w:lang w:eastAsia="bg-BG" w:bidi="bg-BG"/>
              </w:rPr>
              <w:t>Специфична цел №6</w:t>
            </w:r>
            <w:r w:rsidRPr="009F6D1E">
              <w:rPr>
                <w:rFonts w:eastAsia="Times New Roman" w:cs="Times New Roman"/>
                <w:bCs/>
                <w:u w:val="single"/>
              </w:rPr>
              <w:t>:</w:t>
            </w:r>
            <w:r w:rsidRPr="009F6D1E">
              <w:rPr>
                <w:rFonts w:eastAsia="Times New Roman" w:cs="Times New Roman"/>
              </w:rPr>
              <w:t xml:space="preserve"> </w:t>
            </w:r>
            <w:r w:rsidRPr="009F6D1E">
              <w:rPr>
                <w:rFonts w:eastAsia="Times New Roman" w:cs="Times New Roman"/>
                <w:bCs/>
              </w:rPr>
              <w:t>Очаква се интервенцията да доведе до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 Дейностите по интервенцията ще допринесат и за постигането на целите на Стратегия на ЕС за биологичното разнообразие до 2030 г. и да удовлетвори заложените цели в стратегията от „Фермата до трапезата“.</w:t>
            </w:r>
          </w:p>
          <w:p w14:paraId="74FF0055" w14:textId="77777777" w:rsidR="00FC6914" w:rsidRPr="009F6D1E" w:rsidRDefault="00FC6914" w:rsidP="0084747F">
            <w:pPr>
              <w:widowControl w:val="0"/>
              <w:tabs>
                <w:tab w:val="left" w:pos="1080"/>
              </w:tabs>
              <w:spacing w:after="60" w:line="264" w:lineRule="auto"/>
              <w:jc w:val="both"/>
              <w:rPr>
                <w:rFonts w:eastAsia="Times New Roman" w:cs="Times New Roman"/>
                <w:bCs/>
              </w:rPr>
            </w:pPr>
            <w:r w:rsidRPr="009F6D1E">
              <w:rPr>
                <w:rFonts w:eastAsia="Times New Roman" w:cs="Times New Roman"/>
                <w:bCs/>
              </w:rPr>
              <w:t>По интервенция „</w:t>
            </w:r>
            <w:r w:rsidRPr="009F6D1E">
              <w:rPr>
                <w:rFonts w:eastAsia="Times New Roman" w:cs="Times New Roman"/>
                <w:bCs/>
                <w:i/>
                <w:iCs/>
              </w:rPr>
              <w:t>Биологично земеделие</w:t>
            </w:r>
            <w:r w:rsidRPr="009F6D1E">
              <w:rPr>
                <w:rFonts w:eastAsia="Times New Roman" w:cs="Times New Roman"/>
                <w:bCs/>
              </w:rPr>
              <w:t>“ ще се подпомагат на територията на цялата страна, земеделски стопани, чиито стопанства са в период на преход или са преминали периода на преход, развиващи земеделска дейност в следните направления:</w:t>
            </w:r>
          </w:p>
          <w:p w14:paraId="75BCA0D5" w14:textId="77777777" w:rsidR="00FC6914" w:rsidRPr="009F6D1E" w:rsidRDefault="00FC6914"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растениевъдство</w:t>
            </w:r>
          </w:p>
          <w:p w14:paraId="6072F134" w14:textId="77777777" w:rsidR="00FC6914" w:rsidRPr="009F6D1E" w:rsidRDefault="00FC6914"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lastRenderedPageBreak/>
              <w:t>Биологично пчеларство</w:t>
            </w:r>
          </w:p>
          <w:p w14:paraId="349C5266" w14:textId="77777777" w:rsidR="00FC6914" w:rsidRPr="009F6D1E" w:rsidRDefault="00FC6914" w:rsidP="0084747F">
            <w:pPr>
              <w:widowControl w:val="0"/>
              <w:numPr>
                <w:ilvl w:val="0"/>
                <w:numId w:val="16"/>
              </w:numPr>
              <w:tabs>
                <w:tab w:val="left" w:pos="1080"/>
              </w:tabs>
              <w:spacing w:after="60" w:line="264" w:lineRule="auto"/>
              <w:jc w:val="both"/>
              <w:rPr>
                <w:rFonts w:eastAsia="Times New Roman" w:cs="Times New Roman"/>
                <w:bCs/>
              </w:rPr>
            </w:pPr>
            <w:r w:rsidRPr="009F6D1E">
              <w:rPr>
                <w:rFonts w:eastAsia="Times New Roman" w:cs="Times New Roman"/>
                <w:bCs/>
              </w:rPr>
              <w:t>Биологично животновъдство</w:t>
            </w:r>
          </w:p>
          <w:p w14:paraId="6C11EC38" w14:textId="77777777" w:rsidR="00FC6914" w:rsidRPr="009F6D1E" w:rsidRDefault="00FC6914" w:rsidP="0084747F">
            <w:pPr>
              <w:spacing w:after="60" w:line="264" w:lineRule="auto"/>
              <w:jc w:val="both"/>
              <w:rPr>
                <w:rFonts w:eastAsia="Calibri" w:cs="Times New Roman"/>
                <w:lang w:eastAsia="en-GB" w:bidi="bg-BG"/>
              </w:rPr>
            </w:pPr>
            <w:r w:rsidRPr="009F6D1E">
              <w:rPr>
                <w:rFonts w:eastAsia="Times New Roman" w:cs="Times New Roman"/>
                <w:lang w:eastAsia="bg-BG" w:bidi="bg-BG"/>
              </w:rPr>
              <w:t>По П7 принос има</w:t>
            </w:r>
            <w:r w:rsidRPr="009F6D1E">
              <w:rPr>
                <w:rFonts w:eastAsia="Times New Roman" w:cs="Times New Roman"/>
                <w:i/>
                <w:iCs/>
                <w:lang w:eastAsia="bg-BG" w:bidi="bg-BG"/>
              </w:rPr>
              <w:t xml:space="preserve"> Специфична цел №8 - потребност</w:t>
            </w:r>
            <w:r w:rsidR="008D7F2B" w:rsidRPr="009F6D1E">
              <w:rPr>
                <w:rFonts w:cs="Times New Roman"/>
                <w:lang w:bidi="bg-BG"/>
              </w:rPr>
              <w:t xml:space="preserve"> </w:t>
            </w:r>
            <w:r w:rsidR="008D7F2B" w:rsidRPr="009F6D1E">
              <w:rPr>
                <w:rFonts w:eastAsia="Times New Roman" w:cs="Times New Roman"/>
                <w:i/>
                <w:iCs/>
                <w:lang w:eastAsia="bg-BG" w:bidi="bg-BG"/>
              </w:rPr>
              <w:t>П.8.3. Подобряване на публична инфраструктурата и технико-комуникационните системи в селските райони</w:t>
            </w:r>
            <w:r w:rsidRPr="009F6D1E">
              <w:rPr>
                <w:rFonts w:eastAsia="Times New Roman" w:cs="Times New Roman"/>
                <w:i/>
                <w:lang w:eastAsia="bg-BG" w:bidi="bg-BG"/>
              </w:rPr>
              <w:t xml:space="preserve">, </w:t>
            </w:r>
            <w:r w:rsidRPr="009F6D1E">
              <w:rPr>
                <w:rFonts w:eastAsia="Times New Roman" w:cs="Times New Roman"/>
                <w:iCs/>
                <w:lang w:eastAsia="bg-BG" w:bidi="bg-BG"/>
              </w:rPr>
              <w:t>интервенция</w:t>
            </w:r>
            <w:r w:rsidRPr="009F6D1E">
              <w:rPr>
                <w:rFonts w:eastAsia="Calibri" w:cs="Times New Roman"/>
                <w:i/>
                <w:iCs/>
                <w:lang w:eastAsia="en-GB" w:bidi="bg-BG"/>
              </w:rPr>
              <w:t xml:space="preserve"> Инвестиции в основни услуги и дребна по мащаби инфраструктура в селските райони </w:t>
            </w:r>
            <w:r w:rsidRPr="009F6D1E">
              <w:rPr>
                <w:rFonts w:eastAsia="Calibri" w:cs="Times New Roman"/>
                <w:lang w:eastAsia="en-GB" w:bidi="bg-BG"/>
              </w:rPr>
              <w:t xml:space="preserve">чрез: </w:t>
            </w:r>
            <w:r w:rsidRPr="009F6D1E">
              <w:rPr>
                <w:rFonts w:eastAsia="Calibri" w:cs="Times New Roman"/>
                <w:i/>
                <w:iCs/>
                <w:lang w:eastAsia="en-GB" w:bidi="bg-BG"/>
              </w:rPr>
              <w:t>„- Подобряване на общинската пътна инфраструктура в селските райони</w:t>
            </w:r>
            <w:r w:rsidR="00950F95" w:rsidRPr="009F6D1E">
              <w:rPr>
                <w:rFonts w:eastAsia="Calibri" w:cs="Times New Roman"/>
                <w:i/>
                <w:iCs/>
                <w:lang w:eastAsia="en-GB" w:bidi="bg-BG"/>
              </w:rPr>
              <w:t>“</w:t>
            </w:r>
            <w:r w:rsidRPr="009F6D1E">
              <w:rPr>
                <w:rFonts w:eastAsia="Calibri" w:cs="Times New Roman"/>
                <w:i/>
                <w:iCs/>
                <w:lang w:eastAsia="en-GB" w:bidi="bg-BG"/>
              </w:rPr>
              <w:t xml:space="preserve">, </w:t>
            </w:r>
            <w:r w:rsidRPr="009F6D1E">
              <w:rPr>
                <w:rFonts w:eastAsia="Calibri" w:cs="Times New Roman"/>
                <w:lang w:eastAsia="en-GB" w:bidi="bg-BG"/>
              </w:rPr>
              <w:t>което от своя страна би довело до подобрение на транспортната свързаност и достъпност на по-отдалечените населени места</w:t>
            </w:r>
            <w:r w:rsidRPr="009F6D1E">
              <w:rPr>
                <w:rFonts w:eastAsia="Calibri" w:cs="Times New Roman"/>
                <w:i/>
                <w:iCs/>
                <w:lang w:eastAsia="en-GB" w:bidi="bg-BG"/>
              </w:rPr>
              <w:t>.</w:t>
            </w:r>
          </w:p>
          <w:p w14:paraId="06A00008" w14:textId="77777777" w:rsidR="00FC6914" w:rsidRPr="009F6D1E" w:rsidRDefault="00FC6914" w:rsidP="0084747F">
            <w:pPr>
              <w:spacing w:after="60" w:line="264" w:lineRule="auto"/>
              <w:contextualSpacing/>
              <w:jc w:val="both"/>
              <w:rPr>
                <w:rFonts w:eastAsia="Calibri" w:cs="Times New Roman"/>
              </w:rPr>
            </w:pPr>
            <w:r w:rsidRPr="009F6D1E">
              <w:rPr>
                <w:rFonts w:eastAsia="Calibri" w:cs="Times New Roman"/>
                <w:b/>
                <w:bCs/>
              </w:rPr>
              <w:t xml:space="preserve">По </w:t>
            </w:r>
            <w:r w:rsidR="003663F2" w:rsidRPr="009F6D1E">
              <w:rPr>
                <w:rFonts w:eastAsia="Calibri" w:cs="Times New Roman"/>
                <w:b/>
                <w:bCs/>
              </w:rPr>
              <w:t>П</w:t>
            </w:r>
            <w:r w:rsidRPr="009F6D1E">
              <w:rPr>
                <w:rFonts w:eastAsia="Calibri" w:cs="Times New Roman"/>
                <w:b/>
                <w:bCs/>
              </w:rPr>
              <w:t>9</w:t>
            </w:r>
            <w:r w:rsidRPr="009F6D1E">
              <w:rPr>
                <w:rFonts w:eastAsia="Calibri" w:cs="Times New Roman"/>
              </w:rPr>
              <w:t xml:space="preserve"> комплексен принос имат всички предвиждания на </w:t>
            </w:r>
            <w:r w:rsidR="00CD4045" w:rsidRPr="009F6D1E">
              <w:rPr>
                <w:rFonts w:eastAsia="Calibri" w:cs="Times New Roman"/>
              </w:rPr>
              <w:t>СПРЗСР</w:t>
            </w:r>
            <w:r w:rsidRPr="009F6D1E">
              <w:rPr>
                <w:rFonts w:eastAsia="Calibri" w:cs="Times New Roman"/>
              </w:rPr>
              <w:t xml:space="preserve">, и по-специално </w:t>
            </w:r>
            <w:r w:rsidRPr="009F6D1E">
              <w:rPr>
                <w:rFonts w:cs="Times New Roman"/>
                <w:i/>
                <w:iCs/>
              </w:rPr>
              <w:t>Специфична цел № 8:</w:t>
            </w:r>
            <w:r w:rsidRPr="009F6D1E">
              <w:rPr>
                <w:rFonts w:cs="Times New Roman"/>
              </w:rPr>
              <w:t xml:space="preserve"> </w:t>
            </w:r>
            <w:r w:rsidR="00950F95" w:rsidRPr="009F6D1E">
              <w:rPr>
                <w:rFonts w:cs="Times New Roman"/>
                <w:i/>
                <w:iCs/>
              </w:rPr>
              <w:t>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w:t>
            </w:r>
            <w:r w:rsidRPr="009F6D1E">
              <w:rPr>
                <w:rFonts w:cs="Times New Roman"/>
                <w:i/>
                <w:iCs/>
              </w:rPr>
              <w:t xml:space="preserve"> </w:t>
            </w:r>
            <w:r w:rsidRPr="009F6D1E">
              <w:rPr>
                <w:rFonts w:cs="Times New Roman"/>
              </w:rPr>
              <w:t>и интервенциите към нея</w:t>
            </w:r>
            <w:r w:rsidRPr="009F6D1E">
              <w:rPr>
                <w:rFonts w:eastAsia="Calibri" w:cs="Times New Roman"/>
              </w:rPr>
              <w:t xml:space="preserve"> </w:t>
            </w:r>
          </w:p>
          <w:p w14:paraId="432DE4BC" w14:textId="77777777" w:rsidR="00FC6914" w:rsidRPr="009F6D1E" w:rsidRDefault="003663F2" w:rsidP="0084747F">
            <w:pPr>
              <w:spacing w:after="60" w:line="264" w:lineRule="auto"/>
              <w:contextualSpacing/>
              <w:jc w:val="both"/>
              <w:rPr>
                <w:rFonts w:cs="Times New Roman"/>
              </w:rPr>
            </w:pPr>
            <w:r w:rsidRPr="009F6D1E">
              <w:rPr>
                <w:rFonts w:eastAsia="Calibri" w:cs="Times New Roman"/>
                <w:b/>
                <w:bCs/>
              </w:rPr>
              <w:t>По П11, П12 и П13</w:t>
            </w:r>
            <w:r w:rsidRPr="009F6D1E">
              <w:rPr>
                <w:rFonts w:eastAsia="Calibri" w:cs="Times New Roman"/>
              </w:rPr>
              <w:t xml:space="preserve">  - изпълнение на потребностите/интервенциите от </w:t>
            </w:r>
            <w:r w:rsidR="00CD4045" w:rsidRPr="009F6D1E">
              <w:rPr>
                <w:rFonts w:eastAsia="Calibri" w:cs="Times New Roman"/>
              </w:rPr>
              <w:t>СПРЗСР</w:t>
            </w:r>
            <w:r w:rsidRPr="009F6D1E">
              <w:rPr>
                <w:rFonts w:eastAsia="Calibri" w:cs="Times New Roman"/>
              </w:rPr>
              <w:t xml:space="preserve"> ще имат като цяло положителен принос, предвид подобряване на състоянието на околната среда като цяло в резултат на прилагане на предвижданията им.</w:t>
            </w:r>
          </w:p>
        </w:tc>
      </w:tr>
      <w:tr w:rsidR="003663F2" w:rsidRPr="009F6D1E" w14:paraId="76737522" w14:textId="77777777" w:rsidTr="00981F7B">
        <w:tc>
          <w:tcPr>
            <w:tcW w:w="7139" w:type="dxa"/>
          </w:tcPr>
          <w:p w14:paraId="4B05B039"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Национална програма за контрол на замърсяването на въздуха 2020-2030 г. (НПКЗВ 2020-2030, приета с Решение №541 на Министерски съвет от 13.09.2019 г.)</w:t>
            </w:r>
          </w:p>
          <w:p w14:paraId="3446670E"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Основна цел на НПКЗВ 2020-2030г. е изпълнение на задълженията за намаляване към 2020г. и 2030г. на общите годишни антропогенни емисии на следните замърсители на атмосферния въздух: серен диоксид (SO2), азотни оксиди (NOX), неметанови летливи органични съединения (НМЛОС), амоняк (NH3) и фини прахови частици (ФПЧ2.5);</w:t>
            </w:r>
          </w:p>
          <w:p w14:paraId="0BEC5097"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rPr>
              <w:t>Предвидените мерки в НПКЗВ 2020-2030г. са в сектори, които са по-значими източници на емисии в атмосферния въздух, като селско стопанство, автомобилен транспорт и битово отопление.</w:t>
            </w:r>
          </w:p>
        </w:tc>
        <w:tc>
          <w:tcPr>
            <w:tcW w:w="7139" w:type="dxa"/>
          </w:tcPr>
          <w:p w14:paraId="03DC75CB" w14:textId="77777777" w:rsidR="003663F2" w:rsidRPr="009F6D1E" w:rsidRDefault="00CD4045" w:rsidP="0084747F">
            <w:pPr>
              <w:pStyle w:val="Other0"/>
              <w:spacing w:after="60" w:line="264" w:lineRule="auto"/>
              <w:jc w:val="both"/>
              <w:rPr>
                <w:i/>
                <w:iCs/>
                <w:lang w:eastAsia="bg-BG" w:bidi="bg-BG"/>
              </w:rPr>
            </w:pPr>
            <w:r w:rsidRPr="009F6D1E">
              <w:rPr>
                <w:rFonts w:eastAsia="Calibri"/>
              </w:rPr>
              <w:t>СПРЗСР</w:t>
            </w:r>
            <w:r w:rsidR="003663F2" w:rsidRPr="009F6D1E">
              <w:rPr>
                <w:rFonts w:eastAsia="Calibri"/>
              </w:rPr>
              <w:t xml:space="preserve"> допринася за постигане на основната цел на Националната програма чрез </w:t>
            </w:r>
            <w:r w:rsidR="003663F2" w:rsidRPr="009F6D1E">
              <w:rPr>
                <w:i/>
                <w:iCs/>
                <w:lang w:eastAsia="bg-BG" w:bidi="bg-BG"/>
              </w:rPr>
              <w:t xml:space="preserve">Специфична цел №5: </w:t>
            </w:r>
            <w:r w:rsidR="00AD475C" w:rsidRPr="009F6D1E">
              <w:rPr>
                <w:i/>
                <w:iCs/>
                <w:lang w:eastAsia="bg-BG" w:bidi="bg-BG"/>
              </w:rPr>
              <w:t xml:space="preserve">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 </w:t>
            </w:r>
            <w:r w:rsidR="003663F2" w:rsidRPr="009F6D1E">
              <w:rPr>
                <w:lang w:eastAsia="bg-BG" w:bidi="bg-BG"/>
              </w:rPr>
              <w:t>и интервенциите към нея</w:t>
            </w:r>
          </w:p>
          <w:p w14:paraId="3B9FA46B" w14:textId="77777777" w:rsidR="003663F2" w:rsidRPr="009F6D1E" w:rsidRDefault="003663F2" w:rsidP="0084747F">
            <w:pPr>
              <w:spacing w:after="60" w:line="264" w:lineRule="auto"/>
              <w:contextualSpacing/>
              <w:jc w:val="both"/>
              <w:rPr>
                <w:rFonts w:cs="Times New Roman"/>
              </w:rPr>
            </w:pPr>
          </w:p>
        </w:tc>
      </w:tr>
      <w:tr w:rsidR="003663F2" w:rsidRPr="009F6D1E" w14:paraId="300B7417" w14:textId="77777777" w:rsidTr="00981F7B">
        <w:tc>
          <w:tcPr>
            <w:tcW w:w="7139" w:type="dxa"/>
          </w:tcPr>
          <w:p w14:paraId="46619881"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Национална програма за подобряване качеството на атмосферния въздух 2018-2024 г. (НППКАВ 2018-2024, приета с Решение №334 на Министерски съвет от 07.06.2019 г.)</w:t>
            </w:r>
          </w:p>
          <w:p w14:paraId="29247025"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 xml:space="preserve">Основната цел на НППКАВ 2018-2024г. е приложение на комплекс от мерки, което да доведе до постигане на съответствие с нормите за фини прахови частици съгласно изискванията на Директива 2008/50/ЕО относно качеството на атмосферния въздух и за по-чист въздух за Европа и действащото национално законодателство в областта на качеството на атмосферния въздух в най-кратък възможен срок, но не по-късно от 2024г. </w:t>
            </w:r>
          </w:p>
          <w:p w14:paraId="75EF08C4" w14:textId="77777777" w:rsidR="003663F2" w:rsidRPr="009F6D1E" w:rsidRDefault="003663F2" w:rsidP="0084747F">
            <w:pPr>
              <w:spacing w:after="60" w:line="264" w:lineRule="auto"/>
              <w:contextualSpacing/>
              <w:jc w:val="both"/>
              <w:rPr>
                <w:rFonts w:eastAsia="Calibri" w:cs="Times New Roman"/>
                <w:b/>
                <w:bCs/>
                <w:i/>
                <w:iCs/>
              </w:rPr>
            </w:pPr>
          </w:p>
        </w:tc>
        <w:tc>
          <w:tcPr>
            <w:tcW w:w="7139" w:type="dxa"/>
          </w:tcPr>
          <w:p w14:paraId="6E30326C" w14:textId="77777777" w:rsidR="003663F2" w:rsidRPr="009F6D1E" w:rsidRDefault="00CD4045" w:rsidP="0084747F">
            <w:pPr>
              <w:pStyle w:val="Other0"/>
              <w:spacing w:after="60" w:line="264" w:lineRule="auto"/>
              <w:jc w:val="both"/>
              <w:rPr>
                <w:i/>
                <w:iCs/>
                <w:lang w:eastAsia="bg-BG" w:bidi="bg-BG"/>
              </w:rPr>
            </w:pPr>
            <w:r w:rsidRPr="009F6D1E">
              <w:rPr>
                <w:rFonts w:eastAsia="Calibri"/>
              </w:rPr>
              <w:lastRenderedPageBreak/>
              <w:t>СПРЗСР</w:t>
            </w:r>
            <w:r w:rsidR="003663F2" w:rsidRPr="009F6D1E">
              <w:rPr>
                <w:rFonts w:eastAsia="Calibri"/>
              </w:rPr>
              <w:t xml:space="preserve"> допринася за постигане на основната цел на Националната програма чрез </w:t>
            </w:r>
            <w:r w:rsidR="003663F2" w:rsidRPr="009F6D1E">
              <w:rPr>
                <w:i/>
                <w:iCs/>
                <w:lang w:eastAsia="bg-BG" w:bidi="bg-BG"/>
              </w:rPr>
              <w:t xml:space="preserve">Специфична цел №5: </w:t>
            </w:r>
            <w:r w:rsidR="00E43ACF" w:rsidRPr="009F6D1E">
              <w:rPr>
                <w:i/>
                <w:iCs/>
                <w:lang w:eastAsia="bg-BG" w:bidi="bg-BG"/>
              </w:rPr>
              <w:t xml:space="preserve">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 </w:t>
            </w:r>
            <w:r w:rsidR="003663F2" w:rsidRPr="009F6D1E">
              <w:rPr>
                <w:lang w:eastAsia="bg-BG" w:bidi="bg-BG"/>
              </w:rPr>
              <w:t>и интервенциите към нея</w:t>
            </w:r>
          </w:p>
          <w:p w14:paraId="4A0B56BD" w14:textId="77777777" w:rsidR="003663F2" w:rsidRPr="009F6D1E" w:rsidRDefault="003663F2" w:rsidP="0084747F">
            <w:pPr>
              <w:spacing w:after="60" w:line="264" w:lineRule="auto"/>
              <w:contextualSpacing/>
              <w:jc w:val="both"/>
              <w:rPr>
                <w:rFonts w:cs="Times New Roman"/>
              </w:rPr>
            </w:pPr>
          </w:p>
        </w:tc>
      </w:tr>
      <w:tr w:rsidR="003663F2" w:rsidRPr="009F6D1E" w14:paraId="4C53A908" w14:textId="77777777" w:rsidTr="00981F7B">
        <w:tc>
          <w:tcPr>
            <w:tcW w:w="7139" w:type="dxa"/>
          </w:tcPr>
          <w:p w14:paraId="4271719E"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Стратегия за опазване на околната среда в морските води на Черно море на Република България 2016-2021 г. (Морска стратегия, приета с Решение на Министерския съвет № 1111/29.12.2016 г.)</w:t>
            </w:r>
          </w:p>
          <w:p w14:paraId="15209D62"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 xml:space="preserve">Целите на стратегията са: </w:t>
            </w:r>
          </w:p>
          <w:p w14:paraId="1F426A0E"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w:t>
            </w:r>
            <w:r w:rsidRPr="009F6D1E">
              <w:rPr>
                <w:rFonts w:eastAsia="Calibri" w:cs="Times New Roman"/>
              </w:rPr>
              <w:tab/>
              <w:t xml:space="preserve">Постигане и поддържане на „добро състояние“ на морската околна среда; </w:t>
            </w:r>
          </w:p>
          <w:p w14:paraId="51EB706E"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w:t>
            </w:r>
            <w:r w:rsidRPr="009F6D1E">
              <w:rPr>
                <w:rFonts w:eastAsia="Calibri" w:cs="Times New Roman"/>
              </w:rPr>
              <w:tab/>
              <w:t xml:space="preserve">Защита и съхраняване на морската околна среда, предотвратяване на нейното влошаване или, когато е практически невъзможно, възстановяване на морските екосистеми в територии, които са били неблагоприятно засегнати; </w:t>
            </w:r>
          </w:p>
          <w:p w14:paraId="50450187"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Предотвратяване и намаляване на въвеждането и освобождаването на вещества от антропогенен</w:t>
            </w:r>
            <w:r w:rsidRPr="009F6D1E">
              <w:rPr>
                <w:rFonts w:eastAsia="Calibri" w:cs="Times New Roman"/>
                <w:b/>
                <w:bCs/>
                <w:i/>
                <w:iCs/>
              </w:rPr>
              <w:t xml:space="preserve"> </w:t>
            </w:r>
            <w:r w:rsidRPr="009F6D1E">
              <w:rPr>
                <w:rFonts w:eastAsia="Calibri" w:cs="Times New Roman"/>
              </w:rPr>
              <w:t>произход в околната среда с цел поетапно премахване на замърсяването и гарантиране липсата на съществено въздействие или опасност за човешкото здраве, биологичното разнообразие на морските екосистеми и законосъобразното използване на морето.</w:t>
            </w:r>
          </w:p>
          <w:p w14:paraId="02588285" w14:textId="77777777" w:rsidR="003663F2" w:rsidRPr="009F6D1E" w:rsidRDefault="003663F2" w:rsidP="0084747F">
            <w:pPr>
              <w:spacing w:after="60" w:line="264" w:lineRule="auto"/>
              <w:contextualSpacing/>
              <w:jc w:val="both"/>
              <w:rPr>
                <w:rFonts w:eastAsia="Calibri" w:cs="Times New Roman"/>
                <w:b/>
                <w:bCs/>
                <w:i/>
                <w:iCs/>
              </w:rPr>
            </w:pPr>
          </w:p>
        </w:tc>
        <w:tc>
          <w:tcPr>
            <w:tcW w:w="7139" w:type="dxa"/>
          </w:tcPr>
          <w:p w14:paraId="1893E011" w14:textId="77777777" w:rsidR="00B774FC" w:rsidRPr="009F6D1E" w:rsidRDefault="00CD4045" w:rsidP="0084747F">
            <w:pPr>
              <w:spacing w:after="60" w:line="264" w:lineRule="auto"/>
              <w:contextualSpacing/>
              <w:jc w:val="both"/>
              <w:rPr>
                <w:rFonts w:eastAsia="Calibri" w:cs="Times New Roman"/>
                <w:lang w:bidi="bg-BG"/>
              </w:rPr>
            </w:pPr>
            <w:r w:rsidRPr="009F6D1E">
              <w:rPr>
                <w:rFonts w:cs="Times New Roman"/>
                <w:lang w:eastAsia="bg-BG" w:bidi="bg-BG"/>
              </w:rPr>
              <w:t>СПРЗСР</w:t>
            </w:r>
            <w:r w:rsidR="00B774FC" w:rsidRPr="009F6D1E">
              <w:rPr>
                <w:rFonts w:cs="Times New Roman"/>
                <w:lang w:eastAsia="bg-BG" w:bidi="bg-BG"/>
              </w:rPr>
              <w:t xml:space="preserve"> допринася за постигане на целите на Стратегията чрез </w:t>
            </w:r>
            <w:r w:rsidR="00B774FC" w:rsidRPr="009F6D1E">
              <w:rPr>
                <w:rFonts w:eastAsia="Calibri" w:cs="Times New Roman"/>
                <w:i/>
                <w:iCs/>
                <w:lang w:bidi="bg-BG"/>
              </w:rPr>
              <w:t xml:space="preserve">Специфична цел № 6: </w:t>
            </w:r>
            <w:r w:rsidR="00E43ACF" w:rsidRPr="009F6D1E">
              <w:rPr>
                <w:rFonts w:eastAsia="Calibri" w:cs="Times New Roman"/>
                <w:i/>
                <w:iCs/>
                <w:lang w:bidi="bg-BG"/>
              </w:rPr>
              <w:t xml:space="preserve">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 </w:t>
            </w:r>
            <w:r w:rsidR="00B774FC" w:rsidRPr="009F6D1E">
              <w:rPr>
                <w:rFonts w:eastAsia="Calibri" w:cs="Times New Roman"/>
                <w:lang w:bidi="bg-BG"/>
              </w:rPr>
              <w:t>и интервенциите към нея</w:t>
            </w:r>
          </w:p>
          <w:p w14:paraId="7C07A50C" w14:textId="77777777" w:rsidR="003663F2" w:rsidRPr="009F6D1E" w:rsidRDefault="003663F2" w:rsidP="0084747F">
            <w:pPr>
              <w:spacing w:after="60" w:line="264" w:lineRule="auto"/>
              <w:contextualSpacing/>
              <w:jc w:val="both"/>
              <w:rPr>
                <w:rFonts w:cs="Times New Roman"/>
              </w:rPr>
            </w:pPr>
          </w:p>
        </w:tc>
      </w:tr>
      <w:tr w:rsidR="003663F2" w:rsidRPr="009F6D1E" w14:paraId="720623E4" w14:textId="77777777" w:rsidTr="00981F7B">
        <w:tc>
          <w:tcPr>
            <w:tcW w:w="7139" w:type="dxa"/>
          </w:tcPr>
          <w:p w14:paraId="4088727F"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Стратегически план за действие за опазване на околната среда и възстановяване на Черно море</w:t>
            </w:r>
          </w:p>
          <w:p w14:paraId="4D9D3CC4"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 xml:space="preserve">Обща цел от стратегическия план: </w:t>
            </w:r>
          </w:p>
          <w:p w14:paraId="243101BF"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w:t>
            </w:r>
            <w:r w:rsidRPr="009F6D1E">
              <w:rPr>
                <w:rFonts w:eastAsia="Calibri" w:cs="Times New Roman"/>
                <w:b/>
                <w:bCs/>
                <w:i/>
                <w:iCs/>
              </w:rPr>
              <w:tab/>
              <w:t>- Намаляване на атмосферните емисии от азот, идващи от общински, селскостопански и промишлени източници, чрез въвеждането на принципите на НДНТ, НДНП и др.</w:t>
            </w:r>
          </w:p>
        </w:tc>
        <w:tc>
          <w:tcPr>
            <w:tcW w:w="7139" w:type="dxa"/>
          </w:tcPr>
          <w:p w14:paraId="071CCE5D" w14:textId="77777777" w:rsidR="00B774FC" w:rsidRPr="009F6D1E" w:rsidRDefault="00CD4045" w:rsidP="0084747F">
            <w:pPr>
              <w:spacing w:after="60" w:line="264" w:lineRule="auto"/>
              <w:contextualSpacing/>
              <w:jc w:val="both"/>
              <w:rPr>
                <w:rFonts w:eastAsia="Calibri" w:cs="Times New Roman"/>
                <w:lang w:bidi="bg-BG"/>
              </w:rPr>
            </w:pPr>
            <w:r w:rsidRPr="009F6D1E">
              <w:rPr>
                <w:rFonts w:cs="Times New Roman"/>
                <w:lang w:eastAsia="bg-BG" w:bidi="bg-BG"/>
              </w:rPr>
              <w:lastRenderedPageBreak/>
              <w:t>СПРЗСР</w:t>
            </w:r>
            <w:r w:rsidR="00B774FC" w:rsidRPr="009F6D1E">
              <w:rPr>
                <w:rFonts w:cs="Times New Roman"/>
                <w:lang w:eastAsia="bg-BG" w:bidi="bg-BG"/>
              </w:rPr>
              <w:t xml:space="preserve"> допринася за постигане на </w:t>
            </w:r>
            <w:r w:rsidR="002F2F63" w:rsidRPr="009F6D1E">
              <w:rPr>
                <w:rFonts w:cs="Times New Roman"/>
                <w:lang w:eastAsia="bg-BG" w:bidi="bg-BG"/>
              </w:rPr>
              <w:t xml:space="preserve">общата </w:t>
            </w:r>
            <w:r w:rsidR="00B774FC" w:rsidRPr="009F6D1E">
              <w:rPr>
                <w:rFonts w:cs="Times New Roman"/>
                <w:lang w:eastAsia="bg-BG" w:bidi="bg-BG"/>
              </w:rPr>
              <w:t>цел на Стратеги</w:t>
            </w:r>
            <w:r w:rsidR="002F2F63" w:rsidRPr="009F6D1E">
              <w:rPr>
                <w:rFonts w:cs="Times New Roman"/>
                <w:lang w:eastAsia="bg-BG" w:bidi="bg-BG"/>
              </w:rPr>
              <w:t>ческия план</w:t>
            </w:r>
            <w:r w:rsidR="00B774FC" w:rsidRPr="009F6D1E">
              <w:rPr>
                <w:rFonts w:cs="Times New Roman"/>
                <w:lang w:eastAsia="bg-BG" w:bidi="bg-BG"/>
              </w:rPr>
              <w:t xml:space="preserve"> чрез </w:t>
            </w:r>
            <w:r w:rsidR="00B774FC" w:rsidRPr="009F6D1E">
              <w:rPr>
                <w:rFonts w:eastAsia="Calibri" w:cs="Times New Roman"/>
                <w:i/>
                <w:iCs/>
                <w:lang w:bidi="bg-BG"/>
              </w:rPr>
              <w:t xml:space="preserve">Специфична цел № 6: </w:t>
            </w:r>
            <w:r w:rsidR="00E43ACF" w:rsidRPr="009F6D1E">
              <w:rPr>
                <w:rFonts w:eastAsia="Calibri" w:cs="Times New Roman"/>
                <w:i/>
                <w:iCs/>
                <w:lang w:bidi="bg-BG"/>
              </w:rPr>
              <w:t xml:space="preserve">Принос за спиране на загубата на биологично разнообразие и обръщане на тази тенденция, </w:t>
            </w:r>
            <w:r w:rsidR="00E43ACF" w:rsidRPr="009F6D1E">
              <w:rPr>
                <w:rFonts w:eastAsia="Calibri" w:cs="Times New Roman"/>
                <w:i/>
                <w:iCs/>
                <w:lang w:bidi="bg-BG"/>
              </w:rPr>
              <w:lastRenderedPageBreak/>
              <w:t xml:space="preserve">подобряване на екосистемните услуги и опазване на местообитанията и ландшафта </w:t>
            </w:r>
            <w:r w:rsidR="00B774FC" w:rsidRPr="009F6D1E">
              <w:rPr>
                <w:rFonts w:eastAsia="Calibri" w:cs="Times New Roman"/>
                <w:lang w:bidi="bg-BG"/>
              </w:rPr>
              <w:t>и интервенциите към нея</w:t>
            </w:r>
          </w:p>
          <w:p w14:paraId="77256E51" w14:textId="77777777" w:rsidR="003663F2" w:rsidRPr="009F6D1E" w:rsidRDefault="002F2F63" w:rsidP="0084747F">
            <w:pPr>
              <w:spacing w:after="60" w:line="264" w:lineRule="auto"/>
              <w:jc w:val="both"/>
              <w:rPr>
                <w:rFonts w:cs="Times New Roman"/>
              </w:rPr>
            </w:pPr>
            <w:r w:rsidRPr="009F6D1E">
              <w:rPr>
                <w:rFonts w:cs="Times New Roman"/>
              </w:rPr>
              <w:t xml:space="preserve">Отделно от това </w:t>
            </w:r>
            <w:r w:rsidR="003663F2" w:rsidRPr="009F6D1E">
              <w:rPr>
                <w:rFonts w:cs="Times New Roman"/>
              </w:rPr>
              <w:t>насоченост</w:t>
            </w:r>
            <w:r w:rsidRPr="009F6D1E">
              <w:rPr>
                <w:rFonts w:cs="Times New Roman"/>
              </w:rPr>
              <w:t xml:space="preserve">та на </w:t>
            </w:r>
            <w:r w:rsidR="00CD4045" w:rsidRPr="009F6D1E">
              <w:rPr>
                <w:rFonts w:cs="Times New Roman"/>
              </w:rPr>
              <w:t>СПРЗСР</w:t>
            </w:r>
            <w:r w:rsidRPr="009F6D1E">
              <w:rPr>
                <w:rFonts w:cs="Times New Roman"/>
              </w:rPr>
              <w:t xml:space="preserve"> </w:t>
            </w:r>
            <w:r w:rsidR="003663F2" w:rsidRPr="009F6D1E">
              <w:rPr>
                <w:rFonts w:cs="Times New Roman"/>
              </w:rPr>
              <w:t xml:space="preserve">към предмета на Стратегическия план, </w:t>
            </w:r>
            <w:r w:rsidRPr="009F6D1E">
              <w:rPr>
                <w:rFonts w:cs="Times New Roman"/>
              </w:rPr>
              <w:t>е</w:t>
            </w:r>
            <w:r w:rsidR="003663F2" w:rsidRPr="009F6D1E">
              <w:rPr>
                <w:rFonts w:cs="Times New Roman"/>
              </w:rPr>
              <w:t xml:space="preserve"> чрез подкрепяните дейности за кръгова икономика ще има принос за ограничаване на емисиите от азот като цяло. </w:t>
            </w:r>
          </w:p>
        </w:tc>
      </w:tr>
      <w:tr w:rsidR="003663F2" w:rsidRPr="009F6D1E" w14:paraId="7EABB80A" w14:textId="77777777" w:rsidTr="00981F7B">
        <w:tc>
          <w:tcPr>
            <w:tcW w:w="7139" w:type="dxa"/>
          </w:tcPr>
          <w:p w14:paraId="709BD571"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Морски пространствен план на Република България 2021-2035 г. (проект, септември, 2021 г.)</w:t>
            </w:r>
          </w:p>
          <w:p w14:paraId="25583462" w14:textId="77777777" w:rsidR="003663F2" w:rsidRPr="009F6D1E" w:rsidRDefault="003663F2" w:rsidP="0084747F">
            <w:pPr>
              <w:spacing w:after="60" w:line="264" w:lineRule="auto"/>
              <w:contextualSpacing/>
              <w:jc w:val="both"/>
              <w:rPr>
                <w:rFonts w:eastAsia="Calibri" w:cs="Times New Roman"/>
                <w:i/>
                <w:iCs/>
                <w:u w:val="single"/>
              </w:rPr>
            </w:pPr>
            <w:r w:rsidRPr="009F6D1E">
              <w:rPr>
                <w:rFonts w:eastAsia="Calibri" w:cs="Times New Roman"/>
                <w:i/>
                <w:iCs/>
                <w:u w:val="single"/>
              </w:rPr>
              <w:t xml:space="preserve">Стратегически цели: </w:t>
            </w:r>
          </w:p>
          <w:p w14:paraId="43DE4F78"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t>Стратегическа цел 1:</w:t>
            </w:r>
            <w:r w:rsidRPr="009F6D1E">
              <w:rPr>
                <w:rFonts w:eastAsia="Calibri" w:cs="Times New Roman"/>
              </w:rPr>
              <w:t xml:space="preserve"> Регулиране и координиране на морските ползвания </w:t>
            </w:r>
          </w:p>
          <w:p w14:paraId="429B8D74"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t>Стратегическа цел 2:</w:t>
            </w:r>
            <w:r w:rsidRPr="009F6D1E">
              <w:rPr>
                <w:rFonts w:eastAsia="Calibri" w:cs="Times New Roman"/>
              </w:rPr>
              <w:t xml:space="preserve"> Изграждане на диверсифицирана и устойчива морска икономика и жизнени териториални общности </w:t>
            </w:r>
          </w:p>
          <w:p w14:paraId="648E7354"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t>Стратегическа цел 3:</w:t>
            </w:r>
            <w:r w:rsidRPr="009F6D1E">
              <w:rPr>
                <w:rFonts w:eastAsia="Calibri" w:cs="Times New Roman"/>
              </w:rPr>
              <w:t xml:space="preserve"> Повишаване на морската култура, образование и знание. </w:t>
            </w:r>
          </w:p>
          <w:p w14:paraId="47EB55B3"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rPr>
              <w:t xml:space="preserve">Стратегическа цел 4: </w:t>
            </w:r>
            <w:r w:rsidRPr="009F6D1E">
              <w:rPr>
                <w:rFonts w:eastAsia="Calibri" w:cs="Times New Roman"/>
              </w:rPr>
              <w:t>Международно и регионално сътрудничество за опазване и ползване на черноморските ресурси.</w:t>
            </w:r>
          </w:p>
        </w:tc>
        <w:tc>
          <w:tcPr>
            <w:tcW w:w="7139" w:type="dxa"/>
          </w:tcPr>
          <w:p w14:paraId="2A439B5B" w14:textId="77777777" w:rsidR="003663F2" w:rsidRPr="009F6D1E" w:rsidRDefault="00CD4045" w:rsidP="0084747F">
            <w:pPr>
              <w:spacing w:after="60" w:line="264" w:lineRule="auto"/>
              <w:contextualSpacing/>
              <w:jc w:val="both"/>
              <w:rPr>
                <w:rFonts w:cs="Times New Roman"/>
              </w:rPr>
            </w:pPr>
            <w:r w:rsidRPr="009F6D1E">
              <w:rPr>
                <w:rFonts w:cs="Times New Roman"/>
              </w:rPr>
              <w:t>СПРЗСР</w:t>
            </w:r>
            <w:r w:rsidR="003663F2" w:rsidRPr="009F6D1E">
              <w:rPr>
                <w:rFonts w:cs="Times New Roman"/>
              </w:rPr>
              <w:t xml:space="preserve"> не предвижда мерки и дейности, които влизат в конфликт с целите на Стратегията.</w:t>
            </w:r>
          </w:p>
        </w:tc>
      </w:tr>
      <w:tr w:rsidR="003663F2" w:rsidRPr="009F6D1E" w14:paraId="3C806D5A" w14:textId="77777777" w:rsidTr="00981F7B">
        <w:tc>
          <w:tcPr>
            <w:tcW w:w="7139" w:type="dxa"/>
          </w:tcPr>
          <w:p w14:paraId="1CC04A80"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Национален план за управление на отпадъците 2021-2028г., приет с Решение № 459 на Министерския съвет от 17.06.2021 г.</w:t>
            </w:r>
          </w:p>
          <w:p w14:paraId="17F6D583"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 xml:space="preserve">Цел 1: </w:t>
            </w:r>
            <w:r w:rsidRPr="009F6D1E">
              <w:rPr>
                <w:rFonts w:eastAsia="Calibri" w:cs="Times New Roman"/>
                <w:i/>
                <w:iCs/>
              </w:rPr>
              <w:t>Намаляване на вредното въздействие на отпадъците чрез предотвратяване образуването им и насърчаване на повторното им използване</w:t>
            </w:r>
          </w:p>
          <w:p w14:paraId="7369C13A"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 xml:space="preserve">Цел 2: </w:t>
            </w:r>
            <w:r w:rsidRPr="009F6D1E">
              <w:rPr>
                <w:rFonts w:eastAsia="Calibri" w:cs="Times New Roman"/>
                <w:i/>
                <w:iCs/>
              </w:rPr>
              <w:t>Увеличаване на количествата на рециклираните и оползотворени отпадъци</w:t>
            </w:r>
          </w:p>
          <w:p w14:paraId="3B26C894"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 xml:space="preserve">Цел 3: </w:t>
            </w:r>
            <w:r w:rsidRPr="009F6D1E">
              <w:rPr>
                <w:rFonts w:eastAsia="Calibri" w:cs="Times New Roman"/>
                <w:i/>
                <w:iCs/>
              </w:rPr>
              <w:t>Намаляване на количествата и на риска от депонираните битови отпадъци.</w:t>
            </w:r>
          </w:p>
        </w:tc>
        <w:tc>
          <w:tcPr>
            <w:tcW w:w="7139" w:type="dxa"/>
          </w:tcPr>
          <w:p w14:paraId="59E9AF01" w14:textId="6D2920BD" w:rsidR="002F2F63" w:rsidRPr="009F6D1E" w:rsidRDefault="008E512A" w:rsidP="0084747F">
            <w:pPr>
              <w:spacing w:after="60" w:line="264" w:lineRule="auto"/>
              <w:contextualSpacing/>
              <w:jc w:val="both"/>
              <w:rPr>
                <w:rFonts w:eastAsia="Calibri" w:cs="Times New Roman"/>
                <w:lang w:eastAsia="en-GB" w:bidi="bg-BG"/>
              </w:rPr>
            </w:pPr>
            <w:r>
              <w:rPr>
                <w:rFonts w:cs="Times New Roman"/>
                <w:bCs/>
                <w:iCs/>
                <w:szCs w:val="24"/>
              </w:rPr>
              <w:lastRenderedPageBreak/>
              <w:t>СПРЗСР</w:t>
            </w:r>
            <w:r w:rsidR="003663F2" w:rsidRPr="009F6D1E">
              <w:rPr>
                <w:rFonts w:cs="Times New Roman"/>
              </w:rPr>
              <w:t xml:space="preserve"> интегрира целта на политиката за изпълнение на мерките, заложени в НПУО 2021-2028г., и по-специално към тези, свързани с намаляване на количеството на отпадъците, тяхното рециклиране и оползотворяване и др.</w:t>
            </w:r>
            <w:r w:rsidR="002F2F63" w:rsidRPr="009F6D1E">
              <w:rPr>
                <w:rFonts w:cs="Times New Roman"/>
              </w:rPr>
              <w:t xml:space="preserve">, напр. </w:t>
            </w:r>
            <w:r w:rsidR="002F2F63" w:rsidRPr="009F6D1E">
              <w:rPr>
                <w:rFonts w:cs="Times New Roman"/>
                <w:i/>
                <w:iCs/>
              </w:rPr>
              <w:t>Специфична цел №8</w:t>
            </w:r>
            <w:r w:rsidR="00A15976" w:rsidRPr="009F6D1E">
              <w:rPr>
                <w:rFonts w:cs="Times New Roman"/>
                <w:i/>
                <w:iCs/>
              </w:rPr>
              <w:t>,</w:t>
            </w:r>
            <w:r w:rsidR="002F2F63" w:rsidRPr="009F6D1E">
              <w:rPr>
                <w:rFonts w:cs="Times New Roman"/>
              </w:rPr>
              <w:t xml:space="preserve"> </w:t>
            </w:r>
            <w:r w:rsidR="00A15976" w:rsidRPr="009F6D1E">
              <w:rPr>
                <w:rFonts w:cs="Times New Roman"/>
                <w:i/>
                <w:iCs/>
              </w:rPr>
              <w:t xml:space="preserve">Потребност П.8.1. Диверсификация на икономическата дейност. Стимулиране </w:t>
            </w:r>
            <w:r w:rsidR="00A15976" w:rsidRPr="009F6D1E">
              <w:rPr>
                <w:rFonts w:cs="Times New Roman"/>
                <w:i/>
                <w:iCs/>
              </w:rPr>
              <w:lastRenderedPageBreak/>
              <w:t xml:space="preserve">на нови производства в областта на биоикономиката и кръговата икономика, </w:t>
            </w:r>
            <w:r w:rsidR="00A15976" w:rsidRPr="009F6D1E">
              <w:rPr>
                <w:rFonts w:eastAsia="Calibri" w:cs="Times New Roman"/>
                <w:bCs/>
                <w:i/>
                <w:iCs/>
                <w:lang w:eastAsia="en-GB" w:bidi="bg-BG"/>
              </w:rPr>
              <w:t xml:space="preserve">Интервенция „Първична преработка и маркетинг на дървесина“, съгл. чл. 73 (ЕЗФРСР). </w:t>
            </w:r>
            <w:r w:rsidR="00A15976" w:rsidRPr="009F6D1E">
              <w:rPr>
                <w:rFonts w:eastAsia="Calibri" w:cs="Times New Roman"/>
                <w:bCs/>
                <w:lang w:eastAsia="en-GB" w:bidi="bg-BG"/>
              </w:rPr>
              <w:t xml:space="preserve">Добиването и преработката на биомаса от горското стопанство дават възможност за диверсификация на приходите, работни места и бизнес възможности, както и за предоставяне на нови услуги в селските райони. </w:t>
            </w:r>
            <w:r w:rsidR="002F2F63" w:rsidRPr="009F6D1E">
              <w:rPr>
                <w:rFonts w:eastAsia="Calibri" w:cs="Times New Roman"/>
                <w:lang w:eastAsia="en-GB" w:bidi="bg-BG"/>
              </w:rPr>
              <w:t>Подкрепената интервенция ще допринесе до очакваните от кръговата икономика ефекти:</w:t>
            </w:r>
          </w:p>
          <w:p w14:paraId="74EBA003" w14:textId="77777777" w:rsidR="002F2F63" w:rsidRPr="009F6D1E" w:rsidRDefault="002F2F63" w:rsidP="0084747F">
            <w:pPr>
              <w:numPr>
                <w:ilvl w:val="0"/>
                <w:numId w:val="7"/>
              </w:numPr>
              <w:spacing w:after="60" w:line="264" w:lineRule="auto"/>
              <w:ind w:left="720"/>
              <w:jc w:val="both"/>
              <w:rPr>
                <w:rFonts w:eastAsia="Calibri" w:cs="Times New Roman"/>
                <w:lang w:eastAsia="en-GB" w:bidi="bg-BG"/>
              </w:rPr>
            </w:pPr>
            <w:r w:rsidRPr="009F6D1E">
              <w:rPr>
                <w:rFonts w:eastAsia="Calibri" w:cs="Times New Roman"/>
                <w:lang w:eastAsia="en-GB" w:bidi="bg-BG"/>
              </w:rPr>
              <w:t>подобрена ресурсна обезпеченост и намалена зависимост от вноса, вследствие потребление на относително нови ресурси  от горите;</w:t>
            </w:r>
          </w:p>
          <w:p w14:paraId="0E668D73" w14:textId="77777777" w:rsidR="002F2F63" w:rsidRPr="009F6D1E" w:rsidRDefault="002F2F63" w:rsidP="0084747F">
            <w:pPr>
              <w:numPr>
                <w:ilvl w:val="0"/>
                <w:numId w:val="7"/>
              </w:numPr>
              <w:spacing w:after="60" w:line="264" w:lineRule="auto"/>
              <w:ind w:left="720"/>
              <w:jc w:val="both"/>
              <w:rPr>
                <w:rFonts w:eastAsia="Calibri" w:cs="Times New Roman"/>
                <w:lang w:eastAsia="en-GB" w:bidi="bg-BG"/>
              </w:rPr>
            </w:pPr>
            <w:r w:rsidRPr="009F6D1E">
              <w:rPr>
                <w:rFonts w:eastAsia="Calibri" w:cs="Times New Roman"/>
                <w:lang w:eastAsia="en-GB" w:bidi="bg-BG"/>
              </w:rPr>
              <w:t>икономически придобивки: нови ниши за растеж и иновации, реализирани вследствие на по-ефективното и ефикасно ползване на ресурсите от горите;</w:t>
            </w:r>
          </w:p>
          <w:p w14:paraId="0F4D4015" w14:textId="77777777" w:rsidR="002F2F63" w:rsidRPr="009F6D1E" w:rsidRDefault="002F2F63" w:rsidP="0084747F">
            <w:pPr>
              <w:numPr>
                <w:ilvl w:val="0"/>
                <w:numId w:val="7"/>
              </w:numPr>
              <w:spacing w:after="60" w:line="264" w:lineRule="auto"/>
              <w:ind w:left="720"/>
              <w:jc w:val="both"/>
              <w:rPr>
                <w:rFonts w:eastAsia="Calibri" w:cs="Times New Roman"/>
                <w:lang w:eastAsia="en-GB" w:bidi="bg-BG"/>
              </w:rPr>
            </w:pPr>
            <w:r w:rsidRPr="009F6D1E">
              <w:rPr>
                <w:rFonts w:eastAsia="Calibri" w:cs="Times New Roman"/>
                <w:lang w:eastAsia="en-GB" w:bidi="bg-BG"/>
              </w:rPr>
              <w:t>социални ползи – създаване на нови работни места чрез диверсификация на икономическите дейности в селските.</w:t>
            </w:r>
          </w:p>
          <w:p w14:paraId="21A02E29" w14:textId="77777777" w:rsidR="002F2F63" w:rsidRPr="009F6D1E" w:rsidRDefault="002F2F63" w:rsidP="0084747F">
            <w:pPr>
              <w:spacing w:after="60" w:line="264" w:lineRule="auto"/>
              <w:jc w:val="both"/>
              <w:rPr>
                <w:rFonts w:eastAsia="Calibri" w:cs="Times New Roman"/>
                <w:lang w:eastAsia="en-GB" w:bidi="bg-BG"/>
              </w:rPr>
            </w:pPr>
            <w:r w:rsidRPr="009F6D1E">
              <w:rPr>
                <w:rFonts w:eastAsia="Calibri" w:cs="Times New Roman"/>
                <w:lang w:eastAsia="en-GB" w:bidi="bg-BG"/>
              </w:rPr>
              <w:t xml:space="preserve">По отношение на биоикономиката, интервенцията цели реализиране на визията на  страните от Централна и Източна Европа за 2030 год., като използват своя потенциал и възможности за: </w:t>
            </w:r>
          </w:p>
          <w:p w14:paraId="1917AE24" w14:textId="77777777" w:rsidR="002F2F63" w:rsidRPr="009F6D1E" w:rsidRDefault="002F2F63" w:rsidP="0084747F">
            <w:pPr>
              <w:numPr>
                <w:ilvl w:val="0"/>
                <w:numId w:val="7"/>
              </w:numPr>
              <w:spacing w:after="60" w:line="264" w:lineRule="auto"/>
              <w:ind w:left="720"/>
              <w:jc w:val="both"/>
              <w:rPr>
                <w:rFonts w:cs="Times New Roman"/>
              </w:rPr>
            </w:pPr>
            <w:r w:rsidRPr="009F6D1E">
              <w:rPr>
                <w:rFonts w:eastAsia="Calibri" w:cs="Times New Roman"/>
                <w:lang w:eastAsia="en-GB" w:bidi="bg-BG"/>
              </w:rPr>
              <w:t xml:space="preserve">кръгова („нулеви отпадъци“) обработка на наличната биомаса, за развитието на нови вериги от стойности на </w:t>
            </w:r>
            <w:r w:rsidRPr="009F6D1E">
              <w:rPr>
                <w:rFonts w:eastAsia="Calibri" w:cs="Times New Roman"/>
                <w:lang w:eastAsia="en-GB" w:bidi="bg-BG"/>
              </w:rPr>
              <w:lastRenderedPageBreak/>
              <w:t xml:space="preserve">биологична основа, чрез използване за суровина на дървесни отпадъци и/или остатъци;  </w:t>
            </w:r>
          </w:p>
        </w:tc>
      </w:tr>
      <w:tr w:rsidR="003663F2" w:rsidRPr="009F6D1E" w14:paraId="4307F18A" w14:textId="77777777" w:rsidTr="00981F7B">
        <w:tc>
          <w:tcPr>
            <w:tcW w:w="7139" w:type="dxa"/>
          </w:tcPr>
          <w:p w14:paraId="25EFDA1B"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Национална стратегия за адаптация към изменението на климата и План за действие до 2030 г.</w:t>
            </w:r>
          </w:p>
          <w:p w14:paraId="7D8F116D"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Стратегически цели:</w:t>
            </w:r>
          </w:p>
          <w:p w14:paraId="749C77B5" w14:textId="77777777" w:rsidR="003663F2" w:rsidRPr="009F6D1E" w:rsidRDefault="003663F2" w:rsidP="0084747F">
            <w:pPr>
              <w:pStyle w:val="ListParagraph"/>
              <w:numPr>
                <w:ilvl w:val="0"/>
                <w:numId w:val="18"/>
              </w:numPr>
              <w:spacing w:after="60" w:line="264" w:lineRule="auto"/>
              <w:jc w:val="both"/>
              <w:rPr>
                <w:rFonts w:eastAsia="Calibri"/>
                <w:sz w:val="22"/>
                <w:szCs w:val="22"/>
                <w:lang w:val="bg-BG"/>
              </w:rPr>
            </w:pPr>
            <w:r w:rsidRPr="009F6D1E">
              <w:rPr>
                <w:rFonts w:eastAsia="Calibri"/>
                <w:sz w:val="22"/>
                <w:szCs w:val="22"/>
                <w:lang w:val="bg-BG"/>
              </w:rPr>
              <w:t>Приобщаване и интегриране на адаптирането към изменението на климата</w:t>
            </w:r>
          </w:p>
          <w:p w14:paraId="31A9575C" w14:textId="77777777" w:rsidR="003663F2" w:rsidRPr="009F6D1E" w:rsidRDefault="003663F2" w:rsidP="0084747F">
            <w:pPr>
              <w:pStyle w:val="ListParagraph"/>
              <w:numPr>
                <w:ilvl w:val="0"/>
                <w:numId w:val="18"/>
              </w:numPr>
              <w:spacing w:after="60" w:line="264" w:lineRule="auto"/>
              <w:jc w:val="both"/>
              <w:rPr>
                <w:rFonts w:eastAsia="Calibri"/>
                <w:sz w:val="22"/>
                <w:szCs w:val="22"/>
                <w:lang w:val="bg-BG"/>
              </w:rPr>
            </w:pPr>
            <w:r w:rsidRPr="009F6D1E">
              <w:rPr>
                <w:rFonts w:eastAsia="Calibri"/>
                <w:sz w:val="22"/>
                <w:szCs w:val="22"/>
                <w:lang w:val="bg-BG"/>
              </w:rPr>
              <w:t>Изграждане на институционален капацитет за адаптиране към изменението на климата</w:t>
            </w:r>
          </w:p>
          <w:p w14:paraId="488940F5" w14:textId="77777777" w:rsidR="003663F2" w:rsidRPr="009F6D1E" w:rsidRDefault="003663F2" w:rsidP="0084747F">
            <w:pPr>
              <w:pStyle w:val="ListParagraph"/>
              <w:numPr>
                <w:ilvl w:val="0"/>
                <w:numId w:val="18"/>
              </w:numPr>
              <w:spacing w:after="60" w:line="264" w:lineRule="auto"/>
              <w:jc w:val="both"/>
              <w:rPr>
                <w:rFonts w:eastAsia="Calibri"/>
                <w:sz w:val="22"/>
                <w:szCs w:val="22"/>
                <w:lang w:val="bg-BG"/>
              </w:rPr>
            </w:pPr>
            <w:r w:rsidRPr="009F6D1E">
              <w:rPr>
                <w:rFonts w:eastAsia="Calibri"/>
                <w:sz w:val="22"/>
                <w:szCs w:val="22"/>
                <w:lang w:val="bg-BG"/>
              </w:rPr>
              <w:t>Повишаване на осведомеността относно адаптирането към изменението на климата</w:t>
            </w:r>
          </w:p>
          <w:p w14:paraId="548DDD5B" w14:textId="77777777" w:rsidR="003663F2" w:rsidRPr="009F6D1E" w:rsidRDefault="003663F2" w:rsidP="0084747F">
            <w:pPr>
              <w:pStyle w:val="ListParagraph"/>
              <w:numPr>
                <w:ilvl w:val="0"/>
                <w:numId w:val="18"/>
              </w:numPr>
              <w:spacing w:after="60" w:line="264" w:lineRule="auto"/>
              <w:jc w:val="both"/>
              <w:rPr>
                <w:rFonts w:eastAsia="Calibri"/>
                <w:b/>
                <w:bCs/>
                <w:i/>
                <w:iCs/>
                <w:sz w:val="22"/>
                <w:szCs w:val="22"/>
                <w:lang w:val="bg-BG"/>
              </w:rPr>
            </w:pPr>
            <w:r w:rsidRPr="009F6D1E">
              <w:rPr>
                <w:rFonts w:eastAsia="Calibri"/>
                <w:sz w:val="22"/>
                <w:szCs w:val="22"/>
                <w:lang w:val="bg-BG"/>
              </w:rPr>
              <w:t>Изграждане на устойчивост към изменението на климата</w:t>
            </w:r>
          </w:p>
        </w:tc>
        <w:tc>
          <w:tcPr>
            <w:tcW w:w="7139" w:type="dxa"/>
          </w:tcPr>
          <w:p w14:paraId="6171CA8B" w14:textId="77777777" w:rsidR="00D2240F" w:rsidRPr="009F6D1E" w:rsidRDefault="00D2240F" w:rsidP="0084747F">
            <w:pPr>
              <w:spacing w:after="60" w:line="264" w:lineRule="auto"/>
              <w:contextualSpacing/>
              <w:jc w:val="both"/>
              <w:rPr>
                <w:rFonts w:cs="Times New Roman"/>
              </w:rPr>
            </w:pPr>
            <w:r w:rsidRPr="009F6D1E">
              <w:rPr>
                <w:rFonts w:cs="Times New Roman"/>
              </w:rPr>
              <w:t xml:space="preserve">Пряко отношение и принос Стратегията има: </w:t>
            </w:r>
          </w:p>
          <w:p w14:paraId="65741235" w14:textId="77777777" w:rsidR="00A7632D" w:rsidRPr="009F6D1E" w:rsidRDefault="00A7632D" w:rsidP="0084747F">
            <w:pPr>
              <w:widowControl w:val="0"/>
              <w:spacing w:after="60" w:line="264" w:lineRule="auto"/>
              <w:jc w:val="both"/>
              <w:rPr>
                <w:rFonts w:cs="Times New Roman"/>
                <w:bCs/>
                <w:i/>
              </w:rPr>
            </w:pPr>
            <w:r w:rsidRPr="009F6D1E">
              <w:rPr>
                <w:rFonts w:cs="Times New Roman"/>
                <w:bCs/>
                <w:i/>
              </w:rPr>
              <w:t>Специфична цел №1:</w:t>
            </w:r>
          </w:p>
          <w:p w14:paraId="30EB61AF" w14:textId="77777777" w:rsidR="00A7632D" w:rsidRPr="009F6D1E" w:rsidRDefault="00A7632D" w:rsidP="0084747F">
            <w:pPr>
              <w:widowControl w:val="0"/>
              <w:spacing w:after="60" w:line="264" w:lineRule="auto"/>
              <w:jc w:val="both"/>
              <w:rPr>
                <w:rFonts w:eastAsia="Times New Roman" w:cs="Times New Roman"/>
                <w:bCs/>
                <w:lang w:eastAsia="bg-BG" w:bidi="bg-BG"/>
              </w:rPr>
            </w:pPr>
            <w:r w:rsidRPr="009F6D1E">
              <w:rPr>
                <w:rFonts w:cs="Times New Roman"/>
                <w:bCs/>
                <w:i/>
              </w:rPr>
              <w:t>Потребност</w:t>
            </w:r>
            <w:r w:rsidRPr="009F6D1E">
              <w:rPr>
                <w:rFonts w:cs="Times New Roman"/>
                <w:i/>
              </w:rPr>
              <w:t xml:space="preserve"> П.1.5.</w:t>
            </w:r>
            <w:r w:rsidRPr="009F6D1E">
              <w:rPr>
                <w:rFonts w:eastAsia="Times New Roman" w:cs="Times New Roman"/>
                <w:bCs/>
                <w:i/>
                <w:iCs/>
                <w:lang w:eastAsia="bg-BG" w:bidi="bg-BG"/>
              </w:rPr>
              <w:t xml:space="preserve"> Надграждане и диверсификация на системата за управление на риска в земеделието, </w:t>
            </w:r>
            <w:r w:rsidRPr="009F6D1E">
              <w:rPr>
                <w:rFonts w:eastAsia="Times New Roman" w:cs="Times New Roman"/>
                <w:bCs/>
                <w:lang w:eastAsia="bg-BG" w:bidi="bg-BG"/>
              </w:rPr>
              <w:t>интервенция</w:t>
            </w:r>
            <w:r w:rsidRPr="009F6D1E">
              <w:rPr>
                <w:rFonts w:eastAsia="Times New Roman" w:cs="Times New Roman"/>
                <w:bCs/>
                <w:i/>
                <w:iCs/>
                <w:lang w:eastAsia="bg-BG" w:bidi="bg-BG"/>
              </w:rPr>
              <w:t xml:space="preserve"> „Възстановяването на земеделски потенциал след природни бедствия или катастрофични събития и инвестиции в подходящи превантивни действия“, съгласно чл. 73 от ЕЗФРСР.  </w:t>
            </w:r>
            <w:r w:rsidRPr="009F6D1E">
              <w:rPr>
                <w:rFonts w:eastAsia="Times New Roman" w:cs="Times New Roman"/>
                <w:bCs/>
                <w:lang w:eastAsia="bg-BG" w:bidi="bg-BG"/>
              </w:rPr>
              <w:t>Чрез интервенцията ще се осигури подкрепа, която ще повиши нивото на превенция в земеделските стопанства, а също така и подкрепа за възстановяването на земеделски производствен потенциал в случаите, в които той е бил нарушен в резултат от природни бедствия или катастрофични събития, свързани с неблагоприятни климатични събития, природни бедствия, заболявания по растенията и животните, нестабилност на цените, трудности при намиране на пазари и други.</w:t>
            </w:r>
          </w:p>
          <w:p w14:paraId="510F35AA" w14:textId="77777777" w:rsidR="00A7632D" w:rsidRPr="009F6D1E" w:rsidRDefault="00A7632D" w:rsidP="0084747F">
            <w:pPr>
              <w:widowControl w:val="0"/>
              <w:spacing w:after="60" w:line="264" w:lineRule="auto"/>
              <w:jc w:val="both"/>
              <w:rPr>
                <w:rFonts w:cs="Times New Roman"/>
                <w:lang w:bidi="bg-BG"/>
              </w:rPr>
            </w:pPr>
            <w:r w:rsidRPr="009F6D1E">
              <w:rPr>
                <w:rFonts w:eastAsia="Times New Roman" w:cs="Times New Roman"/>
                <w:i/>
                <w:iCs/>
                <w:lang w:eastAsia="bg-BG" w:bidi="bg-BG"/>
              </w:rPr>
              <w:t xml:space="preserve">Потребност П.1.6. Оптимизиране на възможностите за напояване за намаляване на негативните последици от проявлението на </w:t>
            </w:r>
            <w:proofErr w:type="spellStart"/>
            <w:r w:rsidRPr="009F6D1E">
              <w:rPr>
                <w:rFonts w:eastAsia="Times New Roman" w:cs="Times New Roman"/>
                <w:i/>
                <w:iCs/>
                <w:lang w:eastAsia="bg-BG" w:bidi="bg-BG"/>
              </w:rPr>
              <w:t>природо</w:t>
            </w:r>
            <w:proofErr w:type="spellEnd"/>
            <w:r w:rsidRPr="009F6D1E">
              <w:rPr>
                <w:rFonts w:eastAsia="Times New Roman" w:cs="Times New Roman"/>
                <w:i/>
                <w:iCs/>
                <w:lang w:eastAsia="bg-BG" w:bidi="bg-BG"/>
              </w:rPr>
              <w:t xml:space="preserve">-климатичните рискове и увеличаване на добивите, включително чрез изграждане, възстановяване и </w:t>
            </w:r>
            <w:r w:rsidRPr="009F6D1E">
              <w:rPr>
                <w:rFonts w:eastAsia="Times New Roman" w:cs="Times New Roman"/>
                <w:i/>
                <w:iCs/>
                <w:lang w:eastAsia="bg-BG" w:bidi="bg-BG"/>
              </w:rPr>
              <w:lastRenderedPageBreak/>
              <w:t xml:space="preserve">модернизиране на хидромелиоративната  инфраструктура в стопанствата, </w:t>
            </w:r>
            <w:r w:rsidRPr="009F6D1E">
              <w:rPr>
                <w:rFonts w:eastAsia="Times New Roman" w:cs="Times New Roman"/>
                <w:lang w:eastAsia="bg-BG" w:bidi="bg-BG"/>
              </w:rPr>
              <w:t>интервенция</w:t>
            </w:r>
            <w:r w:rsidRPr="009F6D1E">
              <w:rPr>
                <w:rFonts w:eastAsia="Times New Roman" w:cs="Times New Roman"/>
                <w:i/>
                <w:iCs/>
                <w:lang w:eastAsia="bg-BG" w:bidi="bg-BG"/>
              </w:rPr>
              <w:t xml:space="preserve"> </w:t>
            </w:r>
            <w:r w:rsidRPr="009F6D1E">
              <w:rPr>
                <w:rFonts w:cs="Times New Roman"/>
                <w:lang w:bidi="bg-BG"/>
              </w:rPr>
              <w:t>„</w:t>
            </w:r>
            <w:r w:rsidRPr="009F6D1E">
              <w:rPr>
                <w:rFonts w:cs="Times New Roman"/>
                <w:i/>
                <w:lang w:bidi="bg-BG"/>
              </w:rPr>
              <w:t>Инвестиции в земеделски стопанства“ – чл. 73 и чл. 74 от ЕЗФРСР.</w:t>
            </w:r>
            <w:r w:rsidRPr="009F6D1E">
              <w:rPr>
                <w:rFonts w:cs="Times New Roman"/>
                <w:lang w:bidi="bg-BG"/>
              </w:rPr>
              <w:t xml:space="preserve"> 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 Също така ще спомогне за преодоляване на климатичните изменения, свързани с дълги периоди на засушаване.</w:t>
            </w:r>
          </w:p>
          <w:p w14:paraId="4F8A9259" w14:textId="77777777" w:rsidR="00A7632D" w:rsidRPr="009F6D1E" w:rsidRDefault="00A7632D" w:rsidP="0084747F">
            <w:pPr>
              <w:widowControl w:val="0"/>
              <w:spacing w:after="60" w:line="264" w:lineRule="auto"/>
              <w:jc w:val="both"/>
              <w:rPr>
                <w:rFonts w:eastAsia="Times New Roman" w:cs="Times New Roman"/>
                <w:i/>
                <w:iCs/>
                <w:lang w:eastAsia="bg-BG" w:bidi="bg-BG"/>
              </w:rPr>
            </w:pPr>
            <w:r w:rsidRPr="009F6D1E">
              <w:rPr>
                <w:rFonts w:eastAsia="Times New Roman" w:cs="Times New Roman"/>
                <w:i/>
                <w:iCs/>
                <w:lang w:eastAsia="bg-BG" w:bidi="bg-BG"/>
              </w:rPr>
              <w:t>Специфична цел №4:</w:t>
            </w:r>
          </w:p>
          <w:p w14:paraId="121D4723" w14:textId="77777777" w:rsidR="00A7632D" w:rsidRPr="009F6D1E" w:rsidRDefault="00A7632D" w:rsidP="0084747F">
            <w:pPr>
              <w:widowControl w:val="0"/>
              <w:spacing w:after="60" w:line="264" w:lineRule="auto"/>
              <w:jc w:val="both"/>
              <w:rPr>
                <w:rFonts w:eastAsia="Calibri" w:cs="Times New Roman"/>
                <w:bCs/>
                <w:lang w:eastAsia="en-GB" w:bidi="bg-BG"/>
              </w:rPr>
            </w:pPr>
            <w:r w:rsidRPr="009F6D1E">
              <w:rPr>
                <w:rFonts w:eastAsia="Times New Roman" w:cs="Times New Roman"/>
                <w:i/>
                <w:iCs/>
                <w:lang w:eastAsia="bg-BG" w:bidi="bg-BG"/>
              </w:rPr>
              <w:t>Потребност</w:t>
            </w:r>
            <w:r w:rsidRPr="009F6D1E">
              <w:rPr>
                <w:rFonts w:cs="Times New Roman"/>
                <w:lang w:bidi="bg-BG"/>
              </w:rPr>
              <w:t xml:space="preserve"> </w:t>
            </w:r>
            <w:r w:rsidRPr="009F6D1E">
              <w:rPr>
                <w:rFonts w:eastAsia="Times New Roman" w:cs="Times New Roman"/>
                <w:i/>
                <w:iCs/>
                <w:lang w:eastAsia="bg-BG" w:bidi="bg-BG"/>
              </w:rPr>
              <w:t xml:space="preserve">П.4.1. Намаляване на емисиите на парникови газове от селското стопанство </w:t>
            </w:r>
            <w:r w:rsidRPr="009F6D1E">
              <w:rPr>
                <w:rFonts w:eastAsia="Times New Roman" w:cs="Times New Roman"/>
                <w:lang w:eastAsia="bg-BG" w:bidi="bg-BG"/>
              </w:rPr>
              <w:t>и интервенциите към нея.</w:t>
            </w:r>
          </w:p>
          <w:p w14:paraId="083EC549" w14:textId="77777777" w:rsidR="00A7632D" w:rsidRPr="009F6D1E" w:rsidRDefault="00A7632D" w:rsidP="0084747F">
            <w:pPr>
              <w:widowControl w:val="0"/>
              <w:spacing w:after="60" w:line="264" w:lineRule="auto"/>
              <w:jc w:val="both"/>
              <w:rPr>
                <w:rFonts w:eastAsia="Times New Roman" w:cs="Times New Roman"/>
                <w:lang w:eastAsia="bg-BG" w:bidi="bg-BG"/>
              </w:rPr>
            </w:pPr>
            <w:r w:rsidRPr="009F6D1E">
              <w:rPr>
                <w:rFonts w:eastAsia="Times New Roman" w:cs="Times New Roman"/>
                <w:i/>
                <w:iCs/>
                <w:lang w:eastAsia="bg-BG" w:bidi="bg-BG"/>
              </w:rPr>
              <w:t>Потребност</w:t>
            </w:r>
            <w:r w:rsidRPr="009F6D1E">
              <w:rPr>
                <w:rFonts w:cs="Times New Roman"/>
              </w:rPr>
              <w:t xml:space="preserve"> </w:t>
            </w:r>
            <w:r w:rsidRPr="009F6D1E">
              <w:rPr>
                <w:rFonts w:eastAsia="Times New Roman" w:cs="Times New Roman"/>
                <w:i/>
                <w:iCs/>
                <w:lang w:eastAsia="bg-BG" w:bidi="bg-BG"/>
              </w:rPr>
              <w:t xml:space="preserve">П.4.4.Потребност от използването на култури и сортове, приспособени към климата </w:t>
            </w:r>
            <w:r w:rsidRPr="009F6D1E">
              <w:rPr>
                <w:rFonts w:eastAsia="Times New Roman" w:cs="Times New Roman"/>
                <w:lang w:eastAsia="bg-BG" w:bidi="bg-BG"/>
              </w:rPr>
              <w:t>и интервенциите към нея</w:t>
            </w:r>
          </w:p>
          <w:p w14:paraId="6B234481" w14:textId="77777777" w:rsidR="003663F2" w:rsidRPr="009F6D1E" w:rsidRDefault="00A7632D" w:rsidP="0084747F">
            <w:pPr>
              <w:widowControl w:val="0"/>
              <w:spacing w:after="60" w:line="264" w:lineRule="auto"/>
              <w:jc w:val="both"/>
              <w:rPr>
                <w:rFonts w:eastAsia="Calibri" w:cs="Times New Roman"/>
                <w:bCs/>
                <w:i/>
                <w:iCs/>
                <w:lang w:eastAsia="en-GB" w:bidi="bg-BG"/>
              </w:rPr>
            </w:pPr>
            <w:r w:rsidRPr="009F6D1E">
              <w:rPr>
                <w:rFonts w:eastAsia="Times New Roman" w:cs="Times New Roman"/>
                <w:i/>
                <w:iCs/>
                <w:lang w:eastAsia="bg-BG" w:bidi="bg-BG"/>
              </w:rPr>
              <w:t>Потребност</w:t>
            </w:r>
            <w:r w:rsidRPr="009F6D1E">
              <w:rPr>
                <w:rFonts w:cs="Times New Roman"/>
              </w:rPr>
              <w:t xml:space="preserve"> </w:t>
            </w:r>
            <w:r w:rsidRPr="009F6D1E">
              <w:rPr>
                <w:rFonts w:eastAsia="Calibri" w:cs="Times New Roman"/>
                <w:bCs/>
                <w:i/>
                <w:iCs/>
                <w:lang w:eastAsia="en-GB" w:bidi="bg-BG"/>
              </w:rPr>
              <w:t xml:space="preserve">П.4.8. Устойчиво управление на горските територии, запасите от дървесина и въглерод в горската биомаса, за адаптиране към промените на климата </w:t>
            </w:r>
            <w:r w:rsidRPr="009F6D1E">
              <w:rPr>
                <w:rFonts w:eastAsia="Times New Roman" w:cs="Times New Roman"/>
                <w:lang w:eastAsia="bg-BG" w:bidi="bg-BG"/>
              </w:rPr>
              <w:t>и интервенциите към нея</w:t>
            </w:r>
          </w:p>
        </w:tc>
      </w:tr>
      <w:tr w:rsidR="003663F2" w:rsidRPr="009F6D1E" w14:paraId="7FBFD119" w14:textId="77777777" w:rsidTr="00981F7B">
        <w:tc>
          <w:tcPr>
            <w:tcW w:w="7139" w:type="dxa"/>
          </w:tcPr>
          <w:p w14:paraId="22CA0B88"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Национална стратегия за управление и развитие на водния сектор</w:t>
            </w:r>
          </w:p>
          <w:p w14:paraId="3C29366D"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t>Цел 1:</w:t>
            </w:r>
            <w:r w:rsidRPr="009F6D1E">
              <w:rPr>
                <w:rFonts w:eastAsia="Calibri" w:cs="Times New Roman"/>
              </w:rPr>
              <w:t xml:space="preserve"> Гарантирано осигуряване на вода за населението и бизнеса в условията на промени на климата, водещи до засушаване</w:t>
            </w:r>
          </w:p>
          <w:p w14:paraId="1419BB28"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t>Цел 2:</w:t>
            </w:r>
            <w:r w:rsidRPr="009F6D1E">
              <w:rPr>
                <w:rFonts w:eastAsia="Calibri" w:cs="Times New Roman"/>
              </w:rPr>
              <w:t xml:space="preserve"> Запазване и подобряване на състоянието на повърхностните и подземните води</w:t>
            </w:r>
          </w:p>
          <w:p w14:paraId="3A2DB2EA"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b/>
                <w:bCs/>
              </w:rPr>
              <w:lastRenderedPageBreak/>
              <w:t>Цел 3:</w:t>
            </w:r>
            <w:r w:rsidRPr="009F6D1E">
              <w:rPr>
                <w:rFonts w:eastAsia="Calibri" w:cs="Times New Roman"/>
              </w:rPr>
              <w:t xml:space="preserve"> Подобряване на ефективността при интегрираното управление на водата като стопански ресурс</w:t>
            </w:r>
          </w:p>
          <w:p w14:paraId="06359C7E"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rPr>
              <w:t>Цел 4.</w:t>
            </w:r>
            <w:r w:rsidRPr="009F6D1E">
              <w:rPr>
                <w:rFonts w:eastAsia="Calibri" w:cs="Times New Roman"/>
              </w:rPr>
              <w:t xml:space="preserve"> Намаляване на риска от щети при наводнения</w:t>
            </w:r>
          </w:p>
        </w:tc>
        <w:tc>
          <w:tcPr>
            <w:tcW w:w="7139" w:type="dxa"/>
          </w:tcPr>
          <w:p w14:paraId="51C14D50" w14:textId="77777777" w:rsidR="003663F2" w:rsidRPr="009F6D1E" w:rsidRDefault="00CD4045" w:rsidP="0084747F">
            <w:pPr>
              <w:spacing w:after="60" w:line="264" w:lineRule="auto"/>
              <w:contextualSpacing/>
              <w:jc w:val="both"/>
              <w:rPr>
                <w:rFonts w:cs="Times New Roman"/>
              </w:rPr>
            </w:pPr>
            <w:r w:rsidRPr="009F6D1E">
              <w:rPr>
                <w:rFonts w:cs="Times New Roman"/>
              </w:rPr>
              <w:lastRenderedPageBreak/>
              <w:t>СПРЗСР</w:t>
            </w:r>
            <w:r w:rsidR="003663F2" w:rsidRPr="009F6D1E">
              <w:rPr>
                <w:rFonts w:cs="Times New Roman"/>
              </w:rPr>
              <w:t xml:space="preserve"> взема предвид така дефинираните цели на Националната стратегия за управление и развитие на водния сектор</w:t>
            </w:r>
          </w:p>
        </w:tc>
      </w:tr>
      <w:tr w:rsidR="003663F2" w:rsidRPr="009F6D1E" w14:paraId="7BB4B761" w14:textId="77777777" w:rsidTr="00981F7B">
        <w:tc>
          <w:tcPr>
            <w:tcW w:w="7139" w:type="dxa"/>
          </w:tcPr>
          <w:p w14:paraId="7CC5A084"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Планове за управление на речните басейни (ПУРБ)</w:t>
            </w:r>
          </w:p>
          <w:p w14:paraId="44ABF2A5" w14:textId="77777777" w:rsidR="003663F2" w:rsidRPr="009F6D1E" w:rsidRDefault="003B7CE5" w:rsidP="0084747F">
            <w:pPr>
              <w:spacing w:after="60" w:line="264" w:lineRule="auto"/>
              <w:contextualSpacing/>
              <w:jc w:val="both"/>
              <w:rPr>
                <w:rFonts w:eastAsia="Calibri" w:cs="Times New Roman"/>
              </w:rPr>
            </w:pPr>
            <w:r w:rsidRPr="009F6D1E">
              <w:rPr>
                <w:rFonts w:eastAsia="Calibri" w:cs="Times New Roman"/>
              </w:rPr>
              <w:t xml:space="preserve">- </w:t>
            </w:r>
            <w:r w:rsidR="003663F2" w:rsidRPr="009F6D1E">
              <w:rPr>
                <w:rFonts w:eastAsia="Calibri" w:cs="Times New Roman"/>
              </w:rPr>
              <w:t xml:space="preserve">Недопускане на влошаване на състоянието на повърхностните и подземни води и защита, подобряване и възстановяване на всички водни тела </w:t>
            </w:r>
          </w:p>
          <w:p w14:paraId="1388862D" w14:textId="77777777" w:rsidR="003663F2" w:rsidRPr="009F6D1E" w:rsidRDefault="003B7CE5" w:rsidP="0084747F">
            <w:pPr>
              <w:spacing w:after="60" w:line="264" w:lineRule="auto"/>
              <w:contextualSpacing/>
              <w:jc w:val="both"/>
              <w:rPr>
                <w:rFonts w:eastAsia="Calibri" w:cs="Times New Roman"/>
              </w:rPr>
            </w:pPr>
            <w:r w:rsidRPr="009F6D1E">
              <w:rPr>
                <w:rFonts w:eastAsia="Calibri" w:cs="Times New Roman"/>
              </w:rPr>
              <w:t xml:space="preserve">- </w:t>
            </w:r>
            <w:r w:rsidR="003663F2" w:rsidRPr="009F6D1E">
              <w:rPr>
                <w:rFonts w:eastAsia="Calibri" w:cs="Times New Roman"/>
              </w:rPr>
              <w:t xml:space="preserve">Постепенно намаляване на замърсяването от определени вещества и поетапно спиране на изпускането на приоритетни опасни вещества в повърхностните води, както и превенция и ограничаване на въвеждането на замърсители в подземните води </w:t>
            </w:r>
          </w:p>
          <w:p w14:paraId="779024D7" w14:textId="77777777" w:rsidR="003663F2" w:rsidRPr="009F6D1E" w:rsidRDefault="003B7CE5" w:rsidP="0084747F">
            <w:pPr>
              <w:spacing w:after="60" w:line="264" w:lineRule="auto"/>
              <w:contextualSpacing/>
              <w:jc w:val="both"/>
              <w:rPr>
                <w:rFonts w:eastAsia="Calibri" w:cs="Times New Roman"/>
              </w:rPr>
            </w:pPr>
            <w:r w:rsidRPr="009F6D1E">
              <w:rPr>
                <w:rFonts w:eastAsia="Calibri" w:cs="Times New Roman"/>
              </w:rPr>
              <w:t xml:space="preserve">- </w:t>
            </w:r>
            <w:r w:rsidR="003663F2" w:rsidRPr="009F6D1E">
              <w:rPr>
                <w:rFonts w:eastAsia="Calibri" w:cs="Times New Roman"/>
              </w:rPr>
              <w:t>Постигане на добро състояние на водните тела</w:t>
            </w:r>
          </w:p>
          <w:p w14:paraId="6FE24AA8" w14:textId="77777777" w:rsidR="003B7CE5" w:rsidRPr="009F6D1E" w:rsidRDefault="003B7CE5" w:rsidP="0084747F">
            <w:pPr>
              <w:spacing w:after="60" w:line="264" w:lineRule="auto"/>
              <w:contextualSpacing/>
              <w:jc w:val="both"/>
              <w:rPr>
                <w:rFonts w:eastAsia="Calibri" w:cs="Times New Roman"/>
                <w:b/>
                <w:bCs/>
                <w:i/>
                <w:iCs/>
              </w:rPr>
            </w:pPr>
          </w:p>
          <w:p w14:paraId="5757074A"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t>Планове за управление на риска от наводнения (ПУРН)</w:t>
            </w:r>
          </w:p>
          <w:p w14:paraId="40BF9041" w14:textId="77777777" w:rsidR="003663F2" w:rsidRPr="009F6D1E" w:rsidRDefault="003663F2" w:rsidP="0084747F">
            <w:pPr>
              <w:spacing w:after="60" w:line="264" w:lineRule="auto"/>
              <w:contextualSpacing/>
              <w:jc w:val="both"/>
              <w:rPr>
                <w:rFonts w:eastAsia="Calibri" w:cs="Times New Roman"/>
              </w:rPr>
            </w:pPr>
            <w:r w:rsidRPr="009F6D1E">
              <w:rPr>
                <w:rFonts w:eastAsia="Calibri" w:cs="Times New Roman"/>
              </w:rPr>
              <w:t>Приоритет 3: Повишаване на защитата на околната среда</w:t>
            </w:r>
          </w:p>
        </w:tc>
        <w:tc>
          <w:tcPr>
            <w:tcW w:w="7139" w:type="dxa"/>
          </w:tcPr>
          <w:p w14:paraId="100DD672" w14:textId="77777777" w:rsidR="00EB328B" w:rsidRPr="009F6D1E" w:rsidRDefault="00FC1717" w:rsidP="0084747F">
            <w:pPr>
              <w:spacing w:after="60" w:line="264" w:lineRule="auto"/>
              <w:jc w:val="both"/>
              <w:rPr>
                <w:rFonts w:eastAsia="Times New Roman" w:cs="Times New Roman"/>
              </w:rPr>
            </w:pPr>
            <w:r w:rsidRPr="009F6D1E">
              <w:rPr>
                <w:rFonts w:eastAsia="Times New Roman" w:cs="Times New Roman"/>
              </w:rPr>
              <w:t>П</w:t>
            </w:r>
            <w:r w:rsidR="003663F2" w:rsidRPr="009F6D1E">
              <w:rPr>
                <w:rFonts w:eastAsia="Times New Roman" w:cs="Times New Roman"/>
              </w:rPr>
              <w:t xml:space="preserve">ринос към </w:t>
            </w:r>
            <w:r w:rsidRPr="009F6D1E">
              <w:rPr>
                <w:rFonts w:eastAsia="Times New Roman" w:cs="Times New Roman"/>
              </w:rPr>
              <w:t>ПУРБ и ПУРН</w:t>
            </w:r>
            <w:r w:rsidR="003663F2" w:rsidRPr="009F6D1E">
              <w:rPr>
                <w:rFonts w:eastAsia="Times New Roman" w:cs="Times New Roman"/>
              </w:rPr>
              <w:t xml:space="preserve"> има</w:t>
            </w:r>
            <w:r w:rsidR="00EB328B" w:rsidRPr="009F6D1E">
              <w:rPr>
                <w:rFonts w:eastAsia="Times New Roman" w:cs="Times New Roman"/>
              </w:rPr>
              <w:t>т:</w:t>
            </w:r>
          </w:p>
          <w:p w14:paraId="7DE89C2A" w14:textId="77777777" w:rsidR="00EB328B" w:rsidRPr="009F6D1E" w:rsidRDefault="00EB328B" w:rsidP="0084747F">
            <w:pPr>
              <w:spacing w:after="60" w:line="264" w:lineRule="auto"/>
              <w:jc w:val="both"/>
              <w:rPr>
                <w:rFonts w:eastAsia="Times New Roman" w:cs="Times New Roman"/>
              </w:rPr>
            </w:pPr>
            <w:r w:rsidRPr="009F6D1E">
              <w:rPr>
                <w:rFonts w:cs="Times New Roman"/>
                <w:i/>
                <w:iCs/>
              </w:rPr>
              <w:t xml:space="preserve">Специфична цел №1, Потребност </w:t>
            </w:r>
            <w:r w:rsidRPr="009F6D1E">
              <w:rPr>
                <w:rFonts w:cs="Times New Roman"/>
                <w:i/>
                <w:iCs/>
                <w:lang w:bidi="bg-BG"/>
              </w:rPr>
              <w:t xml:space="preserve">П.1.6. Оптимизиране на възможностите за напояване за намаляване на негативните последици от проявлението на </w:t>
            </w:r>
            <w:proofErr w:type="spellStart"/>
            <w:r w:rsidRPr="009F6D1E">
              <w:rPr>
                <w:rFonts w:cs="Times New Roman"/>
                <w:i/>
                <w:iCs/>
                <w:lang w:bidi="bg-BG"/>
              </w:rPr>
              <w:t>природо</w:t>
            </w:r>
            <w:proofErr w:type="spellEnd"/>
            <w:r w:rsidRPr="009F6D1E">
              <w:rPr>
                <w:rFonts w:cs="Times New Roman"/>
                <w:i/>
                <w:iCs/>
                <w:lang w:bidi="bg-BG"/>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 чрез „Инвестиции в земеделски стопанства“ – чл. 73 и чл. 74 от ЕЗФРСР</w:t>
            </w:r>
            <w:r w:rsidRPr="009F6D1E">
              <w:rPr>
                <w:rFonts w:cs="Times New Roman"/>
                <w:lang w:bidi="bg-BG"/>
              </w:rPr>
              <w:t>. 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w:t>
            </w:r>
          </w:p>
          <w:p w14:paraId="5FBC05C5" w14:textId="3D01826F" w:rsidR="003663F2" w:rsidRPr="009F6D1E" w:rsidRDefault="003663F2" w:rsidP="0084747F">
            <w:pPr>
              <w:spacing w:after="60" w:line="264" w:lineRule="auto"/>
              <w:jc w:val="both"/>
              <w:rPr>
                <w:rFonts w:eastAsia="Times New Roman" w:cs="Times New Roman"/>
              </w:rPr>
            </w:pPr>
            <w:r w:rsidRPr="009F6D1E">
              <w:rPr>
                <w:rFonts w:eastAsia="Times New Roman" w:cs="Times New Roman"/>
              </w:rPr>
              <w:t xml:space="preserve"> </w:t>
            </w:r>
            <w:r w:rsidR="00D06059" w:rsidRPr="009F6D1E">
              <w:rPr>
                <w:rFonts w:cs="Times New Roman"/>
                <w:i/>
                <w:iCs/>
              </w:rPr>
              <w:t>Специфична цел №2 Засилване на пазарната ориентация и повишаване на конкурент</w:t>
            </w:r>
            <w:r w:rsidR="00F31AED">
              <w:rPr>
                <w:rFonts w:cs="Times New Roman"/>
                <w:i/>
                <w:iCs/>
              </w:rPr>
              <w:t>осп</w:t>
            </w:r>
            <w:r w:rsidR="00D06059" w:rsidRPr="009F6D1E">
              <w:rPr>
                <w:rFonts w:cs="Times New Roman"/>
                <w:i/>
                <w:iCs/>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r w:rsidR="00D06059" w:rsidRPr="009F6D1E">
              <w:rPr>
                <w:rFonts w:cs="Times New Roman"/>
              </w:rPr>
              <w:t xml:space="preserve"> </w:t>
            </w:r>
            <w:r w:rsidRPr="009F6D1E">
              <w:rPr>
                <w:rFonts w:eastAsia="Times New Roman" w:cs="Times New Roman"/>
              </w:rPr>
              <w:t xml:space="preserve">чрез </w:t>
            </w:r>
            <w:r w:rsidR="00FC1717" w:rsidRPr="009F6D1E">
              <w:rPr>
                <w:rFonts w:eastAsia="Times New Roman" w:cs="Times New Roman"/>
              </w:rPr>
              <w:t xml:space="preserve">интервенция </w:t>
            </w:r>
            <w:r w:rsidRPr="009F6D1E">
              <w:rPr>
                <w:rFonts w:eastAsia="Times New Roman" w:cs="Times New Roman"/>
                <w:i/>
                <w:iCs/>
              </w:rPr>
              <w:t>Инвестиции в земеделските стопанства</w:t>
            </w:r>
            <w:r w:rsidRPr="009F6D1E">
              <w:rPr>
                <w:rFonts w:eastAsia="Times New Roman" w:cs="Times New Roman"/>
              </w:rPr>
              <w:t>.</w:t>
            </w:r>
          </w:p>
          <w:p w14:paraId="4B3642FD" w14:textId="77777777" w:rsidR="003663F2" w:rsidRPr="009F6D1E" w:rsidRDefault="00EB328B" w:rsidP="0084747F">
            <w:pPr>
              <w:spacing w:after="60" w:line="264" w:lineRule="auto"/>
              <w:jc w:val="both"/>
              <w:rPr>
                <w:rFonts w:cs="Times New Roman"/>
              </w:rPr>
            </w:pPr>
            <w:r w:rsidRPr="009F6D1E">
              <w:rPr>
                <w:rFonts w:cs="Times New Roman"/>
                <w:i/>
                <w:iCs/>
              </w:rPr>
              <w:lastRenderedPageBreak/>
              <w:t xml:space="preserve">Специфична цел №5, Потребност </w:t>
            </w:r>
            <w:r w:rsidRPr="009F6D1E">
              <w:rPr>
                <w:rFonts w:cs="Times New Roman"/>
                <w:lang w:bidi="bg-BG"/>
              </w:rPr>
              <w:t>П</w:t>
            </w:r>
            <w:r w:rsidRPr="009F6D1E">
              <w:rPr>
                <w:rFonts w:cs="Times New Roman"/>
                <w:i/>
                <w:iCs/>
                <w:lang w:bidi="bg-BG"/>
              </w:rPr>
              <w:t xml:space="preserve">.5.7.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 Предвидена е Интервенция „Инвестиции в инфраструктура за напояване“ – член 74 </w:t>
            </w:r>
            <w:r w:rsidRPr="009F6D1E">
              <w:rPr>
                <w:rFonts w:cs="Times New Roman"/>
                <w:lang w:bidi="bg-BG"/>
              </w:rPr>
              <w:t>- насочена към инфраструктура за напояване, чрез която, от една страна, се постига икономическа устойчивост чрез увеличаване на съотношението между ползите за сектора на селското стопанство и от друга страна постигане на екологична устойчивост чрез ефективно използване на водните ресурси.</w:t>
            </w:r>
            <w:r w:rsidRPr="009F6D1E">
              <w:rPr>
                <w:rFonts w:eastAsia="Times New Roman" w:cs="Times New Roman"/>
                <w:i/>
                <w:iCs/>
              </w:rPr>
              <w:t xml:space="preserve"> </w:t>
            </w:r>
            <w:r w:rsidRPr="009F6D1E">
              <w:rPr>
                <w:rFonts w:eastAsia="Times New Roman" w:cs="Times New Roman"/>
              </w:rPr>
              <w:t>Инвестициите за напояване трябва да са в съответствие с Плана за управление на речните басейни /ПУРБ/ и трябва да са съвместими с постигането на добро състояние на водните обекти, съгласно Директива 2000/60/ЕО.</w:t>
            </w:r>
          </w:p>
        </w:tc>
      </w:tr>
      <w:tr w:rsidR="003663F2" w:rsidRPr="009F6D1E" w14:paraId="005DC3F1" w14:textId="77777777" w:rsidTr="00981F7B">
        <w:tc>
          <w:tcPr>
            <w:tcW w:w="7139" w:type="dxa"/>
          </w:tcPr>
          <w:p w14:paraId="5EEBEB6A" w14:textId="77777777" w:rsidR="003663F2" w:rsidRPr="009F6D1E" w:rsidRDefault="003663F2" w:rsidP="0084747F">
            <w:pPr>
              <w:spacing w:after="60" w:line="264" w:lineRule="auto"/>
              <w:contextualSpacing/>
              <w:jc w:val="both"/>
              <w:rPr>
                <w:rFonts w:eastAsia="Calibri" w:cs="Times New Roman"/>
                <w:b/>
                <w:bCs/>
                <w:i/>
                <w:iCs/>
              </w:rPr>
            </w:pPr>
            <w:r w:rsidRPr="009F6D1E">
              <w:rPr>
                <w:rFonts w:eastAsia="Calibri" w:cs="Times New Roman"/>
                <w:b/>
                <w:bCs/>
                <w:i/>
                <w:iCs/>
              </w:rPr>
              <w:lastRenderedPageBreak/>
              <w:t>Национална програма за опазване, устойчиво ползване и възстановяване функциите на почвите (2020-2030 г.)</w:t>
            </w:r>
          </w:p>
          <w:p w14:paraId="1BB31FFF" w14:textId="77777777" w:rsidR="003663F2" w:rsidRPr="009F6D1E" w:rsidRDefault="003663F2" w:rsidP="0084747F">
            <w:pPr>
              <w:widowControl w:val="0"/>
              <w:spacing w:after="60" w:line="264" w:lineRule="auto"/>
              <w:jc w:val="both"/>
              <w:rPr>
                <w:rFonts w:cs="Times New Roman"/>
                <w:bCs/>
                <w:iCs/>
              </w:rPr>
            </w:pPr>
            <w:r w:rsidRPr="009F6D1E">
              <w:rPr>
                <w:rFonts w:cs="Times New Roman"/>
                <w:b/>
                <w:iCs/>
              </w:rPr>
              <w:t>Приоритет 1:</w:t>
            </w:r>
            <w:r w:rsidRPr="009F6D1E">
              <w:rPr>
                <w:rFonts w:cs="Times New Roman"/>
                <w:bCs/>
                <w:iCs/>
              </w:rPr>
              <w:t xml:space="preserve"> Подобряване на административния капацитет, правните инструменти по прилагане на екологичното законодателство и информационната обезпеченост с цел устойчиво управление на почвите.</w:t>
            </w:r>
          </w:p>
          <w:p w14:paraId="41DF2EFC" w14:textId="77777777" w:rsidR="003663F2" w:rsidRPr="009F6D1E" w:rsidRDefault="003663F2" w:rsidP="0084747F">
            <w:pPr>
              <w:widowControl w:val="0"/>
              <w:spacing w:after="60" w:line="264" w:lineRule="auto"/>
              <w:jc w:val="both"/>
              <w:rPr>
                <w:rFonts w:cs="Times New Roman"/>
                <w:bCs/>
                <w:iCs/>
              </w:rPr>
            </w:pPr>
            <w:r w:rsidRPr="009F6D1E">
              <w:rPr>
                <w:rFonts w:cs="Times New Roman"/>
                <w:b/>
                <w:iCs/>
              </w:rPr>
              <w:t>Приоритет 2:</w:t>
            </w:r>
            <w:r w:rsidRPr="009F6D1E">
              <w:rPr>
                <w:rFonts w:cs="Times New Roman"/>
                <w:bCs/>
                <w:iCs/>
              </w:rPr>
              <w:t xml:space="preserve"> Предотвратяване възникване на </w:t>
            </w:r>
            <w:proofErr w:type="spellStart"/>
            <w:r w:rsidRPr="009F6D1E">
              <w:rPr>
                <w:rFonts w:cs="Times New Roman"/>
                <w:bCs/>
                <w:iCs/>
              </w:rPr>
              <w:t>деградационни</w:t>
            </w:r>
            <w:proofErr w:type="spellEnd"/>
            <w:r w:rsidRPr="009F6D1E">
              <w:rPr>
                <w:rFonts w:cs="Times New Roman"/>
                <w:bCs/>
                <w:iCs/>
              </w:rPr>
              <w:t xml:space="preserve"> </w:t>
            </w:r>
            <w:r w:rsidRPr="009F6D1E">
              <w:rPr>
                <w:rFonts w:cs="Times New Roman"/>
                <w:bCs/>
                <w:iCs/>
              </w:rPr>
              <w:lastRenderedPageBreak/>
              <w:t>процеси, възстановяване и съхраняване функциите на почвите.</w:t>
            </w:r>
          </w:p>
          <w:p w14:paraId="2A1A5FFA" w14:textId="77777777" w:rsidR="003663F2" w:rsidRPr="009F6D1E" w:rsidRDefault="003663F2" w:rsidP="0084747F">
            <w:pPr>
              <w:widowControl w:val="0"/>
              <w:spacing w:after="60" w:line="264" w:lineRule="auto"/>
              <w:jc w:val="both"/>
              <w:rPr>
                <w:rFonts w:cs="Times New Roman"/>
                <w:bCs/>
                <w:iCs/>
              </w:rPr>
            </w:pPr>
            <w:r w:rsidRPr="009F6D1E">
              <w:rPr>
                <w:rFonts w:cs="Times New Roman"/>
                <w:b/>
                <w:iCs/>
              </w:rPr>
              <w:t>Приоритет 3:</w:t>
            </w:r>
            <w:r w:rsidRPr="009F6D1E">
              <w:rPr>
                <w:rFonts w:cs="Times New Roman"/>
                <w:bCs/>
                <w:iCs/>
              </w:rPr>
              <w:t xml:space="preserve"> Устойчиво управление на почвите като природен ресурс и екологосъобразно </w:t>
            </w:r>
            <w:proofErr w:type="spellStart"/>
            <w:r w:rsidRPr="009F6D1E">
              <w:rPr>
                <w:rFonts w:cs="Times New Roman"/>
                <w:bCs/>
                <w:iCs/>
              </w:rPr>
              <w:t>земеползване</w:t>
            </w:r>
            <w:proofErr w:type="spellEnd"/>
          </w:p>
          <w:p w14:paraId="50E0B8E9" w14:textId="77777777" w:rsidR="003663F2" w:rsidRPr="009F6D1E" w:rsidRDefault="003663F2" w:rsidP="0084747F">
            <w:pPr>
              <w:widowControl w:val="0"/>
              <w:spacing w:after="60" w:line="264" w:lineRule="auto"/>
              <w:jc w:val="both"/>
              <w:rPr>
                <w:rFonts w:cs="Times New Roman"/>
                <w:bCs/>
                <w:iCs/>
              </w:rPr>
            </w:pPr>
            <w:r w:rsidRPr="009F6D1E">
              <w:rPr>
                <w:rFonts w:cs="Times New Roman"/>
                <w:b/>
                <w:iCs/>
              </w:rPr>
              <w:t>Приоритет 4:</w:t>
            </w:r>
            <w:r w:rsidRPr="009F6D1E">
              <w:rPr>
                <w:rFonts w:cs="Times New Roman"/>
                <w:bCs/>
                <w:iCs/>
              </w:rPr>
              <w:t xml:space="preserve"> Ангажиране на обществеността в процесите по управление, устойчиво ползване и опазване на почвите.</w:t>
            </w:r>
          </w:p>
          <w:p w14:paraId="58229A3C" w14:textId="77777777" w:rsidR="003663F2" w:rsidRPr="009F6D1E" w:rsidRDefault="003663F2" w:rsidP="0084747F">
            <w:pPr>
              <w:spacing w:after="60" w:line="264" w:lineRule="auto"/>
              <w:contextualSpacing/>
              <w:jc w:val="both"/>
              <w:rPr>
                <w:rFonts w:eastAsia="Calibri" w:cs="Times New Roman"/>
                <w:b/>
                <w:bCs/>
                <w:i/>
                <w:iCs/>
              </w:rPr>
            </w:pPr>
          </w:p>
        </w:tc>
        <w:tc>
          <w:tcPr>
            <w:tcW w:w="7139" w:type="dxa"/>
          </w:tcPr>
          <w:p w14:paraId="4283D699" w14:textId="77777777" w:rsidR="00106A0B" w:rsidRPr="009F6D1E" w:rsidRDefault="00CD4045" w:rsidP="0084747F">
            <w:pPr>
              <w:pStyle w:val="Other0"/>
              <w:spacing w:after="60" w:line="264" w:lineRule="auto"/>
              <w:jc w:val="both"/>
              <w:rPr>
                <w:i/>
                <w:iCs/>
                <w:lang w:eastAsia="bg-BG" w:bidi="bg-BG"/>
              </w:rPr>
            </w:pPr>
            <w:r w:rsidRPr="009F6D1E">
              <w:rPr>
                <w:rFonts w:eastAsia="Calibri"/>
              </w:rPr>
              <w:lastRenderedPageBreak/>
              <w:t>СПРЗСР</w:t>
            </w:r>
            <w:r w:rsidR="00106A0B" w:rsidRPr="009F6D1E">
              <w:rPr>
                <w:rFonts w:eastAsia="Calibri"/>
              </w:rPr>
              <w:t xml:space="preserve"> допринася за постигане на основната цел на Националната програма чрез </w:t>
            </w:r>
            <w:r w:rsidR="00106A0B" w:rsidRPr="009F6D1E">
              <w:rPr>
                <w:i/>
                <w:iCs/>
                <w:lang w:eastAsia="bg-BG" w:bidi="bg-BG"/>
              </w:rPr>
              <w:t xml:space="preserve">Специфична цел №5: </w:t>
            </w:r>
            <w:r w:rsidR="00EA16C9" w:rsidRPr="009F6D1E">
              <w:rPr>
                <w:i/>
                <w:iCs/>
                <w:lang w:eastAsia="bg-BG" w:bidi="bg-BG"/>
              </w:rPr>
              <w:t>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r w:rsidR="00106A0B" w:rsidRPr="009F6D1E">
              <w:rPr>
                <w:i/>
                <w:iCs/>
                <w:lang w:eastAsia="bg-BG" w:bidi="bg-BG"/>
              </w:rPr>
              <w:t xml:space="preserve"> </w:t>
            </w:r>
            <w:r w:rsidR="00106A0B" w:rsidRPr="009F6D1E">
              <w:rPr>
                <w:lang w:eastAsia="bg-BG" w:bidi="bg-BG"/>
              </w:rPr>
              <w:t>и интервенциите към нея</w:t>
            </w:r>
          </w:p>
          <w:p w14:paraId="56CC8D83" w14:textId="77777777" w:rsidR="003663F2" w:rsidRPr="009F6D1E" w:rsidRDefault="00663A1D" w:rsidP="0084747F">
            <w:pPr>
              <w:widowControl w:val="0"/>
              <w:tabs>
                <w:tab w:val="left" w:pos="1080"/>
              </w:tabs>
              <w:spacing w:after="60" w:line="264" w:lineRule="auto"/>
              <w:jc w:val="both"/>
              <w:rPr>
                <w:rFonts w:cs="Times New Roman"/>
              </w:rPr>
            </w:pPr>
            <w:r w:rsidRPr="009F6D1E">
              <w:rPr>
                <w:rFonts w:eastAsia="Times New Roman" w:cs="Times New Roman"/>
                <w:i/>
                <w:iCs/>
                <w:lang w:eastAsia="bg-BG" w:bidi="bg-BG"/>
              </w:rPr>
              <w:t>Специфична цел №6, Потребност</w:t>
            </w:r>
            <w:r w:rsidRPr="009F6D1E">
              <w:rPr>
                <w:rFonts w:cs="Times New Roman"/>
                <w:lang w:bidi="bg-BG"/>
              </w:rPr>
              <w:t xml:space="preserve"> </w:t>
            </w:r>
            <w:r w:rsidRPr="009F6D1E">
              <w:rPr>
                <w:rFonts w:eastAsia="Times New Roman" w:cs="Times New Roman"/>
                <w:i/>
                <w:iCs/>
                <w:lang w:eastAsia="bg-BG" w:bidi="bg-BG"/>
              </w:rPr>
              <w:t>П.6.5. Интервенция „Използване на устойчиви практики и сортове, отглеждани при специфични условия― – член 70</w:t>
            </w:r>
            <w:r w:rsidRPr="009F6D1E">
              <w:rPr>
                <w:rFonts w:eastAsia="Times New Roman" w:cs="Times New Roman"/>
                <w:lang w:eastAsia="bg-BG" w:bidi="bg-BG"/>
              </w:rPr>
              <w:t xml:space="preserve">: Допринася за целта за намаляване на загубите </w:t>
            </w:r>
            <w:r w:rsidRPr="009F6D1E">
              <w:rPr>
                <w:rFonts w:eastAsia="Times New Roman" w:cs="Times New Roman"/>
                <w:lang w:eastAsia="bg-BG" w:bidi="bg-BG"/>
              </w:rPr>
              <w:lastRenderedPageBreak/>
              <w:t xml:space="preserve">на хранителни вещества с поне 50%, като същевременно се гарантира, че няма влошаване на плодородието на почвата и за целта да се намали използването на торове поне с 20 % до 2030 </w:t>
            </w:r>
            <w:proofErr w:type="spellStart"/>
            <w:r w:rsidRPr="009F6D1E">
              <w:rPr>
                <w:rFonts w:eastAsia="Times New Roman" w:cs="Times New Roman"/>
                <w:lang w:eastAsia="bg-BG" w:bidi="bg-BG"/>
              </w:rPr>
              <w:t>година.Въвеждането</w:t>
            </w:r>
            <w:proofErr w:type="spellEnd"/>
            <w:r w:rsidRPr="009F6D1E">
              <w:rPr>
                <w:rFonts w:eastAsia="Times New Roman" w:cs="Times New Roman"/>
                <w:lang w:eastAsia="bg-BG" w:bidi="bg-BG"/>
              </w:rPr>
              <w:t xml:space="preserve"> на устойчиви практики и сортове може да подобри съхранението на водорода в почвата чрез ускоряване на атмосферното поглъщане на въглерод, да се осигурява устойчива продукция и да допринесе за намаляване на загубите в добива и качеството в екстремни години, поради различията в адаптивността им. Използването на природосъобразни и щадящи технологии допринасят за съхранение на почвеното плодородие. Различните региони в страната се нуждаят от култури и сортове, адаптирани към различни стресови фактори. Видовете и сортовете, отглеждани, за да се противопоставят на промените в климатичните условия, биха могли да бъдат една от най-ефективните стратегия за адаптиране към изменението на климата. Практиките за отглеждане включват използване на биологични агенти и биологично активни вещества за растителна защита с нисък риск за околната среда.</w:t>
            </w:r>
          </w:p>
        </w:tc>
      </w:tr>
      <w:tr w:rsidR="00251F7F" w:rsidRPr="009F6D1E" w14:paraId="136E0FDD" w14:textId="77777777" w:rsidTr="00981F7B">
        <w:tc>
          <w:tcPr>
            <w:tcW w:w="7139" w:type="dxa"/>
          </w:tcPr>
          <w:p w14:paraId="2832B6DD" w14:textId="77777777" w:rsidR="00251F7F" w:rsidRPr="009F6D1E" w:rsidRDefault="00251F7F" w:rsidP="0084747F">
            <w:pPr>
              <w:spacing w:after="60" w:line="264" w:lineRule="auto"/>
              <w:jc w:val="both"/>
              <w:rPr>
                <w:rFonts w:eastAsia="Calibri" w:cs="Times New Roman"/>
                <w:b/>
                <w:bCs/>
                <w:i/>
                <w:iCs/>
              </w:rPr>
            </w:pPr>
            <w:bookmarkStart w:id="575" w:name="_Hlk98754574"/>
            <w:r w:rsidRPr="009F6D1E">
              <w:rPr>
                <w:rFonts w:eastAsia="Calibri" w:cs="Times New Roman"/>
                <w:b/>
                <w:bCs/>
                <w:i/>
                <w:iCs/>
              </w:rPr>
              <w:lastRenderedPageBreak/>
              <w:t>Национална програма за предотвратяване и намаляване на загубата на храни 2021 - 2026</w:t>
            </w:r>
            <w:bookmarkEnd w:id="575"/>
          </w:p>
          <w:p w14:paraId="3C9E0C9C" w14:textId="77777777" w:rsidR="00251F7F" w:rsidRPr="009F6D1E" w:rsidRDefault="00251F7F" w:rsidP="0084747F">
            <w:pPr>
              <w:spacing w:after="60" w:line="264" w:lineRule="auto"/>
              <w:jc w:val="both"/>
              <w:rPr>
                <w:rFonts w:cs="Times New Roman"/>
                <w:bCs/>
              </w:rPr>
            </w:pPr>
            <w:r w:rsidRPr="009F6D1E">
              <w:rPr>
                <w:rFonts w:cs="Times New Roman"/>
                <w:b/>
                <w:bCs/>
                <w:iCs/>
              </w:rPr>
              <w:lastRenderedPageBreak/>
              <w:t>Стратегическа цел:</w:t>
            </w:r>
            <w:r w:rsidRPr="009F6D1E">
              <w:rPr>
                <w:rFonts w:cs="Times New Roman"/>
                <w:b/>
                <w:bCs/>
                <w:i/>
              </w:rPr>
              <w:t xml:space="preserve"> </w:t>
            </w:r>
            <w:r w:rsidRPr="009F6D1E">
              <w:rPr>
                <w:rFonts w:cs="Times New Roman"/>
                <w:bCs/>
              </w:rPr>
              <w:t xml:space="preserve">Поетапно намаляване на загубите и разхищението на храни за постигане на цел 12.3 на ООН чрез формиране и провеждане на национална политика: </w:t>
            </w:r>
          </w:p>
          <w:p w14:paraId="16569A1C" w14:textId="77777777" w:rsidR="00251F7F" w:rsidRPr="009F6D1E" w:rsidRDefault="00251F7F">
            <w:pPr>
              <w:numPr>
                <w:ilvl w:val="0"/>
                <w:numId w:val="54"/>
              </w:numPr>
              <w:spacing w:after="60" w:line="264" w:lineRule="auto"/>
              <w:contextualSpacing/>
              <w:jc w:val="both"/>
              <w:rPr>
                <w:rFonts w:eastAsia="ヒラギノ角ゴ Pro W3" w:cs="Times New Roman"/>
                <w:bCs/>
                <w:color w:val="000000"/>
              </w:rPr>
            </w:pPr>
            <w:r w:rsidRPr="009F6D1E">
              <w:rPr>
                <w:rFonts w:eastAsia="ヒラギノ角ゴ Pro W3" w:cs="Times New Roman"/>
                <w:bCs/>
                <w:color w:val="000000"/>
              </w:rPr>
              <w:t xml:space="preserve">до 2026 г. - намаляване на загубите с 25%; </w:t>
            </w:r>
          </w:p>
          <w:p w14:paraId="1362EB0F" w14:textId="77777777" w:rsidR="00251F7F" w:rsidRPr="009F6D1E" w:rsidRDefault="00251F7F">
            <w:pPr>
              <w:numPr>
                <w:ilvl w:val="0"/>
                <w:numId w:val="54"/>
              </w:numPr>
              <w:spacing w:after="60" w:line="264" w:lineRule="auto"/>
              <w:contextualSpacing/>
              <w:jc w:val="both"/>
              <w:rPr>
                <w:rFonts w:eastAsia="ヒラギノ角ゴ Pro W3" w:cs="Times New Roman"/>
                <w:bCs/>
                <w:color w:val="000000"/>
              </w:rPr>
            </w:pPr>
            <w:r w:rsidRPr="009F6D1E">
              <w:rPr>
                <w:rFonts w:eastAsia="ヒラギノ角ゴ Pro W3" w:cs="Times New Roman"/>
                <w:bCs/>
                <w:color w:val="000000"/>
              </w:rPr>
              <w:t>до 2030 г. – редуциране на загубите до постигане на заложените цели.</w:t>
            </w:r>
          </w:p>
          <w:p w14:paraId="54E04B7B" w14:textId="77777777" w:rsidR="00251F7F" w:rsidRPr="009F6D1E" w:rsidRDefault="00251F7F" w:rsidP="0084747F">
            <w:pPr>
              <w:tabs>
                <w:tab w:val="left" w:pos="3520"/>
              </w:tabs>
              <w:spacing w:after="60" w:line="264" w:lineRule="auto"/>
              <w:jc w:val="both"/>
              <w:rPr>
                <w:rFonts w:cs="Times New Roman"/>
                <w:b/>
                <w:bCs/>
                <w:i/>
              </w:rPr>
            </w:pPr>
            <w:r w:rsidRPr="009F6D1E">
              <w:rPr>
                <w:rFonts w:cs="Times New Roman"/>
                <w:b/>
                <w:bCs/>
                <w:i/>
              </w:rPr>
              <w:t xml:space="preserve">Оперативни цели: </w:t>
            </w:r>
          </w:p>
          <w:p w14:paraId="3BBC8DE4" w14:textId="77777777" w:rsidR="00251F7F" w:rsidRPr="009F6D1E" w:rsidRDefault="00251F7F" w:rsidP="0084747F">
            <w:pPr>
              <w:tabs>
                <w:tab w:val="left" w:pos="3520"/>
              </w:tabs>
              <w:spacing w:after="60" w:line="264" w:lineRule="auto"/>
              <w:jc w:val="both"/>
              <w:rPr>
                <w:rFonts w:cs="Times New Roman"/>
                <w:bCs/>
              </w:rPr>
            </w:pPr>
            <w:r w:rsidRPr="009F6D1E">
              <w:rPr>
                <w:rFonts w:cs="Times New Roman"/>
                <w:bCs/>
              </w:rPr>
              <w:t>1. Получаване на адекватна, измерима и съпоставима информация за резултатите от всички измервания, свързани с нивата на загубите на храни.</w:t>
            </w:r>
          </w:p>
          <w:p w14:paraId="4B9C465C" w14:textId="77777777" w:rsidR="00251F7F" w:rsidRPr="009F6D1E" w:rsidRDefault="00251F7F" w:rsidP="0084747F">
            <w:pPr>
              <w:tabs>
                <w:tab w:val="left" w:pos="3520"/>
              </w:tabs>
              <w:spacing w:after="60" w:line="264" w:lineRule="auto"/>
              <w:jc w:val="both"/>
              <w:rPr>
                <w:rFonts w:cs="Times New Roman"/>
              </w:rPr>
            </w:pPr>
            <w:r w:rsidRPr="009F6D1E">
              <w:rPr>
                <w:rFonts w:cs="Times New Roman"/>
              </w:rPr>
              <w:t>2. Подкрепа на участниците в отделните етапи на хранителната верига за предприемане на ефективни мерки за предотвратяване и намаляване на загубите на храни.</w:t>
            </w:r>
          </w:p>
          <w:p w14:paraId="45440BCB" w14:textId="77777777" w:rsidR="00251F7F" w:rsidRPr="009F6D1E" w:rsidRDefault="00251F7F" w:rsidP="0084747F">
            <w:pPr>
              <w:spacing w:after="60" w:line="264" w:lineRule="auto"/>
              <w:jc w:val="both"/>
              <w:rPr>
                <w:rFonts w:cs="Times New Roman"/>
              </w:rPr>
            </w:pPr>
            <w:r w:rsidRPr="009F6D1E">
              <w:rPr>
                <w:rFonts w:cs="Times New Roman"/>
              </w:rPr>
              <w:t>3.</w:t>
            </w:r>
            <w:r w:rsidRPr="009F6D1E">
              <w:rPr>
                <w:rFonts w:cs="Times New Roman"/>
                <w:b/>
              </w:rPr>
              <w:t xml:space="preserve"> </w:t>
            </w:r>
            <w:r w:rsidRPr="009F6D1E">
              <w:rPr>
                <w:rFonts w:cs="Times New Roman"/>
              </w:rPr>
              <w:t>Промяна в поведението и отношението на потребителите към храната.</w:t>
            </w:r>
          </w:p>
          <w:p w14:paraId="5E853273" w14:textId="77777777" w:rsidR="00251F7F" w:rsidRPr="009F6D1E" w:rsidRDefault="00251F7F" w:rsidP="0084747F">
            <w:pPr>
              <w:spacing w:after="60" w:line="264" w:lineRule="auto"/>
              <w:jc w:val="both"/>
              <w:rPr>
                <w:rFonts w:cs="Times New Roman"/>
              </w:rPr>
            </w:pPr>
            <w:r w:rsidRPr="009F6D1E">
              <w:rPr>
                <w:rFonts w:cs="Times New Roman"/>
              </w:rPr>
              <w:t>4.</w:t>
            </w:r>
            <w:r w:rsidRPr="009F6D1E">
              <w:rPr>
                <w:rFonts w:cs="Times New Roman"/>
                <w:b/>
              </w:rPr>
              <w:t xml:space="preserve"> </w:t>
            </w:r>
            <w:r w:rsidRPr="009F6D1E">
              <w:rPr>
                <w:rFonts w:cs="Times New Roman"/>
              </w:rPr>
              <w:t>Прилагане на мерки за предотвратяване на загубите и разхищението на храни на всички етапи от хранителната верига.</w:t>
            </w:r>
          </w:p>
          <w:p w14:paraId="36ED5F76" w14:textId="77777777" w:rsidR="00251F7F" w:rsidRPr="009F6D1E" w:rsidRDefault="00251F7F" w:rsidP="0084747F">
            <w:pPr>
              <w:spacing w:after="60" w:line="264" w:lineRule="auto"/>
              <w:contextualSpacing/>
              <w:jc w:val="both"/>
              <w:rPr>
                <w:rFonts w:cs="Times New Roman"/>
              </w:rPr>
            </w:pPr>
            <w:r w:rsidRPr="009F6D1E">
              <w:rPr>
                <w:rFonts w:cs="Times New Roman"/>
              </w:rPr>
              <w:t>5. Подобряване на преразпределянето на излишъка от годни храни за консумация от нуждаещи се лица.</w:t>
            </w:r>
          </w:p>
          <w:p w14:paraId="4B740B1B" w14:textId="77777777" w:rsidR="00251F7F" w:rsidRPr="009F6D1E" w:rsidRDefault="00251F7F" w:rsidP="0084747F">
            <w:pPr>
              <w:spacing w:after="60" w:line="264" w:lineRule="auto"/>
              <w:contextualSpacing/>
              <w:jc w:val="both"/>
              <w:rPr>
                <w:rFonts w:eastAsia="Calibri" w:cs="Times New Roman"/>
                <w:b/>
                <w:bCs/>
                <w:i/>
                <w:iCs/>
              </w:rPr>
            </w:pPr>
          </w:p>
        </w:tc>
        <w:tc>
          <w:tcPr>
            <w:tcW w:w="7139" w:type="dxa"/>
          </w:tcPr>
          <w:p w14:paraId="3DDAF176" w14:textId="77777777" w:rsidR="00251F7F" w:rsidRPr="009F6D1E" w:rsidRDefault="00CD4045" w:rsidP="0084747F">
            <w:pPr>
              <w:pStyle w:val="Other0"/>
              <w:spacing w:after="60" w:line="264" w:lineRule="auto"/>
              <w:jc w:val="both"/>
              <w:rPr>
                <w:rFonts w:eastAsia="Calibri"/>
              </w:rPr>
            </w:pPr>
            <w:r w:rsidRPr="009F6D1E">
              <w:rPr>
                <w:rFonts w:eastAsia="Calibri"/>
              </w:rPr>
              <w:lastRenderedPageBreak/>
              <w:t>СПРЗСР</w:t>
            </w:r>
            <w:r w:rsidR="008441E8" w:rsidRPr="009F6D1E">
              <w:rPr>
                <w:rFonts w:eastAsia="Calibri"/>
              </w:rPr>
              <w:t xml:space="preserve"> допринася за постигане на основната цел на Националната програма чрез </w:t>
            </w:r>
            <w:r w:rsidR="008441E8" w:rsidRPr="009F6D1E">
              <w:rPr>
                <w:rFonts w:eastAsia="Calibri"/>
                <w:i/>
                <w:iCs/>
              </w:rPr>
              <w:t xml:space="preserve">Специфична цел № 9: Подобряване на реакцията на селското стопанство в Съюза в отговор на обществените изисквания по отношение на храните и здравето, включително висококачествена, безопасна и питателна храна, произведена по </w:t>
            </w:r>
            <w:r w:rsidR="008441E8" w:rsidRPr="009F6D1E">
              <w:rPr>
                <w:rFonts w:eastAsia="Calibri"/>
                <w:i/>
                <w:iCs/>
              </w:rPr>
              <w:lastRenderedPageBreak/>
              <w:t>устойчив начин, намаляване на хранителните отпадъци, както и подобряване на хуманното отношение към животните и борба с антимикробната резистентност</w:t>
            </w:r>
            <w:r w:rsidR="008441E8" w:rsidRPr="009F6D1E">
              <w:rPr>
                <w:lang w:eastAsia="bg-BG" w:bidi="bg-BG"/>
              </w:rPr>
              <w:t xml:space="preserve"> и интервенциите към нея</w:t>
            </w:r>
          </w:p>
        </w:tc>
      </w:tr>
      <w:tr w:rsidR="005F14CF" w:rsidRPr="009F6D1E" w14:paraId="77C80040" w14:textId="77777777" w:rsidTr="00981F7B">
        <w:tc>
          <w:tcPr>
            <w:tcW w:w="7139" w:type="dxa"/>
          </w:tcPr>
          <w:p w14:paraId="00635C84" w14:textId="77777777" w:rsidR="005F14CF" w:rsidRPr="009F6D1E" w:rsidRDefault="005F14CF" w:rsidP="0084747F">
            <w:pPr>
              <w:widowControl w:val="0"/>
              <w:spacing w:after="60" w:line="264" w:lineRule="auto"/>
              <w:ind w:right="400"/>
              <w:jc w:val="both"/>
              <w:rPr>
                <w:rFonts w:cs="Times New Roman"/>
                <w:b/>
                <w:bCs/>
                <w:i/>
                <w:iCs/>
              </w:rPr>
            </w:pPr>
            <w:bookmarkStart w:id="576" w:name="_Hlk98756114"/>
            <w:r w:rsidRPr="009F6D1E">
              <w:rPr>
                <w:rFonts w:cs="Times New Roman"/>
                <w:b/>
                <w:bCs/>
                <w:i/>
                <w:iCs/>
              </w:rPr>
              <w:lastRenderedPageBreak/>
              <w:t>Национален план за действие за развитие на биологичното производство до 2027</w:t>
            </w:r>
            <w:bookmarkEnd w:id="576"/>
            <w:r w:rsidRPr="009F6D1E">
              <w:rPr>
                <w:rFonts w:cs="Times New Roman"/>
                <w:b/>
                <w:bCs/>
                <w:i/>
                <w:iCs/>
              </w:rPr>
              <w:t xml:space="preserve"> г.</w:t>
            </w:r>
          </w:p>
          <w:p w14:paraId="7EE0F583" w14:textId="77777777" w:rsidR="005F14CF" w:rsidRPr="009F6D1E" w:rsidRDefault="005F14CF" w:rsidP="0084747F">
            <w:pPr>
              <w:widowControl w:val="0"/>
              <w:spacing w:after="60" w:line="264" w:lineRule="auto"/>
              <w:ind w:right="400"/>
              <w:jc w:val="both"/>
              <w:rPr>
                <w:rFonts w:cs="Times New Roman"/>
              </w:rPr>
            </w:pPr>
            <w:r w:rsidRPr="009F6D1E">
              <w:rPr>
                <w:rFonts w:cs="Times New Roman"/>
                <w:b/>
                <w:bCs/>
                <w:i/>
                <w:iCs/>
              </w:rPr>
              <w:t>Стратегическа цел 1:</w:t>
            </w:r>
            <w:r w:rsidRPr="009F6D1E">
              <w:rPr>
                <w:rFonts w:cs="Times New Roman"/>
              </w:rPr>
              <w:t xml:space="preserve"> Подобряване на ефективността на биологичното производство и разширяване на националния и външен пазар на биологични продукти</w:t>
            </w:r>
          </w:p>
          <w:p w14:paraId="1737A053" w14:textId="77777777" w:rsidR="005F14CF" w:rsidRPr="009F6D1E" w:rsidRDefault="005F14CF" w:rsidP="0084747F">
            <w:pPr>
              <w:widowControl w:val="0"/>
              <w:spacing w:after="60" w:line="264" w:lineRule="auto"/>
              <w:ind w:left="20"/>
              <w:jc w:val="both"/>
              <w:rPr>
                <w:rFonts w:cs="Times New Roman"/>
              </w:rPr>
            </w:pPr>
            <w:r w:rsidRPr="009F6D1E">
              <w:rPr>
                <w:rFonts w:cs="Times New Roman"/>
                <w:b/>
                <w:bCs/>
                <w:i/>
                <w:iCs/>
              </w:rPr>
              <w:t>Стратегическа цел 2:</w:t>
            </w:r>
            <w:r w:rsidRPr="009F6D1E">
              <w:rPr>
                <w:rFonts w:cs="Times New Roman"/>
              </w:rPr>
              <w:t xml:space="preserve"> Поддържане на</w:t>
            </w:r>
            <w:r w:rsidRPr="009F6D1E">
              <w:rPr>
                <w:rFonts w:cs="Times New Roman"/>
              </w:rPr>
              <w:tab/>
              <w:t xml:space="preserve"> ефективна институционално-нормативна рамка за развитие на биологичното земеделие и на ефективна система на </w:t>
            </w:r>
            <w:r w:rsidR="00AB4A2F" w:rsidRPr="009F6D1E">
              <w:rPr>
                <w:rFonts w:cs="Times New Roman"/>
              </w:rPr>
              <w:t>к</w:t>
            </w:r>
            <w:r w:rsidRPr="009F6D1E">
              <w:rPr>
                <w:rFonts w:cs="Times New Roman"/>
              </w:rPr>
              <w:t>онтрол и надзор</w:t>
            </w:r>
          </w:p>
          <w:p w14:paraId="4C0E4A12" w14:textId="77777777" w:rsidR="005F14CF" w:rsidRPr="009F6D1E" w:rsidRDefault="005F14CF" w:rsidP="0084747F">
            <w:pPr>
              <w:spacing w:after="60" w:line="264" w:lineRule="auto"/>
              <w:contextualSpacing/>
              <w:jc w:val="both"/>
              <w:rPr>
                <w:rFonts w:eastAsia="Calibri" w:cs="Times New Roman"/>
                <w:b/>
                <w:bCs/>
                <w:i/>
                <w:iCs/>
              </w:rPr>
            </w:pPr>
            <w:r w:rsidRPr="009F6D1E">
              <w:rPr>
                <w:rFonts w:cs="Times New Roman"/>
                <w:b/>
                <w:bCs/>
                <w:i/>
                <w:iCs/>
              </w:rPr>
              <w:t xml:space="preserve">Стратегическа цел 3: </w:t>
            </w:r>
            <w:r w:rsidRPr="009F6D1E">
              <w:rPr>
                <w:rFonts w:cs="Times New Roman"/>
              </w:rPr>
              <w:t>Стимулиране на ориентира</w:t>
            </w:r>
            <w:r w:rsidR="00C51286" w:rsidRPr="009F6D1E">
              <w:rPr>
                <w:rFonts w:cs="Times New Roman"/>
              </w:rPr>
              <w:t>н</w:t>
            </w:r>
            <w:r w:rsidRPr="009F6D1E">
              <w:rPr>
                <w:rFonts w:cs="Times New Roman"/>
              </w:rPr>
              <w:t>и към практиката научни изследвания, образование, обучение и консултантска дейност в областта на биологичното производство</w:t>
            </w:r>
          </w:p>
          <w:p w14:paraId="5B3C7E09" w14:textId="77777777" w:rsidR="005F14CF" w:rsidRPr="009F6D1E" w:rsidRDefault="005F14CF" w:rsidP="0084747F">
            <w:pPr>
              <w:spacing w:after="60" w:line="264" w:lineRule="auto"/>
              <w:jc w:val="both"/>
              <w:rPr>
                <w:rFonts w:eastAsia="Calibri" w:cs="Times New Roman"/>
                <w:b/>
                <w:bCs/>
                <w:i/>
                <w:iCs/>
              </w:rPr>
            </w:pPr>
          </w:p>
          <w:p w14:paraId="3ABC15E2" w14:textId="77777777" w:rsidR="005F14CF" w:rsidRPr="009F6D1E" w:rsidRDefault="005F14CF" w:rsidP="0084747F">
            <w:pPr>
              <w:spacing w:after="60" w:line="264" w:lineRule="auto"/>
              <w:jc w:val="both"/>
              <w:rPr>
                <w:rFonts w:eastAsia="Calibri" w:cs="Times New Roman"/>
                <w:b/>
                <w:bCs/>
                <w:i/>
                <w:iCs/>
              </w:rPr>
            </w:pPr>
          </w:p>
        </w:tc>
        <w:tc>
          <w:tcPr>
            <w:tcW w:w="7139" w:type="dxa"/>
          </w:tcPr>
          <w:p w14:paraId="5CA0472E" w14:textId="77777777" w:rsidR="00AB4A2F" w:rsidRPr="009F6D1E" w:rsidRDefault="00AB4A2F" w:rsidP="0084747F">
            <w:pPr>
              <w:pStyle w:val="Other0"/>
              <w:spacing w:after="60" w:line="264" w:lineRule="auto"/>
              <w:jc w:val="both"/>
              <w:rPr>
                <w:i/>
                <w:iCs/>
              </w:rPr>
            </w:pPr>
            <w:r w:rsidRPr="009F6D1E">
              <w:t xml:space="preserve">Пряко отношение и принос на </w:t>
            </w:r>
            <w:r w:rsidR="00CD4045" w:rsidRPr="009F6D1E">
              <w:t>СПРЗСР</w:t>
            </w:r>
            <w:r w:rsidRPr="009F6D1E">
              <w:t xml:space="preserve"> към Стратегическа цел 1   има </w:t>
            </w:r>
            <w:r w:rsidRPr="009F6D1E">
              <w:rPr>
                <w:rFonts w:eastAsia="Calibri"/>
                <w:i/>
                <w:iCs/>
              </w:rPr>
              <w:t xml:space="preserve">Специфична цел №4, П.4.5. Потребност от прилагане на нискоинтензивни земеделски практики като </w:t>
            </w:r>
            <w:proofErr w:type="spellStart"/>
            <w:r w:rsidRPr="009F6D1E">
              <w:rPr>
                <w:rFonts w:eastAsia="Calibri"/>
                <w:i/>
                <w:iCs/>
              </w:rPr>
              <w:t>консервационно</w:t>
            </w:r>
            <w:proofErr w:type="spellEnd"/>
            <w:r w:rsidRPr="009F6D1E">
              <w:rPr>
                <w:rFonts w:eastAsia="Calibri"/>
                <w:i/>
                <w:iCs/>
              </w:rPr>
              <w:t>, интегрирано и биологично земеделие</w:t>
            </w:r>
            <w:r w:rsidRPr="009F6D1E">
              <w:rPr>
                <w:rFonts w:eastAsia="Calibri"/>
              </w:rPr>
              <w:t xml:space="preserve"> и интервенциите към потребността</w:t>
            </w:r>
            <w:r w:rsidRPr="009F6D1E">
              <w:rPr>
                <w:i/>
                <w:iCs/>
              </w:rPr>
              <w:t xml:space="preserve"> </w:t>
            </w:r>
          </w:p>
          <w:p w14:paraId="0BD7A5E0" w14:textId="77777777" w:rsidR="00AB4A2F" w:rsidRPr="009F6D1E" w:rsidRDefault="00D31755" w:rsidP="0084747F">
            <w:pPr>
              <w:pStyle w:val="Other0"/>
              <w:spacing w:after="60" w:line="264" w:lineRule="auto"/>
              <w:jc w:val="both"/>
              <w:rPr>
                <w:i/>
                <w:iCs/>
              </w:rPr>
            </w:pPr>
            <w:r w:rsidRPr="009F6D1E">
              <w:t>Принос к</w:t>
            </w:r>
            <w:r w:rsidR="00AB4A2F" w:rsidRPr="009F6D1E">
              <w:t xml:space="preserve">ъм Стратегическа цел </w:t>
            </w:r>
            <w:r w:rsidR="00C51286" w:rsidRPr="009F6D1E">
              <w:t>2</w:t>
            </w:r>
            <w:r w:rsidRPr="009F6D1E">
              <w:t xml:space="preserve"> на Националния план</w:t>
            </w:r>
            <w:r w:rsidR="00AB4A2F" w:rsidRPr="009F6D1E">
              <w:t xml:space="preserve"> има </w:t>
            </w:r>
            <w:r w:rsidR="00AB4A2F" w:rsidRPr="009F6D1E">
              <w:rPr>
                <w:i/>
                <w:iCs/>
              </w:rPr>
              <w:t>Специфична цел №9</w:t>
            </w:r>
            <w:r w:rsidRPr="009F6D1E">
              <w:rPr>
                <w:i/>
                <w:iCs/>
              </w:rPr>
              <w:t xml:space="preserve"> на </w:t>
            </w:r>
            <w:r w:rsidR="00CD4045" w:rsidRPr="009F6D1E">
              <w:rPr>
                <w:i/>
                <w:iCs/>
              </w:rPr>
              <w:t>СПРЗСР</w:t>
            </w:r>
            <w:r w:rsidR="00AB4A2F" w:rsidRPr="009F6D1E">
              <w:rPr>
                <w:i/>
                <w:iCs/>
              </w:rPr>
              <w:t>, П.9.2.Подобряване на контрола (лабораторна дейност), пазарна организация, реализация и маркетинг в биологичното производство;</w:t>
            </w:r>
          </w:p>
          <w:p w14:paraId="6B034702" w14:textId="77777777" w:rsidR="00AB4A2F" w:rsidRPr="009F6D1E" w:rsidRDefault="00C51286" w:rsidP="0084747F">
            <w:pPr>
              <w:pStyle w:val="Other0"/>
              <w:spacing w:after="60" w:line="264" w:lineRule="auto"/>
              <w:jc w:val="both"/>
              <w:rPr>
                <w:rFonts w:eastAsia="Calibri"/>
              </w:rPr>
            </w:pPr>
            <w:r w:rsidRPr="009F6D1E">
              <w:t xml:space="preserve">Към Стратегическа цел 3 има </w:t>
            </w:r>
            <w:r w:rsidR="005046C7" w:rsidRPr="009F6D1E">
              <w:t xml:space="preserve">Междусекторна цел 10 </w:t>
            </w:r>
            <w:r w:rsidRPr="009F6D1E">
              <w:t xml:space="preserve">на </w:t>
            </w:r>
            <w:r w:rsidR="00CD4045" w:rsidRPr="009F6D1E">
              <w:t>СПРЗСР</w:t>
            </w:r>
            <w:r w:rsidRPr="009F6D1E">
              <w:t>:</w:t>
            </w:r>
            <w:r w:rsidRPr="009F6D1E">
              <w:rPr>
                <w:i/>
                <w:iCs/>
              </w:rPr>
              <w:t xml:space="preserve"> </w:t>
            </w:r>
            <w:r w:rsidR="00D31755" w:rsidRPr="009F6D1E">
              <w:rPr>
                <w:i/>
                <w:iCs/>
              </w:rPr>
              <w:t>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r w:rsidRPr="009F6D1E">
              <w:rPr>
                <w:i/>
                <w:iCs/>
              </w:rPr>
              <w:t>.</w:t>
            </w:r>
          </w:p>
        </w:tc>
      </w:tr>
      <w:tr w:rsidR="00C51286" w:rsidRPr="009F6D1E" w14:paraId="5817E896" w14:textId="77777777" w:rsidTr="00981F7B">
        <w:tc>
          <w:tcPr>
            <w:tcW w:w="7139" w:type="dxa"/>
          </w:tcPr>
          <w:p w14:paraId="4EBE8013" w14:textId="77777777" w:rsidR="00C51286" w:rsidRPr="009F6D1E" w:rsidRDefault="001B698A" w:rsidP="0084747F">
            <w:pPr>
              <w:widowControl w:val="0"/>
              <w:spacing w:after="60" w:line="264" w:lineRule="auto"/>
              <w:ind w:right="400"/>
              <w:jc w:val="both"/>
              <w:rPr>
                <w:rFonts w:cs="Times New Roman"/>
                <w:b/>
                <w:bCs/>
                <w:i/>
                <w:iCs/>
              </w:rPr>
            </w:pPr>
            <w:bookmarkStart w:id="577" w:name="_Hlk98760713"/>
            <w:r w:rsidRPr="009F6D1E">
              <w:rPr>
                <w:rFonts w:cs="Times New Roman"/>
                <w:b/>
                <w:bCs/>
                <w:i/>
                <w:iCs/>
              </w:rPr>
              <w:t>Актуализиран Национален план за действие за устойчива употреба на пестициди в Република България (период на прилагане 2022 г.)</w:t>
            </w:r>
            <w:bookmarkEnd w:id="577"/>
          </w:p>
          <w:p w14:paraId="7D44373C" w14:textId="77777777" w:rsidR="001B698A" w:rsidRPr="009F6D1E" w:rsidRDefault="001B698A" w:rsidP="0084747F">
            <w:pPr>
              <w:widowControl w:val="0"/>
              <w:spacing w:after="60" w:line="264" w:lineRule="auto"/>
              <w:ind w:right="400"/>
              <w:jc w:val="both"/>
              <w:rPr>
                <w:rFonts w:cs="Times New Roman"/>
              </w:rPr>
            </w:pPr>
            <w:r w:rsidRPr="009F6D1E">
              <w:rPr>
                <w:rFonts w:cs="Times New Roman"/>
                <w:b/>
                <w:bCs/>
              </w:rPr>
              <w:t>Основна цел 1:</w:t>
            </w:r>
            <w:r w:rsidRPr="009F6D1E">
              <w:rPr>
                <w:rFonts w:cs="Times New Roman"/>
              </w:rPr>
              <w:t xml:space="preserve"> Намаляване на рисковете и въздействието от употребата на пестициди върху здравето на хората и върху </w:t>
            </w:r>
            <w:r w:rsidRPr="009F6D1E">
              <w:rPr>
                <w:rFonts w:cs="Times New Roman"/>
              </w:rPr>
              <w:lastRenderedPageBreak/>
              <w:t>околната среда</w:t>
            </w:r>
          </w:p>
          <w:p w14:paraId="3D07ECF0" w14:textId="77777777" w:rsidR="001B698A" w:rsidRPr="009F6D1E" w:rsidRDefault="001B698A" w:rsidP="0084747F">
            <w:pPr>
              <w:widowControl w:val="0"/>
              <w:spacing w:after="60" w:line="264" w:lineRule="auto"/>
              <w:ind w:right="400"/>
              <w:jc w:val="both"/>
              <w:rPr>
                <w:rFonts w:cs="Times New Roman"/>
              </w:rPr>
            </w:pPr>
            <w:r w:rsidRPr="009F6D1E">
              <w:rPr>
                <w:rFonts w:cs="Times New Roman"/>
                <w:b/>
                <w:bCs/>
              </w:rPr>
              <w:t>Основна цел 2:</w:t>
            </w:r>
            <w:r w:rsidRPr="009F6D1E">
              <w:rPr>
                <w:rFonts w:cs="Times New Roman"/>
              </w:rPr>
              <w:t xml:space="preserve"> Насърчаване на интегрираното управление на вредителите и на алтернативни подходи или методи</w:t>
            </w:r>
          </w:p>
        </w:tc>
        <w:tc>
          <w:tcPr>
            <w:tcW w:w="7139" w:type="dxa"/>
          </w:tcPr>
          <w:p w14:paraId="74197BA4" w14:textId="77777777" w:rsidR="002352B3" w:rsidRPr="009F6D1E" w:rsidRDefault="002352B3" w:rsidP="0084747F">
            <w:pPr>
              <w:pStyle w:val="Other0"/>
              <w:spacing w:after="60" w:line="264" w:lineRule="auto"/>
              <w:jc w:val="both"/>
            </w:pPr>
            <w:r w:rsidRPr="009F6D1E">
              <w:lastRenderedPageBreak/>
              <w:t xml:space="preserve">Пряко отношение и принос на </w:t>
            </w:r>
            <w:r w:rsidR="00CD4045" w:rsidRPr="009F6D1E">
              <w:t>СПРЗСР</w:t>
            </w:r>
            <w:r w:rsidRPr="009F6D1E">
              <w:t xml:space="preserve"> към постигането на  Основните цели на Националния план  имат:</w:t>
            </w:r>
          </w:p>
          <w:p w14:paraId="10A93539" w14:textId="77777777" w:rsidR="002352B3" w:rsidRPr="009F6D1E" w:rsidRDefault="002352B3" w:rsidP="0084747F">
            <w:pPr>
              <w:pStyle w:val="Other0"/>
              <w:spacing w:after="60" w:line="264" w:lineRule="auto"/>
              <w:jc w:val="both"/>
              <w:rPr>
                <w:i/>
                <w:iCs/>
              </w:rPr>
            </w:pPr>
            <w:r w:rsidRPr="009F6D1E">
              <w:t xml:space="preserve"> Специфична цел №5, </w:t>
            </w:r>
            <w:r w:rsidRPr="009F6D1E">
              <w:rPr>
                <w:i/>
                <w:iCs/>
              </w:rPr>
              <w:t xml:space="preserve">П.5.5. Продължаване на прилагане на оптимизирана и устойчива употреба на ПРЗ, минерални и органични торове с цел опазване на водите и </w:t>
            </w:r>
          </w:p>
          <w:p w14:paraId="466B7BE3" w14:textId="77777777" w:rsidR="00C51286" w:rsidRPr="009F6D1E" w:rsidRDefault="002352B3" w:rsidP="0084747F">
            <w:pPr>
              <w:pStyle w:val="Other0"/>
              <w:spacing w:after="60" w:line="264" w:lineRule="auto"/>
              <w:jc w:val="both"/>
              <w:rPr>
                <w:i/>
                <w:iCs/>
              </w:rPr>
            </w:pPr>
            <w:r w:rsidRPr="009F6D1E">
              <w:rPr>
                <w:i/>
                <w:iCs/>
              </w:rPr>
              <w:lastRenderedPageBreak/>
              <w:t>Специфична цел №9, П.9.8.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p>
          <w:p w14:paraId="247C8570" w14:textId="77777777" w:rsidR="002352B3" w:rsidRPr="009F6D1E" w:rsidRDefault="002352B3" w:rsidP="0084747F">
            <w:pPr>
              <w:pStyle w:val="Other0"/>
              <w:spacing w:after="60" w:line="264" w:lineRule="auto"/>
              <w:jc w:val="both"/>
            </w:pPr>
            <w:r w:rsidRPr="009F6D1E">
              <w:t>и интервенциите към тях.</w:t>
            </w:r>
          </w:p>
        </w:tc>
      </w:tr>
      <w:tr w:rsidR="00396BB5" w:rsidRPr="009F6D1E" w14:paraId="2E457C6F" w14:textId="77777777" w:rsidTr="00981F7B">
        <w:tc>
          <w:tcPr>
            <w:tcW w:w="7139" w:type="dxa"/>
          </w:tcPr>
          <w:p w14:paraId="2842A699" w14:textId="77777777" w:rsidR="00396BB5" w:rsidRPr="009F6D1E" w:rsidRDefault="00396BB5" w:rsidP="0084747F">
            <w:pPr>
              <w:widowControl w:val="0"/>
              <w:spacing w:after="60" w:line="264" w:lineRule="auto"/>
              <w:ind w:right="400"/>
              <w:jc w:val="both"/>
              <w:rPr>
                <w:rFonts w:cs="Times New Roman"/>
                <w:b/>
                <w:bCs/>
                <w:i/>
                <w:iCs/>
              </w:rPr>
            </w:pPr>
            <w:r w:rsidRPr="009F6D1E">
              <w:rPr>
                <w:rFonts w:cs="Times New Roman"/>
                <w:b/>
                <w:bCs/>
                <w:i/>
                <w:iCs/>
              </w:rPr>
              <w:lastRenderedPageBreak/>
              <w:t xml:space="preserve">Стратегия за развитие и управление на водоснабдяването  и </w:t>
            </w:r>
            <w:r w:rsidR="00D31755" w:rsidRPr="009F6D1E">
              <w:rPr>
                <w:rFonts w:cs="Times New Roman"/>
                <w:b/>
                <w:bCs/>
                <w:i/>
                <w:iCs/>
              </w:rPr>
              <w:t>к</w:t>
            </w:r>
            <w:r w:rsidRPr="009F6D1E">
              <w:rPr>
                <w:rFonts w:cs="Times New Roman"/>
                <w:b/>
                <w:bCs/>
                <w:i/>
                <w:iCs/>
              </w:rPr>
              <w:t>анализацията в Република България за периода 2014 - 2023 г. (одобрена с Решение № 269 от 07.05.2014 г. на Министерския съвет</w:t>
            </w:r>
          </w:p>
          <w:p w14:paraId="1FFE08D6" w14:textId="77777777" w:rsidR="00396BB5" w:rsidRPr="009F6D1E" w:rsidRDefault="00396BB5" w:rsidP="0084747F">
            <w:pPr>
              <w:spacing w:after="60" w:line="264" w:lineRule="auto"/>
              <w:contextualSpacing/>
              <w:jc w:val="both"/>
              <w:rPr>
                <w:rFonts w:eastAsia="Calibri" w:cs="Times New Roman"/>
                <w:bCs/>
                <w:i/>
                <w:iCs/>
              </w:rPr>
            </w:pPr>
            <w:r w:rsidRPr="009F6D1E">
              <w:rPr>
                <w:rFonts w:eastAsia="Calibri" w:cs="Times New Roman"/>
                <w:b/>
                <w:bCs/>
                <w:i/>
                <w:iCs/>
              </w:rPr>
              <w:t>Визията за отрасъл ВиК:</w:t>
            </w:r>
            <w:r w:rsidRPr="009F6D1E">
              <w:rPr>
                <w:rFonts w:cs="Times New Roman"/>
              </w:rPr>
              <w:t xml:space="preserve"> </w:t>
            </w:r>
            <w:r w:rsidRPr="009F6D1E">
              <w:rPr>
                <w:rFonts w:eastAsia="Calibri" w:cs="Times New Roman"/>
                <w:bCs/>
                <w:i/>
                <w:iCs/>
              </w:rPr>
              <w:t>Желанието на правителството е България да постигне финансово, технически и екологично устойчив ВиК отрасъл, който предоставя ВиК услуги с високо качество на социално поносими за потребителите цени.</w:t>
            </w:r>
          </w:p>
          <w:p w14:paraId="6FA5B7A1" w14:textId="77777777" w:rsidR="00396BB5" w:rsidRPr="009F6D1E" w:rsidRDefault="00396BB5" w:rsidP="0084747F">
            <w:pPr>
              <w:spacing w:after="60" w:line="264" w:lineRule="auto"/>
              <w:contextualSpacing/>
              <w:jc w:val="both"/>
              <w:rPr>
                <w:rFonts w:eastAsia="Calibri" w:cs="Times New Roman"/>
                <w:b/>
                <w:bCs/>
                <w:i/>
                <w:iCs/>
              </w:rPr>
            </w:pPr>
            <w:r w:rsidRPr="009F6D1E">
              <w:rPr>
                <w:rFonts w:eastAsia="Calibri" w:cs="Times New Roman"/>
                <w:b/>
                <w:bCs/>
                <w:i/>
                <w:iCs/>
              </w:rPr>
              <w:t>Стратегически цели:</w:t>
            </w:r>
          </w:p>
          <w:p w14:paraId="43829D0A" w14:textId="77777777" w:rsidR="00396BB5" w:rsidRPr="009F6D1E" w:rsidRDefault="00396BB5" w:rsidP="0084747F">
            <w:pPr>
              <w:spacing w:after="60" w:line="264" w:lineRule="auto"/>
              <w:contextualSpacing/>
              <w:jc w:val="both"/>
              <w:rPr>
                <w:rFonts w:eastAsia="Calibri" w:cs="Times New Roman"/>
                <w:bCs/>
                <w:i/>
                <w:iCs/>
              </w:rPr>
            </w:pPr>
            <w:r w:rsidRPr="009F6D1E">
              <w:rPr>
                <w:rFonts w:eastAsia="Calibri" w:cs="Times New Roman"/>
                <w:bCs/>
                <w:i/>
                <w:iCs/>
              </w:rPr>
              <w:t xml:space="preserve">Съответствие: </w:t>
            </w:r>
            <w:r w:rsidRPr="009F6D1E">
              <w:rPr>
                <w:rFonts w:eastAsia="Calibri" w:cs="Times New Roman"/>
                <w:bCs/>
                <w:iCs/>
              </w:rPr>
              <w:t>ВиК отрасълът отговаря на националните/европейските изисквания</w:t>
            </w:r>
          </w:p>
          <w:p w14:paraId="04CF64B9" w14:textId="77777777" w:rsidR="00396BB5" w:rsidRPr="009F6D1E" w:rsidRDefault="00396BB5" w:rsidP="0084747F">
            <w:pPr>
              <w:spacing w:after="60" w:line="264" w:lineRule="auto"/>
              <w:contextualSpacing/>
              <w:jc w:val="both"/>
              <w:rPr>
                <w:rFonts w:eastAsia="Calibri" w:cs="Times New Roman"/>
                <w:bCs/>
                <w:iCs/>
              </w:rPr>
            </w:pPr>
            <w:r w:rsidRPr="009F6D1E">
              <w:rPr>
                <w:rFonts w:eastAsia="Calibri" w:cs="Times New Roman"/>
                <w:bCs/>
                <w:i/>
                <w:iCs/>
              </w:rPr>
              <w:t xml:space="preserve">Устойчивост: </w:t>
            </w:r>
            <w:r w:rsidRPr="009F6D1E">
              <w:rPr>
                <w:rFonts w:eastAsia="Calibri" w:cs="Times New Roman"/>
                <w:bCs/>
                <w:iCs/>
              </w:rPr>
              <w:t>ВиК отрасълът е екологосъобразен, финансово и технически жизнеспособен</w:t>
            </w:r>
          </w:p>
          <w:p w14:paraId="2357C9C0" w14:textId="77777777" w:rsidR="00396BB5" w:rsidRPr="009F6D1E" w:rsidRDefault="00396BB5" w:rsidP="0084747F">
            <w:pPr>
              <w:spacing w:after="60" w:line="264" w:lineRule="auto"/>
              <w:contextualSpacing/>
              <w:jc w:val="both"/>
              <w:rPr>
                <w:rFonts w:eastAsia="Calibri" w:cs="Times New Roman"/>
                <w:bCs/>
                <w:i/>
                <w:iCs/>
              </w:rPr>
            </w:pPr>
            <w:r w:rsidRPr="009F6D1E">
              <w:rPr>
                <w:rFonts w:eastAsia="Calibri" w:cs="Times New Roman"/>
                <w:bCs/>
                <w:i/>
                <w:iCs/>
              </w:rPr>
              <w:t xml:space="preserve">Социална </w:t>
            </w:r>
            <w:proofErr w:type="spellStart"/>
            <w:r w:rsidRPr="009F6D1E">
              <w:rPr>
                <w:rFonts w:eastAsia="Calibri" w:cs="Times New Roman"/>
                <w:bCs/>
                <w:i/>
                <w:iCs/>
              </w:rPr>
              <w:t>поносимост:</w:t>
            </w:r>
            <w:r w:rsidRPr="009F6D1E">
              <w:rPr>
                <w:rFonts w:eastAsia="Calibri" w:cs="Times New Roman"/>
                <w:bCs/>
                <w:iCs/>
              </w:rPr>
              <w:t>Цените</w:t>
            </w:r>
            <w:proofErr w:type="spellEnd"/>
            <w:r w:rsidRPr="009F6D1E">
              <w:rPr>
                <w:rFonts w:eastAsia="Calibri" w:cs="Times New Roman"/>
                <w:bCs/>
                <w:iCs/>
              </w:rPr>
              <w:t xml:space="preserve"> на ВиК услугите са социално поносими за потребителите</w:t>
            </w:r>
          </w:p>
          <w:p w14:paraId="79E39B98" w14:textId="77777777" w:rsidR="00396BB5" w:rsidRPr="009F6D1E" w:rsidRDefault="00396BB5" w:rsidP="0084747F">
            <w:pPr>
              <w:spacing w:after="60" w:line="264" w:lineRule="auto"/>
              <w:contextualSpacing/>
              <w:jc w:val="both"/>
              <w:rPr>
                <w:rFonts w:cs="Times New Roman"/>
                <w:b/>
                <w:bCs/>
                <w:i/>
                <w:iCs/>
              </w:rPr>
            </w:pPr>
            <w:r w:rsidRPr="009F6D1E">
              <w:rPr>
                <w:rFonts w:eastAsia="Calibri" w:cs="Times New Roman"/>
                <w:bCs/>
                <w:i/>
                <w:iCs/>
              </w:rPr>
              <w:lastRenderedPageBreak/>
              <w:t xml:space="preserve">Качество/цена: </w:t>
            </w:r>
            <w:r w:rsidRPr="009F6D1E">
              <w:rPr>
                <w:rFonts w:eastAsia="Calibri" w:cs="Times New Roman"/>
                <w:bCs/>
                <w:iCs/>
              </w:rPr>
              <w:t>Качеството на услугите и ефикасността на ВиК операторите съответстват на добрите европейски практики.</w:t>
            </w:r>
          </w:p>
        </w:tc>
        <w:tc>
          <w:tcPr>
            <w:tcW w:w="7139" w:type="dxa"/>
          </w:tcPr>
          <w:p w14:paraId="2BD5160C" w14:textId="77777777" w:rsidR="00AB76E6" w:rsidRPr="009F6D1E" w:rsidRDefault="001932EA" w:rsidP="0084747F">
            <w:pPr>
              <w:spacing w:after="60" w:line="264" w:lineRule="auto"/>
              <w:jc w:val="both"/>
              <w:rPr>
                <w:rFonts w:eastAsia="Times New Roman" w:cs="Times New Roman"/>
                <w:i/>
                <w:iCs/>
              </w:rPr>
            </w:pPr>
            <w:r w:rsidRPr="009F6D1E">
              <w:rPr>
                <w:rFonts w:eastAsia="Times New Roman" w:cs="Times New Roman"/>
              </w:rPr>
              <w:lastRenderedPageBreak/>
              <w:t xml:space="preserve">Пряко отношение и принос на </w:t>
            </w:r>
            <w:r w:rsidR="00CD4045" w:rsidRPr="009F6D1E">
              <w:rPr>
                <w:rFonts w:eastAsia="Times New Roman" w:cs="Times New Roman"/>
              </w:rPr>
              <w:t>СПРЗСР</w:t>
            </w:r>
            <w:r w:rsidRPr="009F6D1E">
              <w:rPr>
                <w:rFonts w:eastAsia="Times New Roman" w:cs="Times New Roman"/>
              </w:rPr>
              <w:t xml:space="preserve"> към постигането на визията и стратегическите цели на Стратегията е </w:t>
            </w:r>
            <w:r w:rsidRPr="009F6D1E">
              <w:rPr>
                <w:rFonts w:eastAsia="Times New Roman" w:cs="Times New Roman"/>
                <w:i/>
                <w:iCs/>
              </w:rPr>
              <w:t>Стратегическа цел №8, Потребност П.8.3. Подобряване на публична инфраструктурата и технико-комуникационните системи в</w:t>
            </w:r>
            <w:r w:rsidR="00BD59D2" w:rsidRPr="009F6D1E">
              <w:rPr>
                <w:rFonts w:eastAsia="Times New Roman" w:cs="Times New Roman"/>
                <w:i/>
                <w:iCs/>
              </w:rPr>
              <w:t xml:space="preserve"> </w:t>
            </w:r>
            <w:r w:rsidRPr="009F6D1E">
              <w:rPr>
                <w:rFonts w:eastAsia="Times New Roman" w:cs="Times New Roman"/>
                <w:i/>
                <w:iCs/>
              </w:rPr>
              <w:t>селските райони чрез</w:t>
            </w:r>
            <w:r w:rsidR="00AB76E6" w:rsidRPr="009F6D1E">
              <w:rPr>
                <w:rFonts w:eastAsia="Times New Roman" w:cs="Times New Roman"/>
                <w:i/>
                <w:iCs/>
              </w:rPr>
              <w:t>:</w:t>
            </w:r>
          </w:p>
          <w:p w14:paraId="28BB9FB4" w14:textId="77777777" w:rsidR="001932EA" w:rsidRPr="009F6D1E" w:rsidRDefault="001932EA" w:rsidP="0084747F">
            <w:pPr>
              <w:spacing w:after="60" w:line="264" w:lineRule="auto"/>
              <w:jc w:val="both"/>
              <w:rPr>
                <w:rFonts w:eastAsia="Times New Roman" w:cs="Times New Roman"/>
                <w:i/>
                <w:iCs/>
              </w:rPr>
            </w:pPr>
            <w:r w:rsidRPr="009F6D1E">
              <w:rPr>
                <w:rFonts w:eastAsia="Times New Roman" w:cs="Times New Roman"/>
                <w:i/>
                <w:iCs/>
              </w:rPr>
              <w:t xml:space="preserve"> Потребност 8.3.2. Подобряване на водоснабдяването и пречистването на водите използвани за питейно-битови нужди чрез изграждане, реконструкция и/или рехабилитация на водоснабдителни системи и съоръжения в селата и население места до 2000 жители .</w:t>
            </w:r>
          </w:p>
          <w:p w14:paraId="40EA91F6" w14:textId="77777777" w:rsidR="00D30DD7" w:rsidRPr="009F6D1E" w:rsidRDefault="00D30DD7" w:rsidP="0084747F">
            <w:pPr>
              <w:spacing w:after="60" w:line="264" w:lineRule="auto"/>
              <w:jc w:val="both"/>
              <w:rPr>
                <w:rFonts w:eastAsia="Times New Roman" w:cs="Times New Roman"/>
                <w:i/>
                <w:iCs/>
              </w:rPr>
            </w:pPr>
            <w:r w:rsidRPr="009F6D1E">
              <w:rPr>
                <w:rFonts w:eastAsia="Times New Roman" w:cs="Times New Roman"/>
                <w:i/>
                <w:iCs/>
              </w:rPr>
              <w:t>Потребност 8.</w:t>
            </w:r>
            <w:r w:rsidRPr="009F6D1E">
              <w:rPr>
                <w:rFonts w:cs="Times New Roman"/>
              </w:rPr>
              <w:t>3</w:t>
            </w:r>
            <w:r w:rsidRPr="009F6D1E">
              <w:rPr>
                <w:rFonts w:eastAsia="Times New Roman" w:cs="Times New Roman"/>
                <w:i/>
                <w:iCs/>
              </w:rPr>
              <w:t xml:space="preserve">.6. Доизграждане на съществуващи канализационни системи и осигуряване на подходящо пречистване за населените места под 2000 </w:t>
            </w:r>
            <w:proofErr w:type="spellStart"/>
            <w:r w:rsidRPr="009F6D1E">
              <w:rPr>
                <w:rFonts w:eastAsia="Times New Roman" w:cs="Times New Roman"/>
                <w:i/>
                <w:iCs/>
              </w:rPr>
              <w:t>е.ж</w:t>
            </w:r>
            <w:proofErr w:type="spellEnd"/>
            <w:r w:rsidRPr="009F6D1E">
              <w:rPr>
                <w:rFonts w:eastAsia="Times New Roman" w:cs="Times New Roman"/>
                <w:i/>
                <w:iCs/>
              </w:rPr>
              <w:t>.</w:t>
            </w:r>
          </w:p>
          <w:p w14:paraId="01EE4E7B" w14:textId="77777777" w:rsidR="00D30DD7" w:rsidRPr="009F6D1E" w:rsidRDefault="00D30DD7" w:rsidP="0084747F">
            <w:pPr>
              <w:spacing w:after="60" w:line="264" w:lineRule="auto"/>
              <w:jc w:val="both"/>
              <w:rPr>
                <w:rFonts w:cs="Times New Roman"/>
              </w:rPr>
            </w:pPr>
            <w:r w:rsidRPr="009F6D1E">
              <w:rPr>
                <w:rFonts w:eastAsia="Calibri" w:cs="Times New Roman"/>
                <w:bCs/>
                <w:iCs/>
              </w:rPr>
              <w:t xml:space="preserve">Дейностите за доизграждане без ново строителство на КМ (в т.ч. и съоръжения за пречистване на отпадъчни води) в агломерации с под 2 000 </w:t>
            </w:r>
            <w:proofErr w:type="spellStart"/>
            <w:r w:rsidRPr="009F6D1E">
              <w:rPr>
                <w:rFonts w:eastAsia="Calibri" w:cs="Times New Roman"/>
                <w:bCs/>
                <w:iCs/>
              </w:rPr>
              <w:t>е.ж</w:t>
            </w:r>
            <w:proofErr w:type="spellEnd"/>
            <w:r w:rsidRPr="009F6D1E">
              <w:rPr>
                <w:rFonts w:eastAsia="Calibri" w:cs="Times New Roman"/>
                <w:bCs/>
                <w:iCs/>
              </w:rPr>
              <w:t xml:space="preserve">. в селските райони са допустими след като бъдат определени конкретните нужди в регионалните ПИП и ако е налице </w:t>
            </w:r>
            <w:r w:rsidRPr="009F6D1E">
              <w:rPr>
                <w:rFonts w:eastAsia="Calibri" w:cs="Times New Roman"/>
                <w:bCs/>
                <w:iCs/>
              </w:rPr>
              <w:lastRenderedPageBreak/>
              <w:t xml:space="preserve">висока степен на изграденост на КМ (между 90% и 100%) и/или отпадъчните води се </w:t>
            </w:r>
            <w:proofErr w:type="spellStart"/>
            <w:r w:rsidRPr="009F6D1E">
              <w:rPr>
                <w:rFonts w:eastAsia="Calibri" w:cs="Times New Roman"/>
                <w:bCs/>
                <w:iCs/>
              </w:rPr>
              <w:t>заустват</w:t>
            </w:r>
            <w:proofErr w:type="spellEnd"/>
            <w:r w:rsidRPr="009F6D1E">
              <w:rPr>
                <w:rFonts w:eastAsia="Calibri" w:cs="Times New Roman"/>
                <w:bCs/>
                <w:iCs/>
              </w:rPr>
              <w:t xml:space="preserve">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tc>
      </w:tr>
      <w:tr w:rsidR="00396BB5" w:rsidRPr="009F6D1E" w14:paraId="105B3D64" w14:textId="77777777" w:rsidTr="00981F7B">
        <w:tc>
          <w:tcPr>
            <w:tcW w:w="7139" w:type="dxa"/>
          </w:tcPr>
          <w:p w14:paraId="3AC36733" w14:textId="02E9DBF6" w:rsidR="00396BB5" w:rsidRPr="009F6D1E" w:rsidRDefault="00396BB5" w:rsidP="0084747F">
            <w:pPr>
              <w:widowControl w:val="0"/>
              <w:spacing w:after="60" w:line="264" w:lineRule="auto"/>
              <w:jc w:val="both"/>
              <w:rPr>
                <w:rFonts w:cs="Times New Roman"/>
                <w:b/>
                <w:bCs/>
                <w:i/>
                <w:iCs/>
              </w:rPr>
            </w:pPr>
            <w:r w:rsidRPr="009F6D1E">
              <w:rPr>
                <w:rFonts w:cs="Times New Roman"/>
                <w:b/>
                <w:bCs/>
                <w:i/>
                <w:iCs/>
              </w:rPr>
              <w:lastRenderedPageBreak/>
              <w:t xml:space="preserve">Национален инвестиционен план за водоснабдяване и </w:t>
            </w:r>
            <w:r w:rsidR="00AE3079" w:rsidRPr="009F6D1E">
              <w:rPr>
                <w:rFonts w:cs="Times New Roman"/>
                <w:b/>
                <w:bCs/>
                <w:i/>
                <w:iCs/>
              </w:rPr>
              <w:t>к</w:t>
            </w:r>
            <w:r w:rsidRPr="009F6D1E">
              <w:rPr>
                <w:rFonts w:cs="Times New Roman"/>
                <w:b/>
                <w:bCs/>
                <w:i/>
                <w:iCs/>
              </w:rPr>
              <w:t xml:space="preserve">анализация, </w:t>
            </w:r>
            <w:hyperlink r:id="rId120" w:history="1">
              <w:r w:rsidRPr="009F6D1E">
                <w:rPr>
                  <w:rFonts w:cs="Times New Roman"/>
                  <w:b/>
                  <w:bCs/>
                  <w:i/>
                  <w:iCs/>
                </w:rPr>
                <w:t>приет с Протоколно решение на Министерския съвет от 31 март</w:t>
              </w:r>
              <w:r w:rsidRPr="009F6D1E">
                <w:rPr>
                  <w:rFonts w:cs="Times New Roman"/>
                </w:rPr>
                <w:t xml:space="preserve"> </w:t>
              </w:r>
            </w:hyperlink>
            <w:r w:rsidRPr="009F6D1E">
              <w:rPr>
                <w:rFonts w:cs="Times New Roman"/>
                <w:b/>
                <w:bCs/>
                <w:i/>
                <w:iCs/>
              </w:rPr>
              <w:t>2021г.</w:t>
            </w:r>
          </w:p>
          <w:p w14:paraId="755AD4D5" w14:textId="77777777" w:rsidR="00396BB5" w:rsidRPr="009F6D1E" w:rsidRDefault="00396BB5" w:rsidP="0084747F">
            <w:pPr>
              <w:spacing w:after="60" w:line="264" w:lineRule="auto"/>
              <w:contextualSpacing/>
              <w:jc w:val="both"/>
              <w:rPr>
                <w:rFonts w:eastAsia="Calibri" w:cs="Times New Roman"/>
                <w:bCs/>
                <w:iCs/>
              </w:rPr>
            </w:pPr>
            <w:r w:rsidRPr="009F6D1E">
              <w:rPr>
                <w:rFonts w:eastAsia="Calibri" w:cs="Times New Roman"/>
                <w:bCs/>
                <w:iCs/>
              </w:rPr>
              <w:t>Национален инвестиционен план, който включва:</w:t>
            </w:r>
          </w:p>
          <w:p w14:paraId="38A3F042" w14:textId="77777777" w:rsidR="00396BB5" w:rsidRPr="009F6D1E" w:rsidRDefault="00396BB5">
            <w:pPr>
              <w:numPr>
                <w:ilvl w:val="0"/>
                <w:numId w:val="75"/>
              </w:numPr>
              <w:spacing w:after="60" w:line="264" w:lineRule="auto"/>
              <w:contextualSpacing/>
              <w:jc w:val="both"/>
              <w:rPr>
                <w:rFonts w:eastAsia="Calibri" w:cs="Times New Roman"/>
                <w:bCs/>
                <w:iCs/>
                <w:color w:val="000000"/>
              </w:rPr>
            </w:pPr>
            <w:r w:rsidRPr="009F6D1E">
              <w:rPr>
                <w:rFonts w:eastAsia="Calibri" w:cs="Times New Roman"/>
                <w:bCs/>
                <w:iCs/>
                <w:color w:val="000000"/>
              </w:rPr>
              <w:t>Оценка на текущото състояние на прилагането на Директивата за пречистването на градските отпадъчни води (ДПГОВ) 91/271/ЕИО и на преработения текст на Директивата за питейната вода (ДПВ) 98/83/ЕО;</w:t>
            </w:r>
          </w:p>
          <w:p w14:paraId="0444D7A4" w14:textId="77777777" w:rsidR="00396BB5" w:rsidRPr="009F6D1E" w:rsidRDefault="00396BB5">
            <w:pPr>
              <w:numPr>
                <w:ilvl w:val="0"/>
                <w:numId w:val="75"/>
              </w:numPr>
              <w:spacing w:after="60" w:line="264" w:lineRule="auto"/>
              <w:contextualSpacing/>
              <w:jc w:val="both"/>
              <w:rPr>
                <w:rFonts w:eastAsia="Calibri" w:cs="Times New Roman"/>
                <w:bCs/>
                <w:iCs/>
                <w:color w:val="000000"/>
              </w:rPr>
            </w:pPr>
            <w:r w:rsidRPr="009F6D1E">
              <w:rPr>
                <w:rFonts w:eastAsia="Calibri" w:cs="Times New Roman"/>
                <w:bCs/>
                <w:iCs/>
                <w:color w:val="000000"/>
              </w:rPr>
              <w:t xml:space="preserve">Определянето и планирането на публичните инвестиции, включително индикативна финансова оценка, за постигане на съответствие с европейските/националните изисквания, включително и тези, осигуряващи устойчиво </w:t>
            </w:r>
            <w:r w:rsidRPr="009F6D1E">
              <w:rPr>
                <w:rFonts w:eastAsia="Calibri" w:cs="Times New Roman"/>
                <w:bCs/>
                <w:iCs/>
                <w:color w:val="000000"/>
              </w:rPr>
              <w:lastRenderedPageBreak/>
              <w:t>функциониране на изградената ВиК инфраструктура и предоставяне на услугите в бъдеще;</w:t>
            </w:r>
          </w:p>
          <w:p w14:paraId="601162E0" w14:textId="77777777" w:rsidR="00396BB5" w:rsidRPr="009F6D1E" w:rsidRDefault="00396BB5">
            <w:pPr>
              <w:numPr>
                <w:ilvl w:val="0"/>
                <w:numId w:val="75"/>
              </w:numPr>
              <w:spacing w:after="60" w:line="264" w:lineRule="auto"/>
              <w:contextualSpacing/>
              <w:jc w:val="both"/>
              <w:rPr>
                <w:rFonts w:eastAsia="Calibri" w:cs="Times New Roman"/>
                <w:bCs/>
                <w:iCs/>
                <w:color w:val="000000"/>
              </w:rPr>
            </w:pPr>
            <w:r w:rsidRPr="009F6D1E">
              <w:rPr>
                <w:rFonts w:eastAsia="Calibri" w:cs="Times New Roman"/>
                <w:bCs/>
                <w:iCs/>
                <w:color w:val="000000"/>
              </w:rPr>
              <w:t xml:space="preserve">Оценка на инвестициите, необходими за обновяване на съществуващата инфраструктура за </w:t>
            </w:r>
            <w:proofErr w:type="spellStart"/>
            <w:r w:rsidRPr="009F6D1E">
              <w:rPr>
                <w:rFonts w:eastAsia="Calibri" w:cs="Times New Roman"/>
                <w:bCs/>
                <w:iCs/>
                <w:color w:val="000000"/>
              </w:rPr>
              <w:t>одоснабдяване</w:t>
            </w:r>
            <w:proofErr w:type="spellEnd"/>
            <w:r w:rsidRPr="009F6D1E">
              <w:rPr>
                <w:rFonts w:eastAsia="Calibri" w:cs="Times New Roman"/>
                <w:bCs/>
                <w:iCs/>
                <w:color w:val="000000"/>
              </w:rPr>
              <w:t xml:space="preserve"> и за отвеждане на отпадъчни води, включително мрежи, в зависимост от тяхната възраст и амортизационни планове;</w:t>
            </w:r>
          </w:p>
          <w:p w14:paraId="160B2357" w14:textId="77777777" w:rsidR="00396BB5" w:rsidRPr="009F6D1E" w:rsidRDefault="00396BB5">
            <w:pPr>
              <w:widowControl w:val="0"/>
              <w:numPr>
                <w:ilvl w:val="0"/>
                <w:numId w:val="75"/>
              </w:numPr>
              <w:spacing w:after="60" w:line="264" w:lineRule="auto"/>
              <w:ind w:right="400"/>
              <w:contextualSpacing/>
              <w:jc w:val="both"/>
              <w:rPr>
                <w:rFonts w:cs="Times New Roman"/>
                <w:b/>
                <w:bCs/>
                <w:i/>
                <w:iCs/>
              </w:rPr>
            </w:pPr>
            <w:r w:rsidRPr="009F6D1E">
              <w:rPr>
                <w:rFonts w:eastAsia="Calibri" w:cs="Times New Roman"/>
                <w:bCs/>
                <w:iCs/>
                <w:color w:val="000000"/>
              </w:rPr>
              <w:t>Посочване на потенциалните източници на публично финансиране, когато са необходими в допълнение към приходите, генерирани от цените на услугите.</w:t>
            </w:r>
          </w:p>
        </w:tc>
        <w:tc>
          <w:tcPr>
            <w:tcW w:w="7139" w:type="dxa"/>
          </w:tcPr>
          <w:p w14:paraId="44576CAA" w14:textId="77777777" w:rsidR="00AB76E6" w:rsidRPr="009F6D1E" w:rsidRDefault="00AB76E6" w:rsidP="0084747F">
            <w:pPr>
              <w:spacing w:after="60" w:line="264" w:lineRule="auto"/>
              <w:jc w:val="both"/>
              <w:rPr>
                <w:rFonts w:eastAsia="Times New Roman" w:cs="Times New Roman"/>
                <w:i/>
                <w:iCs/>
              </w:rPr>
            </w:pPr>
            <w:r w:rsidRPr="009F6D1E">
              <w:rPr>
                <w:rFonts w:eastAsia="Times New Roman" w:cs="Times New Roman"/>
              </w:rPr>
              <w:lastRenderedPageBreak/>
              <w:t xml:space="preserve">Пряко отношение и принос на </w:t>
            </w:r>
            <w:r w:rsidR="00CD4045" w:rsidRPr="009F6D1E">
              <w:rPr>
                <w:rFonts w:eastAsia="Times New Roman" w:cs="Times New Roman"/>
              </w:rPr>
              <w:t>СПРЗСР</w:t>
            </w:r>
            <w:r w:rsidRPr="009F6D1E">
              <w:rPr>
                <w:rFonts w:eastAsia="Times New Roman" w:cs="Times New Roman"/>
              </w:rPr>
              <w:t xml:space="preserve"> към постигането на визията и стратегическите цели на Стратегията е </w:t>
            </w:r>
            <w:r w:rsidRPr="009F6D1E">
              <w:rPr>
                <w:rFonts w:eastAsia="Times New Roman" w:cs="Times New Roman"/>
                <w:i/>
                <w:iCs/>
              </w:rPr>
              <w:t>Стратегическа цел №8, Потребност П.8.3. Подобряване на публична инфраструктурата и технико-комуникационните системи в селските райони чрез:</w:t>
            </w:r>
          </w:p>
          <w:p w14:paraId="68F0881A" w14:textId="77777777" w:rsidR="00AB76E6" w:rsidRPr="009F6D1E" w:rsidRDefault="00AB76E6" w:rsidP="0084747F">
            <w:pPr>
              <w:spacing w:after="60" w:line="264" w:lineRule="auto"/>
              <w:jc w:val="both"/>
              <w:rPr>
                <w:rFonts w:eastAsia="Times New Roman" w:cs="Times New Roman"/>
                <w:i/>
                <w:iCs/>
              </w:rPr>
            </w:pPr>
            <w:r w:rsidRPr="009F6D1E">
              <w:rPr>
                <w:rFonts w:eastAsia="Times New Roman" w:cs="Times New Roman"/>
                <w:i/>
                <w:iCs/>
              </w:rPr>
              <w:t xml:space="preserve"> Потребност 8.3.2. Подобряване на водоснабдяването и пречистването на водите използвани за питейно-битови нужди чрез изграждане, реконструкция и/или рехабилитация на водоснабдителни системи и съоръжения в селата и население места до 2000 жители .</w:t>
            </w:r>
          </w:p>
          <w:p w14:paraId="6EA23F2F" w14:textId="77777777" w:rsidR="00AB76E6" w:rsidRPr="009F6D1E" w:rsidRDefault="00AB76E6" w:rsidP="0084747F">
            <w:pPr>
              <w:spacing w:after="60" w:line="264" w:lineRule="auto"/>
              <w:jc w:val="both"/>
              <w:rPr>
                <w:rFonts w:eastAsia="Times New Roman" w:cs="Times New Roman"/>
                <w:i/>
                <w:iCs/>
              </w:rPr>
            </w:pPr>
            <w:r w:rsidRPr="009F6D1E">
              <w:rPr>
                <w:rFonts w:eastAsia="Times New Roman" w:cs="Times New Roman"/>
                <w:i/>
                <w:iCs/>
              </w:rPr>
              <w:t>Потребност 8.</w:t>
            </w:r>
            <w:r w:rsidRPr="009F6D1E">
              <w:rPr>
                <w:rFonts w:cs="Times New Roman"/>
              </w:rPr>
              <w:t>3</w:t>
            </w:r>
            <w:r w:rsidRPr="009F6D1E">
              <w:rPr>
                <w:rFonts w:eastAsia="Times New Roman" w:cs="Times New Roman"/>
                <w:i/>
                <w:iCs/>
              </w:rPr>
              <w:t xml:space="preserve">.6. Доизграждане на съществуващи канализационни системи и осигуряване на подходящо пречистване за населените места под 2000 </w:t>
            </w:r>
            <w:proofErr w:type="spellStart"/>
            <w:r w:rsidRPr="009F6D1E">
              <w:rPr>
                <w:rFonts w:eastAsia="Times New Roman" w:cs="Times New Roman"/>
                <w:i/>
                <w:iCs/>
              </w:rPr>
              <w:t>е.ж</w:t>
            </w:r>
            <w:proofErr w:type="spellEnd"/>
            <w:r w:rsidRPr="009F6D1E">
              <w:rPr>
                <w:rFonts w:eastAsia="Times New Roman" w:cs="Times New Roman"/>
                <w:i/>
                <w:iCs/>
              </w:rPr>
              <w:t>.</w:t>
            </w:r>
          </w:p>
          <w:p w14:paraId="615EE3EF" w14:textId="77777777" w:rsidR="00396BB5" w:rsidRPr="009F6D1E" w:rsidRDefault="00D30DD7" w:rsidP="0084747F">
            <w:pPr>
              <w:pStyle w:val="Other0"/>
              <w:spacing w:after="60" w:line="264" w:lineRule="auto"/>
              <w:jc w:val="both"/>
            </w:pPr>
            <w:r w:rsidRPr="009F6D1E">
              <w:lastRenderedPageBreak/>
              <w:t xml:space="preserve">Дейностите за доизграждане без ново строителство на КМ (в т.ч. и съоръжения за пречистване на отпадъчни води) в агломерации с под 2 000 </w:t>
            </w:r>
            <w:proofErr w:type="spellStart"/>
            <w:r w:rsidRPr="009F6D1E">
              <w:t>е.ж</w:t>
            </w:r>
            <w:proofErr w:type="spellEnd"/>
            <w:r w:rsidRPr="009F6D1E">
              <w:t xml:space="preserve">.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w:t>
            </w:r>
            <w:proofErr w:type="spellStart"/>
            <w:r w:rsidRPr="009F6D1E">
              <w:t>заустват</w:t>
            </w:r>
            <w:proofErr w:type="spellEnd"/>
            <w:r w:rsidRPr="009F6D1E">
              <w:t xml:space="preserve">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tc>
      </w:tr>
      <w:tr w:rsidR="00396BB5" w:rsidRPr="009F6D1E" w14:paraId="24C69D88" w14:textId="77777777" w:rsidTr="00981F7B">
        <w:tc>
          <w:tcPr>
            <w:tcW w:w="7139" w:type="dxa"/>
          </w:tcPr>
          <w:p w14:paraId="174ED895" w14:textId="77777777" w:rsidR="00396BB5" w:rsidRPr="009F6D1E" w:rsidRDefault="00D56272"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lastRenderedPageBreak/>
              <w:t>Обща стратегия за управление и развитие на хидромелиорациите и защита от вредното въздействие от водите,</w:t>
            </w:r>
            <w:r w:rsidRPr="009F6D1E">
              <w:rPr>
                <w:rFonts w:eastAsia="Calibri" w:cs="Times New Roman"/>
              </w:rPr>
              <w:t xml:space="preserve"> </w:t>
            </w:r>
            <w:r w:rsidRPr="009F6D1E">
              <w:rPr>
                <w:rFonts w:eastAsia="Times New Roman" w:cs="Times New Roman"/>
                <w:b/>
                <w:bCs/>
                <w:i/>
                <w:iCs/>
                <w:color w:val="262626"/>
              </w:rPr>
              <w:t>приет с Решение № 688 на Министерския съвет от 18.08.2016 г.</w:t>
            </w:r>
          </w:p>
          <w:p w14:paraId="46D788E5" w14:textId="77777777" w:rsidR="00D56272" w:rsidRPr="009F6D1E" w:rsidRDefault="00D56272" w:rsidP="0084747F">
            <w:pPr>
              <w:spacing w:after="60" w:line="264" w:lineRule="auto"/>
              <w:ind w:firstLine="708"/>
              <w:contextualSpacing/>
              <w:jc w:val="both"/>
              <w:rPr>
                <w:rFonts w:eastAsia="Calibri" w:cs="Times New Roman"/>
                <w:bCs/>
                <w:i/>
                <w:iCs/>
              </w:rPr>
            </w:pPr>
            <w:r w:rsidRPr="009F6D1E">
              <w:rPr>
                <w:rFonts w:eastAsia="Calibri" w:cs="Times New Roman"/>
                <w:b/>
                <w:bCs/>
                <w:i/>
                <w:iCs/>
              </w:rPr>
              <w:t xml:space="preserve">Визия: </w:t>
            </w:r>
            <w:r w:rsidRPr="009F6D1E">
              <w:rPr>
                <w:rFonts w:eastAsia="Calibri" w:cs="Times New Roman"/>
                <w:bCs/>
                <w:i/>
                <w:iCs/>
              </w:rPr>
              <w:t xml:space="preserve">Възстановяване на ефективен и ефикасен хидромелиоративен сектор за икономически жизнеспособно, конкурентно земеделие, устойчиво на въздействията от изменението на климата и осигуряващо защита от вредното въздействие на водите. </w:t>
            </w:r>
          </w:p>
          <w:p w14:paraId="55AB9EF1" w14:textId="77777777" w:rsidR="00D56272" w:rsidRPr="009F6D1E" w:rsidRDefault="00D56272" w:rsidP="0084747F">
            <w:pPr>
              <w:spacing w:after="60" w:line="264" w:lineRule="auto"/>
              <w:ind w:firstLine="708"/>
              <w:contextualSpacing/>
              <w:jc w:val="both"/>
              <w:rPr>
                <w:rFonts w:eastAsia="Calibri" w:cs="Times New Roman"/>
                <w:b/>
                <w:bCs/>
                <w:i/>
                <w:iCs/>
              </w:rPr>
            </w:pPr>
            <w:r w:rsidRPr="009F6D1E">
              <w:rPr>
                <w:rFonts w:eastAsia="Calibri" w:cs="Times New Roman"/>
                <w:b/>
                <w:bCs/>
                <w:i/>
                <w:iCs/>
              </w:rPr>
              <w:lastRenderedPageBreak/>
              <w:t xml:space="preserve">Стратегическа цел 1: </w:t>
            </w:r>
            <w:r w:rsidRPr="009F6D1E">
              <w:rPr>
                <w:rFonts w:eastAsia="Calibri" w:cs="Times New Roman"/>
                <w:bCs/>
                <w:iCs/>
              </w:rPr>
              <w:t xml:space="preserve">Изграждане на правен и институционален капацитет, който да проправи път към автономни и </w:t>
            </w:r>
            <w:proofErr w:type="spellStart"/>
            <w:r w:rsidRPr="009F6D1E">
              <w:rPr>
                <w:rFonts w:eastAsia="Calibri" w:cs="Times New Roman"/>
                <w:bCs/>
                <w:iCs/>
              </w:rPr>
              <w:t>самофинансиращи</w:t>
            </w:r>
            <w:proofErr w:type="spellEnd"/>
            <w:r w:rsidRPr="009F6D1E">
              <w:rPr>
                <w:rFonts w:eastAsia="Calibri" w:cs="Times New Roman"/>
                <w:bCs/>
                <w:iCs/>
              </w:rPr>
              <w:t xml:space="preserve"> се организации за управление на финансово устойчиви хидромелиоративни системи.</w:t>
            </w:r>
          </w:p>
          <w:p w14:paraId="33FD7704"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1: </w:t>
            </w:r>
            <w:r w:rsidRPr="009F6D1E">
              <w:rPr>
                <w:rFonts w:eastAsia="Calibri" w:cs="Times New Roman"/>
                <w:bCs/>
                <w:iCs/>
              </w:rPr>
              <w:t>Основна правна и институционална реформа</w:t>
            </w:r>
          </w:p>
          <w:p w14:paraId="1DCBAAC6"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2: </w:t>
            </w:r>
            <w:r w:rsidRPr="009F6D1E">
              <w:rPr>
                <w:rFonts w:eastAsia="Calibri" w:cs="Times New Roman"/>
                <w:bCs/>
                <w:iCs/>
              </w:rPr>
              <w:t>Учредяване на Управителен комитет по хидромелиорациите</w:t>
            </w:r>
          </w:p>
          <w:p w14:paraId="29632AFF"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3: </w:t>
            </w:r>
            <w:r w:rsidRPr="009F6D1E">
              <w:rPr>
                <w:rFonts w:eastAsia="Calibri" w:cs="Times New Roman"/>
                <w:bCs/>
                <w:iCs/>
              </w:rPr>
              <w:t>Звено по изпълнение и координация на хидромелиоративната стратегия</w:t>
            </w:r>
          </w:p>
          <w:p w14:paraId="5C7553E6"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1. 4: </w:t>
            </w:r>
            <w:r w:rsidRPr="009F6D1E">
              <w:rPr>
                <w:rFonts w:eastAsia="Calibri" w:cs="Times New Roman"/>
                <w:bCs/>
                <w:iCs/>
              </w:rPr>
              <w:t>Оптимизиране ролята на дирекция „Хидромелиорации, инвестиционна</w:t>
            </w:r>
            <w:r w:rsidR="00C00ADC" w:rsidRPr="009F6D1E">
              <w:rPr>
                <w:rFonts w:eastAsia="Calibri" w:cs="Times New Roman"/>
                <w:bCs/>
                <w:iCs/>
              </w:rPr>
              <w:t xml:space="preserve"> </w:t>
            </w:r>
            <w:r w:rsidRPr="009F6D1E">
              <w:rPr>
                <w:rFonts w:eastAsia="Calibri" w:cs="Times New Roman"/>
                <w:bCs/>
                <w:iCs/>
              </w:rPr>
              <w:t>политика и концесии“</w:t>
            </w:r>
          </w:p>
          <w:p w14:paraId="1C20818A"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5 (Първи етап). </w:t>
            </w:r>
            <w:r w:rsidRPr="009F6D1E">
              <w:rPr>
                <w:rFonts w:eastAsia="Calibri" w:cs="Times New Roman"/>
                <w:bCs/>
                <w:iCs/>
              </w:rPr>
              <w:t>Регионални предприятия по хидромелиорации (РПХ)</w:t>
            </w:r>
          </w:p>
          <w:p w14:paraId="26163C96"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6 (Първи етап): </w:t>
            </w:r>
            <w:r w:rsidRPr="009F6D1E">
              <w:rPr>
                <w:rFonts w:eastAsia="Calibri" w:cs="Times New Roman"/>
                <w:bCs/>
                <w:iCs/>
              </w:rPr>
              <w:t>Отношения с частния сектор</w:t>
            </w:r>
          </w:p>
          <w:p w14:paraId="3E1F1BD6"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1. 7 (Втори етап): </w:t>
            </w:r>
            <w:r w:rsidRPr="009F6D1E">
              <w:rPr>
                <w:rFonts w:eastAsia="Calibri" w:cs="Times New Roman"/>
                <w:bCs/>
                <w:iCs/>
              </w:rPr>
              <w:t>Регионални органи за управление по на хидромелиорациите</w:t>
            </w:r>
          </w:p>
          <w:p w14:paraId="4A7BB64F"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Cs/>
              </w:rPr>
              <w:t>(РОУХ)</w:t>
            </w:r>
          </w:p>
          <w:p w14:paraId="070DDF2D"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8: </w:t>
            </w:r>
            <w:r w:rsidRPr="009F6D1E">
              <w:rPr>
                <w:rFonts w:eastAsia="Calibri" w:cs="Times New Roman"/>
                <w:bCs/>
                <w:iCs/>
              </w:rPr>
              <w:t>Укрепване на капацитета на РПХ</w:t>
            </w:r>
          </w:p>
          <w:p w14:paraId="3A377918"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1. 9: </w:t>
            </w:r>
            <w:r w:rsidRPr="009F6D1E">
              <w:rPr>
                <w:rFonts w:eastAsia="Calibri" w:cs="Times New Roman"/>
                <w:bCs/>
                <w:iCs/>
              </w:rPr>
              <w:t>Създаване и укрепване на Сдруженията за напояване</w:t>
            </w:r>
          </w:p>
          <w:p w14:paraId="7D2D6CF3"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1. 10: </w:t>
            </w:r>
            <w:r w:rsidRPr="009F6D1E">
              <w:rPr>
                <w:rFonts w:eastAsia="Calibri" w:cs="Times New Roman"/>
                <w:bCs/>
                <w:iCs/>
              </w:rPr>
              <w:t>Национален център за изследвания и обучение по хидромелиорации</w:t>
            </w:r>
          </w:p>
          <w:p w14:paraId="52B9A14F"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Cs/>
              </w:rPr>
              <w:lastRenderedPageBreak/>
              <w:t>(НЦИОХ)</w:t>
            </w:r>
          </w:p>
          <w:p w14:paraId="366E376E"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1. 11: </w:t>
            </w:r>
            <w:r w:rsidRPr="009F6D1E">
              <w:rPr>
                <w:rFonts w:eastAsia="Calibri" w:cs="Times New Roman"/>
                <w:bCs/>
                <w:iCs/>
              </w:rPr>
              <w:t>Ценообразуване на СН</w:t>
            </w:r>
          </w:p>
          <w:p w14:paraId="3D5147BC" w14:textId="77777777" w:rsidR="00D56272" w:rsidRPr="009F6D1E" w:rsidRDefault="00D56272" w:rsidP="0084747F">
            <w:pPr>
              <w:spacing w:after="60" w:line="264" w:lineRule="auto"/>
              <w:contextualSpacing/>
              <w:jc w:val="both"/>
              <w:rPr>
                <w:rFonts w:eastAsia="Calibri" w:cs="Times New Roman"/>
                <w:b/>
                <w:bCs/>
                <w:i/>
                <w:iCs/>
              </w:rPr>
            </w:pPr>
            <w:r w:rsidRPr="009F6D1E">
              <w:rPr>
                <w:rFonts w:eastAsia="Calibri" w:cs="Times New Roman"/>
                <w:bCs/>
                <w:i/>
                <w:iCs/>
              </w:rPr>
              <w:t>Политика 1. 12:</w:t>
            </w:r>
            <w:r w:rsidRPr="009F6D1E">
              <w:rPr>
                <w:rFonts w:eastAsia="Calibri" w:cs="Times New Roman"/>
                <w:b/>
                <w:bCs/>
                <w:i/>
                <w:iCs/>
              </w:rPr>
              <w:t xml:space="preserve"> </w:t>
            </w:r>
            <w:r w:rsidRPr="009F6D1E">
              <w:rPr>
                <w:rFonts w:eastAsia="Calibri" w:cs="Times New Roman"/>
                <w:bCs/>
                <w:iCs/>
              </w:rPr>
              <w:t>Безопасност на язовирите</w:t>
            </w:r>
          </w:p>
          <w:p w14:paraId="7239C9CA" w14:textId="11306F92" w:rsidR="00D56272" w:rsidRPr="009F6D1E" w:rsidRDefault="00D56272" w:rsidP="0084747F">
            <w:pPr>
              <w:spacing w:after="60" w:line="264" w:lineRule="auto"/>
              <w:ind w:firstLine="708"/>
              <w:contextualSpacing/>
              <w:jc w:val="both"/>
              <w:rPr>
                <w:rFonts w:eastAsia="Calibri" w:cs="Times New Roman"/>
                <w:bCs/>
                <w:iCs/>
              </w:rPr>
            </w:pPr>
            <w:r w:rsidRPr="009F6D1E">
              <w:rPr>
                <w:rFonts w:eastAsia="Calibri" w:cs="Times New Roman"/>
                <w:b/>
                <w:bCs/>
                <w:i/>
                <w:iCs/>
              </w:rPr>
              <w:t xml:space="preserve">Стратегическа цел 2: </w:t>
            </w:r>
            <w:r w:rsidRPr="009F6D1E">
              <w:rPr>
                <w:rFonts w:eastAsia="Calibri" w:cs="Times New Roman"/>
                <w:bCs/>
                <w:iCs/>
              </w:rPr>
              <w:t>Засилване на конкурент</w:t>
            </w:r>
            <w:r w:rsidR="00F31AED">
              <w:rPr>
                <w:rFonts w:eastAsia="Calibri" w:cs="Times New Roman"/>
                <w:bCs/>
                <w:iCs/>
              </w:rPr>
              <w:t>осп</w:t>
            </w:r>
            <w:r w:rsidRPr="009F6D1E">
              <w:rPr>
                <w:rFonts w:eastAsia="Calibri" w:cs="Times New Roman"/>
                <w:bCs/>
                <w:iCs/>
              </w:rPr>
              <w:t xml:space="preserve">особността на селскостопанския сектор чрез осигуряване на дългосрочна перспектива, определяйки инвестиционните приоритети в напояване и отводняване на земеделските стопанства, както и в свързаните услуги. </w:t>
            </w:r>
          </w:p>
          <w:p w14:paraId="2DFF4A10"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2. 1: </w:t>
            </w:r>
            <w:r w:rsidRPr="009F6D1E">
              <w:rPr>
                <w:rFonts w:eastAsia="Calibri" w:cs="Times New Roman"/>
                <w:bCs/>
                <w:iCs/>
              </w:rPr>
              <w:t>Пазарно жизнеспособна и устойчива на климата структура на поливно</w:t>
            </w:r>
            <w:r w:rsidR="00C00ADC" w:rsidRPr="009F6D1E">
              <w:rPr>
                <w:rFonts w:eastAsia="Calibri" w:cs="Times New Roman"/>
                <w:bCs/>
                <w:iCs/>
              </w:rPr>
              <w:t xml:space="preserve"> з</w:t>
            </w:r>
            <w:r w:rsidRPr="009F6D1E">
              <w:rPr>
                <w:rFonts w:eastAsia="Calibri" w:cs="Times New Roman"/>
                <w:bCs/>
                <w:iCs/>
              </w:rPr>
              <w:t>емеделие</w:t>
            </w:r>
          </w:p>
          <w:p w14:paraId="35C90F12"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2.2: </w:t>
            </w:r>
            <w:r w:rsidRPr="009F6D1E">
              <w:rPr>
                <w:rFonts w:eastAsia="Calibri" w:cs="Times New Roman"/>
                <w:bCs/>
                <w:iCs/>
              </w:rPr>
              <w:t>Прилагането на технологии за напояване в стопанствата</w:t>
            </w:r>
          </w:p>
          <w:p w14:paraId="7D53F569"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2.3: </w:t>
            </w:r>
            <w:r w:rsidRPr="009F6D1E">
              <w:rPr>
                <w:rFonts w:eastAsia="Calibri" w:cs="Times New Roman"/>
                <w:bCs/>
                <w:iCs/>
              </w:rPr>
              <w:t>Насърчаване на използването на отводнителна система в и извън</w:t>
            </w:r>
            <w:r w:rsidR="00C00ADC" w:rsidRPr="009F6D1E">
              <w:rPr>
                <w:rFonts w:eastAsia="Calibri" w:cs="Times New Roman"/>
                <w:bCs/>
                <w:iCs/>
              </w:rPr>
              <w:t xml:space="preserve"> с</w:t>
            </w:r>
            <w:r w:rsidRPr="009F6D1E">
              <w:rPr>
                <w:rFonts w:eastAsia="Calibri" w:cs="Times New Roman"/>
                <w:bCs/>
                <w:iCs/>
              </w:rPr>
              <w:t>топанството</w:t>
            </w:r>
          </w:p>
          <w:p w14:paraId="18FAAF1D"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2.4: </w:t>
            </w:r>
            <w:r w:rsidRPr="009F6D1E">
              <w:rPr>
                <w:rFonts w:eastAsia="Calibri" w:cs="Times New Roman"/>
                <w:bCs/>
                <w:iCs/>
              </w:rPr>
              <w:t>Връзки напред и назад по веригата на поливните земеделски стопанства и земеделско производство</w:t>
            </w:r>
          </w:p>
          <w:p w14:paraId="641CA9A6"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2.5: </w:t>
            </w:r>
            <w:r w:rsidRPr="009F6D1E">
              <w:rPr>
                <w:rFonts w:eastAsia="Calibri" w:cs="Times New Roman"/>
                <w:bCs/>
                <w:iCs/>
              </w:rPr>
              <w:t>Насърчаване на предоставянето на съветнически услуги в поливното</w:t>
            </w:r>
            <w:r w:rsidR="00C00ADC" w:rsidRPr="009F6D1E">
              <w:rPr>
                <w:rFonts w:eastAsia="Calibri" w:cs="Times New Roman"/>
                <w:bCs/>
                <w:iCs/>
              </w:rPr>
              <w:t xml:space="preserve"> з</w:t>
            </w:r>
            <w:r w:rsidRPr="009F6D1E">
              <w:rPr>
                <w:rFonts w:eastAsia="Calibri" w:cs="Times New Roman"/>
                <w:bCs/>
                <w:iCs/>
              </w:rPr>
              <w:t>емеделие</w:t>
            </w:r>
          </w:p>
          <w:p w14:paraId="3AA53566"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2.6: </w:t>
            </w:r>
            <w:r w:rsidRPr="009F6D1E">
              <w:rPr>
                <w:rFonts w:eastAsia="Calibri" w:cs="Times New Roman"/>
                <w:bCs/>
                <w:iCs/>
              </w:rPr>
              <w:t>Създаване на рамка за програмиране и определяне на приоритетите</w:t>
            </w:r>
          </w:p>
          <w:p w14:paraId="6EFE59B3" w14:textId="77777777" w:rsidR="00D56272" w:rsidRPr="009F6D1E" w:rsidRDefault="00D56272" w:rsidP="0084747F">
            <w:pPr>
              <w:spacing w:after="60" w:line="264" w:lineRule="auto"/>
              <w:ind w:firstLine="708"/>
              <w:contextualSpacing/>
              <w:jc w:val="both"/>
              <w:rPr>
                <w:rFonts w:eastAsia="Calibri" w:cs="Times New Roman"/>
                <w:b/>
                <w:bCs/>
                <w:i/>
                <w:iCs/>
              </w:rPr>
            </w:pPr>
            <w:r w:rsidRPr="009F6D1E">
              <w:rPr>
                <w:rFonts w:eastAsia="Calibri" w:cs="Times New Roman"/>
                <w:b/>
                <w:bCs/>
                <w:i/>
                <w:iCs/>
              </w:rPr>
              <w:t xml:space="preserve">Стратегическа цел 3: </w:t>
            </w:r>
            <w:r w:rsidRPr="009F6D1E">
              <w:rPr>
                <w:rFonts w:eastAsia="Calibri" w:cs="Times New Roman"/>
                <w:bCs/>
                <w:iCs/>
              </w:rPr>
              <w:t xml:space="preserve">Възстановяване на достъпа до хидромелиоративната инфраструктура на земеделските земи и </w:t>
            </w:r>
            <w:r w:rsidRPr="009F6D1E">
              <w:rPr>
                <w:rFonts w:eastAsia="Calibri" w:cs="Times New Roman"/>
                <w:bCs/>
                <w:iCs/>
              </w:rPr>
              <w:lastRenderedPageBreak/>
              <w:t>нейното устойчивото използване чрез инвестиции във възстановяване и модернизация</w:t>
            </w:r>
            <w:r w:rsidRPr="009F6D1E">
              <w:rPr>
                <w:rFonts w:eastAsia="Calibri" w:cs="Times New Roman"/>
                <w:b/>
                <w:bCs/>
                <w:i/>
                <w:iCs/>
              </w:rPr>
              <w:t xml:space="preserve"> </w:t>
            </w:r>
          </w:p>
          <w:p w14:paraId="2EC42B74"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3. 1: </w:t>
            </w:r>
            <w:r w:rsidRPr="009F6D1E">
              <w:rPr>
                <w:rFonts w:eastAsia="Calibri" w:cs="Times New Roman"/>
                <w:bCs/>
                <w:iCs/>
              </w:rPr>
              <w:t>Рехабилитация и модернизация на главната хидромелиоративна инфраструктура</w:t>
            </w:r>
          </w:p>
          <w:p w14:paraId="36C3CBB2"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3.2: </w:t>
            </w:r>
            <w:r w:rsidRPr="009F6D1E">
              <w:rPr>
                <w:rFonts w:eastAsia="Calibri" w:cs="Times New Roman"/>
                <w:bCs/>
                <w:iCs/>
              </w:rPr>
              <w:t>Интегрирани планове за модернизация на напояването и отводняването (ИПМНО)</w:t>
            </w:r>
          </w:p>
          <w:p w14:paraId="106A3B3E"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3.3: </w:t>
            </w:r>
            <w:r w:rsidRPr="009F6D1E">
              <w:rPr>
                <w:rFonts w:eastAsia="Calibri" w:cs="Times New Roman"/>
                <w:bCs/>
                <w:iCs/>
              </w:rPr>
              <w:t>Обучение и контрол на качеството</w:t>
            </w:r>
          </w:p>
          <w:p w14:paraId="566F6940" w14:textId="77777777" w:rsidR="00D56272" w:rsidRPr="009F6D1E" w:rsidRDefault="00D56272" w:rsidP="0084747F">
            <w:pPr>
              <w:spacing w:after="60" w:line="264" w:lineRule="auto"/>
              <w:ind w:firstLine="708"/>
              <w:contextualSpacing/>
              <w:jc w:val="both"/>
              <w:rPr>
                <w:rFonts w:eastAsia="Calibri" w:cs="Times New Roman"/>
                <w:b/>
                <w:bCs/>
                <w:i/>
                <w:iCs/>
              </w:rPr>
            </w:pPr>
            <w:r w:rsidRPr="009F6D1E">
              <w:rPr>
                <w:rFonts w:eastAsia="Calibri" w:cs="Times New Roman"/>
                <w:b/>
                <w:bCs/>
                <w:i/>
                <w:iCs/>
              </w:rPr>
              <w:t xml:space="preserve">Стратегическа цел 4: </w:t>
            </w:r>
            <w:r w:rsidRPr="009F6D1E">
              <w:rPr>
                <w:rFonts w:eastAsia="Calibri" w:cs="Times New Roman"/>
                <w:bCs/>
                <w:iCs/>
              </w:rPr>
              <w:t>Възстановяване на функциониращата инфраструктура за защита на обработваемите земеделски земи от вредното въздействие на водите (напр. корекции на речни корита, оказващи влияние върху хидроморфологичните характеристики), високи нива на подпочвени води и други вредни въздействия на водите.</w:t>
            </w:r>
          </w:p>
          <w:p w14:paraId="0B25B124" w14:textId="77777777" w:rsidR="00D56272" w:rsidRPr="009F6D1E" w:rsidRDefault="00D56272" w:rsidP="0084747F">
            <w:pPr>
              <w:spacing w:after="60" w:line="264" w:lineRule="auto"/>
              <w:contextualSpacing/>
              <w:jc w:val="both"/>
              <w:rPr>
                <w:rFonts w:eastAsia="Calibri" w:cs="Times New Roman"/>
                <w:bCs/>
                <w:i/>
                <w:iCs/>
              </w:rPr>
            </w:pPr>
            <w:r w:rsidRPr="009F6D1E">
              <w:rPr>
                <w:rFonts w:eastAsia="Calibri" w:cs="Times New Roman"/>
                <w:bCs/>
                <w:i/>
                <w:iCs/>
              </w:rPr>
              <w:t xml:space="preserve">Политика 4.1: </w:t>
            </w:r>
            <w:r w:rsidRPr="009F6D1E">
              <w:rPr>
                <w:rFonts w:eastAsia="Calibri" w:cs="Times New Roman"/>
                <w:bCs/>
                <w:iCs/>
              </w:rPr>
              <w:t>Насърчаване на инвестициите във възстановяване на инфраструктурата за защита от наводнения и корекции на реки</w:t>
            </w:r>
          </w:p>
          <w:p w14:paraId="40097357" w14:textId="77777777" w:rsidR="00D56272" w:rsidRPr="009F6D1E" w:rsidRDefault="00D56272" w:rsidP="0084747F">
            <w:pPr>
              <w:spacing w:after="60" w:line="264" w:lineRule="auto"/>
              <w:contextualSpacing/>
              <w:jc w:val="both"/>
              <w:rPr>
                <w:rFonts w:eastAsia="Calibri" w:cs="Times New Roman"/>
                <w:bCs/>
                <w:iCs/>
              </w:rPr>
            </w:pPr>
            <w:r w:rsidRPr="009F6D1E">
              <w:rPr>
                <w:rFonts w:eastAsia="Calibri" w:cs="Times New Roman"/>
                <w:bCs/>
                <w:i/>
                <w:iCs/>
              </w:rPr>
              <w:t xml:space="preserve">Политика 4. 3: </w:t>
            </w:r>
            <w:r w:rsidRPr="009F6D1E">
              <w:rPr>
                <w:rFonts w:eastAsia="Calibri" w:cs="Times New Roman"/>
                <w:bCs/>
                <w:iCs/>
              </w:rPr>
              <w:t>Мониторинг на кумулативното въздействие на дейностите по отводняване</w:t>
            </w:r>
          </w:p>
          <w:p w14:paraId="459AB276" w14:textId="77777777" w:rsidR="00D56272" w:rsidRPr="009F6D1E" w:rsidRDefault="00D56272" w:rsidP="0084747F">
            <w:pPr>
              <w:widowControl w:val="0"/>
              <w:spacing w:after="60" w:line="264" w:lineRule="auto"/>
              <w:ind w:right="400"/>
              <w:jc w:val="both"/>
              <w:rPr>
                <w:rFonts w:cs="Times New Roman"/>
                <w:b/>
                <w:bCs/>
                <w:i/>
                <w:iCs/>
              </w:rPr>
            </w:pPr>
            <w:r w:rsidRPr="009F6D1E">
              <w:rPr>
                <w:rFonts w:eastAsia="Calibri" w:cs="Times New Roman"/>
                <w:bCs/>
                <w:i/>
                <w:iCs/>
              </w:rPr>
              <w:t>Политика 4.4:</w:t>
            </w:r>
            <w:r w:rsidRPr="009F6D1E">
              <w:rPr>
                <w:rFonts w:eastAsia="Calibri" w:cs="Times New Roman"/>
                <w:bCs/>
                <w:iCs/>
              </w:rPr>
              <w:t>Информираност относно плановете за управление на риска от наводнения</w:t>
            </w:r>
          </w:p>
        </w:tc>
        <w:tc>
          <w:tcPr>
            <w:tcW w:w="7139" w:type="dxa"/>
          </w:tcPr>
          <w:p w14:paraId="5ABD3B3F" w14:textId="77777777" w:rsidR="00A9084D" w:rsidRPr="009F6D1E" w:rsidRDefault="00A9084D" w:rsidP="0084747F">
            <w:pPr>
              <w:spacing w:after="60" w:line="264" w:lineRule="auto"/>
              <w:jc w:val="both"/>
              <w:rPr>
                <w:rFonts w:eastAsia="Times New Roman" w:cs="Times New Roman"/>
              </w:rPr>
            </w:pPr>
            <w:r w:rsidRPr="009F6D1E">
              <w:rPr>
                <w:rFonts w:eastAsia="Times New Roman" w:cs="Times New Roman"/>
              </w:rPr>
              <w:lastRenderedPageBreak/>
              <w:t xml:space="preserve">Пряко отношение и принос на </w:t>
            </w:r>
            <w:r w:rsidR="00CD4045" w:rsidRPr="009F6D1E">
              <w:rPr>
                <w:rFonts w:eastAsia="Times New Roman" w:cs="Times New Roman"/>
              </w:rPr>
              <w:t>СПРЗСР</w:t>
            </w:r>
            <w:r w:rsidRPr="009F6D1E">
              <w:rPr>
                <w:rFonts w:eastAsia="Times New Roman" w:cs="Times New Roman"/>
              </w:rPr>
              <w:t xml:space="preserve"> към постигането на визията и стратегическите цели на Стратегията е:</w:t>
            </w:r>
          </w:p>
          <w:p w14:paraId="2896CCAF" w14:textId="77777777" w:rsidR="00F55214" w:rsidRPr="009F6D1E" w:rsidRDefault="00A9084D" w:rsidP="0084747F">
            <w:pPr>
              <w:spacing w:after="60" w:line="264" w:lineRule="auto"/>
              <w:jc w:val="both"/>
              <w:rPr>
                <w:rFonts w:eastAsia="Times New Roman" w:cs="Times New Roman"/>
              </w:rPr>
            </w:pPr>
            <w:r w:rsidRPr="009F6D1E">
              <w:rPr>
                <w:rFonts w:eastAsia="Times New Roman" w:cs="Times New Roman"/>
              </w:rPr>
              <w:t xml:space="preserve"> </w:t>
            </w:r>
            <w:r w:rsidR="00F55214" w:rsidRPr="009F6D1E">
              <w:rPr>
                <w:rFonts w:eastAsia="Times New Roman" w:cs="Times New Roman"/>
                <w:i/>
                <w:iCs/>
              </w:rPr>
              <w:t xml:space="preserve">Стратегическа цел №1, Потребност П.1.6. Оптимизиране на възможностите за напояване за намаляване на негативните последици от проявлението на </w:t>
            </w:r>
            <w:proofErr w:type="spellStart"/>
            <w:r w:rsidR="00F55214" w:rsidRPr="009F6D1E">
              <w:rPr>
                <w:rFonts w:eastAsia="Times New Roman" w:cs="Times New Roman"/>
                <w:i/>
                <w:iCs/>
              </w:rPr>
              <w:t>природо</w:t>
            </w:r>
            <w:proofErr w:type="spellEnd"/>
            <w:r w:rsidR="00F55214" w:rsidRPr="009F6D1E">
              <w:rPr>
                <w:rFonts w:eastAsia="Times New Roman" w:cs="Times New Roman"/>
                <w:i/>
                <w:iCs/>
              </w:rPr>
              <w:t xml:space="preserve">-климатичните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 </w:t>
            </w:r>
            <w:r w:rsidR="00F55214" w:rsidRPr="009F6D1E">
              <w:rPr>
                <w:rFonts w:cs="Times New Roman"/>
                <w:lang w:bidi="bg-BG"/>
              </w:rPr>
              <w:t xml:space="preserve">Към тази потребност е насочена </w:t>
            </w:r>
            <w:r w:rsidR="00F55214" w:rsidRPr="009F6D1E">
              <w:rPr>
                <w:rFonts w:cs="Times New Roman"/>
                <w:i/>
                <w:iCs/>
                <w:lang w:bidi="bg-BG"/>
              </w:rPr>
              <w:t xml:space="preserve">интервенция </w:t>
            </w:r>
            <w:r w:rsidR="00F55214" w:rsidRPr="009F6D1E">
              <w:rPr>
                <w:rFonts w:eastAsia="Times New Roman" w:cs="Times New Roman"/>
                <w:i/>
                <w:iCs/>
              </w:rPr>
              <w:t xml:space="preserve">„Инвестиции в земеделски стопанства“ – чл. 73 и чл. </w:t>
            </w:r>
            <w:r w:rsidR="00F55214" w:rsidRPr="009F6D1E">
              <w:rPr>
                <w:rFonts w:eastAsia="Times New Roman" w:cs="Times New Roman"/>
                <w:i/>
                <w:iCs/>
              </w:rPr>
              <w:lastRenderedPageBreak/>
              <w:t xml:space="preserve">74 от ЕЗФРСР. </w:t>
            </w:r>
            <w:r w:rsidR="00F55214" w:rsidRPr="009F6D1E">
              <w:rPr>
                <w:rFonts w:eastAsia="Times New Roman" w:cs="Times New Roman"/>
              </w:rPr>
              <w:t>Чрез интервенцията ще се подкрепят инвестициите за напояване в рамките на земеделските стопанства, чрез което се цели насърчаване и развитие на поливното земеделие.</w:t>
            </w:r>
          </w:p>
          <w:p w14:paraId="3C372586" w14:textId="77777777" w:rsidR="00A9084D" w:rsidRPr="009F6D1E" w:rsidRDefault="00A9084D" w:rsidP="0084747F">
            <w:pPr>
              <w:spacing w:after="60" w:line="264" w:lineRule="auto"/>
              <w:jc w:val="both"/>
              <w:rPr>
                <w:rFonts w:cs="Times New Roman"/>
                <w:lang w:bidi="bg-BG"/>
              </w:rPr>
            </w:pPr>
            <w:r w:rsidRPr="009F6D1E">
              <w:rPr>
                <w:rFonts w:eastAsia="Times New Roman" w:cs="Times New Roman"/>
                <w:i/>
                <w:iCs/>
              </w:rPr>
              <w:t xml:space="preserve">Стратегическа цел №5, Потребност </w:t>
            </w:r>
            <w:r w:rsidRPr="009F6D1E">
              <w:rPr>
                <w:rFonts w:cs="Times New Roman"/>
                <w:i/>
                <w:iCs/>
                <w:lang w:bidi="bg-BG"/>
              </w:rPr>
              <w:t xml:space="preserve">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 </w:t>
            </w:r>
            <w:r w:rsidRPr="009F6D1E">
              <w:rPr>
                <w:rFonts w:cs="Times New Roman"/>
                <w:lang w:bidi="bg-BG"/>
              </w:rPr>
              <w:t xml:space="preserve">Към тази потребност е насочена </w:t>
            </w:r>
            <w:r w:rsidRPr="009F6D1E">
              <w:rPr>
                <w:rFonts w:cs="Times New Roman"/>
                <w:i/>
                <w:iCs/>
                <w:lang w:bidi="bg-BG"/>
              </w:rPr>
              <w:t>интервенция „Инвестиции в инфраструктура за напояване“</w:t>
            </w:r>
            <w:r w:rsidRPr="009F6D1E">
              <w:rPr>
                <w:rFonts w:cs="Times New Roman"/>
                <w:lang w:bidi="bg-BG"/>
              </w:rPr>
              <w:t xml:space="preserve"> – член 74</w:t>
            </w:r>
            <w:r w:rsidR="00F55214" w:rsidRPr="009F6D1E">
              <w:rPr>
                <w:rFonts w:eastAsia="Times New Roman" w:cs="Times New Roman"/>
                <w:i/>
                <w:iCs/>
              </w:rPr>
              <w:t xml:space="preserve"> от ЕЗФРСР</w:t>
            </w:r>
            <w:r w:rsidRPr="009F6D1E">
              <w:rPr>
                <w:rFonts w:cs="Times New Roman"/>
                <w:lang w:bidi="bg-BG"/>
              </w:rPr>
              <w:t>,  насочена към инфраструктура за напояване, чрез която, от една страна, се постига икономическа устойчивост чрез увеличаване на съотношението между ползите за сектора на селското стопанство и от друга страна постигане на екологична устойчивост чрез ефективно използване на водните ресурси. В рамките на интервенцията подпомагането ще бъде насочено към оператори, които управляват хидромелиоративна инфраструктура и предоставят услугата „Доставяне на вода за напояване“ в съответствие с приложимото национално законодателство</w:t>
            </w:r>
          </w:p>
          <w:p w14:paraId="2AA75841" w14:textId="77777777" w:rsidR="0079296A" w:rsidRPr="009F6D1E" w:rsidRDefault="0079296A" w:rsidP="0084747F">
            <w:pPr>
              <w:spacing w:after="60" w:line="264" w:lineRule="auto"/>
              <w:jc w:val="both"/>
              <w:rPr>
                <w:rFonts w:cs="Times New Roman"/>
                <w:lang w:bidi="bg-BG"/>
              </w:rPr>
            </w:pPr>
            <w:r w:rsidRPr="009F6D1E">
              <w:rPr>
                <w:rFonts w:cs="Times New Roman"/>
                <w:lang w:bidi="bg-BG"/>
              </w:rPr>
              <w:t xml:space="preserve">Отделно от горното, косвен принос за постигане на визията има </w:t>
            </w:r>
            <w:r w:rsidRPr="009F6D1E">
              <w:rPr>
                <w:rFonts w:cs="Times New Roman"/>
                <w:i/>
                <w:iCs/>
                <w:lang w:bidi="bg-BG"/>
              </w:rPr>
              <w:t>Интервенция „Плащания за земеделски земи в зони от Натура 2000“― член 72. към Потребност 6.3, Стратегическа цел №6</w:t>
            </w:r>
            <w:r w:rsidRPr="009F6D1E">
              <w:rPr>
                <w:rFonts w:cs="Times New Roman"/>
                <w:lang w:bidi="bg-BG"/>
              </w:rPr>
              <w:t xml:space="preserve"> -  Приносът на интервенцията за опазването на биологичното </w:t>
            </w:r>
            <w:r w:rsidRPr="009F6D1E">
              <w:rPr>
                <w:rFonts w:cs="Times New Roman"/>
                <w:lang w:bidi="bg-BG"/>
              </w:rPr>
              <w:lastRenderedPageBreak/>
              <w:t>разнообразие в България, чрез опазването на видовете и местообитанията в естествената им среда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Придобиване на знания и умения за прилагане на природосъобразни практики върху земите, попадащи в обхвата на мрежата Натура 2000, допринася за стабилна тенденция на природозащитният статус на земеделските местообитания, свързани със селското стопанство. Осигуряване на висок дял на земеделските площи в Натура 2000.</w:t>
            </w:r>
          </w:p>
          <w:p w14:paraId="70F16F88" w14:textId="77777777" w:rsidR="00E828D6" w:rsidRPr="009F6D1E" w:rsidRDefault="00E828D6" w:rsidP="0084747F">
            <w:pPr>
              <w:spacing w:after="60" w:line="264" w:lineRule="auto"/>
              <w:jc w:val="both"/>
              <w:rPr>
                <w:rFonts w:cs="Times New Roman"/>
                <w:lang w:bidi="bg-BG"/>
              </w:rPr>
            </w:pPr>
            <w:r w:rsidRPr="009F6D1E">
              <w:rPr>
                <w:rFonts w:cs="Times New Roman"/>
                <w:i/>
                <w:iCs/>
                <w:lang w:bidi="bg-BG"/>
              </w:rPr>
              <w:t>Интервенция „Биологично производство"</w:t>
            </w:r>
            <w:r w:rsidRPr="009F6D1E">
              <w:rPr>
                <w:rFonts w:cs="Times New Roman"/>
                <w:lang w:bidi="bg-BG"/>
              </w:rPr>
              <w:t>– член 70</w:t>
            </w:r>
            <w:r w:rsidR="0055793D" w:rsidRPr="009F6D1E">
              <w:rPr>
                <w:rFonts w:cs="Times New Roman"/>
                <w:i/>
                <w:iCs/>
                <w:lang w:bidi="bg-BG"/>
              </w:rPr>
              <w:t xml:space="preserve"> към Потребност 6.1, Стратегическа цел №6</w:t>
            </w:r>
            <w:r w:rsidRPr="009F6D1E">
              <w:rPr>
                <w:rFonts w:cs="Times New Roman"/>
                <w:lang w:bidi="bg-BG"/>
              </w:rPr>
              <w:t xml:space="preserve">, чрез която се цели да се подпомогнат земеделските стопани, които искат да прилагат методите на биологичното производство в съответствие с изискванията на Регламент (ЕС) 2018/848 относно биологичното производство и етикетирането на биологични продукти в стопанствата, като се покрият разликите в допълнителните разходи и пропуснатите приходи при биологичния начин на отглеждане на земеделската продукция, сравнени с конвенционалните методи на производство. Очаква се интервенцията да доведе до положителен ефект и принос към устойчивото развитие на селските райони, като допринася за околната среда и смекчаването на последиците от </w:t>
            </w:r>
            <w:r w:rsidRPr="009F6D1E">
              <w:rPr>
                <w:rFonts w:cs="Times New Roman"/>
                <w:lang w:bidi="bg-BG"/>
              </w:rPr>
              <w:lastRenderedPageBreak/>
              <w:t>изменението на климата.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w:t>
            </w:r>
          </w:p>
          <w:p w14:paraId="79509DE7" w14:textId="77777777" w:rsidR="00396BB5" w:rsidRPr="009F6D1E" w:rsidRDefault="00761F9C" w:rsidP="0084747F">
            <w:pPr>
              <w:pStyle w:val="Other0"/>
              <w:spacing w:after="60" w:line="264" w:lineRule="auto"/>
              <w:jc w:val="both"/>
            </w:pPr>
            <w:r w:rsidRPr="009F6D1E">
              <w:t xml:space="preserve">Програма „Околна среда“ (ПОС)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w:t>
            </w:r>
            <w:r w:rsidR="00CD4045" w:rsidRPr="009F6D1E">
              <w:t>СПРЗСР</w:t>
            </w:r>
            <w:r w:rsidRPr="009F6D1E">
              <w:t xml:space="preserve"> ще подкрепя мерки, свързани с управление на риска в селското стопанство.</w:t>
            </w:r>
          </w:p>
        </w:tc>
      </w:tr>
      <w:tr w:rsidR="007C7132" w:rsidRPr="009F6D1E" w14:paraId="7D1BE1C4" w14:textId="77777777" w:rsidTr="00981F7B">
        <w:tc>
          <w:tcPr>
            <w:tcW w:w="7139" w:type="dxa"/>
          </w:tcPr>
          <w:p w14:paraId="7296328F" w14:textId="77777777" w:rsidR="007C7132" w:rsidRPr="009F6D1E" w:rsidRDefault="007C7132"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lastRenderedPageBreak/>
              <w:t xml:space="preserve">Национален план за действие за енергия от горска биомаса (2018-2027 г.).  </w:t>
            </w:r>
          </w:p>
          <w:p w14:paraId="071E9515" w14:textId="77777777" w:rsidR="007C7132" w:rsidRPr="009F6D1E" w:rsidRDefault="007C7132" w:rsidP="0084747F">
            <w:pPr>
              <w:widowControl w:val="0"/>
              <w:spacing w:after="60" w:line="264" w:lineRule="auto"/>
              <w:ind w:right="400"/>
              <w:jc w:val="both"/>
              <w:rPr>
                <w:rFonts w:eastAsia="Times New Roman" w:cs="Times New Roman"/>
                <w:color w:val="262626"/>
              </w:rPr>
            </w:pPr>
            <w:r w:rsidRPr="009F6D1E">
              <w:rPr>
                <w:rFonts w:eastAsia="Times New Roman" w:cs="Times New Roman"/>
                <w:b/>
                <w:bCs/>
                <w:i/>
                <w:iCs/>
                <w:color w:val="262626"/>
              </w:rPr>
              <w:t xml:space="preserve">Приоритет 1: </w:t>
            </w:r>
            <w:r w:rsidRPr="009F6D1E">
              <w:rPr>
                <w:rFonts w:eastAsia="Times New Roman" w:cs="Times New Roman"/>
                <w:color w:val="262626"/>
              </w:rPr>
              <w:t xml:space="preserve">Устойчиво производство на биомаса като </w:t>
            </w:r>
            <w:r w:rsidRPr="009F6D1E">
              <w:rPr>
                <w:rFonts w:eastAsia="Times New Roman" w:cs="Times New Roman"/>
                <w:color w:val="262626"/>
              </w:rPr>
              <w:lastRenderedPageBreak/>
              <w:t>възобновяем енергиен източник.</w:t>
            </w:r>
          </w:p>
          <w:p w14:paraId="3B4A074B" w14:textId="77777777" w:rsidR="007C7132" w:rsidRPr="009F6D1E" w:rsidRDefault="007C7132" w:rsidP="0084747F">
            <w:pPr>
              <w:widowControl w:val="0"/>
              <w:spacing w:after="60" w:line="264" w:lineRule="auto"/>
              <w:ind w:right="400"/>
              <w:jc w:val="both"/>
              <w:rPr>
                <w:rFonts w:eastAsia="Times New Roman" w:cs="Times New Roman"/>
                <w:color w:val="262626"/>
              </w:rPr>
            </w:pPr>
            <w:r w:rsidRPr="009F6D1E">
              <w:rPr>
                <w:rFonts w:eastAsia="Times New Roman" w:cs="Times New Roman"/>
                <w:b/>
                <w:bCs/>
                <w:i/>
                <w:iCs/>
                <w:color w:val="262626"/>
              </w:rPr>
              <w:t xml:space="preserve">Мярка 1.1: </w:t>
            </w:r>
            <w:r w:rsidRPr="009F6D1E">
              <w:rPr>
                <w:rFonts w:eastAsia="Times New Roman" w:cs="Times New Roman"/>
                <w:color w:val="262626"/>
              </w:rPr>
              <w:t>Намаляване на енергийната зависимост на страната от фосилни горива.</w:t>
            </w:r>
          </w:p>
          <w:p w14:paraId="220698B9"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1.2 </w:t>
            </w:r>
            <w:r w:rsidRPr="009F6D1E">
              <w:rPr>
                <w:rFonts w:cs="Times New Roman"/>
              </w:rPr>
              <w:t>Увеличаване добива на дървесина и правилно мобилизиране на потреблението ѝ, в рамките на  устойчивото стопанисване на горите.</w:t>
            </w:r>
          </w:p>
          <w:p w14:paraId="721DA7D4" w14:textId="77777777" w:rsidR="007C7132" w:rsidRPr="009F6D1E" w:rsidRDefault="007C7132" w:rsidP="0084747F">
            <w:pPr>
              <w:spacing w:after="60" w:line="264" w:lineRule="auto"/>
              <w:contextualSpacing/>
              <w:jc w:val="both"/>
              <w:rPr>
                <w:rFonts w:cs="Times New Roman"/>
              </w:rPr>
            </w:pPr>
            <w:r w:rsidRPr="009F6D1E">
              <w:rPr>
                <w:rFonts w:cs="Times New Roman"/>
                <w:b/>
              </w:rPr>
              <w:t>Приоритет 2</w:t>
            </w:r>
            <w:r w:rsidRPr="009F6D1E">
              <w:rPr>
                <w:rFonts w:cs="Times New Roman"/>
              </w:rPr>
              <w:t xml:space="preserve"> Ефективно производство на енергия от горска биомаса за диверсифициране на приходите в горския сектор</w:t>
            </w:r>
          </w:p>
          <w:p w14:paraId="76BC59D0" w14:textId="77777777" w:rsidR="007C7132" w:rsidRPr="009F6D1E" w:rsidRDefault="007C7132" w:rsidP="0084747F">
            <w:pPr>
              <w:spacing w:after="60" w:line="264" w:lineRule="auto"/>
              <w:contextualSpacing/>
              <w:jc w:val="both"/>
              <w:rPr>
                <w:rFonts w:cs="Times New Roman"/>
              </w:rPr>
            </w:pPr>
            <w:r w:rsidRPr="009F6D1E">
              <w:rPr>
                <w:rFonts w:cs="Times New Roman"/>
                <w:b/>
                <w:i/>
              </w:rPr>
              <w:t>Мярка 2.1</w:t>
            </w:r>
            <w:r w:rsidRPr="009F6D1E">
              <w:rPr>
                <w:rFonts w:cs="Times New Roman"/>
              </w:rPr>
              <w:t xml:space="preserve"> Изпълнение на дейности за въглеродно неутрално производство на енергия.</w:t>
            </w:r>
          </w:p>
          <w:p w14:paraId="32CE6CAF"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2.2 </w:t>
            </w:r>
            <w:r w:rsidRPr="009F6D1E">
              <w:rPr>
                <w:rFonts w:cs="Times New Roman"/>
              </w:rPr>
              <w:t>Повишаване ползването на преработена горска биомаса за производство на енергия.</w:t>
            </w:r>
          </w:p>
          <w:p w14:paraId="342C539C" w14:textId="77777777" w:rsidR="007C7132" w:rsidRPr="009F6D1E" w:rsidRDefault="007C7132" w:rsidP="0084747F">
            <w:pPr>
              <w:spacing w:after="60" w:line="264" w:lineRule="auto"/>
              <w:contextualSpacing/>
              <w:jc w:val="both"/>
              <w:rPr>
                <w:rFonts w:cs="Times New Roman"/>
              </w:rPr>
            </w:pPr>
            <w:r w:rsidRPr="009F6D1E">
              <w:rPr>
                <w:rFonts w:cs="Times New Roman"/>
                <w:b/>
              </w:rPr>
              <w:t>Приоритет 3</w:t>
            </w:r>
            <w:r w:rsidRPr="009F6D1E">
              <w:rPr>
                <w:rFonts w:cs="Times New Roman"/>
              </w:rPr>
              <w:t xml:space="preserve"> Намаляване замърсяването на въздуха и </w:t>
            </w:r>
            <w:proofErr w:type="spellStart"/>
            <w:r w:rsidRPr="009F6D1E">
              <w:rPr>
                <w:rFonts w:cs="Times New Roman"/>
              </w:rPr>
              <w:t>декарбонизация</w:t>
            </w:r>
            <w:proofErr w:type="spellEnd"/>
            <w:r w:rsidRPr="009F6D1E">
              <w:rPr>
                <w:rFonts w:cs="Times New Roman"/>
              </w:rPr>
              <w:t xml:space="preserve"> на сградния фонд, чрез осигуряване на възможности за въвеждане на нови методи и начини за</w:t>
            </w:r>
            <w:r w:rsidRPr="009F6D1E">
              <w:rPr>
                <w:rFonts w:cs="Times New Roman"/>
              </w:rPr>
              <w:br/>
              <w:t>потребление на енергия от горска биомаса.</w:t>
            </w:r>
          </w:p>
          <w:p w14:paraId="23905FF1"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3.1 </w:t>
            </w:r>
            <w:r w:rsidRPr="009F6D1E">
              <w:rPr>
                <w:rFonts w:cs="Times New Roman"/>
              </w:rPr>
              <w:t>Подпомагане прехода от локално (индивидуално) към централно (колективно) и от нискоефективно към високоефективно отопление на горска биомаса</w:t>
            </w:r>
          </w:p>
          <w:p w14:paraId="74BD52FA"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3.2 </w:t>
            </w:r>
            <w:r w:rsidRPr="009F6D1E">
              <w:rPr>
                <w:rFonts w:cs="Times New Roman"/>
              </w:rPr>
              <w:t>Подпомагане на прехода от използване на конвенционални/фосилни горива към използване на горска биомаса.</w:t>
            </w:r>
          </w:p>
          <w:p w14:paraId="1E252407" w14:textId="77777777" w:rsidR="007C7132" w:rsidRPr="009F6D1E" w:rsidRDefault="007C7132" w:rsidP="0084747F">
            <w:pPr>
              <w:spacing w:after="60" w:line="264" w:lineRule="auto"/>
              <w:contextualSpacing/>
              <w:jc w:val="both"/>
              <w:rPr>
                <w:rFonts w:cs="Times New Roman"/>
              </w:rPr>
            </w:pPr>
            <w:r w:rsidRPr="009F6D1E">
              <w:rPr>
                <w:rFonts w:cs="Times New Roman"/>
                <w:b/>
              </w:rPr>
              <w:lastRenderedPageBreak/>
              <w:t>Приоритет 4</w:t>
            </w:r>
            <w:r w:rsidRPr="009F6D1E">
              <w:rPr>
                <w:rFonts w:cs="Times New Roman"/>
              </w:rPr>
              <w:t xml:space="preserve"> Укрепване на правната и политическа рамка за осигуряване устойчиво</w:t>
            </w:r>
            <w:r w:rsidR="00E62FC3" w:rsidRPr="009F6D1E">
              <w:rPr>
                <w:rFonts w:cs="Times New Roman"/>
              </w:rPr>
              <w:t xml:space="preserve"> </w:t>
            </w:r>
            <w:r w:rsidRPr="009F6D1E">
              <w:rPr>
                <w:rFonts w:cs="Times New Roman"/>
              </w:rPr>
              <w:t>развитие на енергията от горска биомаса.</w:t>
            </w:r>
          </w:p>
          <w:p w14:paraId="11E3E6E7"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4.1 </w:t>
            </w:r>
            <w:r w:rsidRPr="009F6D1E">
              <w:rPr>
                <w:rFonts w:cs="Times New Roman"/>
              </w:rPr>
              <w:t>Хармонизиране с/актуализиране на европейските политики и законодателство в областта на производството на енергия от горска биомаса</w:t>
            </w:r>
          </w:p>
          <w:p w14:paraId="6F1DF4E5" w14:textId="77777777" w:rsidR="007C7132" w:rsidRPr="009F6D1E" w:rsidRDefault="007C7132" w:rsidP="0084747F">
            <w:pPr>
              <w:spacing w:after="60" w:line="264" w:lineRule="auto"/>
              <w:contextualSpacing/>
              <w:jc w:val="both"/>
              <w:rPr>
                <w:rFonts w:cs="Times New Roman"/>
              </w:rPr>
            </w:pPr>
            <w:r w:rsidRPr="009F6D1E">
              <w:rPr>
                <w:rFonts w:cs="Times New Roman"/>
                <w:b/>
                <w:i/>
              </w:rPr>
              <w:t>Мярка 4.2</w:t>
            </w:r>
            <w:r w:rsidRPr="009F6D1E">
              <w:rPr>
                <w:rFonts w:cs="Times New Roman"/>
              </w:rPr>
              <w:t xml:space="preserve"> Развитие на националната нормативна база.</w:t>
            </w:r>
          </w:p>
          <w:p w14:paraId="6B48F23F"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4.3 </w:t>
            </w:r>
            <w:r w:rsidRPr="009F6D1E">
              <w:rPr>
                <w:rFonts w:cs="Times New Roman"/>
              </w:rPr>
              <w:t>Развитие и прилагане на националните политики и стратегически документи в областта на горското стопанство, дървопреработващата и мебелна промишленост и производството на възобновяема енергия.</w:t>
            </w:r>
          </w:p>
          <w:p w14:paraId="68823ADE" w14:textId="77777777" w:rsidR="007C7132" w:rsidRPr="009F6D1E" w:rsidRDefault="007C7132" w:rsidP="0084747F">
            <w:pPr>
              <w:spacing w:after="60" w:line="264" w:lineRule="auto"/>
              <w:contextualSpacing/>
              <w:jc w:val="both"/>
              <w:rPr>
                <w:rFonts w:cs="Times New Roman"/>
              </w:rPr>
            </w:pPr>
            <w:r w:rsidRPr="009F6D1E">
              <w:rPr>
                <w:rFonts w:cs="Times New Roman"/>
                <w:b/>
              </w:rPr>
              <w:t>Приоритет 5</w:t>
            </w:r>
            <w:r w:rsidRPr="009F6D1E">
              <w:rPr>
                <w:rFonts w:cs="Times New Roman"/>
              </w:rPr>
              <w:t xml:space="preserve"> Развитие на научно-изследователските дейности и обвързването им с</w:t>
            </w:r>
            <w:r w:rsidR="00E62FC3" w:rsidRPr="009F6D1E">
              <w:rPr>
                <w:rFonts w:cs="Times New Roman"/>
              </w:rPr>
              <w:t xml:space="preserve"> </w:t>
            </w:r>
            <w:r w:rsidRPr="009F6D1E">
              <w:rPr>
                <w:rFonts w:cs="Times New Roman"/>
              </w:rPr>
              <w:t>нуждите на производството на енергия от горска биомаса.</w:t>
            </w:r>
          </w:p>
          <w:p w14:paraId="67194AB6" w14:textId="77777777" w:rsidR="007C7132" w:rsidRPr="009F6D1E" w:rsidRDefault="007C7132" w:rsidP="0084747F">
            <w:pPr>
              <w:spacing w:after="60" w:line="264" w:lineRule="auto"/>
              <w:contextualSpacing/>
              <w:jc w:val="both"/>
              <w:rPr>
                <w:rFonts w:cs="Times New Roman"/>
              </w:rPr>
            </w:pPr>
            <w:r w:rsidRPr="009F6D1E">
              <w:rPr>
                <w:rFonts w:cs="Times New Roman"/>
                <w:b/>
                <w:i/>
              </w:rPr>
              <w:t xml:space="preserve">Мярка 5.1 </w:t>
            </w:r>
            <w:r w:rsidRPr="009F6D1E">
              <w:rPr>
                <w:rFonts w:cs="Times New Roman"/>
              </w:rPr>
              <w:t>Изпълнение на научно-приложни дейности, свързани с производството на енергия от горска биомаса.</w:t>
            </w:r>
          </w:p>
          <w:p w14:paraId="50540FD1" w14:textId="77777777" w:rsidR="00E62FC3" w:rsidRPr="009F6D1E" w:rsidRDefault="00E62FC3" w:rsidP="0084747F">
            <w:pPr>
              <w:spacing w:after="60" w:line="264" w:lineRule="auto"/>
              <w:contextualSpacing/>
              <w:jc w:val="both"/>
              <w:rPr>
                <w:rFonts w:cs="Times New Roman"/>
              </w:rPr>
            </w:pPr>
            <w:r w:rsidRPr="009F6D1E">
              <w:rPr>
                <w:rFonts w:cs="Times New Roman"/>
                <w:b/>
                <w:i/>
              </w:rPr>
              <w:t xml:space="preserve">Мярка 5.2 </w:t>
            </w:r>
            <w:r w:rsidRPr="009F6D1E">
              <w:rPr>
                <w:rFonts w:cs="Times New Roman"/>
              </w:rPr>
              <w:t>Повишаване на капацитета за изпълнение на  дейности, свързани с производството на енергия от горска биомаса.</w:t>
            </w:r>
          </w:p>
          <w:p w14:paraId="43EFADC0" w14:textId="77777777" w:rsidR="00E62FC3" w:rsidRPr="009F6D1E" w:rsidRDefault="00E62FC3" w:rsidP="0084747F">
            <w:pPr>
              <w:spacing w:after="60" w:line="264" w:lineRule="auto"/>
              <w:contextualSpacing/>
              <w:jc w:val="both"/>
              <w:rPr>
                <w:rFonts w:cs="Times New Roman"/>
              </w:rPr>
            </w:pPr>
            <w:r w:rsidRPr="009F6D1E">
              <w:rPr>
                <w:rFonts w:cs="Times New Roman"/>
                <w:b/>
              </w:rPr>
              <w:t>Приоритет 6</w:t>
            </w:r>
            <w:r w:rsidRPr="009F6D1E">
              <w:rPr>
                <w:rFonts w:cs="Times New Roman"/>
              </w:rPr>
              <w:t xml:space="preserve"> Осигуряване на информация, публичност и прозрачност чрез прилагане на принципа на партньорство при устойчивото производство на енергия от горска биомаса.</w:t>
            </w:r>
          </w:p>
          <w:p w14:paraId="5CE97D02" w14:textId="77777777" w:rsidR="007C7132" w:rsidRPr="009F6D1E" w:rsidRDefault="00E62FC3" w:rsidP="0084747F">
            <w:pPr>
              <w:spacing w:after="60" w:line="264" w:lineRule="auto"/>
              <w:contextualSpacing/>
              <w:jc w:val="both"/>
              <w:rPr>
                <w:rFonts w:cs="Times New Roman"/>
              </w:rPr>
            </w:pPr>
            <w:r w:rsidRPr="009F6D1E">
              <w:rPr>
                <w:rFonts w:cs="Times New Roman"/>
                <w:b/>
                <w:i/>
              </w:rPr>
              <w:t>Мярка 6.1</w:t>
            </w:r>
            <w:r w:rsidRPr="009F6D1E">
              <w:rPr>
                <w:rFonts w:cs="Times New Roman"/>
              </w:rPr>
              <w:t xml:space="preserve"> Изготвяне, приемане и изпълнение на Комуникационна стратегия на ИАГ.</w:t>
            </w:r>
          </w:p>
          <w:p w14:paraId="046DA2E7" w14:textId="77777777" w:rsidR="007C7132" w:rsidRPr="009F6D1E" w:rsidRDefault="00E62FC3" w:rsidP="0084747F">
            <w:pPr>
              <w:spacing w:after="60" w:line="264" w:lineRule="auto"/>
              <w:contextualSpacing/>
              <w:jc w:val="both"/>
              <w:rPr>
                <w:rFonts w:eastAsia="Times New Roman" w:cs="Times New Roman"/>
                <w:b/>
                <w:bCs/>
                <w:i/>
                <w:iCs/>
                <w:color w:val="262626"/>
              </w:rPr>
            </w:pPr>
            <w:r w:rsidRPr="009F6D1E">
              <w:rPr>
                <w:rFonts w:cs="Times New Roman"/>
                <w:b/>
                <w:i/>
              </w:rPr>
              <w:lastRenderedPageBreak/>
              <w:t xml:space="preserve">Мярка 6.2 </w:t>
            </w:r>
            <w:r w:rsidRPr="009F6D1E">
              <w:rPr>
                <w:rFonts w:cs="Times New Roman"/>
              </w:rPr>
              <w:t>Подобряване и хармонизиране на наличната информация за горите, горското стопанство и горската индустрия.</w:t>
            </w:r>
          </w:p>
        </w:tc>
        <w:tc>
          <w:tcPr>
            <w:tcW w:w="7139" w:type="dxa"/>
          </w:tcPr>
          <w:p w14:paraId="7D0F1DFA" w14:textId="77777777" w:rsidR="00850248" w:rsidRPr="009F6D1E" w:rsidRDefault="00850248" w:rsidP="0084747F">
            <w:pPr>
              <w:spacing w:after="60" w:line="264" w:lineRule="auto"/>
              <w:jc w:val="both"/>
              <w:rPr>
                <w:rFonts w:eastAsia="Times New Roman" w:cs="Times New Roman"/>
              </w:rPr>
            </w:pPr>
            <w:r w:rsidRPr="009F6D1E">
              <w:rPr>
                <w:rFonts w:eastAsia="Times New Roman" w:cs="Times New Roman"/>
              </w:rPr>
              <w:lastRenderedPageBreak/>
              <w:t>Пряко принос за постигането на приоритетите на Националния план има</w:t>
            </w:r>
            <w:r w:rsidR="0007009A" w:rsidRPr="009F6D1E">
              <w:rPr>
                <w:rFonts w:eastAsia="Times New Roman" w:cs="Times New Roman"/>
              </w:rPr>
              <w:t xml:space="preserve">т хоризонталната цел на </w:t>
            </w:r>
            <w:r w:rsidR="00CD4045" w:rsidRPr="009F6D1E">
              <w:rPr>
                <w:rFonts w:eastAsia="Times New Roman" w:cs="Times New Roman"/>
              </w:rPr>
              <w:t>СПРЗСР</w:t>
            </w:r>
            <w:r w:rsidR="0007009A" w:rsidRPr="009F6D1E">
              <w:rPr>
                <w:rFonts w:eastAsia="Times New Roman" w:cs="Times New Roman"/>
              </w:rPr>
              <w:t xml:space="preserve"> и потребностите към нея, и</w:t>
            </w:r>
            <w:r w:rsidRPr="009F6D1E">
              <w:rPr>
                <w:rFonts w:eastAsia="Times New Roman" w:cs="Times New Roman"/>
              </w:rPr>
              <w:t>:</w:t>
            </w:r>
          </w:p>
          <w:p w14:paraId="47FE0A83" w14:textId="77777777" w:rsidR="00507E5E" w:rsidRPr="009F6D1E" w:rsidRDefault="00850248" w:rsidP="0084747F">
            <w:pPr>
              <w:spacing w:after="60" w:line="264" w:lineRule="auto"/>
              <w:jc w:val="both"/>
              <w:rPr>
                <w:rFonts w:eastAsia="Times New Roman" w:cs="Times New Roman"/>
              </w:rPr>
            </w:pPr>
            <w:r w:rsidRPr="009F6D1E">
              <w:rPr>
                <w:rFonts w:eastAsia="Times New Roman" w:cs="Times New Roman"/>
                <w:i/>
                <w:iCs/>
              </w:rPr>
              <w:lastRenderedPageBreak/>
              <w:t>Стратегическа цел №4, Потребност</w:t>
            </w:r>
            <w:r w:rsidRPr="009F6D1E">
              <w:rPr>
                <w:rFonts w:eastAsia="Times New Roman" w:cs="Times New Roman"/>
              </w:rPr>
              <w:t xml:space="preserve"> </w:t>
            </w:r>
            <w:r w:rsidR="001F1D83" w:rsidRPr="009F6D1E">
              <w:rPr>
                <w:rFonts w:eastAsia="Times New Roman" w:cs="Times New Roman"/>
                <w:i/>
                <w:iCs/>
              </w:rPr>
              <w:t>П.4.3.Производство на енергия от възобновяеми източници от селското стопанство</w:t>
            </w:r>
            <w:r w:rsidR="00507E5E" w:rsidRPr="009F6D1E">
              <w:rPr>
                <w:rFonts w:eastAsia="Times New Roman" w:cs="Times New Roman"/>
                <w:i/>
                <w:iCs/>
              </w:rPr>
              <w:t xml:space="preserve">, включваща </w:t>
            </w:r>
            <w:r w:rsidR="00507E5E" w:rsidRPr="009F6D1E">
              <w:rPr>
                <w:rFonts w:eastAsia="Times New Roman" w:cs="Times New Roman"/>
              </w:rPr>
              <w:t>Интервенция, която ще бъде насочена и към дейности свързани с подобряване на енергийната ефективност на земеделските стопанства.</w:t>
            </w:r>
          </w:p>
          <w:p w14:paraId="77E625D1" w14:textId="77777777" w:rsidR="001F1D83" w:rsidRPr="009F6D1E" w:rsidRDefault="00507E5E" w:rsidP="0084747F">
            <w:pPr>
              <w:spacing w:after="60" w:line="264" w:lineRule="auto"/>
              <w:jc w:val="both"/>
              <w:rPr>
                <w:rFonts w:eastAsia="Times New Roman" w:cs="Times New Roman"/>
                <w:i/>
                <w:iCs/>
              </w:rPr>
            </w:pPr>
            <w:r w:rsidRPr="009F6D1E">
              <w:rPr>
                <w:rFonts w:eastAsia="Times New Roman" w:cs="Times New Roman"/>
                <w:i/>
                <w:iCs/>
              </w:rPr>
              <w:t>Потребност</w:t>
            </w:r>
            <w:r w:rsidRPr="009F6D1E">
              <w:rPr>
                <w:rFonts w:eastAsia="Times New Roman" w:cs="Times New Roman"/>
              </w:rPr>
              <w:t xml:space="preserve"> </w:t>
            </w:r>
            <w:r w:rsidR="001F1D83" w:rsidRPr="009F6D1E">
              <w:rPr>
                <w:rFonts w:eastAsia="Times New Roman" w:cs="Times New Roman"/>
                <w:i/>
                <w:iCs/>
              </w:rPr>
              <w:t>П.4.6. Увеличаване на производството на биомаса с животински произход</w:t>
            </w:r>
          </w:p>
          <w:p w14:paraId="5345C826" w14:textId="77777777" w:rsidR="00850248" w:rsidRPr="009F6D1E" w:rsidRDefault="00471980" w:rsidP="0084747F">
            <w:pPr>
              <w:spacing w:after="60" w:line="264" w:lineRule="auto"/>
              <w:jc w:val="both"/>
              <w:rPr>
                <w:rFonts w:eastAsia="Times New Roman" w:cs="Times New Roman"/>
                <w:i/>
                <w:iCs/>
              </w:rPr>
            </w:pPr>
            <w:r w:rsidRPr="009F6D1E">
              <w:rPr>
                <w:rFonts w:eastAsia="Times New Roman" w:cs="Times New Roman"/>
                <w:i/>
                <w:iCs/>
              </w:rPr>
              <w:t xml:space="preserve">Потребност </w:t>
            </w:r>
            <w:r w:rsidR="00850248" w:rsidRPr="009F6D1E">
              <w:rPr>
                <w:rFonts w:eastAsia="Times New Roman" w:cs="Times New Roman"/>
                <w:i/>
                <w:iCs/>
              </w:rPr>
              <w:t>П.4.8. Устойчиво управление на горските територии, запасите от дървесина и въглерод в горската биомаса</w:t>
            </w:r>
          </w:p>
          <w:p w14:paraId="371C3225" w14:textId="77777777" w:rsidR="00850248" w:rsidRPr="009F6D1E" w:rsidRDefault="00C51581" w:rsidP="0084747F">
            <w:pPr>
              <w:spacing w:after="60" w:line="264" w:lineRule="auto"/>
              <w:jc w:val="both"/>
              <w:rPr>
                <w:rFonts w:eastAsia="Times New Roman" w:cs="Times New Roman"/>
              </w:rPr>
            </w:pPr>
            <w:r w:rsidRPr="009F6D1E">
              <w:rPr>
                <w:rFonts w:eastAsia="Times New Roman" w:cs="Times New Roman"/>
              </w:rPr>
              <w:t>В</w:t>
            </w:r>
            <w:r w:rsidR="00850248" w:rsidRPr="009F6D1E">
              <w:rPr>
                <w:rFonts w:eastAsia="Times New Roman" w:cs="Times New Roman"/>
              </w:rPr>
              <w:t xml:space="preserve"> рамките на интервенции „Инвестиции в земеделските стопанства“ – чл. 73 и „Инвестиции за преработка на селскостопански продукти“ – член 73, могат да се насърчат дейностите, свързани с оползотворяване в рамките на стопанствата и предприятията на остатъчната биомаса, получена в резултат на производствените процеси. Предвижда се включването на интервенция „Първична преработка и маркетинг на дървесина“, съгл. чл. 73 (ЕЗФРСР). Добиването и преработката на биомаса от горското стопанство дават възможност за диверсификация на приходите, работни места и бизнес възможности, както и за предоставяне на нови услуги в селските райони. Тази интервенция ще подпомогне реализация на някои дървесни </w:t>
            </w:r>
            <w:proofErr w:type="spellStart"/>
            <w:r w:rsidR="00850248" w:rsidRPr="009F6D1E">
              <w:rPr>
                <w:rFonts w:eastAsia="Times New Roman" w:cs="Times New Roman"/>
              </w:rPr>
              <w:t>сортименти</w:t>
            </w:r>
            <w:proofErr w:type="spellEnd"/>
            <w:r w:rsidR="00850248" w:rsidRPr="009F6D1E">
              <w:rPr>
                <w:rFonts w:eastAsia="Times New Roman" w:cs="Times New Roman"/>
              </w:rPr>
              <w:t xml:space="preserve">, които </w:t>
            </w:r>
            <w:r w:rsidR="00850248" w:rsidRPr="009F6D1E">
              <w:rPr>
                <w:rFonts w:eastAsia="Times New Roman" w:cs="Times New Roman"/>
              </w:rPr>
              <w:lastRenderedPageBreak/>
              <w:t xml:space="preserve">имат трудна или нямат никаква реализация на пазара. Предвижда също и използване за суровина на дървесни отпадъци и/или остатъци при производството на дървесен талаш, дървесно брашно, технологични трески, дървесни </w:t>
            </w:r>
            <w:proofErr w:type="spellStart"/>
            <w:r w:rsidR="00850248" w:rsidRPr="009F6D1E">
              <w:rPr>
                <w:rFonts w:eastAsia="Times New Roman" w:cs="Times New Roman"/>
              </w:rPr>
              <w:t>пелети</w:t>
            </w:r>
            <w:proofErr w:type="spellEnd"/>
            <w:r w:rsidR="00850248" w:rsidRPr="009F6D1E">
              <w:rPr>
                <w:rFonts w:eastAsia="Times New Roman" w:cs="Times New Roman"/>
              </w:rPr>
              <w:t xml:space="preserve">, </w:t>
            </w:r>
            <w:proofErr w:type="spellStart"/>
            <w:r w:rsidR="00850248" w:rsidRPr="009F6D1E">
              <w:rPr>
                <w:rFonts w:eastAsia="Times New Roman" w:cs="Times New Roman"/>
              </w:rPr>
              <w:t>бриклети</w:t>
            </w:r>
            <w:proofErr w:type="spellEnd"/>
            <w:r w:rsidR="00850248" w:rsidRPr="009F6D1E">
              <w:rPr>
                <w:rFonts w:eastAsia="Times New Roman" w:cs="Times New Roman"/>
              </w:rPr>
              <w:t xml:space="preserve"> и брикети. Това подпомагане ще се отрази индиректно върху устойчивото управление на горите, като повиши стойностите на произвежданата от тях продукция. Подкрепената интервенция ще допринесе до очакваните от кръговата икономика ефекти: -подобрена ресурсна обезпеченост и намалена зависимост от вноса, вследствие потребление на относително нови ресурси от горите; -икономически придобивки: нови ниши за растеж и иновации, реализирани вследствие на по-ефективното и ефикасно ползване на ресурсите от горите; -социални ползи – създаване на нови работни места чрез диверсификация на икономическите дейности в селските.</w:t>
            </w:r>
          </w:p>
          <w:p w14:paraId="4FBC9533" w14:textId="77777777" w:rsidR="001F1D83" w:rsidRPr="009F6D1E" w:rsidRDefault="00850248" w:rsidP="0084747F">
            <w:pPr>
              <w:spacing w:after="60" w:line="264" w:lineRule="auto"/>
              <w:jc w:val="both"/>
              <w:rPr>
                <w:rFonts w:eastAsia="Times New Roman" w:cs="Times New Roman"/>
              </w:rPr>
            </w:pPr>
            <w:r w:rsidRPr="009F6D1E">
              <w:rPr>
                <w:rFonts w:eastAsia="Times New Roman" w:cs="Times New Roman"/>
              </w:rPr>
              <w:t xml:space="preserve">По отношение на биоикономиката, </w:t>
            </w:r>
            <w:r w:rsidR="007A4E2A" w:rsidRPr="009F6D1E">
              <w:rPr>
                <w:rFonts w:eastAsia="Times New Roman" w:cs="Times New Roman"/>
              </w:rPr>
              <w:t xml:space="preserve">е предвидена </w:t>
            </w:r>
            <w:r w:rsidRPr="009F6D1E">
              <w:rPr>
                <w:rFonts w:eastAsia="Times New Roman" w:cs="Times New Roman"/>
              </w:rPr>
              <w:t>интервенция цел</w:t>
            </w:r>
            <w:r w:rsidR="007A4E2A" w:rsidRPr="009F6D1E">
              <w:rPr>
                <w:rFonts w:eastAsia="Times New Roman" w:cs="Times New Roman"/>
              </w:rPr>
              <w:t>яща</w:t>
            </w:r>
            <w:r w:rsidRPr="009F6D1E">
              <w:rPr>
                <w:rFonts w:eastAsia="Times New Roman" w:cs="Times New Roman"/>
              </w:rPr>
              <w:t xml:space="preserve"> реализиране на визията на страните от Централна и Източна Европа за 2030 г., като използват своя потенциал и възможности за: -кръгова („нулеви отпадъци―) обработка на наличната биомаса, за развитието на нови вериги от стойности на биологична основа, чрез използване за суровина на дървесни отпадъци и/или остатъци; -жизнеспособни селски райони: за разработване на иновативен, </w:t>
            </w:r>
            <w:r w:rsidRPr="009F6D1E">
              <w:rPr>
                <w:rFonts w:eastAsia="Times New Roman" w:cs="Times New Roman"/>
              </w:rPr>
              <w:lastRenderedPageBreak/>
              <w:t>приобщаващ, климатичен модел на растеж, чрез създаване на нови ниши за растеж и иновации, реализирани вследствие на по-ефективното и ефикасно ползване на ресурсите от горите</w:t>
            </w:r>
            <w:r w:rsidR="007A4E2A" w:rsidRPr="009F6D1E">
              <w:rPr>
                <w:rFonts w:eastAsia="Times New Roman" w:cs="Times New Roman"/>
              </w:rPr>
              <w:t>.</w:t>
            </w:r>
            <w:r w:rsidR="00500AA6" w:rsidRPr="009F6D1E">
              <w:rPr>
                <w:rFonts w:eastAsia="Times New Roman" w:cs="Times New Roman"/>
              </w:rPr>
              <w:t xml:space="preserve"> </w:t>
            </w:r>
            <w:r w:rsidR="00500AA6" w:rsidRPr="009F6D1E">
              <w:rPr>
                <w:rFonts w:eastAsia="Times New Roman" w:cs="Times New Roman"/>
                <w:i/>
                <w:iCs/>
              </w:rPr>
              <w:t xml:space="preserve">Специфична цел №9, Потребност П.9.1.Насърчаване и подпомагане на биологичното земеделие, както и на научните изследвания в тази посока </w:t>
            </w:r>
            <w:r w:rsidR="00500AA6" w:rsidRPr="009F6D1E">
              <w:rPr>
                <w:rFonts w:eastAsia="Times New Roman" w:cs="Times New Roman"/>
              </w:rPr>
              <w:t>и интервенциите към нея</w:t>
            </w:r>
          </w:p>
          <w:p w14:paraId="10B4A49D" w14:textId="77777777" w:rsidR="00500AA6" w:rsidRPr="009F6D1E" w:rsidRDefault="001F1D83" w:rsidP="0084747F">
            <w:pPr>
              <w:spacing w:after="60" w:line="264" w:lineRule="auto"/>
              <w:jc w:val="both"/>
              <w:rPr>
                <w:rFonts w:eastAsia="Times New Roman" w:cs="Times New Roman"/>
              </w:rPr>
            </w:pPr>
            <w:r w:rsidRPr="009F6D1E">
              <w:rPr>
                <w:rFonts w:eastAsia="Times New Roman" w:cs="Times New Roman"/>
              </w:rPr>
              <w:t>Косвен принос</w:t>
            </w:r>
            <w:r w:rsidR="00500AA6" w:rsidRPr="009F6D1E">
              <w:rPr>
                <w:rFonts w:eastAsia="Times New Roman" w:cs="Times New Roman"/>
              </w:rPr>
              <w:t xml:space="preserve"> има </w:t>
            </w:r>
            <w:r w:rsidR="00500AA6" w:rsidRPr="009F6D1E">
              <w:rPr>
                <w:rFonts w:eastAsia="Times New Roman" w:cs="Times New Roman"/>
                <w:i/>
                <w:iCs/>
              </w:rPr>
              <w:t xml:space="preserve">Потребност </w:t>
            </w:r>
            <w:r w:rsidR="00500AA6" w:rsidRPr="009F6D1E">
              <w:rPr>
                <w:rFonts w:cs="Times New Roman"/>
                <w:i/>
                <w:iCs/>
                <w:lang w:bidi="bg-BG"/>
              </w:rPr>
              <w:t xml:space="preserve">П.4.9. Устойчиво управление на горите, включително увеличаване на залесените площи в страната, опазване на горските местообитания, биоразнообразието и екосистемните услуги от горите. </w:t>
            </w:r>
            <w:r w:rsidRPr="009F6D1E">
              <w:rPr>
                <w:rFonts w:eastAsia="Times New Roman" w:cs="Times New Roman"/>
              </w:rPr>
              <w:t>Освен намаляването на преките загуби от опожаряването на горските територии, превенцията от горски пожари ще предотврати излъчването на вредни емисии (въглероден двуокис, фини прахови частици и др.) в атмосферата. Ще се предотврати загубата на растителна биомаса, свързана със загуба на екологични ниши, биоразнообразие и унищожаване на хумусния слой на почвите.</w:t>
            </w:r>
          </w:p>
        </w:tc>
      </w:tr>
      <w:tr w:rsidR="00F81732" w:rsidRPr="009F6D1E" w14:paraId="41386875" w14:textId="77777777" w:rsidTr="00AB2292">
        <w:tc>
          <w:tcPr>
            <w:tcW w:w="7139" w:type="dxa"/>
          </w:tcPr>
          <w:p w14:paraId="31B10807" w14:textId="77777777" w:rsidR="00F81732" w:rsidRPr="009F6D1E" w:rsidRDefault="00F81732"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lastRenderedPageBreak/>
              <w:t>Стратегия за цифровизация на земеделието и селските райони на Република България, приета с Решение № 247 на Министерския съвет от 02.05.2019 г.</w:t>
            </w:r>
          </w:p>
          <w:p w14:paraId="6F8DB6B4" w14:textId="77777777" w:rsidR="00F81732" w:rsidRPr="009F6D1E" w:rsidRDefault="00F81732" w:rsidP="0084747F">
            <w:pPr>
              <w:spacing w:after="60" w:line="264" w:lineRule="auto"/>
              <w:contextualSpacing/>
              <w:jc w:val="both"/>
              <w:rPr>
                <w:rFonts w:cs="Times New Roman"/>
              </w:rPr>
            </w:pPr>
            <w:r w:rsidRPr="009F6D1E">
              <w:rPr>
                <w:rFonts w:cs="Times New Roman"/>
                <w:b/>
                <w:i/>
              </w:rPr>
              <w:t>Основната цел</w:t>
            </w:r>
            <w:r w:rsidRPr="009F6D1E">
              <w:rPr>
                <w:rFonts w:cs="Times New Roman"/>
              </w:rPr>
              <w:t xml:space="preserve"> на цифровизирането на българското селско стопанство и свързаният с него земеделски бизнес е да го превърне </w:t>
            </w:r>
            <w:r w:rsidRPr="009F6D1E">
              <w:rPr>
                <w:rFonts w:cs="Times New Roman"/>
              </w:rPr>
              <w:lastRenderedPageBreak/>
              <w:t>във високо технологична, устойчива, високо продуктивна и атрактивна сфера от световната икономика, която не само подобрява условията на живот на земеделските стопани, но и на селските райони като цяло.</w:t>
            </w:r>
          </w:p>
          <w:p w14:paraId="2AA70024" w14:textId="77777777" w:rsidR="00F81732" w:rsidRPr="009F6D1E" w:rsidRDefault="00F81732" w:rsidP="0084747F">
            <w:pPr>
              <w:spacing w:after="60" w:line="264" w:lineRule="auto"/>
              <w:contextualSpacing/>
              <w:jc w:val="both"/>
              <w:rPr>
                <w:rFonts w:cs="Times New Roman"/>
                <w:b/>
                <w:i/>
              </w:rPr>
            </w:pPr>
            <w:r w:rsidRPr="009F6D1E">
              <w:rPr>
                <w:rFonts w:cs="Times New Roman"/>
                <w:b/>
                <w:i/>
              </w:rPr>
              <w:t>Стратегически цели на цифровизацията</w:t>
            </w:r>
          </w:p>
          <w:p w14:paraId="63BD3C85" w14:textId="77777777" w:rsidR="00F81732" w:rsidRPr="009F6D1E" w:rsidRDefault="00F81732" w:rsidP="0084747F">
            <w:pPr>
              <w:spacing w:after="60" w:line="264" w:lineRule="auto"/>
              <w:contextualSpacing/>
              <w:jc w:val="both"/>
              <w:rPr>
                <w:rFonts w:cs="Times New Roman"/>
              </w:rPr>
            </w:pPr>
            <w:r w:rsidRPr="009F6D1E">
              <w:rPr>
                <w:rFonts w:cs="Times New Roman"/>
              </w:rPr>
              <w:t>1. Повишаване на продуктивността и устойчивостта на земеделското производство;</w:t>
            </w:r>
          </w:p>
          <w:p w14:paraId="6DC7932E" w14:textId="77777777" w:rsidR="00F81732" w:rsidRPr="009F6D1E" w:rsidRDefault="00F81732" w:rsidP="0084747F">
            <w:pPr>
              <w:spacing w:after="60" w:line="264" w:lineRule="auto"/>
              <w:contextualSpacing/>
              <w:jc w:val="both"/>
              <w:rPr>
                <w:rFonts w:cs="Times New Roman"/>
              </w:rPr>
            </w:pPr>
            <w:r w:rsidRPr="009F6D1E">
              <w:rPr>
                <w:rFonts w:cs="Times New Roman"/>
              </w:rPr>
              <w:t>2. Подобряване на здравето на хората чрез производството на качествена храна;</w:t>
            </w:r>
          </w:p>
          <w:p w14:paraId="1C6635E3" w14:textId="77777777" w:rsidR="00F81732" w:rsidRPr="009F6D1E" w:rsidRDefault="00F81732" w:rsidP="0084747F">
            <w:pPr>
              <w:spacing w:after="60" w:line="264" w:lineRule="auto"/>
              <w:contextualSpacing/>
              <w:jc w:val="both"/>
              <w:rPr>
                <w:rFonts w:cs="Times New Roman"/>
              </w:rPr>
            </w:pPr>
            <w:r w:rsidRPr="009F6D1E">
              <w:rPr>
                <w:rFonts w:cs="Times New Roman"/>
              </w:rPr>
              <w:t>3. Опазване на околната среда и справяне с предизвикателствата с изменението на климата;</w:t>
            </w:r>
          </w:p>
          <w:p w14:paraId="182E07C7" w14:textId="77777777" w:rsidR="00F81732" w:rsidRPr="009F6D1E" w:rsidRDefault="00F81732" w:rsidP="0084747F">
            <w:pPr>
              <w:spacing w:after="60" w:line="264" w:lineRule="auto"/>
              <w:contextualSpacing/>
              <w:jc w:val="both"/>
              <w:rPr>
                <w:rFonts w:cs="Times New Roman"/>
              </w:rPr>
            </w:pPr>
            <w:r w:rsidRPr="009F6D1E">
              <w:rPr>
                <w:rFonts w:cs="Times New Roman"/>
              </w:rPr>
              <w:t xml:space="preserve">4. Увеличаване/разширяване на присъствието на българските продукти на Единния европейски пазар и на световните пазари; </w:t>
            </w:r>
          </w:p>
          <w:p w14:paraId="38ED2D9E" w14:textId="77777777" w:rsidR="00F81732" w:rsidRPr="009F6D1E" w:rsidRDefault="00F81732" w:rsidP="0084747F">
            <w:pPr>
              <w:spacing w:after="60" w:line="264" w:lineRule="auto"/>
              <w:contextualSpacing/>
              <w:jc w:val="both"/>
              <w:rPr>
                <w:rFonts w:eastAsia="Times New Roman" w:cs="Times New Roman"/>
                <w:b/>
                <w:bCs/>
                <w:i/>
                <w:iCs/>
                <w:color w:val="262626"/>
              </w:rPr>
            </w:pPr>
            <w:r w:rsidRPr="009F6D1E">
              <w:rPr>
                <w:rFonts w:cs="Times New Roman"/>
              </w:rPr>
              <w:t>5. Стимулиране на интереса и привличане на младите да развиват земеделие.</w:t>
            </w:r>
          </w:p>
        </w:tc>
        <w:tc>
          <w:tcPr>
            <w:tcW w:w="7139" w:type="dxa"/>
          </w:tcPr>
          <w:p w14:paraId="7DFBD572" w14:textId="77777777" w:rsidR="00F81732" w:rsidRPr="009F6D1E" w:rsidRDefault="00CD4045" w:rsidP="0084747F">
            <w:pPr>
              <w:spacing w:after="60" w:line="264" w:lineRule="auto"/>
              <w:jc w:val="both"/>
              <w:rPr>
                <w:rFonts w:eastAsia="Times New Roman" w:cs="Times New Roman"/>
              </w:rPr>
            </w:pPr>
            <w:r w:rsidRPr="009F6D1E">
              <w:rPr>
                <w:rFonts w:eastAsia="Times New Roman" w:cs="Times New Roman"/>
              </w:rPr>
              <w:lastRenderedPageBreak/>
              <w:t>СПРЗСР</w:t>
            </w:r>
            <w:r w:rsidR="00F81732" w:rsidRPr="009F6D1E">
              <w:rPr>
                <w:rFonts w:eastAsia="Times New Roman" w:cs="Times New Roman"/>
              </w:rPr>
              <w:t xml:space="preserve"> взема предвид така дефинираните цели на Стратегия за цифровизация на земеделието и селските райони</w:t>
            </w:r>
          </w:p>
        </w:tc>
      </w:tr>
      <w:tr w:rsidR="00F81732" w:rsidRPr="009F6D1E" w14:paraId="640B6581" w14:textId="77777777" w:rsidTr="00AB2292">
        <w:tc>
          <w:tcPr>
            <w:tcW w:w="7139" w:type="dxa"/>
          </w:tcPr>
          <w:p w14:paraId="2C0C15AA" w14:textId="77777777" w:rsidR="00F81732" w:rsidRPr="009F6D1E" w:rsidRDefault="00F81732"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t>Актуализиран национален план за широколентова инфраструктура за достъп от следващо поколение, 2020г.</w:t>
            </w:r>
          </w:p>
          <w:p w14:paraId="66A7E755" w14:textId="77777777" w:rsidR="00F81732" w:rsidRPr="009F6D1E" w:rsidRDefault="00F81732" w:rsidP="0084747F">
            <w:pPr>
              <w:spacing w:after="60" w:line="264" w:lineRule="auto"/>
              <w:contextualSpacing/>
              <w:jc w:val="both"/>
              <w:rPr>
                <w:rFonts w:eastAsia="Calibri" w:cs="Times New Roman"/>
                <w:b/>
                <w:bCs/>
                <w:i/>
                <w:iCs/>
              </w:rPr>
            </w:pPr>
            <w:r w:rsidRPr="009F6D1E">
              <w:rPr>
                <w:rFonts w:eastAsia="Calibri" w:cs="Times New Roman"/>
                <w:b/>
                <w:bCs/>
                <w:i/>
                <w:iCs/>
              </w:rPr>
              <w:t>Национални цели и приоритети до 2030:</w:t>
            </w:r>
          </w:p>
          <w:p w14:paraId="52629A25" w14:textId="77777777" w:rsidR="00F81732" w:rsidRPr="009F6D1E" w:rsidRDefault="00F81732" w:rsidP="0084747F">
            <w:pPr>
              <w:spacing w:after="60" w:line="264" w:lineRule="auto"/>
              <w:contextualSpacing/>
              <w:jc w:val="both"/>
              <w:rPr>
                <w:rFonts w:eastAsia="Calibri" w:cs="Times New Roman"/>
                <w:bCs/>
                <w:iCs/>
              </w:rPr>
            </w:pPr>
            <w:r w:rsidRPr="009F6D1E">
              <w:rPr>
                <w:rFonts w:eastAsia="Calibri" w:cs="Times New Roman"/>
                <w:bCs/>
                <w:iCs/>
              </w:rPr>
              <w:t xml:space="preserve">До 2030 г. България трябва да бъде снабдена със симетрични </w:t>
            </w:r>
            <w:proofErr w:type="spellStart"/>
            <w:r w:rsidRPr="009F6D1E">
              <w:rPr>
                <w:rFonts w:eastAsia="Calibri" w:cs="Times New Roman"/>
                <w:bCs/>
                <w:iCs/>
              </w:rPr>
              <w:t>гигабитови</w:t>
            </w:r>
            <w:proofErr w:type="spellEnd"/>
            <w:r w:rsidRPr="009F6D1E">
              <w:rPr>
                <w:rFonts w:eastAsia="Calibri" w:cs="Times New Roman"/>
                <w:bCs/>
                <w:iCs/>
              </w:rPr>
              <w:t xml:space="preserve"> мрежи за достъп в цялата страна. Устойчивата оптична мрежа, комбинирана с универсално достъпна мобилна мрежа, ще позволи на всеки гражданин, всеки бизнес и всяка публична </w:t>
            </w:r>
            <w:r w:rsidRPr="009F6D1E">
              <w:rPr>
                <w:rFonts w:eastAsia="Calibri" w:cs="Times New Roman"/>
                <w:bCs/>
                <w:iCs/>
              </w:rPr>
              <w:lastRenderedPageBreak/>
              <w:t xml:space="preserve">институция да използва възможностите за цифровизация при равни условия в цялата страна. </w:t>
            </w:r>
          </w:p>
          <w:p w14:paraId="2BC0575B" w14:textId="77777777" w:rsidR="00F81732" w:rsidRPr="009F6D1E" w:rsidRDefault="00F81732" w:rsidP="0084747F">
            <w:pPr>
              <w:spacing w:after="60" w:line="264" w:lineRule="auto"/>
              <w:contextualSpacing/>
              <w:jc w:val="both"/>
              <w:rPr>
                <w:rFonts w:eastAsia="Calibri" w:cs="Times New Roman"/>
                <w:b/>
                <w:bCs/>
                <w:i/>
                <w:iCs/>
              </w:rPr>
            </w:pPr>
            <w:r w:rsidRPr="009F6D1E">
              <w:rPr>
                <w:rFonts w:eastAsia="Calibri" w:cs="Times New Roman"/>
                <w:b/>
                <w:bCs/>
                <w:i/>
                <w:iCs/>
              </w:rPr>
              <w:t>Приоритетни области:</w:t>
            </w:r>
          </w:p>
          <w:p w14:paraId="0CE416B4" w14:textId="77777777" w:rsidR="00F81732" w:rsidRPr="009F6D1E" w:rsidRDefault="00F81732">
            <w:pPr>
              <w:pStyle w:val="ListParagraph"/>
              <w:numPr>
                <w:ilvl w:val="0"/>
                <w:numId w:val="78"/>
              </w:numPr>
              <w:spacing w:after="60" w:line="264" w:lineRule="auto"/>
              <w:ind w:left="306"/>
              <w:jc w:val="both"/>
              <w:rPr>
                <w:rFonts w:eastAsia="Calibri"/>
                <w:bCs/>
                <w:iCs/>
                <w:sz w:val="22"/>
                <w:szCs w:val="22"/>
                <w:lang w:val="bg-BG"/>
              </w:rPr>
            </w:pPr>
            <w:r w:rsidRPr="009F6D1E">
              <w:rPr>
                <w:rFonts w:eastAsia="Calibri"/>
                <w:bCs/>
                <w:iCs/>
                <w:sz w:val="22"/>
                <w:szCs w:val="22"/>
                <w:lang w:val="bg-BG"/>
              </w:rPr>
              <w:t>Широколентова инфраструктура – ускорено изграждане на широколентова инфраструктура, вкл. за нуждите на държавната администрация</w:t>
            </w:r>
          </w:p>
          <w:p w14:paraId="2547A64C" w14:textId="77777777" w:rsidR="00F81732" w:rsidRPr="009F6D1E" w:rsidRDefault="00F81732">
            <w:pPr>
              <w:pStyle w:val="ListParagraph"/>
              <w:numPr>
                <w:ilvl w:val="0"/>
                <w:numId w:val="78"/>
              </w:numPr>
              <w:spacing w:after="60" w:line="264" w:lineRule="auto"/>
              <w:ind w:left="306"/>
              <w:jc w:val="both"/>
              <w:rPr>
                <w:rFonts w:eastAsia="Calibri"/>
                <w:bCs/>
                <w:iCs/>
                <w:sz w:val="22"/>
                <w:szCs w:val="22"/>
                <w:lang w:val="bg-BG"/>
              </w:rPr>
            </w:pPr>
            <w:r w:rsidRPr="009F6D1E">
              <w:rPr>
                <w:rFonts w:eastAsia="Calibri"/>
                <w:bCs/>
                <w:iCs/>
                <w:sz w:val="22"/>
                <w:szCs w:val="22"/>
                <w:lang w:val="bg-BG"/>
              </w:rPr>
              <w:t>Свръхвисокоскоростна инфраструктура – създаване на условия за разгръщане на мрежи с много голям капацитет</w:t>
            </w:r>
          </w:p>
          <w:p w14:paraId="48C38035" w14:textId="77777777" w:rsidR="00F81732" w:rsidRPr="009F6D1E" w:rsidRDefault="00F81732">
            <w:pPr>
              <w:pStyle w:val="ListParagraph"/>
              <w:numPr>
                <w:ilvl w:val="0"/>
                <w:numId w:val="78"/>
              </w:numPr>
              <w:spacing w:after="60" w:line="264" w:lineRule="auto"/>
              <w:ind w:left="306"/>
              <w:jc w:val="both"/>
              <w:rPr>
                <w:rFonts w:eastAsia="Calibri"/>
                <w:bCs/>
                <w:iCs/>
                <w:sz w:val="22"/>
                <w:szCs w:val="22"/>
                <w:lang w:val="bg-BG"/>
              </w:rPr>
            </w:pPr>
            <w:r w:rsidRPr="009F6D1E">
              <w:rPr>
                <w:rFonts w:eastAsia="Calibri"/>
                <w:bCs/>
                <w:iCs/>
                <w:sz w:val="22"/>
                <w:szCs w:val="22"/>
                <w:lang w:val="bg-BG"/>
              </w:rPr>
              <w:t>Ефективно използване на радиочестотния спектър – създаване на условия за изграждане на мрежи от ново поколение</w:t>
            </w:r>
          </w:p>
          <w:p w14:paraId="0F1A5FDA" w14:textId="77777777" w:rsidR="00F81732" w:rsidRPr="009F6D1E" w:rsidRDefault="00F81732">
            <w:pPr>
              <w:pStyle w:val="ListParagraph"/>
              <w:numPr>
                <w:ilvl w:val="0"/>
                <w:numId w:val="78"/>
              </w:numPr>
              <w:spacing w:after="60" w:line="264" w:lineRule="auto"/>
              <w:ind w:left="306"/>
              <w:jc w:val="both"/>
              <w:rPr>
                <w:rFonts w:eastAsia="Calibri"/>
                <w:bCs/>
                <w:iCs/>
                <w:sz w:val="22"/>
                <w:szCs w:val="22"/>
                <w:lang w:val="bg-BG"/>
              </w:rPr>
            </w:pPr>
            <w:r w:rsidRPr="009F6D1E">
              <w:rPr>
                <w:rFonts w:eastAsia="Calibri"/>
                <w:bCs/>
                <w:iCs/>
                <w:sz w:val="22"/>
                <w:szCs w:val="22"/>
                <w:lang w:val="bg-BG"/>
              </w:rPr>
              <w:t>Подобряване на покритието в населени места, разположени в периферни, слабо населени и селски райони</w:t>
            </w:r>
          </w:p>
          <w:p w14:paraId="01DBE592" w14:textId="77777777" w:rsidR="00F81732" w:rsidRPr="009F6D1E" w:rsidRDefault="00F81732">
            <w:pPr>
              <w:pStyle w:val="ListParagraph"/>
              <w:numPr>
                <w:ilvl w:val="0"/>
                <w:numId w:val="78"/>
              </w:numPr>
              <w:spacing w:after="60" w:line="264" w:lineRule="auto"/>
              <w:ind w:left="306"/>
              <w:jc w:val="both"/>
              <w:rPr>
                <w:rFonts w:eastAsia="Calibri"/>
                <w:bCs/>
                <w:iCs/>
                <w:sz w:val="22"/>
                <w:szCs w:val="22"/>
                <w:lang w:val="bg-BG"/>
              </w:rPr>
            </w:pPr>
            <w:r w:rsidRPr="009F6D1E">
              <w:rPr>
                <w:rFonts w:eastAsia="Calibri"/>
                <w:bCs/>
                <w:iCs/>
                <w:sz w:val="22"/>
                <w:szCs w:val="22"/>
                <w:lang w:val="bg-BG"/>
              </w:rPr>
              <w:t>Преодоляване на цифровото разделение</w:t>
            </w:r>
          </w:p>
          <w:p w14:paraId="6C02CE6E" w14:textId="77777777" w:rsidR="00F81732" w:rsidRPr="009F6D1E" w:rsidRDefault="00F81732">
            <w:pPr>
              <w:pStyle w:val="ListParagraph"/>
              <w:numPr>
                <w:ilvl w:val="0"/>
                <w:numId w:val="78"/>
              </w:numPr>
              <w:spacing w:after="60" w:line="264" w:lineRule="auto"/>
              <w:ind w:left="306"/>
              <w:jc w:val="both"/>
              <w:rPr>
                <w:rFonts w:eastAsia="Times New Roman"/>
                <w:b/>
                <w:bCs/>
                <w:i/>
                <w:iCs/>
                <w:color w:val="262626"/>
                <w:sz w:val="22"/>
                <w:szCs w:val="22"/>
                <w:lang w:val="bg-BG"/>
              </w:rPr>
            </w:pPr>
            <w:r w:rsidRPr="009F6D1E">
              <w:rPr>
                <w:rFonts w:eastAsia="Calibri"/>
                <w:bCs/>
                <w:iCs/>
                <w:sz w:val="22"/>
                <w:szCs w:val="22"/>
                <w:lang w:val="bg-BG"/>
              </w:rPr>
              <w:t>Сигурност на мрежите.</w:t>
            </w:r>
          </w:p>
        </w:tc>
        <w:tc>
          <w:tcPr>
            <w:tcW w:w="7139" w:type="dxa"/>
          </w:tcPr>
          <w:p w14:paraId="42B63B3D" w14:textId="77777777" w:rsidR="00F81732" w:rsidRPr="009F6D1E" w:rsidRDefault="00CD4045" w:rsidP="0084747F">
            <w:pPr>
              <w:spacing w:after="60" w:line="264" w:lineRule="auto"/>
              <w:jc w:val="both"/>
              <w:rPr>
                <w:rFonts w:eastAsia="Times New Roman" w:cs="Times New Roman"/>
              </w:rPr>
            </w:pPr>
            <w:r w:rsidRPr="009F6D1E">
              <w:rPr>
                <w:rFonts w:eastAsia="Times New Roman" w:cs="Times New Roman"/>
              </w:rPr>
              <w:lastRenderedPageBreak/>
              <w:t>СПРЗСР</w:t>
            </w:r>
            <w:r w:rsidR="00F81732" w:rsidRPr="009F6D1E">
              <w:rPr>
                <w:rFonts w:eastAsia="Times New Roman" w:cs="Times New Roman"/>
              </w:rPr>
              <w:t xml:space="preserve"> взема предвид така дефинираните цели на Стратегия за цифровизация на земеделието и селските райони</w:t>
            </w:r>
          </w:p>
        </w:tc>
      </w:tr>
      <w:tr w:rsidR="00F81732" w:rsidRPr="009F6D1E" w14:paraId="44274E8A" w14:textId="77777777" w:rsidTr="00AB2292">
        <w:tc>
          <w:tcPr>
            <w:tcW w:w="7139" w:type="dxa"/>
          </w:tcPr>
          <w:p w14:paraId="2441F79B" w14:textId="77777777" w:rsidR="00F81732" w:rsidRPr="009F6D1E" w:rsidRDefault="00F81732"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t>Национална програма „Цифрова България 2025“ и Пътна карта до 2025 г.</w:t>
            </w:r>
          </w:p>
          <w:p w14:paraId="11C4C4D0" w14:textId="77777777" w:rsidR="00F81732" w:rsidRPr="009F6D1E" w:rsidRDefault="00F81732" w:rsidP="0084747F">
            <w:pPr>
              <w:spacing w:after="60" w:line="264" w:lineRule="auto"/>
              <w:contextualSpacing/>
              <w:jc w:val="both"/>
              <w:rPr>
                <w:rFonts w:eastAsia="Calibri" w:cs="Times New Roman"/>
                <w:bCs/>
                <w:iCs/>
              </w:rPr>
            </w:pPr>
            <w:r w:rsidRPr="009F6D1E">
              <w:rPr>
                <w:rFonts w:eastAsia="Calibri" w:cs="Times New Roman"/>
                <w:b/>
                <w:bCs/>
                <w:i/>
                <w:iCs/>
              </w:rPr>
              <w:t>Приоритетна област</w:t>
            </w:r>
            <w:r w:rsidRPr="009F6D1E">
              <w:rPr>
                <w:rFonts w:eastAsia="Calibri" w:cs="Times New Roman"/>
                <w:bCs/>
                <w:iCs/>
              </w:rPr>
              <w:t xml:space="preserve"> </w:t>
            </w:r>
            <w:r w:rsidRPr="009F6D1E">
              <w:rPr>
                <w:rFonts w:eastAsia="Calibri" w:cs="Times New Roman"/>
                <w:b/>
                <w:bCs/>
                <w:i/>
                <w:iCs/>
              </w:rPr>
              <w:t>1</w:t>
            </w:r>
            <w:r w:rsidRPr="009F6D1E">
              <w:rPr>
                <w:rFonts w:eastAsia="Calibri" w:cs="Times New Roman"/>
                <w:bCs/>
                <w:iCs/>
              </w:rPr>
              <w:t xml:space="preserve"> „Създаване на подходящи условия за развитието на цифровите мрежи и услуги и по-добър достъп до тях“</w:t>
            </w:r>
          </w:p>
          <w:p w14:paraId="44BF0853" w14:textId="77777777" w:rsidR="00F81732" w:rsidRPr="009F6D1E" w:rsidRDefault="00F81732" w:rsidP="0084747F">
            <w:pPr>
              <w:spacing w:after="60" w:line="264" w:lineRule="auto"/>
              <w:contextualSpacing/>
              <w:jc w:val="both"/>
              <w:rPr>
                <w:rFonts w:eastAsia="Calibri" w:cs="Times New Roman"/>
                <w:bCs/>
                <w:iCs/>
              </w:rPr>
            </w:pPr>
            <w:r w:rsidRPr="009F6D1E">
              <w:rPr>
                <w:rFonts w:eastAsia="Calibri" w:cs="Times New Roman"/>
                <w:b/>
                <w:bCs/>
                <w:i/>
                <w:iCs/>
              </w:rPr>
              <w:t>Приоритетна област 2</w:t>
            </w:r>
            <w:r w:rsidRPr="009F6D1E">
              <w:rPr>
                <w:rFonts w:eastAsia="Calibri" w:cs="Times New Roman"/>
                <w:bCs/>
                <w:iCs/>
              </w:rPr>
              <w:t xml:space="preserve"> „Развитие на динамична и иновативна цифрова икономика и увеличаване на потенциала ѝ за растеж“</w:t>
            </w:r>
          </w:p>
          <w:p w14:paraId="6FAF2ACC" w14:textId="77777777" w:rsidR="00F81732" w:rsidRPr="009F6D1E" w:rsidRDefault="00F81732" w:rsidP="0084747F">
            <w:pPr>
              <w:spacing w:after="60" w:line="264" w:lineRule="auto"/>
              <w:contextualSpacing/>
              <w:jc w:val="both"/>
              <w:rPr>
                <w:rFonts w:eastAsia="Calibri" w:cs="Times New Roman"/>
                <w:bCs/>
                <w:iCs/>
              </w:rPr>
            </w:pPr>
            <w:r w:rsidRPr="009F6D1E">
              <w:rPr>
                <w:rFonts w:eastAsia="Calibri" w:cs="Times New Roman"/>
                <w:b/>
                <w:bCs/>
                <w:i/>
                <w:iCs/>
              </w:rPr>
              <w:t>Приоритетна област 3</w:t>
            </w:r>
            <w:r w:rsidRPr="009F6D1E">
              <w:rPr>
                <w:rFonts w:eastAsia="Calibri" w:cs="Times New Roman"/>
                <w:bCs/>
                <w:iCs/>
              </w:rPr>
              <w:t xml:space="preserve"> „Повишаване на цифровите компетентности и умения“</w:t>
            </w:r>
          </w:p>
          <w:p w14:paraId="2E09BB5D" w14:textId="77777777" w:rsidR="00F81732" w:rsidRPr="009F6D1E" w:rsidRDefault="00F81732" w:rsidP="0084747F">
            <w:pPr>
              <w:widowControl w:val="0"/>
              <w:spacing w:after="60" w:line="264" w:lineRule="auto"/>
              <w:ind w:right="400"/>
              <w:jc w:val="both"/>
              <w:rPr>
                <w:rFonts w:eastAsia="Calibri" w:cs="Times New Roman"/>
                <w:bCs/>
                <w:iCs/>
              </w:rPr>
            </w:pPr>
            <w:r w:rsidRPr="009F6D1E">
              <w:rPr>
                <w:rFonts w:eastAsia="Calibri" w:cs="Times New Roman"/>
                <w:b/>
                <w:bCs/>
                <w:i/>
                <w:iCs/>
              </w:rPr>
              <w:lastRenderedPageBreak/>
              <w:t>Приоритетна област 4</w:t>
            </w:r>
            <w:r w:rsidRPr="009F6D1E">
              <w:rPr>
                <w:rFonts w:eastAsia="Calibri" w:cs="Times New Roman"/>
                <w:bCs/>
                <w:iCs/>
              </w:rPr>
              <w:t xml:space="preserve"> „Осигуряване на ефективни и висококачествени публични електронни услуги за бизнеса, гражданите и държавното управление“</w:t>
            </w:r>
          </w:p>
          <w:p w14:paraId="46659DF3" w14:textId="77777777" w:rsidR="00F81732" w:rsidRPr="009F6D1E" w:rsidRDefault="00F81732" w:rsidP="0084747F">
            <w:pPr>
              <w:spacing w:after="60" w:line="264" w:lineRule="auto"/>
              <w:contextualSpacing/>
              <w:jc w:val="both"/>
              <w:rPr>
                <w:rFonts w:eastAsia="Calibri" w:cs="Times New Roman"/>
                <w:bCs/>
                <w:iCs/>
              </w:rPr>
            </w:pPr>
            <w:r w:rsidRPr="009F6D1E">
              <w:rPr>
                <w:rFonts w:eastAsia="Calibri" w:cs="Times New Roman"/>
                <w:b/>
                <w:bCs/>
                <w:i/>
                <w:iCs/>
              </w:rPr>
              <w:t>Приоритетна област 5</w:t>
            </w:r>
            <w:r w:rsidRPr="009F6D1E">
              <w:rPr>
                <w:rFonts w:eastAsia="Calibri" w:cs="Times New Roman"/>
                <w:bCs/>
                <w:iCs/>
              </w:rPr>
              <w:t xml:space="preserve">„Насърчаване на сигурна </w:t>
            </w:r>
            <w:proofErr w:type="spellStart"/>
            <w:r w:rsidRPr="009F6D1E">
              <w:rPr>
                <w:rFonts w:eastAsia="Calibri" w:cs="Times New Roman"/>
                <w:bCs/>
                <w:iCs/>
              </w:rPr>
              <w:t>кибер</w:t>
            </w:r>
            <w:proofErr w:type="spellEnd"/>
            <w:r w:rsidRPr="009F6D1E">
              <w:rPr>
                <w:rFonts w:eastAsia="Calibri" w:cs="Times New Roman"/>
                <w:bCs/>
                <w:iCs/>
              </w:rPr>
              <w:t xml:space="preserve"> екосистема: справяне с предизвикателствата пред </w:t>
            </w:r>
            <w:proofErr w:type="spellStart"/>
            <w:r w:rsidRPr="009F6D1E">
              <w:rPr>
                <w:rFonts w:eastAsia="Calibri" w:cs="Times New Roman"/>
                <w:bCs/>
                <w:iCs/>
              </w:rPr>
              <w:t>кибер</w:t>
            </w:r>
            <w:proofErr w:type="spellEnd"/>
            <w:r w:rsidRPr="009F6D1E">
              <w:rPr>
                <w:rFonts w:eastAsia="Calibri" w:cs="Times New Roman"/>
                <w:bCs/>
                <w:iCs/>
              </w:rPr>
              <w:t xml:space="preserve"> сигурността“</w:t>
            </w:r>
          </w:p>
          <w:p w14:paraId="436951D6" w14:textId="77777777" w:rsidR="00F81732" w:rsidRPr="009F6D1E" w:rsidRDefault="00F81732" w:rsidP="0084747F">
            <w:pPr>
              <w:spacing w:after="60" w:line="264" w:lineRule="auto"/>
              <w:contextualSpacing/>
              <w:jc w:val="both"/>
              <w:rPr>
                <w:rFonts w:eastAsia="Times New Roman" w:cs="Times New Roman"/>
                <w:b/>
                <w:bCs/>
                <w:i/>
                <w:iCs/>
                <w:color w:val="262626"/>
              </w:rPr>
            </w:pPr>
            <w:r w:rsidRPr="009F6D1E">
              <w:rPr>
                <w:rFonts w:eastAsia="Calibri" w:cs="Times New Roman"/>
                <w:b/>
                <w:bCs/>
                <w:i/>
                <w:iCs/>
              </w:rPr>
              <w:t>Приоритетна област 6</w:t>
            </w:r>
            <w:r w:rsidRPr="009F6D1E">
              <w:rPr>
                <w:rFonts w:eastAsia="Calibri" w:cs="Times New Roman"/>
                <w:bCs/>
                <w:iCs/>
              </w:rPr>
              <w:t xml:space="preserve"> „Интернет управление“</w:t>
            </w:r>
          </w:p>
        </w:tc>
        <w:tc>
          <w:tcPr>
            <w:tcW w:w="7139" w:type="dxa"/>
          </w:tcPr>
          <w:p w14:paraId="3A75616C" w14:textId="77777777" w:rsidR="00F81732" w:rsidRPr="009F6D1E" w:rsidRDefault="00CD4045" w:rsidP="0084747F">
            <w:pPr>
              <w:spacing w:after="60" w:line="264" w:lineRule="auto"/>
              <w:jc w:val="both"/>
              <w:rPr>
                <w:rFonts w:eastAsia="Times New Roman" w:cs="Times New Roman"/>
              </w:rPr>
            </w:pPr>
            <w:r w:rsidRPr="009F6D1E">
              <w:rPr>
                <w:rFonts w:eastAsia="Times New Roman" w:cs="Times New Roman"/>
              </w:rPr>
              <w:lastRenderedPageBreak/>
              <w:t>СПРЗСР</w:t>
            </w:r>
            <w:r w:rsidR="00F81732" w:rsidRPr="009F6D1E">
              <w:rPr>
                <w:rFonts w:eastAsia="Times New Roman" w:cs="Times New Roman"/>
              </w:rPr>
              <w:t xml:space="preserve"> взема предвид така дефинираните цели на Националната програма и Пътната карта </w:t>
            </w:r>
          </w:p>
        </w:tc>
      </w:tr>
      <w:tr w:rsidR="007C7132" w:rsidRPr="009F6D1E" w14:paraId="16355B54" w14:textId="77777777" w:rsidTr="00981F7B">
        <w:tc>
          <w:tcPr>
            <w:tcW w:w="7139" w:type="dxa"/>
          </w:tcPr>
          <w:p w14:paraId="32FCE9F6" w14:textId="77777777" w:rsidR="007C7132" w:rsidRPr="009F6D1E" w:rsidRDefault="00E62FC3" w:rsidP="0084747F">
            <w:pPr>
              <w:widowControl w:val="0"/>
              <w:spacing w:after="60" w:line="264" w:lineRule="auto"/>
              <w:ind w:right="400"/>
              <w:jc w:val="both"/>
              <w:rPr>
                <w:rFonts w:eastAsia="Times New Roman" w:cs="Times New Roman"/>
                <w:b/>
                <w:bCs/>
                <w:i/>
                <w:iCs/>
                <w:color w:val="262626"/>
              </w:rPr>
            </w:pPr>
            <w:r w:rsidRPr="009F6D1E">
              <w:rPr>
                <w:rFonts w:eastAsia="Times New Roman" w:cs="Times New Roman"/>
                <w:b/>
                <w:bCs/>
                <w:i/>
                <w:iCs/>
                <w:color w:val="262626"/>
              </w:rPr>
              <w:t>Стратегия за укрепване ролята на аграрния сектор в биоикономиката</w:t>
            </w:r>
          </w:p>
          <w:p w14:paraId="2BA85670" w14:textId="77777777" w:rsidR="00E62FC3" w:rsidRPr="009F6D1E" w:rsidRDefault="00E62FC3" w:rsidP="0084747F">
            <w:pPr>
              <w:spacing w:after="60" w:line="264" w:lineRule="auto"/>
              <w:contextualSpacing/>
              <w:jc w:val="both"/>
              <w:rPr>
                <w:rFonts w:eastAsia="Calibri" w:cs="Times New Roman"/>
                <w:bCs/>
                <w:iCs/>
              </w:rPr>
            </w:pPr>
            <w:r w:rsidRPr="009F6D1E">
              <w:rPr>
                <w:rFonts w:eastAsia="Calibri" w:cs="Times New Roman"/>
                <w:b/>
                <w:bCs/>
                <w:i/>
                <w:iCs/>
              </w:rPr>
              <w:t>Стратегическа цел 1</w:t>
            </w:r>
            <w:r w:rsidRPr="009F6D1E">
              <w:rPr>
                <w:rFonts w:eastAsia="Calibri" w:cs="Times New Roman"/>
                <w:bCs/>
                <w:iCs/>
              </w:rPr>
              <w:t xml:space="preserve">: Устойчиво управление и развитие на земеделието, горското стопанство и рибарството за устойчиво производство и предоставяне на възобновяеми ресурси; </w:t>
            </w:r>
          </w:p>
          <w:p w14:paraId="7408D8E2" w14:textId="77777777" w:rsidR="00E62FC3" w:rsidRPr="009F6D1E" w:rsidRDefault="00E62FC3" w:rsidP="0084747F">
            <w:pPr>
              <w:spacing w:after="60" w:line="264" w:lineRule="auto"/>
              <w:contextualSpacing/>
              <w:jc w:val="both"/>
              <w:rPr>
                <w:rFonts w:eastAsia="Calibri" w:cs="Times New Roman"/>
                <w:bCs/>
                <w:iCs/>
              </w:rPr>
            </w:pPr>
            <w:r w:rsidRPr="009F6D1E">
              <w:rPr>
                <w:rFonts w:eastAsia="Calibri" w:cs="Times New Roman"/>
                <w:b/>
                <w:bCs/>
                <w:i/>
                <w:iCs/>
              </w:rPr>
              <w:t>Стратегическа цел 2:</w:t>
            </w:r>
            <w:r w:rsidRPr="009F6D1E">
              <w:rPr>
                <w:rFonts w:eastAsia="Calibri" w:cs="Times New Roman"/>
                <w:bCs/>
                <w:iCs/>
              </w:rPr>
              <w:t xml:space="preserve"> Пълноценно използване и развитие на научно-изследователската дейност, на партньорства за обмен и трансфер на иновации, на инфраструктура за експериментиране </w:t>
            </w:r>
          </w:p>
          <w:p w14:paraId="127539E9" w14:textId="77777777" w:rsidR="00E62FC3" w:rsidRPr="009F6D1E" w:rsidRDefault="00E62FC3" w:rsidP="0084747F">
            <w:pPr>
              <w:spacing w:after="60" w:line="264" w:lineRule="auto"/>
              <w:contextualSpacing/>
              <w:jc w:val="both"/>
              <w:rPr>
                <w:rFonts w:eastAsia="Times New Roman" w:cs="Times New Roman"/>
                <w:b/>
                <w:bCs/>
                <w:i/>
                <w:iCs/>
                <w:color w:val="262626"/>
              </w:rPr>
            </w:pPr>
            <w:r w:rsidRPr="009F6D1E">
              <w:rPr>
                <w:rFonts w:eastAsia="Calibri" w:cs="Times New Roman"/>
                <w:b/>
                <w:bCs/>
                <w:i/>
                <w:iCs/>
              </w:rPr>
              <w:t>Стратегическа цел 3:</w:t>
            </w:r>
            <w:r w:rsidRPr="009F6D1E">
              <w:rPr>
                <w:rFonts w:eastAsia="Calibri" w:cs="Times New Roman"/>
                <w:bCs/>
                <w:iCs/>
              </w:rPr>
              <w:t xml:space="preserve"> Подобряване на знанията и уменията.</w:t>
            </w:r>
          </w:p>
        </w:tc>
        <w:tc>
          <w:tcPr>
            <w:tcW w:w="7139" w:type="dxa"/>
          </w:tcPr>
          <w:p w14:paraId="363B5106" w14:textId="77777777" w:rsidR="00DC65C5" w:rsidRPr="009F6D1E" w:rsidRDefault="0007009A" w:rsidP="0084747F">
            <w:pPr>
              <w:spacing w:after="60" w:line="264" w:lineRule="auto"/>
              <w:jc w:val="both"/>
              <w:rPr>
                <w:rFonts w:eastAsia="Times New Roman" w:cs="Times New Roman"/>
              </w:rPr>
            </w:pPr>
            <w:r w:rsidRPr="009F6D1E">
              <w:rPr>
                <w:rFonts w:eastAsia="Times New Roman" w:cs="Times New Roman"/>
              </w:rPr>
              <w:t xml:space="preserve">Пряко принос за постигането на приоритетите на Националния план имат хоризонталната цел на </w:t>
            </w:r>
            <w:r w:rsidR="00CD4045" w:rsidRPr="009F6D1E">
              <w:rPr>
                <w:rFonts w:eastAsia="Times New Roman" w:cs="Times New Roman"/>
              </w:rPr>
              <w:t>СПРЗСР</w:t>
            </w:r>
            <w:r w:rsidRPr="009F6D1E">
              <w:rPr>
                <w:rFonts w:eastAsia="Times New Roman" w:cs="Times New Roman"/>
              </w:rPr>
              <w:t>, и</w:t>
            </w:r>
          </w:p>
          <w:p w14:paraId="1CA0218F" w14:textId="77777777" w:rsidR="00DC65C5" w:rsidRPr="009F6D1E" w:rsidRDefault="00DC65C5" w:rsidP="0084747F">
            <w:pPr>
              <w:spacing w:after="60" w:line="264" w:lineRule="auto"/>
              <w:jc w:val="both"/>
              <w:rPr>
                <w:rFonts w:cs="Times New Roman"/>
                <w:i/>
                <w:iCs/>
              </w:rPr>
            </w:pPr>
            <w:r w:rsidRPr="009F6D1E">
              <w:rPr>
                <w:rFonts w:eastAsia="Times New Roman" w:cs="Times New Roman"/>
                <w:i/>
                <w:iCs/>
              </w:rPr>
              <w:t xml:space="preserve">Стратегическа </w:t>
            </w:r>
            <w:r w:rsidRPr="009F6D1E">
              <w:rPr>
                <w:rFonts w:cs="Times New Roman"/>
                <w:i/>
                <w:iCs/>
              </w:rPr>
              <w:t>цел №1: Подпомагане за надеждни земеделски доходи и устойчивост на селскостопанския сектор в целия Съюз с цел подобряване на дългосрочната продоволствена сигурност и разнообразието в селското стопанство, както и гарантиране на икономическата устойчивост на селскостопанското производство в Съюза</w:t>
            </w:r>
          </w:p>
          <w:p w14:paraId="46341E46" w14:textId="68C82DF1" w:rsidR="00DC65C5" w:rsidRPr="009F6D1E" w:rsidRDefault="00DC65C5" w:rsidP="0084747F">
            <w:pPr>
              <w:spacing w:after="60" w:line="264" w:lineRule="auto"/>
              <w:jc w:val="both"/>
              <w:rPr>
                <w:rFonts w:eastAsia="Times New Roman" w:cs="Times New Roman"/>
                <w:i/>
                <w:iCs/>
              </w:rPr>
            </w:pPr>
            <w:r w:rsidRPr="009F6D1E">
              <w:rPr>
                <w:rFonts w:eastAsia="Times New Roman" w:cs="Times New Roman"/>
                <w:i/>
                <w:iCs/>
              </w:rPr>
              <w:t>Стратегическа цел Специфична цел №2: Засилване на пазарната ориентация и повишаване на конкурент</w:t>
            </w:r>
            <w:r w:rsidR="00F31AED">
              <w:rPr>
                <w:rFonts w:eastAsia="Times New Roman" w:cs="Times New Roman"/>
                <w:i/>
                <w:iCs/>
              </w:rPr>
              <w:t>осп</w:t>
            </w:r>
            <w:r w:rsidRPr="009F6D1E">
              <w:rPr>
                <w:rFonts w:eastAsia="Times New Roman" w:cs="Times New Roman"/>
                <w:i/>
                <w:iCs/>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p>
          <w:p w14:paraId="587A4D87" w14:textId="77777777" w:rsidR="007C7132" w:rsidRPr="009F6D1E" w:rsidRDefault="0007009A" w:rsidP="0084747F">
            <w:pPr>
              <w:spacing w:after="60" w:line="264" w:lineRule="auto"/>
              <w:jc w:val="both"/>
              <w:rPr>
                <w:rFonts w:eastAsia="Times New Roman" w:cs="Times New Roman"/>
              </w:rPr>
            </w:pPr>
            <w:r w:rsidRPr="009F6D1E">
              <w:rPr>
                <w:rFonts w:eastAsia="Times New Roman" w:cs="Times New Roman"/>
              </w:rPr>
              <w:lastRenderedPageBreak/>
              <w:t xml:space="preserve"> </w:t>
            </w:r>
            <w:r w:rsidRPr="009F6D1E">
              <w:rPr>
                <w:rFonts w:eastAsia="Times New Roman" w:cs="Times New Roman"/>
                <w:i/>
                <w:iCs/>
              </w:rPr>
              <w:t xml:space="preserve">Специфична цел № 8: 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 </w:t>
            </w:r>
            <w:r w:rsidRPr="009F6D1E">
              <w:rPr>
                <w:rFonts w:eastAsia="Times New Roman" w:cs="Times New Roman"/>
              </w:rPr>
              <w:t>и потребностите и интервенциите към нея</w:t>
            </w:r>
          </w:p>
          <w:p w14:paraId="66FD15AC" w14:textId="77777777" w:rsidR="00262223" w:rsidRPr="009F6D1E" w:rsidRDefault="00262223" w:rsidP="0084747F">
            <w:pPr>
              <w:spacing w:after="60" w:line="264" w:lineRule="auto"/>
              <w:jc w:val="both"/>
              <w:rPr>
                <w:rFonts w:eastAsia="Times New Roman" w:cs="Times New Roman"/>
              </w:rPr>
            </w:pPr>
            <w:r w:rsidRPr="009F6D1E">
              <w:rPr>
                <w:rFonts w:eastAsia="Times New Roman" w:cs="Times New Roman"/>
              </w:rPr>
              <w:t>По отношение на биоикономиката, е предвидена интервенция целяща реализиране на визията на страните от Централна и Източна Европа за 2030 г., като използват своя потенциал и възможности за: -кръгова („нулеви отпадъци―) обработка на наличната биомаса, за развитието на нови вериги от стойности на биологична основа, чрез използване за суровина на дървесни отпадъци и/или остатъци; -жизнеспособни селски райони: за разработване на иновативен, приобщаващ, климатичен модел на растеж, чрез създаване на нови ниши за растеж и иновации, реализирани вследствие на по-ефективното и ефикасно ползване на ресурсите от горите.</w:t>
            </w:r>
          </w:p>
        </w:tc>
      </w:tr>
      <w:bookmarkEnd w:id="574"/>
    </w:tbl>
    <w:p w14:paraId="17FD51F3" w14:textId="77777777" w:rsidR="008C436C" w:rsidRPr="009F6D1E" w:rsidRDefault="008C436C" w:rsidP="0084747F">
      <w:pPr>
        <w:spacing w:after="60" w:line="264" w:lineRule="auto"/>
        <w:contextualSpacing/>
        <w:jc w:val="both"/>
        <w:rPr>
          <w:rFonts w:eastAsia="Calibri" w:cs="Times New Roman"/>
          <w:b/>
          <w:bCs/>
          <w:i/>
          <w:iCs/>
          <w:szCs w:val="24"/>
        </w:rPr>
        <w:sectPr w:rsidR="008C436C" w:rsidRPr="009F6D1E" w:rsidSect="001471A8">
          <w:pgSz w:w="16840" w:h="11907" w:orient="landscape" w:code="9"/>
          <w:pgMar w:top="1350" w:right="1418" w:bottom="1620" w:left="1134" w:header="709" w:footer="709" w:gutter="0"/>
          <w:cols w:space="720"/>
          <w:docGrid w:linePitch="360"/>
        </w:sectPr>
      </w:pPr>
    </w:p>
    <w:p w14:paraId="6C3DA619" w14:textId="77777777" w:rsidR="00471E9F" w:rsidRPr="009F6D1E" w:rsidRDefault="00471E9F" w:rsidP="00D02E9D">
      <w:pPr>
        <w:pStyle w:val="Heading1"/>
        <w:numPr>
          <w:ilvl w:val="0"/>
          <w:numId w:val="26"/>
        </w:numPr>
        <w:shd w:val="clear" w:color="auto" w:fill="DBDBDB" w:themeFill="accent3" w:themeFillTint="66"/>
        <w:tabs>
          <w:tab w:val="clear" w:pos="742"/>
        </w:tabs>
        <w:spacing w:before="0" w:after="60" w:line="264" w:lineRule="auto"/>
        <w:ind w:left="0" w:firstLine="0"/>
        <w:rPr>
          <w:sz w:val="24"/>
          <w:szCs w:val="24"/>
        </w:rPr>
      </w:pPr>
      <w:bookmarkStart w:id="578" w:name="_Toc115255033"/>
      <w:r w:rsidRPr="009F6D1E">
        <w:rPr>
          <w:sz w:val="24"/>
          <w:szCs w:val="24"/>
        </w:rPr>
        <w:lastRenderedPageBreak/>
        <w:t>ВЕРОЯТНИ ЗНАЧИТЕЛНИ ВЪЗДЕЙСТВИЯ ВЪРХУ ОКОЛНАТА СРЕДА И ЧОВЕШКОТО ЗДРАВЕ, В Т.Ч. И ТРАНСГРАНИЧНИ ВЪЗДЕЙСТВИЯ ВЪРХУ ОКОЛНАТА СРЕДА В ДРУГИ ДЪРЖАВИ</w:t>
      </w:r>
      <w:bookmarkEnd w:id="578"/>
    </w:p>
    <w:p w14:paraId="141A1096" w14:textId="77777777" w:rsidR="004A41FF" w:rsidRPr="009F6D1E" w:rsidRDefault="004A41FF" w:rsidP="0084747F">
      <w:pPr>
        <w:spacing w:after="60" w:line="264" w:lineRule="auto"/>
        <w:ind w:firstLine="720"/>
        <w:jc w:val="both"/>
        <w:rPr>
          <w:rFonts w:cs="Times New Roman"/>
          <w:szCs w:val="24"/>
        </w:rPr>
      </w:pPr>
    </w:p>
    <w:p w14:paraId="46FAF593" w14:textId="77777777" w:rsidR="004A41FF" w:rsidRPr="009F6D1E" w:rsidRDefault="004A41FF" w:rsidP="0084747F">
      <w:pPr>
        <w:spacing w:after="60" w:line="264" w:lineRule="auto"/>
        <w:ind w:firstLine="720"/>
        <w:jc w:val="both"/>
        <w:rPr>
          <w:rFonts w:cs="Times New Roman"/>
          <w:szCs w:val="24"/>
        </w:rPr>
      </w:pPr>
      <w:r w:rsidRPr="009F6D1E">
        <w:rPr>
          <w:rFonts w:cs="Times New Roman"/>
          <w:szCs w:val="24"/>
        </w:rPr>
        <w:t xml:space="preserve">В тази точка на доклада за ЕО е направена оценка на очакваните въздействия от реализирането на </w:t>
      </w:r>
      <w:r w:rsidR="00CD4045" w:rsidRPr="009F6D1E">
        <w:rPr>
          <w:rFonts w:cs="Times New Roman"/>
          <w:szCs w:val="24"/>
        </w:rPr>
        <w:t>СПРЗСР</w:t>
      </w:r>
      <w:r w:rsidRPr="009F6D1E">
        <w:rPr>
          <w:rFonts w:cs="Times New Roman"/>
          <w:szCs w:val="24"/>
        </w:rPr>
        <w:t xml:space="preserve">  върху околната среда и човешкото здраве на двете нива, които стратегията идентифицира (</w:t>
      </w:r>
      <w:r w:rsidR="00ED5385" w:rsidRPr="009F6D1E">
        <w:rPr>
          <w:rFonts w:cs="Times New Roman"/>
          <w:szCs w:val="24"/>
        </w:rPr>
        <w:t>Стратегическо ниво</w:t>
      </w:r>
      <w:r w:rsidRPr="009F6D1E">
        <w:rPr>
          <w:rFonts w:cs="Times New Roman"/>
          <w:szCs w:val="24"/>
        </w:rPr>
        <w:t xml:space="preserve"> и ниво „</w:t>
      </w:r>
      <w:bookmarkStart w:id="579" w:name="_Hlk96690585"/>
      <w:r w:rsidR="00ED5385" w:rsidRPr="009F6D1E">
        <w:rPr>
          <w:rFonts w:cs="Times New Roman"/>
          <w:szCs w:val="24"/>
        </w:rPr>
        <w:t>мерки</w:t>
      </w:r>
      <w:r w:rsidRPr="009F6D1E">
        <w:rPr>
          <w:rFonts w:cs="Times New Roman"/>
          <w:szCs w:val="24"/>
        </w:rPr>
        <w:t>/</w:t>
      </w:r>
      <w:bookmarkEnd w:id="579"/>
      <w:r w:rsidR="00ED5385" w:rsidRPr="009F6D1E">
        <w:rPr>
          <w:rFonts w:cs="Times New Roman"/>
          <w:szCs w:val="24"/>
        </w:rPr>
        <w:t>дейности</w:t>
      </w:r>
      <w:r w:rsidRPr="009F6D1E">
        <w:rPr>
          <w:rFonts w:cs="Times New Roman"/>
          <w:szCs w:val="24"/>
        </w:rPr>
        <w:t>“), като са взети предвид характера на взаимодействието и синергията между различните въздействия, а именно: вторични, кумулативни (разгледани в отделна подточка 6.3), едновременни, краткосрочни, средносрочни, дългосрочни, постоянни и временни, положителни и отрицателни последици.</w:t>
      </w:r>
    </w:p>
    <w:p w14:paraId="24ABF341" w14:textId="77777777" w:rsidR="004A41FF" w:rsidRPr="009F6D1E" w:rsidRDefault="004A41FF" w:rsidP="0084747F">
      <w:pPr>
        <w:spacing w:after="60" w:line="264" w:lineRule="auto"/>
        <w:ind w:firstLine="720"/>
        <w:jc w:val="both"/>
        <w:rPr>
          <w:rFonts w:eastAsia="Calibri" w:cs="Times New Roman"/>
          <w:iCs/>
          <w:szCs w:val="24"/>
        </w:rPr>
      </w:pPr>
      <w:bookmarkStart w:id="580" w:name="_Hlk106107821"/>
      <w:r w:rsidRPr="009F6D1E">
        <w:rPr>
          <w:rFonts w:eastAsia="Calibri" w:cs="Times New Roman"/>
          <w:b/>
          <w:bCs/>
          <w:iCs/>
          <w:szCs w:val="24"/>
        </w:rPr>
        <w:t xml:space="preserve">Стратегическо ниво: </w:t>
      </w:r>
      <w:r w:rsidRPr="009F6D1E">
        <w:rPr>
          <w:rFonts w:eastAsia="Calibri" w:cs="Times New Roman"/>
          <w:iCs/>
          <w:szCs w:val="24"/>
        </w:rPr>
        <w:t>това включва оценка на въздействието на</w:t>
      </w:r>
      <w:r w:rsidRPr="009F6D1E">
        <w:rPr>
          <w:rFonts w:eastAsia="Calibri" w:cs="Times New Roman"/>
          <w:i/>
          <w:szCs w:val="24"/>
        </w:rPr>
        <w:t xml:space="preserve"> Специфичните цели</w:t>
      </w:r>
      <w:r w:rsidRPr="009F6D1E">
        <w:rPr>
          <w:rFonts w:eastAsia="Calibri" w:cs="Times New Roman"/>
          <w:iCs/>
          <w:szCs w:val="24"/>
        </w:rPr>
        <w:t xml:space="preserve"> </w:t>
      </w:r>
      <w:bookmarkStart w:id="581" w:name="_Hlk96690649"/>
      <w:r w:rsidRPr="009F6D1E">
        <w:rPr>
          <w:rFonts w:eastAsia="Calibri" w:cs="Times New Roman"/>
          <w:iCs/>
          <w:szCs w:val="24"/>
        </w:rPr>
        <w:t xml:space="preserve">на </w:t>
      </w:r>
      <w:r w:rsidR="00CD4045" w:rsidRPr="009F6D1E">
        <w:rPr>
          <w:rFonts w:eastAsia="Calibri" w:cs="Times New Roman"/>
          <w:iCs/>
          <w:szCs w:val="24"/>
        </w:rPr>
        <w:t>СПРЗСР</w:t>
      </w:r>
      <w:bookmarkEnd w:id="581"/>
      <w:r w:rsidRPr="009F6D1E">
        <w:rPr>
          <w:rFonts w:eastAsia="Calibri" w:cs="Times New Roman"/>
          <w:iCs/>
          <w:szCs w:val="24"/>
        </w:rPr>
        <w:t>;</w:t>
      </w:r>
    </w:p>
    <w:p w14:paraId="739FB8D6" w14:textId="77777777" w:rsidR="004A41FF" w:rsidRPr="009F6D1E" w:rsidRDefault="004A41FF" w:rsidP="0084747F">
      <w:pPr>
        <w:spacing w:after="60" w:line="264" w:lineRule="auto"/>
        <w:ind w:firstLine="720"/>
        <w:jc w:val="both"/>
        <w:rPr>
          <w:rFonts w:eastAsia="Calibri" w:cs="Times New Roman"/>
          <w:iCs/>
          <w:szCs w:val="24"/>
        </w:rPr>
      </w:pPr>
      <w:r w:rsidRPr="009F6D1E">
        <w:rPr>
          <w:rFonts w:eastAsia="Calibri" w:cs="Times New Roman"/>
          <w:b/>
          <w:bCs/>
          <w:iCs/>
          <w:szCs w:val="24"/>
        </w:rPr>
        <w:t>Ниво „мерки/дейности“:</w:t>
      </w:r>
      <w:r w:rsidRPr="009F6D1E">
        <w:rPr>
          <w:rFonts w:eastAsia="Calibri" w:cs="Times New Roman"/>
          <w:iCs/>
          <w:szCs w:val="24"/>
        </w:rPr>
        <w:t xml:space="preserve"> това включва оценка на въздействието на </w:t>
      </w:r>
      <w:r w:rsidRPr="009F6D1E">
        <w:rPr>
          <w:rFonts w:cs="Times New Roman"/>
          <w:i/>
          <w:iCs/>
          <w:szCs w:val="24"/>
        </w:rPr>
        <w:t xml:space="preserve">Потребностите/Интервенциите </w:t>
      </w:r>
      <w:r w:rsidRPr="009F6D1E">
        <w:rPr>
          <w:rFonts w:cs="Times New Roman"/>
          <w:szCs w:val="24"/>
        </w:rPr>
        <w:t>към</w:t>
      </w:r>
      <w:r w:rsidRPr="009F6D1E">
        <w:rPr>
          <w:rFonts w:cs="Times New Roman"/>
          <w:i/>
          <w:iCs/>
          <w:szCs w:val="24"/>
        </w:rPr>
        <w:t xml:space="preserve"> Специфичните цели</w:t>
      </w:r>
      <w:r w:rsidRPr="009F6D1E">
        <w:rPr>
          <w:rFonts w:eastAsia="Calibri" w:cs="Times New Roman"/>
          <w:iCs/>
          <w:szCs w:val="24"/>
        </w:rPr>
        <w:t xml:space="preserve"> на </w:t>
      </w:r>
      <w:r w:rsidR="00CD4045" w:rsidRPr="009F6D1E">
        <w:rPr>
          <w:rFonts w:eastAsia="Calibri" w:cs="Times New Roman"/>
          <w:iCs/>
          <w:szCs w:val="24"/>
        </w:rPr>
        <w:t>СПРЗСР</w:t>
      </w:r>
      <w:bookmarkEnd w:id="580"/>
      <w:r w:rsidRPr="009F6D1E">
        <w:rPr>
          <w:rFonts w:eastAsia="Calibri" w:cs="Times New Roman"/>
          <w:i/>
          <w:szCs w:val="24"/>
        </w:rPr>
        <w:t>;</w:t>
      </w:r>
    </w:p>
    <w:p w14:paraId="5182DABC" w14:textId="77777777" w:rsidR="004A41FF" w:rsidRPr="009F6D1E" w:rsidRDefault="004A41FF" w:rsidP="0084747F">
      <w:pPr>
        <w:spacing w:after="60" w:line="264" w:lineRule="auto"/>
        <w:ind w:firstLine="720"/>
        <w:jc w:val="both"/>
        <w:rPr>
          <w:rFonts w:cs="Times New Roman"/>
          <w:noProof/>
          <w:szCs w:val="24"/>
        </w:rPr>
      </w:pPr>
      <w:r w:rsidRPr="009F6D1E">
        <w:rPr>
          <w:rFonts w:eastAsia="Calibri" w:cs="Times New Roman"/>
          <w:szCs w:val="24"/>
        </w:rPr>
        <w:t>П</w:t>
      </w:r>
      <w:r w:rsidRPr="009F6D1E">
        <w:rPr>
          <w:rFonts w:eastAsia="Calibri" w:cs="Times New Roman"/>
          <w:iCs/>
          <w:szCs w:val="24"/>
        </w:rPr>
        <w:t xml:space="preserve">ри оценяването на въздействията е интегрирана и оценката съгласно </w:t>
      </w:r>
      <w:r w:rsidRPr="009F6D1E">
        <w:rPr>
          <w:rFonts w:eastAsia="Calibri" w:cs="Times New Roman"/>
          <w:i/>
          <w:szCs w:val="24"/>
        </w:rPr>
        <w:t>Техническите насоки на Европейска комисия за интегриране на принципа за „</w:t>
      </w:r>
      <w:proofErr w:type="spellStart"/>
      <w:r w:rsidRPr="009F6D1E">
        <w:rPr>
          <w:rFonts w:eastAsia="Calibri" w:cs="Times New Roman"/>
          <w:i/>
          <w:szCs w:val="24"/>
        </w:rPr>
        <w:t>ненанасяне</w:t>
      </w:r>
      <w:proofErr w:type="spellEnd"/>
      <w:r w:rsidRPr="009F6D1E">
        <w:rPr>
          <w:rFonts w:eastAsia="Calibri" w:cs="Times New Roman"/>
          <w:i/>
          <w:szCs w:val="24"/>
        </w:rPr>
        <w:t xml:space="preserve"> на значителни вреди“ съгласно Регламента за Механизма за възстановяване и устойчивост</w:t>
      </w:r>
      <w:r w:rsidRPr="009F6D1E">
        <w:rPr>
          <w:rFonts w:eastAsia="Calibri" w:cs="Times New Roman"/>
          <w:iCs/>
          <w:szCs w:val="24"/>
        </w:rPr>
        <w:t>.</w:t>
      </w:r>
    </w:p>
    <w:p w14:paraId="240E34D7" w14:textId="77777777" w:rsidR="004A41FF" w:rsidRPr="009F6D1E" w:rsidRDefault="004A41FF" w:rsidP="0084747F">
      <w:pPr>
        <w:spacing w:after="60" w:line="264" w:lineRule="auto"/>
        <w:jc w:val="both"/>
        <w:rPr>
          <w:rFonts w:eastAsia="Calibri" w:cs="Times New Roman"/>
          <w:b/>
          <w:bCs/>
          <w:i/>
          <w:iCs/>
        </w:rPr>
      </w:pPr>
    </w:p>
    <w:p w14:paraId="500DEE14" w14:textId="77777777" w:rsidR="00471E9F" w:rsidRPr="009F6D1E" w:rsidRDefault="00471E9F" w:rsidP="0084747F">
      <w:pPr>
        <w:spacing w:after="60" w:line="264" w:lineRule="auto"/>
        <w:contextualSpacing/>
        <w:jc w:val="both"/>
        <w:rPr>
          <w:rFonts w:eastAsia="Calibri" w:cs="Times New Roman"/>
          <w:b/>
          <w:bCs/>
          <w:i/>
          <w:iCs/>
          <w:szCs w:val="24"/>
        </w:rPr>
      </w:pPr>
    </w:p>
    <w:p w14:paraId="4173442A" w14:textId="77777777" w:rsidR="004A41FF" w:rsidRPr="009F6D1E" w:rsidRDefault="004A41FF" w:rsidP="0084747F">
      <w:pPr>
        <w:spacing w:after="60" w:line="264" w:lineRule="auto"/>
        <w:contextualSpacing/>
        <w:jc w:val="both"/>
        <w:rPr>
          <w:rFonts w:eastAsia="Calibri" w:cs="Times New Roman"/>
          <w:b/>
          <w:bCs/>
          <w:i/>
          <w:iCs/>
          <w:szCs w:val="24"/>
        </w:rPr>
      </w:pPr>
    </w:p>
    <w:p w14:paraId="7E0AE35C" w14:textId="77777777" w:rsidR="004A41FF" w:rsidRPr="009F6D1E" w:rsidRDefault="004A41FF" w:rsidP="0084747F">
      <w:pPr>
        <w:spacing w:after="60" w:line="264" w:lineRule="auto"/>
        <w:contextualSpacing/>
        <w:jc w:val="both"/>
        <w:rPr>
          <w:rFonts w:eastAsia="Calibri" w:cs="Times New Roman"/>
          <w:b/>
          <w:bCs/>
          <w:i/>
          <w:iCs/>
          <w:szCs w:val="24"/>
        </w:rPr>
        <w:sectPr w:rsidR="004A41FF" w:rsidRPr="009F6D1E" w:rsidSect="008C436C">
          <w:pgSz w:w="11907" w:h="16840" w:code="9"/>
          <w:pgMar w:top="1418" w:right="851" w:bottom="1134" w:left="1418" w:header="709" w:footer="709" w:gutter="0"/>
          <w:cols w:space="720"/>
          <w:docGrid w:linePitch="360"/>
        </w:sectPr>
      </w:pPr>
    </w:p>
    <w:p w14:paraId="02C1340A" w14:textId="77777777" w:rsidR="004A41FF" w:rsidRPr="009F6D1E" w:rsidRDefault="004A41FF"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82" w:name="_Toc115255034"/>
      <w:r w:rsidRPr="009F6D1E">
        <w:rPr>
          <w:rFonts w:eastAsia="Times New Roman"/>
          <w:b/>
          <w:i/>
          <w:lang w:val="bg-BG"/>
        </w:rPr>
        <w:lastRenderedPageBreak/>
        <w:t>Оценка на вероятните въздействия на Стратегическо ниво</w:t>
      </w:r>
      <w:bookmarkEnd w:id="582"/>
    </w:p>
    <w:p w14:paraId="48F62199" w14:textId="77777777" w:rsidR="004A41FF" w:rsidRPr="009F6D1E" w:rsidRDefault="004A41FF" w:rsidP="0084747F">
      <w:pPr>
        <w:spacing w:after="60" w:line="264" w:lineRule="auto"/>
        <w:contextualSpacing/>
        <w:jc w:val="both"/>
        <w:rPr>
          <w:rFonts w:eastAsia="Calibri" w:cs="Times New Roman"/>
          <w:b/>
          <w:bCs/>
          <w:i/>
          <w:i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4032"/>
        <w:gridCol w:w="4111"/>
        <w:gridCol w:w="4218"/>
      </w:tblGrid>
      <w:tr w:rsidR="002831ED" w:rsidRPr="009F6D1E" w14:paraId="526965E3" w14:textId="77777777" w:rsidTr="00AB2292">
        <w:trPr>
          <w:tblHeader/>
        </w:trPr>
        <w:tc>
          <w:tcPr>
            <w:tcW w:w="0" w:type="auto"/>
            <w:vMerge w:val="restart"/>
            <w:shd w:val="clear" w:color="auto" w:fill="D9D9D9" w:themeFill="background1" w:themeFillShade="D9"/>
            <w:textDirection w:val="btLr"/>
            <w:vAlign w:val="center"/>
          </w:tcPr>
          <w:p w14:paraId="2573CCBE" w14:textId="77777777" w:rsidR="002831ED" w:rsidRPr="009F6D1E" w:rsidRDefault="002831ED" w:rsidP="0084747F">
            <w:pPr>
              <w:spacing w:after="60" w:line="264" w:lineRule="auto"/>
              <w:ind w:left="113" w:right="113"/>
              <w:jc w:val="center"/>
              <w:rPr>
                <w:rFonts w:cs="Times New Roman"/>
                <w:b/>
                <w:bCs/>
              </w:rPr>
            </w:pPr>
            <w:bookmarkStart w:id="583" w:name="_Hlk96691059"/>
            <w:r w:rsidRPr="009F6D1E">
              <w:rPr>
                <w:rFonts w:cs="Times New Roman"/>
                <w:b/>
                <w:bCs/>
              </w:rPr>
              <w:t>КОМПОНЕНТ/</w:t>
            </w:r>
          </w:p>
          <w:p w14:paraId="66825D8D" w14:textId="77777777" w:rsidR="002831ED" w:rsidRPr="009F6D1E" w:rsidRDefault="002831ED" w:rsidP="0084747F">
            <w:pPr>
              <w:spacing w:after="60" w:line="264" w:lineRule="auto"/>
              <w:ind w:left="113" w:right="113"/>
              <w:jc w:val="center"/>
              <w:rPr>
                <w:rFonts w:cs="Times New Roman"/>
                <w:b/>
                <w:bCs/>
                <w:sz w:val="20"/>
                <w:szCs w:val="20"/>
              </w:rPr>
            </w:pPr>
            <w:r w:rsidRPr="009F6D1E">
              <w:rPr>
                <w:rFonts w:cs="Times New Roman"/>
                <w:b/>
                <w:bCs/>
              </w:rPr>
              <w:t>ФАКТОР НА ОКОЛНАТА СРЕДА</w:t>
            </w:r>
          </w:p>
        </w:tc>
        <w:tc>
          <w:tcPr>
            <w:tcW w:w="4032" w:type="dxa"/>
            <w:shd w:val="clear" w:color="auto" w:fill="D9D9D9" w:themeFill="background1" w:themeFillShade="D9"/>
            <w:vAlign w:val="center"/>
          </w:tcPr>
          <w:p w14:paraId="324BE3D5"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№1: Подпомагане за надеждни земеделски доходи и устойчивост на селскостопанския сектор в целия Съюз с цел подобряване на дългосрочната продоволствена сигурност и разнообразието в селското стопанство, както и гарантиране на икономическата устойчивост на селскостопанското производство в Съюза.</w:t>
            </w:r>
          </w:p>
        </w:tc>
        <w:tc>
          <w:tcPr>
            <w:tcW w:w="4111" w:type="dxa"/>
            <w:shd w:val="clear" w:color="auto" w:fill="D9D9D9" w:themeFill="background1" w:themeFillShade="D9"/>
          </w:tcPr>
          <w:p w14:paraId="247034A7" w14:textId="7223EC0C" w:rsidR="002831ED" w:rsidRPr="009F6D1E" w:rsidRDefault="002831ED" w:rsidP="0084747F">
            <w:pPr>
              <w:spacing w:after="60" w:line="264" w:lineRule="auto"/>
              <w:jc w:val="center"/>
              <w:rPr>
                <w:rFonts w:cs="Times New Roman"/>
                <w:b/>
                <w:bCs/>
              </w:rPr>
            </w:pPr>
            <w:r w:rsidRPr="009F6D1E">
              <w:rPr>
                <w:rFonts w:cs="Times New Roman"/>
                <w:b/>
                <w:bCs/>
              </w:rPr>
              <w:t>Специфична цел №2:</w:t>
            </w:r>
            <w:r w:rsidRPr="009F6D1E">
              <w:rPr>
                <w:rFonts w:cs="Times New Roman"/>
              </w:rPr>
              <w:t xml:space="preserve"> </w:t>
            </w:r>
            <w:r w:rsidRPr="009F6D1E">
              <w:rPr>
                <w:rFonts w:cs="Times New Roman"/>
                <w:b/>
                <w:bCs/>
              </w:rPr>
              <w:t>Засилване на пазарната ориентация и повишаване на конкурент</w:t>
            </w:r>
            <w:r w:rsidR="00F31AED">
              <w:rPr>
                <w:rFonts w:cs="Times New Roman"/>
                <w:b/>
                <w:bCs/>
              </w:rPr>
              <w:t>осп</w:t>
            </w:r>
            <w:r w:rsidRPr="009F6D1E">
              <w:rPr>
                <w:rFonts w:cs="Times New Roman"/>
                <w:b/>
                <w:bCs/>
              </w:rPr>
              <w:t>особността на стопанствата, както в краткосрочен, така и в дългосрочен план, включително поставяне на по-голям акцент върху научните изследвания, технологиите и цифровизацията</w:t>
            </w:r>
          </w:p>
        </w:tc>
        <w:tc>
          <w:tcPr>
            <w:tcW w:w="4218" w:type="dxa"/>
            <w:shd w:val="clear" w:color="auto" w:fill="D9D9D9" w:themeFill="background1" w:themeFillShade="D9"/>
          </w:tcPr>
          <w:p w14:paraId="7FA0AF13"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№3: Подобряване позицията на земеделските стопани във веригата на стойността.</w:t>
            </w:r>
          </w:p>
        </w:tc>
      </w:tr>
      <w:tr w:rsidR="002831ED" w:rsidRPr="009F6D1E" w14:paraId="1B346F4D" w14:textId="77777777" w:rsidTr="00AB2292">
        <w:trPr>
          <w:tblHeader/>
        </w:trPr>
        <w:tc>
          <w:tcPr>
            <w:tcW w:w="0" w:type="auto"/>
            <w:vMerge/>
            <w:shd w:val="clear" w:color="auto" w:fill="FFF2CC" w:themeFill="accent4" w:themeFillTint="33"/>
          </w:tcPr>
          <w:p w14:paraId="30768437" w14:textId="77777777" w:rsidR="002831ED" w:rsidRPr="009F6D1E" w:rsidRDefault="002831ED" w:rsidP="0084747F">
            <w:pPr>
              <w:spacing w:after="60" w:line="264" w:lineRule="auto"/>
              <w:jc w:val="center"/>
              <w:rPr>
                <w:rFonts w:cs="Times New Roman"/>
                <w:b/>
                <w:bCs/>
                <w:sz w:val="20"/>
                <w:szCs w:val="20"/>
              </w:rPr>
            </w:pPr>
          </w:p>
        </w:tc>
        <w:tc>
          <w:tcPr>
            <w:tcW w:w="0" w:type="auto"/>
            <w:gridSpan w:val="3"/>
            <w:shd w:val="clear" w:color="auto" w:fill="FFF2CC" w:themeFill="accent4" w:themeFillTint="33"/>
          </w:tcPr>
          <w:p w14:paraId="4DBB0826" w14:textId="77777777" w:rsidR="002831ED" w:rsidRPr="009F6D1E" w:rsidRDefault="002831ED" w:rsidP="0084747F">
            <w:pPr>
              <w:spacing w:after="60" w:line="264" w:lineRule="auto"/>
              <w:jc w:val="center"/>
              <w:rPr>
                <w:rFonts w:cs="Times New Roman"/>
                <w:b/>
                <w:bCs/>
                <w:szCs w:val="24"/>
              </w:rPr>
            </w:pPr>
            <w:r w:rsidRPr="009F6D1E">
              <w:rPr>
                <w:rFonts w:cs="Times New Roman"/>
                <w:b/>
                <w:bCs/>
                <w:szCs w:val="24"/>
              </w:rPr>
              <w:t>Въздействие</w:t>
            </w:r>
          </w:p>
        </w:tc>
      </w:tr>
      <w:tr w:rsidR="002831ED" w:rsidRPr="009F6D1E" w14:paraId="7C7AAE2E" w14:textId="77777777" w:rsidTr="00AB2292">
        <w:trPr>
          <w:trHeight w:val="318"/>
        </w:trPr>
        <w:tc>
          <w:tcPr>
            <w:tcW w:w="0" w:type="auto"/>
          </w:tcPr>
          <w:p w14:paraId="459E9A1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Климат, Изменение на климата, Адаптация към изменящия се климат</w:t>
            </w:r>
          </w:p>
        </w:tc>
        <w:tc>
          <w:tcPr>
            <w:tcW w:w="4032" w:type="dxa"/>
            <w:shd w:val="clear" w:color="auto" w:fill="auto"/>
          </w:tcPr>
          <w:p w14:paraId="708B2CC3" w14:textId="77777777" w:rsidR="002831ED" w:rsidRPr="009F6D1E" w:rsidRDefault="002831ED" w:rsidP="0084747F">
            <w:pPr>
              <w:spacing w:after="60" w:line="264" w:lineRule="auto"/>
              <w:jc w:val="both"/>
              <w:rPr>
                <w:rFonts w:eastAsia="Tahoma" w:cs="Times New Roman"/>
                <w:iCs/>
                <w:sz w:val="20"/>
                <w:szCs w:val="20"/>
                <w:lang w:eastAsia="zh-CN"/>
              </w:rPr>
            </w:pPr>
            <w:r w:rsidRPr="009F6D1E">
              <w:rPr>
                <w:rFonts w:eastAsia="Tahoma" w:cs="Times New Roman"/>
                <w:iCs/>
                <w:sz w:val="20"/>
                <w:szCs w:val="20"/>
                <w:lang w:eastAsia="zh-CN"/>
              </w:rPr>
              <w:t xml:space="preserve">Като цяло прилагането на Специфична цел 1 няма да доведе до въздействия върху климата. </w:t>
            </w:r>
          </w:p>
          <w:p w14:paraId="26413A10" w14:textId="77777777" w:rsidR="002831ED" w:rsidRPr="009F6D1E" w:rsidRDefault="002831ED" w:rsidP="0084747F">
            <w:pPr>
              <w:spacing w:after="60" w:line="264" w:lineRule="auto"/>
              <w:jc w:val="both"/>
              <w:rPr>
                <w:rFonts w:eastAsia="Tahoma" w:cs="Times New Roman"/>
                <w:iCs/>
                <w:sz w:val="20"/>
                <w:szCs w:val="20"/>
                <w:lang w:eastAsia="zh-CN"/>
              </w:rPr>
            </w:pPr>
            <w:r w:rsidRPr="009F6D1E">
              <w:rPr>
                <w:rFonts w:eastAsia="Tahoma" w:cs="Times New Roman"/>
                <w:iCs/>
                <w:sz w:val="20"/>
                <w:szCs w:val="20"/>
                <w:lang w:eastAsia="zh-CN"/>
              </w:rPr>
              <w:t>Очаква се обаче потребности II.1.5 и II.1.6 да повлияят положително върху адаптационният процес към изменящият се климат.</w:t>
            </w:r>
          </w:p>
        </w:tc>
        <w:tc>
          <w:tcPr>
            <w:tcW w:w="4111" w:type="dxa"/>
          </w:tcPr>
          <w:p w14:paraId="2F5D502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пряко и положително въздействие, свързано с намаляване на емисиите на парникови газове, при изпълнение на потребности II.2.2, II.2.3, II.2.6 и II.2.8. Не се очаква въздействие върху климата, като резултат от реализирането на която и да е от другите потребности на специфичната цел.</w:t>
            </w:r>
          </w:p>
        </w:tc>
        <w:tc>
          <w:tcPr>
            <w:tcW w:w="4218" w:type="dxa"/>
            <w:shd w:val="clear" w:color="auto" w:fill="auto"/>
          </w:tcPr>
          <w:p w14:paraId="29D8C7E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 изключение на потребност 6, която се очаква да доведе до директно и положително въздействие, резултат от намаляване на количествата генерирани парникови газове и да позволи на предприятията от ХВП да се развиват, адаптирайки се към променящите се условия на средата и най-вече адаптирайки се към климатичните промени, то всички останали потребности не се очаква да доведат до въздействия върху климатичните промени и адаптацията към същите.</w:t>
            </w:r>
          </w:p>
        </w:tc>
      </w:tr>
      <w:tr w:rsidR="002831ED" w:rsidRPr="009F6D1E" w14:paraId="3E10FDA5" w14:textId="77777777" w:rsidTr="00AB2292">
        <w:trPr>
          <w:trHeight w:val="318"/>
        </w:trPr>
        <w:tc>
          <w:tcPr>
            <w:tcW w:w="0" w:type="auto"/>
          </w:tcPr>
          <w:p w14:paraId="097907C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lastRenderedPageBreak/>
              <w:t>Качество на атмосферния въздух</w:t>
            </w:r>
          </w:p>
        </w:tc>
        <w:tc>
          <w:tcPr>
            <w:tcW w:w="4032" w:type="dxa"/>
            <w:shd w:val="clear" w:color="auto" w:fill="auto"/>
          </w:tcPr>
          <w:p w14:paraId="032D55A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изпълнението на специфичната цел да доведе до каквито и да е въздействия върху КАВ.</w:t>
            </w:r>
          </w:p>
        </w:tc>
        <w:tc>
          <w:tcPr>
            <w:tcW w:w="4111" w:type="dxa"/>
          </w:tcPr>
          <w:p w14:paraId="7D3BF67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Аналогично на описаните въздействия върху климата.</w:t>
            </w:r>
          </w:p>
        </w:tc>
        <w:tc>
          <w:tcPr>
            <w:tcW w:w="4218" w:type="dxa"/>
            <w:shd w:val="clear" w:color="auto" w:fill="auto"/>
          </w:tcPr>
          <w:p w14:paraId="006BAE79"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Единствено потребност шест се очаква да окаже пряко и положително въздействие върху КАВ, като която и да е от другите потребности няма да повлияят върху качеството на атмосферния въздух.</w:t>
            </w:r>
          </w:p>
        </w:tc>
      </w:tr>
      <w:tr w:rsidR="002831ED" w:rsidRPr="009F6D1E" w14:paraId="0AAADA09" w14:textId="77777777" w:rsidTr="00AB2292">
        <w:trPr>
          <w:trHeight w:val="318"/>
        </w:trPr>
        <w:tc>
          <w:tcPr>
            <w:tcW w:w="0" w:type="auto"/>
          </w:tcPr>
          <w:p w14:paraId="2CDF8AC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16DC699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20CC53A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ЗЗВ</w:t>
            </w:r>
          </w:p>
          <w:p w14:paraId="59B2CAB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Риск от наводнения</w:t>
            </w:r>
          </w:p>
        </w:tc>
        <w:tc>
          <w:tcPr>
            <w:tcW w:w="4032" w:type="dxa"/>
            <w:shd w:val="clear" w:color="auto" w:fill="auto"/>
          </w:tcPr>
          <w:p w14:paraId="3B16E701" w14:textId="77777777" w:rsidR="002831ED" w:rsidRPr="009F6D1E" w:rsidRDefault="002831ED" w:rsidP="0084747F">
            <w:pPr>
              <w:widowControl w:val="0"/>
              <w:spacing w:after="60" w:line="264" w:lineRule="auto"/>
              <w:ind w:right="-1"/>
              <w:jc w:val="both"/>
              <w:rPr>
                <w:rFonts w:cs="Times New Roman"/>
                <w:sz w:val="20"/>
                <w:szCs w:val="20"/>
              </w:rPr>
            </w:pPr>
            <w:r w:rsidRPr="009F6D1E">
              <w:rPr>
                <w:rFonts w:cs="Times New Roman"/>
                <w:sz w:val="20"/>
                <w:szCs w:val="20"/>
              </w:rPr>
              <w:t>Очакваните въздействия върху водите са: положителни - по Потребности 1.5 и 1.6</w:t>
            </w:r>
          </w:p>
          <w:p w14:paraId="78A8F11E" w14:textId="77777777" w:rsidR="002831ED" w:rsidRPr="009F6D1E" w:rsidRDefault="002831ED" w:rsidP="0084747F">
            <w:pPr>
              <w:widowControl w:val="0"/>
              <w:spacing w:after="60" w:line="264" w:lineRule="auto"/>
              <w:ind w:right="-1"/>
              <w:jc w:val="both"/>
              <w:rPr>
                <w:rFonts w:cs="Times New Roman"/>
                <w:sz w:val="20"/>
                <w:szCs w:val="20"/>
              </w:rPr>
            </w:pPr>
            <w:r w:rsidRPr="009F6D1E">
              <w:rPr>
                <w:rFonts w:cs="Times New Roman"/>
                <w:sz w:val="20"/>
                <w:szCs w:val="20"/>
              </w:rPr>
              <w:t>Не се очаква въздействие върху водите по Потребности  1.1, 1.2, 1.3 и 1.4.</w:t>
            </w:r>
          </w:p>
          <w:p w14:paraId="0437115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sz w:val="20"/>
                <w:szCs w:val="20"/>
              </w:rPr>
              <w:t xml:space="preserve">Очаква се положително, постоянно,  пряко, едновременно, кумулативно въздействие върху повърхностните и подземните води, дължащо се на: намаляване на натиска и въздействието върху количественото и </w:t>
            </w:r>
            <w:r w:rsidRPr="009F6D1E">
              <w:rPr>
                <w:rFonts w:cs="Times New Roman"/>
                <w:sz w:val="20"/>
                <w:szCs w:val="20"/>
              </w:rPr>
              <w:lastRenderedPageBreak/>
              <w:t>химичното състояние на водите, вследствие на устойчивото управление и опазване на екосистемите. Няма пряк потенциал за намаляване на риска от наводнения.</w:t>
            </w:r>
          </w:p>
        </w:tc>
        <w:tc>
          <w:tcPr>
            <w:tcW w:w="4111" w:type="dxa"/>
          </w:tcPr>
          <w:p w14:paraId="4FA14A2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 върху водите по</w:t>
            </w:r>
            <w:r w:rsidRPr="009F6D1E">
              <w:rPr>
                <w:rFonts w:cs="Times New Roman"/>
                <w:b/>
                <w:bCs/>
                <w:sz w:val="20"/>
                <w:szCs w:val="20"/>
              </w:rPr>
              <w:t xml:space="preserve"> </w:t>
            </w:r>
            <w:r w:rsidRPr="009F6D1E">
              <w:rPr>
                <w:rFonts w:cs="Times New Roman"/>
                <w:sz w:val="20"/>
                <w:szCs w:val="20"/>
              </w:rPr>
              <w:t>Специфична цел №2</w:t>
            </w:r>
          </w:p>
        </w:tc>
        <w:tc>
          <w:tcPr>
            <w:tcW w:w="4218" w:type="dxa"/>
            <w:shd w:val="clear" w:color="auto" w:fill="auto"/>
          </w:tcPr>
          <w:p w14:paraId="79A6138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 върху водите по</w:t>
            </w:r>
            <w:r w:rsidRPr="009F6D1E">
              <w:rPr>
                <w:rFonts w:cs="Times New Roman"/>
                <w:b/>
                <w:bCs/>
                <w:sz w:val="20"/>
                <w:szCs w:val="20"/>
              </w:rPr>
              <w:t xml:space="preserve"> </w:t>
            </w:r>
            <w:r w:rsidRPr="009F6D1E">
              <w:rPr>
                <w:rFonts w:cs="Times New Roman"/>
                <w:sz w:val="20"/>
                <w:szCs w:val="20"/>
              </w:rPr>
              <w:t>Специфична цел №3</w:t>
            </w:r>
          </w:p>
          <w:p w14:paraId="73472031" w14:textId="77777777" w:rsidR="002831ED" w:rsidRPr="009F6D1E" w:rsidRDefault="002831ED" w:rsidP="0084747F">
            <w:pPr>
              <w:spacing w:after="60" w:line="264" w:lineRule="auto"/>
              <w:jc w:val="both"/>
              <w:rPr>
                <w:rFonts w:eastAsia="Tahoma" w:cs="Times New Roman"/>
                <w:sz w:val="20"/>
                <w:szCs w:val="20"/>
                <w:lang w:eastAsia="zh-CN"/>
              </w:rPr>
            </w:pPr>
          </w:p>
        </w:tc>
      </w:tr>
      <w:tr w:rsidR="002831ED" w:rsidRPr="009F6D1E" w14:paraId="044A96BA" w14:textId="77777777" w:rsidTr="00AB2292">
        <w:trPr>
          <w:trHeight w:val="318"/>
        </w:trPr>
        <w:tc>
          <w:tcPr>
            <w:tcW w:w="0" w:type="auto"/>
          </w:tcPr>
          <w:p w14:paraId="577B43D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Земни недра</w:t>
            </w:r>
          </w:p>
        </w:tc>
        <w:tc>
          <w:tcPr>
            <w:tcW w:w="4032" w:type="dxa"/>
            <w:shd w:val="clear" w:color="auto" w:fill="auto"/>
          </w:tcPr>
          <w:p w14:paraId="2EE66E4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tcPr>
          <w:p w14:paraId="5920F467"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18" w:type="dxa"/>
            <w:shd w:val="clear" w:color="auto" w:fill="auto"/>
          </w:tcPr>
          <w:p w14:paraId="604CFB1E"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49554A48" w14:textId="77777777" w:rsidTr="00AB2292">
        <w:trPr>
          <w:trHeight w:val="318"/>
        </w:trPr>
        <w:tc>
          <w:tcPr>
            <w:tcW w:w="0" w:type="auto"/>
          </w:tcPr>
          <w:p w14:paraId="3C851578"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Почви</w:t>
            </w:r>
          </w:p>
          <w:p w14:paraId="58956366" w14:textId="77777777" w:rsidR="002831ED" w:rsidRPr="009F6D1E" w:rsidRDefault="002831ED" w:rsidP="0084747F">
            <w:pPr>
              <w:spacing w:after="60" w:line="264" w:lineRule="auto"/>
              <w:jc w:val="both"/>
              <w:rPr>
                <w:rFonts w:eastAsia="Tahoma" w:cs="Times New Roman"/>
                <w:sz w:val="20"/>
                <w:szCs w:val="20"/>
                <w:lang w:eastAsia="zh-CN"/>
              </w:rPr>
            </w:pPr>
            <w:proofErr w:type="spellStart"/>
            <w:r w:rsidRPr="009F6D1E">
              <w:rPr>
                <w:rFonts w:cs="Times New Roman"/>
                <w:b/>
                <w:bCs/>
                <w:sz w:val="20"/>
                <w:szCs w:val="20"/>
              </w:rPr>
              <w:t>Земеползване</w:t>
            </w:r>
            <w:proofErr w:type="spellEnd"/>
          </w:p>
        </w:tc>
        <w:tc>
          <w:tcPr>
            <w:tcW w:w="4032" w:type="dxa"/>
            <w:shd w:val="clear" w:color="auto" w:fill="auto"/>
          </w:tcPr>
          <w:p w14:paraId="761332D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№1 е свързана основно с финансово подпомагане на земеделските производители и няма преки въздействия върху почвите.</w:t>
            </w:r>
          </w:p>
          <w:p w14:paraId="59926CCC"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№1 може да окаже косвени положителни въздействия върху почвите.</w:t>
            </w:r>
          </w:p>
        </w:tc>
        <w:tc>
          <w:tcPr>
            <w:tcW w:w="4111" w:type="dxa"/>
          </w:tcPr>
          <w:p w14:paraId="6164B057" w14:textId="53992360"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№2 е свързана основно с пазарната ориентация, конкурент</w:t>
            </w:r>
            <w:r w:rsidR="00F31AED">
              <w:rPr>
                <w:rFonts w:eastAsia="Tahoma" w:cs="Times New Roman"/>
                <w:sz w:val="20"/>
                <w:szCs w:val="20"/>
                <w:lang w:eastAsia="zh-CN"/>
              </w:rPr>
              <w:t>осп</w:t>
            </w:r>
            <w:r w:rsidRPr="009F6D1E">
              <w:rPr>
                <w:rFonts w:eastAsia="Tahoma" w:cs="Times New Roman"/>
                <w:sz w:val="20"/>
                <w:szCs w:val="20"/>
                <w:lang w:eastAsia="zh-CN"/>
              </w:rPr>
              <w:t>особността и модернизацията на земеделските производители и няма преки въздействия върху почвите.</w:t>
            </w:r>
          </w:p>
          <w:p w14:paraId="6ECDD87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№2 може да окаже косвени положителни въздействия върху почвите.</w:t>
            </w:r>
          </w:p>
        </w:tc>
        <w:tc>
          <w:tcPr>
            <w:tcW w:w="4218" w:type="dxa"/>
            <w:shd w:val="clear" w:color="auto" w:fill="auto"/>
          </w:tcPr>
          <w:p w14:paraId="69F6256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№3 е свързана основно с достъпа до пазари на земеделските производители и директните продажби на продукция и няма преки въздействия върху почвите.</w:t>
            </w:r>
          </w:p>
          <w:p w14:paraId="23067222" w14:textId="77777777" w:rsidR="002831ED" w:rsidRPr="009F6D1E" w:rsidRDefault="002831ED" w:rsidP="0084747F">
            <w:pPr>
              <w:spacing w:after="60" w:line="264" w:lineRule="auto"/>
              <w:jc w:val="both"/>
              <w:rPr>
                <w:rFonts w:eastAsia="Tahoma" w:cs="Times New Roman"/>
                <w:sz w:val="20"/>
                <w:szCs w:val="20"/>
                <w:lang w:eastAsia="zh-CN"/>
              </w:rPr>
            </w:pPr>
          </w:p>
        </w:tc>
      </w:tr>
      <w:tr w:rsidR="002831ED" w:rsidRPr="009F6D1E" w14:paraId="4FD74D4D" w14:textId="77777777" w:rsidTr="00AB2292">
        <w:trPr>
          <w:trHeight w:val="890"/>
        </w:trPr>
        <w:tc>
          <w:tcPr>
            <w:tcW w:w="0" w:type="auto"/>
          </w:tcPr>
          <w:p w14:paraId="680F9461"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Биоразнообразие</w:t>
            </w:r>
          </w:p>
          <w:p w14:paraId="38BC407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29027019"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cs="Times New Roman"/>
                <w:b/>
                <w:bCs/>
                <w:sz w:val="20"/>
                <w:szCs w:val="20"/>
              </w:rPr>
              <w:t>ЗТ</w:t>
            </w:r>
          </w:p>
        </w:tc>
        <w:tc>
          <w:tcPr>
            <w:tcW w:w="4032" w:type="dxa"/>
            <w:shd w:val="clear" w:color="auto" w:fill="auto"/>
          </w:tcPr>
          <w:p w14:paraId="5D93388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tcPr>
          <w:p w14:paraId="73EBD3BA" w14:textId="77777777" w:rsidR="002831ED" w:rsidRPr="009F6D1E" w:rsidRDefault="002831ED" w:rsidP="0084747F">
            <w:pPr>
              <w:spacing w:after="60" w:line="264" w:lineRule="auto"/>
              <w:contextualSpacing/>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2.2. и П 2.7</w:t>
            </w:r>
          </w:p>
          <w:p w14:paraId="3926741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отрицателна значимост от П 2.8. и П 2.9</w:t>
            </w:r>
          </w:p>
        </w:tc>
        <w:tc>
          <w:tcPr>
            <w:tcW w:w="4218" w:type="dxa"/>
          </w:tcPr>
          <w:p w14:paraId="13416BF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7A9AA41A" w14:textId="77777777" w:rsidTr="00AB2292">
        <w:trPr>
          <w:trHeight w:val="318"/>
        </w:trPr>
        <w:tc>
          <w:tcPr>
            <w:tcW w:w="0" w:type="auto"/>
          </w:tcPr>
          <w:p w14:paraId="11BD5EC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 xml:space="preserve">Ландшафт </w:t>
            </w:r>
          </w:p>
        </w:tc>
        <w:tc>
          <w:tcPr>
            <w:tcW w:w="4032" w:type="dxa"/>
            <w:shd w:val="clear" w:color="auto" w:fill="auto"/>
          </w:tcPr>
          <w:p w14:paraId="28E925E0"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 върху ландшафта</w:t>
            </w:r>
          </w:p>
        </w:tc>
        <w:tc>
          <w:tcPr>
            <w:tcW w:w="4111" w:type="dxa"/>
          </w:tcPr>
          <w:p w14:paraId="135EBD59"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 върху ландшафта</w:t>
            </w:r>
          </w:p>
        </w:tc>
        <w:tc>
          <w:tcPr>
            <w:tcW w:w="4218" w:type="dxa"/>
          </w:tcPr>
          <w:p w14:paraId="3492B0F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очакват въздействия върху ландшафта</w:t>
            </w:r>
          </w:p>
        </w:tc>
      </w:tr>
      <w:tr w:rsidR="002831ED" w:rsidRPr="009F6D1E" w14:paraId="291ED64F" w14:textId="77777777" w:rsidTr="00AB2292">
        <w:trPr>
          <w:trHeight w:val="318"/>
        </w:trPr>
        <w:tc>
          <w:tcPr>
            <w:tcW w:w="0" w:type="auto"/>
          </w:tcPr>
          <w:p w14:paraId="19966D2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Материални активи</w:t>
            </w:r>
          </w:p>
        </w:tc>
        <w:tc>
          <w:tcPr>
            <w:tcW w:w="4032" w:type="dxa"/>
            <w:shd w:val="clear" w:color="auto" w:fill="auto"/>
          </w:tcPr>
          <w:p w14:paraId="3AE59C9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Изпълнението на първите три потребности от специфичната цел ще имат косвено положително и дълготрайно въздействие върху материалите активи.</w:t>
            </w:r>
          </w:p>
          <w:p w14:paraId="15B48A79"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 xml:space="preserve">Инвестициите в подходящи превантивни действия, както и подкрепата за възстановяване на земеделски производствен потенциал при потребност  ще доведат до директно и положително </w:t>
            </w:r>
            <w:r w:rsidRPr="009F6D1E">
              <w:rPr>
                <w:rFonts w:eastAsia="Tahoma" w:cs="Times New Roman"/>
                <w:sz w:val="20"/>
                <w:szCs w:val="20"/>
                <w:lang w:eastAsia="zh-CN"/>
              </w:rPr>
              <w:lastRenderedPageBreak/>
              <w:t>въздействие върху материалните активи. Чрез интервенцията при изпълнение на потребност 6 ще се подкрепят инвестициите за напояване в рамките на земеделските стопанства, чрез което се цели насърчаване и развитие на поливното земеделие и ще се окаже пряко и положително въздействие върху материалните активи.</w:t>
            </w:r>
          </w:p>
        </w:tc>
        <w:tc>
          <w:tcPr>
            <w:tcW w:w="4111" w:type="dxa"/>
          </w:tcPr>
          <w:p w14:paraId="4A30F9FB" w14:textId="77777777" w:rsidR="002831ED" w:rsidRPr="009F6D1E" w:rsidRDefault="002831ED" w:rsidP="0084747F">
            <w:pPr>
              <w:spacing w:after="60" w:line="264" w:lineRule="auto"/>
              <w:jc w:val="both"/>
              <w:rPr>
                <w:rFonts w:cs="Times New Roman"/>
                <w:sz w:val="20"/>
                <w:szCs w:val="20"/>
                <w:highlight w:val="yellow"/>
              </w:rPr>
            </w:pPr>
            <w:r w:rsidRPr="009F6D1E">
              <w:rPr>
                <w:rFonts w:cs="Times New Roman"/>
                <w:sz w:val="20"/>
                <w:szCs w:val="20"/>
              </w:rPr>
              <w:lastRenderedPageBreak/>
              <w:t>Наличие на пряко, положително и дългосрочно въздействие при реализирането на заложените като част от специфичната цел потребности, с изключение на потребност пет.</w:t>
            </w:r>
          </w:p>
        </w:tc>
        <w:tc>
          <w:tcPr>
            <w:tcW w:w="4218" w:type="dxa"/>
            <w:shd w:val="clear" w:color="auto" w:fill="auto"/>
          </w:tcPr>
          <w:p w14:paraId="53F2EA9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Потребност шест ще доведе до директно и положително въздействие върху материалните активи. Реализирането на интервенциите от която и да е от другите потребности няма да окажат въздействие върху материалните активи.</w:t>
            </w:r>
          </w:p>
        </w:tc>
      </w:tr>
      <w:tr w:rsidR="002831ED" w:rsidRPr="009F6D1E" w14:paraId="02E4B1FA" w14:textId="77777777" w:rsidTr="00AB2292">
        <w:trPr>
          <w:trHeight w:val="318"/>
        </w:trPr>
        <w:tc>
          <w:tcPr>
            <w:tcW w:w="0" w:type="auto"/>
          </w:tcPr>
          <w:p w14:paraId="1F106FAA"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Културно-историческо наследство</w:t>
            </w:r>
          </w:p>
        </w:tc>
        <w:tc>
          <w:tcPr>
            <w:tcW w:w="4032" w:type="dxa"/>
            <w:shd w:val="clear" w:color="auto" w:fill="auto"/>
          </w:tcPr>
          <w:p w14:paraId="549893DD"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Специфичната цел няма пряко отношение към </w:t>
            </w:r>
            <w:r w:rsidRPr="009F6D1E">
              <w:rPr>
                <w:rFonts w:cs="Times New Roman"/>
                <w:bCs/>
                <w:sz w:val="20"/>
                <w:szCs w:val="20"/>
              </w:rPr>
              <w:t xml:space="preserve">културно-историческо наследство – </w:t>
            </w:r>
            <w:r w:rsidRPr="009F6D1E">
              <w:rPr>
                <w:rFonts w:eastAsia="Tahoma" w:cs="Times New Roman"/>
                <w:sz w:val="20"/>
                <w:szCs w:val="20"/>
                <w:lang w:eastAsia="zh-CN"/>
              </w:rPr>
              <w:t>не се очаква въздействие.</w:t>
            </w:r>
          </w:p>
        </w:tc>
        <w:tc>
          <w:tcPr>
            <w:tcW w:w="4111" w:type="dxa"/>
          </w:tcPr>
          <w:p w14:paraId="7C6D6D9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Специфичната цел няма пряко отношение към </w:t>
            </w:r>
            <w:r w:rsidRPr="009F6D1E">
              <w:rPr>
                <w:rFonts w:cs="Times New Roman"/>
                <w:bCs/>
                <w:sz w:val="20"/>
                <w:szCs w:val="20"/>
              </w:rPr>
              <w:t xml:space="preserve">културно-историческо наследство – </w:t>
            </w:r>
            <w:r w:rsidRPr="009F6D1E">
              <w:rPr>
                <w:rFonts w:eastAsia="Tahoma" w:cs="Times New Roman"/>
                <w:sz w:val="20"/>
                <w:szCs w:val="20"/>
                <w:lang w:eastAsia="zh-CN"/>
              </w:rPr>
              <w:t>не се очаква въздействие.</w:t>
            </w:r>
          </w:p>
        </w:tc>
        <w:tc>
          <w:tcPr>
            <w:tcW w:w="4218" w:type="dxa"/>
            <w:shd w:val="clear" w:color="auto" w:fill="auto"/>
          </w:tcPr>
          <w:p w14:paraId="0D11E75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Специфичната цел няма пряко отношение към </w:t>
            </w:r>
            <w:r w:rsidRPr="009F6D1E">
              <w:rPr>
                <w:rFonts w:cs="Times New Roman"/>
                <w:bCs/>
                <w:sz w:val="20"/>
                <w:szCs w:val="20"/>
              </w:rPr>
              <w:t xml:space="preserve">културно-историческо наследство – </w:t>
            </w:r>
            <w:r w:rsidRPr="009F6D1E">
              <w:rPr>
                <w:rFonts w:eastAsia="Tahoma" w:cs="Times New Roman"/>
                <w:sz w:val="20"/>
                <w:szCs w:val="20"/>
                <w:lang w:eastAsia="zh-CN"/>
              </w:rPr>
              <w:t>не се очаква въздействие.</w:t>
            </w:r>
          </w:p>
        </w:tc>
      </w:tr>
      <w:tr w:rsidR="002831ED" w:rsidRPr="009F6D1E" w14:paraId="1CEC7888" w14:textId="77777777" w:rsidTr="00AB2292">
        <w:trPr>
          <w:trHeight w:val="318"/>
        </w:trPr>
        <w:tc>
          <w:tcPr>
            <w:tcW w:w="0" w:type="auto"/>
          </w:tcPr>
          <w:p w14:paraId="1A8C6E3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4032" w:type="dxa"/>
            <w:shd w:val="clear" w:color="auto" w:fill="auto"/>
          </w:tcPr>
          <w:p w14:paraId="186D9FEF"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 върху вредните физични фактори при изпълнението на специфичната цел.</w:t>
            </w:r>
          </w:p>
        </w:tc>
        <w:tc>
          <w:tcPr>
            <w:tcW w:w="4111" w:type="dxa"/>
          </w:tcPr>
          <w:p w14:paraId="409D5DC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 подобие на оценените въздействия по фактори климат и атмосферен въздух.</w:t>
            </w:r>
          </w:p>
        </w:tc>
        <w:tc>
          <w:tcPr>
            <w:tcW w:w="4218" w:type="dxa"/>
            <w:shd w:val="clear" w:color="auto" w:fill="auto"/>
          </w:tcPr>
          <w:p w14:paraId="70237FD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Въздействие, характеризиращо се като пряко и положително, ще има единствено и само при реализиране на потребност шест. Другите потребности в специфичната цел не водят до </w:t>
            </w:r>
            <w:r w:rsidRPr="009F6D1E">
              <w:rPr>
                <w:rFonts w:eastAsia="Tahoma" w:cs="Times New Roman"/>
                <w:sz w:val="20"/>
                <w:szCs w:val="20"/>
                <w:lang w:eastAsia="zh-CN"/>
              </w:rPr>
              <w:lastRenderedPageBreak/>
              <w:t>каквито и да е въздействия върху вредните физични фактори.</w:t>
            </w:r>
          </w:p>
        </w:tc>
      </w:tr>
      <w:tr w:rsidR="002831ED" w:rsidRPr="009F6D1E" w14:paraId="2857462D" w14:textId="77777777" w:rsidTr="00AB2292">
        <w:trPr>
          <w:trHeight w:val="318"/>
        </w:trPr>
        <w:tc>
          <w:tcPr>
            <w:tcW w:w="0" w:type="auto"/>
          </w:tcPr>
          <w:p w14:paraId="36D8C50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 xml:space="preserve">Отпадъци </w:t>
            </w:r>
          </w:p>
        </w:tc>
        <w:tc>
          <w:tcPr>
            <w:tcW w:w="4032" w:type="dxa"/>
            <w:shd w:val="clear" w:color="auto" w:fill="auto"/>
          </w:tcPr>
          <w:p w14:paraId="350AC22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отпадъците фактори при изпълнението на специфичната цел.</w:t>
            </w:r>
          </w:p>
        </w:tc>
        <w:tc>
          <w:tcPr>
            <w:tcW w:w="4111" w:type="dxa"/>
          </w:tcPr>
          <w:p w14:paraId="78C6551C"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По подобие на оценените въздействия по фактори климат и атмосферен въздух и вредни физични фактори. </w:t>
            </w:r>
          </w:p>
        </w:tc>
        <w:tc>
          <w:tcPr>
            <w:tcW w:w="4218" w:type="dxa"/>
            <w:shd w:val="clear" w:color="auto" w:fill="auto"/>
          </w:tcPr>
          <w:p w14:paraId="6BBC0D4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Въздействие, характеризиращо се като пряко и положително, ще има единствено и само при реализиране на потребност шест. Другите потребности в специфичната цел не водят до каквито и да е въздействия върху отпадъците.</w:t>
            </w:r>
          </w:p>
        </w:tc>
      </w:tr>
      <w:tr w:rsidR="002831ED" w:rsidRPr="009F6D1E" w14:paraId="37AB7D4B" w14:textId="77777777" w:rsidTr="00AB2292">
        <w:tc>
          <w:tcPr>
            <w:tcW w:w="0" w:type="auto"/>
          </w:tcPr>
          <w:p w14:paraId="372BE1E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Опасни химични вещества и риск от големи аварии</w:t>
            </w:r>
          </w:p>
        </w:tc>
        <w:tc>
          <w:tcPr>
            <w:tcW w:w="4032" w:type="dxa"/>
            <w:shd w:val="clear" w:color="auto" w:fill="auto"/>
          </w:tcPr>
          <w:p w14:paraId="2986EFB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опасните химични вещества и риска от големи аварии при изпълнението на специфичната цел.</w:t>
            </w:r>
          </w:p>
        </w:tc>
        <w:tc>
          <w:tcPr>
            <w:tcW w:w="4111" w:type="dxa"/>
          </w:tcPr>
          <w:p w14:paraId="38A6A57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опасните химични вещества и риска от големи аварии при изпълнението на специфичната цел.</w:t>
            </w:r>
          </w:p>
        </w:tc>
        <w:tc>
          <w:tcPr>
            <w:tcW w:w="4218" w:type="dxa"/>
            <w:shd w:val="clear" w:color="auto" w:fill="auto"/>
          </w:tcPr>
          <w:p w14:paraId="6C27386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няма влияние върху опасните химични вещества и риска от големи аварии.</w:t>
            </w:r>
          </w:p>
        </w:tc>
      </w:tr>
      <w:tr w:rsidR="002831ED" w:rsidRPr="009F6D1E" w14:paraId="52784AE2" w14:textId="77777777" w:rsidTr="00AB2292">
        <w:tc>
          <w:tcPr>
            <w:tcW w:w="0" w:type="auto"/>
          </w:tcPr>
          <w:p w14:paraId="48F270C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17DE380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4318FA74"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Риск от инциденти</w:t>
            </w:r>
          </w:p>
        </w:tc>
        <w:tc>
          <w:tcPr>
            <w:tcW w:w="4032" w:type="dxa"/>
            <w:shd w:val="clear" w:color="auto" w:fill="auto"/>
          </w:tcPr>
          <w:p w14:paraId="304D02A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населението, риска от инциденти и човешкото здраве при изпълнението на специфичната цел.</w:t>
            </w:r>
          </w:p>
        </w:tc>
        <w:tc>
          <w:tcPr>
            <w:tcW w:w="4111" w:type="dxa"/>
          </w:tcPr>
          <w:p w14:paraId="156C1B6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Като цяло реализирането на специфичната цел ще доведе до положително въздействие върху населението, вкл. и върху неговото здраве.</w:t>
            </w:r>
          </w:p>
        </w:tc>
        <w:tc>
          <w:tcPr>
            <w:tcW w:w="4218" w:type="dxa"/>
            <w:shd w:val="clear" w:color="auto" w:fill="auto"/>
          </w:tcPr>
          <w:p w14:paraId="6F63607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специфичната цел ще доведе до подобряване на социално-икономическите условия на средата и от тук ще повлияе </w:t>
            </w:r>
            <w:r w:rsidRPr="009F6D1E">
              <w:rPr>
                <w:rFonts w:eastAsia="Tahoma" w:cs="Times New Roman"/>
                <w:sz w:val="20"/>
                <w:szCs w:val="20"/>
                <w:lang w:eastAsia="zh-CN"/>
              </w:rPr>
              <w:lastRenderedPageBreak/>
              <w:t>индиректно и положително и върху здравето на населението.</w:t>
            </w:r>
          </w:p>
        </w:tc>
      </w:tr>
      <w:bookmarkEnd w:id="583"/>
    </w:tbl>
    <w:p w14:paraId="6BDDACF8" w14:textId="77777777" w:rsidR="004A41FF" w:rsidRPr="009F6D1E" w:rsidRDefault="004A41FF" w:rsidP="0084747F">
      <w:pPr>
        <w:spacing w:after="60" w:line="264" w:lineRule="auto"/>
        <w:jc w:val="both"/>
        <w:rPr>
          <w:rFonts w:eastAsia="Tahoma" w:cs="Times New Roman"/>
          <w:sz w:val="20"/>
          <w:szCs w:val="20"/>
          <w:lang w:eastAsia="zh-CN"/>
        </w:rPr>
      </w:pPr>
    </w:p>
    <w:p w14:paraId="3241A360" w14:textId="77777777" w:rsidR="009652DB" w:rsidRPr="009F6D1E" w:rsidRDefault="009652DB" w:rsidP="0084747F">
      <w:pPr>
        <w:spacing w:after="60" w:line="264" w:lineRule="auto"/>
        <w:jc w:val="both"/>
        <w:rPr>
          <w:rFonts w:eastAsia="Tahoma" w:cs="Times New Roman"/>
          <w:sz w:val="20"/>
          <w:szCs w:val="20"/>
          <w:lang w:eastAsia="zh-CN"/>
        </w:rPr>
      </w:pPr>
    </w:p>
    <w:p w14:paraId="1B256854" w14:textId="77777777" w:rsidR="009652DB" w:rsidRPr="009F6D1E" w:rsidRDefault="009652DB" w:rsidP="0084747F">
      <w:pPr>
        <w:spacing w:after="60" w:line="264" w:lineRule="auto"/>
        <w:jc w:val="both"/>
        <w:rPr>
          <w:rFonts w:eastAsia="Tahoma" w:cs="Times New Roman"/>
          <w:sz w:val="20"/>
          <w:szCs w:val="20"/>
          <w:lang w:eastAsia="zh-CN"/>
        </w:rPr>
      </w:pP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753"/>
        <w:gridCol w:w="4187"/>
        <w:gridCol w:w="3825"/>
      </w:tblGrid>
      <w:tr w:rsidR="002831ED" w:rsidRPr="009F6D1E" w14:paraId="1E40EDA4" w14:textId="77777777" w:rsidTr="00AB2292">
        <w:trPr>
          <w:tblHeader/>
        </w:trPr>
        <w:tc>
          <w:tcPr>
            <w:tcW w:w="1980" w:type="dxa"/>
            <w:vMerge w:val="restart"/>
            <w:shd w:val="clear" w:color="auto" w:fill="D9D9D9" w:themeFill="background1" w:themeFillShade="D9"/>
            <w:textDirection w:val="btLr"/>
            <w:vAlign w:val="center"/>
          </w:tcPr>
          <w:p w14:paraId="052018D0" w14:textId="77777777" w:rsidR="002831ED" w:rsidRPr="009F6D1E" w:rsidRDefault="002831ED" w:rsidP="0084747F">
            <w:pPr>
              <w:spacing w:after="60" w:line="264" w:lineRule="auto"/>
              <w:ind w:left="113" w:right="113"/>
              <w:jc w:val="center"/>
              <w:rPr>
                <w:rFonts w:cs="Times New Roman"/>
                <w:b/>
                <w:bCs/>
              </w:rPr>
            </w:pPr>
            <w:bookmarkStart w:id="584" w:name="_Hlk96691177"/>
            <w:r w:rsidRPr="009F6D1E">
              <w:rPr>
                <w:rFonts w:cs="Times New Roman"/>
                <w:b/>
                <w:bCs/>
              </w:rPr>
              <w:lastRenderedPageBreak/>
              <w:t>КОМПОНЕНТ/</w:t>
            </w:r>
          </w:p>
          <w:p w14:paraId="3B64A32D" w14:textId="77777777" w:rsidR="002831ED" w:rsidRPr="009F6D1E" w:rsidRDefault="002831ED" w:rsidP="0084747F">
            <w:pPr>
              <w:spacing w:after="60" w:line="264" w:lineRule="auto"/>
              <w:ind w:left="113" w:right="113"/>
              <w:jc w:val="center"/>
              <w:rPr>
                <w:rFonts w:cs="Times New Roman"/>
                <w:b/>
                <w:bCs/>
                <w:i/>
                <w:sz w:val="20"/>
                <w:szCs w:val="20"/>
              </w:rPr>
            </w:pPr>
            <w:r w:rsidRPr="009F6D1E">
              <w:rPr>
                <w:rFonts w:cs="Times New Roman"/>
                <w:b/>
                <w:bCs/>
              </w:rPr>
              <w:t>ФАКТОР НА ОКОЛНАТА СРЕДА</w:t>
            </w:r>
          </w:p>
        </w:tc>
        <w:tc>
          <w:tcPr>
            <w:tcW w:w="3753" w:type="dxa"/>
            <w:shd w:val="clear" w:color="auto" w:fill="D9D9D9" w:themeFill="background1" w:themeFillShade="D9"/>
          </w:tcPr>
          <w:p w14:paraId="1ED4D75B"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№4: Принос за смекчаване на изменението на климата и за адаптиране към него, включително чрез намаляване на емисиите на парникови газове и повишаване на улавянето на въглерод, както и насърчаване на устойчивата енергия.</w:t>
            </w:r>
          </w:p>
        </w:tc>
        <w:tc>
          <w:tcPr>
            <w:tcW w:w="4187" w:type="dxa"/>
            <w:shd w:val="clear" w:color="auto" w:fill="D9D9D9" w:themeFill="background1" w:themeFillShade="D9"/>
          </w:tcPr>
          <w:p w14:paraId="66568803"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№5: Насърчаване на устойчиво развитие и ефективно управление на природните ресурси като вода, почва и въздух, включително чрез намаляване на зависимостта от химикали</w:t>
            </w:r>
          </w:p>
        </w:tc>
        <w:tc>
          <w:tcPr>
            <w:tcW w:w="3825" w:type="dxa"/>
            <w:shd w:val="clear" w:color="auto" w:fill="D9D9D9" w:themeFill="background1" w:themeFillShade="D9"/>
          </w:tcPr>
          <w:p w14:paraId="20ACBFA5" w14:textId="77777777" w:rsidR="002831ED" w:rsidRPr="009F6D1E" w:rsidRDefault="002831ED" w:rsidP="0084747F">
            <w:pPr>
              <w:spacing w:after="60" w:line="264" w:lineRule="auto"/>
              <w:jc w:val="center"/>
              <w:rPr>
                <w:rFonts w:cs="Times New Roman"/>
                <w:b/>
                <w:bCs/>
                <w:i/>
              </w:rPr>
            </w:pPr>
            <w:r w:rsidRPr="009F6D1E">
              <w:rPr>
                <w:rFonts w:cs="Times New Roman"/>
                <w:b/>
                <w:bCs/>
              </w:rPr>
              <w:t>Специфична цел № 6: Принос за спиране на загубата на биологично разнообразие и обръщане на тази тенденция, подобряване на екосистемните услуги и опазване на местообитанията и ландшафта.</w:t>
            </w:r>
          </w:p>
        </w:tc>
      </w:tr>
      <w:tr w:rsidR="002831ED" w:rsidRPr="009F6D1E" w14:paraId="62B814C4" w14:textId="77777777" w:rsidTr="00AB2292">
        <w:trPr>
          <w:tblHeader/>
        </w:trPr>
        <w:tc>
          <w:tcPr>
            <w:tcW w:w="1980" w:type="dxa"/>
            <w:vMerge/>
            <w:shd w:val="clear" w:color="auto" w:fill="FFF2CC" w:themeFill="accent4" w:themeFillTint="33"/>
          </w:tcPr>
          <w:p w14:paraId="3BE9781B" w14:textId="77777777" w:rsidR="002831ED" w:rsidRPr="009F6D1E" w:rsidRDefault="002831ED" w:rsidP="0084747F">
            <w:pPr>
              <w:spacing w:after="60" w:line="264" w:lineRule="auto"/>
              <w:jc w:val="center"/>
              <w:rPr>
                <w:rFonts w:cs="Times New Roman"/>
                <w:b/>
                <w:bCs/>
                <w:sz w:val="20"/>
                <w:szCs w:val="20"/>
              </w:rPr>
            </w:pPr>
          </w:p>
        </w:tc>
        <w:tc>
          <w:tcPr>
            <w:tcW w:w="11765" w:type="dxa"/>
            <w:gridSpan w:val="3"/>
            <w:shd w:val="clear" w:color="auto" w:fill="FFF2CC" w:themeFill="accent4" w:themeFillTint="33"/>
          </w:tcPr>
          <w:p w14:paraId="06B1813F" w14:textId="77777777" w:rsidR="002831ED" w:rsidRPr="009F6D1E" w:rsidRDefault="002831ED" w:rsidP="0084747F">
            <w:pPr>
              <w:spacing w:after="60" w:line="264" w:lineRule="auto"/>
              <w:jc w:val="center"/>
              <w:rPr>
                <w:rFonts w:cs="Times New Roman"/>
                <w:b/>
                <w:bCs/>
                <w:szCs w:val="24"/>
              </w:rPr>
            </w:pPr>
            <w:r w:rsidRPr="009F6D1E">
              <w:rPr>
                <w:rFonts w:cs="Times New Roman"/>
                <w:b/>
                <w:bCs/>
                <w:szCs w:val="24"/>
              </w:rPr>
              <w:t>Въздействие</w:t>
            </w:r>
          </w:p>
        </w:tc>
      </w:tr>
      <w:tr w:rsidR="002831ED" w:rsidRPr="009F6D1E" w14:paraId="2C6134DF" w14:textId="77777777" w:rsidTr="00AB2292">
        <w:trPr>
          <w:cantSplit/>
          <w:trHeight w:val="1134"/>
        </w:trPr>
        <w:tc>
          <w:tcPr>
            <w:tcW w:w="1980" w:type="dxa"/>
          </w:tcPr>
          <w:p w14:paraId="4B019CF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Климат, Изменение на климата, Адаптация към изменящия се климат</w:t>
            </w:r>
          </w:p>
        </w:tc>
        <w:tc>
          <w:tcPr>
            <w:tcW w:w="3753" w:type="dxa"/>
            <w:shd w:val="clear" w:color="auto" w:fill="auto"/>
          </w:tcPr>
          <w:p w14:paraId="17EF699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Като цяло реализирането на специфичната цел ще допринесе за пряко и положително повлияване на климатичните промени, като резултат от намаляване количествата генерирани парникови газове. Положително въздействие по отношение адаптацията към климатичните промени ще окаже и реализацията на потребности 4 и 5, както и 8 и 9. Реализирането на потребност 7 не се очаква да доведе да повлияе по какъвто и да е начин процесите, свързани с климатичните промени, както и да допринесе за адаптацията към същите.</w:t>
            </w:r>
          </w:p>
        </w:tc>
        <w:tc>
          <w:tcPr>
            <w:tcW w:w="4187" w:type="dxa"/>
          </w:tcPr>
          <w:p w14:paraId="56B20EE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В своята цялост изпълнението на специфична цел 5 ще допринесе за положително въздействие върху процесите, свързани с промяна на климата, като само изпълнението на първата и последната потребност не се очаква да има каквото и да е въздействие върху климатичните промени.</w:t>
            </w:r>
          </w:p>
        </w:tc>
        <w:tc>
          <w:tcPr>
            <w:tcW w:w="3825" w:type="dxa"/>
            <w:shd w:val="clear" w:color="auto" w:fill="auto"/>
          </w:tcPr>
          <w:p w14:paraId="07F3BB3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Реализирането на потребностите, в т ч потребности 1, 2, 3 и 5, свързани с опазване на биологичното разнообразие, възстановяване и поддържане на деградирали пасищни територии, както и насърчаване и подпомагане на биологичното земеделие ще окаже положително въздействие върху промените в климата, като ще допринесе до намаляване на парниковите газове пряко или индиректно. Реализирането на останалите потребности не се очаква да окаже въздействие върху процесите, свързани с климатичните промени.</w:t>
            </w:r>
          </w:p>
        </w:tc>
      </w:tr>
      <w:tr w:rsidR="002831ED" w:rsidRPr="009F6D1E" w14:paraId="76922D92" w14:textId="77777777" w:rsidTr="00AB2292">
        <w:trPr>
          <w:trHeight w:val="318"/>
        </w:trPr>
        <w:tc>
          <w:tcPr>
            <w:tcW w:w="1980" w:type="dxa"/>
          </w:tcPr>
          <w:p w14:paraId="2836225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Качество на атмосферния въздух</w:t>
            </w:r>
          </w:p>
        </w:tc>
        <w:tc>
          <w:tcPr>
            <w:tcW w:w="3753" w:type="dxa"/>
            <w:shd w:val="clear" w:color="auto" w:fill="auto"/>
          </w:tcPr>
          <w:p w14:paraId="3FCFF01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специфичната цел ще има положително въздействие върху качеството на атмосферния въздух, в </w:t>
            </w:r>
            <w:r w:rsidRPr="009F6D1E">
              <w:rPr>
                <w:rFonts w:eastAsia="Tahoma" w:cs="Times New Roman"/>
                <w:sz w:val="20"/>
                <w:szCs w:val="20"/>
                <w:lang w:eastAsia="zh-CN"/>
              </w:rPr>
              <w:lastRenderedPageBreak/>
              <w:t>резултат от намаляване на отделяните в атмосферата замърсители. Единствено реализирането на потребност 7 не се очаква да повлияе по какъвто и да е начин КАВ в районите, където се изпълнява.</w:t>
            </w:r>
          </w:p>
        </w:tc>
        <w:tc>
          <w:tcPr>
            <w:tcW w:w="4187" w:type="dxa"/>
          </w:tcPr>
          <w:p w14:paraId="273B958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С изключение на потребности 1 и 7, чието реализиране не е свързано с каквито и да е въздействия върху качеството на атмосферния </w:t>
            </w:r>
            <w:r w:rsidRPr="009F6D1E">
              <w:rPr>
                <w:rFonts w:eastAsia="Tahoma" w:cs="Times New Roman"/>
                <w:sz w:val="20"/>
                <w:szCs w:val="20"/>
                <w:lang w:eastAsia="zh-CN"/>
              </w:rPr>
              <w:lastRenderedPageBreak/>
              <w:t>въздух в районите, където се реализират дейностите, то всички останали потребности ще повлияят положително КАВ, като резултат на намаляване на отделяните емисии в атмосферата.</w:t>
            </w:r>
          </w:p>
        </w:tc>
        <w:tc>
          <w:tcPr>
            <w:tcW w:w="3825" w:type="dxa"/>
            <w:shd w:val="clear" w:color="auto" w:fill="auto"/>
          </w:tcPr>
          <w:p w14:paraId="33E5163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Положително въздействие върху КАВ ще окаже реализирането на потребности 1, 2, 3 и 5, като същото ще е в резултат на </w:t>
            </w:r>
            <w:r w:rsidRPr="009F6D1E">
              <w:rPr>
                <w:rFonts w:eastAsia="Tahoma" w:cs="Times New Roman"/>
                <w:sz w:val="20"/>
                <w:szCs w:val="20"/>
                <w:lang w:eastAsia="zh-CN"/>
              </w:rPr>
              <w:lastRenderedPageBreak/>
              <w:t>намаляване на емитираните в атмосферата замърсители. Извършването на дейности по която и да е от останалите потребности не е свързано с каквото и да е въздействие върху качеството на атмосферния въздух.</w:t>
            </w:r>
          </w:p>
        </w:tc>
      </w:tr>
      <w:tr w:rsidR="002831ED" w:rsidRPr="009F6D1E" w14:paraId="6F8DD0FF" w14:textId="77777777" w:rsidTr="00AB2292">
        <w:trPr>
          <w:trHeight w:val="318"/>
        </w:trPr>
        <w:tc>
          <w:tcPr>
            <w:tcW w:w="1980" w:type="dxa"/>
          </w:tcPr>
          <w:p w14:paraId="60EB21F7"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Повърхностни води</w:t>
            </w:r>
          </w:p>
          <w:p w14:paraId="3782D82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31ABE8DA"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ЗЗВ</w:t>
            </w:r>
          </w:p>
          <w:p w14:paraId="2B10B70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Риск от наводнения</w:t>
            </w:r>
          </w:p>
        </w:tc>
        <w:tc>
          <w:tcPr>
            <w:tcW w:w="3753" w:type="dxa"/>
            <w:shd w:val="clear" w:color="auto" w:fill="auto"/>
          </w:tcPr>
          <w:p w14:paraId="3B4989F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водите са: положителни - по Потребности  4.1, 4.3, 4.4, 4.5, 4.8 и 4.9.</w:t>
            </w:r>
          </w:p>
          <w:p w14:paraId="0F3E921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водите по Потребности  4.2, 4.6 и 4.7.</w:t>
            </w:r>
          </w:p>
          <w:p w14:paraId="6E77292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Очаква се положително, постоянно, пряко, едновременно, кумулативно въздействие върху повърхностните и подземните води, дължащо се на: намаляване на натиска и въздействието върху количественото и химичното състояние на водите, вследствие на </w:t>
            </w:r>
            <w:r w:rsidRPr="009F6D1E">
              <w:rPr>
                <w:rFonts w:eastAsia="Tahoma" w:cs="Times New Roman"/>
                <w:sz w:val="20"/>
                <w:szCs w:val="20"/>
                <w:lang w:eastAsia="zh-CN"/>
              </w:rPr>
              <w:lastRenderedPageBreak/>
              <w:t>устойчивото управление и опазване на екосистемите. Специфичната цел ще допринесе до намаляване на риска от наводнения.</w:t>
            </w:r>
          </w:p>
        </w:tc>
        <w:tc>
          <w:tcPr>
            <w:tcW w:w="4187" w:type="dxa"/>
          </w:tcPr>
          <w:p w14:paraId="6C72FB8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Очакваните въздействия върху водите са: положителни - по Потребности  5.1, 5.4, 5.5 и 5.7.</w:t>
            </w:r>
          </w:p>
          <w:p w14:paraId="12298BEC"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водите по Потребности  5.2, 5.3 и 5.6 .</w:t>
            </w:r>
          </w:p>
          <w:p w14:paraId="5EE990A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е с косвено, положително постоянно, дългосрочно въздействие по отношение на опазване на водите, зоните за защита на водите. Няма пряк потенциал за намаляване на риска от наводнения.</w:t>
            </w:r>
          </w:p>
        </w:tc>
        <w:tc>
          <w:tcPr>
            <w:tcW w:w="3825" w:type="dxa"/>
            <w:shd w:val="clear" w:color="auto" w:fill="auto"/>
          </w:tcPr>
          <w:p w14:paraId="415F788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водите са: положителни - по Потребности  6.1, 6.2, 6.4 и 6.5.</w:t>
            </w:r>
          </w:p>
          <w:p w14:paraId="069F209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водите по Потребности  6.3, 6.6, 6.7, 6.8 и 6.9</w:t>
            </w:r>
          </w:p>
          <w:p w14:paraId="21B31DE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е с косвено, положително постоянно, дългосрочно въздействие по отношение на опазване на водите, зоните за защита на водите. Няма пряк потенциал за намаляване на риска от наводнения.</w:t>
            </w:r>
          </w:p>
        </w:tc>
      </w:tr>
      <w:tr w:rsidR="002831ED" w:rsidRPr="009F6D1E" w14:paraId="6BC299E5" w14:textId="77777777" w:rsidTr="00AB2292">
        <w:trPr>
          <w:trHeight w:val="318"/>
        </w:trPr>
        <w:tc>
          <w:tcPr>
            <w:tcW w:w="1980" w:type="dxa"/>
          </w:tcPr>
          <w:p w14:paraId="2E97B07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Земни недра</w:t>
            </w:r>
          </w:p>
        </w:tc>
        <w:tc>
          <w:tcPr>
            <w:tcW w:w="3753" w:type="dxa"/>
            <w:shd w:val="clear" w:color="auto" w:fill="auto"/>
          </w:tcPr>
          <w:p w14:paraId="0C587E7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87" w:type="dxa"/>
          </w:tcPr>
          <w:p w14:paraId="39F7B96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825" w:type="dxa"/>
            <w:shd w:val="clear" w:color="auto" w:fill="auto"/>
          </w:tcPr>
          <w:p w14:paraId="6F8F692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08F1D08E" w14:textId="77777777" w:rsidTr="00AB2292">
        <w:trPr>
          <w:trHeight w:val="318"/>
        </w:trPr>
        <w:tc>
          <w:tcPr>
            <w:tcW w:w="1980" w:type="dxa"/>
          </w:tcPr>
          <w:p w14:paraId="2396C90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Почви</w:t>
            </w:r>
          </w:p>
          <w:p w14:paraId="6AAAB522" w14:textId="77777777" w:rsidR="002831ED" w:rsidRPr="009F6D1E" w:rsidRDefault="002831ED" w:rsidP="0084747F">
            <w:pPr>
              <w:spacing w:after="60" w:line="264" w:lineRule="auto"/>
              <w:jc w:val="both"/>
              <w:rPr>
                <w:rFonts w:eastAsia="Tahoma" w:cs="Times New Roman"/>
                <w:sz w:val="20"/>
                <w:szCs w:val="20"/>
                <w:lang w:eastAsia="zh-CN"/>
              </w:rPr>
            </w:pPr>
            <w:proofErr w:type="spellStart"/>
            <w:r w:rsidRPr="009F6D1E">
              <w:rPr>
                <w:rFonts w:cs="Times New Roman"/>
                <w:b/>
                <w:bCs/>
                <w:sz w:val="20"/>
                <w:szCs w:val="20"/>
              </w:rPr>
              <w:t>Земеползване</w:t>
            </w:r>
            <w:proofErr w:type="spellEnd"/>
          </w:p>
        </w:tc>
        <w:tc>
          <w:tcPr>
            <w:tcW w:w="3753" w:type="dxa"/>
            <w:shd w:val="clear" w:color="auto" w:fill="auto"/>
          </w:tcPr>
          <w:p w14:paraId="31F3BDE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№4 ще окаже пряко положително въздействие върху почвите.</w:t>
            </w:r>
          </w:p>
        </w:tc>
        <w:tc>
          <w:tcPr>
            <w:tcW w:w="4187" w:type="dxa"/>
          </w:tcPr>
          <w:p w14:paraId="6EC93DF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№5 ще окаже пряко положително въздействие върху почвите.</w:t>
            </w:r>
          </w:p>
        </w:tc>
        <w:tc>
          <w:tcPr>
            <w:tcW w:w="3825" w:type="dxa"/>
            <w:shd w:val="clear" w:color="auto" w:fill="auto"/>
          </w:tcPr>
          <w:p w14:paraId="395B91B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№6 ще окаже пряко положително въздействие върху почвите.</w:t>
            </w:r>
          </w:p>
        </w:tc>
      </w:tr>
      <w:tr w:rsidR="002831ED" w:rsidRPr="009F6D1E" w14:paraId="24CE514C" w14:textId="77777777" w:rsidTr="00AB2292">
        <w:trPr>
          <w:trHeight w:val="1505"/>
        </w:trPr>
        <w:tc>
          <w:tcPr>
            <w:tcW w:w="1980" w:type="dxa"/>
          </w:tcPr>
          <w:p w14:paraId="3FDA9E78"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40FE34F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7343AE1E"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cs="Times New Roman"/>
                <w:b/>
                <w:bCs/>
                <w:sz w:val="20"/>
                <w:szCs w:val="20"/>
              </w:rPr>
              <w:t>ЗТ</w:t>
            </w:r>
          </w:p>
        </w:tc>
        <w:tc>
          <w:tcPr>
            <w:tcW w:w="3753" w:type="dxa"/>
            <w:shd w:val="clear" w:color="auto" w:fill="auto"/>
          </w:tcPr>
          <w:p w14:paraId="067B976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4.1, и П 4.2, П 4.3, П 4.5, П 4.6, П 4.8, П 4.9</w:t>
            </w:r>
          </w:p>
          <w:p w14:paraId="4E6D2B6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Очаква се въздействие със слаба отрицателна значимост от П 4.3, П 4.5, П 4.9 </w:t>
            </w:r>
          </w:p>
        </w:tc>
        <w:tc>
          <w:tcPr>
            <w:tcW w:w="4187" w:type="dxa"/>
          </w:tcPr>
          <w:p w14:paraId="4D27037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5.1, П 5.2, П 5.4, П 5.5, П 5.6, П 5.7</w:t>
            </w:r>
          </w:p>
          <w:p w14:paraId="6CBC6EB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отрицателна значимост от П 5.1, П 5.7</w:t>
            </w:r>
          </w:p>
        </w:tc>
        <w:tc>
          <w:tcPr>
            <w:tcW w:w="3825" w:type="dxa"/>
          </w:tcPr>
          <w:p w14:paraId="13EFC90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6.1, и П 6.2, П 6.3, П 6.5, П 6.8, П 6.9</w:t>
            </w:r>
          </w:p>
          <w:p w14:paraId="70FF0E7E" w14:textId="77777777" w:rsidR="002831ED" w:rsidRPr="009F6D1E" w:rsidRDefault="002831ED" w:rsidP="0084747F">
            <w:pPr>
              <w:spacing w:after="60" w:line="264" w:lineRule="auto"/>
              <w:jc w:val="both"/>
              <w:rPr>
                <w:rFonts w:eastAsia="Tahoma" w:cs="Times New Roman"/>
                <w:sz w:val="20"/>
                <w:szCs w:val="20"/>
                <w:lang w:eastAsia="zh-CN"/>
              </w:rPr>
            </w:pPr>
          </w:p>
          <w:p w14:paraId="03DBDD88" w14:textId="77777777" w:rsidR="002831ED" w:rsidRPr="009F6D1E" w:rsidRDefault="002831ED" w:rsidP="0084747F">
            <w:pPr>
              <w:spacing w:after="60" w:line="264" w:lineRule="auto"/>
              <w:jc w:val="both"/>
              <w:rPr>
                <w:rFonts w:eastAsia="Tahoma" w:cs="Times New Roman"/>
                <w:sz w:val="20"/>
                <w:szCs w:val="20"/>
                <w:lang w:eastAsia="zh-CN"/>
              </w:rPr>
            </w:pPr>
          </w:p>
        </w:tc>
      </w:tr>
      <w:tr w:rsidR="002831ED" w:rsidRPr="009F6D1E" w14:paraId="2BDAEEF3" w14:textId="77777777" w:rsidTr="00AB2292">
        <w:trPr>
          <w:trHeight w:val="318"/>
        </w:trPr>
        <w:tc>
          <w:tcPr>
            <w:tcW w:w="1980" w:type="dxa"/>
          </w:tcPr>
          <w:p w14:paraId="1A118E8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lastRenderedPageBreak/>
              <w:t xml:space="preserve">Ландшафт </w:t>
            </w:r>
          </w:p>
        </w:tc>
        <w:tc>
          <w:tcPr>
            <w:tcW w:w="3753" w:type="dxa"/>
            <w:shd w:val="clear" w:color="auto" w:fill="auto"/>
          </w:tcPr>
          <w:p w14:paraId="2E949FB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№4 ще окаже пряко положително въздействие върху ландшафтите.</w:t>
            </w:r>
          </w:p>
        </w:tc>
        <w:tc>
          <w:tcPr>
            <w:tcW w:w="4187" w:type="dxa"/>
          </w:tcPr>
          <w:p w14:paraId="16BEFEF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№5 ще окаже пряко положително въздействие върху ландшафтите.</w:t>
            </w:r>
          </w:p>
        </w:tc>
        <w:tc>
          <w:tcPr>
            <w:tcW w:w="3825" w:type="dxa"/>
          </w:tcPr>
          <w:p w14:paraId="38478C3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Постигането на Специфична цел №6 ще окаже пряко положително въздействие върху ландшафтите.</w:t>
            </w:r>
          </w:p>
        </w:tc>
      </w:tr>
      <w:tr w:rsidR="002831ED" w:rsidRPr="009F6D1E" w14:paraId="6AE5C95E" w14:textId="77777777" w:rsidTr="00AB2292">
        <w:trPr>
          <w:trHeight w:val="318"/>
        </w:trPr>
        <w:tc>
          <w:tcPr>
            <w:tcW w:w="1980" w:type="dxa"/>
          </w:tcPr>
          <w:p w14:paraId="090DB95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Материални активи</w:t>
            </w:r>
          </w:p>
        </w:tc>
        <w:tc>
          <w:tcPr>
            <w:tcW w:w="3753" w:type="dxa"/>
            <w:shd w:val="clear" w:color="auto" w:fill="auto"/>
          </w:tcPr>
          <w:p w14:paraId="6E8D23DC"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Изпълнението на специфичната цел ще допринесе за пряко и положително въздействие върху материалните активи, като резултат от изграждането на соларни паркове и вятърни перки, единствено чрез изпълнението на потребност 3. Не се очаква реализирането на останалите потребности да окажат въздействие върху материалните активи.</w:t>
            </w:r>
          </w:p>
        </w:tc>
        <w:tc>
          <w:tcPr>
            <w:tcW w:w="4187" w:type="dxa"/>
          </w:tcPr>
          <w:p w14:paraId="37A5B18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Пряко и положително въздействие, като резултат от изграждане на поливни системи при реализирането на потребност 7. Не се очаква реализирането на останалите потребности да окажат въздействие върху материалните активи.</w:t>
            </w:r>
          </w:p>
        </w:tc>
        <w:tc>
          <w:tcPr>
            <w:tcW w:w="3825" w:type="dxa"/>
            <w:shd w:val="clear" w:color="auto" w:fill="auto"/>
          </w:tcPr>
          <w:p w14:paraId="6A982C3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Пряко и положително въздействие, резултат от повишаване на инвестициите в материални активи при реализирането на потребност 8. Не се очаква реализирането на останалите потребности да окажат въздействие върху материалните активи.</w:t>
            </w:r>
          </w:p>
        </w:tc>
      </w:tr>
      <w:tr w:rsidR="002831ED" w:rsidRPr="009F6D1E" w14:paraId="1BE918EE" w14:textId="77777777" w:rsidTr="00AB2292">
        <w:trPr>
          <w:trHeight w:val="318"/>
        </w:trPr>
        <w:tc>
          <w:tcPr>
            <w:tcW w:w="1980" w:type="dxa"/>
          </w:tcPr>
          <w:p w14:paraId="0C6B179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Културно-историческо наследство</w:t>
            </w:r>
          </w:p>
        </w:tc>
        <w:tc>
          <w:tcPr>
            <w:tcW w:w="3753" w:type="dxa"/>
            <w:shd w:val="clear" w:color="auto" w:fill="auto"/>
          </w:tcPr>
          <w:p w14:paraId="037563E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Непряко положително въздействие, свързано с ограничаване на неблагоприятните въздействия на замърсяването върху обекти на културно-историческото наследство.</w:t>
            </w:r>
          </w:p>
        </w:tc>
        <w:tc>
          <w:tcPr>
            <w:tcW w:w="4187" w:type="dxa"/>
          </w:tcPr>
          <w:p w14:paraId="4986A9E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Непряко положително въздействие, свързано с откриването на неизвестни към момента културни ценности.</w:t>
            </w:r>
          </w:p>
        </w:tc>
        <w:tc>
          <w:tcPr>
            <w:tcW w:w="3825" w:type="dxa"/>
            <w:shd w:val="clear" w:color="auto" w:fill="auto"/>
          </w:tcPr>
          <w:p w14:paraId="4E2FD41C"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няма пряко отношение към културно-историческо наследство.</w:t>
            </w:r>
          </w:p>
        </w:tc>
      </w:tr>
      <w:tr w:rsidR="002831ED" w:rsidRPr="009F6D1E" w14:paraId="287515A6" w14:textId="77777777" w:rsidTr="00AB2292">
        <w:trPr>
          <w:trHeight w:val="318"/>
        </w:trPr>
        <w:tc>
          <w:tcPr>
            <w:tcW w:w="1980" w:type="dxa"/>
          </w:tcPr>
          <w:p w14:paraId="586E255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Вредни физични фактори</w:t>
            </w:r>
          </w:p>
        </w:tc>
        <w:tc>
          <w:tcPr>
            <w:tcW w:w="3753" w:type="dxa"/>
            <w:shd w:val="clear" w:color="auto" w:fill="auto"/>
          </w:tcPr>
          <w:p w14:paraId="149C8F3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Като цяло реализирането на специфичната цел не се очаква да окаже каквото и да е въздействие върху шумовите нива в районите на осъществяване на дейностите. Възможни на преки и отрицателни въздействия върху шумовите нива, като резултата от изграждането на вятърни паркове при потребност 3. Спазването на нормативните изисквания в областта и достатъчното отстояние на същите от близко разположените населени места няма да доведе до значителни въздействия върху компонентите на околната среда.</w:t>
            </w:r>
          </w:p>
        </w:tc>
        <w:tc>
          <w:tcPr>
            <w:tcW w:w="4187" w:type="dxa"/>
          </w:tcPr>
          <w:p w14:paraId="552F2BC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реализирането на специфичната цел да повлияе върху шумовите нива в района на извършване на дейностите.</w:t>
            </w:r>
          </w:p>
        </w:tc>
        <w:tc>
          <w:tcPr>
            <w:tcW w:w="3825" w:type="dxa"/>
            <w:shd w:val="clear" w:color="auto" w:fill="auto"/>
          </w:tcPr>
          <w:p w14:paraId="0DAFB31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Реализирането на специфичната цел не се очаква да окаже въздействие върху шумовите нива в районите на реализиране на дейностите.</w:t>
            </w:r>
          </w:p>
        </w:tc>
      </w:tr>
      <w:tr w:rsidR="002831ED" w:rsidRPr="009F6D1E" w14:paraId="6919D489" w14:textId="77777777" w:rsidTr="00AB2292">
        <w:trPr>
          <w:trHeight w:val="318"/>
        </w:trPr>
        <w:tc>
          <w:tcPr>
            <w:tcW w:w="1980" w:type="dxa"/>
          </w:tcPr>
          <w:p w14:paraId="2ECC5AE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 xml:space="preserve">Отпадъци </w:t>
            </w:r>
          </w:p>
        </w:tc>
        <w:tc>
          <w:tcPr>
            <w:tcW w:w="3753" w:type="dxa"/>
            <w:shd w:val="clear" w:color="auto" w:fill="auto"/>
          </w:tcPr>
          <w:p w14:paraId="70C8CC8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потребности 1 и 6 ще окажат пряко и положително въздействие </w:t>
            </w:r>
            <w:r w:rsidRPr="009F6D1E">
              <w:rPr>
                <w:rFonts w:eastAsia="Tahoma" w:cs="Times New Roman"/>
                <w:sz w:val="20"/>
                <w:szCs w:val="20"/>
                <w:lang w:eastAsia="zh-CN"/>
              </w:rPr>
              <w:lastRenderedPageBreak/>
              <w:t>върху процесите оп управление на образуваните потоци отпадъци. Осъществяването на която и да е от другите потребности няма да повлияе по какъвто и да е начин образуваните отпадъчни потоци и тяхното управление.</w:t>
            </w:r>
          </w:p>
        </w:tc>
        <w:tc>
          <w:tcPr>
            <w:tcW w:w="4187" w:type="dxa"/>
          </w:tcPr>
          <w:p w14:paraId="625A304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Възможно е единствено прилагането на мярката по потребност 6 да доведе до </w:t>
            </w:r>
            <w:r w:rsidRPr="009F6D1E">
              <w:rPr>
                <w:rFonts w:eastAsia="Tahoma" w:cs="Times New Roman"/>
                <w:sz w:val="20"/>
                <w:szCs w:val="20"/>
                <w:lang w:eastAsia="zh-CN"/>
              </w:rPr>
              <w:lastRenderedPageBreak/>
              <w:t>положително въздействие върху управлението на отпадъците, като резултат от подпомагане управлението на специфични отпадъци от земеделието, чието третиране води до отделяне на амоняк. Реализирането на останалите потребности няма да повлияят върху образуваните отпадъчни потоци и тяхното управление.</w:t>
            </w:r>
          </w:p>
        </w:tc>
        <w:tc>
          <w:tcPr>
            <w:tcW w:w="3825" w:type="dxa"/>
            <w:shd w:val="clear" w:color="auto" w:fill="auto"/>
          </w:tcPr>
          <w:p w14:paraId="38F9FAD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Реализирането на специфичната цел не се очаква да окаже въздействие върху </w:t>
            </w:r>
            <w:r w:rsidRPr="009F6D1E">
              <w:rPr>
                <w:rFonts w:eastAsia="Tahoma" w:cs="Times New Roman"/>
                <w:sz w:val="20"/>
                <w:szCs w:val="20"/>
                <w:lang w:eastAsia="zh-CN"/>
              </w:rPr>
              <w:lastRenderedPageBreak/>
              <w:t>образуваните отпадъци и процесите на тяхното управление в районите на реализиране на дейностите.</w:t>
            </w:r>
          </w:p>
        </w:tc>
      </w:tr>
      <w:tr w:rsidR="002831ED" w:rsidRPr="009F6D1E" w14:paraId="6BF1E8C6" w14:textId="77777777" w:rsidTr="00AB2292">
        <w:tc>
          <w:tcPr>
            <w:tcW w:w="1980" w:type="dxa"/>
          </w:tcPr>
          <w:p w14:paraId="1EFB8D5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Опасни химични вещества и риск от големи аварии</w:t>
            </w:r>
          </w:p>
        </w:tc>
        <w:tc>
          <w:tcPr>
            <w:tcW w:w="3753" w:type="dxa"/>
            <w:shd w:val="clear" w:color="auto" w:fill="auto"/>
          </w:tcPr>
          <w:p w14:paraId="33695EC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потребности 4 и 5, като резултат от ограничаване използването на торове, някои от които с опасни свойства, в селското стопанство, ще окаже пряко и положително въздействие върху процесите по съхранение и управление на използваните химични вещества и смеси. Не ес очаква която и да е от останалите потребности от </w:t>
            </w:r>
            <w:r w:rsidRPr="009F6D1E">
              <w:rPr>
                <w:rFonts w:eastAsia="Tahoma" w:cs="Times New Roman"/>
                <w:sz w:val="20"/>
                <w:szCs w:val="20"/>
                <w:lang w:eastAsia="zh-CN"/>
              </w:rPr>
              <w:lastRenderedPageBreak/>
              <w:t>специфичната цел ад окаже каквото и да е въздействие върху химичните вещества и смеси.</w:t>
            </w:r>
          </w:p>
        </w:tc>
        <w:tc>
          <w:tcPr>
            <w:tcW w:w="4187" w:type="dxa"/>
          </w:tcPr>
          <w:p w14:paraId="6C66BA6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Реализирането на потребности 4 и 5 ще допринесат за пряко и положително въздействие върху опасните химични вещества и смеси, като резултат от ограничаване използването на торове. Осъществяването на останалите потребности няма да повлияе върху използването на ОХВС и процесите по тяхното управление.</w:t>
            </w:r>
          </w:p>
        </w:tc>
        <w:tc>
          <w:tcPr>
            <w:tcW w:w="3825" w:type="dxa"/>
            <w:shd w:val="clear" w:color="auto" w:fill="auto"/>
          </w:tcPr>
          <w:p w14:paraId="3C0A231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положително въздействие единствено от реализирането на потребност 5, в резултат от редуциране на вредностите поради намаленото съхранение на торове..</w:t>
            </w:r>
          </w:p>
        </w:tc>
      </w:tr>
      <w:tr w:rsidR="002831ED" w:rsidRPr="009F6D1E" w14:paraId="241C10B6" w14:textId="77777777" w:rsidTr="00AB2292">
        <w:tc>
          <w:tcPr>
            <w:tcW w:w="1980" w:type="dxa"/>
          </w:tcPr>
          <w:p w14:paraId="3A7BDA95"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3C7D5A4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2FFD0898"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Риск от инциденти</w:t>
            </w:r>
          </w:p>
        </w:tc>
        <w:tc>
          <w:tcPr>
            <w:tcW w:w="3753" w:type="dxa"/>
            <w:shd w:val="clear" w:color="auto" w:fill="auto"/>
          </w:tcPr>
          <w:p w14:paraId="193F8EE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Реализирането на специфичната цел ще окаже пряко или индиректно и положително въздействие върху социално-икономическите условия на средата и здравето на населението в районите на реализиране на дейностите. Единствено реализирането на потребности 6 и 7 няма да повлияе населението и човешкото здраве по какъвто и да е начин.</w:t>
            </w:r>
          </w:p>
        </w:tc>
        <w:tc>
          <w:tcPr>
            <w:tcW w:w="4187" w:type="dxa"/>
          </w:tcPr>
          <w:p w14:paraId="365A0C0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Реализирането на специфичната цел, без потребност 1, ще има положително въздействие върху социално-икономическите условия в района и от тук и върху здравето на населението.</w:t>
            </w:r>
          </w:p>
        </w:tc>
        <w:tc>
          <w:tcPr>
            <w:tcW w:w="3825" w:type="dxa"/>
            <w:shd w:val="clear" w:color="auto" w:fill="auto"/>
          </w:tcPr>
          <w:p w14:paraId="378C802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Потребности 1, 2, 3, 5 и 8 ще окажат положително въздействие върху населението и човешкото здраве. Не се очаква останалите потребности да имат каквото и да е отношение към здравето на хората в районите на реализиране на специфичната цел.</w:t>
            </w:r>
          </w:p>
        </w:tc>
      </w:tr>
      <w:bookmarkEnd w:id="584"/>
    </w:tbl>
    <w:p w14:paraId="63B9DBB9" w14:textId="77777777" w:rsidR="009652DB" w:rsidRPr="009F6D1E" w:rsidRDefault="009652DB" w:rsidP="0084747F">
      <w:pPr>
        <w:spacing w:after="60" w:line="264" w:lineRule="auto"/>
        <w:contextualSpacing/>
        <w:jc w:val="both"/>
        <w:rPr>
          <w:rFonts w:eastAsia="Calibri" w:cs="Times New Roman"/>
          <w:b/>
          <w:bCs/>
          <w:i/>
          <w:iCs/>
          <w:szCs w:val="24"/>
        </w:rPr>
      </w:pPr>
    </w:p>
    <w:p w14:paraId="6C2F3E97" w14:textId="77777777" w:rsidR="009652DB" w:rsidRPr="009F6D1E" w:rsidRDefault="009652DB" w:rsidP="0084747F">
      <w:pPr>
        <w:spacing w:after="60" w:line="264" w:lineRule="auto"/>
        <w:contextualSpacing/>
        <w:jc w:val="both"/>
        <w:rPr>
          <w:rFonts w:eastAsia="Calibri" w:cs="Times New Roman"/>
          <w:b/>
          <w:bCs/>
          <w:i/>
          <w:iCs/>
          <w:szCs w:val="24"/>
        </w:rPr>
      </w:pP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9"/>
        <w:gridCol w:w="3754"/>
        <w:gridCol w:w="3901"/>
        <w:gridCol w:w="4111"/>
      </w:tblGrid>
      <w:tr w:rsidR="002831ED" w:rsidRPr="009F6D1E" w14:paraId="00223DD7" w14:textId="77777777" w:rsidTr="00AB2292">
        <w:trPr>
          <w:tblHeader/>
        </w:trPr>
        <w:tc>
          <w:tcPr>
            <w:tcW w:w="1979" w:type="dxa"/>
            <w:vMerge w:val="restart"/>
            <w:shd w:val="clear" w:color="auto" w:fill="D9D9D9" w:themeFill="background1" w:themeFillShade="D9"/>
            <w:textDirection w:val="btLr"/>
            <w:vAlign w:val="center"/>
          </w:tcPr>
          <w:p w14:paraId="6B8126C1" w14:textId="77777777" w:rsidR="002831ED" w:rsidRPr="009F6D1E" w:rsidRDefault="002831ED" w:rsidP="0084747F">
            <w:pPr>
              <w:spacing w:after="60" w:line="264" w:lineRule="auto"/>
              <w:ind w:left="113" w:right="113"/>
              <w:jc w:val="center"/>
              <w:rPr>
                <w:rFonts w:cs="Times New Roman"/>
                <w:b/>
                <w:bCs/>
              </w:rPr>
            </w:pPr>
            <w:bookmarkStart w:id="585" w:name="_Hlk96691254"/>
            <w:r w:rsidRPr="009F6D1E">
              <w:rPr>
                <w:rFonts w:cs="Times New Roman"/>
                <w:b/>
                <w:bCs/>
              </w:rPr>
              <w:lastRenderedPageBreak/>
              <w:t>КОМПОНЕНТ/</w:t>
            </w:r>
          </w:p>
          <w:p w14:paraId="54B8BCB6" w14:textId="77777777" w:rsidR="002831ED" w:rsidRPr="009F6D1E" w:rsidRDefault="002831ED" w:rsidP="0084747F">
            <w:pPr>
              <w:spacing w:after="60" w:line="264" w:lineRule="auto"/>
              <w:ind w:left="113" w:right="113"/>
              <w:jc w:val="center"/>
              <w:rPr>
                <w:rFonts w:cs="Times New Roman"/>
                <w:b/>
                <w:bCs/>
                <w:sz w:val="20"/>
                <w:szCs w:val="20"/>
              </w:rPr>
            </w:pPr>
            <w:r w:rsidRPr="009F6D1E">
              <w:rPr>
                <w:rFonts w:cs="Times New Roman"/>
                <w:b/>
                <w:bCs/>
              </w:rPr>
              <w:t>ФАКТОР НА ОКОЛНАТА СРЕДА</w:t>
            </w:r>
          </w:p>
        </w:tc>
        <w:tc>
          <w:tcPr>
            <w:tcW w:w="3754" w:type="dxa"/>
            <w:shd w:val="clear" w:color="auto" w:fill="D9D9D9" w:themeFill="background1" w:themeFillShade="D9"/>
          </w:tcPr>
          <w:p w14:paraId="4E2C8309"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 7: Привличане и подкрепа на млади земеделски стопани и други нови земеделски стопани и улесняване на устойчивото развитие на стопанска дейност в селските райони</w:t>
            </w:r>
          </w:p>
        </w:tc>
        <w:tc>
          <w:tcPr>
            <w:tcW w:w="3901" w:type="dxa"/>
            <w:shd w:val="clear" w:color="auto" w:fill="D9D9D9" w:themeFill="background1" w:themeFillShade="D9"/>
            <w:vAlign w:val="center"/>
          </w:tcPr>
          <w:p w14:paraId="1CABBFD9"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 8: Насърчаване на заетостта, растежа, равенството между половете, включително участието на жените в селскостопанската дейност, социалното приобщаване и местното развитие в селските райони, включително кръговата биоикономика и устойчивото горско стопанство.</w:t>
            </w:r>
          </w:p>
        </w:tc>
        <w:tc>
          <w:tcPr>
            <w:tcW w:w="4111" w:type="dxa"/>
            <w:shd w:val="clear" w:color="auto" w:fill="D9D9D9" w:themeFill="background1" w:themeFillShade="D9"/>
          </w:tcPr>
          <w:p w14:paraId="03EB9791" w14:textId="77777777" w:rsidR="002831ED" w:rsidRPr="009F6D1E" w:rsidRDefault="002831ED" w:rsidP="0084747F">
            <w:pPr>
              <w:spacing w:after="60" w:line="264" w:lineRule="auto"/>
              <w:jc w:val="center"/>
              <w:rPr>
                <w:rFonts w:cs="Times New Roman"/>
                <w:b/>
                <w:bCs/>
              </w:rPr>
            </w:pPr>
            <w:r w:rsidRPr="009F6D1E">
              <w:rPr>
                <w:rFonts w:cs="Times New Roman"/>
                <w:b/>
                <w:bCs/>
              </w:rPr>
              <w:t>Специфична цел № 9: Подобряване на реакцията на селското стопанство в ЕС в отговор на обществените изисквания по отношение на храните, здравето включително за безвредна, питателна и устойчива храна, както и за хуманно отношение към животните.</w:t>
            </w:r>
          </w:p>
        </w:tc>
      </w:tr>
      <w:tr w:rsidR="002831ED" w:rsidRPr="009F6D1E" w14:paraId="4D20E121" w14:textId="77777777" w:rsidTr="00AB2292">
        <w:trPr>
          <w:tblHeader/>
        </w:trPr>
        <w:tc>
          <w:tcPr>
            <w:tcW w:w="1979" w:type="dxa"/>
            <w:vMerge/>
            <w:shd w:val="clear" w:color="auto" w:fill="FFF2CC" w:themeFill="accent4" w:themeFillTint="33"/>
          </w:tcPr>
          <w:p w14:paraId="3CAB225E" w14:textId="77777777" w:rsidR="002831ED" w:rsidRPr="009F6D1E" w:rsidRDefault="002831ED" w:rsidP="0084747F">
            <w:pPr>
              <w:spacing w:after="60" w:line="264" w:lineRule="auto"/>
              <w:jc w:val="center"/>
              <w:rPr>
                <w:rFonts w:cs="Times New Roman"/>
                <w:b/>
                <w:bCs/>
                <w:sz w:val="20"/>
                <w:szCs w:val="20"/>
              </w:rPr>
            </w:pPr>
          </w:p>
        </w:tc>
        <w:tc>
          <w:tcPr>
            <w:tcW w:w="11766" w:type="dxa"/>
            <w:gridSpan w:val="3"/>
            <w:shd w:val="clear" w:color="auto" w:fill="FFF2CC" w:themeFill="accent4" w:themeFillTint="33"/>
          </w:tcPr>
          <w:p w14:paraId="0C525202" w14:textId="77777777" w:rsidR="002831ED" w:rsidRPr="009F6D1E" w:rsidRDefault="002831ED" w:rsidP="0084747F">
            <w:pPr>
              <w:spacing w:after="60" w:line="264" w:lineRule="auto"/>
              <w:jc w:val="center"/>
              <w:rPr>
                <w:rFonts w:cs="Times New Roman"/>
                <w:b/>
                <w:bCs/>
                <w:szCs w:val="24"/>
              </w:rPr>
            </w:pPr>
            <w:r w:rsidRPr="009F6D1E">
              <w:rPr>
                <w:rFonts w:cs="Times New Roman"/>
                <w:b/>
                <w:bCs/>
                <w:szCs w:val="24"/>
              </w:rPr>
              <w:t>Въздействие</w:t>
            </w:r>
          </w:p>
        </w:tc>
      </w:tr>
      <w:tr w:rsidR="002831ED" w:rsidRPr="009F6D1E" w14:paraId="47EF24D1" w14:textId="77777777" w:rsidTr="00AB2292">
        <w:trPr>
          <w:trHeight w:val="318"/>
        </w:trPr>
        <w:tc>
          <w:tcPr>
            <w:tcW w:w="1979" w:type="dxa"/>
          </w:tcPr>
          <w:p w14:paraId="016996FE"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Климат, Изменение на климата, Адаптация към изменящия се климат</w:t>
            </w:r>
          </w:p>
        </w:tc>
        <w:tc>
          <w:tcPr>
            <w:tcW w:w="3754" w:type="dxa"/>
            <w:shd w:val="clear" w:color="auto" w:fill="auto"/>
          </w:tcPr>
          <w:p w14:paraId="4AD2463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От една страна реализирането на специфичната цел, чрез потребност 1, ще доведе до пряко положително въздействие, свързано с намаляване на емисиите на парникови газове, резултат от модернизацията на земеделските стопанства. Като резултат от увеличаване на подкрепата на младите стопанства, при реализацията на потребност 2, също се очаква пряко и положително въздействие върху климата. Реализирането на потребност 6, като резултат от въвеждането на нови технологии, ще окаже пряко и положително въздействие върху </w:t>
            </w:r>
            <w:r w:rsidRPr="009F6D1E">
              <w:rPr>
                <w:rFonts w:eastAsia="Tahoma" w:cs="Times New Roman"/>
                <w:sz w:val="20"/>
                <w:szCs w:val="20"/>
                <w:lang w:eastAsia="zh-CN"/>
              </w:rPr>
              <w:lastRenderedPageBreak/>
              <w:t xml:space="preserve">климатичните промени и ще подобри процеса на адаптация ъм климатичните промени. </w:t>
            </w:r>
          </w:p>
          <w:p w14:paraId="7FDDACA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Реализирането на потребности 3 и 4 няма да окажат каквото и да е въздействие върху климата и процесите на адаптация към климатичните промени.</w:t>
            </w:r>
          </w:p>
          <w:p w14:paraId="7635C98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потребности 2, 5 и 6 създава предпоставки за пряко въздействие върху процесите на климатичните промени, но отчитайки спазването на действащото законодателство в областта на опазването на околната среда, възможността за прилагането на редица мерки, свързани с </w:t>
            </w:r>
            <w:r w:rsidRPr="009F6D1E">
              <w:rPr>
                <w:rFonts w:eastAsia="Tahoma" w:cs="Times New Roman"/>
                <w:sz w:val="20"/>
                <w:szCs w:val="20"/>
                <w:lang w:eastAsia="zh-CN"/>
              </w:rPr>
              <w:lastRenderedPageBreak/>
              <w:t>подобряване на стопанствата, както и прилагането на НДНТ, то не се очаква въздействията върху климата да са с отрицателен характер.</w:t>
            </w:r>
          </w:p>
        </w:tc>
        <w:tc>
          <w:tcPr>
            <w:tcW w:w="3901" w:type="dxa"/>
          </w:tcPr>
          <w:p w14:paraId="08811CE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Като цяло прилагането на специфичната цел няма да окаже влияние върху климата в района. Прилагането на потребност 3 ще доведе до косвено и положително въздействие, свързано с подобряване на публична инфраструктурата и технико-комуникационните системи в селските райони в селските райони, което от своя страна индиректно би могло да доведе до намаляване емисиите на парникови газов. При спазването на нормативните изисквания на национално и европейко ниво, както и прилагането на НДНТ в хода на изграждане на определени обекти при прилагане на потребност 1, то не се очаква </w:t>
            </w:r>
            <w:r w:rsidRPr="009F6D1E">
              <w:rPr>
                <w:rFonts w:eastAsia="Tahoma" w:cs="Times New Roman"/>
                <w:sz w:val="20"/>
                <w:szCs w:val="20"/>
                <w:lang w:eastAsia="zh-CN"/>
              </w:rPr>
              <w:lastRenderedPageBreak/>
              <w:t>въздействията върху климата да са с отрицателен характер.</w:t>
            </w:r>
          </w:p>
        </w:tc>
        <w:tc>
          <w:tcPr>
            <w:tcW w:w="4111" w:type="dxa"/>
            <w:shd w:val="clear" w:color="auto" w:fill="auto"/>
          </w:tcPr>
          <w:p w14:paraId="5C3DBFA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Като цяло реализирането на специфичната цел ще допринесе за подобряване на органичния състав на почвата, а от тук и до положително въздействия върху климата, като резултат от намалените нива на въглероден диоксид. Реализирането на потребности 3, 4, 5 и 6 няма да повлияе изменението на климата и процесите на адаптация към климатичните промени.</w:t>
            </w:r>
          </w:p>
        </w:tc>
      </w:tr>
      <w:tr w:rsidR="002831ED" w:rsidRPr="009F6D1E" w14:paraId="3C0EAFE5" w14:textId="77777777" w:rsidTr="00AB2292">
        <w:trPr>
          <w:trHeight w:val="318"/>
        </w:trPr>
        <w:tc>
          <w:tcPr>
            <w:tcW w:w="1979" w:type="dxa"/>
          </w:tcPr>
          <w:p w14:paraId="3C643F0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lastRenderedPageBreak/>
              <w:t>Качество на атмосферния въздух</w:t>
            </w:r>
          </w:p>
        </w:tc>
        <w:tc>
          <w:tcPr>
            <w:tcW w:w="3754" w:type="dxa"/>
            <w:shd w:val="clear" w:color="auto" w:fill="auto"/>
          </w:tcPr>
          <w:p w14:paraId="6CD2552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качеството на атмосферния въздух ще бъдат аналогични на тези, описани и оценени по отношение изменението на климата и адаптацията към климатичните промени.</w:t>
            </w:r>
          </w:p>
        </w:tc>
        <w:tc>
          <w:tcPr>
            <w:tcW w:w="3901" w:type="dxa"/>
          </w:tcPr>
          <w:p w14:paraId="5C1A2ED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качеството на атмосферния въздух ще бъдат аналогични на тези, описани и оценени по отношение изменението на климата и адаптацията към климатичните промени.</w:t>
            </w:r>
          </w:p>
        </w:tc>
        <w:tc>
          <w:tcPr>
            <w:tcW w:w="4111" w:type="dxa"/>
            <w:shd w:val="clear" w:color="auto" w:fill="auto"/>
          </w:tcPr>
          <w:p w14:paraId="7384787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качеството на атмосферния въздух ще бъдат аналогични на тези, описани и оценени по отношение изменението на климата и адаптацията към климатичните промени.</w:t>
            </w:r>
          </w:p>
        </w:tc>
      </w:tr>
      <w:tr w:rsidR="002831ED" w:rsidRPr="009F6D1E" w14:paraId="7AE20F4E" w14:textId="77777777" w:rsidTr="00AB2292">
        <w:trPr>
          <w:trHeight w:val="318"/>
        </w:trPr>
        <w:tc>
          <w:tcPr>
            <w:tcW w:w="1979" w:type="dxa"/>
          </w:tcPr>
          <w:p w14:paraId="1A7EBA70"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0AC310CA"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7867CE6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ЗЗВ</w:t>
            </w:r>
          </w:p>
          <w:p w14:paraId="4166280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lastRenderedPageBreak/>
              <w:t>Риск от наводнения</w:t>
            </w:r>
          </w:p>
        </w:tc>
        <w:tc>
          <w:tcPr>
            <w:tcW w:w="3754" w:type="dxa"/>
            <w:shd w:val="clear" w:color="auto" w:fill="auto"/>
          </w:tcPr>
          <w:p w14:paraId="071A498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въздействие върху водите по Специфична цел №7</w:t>
            </w:r>
          </w:p>
          <w:p w14:paraId="168336E8" w14:textId="77777777" w:rsidR="002831ED" w:rsidRPr="009F6D1E" w:rsidRDefault="002831ED" w:rsidP="0084747F">
            <w:pPr>
              <w:spacing w:after="60" w:line="264" w:lineRule="auto"/>
              <w:jc w:val="both"/>
              <w:rPr>
                <w:rFonts w:eastAsia="Tahoma" w:cs="Times New Roman"/>
                <w:sz w:val="20"/>
                <w:szCs w:val="20"/>
                <w:lang w:eastAsia="zh-CN"/>
              </w:rPr>
            </w:pPr>
          </w:p>
        </w:tc>
        <w:tc>
          <w:tcPr>
            <w:tcW w:w="3901" w:type="dxa"/>
          </w:tcPr>
          <w:p w14:paraId="42DE0F9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водите по Специфична цел №8</w:t>
            </w:r>
          </w:p>
          <w:p w14:paraId="5C09CFC0" w14:textId="77777777" w:rsidR="002831ED" w:rsidRPr="009F6D1E" w:rsidRDefault="002831ED" w:rsidP="0084747F">
            <w:pPr>
              <w:spacing w:after="60" w:line="264" w:lineRule="auto"/>
              <w:jc w:val="both"/>
              <w:rPr>
                <w:rFonts w:eastAsia="Tahoma" w:cs="Times New Roman"/>
                <w:sz w:val="20"/>
                <w:szCs w:val="20"/>
                <w:lang w:eastAsia="zh-CN"/>
              </w:rPr>
            </w:pPr>
          </w:p>
          <w:p w14:paraId="7F73F128" w14:textId="77777777" w:rsidR="002831ED" w:rsidRPr="009F6D1E" w:rsidRDefault="002831ED" w:rsidP="0084747F">
            <w:pPr>
              <w:spacing w:after="60" w:line="264" w:lineRule="auto"/>
              <w:jc w:val="both"/>
              <w:rPr>
                <w:rFonts w:eastAsia="Tahoma" w:cs="Times New Roman"/>
                <w:sz w:val="20"/>
                <w:szCs w:val="20"/>
                <w:lang w:eastAsia="zh-CN"/>
              </w:rPr>
            </w:pPr>
          </w:p>
        </w:tc>
        <w:tc>
          <w:tcPr>
            <w:tcW w:w="4111" w:type="dxa"/>
            <w:shd w:val="clear" w:color="auto" w:fill="auto"/>
          </w:tcPr>
          <w:p w14:paraId="1DF787C4" w14:textId="77777777" w:rsidR="002831ED" w:rsidRPr="009F6D1E" w:rsidRDefault="002831ED" w:rsidP="0084747F">
            <w:pPr>
              <w:widowControl w:val="0"/>
              <w:spacing w:after="60" w:line="264" w:lineRule="auto"/>
              <w:ind w:right="-1"/>
              <w:jc w:val="both"/>
              <w:rPr>
                <w:rFonts w:eastAsia="Tahoma" w:cs="Times New Roman"/>
                <w:sz w:val="20"/>
                <w:szCs w:val="20"/>
                <w:lang w:eastAsia="zh-CN"/>
              </w:rPr>
            </w:pPr>
            <w:r w:rsidRPr="009F6D1E">
              <w:rPr>
                <w:rFonts w:eastAsia="Tahoma" w:cs="Times New Roman"/>
                <w:sz w:val="20"/>
                <w:szCs w:val="20"/>
                <w:lang w:eastAsia="zh-CN"/>
              </w:rPr>
              <w:t>Очакваните въздействия върху водите са: положителни - по Потребности  9.1 и 9.8.</w:t>
            </w:r>
          </w:p>
          <w:p w14:paraId="3C2023F9" w14:textId="77777777" w:rsidR="002831ED" w:rsidRPr="009F6D1E" w:rsidRDefault="002831ED" w:rsidP="0084747F">
            <w:pPr>
              <w:widowControl w:val="0"/>
              <w:spacing w:after="60" w:line="264" w:lineRule="auto"/>
              <w:ind w:right="-1"/>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 върху водите по Потребности  9.2, 9.3, 9.4, 9.5, 9.6 и 9.7</w:t>
            </w:r>
          </w:p>
          <w:p w14:paraId="3810E30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Очаква се положително, постоянно, косвено, едновременно, дългосрочно въздействие със средна значимост, дължащо се на: подобряване на качеството на води от реализацията на биологичното земеделие, свързани с намаляване на използването на минерални торове, пестициди. Няма пряк потенциал за намаляване на риска от наводнения.</w:t>
            </w:r>
          </w:p>
        </w:tc>
      </w:tr>
      <w:tr w:rsidR="002831ED" w:rsidRPr="009F6D1E" w14:paraId="07E00C39" w14:textId="77777777" w:rsidTr="00AB2292">
        <w:trPr>
          <w:trHeight w:val="318"/>
        </w:trPr>
        <w:tc>
          <w:tcPr>
            <w:tcW w:w="1979" w:type="dxa"/>
          </w:tcPr>
          <w:p w14:paraId="4D72110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lastRenderedPageBreak/>
              <w:t>Земни недра</w:t>
            </w:r>
          </w:p>
        </w:tc>
        <w:tc>
          <w:tcPr>
            <w:tcW w:w="3754" w:type="dxa"/>
            <w:shd w:val="clear" w:color="auto" w:fill="auto"/>
          </w:tcPr>
          <w:p w14:paraId="2C0436C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01" w:type="dxa"/>
          </w:tcPr>
          <w:p w14:paraId="38B52B3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shd w:val="clear" w:color="auto" w:fill="auto"/>
          </w:tcPr>
          <w:p w14:paraId="19485B3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6594FBEC" w14:textId="77777777" w:rsidTr="00AB2292">
        <w:trPr>
          <w:trHeight w:val="318"/>
        </w:trPr>
        <w:tc>
          <w:tcPr>
            <w:tcW w:w="1979" w:type="dxa"/>
          </w:tcPr>
          <w:p w14:paraId="3941A5D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Почви</w:t>
            </w:r>
          </w:p>
          <w:p w14:paraId="26853A93" w14:textId="77777777" w:rsidR="002831ED" w:rsidRPr="009F6D1E" w:rsidRDefault="002831ED" w:rsidP="0084747F">
            <w:pPr>
              <w:spacing w:after="60" w:line="264" w:lineRule="auto"/>
              <w:jc w:val="both"/>
              <w:rPr>
                <w:rFonts w:eastAsia="Tahoma" w:cs="Times New Roman"/>
                <w:sz w:val="20"/>
                <w:szCs w:val="20"/>
                <w:lang w:eastAsia="zh-CN"/>
              </w:rPr>
            </w:pPr>
            <w:proofErr w:type="spellStart"/>
            <w:r w:rsidRPr="009F6D1E">
              <w:rPr>
                <w:rFonts w:cs="Times New Roman"/>
                <w:b/>
                <w:bCs/>
                <w:sz w:val="20"/>
                <w:szCs w:val="20"/>
              </w:rPr>
              <w:t>Земеползване</w:t>
            </w:r>
            <w:proofErr w:type="spellEnd"/>
          </w:p>
        </w:tc>
        <w:tc>
          <w:tcPr>
            <w:tcW w:w="3754" w:type="dxa"/>
            <w:shd w:val="clear" w:color="auto" w:fill="auto"/>
          </w:tcPr>
          <w:p w14:paraId="6024D5B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7 няма пряко въздействие върху почвите, но може да окаже косвено положително въздействие</w:t>
            </w:r>
          </w:p>
        </w:tc>
        <w:tc>
          <w:tcPr>
            <w:tcW w:w="3901" w:type="dxa"/>
          </w:tcPr>
          <w:p w14:paraId="0027D62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8 няма пряко въздействие върху почвите, но може да окаже косвено положително въздействие</w:t>
            </w:r>
          </w:p>
        </w:tc>
        <w:tc>
          <w:tcPr>
            <w:tcW w:w="4111" w:type="dxa"/>
            <w:shd w:val="clear" w:color="auto" w:fill="auto"/>
          </w:tcPr>
          <w:p w14:paraId="134F55A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9 няма пряко въздействие върху почвите, но може да окаже косвено положително въздействие</w:t>
            </w:r>
          </w:p>
        </w:tc>
      </w:tr>
      <w:tr w:rsidR="002831ED" w:rsidRPr="009F6D1E" w14:paraId="338BE439" w14:textId="77777777" w:rsidTr="00AB2292">
        <w:trPr>
          <w:trHeight w:val="1505"/>
        </w:trPr>
        <w:tc>
          <w:tcPr>
            <w:tcW w:w="1979" w:type="dxa"/>
          </w:tcPr>
          <w:p w14:paraId="1F916D4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Биоразнообразие</w:t>
            </w:r>
          </w:p>
          <w:p w14:paraId="291AE37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0795F4F3"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cs="Times New Roman"/>
                <w:b/>
                <w:bCs/>
                <w:sz w:val="20"/>
                <w:szCs w:val="20"/>
              </w:rPr>
              <w:t>ЗТ</w:t>
            </w:r>
          </w:p>
        </w:tc>
        <w:tc>
          <w:tcPr>
            <w:tcW w:w="3754" w:type="dxa"/>
            <w:shd w:val="clear" w:color="auto" w:fill="auto"/>
          </w:tcPr>
          <w:p w14:paraId="1EE2CD2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7.3</w:t>
            </w:r>
          </w:p>
          <w:p w14:paraId="7DE4C72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отрицателна значимост от П 7.5, П 7.6</w:t>
            </w:r>
          </w:p>
        </w:tc>
        <w:tc>
          <w:tcPr>
            <w:tcW w:w="3901" w:type="dxa"/>
          </w:tcPr>
          <w:p w14:paraId="4CB809C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отрицателна значимост от П 8.1, П 8.5</w:t>
            </w:r>
          </w:p>
        </w:tc>
        <w:tc>
          <w:tcPr>
            <w:tcW w:w="4111" w:type="dxa"/>
          </w:tcPr>
          <w:p w14:paraId="4B5C6B4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 се въздействие със слаба до умерена положителна значимост от П 9.1, П 9.2, П 9.3, П 9.4, П 9.5, П 9.7</w:t>
            </w:r>
          </w:p>
        </w:tc>
      </w:tr>
      <w:tr w:rsidR="002831ED" w:rsidRPr="009F6D1E" w14:paraId="48859034" w14:textId="77777777" w:rsidTr="00AB2292">
        <w:trPr>
          <w:trHeight w:val="872"/>
        </w:trPr>
        <w:tc>
          <w:tcPr>
            <w:tcW w:w="1979" w:type="dxa"/>
          </w:tcPr>
          <w:p w14:paraId="18BF345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b/>
                <w:bCs/>
                <w:sz w:val="20"/>
                <w:szCs w:val="20"/>
              </w:rPr>
              <w:t xml:space="preserve">Ландшафт </w:t>
            </w:r>
          </w:p>
        </w:tc>
        <w:tc>
          <w:tcPr>
            <w:tcW w:w="3754" w:type="dxa"/>
            <w:shd w:val="clear" w:color="auto" w:fill="auto"/>
          </w:tcPr>
          <w:p w14:paraId="7A482BC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7 няма пряко въздействие върху ландшафтите, но може да окаже косвено положително въздействие</w:t>
            </w:r>
          </w:p>
        </w:tc>
        <w:tc>
          <w:tcPr>
            <w:tcW w:w="3901" w:type="dxa"/>
          </w:tcPr>
          <w:p w14:paraId="3DC424E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8 няма пряко въздействие върху ландшафтите, но може да окаже косвено положително въздействие</w:t>
            </w:r>
          </w:p>
        </w:tc>
        <w:tc>
          <w:tcPr>
            <w:tcW w:w="4111" w:type="dxa"/>
          </w:tcPr>
          <w:p w14:paraId="28C92B0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 цел № 9 няма пряко въздействие върху ландшафтите, но може да окаже косвено положително въздействие</w:t>
            </w:r>
          </w:p>
        </w:tc>
      </w:tr>
      <w:tr w:rsidR="002831ED" w:rsidRPr="009F6D1E" w14:paraId="7316F66F" w14:textId="77777777" w:rsidTr="00AB2292">
        <w:trPr>
          <w:trHeight w:val="318"/>
        </w:trPr>
        <w:tc>
          <w:tcPr>
            <w:tcW w:w="1979" w:type="dxa"/>
          </w:tcPr>
          <w:p w14:paraId="46F9E5BE"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Материални активи</w:t>
            </w:r>
          </w:p>
        </w:tc>
        <w:tc>
          <w:tcPr>
            <w:tcW w:w="3754" w:type="dxa"/>
            <w:shd w:val="clear" w:color="auto" w:fill="auto"/>
          </w:tcPr>
          <w:p w14:paraId="7BEF957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специфичната цел ще доведе, като цяло, до пряко положително, дългосрочно въздействие спрямо  материалните активи предвид ускорената модернизация. Единствено реализацията </w:t>
            </w:r>
            <w:r w:rsidRPr="009F6D1E">
              <w:rPr>
                <w:rFonts w:eastAsia="Tahoma" w:cs="Times New Roman"/>
                <w:sz w:val="20"/>
                <w:szCs w:val="20"/>
                <w:lang w:eastAsia="zh-CN"/>
              </w:rPr>
              <w:lastRenderedPageBreak/>
              <w:t>на потребности 3 и 4 не се очаква да окаже каквото и да е въздействие върху материалните активи.</w:t>
            </w:r>
          </w:p>
        </w:tc>
        <w:tc>
          <w:tcPr>
            <w:tcW w:w="3901" w:type="dxa"/>
          </w:tcPr>
          <w:p w14:paraId="3146089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Като цяло, наличие на пряко положително, дългосрочно въздействие спрямо  материалните активи, с изключение на потребност 6, която няма да повлияе </w:t>
            </w:r>
            <w:r w:rsidRPr="009F6D1E">
              <w:rPr>
                <w:rFonts w:eastAsia="Tahoma" w:cs="Times New Roman"/>
                <w:sz w:val="20"/>
                <w:szCs w:val="20"/>
                <w:lang w:eastAsia="zh-CN"/>
              </w:rPr>
              <w:lastRenderedPageBreak/>
              <w:t>положително или отрицателно материалните активи.</w:t>
            </w:r>
          </w:p>
        </w:tc>
        <w:tc>
          <w:tcPr>
            <w:tcW w:w="4111" w:type="dxa"/>
            <w:shd w:val="clear" w:color="auto" w:fill="auto"/>
          </w:tcPr>
          <w:p w14:paraId="66C372C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реализирането на специфичната цел да доведе до каквито и да е въздействия върху материалите активи.</w:t>
            </w:r>
          </w:p>
        </w:tc>
      </w:tr>
      <w:tr w:rsidR="002831ED" w:rsidRPr="009F6D1E" w14:paraId="6D6C2D42" w14:textId="77777777" w:rsidTr="00AB2292">
        <w:trPr>
          <w:trHeight w:val="318"/>
        </w:trPr>
        <w:tc>
          <w:tcPr>
            <w:tcW w:w="1979" w:type="dxa"/>
          </w:tcPr>
          <w:p w14:paraId="52F8FEBA"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Културно-историческо наследство</w:t>
            </w:r>
          </w:p>
        </w:tc>
        <w:tc>
          <w:tcPr>
            <w:tcW w:w="3754" w:type="dxa"/>
            <w:shd w:val="clear" w:color="auto" w:fill="auto"/>
          </w:tcPr>
          <w:p w14:paraId="35510FE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Неблагоприятни въздействия може да възникнат в следствие на земеделска дейност, при която да се засегнат културни ценности. Същевременно дейностите могат да доведат до откриването на неизвестни до момента културни ценности и тяхното по-нататъшното опазване, което ще има положително въздействие.</w:t>
            </w:r>
          </w:p>
        </w:tc>
        <w:tc>
          <w:tcPr>
            <w:tcW w:w="3901" w:type="dxa"/>
          </w:tcPr>
          <w:p w14:paraId="01DB945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няма пряко отношение към културно-историческо наследство.</w:t>
            </w:r>
          </w:p>
        </w:tc>
        <w:tc>
          <w:tcPr>
            <w:tcW w:w="4111" w:type="dxa"/>
            <w:shd w:val="clear" w:color="auto" w:fill="auto"/>
          </w:tcPr>
          <w:p w14:paraId="5FD79B42"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Специфичната цел няма пряко отношение към културно-историческо наследство.</w:t>
            </w:r>
          </w:p>
        </w:tc>
      </w:tr>
      <w:tr w:rsidR="002831ED" w:rsidRPr="009F6D1E" w14:paraId="394D5FAB" w14:textId="77777777" w:rsidTr="00AB2292">
        <w:trPr>
          <w:trHeight w:val="318"/>
        </w:trPr>
        <w:tc>
          <w:tcPr>
            <w:tcW w:w="1979" w:type="dxa"/>
          </w:tcPr>
          <w:p w14:paraId="6A113E9A"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3754" w:type="dxa"/>
            <w:shd w:val="clear" w:color="auto" w:fill="auto"/>
          </w:tcPr>
          <w:p w14:paraId="329B7D1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По отношение фактор шум очакваните въздействия са аналогични на тези, описани при климата и атмосферния </w:t>
            </w:r>
            <w:r w:rsidRPr="009F6D1E">
              <w:rPr>
                <w:rFonts w:eastAsia="Tahoma" w:cs="Times New Roman"/>
                <w:sz w:val="20"/>
                <w:szCs w:val="20"/>
                <w:lang w:eastAsia="zh-CN"/>
              </w:rPr>
              <w:lastRenderedPageBreak/>
              <w:t>въздух. И тук не се очаква реализирането на потребности 3 и 4 да доведат до промяна на шумовите нива в рамките на районите, където се прилагат мерките.</w:t>
            </w:r>
          </w:p>
        </w:tc>
        <w:tc>
          <w:tcPr>
            <w:tcW w:w="3901" w:type="dxa"/>
          </w:tcPr>
          <w:p w14:paraId="121A27A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По отношение потребности 1 и 3 очакваните въздействия по отношение фактор шум са аналогични с тези, описани </w:t>
            </w:r>
            <w:r w:rsidRPr="009F6D1E">
              <w:rPr>
                <w:rFonts w:eastAsia="Tahoma" w:cs="Times New Roman"/>
                <w:sz w:val="20"/>
                <w:szCs w:val="20"/>
                <w:lang w:eastAsia="zh-CN"/>
              </w:rPr>
              <w:lastRenderedPageBreak/>
              <w:t>по-горе при климата и КАВ. Не се очаква реализирането на другите потребности да повлияят върху шумовите нива в районите на прилагането на мерките.</w:t>
            </w:r>
          </w:p>
        </w:tc>
        <w:tc>
          <w:tcPr>
            <w:tcW w:w="4111" w:type="dxa"/>
            <w:shd w:val="clear" w:color="auto" w:fill="auto"/>
          </w:tcPr>
          <w:p w14:paraId="1070252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Не се очаква реализирането на специфичната цел да доведе до промени в шумовите нива в </w:t>
            </w:r>
            <w:r w:rsidRPr="009F6D1E">
              <w:rPr>
                <w:rFonts w:eastAsia="Tahoma" w:cs="Times New Roman"/>
                <w:sz w:val="20"/>
                <w:szCs w:val="20"/>
                <w:lang w:eastAsia="zh-CN"/>
              </w:rPr>
              <w:lastRenderedPageBreak/>
              <w:t>районите на реализиране на мерките по специфичната цел.</w:t>
            </w:r>
          </w:p>
        </w:tc>
      </w:tr>
      <w:tr w:rsidR="002831ED" w:rsidRPr="009F6D1E" w14:paraId="50607CC4" w14:textId="77777777" w:rsidTr="00AB2292">
        <w:trPr>
          <w:trHeight w:val="318"/>
        </w:trPr>
        <w:tc>
          <w:tcPr>
            <w:tcW w:w="1979" w:type="dxa"/>
          </w:tcPr>
          <w:p w14:paraId="685C068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 xml:space="preserve">Отпадъци </w:t>
            </w:r>
          </w:p>
        </w:tc>
        <w:tc>
          <w:tcPr>
            <w:tcW w:w="3754" w:type="dxa"/>
            <w:shd w:val="clear" w:color="auto" w:fill="auto"/>
          </w:tcPr>
          <w:p w14:paraId="2D742A7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Реализирането на потребност 1 ще доведе до пряко и положително въздействие, като резултат от ускоряването на модернизацията. Потребности 2 и 6 също така ще доведат до намаляване на образуваните количества отпадъци, макар че, че и двете ще допринесат в известна степен и за повишаване на количествата образувани отпадъци, като при правилното им третиране, то това не би допринесло за отрицателно </w:t>
            </w:r>
            <w:r w:rsidRPr="009F6D1E">
              <w:rPr>
                <w:rFonts w:eastAsia="Tahoma" w:cs="Times New Roman"/>
                <w:sz w:val="20"/>
                <w:szCs w:val="20"/>
                <w:lang w:eastAsia="zh-CN"/>
              </w:rPr>
              <w:lastRenderedPageBreak/>
              <w:t>въздействие върху компонентите на околната среда. Потребности 3 и 4 няма да окажат въздействие върху образуваните отпадъци и тяхното третиране, а при прилагането на потребност 5 от значение ще е спазването на нормативната уредба в областта на управлението на отпадъците, така че да не се позволи образуваните отпадъци да окажат въздействие върху компонентите на околната среда.</w:t>
            </w:r>
          </w:p>
        </w:tc>
        <w:tc>
          <w:tcPr>
            <w:tcW w:w="3901" w:type="dxa"/>
          </w:tcPr>
          <w:p w14:paraId="5C8EBA0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При потребност 1 се очаква пряко и положително въздействие върху образуваните отпадъци, дължащи се най-вече на предвиденото финансиране на дейности, свързани с оползотворяване в рамките на стопанствата и предприятията на остатъчната биомаса, получена в резултат на производствените процеси. Развитието на нови услуги и производства ще доведе до образуването на отпадъци, като правилното им третиране съгласно </w:t>
            </w:r>
            <w:r w:rsidRPr="009F6D1E">
              <w:rPr>
                <w:rFonts w:eastAsia="Tahoma" w:cs="Times New Roman"/>
                <w:sz w:val="20"/>
                <w:szCs w:val="20"/>
                <w:lang w:eastAsia="zh-CN"/>
              </w:rPr>
              <w:lastRenderedPageBreak/>
              <w:t>действащото законодателство не се очаква да окаже каквото и да е въздействие върху средата. Реализирането на дейностите от другите потребности няма да доведат до промяна в образуваните отпадъци и тяхното управление.</w:t>
            </w:r>
          </w:p>
        </w:tc>
        <w:tc>
          <w:tcPr>
            <w:tcW w:w="4111" w:type="dxa"/>
            <w:shd w:val="clear" w:color="auto" w:fill="auto"/>
          </w:tcPr>
          <w:p w14:paraId="6A83765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Прилагането на потребности 7 и 8 ще доведат до намаляване образуването на отпадъци, като резултат от намалената употреба на торове, пестициди и антимикробни средства. Останалите потребности, част от специфичната цел, не се очаква да окажат каквото и да е влияние върху вида и количествата образувани отпадъци, както и върху методите за тяхното третиране.</w:t>
            </w:r>
          </w:p>
        </w:tc>
      </w:tr>
      <w:tr w:rsidR="002831ED" w:rsidRPr="009F6D1E" w14:paraId="0C3325A6" w14:textId="77777777" w:rsidTr="00AB2292">
        <w:tc>
          <w:tcPr>
            <w:tcW w:w="1979" w:type="dxa"/>
          </w:tcPr>
          <w:p w14:paraId="209F40C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Опасни химични вещества и риск от големи аварии</w:t>
            </w:r>
          </w:p>
        </w:tc>
        <w:tc>
          <w:tcPr>
            <w:tcW w:w="3754" w:type="dxa"/>
            <w:shd w:val="clear" w:color="auto" w:fill="auto"/>
          </w:tcPr>
          <w:p w14:paraId="1884B00B"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реализирането на специфичната цел да окаже въздействие върху ОХВС и тяхното съхранение и употреба.</w:t>
            </w:r>
          </w:p>
        </w:tc>
        <w:tc>
          <w:tcPr>
            <w:tcW w:w="3901" w:type="dxa"/>
          </w:tcPr>
          <w:p w14:paraId="35624DB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реализирането на специфичната цел да окаже въздействие върху ОХВС и тяхното съхранение и употреба.</w:t>
            </w:r>
          </w:p>
        </w:tc>
        <w:tc>
          <w:tcPr>
            <w:tcW w:w="4111" w:type="dxa"/>
            <w:shd w:val="clear" w:color="auto" w:fill="auto"/>
          </w:tcPr>
          <w:p w14:paraId="174D514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Намаляването използването на торове, пестициди и антимикробни средства, ще допринесе за намаляване количеството </w:t>
            </w:r>
            <w:r w:rsidRPr="009F6D1E">
              <w:rPr>
                <w:rFonts w:eastAsia="Tahoma" w:cs="Times New Roman"/>
                <w:sz w:val="20"/>
                <w:szCs w:val="20"/>
                <w:lang w:eastAsia="zh-CN"/>
              </w:rPr>
              <w:lastRenderedPageBreak/>
              <w:t>използвани ОХВС. Не се очаква каквото и да е въздействие от потребности 4, 5 и 6.</w:t>
            </w:r>
          </w:p>
        </w:tc>
      </w:tr>
      <w:tr w:rsidR="002831ED" w:rsidRPr="009F6D1E" w14:paraId="4DEBE40F" w14:textId="77777777" w:rsidTr="00AB2292">
        <w:tc>
          <w:tcPr>
            <w:tcW w:w="1979" w:type="dxa"/>
          </w:tcPr>
          <w:p w14:paraId="21380E8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 xml:space="preserve">Население </w:t>
            </w:r>
          </w:p>
          <w:p w14:paraId="7E91ED8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3F51BBB1"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Риск от инциденти</w:t>
            </w:r>
          </w:p>
        </w:tc>
        <w:tc>
          <w:tcPr>
            <w:tcW w:w="3754" w:type="dxa"/>
            <w:shd w:val="clear" w:color="auto" w:fill="auto"/>
          </w:tcPr>
          <w:p w14:paraId="3D9A4DF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С изключение на потребност 3, която няма да повлияе човешкото здраве, вкл. и социално-икономическите условия на средата, то реализирането на специфичната цел ще окаже пряко и положително въздействие върху социално-икономическите потребности на средата, а от тук и индиректно и положително въздействие върху здравето на населението в районите на прилагането на мерките по специфичната цел.</w:t>
            </w:r>
          </w:p>
        </w:tc>
        <w:tc>
          <w:tcPr>
            <w:tcW w:w="3901" w:type="dxa"/>
          </w:tcPr>
          <w:p w14:paraId="63ACEBD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Инвестициите по специфичната цел са свързани с пряко положително въздействие, в резултат на подобряване на социално-икономическата  среда в засегнатите райони. Това от своя страна повлиява косвено и положително здравето и населението в района. Единствено реализирането на потребност 6 не се очаква да доведе до каквито и да е въздействия върху населението и човешкото здраве.</w:t>
            </w:r>
          </w:p>
        </w:tc>
        <w:tc>
          <w:tcPr>
            <w:tcW w:w="4111" w:type="dxa"/>
            <w:shd w:val="clear" w:color="auto" w:fill="auto"/>
          </w:tcPr>
          <w:p w14:paraId="7BDFA5E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Като резултат от прилагането на специфичната цел ще се стигне до пряко и положително въздействие върху населението и здравето на хората, дължащо се основно на прилагането на биологично земеделие и производството на чиста продукция.</w:t>
            </w:r>
          </w:p>
        </w:tc>
      </w:tr>
      <w:bookmarkEnd w:id="585"/>
    </w:tbl>
    <w:p w14:paraId="6D98F12F" w14:textId="77777777" w:rsidR="009652DB" w:rsidRPr="009F6D1E" w:rsidRDefault="009652DB" w:rsidP="0084747F">
      <w:pPr>
        <w:spacing w:after="60" w:line="264" w:lineRule="auto"/>
        <w:contextualSpacing/>
        <w:jc w:val="both"/>
        <w:rPr>
          <w:rFonts w:eastAsia="Calibri" w:cs="Times New Roman"/>
          <w:b/>
          <w:bCs/>
          <w:i/>
          <w:i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9605"/>
      </w:tblGrid>
      <w:tr w:rsidR="002831ED" w:rsidRPr="009F6D1E" w14:paraId="151F6115" w14:textId="77777777" w:rsidTr="00AB2292">
        <w:trPr>
          <w:tblHeader/>
        </w:trPr>
        <w:tc>
          <w:tcPr>
            <w:tcW w:w="4673" w:type="dxa"/>
            <w:vMerge w:val="restart"/>
            <w:shd w:val="clear" w:color="auto" w:fill="D9D9D9" w:themeFill="background1" w:themeFillShade="D9"/>
            <w:vAlign w:val="center"/>
          </w:tcPr>
          <w:p w14:paraId="1F697AD5" w14:textId="77777777" w:rsidR="002831ED" w:rsidRPr="009F6D1E" w:rsidRDefault="002831ED" w:rsidP="0084747F">
            <w:pPr>
              <w:spacing w:after="60" w:line="264" w:lineRule="auto"/>
              <w:jc w:val="center"/>
              <w:rPr>
                <w:rFonts w:cs="Times New Roman"/>
                <w:b/>
                <w:bCs/>
              </w:rPr>
            </w:pPr>
            <w:r w:rsidRPr="009F6D1E">
              <w:rPr>
                <w:rFonts w:cs="Times New Roman"/>
                <w:b/>
                <w:bCs/>
              </w:rPr>
              <w:lastRenderedPageBreak/>
              <w:t>Компонент/</w:t>
            </w:r>
          </w:p>
          <w:p w14:paraId="2C9A0071" w14:textId="77777777" w:rsidR="002831ED" w:rsidRPr="009F6D1E" w:rsidRDefault="002831ED" w:rsidP="0084747F">
            <w:pPr>
              <w:spacing w:after="60" w:line="264" w:lineRule="auto"/>
              <w:jc w:val="center"/>
              <w:rPr>
                <w:rFonts w:cs="Times New Roman"/>
                <w:b/>
                <w:bCs/>
              </w:rPr>
            </w:pPr>
            <w:r w:rsidRPr="009F6D1E">
              <w:rPr>
                <w:rFonts w:cs="Times New Roman"/>
                <w:b/>
                <w:bCs/>
              </w:rPr>
              <w:t>Фактор на околната среда</w:t>
            </w:r>
          </w:p>
        </w:tc>
        <w:tc>
          <w:tcPr>
            <w:tcW w:w="9605" w:type="dxa"/>
            <w:shd w:val="clear" w:color="auto" w:fill="D9D9D9" w:themeFill="background1" w:themeFillShade="D9"/>
            <w:vAlign w:val="center"/>
          </w:tcPr>
          <w:p w14:paraId="2B0FB855" w14:textId="77777777" w:rsidR="002831ED" w:rsidRPr="009F6D1E" w:rsidRDefault="002831ED" w:rsidP="0084747F">
            <w:pPr>
              <w:spacing w:after="60" w:line="264" w:lineRule="auto"/>
              <w:jc w:val="center"/>
              <w:rPr>
                <w:rFonts w:cs="Times New Roman"/>
                <w:b/>
                <w:bCs/>
              </w:rPr>
            </w:pPr>
            <w:r w:rsidRPr="009F6D1E">
              <w:rPr>
                <w:rFonts w:cs="Times New Roman"/>
                <w:b/>
                <w:bCs/>
              </w:rPr>
              <w:t>ХОРИЗОНТАЛНА ЦЕЛ: Междусекторна цел за модернизиране на сектора чрез стимулиране и споделяне на знания, иновации и цифровизация в селското стопанство и селските райони и чрез насърчаване на усвояването им</w:t>
            </w:r>
          </w:p>
        </w:tc>
      </w:tr>
      <w:tr w:rsidR="002831ED" w:rsidRPr="009F6D1E" w14:paraId="57B1205D" w14:textId="77777777" w:rsidTr="00AB2292">
        <w:trPr>
          <w:tblHeader/>
        </w:trPr>
        <w:tc>
          <w:tcPr>
            <w:tcW w:w="4673" w:type="dxa"/>
            <w:vMerge/>
            <w:shd w:val="clear" w:color="auto" w:fill="FFF2CC" w:themeFill="accent4" w:themeFillTint="33"/>
          </w:tcPr>
          <w:p w14:paraId="6FDC320D" w14:textId="77777777" w:rsidR="002831ED" w:rsidRPr="009F6D1E" w:rsidRDefault="002831ED" w:rsidP="0084747F">
            <w:pPr>
              <w:spacing w:after="60" w:line="264" w:lineRule="auto"/>
              <w:jc w:val="center"/>
              <w:rPr>
                <w:rFonts w:cs="Times New Roman"/>
                <w:b/>
                <w:bCs/>
              </w:rPr>
            </w:pPr>
          </w:p>
        </w:tc>
        <w:tc>
          <w:tcPr>
            <w:tcW w:w="9605" w:type="dxa"/>
            <w:shd w:val="clear" w:color="auto" w:fill="FFF2CC" w:themeFill="accent4" w:themeFillTint="33"/>
          </w:tcPr>
          <w:p w14:paraId="6D790B3D" w14:textId="77777777" w:rsidR="002831ED" w:rsidRPr="009F6D1E" w:rsidRDefault="002831ED" w:rsidP="0084747F">
            <w:pPr>
              <w:spacing w:after="60" w:line="264" w:lineRule="auto"/>
              <w:jc w:val="center"/>
              <w:rPr>
                <w:rFonts w:cs="Times New Roman"/>
                <w:b/>
                <w:bCs/>
              </w:rPr>
            </w:pPr>
            <w:r w:rsidRPr="009F6D1E">
              <w:rPr>
                <w:rFonts w:cs="Times New Roman"/>
                <w:b/>
                <w:bCs/>
              </w:rPr>
              <w:t>Въздействие</w:t>
            </w:r>
          </w:p>
        </w:tc>
      </w:tr>
      <w:tr w:rsidR="002831ED" w:rsidRPr="009F6D1E" w14:paraId="5C447632" w14:textId="77777777" w:rsidTr="00AB2292">
        <w:trPr>
          <w:trHeight w:val="318"/>
        </w:trPr>
        <w:tc>
          <w:tcPr>
            <w:tcW w:w="4673" w:type="dxa"/>
          </w:tcPr>
          <w:p w14:paraId="41337DB5" w14:textId="77777777" w:rsidR="002831ED" w:rsidRPr="009F6D1E" w:rsidRDefault="002831ED" w:rsidP="0084747F">
            <w:pPr>
              <w:spacing w:after="60" w:line="264" w:lineRule="auto"/>
              <w:jc w:val="both"/>
              <w:rPr>
                <w:rFonts w:cs="Times New Roman"/>
                <w:b/>
                <w:bCs/>
              </w:rPr>
            </w:pPr>
            <w:r w:rsidRPr="009F6D1E">
              <w:rPr>
                <w:rFonts w:cs="Times New Roman"/>
                <w:b/>
                <w:bCs/>
              </w:rPr>
              <w:t>Климат, Изменение на климата, Адаптация към изменящия се климат</w:t>
            </w:r>
          </w:p>
        </w:tc>
        <w:tc>
          <w:tcPr>
            <w:tcW w:w="9605" w:type="dxa"/>
          </w:tcPr>
          <w:p w14:paraId="6F6A4E23"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 въздействие върху климатичните промени и процесите на адаптация към тях.</w:t>
            </w:r>
          </w:p>
        </w:tc>
      </w:tr>
      <w:tr w:rsidR="002831ED" w:rsidRPr="009F6D1E" w14:paraId="1F9AB2F3" w14:textId="77777777" w:rsidTr="00AB2292">
        <w:trPr>
          <w:trHeight w:val="318"/>
        </w:trPr>
        <w:tc>
          <w:tcPr>
            <w:tcW w:w="4673" w:type="dxa"/>
          </w:tcPr>
          <w:p w14:paraId="49774224" w14:textId="77777777" w:rsidR="002831ED" w:rsidRPr="009F6D1E" w:rsidRDefault="002831ED" w:rsidP="0084747F">
            <w:pPr>
              <w:spacing w:after="60" w:line="264" w:lineRule="auto"/>
              <w:jc w:val="both"/>
              <w:rPr>
                <w:rFonts w:eastAsia="Tahoma" w:cs="Times New Roman"/>
                <w:lang w:eastAsia="zh-CN"/>
              </w:rPr>
            </w:pPr>
            <w:r w:rsidRPr="009F6D1E">
              <w:rPr>
                <w:rFonts w:cs="Times New Roman"/>
                <w:b/>
                <w:bCs/>
              </w:rPr>
              <w:t>Качество на атмосферния въздух</w:t>
            </w:r>
          </w:p>
        </w:tc>
        <w:tc>
          <w:tcPr>
            <w:tcW w:w="9605" w:type="dxa"/>
          </w:tcPr>
          <w:p w14:paraId="7F314115"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 въздействие върху качеството на атмосферния въздух в районите на прилагане на хоризонталната цел.</w:t>
            </w:r>
          </w:p>
        </w:tc>
      </w:tr>
      <w:tr w:rsidR="002831ED" w:rsidRPr="009F6D1E" w14:paraId="0D5E5036" w14:textId="77777777" w:rsidTr="00AB2292">
        <w:trPr>
          <w:trHeight w:val="318"/>
        </w:trPr>
        <w:tc>
          <w:tcPr>
            <w:tcW w:w="4673" w:type="dxa"/>
          </w:tcPr>
          <w:p w14:paraId="0CCFD28C" w14:textId="77777777" w:rsidR="002831ED" w:rsidRPr="009F6D1E" w:rsidRDefault="002831ED" w:rsidP="0084747F">
            <w:pPr>
              <w:spacing w:after="60" w:line="264" w:lineRule="auto"/>
              <w:jc w:val="both"/>
              <w:rPr>
                <w:rFonts w:cs="Times New Roman"/>
                <w:b/>
                <w:bCs/>
              </w:rPr>
            </w:pPr>
            <w:r w:rsidRPr="009F6D1E">
              <w:rPr>
                <w:rFonts w:cs="Times New Roman"/>
                <w:b/>
                <w:bCs/>
              </w:rPr>
              <w:t>Повърхностни води</w:t>
            </w:r>
          </w:p>
          <w:p w14:paraId="1BCCF62A" w14:textId="77777777" w:rsidR="002831ED" w:rsidRPr="009F6D1E" w:rsidRDefault="002831ED" w:rsidP="0084747F">
            <w:pPr>
              <w:spacing w:after="60" w:line="264" w:lineRule="auto"/>
              <w:jc w:val="both"/>
              <w:rPr>
                <w:rFonts w:cs="Times New Roman"/>
                <w:b/>
                <w:bCs/>
              </w:rPr>
            </w:pPr>
            <w:r w:rsidRPr="009F6D1E">
              <w:rPr>
                <w:rFonts w:cs="Times New Roman"/>
                <w:b/>
                <w:bCs/>
              </w:rPr>
              <w:t>Подземни води</w:t>
            </w:r>
          </w:p>
          <w:p w14:paraId="210C70AB" w14:textId="77777777" w:rsidR="002831ED" w:rsidRPr="009F6D1E" w:rsidRDefault="002831ED" w:rsidP="0084747F">
            <w:pPr>
              <w:spacing w:after="60" w:line="264" w:lineRule="auto"/>
              <w:jc w:val="both"/>
              <w:rPr>
                <w:rFonts w:cs="Times New Roman"/>
                <w:b/>
                <w:bCs/>
              </w:rPr>
            </w:pPr>
            <w:r w:rsidRPr="009F6D1E">
              <w:rPr>
                <w:rFonts w:cs="Times New Roman"/>
                <w:b/>
                <w:bCs/>
              </w:rPr>
              <w:t>ЗЗВ</w:t>
            </w:r>
          </w:p>
          <w:p w14:paraId="754B0791" w14:textId="77777777" w:rsidR="002831ED" w:rsidRPr="009F6D1E" w:rsidRDefault="002831ED" w:rsidP="0084747F">
            <w:pPr>
              <w:spacing w:after="60" w:line="264" w:lineRule="auto"/>
              <w:jc w:val="both"/>
              <w:rPr>
                <w:rFonts w:eastAsia="Tahoma" w:cs="Times New Roman"/>
                <w:lang w:eastAsia="zh-CN"/>
              </w:rPr>
            </w:pPr>
            <w:r w:rsidRPr="009F6D1E">
              <w:rPr>
                <w:rFonts w:cs="Times New Roman"/>
                <w:b/>
                <w:bCs/>
              </w:rPr>
              <w:t>Риск от наводнения</w:t>
            </w:r>
          </w:p>
        </w:tc>
        <w:tc>
          <w:tcPr>
            <w:tcW w:w="9605" w:type="dxa"/>
          </w:tcPr>
          <w:p w14:paraId="5A6E2F66"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 xml:space="preserve">Не се очаква въздействие върху водите. </w:t>
            </w:r>
          </w:p>
          <w:p w14:paraId="501D4148" w14:textId="77777777" w:rsidR="002831ED" w:rsidRPr="009F6D1E" w:rsidRDefault="002831ED" w:rsidP="0084747F">
            <w:pPr>
              <w:spacing w:after="60" w:line="264" w:lineRule="auto"/>
              <w:jc w:val="both"/>
              <w:rPr>
                <w:rFonts w:eastAsia="Tahoma" w:cs="Times New Roman"/>
                <w:lang w:eastAsia="zh-CN"/>
              </w:rPr>
            </w:pPr>
          </w:p>
        </w:tc>
      </w:tr>
      <w:tr w:rsidR="002831ED" w:rsidRPr="009F6D1E" w14:paraId="5F7C51BE" w14:textId="77777777" w:rsidTr="00AB2292">
        <w:trPr>
          <w:trHeight w:val="318"/>
        </w:trPr>
        <w:tc>
          <w:tcPr>
            <w:tcW w:w="4673" w:type="dxa"/>
          </w:tcPr>
          <w:p w14:paraId="7637CE0D" w14:textId="77777777" w:rsidR="002831ED" w:rsidRPr="009F6D1E" w:rsidRDefault="002831ED" w:rsidP="0084747F">
            <w:pPr>
              <w:spacing w:after="60" w:line="264" w:lineRule="auto"/>
              <w:jc w:val="both"/>
              <w:rPr>
                <w:rFonts w:eastAsia="Tahoma" w:cs="Times New Roman"/>
                <w:lang w:eastAsia="zh-CN"/>
              </w:rPr>
            </w:pPr>
            <w:r w:rsidRPr="009F6D1E">
              <w:rPr>
                <w:rFonts w:cs="Times New Roman"/>
                <w:b/>
                <w:bCs/>
              </w:rPr>
              <w:t>Земни недра</w:t>
            </w:r>
          </w:p>
        </w:tc>
        <w:tc>
          <w:tcPr>
            <w:tcW w:w="9605" w:type="dxa"/>
          </w:tcPr>
          <w:p w14:paraId="55E8CFE4"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 въздействие върху земните недра.</w:t>
            </w:r>
          </w:p>
        </w:tc>
      </w:tr>
      <w:tr w:rsidR="002831ED" w:rsidRPr="009F6D1E" w14:paraId="64A852B6" w14:textId="77777777" w:rsidTr="00AB2292">
        <w:trPr>
          <w:trHeight w:val="318"/>
        </w:trPr>
        <w:tc>
          <w:tcPr>
            <w:tcW w:w="4673" w:type="dxa"/>
          </w:tcPr>
          <w:p w14:paraId="3F58BFCA" w14:textId="77777777" w:rsidR="002831ED" w:rsidRPr="009F6D1E" w:rsidRDefault="002831ED" w:rsidP="0084747F">
            <w:pPr>
              <w:spacing w:after="60" w:line="264" w:lineRule="auto"/>
              <w:jc w:val="both"/>
              <w:rPr>
                <w:rFonts w:cs="Times New Roman"/>
                <w:b/>
                <w:bCs/>
              </w:rPr>
            </w:pPr>
            <w:r w:rsidRPr="009F6D1E">
              <w:rPr>
                <w:rFonts w:cs="Times New Roman"/>
                <w:b/>
                <w:bCs/>
              </w:rPr>
              <w:t>Почви</w:t>
            </w:r>
          </w:p>
          <w:p w14:paraId="4AC27316" w14:textId="77777777" w:rsidR="002831ED" w:rsidRPr="009F6D1E" w:rsidRDefault="002831ED" w:rsidP="0084747F">
            <w:pPr>
              <w:spacing w:after="60" w:line="264" w:lineRule="auto"/>
              <w:jc w:val="both"/>
              <w:rPr>
                <w:rFonts w:eastAsia="Tahoma" w:cs="Times New Roman"/>
                <w:lang w:eastAsia="zh-CN"/>
              </w:rPr>
            </w:pPr>
            <w:proofErr w:type="spellStart"/>
            <w:r w:rsidRPr="009F6D1E">
              <w:rPr>
                <w:rFonts w:cs="Times New Roman"/>
                <w:b/>
                <w:bCs/>
              </w:rPr>
              <w:t>Земеползване</w:t>
            </w:r>
            <w:proofErr w:type="spellEnd"/>
          </w:p>
        </w:tc>
        <w:tc>
          <w:tcPr>
            <w:tcW w:w="9605" w:type="dxa"/>
          </w:tcPr>
          <w:p w14:paraId="20C5F081"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Модернизирането и иновациите в селското стопанство се очаква да окажат  косвени, предимно положителни, дълготрайни въздействия върху почвите.</w:t>
            </w:r>
          </w:p>
        </w:tc>
      </w:tr>
      <w:tr w:rsidR="002831ED" w:rsidRPr="009F6D1E" w14:paraId="0536009E" w14:textId="77777777" w:rsidTr="00AB2292">
        <w:trPr>
          <w:trHeight w:val="980"/>
        </w:trPr>
        <w:tc>
          <w:tcPr>
            <w:tcW w:w="4673" w:type="dxa"/>
          </w:tcPr>
          <w:p w14:paraId="287A05C2" w14:textId="77777777" w:rsidR="002831ED" w:rsidRPr="009F6D1E" w:rsidRDefault="002831ED" w:rsidP="0084747F">
            <w:pPr>
              <w:spacing w:after="60" w:line="264" w:lineRule="auto"/>
              <w:jc w:val="both"/>
              <w:rPr>
                <w:rFonts w:cs="Times New Roman"/>
                <w:b/>
                <w:bCs/>
              </w:rPr>
            </w:pPr>
            <w:r w:rsidRPr="009F6D1E">
              <w:rPr>
                <w:rFonts w:cs="Times New Roman"/>
                <w:b/>
                <w:bCs/>
              </w:rPr>
              <w:t>Биоразнообразие</w:t>
            </w:r>
          </w:p>
          <w:p w14:paraId="6C3B9DB2" w14:textId="77777777" w:rsidR="002831ED" w:rsidRPr="009F6D1E" w:rsidRDefault="002831ED" w:rsidP="0084747F">
            <w:pPr>
              <w:spacing w:after="60" w:line="264" w:lineRule="auto"/>
              <w:jc w:val="both"/>
              <w:rPr>
                <w:rFonts w:cs="Times New Roman"/>
                <w:b/>
                <w:bCs/>
              </w:rPr>
            </w:pPr>
            <w:r w:rsidRPr="009F6D1E">
              <w:rPr>
                <w:rFonts w:cs="Times New Roman"/>
                <w:b/>
                <w:bCs/>
              </w:rPr>
              <w:t xml:space="preserve"> Горски територии</w:t>
            </w:r>
          </w:p>
          <w:p w14:paraId="461D94AC" w14:textId="77777777" w:rsidR="002831ED" w:rsidRPr="009F6D1E" w:rsidRDefault="002831ED" w:rsidP="0084747F">
            <w:pPr>
              <w:spacing w:after="60" w:line="264" w:lineRule="auto"/>
              <w:jc w:val="both"/>
              <w:rPr>
                <w:rFonts w:eastAsia="Tahoma" w:cs="Times New Roman"/>
                <w:highlight w:val="yellow"/>
                <w:lang w:eastAsia="zh-CN"/>
              </w:rPr>
            </w:pPr>
            <w:r w:rsidRPr="009F6D1E">
              <w:rPr>
                <w:rFonts w:cs="Times New Roman"/>
                <w:b/>
                <w:bCs/>
              </w:rPr>
              <w:t xml:space="preserve"> ЗТ</w:t>
            </w:r>
          </w:p>
        </w:tc>
        <w:tc>
          <w:tcPr>
            <w:tcW w:w="9605" w:type="dxa"/>
          </w:tcPr>
          <w:p w14:paraId="77DD709C"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 xml:space="preserve">Очаква се въздействие със слаба до умерена положителна значимост. </w:t>
            </w:r>
          </w:p>
        </w:tc>
      </w:tr>
      <w:tr w:rsidR="002831ED" w:rsidRPr="009F6D1E" w14:paraId="26E767C2" w14:textId="77777777" w:rsidTr="00AB2292">
        <w:trPr>
          <w:trHeight w:val="318"/>
        </w:trPr>
        <w:tc>
          <w:tcPr>
            <w:tcW w:w="4673" w:type="dxa"/>
          </w:tcPr>
          <w:p w14:paraId="03C26F44" w14:textId="77777777" w:rsidR="002831ED" w:rsidRPr="009F6D1E" w:rsidRDefault="002831ED" w:rsidP="0084747F">
            <w:pPr>
              <w:spacing w:after="60" w:line="264" w:lineRule="auto"/>
              <w:jc w:val="both"/>
              <w:rPr>
                <w:rFonts w:eastAsia="Tahoma" w:cs="Times New Roman"/>
                <w:lang w:eastAsia="zh-CN"/>
              </w:rPr>
            </w:pPr>
            <w:r w:rsidRPr="009F6D1E">
              <w:rPr>
                <w:rFonts w:cs="Times New Roman"/>
                <w:b/>
                <w:bCs/>
              </w:rPr>
              <w:t xml:space="preserve">Ландшафт </w:t>
            </w:r>
          </w:p>
        </w:tc>
        <w:tc>
          <w:tcPr>
            <w:tcW w:w="9605" w:type="dxa"/>
          </w:tcPr>
          <w:p w14:paraId="55332A37"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очакват преки въздействия върху ландшафта. Възможни са косвени положителни въздействия</w:t>
            </w:r>
          </w:p>
        </w:tc>
      </w:tr>
      <w:tr w:rsidR="002831ED" w:rsidRPr="009F6D1E" w14:paraId="1C66526B" w14:textId="77777777" w:rsidTr="00AB2292">
        <w:trPr>
          <w:trHeight w:val="318"/>
        </w:trPr>
        <w:tc>
          <w:tcPr>
            <w:tcW w:w="4673" w:type="dxa"/>
          </w:tcPr>
          <w:p w14:paraId="168446E9" w14:textId="77777777" w:rsidR="002831ED" w:rsidRPr="009F6D1E" w:rsidRDefault="002831ED" w:rsidP="0084747F">
            <w:pPr>
              <w:spacing w:after="60" w:line="264" w:lineRule="auto"/>
              <w:jc w:val="both"/>
              <w:rPr>
                <w:rFonts w:cs="Times New Roman"/>
                <w:b/>
                <w:bCs/>
              </w:rPr>
            </w:pPr>
            <w:r w:rsidRPr="009F6D1E">
              <w:rPr>
                <w:rFonts w:cs="Times New Roman"/>
                <w:b/>
                <w:bCs/>
              </w:rPr>
              <w:lastRenderedPageBreak/>
              <w:t>Материални активи</w:t>
            </w:r>
          </w:p>
        </w:tc>
        <w:tc>
          <w:tcPr>
            <w:tcW w:w="9605" w:type="dxa"/>
          </w:tcPr>
          <w:p w14:paraId="6BA10C6B"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Очаква се пряко и положително въздействие върху материалните активи при прилагане на потребности 4 и 5. Реализирането на другите потребности няма да окаже каквото и да е влияние върху материалните активи.</w:t>
            </w:r>
          </w:p>
        </w:tc>
      </w:tr>
      <w:tr w:rsidR="002831ED" w:rsidRPr="009F6D1E" w14:paraId="3D1FDE44" w14:textId="77777777" w:rsidTr="00AB2292">
        <w:trPr>
          <w:trHeight w:val="318"/>
        </w:trPr>
        <w:tc>
          <w:tcPr>
            <w:tcW w:w="4673" w:type="dxa"/>
          </w:tcPr>
          <w:p w14:paraId="1C749BEE" w14:textId="77777777" w:rsidR="002831ED" w:rsidRPr="009F6D1E" w:rsidRDefault="002831ED" w:rsidP="0084747F">
            <w:pPr>
              <w:spacing w:after="60" w:line="264" w:lineRule="auto"/>
              <w:jc w:val="both"/>
              <w:rPr>
                <w:rFonts w:cs="Times New Roman"/>
                <w:b/>
                <w:bCs/>
              </w:rPr>
            </w:pPr>
            <w:r w:rsidRPr="009F6D1E">
              <w:rPr>
                <w:rFonts w:cs="Times New Roman"/>
                <w:b/>
                <w:bCs/>
              </w:rPr>
              <w:t>Културно-историческо наследство</w:t>
            </w:r>
          </w:p>
        </w:tc>
        <w:tc>
          <w:tcPr>
            <w:tcW w:w="9605" w:type="dxa"/>
          </w:tcPr>
          <w:p w14:paraId="408EB0C2"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Целта няма пряко отношение към културно-историческо наследство.</w:t>
            </w:r>
          </w:p>
        </w:tc>
      </w:tr>
      <w:tr w:rsidR="002831ED" w:rsidRPr="009F6D1E" w14:paraId="246EF675" w14:textId="77777777" w:rsidTr="00AB2292">
        <w:trPr>
          <w:trHeight w:val="318"/>
        </w:trPr>
        <w:tc>
          <w:tcPr>
            <w:tcW w:w="4673" w:type="dxa"/>
          </w:tcPr>
          <w:p w14:paraId="0A9E9DBD" w14:textId="77777777" w:rsidR="002831ED" w:rsidRPr="009F6D1E" w:rsidRDefault="002831ED" w:rsidP="0084747F">
            <w:pPr>
              <w:spacing w:after="60" w:line="264" w:lineRule="auto"/>
              <w:jc w:val="both"/>
              <w:rPr>
                <w:rFonts w:cs="Times New Roman"/>
                <w:b/>
                <w:bCs/>
              </w:rPr>
            </w:pPr>
            <w:r w:rsidRPr="009F6D1E">
              <w:rPr>
                <w:rFonts w:cs="Times New Roman"/>
                <w:b/>
                <w:bCs/>
              </w:rPr>
              <w:t>Вредни физични фактори</w:t>
            </w:r>
          </w:p>
        </w:tc>
        <w:tc>
          <w:tcPr>
            <w:tcW w:w="9605" w:type="dxa"/>
          </w:tcPr>
          <w:p w14:paraId="021616A2"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 въздействие върху фактор шум, като резултат от реализирането на мерките, част от специфичната цел.</w:t>
            </w:r>
          </w:p>
        </w:tc>
      </w:tr>
      <w:tr w:rsidR="002831ED" w:rsidRPr="009F6D1E" w14:paraId="0C945879" w14:textId="77777777" w:rsidTr="00AB2292">
        <w:trPr>
          <w:trHeight w:val="318"/>
        </w:trPr>
        <w:tc>
          <w:tcPr>
            <w:tcW w:w="4673" w:type="dxa"/>
          </w:tcPr>
          <w:p w14:paraId="4FF1A36C" w14:textId="77777777" w:rsidR="002831ED" w:rsidRPr="009F6D1E" w:rsidRDefault="002831ED" w:rsidP="0084747F">
            <w:pPr>
              <w:spacing w:after="60" w:line="264" w:lineRule="auto"/>
              <w:jc w:val="both"/>
              <w:rPr>
                <w:rFonts w:cs="Times New Roman"/>
                <w:b/>
                <w:bCs/>
              </w:rPr>
            </w:pPr>
            <w:r w:rsidRPr="009F6D1E">
              <w:rPr>
                <w:rFonts w:cs="Times New Roman"/>
                <w:b/>
                <w:bCs/>
              </w:rPr>
              <w:t xml:space="preserve">Отпадъци </w:t>
            </w:r>
          </w:p>
        </w:tc>
        <w:tc>
          <w:tcPr>
            <w:tcW w:w="9605" w:type="dxa"/>
          </w:tcPr>
          <w:p w14:paraId="04174A91"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Очакваните въздействия са преки и положителни, в резултат на внедряването на нови технологии и модернизации в производствата, при прилагането на потребности 4 и 5. Останалите потребности няма да повлияят върху вида, количеството и начина на третиране на отпадъците.</w:t>
            </w:r>
          </w:p>
        </w:tc>
      </w:tr>
      <w:tr w:rsidR="002831ED" w:rsidRPr="009F6D1E" w14:paraId="45ED0ADE" w14:textId="77777777" w:rsidTr="00AB2292">
        <w:tc>
          <w:tcPr>
            <w:tcW w:w="4673" w:type="dxa"/>
          </w:tcPr>
          <w:p w14:paraId="3212CB7C" w14:textId="77777777" w:rsidR="002831ED" w:rsidRPr="009F6D1E" w:rsidRDefault="002831ED" w:rsidP="0084747F">
            <w:pPr>
              <w:spacing w:after="60" w:line="264" w:lineRule="auto"/>
              <w:jc w:val="both"/>
              <w:rPr>
                <w:rFonts w:cs="Times New Roman"/>
                <w:b/>
                <w:bCs/>
              </w:rPr>
            </w:pPr>
            <w:r w:rsidRPr="009F6D1E">
              <w:rPr>
                <w:rFonts w:cs="Times New Roman"/>
                <w:b/>
                <w:bCs/>
              </w:rPr>
              <w:t>Опасни химични вещества и риск от големи аварии</w:t>
            </w:r>
          </w:p>
        </w:tc>
        <w:tc>
          <w:tcPr>
            <w:tcW w:w="9605" w:type="dxa"/>
          </w:tcPr>
          <w:p w14:paraId="1615305D"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Не се очаква въздействие върху ОХВС.</w:t>
            </w:r>
          </w:p>
        </w:tc>
      </w:tr>
      <w:tr w:rsidR="002831ED" w:rsidRPr="009F6D1E" w14:paraId="21C8B896" w14:textId="77777777" w:rsidTr="00AB2292">
        <w:tc>
          <w:tcPr>
            <w:tcW w:w="4673" w:type="dxa"/>
          </w:tcPr>
          <w:p w14:paraId="31C6D17F" w14:textId="77777777" w:rsidR="002831ED" w:rsidRPr="009F6D1E" w:rsidRDefault="002831ED" w:rsidP="0084747F">
            <w:pPr>
              <w:spacing w:after="60" w:line="264" w:lineRule="auto"/>
              <w:jc w:val="both"/>
              <w:rPr>
                <w:rFonts w:cs="Times New Roman"/>
                <w:b/>
                <w:bCs/>
              </w:rPr>
            </w:pPr>
            <w:r w:rsidRPr="009F6D1E">
              <w:rPr>
                <w:rFonts w:cs="Times New Roman"/>
                <w:b/>
                <w:bCs/>
              </w:rPr>
              <w:t xml:space="preserve">Население </w:t>
            </w:r>
          </w:p>
          <w:p w14:paraId="335FCFBA" w14:textId="77777777" w:rsidR="002831ED" w:rsidRPr="009F6D1E" w:rsidRDefault="002831ED" w:rsidP="0084747F">
            <w:pPr>
              <w:spacing w:after="60" w:line="264" w:lineRule="auto"/>
              <w:jc w:val="both"/>
              <w:rPr>
                <w:rFonts w:cs="Times New Roman"/>
                <w:b/>
                <w:bCs/>
              </w:rPr>
            </w:pPr>
            <w:r w:rsidRPr="009F6D1E">
              <w:rPr>
                <w:rFonts w:cs="Times New Roman"/>
                <w:b/>
                <w:bCs/>
              </w:rPr>
              <w:t>Човешко здраве</w:t>
            </w:r>
          </w:p>
          <w:p w14:paraId="7DB0DD32" w14:textId="77777777" w:rsidR="002831ED" w:rsidRPr="009F6D1E" w:rsidRDefault="002831ED" w:rsidP="0084747F">
            <w:pPr>
              <w:spacing w:after="60" w:line="264" w:lineRule="auto"/>
              <w:jc w:val="both"/>
              <w:rPr>
                <w:rFonts w:cs="Times New Roman"/>
                <w:b/>
                <w:bCs/>
              </w:rPr>
            </w:pPr>
            <w:r w:rsidRPr="009F6D1E">
              <w:rPr>
                <w:rFonts w:cs="Times New Roman"/>
                <w:b/>
                <w:bCs/>
              </w:rPr>
              <w:t>Риск от инциденти</w:t>
            </w:r>
          </w:p>
        </w:tc>
        <w:tc>
          <w:tcPr>
            <w:tcW w:w="9605" w:type="dxa"/>
          </w:tcPr>
          <w:p w14:paraId="0522C413" w14:textId="77777777" w:rsidR="002831ED" w:rsidRPr="009F6D1E" w:rsidRDefault="002831ED" w:rsidP="0084747F">
            <w:pPr>
              <w:spacing w:after="60" w:line="264" w:lineRule="auto"/>
              <w:jc w:val="both"/>
              <w:rPr>
                <w:rFonts w:eastAsia="Tahoma" w:cs="Times New Roman"/>
                <w:lang w:eastAsia="zh-CN"/>
              </w:rPr>
            </w:pPr>
            <w:r w:rsidRPr="009F6D1E">
              <w:rPr>
                <w:rFonts w:eastAsia="Tahoma" w:cs="Times New Roman"/>
                <w:lang w:eastAsia="zh-CN"/>
              </w:rPr>
              <w:t>В резултат на прилагането на мярката не се очаква въздействие върху населението и човешкото здраве в районите на прилагане на хоризонталната цел.</w:t>
            </w:r>
          </w:p>
        </w:tc>
      </w:tr>
    </w:tbl>
    <w:p w14:paraId="2C5E285D" w14:textId="77777777" w:rsidR="009652DB" w:rsidRPr="009F6D1E" w:rsidRDefault="009652DB" w:rsidP="0084747F">
      <w:pPr>
        <w:spacing w:after="60" w:line="264" w:lineRule="auto"/>
        <w:contextualSpacing/>
        <w:jc w:val="both"/>
        <w:rPr>
          <w:rFonts w:eastAsia="Calibri" w:cs="Times New Roman"/>
          <w:b/>
          <w:bCs/>
          <w:i/>
          <w:iCs/>
          <w:szCs w:val="24"/>
        </w:rPr>
      </w:pPr>
    </w:p>
    <w:p w14:paraId="333F3168" w14:textId="77777777" w:rsidR="00D33717" w:rsidRPr="009F6D1E" w:rsidRDefault="00D33717" w:rsidP="00D02E9D">
      <w:pPr>
        <w:pStyle w:val="ListParagraph"/>
        <w:keepNext/>
        <w:keepLines/>
        <w:numPr>
          <w:ilvl w:val="1"/>
          <w:numId w:val="26"/>
        </w:numPr>
        <w:shd w:val="clear" w:color="auto" w:fill="E2EFD9" w:themeFill="accent6" w:themeFillTint="33"/>
        <w:spacing w:after="60" w:line="264" w:lineRule="auto"/>
        <w:ind w:left="0" w:firstLine="0"/>
        <w:jc w:val="both"/>
        <w:outlineLvl w:val="1"/>
        <w:rPr>
          <w:rFonts w:eastAsia="Times New Roman"/>
          <w:b/>
          <w:i/>
          <w:lang w:val="bg-BG"/>
        </w:rPr>
      </w:pPr>
      <w:bookmarkStart w:id="586" w:name="_Toc115255035"/>
      <w:r w:rsidRPr="009F6D1E">
        <w:rPr>
          <w:rFonts w:eastAsia="Times New Roman"/>
          <w:b/>
          <w:i/>
          <w:lang w:val="bg-BG"/>
        </w:rPr>
        <w:t>Оценка на вероятните въздействия на ниво „дейности/мерки“</w:t>
      </w:r>
      <w:bookmarkEnd w:id="586"/>
    </w:p>
    <w:p w14:paraId="1A573069" w14:textId="77777777" w:rsidR="00D33717" w:rsidRPr="009F6D1E" w:rsidRDefault="00D33717" w:rsidP="0084747F">
      <w:pPr>
        <w:spacing w:after="60" w:line="264" w:lineRule="auto"/>
        <w:contextualSpacing/>
        <w:jc w:val="both"/>
        <w:rPr>
          <w:rFonts w:eastAsia="Calibri" w:cs="Times New Roman"/>
          <w:b/>
          <w:bCs/>
          <w:i/>
          <w:iCs/>
          <w:szCs w:val="24"/>
        </w:rPr>
      </w:pPr>
    </w:p>
    <w:p w14:paraId="1DE8E684" w14:textId="77777777" w:rsidR="00D33717" w:rsidRPr="009F6D1E" w:rsidRDefault="00D33717">
      <w:pPr>
        <w:pStyle w:val="Heading3"/>
        <w:numPr>
          <w:ilvl w:val="2"/>
          <w:numId w:val="68"/>
        </w:numPr>
        <w:shd w:val="clear" w:color="auto" w:fill="E2EFD9" w:themeFill="accent6" w:themeFillTint="33"/>
        <w:tabs>
          <w:tab w:val="clear" w:pos="1701"/>
        </w:tabs>
        <w:spacing w:before="0" w:after="60" w:line="264" w:lineRule="auto"/>
        <w:rPr>
          <w:smallCaps w:val="0"/>
          <w:lang w:bidi="ar-SA"/>
        </w:rPr>
      </w:pPr>
      <w:bookmarkStart w:id="587" w:name="_Toc87799836"/>
      <w:bookmarkStart w:id="588" w:name="_Toc115255036"/>
      <w:bookmarkStart w:id="589" w:name="_Hlk96692562"/>
      <w:r w:rsidRPr="009F6D1E">
        <w:rPr>
          <w:smallCaps w:val="0"/>
          <w:lang w:bidi="ar-SA"/>
        </w:rPr>
        <w:lastRenderedPageBreak/>
        <w:t>Потребности/Интервенции, обект на подкрепа по Специфична цел №1:</w:t>
      </w:r>
      <w:bookmarkEnd w:id="587"/>
      <w:bookmarkEnd w:id="588"/>
      <w:r w:rsidRPr="009F6D1E">
        <w:rPr>
          <w:smallCaps w:val="0"/>
          <w:lang w:bidi="ar-SA"/>
        </w:rPr>
        <w:t xml:space="preserve"> </w:t>
      </w:r>
    </w:p>
    <w:bookmarkEnd w:id="589"/>
    <w:p w14:paraId="0AE01C8A" w14:textId="77777777" w:rsidR="00D33717" w:rsidRPr="009F6D1E" w:rsidRDefault="00D33717"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0"/>
        <w:gridCol w:w="3691"/>
        <w:gridCol w:w="4250"/>
      </w:tblGrid>
      <w:tr w:rsidR="002831ED" w:rsidRPr="009F6D1E" w14:paraId="41ACD663" w14:textId="77777777" w:rsidTr="00AB2292">
        <w:trPr>
          <w:tblHeader/>
        </w:trPr>
        <w:tc>
          <w:tcPr>
            <w:tcW w:w="1838" w:type="dxa"/>
            <w:vMerge w:val="restart"/>
            <w:shd w:val="clear" w:color="auto" w:fill="D9D9D9" w:themeFill="background1" w:themeFillShade="D9"/>
            <w:textDirection w:val="btLr"/>
            <w:vAlign w:val="center"/>
          </w:tcPr>
          <w:p w14:paraId="52B391A7" w14:textId="77777777" w:rsidR="002831ED" w:rsidRPr="009F6D1E" w:rsidRDefault="002831ED" w:rsidP="0084747F">
            <w:pPr>
              <w:spacing w:after="60" w:line="264" w:lineRule="auto"/>
              <w:ind w:left="113" w:right="113"/>
              <w:jc w:val="center"/>
              <w:rPr>
                <w:rFonts w:cs="Times New Roman"/>
                <w:b/>
                <w:bCs/>
                <w:i/>
                <w:sz w:val="20"/>
                <w:szCs w:val="20"/>
              </w:rPr>
            </w:pPr>
            <w:bookmarkStart w:id="590" w:name="_Hlk96692090"/>
            <w:r w:rsidRPr="009F6D1E">
              <w:rPr>
                <w:rFonts w:cs="Times New Roman"/>
                <w:b/>
                <w:bCs/>
                <w:sz w:val="20"/>
                <w:szCs w:val="20"/>
              </w:rPr>
              <w:t>КОМПОНЕНТ/ ФАКТОР НА ОКОЛНАТА СРЕДА</w:t>
            </w:r>
          </w:p>
        </w:tc>
        <w:tc>
          <w:tcPr>
            <w:tcW w:w="4250" w:type="dxa"/>
            <w:shd w:val="clear" w:color="auto" w:fill="D9D9D9" w:themeFill="background1" w:themeFillShade="D9"/>
            <w:vAlign w:val="center"/>
          </w:tcPr>
          <w:p w14:paraId="4DE7A45C"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rPr>
              <w:t>П.1.1. Необходимост от подпомагане на доходите на земеделските стопани, с цел сближаването им със средното равнище на доходи в другите сектори в икономиката</w:t>
            </w:r>
          </w:p>
          <w:p w14:paraId="4A993E74"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73FDCA98" w14:textId="77777777" w:rsidR="002831ED" w:rsidRPr="009F6D1E" w:rsidRDefault="002831ED" w:rsidP="0084747F">
            <w:pPr>
              <w:spacing w:after="60" w:line="264" w:lineRule="auto"/>
              <w:jc w:val="center"/>
              <w:rPr>
                <w:rFonts w:cs="Times New Roman"/>
                <w:b/>
                <w:bCs/>
                <w:i/>
                <w:sz w:val="20"/>
                <w:szCs w:val="20"/>
              </w:rPr>
            </w:pPr>
            <w:r w:rsidRPr="009F6D1E">
              <w:rPr>
                <w:rFonts w:cs="Times New Roman"/>
                <w:i/>
                <w:sz w:val="20"/>
                <w:szCs w:val="20"/>
              </w:rPr>
              <w:t>- Основно подпомагане на доходите за устойчивост</w:t>
            </w:r>
          </w:p>
        </w:tc>
        <w:tc>
          <w:tcPr>
            <w:tcW w:w="3691" w:type="dxa"/>
            <w:shd w:val="clear" w:color="auto" w:fill="D9D9D9" w:themeFill="background1" w:themeFillShade="D9"/>
            <w:vAlign w:val="center"/>
          </w:tcPr>
          <w:p w14:paraId="6A521CFB" w14:textId="77777777" w:rsidR="002831ED" w:rsidRPr="009F6D1E" w:rsidRDefault="002831ED" w:rsidP="0084747F">
            <w:pPr>
              <w:widowControl w:val="0"/>
              <w:spacing w:after="60" w:line="264" w:lineRule="auto"/>
              <w:jc w:val="center"/>
              <w:rPr>
                <w:rFonts w:cs="Times New Roman"/>
                <w:b/>
                <w:bCs/>
                <w:i/>
                <w:sz w:val="20"/>
                <w:szCs w:val="20"/>
              </w:rPr>
            </w:pPr>
            <w:r w:rsidRPr="009F6D1E">
              <w:rPr>
                <w:rFonts w:cs="Times New Roman"/>
                <w:b/>
                <w:bCs/>
                <w:i/>
                <w:sz w:val="20"/>
                <w:szCs w:val="20"/>
              </w:rPr>
              <w:t>П.1.2. Повишаване на ефективността на подкрепата и увеличаване на икономическия потенциал на малките и средни стопанства</w:t>
            </w:r>
          </w:p>
          <w:p w14:paraId="6B2EBB72"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7ADA04B0" w14:textId="77777777" w:rsidR="002831ED" w:rsidRPr="009F6D1E" w:rsidRDefault="002831ED"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Допълнително преразпределително подпомагане на доходите за устойчивост;</w:t>
            </w:r>
          </w:p>
          <w:p w14:paraId="18F2D2F2" w14:textId="77777777" w:rsidR="002831ED" w:rsidRPr="009F6D1E" w:rsidRDefault="002831ED" w:rsidP="0084747F">
            <w:pPr>
              <w:spacing w:after="60" w:line="264" w:lineRule="auto"/>
              <w:jc w:val="center"/>
              <w:rPr>
                <w:rFonts w:cs="Times New Roman"/>
                <w:b/>
                <w:bCs/>
                <w:i/>
                <w:sz w:val="20"/>
                <w:szCs w:val="20"/>
              </w:rPr>
            </w:pPr>
            <w:r w:rsidRPr="009F6D1E">
              <w:rPr>
                <w:rFonts w:cs="Times New Roman"/>
                <w:i/>
                <w:sz w:val="20"/>
                <w:szCs w:val="20"/>
              </w:rPr>
              <w:t>- Плащания за малки земеделски стопани</w:t>
            </w:r>
          </w:p>
        </w:tc>
        <w:tc>
          <w:tcPr>
            <w:tcW w:w="4250" w:type="dxa"/>
            <w:shd w:val="clear" w:color="auto" w:fill="D9D9D9" w:themeFill="background1" w:themeFillShade="D9"/>
            <w:vAlign w:val="center"/>
          </w:tcPr>
          <w:p w14:paraId="36933CE5"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rPr>
              <w:t>П.1.3. Потребност от подпомагане на земеделските стопанства в секторите зеленчуци, трайни насаждения и преживни животни за увеличаване на икономическия им потенциал</w:t>
            </w:r>
          </w:p>
          <w:p w14:paraId="4993F2C2"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BD4E6F3"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rPr>
              <w:t xml:space="preserve">- </w:t>
            </w:r>
            <w:r w:rsidRPr="009F6D1E">
              <w:rPr>
                <w:rFonts w:cs="Times New Roman"/>
                <w:i/>
                <w:sz w:val="20"/>
                <w:szCs w:val="20"/>
              </w:rPr>
              <w:t>Обвързано с производството подпомагане на доходите</w:t>
            </w:r>
          </w:p>
        </w:tc>
      </w:tr>
      <w:tr w:rsidR="002831ED" w:rsidRPr="009F6D1E" w14:paraId="756CA1BE" w14:textId="77777777" w:rsidTr="00AB2292">
        <w:trPr>
          <w:tblHeader/>
        </w:trPr>
        <w:tc>
          <w:tcPr>
            <w:tcW w:w="1838" w:type="dxa"/>
            <w:vMerge/>
            <w:shd w:val="clear" w:color="auto" w:fill="FFF2CC" w:themeFill="accent4" w:themeFillTint="33"/>
          </w:tcPr>
          <w:p w14:paraId="1EA97333" w14:textId="77777777" w:rsidR="002831ED" w:rsidRPr="009F6D1E" w:rsidRDefault="002831ED"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65B54032" w14:textId="77777777" w:rsidR="002831ED" w:rsidRPr="009F6D1E" w:rsidRDefault="002831ED"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2831ED" w:rsidRPr="009F6D1E" w14:paraId="347D2E62" w14:textId="77777777" w:rsidTr="00AB2292">
        <w:trPr>
          <w:trHeight w:val="318"/>
        </w:trPr>
        <w:tc>
          <w:tcPr>
            <w:tcW w:w="1838" w:type="dxa"/>
            <w:shd w:val="clear" w:color="auto" w:fill="auto"/>
          </w:tcPr>
          <w:p w14:paraId="6385DF39"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Климат,</w:t>
            </w:r>
          </w:p>
          <w:p w14:paraId="21D1687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79A0B5FA"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250" w:type="dxa"/>
            <w:shd w:val="clear" w:color="auto" w:fill="auto"/>
          </w:tcPr>
          <w:p w14:paraId="25722C7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282163D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2400244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31688042" w14:textId="77777777" w:rsidTr="00AB2292">
        <w:trPr>
          <w:trHeight w:val="318"/>
        </w:trPr>
        <w:tc>
          <w:tcPr>
            <w:tcW w:w="1838" w:type="dxa"/>
            <w:shd w:val="clear" w:color="auto" w:fill="auto"/>
          </w:tcPr>
          <w:p w14:paraId="416936F9"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250" w:type="dxa"/>
            <w:shd w:val="clear" w:color="auto" w:fill="auto"/>
          </w:tcPr>
          <w:p w14:paraId="7C6ED255"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42880BF4"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783F59E4"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44CEC99B" w14:textId="77777777" w:rsidTr="00AB2292">
        <w:trPr>
          <w:trHeight w:val="318"/>
        </w:trPr>
        <w:tc>
          <w:tcPr>
            <w:tcW w:w="1838" w:type="dxa"/>
            <w:shd w:val="clear" w:color="auto" w:fill="auto"/>
          </w:tcPr>
          <w:p w14:paraId="110D2458"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4037F892"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3E47C025"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61A333BD"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lastRenderedPageBreak/>
              <w:t>Риск от наводнения</w:t>
            </w:r>
          </w:p>
        </w:tc>
        <w:tc>
          <w:tcPr>
            <w:tcW w:w="4250" w:type="dxa"/>
            <w:shd w:val="clear" w:color="auto" w:fill="auto"/>
          </w:tcPr>
          <w:p w14:paraId="4D04D3DE"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въздействие.</w:t>
            </w:r>
          </w:p>
        </w:tc>
        <w:tc>
          <w:tcPr>
            <w:tcW w:w="3691" w:type="dxa"/>
          </w:tcPr>
          <w:p w14:paraId="4D40CF4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p w14:paraId="4A5DAD24" w14:textId="77777777" w:rsidR="002831ED" w:rsidRPr="009F6D1E" w:rsidRDefault="002831ED" w:rsidP="0084747F">
            <w:pPr>
              <w:spacing w:after="60" w:line="264" w:lineRule="auto"/>
              <w:jc w:val="both"/>
              <w:rPr>
                <w:rFonts w:eastAsia="Tahoma" w:cs="Times New Roman"/>
                <w:sz w:val="20"/>
                <w:szCs w:val="20"/>
                <w:lang w:eastAsia="zh-CN"/>
              </w:rPr>
            </w:pPr>
          </w:p>
        </w:tc>
        <w:tc>
          <w:tcPr>
            <w:tcW w:w="4250" w:type="dxa"/>
          </w:tcPr>
          <w:p w14:paraId="06C814B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6D67078D" w14:textId="77777777" w:rsidTr="00AB2292">
        <w:trPr>
          <w:trHeight w:val="318"/>
        </w:trPr>
        <w:tc>
          <w:tcPr>
            <w:tcW w:w="1838" w:type="dxa"/>
            <w:shd w:val="clear" w:color="auto" w:fill="auto"/>
          </w:tcPr>
          <w:p w14:paraId="4C190A1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Земни недра</w:t>
            </w:r>
          </w:p>
        </w:tc>
        <w:tc>
          <w:tcPr>
            <w:tcW w:w="4250" w:type="dxa"/>
            <w:shd w:val="clear" w:color="auto" w:fill="auto"/>
          </w:tcPr>
          <w:p w14:paraId="77A4D278"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691" w:type="dxa"/>
          </w:tcPr>
          <w:p w14:paraId="092B35B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0" w:type="dxa"/>
          </w:tcPr>
          <w:p w14:paraId="59B7709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3DADA28F" w14:textId="77777777" w:rsidTr="00AB2292">
        <w:trPr>
          <w:trHeight w:val="318"/>
        </w:trPr>
        <w:tc>
          <w:tcPr>
            <w:tcW w:w="1838" w:type="dxa"/>
            <w:shd w:val="clear" w:color="auto" w:fill="auto"/>
          </w:tcPr>
          <w:p w14:paraId="24999CFE"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Почви</w:t>
            </w:r>
          </w:p>
          <w:p w14:paraId="34287DFD" w14:textId="77777777" w:rsidR="002831ED" w:rsidRPr="009F6D1E" w:rsidRDefault="002831ED"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250" w:type="dxa"/>
            <w:shd w:val="clear" w:color="auto" w:fill="auto"/>
          </w:tcPr>
          <w:p w14:paraId="107611DA"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1C97A1DA"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0028F0E1"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7C8FD828" w14:textId="77777777" w:rsidTr="00AB2292">
        <w:trPr>
          <w:trHeight w:val="289"/>
        </w:trPr>
        <w:tc>
          <w:tcPr>
            <w:tcW w:w="1838" w:type="dxa"/>
            <w:shd w:val="clear" w:color="auto" w:fill="auto"/>
          </w:tcPr>
          <w:p w14:paraId="494211F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06B89DB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7387D6B6" w14:textId="77777777" w:rsidR="002831ED" w:rsidRPr="009F6D1E" w:rsidRDefault="002831ED" w:rsidP="0084747F">
            <w:pPr>
              <w:spacing w:after="60" w:line="264" w:lineRule="auto"/>
              <w:jc w:val="both"/>
              <w:rPr>
                <w:rFonts w:cs="Times New Roman"/>
                <w:b/>
                <w:bCs/>
                <w:sz w:val="20"/>
                <w:szCs w:val="20"/>
                <w:highlight w:val="yellow"/>
              </w:rPr>
            </w:pPr>
            <w:r w:rsidRPr="009F6D1E">
              <w:rPr>
                <w:rFonts w:cs="Times New Roman"/>
                <w:b/>
                <w:bCs/>
                <w:sz w:val="20"/>
                <w:szCs w:val="20"/>
              </w:rPr>
              <w:t>ЗТ</w:t>
            </w:r>
          </w:p>
        </w:tc>
        <w:tc>
          <w:tcPr>
            <w:tcW w:w="4250" w:type="dxa"/>
            <w:shd w:val="clear" w:color="auto" w:fill="auto"/>
          </w:tcPr>
          <w:p w14:paraId="3D4504C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За да получат подпомагане по интервенцията за основно подпомагане на доходите за устойчивост, бенефициентите имат задължението да спазват стандартите за ДЗЕС и ЗИУ. </w:t>
            </w:r>
          </w:p>
          <w:p w14:paraId="1BD4CEC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Не се очаква  въздействие. </w:t>
            </w:r>
          </w:p>
        </w:tc>
        <w:tc>
          <w:tcPr>
            <w:tcW w:w="3691" w:type="dxa"/>
          </w:tcPr>
          <w:p w14:paraId="5D8CAC4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0" w:type="dxa"/>
          </w:tcPr>
          <w:p w14:paraId="78BB300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Едновременното намаление в броя на специализирани земеделски стопанства, отглеждащи зеленчуци, свиването на площите и икономическия им размер и ниската плътността на животновъдството на единица площ обуславят продължаването на подкрепата за тези сектори. Необходимо е увеличаване на икономическия потенциал на земеделските стопанства, приоритетно в секторите зеленчуци, трайни насаждения и преживни животни. Бенефициентите на директни плащания трябва да отговарят на ЗИУ и </w:t>
            </w:r>
            <w:r w:rsidRPr="009F6D1E">
              <w:rPr>
                <w:rFonts w:eastAsia="Tahoma" w:cs="Times New Roman"/>
                <w:sz w:val="20"/>
                <w:szCs w:val="20"/>
                <w:lang w:eastAsia="zh-CN"/>
              </w:rPr>
              <w:lastRenderedPageBreak/>
              <w:t xml:space="preserve">стандартите за ДЗЕС и подлежат на санкции при неспазването им. </w:t>
            </w:r>
          </w:p>
          <w:p w14:paraId="402F95BA"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73562CC2" w14:textId="77777777" w:rsidTr="00AB2292">
        <w:trPr>
          <w:trHeight w:val="318"/>
        </w:trPr>
        <w:tc>
          <w:tcPr>
            <w:tcW w:w="1838" w:type="dxa"/>
            <w:shd w:val="clear" w:color="auto" w:fill="auto"/>
          </w:tcPr>
          <w:p w14:paraId="356483B2"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lastRenderedPageBreak/>
              <w:t xml:space="preserve">Ландшафт </w:t>
            </w:r>
          </w:p>
        </w:tc>
        <w:tc>
          <w:tcPr>
            <w:tcW w:w="4250" w:type="dxa"/>
            <w:shd w:val="clear" w:color="auto" w:fill="auto"/>
          </w:tcPr>
          <w:p w14:paraId="6C1D259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shd w:val="clear" w:color="auto" w:fill="auto"/>
          </w:tcPr>
          <w:p w14:paraId="35382192"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456CA080"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1EBEED4F" w14:textId="77777777" w:rsidTr="00AB2292">
        <w:trPr>
          <w:trHeight w:val="318"/>
        </w:trPr>
        <w:tc>
          <w:tcPr>
            <w:tcW w:w="1838" w:type="dxa"/>
            <w:shd w:val="clear" w:color="auto" w:fill="auto"/>
          </w:tcPr>
          <w:p w14:paraId="4BFFFBA6"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4250" w:type="dxa"/>
            <w:shd w:val="clear" w:color="auto" w:fill="auto"/>
          </w:tcPr>
          <w:p w14:paraId="3665DBCF"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Подпомагането на доходите на земеделските стопани, с цел сближаването им със средното равнище на доходи в другите сектори в икономиката ще доведе до косвено положително и дълготрайно въздействие върху материалите активи.</w:t>
            </w:r>
          </w:p>
        </w:tc>
        <w:tc>
          <w:tcPr>
            <w:tcW w:w="3691" w:type="dxa"/>
          </w:tcPr>
          <w:p w14:paraId="7CAE5921"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Допълнително необвързано с производството директно плащане ще доведе до косвено положително и дълготрайно въздействие върху материалите активи.</w:t>
            </w:r>
          </w:p>
        </w:tc>
        <w:tc>
          <w:tcPr>
            <w:tcW w:w="4250" w:type="dxa"/>
          </w:tcPr>
          <w:p w14:paraId="479E4B63" w14:textId="506F2959"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Чрез подкрепата на сектори и производства, изпитващи трудности, ще се подобрява тяхната </w:t>
            </w:r>
            <w:proofErr w:type="spellStart"/>
            <w:r w:rsidRPr="009F6D1E">
              <w:rPr>
                <w:rFonts w:eastAsia="Tahoma" w:cs="Times New Roman"/>
                <w:sz w:val="20"/>
                <w:szCs w:val="20"/>
                <w:lang w:eastAsia="zh-CN"/>
              </w:rPr>
              <w:t>конкурент</w:t>
            </w:r>
            <w:r w:rsidR="00F31AED">
              <w:rPr>
                <w:rFonts w:eastAsia="Tahoma" w:cs="Times New Roman"/>
                <w:sz w:val="20"/>
                <w:szCs w:val="20"/>
                <w:lang w:eastAsia="zh-CN"/>
              </w:rPr>
              <w:t>оспо</w:t>
            </w:r>
            <w:r w:rsidRPr="009F6D1E">
              <w:rPr>
                <w:rFonts w:eastAsia="Tahoma" w:cs="Times New Roman"/>
                <w:sz w:val="20"/>
                <w:szCs w:val="20"/>
                <w:lang w:eastAsia="zh-CN"/>
              </w:rPr>
              <w:t>особност</w:t>
            </w:r>
            <w:proofErr w:type="spellEnd"/>
            <w:r w:rsidRPr="009F6D1E">
              <w:rPr>
                <w:rFonts w:eastAsia="Tahoma" w:cs="Times New Roman"/>
                <w:sz w:val="20"/>
                <w:szCs w:val="20"/>
                <w:lang w:eastAsia="zh-CN"/>
              </w:rPr>
              <w:t xml:space="preserve">, устойчивост, качество и икономически потенциал, а от тук ще се окаже косвено положително и дълготрайно въздействие върху материалите активи. </w:t>
            </w:r>
          </w:p>
        </w:tc>
      </w:tr>
      <w:tr w:rsidR="002831ED" w:rsidRPr="009F6D1E" w14:paraId="01851797" w14:textId="77777777" w:rsidTr="00AB2292">
        <w:trPr>
          <w:trHeight w:val="318"/>
        </w:trPr>
        <w:tc>
          <w:tcPr>
            <w:tcW w:w="1838" w:type="dxa"/>
            <w:shd w:val="clear" w:color="auto" w:fill="auto"/>
          </w:tcPr>
          <w:p w14:paraId="1DA2A919"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4250" w:type="dxa"/>
            <w:shd w:val="clear" w:color="auto" w:fill="auto"/>
          </w:tcPr>
          <w:p w14:paraId="043DDCCF"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Не се очаква въздействие. </w:t>
            </w:r>
          </w:p>
        </w:tc>
        <w:tc>
          <w:tcPr>
            <w:tcW w:w="3691" w:type="dxa"/>
          </w:tcPr>
          <w:p w14:paraId="544C9191"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0" w:type="dxa"/>
          </w:tcPr>
          <w:p w14:paraId="1879538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2831ED" w:rsidRPr="009F6D1E" w14:paraId="1A031C8E" w14:textId="77777777" w:rsidTr="00AB2292">
        <w:trPr>
          <w:trHeight w:val="1610"/>
        </w:trPr>
        <w:tc>
          <w:tcPr>
            <w:tcW w:w="1838" w:type="dxa"/>
            <w:shd w:val="clear" w:color="auto" w:fill="auto"/>
          </w:tcPr>
          <w:p w14:paraId="69E6B745"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Вредни физични фактори</w:t>
            </w:r>
          </w:p>
        </w:tc>
        <w:tc>
          <w:tcPr>
            <w:tcW w:w="4250" w:type="dxa"/>
            <w:shd w:val="clear" w:color="auto" w:fill="auto"/>
          </w:tcPr>
          <w:p w14:paraId="5311D3D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6DF8DB7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7F0911F7"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55AB8715" w14:textId="77777777" w:rsidTr="00AB2292">
        <w:trPr>
          <w:trHeight w:val="318"/>
        </w:trPr>
        <w:tc>
          <w:tcPr>
            <w:tcW w:w="1838" w:type="dxa"/>
            <w:shd w:val="clear" w:color="auto" w:fill="auto"/>
          </w:tcPr>
          <w:p w14:paraId="046B35C0"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250" w:type="dxa"/>
            <w:shd w:val="clear" w:color="auto" w:fill="auto"/>
          </w:tcPr>
          <w:p w14:paraId="1FF9C924"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4CA61B01"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1B66E6A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739A74AA" w14:textId="77777777" w:rsidTr="00AB2292">
        <w:tc>
          <w:tcPr>
            <w:tcW w:w="1838" w:type="dxa"/>
            <w:shd w:val="clear" w:color="auto" w:fill="auto"/>
          </w:tcPr>
          <w:p w14:paraId="306A187B" w14:textId="77777777" w:rsidR="002831ED" w:rsidRPr="009F6D1E" w:rsidRDefault="002831ED"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4250" w:type="dxa"/>
            <w:shd w:val="clear" w:color="auto" w:fill="auto"/>
          </w:tcPr>
          <w:p w14:paraId="7139F714"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691" w:type="dxa"/>
          </w:tcPr>
          <w:p w14:paraId="57C8B6A5"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250" w:type="dxa"/>
          </w:tcPr>
          <w:p w14:paraId="4A13C5DC"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tr w:rsidR="002831ED" w:rsidRPr="009F6D1E" w14:paraId="729D27EE" w14:textId="77777777" w:rsidTr="00AB2292">
        <w:tc>
          <w:tcPr>
            <w:tcW w:w="1838" w:type="dxa"/>
            <w:shd w:val="clear" w:color="auto" w:fill="auto"/>
          </w:tcPr>
          <w:p w14:paraId="077AA59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072FEAED"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545441BD" w14:textId="77777777" w:rsidR="002831ED" w:rsidRPr="009F6D1E" w:rsidRDefault="002831ED"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250" w:type="dxa"/>
            <w:shd w:val="clear" w:color="auto" w:fill="auto"/>
          </w:tcPr>
          <w:p w14:paraId="3F6ADFFA"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691" w:type="dxa"/>
          </w:tcPr>
          <w:p w14:paraId="021F5E61"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250" w:type="dxa"/>
          </w:tcPr>
          <w:p w14:paraId="08745994"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bookmarkEnd w:id="590"/>
    </w:tbl>
    <w:p w14:paraId="1211C9E5" w14:textId="77777777" w:rsidR="002831ED" w:rsidRPr="009F6D1E" w:rsidRDefault="002831ED" w:rsidP="0084747F">
      <w:pPr>
        <w:spacing w:after="60" w:line="264" w:lineRule="auto"/>
        <w:contextualSpacing/>
        <w:jc w:val="both"/>
        <w:rPr>
          <w:rFonts w:eastAsia="Calibri" w:cs="Times New Roman"/>
          <w:b/>
          <w:bCs/>
          <w:i/>
          <w:iCs/>
          <w:szCs w:val="24"/>
        </w:rPr>
      </w:pPr>
    </w:p>
    <w:p w14:paraId="4F7B04DF" w14:textId="77777777" w:rsidR="002831ED" w:rsidRPr="009F6D1E" w:rsidRDefault="002831ED"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0"/>
        <w:gridCol w:w="3691"/>
        <w:gridCol w:w="4250"/>
      </w:tblGrid>
      <w:tr w:rsidR="002831ED" w:rsidRPr="009F6D1E" w14:paraId="21BF0C4D" w14:textId="77777777" w:rsidTr="00AB2292">
        <w:trPr>
          <w:tblHeader/>
        </w:trPr>
        <w:tc>
          <w:tcPr>
            <w:tcW w:w="1838" w:type="dxa"/>
            <w:vMerge w:val="restart"/>
            <w:shd w:val="clear" w:color="auto" w:fill="D9D9D9" w:themeFill="background1" w:themeFillShade="D9"/>
            <w:textDirection w:val="btLr"/>
            <w:vAlign w:val="center"/>
          </w:tcPr>
          <w:p w14:paraId="3D76BF12" w14:textId="77777777" w:rsidR="002831ED" w:rsidRPr="009F6D1E" w:rsidRDefault="002831ED" w:rsidP="0084747F">
            <w:pPr>
              <w:spacing w:after="60" w:line="264" w:lineRule="auto"/>
              <w:ind w:left="113" w:right="113"/>
              <w:jc w:val="center"/>
              <w:rPr>
                <w:rFonts w:cs="Times New Roman"/>
                <w:b/>
                <w:bCs/>
                <w:i/>
                <w:sz w:val="20"/>
                <w:szCs w:val="20"/>
              </w:rPr>
            </w:pPr>
            <w:bookmarkStart w:id="591" w:name="_Hlk96692336"/>
            <w:r w:rsidRPr="009F6D1E">
              <w:rPr>
                <w:rFonts w:cs="Times New Roman"/>
                <w:b/>
                <w:bCs/>
                <w:sz w:val="20"/>
                <w:szCs w:val="20"/>
              </w:rPr>
              <w:lastRenderedPageBreak/>
              <w:t>КОМПОНЕНТ/ ФАКТОР НА ОКОЛНАТА СРЕДА</w:t>
            </w:r>
          </w:p>
        </w:tc>
        <w:tc>
          <w:tcPr>
            <w:tcW w:w="4250" w:type="dxa"/>
            <w:shd w:val="clear" w:color="auto" w:fill="D9D9D9" w:themeFill="background1" w:themeFillShade="D9"/>
          </w:tcPr>
          <w:p w14:paraId="0F8CEA23"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rPr>
              <w:t>П.1.4. Укрепване жизнеспособността на земеделските стопанства в районите с природни и други ограничения</w:t>
            </w:r>
          </w:p>
          <w:p w14:paraId="2BFEF6F7"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6F5528AF" w14:textId="77777777" w:rsidR="002831ED" w:rsidRPr="009F6D1E" w:rsidRDefault="002831ED"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Подпомагане за райони, изправени пред природни или други специфични ограничения</w:t>
            </w:r>
          </w:p>
          <w:p w14:paraId="3106C24D" w14:textId="77777777" w:rsidR="002831ED" w:rsidRPr="009F6D1E" w:rsidRDefault="002831ED" w:rsidP="0084747F">
            <w:pPr>
              <w:spacing w:after="60" w:line="264" w:lineRule="auto"/>
              <w:jc w:val="center"/>
              <w:rPr>
                <w:rFonts w:cs="Times New Roman"/>
                <w:i/>
                <w:sz w:val="20"/>
                <w:szCs w:val="20"/>
              </w:rPr>
            </w:pPr>
            <w:r w:rsidRPr="009F6D1E">
              <w:rPr>
                <w:rFonts w:cs="Times New Roman"/>
                <w:i/>
                <w:sz w:val="20"/>
                <w:szCs w:val="20"/>
              </w:rPr>
              <w:t>- Плащания за земеделски земи в зони от Натура 2000</w:t>
            </w:r>
          </w:p>
        </w:tc>
        <w:tc>
          <w:tcPr>
            <w:tcW w:w="3691" w:type="dxa"/>
            <w:shd w:val="clear" w:color="auto" w:fill="D9D9D9" w:themeFill="background1" w:themeFillShade="D9"/>
            <w:vAlign w:val="center"/>
          </w:tcPr>
          <w:p w14:paraId="6B58E035" w14:textId="77777777" w:rsidR="002831ED" w:rsidRPr="009F6D1E" w:rsidRDefault="002831ED" w:rsidP="0084747F">
            <w:pPr>
              <w:widowControl w:val="0"/>
              <w:spacing w:after="60" w:line="264" w:lineRule="auto"/>
              <w:jc w:val="center"/>
              <w:rPr>
                <w:rFonts w:cs="Times New Roman"/>
                <w:b/>
                <w:bCs/>
                <w:i/>
                <w:sz w:val="20"/>
                <w:szCs w:val="20"/>
              </w:rPr>
            </w:pPr>
            <w:r w:rsidRPr="009F6D1E">
              <w:rPr>
                <w:rFonts w:cs="Times New Roman"/>
                <w:b/>
                <w:bCs/>
                <w:i/>
                <w:sz w:val="20"/>
                <w:szCs w:val="20"/>
              </w:rPr>
              <w:t>П.1.5.Надграждане и диверсифициране на системата за управление на риска и управление на кризите в земеделието</w:t>
            </w:r>
          </w:p>
          <w:p w14:paraId="4B9E4218"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Интервенция</w:t>
            </w:r>
            <w:r w:rsidRPr="009F6D1E">
              <w:rPr>
                <w:rFonts w:cs="Times New Roman"/>
                <w:b/>
                <w:bCs/>
                <w:i/>
                <w:sz w:val="20"/>
                <w:szCs w:val="20"/>
              </w:rPr>
              <w:t>:</w:t>
            </w:r>
          </w:p>
          <w:p w14:paraId="115A81D7" w14:textId="77777777" w:rsidR="002831ED" w:rsidRPr="009F6D1E" w:rsidRDefault="002831ED"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Възстановяването на земеделски потенциал след природни бедствия или катастрофични събития и инвестиции в подходящи превантивни действия;</w:t>
            </w:r>
          </w:p>
          <w:p w14:paraId="5833D6E4" w14:textId="77777777" w:rsidR="002831ED" w:rsidRPr="009F6D1E" w:rsidRDefault="002831ED" w:rsidP="0084747F">
            <w:pPr>
              <w:spacing w:after="60" w:line="264" w:lineRule="auto"/>
              <w:jc w:val="center"/>
              <w:rPr>
                <w:rFonts w:cs="Times New Roman"/>
                <w:i/>
                <w:sz w:val="20"/>
                <w:szCs w:val="20"/>
              </w:rPr>
            </w:pPr>
            <w:r w:rsidRPr="009F6D1E">
              <w:rPr>
                <w:rFonts w:cs="Times New Roman"/>
                <w:i/>
                <w:sz w:val="20"/>
                <w:szCs w:val="20"/>
              </w:rPr>
              <w:t>-</w:t>
            </w:r>
            <w:r w:rsidRPr="009F6D1E">
              <w:rPr>
                <w:rFonts w:cs="Times New Roman"/>
                <w:sz w:val="20"/>
                <w:szCs w:val="20"/>
              </w:rPr>
              <w:t xml:space="preserve"> </w:t>
            </w:r>
            <w:r w:rsidRPr="009F6D1E">
              <w:rPr>
                <w:rFonts w:cs="Times New Roman"/>
                <w:i/>
                <w:sz w:val="20"/>
                <w:szCs w:val="20"/>
              </w:rPr>
              <w:t xml:space="preserve">Събиране на реколтата на зелено </w:t>
            </w:r>
          </w:p>
          <w:p w14:paraId="57C7D519" w14:textId="77777777" w:rsidR="002831ED" w:rsidRPr="009F6D1E" w:rsidRDefault="002831ED" w:rsidP="0084747F">
            <w:pPr>
              <w:spacing w:after="60" w:line="264" w:lineRule="auto"/>
              <w:jc w:val="center"/>
              <w:rPr>
                <w:rFonts w:cs="Times New Roman"/>
                <w:b/>
                <w:bCs/>
                <w:i/>
                <w:sz w:val="20"/>
                <w:szCs w:val="20"/>
              </w:rPr>
            </w:pPr>
            <w:r w:rsidRPr="009F6D1E">
              <w:rPr>
                <w:rFonts w:cs="Times New Roman"/>
                <w:i/>
                <w:sz w:val="20"/>
                <w:szCs w:val="20"/>
              </w:rPr>
              <w:t>- Застраховане на реколтата</w:t>
            </w:r>
          </w:p>
        </w:tc>
        <w:tc>
          <w:tcPr>
            <w:tcW w:w="4250" w:type="dxa"/>
            <w:shd w:val="clear" w:color="auto" w:fill="D9D9D9" w:themeFill="background1" w:themeFillShade="D9"/>
            <w:vAlign w:val="center"/>
          </w:tcPr>
          <w:p w14:paraId="28470BFB" w14:textId="77777777" w:rsidR="002831ED" w:rsidRPr="009F6D1E" w:rsidRDefault="002831ED" w:rsidP="0084747F">
            <w:pPr>
              <w:spacing w:after="60" w:line="264" w:lineRule="auto"/>
              <w:jc w:val="center"/>
              <w:rPr>
                <w:rFonts w:cs="Times New Roman"/>
                <w:b/>
                <w:bCs/>
                <w:i/>
                <w:sz w:val="20"/>
                <w:szCs w:val="20"/>
              </w:rPr>
            </w:pPr>
            <w:r w:rsidRPr="009F6D1E">
              <w:rPr>
                <w:rFonts w:cs="Times New Roman"/>
                <w:b/>
                <w:bCs/>
                <w:i/>
                <w:sz w:val="20"/>
                <w:szCs w:val="20"/>
              </w:rPr>
              <w:t xml:space="preserve">П.1.6. Оптимизиране на възможностите за напояване за намаляване на негативните последици от проявлението на </w:t>
            </w:r>
            <w:proofErr w:type="spellStart"/>
            <w:r w:rsidRPr="009F6D1E">
              <w:rPr>
                <w:rFonts w:cs="Times New Roman"/>
                <w:b/>
                <w:bCs/>
                <w:i/>
                <w:sz w:val="20"/>
                <w:szCs w:val="20"/>
              </w:rPr>
              <w:t>природо</w:t>
            </w:r>
            <w:proofErr w:type="spellEnd"/>
            <w:r w:rsidRPr="009F6D1E">
              <w:rPr>
                <w:rFonts w:cs="Times New Roman"/>
                <w:b/>
                <w:bCs/>
                <w:i/>
                <w:sz w:val="20"/>
                <w:szCs w:val="20"/>
              </w:rPr>
              <w:t>-климатичните рискове и увеличаване на добивите, включително чрез изграждане, възстановяване и модернизиране на хидромелиоративната  инфраструктура в стопанствата</w:t>
            </w:r>
          </w:p>
          <w:p w14:paraId="48A3653D" w14:textId="77777777" w:rsidR="002831ED" w:rsidRPr="009F6D1E" w:rsidRDefault="002831ED" w:rsidP="0084747F">
            <w:pPr>
              <w:spacing w:after="60" w:line="264" w:lineRule="auto"/>
              <w:jc w:val="center"/>
              <w:rPr>
                <w:rFonts w:cs="Times New Roman"/>
                <w:i/>
                <w:sz w:val="20"/>
                <w:szCs w:val="20"/>
              </w:rPr>
            </w:pPr>
            <w:r w:rsidRPr="009F6D1E">
              <w:rPr>
                <w:rFonts w:cs="Times New Roman"/>
                <w:b/>
                <w:bCs/>
                <w:i/>
                <w:sz w:val="20"/>
                <w:szCs w:val="20"/>
                <w:u w:val="single"/>
              </w:rPr>
              <w:t>Интервенции:</w:t>
            </w:r>
            <w:r w:rsidRPr="009F6D1E">
              <w:rPr>
                <w:rFonts w:cs="Times New Roman"/>
                <w:i/>
                <w:sz w:val="20"/>
                <w:szCs w:val="20"/>
              </w:rPr>
              <w:t xml:space="preserve"> </w:t>
            </w:r>
          </w:p>
          <w:p w14:paraId="3F6FB2D2" w14:textId="77777777" w:rsidR="002831ED" w:rsidRPr="009F6D1E" w:rsidRDefault="002831ED" w:rsidP="0084747F">
            <w:pPr>
              <w:pStyle w:val="ListParagraph"/>
              <w:numPr>
                <w:ilvl w:val="0"/>
                <w:numId w:val="7"/>
              </w:numPr>
              <w:spacing w:after="60" w:line="264" w:lineRule="auto"/>
              <w:jc w:val="center"/>
              <w:rPr>
                <w:rFonts w:eastAsiaTheme="minorHAnsi"/>
                <w:i/>
                <w:color w:val="auto"/>
                <w:sz w:val="20"/>
                <w:szCs w:val="20"/>
                <w:lang w:val="bg-BG"/>
              </w:rPr>
            </w:pPr>
            <w:r w:rsidRPr="009F6D1E">
              <w:rPr>
                <w:rFonts w:eastAsiaTheme="minorHAnsi"/>
                <w:i/>
                <w:color w:val="auto"/>
                <w:sz w:val="20"/>
                <w:szCs w:val="20"/>
                <w:lang w:val="bg-BG"/>
              </w:rPr>
              <w:t>Инвестиции в земеделски стопанства</w:t>
            </w:r>
          </w:p>
          <w:p w14:paraId="3B2BFE14" w14:textId="77777777" w:rsidR="002831ED" w:rsidRPr="009F6D1E" w:rsidRDefault="002831ED" w:rsidP="0084747F">
            <w:pPr>
              <w:spacing w:after="60" w:line="264" w:lineRule="auto"/>
              <w:jc w:val="center"/>
              <w:rPr>
                <w:rFonts w:cs="Times New Roman"/>
                <w:i/>
                <w:sz w:val="20"/>
                <w:szCs w:val="20"/>
              </w:rPr>
            </w:pPr>
          </w:p>
        </w:tc>
      </w:tr>
      <w:tr w:rsidR="002831ED" w:rsidRPr="009F6D1E" w14:paraId="7AA44C3B" w14:textId="77777777" w:rsidTr="00AB2292">
        <w:trPr>
          <w:tblHeader/>
        </w:trPr>
        <w:tc>
          <w:tcPr>
            <w:tcW w:w="1838" w:type="dxa"/>
            <w:vMerge/>
            <w:shd w:val="clear" w:color="auto" w:fill="FFF2CC" w:themeFill="accent4" w:themeFillTint="33"/>
          </w:tcPr>
          <w:p w14:paraId="3947A0F1" w14:textId="77777777" w:rsidR="002831ED" w:rsidRPr="009F6D1E" w:rsidRDefault="002831ED"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0BF61585" w14:textId="77777777" w:rsidR="002831ED" w:rsidRPr="009F6D1E" w:rsidRDefault="002831ED"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2831ED" w:rsidRPr="009F6D1E" w14:paraId="78EFA395" w14:textId="77777777" w:rsidTr="00AB2292">
        <w:trPr>
          <w:trHeight w:val="318"/>
        </w:trPr>
        <w:tc>
          <w:tcPr>
            <w:tcW w:w="1838" w:type="dxa"/>
            <w:shd w:val="clear" w:color="auto" w:fill="auto"/>
          </w:tcPr>
          <w:p w14:paraId="0C0D6720"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Климат,</w:t>
            </w:r>
          </w:p>
          <w:p w14:paraId="7939FB7B"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40719B1D"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250" w:type="dxa"/>
            <w:shd w:val="clear" w:color="auto" w:fill="auto"/>
          </w:tcPr>
          <w:p w14:paraId="61588412"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1BCF8CE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мярката да доведе до каквито и де и въздействия върху климата.</w:t>
            </w:r>
          </w:p>
          <w:p w14:paraId="045CE551"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От друга страна обаче, в частта си, свързана с инвестициите в подходящи превантивни действия ще се повлияе положително върху адаптационния процес към изменящия се климат.</w:t>
            </w:r>
          </w:p>
        </w:tc>
        <w:tc>
          <w:tcPr>
            <w:tcW w:w="4250" w:type="dxa"/>
          </w:tcPr>
          <w:p w14:paraId="7AD609C5"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мярката да доведе до въздействия върху климата.</w:t>
            </w:r>
          </w:p>
          <w:p w14:paraId="0041D75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Реализирането на мярата, която цели оптимизиране на възможностите за напояване за намаляване на негативните последици от проявлението на </w:t>
            </w:r>
            <w:proofErr w:type="spellStart"/>
            <w:r w:rsidRPr="009F6D1E">
              <w:rPr>
                <w:rFonts w:eastAsia="Tahoma" w:cs="Times New Roman"/>
                <w:sz w:val="20"/>
                <w:szCs w:val="20"/>
                <w:lang w:eastAsia="zh-CN"/>
              </w:rPr>
              <w:t>природо</w:t>
            </w:r>
            <w:proofErr w:type="spellEnd"/>
            <w:r w:rsidRPr="009F6D1E">
              <w:rPr>
                <w:rFonts w:eastAsia="Tahoma" w:cs="Times New Roman"/>
                <w:sz w:val="20"/>
                <w:szCs w:val="20"/>
                <w:lang w:eastAsia="zh-CN"/>
              </w:rPr>
              <w:t>-климатичните рискове и увеличаване на добивите, от друга страна ще окаже положително въздействие, свързано с адаптацията към климатичните промени.</w:t>
            </w:r>
          </w:p>
        </w:tc>
      </w:tr>
      <w:tr w:rsidR="002831ED" w:rsidRPr="009F6D1E" w14:paraId="02996946" w14:textId="77777777" w:rsidTr="00AB2292">
        <w:trPr>
          <w:trHeight w:val="318"/>
        </w:trPr>
        <w:tc>
          <w:tcPr>
            <w:tcW w:w="1838" w:type="dxa"/>
            <w:shd w:val="clear" w:color="auto" w:fill="auto"/>
          </w:tcPr>
          <w:p w14:paraId="1C63900E"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250" w:type="dxa"/>
            <w:shd w:val="clear" w:color="auto" w:fill="auto"/>
          </w:tcPr>
          <w:p w14:paraId="329A33CA"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60C1A9E4"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009F840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18F8304B" w14:textId="77777777" w:rsidTr="00AB2292">
        <w:trPr>
          <w:trHeight w:val="318"/>
        </w:trPr>
        <w:tc>
          <w:tcPr>
            <w:tcW w:w="1838" w:type="dxa"/>
            <w:shd w:val="clear" w:color="auto" w:fill="auto"/>
          </w:tcPr>
          <w:p w14:paraId="52685CA6"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08B736D1"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Подземни води</w:t>
            </w:r>
          </w:p>
          <w:p w14:paraId="77BEA75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6827D13C"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250" w:type="dxa"/>
            <w:shd w:val="clear" w:color="auto" w:fill="auto"/>
          </w:tcPr>
          <w:p w14:paraId="5A92D006"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въздействие.</w:t>
            </w:r>
          </w:p>
          <w:p w14:paraId="4D435F3B" w14:textId="77777777" w:rsidR="002831ED" w:rsidRPr="009F6D1E" w:rsidRDefault="002831ED" w:rsidP="0084747F">
            <w:pPr>
              <w:spacing w:after="60" w:line="264" w:lineRule="auto"/>
              <w:jc w:val="both"/>
              <w:rPr>
                <w:rFonts w:eastAsia="Tahoma" w:cs="Times New Roman"/>
                <w:sz w:val="20"/>
                <w:szCs w:val="20"/>
                <w:lang w:eastAsia="zh-CN"/>
              </w:rPr>
            </w:pPr>
          </w:p>
        </w:tc>
        <w:tc>
          <w:tcPr>
            <w:tcW w:w="3691" w:type="dxa"/>
          </w:tcPr>
          <w:p w14:paraId="2CA9273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От реализацията на мярката се очаква положително, постоянно, пряко, едновременно, дългосрочно въздействие </w:t>
            </w:r>
            <w:r w:rsidRPr="009F6D1E">
              <w:rPr>
                <w:rFonts w:eastAsia="Tahoma" w:cs="Times New Roman"/>
                <w:sz w:val="20"/>
                <w:szCs w:val="20"/>
                <w:lang w:eastAsia="zh-CN"/>
              </w:rPr>
              <w:lastRenderedPageBreak/>
              <w:t>със средна значимост, дължащо се на: намаляване на вредното въздействие на водите и риска от наводнения както и от помагане за регулиране на водния отток</w:t>
            </w:r>
          </w:p>
        </w:tc>
        <w:tc>
          <w:tcPr>
            <w:tcW w:w="4250" w:type="dxa"/>
          </w:tcPr>
          <w:p w14:paraId="7053099A" w14:textId="77777777" w:rsidR="002831ED" w:rsidRPr="009F6D1E" w:rsidRDefault="002831ED" w:rsidP="0084747F">
            <w:pPr>
              <w:widowControl w:val="0"/>
              <w:spacing w:after="60" w:line="264" w:lineRule="auto"/>
              <w:jc w:val="both"/>
              <w:rPr>
                <w:rFonts w:cs="Times New Roman"/>
                <w:sz w:val="20"/>
                <w:szCs w:val="20"/>
              </w:rPr>
            </w:pPr>
            <w:r w:rsidRPr="009F6D1E">
              <w:rPr>
                <w:rFonts w:cs="Times New Roman"/>
                <w:sz w:val="20"/>
                <w:szCs w:val="20"/>
              </w:rPr>
              <w:lastRenderedPageBreak/>
              <w:t>Мярката включва множество дейности, които ще имат положително въздействие върху повърхностните води. Тези дейности включват</w:t>
            </w:r>
          </w:p>
          <w:p w14:paraId="3CA44CDC" w14:textId="0805A0ED" w:rsidR="002831ED" w:rsidRPr="009F6D1E" w:rsidRDefault="002831ED">
            <w:pPr>
              <w:pStyle w:val="ListParagraph"/>
              <w:widowControl w:val="0"/>
              <w:numPr>
                <w:ilvl w:val="0"/>
                <w:numId w:val="35"/>
              </w:numPr>
              <w:spacing w:after="60" w:line="264" w:lineRule="auto"/>
              <w:contextualSpacing w:val="0"/>
              <w:jc w:val="both"/>
              <w:rPr>
                <w:color w:val="auto"/>
                <w:sz w:val="20"/>
                <w:szCs w:val="20"/>
                <w:lang w:val="bg-BG"/>
              </w:rPr>
            </w:pPr>
            <w:r w:rsidRPr="009F6D1E">
              <w:rPr>
                <w:color w:val="auto"/>
                <w:sz w:val="20"/>
                <w:szCs w:val="20"/>
                <w:lang w:val="bg-BG"/>
              </w:rPr>
              <w:lastRenderedPageBreak/>
              <w:t xml:space="preserve">Изграждането, реконструкцията и модернизацията на инфраструктурата за напояване, </w:t>
            </w:r>
          </w:p>
          <w:p w14:paraId="06256DC4" w14:textId="77777777" w:rsidR="002831ED" w:rsidRPr="009F6D1E" w:rsidRDefault="002831ED">
            <w:pPr>
              <w:pStyle w:val="ListParagraph"/>
              <w:widowControl w:val="0"/>
              <w:numPr>
                <w:ilvl w:val="0"/>
                <w:numId w:val="35"/>
              </w:numPr>
              <w:spacing w:after="60" w:line="264" w:lineRule="auto"/>
              <w:contextualSpacing w:val="0"/>
              <w:jc w:val="both"/>
              <w:rPr>
                <w:color w:val="auto"/>
                <w:sz w:val="20"/>
                <w:szCs w:val="20"/>
                <w:lang w:val="bg-BG"/>
              </w:rPr>
            </w:pPr>
            <w:r w:rsidRPr="009F6D1E">
              <w:rPr>
                <w:color w:val="auto"/>
                <w:sz w:val="20"/>
                <w:szCs w:val="20"/>
                <w:lang w:val="bg-BG"/>
              </w:rPr>
              <w:t xml:space="preserve">Инвестиции за намаляване на негативните последици от проявлението на </w:t>
            </w:r>
            <w:proofErr w:type="spellStart"/>
            <w:r w:rsidRPr="009F6D1E">
              <w:rPr>
                <w:color w:val="auto"/>
                <w:sz w:val="20"/>
                <w:szCs w:val="20"/>
                <w:lang w:val="bg-BG"/>
              </w:rPr>
              <w:t>природо</w:t>
            </w:r>
            <w:proofErr w:type="spellEnd"/>
            <w:r w:rsidRPr="009F6D1E">
              <w:rPr>
                <w:color w:val="auto"/>
                <w:sz w:val="20"/>
                <w:szCs w:val="20"/>
                <w:lang w:val="bg-BG"/>
              </w:rPr>
              <w:t>-климатичните рискове</w:t>
            </w:r>
          </w:p>
          <w:p w14:paraId="64F0A382" w14:textId="77777777" w:rsidR="002831ED" w:rsidRPr="009F6D1E" w:rsidRDefault="002831ED">
            <w:pPr>
              <w:pStyle w:val="ListParagraph"/>
              <w:widowControl w:val="0"/>
              <w:numPr>
                <w:ilvl w:val="0"/>
                <w:numId w:val="35"/>
              </w:numPr>
              <w:spacing w:after="60" w:line="264" w:lineRule="auto"/>
              <w:contextualSpacing w:val="0"/>
              <w:jc w:val="both"/>
              <w:rPr>
                <w:color w:val="auto"/>
                <w:sz w:val="20"/>
                <w:szCs w:val="20"/>
                <w:lang w:val="bg-BG"/>
              </w:rPr>
            </w:pPr>
            <w:r w:rsidRPr="009F6D1E">
              <w:rPr>
                <w:color w:val="auto"/>
                <w:sz w:val="20"/>
                <w:szCs w:val="20"/>
                <w:lang w:val="bg-BG"/>
              </w:rPr>
              <w:t xml:space="preserve">Инвестиции за изграждане, възстановяване и модернизиране на хидромелиоративната </w:t>
            </w:r>
            <w:proofErr w:type="spellStart"/>
            <w:r w:rsidRPr="009F6D1E">
              <w:rPr>
                <w:color w:val="auto"/>
                <w:sz w:val="20"/>
                <w:szCs w:val="20"/>
                <w:lang w:val="bg-BG"/>
              </w:rPr>
              <w:t>нфраструктура</w:t>
            </w:r>
            <w:proofErr w:type="spellEnd"/>
          </w:p>
          <w:p w14:paraId="7EBDB1FA" w14:textId="77777777" w:rsidR="002831ED" w:rsidRPr="009F6D1E" w:rsidRDefault="002831ED" w:rsidP="0084747F">
            <w:pPr>
              <w:spacing w:after="60" w:line="264" w:lineRule="auto"/>
              <w:jc w:val="both"/>
              <w:rPr>
                <w:rFonts w:cs="Times New Roman"/>
                <w:sz w:val="20"/>
                <w:szCs w:val="20"/>
              </w:rPr>
            </w:pPr>
            <w:r w:rsidRPr="009F6D1E">
              <w:rPr>
                <w:rFonts w:cs="Times New Roman"/>
                <w:sz w:val="20"/>
                <w:szCs w:val="20"/>
              </w:rPr>
              <w:t xml:space="preserve">Всички дейности са насочени и като инвестиции за опазване на околната среда и ще спомогнат за преодоляване на съществуващите екологични проблеми описани в точка 6 от ЕО свързани с проблеми с количеството на водите, </w:t>
            </w:r>
            <w:r w:rsidRPr="009F6D1E">
              <w:rPr>
                <w:rFonts w:cs="Times New Roman"/>
                <w:sz w:val="20"/>
                <w:szCs w:val="20"/>
              </w:rPr>
              <w:lastRenderedPageBreak/>
              <w:t>риска от наводнения, проблеми с напояването и регулиране на оттока.</w:t>
            </w:r>
          </w:p>
          <w:p w14:paraId="4E61B868" w14:textId="153003F5" w:rsidR="002831ED" w:rsidRPr="009F6D1E" w:rsidRDefault="002831ED" w:rsidP="0084747F">
            <w:pPr>
              <w:spacing w:after="60" w:line="264" w:lineRule="auto"/>
              <w:jc w:val="both"/>
              <w:rPr>
                <w:rFonts w:cs="Times New Roman"/>
                <w:kern w:val="16"/>
                <w:sz w:val="20"/>
                <w:szCs w:val="20"/>
              </w:rPr>
            </w:pPr>
            <w:r w:rsidRPr="009F6D1E">
              <w:rPr>
                <w:rFonts w:cs="Times New Roman"/>
                <w:sz w:val="20"/>
                <w:szCs w:val="20"/>
              </w:rPr>
              <w:t xml:space="preserve">Очаква се </w:t>
            </w:r>
            <w:r w:rsidRPr="009F6D1E">
              <w:rPr>
                <w:rFonts w:cs="Times New Roman"/>
                <w:kern w:val="16"/>
                <w:sz w:val="20"/>
                <w:szCs w:val="20"/>
              </w:rPr>
              <w:t xml:space="preserve">положително, постоянно, пряко, едновременно, дългосрочно въздействие с ниска значимост, дължащо се на: </w:t>
            </w:r>
            <w:r w:rsidRPr="009F6D1E">
              <w:rPr>
                <w:rFonts w:cs="Times New Roman"/>
                <w:sz w:val="20"/>
                <w:szCs w:val="20"/>
              </w:rPr>
              <w:t>намаляване</w:t>
            </w:r>
            <w:r w:rsidRPr="009F6D1E">
              <w:rPr>
                <w:rFonts w:cs="Times New Roman"/>
                <w:kern w:val="16"/>
                <w:sz w:val="20"/>
                <w:szCs w:val="20"/>
              </w:rPr>
              <w:t xml:space="preserve"> на натиска и въздействието върху количественото състояние на водите, вследствие на осъществени реконструкция на хидромелиоративната инфраструктура, изграждане на нови и подобряване на съществуващи мрежи за напояване в стопанствата</w:t>
            </w:r>
          </w:p>
          <w:p w14:paraId="15EC5FE6" w14:textId="77777777" w:rsidR="002831ED" w:rsidRPr="009F6D1E" w:rsidRDefault="002831ED" w:rsidP="0084747F">
            <w:pPr>
              <w:spacing w:after="60" w:line="264" w:lineRule="auto"/>
              <w:jc w:val="both"/>
              <w:rPr>
                <w:rFonts w:cs="Times New Roman"/>
                <w:kern w:val="16"/>
                <w:sz w:val="20"/>
                <w:szCs w:val="20"/>
              </w:rPr>
            </w:pPr>
            <w:r w:rsidRPr="009F6D1E">
              <w:rPr>
                <w:rFonts w:cs="Times New Roman"/>
                <w:kern w:val="16"/>
                <w:sz w:val="20"/>
                <w:szCs w:val="20"/>
              </w:rPr>
              <w:t>Продължителност на въздействието: дългосрочно</w:t>
            </w:r>
          </w:p>
          <w:p w14:paraId="2827C68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cs="Times New Roman"/>
                <w:kern w:val="16"/>
                <w:sz w:val="20"/>
                <w:szCs w:val="20"/>
              </w:rPr>
              <w:t>Обхват на въздействието: локален, регионален</w:t>
            </w:r>
          </w:p>
        </w:tc>
      </w:tr>
      <w:tr w:rsidR="002831ED" w:rsidRPr="009F6D1E" w14:paraId="56C2F989" w14:textId="77777777" w:rsidTr="00AB2292">
        <w:trPr>
          <w:trHeight w:val="318"/>
        </w:trPr>
        <w:tc>
          <w:tcPr>
            <w:tcW w:w="1838" w:type="dxa"/>
            <w:shd w:val="clear" w:color="auto" w:fill="auto"/>
          </w:tcPr>
          <w:p w14:paraId="04615B68"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lastRenderedPageBreak/>
              <w:t>Земни недра</w:t>
            </w:r>
          </w:p>
        </w:tc>
        <w:tc>
          <w:tcPr>
            <w:tcW w:w="4250" w:type="dxa"/>
            <w:shd w:val="clear" w:color="auto" w:fill="auto"/>
          </w:tcPr>
          <w:p w14:paraId="25FC5410"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691" w:type="dxa"/>
          </w:tcPr>
          <w:p w14:paraId="5C31B4E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0" w:type="dxa"/>
          </w:tcPr>
          <w:p w14:paraId="79F568D0" w14:textId="77777777" w:rsidR="002831ED" w:rsidRPr="009F6D1E" w:rsidRDefault="002831ED" w:rsidP="0084747F">
            <w:pPr>
              <w:widowControl w:val="0"/>
              <w:spacing w:after="60" w:line="264" w:lineRule="auto"/>
              <w:jc w:val="both"/>
              <w:rPr>
                <w:rFonts w:cs="Times New Roman"/>
                <w:sz w:val="20"/>
                <w:szCs w:val="20"/>
              </w:rPr>
            </w:pPr>
            <w:r w:rsidRPr="009F6D1E">
              <w:rPr>
                <w:rFonts w:eastAsia="Tahoma" w:cs="Times New Roman"/>
                <w:sz w:val="20"/>
                <w:szCs w:val="20"/>
                <w:lang w:eastAsia="zh-CN"/>
              </w:rPr>
              <w:t>Не се очаква въздействие.</w:t>
            </w:r>
          </w:p>
        </w:tc>
      </w:tr>
      <w:tr w:rsidR="002831ED" w:rsidRPr="009F6D1E" w14:paraId="64FDE247" w14:textId="77777777" w:rsidTr="00AB2292">
        <w:trPr>
          <w:trHeight w:val="318"/>
        </w:trPr>
        <w:tc>
          <w:tcPr>
            <w:tcW w:w="1838" w:type="dxa"/>
            <w:shd w:val="clear" w:color="auto" w:fill="auto"/>
          </w:tcPr>
          <w:p w14:paraId="10EBCDEC"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Почви</w:t>
            </w:r>
          </w:p>
          <w:p w14:paraId="41477F59" w14:textId="77777777" w:rsidR="002831ED" w:rsidRPr="009F6D1E" w:rsidRDefault="002831ED"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250" w:type="dxa"/>
            <w:shd w:val="clear" w:color="auto" w:fill="auto"/>
          </w:tcPr>
          <w:p w14:paraId="6EED3E0A"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1E71F521"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пряко въздействие върху почвите. Възможни са косвени положителни въздействия от прилагането на превантивни и възстановителни дейности.</w:t>
            </w:r>
          </w:p>
        </w:tc>
        <w:tc>
          <w:tcPr>
            <w:tcW w:w="4250" w:type="dxa"/>
          </w:tcPr>
          <w:p w14:paraId="14D5B142"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Възможна е появата както на слаби положителни въздействия в резултат от  въвеждане на поливно земеделия, така и отрицателни в резултат от нарушаване на почвения слой при изграждане на хидромелиоративни съоръжения или </w:t>
            </w:r>
            <w:proofErr w:type="spellStart"/>
            <w:r w:rsidRPr="009F6D1E">
              <w:rPr>
                <w:rFonts w:eastAsia="Tahoma" w:cs="Times New Roman"/>
                <w:sz w:val="20"/>
                <w:szCs w:val="20"/>
                <w:lang w:eastAsia="zh-CN"/>
              </w:rPr>
              <w:t>преовлажняване</w:t>
            </w:r>
            <w:proofErr w:type="spellEnd"/>
            <w:r w:rsidRPr="009F6D1E">
              <w:rPr>
                <w:rFonts w:eastAsia="Tahoma" w:cs="Times New Roman"/>
                <w:sz w:val="20"/>
                <w:szCs w:val="20"/>
                <w:lang w:eastAsia="zh-CN"/>
              </w:rPr>
              <w:t xml:space="preserve">, засоляване и ерозия на почвите при неправилно поливане или използване на води с висока минерализация. </w:t>
            </w:r>
          </w:p>
        </w:tc>
      </w:tr>
      <w:tr w:rsidR="002831ED" w:rsidRPr="009F6D1E" w14:paraId="4EE6912E" w14:textId="77777777" w:rsidTr="00AB2292">
        <w:trPr>
          <w:trHeight w:val="1505"/>
        </w:trPr>
        <w:tc>
          <w:tcPr>
            <w:tcW w:w="1838" w:type="dxa"/>
            <w:shd w:val="clear" w:color="auto" w:fill="auto"/>
          </w:tcPr>
          <w:p w14:paraId="7ADEAB8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4B68911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05943BFD" w14:textId="77777777" w:rsidR="002831ED" w:rsidRPr="009F6D1E" w:rsidRDefault="002831ED" w:rsidP="0084747F">
            <w:pPr>
              <w:spacing w:after="60" w:line="264" w:lineRule="auto"/>
              <w:jc w:val="both"/>
              <w:rPr>
                <w:rFonts w:cs="Times New Roman"/>
                <w:b/>
                <w:bCs/>
                <w:sz w:val="20"/>
                <w:szCs w:val="20"/>
                <w:highlight w:val="yellow"/>
              </w:rPr>
            </w:pPr>
            <w:r w:rsidRPr="009F6D1E">
              <w:rPr>
                <w:rFonts w:cs="Times New Roman"/>
                <w:b/>
                <w:bCs/>
                <w:sz w:val="20"/>
                <w:szCs w:val="20"/>
              </w:rPr>
              <w:t>ЗТ</w:t>
            </w:r>
          </w:p>
        </w:tc>
        <w:tc>
          <w:tcPr>
            <w:tcW w:w="4250" w:type="dxa"/>
            <w:shd w:val="clear" w:color="auto" w:fill="auto"/>
          </w:tcPr>
          <w:p w14:paraId="22CE17B4"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Подпомагането е свързано с осъществяването на земеделска дейност върху земеделски площи, попадащи в район с ограничения, при спазване на законоустановените изисквания за управление, съгласно законодателството на ЕС и националните стандарти на ДЗЕС. В Натура </w:t>
            </w:r>
            <w:r w:rsidRPr="009F6D1E">
              <w:rPr>
                <w:rFonts w:eastAsia="Tahoma" w:cs="Times New Roman"/>
                <w:sz w:val="20"/>
                <w:szCs w:val="20"/>
                <w:lang w:eastAsia="zh-CN"/>
              </w:rPr>
              <w:lastRenderedPageBreak/>
              <w:t xml:space="preserve">2000 ще се предоставят годишни плащания на хектар земеделска площ за компенсиране на наложени режими/ограничения включени в заповедта за обявяване. </w:t>
            </w:r>
          </w:p>
          <w:p w14:paraId="5770101B" w14:textId="77777777" w:rsidR="002831ED" w:rsidRPr="009F6D1E" w:rsidRDefault="002831ED" w:rsidP="0084747F">
            <w:pPr>
              <w:spacing w:after="60" w:line="264" w:lineRule="auto"/>
              <w:jc w:val="both"/>
              <w:rPr>
                <w:rFonts w:eastAsia="Tahoma" w:cs="Times New Roman"/>
                <w:sz w:val="20"/>
                <w:szCs w:val="20"/>
                <w:lang w:eastAsia="zh-CN"/>
              </w:rPr>
            </w:pPr>
          </w:p>
          <w:p w14:paraId="0126D319"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p w14:paraId="497D2027"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Въздействията върху Натура 2000 са разгледани подробно в ДОСВ. </w:t>
            </w:r>
          </w:p>
        </w:tc>
        <w:tc>
          <w:tcPr>
            <w:tcW w:w="3691" w:type="dxa"/>
          </w:tcPr>
          <w:p w14:paraId="6047493D"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въздействие.</w:t>
            </w:r>
          </w:p>
          <w:p w14:paraId="29D1A2FF" w14:textId="77777777" w:rsidR="002831ED" w:rsidRPr="009F6D1E" w:rsidRDefault="002831ED" w:rsidP="0084747F">
            <w:pPr>
              <w:spacing w:after="60" w:line="264" w:lineRule="auto"/>
              <w:jc w:val="both"/>
              <w:rPr>
                <w:rFonts w:eastAsia="Tahoma" w:cs="Times New Roman"/>
                <w:sz w:val="20"/>
                <w:szCs w:val="20"/>
                <w:lang w:eastAsia="zh-CN"/>
              </w:rPr>
            </w:pPr>
          </w:p>
        </w:tc>
        <w:tc>
          <w:tcPr>
            <w:tcW w:w="4250" w:type="dxa"/>
          </w:tcPr>
          <w:p w14:paraId="6A66D173" w14:textId="77777777" w:rsidR="002831ED" w:rsidRPr="009F6D1E" w:rsidRDefault="002831ED"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p w14:paraId="057E0731" w14:textId="77777777" w:rsidR="002831ED" w:rsidRPr="009F6D1E" w:rsidRDefault="002831ED" w:rsidP="0084747F">
            <w:pPr>
              <w:spacing w:after="60" w:line="264" w:lineRule="auto"/>
              <w:jc w:val="both"/>
              <w:rPr>
                <w:rFonts w:eastAsia="Tahoma" w:cs="Times New Roman"/>
                <w:sz w:val="20"/>
                <w:szCs w:val="20"/>
                <w:lang w:eastAsia="zh-CN"/>
              </w:rPr>
            </w:pPr>
          </w:p>
        </w:tc>
      </w:tr>
      <w:tr w:rsidR="002831ED" w:rsidRPr="009F6D1E" w14:paraId="1D8FDCFD" w14:textId="77777777" w:rsidTr="00AB2292">
        <w:trPr>
          <w:trHeight w:val="318"/>
        </w:trPr>
        <w:tc>
          <w:tcPr>
            <w:tcW w:w="1838" w:type="dxa"/>
            <w:shd w:val="clear" w:color="auto" w:fill="auto"/>
          </w:tcPr>
          <w:p w14:paraId="7E5C7C41"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 xml:space="preserve">Ландшафт </w:t>
            </w:r>
          </w:p>
        </w:tc>
        <w:tc>
          <w:tcPr>
            <w:tcW w:w="4250" w:type="dxa"/>
            <w:shd w:val="clear" w:color="auto" w:fill="auto"/>
          </w:tcPr>
          <w:p w14:paraId="3D17D50E"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Очаква се положителни, дълготрайни въздействия върху природните ландшафти в резултат от спазване на въведените ограничения за някой типове земеделски дейности.</w:t>
            </w:r>
          </w:p>
        </w:tc>
        <w:tc>
          <w:tcPr>
            <w:tcW w:w="3691" w:type="dxa"/>
            <w:shd w:val="clear" w:color="auto" w:fill="auto"/>
          </w:tcPr>
          <w:p w14:paraId="56555546"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пряко въздействие върху ландшафтите. Възможни са косвени положителни въздействия от прилагането на превантивни и възстановителни дейности.</w:t>
            </w:r>
          </w:p>
        </w:tc>
        <w:tc>
          <w:tcPr>
            <w:tcW w:w="4250" w:type="dxa"/>
          </w:tcPr>
          <w:p w14:paraId="22B53A72"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Възможна е поява на отрицателни въздействия върху ландшафтите в резултат от изграждане на хидромелиоративни съоръжения и промяна на съществуващите агроландшафти, водещо до допълнителна </w:t>
            </w:r>
            <w:proofErr w:type="spellStart"/>
            <w:r w:rsidRPr="009F6D1E">
              <w:rPr>
                <w:rFonts w:eastAsia="Tahoma" w:cs="Times New Roman"/>
                <w:sz w:val="20"/>
                <w:szCs w:val="20"/>
                <w:lang w:eastAsia="zh-CN"/>
              </w:rPr>
              <w:t>антропогенизация</w:t>
            </w:r>
            <w:proofErr w:type="spellEnd"/>
            <w:r w:rsidRPr="009F6D1E">
              <w:rPr>
                <w:rFonts w:eastAsia="Tahoma" w:cs="Times New Roman"/>
                <w:sz w:val="20"/>
                <w:szCs w:val="20"/>
                <w:lang w:eastAsia="zh-CN"/>
              </w:rPr>
              <w:t xml:space="preserve"> на средата</w:t>
            </w:r>
          </w:p>
        </w:tc>
      </w:tr>
      <w:tr w:rsidR="002831ED" w:rsidRPr="009F6D1E" w14:paraId="76705B76" w14:textId="77777777" w:rsidTr="00AB2292">
        <w:trPr>
          <w:trHeight w:val="318"/>
        </w:trPr>
        <w:tc>
          <w:tcPr>
            <w:tcW w:w="1838" w:type="dxa"/>
            <w:shd w:val="clear" w:color="auto" w:fill="auto"/>
          </w:tcPr>
          <w:p w14:paraId="331DAAE1"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4250" w:type="dxa"/>
            <w:shd w:val="clear" w:color="auto" w:fill="auto"/>
          </w:tcPr>
          <w:p w14:paraId="143152D5"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434367BB"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Инвестициите в подходящи превантивни действия, както и подкрепата за </w:t>
            </w:r>
            <w:r w:rsidRPr="009F6D1E">
              <w:rPr>
                <w:rFonts w:eastAsia="Tahoma" w:cs="Times New Roman"/>
                <w:sz w:val="20"/>
                <w:szCs w:val="20"/>
                <w:lang w:eastAsia="zh-CN"/>
              </w:rPr>
              <w:lastRenderedPageBreak/>
              <w:t>възстановяване на земеделски производствен потенциал ще доведат до директно и положително въздействие върху материалните активи.</w:t>
            </w:r>
          </w:p>
        </w:tc>
        <w:tc>
          <w:tcPr>
            <w:tcW w:w="4250" w:type="dxa"/>
          </w:tcPr>
          <w:p w14:paraId="0BEF4D2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lastRenderedPageBreak/>
              <w:t xml:space="preserve">Чрез интервенцията ще се подкрепят инвестициите за напояване в рамките на </w:t>
            </w:r>
            <w:r w:rsidRPr="009F6D1E">
              <w:rPr>
                <w:rFonts w:eastAsia="Tahoma" w:cs="Times New Roman"/>
                <w:sz w:val="20"/>
                <w:szCs w:val="20"/>
                <w:lang w:eastAsia="zh-CN"/>
              </w:rPr>
              <w:lastRenderedPageBreak/>
              <w:t>земеделските стопанства, чрез което се цели насърчаване и развитие на поливното земеделие и ще се окаже пряко и положително въздействие върху материалните активи.</w:t>
            </w:r>
          </w:p>
        </w:tc>
      </w:tr>
      <w:tr w:rsidR="002831ED" w:rsidRPr="009F6D1E" w14:paraId="49B48ABA" w14:textId="77777777" w:rsidTr="00AB2292">
        <w:trPr>
          <w:trHeight w:val="318"/>
        </w:trPr>
        <w:tc>
          <w:tcPr>
            <w:tcW w:w="1838" w:type="dxa"/>
            <w:shd w:val="clear" w:color="auto" w:fill="auto"/>
          </w:tcPr>
          <w:p w14:paraId="4F71ACD6"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lastRenderedPageBreak/>
              <w:t>Културно-историческо наследство</w:t>
            </w:r>
          </w:p>
        </w:tc>
        <w:tc>
          <w:tcPr>
            <w:tcW w:w="4250" w:type="dxa"/>
            <w:shd w:val="clear" w:color="auto" w:fill="auto"/>
          </w:tcPr>
          <w:p w14:paraId="5700680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45A3D006"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38705D35"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1CAC0412" w14:textId="77777777" w:rsidTr="00AB2292">
        <w:trPr>
          <w:trHeight w:val="1610"/>
        </w:trPr>
        <w:tc>
          <w:tcPr>
            <w:tcW w:w="1838" w:type="dxa"/>
            <w:shd w:val="clear" w:color="auto" w:fill="auto"/>
          </w:tcPr>
          <w:p w14:paraId="2E3ADE8F"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4250" w:type="dxa"/>
            <w:shd w:val="clear" w:color="auto" w:fill="auto"/>
          </w:tcPr>
          <w:p w14:paraId="2378D763"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6DEBB6B8"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06CDB52C"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0340E0BB" w14:textId="77777777" w:rsidTr="00AB2292">
        <w:trPr>
          <w:trHeight w:val="318"/>
        </w:trPr>
        <w:tc>
          <w:tcPr>
            <w:tcW w:w="1838" w:type="dxa"/>
            <w:shd w:val="clear" w:color="auto" w:fill="auto"/>
          </w:tcPr>
          <w:p w14:paraId="0E24EB07" w14:textId="77777777" w:rsidR="002831ED" w:rsidRPr="009F6D1E" w:rsidRDefault="002831ED"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250" w:type="dxa"/>
            <w:shd w:val="clear" w:color="auto" w:fill="auto"/>
          </w:tcPr>
          <w:p w14:paraId="39591FC5"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691" w:type="dxa"/>
          </w:tcPr>
          <w:p w14:paraId="2B249332"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0" w:type="dxa"/>
          </w:tcPr>
          <w:p w14:paraId="352FBBB5" w14:textId="77777777" w:rsidR="002831ED" w:rsidRPr="009F6D1E" w:rsidRDefault="002831ED"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2831ED" w:rsidRPr="009F6D1E" w14:paraId="3558DEDF" w14:textId="77777777" w:rsidTr="00AB2292">
        <w:tc>
          <w:tcPr>
            <w:tcW w:w="1838" w:type="dxa"/>
            <w:shd w:val="clear" w:color="auto" w:fill="auto"/>
          </w:tcPr>
          <w:p w14:paraId="6AFA0E78" w14:textId="77777777" w:rsidR="002831ED" w:rsidRPr="009F6D1E" w:rsidRDefault="002831ED" w:rsidP="0084747F">
            <w:pPr>
              <w:spacing w:after="60" w:line="264" w:lineRule="auto"/>
              <w:jc w:val="both"/>
              <w:rPr>
                <w:rFonts w:cs="Times New Roman"/>
                <w:sz w:val="20"/>
                <w:szCs w:val="20"/>
              </w:rPr>
            </w:pPr>
            <w:r w:rsidRPr="009F6D1E">
              <w:rPr>
                <w:rFonts w:cs="Times New Roman"/>
                <w:b/>
                <w:bCs/>
                <w:sz w:val="20"/>
                <w:szCs w:val="20"/>
              </w:rPr>
              <w:lastRenderedPageBreak/>
              <w:t>Опасни химични вещества и риск от големи аварии</w:t>
            </w:r>
          </w:p>
        </w:tc>
        <w:tc>
          <w:tcPr>
            <w:tcW w:w="4250" w:type="dxa"/>
            <w:shd w:val="clear" w:color="auto" w:fill="auto"/>
          </w:tcPr>
          <w:p w14:paraId="1609F5B4"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691" w:type="dxa"/>
          </w:tcPr>
          <w:p w14:paraId="1723B85C"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250" w:type="dxa"/>
          </w:tcPr>
          <w:p w14:paraId="50645D37"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tr w:rsidR="002831ED" w:rsidRPr="009F6D1E" w14:paraId="19A23CC8" w14:textId="77777777" w:rsidTr="00AB2292">
        <w:tc>
          <w:tcPr>
            <w:tcW w:w="1838" w:type="dxa"/>
            <w:shd w:val="clear" w:color="auto" w:fill="auto"/>
          </w:tcPr>
          <w:p w14:paraId="2D6AED53"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7A1F5A99" w14:textId="77777777" w:rsidR="002831ED" w:rsidRPr="009F6D1E" w:rsidRDefault="002831ED"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1FE38A6F" w14:textId="77777777" w:rsidR="002831ED" w:rsidRPr="009F6D1E" w:rsidRDefault="002831ED"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250" w:type="dxa"/>
            <w:shd w:val="clear" w:color="auto" w:fill="auto"/>
          </w:tcPr>
          <w:p w14:paraId="774278B2"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691" w:type="dxa"/>
          </w:tcPr>
          <w:p w14:paraId="4C1D4398"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250" w:type="dxa"/>
          </w:tcPr>
          <w:p w14:paraId="19B6ECAC" w14:textId="77777777" w:rsidR="002831ED" w:rsidRPr="009F6D1E" w:rsidRDefault="002831ED"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bookmarkEnd w:id="591"/>
    </w:tbl>
    <w:p w14:paraId="00028446" w14:textId="77777777" w:rsidR="002831ED" w:rsidRPr="009F6D1E" w:rsidRDefault="002831ED" w:rsidP="0084747F">
      <w:pPr>
        <w:spacing w:after="60" w:line="264" w:lineRule="auto"/>
        <w:contextualSpacing/>
        <w:jc w:val="both"/>
        <w:rPr>
          <w:rFonts w:eastAsia="Calibri" w:cs="Times New Roman"/>
          <w:b/>
          <w:bCs/>
          <w:i/>
          <w:iCs/>
          <w:szCs w:val="24"/>
        </w:rPr>
      </w:pPr>
    </w:p>
    <w:p w14:paraId="7B992D12" w14:textId="77777777" w:rsidR="00014C03" w:rsidRPr="009F6D1E" w:rsidRDefault="00014C03">
      <w:pPr>
        <w:pStyle w:val="Heading3"/>
        <w:numPr>
          <w:ilvl w:val="2"/>
          <w:numId w:val="68"/>
        </w:numPr>
        <w:shd w:val="clear" w:color="auto" w:fill="E2EFD9" w:themeFill="accent6" w:themeFillTint="33"/>
        <w:tabs>
          <w:tab w:val="clear" w:pos="1701"/>
        </w:tabs>
        <w:spacing w:before="0" w:after="60" w:line="264" w:lineRule="auto"/>
        <w:rPr>
          <w:smallCaps w:val="0"/>
          <w:lang w:bidi="ar-SA"/>
        </w:rPr>
      </w:pPr>
      <w:bookmarkStart w:id="592" w:name="_Toc115255037"/>
      <w:bookmarkStart w:id="593" w:name="_Hlk96693772"/>
      <w:r w:rsidRPr="009F6D1E">
        <w:rPr>
          <w:smallCaps w:val="0"/>
          <w:lang w:bidi="ar-SA"/>
        </w:rPr>
        <w:t>Потребности/Интервенции, обект на подкрепа по Специфична цел №2</w:t>
      </w:r>
      <w:bookmarkEnd w:id="592"/>
    </w:p>
    <w:p w14:paraId="3E62FBDC" w14:textId="77777777" w:rsidR="002831ED" w:rsidRPr="009F6D1E" w:rsidRDefault="002831ED" w:rsidP="0084747F">
      <w:pPr>
        <w:spacing w:after="60" w:line="264" w:lineRule="auto"/>
        <w:rPr>
          <w:rFonts w:cs="Times New Roman"/>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2"/>
        <w:gridCol w:w="3972"/>
        <w:gridCol w:w="3967"/>
      </w:tblGrid>
      <w:tr w:rsidR="002831ED" w:rsidRPr="009F6D1E" w14:paraId="46EDB3AC" w14:textId="77777777" w:rsidTr="00AB2292">
        <w:trPr>
          <w:tblHeader/>
        </w:trPr>
        <w:tc>
          <w:tcPr>
            <w:tcW w:w="1838" w:type="dxa"/>
            <w:vMerge w:val="restart"/>
            <w:shd w:val="clear" w:color="auto" w:fill="D9D9D9" w:themeFill="background1" w:themeFillShade="D9"/>
            <w:textDirection w:val="btLr"/>
            <w:vAlign w:val="center"/>
          </w:tcPr>
          <w:p w14:paraId="7664F2F9" w14:textId="77777777" w:rsidR="002831ED" w:rsidRPr="009F6D1E" w:rsidRDefault="002831ED" w:rsidP="0084747F">
            <w:pPr>
              <w:spacing w:after="60" w:line="264" w:lineRule="auto"/>
              <w:ind w:left="113" w:right="113"/>
              <w:jc w:val="center"/>
              <w:rPr>
                <w:rFonts w:cs="Times New Roman"/>
                <w:b/>
                <w:bCs/>
                <w:i/>
                <w:sz w:val="18"/>
                <w:szCs w:val="18"/>
              </w:rPr>
            </w:pPr>
            <w:bookmarkStart w:id="594" w:name="_Hlk96693821"/>
            <w:r w:rsidRPr="009F6D1E">
              <w:rPr>
                <w:rFonts w:cs="Times New Roman"/>
                <w:b/>
                <w:bCs/>
                <w:sz w:val="18"/>
                <w:szCs w:val="18"/>
              </w:rPr>
              <w:lastRenderedPageBreak/>
              <w:t>КОМПОНЕНТ/ ФАКТОР НА ОКОЛНАТА СРЕДА</w:t>
            </w:r>
          </w:p>
        </w:tc>
        <w:tc>
          <w:tcPr>
            <w:tcW w:w="4252" w:type="dxa"/>
            <w:shd w:val="clear" w:color="auto" w:fill="D9D9D9" w:themeFill="background1" w:themeFillShade="D9"/>
            <w:vAlign w:val="center"/>
          </w:tcPr>
          <w:p w14:paraId="19CA224F" w14:textId="50F6CFA8" w:rsidR="002831ED" w:rsidRPr="009F6D1E" w:rsidRDefault="002831ED" w:rsidP="0084747F">
            <w:pPr>
              <w:spacing w:after="60" w:line="264" w:lineRule="auto"/>
              <w:jc w:val="center"/>
              <w:rPr>
                <w:rFonts w:cs="Times New Roman"/>
                <w:b/>
                <w:bCs/>
                <w:i/>
                <w:sz w:val="18"/>
                <w:szCs w:val="18"/>
              </w:rPr>
            </w:pPr>
            <w:r w:rsidRPr="009F6D1E">
              <w:rPr>
                <w:rFonts w:cs="Times New Roman"/>
                <w:b/>
                <w:bCs/>
                <w:i/>
                <w:sz w:val="18"/>
                <w:szCs w:val="18"/>
              </w:rPr>
              <w:t>П.2.1. Повишаване на конкурент</w:t>
            </w:r>
            <w:r w:rsidR="00F31AED">
              <w:rPr>
                <w:rFonts w:cs="Times New Roman"/>
                <w:b/>
                <w:bCs/>
                <w:i/>
                <w:sz w:val="18"/>
                <w:szCs w:val="18"/>
              </w:rPr>
              <w:t>осп</w:t>
            </w:r>
            <w:r w:rsidRPr="009F6D1E">
              <w:rPr>
                <w:rFonts w:cs="Times New Roman"/>
                <w:b/>
                <w:bCs/>
                <w:i/>
                <w:sz w:val="18"/>
                <w:szCs w:val="18"/>
              </w:rPr>
              <w:t>особността на стопанствата, приоритетно в секторите производство на зеленчуци, плодове, мляко и месо от преживни животни</w:t>
            </w:r>
          </w:p>
          <w:p w14:paraId="7A93013E" w14:textId="77777777" w:rsidR="002831ED" w:rsidRPr="009F6D1E" w:rsidRDefault="002831ED"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74A3B1D7" w14:textId="77777777" w:rsidR="002831ED" w:rsidRPr="009F6D1E" w:rsidRDefault="002831ED"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Обвързано с производството подпомагане на доходите</w:t>
            </w:r>
          </w:p>
          <w:p w14:paraId="46EA6AEF"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xml:space="preserve">-  две отделни интервенции при плодовете </w:t>
            </w:r>
          </w:p>
          <w:p w14:paraId="2A1526F8"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четири отделни интервенции при зеленчуците полско производство</w:t>
            </w:r>
          </w:p>
        </w:tc>
        <w:tc>
          <w:tcPr>
            <w:tcW w:w="3972" w:type="dxa"/>
            <w:shd w:val="clear" w:color="auto" w:fill="D9D9D9" w:themeFill="background1" w:themeFillShade="D9"/>
            <w:vAlign w:val="center"/>
          </w:tcPr>
          <w:p w14:paraId="0884D143"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П.2.2. Подобряване на производителността и добивите в секторите на селското стопанство, осигуряващи продукти с по-висока добавена стойност</w:t>
            </w:r>
          </w:p>
          <w:p w14:paraId="6A5CB0A8" w14:textId="77777777" w:rsidR="002831ED" w:rsidRPr="009F6D1E" w:rsidRDefault="002831ED"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0F21B84" w14:textId="77777777" w:rsidR="002831ED" w:rsidRPr="009F6D1E" w:rsidRDefault="002831ED"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Инвестиции в земеделски стопанства;</w:t>
            </w:r>
          </w:p>
          <w:p w14:paraId="63163B71"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Подпомагане развитието на малки земеделски стопанства;</w:t>
            </w:r>
          </w:p>
          <w:p w14:paraId="66F3497F"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Консултантски услуги и повишаване на консултантския капацитет.</w:t>
            </w:r>
          </w:p>
          <w:p w14:paraId="1E578493" w14:textId="77777777" w:rsidR="002831ED" w:rsidRPr="009F6D1E" w:rsidRDefault="002831ED" w:rsidP="0084747F">
            <w:pPr>
              <w:spacing w:after="60" w:line="264" w:lineRule="auto"/>
              <w:jc w:val="center"/>
              <w:rPr>
                <w:rFonts w:cs="Times New Roman"/>
                <w:b/>
                <w:bCs/>
                <w:i/>
                <w:sz w:val="18"/>
                <w:szCs w:val="18"/>
              </w:rPr>
            </w:pPr>
            <w:r w:rsidRPr="009F6D1E">
              <w:rPr>
                <w:rFonts w:cs="Times New Roman"/>
                <w:i/>
                <w:sz w:val="18"/>
                <w:szCs w:val="18"/>
              </w:rPr>
              <w:t>- Професионално обучение и придобиване на умения</w:t>
            </w:r>
          </w:p>
        </w:tc>
        <w:tc>
          <w:tcPr>
            <w:tcW w:w="3967" w:type="dxa"/>
            <w:shd w:val="clear" w:color="auto" w:fill="D9D9D9" w:themeFill="background1" w:themeFillShade="D9"/>
            <w:vAlign w:val="center"/>
          </w:tcPr>
          <w:p w14:paraId="1E85C369" w14:textId="77777777" w:rsidR="002831ED" w:rsidRPr="009F6D1E" w:rsidRDefault="002831ED" w:rsidP="0084747F">
            <w:pPr>
              <w:spacing w:after="60" w:line="264" w:lineRule="auto"/>
              <w:jc w:val="center"/>
              <w:rPr>
                <w:rFonts w:cs="Times New Roman"/>
                <w:b/>
                <w:bCs/>
                <w:i/>
                <w:sz w:val="18"/>
                <w:szCs w:val="18"/>
              </w:rPr>
            </w:pPr>
            <w:r w:rsidRPr="009F6D1E">
              <w:rPr>
                <w:rFonts w:cs="Times New Roman"/>
                <w:b/>
                <w:bCs/>
                <w:i/>
                <w:sz w:val="18"/>
                <w:szCs w:val="18"/>
              </w:rPr>
              <w:t>П.2.3.Ускоряване на модернизацията и технологично обновяване на малките и средни стопанства</w:t>
            </w:r>
          </w:p>
          <w:p w14:paraId="0CA65BFA" w14:textId="77777777" w:rsidR="002831ED" w:rsidRPr="009F6D1E" w:rsidRDefault="002831ED"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5234E93"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Инвестиции в земеделски стопанства;</w:t>
            </w:r>
          </w:p>
          <w:p w14:paraId="168A458E" w14:textId="77777777" w:rsidR="002831ED" w:rsidRPr="009F6D1E" w:rsidRDefault="002831ED" w:rsidP="0084747F">
            <w:pPr>
              <w:spacing w:after="60" w:line="264" w:lineRule="auto"/>
              <w:jc w:val="center"/>
              <w:rPr>
                <w:rFonts w:cs="Times New Roman"/>
                <w:i/>
                <w:sz w:val="18"/>
                <w:szCs w:val="18"/>
              </w:rPr>
            </w:pPr>
            <w:r w:rsidRPr="009F6D1E">
              <w:rPr>
                <w:rFonts w:cs="Times New Roman"/>
                <w:i/>
                <w:sz w:val="18"/>
                <w:szCs w:val="18"/>
              </w:rPr>
              <w:t>- Стартова помощ за установяване на млади земеделски стопани в селското стопанство</w:t>
            </w:r>
          </w:p>
          <w:p w14:paraId="519B1E7E" w14:textId="77777777" w:rsidR="002831ED" w:rsidRPr="009F6D1E" w:rsidRDefault="002831ED" w:rsidP="0084747F">
            <w:pPr>
              <w:spacing w:after="60" w:line="264" w:lineRule="auto"/>
              <w:jc w:val="center"/>
              <w:rPr>
                <w:rFonts w:cs="Times New Roman"/>
                <w:b/>
                <w:bCs/>
                <w:i/>
                <w:sz w:val="18"/>
                <w:szCs w:val="18"/>
              </w:rPr>
            </w:pPr>
            <w:r w:rsidRPr="009F6D1E">
              <w:rPr>
                <w:rFonts w:cs="Times New Roman"/>
                <w:i/>
                <w:sz w:val="18"/>
                <w:szCs w:val="18"/>
              </w:rPr>
              <w:t>- Подпомагане на много малки земеделски стопанства</w:t>
            </w:r>
          </w:p>
        </w:tc>
      </w:tr>
      <w:tr w:rsidR="002831ED" w:rsidRPr="009F6D1E" w14:paraId="0A528C89" w14:textId="77777777" w:rsidTr="00AB2292">
        <w:trPr>
          <w:tblHeader/>
        </w:trPr>
        <w:tc>
          <w:tcPr>
            <w:tcW w:w="1838" w:type="dxa"/>
            <w:vMerge/>
            <w:shd w:val="clear" w:color="auto" w:fill="FFF2CC" w:themeFill="accent4" w:themeFillTint="33"/>
          </w:tcPr>
          <w:p w14:paraId="2812968B" w14:textId="77777777" w:rsidR="002831ED" w:rsidRPr="009F6D1E" w:rsidRDefault="002831ED" w:rsidP="0084747F">
            <w:pPr>
              <w:spacing w:after="60" w:line="264" w:lineRule="auto"/>
              <w:jc w:val="center"/>
              <w:rPr>
                <w:rFonts w:cs="Times New Roman"/>
                <w:b/>
                <w:bCs/>
                <w:sz w:val="18"/>
                <w:szCs w:val="18"/>
              </w:rPr>
            </w:pPr>
          </w:p>
        </w:tc>
        <w:tc>
          <w:tcPr>
            <w:tcW w:w="12191" w:type="dxa"/>
            <w:gridSpan w:val="3"/>
            <w:shd w:val="clear" w:color="auto" w:fill="FFF2CC" w:themeFill="accent4" w:themeFillTint="33"/>
          </w:tcPr>
          <w:p w14:paraId="6C2609CA" w14:textId="77777777" w:rsidR="002831ED" w:rsidRPr="009F6D1E" w:rsidRDefault="002831ED"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2831ED" w:rsidRPr="009F6D1E" w14:paraId="172625DE" w14:textId="77777777" w:rsidTr="00AB2292">
        <w:trPr>
          <w:trHeight w:val="318"/>
        </w:trPr>
        <w:tc>
          <w:tcPr>
            <w:tcW w:w="1838" w:type="dxa"/>
            <w:shd w:val="clear" w:color="auto" w:fill="auto"/>
          </w:tcPr>
          <w:p w14:paraId="1BE62AE1"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Климат,</w:t>
            </w:r>
          </w:p>
          <w:p w14:paraId="6807BBAC"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0BB7AFB2"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252" w:type="dxa"/>
            <w:shd w:val="clear" w:color="auto" w:fill="auto"/>
          </w:tcPr>
          <w:p w14:paraId="20DBFCF5"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72" w:type="dxa"/>
          </w:tcPr>
          <w:p w14:paraId="32840CCF"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положително въздействие, свързано с намаляване на емисиите на парникови газове в резултат на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c>
          <w:tcPr>
            <w:tcW w:w="3967" w:type="dxa"/>
          </w:tcPr>
          <w:p w14:paraId="0EEC37D2"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положително въздействие, свързано с намаляване на емисиите на парникови газове в резултат на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r>
      <w:tr w:rsidR="002831ED" w:rsidRPr="009F6D1E" w14:paraId="0892A596" w14:textId="77777777" w:rsidTr="00AB2292">
        <w:trPr>
          <w:trHeight w:val="318"/>
        </w:trPr>
        <w:tc>
          <w:tcPr>
            <w:tcW w:w="1838" w:type="dxa"/>
            <w:shd w:val="clear" w:color="auto" w:fill="auto"/>
          </w:tcPr>
          <w:p w14:paraId="2D87806E"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252" w:type="dxa"/>
            <w:shd w:val="clear" w:color="auto" w:fill="auto"/>
          </w:tcPr>
          <w:p w14:paraId="4256BA14"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72" w:type="dxa"/>
          </w:tcPr>
          <w:p w14:paraId="142D5B00"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въздействието върху климата.</w:t>
            </w:r>
          </w:p>
        </w:tc>
        <w:tc>
          <w:tcPr>
            <w:tcW w:w="3967" w:type="dxa"/>
          </w:tcPr>
          <w:p w14:paraId="2B08B849"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въздействието върху климата.</w:t>
            </w:r>
          </w:p>
        </w:tc>
      </w:tr>
      <w:tr w:rsidR="002831ED" w:rsidRPr="009F6D1E" w14:paraId="2F0073EA" w14:textId="77777777" w:rsidTr="00AB2292">
        <w:trPr>
          <w:trHeight w:val="318"/>
        </w:trPr>
        <w:tc>
          <w:tcPr>
            <w:tcW w:w="1838" w:type="dxa"/>
            <w:shd w:val="clear" w:color="auto" w:fill="auto"/>
          </w:tcPr>
          <w:p w14:paraId="7CE70F88"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474BBC68"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3F87C01E"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55E20CAC"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252" w:type="dxa"/>
            <w:shd w:val="clear" w:color="auto" w:fill="auto"/>
          </w:tcPr>
          <w:p w14:paraId="5C0D1127"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p w14:paraId="7C57E9DE" w14:textId="77777777" w:rsidR="002831ED" w:rsidRPr="009F6D1E" w:rsidRDefault="002831ED" w:rsidP="0084747F">
            <w:pPr>
              <w:spacing w:after="60" w:line="264" w:lineRule="auto"/>
              <w:jc w:val="both"/>
              <w:rPr>
                <w:rFonts w:eastAsia="Tahoma" w:cs="Times New Roman"/>
                <w:sz w:val="18"/>
                <w:szCs w:val="18"/>
                <w:lang w:eastAsia="zh-CN"/>
              </w:rPr>
            </w:pPr>
          </w:p>
        </w:tc>
        <w:tc>
          <w:tcPr>
            <w:tcW w:w="3972" w:type="dxa"/>
          </w:tcPr>
          <w:p w14:paraId="53B3EEA5"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7" w:type="dxa"/>
          </w:tcPr>
          <w:p w14:paraId="38D719AA"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2831ED" w:rsidRPr="009F6D1E" w14:paraId="52DC9D85" w14:textId="77777777" w:rsidTr="00AB2292">
        <w:trPr>
          <w:trHeight w:val="318"/>
        </w:trPr>
        <w:tc>
          <w:tcPr>
            <w:tcW w:w="1838" w:type="dxa"/>
            <w:shd w:val="clear" w:color="auto" w:fill="auto"/>
          </w:tcPr>
          <w:p w14:paraId="3F6B93BA"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Земни недра</w:t>
            </w:r>
          </w:p>
        </w:tc>
        <w:tc>
          <w:tcPr>
            <w:tcW w:w="4252" w:type="dxa"/>
            <w:shd w:val="clear" w:color="auto" w:fill="auto"/>
          </w:tcPr>
          <w:p w14:paraId="1D0F177F"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пряко въздействие.</w:t>
            </w:r>
          </w:p>
        </w:tc>
        <w:tc>
          <w:tcPr>
            <w:tcW w:w="3972" w:type="dxa"/>
          </w:tcPr>
          <w:p w14:paraId="67051D34"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пряко въздействие.</w:t>
            </w:r>
          </w:p>
        </w:tc>
        <w:tc>
          <w:tcPr>
            <w:tcW w:w="3967" w:type="dxa"/>
          </w:tcPr>
          <w:p w14:paraId="4A3E4B53"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пряко въздействие.</w:t>
            </w:r>
          </w:p>
        </w:tc>
      </w:tr>
      <w:tr w:rsidR="002831ED" w:rsidRPr="009F6D1E" w14:paraId="4622C393" w14:textId="77777777" w:rsidTr="00AB2292">
        <w:trPr>
          <w:trHeight w:val="318"/>
        </w:trPr>
        <w:tc>
          <w:tcPr>
            <w:tcW w:w="1838" w:type="dxa"/>
            <w:shd w:val="clear" w:color="auto" w:fill="auto"/>
          </w:tcPr>
          <w:p w14:paraId="7493E682"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lastRenderedPageBreak/>
              <w:t>Почви</w:t>
            </w:r>
          </w:p>
          <w:p w14:paraId="68FEF858" w14:textId="77777777" w:rsidR="002831ED" w:rsidRPr="009F6D1E" w:rsidRDefault="002831ED"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252" w:type="dxa"/>
            <w:shd w:val="clear" w:color="auto" w:fill="auto"/>
          </w:tcPr>
          <w:p w14:paraId="188A3032"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пряко въздействие върху почвите. </w:t>
            </w:r>
          </w:p>
        </w:tc>
        <w:tc>
          <w:tcPr>
            <w:tcW w:w="3972" w:type="dxa"/>
          </w:tcPr>
          <w:p w14:paraId="0867BB0B"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пряко въздействие върху почвите. Възможни са косвени отрицателни  въздействия от увеличаване продуктивността на стопанствата и съответно на натиска върху почвите в резултат от интензивна обработка и торене и изграждане на съоръжения и инфраструктура</w:t>
            </w:r>
          </w:p>
        </w:tc>
        <w:tc>
          <w:tcPr>
            <w:tcW w:w="3967" w:type="dxa"/>
          </w:tcPr>
          <w:p w14:paraId="0E7F5669"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пряко въздействие върху почвите. Възможни са косвени отрицателни  въздействия от увеличаване на мащабите и продуктивността на стопанствата и съответно на натиска върху почвите .</w:t>
            </w:r>
          </w:p>
        </w:tc>
      </w:tr>
      <w:tr w:rsidR="002831ED" w:rsidRPr="009F6D1E" w14:paraId="54919FD9" w14:textId="77777777" w:rsidTr="00AB2292">
        <w:trPr>
          <w:trHeight w:val="1378"/>
        </w:trPr>
        <w:tc>
          <w:tcPr>
            <w:tcW w:w="1838" w:type="dxa"/>
            <w:shd w:val="clear" w:color="auto" w:fill="auto"/>
          </w:tcPr>
          <w:p w14:paraId="3EB5B88B"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5C7573AD"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20E3A31E" w14:textId="77777777" w:rsidR="002831ED" w:rsidRPr="009F6D1E" w:rsidRDefault="002831ED" w:rsidP="0084747F">
            <w:pPr>
              <w:spacing w:after="60" w:line="264" w:lineRule="auto"/>
              <w:jc w:val="both"/>
              <w:rPr>
                <w:rFonts w:cs="Times New Roman"/>
                <w:b/>
                <w:bCs/>
                <w:sz w:val="18"/>
                <w:szCs w:val="18"/>
                <w:highlight w:val="yellow"/>
              </w:rPr>
            </w:pPr>
            <w:r w:rsidRPr="009F6D1E">
              <w:rPr>
                <w:rFonts w:cs="Times New Roman"/>
                <w:b/>
                <w:bCs/>
                <w:sz w:val="18"/>
                <w:szCs w:val="18"/>
              </w:rPr>
              <w:t>ЗТ</w:t>
            </w:r>
          </w:p>
        </w:tc>
        <w:tc>
          <w:tcPr>
            <w:tcW w:w="4252" w:type="dxa"/>
            <w:shd w:val="clear" w:color="auto" w:fill="auto"/>
          </w:tcPr>
          <w:p w14:paraId="57F5859F"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За да получат подпомагане по интервенцията за основно подпомагане на доходите за устойчивост, бенефициентите имат задължението да спазват стандартите за ДЗЕС и ЗИУ. </w:t>
            </w:r>
          </w:p>
          <w:p w14:paraId="011408CC"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72" w:type="dxa"/>
          </w:tcPr>
          <w:p w14:paraId="78A21A07"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За да получат подпомагане по интервенцията за основно подпомагане на доходите за устойчивост, бенефициентите имат задължението да спазват стандартите за ДЗЕС и ЗИУ. </w:t>
            </w:r>
          </w:p>
          <w:p w14:paraId="7DCD66EA"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Не се очаква въздействие в резултат от инвестициите. </w:t>
            </w:r>
          </w:p>
          <w:p w14:paraId="4BF22BCC" w14:textId="77777777" w:rsidR="002831ED" w:rsidRPr="009F6D1E" w:rsidRDefault="002831ED" w:rsidP="0084747F">
            <w:pPr>
              <w:spacing w:after="60" w:line="264" w:lineRule="auto"/>
              <w:jc w:val="both"/>
              <w:rPr>
                <w:rFonts w:eastAsia="Tahoma" w:cs="Times New Roman"/>
                <w:sz w:val="18"/>
                <w:szCs w:val="18"/>
                <w:lang w:eastAsia="zh-CN"/>
              </w:rPr>
            </w:pPr>
          </w:p>
          <w:p w14:paraId="248716A4"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Консултантските услуги и повишаването на консултантския капацитет, както и професионалното обучение и придобиване на знания ще окажат косвено положително  </w:t>
            </w:r>
            <w:r w:rsidRPr="009F6D1E">
              <w:rPr>
                <w:rFonts w:eastAsia="Tahoma" w:cs="Times New Roman"/>
                <w:sz w:val="18"/>
                <w:szCs w:val="18"/>
                <w:lang w:eastAsia="zh-CN"/>
              </w:rPr>
              <w:lastRenderedPageBreak/>
              <w:t xml:space="preserve">въздействие в дългосрочен аспект на регионално и национално ниво поради повишаване на капацитета и познанията, вкл. за екологосъобразни технологии и опазване на биоразнообразието. </w:t>
            </w:r>
          </w:p>
          <w:p w14:paraId="6D7C49C6" w14:textId="77777777" w:rsidR="002831ED" w:rsidRPr="009F6D1E" w:rsidRDefault="002831ED" w:rsidP="0084747F">
            <w:pPr>
              <w:pStyle w:val="TableParagraph"/>
              <w:spacing w:after="60" w:line="264" w:lineRule="auto"/>
              <w:ind w:left="0" w:right="100"/>
              <w:jc w:val="both"/>
              <w:rPr>
                <w:rFonts w:eastAsia="Tahoma"/>
                <w:sz w:val="18"/>
                <w:szCs w:val="18"/>
                <w:lang w:eastAsia="zh-CN"/>
              </w:rPr>
            </w:pPr>
          </w:p>
          <w:p w14:paraId="5427139C"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7A282A0D"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71E22184"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регионален, национален</w:t>
            </w:r>
          </w:p>
        </w:tc>
        <w:tc>
          <w:tcPr>
            <w:tcW w:w="3967" w:type="dxa"/>
          </w:tcPr>
          <w:p w14:paraId="0B2CBB45"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С навлизането на специализирани машини и оборудване ще се намали използването на ръчен труд, стопанствата ще могат да следват добрите земеделски практики, което ще осигури по-високи добиви при отглеждането на плодове и зеленчуци и продуктивност в говедовъдните и овцевъдни стопанства с по-малко труд. Това ще допринесе за покриване на санитарно-хигиенните и хуманните изисквания към отглежданите животни. За да получат подпомагане, бенефициентите имат </w:t>
            </w:r>
            <w:r w:rsidRPr="009F6D1E">
              <w:rPr>
                <w:rFonts w:eastAsia="Tahoma" w:cs="Times New Roman"/>
                <w:sz w:val="18"/>
                <w:szCs w:val="18"/>
                <w:lang w:eastAsia="zh-CN"/>
              </w:rPr>
              <w:lastRenderedPageBreak/>
              <w:t xml:space="preserve">задължението да спазват стандартите за ДЗЕС и ЗИУ. </w:t>
            </w:r>
          </w:p>
          <w:p w14:paraId="4E18F259" w14:textId="77777777" w:rsidR="002831ED" w:rsidRPr="009F6D1E" w:rsidRDefault="002831ED" w:rsidP="0084747F">
            <w:pPr>
              <w:spacing w:after="60" w:line="264" w:lineRule="auto"/>
              <w:jc w:val="both"/>
              <w:rPr>
                <w:rFonts w:eastAsia="Tahoma" w:cs="Times New Roman"/>
                <w:sz w:val="18"/>
                <w:szCs w:val="18"/>
                <w:lang w:eastAsia="zh-CN"/>
              </w:rPr>
            </w:pPr>
          </w:p>
          <w:p w14:paraId="2E162796" w14:textId="77777777" w:rsidR="002831ED" w:rsidRPr="009F6D1E" w:rsidRDefault="002831ED"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Не се очаква въздействие. </w:t>
            </w:r>
          </w:p>
          <w:p w14:paraId="22F96482" w14:textId="77777777" w:rsidR="002831ED" w:rsidRPr="009F6D1E" w:rsidRDefault="002831ED" w:rsidP="0084747F">
            <w:pPr>
              <w:spacing w:after="60" w:line="264" w:lineRule="auto"/>
              <w:jc w:val="both"/>
              <w:rPr>
                <w:rFonts w:eastAsia="Tahoma" w:cs="Times New Roman"/>
                <w:sz w:val="18"/>
                <w:szCs w:val="18"/>
                <w:lang w:eastAsia="zh-CN"/>
              </w:rPr>
            </w:pPr>
          </w:p>
        </w:tc>
      </w:tr>
      <w:tr w:rsidR="002831ED" w:rsidRPr="009F6D1E" w14:paraId="6E56A408" w14:textId="77777777" w:rsidTr="00AB2292">
        <w:trPr>
          <w:trHeight w:val="318"/>
        </w:trPr>
        <w:tc>
          <w:tcPr>
            <w:tcW w:w="1838" w:type="dxa"/>
            <w:shd w:val="clear" w:color="auto" w:fill="auto"/>
          </w:tcPr>
          <w:p w14:paraId="71AE32C1"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252" w:type="dxa"/>
            <w:shd w:val="clear" w:color="auto" w:fill="auto"/>
          </w:tcPr>
          <w:p w14:paraId="42DDF7AC"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пряко въздействие върху ландшафтите.</w:t>
            </w:r>
          </w:p>
        </w:tc>
        <w:tc>
          <w:tcPr>
            <w:tcW w:w="3972" w:type="dxa"/>
            <w:shd w:val="clear" w:color="auto" w:fill="auto"/>
          </w:tcPr>
          <w:p w14:paraId="58734824"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пряко въздействие върху ландшафтите. Възможни са косвени отрицателни  въздействия от увеличаване продуктивността на стопанствата и съответно допълнително  </w:t>
            </w:r>
            <w:proofErr w:type="spellStart"/>
            <w:r w:rsidRPr="009F6D1E">
              <w:rPr>
                <w:rFonts w:eastAsia="Tahoma" w:cs="Times New Roman"/>
                <w:sz w:val="18"/>
                <w:szCs w:val="18"/>
                <w:lang w:eastAsia="zh-CN"/>
              </w:rPr>
              <w:t>антропогенизиране</w:t>
            </w:r>
            <w:proofErr w:type="spellEnd"/>
            <w:r w:rsidRPr="009F6D1E">
              <w:rPr>
                <w:rFonts w:eastAsia="Tahoma" w:cs="Times New Roman"/>
                <w:sz w:val="18"/>
                <w:szCs w:val="18"/>
                <w:lang w:eastAsia="zh-CN"/>
              </w:rPr>
              <w:t xml:space="preserve"> на ландшафтите</w:t>
            </w:r>
          </w:p>
        </w:tc>
        <w:tc>
          <w:tcPr>
            <w:tcW w:w="3967" w:type="dxa"/>
          </w:tcPr>
          <w:p w14:paraId="59A371EE"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пряко въздействие върху ландшафтите. Възможни са косвени отрицателни  въздействия от увеличаване на мащабите и продуктивността на стопанствата и съответно допълнително </w:t>
            </w:r>
            <w:proofErr w:type="spellStart"/>
            <w:r w:rsidRPr="009F6D1E">
              <w:rPr>
                <w:rFonts w:eastAsia="Tahoma" w:cs="Times New Roman"/>
                <w:sz w:val="18"/>
                <w:szCs w:val="18"/>
                <w:lang w:eastAsia="zh-CN"/>
              </w:rPr>
              <w:t>антропогенизиране</w:t>
            </w:r>
            <w:proofErr w:type="spellEnd"/>
            <w:r w:rsidRPr="009F6D1E">
              <w:rPr>
                <w:rFonts w:eastAsia="Tahoma" w:cs="Times New Roman"/>
                <w:sz w:val="18"/>
                <w:szCs w:val="18"/>
                <w:lang w:eastAsia="zh-CN"/>
              </w:rPr>
              <w:t xml:space="preserve"> на ландшафтите .</w:t>
            </w:r>
          </w:p>
        </w:tc>
      </w:tr>
      <w:tr w:rsidR="002831ED" w:rsidRPr="009F6D1E" w14:paraId="196E1BA5" w14:textId="77777777" w:rsidTr="00AB2292">
        <w:trPr>
          <w:trHeight w:val="318"/>
        </w:trPr>
        <w:tc>
          <w:tcPr>
            <w:tcW w:w="1838" w:type="dxa"/>
            <w:shd w:val="clear" w:color="auto" w:fill="auto"/>
          </w:tcPr>
          <w:p w14:paraId="0CDFA851"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4252" w:type="dxa"/>
            <w:shd w:val="clear" w:color="auto" w:fill="auto"/>
          </w:tcPr>
          <w:p w14:paraId="7B48E3FE" w14:textId="59A9A9EB"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Повишаване на конкурен</w:t>
            </w:r>
            <w:r w:rsidR="00F31AED">
              <w:rPr>
                <w:rFonts w:eastAsia="Tahoma" w:cs="Times New Roman"/>
                <w:sz w:val="18"/>
                <w:szCs w:val="18"/>
                <w:lang w:eastAsia="zh-CN"/>
              </w:rPr>
              <w:t>тосп</w:t>
            </w:r>
            <w:r w:rsidRPr="009F6D1E">
              <w:rPr>
                <w:rFonts w:eastAsia="Tahoma" w:cs="Times New Roman"/>
                <w:sz w:val="18"/>
                <w:szCs w:val="18"/>
                <w:lang w:eastAsia="zh-CN"/>
              </w:rPr>
              <w:t>особността на стопанствата, приоритетно в секторите производство на зеленчуци, плодове, мляко и месо от преживни животни, ще окаже пряко и положително въздействие върху материалните активи.</w:t>
            </w:r>
          </w:p>
        </w:tc>
        <w:tc>
          <w:tcPr>
            <w:tcW w:w="3972" w:type="dxa"/>
          </w:tcPr>
          <w:p w14:paraId="365F8CCC"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Наличие на пряко положително, дългосрочно въздействие спрямо  материалните активи, предвид предвидените инвестиции за модернизиране на производството, включително осъвременяване на производствените мощности, за увеличаване на продуктивността на тези стопанства. </w:t>
            </w:r>
          </w:p>
        </w:tc>
        <w:tc>
          <w:tcPr>
            <w:tcW w:w="3967" w:type="dxa"/>
          </w:tcPr>
          <w:p w14:paraId="0AA93BF7"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Наличие на пряко положително, дългосрочно въздействие спрямо  материалните активи, предвид предвидените инвестиции за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r>
      <w:tr w:rsidR="002831ED" w:rsidRPr="009F6D1E" w14:paraId="591A4622" w14:textId="77777777" w:rsidTr="00AB2292">
        <w:trPr>
          <w:trHeight w:val="318"/>
        </w:trPr>
        <w:tc>
          <w:tcPr>
            <w:tcW w:w="1838" w:type="dxa"/>
            <w:shd w:val="clear" w:color="auto" w:fill="auto"/>
          </w:tcPr>
          <w:p w14:paraId="30274329"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252" w:type="dxa"/>
            <w:shd w:val="clear" w:color="auto" w:fill="auto"/>
          </w:tcPr>
          <w:p w14:paraId="6D485AE7"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72" w:type="dxa"/>
          </w:tcPr>
          <w:p w14:paraId="0BD4360C"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67" w:type="dxa"/>
          </w:tcPr>
          <w:p w14:paraId="672A3403"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4F59FFDD" w14:textId="77777777" w:rsidTr="00AB2292">
        <w:trPr>
          <w:trHeight w:val="669"/>
        </w:trPr>
        <w:tc>
          <w:tcPr>
            <w:tcW w:w="1838" w:type="dxa"/>
            <w:shd w:val="clear" w:color="auto" w:fill="auto"/>
          </w:tcPr>
          <w:p w14:paraId="60016788"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252" w:type="dxa"/>
            <w:shd w:val="clear" w:color="auto" w:fill="auto"/>
          </w:tcPr>
          <w:p w14:paraId="30EDBCCD"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72" w:type="dxa"/>
          </w:tcPr>
          <w:p w14:paraId="2B70C9A2"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и положително въздействие, като резултат от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c>
          <w:tcPr>
            <w:tcW w:w="3967" w:type="dxa"/>
          </w:tcPr>
          <w:p w14:paraId="20F4186E"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и положително въздействие, като резултат от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r>
      <w:tr w:rsidR="002831ED" w:rsidRPr="009F6D1E" w14:paraId="49E6AB31" w14:textId="77777777" w:rsidTr="00AB2292">
        <w:trPr>
          <w:trHeight w:val="318"/>
        </w:trPr>
        <w:tc>
          <w:tcPr>
            <w:tcW w:w="1838" w:type="dxa"/>
            <w:shd w:val="clear" w:color="auto" w:fill="auto"/>
          </w:tcPr>
          <w:p w14:paraId="4AB99B33" w14:textId="77777777" w:rsidR="002831ED" w:rsidRPr="009F6D1E" w:rsidRDefault="002831ED"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252" w:type="dxa"/>
            <w:shd w:val="clear" w:color="auto" w:fill="auto"/>
          </w:tcPr>
          <w:p w14:paraId="4D83CC2B"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72" w:type="dxa"/>
          </w:tcPr>
          <w:p w14:paraId="543C62E3"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Пряко и положително въздействие, като резултат от модернизиране на производството, включително осъвременяване на </w:t>
            </w:r>
            <w:r w:rsidRPr="009F6D1E">
              <w:rPr>
                <w:rFonts w:eastAsia="Tahoma" w:cs="Times New Roman"/>
                <w:sz w:val="18"/>
                <w:szCs w:val="18"/>
                <w:lang w:eastAsia="zh-CN"/>
              </w:rPr>
              <w:lastRenderedPageBreak/>
              <w:t>производствените мощности, за увеличаване на продуктивността на тези стопанства.</w:t>
            </w:r>
          </w:p>
        </w:tc>
        <w:tc>
          <w:tcPr>
            <w:tcW w:w="3967" w:type="dxa"/>
          </w:tcPr>
          <w:p w14:paraId="2BAA936E" w14:textId="77777777" w:rsidR="002831ED" w:rsidRPr="009F6D1E" w:rsidRDefault="002831ED"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Пряко и положително въздействие, като резултат от модернизиране на производството, включително осъвременяване на </w:t>
            </w:r>
            <w:r w:rsidRPr="009F6D1E">
              <w:rPr>
                <w:rFonts w:eastAsia="Tahoma" w:cs="Times New Roman"/>
                <w:sz w:val="18"/>
                <w:szCs w:val="18"/>
                <w:lang w:eastAsia="zh-CN"/>
              </w:rPr>
              <w:lastRenderedPageBreak/>
              <w:t>производствените мощности, за увеличаване на продуктивността на тези стопанства.</w:t>
            </w:r>
          </w:p>
        </w:tc>
      </w:tr>
      <w:tr w:rsidR="002831ED" w:rsidRPr="009F6D1E" w14:paraId="2515DFC7" w14:textId="77777777" w:rsidTr="00AB2292">
        <w:tc>
          <w:tcPr>
            <w:tcW w:w="1838" w:type="dxa"/>
            <w:shd w:val="clear" w:color="auto" w:fill="auto"/>
          </w:tcPr>
          <w:p w14:paraId="3142548A" w14:textId="77777777" w:rsidR="002831ED" w:rsidRPr="009F6D1E" w:rsidRDefault="002831ED" w:rsidP="0084747F">
            <w:pPr>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4252" w:type="dxa"/>
            <w:shd w:val="clear" w:color="auto" w:fill="auto"/>
          </w:tcPr>
          <w:p w14:paraId="58B1EE86"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972" w:type="dxa"/>
          </w:tcPr>
          <w:p w14:paraId="3D1873F4"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967" w:type="dxa"/>
          </w:tcPr>
          <w:p w14:paraId="6E253958"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2831ED" w:rsidRPr="009F6D1E" w14:paraId="2A6CFBE9" w14:textId="77777777" w:rsidTr="00AB2292">
        <w:tc>
          <w:tcPr>
            <w:tcW w:w="1838" w:type="dxa"/>
            <w:shd w:val="clear" w:color="auto" w:fill="auto"/>
          </w:tcPr>
          <w:p w14:paraId="5336A40B"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72401029" w14:textId="77777777" w:rsidR="002831ED" w:rsidRPr="009F6D1E" w:rsidRDefault="002831ED"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1EB8F0C1" w14:textId="77777777" w:rsidR="002831ED" w:rsidRPr="009F6D1E" w:rsidRDefault="002831ED"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252" w:type="dxa"/>
            <w:shd w:val="clear" w:color="auto" w:fill="auto"/>
          </w:tcPr>
          <w:p w14:paraId="37F8D955"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972" w:type="dxa"/>
          </w:tcPr>
          <w:p w14:paraId="60B654B7"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Пряко и положително въздействие, като резултат от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c>
          <w:tcPr>
            <w:tcW w:w="3967" w:type="dxa"/>
          </w:tcPr>
          <w:p w14:paraId="4DDCCB38" w14:textId="77777777" w:rsidR="002831ED" w:rsidRPr="009F6D1E" w:rsidRDefault="002831ED"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Пряко и положително въздействие, като резултат от модернизиране на производството, включително осъвременяване на производствените мощности, за увеличаване на продуктивността на тези стопанства.</w:t>
            </w:r>
          </w:p>
        </w:tc>
      </w:tr>
      <w:bookmarkEnd w:id="594"/>
    </w:tbl>
    <w:p w14:paraId="3208E7F2" w14:textId="77777777" w:rsidR="002831ED" w:rsidRPr="009F6D1E" w:rsidRDefault="002831ED" w:rsidP="0084747F">
      <w:pPr>
        <w:spacing w:after="60" w:line="264" w:lineRule="auto"/>
        <w:contextualSpacing/>
        <w:jc w:val="both"/>
        <w:rPr>
          <w:rFonts w:eastAsia="Calibri" w:cs="Times New Roman"/>
          <w:b/>
          <w:bCs/>
          <w:i/>
          <w:iCs/>
          <w:sz w:val="18"/>
          <w:szCs w:val="18"/>
        </w:rPr>
      </w:pPr>
    </w:p>
    <w:p w14:paraId="1AB701A3" w14:textId="77777777" w:rsidR="002831ED" w:rsidRPr="009F6D1E" w:rsidRDefault="002831ED" w:rsidP="0084747F">
      <w:pPr>
        <w:spacing w:after="60" w:line="264" w:lineRule="auto"/>
        <w:contextualSpacing/>
        <w:jc w:val="both"/>
        <w:rPr>
          <w:rFonts w:eastAsia="Calibri" w:cs="Times New Roman"/>
          <w:b/>
          <w:bCs/>
          <w:i/>
          <w:iCs/>
          <w:sz w:val="18"/>
          <w:szCs w:val="18"/>
        </w:rPr>
      </w:pPr>
    </w:p>
    <w:p w14:paraId="79C69211" w14:textId="77777777" w:rsidR="002831ED" w:rsidRPr="009F6D1E" w:rsidRDefault="002831ED" w:rsidP="0084747F">
      <w:pPr>
        <w:spacing w:after="60" w:line="264" w:lineRule="auto"/>
        <w:contextualSpacing/>
        <w:jc w:val="both"/>
        <w:rPr>
          <w:rFonts w:eastAsia="Calibri" w:cs="Times New Roman"/>
          <w:b/>
          <w:bCs/>
          <w:i/>
          <w:iCs/>
          <w:sz w:val="18"/>
          <w:szCs w:val="18"/>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111"/>
        <w:gridCol w:w="4252"/>
        <w:gridCol w:w="3828"/>
      </w:tblGrid>
      <w:tr w:rsidR="002831ED" w:rsidRPr="009F6D1E" w14:paraId="40BC2EEF" w14:textId="77777777" w:rsidTr="00AB2292">
        <w:trPr>
          <w:tblHeader/>
        </w:trPr>
        <w:tc>
          <w:tcPr>
            <w:tcW w:w="1838" w:type="dxa"/>
            <w:vMerge w:val="restart"/>
            <w:shd w:val="clear" w:color="auto" w:fill="D9D9D9" w:themeFill="background1" w:themeFillShade="D9"/>
            <w:textDirection w:val="btLr"/>
            <w:vAlign w:val="center"/>
          </w:tcPr>
          <w:p w14:paraId="51DE9DCC" w14:textId="77777777" w:rsidR="002831ED" w:rsidRPr="009F6D1E" w:rsidRDefault="002831ED" w:rsidP="0084747F">
            <w:pPr>
              <w:widowControl w:val="0"/>
              <w:spacing w:after="60" w:line="264" w:lineRule="auto"/>
              <w:ind w:left="113" w:right="113"/>
              <w:jc w:val="center"/>
              <w:rPr>
                <w:rFonts w:cs="Times New Roman"/>
                <w:b/>
                <w:bCs/>
                <w:i/>
                <w:sz w:val="18"/>
                <w:szCs w:val="18"/>
              </w:rPr>
            </w:pPr>
            <w:bookmarkStart w:id="595" w:name="_Hlk96693242"/>
            <w:r w:rsidRPr="009F6D1E">
              <w:rPr>
                <w:rFonts w:cs="Times New Roman"/>
                <w:b/>
                <w:bCs/>
                <w:sz w:val="18"/>
                <w:szCs w:val="18"/>
              </w:rPr>
              <w:lastRenderedPageBreak/>
              <w:t>КОМПОНЕНТ/ ФАКТОР НА ОКОЛНАТА СРЕДА</w:t>
            </w:r>
          </w:p>
        </w:tc>
        <w:tc>
          <w:tcPr>
            <w:tcW w:w="4111" w:type="dxa"/>
            <w:shd w:val="clear" w:color="auto" w:fill="D9D9D9" w:themeFill="background1" w:themeFillShade="D9"/>
          </w:tcPr>
          <w:p w14:paraId="64586C41"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П.2.4. Повишаване на ефективността, подобряване на пазарната ориентация и реализацията на по-висока добавена стойност в малките стопанства</w:t>
            </w:r>
            <w:r w:rsidRPr="009F6D1E">
              <w:rPr>
                <w:rFonts w:cs="Times New Roman"/>
                <w:b/>
                <w:bCs/>
                <w:i/>
                <w:sz w:val="18"/>
                <w:szCs w:val="18"/>
                <w:u w:val="single"/>
              </w:rPr>
              <w:t xml:space="preserve"> Интервенции</w:t>
            </w:r>
            <w:r w:rsidRPr="009F6D1E">
              <w:rPr>
                <w:rFonts w:cs="Times New Roman"/>
                <w:b/>
                <w:bCs/>
                <w:i/>
                <w:sz w:val="18"/>
                <w:szCs w:val="18"/>
              </w:rPr>
              <w:t>:</w:t>
            </w:r>
          </w:p>
          <w:p w14:paraId="2F3DEEF4"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i/>
                <w:sz w:val="18"/>
                <w:szCs w:val="18"/>
              </w:rPr>
              <w:t>- Подпомагане на много малки земеделски стопанства</w:t>
            </w:r>
          </w:p>
        </w:tc>
        <w:tc>
          <w:tcPr>
            <w:tcW w:w="4252" w:type="dxa"/>
            <w:shd w:val="clear" w:color="auto" w:fill="D9D9D9" w:themeFill="background1" w:themeFillShade="D9"/>
          </w:tcPr>
          <w:p w14:paraId="7604CB59"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П.2.5. Повишаване на износа на селскостопански продукти с висока добавена стойност</w:t>
            </w:r>
          </w:p>
          <w:p w14:paraId="30FA04D4"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297F749" w14:textId="4858EE0F" w:rsidR="002831ED" w:rsidRPr="009F6D1E" w:rsidRDefault="002831ED" w:rsidP="0084747F">
            <w:pPr>
              <w:widowControl w:val="0"/>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повишат конкурент</w:t>
            </w:r>
            <w:r w:rsidR="00F31AED">
              <w:rPr>
                <w:rFonts w:cs="Times New Roman"/>
                <w:i/>
                <w:sz w:val="18"/>
                <w:szCs w:val="18"/>
              </w:rPr>
              <w:t>осп</w:t>
            </w:r>
            <w:r w:rsidRPr="009F6D1E">
              <w:rPr>
                <w:rFonts w:cs="Times New Roman"/>
                <w:i/>
                <w:sz w:val="18"/>
                <w:szCs w:val="18"/>
              </w:rPr>
              <w:t>особността на селскостопанските продукти от Съюза и тяхното потребление;</w:t>
            </w:r>
          </w:p>
          <w:p w14:paraId="1AF65CD3"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Схема за държавна помощ „Помощ за участие в изложения“;</w:t>
            </w:r>
          </w:p>
          <w:p w14:paraId="7853D20F"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i/>
                <w:sz w:val="18"/>
                <w:szCs w:val="18"/>
              </w:rPr>
              <w:t>- Схемата за държавна помощ „Помощ за сертифициране на стопанства в сектор „Плодове и зеленчуци“ по стандарта GLOBALG.A.P“.</w:t>
            </w:r>
          </w:p>
        </w:tc>
        <w:tc>
          <w:tcPr>
            <w:tcW w:w="3828" w:type="dxa"/>
            <w:shd w:val="clear" w:color="auto" w:fill="D9D9D9" w:themeFill="background1" w:themeFillShade="D9"/>
            <w:vAlign w:val="center"/>
          </w:tcPr>
          <w:p w14:paraId="42AE7E43"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П.2.6. Модернизация и внедряване на иновации и цифровизация в устойчиви стопанства, насърчаване на връзките между производителите и науката и създаване на условия за обмен на знания, иновации</w:t>
            </w:r>
          </w:p>
          <w:p w14:paraId="3B2EB113"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94BEC7D"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cs="Times New Roman"/>
                <w:i/>
                <w:sz w:val="18"/>
                <w:szCs w:val="18"/>
              </w:rPr>
              <w:t>Инвестиции в земеделски стопанства</w:t>
            </w:r>
          </w:p>
        </w:tc>
      </w:tr>
      <w:tr w:rsidR="002831ED" w:rsidRPr="009F6D1E" w14:paraId="4A8D54FC" w14:textId="77777777" w:rsidTr="00AB2292">
        <w:trPr>
          <w:tblHeader/>
        </w:trPr>
        <w:tc>
          <w:tcPr>
            <w:tcW w:w="1838" w:type="dxa"/>
            <w:vMerge/>
            <w:shd w:val="clear" w:color="auto" w:fill="FFF2CC" w:themeFill="accent4" w:themeFillTint="33"/>
          </w:tcPr>
          <w:p w14:paraId="0E615128" w14:textId="77777777" w:rsidR="002831ED" w:rsidRPr="009F6D1E" w:rsidRDefault="002831ED" w:rsidP="0084747F">
            <w:pPr>
              <w:widowControl w:val="0"/>
              <w:spacing w:after="60" w:line="264" w:lineRule="auto"/>
              <w:jc w:val="center"/>
              <w:rPr>
                <w:rFonts w:cs="Times New Roman"/>
                <w:b/>
                <w:bCs/>
                <w:sz w:val="18"/>
                <w:szCs w:val="18"/>
              </w:rPr>
            </w:pPr>
          </w:p>
        </w:tc>
        <w:tc>
          <w:tcPr>
            <w:tcW w:w="12191" w:type="dxa"/>
            <w:gridSpan w:val="3"/>
            <w:shd w:val="clear" w:color="auto" w:fill="FFF2CC" w:themeFill="accent4" w:themeFillTint="33"/>
          </w:tcPr>
          <w:p w14:paraId="46732633" w14:textId="77777777" w:rsidR="002831ED" w:rsidRPr="009F6D1E" w:rsidRDefault="002831ED" w:rsidP="0084747F">
            <w:pPr>
              <w:widowControl w:val="0"/>
              <w:spacing w:after="60" w:line="264" w:lineRule="auto"/>
              <w:jc w:val="center"/>
              <w:rPr>
                <w:rFonts w:cs="Times New Roman"/>
                <w:b/>
                <w:bCs/>
                <w:sz w:val="18"/>
                <w:szCs w:val="18"/>
              </w:rPr>
            </w:pPr>
            <w:r w:rsidRPr="009F6D1E">
              <w:rPr>
                <w:rFonts w:cs="Times New Roman"/>
                <w:b/>
                <w:bCs/>
                <w:sz w:val="18"/>
                <w:szCs w:val="18"/>
              </w:rPr>
              <w:t>Въздействие</w:t>
            </w:r>
          </w:p>
        </w:tc>
      </w:tr>
      <w:tr w:rsidR="002831ED" w:rsidRPr="009F6D1E" w14:paraId="07232147" w14:textId="77777777" w:rsidTr="00AB2292">
        <w:trPr>
          <w:trHeight w:val="318"/>
        </w:trPr>
        <w:tc>
          <w:tcPr>
            <w:tcW w:w="1838" w:type="dxa"/>
            <w:shd w:val="clear" w:color="auto" w:fill="auto"/>
          </w:tcPr>
          <w:p w14:paraId="2B0214F3"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Климат,</w:t>
            </w:r>
          </w:p>
          <w:p w14:paraId="09EA7A1C"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Изменение на климата,</w:t>
            </w:r>
          </w:p>
          <w:p w14:paraId="035B30C2"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111" w:type="dxa"/>
            <w:shd w:val="clear" w:color="auto" w:fill="auto"/>
          </w:tcPr>
          <w:p w14:paraId="5C6A38E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2" w:type="dxa"/>
          </w:tcPr>
          <w:p w14:paraId="7214BE44"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20D42F3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Внедряването на нови технологии в стопанства, които са пазарно ориентирани и насочени към инвестиции и диверсификация на производствата ще доведе до пряко и положително въздействие върху климата в района, резултат от намаляването на емисиите на парникови газове, както и ще окаже положително въздействие, като позволи по-добрата адаптация към климатичните промени.. </w:t>
            </w:r>
          </w:p>
        </w:tc>
      </w:tr>
      <w:tr w:rsidR="002831ED" w:rsidRPr="009F6D1E" w14:paraId="2E5794FE" w14:textId="77777777" w:rsidTr="00AB2292">
        <w:trPr>
          <w:trHeight w:val="318"/>
        </w:trPr>
        <w:tc>
          <w:tcPr>
            <w:tcW w:w="1838" w:type="dxa"/>
            <w:shd w:val="clear" w:color="auto" w:fill="auto"/>
          </w:tcPr>
          <w:p w14:paraId="69C0564A"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111" w:type="dxa"/>
            <w:shd w:val="clear" w:color="auto" w:fill="auto"/>
          </w:tcPr>
          <w:p w14:paraId="12BB494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2" w:type="dxa"/>
          </w:tcPr>
          <w:p w14:paraId="35F5D319"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32B03E6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очакваните въздействия по отношение на климата.</w:t>
            </w:r>
          </w:p>
        </w:tc>
      </w:tr>
      <w:tr w:rsidR="002831ED" w:rsidRPr="009F6D1E" w14:paraId="6933799D" w14:textId="77777777" w:rsidTr="00AB2292">
        <w:trPr>
          <w:trHeight w:val="318"/>
        </w:trPr>
        <w:tc>
          <w:tcPr>
            <w:tcW w:w="1838" w:type="dxa"/>
            <w:shd w:val="clear" w:color="auto" w:fill="auto"/>
          </w:tcPr>
          <w:p w14:paraId="70FBB35B"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Повърхностни води</w:t>
            </w:r>
          </w:p>
          <w:p w14:paraId="031C9729"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Подземни води</w:t>
            </w:r>
          </w:p>
          <w:p w14:paraId="7ADF9EFD"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6FE3385C"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111" w:type="dxa"/>
            <w:shd w:val="clear" w:color="auto" w:fill="auto"/>
          </w:tcPr>
          <w:p w14:paraId="7AF61A47"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52" w:type="dxa"/>
          </w:tcPr>
          <w:p w14:paraId="4E5B158C"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828" w:type="dxa"/>
          </w:tcPr>
          <w:p w14:paraId="17566A2A"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2831ED" w:rsidRPr="009F6D1E" w14:paraId="4EF632B8" w14:textId="77777777" w:rsidTr="00AB2292">
        <w:trPr>
          <w:trHeight w:val="318"/>
        </w:trPr>
        <w:tc>
          <w:tcPr>
            <w:tcW w:w="1838" w:type="dxa"/>
            <w:shd w:val="clear" w:color="auto" w:fill="auto"/>
          </w:tcPr>
          <w:p w14:paraId="76CD6A40"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lastRenderedPageBreak/>
              <w:t>Земни недра</w:t>
            </w:r>
          </w:p>
        </w:tc>
        <w:tc>
          <w:tcPr>
            <w:tcW w:w="4111" w:type="dxa"/>
            <w:shd w:val="clear" w:color="auto" w:fill="auto"/>
          </w:tcPr>
          <w:p w14:paraId="417220DF"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очакват въздействия върху земните недра.</w:t>
            </w:r>
          </w:p>
        </w:tc>
        <w:tc>
          <w:tcPr>
            <w:tcW w:w="4252" w:type="dxa"/>
          </w:tcPr>
          <w:p w14:paraId="5263DC29"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очакват въздействия върху земните недра.</w:t>
            </w:r>
          </w:p>
        </w:tc>
        <w:tc>
          <w:tcPr>
            <w:tcW w:w="3828" w:type="dxa"/>
          </w:tcPr>
          <w:p w14:paraId="5C01DFDE"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очакват въздействия върху земните недра.</w:t>
            </w:r>
          </w:p>
        </w:tc>
      </w:tr>
      <w:tr w:rsidR="002831ED" w:rsidRPr="009F6D1E" w14:paraId="73A780FA" w14:textId="77777777" w:rsidTr="00AB2292">
        <w:trPr>
          <w:trHeight w:val="318"/>
        </w:trPr>
        <w:tc>
          <w:tcPr>
            <w:tcW w:w="1838" w:type="dxa"/>
            <w:shd w:val="clear" w:color="auto" w:fill="auto"/>
          </w:tcPr>
          <w:p w14:paraId="5604AC56"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Почви</w:t>
            </w:r>
          </w:p>
          <w:p w14:paraId="0C5443E0" w14:textId="77777777" w:rsidR="002831ED" w:rsidRPr="009F6D1E" w:rsidRDefault="002831ED" w:rsidP="0084747F">
            <w:pPr>
              <w:widowControl w:val="0"/>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111" w:type="dxa"/>
            <w:shd w:val="clear" w:color="auto" w:fill="auto"/>
          </w:tcPr>
          <w:p w14:paraId="17BC99AE"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почвите</w:t>
            </w:r>
          </w:p>
        </w:tc>
        <w:tc>
          <w:tcPr>
            <w:tcW w:w="4252" w:type="dxa"/>
          </w:tcPr>
          <w:p w14:paraId="39606F9E"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почвите</w:t>
            </w:r>
          </w:p>
        </w:tc>
        <w:tc>
          <w:tcPr>
            <w:tcW w:w="3828" w:type="dxa"/>
          </w:tcPr>
          <w:p w14:paraId="43A6DE35"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почвите</w:t>
            </w:r>
          </w:p>
        </w:tc>
      </w:tr>
      <w:tr w:rsidR="002831ED" w:rsidRPr="009F6D1E" w14:paraId="40B4A690" w14:textId="77777777" w:rsidTr="00AB2292">
        <w:trPr>
          <w:trHeight w:val="1378"/>
        </w:trPr>
        <w:tc>
          <w:tcPr>
            <w:tcW w:w="1838" w:type="dxa"/>
            <w:shd w:val="clear" w:color="auto" w:fill="auto"/>
          </w:tcPr>
          <w:p w14:paraId="7C0BDBF8"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Биоразнообразие</w:t>
            </w:r>
          </w:p>
          <w:p w14:paraId="6E02C1AF"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Горски територии</w:t>
            </w:r>
          </w:p>
          <w:p w14:paraId="7ACD5BDE" w14:textId="77777777" w:rsidR="002831ED" w:rsidRPr="009F6D1E" w:rsidRDefault="002831ED" w:rsidP="0084747F">
            <w:pPr>
              <w:widowControl w:val="0"/>
              <w:spacing w:after="60" w:line="264" w:lineRule="auto"/>
              <w:jc w:val="both"/>
              <w:rPr>
                <w:rFonts w:cs="Times New Roman"/>
                <w:b/>
                <w:bCs/>
                <w:sz w:val="18"/>
                <w:szCs w:val="18"/>
                <w:highlight w:val="yellow"/>
              </w:rPr>
            </w:pPr>
            <w:r w:rsidRPr="009F6D1E">
              <w:rPr>
                <w:rFonts w:cs="Times New Roman"/>
                <w:b/>
                <w:bCs/>
                <w:sz w:val="18"/>
                <w:szCs w:val="18"/>
              </w:rPr>
              <w:t>ЗТ</w:t>
            </w:r>
          </w:p>
        </w:tc>
        <w:tc>
          <w:tcPr>
            <w:tcW w:w="4111" w:type="dxa"/>
            <w:shd w:val="clear" w:color="auto" w:fill="auto"/>
          </w:tcPr>
          <w:p w14:paraId="334A593F"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Не се очаква въздействие. </w:t>
            </w:r>
          </w:p>
          <w:p w14:paraId="464E9AA1" w14:textId="77777777" w:rsidR="002831ED" w:rsidRPr="009F6D1E" w:rsidRDefault="002831ED" w:rsidP="0084747F">
            <w:pPr>
              <w:widowControl w:val="0"/>
              <w:spacing w:after="60" w:line="264" w:lineRule="auto"/>
              <w:jc w:val="both"/>
              <w:rPr>
                <w:rFonts w:eastAsia="Tahoma" w:cs="Times New Roman"/>
                <w:sz w:val="18"/>
                <w:szCs w:val="18"/>
                <w:lang w:eastAsia="zh-CN"/>
              </w:rPr>
            </w:pPr>
          </w:p>
        </w:tc>
        <w:tc>
          <w:tcPr>
            <w:tcW w:w="4252" w:type="dxa"/>
          </w:tcPr>
          <w:p w14:paraId="508EFD09"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Не се очаква въздействие. </w:t>
            </w:r>
          </w:p>
          <w:p w14:paraId="188E275A" w14:textId="77777777" w:rsidR="002831ED" w:rsidRPr="009F6D1E" w:rsidRDefault="002831ED" w:rsidP="0084747F">
            <w:pPr>
              <w:widowControl w:val="0"/>
              <w:spacing w:after="60" w:line="264" w:lineRule="auto"/>
              <w:jc w:val="both"/>
              <w:rPr>
                <w:rFonts w:eastAsia="Tahoma" w:cs="Times New Roman"/>
                <w:sz w:val="18"/>
                <w:szCs w:val="18"/>
                <w:lang w:eastAsia="zh-CN"/>
              </w:rPr>
            </w:pPr>
          </w:p>
        </w:tc>
        <w:tc>
          <w:tcPr>
            <w:tcW w:w="3828" w:type="dxa"/>
          </w:tcPr>
          <w:p w14:paraId="20885C72"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По-доброто и пълноценно използване потенциала на българската селскостопанска наука може да допринесе за понижаване цената на иновационните решения и технологични инвестиции, както и да се повиши адаптивността и тяхната приложност в местните условия. За да получат подпомагане, бенефициентите имат задължението да спазват стандартите за ДЗЕС и ЗИУ. </w:t>
            </w:r>
          </w:p>
          <w:p w14:paraId="2A4F5676"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Не се очаква въздействие. </w:t>
            </w:r>
          </w:p>
        </w:tc>
      </w:tr>
      <w:tr w:rsidR="002831ED" w:rsidRPr="009F6D1E" w14:paraId="374CB7B5" w14:textId="77777777" w:rsidTr="00AB2292">
        <w:trPr>
          <w:trHeight w:val="318"/>
        </w:trPr>
        <w:tc>
          <w:tcPr>
            <w:tcW w:w="1838" w:type="dxa"/>
            <w:shd w:val="clear" w:color="auto" w:fill="auto"/>
          </w:tcPr>
          <w:p w14:paraId="6D66B6E7"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 xml:space="preserve">Ландшафт </w:t>
            </w:r>
          </w:p>
        </w:tc>
        <w:tc>
          <w:tcPr>
            <w:tcW w:w="4111" w:type="dxa"/>
            <w:shd w:val="clear" w:color="auto" w:fill="auto"/>
          </w:tcPr>
          <w:p w14:paraId="1883BEE5"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ландшафтите</w:t>
            </w:r>
          </w:p>
        </w:tc>
        <w:tc>
          <w:tcPr>
            <w:tcW w:w="4252" w:type="dxa"/>
            <w:shd w:val="clear" w:color="auto" w:fill="auto"/>
          </w:tcPr>
          <w:p w14:paraId="113F1E27"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ландшафтите</w:t>
            </w:r>
          </w:p>
        </w:tc>
        <w:tc>
          <w:tcPr>
            <w:tcW w:w="3828" w:type="dxa"/>
          </w:tcPr>
          <w:p w14:paraId="3D74722B"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ландшафтите</w:t>
            </w:r>
          </w:p>
        </w:tc>
      </w:tr>
      <w:tr w:rsidR="002831ED" w:rsidRPr="009F6D1E" w14:paraId="2CD280D4" w14:textId="77777777" w:rsidTr="00AB2292">
        <w:trPr>
          <w:trHeight w:val="318"/>
        </w:trPr>
        <w:tc>
          <w:tcPr>
            <w:tcW w:w="1838" w:type="dxa"/>
            <w:shd w:val="clear" w:color="auto" w:fill="auto"/>
          </w:tcPr>
          <w:p w14:paraId="15307DAA"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Материални активи</w:t>
            </w:r>
          </w:p>
        </w:tc>
        <w:tc>
          <w:tcPr>
            <w:tcW w:w="4111" w:type="dxa"/>
            <w:shd w:val="clear" w:color="auto" w:fill="auto"/>
          </w:tcPr>
          <w:p w14:paraId="00518D3F"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Индиректно положително въздействие върху материалните активи, дължащо се най-вече на </w:t>
            </w:r>
            <w:r w:rsidRPr="009F6D1E">
              <w:rPr>
                <w:rFonts w:eastAsia="Tahoma" w:cs="Times New Roman"/>
                <w:sz w:val="18"/>
                <w:szCs w:val="18"/>
                <w:lang w:eastAsia="zh-CN"/>
              </w:rPr>
              <w:lastRenderedPageBreak/>
              <w:t xml:space="preserve">повишаването на ефективността. </w:t>
            </w:r>
          </w:p>
        </w:tc>
        <w:tc>
          <w:tcPr>
            <w:tcW w:w="4252" w:type="dxa"/>
          </w:tcPr>
          <w:p w14:paraId="53A45CFD"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 въздействие.</w:t>
            </w:r>
          </w:p>
        </w:tc>
        <w:tc>
          <w:tcPr>
            <w:tcW w:w="3828" w:type="dxa"/>
          </w:tcPr>
          <w:p w14:paraId="63902B1A"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Внедряването на нови технологии в стопанства, които са пазарно ориентирани и </w:t>
            </w:r>
            <w:r w:rsidRPr="009F6D1E">
              <w:rPr>
                <w:rFonts w:eastAsia="Tahoma" w:cs="Times New Roman"/>
                <w:sz w:val="18"/>
                <w:szCs w:val="18"/>
                <w:lang w:eastAsia="zh-CN"/>
              </w:rPr>
              <w:lastRenderedPageBreak/>
              <w:t>насочени към инвестиции и диверсификация на производствата ще доведе до пряко и положително въздействие върху материалните активи.</w:t>
            </w:r>
          </w:p>
        </w:tc>
      </w:tr>
      <w:tr w:rsidR="002831ED" w:rsidRPr="009F6D1E" w14:paraId="1B907923" w14:textId="77777777" w:rsidTr="00AB2292">
        <w:trPr>
          <w:trHeight w:val="318"/>
        </w:trPr>
        <w:tc>
          <w:tcPr>
            <w:tcW w:w="1838" w:type="dxa"/>
            <w:shd w:val="clear" w:color="auto" w:fill="auto"/>
          </w:tcPr>
          <w:p w14:paraId="22A50C93"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lastRenderedPageBreak/>
              <w:t>Културно-историческо наследство</w:t>
            </w:r>
          </w:p>
        </w:tc>
        <w:tc>
          <w:tcPr>
            <w:tcW w:w="4111" w:type="dxa"/>
            <w:shd w:val="clear" w:color="auto" w:fill="auto"/>
          </w:tcPr>
          <w:p w14:paraId="30E028CA" w14:textId="77777777" w:rsidR="002831ED" w:rsidRPr="009F6D1E" w:rsidRDefault="002831ED"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2289888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p>
        </w:tc>
        <w:tc>
          <w:tcPr>
            <w:tcW w:w="4252" w:type="dxa"/>
          </w:tcPr>
          <w:p w14:paraId="11467C68" w14:textId="77777777" w:rsidR="002831ED" w:rsidRPr="009F6D1E" w:rsidRDefault="002831ED"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581F5674"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p>
        </w:tc>
        <w:tc>
          <w:tcPr>
            <w:tcW w:w="3828" w:type="dxa"/>
          </w:tcPr>
          <w:p w14:paraId="45449494" w14:textId="77777777" w:rsidR="002831ED" w:rsidRPr="009F6D1E" w:rsidRDefault="002831ED"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7304D5F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p>
        </w:tc>
      </w:tr>
      <w:tr w:rsidR="002831ED" w:rsidRPr="009F6D1E" w14:paraId="716F6FB2" w14:textId="77777777" w:rsidTr="00AB2292">
        <w:trPr>
          <w:trHeight w:val="1610"/>
        </w:trPr>
        <w:tc>
          <w:tcPr>
            <w:tcW w:w="1838" w:type="dxa"/>
            <w:shd w:val="clear" w:color="auto" w:fill="auto"/>
          </w:tcPr>
          <w:p w14:paraId="1083ED7D"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111" w:type="dxa"/>
            <w:shd w:val="clear" w:color="auto" w:fill="auto"/>
          </w:tcPr>
          <w:p w14:paraId="303A899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2" w:type="dxa"/>
          </w:tcPr>
          <w:p w14:paraId="50BDFE29"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23CC5897"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Внедряването на нови технологии в стопанства, които са пазарно ориентирани и насочени към инвестиции и диверсификация на производствата ще доведе до пряко и положително въздействие върху генерираните шумови нива в района.</w:t>
            </w:r>
          </w:p>
        </w:tc>
      </w:tr>
      <w:tr w:rsidR="002831ED" w:rsidRPr="009F6D1E" w14:paraId="1763C7C3" w14:textId="77777777" w:rsidTr="00AB2292">
        <w:trPr>
          <w:trHeight w:val="318"/>
        </w:trPr>
        <w:tc>
          <w:tcPr>
            <w:tcW w:w="1838" w:type="dxa"/>
            <w:shd w:val="clear" w:color="auto" w:fill="auto"/>
          </w:tcPr>
          <w:p w14:paraId="5B1CED82"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111" w:type="dxa"/>
            <w:shd w:val="clear" w:color="auto" w:fill="auto"/>
          </w:tcPr>
          <w:p w14:paraId="7FD07927"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2" w:type="dxa"/>
          </w:tcPr>
          <w:p w14:paraId="7BC4C0B4"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4621BD3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Внедряването на нови технологии ще окаже пряко и положително въздействие както върху видовете, така и върху количествата образувани отпадъци.</w:t>
            </w:r>
          </w:p>
        </w:tc>
      </w:tr>
      <w:tr w:rsidR="002831ED" w:rsidRPr="009F6D1E" w14:paraId="542BF27C" w14:textId="77777777" w:rsidTr="00AB2292">
        <w:tc>
          <w:tcPr>
            <w:tcW w:w="1838" w:type="dxa"/>
            <w:shd w:val="clear" w:color="auto" w:fill="auto"/>
          </w:tcPr>
          <w:p w14:paraId="69F337D6" w14:textId="77777777" w:rsidR="002831ED" w:rsidRPr="009F6D1E" w:rsidRDefault="002831ED" w:rsidP="0084747F">
            <w:pPr>
              <w:widowControl w:val="0"/>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4111" w:type="dxa"/>
            <w:shd w:val="clear" w:color="auto" w:fill="auto"/>
          </w:tcPr>
          <w:p w14:paraId="32B20F32"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252" w:type="dxa"/>
          </w:tcPr>
          <w:p w14:paraId="73FDADB4"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828" w:type="dxa"/>
          </w:tcPr>
          <w:p w14:paraId="65FDC999"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2831ED" w:rsidRPr="009F6D1E" w14:paraId="3AB88235" w14:textId="77777777" w:rsidTr="00AB2292">
        <w:tc>
          <w:tcPr>
            <w:tcW w:w="1838" w:type="dxa"/>
            <w:shd w:val="clear" w:color="auto" w:fill="auto"/>
          </w:tcPr>
          <w:p w14:paraId="35025B36"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 xml:space="preserve">Население </w:t>
            </w:r>
          </w:p>
          <w:p w14:paraId="3671EA21"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Човешко здраве</w:t>
            </w:r>
          </w:p>
          <w:p w14:paraId="4B2FC0B7" w14:textId="77777777" w:rsidR="002831ED" w:rsidRPr="009F6D1E" w:rsidRDefault="002831ED" w:rsidP="0084747F">
            <w:pPr>
              <w:widowControl w:val="0"/>
              <w:spacing w:after="60" w:line="264" w:lineRule="auto"/>
              <w:jc w:val="both"/>
              <w:rPr>
                <w:rFonts w:cs="Times New Roman"/>
                <w:sz w:val="18"/>
                <w:szCs w:val="18"/>
              </w:rPr>
            </w:pPr>
            <w:r w:rsidRPr="009F6D1E">
              <w:rPr>
                <w:rFonts w:cs="Times New Roman"/>
                <w:b/>
                <w:bCs/>
                <w:sz w:val="18"/>
                <w:szCs w:val="18"/>
              </w:rPr>
              <w:t>Риск от инциденти</w:t>
            </w:r>
          </w:p>
        </w:tc>
        <w:tc>
          <w:tcPr>
            <w:tcW w:w="4111" w:type="dxa"/>
            <w:shd w:val="clear" w:color="auto" w:fill="auto"/>
          </w:tcPr>
          <w:p w14:paraId="02010653"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Повишаването на ефективността, подобряването на пазарната ориентация и реализацията на по-висока добавена стойност в малките стопанства, обхващащи големия брой малки и полупазарни стопанства, които имат потенциал за развитие от гледна точка на мотивация и наличен фамилен труд ще доведат до подобряване на социално-икономическите условия на средата и ще окажат и положително въздействие върху здравето на населението.</w:t>
            </w:r>
          </w:p>
        </w:tc>
        <w:tc>
          <w:tcPr>
            <w:tcW w:w="4252" w:type="dxa"/>
          </w:tcPr>
          <w:p w14:paraId="7C5C4975"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Повишаването на износа на селскостопански продукти с висока добавена стойност ще подобри социално-икономическите условия на средата и ще доведе до положително въздействие върху здравето на населението.</w:t>
            </w:r>
          </w:p>
        </w:tc>
        <w:tc>
          <w:tcPr>
            <w:tcW w:w="3828" w:type="dxa"/>
          </w:tcPr>
          <w:p w14:paraId="7B7B0D41" w14:textId="77777777" w:rsidR="002831ED" w:rsidRPr="009F6D1E" w:rsidRDefault="002831ED" w:rsidP="0084747F">
            <w:pPr>
              <w:widowControl w:val="0"/>
              <w:spacing w:after="60" w:line="264" w:lineRule="auto"/>
              <w:jc w:val="both"/>
              <w:rPr>
                <w:rFonts w:cs="Times New Roman"/>
                <w:sz w:val="18"/>
                <w:szCs w:val="18"/>
                <w:highlight w:val="yellow"/>
              </w:rPr>
            </w:pPr>
            <w:r w:rsidRPr="009F6D1E">
              <w:rPr>
                <w:rFonts w:eastAsia="Tahoma" w:cs="Times New Roman"/>
                <w:sz w:val="18"/>
                <w:szCs w:val="18"/>
                <w:lang w:eastAsia="zh-CN"/>
              </w:rPr>
              <w:t>Внедряването на нови технологии в стопанства, които са пазарно ориентирани и насочени към инвестиции и диверсификация на производствата ще доведе до пряко и положително въздействие върху социално-икономическите условия на средата и ще окаже положително влияние върху здравето на населението.</w:t>
            </w:r>
          </w:p>
        </w:tc>
      </w:tr>
      <w:bookmarkEnd w:id="595"/>
    </w:tbl>
    <w:p w14:paraId="5367EE04" w14:textId="77777777" w:rsidR="002831ED" w:rsidRPr="009F6D1E" w:rsidRDefault="002831ED" w:rsidP="0084747F">
      <w:pPr>
        <w:spacing w:after="60" w:line="264" w:lineRule="auto"/>
        <w:contextualSpacing/>
        <w:jc w:val="both"/>
        <w:rPr>
          <w:rFonts w:eastAsia="Calibri" w:cs="Times New Roman"/>
          <w:b/>
          <w:bCs/>
          <w:i/>
          <w:iCs/>
          <w:sz w:val="18"/>
          <w:szCs w:val="18"/>
        </w:rPr>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4397"/>
        <w:gridCol w:w="3604"/>
        <w:gridCol w:w="4586"/>
      </w:tblGrid>
      <w:tr w:rsidR="002831ED" w:rsidRPr="009F6D1E" w14:paraId="5B419B50" w14:textId="77777777" w:rsidTr="00AB2292">
        <w:trPr>
          <w:tblHeader/>
        </w:trPr>
        <w:tc>
          <w:tcPr>
            <w:tcW w:w="1691" w:type="dxa"/>
            <w:vMerge w:val="restart"/>
            <w:shd w:val="clear" w:color="auto" w:fill="D9D9D9" w:themeFill="background1" w:themeFillShade="D9"/>
            <w:textDirection w:val="btLr"/>
            <w:vAlign w:val="center"/>
          </w:tcPr>
          <w:p w14:paraId="5522E339" w14:textId="77777777" w:rsidR="002831ED" w:rsidRPr="009F6D1E" w:rsidRDefault="002831ED" w:rsidP="0084747F">
            <w:pPr>
              <w:widowControl w:val="0"/>
              <w:spacing w:after="60" w:line="264" w:lineRule="auto"/>
              <w:ind w:left="113" w:right="113"/>
              <w:jc w:val="center"/>
              <w:rPr>
                <w:rFonts w:cs="Times New Roman"/>
                <w:b/>
                <w:bCs/>
                <w:i/>
                <w:sz w:val="18"/>
                <w:szCs w:val="18"/>
              </w:rPr>
            </w:pPr>
            <w:r w:rsidRPr="009F6D1E">
              <w:rPr>
                <w:rFonts w:cs="Times New Roman"/>
                <w:b/>
                <w:bCs/>
                <w:sz w:val="18"/>
                <w:szCs w:val="18"/>
              </w:rPr>
              <w:lastRenderedPageBreak/>
              <w:t>КОМПОНЕНТ/ ФАКТОР НА ОКОЛНАТА СРЕДА</w:t>
            </w:r>
          </w:p>
        </w:tc>
        <w:tc>
          <w:tcPr>
            <w:tcW w:w="4397" w:type="dxa"/>
            <w:shd w:val="clear" w:color="auto" w:fill="D9D9D9" w:themeFill="background1" w:themeFillShade="D9"/>
            <w:vAlign w:val="center"/>
          </w:tcPr>
          <w:p w14:paraId="3673DE65" w14:textId="6BA3E1F3"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П.2.7.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371700">
              <w:rPr>
                <w:rFonts w:cs="Times New Roman"/>
                <w:b/>
                <w:bCs/>
                <w:i/>
                <w:sz w:val="18"/>
                <w:szCs w:val="18"/>
              </w:rPr>
              <w:t>осп</w:t>
            </w:r>
            <w:r w:rsidRPr="009F6D1E">
              <w:rPr>
                <w:rFonts w:cs="Times New Roman"/>
                <w:b/>
                <w:bCs/>
                <w:i/>
                <w:sz w:val="18"/>
                <w:szCs w:val="18"/>
              </w:rPr>
              <w:t>особност чрез модернизация на стопанствата, използване на цифровизацията, както и по-широкото прилагане на подвижното пчеларство</w:t>
            </w:r>
          </w:p>
          <w:p w14:paraId="1627969F"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7CA01A5"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 xml:space="preserve">Консултантски услуги, техническа помощ, обучение, информация и обмен на добри практики за пчелари и пчеларски организации, включително относно агресорите и болестите в кошера, особено </w:t>
            </w:r>
            <w:proofErr w:type="spellStart"/>
            <w:r w:rsidRPr="009F6D1E">
              <w:rPr>
                <w:rFonts w:cs="Times New Roman"/>
                <w:i/>
                <w:sz w:val="18"/>
                <w:szCs w:val="18"/>
              </w:rPr>
              <w:t>вароатозата</w:t>
            </w:r>
            <w:proofErr w:type="spellEnd"/>
          </w:p>
          <w:p w14:paraId="6BADCD0A"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xml:space="preserve">- Борба срещу агресорите и болестите в кошера, особено срещу </w:t>
            </w:r>
            <w:proofErr w:type="spellStart"/>
            <w:r w:rsidRPr="009F6D1E">
              <w:rPr>
                <w:rFonts w:cs="Times New Roman"/>
                <w:i/>
                <w:sz w:val="18"/>
                <w:szCs w:val="18"/>
              </w:rPr>
              <w:t>вароатозата</w:t>
            </w:r>
            <w:proofErr w:type="spellEnd"/>
          </w:p>
          <w:p w14:paraId="059FD805"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Сътрудничество със специализирани органи за изпълнението на изследователски програми в областта на пчеларството и пчелните продукти</w:t>
            </w:r>
          </w:p>
          <w:p w14:paraId="602EF422"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Популяризиране, комуникация и маркетинг, включително действия за наблюдение на пазара и дейности, насочени по-специално към повишаване на осведомеността на потребителите относно качеството на пчелните продукти и значението на здравословния начин на хранене</w:t>
            </w:r>
          </w:p>
          <w:p w14:paraId="04589EA9"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Действия за запазване или увеличаване на наличния брой пчелни кошери в Съюза, включително развъждане на пчели</w:t>
            </w:r>
          </w:p>
          <w:p w14:paraId="56CB78DC"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Инвестиции в материални и нематериални активи</w:t>
            </w:r>
          </w:p>
          <w:p w14:paraId="56E863FE"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Подновяване на пчелните кошери в Съюза, включително развъждане на пчели</w:t>
            </w:r>
          </w:p>
          <w:p w14:paraId="2C50D979"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lastRenderedPageBreak/>
              <w:t>-</w:t>
            </w:r>
            <w:r w:rsidRPr="009F6D1E">
              <w:rPr>
                <w:rFonts w:cs="Times New Roman"/>
                <w:sz w:val="18"/>
                <w:szCs w:val="18"/>
              </w:rPr>
              <w:t xml:space="preserve"> </w:t>
            </w:r>
            <w:r w:rsidRPr="009F6D1E">
              <w:rPr>
                <w:rFonts w:cs="Times New Roman"/>
                <w:i/>
                <w:sz w:val="18"/>
                <w:szCs w:val="18"/>
              </w:rPr>
              <w:t>Рационализиране на подвижното пчеларство</w:t>
            </w:r>
          </w:p>
          <w:p w14:paraId="34B3B466"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Действия за подпомагане на лабораториите за анализ на пчелните продукти, загубата на пчели или спада на производителността, както и потенциално токсичните за пчелите вещества</w:t>
            </w:r>
          </w:p>
        </w:tc>
        <w:tc>
          <w:tcPr>
            <w:tcW w:w="3604" w:type="dxa"/>
            <w:shd w:val="clear" w:color="auto" w:fill="D9D9D9" w:themeFill="background1" w:themeFillShade="D9"/>
          </w:tcPr>
          <w:p w14:paraId="6D1C84CB" w14:textId="57DF59F4"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lastRenderedPageBreak/>
              <w:t>П.2.8. Повишаване на конкурент</w:t>
            </w:r>
            <w:r w:rsidR="00371700">
              <w:rPr>
                <w:rFonts w:cs="Times New Roman"/>
                <w:b/>
                <w:bCs/>
                <w:i/>
                <w:sz w:val="18"/>
                <w:szCs w:val="18"/>
              </w:rPr>
              <w:t>осп</w:t>
            </w:r>
            <w:r w:rsidRPr="009F6D1E">
              <w:rPr>
                <w:rFonts w:cs="Times New Roman"/>
                <w:b/>
                <w:bCs/>
                <w:i/>
                <w:sz w:val="18"/>
                <w:szCs w:val="18"/>
              </w:rPr>
              <w:t xml:space="preserve">особността на производителите и преработвателите в </w:t>
            </w:r>
            <w:proofErr w:type="spellStart"/>
            <w:r w:rsidRPr="009F6D1E">
              <w:rPr>
                <w:rFonts w:cs="Times New Roman"/>
                <w:b/>
                <w:bCs/>
                <w:i/>
                <w:sz w:val="18"/>
                <w:szCs w:val="18"/>
              </w:rPr>
              <w:t>лозаровинарския</w:t>
            </w:r>
            <w:proofErr w:type="spellEnd"/>
            <w:r w:rsidRPr="009F6D1E">
              <w:rPr>
                <w:rFonts w:cs="Times New Roman"/>
                <w:b/>
                <w:bCs/>
                <w:i/>
                <w:sz w:val="18"/>
                <w:szCs w:val="18"/>
              </w:rPr>
              <w:t xml:space="preserve">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p w14:paraId="7A1F547B"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1EF8F2E3"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Преструктуриране и конверсия на лозя</w:t>
            </w:r>
          </w:p>
          <w:p w14:paraId="4F8AC036"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xml:space="preserve">- Инвестиции в </w:t>
            </w:r>
            <w:proofErr w:type="spellStart"/>
            <w:r w:rsidRPr="009F6D1E">
              <w:rPr>
                <w:rFonts w:cs="Times New Roman"/>
                <w:i/>
                <w:sz w:val="18"/>
                <w:szCs w:val="18"/>
              </w:rPr>
              <w:t>лозаро</w:t>
            </w:r>
            <w:proofErr w:type="spellEnd"/>
            <w:r w:rsidRPr="009F6D1E">
              <w:rPr>
                <w:rFonts w:cs="Times New Roman"/>
                <w:i/>
                <w:sz w:val="18"/>
                <w:szCs w:val="18"/>
              </w:rPr>
              <w:t>-винарския сектор</w:t>
            </w:r>
          </w:p>
          <w:p w14:paraId="18FCB7FA"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Насърчаване на винения туризъм.</w:t>
            </w:r>
          </w:p>
          <w:p w14:paraId="322ABBED"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xml:space="preserve">- Популяризиране в трети държави </w:t>
            </w:r>
          </w:p>
          <w:p w14:paraId="2C783F3A" w14:textId="77777777" w:rsidR="002831ED" w:rsidRPr="009F6D1E" w:rsidRDefault="002831ED" w:rsidP="0084747F">
            <w:pPr>
              <w:widowControl w:val="0"/>
              <w:spacing w:after="60" w:line="264" w:lineRule="auto"/>
              <w:jc w:val="center"/>
              <w:rPr>
                <w:rFonts w:cs="Times New Roman"/>
                <w:i/>
                <w:sz w:val="18"/>
                <w:szCs w:val="18"/>
              </w:rPr>
            </w:pPr>
            <w:r w:rsidRPr="009F6D1E">
              <w:rPr>
                <w:rFonts w:cs="Times New Roman"/>
                <w:i/>
                <w:sz w:val="18"/>
                <w:szCs w:val="18"/>
              </w:rPr>
              <w:t>- Информиране в държавите-членки</w:t>
            </w:r>
          </w:p>
          <w:p w14:paraId="1C1E5C87" w14:textId="77777777" w:rsidR="002831ED" w:rsidRPr="009F6D1E" w:rsidRDefault="002831ED" w:rsidP="0084747F">
            <w:pPr>
              <w:widowControl w:val="0"/>
              <w:spacing w:after="60" w:line="264" w:lineRule="auto"/>
              <w:jc w:val="center"/>
              <w:rPr>
                <w:rFonts w:cs="Times New Roman"/>
                <w:b/>
                <w:bCs/>
                <w:i/>
                <w:sz w:val="18"/>
                <w:szCs w:val="18"/>
                <w:u w:val="single"/>
              </w:rPr>
            </w:pPr>
            <w:r w:rsidRPr="009F6D1E">
              <w:rPr>
                <w:rFonts w:cs="Times New Roman"/>
                <w:i/>
                <w:sz w:val="18"/>
                <w:szCs w:val="18"/>
              </w:rPr>
              <w:t xml:space="preserve">- Инвестиции в екологични съоръжения </w:t>
            </w:r>
          </w:p>
        </w:tc>
        <w:tc>
          <w:tcPr>
            <w:tcW w:w="4586" w:type="dxa"/>
            <w:shd w:val="clear" w:color="auto" w:fill="D9D9D9" w:themeFill="background1" w:themeFillShade="D9"/>
          </w:tcPr>
          <w:p w14:paraId="53D07352"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rPr>
              <w:t>П.2.9. Подобряване на достъпа до финансиране</w:t>
            </w:r>
          </w:p>
          <w:p w14:paraId="7EE4E72E" w14:textId="77777777" w:rsidR="002831ED" w:rsidRPr="009F6D1E" w:rsidRDefault="002831ED" w:rsidP="0084747F">
            <w:pPr>
              <w:widowControl w:val="0"/>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2E85BA1C" w14:textId="77777777" w:rsidR="002831ED" w:rsidRPr="009F6D1E" w:rsidRDefault="002831ED" w:rsidP="0084747F">
            <w:pPr>
              <w:pStyle w:val="ListParagraph"/>
              <w:widowControl w:val="0"/>
              <w:numPr>
                <w:ilvl w:val="0"/>
                <w:numId w:val="7"/>
              </w:numPr>
              <w:spacing w:after="60" w:line="264" w:lineRule="auto"/>
              <w:jc w:val="center"/>
              <w:rPr>
                <w:i/>
                <w:sz w:val="18"/>
                <w:szCs w:val="18"/>
                <w:lang w:val="bg-BG"/>
              </w:rPr>
            </w:pPr>
            <w:r w:rsidRPr="009F6D1E">
              <w:rPr>
                <w:i/>
                <w:sz w:val="18"/>
                <w:szCs w:val="18"/>
                <w:lang w:val="bg-BG"/>
              </w:rPr>
              <w:t>Необходимост от разработване на гаранционна схема, насочена новите, малките и средните земеделски стопанства, поради липсата на достатъчен ресурс за обезпечаване на средствата</w:t>
            </w:r>
          </w:p>
        </w:tc>
      </w:tr>
      <w:tr w:rsidR="002831ED" w:rsidRPr="009F6D1E" w14:paraId="4BA5626F" w14:textId="77777777" w:rsidTr="00AB2292">
        <w:tc>
          <w:tcPr>
            <w:tcW w:w="1691" w:type="dxa"/>
            <w:vMerge/>
            <w:shd w:val="clear" w:color="auto" w:fill="FFF2CC" w:themeFill="accent4" w:themeFillTint="33"/>
          </w:tcPr>
          <w:p w14:paraId="7EF02F6A" w14:textId="77777777" w:rsidR="002831ED" w:rsidRPr="009F6D1E" w:rsidRDefault="002831ED" w:rsidP="0084747F">
            <w:pPr>
              <w:widowControl w:val="0"/>
              <w:spacing w:after="60" w:line="264" w:lineRule="auto"/>
              <w:jc w:val="center"/>
              <w:rPr>
                <w:rFonts w:cs="Times New Roman"/>
                <w:b/>
                <w:bCs/>
                <w:sz w:val="18"/>
                <w:szCs w:val="18"/>
              </w:rPr>
            </w:pPr>
          </w:p>
        </w:tc>
        <w:tc>
          <w:tcPr>
            <w:tcW w:w="12587" w:type="dxa"/>
            <w:gridSpan w:val="3"/>
            <w:shd w:val="clear" w:color="auto" w:fill="FFF2CC" w:themeFill="accent4" w:themeFillTint="33"/>
          </w:tcPr>
          <w:p w14:paraId="5F57F02A" w14:textId="77777777" w:rsidR="002831ED" w:rsidRPr="009F6D1E" w:rsidRDefault="002831ED" w:rsidP="0084747F">
            <w:pPr>
              <w:widowControl w:val="0"/>
              <w:spacing w:after="60" w:line="264" w:lineRule="auto"/>
              <w:jc w:val="center"/>
              <w:rPr>
                <w:rFonts w:cs="Times New Roman"/>
                <w:b/>
                <w:bCs/>
                <w:sz w:val="18"/>
                <w:szCs w:val="18"/>
              </w:rPr>
            </w:pPr>
            <w:r w:rsidRPr="009F6D1E">
              <w:rPr>
                <w:rFonts w:cs="Times New Roman"/>
                <w:b/>
                <w:bCs/>
                <w:sz w:val="18"/>
                <w:szCs w:val="18"/>
              </w:rPr>
              <w:t>Въздействие</w:t>
            </w:r>
          </w:p>
        </w:tc>
      </w:tr>
      <w:tr w:rsidR="002831ED" w:rsidRPr="009F6D1E" w14:paraId="58C1BC2C" w14:textId="77777777" w:rsidTr="00AB2292">
        <w:trPr>
          <w:trHeight w:val="318"/>
        </w:trPr>
        <w:tc>
          <w:tcPr>
            <w:tcW w:w="1691" w:type="dxa"/>
            <w:shd w:val="clear" w:color="auto" w:fill="auto"/>
          </w:tcPr>
          <w:p w14:paraId="22BE1ABC"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Климат,</w:t>
            </w:r>
          </w:p>
          <w:p w14:paraId="7214730A"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Изменение на климата,</w:t>
            </w:r>
          </w:p>
          <w:p w14:paraId="158E312F"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397" w:type="dxa"/>
            <w:shd w:val="clear" w:color="auto" w:fill="auto"/>
          </w:tcPr>
          <w:p w14:paraId="0B0196F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04" w:type="dxa"/>
          </w:tcPr>
          <w:p w14:paraId="57085E3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Чрез инвестиции в </w:t>
            </w:r>
            <w:proofErr w:type="spellStart"/>
            <w:r w:rsidRPr="009F6D1E">
              <w:rPr>
                <w:rFonts w:eastAsia="Tahoma" w:cs="Times New Roman"/>
                <w:sz w:val="18"/>
                <w:szCs w:val="18"/>
                <w:lang w:eastAsia="zh-CN"/>
              </w:rPr>
              <w:t>лозаро</w:t>
            </w:r>
            <w:proofErr w:type="spellEnd"/>
            <w:r w:rsidRPr="009F6D1E">
              <w:rPr>
                <w:rFonts w:eastAsia="Tahoma" w:cs="Times New Roman"/>
                <w:sz w:val="18"/>
                <w:szCs w:val="18"/>
                <w:lang w:eastAsia="zh-CN"/>
              </w:rPr>
              <w:t>-винарския сектор и инвестиции в екологични съоръжения ще се повлияе положително и пряко върху климата, като се сведат до минимум вредните емисии в атмосферата. Също така ще се подобри и адаптацията към променящите се условия на средата, в частност към климатичните промени.</w:t>
            </w:r>
          </w:p>
        </w:tc>
        <w:tc>
          <w:tcPr>
            <w:tcW w:w="4586" w:type="dxa"/>
          </w:tcPr>
          <w:p w14:paraId="771416F5"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35EFF15F" w14:textId="77777777" w:rsidTr="00AB2292">
        <w:trPr>
          <w:trHeight w:val="318"/>
        </w:trPr>
        <w:tc>
          <w:tcPr>
            <w:tcW w:w="1691" w:type="dxa"/>
            <w:shd w:val="clear" w:color="auto" w:fill="auto"/>
          </w:tcPr>
          <w:p w14:paraId="1B5CD7E7"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397" w:type="dxa"/>
            <w:shd w:val="clear" w:color="auto" w:fill="auto"/>
          </w:tcPr>
          <w:p w14:paraId="53D36C5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04" w:type="dxa"/>
          </w:tcPr>
          <w:p w14:paraId="70EF507D"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По подобие на оценката във връзка с очакваните въздействия върху климата.</w:t>
            </w:r>
          </w:p>
        </w:tc>
        <w:tc>
          <w:tcPr>
            <w:tcW w:w="4586" w:type="dxa"/>
          </w:tcPr>
          <w:p w14:paraId="27EFCF49"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59F76BE8" w14:textId="77777777" w:rsidTr="00AB2292">
        <w:trPr>
          <w:trHeight w:val="318"/>
        </w:trPr>
        <w:tc>
          <w:tcPr>
            <w:tcW w:w="1691" w:type="dxa"/>
            <w:shd w:val="clear" w:color="auto" w:fill="auto"/>
          </w:tcPr>
          <w:p w14:paraId="510B98C9"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Повърхностни води</w:t>
            </w:r>
          </w:p>
          <w:p w14:paraId="44F1379A"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Подземни води</w:t>
            </w:r>
          </w:p>
          <w:p w14:paraId="74EEEDF4"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0D2B8FC5"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397" w:type="dxa"/>
            <w:shd w:val="clear" w:color="auto" w:fill="auto"/>
          </w:tcPr>
          <w:p w14:paraId="5B374238"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604" w:type="dxa"/>
          </w:tcPr>
          <w:p w14:paraId="71F44D62"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586" w:type="dxa"/>
          </w:tcPr>
          <w:p w14:paraId="4449B026"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2831ED" w:rsidRPr="009F6D1E" w14:paraId="7189B667" w14:textId="77777777" w:rsidTr="00AB2292">
        <w:trPr>
          <w:trHeight w:val="318"/>
        </w:trPr>
        <w:tc>
          <w:tcPr>
            <w:tcW w:w="1691" w:type="dxa"/>
            <w:shd w:val="clear" w:color="auto" w:fill="auto"/>
          </w:tcPr>
          <w:p w14:paraId="03F395C7"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Земни недра</w:t>
            </w:r>
          </w:p>
        </w:tc>
        <w:tc>
          <w:tcPr>
            <w:tcW w:w="4397" w:type="dxa"/>
            <w:shd w:val="clear" w:color="auto" w:fill="auto"/>
          </w:tcPr>
          <w:p w14:paraId="32C59563"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604" w:type="dxa"/>
          </w:tcPr>
          <w:p w14:paraId="6100C33D"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586" w:type="dxa"/>
          </w:tcPr>
          <w:p w14:paraId="754EF7EA"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2831ED" w:rsidRPr="009F6D1E" w14:paraId="764C43F0" w14:textId="77777777" w:rsidTr="00AB2292">
        <w:trPr>
          <w:trHeight w:val="318"/>
        </w:trPr>
        <w:tc>
          <w:tcPr>
            <w:tcW w:w="1691" w:type="dxa"/>
            <w:shd w:val="clear" w:color="auto" w:fill="auto"/>
          </w:tcPr>
          <w:p w14:paraId="4B278AEC"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Почви</w:t>
            </w:r>
          </w:p>
          <w:p w14:paraId="4709632A" w14:textId="77777777" w:rsidR="002831ED" w:rsidRPr="009F6D1E" w:rsidRDefault="002831ED" w:rsidP="0084747F">
            <w:pPr>
              <w:widowControl w:val="0"/>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397" w:type="dxa"/>
            <w:shd w:val="clear" w:color="auto" w:fill="auto"/>
          </w:tcPr>
          <w:p w14:paraId="4E2E1D85"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директни въздействия върху почвите</w:t>
            </w:r>
          </w:p>
        </w:tc>
        <w:tc>
          <w:tcPr>
            <w:tcW w:w="3604" w:type="dxa"/>
          </w:tcPr>
          <w:p w14:paraId="5A2F5A4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Очакват са отрицателни въздействия върху почвите, които се изразяват в унищожаване/нарушаване на почвения слой в обхвата на строителните дейности при изграждането на преработвателни съоръжения и инфраструктура. </w:t>
            </w:r>
            <w:r w:rsidRPr="009F6D1E">
              <w:rPr>
                <w:rFonts w:eastAsia="Tahoma" w:cs="Times New Roman"/>
                <w:sz w:val="18"/>
                <w:szCs w:val="18"/>
                <w:lang w:eastAsia="zh-CN"/>
              </w:rPr>
              <w:lastRenderedPageBreak/>
              <w:t xml:space="preserve">Въздействията са отрицателни, локални по обхват, постоянни с ниска и средна степен. </w:t>
            </w:r>
          </w:p>
        </w:tc>
        <w:tc>
          <w:tcPr>
            <w:tcW w:w="4586" w:type="dxa"/>
          </w:tcPr>
          <w:p w14:paraId="65A7ED6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очакват директни въздействия върху почвите</w:t>
            </w:r>
          </w:p>
        </w:tc>
      </w:tr>
      <w:tr w:rsidR="002831ED" w:rsidRPr="009F6D1E" w14:paraId="1E02539E" w14:textId="77777777" w:rsidTr="00AB2292">
        <w:trPr>
          <w:trHeight w:val="1378"/>
        </w:trPr>
        <w:tc>
          <w:tcPr>
            <w:tcW w:w="1691" w:type="dxa"/>
            <w:shd w:val="clear" w:color="auto" w:fill="auto"/>
          </w:tcPr>
          <w:p w14:paraId="66D74A1E"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Биоразнообразие</w:t>
            </w:r>
          </w:p>
          <w:p w14:paraId="6C434B85"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Горски територии</w:t>
            </w:r>
          </w:p>
          <w:p w14:paraId="6CB5195C" w14:textId="77777777" w:rsidR="002831ED" w:rsidRPr="009F6D1E" w:rsidRDefault="002831ED" w:rsidP="0084747F">
            <w:pPr>
              <w:widowControl w:val="0"/>
              <w:spacing w:after="60" w:line="264" w:lineRule="auto"/>
              <w:jc w:val="both"/>
              <w:rPr>
                <w:rFonts w:cs="Times New Roman"/>
                <w:b/>
                <w:bCs/>
                <w:sz w:val="18"/>
                <w:szCs w:val="18"/>
                <w:highlight w:val="yellow"/>
              </w:rPr>
            </w:pPr>
            <w:r w:rsidRPr="009F6D1E">
              <w:rPr>
                <w:rFonts w:cs="Times New Roman"/>
                <w:b/>
                <w:bCs/>
                <w:sz w:val="18"/>
                <w:szCs w:val="18"/>
              </w:rPr>
              <w:t>ЗТ</w:t>
            </w:r>
          </w:p>
        </w:tc>
        <w:tc>
          <w:tcPr>
            <w:tcW w:w="4397" w:type="dxa"/>
            <w:shd w:val="clear" w:color="auto" w:fill="auto"/>
          </w:tcPr>
          <w:p w14:paraId="7A9ADBEC" w14:textId="406FB021" w:rsidR="002831ED" w:rsidRPr="009F6D1E" w:rsidRDefault="002831ED" w:rsidP="0084747F">
            <w:pPr>
              <w:widowControl w:val="0"/>
              <w:spacing w:after="60" w:line="264" w:lineRule="auto"/>
              <w:jc w:val="both"/>
              <w:rPr>
                <w:rFonts w:eastAsia="Tahoma" w:cs="Times New Roman"/>
                <w:sz w:val="18"/>
                <w:szCs w:val="18"/>
                <w:lang w:eastAsia="zh-CN"/>
              </w:rPr>
            </w:pPr>
            <w:proofErr w:type="spellStart"/>
            <w:r w:rsidRPr="009F6D1E">
              <w:rPr>
                <w:rFonts w:eastAsia="Tahoma" w:cs="Times New Roman"/>
                <w:sz w:val="18"/>
                <w:szCs w:val="18"/>
                <w:lang w:eastAsia="zh-CN"/>
              </w:rPr>
              <w:t>Опрашителите</w:t>
            </w:r>
            <w:proofErr w:type="spellEnd"/>
            <w:r w:rsidRPr="009F6D1E">
              <w:rPr>
                <w:rFonts w:eastAsia="Tahoma" w:cs="Times New Roman"/>
                <w:sz w:val="18"/>
                <w:szCs w:val="18"/>
                <w:lang w:eastAsia="zh-CN"/>
              </w:rPr>
              <w:t xml:space="preserve"> са важен компонент на биологичното разнообразие и са необходими за размножаването на повечето растителни видове. </w:t>
            </w:r>
            <w:r w:rsidR="00FF5E32">
              <w:rPr>
                <w:rFonts w:eastAsia="Tahoma" w:cs="Times New Roman"/>
                <w:sz w:val="18"/>
                <w:szCs w:val="18"/>
                <w:lang w:eastAsia="zh-CN"/>
              </w:rPr>
              <w:t>Осигуряването</w:t>
            </w:r>
            <w:r w:rsidRPr="009F6D1E">
              <w:rPr>
                <w:rFonts w:eastAsia="Tahoma" w:cs="Times New Roman"/>
                <w:sz w:val="18"/>
                <w:szCs w:val="18"/>
                <w:lang w:eastAsia="zh-CN"/>
              </w:rPr>
              <w:t xml:space="preserve"> на по-добри условия за устойчиво развитие на сектор пчеларство ще </w:t>
            </w:r>
            <w:proofErr w:type="spellStart"/>
            <w:r w:rsidRPr="009F6D1E">
              <w:rPr>
                <w:rFonts w:eastAsia="Tahoma" w:cs="Times New Roman"/>
                <w:sz w:val="18"/>
                <w:szCs w:val="18"/>
                <w:lang w:eastAsia="zh-CN"/>
              </w:rPr>
              <w:t>допренесе</w:t>
            </w:r>
            <w:proofErr w:type="spellEnd"/>
            <w:r w:rsidRPr="009F6D1E">
              <w:rPr>
                <w:rFonts w:eastAsia="Tahoma" w:cs="Times New Roman"/>
                <w:sz w:val="18"/>
                <w:szCs w:val="18"/>
                <w:lang w:eastAsia="zh-CN"/>
              </w:rPr>
              <w:t xml:space="preserve"> за подобряване на </w:t>
            </w:r>
            <w:proofErr w:type="spellStart"/>
            <w:r w:rsidRPr="009F6D1E">
              <w:rPr>
                <w:rFonts w:eastAsia="Tahoma" w:cs="Times New Roman"/>
                <w:sz w:val="18"/>
                <w:szCs w:val="18"/>
                <w:lang w:eastAsia="zh-CN"/>
              </w:rPr>
              <w:t>опрашителния</w:t>
            </w:r>
            <w:proofErr w:type="spellEnd"/>
            <w:r w:rsidRPr="009F6D1E">
              <w:rPr>
                <w:rFonts w:eastAsia="Tahoma" w:cs="Times New Roman"/>
                <w:sz w:val="18"/>
                <w:szCs w:val="18"/>
                <w:lang w:eastAsia="zh-CN"/>
              </w:rPr>
              <w:t xml:space="preserve"> потенциал и съответно за възпроизводството на </w:t>
            </w:r>
            <w:proofErr w:type="spellStart"/>
            <w:r w:rsidRPr="009F6D1E">
              <w:rPr>
                <w:rFonts w:eastAsia="Tahoma" w:cs="Times New Roman"/>
                <w:sz w:val="18"/>
                <w:szCs w:val="18"/>
                <w:lang w:eastAsia="zh-CN"/>
              </w:rPr>
              <w:t>ентомофилните</w:t>
            </w:r>
            <w:proofErr w:type="spellEnd"/>
            <w:r w:rsidRPr="009F6D1E">
              <w:rPr>
                <w:rFonts w:eastAsia="Tahoma" w:cs="Times New Roman"/>
                <w:sz w:val="18"/>
                <w:szCs w:val="18"/>
                <w:lang w:eastAsia="zh-CN"/>
              </w:rPr>
              <w:t xml:space="preserve"> видове в  растителните съобщества. </w:t>
            </w:r>
          </w:p>
          <w:p w14:paraId="21F3F688"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директно, положително</w:t>
            </w:r>
          </w:p>
          <w:p w14:paraId="27457462"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2E8E9730"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 регионален</w:t>
            </w:r>
          </w:p>
        </w:tc>
        <w:tc>
          <w:tcPr>
            <w:tcW w:w="3604" w:type="dxa"/>
          </w:tcPr>
          <w:p w14:paraId="2F4AE022"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Целта на интервенцията насърчаване на винения туризъм е да допринесе за подобряване на репутацията на </w:t>
            </w:r>
            <w:proofErr w:type="spellStart"/>
            <w:r w:rsidRPr="009F6D1E">
              <w:rPr>
                <w:rFonts w:eastAsia="Tahoma" w:cs="Times New Roman"/>
                <w:sz w:val="18"/>
                <w:szCs w:val="18"/>
                <w:lang w:eastAsia="zh-CN"/>
              </w:rPr>
              <w:t>лозаро</w:t>
            </w:r>
            <w:proofErr w:type="spellEnd"/>
            <w:r w:rsidRPr="009F6D1E">
              <w:rPr>
                <w:rFonts w:eastAsia="Tahoma" w:cs="Times New Roman"/>
                <w:sz w:val="18"/>
                <w:szCs w:val="18"/>
                <w:lang w:eastAsia="zh-CN"/>
              </w:rPr>
              <w:t xml:space="preserve">-винарския сектор, запознаване на обществото с туристическия потенциал на </w:t>
            </w:r>
            <w:proofErr w:type="spellStart"/>
            <w:r w:rsidRPr="009F6D1E">
              <w:rPr>
                <w:rFonts w:eastAsia="Tahoma" w:cs="Times New Roman"/>
                <w:sz w:val="18"/>
                <w:szCs w:val="18"/>
                <w:lang w:eastAsia="zh-CN"/>
              </w:rPr>
              <w:t>лозаро</w:t>
            </w:r>
            <w:proofErr w:type="spellEnd"/>
            <w:r w:rsidRPr="009F6D1E">
              <w:rPr>
                <w:rFonts w:eastAsia="Tahoma" w:cs="Times New Roman"/>
                <w:sz w:val="18"/>
                <w:szCs w:val="18"/>
                <w:lang w:eastAsia="zh-CN"/>
              </w:rPr>
              <w:t>-винарските региони в страната и популяризиране на техните специфики. Отрицателно въздействие може да се очаква от развитието на винен туризъм и евентуално възникнала в резултат от това необходимост от изграждане на туристическа инфраструктура. Не се очаква въздействието да бъде значително.</w:t>
            </w:r>
          </w:p>
          <w:p w14:paraId="66854E11"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отрицателно</w:t>
            </w:r>
          </w:p>
          <w:p w14:paraId="2310DA96"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краткосрочно, дългосрочно </w:t>
            </w:r>
          </w:p>
          <w:p w14:paraId="589E825C"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 регионален</w:t>
            </w:r>
          </w:p>
        </w:tc>
        <w:tc>
          <w:tcPr>
            <w:tcW w:w="4586" w:type="dxa"/>
          </w:tcPr>
          <w:p w14:paraId="53FBE367"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Потребността от подобряването на достъпа до финансиране ще бъде адресирана чрез прилагане на финансови инструменти за малки и млади земеделски производители и стартиращи предприятия за неземеделски дейности в селските райони, под формата на гаранционна схема за предоставяне на кредити. </w:t>
            </w:r>
          </w:p>
          <w:p w14:paraId="014FDA69" w14:textId="77777777" w:rsidR="002831ED" w:rsidRPr="009F6D1E" w:rsidRDefault="002831ED"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 xml:space="preserve">Косвено отрицателно въздействие може да се очаква от реализиране на различни неземеделски дейности в земеделски земи. Тъй като различните неземеделски дейности в зависимост от спецификите си, подлежат на разрешаване по реда на специални закони, вкл. такива свързани с опазване на горите, ЗТ и биоразнообразието, при спазване на законодателството и добрите практики не се очаква значително отрицателно въздействие. </w:t>
            </w:r>
          </w:p>
          <w:p w14:paraId="6F7AA883"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отрицателно</w:t>
            </w:r>
          </w:p>
          <w:p w14:paraId="4F9F9689"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краткосрочно, дългосрочно </w:t>
            </w:r>
          </w:p>
          <w:p w14:paraId="385EEF32" w14:textId="77777777" w:rsidR="002831ED" w:rsidRPr="009F6D1E" w:rsidRDefault="002831ED" w:rsidP="0084747F">
            <w:pPr>
              <w:widowControl w:val="0"/>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 регионален</w:t>
            </w:r>
          </w:p>
          <w:p w14:paraId="2D0B1A72" w14:textId="77777777" w:rsidR="002831ED" w:rsidRPr="009F6D1E" w:rsidRDefault="002831ED" w:rsidP="0084747F">
            <w:pPr>
              <w:widowControl w:val="0"/>
              <w:spacing w:after="60" w:line="264" w:lineRule="auto"/>
              <w:jc w:val="both"/>
              <w:rPr>
                <w:rFonts w:eastAsia="Tahoma" w:cs="Times New Roman"/>
                <w:sz w:val="18"/>
                <w:szCs w:val="18"/>
                <w:lang w:eastAsia="zh-CN"/>
              </w:rPr>
            </w:pPr>
          </w:p>
        </w:tc>
      </w:tr>
      <w:tr w:rsidR="002831ED" w:rsidRPr="009F6D1E" w14:paraId="07762936" w14:textId="77777777" w:rsidTr="00AB2292">
        <w:trPr>
          <w:trHeight w:val="318"/>
        </w:trPr>
        <w:tc>
          <w:tcPr>
            <w:tcW w:w="1691" w:type="dxa"/>
            <w:shd w:val="clear" w:color="auto" w:fill="auto"/>
          </w:tcPr>
          <w:p w14:paraId="5A4EA3D2"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 xml:space="preserve">Ландшафт </w:t>
            </w:r>
          </w:p>
        </w:tc>
        <w:tc>
          <w:tcPr>
            <w:tcW w:w="4397" w:type="dxa"/>
          </w:tcPr>
          <w:p w14:paraId="15EF9DD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въздействия върху ландшафтите</w:t>
            </w:r>
          </w:p>
        </w:tc>
        <w:tc>
          <w:tcPr>
            <w:tcW w:w="3604" w:type="dxa"/>
            <w:shd w:val="clear" w:color="auto" w:fill="auto"/>
          </w:tcPr>
          <w:p w14:paraId="2485E4F8"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Очакват са отрицателни въздействия, които се изразяват в унищожаване/нарушаване на съществуващите ландшафти и допълнително </w:t>
            </w:r>
            <w:proofErr w:type="spellStart"/>
            <w:r w:rsidRPr="009F6D1E">
              <w:rPr>
                <w:rFonts w:eastAsia="Tahoma" w:cs="Times New Roman"/>
                <w:sz w:val="18"/>
                <w:szCs w:val="18"/>
                <w:lang w:eastAsia="zh-CN"/>
              </w:rPr>
              <w:t>антропогенизиране</w:t>
            </w:r>
            <w:proofErr w:type="spellEnd"/>
            <w:r w:rsidRPr="009F6D1E">
              <w:rPr>
                <w:rFonts w:eastAsia="Tahoma" w:cs="Times New Roman"/>
                <w:sz w:val="18"/>
                <w:szCs w:val="18"/>
                <w:lang w:eastAsia="zh-CN"/>
              </w:rPr>
              <w:t xml:space="preserve"> на средата в резултат от изграждането на преработвателни съоръжения и инфраструктура. Въздействията са локални по обхват, постоянни с ниска и средна степен. </w:t>
            </w:r>
          </w:p>
        </w:tc>
        <w:tc>
          <w:tcPr>
            <w:tcW w:w="4586" w:type="dxa"/>
            <w:shd w:val="clear" w:color="auto" w:fill="auto"/>
          </w:tcPr>
          <w:p w14:paraId="3FADBE9B"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въздействия върху ландшафтите</w:t>
            </w:r>
          </w:p>
        </w:tc>
      </w:tr>
      <w:tr w:rsidR="002831ED" w:rsidRPr="009F6D1E" w14:paraId="45049A61" w14:textId="77777777" w:rsidTr="00AB2292">
        <w:trPr>
          <w:trHeight w:val="318"/>
        </w:trPr>
        <w:tc>
          <w:tcPr>
            <w:tcW w:w="1691" w:type="dxa"/>
            <w:shd w:val="clear" w:color="auto" w:fill="auto"/>
          </w:tcPr>
          <w:p w14:paraId="5B17BB7B"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t xml:space="preserve">Материални </w:t>
            </w:r>
            <w:r w:rsidRPr="009F6D1E">
              <w:rPr>
                <w:rFonts w:cs="Times New Roman"/>
                <w:b/>
                <w:bCs/>
                <w:sz w:val="18"/>
                <w:szCs w:val="18"/>
              </w:rPr>
              <w:lastRenderedPageBreak/>
              <w:t>активи</w:t>
            </w:r>
          </w:p>
        </w:tc>
        <w:tc>
          <w:tcPr>
            <w:tcW w:w="4397" w:type="dxa"/>
            <w:shd w:val="clear" w:color="auto" w:fill="auto"/>
          </w:tcPr>
          <w:p w14:paraId="388046BC" w14:textId="62670A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В цялост марката ще има косвено и положително </w:t>
            </w:r>
            <w:r w:rsidRPr="009F6D1E">
              <w:rPr>
                <w:rFonts w:eastAsia="Tahoma" w:cs="Times New Roman"/>
                <w:sz w:val="18"/>
                <w:szCs w:val="18"/>
                <w:lang w:eastAsia="zh-CN"/>
              </w:rPr>
              <w:lastRenderedPageBreak/>
              <w:t>въздействие върху материалните активи чрез Гарантиране на по-добри условия за устойчиво развитие на сектор пчеларство и повишаване на доходите на стопанствата, повишаване на тяхната устойчивост и конкурент</w:t>
            </w:r>
            <w:r w:rsidR="00371700">
              <w:rPr>
                <w:rFonts w:eastAsia="Tahoma" w:cs="Times New Roman"/>
                <w:sz w:val="18"/>
                <w:szCs w:val="18"/>
                <w:lang w:eastAsia="zh-CN"/>
              </w:rPr>
              <w:t>осп</w:t>
            </w:r>
            <w:r w:rsidRPr="009F6D1E">
              <w:rPr>
                <w:rFonts w:eastAsia="Tahoma" w:cs="Times New Roman"/>
                <w:sz w:val="18"/>
                <w:szCs w:val="18"/>
                <w:lang w:eastAsia="zh-CN"/>
              </w:rPr>
              <w:t>особност чрез модернизация на стопанствата, използване на цифровизацията, както и по-широкото прилагане на подвижното пчеларство. Възможността за пчеларите за закупуване на пчеларски инвентар, необходим при първичния добив на пчелен мед и други пчелни продукти, като част от подобряване на общите условия за производство в сектора, ще окаже пряко и положително въздействие върху материалните активи.</w:t>
            </w:r>
          </w:p>
        </w:tc>
        <w:tc>
          <w:tcPr>
            <w:tcW w:w="3604" w:type="dxa"/>
          </w:tcPr>
          <w:p w14:paraId="2C26671A" w14:textId="563F0555"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Като цяло мярката ще доведе до </w:t>
            </w:r>
            <w:r w:rsidRPr="009F6D1E">
              <w:rPr>
                <w:rFonts w:eastAsia="Tahoma" w:cs="Times New Roman"/>
                <w:sz w:val="18"/>
                <w:szCs w:val="18"/>
                <w:lang w:eastAsia="zh-CN"/>
              </w:rPr>
              <w:lastRenderedPageBreak/>
              <w:t>положително и директно въздействие върху материалните активи, дължащо се на директни материални инвестиции в лозарския сектор с цел повишаване на конкурент</w:t>
            </w:r>
            <w:r w:rsidR="00371700">
              <w:rPr>
                <w:rFonts w:eastAsia="Tahoma" w:cs="Times New Roman"/>
                <w:sz w:val="18"/>
                <w:szCs w:val="18"/>
                <w:lang w:eastAsia="zh-CN"/>
              </w:rPr>
              <w:t>осп</w:t>
            </w:r>
            <w:r w:rsidRPr="009F6D1E">
              <w:rPr>
                <w:rFonts w:eastAsia="Tahoma" w:cs="Times New Roman"/>
                <w:sz w:val="18"/>
                <w:szCs w:val="18"/>
                <w:lang w:eastAsia="zh-CN"/>
              </w:rPr>
              <w:t xml:space="preserve">особността на производителите и преработвателите в </w:t>
            </w:r>
            <w:proofErr w:type="spellStart"/>
            <w:r w:rsidRPr="009F6D1E">
              <w:rPr>
                <w:rFonts w:eastAsia="Tahoma" w:cs="Times New Roman"/>
                <w:sz w:val="18"/>
                <w:szCs w:val="18"/>
                <w:lang w:eastAsia="zh-CN"/>
              </w:rPr>
              <w:t>лозаро</w:t>
            </w:r>
            <w:proofErr w:type="spellEnd"/>
            <w:r w:rsidRPr="009F6D1E">
              <w:rPr>
                <w:rFonts w:eastAsia="Tahoma" w:cs="Times New Roman"/>
                <w:sz w:val="18"/>
                <w:szCs w:val="18"/>
                <w:lang w:eastAsia="zh-CN"/>
              </w:rPr>
              <w:t>-винарския сектор, модернизация на стопанствата и предприятията за производство на вино; стимулиране на експортната ориентация и подобряване на структурата в сектора.</w:t>
            </w:r>
          </w:p>
        </w:tc>
        <w:tc>
          <w:tcPr>
            <w:tcW w:w="4586" w:type="dxa"/>
          </w:tcPr>
          <w:p w14:paraId="584E0AE3"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Индиректно положително въздействие върху </w:t>
            </w:r>
            <w:r w:rsidRPr="009F6D1E">
              <w:rPr>
                <w:rFonts w:eastAsia="Tahoma" w:cs="Times New Roman"/>
                <w:sz w:val="18"/>
                <w:szCs w:val="18"/>
                <w:lang w:eastAsia="zh-CN"/>
              </w:rPr>
              <w:lastRenderedPageBreak/>
              <w:t>материалните активи, дължащо се на подобрения достъп до финансиране.</w:t>
            </w:r>
          </w:p>
        </w:tc>
      </w:tr>
      <w:tr w:rsidR="002831ED" w:rsidRPr="009F6D1E" w14:paraId="346CE554" w14:textId="77777777" w:rsidTr="00AB2292">
        <w:trPr>
          <w:trHeight w:val="318"/>
        </w:trPr>
        <w:tc>
          <w:tcPr>
            <w:tcW w:w="1691" w:type="dxa"/>
            <w:shd w:val="clear" w:color="auto" w:fill="auto"/>
          </w:tcPr>
          <w:p w14:paraId="5CA35500" w14:textId="77777777" w:rsidR="002831ED" w:rsidRPr="009F6D1E" w:rsidRDefault="002831ED" w:rsidP="0084747F">
            <w:pPr>
              <w:widowControl w:val="0"/>
              <w:spacing w:after="60" w:line="264" w:lineRule="auto"/>
              <w:jc w:val="both"/>
              <w:rPr>
                <w:rFonts w:cs="Times New Roman"/>
                <w:b/>
                <w:sz w:val="18"/>
                <w:szCs w:val="18"/>
              </w:rPr>
            </w:pPr>
            <w:r w:rsidRPr="009F6D1E">
              <w:rPr>
                <w:rFonts w:cs="Times New Roman"/>
                <w:b/>
                <w:bCs/>
                <w:sz w:val="18"/>
                <w:szCs w:val="18"/>
              </w:rPr>
              <w:lastRenderedPageBreak/>
              <w:t>Културно-историческо наследство</w:t>
            </w:r>
          </w:p>
        </w:tc>
        <w:tc>
          <w:tcPr>
            <w:tcW w:w="4397" w:type="dxa"/>
            <w:shd w:val="clear" w:color="auto" w:fill="auto"/>
          </w:tcPr>
          <w:p w14:paraId="0100D212" w14:textId="77777777" w:rsidR="002831ED" w:rsidRPr="009F6D1E" w:rsidRDefault="002831ED"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1787B3B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p>
        </w:tc>
        <w:tc>
          <w:tcPr>
            <w:tcW w:w="3604" w:type="dxa"/>
          </w:tcPr>
          <w:p w14:paraId="4C0534CA"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Насърчаването на туризма би имало благоприятно устойчиво въздействие по отношение на популяризирането и опазването на културно-историческото наследство.</w:t>
            </w:r>
          </w:p>
        </w:tc>
        <w:tc>
          <w:tcPr>
            <w:tcW w:w="4586" w:type="dxa"/>
          </w:tcPr>
          <w:p w14:paraId="7EC70428" w14:textId="77777777" w:rsidR="002831ED" w:rsidRPr="009F6D1E" w:rsidRDefault="002831ED"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33F761BA"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p>
        </w:tc>
      </w:tr>
      <w:tr w:rsidR="002831ED" w:rsidRPr="009F6D1E" w14:paraId="147B998C" w14:textId="77777777" w:rsidTr="00AB2292">
        <w:trPr>
          <w:trHeight w:val="318"/>
        </w:trPr>
        <w:tc>
          <w:tcPr>
            <w:tcW w:w="1691" w:type="dxa"/>
            <w:shd w:val="clear" w:color="auto" w:fill="auto"/>
          </w:tcPr>
          <w:p w14:paraId="50A6894D"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397" w:type="dxa"/>
            <w:shd w:val="clear" w:color="auto" w:fill="auto"/>
          </w:tcPr>
          <w:p w14:paraId="1FEE3B3F"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04" w:type="dxa"/>
          </w:tcPr>
          <w:p w14:paraId="1163A56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По подобие на очакваните въздействия по отношение климат и атмосферен въздух.</w:t>
            </w:r>
          </w:p>
        </w:tc>
        <w:tc>
          <w:tcPr>
            <w:tcW w:w="4586" w:type="dxa"/>
          </w:tcPr>
          <w:p w14:paraId="36CDE94A"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3ED9A160" w14:textId="77777777" w:rsidTr="00AB2292">
        <w:trPr>
          <w:trHeight w:val="318"/>
        </w:trPr>
        <w:tc>
          <w:tcPr>
            <w:tcW w:w="1691" w:type="dxa"/>
            <w:shd w:val="clear" w:color="auto" w:fill="auto"/>
          </w:tcPr>
          <w:p w14:paraId="64BE4548"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 xml:space="preserve">Отпадъци </w:t>
            </w:r>
          </w:p>
        </w:tc>
        <w:tc>
          <w:tcPr>
            <w:tcW w:w="4397" w:type="dxa"/>
            <w:shd w:val="clear" w:color="auto" w:fill="auto"/>
          </w:tcPr>
          <w:p w14:paraId="7274C88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04" w:type="dxa"/>
          </w:tcPr>
          <w:p w14:paraId="053EAA8F"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Чрез инвестиции в </w:t>
            </w:r>
            <w:proofErr w:type="spellStart"/>
            <w:r w:rsidRPr="009F6D1E">
              <w:rPr>
                <w:rFonts w:eastAsia="Tahoma" w:cs="Times New Roman"/>
                <w:sz w:val="18"/>
                <w:szCs w:val="18"/>
                <w:lang w:eastAsia="zh-CN"/>
              </w:rPr>
              <w:t>лозаро</w:t>
            </w:r>
            <w:proofErr w:type="spellEnd"/>
            <w:r w:rsidRPr="009F6D1E">
              <w:rPr>
                <w:rFonts w:eastAsia="Tahoma" w:cs="Times New Roman"/>
                <w:sz w:val="18"/>
                <w:szCs w:val="18"/>
                <w:lang w:eastAsia="zh-CN"/>
              </w:rPr>
              <w:t>-винарския сектор и инвестиции в екологични съоръжения ще се доведе до намаляване на видовете и количествата образувани отпадъци, което ще има косвено и положително въздействие върху компонентите на околната среда.</w:t>
            </w:r>
          </w:p>
        </w:tc>
        <w:tc>
          <w:tcPr>
            <w:tcW w:w="4586" w:type="dxa"/>
          </w:tcPr>
          <w:p w14:paraId="5021E1A0"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0199CA56" w14:textId="77777777" w:rsidTr="00AB2292">
        <w:trPr>
          <w:trHeight w:val="318"/>
        </w:trPr>
        <w:tc>
          <w:tcPr>
            <w:tcW w:w="1691" w:type="dxa"/>
            <w:shd w:val="clear" w:color="auto" w:fill="auto"/>
          </w:tcPr>
          <w:p w14:paraId="3E10A915"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Опасни химични вещества и риск от големи аварии</w:t>
            </w:r>
          </w:p>
        </w:tc>
        <w:tc>
          <w:tcPr>
            <w:tcW w:w="4397" w:type="dxa"/>
            <w:shd w:val="clear" w:color="auto" w:fill="auto"/>
          </w:tcPr>
          <w:p w14:paraId="20334FDD"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04" w:type="dxa"/>
          </w:tcPr>
          <w:p w14:paraId="6B8BA4D4"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586" w:type="dxa"/>
          </w:tcPr>
          <w:p w14:paraId="673F4728"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2831ED" w:rsidRPr="009F6D1E" w14:paraId="155B1409" w14:textId="77777777" w:rsidTr="00AB2292">
        <w:trPr>
          <w:trHeight w:val="318"/>
        </w:trPr>
        <w:tc>
          <w:tcPr>
            <w:tcW w:w="1691" w:type="dxa"/>
            <w:shd w:val="clear" w:color="auto" w:fill="auto"/>
          </w:tcPr>
          <w:p w14:paraId="03F401F0"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 xml:space="preserve">Население </w:t>
            </w:r>
          </w:p>
          <w:p w14:paraId="42FB0C9C"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Човешко здраве</w:t>
            </w:r>
          </w:p>
          <w:p w14:paraId="341F9964" w14:textId="77777777" w:rsidR="002831ED" w:rsidRPr="009F6D1E" w:rsidRDefault="002831ED" w:rsidP="0084747F">
            <w:pPr>
              <w:widowControl w:val="0"/>
              <w:spacing w:after="60" w:line="264" w:lineRule="auto"/>
              <w:jc w:val="both"/>
              <w:rPr>
                <w:rFonts w:cs="Times New Roman"/>
                <w:b/>
                <w:bCs/>
                <w:sz w:val="18"/>
                <w:szCs w:val="18"/>
              </w:rPr>
            </w:pPr>
            <w:r w:rsidRPr="009F6D1E">
              <w:rPr>
                <w:rFonts w:cs="Times New Roman"/>
                <w:b/>
                <w:bCs/>
                <w:sz w:val="18"/>
                <w:szCs w:val="18"/>
              </w:rPr>
              <w:t xml:space="preserve">Риск от </w:t>
            </w:r>
            <w:r w:rsidRPr="009F6D1E">
              <w:rPr>
                <w:rFonts w:cs="Times New Roman"/>
                <w:b/>
                <w:bCs/>
                <w:sz w:val="18"/>
                <w:szCs w:val="18"/>
              </w:rPr>
              <w:lastRenderedPageBreak/>
              <w:t>инциденти</w:t>
            </w:r>
          </w:p>
        </w:tc>
        <w:tc>
          <w:tcPr>
            <w:tcW w:w="4397" w:type="dxa"/>
            <w:shd w:val="clear" w:color="auto" w:fill="auto"/>
          </w:tcPr>
          <w:p w14:paraId="3B4C6E51"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В цялост мярката ще окаже пряко и положително въздействие върху социално-икономическите условия на средата, като ще доведе до създаване на по-</w:t>
            </w:r>
            <w:r w:rsidRPr="009F6D1E">
              <w:rPr>
                <w:rFonts w:eastAsia="Tahoma" w:cs="Times New Roman"/>
                <w:sz w:val="18"/>
                <w:szCs w:val="18"/>
                <w:lang w:eastAsia="zh-CN"/>
              </w:rPr>
              <w:lastRenderedPageBreak/>
              <w:t>благоприятни условия на живот и положително въздействие върху здравето на населението в районите, възползващи се от финансиране по мярката.</w:t>
            </w:r>
          </w:p>
        </w:tc>
        <w:tc>
          <w:tcPr>
            <w:tcW w:w="3604" w:type="dxa"/>
          </w:tcPr>
          <w:p w14:paraId="7E30DCDC"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В цялост мярката ще окаже пряко и положително въздействие върху социално-икономическите условия на средата, като </w:t>
            </w:r>
            <w:r w:rsidRPr="009F6D1E">
              <w:rPr>
                <w:rFonts w:eastAsia="Tahoma" w:cs="Times New Roman"/>
                <w:sz w:val="18"/>
                <w:szCs w:val="18"/>
                <w:lang w:eastAsia="zh-CN"/>
              </w:rPr>
              <w:lastRenderedPageBreak/>
              <w:t>ще доведе до създаване на по-благоприятни условия на живот и положително въздействие върху здравето на населението в районите, възползващи се от финансиране по мярката.</w:t>
            </w:r>
          </w:p>
        </w:tc>
        <w:tc>
          <w:tcPr>
            <w:tcW w:w="4586" w:type="dxa"/>
          </w:tcPr>
          <w:p w14:paraId="3395D00B" w14:textId="77777777" w:rsidR="002831ED" w:rsidRPr="009F6D1E" w:rsidRDefault="002831ED" w:rsidP="0084747F">
            <w:pPr>
              <w:widowControl w:val="0"/>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 xml:space="preserve">В цялост мярката ще окаже пряко и положително въздействие върху социално-икономическите условия на средата, като ще доведе до създаване на по-благоприятни </w:t>
            </w:r>
            <w:r w:rsidRPr="009F6D1E">
              <w:rPr>
                <w:rFonts w:eastAsia="Tahoma" w:cs="Times New Roman"/>
                <w:sz w:val="18"/>
                <w:szCs w:val="18"/>
                <w:lang w:eastAsia="zh-CN"/>
              </w:rPr>
              <w:lastRenderedPageBreak/>
              <w:t>условия на живот и положително въздействие върху здравето на населението в районите, възползващи се от финансиране по мярката.</w:t>
            </w:r>
          </w:p>
        </w:tc>
      </w:tr>
    </w:tbl>
    <w:p w14:paraId="621C4F2C" w14:textId="77777777" w:rsidR="007F76AE" w:rsidRPr="009F6D1E" w:rsidRDefault="007F76AE">
      <w:pPr>
        <w:pStyle w:val="Heading3"/>
        <w:numPr>
          <w:ilvl w:val="2"/>
          <w:numId w:val="68"/>
        </w:numPr>
        <w:shd w:val="clear" w:color="auto" w:fill="E2EFD9" w:themeFill="accent6" w:themeFillTint="33"/>
        <w:tabs>
          <w:tab w:val="clear" w:pos="1701"/>
        </w:tabs>
        <w:spacing w:before="0" w:after="60" w:line="264" w:lineRule="auto"/>
        <w:rPr>
          <w:smallCaps w:val="0"/>
          <w:lang w:bidi="ar-SA"/>
        </w:rPr>
      </w:pPr>
      <w:bookmarkStart w:id="596" w:name="_Toc115255038"/>
      <w:bookmarkStart w:id="597" w:name="_Hlk96694260"/>
      <w:bookmarkEnd w:id="593"/>
      <w:r w:rsidRPr="009F6D1E">
        <w:rPr>
          <w:smallCaps w:val="0"/>
          <w:lang w:bidi="ar-SA"/>
        </w:rPr>
        <w:lastRenderedPageBreak/>
        <w:t>Потребности/Интервенции, обект на подкрепа по Специфична цел №3</w:t>
      </w:r>
      <w:bookmarkEnd w:id="596"/>
    </w:p>
    <w:bookmarkEnd w:id="597"/>
    <w:p w14:paraId="731623C6" w14:textId="77777777" w:rsidR="00FF374F" w:rsidRPr="009F6D1E" w:rsidRDefault="00FF374F"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114"/>
        <w:gridCol w:w="3968"/>
        <w:gridCol w:w="4109"/>
      </w:tblGrid>
      <w:tr w:rsidR="00F36E29" w:rsidRPr="009F6D1E" w14:paraId="3E1B741A" w14:textId="77777777" w:rsidTr="00AB2292">
        <w:trPr>
          <w:tblHeader/>
        </w:trPr>
        <w:tc>
          <w:tcPr>
            <w:tcW w:w="1838" w:type="dxa"/>
            <w:vMerge w:val="restart"/>
            <w:shd w:val="clear" w:color="auto" w:fill="D9D9D9" w:themeFill="background1" w:themeFillShade="D9"/>
            <w:textDirection w:val="btLr"/>
            <w:vAlign w:val="center"/>
          </w:tcPr>
          <w:p w14:paraId="33674623" w14:textId="77777777" w:rsidR="00F36E29" w:rsidRPr="009F6D1E" w:rsidRDefault="00F36E29" w:rsidP="0084747F">
            <w:pPr>
              <w:spacing w:after="60" w:line="264" w:lineRule="auto"/>
              <w:ind w:left="113" w:right="113"/>
              <w:jc w:val="center"/>
              <w:rPr>
                <w:rFonts w:cs="Times New Roman"/>
                <w:b/>
                <w:bCs/>
                <w:i/>
                <w:sz w:val="20"/>
                <w:szCs w:val="20"/>
              </w:rPr>
            </w:pPr>
            <w:bookmarkStart w:id="598" w:name="_Hlk96694046"/>
            <w:r w:rsidRPr="009F6D1E">
              <w:rPr>
                <w:rFonts w:cs="Times New Roman"/>
                <w:b/>
                <w:bCs/>
                <w:sz w:val="20"/>
                <w:szCs w:val="20"/>
              </w:rPr>
              <w:t>КОМПОНЕНТ/ ФАКТОР НА ОКОЛНАТА СРЕДА</w:t>
            </w:r>
          </w:p>
        </w:tc>
        <w:tc>
          <w:tcPr>
            <w:tcW w:w="4114" w:type="dxa"/>
            <w:shd w:val="clear" w:color="auto" w:fill="D9D9D9" w:themeFill="background1" w:themeFillShade="D9"/>
            <w:vAlign w:val="center"/>
          </w:tcPr>
          <w:p w14:paraId="1BFA7313"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П.3.1.Повишаване на нивото на организираност на земеделските производители</w:t>
            </w:r>
          </w:p>
          <w:p w14:paraId="721D68E1"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6D4D7CCB" w14:textId="77777777" w:rsidR="00F36E29" w:rsidRPr="009F6D1E" w:rsidRDefault="00F36E29"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Оперативни програми в сектори "Плодове и зеленчуци", „Мляко и млечни продукти“, „Месо“ и „Зърнени култури“.</w:t>
            </w:r>
          </w:p>
          <w:p w14:paraId="50B957BB"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Подкрепа на организации на производители или групи от производители</w:t>
            </w:r>
          </w:p>
          <w:p w14:paraId="71676EA2"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Сътрудничество за къси вериги на доставки и местни пазари</w:t>
            </w:r>
          </w:p>
        </w:tc>
        <w:tc>
          <w:tcPr>
            <w:tcW w:w="3968" w:type="dxa"/>
            <w:shd w:val="clear" w:color="auto" w:fill="D9D9D9" w:themeFill="background1" w:themeFillShade="D9"/>
          </w:tcPr>
          <w:p w14:paraId="280C248E" w14:textId="77777777" w:rsidR="00F36E29" w:rsidRPr="009F6D1E" w:rsidRDefault="00F36E29" w:rsidP="0084747F">
            <w:pPr>
              <w:widowControl w:val="0"/>
              <w:spacing w:after="60" w:line="264" w:lineRule="auto"/>
              <w:jc w:val="center"/>
              <w:rPr>
                <w:rFonts w:cs="Times New Roman"/>
                <w:b/>
                <w:bCs/>
                <w:i/>
                <w:sz w:val="20"/>
                <w:szCs w:val="20"/>
              </w:rPr>
            </w:pPr>
            <w:r w:rsidRPr="009F6D1E">
              <w:rPr>
                <w:rFonts w:cs="Times New Roman"/>
                <w:b/>
                <w:bCs/>
                <w:i/>
                <w:sz w:val="20"/>
                <w:szCs w:val="20"/>
              </w:rPr>
              <w:t>П.3.2.Подобряване пазарния достъп на малките земеделски стопанства</w:t>
            </w:r>
          </w:p>
          <w:p w14:paraId="74E31E0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804909E" w14:textId="77777777" w:rsidR="00F36E29" w:rsidRPr="009F6D1E" w:rsidRDefault="00F36E29"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Оперативни програми в сектори "Плодове и зеленчуци" и „Мляко и млечни продукти“</w:t>
            </w:r>
          </w:p>
          <w:p w14:paraId="722CEAB7"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Подпомагане на много малки земеделски стопанства</w:t>
            </w:r>
          </w:p>
          <w:p w14:paraId="40356F3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Подкрепа на организации на производители или групи от производители</w:t>
            </w:r>
          </w:p>
        </w:tc>
        <w:tc>
          <w:tcPr>
            <w:tcW w:w="4109" w:type="dxa"/>
            <w:shd w:val="clear" w:color="auto" w:fill="D9D9D9" w:themeFill="background1" w:themeFillShade="D9"/>
          </w:tcPr>
          <w:p w14:paraId="5CF8207D"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П.3.3. Допълване и подобряване на регулацията за директните продажби</w:t>
            </w:r>
          </w:p>
          <w:p w14:paraId="36034C41"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37912238"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проект на Наредба за изискванията за директни доставки от производителя на малки количества първични продукти и храни от животински произход</w:t>
            </w:r>
          </w:p>
          <w:p w14:paraId="55DA988E" w14:textId="77777777" w:rsidR="00F36E29" w:rsidRPr="009F6D1E" w:rsidRDefault="00F36E29" w:rsidP="0084747F">
            <w:pPr>
              <w:spacing w:after="60" w:line="264" w:lineRule="auto"/>
              <w:jc w:val="center"/>
              <w:rPr>
                <w:rFonts w:cs="Times New Roman"/>
                <w:b/>
                <w:bCs/>
                <w:i/>
                <w:sz w:val="20"/>
                <w:szCs w:val="20"/>
              </w:rPr>
            </w:pPr>
          </w:p>
        </w:tc>
      </w:tr>
      <w:tr w:rsidR="00F36E29" w:rsidRPr="009F6D1E" w14:paraId="5189AAEA" w14:textId="77777777" w:rsidTr="00AB2292">
        <w:trPr>
          <w:tblHeader/>
        </w:trPr>
        <w:tc>
          <w:tcPr>
            <w:tcW w:w="1838" w:type="dxa"/>
            <w:vMerge/>
            <w:shd w:val="clear" w:color="auto" w:fill="FFF2CC" w:themeFill="accent4" w:themeFillTint="33"/>
          </w:tcPr>
          <w:p w14:paraId="3E41CE3B" w14:textId="77777777" w:rsidR="00F36E29" w:rsidRPr="009F6D1E" w:rsidRDefault="00F36E29"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7D917D87"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52E0159A" w14:textId="77777777" w:rsidTr="00AB2292">
        <w:trPr>
          <w:trHeight w:val="318"/>
        </w:trPr>
        <w:tc>
          <w:tcPr>
            <w:tcW w:w="1838" w:type="dxa"/>
            <w:shd w:val="clear" w:color="auto" w:fill="auto"/>
          </w:tcPr>
          <w:p w14:paraId="296EAB0D" w14:textId="77777777" w:rsidR="00F36E29" w:rsidRPr="009F6D1E" w:rsidRDefault="00F36E29" w:rsidP="0084747F">
            <w:pPr>
              <w:spacing w:after="60" w:line="264" w:lineRule="auto"/>
              <w:jc w:val="both"/>
              <w:rPr>
                <w:rFonts w:cs="Times New Roman"/>
                <w:b/>
                <w:bCs/>
                <w:sz w:val="20"/>
                <w:szCs w:val="20"/>
              </w:rPr>
            </w:pPr>
            <w:bookmarkStart w:id="599" w:name="_Hlk105175399"/>
            <w:r w:rsidRPr="009F6D1E">
              <w:rPr>
                <w:rFonts w:cs="Times New Roman"/>
                <w:b/>
                <w:bCs/>
                <w:sz w:val="20"/>
                <w:szCs w:val="20"/>
              </w:rPr>
              <w:t>Климат,</w:t>
            </w:r>
          </w:p>
          <w:p w14:paraId="15A4D59C"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6FA38AE0"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114" w:type="dxa"/>
            <w:shd w:val="clear" w:color="auto" w:fill="auto"/>
          </w:tcPr>
          <w:p w14:paraId="70139EF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3BC68A0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4AA9103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33B45A20" w14:textId="77777777" w:rsidTr="00AB2292">
        <w:trPr>
          <w:trHeight w:val="318"/>
        </w:trPr>
        <w:tc>
          <w:tcPr>
            <w:tcW w:w="1838" w:type="dxa"/>
            <w:shd w:val="clear" w:color="auto" w:fill="auto"/>
          </w:tcPr>
          <w:p w14:paraId="79A985F1" w14:textId="77777777" w:rsidR="00F36E29" w:rsidRPr="009F6D1E" w:rsidRDefault="00F36E29" w:rsidP="0084747F">
            <w:pPr>
              <w:spacing w:after="60" w:line="264" w:lineRule="auto"/>
              <w:jc w:val="both"/>
              <w:rPr>
                <w:rFonts w:cs="Times New Roman"/>
                <w:b/>
                <w:sz w:val="20"/>
                <w:szCs w:val="20"/>
              </w:rPr>
            </w:pPr>
            <w:bookmarkStart w:id="600" w:name="_Hlk105175413"/>
            <w:bookmarkEnd w:id="599"/>
            <w:r w:rsidRPr="009F6D1E">
              <w:rPr>
                <w:rFonts w:cs="Times New Roman"/>
                <w:b/>
                <w:bCs/>
                <w:sz w:val="20"/>
                <w:szCs w:val="20"/>
              </w:rPr>
              <w:t>Качество на атмосферния въздух</w:t>
            </w:r>
          </w:p>
        </w:tc>
        <w:tc>
          <w:tcPr>
            <w:tcW w:w="4114" w:type="dxa"/>
            <w:shd w:val="clear" w:color="auto" w:fill="auto"/>
          </w:tcPr>
          <w:p w14:paraId="778455F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2AE23E9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448815A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bookmarkEnd w:id="600"/>
      <w:tr w:rsidR="00F36E29" w:rsidRPr="009F6D1E" w14:paraId="531ED813" w14:textId="77777777" w:rsidTr="00AB2292">
        <w:trPr>
          <w:trHeight w:val="318"/>
        </w:trPr>
        <w:tc>
          <w:tcPr>
            <w:tcW w:w="1838" w:type="dxa"/>
            <w:shd w:val="clear" w:color="auto" w:fill="auto"/>
          </w:tcPr>
          <w:p w14:paraId="28F2540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738E07D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2AD00D5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Зони за защита на водите</w:t>
            </w:r>
          </w:p>
          <w:p w14:paraId="0A9C7FAD"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114" w:type="dxa"/>
            <w:shd w:val="clear" w:color="auto" w:fill="auto"/>
          </w:tcPr>
          <w:p w14:paraId="30DAC4C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въздействие.</w:t>
            </w:r>
          </w:p>
        </w:tc>
        <w:tc>
          <w:tcPr>
            <w:tcW w:w="3968" w:type="dxa"/>
          </w:tcPr>
          <w:p w14:paraId="53BAB65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09" w:type="dxa"/>
          </w:tcPr>
          <w:p w14:paraId="3CF30BF7"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002DB1DD" w14:textId="77777777" w:rsidTr="00AB2292">
        <w:trPr>
          <w:trHeight w:val="318"/>
        </w:trPr>
        <w:tc>
          <w:tcPr>
            <w:tcW w:w="1838" w:type="dxa"/>
            <w:shd w:val="clear" w:color="auto" w:fill="auto"/>
          </w:tcPr>
          <w:p w14:paraId="6154267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Земни недра</w:t>
            </w:r>
          </w:p>
        </w:tc>
        <w:tc>
          <w:tcPr>
            <w:tcW w:w="4114" w:type="dxa"/>
            <w:shd w:val="clear" w:color="auto" w:fill="auto"/>
          </w:tcPr>
          <w:p w14:paraId="7454B41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8" w:type="dxa"/>
          </w:tcPr>
          <w:p w14:paraId="708CCE48"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09" w:type="dxa"/>
          </w:tcPr>
          <w:p w14:paraId="64D2A5C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1CB992B5" w14:textId="77777777" w:rsidTr="00AB2292">
        <w:trPr>
          <w:trHeight w:val="318"/>
        </w:trPr>
        <w:tc>
          <w:tcPr>
            <w:tcW w:w="1838" w:type="dxa"/>
            <w:shd w:val="clear" w:color="auto" w:fill="auto"/>
          </w:tcPr>
          <w:p w14:paraId="740D091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332335E4"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114" w:type="dxa"/>
            <w:shd w:val="clear" w:color="auto" w:fill="auto"/>
          </w:tcPr>
          <w:p w14:paraId="68D72F0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223469D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4FCD942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10052F1F" w14:textId="77777777" w:rsidTr="00AB2292">
        <w:trPr>
          <w:trHeight w:val="1131"/>
        </w:trPr>
        <w:tc>
          <w:tcPr>
            <w:tcW w:w="1838" w:type="dxa"/>
            <w:shd w:val="clear" w:color="auto" w:fill="auto"/>
          </w:tcPr>
          <w:p w14:paraId="163DEADF"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60681A91"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14D0174D" w14:textId="77777777" w:rsidR="00F36E29" w:rsidRPr="009F6D1E" w:rsidRDefault="00F36E29" w:rsidP="0084747F">
            <w:pPr>
              <w:spacing w:after="60" w:line="264" w:lineRule="auto"/>
              <w:jc w:val="both"/>
              <w:rPr>
                <w:rFonts w:cs="Times New Roman"/>
                <w:b/>
                <w:bCs/>
                <w:sz w:val="20"/>
                <w:szCs w:val="20"/>
                <w:highlight w:val="yellow"/>
              </w:rPr>
            </w:pPr>
            <w:r w:rsidRPr="009F6D1E">
              <w:rPr>
                <w:rFonts w:cs="Times New Roman"/>
                <w:b/>
                <w:bCs/>
                <w:sz w:val="20"/>
                <w:szCs w:val="20"/>
              </w:rPr>
              <w:t>ЗТ</w:t>
            </w:r>
          </w:p>
        </w:tc>
        <w:tc>
          <w:tcPr>
            <w:tcW w:w="4114" w:type="dxa"/>
            <w:shd w:val="clear" w:color="auto" w:fill="auto"/>
          </w:tcPr>
          <w:p w14:paraId="0E1AAAA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8" w:type="dxa"/>
          </w:tcPr>
          <w:p w14:paraId="3011C60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09" w:type="dxa"/>
          </w:tcPr>
          <w:p w14:paraId="34E6A99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4A8ECD9F" w14:textId="77777777" w:rsidTr="00AB2292">
        <w:trPr>
          <w:trHeight w:val="318"/>
        </w:trPr>
        <w:tc>
          <w:tcPr>
            <w:tcW w:w="1838" w:type="dxa"/>
            <w:shd w:val="clear" w:color="auto" w:fill="auto"/>
          </w:tcPr>
          <w:p w14:paraId="31ED7840"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Ландшафт </w:t>
            </w:r>
          </w:p>
        </w:tc>
        <w:tc>
          <w:tcPr>
            <w:tcW w:w="4114" w:type="dxa"/>
            <w:shd w:val="clear" w:color="auto" w:fill="auto"/>
          </w:tcPr>
          <w:p w14:paraId="7E2B0DB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54BAC10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1B8B502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6F458B5A" w14:textId="77777777" w:rsidTr="00AB2292">
        <w:trPr>
          <w:trHeight w:val="318"/>
        </w:trPr>
        <w:tc>
          <w:tcPr>
            <w:tcW w:w="1838" w:type="dxa"/>
            <w:shd w:val="clear" w:color="auto" w:fill="auto"/>
          </w:tcPr>
          <w:p w14:paraId="6373245A" w14:textId="77777777" w:rsidR="00F36E29" w:rsidRPr="009F6D1E" w:rsidRDefault="00F36E29" w:rsidP="0084747F">
            <w:pPr>
              <w:spacing w:after="60" w:line="264" w:lineRule="auto"/>
              <w:jc w:val="both"/>
              <w:rPr>
                <w:rFonts w:cs="Times New Roman"/>
                <w:b/>
                <w:sz w:val="20"/>
                <w:szCs w:val="20"/>
              </w:rPr>
            </w:pPr>
            <w:bookmarkStart w:id="601" w:name="_Hlk105175435"/>
            <w:r w:rsidRPr="009F6D1E">
              <w:rPr>
                <w:rFonts w:cs="Times New Roman"/>
                <w:b/>
                <w:bCs/>
                <w:sz w:val="20"/>
                <w:szCs w:val="20"/>
              </w:rPr>
              <w:t>Материални активи</w:t>
            </w:r>
          </w:p>
        </w:tc>
        <w:tc>
          <w:tcPr>
            <w:tcW w:w="4114" w:type="dxa"/>
            <w:shd w:val="clear" w:color="auto" w:fill="auto"/>
          </w:tcPr>
          <w:p w14:paraId="5346777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8" w:type="dxa"/>
          </w:tcPr>
          <w:p w14:paraId="5163251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09" w:type="dxa"/>
          </w:tcPr>
          <w:p w14:paraId="6391E68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bookmarkEnd w:id="601"/>
      <w:tr w:rsidR="00F36E29" w:rsidRPr="009F6D1E" w14:paraId="4E9FA79C" w14:textId="77777777" w:rsidTr="00AB2292">
        <w:trPr>
          <w:trHeight w:val="318"/>
        </w:trPr>
        <w:tc>
          <w:tcPr>
            <w:tcW w:w="1838" w:type="dxa"/>
            <w:shd w:val="clear" w:color="auto" w:fill="auto"/>
          </w:tcPr>
          <w:p w14:paraId="59FFF261"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Културно-историческо наследство</w:t>
            </w:r>
          </w:p>
        </w:tc>
        <w:tc>
          <w:tcPr>
            <w:tcW w:w="4114" w:type="dxa"/>
            <w:shd w:val="clear" w:color="auto" w:fill="auto"/>
          </w:tcPr>
          <w:p w14:paraId="4B0268A7"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Не се очаква въздействие. </w:t>
            </w:r>
          </w:p>
        </w:tc>
        <w:tc>
          <w:tcPr>
            <w:tcW w:w="3968" w:type="dxa"/>
          </w:tcPr>
          <w:p w14:paraId="36759A5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09" w:type="dxa"/>
          </w:tcPr>
          <w:p w14:paraId="58AF0D57"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4904739A" w14:textId="77777777" w:rsidTr="00AB2292">
        <w:trPr>
          <w:trHeight w:val="1610"/>
        </w:trPr>
        <w:tc>
          <w:tcPr>
            <w:tcW w:w="1838" w:type="dxa"/>
            <w:shd w:val="clear" w:color="auto" w:fill="auto"/>
          </w:tcPr>
          <w:p w14:paraId="5DEDDFD1" w14:textId="77777777" w:rsidR="00F36E29" w:rsidRPr="009F6D1E" w:rsidRDefault="00F36E29" w:rsidP="0084747F">
            <w:pPr>
              <w:spacing w:after="60" w:line="264" w:lineRule="auto"/>
              <w:jc w:val="both"/>
              <w:rPr>
                <w:rFonts w:cs="Times New Roman"/>
                <w:b/>
                <w:bCs/>
                <w:sz w:val="20"/>
                <w:szCs w:val="20"/>
              </w:rPr>
            </w:pPr>
            <w:bookmarkStart w:id="602" w:name="_Hlk105175459"/>
            <w:r w:rsidRPr="009F6D1E">
              <w:rPr>
                <w:rFonts w:cs="Times New Roman"/>
                <w:b/>
                <w:bCs/>
                <w:sz w:val="20"/>
                <w:szCs w:val="20"/>
              </w:rPr>
              <w:t>Вредни физични фактори</w:t>
            </w:r>
          </w:p>
        </w:tc>
        <w:tc>
          <w:tcPr>
            <w:tcW w:w="4114" w:type="dxa"/>
            <w:shd w:val="clear" w:color="auto" w:fill="auto"/>
          </w:tcPr>
          <w:p w14:paraId="09B02E1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46E5080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5B723FB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502D7995" w14:textId="77777777" w:rsidTr="00AB2292">
        <w:trPr>
          <w:trHeight w:val="318"/>
        </w:trPr>
        <w:tc>
          <w:tcPr>
            <w:tcW w:w="1838" w:type="dxa"/>
            <w:shd w:val="clear" w:color="auto" w:fill="auto"/>
          </w:tcPr>
          <w:p w14:paraId="4AD3C66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114" w:type="dxa"/>
            <w:shd w:val="clear" w:color="auto" w:fill="auto"/>
          </w:tcPr>
          <w:p w14:paraId="396ED64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8" w:type="dxa"/>
          </w:tcPr>
          <w:p w14:paraId="6C2017F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09" w:type="dxa"/>
          </w:tcPr>
          <w:p w14:paraId="26456B2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28A961BA" w14:textId="77777777" w:rsidTr="00AB2292">
        <w:tc>
          <w:tcPr>
            <w:tcW w:w="1838" w:type="dxa"/>
            <w:shd w:val="clear" w:color="auto" w:fill="auto"/>
          </w:tcPr>
          <w:p w14:paraId="7B9E39F8"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4114" w:type="dxa"/>
            <w:shd w:val="clear" w:color="auto" w:fill="auto"/>
          </w:tcPr>
          <w:p w14:paraId="0022CE11"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968" w:type="dxa"/>
          </w:tcPr>
          <w:p w14:paraId="5248161A"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109" w:type="dxa"/>
          </w:tcPr>
          <w:p w14:paraId="3284B891"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tr w:rsidR="00F36E29" w:rsidRPr="009F6D1E" w14:paraId="25874B20" w14:textId="77777777" w:rsidTr="00AB2292">
        <w:tc>
          <w:tcPr>
            <w:tcW w:w="1838" w:type="dxa"/>
            <w:shd w:val="clear" w:color="auto" w:fill="auto"/>
          </w:tcPr>
          <w:p w14:paraId="0516E84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5AD8A44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44225CFB"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lastRenderedPageBreak/>
              <w:t>Риск от инциденти</w:t>
            </w:r>
          </w:p>
        </w:tc>
        <w:tc>
          <w:tcPr>
            <w:tcW w:w="4114" w:type="dxa"/>
            <w:shd w:val="clear" w:color="auto" w:fill="auto"/>
          </w:tcPr>
          <w:p w14:paraId="7555DD53"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lastRenderedPageBreak/>
              <w:t xml:space="preserve">Пряко и положително въздействие върху социално-икономическите условия на </w:t>
            </w:r>
            <w:r w:rsidRPr="009F6D1E">
              <w:rPr>
                <w:rFonts w:cs="Times New Roman"/>
                <w:sz w:val="20"/>
                <w:szCs w:val="20"/>
              </w:rPr>
              <w:lastRenderedPageBreak/>
              <w:t>средата, водещо до подобряване на условията на живот и положително въздействие върху здравето на населението. Това ще се дължи най-вече на подобреното предлагане на пазара, водещо до по-висока доходност.</w:t>
            </w:r>
          </w:p>
        </w:tc>
        <w:tc>
          <w:tcPr>
            <w:tcW w:w="3968" w:type="dxa"/>
          </w:tcPr>
          <w:p w14:paraId="7A18B8AD"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lastRenderedPageBreak/>
              <w:t xml:space="preserve">Пряко и положително въздействие върху социално-икономическите условия на </w:t>
            </w:r>
            <w:r w:rsidRPr="009F6D1E">
              <w:rPr>
                <w:rFonts w:cs="Times New Roman"/>
                <w:sz w:val="20"/>
                <w:szCs w:val="20"/>
              </w:rPr>
              <w:lastRenderedPageBreak/>
              <w:t>средата, водещо до подобряване на условията на живот и положително въздействие върху здравето на населението. Това ще се дължи най-вече на подобреното предлагане на пазара, водещо до по-висока доходност.</w:t>
            </w:r>
          </w:p>
        </w:tc>
        <w:tc>
          <w:tcPr>
            <w:tcW w:w="4109" w:type="dxa"/>
          </w:tcPr>
          <w:p w14:paraId="2171CB0C"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lastRenderedPageBreak/>
              <w:t xml:space="preserve">Пряко и положително въздействие върху социално-икономическите условия на </w:t>
            </w:r>
            <w:r w:rsidRPr="009F6D1E">
              <w:rPr>
                <w:rFonts w:cs="Times New Roman"/>
                <w:sz w:val="20"/>
                <w:szCs w:val="20"/>
              </w:rPr>
              <w:lastRenderedPageBreak/>
              <w:t>средата, водещо до подобряване на условията на живот и положително въздействие върху здравето на населението. Това ще се дължи най-вече на подобреното предлагане на пазара, водещо до по-висока доходност.</w:t>
            </w:r>
          </w:p>
        </w:tc>
      </w:tr>
      <w:bookmarkEnd w:id="598"/>
      <w:bookmarkEnd w:id="602"/>
    </w:tbl>
    <w:p w14:paraId="5259D434" w14:textId="77777777" w:rsidR="00F36E29" w:rsidRPr="009F6D1E" w:rsidRDefault="00F36E29" w:rsidP="0084747F">
      <w:pPr>
        <w:spacing w:after="60" w:line="264" w:lineRule="auto"/>
        <w:contextualSpacing/>
        <w:jc w:val="both"/>
        <w:rPr>
          <w:rFonts w:eastAsia="Calibri" w:cs="Times New Roman"/>
          <w:b/>
          <w:bCs/>
          <w:i/>
          <w:iCs/>
          <w:sz w:val="20"/>
          <w:szCs w:val="20"/>
        </w:rPr>
      </w:pPr>
    </w:p>
    <w:p w14:paraId="5B2EB6F7" w14:textId="77777777" w:rsidR="00F36E29" w:rsidRPr="009F6D1E" w:rsidRDefault="00F36E29" w:rsidP="0084747F">
      <w:pPr>
        <w:spacing w:after="60" w:line="264" w:lineRule="auto"/>
        <w:contextualSpacing/>
        <w:jc w:val="both"/>
        <w:rPr>
          <w:rFonts w:eastAsia="Calibri" w:cs="Times New Roman"/>
          <w:b/>
          <w:bCs/>
          <w:i/>
          <w:iCs/>
          <w:sz w:val="20"/>
          <w:szCs w:val="20"/>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104"/>
        <w:gridCol w:w="7"/>
        <w:gridCol w:w="3969"/>
        <w:gridCol w:w="4111"/>
      </w:tblGrid>
      <w:tr w:rsidR="00F36E29" w:rsidRPr="009F6D1E" w14:paraId="76ED3026" w14:textId="77777777" w:rsidTr="00AB2292">
        <w:trPr>
          <w:tblHeader/>
        </w:trPr>
        <w:tc>
          <w:tcPr>
            <w:tcW w:w="1838" w:type="dxa"/>
            <w:vMerge w:val="restart"/>
            <w:shd w:val="clear" w:color="auto" w:fill="D9D9D9" w:themeFill="background1" w:themeFillShade="D9"/>
            <w:textDirection w:val="btLr"/>
            <w:vAlign w:val="center"/>
          </w:tcPr>
          <w:p w14:paraId="2A2E0709" w14:textId="77777777" w:rsidR="00F36E29" w:rsidRPr="009F6D1E" w:rsidRDefault="00F36E29" w:rsidP="0084747F">
            <w:pPr>
              <w:spacing w:after="60" w:line="264" w:lineRule="auto"/>
              <w:ind w:left="113" w:right="113"/>
              <w:jc w:val="center"/>
              <w:rPr>
                <w:rFonts w:cs="Times New Roman"/>
                <w:b/>
                <w:bCs/>
                <w:i/>
                <w:sz w:val="20"/>
                <w:szCs w:val="20"/>
              </w:rPr>
            </w:pPr>
            <w:r w:rsidRPr="009F6D1E">
              <w:rPr>
                <w:rFonts w:cs="Times New Roman"/>
                <w:b/>
                <w:bCs/>
                <w:sz w:val="20"/>
                <w:szCs w:val="20"/>
              </w:rPr>
              <w:lastRenderedPageBreak/>
              <w:t>КОМПОНЕНТ/ ФАКТОР НА ОКОЛНАТА СРЕДА</w:t>
            </w:r>
          </w:p>
        </w:tc>
        <w:tc>
          <w:tcPr>
            <w:tcW w:w="4111" w:type="dxa"/>
            <w:gridSpan w:val="2"/>
            <w:shd w:val="clear" w:color="auto" w:fill="D9D9D9" w:themeFill="background1" w:themeFillShade="D9"/>
            <w:vAlign w:val="center"/>
          </w:tcPr>
          <w:p w14:paraId="42D0ADED"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П.3.4.Разширяване и развитие на мерките и механизмите за борба с нелоялните търговски практики;</w:t>
            </w:r>
          </w:p>
          <w:p w14:paraId="5AAD25C7"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3F8F247A"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Транспониране и прилагане на Директива (ЕС) 2019/633 относно нелоялните търговски практики (НТП) в отношенията между предприятията във веригата за доставки на селскостопански продукти и храни</w:t>
            </w:r>
          </w:p>
        </w:tc>
        <w:tc>
          <w:tcPr>
            <w:tcW w:w="3969" w:type="dxa"/>
            <w:shd w:val="clear" w:color="auto" w:fill="D9D9D9" w:themeFill="background1" w:themeFillShade="D9"/>
          </w:tcPr>
          <w:p w14:paraId="71772659" w14:textId="77777777" w:rsidR="00F36E29" w:rsidRPr="009F6D1E" w:rsidRDefault="00F36E29" w:rsidP="0084747F">
            <w:pPr>
              <w:widowControl w:val="0"/>
              <w:spacing w:after="60" w:line="264" w:lineRule="auto"/>
              <w:jc w:val="center"/>
              <w:rPr>
                <w:rFonts w:cs="Times New Roman"/>
                <w:b/>
                <w:bCs/>
                <w:i/>
                <w:sz w:val="20"/>
                <w:szCs w:val="20"/>
              </w:rPr>
            </w:pPr>
            <w:r w:rsidRPr="009F6D1E">
              <w:rPr>
                <w:rFonts w:cs="Times New Roman"/>
                <w:b/>
                <w:bCs/>
                <w:i/>
                <w:sz w:val="20"/>
                <w:szCs w:val="20"/>
              </w:rPr>
              <w:t>П.3.5.Засилване на контрола над вноса на суровини</w:t>
            </w:r>
          </w:p>
          <w:p w14:paraId="03070FDC"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0F81136"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xml:space="preserve">- Прилагане на засилен контрол при </w:t>
            </w:r>
            <w:proofErr w:type="spellStart"/>
            <w:r w:rsidRPr="009F6D1E">
              <w:rPr>
                <w:rFonts w:cs="Times New Roman"/>
                <w:i/>
                <w:sz w:val="20"/>
                <w:szCs w:val="20"/>
              </w:rPr>
              <w:t>вътреобщностна</w:t>
            </w:r>
            <w:proofErr w:type="spellEnd"/>
            <w:r w:rsidRPr="009F6D1E">
              <w:rPr>
                <w:rFonts w:cs="Times New Roman"/>
                <w:i/>
                <w:sz w:val="20"/>
                <w:szCs w:val="20"/>
              </w:rPr>
              <w:t xml:space="preserve"> търговия на месо и яйца, насочен към държави, определени на база оценка на риска</w:t>
            </w:r>
          </w:p>
        </w:tc>
        <w:tc>
          <w:tcPr>
            <w:tcW w:w="4111" w:type="dxa"/>
            <w:shd w:val="clear" w:color="auto" w:fill="D9D9D9" w:themeFill="background1" w:themeFillShade="D9"/>
          </w:tcPr>
          <w:p w14:paraId="07B9177E"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П.3.6.Осигуряване на необходимото количество и качество местни суровини за по-пълно използване на капацитета на предприятията и повишаване добавената стойност и ефективността на предприятията от ХВП </w:t>
            </w:r>
          </w:p>
          <w:p w14:paraId="62C70334"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07D2D835"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Инвестиции за преработка на селскостопански продукти</w:t>
            </w:r>
          </w:p>
          <w:p w14:paraId="3EBD1576" w14:textId="77777777" w:rsidR="00F36E29" w:rsidRPr="009F6D1E" w:rsidRDefault="00F36E29" w:rsidP="0084747F">
            <w:pPr>
              <w:spacing w:after="60" w:line="264" w:lineRule="auto"/>
              <w:jc w:val="center"/>
              <w:rPr>
                <w:rFonts w:cs="Times New Roman"/>
                <w:b/>
                <w:bCs/>
                <w:i/>
                <w:sz w:val="20"/>
                <w:szCs w:val="20"/>
              </w:rPr>
            </w:pPr>
          </w:p>
        </w:tc>
      </w:tr>
      <w:tr w:rsidR="00F36E29" w:rsidRPr="009F6D1E" w14:paraId="69366592" w14:textId="77777777" w:rsidTr="00AB2292">
        <w:trPr>
          <w:tblHeader/>
        </w:trPr>
        <w:tc>
          <w:tcPr>
            <w:tcW w:w="1838" w:type="dxa"/>
            <w:vMerge/>
            <w:shd w:val="clear" w:color="auto" w:fill="FFF2CC" w:themeFill="accent4" w:themeFillTint="33"/>
          </w:tcPr>
          <w:p w14:paraId="045D0B4F" w14:textId="77777777" w:rsidR="00F36E29" w:rsidRPr="009F6D1E" w:rsidRDefault="00F36E29" w:rsidP="0084747F">
            <w:pPr>
              <w:spacing w:after="60" w:line="264" w:lineRule="auto"/>
              <w:jc w:val="center"/>
              <w:rPr>
                <w:rFonts w:cs="Times New Roman"/>
                <w:b/>
                <w:bCs/>
                <w:sz w:val="20"/>
                <w:szCs w:val="20"/>
              </w:rPr>
            </w:pPr>
          </w:p>
        </w:tc>
        <w:tc>
          <w:tcPr>
            <w:tcW w:w="12191" w:type="dxa"/>
            <w:gridSpan w:val="4"/>
            <w:shd w:val="clear" w:color="auto" w:fill="FFF2CC" w:themeFill="accent4" w:themeFillTint="33"/>
          </w:tcPr>
          <w:p w14:paraId="00877F97"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5956184A" w14:textId="77777777" w:rsidTr="00AB2292">
        <w:trPr>
          <w:trHeight w:val="318"/>
        </w:trPr>
        <w:tc>
          <w:tcPr>
            <w:tcW w:w="1838" w:type="dxa"/>
            <w:shd w:val="clear" w:color="auto" w:fill="auto"/>
          </w:tcPr>
          <w:p w14:paraId="66E3883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41ED02FD"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3C98846B"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111" w:type="dxa"/>
            <w:gridSpan w:val="2"/>
            <w:shd w:val="clear" w:color="auto" w:fill="auto"/>
          </w:tcPr>
          <w:p w14:paraId="421CD4E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6720D8E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722D926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което от своя страна ще доведе до директно и положително въздействие, резултат от намаляване на количествата генерирани парникови газове. От друга страна ще позволи на предприятията от ХВП да се развиват, адаптирайки се към променящите се условия на средата и най-вече адаптирайки се към климатичните промени.</w:t>
            </w:r>
          </w:p>
        </w:tc>
      </w:tr>
      <w:tr w:rsidR="00F36E29" w:rsidRPr="009F6D1E" w14:paraId="3DE7D1BD" w14:textId="77777777" w:rsidTr="00AB2292">
        <w:trPr>
          <w:trHeight w:val="318"/>
        </w:trPr>
        <w:tc>
          <w:tcPr>
            <w:tcW w:w="1838" w:type="dxa"/>
            <w:shd w:val="clear" w:color="auto" w:fill="auto"/>
          </w:tcPr>
          <w:p w14:paraId="56EEA26D"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111" w:type="dxa"/>
            <w:gridSpan w:val="2"/>
            <w:shd w:val="clear" w:color="auto" w:fill="auto"/>
          </w:tcPr>
          <w:p w14:paraId="1BDA1DB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19B3DC5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2417BE2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По подобие въздействията върху климата.</w:t>
            </w:r>
          </w:p>
        </w:tc>
      </w:tr>
      <w:tr w:rsidR="00F36E29" w:rsidRPr="009F6D1E" w14:paraId="08A80CFA" w14:textId="77777777" w:rsidTr="00AB2292">
        <w:trPr>
          <w:trHeight w:val="318"/>
        </w:trPr>
        <w:tc>
          <w:tcPr>
            <w:tcW w:w="1838" w:type="dxa"/>
            <w:shd w:val="clear" w:color="auto" w:fill="auto"/>
          </w:tcPr>
          <w:p w14:paraId="0166102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Повърхностни води</w:t>
            </w:r>
          </w:p>
          <w:p w14:paraId="4385C556"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7DF05E0A"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09549D39"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111" w:type="dxa"/>
            <w:gridSpan w:val="2"/>
            <w:shd w:val="clear" w:color="auto" w:fill="auto"/>
          </w:tcPr>
          <w:p w14:paraId="0E20434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06C22E7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tcPr>
          <w:p w14:paraId="627DA17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09DF8380" w14:textId="77777777" w:rsidTr="00AB2292">
        <w:trPr>
          <w:trHeight w:val="318"/>
        </w:trPr>
        <w:tc>
          <w:tcPr>
            <w:tcW w:w="1838" w:type="dxa"/>
            <w:shd w:val="clear" w:color="auto" w:fill="auto"/>
          </w:tcPr>
          <w:p w14:paraId="320695E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Земни недра</w:t>
            </w:r>
          </w:p>
        </w:tc>
        <w:tc>
          <w:tcPr>
            <w:tcW w:w="4111" w:type="dxa"/>
            <w:gridSpan w:val="2"/>
            <w:shd w:val="clear" w:color="auto" w:fill="auto"/>
          </w:tcPr>
          <w:p w14:paraId="41B0C86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360423C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tcPr>
          <w:p w14:paraId="57DE654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7DA2D548" w14:textId="77777777" w:rsidTr="00AB2292">
        <w:trPr>
          <w:trHeight w:val="318"/>
        </w:trPr>
        <w:tc>
          <w:tcPr>
            <w:tcW w:w="1838" w:type="dxa"/>
            <w:shd w:val="clear" w:color="auto" w:fill="auto"/>
          </w:tcPr>
          <w:p w14:paraId="5EC475E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31EC05CC"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111" w:type="dxa"/>
            <w:gridSpan w:val="2"/>
            <w:shd w:val="clear" w:color="auto" w:fill="auto"/>
          </w:tcPr>
          <w:p w14:paraId="46A725A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155C102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07E52AA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43D77E78" w14:textId="77777777" w:rsidTr="00AB2292">
        <w:trPr>
          <w:trHeight w:val="1423"/>
        </w:trPr>
        <w:tc>
          <w:tcPr>
            <w:tcW w:w="1838" w:type="dxa"/>
            <w:shd w:val="clear" w:color="auto" w:fill="auto"/>
          </w:tcPr>
          <w:p w14:paraId="6ADD325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42E08E11"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3BB6FC04" w14:textId="77777777" w:rsidR="00F36E29" w:rsidRPr="009F6D1E" w:rsidRDefault="00F36E29" w:rsidP="0084747F">
            <w:pPr>
              <w:spacing w:after="60" w:line="264" w:lineRule="auto"/>
              <w:jc w:val="both"/>
              <w:rPr>
                <w:rFonts w:cs="Times New Roman"/>
                <w:b/>
                <w:bCs/>
                <w:sz w:val="20"/>
                <w:szCs w:val="20"/>
                <w:highlight w:val="yellow"/>
              </w:rPr>
            </w:pPr>
            <w:r w:rsidRPr="009F6D1E">
              <w:rPr>
                <w:rFonts w:cs="Times New Roman"/>
                <w:b/>
                <w:bCs/>
                <w:sz w:val="20"/>
                <w:szCs w:val="20"/>
              </w:rPr>
              <w:t>ЗТ</w:t>
            </w:r>
          </w:p>
        </w:tc>
        <w:tc>
          <w:tcPr>
            <w:tcW w:w="4111" w:type="dxa"/>
            <w:gridSpan w:val="2"/>
            <w:shd w:val="clear" w:color="auto" w:fill="auto"/>
          </w:tcPr>
          <w:p w14:paraId="75EEF71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6B8B600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111" w:type="dxa"/>
          </w:tcPr>
          <w:p w14:paraId="5CEF47C0" w14:textId="2D1D08A4"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Също така ще се осигури достъп до внедряването на </w:t>
            </w:r>
            <w:r w:rsidRPr="009F6D1E">
              <w:rPr>
                <w:rFonts w:eastAsia="Tahoma" w:cs="Times New Roman"/>
                <w:sz w:val="20"/>
                <w:szCs w:val="20"/>
                <w:lang w:eastAsia="zh-CN"/>
              </w:rPr>
              <w:lastRenderedPageBreak/>
              <w:t>различни видове иновации, което ще благоприятства ускоряване на процесите по добавянето на стойност в различните производства.</w:t>
            </w:r>
            <w:r w:rsidRPr="009F6D1E">
              <w:rPr>
                <w:rFonts w:eastAsia="Tahoma" w:cs="Times New Roman"/>
                <w:sz w:val="20"/>
                <w:szCs w:val="20"/>
                <w:lang w:eastAsia="zh-CN"/>
              </w:rPr>
              <w:cr/>
            </w:r>
          </w:p>
          <w:p w14:paraId="62A089E8"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506CE18E" w14:textId="77777777" w:rsidTr="00AB2292">
        <w:trPr>
          <w:trHeight w:val="318"/>
        </w:trPr>
        <w:tc>
          <w:tcPr>
            <w:tcW w:w="1838" w:type="dxa"/>
            <w:shd w:val="clear" w:color="auto" w:fill="auto"/>
          </w:tcPr>
          <w:p w14:paraId="3D1B9EBB"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 xml:space="preserve">Ландшафт </w:t>
            </w:r>
          </w:p>
        </w:tc>
        <w:tc>
          <w:tcPr>
            <w:tcW w:w="4104" w:type="dxa"/>
            <w:shd w:val="clear" w:color="auto" w:fill="auto"/>
          </w:tcPr>
          <w:p w14:paraId="67A53D4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76" w:type="dxa"/>
            <w:gridSpan w:val="2"/>
          </w:tcPr>
          <w:p w14:paraId="492DBD37"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7AC0C5B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6DDFD1D0" w14:textId="77777777" w:rsidTr="00AB2292">
        <w:trPr>
          <w:trHeight w:val="318"/>
        </w:trPr>
        <w:tc>
          <w:tcPr>
            <w:tcW w:w="1838" w:type="dxa"/>
            <w:shd w:val="clear" w:color="auto" w:fill="auto"/>
          </w:tcPr>
          <w:p w14:paraId="7C15DEB9"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4111" w:type="dxa"/>
            <w:gridSpan w:val="2"/>
            <w:shd w:val="clear" w:color="auto" w:fill="auto"/>
          </w:tcPr>
          <w:p w14:paraId="6E0E4CC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35A3512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556DBC5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което от своя страна ще доведе до директно и положително въздействие върху материалните активи.</w:t>
            </w:r>
          </w:p>
        </w:tc>
      </w:tr>
      <w:tr w:rsidR="00F36E29" w:rsidRPr="009F6D1E" w14:paraId="5B3CFB51" w14:textId="77777777" w:rsidTr="00AB2292">
        <w:trPr>
          <w:trHeight w:val="318"/>
        </w:trPr>
        <w:tc>
          <w:tcPr>
            <w:tcW w:w="1838" w:type="dxa"/>
            <w:shd w:val="clear" w:color="auto" w:fill="auto"/>
          </w:tcPr>
          <w:p w14:paraId="3E8101D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Културно-историческо наследство</w:t>
            </w:r>
          </w:p>
        </w:tc>
        <w:tc>
          <w:tcPr>
            <w:tcW w:w="4111" w:type="dxa"/>
            <w:gridSpan w:val="2"/>
            <w:shd w:val="clear" w:color="auto" w:fill="auto"/>
          </w:tcPr>
          <w:p w14:paraId="76305085" w14:textId="77777777" w:rsidR="00F36E29" w:rsidRPr="009F6D1E" w:rsidRDefault="00F36E29" w:rsidP="0084747F">
            <w:pPr>
              <w:spacing w:after="60" w:line="264" w:lineRule="auto"/>
              <w:rPr>
                <w:rFonts w:cs="Times New Roman"/>
                <w:sz w:val="20"/>
                <w:szCs w:val="20"/>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p w14:paraId="368E0018" w14:textId="77777777" w:rsidR="00F36E29" w:rsidRPr="009F6D1E" w:rsidRDefault="00F36E29" w:rsidP="0084747F">
            <w:pPr>
              <w:spacing w:after="60" w:line="264" w:lineRule="auto"/>
              <w:jc w:val="both"/>
              <w:rPr>
                <w:rFonts w:eastAsia="Tahoma" w:cs="Times New Roman"/>
                <w:sz w:val="20"/>
                <w:szCs w:val="20"/>
                <w:highlight w:val="yellow"/>
                <w:lang w:eastAsia="zh-CN"/>
              </w:rPr>
            </w:pPr>
          </w:p>
        </w:tc>
        <w:tc>
          <w:tcPr>
            <w:tcW w:w="3969" w:type="dxa"/>
          </w:tcPr>
          <w:p w14:paraId="00A66347" w14:textId="77777777" w:rsidR="00F36E29" w:rsidRPr="009F6D1E" w:rsidRDefault="00F36E29" w:rsidP="0084747F">
            <w:pPr>
              <w:spacing w:after="60" w:line="264" w:lineRule="auto"/>
              <w:rPr>
                <w:rFonts w:cs="Times New Roman"/>
                <w:sz w:val="20"/>
                <w:szCs w:val="20"/>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p w14:paraId="0A3B4402" w14:textId="77777777" w:rsidR="00F36E29" w:rsidRPr="009F6D1E" w:rsidRDefault="00F36E29" w:rsidP="0084747F">
            <w:pPr>
              <w:spacing w:after="60" w:line="264" w:lineRule="auto"/>
              <w:jc w:val="both"/>
              <w:rPr>
                <w:rFonts w:eastAsia="Tahoma" w:cs="Times New Roman"/>
                <w:sz w:val="20"/>
                <w:szCs w:val="20"/>
                <w:highlight w:val="yellow"/>
                <w:lang w:eastAsia="zh-CN"/>
              </w:rPr>
            </w:pPr>
          </w:p>
        </w:tc>
        <w:tc>
          <w:tcPr>
            <w:tcW w:w="4111" w:type="dxa"/>
          </w:tcPr>
          <w:p w14:paraId="1EACB076" w14:textId="77777777" w:rsidR="00F36E29" w:rsidRPr="009F6D1E" w:rsidRDefault="00F36E29" w:rsidP="0084747F">
            <w:pPr>
              <w:spacing w:after="60" w:line="264" w:lineRule="auto"/>
              <w:rPr>
                <w:rFonts w:cs="Times New Roman"/>
                <w:sz w:val="20"/>
                <w:szCs w:val="20"/>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p w14:paraId="61FA5287" w14:textId="77777777" w:rsidR="00F36E29" w:rsidRPr="009F6D1E" w:rsidRDefault="00F36E29" w:rsidP="0084747F">
            <w:pPr>
              <w:spacing w:after="60" w:line="264" w:lineRule="auto"/>
              <w:jc w:val="both"/>
              <w:rPr>
                <w:rFonts w:eastAsia="Tahoma" w:cs="Times New Roman"/>
                <w:sz w:val="20"/>
                <w:szCs w:val="20"/>
                <w:highlight w:val="yellow"/>
                <w:lang w:eastAsia="zh-CN"/>
              </w:rPr>
            </w:pPr>
          </w:p>
        </w:tc>
      </w:tr>
      <w:tr w:rsidR="00F36E29" w:rsidRPr="009F6D1E" w14:paraId="3EE8DEE9" w14:textId="77777777" w:rsidTr="00AB2292">
        <w:trPr>
          <w:trHeight w:val="1610"/>
        </w:trPr>
        <w:tc>
          <w:tcPr>
            <w:tcW w:w="1838" w:type="dxa"/>
            <w:shd w:val="clear" w:color="auto" w:fill="auto"/>
          </w:tcPr>
          <w:p w14:paraId="4D8234B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4111" w:type="dxa"/>
            <w:gridSpan w:val="2"/>
            <w:shd w:val="clear" w:color="auto" w:fill="auto"/>
          </w:tcPr>
          <w:p w14:paraId="172DCFC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53883FE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2D089FD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което от своя страна ще доведе до директно и положително въздействие върху вредните физични фактори.</w:t>
            </w:r>
          </w:p>
        </w:tc>
      </w:tr>
      <w:tr w:rsidR="00F36E29" w:rsidRPr="009F6D1E" w14:paraId="62E79399" w14:textId="77777777" w:rsidTr="00AB2292">
        <w:trPr>
          <w:trHeight w:val="318"/>
        </w:trPr>
        <w:tc>
          <w:tcPr>
            <w:tcW w:w="1838" w:type="dxa"/>
            <w:shd w:val="clear" w:color="auto" w:fill="auto"/>
          </w:tcPr>
          <w:p w14:paraId="06BC686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111" w:type="dxa"/>
            <w:gridSpan w:val="2"/>
            <w:shd w:val="clear" w:color="auto" w:fill="auto"/>
          </w:tcPr>
          <w:p w14:paraId="04FD6C5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09321F4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62E76A5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което от своя страна ще доведе до намаляване </w:t>
            </w:r>
            <w:r w:rsidRPr="009F6D1E">
              <w:rPr>
                <w:rFonts w:eastAsia="Tahoma" w:cs="Times New Roman"/>
                <w:sz w:val="20"/>
                <w:szCs w:val="20"/>
                <w:lang w:eastAsia="zh-CN"/>
              </w:rPr>
              <w:lastRenderedPageBreak/>
              <w:t>видовете и количествата образувани отпадъци и от тук индиректно ще повлияе положително върху компонентите на околната среда, застрашени от увреждане, като резултат от образуваните отпадъци.</w:t>
            </w:r>
          </w:p>
        </w:tc>
      </w:tr>
      <w:tr w:rsidR="00F36E29" w:rsidRPr="009F6D1E" w14:paraId="77A195FC" w14:textId="77777777" w:rsidTr="00AB2292">
        <w:tc>
          <w:tcPr>
            <w:tcW w:w="1838" w:type="dxa"/>
            <w:shd w:val="clear" w:color="auto" w:fill="auto"/>
          </w:tcPr>
          <w:p w14:paraId="6916486B"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lastRenderedPageBreak/>
              <w:t>Опасни химични вещества и риск от големи аварии</w:t>
            </w:r>
          </w:p>
        </w:tc>
        <w:tc>
          <w:tcPr>
            <w:tcW w:w="4111" w:type="dxa"/>
            <w:gridSpan w:val="2"/>
            <w:shd w:val="clear" w:color="auto" w:fill="auto"/>
          </w:tcPr>
          <w:p w14:paraId="16E52A08"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969" w:type="dxa"/>
          </w:tcPr>
          <w:p w14:paraId="708A43BA"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4111" w:type="dxa"/>
          </w:tcPr>
          <w:p w14:paraId="03553A13"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tr w:rsidR="00F36E29" w:rsidRPr="009F6D1E" w14:paraId="07BEF22A" w14:textId="77777777" w:rsidTr="00AB2292">
        <w:tc>
          <w:tcPr>
            <w:tcW w:w="1838" w:type="dxa"/>
            <w:shd w:val="clear" w:color="auto" w:fill="auto"/>
          </w:tcPr>
          <w:p w14:paraId="0D03CF6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6638475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18165CF5"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111" w:type="dxa"/>
            <w:gridSpan w:val="2"/>
            <w:shd w:val="clear" w:color="auto" w:fill="auto"/>
          </w:tcPr>
          <w:p w14:paraId="2CF8CFE3"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 xml:space="preserve">Пряко и положително въздействие върху социално-икономическите условия на средата, водещо до подобряване на условията на живот и положително въздействие върху здравето на населението. Това ще се дължи най-вече на разширяване и развитие на мерките и механизмите за борба с нелоялните търговски практики и подобреното в резултат </w:t>
            </w:r>
            <w:r w:rsidRPr="009F6D1E">
              <w:rPr>
                <w:rFonts w:cs="Times New Roman"/>
                <w:sz w:val="20"/>
                <w:szCs w:val="20"/>
              </w:rPr>
              <w:lastRenderedPageBreak/>
              <w:t>предлагане на пазара, водещо до по-висока доходност.</w:t>
            </w:r>
          </w:p>
        </w:tc>
        <w:tc>
          <w:tcPr>
            <w:tcW w:w="3969" w:type="dxa"/>
          </w:tcPr>
          <w:p w14:paraId="604C09BC"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lastRenderedPageBreak/>
              <w:t>Пряко и положително въздействие върху социално-икономическите условия на средата, водещо до подобряване на условията на живот и положително въздействие върху здравето на населението. Това ще се дължи най-вече на засилване на контрола над вноса на суровини и подобреното в резултат предлагане на пазара, водещо до по-висока доходност.</w:t>
            </w:r>
          </w:p>
        </w:tc>
        <w:tc>
          <w:tcPr>
            <w:tcW w:w="4111" w:type="dxa"/>
          </w:tcPr>
          <w:p w14:paraId="601E5C11"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Чрез интервенцията ще се осигури възможност на предприятията от ХВП да внедряват в своите производства нови машини, съоръжения и оборудване, които имат  високо ниво на ефективност, което от своя страна ще доведе до подобряване на социално-икономическите условия на средата и ще доведе до косвено положително въздействие върху здравето на населението.</w:t>
            </w:r>
          </w:p>
        </w:tc>
      </w:tr>
    </w:tbl>
    <w:p w14:paraId="435CDDA5" w14:textId="77777777" w:rsidR="00F36E29" w:rsidRPr="009F6D1E" w:rsidRDefault="00F36E29" w:rsidP="0084747F">
      <w:pPr>
        <w:spacing w:after="60" w:line="264" w:lineRule="auto"/>
        <w:contextualSpacing/>
        <w:jc w:val="both"/>
        <w:rPr>
          <w:rFonts w:cs="Times New Roman"/>
          <w:smallCaps/>
        </w:rPr>
      </w:pPr>
    </w:p>
    <w:p w14:paraId="5CAFD91C"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smallCaps w:val="0"/>
          <w:lang w:bidi="ar-SA"/>
        </w:rPr>
      </w:pPr>
      <w:bookmarkStart w:id="603" w:name="_Toc115255039"/>
      <w:r w:rsidRPr="009F6D1E">
        <w:rPr>
          <w:smallCaps w:val="0"/>
          <w:lang w:bidi="ar-SA"/>
        </w:rPr>
        <w:t>Потребности/Интервенции, обект на подкрепа по Специфична цел №4</w:t>
      </w:r>
      <w:bookmarkEnd w:id="603"/>
    </w:p>
    <w:p w14:paraId="6128DCAA" w14:textId="77777777" w:rsidR="00F36E29" w:rsidRPr="009F6D1E" w:rsidRDefault="00F36E29" w:rsidP="0084747F">
      <w:pPr>
        <w:spacing w:after="60" w:line="264" w:lineRule="auto"/>
        <w:contextualSpacing/>
        <w:jc w:val="both"/>
        <w:rPr>
          <w:rFonts w:eastAsia="Calibri" w:cs="Times New Roman"/>
          <w:b/>
          <w:bCs/>
          <w:i/>
          <w:i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4032"/>
        <w:gridCol w:w="4395"/>
        <w:gridCol w:w="4218"/>
      </w:tblGrid>
      <w:tr w:rsidR="00F36E29" w:rsidRPr="009F6D1E" w14:paraId="0EED3230" w14:textId="77777777" w:rsidTr="00AB2292">
        <w:trPr>
          <w:tblHeader/>
        </w:trPr>
        <w:tc>
          <w:tcPr>
            <w:tcW w:w="0" w:type="auto"/>
            <w:vMerge w:val="restart"/>
            <w:shd w:val="clear" w:color="auto" w:fill="D9D9D9" w:themeFill="background1" w:themeFillShade="D9"/>
            <w:textDirection w:val="btLr"/>
            <w:vAlign w:val="center"/>
          </w:tcPr>
          <w:p w14:paraId="77A64942" w14:textId="77777777" w:rsidR="00F36E29" w:rsidRPr="009F6D1E" w:rsidRDefault="00F36E29" w:rsidP="0084747F">
            <w:pPr>
              <w:spacing w:after="60" w:line="264" w:lineRule="auto"/>
              <w:ind w:left="113" w:right="113"/>
              <w:jc w:val="center"/>
              <w:rPr>
                <w:rFonts w:cs="Times New Roman"/>
                <w:b/>
                <w:bCs/>
                <w:i/>
                <w:sz w:val="18"/>
                <w:szCs w:val="18"/>
              </w:rPr>
            </w:pPr>
            <w:bookmarkStart w:id="604" w:name="_Hlk96694483"/>
            <w:r w:rsidRPr="009F6D1E">
              <w:rPr>
                <w:rFonts w:cs="Times New Roman"/>
                <w:b/>
                <w:bCs/>
                <w:sz w:val="18"/>
                <w:szCs w:val="18"/>
              </w:rPr>
              <w:lastRenderedPageBreak/>
              <w:t>КОМПОНЕНТ/ ФАКТОР НА ОКОЛНАТА СРЕДА</w:t>
            </w:r>
          </w:p>
        </w:tc>
        <w:tc>
          <w:tcPr>
            <w:tcW w:w="4032" w:type="dxa"/>
            <w:shd w:val="clear" w:color="auto" w:fill="D9D9D9" w:themeFill="background1" w:themeFillShade="D9"/>
          </w:tcPr>
          <w:p w14:paraId="41557192"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П.4.1.Намаляване на емисиите на парникови газове от селското стопанство</w:t>
            </w:r>
          </w:p>
          <w:p w14:paraId="05F2CCF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4EAE4B9E"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Инвестиции в земеделските стопанства насочени към опазване на компонентите на околната среда</w:t>
            </w:r>
          </w:p>
          <w:p w14:paraId="0F97BA1A"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Инвестиции в управлението на оборския тор и въвеждане на нисковъглеродни практики за преработка на оборски тор в стопанства</w:t>
            </w:r>
          </w:p>
          <w:p w14:paraId="4ACB38C8"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Консултантски услуги и повишаване на консултантския капацитет</w:t>
            </w:r>
          </w:p>
          <w:p w14:paraId="714E397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Професионално обучение и придобиване на знания</w:t>
            </w:r>
          </w:p>
        </w:tc>
        <w:tc>
          <w:tcPr>
            <w:tcW w:w="4395" w:type="dxa"/>
            <w:shd w:val="clear" w:color="auto" w:fill="D9D9D9" w:themeFill="background1" w:themeFillShade="D9"/>
          </w:tcPr>
          <w:p w14:paraId="610001F1" w14:textId="77777777" w:rsidR="00F36E29" w:rsidRPr="009F6D1E" w:rsidRDefault="00F36E29" w:rsidP="0084747F">
            <w:pPr>
              <w:widowControl w:val="0"/>
              <w:spacing w:after="60" w:line="264" w:lineRule="auto"/>
              <w:jc w:val="center"/>
              <w:rPr>
                <w:rFonts w:cs="Times New Roman"/>
                <w:b/>
                <w:bCs/>
                <w:i/>
                <w:sz w:val="18"/>
                <w:szCs w:val="18"/>
              </w:rPr>
            </w:pPr>
            <w:r w:rsidRPr="009F6D1E">
              <w:rPr>
                <w:rFonts w:cs="Times New Roman"/>
                <w:b/>
                <w:bCs/>
                <w:i/>
                <w:sz w:val="18"/>
                <w:szCs w:val="18"/>
              </w:rPr>
              <w:t>П.4.2. Увеличаване на органичния въглерод в почвата</w:t>
            </w:r>
          </w:p>
          <w:p w14:paraId="585767DF" w14:textId="77777777" w:rsidR="00F36E29" w:rsidRPr="009F6D1E" w:rsidRDefault="00F36E29" w:rsidP="0084747F">
            <w:pPr>
              <w:spacing w:after="60" w:line="264" w:lineRule="auto"/>
              <w:jc w:val="center"/>
              <w:rPr>
                <w:rFonts w:cs="Times New Roman"/>
                <w:b/>
                <w:bCs/>
                <w:i/>
                <w:sz w:val="18"/>
                <w:szCs w:val="18"/>
                <w:u w:val="single"/>
              </w:rPr>
            </w:pPr>
            <w:r w:rsidRPr="009F6D1E">
              <w:rPr>
                <w:rFonts w:cs="Times New Roman"/>
                <w:b/>
                <w:bCs/>
                <w:i/>
                <w:sz w:val="18"/>
                <w:szCs w:val="18"/>
                <w:u w:val="single"/>
              </w:rPr>
              <w:t>Интервенции:</w:t>
            </w:r>
          </w:p>
          <w:p w14:paraId="2C38B06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екологично поддържане на трайните насаждения (по чл. 31 от Регламент (ЕС) 2021/2115)</w:t>
            </w:r>
          </w:p>
          <w:p w14:paraId="15D32EF7"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Възстановяване и поддържане на деградирали пасищни територии</w:t>
            </w:r>
          </w:p>
          <w:p w14:paraId="61BD7645"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Плащания за земеделски земи в зони от Натура 2000</w:t>
            </w:r>
          </w:p>
          <w:p w14:paraId="3C6F2C47"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Професионално обучение и придобиване на знания</w:t>
            </w:r>
          </w:p>
        </w:tc>
        <w:tc>
          <w:tcPr>
            <w:tcW w:w="4218" w:type="dxa"/>
            <w:shd w:val="clear" w:color="auto" w:fill="D9D9D9" w:themeFill="background1" w:themeFillShade="D9"/>
            <w:vAlign w:val="center"/>
          </w:tcPr>
          <w:p w14:paraId="10027943" w14:textId="77777777" w:rsidR="00F36E29" w:rsidRPr="009F6D1E" w:rsidRDefault="00F36E29" w:rsidP="0084747F">
            <w:pPr>
              <w:spacing w:after="60" w:line="264" w:lineRule="auto"/>
              <w:jc w:val="center"/>
              <w:rPr>
                <w:rFonts w:cs="Times New Roman"/>
                <w:b/>
                <w:bCs/>
                <w:i/>
                <w:sz w:val="18"/>
                <w:szCs w:val="18"/>
                <w:u w:val="single"/>
              </w:rPr>
            </w:pPr>
            <w:r w:rsidRPr="009F6D1E">
              <w:rPr>
                <w:rFonts w:cs="Times New Roman"/>
                <w:b/>
                <w:bCs/>
                <w:i/>
                <w:sz w:val="18"/>
                <w:szCs w:val="18"/>
              </w:rPr>
              <w:t>П.4.3.Производство на енергия от възобновяеми източници от селското стопанство (от водна, вятърна, слънчева, геотермална енергия и остатъчна/отпадъчна биомаса от селското стопанство)</w:t>
            </w:r>
          </w:p>
          <w:p w14:paraId="49F2AE2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7E10959D"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Инвестиции за преработка на селскостопански продукти, насочени към опазване на компонентите на околната среда</w:t>
            </w:r>
          </w:p>
          <w:p w14:paraId="5D489AC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Консултантски услуги и повишаване на консултантския капацитет</w:t>
            </w:r>
          </w:p>
          <w:p w14:paraId="4565953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-Професионално обучение и придобиване на знания</w:t>
            </w:r>
          </w:p>
          <w:p w14:paraId="6519195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Инвестиции в екологични съоръжения</w:t>
            </w:r>
          </w:p>
        </w:tc>
      </w:tr>
      <w:tr w:rsidR="00F36E29" w:rsidRPr="009F6D1E" w14:paraId="121D2D4F" w14:textId="77777777" w:rsidTr="00AB2292">
        <w:trPr>
          <w:tblHeader/>
        </w:trPr>
        <w:tc>
          <w:tcPr>
            <w:tcW w:w="0" w:type="auto"/>
            <w:vMerge/>
            <w:shd w:val="clear" w:color="auto" w:fill="FFF2CC" w:themeFill="accent4" w:themeFillTint="33"/>
          </w:tcPr>
          <w:p w14:paraId="3CAB1548" w14:textId="77777777" w:rsidR="00F36E29" w:rsidRPr="009F6D1E" w:rsidRDefault="00F36E29" w:rsidP="0084747F">
            <w:pPr>
              <w:spacing w:after="60" w:line="264" w:lineRule="auto"/>
              <w:jc w:val="center"/>
              <w:rPr>
                <w:rFonts w:cs="Times New Roman"/>
                <w:b/>
                <w:bCs/>
                <w:sz w:val="18"/>
                <w:szCs w:val="18"/>
              </w:rPr>
            </w:pPr>
          </w:p>
        </w:tc>
        <w:tc>
          <w:tcPr>
            <w:tcW w:w="0" w:type="auto"/>
            <w:gridSpan w:val="3"/>
            <w:shd w:val="clear" w:color="auto" w:fill="FFF2CC" w:themeFill="accent4" w:themeFillTint="33"/>
          </w:tcPr>
          <w:p w14:paraId="0A5C4DB1"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3754C19F" w14:textId="77777777" w:rsidTr="00AB2292">
        <w:trPr>
          <w:trHeight w:val="318"/>
        </w:trPr>
        <w:tc>
          <w:tcPr>
            <w:tcW w:w="0" w:type="auto"/>
            <w:shd w:val="clear" w:color="auto" w:fill="auto"/>
          </w:tcPr>
          <w:p w14:paraId="045FF76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70A3241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3DACD2A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032" w:type="dxa"/>
            <w:shd w:val="clear" w:color="auto" w:fill="auto"/>
          </w:tcPr>
          <w:p w14:paraId="2A1B6A4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Мярката е пряко свързана с намаляване емисиите на парникови газове в атмосферата, образувани от селското стопанство. Реализирането й ще доведе до пряко, положително и дълготрайно въздействие върху локалния климат. Прилагането на мярката за продължително време и върху по-големи площи може да доведе и до положително въздействие върху климата в по-големи мащаби.</w:t>
            </w:r>
          </w:p>
        </w:tc>
        <w:tc>
          <w:tcPr>
            <w:tcW w:w="4395" w:type="dxa"/>
          </w:tcPr>
          <w:p w14:paraId="78C9E6E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Реализирането на мярката ще намали генерираните количества въглероден диоксид и ще доведе до пряко, положително въздействия върху климата на локално ниво. Продължителното прилагане на мярката на по-големи територии е възможно да има положителен ефект върху климатичните промени върху по-голяма площ.</w:t>
            </w:r>
          </w:p>
        </w:tc>
        <w:tc>
          <w:tcPr>
            <w:tcW w:w="4218" w:type="dxa"/>
          </w:tcPr>
          <w:p w14:paraId="74AD4C4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Въздействието върху климата от прилагането на мярката ще е пряко, положително и дълготрайно, като резултата от производството на енергия от възобновяеми източници и намаляване емисиите на парниковите газове.</w:t>
            </w:r>
          </w:p>
        </w:tc>
      </w:tr>
      <w:tr w:rsidR="00F36E29" w:rsidRPr="009F6D1E" w14:paraId="7D605375" w14:textId="77777777" w:rsidTr="00AB2292">
        <w:trPr>
          <w:trHeight w:val="318"/>
        </w:trPr>
        <w:tc>
          <w:tcPr>
            <w:tcW w:w="0" w:type="auto"/>
            <w:shd w:val="clear" w:color="auto" w:fill="auto"/>
          </w:tcPr>
          <w:p w14:paraId="4994CBA6"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032" w:type="dxa"/>
            <w:shd w:val="clear" w:color="auto" w:fill="auto"/>
          </w:tcPr>
          <w:p w14:paraId="6C5585C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Прилагането на мярката ще допринесе за пряко и положително въздействие върху КАВ в района, дължащо се на намаленото генериране на емисиите на парникови газове.</w:t>
            </w:r>
          </w:p>
        </w:tc>
        <w:tc>
          <w:tcPr>
            <w:tcW w:w="4395" w:type="dxa"/>
          </w:tcPr>
          <w:p w14:paraId="27FB1C4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Прилагането на мярката ще допринесе за пряко и положително въздействие върху КАВ в района, дължащо се на намаленото генериране на емисиите на парникови газове.</w:t>
            </w:r>
          </w:p>
        </w:tc>
        <w:tc>
          <w:tcPr>
            <w:tcW w:w="4218" w:type="dxa"/>
          </w:tcPr>
          <w:p w14:paraId="6777E38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Прилагането на мярката ще доведе до пряко, положително и дълготрайно въздействие върху качеството на атмосферния въздух, дължащо се на намалените емисии от производството на електроенергия от изкопаеми горива.</w:t>
            </w:r>
          </w:p>
        </w:tc>
      </w:tr>
      <w:tr w:rsidR="00F36E29" w:rsidRPr="009F6D1E" w14:paraId="1E70C6C9" w14:textId="77777777" w:rsidTr="00AB2292">
        <w:trPr>
          <w:trHeight w:val="318"/>
        </w:trPr>
        <w:tc>
          <w:tcPr>
            <w:tcW w:w="0" w:type="auto"/>
            <w:shd w:val="clear" w:color="auto" w:fill="auto"/>
          </w:tcPr>
          <w:p w14:paraId="736EB02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7868C3B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66297E4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Зони за защита на водите</w:t>
            </w:r>
          </w:p>
          <w:p w14:paraId="60DE3D3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032" w:type="dxa"/>
            <w:shd w:val="clear" w:color="auto" w:fill="auto"/>
          </w:tcPr>
          <w:p w14:paraId="48DE3AA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Очаква се положително, постоянно, пряко, едновременно, въздействие с ниска значимост, дължащо се на намаляване на натиска и въздействието върху химичното състояние на </w:t>
            </w:r>
            <w:r w:rsidRPr="009F6D1E">
              <w:rPr>
                <w:rFonts w:eastAsia="Tahoma" w:cs="Times New Roman"/>
                <w:sz w:val="18"/>
                <w:szCs w:val="18"/>
                <w:lang w:eastAsia="zh-CN"/>
              </w:rPr>
              <w:lastRenderedPageBreak/>
              <w:t>подземните води, вследствие на инвестициите в управлението на оборския тор и въвеждане на нисковъглеродни практики за преработка на оборски тор в стопанства</w:t>
            </w:r>
          </w:p>
          <w:p w14:paraId="107CAE7A" w14:textId="77777777" w:rsidR="00F36E29" w:rsidRPr="009F6D1E" w:rsidRDefault="00F36E29" w:rsidP="0084747F">
            <w:pPr>
              <w:spacing w:after="60" w:line="264" w:lineRule="auto"/>
              <w:jc w:val="both"/>
              <w:rPr>
                <w:rFonts w:cs="Times New Roman"/>
                <w:kern w:val="16"/>
                <w:sz w:val="18"/>
                <w:szCs w:val="18"/>
              </w:rPr>
            </w:pPr>
            <w:r w:rsidRPr="009F6D1E">
              <w:rPr>
                <w:rFonts w:eastAsia="Tahoma" w:cs="Times New Roman"/>
                <w:sz w:val="18"/>
                <w:szCs w:val="18"/>
                <w:lang w:eastAsia="zh-CN"/>
              </w:rPr>
              <w:t>Продължителност</w:t>
            </w:r>
            <w:r w:rsidRPr="009F6D1E">
              <w:rPr>
                <w:rFonts w:cs="Times New Roman"/>
                <w:kern w:val="16"/>
                <w:sz w:val="18"/>
                <w:szCs w:val="18"/>
              </w:rPr>
              <w:t xml:space="preserve"> на въздействието: дългосрочно</w:t>
            </w:r>
          </w:p>
          <w:p w14:paraId="1A3E2C5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4395" w:type="dxa"/>
          </w:tcPr>
          <w:p w14:paraId="5E375A3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Не се очаква въздействие.</w:t>
            </w:r>
          </w:p>
        </w:tc>
        <w:tc>
          <w:tcPr>
            <w:tcW w:w="4218" w:type="dxa"/>
          </w:tcPr>
          <w:p w14:paraId="0C8D1008"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Мярката включва множество дейности, които ще имат положително въздействие върху водите. Тези дейности включват</w:t>
            </w:r>
          </w:p>
          <w:p w14:paraId="1AACB5C9" w14:textId="77777777" w:rsidR="00F36E29" w:rsidRPr="009F6D1E" w:rsidRDefault="00F36E29">
            <w:pPr>
              <w:pStyle w:val="ListParagraph"/>
              <w:widowControl w:val="0"/>
              <w:numPr>
                <w:ilvl w:val="0"/>
                <w:numId w:val="35"/>
              </w:numPr>
              <w:spacing w:after="60" w:line="264" w:lineRule="auto"/>
              <w:contextualSpacing w:val="0"/>
              <w:jc w:val="both"/>
              <w:rPr>
                <w:color w:val="auto"/>
                <w:sz w:val="18"/>
                <w:szCs w:val="18"/>
                <w:lang w:val="bg-BG"/>
              </w:rPr>
            </w:pPr>
            <w:r w:rsidRPr="009F6D1E">
              <w:rPr>
                <w:color w:val="auto"/>
                <w:sz w:val="18"/>
                <w:szCs w:val="18"/>
                <w:lang w:val="bg-BG"/>
              </w:rPr>
              <w:t xml:space="preserve">Инвестиции за </w:t>
            </w:r>
            <w:r w:rsidRPr="009F6D1E">
              <w:rPr>
                <w:rFonts w:eastAsia="Times New Roman"/>
                <w:iCs/>
                <w:color w:val="auto"/>
                <w:sz w:val="18"/>
                <w:szCs w:val="18"/>
                <w:lang w:val="bg-BG" w:eastAsia="bg-BG" w:bidi="bg-BG"/>
              </w:rPr>
              <w:t xml:space="preserve">пречиствателни </w:t>
            </w:r>
            <w:r w:rsidRPr="009F6D1E">
              <w:rPr>
                <w:rFonts w:eastAsia="Times New Roman"/>
                <w:iCs/>
                <w:color w:val="auto"/>
                <w:sz w:val="18"/>
                <w:szCs w:val="18"/>
                <w:lang w:val="bg-BG" w:eastAsia="bg-BG" w:bidi="bg-BG"/>
              </w:rPr>
              <w:lastRenderedPageBreak/>
              <w:t>съоръжения и съоръжения за третиране на отпадъци, съоръжения за съхраняване или оползотворяване на различни отпадъчни суровини от селскостопански продукти получени в резултат на извършваната преработка</w:t>
            </w:r>
          </w:p>
          <w:p w14:paraId="6EC6A04E" w14:textId="77777777" w:rsidR="00F36E29" w:rsidRPr="009F6D1E" w:rsidRDefault="00F36E29">
            <w:pPr>
              <w:pStyle w:val="ListParagraph"/>
              <w:widowControl w:val="0"/>
              <w:numPr>
                <w:ilvl w:val="0"/>
                <w:numId w:val="35"/>
              </w:numPr>
              <w:spacing w:after="60" w:line="264" w:lineRule="auto"/>
              <w:contextualSpacing w:val="0"/>
              <w:jc w:val="both"/>
              <w:rPr>
                <w:color w:val="auto"/>
                <w:sz w:val="18"/>
                <w:szCs w:val="18"/>
                <w:lang w:val="bg-BG"/>
              </w:rPr>
            </w:pPr>
            <w:r w:rsidRPr="009F6D1E">
              <w:rPr>
                <w:color w:val="auto"/>
                <w:sz w:val="18"/>
                <w:szCs w:val="18"/>
                <w:lang w:val="bg-BG"/>
              </w:rPr>
              <w:t xml:space="preserve">Инвестиции в </w:t>
            </w:r>
            <w:r w:rsidRPr="009F6D1E">
              <w:rPr>
                <w:rFonts w:eastAsia="Times New Roman"/>
                <w:iCs/>
                <w:color w:val="auto"/>
                <w:sz w:val="18"/>
                <w:szCs w:val="18"/>
                <w:lang w:val="bg-BG" w:eastAsia="bg-BG" w:bidi="bg-BG"/>
              </w:rPr>
              <w:t>инсталации за пречистване на отпадъчни води</w:t>
            </w:r>
          </w:p>
          <w:p w14:paraId="5500CAB1" w14:textId="77777777" w:rsidR="00F36E29" w:rsidRPr="009F6D1E" w:rsidRDefault="00F36E29" w:rsidP="0084747F">
            <w:pPr>
              <w:pStyle w:val="ListParagraph"/>
              <w:widowControl w:val="0"/>
              <w:spacing w:after="60" w:line="264" w:lineRule="auto"/>
              <w:contextualSpacing w:val="0"/>
              <w:jc w:val="both"/>
              <w:rPr>
                <w:color w:val="auto"/>
                <w:sz w:val="18"/>
                <w:szCs w:val="18"/>
                <w:lang w:val="bg-BG"/>
              </w:rPr>
            </w:pPr>
          </w:p>
          <w:p w14:paraId="1A6CD9F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Дейностите са насочени и като инвестиции за опазване на околната среда и ще спомогнат за преодоляване на съществуващите екологични проблеми описани в точка 6 от ЕО свързани с проблеми с качеството на водите</w:t>
            </w:r>
          </w:p>
          <w:p w14:paraId="5CF2C79F"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От реализацията на мярката по време на експлоатацията се очаква положително, постоянно, пряко, едновременно, дългосрочно въздействие с </w:t>
            </w:r>
            <w:r w:rsidRPr="009F6D1E">
              <w:rPr>
                <w:rFonts w:cs="Times New Roman"/>
                <w:sz w:val="18"/>
                <w:szCs w:val="18"/>
              </w:rPr>
              <w:lastRenderedPageBreak/>
              <w:t xml:space="preserve">висока значимост, дължащо се на: намаляване на натиска и въздействието върху химичното състояние на повърхностните и подземните води. </w:t>
            </w:r>
          </w:p>
          <w:p w14:paraId="68E1185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r>
      <w:tr w:rsidR="00F36E29" w:rsidRPr="009F6D1E" w14:paraId="6E28B0C6" w14:textId="77777777" w:rsidTr="00AB2292">
        <w:trPr>
          <w:trHeight w:val="318"/>
        </w:trPr>
        <w:tc>
          <w:tcPr>
            <w:tcW w:w="0" w:type="auto"/>
            <w:shd w:val="clear" w:color="auto" w:fill="auto"/>
          </w:tcPr>
          <w:p w14:paraId="6786D16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Земни недра</w:t>
            </w:r>
          </w:p>
        </w:tc>
        <w:tc>
          <w:tcPr>
            <w:tcW w:w="4032" w:type="dxa"/>
            <w:shd w:val="clear" w:color="auto" w:fill="auto"/>
          </w:tcPr>
          <w:p w14:paraId="3A1D3C95"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Не се очаква въздействие.</w:t>
            </w:r>
          </w:p>
        </w:tc>
        <w:tc>
          <w:tcPr>
            <w:tcW w:w="4395" w:type="dxa"/>
          </w:tcPr>
          <w:p w14:paraId="0EA9EEE2"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Не се очаква въздействие.</w:t>
            </w:r>
          </w:p>
        </w:tc>
        <w:tc>
          <w:tcPr>
            <w:tcW w:w="4218" w:type="dxa"/>
          </w:tcPr>
          <w:p w14:paraId="283E03E8"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Очакват се незначителни преки отрицателни въздействия върху геоложката основа в резултат от изграждане на някои типове съоръжения за добив на енергия от възобновяеми източници. Въздействията са в резултат от строителните дейности по изграждане на фундаменти за ветрогенератори, малки ВЕЦ и др. Въздействията са локални, отрицателни и постоянни с ниска степен на въздействие.</w:t>
            </w:r>
          </w:p>
        </w:tc>
      </w:tr>
      <w:tr w:rsidR="00F36E29" w:rsidRPr="009F6D1E" w14:paraId="4231C4CC" w14:textId="77777777" w:rsidTr="00AB2292">
        <w:trPr>
          <w:trHeight w:val="318"/>
        </w:trPr>
        <w:tc>
          <w:tcPr>
            <w:tcW w:w="0" w:type="auto"/>
            <w:shd w:val="clear" w:color="auto" w:fill="auto"/>
          </w:tcPr>
          <w:p w14:paraId="2A127F7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22AFA78F"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032" w:type="dxa"/>
            <w:shd w:val="clear" w:color="auto" w:fill="auto"/>
          </w:tcPr>
          <w:p w14:paraId="47BBD17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косвени положителни дълготрайни въздействия от дейностите свързани със запазване на органичното вещество в почвите.</w:t>
            </w:r>
          </w:p>
        </w:tc>
        <w:tc>
          <w:tcPr>
            <w:tcW w:w="4395" w:type="dxa"/>
          </w:tcPr>
          <w:p w14:paraId="0B5EDA9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преки положителни дълготрайни въздействия от дейностите свързани със увеличаване на органичния въглерод в почвите и в</w:t>
            </w:r>
            <w:r w:rsidRPr="009F6D1E">
              <w:rPr>
                <w:rFonts w:eastAsia="Times New Roman" w:cs="Times New Roman"/>
                <w:sz w:val="18"/>
                <w:szCs w:val="18"/>
                <w:lang w:eastAsia="bg-BG" w:bidi="bg-BG"/>
              </w:rPr>
              <w:t>ъзстановяване и поддържане на деградирали пасищни територии</w:t>
            </w:r>
            <w:r w:rsidRPr="009F6D1E">
              <w:rPr>
                <w:rFonts w:eastAsia="Tahoma" w:cs="Times New Roman"/>
                <w:sz w:val="18"/>
                <w:szCs w:val="18"/>
                <w:lang w:eastAsia="zh-CN"/>
              </w:rPr>
              <w:t xml:space="preserve">. </w:t>
            </w:r>
            <w:r w:rsidRPr="009F6D1E">
              <w:rPr>
                <w:rFonts w:eastAsia="Tahoma" w:cs="Times New Roman"/>
                <w:sz w:val="18"/>
                <w:szCs w:val="18"/>
                <w:lang w:eastAsia="zh-CN"/>
              </w:rPr>
              <w:lastRenderedPageBreak/>
              <w:t xml:space="preserve">Въздействията са с локален обхват в районите в който се прилага интервенцията.  </w:t>
            </w:r>
          </w:p>
        </w:tc>
        <w:tc>
          <w:tcPr>
            <w:tcW w:w="4218" w:type="dxa"/>
          </w:tcPr>
          <w:p w14:paraId="50F53E2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Очакваните въздействия са както положителни, така и отрицателни. </w:t>
            </w:r>
          </w:p>
          <w:p w14:paraId="6B5D5F5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Положителни косвени са въздействията върху почвите в резултат от намаляване на замърсяването </w:t>
            </w:r>
            <w:r w:rsidRPr="009F6D1E">
              <w:rPr>
                <w:rFonts w:eastAsia="Tahoma" w:cs="Times New Roman"/>
                <w:sz w:val="18"/>
                <w:szCs w:val="18"/>
                <w:lang w:eastAsia="zh-CN"/>
              </w:rPr>
              <w:lastRenderedPageBreak/>
              <w:t>на води и респективно почви и оползотворяване на отпадъци.</w:t>
            </w:r>
          </w:p>
          <w:p w14:paraId="781E6C6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Отрицателни преки въздействия върху почвите може да се очакват от строителните дейности по изграждане на всякакъв тип съоръжения и прилежаща инфраструктура. Въздействията са локални, постоянни и обратими с ниска и средна степен.</w:t>
            </w:r>
          </w:p>
        </w:tc>
      </w:tr>
      <w:tr w:rsidR="00F36E29" w:rsidRPr="009F6D1E" w14:paraId="3786CAF8" w14:textId="77777777" w:rsidTr="00AB2292">
        <w:trPr>
          <w:trHeight w:val="339"/>
        </w:trPr>
        <w:tc>
          <w:tcPr>
            <w:tcW w:w="0" w:type="auto"/>
            <w:shd w:val="clear" w:color="auto" w:fill="auto"/>
          </w:tcPr>
          <w:p w14:paraId="0A57990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Биоразнообразие</w:t>
            </w:r>
          </w:p>
          <w:p w14:paraId="5D978AD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19B67BBA" w14:textId="77777777" w:rsidR="00F36E29" w:rsidRPr="009F6D1E" w:rsidRDefault="00F36E29" w:rsidP="0084747F">
            <w:pPr>
              <w:spacing w:after="60" w:line="264" w:lineRule="auto"/>
              <w:jc w:val="both"/>
              <w:rPr>
                <w:rFonts w:cs="Times New Roman"/>
                <w:b/>
                <w:bCs/>
                <w:sz w:val="18"/>
                <w:szCs w:val="18"/>
                <w:highlight w:val="yellow"/>
              </w:rPr>
            </w:pPr>
            <w:r w:rsidRPr="009F6D1E">
              <w:rPr>
                <w:rFonts w:cs="Times New Roman"/>
                <w:b/>
                <w:bCs/>
                <w:sz w:val="18"/>
                <w:szCs w:val="18"/>
              </w:rPr>
              <w:t>ЗТ</w:t>
            </w:r>
          </w:p>
        </w:tc>
        <w:tc>
          <w:tcPr>
            <w:tcW w:w="4032" w:type="dxa"/>
            <w:shd w:val="clear" w:color="auto" w:fill="auto"/>
          </w:tcPr>
          <w:p w14:paraId="08B560B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Сектор Селското стопанство допринася за 10,69% от общата сума на емисиите на парникови газове в България, като е основен източник на емисии на N2O (87% от емисиите за страната). Основни причини са неустойчива употреба на минерални торове и управление и третиране на оборски тор. Инвестиции, насочени към опазване на околната среда и по-конкретно  в управлението на оборския тор и въвеждане на нисковъглеродни </w:t>
            </w:r>
            <w:r w:rsidRPr="009F6D1E">
              <w:rPr>
                <w:rFonts w:eastAsia="Tahoma" w:cs="Times New Roman"/>
                <w:sz w:val="18"/>
                <w:szCs w:val="18"/>
                <w:lang w:eastAsia="zh-CN"/>
              </w:rPr>
              <w:lastRenderedPageBreak/>
              <w:t xml:space="preserve">практики за преработка на оборски тор в стопанствата ще окажат косвено положително влияние върху биоразнообразието, ЗТ и горските съобщества чрез положително въздействие върху КАВ и климата. </w:t>
            </w:r>
          </w:p>
          <w:p w14:paraId="314B432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Консултантските услуги и повишаването на консултантския капацитет, както и професионалното обучение и придобиване на знания също ще окажат косвено положително  въздействие в дългосрочен аспект на регионално и национално ниво поради повишаване на капацитета и познанията за устойчиво ползване природните ресурси, необходимостта и ползите от намаляване на емисиите на ПГ, начините за намаляването им и т.н. Прилагането на тези знания и на екологосъобразни технологии ще </w:t>
            </w:r>
            <w:r w:rsidRPr="009F6D1E">
              <w:rPr>
                <w:rFonts w:eastAsia="Tahoma" w:cs="Times New Roman"/>
                <w:sz w:val="18"/>
                <w:szCs w:val="18"/>
                <w:lang w:eastAsia="zh-CN"/>
              </w:rPr>
              <w:lastRenderedPageBreak/>
              <w:t>допринесе за опазване на околната среда и биоразнообразието.</w:t>
            </w:r>
          </w:p>
          <w:p w14:paraId="2F5B719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622108C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285A246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регионален, национален</w:t>
            </w:r>
          </w:p>
          <w:p w14:paraId="2533CEDA" w14:textId="77777777" w:rsidR="00F36E29" w:rsidRPr="009F6D1E" w:rsidRDefault="00F36E29" w:rsidP="0084747F">
            <w:pPr>
              <w:spacing w:after="60" w:line="264" w:lineRule="auto"/>
              <w:jc w:val="both"/>
              <w:rPr>
                <w:rFonts w:eastAsia="Tahoma" w:cs="Times New Roman"/>
                <w:sz w:val="18"/>
                <w:szCs w:val="18"/>
                <w:lang w:eastAsia="zh-CN"/>
              </w:rPr>
            </w:pPr>
          </w:p>
          <w:p w14:paraId="4F933A97" w14:textId="77777777" w:rsidR="00F36E29" w:rsidRPr="009F6D1E" w:rsidRDefault="00F36E29" w:rsidP="0084747F">
            <w:pPr>
              <w:spacing w:after="60" w:line="264" w:lineRule="auto"/>
              <w:jc w:val="both"/>
              <w:rPr>
                <w:rFonts w:eastAsia="Tahoma" w:cs="Times New Roman"/>
                <w:sz w:val="18"/>
                <w:szCs w:val="18"/>
                <w:lang w:eastAsia="zh-CN"/>
              </w:rPr>
            </w:pPr>
          </w:p>
        </w:tc>
        <w:tc>
          <w:tcPr>
            <w:tcW w:w="4395" w:type="dxa"/>
          </w:tcPr>
          <w:p w14:paraId="5E3B91F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Добрите практики за управление на пасищата (вкл. неприлагането на пестициди и торове, животинските единици и интензивността на пашата) способстват за предпазване от ерозия на почвата и поддържане на тенденцията за намаляване на нетните емисии на СО2. </w:t>
            </w:r>
            <w:proofErr w:type="spellStart"/>
            <w:r w:rsidRPr="009F6D1E">
              <w:rPr>
                <w:rFonts w:eastAsia="Tahoma" w:cs="Times New Roman"/>
                <w:sz w:val="18"/>
                <w:szCs w:val="18"/>
                <w:lang w:eastAsia="zh-CN"/>
              </w:rPr>
              <w:t>Eкстензивното</w:t>
            </w:r>
            <w:proofErr w:type="spellEnd"/>
            <w:r w:rsidRPr="009F6D1E">
              <w:rPr>
                <w:rFonts w:eastAsia="Tahoma" w:cs="Times New Roman"/>
                <w:sz w:val="18"/>
                <w:szCs w:val="18"/>
                <w:lang w:eastAsia="zh-CN"/>
              </w:rPr>
              <w:t xml:space="preserve"> </w:t>
            </w:r>
            <w:proofErr w:type="spellStart"/>
            <w:r w:rsidRPr="009F6D1E">
              <w:rPr>
                <w:rFonts w:eastAsia="Tahoma" w:cs="Times New Roman"/>
                <w:sz w:val="18"/>
                <w:szCs w:val="18"/>
                <w:lang w:eastAsia="zh-CN"/>
              </w:rPr>
              <w:t>зашуване</w:t>
            </w:r>
            <w:proofErr w:type="spellEnd"/>
            <w:r w:rsidRPr="009F6D1E">
              <w:rPr>
                <w:rFonts w:eastAsia="Tahoma" w:cs="Times New Roman"/>
                <w:sz w:val="18"/>
                <w:szCs w:val="18"/>
                <w:lang w:eastAsia="zh-CN"/>
              </w:rPr>
              <w:t xml:space="preserve"> допринася за намаляване на уплътняването на почвата, намаляване на </w:t>
            </w:r>
            <w:proofErr w:type="spellStart"/>
            <w:r w:rsidRPr="009F6D1E">
              <w:rPr>
                <w:rFonts w:eastAsia="Tahoma" w:cs="Times New Roman"/>
                <w:sz w:val="18"/>
                <w:szCs w:val="18"/>
                <w:lang w:eastAsia="zh-CN"/>
              </w:rPr>
              <w:t>водоплощната</w:t>
            </w:r>
            <w:proofErr w:type="spellEnd"/>
            <w:r w:rsidRPr="009F6D1E">
              <w:rPr>
                <w:rFonts w:eastAsia="Tahoma" w:cs="Times New Roman"/>
                <w:sz w:val="18"/>
                <w:szCs w:val="18"/>
                <w:lang w:eastAsia="zh-CN"/>
              </w:rPr>
              <w:t xml:space="preserve"> ерозия и запазване на биоразнообразието от пасищни видове. Прилагането </w:t>
            </w:r>
            <w:r w:rsidRPr="009F6D1E">
              <w:rPr>
                <w:rFonts w:eastAsia="Tahoma" w:cs="Times New Roman"/>
                <w:sz w:val="18"/>
                <w:szCs w:val="18"/>
                <w:lang w:eastAsia="zh-CN"/>
              </w:rPr>
              <w:lastRenderedPageBreak/>
              <w:t xml:space="preserve">на практики по повърхностно подобряване без механична обработка спомага за възстановяването и поддържането на деградирали пасищни територии, което ще окаже положително въздействие върху биоразнообразието. </w:t>
            </w:r>
          </w:p>
          <w:p w14:paraId="2E5A914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Плащанията за земеделски земи в зони от Натура 2000 се предоставят на хектар земеделска площ годишно, за компенсиране на наложени режими/ограничения/ за земеделски дейности, включени в заповедта за обявяване на съответна зона от Натура 2000. Мярката ще подпомогне земеделските стопани, ще спомогне за тяхната информираност относно режимите в Натура 2000 и за тяхното спазване. Въздействието ще бъде локално, положително. </w:t>
            </w:r>
          </w:p>
          <w:p w14:paraId="638462F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Професионалното обучение и придобиване на знания ще окажат косвено положително въздействие в дългосрочен аспект на регионално и национално ниво </w:t>
            </w:r>
            <w:r w:rsidRPr="009F6D1E">
              <w:rPr>
                <w:rFonts w:eastAsia="Tahoma" w:cs="Times New Roman"/>
                <w:sz w:val="18"/>
                <w:szCs w:val="18"/>
                <w:lang w:eastAsia="zh-CN"/>
              </w:rPr>
              <w:lastRenderedPageBreak/>
              <w:t>поради повишаване на капацитета и познанията за устойчиво ползване на ресурсите. Прилагането на тези знания и на екологосъобразни технологии ще допринесе за опазване на околната среда и биоразнообразието.</w:t>
            </w:r>
          </w:p>
          <w:p w14:paraId="68D5F94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73C8ADD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74C2393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 регионален, национален</w:t>
            </w:r>
          </w:p>
        </w:tc>
        <w:tc>
          <w:tcPr>
            <w:tcW w:w="4218" w:type="dxa"/>
          </w:tcPr>
          <w:p w14:paraId="5A1AF07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Една от  предложените интервенции по П 4.3. - „Инвестиции в екологични съоръжения”, има потенциал да окаже негативно въздействие върху биологичното разнообразие и ЗТ. Възможното отрицателно въздействие, е постоянно, пряко, дължащо се на дейности по строителство и експлоатация на различни съоръжения и инфраструктура. Възможно е унищожаване на растителни и животински видове (вкл. </w:t>
            </w:r>
            <w:proofErr w:type="spellStart"/>
            <w:r w:rsidRPr="009F6D1E">
              <w:rPr>
                <w:rFonts w:eastAsia="Tahoma" w:cs="Times New Roman"/>
                <w:sz w:val="18"/>
                <w:szCs w:val="18"/>
                <w:lang w:eastAsia="zh-CN"/>
              </w:rPr>
              <w:lastRenderedPageBreak/>
              <w:t>консервационно</w:t>
            </w:r>
            <w:proofErr w:type="spellEnd"/>
            <w:r w:rsidRPr="009F6D1E">
              <w:rPr>
                <w:rFonts w:eastAsia="Tahoma" w:cs="Times New Roman"/>
                <w:sz w:val="18"/>
                <w:szCs w:val="18"/>
                <w:lang w:eastAsia="zh-CN"/>
              </w:rPr>
              <w:t xml:space="preserve">-значими), загуба на природни местообитания, загуба на индивиди, безпокойство и др. </w:t>
            </w:r>
          </w:p>
          <w:p w14:paraId="5686EEB3"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 xml:space="preserve">Тъй като инвестициите в екологични съоръжения, в зависимост от спецификите си, подлежат на разрешаване по реда на специални закони, вкл. такива свързани с опазване на горите, ЗТ и биоразнообразието, при спазване на законодателството и добрите практики не се очаква значително отрицателно въздействие. При експлоатацията на ВЕИ ще има и положително въздействие върху околната среда и биоразнообразието, резултат от намаляване на емисиите от замърсители и ПГ. </w:t>
            </w:r>
          </w:p>
          <w:p w14:paraId="11802617"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p>
          <w:p w14:paraId="7C420AC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директно; положително, отрицателно</w:t>
            </w:r>
          </w:p>
          <w:p w14:paraId="0CA39C7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Продължителност на въздействието: дългосрочно </w:t>
            </w:r>
          </w:p>
          <w:p w14:paraId="7BB6D2A7"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Обхват на въздействието: локален</w:t>
            </w:r>
          </w:p>
          <w:p w14:paraId="2FBC44CF"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p>
          <w:p w14:paraId="64A881A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Консултантските услуги и повишаването на консултантския капацитет, както и професионалното обучение и придобиване на знания ще окажат косвено положително  въздействие в дългосрочен аспект на регионално и национално ниво поради повишаване на капацитета и познанията за ВЕИ. Прилагането на тези знания и на екологосъобразни технологии ще допринесе за опазване на околната среда и биоразнообразието. </w:t>
            </w:r>
          </w:p>
          <w:p w14:paraId="2F82D64F"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p>
          <w:p w14:paraId="49646B1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2C6D3BC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759A324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Обхват на въздействието: локален, регионален, национален</w:t>
            </w:r>
          </w:p>
        </w:tc>
      </w:tr>
      <w:tr w:rsidR="00F36E29" w:rsidRPr="009F6D1E" w14:paraId="7EA12176" w14:textId="77777777" w:rsidTr="00AB2292">
        <w:trPr>
          <w:trHeight w:val="318"/>
        </w:trPr>
        <w:tc>
          <w:tcPr>
            <w:tcW w:w="0" w:type="auto"/>
            <w:shd w:val="clear" w:color="auto" w:fill="auto"/>
          </w:tcPr>
          <w:p w14:paraId="4925608A"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032" w:type="dxa"/>
            <w:shd w:val="clear" w:color="auto" w:fill="auto"/>
          </w:tcPr>
          <w:p w14:paraId="39F55CC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косвени положителни дълготрайни въздействия върху ландшафтите от дейностите свързани със Инвестиции в земеделските стопанства насочени към опазване на компонентите на околната среда.</w:t>
            </w:r>
          </w:p>
        </w:tc>
        <w:tc>
          <w:tcPr>
            <w:tcW w:w="4395" w:type="dxa"/>
            <w:shd w:val="clear" w:color="auto" w:fill="auto"/>
          </w:tcPr>
          <w:p w14:paraId="14F64067"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преки положителни дълготрайни въздействия върху ландшафтите от дейностите свързани с в</w:t>
            </w:r>
            <w:r w:rsidRPr="009F6D1E">
              <w:rPr>
                <w:rFonts w:eastAsia="Times New Roman" w:cs="Times New Roman"/>
                <w:sz w:val="18"/>
                <w:szCs w:val="18"/>
                <w:lang w:eastAsia="bg-BG" w:bidi="bg-BG"/>
              </w:rPr>
              <w:t>ъзстановяване и поддържане на деградирали пасищни територии</w:t>
            </w:r>
            <w:r w:rsidRPr="009F6D1E">
              <w:rPr>
                <w:rFonts w:eastAsia="Tahoma" w:cs="Times New Roman"/>
                <w:sz w:val="18"/>
                <w:szCs w:val="18"/>
                <w:lang w:eastAsia="zh-CN"/>
              </w:rPr>
              <w:t xml:space="preserve">. Въздействията са с локален обхват в районите в който се прилага интервенцията.  </w:t>
            </w:r>
          </w:p>
        </w:tc>
        <w:tc>
          <w:tcPr>
            <w:tcW w:w="4218" w:type="dxa"/>
          </w:tcPr>
          <w:p w14:paraId="461162A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Очакваните въздействия са както положителни, така и отрицателни. </w:t>
            </w:r>
          </w:p>
          <w:p w14:paraId="24031D4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Положителни косвени са въздействията върху ландшафтите в резултат от намаляване на замърсяването на води и респективно почвите и оползотворяването и третирането на отпадъци.</w:t>
            </w:r>
          </w:p>
          <w:p w14:paraId="2686060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Отрицателни преки въздействия върху ландшафтите може да се очакват от строителните дейности по изграждане на всякакъв тип съоръжения и прилежаща инфраструктура и допълнително </w:t>
            </w:r>
            <w:proofErr w:type="spellStart"/>
            <w:r w:rsidRPr="009F6D1E">
              <w:rPr>
                <w:rFonts w:eastAsia="Tahoma" w:cs="Times New Roman"/>
                <w:sz w:val="18"/>
                <w:szCs w:val="18"/>
                <w:lang w:eastAsia="zh-CN"/>
              </w:rPr>
              <w:t>антропогенизиране</w:t>
            </w:r>
            <w:proofErr w:type="spellEnd"/>
            <w:r w:rsidRPr="009F6D1E">
              <w:rPr>
                <w:rFonts w:eastAsia="Tahoma" w:cs="Times New Roman"/>
                <w:sz w:val="18"/>
                <w:szCs w:val="18"/>
                <w:lang w:eastAsia="zh-CN"/>
              </w:rPr>
              <w:t xml:space="preserve"> на средата. Въздействията са локални, постоянни и обратими с ниска и средна степен.</w:t>
            </w:r>
          </w:p>
        </w:tc>
      </w:tr>
      <w:tr w:rsidR="00F36E29" w:rsidRPr="009F6D1E" w14:paraId="7DF17D0C" w14:textId="77777777" w:rsidTr="00AB2292">
        <w:trPr>
          <w:trHeight w:val="318"/>
        </w:trPr>
        <w:tc>
          <w:tcPr>
            <w:tcW w:w="0" w:type="auto"/>
            <w:shd w:val="clear" w:color="auto" w:fill="auto"/>
          </w:tcPr>
          <w:p w14:paraId="068DA88D"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4032" w:type="dxa"/>
            <w:shd w:val="clear" w:color="auto" w:fill="auto"/>
          </w:tcPr>
          <w:p w14:paraId="0387E64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395" w:type="dxa"/>
          </w:tcPr>
          <w:p w14:paraId="0F9A802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18" w:type="dxa"/>
          </w:tcPr>
          <w:p w14:paraId="3532EE6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 се пряко и положително въздействие върху материалните активи, като резултат от изграждането на соларни паркове и вятърни перки.</w:t>
            </w:r>
          </w:p>
        </w:tc>
      </w:tr>
      <w:tr w:rsidR="00F36E29" w:rsidRPr="009F6D1E" w14:paraId="61ADCF52" w14:textId="77777777" w:rsidTr="00AB2292">
        <w:trPr>
          <w:trHeight w:val="318"/>
        </w:trPr>
        <w:tc>
          <w:tcPr>
            <w:tcW w:w="0" w:type="auto"/>
            <w:shd w:val="clear" w:color="auto" w:fill="auto"/>
          </w:tcPr>
          <w:p w14:paraId="3457311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032" w:type="dxa"/>
            <w:shd w:val="clear" w:color="auto" w:fill="auto"/>
          </w:tcPr>
          <w:p w14:paraId="10022ED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4395" w:type="dxa"/>
          </w:tcPr>
          <w:p w14:paraId="3ECAF95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18" w:type="dxa"/>
          </w:tcPr>
          <w:p w14:paraId="0BCD652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E89F543" w14:textId="77777777" w:rsidTr="00AB2292">
        <w:trPr>
          <w:trHeight w:val="1610"/>
        </w:trPr>
        <w:tc>
          <w:tcPr>
            <w:tcW w:w="0" w:type="auto"/>
            <w:shd w:val="clear" w:color="auto" w:fill="auto"/>
          </w:tcPr>
          <w:p w14:paraId="63F7744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032" w:type="dxa"/>
            <w:shd w:val="clear" w:color="auto" w:fill="auto"/>
          </w:tcPr>
          <w:p w14:paraId="27357CF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395" w:type="dxa"/>
          </w:tcPr>
          <w:p w14:paraId="4A073AF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18" w:type="dxa"/>
          </w:tcPr>
          <w:p w14:paraId="126EC50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Възможни на преки и отрицателни въздействия върху шумовите нива, като резултата от изграждането на вятърни паркове. Спазването на нормативните изисквания в областта и достатъчното отстояние на същите от близко разположените населени места няма да доведе до значителни въздействия върху компонентите на околната среда.</w:t>
            </w:r>
          </w:p>
        </w:tc>
      </w:tr>
      <w:tr w:rsidR="00F36E29" w:rsidRPr="009F6D1E" w14:paraId="5BFE858D" w14:textId="77777777" w:rsidTr="00AB2292">
        <w:trPr>
          <w:trHeight w:val="318"/>
        </w:trPr>
        <w:tc>
          <w:tcPr>
            <w:tcW w:w="0" w:type="auto"/>
            <w:shd w:val="clear" w:color="auto" w:fill="auto"/>
          </w:tcPr>
          <w:p w14:paraId="4D92E30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032" w:type="dxa"/>
            <w:shd w:val="clear" w:color="auto" w:fill="auto"/>
          </w:tcPr>
          <w:p w14:paraId="171B8B2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Очаква се пряко и положително въздействие върху специфични потоци отпадъци в селското стопанство, какъвто е оборския тор, като основен </w:t>
            </w:r>
            <w:r w:rsidRPr="009F6D1E">
              <w:rPr>
                <w:rFonts w:eastAsia="Tahoma" w:cs="Times New Roman"/>
                <w:sz w:val="18"/>
                <w:szCs w:val="18"/>
                <w:lang w:eastAsia="zh-CN"/>
              </w:rPr>
              <w:lastRenderedPageBreak/>
              <w:t>източник на парникови газове в атмосферата, резултат от неправилното му третиране.</w:t>
            </w:r>
          </w:p>
        </w:tc>
        <w:tc>
          <w:tcPr>
            <w:tcW w:w="4395" w:type="dxa"/>
          </w:tcPr>
          <w:p w14:paraId="16B5752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 въздействие.</w:t>
            </w:r>
          </w:p>
        </w:tc>
        <w:tc>
          <w:tcPr>
            <w:tcW w:w="4218" w:type="dxa"/>
          </w:tcPr>
          <w:p w14:paraId="4A5C8F9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07F6280" w14:textId="77777777" w:rsidTr="00AB2292">
        <w:tc>
          <w:tcPr>
            <w:tcW w:w="0" w:type="auto"/>
            <w:shd w:val="clear" w:color="auto" w:fill="auto"/>
          </w:tcPr>
          <w:p w14:paraId="4E56544E"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4032" w:type="dxa"/>
            <w:shd w:val="clear" w:color="auto" w:fill="auto"/>
          </w:tcPr>
          <w:p w14:paraId="60ED0542"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395" w:type="dxa"/>
          </w:tcPr>
          <w:p w14:paraId="7FEF9568"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218" w:type="dxa"/>
          </w:tcPr>
          <w:p w14:paraId="2543AE38"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F36E29" w:rsidRPr="009F6D1E" w14:paraId="154BCC69" w14:textId="77777777" w:rsidTr="00AB2292">
        <w:tc>
          <w:tcPr>
            <w:tcW w:w="0" w:type="auto"/>
            <w:shd w:val="clear" w:color="auto" w:fill="auto"/>
          </w:tcPr>
          <w:p w14:paraId="21F29F4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73D4DA94"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47D248AA"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032" w:type="dxa"/>
            <w:shd w:val="clear" w:color="auto" w:fill="auto"/>
          </w:tcPr>
          <w:p w14:paraId="693A86FC"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Очаква се индиректно и положително въздействие върху населението и човешкото здраве, като резултат от борбата с настъпващите климатични промени.</w:t>
            </w:r>
          </w:p>
        </w:tc>
        <w:tc>
          <w:tcPr>
            <w:tcW w:w="4395" w:type="dxa"/>
          </w:tcPr>
          <w:p w14:paraId="05595A9A"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Прилагането на мярката ще доведе до индиректно и положително въздействие върху социално-икономическите условия в районите, където мярката се прилага, а от тук и върху здравето на населението. Всичко това ще е като последица от подобряване на почвеното плодородие и развитието на земеделието в района.</w:t>
            </w:r>
          </w:p>
        </w:tc>
        <w:tc>
          <w:tcPr>
            <w:tcW w:w="4218" w:type="dxa"/>
          </w:tcPr>
          <w:p w14:paraId="4FF56C62"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Прилагането на мярката ще доведе до пряко и положително въздействие върху социално-икономическите условия на средата, а от тук ще окаже и индиректно положително въздействие върху живота и здравето на населението в районите, където мярката се прилага. Индиректно въздействие върху здравето на населението ще се наблюдава и като резултат от намалените емисии на вредни вещества в атмосферата. Спазването на нормативната уредба ще предотврати достигането до отрицателни въздействия върху населението, като резултат от завишени шумови нива.</w:t>
            </w:r>
          </w:p>
        </w:tc>
      </w:tr>
      <w:bookmarkEnd w:id="604"/>
    </w:tbl>
    <w:p w14:paraId="17EDA5B3" w14:textId="77777777" w:rsidR="00F36E29" w:rsidRPr="009F6D1E" w:rsidRDefault="00F36E29" w:rsidP="0084747F">
      <w:pPr>
        <w:spacing w:after="60" w:line="264" w:lineRule="auto"/>
        <w:contextualSpacing/>
        <w:jc w:val="both"/>
        <w:rPr>
          <w:rFonts w:eastAsia="Calibri" w:cs="Times New Roman"/>
          <w:b/>
          <w:bCs/>
          <w:i/>
          <w:iCs/>
          <w:szCs w:val="24"/>
        </w:rPr>
      </w:pPr>
    </w:p>
    <w:p w14:paraId="12FA776E"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104"/>
        <w:gridCol w:w="7"/>
        <w:gridCol w:w="4252"/>
        <w:gridCol w:w="3828"/>
      </w:tblGrid>
      <w:tr w:rsidR="00F36E29" w:rsidRPr="009F6D1E" w14:paraId="6CB57592" w14:textId="77777777" w:rsidTr="00AB2292">
        <w:trPr>
          <w:tblHeader/>
        </w:trPr>
        <w:tc>
          <w:tcPr>
            <w:tcW w:w="1838" w:type="dxa"/>
            <w:vMerge w:val="restart"/>
            <w:shd w:val="clear" w:color="auto" w:fill="D9D9D9" w:themeFill="background1" w:themeFillShade="D9"/>
            <w:textDirection w:val="btLr"/>
            <w:vAlign w:val="center"/>
          </w:tcPr>
          <w:p w14:paraId="2DC481AA" w14:textId="77777777" w:rsidR="00F36E29" w:rsidRPr="009F6D1E" w:rsidRDefault="00F36E29" w:rsidP="0084747F">
            <w:pPr>
              <w:spacing w:after="60" w:line="264" w:lineRule="auto"/>
              <w:ind w:left="113" w:right="113"/>
              <w:jc w:val="center"/>
              <w:rPr>
                <w:rFonts w:cs="Times New Roman"/>
                <w:b/>
                <w:bCs/>
                <w:i/>
                <w:sz w:val="18"/>
                <w:szCs w:val="18"/>
              </w:rPr>
            </w:pPr>
            <w:r w:rsidRPr="009F6D1E">
              <w:rPr>
                <w:rFonts w:cs="Times New Roman"/>
                <w:b/>
                <w:bCs/>
                <w:sz w:val="18"/>
                <w:szCs w:val="18"/>
              </w:rPr>
              <w:t>КОМПОНЕНТ/ ФАКТОР НА ОКОЛНАТА СРЕДА</w:t>
            </w:r>
          </w:p>
        </w:tc>
        <w:tc>
          <w:tcPr>
            <w:tcW w:w="4111" w:type="dxa"/>
            <w:gridSpan w:val="2"/>
            <w:shd w:val="clear" w:color="auto" w:fill="D9D9D9" w:themeFill="background1" w:themeFillShade="D9"/>
          </w:tcPr>
          <w:p w14:paraId="66AF344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П.4.4.Потребност от използването на култури и сортове, приспособени към климата</w:t>
            </w:r>
          </w:p>
          <w:p w14:paraId="6A7508E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26E3EEA6"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Насърчаване използването на култури и сортове, подходящи за отглеждане при специфични климатични условия</w:t>
            </w:r>
          </w:p>
          <w:p w14:paraId="11471087"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Използване на устойчиви практики и сортове, отглеждани при специфични условия</w:t>
            </w:r>
          </w:p>
          <w:p w14:paraId="6E51C3B0"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Насърчаване намалението на употребата на продукти за растителна защита и торове през контрол в краен продукт</w:t>
            </w:r>
          </w:p>
        </w:tc>
        <w:tc>
          <w:tcPr>
            <w:tcW w:w="4252" w:type="dxa"/>
            <w:shd w:val="clear" w:color="auto" w:fill="D9D9D9" w:themeFill="background1" w:themeFillShade="D9"/>
            <w:vAlign w:val="center"/>
          </w:tcPr>
          <w:p w14:paraId="51CD1D10" w14:textId="77777777" w:rsidR="00F36E29" w:rsidRPr="009F6D1E" w:rsidRDefault="00F36E29" w:rsidP="0084747F">
            <w:pPr>
              <w:widowControl w:val="0"/>
              <w:spacing w:after="60" w:line="264" w:lineRule="auto"/>
              <w:jc w:val="center"/>
              <w:rPr>
                <w:rFonts w:cs="Times New Roman"/>
                <w:b/>
                <w:bCs/>
                <w:i/>
                <w:sz w:val="18"/>
                <w:szCs w:val="18"/>
              </w:rPr>
            </w:pPr>
            <w:r w:rsidRPr="009F6D1E">
              <w:rPr>
                <w:rFonts w:cs="Times New Roman"/>
                <w:b/>
                <w:bCs/>
                <w:i/>
                <w:sz w:val="18"/>
                <w:szCs w:val="18"/>
              </w:rPr>
              <w:t xml:space="preserve">П.4.5. Потребност от прилагане на нискоинтензивни земеделски практики като </w:t>
            </w:r>
            <w:proofErr w:type="spellStart"/>
            <w:r w:rsidRPr="009F6D1E">
              <w:rPr>
                <w:rFonts w:cs="Times New Roman"/>
                <w:b/>
                <w:bCs/>
                <w:i/>
                <w:sz w:val="18"/>
                <w:szCs w:val="18"/>
              </w:rPr>
              <w:t>консервационно</w:t>
            </w:r>
            <w:proofErr w:type="spellEnd"/>
            <w:r w:rsidRPr="009F6D1E">
              <w:rPr>
                <w:rFonts w:cs="Times New Roman"/>
                <w:b/>
                <w:bCs/>
                <w:i/>
                <w:sz w:val="18"/>
                <w:szCs w:val="18"/>
              </w:rPr>
              <w:t>, интегрирано и биологично земеделие</w:t>
            </w:r>
          </w:p>
          <w:p w14:paraId="44E0DED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 xml:space="preserve">: </w:t>
            </w:r>
          </w:p>
          <w:p w14:paraId="01D15A1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Насърчаване използването на култури и сортове, устойчиви към климатичните условия</w:t>
            </w:r>
          </w:p>
          <w:p w14:paraId="5778D2A1"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Биологично производство</w:t>
            </w:r>
          </w:p>
          <w:p w14:paraId="51355AE2"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Създаване и възстановяване на екологична инфраструктура</w:t>
            </w:r>
          </w:p>
          <w:p w14:paraId="06EC6C44"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Консултантски услуги и повишаване на консултантския капацитет</w:t>
            </w:r>
          </w:p>
          <w:p w14:paraId="3702303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Професионално обучение и придобиване на знания</w:t>
            </w:r>
          </w:p>
        </w:tc>
        <w:tc>
          <w:tcPr>
            <w:tcW w:w="3828" w:type="dxa"/>
            <w:shd w:val="clear" w:color="auto" w:fill="D9D9D9" w:themeFill="background1" w:themeFillShade="D9"/>
          </w:tcPr>
          <w:p w14:paraId="6A007AB4" w14:textId="77777777" w:rsidR="00F36E29" w:rsidRPr="009F6D1E" w:rsidRDefault="00F36E29" w:rsidP="0084747F">
            <w:pPr>
              <w:spacing w:after="60" w:line="264" w:lineRule="auto"/>
              <w:jc w:val="center"/>
              <w:rPr>
                <w:rFonts w:cs="Times New Roman"/>
                <w:b/>
                <w:bCs/>
                <w:i/>
                <w:sz w:val="18"/>
                <w:szCs w:val="18"/>
                <w:u w:val="single"/>
              </w:rPr>
            </w:pPr>
            <w:r w:rsidRPr="009F6D1E">
              <w:rPr>
                <w:rFonts w:cs="Times New Roman"/>
                <w:b/>
                <w:bCs/>
                <w:i/>
                <w:sz w:val="18"/>
                <w:szCs w:val="18"/>
              </w:rPr>
              <w:t>П.4.6.Увеличаване на производството на биомаса с животински произход</w:t>
            </w:r>
          </w:p>
          <w:p w14:paraId="2F704B98"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210D7E5"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Консултантски услуги и повишаване на консултантския капацитет</w:t>
            </w:r>
          </w:p>
          <w:p w14:paraId="5B371F3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Професионално обучение и придобиване на знания</w:t>
            </w:r>
          </w:p>
        </w:tc>
      </w:tr>
      <w:tr w:rsidR="00F36E29" w:rsidRPr="009F6D1E" w14:paraId="2FA4A644" w14:textId="77777777" w:rsidTr="00AB2292">
        <w:trPr>
          <w:tblHeader/>
        </w:trPr>
        <w:tc>
          <w:tcPr>
            <w:tcW w:w="1838" w:type="dxa"/>
            <w:vMerge/>
            <w:shd w:val="clear" w:color="auto" w:fill="FFF2CC" w:themeFill="accent4" w:themeFillTint="33"/>
          </w:tcPr>
          <w:p w14:paraId="086C44CC" w14:textId="77777777" w:rsidR="00F36E29" w:rsidRPr="009F6D1E" w:rsidRDefault="00F36E29" w:rsidP="0084747F">
            <w:pPr>
              <w:spacing w:after="60" w:line="264" w:lineRule="auto"/>
              <w:jc w:val="center"/>
              <w:rPr>
                <w:rFonts w:cs="Times New Roman"/>
                <w:b/>
                <w:bCs/>
                <w:sz w:val="18"/>
                <w:szCs w:val="18"/>
              </w:rPr>
            </w:pPr>
          </w:p>
        </w:tc>
        <w:tc>
          <w:tcPr>
            <w:tcW w:w="12191" w:type="dxa"/>
            <w:gridSpan w:val="4"/>
            <w:shd w:val="clear" w:color="auto" w:fill="FFF2CC" w:themeFill="accent4" w:themeFillTint="33"/>
          </w:tcPr>
          <w:p w14:paraId="3C98092C"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7ED601B5" w14:textId="77777777" w:rsidTr="00AB2292">
        <w:trPr>
          <w:trHeight w:val="318"/>
        </w:trPr>
        <w:tc>
          <w:tcPr>
            <w:tcW w:w="1838" w:type="dxa"/>
            <w:shd w:val="clear" w:color="auto" w:fill="auto"/>
          </w:tcPr>
          <w:p w14:paraId="5A8B4AE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2CC575B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2E4168E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111" w:type="dxa"/>
            <w:gridSpan w:val="2"/>
            <w:shd w:val="clear" w:color="auto" w:fill="auto"/>
          </w:tcPr>
          <w:p w14:paraId="1E62896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Реализирането на мярката ще допринесе за адаптация на земеделието към изменящите се климатични условия. Намаляване използването на торове ще доведе до директно влияние върху нивата на емитираните емисии на въглероден диоксид, като допринесе за техния спад. Въздействието ще е положително и постоянно, в районите на прилагането на мярката.</w:t>
            </w:r>
          </w:p>
        </w:tc>
        <w:tc>
          <w:tcPr>
            <w:tcW w:w="4252" w:type="dxa"/>
          </w:tcPr>
          <w:p w14:paraId="453E680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Насърчаването и подпомагането на биологичното земеделие ще допринесе до намаляване използването на торове и от тук директно ще повлияе върху нивата на емитираните емисии на въглероден диоксид, като допринесе за техния спад. Въздействието ще е положително и постоянно, в районите на развитие на биологичното земеделие за сметка на традиционното такова.</w:t>
            </w:r>
          </w:p>
        </w:tc>
        <w:tc>
          <w:tcPr>
            <w:tcW w:w="3828" w:type="dxa"/>
          </w:tcPr>
          <w:p w14:paraId="062970B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Възможно е индиректно положително въздействие върху климата, като резултат от произведената биомаса с животински произход и последващото й влагане в процесите на енергопроизводство.</w:t>
            </w:r>
          </w:p>
        </w:tc>
      </w:tr>
      <w:tr w:rsidR="00F36E29" w:rsidRPr="009F6D1E" w14:paraId="19A7FAFF" w14:textId="77777777" w:rsidTr="00AB2292">
        <w:trPr>
          <w:trHeight w:val="318"/>
        </w:trPr>
        <w:tc>
          <w:tcPr>
            <w:tcW w:w="1838" w:type="dxa"/>
            <w:shd w:val="clear" w:color="auto" w:fill="auto"/>
          </w:tcPr>
          <w:p w14:paraId="730C65CD"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111" w:type="dxa"/>
            <w:gridSpan w:val="2"/>
            <w:shd w:val="clear" w:color="auto" w:fill="auto"/>
          </w:tcPr>
          <w:p w14:paraId="3DAA5CC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Пряко и положително въздействие в районите на прилагане на мярката, като резултат от контролираното използване на торове.</w:t>
            </w:r>
          </w:p>
        </w:tc>
        <w:tc>
          <w:tcPr>
            <w:tcW w:w="4252" w:type="dxa"/>
          </w:tcPr>
          <w:p w14:paraId="4BB679D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Намаляването използването на торове, в резултат от прилагането на мярката, ще допринесе до намаляване на емисиите в атмосферата. Въздействието ще е положително, постоянно, в районите с развиващо се биоземеделие.</w:t>
            </w:r>
          </w:p>
        </w:tc>
        <w:tc>
          <w:tcPr>
            <w:tcW w:w="3828" w:type="dxa"/>
          </w:tcPr>
          <w:p w14:paraId="326CF96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Индиректно и положително въздействие върху качеството на атмосферния въздух като резултат от увеличеното производство на биомаса с животински произход и използването й за производство на електрическа енергия.</w:t>
            </w:r>
          </w:p>
        </w:tc>
      </w:tr>
      <w:tr w:rsidR="00F36E29" w:rsidRPr="009F6D1E" w14:paraId="7CB7A32A" w14:textId="77777777" w:rsidTr="00AB2292">
        <w:trPr>
          <w:trHeight w:val="318"/>
        </w:trPr>
        <w:tc>
          <w:tcPr>
            <w:tcW w:w="1838" w:type="dxa"/>
            <w:shd w:val="clear" w:color="auto" w:fill="auto"/>
          </w:tcPr>
          <w:p w14:paraId="5C54CCA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Повърхностни води</w:t>
            </w:r>
          </w:p>
          <w:p w14:paraId="3C3CB9A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00AA127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1793CCF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111" w:type="dxa"/>
            <w:gridSpan w:val="2"/>
            <w:shd w:val="clear" w:color="auto" w:fill="auto"/>
          </w:tcPr>
          <w:p w14:paraId="1C2B79ED" w14:textId="77777777" w:rsidR="00F36E29" w:rsidRPr="009F6D1E" w:rsidRDefault="00F36E29" w:rsidP="0084747F">
            <w:pPr>
              <w:widowControl w:val="0"/>
              <w:spacing w:after="60" w:line="264" w:lineRule="auto"/>
              <w:jc w:val="both"/>
              <w:rPr>
                <w:rFonts w:cs="Times New Roman"/>
                <w:kern w:val="16"/>
                <w:sz w:val="18"/>
                <w:szCs w:val="18"/>
              </w:rPr>
            </w:pPr>
            <w:r w:rsidRPr="009F6D1E">
              <w:rPr>
                <w:rFonts w:cs="Times New Roman"/>
                <w:kern w:val="16"/>
                <w:sz w:val="18"/>
                <w:szCs w:val="18"/>
              </w:rPr>
              <w:t xml:space="preserve">Очаква се положително, постоянно, косвено, едновременно, дългосрочно въздействие със средна значимост, дължащо се на: подобряване на качеството на подземните води поради насърчаване намалението на употребата на продукти за растителна защита и торове през контрол в крайния продукт и като цяло до земеделие, съобразено с добрите екологични земеделски практики. </w:t>
            </w:r>
          </w:p>
          <w:p w14:paraId="4AF135AD" w14:textId="77777777" w:rsidR="00F36E29" w:rsidRPr="009F6D1E" w:rsidRDefault="00F36E29" w:rsidP="0084747F">
            <w:pPr>
              <w:widowControl w:val="0"/>
              <w:spacing w:after="60" w:line="264" w:lineRule="auto"/>
              <w:jc w:val="both"/>
              <w:rPr>
                <w:rFonts w:cs="Times New Roman"/>
                <w:kern w:val="16"/>
                <w:sz w:val="18"/>
                <w:szCs w:val="18"/>
              </w:rPr>
            </w:pPr>
            <w:r w:rsidRPr="009F6D1E">
              <w:rPr>
                <w:rFonts w:cs="Times New Roman"/>
                <w:kern w:val="16"/>
                <w:sz w:val="18"/>
                <w:szCs w:val="18"/>
              </w:rPr>
              <w:t>Продължителност на въздействието: дългосрочно</w:t>
            </w:r>
          </w:p>
          <w:p w14:paraId="22A5155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4252" w:type="dxa"/>
          </w:tcPr>
          <w:p w14:paraId="323154F9"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Мярката предвижда насърчаването на биологичното земеделие, което ще доведе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подобряване управлението на водите, включително управлението на торовете и пестицидите. </w:t>
            </w:r>
          </w:p>
          <w:p w14:paraId="2995932C"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Дейностите са насочени и като инвестиции за опазване на околната среда и ще спомогнат за преодоляване на съществуващите екологични проблеми описани в точка 6 от ЕО и съответстват на заложените цели на ПУРБ</w:t>
            </w:r>
          </w:p>
          <w:p w14:paraId="6A3BDA18"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t xml:space="preserve">Очаква се положително, постоянно, косвено, едновременно, дългосрочно въздействие със средна значимост, дължащо се на: подобряване на </w:t>
            </w:r>
            <w:r w:rsidRPr="009F6D1E">
              <w:rPr>
                <w:rFonts w:cs="Times New Roman"/>
                <w:kern w:val="16"/>
                <w:sz w:val="18"/>
                <w:szCs w:val="18"/>
              </w:rPr>
              <w:lastRenderedPageBreak/>
              <w:t xml:space="preserve">качеството на водите </w:t>
            </w:r>
            <w:r w:rsidRPr="009F6D1E">
              <w:rPr>
                <w:rFonts w:cs="Times New Roman"/>
                <w:sz w:val="18"/>
                <w:szCs w:val="18"/>
              </w:rPr>
              <w:t xml:space="preserve">от реализацията на биологичното растениевъдство, свързани с намаляване на използването на минерални торове, пестициди. </w:t>
            </w:r>
          </w:p>
          <w:p w14:paraId="152AC62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3828" w:type="dxa"/>
          </w:tcPr>
          <w:p w14:paraId="24FF99A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lastRenderedPageBreak/>
              <w:t>Не се очаква въздействие.</w:t>
            </w:r>
          </w:p>
        </w:tc>
      </w:tr>
      <w:tr w:rsidR="00F36E29" w:rsidRPr="009F6D1E" w14:paraId="492C2B6D" w14:textId="77777777" w:rsidTr="00AB2292">
        <w:trPr>
          <w:trHeight w:val="318"/>
        </w:trPr>
        <w:tc>
          <w:tcPr>
            <w:tcW w:w="1838" w:type="dxa"/>
            <w:shd w:val="clear" w:color="auto" w:fill="auto"/>
          </w:tcPr>
          <w:p w14:paraId="2BFB853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Земни недра</w:t>
            </w:r>
          </w:p>
        </w:tc>
        <w:tc>
          <w:tcPr>
            <w:tcW w:w="4111" w:type="dxa"/>
            <w:gridSpan w:val="2"/>
            <w:shd w:val="clear" w:color="auto" w:fill="auto"/>
          </w:tcPr>
          <w:p w14:paraId="6B3315C0" w14:textId="77777777" w:rsidR="00F36E29" w:rsidRPr="009F6D1E" w:rsidRDefault="00F36E29" w:rsidP="0084747F">
            <w:pPr>
              <w:widowControl w:val="0"/>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4252" w:type="dxa"/>
          </w:tcPr>
          <w:p w14:paraId="21D6677B"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t>Не се очаква въздействие.</w:t>
            </w:r>
          </w:p>
        </w:tc>
        <w:tc>
          <w:tcPr>
            <w:tcW w:w="3828" w:type="dxa"/>
          </w:tcPr>
          <w:p w14:paraId="394C8F8F" w14:textId="77777777" w:rsidR="00F36E29" w:rsidRPr="009F6D1E" w:rsidRDefault="00F36E29" w:rsidP="0084747F">
            <w:pPr>
              <w:spacing w:after="60" w:line="264" w:lineRule="auto"/>
              <w:jc w:val="both"/>
              <w:rPr>
                <w:rFonts w:cs="Times New Roman"/>
                <w:sz w:val="18"/>
                <w:szCs w:val="18"/>
              </w:rPr>
            </w:pPr>
            <w:r w:rsidRPr="009F6D1E">
              <w:rPr>
                <w:rFonts w:cs="Times New Roman"/>
                <w:kern w:val="16"/>
                <w:sz w:val="18"/>
                <w:szCs w:val="18"/>
              </w:rPr>
              <w:t>Не се очаква въздействие.</w:t>
            </w:r>
          </w:p>
        </w:tc>
      </w:tr>
      <w:tr w:rsidR="00F36E29" w:rsidRPr="009F6D1E" w14:paraId="22837034" w14:textId="77777777" w:rsidTr="00AB2292">
        <w:trPr>
          <w:trHeight w:val="318"/>
        </w:trPr>
        <w:tc>
          <w:tcPr>
            <w:tcW w:w="1838" w:type="dxa"/>
            <w:shd w:val="clear" w:color="auto" w:fill="auto"/>
          </w:tcPr>
          <w:p w14:paraId="3E8AE391"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71490BE3"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111" w:type="dxa"/>
            <w:gridSpan w:val="2"/>
            <w:shd w:val="clear" w:color="auto" w:fill="auto"/>
          </w:tcPr>
          <w:p w14:paraId="1A59F7F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преки положителни въздействия от интервенция „Насърчаване намалението на употребата на продукти за растителна защита и торове през контрол в краен продукт“. Въздействията са локални по обхват, само в районите в които интервенцията се прилага, временни и се изразяват в ограничаване на замърсяването и увреждането на почвите с продукти за растителна защита.</w:t>
            </w:r>
          </w:p>
        </w:tc>
        <w:tc>
          <w:tcPr>
            <w:tcW w:w="4252" w:type="dxa"/>
          </w:tcPr>
          <w:p w14:paraId="088B1D0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преки положителни въздействия върху почвите от въвеждането на ниско интензивни земеделски практики и биологично производство. Въздействията са локални по обхват, само в районите в които интервенцията се прилага, положителни в резултат на намаляването на натиска върху почвите.</w:t>
            </w:r>
          </w:p>
        </w:tc>
        <w:tc>
          <w:tcPr>
            <w:tcW w:w="3828" w:type="dxa"/>
          </w:tcPr>
          <w:p w14:paraId="5BE6061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За увеличаване на производството на биомаса с животински произход се предвижда бенефициентите в Стратегическия план да спазват стандартите за добро земеделско и екологично състояние на земеделските земи и законоустановените изисквания. Очакваните въздействия от тази интервенция са косвени и положителни с локален обхват, временни.</w:t>
            </w:r>
          </w:p>
        </w:tc>
      </w:tr>
      <w:tr w:rsidR="00F36E29" w:rsidRPr="009F6D1E" w14:paraId="77ADF141" w14:textId="77777777" w:rsidTr="00AB2292">
        <w:trPr>
          <w:trHeight w:val="978"/>
        </w:trPr>
        <w:tc>
          <w:tcPr>
            <w:tcW w:w="1838" w:type="dxa"/>
            <w:shd w:val="clear" w:color="auto" w:fill="auto"/>
          </w:tcPr>
          <w:p w14:paraId="27742CF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Биоразнообразие</w:t>
            </w:r>
          </w:p>
          <w:p w14:paraId="2EED004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55307EC1" w14:textId="77777777" w:rsidR="00F36E29" w:rsidRPr="009F6D1E" w:rsidRDefault="00F36E29" w:rsidP="0084747F">
            <w:pPr>
              <w:spacing w:after="60" w:line="264" w:lineRule="auto"/>
              <w:jc w:val="both"/>
              <w:rPr>
                <w:rFonts w:cs="Times New Roman"/>
                <w:b/>
                <w:bCs/>
                <w:sz w:val="18"/>
                <w:szCs w:val="18"/>
                <w:highlight w:val="yellow"/>
              </w:rPr>
            </w:pPr>
            <w:r w:rsidRPr="009F6D1E">
              <w:rPr>
                <w:rFonts w:cs="Times New Roman"/>
                <w:b/>
                <w:bCs/>
                <w:sz w:val="18"/>
                <w:szCs w:val="18"/>
              </w:rPr>
              <w:t>ЗТ</w:t>
            </w:r>
          </w:p>
        </w:tc>
        <w:tc>
          <w:tcPr>
            <w:tcW w:w="4111" w:type="dxa"/>
            <w:gridSpan w:val="2"/>
            <w:shd w:val="clear" w:color="auto" w:fill="auto"/>
          </w:tcPr>
          <w:p w14:paraId="407B9F9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52" w:type="dxa"/>
          </w:tcPr>
          <w:p w14:paraId="61A5FF6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Една от  предложените интервенции по П 4.5. - „Създаване и възстановяване на екологична инфраструктура”, има потенциал да окаже негативно въздействие върху биологичното разнообразие и ЗТ. Възможното отрицателно въздействие, е постоянно, пряко, кумулативно, дължащо се на дейности по строителство и експлоатация на различни съоръжения и инфраструктура. Възможно е унищожаване на растителни и животински видове (вкл. </w:t>
            </w:r>
            <w:proofErr w:type="spellStart"/>
            <w:r w:rsidRPr="009F6D1E">
              <w:rPr>
                <w:rFonts w:eastAsia="Tahoma" w:cs="Times New Roman"/>
                <w:sz w:val="18"/>
                <w:szCs w:val="18"/>
                <w:lang w:eastAsia="zh-CN"/>
              </w:rPr>
              <w:t>консервационно</w:t>
            </w:r>
            <w:proofErr w:type="spellEnd"/>
            <w:r w:rsidRPr="009F6D1E">
              <w:rPr>
                <w:rFonts w:eastAsia="Tahoma" w:cs="Times New Roman"/>
                <w:sz w:val="18"/>
                <w:szCs w:val="18"/>
                <w:lang w:eastAsia="zh-CN"/>
              </w:rPr>
              <w:t xml:space="preserve">-значими), загуба на природни местообитания, загуба на индивиди, безпокойство и др. </w:t>
            </w:r>
          </w:p>
          <w:p w14:paraId="3844F2CE"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 xml:space="preserve">Тъй като инвестициите в екологични съоръжения, в зависимост от спецификите си, подлежат на разрешаване по реда на специални закони, вкл. такива свързани с опазване на горите, ЗТ и </w:t>
            </w:r>
            <w:r w:rsidRPr="009F6D1E">
              <w:rPr>
                <w:rFonts w:eastAsia="Tahoma"/>
                <w:sz w:val="18"/>
                <w:szCs w:val="18"/>
                <w:lang w:eastAsia="zh-CN"/>
              </w:rPr>
              <w:lastRenderedPageBreak/>
              <w:t xml:space="preserve">биоразнообразието, при спазване на законодателството и добрите практики не се очаква значително отрицателно въздействие. В дългосрочен аспект екологичната инфраструктура има положително въздействие. </w:t>
            </w:r>
          </w:p>
          <w:p w14:paraId="4823AC7E"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p>
          <w:p w14:paraId="1B9D279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директно; положително, отрицателно</w:t>
            </w:r>
          </w:p>
          <w:p w14:paraId="77042F6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769A9B8A"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Обхват на въздействието: локален, регионален</w:t>
            </w:r>
          </w:p>
          <w:p w14:paraId="244DEE5A" w14:textId="77777777" w:rsidR="00F36E29" w:rsidRPr="009F6D1E" w:rsidRDefault="00F36E29" w:rsidP="0084747F">
            <w:pPr>
              <w:spacing w:after="60" w:line="264" w:lineRule="auto"/>
              <w:jc w:val="both"/>
              <w:rPr>
                <w:rFonts w:eastAsia="Tahoma" w:cs="Times New Roman"/>
                <w:sz w:val="18"/>
                <w:szCs w:val="18"/>
                <w:lang w:eastAsia="zh-CN"/>
              </w:rPr>
            </w:pPr>
          </w:p>
          <w:p w14:paraId="5CBDB7DA"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Биологичното земеделие съчетава най-добрите практики по отношение опазването на околната среда, поддържане на висока степен на биологично разнообразие и опазване на природните ресурси. Възможните ползи от насърчаването му са </w:t>
            </w:r>
            <w:r w:rsidRPr="009F6D1E">
              <w:rPr>
                <w:rFonts w:eastAsia="Tahoma"/>
                <w:sz w:val="18"/>
                <w:szCs w:val="18"/>
                <w:lang w:eastAsia="zh-CN"/>
              </w:rPr>
              <w:lastRenderedPageBreak/>
              <w:t xml:space="preserve">смекчаване на въздействието на климатичните промени, подобрено качество на води,  почви и почвеното биоразнообразие, подобрени условия и редуцирани въздействия за биоразнообразието. Въвеждането на екстензивни земеделски практики ще намали нитрификацията и </w:t>
            </w:r>
            <w:proofErr w:type="spellStart"/>
            <w:r w:rsidRPr="009F6D1E">
              <w:rPr>
                <w:rFonts w:eastAsia="Tahoma"/>
                <w:sz w:val="18"/>
                <w:szCs w:val="18"/>
                <w:lang w:eastAsia="zh-CN"/>
              </w:rPr>
              <w:t>втока</w:t>
            </w:r>
            <w:proofErr w:type="spellEnd"/>
            <w:r w:rsidRPr="009F6D1E">
              <w:rPr>
                <w:rFonts w:eastAsia="Tahoma"/>
                <w:sz w:val="18"/>
                <w:szCs w:val="18"/>
                <w:lang w:eastAsia="zh-CN"/>
              </w:rPr>
              <w:t xml:space="preserve"> на биогени в естествените и полуестествени екосистеми особено тревните съобщества и водните местообитания.</w:t>
            </w:r>
          </w:p>
          <w:p w14:paraId="75431922"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Въвеждането на добри земеделски практики и опазване на традиционните селскостопански практики за опазване на биологичното разнообразие в земеделските земи, базирано на повишаване на компетенциите в резултат от предвидените консултантски услуги,  повишаване на консултантския капацитет, професионално обучение и придобиване на знания, би довело до положително въздействие върху </w:t>
            </w:r>
            <w:r w:rsidRPr="009F6D1E">
              <w:rPr>
                <w:rFonts w:eastAsia="Tahoma"/>
                <w:sz w:val="18"/>
                <w:szCs w:val="18"/>
                <w:lang w:eastAsia="zh-CN"/>
              </w:rPr>
              <w:lastRenderedPageBreak/>
              <w:t xml:space="preserve">биоразнообразието. </w:t>
            </w:r>
          </w:p>
          <w:p w14:paraId="2A281F9E" w14:textId="77777777" w:rsidR="00F36E29" w:rsidRPr="009F6D1E" w:rsidRDefault="00F36E29" w:rsidP="0084747F">
            <w:pPr>
              <w:spacing w:after="60" w:line="264" w:lineRule="auto"/>
              <w:jc w:val="both"/>
              <w:rPr>
                <w:rFonts w:eastAsia="Tahoma" w:cs="Times New Roman"/>
                <w:sz w:val="18"/>
                <w:szCs w:val="18"/>
                <w:lang w:eastAsia="zh-CN"/>
              </w:rPr>
            </w:pPr>
          </w:p>
          <w:p w14:paraId="6051CA6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директно, положително</w:t>
            </w:r>
          </w:p>
          <w:p w14:paraId="3CCE179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496B338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 регионален</w:t>
            </w:r>
          </w:p>
        </w:tc>
        <w:tc>
          <w:tcPr>
            <w:tcW w:w="3828" w:type="dxa"/>
          </w:tcPr>
          <w:p w14:paraId="30A5773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Животновъдството е основен замърсител с метан и азотни оксиди. С увеличаването на мащабите му се увеличават и обемите отпадъчни животински субстрати, които трябва да бъдат обработвани. Необходимо е прилагане на ефективни методи и технологии за третиране на животинската тор с възможности за нейното оползотворяване. Предвидените консултантски услуги и обучения ще повишат информираността по отношение на необходимостта и възможностите за оползотворяване на тази биомаса, както и компетенциите в областта на опазване на водите и почвата от биогенно замърсяване. Повишаването на компетенциите и информираността е важна основа за по-нататъшно внедряване на различни технологии </w:t>
            </w:r>
            <w:r w:rsidRPr="009F6D1E">
              <w:rPr>
                <w:rFonts w:eastAsia="Tahoma" w:cs="Times New Roman"/>
                <w:sz w:val="18"/>
                <w:szCs w:val="18"/>
                <w:lang w:eastAsia="zh-CN"/>
              </w:rPr>
              <w:lastRenderedPageBreak/>
              <w:t>за устойчиво оползотворяване на биомаса с животински произход. Прилагането на тези знания и на екологосъобразни технологии ще допринесе за опазване на околната среда и биоразнообразието.</w:t>
            </w:r>
          </w:p>
          <w:p w14:paraId="56DAA43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1CDB814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2BFBD88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регионален, национален</w:t>
            </w:r>
          </w:p>
        </w:tc>
      </w:tr>
      <w:tr w:rsidR="00F36E29" w:rsidRPr="009F6D1E" w14:paraId="1AA5E160" w14:textId="77777777" w:rsidTr="00AB2292">
        <w:trPr>
          <w:trHeight w:val="318"/>
        </w:trPr>
        <w:tc>
          <w:tcPr>
            <w:tcW w:w="1838" w:type="dxa"/>
            <w:shd w:val="clear" w:color="auto" w:fill="auto"/>
          </w:tcPr>
          <w:p w14:paraId="670D3862"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104" w:type="dxa"/>
            <w:shd w:val="clear" w:color="auto" w:fill="auto"/>
          </w:tcPr>
          <w:p w14:paraId="0138E57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Очакват се косвени положителни въздействия върху ландшафтите, както от намалението на употребата на продукти за растителна защита и торове, така и от използването на култури и сортове, приспособени към климата. Въздействията са локални по обхват, само в районите в които интервенцията се прилага, временни.</w:t>
            </w:r>
          </w:p>
        </w:tc>
        <w:tc>
          <w:tcPr>
            <w:tcW w:w="4259" w:type="dxa"/>
            <w:gridSpan w:val="2"/>
            <w:shd w:val="clear" w:color="auto" w:fill="auto"/>
          </w:tcPr>
          <w:p w14:paraId="7EC8B6B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Очакват се преки положителни въздействия върху </w:t>
            </w:r>
            <w:proofErr w:type="spellStart"/>
            <w:r w:rsidRPr="009F6D1E">
              <w:rPr>
                <w:rFonts w:eastAsia="Tahoma" w:cs="Times New Roman"/>
                <w:sz w:val="18"/>
                <w:szCs w:val="18"/>
                <w:lang w:eastAsia="zh-CN"/>
              </w:rPr>
              <w:t>ландшфтите</w:t>
            </w:r>
            <w:proofErr w:type="spellEnd"/>
            <w:r w:rsidRPr="009F6D1E">
              <w:rPr>
                <w:rFonts w:eastAsia="Tahoma" w:cs="Times New Roman"/>
                <w:sz w:val="18"/>
                <w:szCs w:val="18"/>
                <w:lang w:eastAsia="zh-CN"/>
              </w:rPr>
              <w:t xml:space="preserve"> от въвеждането на ниско интензивни земеделски практики и биологично производство. Въздействията са локални по обхват, само в районите в които интервенцията се прилага</w:t>
            </w:r>
          </w:p>
        </w:tc>
        <w:tc>
          <w:tcPr>
            <w:tcW w:w="3828" w:type="dxa"/>
          </w:tcPr>
          <w:p w14:paraId="751751B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За увеличаване на производството на биомаса с животински произход се предвижда бенефициентите в Стратегическия план да спазват стандартите за добро земеделско и екологично състояние на земеделските земи и законоустановените изисквания. Очакваните въздействия от тази интервенция върху ландшафтите са косвени и положителни с локален обхват, временни.</w:t>
            </w:r>
          </w:p>
        </w:tc>
      </w:tr>
      <w:tr w:rsidR="00F36E29" w:rsidRPr="009F6D1E" w14:paraId="4074B771" w14:textId="77777777" w:rsidTr="00AB2292">
        <w:trPr>
          <w:trHeight w:val="318"/>
        </w:trPr>
        <w:tc>
          <w:tcPr>
            <w:tcW w:w="1838" w:type="dxa"/>
            <w:shd w:val="clear" w:color="auto" w:fill="auto"/>
          </w:tcPr>
          <w:p w14:paraId="68C3CCE8"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4111" w:type="dxa"/>
            <w:gridSpan w:val="2"/>
            <w:shd w:val="clear" w:color="auto" w:fill="auto"/>
          </w:tcPr>
          <w:p w14:paraId="3A98C07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52" w:type="dxa"/>
          </w:tcPr>
          <w:p w14:paraId="111D5DF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828" w:type="dxa"/>
          </w:tcPr>
          <w:p w14:paraId="2EA9BAE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5ADB56CC" w14:textId="77777777" w:rsidTr="00AB2292">
        <w:trPr>
          <w:trHeight w:val="318"/>
        </w:trPr>
        <w:tc>
          <w:tcPr>
            <w:tcW w:w="1838" w:type="dxa"/>
            <w:shd w:val="clear" w:color="auto" w:fill="auto"/>
          </w:tcPr>
          <w:p w14:paraId="58AE3D5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111" w:type="dxa"/>
            <w:gridSpan w:val="2"/>
            <w:shd w:val="clear" w:color="auto" w:fill="auto"/>
          </w:tcPr>
          <w:p w14:paraId="2F753EC1"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3FF53267" w14:textId="77777777" w:rsidR="00F36E29" w:rsidRPr="009F6D1E" w:rsidRDefault="00F36E29" w:rsidP="0084747F">
            <w:pPr>
              <w:spacing w:after="60" w:line="264" w:lineRule="auto"/>
              <w:jc w:val="both"/>
              <w:rPr>
                <w:rFonts w:eastAsia="Tahoma" w:cs="Times New Roman"/>
                <w:sz w:val="18"/>
                <w:szCs w:val="18"/>
                <w:highlight w:val="yellow"/>
                <w:lang w:eastAsia="zh-CN"/>
              </w:rPr>
            </w:pPr>
          </w:p>
        </w:tc>
        <w:tc>
          <w:tcPr>
            <w:tcW w:w="4252" w:type="dxa"/>
          </w:tcPr>
          <w:p w14:paraId="3C9B6D6A"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31C146BD" w14:textId="77777777" w:rsidR="00F36E29" w:rsidRPr="009F6D1E" w:rsidRDefault="00F36E29" w:rsidP="0084747F">
            <w:pPr>
              <w:spacing w:after="60" w:line="264" w:lineRule="auto"/>
              <w:jc w:val="both"/>
              <w:rPr>
                <w:rFonts w:eastAsia="Tahoma" w:cs="Times New Roman"/>
                <w:sz w:val="18"/>
                <w:szCs w:val="18"/>
                <w:highlight w:val="yellow"/>
                <w:lang w:eastAsia="zh-CN"/>
              </w:rPr>
            </w:pPr>
          </w:p>
        </w:tc>
        <w:tc>
          <w:tcPr>
            <w:tcW w:w="3828" w:type="dxa"/>
          </w:tcPr>
          <w:p w14:paraId="5EC38239"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0D679C14" w14:textId="77777777" w:rsidR="00F36E29" w:rsidRPr="009F6D1E" w:rsidRDefault="00F36E29" w:rsidP="0084747F">
            <w:pPr>
              <w:spacing w:after="60" w:line="264" w:lineRule="auto"/>
              <w:jc w:val="both"/>
              <w:rPr>
                <w:rFonts w:eastAsia="Tahoma" w:cs="Times New Roman"/>
                <w:sz w:val="18"/>
                <w:szCs w:val="18"/>
                <w:highlight w:val="yellow"/>
                <w:lang w:eastAsia="zh-CN"/>
              </w:rPr>
            </w:pPr>
          </w:p>
        </w:tc>
      </w:tr>
      <w:tr w:rsidR="00F36E29" w:rsidRPr="009F6D1E" w14:paraId="3CD27ED2" w14:textId="77777777" w:rsidTr="00AB2292">
        <w:trPr>
          <w:trHeight w:val="1610"/>
        </w:trPr>
        <w:tc>
          <w:tcPr>
            <w:tcW w:w="1838" w:type="dxa"/>
            <w:shd w:val="clear" w:color="auto" w:fill="auto"/>
          </w:tcPr>
          <w:p w14:paraId="2B9DBE6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111" w:type="dxa"/>
            <w:gridSpan w:val="2"/>
            <w:shd w:val="clear" w:color="auto" w:fill="auto"/>
          </w:tcPr>
          <w:p w14:paraId="5D9E5DA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2" w:type="dxa"/>
          </w:tcPr>
          <w:p w14:paraId="1F7B4FD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58B1ECB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0FA579E6" w14:textId="77777777" w:rsidTr="00AB2292">
        <w:trPr>
          <w:trHeight w:val="318"/>
        </w:trPr>
        <w:tc>
          <w:tcPr>
            <w:tcW w:w="1838" w:type="dxa"/>
            <w:shd w:val="clear" w:color="auto" w:fill="auto"/>
          </w:tcPr>
          <w:p w14:paraId="7258186D"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111" w:type="dxa"/>
            <w:gridSpan w:val="2"/>
            <w:shd w:val="clear" w:color="auto" w:fill="auto"/>
          </w:tcPr>
          <w:p w14:paraId="38ADFB2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252" w:type="dxa"/>
          </w:tcPr>
          <w:p w14:paraId="0588838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828" w:type="dxa"/>
          </w:tcPr>
          <w:p w14:paraId="61297CC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Пряко и положително въздействие, резултат от увеличаване производството на биомаса от животновъдството.</w:t>
            </w:r>
          </w:p>
        </w:tc>
      </w:tr>
      <w:tr w:rsidR="00F36E29" w:rsidRPr="009F6D1E" w14:paraId="722F4089" w14:textId="77777777" w:rsidTr="00AB2292">
        <w:tc>
          <w:tcPr>
            <w:tcW w:w="1838" w:type="dxa"/>
            <w:shd w:val="clear" w:color="auto" w:fill="auto"/>
          </w:tcPr>
          <w:p w14:paraId="5A423396"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4111" w:type="dxa"/>
            <w:gridSpan w:val="2"/>
            <w:shd w:val="clear" w:color="auto" w:fill="auto"/>
          </w:tcPr>
          <w:p w14:paraId="38C1E2D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Контролираното използване на торове е свързано с 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същото се приложи.</w:t>
            </w:r>
          </w:p>
        </w:tc>
        <w:tc>
          <w:tcPr>
            <w:tcW w:w="4252" w:type="dxa"/>
          </w:tcPr>
          <w:p w14:paraId="0127909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Насърчаването и подпомагането на биологичното земеделие е свързано с 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същото се приложи.</w:t>
            </w:r>
          </w:p>
        </w:tc>
        <w:tc>
          <w:tcPr>
            <w:tcW w:w="3828" w:type="dxa"/>
          </w:tcPr>
          <w:p w14:paraId="65E3E0A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04458BF3" w14:textId="77777777" w:rsidTr="00AB2292">
        <w:tc>
          <w:tcPr>
            <w:tcW w:w="1838" w:type="dxa"/>
            <w:shd w:val="clear" w:color="auto" w:fill="auto"/>
          </w:tcPr>
          <w:p w14:paraId="19CBBE7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38565D8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644FDC43"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111" w:type="dxa"/>
            <w:gridSpan w:val="2"/>
            <w:shd w:val="clear" w:color="auto" w:fill="auto"/>
          </w:tcPr>
          <w:p w14:paraId="66C1E1B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Инвестициите са свързани с пряко положително въздействие, в резултат насърчаването и подпомагането на контролираното използване на торове, което от своя страна ще увеличи процента произведени и консумирани биопродукти.</w:t>
            </w:r>
          </w:p>
        </w:tc>
        <w:tc>
          <w:tcPr>
            <w:tcW w:w="4252" w:type="dxa"/>
          </w:tcPr>
          <w:p w14:paraId="36FCE81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Инвестициите са свързани с пряко положително въздействие, в резултат насърчаването и подпомагането на биоземеделието, което от своя страна ще увеличи процента произведени и консумирани биопродукти.</w:t>
            </w:r>
          </w:p>
        </w:tc>
        <w:tc>
          <w:tcPr>
            <w:tcW w:w="3828" w:type="dxa"/>
          </w:tcPr>
          <w:p w14:paraId="1F61C16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bl>
    <w:p w14:paraId="7B16A298"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660"/>
        <w:gridCol w:w="26"/>
        <w:gridCol w:w="3827"/>
        <w:gridCol w:w="4678"/>
      </w:tblGrid>
      <w:tr w:rsidR="00F36E29" w:rsidRPr="009F6D1E" w14:paraId="7494D2F4" w14:textId="77777777" w:rsidTr="00AB2292">
        <w:trPr>
          <w:tblHeader/>
        </w:trPr>
        <w:tc>
          <w:tcPr>
            <w:tcW w:w="1838" w:type="dxa"/>
            <w:vMerge w:val="restart"/>
            <w:shd w:val="clear" w:color="auto" w:fill="D9D9D9" w:themeFill="background1" w:themeFillShade="D9"/>
            <w:textDirection w:val="btLr"/>
            <w:vAlign w:val="center"/>
          </w:tcPr>
          <w:p w14:paraId="2E689FB3" w14:textId="77777777" w:rsidR="00F36E29" w:rsidRPr="009F6D1E" w:rsidRDefault="00F36E29" w:rsidP="0084747F">
            <w:pPr>
              <w:spacing w:after="60" w:line="264" w:lineRule="auto"/>
              <w:ind w:left="113" w:right="113"/>
              <w:jc w:val="center"/>
              <w:rPr>
                <w:rFonts w:cs="Times New Roman"/>
                <w:b/>
                <w:bCs/>
                <w:i/>
                <w:sz w:val="18"/>
                <w:szCs w:val="18"/>
              </w:rPr>
            </w:pPr>
            <w:r w:rsidRPr="009F6D1E">
              <w:rPr>
                <w:rFonts w:cs="Times New Roman"/>
                <w:b/>
                <w:bCs/>
                <w:sz w:val="18"/>
                <w:szCs w:val="18"/>
              </w:rPr>
              <w:lastRenderedPageBreak/>
              <w:t>КОМПОНЕНТ/ ФАКТОР НА ОКОЛНАТА СРЕДА</w:t>
            </w:r>
          </w:p>
        </w:tc>
        <w:tc>
          <w:tcPr>
            <w:tcW w:w="3686" w:type="dxa"/>
            <w:gridSpan w:val="2"/>
            <w:shd w:val="clear" w:color="auto" w:fill="D9D9D9" w:themeFill="background1" w:themeFillShade="D9"/>
          </w:tcPr>
          <w:p w14:paraId="7EC360E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П.4.7.Противодействие с болестите по животните и борба с патогенните заболявания </w:t>
            </w:r>
          </w:p>
          <w:p w14:paraId="28688330"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4C7D8E32"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Хуманно отношение към животните и антимикробна резистентност</w:t>
            </w:r>
          </w:p>
        </w:tc>
        <w:tc>
          <w:tcPr>
            <w:tcW w:w="3827" w:type="dxa"/>
            <w:shd w:val="clear" w:color="auto" w:fill="D9D9D9" w:themeFill="background1" w:themeFillShade="D9"/>
          </w:tcPr>
          <w:p w14:paraId="07C4F221" w14:textId="77777777" w:rsidR="00F36E29" w:rsidRPr="009F6D1E" w:rsidRDefault="00F36E29" w:rsidP="0084747F">
            <w:pPr>
              <w:widowControl w:val="0"/>
              <w:spacing w:after="60" w:line="264" w:lineRule="auto"/>
              <w:jc w:val="center"/>
              <w:rPr>
                <w:rFonts w:cs="Times New Roman"/>
                <w:b/>
                <w:bCs/>
                <w:i/>
                <w:sz w:val="18"/>
                <w:szCs w:val="18"/>
                <w:u w:val="single"/>
              </w:rPr>
            </w:pPr>
            <w:r w:rsidRPr="009F6D1E">
              <w:rPr>
                <w:rFonts w:cs="Times New Roman"/>
                <w:b/>
                <w:bCs/>
                <w:i/>
                <w:sz w:val="18"/>
                <w:szCs w:val="18"/>
              </w:rPr>
              <w:t>П.4.8. Устойчиво управление на горските територии, запасите от дървесина и въглерод в горската биомаса, за адаптиране към промените на климата</w:t>
            </w:r>
          </w:p>
          <w:p w14:paraId="298986ED"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1C09E8A6"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Намаляване загубата на биологично  разнообразие, опазване на горските местообитания и намаляване на незаконните дейности в горските територии</w:t>
            </w:r>
          </w:p>
        </w:tc>
        <w:tc>
          <w:tcPr>
            <w:tcW w:w="4678" w:type="dxa"/>
            <w:shd w:val="clear" w:color="auto" w:fill="D9D9D9" w:themeFill="background1" w:themeFillShade="D9"/>
          </w:tcPr>
          <w:p w14:paraId="432EE4C6"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П.4.9. Устойчиво управление на горите, включително увеличаване на залесените площи в страната,</w:t>
            </w:r>
          </w:p>
          <w:p w14:paraId="790B49CE" w14:textId="77777777" w:rsidR="00F36E29" w:rsidRPr="009F6D1E" w:rsidRDefault="00F36E29" w:rsidP="0084747F">
            <w:pPr>
              <w:spacing w:after="60" w:line="264" w:lineRule="auto"/>
              <w:jc w:val="center"/>
              <w:rPr>
                <w:rFonts w:cs="Times New Roman"/>
                <w:b/>
                <w:bCs/>
                <w:i/>
                <w:sz w:val="18"/>
                <w:szCs w:val="18"/>
                <w:u w:val="single"/>
              </w:rPr>
            </w:pPr>
            <w:r w:rsidRPr="009F6D1E">
              <w:rPr>
                <w:rFonts w:cs="Times New Roman"/>
                <w:b/>
                <w:bCs/>
                <w:i/>
                <w:sz w:val="18"/>
                <w:szCs w:val="18"/>
              </w:rPr>
              <w:t>опазване на горските местообитания, биоразнообразието и екосистемните услуги от горите</w:t>
            </w:r>
            <w:r w:rsidRPr="009F6D1E">
              <w:rPr>
                <w:rFonts w:cs="Times New Roman"/>
                <w:b/>
                <w:bCs/>
                <w:i/>
                <w:sz w:val="18"/>
                <w:szCs w:val="18"/>
                <w:u w:val="single"/>
              </w:rPr>
              <w:t xml:space="preserve"> </w:t>
            </w:r>
          </w:p>
          <w:p w14:paraId="411B67C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53695EEA"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Горско екологични дейности в горите</w:t>
            </w:r>
          </w:p>
          <w:p w14:paraId="0C6B0922"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-Залесяване и презалесяване</w:t>
            </w:r>
          </w:p>
          <w:p w14:paraId="014A13D4"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Предотвратяване на щети по горите от горски пожари, природни бедствия и катастрофични събития</w:t>
            </w:r>
          </w:p>
          <w:p w14:paraId="11E7618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Подобряване на здравословното състояние и устойчивостта на горските екосистеми чрез подпомагане провеждането на сечи в горските територии</w:t>
            </w:r>
          </w:p>
        </w:tc>
      </w:tr>
      <w:tr w:rsidR="00F36E29" w:rsidRPr="009F6D1E" w14:paraId="26959BAF" w14:textId="77777777" w:rsidTr="00AB2292">
        <w:trPr>
          <w:tblHeader/>
        </w:trPr>
        <w:tc>
          <w:tcPr>
            <w:tcW w:w="1838" w:type="dxa"/>
            <w:vMerge/>
            <w:shd w:val="clear" w:color="auto" w:fill="FFF2CC" w:themeFill="accent4" w:themeFillTint="33"/>
          </w:tcPr>
          <w:p w14:paraId="0C6DC35B" w14:textId="77777777" w:rsidR="00F36E29" w:rsidRPr="009F6D1E" w:rsidRDefault="00F36E29" w:rsidP="0084747F">
            <w:pPr>
              <w:spacing w:after="60" w:line="264" w:lineRule="auto"/>
              <w:jc w:val="center"/>
              <w:rPr>
                <w:rFonts w:cs="Times New Roman"/>
                <w:b/>
                <w:bCs/>
                <w:sz w:val="18"/>
                <w:szCs w:val="18"/>
              </w:rPr>
            </w:pPr>
          </w:p>
        </w:tc>
        <w:tc>
          <w:tcPr>
            <w:tcW w:w="12191" w:type="dxa"/>
            <w:gridSpan w:val="4"/>
            <w:shd w:val="clear" w:color="auto" w:fill="FFF2CC" w:themeFill="accent4" w:themeFillTint="33"/>
          </w:tcPr>
          <w:p w14:paraId="69EC3AB8"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76A1E2D8" w14:textId="77777777" w:rsidTr="00AB2292">
        <w:trPr>
          <w:trHeight w:val="318"/>
        </w:trPr>
        <w:tc>
          <w:tcPr>
            <w:tcW w:w="1838" w:type="dxa"/>
            <w:shd w:val="clear" w:color="auto" w:fill="auto"/>
          </w:tcPr>
          <w:p w14:paraId="54823F3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23BF4AF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7CABAB7C"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3686" w:type="dxa"/>
            <w:gridSpan w:val="2"/>
            <w:shd w:val="clear" w:color="auto" w:fill="auto"/>
          </w:tcPr>
          <w:p w14:paraId="60DEB85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5B53E5F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Пряко и положително въздействие върху климатичните промени, като резултат от опазването на горите, косвено водещо до намаляване на въглеродните емисии. </w:t>
            </w:r>
          </w:p>
          <w:p w14:paraId="3CA9D2D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Положително и пряко въздействие върху адаптацията към климатичните промени, резултат от опазване на горите и намаляване на рисковете от ерозионни почвени процеси.</w:t>
            </w:r>
          </w:p>
        </w:tc>
        <w:tc>
          <w:tcPr>
            <w:tcW w:w="4678" w:type="dxa"/>
          </w:tcPr>
          <w:p w14:paraId="5A0ACFC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Пряко и положително въздействие върху климатичните промени, като резултат от опазването на горите и увеличаване на залесените площи в страната, косвено водещо до намаляване на въглеродните емисии. </w:t>
            </w:r>
          </w:p>
          <w:p w14:paraId="6BD21CA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Положително и пряко въздействие върху адаптацията към климатичните промени, резултат от опазване на горите и намаляване на рисковете от ерозионни почвени процеси.</w:t>
            </w:r>
          </w:p>
        </w:tc>
      </w:tr>
      <w:tr w:rsidR="00F36E29" w:rsidRPr="009F6D1E" w14:paraId="00C698C4" w14:textId="77777777" w:rsidTr="00AB2292">
        <w:trPr>
          <w:trHeight w:val="318"/>
        </w:trPr>
        <w:tc>
          <w:tcPr>
            <w:tcW w:w="1838" w:type="dxa"/>
            <w:shd w:val="clear" w:color="auto" w:fill="auto"/>
          </w:tcPr>
          <w:p w14:paraId="3B8870E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3686" w:type="dxa"/>
            <w:gridSpan w:val="2"/>
            <w:shd w:val="clear" w:color="auto" w:fill="auto"/>
          </w:tcPr>
          <w:p w14:paraId="7C5F3DA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6CCE232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и положително въздействие върху КАВ, като резултат от опазването на горските екосистеми.</w:t>
            </w:r>
          </w:p>
        </w:tc>
        <w:tc>
          <w:tcPr>
            <w:tcW w:w="4678" w:type="dxa"/>
          </w:tcPr>
          <w:p w14:paraId="3B27CBE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и положително въздействие върху КАВ, като резултат от опазването на горските екосистеми и увеличаване на техните площи.</w:t>
            </w:r>
          </w:p>
        </w:tc>
      </w:tr>
      <w:tr w:rsidR="00F36E29" w:rsidRPr="009F6D1E" w14:paraId="2E51A1D1" w14:textId="77777777" w:rsidTr="00AB2292">
        <w:trPr>
          <w:trHeight w:val="318"/>
        </w:trPr>
        <w:tc>
          <w:tcPr>
            <w:tcW w:w="1838" w:type="dxa"/>
            <w:shd w:val="clear" w:color="auto" w:fill="auto"/>
          </w:tcPr>
          <w:p w14:paraId="5DDF58F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5C65CE2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48A3B21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4AF343F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Риск от наводнения</w:t>
            </w:r>
          </w:p>
        </w:tc>
        <w:tc>
          <w:tcPr>
            <w:tcW w:w="3686" w:type="dxa"/>
            <w:gridSpan w:val="2"/>
            <w:shd w:val="clear" w:color="auto" w:fill="auto"/>
          </w:tcPr>
          <w:p w14:paraId="71824180"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lastRenderedPageBreak/>
              <w:t>Не се очаква въздействие.</w:t>
            </w:r>
          </w:p>
          <w:p w14:paraId="2D17BA3F" w14:textId="77777777" w:rsidR="00F36E29" w:rsidRPr="009F6D1E" w:rsidRDefault="00F36E29" w:rsidP="0084747F">
            <w:pPr>
              <w:spacing w:after="60" w:line="264" w:lineRule="auto"/>
              <w:jc w:val="both"/>
              <w:rPr>
                <w:rFonts w:cs="Times New Roman"/>
                <w:sz w:val="18"/>
                <w:szCs w:val="18"/>
              </w:rPr>
            </w:pPr>
          </w:p>
          <w:p w14:paraId="0250C859" w14:textId="77777777" w:rsidR="00F36E29" w:rsidRPr="009F6D1E" w:rsidRDefault="00F36E29" w:rsidP="0084747F">
            <w:pPr>
              <w:spacing w:after="60" w:line="264" w:lineRule="auto"/>
              <w:jc w:val="both"/>
              <w:rPr>
                <w:rFonts w:eastAsia="Tahoma" w:cs="Times New Roman"/>
                <w:sz w:val="18"/>
                <w:szCs w:val="18"/>
                <w:lang w:eastAsia="zh-CN"/>
              </w:rPr>
            </w:pPr>
          </w:p>
        </w:tc>
        <w:tc>
          <w:tcPr>
            <w:tcW w:w="3827" w:type="dxa"/>
          </w:tcPr>
          <w:p w14:paraId="7022C06B"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Чрез предвидената мярка се насърчава устойчивото управление и подобряване състоянието на горите и горските площи, включително поддържане и подобряване на биоразнообразието, опазване на горските </w:t>
            </w:r>
            <w:r w:rsidRPr="009F6D1E">
              <w:rPr>
                <w:rFonts w:cs="Times New Roman"/>
                <w:sz w:val="18"/>
                <w:szCs w:val="18"/>
              </w:rPr>
              <w:lastRenderedPageBreak/>
              <w:t xml:space="preserve">местообитания и намаляване на незаконните дейности в горските територии. Горите имат множество защитни функции като във връзка с водите те спомагат за регулиране на хидроложкия цикъл и предпазване от вредното въздействие на водите (предизвикване на водна ерозия и наводнения) </w:t>
            </w:r>
          </w:p>
          <w:p w14:paraId="003CAAA9"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От реализацията на мярката се очаква положително, постоянно, пряко, едновременно, дългосрочно въздействие с висока значимост, дължащо се на: намаляване на вредното въздействие на водите и риска от наводнения както и от помагане за регулиране на хидроложкия цикъл. </w:t>
            </w:r>
          </w:p>
          <w:p w14:paraId="326BBB1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Обхват на въздействието: локален, регионален</w:t>
            </w:r>
          </w:p>
        </w:tc>
        <w:tc>
          <w:tcPr>
            <w:tcW w:w="4678" w:type="dxa"/>
          </w:tcPr>
          <w:p w14:paraId="69F4FC7B"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lastRenderedPageBreak/>
              <w:t xml:space="preserve">От реализацията на мярката се очаква положително, постоянно, пряко, едновременно, дългосрочно въздействие с висока значимост, дължащо се на: намаляване на вредното въздействие на водите и риска от наводнения както и от помагане за регулиране на </w:t>
            </w:r>
            <w:r w:rsidRPr="009F6D1E">
              <w:rPr>
                <w:rFonts w:cs="Times New Roman"/>
                <w:sz w:val="18"/>
                <w:szCs w:val="18"/>
              </w:rPr>
              <w:lastRenderedPageBreak/>
              <w:t xml:space="preserve">хидроложкия цикъл. Предвижда се залесяване на земеделски и неземеделски земи, както и поддръжка на новосъздадените култури., Ще се подпомага и възстановяването на пострадали от горски пожари, природни бедствия и катастрофични събития гори. Предвижда се подобряване и поддръжка на противопожарна инфраструктура като това ще спомогне за ограничаване на водната ерозия и ще се подобри водния баланс в околните територии като това ще окаже благоприятно въздействие върху водите. Възстановените гори ще допринесат също и за защита на околната среда, предпазване от природни бедствия (особено наводнения) </w:t>
            </w:r>
          </w:p>
          <w:p w14:paraId="7686D97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Обхват на въздействието: локален, регионален</w:t>
            </w:r>
          </w:p>
        </w:tc>
      </w:tr>
      <w:tr w:rsidR="00F36E29" w:rsidRPr="009F6D1E" w14:paraId="38A23387" w14:textId="77777777" w:rsidTr="00AB2292">
        <w:trPr>
          <w:trHeight w:val="318"/>
        </w:trPr>
        <w:tc>
          <w:tcPr>
            <w:tcW w:w="1838" w:type="dxa"/>
            <w:shd w:val="clear" w:color="auto" w:fill="auto"/>
          </w:tcPr>
          <w:p w14:paraId="0CB9A4D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Земни недра</w:t>
            </w:r>
          </w:p>
        </w:tc>
        <w:tc>
          <w:tcPr>
            <w:tcW w:w="3686" w:type="dxa"/>
            <w:gridSpan w:val="2"/>
            <w:shd w:val="clear" w:color="auto" w:fill="auto"/>
          </w:tcPr>
          <w:p w14:paraId="48F6BF9A"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Не се очакват въздействия</w:t>
            </w:r>
          </w:p>
        </w:tc>
        <w:tc>
          <w:tcPr>
            <w:tcW w:w="3827" w:type="dxa"/>
          </w:tcPr>
          <w:p w14:paraId="3D214073" w14:textId="77777777" w:rsidR="00F36E29" w:rsidRPr="009F6D1E" w:rsidRDefault="00F36E29" w:rsidP="0084747F">
            <w:pPr>
              <w:widowControl w:val="0"/>
              <w:spacing w:after="60" w:line="264" w:lineRule="auto"/>
              <w:jc w:val="both"/>
              <w:rPr>
                <w:rFonts w:cs="Times New Roman"/>
                <w:sz w:val="18"/>
                <w:szCs w:val="18"/>
              </w:rPr>
            </w:pPr>
            <w:r w:rsidRPr="009F6D1E">
              <w:rPr>
                <w:rFonts w:eastAsia="Tahoma" w:cs="Times New Roman"/>
                <w:sz w:val="18"/>
                <w:szCs w:val="18"/>
                <w:lang w:eastAsia="zh-CN"/>
              </w:rPr>
              <w:t>Не се очакват въздействия</w:t>
            </w:r>
          </w:p>
        </w:tc>
        <w:tc>
          <w:tcPr>
            <w:tcW w:w="4678" w:type="dxa"/>
          </w:tcPr>
          <w:p w14:paraId="3FB25CE2" w14:textId="77777777" w:rsidR="00F36E29" w:rsidRPr="009F6D1E" w:rsidRDefault="00F36E29" w:rsidP="0084747F">
            <w:pPr>
              <w:widowControl w:val="0"/>
              <w:spacing w:after="60" w:line="264" w:lineRule="auto"/>
              <w:jc w:val="both"/>
              <w:rPr>
                <w:rFonts w:cs="Times New Roman"/>
                <w:sz w:val="18"/>
                <w:szCs w:val="18"/>
              </w:rPr>
            </w:pPr>
            <w:r w:rsidRPr="009F6D1E">
              <w:rPr>
                <w:rFonts w:eastAsia="Tahoma" w:cs="Times New Roman"/>
                <w:sz w:val="18"/>
                <w:szCs w:val="18"/>
                <w:lang w:eastAsia="zh-CN"/>
              </w:rPr>
              <w:t>Не се очакват въздействия</w:t>
            </w:r>
          </w:p>
        </w:tc>
      </w:tr>
      <w:tr w:rsidR="00F36E29" w:rsidRPr="009F6D1E" w14:paraId="29ED7AE9" w14:textId="77777777" w:rsidTr="00AB2292">
        <w:trPr>
          <w:trHeight w:val="318"/>
        </w:trPr>
        <w:tc>
          <w:tcPr>
            <w:tcW w:w="1838" w:type="dxa"/>
            <w:shd w:val="clear" w:color="auto" w:fill="auto"/>
          </w:tcPr>
          <w:p w14:paraId="419F8B5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20B0BB5B"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3686" w:type="dxa"/>
            <w:gridSpan w:val="2"/>
            <w:shd w:val="clear" w:color="auto" w:fill="auto"/>
          </w:tcPr>
          <w:p w14:paraId="3710617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очакват въздействия</w:t>
            </w:r>
          </w:p>
        </w:tc>
        <w:tc>
          <w:tcPr>
            <w:tcW w:w="3827" w:type="dxa"/>
          </w:tcPr>
          <w:p w14:paraId="0A789A3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Устойчивото управление на горските територии води до косвени положителни въздействия върху почвите в горските райони в резултат от намаляване на възможността за възникване на ерозионни процеси върху площи оголени от нерегламентирани или прекомерни сечи</w:t>
            </w:r>
          </w:p>
        </w:tc>
        <w:tc>
          <w:tcPr>
            <w:tcW w:w="4678" w:type="dxa"/>
          </w:tcPr>
          <w:p w14:paraId="4FC093A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Устойчивото управление на горските територии, залесяването и презалесяването води до косвени положителни въздействия върху горските почви в резултат от намаляване на ерозионните процеси и възобновяване на естествените  </w:t>
            </w:r>
            <w:proofErr w:type="spellStart"/>
            <w:r w:rsidRPr="009F6D1E">
              <w:rPr>
                <w:rFonts w:eastAsia="Tahoma" w:cs="Times New Roman"/>
                <w:sz w:val="18"/>
                <w:szCs w:val="18"/>
                <w:lang w:eastAsia="zh-CN"/>
              </w:rPr>
              <w:t>почвообразувателни</w:t>
            </w:r>
            <w:proofErr w:type="spellEnd"/>
            <w:r w:rsidRPr="009F6D1E">
              <w:rPr>
                <w:rFonts w:eastAsia="Tahoma" w:cs="Times New Roman"/>
                <w:sz w:val="18"/>
                <w:szCs w:val="18"/>
                <w:lang w:eastAsia="zh-CN"/>
              </w:rPr>
              <w:t xml:space="preserve"> процеси.</w:t>
            </w:r>
          </w:p>
        </w:tc>
      </w:tr>
      <w:tr w:rsidR="00F36E29" w:rsidRPr="009F6D1E" w14:paraId="6959C8B0" w14:textId="77777777" w:rsidTr="00AB2292">
        <w:trPr>
          <w:trHeight w:val="470"/>
        </w:trPr>
        <w:tc>
          <w:tcPr>
            <w:tcW w:w="1838" w:type="dxa"/>
            <w:shd w:val="clear" w:color="auto" w:fill="auto"/>
          </w:tcPr>
          <w:p w14:paraId="1690FF2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539A6CF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66521C3C" w14:textId="77777777" w:rsidR="00F36E29" w:rsidRPr="009F6D1E" w:rsidRDefault="00F36E29" w:rsidP="0084747F">
            <w:pPr>
              <w:spacing w:after="60" w:line="264" w:lineRule="auto"/>
              <w:jc w:val="both"/>
              <w:rPr>
                <w:rFonts w:cs="Times New Roman"/>
                <w:b/>
                <w:bCs/>
                <w:sz w:val="18"/>
                <w:szCs w:val="18"/>
                <w:highlight w:val="yellow"/>
              </w:rPr>
            </w:pPr>
            <w:r w:rsidRPr="009F6D1E">
              <w:rPr>
                <w:rFonts w:cs="Times New Roman"/>
                <w:b/>
                <w:bCs/>
                <w:sz w:val="18"/>
                <w:szCs w:val="18"/>
              </w:rPr>
              <w:t>ЗТ</w:t>
            </w:r>
          </w:p>
        </w:tc>
        <w:tc>
          <w:tcPr>
            <w:tcW w:w="3686" w:type="dxa"/>
            <w:gridSpan w:val="2"/>
            <w:shd w:val="clear" w:color="auto" w:fill="auto"/>
          </w:tcPr>
          <w:p w14:paraId="77121CF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827" w:type="dxa"/>
          </w:tcPr>
          <w:p w14:paraId="0CEDEA2E"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Целта на интервенцията е да се подпомогнат Изпълнителна агенция по горите, Регионалните дирекции по горите и Дирекциите на природни паркове, като отговорни за контрола в горските територии по отношение спазването на горското и ловното законодателство и подзаконовата нормативна база. Подкрепата е насочена към </w:t>
            </w:r>
            <w:r w:rsidRPr="009F6D1E">
              <w:rPr>
                <w:rFonts w:eastAsia="Tahoma"/>
                <w:sz w:val="18"/>
                <w:szCs w:val="18"/>
                <w:lang w:eastAsia="zh-CN"/>
              </w:rPr>
              <w:lastRenderedPageBreak/>
              <w:t xml:space="preserve">предотвратяване на щети по горските екосистеми и биоразнообразието чрез изграждане и оборудване на наблюдателни пунктове за борба с незаконното транспортиране и преработка на дървесина и закупуване на информационно и телекомуникационно оборудване и средства за наблюдение и противодействие на незаконните посегателства над горските и дивечови ресурси. Очаква се положително въздействие върху горските територии, биоразнообразието и ЗТ в резултат от повишаване на контрола и намаляване негативните ефекти от незаконна сеч и бракониерство. </w:t>
            </w:r>
          </w:p>
          <w:p w14:paraId="1E3D8DE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Тип на въздействието: индиректно, директно, положително</w:t>
            </w:r>
          </w:p>
          <w:p w14:paraId="3A798A5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63BC367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регионален, национален</w:t>
            </w:r>
          </w:p>
        </w:tc>
        <w:tc>
          <w:tcPr>
            <w:tcW w:w="4678" w:type="dxa"/>
          </w:tcPr>
          <w:p w14:paraId="46835D49"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lastRenderedPageBreak/>
              <w:t xml:space="preserve">Чрез Горско екологичните дейности в горите ще се подпомагат горски стопани, които поемат доброволни задължения в областта на управлението на горите, надхвърлящи задължителните изисквания. Плащанията ще са за пропуснати ползи, напр. за запазване, обособяване и увеличаване на горите във фаза на старост, опазване гнездовите местообитания на грабливи птици и черен щъркел, запазване на минимум 10 броя/ха живи </w:t>
            </w:r>
            <w:proofErr w:type="spellStart"/>
            <w:r w:rsidRPr="009F6D1E">
              <w:rPr>
                <w:rFonts w:eastAsia="Tahoma"/>
                <w:sz w:val="18"/>
                <w:szCs w:val="18"/>
                <w:lang w:eastAsia="zh-CN"/>
              </w:rPr>
              <w:lastRenderedPageBreak/>
              <w:t>биотопни</w:t>
            </w:r>
            <w:proofErr w:type="spellEnd"/>
            <w:r w:rsidRPr="009F6D1E">
              <w:rPr>
                <w:rFonts w:eastAsia="Tahoma"/>
                <w:sz w:val="18"/>
                <w:szCs w:val="18"/>
                <w:lang w:eastAsia="zh-CN"/>
              </w:rPr>
              <w:t xml:space="preserve"> дървета, в поддържане на стояща и лежаща мъртва дървесина в обем минимум 15% от запаса на насаждението, оставяне без стопанско ползване на гори върху терени/дерета с наклон по-голям от 35° и др. Ефектът от тази интервенция ще бъде положителен както за горските екосистеми, така и за биоразнообразието в тях. </w:t>
            </w:r>
          </w:p>
          <w:p w14:paraId="389E875F"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Останалите интервенции могат да имат както положителен, така и отрицателен ефект. Интервенция „Залесяване и презалесяване” ще подпомага залесяване на земеделски и неземеделски земи и поддръжка на новосъздадените култури. Ще се подпомага и възстановяването на пострадали от горски пожари, природни бедствия и катастрофични събития гори. Предвидени са ограничения за избягване на негативен ефект върху биоразнообразието, като да не се подпомага </w:t>
            </w:r>
            <w:r w:rsidRPr="009F6D1E">
              <w:rPr>
                <w:rFonts w:eastAsia="Tahoma"/>
                <w:sz w:val="18"/>
                <w:szCs w:val="18"/>
                <w:lang w:eastAsia="zh-CN"/>
              </w:rPr>
              <w:lastRenderedPageBreak/>
              <w:t xml:space="preserve">създаване на култури с кратък цикъл на ротация, бързо растящи дървета за производство на енергия, залесяване на уязвими местообитания, земеделски земи с висока природна стойност и др. В мрежата Натура 2000, подпомагане е допустимо само ако залесяването съответства на целите на управление и е съгласувано с компетентния орган. </w:t>
            </w:r>
          </w:p>
          <w:p w14:paraId="34BC16C9"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Интервенция  Предотвратяване на щети по горите от горски пожари, природни бедствия и катастрофични събития ще подпомага  превантивни дейности срещу горски пожари, част от утвърден ГСП. Ще се изисква положителен резултат от проведена процедура по ЗООС/ЗБР. </w:t>
            </w:r>
          </w:p>
          <w:p w14:paraId="2EC2FD9A"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Интервенция Подобряване на здравословното състояние и устойчивостта на горските екосистеми чрез подпомагане провеждането на сечи в горските територии </w:t>
            </w:r>
            <w:r w:rsidRPr="009F6D1E">
              <w:rPr>
                <w:rFonts w:eastAsia="Tahoma"/>
                <w:sz w:val="18"/>
                <w:szCs w:val="18"/>
                <w:lang w:eastAsia="zh-CN"/>
              </w:rPr>
              <w:lastRenderedPageBreak/>
              <w:t>цели да се подсигурят средства за подпомагане извеждането на планираните сечи в горските територии, като се подпомагат сечи одобрени с Горскостопански план или Горскостопанска програма.</w:t>
            </w:r>
          </w:p>
          <w:p w14:paraId="0987DBF5"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Извеждането на </w:t>
            </w:r>
            <w:proofErr w:type="spellStart"/>
            <w:r w:rsidRPr="009F6D1E">
              <w:rPr>
                <w:rFonts w:eastAsia="Tahoma"/>
                <w:sz w:val="18"/>
                <w:szCs w:val="18"/>
                <w:lang w:eastAsia="zh-CN"/>
              </w:rPr>
              <w:t>отгледни</w:t>
            </w:r>
            <w:proofErr w:type="spellEnd"/>
            <w:r w:rsidRPr="009F6D1E">
              <w:rPr>
                <w:rFonts w:eastAsia="Tahoma"/>
                <w:sz w:val="18"/>
                <w:szCs w:val="18"/>
                <w:lang w:eastAsia="zh-CN"/>
              </w:rPr>
              <w:t xml:space="preserve"> и възобновителни сечи, базирано на добрите лесовъдски системи и практики е част от устойчивото управление на горите. В резултат от интервенциите се очаква и дългосрочно положително въздействие върху горите и горското биоразнообразие в резултат от подпомагането на превантивни, възстановителни и подобряващи структурата дейности, като залесяване, предотвратяване на щети и подобряване на здравословното състояние на горските екосистеми. </w:t>
            </w:r>
          </w:p>
          <w:p w14:paraId="3C0E05C5"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 xml:space="preserve">Въпреки предвидените превантивни изисквания към бенефициентите и положителния ефект от интервенциите е възможно и отрицателно въздействие, особено при </w:t>
            </w:r>
            <w:r w:rsidRPr="009F6D1E">
              <w:rPr>
                <w:rFonts w:eastAsia="Tahoma"/>
                <w:sz w:val="18"/>
                <w:szCs w:val="18"/>
                <w:lang w:eastAsia="zh-CN"/>
              </w:rPr>
              <w:lastRenderedPageBreak/>
              <w:t xml:space="preserve">залесявания, изграждане на противопожарни просеки, пунктове за наблюдение на пожари и др. Залесяванията на пасища и ливади, ерозирали терени и др. могат да доведат до значително отрицателно въздействие върху видове и местообитания вкл. </w:t>
            </w:r>
            <w:proofErr w:type="spellStart"/>
            <w:r w:rsidRPr="009F6D1E">
              <w:rPr>
                <w:rFonts w:eastAsia="Tahoma"/>
                <w:sz w:val="18"/>
                <w:szCs w:val="18"/>
                <w:lang w:eastAsia="zh-CN"/>
              </w:rPr>
              <w:t>консервационно</w:t>
            </w:r>
            <w:proofErr w:type="spellEnd"/>
            <w:r w:rsidRPr="009F6D1E">
              <w:rPr>
                <w:rFonts w:eastAsia="Tahoma"/>
                <w:sz w:val="18"/>
                <w:szCs w:val="18"/>
                <w:lang w:eastAsia="zh-CN"/>
              </w:rPr>
              <w:t xml:space="preserve"> значими.  Отрицателно въздействие може да се очаква и в резултат от подпомагането на сечи и навлизането на специализирана техника за работа в горите. При залесяване с неместни видове с инвазивен потенциал те могат да се размножат в съседни местообитания и да доведат до тяхната трансформация. Възможно е интервенциите да доведат пряко и/или косвено до деградация, унищожаване на местообитания на растителни и животински видове, смъртност, безпокойство, прогонване на индивиди и др.</w:t>
            </w:r>
          </w:p>
          <w:p w14:paraId="01002026" w14:textId="77777777" w:rsidR="00F36E29" w:rsidRPr="009F6D1E" w:rsidRDefault="00F36E29" w:rsidP="0084747F">
            <w:pPr>
              <w:spacing w:after="60" w:line="264" w:lineRule="auto"/>
              <w:jc w:val="both"/>
              <w:rPr>
                <w:rFonts w:eastAsia="Tahoma" w:cs="Times New Roman"/>
                <w:sz w:val="18"/>
                <w:szCs w:val="18"/>
                <w:lang w:eastAsia="zh-CN"/>
              </w:rPr>
            </w:pPr>
          </w:p>
          <w:p w14:paraId="7CDE138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Тип на въздействието: индиректно, директно, положително, отрицателно</w:t>
            </w:r>
          </w:p>
          <w:p w14:paraId="6E9F944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7B077D2B" w14:textId="77777777" w:rsidR="00F36E29" w:rsidRPr="009F6D1E" w:rsidRDefault="00F36E29" w:rsidP="0084747F">
            <w:pPr>
              <w:pStyle w:val="TableParagraph"/>
              <w:spacing w:after="60" w:line="264" w:lineRule="auto"/>
              <w:ind w:left="18" w:right="24"/>
              <w:jc w:val="both"/>
              <w:rPr>
                <w:rFonts w:eastAsia="Tahoma"/>
                <w:sz w:val="18"/>
                <w:szCs w:val="18"/>
                <w:lang w:eastAsia="zh-CN"/>
              </w:rPr>
            </w:pPr>
            <w:r w:rsidRPr="009F6D1E">
              <w:rPr>
                <w:rFonts w:eastAsia="Tahoma"/>
                <w:sz w:val="18"/>
                <w:szCs w:val="18"/>
                <w:lang w:eastAsia="zh-CN"/>
              </w:rPr>
              <w:t>Обхват на въздействието: локален, регионален, национален</w:t>
            </w:r>
          </w:p>
        </w:tc>
      </w:tr>
      <w:tr w:rsidR="00F36E29" w:rsidRPr="009F6D1E" w14:paraId="469E165B" w14:textId="77777777" w:rsidTr="00AB2292">
        <w:trPr>
          <w:trHeight w:val="318"/>
        </w:trPr>
        <w:tc>
          <w:tcPr>
            <w:tcW w:w="1838" w:type="dxa"/>
            <w:shd w:val="clear" w:color="auto" w:fill="auto"/>
          </w:tcPr>
          <w:p w14:paraId="347501B2"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3660" w:type="dxa"/>
            <w:shd w:val="clear" w:color="auto" w:fill="auto"/>
          </w:tcPr>
          <w:p w14:paraId="07CEE9E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53" w:type="dxa"/>
            <w:gridSpan w:val="2"/>
            <w:shd w:val="clear" w:color="auto" w:fill="auto"/>
          </w:tcPr>
          <w:p w14:paraId="27EEF28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 се пряко положително въздействия върху ландшафтите от устойчивото управление на горските територии.</w:t>
            </w:r>
          </w:p>
        </w:tc>
        <w:tc>
          <w:tcPr>
            <w:tcW w:w="4678" w:type="dxa"/>
          </w:tcPr>
          <w:p w14:paraId="14DB92D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Очаква се пряко положително въздействия върху ландшафтите от устойчивото управление на горите, включително увеличаване на залесените, опазването на горските местообитания, биоразнообразието и екосистемните услуги.</w:t>
            </w:r>
          </w:p>
        </w:tc>
      </w:tr>
      <w:tr w:rsidR="00F36E29" w:rsidRPr="009F6D1E" w14:paraId="34D3BD1C" w14:textId="77777777" w:rsidTr="00AB2292">
        <w:trPr>
          <w:trHeight w:val="318"/>
        </w:trPr>
        <w:tc>
          <w:tcPr>
            <w:tcW w:w="1838" w:type="dxa"/>
            <w:shd w:val="clear" w:color="auto" w:fill="auto"/>
          </w:tcPr>
          <w:p w14:paraId="39CC746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Материални активи</w:t>
            </w:r>
          </w:p>
        </w:tc>
        <w:tc>
          <w:tcPr>
            <w:tcW w:w="3686" w:type="dxa"/>
            <w:gridSpan w:val="2"/>
            <w:shd w:val="clear" w:color="auto" w:fill="auto"/>
          </w:tcPr>
          <w:p w14:paraId="7399867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63C8DCF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678" w:type="dxa"/>
          </w:tcPr>
          <w:p w14:paraId="2BD2109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78D2B195" w14:textId="77777777" w:rsidTr="00AB2292">
        <w:trPr>
          <w:trHeight w:val="318"/>
        </w:trPr>
        <w:tc>
          <w:tcPr>
            <w:tcW w:w="1838" w:type="dxa"/>
            <w:shd w:val="clear" w:color="auto" w:fill="auto"/>
          </w:tcPr>
          <w:p w14:paraId="3A0ABAD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3686" w:type="dxa"/>
            <w:gridSpan w:val="2"/>
            <w:shd w:val="clear" w:color="auto" w:fill="auto"/>
          </w:tcPr>
          <w:p w14:paraId="48AF3BAD"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059126B4" w14:textId="77777777" w:rsidR="00F36E29" w:rsidRPr="009F6D1E" w:rsidRDefault="00F36E29" w:rsidP="0084747F">
            <w:pPr>
              <w:spacing w:after="60" w:line="264" w:lineRule="auto"/>
              <w:jc w:val="both"/>
              <w:rPr>
                <w:rFonts w:eastAsia="Tahoma" w:cs="Times New Roman"/>
                <w:sz w:val="18"/>
                <w:szCs w:val="18"/>
                <w:highlight w:val="yellow"/>
                <w:lang w:eastAsia="zh-CN"/>
              </w:rPr>
            </w:pPr>
          </w:p>
        </w:tc>
        <w:tc>
          <w:tcPr>
            <w:tcW w:w="3827" w:type="dxa"/>
          </w:tcPr>
          <w:p w14:paraId="2C868C7A"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lastRenderedPageBreak/>
              <w:t xml:space="preserve">Няма пряко отношение към </w:t>
            </w:r>
            <w:r w:rsidRPr="009F6D1E">
              <w:rPr>
                <w:rFonts w:cs="Times New Roman"/>
                <w:bCs/>
                <w:sz w:val="18"/>
                <w:szCs w:val="18"/>
              </w:rPr>
              <w:t>културно-историческо наследство.</w:t>
            </w:r>
          </w:p>
          <w:p w14:paraId="40C7E9EE" w14:textId="77777777" w:rsidR="00F36E29" w:rsidRPr="009F6D1E" w:rsidRDefault="00F36E29" w:rsidP="0084747F">
            <w:pPr>
              <w:spacing w:after="60" w:line="264" w:lineRule="auto"/>
              <w:jc w:val="both"/>
              <w:rPr>
                <w:rFonts w:eastAsia="Tahoma" w:cs="Times New Roman"/>
                <w:sz w:val="18"/>
                <w:szCs w:val="18"/>
                <w:highlight w:val="yellow"/>
                <w:lang w:eastAsia="zh-CN"/>
              </w:rPr>
            </w:pPr>
          </w:p>
        </w:tc>
        <w:tc>
          <w:tcPr>
            <w:tcW w:w="4678" w:type="dxa"/>
          </w:tcPr>
          <w:p w14:paraId="50661F7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 въздействие.</w:t>
            </w:r>
          </w:p>
        </w:tc>
      </w:tr>
      <w:tr w:rsidR="00F36E29" w:rsidRPr="009F6D1E" w14:paraId="6356ECF0" w14:textId="77777777" w:rsidTr="00AB2292">
        <w:trPr>
          <w:trHeight w:val="1610"/>
        </w:trPr>
        <w:tc>
          <w:tcPr>
            <w:tcW w:w="1838" w:type="dxa"/>
            <w:shd w:val="clear" w:color="auto" w:fill="auto"/>
          </w:tcPr>
          <w:p w14:paraId="45F3A3A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3686" w:type="dxa"/>
            <w:gridSpan w:val="2"/>
            <w:shd w:val="clear" w:color="auto" w:fill="auto"/>
          </w:tcPr>
          <w:p w14:paraId="2EDA27B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02318BF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678" w:type="dxa"/>
          </w:tcPr>
          <w:p w14:paraId="41D3545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547F67CB" w14:textId="77777777" w:rsidTr="00AB2292">
        <w:trPr>
          <w:trHeight w:val="318"/>
        </w:trPr>
        <w:tc>
          <w:tcPr>
            <w:tcW w:w="1838" w:type="dxa"/>
            <w:shd w:val="clear" w:color="auto" w:fill="auto"/>
          </w:tcPr>
          <w:p w14:paraId="18CC9C8A"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3686" w:type="dxa"/>
            <w:gridSpan w:val="2"/>
            <w:shd w:val="clear" w:color="auto" w:fill="auto"/>
          </w:tcPr>
          <w:p w14:paraId="7C9E1C7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58B611B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678" w:type="dxa"/>
          </w:tcPr>
          <w:p w14:paraId="5BD34EB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2002AF82" w14:textId="77777777" w:rsidTr="00AB2292">
        <w:tc>
          <w:tcPr>
            <w:tcW w:w="1838" w:type="dxa"/>
            <w:shd w:val="clear" w:color="auto" w:fill="auto"/>
          </w:tcPr>
          <w:p w14:paraId="36BDC21F"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3686" w:type="dxa"/>
            <w:gridSpan w:val="2"/>
            <w:shd w:val="clear" w:color="auto" w:fill="auto"/>
          </w:tcPr>
          <w:p w14:paraId="28CCDDE7"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827" w:type="dxa"/>
          </w:tcPr>
          <w:p w14:paraId="5669BB10"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678" w:type="dxa"/>
          </w:tcPr>
          <w:p w14:paraId="313A2DFA"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F36E29" w:rsidRPr="009F6D1E" w14:paraId="10C9EF46" w14:textId="77777777" w:rsidTr="00AB2292">
        <w:tc>
          <w:tcPr>
            <w:tcW w:w="1838" w:type="dxa"/>
            <w:shd w:val="clear" w:color="auto" w:fill="auto"/>
          </w:tcPr>
          <w:p w14:paraId="2213BFFB"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6AB8CB0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4E5203B7"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Риск от инциденти</w:t>
            </w:r>
          </w:p>
        </w:tc>
        <w:tc>
          <w:tcPr>
            <w:tcW w:w="3686" w:type="dxa"/>
            <w:gridSpan w:val="2"/>
            <w:shd w:val="clear" w:color="auto" w:fill="auto"/>
          </w:tcPr>
          <w:p w14:paraId="3B656F74"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lastRenderedPageBreak/>
              <w:t>Не се очаква въздействие.</w:t>
            </w:r>
          </w:p>
        </w:tc>
        <w:tc>
          <w:tcPr>
            <w:tcW w:w="3827" w:type="dxa"/>
          </w:tcPr>
          <w:p w14:paraId="3D71852A"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Индиректно положително въздействие върху населението и неговото здраве, като резултат от опазването на горските екосистеми.</w:t>
            </w:r>
          </w:p>
        </w:tc>
        <w:tc>
          <w:tcPr>
            <w:tcW w:w="4678" w:type="dxa"/>
          </w:tcPr>
          <w:p w14:paraId="470E75CC"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Индиректно положително въздействие върху населението и неговото здраве, като резултат от опазването на горските екосистеми.</w:t>
            </w:r>
          </w:p>
        </w:tc>
      </w:tr>
    </w:tbl>
    <w:p w14:paraId="2DED13F1" w14:textId="77777777" w:rsidR="00F36E29" w:rsidRPr="009F6D1E" w:rsidRDefault="00F36E29" w:rsidP="0084747F">
      <w:pPr>
        <w:spacing w:after="60" w:line="264" w:lineRule="auto"/>
        <w:contextualSpacing/>
        <w:jc w:val="both"/>
        <w:rPr>
          <w:rFonts w:eastAsia="Calibri" w:cs="Times New Roman"/>
          <w:b/>
          <w:bCs/>
          <w:i/>
          <w:iCs/>
          <w:szCs w:val="24"/>
        </w:rPr>
      </w:pPr>
    </w:p>
    <w:p w14:paraId="7B22D146"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05" w:name="_Toc115255040"/>
      <w:r w:rsidRPr="009F6D1E">
        <w:rPr>
          <w:rFonts w:eastAsia="Times New Roman"/>
        </w:rPr>
        <w:lastRenderedPageBreak/>
        <w:t>Потребности/Интервенции, обект на подкрепа по Специфична цел №5</w:t>
      </w:r>
      <w:bookmarkEnd w:id="605"/>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536"/>
        <w:gridCol w:w="3827"/>
        <w:gridCol w:w="3828"/>
      </w:tblGrid>
      <w:tr w:rsidR="00F36E29" w:rsidRPr="009F6D1E" w14:paraId="5EC87016" w14:textId="77777777" w:rsidTr="00AB2292">
        <w:trPr>
          <w:tblHeader/>
        </w:trPr>
        <w:tc>
          <w:tcPr>
            <w:tcW w:w="1838" w:type="dxa"/>
            <w:vMerge w:val="restart"/>
            <w:shd w:val="clear" w:color="auto" w:fill="D9D9D9" w:themeFill="background1" w:themeFillShade="D9"/>
            <w:vAlign w:val="center"/>
          </w:tcPr>
          <w:p w14:paraId="01C36AA3" w14:textId="77777777" w:rsidR="00F36E29" w:rsidRPr="009F6D1E" w:rsidRDefault="00F36E29" w:rsidP="0084747F">
            <w:pPr>
              <w:spacing w:after="60" w:line="264" w:lineRule="auto"/>
              <w:jc w:val="center"/>
              <w:rPr>
                <w:rFonts w:cs="Times New Roman"/>
                <w:b/>
                <w:bCs/>
                <w:i/>
                <w:sz w:val="18"/>
                <w:szCs w:val="18"/>
              </w:rPr>
            </w:pPr>
            <w:bookmarkStart w:id="606" w:name="_Hlk96695752"/>
            <w:r w:rsidRPr="009F6D1E">
              <w:rPr>
                <w:rFonts w:cs="Times New Roman"/>
                <w:b/>
                <w:bCs/>
                <w:sz w:val="18"/>
                <w:szCs w:val="18"/>
              </w:rPr>
              <w:t>Компонент/ Фактор на околната среда</w:t>
            </w:r>
          </w:p>
        </w:tc>
        <w:tc>
          <w:tcPr>
            <w:tcW w:w="4536" w:type="dxa"/>
            <w:shd w:val="clear" w:color="auto" w:fill="D9D9D9" w:themeFill="background1" w:themeFillShade="D9"/>
          </w:tcPr>
          <w:p w14:paraId="40DE9A9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П.5.1. Поддържане на подходящ баланс на земеделските площи според вида на </w:t>
            </w:r>
            <w:proofErr w:type="spellStart"/>
            <w:r w:rsidRPr="009F6D1E">
              <w:rPr>
                <w:rFonts w:cs="Times New Roman"/>
                <w:b/>
                <w:bCs/>
                <w:i/>
                <w:sz w:val="18"/>
                <w:szCs w:val="18"/>
              </w:rPr>
              <w:t>земеползване</w:t>
            </w:r>
            <w:proofErr w:type="spellEnd"/>
            <w:r w:rsidRPr="009F6D1E">
              <w:rPr>
                <w:rFonts w:cs="Times New Roman"/>
                <w:b/>
                <w:bCs/>
                <w:i/>
                <w:sz w:val="18"/>
                <w:szCs w:val="18"/>
              </w:rPr>
              <w:t xml:space="preserve"> и поддържане на разнообразие на културите</w:t>
            </w:r>
          </w:p>
          <w:p w14:paraId="36DDBFF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741961A8"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Еко схема за разнообразяване на отглежданите култури (по чл. 31 от Регламент (ЕС) 2021/2115)</w:t>
            </w:r>
          </w:p>
          <w:p w14:paraId="0CC45375"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интервенции по чл. 65 от РСП</w:t>
            </w:r>
          </w:p>
          <w:p w14:paraId="62C278DB"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Създаване и възстановяване на екологична инфраструктура</w:t>
            </w:r>
          </w:p>
          <w:p w14:paraId="59A3631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Плащания за земеделски земи в зони от Натура 2000</w:t>
            </w:r>
          </w:p>
        </w:tc>
        <w:tc>
          <w:tcPr>
            <w:tcW w:w="3827" w:type="dxa"/>
            <w:shd w:val="clear" w:color="auto" w:fill="D9D9D9" w:themeFill="background1" w:themeFillShade="D9"/>
          </w:tcPr>
          <w:p w14:paraId="6C1D5B0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П.5.2. Подобряване качеството на почвите чрез продължаване на усилията за ограничаване на процесите на водна и ветрова ерозия</w:t>
            </w:r>
          </w:p>
          <w:p w14:paraId="3D39BDB6"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B2FC25C"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Интервенция по чл. 65 от РСП</w:t>
            </w:r>
          </w:p>
          <w:p w14:paraId="22403C0F"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Възстановяване и поддържане на деградирали пасищни територии</w:t>
            </w:r>
          </w:p>
        </w:tc>
        <w:tc>
          <w:tcPr>
            <w:tcW w:w="3828" w:type="dxa"/>
            <w:shd w:val="clear" w:color="auto" w:fill="D9D9D9" w:themeFill="background1" w:themeFillShade="D9"/>
            <w:vAlign w:val="center"/>
          </w:tcPr>
          <w:p w14:paraId="154CD003"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П.5.3. Поддържане на добър баланс на </w:t>
            </w:r>
            <w:proofErr w:type="spellStart"/>
            <w:r w:rsidRPr="009F6D1E">
              <w:rPr>
                <w:rFonts w:cs="Times New Roman"/>
                <w:b/>
                <w:bCs/>
                <w:i/>
                <w:sz w:val="18"/>
                <w:szCs w:val="18"/>
              </w:rPr>
              <w:t>запасеност</w:t>
            </w:r>
            <w:proofErr w:type="spellEnd"/>
            <w:r w:rsidRPr="009F6D1E">
              <w:rPr>
                <w:rFonts w:cs="Times New Roman"/>
                <w:b/>
                <w:bCs/>
                <w:i/>
                <w:sz w:val="18"/>
                <w:szCs w:val="18"/>
              </w:rPr>
              <w:t xml:space="preserve"> на почвите с органично вещество</w:t>
            </w:r>
          </w:p>
          <w:p w14:paraId="3ED4BE4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294BD08"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 xml:space="preserve">Еко схема за разнообразяване на отглежданите култури </w:t>
            </w:r>
          </w:p>
          <w:p w14:paraId="1F248C76"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запазване и възстановяване на почвения потенциал</w:t>
            </w:r>
          </w:p>
          <w:p w14:paraId="582D595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w:t>
            </w:r>
            <w:r w:rsidRPr="009F6D1E">
              <w:rPr>
                <w:rFonts w:cs="Times New Roman"/>
                <w:sz w:val="18"/>
                <w:szCs w:val="18"/>
              </w:rPr>
              <w:t xml:space="preserve"> </w:t>
            </w:r>
            <w:r w:rsidRPr="009F6D1E">
              <w:rPr>
                <w:rFonts w:cs="Times New Roman"/>
                <w:i/>
                <w:sz w:val="18"/>
                <w:szCs w:val="18"/>
              </w:rPr>
              <w:t>Насърчаване използването на култури и сортове, устойчиви към климатичните условия</w:t>
            </w:r>
          </w:p>
        </w:tc>
      </w:tr>
      <w:tr w:rsidR="00F36E29" w:rsidRPr="009F6D1E" w14:paraId="4F0CA7A1" w14:textId="77777777" w:rsidTr="00AB2292">
        <w:trPr>
          <w:tblHeader/>
        </w:trPr>
        <w:tc>
          <w:tcPr>
            <w:tcW w:w="1838" w:type="dxa"/>
            <w:vMerge/>
            <w:shd w:val="clear" w:color="auto" w:fill="FFF2CC" w:themeFill="accent4" w:themeFillTint="33"/>
          </w:tcPr>
          <w:p w14:paraId="4A80D8E7" w14:textId="77777777" w:rsidR="00F36E29" w:rsidRPr="009F6D1E" w:rsidRDefault="00F36E29" w:rsidP="0084747F">
            <w:pPr>
              <w:spacing w:after="60" w:line="264" w:lineRule="auto"/>
              <w:jc w:val="center"/>
              <w:rPr>
                <w:rFonts w:cs="Times New Roman"/>
                <w:b/>
                <w:bCs/>
                <w:sz w:val="18"/>
                <w:szCs w:val="18"/>
              </w:rPr>
            </w:pPr>
          </w:p>
        </w:tc>
        <w:tc>
          <w:tcPr>
            <w:tcW w:w="12191" w:type="dxa"/>
            <w:gridSpan w:val="3"/>
            <w:shd w:val="clear" w:color="auto" w:fill="FFF2CC" w:themeFill="accent4" w:themeFillTint="33"/>
          </w:tcPr>
          <w:p w14:paraId="4C0DF8BF"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3AAAAF44" w14:textId="77777777" w:rsidTr="00AB2292">
        <w:trPr>
          <w:trHeight w:val="318"/>
        </w:trPr>
        <w:tc>
          <w:tcPr>
            <w:tcW w:w="1838" w:type="dxa"/>
            <w:shd w:val="clear" w:color="auto" w:fill="auto"/>
          </w:tcPr>
          <w:p w14:paraId="3387A91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766E12B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77D10E5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536" w:type="dxa"/>
            <w:shd w:val="clear" w:color="auto" w:fill="auto"/>
          </w:tcPr>
          <w:p w14:paraId="2A20C07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458404A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Реализирането на мярката ще доведе до косвено и положително въздействие върху климатичните промени, като резултат от подобряване на качеството на почвите и намаляване емитирането на въглероден диоксид в атмосферата.</w:t>
            </w:r>
          </w:p>
        </w:tc>
        <w:tc>
          <w:tcPr>
            <w:tcW w:w="3828" w:type="dxa"/>
          </w:tcPr>
          <w:p w14:paraId="74B40ED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Добрият баланс на </w:t>
            </w:r>
            <w:proofErr w:type="spellStart"/>
            <w:r w:rsidRPr="009F6D1E">
              <w:rPr>
                <w:rFonts w:eastAsia="Tahoma" w:cs="Times New Roman"/>
                <w:sz w:val="18"/>
                <w:szCs w:val="18"/>
                <w:lang w:eastAsia="zh-CN"/>
              </w:rPr>
              <w:t>запасеност</w:t>
            </w:r>
            <w:proofErr w:type="spellEnd"/>
            <w:r w:rsidRPr="009F6D1E">
              <w:rPr>
                <w:rFonts w:eastAsia="Tahoma" w:cs="Times New Roman"/>
                <w:sz w:val="18"/>
                <w:szCs w:val="18"/>
                <w:lang w:eastAsia="zh-CN"/>
              </w:rPr>
              <w:t xml:space="preserve"> на почвите с органично вещество ще повлияе положително върху промените на климата, като намали отделянето на парникови газове.</w:t>
            </w:r>
          </w:p>
        </w:tc>
      </w:tr>
      <w:tr w:rsidR="00F36E29" w:rsidRPr="009F6D1E" w14:paraId="02C18BEA" w14:textId="77777777" w:rsidTr="00AB2292">
        <w:trPr>
          <w:trHeight w:val="318"/>
        </w:trPr>
        <w:tc>
          <w:tcPr>
            <w:tcW w:w="1838" w:type="dxa"/>
            <w:shd w:val="clear" w:color="auto" w:fill="auto"/>
          </w:tcPr>
          <w:p w14:paraId="4112971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536" w:type="dxa"/>
            <w:shd w:val="clear" w:color="auto" w:fill="auto"/>
          </w:tcPr>
          <w:p w14:paraId="013B7A4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7" w:type="dxa"/>
          </w:tcPr>
          <w:p w14:paraId="61CF4B6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на очакваните въздействия върху климата.</w:t>
            </w:r>
          </w:p>
        </w:tc>
        <w:tc>
          <w:tcPr>
            <w:tcW w:w="3828" w:type="dxa"/>
          </w:tcPr>
          <w:p w14:paraId="688CF5E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на очакваните въздействия върху климата</w:t>
            </w:r>
          </w:p>
        </w:tc>
      </w:tr>
      <w:tr w:rsidR="00F36E29" w:rsidRPr="009F6D1E" w14:paraId="4F8A272B" w14:textId="77777777" w:rsidTr="00AB2292">
        <w:trPr>
          <w:trHeight w:val="318"/>
        </w:trPr>
        <w:tc>
          <w:tcPr>
            <w:tcW w:w="1838" w:type="dxa"/>
            <w:shd w:val="clear" w:color="auto" w:fill="auto"/>
          </w:tcPr>
          <w:p w14:paraId="562134F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52F916C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38ECED7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745E1DF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536" w:type="dxa"/>
            <w:shd w:val="clear" w:color="auto" w:fill="auto"/>
          </w:tcPr>
          <w:p w14:paraId="59B111C8"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t xml:space="preserve">Очаква се положително, постоянно, косвено, едновременно, дългосрочно въздействие с ниска значимост, дължащо се на опазване на количественото и </w:t>
            </w:r>
            <w:r w:rsidRPr="009F6D1E">
              <w:rPr>
                <w:rFonts w:cs="Times New Roman"/>
                <w:sz w:val="18"/>
                <w:szCs w:val="18"/>
              </w:rPr>
              <w:t>химичното</w:t>
            </w:r>
            <w:r w:rsidRPr="009F6D1E">
              <w:rPr>
                <w:rFonts w:cs="Times New Roman"/>
                <w:kern w:val="16"/>
                <w:sz w:val="18"/>
                <w:szCs w:val="18"/>
              </w:rPr>
              <w:t xml:space="preserve"> състояние на води </w:t>
            </w:r>
            <w:r w:rsidRPr="009F6D1E">
              <w:rPr>
                <w:rFonts w:cs="Times New Roman"/>
                <w:sz w:val="18"/>
                <w:szCs w:val="18"/>
              </w:rPr>
              <w:t xml:space="preserve">от реализацията на забранителните и ограничителните мерки за земеделска дейност в плановете за управление на речните басейни. </w:t>
            </w:r>
          </w:p>
          <w:p w14:paraId="7903F933" w14:textId="77777777" w:rsidR="00F36E29" w:rsidRPr="009F6D1E" w:rsidRDefault="00F36E29" w:rsidP="0084747F">
            <w:pPr>
              <w:widowControl w:val="0"/>
              <w:spacing w:after="60" w:line="264" w:lineRule="auto"/>
              <w:contextualSpacing/>
              <w:jc w:val="both"/>
              <w:rPr>
                <w:rFonts w:cs="Times New Roman"/>
                <w:kern w:val="16"/>
                <w:sz w:val="18"/>
                <w:szCs w:val="18"/>
              </w:rPr>
            </w:pPr>
            <w:r w:rsidRPr="009F6D1E">
              <w:rPr>
                <w:rFonts w:cs="Times New Roman"/>
                <w:kern w:val="16"/>
                <w:sz w:val="18"/>
                <w:szCs w:val="18"/>
              </w:rPr>
              <w:t>Продължителност на въздействието: дългосрочно</w:t>
            </w:r>
          </w:p>
          <w:p w14:paraId="287C07A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3827" w:type="dxa"/>
          </w:tcPr>
          <w:p w14:paraId="393F2BE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828" w:type="dxa"/>
          </w:tcPr>
          <w:p w14:paraId="4784DFC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5AED37E5" w14:textId="77777777" w:rsidTr="00AB2292">
        <w:trPr>
          <w:trHeight w:val="318"/>
        </w:trPr>
        <w:tc>
          <w:tcPr>
            <w:tcW w:w="1838" w:type="dxa"/>
            <w:shd w:val="clear" w:color="auto" w:fill="auto"/>
          </w:tcPr>
          <w:p w14:paraId="020D6DD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Земни недра</w:t>
            </w:r>
          </w:p>
        </w:tc>
        <w:tc>
          <w:tcPr>
            <w:tcW w:w="4536" w:type="dxa"/>
            <w:shd w:val="clear" w:color="auto" w:fill="auto"/>
          </w:tcPr>
          <w:p w14:paraId="583BCD6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Не се очаква въздействие. </w:t>
            </w:r>
          </w:p>
        </w:tc>
        <w:tc>
          <w:tcPr>
            <w:tcW w:w="3827" w:type="dxa"/>
          </w:tcPr>
          <w:p w14:paraId="09441C1A"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Не се очаква въздействие. </w:t>
            </w:r>
          </w:p>
        </w:tc>
        <w:tc>
          <w:tcPr>
            <w:tcW w:w="3828" w:type="dxa"/>
          </w:tcPr>
          <w:p w14:paraId="14F6CB9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Не се очаква въздействие. </w:t>
            </w:r>
          </w:p>
        </w:tc>
      </w:tr>
      <w:tr w:rsidR="00F36E29" w:rsidRPr="009F6D1E" w14:paraId="13664713" w14:textId="77777777" w:rsidTr="00AB2292">
        <w:trPr>
          <w:trHeight w:val="318"/>
        </w:trPr>
        <w:tc>
          <w:tcPr>
            <w:tcW w:w="1838" w:type="dxa"/>
            <w:shd w:val="clear" w:color="auto" w:fill="auto"/>
          </w:tcPr>
          <w:p w14:paraId="5986367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0CE35642"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536" w:type="dxa"/>
            <w:shd w:val="clear" w:color="auto" w:fill="auto"/>
          </w:tcPr>
          <w:p w14:paraId="0870E737"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Очакват се косвени положителни въздействия в резултат от дейности, допринасящи за подходящ баланс на земеделските площи според </w:t>
            </w:r>
            <w:proofErr w:type="spellStart"/>
            <w:r w:rsidRPr="009F6D1E">
              <w:rPr>
                <w:rFonts w:cs="Times New Roman"/>
                <w:kern w:val="16"/>
                <w:sz w:val="18"/>
                <w:szCs w:val="18"/>
              </w:rPr>
              <w:t>земеползването</w:t>
            </w:r>
            <w:proofErr w:type="spellEnd"/>
            <w:r w:rsidRPr="009F6D1E">
              <w:rPr>
                <w:rFonts w:cs="Times New Roman"/>
                <w:kern w:val="16"/>
                <w:sz w:val="18"/>
                <w:szCs w:val="18"/>
              </w:rPr>
              <w:t>, които са насочени и към разнообразяване на културите и намаляване на изтощаването на почвата. Въздействията са временни и  локални, само в районите, в който се прилага интервенцията</w:t>
            </w:r>
          </w:p>
        </w:tc>
        <w:tc>
          <w:tcPr>
            <w:tcW w:w="3827" w:type="dxa"/>
          </w:tcPr>
          <w:p w14:paraId="6E62D62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Очакват се преки положителни въздействия от всички дейности свързани с опазване на почвите и подобряване на качеството им. Въздействията са временни и  локални, само в районите, в който се прилага интервенцията, а степента на положителното въздействие в зависимост от дейностите може да е от ниска до висока. </w:t>
            </w:r>
          </w:p>
        </w:tc>
        <w:tc>
          <w:tcPr>
            <w:tcW w:w="3828" w:type="dxa"/>
          </w:tcPr>
          <w:p w14:paraId="60BED10A"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Очакват се преки положителни въздействия от дейностите свързани с поддържане на добър баланс на </w:t>
            </w:r>
            <w:proofErr w:type="spellStart"/>
            <w:r w:rsidRPr="009F6D1E">
              <w:rPr>
                <w:rFonts w:cs="Times New Roman"/>
                <w:kern w:val="16"/>
                <w:sz w:val="18"/>
                <w:szCs w:val="18"/>
              </w:rPr>
              <w:t>запасеност</w:t>
            </w:r>
            <w:proofErr w:type="spellEnd"/>
            <w:r w:rsidRPr="009F6D1E">
              <w:rPr>
                <w:rFonts w:cs="Times New Roman"/>
                <w:kern w:val="16"/>
                <w:sz w:val="18"/>
                <w:szCs w:val="18"/>
              </w:rPr>
              <w:t xml:space="preserve"> на почвите с органично вещество. Въздействията са временни и  локални, само в районите, в който се прилага интервенцията </w:t>
            </w:r>
          </w:p>
        </w:tc>
      </w:tr>
      <w:tr w:rsidR="00F36E29" w:rsidRPr="009F6D1E" w14:paraId="6CF64A99" w14:textId="77777777" w:rsidTr="00AB2292">
        <w:trPr>
          <w:trHeight w:val="1378"/>
        </w:trPr>
        <w:tc>
          <w:tcPr>
            <w:tcW w:w="1838" w:type="dxa"/>
            <w:shd w:val="clear" w:color="auto" w:fill="auto"/>
          </w:tcPr>
          <w:p w14:paraId="55C1609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76A3860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7A58A595" w14:textId="77777777" w:rsidR="00F36E29" w:rsidRPr="009F6D1E" w:rsidRDefault="00F36E29" w:rsidP="0084747F">
            <w:pPr>
              <w:spacing w:after="60" w:line="264" w:lineRule="auto"/>
              <w:jc w:val="both"/>
              <w:rPr>
                <w:rFonts w:cs="Times New Roman"/>
                <w:b/>
                <w:bCs/>
                <w:sz w:val="18"/>
                <w:szCs w:val="18"/>
                <w:highlight w:val="yellow"/>
              </w:rPr>
            </w:pPr>
            <w:r w:rsidRPr="009F6D1E">
              <w:rPr>
                <w:rFonts w:cs="Times New Roman"/>
                <w:b/>
                <w:bCs/>
                <w:sz w:val="18"/>
                <w:szCs w:val="18"/>
              </w:rPr>
              <w:t>ЗТ</w:t>
            </w:r>
          </w:p>
        </w:tc>
        <w:tc>
          <w:tcPr>
            <w:tcW w:w="4536" w:type="dxa"/>
            <w:shd w:val="clear" w:color="auto" w:fill="auto"/>
          </w:tcPr>
          <w:p w14:paraId="35D54170"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Създаването и възстановяването на екологична инфраструктура има потенциал да окаже негативно въздействие върху биологичното разнообразие и ЗТ. Възможното отрицателно въздействие, е постоянно, пряко, кумулативно, дължащо се на дейности по строителство и експлоатация на различни съоръжения и инфраструктура. Възможно е унищожаване на растителни и животински видове (вкл. </w:t>
            </w:r>
            <w:proofErr w:type="spellStart"/>
            <w:r w:rsidRPr="009F6D1E">
              <w:rPr>
                <w:rFonts w:cs="Times New Roman"/>
                <w:kern w:val="16"/>
                <w:sz w:val="18"/>
                <w:szCs w:val="18"/>
              </w:rPr>
              <w:t>консервационно</w:t>
            </w:r>
            <w:proofErr w:type="spellEnd"/>
            <w:r w:rsidRPr="009F6D1E">
              <w:rPr>
                <w:rFonts w:cs="Times New Roman"/>
                <w:kern w:val="16"/>
                <w:sz w:val="18"/>
                <w:szCs w:val="18"/>
              </w:rPr>
              <w:t xml:space="preserve">-значими), загуба на природни местообитания, загуба на индивиди, безпокойство и др. </w:t>
            </w:r>
          </w:p>
          <w:p w14:paraId="513C265A" w14:textId="77777777" w:rsidR="00F36E29" w:rsidRPr="009F6D1E" w:rsidRDefault="00F36E29" w:rsidP="0084747F">
            <w:pPr>
              <w:pStyle w:val="TableParagraph"/>
              <w:spacing w:after="60" w:line="264" w:lineRule="auto"/>
              <w:ind w:left="0" w:right="100"/>
              <w:jc w:val="both"/>
              <w:rPr>
                <w:rFonts w:eastAsiaTheme="minorHAnsi"/>
                <w:kern w:val="16"/>
                <w:sz w:val="18"/>
                <w:szCs w:val="18"/>
              </w:rPr>
            </w:pPr>
            <w:r w:rsidRPr="009F6D1E">
              <w:rPr>
                <w:rFonts w:eastAsiaTheme="minorHAnsi"/>
                <w:kern w:val="16"/>
                <w:sz w:val="18"/>
                <w:szCs w:val="18"/>
              </w:rPr>
              <w:lastRenderedPageBreak/>
              <w:t xml:space="preserve">Тъй като инвестициите в екологични съоръжения, в зависимост от спецификите си, подлежат на разрешаване по реда на специални закони, вкл. такива свързани с опазване на горите, ЗТ и биоразнообразието, при спазване на законодателството и добрите практики не се очаква значително отрицателно въздействие. В дългосрочен аспект екологичната инфраструктура има положително въздействие. </w:t>
            </w:r>
          </w:p>
          <w:p w14:paraId="0B981B2C" w14:textId="77777777" w:rsidR="00F36E29" w:rsidRPr="009F6D1E" w:rsidRDefault="00F36E29" w:rsidP="0084747F">
            <w:pPr>
              <w:pStyle w:val="TableParagraph"/>
              <w:spacing w:after="60" w:line="264" w:lineRule="auto"/>
              <w:ind w:left="0" w:right="100"/>
              <w:jc w:val="both"/>
              <w:rPr>
                <w:rFonts w:eastAsiaTheme="minorHAnsi"/>
                <w:kern w:val="16"/>
                <w:sz w:val="18"/>
                <w:szCs w:val="18"/>
              </w:rPr>
            </w:pPr>
          </w:p>
          <w:p w14:paraId="65571D9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 отрицателно</w:t>
            </w:r>
          </w:p>
          <w:p w14:paraId="5A17AD1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5958D0EE" w14:textId="77777777" w:rsidR="00F36E29" w:rsidRPr="009F6D1E" w:rsidRDefault="00F36E29" w:rsidP="0084747F">
            <w:pPr>
              <w:pStyle w:val="TableParagraph"/>
              <w:spacing w:after="60" w:line="264" w:lineRule="auto"/>
              <w:ind w:left="0" w:right="100"/>
              <w:jc w:val="both"/>
              <w:rPr>
                <w:rFonts w:eastAsiaTheme="minorHAnsi"/>
                <w:kern w:val="16"/>
                <w:sz w:val="18"/>
                <w:szCs w:val="18"/>
              </w:rPr>
            </w:pPr>
            <w:r w:rsidRPr="009F6D1E">
              <w:rPr>
                <w:rFonts w:eastAsiaTheme="minorHAnsi"/>
                <w:kern w:val="16"/>
                <w:sz w:val="18"/>
                <w:szCs w:val="18"/>
              </w:rPr>
              <w:t>Обхват на въздействието: локален</w:t>
            </w:r>
          </w:p>
          <w:p w14:paraId="3F54186C" w14:textId="77777777" w:rsidR="00F36E29" w:rsidRPr="009F6D1E" w:rsidRDefault="00F36E29" w:rsidP="0084747F">
            <w:pPr>
              <w:spacing w:after="60" w:line="264" w:lineRule="auto"/>
              <w:jc w:val="both"/>
              <w:rPr>
                <w:rFonts w:cs="Times New Roman"/>
                <w:kern w:val="16"/>
                <w:sz w:val="18"/>
                <w:szCs w:val="18"/>
              </w:rPr>
            </w:pPr>
          </w:p>
          <w:p w14:paraId="1839B88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При правилно управление на процесите, останалите интервенции ще допринесат за опазване на  биоразнообразието, подобряване на екосистемните услуги и съхраняване на местообитанията. </w:t>
            </w:r>
            <w:r w:rsidRPr="009F6D1E">
              <w:rPr>
                <w:rFonts w:cs="Times New Roman"/>
                <w:kern w:val="16"/>
                <w:sz w:val="18"/>
                <w:szCs w:val="18"/>
              </w:rPr>
              <w:lastRenderedPageBreak/>
              <w:t xml:space="preserve">Въздействието върху природни местообитания и видове, предмет на опазване в зони от мрежата  Натура 2000 са разгледани подробно в ДОСВ. </w:t>
            </w:r>
          </w:p>
          <w:p w14:paraId="79691650" w14:textId="77777777" w:rsidR="00F36E29" w:rsidRPr="009F6D1E" w:rsidRDefault="00F36E29" w:rsidP="0084747F">
            <w:pPr>
              <w:spacing w:after="60" w:line="264" w:lineRule="auto"/>
              <w:jc w:val="both"/>
              <w:rPr>
                <w:rFonts w:cs="Times New Roman"/>
                <w:kern w:val="16"/>
                <w:sz w:val="18"/>
                <w:szCs w:val="18"/>
              </w:rPr>
            </w:pPr>
          </w:p>
          <w:p w14:paraId="4F8A0441"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7CD221ED"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246C8C04"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tc>
        <w:tc>
          <w:tcPr>
            <w:tcW w:w="3827" w:type="dxa"/>
          </w:tcPr>
          <w:p w14:paraId="7344464C"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При правилно управление на процеса, предвидените интервенции ще допринесат за опазване на  биоразнообразието, подобряване на екосистемните услуги и съхраняване на местообитанията. Въздействието върху природни местообитания и видове, предмет на опазване в зони от мрежата  Натура 2000 са разгледани подробно в ДОСВ. </w:t>
            </w:r>
          </w:p>
          <w:p w14:paraId="1D49D171" w14:textId="77777777" w:rsidR="00F36E29" w:rsidRPr="009F6D1E" w:rsidRDefault="00F36E29" w:rsidP="0084747F">
            <w:pPr>
              <w:spacing w:after="60" w:line="264" w:lineRule="auto"/>
              <w:jc w:val="both"/>
              <w:rPr>
                <w:rFonts w:cs="Times New Roman"/>
                <w:kern w:val="16"/>
                <w:sz w:val="18"/>
                <w:szCs w:val="18"/>
              </w:rPr>
            </w:pPr>
          </w:p>
          <w:p w14:paraId="33F48B0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Тип на въздействието: индиректно, директно, положително</w:t>
            </w:r>
          </w:p>
          <w:p w14:paraId="4786877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0F08176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p w14:paraId="4477B512" w14:textId="77777777" w:rsidR="00F36E29" w:rsidRPr="009F6D1E" w:rsidRDefault="00F36E29" w:rsidP="0084747F">
            <w:pPr>
              <w:spacing w:after="60" w:line="264" w:lineRule="auto"/>
              <w:jc w:val="both"/>
              <w:rPr>
                <w:rFonts w:cs="Times New Roman"/>
                <w:kern w:val="16"/>
                <w:sz w:val="18"/>
                <w:szCs w:val="18"/>
              </w:rPr>
            </w:pPr>
          </w:p>
        </w:tc>
        <w:tc>
          <w:tcPr>
            <w:tcW w:w="3828" w:type="dxa"/>
          </w:tcPr>
          <w:p w14:paraId="3F6A52C6"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Не се очаква въздействие</w:t>
            </w:r>
          </w:p>
        </w:tc>
      </w:tr>
      <w:tr w:rsidR="00F36E29" w:rsidRPr="009F6D1E" w14:paraId="5C9AC21E" w14:textId="77777777" w:rsidTr="00AB2292">
        <w:trPr>
          <w:trHeight w:val="318"/>
        </w:trPr>
        <w:tc>
          <w:tcPr>
            <w:tcW w:w="1838" w:type="dxa"/>
            <w:shd w:val="clear" w:color="auto" w:fill="auto"/>
          </w:tcPr>
          <w:p w14:paraId="3F98B32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536" w:type="dxa"/>
            <w:shd w:val="clear" w:color="auto" w:fill="auto"/>
          </w:tcPr>
          <w:p w14:paraId="601E152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 се косвено положително въздействие върху ландшафтите от запазването на баланса в използването на земеделските земи и поддържането на относителният дял на постоянно затревените територии към общата земеделска площ. Въздействията са временни и локални, само в районите където се прилага интервенцията.</w:t>
            </w:r>
          </w:p>
        </w:tc>
        <w:tc>
          <w:tcPr>
            <w:tcW w:w="3827" w:type="dxa"/>
            <w:shd w:val="clear" w:color="auto" w:fill="auto"/>
          </w:tcPr>
          <w:p w14:paraId="7D1EF45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Подобряване на качеството на почвите, които са компонент на ландшафта, ще окаже неминуемо положително въздействие върху природните комплекси. Интервенция „Възстановяване и поддържане на деградирали пасищни територии“ ще окаже положителни въздействие върху земеделските ландшафти. Въздействията са временни и локални, само в районите където се прилага интервенцията.</w:t>
            </w:r>
          </w:p>
        </w:tc>
        <w:tc>
          <w:tcPr>
            <w:tcW w:w="3828" w:type="dxa"/>
          </w:tcPr>
          <w:p w14:paraId="27900EF6"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Очакват се косвени положителни въздействия върху земеделските ландшафти от поддържането на добър баланс на </w:t>
            </w:r>
            <w:proofErr w:type="spellStart"/>
            <w:r w:rsidRPr="009F6D1E">
              <w:rPr>
                <w:rFonts w:cs="Times New Roman"/>
                <w:kern w:val="16"/>
                <w:sz w:val="18"/>
                <w:szCs w:val="18"/>
              </w:rPr>
              <w:t>запасеност</w:t>
            </w:r>
            <w:proofErr w:type="spellEnd"/>
            <w:r w:rsidRPr="009F6D1E">
              <w:rPr>
                <w:rFonts w:cs="Times New Roman"/>
                <w:kern w:val="16"/>
                <w:sz w:val="18"/>
                <w:szCs w:val="18"/>
              </w:rPr>
              <w:t xml:space="preserve"> на почвите с органично вещество. Въздействията са временни и локални, само в районите където се прилага интервенцията.</w:t>
            </w:r>
          </w:p>
        </w:tc>
      </w:tr>
      <w:tr w:rsidR="00F36E29" w:rsidRPr="009F6D1E" w14:paraId="5B462CEB" w14:textId="77777777" w:rsidTr="00AB2292">
        <w:trPr>
          <w:trHeight w:val="318"/>
        </w:trPr>
        <w:tc>
          <w:tcPr>
            <w:tcW w:w="1838" w:type="dxa"/>
            <w:shd w:val="clear" w:color="auto" w:fill="auto"/>
          </w:tcPr>
          <w:p w14:paraId="3815CF1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4536" w:type="dxa"/>
            <w:shd w:val="clear" w:color="auto" w:fill="auto"/>
          </w:tcPr>
          <w:p w14:paraId="37B594A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7" w:type="dxa"/>
          </w:tcPr>
          <w:p w14:paraId="4C1547A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8" w:type="dxa"/>
          </w:tcPr>
          <w:p w14:paraId="6769A75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r>
      <w:tr w:rsidR="00F36E29" w:rsidRPr="009F6D1E" w14:paraId="59B34FD1" w14:textId="77777777" w:rsidTr="00AB2292">
        <w:trPr>
          <w:trHeight w:val="318"/>
        </w:trPr>
        <w:tc>
          <w:tcPr>
            <w:tcW w:w="1838" w:type="dxa"/>
            <w:shd w:val="clear" w:color="auto" w:fill="auto"/>
          </w:tcPr>
          <w:p w14:paraId="2E360B9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536" w:type="dxa"/>
            <w:shd w:val="clear" w:color="auto" w:fill="auto"/>
          </w:tcPr>
          <w:p w14:paraId="6A66652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7" w:type="dxa"/>
          </w:tcPr>
          <w:p w14:paraId="7542B0A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828" w:type="dxa"/>
          </w:tcPr>
          <w:p w14:paraId="1A80C93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5215CB65" w14:textId="77777777" w:rsidTr="00AB2292">
        <w:trPr>
          <w:trHeight w:val="1610"/>
        </w:trPr>
        <w:tc>
          <w:tcPr>
            <w:tcW w:w="1838" w:type="dxa"/>
            <w:shd w:val="clear" w:color="auto" w:fill="auto"/>
          </w:tcPr>
          <w:p w14:paraId="4F09D7C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536" w:type="dxa"/>
            <w:shd w:val="clear" w:color="auto" w:fill="auto"/>
          </w:tcPr>
          <w:p w14:paraId="47A882E7"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7" w:type="dxa"/>
          </w:tcPr>
          <w:p w14:paraId="26B2B0E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8" w:type="dxa"/>
          </w:tcPr>
          <w:p w14:paraId="303A929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r>
      <w:tr w:rsidR="00F36E29" w:rsidRPr="009F6D1E" w14:paraId="64C7322A" w14:textId="77777777" w:rsidTr="00AB2292">
        <w:trPr>
          <w:trHeight w:val="318"/>
        </w:trPr>
        <w:tc>
          <w:tcPr>
            <w:tcW w:w="1838" w:type="dxa"/>
            <w:shd w:val="clear" w:color="auto" w:fill="auto"/>
          </w:tcPr>
          <w:p w14:paraId="2928D22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536" w:type="dxa"/>
            <w:shd w:val="clear" w:color="auto" w:fill="auto"/>
          </w:tcPr>
          <w:p w14:paraId="1E133B0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7" w:type="dxa"/>
          </w:tcPr>
          <w:p w14:paraId="62CC1DA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c>
          <w:tcPr>
            <w:tcW w:w="3828" w:type="dxa"/>
          </w:tcPr>
          <w:p w14:paraId="4B99C27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r>
      <w:tr w:rsidR="00F36E29" w:rsidRPr="009F6D1E" w14:paraId="407DDDA8" w14:textId="77777777" w:rsidTr="00AB2292">
        <w:tc>
          <w:tcPr>
            <w:tcW w:w="1838" w:type="dxa"/>
            <w:shd w:val="clear" w:color="auto" w:fill="auto"/>
          </w:tcPr>
          <w:p w14:paraId="48DC5FA8"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4536" w:type="dxa"/>
            <w:shd w:val="clear" w:color="auto" w:fill="auto"/>
          </w:tcPr>
          <w:p w14:paraId="494E872C"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 xml:space="preserve">Не се очаква въздействие. </w:t>
            </w:r>
          </w:p>
        </w:tc>
        <w:tc>
          <w:tcPr>
            <w:tcW w:w="3827" w:type="dxa"/>
          </w:tcPr>
          <w:p w14:paraId="64A48656"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 xml:space="preserve">Не се очаква въздействие. </w:t>
            </w:r>
          </w:p>
        </w:tc>
        <w:tc>
          <w:tcPr>
            <w:tcW w:w="3828" w:type="dxa"/>
          </w:tcPr>
          <w:p w14:paraId="16C28BE7"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 xml:space="preserve">Не се очаква въздействие. </w:t>
            </w:r>
          </w:p>
        </w:tc>
      </w:tr>
      <w:tr w:rsidR="00F36E29" w:rsidRPr="009F6D1E" w14:paraId="3CE80015" w14:textId="77777777" w:rsidTr="00AB2292">
        <w:tc>
          <w:tcPr>
            <w:tcW w:w="1838" w:type="dxa"/>
            <w:shd w:val="clear" w:color="auto" w:fill="auto"/>
          </w:tcPr>
          <w:p w14:paraId="37AD4D7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0E81F3D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2A73A977"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Риск от инциденти</w:t>
            </w:r>
          </w:p>
        </w:tc>
        <w:tc>
          <w:tcPr>
            <w:tcW w:w="4536" w:type="dxa"/>
            <w:shd w:val="clear" w:color="auto" w:fill="auto"/>
          </w:tcPr>
          <w:p w14:paraId="3238FC78"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lastRenderedPageBreak/>
              <w:t>Не се очаква въздействие.</w:t>
            </w:r>
          </w:p>
        </w:tc>
        <w:tc>
          <w:tcPr>
            <w:tcW w:w="3827" w:type="dxa"/>
          </w:tcPr>
          <w:p w14:paraId="4F3A50F3"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 xml:space="preserve">Индиректно и положително въздействие върху социално-икономическите фактори на средата </w:t>
            </w:r>
            <w:r w:rsidRPr="009F6D1E">
              <w:rPr>
                <w:rFonts w:cs="Times New Roman"/>
                <w:sz w:val="18"/>
                <w:szCs w:val="18"/>
              </w:rPr>
              <w:lastRenderedPageBreak/>
              <w:t>и здравето на населението, като резултат от подобреното почвено плодородие.</w:t>
            </w:r>
          </w:p>
        </w:tc>
        <w:tc>
          <w:tcPr>
            <w:tcW w:w="3828" w:type="dxa"/>
          </w:tcPr>
          <w:p w14:paraId="0B404D74"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lastRenderedPageBreak/>
              <w:t xml:space="preserve">Индиректно и положително въздействие върху социално-икономическите фактори на средата </w:t>
            </w:r>
            <w:r w:rsidRPr="009F6D1E">
              <w:rPr>
                <w:rFonts w:cs="Times New Roman"/>
                <w:sz w:val="18"/>
                <w:szCs w:val="18"/>
              </w:rPr>
              <w:lastRenderedPageBreak/>
              <w:t>и здравето на населението, като резултат от подобреното почвено плодородие.</w:t>
            </w:r>
          </w:p>
        </w:tc>
      </w:tr>
      <w:bookmarkEnd w:id="606"/>
    </w:tbl>
    <w:p w14:paraId="2B57EE29" w14:textId="77777777" w:rsidR="00F36E29" w:rsidRPr="009F6D1E" w:rsidRDefault="00F36E29" w:rsidP="0084747F">
      <w:pPr>
        <w:spacing w:after="60" w:line="264" w:lineRule="auto"/>
        <w:contextualSpacing/>
        <w:jc w:val="both"/>
        <w:rPr>
          <w:rFonts w:eastAsia="Calibri" w:cs="Times New Roman"/>
          <w:b/>
          <w:bCs/>
          <w:i/>
          <w:iCs/>
          <w:sz w:val="18"/>
          <w:szCs w:val="18"/>
        </w:rPr>
      </w:pPr>
    </w:p>
    <w:p w14:paraId="67586E23" w14:textId="77777777" w:rsidR="00F36E29" w:rsidRPr="009F6D1E" w:rsidRDefault="00F36E29" w:rsidP="0084747F">
      <w:pPr>
        <w:spacing w:after="60" w:line="264" w:lineRule="auto"/>
        <w:contextualSpacing/>
        <w:jc w:val="both"/>
        <w:rPr>
          <w:rFonts w:eastAsia="Calibri" w:cs="Times New Roman"/>
          <w:b/>
          <w:bCs/>
          <w:i/>
          <w:iCs/>
          <w:sz w:val="18"/>
          <w:szCs w:val="18"/>
        </w:rPr>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123"/>
        <w:gridCol w:w="3208"/>
        <w:gridCol w:w="2838"/>
        <w:gridCol w:w="3293"/>
      </w:tblGrid>
      <w:tr w:rsidR="00F36E29" w:rsidRPr="009F6D1E" w14:paraId="01FD4AD5" w14:textId="77777777" w:rsidTr="00AB2292">
        <w:trPr>
          <w:tblHeader/>
        </w:trPr>
        <w:tc>
          <w:tcPr>
            <w:tcW w:w="1816" w:type="dxa"/>
            <w:vMerge w:val="restart"/>
            <w:shd w:val="clear" w:color="auto" w:fill="D9D9D9" w:themeFill="background1" w:themeFillShade="D9"/>
            <w:vAlign w:val="center"/>
          </w:tcPr>
          <w:p w14:paraId="46862D5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sz w:val="18"/>
                <w:szCs w:val="18"/>
              </w:rPr>
              <w:lastRenderedPageBreak/>
              <w:t>Компонент/ Фактор на околната среда</w:t>
            </w:r>
          </w:p>
        </w:tc>
        <w:tc>
          <w:tcPr>
            <w:tcW w:w="3123" w:type="dxa"/>
            <w:shd w:val="clear" w:color="auto" w:fill="D9D9D9" w:themeFill="background1" w:themeFillShade="D9"/>
            <w:vAlign w:val="center"/>
          </w:tcPr>
          <w:p w14:paraId="24869A1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П.5.4. Продължаване на поддържането на нисък азотен и фосфорен отпечатък в почвите</w:t>
            </w:r>
          </w:p>
          <w:p w14:paraId="5AD2D16D"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4B937B5"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Еко схема за запазване и възстановяване на почвения потенциал</w:t>
            </w:r>
          </w:p>
          <w:p w14:paraId="309B1749"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разнообразяване на отглежданите култури</w:t>
            </w:r>
          </w:p>
          <w:p w14:paraId="48D92103"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xml:space="preserve">-  Еко схема за екологично поддържане на трайните насаждения. </w:t>
            </w:r>
          </w:p>
          <w:p w14:paraId="4CD45398"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Използване на устойчиви практики и сортове, отглеждани при специфични условия</w:t>
            </w:r>
          </w:p>
          <w:p w14:paraId="0897D074"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xml:space="preserve">- Насърчаване намалението на употребата на продукти за растителна защита и торове през контрол в краен продукт </w:t>
            </w:r>
          </w:p>
          <w:p w14:paraId="4324AAA3"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Биологично производство</w:t>
            </w:r>
          </w:p>
        </w:tc>
        <w:tc>
          <w:tcPr>
            <w:tcW w:w="3208" w:type="dxa"/>
            <w:shd w:val="clear" w:color="auto" w:fill="D9D9D9" w:themeFill="background1" w:themeFillShade="D9"/>
          </w:tcPr>
          <w:p w14:paraId="70B3076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П.5.5. Продължаване на прилагане на оптимизирана и устойчива употреба на ПРЗ, минерални и органични торове с цел опазване на водите</w:t>
            </w:r>
          </w:p>
          <w:p w14:paraId="1F2FF29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0D7AE546"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Еко схема за намаляване използването на пестициди</w:t>
            </w:r>
          </w:p>
          <w:p w14:paraId="3EBA746A"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поддържане и подобряване на биологичното разнообразие и екологичната инфраструктура</w:t>
            </w:r>
          </w:p>
          <w:p w14:paraId="1210D303"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буферни екологични ивици</w:t>
            </w:r>
          </w:p>
          <w:p w14:paraId="2A7BDF0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Еко схема за запазване и възстановяване на почвения потенциал</w:t>
            </w:r>
          </w:p>
        </w:tc>
        <w:tc>
          <w:tcPr>
            <w:tcW w:w="2838" w:type="dxa"/>
            <w:shd w:val="clear" w:color="auto" w:fill="D9D9D9" w:themeFill="background1" w:themeFillShade="D9"/>
          </w:tcPr>
          <w:p w14:paraId="6D27C736"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П.5.6. Намаляване на емисиите на амоняк от селското стопанство</w:t>
            </w:r>
          </w:p>
          <w:p w14:paraId="2A12613F" w14:textId="77777777" w:rsidR="00F36E29" w:rsidRPr="009F6D1E" w:rsidRDefault="00F36E29" w:rsidP="0084747F">
            <w:pPr>
              <w:spacing w:after="60" w:line="264" w:lineRule="auto"/>
              <w:jc w:val="center"/>
              <w:rPr>
                <w:rFonts w:cs="Times New Roman"/>
                <w:sz w:val="18"/>
                <w:szCs w:val="18"/>
                <w:lang w:bidi="bg-BG"/>
              </w:rPr>
            </w:pPr>
            <w:r w:rsidRPr="009F6D1E">
              <w:rPr>
                <w:rFonts w:cs="Times New Roman"/>
                <w:b/>
                <w:bCs/>
                <w:i/>
                <w:sz w:val="18"/>
                <w:szCs w:val="18"/>
                <w:u w:val="single"/>
              </w:rPr>
              <w:t>Интервенции</w:t>
            </w:r>
            <w:r w:rsidRPr="009F6D1E">
              <w:rPr>
                <w:rFonts w:cs="Times New Roman"/>
                <w:b/>
                <w:bCs/>
                <w:i/>
                <w:sz w:val="18"/>
                <w:szCs w:val="18"/>
              </w:rPr>
              <w:t>:</w:t>
            </w:r>
          </w:p>
          <w:p w14:paraId="1E2986D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Инвестиции в земеделските стопанства насочени към опазване на компонентите на околната среда</w:t>
            </w:r>
          </w:p>
        </w:tc>
        <w:tc>
          <w:tcPr>
            <w:tcW w:w="3293" w:type="dxa"/>
            <w:shd w:val="clear" w:color="auto" w:fill="D9D9D9" w:themeFill="background1" w:themeFillShade="D9"/>
          </w:tcPr>
          <w:p w14:paraId="3A263DC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П.5.7. Ефективно използване на водните ресурси чрез подобряване на водния баланс и дела на напояване, както и възстановяване и модернизация на хидромелиоративната инфраструктура</w:t>
            </w:r>
          </w:p>
          <w:p w14:paraId="681D793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 xml:space="preserve">: </w:t>
            </w:r>
          </w:p>
          <w:p w14:paraId="4DC06FCD"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Практики за задържането на вода в орния слой на насажденията чрез мерките, които увеличават нивата на органична материя в почвите</w:t>
            </w:r>
          </w:p>
          <w:p w14:paraId="6A8DDB1F"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Инвестиции в инфраструктура за напояване</w:t>
            </w:r>
          </w:p>
          <w:p w14:paraId="5F1C1152"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Консултантски услуги и повишаване на консултантския капацитет</w:t>
            </w:r>
          </w:p>
          <w:p w14:paraId="52D1678E" w14:textId="77777777" w:rsidR="00F36E29" w:rsidRPr="009F6D1E" w:rsidRDefault="00F36E29" w:rsidP="0084747F">
            <w:pPr>
              <w:pStyle w:val="ListParagraph"/>
              <w:numPr>
                <w:ilvl w:val="0"/>
                <w:numId w:val="7"/>
              </w:numPr>
              <w:spacing w:after="60" w:line="264" w:lineRule="auto"/>
              <w:jc w:val="center"/>
              <w:rPr>
                <w:rFonts w:eastAsiaTheme="minorHAnsi"/>
                <w:i/>
                <w:color w:val="auto"/>
                <w:sz w:val="18"/>
                <w:szCs w:val="18"/>
                <w:lang w:val="bg-BG"/>
              </w:rPr>
            </w:pPr>
            <w:r w:rsidRPr="009F6D1E">
              <w:rPr>
                <w:rFonts w:eastAsiaTheme="minorHAnsi"/>
                <w:i/>
                <w:color w:val="auto"/>
                <w:sz w:val="18"/>
                <w:szCs w:val="18"/>
                <w:lang w:val="bg-BG"/>
              </w:rPr>
              <w:t>Професионално обучение и придобиване на умения</w:t>
            </w:r>
          </w:p>
          <w:p w14:paraId="467E9A96" w14:textId="77777777" w:rsidR="00F36E29" w:rsidRPr="009F6D1E" w:rsidRDefault="00F36E29" w:rsidP="0084747F">
            <w:pPr>
              <w:spacing w:after="60" w:line="264" w:lineRule="auto"/>
              <w:jc w:val="center"/>
              <w:rPr>
                <w:rFonts w:cs="Times New Roman"/>
                <w:b/>
                <w:bCs/>
                <w:i/>
                <w:sz w:val="18"/>
                <w:szCs w:val="18"/>
              </w:rPr>
            </w:pPr>
          </w:p>
        </w:tc>
      </w:tr>
      <w:tr w:rsidR="00F36E29" w:rsidRPr="009F6D1E" w14:paraId="7903E66D" w14:textId="77777777" w:rsidTr="00AB2292">
        <w:trPr>
          <w:tblHeader/>
        </w:trPr>
        <w:tc>
          <w:tcPr>
            <w:tcW w:w="1816" w:type="dxa"/>
            <w:vMerge/>
            <w:shd w:val="clear" w:color="auto" w:fill="FFF2CC" w:themeFill="accent4" w:themeFillTint="33"/>
          </w:tcPr>
          <w:p w14:paraId="6D2C74CA" w14:textId="77777777" w:rsidR="00F36E29" w:rsidRPr="009F6D1E" w:rsidRDefault="00F36E29" w:rsidP="0084747F">
            <w:pPr>
              <w:spacing w:after="60" w:line="264" w:lineRule="auto"/>
              <w:jc w:val="center"/>
              <w:rPr>
                <w:rFonts w:cs="Times New Roman"/>
                <w:b/>
                <w:bCs/>
                <w:sz w:val="18"/>
                <w:szCs w:val="18"/>
              </w:rPr>
            </w:pPr>
          </w:p>
        </w:tc>
        <w:tc>
          <w:tcPr>
            <w:tcW w:w="12462" w:type="dxa"/>
            <w:gridSpan w:val="4"/>
            <w:shd w:val="clear" w:color="auto" w:fill="FFF2CC" w:themeFill="accent4" w:themeFillTint="33"/>
          </w:tcPr>
          <w:p w14:paraId="5D89580E"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77821FE9" w14:textId="77777777" w:rsidTr="00AB2292">
        <w:trPr>
          <w:trHeight w:val="318"/>
        </w:trPr>
        <w:tc>
          <w:tcPr>
            <w:tcW w:w="1816" w:type="dxa"/>
            <w:shd w:val="clear" w:color="auto" w:fill="auto"/>
          </w:tcPr>
          <w:p w14:paraId="25ABDF8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4DAB28A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3A43EDCE"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3123" w:type="dxa"/>
            <w:shd w:val="clear" w:color="auto" w:fill="auto"/>
          </w:tcPr>
          <w:p w14:paraId="5B06CED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Насърчаването и подпомагането на биологичното земеделие ще допринесе до намаляване използването на торове и от тук директно ще повлияе върху нивата на емитираните емисии на въглероден диоксид, като допринесе за техния спад. Въздействието ще е положително и постоянно, в районите на развитие на биологичното </w:t>
            </w:r>
            <w:r w:rsidRPr="009F6D1E">
              <w:rPr>
                <w:rFonts w:eastAsia="Tahoma" w:cs="Times New Roman"/>
                <w:sz w:val="18"/>
                <w:szCs w:val="18"/>
                <w:lang w:eastAsia="zh-CN"/>
              </w:rPr>
              <w:lastRenderedPageBreak/>
              <w:t>земеделие за сметка на традиционното такова.</w:t>
            </w:r>
          </w:p>
        </w:tc>
        <w:tc>
          <w:tcPr>
            <w:tcW w:w="3208" w:type="dxa"/>
          </w:tcPr>
          <w:p w14:paraId="2F39706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Насърчаването минимизирането на използването на пестициди в земеделието ще допринесе до намаляване използването на торове и от тук директно ще повлияе върху нивата на емитираните емисии на въглероден диоксид, като допринесе за техния спад. Въздействието ще е положително и постоянно.</w:t>
            </w:r>
          </w:p>
        </w:tc>
        <w:tc>
          <w:tcPr>
            <w:tcW w:w="2838" w:type="dxa"/>
          </w:tcPr>
          <w:p w14:paraId="499B2ED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Индиректно положително въздействие върху климатичните промени, резултат от намаленото отделяне на амоняк в почвата и от тук на азотен оксид в атмосферата.</w:t>
            </w:r>
          </w:p>
        </w:tc>
        <w:tc>
          <w:tcPr>
            <w:tcW w:w="3293" w:type="dxa"/>
          </w:tcPr>
          <w:p w14:paraId="6161944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Прилагането на мярката ще доведе до подобряване адаптацията към променящите се климатични условия, резултата то контролираното напояване.</w:t>
            </w:r>
          </w:p>
        </w:tc>
      </w:tr>
      <w:tr w:rsidR="00F36E29" w:rsidRPr="009F6D1E" w14:paraId="038F4B90" w14:textId="77777777" w:rsidTr="00AB2292">
        <w:trPr>
          <w:trHeight w:val="318"/>
        </w:trPr>
        <w:tc>
          <w:tcPr>
            <w:tcW w:w="1816" w:type="dxa"/>
            <w:shd w:val="clear" w:color="auto" w:fill="auto"/>
          </w:tcPr>
          <w:p w14:paraId="560F2FB8"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3123" w:type="dxa"/>
            <w:shd w:val="clear" w:color="auto" w:fill="auto"/>
          </w:tcPr>
          <w:p w14:paraId="1FA68C4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Намаляването използването на торове, в резултат от прилагането на мярката, ще допринесе до намаляване на емисиите в атмосферата. Въздействието ще е положително, постоянно, в районите с развиващо се биоземеделие.</w:t>
            </w:r>
          </w:p>
        </w:tc>
        <w:tc>
          <w:tcPr>
            <w:tcW w:w="3208" w:type="dxa"/>
          </w:tcPr>
          <w:p w14:paraId="5360188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Намаляването използването на торове, в резултат от прилагането на мярката, ще допринесе до намаляване на емисиите в атмосферата. Въздействието ще е положително, постоянно, в районите с развиващо се биоземеделие.</w:t>
            </w:r>
          </w:p>
        </w:tc>
        <w:tc>
          <w:tcPr>
            <w:tcW w:w="2838" w:type="dxa"/>
          </w:tcPr>
          <w:p w14:paraId="28997DE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Намаленото отделяне на амоняк ще окаже положително въздействие върху КАВ – виж очаквани въздействия върху климата.</w:t>
            </w:r>
          </w:p>
        </w:tc>
        <w:tc>
          <w:tcPr>
            <w:tcW w:w="3293" w:type="dxa"/>
          </w:tcPr>
          <w:p w14:paraId="2380141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C4DDE79" w14:textId="77777777" w:rsidTr="00AB2292">
        <w:trPr>
          <w:trHeight w:val="318"/>
        </w:trPr>
        <w:tc>
          <w:tcPr>
            <w:tcW w:w="1816" w:type="dxa"/>
            <w:shd w:val="clear" w:color="auto" w:fill="auto"/>
          </w:tcPr>
          <w:p w14:paraId="2B52964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Повърхностни води</w:t>
            </w:r>
          </w:p>
          <w:p w14:paraId="1A5CCA4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74C922D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634A8784"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3123" w:type="dxa"/>
            <w:shd w:val="clear" w:color="auto" w:fill="auto"/>
          </w:tcPr>
          <w:p w14:paraId="3D3DC512"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Мярката предвижда насърчаването на биологичното земеделие, което ще доведе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подобряване управлението на водите, </w:t>
            </w:r>
            <w:r w:rsidRPr="009F6D1E">
              <w:rPr>
                <w:rFonts w:cs="Times New Roman"/>
                <w:sz w:val="18"/>
                <w:szCs w:val="18"/>
              </w:rPr>
              <w:lastRenderedPageBreak/>
              <w:t xml:space="preserve">включително управлението на торовете и пестицидите. </w:t>
            </w:r>
          </w:p>
          <w:p w14:paraId="05BE0F85"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Дейностите са насочени и като инвестиции за опазване на околната среда и ще спомогнат за преодоляване на съществуващите екологични проблеми описани в точка 6 от ЕО и съответстват на заложените цели на ПУРБ</w:t>
            </w:r>
          </w:p>
          <w:p w14:paraId="67661BD5"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t xml:space="preserve">Очаква се положително, постоянно, </w:t>
            </w:r>
            <w:r w:rsidRPr="009F6D1E">
              <w:rPr>
                <w:rFonts w:cs="Times New Roman"/>
                <w:kern w:val="16"/>
                <w:sz w:val="18"/>
                <w:szCs w:val="18"/>
              </w:rPr>
              <w:lastRenderedPageBreak/>
              <w:t xml:space="preserve">косвено, едновременно, дългосрочно въздействие със средна значимост, дължащо се на: подобряване на качеството на водите </w:t>
            </w:r>
            <w:r w:rsidRPr="009F6D1E">
              <w:rPr>
                <w:rFonts w:cs="Times New Roman"/>
                <w:sz w:val="18"/>
                <w:szCs w:val="18"/>
              </w:rPr>
              <w:t xml:space="preserve">от реализацията на биологичното производство, свързани с намаляване на използването на минерални торове, пестициди. </w:t>
            </w:r>
          </w:p>
          <w:p w14:paraId="5346B54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3208" w:type="dxa"/>
          </w:tcPr>
          <w:p w14:paraId="5AA4A0FB"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lastRenderedPageBreak/>
              <w:t xml:space="preserve">Мярката предвижда насърчаването на биологичното земеделие, което ще доведе до намаляване на използването на минерални торове, опасни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подобряване управлението на водите, </w:t>
            </w:r>
            <w:r w:rsidRPr="009F6D1E">
              <w:rPr>
                <w:rFonts w:cs="Times New Roman"/>
                <w:sz w:val="18"/>
                <w:szCs w:val="18"/>
              </w:rPr>
              <w:lastRenderedPageBreak/>
              <w:t xml:space="preserve">включително управлението на торовете и пестицидите. </w:t>
            </w:r>
          </w:p>
          <w:p w14:paraId="78C0AE9F"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Дейностите са насочени и като инвестиции за опазване на околната среда и ще спомогнат за преодоляване на съществуващите екологични проблеми описани в точка 6 от ЕО и съответстват на заложените цели на ПУРБ</w:t>
            </w:r>
          </w:p>
          <w:p w14:paraId="12F80A1E"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t xml:space="preserve">Очаква се положително, постоянно, </w:t>
            </w:r>
            <w:r w:rsidRPr="009F6D1E">
              <w:rPr>
                <w:rFonts w:cs="Times New Roman"/>
                <w:kern w:val="16"/>
                <w:sz w:val="18"/>
                <w:szCs w:val="18"/>
              </w:rPr>
              <w:lastRenderedPageBreak/>
              <w:t xml:space="preserve">косвено, едновременно, дългосрочно въздействие със средна значимост, дължащо се на: подобряване на качеството на водите </w:t>
            </w:r>
            <w:r w:rsidRPr="009F6D1E">
              <w:rPr>
                <w:rFonts w:cs="Times New Roman"/>
                <w:sz w:val="18"/>
                <w:szCs w:val="18"/>
              </w:rPr>
              <w:t xml:space="preserve">от реализацията на биологичното производство, свързани с намаляване на използването на минерални торове, пестициди. </w:t>
            </w:r>
          </w:p>
          <w:p w14:paraId="50A8DA3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2838" w:type="dxa"/>
          </w:tcPr>
          <w:p w14:paraId="78C86E7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Не се очаква въздействие</w:t>
            </w:r>
          </w:p>
        </w:tc>
        <w:tc>
          <w:tcPr>
            <w:tcW w:w="3293" w:type="dxa"/>
          </w:tcPr>
          <w:p w14:paraId="3C426FB9" w14:textId="39F276BF" w:rsidR="00F36E29" w:rsidRPr="009F6D1E" w:rsidRDefault="00F36E29" w:rsidP="0084747F">
            <w:pPr>
              <w:widowControl w:val="0"/>
              <w:spacing w:after="60" w:line="264" w:lineRule="auto"/>
              <w:jc w:val="both"/>
              <w:rPr>
                <w:rFonts w:cs="Times New Roman"/>
                <w:kern w:val="16"/>
                <w:sz w:val="18"/>
                <w:szCs w:val="18"/>
              </w:rPr>
            </w:pPr>
            <w:r w:rsidRPr="009F6D1E">
              <w:rPr>
                <w:rFonts w:cs="Times New Roman"/>
                <w:sz w:val="18"/>
                <w:szCs w:val="18"/>
              </w:rPr>
              <w:t xml:space="preserve">Очаква се </w:t>
            </w:r>
            <w:r w:rsidRPr="009F6D1E">
              <w:rPr>
                <w:rFonts w:cs="Times New Roman"/>
                <w:kern w:val="16"/>
                <w:sz w:val="18"/>
                <w:szCs w:val="18"/>
              </w:rPr>
              <w:t xml:space="preserve">положително, постоянно, пряко, едновременно, дългосрочно въздействие с ниска значимост, дължащо се на: инвестиции в инфраструктурата за напояване и </w:t>
            </w:r>
            <w:r w:rsidRPr="009F6D1E">
              <w:rPr>
                <w:rFonts w:cs="Times New Roman"/>
                <w:sz w:val="18"/>
                <w:szCs w:val="18"/>
              </w:rPr>
              <w:t>намаляване</w:t>
            </w:r>
            <w:r w:rsidRPr="009F6D1E">
              <w:rPr>
                <w:rFonts w:cs="Times New Roman"/>
                <w:kern w:val="16"/>
                <w:sz w:val="18"/>
                <w:szCs w:val="18"/>
              </w:rPr>
              <w:t xml:space="preserve"> на натиска и въздействието върху количественото състояние на води, вследствие на изграждане на нови и подобряване на съществуващи мрежи за напояване</w:t>
            </w:r>
            <w:r w:rsidR="009A19A3">
              <w:rPr>
                <w:rFonts w:cs="Times New Roman"/>
                <w:kern w:val="16"/>
                <w:sz w:val="18"/>
                <w:szCs w:val="18"/>
              </w:rPr>
              <w:t>.</w:t>
            </w:r>
          </w:p>
          <w:p w14:paraId="5BC4D15D" w14:textId="77777777" w:rsidR="00F36E29" w:rsidRPr="009F6D1E" w:rsidRDefault="00F36E29" w:rsidP="0084747F">
            <w:pPr>
              <w:widowControl w:val="0"/>
              <w:spacing w:after="60" w:line="264" w:lineRule="auto"/>
              <w:contextualSpacing/>
              <w:jc w:val="both"/>
              <w:rPr>
                <w:rFonts w:cs="Times New Roman"/>
                <w:kern w:val="16"/>
                <w:sz w:val="18"/>
                <w:szCs w:val="18"/>
              </w:rPr>
            </w:pPr>
            <w:r w:rsidRPr="009F6D1E">
              <w:rPr>
                <w:rFonts w:cs="Times New Roman"/>
                <w:kern w:val="16"/>
                <w:sz w:val="18"/>
                <w:szCs w:val="18"/>
              </w:rPr>
              <w:lastRenderedPageBreak/>
              <w:t>Продължителност на въздействието: дългосрочно</w:t>
            </w:r>
          </w:p>
          <w:p w14:paraId="28A0CFB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r>
      <w:tr w:rsidR="00F36E29" w:rsidRPr="009F6D1E" w14:paraId="70FDD1C5" w14:textId="77777777" w:rsidTr="00AB2292">
        <w:trPr>
          <w:trHeight w:val="318"/>
        </w:trPr>
        <w:tc>
          <w:tcPr>
            <w:tcW w:w="1816" w:type="dxa"/>
            <w:shd w:val="clear" w:color="auto" w:fill="auto"/>
          </w:tcPr>
          <w:p w14:paraId="125CA1E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Земни недра</w:t>
            </w:r>
          </w:p>
        </w:tc>
        <w:tc>
          <w:tcPr>
            <w:tcW w:w="3123" w:type="dxa"/>
          </w:tcPr>
          <w:p w14:paraId="06BAC0A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kern w:val="16"/>
                <w:sz w:val="18"/>
                <w:szCs w:val="18"/>
              </w:rPr>
              <w:t>Не се очаква въздействие.</w:t>
            </w:r>
          </w:p>
        </w:tc>
        <w:tc>
          <w:tcPr>
            <w:tcW w:w="3208" w:type="dxa"/>
            <w:shd w:val="clear" w:color="auto" w:fill="auto"/>
          </w:tcPr>
          <w:p w14:paraId="457D9BF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kern w:val="16"/>
                <w:sz w:val="18"/>
                <w:szCs w:val="18"/>
              </w:rPr>
              <w:t>Не се очаква въздействие.</w:t>
            </w:r>
          </w:p>
        </w:tc>
        <w:tc>
          <w:tcPr>
            <w:tcW w:w="2838" w:type="dxa"/>
            <w:shd w:val="clear" w:color="auto" w:fill="auto"/>
          </w:tcPr>
          <w:p w14:paraId="7ED414C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kern w:val="16"/>
                <w:sz w:val="18"/>
                <w:szCs w:val="18"/>
              </w:rPr>
              <w:t>Не се очаква въздействие.</w:t>
            </w:r>
          </w:p>
        </w:tc>
        <w:tc>
          <w:tcPr>
            <w:tcW w:w="3293" w:type="dxa"/>
            <w:shd w:val="clear" w:color="auto" w:fill="auto"/>
          </w:tcPr>
          <w:p w14:paraId="292E519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kern w:val="16"/>
                <w:sz w:val="18"/>
                <w:szCs w:val="18"/>
              </w:rPr>
              <w:t>Не се очаква въздействие.</w:t>
            </w:r>
          </w:p>
        </w:tc>
      </w:tr>
      <w:tr w:rsidR="00F36E29" w:rsidRPr="009F6D1E" w14:paraId="3F466C3F" w14:textId="77777777" w:rsidTr="00AB2292">
        <w:trPr>
          <w:trHeight w:val="318"/>
        </w:trPr>
        <w:tc>
          <w:tcPr>
            <w:tcW w:w="1816" w:type="dxa"/>
            <w:shd w:val="clear" w:color="auto" w:fill="auto"/>
          </w:tcPr>
          <w:p w14:paraId="5465555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4E871436"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3123" w:type="dxa"/>
            <w:shd w:val="clear" w:color="auto" w:fill="auto"/>
          </w:tcPr>
          <w:p w14:paraId="2F1F4B4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Очакват се преки положителни въздействия върху почвите главно от дейностите по: запазване и възстановяване на почвения потенциал; намалението на употребата на продукти за растителна защита и торове; биологично производство. Въздействията са </w:t>
            </w:r>
            <w:r w:rsidRPr="009F6D1E">
              <w:rPr>
                <w:rFonts w:cs="Times New Roman"/>
                <w:kern w:val="16"/>
                <w:sz w:val="18"/>
                <w:szCs w:val="18"/>
              </w:rPr>
              <w:lastRenderedPageBreak/>
              <w:t>временни и локални, само в районите където се прилага интервенцията.</w:t>
            </w:r>
          </w:p>
        </w:tc>
        <w:tc>
          <w:tcPr>
            <w:tcW w:w="3208" w:type="dxa"/>
          </w:tcPr>
          <w:p w14:paraId="5E97158A"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Очакват се преки положителни въздействия върху почвите в резултат от намаляването употребата на пестициди, минерални и органични торове. Въздействията са положителни, локални, временни.</w:t>
            </w:r>
          </w:p>
        </w:tc>
        <w:tc>
          <w:tcPr>
            <w:tcW w:w="2838" w:type="dxa"/>
          </w:tcPr>
          <w:p w14:paraId="652244E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Очакват се преки положителни въздействия върху почвите от ограничаване отделянето амоняк от почвите, както и за запазване на органичното вещество. Въздействията са положителни, локални, временни.</w:t>
            </w:r>
          </w:p>
        </w:tc>
        <w:tc>
          <w:tcPr>
            <w:tcW w:w="3293" w:type="dxa"/>
          </w:tcPr>
          <w:p w14:paraId="6EBAD9E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Очакват се преки положителни въздействия върху почвите от подобряване задържането на вода в орния слой и предпазване на почвата от засушаване. Въздействията са положителни, локални, временни.</w:t>
            </w:r>
          </w:p>
          <w:p w14:paraId="1145D699" w14:textId="0165D943" w:rsidR="00F36E29" w:rsidRPr="009F6D1E" w:rsidRDefault="00F36E29" w:rsidP="0084747F">
            <w:pPr>
              <w:spacing w:after="60" w:line="264" w:lineRule="auto"/>
              <w:jc w:val="both"/>
              <w:rPr>
                <w:rFonts w:cs="Times New Roman"/>
                <w:kern w:val="16"/>
                <w:sz w:val="18"/>
                <w:szCs w:val="18"/>
              </w:rPr>
            </w:pPr>
          </w:p>
        </w:tc>
      </w:tr>
      <w:tr w:rsidR="00F36E29" w:rsidRPr="009F6D1E" w14:paraId="2443E335" w14:textId="77777777" w:rsidTr="00AB2292">
        <w:trPr>
          <w:trHeight w:val="1378"/>
        </w:trPr>
        <w:tc>
          <w:tcPr>
            <w:tcW w:w="1816" w:type="dxa"/>
            <w:shd w:val="clear" w:color="auto" w:fill="auto"/>
          </w:tcPr>
          <w:p w14:paraId="0BB37D5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7FDD0F6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5EA4F294"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ЗТ</w:t>
            </w:r>
          </w:p>
        </w:tc>
        <w:tc>
          <w:tcPr>
            <w:tcW w:w="3123" w:type="dxa"/>
            <w:shd w:val="clear" w:color="auto" w:fill="auto"/>
          </w:tcPr>
          <w:p w14:paraId="78FB03E2"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Прилагането на интервенциите ще окаже положително въздействие върху биологичното разнообразие. </w:t>
            </w:r>
          </w:p>
          <w:p w14:paraId="50D0F96D"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7BFD9C0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4B583CD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Обхват на въздействието: локален, регионален</w:t>
            </w:r>
          </w:p>
          <w:p w14:paraId="13230536" w14:textId="77777777" w:rsidR="00F36E29" w:rsidRPr="009F6D1E" w:rsidRDefault="00F36E29" w:rsidP="0084747F">
            <w:pPr>
              <w:spacing w:after="60" w:line="264" w:lineRule="auto"/>
              <w:jc w:val="both"/>
              <w:rPr>
                <w:rFonts w:cs="Times New Roman"/>
                <w:kern w:val="16"/>
                <w:sz w:val="18"/>
                <w:szCs w:val="18"/>
              </w:rPr>
            </w:pPr>
          </w:p>
        </w:tc>
        <w:tc>
          <w:tcPr>
            <w:tcW w:w="3208" w:type="dxa"/>
            <w:shd w:val="clear" w:color="auto" w:fill="auto"/>
          </w:tcPr>
          <w:p w14:paraId="418B9AD2"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Прилагането на интервенциите ще окаже положително въздействие върху биологичното разнообразие. </w:t>
            </w:r>
          </w:p>
          <w:p w14:paraId="23BF3897"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79EACB9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3F90B49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Обхват на въздействието: локален, регионален</w:t>
            </w:r>
          </w:p>
          <w:p w14:paraId="2D6E1918" w14:textId="77777777" w:rsidR="00F36E29" w:rsidRPr="009F6D1E" w:rsidRDefault="00F36E29" w:rsidP="0084747F">
            <w:pPr>
              <w:spacing w:after="60" w:line="264" w:lineRule="auto"/>
              <w:jc w:val="both"/>
              <w:rPr>
                <w:rFonts w:cs="Times New Roman"/>
                <w:kern w:val="16"/>
                <w:sz w:val="18"/>
                <w:szCs w:val="18"/>
              </w:rPr>
            </w:pPr>
          </w:p>
        </w:tc>
        <w:tc>
          <w:tcPr>
            <w:tcW w:w="2838" w:type="dxa"/>
          </w:tcPr>
          <w:p w14:paraId="73C585A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Прилагането на интервенциите ще окаже положително въздействие върху биологичното разнообразие. </w:t>
            </w:r>
          </w:p>
          <w:p w14:paraId="7BA66DDA"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3AD137F6"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Продължителност на въздействието: дългосрочно </w:t>
            </w:r>
          </w:p>
          <w:p w14:paraId="075CA446"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p w14:paraId="0816C4FC" w14:textId="77777777" w:rsidR="00F36E29" w:rsidRPr="009F6D1E" w:rsidRDefault="00F36E29" w:rsidP="0084747F">
            <w:pPr>
              <w:spacing w:after="60" w:line="264" w:lineRule="auto"/>
              <w:jc w:val="both"/>
              <w:rPr>
                <w:rFonts w:cs="Times New Roman"/>
                <w:kern w:val="16"/>
                <w:sz w:val="18"/>
                <w:szCs w:val="18"/>
              </w:rPr>
            </w:pPr>
          </w:p>
        </w:tc>
        <w:tc>
          <w:tcPr>
            <w:tcW w:w="3293" w:type="dxa"/>
          </w:tcPr>
          <w:p w14:paraId="6C8FA9D2"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Интервенция, която </w:t>
            </w:r>
            <w:r w:rsidR="0000376F">
              <w:rPr>
                <w:rFonts w:cs="Times New Roman"/>
                <w:kern w:val="16"/>
                <w:sz w:val="18"/>
                <w:szCs w:val="18"/>
              </w:rPr>
              <w:t xml:space="preserve">потенциално </w:t>
            </w:r>
            <w:r w:rsidRPr="009F6D1E">
              <w:rPr>
                <w:rFonts w:cs="Times New Roman"/>
                <w:kern w:val="16"/>
                <w:sz w:val="18"/>
                <w:szCs w:val="18"/>
              </w:rPr>
              <w:t xml:space="preserve">би могла да окаже негативно влияние е Инвестиции в инфраструктура за напояване. Предвидено е да се подпомагат единствено дейности и инвестиции в напоителни системи, които допринасят за постигането или запазването на доброто състояние на </w:t>
            </w:r>
            <w:r w:rsidRPr="009F6D1E">
              <w:rPr>
                <w:rFonts w:cs="Times New Roman"/>
                <w:kern w:val="16"/>
                <w:sz w:val="18"/>
                <w:szCs w:val="18"/>
              </w:rPr>
              <w:lastRenderedPageBreak/>
              <w:t xml:space="preserve">свързаното водно тяло или тела в съответствие с Плана за управление на речните басейни (ПУРБ). Те трябва да са преминали процедура по ОВОС/ЕО/ОСВ. Това ще гарантира липсата на значително отрицателно въздействие върху биоразнообразието, горите и ЗТ. </w:t>
            </w:r>
          </w:p>
          <w:p w14:paraId="5E72D8E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Прилагането на останалите интервенции ще окаже положително </w:t>
            </w:r>
            <w:r w:rsidRPr="009F6D1E">
              <w:rPr>
                <w:rFonts w:cs="Times New Roman"/>
                <w:kern w:val="16"/>
                <w:sz w:val="18"/>
                <w:szCs w:val="18"/>
              </w:rPr>
              <w:lastRenderedPageBreak/>
              <w:t xml:space="preserve">въздействие върху биологичното разнообразие. </w:t>
            </w:r>
          </w:p>
          <w:p w14:paraId="76F8A47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3BCAFF37"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75ADB69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tc>
      </w:tr>
      <w:tr w:rsidR="00F36E29" w:rsidRPr="009F6D1E" w14:paraId="7A5A6837" w14:textId="77777777" w:rsidTr="00AB2292">
        <w:trPr>
          <w:trHeight w:val="318"/>
        </w:trPr>
        <w:tc>
          <w:tcPr>
            <w:tcW w:w="1816" w:type="dxa"/>
            <w:shd w:val="clear" w:color="auto" w:fill="auto"/>
          </w:tcPr>
          <w:p w14:paraId="5B701C07"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3123" w:type="dxa"/>
            <w:shd w:val="clear" w:color="auto" w:fill="auto"/>
          </w:tcPr>
          <w:p w14:paraId="76F0261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Очакват се преки положителни въздействия върху ландшафтите главно от дейностите по: запазване и възстановяване на почвения потенциал; намалението на употребата на продукти за растителна защита и торове; биологично производство. Въздействията са временни и локални, само в районите където се прилага интервенцията.</w:t>
            </w:r>
          </w:p>
        </w:tc>
        <w:tc>
          <w:tcPr>
            <w:tcW w:w="3208" w:type="dxa"/>
            <w:shd w:val="clear" w:color="auto" w:fill="auto"/>
          </w:tcPr>
          <w:p w14:paraId="75F2094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Очакват се преки положителни въздействия върху ландшафтите в резултат от намаляването употребата на пестициди, минерални и органични торове. Въздействията са положителни, локални, временни.</w:t>
            </w:r>
          </w:p>
        </w:tc>
        <w:tc>
          <w:tcPr>
            <w:tcW w:w="2838" w:type="dxa"/>
          </w:tcPr>
          <w:p w14:paraId="615A1F2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Очакват се преки положителни въздействия върху ландшафтите от ограничаване отделянето амоняк от почвите, както и за запазване на органичното вещество. Въздействията са положителни, локални, временни.</w:t>
            </w:r>
          </w:p>
        </w:tc>
        <w:tc>
          <w:tcPr>
            <w:tcW w:w="3293" w:type="dxa"/>
          </w:tcPr>
          <w:p w14:paraId="59696CC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Очакват се преки положителни въздействия върху ландшафтите от подобряване задържането на вода в орния слой и предпазване на почвата от засушаване. Въздействията са положителни, локални, временни.</w:t>
            </w:r>
          </w:p>
          <w:p w14:paraId="3C7F4A8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Слаби отрицателни въздействия върху ландшафтите могат да се очакват в резултат от дейности по изграждане на хидромелиоративни съоръжения, които </w:t>
            </w:r>
            <w:r w:rsidRPr="009F6D1E">
              <w:rPr>
                <w:rFonts w:eastAsia="Tahoma" w:cs="Times New Roman"/>
                <w:sz w:val="18"/>
                <w:szCs w:val="18"/>
                <w:lang w:eastAsia="zh-CN"/>
              </w:rPr>
              <w:lastRenderedPageBreak/>
              <w:t xml:space="preserve">нарушават съществуващите земеделски ландшафти и допълнително </w:t>
            </w:r>
            <w:proofErr w:type="spellStart"/>
            <w:r w:rsidRPr="009F6D1E">
              <w:rPr>
                <w:rFonts w:eastAsia="Tahoma" w:cs="Times New Roman"/>
                <w:sz w:val="18"/>
                <w:szCs w:val="18"/>
                <w:lang w:eastAsia="zh-CN"/>
              </w:rPr>
              <w:t>антропогенизират</w:t>
            </w:r>
            <w:proofErr w:type="spellEnd"/>
            <w:r w:rsidRPr="009F6D1E">
              <w:rPr>
                <w:rFonts w:eastAsia="Tahoma" w:cs="Times New Roman"/>
                <w:sz w:val="18"/>
                <w:szCs w:val="18"/>
                <w:lang w:eastAsia="zh-CN"/>
              </w:rPr>
              <w:t xml:space="preserve"> средата.</w:t>
            </w:r>
          </w:p>
        </w:tc>
      </w:tr>
      <w:tr w:rsidR="00F36E29" w:rsidRPr="009F6D1E" w14:paraId="0AA76963" w14:textId="77777777" w:rsidTr="00AB2292">
        <w:trPr>
          <w:trHeight w:val="318"/>
        </w:trPr>
        <w:tc>
          <w:tcPr>
            <w:tcW w:w="1816" w:type="dxa"/>
            <w:shd w:val="clear" w:color="auto" w:fill="auto"/>
          </w:tcPr>
          <w:p w14:paraId="795D0402"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3123" w:type="dxa"/>
            <w:shd w:val="clear" w:color="auto" w:fill="auto"/>
          </w:tcPr>
          <w:p w14:paraId="006FAEA7"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208" w:type="dxa"/>
          </w:tcPr>
          <w:p w14:paraId="578BDBC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2838" w:type="dxa"/>
          </w:tcPr>
          <w:p w14:paraId="2B7AB04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293" w:type="dxa"/>
          </w:tcPr>
          <w:p w14:paraId="1CC9F42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Пряко и положително въздействие, като резултат от изграждане на поливни системи.</w:t>
            </w:r>
          </w:p>
        </w:tc>
      </w:tr>
      <w:tr w:rsidR="00F36E29" w:rsidRPr="009F6D1E" w14:paraId="7134A6AA" w14:textId="77777777" w:rsidTr="00AB2292">
        <w:trPr>
          <w:trHeight w:val="318"/>
        </w:trPr>
        <w:tc>
          <w:tcPr>
            <w:tcW w:w="1816" w:type="dxa"/>
            <w:shd w:val="clear" w:color="auto" w:fill="auto"/>
          </w:tcPr>
          <w:p w14:paraId="5382B4C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3123" w:type="dxa"/>
            <w:shd w:val="clear" w:color="auto" w:fill="auto"/>
          </w:tcPr>
          <w:p w14:paraId="585F4BB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208" w:type="dxa"/>
          </w:tcPr>
          <w:p w14:paraId="5AE9194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2838" w:type="dxa"/>
          </w:tcPr>
          <w:p w14:paraId="3B7C8D0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Непряко положително въздействие, свързано с ограничаване на неблагоприятните въздействия на </w:t>
            </w:r>
            <w:r w:rsidRPr="009F6D1E">
              <w:rPr>
                <w:rFonts w:eastAsia="Tahoma" w:cs="Times New Roman"/>
                <w:sz w:val="18"/>
                <w:szCs w:val="18"/>
                <w:lang w:eastAsia="zh-CN"/>
              </w:rPr>
              <w:lastRenderedPageBreak/>
              <w:t>замърсяването върху обекти на културно-историческото наследство.</w:t>
            </w:r>
          </w:p>
        </w:tc>
        <w:tc>
          <w:tcPr>
            <w:tcW w:w="3293" w:type="dxa"/>
          </w:tcPr>
          <w:p w14:paraId="343BB25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 въздействие.</w:t>
            </w:r>
          </w:p>
        </w:tc>
      </w:tr>
      <w:tr w:rsidR="00F36E29" w:rsidRPr="009F6D1E" w14:paraId="4CCE4B63" w14:textId="77777777" w:rsidTr="00AB2292">
        <w:trPr>
          <w:trHeight w:val="1610"/>
        </w:trPr>
        <w:tc>
          <w:tcPr>
            <w:tcW w:w="1816" w:type="dxa"/>
            <w:shd w:val="clear" w:color="auto" w:fill="auto"/>
          </w:tcPr>
          <w:p w14:paraId="0BEAAE6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3123" w:type="dxa"/>
            <w:shd w:val="clear" w:color="auto" w:fill="auto"/>
          </w:tcPr>
          <w:p w14:paraId="4531C64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208" w:type="dxa"/>
          </w:tcPr>
          <w:p w14:paraId="2190DE0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2838" w:type="dxa"/>
          </w:tcPr>
          <w:p w14:paraId="4DA3520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293" w:type="dxa"/>
          </w:tcPr>
          <w:p w14:paraId="0D8F481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21149C9A" w14:textId="77777777" w:rsidTr="00AB2292">
        <w:trPr>
          <w:trHeight w:val="318"/>
        </w:trPr>
        <w:tc>
          <w:tcPr>
            <w:tcW w:w="1816" w:type="dxa"/>
            <w:shd w:val="clear" w:color="auto" w:fill="auto"/>
          </w:tcPr>
          <w:p w14:paraId="212F006A"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Отпадъци </w:t>
            </w:r>
          </w:p>
        </w:tc>
        <w:tc>
          <w:tcPr>
            <w:tcW w:w="3123" w:type="dxa"/>
            <w:shd w:val="clear" w:color="auto" w:fill="auto"/>
          </w:tcPr>
          <w:p w14:paraId="232FA81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208" w:type="dxa"/>
          </w:tcPr>
          <w:p w14:paraId="765156E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2838" w:type="dxa"/>
          </w:tcPr>
          <w:p w14:paraId="2980754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Възможно е прилагането на мярката да доведе до положително въздействие върху управлението на отпадъците, като резултат от подпомагане управлението на специфични отпадъци от земеделието, чието третиране води до отделяне на амоняк.</w:t>
            </w:r>
          </w:p>
        </w:tc>
        <w:tc>
          <w:tcPr>
            <w:tcW w:w="3293" w:type="dxa"/>
          </w:tcPr>
          <w:p w14:paraId="401FDAA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01BFD39C" w14:textId="77777777" w:rsidTr="00AB2292">
        <w:tc>
          <w:tcPr>
            <w:tcW w:w="1816" w:type="dxa"/>
            <w:shd w:val="clear" w:color="auto" w:fill="auto"/>
          </w:tcPr>
          <w:p w14:paraId="2EC8888D"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3123" w:type="dxa"/>
            <w:shd w:val="clear" w:color="auto" w:fill="auto"/>
          </w:tcPr>
          <w:p w14:paraId="5E2B636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същото се приложи.</w:t>
            </w:r>
          </w:p>
        </w:tc>
        <w:tc>
          <w:tcPr>
            <w:tcW w:w="3208" w:type="dxa"/>
          </w:tcPr>
          <w:p w14:paraId="41928DD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Редуциране на вредностите и рисковете от съхранението и използването на пестициди, някои от които с опасни свойства. Въздействието е положително и постоянно за районите, където същото се приложи.</w:t>
            </w:r>
          </w:p>
        </w:tc>
        <w:tc>
          <w:tcPr>
            <w:tcW w:w="2838" w:type="dxa"/>
          </w:tcPr>
          <w:p w14:paraId="2E5835E4"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c>
          <w:tcPr>
            <w:tcW w:w="3293" w:type="dxa"/>
          </w:tcPr>
          <w:p w14:paraId="09183BEE"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r>
      <w:tr w:rsidR="00F36E29" w:rsidRPr="009F6D1E" w14:paraId="76F62783" w14:textId="77777777" w:rsidTr="00AB2292">
        <w:tc>
          <w:tcPr>
            <w:tcW w:w="1816" w:type="dxa"/>
            <w:shd w:val="clear" w:color="auto" w:fill="auto"/>
          </w:tcPr>
          <w:p w14:paraId="3725B95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3D44759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065FB557"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Риск от инциденти</w:t>
            </w:r>
          </w:p>
        </w:tc>
        <w:tc>
          <w:tcPr>
            <w:tcW w:w="3123" w:type="dxa"/>
            <w:shd w:val="clear" w:color="auto" w:fill="auto"/>
          </w:tcPr>
          <w:p w14:paraId="20BC86C6"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lastRenderedPageBreak/>
              <w:t xml:space="preserve">Инвестициите са свързани с пряко положително въздействие, в резултат насърчаването и подпомагането на </w:t>
            </w:r>
            <w:r w:rsidRPr="009F6D1E">
              <w:rPr>
                <w:rFonts w:eastAsia="Tahoma" w:cs="Times New Roman"/>
                <w:sz w:val="18"/>
                <w:szCs w:val="18"/>
                <w:lang w:eastAsia="zh-CN"/>
              </w:rPr>
              <w:lastRenderedPageBreak/>
              <w:t>биоземеделието, което от своя страна ще увеличи процента произведени и консумирани биопродукти.</w:t>
            </w:r>
          </w:p>
        </w:tc>
        <w:tc>
          <w:tcPr>
            <w:tcW w:w="3208" w:type="dxa"/>
          </w:tcPr>
          <w:p w14:paraId="7B8B2E4C"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lastRenderedPageBreak/>
              <w:t>Пряко и положително въздействие, като резултат от увеличаване на произведения дял на биопродукцията.</w:t>
            </w:r>
          </w:p>
        </w:tc>
        <w:tc>
          <w:tcPr>
            <w:tcW w:w="2838" w:type="dxa"/>
          </w:tcPr>
          <w:p w14:paraId="257C07AE"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 xml:space="preserve">Индиректно влияние върху населението в района, вкл. и здравето му, като резултат от </w:t>
            </w:r>
            <w:r w:rsidRPr="009F6D1E">
              <w:rPr>
                <w:rFonts w:eastAsia="Tahoma" w:cs="Times New Roman"/>
                <w:sz w:val="18"/>
                <w:szCs w:val="18"/>
                <w:lang w:eastAsia="zh-CN"/>
              </w:rPr>
              <w:lastRenderedPageBreak/>
              <w:t>ограничаване замърсяването на компонентите на ОС.</w:t>
            </w:r>
          </w:p>
        </w:tc>
        <w:tc>
          <w:tcPr>
            <w:tcW w:w="3293" w:type="dxa"/>
          </w:tcPr>
          <w:p w14:paraId="223F719C"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lastRenderedPageBreak/>
              <w:t xml:space="preserve">Пряко и положително въздействие върху социално-икономическите фактори на средата. Индиректно </w:t>
            </w:r>
            <w:r w:rsidRPr="009F6D1E">
              <w:rPr>
                <w:rFonts w:eastAsia="Tahoma" w:cs="Times New Roman"/>
                <w:sz w:val="18"/>
                <w:szCs w:val="18"/>
                <w:lang w:eastAsia="zh-CN"/>
              </w:rPr>
              <w:lastRenderedPageBreak/>
              <w:t>положително въздействие върху здравето на населението, като резултат от подобрените условия на живот и като последствие от опазване на водните ресурси.</w:t>
            </w:r>
          </w:p>
        </w:tc>
      </w:tr>
    </w:tbl>
    <w:p w14:paraId="5C56D57C" w14:textId="77777777" w:rsidR="00F36E29" w:rsidRPr="009F6D1E" w:rsidRDefault="00F36E29" w:rsidP="0084747F">
      <w:pPr>
        <w:spacing w:after="60" w:line="264" w:lineRule="auto"/>
        <w:contextualSpacing/>
        <w:jc w:val="both"/>
        <w:rPr>
          <w:rFonts w:eastAsia="Calibri" w:cs="Times New Roman"/>
          <w:b/>
          <w:bCs/>
          <w:i/>
          <w:iCs/>
          <w:szCs w:val="24"/>
        </w:rPr>
      </w:pPr>
    </w:p>
    <w:p w14:paraId="0A48CA7F"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07" w:name="_Toc115255041"/>
      <w:bookmarkStart w:id="608" w:name="_Hlk96696587"/>
      <w:r w:rsidRPr="009F6D1E">
        <w:rPr>
          <w:rFonts w:eastAsia="Times New Roman"/>
        </w:rPr>
        <w:t>Потребности/Интервенции, обект на подкрепа по Специфична цел №6</w:t>
      </w:r>
      <w:bookmarkEnd w:id="607"/>
    </w:p>
    <w:bookmarkEnd w:id="608"/>
    <w:p w14:paraId="258D1273"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686"/>
        <w:gridCol w:w="3686"/>
        <w:gridCol w:w="4820"/>
      </w:tblGrid>
      <w:tr w:rsidR="00F36E29" w:rsidRPr="009F6D1E" w14:paraId="57E61051" w14:textId="77777777" w:rsidTr="00AB2292">
        <w:trPr>
          <w:tblHeader/>
        </w:trPr>
        <w:tc>
          <w:tcPr>
            <w:tcW w:w="1837" w:type="dxa"/>
            <w:vMerge w:val="restart"/>
            <w:shd w:val="clear" w:color="auto" w:fill="D9D9D9" w:themeFill="background1" w:themeFillShade="D9"/>
            <w:vAlign w:val="center"/>
          </w:tcPr>
          <w:p w14:paraId="300994FA" w14:textId="77777777" w:rsidR="00F36E29" w:rsidRPr="009F6D1E" w:rsidRDefault="00F36E29" w:rsidP="0084747F">
            <w:pPr>
              <w:spacing w:after="60" w:line="264" w:lineRule="auto"/>
              <w:jc w:val="center"/>
              <w:rPr>
                <w:rFonts w:cs="Times New Roman"/>
                <w:b/>
                <w:bCs/>
                <w:i/>
                <w:sz w:val="18"/>
                <w:szCs w:val="18"/>
              </w:rPr>
            </w:pPr>
            <w:bookmarkStart w:id="609" w:name="_Hlk96696610"/>
            <w:r w:rsidRPr="009F6D1E">
              <w:rPr>
                <w:rFonts w:cs="Times New Roman"/>
                <w:b/>
                <w:bCs/>
                <w:sz w:val="18"/>
                <w:szCs w:val="18"/>
              </w:rPr>
              <w:lastRenderedPageBreak/>
              <w:t>Компонент/ Фактор на околната среда</w:t>
            </w:r>
          </w:p>
        </w:tc>
        <w:tc>
          <w:tcPr>
            <w:tcW w:w="3686" w:type="dxa"/>
            <w:shd w:val="clear" w:color="auto" w:fill="D9D9D9" w:themeFill="background1" w:themeFillShade="D9"/>
          </w:tcPr>
          <w:p w14:paraId="7AA5146E"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П.6.1. Опазване и подобряване на природозащитното състояние на естествените местообитания и на дивата флора и фауна от Европейски интерес</w:t>
            </w:r>
          </w:p>
          <w:p w14:paraId="2A0DC97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DF64CF7"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Устойчиво управление на пасища в земеделски земи с ВПС</w:t>
            </w:r>
          </w:p>
          <w:p w14:paraId="1CF39A2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Плащания за земеделски земи в зони от Натура 2000</w:t>
            </w:r>
          </w:p>
        </w:tc>
        <w:tc>
          <w:tcPr>
            <w:tcW w:w="3686" w:type="dxa"/>
            <w:shd w:val="clear" w:color="auto" w:fill="D9D9D9" w:themeFill="background1" w:themeFillShade="D9"/>
          </w:tcPr>
          <w:p w14:paraId="486E0F9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П.6.2. Опазване и подобряване на природозащитното състояние на видове птици, свързани с обработваеми земи и тревни площи в земеделски земи.</w:t>
            </w:r>
          </w:p>
          <w:p w14:paraId="415978B0"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2077C77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Интервенция по чл. 65/67 от РСП, като включва избор на подходящи мерки и дейности, предвидени в Националната рамка за приоритетни действия 2021-2027 г.</w:t>
            </w:r>
          </w:p>
          <w:p w14:paraId="2E2AE2D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поддържане и подобряване на биологичното разнообразие и екологичната инфраструктура</w:t>
            </w:r>
          </w:p>
          <w:p w14:paraId="3E4C1835"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буферни екологични ивици</w:t>
            </w:r>
          </w:p>
          <w:p w14:paraId="08499082"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Плащания за земеделски земи в зони от Натура 2000</w:t>
            </w:r>
          </w:p>
          <w:p w14:paraId="09398A3F"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xml:space="preserve">- Поддържане на местообитания на </w:t>
            </w:r>
            <w:proofErr w:type="spellStart"/>
            <w:r w:rsidRPr="009F6D1E">
              <w:rPr>
                <w:rFonts w:cs="Times New Roman"/>
                <w:i/>
                <w:sz w:val="18"/>
                <w:szCs w:val="18"/>
              </w:rPr>
              <w:t>червеногушата</w:t>
            </w:r>
            <w:proofErr w:type="spellEnd"/>
            <w:r w:rsidRPr="009F6D1E">
              <w:rPr>
                <w:rFonts w:cs="Times New Roman"/>
                <w:i/>
                <w:sz w:val="18"/>
                <w:szCs w:val="18"/>
              </w:rPr>
              <w:t xml:space="preserve"> гъска</w:t>
            </w:r>
          </w:p>
        </w:tc>
        <w:tc>
          <w:tcPr>
            <w:tcW w:w="4820" w:type="dxa"/>
            <w:shd w:val="clear" w:color="auto" w:fill="D9D9D9" w:themeFill="background1" w:themeFillShade="D9"/>
          </w:tcPr>
          <w:p w14:paraId="7F793D2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П.6.3. Съхраняване и възстановяване на елементи на ландшафта и постигане на благоприятен природозащитен статус на постоянно затревените площи</w:t>
            </w:r>
          </w:p>
          <w:p w14:paraId="692B9F5D"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498D946B"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cs="Times New Roman"/>
                <w:i/>
                <w:sz w:val="18"/>
                <w:szCs w:val="18"/>
              </w:rPr>
              <w:t xml:space="preserve">- </w:t>
            </w:r>
            <w:r w:rsidRPr="009F6D1E">
              <w:rPr>
                <w:rFonts w:eastAsia="Times New Roman" w:cs="Times New Roman"/>
                <w:i/>
                <w:iCs/>
                <w:sz w:val="18"/>
                <w:szCs w:val="18"/>
                <w:lang w:eastAsia="en-GB" w:bidi="bg-BG"/>
              </w:rPr>
              <w:t>Еко схема за поддържане и подобряване на биологичното разнообразие и екологичната инфраструктура</w:t>
            </w:r>
          </w:p>
          <w:p w14:paraId="57839A59"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Еко схема за буферни екологични ивици.</w:t>
            </w:r>
          </w:p>
          <w:p w14:paraId="6EC51B20"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Интервенции по чл. 65 от  ЕЗФРСР</w:t>
            </w:r>
          </w:p>
          <w:p w14:paraId="1AAE8FD1"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Традиционни практики за сезонна паша (</w:t>
            </w:r>
            <w:proofErr w:type="spellStart"/>
            <w:r w:rsidRPr="009F6D1E">
              <w:rPr>
                <w:rFonts w:eastAsia="Times New Roman" w:cs="Times New Roman"/>
                <w:i/>
                <w:iCs/>
                <w:sz w:val="18"/>
                <w:szCs w:val="18"/>
                <w:lang w:eastAsia="en-GB" w:bidi="bg-BG"/>
              </w:rPr>
              <w:t>пасторализъм</w:t>
            </w:r>
            <w:proofErr w:type="spellEnd"/>
            <w:r w:rsidRPr="009F6D1E">
              <w:rPr>
                <w:rFonts w:eastAsia="Times New Roman" w:cs="Times New Roman"/>
                <w:i/>
                <w:iCs/>
                <w:sz w:val="18"/>
                <w:szCs w:val="18"/>
                <w:lang w:eastAsia="en-GB" w:bidi="bg-BG"/>
              </w:rPr>
              <w:t>)</w:t>
            </w:r>
          </w:p>
          <w:p w14:paraId="35CFFBB3"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Възстановяване и поддържане на деградирали пасищни територии</w:t>
            </w:r>
          </w:p>
          <w:p w14:paraId="06F7D367"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По създаване на допълнителни ивици от медоносни растения</w:t>
            </w:r>
          </w:p>
          <w:p w14:paraId="6C75D3EF"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Поддържане и изграждане на мултифункционални (растителни) буферни ивици около обработваемите площи и зони по Натура 2000</w:t>
            </w:r>
          </w:p>
          <w:p w14:paraId="7F505688" w14:textId="77777777" w:rsidR="00F36E29" w:rsidRPr="009F6D1E" w:rsidRDefault="00F36E29" w:rsidP="0084747F">
            <w:pPr>
              <w:spacing w:after="60" w:line="264" w:lineRule="auto"/>
              <w:jc w:val="center"/>
              <w:rPr>
                <w:rFonts w:eastAsia="Times New Roman" w:cs="Times New Roman"/>
                <w:i/>
                <w:iCs/>
                <w:sz w:val="18"/>
                <w:szCs w:val="18"/>
                <w:lang w:eastAsia="en-GB" w:bidi="bg-BG"/>
              </w:rPr>
            </w:pPr>
            <w:r w:rsidRPr="009F6D1E">
              <w:rPr>
                <w:rFonts w:eastAsia="Times New Roman" w:cs="Times New Roman"/>
                <w:i/>
                <w:iCs/>
                <w:sz w:val="18"/>
                <w:szCs w:val="18"/>
                <w:lang w:eastAsia="en-GB" w:bidi="bg-BG"/>
              </w:rPr>
              <w:t xml:space="preserve">- Поддържане на съществуващи елементи на ландшафта, в т.ч. полски синори, полезащитни пояси, ливади и пасища </w:t>
            </w:r>
          </w:p>
          <w:p w14:paraId="48149006" w14:textId="77777777" w:rsidR="00F36E29" w:rsidRPr="009F6D1E" w:rsidRDefault="00F36E29" w:rsidP="0084747F">
            <w:pPr>
              <w:spacing w:after="60" w:line="264" w:lineRule="auto"/>
              <w:jc w:val="center"/>
              <w:rPr>
                <w:rFonts w:cs="Times New Roman"/>
                <w:b/>
                <w:bCs/>
                <w:i/>
                <w:sz w:val="18"/>
                <w:szCs w:val="18"/>
              </w:rPr>
            </w:pPr>
            <w:r w:rsidRPr="009F6D1E">
              <w:rPr>
                <w:rFonts w:eastAsia="Times New Roman" w:cs="Times New Roman"/>
                <w:i/>
                <w:iCs/>
                <w:sz w:val="18"/>
                <w:szCs w:val="18"/>
                <w:lang w:eastAsia="en-GB" w:bidi="bg-BG"/>
              </w:rPr>
              <w:t>- Дейности в съответствие с тези планирани в НРПД 2021-2027</w:t>
            </w:r>
          </w:p>
        </w:tc>
      </w:tr>
      <w:tr w:rsidR="00F36E29" w:rsidRPr="009F6D1E" w14:paraId="477FB482" w14:textId="77777777" w:rsidTr="00AB2292">
        <w:trPr>
          <w:tblHeader/>
        </w:trPr>
        <w:tc>
          <w:tcPr>
            <w:tcW w:w="1837" w:type="dxa"/>
            <w:vMerge/>
            <w:shd w:val="clear" w:color="auto" w:fill="FFF2CC" w:themeFill="accent4" w:themeFillTint="33"/>
          </w:tcPr>
          <w:p w14:paraId="300CE0F9" w14:textId="77777777" w:rsidR="00F36E29" w:rsidRPr="009F6D1E" w:rsidRDefault="00F36E29" w:rsidP="0084747F">
            <w:pPr>
              <w:spacing w:after="60" w:line="264" w:lineRule="auto"/>
              <w:jc w:val="center"/>
              <w:rPr>
                <w:rFonts w:cs="Times New Roman"/>
                <w:b/>
                <w:bCs/>
                <w:sz w:val="18"/>
                <w:szCs w:val="18"/>
              </w:rPr>
            </w:pPr>
          </w:p>
        </w:tc>
        <w:tc>
          <w:tcPr>
            <w:tcW w:w="12192" w:type="dxa"/>
            <w:gridSpan w:val="3"/>
            <w:shd w:val="clear" w:color="auto" w:fill="FFF2CC" w:themeFill="accent4" w:themeFillTint="33"/>
          </w:tcPr>
          <w:p w14:paraId="791F795C"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017C4FB7" w14:textId="77777777" w:rsidTr="00AB2292">
        <w:trPr>
          <w:trHeight w:val="318"/>
        </w:trPr>
        <w:tc>
          <w:tcPr>
            <w:tcW w:w="1837" w:type="dxa"/>
            <w:shd w:val="clear" w:color="auto" w:fill="auto"/>
          </w:tcPr>
          <w:p w14:paraId="093CC34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7B1B814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693AA95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3686" w:type="dxa"/>
            <w:shd w:val="clear" w:color="auto" w:fill="auto"/>
          </w:tcPr>
          <w:p w14:paraId="0A7FBC9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Опазване на биологичното разнообразие ще окаже положително въздействие върху климатичните промени – прилагането на мярката има индиректно и положително въздействие върху изменението на климата.</w:t>
            </w:r>
          </w:p>
        </w:tc>
        <w:tc>
          <w:tcPr>
            <w:tcW w:w="3686" w:type="dxa"/>
          </w:tcPr>
          <w:p w14:paraId="617286A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Опазване на биологичното разнообразие ще окаже положително въздействие върху климатичните промени – прилагането на мярката има индиректно и положително въздействие върху изменението на климата.</w:t>
            </w:r>
          </w:p>
        </w:tc>
        <w:tc>
          <w:tcPr>
            <w:tcW w:w="4820" w:type="dxa"/>
          </w:tcPr>
          <w:p w14:paraId="01A3BAE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w:t>
            </w:r>
            <w:r w:rsidR="007576EF">
              <w:rPr>
                <w:rFonts w:eastAsia="Tahoma" w:cs="Times New Roman"/>
                <w:sz w:val="18"/>
                <w:szCs w:val="18"/>
                <w:lang w:eastAsia="zh-CN"/>
              </w:rPr>
              <w:t>т</w:t>
            </w:r>
            <w:r w:rsidRPr="009F6D1E">
              <w:rPr>
                <w:rFonts w:eastAsia="Tahoma" w:cs="Times New Roman"/>
                <w:sz w:val="18"/>
                <w:szCs w:val="18"/>
                <w:lang w:eastAsia="zh-CN"/>
              </w:rPr>
              <w:t xml:space="preserve"> една страна опазването на биологичното разнообразие ще окаже положително въздействие върху климатичните промени – прилагането на мярката има индиректно и положително въздействие върху изменението на климата.</w:t>
            </w:r>
          </w:p>
          <w:p w14:paraId="0146501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От друга страна възстановяването и поддържането на деградирали пасищни територии също ще има положително въздействие върху климатичните промени, като резултат от намаляване отделянето на въглероден диоксид в </w:t>
            </w:r>
            <w:r w:rsidRPr="009F6D1E">
              <w:rPr>
                <w:rFonts w:eastAsia="Tahoma" w:cs="Times New Roman"/>
                <w:sz w:val="18"/>
                <w:szCs w:val="18"/>
                <w:lang w:eastAsia="zh-CN"/>
              </w:rPr>
              <w:lastRenderedPageBreak/>
              <w:t>атмосферата от увредените почви, губещи въглеродното си съдържание.</w:t>
            </w:r>
          </w:p>
        </w:tc>
      </w:tr>
      <w:tr w:rsidR="00F36E29" w:rsidRPr="009F6D1E" w14:paraId="1665F322" w14:textId="77777777" w:rsidTr="00AB2292">
        <w:trPr>
          <w:trHeight w:val="318"/>
        </w:trPr>
        <w:tc>
          <w:tcPr>
            <w:tcW w:w="1837" w:type="dxa"/>
            <w:shd w:val="clear" w:color="auto" w:fill="auto"/>
          </w:tcPr>
          <w:p w14:paraId="190AE307"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Качество на атмосферния въздух</w:t>
            </w:r>
          </w:p>
        </w:tc>
        <w:tc>
          <w:tcPr>
            <w:tcW w:w="3686" w:type="dxa"/>
            <w:shd w:val="clear" w:color="auto" w:fill="auto"/>
          </w:tcPr>
          <w:p w14:paraId="51B44FF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очакваните въздействия върху качеството на климата.</w:t>
            </w:r>
          </w:p>
        </w:tc>
        <w:tc>
          <w:tcPr>
            <w:tcW w:w="3686" w:type="dxa"/>
          </w:tcPr>
          <w:p w14:paraId="0D6BA1F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очакваните въздействия върху качеството на климата.</w:t>
            </w:r>
          </w:p>
        </w:tc>
        <w:tc>
          <w:tcPr>
            <w:tcW w:w="4820" w:type="dxa"/>
          </w:tcPr>
          <w:p w14:paraId="7531E68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очакваните въздействия върху качеството на климата.</w:t>
            </w:r>
          </w:p>
        </w:tc>
      </w:tr>
      <w:tr w:rsidR="00F36E29" w:rsidRPr="009F6D1E" w14:paraId="0668C265" w14:textId="77777777" w:rsidTr="00AB2292">
        <w:trPr>
          <w:trHeight w:val="318"/>
        </w:trPr>
        <w:tc>
          <w:tcPr>
            <w:tcW w:w="1837" w:type="dxa"/>
            <w:shd w:val="clear" w:color="auto" w:fill="auto"/>
          </w:tcPr>
          <w:p w14:paraId="602D1F6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3E1B0AF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2E8056F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Зони за защита на водите</w:t>
            </w:r>
          </w:p>
          <w:p w14:paraId="0C94DBC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3686" w:type="dxa"/>
            <w:shd w:val="clear" w:color="auto" w:fill="auto"/>
          </w:tcPr>
          <w:p w14:paraId="45C14FC4"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lastRenderedPageBreak/>
              <w:t xml:space="preserve">Мярката предвижда устойчиво управление на пасища в земеделски земи с ВПС както и съхраняване на тревните екосистеми и </w:t>
            </w:r>
            <w:r w:rsidRPr="009F6D1E">
              <w:rPr>
                <w:rFonts w:cs="Times New Roman"/>
                <w:sz w:val="18"/>
                <w:szCs w:val="18"/>
              </w:rPr>
              <w:lastRenderedPageBreak/>
              <w:t>свързаните</w:t>
            </w:r>
            <w:r w:rsidRPr="009F6D1E">
              <w:rPr>
                <w:rFonts w:eastAsia="Times New Roman" w:cs="Times New Roman"/>
                <w:iCs/>
                <w:sz w:val="18"/>
                <w:szCs w:val="18"/>
                <w:lang w:eastAsia="bg-BG" w:bidi="bg-BG"/>
              </w:rPr>
              <w:t xml:space="preserve"> с тях ценни местообитания</w:t>
            </w:r>
          </w:p>
          <w:p w14:paraId="241DFB8E"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Дейностите по мярката ще спомогнат за преодоляване на съществуващите екологични проблеми, описани в точка 6 от ЕО и съответстват на заложените цели на ПУРБ.</w:t>
            </w:r>
          </w:p>
          <w:p w14:paraId="2D4838E6"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sz w:val="18"/>
                <w:szCs w:val="18"/>
              </w:rPr>
              <w:t xml:space="preserve">От реализацията на мярката се очаква положително, постоянно, косвено, </w:t>
            </w:r>
            <w:r w:rsidRPr="009F6D1E">
              <w:rPr>
                <w:rFonts w:cs="Times New Roman"/>
                <w:sz w:val="18"/>
                <w:szCs w:val="18"/>
              </w:rPr>
              <w:lastRenderedPageBreak/>
              <w:t xml:space="preserve">едновременно, дългосрочно въздействие със средна значимост, дължащо се на прилагане на добри практики </w:t>
            </w:r>
          </w:p>
          <w:p w14:paraId="46BB9FE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3686" w:type="dxa"/>
          </w:tcPr>
          <w:p w14:paraId="26F149CA"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Мярката ще допринесе за поддържане на местообитания, в които подобряването на </w:t>
            </w:r>
            <w:r w:rsidRPr="009F6D1E">
              <w:rPr>
                <w:rFonts w:cs="Times New Roman"/>
                <w:kern w:val="16"/>
                <w:sz w:val="18"/>
                <w:szCs w:val="18"/>
              </w:rPr>
              <w:lastRenderedPageBreak/>
              <w:t xml:space="preserve">състоянието на водите е важен фактор за тяхното опазване </w:t>
            </w:r>
          </w:p>
          <w:p w14:paraId="11A89610"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От реализацията на мярката се очаква положително, постоянно, пряко, едновременно, дългосрочно въздействие с средна значимост, дължащо се на: намаляване на натиска и въздействието върху количественото и химичното състояние на </w:t>
            </w:r>
            <w:r w:rsidRPr="009F6D1E">
              <w:rPr>
                <w:rFonts w:cs="Times New Roman"/>
                <w:kern w:val="16"/>
                <w:sz w:val="18"/>
                <w:szCs w:val="18"/>
              </w:rPr>
              <w:lastRenderedPageBreak/>
              <w:t>води които са важни за опазването на биологичното разнообразие в България, чрез опазването на видовете и местообитанията в естествената им среда.</w:t>
            </w:r>
          </w:p>
          <w:p w14:paraId="0B91A8D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4820" w:type="dxa"/>
          </w:tcPr>
          <w:p w14:paraId="6E06654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Не се очаква въздействие.</w:t>
            </w:r>
          </w:p>
        </w:tc>
      </w:tr>
      <w:tr w:rsidR="00F36E29" w:rsidRPr="009F6D1E" w14:paraId="391327A2" w14:textId="77777777" w:rsidTr="00AB2292">
        <w:trPr>
          <w:trHeight w:val="318"/>
        </w:trPr>
        <w:tc>
          <w:tcPr>
            <w:tcW w:w="1837" w:type="dxa"/>
            <w:shd w:val="clear" w:color="auto" w:fill="auto"/>
          </w:tcPr>
          <w:p w14:paraId="7BF64F9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Земни недра</w:t>
            </w:r>
          </w:p>
        </w:tc>
        <w:tc>
          <w:tcPr>
            <w:tcW w:w="3686" w:type="dxa"/>
            <w:shd w:val="clear" w:color="auto" w:fill="auto"/>
          </w:tcPr>
          <w:p w14:paraId="33575454"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3686" w:type="dxa"/>
            <w:shd w:val="clear" w:color="auto" w:fill="auto"/>
          </w:tcPr>
          <w:p w14:paraId="384AEEA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4820" w:type="dxa"/>
            <w:shd w:val="clear" w:color="auto" w:fill="auto"/>
          </w:tcPr>
          <w:p w14:paraId="2DB2A290"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r>
      <w:tr w:rsidR="00F36E29" w:rsidRPr="009F6D1E" w14:paraId="506A0105" w14:textId="77777777" w:rsidTr="00AB2292">
        <w:trPr>
          <w:trHeight w:val="318"/>
        </w:trPr>
        <w:tc>
          <w:tcPr>
            <w:tcW w:w="1837" w:type="dxa"/>
            <w:shd w:val="clear" w:color="auto" w:fill="auto"/>
          </w:tcPr>
          <w:p w14:paraId="2EE449F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Почви</w:t>
            </w:r>
          </w:p>
          <w:p w14:paraId="06F679F3"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3686" w:type="dxa"/>
            <w:shd w:val="clear" w:color="auto" w:fill="auto"/>
          </w:tcPr>
          <w:p w14:paraId="38B1245D"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От прилагането на интервенцията се очакват косвени положителни въздействия върху почвите в резултат от запазването на </w:t>
            </w:r>
            <w:proofErr w:type="spellStart"/>
            <w:r w:rsidRPr="009F6D1E">
              <w:rPr>
                <w:rFonts w:cs="Times New Roman"/>
                <w:kern w:val="16"/>
                <w:sz w:val="18"/>
                <w:szCs w:val="18"/>
              </w:rPr>
              <w:t>целинните</w:t>
            </w:r>
            <w:proofErr w:type="spellEnd"/>
            <w:r w:rsidRPr="009F6D1E">
              <w:rPr>
                <w:rFonts w:cs="Times New Roman"/>
                <w:kern w:val="16"/>
                <w:sz w:val="18"/>
                <w:szCs w:val="18"/>
              </w:rPr>
              <w:t xml:space="preserve"> почви в районите определени като „земи с висока природна стойност“ и в защитените зони от Натура 2000.</w:t>
            </w:r>
          </w:p>
        </w:tc>
        <w:tc>
          <w:tcPr>
            <w:tcW w:w="3686" w:type="dxa"/>
          </w:tcPr>
          <w:p w14:paraId="7ECCC964"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очакват въздействия върху почвите</w:t>
            </w:r>
          </w:p>
        </w:tc>
        <w:tc>
          <w:tcPr>
            <w:tcW w:w="4820" w:type="dxa"/>
          </w:tcPr>
          <w:p w14:paraId="1156F7B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очакват въздействия върху почвите</w:t>
            </w:r>
          </w:p>
        </w:tc>
      </w:tr>
      <w:tr w:rsidR="00F36E29" w:rsidRPr="009F6D1E" w14:paraId="3AA4C31E" w14:textId="77777777" w:rsidTr="00AB2292">
        <w:trPr>
          <w:trHeight w:val="64"/>
        </w:trPr>
        <w:tc>
          <w:tcPr>
            <w:tcW w:w="1837" w:type="dxa"/>
            <w:shd w:val="clear" w:color="auto" w:fill="auto"/>
          </w:tcPr>
          <w:p w14:paraId="0DB5F8FB"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191D78B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1AAC1165"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lastRenderedPageBreak/>
              <w:t>ЗТ</w:t>
            </w:r>
          </w:p>
        </w:tc>
        <w:tc>
          <w:tcPr>
            <w:tcW w:w="3686" w:type="dxa"/>
            <w:shd w:val="clear" w:color="auto" w:fill="auto"/>
          </w:tcPr>
          <w:p w14:paraId="5624032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Подпомагането на дейността ще допринесе за съхраняване на тревните екосистеми и </w:t>
            </w:r>
            <w:r w:rsidRPr="009F6D1E">
              <w:rPr>
                <w:rFonts w:cs="Times New Roman"/>
                <w:kern w:val="16"/>
                <w:sz w:val="18"/>
                <w:szCs w:val="18"/>
              </w:rPr>
              <w:lastRenderedPageBreak/>
              <w:t xml:space="preserve">свързаните с тях ценни местообитания и видове в земи с висока природна стойност (ВПС), чрез подпомагат екстензивни практики за поддържане и възстановяване на затревени площи с ВПС. </w:t>
            </w:r>
          </w:p>
          <w:p w14:paraId="3E9A5A4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Земеделските стопани са задължени да спазват всички режими и въведени забрани и ограничения със заповедта/плана за </w:t>
            </w:r>
            <w:r w:rsidRPr="009F6D1E">
              <w:rPr>
                <w:rFonts w:cs="Times New Roman"/>
                <w:kern w:val="16"/>
                <w:sz w:val="18"/>
                <w:szCs w:val="18"/>
              </w:rPr>
              <w:lastRenderedPageBreak/>
              <w:t xml:space="preserve">управление на съответната зона от Натура 2000. Подпомагането е базирано на площта за спазване на забраните и ограниченията, свързани с извършваната земеделска дейност. Земеделските стопани поемат доброволно ангажименти, които надхвърлят ДЗЕС 1, ДЗЕС 8 и ДЗЕС 9. Надграждат се  изискванията на ДЗЕС 8 по отношение на </w:t>
            </w:r>
            <w:r w:rsidRPr="009F6D1E">
              <w:rPr>
                <w:rFonts w:cs="Times New Roman"/>
                <w:kern w:val="16"/>
                <w:sz w:val="18"/>
                <w:szCs w:val="18"/>
              </w:rPr>
              <w:lastRenderedPageBreak/>
              <w:t xml:space="preserve">задължително запазване и поддържане съществуващите характеристики на ландшафта. </w:t>
            </w:r>
          </w:p>
          <w:p w14:paraId="4286C8A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При правилно управление на процеса, предвидените интервенции ще допринесат за опазване на  биоразнообразието, подобряване на екосистемните услуги и съхраняване на местообитанията. </w:t>
            </w:r>
          </w:p>
          <w:p w14:paraId="47CBE371" w14:textId="77777777" w:rsidR="00F36E29" w:rsidRPr="009F6D1E" w:rsidRDefault="00F36E29" w:rsidP="0084747F">
            <w:pPr>
              <w:spacing w:after="60" w:line="264" w:lineRule="auto"/>
              <w:jc w:val="both"/>
              <w:rPr>
                <w:rFonts w:cs="Times New Roman"/>
                <w:kern w:val="16"/>
                <w:sz w:val="18"/>
                <w:szCs w:val="18"/>
              </w:rPr>
            </w:pPr>
          </w:p>
          <w:p w14:paraId="73E131CD"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214077D1"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4141479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p w14:paraId="006474AE"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Въздействието върху природни местообитания и видове, предмет на опазване в зони от мрежата  Натура 2000 са разгледани подробно в ДОСВ.</w:t>
            </w:r>
          </w:p>
          <w:p w14:paraId="28DCDE40" w14:textId="77777777" w:rsidR="00F36E29" w:rsidRPr="009F6D1E" w:rsidRDefault="00F36E29" w:rsidP="0084747F">
            <w:pPr>
              <w:spacing w:after="60" w:line="264" w:lineRule="auto"/>
              <w:jc w:val="both"/>
              <w:rPr>
                <w:rFonts w:cs="Times New Roman"/>
                <w:kern w:val="16"/>
                <w:sz w:val="18"/>
                <w:szCs w:val="18"/>
              </w:rPr>
            </w:pPr>
          </w:p>
        </w:tc>
        <w:tc>
          <w:tcPr>
            <w:tcW w:w="3686" w:type="dxa"/>
            <w:shd w:val="clear" w:color="auto" w:fill="auto"/>
          </w:tcPr>
          <w:p w14:paraId="3C470914"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При правилно управление на процеса, предвидените интервенции ще допринесат за </w:t>
            </w:r>
            <w:r w:rsidRPr="009F6D1E">
              <w:rPr>
                <w:rFonts w:cs="Times New Roman"/>
                <w:kern w:val="16"/>
                <w:sz w:val="18"/>
                <w:szCs w:val="18"/>
              </w:rPr>
              <w:lastRenderedPageBreak/>
              <w:t xml:space="preserve">опазване на  биоразнообразието, подобряване на екосистемните услуги и съхраняване на местообитанията. Въздействието върху природни местообитания и видове, предмет на опазване в зони от мрежата  Натура 2000 са разгледани подробно в ДОСВ. </w:t>
            </w:r>
          </w:p>
          <w:p w14:paraId="0C34259A" w14:textId="77777777" w:rsidR="00F36E29" w:rsidRPr="009F6D1E" w:rsidRDefault="00F36E29" w:rsidP="0084747F">
            <w:pPr>
              <w:spacing w:after="60" w:line="264" w:lineRule="auto"/>
              <w:jc w:val="both"/>
              <w:rPr>
                <w:rFonts w:cs="Times New Roman"/>
                <w:kern w:val="16"/>
                <w:sz w:val="18"/>
                <w:szCs w:val="18"/>
              </w:rPr>
            </w:pPr>
          </w:p>
          <w:p w14:paraId="4793368C"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Тип на въздействието: индиректно, директно, положително</w:t>
            </w:r>
          </w:p>
          <w:p w14:paraId="75A07C23"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28C73E6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p w14:paraId="7EB1E0A3" w14:textId="77777777" w:rsidR="00F36E29" w:rsidRPr="009F6D1E" w:rsidRDefault="00F36E29" w:rsidP="0084747F">
            <w:pPr>
              <w:spacing w:after="60" w:line="264" w:lineRule="auto"/>
              <w:jc w:val="both"/>
              <w:rPr>
                <w:rFonts w:cs="Times New Roman"/>
                <w:kern w:val="16"/>
                <w:sz w:val="18"/>
                <w:szCs w:val="18"/>
              </w:rPr>
            </w:pPr>
          </w:p>
          <w:p w14:paraId="0903CAA6" w14:textId="77777777" w:rsidR="00F36E29" w:rsidRPr="009F6D1E" w:rsidRDefault="00F36E29" w:rsidP="0084747F">
            <w:pPr>
              <w:spacing w:after="60" w:line="264" w:lineRule="auto"/>
              <w:jc w:val="both"/>
              <w:rPr>
                <w:rFonts w:cs="Times New Roman"/>
                <w:kern w:val="16"/>
                <w:sz w:val="18"/>
                <w:szCs w:val="18"/>
              </w:rPr>
            </w:pPr>
          </w:p>
        </w:tc>
        <w:tc>
          <w:tcPr>
            <w:tcW w:w="4820" w:type="dxa"/>
          </w:tcPr>
          <w:p w14:paraId="7181F87A" w14:textId="77777777" w:rsidR="007576EF"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При правилно управление на процеса, предвидените интервенции ще допринесат за опазване на  </w:t>
            </w:r>
            <w:r w:rsidRPr="009F6D1E">
              <w:rPr>
                <w:rFonts w:cs="Times New Roman"/>
                <w:kern w:val="16"/>
                <w:sz w:val="18"/>
                <w:szCs w:val="18"/>
              </w:rPr>
              <w:lastRenderedPageBreak/>
              <w:t xml:space="preserve">биоразнообразието, подобряване на екосистемните услуги и съхраняване на местообитанията. </w:t>
            </w:r>
          </w:p>
          <w:p w14:paraId="222646AD" w14:textId="77777777" w:rsidR="007576EF" w:rsidRDefault="007576EF" w:rsidP="0084747F">
            <w:pPr>
              <w:spacing w:after="60" w:line="264" w:lineRule="auto"/>
              <w:jc w:val="both"/>
              <w:rPr>
                <w:rFonts w:cs="Times New Roman"/>
                <w:kern w:val="16"/>
                <w:sz w:val="18"/>
                <w:szCs w:val="18"/>
              </w:rPr>
            </w:pPr>
            <w:r>
              <w:rPr>
                <w:rFonts w:cs="Times New Roman"/>
                <w:kern w:val="16"/>
                <w:sz w:val="18"/>
                <w:szCs w:val="18"/>
              </w:rPr>
              <w:t xml:space="preserve">При извършването на озеленителни дейности, свързани с интервенциите съществува риск от въвеждане на нехарактерни за даден район видове, вкл. инвазивни. За да се избегне този риск в ЕО е предложена смекчаваща мярка. </w:t>
            </w:r>
          </w:p>
          <w:p w14:paraId="3172131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Въздействието върху природни местообитания и видове, предмет на опазване в зони от мрежата  Натура 2000 са разгледани подробно в ДОСВ. </w:t>
            </w:r>
          </w:p>
          <w:p w14:paraId="00544F8D" w14:textId="77777777" w:rsidR="00F36E29" w:rsidRPr="009F6D1E" w:rsidRDefault="00F36E29" w:rsidP="0084747F">
            <w:pPr>
              <w:spacing w:after="60" w:line="264" w:lineRule="auto"/>
              <w:jc w:val="both"/>
              <w:rPr>
                <w:rFonts w:cs="Times New Roman"/>
                <w:kern w:val="16"/>
                <w:sz w:val="18"/>
                <w:szCs w:val="18"/>
              </w:rPr>
            </w:pPr>
          </w:p>
          <w:p w14:paraId="3D7C8C0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6E156832"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Продължителност на въздействието: дългосрочно </w:t>
            </w:r>
          </w:p>
          <w:p w14:paraId="464B4B76"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 регионален</w:t>
            </w:r>
          </w:p>
          <w:p w14:paraId="519ACD1A" w14:textId="77777777" w:rsidR="00F36E29" w:rsidRPr="009F6D1E" w:rsidRDefault="00F36E29" w:rsidP="0084747F">
            <w:pPr>
              <w:spacing w:after="60" w:line="264" w:lineRule="auto"/>
              <w:jc w:val="both"/>
              <w:rPr>
                <w:rFonts w:cs="Times New Roman"/>
                <w:kern w:val="16"/>
                <w:sz w:val="18"/>
                <w:szCs w:val="18"/>
              </w:rPr>
            </w:pPr>
          </w:p>
          <w:p w14:paraId="3ABB331D" w14:textId="77777777" w:rsidR="00F36E29" w:rsidRPr="009F6D1E" w:rsidRDefault="00F36E29" w:rsidP="0084747F">
            <w:pPr>
              <w:spacing w:after="60" w:line="264" w:lineRule="auto"/>
              <w:jc w:val="both"/>
              <w:rPr>
                <w:rFonts w:cs="Times New Roman"/>
                <w:kern w:val="16"/>
                <w:sz w:val="18"/>
                <w:szCs w:val="18"/>
              </w:rPr>
            </w:pPr>
          </w:p>
        </w:tc>
      </w:tr>
      <w:tr w:rsidR="00F36E29" w:rsidRPr="009F6D1E" w14:paraId="432C0CB8" w14:textId="77777777" w:rsidTr="00AB2292">
        <w:trPr>
          <w:trHeight w:val="318"/>
        </w:trPr>
        <w:tc>
          <w:tcPr>
            <w:tcW w:w="1837" w:type="dxa"/>
            <w:shd w:val="clear" w:color="auto" w:fill="auto"/>
          </w:tcPr>
          <w:p w14:paraId="5DDE18BC"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lastRenderedPageBreak/>
              <w:t xml:space="preserve">Ландшафт </w:t>
            </w:r>
          </w:p>
        </w:tc>
        <w:tc>
          <w:tcPr>
            <w:tcW w:w="3686" w:type="dxa"/>
            <w:shd w:val="clear" w:color="auto" w:fill="auto"/>
          </w:tcPr>
          <w:p w14:paraId="2C67BF0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От прилагането на интервенцията се очакват преки положителни въздействия върху ландшафтите в резултат от устойчиво </w:t>
            </w:r>
            <w:r w:rsidRPr="009F6D1E">
              <w:rPr>
                <w:rFonts w:eastAsia="Tahoma" w:cs="Times New Roman"/>
                <w:sz w:val="18"/>
                <w:szCs w:val="18"/>
                <w:lang w:eastAsia="zh-CN"/>
              </w:rPr>
              <w:lastRenderedPageBreak/>
              <w:t>управление на пасища в земеделски земи в районите определени като „земи с висока природна стойност“ и в защитените зони от Натура 2000.</w:t>
            </w:r>
          </w:p>
        </w:tc>
        <w:tc>
          <w:tcPr>
            <w:tcW w:w="3686" w:type="dxa"/>
            <w:shd w:val="clear" w:color="auto" w:fill="auto"/>
          </w:tcPr>
          <w:p w14:paraId="231894D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Очакват се косвени положителни въздействия върху ландшафтите в резултат от опазването на естествените </w:t>
            </w:r>
            <w:r w:rsidRPr="009F6D1E">
              <w:rPr>
                <w:rFonts w:eastAsia="Tahoma" w:cs="Times New Roman"/>
                <w:sz w:val="18"/>
                <w:szCs w:val="18"/>
                <w:lang w:eastAsia="zh-CN"/>
              </w:rPr>
              <w:lastRenderedPageBreak/>
              <w:t>местообитания на видовете, както и от дейностите по поддържането и подобряването на биологичното разнообразие и екологичната инфраструктура</w:t>
            </w:r>
          </w:p>
        </w:tc>
        <w:tc>
          <w:tcPr>
            <w:tcW w:w="4820" w:type="dxa"/>
          </w:tcPr>
          <w:p w14:paraId="0112A40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 xml:space="preserve">Като цяло предвидените интервенции ще окажат положителен ефект върху състоянието на ландшафтите в земеделските райони. Очакват се директни положителни </w:t>
            </w:r>
            <w:r w:rsidRPr="009F6D1E">
              <w:rPr>
                <w:rFonts w:eastAsia="Tahoma" w:cs="Times New Roman"/>
                <w:sz w:val="18"/>
                <w:szCs w:val="18"/>
                <w:lang w:eastAsia="zh-CN"/>
              </w:rPr>
              <w:lastRenderedPageBreak/>
              <w:t>въздействия върху ландшафтите от поддържането на съществуващи елементи на ландшафта, в т.ч. полски синори, полезащитни пояси, ливади и пасища, както и от възстановяването и поддържането на деградирали пасищни територии.</w:t>
            </w:r>
          </w:p>
        </w:tc>
      </w:tr>
      <w:tr w:rsidR="00F36E29" w:rsidRPr="009F6D1E" w14:paraId="57D89508" w14:textId="77777777" w:rsidTr="00AB2292">
        <w:trPr>
          <w:trHeight w:val="318"/>
        </w:trPr>
        <w:tc>
          <w:tcPr>
            <w:tcW w:w="1837" w:type="dxa"/>
            <w:shd w:val="clear" w:color="auto" w:fill="auto"/>
          </w:tcPr>
          <w:p w14:paraId="0BF0B6B4"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3686" w:type="dxa"/>
            <w:shd w:val="clear" w:color="auto" w:fill="auto"/>
          </w:tcPr>
          <w:p w14:paraId="2C9DDDC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6" w:type="dxa"/>
          </w:tcPr>
          <w:p w14:paraId="3F50D7B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820" w:type="dxa"/>
          </w:tcPr>
          <w:p w14:paraId="1B70F7A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0512DF19" w14:textId="77777777" w:rsidTr="00AB2292">
        <w:trPr>
          <w:trHeight w:val="318"/>
        </w:trPr>
        <w:tc>
          <w:tcPr>
            <w:tcW w:w="1837" w:type="dxa"/>
            <w:shd w:val="clear" w:color="auto" w:fill="auto"/>
          </w:tcPr>
          <w:p w14:paraId="2ADA40EE"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Културно-историческо наследство</w:t>
            </w:r>
          </w:p>
        </w:tc>
        <w:tc>
          <w:tcPr>
            <w:tcW w:w="3686" w:type="dxa"/>
            <w:shd w:val="clear" w:color="auto" w:fill="auto"/>
          </w:tcPr>
          <w:p w14:paraId="11F9A8F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6" w:type="dxa"/>
          </w:tcPr>
          <w:p w14:paraId="31D35ED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820" w:type="dxa"/>
          </w:tcPr>
          <w:p w14:paraId="14EA8C3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4F118CA4" w14:textId="77777777" w:rsidTr="00AB2292">
        <w:trPr>
          <w:trHeight w:val="1610"/>
        </w:trPr>
        <w:tc>
          <w:tcPr>
            <w:tcW w:w="1837" w:type="dxa"/>
            <w:shd w:val="clear" w:color="auto" w:fill="auto"/>
          </w:tcPr>
          <w:p w14:paraId="40057AE1"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Вредни физични фактори</w:t>
            </w:r>
          </w:p>
        </w:tc>
        <w:tc>
          <w:tcPr>
            <w:tcW w:w="3686" w:type="dxa"/>
            <w:shd w:val="clear" w:color="auto" w:fill="auto"/>
          </w:tcPr>
          <w:p w14:paraId="2D47D77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6" w:type="dxa"/>
          </w:tcPr>
          <w:p w14:paraId="3820CB6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820" w:type="dxa"/>
          </w:tcPr>
          <w:p w14:paraId="5D277DC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2FF05941" w14:textId="77777777" w:rsidTr="00AB2292">
        <w:trPr>
          <w:trHeight w:val="318"/>
        </w:trPr>
        <w:tc>
          <w:tcPr>
            <w:tcW w:w="1837" w:type="dxa"/>
            <w:shd w:val="clear" w:color="auto" w:fill="auto"/>
          </w:tcPr>
          <w:p w14:paraId="6F4D5CB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3686" w:type="dxa"/>
            <w:shd w:val="clear" w:color="auto" w:fill="auto"/>
          </w:tcPr>
          <w:p w14:paraId="05EBFE2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6" w:type="dxa"/>
          </w:tcPr>
          <w:p w14:paraId="4982E8A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820" w:type="dxa"/>
          </w:tcPr>
          <w:p w14:paraId="3E25170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18CFC895" w14:textId="77777777" w:rsidTr="00AB2292">
        <w:tc>
          <w:tcPr>
            <w:tcW w:w="1837" w:type="dxa"/>
            <w:shd w:val="clear" w:color="auto" w:fill="auto"/>
          </w:tcPr>
          <w:p w14:paraId="329CEEED"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3686" w:type="dxa"/>
            <w:shd w:val="clear" w:color="auto" w:fill="auto"/>
          </w:tcPr>
          <w:p w14:paraId="4986CB8B"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686" w:type="dxa"/>
          </w:tcPr>
          <w:p w14:paraId="533B7E58"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820" w:type="dxa"/>
          </w:tcPr>
          <w:p w14:paraId="2C6AD08F"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F36E29" w:rsidRPr="009F6D1E" w14:paraId="4D67C653" w14:textId="77777777" w:rsidTr="00AB2292">
        <w:tc>
          <w:tcPr>
            <w:tcW w:w="1837" w:type="dxa"/>
            <w:shd w:val="clear" w:color="auto" w:fill="auto"/>
          </w:tcPr>
          <w:p w14:paraId="764EAC4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433524AC"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68CCA988"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3686" w:type="dxa"/>
            <w:shd w:val="clear" w:color="auto" w:fill="auto"/>
          </w:tcPr>
          <w:p w14:paraId="0E90B873"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Опазването на природата ще доведе до индиректно положително въздействие върху качеството на живот на хората, в т. ч.  и здравето на хората.</w:t>
            </w:r>
          </w:p>
        </w:tc>
        <w:tc>
          <w:tcPr>
            <w:tcW w:w="3686" w:type="dxa"/>
          </w:tcPr>
          <w:p w14:paraId="6100D8C9"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Опазването на природата ще доведе до индиректно положително въздействие върху качеството на живот на хората, в т. ч.  и здравето на хората.</w:t>
            </w:r>
          </w:p>
        </w:tc>
        <w:tc>
          <w:tcPr>
            <w:tcW w:w="4820" w:type="dxa"/>
          </w:tcPr>
          <w:p w14:paraId="78897C05"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Опазването на природата ще доведе до индиректно положително въздействие върху качеството на живот на хората, в т. ч.  и здравето на хората.</w:t>
            </w:r>
          </w:p>
        </w:tc>
      </w:tr>
      <w:bookmarkEnd w:id="609"/>
    </w:tbl>
    <w:p w14:paraId="21303765" w14:textId="77777777" w:rsidR="00F36E29" w:rsidRPr="009F6D1E" w:rsidRDefault="00F36E29" w:rsidP="0084747F">
      <w:pPr>
        <w:spacing w:after="60" w:line="264" w:lineRule="auto"/>
        <w:contextualSpacing/>
        <w:jc w:val="both"/>
        <w:rPr>
          <w:rFonts w:eastAsia="Calibri" w:cs="Times New Roman"/>
          <w:b/>
          <w:bCs/>
          <w:i/>
          <w:iCs/>
          <w:sz w:val="18"/>
          <w:szCs w:val="18"/>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3"/>
        <w:gridCol w:w="3685"/>
        <w:gridCol w:w="4253"/>
      </w:tblGrid>
      <w:tr w:rsidR="00F36E29" w:rsidRPr="009F6D1E" w14:paraId="20300CD3" w14:textId="77777777" w:rsidTr="00AB2292">
        <w:trPr>
          <w:tblHeader/>
        </w:trPr>
        <w:tc>
          <w:tcPr>
            <w:tcW w:w="1838" w:type="dxa"/>
            <w:vMerge w:val="restart"/>
            <w:shd w:val="clear" w:color="auto" w:fill="D9D9D9" w:themeFill="background1" w:themeFillShade="D9"/>
            <w:vAlign w:val="center"/>
          </w:tcPr>
          <w:p w14:paraId="51C9DDFB" w14:textId="77777777" w:rsidR="00F36E29" w:rsidRPr="009F6D1E" w:rsidRDefault="00F36E29" w:rsidP="0084747F">
            <w:pPr>
              <w:spacing w:after="60" w:line="264" w:lineRule="auto"/>
              <w:jc w:val="center"/>
              <w:rPr>
                <w:rFonts w:cs="Times New Roman"/>
                <w:b/>
                <w:bCs/>
                <w:i/>
                <w:sz w:val="18"/>
                <w:szCs w:val="18"/>
              </w:rPr>
            </w:pPr>
            <w:bookmarkStart w:id="610" w:name="_Hlk96696312"/>
            <w:r w:rsidRPr="009F6D1E">
              <w:rPr>
                <w:rFonts w:cs="Times New Roman"/>
                <w:b/>
                <w:bCs/>
                <w:sz w:val="18"/>
                <w:szCs w:val="18"/>
              </w:rPr>
              <w:lastRenderedPageBreak/>
              <w:t>Компонент/ Фактор на околната среда</w:t>
            </w:r>
          </w:p>
        </w:tc>
        <w:tc>
          <w:tcPr>
            <w:tcW w:w="4253" w:type="dxa"/>
            <w:shd w:val="clear" w:color="auto" w:fill="D9D9D9" w:themeFill="background1" w:themeFillShade="D9"/>
          </w:tcPr>
          <w:p w14:paraId="4855BA2E"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П.6.4. Насърчаване на извършването на земеделски дейности в райони с природни и други специфични ограничения</w:t>
            </w:r>
          </w:p>
          <w:p w14:paraId="1BD441F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38F27C1D"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cs="Times New Roman"/>
                <w:i/>
                <w:sz w:val="18"/>
                <w:szCs w:val="18"/>
              </w:rPr>
              <w:t>интервенция за компенсиране на земеделските стопани.</w:t>
            </w:r>
          </w:p>
        </w:tc>
        <w:tc>
          <w:tcPr>
            <w:tcW w:w="3685" w:type="dxa"/>
            <w:shd w:val="clear" w:color="auto" w:fill="D9D9D9" w:themeFill="background1" w:themeFillShade="D9"/>
          </w:tcPr>
          <w:p w14:paraId="49903BE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П.6.5. Насърчаване на практиките за разширяване биологично земеделие;</w:t>
            </w:r>
          </w:p>
          <w:p w14:paraId="3D56DED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48AEBFDB"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 xml:space="preserve">Еко схема за поддържане на биологично земеделие (земеделски площи) </w:t>
            </w:r>
          </w:p>
          <w:p w14:paraId="73031CC8"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Еко схема за поддържане на биологично земеделие (селскостопански животни).</w:t>
            </w:r>
          </w:p>
          <w:p w14:paraId="597417E5"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-Биологично производство.</w:t>
            </w:r>
          </w:p>
          <w:p w14:paraId="55C5941E"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Използване на устойчиви практики и сортове, отглеждани при специфични условия</w:t>
            </w:r>
          </w:p>
        </w:tc>
        <w:tc>
          <w:tcPr>
            <w:tcW w:w="4253" w:type="dxa"/>
            <w:shd w:val="clear" w:color="auto" w:fill="D9D9D9" w:themeFill="background1" w:themeFillShade="D9"/>
          </w:tcPr>
          <w:p w14:paraId="17D01A4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П.6.6. Насърчаване на практики за справяне с генетична ерозия и внасяне на Инвазивни чужди видове (ИЧВ) и неместни, съгласно националното законодателство видове);</w:t>
            </w:r>
          </w:p>
          <w:p w14:paraId="258C749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1861FFE1"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Създаване и възстановяване на екологична инфраструктура</w:t>
            </w:r>
          </w:p>
          <w:p w14:paraId="02A21C9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Насърчаване използването на култури и сортове, устойчиви към климатичните условия</w:t>
            </w:r>
          </w:p>
        </w:tc>
      </w:tr>
      <w:tr w:rsidR="00F36E29" w:rsidRPr="009F6D1E" w14:paraId="00CE09D3" w14:textId="77777777" w:rsidTr="00AB2292">
        <w:trPr>
          <w:tblHeader/>
        </w:trPr>
        <w:tc>
          <w:tcPr>
            <w:tcW w:w="1838" w:type="dxa"/>
            <w:vMerge/>
            <w:shd w:val="clear" w:color="auto" w:fill="FFF2CC" w:themeFill="accent4" w:themeFillTint="33"/>
          </w:tcPr>
          <w:p w14:paraId="6E68BC11" w14:textId="77777777" w:rsidR="00F36E29" w:rsidRPr="009F6D1E" w:rsidRDefault="00F36E29" w:rsidP="0084747F">
            <w:pPr>
              <w:spacing w:after="60" w:line="264" w:lineRule="auto"/>
              <w:jc w:val="center"/>
              <w:rPr>
                <w:rFonts w:cs="Times New Roman"/>
                <w:b/>
                <w:bCs/>
                <w:sz w:val="18"/>
                <w:szCs w:val="18"/>
              </w:rPr>
            </w:pPr>
          </w:p>
        </w:tc>
        <w:tc>
          <w:tcPr>
            <w:tcW w:w="12191" w:type="dxa"/>
            <w:gridSpan w:val="3"/>
            <w:shd w:val="clear" w:color="auto" w:fill="FFF2CC" w:themeFill="accent4" w:themeFillTint="33"/>
          </w:tcPr>
          <w:p w14:paraId="4303B89C"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7DC726B2" w14:textId="77777777" w:rsidTr="00AB2292">
        <w:trPr>
          <w:trHeight w:val="318"/>
        </w:trPr>
        <w:tc>
          <w:tcPr>
            <w:tcW w:w="1838" w:type="dxa"/>
            <w:shd w:val="clear" w:color="auto" w:fill="auto"/>
          </w:tcPr>
          <w:p w14:paraId="7B5B8C4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0220D16B"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400EA44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253" w:type="dxa"/>
            <w:shd w:val="clear" w:color="auto" w:fill="auto"/>
          </w:tcPr>
          <w:p w14:paraId="0CC015C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40112F3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Насърчаването и подпомагането на биологичното земеделие ще допринесе до намаляване използването на торове и от тук директно ще повлияе върху нивата на емитираните емисии на въглероден диоксид, като допринесе за техния спад. Въздействието ще е положително и постоянно, в районите на развитие на биологичното земеделие за сметка на традиционното такова.</w:t>
            </w:r>
          </w:p>
        </w:tc>
        <w:tc>
          <w:tcPr>
            <w:tcW w:w="4253" w:type="dxa"/>
          </w:tcPr>
          <w:p w14:paraId="6E4C3CD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5264AAE1" w14:textId="77777777" w:rsidTr="00AB2292">
        <w:trPr>
          <w:trHeight w:val="318"/>
        </w:trPr>
        <w:tc>
          <w:tcPr>
            <w:tcW w:w="1838" w:type="dxa"/>
            <w:shd w:val="clear" w:color="auto" w:fill="auto"/>
          </w:tcPr>
          <w:p w14:paraId="5C24812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253" w:type="dxa"/>
            <w:shd w:val="clear" w:color="auto" w:fill="auto"/>
          </w:tcPr>
          <w:p w14:paraId="7F7BDD87"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4DEE89D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Намаляването използването на торове, в резултат от прилагането на мярката, ще допринесе до намаляване на емисиите в атмосферата. Въздействието ще е положително, постоянно, в районите с развиващо се биоземеделие.</w:t>
            </w:r>
          </w:p>
        </w:tc>
        <w:tc>
          <w:tcPr>
            <w:tcW w:w="4253" w:type="dxa"/>
          </w:tcPr>
          <w:p w14:paraId="532BCD0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DA2B50C" w14:textId="77777777" w:rsidTr="00AB2292">
        <w:trPr>
          <w:trHeight w:val="318"/>
        </w:trPr>
        <w:tc>
          <w:tcPr>
            <w:tcW w:w="1838" w:type="dxa"/>
            <w:shd w:val="clear" w:color="auto" w:fill="auto"/>
          </w:tcPr>
          <w:p w14:paraId="7AFC5BD1"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3E5B583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5153F00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Зони за защита на водите</w:t>
            </w:r>
          </w:p>
          <w:p w14:paraId="1C2CF3CC"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253" w:type="dxa"/>
            <w:shd w:val="clear" w:color="auto" w:fill="auto"/>
          </w:tcPr>
          <w:p w14:paraId="0391A11F"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lastRenderedPageBreak/>
              <w:t xml:space="preserve">Очаква се положително, постоянно, косвено, едновременно, дългосрочно въздействие с ниска значимост, дължащо се на опазване на </w:t>
            </w:r>
            <w:r w:rsidRPr="009F6D1E">
              <w:rPr>
                <w:rFonts w:cs="Times New Roman"/>
                <w:kern w:val="16"/>
                <w:sz w:val="18"/>
                <w:szCs w:val="18"/>
              </w:rPr>
              <w:lastRenderedPageBreak/>
              <w:t xml:space="preserve">количественото и </w:t>
            </w:r>
            <w:r w:rsidRPr="009F6D1E">
              <w:rPr>
                <w:rFonts w:cs="Times New Roman"/>
                <w:sz w:val="18"/>
                <w:szCs w:val="18"/>
              </w:rPr>
              <w:t>химичното</w:t>
            </w:r>
            <w:r w:rsidRPr="009F6D1E">
              <w:rPr>
                <w:rFonts w:cs="Times New Roman"/>
                <w:kern w:val="16"/>
                <w:sz w:val="18"/>
                <w:szCs w:val="18"/>
              </w:rPr>
              <w:t xml:space="preserve">  състояние на води </w:t>
            </w:r>
            <w:r w:rsidRPr="009F6D1E">
              <w:rPr>
                <w:rFonts w:cs="Times New Roman"/>
                <w:sz w:val="18"/>
                <w:szCs w:val="18"/>
              </w:rPr>
              <w:t xml:space="preserve">от реализацията на забранителните и ограничителните мерки за земеделска дейност. </w:t>
            </w:r>
          </w:p>
          <w:p w14:paraId="04DEC4BC" w14:textId="77777777" w:rsidR="00F36E29" w:rsidRPr="009F6D1E" w:rsidRDefault="00F36E29" w:rsidP="0084747F">
            <w:pPr>
              <w:widowControl w:val="0"/>
              <w:spacing w:after="60" w:line="264" w:lineRule="auto"/>
              <w:contextualSpacing/>
              <w:jc w:val="both"/>
              <w:rPr>
                <w:rFonts w:cs="Times New Roman"/>
                <w:kern w:val="16"/>
                <w:sz w:val="18"/>
                <w:szCs w:val="18"/>
              </w:rPr>
            </w:pPr>
            <w:r w:rsidRPr="009F6D1E">
              <w:rPr>
                <w:rFonts w:cs="Times New Roman"/>
                <w:kern w:val="16"/>
                <w:sz w:val="18"/>
                <w:szCs w:val="18"/>
              </w:rPr>
              <w:t>Продължителност на въздействието: дългосрочно</w:t>
            </w:r>
          </w:p>
          <w:p w14:paraId="712E02B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3685" w:type="dxa"/>
          </w:tcPr>
          <w:p w14:paraId="0D2A0217" w14:textId="77777777" w:rsidR="00F36E29" w:rsidRPr="009F6D1E" w:rsidRDefault="00F36E29" w:rsidP="0084747F">
            <w:pPr>
              <w:widowControl w:val="0"/>
              <w:spacing w:after="60" w:line="264" w:lineRule="auto"/>
              <w:jc w:val="both"/>
              <w:rPr>
                <w:rFonts w:cs="Times New Roman"/>
                <w:sz w:val="18"/>
                <w:szCs w:val="18"/>
              </w:rPr>
            </w:pPr>
            <w:r w:rsidRPr="009F6D1E">
              <w:rPr>
                <w:rFonts w:cs="Times New Roman"/>
                <w:kern w:val="16"/>
                <w:sz w:val="18"/>
                <w:szCs w:val="18"/>
              </w:rPr>
              <w:lastRenderedPageBreak/>
              <w:t xml:space="preserve">Очаква се положително, постоянно, косвено, едновременно, дългосрочно въздействие със средна значимост, дължащо се на: </w:t>
            </w:r>
            <w:r w:rsidRPr="009F6D1E">
              <w:rPr>
                <w:rFonts w:cs="Times New Roman"/>
                <w:kern w:val="16"/>
                <w:sz w:val="18"/>
                <w:szCs w:val="18"/>
              </w:rPr>
              <w:lastRenderedPageBreak/>
              <w:t xml:space="preserve">подобряване на качеството на води </w:t>
            </w:r>
            <w:r w:rsidRPr="009F6D1E">
              <w:rPr>
                <w:rFonts w:cs="Times New Roman"/>
                <w:sz w:val="18"/>
                <w:szCs w:val="18"/>
              </w:rPr>
              <w:t xml:space="preserve">от реализацията на биологичното земеделие, свързано  с намаляване на използването на минерални торове, пестициди, и като цяло до земеделие, съобразено с добрите екологични практики. </w:t>
            </w:r>
          </w:p>
          <w:p w14:paraId="1F9EF26A" w14:textId="77777777" w:rsidR="00F36E29" w:rsidRPr="009F6D1E" w:rsidRDefault="00F36E29" w:rsidP="0084747F">
            <w:pPr>
              <w:widowControl w:val="0"/>
              <w:spacing w:after="60" w:line="264" w:lineRule="auto"/>
              <w:contextualSpacing/>
              <w:jc w:val="both"/>
              <w:rPr>
                <w:rFonts w:cs="Times New Roman"/>
                <w:kern w:val="16"/>
                <w:sz w:val="18"/>
                <w:szCs w:val="18"/>
              </w:rPr>
            </w:pPr>
            <w:r w:rsidRPr="009F6D1E">
              <w:rPr>
                <w:rFonts w:cs="Times New Roman"/>
                <w:kern w:val="16"/>
                <w:sz w:val="18"/>
                <w:szCs w:val="18"/>
              </w:rPr>
              <w:t>Продължителност на въздействието: дългосрочно</w:t>
            </w:r>
          </w:p>
          <w:p w14:paraId="2FC69FF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kern w:val="16"/>
                <w:sz w:val="18"/>
                <w:szCs w:val="18"/>
              </w:rPr>
              <w:t>Обхват на въздействието: локален, регионален</w:t>
            </w:r>
          </w:p>
        </w:tc>
        <w:tc>
          <w:tcPr>
            <w:tcW w:w="4253" w:type="dxa"/>
          </w:tcPr>
          <w:p w14:paraId="71F420F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Не се очаква въздействие.</w:t>
            </w:r>
          </w:p>
        </w:tc>
      </w:tr>
      <w:tr w:rsidR="00F36E29" w:rsidRPr="009F6D1E" w14:paraId="13DCDF3F" w14:textId="77777777" w:rsidTr="00AB2292">
        <w:trPr>
          <w:trHeight w:val="318"/>
        </w:trPr>
        <w:tc>
          <w:tcPr>
            <w:tcW w:w="1838" w:type="dxa"/>
            <w:shd w:val="clear" w:color="auto" w:fill="auto"/>
          </w:tcPr>
          <w:p w14:paraId="2608621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Земни недра</w:t>
            </w:r>
          </w:p>
        </w:tc>
        <w:tc>
          <w:tcPr>
            <w:tcW w:w="4253" w:type="dxa"/>
            <w:shd w:val="clear" w:color="auto" w:fill="auto"/>
          </w:tcPr>
          <w:p w14:paraId="2AA869F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3685" w:type="dxa"/>
            <w:shd w:val="clear" w:color="auto" w:fill="auto"/>
          </w:tcPr>
          <w:p w14:paraId="19F71A5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4253" w:type="dxa"/>
            <w:shd w:val="clear" w:color="auto" w:fill="auto"/>
          </w:tcPr>
          <w:p w14:paraId="37BAC9CF"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r>
      <w:tr w:rsidR="00F36E29" w:rsidRPr="009F6D1E" w14:paraId="41AF6356" w14:textId="77777777" w:rsidTr="00AB2292">
        <w:trPr>
          <w:trHeight w:val="318"/>
        </w:trPr>
        <w:tc>
          <w:tcPr>
            <w:tcW w:w="1838" w:type="dxa"/>
            <w:shd w:val="clear" w:color="auto" w:fill="auto"/>
          </w:tcPr>
          <w:p w14:paraId="1B6D2D9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467A81B9"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253" w:type="dxa"/>
            <w:shd w:val="clear" w:color="auto" w:fill="auto"/>
          </w:tcPr>
          <w:p w14:paraId="64CF72D1"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Насърчаване на извършването на земеделски дейности в райони с природни и други специфични ограничения може да окаже пряко отрицателно въздействие върху почви не обработвани до момента. Въздействията ще са локални, временни със слаба и средна степен.</w:t>
            </w:r>
          </w:p>
        </w:tc>
        <w:tc>
          <w:tcPr>
            <w:tcW w:w="3685" w:type="dxa"/>
          </w:tcPr>
          <w:p w14:paraId="0574A940"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Очакват се положителни въздействия върху почвите в резултат от прилагане на биологично земеделие и намаляване натиска върху почвите от земеделски практики свързани с интензивна обработка и внасяне на торове.</w:t>
            </w:r>
          </w:p>
        </w:tc>
        <w:tc>
          <w:tcPr>
            <w:tcW w:w="4253" w:type="dxa"/>
          </w:tcPr>
          <w:p w14:paraId="678DB040"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очакват въздействия върху почвите</w:t>
            </w:r>
          </w:p>
        </w:tc>
      </w:tr>
      <w:tr w:rsidR="00F36E29" w:rsidRPr="009F6D1E" w14:paraId="6D0CF2D1" w14:textId="77777777" w:rsidTr="00AB2292">
        <w:trPr>
          <w:trHeight w:val="786"/>
        </w:trPr>
        <w:tc>
          <w:tcPr>
            <w:tcW w:w="1838" w:type="dxa"/>
            <w:shd w:val="clear" w:color="auto" w:fill="auto"/>
          </w:tcPr>
          <w:p w14:paraId="0082BD2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Биоразнообразие</w:t>
            </w:r>
          </w:p>
          <w:p w14:paraId="329F2BA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1F5A7F23"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ЗТ</w:t>
            </w:r>
          </w:p>
        </w:tc>
        <w:tc>
          <w:tcPr>
            <w:tcW w:w="4253" w:type="dxa"/>
            <w:shd w:val="clear" w:color="auto" w:fill="auto"/>
          </w:tcPr>
          <w:p w14:paraId="6DCC1C0B"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Предвижда се компенсиране на земеделските стопани изцяло или частично за направени допълнителни разходи и пропуснати приходи, свързани с ограниченията в съответния район. </w:t>
            </w:r>
          </w:p>
          <w:p w14:paraId="4A5CCEA4"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Не се очаква въздействие</w:t>
            </w:r>
          </w:p>
        </w:tc>
        <w:tc>
          <w:tcPr>
            <w:tcW w:w="3685" w:type="dxa"/>
            <w:shd w:val="clear" w:color="auto" w:fill="auto"/>
          </w:tcPr>
          <w:p w14:paraId="65703661"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Биологичното земеделие съчетава най-добрите практики по отношение опазването на околната среда, поддържане на висока степен на биологично разнообразие и опазване на природните ресурси. Въвеждането на екстензивни земеделски практики ще намали нитрификацията и </w:t>
            </w:r>
            <w:proofErr w:type="spellStart"/>
            <w:r w:rsidRPr="009F6D1E">
              <w:rPr>
                <w:rFonts w:cs="Times New Roman"/>
                <w:kern w:val="16"/>
                <w:sz w:val="18"/>
                <w:szCs w:val="18"/>
              </w:rPr>
              <w:t>втока</w:t>
            </w:r>
            <w:proofErr w:type="spellEnd"/>
            <w:r w:rsidRPr="009F6D1E">
              <w:rPr>
                <w:rFonts w:cs="Times New Roman"/>
                <w:kern w:val="16"/>
                <w:sz w:val="18"/>
                <w:szCs w:val="18"/>
              </w:rPr>
              <w:t xml:space="preserve"> на биогени в естествените и полуестествени екосистеми особено тревните съобщества и водните местообитания. </w:t>
            </w:r>
          </w:p>
          <w:p w14:paraId="1CE3080C"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Въвеждането на добри земеделски практики и опазване на традиционните селскостопански практики за опазване на биологичното разнообразие в земеделските земи би довело до положително въздействие върху биоразнообразието, директно и индиректно. </w:t>
            </w:r>
          </w:p>
          <w:p w14:paraId="4CB881E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Тип на въздействието: индиректно, директно, положително</w:t>
            </w:r>
          </w:p>
          <w:p w14:paraId="5D5CA168"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 xml:space="preserve">Продължителност на въздействието: дългосрочно </w:t>
            </w:r>
          </w:p>
          <w:p w14:paraId="45A903D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Обхват на въздействието: локален</w:t>
            </w:r>
          </w:p>
        </w:tc>
        <w:tc>
          <w:tcPr>
            <w:tcW w:w="4253" w:type="dxa"/>
          </w:tcPr>
          <w:p w14:paraId="00057959"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lastRenderedPageBreak/>
              <w:t>Не се очаква въздействие</w:t>
            </w:r>
          </w:p>
        </w:tc>
      </w:tr>
      <w:tr w:rsidR="00F36E29" w:rsidRPr="009F6D1E" w14:paraId="42BE5353" w14:textId="77777777" w:rsidTr="00AB2292">
        <w:trPr>
          <w:trHeight w:val="318"/>
        </w:trPr>
        <w:tc>
          <w:tcPr>
            <w:tcW w:w="1838" w:type="dxa"/>
            <w:shd w:val="clear" w:color="auto" w:fill="auto"/>
          </w:tcPr>
          <w:p w14:paraId="24CC319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Ландшафт </w:t>
            </w:r>
          </w:p>
        </w:tc>
        <w:tc>
          <w:tcPr>
            <w:tcW w:w="4253" w:type="dxa"/>
            <w:shd w:val="clear" w:color="auto" w:fill="auto"/>
          </w:tcPr>
          <w:p w14:paraId="48964FD5"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 xml:space="preserve">Насърчаване на извършването на земеделски дейности в райони с природни и други специфични ограничения може да окаже пряко отрицателно въздействие върху ландшафтите, изразяващо се в превръщане на природните ландшафти в земеделски, нарушаване на естествените природни комплекси и </w:t>
            </w:r>
            <w:proofErr w:type="spellStart"/>
            <w:r w:rsidRPr="009F6D1E">
              <w:rPr>
                <w:rFonts w:cs="Times New Roman"/>
                <w:kern w:val="16"/>
                <w:sz w:val="18"/>
                <w:szCs w:val="18"/>
              </w:rPr>
              <w:t>антропогенизиране</w:t>
            </w:r>
            <w:proofErr w:type="spellEnd"/>
            <w:r w:rsidRPr="009F6D1E">
              <w:rPr>
                <w:rFonts w:cs="Times New Roman"/>
                <w:kern w:val="16"/>
                <w:sz w:val="18"/>
                <w:szCs w:val="18"/>
              </w:rPr>
              <w:t xml:space="preserve"> на средата.</w:t>
            </w:r>
          </w:p>
        </w:tc>
        <w:tc>
          <w:tcPr>
            <w:tcW w:w="3685" w:type="dxa"/>
            <w:shd w:val="clear" w:color="auto" w:fill="auto"/>
          </w:tcPr>
          <w:p w14:paraId="49817525"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Очакват се косвени положителни въздействия върху ландшафтите в резултат от насърчаване на прилагането на биологично земеделие</w:t>
            </w:r>
          </w:p>
        </w:tc>
        <w:tc>
          <w:tcPr>
            <w:tcW w:w="4253" w:type="dxa"/>
          </w:tcPr>
          <w:p w14:paraId="0677F352" w14:textId="77777777" w:rsidR="00F36E29" w:rsidRPr="009F6D1E" w:rsidRDefault="00F36E29" w:rsidP="0084747F">
            <w:pPr>
              <w:spacing w:after="60" w:line="264" w:lineRule="auto"/>
              <w:jc w:val="both"/>
              <w:rPr>
                <w:rFonts w:cs="Times New Roman"/>
                <w:kern w:val="16"/>
                <w:sz w:val="18"/>
                <w:szCs w:val="18"/>
              </w:rPr>
            </w:pPr>
            <w:r w:rsidRPr="009F6D1E">
              <w:rPr>
                <w:rFonts w:cs="Times New Roman"/>
                <w:kern w:val="16"/>
                <w:sz w:val="18"/>
                <w:szCs w:val="18"/>
              </w:rPr>
              <w:t>Очакват се положителни въздействия върху ландшафтите в резултат от прилагането на практики за справяне с генетична ерозия и внасяне на инвазивни чужди видове и неместни видове.</w:t>
            </w:r>
          </w:p>
        </w:tc>
      </w:tr>
      <w:tr w:rsidR="00F36E29" w:rsidRPr="009F6D1E" w14:paraId="6425A027" w14:textId="77777777" w:rsidTr="00AB2292">
        <w:trPr>
          <w:trHeight w:val="318"/>
        </w:trPr>
        <w:tc>
          <w:tcPr>
            <w:tcW w:w="1838" w:type="dxa"/>
            <w:shd w:val="clear" w:color="auto" w:fill="auto"/>
          </w:tcPr>
          <w:p w14:paraId="1A8F7C62"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Материални активи</w:t>
            </w:r>
          </w:p>
        </w:tc>
        <w:tc>
          <w:tcPr>
            <w:tcW w:w="4253" w:type="dxa"/>
            <w:shd w:val="clear" w:color="auto" w:fill="auto"/>
          </w:tcPr>
          <w:p w14:paraId="0DA37E4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5430A9A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3" w:type="dxa"/>
          </w:tcPr>
          <w:p w14:paraId="69EA7F6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432AB8F6" w14:textId="77777777" w:rsidTr="00AB2292">
        <w:trPr>
          <w:trHeight w:val="318"/>
        </w:trPr>
        <w:tc>
          <w:tcPr>
            <w:tcW w:w="1838" w:type="dxa"/>
            <w:shd w:val="clear" w:color="auto" w:fill="auto"/>
          </w:tcPr>
          <w:p w14:paraId="127DD1E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253" w:type="dxa"/>
            <w:shd w:val="clear" w:color="auto" w:fill="auto"/>
          </w:tcPr>
          <w:p w14:paraId="7FEB888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Може да има отрицателни необратими въздействия в случай на намеси в границите на недвижими културни ценности и </w:t>
            </w:r>
            <w:proofErr w:type="spellStart"/>
            <w:r w:rsidRPr="009F6D1E">
              <w:rPr>
                <w:rFonts w:eastAsia="Tahoma" w:cs="Times New Roman"/>
                <w:sz w:val="18"/>
                <w:szCs w:val="18"/>
                <w:lang w:eastAsia="zh-CN"/>
              </w:rPr>
              <w:t>нерагламентирани</w:t>
            </w:r>
            <w:proofErr w:type="spellEnd"/>
            <w:r w:rsidRPr="009F6D1E">
              <w:rPr>
                <w:rFonts w:eastAsia="Tahoma" w:cs="Times New Roman"/>
                <w:sz w:val="18"/>
                <w:szCs w:val="18"/>
                <w:lang w:eastAsia="zh-CN"/>
              </w:rPr>
              <w:t xml:space="preserve"> дейности в защитени територии по ЗКН, което би довело до обезличаване и унищожаване на територии с концентрация на културно-историческо наследство.</w:t>
            </w:r>
          </w:p>
        </w:tc>
        <w:tc>
          <w:tcPr>
            <w:tcW w:w="3685" w:type="dxa"/>
          </w:tcPr>
          <w:p w14:paraId="09E1808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3" w:type="dxa"/>
          </w:tcPr>
          <w:p w14:paraId="2B0D957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FFC230C" w14:textId="77777777" w:rsidTr="00AB2292">
        <w:trPr>
          <w:trHeight w:val="1610"/>
        </w:trPr>
        <w:tc>
          <w:tcPr>
            <w:tcW w:w="1838" w:type="dxa"/>
            <w:shd w:val="clear" w:color="auto" w:fill="auto"/>
          </w:tcPr>
          <w:p w14:paraId="590695F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Вредни физични фактори</w:t>
            </w:r>
          </w:p>
        </w:tc>
        <w:tc>
          <w:tcPr>
            <w:tcW w:w="4253" w:type="dxa"/>
            <w:shd w:val="clear" w:color="auto" w:fill="auto"/>
          </w:tcPr>
          <w:p w14:paraId="6CB36A4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3A0158A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3" w:type="dxa"/>
          </w:tcPr>
          <w:p w14:paraId="60B2A1F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7DBB5C7E" w14:textId="77777777" w:rsidTr="00AB2292">
        <w:trPr>
          <w:trHeight w:val="318"/>
        </w:trPr>
        <w:tc>
          <w:tcPr>
            <w:tcW w:w="1838" w:type="dxa"/>
            <w:shd w:val="clear" w:color="auto" w:fill="auto"/>
          </w:tcPr>
          <w:p w14:paraId="46D9648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253" w:type="dxa"/>
            <w:shd w:val="clear" w:color="auto" w:fill="auto"/>
          </w:tcPr>
          <w:p w14:paraId="1CF2F287"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2F4EEA3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3" w:type="dxa"/>
          </w:tcPr>
          <w:p w14:paraId="017B997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4E14A465" w14:textId="77777777" w:rsidTr="00AB2292">
        <w:tc>
          <w:tcPr>
            <w:tcW w:w="1838" w:type="dxa"/>
            <w:shd w:val="clear" w:color="auto" w:fill="auto"/>
          </w:tcPr>
          <w:p w14:paraId="17D84E0E"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4253" w:type="dxa"/>
            <w:shd w:val="clear" w:color="auto" w:fill="auto"/>
          </w:tcPr>
          <w:p w14:paraId="60372CE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685" w:type="dxa"/>
          </w:tcPr>
          <w:p w14:paraId="3FC26E2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Прилагането на мярката ще доведе до 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се приложи мярката.</w:t>
            </w:r>
          </w:p>
        </w:tc>
        <w:tc>
          <w:tcPr>
            <w:tcW w:w="4253" w:type="dxa"/>
          </w:tcPr>
          <w:p w14:paraId="210814D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6CF48912" w14:textId="77777777" w:rsidTr="00AB2292">
        <w:tc>
          <w:tcPr>
            <w:tcW w:w="1838" w:type="dxa"/>
            <w:shd w:val="clear" w:color="auto" w:fill="auto"/>
          </w:tcPr>
          <w:p w14:paraId="08F38F2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02C8C56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6B49FD9F"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253" w:type="dxa"/>
            <w:shd w:val="clear" w:color="auto" w:fill="auto"/>
          </w:tcPr>
          <w:p w14:paraId="1093AA9D"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685" w:type="dxa"/>
          </w:tcPr>
          <w:p w14:paraId="0C04F82B"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Пряко и положително въздействие, като резултат от увеличаване на произведения дял на биопродукцията.</w:t>
            </w:r>
          </w:p>
        </w:tc>
        <w:tc>
          <w:tcPr>
            <w:tcW w:w="4253" w:type="dxa"/>
          </w:tcPr>
          <w:p w14:paraId="35B146C3"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bookmarkEnd w:id="610"/>
    </w:tbl>
    <w:p w14:paraId="7C3B5665" w14:textId="77777777" w:rsidR="00F36E29" w:rsidRPr="009F6D1E" w:rsidRDefault="00F36E29" w:rsidP="0084747F">
      <w:pPr>
        <w:spacing w:after="60" w:line="264" w:lineRule="auto"/>
        <w:contextualSpacing/>
        <w:jc w:val="both"/>
        <w:rPr>
          <w:rFonts w:eastAsia="Calibri" w:cs="Times New Roman"/>
          <w:b/>
          <w:bCs/>
          <w:i/>
          <w:iCs/>
          <w:sz w:val="18"/>
          <w:szCs w:val="18"/>
        </w:rPr>
      </w:pPr>
    </w:p>
    <w:p w14:paraId="0B6E5F66" w14:textId="77777777" w:rsidR="00F36E29" w:rsidRPr="009F6D1E" w:rsidRDefault="00F36E29" w:rsidP="0084747F">
      <w:pPr>
        <w:spacing w:after="60" w:line="264" w:lineRule="auto"/>
        <w:contextualSpacing/>
        <w:jc w:val="both"/>
        <w:rPr>
          <w:rFonts w:eastAsia="Calibri" w:cs="Times New Roman"/>
          <w:b/>
          <w:bCs/>
          <w:i/>
          <w:iCs/>
          <w:sz w:val="18"/>
          <w:szCs w:val="18"/>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4276"/>
        <w:gridCol w:w="3685"/>
        <w:gridCol w:w="4253"/>
      </w:tblGrid>
      <w:tr w:rsidR="00F36E29" w:rsidRPr="009F6D1E" w14:paraId="5CFA1320" w14:textId="77777777" w:rsidTr="00AB2292">
        <w:trPr>
          <w:tblHeader/>
        </w:trPr>
        <w:tc>
          <w:tcPr>
            <w:tcW w:w="1815" w:type="dxa"/>
            <w:vMerge w:val="restart"/>
            <w:shd w:val="clear" w:color="auto" w:fill="D9D9D9" w:themeFill="background1" w:themeFillShade="D9"/>
            <w:vAlign w:val="center"/>
          </w:tcPr>
          <w:p w14:paraId="244E858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sz w:val="18"/>
                <w:szCs w:val="18"/>
              </w:rPr>
              <w:t>Компонент/ Фактор на околната среда</w:t>
            </w:r>
          </w:p>
        </w:tc>
        <w:tc>
          <w:tcPr>
            <w:tcW w:w="4276" w:type="dxa"/>
            <w:shd w:val="clear" w:color="auto" w:fill="D9D9D9" w:themeFill="background1" w:themeFillShade="D9"/>
          </w:tcPr>
          <w:p w14:paraId="73654BBB"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П.6.7. Запазване и подобряване на генетичното разнообразие в животновъдството и растениевъдството в селското стопанство.</w:t>
            </w:r>
          </w:p>
          <w:p w14:paraId="10172DE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449098D" w14:textId="77777777" w:rsidR="00F36E29" w:rsidRPr="009F6D1E" w:rsidRDefault="00F36E29" w:rsidP="0084747F">
            <w:pPr>
              <w:spacing w:after="60" w:line="264" w:lineRule="auto"/>
              <w:jc w:val="center"/>
              <w:rPr>
                <w:rFonts w:cs="Times New Roman"/>
                <w:i/>
                <w:sz w:val="18"/>
                <w:szCs w:val="18"/>
              </w:rPr>
            </w:pPr>
            <w:r w:rsidRPr="009F6D1E">
              <w:rPr>
                <w:rFonts w:cs="Times New Roman"/>
                <w:b/>
                <w:bCs/>
                <w:i/>
                <w:sz w:val="18"/>
                <w:szCs w:val="18"/>
              </w:rPr>
              <w:t xml:space="preserve">- </w:t>
            </w:r>
            <w:r w:rsidRPr="009F6D1E">
              <w:rPr>
                <w:rFonts w:cs="Times New Roman"/>
                <w:i/>
                <w:sz w:val="18"/>
                <w:szCs w:val="18"/>
              </w:rPr>
              <w:t>Опазване на местни породи (автохтонни), важни за селското стопанство</w:t>
            </w:r>
          </w:p>
          <w:p w14:paraId="6100521E"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Опазване на застрашени от изчезване местни сортове, важни за селското стопанство</w:t>
            </w:r>
          </w:p>
        </w:tc>
        <w:tc>
          <w:tcPr>
            <w:tcW w:w="3685" w:type="dxa"/>
            <w:shd w:val="clear" w:color="auto" w:fill="D9D9D9" w:themeFill="background1" w:themeFillShade="D9"/>
          </w:tcPr>
          <w:p w14:paraId="645B385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П.6.8. Подобряване на </w:t>
            </w:r>
            <w:proofErr w:type="spellStart"/>
            <w:r w:rsidRPr="009F6D1E">
              <w:rPr>
                <w:rFonts w:cs="Times New Roman"/>
                <w:b/>
                <w:bCs/>
                <w:i/>
                <w:sz w:val="18"/>
                <w:szCs w:val="18"/>
              </w:rPr>
              <w:t>опрашителния</w:t>
            </w:r>
            <w:proofErr w:type="spellEnd"/>
            <w:r w:rsidRPr="009F6D1E">
              <w:rPr>
                <w:rFonts w:cs="Times New Roman"/>
                <w:b/>
                <w:bCs/>
                <w:i/>
                <w:sz w:val="18"/>
                <w:szCs w:val="18"/>
              </w:rPr>
              <w:t xml:space="preserve"> потенциал на екосистемите и наличието на подходящи растения;</w:t>
            </w:r>
          </w:p>
          <w:p w14:paraId="1A8C591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15427CC8"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Действия за запазване или увеличаване на наличния брой пчелни кошери в Съюза, включително развъждане на пчели</w:t>
            </w:r>
          </w:p>
          <w:p w14:paraId="32B9CBB0"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Инвестиции в материални и нематериални активи</w:t>
            </w:r>
          </w:p>
          <w:p w14:paraId="1CC80046"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Подновяване на пчелните кошери в Съюза, включително развъждане на пчели</w:t>
            </w:r>
          </w:p>
          <w:p w14:paraId="3FBF2F08" w14:textId="77777777" w:rsidR="00F36E29" w:rsidRPr="009F6D1E" w:rsidRDefault="00F36E29" w:rsidP="0084747F">
            <w:pPr>
              <w:spacing w:after="60" w:line="264" w:lineRule="auto"/>
              <w:jc w:val="center"/>
              <w:rPr>
                <w:rFonts w:cs="Times New Roman"/>
                <w:i/>
                <w:sz w:val="18"/>
                <w:szCs w:val="18"/>
              </w:rPr>
            </w:pPr>
            <w:r w:rsidRPr="009F6D1E">
              <w:rPr>
                <w:rFonts w:cs="Times New Roman"/>
                <w:i/>
                <w:sz w:val="18"/>
                <w:szCs w:val="18"/>
              </w:rPr>
              <w:t>- Рационализиране на подвижното пчеларство</w:t>
            </w:r>
          </w:p>
          <w:p w14:paraId="247C2930"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Насърчаване на естественото опрашване</w:t>
            </w:r>
          </w:p>
        </w:tc>
        <w:tc>
          <w:tcPr>
            <w:tcW w:w="4253" w:type="dxa"/>
            <w:shd w:val="clear" w:color="auto" w:fill="D9D9D9" w:themeFill="background1" w:themeFillShade="D9"/>
          </w:tcPr>
          <w:p w14:paraId="4A44E3C3"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П.6.9. Опазване и подобряване на биологичното разнообразие, устойчиво управление на горите, горските местообитания и подобряване на екосистемните услуги, предоставяни от горите.</w:t>
            </w:r>
          </w:p>
          <w:p w14:paraId="4FE29B10"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43638BE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Еко схема за поддържане и подобряване на биоразнообразието в горски екосистеми (по чл. 31 от Регламент (ЕС) 2021/2115).</w:t>
            </w:r>
          </w:p>
        </w:tc>
      </w:tr>
      <w:tr w:rsidR="00F36E29" w:rsidRPr="009F6D1E" w14:paraId="0E21D564" w14:textId="77777777" w:rsidTr="00AB2292">
        <w:trPr>
          <w:tblHeader/>
        </w:trPr>
        <w:tc>
          <w:tcPr>
            <w:tcW w:w="1815" w:type="dxa"/>
            <w:vMerge/>
            <w:shd w:val="clear" w:color="auto" w:fill="FFF2CC" w:themeFill="accent4" w:themeFillTint="33"/>
          </w:tcPr>
          <w:p w14:paraId="00BC8B0B" w14:textId="77777777" w:rsidR="00F36E29" w:rsidRPr="009F6D1E" w:rsidRDefault="00F36E29" w:rsidP="0084747F">
            <w:pPr>
              <w:spacing w:after="60" w:line="264" w:lineRule="auto"/>
              <w:jc w:val="center"/>
              <w:rPr>
                <w:rFonts w:cs="Times New Roman"/>
                <w:b/>
                <w:bCs/>
                <w:sz w:val="18"/>
                <w:szCs w:val="18"/>
              </w:rPr>
            </w:pPr>
          </w:p>
        </w:tc>
        <w:tc>
          <w:tcPr>
            <w:tcW w:w="12214" w:type="dxa"/>
            <w:gridSpan w:val="3"/>
            <w:shd w:val="clear" w:color="auto" w:fill="FFF2CC" w:themeFill="accent4" w:themeFillTint="33"/>
          </w:tcPr>
          <w:p w14:paraId="5C2EE55C"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45093D61" w14:textId="77777777" w:rsidTr="00AB2292">
        <w:trPr>
          <w:trHeight w:val="318"/>
        </w:trPr>
        <w:tc>
          <w:tcPr>
            <w:tcW w:w="1815" w:type="dxa"/>
            <w:shd w:val="clear" w:color="auto" w:fill="auto"/>
          </w:tcPr>
          <w:p w14:paraId="4304098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0CEEAD0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3B71B53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276" w:type="dxa"/>
            <w:shd w:val="clear" w:color="auto" w:fill="auto"/>
          </w:tcPr>
          <w:p w14:paraId="14421BF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3685" w:type="dxa"/>
          </w:tcPr>
          <w:p w14:paraId="47374E1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4253" w:type="dxa"/>
          </w:tcPr>
          <w:p w14:paraId="2FBB71C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r>
      <w:tr w:rsidR="00F36E29" w:rsidRPr="009F6D1E" w14:paraId="4E8B9B59" w14:textId="77777777" w:rsidTr="00AB2292">
        <w:trPr>
          <w:trHeight w:val="318"/>
        </w:trPr>
        <w:tc>
          <w:tcPr>
            <w:tcW w:w="1815" w:type="dxa"/>
            <w:shd w:val="clear" w:color="auto" w:fill="auto"/>
          </w:tcPr>
          <w:p w14:paraId="0E849AC4"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276" w:type="dxa"/>
            <w:shd w:val="clear" w:color="auto" w:fill="auto"/>
          </w:tcPr>
          <w:p w14:paraId="1032139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3685" w:type="dxa"/>
          </w:tcPr>
          <w:p w14:paraId="6C265F2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4253" w:type="dxa"/>
          </w:tcPr>
          <w:p w14:paraId="171CFFBC"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r>
      <w:tr w:rsidR="00F36E29" w:rsidRPr="009F6D1E" w14:paraId="31FE6082" w14:textId="77777777" w:rsidTr="00AB2292">
        <w:trPr>
          <w:trHeight w:val="318"/>
        </w:trPr>
        <w:tc>
          <w:tcPr>
            <w:tcW w:w="1815" w:type="dxa"/>
            <w:shd w:val="clear" w:color="auto" w:fill="auto"/>
          </w:tcPr>
          <w:p w14:paraId="5CD38D2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3ADC147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280A3BF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Зони за защита на водите</w:t>
            </w:r>
          </w:p>
          <w:p w14:paraId="2BABAD6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276" w:type="dxa"/>
            <w:shd w:val="clear" w:color="auto" w:fill="auto"/>
          </w:tcPr>
          <w:p w14:paraId="7427279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lastRenderedPageBreak/>
              <w:t>Не се очаква въздействие.</w:t>
            </w:r>
          </w:p>
        </w:tc>
        <w:tc>
          <w:tcPr>
            <w:tcW w:w="3685" w:type="dxa"/>
          </w:tcPr>
          <w:p w14:paraId="1D27E03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c>
          <w:tcPr>
            <w:tcW w:w="4253" w:type="dxa"/>
          </w:tcPr>
          <w:p w14:paraId="1DD2908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r>
      <w:tr w:rsidR="00F36E29" w:rsidRPr="009F6D1E" w14:paraId="6462FE38" w14:textId="77777777" w:rsidTr="00AB2292">
        <w:trPr>
          <w:trHeight w:val="318"/>
        </w:trPr>
        <w:tc>
          <w:tcPr>
            <w:tcW w:w="1815" w:type="dxa"/>
            <w:shd w:val="clear" w:color="auto" w:fill="auto"/>
          </w:tcPr>
          <w:p w14:paraId="06C9252F"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Земни недра</w:t>
            </w:r>
          </w:p>
        </w:tc>
        <w:tc>
          <w:tcPr>
            <w:tcW w:w="4276" w:type="dxa"/>
            <w:shd w:val="clear" w:color="auto" w:fill="auto"/>
          </w:tcPr>
          <w:p w14:paraId="6DA43A43"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3685" w:type="dxa"/>
            <w:shd w:val="clear" w:color="auto" w:fill="auto"/>
          </w:tcPr>
          <w:p w14:paraId="505C1366"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4253" w:type="dxa"/>
            <w:shd w:val="clear" w:color="auto" w:fill="auto"/>
          </w:tcPr>
          <w:p w14:paraId="77612204"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r>
      <w:tr w:rsidR="00F36E29" w:rsidRPr="009F6D1E" w14:paraId="202B296F" w14:textId="77777777" w:rsidTr="00AB2292">
        <w:trPr>
          <w:trHeight w:val="318"/>
        </w:trPr>
        <w:tc>
          <w:tcPr>
            <w:tcW w:w="1815" w:type="dxa"/>
            <w:shd w:val="clear" w:color="auto" w:fill="auto"/>
          </w:tcPr>
          <w:p w14:paraId="44BF937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0489365E"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276" w:type="dxa"/>
            <w:shd w:val="clear" w:color="auto" w:fill="auto"/>
          </w:tcPr>
          <w:p w14:paraId="1EF76A79"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3685" w:type="dxa"/>
          </w:tcPr>
          <w:p w14:paraId="14BC71E3"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4253" w:type="dxa"/>
          </w:tcPr>
          <w:p w14:paraId="1C69C159"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r>
      <w:tr w:rsidR="00F36E29" w:rsidRPr="009F6D1E" w14:paraId="78C6A597" w14:textId="77777777" w:rsidTr="00AB2292">
        <w:trPr>
          <w:trHeight w:val="1378"/>
        </w:trPr>
        <w:tc>
          <w:tcPr>
            <w:tcW w:w="1815" w:type="dxa"/>
            <w:shd w:val="clear" w:color="auto" w:fill="auto"/>
          </w:tcPr>
          <w:p w14:paraId="32E14059"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066E5294"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5162ACBD"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ЗТ</w:t>
            </w:r>
          </w:p>
        </w:tc>
        <w:tc>
          <w:tcPr>
            <w:tcW w:w="4276" w:type="dxa"/>
            <w:shd w:val="clear" w:color="auto" w:fill="auto"/>
          </w:tcPr>
          <w:p w14:paraId="5189B89C"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 въздействие</w:t>
            </w:r>
          </w:p>
        </w:tc>
        <w:tc>
          <w:tcPr>
            <w:tcW w:w="3685" w:type="dxa"/>
            <w:shd w:val="clear" w:color="auto" w:fill="auto"/>
          </w:tcPr>
          <w:p w14:paraId="2B7C0C5E" w14:textId="77777777" w:rsidR="00F36E29" w:rsidRPr="009F6D1E" w:rsidRDefault="00F36E29" w:rsidP="0084747F">
            <w:pPr>
              <w:spacing w:after="60" w:line="264" w:lineRule="auto"/>
              <w:jc w:val="both"/>
              <w:rPr>
                <w:rFonts w:cs="Times New Roman"/>
                <w:sz w:val="18"/>
                <w:szCs w:val="18"/>
              </w:rPr>
            </w:pPr>
            <w:proofErr w:type="spellStart"/>
            <w:r w:rsidRPr="009F6D1E">
              <w:rPr>
                <w:rFonts w:cs="Times New Roman"/>
                <w:sz w:val="18"/>
                <w:szCs w:val="18"/>
              </w:rPr>
              <w:t>Опрашителите</w:t>
            </w:r>
            <w:proofErr w:type="spellEnd"/>
            <w:r w:rsidRPr="009F6D1E">
              <w:rPr>
                <w:rFonts w:cs="Times New Roman"/>
                <w:sz w:val="18"/>
                <w:szCs w:val="18"/>
              </w:rPr>
              <w:t xml:space="preserve"> са важен компонент на биологичното разнообразие и са необходими за размножаването на повечето растителни видове (84% от растенията на земята са </w:t>
            </w:r>
            <w:proofErr w:type="spellStart"/>
            <w:r w:rsidRPr="009F6D1E">
              <w:rPr>
                <w:rFonts w:cs="Times New Roman"/>
                <w:sz w:val="18"/>
                <w:szCs w:val="18"/>
              </w:rPr>
              <w:t>ентомофилни</w:t>
            </w:r>
            <w:proofErr w:type="spellEnd"/>
            <w:r w:rsidRPr="009F6D1E">
              <w:rPr>
                <w:rFonts w:cs="Times New Roman"/>
                <w:sz w:val="18"/>
                <w:szCs w:val="18"/>
              </w:rPr>
              <w:t xml:space="preserve">). Поставянето на кошери ще допринесе за подобряване на </w:t>
            </w:r>
            <w:proofErr w:type="spellStart"/>
            <w:r w:rsidRPr="009F6D1E">
              <w:rPr>
                <w:rFonts w:cs="Times New Roman"/>
                <w:sz w:val="18"/>
                <w:szCs w:val="18"/>
              </w:rPr>
              <w:t>опрашителния</w:t>
            </w:r>
            <w:proofErr w:type="spellEnd"/>
            <w:r w:rsidRPr="009F6D1E">
              <w:rPr>
                <w:rFonts w:cs="Times New Roman"/>
                <w:sz w:val="18"/>
                <w:szCs w:val="18"/>
              </w:rPr>
              <w:t xml:space="preserve"> потенциал и съответно за възпроизводството </w:t>
            </w:r>
            <w:r w:rsidRPr="009F6D1E">
              <w:rPr>
                <w:rFonts w:cs="Times New Roman"/>
                <w:sz w:val="18"/>
                <w:szCs w:val="18"/>
              </w:rPr>
              <w:lastRenderedPageBreak/>
              <w:t xml:space="preserve">на </w:t>
            </w:r>
            <w:proofErr w:type="spellStart"/>
            <w:r w:rsidRPr="009F6D1E">
              <w:rPr>
                <w:rFonts w:cs="Times New Roman"/>
                <w:sz w:val="18"/>
                <w:szCs w:val="18"/>
              </w:rPr>
              <w:t>ентомофилните</w:t>
            </w:r>
            <w:proofErr w:type="spellEnd"/>
            <w:r w:rsidRPr="009F6D1E">
              <w:rPr>
                <w:rFonts w:cs="Times New Roman"/>
                <w:sz w:val="18"/>
                <w:szCs w:val="18"/>
              </w:rPr>
              <w:t xml:space="preserve"> видове в  растителните съобщества. </w:t>
            </w:r>
          </w:p>
          <w:p w14:paraId="50F347DE"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Тип на въздействието: директно, положително</w:t>
            </w:r>
          </w:p>
          <w:p w14:paraId="2018E1B2"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 xml:space="preserve">Продължителност на въздействието: дългосрочно </w:t>
            </w:r>
          </w:p>
          <w:p w14:paraId="75973F87"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Обхват на въздействието: локален</w:t>
            </w:r>
          </w:p>
        </w:tc>
        <w:tc>
          <w:tcPr>
            <w:tcW w:w="4253" w:type="dxa"/>
          </w:tcPr>
          <w:p w14:paraId="466D2464"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lastRenderedPageBreak/>
              <w:t>Интервенцията въвежда практика в граничните земеделски земи да се отглеждат култури достигнали степен на зрялост, които са благоприятни за изхранване на диви животни. Отглежданите култури не се третират с продукти за растителна защита и не се използват за добиване на продукция. Не се извършват обработки на почвената повърхност в периода на гнездене на птиците.</w:t>
            </w:r>
          </w:p>
          <w:p w14:paraId="6419DE07"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lastRenderedPageBreak/>
              <w:t>Тип на въздействието: директно, положително</w:t>
            </w:r>
          </w:p>
          <w:p w14:paraId="4F679A3E"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 xml:space="preserve">Продължителност на въздействието: дългосрочно </w:t>
            </w:r>
          </w:p>
          <w:p w14:paraId="54952559"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Обхват на въздействието: локален</w:t>
            </w:r>
          </w:p>
        </w:tc>
      </w:tr>
      <w:tr w:rsidR="00F36E29" w:rsidRPr="009F6D1E" w14:paraId="64A7A04F" w14:textId="77777777" w:rsidTr="00AB2292">
        <w:trPr>
          <w:trHeight w:val="318"/>
        </w:trPr>
        <w:tc>
          <w:tcPr>
            <w:tcW w:w="1815" w:type="dxa"/>
            <w:shd w:val="clear" w:color="auto" w:fill="auto"/>
          </w:tcPr>
          <w:p w14:paraId="77CB7F06"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276" w:type="dxa"/>
            <w:shd w:val="clear" w:color="auto" w:fill="auto"/>
          </w:tcPr>
          <w:p w14:paraId="54D4FC0B"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3685" w:type="dxa"/>
            <w:shd w:val="clear" w:color="auto" w:fill="auto"/>
          </w:tcPr>
          <w:p w14:paraId="09D61D5F"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Не се очакват въздействия</w:t>
            </w:r>
          </w:p>
        </w:tc>
        <w:tc>
          <w:tcPr>
            <w:tcW w:w="4253" w:type="dxa"/>
          </w:tcPr>
          <w:p w14:paraId="76318426" w14:textId="77777777" w:rsidR="00F36E29" w:rsidRPr="009F6D1E" w:rsidRDefault="00F36E29" w:rsidP="0084747F">
            <w:pPr>
              <w:spacing w:after="60" w:line="264" w:lineRule="auto"/>
              <w:jc w:val="both"/>
              <w:rPr>
                <w:rFonts w:cs="Times New Roman"/>
                <w:sz w:val="18"/>
                <w:szCs w:val="18"/>
              </w:rPr>
            </w:pPr>
            <w:r w:rsidRPr="009F6D1E">
              <w:rPr>
                <w:rFonts w:cs="Times New Roman"/>
                <w:sz w:val="18"/>
                <w:szCs w:val="18"/>
              </w:rPr>
              <w:t>Очакват се косвени положителни въздействия върху горските ландшафти</w:t>
            </w:r>
          </w:p>
        </w:tc>
      </w:tr>
      <w:tr w:rsidR="00F36E29" w:rsidRPr="009F6D1E" w14:paraId="0A1B1757" w14:textId="77777777" w:rsidTr="00AB2292">
        <w:trPr>
          <w:trHeight w:val="318"/>
        </w:trPr>
        <w:tc>
          <w:tcPr>
            <w:tcW w:w="1815" w:type="dxa"/>
            <w:shd w:val="clear" w:color="auto" w:fill="auto"/>
          </w:tcPr>
          <w:p w14:paraId="0DBDF64E"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Материални активи</w:t>
            </w:r>
          </w:p>
        </w:tc>
        <w:tc>
          <w:tcPr>
            <w:tcW w:w="4276" w:type="dxa"/>
            <w:shd w:val="clear" w:color="auto" w:fill="auto"/>
          </w:tcPr>
          <w:p w14:paraId="4B9ECEA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3685" w:type="dxa"/>
          </w:tcPr>
          <w:p w14:paraId="2669A41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Пряко и положително въздействие, резултат от повишаване на инвестициите в материални активи.</w:t>
            </w:r>
          </w:p>
        </w:tc>
        <w:tc>
          <w:tcPr>
            <w:tcW w:w="4253" w:type="dxa"/>
          </w:tcPr>
          <w:p w14:paraId="3DCA047D"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r>
      <w:tr w:rsidR="00F36E29" w:rsidRPr="009F6D1E" w14:paraId="47C7A7AA" w14:textId="77777777" w:rsidTr="00AB2292">
        <w:trPr>
          <w:trHeight w:val="318"/>
        </w:trPr>
        <w:tc>
          <w:tcPr>
            <w:tcW w:w="1815" w:type="dxa"/>
            <w:shd w:val="clear" w:color="auto" w:fill="auto"/>
          </w:tcPr>
          <w:p w14:paraId="4C5B159C"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Културно-историческо наследство</w:t>
            </w:r>
          </w:p>
        </w:tc>
        <w:tc>
          <w:tcPr>
            <w:tcW w:w="4276" w:type="dxa"/>
            <w:shd w:val="clear" w:color="auto" w:fill="auto"/>
          </w:tcPr>
          <w:p w14:paraId="5D58D39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685" w:type="dxa"/>
          </w:tcPr>
          <w:p w14:paraId="33B94FF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253" w:type="dxa"/>
          </w:tcPr>
          <w:p w14:paraId="673DC55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33373364" w14:textId="77777777" w:rsidTr="00AB2292">
        <w:trPr>
          <w:trHeight w:val="1610"/>
        </w:trPr>
        <w:tc>
          <w:tcPr>
            <w:tcW w:w="1815" w:type="dxa"/>
            <w:shd w:val="clear" w:color="auto" w:fill="auto"/>
          </w:tcPr>
          <w:p w14:paraId="51780C8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276" w:type="dxa"/>
            <w:shd w:val="clear" w:color="auto" w:fill="auto"/>
          </w:tcPr>
          <w:p w14:paraId="0585AD34"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3685" w:type="dxa"/>
          </w:tcPr>
          <w:p w14:paraId="745257A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4253" w:type="dxa"/>
          </w:tcPr>
          <w:p w14:paraId="15FA024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r>
      <w:tr w:rsidR="00F36E29" w:rsidRPr="009F6D1E" w14:paraId="47B293B2" w14:textId="77777777" w:rsidTr="00AB2292">
        <w:trPr>
          <w:trHeight w:val="318"/>
        </w:trPr>
        <w:tc>
          <w:tcPr>
            <w:tcW w:w="1815" w:type="dxa"/>
            <w:shd w:val="clear" w:color="auto" w:fill="auto"/>
          </w:tcPr>
          <w:p w14:paraId="67BB60FD"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276" w:type="dxa"/>
            <w:shd w:val="clear" w:color="auto" w:fill="auto"/>
          </w:tcPr>
          <w:p w14:paraId="1A84A5B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3685" w:type="dxa"/>
          </w:tcPr>
          <w:p w14:paraId="6DD58B0F"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c>
          <w:tcPr>
            <w:tcW w:w="4253" w:type="dxa"/>
          </w:tcPr>
          <w:p w14:paraId="34449FC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cs="Times New Roman"/>
                <w:sz w:val="18"/>
                <w:szCs w:val="18"/>
              </w:rPr>
              <w:t>Не се очаква въздействие.</w:t>
            </w:r>
          </w:p>
        </w:tc>
      </w:tr>
      <w:tr w:rsidR="00F36E29" w:rsidRPr="009F6D1E" w14:paraId="753559D2" w14:textId="77777777" w:rsidTr="00AB2292">
        <w:tc>
          <w:tcPr>
            <w:tcW w:w="1815" w:type="dxa"/>
            <w:shd w:val="clear" w:color="auto" w:fill="auto"/>
          </w:tcPr>
          <w:p w14:paraId="28D8FDEA"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4276" w:type="dxa"/>
            <w:shd w:val="clear" w:color="auto" w:fill="auto"/>
          </w:tcPr>
          <w:p w14:paraId="2791C337"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c>
          <w:tcPr>
            <w:tcW w:w="3685" w:type="dxa"/>
          </w:tcPr>
          <w:p w14:paraId="1DFADA37"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c>
          <w:tcPr>
            <w:tcW w:w="4253" w:type="dxa"/>
          </w:tcPr>
          <w:p w14:paraId="3B924387"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r>
      <w:tr w:rsidR="00F36E29" w:rsidRPr="009F6D1E" w14:paraId="35413D62" w14:textId="77777777" w:rsidTr="00AB2292">
        <w:tc>
          <w:tcPr>
            <w:tcW w:w="1815" w:type="dxa"/>
            <w:shd w:val="clear" w:color="auto" w:fill="auto"/>
          </w:tcPr>
          <w:p w14:paraId="1AC3CDF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 xml:space="preserve">Население </w:t>
            </w:r>
          </w:p>
          <w:p w14:paraId="64C06BBE"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44F24605"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276" w:type="dxa"/>
            <w:shd w:val="clear" w:color="auto" w:fill="auto"/>
          </w:tcPr>
          <w:p w14:paraId="1D74FA2C"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c>
          <w:tcPr>
            <w:tcW w:w="3685" w:type="dxa"/>
          </w:tcPr>
          <w:p w14:paraId="2BAE20FC"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Пряко и положително въздействие върху социално-икономическите фактори на средата и от тук положително индиректно въздействие върху здравето на населението.</w:t>
            </w:r>
          </w:p>
        </w:tc>
        <w:tc>
          <w:tcPr>
            <w:tcW w:w="4253" w:type="dxa"/>
          </w:tcPr>
          <w:p w14:paraId="52342376" w14:textId="77777777" w:rsidR="00F36E29" w:rsidRPr="009F6D1E" w:rsidRDefault="00F36E29" w:rsidP="0084747F">
            <w:pPr>
              <w:spacing w:after="60" w:line="264" w:lineRule="auto"/>
              <w:jc w:val="both"/>
              <w:rPr>
                <w:rFonts w:cs="Times New Roman"/>
                <w:sz w:val="18"/>
                <w:szCs w:val="18"/>
                <w:highlight w:val="yellow"/>
              </w:rPr>
            </w:pPr>
            <w:r w:rsidRPr="009F6D1E">
              <w:rPr>
                <w:rFonts w:cs="Times New Roman"/>
                <w:sz w:val="18"/>
                <w:szCs w:val="18"/>
              </w:rPr>
              <w:t>Не се очаква въздействие.</w:t>
            </w:r>
          </w:p>
        </w:tc>
      </w:tr>
    </w:tbl>
    <w:p w14:paraId="22DCB870" w14:textId="77777777" w:rsidR="00F36E29" w:rsidRPr="009F6D1E" w:rsidRDefault="00F36E29" w:rsidP="0084747F">
      <w:pPr>
        <w:spacing w:after="60" w:line="264" w:lineRule="auto"/>
        <w:contextualSpacing/>
        <w:jc w:val="both"/>
        <w:rPr>
          <w:rFonts w:eastAsia="Calibri" w:cs="Times New Roman"/>
          <w:b/>
          <w:bCs/>
          <w:i/>
          <w:iCs/>
          <w:szCs w:val="24"/>
        </w:rPr>
      </w:pPr>
    </w:p>
    <w:p w14:paraId="089C6061"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11" w:name="_Toc115255042"/>
      <w:bookmarkStart w:id="612" w:name="_Hlk96697066"/>
      <w:r w:rsidRPr="009F6D1E">
        <w:rPr>
          <w:rFonts w:eastAsia="Times New Roman"/>
        </w:rPr>
        <w:lastRenderedPageBreak/>
        <w:t>Потребности/Интервенции, обект на подкрепа по Специфична цел №7</w:t>
      </w:r>
      <w:bookmarkEnd w:id="611"/>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111"/>
        <w:gridCol w:w="3969"/>
        <w:gridCol w:w="4111"/>
      </w:tblGrid>
      <w:tr w:rsidR="00F36E29" w:rsidRPr="009F6D1E" w14:paraId="7A9C9416" w14:textId="77777777" w:rsidTr="0078445C">
        <w:trPr>
          <w:trHeight w:val="3162"/>
          <w:tblHeader/>
        </w:trPr>
        <w:tc>
          <w:tcPr>
            <w:tcW w:w="1838" w:type="dxa"/>
            <w:vMerge w:val="restart"/>
            <w:shd w:val="clear" w:color="auto" w:fill="D9D9D9" w:themeFill="background1" w:themeFillShade="D9"/>
            <w:vAlign w:val="center"/>
          </w:tcPr>
          <w:p w14:paraId="722A2BD9" w14:textId="77777777" w:rsidR="00F36E29" w:rsidRPr="009F6D1E" w:rsidRDefault="00F36E29" w:rsidP="0084747F">
            <w:pPr>
              <w:spacing w:after="60" w:line="264" w:lineRule="auto"/>
              <w:jc w:val="center"/>
              <w:rPr>
                <w:rFonts w:cs="Times New Roman"/>
                <w:b/>
                <w:bCs/>
                <w:i/>
                <w:sz w:val="18"/>
                <w:szCs w:val="18"/>
              </w:rPr>
            </w:pPr>
            <w:bookmarkStart w:id="613" w:name="_Hlk96697104"/>
            <w:bookmarkEnd w:id="612"/>
            <w:r w:rsidRPr="009F6D1E">
              <w:rPr>
                <w:rFonts w:cs="Times New Roman"/>
                <w:b/>
                <w:bCs/>
                <w:sz w:val="18"/>
                <w:szCs w:val="18"/>
              </w:rPr>
              <w:t>Компонент/ Фактор на околната среда</w:t>
            </w:r>
          </w:p>
        </w:tc>
        <w:tc>
          <w:tcPr>
            <w:tcW w:w="4111" w:type="dxa"/>
            <w:shd w:val="clear" w:color="auto" w:fill="D9D9D9" w:themeFill="background1" w:themeFillShade="D9"/>
          </w:tcPr>
          <w:p w14:paraId="56E1100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П.7.1. Ускоряване на модернизацията на земеделските стопанства на младите стопани</w:t>
            </w:r>
          </w:p>
          <w:p w14:paraId="1330C179"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507B0C22"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eastAsia="Times New Roman" w:cs="Times New Roman"/>
                <w:bCs/>
                <w:i/>
                <w:iCs/>
                <w:sz w:val="18"/>
                <w:szCs w:val="18"/>
                <w:lang w:eastAsia="en-GB" w:bidi="bg-BG"/>
              </w:rPr>
              <w:t>Стартова помощ за установяване на млади земеделски стопани в селското стопанство, Установяване на млади земеделски стопани</w:t>
            </w:r>
          </w:p>
        </w:tc>
        <w:tc>
          <w:tcPr>
            <w:tcW w:w="3969" w:type="dxa"/>
            <w:shd w:val="clear" w:color="auto" w:fill="D9D9D9" w:themeFill="background1" w:themeFillShade="D9"/>
            <w:vAlign w:val="center"/>
          </w:tcPr>
          <w:p w14:paraId="1B8D51A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П.7.2. Увеличаване подкрепата за младите стопани и на фермерския доход и улесняване стартирането на стопанство</w:t>
            </w:r>
          </w:p>
          <w:p w14:paraId="1781B987"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cs="Times New Roman"/>
                <w:b/>
                <w:bCs/>
                <w:i/>
                <w:sz w:val="18"/>
                <w:szCs w:val="18"/>
                <w:u w:val="single"/>
              </w:rPr>
              <w:t>Интервенции</w:t>
            </w:r>
            <w:r w:rsidRPr="009F6D1E">
              <w:rPr>
                <w:rFonts w:cs="Times New Roman"/>
                <w:b/>
                <w:bCs/>
                <w:i/>
                <w:sz w:val="18"/>
                <w:szCs w:val="18"/>
              </w:rPr>
              <w:t>:</w:t>
            </w:r>
          </w:p>
          <w:p w14:paraId="66B72551" w14:textId="77777777" w:rsidR="00F36E29" w:rsidRPr="009F6D1E" w:rsidRDefault="00F36E29" w:rsidP="0084747F">
            <w:pPr>
              <w:spacing w:after="60" w:line="264" w:lineRule="auto"/>
              <w:jc w:val="center"/>
              <w:rPr>
                <w:rFonts w:eastAsia="Times New Roman" w:cs="Times New Roman"/>
                <w:bCs/>
                <w:i/>
                <w:iCs/>
                <w:sz w:val="18"/>
                <w:szCs w:val="18"/>
                <w:lang w:eastAsia="en-GB" w:bidi="bg-BG"/>
              </w:rPr>
            </w:pPr>
            <w:r w:rsidRPr="009F6D1E">
              <w:rPr>
                <w:rFonts w:cs="Times New Roman"/>
                <w:b/>
                <w:bCs/>
                <w:i/>
                <w:sz w:val="18"/>
                <w:szCs w:val="18"/>
              </w:rPr>
              <w:t xml:space="preserve">- </w:t>
            </w:r>
            <w:r w:rsidRPr="009F6D1E">
              <w:rPr>
                <w:rFonts w:eastAsia="Times New Roman" w:cs="Times New Roman"/>
                <w:bCs/>
                <w:i/>
                <w:iCs/>
                <w:sz w:val="18"/>
                <w:szCs w:val="18"/>
                <w:lang w:eastAsia="en-GB" w:bidi="bg-BG"/>
              </w:rPr>
              <w:t>Увеличаване подкрепата за младите стопани и на фермерския доход и улесняване стартирането на стопанство</w:t>
            </w:r>
          </w:p>
          <w:p w14:paraId="20AD8EAE" w14:textId="67E01982" w:rsidR="00F36E29" w:rsidRPr="001B3624" w:rsidRDefault="00F36E29" w:rsidP="001B3624">
            <w:pPr>
              <w:spacing w:after="60" w:line="264" w:lineRule="auto"/>
              <w:jc w:val="center"/>
              <w:rPr>
                <w:rFonts w:eastAsia="Times New Roman" w:cs="Times New Roman"/>
                <w:bCs/>
                <w:i/>
                <w:iCs/>
                <w:sz w:val="18"/>
                <w:szCs w:val="18"/>
                <w:lang w:eastAsia="en-GB" w:bidi="bg-BG"/>
              </w:rPr>
            </w:pPr>
            <w:r w:rsidRPr="009F6D1E">
              <w:rPr>
                <w:rFonts w:eastAsia="Times New Roman" w:cs="Times New Roman"/>
                <w:bCs/>
                <w:i/>
                <w:iCs/>
                <w:sz w:val="18"/>
                <w:szCs w:val="18"/>
                <w:lang w:eastAsia="en-GB" w:bidi="bg-BG"/>
              </w:rPr>
              <w:t>- Консултантски услуги и повишаване на консултантския капацитет съгл. чл. 72 "Обмен на знания и информация" (ЕЗФРСР).</w:t>
            </w:r>
          </w:p>
        </w:tc>
        <w:tc>
          <w:tcPr>
            <w:tcW w:w="4111" w:type="dxa"/>
            <w:shd w:val="clear" w:color="auto" w:fill="D9D9D9" w:themeFill="background1" w:themeFillShade="D9"/>
          </w:tcPr>
          <w:p w14:paraId="3D475A1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П.7.3. Повишаване на професионално-квалификационното равнище на мениджърите и останалите заети в отрасъла</w:t>
            </w:r>
          </w:p>
          <w:p w14:paraId="75570222"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25F9C8E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eastAsia="Times New Roman" w:cs="Times New Roman"/>
                <w:bCs/>
                <w:i/>
                <w:iCs/>
                <w:sz w:val="18"/>
                <w:szCs w:val="18"/>
                <w:lang w:eastAsia="en-GB" w:bidi="bg-BG"/>
              </w:rPr>
              <w:t>Професионално обучение и придобиване на умения съгл. чл. 72 "Обмен на знания и информация"(ЕЗФРСР).</w:t>
            </w:r>
          </w:p>
        </w:tc>
      </w:tr>
      <w:tr w:rsidR="00F36E29" w:rsidRPr="009F6D1E" w14:paraId="3D52302D" w14:textId="77777777" w:rsidTr="00AB2292">
        <w:trPr>
          <w:tblHeader/>
        </w:trPr>
        <w:tc>
          <w:tcPr>
            <w:tcW w:w="1838" w:type="dxa"/>
            <w:vMerge/>
            <w:shd w:val="clear" w:color="auto" w:fill="FFF2CC" w:themeFill="accent4" w:themeFillTint="33"/>
          </w:tcPr>
          <w:p w14:paraId="63EA1836" w14:textId="77777777" w:rsidR="00F36E29" w:rsidRPr="009F6D1E" w:rsidRDefault="00F36E29" w:rsidP="0084747F">
            <w:pPr>
              <w:spacing w:after="60" w:line="264" w:lineRule="auto"/>
              <w:jc w:val="center"/>
              <w:rPr>
                <w:rFonts w:cs="Times New Roman"/>
                <w:b/>
                <w:bCs/>
                <w:sz w:val="18"/>
                <w:szCs w:val="18"/>
              </w:rPr>
            </w:pPr>
          </w:p>
        </w:tc>
        <w:tc>
          <w:tcPr>
            <w:tcW w:w="12191" w:type="dxa"/>
            <w:gridSpan w:val="3"/>
            <w:shd w:val="clear" w:color="auto" w:fill="FFF2CC" w:themeFill="accent4" w:themeFillTint="33"/>
          </w:tcPr>
          <w:p w14:paraId="26AFB226"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1B907FC2" w14:textId="77777777" w:rsidTr="00AB2292">
        <w:trPr>
          <w:trHeight w:val="318"/>
        </w:trPr>
        <w:tc>
          <w:tcPr>
            <w:tcW w:w="1838" w:type="dxa"/>
            <w:shd w:val="clear" w:color="auto" w:fill="auto"/>
          </w:tcPr>
          <w:p w14:paraId="150EF60F"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7A024A67"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44ED5105"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111" w:type="dxa"/>
            <w:shd w:val="clear" w:color="auto" w:fill="auto"/>
          </w:tcPr>
          <w:p w14:paraId="5F4A138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положително въздействие, свързано с намаляване на емисиите на парникови газове, резултат от модернизацията на земеделските стопанства.</w:t>
            </w:r>
          </w:p>
        </w:tc>
        <w:tc>
          <w:tcPr>
            <w:tcW w:w="3969" w:type="dxa"/>
          </w:tcPr>
          <w:p w14:paraId="37DC967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От една страна се очаква индиректно положително въздействие, свързано с увеличаване на подкрепата на младите стопанства. От друга страна се създават улеснени условия за стартирането на нови стопанства, но отчитайки факта, че редица от другите мерки създават предпоставки същите да бъдат модернизирани, то не се очаква въздействие върху климата.</w:t>
            </w:r>
          </w:p>
        </w:tc>
        <w:tc>
          <w:tcPr>
            <w:tcW w:w="4111" w:type="dxa"/>
          </w:tcPr>
          <w:p w14:paraId="2484F3F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ес очаква въздействие</w:t>
            </w:r>
          </w:p>
        </w:tc>
      </w:tr>
      <w:tr w:rsidR="00F36E29" w:rsidRPr="009F6D1E" w14:paraId="5809194E" w14:textId="77777777" w:rsidTr="00AB2292">
        <w:trPr>
          <w:trHeight w:val="318"/>
        </w:trPr>
        <w:tc>
          <w:tcPr>
            <w:tcW w:w="1838" w:type="dxa"/>
            <w:shd w:val="clear" w:color="auto" w:fill="auto"/>
          </w:tcPr>
          <w:p w14:paraId="11820953"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111" w:type="dxa"/>
            <w:shd w:val="clear" w:color="auto" w:fill="auto"/>
          </w:tcPr>
          <w:p w14:paraId="44AC727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въздействието върху климата.</w:t>
            </w:r>
          </w:p>
        </w:tc>
        <w:tc>
          <w:tcPr>
            <w:tcW w:w="3969" w:type="dxa"/>
          </w:tcPr>
          <w:p w14:paraId="26AF4938"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въздействието върху климата.</w:t>
            </w:r>
          </w:p>
        </w:tc>
        <w:tc>
          <w:tcPr>
            <w:tcW w:w="4111" w:type="dxa"/>
          </w:tcPr>
          <w:p w14:paraId="2D98BFF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ес очаква въздействие</w:t>
            </w:r>
          </w:p>
        </w:tc>
      </w:tr>
      <w:tr w:rsidR="00F36E29" w:rsidRPr="009F6D1E" w14:paraId="25597517" w14:textId="77777777" w:rsidTr="00AB2292">
        <w:trPr>
          <w:trHeight w:val="318"/>
        </w:trPr>
        <w:tc>
          <w:tcPr>
            <w:tcW w:w="1838" w:type="dxa"/>
            <w:shd w:val="clear" w:color="auto" w:fill="auto"/>
          </w:tcPr>
          <w:p w14:paraId="701CB67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18914AC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18EF644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lastRenderedPageBreak/>
              <w:t>Зони за защита на водите</w:t>
            </w:r>
          </w:p>
          <w:p w14:paraId="32E6CE69"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111" w:type="dxa"/>
            <w:shd w:val="clear" w:color="auto" w:fill="auto"/>
          </w:tcPr>
          <w:p w14:paraId="5B896B1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lastRenderedPageBreak/>
              <w:t>Не се очаква въздействие.</w:t>
            </w:r>
          </w:p>
        </w:tc>
        <w:tc>
          <w:tcPr>
            <w:tcW w:w="3969" w:type="dxa"/>
          </w:tcPr>
          <w:p w14:paraId="41DDF5C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c>
          <w:tcPr>
            <w:tcW w:w="4111" w:type="dxa"/>
          </w:tcPr>
          <w:p w14:paraId="7B2A6B0B"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r>
      <w:tr w:rsidR="00F36E29" w:rsidRPr="009F6D1E" w14:paraId="39625C1E" w14:textId="77777777" w:rsidTr="00AB2292">
        <w:trPr>
          <w:trHeight w:val="318"/>
        </w:trPr>
        <w:tc>
          <w:tcPr>
            <w:tcW w:w="1838" w:type="dxa"/>
            <w:shd w:val="clear" w:color="auto" w:fill="auto"/>
          </w:tcPr>
          <w:p w14:paraId="73EDC30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Земни недра</w:t>
            </w:r>
          </w:p>
        </w:tc>
        <w:tc>
          <w:tcPr>
            <w:tcW w:w="4111" w:type="dxa"/>
            <w:shd w:val="clear" w:color="auto" w:fill="auto"/>
          </w:tcPr>
          <w:p w14:paraId="035EDA6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shd w:val="clear" w:color="auto" w:fill="auto"/>
          </w:tcPr>
          <w:p w14:paraId="68EE522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111" w:type="dxa"/>
            <w:shd w:val="clear" w:color="auto" w:fill="auto"/>
          </w:tcPr>
          <w:p w14:paraId="19D271B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14156D1C" w14:textId="77777777" w:rsidTr="00AB2292">
        <w:trPr>
          <w:trHeight w:val="318"/>
        </w:trPr>
        <w:tc>
          <w:tcPr>
            <w:tcW w:w="1838" w:type="dxa"/>
            <w:shd w:val="clear" w:color="auto" w:fill="auto"/>
          </w:tcPr>
          <w:p w14:paraId="0D74B96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51FA4BDC"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111" w:type="dxa"/>
            <w:shd w:val="clear" w:color="auto" w:fill="auto"/>
          </w:tcPr>
          <w:p w14:paraId="0A3D18C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64EC6CA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111" w:type="dxa"/>
          </w:tcPr>
          <w:p w14:paraId="5D11EF47"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23840392" w14:textId="77777777" w:rsidTr="00AB2292">
        <w:trPr>
          <w:trHeight w:val="1378"/>
        </w:trPr>
        <w:tc>
          <w:tcPr>
            <w:tcW w:w="1838" w:type="dxa"/>
            <w:shd w:val="clear" w:color="auto" w:fill="auto"/>
          </w:tcPr>
          <w:p w14:paraId="1507776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5A7BA48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54636BD1"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ЗТ</w:t>
            </w:r>
          </w:p>
        </w:tc>
        <w:tc>
          <w:tcPr>
            <w:tcW w:w="4111" w:type="dxa"/>
            <w:shd w:val="clear" w:color="auto" w:fill="auto"/>
          </w:tcPr>
          <w:p w14:paraId="052C012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отрицателно въздействие</w:t>
            </w:r>
          </w:p>
        </w:tc>
        <w:tc>
          <w:tcPr>
            <w:tcW w:w="3969" w:type="dxa"/>
            <w:shd w:val="clear" w:color="auto" w:fill="auto"/>
          </w:tcPr>
          <w:p w14:paraId="0435E36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отрицателно въздействие</w:t>
            </w:r>
          </w:p>
        </w:tc>
        <w:tc>
          <w:tcPr>
            <w:tcW w:w="4111" w:type="dxa"/>
          </w:tcPr>
          <w:p w14:paraId="2262C2C3" w14:textId="77777777" w:rsidR="00F36E29" w:rsidRPr="009F6D1E" w:rsidRDefault="00F36E29" w:rsidP="0084747F">
            <w:pPr>
              <w:pStyle w:val="TableParagraph"/>
              <w:spacing w:after="60" w:line="264" w:lineRule="auto"/>
              <w:ind w:left="0" w:right="100"/>
              <w:jc w:val="both"/>
              <w:rPr>
                <w:rFonts w:eastAsia="Tahoma"/>
                <w:sz w:val="18"/>
                <w:szCs w:val="18"/>
                <w:lang w:eastAsia="zh-CN"/>
              </w:rPr>
            </w:pPr>
            <w:r w:rsidRPr="009F6D1E">
              <w:rPr>
                <w:rFonts w:eastAsia="Tahoma"/>
                <w:sz w:val="18"/>
                <w:szCs w:val="18"/>
                <w:lang w:eastAsia="zh-CN"/>
              </w:rPr>
              <w:t xml:space="preserve">Ще се предоставя подкрепа на обучаващи организации,  което ще осигури възможност за  повишаване на професионалната квалификация и познания по различни теми на предприемачите и заетите лица в селскостопанския отрасъл. </w:t>
            </w:r>
          </w:p>
          <w:p w14:paraId="41D67779"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В случай, че в обученията се включат въпроси, свързани с опазване на биоразнообразието, ЗТ, Натура 2000 и др.  би могло да се очаква косвено положително  въздействие в дългосрочен аспект на регионално и национално ниво поради повишаване на капацитета и познанията в тази </w:t>
            </w:r>
            <w:r w:rsidRPr="009F6D1E">
              <w:rPr>
                <w:rFonts w:eastAsia="Tahoma" w:cs="Times New Roman"/>
                <w:sz w:val="18"/>
                <w:szCs w:val="18"/>
                <w:lang w:eastAsia="zh-CN"/>
              </w:rPr>
              <w:lastRenderedPageBreak/>
              <w:t xml:space="preserve">област. Повишаване на познанията за устойчиво развитие, биоразнообразие, ЗТ, и др. биха могли да  допринесат за по-добро разбиране на необходимостта от устойчиво земеделие, необходимостта от опазване на биоразнообразието и начините за намаляване и избягване на негативни въздействия. Прилагането на тези знания и на екологосъобразни технологии ще допринесе за опазване на околната среда и биоразнообразието. </w:t>
            </w:r>
          </w:p>
          <w:p w14:paraId="5BB2457B" w14:textId="77777777" w:rsidR="00F36E29" w:rsidRPr="009F6D1E" w:rsidRDefault="00F36E29" w:rsidP="0084747F">
            <w:pPr>
              <w:pStyle w:val="TableParagraph"/>
              <w:spacing w:after="60" w:line="264" w:lineRule="auto"/>
              <w:ind w:right="100"/>
              <w:jc w:val="both"/>
              <w:rPr>
                <w:rFonts w:eastAsia="Tahoma"/>
                <w:sz w:val="18"/>
                <w:szCs w:val="18"/>
                <w:lang w:eastAsia="zh-CN"/>
              </w:rPr>
            </w:pPr>
          </w:p>
          <w:p w14:paraId="6120686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положително</w:t>
            </w:r>
          </w:p>
          <w:p w14:paraId="3353419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дългосрочно </w:t>
            </w:r>
          </w:p>
          <w:p w14:paraId="1C09155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регионален, национален</w:t>
            </w:r>
          </w:p>
        </w:tc>
      </w:tr>
      <w:tr w:rsidR="00F36E29" w:rsidRPr="009F6D1E" w14:paraId="18B8C378" w14:textId="77777777" w:rsidTr="00AB2292">
        <w:trPr>
          <w:trHeight w:val="318"/>
        </w:trPr>
        <w:tc>
          <w:tcPr>
            <w:tcW w:w="1838" w:type="dxa"/>
            <w:shd w:val="clear" w:color="auto" w:fill="auto"/>
          </w:tcPr>
          <w:p w14:paraId="1A89B987"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 xml:space="preserve">Ландшафт </w:t>
            </w:r>
          </w:p>
        </w:tc>
        <w:tc>
          <w:tcPr>
            <w:tcW w:w="4111" w:type="dxa"/>
            <w:shd w:val="clear" w:color="auto" w:fill="auto"/>
          </w:tcPr>
          <w:p w14:paraId="309F407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shd w:val="clear" w:color="auto" w:fill="auto"/>
          </w:tcPr>
          <w:p w14:paraId="6878051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4111" w:type="dxa"/>
          </w:tcPr>
          <w:p w14:paraId="5F674B1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7BDA4953" w14:textId="77777777" w:rsidTr="00AB2292">
        <w:trPr>
          <w:trHeight w:val="318"/>
        </w:trPr>
        <w:tc>
          <w:tcPr>
            <w:tcW w:w="1838" w:type="dxa"/>
            <w:shd w:val="clear" w:color="auto" w:fill="auto"/>
          </w:tcPr>
          <w:p w14:paraId="032F8DB7"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Материални активи</w:t>
            </w:r>
          </w:p>
        </w:tc>
        <w:tc>
          <w:tcPr>
            <w:tcW w:w="4111" w:type="dxa"/>
            <w:shd w:val="clear" w:color="auto" w:fill="auto"/>
          </w:tcPr>
          <w:p w14:paraId="525C6505"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Наличие на пряко положително, дългосрочно въздействие спрямо  материалните активи предвид ускорената модернизация.</w:t>
            </w:r>
          </w:p>
        </w:tc>
        <w:tc>
          <w:tcPr>
            <w:tcW w:w="3969" w:type="dxa"/>
          </w:tcPr>
          <w:p w14:paraId="3D9C4BDB"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Наличие на пряко положително, дългосрочно въздействие спрямо  материалните активи, предвид увеличената подкрепа на младите стопани и създаването на нови стопанства. </w:t>
            </w:r>
          </w:p>
        </w:tc>
        <w:tc>
          <w:tcPr>
            <w:tcW w:w="4111" w:type="dxa"/>
          </w:tcPr>
          <w:p w14:paraId="3016F5A3"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Не се очаква въздействие </w:t>
            </w:r>
          </w:p>
        </w:tc>
      </w:tr>
      <w:tr w:rsidR="00F36E29" w:rsidRPr="009F6D1E" w14:paraId="2F1CE2C8" w14:textId="77777777" w:rsidTr="00AB2292">
        <w:trPr>
          <w:trHeight w:val="318"/>
        </w:trPr>
        <w:tc>
          <w:tcPr>
            <w:tcW w:w="1838" w:type="dxa"/>
            <w:shd w:val="clear" w:color="auto" w:fill="auto"/>
          </w:tcPr>
          <w:p w14:paraId="003BF09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111" w:type="dxa"/>
            <w:shd w:val="clear" w:color="auto" w:fill="auto"/>
          </w:tcPr>
          <w:p w14:paraId="16887E1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3969" w:type="dxa"/>
          </w:tcPr>
          <w:p w14:paraId="0D59C732"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c>
          <w:tcPr>
            <w:tcW w:w="4111" w:type="dxa"/>
          </w:tcPr>
          <w:p w14:paraId="483B89A9"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4E8B8D3D" w14:textId="77777777" w:rsidTr="00AB2292">
        <w:trPr>
          <w:trHeight w:val="1610"/>
        </w:trPr>
        <w:tc>
          <w:tcPr>
            <w:tcW w:w="1838" w:type="dxa"/>
            <w:shd w:val="clear" w:color="auto" w:fill="auto"/>
          </w:tcPr>
          <w:p w14:paraId="0234DC2A"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111" w:type="dxa"/>
            <w:shd w:val="clear" w:color="auto" w:fill="auto"/>
          </w:tcPr>
          <w:p w14:paraId="40EEF200"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въздействията по отношение на климата и атмосферния въздух.</w:t>
            </w:r>
          </w:p>
        </w:tc>
        <w:tc>
          <w:tcPr>
            <w:tcW w:w="3969" w:type="dxa"/>
          </w:tcPr>
          <w:p w14:paraId="29C6D36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Аналогично на въздействията по отношение на климата и атмосферния въздух.</w:t>
            </w:r>
          </w:p>
        </w:tc>
        <w:tc>
          <w:tcPr>
            <w:tcW w:w="4111" w:type="dxa"/>
          </w:tcPr>
          <w:p w14:paraId="4BA9DCE1"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Не се очаква въздействие.</w:t>
            </w:r>
          </w:p>
        </w:tc>
      </w:tr>
      <w:tr w:rsidR="00F36E29" w:rsidRPr="009F6D1E" w14:paraId="0ECC8678" w14:textId="77777777" w:rsidTr="00AB2292">
        <w:trPr>
          <w:trHeight w:val="318"/>
        </w:trPr>
        <w:tc>
          <w:tcPr>
            <w:tcW w:w="1838" w:type="dxa"/>
            <w:shd w:val="clear" w:color="auto" w:fill="auto"/>
          </w:tcPr>
          <w:p w14:paraId="5AB62D68"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111" w:type="dxa"/>
            <w:shd w:val="clear" w:color="auto" w:fill="auto"/>
          </w:tcPr>
          <w:p w14:paraId="19F8DD3A"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Пряко и положително въздействие, като се очаква ускоряването на модернизацията да доведе до намаляване на образуваните отпадъци.</w:t>
            </w:r>
          </w:p>
        </w:tc>
        <w:tc>
          <w:tcPr>
            <w:tcW w:w="3969" w:type="dxa"/>
          </w:tcPr>
          <w:p w14:paraId="7B4BC9DE"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t xml:space="preserve">От една страна мярката ще доведе до пряко и положително въздействие, като резултат от намаленото образуване на отпадъци, а от друга, ново разкритите стопанства, ще се явяват </w:t>
            </w:r>
            <w:r w:rsidRPr="009F6D1E">
              <w:rPr>
                <w:rFonts w:eastAsia="Tahoma" w:cs="Times New Roman"/>
                <w:sz w:val="18"/>
                <w:szCs w:val="18"/>
                <w:lang w:eastAsia="zh-CN"/>
              </w:rPr>
              <w:lastRenderedPageBreak/>
              <w:t>източник на отпадъци, но при правилно и законосъобразно третиране на същите, то те няма да повлияят върху компонентите на околната среда.</w:t>
            </w:r>
          </w:p>
        </w:tc>
        <w:tc>
          <w:tcPr>
            <w:tcW w:w="4111" w:type="dxa"/>
          </w:tcPr>
          <w:p w14:paraId="258C34A6" w14:textId="77777777" w:rsidR="00F36E29" w:rsidRPr="009F6D1E" w:rsidRDefault="00F36E29" w:rsidP="0084747F">
            <w:pPr>
              <w:spacing w:after="60" w:line="264" w:lineRule="auto"/>
              <w:jc w:val="both"/>
              <w:rPr>
                <w:rFonts w:eastAsia="Tahoma" w:cs="Times New Roman"/>
                <w:sz w:val="18"/>
                <w:szCs w:val="18"/>
                <w:highlight w:val="yellow"/>
                <w:lang w:eastAsia="zh-CN"/>
              </w:rPr>
            </w:pPr>
            <w:r w:rsidRPr="009F6D1E">
              <w:rPr>
                <w:rFonts w:eastAsia="Tahoma" w:cs="Times New Roman"/>
                <w:sz w:val="18"/>
                <w:szCs w:val="18"/>
                <w:lang w:eastAsia="zh-CN"/>
              </w:rPr>
              <w:lastRenderedPageBreak/>
              <w:t>Не се очаква въздействие.</w:t>
            </w:r>
          </w:p>
        </w:tc>
      </w:tr>
      <w:tr w:rsidR="00F36E29" w:rsidRPr="009F6D1E" w14:paraId="58D8F2E6" w14:textId="77777777" w:rsidTr="00AB2292">
        <w:tc>
          <w:tcPr>
            <w:tcW w:w="1838" w:type="dxa"/>
            <w:shd w:val="clear" w:color="auto" w:fill="auto"/>
          </w:tcPr>
          <w:p w14:paraId="574F6BFB"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Опасни химични вещества и риск от големи аварии</w:t>
            </w:r>
          </w:p>
        </w:tc>
        <w:tc>
          <w:tcPr>
            <w:tcW w:w="4111" w:type="dxa"/>
            <w:shd w:val="clear" w:color="auto" w:fill="auto"/>
          </w:tcPr>
          <w:p w14:paraId="1CEE537A"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3969" w:type="dxa"/>
          </w:tcPr>
          <w:p w14:paraId="7E053A3F"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c>
          <w:tcPr>
            <w:tcW w:w="4111" w:type="dxa"/>
          </w:tcPr>
          <w:p w14:paraId="2998754E"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tr w:rsidR="00F36E29" w:rsidRPr="009F6D1E" w14:paraId="69DA2002" w14:textId="77777777" w:rsidTr="00AB2292">
        <w:tc>
          <w:tcPr>
            <w:tcW w:w="1838" w:type="dxa"/>
            <w:shd w:val="clear" w:color="auto" w:fill="auto"/>
          </w:tcPr>
          <w:p w14:paraId="15EB38E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7BF387A1"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48A719C8"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111" w:type="dxa"/>
            <w:shd w:val="clear" w:color="auto" w:fill="auto"/>
          </w:tcPr>
          <w:p w14:paraId="4D94F5E2"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Инвестициите са свързани с пряко положително въздействие, в резултат на подобряване на социално-икономическата среда и положително въздействие върху здравето на населението. Модернизацията и замяната на оборудването е свързана с намаляване на риска от трудови злополуки.</w:t>
            </w:r>
          </w:p>
        </w:tc>
        <w:tc>
          <w:tcPr>
            <w:tcW w:w="3969" w:type="dxa"/>
          </w:tcPr>
          <w:p w14:paraId="66A9ABFA"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Инвестициите са свързани с пряко положително въздействие, в резултат на подобряване на социално-икономическата среда, което от своя страна ще окаже индиректно положително въздействие и върху здравето на населението.</w:t>
            </w:r>
          </w:p>
        </w:tc>
        <w:tc>
          <w:tcPr>
            <w:tcW w:w="4111" w:type="dxa"/>
          </w:tcPr>
          <w:p w14:paraId="16377D99" w14:textId="77777777" w:rsidR="00F36E29" w:rsidRPr="009F6D1E" w:rsidRDefault="00F36E29" w:rsidP="0084747F">
            <w:pPr>
              <w:spacing w:after="60" w:line="264" w:lineRule="auto"/>
              <w:jc w:val="both"/>
              <w:rPr>
                <w:rFonts w:cs="Times New Roman"/>
                <w:sz w:val="18"/>
                <w:szCs w:val="18"/>
                <w:highlight w:val="yellow"/>
              </w:rPr>
            </w:pPr>
            <w:r w:rsidRPr="009F6D1E">
              <w:rPr>
                <w:rFonts w:eastAsia="Tahoma" w:cs="Times New Roman"/>
                <w:sz w:val="18"/>
                <w:szCs w:val="18"/>
                <w:lang w:eastAsia="zh-CN"/>
              </w:rPr>
              <w:t>Не се очаква въздействие.</w:t>
            </w:r>
          </w:p>
        </w:tc>
      </w:tr>
      <w:bookmarkEnd w:id="613"/>
    </w:tbl>
    <w:p w14:paraId="700AED3A" w14:textId="77777777" w:rsidR="00F36E29" w:rsidRPr="009F6D1E" w:rsidRDefault="00F36E29" w:rsidP="0084747F">
      <w:pPr>
        <w:spacing w:after="60" w:line="264" w:lineRule="auto"/>
        <w:contextualSpacing/>
        <w:jc w:val="both"/>
        <w:rPr>
          <w:rFonts w:eastAsia="Calibri" w:cs="Times New Roman"/>
          <w:b/>
          <w:bCs/>
          <w:i/>
          <w:iCs/>
          <w:szCs w:val="24"/>
        </w:rPr>
      </w:pPr>
    </w:p>
    <w:p w14:paraId="6E3BB79D"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3"/>
        <w:gridCol w:w="3969"/>
        <w:gridCol w:w="3969"/>
      </w:tblGrid>
      <w:tr w:rsidR="00F36E29" w:rsidRPr="009F6D1E" w14:paraId="373071D9" w14:textId="77777777" w:rsidTr="00AB2292">
        <w:trPr>
          <w:tblHeader/>
        </w:trPr>
        <w:tc>
          <w:tcPr>
            <w:tcW w:w="1838" w:type="dxa"/>
            <w:vMerge w:val="restart"/>
            <w:shd w:val="clear" w:color="auto" w:fill="D9D9D9" w:themeFill="background1" w:themeFillShade="D9"/>
            <w:vAlign w:val="center"/>
          </w:tcPr>
          <w:p w14:paraId="03FFF175"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sz w:val="18"/>
                <w:szCs w:val="18"/>
              </w:rPr>
              <w:lastRenderedPageBreak/>
              <w:t>Компонент/ Фактор на околната среда</w:t>
            </w:r>
          </w:p>
        </w:tc>
        <w:tc>
          <w:tcPr>
            <w:tcW w:w="4253" w:type="dxa"/>
            <w:shd w:val="clear" w:color="auto" w:fill="D9D9D9" w:themeFill="background1" w:themeFillShade="D9"/>
          </w:tcPr>
          <w:p w14:paraId="0CDECCE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П.7.4. Намаляване диспропорциите в земеделската заетост на младите стопани между различните райони и аграрни сектори</w:t>
            </w:r>
          </w:p>
          <w:p w14:paraId="5A669021"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2BB42B44"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cs="Times New Roman"/>
                <w:i/>
                <w:sz w:val="18"/>
                <w:szCs w:val="18"/>
              </w:rPr>
              <w:t>Подкрепа на организации на производители или групи от производители, Сътрудничество съгл. член 64, б. „ж“ (ЕЗФРСР)</w:t>
            </w:r>
          </w:p>
        </w:tc>
        <w:tc>
          <w:tcPr>
            <w:tcW w:w="3969" w:type="dxa"/>
            <w:shd w:val="clear" w:color="auto" w:fill="D9D9D9" w:themeFill="background1" w:themeFillShade="D9"/>
          </w:tcPr>
          <w:p w14:paraId="39EC8B0C"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П.7.5. Улесняване развитието на стопанска дейност в селските райони и създаване и подпомагане на стартирането на стопански и неземеделски дейности</w:t>
            </w:r>
          </w:p>
          <w:p w14:paraId="429F1FCE"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6D93F082" w14:textId="77777777" w:rsidR="00F36E29" w:rsidRPr="009F6D1E" w:rsidRDefault="00F36E29" w:rsidP="0084747F">
            <w:pPr>
              <w:spacing w:after="60" w:line="264" w:lineRule="auto"/>
              <w:jc w:val="center"/>
              <w:rPr>
                <w:rFonts w:cs="Times New Roman"/>
                <w:b/>
                <w:bCs/>
                <w:i/>
                <w:sz w:val="18"/>
                <w:szCs w:val="18"/>
              </w:rPr>
            </w:pPr>
            <w:r w:rsidRPr="009F6D1E">
              <w:rPr>
                <w:rFonts w:cs="Times New Roman"/>
                <w:i/>
                <w:sz w:val="18"/>
                <w:szCs w:val="18"/>
              </w:rPr>
              <w:t>- Инвестиции за неселскостопански  дейности  в селските райони</w:t>
            </w:r>
          </w:p>
        </w:tc>
        <w:tc>
          <w:tcPr>
            <w:tcW w:w="3969" w:type="dxa"/>
            <w:shd w:val="clear" w:color="auto" w:fill="D9D9D9" w:themeFill="background1" w:themeFillShade="D9"/>
          </w:tcPr>
          <w:p w14:paraId="5F7EA0CA"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П.7.6. Стимулиране на иновативни или технологично интензивни производства и развиване на дейности в секторите на индустрията и на информационните услуги, които да допринасят за повишаване на добавената стойност</w:t>
            </w:r>
          </w:p>
          <w:p w14:paraId="17EB3F13"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u w:val="single"/>
              </w:rPr>
              <w:t>Интервенции</w:t>
            </w:r>
            <w:r w:rsidRPr="009F6D1E">
              <w:rPr>
                <w:rFonts w:cs="Times New Roman"/>
                <w:b/>
                <w:bCs/>
                <w:i/>
                <w:sz w:val="18"/>
                <w:szCs w:val="18"/>
              </w:rPr>
              <w:t>:</w:t>
            </w:r>
          </w:p>
          <w:p w14:paraId="36DF7FA3" w14:textId="77777777" w:rsidR="00F36E29" w:rsidRPr="009F6D1E" w:rsidRDefault="00F36E29" w:rsidP="0084747F">
            <w:pPr>
              <w:spacing w:after="60" w:line="264" w:lineRule="auto"/>
              <w:jc w:val="center"/>
              <w:rPr>
                <w:rFonts w:cs="Times New Roman"/>
                <w:b/>
                <w:bCs/>
                <w:i/>
                <w:sz w:val="18"/>
                <w:szCs w:val="18"/>
              </w:rPr>
            </w:pPr>
            <w:r w:rsidRPr="009F6D1E">
              <w:rPr>
                <w:rFonts w:cs="Times New Roman"/>
                <w:b/>
                <w:bCs/>
                <w:i/>
                <w:sz w:val="18"/>
                <w:szCs w:val="18"/>
              </w:rPr>
              <w:t xml:space="preserve">- </w:t>
            </w:r>
            <w:r w:rsidRPr="009F6D1E">
              <w:rPr>
                <w:rFonts w:cs="Times New Roman"/>
                <w:i/>
                <w:sz w:val="18"/>
                <w:szCs w:val="18"/>
              </w:rPr>
              <w:t>Инвестиции за неселскостопански  дейности  в селските райони</w:t>
            </w:r>
          </w:p>
        </w:tc>
      </w:tr>
      <w:tr w:rsidR="00F36E29" w:rsidRPr="009F6D1E" w14:paraId="2584D2F7" w14:textId="77777777" w:rsidTr="00AB2292">
        <w:trPr>
          <w:tblHeader/>
        </w:trPr>
        <w:tc>
          <w:tcPr>
            <w:tcW w:w="1838" w:type="dxa"/>
            <w:vMerge/>
            <w:shd w:val="clear" w:color="auto" w:fill="FFF2CC" w:themeFill="accent4" w:themeFillTint="33"/>
          </w:tcPr>
          <w:p w14:paraId="588C5F4F" w14:textId="77777777" w:rsidR="00F36E29" w:rsidRPr="009F6D1E" w:rsidRDefault="00F36E29" w:rsidP="0084747F">
            <w:pPr>
              <w:spacing w:after="60" w:line="264" w:lineRule="auto"/>
              <w:jc w:val="center"/>
              <w:rPr>
                <w:rFonts w:cs="Times New Roman"/>
                <w:b/>
                <w:bCs/>
                <w:sz w:val="18"/>
                <w:szCs w:val="18"/>
              </w:rPr>
            </w:pPr>
          </w:p>
        </w:tc>
        <w:tc>
          <w:tcPr>
            <w:tcW w:w="12191" w:type="dxa"/>
            <w:gridSpan w:val="3"/>
            <w:shd w:val="clear" w:color="auto" w:fill="FFF2CC" w:themeFill="accent4" w:themeFillTint="33"/>
          </w:tcPr>
          <w:p w14:paraId="1C312C7F" w14:textId="77777777" w:rsidR="00F36E29" w:rsidRPr="009F6D1E" w:rsidRDefault="00F36E29" w:rsidP="0084747F">
            <w:pPr>
              <w:spacing w:after="60" w:line="264" w:lineRule="auto"/>
              <w:jc w:val="center"/>
              <w:rPr>
                <w:rFonts w:cs="Times New Roman"/>
                <w:b/>
                <w:bCs/>
                <w:sz w:val="18"/>
                <w:szCs w:val="18"/>
              </w:rPr>
            </w:pPr>
            <w:r w:rsidRPr="009F6D1E">
              <w:rPr>
                <w:rFonts w:cs="Times New Roman"/>
                <w:b/>
                <w:bCs/>
                <w:sz w:val="18"/>
                <w:szCs w:val="18"/>
              </w:rPr>
              <w:t>Въздействие</w:t>
            </w:r>
          </w:p>
        </w:tc>
      </w:tr>
      <w:tr w:rsidR="00F36E29" w:rsidRPr="009F6D1E" w14:paraId="2743E02F" w14:textId="77777777" w:rsidTr="00AB2292">
        <w:trPr>
          <w:trHeight w:val="318"/>
        </w:trPr>
        <w:tc>
          <w:tcPr>
            <w:tcW w:w="1838" w:type="dxa"/>
            <w:shd w:val="clear" w:color="auto" w:fill="auto"/>
          </w:tcPr>
          <w:p w14:paraId="739E0480"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Климат,</w:t>
            </w:r>
          </w:p>
          <w:p w14:paraId="101F9A3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Изменение на климата,</w:t>
            </w:r>
          </w:p>
          <w:p w14:paraId="276CD3D4"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Адаптация към изменящия се климат</w:t>
            </w:r>
          </w:p>
        </w:tc>
        <w:tc>
          <w:tcPr>
            <w:tcW w:w="4253" w:type="dxa"/>
            <w:shd w:val="clear" w:color="auto" w:fill="auto"/>
          </w:tcPr>
          <w:p w14:paraId="1507324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502175F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 се пряко въздействие в районите на прилагане на мярката. При спазването на нормативните изисквания на национално и европейко ниво, както и прилагането на НДНТ в хода на изграждане на определени обекти не се очаква въздействията върху климата да са с отрицателен характер.</w:t>
            </w:r>
          </w:p>
        </w:tc>
        <w:tc>
          <w:tcPr>
            <w:tcW w:w="3969" w:type="dxa"/>
          </w:tcPr>
          <w:p w14:paraId="2EB81F5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Очаква се пряко въздействие в районите на прилагане на мярката. От една страна, при спазването на нормативните изисквания на национално и европейко ниво, както и прилагането на НДНТ в хода на изграждане на определени обекти, не се очаква въздействията върху климата да са с отрицателен характер. </w:t>
            </w:r>
          </w:p>
          <w:p w14:paraId="6897EBF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От друга страна въвеждането на нови технологии се очаква да окаже пряко и положително въздействие върху климата, както и да подобри процеса по адаптация към климатичните промени.</w:t>
            </w:r>
          </w:p>
        </w:tc>
      </w:tr>
      <w:tr w:rsidR="00F36E29" w:rsidRPr="009F6D1E" w14:paraId="5CB9E066" w14:textId="77777777" w:rsidTr="00AB2292">
        <w:trPr>
          <w:trHeight w:val="318"/>
        </w:trPr>
        <w:tc>
          <w:tcPr>
            <w:tcW w:w="1838" w:type="dxa"/>
            <w:shd w:val="clear" w:color="auto" w:fill="auto"/>
          </w:tcPr>
          <w:p w14:paraId="71FC3E2B"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Качество на атмосферния въздух</w:t>
            </w:r>
          </w:p>
        </w:tc>
        <w:tc>
          <w:tcPr>
            <w:tcW w:w="4253" w:type="dxa"/>
            <w:shd w:val="clear" w:color="auto" w:fill="auto"/>
          </w:tcPr>
          <w:p w14:paraId="74E9E25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4B9C307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подобие на очакваните въздействия върху климата.</w:t>
            </w:r>
          </w:p>
        </w:tc>
        <w:tc>
          <w:tcPr>
            <w:tcW w:w="3969" w:type="dxa"/>
          </w:tcPr>
          <w:p w14:paraId="41FB31F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По аналогия на очакваните въздействия върху климата.</w:t>
            </w:r>
          </w:p>
        </w:tc>
      </w:tr>
      <w:tr w:rsidR="00F36E29" w:rsidRPr="009F6D1E" w14:paraId="7BA56A27" w14:textId="77777777" w:rsidTr="00AB2292">
        <w:trPr>
          <w:trHeight w:val="318"/>
        </w:trPr>
        <w:tc>
          <w:tcPr>
            <w:tcW w:w="1838" w:type="dxa"/>
            <w:shd w:val="clear" w:color="auto" w:fill="auto"/>
          </w:tcPr>
          <w:p w14:paraId="61E27DF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Повърхностни води</w:t>
            </w:r>
          </w:p>
          <w:p w14:paraId="4906A566"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Подземни води</w:t>
            </w:r>
          </w:p>
          <w:p w14:paraId="1F0416E5"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Зони за защита на водите</w:t>
            </w:r>
          </w:p>
          <w:p w14:paraId="7AEF04B0"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Риск от наводнения</w:t>
            </w:r>
          </w:p>
        </w:tc>
        <w:tc>
          <w:tcPr>
            <w:tcW w:w="4253" w:type="dxa"/>
            <w:shd w:val="clear" w:color="auto" w:fill="auto"/>
          </w:tcPr>
          <w:p w14:paraId="3E93C84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c>
          <w:tcPr>
            <w:tcW w:w="3969" w:type="dxa"/>
          </w:tcPr>
          <w:p w14:paraId="46780F4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c>
          <w:tcPr>
            <w:tcW w:w="3969" w:type="dxa"/>
          </w:tcPr>
          <w:p w14:paraId="06EE364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cs="Times New Roman"/>
                <w:sz w:val="18"/>
                <w:szCs w:val="18"/>
              </w:rPr>
              <w:t>Не се очаква въздействие.</w:t>
            </w:r>
          </w:p>
        </w:tc>
      </w:tr>
      <w:tr w:rsidR="00F36E29" w:rsidRPr="009F6D1E" w14:paraId="68D80856" w14:textId="77777777" w:rsidTr="00AB2292">
        <w:trPr>
          <w:trHeight w:val="318"/>
        </w:trPr>
        <w:tc>
          <w:tcPr>
            <w:tcW w:w="1838" w:type="dxa"/>
            <w:shd w:val="clear" w:color="auto" w:fill="auto"/>
          </w:tcPr>
          <w:p w14:paraId="13E65FFE"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lastRenderedPageBreak/>
              <w:t>Земни недра</w:t>
            </w:r>
          </w:p>
        </w:tc>
        <w:tc>
          <w:tcPr>
            <w:tcW w:w="4253" w:type="dxa"/>
            <w:shd w:val="clear" w:color="auto" w:fill="auto"/>
          </w:tcPr>
          <w:p w14:paraId="07FD56A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shd w:val="clear" w:color="auto" w:fill="auto"/>
          </w:tcPr>
          <w:p w14:paraId="1CF16A0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shd w:val="clear" w:color="auto" w:fill="auto"/>
          </w:tcPr>
          <w:p w14:paraId="747C8A7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0311354B" w14:textId="77777777" w:rsidTr="00AB2292">
        <w:trPr>
          <w:trHeight w:val="318"/>
        </w:trPr>
        <w:tc>
          <w:tcPr>
            <w:tcW w:w="1838" w:type="dxa"/>
            <w:shd w:val="clear" w:color="auto" w:fill="auto"/>
          </w:tcPr>
          <w:p w14:paraId="42C4ABAD"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Почви</w:t>
            </w:r>
          </w:p>
          <w:p w14:paraId="0DFADCEC" w14:textId="77777777" w:rsidR="00F36E29" w:rsidRPr="009F6D1E" w:rsidRDefault="00F36E29" w:rsidP="0084747F">
            <w:pPr>
              <w:spacing w:after="60" w:line="264" w:lineRule="auto"/>
              <w:jc w:val="both"/>
              <w:rPr>
                <w:rFonts w:cs="Times New Roman"/>
                <w:b/>
                <w:sz w:val="18"/>
                <w:szCs w:val="18"/>
              </w:rPr>
            </w:pPr>
            <w:proofErr w:type="spellStart"/>
            <w:r w:rsidRPr="009F6D1E">
              <w:rPr>
                <w:rFonts w:cs="Times New Roman"/>
                <w:b/>
                <w:bCs/>
                <w:sz w:val="18"/>
                <w:szCs w:val="18"/>
              </w:rPr>
              <w:t>Земеползване</w:t>
            </w:r>
            <w:proofErr w:type="spellEnd"/>
          </w:p>
        </w:tc>
        <w:tc>
          <w:tcPr>
            <w:tcW w:w="4253" w:type="dxa"/>
            <w:shd w:val="clear" w:color="auto" w:fill="auto"/>
          </w:tcPr>
          <w:p w14:paraId="6BFA11B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73876EDA"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2DB4905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1368EAF2" w14:textId="77777777" w:rsidTr="00AB2292">
        <w:trPr>
          <w:trHeight w:val="1378"/>
        </w:trPr>
        <w:tc>
          <w:tcPr>
            <w:tcW w:w="1838" w:type="dxa"/>
            <w:shd w:val="clear" w:color="auto" w:fill="auto"/>
          </w:tcPr>
          <w:p w14:paraId="463624C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Биоразнообразие</w:t>
            </w:r>
          </w:p>
          <w:p w14:paraId="262D0E42"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Горски територии</w:t>
            </w:r>
          </w:p>
          <w:p w14:paraId="2988B40C"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ЗТ</w:t>
            </w:r>
          </w:p>
        </w:tc>
        <w:tc>
          <w:tcPr>
            <w:tcW w:w="4253" w:type="dxa"/>
            <w:shd w:val="clear" w:color="auto" w:fill="auto"/>
          </w:tcPr>
          <w:p w14:paraId="7C70016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отрицателно въздействие</w:t>
            </w:r>
          </w:p>
        </w:tc>
        <w:tc>
          <w:tcPr>
            <w:tcW w:w="3969" w:type="dxa"/>
            <w:shd w:val="clear" w:color="auto" w:fill="auto"/>
          </w:tcPr>
          <w:p w14:paraId="6FF3C75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Инвестиции за неселскостопански  дейности в селските райони се подпомагат ако са преминали процедура по ОВОС/ЕО/ОСВ. Това ще гарантира липсата на значително отрицателно въздействие върху биоразнообразието, горите и ЗТ. </w:t>
            </w:r>
          </w:p>
          <w:p w14:paraId="7632D0C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отрицателно</w:t>
            </w:r>
          </w:p>
          <w:p w14:paraId="16807ED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краткосрочно, дългосрочно </w:t>
            </w:r>
          </w:p>
          <w:p w14:paraId="5A8E02F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w:t>
            </w:r>
          </w:p>
        </w:tc>
        <w:tc>
          <w:tcPr>
            <w:tcW w:w="3969" w:type="dxa"/>
          </w:tcPr>
          <w:p w14:paraId="1515E02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Инвестиции за неселскостопански  дейности в селските райони се подпомагат ако са преминали процедура по ОВОС/ЕО/ОСВ. Това ще гарантира липсата на значително отрицателно въздействие върху биоразнообразието, горите и ЗТ. </w:t>
            </w:r>
          </w:p>
          <w:p w14:paraId="0344369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Тип на въздействието: индиректно, отрицателно</w:t>
            </w:r>
          </w:p>
          <w:p w14:paraId="6AF02310"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Продължителност на въздействието: краткосрочно, дългосрочно </w:t>
            </w:r>
          </w:p>
          <w:p w14:paraId="197E0A96"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Обхват на въздействието: локален</w:t>
            </w:r>
          </w:p>
        </w:tc>
      </w:tr>
      <w:tr w:rsidR="00F36E29" w:rsidRPr="009F6D1E" w14:paraId="707CB3EA" w14:textId="77777777" w:rsidTr="00AB2292">
        <w:trPr>
          <w:trHeight w:val="318"/>
        </w:trPr>
        <w:tc>
          <w:tcPr>
            <w:tcW w:w="1838" w:type="dxa"/>
            <w:shd w:val="clear" w:color="auto" w:fill="auto"/>
          </w:tcPr>
          <w:p w14:paraId="3B0A0035" w14:textId="77777777" w:rsidR="00F36E29" w:rsidRPr="009F6D1E" w:rsidRDefault="00F36E29" w:rsidP="0084747F">
            <w:pPr>
              <w:spacing w:after="60" w:line="264" w:lineRule="auto"/>
              <w:jc w:val="both"/>
              <w:rPr>
                <w:rFonts w:cs="Times New Roman"/>
                <w:b/>
                <w:sz w:val="18"/>
                <w:szCs w:val="18"/>
                <w:highlight w:val="yellow"/>
              </w:rPr>
            </w:pPr>
            <w:r w:rsidRPr="009F6D1E">
              <w:rPr>
                <w:rFonts w:cs="Times New Roman"/>
                <w:b/>
                <w:bCs/>
                <w:sz w:val="18"/>
                <w:szCs w:val="18"/>
              </w:rPr>
              <w:t xml:space="preserve">Ландшафт </w:t>
            </w:r>
          </w:p>
        </w:tc>
        <w:tc>
          <w:tcPr>
            <w:tcW w:w="4253" w:type="dxa"/>
            <w:shd w:val="clear" w:color="auto" w:fill="auto"/>
          </w:tcPr>
          <w:p w14:paraId="09B6D73C"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shd w:val="clear" w:color="auto" w:fill="auto"/>
          </w:tcPr>
          <w:p w14:paraId="466BD47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31C1BD02"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r>
      <w:tr w:rsidR="00F36E29" w:rsidRPr="009F6D1E" w14:paraId="2510E3DD" w14:textId="77777777" w:rsidTr="00AB2292">
        <w:trPr>
          <w:trHeight w:val="318"/>
        </w:trPr>
        <w:tc>
          <w:tcPr>
            <w:tcW w:w="1838" w:type="dxa"/>
            <w:shd w:val="clear" w:color="auto" w:fill="auto"/>
          </w:tcPr>
          <w:p w14:paraId="7B0F0F11"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Материални активи</w:t>
            </w:r>
          </w:p>
        </w:tc>
        <w:tc>
          <w:tcPr>
            <w:tcW w:w="4253" w:type="dxa"/>
            <w:shd w:val="clear" w:color="auto" w:fill="auto"/>
          </w:tcPr>
          <w:p w14:paraId="0BC1F125"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2A4CD68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 xml:space="preserve">Очаква се пряко и положително въздействие върху материалните активи в района, резултат от предоставяне на подкрепа за инвестиции за развитие на икономически дейности, което ще спомогне стопанствата в България да се диверсифицират към други неземеделски </w:t>
            </w:r>
            <w:r w:rsidRPr="009F6D1E">
              <w:rPr>
                <w:rFonts w:eastAsia="Tahoma" w:cs="Times New Roman"/>
                <w:sz w:val="18"/>
                <w:szCs w:val="18"/>
                <w:lang w:eastAsia="zh-CN"/>
              </w:rPr>
              <w:lastRenderedPageBreak/>
              <w:t>дейности и да минимизират риска от нестабилност на доходите.</w:t>
            </w:r>
          </w:p>
        </w:tc>
        <w:tc>
          <w:tcPr>
            <w:tcW w:w="3969" w:type="dxa"/>
          </w:tcPr>
          <w:p w14:paraId="60CFF5A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lastRenderedPageBreak/>
              <w:t>Очаква се пряко и положително въздействие върху материалните активи в района, резултат от инвестиции за въвеждане на нови технологии и цифровизация на бизнес процесите.</w:t>
            </w:r>
          </w:p>
        </w:tc>
      </w:tr>
      <w:tr w:rsidR="00F36E29" w:rsidRPr="009F6D1E" w14:paraId="405C57C4" w14:textId="77777777" w:rsidTr="00AB2292">
        <w:trPr>
          <w:trHeight w:val="318"/>
        </w:trPr>
        <w:tc>
          <w:tcPr>
            <w:tcW w:w="1838" w:type="dxa"/>
            <w:shd w:val="clear" w:color="auto" w:fill="auto"/>
          </w:tcPr>
          <w:p w14:paraId="14024BFC"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Културно-историческо наследство</w:t>
            </w:r>
          </w:p>
        </w:tc>
        <w:tc>
          <w:tcPr>
            <w:tcW w:w="4253" w:type="dxa"/>
            <w:shd w:val="clear" w:color="auto" w:fill="auto"/>
          </w:tcPr>
          <w:p w14:paraId="3729CCF4" w14:textId="77777777" w:rsidR="00F36E29" w:rsidRPr="009F6D1E" w:rsidRDefault="00F36E29" w:rsidP="0084747F">
            <w:pPr>
              <w:spacing w:after="60" w:line="264" w:lineRule="auto"/>
              <w:rPr>
                <w:rFonts w:cs="Times New Roman"/>
                <w:sz w:val="18"/>
                <w:szCs w:val="18"/>
              </w:rPr>
            </w:pPr>
            <w:r w:rsidRPr="009F6D1E">
              <w:rPr>
                <w:rFonts w:eastAsia="Tahoma" w:cs="Times New Roman"/>
                <w:sz w:val="18"/>
                <w:szCs w:val="18"/>
                <w:lang w:eastAsia="zh-CN"/>
              </w:rPr>
              <w:t xml:space="preserve">Няма пряко отношение към </w:t>
            </w:r>
            <w:r w:rsidRPr="009F6D1E">
              <w:rPr>
                <w:rFonts w:cs="Times New Roman"/>
                <w:bCs/>
                <w:sz w:val="18"/>
                <w:szCs w:val="18"/>
              </w:rPr>
              <w:t>културно-историческо наследство.</w:t>
            </w:r>
          </w:p>
          <w:p w14:paraId="59A86E47" w14:textId="77777777" w:rsidR="00F36E29" w:rsidRPr="009F6D1E" w:rsidRDefault="00F36E29" w:rsidP="0084747F">
            <w:pPr>
              <w:spacing w:after="60" w:line="264" w:lineRule="auto"/>
              <w:jc w:val="both"/>
              <w:rPr>
                <w:rFonts w:eastAsia="Tahoma" w:cs="Times New Roman"/>
                <w:sz w:val="18"/>
                <w:szCs w:val="18"/>
                <w:lang w:eastAsia="zh-CN"/>
              </w:rPr>
            </w:pPr>
          </w:p>
        </w:tc>
        <w:tc>
          <w:tcPr>
            <w:tcW w:w="7938" w:type="dxa"/>
            <w:gridSpan w:val="2"/>
          </w:tcPr>
          <w:p w14:paraId="2D9B7821"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imes New Roman" w:cs="Times New Roman"/>
                <w:sz w:val="18"/>
                <w:szCs w:val="18"/>
                <w:lang w:eastAsia="bg-BG"/>
              </w:rPr>
              <w:t>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популяризиране на културното и природно наследство и ще има благоприятно устойчиво въздействие.</w:t>
            </w:r>
          </w:p>
        </w:tc>
      </w:tr>
      <w:tr w:rsidR="00F36E29" w:rsidRPr="009F6D1E" w14:paraId="71FBFC55" w14:textId="77777777" w:rsidTr="00AB2292">
        <w:trPr>
          <w:trHeight w:val="547"/>
        </w:trPr>
        <w:tc>
          <w:tcPr>
            <w:tcW w:w="1838" w:type="dxa"/>
            <w:shd w:val="clear" w:color="auto" w:fill="auto"/>
          </w:tcPr>
          <w:p w14:paraId="319FC283"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Вредни физични фактори</w:t>
            </w:r>
          </w:p>
        </w:tc>
        <w:tc>
          <w:tcPr>
            <w:tcW w:w="4253" w:type="dxa"/>
            <w:shd w:val="clear" w:color="auto" w:fill="auto"/>
          </w:tcPr>
          <w:p w14:paraId="58F5D9E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6AB65E18"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Аналогично с въздействието по отношение климат и КАВ.</w:t>
            </w:r>
          </w:p>
        </w:tc>
        <w:tc>
          <w:tcPr>
            <w:tcW w:w="3969" w:type="dxa"/>
          </w:tcPr>
          <w:p w14:paraId="7144A85D"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Аналогично с въздействието по отношение климат и КАВ.</w:t>
            </w:r>
          </w:p>
        </w:tc>
      </w:tr>
      <w:tr w:rsidR="00F36E29" w:rsidRPr="009F6D1E" w14:paraId="2E63C364" w14:textId="77777777" w:rsidTr="00AB2292">
        <w:trPr>
          <w:trHeight w:val="318"/>
        </w:trPr>
        <w:tc>
          <w:tcPr>
            <w:tcW w:w="1838" w:type="dxa"/>
            <w:shd w:val="clear" w:color="auto" w:fill="auto"/>
          </w:tcPr>
          <w:p w14:paraId="6B0C2F27" w14:textId="77777777" w:rsidR="00F36E29" w:rsidRPr="009F6D1E" w:rsidRDefault="00F36E29" w:rsidP="0084747F">
            <w:pPr>
              <w:spacing w:after="60" w:line="264" w:lineRule="auto"/>
              <w:jc w:val="both"/>
              <w:rPr>
                <w:rFonts w:cs="Times New Roman"/>
                <w:b/>
                <w:sz w:val="18"/>
                <w:szCs w:val="18"/>
              </w:rPr>
            </w:pPr>
            <w:r w:rsidRPr="009F6D1E">
              <w:rPr>
                <w:rFonts w:cs="Times New Roman"/>
                <w:b/>
                <w:bCs/>
                <w:sz w:val="18"/>
                <w:szCs w:val="18"/>
              </w:rPr>
              <w:t xml:space="preserve">Отпадъци </w:t>
            </w:r>
          </w:p>
        </w:tc>
        <w:tc>
          <w:tcPr>
            <w:tcW w:w="4253" w:type="dxa"/>
            <w:shd w:val="clear" w:color="auto" w:fill="auto"/>
          </w:tcPr>
          <w:p w14:paraId="4D79E91F"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Не се очаква въздействие</w:t>
            </w:r>
          </w:p>
        </w:tc>
        <w:tc>
          <w:tcPr>
            <w:tcW w:w="3969" w:type="dxa"/>
          </w:tcPr>
          <w:p w14:paraId="58F13123"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Очаква се да се повиши количеството и вида образувани отпадъци, като правилното им третиране при спазване на действащата в страната нормативна уредба, няма да доведе до това същите да окажат отрицателно въздействие върху компонентите на околната среда.</w:t>
            </w:r>
          </w:p>
        </w:tc>
        <w:tc>
          <w:tcPr>
            <w:tcW w:w="3969" w:type="dxa"/>
          </w:tcPr>
          <w:p w14:paraId="37F6F49E"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От една страна се очаква да се повиши количеството и вида образувани отпадъци, като правилното им третиране при спазване на действащата в страната нормативна уредба, няма да доведе до това същите да окажат отрицателно въздействие върху компонентите на околната среда.</w:t>
            </w:r>
          </w:p>
          <w:p w14:paraId="18131044" w14:textId="77777777" w:rsidR="00F36E29" w:rsidRPr="009F6D1E" w:rsidRDefault="00F36E29" w:rsidP="0084747F">
            <w:pPr>
              <w:spacing w:after="60" w:line="264" w:lineRule="auto"/>
              <w:jc w:val="both"/>
              <w:rPr>
                <w:rFonts w:eastAsia="Tahoma" w:cs="Times New Roman"/>
                <w:sz w:val="18"/>
                <w:szCs w:val="18"/>
                <w:lang w:eastAsia="zh-CN"/>
              </w:rPr>
            </w:pPr>
            <w:r w:rsidRPr="009F6D1E">
              <w:rPr>
                <w:rFonts w:eastAsia="Tahoma" w:cs="Times New Roman"/>
                <w:sz w:val="18"/>
                <w:szCs w:val="18"/>
                <w:lang w:eastAsia="zh-CN"/>
              </w:rPr>
              <w:t>От друга страна с инвестиции за въвеждане на нови технологии се очаква да се повлияе положително и пряко, като се доведе до намаляване на образуваните отпадъци.</w:t>
            </w:r>
          </w:p>
        </w:tc>
      </w:tr>
      <w:tr w:rsidR="00F36E29" w:rsidRPr="009F6D1E" w14:paraId="1656999A" w14:textId="77777777" w:rsidTr="00AB2292">
        <w:tc>
          <w:tcPr>
            <w:tcW w:w="1838" w:type="dxa"/>
            <w:shd w:val="clear" w:color="auto" w:fill="auto"/>
          </w:tcPr>
          <w:p w14:paraId="444BA021"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lastRenderedPageBreak/>
              <w:t>Опасни химични вещества и риск от големи аварии</w:t>
            </w:r>
          </w:p>
        </w:tc>
        <w:tc>
          <w:tcPr>
            <w:tcW w:w="4253" w:type="dxa"/>
            <w:shd w:val="clear" w:color="auto" w:fill="auto"/>
          </w:tcPr>
          <w:p w14:paraId="244AF2CC"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Не се очаква въздействие</w:t>
            </w:r>
          </w:p>
        </w:tc>
        <w:tc>
          <w:tcPr>
            <w:tcW w:w="3969" w:type="dxa"/>
          </w:tcPr>
          <w:p w14:paraId="6A5149A8"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Не се очаква въздействие</w:t>
            </w:r>
          </w:p>
        </w:tc>
        <w:tc>
          <w:tcPr>
            <w:tcW w:w="3969" w:type="dxa"/>
          </w:tcPr>
          <w:p w14:paraId="4B83B229"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Не се очаква въздействие</w:t>
            </w:r>
          </w:p>
        </w:tc>
      </w:tr>
      <w:tr w:rsidR="00F36E29" w:rsidRPr="009F6D1E" w14:paraId="2CBF9670" w14:textId="77777777" w:rsidTr="00AB2292">
        <w:tc>
          <w:tcPr>
            <w:tcW w:w="1838" w:type="dxa"/>
            <w:shd w:val="clear" w:color="auto" w:fill="auto"/>
          </w:tcPr>
          <w:p w14:paraId="134F6018"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 xml:space="preserve">Население </w:t>
            </w:r>
          </w:p>
          <w:p w14:paraId="67264691" w14:textId="77777777" w:rsidR="00F36E29" w:rsidRPr="009F6D1E" w:rsidRDefault="00F36E29" w:rsidP="0084747F">
            <w:pPr>
              <w:spacing w:after="60" w:line="264" w:lineRule="auto"/>
              <w:jc w:val="both"/>
              <w:rPr>
                <w:rFonts w:cs="Times New Roman"/>
                <w:b/>
                <w:bCs/>
                <w:sz w:val="18"/>
                <w:szCs w:val="18"/>
              </w:rPr>
            </w:pPr>
            <w:r w:rsidRPr="009F6D1E">
              <w:rPr>
                <w:rFonts w:cs="Times New Roman"/>
                <w:b/>
                <w:bCs/>
                <w:sz w:val="18"/>
                <w:szCs w:val="18"/>
              </w:rPr>
              <w:t>Човешко здраве</w:t>
            </w:r>
          </w:p>
          <w:p w14:paraId="426E1E50" w14:textId="77777777" w:rsidR="00F36E29" w:rsidRPr="009F6D1E" w:rsidRDefault="00F36E29" w:rsidP="0084747F">
            <w:pPr>
              <w:spacing w:after="60" w:line="264" w:lineRule="auto"/>
              <w:jc w:val="both"/>
              <w:rPr>
                <w:rFonts w:cs="Times New Roman"/>
                <w:sz w:val="18"/>
                <w:szCs w:val="18"/>
              </w:rPr>
            </w:pPr>
            <w:r w:rsidRPr="009F6D1E">
              <w:rPr>
                <w:rFonts w:cs="Times New Roman"/>
                <w:b/>
                <w:bCs/>
                <w:sz w:val="18"/>
                <w:szCs w:val="18"/>
              </w:rPr>
              <w:t>Риск от инциденти</w:t>
            </w:r>
          </w:p>
        </w:tc>
        <w:tc>
          <w:tcPr>
            <w:tcW w:w="4253" w:type="dxa"/>
            <w:shd w:val="clear" w:color="auto" w:fill="auto"/>
          </w:tcPr>
          <w:p w14:paraId="158DC3A6"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Очаква се пряко положително въздействие, най-вече като резултат от подобряване на социално-икономическата среда. Това ще доведе до индиректно положително въздействие върху здравето на населението.</w:t>
            </w:r>
          </w:p>
        </w:tc>
        <w:tc>
          <w:tcPr>
            <w:tcW w:w="3969" w:type="dxa"/>
          </w:tcPr>
          <w:p w14:paraId="7A976FF2"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Пряко и положително въздействие, като резултат от подобряване на социално-икономическата среда и условията на живот на хората. Положително въздействие върху здравето на населението.</w:t>
            </w:r>
          </w:p>
        </w:tc>
        <w:tc>
          <w:tcPr>
            <w:tcW w:w="3969" w:type="dxa"/>
          </w:tcPr>
          <w:p w14:paraId="1EAEA368" w14:textId="77777777" w:rsidR="00F36E29" w:rsidRPr="009F6D1E" w:rsidRDefault="00F36E29" w:rsidP="0084747F">
            <w:pPr>
              <w:spacing w:after="60" w:line="264" w:lineRule="auto"/>
              <w:jc w:val="both"/>
              <w:rPr>
                <w:rFonts w:cs="Times New Roman"/>
                <w:sz w:val="18"/>
                <w:szCs w:val="18"/>
              </w:rPr>
            </w:pPr>
            <w:r w:rsidRPr="009F6D1E">
              <w:rPr>
                <w:rFonts w:eastAsia="Tahoma" w:cs="Times New Roman"/>
                <w:sz w:val="18"/>
                <w:szCs w:val="18"/>
                <w:lang w:eastAsia="zh-CN"/>
              </w:rPr>
              <w:t>Положително въздействие, като резултат от подобряване на социално-икономическата среда и условията на живот на хората. Положително въздействие върху здравето на населението.</w:t>
            </w:r>
          </w:p>
        </w:tc>
      </w:tr>
    </w:tbl>
    <w:p w14:paraId="4CFB0F5E" w14:textId="77777777" w:rsidR="00F36E29" w:rsidRPr="009F6D1E" w:rsidRDefault="00F36E29" w:rsidP="0084747F">
      <w:pPr>
        <w:pStyle w:val="ListParagraph"/>
        <w:spacing w:after="60" w:line="264" w:lineRule="auto"/>
        <w:ind w:left="0"/>
        <w:jc w:val="both"/>
        <w:rPr>
          <w:rFonts w:eastAsia="Times New Roman"/>
          <w:b/>
          <w:bCs/>
          <w:i/>
          <w:iCs/>
          <w:sz w:val="18"/>
          <w:szCs w:val="18"/>
          <w:lang w:val="bg-BG"/>
        </w:rPr>
      </w:pPr>
      <w:bookmarkStart w:id="614" w:name="_Hlk96697563"/>
    </w:p>
    <w:p w14:paraId="56896A54" w14:textId="77777777" w:rsidR="00F36E29" w:rsidRPr="009F6D1E" w:rsidRDefault="00F36E29" w:rsidP="0084747F">
      <w:pPr>
        <w:pStyle w:val="ListParagraph"/>
        <w:spacing w:after="60" w:line="264" w:lineRule="auto"/>
        <w:ind w:left="0"/>
        <w:jc w:val="both"/>
        <w:rPr>
          <w:rFonts w:eastAsia="Times New Roman"/>
          <w:b/>
          <w:bCs/>
          <w:i/>
          <w:iCs/>
          <w:lang w:val="bg-BG"/>
        </w:rPr>
      </w:pPr>
    </w:p>
    <w:p w14:paraId="70C108E8" w14:textId="77777777" w:rsidR="00F36E29" w:rsidRPr="009F6D1E" w:rsidRDefault="00F36E29" w:rsidP="0084747F">
      <w:pPr>
        <w:pStyle w:val="ListParagraph"/>
        <w:spacing w:after="60" w:line="264" w:lineRule="auto"/>
        <w:ind w:left="0"/>
        <w:jc w:val="both"/>
        <w:rPr>
          <w:rFonts w:eastAsia="Times New Roman"/>
          <w:b/>
          <w:bCs/>
          <w:i/>
          <w:iCs/>
          <w:lang w:val="bg-BG"/>
        </w:rPr>
      </w:pPr>
    </w:p>
    <w:p w14:paraId="387F97CE" w14:textId="77777777" w:rsidR="00F36E29" w:rsidRPr="009F6D1E" w:rsidRDefault="00F36E29" w:rsidP="0084747F">
      <w:pPr>
        <w:pStyle w:val="ListParagraph"/>
        <w:spacing w:after="60" w:line="264" w:lineRule="auto"/>
        <w:ind w:left="0"/>
        <w:jc w:val="both"/>
        <w:rPr>
          <w:rFonts w:eastAsia="Times New Roman"/>
          <w:b/>
          <w:bCs/>
          <w:i/>
          <w:iCs/>
          <w:lang w:val="bg-BG"/>
        </w:rPr>
      </w:pPr>
    </w:p>
    <w:p w14:paraId="11EF867E"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15" w:name="_Toc115255043"/>
      <w:r w:rsidRPr="009F6D1E">
        <w:rPr>
          <w:rFonts w:eastAsia="Times New Roman"/>
        </w:rPr>
        <w:lastRenderedPageBreak/>
        <w:t>Потребности/Интервенции, обект на подкрепа по Специфична цел №8</w:t>
      </w:r>
      <w:bookmarkEnd w:id="615"/>
      <w:r w:rsidRPr="009F6D1E">
        <w:rPr>
          <w:rFonts w:eastAsia="Times New Roman"/>
        </w:rPr>
        <w:t xml:space="preserve"> </w:t>
      </w: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4279"/>
        <w:gridCol w:w="3969"/>
        <w:gridCol w:w="3969"/>
      </w:tblGrid>
      <w:tr w:rsidR="00F36E29" w:rsidRPr="009F6D1E" w14:paraId="1951AF1F" w14:textId="77777777" w:rsidTr="00AB2292">
        <w:trPr>
          <w:tblHeader/>
        </w:trPr>
        <w:tc>
          <w:tcPr>
            <w:tcW w:w="1812" w:type="dxa"/>
            <w:vMerge w:val="restart"/>
            <w:shd w:val="clear" w:color="auto" w:fill="D9D9D9" w:themeFill="background1" w:themeFillShade="D9"/>
            <w:vAlign w:val="center"/>
          </w:tcPr>
          <w:p w14:paraId="2D073C48" w14:textId="77777777" w:rsidR="00F36E29" w:rsidRPr="009F6D1E" w:rsidRDefault="00F36E29" w:rsidP="0084747F">
            <w:pPr>
              <w:spacing w:after="60" w:line="264" w:lineRule="auto"/>
              <w:jc w:val="center"/>
              <w:rPr>
                <w:rFonts w:cs="Times New Roman"/>
                <w:b/>
                <w:bCs/>
                <w:i/>
                <w:sz w:val="20"/>
                <w:szCs w:val="20"/>
              </w:rPr>
            </w:pPr>
            <w:bookmarkStart w:id="616" w:name="_Hlk96697619"/>
            <w:bookmarkEnd w:id="614"/>
            <w:r w:rsidRPr="009F6D1E">
              <w:rPr>
                <w:rFonts w:cs="Times New Roman"/>
                <w:b/>
                <w:bCs/>
                <w:sz w:val="20"/>
                <w:szCs w:val="20"/>
              </w:rPr>
              <w:t>Компонент/ Фактор на околната среда</w:t>
            </w:r>
          </w:p>
        </w:tc>
        <w:tc>
          <w:tcPr>
            <w:tcW w:w="4279" w:type="dxa"/>
            <w:shd w:val="clear" w:color="auto" w:fill="D9D9D9" w:themeFill="background1" w:themeFillShade="D9"/>
          </w:tcPr>
          <w:p w14:paraId="09A06BF4"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П.8.1. Диверсификация на икономическата дейност. Стимулиране на нови производства в областта на биоикономиката и кръговата икономика</w:t>
            </w:r>
          </w:p>
          <w:p w14:paraId="6A5A224A"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EE268FF"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Инвестиции за неселскостопански  дейности  в селските райони</w:t>
            </w:r>
          </w:p>
          <w:p w14:paraId="6EE2B8A1"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Инвестиции в земеделските стопанства</w:t>
            </w:r>
          </w:p>
          <w:p w14:paraId="0AD1E8F6"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Първична преработка и маркетинг на дървесина</w:t>
            </w:r>
          </w:p>
        </w:tc>
        <w:tc>
          <w:tcPr>
            <w:tcW w:w="3969" w:type="dxa"/>
            <w:shd w:val="clear" w:color="auto" w:fill="D9D9D9" w:themeFill="background1" w:themeFillShade="D9"/>
          </w:tcPr>
          <w:p w14:paraId="31E2CB3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П.8.2. Подобряване на здравните и социалните услуги</w:t>
            </w:r>
          </w:p>
          <w:p w14:paraId="649A7FAD"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620FE5F"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 </w:t>
            </w:r>
            <w:r w:rsidRPr="009F6D1E">
              <w:rPr>
                <w:rFonts w:cs="Times New Roman"/>
                <w:i/>
                <w:sz w:val="20"/>
                <w:szCs w:val="20"/>
              </w:rPr>
              <w:t>Инвестиции за неселскостопански дейности в селските райони</w:t>
            </w:r>
          </w:p>
        </w:tc>
        <w:tc>
          <w:tcPr>
            <w:tcW w:w="3969" w:type="dxa"/>
            <w:shd w:val="clear" w:color="auto" w:fill="D9D9D9" w:themeFill="background1" w:themeFillShade="D9"/>
            <w:vAlign w:val="center"/>
          </w:tcPr>
          <w:p w14:paraId="0ACB32E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П.8.3. Подобряване на публична инфраструктурата и технико-комуникационните системи в селските райони</w:t>
            </w:r>
          </w:p>
          <w:p w14:paraId="306D21E3"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65B9C400" w14:textId="77777777" w:rsidR="00F36E29" w:rsidRPr="009F6D1E" w:rsidRDefault="00F36E29"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Инвестиции в основни услуги и дребна по мащаби инфраструктура в селските райони</w:t>
            </w:r>
          </w:p>
          <w:p w14:paraId="22A1193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w:t>
            </w:r>
            <w:r w:rsidRPr="009F6D1E">
              <w:rPr>
                <w:rFonts w:cs="Times New Roman"/>
                <w:sz w:val="20"/>
                <w:szCs w:val="20"/>
              </w:rPr>
              <w:t xml:space="preserve"> </w:t>
            </w:r>
            <w:r w:rsidRPr="009F6D1E">
              <w:rPr>
                <w:rFonts w:cs="Times New Roman"/>
                <w:i/>
                <w:sz w:val="20"/>
                <w:szCs w:val="20"/>
              </w:rPr>
              <w:t>Прилагане на подхода ВОМР, който ще подпомага „Подобряване на обектите за развитие на традициите и на културно-историческите обекти“</w:t>
            </w:r>
          </w:p>
        </w:tc>
      </w:tr>
      <w:tr w:rsidR="00F36E29" w:rsidRPr="009F6D1E" w14:paraId="7041FC4F" w14:textId="77777777" w:rsidTr="00AB2292">
        <w:trPr>
          <w:tblHeader/>
        </w:trPr>
        <w:tc>
          <w:tcPr>
            <w:tcW w:w="1812" w:type="dxa"/>
            <w:vMerge/>
            <w:shd w:val="clear" w:color="auto" w:fill="FFF2CC" w:themeFill="accent4" w:themeFillTint="33"/>
          </w:tcPr>
          <w:p w14:paraId="6DB80510" w14:textId="77777777" w:rsidR="00F36E29" w:rsidRPr="009F6D1E" w:rsidRDefault="00F36E29" w:rsidP="0084747F">
            <w:pPr>
              <w:spacing w:after="60" w:line="264" w:lineRule="auto"/>
              <w:jc w:val="center"/>
              <w:rPr>
                <w:rFonts w:cs="Times New Roman"/>
                <w:b/>
                <w:bCs/>
                <w:sz w:val="20"/>
                <w:szCs w:val="20"/>
              </w:rPr>
            </w:pPr>
          </w:p>
        </w:tc>
        <w:tc>
          <w:tcPr>
            <w:tcW w:w="12217" w:type="dxa"/>
            <w:gridSpan w:val="3"/>
            <w:shd w:val="clear" w:color="auto" w:fill="FFF2CC" w:themeFill="accent4" w:themeFillTint="33"/>
          </w:tcPr>
          <w:p w14:paraId="47A7179F"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203522E6" w14:textId="77777777" w:rsidTr="00AB2292">
        <w:trPr>
          <w:trHeight w:val="318"/>
        </w:trPr>
        <w:tc>
          <w:tcPr>
            <w:tcW w:w="1812" w:type="dxa"/>
            <w:shd w:val="clear" w:color="auto" w:fill="auto"/>
          </w:tcPr>
          <w:p w14:paraId="2E7962D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01D129E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50401518"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279" w:type="dxa"/>
            <w:shd w:val="clear" w:color="auto" w:fill="auto"/>
          </w:tcPr>
          <w:p w14:paraId="457625B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Очаква се пряко въздействие в районите на прилагане на мярката. При спазването на нормативните изисквания на национално и европейко ниво, както и прилагането на НДНТ в хода на изграждане на определени обекти не се очаква въздействията върху климата да са с отрицателен характер.</w:t>
            </w:r>
            <w:r w:rsidRPr="009F6D1E">
              <w:rPr>
                <w:rFonts w:eastAsia="Tahoma" w:cs="Times New Roman"/>
                <w:sz w:val="20"/>
                <w:szCs w:val="20"/>
                <w:highlight w:val="yellow"/>
                <w:lang w:eastAsia="zh-CN"/>
              </w:rPr>
              <w:t xml:space="preserve"> </w:t>
            </w:r>
          </w:p>
        </w:tc>
        <w:tc>
          <w:tcPr>
            <w:tcW w:w="3969" w:type="dxa"/>
          </w:tcPr>
          <w:p w14:paraId="6090DE5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969" w:type="dxa"/>
          </w:tcPr>
          <w:p w14:paraId="30AE0CF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Косвено положително въздействие, свързано с подобряване на публична инфраструктурата и технико-комуникационните системи в селските райони в селските райони, което от своя страна индиректно би могло да доведе до намаляване емисиите на парникови газов. </w:t>
            </w:r>
          </w:p>
        </w:tc>
      </w:tr>
      <w:tr w:rsidR="00F36E29" w:rsidRPr="009F6D1E" w14:paraId="672253D3" w14:textId="77777777" w:rsidTr="00AB2292">
        <w:trPr>
          <w:trHeight w:val="318"/>
        </w:trPr>
        <w:tc>
          <w:tcPr>
            <w:tcW w:w="1812" w:type="dxa"/>
            <w:shd w:val="clear" w:color="auto" w:fill="auto"/>
          </w:tcPr>
          <w:p w14:paraId="318894FE"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279" w:type="dxa"/>
            <w:shd w:val="clear" w:color="auto" w:fill="auto"/>
          </w:tcPr>
          <w:p w14:paraId="5FC89A0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Аналогично на въздействието върху климата.</w:t>
            </w:r>
          </w:p>
        </w:tc>
        <w:tc>
          <w:tcPr>
            <w:tcW w:w="3969" w:type="dxa"/>
          </w:tcPr>
          <w:p w14:paraId="2DCA02D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969" w:type="dxa"/>
          </w:tcPr>
          <w:p w14:paraId="39DCCFF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Аналогично на въздействието върху климата.</w:t>
            </w:r>
          </w:p>
        </w:tc>
      </w:tr>
      <w:tr w:rsidR="00F36E29" w:rsidRPr="009F6D1E" w14:paraId="17BC3384" w14:textId="77777777" w:rsidTr="00AB2292">
        <w:trPr>
          <w:trHeight w:val="318"/>
        </w:trPr>
        <w:tc>
          <w:tcPr>
            <w:tcW w:w="1812" w:type="dxa"/>
            <w:shd w:val="clear" w:color="auto" w:fill="auto"/>
          </w:tcPr>
          <w:p w14:paraId="2AF6A87C"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53AA66ED"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4B3B6FAF"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Зони за защита на водите</w:t>
            </w:r>
          </w:p>
          <w:p w14:paraId="42386165"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279" w:type="dxa"/>
            <w:shd w:val="clear" w:color="auto" w:fill="auto"/>
          </w:tcPr>
          <w:p w14:paraId="07FD2AD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w:t>
            </w:r>
          </w:p>
        </w:tc>
        <w:tc>
          <w:tcPr>
            <w:tcW w:w="3969" w:type="dxa"/>
          </w:tcPr>
          <w:p w14:paraId="1661816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3969" w:type="dxa"/>
          </w:tcPr>
          <w:p w14:paraId="35AF0E1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r>
      <w:tr w:rsidR="00F36E29" w:rsidRPr="009F6D1E" w14:paraId="6E01A273" w14:textId="77777777" w:rsidTr="00AB2292">
        <w:trPr>
          <w:trHeight w:val="318"/>
        </w:trPr>
        <w:tc>
          <w:tcPr>
            <w:tcW w:w="1812" w:type="dxa"/>
            <w:shd w:val="clear" w:color="auto" w:fill="auto"/>
          </w:tcPr>
          <w:p w14:paraId="2A111A68"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Земни недра</w:t>
            </w:r>
          </w:p>
        </w:tc>
        <w:tc>
          <w:tcPr>
            <w:tcW w:w="4279" w:type="dxa"/>
            <w:shd w:val="clear" w:color="auto" w:fill="auto"/>
          </w:tcPr>
          <w:p w14:paraId="6D2EDE3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3A11084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3A7678B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281B7A37" w14:textId="77777777" w:rsidTr="00AB2292">
        <w:trPr>
          <w:trHeight w:val="318"/>
        </w:trPr>
        <w:tc>
          <w:tcPr>
            <w:tcW w:w="1812" w:type="dxa"/>
            <w:shd w:val="clear" w:color="auto" w:fill="auto"/>
          </w:tcPr>
          <w:p w14:paraId="4FC208C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61D826B1"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279" w:type="dxa"/>
            <w:shd w:val="clear" w:color="auto" w:fill="auto"/>
          </w:tcPr>
          <w:p w14:paraId="3C51311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11D407B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0E387CE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6ABD30F3" w14:textId="77777777" w:rsidTr="00AB2292">
        <w:trPr>
          <w:trHeight w:val="778"/>
        </w:trPr>
        <w:tc>
          <w:tcPr>
            <w:tcW w:w="1812" w:type="dxa"/>
            <w:shd w:val="clear" w:color="auto" w:fill="auto"/>
          </w:tcPr>
          <w:p w14:paraId="412C457B" w14:textId="77777777" w:rsidR="00F36E29" w:rsidRPr="009F6D1E" w:rsidRDefault="00F36E29" w:rsidP="0084747F">
            <w:pPr>
              <w:spacing w:after="60" w:line="264" w:lineRule="auto"/>
              <w:jc w:val="both"/>
              <w:rPr>
                <w:rFonts w:cs="Times New Roman"/>
                <w:b/>
                <w:sz w:val="20"/>
                <w:szCs w:val="20"/>
              </w:rPr>
            </w:pPr>
            <w:r w:rsidRPr="009F6D1E">
              <w:rPr>
                <w:rFonts w:cs="Times New Roman"/>
                <w:b/>
                <w:sz w:val="20"/>
                <w:szCs w:val="20"/>
              </w:rPr>
              <w:t>Биоразнообразие</w:t>
            </w:r>
          </w:p>
          <w:p w14:paraId="5A724DAF" w14:textId="77777777" w:rsidR="00F36E29" w:rsidRPr="009F6D1E" w:rsidRDefault="00F36E29" w:rsidP="0084747F">
            <w:pPr>
              <w:spacing w:after="60" w:line="264" w:lineRule="auto"/>
              <w:jc w:val="both"/>
              <w:rPr>
                <w:rFonts w:cs="Times New Roman"/>
                <w:b/>
                <w:sz w:val="20"/>
                <w:szCs w:val="20"/>
              </w:rPr>
            </w:pPr>
            <w:r w:rsidRPr="009F6D1E">
              <w:rPr>
                <w:rFonts w:cs="Times New Roman"/>
                <w:b/>
                <w:sz w:val="20"/>
                <w:szCs w:val="20"/>
              </w:rPr>
              <w:t>Горски територии</w:t>
            </w:r>
          </w:p>
          <w:p w14:paraId="6E1B0FC8"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sz w:val="20"/>
                <w:szCs w:val="20"/>
              </w:rPr>
              <w:t>ЗТ</w:t>
            </w:r>
          </w:p>
        </w:tc>
        <w:tc>
          <w:tcPr>
            <w:tcW w:w="4279" w:type="dxa"/>
            <w:shd w:val="clear" w:color="auto" w:fill="auto"/>
          </w:tcPr>
          <w:p w14:paraId="1F396A5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Инвестициите се подпомагат ако са преминали процедура по ОВОС/ЕО/ОСВ. Това ще гарантира липсата на значително отрицателно въздействие върху биоразнообразието, горите и ЗТ. </w:t>
            </w:r>
          </w:p>
          <w:p w14:paraId="78B22B4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индиректно, отрицателно</w:t>
            </w:r>
          </w:p>
          <w:p w14:paraId="663242A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Продължителност на въздействието: краткосрочно, дългосрочно </w:t>
            </w:r>
          </w:p>
          <w:p w14:paraId="31345CE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Обхват на въздействието: локален</w:t>
            </w:r>
          </w:p>
        </w:tc>
        <w:tc>
          <w:tcPr>
            <w:tcW w:w="3969" w:type="dxa"/>
            <w:shd w:val="clear" w:color="auto" w:fill="auto"/>
          </w:tcPr>
          <w:p w14:paraId="40DC1DD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Не се очаква отрицателно въздействие</w:t>
            </w:r>
          </w:p>
        </w:tc>
        <w:tc>
          <w:tcPr>
            <w:tcW w:w="3969" w:type="dxa"/>
          </w:tcPr>
          <w:p w14:paraId="5772D0B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отрицателно въздействие</w:t>
            </w:r>
          </w:p>
        </w:tc>
      </w:tr>
      <w:tr w:rsidR="00F36E29" w:rsidRPr="009F6D1E" w14:paraId="492D9C2F" w14:textId="77777777" w:rsidTr="00AB2292">
        <w:trPr>
          <w:trHeight w:val="318"/>
        </w:trPr>
        <w:tc>
          <w:tcPr>
            <w:tcW w:w="1812" w:type="dxa"/>
            <w:shd w:val="clear" w:color="auto" w:fill="auto"/>
          </w:tcPr>
          <w:p w14:paraId="770BD6E1"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Ландшафт </w:t>
            </w:r>
          </w:p>
        </w:tc>
        <w:tc>
          <w:tcPr>
            <w:tcW w:w="4279" w:type="dxa"/>
            <w:shd w:val="clear" w:color="auto" w:fill="auto"/>
          </w:tcPr>
          <w:p w14:paraId="1C3F789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4A010BD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25304E0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465C5786" w14:textId="77777777" w:rsidTr="00AB2292">
        <w:trPr>
          <w:trHeight w:val="318"/>
        </w:trPr>
        <w:tc>
          <w:tcPr>
            <w:tcW w:w="1812" w:type="dxa"/>
            <w:shd w:val="clear" w:color="auto" w:fill="auto"/>
          </w:tcPr>
          <w:p w14:paraId="75CDA1C5"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4279" w:type="dxa"/>
            <w:shd w:val="clear" w:color="auto" w:fill="auto"/>
          </w:tcPr>
          <w:p w14:paraId="6CC3F59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Наличие на пряко положително, дългосрочно въздействие спрямо  материалните активи, предвид предвидените инвестиции.</w:t>
            </w:r>
          </w:p>
        </w:tc>
        <w:tc>
          <w:tcPr>
            <w:tcW w:w="3969" w:type="dxa"/>
          </w:tcPr>
          <w:p w14:paraId="34B1281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Наличие на пряко положително, дългосрочно въздействие спрямо  материалните активи, предвид предвидените инвестиции в областта на здравеопазването. </w:t>
            </w:r>
          </w:p>
        </w:tc>
        <w:tc>
          <w:tcPr>
            <w:tcW w:w="3969" w:type="dxa"/>
          </w:tcPr>
          <w:p w14:paraId="0B5B3DB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Наличие на пряко положително, дългосрочно въздействие спрямо  материалните активи, предвид предвидените инвестиции за подобряване на публична инфраструктура и технико-комуникационните системи.</w:t>
            </w:r>
          </w:p>
        </w:tc>
      </w:tr>
      <w:tr w:rsidR="00F36E29" w:rsidRPr="009F6D1E" w14:paraId="0F6A2AFB" w14:textId="77777777" w:rsidTr="00AB2292">
        <w:trPr>
          <w:trHeight w:val="579"/>
        </w:trPr>
        <w:tc>
          <w:tcPr>
            <w:tcW w:w="1812" w:type="dxa"/>
            <w:shd w:val="clear" w:color="auto" w:fill="auto"/>
          </w:tcPr>
          <w:p w14:paraId="5F967DAE"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4279" w:type="dxa"/>
            <w:shd w:val="clear" w:color="auto" w:fill="auto"/>
          </w:tcPr>
          <w:p w14:paraId="2B60596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imes New Roman" w:cs="Times New Roman"/>
                <w:sz w:val="20"/>
                <w:szCs w:val="20"/>
                <w:lang w:eastAsia="bg-BG"/>
              </w:rPr>
              <w:t>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w:t>
            </w:r>
            <w:r w:rsidRPr="009F6D1E">
              <w:rPr>
                <w:rFonts w:eastAsia="Times New Roman" w:cs="Times New Roman"/>
                <w:sz w:val="20"/>
                <w:szCs w:val="20"/>
                <w:lang w:eastAsia="bg-BG"/>
              </w:rPr>
              <w:lastRenderedPageBreak/>
              <w:t>ниски темпове на развитие, като в същото време ще доведе и до опазване и популяризиране на културното и природно наследство и ще има благоприятно устойчиво въздействие.</w:t>
            </w:r>
          </w:p>
        </w:tc>
        <w:tc>
          <w:tcPr>
            <w:tcW w:w="3969" w:type="dxa"/>
          </w:tcPr>
          <w:p w14:paraId="2A535C9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lastRenderedPageBreak/>
              <w:t>Не се очаква въздействие.</w:t>
            </w:r>
          </w:p>
        </w:tc>
        <w:tc>
          <w:tcPr>
            <w:tcW w:w="3969" w:type="dxa"/>
          </w:tcPr>
          <w:p w14:paraId="5B135329" w14:textId="77777777" w:rsidR="00F36E29" w:rsidRPr="009F6D1E" w:rsidRDefault="00F36E29" w:rsidP="0084747F">
            <w:pPr>
              <w:spacing w:after="60" w:line="264" w:lineRule="auto"/>
              <w:rPr>
                <w:rFonts w:eastAsia="Times New Roman" w:cs="Times New Roman"/>
                <w:sz w:val="20"/>
                <w:szCs w:val="20"/>
                <w:lang w:eastAsia="bg-BG"/>
              </w:rPr>
            </w:pPr>
            <w:r w:rsidRPr="009F6D1E">
              <w:rPr>
                <w:rFonts w:eastAsia="Times New Roman" w:cs="Times New Roman"/>
                <w:sz w:val="20"/>
                <w:szCs w:val="20"/>
                <w:lang w:eastAsia="bg-BG"/>
              </w:rPr>
              <w:t xml:space="preserve">Инвестициите в този вид инфраструктура биха имали пряко положително въздействие. Те ще позволят да се запази културната идентичност и традиции в </w:t>
            </w:r>
            <w:r w:rsidRPr="009F6D1E">
              <w:rPr>
                <w:rFonts w:eastAsia="Times New Roman" w:cs="Times New Roman"/>
                <w:sz w:val="20"/>
                <w:szCs w:val="20"/>
                <w:lang w:eastAsia="bg-BG"/>
              </w:rPr>
              <w:lastRenderedPageBreak/>
              <w:t>селските райони и да се повиши качеството на живот на хората, живеещи в тях.</w:t>
            </w:r>
          </w:p>
        </w:tc>
      </w:tr>
      <w:tr w:rsidR="00F36E29" w:rsidRPr="009F6D1E" w14:paraId="325BA965" w14:textId="77777777" w:rsidTr="00AB2292">
        <w:trPr>
          <w:trHeight w:val="822"/>
        </w:trPr>
        <w:tc>
          <w:tcPr>
            <w:tcW w:w="1812" w:type="dxa"/>
            <w:shd w:val="clear" w:color="auto" w:fill="auto"/>
          </w:tcPr>
          <w:p w14:paraId="76FFA5EA"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Вредни физични фактори</w:t>
            </w:r>
          </w:p>
        </w:tc>
        <w:tc>
          <w:tcPr>
            <w:tcW w:w="4279" w:type="dxa"/>
            <w:shd w:val="clear" w:color="auto" w:fill="auto"/>
          </w:tcPr>
          <w:p w14:paraId="488CEDD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Аналогично с очакваните въздействия по отношение факторите климат и атмосферен въздух.</w:t>
            </w:r>
          </w:p>
        </w:tc>
        <w:tc>
          <w:tcPr>
            <w:tcW w:w="3969" w:type="dxa"/>
          </w:tcPr>
          <w:p w14:paraId="618CC68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3969" w:type="dxa"/>
          </w:tcPr>
          <w:p w14:paraId="70A984E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Аналогично с очакваните въздействия по отношение факторите климат и атмосферен въздух.</w:t>
            </w:r>
          </w:p>
        </w:tc>
      </w:tr>
      <w:tr w:rsidR="00F36E29" w:rsidRPr="009F6D1E" w14:paraId="4810DFF5" w14:textId="77777777" w:rsidTr="00AB2292">
        <w:trPr>
          <w:trHeight w:val="318"/>
        </w:trPr>
        <w:tc>
          <w:tcPr>
            <w:tcW w:w="1812" w:type="dxa"/>
            <w:shd w:val="clear" w:color="auto" w:fill="auto"/>
          </w:tcPr>
          <w:p w14:paraId="017E52B3"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279" w:type="dxa"/>
            <w:shd w:val="clear" w:color="auto" w:fill="auto"/>
          </w:tcPr>
          <w:p w14:paraId="663749A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Пряко и положително въздействие върху образуваните отпадъци, дължащи се най-вече на предвиденото финансиране на дейности, свързани с оползотворяване в рамките на стопанствата и предприятията на остатъчната биомаса, получена в резултат на производствените процеси. Развитието на нови услуги и производства ще доведе до </w:t>
            </w:r>
            <w:r w:rsidRPr="009F6D1E">
              <w:rPr>
                <w:rFonts w:eastAsia="Tahoma" w:cs="Times New Roman"/>
                <w:sz w:val="20"/>
                <w:szCs w:val="20"/>
                <w:lang w:eastAsia="zh-CN"/>
              </w:rPr>
              <w:lastRenderedPageBreak/>
              <w:t>образуването на отпадъци, като правилното им третиране съгласно действащото законодателство не се очаква да окаже каквото и да е въздействие върху средата.</w:t>
            </w:r>
          </w:p>
        </w:tc>
        <w:tc>
          <w:tcPr>
            <w:tcW w:w="3969" w:type="dxa"/>
          </w:tcPr>
          <w:p w14:paraId="7212A24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lastRenderedPageBreak/>
              <w:t>Не се очаква въздействие.</w:t>
            </w:r>
          </w:p>
        </w:tc>
        <w:tc>
          <w:tcPr>
            <w:tcW w:w="3969" w:type="dxa"/>
          </w:tcPr>
          <w:p w14:paraId="4FE9669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2D61A891" w14:textId="77777777" w:rsidTr="00AB2292">
        <w:tc>
          <w:tcPr>
            <w:tcW w:w="1812" w:type="dxa"/>
            <w:shd w:val="clear" w:color="auto" w:fill="auto"/>
          </w:tcPr>
          <w:p w14:paraId="4A6C8994"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4279" w:type="dxa"/>
            <w:shd w:val="clear" w:color="auto" w:fill="auto"/>
          </w:tcPr>
          <w:p w14:paraId="40E6C8DC"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c>
          <w:tcPr>
            <w:tcW w:w="3969" w:type="dxa"/>
          </w:tcPr>
          <w:p w14:paraId="70B46E72"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c>
          <w:tcPr>
            <w:tcW w:w="3969" w:type="dxa"/>
          </w:tcPr>
          <w:p w14:paraId="54FDF30A"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r>
      <w:tr w:rsidR="00F36E29" w:rsidRPr="009F6D1E" w14:paraId="7B94A206" w14:textId="77777777" w:rsidTr="00AB2292">
        <w:tc>
          <w:tcPr>
            <w:tcW w:w="1812" w:type="dxa"/>
            <w:shd w:val="clear" w:color="auto" w:fill="auto"/>
          </w:tcPr>
          <w:p w14:paraId="168C85AA"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27F08D1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5260BBDD"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279" w:type="dxa"/>
            <w:shd w:val="clear" w:color="auto" w:fill="auto"/>
          </w:tcPr>
          <w:p w14:paraId="6413DC55"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Инвестициите са свързани с пряко положително въздействие, в резултат на подобряване на социално-икономическата  среда в засегнатите райони. Това от своя страна повлиява косвено и положително здравето и населението в района.</w:t>
            </w:r>
          </w:p>
        </w:tc>
        <w:tc>
          <w:tcPr>
            <w:tcW w:w="3969" w:type="dxa"/>
          </w:tcPr>
          <w:p w14:paraId="68F89AEB"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Осигуряването на инвестиции за бизнеса в областта на здравеопазването и социалните услуги за преодоляване на множество здравни проблеми и предизвикателства в селските райони като достъпни, качествени, здравни и социални услуги, ще доведе до преки и положителни последици върху населението и човешкото здраве.</w:t>
            </w:r>
          </w:p>
        </w:tc>
        <w:tc>
          <w:tcPr>
            <w:tcW w:w="3969" w:type="dxa"/>
          </w:tcPr>
          <w:p w14:paraId="245C14BF"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Инвестициите са свързани с пряко положително въздействие, в резултат на подобряване на о-икономическата среда. Това от своя страна повлиява косвено и положително здравето на населението в района.</w:t>
            </w:r>
          </w:p>
        </w:tc>
      </w:tr>
      <w:bookmarkEnd w:id="616"/>
    </w:tbl>
    <w:p w14:paraId="1018BAB1"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982"/>
        <w:gridCol w:w="13"/>
        <w:gridCol w:w="3969"/>
        <w:gridCol w:w="4253"/>
      </w:tblGrid>
      <w:tr w:rsidR="00F36E29" w:rsidRPr="009F6D1E" w14:paraId="7E3FF75E" w14:textId="77777777" w:rsidTr="00AB2292">
        <w:trPr>
          <w:tblHeader/>
        </w:trPr>
        <w:tc>
          <w:tcPr>
            <w:tcW w:w="1812" w:type="dxa"/>
            <w:vMerge w:val="restart"/>
            <w:shd w:val="clear" w:color="auto" w:fill="D9D9D9" w:themeFill="background1" w:themeFillShade="D9"/>
            <w:vAlign w:val="center"/>
          </w:tcPr>
          <w:p w14:paraId="1FBECB2E"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sz w:val="20"/>
                <w:szCs w:val="20"/>
              </w:rPr>
              <w:t>Компонент/ Фактор на околната среда</w:t>
            </w:r>
          </w:p>
        </w:tc>
        <w:tc>
          <w:tcPr>
            <w:tcW w:w="3995" w:type="dxa"/>
            <w:gridSpan w:val="2"/>
            <w:shd w:val="clear" w:color="auto" w:fill="D9D9D9" w:themeFill="background1" w:themeFillShade="D9"/>
          </w:tcPr>
          <w:p w14:paraId="758563FF"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П.8.4. Подобряване на обектите за развитие на традициите и на културно-историческите обекти</w:t>
            </w:r>
          </w:p>
          <w:p w14:paraId="195A27FF"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32BD2CF1"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Запазването на духовния и културния живот на населението в селските райони</w:t>
            </w:r>
          </w:p>
          <w:p w14:paraId="1E71E21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Инвестиции за неселскостопански дейности в селските райони</w:t>
            </w:r>
          </w:p>
        </w:tc>
        <w:tc>
          <w:tcPr>
            <w:tcW w:w="3969" w:type="dxa"/>
            <w:shd w:val="clear" w:color="auto" w:fill="D9D9D9" w:themeFill="background1" w:themeFillShade="D9"/>
          </w:tcPr>
          <w:p w14:paraId="11FB12E1"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П.8.5. Подобряване на състоянието на образователната инфраструктура с цел увеличаване на дела на населението, което има достъп до подобрени услуги</w:t>
            </w:r>
          </w:p>
          <w:p w14:paraId="680FEDA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61CBDB7"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 </w:t>
            </w:r>
            <w:r w:rsidRPr="009F6D1E">
              <w:rPr>
                <w:rFonts w:cs="Times New Roman"/>
                <w:i/>
                <w:sz w:val="20"/>
                <w:szCs w:val="20"/>
              </w:rPr>
              <w:t>Инвестиции в основни услуги и дребна по мащаби инфраструктура в селските райони</w:t>
            </w:r>
          </w:p>
        </w:tc>
        <w:tc>
          <w:tcPr>
            <w:tcW w:w="4253" w:type="dxa"/>
            <w:shd w:val="clear" w:color="auto" w:fill="D9D9D9" w:themeFill="background1" w:themeFillShade="D9"/>
            <w:vAlign w:val="center"/>
          </w:tcPr>
          <w:p w14:paraId="57A6E919"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П.8.6. Запазване на многофондовото финансиране, разширяване на териториалното прилагане и опростяване на прилагането на подхода ЛИДЕР/ВОМР </w:t>
            </w:r>
          </w:p>
          <w:p w14:paraId="39495932"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DEFA95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 </w:t>
            </w:r>
            <w:r w:rsidRPr="009F6D1E">
              <w:rPr>
                <w:rFonts w:cs="Times New Roman"/>
                <w:i/>
                <w:sz w:val="20"/>
                <w:szCs w:val="20"/>
              </w:rPr>
              <w:t>Подкрепата за ВОМР/ЛИДЕР се извършва чрез подкрепа на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tc>
      </w:tr>
      <w:tr w:rsidR="00F36E29" w:rsidRPr="009F6D1E" w14:paraId="2372BA83" w14:textId="77777777" w:rsidTr="00AB2292">
        <w:trPr>
          <w:tblHeader/>
        </w:trPr>
        <w:tc>
          <w:tcPr>
            <w:tcW w:w="1812" w:type="dxa"/>
            <w:vMerge/>
            <w:shd w:val="clear" w:color="auto" w:fill="FFF2CC" w:themeFill="accent4" w:themeFillTint="33"/>
          </w:tcPr>
          <w:p w14:paraId="7701DB03" w14:textId="77777777" w:rsidR="00F36E29" w:rsidRPr="009F6D1E" w:rsidRDefault="00F36E29" w:rsidP="0084747F">
            <w:pPr>
              <w:spacing w:after="60" w:line="264" w:lineRule="auto"/>
              <w:jc w:val="center"/>
              <w:rPr>
                <w:rFonts w:cs="Times New Roman"/>
                <w:b/>
                <w:bCs/>
                <w:sz w:val="20"/>
                <w:szCs w:val="20"/>
              </w:rPr>
            </w:pPr>
          </w:p>
        </w:tc>
        <w:tc>
          <w:tcPr>
            <w:tcW w:w="12217" w:type="dxa"/>
            <w:gridSpan w:val="4"/>
            <w:shd w:val="clear" w:color="auto" w:fill="FFF2CC" w:themeFill="accent4" w:themeFillTint="33"/>
          </w:tcPr>
          <w:p w14:paraId="1D3C0AB0"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477EB3DF" w14:textId="77777777" w:rsidTr="00AB2292">
        <w:trPr>
          <w:trHeight w:val="318"/>
        </w:trPr>
        <w:tc>
          <w:tcPr>
            <w:tcW w:w="1812" w:type="dxa"/>
            <w:shd w:val="clear" w:color="auto" w:fill="auto"/>
          </w:tcPr>
          <w:p w14:paraId="0369EC6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119E5FA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03C8E47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3995" w:type="dxa"/>
            <w:gridSpan w:val="2"/>
            <w:shd w:val="clear" w:color="auto" w:fill="auto"/>
          </w:tcPr>
          <w:p w14:paraId="4CF1455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3969" w:type="dxa"/>
          </w:tcPr>
          <w:p w14:paraId="5EFD85C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4253" w:type="dxa"/>
          </w:tcPr>
          <w:p w14:paraId="3F01EA1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6CC3B955" w14:textId="77777777" w:rsidTr="00AB2292">
        <w:trPr>
          <w:trHeight w:val="318"/>
        </w:trPr>
        <w:tc>
          <w:tcPr>
            <w:tcW w:w="1812" w:type="dxa"/>
            <w:shd w:val="clear" w:color="auto" w:fill="auto"/>
          </w:tcPr>
          <w:p w14:paraId="62C75657"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3995" w:type="dxa"/>
            <w:gridSpan w:val="2"/>
            <w:shd w:val="clear" w:color="auto" w:fill="auto"/>
          </w:tcPr>
          <w:p w14:paraId="144829C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3969" w:type="dxa"/>
          </w:tcPr>
          <w:p w14:paraId="2F76F5B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4253" w:type="dxa"/>
          </w:tcPr>
          <w:p w14:paraId="01BDE34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29261B67" w14:textId="77777777" w:rsidTr="00AB2292">
        <w:trPr>
          <w:trHeight w:val="318"/>
        </w:trPr>
        <w:tc>
          <w:tcPr>
            <w:tcW w:w="1812" w:type="dxa"/>
            <w:shd w:val="clear" w:color="auto" w:fill="auto"/>
          </w:tcPr>
          <w:p w14:paraId="2BA9DCB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2E85BD3D"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5BB995B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Зони за защита на водите</w:t>
            </w:r>
          </w:p>
          <w:p w14:paraId="79B07A8B"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3995" w:type="dxa"/>
            <w:gridSpan w:val="2"/>
            <w:shd w:val="clear" w:color="auto" w:fill="auto"/>
          </w:tcPr>
          <w:p w14:paraId="025A1F2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w:t>
            </w:r>
          </w:p>
        </w:tc>
        <w:tc>
          <w:tcPr>
            <w:tcW w:w="3969" w:type="dxa"/>
          </w:tcPr>
          <w:p w14:paraId="56691FE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4253" w:type="dxa"/>
          </w:tcPr>
          <w:p w14:paraId="19FA0F35"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r>
      <w:tr w:rsidR="00F36E29" w:rsidRPr="009F6D1E" w14:paraId="66BA0F8A" w14:textId="77777777" w:rsidTr="00AB2292">
        <w:trPr>
          <w:trHeight w:val="318"/>
        </w:trPr>
        <w:tc>
          <w:tcPr>
            <w:tcW w:w="1812" w:type="dxa"/>
            <w:shd w:val="clear" w:color="auto" w:fill="auto"/>
          </w:tcPr>
          <w:p w14:paraId="35F60C45"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Земни недра</w:t>
            </w:r>
          </w:p>
        </w:tc>
        <w:tc>
          <w:tcPr>
            <w:tcW w:w="3995" w:type="dxa"/>
            <w:gridSpan w:val="2"/>
            <w:shd w:val="clear" w:color="auto" w:fill="auto"/>
          </w:tcPr>
          <w:p w14:paraId="3B418257"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3969" w:type="dxa"/>
            <w:shd w:val="clear" w:color="auto" w:fill="auto"/>
          </w:tcPr>
          <w:p w14:paraId="5B322430"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253" w:type="dxa"/>
            <w:shd w:val="clear" w:color="auto" w:fill="auto"/>
          </w:tcPr>
          <w:p w14:paraId="2DA32473"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2CB259EE" w14:textId="77777777" w:rsidTr="00AB2292">
        <w:trPr>
          <w:trHeight w:val="318"/>
        </w:trPr>
        <w:tc>
          <w:tcPr>
            <w:tcW w:w="1812" w:type="dxa"/>
            <w:shd w:val="clear" w:color="auto" w:fill="auto"/>
          </w:tcPr>
          <w:p w14:paraId="0AF3111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29E2EDFB"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3995" w:type="dxa"/>
            <w:gridSpan w:val="2"/>
            <w:shd w:val="clear" w:color="auto" w:fill="auto"/>
          </w:tcPr>
          <w:p w14:paraId="01D07521"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3969" w:type="dxa"/>
          </w:tcPr>
          <w:p w14:paraId="352A1648"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253" w:type="dxa"/>
          </w:tcPr>
          <w:p w14:paraId="2AA590D7"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7CCF6471" w14:textId="77777777" w:rsidTr="00AB2292">
        <w:trPr>
          <w:trHeight w:val="1259"/>
        </w:trPr>
        <w:tc>
          <w:tcPr>
            <w:tcW w:w="1812" w:type="dxa"/>
            <w:shd w:val="clear" w:color="auto" w:fill="auto"/>
          </w:tcPr>
          <w:p w14:paraId="5130C06C"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5652DB9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43BEAFA1"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ЗТ</w:t>
            </w:r>
          </w:p>
        </w:tc>
        <w:tc>
          <w:tcPr>
            <w:tcW w:w="3982" w:type="dxa"/>
            <w:shd w:val="clear" w:color="auto" w:fill="auto"/>
          </w:tcPr>
          <w:p w14:paraId="05649ECA"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отрицателно въздействие</w:t>
            </w:r>
          </w:p>
        </w:tc>
        <w:tc>
          <w:tcPr>
            <w:tcW w:w="3982" w:type="dxa"/>
            <w:gridSpan w:val="2"/>
            <w:shd w:val="clear" w:color="auto" w:fill="auto"/>
          </w:tcPr>
          <w:p w14:paraId="002C630F"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 xml:space="preserve">Проектите трябва да имат решение по ОВОС/ОСВ и да се изпълняват съгласно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w:t>
            </w:r>
          </w:p>
          <w:p w14:paraId="41E0E85A"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lastRenderedPageBreak/>
              <w:t>Тип на въздействието: индиректно, отрицателно</w:t>
            </w:r>
          </w:p>
          <w:p w14:paraId="6C3E9D7C"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 xml:space="preserve">Продължителност на въздействието: краткосрочно, дългосрочно </w:t>
            </w:r>
          </w:p>
          <w:p w14:paraId="392C8FA4"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Обхват на въздействието: локален</w:t>
            </w:r>
          </w:p>
        </w:tc>
        <w:tc>
          <w:tcPr>
            <w:tcW w:w="4253" w:type="dxa"/>
          </w:tcPr>
          <w:p w14:paraId="7D8F4823"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lastRenderedPageBreak/>
              <w:t>Не се очаква отрицателно въздействие</w:t>
            </w:r>
          </w:p>
        </w:tc>
      </w:tr>
      <w:tr w:rsidR="00F36E29" w:rsidRPr="009F6D1E" w14:paraId="130C2F98" w14:textId="77777777" w:rsidTr="00AB2292">
        <w:trPr>
          <w:trHeight w:val="318"/>
        </w:trPr>
        <w:tc>
          <w:tcPr>
            <w:tcW w:w="1812" w:type="dxa"/>
            <w:shd w:val="clear" w:color="auto" w:fill="auto"/>
          </w:tcPr>
          <w:p w14:paraId="3B4D3B76"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 xml:space="preserve">Ландшафт </w:t>
            </w:r>
          </w:p>
        </w:tc>
        <w:tc>
          <w:tcPr>
            <w:tcW w:w="3982" w:type="dxa"/>
            <w:shd w:val="clear" w:color="auto" w:fill="auto"/>
          </w:tcPr>
          <w:p w14:paraId="1CEEF3D0"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3982" w:type="dxa"/>
            <w:gridSpan w:val="2"/>
            <w:shd w:val="clear" w:color="auto" w:fill="auto"/>
          </w:tcPr>
          <w:p w14:paraId="160C3327"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253" w:type="dxa"/>
          </w:tcPr>
          <w:p w14:paraId="6D1328AC"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576397C5" w14:textId="77777777" w:rsidTr="00AB2292">
        <w:trPr>
          <w:trHeight w:val="318"/>
        </w:trPr>
        <w:tc>
          <w:tcPr>
            <w:tcW w:w="1812" w:type="dxa"/>
            <w:shd w:val="clear" w:color="auto" w:fill="auto"/>
          </w:tcPr>
          <w:p w14:paraId="558A9D47"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3995" w:type="dxa"/>
            <w:gridSpan w:val="2"/>
            <w:shd w:val="clear" w:color="auto" w:fill="auto"/>
          </w:tcPr>
          <w:p w14:paraId="41C09C7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Инвестициите за обекти, свързани с културния живот, както и подкрепата за стимулиране на творческите занаяти, които са част от културното наследство и традиции и инвестиции за развитие на алтернативни форми на туризъм, допълващи местата за настаняване, ще доведат до преки положителни въздействия върху материалните активи.</w:t>
            </w:r>
          </w:p>
        </w:tc>
        <w:tc>
          <w:tcPr>
            <w:tcW w:w="3969" w:type="dxa"/>
          </w:tcPr>
          <w:p w14:paraId="153E40E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Инвестициите в общинска образователна инфраструктура (детски градини и училища) ще доведат до преки и положителни въздействия върху материалните активи.</w:t>
            </w:r>
          </w:p>
        </w:tc>
        <w:tc>
          <w:tcPr>
            <w:tcW w:w="4253" w:type="dxa"/>
          </w:tcPr>
          <w:p w14:paraId="104C3A4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57A3578D" w14:textId="77777777" w:rsidTr="00AB2292">
        <w:trPr>
          <w:trHeight w:val="318"/>
        </w:trPr>
        <w:tc>
          <w:tcPr>
            <w:tcW w:w="1812" w:type="dxa"/>
            <w:shd w:val="clear" w:color="auto" w:fill="auto"/>
          </w:tcPr>
          <w:p w14:paraId="22C2375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Културно-историческо наследство</w:t>
            </w:r>
          </w:p>
        </w:tc>
        <w:tc>
          <w:tcPr>
            <w:tcW w:w="3995" w:type="dxa"/>
            <w:gridSpan w:val="2"/>
            <w:shd w:val="clear" w:color="auto" w:fill="auto"/>
          </w:tcPr>
          <w:p w14:paraId="0FD19EC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Пряко положително </w:t>
            </w:r>
            <w:r w:rsidRPr="009F6D1E">
              <w:rPr>
                <w:rFonts w:cs="Times New Roman"/>
                <w:sz w:val="20"/>
                <w:szCs w:val="20"/>
              </w:rPr>
              <w:t>дългосрочно</w:t>
            </w:r>
            <w:r w:rsidRPr="009F6D1E">
              <w:rPr>
                <w:rFonts w:eastAsia="Tahoma" w:cs="Times New Roman"/>
                <w:sz w:val="20"/>
                <w:szCs w:val="20"/>
                <w:lang w:eastAsia="zh-CN"/>
              </w:rPr>
              <w:t xml:space="preserve"> въздействие, свързано с </w:t>
            </w:r>
            <w:r w:rsidRPr="009F6D1E">
              <w:rPr>
                <w:rFonts w:eastAsia="Times New Roman" w:cs="Times New Roman"/>
                <w:sz w:val="20"/>
                <w:szCs w:val="20"/>
                <w:lang w:eastAsia="bg-BG"/>
              </w:rPr>
              <w:t>предвидените интервенции, които ще позволят да се запази духовния живот, културната идентичност и традиции в селските райони, което ще доведе до популяризиране и опазване на културното-наследство.</w:t>
            </w:r>
          </w:p>
        </w:tc>
        <w:tc>
          <w:tcPr>
            <w:tcW w:w="3969" w:type="dxa"/>
          </w:tcPr>
          <w:p w14:paraId="77C43B0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253" w:type="dxa"/>
          </w:tcPr>
          <w:p w14:paraId="3E18C75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7C4D1CF1" w14:textId="77777777" w:rsidTr="00AB2292">
        <w:trPr>
          <w:trHeight w:val="1610"/>
        </w:trPr>
        <w:tc>
          <w:tcPr>
            <w:tcW w:w="1812" w:type="dxa"/>
            <w:shd w:val="clear" w:color="auto" w:fill="auto"/>
          </w:tcPr>
          <w:p w14:paraId="30628FF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3995" w:type="dxa"/>
            <w:gridSpan w:val="2"/>
            <w:shd w:val="clear" w:color="auto" w:fill="auto"/>
          </w:tcPr>
          <w:p w14:paraId="503ADFF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3969" w:type="dxa"/>
          </w:tcPr>
          <w:p w14:paraId="7DAEAE4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4253" w:type="dxa"/>
          </w:tcPr>
          <w:p w14:paraId="3161497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5C7E4B4A" w14:textId="77777777" w:rsidTr="00AB2292">
        <w:trPr>
          <w:trHeight w:val="318"/>
        </w:trPr>
        <w:tc>
          <w:tcPr>
            <w:tcW w:w="1812" w:type="dxa"/>
            <w:shd w:val="clear" w:color="auto" w:fill="auto"/>
          </w:tcPr>
          <w:p w14:paraId="355C564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3995" w:type="dxa"/>
            <w:gridSpan w:val="2"/>
            <w:shd w:val="clear" w:color="auto" w:fill="auto"/>
          </w:tcPr>
          <w:p w14:paraId="32664D57"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3969" w:type="dxa"/>
          </w:tcPr>
          <w:p w14:paraId="19B1C5E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c>
          <w:tcPr>
            <w:tcW w:w="4253" w:type="dxa"/>
          </w:tcPr>
          <w:p w14:paraId="54019A0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cs="Times New Roman"/>
                <w:sz w:val="20"/>
                <w:szCs w:val="20"/>
              </w:rPr>
              <w:t>Не се очаква въздействие</w:t>
            </w:r>
          </w:p>
        </w:tc>
      </w:tr>
      <w:tr w:rsidR="00F36E29" w:rsidRPr="009F6D1E" w14:paraId="6EACF2D5" w14:textId="77777777" w:rsidTr="00AB2292">
        <w:tc>
          <w:tcPr>
            <w:tcW w:w="1812" w:type="dxa"/>
            <w:shd w:val="clear" w:color="auto" w:fill="auto"/>
          </w:tcPr>
          <w:p w14:paraId="741B4CCB"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lastRenderedPageBreak/>
              <w:t>Опасни химични вещества и риск от големи аварии</w:t>
            </w:r>
          </w:p>
        </w:tc>
        <w:tc>
          <w:tcPr>
            <w:tcW w:w="3995" w:type="dxa"/>
            <w:gridSpan w:val="2"/>
            <w:shd w:val="clear" w:color="auto" w:fill="auto"/>
          </w:tcPr>
          <w:p w14:paraId="565DEBB3"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c>
          <w:tcPr>
            <w:tcW w:w="3969" w:type="dxa"/>
          </w:tcPr>
          <w:p w14:paraId="6C2817DA"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c>
          <w:tcPr>
            <w:tcW w:w="4253" w:type="dxa"/>
          </w:tcPr>
          <w:p w14:paraId="592800A0"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r>
      <w:tr w:rsidR="00F36E29" w:rsidRPr="009F6D1E" w14:paraId="32AE732C" w14:textId="77777777" w:rsidTr="00AB2292">
        <w:tc>
          <w:tcPr>
            <w:tcW w:w="1812" w:type="dxa"/>
            <w:shd w:val="clear" w:color="auto" w:fill="auto"/>
          </w:tcPr>
          <w:p w14:paraId="7BECC71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459FBFE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1C922AC8"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3995" w:type="dxa"/>
            <w:gridSpan w:val="2"/>
            <w:shd w:val="clear" w:color="auto" w:fill="auto"/>
          </w:tcPr>
          <w:p w14:paraId="2E800C08"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Инвестициите за обекти, свързани с културния живот, както и подкрепата за стимулиране на творческите занаяти, които са част от културното наследство и традиции и инвестиции за развитие на алтернативни форми на туризъм, допълващи местата за настаняване, ще доведат до преки положителни въздействия върху населението.</w:t>
            </w:r>
          </w:p>
        </w:tc>
        <w:tc>
          <w:tcPr>
            <w:tcW w:w="3969" w:type="dxa"/>
          </w:tcPr>
          <w:p w14:paraId="015A4C6D"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Инвестициите в общинска образователна инфраструктура (детски градини и училища) ще доведат до преки и положителни въздействия върху населението.</w:t>
            </w:r>
          </w:p>
        </w:tc>
        <w:tc>
          <w:tcPr>
            <w:tcW w:w="4253" w:type="dxa"/>
          </w:tcPr>
          <w:p w14:paraId="0032A9F3" w14:textId="77777777" w:rsidR="00F36E29" w:rsidRPr="009F6D1E" w:rsidRDefault="00F36E29" w:rsidP="0084747F">
            <w:pPr>
              <w:spacing w:after="60" w:line="264" w:lineRule="auto"/>
              <w:jc w:val="both"/>
              <w:rPr>
                <w:rFonts w:cs="Times New Roman"/>
                <w:sz w:val="20"/>
                <w:szCs w:val="20"/>
                <w:highlight w:val="yellow"/>
              </w:rPr>
            </w:pPr>
            <w:r w:rsidRPr="009F6D1E">
              <w:rPr>
                <w:rFonts w:cs="Times New Roman"/>
                <w:sz w:val="20"/>
                <w:szCs w:val="20"/>
              </w:rPr>
              <w:t>Не се очаква въздействие</w:t>
            </w:r>
          </w:p>
        </w:tc>
      </w:tr>
    </w:tbl>
    <w:p w14:paraId="69851E2F" w14:textId="77777777" w:rsidR="00F36E29" w:rsidRPr="009F6D1E" w:rsidRDefault="00F36E29" w:rsidP="0084747F">
      <w:pPr>
        <w:spacing w:after="60" w:line="264" w:lineRule="auto"/>
        <w:contextualSpacing/>
        <w:jc w:val="both"/>
        <w:rPr>
          <w:rFonts w:eastAsia="Calibri" w:cs="Times New Roman"/>
          <w:b/>
          <w:bCs/>
          <w:i/>
          <w:iCs/>
          <w:szCs w:val="24"/>
        </w:rPr>
      </w:pPr>
    </w:p>
    <w:p w14:paraId="32E3D22F"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17" w:name="_Toc115255044"/>
      <w:bookmarkStart w:id="618" w:name="_Hlk96698186"/>
      <w:r w:rsidRPr="009F6D1E">
        <w:rPr>
          <w:rFonts w:eastAsia="Times New Roman"/>
        </w:rPr>
        <w:t>Потребности/Интервенции, обект на подкрепа по Специфична цел №9</w:t>
      </w:r>
      <w:bookmarkEnd w:id="617"/>
    </w:p>
    <w:bookmarkEnd w:id="618"/>
    <w:p w14:paraId="69031822"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969"/>
        <w:gridCol w:w="4111"/>
        <w:gridCol w:w="4111"/>
      </w:tblGrid>
      <w:tr w:rsidR="00F36E29" w:rsidRPr="009F6D1E" w14:paraId="71159274" w14:textId="77777777" w:rsidTr="00AB2292">
        <w:trPr>
          <w:tblHeader/>
        </w:trPr>
        <w:tc>
          <w:tcPr>
            <w:tcW w:w="1838" w:type="dxa"/>
            <w:vMerge w:val="restart"/>
            <w:shd w:val="clear" w:color="auto" w:fill="D9D9D9" w:themeFill="background1" w:themeFillShade="D9"/>
            <w:vAlign w:val="center"/>
          </w:tcPr>
          <w:p w14:paraId="36C1BFFF" w14:textId="77777777" w:rsidR="00F36E29" w:rsidRPr="009F6D1E" w:rsidRDefault="00F36E29" w:rsidP="0084747F">
            <w:pPr>
              <w:spacing w:after="60" w:line="264" w:lineRule="auto"/>
              <w:jc w:val="center"/>
              <w:rPr>
                <w:rFonts w:cs="Times New Roman"/>
                <w:b/>
                <w:bCs/>
                <w:i/>
                <w:sz w:val="20"/>
                <w:szCs w:val="20"/>
              </w:rPr>
            </w:pPr>
            <w:bookmarkStart w:id="619" w:name="_Hlk96697942"/>
            <w:r w:rsidRPr="009F6D1E">
              <w:rPr>
                <w:rFonts w:cs="Times New Roman"/>
                <w:b/>
                <w:bCs/>
                <w:sz w:val="20"/>
                <w:szCs w:val="20"/>
              </w:rPr>
              <w:lastRenderedPageBreak/>
              <w:t>Компонент/ Фактор на околната среда</w:t>
            </w:r>
          </w:p>
        </w:tc>
        <w:tc>
          <w:tcPr>
            <w:tcW w:w="3969" w:type="dxa"/>
            <w:shd w:val="clear" w:color="auto" w:fill="D9D9D9" w:themeFill="background1" w:themeFillShade="D9"/>
          </w:tcPr>
          <w:p w14:paraId="41EF65D7"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П.9.1.Насърчаване и подпомагане на биологичното земеделие, както и на научните изследвания в тази посока</w:t>
            </w:r>
          </w:p>
          <w:p w14:paraId="1822B888"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070E0191" w14:textId="77777777" w:rsidR="00F36E29" w:rsidRPr="009F6D1E" w:rsidRDefault="00F36E29" w:rsidP="0084747F">
            <w:pPr>
              <w:spacing w:after="60" w:line="264" w:lineRule="auto"/>
              <w:jc w:val="center"/>
              <w:rPr>
                <w:rFonts w:cs="Times New Roman"/>
                <w:i/>
                <w:sz w:val="20"/>
                <w:szCs w:val="20"/>
              </w:rPr>
            </w:pPr>
            <w:r w:rsidRPr="009F6D1E">
              <w:rPr>
                <w:rFonts w:cs="Times New Roman"/>
                <w:b/>
                <w:bCs/>
                <w:i/>
                <w:sz w:val="20"/>
                <w:szCs w:val="20"/>
              </w:rPr>
              <w:t xml:space="preserve">- </w:t>
            </w:r>
            <w:r w:rsidRPr="009F6D1E">
              <w:rPr>
                <w:rFonts w:cs="Times New Roman"/>
                <w:i/>
                <w:sz w:val="20"/>
                <w:szCs w:val="20"/>
              </w:rPr>
              <w:t>Еко схема за поддържане на биологично земеделие (земеделски площи)</w:t>
            </w:r>
          </w:p>
          <w:p w14:paraId="3F5EC814"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Еко схема за поддържане на биологично земеделие (селскостопански животни)</w:t>
            </w:r>
          </w:p>
          <w:p w14:paraId="322E8E2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Биологично производство</w:t>
            </w:r>
          </w:p>
        </w:tc>
        <w:tc>
          <w:tcPr>
            <w:tcW w:w="4111" w:type="dxa"/>
            <w:shd w:val="clear" w:color="auto" w:fill="D9D9D9" w:themeFill="background1" w:themeFillShade="D9"/>
          </w:tcPr>
          <w:p w14:paraId="3F0FE3FA"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П.9.2.Подобряване на контрола (лабораторна дейност), пазарна организация, реализация и маркетинг в биологичното производство</w:t>
            </w:r>
          </w:p>
          <w:p w14:paraId="5FA9D30C"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1125C69"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Подкрепа на организации на производители или групи от производители, Сътрудничество съгл. чл.77 (ЕЗФРСР).</w:t>
            </w:r>
          </w:p>
          <w:p w14:paraId="086FF4F3"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схема „Промоционални програми“</w:t>
            </w:r>
          </w:p>
          <w:p w14:paraId="4A14C8B9" w14:textId="77777777" w:rsidR="00F36E29" w:rsidRPr="009F6D1E" w:rsidRDefault="00F36E29" w:rsidP="0084747F">
            <w:pPr>
              <w:spacing w:after="60" w:line="264" w:lineRule="auto"/>
              <w:jc w:val="center"/>
              <w:rPr>
                <w:rFonts w:cs="Times New Roman"/>
                <w:b/>
                <w:bCs/>
                <w:i/>
                <w:sz w:val="20"/>
                <w:szCs w:val="20"/>
              </w:rPr>
            </w:pPr>
          </w:p>
          <w:p w14:paraId="1A652EC3" w14:textId="77777777" w:rsidR="00F36E29" w:rsidRPr="009F6D1E" w:rsidRDefault="00F36E29" w:rsidP="0084747F">
            <w:pPr>
              <w:spacing w:after="60" w:line="264" w:lineRule="auto"/>
              <w:jc w:val="center"/>
              <w:rPr>
                <w:rFonts w:cs="Times New Roman"/>
                <w:b/>
                <w:bCs/>
                <w:i/>
                <w:sz w:val="20"/>
                <w:szCs w:val="20"/>
              </w:rPr>
            </w:pPr>
          </w:p>
        </w:tc>
        <w:tc>
          <w:tcPr>
            <w:tcW w:w="4111" w:type="dxa"/>
            <w:shd w:val="clear" w:color="auto" w:fill="D9D9D9" w:themeFill="background1" w:themeFillShade="D9"/>
          </w:tcPr>
          <w:p w14:paraId="36BFA23E"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П.9.3. Насърчаване потреблението на биологични продукти, чрез повишаване доверието на потребителите и включването им като задължителен елемент от веригата на предлагане на храни в частни и обществени заведения, в детски градини, училища, социални и здравни заведения;</w:t>
            </w:r>
          </w:p>
          <w:p w14:paraId="70BFEF39"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 xml:space="preserve">: </w:t>
            </w:r>
          </w:p>
          <w:p w14:paraId="0E496196"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w:t>
            </w:r>
            <w:r w:rsidRPr="009F6D1E">
              <w:rPr>
                <w:rFonts w:cs="Times New Roman"/>
                <w:sz w:val="20"/>
                <w:szCs w:val="20"/>
              </w:rPr>
              <w:t xml:space="preserve"> </w:t>
            </w:r>
            <w:r w:rsidRPr="009F6D1E">
              <w:rPr>
                <w:rFonts w:cs="Times New Roman"/>
                <w:i/>
                <w:sz w:val="20"/>
                <w:szCs w:val="20"/>
              </w:rPr>
              <w:t>Схеми "Училищен плод" и "Училищно мляко"</w:t>
            </w:r>
          </w:p>
          <w:p w14:paraId="30315EF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Биологично производство</w:t>
            </w:r>
          </w:p>
        </w:tc>
      </w:tr>
      <w:tr w:rsidR="00F36E29" w:rsidRPr="009F6D1E" w14:paraId="5132AFFF" w14:textId="77777777" w:rsidTr="00AB2292">
        <w:trPr>
          <w:tblHeader/>
        </w:trPr>
        <w:tc>
          <w:tcPr>
            <w:tcW w:w="1838" w:type="dxa"/>
            <w:vMerge/>
            <w:shd w:val="clear" w:color="auto" w:fill="FFF2CC" w:themeFill="accent4" w:themeFillTint="33"/>
          </w:tcPr>
          <w:p w14:paraId="63A07316" w14:textId="77777777" w:rsidR="00F36E29" w:rsidRPr="009F6D1E" w:rsidRDefault="00F36E29"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1D6BF214"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4932443B" w14:textId="77777777" w:rsidTr="00AB2292">
        <w:trPr>
          <w:trHeight w:val="318"/>
        </w:trPr>
        <w:tc>
          <w:tcPr>
            <w:tcW w:w="1838" w:type="dxa"/>
            <w:shd w:val="clear" w:color="auto" w:fill="auto"/>
          </w:tcPr>
          <w:p w14:paraId="2096B576"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50BC31F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5ED53F6C"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3969" w:type="dxa"/>
            <w:shd w:val="clear" w:color="auto" w:fill="auto"/>
          </w:tcPr>
          <w:p w14:paraId="35EEEDA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Насърчаването и подпомагането на биологичното земеделие ще допринесе до намаляване използването на торове и от тук директно ще повлияе върху нивата на емитираните емисии на въглероден диоксид, като допринесе за техния спад. Въздействието ще е положително и постоянно, в районите на развитие на биологичното земеделие за сметка на традиционното такова.</w:t>
            </w:r>
          </w:p>
        </w:tc>
        <w:tc>
          <w:tcPr>
            <w:tcW w:w="4111" w:type="dxa"/>
          </w:tcPr>
          <w:p w14:paraId="2A1FC3D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Промените в органичния състав на почвите, в резултат от намаляване използването на химически торове, ще допринесе до намаляване в дългосрочен план на емитираните нива на въглероден диоксид. Въздействието ще е положително, постоянно, за районите на развиващо се биологично земеделие.</w:t>
            </w:r>
          </w:p>
        </w:tc>
        <w:tc>
          <w:tcPr>
            <w:tcW w:w="4111" w:type="dxa"/>
          </w:tcPr>
          <w:p w14:paraId="1FA99E7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Насърчаването използването на биологични продукти ще увеличи дела на биоземеделието за сметка на традиционното такова. Това от своя страна ще допринесе за промени в органичния състав на почвите и намаляване емисиите на въглероден диоксид. Въздействието ще е положително, дългосрочно и за районите на прилагане на мярката.</w:t>
            </w:r>
          </w:p>
        </w:tc>
      </w:tr>
      <w:tr w:rsidR="00F36E29" w:rsidRPr="009F6D1E" w14:paraId="4FBCDDF2" w14:textId="77777777" w:rsidTr="00AB2292">
        <w:trPr>
          <w:trHeight w:val="318"/>
        </w:trPr>
        <w:tc>
          <w:tcPr>
            <w:tcW w:w="1838" w:type="dxa"/>
            <w:shd w:val="clear" w:color="auto" w:fill="auto"/>
          </w:tcPr>
          <w:p w14:paraId="287059F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3969" w:type="dxa"/>
            <w:shd w:val="clear" w:color="auto" w:fill="auto"/>
          </w:tcPr>
          <w:p w14:paraId="7937F3A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Намаляването използването на торове, в резултат от прилагането на мярката, ще допринесе до намаляване на емисиите в атмосферата. Въздействието ще е </w:t>
            </w:r>
            <w:r w:rsidRPr="009F6D1E">
              <w:rPr>
                <w:rFonts w:eastAsia="Tahoma" w:cs="Times New Roman"/>
                <w:sz w:val="20"/>
                <w:szCs w:val="20"/>
                <w:lang w:eastAsia="zh-CN"/>
              </w:rPr>
              <w:lastRenderedPageBreak/>
              <w:t>положително, постоянно, в районите с развиващо се биоземеделие.</w:t>
            </w:r>
          </w:p>
        </w:tc>
        <w:tc>
          <w:tcPr>
            <w:tcW w:w="4111" w:type="dxa"/>
          </w:tcPr>
          <w:p w14:paraId="728A495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lastRenderedPageBreak/>
              <w:t xml:space="preserve">Очаква се намаляването на процента използвани химически торове да доведе до намаляване генерираните емисии в атмосферата. Въздействието ще е положително, в дългосрочен план, </w:t>
            </w:r>
            <w:r w:rsidRPr="009F6D1E">
              <w:rPr>
                <w:rFonts w:eastAsia="Tahoma" w:cs="Times New Roman"/>
                <w:sz w:val="20"/>
                <w:szCs w:val="20"/>
                <w:lang w:eastAsia="zh-CN"/>
              </w:rPr>
              <w:lastRenderedPageBreak/>
              <w:t>характерно за районите на развиващо ес биологично земеделие.</w:t>
            </w:r>
          </w:p>
        </w:tc>
        <w:tc>
          <w:tcPr>
            <w:tcW w:w="4111" w:type="dxa"/>
          </w:tcPr>
          <w:p w14:paraId="3E2C978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lastRenderedPageBreak/>
              <w:t xml:space="preserve">Очаква се намаляването на процента използвани химически торове да доведе до намаляване генерираните емисии в атмосферата. Въздействието ще е положително, в дългосрочен план, </w:t>
            </w:r>
            <w:r w:rsidRPr="009F6D1E">
              <w:rPr>
                <w:rFonts w:eastAsia="Tahoma" w:cs="Times New Roman"/>
                <w:sz w:val="20"/>
                <w:szCs w:val="20"/>
                <w:lang w:eastAsia="zh-CN"/>
              </w:rPr>
              <w:lastRenderedPageBreak/>
              <w:t>характерно за районите на развиващо ес биологично земеделие.</w:t>
            </w:r>
          </w:p>
        </w:tc>
      </w:tr>
      <w:tr w:rsidR="00F36E29" w:rsidRPr="009F6D1E" w14:paraId="55B3953C" w14:textId="77777777" w:rsidTr="00AB2292">
        <w:trPr>
          <w:trHeight w:val="318"/>
        </w:trPr>
        <w:tc>
          <w:tcPr>
            <w:tcW w:w="1838" w:type="dxa"/>
            <w:shd w:val="clear" w:color="auto" w:fill="auto"/>
          </w:tcPr>
          <w:p w14:paraId="1B9B5B9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Повърхностни води</w:t>
            </w:r>
          </w:p>
          <w:p w14:paraId="32157F0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7DB815B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1A255729"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3969" w:type="dxa"/>
            <w:shd w:val="clear" w:color="auto" w:fill="auto"/>
          </w:tcPr>
          <w:p w14:paraId="258D7F5C"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Мярката предвижда насърчаването на биологичното земеделие което ще доведе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подобряване управлението на водите, включително управлението на торовете и пестицидите. </w:t>
            </w:r>
          </w:p>
          <w:p w14:paraId="405BC07E"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Дейностите ще спомогнат за преодоляване на съществуващите екологични проблеми описани в точка 6 от ЕО и съответстват на </w:t>
            </w:r>
            <w:r w:rsidRPr="009F6D1E">
              <w:rPr>
                <w:rFonts w:cs="Times New Roman"/>
                <w:sz w:val="20"/>
                <w:szCs w:val="20"/>
              </w:rPr>
              <w:lastRenderedPageBreak/>
              <w:t>заложените цели на ПУРБ</w:t>
            </w:r>
          </w:p>
          <w:p w14:paraId="1AF473F9"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kern w:val="16"/>
                <w:sz w:val="20"/>
                <w:szCs w:val="20"/>
              </w:rPr>
              <w:t xml:space="preserve">Очаква се положително, постоянно, косвено, едновременно, дългосрочно въздействие със средна значимост, дължащо се на: подобряване на качеството на води </w:t>
            </w:r>
            <w:r w:rsidRPr="009F6D1E">
              <w:rPr>
                <w:rFonts w:cs="Times New Roman"/>
                <w:sz w:val="20"/>
                <w:szCs w:val="20"/>
              </w:rPr>
              <w:t xml:space="preserve">от реализацията на биологичното земеделие, свързани с намаляване на използването на минерални торове, пестициди. </w:t>
            </w:r>
          </w:p>
          <w:p w14:paraId="2F11D4E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kern w:val="16"/>
                <w:sz w:val="20"/>
                <w:szCs w:val="20"/>
              </w:rPr>
              <w:t>Обхват на въздействието: локален, регионален</w:t>
            </w:r>
          </w:p>
        </w:tc>
        <w:tc>
          <w:tcPr>
            <w:tcW w:w="4111" w:type="dxa"/>
          </w:tcPr>
          <w:p w14:paraId="5A21534B"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w:t>
            </w:r>
          </w:p>
        </w:tc>
        <w:tc>
          <w:tcPr>
            <w:tcW w:w="4111" w:type="dxa"/>
          </w:tcPr>
          <w:p w14:paraId="4B8558FC"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r>
      <w:tr w:rsidR="00F36E29" w:rsidRPr="009F6D1E" w14:paraId="31CF6FD8" w14:textId="77777777" w:rsidTr="00AB2292">
        <w:trPr>
          <w:trHeight w:val="318"/>
        </w:trPr>
        <w:tc>
          <w:tcPr>
            <w:tcW w:w="1838" w:type="dxa"/>
            <w:shd w:val="clear" w:color="auto" w:fill="auto"/>
          </w:tcPr>
          <w:p w14:paraId="657108E5"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Земни недра</w:t>
            </w:r>
          </w:p>
        </w:tc>
        <w:tc>
          <w:tcPr>
            <w:tcW w:w="3969" w:type="dxa"/>
            <w:shd w:val="clear" w:color="auto" w:fill="auto"/>
          </w:tcPr>
          <w:p w14:paraId="3C6F1AD3"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111" w:type="dxa"/>
            <w:shd w:val="clear" w:color="auto" w:fill="auto"/>
          </w:tcPr>
          <w:p w14:paraId="0D64DE22"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111" w:type="dxa"/>
            <w:shd w:val="clear" w:color="auto" w:fill="auto"/>
          </w:tcPr>
          <w:p w14:paraId="71AA6AC8"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1AE3116F" w14:textId="77777777" w:rsidTr="00AB2292">
        <w:trPr>
          <w:trHeight w:val="318"/>
        </w:trPr>
        <w:tc>
          <w:tcPr>
            <w:tcW w:w="1838" w:type="dxa"/>
            <w:shd w:val="clear" w:color="auto" w:fill="auto"/>
          </w:tcPr>
          <w:p w14:paraId="7E028E9A"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4325A1AE"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3969" w:type="dxa"/>
            <w:shd w:val="clear" w:color="auto" w:fill="auto"/>
          </w:tcPr>
          <w:p w14:paraId="15B8743E"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Очакват се косвени положителни въздействия върху почвите от подпомагането на биологичното земеделие. Въздействията са локални, само в районите </w:t>
            </w:r>
            <w:r w:rsidRPr="009F6D1E">
              <w:rPr>
                <w:rFonts w:cs="Times New Roman"/>
                <w:sz w:val="20"/>
                <w:szCs w:val="20"/>
              </w:rPr>
              <w:lastRenderedPageBreak/>
              <w:t>къде се прилага интервенцията, временни</w:t>
            </w:r>
          </w:p>
        </w:tc>
        <w:tc>
          <w:tcPr>
            <w:tcW w:w="4111" w:type="dxa"/>
          </w:tcPr>
          <w:p w14:paraId="605034CE"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lastRenderedPageBreak/>
              <w:t>Не се очаква въздействие.</w:t>
            </w:r>
          </w:p>
        </w:tc>
        <w:tc>
          <w:tcPr>
            <w:tcW w:w="4111" w:type="dxa"/>
          </w:tcPr>
          <w:p w14:paraId="0006AB37"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38835985" w14:textId="77777777" w:rsidTr="00AB2292">
        <w:trPr>
          <w:trHeight w:val="1505"/>
        </w:trPr>
        <w:tc>
          <w:tcPr>
            <w:tcW w:w="1838" w:type="dxa"/>
            <w:shd w:val="clear" w:color="auto" w:fill="auto"/>
          </w:tcPr>
          <w:p w14:paraId="1420888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3F2147F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7AD230FB"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ЗТ</w:t>
            </w:r>
          </w:p>
        </w:tc>
        <w:tc>
          <w:tcPr>
            <w:tcW w:w="3969" w:type="dxa"/>
            <w:shd w:val="clear" w:color="auto" w:fill="auto"/>
          </w:tcPr>
          <w:p w14:paraId="6CAE091D"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Биологичното земеделие съчетава най-добрите практики по отношение опазването на околната среда, поддържане на висока степен на биологично разнообразие и опазване на природните ресурси. Въвеждането на екстензивни земеделски практики ще намали нитрификацията и </w:t>
            </w:r>
            <w:proofErr w:type="spellStart"/>
            <w:r w:rsidRPr="009F6D1E">
              <w:rPr>
                <w:rFonts w:cs="Times New Roman"/>
                <w:sz w:val="20"/>
                <w:szCs w:val="20"/>
              </w:rPr>
              <w:t>втока</w:t>
            </w:r>
            <w:proofErr w:type="spellEnd"/>
            <w:r w:rsidRPr="009F6D1E">
              <w:rPr>
                <w:rFonts w:cs="Times New Roman"/>
                <w:sz w:val="20"/>
                <w:szCs w:val="20"/>
              </w:rPr>
              <w:t xml:space="preserve"> на биогени в естествените и полуестествени екосистеми особено тревните съобщества и водните местообитания. Въвеждането на добри земеделски практики и опазване на традиционните селскостопански практики за опазване на биологичното разнообразие в земеделските земи би довело до </w:t>
            </w:r>
            <w:r w:rsidRPr="009F6D1E">
              <w:rPr>
                <w:rFonts w:cs="Times New Roman"/>
                <w:sz w:val="20"/>
                <w:szCs w:val="20"/>
              </w:rPr>
              <w:lastRenderedPageBreak/>
              <w:t xml:space="preserve">положително въздействие върху биоразнообразието, директно и индиректно. </w:t>
            </w:r>
          </w:p>
          <w:p w14:paraId="6BA08828" w14:textId="77777777" w:rsidR="00F36E29" w:rsidRPr="009F6D1E" w:rsidRDefault="00F36E29" w:rsidP="0084747F">
            <w:pPr>
              <w:widowControl w:val="0"/>
              <w:spacing w:after="60" w:line="264" w:lineRule="auto"/>
              <w:jc w:val="both"/>
              <w:rPr>
                <w:rFonts w:cs="Times New Roman"/>
                <w:sz w:val="20"/>
                <w:szCs w:val="20"/>
              </w:rPr>
            </w:pPr>
          </w:p>
          <w:p w14:paraId="089452A8"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Тип на въздействието: индиректно, директно, положително</w:t>
            </w:r>
          </w:p>
          <w:p w14:paraId="3D33AEB4"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Продължителност на въздействието: дългосрочно </w:t>
            </w:r>
          </w:p>
          <w:p w14:paraId="02C207A9"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Обхват на въздействието: локален</w:t>
            </w:r>
          </w:p>
        </w:tc>
        <w:tc>
          <w:tcPr>
            <w:tcW w:w="4111" w:type="dxa"/>
            <w:shd w:val="clear" w:color="auto" w:fill="auto"/>
          </w:tcPr>
          <w:p w14:paraId="68AC90D2"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lastRenderedPageBreak/>
              <w:t xml:space="preserve">Положително косвено въздействие в резултат от повишаване търсенето и съответно – производството на биологични продукти. </w:t>
            </w:r>
          </w:p>
          <w:p w14:paraId="3F3CAB7F" w14:textId="77777777" w:rsidR="00F36E29" w:rsidRPr="009F6D1E" w:rsidRDefault="00F36E29" w:rsidP="0084747F">
            <w:pPr>
              <w:widowControl w:val="0"/>
              <w:spacing w:after="60" w:line="264" w:lineRule="auto"/>
              <w:jc w:val="both"/>
              <w:rPr>
                <w:rFonts w:cs="Times New Roman"/>
                <w:sz w:val="20"/>
                <w:szCs w:val="20"/>
              </w:rPr>
            </w:pPr>
          </w:p>
          <w:p w14:paraId="158C0480"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Тип на въздействието: индиректно, положително</w:t>
            </w:r>
          </w:p>
          <w:p w14:paraId="3795626A"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Продължителност на въздействието: дългосрочно </w:t>
            </w:r>
          </w:p>
          <w:p w14:paraId="78ED5405"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Обхват на въздействието: локален</w:t>
            </w:r>
          </w:p>
        </w:tc>
        <w:tc>
          <w:tcPr>
            <w:tcW w:w="4111" w:type="dxa"/>
          </w:tcPr>
          <w:p w14:paraId="43BD4A03"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Положително косвено въздействие в резултат от повишаване търсенето и съответно – производството на биологични продукти. </w:t>
            </w:r>
          </w:p>
          <w:p w14:paraId="4FCD3B37" w14:textId="77777777" w:rsidR="00F36E29" w:rsidRPr="009F6D1E" w:rsidRDefault="00F36E29" w:rsidP="0084747F">
            <w:pPr>
              <w:widowControl w:val="0"/>
              <w:spacing w:after="60" w:line="264" w:lineRule="auto"/>
              <w:jc w:val="both"/>
              <w:rPr>
                <w:rFonts w:cs="Times New Roman"/>
                <w:sz w:val="20"/>
                <w:szCs w:val="20"/>
              </w:rPr>
            </w:pPr>
          </w:p>
          <w:p w14:paraId="0F659CED"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Тип на въздействието: индиректно, положително</w:t>
            </w:r>
          </w:p>
          <w:p w14:paraId="4841F1CF"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Продължителност на въздействието: дългосрочно </w:t>
            </w:r>
          </w:p>
          <w:p w14:paraId="24E67781"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Обхват на въздействието: локален</w:t>
            </w:r>
          </w:p>
        </w:tc>
      </w:tr>
      <w:tr w:rsidR="00F36E29" w:rsidRPr="009F6D1E" w14:paraId="26B48CDB" w14:textId="77777777" w:rsidTr="00AB2292">
        <w:trPr>
          <w:trHeight w:val="318"/>
        </w:trPr>
        <w:tc>
          <w:tcPr>
            <w:tcW w:w="1838" w:type="dxa"/>
            <w:shd w:val="clear" w:color="auto" w:fill="auto"/>
          </w:tcPr>
          <w:p w14:paraId="220E0C00"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 xml:space="preserve">Ландшафт </w:t>
            </w:r>
          </w:p>
        </w:tc>
        <w:tc>
          <w:tcPr>
            <w:tcW w:w="3969" w:type="dxa"/>
            <w:shd w:val="clear" w:color="auto" w:fill="auto"/>
          </w:tcPr>
          <w:p w14:paraId="0FEF16D2"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111" w:type="dxa"/>
            <w:shd w:val="clear" w:color="auto" w:fill="auto"/>
          </w:tcPr>
          <w:p w14:paraId="624B4051"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c>
          <w:tcPr>
            <w:tcW w:w="4111" w:type="dxa"/>
          </w:tcPr>
          <w:p w14:paraId="7BEF4EF2"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0D3AEADC" w14:textId="77777777" w:rsidTr="00AB2292">
        <w:trPr>
          <w:trHeight w:val="318"/>
        </w:trPr>
        <w:tc>
          <w:tcPr>
            <w:tcW w:w="1838" w:type="dxa"/>
            <w:shd w:val="clear" w:color="auto" w:fill="auto"/>
          </w:tcPr>
          <w:p w14:paraId="778C799C"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3969" w:type="dxa"/>
            <w:shd w:val="clear" w:color="auto" w:fill="auto"/>
          </w:tcPr>
          <w:p w14:paraId="63223D8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339F0E3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77F1AB0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68C83B38" w14:textId="77777777" w:rsidTr="00AB2292">
        <w:trPr>
          <w:trHeight w:val="318"/>
        </w:trPr>
        <w:tc>
          <w:tcPr>
            <w:tcW w:w="1838" w:type="dxa"/>
            <w:shd w:val="clear" w:color="auto" w:fill="auto"/>
          </w:tcPr>
          <w:p w14:paraId="2850C022"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3969" w:type="dxa"/>
            <w:shd w:val="clear" w:color="auto" w:fill="auto"/>
          </w:tcPr>
          <w:p w14:paraId="3CE7936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1B0E68A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12D0A14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7EFF3E54" w14:textId="77777777" w:rsidTr="00AB2292">
        <w:trPr>
          <w:trHeight w:val="1610"/>
        </w:trPr>
        <w:tc>
          <w:tcPr>
            <w:tcW w:w="1838" w:type="dxa"/>
            <w:shd w:val="clear" w:color="auto" w:fill="auto"/>
          </w:tcPr>
          <w:p w14:paraId="6494BB0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Вредни физични фактори</w:t>
            </w:r>
          </w:p>
        </w:tc>
        <w:tc>
          <w:tcPr>
            <w:tcW w:w="3969" w:type="dxa"/>
            <w:shd w:val="clear" w:color="auto" w:fill="auto"/>
          </w:tcPr>
          <w:p w14:paraId="38D87DD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645FBF8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48444B0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49F2E0C7" w14:textId="77777777" w:rsidTr="00AB2292">
        <w:trPr>
          <w:trHeight w:val="318"/>
        </w:trPr>
        <w:tc>
          <w:tcPr>
            <w:tcW w:w="1838" w:type="dxa"/>
            <w:shd w:val="clear" w:color="auto" w:fill="auto"/>
          </w:tcPr>
          <w:p w14:paraId="2107273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3969" w:type="dxa"/>
            <w:shd w:val="clear" w:color="auto" w:fill="auto"/>
          </w:tcPr>
          <w:p w14:paraId="2A77FE7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586AB9E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4111" w:type="dxa"/>
          </w:tcPr>
          <w:p w14:paraId="116AD17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58590018" w14:textId="77777777" w:rsidTr="00AB2292">
        <w:tc>
          <w:tcPr>
            <w:tcW w:w="1838" w:type="dxa"/>
            <w:shd w:val="clear" w:color="auto" w:fill="auto"/>
          </w:tcPr>
          <w:p w14:paraId="05A6199F"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3969" w:type="dxa"/>
            <w:shd w:val="clear" w:color="auto" w:fill="auto"/>
          </w:tcPr>
          <w:p w14:paraId="5031AEB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Насърчаването и подпомагането на биологичното земеделие е свързано с 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същото се приложи.</w:t>
            </w:r>
          </w:p>
          <w:p w14:paraId="1D09A1E4" w14:textId="77777777" w:rsidR="00F36E29" w:rsidRPr="009F6D1E" w:rsidRDefault="00F36E29" w:rsidP="0084747F">
            <w:pPr>
              <w:spacing w:after="60" w:line="264" w:lineRule="auto"/>
              <w:jc w:val="both"/>
              <w:rPr>
                <w:rFonts w:cs="Times New Roman"/>
                <w:sz w:val="20"/>
                <w:szCs w:val="20"/>
                <w:highlight w:val="yellow"/>
              </w:rPr>
            </w:pPr>
          </w:p>
        </w:tc>
        <w:tc>
          <w:tcPr>
            <w:tcW w:w="4111" w:type="dxa"/>
          </w:tcPr>
          <w:p w14:paraId="15946CC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Подобряване на контрола, пазарната организация, реализацията и маркетинга в биологичното производство е свързано с повишаване дела на биологичното производство и от тук с редуциране на вредностите и рисковете от съхранението и използването на торове, някои от които с опасни свойства. Въздействието е </w:t>
            </w:r>
            <w:r w:rsidRPr="009F6D1E">
              <w:rPr>
                <w:rFonts w:eastAsia="Tahoma" w:cs="Times New Roman"/>
                <w:sz w:val="20"/>
                <w:szCs w:val="20"/>
                <w:lang w:eastAsia="zh-CN"/>
              </w:rPr>
              <w:lastRenderedPageBreak/>
              <w:t>положително и постоянно за районите, където това се приложи.</w:t>
            </w:r>
          </w:p>
          <w:p w14:paraId="7A1D52DF" w14:textId="77777777" w:rsidR="00F36E29" w:rsidRPr="009F6D1E" w:rsidRDefault="00F36E29" w:rsidP="0084747F">
            <w:pPr>
              <w:spacing w:after="60" w:line="264" w:lineRule="auto"/>
              <w:jc w:val="both"/>
              <w:rPr>
                <w:rFonts w:cs="Times New Roman"/>
                <w:sz w:val="20"/>
                <w:szCs w:val="20"/>
                <w:highlight w:val="yellow"/>
              </w:rPr>
            </w:pPr>
          </w:p>
        </w:tc>
        <w:tc>
          <w:tcPr>
            <w:tcW w:w="4111" w:type="dxa"/>
          </w:tcPr>
          <w:p w14:paraId="520133A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Насърчаването потреблението на биологични продукти е свързано с редуциране на вредностите и рисковете от съхранението и използването на торове, някои от които с опасни свойства. Въздействието е положително и постоянно за районите, където това се приложи.</w:t>
            </w:r>
          </w:p>
          <w:p w14:paraId="1326F385" w14:textId="77777777" w:rsidR="00F36E29" w:rsidRPr="009F6D1E" w:rsidRDefault="00F36E29" w:rsidP="0084747F">
            <w:pPr>
              <w:spacing w:after="60" w:line="264" w:lineRule="auto"/>
              <w:jc w:val="both"/>
              <w:rPr>
                <w:rFonts w:cs="Times New Roman"/>
                <w:sz w:val="20"/>
                <w:szCs w:val="20"/>
                <w:highlight w:val="yellow"/>
              </w:rPr>
            </w:pPr>
          </w:p>
        </w:tc>
      </w:tr>
      <w:tr w:rsidR="00F36E29" w:rsidRPr="009F6D1E" w14:paraId="132FB83D" w14:textId="77777777" w:rsidTr="00AB2292">
        <w:tc>
          <w:tcPr>
            <w:tcW w:w="1838" w:type="dxa"/>
            <w:shd w:val="clear" w:color="auto" w:fill="auto"/>
          </w:tcPr>
          <w:p w14:paraId="69657D3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7580D741"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6ACECEA0"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3969" w:type="dxa"/>
            <w:shd w:val="clear" w:color="auto" w:fill="auto"/>
          </w:tcPr>
          <w:p w14:paraId="1AD9AD43"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Инвестициите са свързани с пряко положително въздействие, в резултат насърчаването и подпомагането на биоземеделието, което от своя страна ще увеличи процента произведени и консумирани биопродукти.</w:t>
            </w:r>
          </w:p>
        </w:tc>
        <w:tc>
          <w:tcPr>
            <w:tcW w:w="4111" w:type="dxa"/>
          </w:tcPr>
          <w:p w14:paraId="2BD8B4CA"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Пряко и положително въздействие, като резултат от увеличаване на произведения дял на биопродукцията.</w:t>
            </w:r>
          </w:p>
        </w:tc>
        <w:tc>
          <w:tcPr>
            <w:tcW w:w="4111" w:type="dxa"/>
          </w:tcPr>
          <w:p w14:paraId="339C6DDE"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Пряко и положително въздействие, резултат от увеличаване дела на биопродукцията.</w:t>
            </w:r>
          </w:p>
        </w:tc>
      </w:tr>
      <w:bookmarkEnd w:id="619"/>
    </w:tbl>
    <w:p w14:paraId="28BBC6CA" w14:textId="77777777" w:rsidR="00F36E29" w:rsidRPr="009F6D1E" w:rsidRDefault="00F36E29" w:rsidP="0084747F">
      <w:pPr>
        <w:spacing w:after="60" w:line="264" w:lineRule="auto"/>
        <w:contextualSpacing/>
        <w:jc w:val="both"/>
        <w:rPr>
          <w:rFonts w:eastAsia="Calibri" w:cs="Times New Roman"/>
          <w:b/>
          <w:bCs/>
          <w:i/>
          <w:iCs/>
          <w:sz w:val="20"/>
          <w:szCs w:val="20"/>
        </w:rPr>
      </w:pPr>
    </w:p>
    <w:p w14:paraId="46C609ED" w14:textId="77777777" w:rsidR="00F36E29" w:rsidRPr="009F6D1E" w:rsidRDefault="00F36E29" w:rsidP="0084747F">
      <w:pPr>
        <w:spacing w:after="60" w:line="264" w:lineRule="auto"/>
        <w:contextualSpacing/>
        <w:jc w:val="both"/>
        <w:rPr>
          <w:rFonts w:eastAsia="Calibri" w:cs="Times New Roman"/>
          <w:b/>
          <w:bCs/>
          <w:i/>
          <w:iCs/>
          <w:sz w:val="20"/>
          <w:szCs w:val="20"/>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3"/>
        <w:gridCol w:w="3969"/>
        <w:gridCol w:w="3969"/>
      </w:tblGrid>
      <w:tr w:rsidR="00F36E29" w:rsidRPr="009F6D1E" w14:paraId="12C8DF67" w14:textId="77777777" w:rsidTr="00AB2292">
        <w:trPr>
          <w:tblHeader/>
        </w:trPr>
        <w:tc>
          <w:tcPr>
            <w:tcW w:w="1838" w:type="dxa"/>
            <w:vMerge w:val="restart"/>
            <w:shd w:val="clear" w:color="auto" w:fill="D9D9D9" w:themeFill="background1" w:themeFillShade="D9"/>
            <w:vAlign w:val="center"/>
          </w:tcPr>
          <w:p w14:paraId="36779B12"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sz w:val="20"/>
                <w:szCs w:val="20"/>
              </w:rPr>
              <w:lastRenderedPageBreak/>
              <w:t>Компонент/ Фактор на околната среда</w:t>
            </w:r>
          </w:p>
        </w:tc>
        <w:tc>
          <w:tcPr>
            <w:tcW w:w="4253" w:type="dxa"/>
            <w:shd w:val="clear" w:color="auto" w:fill="D9D9D9" w:themeFill="background1" w:themeFillShade="D9"/>
          </w:tcPr>
          <w:p w14:paraId="2584D071"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П.9.4. Подобряване качеството на храните, насърчаване консумацията на здравословна храна, повишаване информираността на потребителите относно етикирането на храните и засилване на контрола при внос на суровини и храни;</w:t>
            </w:r>
          </w:p>
          <w:p w14:paraId="733D3CCA"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 xml:space="preserve">: </w:t>
            </w:r>
          </w:p>
          <w:p w14:paraId="0F520500"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Схеми "Училищен плод" и "Училищно мляко"</w:t>
            </w:r>
          </w:p>
          <w:p w14:paraId="58968EF7"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Консултантски услуги и повишаване на консултантския капацитет“</w:t>
            </w:r>
          </w:p>
          <w:p w14:paraId="22F77BE3"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xml:space="preserve"> - Подкрепа на организации на производители или групи от производители</w:t>
            </w:r>
          </w:p>
        </w:tc>
        <w:tc>
          <w:tcPr>
            <w:tcW w:w="3969" w:type="dxa"/>
            <w:shd w:val="clear" w:color="auto" w:fill="D9D9D9" w:themeFill="background1" w:themeFillShade="D9"/>
          </w:tcPr>
          <w:p w14:paraId="0B588B5C"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П.9.5. Подкрепа на производителите, участващи в схемите за качество съгласно Европейската регулация относно схемите за качество на селскостопански продукти и храни</w:t>
            </w:r>
          </w:p>
          <w:p w14:paraId="5EE6FE5E"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5EB953F5"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Схеми за качество, вкл. и незадължителния термин за качество "планински продукт", чрез разработване на мярка „Схеми за качество на селскостопански продукти и храни“</w:t>
            </w:r>
          </w:p>
          <w:p w14:paraId="06D6C8D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Насърчаване на схемите за качество, чл. 77 Сътрудничество.</w:t>
            </w:r>
          </w:p>
        </w:tc>
        <w:tc>
          <w:tcPr>
            <w:tcW w:w="3969" w:type="dxa"/>
            <w:shd w:val="clear" w:color="auto" w:fill="D9D9D9" w:themeFill="background1" w:themeFillShade="D9"/>
          </w:tcPr>
          <w:p w14:paraId="78E42DC8"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П.9.6. Подобряване отглеждането на животните</w:t>
            </w:r>
          </w:p>
          <w:p w14:paraId="64BD42A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4BB2B0D9"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Еко схема за поддържане на биологично земеделие (селскостопански животни) (по чл. 31 от Регламент (ЕС) 2021/2115)</w:t>
            </w:r>
          </w:p>
          <w:p w14:paraId="213746CE"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Интервенция насочена към хуманно отношение съгл. чл. 70 (ЕЗФРСР)</w:t>
            </w:r>
          </w:p>
          <w:p w14:paraId="60A41BBC"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Инвестиции за превантивни действия и възстановяването на земеделски потенциал след природни бедствия или катастрофични събития - член 73</w:t>
            </w:r>
          </w:p>
        </w:tc>
      </w:tr>
      <w:tr w:rsidR="00F36E29" w:rsidRPr="009F6D1E" w14:paraId="2E4CA910" w14:textId="77777777" w:rsidTr="00AB2292">
        <w:trPr>
          <w:tblHeader/>
        </w:trPr>
        <w:tc>
          <w:tcPr>
            <w:tcW w:w="1838" w:type="dxa"/>
            <w:vMerge/>
            <w:shd w:val="clear" w:color="auto" w:fill="FFF2CC" w:themeFill="accent4" w:themeFillTint="33"/>
          </w:tcPr>
          <w:p w14:paraId="3F2F3FAB" w14:textId="77777777" w:rsidR="00F36E29" w:rsidRPr="009F6D1E" w:rsidRDefault="00F36E29"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12AA6761"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3F959109" w14:textId="77777777" w:rsidTr="00AB2292">
        <w:trPr>
          <w:trHeight w:val="318"/>
        </w:trPr>
        <w:tc>
          <w:tcPr>
            <w:tcW w:w="1838" w:type="dxa"/>
            <w:shd w:val="clear" w:color="auto" w:fill="auto"/>
          </w:tcPr>
          <w:p w14:paraId="4DFEA6D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3D52C89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2BE61DD3"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253" w:type="dxa"/>
            <w:shd w:val="clear" w:color="auto" w:fill="auto"/>
          </w:tcPr>
          <w:p w14:paraId="361300B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121051B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171C9BE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4C6E0AB0" w14:textId="77777777" w:rsidTr="00AB2292">
        <w:trPr>
          <w:trHeight w:val="318"/>
        </w:trPr>
        <w:tc>
          <w:tcPr>
            <w:tcW w:w="1838" w:type="dxa"/>
            <w:shd w:val="clear" w:color="auto" w:fill="auto"/>
          </w:tcPr>
          <w:p w14:paraId="67E9CEDF"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253" w:type="dxa"/>
            <w:shd w:val="clear" w:color="auto" w:fill="auto"/>
          </w:tcPr>
          <w:p w14:paraId="0FB2419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448B0C0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25586D8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27D5E9FA" w14:textId="77777777" w:rsidTr="00AB2292">
        <w:trPr>
          <w:trHeight w:val="318"/>
        </w:trPr>
        <w:tc>
          <w:tcPr>
            <w:tcW w:w="1838" w:type="dxa"/>
            <w:shd w:val="clear" w:color="auto" w:fill="auto"/>
          </w:tcPr>
          <w:p w14:paraId="349CE27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01A8077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2632D76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Зони за защита на водите</w:t>
            </w:r>
          </w:p>
          <w:p w14:paraId="077DE08A"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253" w:type="dxa"/>
            <w:shd w:val="clear" w:color="auto" w:fill="auto"/>
          </w:tcPr>
          <w:p w14:paraId="031BB88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w:t>
            </w:r>
          </w:p>
        </w:tc>
        <w:tc>
          <w:tcPr>
            <w:tcW w:w="3969" w:type="dxa"/>
          </w:tcPr>
          <w:p w14:paraId="59820F0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3969" w:type="dxa"/>
          </w:tcPr>
          <w:p w14:paraId="6D887AA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r>
      <w:tr w:rsidR="00F36E29" w:rsidRPr="009F6D1E" w14:paraId="2612E92A" w14:textId="77777777" w:rsidTr="00AB2292">
        <w:trPr>
          <w:trHeight w:val="318"/>
        </w:trPr>
        <w:tc>
          <w:tcPr>
            <w:tcW w:w="1838" w:type="dxa"/>
            <w:shd w:val="clear" w:color="auto" w:fill="auto"/>
          </w:tcPr>
          <w:p w14:paraId="547DF429"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Земни недра</w:t>
            </w:r>
          </w:p>
        </w:tc>
        <w:tc>
          <w:tcPr>
            <w:tcW w:w="4253" w:type="dxa"/>
            <w:shd w:val="clear" w:color="auto" w:fill="auto"/>
          </w:tcPr>
          <w:p w14:paraId="7F0CA8A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23AEEDC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08E3CBE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69279AD7" w14:textId="77777777" w:rsidTr="00AB2292">
        <w:trPr>
          <w:trHeight w:val="318"/>
        </w:trPr>
        <w:tc>
          <w:tcPr>
            <w:tcW w:w="1838" w:type="dxa"/>
            <w:shd w:val="clear" w:color="auto" w:fill="auto"/>
          </w:tcPr>
          <w:p w14:paraId="3E87AE3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7633A2DC"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253" w:type="dxa"/>
            <w:shd w:val="clear" w:color="auto" w:fill="auto"/>
          </w:tcPr>
          <w:p w14:paraId="35FBD02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186E2AB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556A46B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5A036F0D" w14:textId="77777777" w:rsidTr="00AB2292">
        <w:trPr>
          <w:trHeight w:val="810"/>
        </w:trPr>
        <w:tc>
          <w:tcPr>
            <w:tcW w:w="1838" w:type="dxa"/>
            <w:shd w:val="clear" w:color="auto" w:fill="auto"/>
          </w:tcPr>
          <w:p w14:paraId="2F6C2B6F" w14:textId="77777777" w:rsidR="00F36E29" w:rsidRPr="009F6D1E" w:rsidRDefault="00F36E29" w:rsidP="0084747F">
            <w:pPr>
              <w:spacing w:after="60" w:line="264" w:lineRule="auto"/>
              <w:jc w:val="both"/>
              <w:rPr>
                <w:rFonts w:cs="Times New Roman"/>
                <w:b/>
                <w:sz w:val="20"/>
                <w:szCs w:val="20"/>
              </w:rPr>
            </w:pPr>
            <w:r w:rsidRPr="009F6D1E">
              <w:rPr>
                <w:rFonts w:cs="Times New Roman"/>
                <w:b/>
                <w:sz w:val="20"/>
                <w:szCs w:val="20"/>
              </w:rPr>
              <w:t>Биоразнообразие</w:t>
            </w:r>
          </w:p>
          <w:p w14:paraId="63CB086E" w14:textId="77777777" w:rsidR="00F36E29" w:rsidRPr="009F6D1E" w:rsidRDefault="00F36E29" w:rsidP="0084747F">
            <w:pPr>
              <w:spacing w:after="60" w:line="264" w:lineRule="auto"/>
              <w:jc w:val="both"/>
              <w:rPr>
                <w:rFonts w:cs="Times New Roman"/>
                <w:b/>
                <w:sz w:val="20"/>
                <w:szCs w:val="20"/>
              </w:rPr>
            </w:pPr>
            <w:r w:rsidRPr="009F6D1E">
              <w:rPr>
                <w:rFonts w:cs="Times New Roman"/>
                <w:b/>
                <w:sz w:val="20"/>
                <w:szCs w:val="20"/>
              </w:rPr>
              <w:t>Горски територии</w:t>
            </w:r>
          </w:p>
          <w:p w14:paraId="7F0F4C42"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sz w:val="20"/>
                <w:szCs w:val="20"/>
              </w:rPr>
              <w:t>ЗТ</w:t>
            </w:r>
          </w:p>
        </w:tc>
        <w:tc>
          <w:tcPr>
            <w:tcW w:w="4253" w:type="dxa"/>
            <w:shd w:val="clear" w:color="auto" w:fill="auto"/>
          </w:tcPr>
          <w:p w14:paraId="08ED7A3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Положително косвено въздействие в резултат от повишаване търсенето и съответно – производството на биологични продукти. </w:t>
            </w:r>
          </w:p>
          <w:p w14:paraId="197540CE" w14:textId="77777777" w:rsidR="00F36E29" w:rsidRPr="009F6D1E" w:rsidRDefault="00F36E29" w:rsidP="0084747F">
            <w:pPr>
              <w:spacing w:after="60" w:line="264" w:lineRule="auto"/>
              <w:jc w:val="both"/>
              <w:rPr>
                <w:rFonts w:eastAsia="Tahoma" w:cs="Times New Roman"/>
                <w:sz w:val="20"/>
                <w:szCs w:val="20"/>
                <w:lang w:eastAsia="zh-CN"/>
              </w:rPr>
            </w:pPr>
          </w:p>
          <w:p w14:paraId="4243EF9C"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индиректно, положително</w:t>
            </w:r>
          </w:p>
          <w:p w14:paraId="434C062B"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Продължителност на въздействието: дългосрочно </w:t>
            </w:r>
          </w:p>
          <w:p w14:paraId="569578E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Обхват на въздействието: локален </w:t>
            </w:r>
          </w:p>
        </w:tc>
        <w:tc>
          <w:tcPr>
            <w:tcW w:w="3969" w:type="dxa"/>
            <w:shd w:val="clear" w:color="auto" w:fill="auto"/>
          </w:tcPr>
          <w:p w14:paraId="3F4D567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Положително косвено въздействие.</w:t>
            </w:r>
          </w:p>
          <w:p w14:paraId="14FA234A" w14:textId="77777777" w:rsidR="00F36E29" w:rsidRPr="009F6D1E" w:rsidRDefault="00F36E29" w:rsidP="0084747F">
            <w:pPr>
              <w:spacing w:after="60" w:line="264" w:lineRule="auto"/>
              <w:jc w:val="both"/>
              <w:rPr>
                <w:rFonts w:eastAsia="Tahoma" w:cs="Times New Roman"/>
                <w:sz w:val="20"/>
                <w:szCs w:val="20"/>
                <w:lang w:eastAsia="zh-CN"/>
              </w:rPr>
            </w:pPr>
          </w:p>
          <w:p w14:paraId="5B28997C"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индиректно, положително</w:t>
            </w:r>
          </w:p>
          <w:p w14:paraId="3F950E7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Продължителност на въздействието: дългосрочно </w:t>
            </w:r>
          </w:p>
          <w:p w14:paraId="54583AE7"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Обхват на въздействието: локален</w:t>
            </w:r>
          </w:p>
          <w:p w14:paraId="57D883B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 </w:t>
            </w:r>
          </w:p>
        </w:tc>
        <w:tc>
          <w:tcPr>
            <w:tcW w:w="3969" w:type="dxa"/>
          </w:tcPr>
          <w:p w14:paraId="2840D3A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 Не се очаква отрицателно въздействие</w:t>
            </w:r>
          </w:p>
        </w:tc>
      </w:tr>
      <w:tr w:rsidR="00F36E29" w:rsidRPr="009F6D1E" w14:paraId="1440A18D" w14:textId="77777777" w:rsidTr="00AB2292">
        <w:trPr>
          <w:trHeight w:val="318"/>
        </w:trPr>
        <w:tc>
          <w:tcPr>
            <w:tcW w:w="1838" w:type="dxa"/>
            <w:shd w:val="clear" w:color="auto" w:fill="auto"/>
          </w:tcPr>
          <w:p w14:paraId="50C81BF7"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 xml:space="preserve">Ландшафт </w:t>
            </w:r>
          </w:p>
        </w:tc>
        <w:tc>
          <w:tcPr>
            <w:tcW w:w="4253" w:type="dxa"/>
            <w:shd w:val="clear" w:color="auto" w:fill="auto"/>
          </w:tcPr>
          <w:p w14:paraId="27E5AF3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shd w:val="clear" w:color="auto" w:fill="auto"/>
          </w:tcPr>
          <w:p w14:paraId="317ECA3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681F4FA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508CE72B" w14:textId="77777777" w:rsidTr="00AB2292">
        <w:trPr>
          <w:trHeight w:val="318"/>
        </w:trPr>
        <w:tc>
          <w:tcPr>
            <w:tcW w:w="1838" w:type="dxa"/>
            <w:shd w:val="clear" w:color="auto" w:fill="auto"/>
          </w:tcPr>
          <w:p w14:paraId="0E8261D0"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4253" w:type="dxa"/>
            <w:shd w:val="clear" w:color="auto" w:fill="auto"/>
          </w:tcPr>
          <w:p w14:paraId="3AEF15E5"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0127C7E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969" w:type="dxa"/>
          </w:tcPr>
          <w:p w14:paraId="6E2D07B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6290A9FC" w14:textId="77777777" w:rsidTr="00AB2292">
        <w:trPr>
          <w:trHeight w:val="318"/>
        </w:trPr>
        <w:tc>
          <w:tcPr>
            <w:tcW w:w="1838" w:type="dxa"/>
            <w:shd w:val="clear" w:color="auto" w:fill="auto"/>
          </w:tcPr>
          <w:p w14:paraId="488D4825"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4253" w:type="dxa"/>
            <w:shd w:val="clear" w:color="auto" w:fill="auto"/>
          </w:tcPr>
          <w:p w14:paraId="6F15800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3969" w:type="dxa"/>
          </w:tcPr>
          <w:p w14:paraId="26DD0BB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3969" w:type="dxa"/>
          </w:tcPr>
          <w:p w14:paraId="09176BD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r>
      <w:tr w:rsidR="00F36E29" w:rsidRPr="009F6D1E" w14:paraId="72AF3CA4" w14:textId="77777777" w:rsidTr="00AB2292">
        <w:trPr>
          <w:trHeight w:val="526"/>
        </w:trPr>
        <w:tc>
          <w:tcPr>
            <w:tcW w:w="1838" w:type="dxa"/>
            <w:shd w:val="clear" w:color="auto" w:fill="auto"/>
          </w:tcPr>
          <w:p w14:paraId="62D6200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4253" w:type="dxa"/>
            <w:shd w:val="clear" w:color="auto" w:fill="auto"/>
          </w:tcPr>
          <w:p w14:paraId="4B98AE6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3B68504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2BDDAFD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702233AE" w14:textId="77777777" w:rsidTr="00AB2292">
        <w:trPr>
          <w:trHeight w:val="318"/>
        </w:trPr>
        <w:tc>
          <w:tcPr>
            <w:tcW w:w="1838" w:type="dxa"/>
            <w:shd w:val="clear" w:color="auto" w:fill="auto"/>
          </w:tcPr>
          <w:p w14:paraId="47B65D9B"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4253" w:type="dxa"/>
            <w:shd w:val="clear" w:color="auto" w:fill="auto"/>
          </w:tcPr>
          <w:p w14:paraId="3A31F13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290029D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3969" w:type="dxa"/>
          </w:tcPr>
          <w:p w14:paraId="0651186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0908353D" w14:textId="77777777" w:rsidTr="00AB2292">
        <w:tc>
          <w:tcPr>
            <w:tcW w:w="1838" w:type="dxa"/>
            <w:shd w:val="clear" w:color="auto" w:fill="auto"/>
          </w:tcPr>
          <w:p w14:paraId="6B259B9C"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lastRenderedPageBreak/>
              <w:t>Опасни химични вещества и риск от големи аварии</w:t>
            </w:r>
          </w:p>
        </w:tc>
        <w:tc>
          <w:tcPr>
            <w:tcW w:w="4253" w:type="dxa"/>
            <w:shd w:val="clear" w:color="auto" w:fill="auto"/>
          </w:tcPr>
          <w:p w14:paraId="1CCFA430"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969" w:type="dxa"/>
          </w:tcPr>
          <w:p w14:paraId="64DA8A4B"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c>
          <w:tcPr>
            <w:tcW w:w="3969" w:type="dxa"/>
          </w:tcPr>
          <w:p w14:paraId="2EF85CAD"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tr w:rsidR="00F36E29" w:rsidRPr="009F6D1E" w14:paraId="1F559D3C" w14:textId="77777777" w:rsidTr="00AB2292">
        <w:tc>
          <w:tcPr>
            <w:tcW w:w="1838" w:type="dxa"/>
            <w:shd w:val="clear" w:color="auto" w:fill="auto"/>
          </w:tcPr>
          <w:p w14:paraId="1AEF173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615A595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62225FEE"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253" w:type="dxa"/>
            <w:shd w:val="clear" w:color="auto" w:fill="auto"/>
          </w:tcPr>
          <w:p w14:paraId="5BC71AEE"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Очаква се прилагането на мярката да доведе до изграждане на здравословни хранителни навици при подрастващите, като окаже пряко, положително и дълготрайно въздействие върху населението.</w:t>
            </w:r>
          </w:p>
        </w:tc>
        <w:tc>
          <w:tcPr>
            <w:tcW w:w="3969" w:type="dxa"/>
          </w:tcPr>
          <w:p w14:paraId="006104C4"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Подобряването качеството на селскостопанските продукти и храни ще доведе до положително, пряко и дълготрайно въздействие върху населението.</w:t>
            </w:r>
          </w:p>
        </w:tc>
        <w:tc>
          <w:tcPr>
            <w:tcW w:w="3969" w:type="dxa"/>
          </w:tcPr>
          <w:p w14:paraId="250080B0"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Прилагането на методите на биологичното земеделие към селскостопанските животни ще доведе до дълготрайно, пряко и положително въздействие върху населението.</w:t>
            </w:r>
          </w:p>
        </w:tc>
      </w:tr>
    </w:tbl>
    <w:p w14:paraId="327DB8A0" w14:textId="77777777" w:rsidR="00F36E29" w:rsidRPr="009F6D1E" w:rsidRDefault="00F36E29" w:rsidP="0084747F">
      <w:pPr>
        <w:spacing w:after="60" w:line="264" w:lineRule="auto"/>
        <w:contextualSpacing/>
        <w:jc w:val="both"/>
        <w:rPr>
          <w:rFonts w:eastAsia="Calibri" w:cs="Times New Roman"/>
          <w:b/>
          <w:bCs/>
          <w:i/>
          <w:iCs/>
          <w:sz w:val="20"/>
          <w:szCs w:val="20"/>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954"/>
        <w:gridCol w:w="6237"/>
      </w:tblGrid>
      <w:tr w:rsidR="00F36E29" w:rsidRPr="009F6D1E" w14:paraId="1D59D61B" w14:textId="77777777" w:rsidTr="00AB2292">
        <w:trPr>
          <w:tblHeader/>
        </w:trPr>
        <w:tc>
          <w:tcPr>
            <w:tcW w:w="1838" w:type="dxa"/>
            <w:vMerge w:val="restart"/>
            <w:shd w:val="clear" w:color="auto" w:fill="D9D9D9" w:themeFill="background1" w:themeFillShade="D9"/>
            <w:vAlign w:val="center"/>
          </w:tcPr>
          <w:p w14:paraId="1C20A3F3"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sz w:val="20"/>
                <w:szCs w:val="20"/>
              </w:rPr>
              <w:lastRenderedPageBreak/>
              <w:t>Компонент/ Фактор на околната среда</w:t>
            </w:r>
          </w:p>
        </w:tc>
        <w:tc>
          <w:tcPr>
            <w:tcW w:w="5954" w:type="dxa"/>
            <w:shd w:val="clear" w:color="auto" w:fill="D9D9D9" w:themeFill="background1" w:themeFillShade="D9"/>
          </w:tcPr>
          <w:p w14:paraId="2B3E623E"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П.9.7. Намаляване употребата на антимикробни средства в селското стопанство;</w:t>
            </w:r>
          </w:p>
          <w:p w14:paraId="134BAA82"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 xml:space="preserve">: </w:t>
            </w:r>
          </w:p>
          <w:p w14:paraId="58D909BA"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w:t>
            </w:r>
            <w:r w:rsidRPr="009F6D1E">
              <w:rPr>
                <w:rFonts w:cs="Times New Roman"/>
                <w:sz w:val="20"/>
                <w:szCs w:val="20"/>
              </w:rPr>
              <w:t xml:space="preserve"> </w:t>
            </w:r>
            <w:r w:rsidRPr="009F6D1E">
              <w:rPr>
                <w:rFonts w:cs="Times New Roman"/>
                <w:i/>
                <w:sz w:val="20"/>
                <w:szCs w:val="20"/>
              </w:rPr>
              <w:t>Интервенция насочена към хуманно отношение съгл. чл. 70. (ЕЗФРСР)</w:t>
            </w:r>
          </w:p>
          <w:p w14:paraId="19570FDF"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Възстановяването на земеделски потенциал след природни бедствия или катастрофични събития и инвестиции в подходящи превантивни действия</w:t>
            </w:r>
          </w:p>
          <w:p w14:paraId="3C0895AF"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Инвестиции в земеделски стопанства- член 73 (ЕЗФРСР)</w:t>
            </w:r>
          </w:p>
        </w:tc>
        <w:tc>
          <w:tcPr>
            <w:tcW w:w="6237" w:type="dxa"/>
            <w:shd w:val="clear" w:color="auto" w:fill="D9D9D9" w:themeFill="background1" w:themeFillShade="D9"/>
            <w:vAlign w:val="center"/>
          </w:tcPr>
          <w:p w14:paraId="306332D7"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П.9.8. Интервенции за подобряване използването на торове и продукти за растителна защита в земеделието и повишаване ефективността на контрола на пазара и контрола върху употребата на ПРЗ и торове</w:t>
            </w:r>
          </w:p>
          <w:p w14:paraId="68A23AE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32BA4666"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xml:space="preserve"> - Еко схема за намаляване използването на пестициди</w:t>
            </w:r>
          </w:p>
          <w:p w14:paraId="2F2B7D6A"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Еко схема за запазване и възстановяване на почвения потенциал</w:t>
            </w:r>
          </w:p>
          <w:p w14:paraId="3277147D" w14:textId="77777777" w:rsidR="00F36E29" w:rsidRPr="009F6D1E" w:rsidRDefault="00F36E29" w:rsidP="0084747F">
            <w:pPr>
              <w:spacing w:after="60" w:line="264" w:lineRule="auto"/>
              <w:jc w:val="center"/>
              <w:rPr>
                <w:rFonts w:cs="Times New Roman"/>
                <w:b/>
                <w:bCs/>
                <w:i/>
                <w:sz w:val="20"/>
                <w:szCs w:val="20"/>
              </w:rPr>
            </w:pPr>
          </w:p>
        </w:tc>
      </w:tr>
      <w:tr w:rsidR="00F36E29" w:rsidRPr="009F6D1E" w14:paraId="1FE35156" w14:textId="77777777" w:rsidTr="00AB2292">
        <w:trPr>
          <w:tblHeader/>
        </w:trPr>
        <w:tc>
          <w:tcPr>
            <w:tcW w:w="1838" w:type="dxa"/>
            <w:vMerge/>
            <w:shd w:val="clear" w:color="auto" w:fill="FFF2CC" w:themeFill="accent4" w:themeFillTint="33"/>
          </w:tcPr>
          <w:p w14:paraId="1A77835B" w14:textId="77777777" w:rsidR="00F36E29" w:rsidRPr="009F6D1E" w:rsidRDefault="00F36E29" w:rsidP="0084747F">
            <w:pPr>
              <w:spacing w:after="60" w:line="264" w:lineRule="auto"/>
              <w:jc w:val="center"/>
              <w:rPr>
                <w:rFonts w:cs="Times New Roman"/>
                <w:b/>
                <w:bCs/>
                <w:sz w:val="20"/>
                <w:szCs w:val="20"/>
              </w:rPr>
            </w:pPr>
          </w:p>
        </w:tc>
        <w:tc>
          <w:tcPr>
            <w:tcW w:w="12191" w:type="dxa"/>
            <w:gridSpan w:val="2"/>
            <w:shd w:val="clear" w:color="auto" w:fill="FFF2CC" w:themeFill="accent4" w:themeFillTint="33"/>
          </w:tcPr>
          <w:p w14:paraId="75F700B7"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1711032E" w14:textId="77777777" w:rsidTr="00AB2292">
        <w:trPr>
          <w:trHeight w:val="318"/>
        </w:trPr>
        <w:tc>
          <w:tcPr>
            <w:tcW w:w="1838" w:type="dxa"/>
            <w:shd w:val="clear" w:color="auto" w:fill="auto"/>
          </w:tcPr>
          <w:p w14:paraId="6EB4169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0DD3DAE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13828CF1"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5954" w:type="dxa"/>
            <w:shd w:val="clear" w:color="auto" w:fill="auto"/>
          </w:tcPr>
          <w:p w14:paraId="1265C10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6237" w:type="dxa"/>
          </w:tcPr>
          <w:p w14:paraId="64AB34A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Прилагането на мярката ще повлияе положително върху органичния състав на почвите и така индиректно ще допринесе за намаляване емитираните количества на въглеродни оксиди. Въздействието ще е положително, дългосрочно и пряко, с обхват, характерен за районите, където земеделските производители пристъпят към прилагане/изпълнение на мярката.</w:t>
            </w:r>
          </w:p>
        </w:tc>
      </w:tr>
      <w:tr w:rsidR="00F36E29" w:rsidRPr="009F6D1E" w14:paraId="6B9E1E2B" w14:textId="77777777" w:rsidTr="00AB2292">
        <w:trPr>
          <w:trHeight w:val="318"/>
        </w:trPr>
        <w:tc>
          <w:tcPr>
            <w:tcW w:w="1838" w:type="dxa"/>
            <w:shd w:val="clear" w:color="auto" w:fill="auto"/>
          </w:tcPr>
          <w:p w14:paraId="02B3BAE1"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5954" w:type="dxa"/>
            <w:shd w:val="clear" w:color="auto" w:fill="auto"/>
          </w:tcPr>
          <w:p w14:paraId="441501E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6237" w:type="dxa"/>
          </w:tcPr>
          <w:p w14:paraId="74F8108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Прилагането на мярката ще допринесе за намаляване емисиите на атмосферни замърсители, като очакваното въздействие ще е положително, дългосрочно, с обхват районите на прилагане на мярката.</w:t>
            </w:r>
          </w:p>
        </w:tc>
      </w:tr>
      <w:tr w:rsidR="00F36E29" w:rsidRPr="009F6D1E" w14:paraId="6C3FC64F" w14:textId="77777777" w:rsidTr="00AB2292">
        <w:trPr>
          <w:trHeight w:val="318"/>
        </w:trPr>
        <w:tc>
          <w:tcPr>
            <w:tcW w:w="1838" w:type="dxa"/>
            <w:shd w:val="clear" w:color="auto" w:fill="auto"/>
          </w:tcPr>
          <w:p w14:paraId="2BF85AD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71C1063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1518B40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6FBFBCDF"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5954" w:type="dxa"/>
            <w:shd w:val="clear" w:color="auto" w:fill="auto"/>
          </w:tcPr>
          <w:p w14:paraId="29BD9DA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6237" w:type="dxa"/>
          </w:tcPr>
          <w:p w14:paraId="6A5656E6" w14:textId="77777777" w:rsidR="00F36E29" w:rsidRPr="009F6D1E" w:rsidRDefault="00F36E29" w:rsidP="0084747F">
            <w:pPr>
              <w:widowControl w:val="0"/>
              <w:spacing w:after="60" w:line="264" w:lineRule="auto"/>
              <w:jc w:val="both"/>
              <w:rPr>
                <w:rFonts w:cs="Times New Roman"/>
                <w:sz w:val="20"/>
                <w:szCs w:val="20"/>
              </w:rPr>
            </w:pPr>
            <w:r w:rsidRPr="009F6D1E">
              <w:rPr>
                <w:rFonts w:cs="Times New Roman"/>
                <w:sz w:val="20"/>
                <w:szCs w:val="20"/>
              </w:rPr>
              <w:t xml:space="preserve">При контрола върху употребата на препарати за растителна защита и торове се очаква положително, постоянно, косвено, едновременно, дългосрочно въздействие със средна значимост, дължащо се на: подобряване на качеството на води от реализацията на добри земеделски практики </w:t>
            </w:r>
          </w:p>
          <w:p w14:paraId="0D50B516" w14:textId="77777777" w:rsidR="00F36E29" w:rsidRPr="009F6D1E" w:rsidRDefault="00F36E29" w:rsidP="0084747F">
            <w:pPr>
              <w:spacing w:after="60" w:line="264" w:lineRule="auto"/>
              <w:jc w:val="both"/>
              <w:rPr>
                <w:rFonts w:eastAsia="Tahoma" w:cs="Times New Roman"/>
                <w:sz w:val="20"/>
                <w:szCs w:val="20"/>
                <w:lang w:eastAsia="zh-CN"/>
              </w:rPr>
            </w:pPr>
          </w:p>
        </w:tc>
      </w:tr>
      <w:tr w:rsidR="00F36E29" w:rsidRPr="009F6D1E" w14:paraId="36D25799" w14:textId="77777777" w:rsidTr="00AB2292">
        <w:trPr>
          <w:trHeight w:val="318"/>
        </w:trPr>
        <w:tc>
          <w:tcPr>
            <w:tcW w:w="1838" w:type="dxa"/>
            <w:shd w:val="clear" w:color="auto" w:fill="auto"/>
          </w:tcPr>
          <w:p w14:paraId="65A7C32D"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Земни недра</w:t>
            </w:r>
          </w:p>
        </w:tc>
        <w:tc>
          <w:tcPr>
            <w:tcW w:w="5954" w:type="dxa"/>
            <w:shd w:val="clear" w:color="auto" w:fill="auto"/>
          </w:tcPr>
          <w:p w14:paraId="6FF7869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237" w:type="dxa"/>
            <w:shd w:val="clear" w:color="auto" w:fill="auto"/>
          </w:tcPr>
          <w:p w14:paraId="05F22DC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3873622A" w14:textId="77777777" w:rsidTr="00AB2292">
        <w:trPr>
          <w:trHeight w:val="318"/>
        </w:trPr>
        <w:tc>
          <w:tcPr>
            <w:tcW w:w="1838" w:type="dxa"/>
            <w:shd w:val="clear" w:color="auto" w:fill="auto"/>
          </w:tcPr>
          <w:p w14:paraId="3E77668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05A5B3CC"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5954" w:type="dxa"/>
            <w:shd w:val="clear" w:color="auto" w:fill="auto"/>
          </w:tcPr>
          <w:p w14:paraId="40EF4FA8"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237" w:type="dxa"/>
          </w:tcPr>
          <w:p w14:paraId="37CFC2D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Очакват се директни положителни въздействия върху почвите в резултат от намаляване използването на пестициди и запазването и възстановяването на почвения потенциал. Въздействията са дълготрайни, локални по обхват</w:t>
            </w:r>
          </w:p>
        </w:tc>
      </w:tr>
      <w:tr w:rsidR="00F36E29" w:rsidRPr="009F6D1E" w14:paraId="0B7D38D5" w14:textId="77777777" w:rsidTr="00AB2292">
        <w:trPr>
          <w:trHeight w:val="910"/>
        </w:trPr>
        <w:tc>
          <w:tcPr>
            <w:tcW w:w="1838" w:type="dxa"/>
            <w:shd w:val="clear" w:color="auto" w:fill="auto"/>
          </w:tcPr>
          <w:p w14:paraId="3D89C2D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6904AD49"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7378BB08"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ЗТ</w:t>
            </w:r>
          </w:p>
        </w:tc>
        <w:tc>
          <w:tcPr>
            <w:tcW w:w="5954" w:type="dxa"/>
            <w:shd w:val="clear" w:color="auto" w:fill="auto"/>
          </w:tcPr>
          <w:p w14:paraId="79AC293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Предвижда се подкрепа на земеделски стопани, доброволно поели ангажименти за хуманно отношение надхвърлящи заложените стандарти. Изпълнението от </w:t>
            </w:r>
            <w:proofErr w:type="spellStart"/>
            <w:r w:rsidRPr="009F6D1E">
              <w:rPr>
                <w:rFonts w:eastAsia="Tahoma" w:cs="Times New Roman"/>
                <w:sz w:val="20"/>
                <w:szCs w:val="20"/>
                <w:lang w:eastAsia="zh-CN"/>
              </w:rPr>
              <w:t>бенефициерите</w:t>
            </w:r>
            <w:proofErr w:type="spellEnd"/>
            <w:r w:rsidRPr="009F6D1E">
              <w:rPr>
                <w:rFonts w:eastAsia="Tahoma" w:cs="Times New Roman"/>
                <w:sz w:val="20"/>
                <w:szCs w:val="20"/>
                <w:lang w:eastAsia="zh-CN"/>
              </w:rPr>
              <w:t xml:space="preserve"> на ангажименти надхвърлящи заложените стандарти ще се отрази положително върху здравния статус, като се осигури намаляване на употребата на антимикробни средства. Интервенцията ще осигури подкрепа, която ще повиши нивото на превенция в земеделските стопанства, а също така и за възстановяването на земеделски производствен потенциал в случаите, в които той е бил нарушен в резултат от заболявания по животните. Наред с това, ще се подкрепи постигане на по-високи нива на биосигурност във фермите. </w:t>
            </w:r>
          </w:p>
          <w:p w14:paraId="5CB671B5" w14:textId="77777777" w:rsidR="00F36E29" w:rsidRPr="009F6D1E" w:rsidRDefault="00F36E29" w:rsidP="0084747F">
            <w:pPr>
              <w:spacing w:after="60" w:line="264" w:lineRule="auto"/>
              <w:jc w:val="both"/>
              <w:rPr>
                <w:rFonts w:eastAsia="Tahoma" w:cs="Times New Roman"/>
                <w:sz w:val="20"/>
                <w:szCs w:val="20"/>
                <w:lang w:eastAsia="zh-CN"/>
              </w:rPr>
            </w:pPr>
          </w:p>
          <w:p w14:paraId="5E350C4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Не се очаква въздействие </w:t>
            </w:r>
          </w:p>
        </w:tc>
        <w:tc>
          <w:tcPr>
            <w:tcW w:w="6237" w:type="dxa"/>
            <w:shd w:val="clear" w:color="auto" w:fill="auto"/>
          </w:tcPr>
          <w:p w14:paraId="34253D1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Подобряване използването на торове и продукти за растителна защита в земеделието ще окаже косвено положително влияние върху биологичното разнообразие. Посредством ДЗЕС 4 в буферните ивици около водните басейни се забранява използването на минерални и органични </w:t>
            </w:r>
            <w:proofErr w:type="spellStart"/>
            <w:r w:rsidRPr="009F6D1E">
              <w:rPr>
                <w:rFonts w:eastAsia="Tahoma" w:cs="Times New Roman"/>
                <w:sz w:val="20"/>
                <w:szCs w:val="20"/>
                <w:lang w:eastAsia="zh-CN"/>
              </w:rPr>
              <w:t>азотсъдържащи</w:t>
            </w:r>
            <w:proofErr w:type="spellEnd"/>
            <w:r w:rsidRPr="009F6D1E">
              <w:rPr>
                <w:rFonts w:eastAsia="Tahoma" w:cs="Times New Roman"/>
                <w:sz w:val="20"/>
                <w:szCs w:val="20"/>
                <w:lang w:eastAsia="zh-CN"/>
              </w:rPr>
              <w:t xml:space="preserve"> торове, което осигурява адекватна защита от замърсяването на водите от земеделски източници. Забранява се използването на минерални и органични </w:t>
            </w:r>
            <w:proofErr w:type="spellStart"/>
            <w:r w:rsidRPr="009F6D1E">
              <w:rPr>
                <w:rFonts w:eastAsia="Tahoma" w:cs="Times New Roman"/>
                <w:sz w:val="20"/>
                <w:szCs w:val="20"/>
                <w:lang w:eastAsia="zh-CN"/>
              </w:rPr>
              <w:t>азотсъдържащи</w:t>
            </w:r>
            <w:proofErr w:type="spellEnd"/>
            <w:r w:rsidRPr="009F6D1E">
              <w:rPr>
                <w:rFonts w:eastAsia="Tahoma" w:cs="Times New Roman"/>
                <w:sz w:val="20"/>
                <w:szCs w:val="20"/>
                <w:lang w:eastAsia="zh-CN"/>
              </w:rPr>
              <w:t xml:space="preserve"> торове в буферни ивици на земеделските земи с различна ширина, в зависимост от наклона. Това, заедно с ограниченията върху използването на пестициди, ще допринесе за защита на естествени и полуестествени местообитания (водни и сухоземни) от замърсяване от земеделски източници. </w:t>
            </w:r>
          </w:p>
          <w:p w14:paraId="13A461E9" w14:textId="77777777" w:rsidR="00F36E29" w:rsidRPr="009F6D1E" w:rsidRDefault="00F36E29" w:rsidP="0084747F">
            <w:pPr>
              <w:spacing w:after="60" w:line="264" w:lineRule="auto"/>
              <w:jc w:val="both"/>
              <w:rPr>
                <w:rFonts w:eastAsia="Tahoma" w:cs="Times New Roman"/>
                <w:sz w:val="20"/>
                <w:szCs w:val="20"/>
                <w:lang w:eastAsia="zh-CN"/>
              </w:rPr>
            </w:pPr>
          </w:p>
          <w:p w14:paraId="244CEBFB"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Тип на въздействието: положително</w:t>
            </w:r>
          </w:p>
          <w:p w14:paraId="3605C8D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Продължителност на въздействието: дългосрочно </w:t>
            </w:r>
          </w:p>
          <w:p w14:paraId="16F68C9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Обхват на въздействието: локален </w:t>
            </w:r>
          </w:p>
        </w:tc>
      </w:tr>
      <w:tr w:rsidR="00F36E29" w:rsidRPr="009F6D1E" w14:paraId="0B23B3A7" w14:textId="77777777" w:rsidTr="00AB2292">
        <w:trPr>
          <w:trHeight w:val="318"/>
        </w:trPr>
        <w:tc>
          <w:tcPr>
            <w:tcW w:w="1838" w:type="dxa"/>
            <w:shd w:val="clear" w:color="auto" w:fill="auto"/>
          </w:tcPr>
          <w:p w14:paraId="5DF9F607"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lastRenderedPageBreak/>
              <w:t xml:space="preserve">Ландшафт </w:t>
            </w:r>
          </w:p>
        </w:tc>
        <w:tc>
          <w:tcPr>
            <w:tcW w:w="5954" w:type="dxa"/>
            <w:shd w:val="clear" w:color="auto" w:fill="auto"/>
          </w:tcPr>
          <w:p w14:paraId="596062A7"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237" w:type="dxa"/>
            <w:shd w:val="clear" w:color="auto" w:fill="auto"/>
          </w:tcPr>
          <w:p w14:paraId="61B5810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Очакват се директни положителни въздействия върху ландшафтите в резултат от намаляване използването на пестициди и запазването и възстановяването на почвения потенциал. Въздействията са дълготрайни, локални по обхват</w:t>
            </w:r>
          </w:p>
        </w:tc>
      </w:tr>
      <w:tr w:rsidR="00F36E29" w:rsidRPr="009F6D1E" w14:paraId="79757416" w14:textId="77777777" w:rsidTr="00AB2292">
        <w:trPr>
          <w:trHeight w:val="318"/>
        </w:trPr>
        <w:tc>
          <w:tcPr>
            <w:tcW w:w="1838" w:type="dxa"/>
            <w:shd w:val="clear" w:color="auto" w:fill="auto"/>
          </w:tcPr>
          <w:p w14:paraId="73AFB36E"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5954" w:type="dxa"/>
            <w:shd w:val="clear" w:color="auto" w:fill="auto"/>
          </w:tcPr>
          <w:p w14:paraId="368371C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6237" w:type="dxa"/>
          </w:tcPr>
          <w:p w14:paraId="6BB0D201"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288620DE" w14:textId="77777777" w:rsidTr="00AB2292">
        <w:trPr>
          <w:trHeight w:val="318"/>
        </w:trPr>
        <w:tc>
          <w:tcPr>
            <w:tcW w:w="1838" w:type="dxa"/>
            <w:shd w:val="clear" w:color="auto" w:fill="auto"/>
          </w:tcPr>
          <w:p w14:paraId="29F3566C"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5954" w:type="dxa"/>
            <w:shd w:val="clear" w:color="auto" w:fill="auto"/>
          </w:tcPr>
          <w:p w14:paraId="77472C6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6237" w:type="dxa"/>
          </w:tcPr>
          <w:p w14:paraId="007F239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5007CF01" w14:textId="77777777" w:rsidTr="00AB2292">
        <w:trPr>
          <w:trHeight w:val="1052"/>
        </w:trPr>
        <w:tc>
          <w:tcPr>
            <w:tcW w:w="1838" w:type="dxa"/>
            <w:shd w:val="clear" w:color="auto" w:fill="auto"/>
          </w:tcPr>
          <w:p w14:paraId="3CA7AE8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5954" w:type="dxa"/>
            <w:shd w:val="clear" w:color="auto" w:fill="auto"/>
          </w:tcPr>
          <w:p w14:paraId="07DF5A2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c>
          <w:tcPr>
            <w:tcW w:w="6237" w:type="dxa"/>
          </w:tcPr>
          <w:p w14:paraId="1E91877F"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 въздействие.</w:t>
            </w:r>
          </w:p>
        </w:tc>
      </w:tr>
      <w:tr w:rsidR="00F36E29" w:rsidRPr="009F6D1E" w14:paraId="5814D933" w14:textId="77777777" w:rsidTr="00AB2292">
        <w:trPr>
          <w:trHeight w:val="318"/>
        </w:trPr>
        <w:tc>
          <w:tcPr>
            <w:tcW w:w="1838" w:type="dxa"/>
            <w:shd w:val="clear" w:color="auto" w:fill="auto"/>
          </w:tcPr>
          <w:p w14:paraId="569D3839"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 xml:space="preserve">Отпадъци </w:t>
            </w:r>
          </w:p>
        </w:tc>
        <w:tc>
          <w:tcPr>
            <w:tcW w:w="5954" w:type="dxa"/>
            <w:shd w:val="clear" w:color="auto" w:fill="auto"/>
          </w:tcPr>
          <w:p w14:paraId="6882BAE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Резултат от намаляване използването на антимикробните средства ще намалеят образуваните отпадъци, свързани със съхраняването и използването им, като въздействието ще е положително, пряко и ще се наблюдава през целия период на прилагане на мярката.</w:t>
            </w:r>
          </w:p>
        </w:tc>
        <w:tc>
          <w:tcPr>
            <w:tcW w:w="6237" w:type="dxa"/>
          </w:tcPr>
          <w:p w14:paraId="7A48DB6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Резултат от намаляване съхраняването и използването на торове и пестициди ще намалеят образуваните отпадъци, свързани с доставката, съхраняването и използването им в земеделието, като въздействието ще е положително, пряко и ще се наблюдава през целия период на прилагане на мярката.</w:t>
            </w:r>
          </w:p>
        </w:tc>
      </w:tr>
      <w:tr w:rsidR="00F36E29" w:rsidRPr="009F6D1E" w14:paraId="0E08FECD" w14:textId="77777777" w:rsidTr="00AB2292">
        <w:tc>
          <w:tcPr>
            <w:tcW w:w="1838" w:type="dxa"/>
            <w:shd w:val="clear" w:color="auto" w:fill="auto"/>
          </w:tcPr>
          <w:p w14:paraId="32DD65F3"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5954" w:type="dxa"/>
            <w:shd w:val="clear" w:color="auto" w:fill="auto"/>
          </w:tcPr>
          <w:p w14:paraId="729CEEBF"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Прилагането на мярката е свързано с редуциране на вредностите и рисковете от използването на антимикробни средства. Въздействието е положително и постоянно за районите, където това се приложи.</w:t>
            </w:r>
          </w:p>
        </w:tc>
        <w:tc>
          <w:tcPr>
            <w:tcW w:w="6237" w:type="dxa"/>
          </w:tcPr>
          <w:p w14:paraId="097FFC91"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Прилагането на мярката е свързано с редуциране на вредностите и рисковете от съхранението и използването на торове и пестициди, отличаващи се с опасни свойства. Въздействието е положително и постоянно за районите, където това се приложи.</w:t>
            </w:r>
          </w:p>
        </w:tc>
      </w:tr>
      <w:tr w:rsidR="00F36E29" w:rsidRPr="009F6D1E" w14:paraId="2F3F8F81" w14:textId="77777777" w:rsidTr="00AB2292">
        <w:tc>
          <w:tcPr>
            <w:tcW w:w="1838" w:type="dxa"/>
            <w:shd w:val="clear" w:color="auto" w:fill="auto"/>
          </w:tcPr>
          <w:p w14:paraId="0A23B3D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16B665B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6E6902EE"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5954" w:type="dxa"/>
            <w:shd w:val="clear" w:color="auto" w:fill="auto"/>
          </w:tcPr>
          <w:p w14:paraId="4DA2626A"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Намаляване използването на антимикробни средства ще доближи продукцията до тази от биоземеделието, като ще окаже пряко и положително въздействие върху населението в национален план. От друга страна ще намали и рисковете, свързани с тяхното съхраняване</w:t>
            </w:r>
          </w:p>
        </w:tc>
        <w:tc>
          <w:tcPr>
            <w:tcW w:w="6237" w:type="dxa"/>
          </w:tcPr>
          <w:p w14:paraId="69A66362"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Намаляване използването на пестициди и торове в земеделието ще доближи продукцията до тази от биоземеделието, като ще окаже пряко и положително въздействие върху населението в национален план. От друга страна ще намали и рисковете, свързани с тяхното съхраняване</w:t>
            </w:r>
          </w:p>
        </w:tc>
      </w:tr>
    </w:tbl>
    <w:p w14:paraId="347106BB" w14:textId="77777777" w:rsidR="00F36E29" w:rsidRPr="009F6D1E" w:rsidRDefault="00F36E29" w:rsidP="0084747F">
      <w:pPr>
        <w:spacing w:after="60" w:line="264" w:lineRule="auto"/>
        <w:contextualSpacing/>
        <w:jc w:val="both"/>
        <w:rPr>
          <w:rFonts w:eastAsia="Calibri" w:cs="Times New Roman"/>
          <w:b/>
          <w:bCs/>
          <w:i/>
          <w:iCs/>
          <w:szCs w:val="24"/>
        </w:rPr>
      </w:pPr>
    </w:p>
    <w:p w14:paraId="6F1BF69E" w14:textId="77777777" w:rsidR="00F36E29" w:rsidRPr="009F6D1E" w:rsidRDefault="00F36E29">
      <w:pPr>
        <w:pStyle w:val="Heading3"/>
        <w:numPr>
          <w:ilvl w:val="2"/>
          <w:numId w:val="68"/>
        </w:numPr>
        <w:shd w:val="clear" w:color="auto" w:fill="E2EFD9" w:themeFill="accent6" w:themeFillTint="33"/>
        <w:tabs>
          <w:tab w:val="clear" w:pos="1701"/>
        </w:tabs>
        <w:spacing w:before="0" w:after="60" w:line="264" w:lineRule="auto"/>
        <w:ind w:left="2160" w:hanging="360"/>
        <w:rPr>
          <w:rFonts w:eastAsia="Times New Roman"/>
        </w:rPr>
      </w:pPr>
      <w:bookmarkStart w:id="620" w:name="_Toc115255045"/>
      <w:r w:rsidRPr="009F6D1E">
        <w:rPr>
          <w:rFonts w:eastAsia="Times New Roman"/>
        </w:rPr>
        <w:t>Потребности/Интервенции, обект на подкрепа по Хоризонтална цел на СПОС 2023-2027г.</w:t>
      </w:r>
      <w:bookmarkEnd w:id="620"/>
    </w:p>
    <w:p w14:paraId="1ED0FE91" w14:textId="77777777" w:rsidR="00F36E29" w:rsidRPr="009F6D1E" w:rsidRDefault="00F36E29" w:rsidP="0084747F">
      <w:pPr>
        <w:spacing w:after="60" w:line="264" w:lineRule="auto"/>
        <w:contextualSpacing/>
        <w:jc w:val="both"/>
        <w:rPr>
          <w:rFonts w:eastAsia="Calibri" w:cs="Times New Roman"/>
          <w:b/>
          <w:bCs/>
          <w:i/>
          <w:iCs/>
          <w:szCs w:val="24"/>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253"/>
        <w:gridCol w:w="3685"/>
        <w:gridCol w:w="4253"/>
      </w:tblGrid>
      <w:tr w:rsidR="00F36E29" w:rsidRPr="009F6D1E" w14:paraId="6429C6E7" w14:textId="77777777" w:rsidTr="00AB2292">
        <w:trPr>
          <w:tblHeader/>
        </w:trPr>
        <w:tc>
          <w:tcPr>
            <w:tcW w:w="1838" w:type="dxa"/>
            <w:vMerge w:val="restart"/>
            <w:shd w:val="clear" w:color="auto" w:fill="D9D9D9" w:themeFill="background1" w:themeFillShade="D9"/>
            <w:vAlign w:val="center"/>
          </w:tcPr>
          <w:p w14:paraId="52C2BB32"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sz w:val="20"/>
                <w:szCs w:val="20"/>
              </w:rPr>
              <w:lastRenderedPageBreak/>
              <w:t>Компонент/ Фактор на околната среда</w:t>
            </w:r>
          </w:p>
        </w:tc>
        <w:tc>
          <w:tcPr>
            <w:tcW w:w="4253" w:type="dxa"/>
            <w:shd w:val="clear" w:color="auto" w:fill="D9D9D9" w:themeFill="background1" w:themeFillShade="D9"/>
          </w:tcPr>
          <w:p w14:paraId="139441B0"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П.10.1. Осигуряване на ефективни методи за събиране, систематизиране и анализ на цялостна и представителна информация за състоянието и развитието на Системата за споделяне на знания и иновации и цифровизация в селското стопанство /ССЗИСС/, включително чрез 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39A8AC38"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6E3AB6D"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w:t>
            </w:r>
            <w:r w:rsidRPr="009F6D1E">
              <w:rPr>
                <w:rFonts w:cs="Times New Roman"/>
                <w:sz w:val="20"/>
                <w:szCs w:val="20"/>
              </w:rPr>
              <w:t xml:space="preserve"> </w:t>
            </w:r>
            <w:r w:rsidRPr="009F6D1E">
              <w:rPr>
                <w:rFonts w:cs="Times New Roman"/>
                <w:i/>
                <w:sz w:val="20"/>
                <w:szCs w:val="20"/>
              </w:rPr>
              <w:t>Консултантски услуги и повишаване на консултантския капацитет</w:t>
            </w:r>
          </w:p>
        </w:tc>
        <w:tc>
          <w:tcPr>
            <w:tcW w:w="3685" w:type="dxa"/>
            <w:shd w:val="clear" w:color="auto" w:fill="D9D9D9" w:themeFill="background1" w:themeFillShade="D9"/>
          </w:tcPr>
          <w:p w14:paraId="37342839"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П.10.2.Укрепване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w:t>
            </w:r>
          </w:p>
          <w:p w14:paraId="66F7F250"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5117DE93"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Подкрепа за оперативни групи в рамките на Европейското партньорство за иновации</w:t>
            </w:r>
          </w:p>
          <w:p w14:paraId="1BC27C61"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Консултантски услуги и повишаване на консултантския капацитет</w:t>
            </w:r>
          </w:p>
          <w:p w14:paraId="0F2A59F3"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Професионално обучение и придобиване на умения</w:t>
            </w:r>
          </w:p>
          <w:p w14:paraId="66C98868" w14:textId="77777777" w:rsidR="00F36E29" w:rsidRPr="009F6D1E" w:rsidRDefault="00F36E29" w:rsidP="0084747F">
            <w:pPr>
              <w:spacing w:after="60" w:line="264" w:lineRule="auto"/>
              <w:jc w:val="center"/>
              <w:rPr>
                <w:rFonts w:cs="Times New Roman"/>
                <w:b/>
                <w:bCs/>
                <w:i/>
                <w:sz w:val="20"/>
                <w:szCs w:val="20"/>
              </w:rPr>
            </w:pPr>
          </w:p>
        </w:tc>
        <w:tc>
          <w:tcPr>
            <w:tcW w:w="4253" w:type="dxa"/>
            <w:shd w:val="clear" w:color="auto" w:fill="D9D9D9" w:themeFill="background1" w:themeFillShade="D9"/>
          </w:tcPr>
          <w:p w14:paraId="5C82E269"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П.10.3. Повишаване на професионалната квалификация на предприемачите и заетите лица в селскостопанския отрасъл чрез адаптиране на формите за трансфер на знания към специфичните секторни особености</w:t>
            </w:r>
          </w:p>
          <w:p w14:paraId="2434ADD0"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3FCCBF9"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 xml:space="preserve"> -</w:t>
            </w:r>
            <w:r w:rsidRPr="009F6D1E">
              <w:rPr>
                <w:rFonts w:cs="Times New Roman"/>
                <w:sz w:val="20"/>
                <w:szCs w:val="20"/>
              </w:rPr>
              <w:t xml:space="preserve"> </w:t>
            </w:r>
            <w:r w:rsidRPr="009F6D1E">
              <w:rPr>
                <w:rFonts w:cs="Times New Roman"/>
                <w:i/>
                <w:sz w:val="20"/>
                <w:szCs w:val="20"/>
              </w:rPr>
              <w:t>Професионално обучение и придобиване на умения</w:t>
            </w:r>
          </w:p>
        </w:tc>
      </w:tr>
      <w:tr w:rsidR="00F36E29" w:rsidRPr="009F6D1E" w14:paraId="79125D03" w14:textId="77777777" w:rsidTr="00AB2292">
        <w:trPr>
          <w:tblHeader/>
        </w:trPr>
        <w:tc>
          <w:tcPr>
            <w:tcW w:w="1838" w:type="dxa"/>
            <w:vMerge/>
            <w:shd w:val="clear" w:color="auto" w:fill="FFF2CC" w:themeFill="accent4" w:themeFillTint="33"/>
          </w:tcPr>
          <w:p w14:paraId="31C075A5" w14:textId="77777777" w:rsidR="00F36E29" w:rsidRPr="009F6D1E" w:rsidRDefault="00F36E29" w:rsidP="0084747F">
            <w:pPr>
              <w:spacing w:after="60" w:line="264" w:lineRule="auto"/>
              <w:jc w:val="center"/>
              <w:rPr>
                <w:rFonts w:cs="Times New Roman"/>
                <w:b/>
                <w:bCs/>
                <w:sz w:val="20"/>
                <w:szCs w:val="20"/>
              </w:rPr>
            </w:pPr>
          </w:p>
        </w:tc>
        <w:tc>
          <w:tcPr>
            <w:tcW w:w="12191" w:type="dxa"/>
            <w:gridSpan w:val="3"/>
            <w:shd w:val="clear" w:color="auto" w:fill="FFF2CC" w:themeFill="accent4" w:themeFillTint="33"/>
          </w:tcPr>
          <w:p w14:paraId="3F6DF9BB"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50EF2998" w14:textId="77777777" w:rsidTr="00AB2292">
        <w:trPr>
          <w:trHeight w:val="318"/>
        </w:trPr>
        <w:tc>
          <w:tcPr>
            <w:tcW w:w="1838" w:type="dxa"/>
            <w:shd w:val="clear" w:color="auto" w:fill="auto"/>
          </w:tcPr>
          <w:p w14:paraId="5087336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6DCACA4E"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17C009C6"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4253" w:type="dxa"/>
            <w:shd w:val="clear" w:color="auto" w:fill="auto"/>
          </w:tcPr>
          <w:p w14:paraId="3D43B91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685" w:type="dxa"/>
          </w:tcPr>
          <w:p w14:paraId="6A2057C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4253" w:type="dxa"/>
          </w:tcPr>
          <w:p w14:paraId="75D3945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100F2255" w14:textId="77777777" w:rsidTr="00AB2292">
        <w:trPr>
          <w:trHeight w:val="318"/>
        </w:trPr>
        <w:tc>
          <w:tcPr>
            <w:tcW w:w="1838" w:type="dxa"/>
            <w:shd w:val="clear" w:color="auto" w:fill="auto"/>
          </w:tcPr>
          <w:p w14:paraId="021B9173"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4253" w:type="dxa"/>
            <w:shd w:val="clear" w:color="auto" w:fill="auto"/>
          </w:tcPr>
          <w:p w14:paraId="76A7AB76"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685" w:type="dxa"/>
          </w:tcPr>
          <w:p w14:paraId="1969C10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4253" w:type="dxa"/>
          </w:tcPr>
          <w:p w14:paraId="091F47B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529C3D95" w14:textId="77777777" w:rsidTr="00AB2292">
        <w:trPr>
          <w:trHeight w:val="318"/>
        </w:trPr>
        <w:tc>
          <w:tcPr>
            <w:tcW w:w="1838" w:type="dxa"/>
            <w:shd w:val="clear" w:color="auto" w:fill="auto"/>
          </w:tcPr>
          <w:p w14:paraId="2FA4CB1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6010956F"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Подземни води</w:t>
            </w:r>
          </w:p>
          <w:p w14:paraId="7741C03A"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30786968"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4253" w:type="dxa"/>
            <w:shd w:val="clear" w:color="auto" w:fill="auto"/>
          </w:tcPr>
          <w:p w14:paraId="167089D5"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lastRenderedPageBreak/>
              <w:t>Не се очаква въздействие.</w:t>
            </w:r>
          </w:p>
        </w:tc>
        <w:tc>
          <w:tcPr>
            <w:tcW w:w="3685" w:type="dxa"/>
          </w:tcPr>
          <w:p w14:paraId="76647C0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4253" w:type="dxa"/>
          </w:tcPr>
          <w:p w14:paraId="07F81076" w14:textId="77777777" w:rsidR="00F36E29" w:rsidRPr="009F6D1E" w:rsidRDefault="00F36E29" w:rsidP="0084747F">
            <w:pPr>
              <w:spacing w:after="60" w:line="264" w:lineRule="auto"/>
              <w:jc w:val="both"/>
              <w:rPr>
                <w:rFonts w:cs="Times New Roman"/>
                <w:sz w:val="20"/>
                <w:szCs w:val="20"/>
              </w:rPr>
            </w:pPr>
            <w:r w:rsidRPr="009F6D1E">
              <w:rPr>
                <w:rFonts w:cs="Times New Roman"/>
                <w:sz w:val="20"/>
                <w:szCs w:val="20"/>
              </w:rPr>
              <w:t>Не се очаква въздействие.</w:t>
            </w:r>
          </w:p>
        </w:tc>
      </w:tr>
      <w:tr w:rsidR="00F36E29" w:rsidRPr="009F6D1E" w14:paraId="08AA6471" w14:textId="77777777" w:rsidTr="00AB2292">
        <w:trPr>
          <w:trHeight w:val="318"/>
        </w:trPr>
        <w:tc>
          <w:tcPr>
            <w:tcW w:w="1838" w:type="dxa"/>
            <w:shd w:val="clear" w:color="auto" w:fill="auto"/>
          </w:tcPr>
          <w:p w14:paraId="4EF3583E"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Земни недра</w:t>
            </w:r>
          </w:p>
        </w:tc>
        <w:tc>
          <w:tcPr>
            <w:tcW w:w="4253" w:type="dxa"/>
            <w:shd w:val="clear" w:color="auto" w:fill="auto"/>
          </w:tcPr>
          <w:p w14:paraId="688D179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685" w:type="dxa"/>
            <w:shd w:val="clear" w:color="auto" w:fill="auto"/>
          </w:tcPr>
          <w:p w14:paraId="07CDF5B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3" w:type="dxa"/>
            <w:shd w:val="clear" w:color="auto" w:fill="auto"/>
          </w:tcPr>
          <w:p w14:paraId="035901E5"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3FA847A9" w14:textId="77777777" w:rsidTr="00AB2292">
        <w:trPr>
          <w:trHeight w:val="318"/>
        </w:trPr>
        <w:tc>
          <w:tcPr>
            <w:tcW w:w="1838" w:type="dxa"/>
            <w:shd w:val="clear" w:color="auto" w:fill="auto"/>
          </w:tcPr>
          <w:p w14:paraId="0BDC0A0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1378C918"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4253" w:type="dxa"/>
            <w:shd w:val="clear" w:color="auto" w:fill="auto"/>
          </w:tcPr>
          <w:p w14:paraId="1BC7537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685" w:type="dxa"/>
          </w:tcPr>
          <w:p w14:paraId="48D8F8F5"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3" w:type="dxa"/>
          </w:tcPr>
          <w:p w14:paraId="46D39FD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1D5A2313" w14:textId="77777777" w:rsidTr="00AB2292">
        <w:trPr>
          <w:trHeight w:val="1505"/>
        </w:trPr>
        <w:tc>
          <w:tcPr>
            <w:tcW w:w="1838" w:type="dxa"/>
            <w:shd w:val="clear" w:color="auto" w:fill="auto"/>
          </w:tcPr>
          <w:p w14:paraId="35D1F39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Биоразнообразие</w:t>
            </w:r>
          </w:p>
          <w:p w14:paraId="527AAF7C"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47AB1AC3"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ЗТ</w:t>
            </w:r>
          </w:p>
        </w:tc>
        <w:tc>
          <w:tcPr>
            <w:tcW w:w="4253" w:type="dxa"/>
            <w:shd w:val="clear" w:color="auto" w:fill="auto"/>
          </w:tcPr>
          <w:p w14:paraId="0A2E883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В страната няма адекватна система за събиране на данни и мониторинг, системно обучение на консултантските организации, както и механизми за разширяване на консултантския капацитет. До земеделските стопани и техните организации не достига достатъчно информация по отношение потребностите и напредъка в работата на научната общност в областта на иновациите в селското стопанство. Това води до ниска заинтересованост от страна на земеделските стопани за внедряване на иновации. Предвидените интервенции биха </w:t>
            </w:r>
            <w:r w:rsidRPr="009F6D1E">
              <w:rPr>
                <w:rFonts w:eastAsia="Tahoma" w:cs="Times New Roman"/>
                <w:sz w:val="20"/>
                <w:szCs w:val="20"/>
                <w:lang w:eastAsia="zh-CN"/>
              </w:rPr>
              <w:lastRenderedPageBreak/>
              <w:t xml:space="preserve">могли да доведат до повишаване на информираността относно различни екологични проблеми, свързани със селското стопанство и възможности за смекчаването им чрез иновации и развитие на екологосъобразни земеделски практики. </w:t>
            </w:r>
          </w:p>
          <w:p w14:paraId="362BF2CE" w14:textId="77777777" w:rsidR="00F36E29" w:rsidRPr="009F6D1E" w:rsidRDefault="00F36E29" w:rsidP="0084747F">
            <w:pPr>
              <w:spacing w:after="60" w:line="264" w:lineRule="auto"/>
              <w:jc w:val="both"/>
              <w:rPr>
                <w:rFonts w:eastAsia="Tahoma" w:cs="Times New Roman"/>
                <w:sz w:val="20"/>
                <w:szCs w:val="20"/>
                <w:lang w:eastAsia="zh-CN"/>
              </w:rPr>
            </w:pPr>
          </w:p>
          <w:p w14:paraId="4F0EA05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положително</w:t>
            </w:r>
          </w:p>
          <w:p w14:paraId="7F2A7C86"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Продължителност на въздействието: дългосрочно </w:t>
            </w:r>
          </w:p>
          <w:p w14:paraId="1BF82D1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Обхват на въздействието: локален, регионален, национален</w:t>
            </w:r>
          </w:p>
        </w:tc>
        <w:tc>
          <w:tcPr>
            <w:tcW w:w="3685" w:type="dxa"/>
            <w:shd w:val="clear" w:color="auto" w:fill="auto"/>
          </w:tcPr>
          <w:p w14:paraId="1AE6DAD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Укрепване на взаимовръзките между участниците, подобряване функционирането на ССЗИСС (AKIS) и насърчаване разпространението на знания и иновации в селското стопанство би могло да доведе до повишаване на информираността относно различни екологични проблеми, свързани със селското стопанство и възможности за смекчаването им чрез развитие на екологосъобразни земеделски практики. </w:t>
            </w:r>
          </w:p>
          <w:p w14:paraId="2566643E" w14:textId="77777777" w:rsidR="00F36E29" w:rsidRPr="009F6D1E" w:rsidRDefault="00F36E29" w:rsidP="0084747F">
            <w:pPr>
              <w:spacing w:after="60" w:line="264" w:lineRule="auto"/>
              <w:jc w:val="both"/>
              <w:rPr>
                <w:rFonts w:eastAsia="Tahoma" w:cs="Times New Roman"/>
                <w:sz w:val="20"/>
                <w:szCs w:val="20"/>
                <w:lang w:eastAsia="zh-CN"/>
              </w:rPr>
            </w:pPr>
          </w:p>
          <w:p w14:paraId="642054D8"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положително</w:t>
            </w:r>
          </w:p>
          <w:p w14:paraId="4763D6C2"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Продължителност на въздействието: дългосрочно </w:t>
            </w:r>
          </w:p>
          <w:p w14:paraId="5C32A6B8"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Обхват на въздействието: локален, регионален, национален</w:t>
            </w:r>
          </w:p>
        </w:tc>
        <w:tc>
          <w:tcPr>
            <w:tcW w:w="4253" w:type="dxa"/>
          </w:tcPr>
          <w:p w14:paraId="1E32BD4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lastRenderedPageBreak/>
              <w:t xml:space="preserve">Липсата на подходящо образование при земеделските стопани, в комбинация с недостатъчен финансов ресурс, ограничава възможностите за внедряване на иновации и нови технологии в земеделските стопанства. </w:t>
            </w:r>
          </w:p>
          <w:p w14:paraId="1B9538B9"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Налице е и недостатъчна осведоменост и познания на земеделските стопани относно целите за опазване на околна среда и климата, въвеждане на екологосъобразни селскостопански практики, биоразнообразие и др. Предлаганите обучения не винаги са в </w:t>
            </w:r>
            <w:r w:rsidRPr="009F6D1E">
              <w:rPr>
                <w:rFonts w:eastAsia="Tahoma" w:cs="Times New Roman"/>
                <w:sz w:val="20"/>
                <w:szCs w:val="20"/>
                <w:lang w:eastAsia="zh-CN"/>
              </w:rPr>
              <w:lastRenderedPageBreak/>
              <w:t xml:space="preserve">синхрон с потребностите на селскостопанския бизнес. </w:t>
            </w:r>
          </w:p>
          <w:p w14:paraId="46ADCD7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Обучения относно нарастващите заплахи за околната среда, произтичащи от загубата на биологично разнообразие и последващото от това намаляване на климатичната устойчивост на екосистемите и обществените системи, ползите от прилагане на практики, които допринасят за опазване на околната среда и климата, опазване на биологичното разнообразие и др. ще окажат косвено положително въздействие върху </w:t>
            </w:r>
            <w:r w:rsidRPr="009F6D1E">
              <w:rPr>
                <w:rFonts w:eastAsia="Tahoma" w:cs="Times New Roman"/>
                <w:sz w:val="20"/>
                <w:szCs w:val="20"/>
                <w:lang w:eastAsia="zh-CN"/>
              </w:rPr>
              <w:lastRenderedPageBreak/>
              <w:t xml:space="preserve">биоразнообразието, горите и ЗТ чрез стимулиране опазването им и чрез развитие на екологосъобразни земеделски практики. </w:t>
            </w:r>
          </w:p>
          <w:p w14:paraId="14AF901E" w14:textId="77777777" w:rsidR="00F36E29" w:rsidRPr="009F6D1E" w:rsidRDefault="00F36E29" w:rsidP="0084747F">
            <w:pPr>
              <w:spacing w:after="60" w:line="264" w:lineRule="auto"/>
              <w:jc w:val="both"/>
              <w:rPr>
                <w:rFonts w:eastAsia="Tahoma" w:cs="Times New Roman"/>
                <w:sz w:val="20"/>
                <w:szCs w:val="20"/>
                <w:lang w:eastAsia="zh-CN"/>
              </w:rPr>
            </w:pPr>
          </w:p>
          <w:p w14:paraId="2E38927C"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Тип на въздействието: положително</w:t>
            </w:r>
          </w:p>
          <w:p w14:paraId="4B5872B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 xml:space="preserve">Продължителност на въздействието: дългосрочно </w:t>
            </w:r>
          </w:p>
          <w:p w14:paraId="1B36B8BE"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Обхват на въздействието: локален, регионален, национален</w:t>
            </w:r>
          </w:p>
        </w:tc>
      </w:tr>
      <w:tr w:rsidR="00F36E29" w:rsidRPr="009F6D1E" w14:paraId="16FAC156" w14:textId="77777777" w:rsidTr="00AB2292">
        <w:trPr>
          <w:trHeight w:val="318"/>
        </w:trPr>
        <w:tc>
          <w:tcPr>
            <w:tcW w:w="1838" w:type="dxa"/>
            <w:shd w:val="clear" w:color="auto" w:fill="auto"/>
          </w:tcPr>
          <w:p w14:paraId="26003F69"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lastRenderedPageBreak/>
              <w:t xml:space="preserve">Ландшафт </w:t>
            </w:r>
          </w:p>
        </w:tc>
        <w:tc>
          <w:tcPr>
            <w:tcW w:w="4253" w:type="dxa"/>
            <w:shd w:val="clear" w:color="auto" w:fill="auto"/>
          </w:tcPr>
          <w:p w14:paraId="728D58C3"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3685" w:type="dxa"/>
            <w:shd w:val="clear" w:color="auto" w:fill="auto"/>
          </w:tcPr>
          <w:p w14:paraId="339324D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4253" w:type="dxa"/>
          </w:tcPr>
          <w:p w14:paraId="2EF8B9C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7EAA7DD7" w14:textId="77777777" w:rsidTr="00AB2292">
        <w:trPr>
          <w:trHeight w:val="318"/>
        </w:trPr>
        <w:tc>
          <w:tcPr>
            <w:tcW w:w="1838" w:type="dxa"/>
            <w:shd w:val="clear" w:color="auto" w:fill="auto"/>
          </w:tcPr>
          <w:p w14:paraId="2CD7B7C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Материални активи</w:t>
            </w:r>
          </w:p>
        </w:tc>
        <w:tc>
          <w:tcPr>
            <w:tcW w:w="4253" w:type="dxa"/>
            <w:shd w:val="clear" w:color="auto" w:fill="auto"/>
          </w:tcPr>
          <w:p w14:paraId="6AB1A48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685" w:type="dxa"/>
          </w:tcPr>
          <w:p w14:paraId="3C01D670"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4253" w:type="dxa"/>
          </w:tcPr>
          <w:p w14:paraId="2D8C692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1FB1E116" w14:textId="77777777" w:rsidTr="00AB2292">
        <w:trPr>
          <w:trHeight w:val="318"/>
        </w:trPr>
        <w:tc>
          <w:tcPr>
            <w:tcW w:w="1838" w:type="dxa"/>
            <w:shd w:val="clear" w:color="auto" w:fill="auto"/>
          </w:tcPr>
          <w:p w14:paraId="6DAA934B"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4253" w:type="dxa"/>
            <w:shd w:val="clear" w:color="auto" w:fill="auto"/>
          </w:tcPr>
          <w:p w14:paraId="43E19D8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3685" w:type="dxa"/>
          </w:tcPr>
          <w:p w14:paraId="41662D6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4253" w:type="dxa"/>
          </w:tcPr>
          <w:p w14:paraId="07E9641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r>
      <w:tr w:rsidR="00F36E29" w:rsidRPr="009F6D1E" w14:paraId="245C5046" w14:textId="77777777" w:rsidTr="00AB2292">
        <w:trPr>
          <w:trHeight w:val="1610"/>
        </w:trPr>
        <w:tc>
          <w:tcPr>
            <w:tcW w:w="1838" w:type="dxa"/>
            <w:shd w:val="clear" w:color="auto" w:fill="auto"/>
          </w:tcPr>
          <w:p w14:paraId="0614BFD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Вредни физични фактори</w:t>
            </w:r>
          </w:p>
        </w:tc>
        <w:tc>
          <w:tcPr>
            <w:tcW w:w="4253" w:type="dxa"/>
            <w:shd w:val="clear" w:color="auto" w:fill="auto"/>
          </w:tcPr>
          <w:p w14:paraId="6510737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685" w:type="dxa"/>
          </w:tcPr>
          <w:p w14:paraId="4329BC2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4253" w:type="dxa"/>
          </w:tcPr>
          <w:p w14:paraId="3324C312"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6EF08CA9" w14:textId="77777777" w:rsidTr="00AB2292">
        <w:trPr>
          <w:trHeight w:val="318"/>
        </w:trPr>
        <w:tc>
          <w:tcPr>
            <w:tcW w:w="1838" w:type="dxa"/>
            <w:shd w:val="clear" w:color="auto" w:fill="auto"/>
          </w:tcPr>
          <w:p w14:paraId="048052E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 xml:space="preserve">Отпадъци </w:t>
            </w:r>
          </w:p>
        </w:tc>
        <w:tc>
          <w:tcPr>
            <w:tcW w:w="4253" w:type="dxa"/>
            <w:shd w:val="clear" w:color="auto" w:fill="auto"/>
          </w:tcPr>
          <w:p w14:paraId="49F8B6E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3685" w:type="dxa"/>
          </w:tcPr>
          <w:p w14:paraId="658E10C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4253" w:type="dxa"/>
          </w:tcPr>
          <w:p w14:paraId="1626F0C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4BE81876" w14:textId="77777777" w:rsidTr="00AB2292">
        <w:tc>
          <w:tcPr>
            <w:tcW w:w="1838" w:type="dxa"/>
            <w:shd w:val="clear" w:color="auto" w:fill="auto"/>
          </w:tcPr>
          <w:p w14:paraId="1D512556"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4253" w:type="dxa"/>
            <w:shd w:val="clear" w:color="auto" w:fill="auto"/>
          </w:tcPr>
          <w:p w14:paraId="4D12041F"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3685" w:type="dxa"/>
          </w:tcPr>
          <w:p w14:paraId="4734F5B9"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4253" w:type="dxa"/>
          </w:tcPr>
          <w:p w14:paraId="55C39997"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r>
      <w:tr w:rsidR="00F36E29" w:rsidRPr="009F6D1E" w14:paraId="59FE4CE2" w14:textId="77777777" w:rsidTr="00AB2292">
        <w:tc>
          <w:tcPr>
            <w:tcW w:w="1838" w:type="dxa"/>
            <w:shd w:val="clear" w:color="auto" w:fill="auto"/>
          </w:tcPr>
          <w:p w14:paraId="21FF423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589BAED7"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678F41CC"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4253" w:type="dxa"/>
            <w:shd w:val="clear" w:color="auto" w:fill="auto"/>
          </w:tcPr>
          <w:p w14:paraId="7DDC2B30"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3685" w:type="dxa"/>
          </w:tcPr>
          <w:p w14:paraId="0271C8DA"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4253" w:type="dxa"/>
          </w:tcPr>
          <w:p w14:paraId="623302C6"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r>
    </w:tbl>
    <w:p w14:paraId="0BD85A9D" w14:textId="77777777" w:rsidR="00F36E29" w:rsidRPr="009F6D1E" w:rsidRDefault="00F36E29" w:rsidP="0084747F">
      <w:pPr>
        <w:spacing w:after="60" w:line="264" w:lineRule="auto"/>
        <w:contextualSpacing/>
        <w:jc w:val="both"/>
        <w:rPr>
          <w:rFonts w:eastAsia="Calibri" w:cs="Times New Roman"/>
          <w:b/>
          <w:bCs/>
          <w:i/>
          <w:iCs/>
          <w:sz w:val="20"/>
          <w:szCs w:val="20"/>
        </w:rPr>
      </w:pPr>
    </w:p>
    <w:p w14:paraId="0618EAB7" w14:textId="77777777" w:rsidR="00F36E29" w:rsidRPr="009F6D1E" w:rsidRDefault="00F36E29" w:rsidP="0084747F">
      <w:pPr>
        <w:spacing w:after="60" w:line="264" w:lineRule="auto"/>
        <w:contextualSpacing/>
        <w:jc w:val="both"/>
        <w:rPr>
          <w:rFonts w:eastAsia="Calibri" w:cs="Times New Roman"/>
          <w:b/>
          <w:bCs/>
          <w:i/>
          <w:iCs/>
          <w:sz w:val="20"/>
          <w:szCs w:val="20"/>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812"/>
        <w:gridCol w:w="6379"/>
      </w:tblGrid>
      <w:tr w:rsidR="00F36E29" w:rsidRPr="009F6D1E" w14:paraId="5310877C" w14:textId="77777777" w:rsidTr="00AB2292">
        <w:trPr>
          <w:tblHeader/>
        </w:trPr>
        <w:tc>
          <w:tcPr>
            <w:tcW w:w="1838" w:type="dxa"/>
            <w:vMerge w:val="restart"/>
            <w:shd w:val="clear" w:color="auto" w:fill="D9D9D9" w:themeFill="background1" w:themeFillShade="D9"/>
            <w:vAlign w:val="center"/>
          </w:tcPr>
          <w:p w14:paraId="04F1325F" w14:textId="77777777" w:rsidR="00F36E29" w:rsidRPr="009F6D1E" w:rsidRDefault="00F36E29" w:rsidP="0084747F">
            <w:pPr>
              <w:spacing w:after="60" w:line="264" w:lineRule="auto"/>
              <w:jc w:val="center"/>
              <w:rPr>
                <w:rFonts w:cs="Times New Roman"/>
                <w:b/>
                <w:bCs/>
                <w:i/>
                <w:sz w:val="20"/>
                <w:szCs w:val="20"/>
              </w:rPr>
            </w:pPr>
            <w:bookmarkStart w:id="621" w:name="_Hlk98335972"/>
            <w:r w:rsidRPr="009F6D1E">
              <w:rPr>
                <w:rFonts w:cs="Times New Roman"/>
                <w:b/>
                <w:bCs/>
                <w:sz w:val="20"/>
                <w:szCs w:val="20"/>
              </w:rPr>
              <w:lastRenderedPageBreak/>
              <w:t>Компонент/ Фактор на околната среда</w:t>
            </w:r>
          </w:p>
        </w:tc>
        <w:tc>
          <w:tcPr>
            <w:tcW w:w="5812" w:type="dxa"/>
            <w:shd w:val="clear" w:color="auto" w:fill="D9D9D9" w:themeFill="background1" w:themeFillShade="D9"/>
            <w:vAlign w:val="center"/>
          </w:tcPr>
          <w:p w14:paraId="3426095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П.10.4. Насърчаване на различни форми на коопериране между различните участници в системата на ССЗИСС за подобряване ефективността от внедряването, разпространението и приложението на иновативни решения базирани на дигитални технологии и споделяне на знания, специфични за различните секторни производства</w:t>
            </w:r>
          </w:p>
          <w:p w14:paraId="3241AD4B"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w:t>
            </w:r>
          </w:p>
          <w:p w14:paraId="1CA1E9CB"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xml:space="preserve"> -</w:t>
            </w:r>
            <w:r w:rsidRPr="009F6D1E">
              <w:rPr>
                <w:rFonts w:cs="Times New Roman"/>
                <w:sz w:val="20"/>
                <w:szCs w:val="20"/>
              </w:rPr>
              <w:t xml:space="preserve"> </w:t>
            </w:r>
            <w:r w:rsidRPr="009F6D1E">
              <w:rPr>
                <w:rFonts w:cs="Times New Roman"/>
                <w:i/>
                <w:sz w:val="20"/>
                <w:szCs w:val="20"/>
              </w:rPr>
              <w:t>Подкрепа за оперативни групи в рамките на Европейското партньорство за иновации</w:t>
            </w:r>
          </w:p>
          <w:p w14:paraId="0A92D888" w14:textId="77777777" w:rsidR="00F36E29" w:rsidRPr="009F6D1E" w:rsidRDefault="00F36E29" w:rsidP="0084747F">
            <w:pPr>
              <w:spacing w:after="60" w:line="264" w:lineRule="auto"/>
              <w:jc w:val="center"/>
              <w:rPr>
                <w:rFonts w:cs="Times New Roman"/>
                <w:b/>
                <w:bCs/>
                <w:i/>
                <w:sz w:val="20"/>
                <w:szCs w:val="20"/>
              </w:rPr>
            </w:pPr>
            <w:r w:rsidRPr="009F6D1E">
              <w:rPr>
                <w:rFonts w:cs="Times New Roman"/>
                <w:i/>
                <w:sz w:val="20"/>
                <w:szCs w:val="20"/>
              </w:rPr>
              <w:t>- Професионално обучение и придобиване на умения</w:t>
            </w:r>
          </w:p>
        </w:tc>
        <w:tc>
          <w:tcPr>
            <w:tcW w:w="6379" w:type="dxa"/>
            <w:shd w:val="clear" w:color="auto" w:fill="D9D9D9" w:themeFill="background1" w:themeFillShade="D9"/>
          </w:tcPr>
          <w:p w14:paraId="3E898D55"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rPr>
              <w:t>П.10.5.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w:t>
            </w:r>
          </w:p>
          <w:p w14:paraId="3DFFCAFF" w14:textId="77777777" w:rsidR="00F36E29" w:rsidRPr="009F6D1E" w:rsidRDefault="00F36E29" w:rsidP="0084747F">
            <w:pPr>
              <w:spacing w:after="60" w:line="264" w:lineRule="auto"/>
              <w:jc w:val="center"/>
              <w:rPr>
                <w:rFonts w:cs="Times New Roman"/>
                <w:b/>
                <w:bCs/>
                <w:i/>
                <w:sz w:val="20"/>
                <w:szCs w:val="20"/>
              </w:rPr>
            </w:pPr>
            <w:r w:rsidRPr="009F6D1E">
              <w:rPr>
                <w:rFonts w:cs="Times New Roman"/>
                <w:b/>
                <w:bCs/>
                <w:i/>
                <w:sz w:val="20"/>
                <w:szCs w:val="20"/>
                <w:u w:val="single"/>
              </w:rPr>
              <w:t>Интервенции</w:t>
            </w:r>
            <w:r w:rsidRPr="009F6D1E">
              <w:rPr>
                <w:rFonts w:cs="Times New Roman"/>
                <w:b/>
                <w:bCs/>
                <w:i/>
                <w:sz w:val="20"/>
                <w:szCs w:val="20"/>
              </w:rPr>
              <w:t xml:space="preserve">: </w:t>
            </w:r>
          </w:p>
          <w:p w14:paraId="191B7FAA"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Инвестиции в земеделски стопанства</w:t>
            </w:r>
          </w:p>
          <w:p w14:paraId="4EFD6D3B"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Консултантски услуги и повишаване на консултантския капацитет</w:t>
            </w:r>
          </w:p>
          <w:p w14:paraId="6B544D6B"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Професионално образование и придобиване на умения</w:t>
            </w:r>
          </w:p>
          <w:p w14:paraId="1C2AEBAC" w14:textId="77777777" w:rsidR="00F36E29" w:rsidRPr="009F6D1E" w:rsidRDefault="00F36E29" w:rsidP="0084747F">
            <w:pPr>
              <w:spacing w:after="60" w:line="264" w:lineRule="auto"/>
              <w:jc w:val="center"/>
              <w:rPr>
                <w:rFonts w:cs="Times New Roman"/>
                <w:i/>
                <w:sz w:val="20"/>
                <w:szCs w:val="20"/>
              </w:rPr>
            </w:pPr>
            <w:r w:rsidRPr="009F6D1E">
              <w:rPr>
                <w:rFonts w:cs="Times New Roman"/>
                <w:i/>
                <w:sz w:val="20"/>
                <w:szCs w:val="20"/>
              </w:rPr>
              <w:t>- Подкрепа за оперативни групи в рамките на ЕПИ</w:t>
            </w:r>
          </w:p>
          <w:p w14:paraId="359FEB3E" w14:textId="77777777" w:rsidR="00F36E29" w:rsidRPr="009F6D1E" w:rsidRDefault="00F36E29" w:rsidP="0084747F">
            <w:pPr>
              <w:spacing w:after="60" w:line="264" w:lineRule="auto"/>
              <w:jc w:val="center"/>
              <w:rPr>
                <w:rFonts w:cs="Times New Roman"/>
                <w:b/>
                <w:bCs/>
                <w:i/>
                <w:sz w:val="20"/>
                <w:szCs w:val="20"/>
              </w:rPr>
            </w:pPr>
          </w:p>
        </w:tc>
      </w:tr>
      <w:tr w:rsidR="00F36E29" w:rsidRPr="009F6D1E" w14:paraId="332CAF92" w14:textId="77777777" w:rsidTr="00AB2292">
        <w:trPr>
          <w:tblHeader/>
        </w:trPr>
        <w:tc>
          <w:tcPr>
            <w:tcW w:w="1838" w:type="dxa"/>
            <w:vMerge/>
            <w:shd w:val="clear" w:color="auto" w:fill="FFF2CC" w:themeFill="accent4" w:themeFillTint="33"/>
          </w:tcPr>
          <w:p w14:paraId="3C2A7158" w14:textId="77777777" w:rsidR="00F36E29" w:rsidRPr="009F6D1E" w:rsidRDefault="00F36E29" w:rsidP="0084747F">
            <w:pPr>
              <w:spacing w:after="60" w:line="264" w:lineRule="auto"/>
              <w:jc w:val="center"/>
              <w:rPr>
                <w:rFonts w:cs="Times New Roman"/>
                <w:b/>
                <w:bCs/>
                <w:sz w:val="20"/>
                <w:szCs w:val="20"/>
              </w:rPr>
            </w:pPr>
          </w:p>
        </w:tc>
        <w:tc>
          <w:tcPr>
            <w:tcW w:w="12191" w:type="dxa"/>
            <w:gridSpan w:val="2"/>
            <w:shd w:val="clear" w:color="auto" w:fill="FFF2CC" w:themeFill="accent4" w:themeFillTint="33"/>
          </w:tcPr>
          <w:p w14:paraId="434B19E1" w14:textId="77777777" w:rsidR="00F36E29" w:rsidRPr="009F6D1E" w:rsidRDefault="00F36E29" w:rsidP="0084747F">
            <w:pPr>
              <w:spacing w:after="60" w:line="264" w:lineRule="auto"/>
              <w:jc w:val="center"/>
              <w:rPr>
                <w:rFonts w:cs="Times New Roman"/>
                <w:b/>
                <w:bCs/>
                <w:sz w:val="20"/>
                <w:szCs w:val="20"/>
              </w:rPr>
            </w:pPr>
            <w:r w:rsidRPr="009F6D1E">
              <w:rPr>
                <w:rFonts w:cs="Times New Roman"/>
                <w:b/>
                <w:bCs/>
                <w:sz w:val="20"/>
                <w:szCs w:val="20"/>
              </w:rPr>
              <w:t>Въздействие</w:t>
            </w:r>
          </w:p>
        </w:tc>
      </w:tr>
      <w:tr w:rsidR="00F36E29" w:rsidRPr="009F6D1E" w14:paraId="1F287F2E" w14:textId="77777777" w:rsidTr="00AB2292">
        <w:trPr>
          <w:trHeight w:val="318"/>
        </w:trPr>
        <w:tc>
          <w:tcPr>
            <w:tcW w:w="1838" w:type="dxa"/>
            <w:shd w:val="clear" w:color="auto" w:fill="auto"/>
          </w:tcPr>
          <w:p w14:paraId="54583DEB"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Климат,</w:t>
            </w:r>
          </w:p>
          <w:p w14:paraId="584C3DF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Изменение на климата,</w:t>
            </w:r>
          </w:p>
          <w:p w14:paraId="7FF1B4D2"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Адаптация към изменящия се климат</w:t>
            </w:r>
          </w:p>
        </w:tc>
        <w:tc>
          <w:tcPr>
            <w:tcW w:w="5812" w:type="dxa"/>
            <w:shd w:val="clear" w:color="auto" w:fill="auto"/>
          </w:tcPr>
          <w:p w14:paraId="76B2CDC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6379" w:type="dxa"/>
          </w:tcPr>
          <w:p w14:paraId="448E38DE"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1F0DCC80" w14:textId="77777777" w:rsidTr="00AB2292">
        <w:trPr>
          <w:trHeight w:val="318"/>
        </w:trPr>
        <w:tc>
          <w:tcPr>
            <w:tcW w:w="1838" w:type="dxa"/>
            <w:shd w:val="clear" w:color="auto" w:fill="auto"/>
          </w:tcPr>
          <w:p w14:paraId="6FA3DC14"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Качество на атмосферния въздух</w:t>
            </w:r>
          </w:p>
        </w:tc>
        <w:tc>
          <w:tcPr>
            <w:tcW w:w="5812" w:type="dxa"/>
            <w:shd w:val="clear" w:color="auto" w:fill="auto"/>
          </w:tcPr>
          <w:p w14:paraId="7C3ED955"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6379" w:type="dxa"/>
          </w:tcPr>
          <w:p w14:paraId="12248BA4"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2C60FD84" w14:textId="77777777" w:rsidTr="00AB2292">
        <w:trPr>
          <w:trHeight w:val="318"/>
        </w:trPr>
        <w:tc>
          <w:tcPr>
            <w:tcW w:w="1838" w:type="dxa"/>
            <w:shd w:val="clear" w:color="auto" w:fill="auto"/>
          </w:tcPr>
          <w:p w14:paraId="6F6B0DA2"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Повърхностни води</w:t>
            </w:r>
          </w:p>
          <w:p w14:paraId="78F6F676"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Подземни води</w:t>
            </w:r>
          </w:p>
          <w:p w14:paraId="3559FB63"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Зони за защита на водите</w:t>
            </w:r>
          </w:p>
          <w:p w14:paraId="580DDBCE"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Риск от наводнения</w:t>
            </w:r>
          </w:p>
        </w:tc>
        <w:tc>
          <w:tcPr>
            <w:tcW w:w="5812" w:type="dxa"/>
            <w:shd w:val="clear" w:color="auto" w:fill="auto"/>
          </w:tcPr>
          <w:p w14:paraId="26B65BA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c>
          <w:tcPr>
            <w:tcW w:w="6379" w:type="dxa"/>
          </w:tcPr>
          <w:p w14:paraId="3CE806F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cs="Times New Roman"/>
                <w:sz w:val="20"/>
                <w:szCs w:val="20"/>
              </w:rPr>
              <w:t>Не се очаква въздействие.</w:t>
            </w:r>
          </w:p>
        </w:tc>
      </w:tr>
      <w:tr w:rsidR="00F36E29" w:rsidRPr="009F6D1E" w14:paraId="05620175" w14:textId="77777777" w:rsidTr="00AB2292">
        <w:trPr>
          <w:trHeight w:val="318"/>
        </w:trPr>
        <w:tc>
          <w:tcPr>
            <w:tcW w:w="1838" w:type="dxa"/>
            <w:shd w:val="clear" w:color="auto" w:fill="auto"/>
          </w:tcPr>
          <w:p w14:paraId="1FEA701F"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lastRenderedPageBreak/>
              <w:t>Земни недра</w:t>
            </w:r>
          </w:p>
        </w:tc>
        <w:tc>
          <w:tcPr>
            <w:tcW w:w="5812" w:type="dxa"/>
            <w:shd w:val="clear" w:color="auto" w:fill="auto"/>
          </w:tcPr>
          <w:p w14:paraId="7FDC0D7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379" w:type="dxa"/>
            <w:shd w:val="clear" w:color="auto" w:fill="auto"/>
          </w:tcPr>
          <w:p w14:paraId="37FD242F"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227108F9" w14:textId="77777777" w:rsidTr="00AB2292">
        <w:trPr>
          <w:trHeight w:val="318"/>
        </w:trPr>
        <w:tc>
          <w:tcPr>
            <w:tcW w:w="1838" w:type="dxa"/>
            <w:shd w:val="clear" w:color="auto" w:fill="auto"/>
          </w:tcPr>
          <w:p w14:paraId="1BDEABF0"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Почви</w:t>
            </w:r>
          </w:p>
          <w:p w14:paraId="4876E623" w14:textId="77777777" w:rsidR="00F36E29" w:rsidRPr="009F6D1E" w:rsidRDefault="00F36E29" w:rsidP="0084747F">
            <w:pPr>
              <w:spacing w:after="60" w:line="264" w:lineRule="auto"/>
              <w:jc w:val="both"/>
              <w:rPr>
                <w:rFonts w:cs="Times New Roman"/>
                <w:b/>
                <w:sz w:val="20"/>
                <w:szCs w:val="20"/>
              </w:rPr>
            </w:pPr>
            <w:proofErr w:type="spellStart"/>
            <w:r w:rsidRPr="009F6D1E">
              <w:rPr>
                <w:rFonts w:cs="Times New Roman"/>
                <w:b/>
                <w:bCs/>
                <w:sz w:val="20"/>
                <w:szCs w:val="20"/>
              </w:rPr>
              <w:t>Земеползване</w:t>
            </w:r>
            <w:proofErr w:type="spellEnd"/>
          </w:p>
        </w:tc>
        <w:tc>
          <w:tcPr>
            <w:tcW w:w="5812" w:type="dxa"/>
            <w:shd w:val="clear" w:color="auto" w:fill="auto"/>
          </w:tcPr>
          <w:p w14:paraId="14679F4A"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379" w:type="dxa"/>
          </w:tcPr>
          <w:p w14:paraId="665693C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15ED416B" w14:textId="77777777" w:rsidTr="00AB2292">
        <w:trPr>
          <w:trHeight w:val="1168"/>
        </w:trPr>
        <w:tc>
          <w:tcPr>
            <w:tcW w:w="1838" w:type="dxa"/>
            <w:shd w:val="clear" w:color="auto" w:fill="auto"/>
          </w:tcPr>
          <w:p w14:paraId="657208B4"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Биоразнообразие</w:t>
            </w:r>
          </w:p>
          <w:p w14:paraId="62C4CFD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Горски територии</w:t>
            </w:r>
          </w:p>
          <w:p w14:paraId="3366148B"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ЗТ</w:t>
            </w:r>
          </w:p>
        </w:tc>
        <w:tc>
          <w:tcPr>
            <w:tcW w:w="5812" w:type="dxa"/>
            <w:shd w:val="clear" w:color="auto" w:fill="auto"/>
          </w:tcPr>
          <w:p w14:paraId="6E2EDD21"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379" w:type="dxa"/>
            <w:shd w:val="clear" w:color="auto" w:fill="auto"/>
          </w:tcPr>
          <w:p w14:paraId="16E62384"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78ACFE4C" w14:textId="77777777" w:rsidTr="00AB2292">
        <w:trPr>
          <w:trHeight w:val="318"/>
        </w:trPr>
        <w:tc>
          <w:tcPr>
            <w:tcW w:w="1838" w:type="dxa"/>
            <w:shd w:val="clear" w:color="auto" w:fill="auto"/>
          </w:tcPr>
          <w:p w14:paraId="49F35DC4" w14:textId="77777777" w:rsidR="00F36E29" w:rsidRPr="009F6D1E" w:rsidRDefault="00F36E29" w:rsidP="0084747F">
            <w:pPr>
              <w:spacing w:after="60" w:line="264" w:lineRule="auto"/>
              <w:jc w:val="both"/>
              <w:rPr>
                <w:rFonts w:cs="Times New Roman"/>
                <w:b/>
                <w:sz w:val="20"/>
                <w:szCs w:val="20"/>
                <w:highlight w:val="yellow"/>
              </w:rPr>
            </w:pPr>
            <w:r w:rsidRPr="009F6D1E">
              <w:rPr>
                <w:rFonts w:cs="Times New Roman"/>
                <w:b/>
                <w:bCs/>
                <w:sz w:val="20"/>
                <w:szCs w:val="20"/>
              </w:rPr>
              <w:t xml:space="preserve">Ландшафт </w:t>
            </w:r>
          </w:p>
        </w:tc>
        <w:tc>
          <w:tcPr>
            <w:tcW w:w="5812" w:type="dxa"/>
            <w:shd w:val="clear" w:color="auto" w:fill="auto"/>
          </w:tcPr>
          <w:p w14:paraId="18611560"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c>
          <w:tcPr>
            <w:tcW w:w="6379" w:type="dxa"/>
            <w:shd w:val="clear" w:color="auto" w:fill="auto"/>
          </w:tcPr>
          <w:p w14:paraId="5F7DD04D" w14:textId="77777777" w:rsidR="00F36E29" w:rsidRPr="009F6D1E" w:rsidRDefault="00F36E29" w:rsidP="0084747F">
            <w:pPr>
              <w:spacing w:after="60" w:line="264" w:lineRule="auto"/>
              <w:jc w:val="both"/>
              <w:rPr>
                <w:rFonts w:eastAsia="Tahoma" w:cs="Times New Roman"/>
                <w:sz w:val="20"/>
                <w:szCs w:val="20"/>
                <w:lang w:eastAsia="zh-CN"/>
              </w:rPr>
            </w:pPr>
            <w:r w:rsidRPr="009F6D1E">
              <w:rPr>
                <w:rFonts w:eastAsia="Tahoma" w:cs="Times New Roman"/>
                <w:sz w:val="20"/>
                <w:szCs w:val="20"/>
                <w:lang w:eastAsia="zh-CN"/>
              </w:rPr>
              <w:t>Не се очаква въздействие.</w:t>
            </w:r>
          </w:p>
        </w:tc>
      </w:tr>
      <w:tr w:rsidR="00F36E29" w:rsidRPr="009F6D1E" w14:paraId="1A22A6F4" w14:textId="77777777" w:rsidTr="00AB2292">
        <w:trPr>
          <w:trHeight w:val="318"/>
        </w:trPr>
        <w:tc>
          <w:tcPr>
            <w:tcW w:w="1838" w:type="dxa"/>
            <w:shd w:val="clear" w:color="auto" w:fill="auto"/>
          </w:tcPr>
          <w:p w14:paraId="1FA4B222"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Материални активи</w:t>
            </w:r>
          </w:p>
        </w:tc>
        <w:tc>
          <w:tcPr>
            <w:tcW w:w="5812" w:type="dxa"/>
            <w:shd w:val="clear" w:color="auto" w:fill="auto"/>
          </w:tcPr>
          <w:p w14:paraId="0C527408"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Очаква се пряко и положително въздействие върху материалните активи, резултат от внедряването на иновации в селското стопанство.</w:t>
            </w:r>
          </w:p>
        </w:tc>
        <w:tc>
          <w:tcPr>
            <w:tcW w:w="6379" w:type="dxa"/>
          </w:tcPr>
          <w:p w14:paraId="523A1ACA"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Мярката, подкрепяйки внедряването на нови технологии, както и насърчаването и обучението на земеделските стопани как да използват дигитални инструменти и технологии, предполага пряко и положително въздействие върху материалните активи.</w:t>
            </w:r>
            <w:r w:rsidRPr="009F6D1E">
              <w:rPr>
                <w:rFonts w:eastAsia="Tahoma" w:cs="Times New Roman"/>
                <w:sz w:val="20"/>
                <w:szCs w:val="20"/>
                <w:highlight w:val="yellow"/>
                <w:lang w:eastAsia="zh-CN"/>
              </w:rPr>
              <w:t xml:space="preserve"> </w:t>
            </w:r>
          </w:p>
        </w:tc>
      </w:tr>
      <w:tr w:rsidR="00F36E29" w:rsidRPr="009F6D1E" w14:paraId="7CCEC63D" w14:textId="77777777" w:rsidTr="00AB2292">
        <w:trPr>
          <w:trHeight w:val="318"/>
        </w:trPr>
        <w:tc>
          <w:tcPr>
            <w:tcW w:w="1838" w:type="dxa"/>
            <w:shd w:val="clear" w:color="auto" w:fill="auto"/>
          </w:tcPr>
          <w:p w14:paraId="3E6BA3E0"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Културно-историческо наследство</w:t>
            </w:r>
          </w:p>
        </w:tc>
        <w:tc>
          <w:tcPr>
            <w:tcW w:w="5812" w:type="dxa"/>
            <w:shd w:val="clear" w:color="auto" w:fill="auto"/>
          </w:tcPr>
          <w:p w14:paraId="427A9BEC"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c>
          <w:tcPr>
            <w:tcW w:w="6379" w:type="dxa"/>
          </w:tcPr>
          <w:p w14:paraId="74BC7483"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 xml:space="preserve">Няма пряко отношение към </w:t>
            </w:r>
            <w:r w:rsidRPr="009F6D1E">
              <w:rPr>
                <w:rFonts w:cs="Times New Roman"/>
                <w:bCs/>
                <w:sz w:val="20"/>
                <w:szCs w:val="20"/>
              </w:rPr>
              <w:t>културно-историческо наследство.</w:t>
            </w:r>
          </w:p>
        </w:tc>
      </w:tr>
      <w:tr w:rsidR="00F36E29" w:rsidRPr="009F6D1E" w14:paraId="76F03CBC" w14:textId="77777777" w:rsidTr="00AB2292">
        <w:trPr>
          <w:trHeight w:val="431"/>
        </w:trPr>
        <w:tc>
          <w:tcPr>
            <w:tcW w:w="1838" w:type="dxa"/>
            <w:shd w:val="clear" w:color="auto" w:fill="auto"/>
          </w:tcPr>
          <w:p w14:paraId="23980DB8"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lastRenderedPageBreak/>
              <w:t>Вредни физични фактори</w:t>
            </w:r>
          </w:p>
        </w:tc>
        <w:tc>
          <w:tcPr>
            <w:tcW w:w="5812" w:type="dxa"/>
            <w:shd w:val="clear" w:color="auto" w:fill="auto"/>
          </w:tcPr>
          <w:p w14:paraId="1B53138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c>
          <w:tcPr>
            <w:tcW w:w="6379" w:type="dxa"/>
          </w:tcPr>
          <w:p w14:paraId="5D21DB8B"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Не се очакват въздействия.</w:t>
            </w:r>
          </w:p>
        </w:tc>
      </w:tr>
      <w:tr w:rsidR="00F36E29" w:rsidRPr="009F6D1E" w14:paraId="706CF49B" w14:textId="77777777" w:rsidTr="00AB2292">
        <w:trPr>
          <w:trHeight w:val="318"/>
        </w:trPr>
        <w:tc>
          <w:tcPr>
            <w:tcW w:w="1838" w:type="dxa"/>
            <w:shd w:val="clear" w:color="auto" w:fill="auto"/>
          </w:tcPr>
          <w:p w14:paraId="7956DEF2" w14:textId="77777777" w:rsidR="00F36E29" w:rsidRPr="009F6D1E" w:rsidRDefault="00F36E29" w:rsidP="0084747F">
            <w:pPr>
              <w:spacing w:after="60" w:line="264" w:lineRule="auto"/>
              <w:jc w:val="both"/>
              <w:rPr>
                <w:rFonts w:cs="Times New Roman"/>
                <w:b/>
                <w:sz w:val="20"/>
                <w:szCs w:val="20"/>
              </w:rPr>
            </w:pPr>
            <w:r w:rsidRPr="009F6D1E">
              <w:rPr>
                <w:rFonts w:cs="Times New Roman"/>
                <w:b/>
                <w:bCs/>
                <w:sz w:val="20"/>
                <w:szCs w:val="20"/>
              </w:rPr>
              <w:t xml:space="preserve">Отпадъци </w:t>
            </w:r>
          </w:p>
        </w:tc>
        <w:tc>
          <w:tcPr>
            <w:tcW w:w="5812" w:type="dxa"/>
            <w:shd w:val="clear" w:color="auto" w:fill="auto"/>
          </w:tcPr>
          <w:p w14:paraId="14B3E46D"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Внедряването на иновации в производството ще окаже пряко, положително въздействие, водещо до намаляване на количествата и видовете образувани отпадъци, като въздействието ще се регистрира дълъг период от време.</w:t>
            </w:r>
          </w:p>
        </w:tc>
        <w:tc>
          <w:tcPr>
            <w:tcW w:w="6379" w:type="dxa"/>
          </w:tcPr>
          <w:p w14:paraId="544EDC79" w14:textId="77777777" w:rsidR="00F36E29" w:rsidRPr="009F6D1E" w:rsidRDefault="00F36E29" w:rsidP="0084747F">
            <w:pPr>
              <w:spacing w:after="60" w:line="264" w:lineRule="auto"/>
              <w:jc w:val="both"/>
              <w:rPr>
                <w:rFonts w:eastAsia="Tahoma" w:cs="Times New Roman"/>
                <w:sz w:val="20"/>
                <w:szCs w:val="20"/>
                <w:highlight w:val="yellow"/>
                <w:lang w:eastAsia="zh-CN"/>
              </w:rPr>
            </w:pPr>
            <w:r w:rsidRPr="009F6D1E">
              <w:rPr>
                <w:rFonts w:eastAsia="Tahoma" w:cs="Times New Roman"/>
                <w:sz w:val="20"/>
                <w:szCs w:val="20"/>
                <w:lang w:eastAsia="zh-CN"/>
              </w:rPr>
              <w:t>Мярката, подкрепяйки внедряването на нови технологии, както и насърчаването и обучението на земеделските стопани как да използват дигитални инструменти и технологии, предполага пряко и положително въздействие в дългосрочен аспект, което от своя страна води до намаляване видовете и количествата образувани отпадъци.</w:t>
            </w:r>
          </w:p>
        </w:tc>
      </w:tr>
      <w:tr w:rsidR="00F36E29" w:rsidRPr="009F6D1E" w14:paraId="15B6E63D" w14:textId="77777777" w:rsidTr="00AB2292">
        <w:tc>
          <w:tcPr>
            <w:tcW w:w="1838" w:type="dxa"/>
            <w:shd w:val="clear" w:color="auto" w:fill="auto"/>
          </w:tcPr>
          <w:p w14:paraId="1EF0D8AB"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Опасни химични вещества и риск от големи аварии</w:t>
            </w:r>
          </w:p>
        </w:tc>
        <w:tc>
          <w:tcPr>
            <w:tcW w:w="5812" w:type="dxa"/>
            <w:shd w:val="clear" w:color="auto" w:fill="auto"/>
          </w:tcPr>
          <w:p w14:paraId="18B4E36D"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6379" w:type="dxa"/>
          </w:tcPr>
          <w:p w14:paraId="6E859520"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r>
      <w:tr w:rsidR="00F36E29" w:rsidRPr="009F6D1E" w14:paraId="5E849E43" w14:textId="77777777" w:rsidTr="00AB2292">
        <w:tc>
          <w:tcPr>
            <w:tcW w:w="1838" w:type="dxa"/>
            <w:shd w:val="clear" w:color="auto" w:fill="auto"/>
          </w:tcPr>
          <w:p w14:paraId="24AB5E25"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 xml:space="preserve">Население </w:t>
            </w:r>
          </w:p>
          <w:p w14:paraId="5D477CD1" w14:textId="77777777" w:rsidR="00F36E29" w:rsidRPr="009F6D1E" w:rsidRDefault="00F36E29" w:rsidP="0084747F">
            <w:pPr>
              <w:spacing w:after="60" w:line="264" w:lineRule="auto"/>
              <w:jc w:val="both"/>
              <w:rPr>
                <w:rFonts w:cs="Times New Roman"/>
                <w:b/>
                <w:bCs/>
                <w:sz w:val="20"/>
                <w:szCs w:val="20"/>
              </w:rPr>
            </w:pPr>
            <w:r w:rsidRPr="009F6D1E">
              <w:rPr>
                <w:rFonts w:cs="Times New Roman"/>
                <w:b/>
                <w:bCs/>
                <w:sz w:val="20"/>
                <w:szCs w:val="20"/>
              </w:rPr>
              <w:t>Човешко здраве</w:t>
            </w:r>
          </w:p>
          <w:p w14:paraId="1A8C53CA" w14:textId="77777777" w:rsidR="00F36E29" w:rsidRPr="009F6D1E" w:rsidRDefault="00F36E29" w:rsidP="0084747F">
            <w:pPr>
              <w:spacing w:after="60" w:line="264" w:lineRule="auto"/>
              <w:jc w:val="both"/>
              <w:rPr>
                <w:rFonts w:cs="Times New Roman"/>
                <w:sz w:val="20"/>
                <w:szCs w:val="20"/>
              </w:rPr>
            </w:pPr>
            <w:r w:rsidRPr="009F6D1E">
              <w:rPr>
                <w:rFonts w:cs="Times New Roman"/>
                <w:b/>
                <w:bCs/>
                <w:sz w:val="20"/>
                <w:szCs w:val="20"/>
              </w:rPr>
              <w:t>Риск от инциденти</w:t>
            </w:r>
          </w:p>
        </w:tc>
        <w:tc>
          <w:tcPr>
            <w:tcW w:w="5812" w:type="dxa"/>
            <w:shd w:val="clear" w:color="auto" w:fill="auto"/>
          </w:tcPr>
          <w:p w14:paraId="14773B83"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очакват въздействия</w:t>
            </w:r>
          </w:p>
        </w:tc>
        <w:tc>
          <w:tcPr>
            <w:tcW w:w="6379" w:type="dxa"/>
          </w:tcPr>
          <w:p w14:paraId="3D32BCDF" w14:textId="77777777" w:rsidR="00F36E29" w:rsidRPr="009F6D1E" w:rsidRDefault="00F36E29" w:rsidP="0084747F">
            <w:pPr>
              <w:spacing w:after="60" w:line="264" w:lineRule="auto"/>
              <w:jc w:val="both"/>
              <w:rPr>
                <w:rFonts w:cs="Times New Roman"/>
                <w:sz w:val="20"/>
                <w:szCs w:val="20"/>
                <w:highlight w:val="yellow"/>
              </w:rPr>
            </w:pPr>
            <w:r w:rsidRPr="009F6D1E">
              <w:rPr>
                <w:rFonts w:eastAsia="Tahoma" w:cs="Times New Roman"/>
                <w:sz w:val="20"/>
                <w:szCs w:val="20"/>
                <w:lang w:eastAsia="zh-CN"/>
              </w:rPr>
              <w:t>Не се очаква въздействие</w:t>
            </w:r>
          </w:p>
        </w:tc>
      </w:tr>
      <w:bookmarkEnd w:id="621"/>
    </w:tbl>
    <w:p w14:paraId="20B855B8" w14:textId="77777777" w:rsidR="00F36E29" w:rsidRPr="009F6D1E" w:rsidRDefault="00F36E29" w:rsidP="0084747F">
      <w:pPr>
        <w:spacing w:after="60" w:line="264" w:lineRule="auto"/>
        <w:contextualSpacing/>
        <w:jc w:val="both"/>
        <w:rPr>
          <w:rFonts w:eastAsia="Calibri" w:cs="Times New Roman"/>
          <w:b/>
          <w:bCs/>
          <w:i/>
          <w:iCs/>
          <w:szCs w:val="24"/>
        </w:rPr>
        <w:sectPr w:rsidR="00F36E29" w:rsidRPr="009F6D1E" w:rsidSect="004A41FF">
          <w:pgSz w:w="16840" w:h="11907" w:orient="landscape" w:code="9"/>
          <w:pgMar w:top="1418" w:right="1418" w:bottom="851" w:left="1134" w:header="709" w:footer="709" w:gutter="0"/>
          <w:cols w:space="720"/>
          <w:docGrid w:linePitch="360"/>
        </w:sectPr>
      </w:pPr>
    </w:p>
    <w:p w14:paraId="5ABD4477" w14:textId="77777777" w:rsidR="00471E9F" w:rsidRPr="009F6D1E" w:rsidRDefault="00471E9F">
      <w:pPr>
        <w:pStyle w:val="ListParagraph"/>
        <w:keepNext/>
        <w:keepLines/>
        <w:numPr>
          <w:ilvl w:val="1"/>
          <w:numId w:val="68"/>
        </w:numPr>
        <w:shd w:val="clear" w:color="auto" w:fill="E2EFD9" w:themeFill="accent6" w:themeFillTint="33"/>
        <w:spacing w:after="60" w:line="264" w:lineRule="auto"/>
        <w:ind w:left="0" w:firstLine="0"/>
        <w:jc w:val="both"/>
        <w:outlineLvl w:val="1"/>
        <w:rPr>
          <w:rFonts w:eastAsia="Times New Roman"/>
          <w:b/>
          <w:i/>
          <w:lang w:val="bg-BG"/>
        </w:rPr>
      </w:pPr>
      <w:bookmarkStart w:id="622" w:name="_Toc115255046"/>
      <w:r w:rsidRPr="009F6D1E">
        <w:rPr>
          <w:rFonts w:eastAsia="Times New Roman"/>
          <w:b/>
          <w:i/>
          <w:lang w:val="bg-BG"/>
        </w:rPr>
        <w:lastRenderedPageBreak/>
        <w:t>Кумулативно въздействие</w:t>
      </w:r>
      <w:bookmarkEnd w:id="622"/>
      <w:r w:rsidRPr="009F6D1E">
        <w:rPr>
          <w:rFonts w:eastAsia="Times New Roman"/>
          <w:b/>
          <w:i/>
          <w:lang w:val="bg-BG"/>
        </w:rPr>
        <w:tab/>
      </w:r>
    </w:p>
    <w:p w14:paraId="29F87428"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Кумулативно въздействие, в резултат реализирането на </w:t>
      </w:r>
      <w:r w:rsidR="00CD4045" w:rsidRPr="009F6D1E">
        <w:rPr>
          <w:rFonts w:cs="Times New Roman"/>
          <w:szCs w:val="24"/>
        </w:rPr>
        <w:t>СПРЗСР</w:t>
      </w:r>
      <w:r w:rsidRPr="009F6D1E">
        <w:rPr>
          <w:rFonts w:cs="Times New Roman"/>
          <w:szCs w:val="24"/>
        </w:rPr>
        <w:t xml:space="preserve"> се очаква по отношение основната част от компонентите и факторите на средата, както и във връзка с по-голяма част предвидените за осъществяване специфични цели и потребности.</w:t>
      </w:r>
    </w:p>
    <w:p w14:paraId="3B8CDDBA" w14:textId="77777777" w:rsidR="00B43F96" w:rsidRPr="009F6D1E" w:rsidRDefault="00B43F96" w:rsidP="00B43F96">
      <w:pPr>
        <w:widowControl w:val="0"/>
        <w:spacing w:after="60" w:line="264" w:lineRule="auto"/>
        <w:ind w:firstLine="720"/>
        <w:jc w:val="both"/>
        <w:rPr>
          <w:rFonts w:cs="Times New Roman"/>
          <w:b/>
          <w:bCs/>
          <w:szCs w:val="24"/>
        </w:rPr>
      </w:pPr>
      <w:r w:rsidRPr="009F6D1E">
        <w:rPr>
          <w:rFonts w:cs="Times New Roman"/>
          <w:b/>
          <w:bCs/>
          <w:szCs w:val="24"/>
        </w:rPr>
        <w:t>Климат и атмосферен въздух</w:t>
      </w:r>
    </w:p>
    <w:p w14:paraId="2622EF14" w14:textId="77777777" w:rsidR="00B43F96" w:rsidRPr="009F6D1E" w:rsidRDefault="00EF2038" w:rsidP="00B43F96">
      <w:pPr>
        <w:widowControl w:val="0"/>
        <w:spacing w:after="60" w:line="264" w:lineRule="auto"/>
        <w:ind w:firstLine="720"/>
        <w:jc w:val="both"/>
        <w:rPr>
          <w:rFonts w:cs="Times New Roman"/>
          <w:szCs w:val="24"/>
        </w:rPr>
      </w:pPr>
      <w:r w:rsidRPr="009F6D1E">
        <w:rPr>
          <w:rFonts w:cs="Times New Roman"/>
          <w:szCs w:val="24"/>
        </w:rPr>
        <w:t xml:space="preserve">Що се касае до влияние върху климата и атмосферния въздух, то реализирането на </w:t>
      </w:r>
      <w:r w:rsidR="00CD4045" w:rsidRPr="009F6D1E">
        <w:rPr>
          <w:rFonts w:cs="Times New Roman"/>
          <w:szCs w:val="24"/>
        </w:rPr>
        <w:t>СПРЗСР</w:t>
      </w:r>
      <w:r w:rsidRPr="009F6D1E">
        <w:rPr>
          <w:rFonts w:cs="Times New Roman"/>
          <w:szCs w:val="24"/>
        </w:rPr>
        <w:t xml:space="preserve"> ще доведе до трайно намаляване на генерираните емисии на атмосферни замърсители в т. </w:t>
      </w:r>
      <w:r w:rsidR="00321C8F" w:rsidRPr="009F6D1E">
        <w:rPr>
          <w:rFonts w:cs="Times New Roman"/>
          <w:szCs w:val="24"/>
        </w:rPr>
        <w:t xml:space="preserve">ч. и парникови газове, което ще окаже благоприятно влияние, както върху качеството на атмосферния въздух в засегнатите райони, така и върху процесите, свързани с промяна в климата. Едно защо може да се обобщи, че кумулативно </w:t>
      </w:r>
      <w:r w:rsidR="00B43F96" w:rsidRPr="009F6D1E">
        <w:rPr>
          <w:rFonts w:cs="Times New Roman"/>
          <w:szCs w:val="24"/>
        </w:rPr>
        <w:t xml:space="preserve">въздействие върху качеството на атмосферния въздух и </w:t>
      </w:r>
      <w:r w:rsidR="00321C8F" w:rsidRPr="009F6D1E">
        <w:rPr>
          <w:rFonts w:cs="Times New Roman"/>
          <w:szCs w:val="24"/>
        </w:rPr>
        <w:t xml:space="preserve">климата не ес очаква, както на локално, така и на регионално ниво. Възможно е временно проявление на кумулативни процеси върху климата, които могат да се оценят като отрицателни, само по време на реализирането на дадени мерки от </w:t>
      </w:r>
      <w:r w:rsidR="00CD4045" w:rsidRPr="009F6D1E">
        <w:rPr>
          <w:rFonts w:cs="Times New Roman"/>
          <w:szCs w:val="24"/>
        </w:rPr>
        <w:t>СПРЗСР</w:t>
      </w:r>
      <w:r w:rsidR="00321C8F" w:rsidRPr="009F6D1E">
        <w:rPr>
          <w:rFonts w:cs="Times New Roman"/>
          <w:szCs w:val="24"/>
        </w:rPr>
        <w:t>, свързани с изграждането на нови обекти. Те ще са резултат от генерирането на прахови емисии и емисии от изгорели газове в хода на строителните процеси, като кумулативния ефект ще е с емисии на изгорели газове от транспорт по преминаващи в близост пътни артерии, както и с емисии, отделяни от други, разположени в близост, обекти.</w:t>
      </w:r>
    </w:p>
    <w:p w14:paraId="253AA92F" w14:textId="77777777" w:rsidR="00321C8F" w:rsidRPr="009F6D1E" w:rsidRDefault="00321C8F" w:rsidP="00B43F96">
      <w:pPr>
        <w:widowControl w:val="0"/>
        <w:spacing w:after="60" w:line="264" w:lineRule="auto"/>
        <w:ind w:firstLine="720"/>
        <w:jc w:val="both"/>
        <w:rPr>
          <w:rFonts w:cs="Times New Roman"/>
          <w:b/>
          <w:bCs/>
          <w:szCs w:val="24"/>
        </w:rPr>
      </w:pPr>
      <w:r w:rsidRPr="009F6D1E">
        <w:rPr>
          <w:rFonts w:cs="Times New Roman"/>
          <w:b/>
          <w:bCs/>
          <w:szCs w:val="24"/>
        </w:rPr>
        <w:t>Води</w:t>
      </w:r>
    </w:p>
    <w:p w14:paraId="56793E86"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Кумулативно въздействие върху повърхностните и подземните води се очаква, като същото може да се характеризира като дългосрочно и положително въздействие от прилагане на мерките.</w:t>
      </w:r>
    </w:p>
    <w:p w14:paraId="04607B57" w14:textId="77777777" w:rsidR="00B43F96" w:rsidRPr="009F6D1E" w:rsidRDefault="00321C8F" w:rsidP="00B43F96">
      <w:pPr>
        <w:widowControl w:val="0"/>
        <w:spacing w:after="60" w:line="264" w:lineRule="auto"/>
        <w:ind w:firstLine="720"/>
        <w:jc w:val="both"/>
        <w:rPr>
          <w:rFonts w:cs="Times New Roman"/>
          <w:b/>
          <w:bCs/>
          <w:szCs w:val="24"/>
        </w:rPr>
      </w:pPr>
      <w:r w:rsidRPr="009F6D1E">
        <w:rPr>
          <w:rFonts w:cs="Times New Roman"/>
          <w:b/>
          <w:bCs/>
          <w:szCs w:val="24"/>
        </w:rPr>
        <w:t>Почви</w:t>
      </w:r>
    </w:p>
    <w:p w14:paraId="04687839"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Кумулативно положително въздействие върху почвите може да се очаква както между специфичните цели и интервенции на </w:t>
      </w:r>
      <w:r w:rsidR="00CD4045" w:rsidRPr="009F6D1E">
        <w:rPr>
          <w:rFonts w:cs="Times New Roman"/>
          <w:szCs w:val="24"/>
        </w:rPr>
        <w:t>СПРЗСР</w:t>
      </w:r>
      <w:r w:rsidRPr="009F6D1E">
        <w:rPr>
          <w:rFonts w:cs="Times New Roman"/>
          <w:szCs w:val="24"/>
        </w:rPr>
        <w:t>, така и с други действащи програми и планове - Национална програма за опазване, устойчиво ползване и възстановяване функциите на почвите (2020-2030 г.), Планове за управление на речните басейни (ПУРБ), Национална стратегия за адаптация към изменението на климата и План за действие до 2030, Национална стратегия за управление и развитие на водния сектор.</w:t>
      </w:r>
    </w:p>
    <w:p w14:paraId="36D8DE5A"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Кумулативно отрицателно въздействие може да се очаква при реализацията на строителни дейности подпомогнати по </w:t>
      </w:r>
      <w:r w:rsidR="00CD4045" w:rsidRPr="009F6D1E">
        <w:rPr>
          <w:rFonts w:cs="Times New Roman"/>
          <w:szCs w:val="24"/>
        </w:rPr>
        <w:t>СПРЗСР</w:t>
      </w:r>
      <w:r w:rsidRPr="009F6D1E">
        <w:rPr>
          <w:rFonts w:cs="Times New Roman"/>
          <w:szCs w:val="24"/>
        </w:rPr>
        <w:t xml:space="preserve"> и други дейности свързани с изграждането на мащабни инфраструктурни проекти, които засягат трайно големи по площ участъци от земната повърхност.</w:t>
      </w:r>
    </w:p>
    <w:p w14:paraId="38D6ECA6" w14:textId="77777777" w:rsidR="00321C8F" w:rsidRPr="009F6D1E" w:rsidRDefault="00B43F96" w:rsidP="00B43F96">
      <w:pPr>
        <w:widowControl w:val="0"/>
        <w:spacing w:after="60" w:line="264" w:lineRule="auto"/>
        <w:ind w:firstLine="720"/>
        <w:jc w:val="both"/>
        <w:rPr>
          <w:rFonts w:cs="Times New Roman"/>
          <w:b/>
          <w:bCs/>
          <w:szCs w:val="24"/>
        </w:rPr>
      </w:pPr>
      <w:r w:rsidRPr="009F6D1E">
        <w:rPr>
          <w:rFonts w:cs="Times New Roman"/>
          <w:b/>
          <w:bCs/>
          <w:szCs w:val="24"/>
        </w:rPr>
        <w:t>Ландшафт</w:t>
      </w:r>
    </w:p>
    <w:p w14:paraId="284180DC"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Кумулативно положително въздействие върху ландшафтите може да се очаква както между специфичните цели и интервенции на </w:t>
      </w:r>
      <w:r w:rsidR="00CD4045" w:rsidRPr="009F6D1E">
        <w:rPr>
          <w:rFonts w:cs="Times New Roman"/>
          <w:szCs w:val="24"/>
        </w:rPr>
        <w:t>СПРЗСР</w:t>
      </w:r>
      <w:r w:rsidRPr="009F6D1E">
        <w:rPr>
          <w:rFonts w:cs="Times New Roman"/>
          <w:szCs w:val="24"/>
        </w:rPr>
        <w:t>, така и с други действащи програми и планове - Национална програма за опазване, устойчиво ползване и възстановяване функциите на почвите (2020-2030 г.), Планове за управление на речните басейни (ПУРБ), Национална стратегия за адаптация към изменението на климата и План за действие до 2030, Национална стратегия за управление и развитие на водния сектор.</w:t>
      </w:r>
    </w:p>
    <w:p w14:paraId="73F9489E"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lastRenderedPageBreak/>
        <w:t xml:space="preserve">Отрицателни кумулативни въздействия върху ландшафтите може да се очаква при реализацията на строителни дейности подпомогнати по </w:t>
      </w:r>
      <w:r w:rsidR="00CD4045" w:rsidRPr="009F6D1E">
        <w:rPr>
          <w:rFonts w:cs="Times New Roman"/>
          <w:szCs w:val="24"/>
        </w:rPr>
        <w:t>СПРЗСР</w:t>
      </w:r>
      <w:r w:rsidRPr="009F6D1E">
        <w:rPr>
          <w:rFonts w:cs="Times New Roman"/>
          <w:szCs w:val="24"/>
        </w:rPr>
        <w:t xml:space="preserve"> и други дейности свързани с изграждането на мащабни инфраструктурни проекти, които засягат трайно големи по площ участъци от земната повърхност и превръщат естествените природни комплекси в урбанизирани ландшафти.</w:t>
      </w:r>
    </w:p>
    <w:p w14:paraId="3D63C74A" w14:textId="77777777" w:rsidR="00321C8F" w:rsidRPr="009F6D1E" w:rsidRDefault="00321C8F" w:rsidP="00321C8F">
      <w:pPr>
        <w:widowControl w:val="0"/>
        <w:spacing w:after="60" w:line="264" w:lineRule="auto"/>
        <w:ind w:firstLine="720"/>
        <w:jc w:val="both"/>
        <w:rPr>
          <w:rFonts w:cs="Times New Roman"/>
          <w:b/>
          <w:bCs/>
          <w:szCs w:val="24"/>
        </w:rPr>
      </w:pPr>
      <w:r w:rsidRPr="009F6D1E">
        <w:rPr>
          <w:rFonts w:cs="Times New Roman"/>
          <w:b/>
          <w:bCs/>
          <w:szCs w:val="24"/>
        </w:rPr>
        <w:t>Земни недра</w:t>
      </w:r>
    </w:p>
    <w:p w14:paraId="37E13F52" w14:textId="77777777" w:rsidR="00321C8F" w:rsidRPr="009F6D1E" w:rsidRDefault="00321C8F" w:rsidP="00321C8F">
      <w:pPr>
        <w:widowControl w:val="0"/>
        <w:spacing w:after="60" w:line="264" w:lineRule="auto"/>
        <w:ind w:firstLine="720"/>
        <w:jc w:val="both"/>
        <w:rPr>
          <w:rFonts w:cs="Times New Roman"/>
          <w:szCs w:val="24"/>
        </w:rPr>
      </w:pPr>
      <w:r w:rsidRPr="009F6D1E">
        <w:rPr>
          <w:rFonts w:cs="Times New Roman"/>
          <w:szCs w:val="24"/>
        </w:rPr>
        <w:t>Не се очаква поява на кумулативно въздействие</w:t>
      </w:r>
      <w:r w:rsidR="006C5B23" w:rsidRPr="009F6D1E">
        <w:rPr>
          <w:rFonts w:cs="Times New Roman"/>
          <w:szCs w:val="24"/>
        </w:rPr>
        <w:t xml:space="preserve"> по отношение на земните недра.</w:t>
      </w:r>
    </w:p>
    <w:p w14:paraId="5746F3AC" w14:textId="77777777" w:rsidR="006C5B23" w:rsidRPr="009F6D1E" w:rsidRDefault="006C5B23" w:rsidP="00B43F96">
      <w:pPr>
        <w:widowControl w:val="0"/>
        <w:spacing w:after="60" w:line="264" w:lineRule="auto"/>
        <w:ind w:firstLine="720"/>
        <w:jc w:val="both"/>
        <w:rPr>
          <w:rFonts w:cs="Times New Roman"/>
          <w:b/>
          <w:bCs/>
          <w:szCs w:val="24"/>
        </w:rPr>
      </w:pPr>
      <w:r w:rsidRPr="009F6D1E">
        <w:rPr>
          <w:rFonts w:cs="Times New Roman"/>
          <w:b/>
          <w:bCs/>
          <w:szCs w:val="24"/>
        </w:rPr>
        <w:t>Биологично разнообразие, НЕМ, горски територии</w:t>
      </w:r>
    </w:p>
    <w:p w14:paraId="57FEE0E1" w14:textId="77777777" w:rsidR="006C5B23" w:rsidRPr="009F6D1E" w:rsidRDefault="006C5B23" w:rsidP="00B43F96">
      <w:pPr>
        <w:widowControl w:val="0"/>
        <w:spacing w:after="60" w:line="264" w:lineRule="auto"/>
        <w:ind w:firstLine="720"/>
        <w:jc w:val="both"/>
        <w:rPr>
          <w:rFonts w:cs="Times New Roman"/>
          <w:szCs w:val="24"/>
        </w:rPr>
      </w:pPr>
      <w:r w:rsidRPr="009F6D1E">
        <w:rPr>
          <w:rFonts w:cs="Times New Roman"/>
          <w:szCs w:val="24"/>
        </w:rPr>
        <w:t xml:space="preserve">Очакват се както положителни, така и отрицателни кумулативни въздействия върху биоразнообразието и горските територии.  Положителни кумулативни въздействия могат да се очакват както между специфичните цели и интервенции на </w:t>
      </w:r>
      <w:r w:rsidR="00CD4045" w:rsidRPr="009F6D1E">
        <w:rPr>
          <w:rFonts w:cs="Times New Roman"/>
          <w:szCs w:val="24"/>
        </w:rPr>
        <w:t>СПРЗСР</w:t>
      </w:r>
      <w:r w:rsidRPr="009F6D1E">
        <w:rPr>
          <w:rFonts w:cs="Times New Roman"/>
          <w:szCs w:val="24"/>
        </w:rPr>
        <w:t xml:space="preserve">, така и между тях и дейности, свързани с други програми и планове, като Национална програма за опазване, устойчиво ползване и възстановяване функциите на почвите (2020-2030 г.), Планове за управление на речните басейни (ПУРБ), Национална стратегия за адаптация към изменението на климата и План за действие до 2030, Национална стратегия за управление и развитие на водния сектор, Стратегия за устойчиво енергийно развитие на република България до 2030 г. с хоризонт до 2050 г., Интегриран национален план в областта на енергетиката и климата на република България до 2030 г. и др. минали, настоящи и/или очаквани бъдещи планове, програми и проекти/инвестиционни предложения, с положително въздействие върху биоразнообразието и горските територии. Отрицателни кумулативни въздействия могат да се очакват при реализацията на различни дейности (например строителни), подпомогнати по </w:t>
      </w:r>
      <w:r w:rsidR="00CD4045" w:rsidRPr="009F6D1E">
        <w:rPr>
          <w:rFonts w:cs="Times New Roman"/>
          <w:szCs w:val="24"/>
        </w:rPr>
        <w:t>СПРЗСР</w:t>
      </w:r>
      <w:r w:rsidRPr="009F6D1E">
        <w:rPr>
          <w:rFonts w:cs="Times New Roman"/>
          <w:szCs w:val="24"/>
        </w:rPr>
        <w:t xml:space="preserve"> и дейности свързани с реализирането на други минали, настоящи и/или очаквани бъдещи планове, програми и проекти/инвестиционни предложения с различен мащаб, оказващи отрицателно въздействие върху биоразнообразието и горите.</w:t>
      </w:r>
    </w:p>
    <w:p w14:paraId="6805F7F2" w14:textId="77777777" w:rsidR="00321C8F" w:rsidRPr="009F6D1E" w:rsidRDefault="00321C8F" w:rsidP="00B43F96">
      <w:pPr>
        <w:widowControl w:val="0"/>
        <w:spacing w:after="60" w:line="264" w:lineRule="auto"/>
        <w:ind w:firstLine="720"/>
        <w:jc w:val="both"/>
        <w:rPr>
          <w:rFonts w:cs="Times New Roman"/>
          <w:b/>
          <w:bCs/>
          <w:szCs w:val="24"/>
        </w:rPr>
      </w:pPr>
      <w:r w:rsidRPr="009F6D1E">
        <w:rPr>
          <w:rFonts w:cs="Times New Roman"/>
          <w:b/>
          <w:bCs/>
          <w:szCs w:val="24"/>
        </w:rPr>
        <w:t>Културно</w:t>
      </w:r>
      <w:r w:rsidR="004B5EC9" w:rsidRPr="009F6D1E">
        <w:rPr>
          <w:rFonts w:cs="Times New Roman"/>
          <w:b/>
          <w:bCs/>
          <w:szCs w:val="24"/>
        </w:rPr>
        <w:t>-</w:t>
      </w:r>
      <w:r w:rsidRPr="009F6D1E">
        <w:rPr>
          <w:rFonts w:cs="Times New Roman"/>
          <w:b/>
          <w:bCs/>
          <w:szCs w:val="24"/>
        </w:rPr>
        <w:t>историческо наследство</w:t>
      </w:r>
    </w:p>
    <w:p w14:paraId="4805E172"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Кумулативно положително въздействие върху културно-историческото наследство може да се очаква от взаимодействието на </w:t>
      </w:r>
      <w:r w:rsidR="00CD4045" w:rsidRPr="009F6D1E">
        <w:rPr>
          <w:rFonts w:cs="Times New Roman"/>
          <w:szCs w:val="24"/>
        </w:rPr>
        <w:t>СПРЗСР</w:t>
      </w:r>
      <w:r w:rsidRPr="009F6D1E">
        <w:rPr>
          <w:rFonts w:cs="Times New Roman"/>
          <w:szCs w:val="24"/>
        </w:rPr>
        <w:t xml:space="preserve"> с други действащи програми и планове за опазване на КИН - Закон за културното наследство/ЗКН/ (обн. ДВ, бр.19 от 2009 г.), конвенцията за опазване на световното културно и природно наследство приета от Генералната конференция на Организацията на обединените нации за образование, наука и култура – ЮНЕСКО, през 1972 г. в Париж. Конвенция за подводното културно наследство (2001 г.), Конвенция за опазване на нематериалното културно наследство (2003 г.), както и Конвенции, приети под егидата на Съвета на Европа – Конвенция за опазване на архитектурното наследство на Европа (1985 г.), Европейската конвенция за опазване на археологическото наследство (1992 г.).</w:t>
      </w:r>
    </w:p>
    <w:p w14:paraId="24A6A6C9"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Кумулативно отрицателно въздействие може да се очаква при възникване на строителни дейности и други дейности свързани с изкопни работи, които да доведат до засягане или унищожаване на неизвестни археологически обекти.</w:t>
      </w:r>
    </w:p>
    <w:p w14:paraId="285934BA" w14:textId="77777777" w:rsidR="006C5B23" w:rsidRPr="009F6D1E" w:rsidRDefault="006C5B23" w:rsidP="006C5B23">
      <w:pPr>
        <w:spacing w:after="0" w:line="276" w:lineRule="auto"/>
        <w:ind w:firstLine="720"/>
        <w:jc w:val="both"/>
        <w:rPr>
          <w:rFonts w:cs="Times New Roman"/>
          <w:b/>
          <w:bCs/>
          <w:szCs w:val="24"/>
        </w:rPr>
      </w:pPr>
      <w:r w:rsidRPr="009F6D1E">
        <w:rPr>
          <w:rFonts w:cs="Times New Roman"/>
          <w:b/>
          <w:bCs/>
          <w:szCs w:val="24"/>
        </w:rPr>
        <w:t>Материални активи</w:t>
      </w:r>
    </w:p>
    <w:p w14:paraId="014896E5" w14:textId="77777777" w:rsidR="006C5B23" w:rsidRPr="009F6D1E" w:rsidRDefault="006C5B23" w:rsidP="006C5B23">
      <w:pPr>
        <w:spacing w:after="0" w:line="276" w:lineRule="auto"/>
        <w:ind w:firstLine="720"/>
        <w:jc w:val="both"/>
        <w:rPr>
          <w:rFonts w:cs="Times New Roman"/>
          <w:szCs w:val="24"/>
        </w:rPr>
      </w:pPr>
      <w:r w:rsidRPr="009F6D1E">
        <w:rPr>
          <w:rFonts w:cs="Times New Roman"/>
          <w:szCs w:val="24"/>
        </w:rPr>
        <w:lastRenderedPageBreak/>
        <w:t xml:space="preserve">По отношение на материалните активи се очаква положително кумулативно въздействие за подобряване състоянието на съществуващите ДМА и/или изграждане на нови екологосъобразни такива, в засегнатите от </w:t>
      </w:r>
      <w:r w:rsidR="00CD4045" w:rsidRPr="009F6D1E">
        <w:rPr>
          <w:rFonts w:cs="Times New Roman"/>
          <w:szCs w:val="24"/>
        </w:rPr>
        <w:t>СПРЗСР</w:t>
      </w:r>
      <w:r w:rsidRPr="009F6D1E">
        <w:rPr>
          <w:rFonts w:cs="Times New Roman"/>
          <w:szCs w:val="24"/>
        </w:rPr>
        <w:t xml:space="preserve"> райони, тъй като чрез конкретните специфични цели и потребности се очаква подобряване на социално-икономическата среда, свързано основно с изграждането, модернизирането и/или развитието на редица обекти, функциониращи в сектора на земеделието. Не се очаква отрицателен кумулативен ефект. </w:t>
      </w:r>
    </w:p>
    <w:p w14:paraId="58D18211" w14:textId="77777777" w:rsidR="006C5B23" w:rsidRPr="009F6D1E" w:rsidRDefault="006C5B23" w:rsidP="006C5B23">
      <w:pPr>
        <w:spacing w:after="0" w:line="276" w:lineRule="auto"/>
        <w:ind w:firstLine="720"/>
        <w:jc w:val="both"/>
        <w:rPr>
          <w:rFonts w:cs="Times New Roman"/>
          <w:b/>
          <w:bCs/>
          <w:szCs w:val="24"/>
        </w:rPr>
      </w:pPr>
      <w:r w:rsidRPr="009F6D1E">
        <w:rPr>
          <w:rFonts w:cs="Times New Roman"/>
          <w:b/>
          <w:bCs/>
          <w:szCs w:val="24"/>
        </w:rPr>
        <w:t>Отпадъци</w:t>
      </w:r>
    </w:p>
    <w:p w14:paraId="7877ACD3" w14:textId="77777777" w:rsidR="006C5B23" w:rsidRPr="009F6D1E" w:rsidRDefault="006C5B23" w:rsidP="006C5B23">
      <w:pPr>
        <w:spacing w:after="0" w:line="276" w:lineRule="auto"/>
        <w:ind w:firstLine="720"/>
        <w:jc w:val="both"/>
        <w:rPr>
          <w:rFonts w:cs="Times New Roman"/>
          <w:szCs w:val="24"/>
        </w:rPr>
      </w:pPr>
      <w:r w:rsidRPr="009F6D1E">
        <w:rPr>
          <w:rFonts w:cs="Times New Roman"/>
          <w:szCs w:val="24"/>
        </w:rPr>
        <w:t xml:space="preserve">По отношение на отпадъците се очаква положително кумулативно въздействие за управление на отпадъците и в частност тези, образувани като резултат от работата на </w:t>
      </w:r>
      <w:r w:rsidR="00E318C8" w:rsidRPr="009F6D1E">
        <w:rPr>
          <w:rFonts w:cs="Times New Roman"/>
          <w:szCs w:val="24"/>
        </w:rPr>
        <w:t xml:space="preserve">обекти, функциониращи в сектора на земеделието. </w:t>
      </w:r>
      <w:r w:rsidR="00CD4045" w:rsidRPr="009F6D1E">
        <w:rPr>
          <w:rFonts w:cs="Times New Roman"/>
          <w:szCs w:val="24"/>
        </w:rPr>
        <w:t>СПРЗСР</w:t>
      </w:r>
      <w:r w:rsidR="00E318C8" w:rsidRPr="009F6D1E">
        <w:rPr>
          <w:rFonts w:cs="Times New Roman"/>
          <w:szCs w:val="24"/>
        </w:rPr>
        <w:t xml:space="preserve"> предвижда прилагане на редица специфични цели, водещи, както до предотвратяване и намаляване образуването на отпадъци, така и подобряване на прилаганите методи за третиране на специфични потоци отпадъци, като например оборския тор и пр</w:t>
      </w:r>
      <w:r w:rsidRPr="009F6D1E">
        <w:rPr>
          <w:rFonts w:cs="Times New Roman"/>
          <w:szCs w:val="24"/>
        </w:rPr>
        <w:t xml:space="preserve">. Не се очаква отрицателен кумулативен ефект. </w:t>
      </w:r>
    </w:p>
    <w:p w14:paraId="222E207A" w14:textId="77777777" w:rsidR="00E318C8" w:rsidRPr="009F6D1E" w:rsidRDefault="004B5EC9" w:rsidP="006C5B23">
      <w:pPr>
        <w:spacing w:after="0" w:line="276" w:lineRule="auto"/>
        <w:ind w:firstLine="720"/>
        <w:jc w:val="both"/>
        <w:rPr>
          <w:rFonts w:cs="Times New Roman"/>
          <w:b/>
          <w:bCs/>
          <w:szCs w:val="24"/>
        </w:rPr>
      </w:pPr>
      <w:r w:rsidRPr="009F6D1E">
        <w:rPr>
          <w:rFonts w:cs="Times New Roman"/>
          <w:b/>
          <w:bCs/>
          <w:szCs w:val="24"/>
        </w:rPr>
        <w:t>Опасни химични вещества и предприятия с висок и нисък рисков потенциал</w:t>
      </w:r>
    </w:p>
    <w:p w14:paraId="5EA0ABAE" w14:textId="77777777" w:rsidR="006C5B23" w:rsidRPr="009F6D1E" w:rsidRDefault="006C5B23" w:rsidP="006C5B23">
      <w:pPr>
        <w:spacing w:after="0" w:line="276" w:lineRule="auto"/>
        <w:ind w:firstLine="720"/>
        <w:jc w:val="both"/>
        <w:rPr>
          <w:rFonts w:cs="Times New Roman"/>
          <w:szCs w:val="24"/>
        </w:rPr>
      </w:pPr>
      <w:r w:rsidRPr="009F6D1E">
        <w:rPr>
          <w:rFonts w:cs="Times New Roman"/>
          <w:szCs w:val="24"/>
        </w:rPr>
        <w:t xml:space="preserve">По отношение на опасни химични вещества и риск от големи аварии не се очаква кумулативно въздействие. </w:t>
      </w:r>
      <w:r w:rsidR="00E318C8" w:rsidRPr="009F6D1E">
        <w:rPr>
          <w:rFonts w:cs="Times New Roman"/>
          <w:szCs w:val="24"/>
        </w:rPr>
        <w:t xml:space="preserve">Реализирането на </w:t>
      </w:r>
      <w:r w:rsidR="00CD4045" w:rsidRPr="009F6D1E">
        <w:rPr>
          <w:rFonts w:cs="Times New Roman"/>
          <w:szCs w:val="24"/>
        </w:rPr>
        <w:t>СПРЗСР</w:t>
      </w:r>
      <w:r w:rsidR="00E318C8" w:rsidRPr="009F6D1E">
        <w:rPr>
          <w:rFonts w:cs="Times New Roman"/>
          <w:szCs w:val="24"/>
        </w:rPr>
        <w:t xml:space="preserve"> ще доведе до намаляване употребата на антибиотични препарати, торове и пестициди, което от своя страна ще намали количествата съхранявани такива, някои от които с опасни свойства. </w:t>
      </w:r>
    </w:p>
    <w:p w14:paraId="54E7175D" w14:textId="77777777" w:rsidR="00E318C8" w:rsidRPr="009F6D1E" w:rsidRDefault="00E318C8" w:rsidP="006C5B23">
      <w:pPr>
        <w:spacing w:after="0" w:line="276" w:lineRule="auto"/>
        <w:ind w:firstLine="720"/>
        <w:jc w:val="both"/>
        <w:rPr>
          <w:rFonts w:cs="Times New Roman"/>
          <w:b/>
          <w:bCs/>
          <w:szCs w:val="24"/>
        </w:rPr>
      </w:pPr>
      <w:r w:rsidRPr="009F6D1E">
        <w:rPr>
          <w:rFonts w:cs="Times New Roman"/>
          <w:b/>
          <w:bCs/>
          <w:szCs w:val="24"/>
        </w:rPr>
        <w:t>Население и човешко здраве</w:t>
      </w:r>
    </w:p>
    <w:p w14:paraId="40782CDE" w14:textId="77777777" w:rsidR="006C5B23" w:rsidRPr="009F6D1E" w:rsidRDefault="006C5B23" w:rsidP="006C5B23">
      <w:pPr>
        <w:spacing w:after="0" w:line="276" w:lineRule="auto"/>
        <w:ind w:firstLine="720"/>
        <w:jc w:val="both"/>
        <w:rPr>
          <w:rFonts w:cs="Times New Roman"/>
          <w:szCs w:val="24"/>
        </w:rPr>
      </w:pPr>
      <w:r w:rsidRPr="009F6D1E">
        <w:rPr>
          <w:rFonts w:cs="Times New Roman"/>
          <w:szCs w:val="24"/>
        </w:rPr>
        <w:t xml:space="preserve">Предвижданията на </w:t>
      </w:r>
      <w:r w:rsidR="00CD4045" w:rsidRPr="009F6D1E">
        <w:rPr>
          <w:rFonts w:cs="Times New Roman"/>
          <w:szCs w:val="24"/>
        </w:rPr>
        <w:t>СПРЗСР</w:t>
      </w:r>
      <w:r w:rsidRPr="009F6D1E">
        <w:rPr>
          <w:rFonts w:cs="Times New Roman"/>
          <w:szCs w:val="24"/>
        </w:rPr>
        <w:t xml:space="preserve"> са като цяло с положителен ефект върху човешкото здраве и здравно-хигиенните аспекти на средата. </w:t>
      </w:r>
      <w:r w:rsidR="005171C1" w:rsidRPr="009F6D1E">
        <w:rPr>
          <w:rFonts w:cs="Times New Roman"/>
          <w:szCs w:val="24"/>
        </w:rPr>
        <w:t xml:space="preserve">В основната си част мерките от </w:t>
      </w:r>
      <w:r w:rsidR="00CD4045" w:rsidRPr="009F6D1E">
        <w:rPr>
          <w:rFonts w:cs="Times New Roman"/>
          <w:szCs w:val="24"/>
        </w:rPr>
        <w:t>СПРЗСР</w:t>
      </w:r>
      <w:r w:rsidR="005171C1" w:rsidRPr="009F6D1E">
        <w:rPr>
          <w:rFonts w:cs="Times New Roman"/>
          <w:szCs w:val="24"/>
        </w:rPr>
        <w:t xml:space="preserve"> ще доведат до директно или индиректно подобряване на социално-икономическите условия на средата, като също така ще повлияят директно или косвено, с положителен ефект, върху здравето на населението в засегнатите райони. </w:t>
      </w:r>
      <w:r w:rsidR="00E318C8" w:rsidRPr="009F6D1E">
        <w:rPr>
          <w:rFonts w:cs="Times New Roman"/>
          <w:szCs w:val="24"/>
        </w:rPr>
        <w:t>Правилният избор на местоположение на новопредвидени за реализиране обекти, така че същите да бъдат разположени на достатъчно отстояние от</w:t>
      </w:r>
      <w:r w:rsidR="005171C1" w:rsidRPr="009F6D1E">
        <w:rPr>
          <w:rFonts w:cs="Times New Roman"/>
          <w:szCs w:val="24"/>
        </w:rPr>
        <w:t xml:space="preserve"> обекти, подлежащи на здравна защита, няма да позволи проявя на отрицателни кумулативни въздействия с други, разположени в близост обекти, замърсяващи околната среда.</w:t>
      </w:r>
    </w:p>
    <w:p w14:paraId="5D5E1192" w14:textId="77777777" w:rsidR="00721DAB" w:rsidRPr="009F6D1E" w:rsidRDefault="00721DAB" w:rsidP="0084747F">
      <w:pPr>
        <w:spacing w:after="60" w:line="264" w:lineRule="auto"/>
        <w:contextualSpacing/>
        <w:jc w:val="both"/>
        <w:rPr>
          <w:rFonts w:eastAsia="Calibri" w:cs="Times New Roman"/>
          <w:b/>
          <w:bCs/>
          <w:i/>
          <w:iCs/>
          <w:szCs w:val="24"/>
          <w:highlight w:val="yellow"/>
        </w:rPr>
      </w:pPr>
    </w:p>
    <w:p w14:paraId="7CD4EE78" w14:textId="77777777" w:rsidR="00471E9F" w:rsidRPr="009F6D1E" w:rsidRDefault="00471E9F">
      <w:pPr>
        <w:pStyle w:val="ListParagraph"/>
        <w:keepNext/>
        <w:keepLines/>
        <w:numPr>
          <w:ilvl w:val="1"/>
          <w:numId w:val="68"/>
        </w:numPr>
        <w:shd w:val="clear" w:color="auto" w:fill="E2EFD9" w:themeFill="accent6" w:themeFillTint="33"/>
        <w:spacing w:after="60" w:line="264" w:lineRule="auto"/>
        <w:ind w:left="0" w:firstLine="0"/>
        <w:jc w:val="both"/>
        <w:outlineLvl w:val="1"/>
        <w:rPr>
          <w:rFonts w:eastAsia="Times New Roman"/>
          <w:b/>
          <w:i/>
          <w:lang w:val="bg-BG"/>
        </w:rPr>
      </w:pPr>
      <w:bookmarkStart w:id="623" w:name="_Toc115255047"/>
      <w:r w:rsidRPr="009F6D1E">
        <w:rPr>
          <w:rFonts w:eastAsia="Times New Roman"/>
          <w:b/>
          <w:i/>
          <w:lang w:val="bg-BG"/>
        </w:rPr>
        <w:t xml:space="preserve">Трансгранично въздействие на </w:t>
      </w:r>
      <w:r w:rsidR="00CD4045" w:rsidRPr="009F6D1E">
        <w:rPr>
          <w:rFonts w:eastAsia="Times New Roman"/>
          <w:b/>
          <w:i/>
          <w:lang w:val="bg-BG"/>
        </w:rPr>
        <w:t>СПРЗСР</w:t>
      </w:r>
      <w:bookmarkEnd w:id="623"/>
      <w:r w:rsidRPr="009F6D1E">
        <w:rPr>
          <w:rFonts w:eastAsia="Times New Roman"/>
          <w:b/>
          <w:i/>
          <w:lang w:val="bg-BG"/>
        </w:rPr>
        <w:tab/>
      </w:r>
    </w:p>
    <w:p w14:paraId="0FCD6908" w14:textId="36624DAB" w:rsidR="007F0E20"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Не се очаква реализирането на </w:t>
      </w:r>
      <w:r w:rsidR="00CD4045" w:rsidRPr="009F6D1E">
        <w:rPr>
          <w:rFonts w:cs="Times New Roman"/>
          <w:szCs w:val="24"/>
        </w:rPr>
        <w:t>СПРЗСР</w:t>
      </w:r>
      <w:r w:rsidRPr="009F6D1E">
        <w:rPr>
          <w:rFonts w:cs="Times New Roman"/>
          <w:szCs w:val="24"/>
        </w:rPr>
        <w:t xml:space="preserve"> да доведе до трансгранично въздействие по отношение на който и да е от компонентите и факторите на средата.</w:t>
      </w:r>
      <w:r w:rsidR="004B7A95">
        <w:rPr>
          <w:rFonts w:cs="Times New Roman"/>
          <w:szCs w:val="24"/>
        </w:rPr>
        <w:t xml:space="preserve"> В своята същност постигането на заложените в Стратегическия план цели не е съпроводено с образуването на емисии, разпространението на които да засегнат и съседните държави. Реализирането на целите е свързано с незначителни емисии на атмосферни замърсители, напр. по време на изграждане на нови обекти и/или модернизация на съществуващи, които ще бъдат незначителни, за периода на строителство и ще се разпространят на локално ниво, в границите на засегнатите площи.</w:t>
      </w:r>
    </w:p>
    <w:p w14:paraId="744A6DB6" w14:textId="09CA43CD" w:rsidR="004B7A95" w:rsidRDefault="004B7A95" w:rsidP="00B43F96">
      <w:pPr>
        <w:widowControl w:val="0"/>
        <w:spacing w:after="60" w:line="264" w:lineRule="auto"/>
        <w:ind w:firstLine="720"/>
        <w:jc w:val="both"/>
        <w:rPr>
          <w:rFonts w:cs="Times New Roman"/>
          <w:szCs w:val="24"/>
        </w:rPr>
      </w:pPr>
      <w:r>
        <w:rPr>
          <w:rFonts w:cs="Times New Roman"/>
          <w:szCs w:val="24"/>
        </w:rPr>
        <w:t xml:space="preserve">Експлоатацията на редицата модернизирани и новоизградени обекти ще е свързана с прилагането на иновативни и чисти технологии, което няма да позволи замърсяване на водите, въздуха и почвите, както и образуването на големи количества отпадъци и наднормено </w:t>
      </w:r>
      <w:r>
        <w:rPr>
          <w:rFonts w:cs="Times New Roman"/>
          <w:szCs w:val="24"/>
        </w:rPr>
        <w:lastRenderedPageBreak/>
        <w:t>шумово натоварване на средата. Това от своя страна няма да доведе до каквито и да е въздействия в трансграничен контекст.</w:t>
      </w:r>
    </w:p>
    <w:p w14:paraId="2F97C772" w14:textId="4BACDF0F" w:rsidR="004B7A95" w:rsidRPr="009F6D1E" w:rsidRDefault="004B7A95" w:rsidP="00B43F96">
      <w:pPr>
        <w:widowControl w:val="0"/>
        <w:spacing w:after="60" w:line="264" w:lineRule="auto"/>
        <w:ind w:firstLine="720"/>
        <w:jc w:val="both"/>
        <w:rPr>
          <w:rFonts w:cs="Times New Roman"/>
          <w:szCs w:val="24"/>
        </w:rPr>
      </w:pPr>
      <w:r>
        <w:rPr>
          <w:rFonts w:cs="Times New Roman"/>
          <w:szCs w:val="24"/>
        </w:rPr>
        <w:t xml:space="preserve">Подобряването на социално-икономическите условия на средата ще окаже, макар и косвен, положителен ефект върху районите, допринасяйки и за намаляване на замърсяването на компонентите на околната среда и </w:t>
      </w:r>
      <w:r w:rsidR="00535892">
        <w:rPr>
          <w:rFonts w:cs="Times New Roman"/>
          <w:szCs w:val="24"/>
        </w:rPr>
        <w:t>недопускане на трансграничен пренос на замърсители, напр. от лоша пътна мрежа или липса на пречиствателни съоръжения.</w:t>
      </w:r>
    </w:p>
    <w:p w14:paraId="56432010" w14:textId="77777777" w:rsidR="00B43F96" w:rsidRPr="009F6D1E" w:rsidRDefault="00B43F96" w:rsidP="0084747F">
      <w:pPr>
        <w:spacing w:after="60" w:line="264" w:lineRule="auto"/>
        <w:contextualSpacing/>
        <w:jc w:val="both"/>
        <w:rPr>
          <w:rFonts w:eastAsia="Calibri" w:cs="Times New Roman"/>
          <w:b/>
          <w:bCs/>
          <w:i/>
          <w:iCs/>
          <w:szCs w:val="24"/>
          <w:highlight w:val="yellow"/>
        </w:rPr>
      </w:pPr>
    </w:p>
    <w:p w14:paraId="6831DC94" w14:textId="77777777" w:rsidR="00471E9F" w:rsidRPr="009F6D1E" w:rsidRDefault="00471E9F">
      <w:pPr>
        <w:pStyle w:val="ListParagraph"/>
        <w:keepNext/>
        <w:keepLines/>
        <w:numPr>
          <w:ilvl w:val="1"/>
          <w:numId w:val="68"/>
        </w:numPr>
        <w:shd w:val="clear" w:color="auto" w:fill="E2EFD9" w:themeFill="accent6" w:themeFillTint="33"/>
        <w:spacing w:after="60" w:line="264" w:lineRule="auto"/>
        <w:ind w:left="0" w:firstLine="0"/>
        <w:jc w:val="both"/>
        <w:outlineLvl w:val="1"/>
        <w:rPr>
          <w:rFonts w:eastAsia="Times New Roman"/>
          <w:b/>
          <w:i/>
          <w:lang w:val="bg-BG"/>
        </w:rPr>
      </w:pPr>
      <w:bookmarkStart w:id="624" w:name="_Toc115255048"/>
      <w:r w:rsidRPr="009F6D1E">
        <w:rPr>
          <w:rFonts w:eastAsia="Times New Roman"/>
          <w:b/>
          <w:i/>
          <w:lang w:val="bg-BG"/>
        </w:rPr>
        <w:t>Обобщение за очакваното въздействие</w:t>
      </w:r>
      <w:bookmarkEnd w:id="624"/>
      <w:r w:rsidRPr="009F6D1E">
        <w:rPr>
          <w:rFonts w:eastAsia="Times New Roman"/>
          <w:b/>
          <w:i/>
          <w:lang w:val="bg-BG"/>
        </w:rPr>
        <w:tab/>
      </w:r>
    </w:p>
    <w:p w14:paraId="5BE800A4" w14:textId="77777777" w:rsidR="00B86516" w:rsidRPr="009F6D1E" w:rsidRDefault="00B86516" w:rsidP="00B43F96">
      <w:pPr>
        <w:widowControl w:val="0"/>
        <w:spacing w:after="60" w:line="264" w:lineRule="auto"/>
        <w:ind w:firstLine="720"/>
        <w:jc w:val="both"/>
        <w:rPr>
          <w:rFonts w:cs="Times New Roman"/>
          <w:b/>
          <w:bCs/>
          <w:szCs w:val="24"/>
        </w:rPr>
      </w:pPr>
      <w:r w:rsidRPr="009F6D1E">
        <w:rPr>
          <w:rFonts w:cs="Times New Roman"/>
          <w:b/>
          <w:bCs/>
          <w:szCs w:val="24"/>
        </w:rPr>
        <w:t>Климат и атмосферен въздух</w:t>
      </w:r>
    </w:p>
    <w:p w14:paraId="6E6D7C7A" w14:textId="77777777" w:rsidR="004B5EC9" w:rsidRPr="009F6D1E" w:rsidRDefault="004B5EC9" w:rsidP="00F062F0">
      <w:pPr>
        <w:widowControl w:val="0"/>
        <w:spacing w:after="60" w:line="264" w:lineRule="auto"/>
        <w:ind w:firstLine="720"/>
        <w:jc w:val="both"/>
        <w:rPr>
          <w:rFonts w:cs="Times New Roman"/>
          <w:szCs w:val="24"/>
        </w:rPr>
      </w:pPr>
      <w:r w:rsidRPr="009F6D1E">
        <w:rPr>
          <w:rFonts w:cs="Times New Roman"/>
          <w:szCs w:val="24"/>
        </w:rPr>
        <w:t xml:space="preserve">По отношение </w:t>
      </w:r>
      <w:r w:rsidR="00817DC9" w:rsidRPr="009F6D1E">
        <w:rPr>
          <w:rFonts w:cs="Times New Roman"/>
          <w:szCs w:val="24"/>
        </w:rPr>
        <w:t>качеството на атмосферния въздух и климата</w:t>
      </w:r>
      <w:r w:rsidRPr="009F6D1E">
        <w:rPr>
          <w:rFonts w:cs="Times New Roman"/>
          <w:szCs w:val="24"/>
        </w:rPr>
        <w:t xml:space="preserve"> очаква положително въздействие в резултат на</w:t>
      </w:r>
      <w:r w:rsidR="00817DC9" w:rsidRPr="009F6D1E">
        <w:rPr>
          <w:rFonts w:cs="Times New Roman"/>
          <w:szCs w:val="24"/>
        </w:rPr>
        <w:t xml:space="preserve"> реализирането на потребностите по отделните специфични цели на </w:t>
      </w:r>
      <w:r w:rsidR="00CD4045" w:rsidRPr="009F6D1E">
        <w:rPr>
          <w:rFonts w:cs="Times New Roman"/>
          <w:szCs w:val="24"/>
        </w:rPr>
        <w:t>СПРЗСР</w:t>
      </w:r>
      <w:r w:rsidRPr="009F6D1E">
        <w:rPr>
          <w:rFonts w:cs="Times New Roman"/>
          <w:szCs w:val="24"/>
        </w:rPr>
        <w:t xml:space="preserve">. Предвижданията на </w:t>
      </w:r>
      <w:r w:rsidR="00CD4045" w:rsidRPr="009F6D1E">
        <w:rPr>
          <w:rFonts w:cs="Times New Roman"/>
          <w:szCs w:val="24"/>
        </w:rPr>
        <w:t>СПРЗСР</w:t>
      </w:r>
      <w:r w:rsidRPr="009F6D1E">
        <w:rPr>
          <w:rFonts w:cs="Times New Roman"/>
          <w:szCs w:val="24"/>
        </w:rPr>
        <w:t xml:space="preserve"> нямат потенциал за значително отрицателно въздействие, а само за локални въздействия, като цяло обратими</w:t>
      </w:r>
      <w:r w:rsidR="00817DC9" w:rsidRPr="009F6D1E">
        <w:rPr>
          <w:rFonts w:cs="Times New Roman"/>
          <w:szCs w:val="24"/>
        </w:rPr>
        <w:t xml:space="preserve"> и дължащи се основно на етапа на реализация на отделните </w:t>
      </w:r>
      <w:r w:rsidR="00F062F0" w:rsidRPr="009F6D1E">
        <w:rPr>
          <w:rFonts w:cs="Times New Roman"/>
          <w:szCs w:val="24"/>
        </w:rPr>
        <w:t>потребности, свързани с изграждането на нови обекти и/или реконструкция на вече съществуващи.</w:t>
      </w:r>
    </w:p>
    <w:p w14:paraId="794D398C" w14:textId="77777777" w:rsidR="004B5EC9" w:rsidRPr="009F6D1E" w:rsidRDefault="00F062F0" w:rsidP="00F062F0">
      <w:pPr>
        <w:widowControl w:val="0"/>
        <w:spacing w:after="60" w:line="264" w:lineRule="auto"/>
        <w:ind w:firstLine="720"/>
        <w:jc w:val="both"/>
        <w:rPr>
          <w:rFonts w:cs="Times New Roman"/>
          <w:szCs w:val="24"/>
        </w:rPr>
      </w:pPr>
      <w:r w:rsidRPr="009F6D1E">
        <w:rPr>
          <w:rFonts w:cs="Times New Roman"/>
          <w:szCs w:val="24"/>
        </w:rPr>
        <w:t xml:space="preserve">Както преки, така и индиректни </w:t>
      </w:r>
      <w:r w:rsidR="004B5EC9" w:rsidRPr="009F6D1E">
        <w:rPr>
          <w:rFonts w:cs="Times New Roman"/>
          <w:szCs w:val="24"/>
        </w:rPr>
        <w:t xml:space="preserve">положителни въздействия се очакват във връзка с адаптацията към </w:t>
      </w:r>
      <w:r w:rsidRPr="009F6D1E">
        <w:rPr>
          <w:rFonts w:cs="Times New Roman"/>
          <w:szCs w:val="24"/>
        </w:rPr>
        <w:t>климатичните промени</w:t>
      </w:r>
      <w:r w:rsidR="004B5EC9" w:rsidRPr="009F6D1E">
        <w:rPr>
          <w:rFonts w:cs="Times New Roman"/>
          <w:szCs w:val="24"/>
        </w:rPr>
        <w:t xml:space="preserve">. Няма предвиждания, </w:t>
      </w:r>
      <w:r w:rsidRPr="009F6D1E">
        <w:rPr>
          <w:rFonts w:cs="Times New Roman"/>
          <w:szCs w:val="24"/>
        </w:rPr>
        <w:t xml:space="preserve">които да са </w:t>
      </w:r>
      <w:r w:rsidR="004B5EC9" w:rsidRPr="009F6D1E">
        <w:rPr>
          <w:rFonts w:cs="Times New Roman"/>
          <w:szCs w:val="24"/>
        </w:rPr>
        <w:t xml:space="preserve">свързани с </w:t>
      </w:r>
      <w:r w:rsidRPr="009F6D1E">
        <w:rPr>
          <w:rFonts w:cs="Times New Roman"/>
          <w:szCs w:val="24"/>
        </w:rPr>
        <w:t xml:space="preserve">и да водят до </w:t>
      </w:r>
      <w:r w:rsidR="004B5EC9" w:rsidRPr="009F6D1E">
        <w:rPr>
          <w:rFonts w:cs="Times New Roman"/>
          <w:szCs w:val="24"/>
        </w:rPr>
        <w:t xml:space="preserve">генериране на значими емисии на парникови газове или такива, водещи до противоречие/конфликт или намаляване на ефективността на мерки за адаптация. </w:t>
      </w:r>
    </w:p>
    <w:p w14:paraId="22A598FC" w14:textId="77777777" w:rsidR="00B86516" w:rsidRPr="009F6D1E" w:rsidRDefault="00B86516" w:rsidP="00B43F96">
      <w:pPr>
        <w:widowControl w:val="0"/>
        <w:spacing w:after="60" w:line="264" w:lineRule="auto"/>
        <w:ind w:firstLine="720"/>
        <w:jc w:val="both"/>
        <w:rPr>
          <w:rFonts w:cs="Times New Roman"/>
          <w:b/>
          <w:bCs/>
          <w:szCs w:val="24"/>
        </w:rPr>
      </w:pPr>
      <w:r w:rsidRPr="009F6D1E">
        <w:rPr>
          <w:rFonts w:cs="Times New Roman"/>
          <w:b/>
          <w:bCs/>
          <w:szCs w:val="24"/>
        </w:rPr>
        <w:t>Води</w:t>
      </w:r>
    </w:p>
    <w:p w14:paraId="45EACF64" w14:textId="77777777" w:rsidR="00B43F96" w:rsidRPr="009F6D1E" w:rsidRDefault="00CD4045" w:rsidP="00B43F96">
      <w:pPr>
        <w:widowControl w:val="0"/>
        <w:spacing w:after="60" w:line="264" w:lineRule="auto"/>
        <w:ind w:firstLine="720"/>
        <w:jc w:val="both"/>
        <w:rPr>
          <w:rFonts w:cs="Times New Roman"/>
          <w:szCs w:val="24"/>
        </w:rPr>
      </w:pPr>
      <w:r w:rsidRPr="009F6D1E">
        <w:rPr>
          <w:rFonts w:cs="Times New Roman"/>
          <w:szCs w:val="24"/>
        </w:rPr>
        <w:t>СПРЗСР</w:t>
      </w:r>
      <w:r w:rsidR="00B43F96" w:rsidRPr="009F6D1E">
        <w:rPr>
          <w:rFonts w:cs="Times New Roman"/>
          <w:szCs w:val="24"/>
        </w:rPr>
        <w:t xml:space="preserve"> съдържа дейности, които са с положителен ефект върху състоянието на водите, а останалите дейности не предполагат отрицателно въздействие. Програмата ще окаже положително въздействие върху състоянието на водите в България, главно чрез изпълнението на дейностите по Специфични цели №4, 5 и 6. Останалите специфични цели също съдържат дейности, които могат да доведат до подобрение на състоянието на водите.</w:t>
      </w:r>
    </w:p>
    <w:p w14:paraId="5C2312FB" w14:textId="77777777" w:rsidR="00B86516" w:rsidRPr="009F6D1E" w:rsidRDefault="00B43F96" w:rsidP="00B43F96">
      <w:pPr>
        <w:widowControl w:val="0"/>
        <w:spacing w:after="60" w:line="264" w:lineRule="auto"/>
        <w:ind w:firstLine="720"/>
        <w:jc w:val="both"/>
        <w:rPr>
          <w:rFonts w:cs="Times New Roman"/>
          <w:b/>
          <w:bCs/>
          <w:szCs w:val="24"/>
        </w:rPr>
      </w:pPr>
      <w:r w:rsidRPr="009F6D1E">
        <w:rPr>
          <w:rFonts w:cs="Times New Roman"/>
          <w:b/>
          <w:bCs/>
          <w:szCs w:val="24"/>
        </w:rPr>
        <w:t>Почви</w:t>
      </w:r>
    </w:p>
    <w:p w14:paraId="489C175A" w14:textId="77777777" w:rsidR="00B43F96" w:rsidRPr="009F6D1E" w:rsidRDefault="00B86516" w:rsidP="00B43F96">
      <w:pPr>
        <w:widowControl w:val="0"/>
        <w:spacing w:after="60" w:line="264" w:lineRule="auto"/>
        <w:ind w:firstLine="720"/>
        <w:jc w:val="both"/>
        <w:rPr>
          <w:rFonts w:cs="Times New Roman"/>
          <w:szCs w:val="24"/>
        </w:rPr>
      </w:pPr>
      <w:r w:rsidRPr="009F6D1E">
        <w:rPr>
          <w:rFonts w:cs="Times New Roman"/>
          <w:szCs w:val="24"/>
        </w:rPr>
        <w:t>О</w:t>
      </w:r>
      <w:r w:rsidR="00B43F96" w:rsidRPr="009F6D1E">
        <w:rPr>
          <w:rFonts w:cs="Times New Roman"/>
          <w:szCs w:val="24"/>
        </w:rPr>
        <w:t xml:space="preserve">чакваните въздействия върху почвите и </w:t>
      </w:r>
      <w:proofErr w:type="spellStart"/>
      <w:r w:rsidR="00B43F96" w:rsidRPr="009F6D1E">
        <w:rPr>
          <w:rFonts w:cs="Times New Roman"/>
          <w:szCs w:val="24"/>
        </w:rPr>
        <w:t>земеползването</w:t>
      </w:r>
      <w:proofErr w:type="spellEnd"/>
      <w:r w:rsidR="00B43F96" w:rsidRPr="009F6D1E">
        <w:rPr>
          <w:rFonts w:cs="Times New Roman"/>
          <w:szCs w:val="24"/>
        </w:rPr>
        <w:t xml:space="preserve"> от прилагане на </w:t>
      </w:r>
      <w:r w:rsidR="00CD4045" w:rsidRPr="009F6D1E">
        <w:rPr>
          <w:rFonts w:cs="Times New Roman"/>
          <w:szCs w:val="24"/>
        </w:rPr>
        <w:t>СПРЗСР</w:t>
      </w:r>
      <w:r w:rsidR="00B43F96" w:rsidRPr="009F6D1E">
        <w:rPr>
          <w:rFonts w:cs="Times New Roman"/>
          <w:szCs w:val="24"/>
        </w:rPr>
        <w:t xml:space="preserve"> са основно положителни и са в резултат от интервенциите свързани с модернизация на селското стопанство, намаляване на интензивността на земеделските дейности, въвеждането на биологично земеделие, както и всички мерки свързани с подобряване на качеството на почвите в това число чрез намаляване на използваните торове и пестициди и увеличаване на органичното вещество. Косвени положителни въздействия в дългосрочен план може да се очакват и от всички интервенции целящи предаване на знания, привличане и подкрепа на млади земеделски стопани, устойчивото развитие на стопанска дейност и насърчаването на устойчиво развитие и ефективно управление на природните ресурси.</w:t>
      </w:r>
    </w:p>
    <w:p w14:paraId="2738AE50"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В ограничена степен отрицателни въздействия могат да се очакват при прилагането на интервенции, предвиждащи финансиране на дейности по изграждане на съоръжения и инфраструктура. Отрицателните въздействия са резултат от засягането (унищожаване или увреждане) на почвения профил от строителни дейности или запечатването на почви при </w:t>
      </w:r>
      <w:r w:rsidRPr="009F6D1E">
        <w:rPr>
          <w:rFonts w:cs="Times New Roman"/>
          <w:szCs w:val="24"/>
        </w:rPr>
        <w:lastRenderedPageBreak/>
        <w:t>изграждане на инфраструктура и съоръжения. Отрицателни въздействия може да се породят и от насърчаването на земеделски дейности в райони с природни и други специфични ограничения в резултат от засягането на почви не обработвани до момента. Въздействията са отрицателни, локални, постоянни и обратими и необратими, а спрямо района и типа на почвите степента е от ниска до средна.</w:t>
      </w:r>
    </w:p>
    <w:p w14:paraId="44840C01" w14:textId="77777777" w:rsidR="00B86516" w:rsidRPr="009F6D1E" w:rsidRDefault="00B43F96" w:rsidP="00B43F96">
      <w:pPr>
        <w:widowControl w:val="0"/>
        <w:spacing w:after="60" w:line="264" w:lineRule="auto"/>
        <w:ind w:firstLine="720"/>
        <w:jc w:val="both"/>
        <w:rPr>
          <w:rFonts w:cs="Times New Roman"/>
          <w:b/>
          <w:bCs/>
          <w:szCs w:val="24"/>
        </w:rPr>
      </w:pPr>
      <w:r w:rsidRPr="009F6D1E">
        <w:rPr>
          <w:rFonts w:cs="Times New Roman"/>
          <w:b/>
          <w:bCs/>
          <w:szCs w:val="24"/>
        </w:rPr>
        <w:t>Ландшафт</w:t>
      </w:r>
    </w:p>
    <w:p w14:paraId="18CD4D25" w14:textId="77777777" w:rsidR="00B43F96" w:rsidRPr="009F6D1E" w:rsidRDefault="00B86516" w:rsidP="00B43F96">
      <w:pPr>
        <w:widowControl w:val="0"/>
        <w:spacing w:after="60" w:line="264" w:lineRule="auto"/>
        <w:ind w:firstLine="720"/>
        <w:jc w:val="both"/>
        <w:rPr>
          <w:rFonts w:cs="Times New Roman"/>
          <w:szCs w:val="24"/>
        </w:rPr>
      </w:pPr>
      <w:r w:rsidRPr="009F6D1E">
        <w:rPr>
          <w:rFonts w:cs="Times New Roman"/>
          <w:szCs w:val="24"/>
        </w:rPr>
        <w:t>О</w:t>
      </w:r>
      <w:r w:rsidR="00B43F96" w:rsidRPr="009F6D1E">
        <w:rPr>
          <w:rFonts w:cs="Times New Roman"/>
          <w:szCs w:val="24"/>
        </w:rPr>
        <w:t xml:space="preserve">чакваните въздействия върху ландшафтите са както положителни, така и отрицателни. </w:t>
      </w:r>
    </w:p>
    <w:p w14:paraId="1715428F"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Положителни въздействия се очакват от всички дейности свързани с опазването,  съхранението и възстановяването на съществуващите ландшафти и техните компоненти (скали, почва, въздух, вода, флора и фауна). </w:t>
      </w:r>
    </w:p>
    <w:p w14:paraId="25A731AE"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Отрицателни въздействия се очакват от всички строителни дейности свързани с изграждане на съоръжения и инфраструктура, както и от промяната на съществуващите земеделски ландшафти чрез добавяне на нови елементи, водещо до допълнително </w:t>
      </w:r>
      <w:proofErr w:type="spellStart"/>
      <w:r w:rsidRPr="009F6D1E">
        <w:rPr>
          <w:rFonts w:cs="Times New Roman"/>
          <w:szCs w:val="24"/>
        </w:rPr>
        <w:t>антропогенизиране</w:t>
      </w:r>
      <w:proofErr w:type="spellEnd"/>
      <w:r w:rsidRPr="009F6D1E">
        <w:rPr>
          <w:rFonts w:cs="Times New Roman"/>
          <w:szCs w:val="24"/>
        </w:rPr>
        <w:t xml:space="preserve"> на средата. </w:t>
      </w:r>
    </w:p>
    <w:p w14:paraId="1A29AFDD" w14:textId="77777777" w:rsidR="004B5EC9" w:rsidRPr="009F6D1E" w:rsidRDefault="004B5EC9" w:rsidP="00B43F96">
      <w:pPr>
        <w:widowControl w:val="0"/>
        <w:spacing w:after="60" w:line="264" w:lineRule="auto"/>
        <w:ind w:firstLine="720"/>
        <w:jc w:val="both"/>
        <w:rPr>
          <w:rFonts w:cs="Times New Roman"/>
          <w:b/>
          <w:bCs/>
          <w:szCs w:val="24"/>
        </w:rPr>
      </w:pPr>
      <w:r w:rsidRPr="009F6D1E">
        <w:rPr>
          <w:rFonts w:cs="Times New Roman"/>
          <w:b/>
          <w:bCs/>
          <w:szCs w:val="24"/>
        </w:rPr>
        <w:t>Биологично разнообразие, НЕМ, горски територии</w:t>
      </w:r>
    </w:p>
    <w:p w14:paraId="4C4C67FB" w14:textId="77777777" w:rsidR="004B5EC9" w:rsidRPr="009F6D1E" w:rsidRDefault="004B5EC9" w:rsidP="00F062F0">
      <w:pPr>
        <w:widowControl w:val="0"/>
        <w:spacing w:after="60" w:line="264" w:lineRule="auto"/>
        <w:ind w:firstLine="720"/>
        <w:jc w:val="both"/>
        <w:rPr>
          <w:rFonts w:cs="Times New Roman"/>
          <w:szCs w:val="24"/>
        </w:rPr>
      </w:pPr>
      <w:r w:rsidRPr="009F6D1E">
        <w:rPr>
          <w:rFonts w:cs="Times New Roman"/>
          <w:szCs w:val="24"/>
        </w:rPr>
        <w:t>Както е видно от направения по-горе анализ, по отношение на биологичното разнообразие и защитените зони и територии</w:t>
      </w:r>
      <w:r w:rsidR="00F062F0" w:rsidRPr="009F6D1E">
        <w:rPr>
          <w:rFonts w:cs="Times New Roman"/>
          <w:szCs w:val="24"/>
        </w:rPr>
        <w:t xml:space="preserve"> и горските територии</w:t>
      </w:r>
      <w:r w:rsidRPr="009F6D1E">
        <w:rPr>
          <w:rFonts w:cs="Times New Roman"/>
          <w:szCs w:val="24"/>
        </w:rPr>
        <w:t xml:space="preserve"> в обхвата на </w:t>
      </w:r>
      <w:r w:rsidR="00CD4045" w:rsidRPr="009F6D1E">
        <w:rPr>
          <w:rFonts w:cs="Times New Roman"/>
          <w:szCs w:val="24"/>
        </w:rPr>
        <w:t>СПРЗСР</w:t>
      </w:r>
      <w:r w:rsidRPr="009F6D1E">
        <w:rPr>
          <w:rFonts w:cs="Times New Roman"/>
          <w:szCs w:val="24"/>
        </w:rPr>
        <w:t>, на този етап при определени условия могат да се очакват по-скоро повече потенци</w:t>
      </w:r>
      <w:r w:rsidR="00F062F0" w:rsidRPr="009F6D1E">
        <w:rPr>
          <w:rFonts w:cs="Times New Roman"/>
          <w:szCs w:val="24"/>
        </w:rPr>
        <w:t>а</w:t>
      </w:r>
      <w:r w:rsidRPr="009F6D1E">
        <w:rPr>
          <w:rFonts w:cs="Times New Roman"/>
          <w:szCs w:val="24"/>
        </w:rPr>
        <w:t xml:space="preserve">лни ползи, отколкото негативи. Отрицателните въздействия могат да се сведат до минимум с подходящи мерки и чрез провеждане на изискващите се процедури по ОВОС, ЕО и ОС. </w:t>
      </w:r>
    </w:p>
    <w:p w14:paraId="2A3DF8F4" w14:textId="77777777" w:rsidR="00B43F96" w:rsidRPr="009F6D1E" w:rsidRDefault="00B86516" w:rsidP="00B43F96">
      <w:pPr>
        <w:widowControl w:val="0"/>
        <w:spacing w:after="60" w:line="264" w:lineRule="auto"/>
        <w:ind w:firstLine="720"/>
        <w:jc w:val="both"/>
        <w:rPr>
          <w:rFonts w:cs="Times New Roman"/>
          <w:b/>
          <w:bCs/>
          <w:szCs w:val="24"/>
        </w:rPr>
      </w:pPr>
      <w:r w:rsidRPr="009F6D1E">
        <w:rPr>
          <w:rFonts w:cs="Times New Roman"/>
          <w:b/>
          <w:bCs/>
          <w:szCs w:val="24"/>
        </w:rPr>
        <w:t>Културно историческо наследство</w:t>
      </w:r>
    </w:p>
    <w:p w14:paraId="26846A48"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Положително устойчиво въздействие върху културно-историческото наследство може да се очаква от предвидените в </w:t>
      </w:r>
      <w:r w:rsidR="00CD4045" w:rsidRPr="009F6D1E">
        <w:rPr>
          <w:rFonts w:cs="Times New Roman"/>
          <w:szCs w:val="24"/>
        </w:rPr>
        <w:t>СПРЗСР</w:t>
      </w:r>
      <w:r w:rsidRPr="009F6D1E">
        <w:rPr>
          <w:rFonts w:cs="Times New Roman"/>
          <w:szCs w:val="24"/>
        </w:rPr>
        <w:t xml:space="preserve"> (2023 - 2027 г.) инвестиции за подобряване на обектите за развитие на традициите и на културно-историческите обекти, което ще доведе до опазване и популяризиране на културното и природно наследство.</w:t>
      </w:r>
    </w:p>
    <w:p w14:paraId="40EE0421"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Потенциални отрицателни въздействия върху културно-историческото наследство могат да се очакват при всички видове изкопни работи, които могат да засегнат културни напластявания, да разрушат археологически структури или да унищожат артефакти. Също така изкопните дейности могат да компрометират културната среда на значими археологически обекти. Следва да се предвиждат проучвания на терен от археолози, с оглед установяване наличието на културни ценности. Също и по време на строителството ако се открият такива, да се спазват разпоредбите на чл.160 на ЗКН.</w:t>
      </w:r>
    </w:p>
    <w:p w14:paraId="062133C5" w14:textId="77777777" w:rsidR="00B86516" w:rsidRPr="009F6D1E" w:rsidRDefault="00B43F96" w:rsidP="00B43F96">
      <w:pPr>
        <w:widowControl w:val="0"/>
        <w:spacing w:after="60" w:line="264" w:lineRule="auto"/>
        <w:ind w:firstLine="720"/>
        <w:jc w:val="both"/>
        <w:rPr>
          <w:rFonts w:cs="Times New Roman"/>
          <w:b/>
          <w:bCs/>
          <w:szCs w:val="24"/>
        </w:rPr>
      </w:pPr>
      <w:r w:rsidRPr="009F6D1E">
        <w:rPr>
          <w:rFonts w:cs="Times New Roman"/>
          <w:b/>
          <w:bCs/>
          <w:szCs w:val="24"/>
        </w:rPr>
        <w:t>Земни недра</w:t>
      </w:r>
    </w:p>
    <w:p w14:paraId="42CBAE82" w14:textId="77777777" w:rsidR="00B43F96" w:rsidRPr="009F6D1E" w:rsidRDefault="00B43F96" w:rsidP="00B43F96">
      <w:pPr>
        <w:widowControl w:val="0"/>
        <w:spacing w:after="60" w:line="264" w:lineRule="auto"/>
        <w:ind w:firstLine="720"/>
        <w:jc w:val="both"/>
        <w:rPr>
          <w:rFonts w:cs="Times New Roman"/>
          <w:szCs w:val="24"/>
        </w:rPr>
      </w:pPr>
      <w:r w:rsidRPr="009F6D1E">
        <w:rPr>
          <w:rFonts w:cs="Times New Roman"/>
          <w:szCs w:val="24"/>
        </w:rPr>
        <w:t xml:space="preserve">Като цяло дейностите предвидени в </w:t>
      </w:r>
      <w:r w:rsidR="00CD4045" w:rsidRPr="009F6D1E">
        <w:rPr>
          <w:rFonts w:cs="Times New Roman"/>
          <w:szCs w:val="24"/>
        </w:rPr>
        <w:t>СПРЗСР</w:t>
      </w:r>
      <w:r w:rsidRPr="009F6D1E">
        <w:rPr>
          <w:rFonts w:cs="Times New Roman"/>
          <w:szCs w:val="24"/>
        </w:rPr>
        <w:t xml:space="preserve"> няма да окажат значителни въздействия. Възможна е появата на незначително отрицателно въздействие при някои от предвидените за подпомагане дейности, свързани с извършването на строителни работи и по-точно, изграждането на фундаменти за съоръжения и сгради. Въздействията са отрицателни, постоянни, но локализирани на малка площ с много ниска степен.</w:t>
      </w:r>
    </w:p>
    <w:p w14:paraId="1AF295EF" w14:textId="77777777" w:rsidR="004B5EC9" w:rsidRPr="009F6D1E" w:rsidRDefault="004B5EC9" w:rsidP="00B43F96">
      <w:pPr>
        <w:widowControl w:val="0"/>
        <w:spacing w:after="60" w:line="264" w:lineRule="auto"/>
        <w:ind w:firstLine="720"/>
        <w:jc w:val="both"/>
        <w:rPr>
          <w:rFonts w:cs="Times New Roman"/>
          <w:b/>
          <w:bCs/>
          <w:szCs w:val="24"/>
        </w:rPr>
      </w:pPr>
      <w:r w:rsidRPr="009F6D1E">
        <w:rPr>
          <w:rFonts w:cs="Times New Roman"/>
          <w:b/>
          <w:bCs/>
          <w:szCs w:val="24"/>
        </w:rPr>
        <w:lastRenderedPageBreak/>
        <w:t>Материални активи</w:t>
      </w:r>
    </w:p>
    <w:p w14:paraId="676EAA18" w14:textId="77777777" w:rsidR="004B5EC9" w:rsidRPr="009F6D1E" w:rsidRDefault="004B5EC9" w:rsidP="00C93A61">
      <w:pPr>
        <w:widowControl w:val="0"/>
        <w:spacing w:after="60" w:line="264" w:lineRule="auto"/>
        <w:ind w:firstLine="720"/>
        <w:jc w:val="both"/>
        <w:rPr>
          <w:rFonts w:cs="Times New Roman"/>
          <w:szCs w:val="24"/>
        </w:rPr>
      </w:pPr>
      <w:r w:rsidRPr="009F6D1E">
        <w:rPr>
          <w:rFonts w:cs="Times New Roman"/>
          <w:szCs w:val="24"/>
        </w:rPr>
        <w:t>По отношение на материалните активи</w:t>
      </w:r>
      <w:r w:rsidR="00F062F0" w:rsidRPr="009F6D1E">
        <w:rPr>
          <w:rFonts w:cs="Times New Roman"/>
          <w:szCs w:val="24"/>
        </w:rPr>
        <w:t xml:space="preserve"> не се очакват каквито и да е отрицателни въздействия. Като  цяло реализирането на отделните потребности по </w:t>
      </w:r>
      <w:r w:rsidR="00CD4045" w:rsidRPr="009F6D1E">
        <w:rPr>
          <w:rFonts w:cs="Times New Roman"/>
          <w:szCs w:val="24"/>
        </w:rPr>
        <w:t>СПРЗСР</w:t>
      </w:r>
      <w:r w:rsidR="00F062F0" w:rsidRPr="009F6D1E">
        <w:rPr>
          <w:rFonts w:cs="Times New Roman"/>
          <w:szCs w:val="24"/>
        </w:rPr>
        <w:t xml:space="preserve"> </w:t>
      </w:r>
      <w:r w:rsidRPr="009F6D1E">
        <w:rPr>
          <w:rFonts w:cs="Times New Roman"/>
          <w:szCs w:val="24"/>
        </w:rPr>
        <w:t xml:space="preserve">се очаква </w:t>
      </w:r>
      <w:r w:rsidR="00F062F0" w:rsidRPr="009F6D1E">
        <w:rPr>
          <w:rFonts w:cs="Times New Roman"/>
          <w:szCs w:val="24"/>
        </w:rPr>
        <w:t xml:space="preserve">да окаже </w:t>
      </w:r>
      <w:r w:rsidRPr="009F6D1E">
        <w:rPr>
          <w:rFonts w:cs="Times New Roman"/>
          <w:szCs w:val="24"/>
        </w:rPr>
        <w:t>положително въздействие</w:t>
      </w:r>
      <w:r w:rsidR="00C93A61" w:rsidRPr="009F6D1E">
        <w:rPr>
          <w:rFonts w:cs="Times New Roman"/>
          <w:szCs w:val="24"/>
        </w:rPr>
        <w:t>, вкл. и кумулативно такова, целящо</w:t>
      </w:r>
      <w:r w:rsidRPr="009F6D1E">
        <w:rPr>
          <w:rFonts w:cs="Times New Roman"/>
          <w:szCs w:val="24"/>
        </w:rPr>
        <w:t xml:space="preserve"> подобряване състоянието на съществуващите ДМА и/или изграждане на нови екологосъобразни такива, тъй като се предвижда</w:t>
      </w:r>
      <w:r w:rsidR="00C93A61" w:rsidRPr="009F6D1E">
        <w:rPr>
          <w:rFonts w:cs="Times New Roman"/>
          <w:szCs w:val="24"/>
        </w:rPr>
        <w:t>т</w:t>
      </w:r>
      <w:r w:rsidRPr="009F6D1E">
        <w:rPr>
          <w:rFonts w:cs="Times New Roman"/>
          <w:szCs w:val="24"/>
        </w:rPr>
        <w:t xml:space="preserve"> инвестиции в активи, свързани</w:t>
      </w:r>
      <w:r w:rsidR="00C93A61" w:rsidRPr="009F6D1E">
        <w:rPr>
          <w:rFonts w:cs="Times New Roman"/>
          <w:szCs w:val="24"/>
        </w:rPr>
        <w:t>, както</w:t>
      </w:r>
      <w:r w:rsidRPr="009F6D1E">
        <w:rPr>
          <w:rFonts w:cs="Times New Roman"/>
          <w:szCs w:val="24"/>
        </w:rPr>
        <w:t xml:space="preserve"> с подобряване състоянието на околната среда </w:t>
      </w:r>
      <w:r w:rsidR="00C93A61" w:rsidRPr="009F6D1E">
        <w:rPr>
          <w:rFonts w:cs="Times New Roman"/>
          <w:szCs w:val="24"/>
        </w:rPr>
        <w:t>в засегнатите от реализирането на програмата райони, така и с такива, подобряващи състоянието на отделните земеделски стопанства</w:t>
      </w:r>
      <w:r w:rsidRPr="009F6D1E">
        <w:rPr>
          <w:rFonts w:cs="Times New Roman"/>
          <w:szCs w:val="24"/>
        </w:rPr>
        <w:t xml:space="preserve">. </w:t>
      </w:r>
    </w:p>
    <w:p w14:paraId="1B80445F" w14:textId="77777777" w:rsidR="004B5EC9" w:rsidRPr="009F6D1E" w:rsidRDefault="004B5EC9" w:rsidP="004B5EC9">
      <w:pPr>
        <w:spacing w:after="0" w:line="276" w:lineRule="auto"/>
        <w:ind w:firstLine="720"/>
        <w:jc w:val="both"/>
        <w:rPr>
          <w:b/>
          <w:bCs/>
          <w:szCs w:val="24"/>
        </w:rPr>
      </w:pPr>
      <w:r w:rsidRPr="009F6D1E">
        <w:rPr>
          <w:b/>
          <w:bCs/>
          <w:szCs w:val="24"/>
        </w:rPr>
        <w:t>Вредни физични фактори</w:t>
      </w:r>
    </w:p>
    <w:p w14:paraId="22CBA856" w14:textId="77777777" w:rsidR="004B5EC9" w:rsidRPr="009F6D1E" w:rsidRDefault="00C93A61" w:rsidP="00C93A61">
      <w:pPr>
        <w:widowControl w:val="0"/>
        <w:spacing w:after="60" w:line="264" w:lineRule="auto"/>
        <w:ind w:firstLine="720"/>
        <w:jc w:val="both"/>
        <w:rPr>
          <w:rFonts w:cs="Times New Roman"/>
          <w:szCs w:val="24"/>
        </w:rPr>
      </w:pPr>
      <w:r w:rsidRPr="009F6D1E">
        <w:rPr>
          <w:rFonts w:cs="Times New Roman"/>
          <w:szCs w:val="24"/>
        </w:rPr>
        <w:t xml:space="preserve">Реализирането на </w:t>
      </w:r>
      <w:r w:rsidR="00CD4045" w:rsidRPr="009F6D1E">
        <w:rPr>
          <w:rFonts w:cs="Times New Roman"/>
          <w:szCs w:val="24"/>
        </w:rPr>
        <w:t>СПРЗСР</w:t>
      </w:r>
      <w:r w:rsidRPr="009F6D1E">
        <w:rPr>
          <w:rFonts w:cs="Times New Roman"/>
          <w:szCs w:val="24"/>
        </w:rPr>
        <w:t xml:space="preserve"> в значителна степен ще окаже </w:t>
      </w:r>
      <w:r w:rsidR="004B5EC9" w:rsidRPr="009F6D1E">
        <w:rPr>
          <w:rFonts w:cs="Times New Roman"/>
          <w:szCs w:val="24"/>
        </w:rPr>
        <w:t xml:space="preserve">непряко положително, дългосрочно и постоянно </w:t>
      </w:r>
      <w:r w:rsidRPr="009F6D1E">
        <w:rPr>
          <w:rFonts w:cs="Times New Roman"/>
          <w:szCs w:val="24"/>
        </w:rPr>
        <w:t>въздействие върху фактор шум</w:t>
      </w:r>
      <w:r w:rsidR="004B5EC9" w:rsidRPr="009F6D1E">
        <w:rPr>
          <w:rFonts w:cs="Times New Roman"/>
          <w:szCs w:val="24"/>
        </w:rPr>
        <w:t>.</w:t>
      </w:r>
      <w:r w:rsidRPr="009F6D1E">
        <w:rPr>
          <w:rFonts w:cs="Times New Roman"/>
          <w:szCs w:val="24"/>
        </w:rPr>
        <w:t xml:space="preserve"> Това ще е резултат основно от предвижданията на програмата, свързани с модернизация на съществуващи стопанства и развитието на иновативни в съответната област производства.</w:t>
      </w:r>
      <w:r w:rsidR="004B5EC9" w:rsidRPr="009F6D1E">
        <w:rPr>
          <w:rFonts w:cs="Times New Roman"/>
          <w:szCs w:val="24"/>
        </w:rPr>
        <w:t xml:space="preserve"> Предвижданията на </w:t>
      </w:r>
      <w:r w:rsidR="00CD4045" w:rsidRPr="009F6D1E">
        <w:rPr>
          <w:rFonts w:cs="Times New Roman"/>
          <w:szCs w:val="24"/>
        </w:rPr>
        <w:t>СПРЗСР</w:t>
      </w:r>
      <w:r w:rsidR="004B5EC9" w:rsidRPr="009F6D1E">
        <w:rPr>
          <w:rFonts w:cs="Times New Roman"/>
          <w:szCs w:val="24"/>
        </w:rPr>
        <w:t xml:space="preserve"> нямат потенциал за значително отрицателно въздействие, в т.ч. създаване на риск за човешкото здраве, при съобразяване местоположението на зоните и обектите с нормиран шумов режим. По отношение на другите вредни физични фактори, не се очаква въздействие.</w:t>
      </w:r>
    </w:p>
    <w:p w14:paraId="7A05AB14" w14:textId="77777777" w:rsidR="004B5EC9" w:rsidRPr="009F6D1E" w:rsidRDefault="004B5EC9" w:rsidP="004B5EC9">
      <w:pPr>
        <w:spacing w:after="0" w:line="276" w:lineRule="auto"/>
        <w:ind w:firstLine="720"/>
        <w:jc w:val="both"/>
        <w:rPr>
          <w:rFonts w:cs="Times New Roman"/>
          <w:b/>
          <w:bCs/>
          <w:szCs w:val="24"/>
        </w:rPr>
      </w:pPr>
      <w:r w:rsidRPr="009F6D1E">
        <w:rPr>
          <w:rFonts w:cs="Times New Roman"/>
          <w:b/>
          <w:bCs/>
          <w:szCs w:val="24"/>
        </w:rPr>
        <w:t>Отпадъци</w:t>
      </w:r>
    </w:p>
    <w:p w14:paraId="4681152D" w14:textId="77777777" w:rsidR="004B5EC9" w:rsidRPr="009F6D1E" w:rsidRDefault="004B5EC9" w:rsidP="00DB7943">
      <w:pPr>
        <w:widowControl w:val="0"/>
        <w:spacing w:after="60" w:line="264" w:lineRule="auto"/>
        <w:ind w:firstLine="720"/>
        <w:jc w:val="both"/>
        <w:rPr>
          <w:rFonts w:cs="Times New Roman"/>
          <w:szCs w:val="24"/>
        </w:rPr>
      </w:pPr>
      <w:r w:rsidRPr="009F6D1E">
        <w:rPr>
          <w:rFonts w:cs="Times New Roman"/>
          <w:szCs w:val="24"/>
        </w:rPr>
        <w:t xml:space="preserve">По отношение на </w:t>
      </w:r>
      <w:r w:rsidR="00C93A61" w:rsidRPr="009F6D1E">
        <w:rPr>
          <w:rFonts w:cs="Times New Roman"/>
          <w:szCs w:val="24"/>
        </w:rPr>
        <w:t xml:space="preserve">фактор </w:t>
      </w:r>
      <w:r w:rsidRPr="009F6D1E">
        <w:rPr>
          <w:rFonts w:cs="Times New Roman"/>
          <w:szCs w:val="24"/>
        </w:rPr>
        <w:t>отпадъци</w:t>
      </w:r>
      <w:r w:rsidR="00C93A61" w:rsidRPr="009F6D1E">
        <w:rPr>
          <w:rFonts w:cs="Times New Roman"/>
          <w:szCs w:val="24"/>
        </w:rPr>
        <w:t xml:space="preserve"> като цяло</w:t>
      </w:r>
      <w:r w:rsidRPr="009F6D1E">
        <w:rPr>
          <w:rFonts w:cs="Times New Roman"/>
          <w:szCs w:val="24"/>
        </w:rPr>
        <w:t xml:space="preserve"> се очаква положително въздействие</w:t>
      </w:r>
      <w:r w:rsidR="00C93A61" w:rsidRPr="009F6D1E">
        <w:rPr>
          <w:rFonts w:cs="Times New Roman"/>
          <w:szCs w:val="24"/>
        </w:rPr>
        <w:t xml:space="preserve">, което може да бъде както пряко, в </w:t>
      </w:r>
      <w:r w:rsidRPr="009F6D1E">
        <w:rPr>
          <w:rFonts w:cs="Times New Roman"/>
          <w:szCs w:val="24"/>
        </w:rPr>
        <w:t xml:space="preserve">резултат </w:t>
      </w:r>
      <w:r w:rsidR="00DB7943" w:rsidRPr="009F6D1E">
        <w:rPr>
          <w:rFonts w:cs="Times New Roman"/>
          <w:szCs w:val="24"/>
        </w:rPr>
        <w:t>от реализирането на дейностите, подобряващи прилаганите методи за третиране на специфични за сектор земеделие отпадъчни потоци, така и непряко – дължащо се основно на модернизирането на земеделски стопанства, което би довело до намаляване на генерираните емисии и образуваните отпадъци</w:t>
      </w:r>
      <w:r w:rsidRPr="009F6D1E">
        <w:rPr>
          <w:rFonts w:cs="Times New Roman"/>
          <w:szCs w:val="24"/>
        </w:rPr>
        <w:t xml:space="preserve">. Не се очакват отрицателни въздействия от останалите предвиждания на </w:t>
      </w:r>
      <w:r w:rsidR="00CD4045" w:rsidRPr="009F6D1E">
        <w:rPr>
          <w:rFonts w:cs="Times New Roman"/>
          <w:szCs w:val="24"/>
        </w:rPr>
        <w:t>СПРЗСР</w:t>
      </w:r>
      <w:r w:rsidRPr="009F6D1E">
        <w:rPr>
          <w:rFonts w:cs="Times New Roman"/>
          <w:szCs w:val="24"/>
        </w:rPr>
        <w:t xml:space="preserve">. </w:t>
      </w:r>
    </w:p>
    <w:p w14:paraId="61164360" w14:textId="77777777" w:rsidR="004B5EC9" w:rsidRPr="009F6D1E" w:rsidRDefault="004B5EC9" w:rsidP="004B5EC9">
      <w:pPr>
        <w:spacing w:after="0" w:line="276" w:lineRule="auto"/>
        <w:ind w:firstLine="720"/>
        <w:jc w:val="both"/>
        <w:rPr>
          <w:rFonts w:cs="Times New Roman"/>
          <w:b/>
          <w:bCs/>
          <w:szCs w:val="24"/>
        </w:rPr>
      </w:pPr>
      <w:r w:rsidRPr="009F6D1E">
        <w:rPr>
          <w:rFonts w:cs="Times New Roman"/>
          <w:b/>
          <w:bCs/>
          <w:szCs w:val="24"/>
        </w:rPr>
        <w:t xml:space="preserve">Опасни химични вещества и предприятия </w:t>
      </w:r>
      <w:r w:rsidR="00213E3F" w:rsidRPr="009F6D1E">
        <w:rPr>
          <w:rFonts w:cs="Times New Roman"/>
          <w:b/>
          <w:bCs/>
          <w:szCs w:val="24"/>
        </w:rPr>
        <w:t>с висок и нисък рисков потенциал</w:t>
      </w:r>
    </w:p>
    <w:p w14:paraId="2E23A686" w14:textId="77777777" w:rsidR="004B5EC9" w:rsidRPr="009F6D1E" w:rsidRDefault="004B5EC9" w:rsidP="00DB7943">
      <w:pPr>
        <w:widowControl w:val="0"/>
        <w:spacing w:after="60" w:line="264" w:lineRule="auto"/>
        <w:ind w:firstLine="720"/>
        <w:jc w:val="both"/>
        <w:rPr>
          <w:rFonts w:cs="Times New Roman"/>
          <w:szCs w:val="24"/>
        </w:rPr>
      </w:pPr>
      <w:r w:rsidRPr="009F6D1E">
        <w:rPr>
          <w:rFonts w:cs="Times New Roman"/>
          <w:szCs w:val="24"/>
        </w:rPr>
        <w:t>По отношение на опасните химични вещества и риска от големи аварии не се очаква отрицателно въздействие</w:t>
      </w:r>
      <w:r w:rsidR="00DB7943" w:rsidRPr="009F6D1E">
        <w:rPr>
          <w:rFonts w:cs="Times New Roman"/>
          <w:szCs w:val="24"/>
        </w:rPr>
        <w:t xml:space="preserve"> в хода на реализиране на </w:t>
      </w:r>
      <w:r w:rsidR="00CD4045" w:rsidRPr="009F6D1E">
        <w:rPr>
          <w:rFonts w:cs="Times New Roman"/>
          <w:szCs w:val="24"/>
        </w:rPr>
        <w:t>СПРЗСР</w:t>
      </w:r>
      <w:r w:rsidRPr="009F6D1E">
        <w:rPr>
          <w:rFonts w:cs="Times New Roman"/>
          <w:szCs w:val="24"/>
        </w:rPr>
        <w:t xml:space="preserve"> при спазване на приложимото законодателство.</w:t>
      </w:r>
    </w:p>
    <w:p w14:paraId="28B824B1" w14:textId="77777777" w:rsidR="004B5EC9" w:rsidRPr="009F6D1E" w:rsidRDefault="00213E3F" w:rsidP="004B5EC9">
      <w:pPr>
        <w:spacing w:after="0" w:line="276" w:lineRule="auto"/>
        <w:ind w:firstLine="720"/>
        <w:jc w:val="both"/>
        <w:rPr>
          <w:rFonts w:cs="Times New Roman"/>
          <w:b/>
          <w:bCs/>
          <w:szCs w:val="24"/>
        </w:rPr>
      </w:pPr>
      <w:r w:rsidRPr="009F6D1E">
        <w:rPr>
          <w:rFonts w:cs="Times New Roman"/>
          <w:b/>
          <w:bCs/>
          <w:szCs w:val="24"/>
        </w:rPr>
        <w:t>Население и човешко здраве</w:t>
      </w:r>
    </w:p>
    <w:p w14:paraId="3B64751D" w14:textId="77777777" w:rsidR="004B5EC9" w:rsidRPr="009F6D1E" w:rsidRDefault="004B5EC9" w:rsidP="00FD4848">
      <w:pPr>
        <w:widowControl w:val="0"/>
        <w:spacing w:after="60" w:line="264" w:lineRule="auto"/>
        <w:ind w:firstLine="720"/>
        <w:jc w:val="both"/>
        <w:rPr>
          <w:rFonts w:cs="Times New Roman"/>
          <w:szCs w:val="24"/>
        </w:rPr>
      </w:pPr>
      <w:r w:rsidRPr="009F6D1E">
        <w:rPr>
          <w:rFonts w:cs="Times New Roman"/>
          <w:szCs w:val="24"/>
        </w:rPr>
        <w:t>Въздействието върху здравно-хигиенните аспекти на средата като цяло е положително.</w:t>
      </w:r>
      <w:r w:rsidR="00FD4848" w:rsidRPr="009F6D1E">
        <w:rPr>
          <w:rFonts w:cs="Times New Roman"/>
          <w:szCs w:val="24"/>
        </w:rPr>
        <w:t xml:space="preserve"> Реализирането на </w:t>
      </w:r>
      <w:r w:rsidR="00CD4045" w:rsidRPr="009F6D1E">
        <w:rPr>
          <w:rFonts w:cs="Times New Roman"/>
          <w:szCs w:val="24"/>
        </w:rPr>
        <w:t>СПРЗСР</w:t>
      </w:r>
      <w:r w:rsidR="00FD4848" w:rsidRPr="009F6D1E">
        <w:rPr>
          <w:rFonts w:cs="Times New Roman"/>
          <w:szCs w:val="24"/>
        </w:rPr>
        <w:t xml:space="preserve"> </w:t>
      </w:r>
      <w:r w:rsidR="004C0599" w:rsidRPr="009F6D1E">
        <w:rPr>
          <w:rFonts w:cs="Times New Roman"/>
          <w:szCs w:val="24"/>
        </w:rPr>
        <w:t xml:space="preserve">от една страна ще окаже пряко положително въздействие върху населението и човешкото здраве, чрез реализирането на част от предвижданията, а от друга страна </w:t>
      </w:r>
      <w:r w:rsidR="00FD4848" w:rsidRPr="009F6D1E">
        <w:rPr>
          <w:rFonts w:cs="Times New Roman"/>
          <w:szCs w:val="24"/>
        </w:rPr>
        <w:t xml:space="preserve">ще окаже директно положително въздействие върху социално-икономическите условия на средата и от тук ще повлияе </w:t>
      </w:r>
      <w:r w:rsidR="004C0599" w:rsidRPr="009F6D1E">
        <w:rPr>
          <w:rFonts w:cs="Times New Roman"/>
          <w:szCs w:val="24"/>
        </w:rPr>
        <w:t>индиректно и населението и човешкото здраве, като резултат от подобрените условия на живот.</w:t>
      </w:r>
      <w:r w:rsidRPr="009F6D1E">
        <w:rPr>
          <w:rFonts w:cs="Times New Roman"/>
          <w:szCs w:val="24"/>
        </w:rPr>
        <w:t xml:space="preserve"> Ситуирането на нови производствени обекти следва да се съобразява с териториално–устройствени решения и предвиждания за развитието на населените места, близостта до зони и обекти, подлежащи на здравна защита, в т.ч. зони за защита на водите, с цел недопускане на вредно въздействие върху здравето на хората.</w:t>
      </w:r>
    </w:p>
    <w:p w14:paraId="17EDB912" w14:textId="77777777" w:rsidR="00721DAB" w:rsidRPr="009F6D1E" w:rsidRDefault="00721DAB" w:rsidP="0084747F">
      <w:pPr>
        <w:spacing w:after="60" w:line="264" w:lineRule="auto"/>
        <w:contextualSpacing/>
        <w:jc w:val="both"/>
        <w:rPr>
          <w:rFonts w:eastAsia="Calibri" w:cs="Times New Roman"/>
          <w:b/>
          <w:bCs/>
          <w:i/>
          <w:iCs/>
          <w:szCs w:val="24"/>
        </w:rPr>
      </w:pPr>
    </w:p>
    <w:p w14:paraId="15E1B1B9" w14:textId="77777777" w:rsidR="00471E9F" w:rsidRPr="009F6D1E" w:rsidRDefault="00471E9F">
      <w:pPr>
        <w:pStyle w:val="Heading1"/>
        <w:numPr>
          <w:ilvl w:val="0"/>
          <w:numId w:val="68"/>
        </w:numPr>
        <w:shd w:val="clear" w:color="auto" w:fill="DBDBDB" w:themeFill="accent3" w:themeFillTint="66"/>
        <w:tabs>
          <w:tab w:val="clear" w:pos="742"/>
        </w:tabs>
        <w:spacing w:before="0" w:after="60" w:line="264" w:lineRule="auto"/>
        <w:ind w:left="0" w:firstLine="0"/>
        <w:rPr>
          <w:sz w:val="24"/>
          <w:szCs w:val="24"/>
        </w:rPr>
      </w:pPr>
      <w:bookmarkStart w:id="625" w:name="_Toc97639511"/>
      <w:bookmarkStart w:id="626" w:name="_Toc115255049"/>
      <w:r w:rsidRPr="009F6D1E">
        <w:rPr>
          <w:sz w:val="24"/>
          <w:szCs w:val="24"/>
        </w:rPr>
        <w:lastRenderedPageBreak/>
        <w:t xml:space="preserve">МЕРКИ, ПРЕДВИДЕНИ ЗА ПРЕДОТВРАТЯВАНЕ, НАМАЛЯВАНЕ И ВЪЗМОЖНО НАЙ-ПЪЛНО КОМПЕНСИРАНЕ НА НЕБЛАГОПРИЯТНИТЕ ПОСЛЕДСТВИЯ ОТ ОСЪЩЕСТВЯВАНЕТО НА </w:t>
      </w:r>
      <w:r w:rsidR="00CD4045" w:rsidRPr="009F6D1E">
        <w:rPr>
          <w:sz w:val="24"/>
          <w:szCs w:val="24"/>
        </w:rPr>
        <w:t>СПРЗСР</w:t>
      </w:r>
      <w:r w:rsidRPr="009F6D1E">
        <w:rPr>
          <w:sz w:val="24"/>
          <w:szCs w:val="24"/>
        </w:rPr>
        <w:t xml:space="preserve"> ВЪРХУ ОКОЛНАТА СРЕДА И ЧОВЕШКОТО ЗДРАВЕ</w:t>
      </w:r>
      <w:bookmarkEnd w:id="625"/>
      <w:bookmarkEnd w:id="626"/>
      <w:r w:rsidRPr="009F6D1E">
        <w:rPr>
          <w:sz w:val="24"/>
          <w:szCs w:val="24"/>
        </w:rPr>
        <w:tab/>
      </w:r>
    </w:p>
    <w:p w14:paraId="0E6BB2F1" w14:textId="77777777" w:rsidR="00DB0E67" w:rsidRPr="009F6D1E" w:rsidRDefault="00DB0E67" w:rsidP="0084747F">
      <w:pPr>
        <w:spacing w:after="60" w:line="264" w:lineRule="auto"/>
        <w:contextualSpacing/>
        <w:jc w:val="both"/>
        <w:rPr>
          <w:rFonts w:eastAsia="Calibri" w:cs="Times New Roman"/>
          <w:b/>
          <w:bCs/>
          <w:i/>
          <w:iCs/>
          <w:szCs w:val="24"/>
        </w:rPr>
      </w:pPr>
    </w:p>
    <w:p w14:paraId="54BC8BE2" w14:textId="77777777" w:rsidR="00471E9F" w:rsidRPr="009F6D1E" w:rsidRDefault="009F6D1E">
      <w:pPr>
        <w:pStyle w:val="ListParagraph"/>
        <w:keepNext/>
        <w:keepLines/>
        <w:numPr>
          <w:ilvl w:val="1"/>
          <w:numId w:val="87"/>
        </w:numPr>
        <w:shd w:val="clear" w:color="auto" w:fill="E2EFD9" w:themeFill="accent6" w:themeFillTint="33"/>
        <w:spacing w:after="60" w:line="264" w:lineRule="auto"/>
        <w:ind w:left="0" w:firstLine="0"/>
        <w:jc w:val="both"/>
        <w:outlineLvl w:val="1"/>
        <w:rPr>
          <w:rFonts w:eastAsia="Times New Roman"/>
          <w:b/>
          <w:i/>
          <w:lang w:val="bg-BG"/>
        </w:rPr>
      </w:pPr>
      <w:r w:rsidRPr="009F6D1E">
        <w:rPr>
          <w:rFonts w:eastAsia="Times New Roman"/>
          <w:b/>
          <w:i/>
          <w:lang w:val="bg-BG"/>
        </w:rPr>
        <w:t xml:space="preserve"> </w:t>
      </w:r>
      <w:bookmarkStart w:id="627" w:name="_Toc115255050"/>
      <w:r w:rsidR="00471E9F" w:rsidRPr="009F6D1E">
        <w:rPr>
          <w:rFonts w:eastAsia="Times New Roman"/>
          <w:b/>
          <w:i/>
          <w:lang w:val="bg-BG"/>
        </w:rPr>
        <w:t xml:space="preserve">Мерки за отразяване в окончателните варианти на </w:t>
      </w:r>
      <w:r w:rsidR="00CD4045" w:rsidRPr="009F6D1E">
        <w:rPr>
          <w:rFonts w:eastAsia="Times New Roman"/>
          <w:b/>
          <w:i/>
          <w:lang w:val="bg-BG"/>
        </w:rPr>
        <w:t>СПРЗСР</w:t>
      </w:r>
      <w:bookmarkEnd w:id="627"/>
    </w:p>
    <w:p w14:paraId="604F501D" w14:textId="77777777" w:rsidR="00453DF6" w:rsidRPr="009F6D1E" w:rsidRDefault="00453DF6" w:rsidP="0084747F">
      <w:pPr>
        <w:spacing w:after="60" w:line="264" w:lineRule="auto"/>
        <w:contextualSpacing/>
        <w:jc w:val="both"/>
        <w:rPr>
          <w:rFonts w:eastAsia="Calibri" w:cs="Times New Roman"/>
          <w:b/>
          <w:bCs/>
          <w:i/>
          <w:iCs/>
          <w:szCs w:val="24"/>
        </w:rPr>
      </w:pPr>
    </w:p>
    <w:p w14:paraId="5DC161C5" w14:textId="77777777" w:rsidR="00DB0E67" w:rsidRPr="009F6D1E" w:rsidRDefault="00DB0E67" w:rsidP="00DB0E67">
      <w:pPr>
        <w:widowControl w:val="0"/>
        <w:spacing w:after="60" w:line="264" w:lineRule="auto"/>
        <w:ind w:firstLine="720"/>
        <w:jc w:val="both"/>
        <w:rPr>
          <w:rFonts w:cs="Times New Roman"/>
          <w:szCs w:val="24"/>
        </w:rPr>
      </w:pPr>
      <w:r w:rsidRPr="009F6D1E">
        <w:rPr>
          <w:rFonts w:cs="Times New Roman"/>
          <w:szCs w:val="24"/>
        </w:rPr>
        <w:t xml:space="preserve">Не са идентифицирани мерки, които следва да се отразят в окончателния вариант на </w:t>
      </w:r>
      <w:r w:rsidR="00CD4045" w:rsidRPr="009F6D1E">
        <w:rPr>
          <w:rFonts w:cs="Times New Roman"/>
          <w:szCs w:val="24"/>
        </w:rPr>
        <w:t>СПРЗСР</w:t>
      </w:r>
      <w:r w:rsidRPr="009F6D1E">
        <w:rPr>
          <w:rFonts w:cs="Times New Roman"/>
          <w:szCs w:val="24"/>
        </w:rPr>
        <w:t>.</w:t>
      </w:r>
    </w:p>
    <w:p w14:paraId="5ED0985C" w14:textId="77777777" w:rsidR="00DB0E67" w:rsidRPr="009F6D1E" w:rsidRDefault="00DB0E67" w:rsidP="00DB0E67">
      <w:pPr>
        <w:widowControl w:val="0"/>
        <w:spacing w:after="60" w:line="264" w:lineRule="auto"/>
        <w:ind w:firstLine="720"/>
        <w:jc w:val="both"/>
        <w:rPr>
          <w:rFonts w:cs="Times New Roman"/>
          <w:szCs w:val="24"/>
        </w:rPr>
      </w:pPr>
    </w:p>
    <w:p w14:paraId="0371DA71" w14:textId="77777777" w:rsidR="00471E9F" w:rsidRPr="009F6D1E" w:rsidRDefault="00471E9F">
      <w:pPr>
        <w:pStyle w:val="ListParagraph"/>
        <w:keepNext/>
        <w:keepLines/>
        <w:numPr>
          <w:ilvl w:val="1"/>
          <w:numId w:val="87"/>
        </w:numPr>
        <w:shd w:val="clear" w:color="auto" w:fill="E2EFD9" w:themeFill="accent6" w:themeFillTint="33"/>
        <w:spacing w:after="60" w:line="264" w:lineRule="auto"/>
        <w:ind w:left="0" w:firstLine="0"/>
        <w:jc w:val="both"/>
        <w:outlineLvl w:val="1"/>
        <w:rPr>
          <w:rFonts w:eastAsia="Times New Roman"/>
          <w:b/>
          <w:i/>
          <w:lang w:val="bg-BG"/>
        </w:rPr>
      </w:pPr>
      <w:bookmarkStart w:id="628" w:name="_Toc115255051"/>
      <w:r w:rsidRPr="009F6D1E">
        <w:rPr>
          <w:rFonts w:eastAsia="Times New Roman"/>
          <w:b/>
          <w:i/>
          <w:lang w:val="bg-BG"/>
        </w:rPr>
        <w:t xml:space="preserve">Мерки за изпълнение при прилагането на </w:t>
      </w:r>
      <w:r w:rsidR="00CD4045" w:rsidRPr="009F6D1E">
        <w:rPr>
          <w:rFonts w:eastAsia="Times New Roman"/>
          <w:b/>
          <w:i/>
          <w:lang w:val="bg-BG"/>
        </w:rPr>
        <w:t>СПРЗСР</w:t>
      </w:r>
      <w:bookmarkEnd w:id="6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18"/>
        <w:gridCol w:w="2088"/>
        <w:gridCol w:w="1822"/>
      </w:tblGrid>
      <w:tr w:rsidR="00DB0E67" w:rsidRPr="009F6D1E" w14:paraId="48770457" w14:textId="77777777" w:rsidTr="00AD646E">
        <w:trPr>
          <w:trHeight w:val="377"/>
          <w:tblHeader/>
        </w:trPr>
        <w:tc>
          <w:tcPr>
            <w:tcW w:w="2969" w:type="pct"/>
            <w:shd w:val="clear" w:color="auto" w:fill="D9D9D9"/>
            <w:vAlign w:val="center"/>
            <w:hideMark/>
          </w:tcPr>
          <w:p w14:paraId="41D5CC6F" w14:textId="77777777" w:rsidR="00DB0E67" w:rsidRPr="009F6D1E" w:rsidRDefault="00DB0E67" w:rsidP="00DB0E67">
            <w:pPr>
              <w:pBdr>
                <w:top w:val="nil"/>
                <w:left w:val="nil"/>
                <w:bottom w:val="nil"/>
                <w:right w:val="nil"/>
                <w:between w:val="nil"/>
                <w:bar w:val="nil"/>
              </w:pBdr>
              <w:spacing w:line="276" w:lineRule="auto"/>
              <w:ind w:left="180" w:right="180"/>
              <w:jc w:val="center"/>
              <w:textAlignment w:val="baseline"/>
              <w:rPr>
                <w:rFonts w:cs="Times New Roman"/>
                <w:b/>
                <w:bCs/>
                <w:bdr w:val="nil"/>
              </w:rPr>
            </w:pPr>
            <w:r w:rsidRPr="009F6D1E">
              <w:rPr>
                <w:rFonts w:cs="Times New Roman"/>
                <w:b/>
                <w:bCs/>
                <w:bdr w:val="nil"/>
              </w:rPr>
              <w:t>Мярка</w:t>
            </w:r>
          </w:p>
        </w:tc>
        <w:tc>
          <w:tcPr>
            <w:tcW w:w="1084" w:type="pct"/>
            <w:shd w:val="clear" w:color="auto" w:fill="D9D9D9"/>
            <w:vAlign w:val="center"/>
            <w:hideMark/>
          </w:tcPr>
          <w:p w14:paraId="42109EAF" w14:textId="77777777" w:rsidR="00DB0E67" w:rsidRPr="009F6D1E" w:rsidRDefault="00DB0E67" w:rsidP="00DB0E67">
            <w:pPr>
              <w:pBdr>
                <w:top w:val="nil"/>
                <w:left w:val="nil"/>
                <w:bottom w:val="nil"/>
                <w:right w:val="nil"/>
                <w:between w:val="nil"/>
                <w:bar w:val="nil"/>
              </w:pBdr>
              <w:spacing w:line="276" w:lineRule="auto"/>
              <w:ind w:left="180" w:right="180"/>
              <w:jc w:val="center"/>
              <w:textAlignment w:val="baseline"/>
              <w:rPr>
                <w:rFonts w:cs="Times New Roman"/>
                <w:b/>
                <w:bCs/>
                <w:bdr w:val="nil"/>
              </w:rPr>
            </w:pPr>
            <w:r w:rsidRPr="009F6D1E">
              <w:rPr>
                <w:rFonts w:cs="Times New Roman"/>
                <w:b/>
                <w:bCs/>
                <w:bdr w:val="nil"/>
              </w:rPr>
              <w:t>Очакван ефект</w:t>
            </w:r>
          </w:p>
        </w:tc>
        <w:tc>
          <w:tcPr>
            <w:tcW w:w="946" w:type="pct"/>
            <w:shd w:val="clear" w:color="auto" w:fill="D9D9D9"/>
            <w:vAlign w:val="center"/>
          </w:tcPr>
          <w:p w14:paraId="12A469AE" w14:textId="77777777" w:rsidR="00DB0E67" w:rsidRPr="009F6D1E" w:rsidRDefault="00DB0E67" w:rsidP="00DB0E67">
            <w:pPr>
              <w:pBdr>
                <w:top w:val="nil"/>
                <w:left w:val="nil"/>
                <w:bottom w:val="nil"/>
                <w:right w:val="nil"/>
                <w:between w:val="nil"/>
                <w:bar w:val="nil"/>
              </w:pBdr>
              <w:spacing w:line="276" w:lineRule="auto"/>
              <w:ind w:left="180" w:right="180"/>
              <w:jc w:val="center"/>
              <w:textAlignment w:val="baseline"/>
              <w:rPr>
                <w:rFonts w:cs="Times New Roman"/>
                <w:b/>
                <w:bCs/>
                <w:bdr w:val="nil"/>
              </w:rPr>
            </w:pPr>
            <w:r w:rsidRPr="009F6D1E">
              <w:rPr>
                <w:rFonts w:cs="Times New Roman"/>
                <w:b/>
                <w:bCs/>
                <w:bdr w:val="nil"/>
              </w:rPr>
              <w:t>Рецептор</w:t>
            </w:r>
          </w:p>
        </w:tc>
      </w:tr>
      <w:tr w:rsidR="00DB0E67" w:rsidRPr="009F6D1E" w14:paraId="0802A018" w14:textId="77777777" w:rsidTr="00DB0E67">
        <w:trPr>
          <w:trHeight w:val="276"/>
        </w:trPr>
        <w:tc>
          <w:tcPr>
            <w:tcW w:w="5000" w:type="pct"/>
            <w:gridSpan w:val="3"/>
            <w:shd w:val="clear" w:color="auto" w:fill="auto"/>
          </w:tcPr>
          <w:p w14:paraId="18EE4610" w14:textId="77777777" w:rsidR="00DB0E67" w:rsidRPr="009F6D1E" w:rsidRDefault="00DB0E67" w:rsidP="00DB0E67">
            <w:pPr>
              <w:widowControl w:val="0"/>
              <w:pBdr>
                <w:top w:val="nil"/>
                <w:left w:val="nil"/>
                <w:bottom w:val="nil"/>
                <w:right w:val="nil"/>
                <w:between w:val="nil"/>
                <w:bar w:val="nil"/>
              </w:pBdr>
              <w:spacing w:after="60" w:line="264" w:lineRule="auto"/>
              <w:jc w:val="both"/>
              <w:rPr>
                <w:rFonts w:cs="Times New Roman"/>
                <w:b/>
                <w:bCs/>
                <w:highlight w:val="cyan"/>
                <w:bdr w:val="nil"/>
              </w:rPr>
            </w:pPr>
            <w:r w:rsidRPr="009F6D1E">
              <w:rPr>
                <w:rFonts w:cs="Times New Roman"/>
                <w:b/>
                <w:bCs/>
                <w:szCs w:val="24"/>
              </w:rPr>
              <w:t>Общи мерки</w:t>
            </w:r>
          </w:p>
        </w:tc>
      </w:tr>
      <w:tr w:rsidR="00DB0E67" w:rsidRPr="009F6D1E" w14:paraId="3F09FF53" w14:textId="77777777" w:rsidTr="00AD646E">
        <w:trPr>
          <w:trHeight w:val="276"/>
        </w:trPr>
        <w:tc>
          <w:tcPr>
            <w:tcW w:w="2969" w:type="pct"/>
            <w:shd w:val="clear" w:color="auto" w:fill="auto"/>
          </w:tcPr>
          <w:p w14:paraId="67C468BF" w14:textId="77777777" w:rsidR="00DB0E67" w:rsidRPr="009F6D1E" w:rsidRDefault="00DB0E67" w:rsidP="00827FA3">
            <w:pPr>
              <w:widowControl w:val="0"/>
              <w:spacing w:after="60" w:line="264" w:lineRule="auto"/>
              <w:ind w:left="80"/>
              <w:jc w:val="both"/>
              <w:rPr>
                <w:rFonts w:cs="Times New Roman"/>
              </w:rPr>
            </w:pPr>
            <w:r w:rsidRPr="009F6D1E">
              <w:rPr>
                <w:rFonts w:cs="Times New Roman"/>
              </w:rPr>
              <w:t xml:space="preserve">Планове, програми, проекти и инвестиционни предложения, произтичащи от </w:t>
            </w:r>
            <w:r w:rsidR="00827FA3" w:rsidRPr="009F6D1E">
              <w:rPr>
                <w:rFonts w:cs="Times New Roman"/>
              </w:rPr>
              <w:t xml:space="preserve">прилагането на специфичните цели на </w:t>
            </w:r>
            <w:r w:rsidR="00CD4045" w:rsidRPr="009F6D1E">
              <w:rPr>
                <w:rFonts w:cs="Times New Roman"/>
              </w:rPr>
              <w:t>СПРЗСР</w:t>
            </w:r>
            <w:r w:rsidRPr="009F6D1E">
              <w:rPr>
                <w:rFonts w:cs="Times New Roman"/>
              </w:rPr>
              <w:t>, попадащи в обхвата на Директива 2014/52/ЕС или Директива 2001/42/ЕО или извън тях и попадащи в обхвата на чл.6 на Директива 92/43/ЕИО, подлежат на оценка за съвместимостта им с предмета и целите на опазване на защитените зони и могат да бъдат одобрени само след решение/становище по ОВОС/ЕО/ОС за одобряване/съгласуване, и при съобразяване с препоръките в извършените оценки, както и с условията, изискванията и мерките, разписани в решението/становището.</w:t>
            </w:r>
          </w:p>
        </w:tc>
        <w:tc>
          <w:tcPr>
            <w:tcW w:w="1084" w:type="pct"/>
            <w:shd w:val="clear" w:color="auto" w:fill="auto"/>
          </w:tcPr>
          <w:p w14:paraId="74F351C8" w14:textId="77777777" w:rsidR="00DB0E67" w:rsidRPr="009F6D1E" w:rsidRDefault="00827FA3" w:rsidP="00827FA3">
            <w:pPr>
              <w:widowControl w:val="0"/>
              <w:pBdr>
                <w:top w:val="nil"/>
                <w:left w:val="nil"/>
                <w:bottom w:val="nil"/>
                <w:right w:val="nil"/>
                <w:between w:val="nil"/>
                <w:bar w:val="nil"/>
              </w:pBdr>
              <w:spacing w:after="60" w:line="264" w:lineRule="auto"/>
              <w:ind w:left="80"/>
              <w:jc w:val="both"/>
              <w:rPr>
                <w:rFonts w:cs="Times New Roman"/>
                <w:highlight w:val="cyan"/>
                <w:bdr w:val="nil"/>
              </w:rPr>
            </w:pPr>
            <w:r w:rsidRPr="009F6D1E">
              <w:rPr>
                <w:rFonts w:cs="Times New Roman"/>
              </w:rPr>
              <w:t>Недопускане на значителни неблагоприятни въздействия върху околната среда и човешкото здраве, предмета и целите на опазване на защитените зони.</w:t>
            </w:r>
          </w:p>
        </w:tc>
        <w:tc>
          <w:tcPr>
            <w:tcW w:w="946" w:type="pct"/>
          </w:tcPr>
          <w:p w14:paraId="35956329" w14:textId="77777777" w:rsidR="00DB0E67" w:rsidRPr="009F6D1E" w:rsidRDefault="00827FA3" w:rsidP="00827FA3">
            <w:pPr>
              <w:widowControl w:val="0"/>
              <w:pBdr>
                <w:top w:val="nil"/>
                <w:left w:val="nil"/>
                <w:bottom w:val="nil"/>
                <w:right w:val="nil"/>
                <w:between w:val="nil"/>
                <w:bar w:val="nil"/>
              </w:pBdr>
              <w:spacing w:after="60" w:line="264" w:lineRule="auto"/>
              <w:ind w:left="80"/>
              <w:jc w:val="both"/>
              <w:rPr>
                <w:rFonts w:cs="Times New Roman"/>
                <w:highlight w:val="cyan"/>
                <w:bdr w:val="nil"/>
              </w:rPr>
            </w:pPr>
            <w:r w:rsidRPr="009F6D1E">
              <w:rPr>
                <w:rFonts w:cs="Times New Roman"/>
              </w:rPr>
              <w:t>Всички компоненти и фактори на околната среда.</w:t>
            </w:r>
          </w:p>
        </w:tc>
      </w:tr>
      <w:tr w:rsidR="00827FA3" w:rsidRPr="009F6D1E" w14:paraId="6D3A61F7" w14:textId="77777777" w:rsidTr="00AD646E">
        <w:trPr>
          <w:trHeight w:val="276"/>
        </w:trPr>
        <w:tc>
          <w:tcPr>
            <w:tcW w:w="2969" w:type="pct"/>
            <w:shd w:val="clear" w:color="auto" w:fill="auto"/>
          </w:tcPr>
          <w:p w14:paraId="7D94EE69" w14:textId="77777777" w:rsidR="00827FA3" w:rsidRPr="009F6D1E" w:rsidRDefault="00827FA3" w:rsidP="00827FA3">
            <w:pPr>
              <w:widowControl w:val="0"/>
              <w:spacing w:after="60" w:line="264" w:lineRule="auto"/>
              <w:ind w:left="80"/>
              <w:jc w:val="both"/>
              <w:rPr>
                <w:rFonts w:cs="Times New Roman"/>
              </w:rPr>
            </w:pPr>
            <w:r w:rsidRPr="009F6D1E">
              <w:rPr>
                <w:rFonts w:cs="Times New Roman"/>
              </w:rPr>
              <w:t xml:space="preserve">Инвестиционни предложения, произтичащи от специфичните цели на </w:t>
            </w:r>
            <w:r w:rsidR="00CD4045" w:rsidRPr="009F6D1E">
              <w:rPr>
                <w:rFonts w:cs="Times New Roman"/>
              </w:rPr>
              <w:t>СПРЗСР</w:t>
            </w:r>
            <w:r w:rsidRPr="009F6D1E">
              <w:rPr>
                <w:rFonts w:cs="Times New Roman"/>
              </w:rPr>
              <w:t xml:space="preserve">, да се съобразят с действащите териториално устройствени планове на съответната територия, както и националните, регионалните и местни стратегически, планови и нормативни документи, други налични планирани проекти с подобни и/или припокриващи се дейности, с цел постигане на необходимата синхронизация при провеждане на проектните процедури от страна на ангажираните институционални органи. </w:t>
            </w:r>
          </w:p>
        </w:tc>
        <w:tc>
          <w:tcPr>
            <w:tcW w:w="1084" w:type="pct"/>
            <w:shd w:val="clear" w:color="auto" w:fill="auto"/>
          </w:tcPr>
          <w:p w14:paraId="558B3B7D" w14:textId="77777777" w:rsidR="00827FA3" w:rsidRPr="009F6D1E" w:rsidRDefault="00827FA3" w:rsidP="00827FA3">
            <w:pPr>
              <w:widowControl w:val="0"/>
              <w:spacing w:after="60" w:line="264" w:lineRule="auto"/>
              <w:ind w:left="80"/>
              <w:jc w:val="both"/>
              <w:rPr>
                <w:rFonts w:cs="Times New Roman"/>
              </w:rPr>
            </w:pPr>
            <w:r w:rsidRPr="009F6D1E">
              <w:rPr>
                <w:rFonts w:cs="Times New Roman"/>
              </w:rPr>
              <w:t xml:space="preserve">Недопускане на противоречия, съгласно действащата нормативна уредба и приетите вече стратегически и планови документи. Недопускане на проектни предложения, несъобразени с вече съществуващи </w:t>
            </w:r>
            <w:r w:rsidRPr="009F6D1E">
              <w:rPr>
                <w:rFonts w:cs="Times New Roman"/>
              </w:rPr>
              <w:lastRenderedPageBreak/>
              <w:t>такива, водещи до административни затруднения и/или искане на двойно финансиране за припокриващи се дейности.</w:t>
            </w:r>
          </w:p>
          <w:p w14:paraId="5976024D" w14:textId="77777777" w:rsidR="00827FA3" w:rsidRPr="009F6D1E" w:rsidRDefault="00827FA3" w:rsidP="00827FA3">
            <w:pPr>
              <w:widowControl w:val="0"/>
              <w:pBdr>
                <w:top w:val="nil"/>
                <w:left w:val="nil"/>
                <w:bottom w:val="nil"/>
                <w:right w:val="nil"/>
                <w:between w:val="nil"/>
                <w:bar w:val="nil"/>
              </w:pBdr>
              <w:spacing w:after="60" w:line="264" w:lineRule="auto"/>
              <w:ind w:left="80"/>
              <w:jc w:val="both"/>
              <w:rPr>
                <w:rFonts w:cs="Times New Roman"/>
              </w:rPr>
            </w:pPr>
          </w:p>
        </w:tc>
        <w:tc>
          <w:tcPr>
            <w:tcW w:w="946" w:type="pct"/>
          </w:tcPr>
          <w:p w14:paraId="1F432049" w14:textId="77777777" w:rsidR="00827FA3" w:rsidRPr="009F6D1E" w:rsidRDefault="00827FA3"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lastRenderedPageBreak/>
              <w:t>Всички компоненти и фактори на околната среда.</w:t>
            </w:r>
          </w:p>
        </w:tc>
      </w:tr>
      <w:tr w:rsidR="00827FA3" w:rsidRPr="009F6D1E" w14:paraId="210DA782" w14:textId="77777777" w:rsidTr="00827FA3">
        <w:trPr>
          <w:trHeight w:val="276"/>
        </w:trPr>
        <w:tc>
          <w:tcPr>
            <w:tcW w:w="5000" w:type="pct"/>
            <w:gridSpan w:val="3"/>
            <w:shd w:val="clear" w:color="auto" w:fill="auto"/>
          </w:tcPr>
          <w:p w14:paraId="73CD2B93" w14:textId="77777777" w:rsidR="00827FA3" w:rsidRPr="009F6D1E" w:rsidRDefault="00536F47" w:rsidP="00536F47">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Атмосферен въздух</w:t>
            </w:r>
          </w:p>
        </w:tc>
      </w:tr>
      <w:tr w:rsidR="00827FA3" w:rsidRPr="009F6D1E" w14:paraId="163818E0" w14:textId="77777777" w:rsidTr="00AD646E">
        <w:trPr>
          <w:trHeight w:val="276"/>
        </w:trPr>
        <w:tc>
          <w:tcPr>
            <w:tcW w:w="2969" w:type="pct"/>
            <w:shd w:val="clear" w:color="auto" w:fill="auto"/>
          </w:tcPr>
          <w:p w14:paraId="23DFD881" w14:textId="77777777" w:rsidR="00827FA3" w:rsidRPr="009F6D1E" w:rsidRDefault="00536F47" w:rsidP="002B6588">
            <w:pPr>
              <w:widowControl w:val="0"/>
              <w:spacing w:after="60" w:line="264" w:lineRule="auto"/>
              <w:ind w:left="80"/>
              <w:jc w:val="both"/>
              <w:rPr>
                <w:rFonts w:cs="Times New Roman"/>
              </w:rPr>
            </w:pPr>
            <w:r w:rsidRPr="009F6D1E">
              <w:rPr>
                <w:rFonts w:cs="Times New Roman"/>
              </w:rPr>
              <w:t xml:space="preserve">Одобряване за реализация на производствени дейности/технологични модернизации, съответстващи на най-добрите налични техники с цел </w:t>
            </w:r>
            <w:r w:rsidR="002B6588" w:rsidRPr="009F6D1E">
              <w:rPr>
                <w:rFonts w:cs="Times New Roman"/>
              </w:rPr>
              <w:t xml:space="preserve">недопускане замърсяване на въздуха и влошаване на КАВ, както и </w:t>
            </w:r>
            <w:r w:rsidRPr="009F6D1E">
              <w:rPr>
                <w:rFonts w:cs="Times New Roman"/>
              </w:rPr>
              <w:t xml:space="preserve">спазване на международните ангажименти по </w:t>
            </w:r>
            <w:proofErr w:type="spellStart"/>
            <w:r w:rsidRPr="009F6D1E">
              <w:rPr>
                <w:rFonts w:cs="Times New Roman"/>
              </w:rPr>
              <w:t>Гьотеборгския</w:t>
            </w:r>
            <w:proofErr w:type="spellEnd"/>
            <w:r w:rsidRPr="009F6D1E">
              <w:rPr>
                <w:rFonts w:cs="Times New Roman"/>
              </w:rPr>
              <w:t xml:space="preserve"> протокол към Конвенцията за трансгранично замърсяване на въздуха на далечни разстояния</w:t>
            </w:r>
            <w:r w:rsidR="002B6588" w:rsidRPr="009F6D1E">
              <w:rPr>
                <w:rFonts w:cs="Times New Roman"/>
              </w:rPr>
              <w:t xml:space="preserve"> – за случаите, когато реализацията на мерките е в гранични райони, създаващо риск от трансгранично замърсяване на въздуха</w:t>
            </w:r>
            <w:r w:rsidRPr="009F6D1E">
              <w:rPr>
                <w:rFonts w:cs="Times New Roman"/>
              </w:rPr>
              <w:t>.</w:t>
            </w:r>
          </w:p>
        </w:tc>
        <w:tc>
          <w:tcPr>
            <w:tcW w:w="1084" w:type="pct"/>
            <w:shd w:val="clear" w:color="auto" w:fill="auto"/>
          </w:tcPr>
          <w:p w14:paraId="5D81A221" w14:textId="77777777" w:rsidR="00827FA3" w:rsidRPr="009F6D1E" w:rsidRDefault="002B6588" w:rsidP="00827FA3">
            <w:pPr>
              <w:widowControl w:val="0"/>
              <w:spacing w:after="60" w:line="264" w:lineRule="auto"/>
              <w:ind w:left="80"/>
              <w:jc w:val="both"/>
              <w:rPr>
                <w:rFonts w:cs="Times New Roman"/>
              </w:rPr>
            </w:pPr>
            <w:r w:rsidRPr="009F6D1E">
              <w:rPr>
                <w:rFonts w:cs="Times New Roman"/>
              </w:rPr>
              <w:t>Гарантиране на производства с минимални емисии на вредни вещества в атмосферата и недопускане на трансгранични замърсявания</w:t>
            </w:r>
          </w:p>
        </w:tc>
        <w:tc>
          <w:tcPr>
            <w:tcW w:w="946" w:type="pct"/>
          </w:tcPr>
          <w:p w14:paraId="5135C0F3" w14:textId="77777777" w:rsidR="00827FA3" w:rsidRPr="009F6D1E" w:rsidRDefault="002B6588"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Атмосферен въздух</w:t>
            </w:r>
          </w:p>
        </w:tc>
      </w:tr>
      <w:tr w:rsidR="002B6588" w:rsidRPr="009F6D1E" w14:paraId="1D6C8225" w14:textId="77777777" w:rsidTr="002B6588">
        <w:trPr>
          <w:trHeight w:val="276"/>
        </w:trPr>
        <w:tc>
          <w:tcPr>
            <w:tcW w:w="5000" w:type="pct"/>
            <w:gridSpan w:val="3"/>
            <w:shd w:val="clear" w:color="auto" w:fill="auto"/>
          </w:tcPr>
          <w:p w14:paraId="011F00C0" w14:textId="77777777" w:rsidR="002B6588" w:rsidRPr="009F6D1E" w:rsidRDefault="002B6588" w:rsidP="002B6588">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Климат и адаптация към климатичните промени</w:t>
            </w:r>
          </w:p>
        </w:tc>
      </w:tr>
      <w:tr w:rsidR="002B6588" w:rsidRPr="009F6D1E" w14:paraId="0DE2C3C0" w14:textId="77777777" w:rsidTr="00AD646E">
        <w:trPr>
          <w:trHeight w:val="276"/>
        </w:trPr>
        <w:tc>
          <w:tcPr>
            <w:tcW w:w="2969" w:type="pct"/>
            <w:shd w:val="clear" w:color="auto" w:fill="auto"/>
          </w:tcPr>
          <w:p w14:paraId="66C9885A" w14:textId="77777777" w:rsidR="002B6588" w:rsidRPr="009F6D1E" w:rsidRDefault="008549E4" w:rsidP="008549E4">
            <w:pPr>
              <w:widowControl w:val="0"/>
              <w:spacing w:after="60" w:line="264" w:lineRule="auto"/>
              <w:ind w:left="80"/>
              <w:jc w:val="both"/>
              <w:rPr>
                <w:rFonts w:eastAsia="Calibri" w:cs="Times New Roman"/>
                <w:b/>
                <w:bCs/>
                <w:i/>
              </w:rPr>
            </w:pPr>
            <w:r w:rsidRPr="009F6D1E">
              <w:rPr>
                <w:rFonts w:cs="Times New Roman"/>
              </w:rPr>
              <w:t>Съобразяване на относимите дейности и мерки от актуалните стратегически документи за адаптация към климатичните изменения и предвиждане на мерки за гарантиране на устойчивост на проектите, свързани с изграждане и развитие на обекти, съоръжения и инфраструктура.</w:t>
            </w:r>
          </w:p>
        </w:tc>
        <w:tc>
          <w:tcPr>
            <w:tcW w:w="1084" w:type="pct"/>
            <w:shd w:val="clear" w:color="auto" w:fill="auto"/>
          </w:tcPr>
          <w:p w14:paraId="5C80D1E7" w14:textId="77777777" w:rsidR="008549E4" w:rsidRPr="009F6D1E" w:rsidRDefault="008549E4" w:rsidP="008549E4">
            <w:pPr>
              <w:widowControl w:val="0"/>
              <w:spacing w:after="60" w:line="264" w:lineRule="auto"/>
              <w:ind w:left="80"/>
              <w:jc w:val="both"/>
              <w:rPr>
                <w:rFonts w:cs="Times New Roman"/>
              </w:rPr>
            </w:pPr>
            <w:r w:rsidRPr="009F6D1E">
              <w:rPr>
                <w:rFonts w:cs="Times New Roman"/>
              </w:rPr>
              <w:t>Осигуряване на климатична устойчивост на проектите.</w:t>
            </w:r>
          </w:p>
          <w:p w14:paraId="55016DF9" w14:textId="77777777" w:rsidR="002B6588" w:rsidRPr="009F6D1E" w:rsidRDefault="002B6588" w:rsidP="00827FA3">
            <w:pPr>
              <w:widowControl w:val="0"/>
              <w:spacing w:after="60" w:line="264" w:lineRule="auto"/>
              <w:ind w:left="80"/>
              <w:jc w:val="both"/>
              <w:rPr>
                <w:rFonts w:cs="Times New Roman"/>
              </w:rPr>
            </w:pPr>
          </w:p>
        </w:tc>
        <w:tc>
          <w:tcPr>
            <w:tcW w:w="946" w:type="pct"/>
          </w:tcPr>
          <w:p w14:paraId="32E4C83E" w14:textId="77777777" w:rsidR="002B6588" w:rsidRPr="009F6D1E" w:rsidRDefault="008549E4"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Адаптация към климатичните промени</w:t>
            </w:r>
          </w:p>
        </w:tc>
      </w:tr>
      <w:tr w:rsidR="008549E4" w:rsidRPr="009F6D1E" w14:paraId="6E891977" w14:textId="77777777" w:rsidTr="008549E4">
        <w:trPr>
          <w:trHeight w:val="276"/>
        </w:trPr>
        <w:tc>
          <w:tcPr>
            <w:tcW w:w="5000" w:type="pct"/>
            <w:gridSpan w:val="3"/>
            <w:shd w:val="clear" w:color="auto" w:fill="auto"/>
          </w:tcPr>
          <w:p w14:paraId="4F7C4C54" w14:textId="77777777" w:rsidR="008549E4" w:rsidRPr="009F6D1E" w:rsidRDefault="008549E4" w:rsidP="008549E4">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Води</w:t>
            </w:r>
          </w:p>
        </w:tc>
      </w:tr>
      <w:tr w:rsidR="008549E4" w:rsidRPr="009F6D1E" w14:paraId="3949A575" w14:textId="77777777" w:rsidTr="00AD646E">
        <w:trPr>
          <w:trHeight w:val="276"/>
        </w:trPr>
        <w:tc>
          <w:tcPr>
            <w:tcW w:w="2969" w:type="pct"/>
            <w:shd w:val="clear" w:color="auto" w:fill="auto"/>
          </w:tcPr>
          <w:p w14:paraId="1CA2DA1A" w14:textId="77777777" w:rsidR="008549E4" w:rsidRPr="009F6D1E" w:rsidRDefault="00BA75F3" w:rsidP="002B6588">
            <w:pPr>
              <w:widowControl w:val="0"/>
              <w:spacing w:after="60" w:line="264" w:lineRule="auto"/>
              <w:ind w:left="80"/>
              <w:jc w:val="both"/>
              <w:rPr>
                <w:rFonts w:cs="Times New Roman"/>
              </w:rPr>
            </w:pPr>
            <w:r w:rsidRPr="009F6D1E">
              <w:rPr>
                <w:rFonts w:cs="Times New Roman"/>
              </w:rPr>
              <w:t xml:space="preserve">Видовете дейности и проекти, имащи отношение към водите, относно Плановете за управление на речните басейни, Плановете за управление риска от наводнения и Закона за водите, предвидени за финансиране по </w:t>
            </w:r>
            <w:r w:rsidR="00CD4045" w:rsidRPr="009F6D1E">
              <w:rPr>
                <w:rFonts w:cs="Times New Roman"/>
              </w:rPr>
              <w:t>СПРЗСР</w:t>
            </w:r>
            <w:r w:rsidRPr="009F6D1E">
              <w:rPr>
                <w:rFonts w:cs="Times New Roman"/>
              </w:rPr>
              <w:t>, да се съгласуват с Басейновите дирекции за управление на водите и да се реализират при спазване на мерките и забраните, заложени в съответните планове за управление на речните басейни.</w:t>
            </w:r>
          </w:p>
        </w:tc>
        <w:tc>
          <w:tcPr>
            <w:tcW w:w="1084" w:type="pct"/>
            <w:shd w:val="clear" w:color="auto" w:fill="auto"/>
          </w:tcPr>
          <w:p w14:paraId="2E95D244" w14:textId="77777777" w:rsidR="008549E4" w:rsidRPr="009F6D1E" w:rsidRDefault="00BA75F3" w:rsidP="00827FA3">
            <w:pPr>
              <w:widowControl w:val="0"/>
              <w:spacing w:after="60" w:line="264" w:lineRule="auto"/>
              <w:ind w:left="80"/>
              <w:jc w:val="both"/>
              <w:rPr>
                <w:rFonts w:cs="Times New Roman"/>
              </w:rPr>
            </w:pPr>
            <w:r w:rsidRPr="009F6D1E">
              <w:rPr>
                <w:rFonts w:cs="Times New Roman"/>
              </w:rPr>
              <w:t>Недопускане замърсяването на повърхностните и подземните води.</w:t>
            </w:r>
          </w:p>
        </w:tc>
        <w:tc>
          <w:tcPr>
            <w:tcW w:w="946" w:type="pct"/>
          </w:tcPr>
          <w:p w14:paraId="44B044BB" w14:textId="77777777" w:rsidR="008549E4" w:rsidRPr="009F6D1E" w:rsidRDefault="00BA75F3"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Повърхностни и подземни води</w:t>
            </w:r>
          </w:p>
        </w:tc>
      </w:tr>
      <w:tr w:rsidR="008549E4" w:rsidRPr="009F6D1E" w14:paraId="07E1286F" w14:textId="77777777" w:rsidTr="00AD646E">
        <w:trPr>
          <w:trHeight w:val="276"/>
        </w:trPr>
        <w:tc>
          <w:tcPr>
            <w:tcW w:w="2969" w:type="pct"/>
            <w:shd w:val="clear" w:color="auto" w:fill="auto"/>
          </w:tcPr>
          <w:p w14:paraId="595D4614" w14:textId="77777777" w:rsidR="008549E4" w:rsidRPr="009F6D1E" w:rsidRDefault="00BA75F3" w:rsidP="002B6588">
            <w:pPr>
              <w:widowControl w:val="0"/>
              <w:spacing w:after="60" w:line="264" w:lineRule="auto"/>
              <w:ind w:left="80"/>
              <w:jc w:val="both"/>
              <w:rPr>
                <w:rFonts w:cs="Times New Roman"/>
              </w:rPr>
            </w:pPr>
            <w:r w:rsidRPr="009F6D1E">
              <w:rPr>
                <w:rFonts w:cs="Times New Roman"/>
              </w:rPr>
              <w:t xml:space="preserve">Да се следи за спазването на съответните забрани и ограничения в поясите на СОЗ, регламентирани в Наредба № 3/16.10.2000 г. на МОСВ, МРРБ и M3 (ДВ </w:t>
            </w:r>
            <w:r w:rsidRPr="009F6D1E">
              <w:rPr>
                <w:rFonts w:cs="Times New Roman"/>
              </w:rPr>
              <w:lastRenderedPageBreak/>
              <w:t xml:space="preserve">бр. 88/2000 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 при реализирането на проекти, финансирани по </w:t>
            </w:r>
            <w:r w:rsidR="00CD4045" w:rsidRPr="009F6D1E">
              <w:rPr>
                <w:rFonts w:cs="Times New Roman"/>
              </w:rPr>
              <w:t>СПРЗСР</w:t>
            </w:r>
          </w:p>
        </w:tc>
        <w:tc>
          <w:tcPr>
            <w:tcW w:w="1084" w:type="pct"/>
            <w:shd w:val="clear" w:color="auto" w:fill="auto"/>
          </w:tcPr>
          <w:p w14:paraId="6A565F87" w14:textId="77777777" w:rsidR="008549E4" w:rsidRPr="009F6D1E" w:rsidRDefault="00BA75F3" w:rsidP="00827FA3">
            <w:pPr>
              <w:widowControl w:val="0"/>
              <w:spacing w:after="60" w:line="264" w:lineRule="auto"/>
              <w:ind w:left="80"/>
              <w:jc w:val="both"/>
              <w:rPr>
                <w:rFonts w:cs="Times New Roman"/>
              </w:rPr>
            </w:pPr>
            <w:r w:rsidRPr="009F6D1E">
              <w:rPr>
                <w:rFonts w:cs="Times New Roman"/>
              </w:rPr>
              <w:lastRenderedPageBreak/>
              <w:t>Недопускане замърсяване на водоизточниците.</w:t>
            </w:r>
          </w:p>
        </w:tc>
        <w:tc>
          <w:tcPr>
            <w:tcW w:w="946" w:type="pct"/>
          </w:tcPr>
          <w:p w14:paraId="0E9BBE53" w14:textId="77777777" w:rsidR="008549E4" w:rsidRPr="009F6D1E" w:rsidRDefault="00BA75F3"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Води, предназначени за питейно-</w:t>
            </w:r>
            <w:r w:rsidRPr="009F6D1E">
              <w:rPr>
                <w:rFonts w:cs="Times New Roman"/>
              </w:rPr>
              <w:lastRenderedPageBreak/>
              <w:t>битови цели.</w:t>
            </w:r>
          </w:p>
        </w:tc>
      </w:tr>
      <w:tr w:rsidR="00DB37E0" w:rsidRPr="009F6D1E" w14:paraId="11127B09" w14:textId="77777777" w:rsidTr="00DB37E0">
        <w:trPr>
          <w:trHeight w:val="276"/>
        </w:trPr>
        <w:tc>
          <w:tcPr>
            <w:tcW w:w="5000" w:type="pct"/>
            <w:gridSpan w:val="3"/>
            <w:shd w:val="clear" w:color="auto" w:fill="auto"/>
          </w:tcPr>
          <w:p w14:paraId="63D8D93A" w14:textId="77777777" w:rsidR="00DB37E0" w:rsidRPr="009F6D1E" w:rsidRDefault="00DB37E0" w:rsidP="00DB37E0">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lastRenderedPageBreak/>
              <w:t>Почви</w:t>
            </w:r>
          </w:p>
        </w:tc>
      </w:tr>
      <w:tr w:rsidR="00DB37E0" w:rsidRPr="009F6D1E" w14:paraId="63C677D7" w14:textId="77777777" w:rsidTr="00AD646E">
        <w:trPr>
          <w:trHeight w:val="276"/>
        </w:trPr>
        <w:tc>
          <w:tcPr>
            <w:tcW w:w="2969" w:type="pct"/>
            <w:shd w:val="clear" w:color="auto" w:fill="auto"/>
          </w:tcPr>
          <w:p w14:paraId="0D06D081" w14:textId="77777777" w:rsidR="00DB37E0" w:rsidRPr="009F6D1E" w:rsidRDefault="00DB37E0" w:rsidP="00DB37E0">
            <w:pPr>
              <w:widowControl w:val="0"/>
              <w:spacing w:after="60" w:line="264" w:lineRule="auto"/>
              <w:ind w:left="80"/>
              <w:jc w:val="both"/>
              <w:rPr>
                <w:rFonts w:cs="Times New Roman"/>
              </w:rPr>
            </w:pPr>
            <w:r w:rsidRPr="009F6D1E">
              <w:rPr>
                <w:rFonts w:cs="Times New Roman"/>
              </w:rPr>
              <w:t>Проектирането на нови обекти да става при включването на  дейности и мерки за опазване на почвените ресурси и рекултивация с цел предотвратяване появата на ерозионни процеси и максимално възстановяване на нарушените земи.</w:t>
            </w:r>
          </w:p>
        </w:tc>
        <w:tc>
          <w:tcPr>
            <w:tcW w:w="1084" w:type="pct"/>
            <w:shd w:val="clear" w:color="auto" w:fill="auto"/>
          </w:tcPr>
          <w:p w14:paraId="59799C3C" w14:textId="77777777" w:rsidR="00DB37E0" w:rsidRPr="009F6D1E" w:rsidRDefault="00DB37E0" w:rsidP="00DB37E0">
            <w:pPr>
              <w:widowControl w:val="0"/>
              <w:spacing w:after="60" w:line="264" w:lineRule="auto"/>
              <w:ind w:left="80"/>
              <w:jc w:val="both"/>
              <w:rPr>
                <w:rFonts w:cs="Times New Roman"/>
              </w:rPr>
            </w:pPr>
            <w:r w:rsidRPr="009F6D1E">
              <w:rPr>
                <w:rFonts w:cs="Times New Roman"/>
              </w:rPr>
              <w:t>Недопускане на въздействие върху земите и почвите при изпълнение на проектните решения.</w:t>
            </w:r>
          </w:p>
          <w:p w14:paraId="296B8C8E" w14:textId="77777777" w:rsidR="00DB37E0" w:rsidRPr="009F6D1E" w:rsidRDefault="00DB37E0" w:rsidP="00827FA3">
            <w:pPr>
              <w:widowControl w:val="0"/>
              <w:spacing w:after="60" w:line="264" w:lineRule="auto"/>
              <w:ind w:left="80"/>
              <w:jc w:val="both"/>
              <w:rPr>
                <w:rFonts w:cs="Times New Roman"/>
              </w:rPr>
            </w:pPr>
          </w:p>
        </w:tc>
        <w:tc>
          <w:tcPr>
            <w:tcW w:w="946" w:type="pct"/>
          </w:tcPr>
          <w:p w14:paraId="1DFBE680" w14:textId="77777777" w:rsidR="00DB37E0" w:rsidRPr="009F6D1E" w:rsidRDefault="00DB37E0"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Почви</w:t>
            </w:r>
          </w:p>
        </w:tc>
      </w:tr>
      <w:tr w:rsidR="00DB37E0" w:rsidRPr="009F6D1E" w14:paraId="3E2AA8A0" w14:textId="77777777" w:rsidTr="00AD646E">
        <w:trPr>
          <w:trHeight w:val="276"/>
        </w:trPr>
        <w:tc>
          <w:tcPr>
            <w:tcW w:w="2969" w:type="pct"/>
            <w:shd w:val="clear" w:color="auto" w:fill="auto"/>
          </w:tcPr>
          <w:p w14:paraId="4FF06DEA" w14:textId="77777777" w:rsidR="00DB37E0" w:rsidRPr="009F6D1E" w:rsidRDefault="00DB37E0" w:rsidP="002B6588">
            <w:pPr>
              <w:widowControl w:val="0"/>
              <w:spacing w:after="60" w:line="264" w:lineRule="auto"/>
              <w:ind w:left="80"/>
              <w:jc w:val="both"/>
              <w:rPr>
                <w:rFonts w:cs="Times New Roman"/>
              </w:rPr>
            </w:pPr>
            <w:r w:rsidRPr="009F6D1E">
              <w:rPr>
                <w:rFonts w:cs="Times New Roman"/>
              </w:rPr>
              <w:t>При изпълнение на строителните дейности е необходимо да се вземат мерки за опазване на почвените ресурси (предварително изземване на хумусния слой и оползотворяването му за целите на рекултивацията)</w:t>
            </w:r>
          </w:p>
        </w:tc>
        <w:tc>
          <w:tcPr>
            <w:tcW w:w="1084" w:type="pct"/>
            <w:shd w:val="clear" w:color="auto" w:fill="auto"/>
          </w:tcPr>
          <w:p w14:paraId="55B578AE" w14:textId="77777777" w:rsidR="00DB37E0" w:rsidRPr="009F6D1E" w:rsidRDefault="00DB37E0" w:rsidP="00DB37E0">
            <w:pPr>
              <w:widowControl w:val="0"/>
              <w:spacing w:after="60" w:line="264" w:lineRule="auto"/>
              <w:ind w:left="80"/>
              <w:jc w:val="both"/>
              <w:rPr>
                <w:rFonts w:cs="Times New Roman"/>
              </w:rPr>
            </w:pPr>
            <w:r w:rsidRPr="009F6D1E">
              <w:rPr>
                <w:rFonts w:cs="Times New Roman"/>
              </w:rPr>
              <w:t>Опазване на почвените ресурси.</w:t>
            </w:r>
          </w:p>
          <w:p w14:paraId="2DE3A0C6" w14:textId="77777777" w:rsidR="00DB37E0" w:rsidRPr="009F6D1E" w:rsidRDefault="00DB37E0" w:rsidP="00827FA3">
            <w:pPr>
              <w:widowControl w:val="0"/>
              <w:spacing w:after="60" w:line="264" w:lineRule="auto"/>
              <w:ind w:left="80"/>
              <w:jc w:val="both"/>
              <w:rPr>
                <w:rFonts w:cs="Times New Roman"/>
              </w:rPr>
            </w:pPr>
          </w:p>
        </w:tc>
        <w:tc>
          <w:tcPr>
            <w:tcW w:w="946" w:type="pct"/>
          </w:tcPr>
          <w:p w14:paraId="109BA58C" w14:textId="77777777" w:rsidR="00DB37E0" w:rsidRPr="009F6D1E" w:rsidRDefault="00DB37E0"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Почви</w:t>
            </w:r>
          </w:p>
        </w:tc>
      </w:tr>
      <w:tr w:rsidR="00DB37E0" w:rsidRPr="009F6D1E" w14:paraId="16336FD8" w14:textId="77777777" w:rsidTr="00DB37E0">
        <w:trPr>
          <w:trHeight w:val="276"/>
        </w:trPr>
        <w:tc>
          <w:tcPr>
            <w:tcW w:w="5000" w:type="pct"/>
            <w:gridSpan w:val="3"/>
            <w:shd w:val="clear" w:color="auto" w:fill="auto"/>
          </w:tcPr>
          <w:p w14:paraId="0593E7E2" w14:textId="77777777" w:rsidR="00DB37E0" w:rsidRPr="009F6D1E" w:rsidRDefault="00DB37E0" w:rsidP="00DB37E0">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Културно-историческо наследство</w:t>
            </w:r>
          </w:p>
        </w:tc>
      </w:tr>
      <w:tr w:rsidR="00DB37E0" w:rsidRPr="009F6D1E" w14:paraId="4D2D8ACC" w14:textId="77777777" w:rsidTr="00AD646E">
        <w:trPr>
          <w:trHeight w:val="276"/>
        </w:trPr>
        <w:tc>
          <w:tcPr>
            <w:tcW w:w="2969" w:type="pct"/>
            <w:shd w:val="clear" w:color="auto" w:fill="auto"/>
          </w:tcPr>
          <w:p w14:paraId="4E56616C" w14:textId="77777777" w:rsidR="00DB37E0" w:rsidRPr="009F6D1E" w:rsidRDefault="00DB37E0" w:rsidP="00DB37E0">
            <w:pPr>
              <w:widowControl w:val="0"/>
              <w:spacing w:after="60" w:line="264" w:lineRule="auto"/>
              <w:ind w:left="80"/>
              <w:jc w:val="both"/>
              <w:rPr>
                <w:rFonts w:cs="Times New Roman"/>
              </w:rPr>
            </w:pPr>
            <w:r w:rsidRPr="009F6D1E">
              <w:rPr>
                <w:rFonts w:cs="Times New Roman"/>
              </w:rPr>
              <w:t>Инвестиционни предложения, планове и програми да се осъществяват след положително становище на компетентните органи за опазването на културното наследство, в съответствие с режимите за опазване на обектите и приложимата нормативната уредба. При наличие на строителни дейности в райони с регистрирани културни ценности, съответните да се провеждат под контрола на компетентни лица (определени или допустими по съответното национално законодателство).</w:t>
            </w:r>
          </w:p>
        </w:tc>
        <w:tc>
          <w:tcPr>
            <w:tcW w:w="1084" w:type="pct"/>
            <w:shd w:val="clear" w:color="auto" w:fill="auto"/>
          </w:tcPr>
          <w:p w14:paraId="62E44FAA" w14:textId="77777777" w:rsidR="00DB37E0" w:rsidRPr="009F6D1E" w:rsidRDefault="00DB37E0" w:rsidP="00827FA3">
            <w:pPr>
              <w:widowControl w:val="0"/>
              <w:spacing w:after="60" w:line="264" w:lineRule="auto"/>
              <w:ind w:left="80"/>
              <w:jc w:val="both"/>
              <w:rPr>
                <w:rFonts w:cs="Times New Roman"/>
              </w:rPr>
            </w:pPr>
            <w:r w:rsidRPr="009F6D1E">
              <w:rPr>
                <w:rFonts w:cs="Times New Roman"/>
              </w:rPr>
              <w:t>Недопускане на отрицателни въздействие и/или увреждане на недвижими културни ценности.</w:t>
            </w:r>
          </w:p>
        </w:tc>
        <w:tc>
          <w:tcPr>
            <w:tcW w:w="946" w:type="pct"/>
          </w:tcPr>
          <w:p w14:paraId="6BD10805" w14:textId="77777777" w:rsidR="00DB37E0" w:rsidRPr="009F6D1E" w:rsidRDefault="00DB37E0"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КИН</w:t>
            </w:r>
          </w:p>
        </w:tc>
      </w:tr>
      <w:tr w:rsidR="00827FA3" w:rsidRPr="009F6D1E" w14:paraId="1931B850" w14:textId="77777777" w:rsidTr="00827FA3">
        <w:trPr>
          <w:trHeight w:val="276"/>
        </w:trPr>
        <w:tc>
          <w:tcPr>
            <w:tcW w:w="5000" w:type="pct"/>
            <w:gridSpan w:val="3"/>
            <w:shd w:val="clear" w:color="auto" w:fill="auto"/>
          </w:tcPr>
          <w:p w14:paraId="67328C00" w14:textId="77777777" w:rsidR="00827FA3" w:rsidRPr="009F6D1E" w:rsidRDefault="00827FA3" w:rsidP="00827FA3">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Биоразнообразие, горски територии, ЗТ</w:t>
            </w:r>
          </w:p>
        </w:tc>
      </w:tr>
      <w:tr w:rsidR="00DB0E67" w:rsidRPr="009F6D1E" w14:paraId="2FCC3F57" w14:textId="77777777" w:rsidTr="00AD646E">
        <w:trPr>
          <w:trHeight w:val="276"/>
        </w:trPr>
        <w:tc>
          <w:tcPr>
            <w:tcW w:w="2969" w:type="pct"/>
            <w:shd w:val="clear" w:color="auto" w:fill="auto"/>
            <w:hideMark/>
          </w:tcPr>
          <w:p w14:paraId="2378A683"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 xml:space="preserve">При създаване на култури с неместни видове да се провежда ежегоден мониторинг по периферията на плантацията и да се премахват растенията, размножили се извън границите ѝ. </w:t>
            </w:r>
          </w:p>
        </w:tc>
        <w:tc>
          <w:tcPr>
            <w:tcW w:w="1084" w:type="pct"/>
            <w:shd w:val="clear" w:color="auto" w:fill="auto"/>
            <w:hideMark/>
          </w:tcPr>
          <w:p w14:paraId="6698B413"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 xml:space="preserve">Да се предотврати разпространението на неместни видове и трансформация на местообитания. </w:t>
            </w:r>
          </w:p>
        </w:tc>
        <w:tc>
          <w:tcPr>
            <w:tcW w:w="946" w:type="pct"/>
          </w:tcPr>
          <w:p w14:paraId="0B41177F"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Биоразнообразие</w:t>
            </w:r>
          </w:p>
          <w:p w14:paraId="5B2F0767"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Горски територии</w:t>
            </w:r>
          </w:p>
          <w:p w14:paraId="363BD0F6"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lastRenderedPageBreak/>
              <w:t>ЗТ</w:t>
            </w:r>
          </w:p>
        </w:tc>
      </w:tr>
      <w:tr w:rsidR="00DB0E67" w:rsidRPr="009F6D1E" w14:paraId="07EB03FD" w14:textId="77777777" w:rsidTr="00AD646E">
        <w:trPr>
          <w:trHeight w:val="276"/>
        </w:trPr>
        <w:tc>
          <w:tcPr>
            <w:tcW w:w="2969" w:type="pct"/>
            <w:shd w:val="clear" w:color="auto" w:fill="auto"/>
          </w:tcPr>
          <w:p w14:paraId="49A6BB81" w14:textId="77777777" w:rsidR="00DB0E67" w:rsidRPr="009F6D1E" w:rsidRDefault="00DB0E67" w:rsidP="00827FA3">
            <w:pPr>
              <w:widowControl w:val="0"/>
              <w:spacing w:after="60" w:line="264" w:lineRule="auto"/>
              <w:ind w:left="80"/>
              <w:jc w:val="both"/>
              <w:rPr>
                <w:rFonts w:cs="Times New Roman"/>
              </w:rPr>
            </w:pPr>
            <w:r w:rsidRPr="009F6D1E">
              <w:rPr>
                <w:rFonts w:cs="Times New Roman"/>
              </w:rPr>
              <w:lastRenderedPageBreak/>
              <w:t xml:space="preserve">В рамките на интервенции „Консултантски услуги и повишаване на консултантския капацитет”, „-Професионално обучение и придобиване на знания” и „Професионално обучение и придобиване на умения съгл. чл. 72 "Обмен на знания и информация"(ЕЗФРСР)” да се предвиди обучение и действия по осведомяване и обмен на опит на бенефициентите на теми: устойчиво развитие, екологично </w:t>
            </w:r>
            <w:proofErr w:type="spellStart"/>
            <w:r w:rsidRPr="009F6D1E">
              <w:rPr>
                <w:rFonts w:cs="Times New Roman"/>
              </w:rPr>
              <w:t>законод</w:t>
            </w:r>
            <w:proofErr w:type="spellEnd"/>
            <w:r w:rsidRPr="009F6D1E">
              <w:rPr>
                <w:rFonts w:cs="Times New Roman"/>
              </w:rPr>
              <w:t xml:space="preserve"> </w:t>
            </w:r>
            <w:proofErr w:type="spellStart"/>
            <w:r w:rsidRPr="009F6D1E">
              <w:rPr>
                <w:rFonts w:cs="Times New Roman"/>
              </w:rPr>
              <w:t>ателство</w:t>
            </w:r>
            <w:proofErr w:type="spellEnd"/>
            <w:r w:rsidRPr="009F6D1E">
              <w:rPr>
                <w:rFonts w:cs="Times New Roman"/>
              </w:rPr>
              <w:t xml:space="preserve">, защитени видове в земеделски земи, екологични изисквания на видовете и местообитанията, зависещи от земеделски и горскостопански практики, възможни негативни въздействия и начини за минимизирането им, разумно ползване на природните ресурси, принципи на управление на ЗТ. </w:t>
            </w:r>
          </w:p>
        </w:tc>
        <w:tc>
          <w:tcPr>
            <w:tcW w:w="1084" w:type="pct"/>
            <w:shd w:val="clear" w:color="auto" w:fill="auto"/>
          </w:tcPr>
          <w:p w14:paraId="1C7427F8" w14:textId="77777777" w:rsidR="00DB0E67" w:rsidRPr="009F6D1E" w:rsidRDefault="00DB0E67" w:rsidP="00827FA3">
            <w:pPr>
              <w:widowControl w:val="0"/>
              <w:spacing w:after="60" w:line="264" w:lineRule="auto"/>
              <w:ind w:left="80"/>
              <w:jc w:val="both"/>
              <w:rPr>
                <w:rFonts w:cs="Times New Roman"/>
              </w:rPr>
            </w:pPr>
            <w:r w:rsidRPr="009F6D1E">
              <w:rPr>
                <w:rFonts w:cs="Times New Roman"/>
              </w:rPr>
              <w:t xml:space="preserve">Повишаване на познанията за устойчиво развитие, биоразнообразие, ЗТ, и др. ще допринесат за по-добро разбиране на необходимостта от устойчиво земеделие, опазване на биоразнообразието и начините за намаляване и избягване на негативни въздействия. Прилагането на тези знания и на екологосъобразни технологии ще допринесе за опазване на околната среда и биоразнообразието. </w:t>
            </w:r>
          </w:p>
          <w:p w14:paraId="2F2E2259"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p>
        </w:tc>
        <w:tc>
          <w:tcPr>
            <w:tcW w:w="946" w:type="pct"/>
          </w:tcPr>
          <w:p w14:paraId="17E86E3A"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Биоразнообразие</w:t>
            </w:r>
          </w:p>
          <w:p w14:paraId="4AD95BE5"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Горски територии</w:t>
            </w:r>
          </w:p>
          <w:p w14:paraId="0FA73C35" w14:textId="77777777" w:rsidR="00DB0E67" w:rsidRPr="009F6D1E" w:rsidRDefault="00DB0E67"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ЗТ</w:t>
            </w:r>
          </w:p>
          <w:p w14:paraId="1DBD72D4" w14:textId="77777777" w:rsidR="00DB0E67" w:rsidRPr="009F6D1E" w:rsidRDefault="00DB0E67" w:rsidP="00827FA3">
            <w:pPr>
              <w:widowControl w:val="0"/>
              <w:spacing w:after="60" w:line="264" w:lineRule="auto"/>
              <w:ind w:left="80"/>
              <w:jc w:val="both"/>
              <w:rPr>
                <w:rFonts w:cs="Times New Roman"/>
              </w:rPr>
            </w:pPr>
          </w:p>
        </w:tc>
      </w:tr>
      <w:tr w:rsidR="00AB2292" w:rsidRPr="009F6D1E" w14:paraId="7CC4E491" w14:textId="77777777" w:rsidTr="00AD646E">
        <w:trPr>
          <w:trHeight w:val="276"/>
        </w:trPr>
        <w:tc>
          <w:tcPr>
            <w:tcW w:w="2969" w:type="pct"/>
            <w:shd w:val="clear" w:color="auto" w:fill="auto"/>
          </w:tcPr>
          <w:p w14:paraId="5E04B3A3" w14:textId="60A82709" w:rsidR="00AB2292" w:rsidRPr="00E02755" w:rsidRDefault="003F3D71" w:rsidP="00E02755">
            <w:pPr>
              <w:widowControl w:val="0"/>
              <w:spacing w:after="60" w:line="264" w:lineRule="auto"/>
              <w:ind w:left="80"/>
              <w:jc w:val="both"/>
              <w:rPr>
                <w:rFonts w:cs="Times New Roman"/>
              </w:rPr>
            </w:pPr>
            <w:r w:rsidRPr="00982D50">
              <w:rPr>
                <w:rFonts w:cs="Times New Roman"/>
              </w:rPr>
              <w:t>При извършването на озеленителни дейности</w:t>
            </w:r>
            <w:r w:rsidR="007576EF" w:rsidRPr="00E02755">
              <w:rPr>
                <w:rFonts w:cs="Times New Roman"/>
              </w:rPr>
              <w:t xml:space="preserve"> да не се използват инвазивни</w:t>
            </w:r>
            <w:r w:rsidRPr="00982D50">
              <w:rPr>
                <w:rFonts w:cs="Times New Roman"/>
              </w:rPr>
              <w:t xml:space="preserve"> </w:t>
            </w:r>
            <w:r w:rsidR="007576EF" w:rsidRPr="00E02755">
              <w:rPr>
                <w:rFonts w:cs="Times New Roman"/>
              </w:rPr>
              <w:t>и</w:t>
            </w:r>
            <w:r w:rsidRPr="00982D50">
              <w:rPr>
                <w:rFonts w:cs="Times New Roman"/>
              </w:rPr>
              <w:t xml:space="preserve"> </w:t>
            </w:r>
            <w:r w:rsidR="007576EF" w:rsidRPr="00E02755">
              <w:rPr>
                <w:rFonts w:cs="Times New Roman"/>
              </w:rPr>
              <w:t>чужди</w:t>
            </w:r>
            <w:r w:rsidRPr="00982D50">
              <w:rPr>
                <w:rFonts w:cs="Times New Roman"/>
              </w:rPr>
              <w:t xml:space="preserve"> </w:t>
            </w:r>
            <w:r w:rsidR="007576EF" w:rsidRPr="00E02755">
              <w:rPr>
                <w:rFonts w:cs="Times New Roman"/>
              </w:rPr>
              <w:t>видове</w:t>
            </w:r>
            <w:r w:rsidR="00E02755" w:rsidRPr="00E02755">
              <w:rPr>
                <w:rFonts w:cs="Times New Roman"/>
              </w:rPr>
              <w:t xml:space="preserve"> (</w:t>
            </w:r>
            <w:r w:rsidR="007576EF" w:rsidRPr="00E02755">
              <w:rPr>
                <w:rFonts w:cs="Times New Roman"/>
              </w:rPr>
              <w:t>списък</w:t>
            </w:r>
            <w:r w:rsidRPr="00982D50">
              <w:rPr>
                <w:rFonts w:cs="Times New Roman"/>
              </w:rPr>
              <w:t xml:space="preserve"> </w:t>
            </w:r>
            <w:r w:rsidR="007576EF" w:rsidRPr="00E02755">
              <w:rPr>
                <w:rFonts w:cs="Times New Roman"/>
              </w:rPr>
              <w:t>на</w:t>
            </w:r>
            <w:r w:rsidRPr="00982D50">
              <w:rPr>
                <w:rFonts w:cs="Times New Roman"/>
              </w:rPr>
              <w:t xml:space="preserve"> </w:t>
            </w:r>
            <w:r w:rsidR="007576EF" w:rsidRPr="00E02755">
              <w:rPr>
                <w:rFonts w:cs="Times New Roman"/>
              </w:rPr>
              <w:t>чуждите</w:t>
            </w:r>
            <w:r w:rsidRPr="00982D50">
              <w:rPr>
                <w:rFonts w:cs="Times New Roman"/>
              </w:rPr>
              <w:t xml:space="preserve"> </w:t>
            </w:r>
            <w:r w:rsidR="007576EF" w:rsidRPr="00E02755">
              <w:rPr>
                <w:rFonts w:cs="Times New Roman"/>
              </w:rPr>
              <w:t>и</w:t>
            </w:r>
            <w:r w:rsidRPr="00982D50">
              <w:rPr>
                <w:rFonts w:cs="Times New Roman"/>
              </w:rPr>
              <w:t xml:space="preserve"> </w:t>
            </w:r>
            <w:r w:rsidR="007576EF" w:rsidRPr="00E02755">
              <w:rPr>
                <w:rFonts w:cs="Times New Roman"/>
              </w:rPr>
              <w:t xml:space="preserve">инвазивни видове </w:t>
            </w:r>
            <w:r w:rsidR="00E02755" w:rsidRPr="00E02755">
              <w:rPr>
                <w:rFonts w:cs="Times New Roman"/>
              </w:rPr>
              <w:t xml:space="preserve">съгласно </w:t>
            </w:r>
            <w:r w:rsidRPr="003F3D71">
              <w:rPr>
                <w:rFonts w:cs="Times New Roman"/>
              </w:rPr>
              <w:t xml:space="preserve">Регламент (ЕС) № 1143/2014 на </w:t>
            </w:r>
            <w:r w:rsidR="007576EF" w:rsidRPr="00E02755">
              <w:rPr>
                <w:rFonts w:cs="Times New Roman"/>
              </w:rPr>
              <w:t>Е</w:t>
            </w:r>
            <w:r w:rsidR="00E02755" w:rsidRPr="00E02755">
              <w:rPr>
                <w:rFonts w:cs="Times New Roman"/>
              </w:rPr>
              <w:t xml:space="preserve">П е даден на следния линк: </w:t>
            </w:r>
            <w:hyperlink r:id="rId121" w:history="1">
              <w:r w:rsidRPr="00982D50">
                <w:rPr>
                  <w:rFonts w:cs="Times New Roman"/>
                </w:rPr>
                <w:t>https://www.moew.government.bg/bg/priroda/biologichno-raznoobrazie/nemestni-i-invazivni-chujdi-vidove/invazivni-chujdi-vidove/</w:t>
              </w:r>
            </w:hyperlink>
          </w:p>
        </w:tc>
        <w:tc>
          <w:tcPr>
            <w:tcW w:w="1084" w:type="pct"/>
            <w:shd w:val="clear" w:color="auto" w:fill="auto"/>
          </w:tcPr>
          <w:p w14:paraId="756C4CED" w14:textId="77777777" w:rsidR="00AB2292" w:rsidRPr="009F6D1E" w:rsidRDefault="00E02755" w:rsidP="00E02755">
            <w:pPr>
              <w:widowControl w:val="0"/>
              <w:spacing w:after="60" w:line="264" w:lineRule="auto"/>
              <w:ind w:left="80"/>
              <w:jc w:val="both"/>
              <w:rPr>
                <w:rFonts w:cs="Times New Roman"/>
              </w:rPr>
            </w:pPr>
            <w:r>
              <w:rPr>
                <w:rFonts w:cs="Times New Roman"/>
              </w:rPr>
              <w:t xml:space="preserve">Ще се избегне внасянето и разпространението на ИЧВ </w:t>
            </w:r>
          </w:p>
        </w:tc>
        <w:tc>
          <w:tcPr>
            <w:tcW w:w="946" w:type="pct"/>
          </w:tcPr>
          <w:p w14:paraId="56D022B2" w14:textId="77777777" w:rsidR="00E02755" w:rsidRPr="009F6D1E" w:rsidRDefault="00E02755" w:rsidP="00E02755">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Биоразнообразие</w:t>
            </w:r>
          </w:p>
          <w:p w14:paraId="09CFF796" w14:textId="77777777" w:rsidR="00E02755" w:rsidRPr="009F6D1E" w:rsidRDefault="00E02755" w:rsidP="00E02755">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Горски територии</w:t>
            </w:r>
          </w:p>
          <w:p w14:paraId="0A59DEB5" w14:textId="77777777" w:rsidR="00E02755" w:rsidRPr="009F6D1E" w:rsidRDefault="00E02755" w:rsidP="00E02755">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ЗТ</w:t>
            </w:r>
          </w:p>
          <w:p w14:paraId="34C1757C" w14:textId="77777777" w:rsidR="00AB2292" w:rsidRPr="009F6D1E" w:rsidRDefault="00AB2292" w:rsidP="00827FA3">
            <w:pPr>
              <w:widowControl w:val="0"/>
              <w:pBdr>
                <w:top w:val="nil"/>
                <w:left w:val="nil"/>
                <w:bottom w:val="nil"/>
                <w:right w:val="nil"/>
                <w:between w:val="nil"/>
                <w:bar w:val="nil"/>
              </w:pBdr>
              <w:spacing w:after="60" w:line="264" w:lineRule="auto"/>
              <w:ind w:left="80"/>
              <w:jc w:val="both"/>
              <w:rPr>
                <w:rFonts w:cs="Times New Roman"/>
              </w:rPr>
            </w:pPr>
          </w:p>
        </w:tc>
      </w:tr>
      <w:tr w:rsidR="00C03224" w:rsidRPr="009F6D1E" w14:paraId="50496575" w14:textId="77777777" w:rsidTr="00C03224">
        <w:trPr>
          <w:trHeight w:val="276"/>
        </w:trPr>
        <w:tc>
          <w:tcPr>
            <w:tcW w:w="5000" w:type="pct"/>
            <w:gridSpan w:val="3"/>
            <w:shd w:val="clear" w:color="auto" w:fill="auto"/>
          </w:tcPr>
          <w:p w14:paraId="7E1D977C" w14:textId="77777777" w:rsidR="00C03224" w:rsidRPr="009F6D1E" w:rsidRDefault="00C03224" w:rsidP="00C03224">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Натура 2000 (мерки, заложени в ДОСВ)</w:t>
            </w:r>
          </w:p>
        </w:tc>
      </w:tr>
      <w:tr w:rsidR="00C03224" w:rsidRPr="009F6D1E" w14:paraId="2945DE04" w14:textId="77777777" w:rsidTr="00AD646E">
        <w:trPr>
          <w:trHeight w:val="276"/>
        </w:trPr>
        <w:tc>
          <w:tcPr>
            <w:tcW w:w="2969" w:type="pct"/>
            <w:shd w:val="clear" w:color="auto" w:fill="auto"/>
          </w:tcPr>
          <w:p w14:paraId="2AC62B9F" w14:textId="77777777" w:rsidR="00C03224" w:rsidRPr="009F6D1E" w:rsidRDefault="00C03224" w:rsidP="00C03224">
            <w:pPr>
              <w:widowControl w:val="0"/>
              <w:spacing w:after="60" w:line="264" w:lineRule="auto"/>
              <w:ind w:left="80"/>
              <w:jc w:val="both"/>
              <w:rPr>
                <w:rFonts w:cs="Times New Roman"/>
              </w:rPr>
            </w:pPr>
            <w:r w:rsidRPr="009F6D1E">
              <w:rPr>
                <w:rFonts w:cs="Times New Roman"/>
              </w:rPr>
              <w:t xml:space="preserve">Конкретни мерки за всяка 33 са заложени в Таблица </w:t>
            </w:r>
            <w:r w:rsidRPr="009F6D1E">
              <w:rPr>
                <w:rFonts w:cs="Times New Roman"/>
              </w:rPr>
              <w:lastRenderedPageBreak/>
              <w:t>5.5.1 на ДОСВ</w:t>
            </w:r>
          </w:p>
        </w:tc>
        <w:tc>
          <w:tcPr>
            <w:tcW w:w="1084" w:type="pct"/>
            <w:shd w:val="clear" w:color="auto" w:fill="auto"/>
          </w:tcPr>
          <w:p w14:paraId="0F843EBE" w14:textId="77777777" w:rsidR="00C03224" w:rsidRPr="009F6D1E" w:rsidRDefault="00C03224" w:rsidP="00C03224">
            <w:pPr>
              <w:widowControl w:val="0"/>
              <w:spacing w:after="60" w:line="264" w:lineRule="auto"/>
              <w:ind w:left="80"/>
              <w:jc w:val="both"/>
              <w:rPr>
                <w:rFonts w:cs="Times New Roman"/>
              </w:rPr>
            </w:pPr>
            <w:r w:rsidRPr="009F6D1E">
              <w:rPr>
                <w:rFonts w:cs="Times New Roman"/>
              </w:rPr>
              <w:lastRenderedPageBreak/>
              <w:t xml:space="preserve">Опазване на биоразнообразието </w:t>
            </w:r>
            <w:r w:rsidRPr="009F6D1E">
              <w:rPr>
                <w:rFonts w:cs="Times New Roman"/>
              </w:rPr>
              <w:lastRenderedPageBreak/>
              <w:t>и ЗТ</w:t>
            </w:r>
          </w:p>
        </w:tc>
        <w:tc>
          <w:tcPr>
            <w:tcW w:w="946" w:type="pct"/>
          </w:tcPr>
          <w:p w14:paraId="5F67B98A" w14:textId="77777777" w:rsidR="00C03224" w:rsidRPr="009F6D1E" w:rsidRDefault="00C03224" w:rsidP="00C03224">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lastRenderedPageBreak/>
              <w:t>Биоразнообрази</w:t>
            </w:r>
            <w:r w:rsidRPr="009F6D1E">
              <w:rPr>
                <w:rFonts w:cs="Times New Roman"/>
              </w:rPr>
              <w:lastRenderedPageBreak/>
              <w:t>е и ЗТ</w:t>
            </w:r>
          </w:p>
        </w:tc>
      </w:tr>
      <w:tr w:rsidR="00DB37E0" w:rsidRPr="009F6D1E" w14:paraId="0C2D2B2A" w14:textId="77777777" w:rsidTr="00DB37E0">
        <w:trPr>
          <w:trHeight w:val="276"/>
        </w:trPr>
        <w:tc>
          <w:tcPr>
            <w:tcW w:w="5000" w:type="pct"/>
            <w:gridSpan w:val="3"/>
            <w:shd w:val="clear" w:color="auto" w:fill="auto"/>
          </w:tcPr>
          <w:p w14:paraId="78631518" w14:textId="77777777" w:rsidR="00DB37E0" w:rsidRPr="009F6D1E" w:rsidRDefault="00DB37E0" w:rsidP="00DB37E0">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lastRenderedPageBreak/>
              <w:t>Материални активи</w:t>
            </w:r>
          </w:p>
        </w:tc>
      </w:tr>
      <w:tr w:rsidR="00DB37E0" w:rsidRPr="009F6D1E" w14:paraId="7ABC16A8" w14:textId="77777777" w:rsidTr="00AD646E">
        <w:trPr>
          <w:trHeight w:val="276"/>
        </w:trPr>
        <w:tc>
          <w:tcPr>
            <w:tcW w:w="2969" w:type="pct"/>
            <w:shd w:val="clear" w:color="auto" w:fill="auto"/>
          </w:tcPr>
          <w:p w14:paraId="3BDD9E09" w14:textId="77777777" w:rsidR="00DB37E0" w:rsidRPr="009F6D1E" w:rsidRDefault="00940FC6" w:rsidP="00940FC6">
            <w:pPr>
              <w:widowControl w:val="0"/>
              <w:spacing w:after="60" w:line="264" w:lineRule="auto"/>
              <w:ind w:left="80"/>
              <w:jc w:val="both"/>
              <w:rPr>
                <w:rFonts w:cs="Times New Roman"/>
              </w:rPr>
            </w:pPr>
            <w:r w:rsidRPr="009F6D1E">
              <w:rPr>
                <w:rFonts w:cs="Times New Roman"/>
              </w:rPr>
              <w:t>В случай, че се предвижда изграждане на ново или изменения в съществуващо предприятие и/или съоръжение с нисък или висок рисков потенциал, същото да става при спазване на изискванията на действащото в страната законодателство, свързано с управлението на ОХВС.</w:t>
            </w:r>
          </w:p>
        </w:tc>
        <w:tc>
          <w:tcPr>
            <w:tcW w:w="1084" w:type="pct"/>
            <w:shd w:val="clear" w:color="auto" w:fill="auto"/>
          </w:tcPr>
          <w:p w14:paraId="40048674" w14:textId="77777777" w:rsidR="00940FC6" w:rsidRPr="009F6D1E" w:rsidRDefault="00940FC6" w:rsidP="00940FC6">
            <w:pPr>
              <w:widowControl w:val="0"/>
              <w:spacing w:after="60" w:line="264" w:lineRule="auto"/>
              <w:ind w:left="80"/>
              <w:jc w:val="both"/>
              <w:rPr>
                <w:rFonts w:cs="Times New Roman"/>
              </w:rPr>
            </w:pPr>
            <w:r w:rsidRPr="009F6D1E">
              <w:rPr>
                <w:rFonts w:cs="Times New Roman"/>
              </w:rPr>
              <w:t>Недопускане на рискове, свързани с големи аварии с опасни химични вещества.</w:t>
            </w:r>
          </w:p>
          <w:p w14:paraId="08A6D90D" w14:textId="77777777" w:rsidR="00DB37E0" w:rsidRPr="009F6D1E" w:rsidRDefault="00DB37E0" w:rsidP="00940FC6">
            <w:pPr>
              <w:widowControl w:val="0"/>
              <w:spacing w:after="60" w:line="264" w:lineRule="auto"/>
              <w:ind w:left="80"/>
              <w:jc w:val="both"/>
              <w:rPr>
                <w:rFonts w:cs="Times New Roman"/>
              </w:rPr>
            </w:pPr>
          </w:p>
        </w:tc>
        <w:tc>
          <w:tcPr>
            <w:tcW w:w="946" w:type="pct"/>
          </w:tcPr>
          <w:p w14:paraId="03E17116" w14:textId="77777777" w:rsidR="00DB37E0" w:rsidRPr="009F6D1E" w:rsidRDefault="00940FC6"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ОХВС</w:t>
            </w:r>
          </w:p>
        </w:tc>
      </w:tr>
      <w:tr w:rsidR="00DB37E0" w:rsidRPr="009F6D1E" w14:paraId="439F305F" w14:textId="77777777" w:rsidTr="00DB37E0">
        <w:trPr>
          <w:trHeight w:val="276"/>
        </w:trPr>
        <w:tc>
          <w:tcPr>
            <w:tcW w:w="5000" w:type="pct"/>
            <w:gridSpan w:val="3"/>
            <w:shd w:val="clear" w:color="auto" w:fill="auto"/>
          </w:tcPr>
          <w:p w14:paraId="1CBE17AE" w14:textId="77777777" w:rsidR="00DB37E0" w:rsidRPr="009F6D1E" w:rsidRDefault="00DB37E0" w:rsidP="00DB37E0">
            <w:pPr>
              <w:widowControl w:val="0"/>
              <w:pBdr>
                <w:top w:val="nil"/>
                <w:left w:val="nil"/>
                <w:bottom w:val="nil"/>
                <w:right w:val="nil"/>
                <w:between w:val="nil"/>
                <w:bar w:val="nil"/>
              </w:pBdr>
              <w:spacing w:after="60" w:line="264" w:lineRule="auto"/>
              <w:jc w:val="both"/>
              <w:rPr>
                <w:rFonts w:cs="Times New Roman"/>
              </w:rPr>
            </w:pPr>
            <w:r w:rsidRPr="009F6D1E">
              <w:rPr>
                <w:rFonts w:cs="Times New Roman"/>
                <w:b/>
                <w:bCs/>
                <w:szCs w:val="24"/>
              </w:rPr>
              <w:t>Население и човешко здраве</w:t>
            </w:r>
          </w:p>
        </w:tc>
      </w:tr>
      <w:tr w:rsidR="00DB37E0" w:rsidRPr="009F6D1E" w14:paraId="58569E9A" w14:textId="77777777" w:rsidTr="00AD646E">
        <w:trPr>
          <w:trHeight w:val="276"/>
        </w:trPr>
        <w:tc>
          <w:tcPr>
            <w:tcW w:w="2969" w:type="pct"/>
            <w:shd w:val="clear" w:color="auto" w:fill="auto"/>
          </w:tcPr>
          <w:p w14:paraId="4D0F9543" w14:textId="77777777" w:rsidR="00DB37E0" w:rsidRPr="009F6D1E" w:rsidRDefault="00800102" w:rsidP="00800102">
            <w:pPr>
              <w:widowControl w:val="0"/>
              <w:spacing w:after="60" w:line="264" w:lineRule="auto"/>
              <w:ind w:left="80"/>
              <w:jc w:val="both"/>
              <w:rPr>
                <w:rFonts w:eastAsia="Calibri" w:cs="Times New Roman"/>
                <w:iCs/>
              </w:rPr>
            </w:pPr>
            <w:r w:rsidRPr="009F6D1E">
              <w:rPr>
                <w:rFonts w:cs="Times New Roman"/>
              </w:rPr>
              <w:t>При планиране и изпълнение на инвестиционни предложения местоположението им да бъде съобразявано със действащите териториално–устройствени решения и предвиждания за развитието на населените места, и да не се допуска изпълнението да доведе до отрицателно въздействие върху жилищни зони, зони за отдих и спорт, рекреационни и курортни зони и други обекти подлежащи на здравна защита</w:t>
            </w:r>
            <w:r w:rsidRPr="009F6D1E">
              <w:rPr>
                <w:rFonts w:eastAsia="Calibri"/>
                <w:iCs/>
              </w:rPr>
              <w:t>.</w:t>
            </w:r>
          </w:p>
        </w:tc>
        <w:tc>
          <w:tcPr>
            <w:tcW w:w="1084" w:type="pct"/>
            <w:shd w:val="clear" w:color="auto" w:fill="auto"/>
          </w:tcPr>
          <w:p w14:paraId="69DE02A1" w14:textId="77777777" w:rsidR="00800102" w:rsidRPr="009F6D1E" w:rsidRDefault="00800102" w:rsidP="00800102">
            <w:pPr>
              <w:widowControl w:val="0"/>
              <w:spacing w:after="60" w:line="264" w:lineRule="auto"/>
              <w:ind w:left="80"/>
              <w:jc w:val="both"/>
              <w:rPr>
                <w:rFonts w:cs="Times New Roman"/>
              </w:rPr>
            </w:pPr>
            <w:r w:rsidRPr="009F6D1E">
              <w:rPr>
                <w:rFonts w:cs="Times New Roman"/>
              </w:rPr>
              <w:t>Предотвратяване на рискове и опазване на населението и човешкото здраве.</w:t>
            </w:r>
          </w:p>
          <w:p w14:paraId="0517CBC9" w14:textId="77777777" w:rsidR="00DB37E0" w:rsidRPr="009F6D1E" w:rsidRDefault="00DB37E0" w:rsidP="00827FA3">
            <w:pPr>
              <w:widowControl w:val="0"/>
              <w:spacing w:after="60" w:line="264" w:lineRule="auto"/>
              <w:ind w:left="80"/>
              <w:jc w:val="both"/>
              <w:rPr>
                <w:rFonts w:cs="Times New Roman"/>
              </w:rPr>
            </w:pPr>
          </w:p>
        </w:tc>
        <w:tc>
          <w:tcPr>
            <w:tcW w:w="946" w:type="pct"/>
          </w:tcPr>
          <w:p w14:paraId="7CF183B4" w14:textId="77777777" w:rsidR="00DB37E0" w:rsidRPr="009F6D1E" w:rsidRDefault="00800102" w:rsidP="00827FA3">
            <w:pPr>
              <w:widowControl w:val="0"/>
              <w:pBdr>
                <w:top w:val="nil"/>
                <w:left w:val="nil"/>
                <w:bottom w:val="nil"/>
                <w:right w:val="nil"/>
                <w:between w:val="nil"/>
                <w:bar w:val="nil"/>
              </w:pBdr>
              <w:spacing w:after="60" w:line="264" w:lineRule="auto"/>
              <w:ind w:left="80"/>
              <w:jc w:val="both"/>
              <w:rPr>
                <w:rFonts w:cs="Times New Roman"/>
              </w:rPr>
            </w:pPr>
            <w:r w:rsidRPr="009F6D1E">
              <w:rPr>
                <w:rFonts w:cs="Times New Roman"/>
              </w:rPr>
              <w:t>Население и човешко здраве.</w:t>
            </w:r>
          </w:p>
        </w:tc>
      </w:tr>
    </w:tbl>
    <w:p w14:paraId="7B77C152" w14:textId="77777777" w:rsidR="009F6D1E" w:rsidRPr="009F6D1E" w:rsidRDefault="009F6D1E" w:rsidP="009F6D1E">
      <w:pPr>
        <w:spacing w:line="264" w:lineRule="auto"/>
        <w:ind w:firstLine="709"/>
        <w:contextualSpacing/>
        <w:jc w:val="both"/>
        <w:rPr>
          <w:rFonts w:cs="Times New Roman"/>
          <w:szCs w:val="24"/>
        </w:rPr>
      </w:pPr>
    </w:p>
    <w:p w14:paraId="3C4053BC" w14:textId="77777777" w:rsidR="00471E9F" w:rsidRPr="009F6D1E" w:rsidRDefault="00471E9F">
      <w:pPr>
        <w:pStyle w:val="Heading1"/>
        <w:numPr>
          <w:ilvl w:val="0"/>
          <w:numId w:val="87"/>
        </w:numPr>
        <w:shd w:val="clear" w:color="auto" w:fill="DBDBDB" w:themeFill="accent3" w:themeFillTint="66"/>
        <w:tabs>
          <w:tab w:val="clear" w:pos="742"/>
        </w:tabs>
        <w:spacing w:before="0" w:after="60" w:line="264" w:lineRule="auto"/>
        <w:ind w:left="0" w:firstLine="0"/>
        <w:rPr>
          <w:sz w:val="24"/>
          <w:szCs w:val="24"/>
        </w:rPr>
      </w:pPr>
      <w:bookmarkStart w:id="629" w:name="_Toc97639512"/>
      <w:bookmarkStart w:id="630" w:name="_Toc115255052"/>
      <w:r w:rsidRPr="009F6D1E">
        <w:rPr>
          <w:sz w:val="24"/>
          <w:szCs w:val="24"/>
        </w:rPr>
        <w:t>ОПИСАНИЕ НА МОТИВИТЕ ЗА ИЗБОР НА РАЗГЛЕДАНИТЕ АЛТЕРНАТИВИ И НА МЕТОДИТЕ НА ИЗВЪРШВАНЕ НА ЕКОЛОГИЧНА ОЦЕНКА, ВКЛЮЧИТЕЛНО ТРУДНОСТИТЕ ПРИ СЪБИРАНЕ НА НЕОБХОДИМАТА ЗА ТОВА ИНФОРМАЦИЯ, КАТО ТЕХНИЧЕСКИ НЕДОСТАТЪЦИ И ЛИПСА НА НОУ-ХАУ</w:t>
      </w:r>
      <w:bookmarkEnd w:id="629"/>
      <w:bookmarkEnd w:id="630"/>
    </w:p>
    <w:p w14:paraId="0AD93156" w14:textId="77777777" w:rsidR="005449C0" w:rsidRPr="009F6D1E" w:rsidRDefault="005449C0" w:rsidP="0084747F">
      <w:pPr>
        <w:spacing w:after="60" w:line="264" w:lineRule="auto"/>
        <w:contextualSpacing/>
        <w:jc w:val="both"/>
        <w:rPr>
          <w:rFonts w:eastAsia="Calibri" w:cs="Times New Roman"/>
          <w:b/>
          <w:bCs/>
          <w:i/>
          <w:iCs/>
          <w:szCs w:val="24"/>
        </w:rPr>
      </w:pPr>
    </w:p>
    <w:p w14:paraId="49466225" w14:textId="77777777" w:rsidR="00471E9F" w:rsidRPr="009F6D1E" w:rsidRDefault="00471E9F">
      <w:pPr>
        <w:pStyle w:val="ListParagraph"/>
        <w:keepNext/>
        <w:keepLines/>
        <w:numPr>
          <w:ilvl w:val="1"/>
          <w:numId w:val="87"/>
        </w:numPr>
        <w:shd w:val="clear" w:color="auto" w:fill="E2EFD9" w:themeFill="accent6" w:themeFillTint="33"/>
        <w:spacing w:after="60" w:line="264" w:lineRule="auto"/>
        <w:ind w:left="0" w:firstLine="0"/>
        <w:jc w:val="both"/>
        <w:outlineLvl w:val="1"/>
        <w:rPr>
          <w:rFonts w:eastAsia="Times New Roman"/>
          <w:b/>
          <w:i/>
          <w:lang w:val="bg-BG"/>
        </w:rPr>
      </w:pPr>
      <w:bookmarkStart w:id="631" w:name="_Toc115255053"/>
      <w:r w:rsidRPr="009F6D1E">
        <w:rPr>
          <w:rFonts w:eastAsia="Times New Roman"/>
          <w:b/>
          <w:i/>
          <w:lang w:val="bg-BG"/>
        </w:rPr>
        <w:t>Мотиви за избор на разгледаните алтернативи</w:t>
      </w:r>
      <w:bookmarkEnd w:id="631"/>
    </w:p>
    <w:p w14:paraId="2C2FFE3C"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t xml:space="preserve">Изготвянето на </w:t>
      </w:r>
      <w:r w:rsidR="00CD4045" w:rsidRPr="009F6D1E">
        <w:rPr>
          <w:rFonts w:cs="Times New Roman"/>
          <w:szCs w:val="24"/>
        </w:rPr>
        <w:t>СПРЗСР</w:t>
      </w:r>
      <w:r w:rsidRPr="009F6D1E">
        <w:rPr>
          <w:rFonts w:cs="Times New Roman"/>
          <w:szCs w:val="24"/>
        </w:rPr>
        <w:t xml:space="preserve"> 2023-2027 включва разработване на различни варианти (версии) на Стратегическия план. Окончателният проект на </w:t>
      </w:r>
      <w:r w:rsidR="00CD4045" w:rsidRPr="009F6D1E">
        <w:rPr>
          <w:rFonts w:cs="Times New Roman"/>
          <w:szCs w:val="24"/>
        </w:rPr>
        <w:t>СПРЗСР</w:t>
      </w:r>
      <w:r w:rsidRPr="009F6D1E">
        <w:rPr>
          <w:rFonts w:cs="Times New Roman"/>
          <w:szCs w:val="24"/>
        </w:rPr>
        <w:t xml:space="preserve"> 2023-2027г., изпратен в ЕК на 25.02.2022г.  след обществени консултации,  представлява изискваната от Директива 2001/42/EО алтернативна опция и същият е подложен на детайлна оценка в настоящия ДЕО.</w:t>
      </w:r>
    </w:p>
    <w:p w14:paraId="483900A3"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t>Към момента са разработени 2 проектни варианта на Стратегическия план, разгледани в рамките на Тематичната работна група, както следва:</w:t>
      </w:r>
    </w:p>
    <w:p w14:paraId="4DDA59E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Версия 1 – разработена към  10.04.2021г., по която е изготвено заданието за обхват на ЕО</w:t>
      </w:r>
    </w:p>
    <w:p w14:paraId="4CB9152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Първи вариант – одобрен от МС на 24.02.2022г., изпратен в ЕК на 25.02.2022г. и публикуван на 01.03.2022г., който е подложен на детайлна оценка в настоящия ДЕО.</w:t>
      </w:r>
    </w:p>
    <w:p w14:paraId="736DE94F"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t>Предвижданията по двата документа са представени в т.3.3 на настоящия ДЕО.</w:t>
      </w:r>
    </w:p>
    <w:p w14:paraId="5A9C81F8"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lastRenderedPageBreak/>
        <w:t xml:space="preserve">Анализът на „нулевата алтернатива“ (“съществуващо състояние”), направен в т.4.2 на ДЕО показва, че тя е с по-неблагоприятно въздействие от алтернативата за реализиране на </w:t>
      </w:r>
      <w:r w:rsidR="00CD4045" w:rsidRPr="009F6D1E">
        <w:rPr>
          <w:rFonts w:cs="Times New Roman"/>
          <w:szCs w:val="24"/>
        </w:rPr>
        <w:t>СПРЗСР</w:t>
      </w:r>
      <w:r w:rsidRPr="009F6D1E">
        <w:rPr>
          <w:rFonts w:cs="Times New Roman"/>
          <w:szCs w:val="24"/>
        </w:rPr>
        <w:t>.</w:t>
      </w:r>
    </w:p>
    <w:p w14:paraId="4132F41D"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t xml:space="preserve">Алтернативата за реализиране на </w:t>
      </w:r>
      <w:bookmarkStart w:id="632" w:name="_Hlk106626824"/>
      <w:r w:rsidR="00CD4045" w:rsidRPr="009F6D1E">
        <w:rPr>
          <w:rFonts w:cs="Times New Roman"/>
          <w:szCs w:val="24"/>
        </w:rPr>
        <w:t>СПРЗСР</w:t>
      </w:r>
      <w:r w:rsidRPr="009F6D1E">
        <w:rPr>
          <w:rFonts w:cs="Times New Roman"/>
          <w:szCs w:val="24"/>
        </w:rPr>
        <w:t xml:space="preserve"> 2023-2027г.</w:t>
      </w:r>
      <w:bookmarkEnd w:id="632"/>
      <w:r w:rsidRPr="009F6D1E">
        <w:rPr>
          <w:rFonts w:cs="Times New Roman"/>
          <w:szCs w:val="24"/>
        </w:rPr>
        <w:t xml:space="preserve">, е като цяло с комплексно положително въздействие върху околната среда, в т.ч. върху населението и човешкото здраве, тъй като допустимите потребности и интервенции са с преобладаваща екологична насоченост, в т.ч. допринасят за постигане на цели по опазване на околната среда на национално и международно ниво. Независимо от това, с цел предотвратяване на възможно негативно въздействие при прилагането на някои от допустимите дейности по Стратегическия план, са препоръчани мерки в т. 9 на ДЕО, обвързани с опазването на околната среда, вкл. населението и човешкото здраве. </w:t>
      </w:r>
    </w:p>
    <w:p w14:paraId="5ACBE163" w14:textId="77777777" w:rsidR="0091039F" w:rsidRPr="009F6D1E" w:rsidRDefault="0091039F" w:rsidP="0091039F">
      <w:pPr>
        <w:spacing w:after="60" w:line="264" w:lineRule="auto"/>
        <w:ind w:firstLine="709"/>
        <w:contextualSpacing/>
        <w:jc w:val="both"/>
        <w:rPr>
          <w:rFonts w:cs="Times New Roman"/>
          <w:szCs w:val="24"/>
        </w:rPr>
      </w:pPr>
      <w:r w:rsidRPr="009F6D1E">
        <w:rPr>
          <w:rFonts w:cs="Times New Roman"/>
          <w:szCs w:val="24"/>
        </w:rPr>
        <w:t xml:space="preserve">Въз основа на изложения анализ алтернативата за реализиране на </w:t>
      </w:r>
      <w:r w:rsidR="00CD4045" w:rsidRPr="009F6D1E">
        <w:rPr>
          <w:rFonts w:cs="Times New Roman"/>
          <w:szCs w:val="24"/>
        </w:rPr>
        <w:t>СПРЗСР</w:t>
      </w:r>
      <w:r w:rsidRPr="009F6D1E">
        <w:rPr>
          <w:rFonts w:cs="Times New Roman"/>
          <w:szCs w:val="24"/>
        </w:rPr>
        <w:t xml:space="preserve"> 2023-2027г.,е предпочитана пред нулевата алтернатива.</w:t>
      </w:r>
    </w:p>
    <w:p w14:paraId="5A927F89" w14:textId="77777777" w:rsidR="002831ED" w:rsidRPr="009F6D1E" w:rsidRDefault="002831ED" w:rsidP="0091039F">
      <w:pPr>
        <w:spacing w:after="60" w:line="264" w:lineRule="auto"/>
        <w:ind w:firstLine="709"/>
        <w:contextualSpacing/>
        <w:jc w:val="both"/>
        <w:rPr>
          <w:rFonts w:cs="Times New Roman"/>
          <w:szCs w:val="24"/>
        </w:rPr>
      </w:pPr>
    </w:p>
    <w:p w14:paraId="41338C2D" w14:textId="77777777" w:rsidR="00471E9F" w:rsidRPr="009F6D1E" w:rsidRDefault="00471E9F">
      <w:pPr>
        <w:pStyle w:val="ListParagraph"/>
        <w:keepNext/>
        <w:keepLines/>
        <w:numPr>
          <w:ilvl w:val="1"/>
          <w:numId w:val="87"/>
        </w:numPr>
        <w:shd w:val="clear" w:color="auto" w:fill="E2EFD9" w:themeFill="accent6" w:themeFillTint="33"/>
        <w:spacing w:after="60" w:line="264" w:lineRule="auto"/>
        <w:ind w:left="0" w:firstLine="0"/>
        <w:jc w:val="both"/>
        <w:outlineLvl w:val="1"/>
        <w:rPr>
          <w:rFonts w:eastAsia="Times New Roman"/>
          <w:b/>
          <w:i/>
          <w:lang w:val="bg-BG"/>
        </w:rPr>
      </w:pPr>
      <w:bookmarkStart w:id="633" w:name="_Toc115255054"/>
      <w:r w:rsidRPr="009F6D1E">
        <w:rPr>
          <w:rFonts w:eastAsia="Times New Roman"/>
          <w:b/>
          <w:i/>
          <w:lang w:val="bg-BG"/>
        </w:rPr>
        <w:t>Методи на извършване на екологичната оценка</w:t>
      </w:r>
      <w:bookmarkEnd w:id="633"/>
    </w:p>
    <w:p w14:paraId="71957947" w14:textId="77777777" w:rsidR="008212B6" w:rsidRPr="009F6D1E" w:rsidRDefault="008212B6" w:rsidP="0084747F">
      <w:pPr>
        <w:pStyle w:val="ListParagraph"/>
        <w:autoSpaceDE w:val="0"/>
        <w:autoSpaceDN w:val="0"/>
        <w:adjustRightInd w:val="0"/>
        <w:spacing w:after="60" w:line="264" w:lineRule="auto"/>
        <w:ind w:left="1440"/>
        <w:jc w:val="both"/>
        <w:rPr>
          <w:highlight w:val="cyan"/>
          <w:lang w:val="bg-BG"/>
        </w:rPr>
      </w:pPr>
    </w:p>
    <w:p w14:paraId="0E5A9E52" w14:textId="77777777" w:rsidR="0091039F" w:rsidRPr="009F6D1E" w:rsidRDefault="0091039F" w:rsidP="0091039F">
      <w:pPr>
        <w:spacing w:after="60" w:line="264" w:lineRule="auto"/>
        <w:ind w:firstLine="720"/>
        <w:contextualSpacing/>
        <w:jc w:val="both"/>
        <w:rPr>
          <w:rFonts w:eastAsia="Calibri" w:cs="Times New Roman"/>
          <w:szCs w:val="24"/>
        </w:rPr>
      </w:pPr>
      <w:r w:rsidRPr="009F6D1E">
        <w:rPr>
          <w:rFonts w:eastAsia="Calibri" w:cs="Times New Roman"/>
          <w:szCs w:val="24"/>
        </w:rPr>
        <w:t xml:space="preserve">Основните </w:t>
      </w:r>
      <w:r w:rsidRPr="009F6D1E">
        <w:rPr>
          <w:rFonts w:eastAsia="Calibri" w:cs="Times New Roman"/>
          <w:b/>
          <w:szCs w:val="24"/>
        </w:rPr>
        <w:t>методически документи</w:t>
      </w:r>
      <w:r w:rsidRPr="009F6D1E">
        <w:rPr>
          <w:rFonts w:eastAsia="Calibri" w:cs="Times New Roman"/>
          <w:szCs w:val="24"/>
        </w:rPr>
        <w:t>, които ползвани, са следните указания и методики:</w:t>
      </w:r>
    </w:p>
    <w:p w14:paraId="45785747"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Guidance</w:t>
      </w:r>
      <w:proofErr w:type="spellEnd"/>
      <w:r w:rsidRPr="009F6D1E">
        <w:rPr>
          <w:rFonts w:cs="Times New Roman"/>
          <w:szCs w:val="24"/>
        </w:rPr>
        <w:t xml:space="preserve">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implementation</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Directive</w:t>
      </w:r>
      <w:proofErr w:type="spellEnd"/>
      <w:r w:rsidRPr="009F6D1E">
        <w:rPr>
          <w:rFonts w:cs="Times New Roman"/>
          <w:szCs w:val="24"/>
        </w:rPr>
        <w:t xml:space="preserve"> 2001/42/EC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assessment</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effects</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certain</w:t>
      </w:r>
      <w:proofErr w:type="spellEnd"/>
      <w:r w:rsidRPr="009F6D1E">
        <w:rPr>
          <w:rFonts w:cs="Times New Roman"/>
          <w:szCs w:val="24"/>
        </w:rPr>
        <w:t xml:space="preserve"> </w:t>
      </w:r>
      <w:proofErr w:type="spellStart"/>
      <w:r w:rsidRPr="009F6D1E">
        <w:rPr>
          <w:rFonts w:cs="Times New Roman"/>
          <w:szCs w:val="24"/>
        </w:rPr>
        <w:t>plans</w:t>
      </w:r>
      <w:proofErr w:type="spellEnd"/>
      <w:r w:rsidRPr="009F6D1E">
        <w:rPr>
          <w:rFonts w:cs="Times New Roman"/>
          <w:szCs w:val="24"/>
        </w:rPr>
        <w:t xml:space="preserve"> </w:t>
      </w:r>
      <w:proofErr w:type="spellStart"/>
      <w:r w:rsidRPr="009F6D1E">
        <w:rPr>
          <w:rFonts w:cs="Times New Roman"/>
          <w:szCs w:val="24"/>
        </w:rPr>
        <w:t>and</w:t>
      </w:r>
      <w:proofErr w:type="spellEnd"/>
      <w:r w:rsidRPr="009F6D1E">
        <w:rPr>
          <w:rFonts w:cs="Times New Roman"/>
          <w:szCs w:val="24"/>
        </w:rPr>
        <w:t xml:space="preserve"> </w:t>
      </w:r>
      <w:proofErr w:type="spellStart"/>
      <w:r w:rsidRPr="009F6D1E">
        <w:rPr>
          <w:rFonts w:cs="Times New Roman"/>
          <w:szCs w:val="24"/>
        </w:rPr>
        <w:t>programmes</w:t>
      </w:r>
      <w:proofErr w:type="spellEnd"/>
      <w:r w:rsidRPr="009F6D1E">
        <w:rPr>
          <w:rFonts w:cs="Times New Roman"/>
          <w:szCs w:val="24"/>
        </w:rPr>
        <w:t xml:space="preserve">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environment</w:t>
      </w:r>
      <w:proofErr w:type="spellEnd"/>
      <w:r w:rsidRPr="009F6D1E">
        <w:rPr>
          <w:rFonts w:cs="Times New Roman"/>
          <w:szCs w:val="24"/>
        </w:rPr>
        <w:t xml:space="preserve"> - </w:t>
      </w:r>
      <w:proofErr w:type="spellStart"/>
      <w:r w:rsidRPr="009F6D1E">
        <w:rPr>
          <w:rFonts w:cs="Times New Roman"/>
          <w:szCs w:val="24"/>
        </w:rPr>
        <w:t>European</w:t>
      </w:r>
      <w:proofErr w:type="spellEnd"/>
      <w:r w:rsidRPr="009F6D1E">
        <w:rPr>
          <w:rFonts w:cs="Times New Roman"/>
          <w:szCs w:val="24"/>
        </w:rPr>
        <w:t xml:space="preserve"> </w:t>
      </w:r>
      <w:proofErr w:type="spellStart"/>
      <w:r w:rsidRPr="009F6D1E">
        <w:rPr>
          <w:rFonts w:cs="Times New Roman"/>
          <w:szCs w:val="24"/>
        </w:rPr>
        <w:t>Commission</w:t>
      </w:r>
      <w:proofErr w:type="spellEnd"/>
      <w:r w:rsidRPr="009F6D1E">
        <w:rPr>
          <w:rFonts w:cs="Times New Roman"/>
          <w:szCs w:val="24"/>
        </w:rPr>
        <w:t xml:space="preserve"> </w:t>
      </w:r>
      <w:r w:rsidRPr="009F6D1E">
        <w:rPr>
          <w:rFonts w:cs="Times New Roman"/>
          <w:szCs w:val="24"/>
        </w:rPr>
        <w:footnoteReference w:id="75"/>
      </w:r>
      <w:r w:rsidRPr="009F6D1E">
        <w:rPr>
          <w:rFonts w:cs="Times New Roman"/>
          <w:szCs w:val="24"/>
        </w:rPr>
        <w:t xml:space="preserve">– DG </w:t>
      </w:r>
      <w:proofErr w:type="spellStart"/>
      <w:r w:rsidRPr="009F6D1E">
        <w:rPr>
          <w:rFonts w:cs="Times New Roman"/>
          <w:szCs w:val="24"/>
        </w:rPr>
        <w:t>Environment</w:t>
      </w:r>
      <w:proofErr w:type="spellEnd"/>
      <w:r w:rsidRPr="009F6D1E">
        <w:rPr>
          <w:rFonts w:cs="Times New Roman"/>
          <w:szCs w:val="24"/>
        </w:rPr>
        <w:t>;</w:t>
      </w:r>
    </w:p>
    <w:p w14:paraId="34B90E11"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Guidance</w:t>
      </w:r>
      <w:proofErr w:type="spellEnd"/>
      <w:r w:rsidRPr="009F6D1E">
        <w:rPr>
          <w:rFonts w:cs="Times New Roman"/>
          <w:szCs w:val="24"/>
        </w:rPr>
        <w:t xml:space="preserve">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Integrating</w:t>
      </w:r>
      <w:proofErr w:type="spellEnd"/>
      <w:r w:rsidRPr="009F6D1E">
        <w:rPr>
          <w:rFonts w:cs="Times New Roman"/>
          <w:szCs w:val="24"/>
        </w:rPr>
        <w:t xml:space="preserve"> </w:t>
      </w:r>
      <w:proofErr w:type="spellStart"/>
      <w:r w:rsidRPr="009F6D1E">
        <w:rPr>
          <w:rFonts w:cs="Times New Roman"/>
          <w:szCs w:val="24"/>
        </w:rPr>
        <w:t>Climate</w:t>
      </w:r>
      <w:proofErr w:type="spellEnd"/>
      <w:r w:rsidRPr="009F6D1E">
        <w:rPr>
          <w:rFonts w:cs="Times New Roman"/>
          <w:szCs w:val="24"/>
        </w:rPr>
        <w:t xml:space="preserve"> </w:t>
      </w:r>
      <w:proofErr w:type="spellStart"/>
      <w:r w:rsidRPr="009F6D1E">
        <w:rPr>
          <w:rFonts w:cs="Times New Roman"/>
          <w:szCs w:val="24"/>
        </w:rPr>
        <w:t>Change</w:t>
      </w:r>
      <w:proofErr w:type="spellEnd"/>
      <w:r w:rsidRPr="009F6D1E">
        <w:rPr>
          <w:rFonts w:cs="Times New Roman"/>
          <w:szCs w:val="24"/>
        </w:rPr>
        <w:t xml:space="preserve"> </w:t>
      </w:r>
      <w:proofErr w:type="spellStart"/>
      <w:r w:rsidRPr="009F6D1E">
        <w:rPr>
          <w:rFonts w:cs="Times New Roman"/>
          <w:szCs w:val="24"/>
        </w:rPr>
        <w:t>and</w:t>
      </w:r>
      <w:proofErr w:type="spellEnd"/>
      <w:r w:rsidRPr="009F6D1E">
        <w:rPr>
          <w:rFonts w:cs="Times New Roman"/>
          <w:szCs w:val="24"/>
        </w:rPr>
        <w:t xml:space="preserve"> </w:t>
      </w:r>
      <w:proofErr w:type="spellStart"/>
      <w:r w:rsidRPr="009F6D1E">
        <w:rPr>
          <w:rFonts w:cs="Times New Roman"/>
          <w:szCs w:val="24"/>
        </w:rPr>
        <w:t>Biodiversity</w:t>
      </w:r>
      <w:proofErr w:type="spellEnd"/>
      <w:r w:rsidRPr="009F6D1E">
        <w:rPr>
          <w:rFonts w:cs="Times New Roman"/>
          <w:szCs w:val="24"/>
        </w:rPr>
        <w:t xml:space="preserve"> </w:t>
      </w:r>
      <w:proofErr w:type="spellStart"/>
      <w:r w:rsidRPr="009F6D1E">
        <w:rPr>
          <w:rFonts w:cs="Times New Roman"/>
          <w:szCs w:val="24"/>
        </w:rPr>
        <w:t>into</w:t>
      </w:r>
      <w:proofErr w:type="spellEnd"/>
      <w:r w:rsidRPr="009F6D1E">
        <w:rPr>
          <w:rFonts w:cs="Times New Roman"/>
          <w:szCs w:val="24"/>
        </w:rPr>
        <w:t xml:space="preserve"> </w:t>
      </w:r>
      <w:proofErr w:type="spellStart"/>
      <w:r w:rsidRPr="009F6D1E">
        <w:rPr>
          <w:rFonts w:cs="Times New Roman"/>
          <w:szCs w:val="24"/>
        </w:rPr>
        <w:t>Strategic</w:t>
      </w:r>
      <w:proofErr w:type="spellEnd"/>
      <w:r w:rsidRPr="009F6D1E">
        <w:rPr>
          <w:rFonts w:cs="Times New Roman"/>
          <w:szCs w:val="24"/>
        </w:rPr>
        <w:t xml:space="preserve"> </w:t>
      </w:r>
      <w:proofErr w:type="spellStart"/>
      <w:r w:rsidRPr="009F6D1E">
        <w:rPr>
          <w:rFonts w:cs="Times New Roman"/>
          <w:szCs w:val="24"/>
        </w:rPr>
        <w:t>Environmental</w:t>
      </w:r>
      <w:proofErr w:type="spellEnd"/>
      <w:r w:rsidRPr="009F6D1E">
        <w:rPr>
          <w:rFonts w:cs="Times New Roman"/>
          <w:szCs w:val="24"/>
        </w:rPr>
        <w:t xml:space="preserve"> </w:t>
      </w:r>
      <w:proofErr w:type="spellStart"/>
      <w:r w:rsidRPr="009F6D1E">
        <w:rPr>
          <w:rFonts w:cs="Times New Roman"/>
          <w:szCs w:val="24"/>
        </w:rPr>
        <w:t>Assessment</w:t>
      </w:r>
      <w:proofErr w:type="spellEnd"/>
      <w:r w:rsidRPr="009F6D1E">
        <w:rPr>
          <w:rFonts w:cs="Times New Roman"/>
          <w:szCs w:val="24"/>
        </w:rPr>
        <w:footnoteReference w:id="76"/>
      </w:r>
      <w:r w:rsidRPr="009F6D1E">
        <w:rPr>
          <w:rFonts w:cs="Times New Roman"/>
          <w:szCs w:val="24"/>
        </w:rPr>
        <w:t xml:space="preserve">, 2013 – </w:t>
      </w:r>
      <w:proofErr w:type="spellStart"/>
      <w:r w:rsidRPr="009F6D1E">
        <w:rPr>
          <w:rFonts w:cs="Times New Roman"/>
          <w:szCs w:val="24"/>
        </w:rPr>
        <w:t>European</w:t>
      </w:r>
      <w:proofErr w:type="spellEnd"/>
      <w:r w:rsidRPr="009F6D1E">
        <w:rPr>
          <w:rFonts w:cs="Times New Roman"/>
          <w:szCs w:val="24"/>
        </w:rPr>
        <w:t xml:space="preserve"> </w:t>
      </w:r>
      <w:proofErr w:type="spellStart"/>
      <w:r w:rsidRPr="009F6D1E">
        <w:rPr>
          <w:rFonts w:cs="Times New Roman"/>
          <w:szCs w:val="24"/>
        </w:rPr>
        <w:t>Commission</w:t>
      </w:r>
      <w:proofErr w:type="spellEnd"/>
      <w:r w:rsidRPr="009F6D1E">
        <w:rPr>
          <w:rFonts w:cs="Times New Roman"/>
          <w:szCs w:val="24"/>
        </w:rPr>
        <w:t>;</w:t>
      </w:r>
    </w:p>
    <w:p w14:paraId="3A5D82C2"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Use</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Spatial</w:t>
      </w:r>
      <w:proofErr w:type="spellEnd"/>
      <w:r w:rsidRPr="009F6D1E">
        <w:rPr>
          <w:rFonts w:cs="Times New Roman"/>
          <w:szCs w:val="24"/>
        </w:rPr>
        <w:t xml:space="preserve"> Data </w:t>
      </w:r>
      <w:proofErr w:type="spellStart"/>
      <w:r w:rsidRPr="009F6D1E">
        <w:rPr>
          <w:rFonts w:cs="Times New Roman"/>
          <w:szCs w:val="24"/>
        </w:rPr>
        <w:t>for</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Preparation</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Environmental</w:t>
      </w:r>
      <w:proofErr w:type="spellEnd"/>
      <w:r w:rsidRPr="009F6D1E">
        <w:rPr>
          <w:rFonts w:cs="Times New Roman"/>
          <w:szCs w:val="24"/>
        </w:rPr>
        <w:t xml:space="preserve"> </w:t>
      </w:r>
      <w:proofErr w:type="spellStart"/>
      <w:r w:rsidRPr="009F6D1E">
        <w:rPr>
          <w:rFonts w:cs="Times New Roman"/>
          <w:szCs w:val="24"/>
        </w:rPr>
        <w:t>Reports</w:t>
      </w:r>
      <w:proofErr w:type="spellEnd"/>
      <w:r w:rsidRPr="009F6D1E">
        <w:rPr>
          <w:rFonts w:cs="Times New Roman"/>
          <w:szCs w:val="24"/>
        </w:rPr>
        <w:t xml:space="preserve"> </w:t>
      </w:r>
      <w:proofErr w:type="spellStart"/>
      <w:r w:rsidRPr="009F6D1E">
        <w:rPr>
          <w:rFonts w:cs="Times New Roman"/>
          <w:szCs w:val="24"/>
        </w:rPr>
        <w:t>in</w:t>
      </w:r>
      <w:proofErr w:type="spellEnd"/>
      <w:r w:rsidRPr="009F6D1E">
        <w:rPr>
          <w:rFonts w:cs="Times New Roman"/>
          <w:szCs w:val="24"/>
        </w:rPr>
        <w:t xml:space="preserve"> </w:t>
      </w:r>
      <w:proofErr w:type="spellStart"/>
      <w:r w:rsidRPr="009F6D1E">
        <w:rPr>
          <w:rFonts w:cs="Times New Roman"/>
          <w:szCs w:val="24"/>
        </w:rPr>
        <w:t>Europe</w:t>
      </w:r>
      <w:proofErr w:type="spellEnd"/>
      <w:r w:rsidRPr="009F6D1E">
        <w:rPr>
          <w:rFonts w:cs="Times New Roman"/>
          <w:szCs w:val="24"/>
        </w:rPr>
        <w:t xml:space="preserve">, JRC </w:t>
      </w:r>
      <w:proofErr w:type="spellStart"/>
      <w:r w:rsidRPr="009F6D1E">
        <w:rPr>
          <w:rFonts w:cs="Times New Roman"/>
          <w:szCs w:val="24"/>
        </w:rPr>
        <w:t>technical</w:t>
      </w:r>
      <w:proofErr w:type="spellEnd"/>
      <w:r w:rsidRPr="009F6D1E">
        <w:rPr>
          <w:rFonts w:cs="Times New Roman"/>
          <w:szCs w:val="24"/>
        </w:rPr>
        <w:t xml:space="preserve"> </w:t>
      </w:r>
      <w:proofErr w:type="spellStart"/>
      <w:r w:rsidRPr="009F6D1E">
        <w:rPr>
          <w:rFonts w:cs="Times New Roman"/>
          <w:szCs w:val="24"/>
        </w:rPr>
        <w:t>support</w:t>
      </w:r>
      <w:proofErr w:type="spellEnd"/>
      <w:r w:rsidRPr="009F6D1E">
        <w:rPr>
          <w:rFonts w:cs="Times New Roman"/>
          <w:szCs w:val="24"/>
        </w:rPr>
        <w:footnoteReference w:id="77"/>
      </w:r>
      <w:r w:rsidRPr="009F6D1E">
        <w:rPr>
          <w:rFonts w:cs="Times New Roman"/>
          <w:szCs w:val="24"/>
        </w:rPr>
        <w:t>, 2010;</w:t>
      </w:r>
    </w:p>
    <w:p w14:paraId="306E2B7D"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Resource</w:t>
      </w:r>
      <w:proofErr w:type="spellEnd"/>
      <w:r w:rsidRPr="009F6D1E">
        <w:rPr>
          <w:rFonts w:cs="Times New Roman"/>
          <w:szCs w:val="24"/>
        </w:rPr>
        <w:t xml:space="preserve"> </w:t>
      </w:r>
      <w:proofErr w:type="spellStart"/>
      <w:r w:rsidRPr="009F6D1E">
        <w:rPr>
          <w:rFonts w:cs="Times New Roman"/>
          <w:szCs w:val="24"/>
        </w:rPr>
        <w:t>Manual</w:t>
      </w:r>
      <w:proofErr w:type="spellEnd"/>
      <w:r w:rsidRPr="009F6D1E">
        <w:rPr>
          <w:rFonts w:cs="Times New Roman"/>
          <w:szCs w:val="24"/>
        </w:rPr>
        <w:t xml:space="preserve"> </w:t>
      </w:r>
      <w:proofErr w:type="spellStart"/>
      <w:r w:rsidRPr="009F6D1E">
        <w:rPr>
          <w:rFonts w:cs="Times New Roman"/>
          <w:szCs w:val="24"/>
        </w:rPr>
        <w:t>to</w:t>
      </w:r>
      <w:proofErr w:type="spellEnd"/>
      <w:r w:rsidRPr="009F6D1E">
        <w:rPr>
          <w:rFonts w:cs="Times New Roman"/>
          <w:szCs w:val="24"/>
        </w:rPr>
        <w:t xml:space="preserve"> </w:t>
      </w:r>
      <w:proofErr w:type="spellStart"/>
      <w:r w:rsidRPr="009F6D1E">
        <w:rPr>
          <w:rFonts w:cs="Times New Roman"/>
          <w:szCs w:val="24"/>
        </w:rPr>
        <w:t>Support</w:t>
      </w:r>
      <w:proofErr w:type="spellEnd"/>
      <w:r w:rsidRPr="009F6D1E">
        <w:rPr>
          <w:rFonts w:cs="Times New Roman"/>
          <w:szCs w:val="24"/>
        </w:rPr>
        <w:t xml:space="preserve"> </w:t>
      </w:r>
      <w:proofErr w:type="spellStart"/>
      <w:r w:rsidRPr="009F6D1E">
        <w:rPr>
          <w:rFonts w:cs="Times New Roman"/>
          <w:szCs w:val="24"/>
        </w:rPr>
        <w:t>Application</w:t>
      </w:r>
      <w:proofErr w:type="spellEnd"/>
      <w:r w:rsidRPr="009F6D1E">
        <w:rPr>
          <w:rFonts w:cs="Times New Roman"/>
          <w:szCs w:val="24"/>
        </w:rPr>
        <w:t xml:space="preserve"> </w:t>
      </w:r>
      <w:proofErr w:type="spellStart"/>
      <w:r w:rsidRPr="009F6D1E">
        <w:rPr>
          <w:rFonts w:cs="Times New Roman"/>
          <w:szCs w:val="24"/>
        </w:rPr>
        <w:t>of</w:t>
      </w:r>
      <w:proofErr w:type="spellEnd"/>
      <w:r w:rsidRPr="009F6D1E">
        <w:rPr>
          <w:rFonts w:cs="Times New Roman"/>
          <w:szCs w:val="24"/>
        </w:rPr>
        <w:t xml:space="preserve"> </w:t>
      </w:r>
      <w:proofErr w:type="spellStart"/>
      <w:r w:rsidRPr="009F6D1E">
        <w:rPr>
          <w:rFonts w:cs="Times New Roman"/>
          <w:szCs w:val="24"/>
        </w:rPr>
        <w:t>the</w:t>
      </w:r>
      <w:proofErr w:type="spellEnd"/>
      <w:r w:rsidRPr="009F6D1E">
        <w:rPr>
          <w:rFonts w:cs="Times New Roman"/>
          <w:szCs w:val="24"/>
        </w:rPr>
        <w:t xml:space="preserve"> </w:t>
      </w:r>
      <w:proofErr w:type="spellStart"/>
      <w:r w:rsidRPr="009F6D1E">
        <w:rPr>
          <w:rFonts w:cs="Times New Roman"/>
          <w:szCs w:val="24"/>
        </w:rPr>
        <w:t>Protocol</w:t>
      </w:r>
      <w:proofErr w:type="spellEnd"/>
      <w:r w:rsidRPr="009F6D1E">
        <w:rPr>
          <w:rFonts w:cs="Times New Roman"/>
          <w:szCs w:val="24"/>
        </w:rPr>
        <w:t xml:space="preserve">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Strategic</w:t>
      </w:r>
      <w:proofErr w:type="spellEnd"/>
      <w:r w:rsidRPr="009F6D1E">
        <w:rPr>
          <w:rFonts w:cs="Times New Roman"/>
          <w:szCs w:val="24"/>
        </w:rPr>
        <w:t xml:space="preserve"> </w:t>
      </w:r>
      <w:proofErr w:type="spellStart"/>
      <w:r w:rsidRPr="009F6D1E">
        <w:rPr>
          <w:rFonts w:cs="Times New Roman"/>
          <w:szCs w:val="24"/>
        </w:rPr>
        <w:t>Environmental</w:t>
      </w:r>
      <w:proofErr w:type="spellEnd"/>
      <w:r w:rsidRPr="009F6D1E">
        <w:rPr>
          <w:rFonts w:cs="Times New Roman"/>
          <w:szCs w:val="24"/>
        </w:rPr>
        <w:t xml:space="preserve"> </w:t>
      </w:r>
      <w:proofErr w:type="spellStart"/>
      <w:r w:rsidRPr="009F6D1E">
        <w:rPr>
          <w:rFonts w:cs="Times New Roman"/>
          <w:szCs w:val="24"/>
        </w:rPr>
        <w:t>Assessment</w:t>
      </w:r>
      <w:proofErr w:type="spellEnd"/>
      <w:r w:rsidRPr="009F6D1E">
        <w:rPr>
          <w:rFonts w:cs="Times New Roman"/>
          <w:szCs w:val="24"/>
        </w:rPr>
        <w:t>, 2011 – UNECE</w:t>
      </w:r>
      <w:r w:rsidRPr="009F6D1E">
        <w:rPr>
          <w:rFonts w:cs="Times New Roman"/>
          <w:szCs w:val="24"/>
        </w:rPr>
        <w:footnoteReference w:id="78"/>
      </w:r>
      <w:r w:rsidRPr="009F6D1E">
        <w:rPr>
          <w:rFonts w:cs="Times New Roman"/>
          <w:szCs w:val="24"/>
        </w:rPr>
        <w:t>;</w:t>
      </w:r>
    </w:p>
    <w:p w14:paraId="0D871A2D"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Good</w:t>
      </w:r>
      <w:proofErr w:type="spellEnd"/>
      <w:r w:rsidRPr="009F6D1E">
        <w:rPr>
          <w:rFonts w:cs="Times New Roman"/>
          <w:szCs w:val="24"/>
        </w:rPr>
        <w:t xml:space="preserve"> </w:t>
      </w:r>
      <w:proofErr w:type="spellStart"/>
      <w:r w:rsidRPr="009F6D1E">
        <w:rPr>
          <w:rFonts w:cs="Times New Roman"/>
          <w:szCs w:val="24"/>
        </w:rPr>
        <w:t>Practice</w:t>
      </w:r>
      <w:proofErr w:type="spellEnd"/>
      <w:r w:rsidRPr="009F6D1E">
        <w:rPr>
          <w:rFonts w:cs="Times New Roman"/>
          <w:szCs w:val="24"/>
        </w:rPr>
        <w:t xml:space="preserve"> </w:t>
      </w:r>
      <w:proofErr w:type="spellStart"/>
      <w:r w:rsidRPr="009F6D1E">
        <w:rPr>
          <w:rFonts w:cs="Times New Roman"/>
          <w:szCs w:val="24"/>
        </w:rPr>
        <w:t>Recommendations</w:t>
      </w:r>
      <w:proofErr w:type="spellEnd"/>
      <w:r w:rsidRPr="009F6D1E">
        <w:rPr>
          <w:rFonts w:cs="Times New Roman"/>
          <w:szCs w:val="24"/>
        </w:rPr>
        <w:t xml:space="preserve"> </w:t>
      </w:r>
      <w:proofErr w:type="spellStart"/>
      <w:r w:rsidRPr="009F6D1E">
        <w:rPr>
          <w:rFonts w:cs="Times New Roman"/>
          <w:szCs w:val="24"/>
        </w:rPr>
        <w:t>on</w:t>
      </w:r>
      <w:proofErr w:type="spellEnd"/>
      <w:r w:rsidRPr="009F6D1E">
        <w:rPr>
          <w:rFonts w:cs="Times New Roman"/>
          <w:szCs w:val="24"/>
        </w:rPr>
        <w:t xml:space="preserve"> </w:t>
      </w:r>
      <w:proofErr w:type="spellStart"/>
      <w:r w:rsidRPr="009F6D1E">
        <w:rPr>
          <w:rFonts w:cs="Times New Roman"/>
          <w:szCs w:val="24"/>
        </w:rPr>
        <w:t>Public</w:t>
      </w:r>
      <w:proofErr w:type="spellEnd"/>
      <w:r w:rsidRPr="009F6D1E">
        <w:rPr>
          <w:rFonts w:cs="Times New Roman"/>
          <w:szCs w:val="24"/>
        </w:rPr>
        <w:t xml:space="preserve"> </w:t>
      </w:r>
      <w:proofErr w:type="spellStart"/>
      <w:r w:rsidRPr="009F6D1E">
        <w:rPr>
          <w:rFonts w:cs="Times New Roman"/>
          <w:szCs w:val="24"/>
        </w:rPr>
        <w:t>Participation</w:t>
      </w:r>
      <w:proofErr w:type="spellEnd"/>
      <w:r w:rsidRPr="009F6D1E">
        <w:rPr>
          <w:rFonts w:cs="Times New Roman"/>
          <w:szCs w:val="24"/>
        </w:rPr>
        <w:t xml:space="preserve"> </w:t>
      </w:r>
      <w:proofErr w:type="spellStart"/>
      <w:r w:rsidRPr="009F6D1E">
        <w:rPr>
          <w:rFonts w:cs="Times New Roman"/>
          <w:szCs w:val="24"/>
        </w:rPr>
        <w:t>in</w:t>
      </w:r>
      <w:proofErr w:type="spellEnd"/>
      <w:r w:rsidRPr="009F6D1E">
        <w:rPr>
          <w:rFonts w:cs="Times New Roman"/>
          <w:szCs w:val="24"/>
        </w:rPr>
        <w:t xml:space="preserve"> </w:t>
      </w:r>
      <w:proofErr w:type="spellStart"/>
      <w:r w:rsidRPr="009F6D1E">
        <w:rPr>
          <w:rFonts w:cs="Times New Roman"/>
          <w:szCs w:val="24"/>
        </w:rPr>
        <w:t>Strategic</w:t>
      </w:r>
      <w:proofErr w:type="spellEnd"/>
      <w:r w:rsidRPr="009F6D1E">
        <w:rPr>
          <w:rFonts w:cs="Times New Roman"/>
          <w:szCs w:val="24"/>
        </w:rPr>
        <w:t xml:space="preserve"> </w:t>
      </w:r>
      <w:proofErr w:type="spellStart"/>
      <w:r w:rsidRPr="009F6D1E">
        <w:rPr>
          <w:rFonts w:cs="Times New Roman"/>
          <w:szCs w:val="24"/>
        </w:rPr>
        <w:t>Environmental</w:t>
      </w:r>
      <w:proofErr w:type="spellEnd"/>
      <w:r w:rsidRPr="009F6D1E">
        <w:rPr>
          <w:rFonts w:cs="Times New Roman"/>
          <w:szCs w:val="24"/>
        </w:rPr>
        <w:t xml:space="preserve"> </w:t>
      </w:r>
      <w:proofErr w:type="spellStart"/>
      <w:r w:rsidRPr="009F6D1E">
        <w:rPr>
          <w:rFonts w:cs="Times New Roman"/>
          <w:szCs w:val="24"/>
        </w:rPr>
        <w:t>Assessment</w:t>
      </w:r>
      <w:proofErr w:type="spellEnd"/>
      <w:r w:rsidRPr="009F6D1E">
        <w:rPr>
          <w:rFonts w:cs="Times New Roman"/>
          <w:szCs w:val="24"/>
        </w:rPr>
        <w:footnoteReference w:id="79"/>
      </w:r>
      <w:r w:rsidRPr="009F6D1E">
        <w:rPr>
          <w:rFonts w:cs="Times New Roman"/>
          <w:szCs w:val="24"/>
        </w:rPr>
        <w:t xml:space="preserve">, 16 </w:t>
      </w:r>
      <w:proofErr w:type="spellStart"/>
      <w:r w:rsidRPr="009F6D1E">
        <w:rPr>
          <w:rFonts w:cs="Times New Roman"/>
          <w:szCs w:val="24"/>
        </w:rPr>
        <w:t>February</w:t>
      </w:r>
      <w:proofErr w:type="spellEnd"/>
      <w:r w:rsidRPr="009F6D1E">
        <w:rPr>
          <w:rFonts w:cs="Times New Roman"/>
          <w:szCs w:val="24"/>
        </w:rPr>
        <w:t xml:space="preserve"> 2016 – UNECE;</w:t>
      </w:r>
    </w:p>
    <w:p w14:paraId="1303F9E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Техническите насоки за климатична устойчивост на инфраструктурни проекти в периода 2021-2027 г., Известие на Европейска комисия, С(2021)543</w:t>
      </w:r>
    </w:p>
    <w:p w14:paraId="1A97E12D"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Изготвянето на ДЕО е извършено по следния методологичен подход: </w:t>
      </w:r>
    </w:p>
    <w:p w14:paraId="4FA63A49"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Запознаване на колектива експерти с проекта на </w:t>
      </w:r>
      <w:r w:rsidR="00CD4045" w:rsidRPr="009F6D1E">
        <w:rPr>
          <w:rFonts w:cs="Times New Roman"/>
          <w:szCs w:val="24"/>
        </w:rPr>
        <w:t>СПРЗСР</w:t>
      </w:r>
      <w:r w:rsidRPr="009F6D1E">
        <w:rPr>
          <w:rFonts w:cs="Times New Roman"/>
          <w:szCs w:val="24"/>
        </w:rPr>
        <w:t xml:space="preserve"> и неговите предвиждания, предоставената друга документация от Възложителя, становищата по заданието за определяне на обхвата и съдържанието на ДЕО;</w:t>
      </w:r>
    </w:p>
    <w:p w14:paraId="3716F28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lastRenderedPageBreak/>
        <w:t xml:space="preserve">Идентифициране и анализ на свързаните с проекта на </w:t>
      </w:r>
      <w:r w:rsidR="00CD4045" w:rsidRPr="009F6D1E">
        <w:rPr>
          <w:rFonts w:cs="Times New Roman"/>
          <w:szCs w:val="24"/>
        </w:rPr>
        <w:t>СПРЗСР</w:t>
      </w:r>
      <w:r w:rsidRPr="009F6D1E">
        <w:rPr>
          <w:rFonts w:cs="Times New Roman"/>
          <w:szCs w:val="24"/>
        </w:rPr>
        <w:t xml:space="preserve"> други планове, стратегии и програми;</w:t>
      </w:r>
    </w:p>
    <w:p w14:paraId="066360D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Събиране, анализ и обработка на литературни източници и данни за съществуващото състояние на околната среда по компоненти и фактори, взаимовръзката връзката му с обхвата на </w:t>
      </w:r>
      <w:r w:rsidR="00CD4045" w:rsidRPr="009F6D1E">
        <w:rPr>
          <w:rFonts w:cs="Times New Roman"/>
          <w:szCs w:val="24"/>
        </w:rPr>
        <w:t>СПРЗСР</w:t>
      </w:r>
      <w:r w:rsidRPr="009F6D1E">
        <w:rPr>
          <w:rFonts w:cs="Times New Roman"/>
          <w:szCs w:val="24"/>
        </w:rPr>
        <w:t>;</w:t>
      </w:r>
    </w:p>
    <w:p w14:paraId="2D85ECB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Анализ на развитието на околната среда в случай на неприлагане на </w:t>
      </w:r>
      <w:r w:rsidR="00CD4045" w:rsidRPr="009F6D1E">
        <w:rPr>
          <w:rFonts w:cs="Times New Roman"/>
          <w:szCs w:val="24"/>
        </w:rPr>
        <w:t>СПРЗСР</w:t>
      </w:r>
      <w:r w:rsidRPr="009F6D1E">
        <w:rPr>
          <w:rFonts w:cs="Times New Roman"/>
          <w:szCs w:val="24"/>
        </w:rPr>
        <w:t xml:space="preserve"> (оценка на въздействието на т. нар. „нулева алтернатива“);</w:t>
      </w:r>
    </w:p>
    <w:p w14:paraId="05D8256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Анализ на вероятното значително засягане на територии с реализацията на </w:t>
      </w:r>
      <w:r w:rsidR="00CD4045" w:rsidRPr="009F6D1E">
        <w:rPr>
          <w:rFonts w:cs="Times New Roman"/>
          <w:szCs w:val="24"/>
        </w:rPr>
        <w:t>СПРЗСР</w:t>
      </w:r>
      <w:r w:rsidRPr="009F6D1E">
        <w:rPr>
          <w:rFonts w:cs="Times New Roman"/>
          <w:szCs w:val="24"/>
        </w:rPr>
        <w:t>;</w:t>
      </w:r>
    </w:p>
    <w:p w14:paraId="50203F0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Събиране, обработване и анализ на информация за съществуващите екологични проблеми на национално ниво и връзката им със </w:t>
      </w:r>
      <w:r w:rsidR="00CD4045" w:rsidRPr="009F6D1E">
        <w:rPr>
          <w:rFonts w:cs="Times New Roman"/>
          <w:szCs w:val="24"/>
        </w:rPr>
        <w:t>СПРЗСР</w:t>
      </w:r>
      <w:r w:rsidRPr="009F6D1E">
        <w:rPr>
          <w:rFonts w:cs="Times New Roman"/>
          <w:szCs w:val="24"/>
        </w:rPr>
        <w:t xml:space="preserve">, в т.ч. възможно развитие на тези проблеми с и без реализирането на </w:t>
      </w:r>
      <w:r w:rsidR="00CD4045" w:rsidRPr="009F6D1E">
        <w:rPr>
          <w:rFonts w:cs="Times New Roman"/>
          <w:szCs w:val="24"/>
        </w:rPr>
        <w:t>СПРЗСР</w:t>
      </w:r>
      <w:r w:rsidRPr="009F6D1E">
        <w:rPr>
          <w:rFonts w:cs="Times New Roman"/>
          <w:szCs w:val="24"/>
        </w:rPr>
        <w:t>;</w:t>
      </w:r>
    </w:p>
    <w:p w14:paraId="001EE27D"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Анализ на степента, в която проекта на </w:t>
      </w:r>
      <w:r w:rsidR="00CD4045" w:rsidRPr="009F6D1E">
        <w:rPr>
          <w:rFonts w:cs="Times New Roman"/>
          <w:szCs w:val="24"/>
        </w:rPr>
        <w:t>СПРЗСР</w:t>
      </w:r>
      <w:r w:rsidRPr="009F6D1E">
        <w:rPr>
          <w:rFonts w:cs="Times New Roman"/>
          <w:szCs w:val="24"/>
        </w:rPr>
        <w:t xml:space="preserve"> съобразяват относимите цели и мерки за опазване на околната среда, включени/идентифицирани в документи - планове, стратегии и програми на национално и международно ниво;</w:t>
      </w:r>
    </w:p>
    <w:p w14:paraId="3BE37AF3"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Анализ и оценка на въздействието на </w:t>
      </w:r>
      <w:r w:rsidR="00CD4045" w:rsidRPr="009F6D1E">
        <w:rPr>
          <w:rFonts w:cs="Times New Roman"/>
          <w:szCs w:val="24"/>
        </w:rPr>
        <w:t>СПРЗСР</w:t>
      </w:r>
      <w:r w:rsidRPr="009F6D1E">
        <w:rPr>
          <w:rFonts w:cs="Times New Roman"/>
          <w:szCs w:val="24"/>
        </w:rPr>
        <w:t xml:space="preserve"> върху околната среда: Тъй като </w:t>
      </w:r>
      <w:r w:rsidR="00CD4045" w:rsidRPr="009F6D1E">
        <w:rPr>
          <w:rFonts w:cs="Times New Roman"/>
          <w:szCs w:val="24"/>
        </w:rPr>
        <w:t>СПРЗСР</w:t>
      </w:r>
      <w:r w:rsidRPr="009F6D1E">
        <w:rPr>
          <w:rFonts w:cs="Times New Roman"/>
          <w:szCs w:val="24"/>
        </w:rPr>
        <w:t xml:space="preserve"> е стратегически документ, оценката на вероятните значителни въздействия върху околната среда и човешкото здраве е извършена на две нива на подробност („стратегическо“, включващо оценка на въздействието на Специфичните цели на </w:t>
      </w:r>
      <w:r w:rsidR="00CD4045" w:rsidRPr="009F6D1E">
        <w:rPr>
          <w:rFonts w:cs="Times New Roman"/>
          <w:szCs w:val="24"/>
        </w:rPr>
        <w:t>СПРЗСР</w:t>
      </w:r>
      <w:r w:rsidRPr="009F6D1E">
        <w:rPr>
          <w:rFonts w:cs="Times New Roman"/>
          <w:szCs w:val="24"/>
        </w:rPr>
        <w:t xml:space="preserve"> и „мерки/дейности“, включващо оценка на въздействието на Потребностите/Интервенциите към Специфичните цели на </w:t>
      </w:r>
      <w:r w:rsidR="00CD4045" w:rsidRPr="009F6D1E">
        <w:rPr>
          <w:rFonts w:cs="Times New Roman"/>
          <w:szCs w:val="24"/>
        </w:rPr>
        <w:t>СПРЗСР</w:t>
      </w:r>
      <w:r w:rsidRPr="009F6D1E">
        <w:rPr>
          <w:rFonts w:cs="Times New Roman"/>
          <w:szCs w:val="24"/>
        </w:rPr>
        <w:t>);</w:t>
      </w:r>
    </w:p>
    <w:p w14:paraId="20F0963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Предлагане на мерки за предотвратяване, намаляване и ограничаване на въздействията, както и на мерки по наблюдение и контрол на въздействието на програмата при изпълнението и;</w:t>
      </w:r>
    </w:p>
    <w:p w14:paraId="48BEBCD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Мотивиран избор на най-подходящата алтернатива по отношение на въздействие върху околната среда и здравето на хората;</w:t>
      </w:r>
    </w:p>
    <w:p w14:paraId="585EE17D" w14:textId="77777777" w:rsidR="0091039F" w:rsidRPr="009F6D1E" w:rsidRDefault="0091039F">
      <w:pPr>
        <w:numPr>
          <w:ilvl w:val="0"/>
          <w:numId w:val="83"/>
        </w:numPr>
        <w:spacing w:after="60" w:line="264" w:lineRule="auto"/>
        <w:contextualSpacing/>
        <w:jc w:val="both"/>
        <w:rPr>
          <w:rFonts w:eastAsia="Calibri" w:cs="Times New Roman"/>
          <w:szCs w:val="24"/>
        </w:rPr>
      </w:pPr>
      <w:r w:rsidRPr="009F6D1E">
        <w:rPr>
          <w:rFonts w:cs="Times New Roman"/>
          <w:szCs w:val="24"/>
        </w:rPr>
        <w:t>Изготвяне на мотивирано</w:t>
      </w:r>
      <w:r w:rsidRPr="009F6D1E">
        <w:rPr>
          <w:rFonts w:eastAsia="Calibri" w:cs="Times New Roman"/>
          <w:szCs w:val="24"/>
        </w:rPr>
        <w:t xml:space="preserve"> заключение за реализирането на </w:t>
      </w:r>
      <w:r w:rsidR="00CD4045" w:rsidRPr="009F6D1E">
        <w:rPr>
          <w:rFonts w:eastAsia="Calibri" w:cs="Times New Roman"/>
          <w:szCs w:val="24"/>
        </w:rPr>
        <w:t>СПРЗСР</w:t>
      </w:r>
      <w:r w:rsidRPr="009F6D1E">
        <w:rPr>
          <w:rFonts w:eastAsia="Calibri" w:cs="Times New Roman"/>
          <w:szCs w:val="24"/>
        </w:rPr>
        <w:t xml:space="preserve">. </w:t>
      </w:r>
    </w:p>
    <w:p w14:paraId="4AFD5565" w14:textId="77777777" w:rsidR="0091039F" w:rsidRPr="009F6D1E" w:rsidRDefault="0091039F" w:rsidP="0091039F">
      <w:pPr>
        <w:spacing w:after="60" w:line="264" w:lineRule="auto"/>
        <w:ind w:firstLine="720"/>
        <w:contextualSpacing/>
        <w:jc w:val="both"/>
        <w:rPr>
          <w:rFonts w:eastAsia="Calibri" w:cs="Times New Roman"/>
          <w:szCs w:val="24"/>
          <w:highlight w:val="yellow"/>
        </w:rPr>
      </w:pPr>
    </w:p>
    <w:p w14:paraId="73C1ED7D" w14:textId="77777777" w:rsidR="0091039F" w:rsidRPr="009F6D1E" w:rsidRDefault="0091039F" w:rsidP="0091039F">
      <w:pPr>
        <w:spacing w:after="60" w:line="264" w:lineRule="auto"/>
        <w:ind w:firstLine="720"/>
        <w:contextualSpacing/>
        <w:jc w:val="both"/>
        <w:rPr>
          <w:rFonts w:eastAsia="Calibri" w:cs="Times New Roman"/>
          <w:szCs w:val="24"/>
        </w:rPr>
      </w:pPr>
      <w:r w:rsidRPr="009F6D1E">
        <w:rPr>
          <w:rFonts w:eastAsia="Calibri" w:cs="Times New Roman"/>
          <w:szCs w:val="24"/>
        </w:rPr>
        <w:t xml:space="preserve">Основни </w:t>
      </w:r>
      <w:r w:rsidRPr="009F6D1E">
        <w:rPr>
          <w:rFonts w:eastAsia="Calibri" w:cs="Times New Roman"/>
          <w:b/>
          <w:szCs w:val="24"/>
        </w:rPr>
        <w:t>нормативни актове</w:t>
      </w:r>
      <w:r w:rsidRPr="009F6D1E">
        <w:rPr>
          <w:rFonts w:eastAsia="Calibri" w:cs="Times New Roman"/>
          <w:szCs w:val="24"/>
        </w:rPr>
        <w:t>, които са съобразени при изготвяне на ДЕО, са</w:t>
      </w:r>
    </w:p>
    <w:p w14:paraId="71C0C087" w14:textId="77777777" w:rsidR="0091039F" w:rsidRPr="009F6D1E" w:rsidRDefault="0091039F" w:rsidP="0091039F">
      <w:pPr>
        <w:spacing w:after="60" w:line="264" w:lineRule="auto"/>
        <w:ind w:firstLine="720"/>
        <w:contextualSpacing/>
        <w:jc w:val="both"/>
        <w:rPr>
          <w:rFonts w:eastAsia="Calibri" w:cs="Times New Roman"/>
          <w:i/>
          <w:iCs/>
          <w:szCs w:val="24"/>
          <w:u w:val="single"/>
        </w:rPr>
      </w:pPr>
      <w:r w:rsidRPr="009F6D1E">
        <w:rPr>
          <w:rFonts w:eastAsia="Calibri" w:cs="Times New Roman"/>
          <w:i/>
          <w:iCs/>
          <w:szCs w:val="24"/>
          <w:u w:val="single"/>
        </w:rPr>
        <w:t xml:space="preserve">Международни документи: </w:t>
      </w:r>
    </w:p>
    <w:p w14:paraId="0AA6FF7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Конвенция за достъп до информация, участие на обществеността в процеса на взимане на решения и достъп до правосъдие по въпроси на околната среда, Протокол за Регистрите за изпускане и пренос на замърсителите към </w:t>
      </w:r>
      <w:proofErr w:type="spellStart"/>
      <w:r w:rsidRPr="009F6D1E">
        <w:rPr>
          <w:rFonts w:cs="Times New Roman"/>
          <w:szCs w:val="24"/>
        </w:rPr>
        <w:t>Орхуската</w:t>
      </w:r>
      <w:proofErr w:type="spellEnd"/>
      <w:r w:rsidRPr="009F6D1E">
        <w:rPr>
          <w:rFonts w:cs="Times New Roman"/>
          <w:szCs w:val="24"/>
        </w:rPr>
        <w:t xml:space="preserve"> конвенция;</w:t>
      </w:r>
    </w:p>
    <w:p w14:paraId="43A26A6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Рамкова конвенция на ООН по изменение на климата, Протокол от Киото;</w:t>
      </w:r>
    </w:p>
    <w:p w14:paraId="48D85E1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оценка на въздействието върху околната среда в трансграничен контекст;</w:t>
      </w:r>
    </w:p>
    <w:p w14:paraId="2F9E511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Протокол за стратегическа екологична оценка към Конвенцията за ОВОС в трансграничен контекст;</w:t>
      </w:r>
    </w:p>
    <w:p w14:paraId="679932F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трансгранично замърсяване на въздуха на далечни разстояния, Протоколи;</w:t>
      </w:r>
    </w:p>
    <w:p w14:paraId="7B464C7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lastRenderedPageBreak/>
        <w:t>Протокол от Нагоя за достъп до генетични ресурси и справедливо и равноправно разпределение на ползите, произтичащи от тяхното използване, към Конвенцията за биологичното разнообразие;</w:t>
      </w:r>
    </w:p>
    <w:p w14:paraId="52F00CF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трансграничните въздействия на промишлените аварии, Протокол за гражданска отговорност и компенсации на щети върху трансгранични водни обекти, възникнали от трансгранични ефекти на промишлени аварии;</w:t>
      </w:r>
    </w:p>
    <w:p w14:paraId="5E2DCE9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опазване и използване на трансграничните водни течения и международните езера, Протокол Вода и здраве;</w:t>
      </w:r>
    </w:p>
    <w:p w14:paraId="1E5AA06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Конвенция за опазване на Черно море от замърсяване, Протокол за опазване на биологичното и </w:t>
      </w:r>
      <w:proofErr w:type="spellStart"/>
      <w:r w:rsidRPr="009F6D1E">
        <w:rPr>
          <w:rFonts w:cs="Times New Roman"/>
          <w:szCs w:val="24"/>
        </w:rPr>
        <w:t>ландшафтно</w:t>
      </w:r>
      <w:proofErr w:type="spellEnd"/>
      <w:r w:rsidRPr="009F6D1E">
        <w:rPr>
          <w:rFonts w:cs="Times New Roman"/>
          <w:szCs w:val="24"/>
        </w:rPr>
        <w:t xml:space="preserve"> разнообразие в Черно море;</w:t>
      </w:r>
    </w:p>
    <w:p w14:paraId="15C7DEA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биологичното разнообразие и свързаните Протокол от Картахена по биологична безопасност, Допълнителен протокол от Нагоя – Куала Лумпур за отговорността и обезщетяването към Протокола от Картахена по биологична безопасност, Протокол от Нагоя за достъпа до генетични ресурси и справедливото и равноправно разпределение на ползите, произтичащи от тяхното използване;</w:t>
      </w:r>
    </w:p>
    <w:p w14:paraId="2FB509E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опазване на дивата европейска флора и фауна и природните местообитания;</w:t>
      </w:r>
    </w:p>
    <w:p w14:paraId="4F49B1F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международна търговия със застрашени видове от дивата флора и фауна;</w:t>
      </w:r>
    </w:p>
    <w:p w14:paraId="593D42C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опазване на мигриращите видове диви животни;</w:t>
      </w:r>
    </w:p>
    <w:p w14:paraId="1E376AF1" w14:textId="77777777" w:rsidR="0091039F" w:rsidRPr="009F6D1E" w:rsidRDefault="0091039F">
      <w:pPr>
        <w:numPr>
          <w:ilvl w:val="0"/>
          <w:numId w:val="83"/>
        </w:numPr>
        <w:spacing w:after="60" w:line="264" w:lineRule="auto"/>
        <w:contextualSpacing/>
        <w:jc w:val="both"/>
        <w:rPr>
          <w:rFonts w:cs="Times New Roman"/>
          <w:szCs w:val="24"/>
        </w:rPr>
      </w:pPr>
      <w:proofErr w:type="spellStart"/>
      <w:r w:rsidRPr="009F6D1E">
        <w:rPr>
          <w:rFonts w:cs="Times New Roman"/>
          <w:szCs w:val="24"/>
        </w:rPr>
        <w:t>Рамсарска</w:t>
      </w:r>
      <w:proofErr w:type="spellEnd"/>
      <w:r w:rsidRPr="009F6D1E">
        <w:rPr>
          <w:rFonts w:cs="Times New Roman"/>
          <w:szCs w:val="24"/>
        </w:rPr>
        <w:t xml:space="preserve"> конвенция за влажните зони;</w:t>
      </w:r>
    </w:p>
    <w:p w14:paraId="4F0E5E3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Споразумение за опазване на мигриращите </w:t>
      </w:r>
      <w:proofErr w:type="spellStart"/>
      <w:r w:rsidRPr="009F6D1E">
        <w:rPr>
          <w:rFonts w:cs="Times New Roman"/>
          <w:szCs w:val="24"/>
        </w:rPr>
        <w:t>водолюбиви</w:t>
      </w:r>
      <w:proofErr w:type="spellEnd"/>
      <w:r w:rsidRPr="009F6D1E">
        <w:rPr>
          <w:rFonts w:cs="Times New Roman"/>
          <w:szCs w:val="24"/>
        </w:rPr>
        <w:t xml:space="preserve"> птици от Африка и Евразия;</w:t>
      </w:r>
    </w:p>
    <w:p w14:paraId="754051F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Споразумение за опазване на </w:t>
      </w:r>
      <w:proofErr w:type="spellStart"/>
      <w:r w:rsidRPr="009F6D1E">
        <w:rPr>
          <w:rFonts w:cs="Times New Roman"/>
          <w:szCs w:val="24"/>
        </w:rPr>
        <w:t>китоподобните</w:t>
      </w:r>
      <w:proofErr w:type="spellEnd"/>
      <w:r w:rsidRPr="009F6D1E">
        <w:rPr>
          <w:rFonts w:cs="Times New Roman"/>
          <w:szCs w:val="24"/>
        </w:rPr>
        <w:t xml:space="preserve"> бозайници в Черно море, Средиземно море и съседната акватория на Атлантическия океан;</w:t>
      </w:r>
    </w:p>
    <w:p w14:paraId="3F948A1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Споразумение за опазване на популациите от европейски прилепи;</w:t>
      </w:r>
    </w:p>
    <w:p w14:paraId="40820119"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Конвенция за опазване на световното културно и природно наследство;</w:t>
      </w:r>
    </w:p>
    <w:p w14:paraId="5671022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Конвенция на ООН за борба с </w:t>
      </w:r>
      <w:proofErr w:type="spellStart"/>
      <w:r w:rsidRPr="009F6D1E">
        <w:rPr>
          <w:rFonts w:cs="Times New Roman"/>
          <w:szCs w:val="24"/>
        </w:rPr>
        <w:t>опустиняването</w:t>
      </w:r>
      <w:proofErr w:type="spellEnd"/>
      <w:r w:rsidRPr="009F6D1E">
        <w:rPr>
          <w:rFonts w:cs="Times New Roman"/>
          <w:szCs w:val="24"/>
        </w:rPr>
        <w:t xml:space="preserve"> в тези държави, които изпитват силна суша и/или </w:t>
      </w:r>
      <w:proofErr w:type="spellStart"/>
      <w:r w:rsidRPr="009F6D1E">
        <w:rPr>
          <w:rFonts w:cs="Times New Roman"/>
          <w:szCs w:val="24"/>
        </w:rPr>
        <w:t>опустиняване</w:t>
      </w:r>
      <w:proofErr w:type="spellEnd"/>
      <w:r w:rsidRPr="009F6D1E">
        <w:rPr>
          <w:rFonts w:cs="Times New Roman"/>
          <w:szCs w:val="24"/>
        </w:rPr>
        <w:t>, особено в Африка.</w:t>
      </w:r>
    </w:p>
    <w:p w14:paraId="486BBB53" w14:textId="77777777" w:rsidR="0091039F" w:rsidRPr="009F6D1E" w:rsidRDefault="0091039F" w:rsidP="0091039F">
      <w:pPr>
        <w:widowControl w:val="0"/>
        <w:tabs>
          <w:tab w:val="left" w:pos="720"/>
          <w:tab w:val="left" w:pos="1080"/>
        </w:tabs>
        <w:spacing w:after="60" w:line="264" w:lineRule="auto"/>
        <w:ind w:left="720"/>
        <w:jc w:val="both"/>
        <w:rPr>
          <w:rFonts w:eastAsia="Calibri" w:cs="Times New Roman"/>
          <w:szCs w:val="24"/>
          <w:highlight w:val="yellow"/>
        </w:rPr>
      </w:pPr>
    </w:p>
    <w:p w14:paraId="67FE4B59" w14:textId="77777777" w:rsidR="0091039F" w:rsidRPr="009F6D1E" w:rsidRDefault="0091039F" w:rsidP="0091039F">
      <w:pPr>
        <w:spacing w:after="60" w:line="264" w:lineRule="auto"/>
        <w:ind w:firstLine="720"/>
        <w:contextualSpacing/>
        <w:jc w:val="both"/>
        <w:rPr>
          <w:rFonts w:eastAsia="Calibri" w:cs="Times New Roman"/>
          <w:i/>
          <w:iCs/>
          <w:szCs w:val="24"/>
          <w:u w:val="single"/>
        </w:rPr>
      </w:pPr>
      <w:r w:rsidRPr="009F6D1E">
        <w:rPr>
          <w:rFonts w:eastAsia="Calibri" w:cs="Times New Roman"/>
          <w:i/>
          <w:iCs/>
          <w:szCs w:val="24"/>
          <w:u w:val="single"/>
        </w:rPr>
        <w:t>Законодателство на ЕС:</w:t>
      </w:r>
    </w:p>
    <w:p w14:paraId="219D7A43"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2001/42/ЕО на Европейския парламент и на Съвета от 27 юни 2001 година относно оценката на последиците на някои планове и програми върху околната среда;</w:t>
      </w:r>
    </w:p>
    <w:p w14:paraId="3168298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2014/52/ЕС на Европейския парламент и на Съвета от 16 април 2014 година за изменение на Директива 2011/92/ЕС относно оценката на въздействието на някои публични и частни проекти върху околната среда;</w:t>
      </w:r>
    </w:p>
    <w:p w14:paraId="040D8A3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(ЕС) 2016/2284 НА ЕВРОПЕЙСКИЯ ПАРЛАМЕНТ И НА СЪВЕТА от 14 декември 2016 година за намаляване на националните емисии на някои атмосферни замърсители, за изменение на Директива 2003/35/ЕО и за отмяна на Директива 2001/81/ЕО;</w:t>
      </w:r>
    </w:p>
    <w:p w14:paraId="167D2579"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lastRenderedPageBreak/>
        <w:t>Директива 2008/50/ЕО на Европейския парламент и на Съвета от 21 май 2008 година относно качеството на атмосферния въздух и за по-чист въздух за Европа;</w:t>
      </w:r>
    </w:p>
    <w:p w14:paraId="5A13483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Директива 2004/107/ЕО на Европейския парламент и на Съвета от 15 Декември 2004 година относно съдържанието на арсен, кадмий, никел и </w:t>
      </w:r>
      <w:proofErr w:type="spellStart"/>
      <w:r w:rsidRPr="009F6D1E">
        <w:rPr>
          <w:rFonts w:cs="Times New Roman"/>
          <w:szCs w:val="24"/>
        </w:rPr>
        <w:t>полициклични</w:t>
      </w:r>
      <w:proofErr w:type="spellEnd"/>
      <w:r w:rsidRPr="009F6D1E">
        <w:rPr>
          <w:rFonts w:cs="Times New Roman"/>
          <w:szCs w:val="24"/>
        </w:rPr>
        <w:t xml:space="preserve"> ароматни въглеводороди в атмосферния въздух;</w:t>
      </w:r>
    </w:p>
    <w:p w14:paraId="30C6DEE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2010/75/ЕС на Европейския парламент и на Съвета от 24 ноември 2010 година относно емисиите от промишлеността (комплексно предотвратяване и контрол на замърсяването);</w:t>
      </w:r>
    </w:p>
    <w:p w14:paraId="5861BA6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96/62/EО на Съвета от 27 септември 1996 година относно оценката и управлението на качеството на околния въздух;</w:t>
      </w:r>
    </w:p>
    <w:p w14:paraId="3838D8A3"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Директива 1999/30/ЕО на Съвета от 22 април 1999 година относно пределно допустимите стойности за серен </w:t>
      </w:r>
      <w:proofErr w:type="spellStart"/>
      <w:r w:rsidRPr="009F6D1E">
        <w:rPr>
          <w:rFonts w:cs="Times New Roman"/>
          <w:szCs w:val="24"/>
        </w:rPr>
        <w:t>двуоксид</w:t>
      </w:r>
      <w:proofErr w:type="spellEnd"/>
      <w:r w:rsidRPr="009F6D1E">
        <w:rPr>
          <w:rFonts w:cs="Times New Roman"/>
          <w:szCs w:val="24"/>
        </w:rPr>
        <w:t xml:space="preserve">, азотен </w:t>
      </w:r>
      <w:proofErr w:type="spellStart"/>
      <w:r w:rsidRPr="009F6D1E">
        <w:rPr>
          <w:rFonts w:cs="Times New Roman"/>
          <w:szCs w:val="24"/>
        </w:rPr>
        <w:t>двуоксид</w:t>
      </w:r>
      <w:proofErr w:type="spellEnd"/>
      <w:r w:rsidRPr="009F6D1E">
        <w:rPr>
          <w:rFonts w:cs="Times New Roman"/>
          <w:szCs w:val="24"/>
        </w:rPr>
        <w:t xml:space="preserve"> и азотни оксиди, прахови частици и олово в околния въздух;</w:t>
      </w:r>
    </w:p>
    <w:p w14:paraId="77DBA92C"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2000/69/ЕО на Европейски парламент и на Съвета от 16 ноември 2000 година относно пределно допустимите стойности за бензен и въглероден оксид в атмосферния въздух;</w:t>
      </w:r>
    </w:p>
    <w:p w14:paraId="40F5F38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2002/3/ЕО на Европейски парламент и на Съвета от 12 февруари 2002 година относно озона в атмосферния въздух;</w:t>
      </w:r>
    </w:p>
    <w:p w14:paraId="368C1CF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Рамкова директива за водите;</w:t>
      </w:r>
    </w:p>
    <w:p w14:paraId="383F2B68"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относно оценката и управлението на риска от наводнения;</w:t>
      </w:r>
    </w:p>
    <w:p w14:paraId="6A711729"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Рамкова директива за морска стратегия;</w:t>
      </w:r>
    </w:p>
    <w:p w14:paraId="0F926CB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Делегирана директива (ЕС) 2021/1226 на Комисията от 21 декември 2020 година за изменение, с цел привеждане в съответствие с научно-техническия напредък, на приложение II към Директива 2002/49/ЕО на Европейския парламент и на Съвета по отношение на общите методи за оценка на шума;</w:t>
      </w:r>
    </w:p>
    <w:p w14:paraId="7F60923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(ЕС) 2020/367 на Комисията от 4 март 2020 година за изменение на приложение III към Директива 2002/49/ЕО на Европейския парламент и на Съвета във връзка с установяването на методи за оценка на вредните въздействия на шума в околната среда;</w:t>
      </w:r>
    </w:p>
    <w:p w14:paraId="36D773D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(EC) 2015/996 на Комисията от 19 май 2015 г. за установяване на общи методи за оценка на шума в съответствие с Директива 2002/49/ЕО на Европейския парламент и на Съвета;</w:t>
      </w:r>
    </w:p>
    <w:p w14:paraId="02831FB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Поправка на Директива (EC) 2015/996 на Комисията от 19 май 2015 г. за установяване на общи методи за оценка на шума в съответствие с Директива 2002/49/ЕО на Европейския парламент и на Съвета;</w:t>
      </w:r>
    </w:p>
    <w:p w14:paraId="7B64CD4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2002/49/ЕС за оценка и управление на шума в околната среда;</w:t>
      </w:r>
    </w:p>
    <w:p w14:paraId="65240B2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2000/14/ЕС относно шумовите емисии на съоръжения, предназначени за употреба извън сградите Директива 2012/18/ЕС на Европейския парламент и на Съвета от 4 юли 2012 година относно контрола на опасностите от големи аварии, които включват опасни вещества, за изменение и последваща отмяна на Директива 96/82/ЕО на Съвета;</w:t>
      </w:r>
    </w:p>
    <w:p w14:paraId="32CD2A18"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lastRenderedPageBreak/>
        <w:t>Директива 2008/98/ЕО на Европейския парламент и на Съвета от 19 ноември 2008 година относно отпадъците и за отмяна на определени директиви;</w:t>
      </w:r>
    </w:p>
    <w:p w14:paraId="03D49A69"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(ЕС) 2018/850 на Европейския парламент и на Съвета за изменение на Директива 1999/31/ЕО относно депонирането на отпадъци;</w:t>
      </w:r>
    </w:p>
    <w:p w14:paraId="0E3470C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НА СЪВЕТА № 92/43/ЕИО за опазване на природните местообитания и на дивата флора и фауна;</w:t>
      </w:r>
    </w:p>
    <w:p w14:paraId="0CD68850"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2009/147/ЕО НА ЕВРОПЕЙСКИЯ ПАРЛАМЕНТ И НА СЪВЕТА относно опазването на дивите птици;</w:t>
      </w:r>
    </w:p>
    <w:p w14:paraId="1D3823A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ДИРЕКТИВА 2001/18/ЕО НА ЕВРОПЕЙСКИЯ ПАРЛАМЕНТ И НА СЪВЕТА от 12 март 2001 година относно съзнателното освобождаване на генетично модифицирани организми в околната среда и за отмяна на Директива 90/220/ЕИО на Съвета.</w:t>
      </w:r>
    </w:p>
    <w:p w14:paraId="0DBBA4A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опазване на околната среда;</w:t>
      </w:r>
    </w:p>
    <w:p w14:paraId="72A8EB0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биологичното разнообразие;</w:t>
      </w:r>
    </w:p>
    <w:p w14:paraId="554DE44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управление на отпадъците;</w:t>
      </w:r>
    </w:p>
    <w:p w14:paraId="283C5FF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чистотата на атмосферния въздух;</w:t>
      </w:r>
    </w:p>
    <w:p w14:paraId="2F3AB2E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ограничаване изменението на климата;</w:t>
      </w:r>
    </w:p>
    <w:p w14:paraId="79EEA494"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водите;</w:t>
      </w:r>
    </w:p>
    <w:p w14:paraId="532CBF58"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защита на растенията;</w:t>
      </w:r>
    </w:p>
    <w:p w14:paraId="76B57D4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лечебните растения;</w:t>
      </w:r>
    </w:p>
    <w:p w14:paraId="2B94766C"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почвите;</w:t>
      </w:r>
    </w:p>
    <w:p w14:paraId="798FCE7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защита от шума в околната среда;</w:t>
      </w:r>
    </w:p>
    <w:p w14:paraId="1CF1BFF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защитените територии;</w:t>
      </w:r>
    </w:p>
    <w:p w14:paraId="015F55C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опазване на земеделските земи и Правилник за прилагането му;</w:t>
      </w:r>
    </w:p>
    <w:p w14:paraId="416B943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културното наследство;</w:t>
      </w:r>
    </w:p>
    <w:p w14:paraId="57217CF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защита при бедствия;</w:t>
      </w:r>
    </w:p>
    <w:p w14:paraId="3AC3C82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устройство на територията;</w:t>
      </w:r>
    </w:p>
    <w:p w14:paraId="03E2516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горите;</w:t>
      </w:r>
    </w:p>
    <w:p w14:paraId="1C593F4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здравословни и безопасни условия на труд;</w:t>
      </w:r>
    </w:p>
    <w:p w14:paraId="26DD210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здравето;</w:t>
      </w:r>
    </w:p>
    <w:p w14:paraId="0C488653"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Закон за отговорността за предотвратяване и отстраняване на екологични щети;</w:t>
      </w:r>
    </w:p>
    <w:p w14:paraId="5555D8E5"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Закон за устройство на Черноморското крайбрежие; </w:t>
      </w:r>
    </w:p>
    <w:p w14:paraId="596EB29D"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Наредба за условията и реда за извършване на екологична оценка на планове и програми;</w:t>
      </w:r>
    </w:p>
    <w:p w14:paraId="06C720AF"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Наредба за условията и реда за извършване на оценка на съвместимостта на планове, програми, проекти и инвестиционни предложения с предмета и целите на опазване на защитените зони;</w:t>
      </w:r>
    </w:p>
    <w:p w14:paraId="203D7F6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Решение № 196 на Министерския съвет от 11 април 2019 г. за одобряване на Анализ на социално-икономическото развитие на България 2007-2017 г. за определяне на националните приоритети за периода 2021-2027 г., на списък с целите на </w:t>
      </w:r>
      <w:r w:rsidRPr="009F6D1E">
        <w:rPr>
          <w:rFonts w:cs="Times New Roman"/>
          <w:szCs w:val="24"/>
        </w:rPr>
        <w:lastRenderedPageBreak/>
        <w:t>политиките, които да бъдат подкрепени през програмен период 2021-2027 г., и на списък с програми и водещи ведомства за разработването им;</w:t>
      </w:r>
    </w:p>
    <w:p w14:paraId="724DD4E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Постановление № 142 на МС от 2019 г. за разработване на стратегическите и програмните документи на Република България за управление на средствата от фондовете на ЕС за програмен период 2021-2027 г;</w:t>
      </w:r>
    </w:p>
    <w:p w14:paraId="2EEE9CFB"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План за управление на речните басейни (ПУРБ) в Дунавски район 2016-2021г. </w:t>
      </w:r>
    </w:p>
    <w:p w14:paraId="13092007"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План за управление на речните басейни (ПУРБ) в Черноморски район 2016-2021г.</w:t>
      </w:r>
    </w:p>
    <w:p w14:paraId="601E740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План за управление на речните басейни (ПУРБ) в Източнобеломорски район 2016-2021г.</w:t>
      </w:r>
    </w:p>
    <w:p w14:paraId="0B55EEF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План за управление на речните басейни (ПУРБ) в </w:t>
      </w:r>
      <w:proofErr w:type="spellStart"/>
      <w:r w:rsidRPr="009F6D1E">
        <w:rPr>
          <w:rFonts w:cs="Times New Roman"/>
          <w:szCs w:val="24"/>
        </w:rPr>
        <w:t>Западнобеломорски</w:t>
      </w:r>
      <w:proofErr w:type="spellEnd"/>
      <w:r w:rsidRPr="009F6D1E">
        <w:rPr>
          <w:rFonts w:cs="Times New Roman"/>
          <w:szCs w:val="24"/>
        </w:rPr>
        <w:t xml:space="preserve"> район 2016-2021г.</w:t>
      </w:r>
    </w:p>
    <w:p w14:paraId="7ABD129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План за управление на риска от наводнения (ПУРН) в Дунавски район 2016-2021г.</w:t>
      </w:r>
    </w:p>
    <w:p w14:paraId="427FA9D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План за управление на риска от наводнения (ПУРН) в Черноморски район 2016-2021г.</w:t>
      </w:r>
    </w:p>
    <w:p w14:paraId="36A35561"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План за управление на риска от наводнения (ПУРН) в Източнобеломорски район 2016-2021г.</w:t>
      </w:r>
    </w:p>
    <w:p w14:paraId="330F2D8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План за управление на риска от наводнения (ПУРН) в </w:t>
      </w:r>
      <w:proofErr w:type="spellStart"/>
      <w:r w:rsidRPr="009F6D1E">
        <w:rPr>
          <w:rFonts w:cs="Times New Roman"/>
          <w:szCs w:val="24"/>
        </w:rPr>
        <w:t>Западнобеломорски</w:t>
      </w:r>
      <w:proofErr w:type="spellEnd"/>
      <w:r w:rsidRPr="009F6D1E">
        <w:rPr>
          <w:rFonts w:cs="Times New Roman"/>
          <w:szCs w:val="24"/>
        </w:rPr>
        <w:t xml:space="preserve"> район 2016-2021г.</w:t>
      </w:r>
    </w:p>
    <w:p w14:paraId="68524BDD" w14:textId="2DEE66BB" w:rsidR="0091039F" w:rsidRPr="009F6D1E" w:rsidRDefault="00000000">
      <w:pPr>
        <w:numPr>
          <w:ilvl w:val="0"/>
          <w:numId w:val="83"/>
        </w:numPr>
        <w:spacing w:after="60" w:line="264" w:lineRule="auto"/>
        <w:contextualSpacing/>
        <w:jc w:val="both"/>
        <w:rPr>
          <w:rFonts w:cs="Times New Roman"/>
          <w:szCs w:val="24"/>
        </w:rPr>
      </w:pPr>
      <w:hyperlink r:id="rId122" w:history="1">
        <w:r w:rsidR="0091039F" w:rsidRPr="009F6D1E">
          <w:rPr>
            <w:rFonts w:cs="Times New Roman"/>
            <w:szCs w:val="24"/>
          </w:rPr>
          <w:t>Предварителна оценка на риска от наводнения в Дунавски район за басейново управление 2022-2027 г.</w:t>
        </w:r>
      </w:hyperlink>
      <w:r w:rsidR="0091039F" w:rsidRPr="009F6D1E">
        <w:rPr>
          <w:rFonts w:cs="Times New Roman"/>
          <w:szCs w:val="24"/>
        </w:rPr>
        <w:t> </w:t>
      </w:r>
    </w:p>
    <w:p w14:paraId="3835437D" w14:textId="2DE7D1FA" w:rsidR="0091039F" w:rsidRPr="009F6D1E" w:rsidRDefault="00000000">
      <w:pPr>
        <w:numPr>
          <w:ilvl w:val="0"/>
          <w:numId w:val="83"/>
        </w:numPr>
        <w:spacing w:after="60" w:line="264" w:lineRule="auto"/>
        <w:contextualSpacing/>
        <w:jc w:val="both"/>
        <w:rPr>
          <w:rFonts w:cs="Times New Roman"/>
          <w:szCs w:val="24"/>
        </w:rPr>
      </w:pPr>
      <w:hyperlink r:id="rId123" w:history="1">
        <w:r w:rsidR="0091039F" w:rsidRPr="009F6D1E">
          <w:rPr>
            <w:rFonts w:cs="Times New Roman"/>
            <w:szCs w:val="24"/>
          </w:rPr>
          <w:t>Предварителна оценка на риска от наводнения в Източнобеломорски район за басейново управление на водите 2022-2027 г.</w:t>
        </w:r>
      </w:hyperlink>
      <w:r w:rsidR="0091039F" w:rsidRPr="009F6D1E">
        <w:rPr>
          <w:rFonts w:cs="Times New Roman"/>
          <w:szCs w:val="24"/>
        </w:rPr>
        <w:t> </w:t>
      </w:r>
    </w:p>
    <w:p w14:paraId="6E6AE2F5" w14:textId="316F2695" w:rsidR="0091039F" w:rsidRPr="009F6D1E" w:rsidRDefault="00000000">
      <w:pPr>
        <w:numPr>
          <w:ilvl w:val="0"/>
          <w:numId w:val="83"/>
        </w:numPr>
        <w:spacing w:after="60" w:line="264" w:lineRule="auto"/>
        <w:contextualSpacing/>
        <w:jc w:val="both"/>
        <w:rPr>
          <w:rFonts w:cs="Times New Roman"/>
          <w:szCs w:val="24"/>
        </w:rPr>
      </w:pPr>
      <w:hyperlink r:id="rId124" w:history="1">
        <w:r w:rsidR="0091039F" w:rsidRPr="009F6D1E">
          <w:rPr>
            <w:rFonts w:cs="Times New Roman"/>
            <w:szCs w:val="24"/>
          </w:rPr>
          <w:t>Предварителна оценка на риска от наводнения в Черноморски район за басейново управление на водите 2022-2027 г.</w:t>
        </w:r>
      </w:hyperlink>
      <w:r w:rsidR="0091039F" w:rsidRPr="009F6D1E">
        <w:rPr>
          <w:rFonts w:cs="Times New Roman"/>
          <w:szCs w:val="24"/>
        </w:rPr>
        <w:t> </w:t>
      </w:r>
    </w:p>
    <w:p w14:paraId="1591B4F6" w14:textId="1027F5E7" w:rsidR="0091039F" w:rsidRPr="009F6D1E" w:rsidRDefault="00000000">
      <w:pPr>
        <w:numPr>
          <w:ilvl w:val="0"/>
          <w:numId w:val="83"/>
        </w:numPr>
        <w:spacing w:after="60" w:line="264" w:lineRule="auto"/>
        <w:contextualSpacing/>
        <w:jc w:val="both"/>
        <w:rPr>
          <w:rFonts w:cs="Times New Roman"/>
          <w:szCs w:val="24"/>
        </w:rPr>
      </w:pPr>
      <w:hyperlink r:id="rId125" w:history="1">
        <w:r w:rsidR="0091039F" w:rsidRPr="009F6D1E">
          <w:rPr>
            <w:rFonts w:cs="Times New Roman"/>
            <w:szCs w:val="24"/>
          </w:rPr>
          <w:t xml:space="preserve">Предварителна оценка на риска от наводнения в </w:t>
        </w:r>
        <w:proofErr w:type="spellStart"/>
        <w:r w:rsidR="0091039F" w:rsidRPr="009F6D1E">
          <w:rPr>
            <w:rFonts w:cs="Times New Roman"/>
            <w:szCs w:val="24"/>
          </w:rPr>
          <w:t>Западнобеломорски</w:t>
        </w:r>
        <w:proofErr w:type="spellEnd"/>
        <w:r w:rsidR="0091039F" w:rsidRPr="009F6D1E">
          <w:rPr>
            <w:rFonts w:cs="Times New Roman"/>
            <w:szCs w:val="24"/>
          </w:rPr>
          <w:t xml:space="preserve"> район за басейново управление на водите 2022-2027 г.</w:t>
        </w:r>
      </w:hyperlink>
      <w:r w:rsidR="0091039F" w:rsidRPr="009F6D1E">
        <w:rPr>
          <w:rFonts w:cs="Times New Roman"/>
          <w:szCs w:val="24"/>
        </w:rPr>
        <w:t> </w:t>
      </w:r>
    </w:p>
    <w:p w14:paraId="11D800D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Национален доклад за състоянието и опазването на околната среда в Р. България през 2019 г.</w:t>
      </w:r>
    </w:p>
    <w:p w14:paraId="26A4BF73"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Междинна екологична  и химична оценка на  повърхностните водни тела в БДДР за периода 2019 - 2020 г.</w:t>
      </w:r>
    </w:p>
    <w:p w14:paraId="195170FA"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Състояние на подземните води на територията на Дунавски район за басейново управление през 2020 година</w:t>
      </w:r>
    </w:p>
    <w:p w14:paraId="6467E442"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 xml:space="preserve">Бюлетин за състоянието на повърхностните и подземните водни тела в </w:t>
      </w:r>
      <w:proofErr w:type="spellStart"/>
      <w:r w:rsidRPr="009F6D1E">
        <w:rPr>
          <w:rFonts w:cs="Times New Roman"/>
          <w:szCs w:val="24"/>
        </w:rPr>
        <w:t>Западнобеломорски</w:t>
      </w:r>
      <w:proofErr w:type="spellEnd"/>
      <w:r w:rsidRPr="009F6D1E">
        <w:rPr>
          <w:rFonts w:cs="Times New Roman"/>
          <w:szCs w:val="24"/>
        </w:rPr>
        <w:t xml:space="preserve"> район за Басейново управление през 2020</w:t>
      </w:r>
    </w:p>
    <w:p w14:paraId="00ACB616"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Доклад за състоянието на водите на територията на Източнобеломорски район през 2020 г.</w:t>
      </w:r>
    </w:p>
    <w:p w14:paraId="7CD21200"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Оценка на актуалното състояние на водите в Черноморски район за басейново управление за 2020 г.</w:t>
      </w:r>
    </w:p>
    <w:p w14:paraId="22098A0E" w14:textId="77777777" w:rsidR="0091039F" w:rsidRPr="009F6D1E" w:rsidRDefault="0091039F">
      <w:pPr>
        <w:numPr>
          <w:ilvl w:val="0"/>
          <w:numId w:val="83"/>
        </w:numPr>
        <w:spacing w:after="60" w:line="264" w:lineRule="auto"/>
        <w:contextualSpacing/>
        <w:jc w:val="both"/>
        <w:rPr>
          <w:rFonts w:cs="Times New Roman"/>
          <w:szCs w:val="24"/>
        </w:rPr>
      </w:pPr>
      <w:r w:rsidRPr="009F6D1E">
        <w:rPr>
          <w:rFonts w:cs="Times New Roman"/>
          <w:szCs w:val="24"/>
        </w:rPr>
        <w:t>Други подзаконови нормативни актове, поставящи регулации относно компоненти и фактори на околната среда и човешкото здраве.</w:t>
      </w:r>
    </w:p>
    <w:p w14:paraId="63020A6F" w14:textId="77777777" w:rsidR="0091039F" w:rsidRPr="009F6D1E" w:rsidRDefault="0091039F" w:rsidP="0084747F">
      <w:pPr>
        <w:pStyle w:val="ListParagraph"/>
        <w:autoSpaceDE w:val="0"/>
        <w:autoSpaceDN w:val="0"/>
        <w:adjustRightInd w:val="0"/>
        <w:spacing w:after="60" w:line="264" w:lineRule="auto"/>
        <w:ind w:left="1440"/>
        <w:jc w:val="both"/>
        <w:rPr>
          <w:highlight w:val="cyan"/>
          <w:lang w:val="bg-BG"/>
        </w:rPr>
      </w:pPr>
    </w:p>
    <w:p w14:paraId="60572BE0" w14:textId="77777777" w:rsidR="00471E9F" w:rsidRPr="009F6D1E" w:rsidRDefault="00471E9F">
      <w:pPr>
        <w:pStyle w:val="ListParagraph"/>
        <w:keepNext/>
        <w:keepLines/>
        <w:numPr>
          <w:ilvl w:val="1"/>
          <w:numId w:val="87"/>
        </w:numPr>
        <w:shd w:val="clear" w:color="auto" w:fill="E2EFD9" w:themeFill="accent6" w:themeFillTint="33"/>
        <w:spacing w:after="60" w:line="264" w:lineRule="auto"/>
        <w:ind w:left="0" w:firstLine="0"/>
        <w:jc w:val="both"/>
        <w:outlineLvl w:val="1"/>
        <w:rPr>
          <w:rFonts w:eastAsia="Times New Roman"/>
          <w:b/>
          <w:i/>
          <w:lang w:val="bg-BG"/>
        </w:rPr>
      </w:pPr>
      <w:bookmarkStart w:id="634" w:name="_Toc115255055"/>
      <w:r w:rsidRPr="009F6D1E">
        <w:rPr>
          <w:rFonts w:eastAsia="Times New Roman"/>
          <w:b/>
          <w:i/>
          <w:lang w:val="bg-BG"/>
        </w:rPr>
        <w:t>Трудности при събиране на необходимата информация, като технически недостатъци и липса на ноу-хау</w:t>
      </w:r>
      <w:bookmarkEnd w:id="634"/>
    </w:p>
    <w:p w14:paraId="0B3B0B44" w14:textId="77777777" w:rsidR="00D54FD7" w:rsidRPr="009F6D1E" w:rsidRDefault="00D54FD7" w:rsidP="00B43F96">
      <w:pPr>
        <w:widowControl w:val="0"/>
        <w:spacing w:after="60" w:line="264" w:lineRule="auto"/>
        <w:ind w:firstLine="720"/>
        <w:jc w:val="both"/>
        <w:rPr>
          <w:rFonts w:cs="Times New Roman"/>
          <w:szCs w:val="24"/>
        </w:rPr>
      </w:pPr>
      <w:r w:rsidRPr="009F6D1E">
        <w:rPr>
          <w:rFonts w:cs="Times New Roman"/>
          <w:szCs w:val="24"/>
        </w:rPr>
        <w:t xml:space="preserve">Не са установени трудности при изготвянето на настоящия доклад за ЕО. </w:t>
      </w:r>
    </w:p>
    <w:p w14:paraId="732BEFD7" w14:textId="77777777" w:rsidR="002831ED" w:rsidRPr="009F6D1E" w:rsidRDefault="002831ED" w:rsidP="0084747F">
      <w:pPr>
        <w:widowControl w:val="0"/>
        <w:spacing w:after="60" w:line="264" w:lineRule="auto"/>
        <w:jc w:val="both"/>
        <w:rPr>
          <w:rFonts w:cs="Times New Roman"/>
          <w:szCs w:val="24"/>
        </w:rPr>
      </w:pPr>
    </w:p>
    <w:p w14:paraId="779CF786" w14:textId="77777777" w:rsidR="00471E9F" w:rsidRPr="009F6D1E" w:rsidRDefault="00471E9F">
      <w:pPr>
        <w:pStyle w:val="Heading1"/>
        <w:numPr>
          <w:ilvl w:val="0"/>
          <w:numId w:val="87"/>
        </w:numPr>
        <w:shd w:val="clear" w:color="auto" w:fill="DBDBDB" w:themeFill="accent3" w:themeFillTint="66"/>
        <w:tabs>
          <w:tab w:val="clear" w:pos="742"/>
        </w:tabs>
        <w:spacing w:before="0" w:after="60" w:line="264" w:lineRule="auto"/>
        <w:ind w:left="0" w:firstLine="0"/>
        <w:rPr>
          <w:sz w:val="24"/>
          <w:szCs w:val="24"/>
        </w:rPr>
      </w:pPr>
      <w:bookmarkStart w:id="635" w:name="_Toc97639513"/>
      <w:bookmarkStart w:id="636" w:name="_Toc115255056"/>
      <w:r w:rsidRPr="009F6D1E">
        <w:rPr>
          <w:sz w:val="24"/>
          <w:szCs w:val="24"/>
        </w:rPr>
        <w:t xml:space="preserve">ОПИСАНИЕ НА НЕОБХОДИМИТЕ МЕРКИ ВЪВ ВРЪЗКА С НАБЛЮДЕНИЕТО ПО ВРЕМЕ НА ПРИЛАГАНЕТО НА </w:t>
      </w:r>
      <w:r w:rsidR="00CD4045" w:rsidRPr="009F6D1E">
        <w:rPr>
          <w:sz w:val="24"/>
          <w:szCs w:val="24"/>
        </w:rPr>
        <w:t>СПРЗСР</w:t>
      </w:r>
      <w:bookmarkEnd w:id="635"/>
      <w:bookmarkEnd w:id="636"/>
    </w:p>
    <w:p w14:paraId="5BD0C996" w14:textId="77777777" w:rsidR="00CA4C5E" w:rsidRPr="009F6D1E" w:rsidRDefault="00CA4C5E" w:rsidP="00D51145">
      <w:pPr>
        <w:spacing w:after="60" w:line="264" w:lineRule="auto"/>
        <w:ind w:firstLine="708"/>
        <w:contextualSpacing/>
        <w:jc w:val="both"/>
        <w:rPr>
          <w:rFonts w:eastAsia="ヒラギノ角ゴ Pro W3" w:cs="Times New Roman"/>
          <w:szCs w:val="24"/>
        </w:rPr>
      </w:pPr>
      <w:r w:rsidRPr="009F6D1E">
        <w:rPr>
          <w:rFonts w:eastAsia="ヒラギノ角ゴ Pro W3" w:cs="Times New Roman"/>
          <w:szCs w:val="24"/>
        </w:rPr>
        <w:t xml:space="preserve">В изпълнение на чл.10 от Директивата за СЕО, съобразно резултатите и изводите от прогнозите за въздействие на </w:t>
      </w:r>
      <w:r w:rsidR="00CD4045" w:rsidRPr="009F6D1E">
        <w:rPr>
          <w:rFonts w:eastAsia="ヒラギノ角ゴ Pro W3" w:cs="Times New Roman"/>
          <w:szCs w:val="24"/>
        </w:rPr>
        <w:t>СПРЗСР</w:t>
      </w:r>
      <w:r w:rsidRPr="009F6D1E">
        <w:rPr>
          <w:rFonts w:eastAsia="ヒラギノ角ゴ Pro W3" w:cs="Times New Roman"/>
          <w:szCs w:val="24"/>
        </w:rPr>
        <w:t xml:space="preserve"> върху околната среда и човешкото здраве се идентифицират мерки и индикатори, въз основа на които да се извършва наблюдението и контролът на прогнозирани възможни значителни, както и възможни непредвидени отрицателни въздействия.</w:t>
      </w:r>
    </w:p>
    <w:p w14:paraId="73D26DB5" w14:textId="77777777" w:rsidR="00CA4C5E" w:rsidRPr="009F6D1E" w:rsidRDefault="00CA4C5E" w:rsidP="00D51145">
      <w:pPr>
        <w:spacing w:after="60" w:line="264" w:lineRule="auto"/>
        <w:ind w:firstLine="708"/>
        <w:contextualSpacing/>
        <w:jc w:val="both"/>
        <w:rPr>
          <w:rFonts w:eastAsia="ヒラギノ角ゴ Pro W3" w:cs="Times New Roman"/>
          <w:szCs w:val="24"/>
        </w:rPr>
      </w:pPr>
      <w:r w:rsidRPr="009F6D1E">
        <w:rPr>
          <w:rFonts w:eastAsia="ヒラギノ角ゴ Pro W3" w:cs="Times New Roman"/>
          <w:szCs w:val="24"/>
        </w:rPr>
        <w:t xml:space="preserve">При идентифициране на мерките и индикаторите са съобразени предложените индикатори във формите за наблюдение и оценка за всяка интервенция, предвидена със  </w:t>
      </w:r>
      <w:r w:rsidR="00CD4045" w:rsidRPr="009F6D1E">
        <w:rPr>
          <w:rFonts w:eastAsia="ヒラギノ角ゴ Pro W3" w:cs="Times New Roman"/>
          <w:szCs w:val="24"/>
        </w:rPr>
        <w:t>СПРЗСР</w:t>
      </w:r>
      <w:r w:rsidRPr="009F6D1E">
        <w:rPr>
          <w:rFonts w:eastAsia="ヒラギノ角ゴ Pro W3" w:cs="Times New Roman"/>
          <w:szCs w:val="24"/>
        </w:rPr>
        <w:t xml:space="preserve">, с оглед избягване на дублиране. </w:t>
      </w:r>
    </w:p>
    <w:p w14:paraId="0C2BF407" w14:textId="77777777" w:rsidR="00D51145" w:rsidRPr="009F6D1E" w:rsidRDefault="00D51145" w:rsidP="00CA4C5E">
      <w:pPr>
        <w:spacing w:after="0" w:line="276" w:lineRule="auto"/>
        <w:ind w:firstLine="709"/>
        <w:contextualSpacing/>
        <w:jc w:val="both"/>
        <w:rPr>
          <w:rFonts w:cs="Times New Roman"/>
          <w:iCs/>
          <w:szCs w:val="24"/>
        </w:rPr>
      </w:pPr>
    </w:p>
    <w:p w14:paraId="0D3D593C" w14:textId="0975A75B" w:rsidR="00CA4C5E" w:rsidRPr="009F6D1E" w:rsidRDefault="00D51145" w:rsidP="00D51145">
      <w:pPr>
        <w:spacing w:after="0" w:line="276" w:lineRule="auto"/>
        <w:contextualSpacing/>
        <w:jc w:val="center"/>
        <w:rPr>
          <w:rFonts w:cs="Times New Roman"/>
          <w:i/>
          <w:szCs w:val="24"/>
        </w:rPr>
      </w:pPr>
      <w:bookmarkStart w:id="637" w:name="_Toc115255191"/>
      <w:r w:rsidRPr="009F6D1E">
        <w:rPr>
          <w:rFonts w:cs="Times New Roman"/>
          <w:i/>
          <w:szCs w:val="24"/>
        </w:rPr>
        <w:t xml:space="preserve">Таблица </w:t>
      </w:r>
      <w:r w:rsidR="003F3D71" w:rsidRPr="009F6D1E">
        <w:rPr>
          <w:rFonts w:cs="Times New Roman"/>
          <w:i/>
          <w:szCs w:val="24"/>
        </w:rPr>
        <w:fldChar w:fldCharType="begin"/>
      </w:r>
      <w:r w:rsidRPr="009F6D1E">
        <w:rPr>
          <w:rFonts w:cs="Times New Roman"/>
          <w:i/>
          <w:szCs w:val="24"/>
        </w:rPr>
        <w:instrText xml:space="preserve"> SEQ Таблица \* ARABIC </w:instrText>
      </w:r>
      <w:r w:rsidR="003F3D71" w:rsidRPr="009F6D1E">
        <w:rPr>
          <w:rFonts w:cs="Times New Roman"/>
          <w:i/>
          <w:szCs w:val="24"/>
        </w:rPr>
        <w:fldChar w:fldCharType="separate"/>
      </w:r>
      <w:r w:rsidR="00A43EF3">
        <w:rPr>
          <w:rFonts w:cs="Times New Roman"/>
          <w:i/>
          <w:noProof/>
          <w:szCs w:val="24"/>
        </w:rPr>
        <w:t>40</w:t>
      </w:r>
      <w:r w:rsidR="003F3D71" w:rsidRPr="009F6D1E">
        <w:rPr>
          <w:rFonts w:cs="Times New Roman"/>
          <w:i/>
          <w:szCs w:val="24"/>
        </w:rPr>
        <w:fldChar w:fldCharType="end"/>
      </w:r>
      <w:r w:rsidRPr="009F6D1E">
        <w:rPr>
          <w:rFonts w:cs="Times New Roman"/>
          <w:i/>
          <w:szCs w:val="24"/>
        </w:rPr>
        <w:t xml:space="preserve">: </w:t>
      </w:r>
      <w:r w:rsidR="00CA4C5E" w:rsidRPr="009F6D1E">
        <w:rPr>
          <w:rFonts w:cs="Times New Roman"/>
          <w:i/>
          <w:szCs w:val="24"/>
        </w:rPr>
        <w:t xml:space="preserve">Мерки по наблюдение и контрол на въздействието върху околната среда и човешкото здраве при прилагане на </w:t>
      </w:r>
      <w:r w:rsidR="00CD4045" w:rsidRPr="009F6D1E">
        <w:rPr>
          <w:rFonts w:cs="Times New Roman"/>
          <w:i/>
          <w:szCs w:val="24"/>
        </w:rPr>
        <w:t>СПРЗСР</w:t>
      </w:r>
      <w:bookmarkEnd w:id="637"/>
    </w:p>
    <w:p w14:paraId="0594F81D" w14:textId="77777777" w:rsidR="00CA4C5E" w:rsidRPr="009F6D1E" w:rsidRDefault="00CA4C5E" w:rsidP="00CA4C5E">
      <w:pPr>
        <w:spacing w:after="0" w:line="276" w:lineRule="auto"/>
        <w:contextualSpacing/>
        <w:jc w:val="both"/>
        <w:rPr>
          <w:rFonts w:cs="Times New Roman"/>
          <w:i/>
          <w:szCs w:val="24"/>
        </w:rPr>
      </w:pPr>
    </w:p>
    <w:tbl>
      <w:tblPr>
        <w:tblStyle w:val="TableGrid19"/>
        <w:tblpPr w:leftFromText="180" w:rightFromText="180" w:vertAnchor="text" w:tblpXSpec="center" w:tblpY="1"/>
        <w:tblOverlap w:val="never"/>
        <w:tblW w:w="9488" w:type="dxa"/>
        <w:tblLayout w:type="fixed"/>
        <w:tblLook w:val="04A0" w:firstRow="1" w:lastRow="0" w:firstColumn="1" w:lastColumn="0" w:noHBand="0" w:noVBand="1"/>
      </w:tblPr>
      <w:tblGrid>
        <w:gridCol w:w="562"/>
        <w:gridCol w:w="3402"/>
        <w:gridCol w:w="2694"/>
        <w:gridCol w:w="2830"/>
      </w:tblGrid>
      <w:tr w:rsidR="00CA4C5E" w:rsidRPr="007C3C44" w14:paraId="0F02C67F" w14:textId="77777777" w:rsidTr="007C3C44">
        <w:trPr>
          <w:tblHeader/>
        </w:trPr>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F358B" w14:textId="77777777" w:rsidR="00CA4C5E" w:rsidRPr="007C3C44" w:rsidRDefault="00CA4C5E" w:rsidP="00D51145">
            <w:pPr>
              <w:spacing w:after="200" w:line="276" w:lineRule="auto"/>
              <w:contextualSpacing/>
              <w:jc w:val="center"/>
              <w:rPr>
                <w:rFonts w:ascii="Times New Roman" w:eastAsia="Calibri" w:hAnsi="Times New Roman" w:cs="Times New Roman"/>
                <w:iCs/>
                <w:lang w:val="bg-BG"/>
              </w:rPr>
            </w:pPr>
            <w:bookmarkStart w:id="638" w:name="_Hlk100837359"/>
            <w:r w:rsidRPr="007C3C44">
              <w:rPr>
                <w:rFonts w:ascii="Times New Roman" w:eastAsia="Calibri" w:hAnsi="Times New Roman" w:cs="Times New Roman"/>
                <w:b/>
                <w:bCs/>
                <w:iCs/>
                <w:lang w:val="bg-BG"/>
              </w:rPr>
              <w:t>№</w:t>
            </w:r>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B5FA7F" w14:textId="77777777" w:rsidR="00CA4C5E" w:rsidRPr="007C3C44" w:rsidRDefault="00CA4C5E" w:rsidP="00D51145">
            <w:pPr>
              <w:spacing w:after="200" w:line="276" w:lineRule="auto"/>
              <w:contextualSpacing/>
              <w:jc w:val="center"/>
              <w:rPr>
                <w:rFonts w:ascii="Times New Roman" w:eastAsia="Calibri" w:hAnsi="Times New Roman" w:cs="Times New Roman"/>
                <w:iCs/>
                <w:lang w:val="bg-BG"/>
              </w:rPr>
            </w:pPr>
            <w:r w:rsidRPr="007C3C44">
              <w:rPr>
                <w:rFonts w:ascii="Times New Roman" w:eastAsia="Calibri" w:hAnsi="Times New Roman" w:cs="Times New Roman"/>
                <w:b/>
                <w:bCs/>
                <w:iCs/>
                <w:lang w:val="bg-BG"/>
              </w:rPr>
              <w:t>Мярка за наблюдение и контрол</w:t>
            </w: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57D4A5" w14:textId="77777777" w:rsidR="00CA4C5E" w:rsidRPr="007C3C44" w:rsidRDefault="00CA4C5E" w:rsidP="00D51145">
            <w:pPr>
              <w:spacing w:after="200" w:line="276" w:lineRule="auto"/>
              <w:contextualSpacing/>
              <w:jc w:val="center"/>
              <w:rPr>
                <w:rFonts w:ascii="Times New Roman" w:eastAsia="Calibri" w:hAnsi="Times New Roman" w:cs="Times New Roman"/>
                <w:b/>
                <w:bCs/>
                <w:iCs/>
                <w:lang w:val="bg-BG"/>
              </w:rPr>
            </w:pPr>
            <w:r w:rsidRPr="007C3C44">
              <w:rPr>
                <w:rFonts w:ascii="Times New Roman" w:eastAsia="Calibri" w:hAnsi="Times New Roman" w:cs="Times New Roman"/>
                <w:b/>
                <w:bCs/>
                <w:iCs/>
                <w:lang w:val="bg-BG"/>
              </w:rPr>
              <w:t>Индикатори</w:t>
            </w:r>
          </w:p>
        </w:tc>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5971B" w14:textId="77777777" w:rsidR="00CA4C5E" w:rsidRPr="007C3C44" w:rsidRDefault="00CA4C5E" w:rsidP="00D51145">
            <w:pPr>
              <w:spacing w:after="200" w:line="276" w:lineRule="auto"/>
              <w:ind w:left="-32" w:firstLine="32"/>
              <w:contextualSpacing/>
              <w:jc w:val="center"/>
              <w:rPr>
                <w:rFonts w:ascii="Times New Roman" w:eastAsia="Calibri" w:hAnsi="Times New Roman" w:cs="Times New Roman"/>
                <w:b/>
                <w:bCs/>
                <w:iCs/>
                <w:lang w:val="bg-BG"/>
              </w:rPr>
            </w:pPr>
            <w:r w:rsidRPr="007C3C44">
              <w:rPr>
                <w:rFonts w:ascii="Times New Roman" w:eastAsia="Calibri" w:hAnsi="Times New Roman" w:cs="Times New Roman"/>
                <w:b/>
                <w:bCs/>
                <w:iCs/>
                <w:lang w:val="bg-BG"/>
              </w:rPr>
              <w:t>Период/Отговорен орган за изпълнението</w:t>
            </w:r>
          </w:p>
        </w:tc>
      </w:tr>
      <w:tr w:rsidR="00CA4C5E" w:rsidRPr="007C3C44" w14:paraId="3510B69E" w14:textId="77777777" w:rsidTr="007C3C44">
        <w:trPr>
          <w:trHeight w:val="757"/>
        </w:trPr>
        <w:tc>
          <w:tcPr>
            <w:tcW w:w="562" w:type="dxa"/>
            <w:vMerge w:val="restart"/>
            <w:tcBorders>
              <w:top w:val="single" w:sz="4" w:space="0" w:color="auto"/>
            </w:tcBorders>
            <w:vAlign w:val="center"/>
          </w:tcPr>
          <w:p w14:paraId="7885A7E3"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vMerge w:val="restart"/>
            <w:tcBorders>
              <w:top w:val="single" w:sz="4" w:space="0" w:color="auto"/>
            </w:tcBorders>
          </w:tcPr>
          <w:p w14:paraId="3A86A0AF"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За потребностите и интервенциите с инвестиционен характер да се съобразяват относимите цели, насоки и мерки за адаптация към изменението на климата за гарантиране на устойчивостта им</w:t>
            </w:r>
          </w:p>
          <w:p w14:paraId="59CF1EBB" w14:textId="77777777" w:rsidR="00CA4C5E" w:rsidRPr="007C3C44" w:rsidRDefault="00CA4C5E" w:rsidP="00AB2292">
            <w:pPr>
              <w:contextualSpacing/>
              <w:rPr>
                <w:rFonts w:ascii="Times New Roman" w:hAnsi="Times New Roman" w:cs="Times New Roman"/>
                <w:bCs/>
                <w:lang w:val="bg-BG"/>
              </w:rPr>
            </w:pPr>
          </w:p>
          <w:p w14:paraId="79DADEDF" w14:textId="77777777" w:rsidR="00CA4C5E" w:rsidRPr="007C3C44" w:rsidRDefault="00CA4C5E" w:rsidP="00AB2292">
            <w:pPr>
              <w:contextualSpacing/>
              <w:rPr>
                <w:rFonts w:ascii="Times New Roman" w:hAnsi="Times New Roman" w:cs="Times New Roman"/>
                <w:bCs/>
                <w:lang w:val="bg-BG"/>
              </w:rPr>
            </w:pPr>
          </w:p>
          <w:p w14:paraId="5CA50347" w14:textId="77777777" w:rsidR="00CA4C5E" w:rsidRPr="007C3C44" w:rsidRDefault="00CA4C5E" w:rsidP="00AB2292">
            <w:pPr>
              <w:contextualSpacing/>
              <w:rPr>
                <w:rFonts w:ascii="Times New Roman" w:hAnsi="Times New Roman" w:cs="Times New Roman"/>
                <w:bCs/>
                <w:lang w:val="bg-BG"/>
              </w:rPr>
            </w:pPr>
          </w:p>
          <w:p w14:paraId="417B94C8" w14:textId="77777777" w:rsidR="00CA4C5E" w:rsidRPr="007C3C44" w:rsidRDefault="00CA4C5E" w:rsidP="00AB2292">
            <w:pPr>
              <w:contextualSpacing/>
              <w:rPr>
                <w:rFonts w:ascii="Times New Roman" w:hAnsi="Times New Roman" w:cs="Times New Roman"/>
                <w:bCs/>
                <w:lang w:val="bg-BG"/>
              </w:rPr>
            </w:pPr>
          </w:p>
          <w:p w14:paraId="3D079C44" w14:textId="77777777" w:rsidR="00CA4C5E" w:rsidRPr="007C3C44" w:rsidRDefault="00CA4C5E" w:rsidP="00AB2292">
            <w:pPr>
              <w:contextualSpacing/>
              <w:rPr>
                <w:rFonts w:ascii="Times New Roman" w:hAnsi="Times New Roman" w:cs="Times New Roman"/>
                <w:bCs/>
                <w:lang w:val="bg-BG"/>
              </w:rPr>
            </w:pPr>
          </w:p>
          <w:p w14:paraId="6802ADD9" w14:textId="77777777" w:rsidR="00CA4C5E" w:rsidRPr="007C3C44" w:rsidRDefault="00CA4C5E" w:rsidP="00AB2292">
            <w:pPr>
              <w:contextualSpacing/>
              <w:rPr>
                <w:rFonts w:ascii="Times New Roman" w:hAnsi="Times New Roman" w:cs="Times New Roman"/>
                <w:bCs/>
                <w:lang w:val="bg-BG"/>
              </w:rPr>
            </w:pPr>
          </w:p>
        </w:tc>
        <w:tc>
          <w:tcPr>
            <w:tcW w:w="2694" w:type="dxa"/>
            <w:tcBorders>
              <w:top w:val="single" w:sz="4" w:space="0" w:color="auto"/>
            </w:tcBorders>
          </w:tcPr>
          <w:p w14:paraId="49D4532B"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 xml:space="preserve">- Предвидени мерки за устойчивост в проектните предложения. </w:t>
            </w:r>
          </w:p>
          <w:p w14:paraId="718783B1" w14:textId="77777777" w:rsidR="00CA4C5E" w:rsidRPr="007C3C44" w:rsidRDefault="00CA4C5E" w:rsidP="00AB2292">
            <w:pPr>
              <w:contextualSpacing/>
              <w:rPr>
                <w:rFonts w:ascii="Times New Roman" w:hAnsi="Times New Roman" w:cs="Times New Roman"/>
                <w:bCs/>
                <w:lang w:val="bg-BG"/>
              </w:rPr>
            </w:pPr>
          </w:p>
        </w:tc>
        <w:tc>
          <w:tcPr>
            <w:tcW w:w="2830" w:type="dxa"/>
            <w:tcBorders>
              <w:top w:val="single" w:sz="4" w:space="0" w:color="auto"/>
            </w:tcBorders>
          </w:tcPr>
          <w:p w14:paraId="76D40CCB"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 При одобряване на проектните предложения/</w:t>
            </w:r>
          </w:p>
          <w:p w14:paraId="3FFBAC60"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Управляващ орган, Национален орган</w:t>
            </w:r>
          </w:p>
        </w:tc>
      </w:tr>
      <w:tr w:rsidR="00CA4C5E" w:rsidRPr="007C3C44" w14:paraId="5DB0090A" w14:textId="77777777" w:rsidTr="007C3C44">
        <w:trPr>
          <w:trHeight w:val="1890"/>
        </w:trPr>
        <w:tc>
          <w:tcPr>
            <w:tcW w:w="562" w:type="dxa"/>
            <w:vMerge/>
            <w:vAlign w:val="center"/>
          </w:tcPr>
          <w:p w14:paraId="5D3A99C6"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vMerge/>
          </w:tcPr>
          <w:p w14:paraId="2C2A1A9F" w14:textId="77777777" w:rsidR="00CA4C5E" w:rsidRPr="007C3C44" w:rsidRDefault="00CA4C5E" w:rsidP="00AB2292">
            <w:pPr>
              <w:contextualSpacing/>
              <w:rPr>
                <w:rFonts w:ascii="Times New Roman" w:hAnsi="Times New Roman" w:cs="Times New Roman"/>
                <w:bCs/>
                <w:lang w:val="bg-BG"/>
              </w:rPr>
            </w:pPr>
          </w:p>
        </w:tc>
        <w:tc>
          <w:tcPr>
            <w:tcW w:w="2694" w:type="dxa"/>
          </w:tcPr>
          <w:p w14:paraId="664C097F"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 Брой населени места/ производствени обекти/ земи/гори, водни обекти, които са повлияни от проекти за намаляване на замърсяването и негативните ефекти от изменението на климата.</w:t>
            </w:r>
          </w:p>
        </w:tc>
        <w:tc>
          <w:tcPr>
            <w:tcW w:w="2830" w:type="dxa"/>
          </w:tcPr>
          <w:p w14:paraId="0E152EC6" w14:textId="77777777" w:rsidR="00CA4C5E" w:rsidRPr="007C3C44" w:rsidRDefault="00CA4C5E" w:rsidP="00AB2292">
            <w:pPr>
              <w:contextualSpacing/>
              <w:rPr>
                <w:rFonts w:ascii="Times New Roman" w:hAnsi="Times New Roman" w:cs="Times New Roman"/>
                <w:bCs/>
                <w:lang w:val="bg-BG"/>
              </w:rPr>
            </w:pPr>
            <w:r w:rsidRPr="007C3C44">
              <w:rPr>
                <w:rFonts w:ascii="Times New Roman" w:hAnsi="Times New Roman" w:cs="Times New Roman"/>
                <w:bCs/>
                <w:lang w:val="bg-BG"/>
              </w:rPr>
              <w:t xml:space="preserve"> След прилагане на интервенцията/ Управляващ орган, Бенефициенти </w:t>
            </w:r>
          </w:p>
        </w:tc>
      </w:tr>
      <w:tr w:rsidR="00CA4C5E" w:rsidRPr="007C3C44" w14:paraId="0E11C5EB" w14:textId="77777777" w:rsidTr="007C3C44">
        <w:tc>
          <w:tcPr>
            <w:tcW w:w="562" w:type="dxa"/>
            <w:vAlign w:val="center"/>
          </w:tcPr>
          <w:p w14:paraId="4557BDCB"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5218E392"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Подобрена инфраструктура за напояване</w:t>
            </w:r>
          </w:p>
        </w:tc>
        <w:tc>
          <w:tcPr>
            <w:tcW w:w="2694" w:type="dxa"/>
          </w:tcPr>
          <w:p w14:paraId="1FDF352D"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 xml:space="preserve">Дължина на изградена/ възстановена/модернизирана хидромелиоративната  инфраструктура </w:t>
            </w:r>
          </w:p>
        </w:tc>
        <w:tc>
          <w:tcPr>
            <w:tcW w:w="2830" w:type="dxa"/>
          </w:tcPr>
          <w:p w14:paraId="5107D0B8"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33DF06B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13E96C76" w14:textId="77777777" w:rsidTr="007C3C44">
        <w:tc>
          <w:tcPr>
            <w:tcW w:w="562" w:type="dxa"/>
            <w:vAlign w:val="center"/>
          </w:tcPr>
          <w:p w14:paraId="5AE292A0"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411FDE30"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Допустимост на проектните предложения спрямо действащите ПУРБ и ПУРН .</w:t>
            </w:r>
          </w:p>
        </w:tc>
        <w:tc>
          <w:tcPr>
            <w:tcW w:w="2694" w:type="dxa"/>
          </w:tcPr>
          <w:p w14:paraId="7E9BBE0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Наличие на становище от компетентните органи</w:t>
            </w:r>
          </w:p>
        </w:tc>
        <w:tc>
          <w:tcPr>
            <w:tcW w:w="2830" w:type="dxa"/>
          </w:tcPr>
          <w:p w14:paraId="37D56C7B"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 xml:space="preserve">Преди </w:t>
            </w:r>
            <w:r w:rsidRPr="007C3C44">
              <w:rPr>
                <w:rFonts w:ascii="Times New Roman" w:hAnsi="Times New Roman" w:cs="Times New Roman"/>
                <w:bCs/>
                <w:lang w:val="bg-BG"/>
              </w:rPr>
              <w:t xml:space="preserve"> </w:t>
            </w:r>
            <w:r w:rsidRPr="007C3C44">
              <w:rPr>
                <w:rFonts w:ascii="Times New Roman" w:hAnsi="Times New Roman" w:cs="Times New Roman"/>
                <w:lang w:val="bg-BG"/>
              </w:rPr>
              <w:t xml:space="preserve"> </w:t>
            </w:r>
            <w:r w:rsidRPr="007C3C44">
              <w:rPr>
                <w:rFonts w:ascii="Times New Roman" w:hAnsi="Times New Roman" w:cs="Times New Roman"/>
                <w:bCs/>
                <w:lang w:val="bg-BG"/>
              </w:rPr>
              <w:t xml:space="preserve">одобряване на проектните предложения </w:t>
            </w:r>
            <w:r w:rsidRPr="007C3C44">
              <w:rPr>
                <w:rFonts w:ascii="Times New Roman" w:eastAsia="Calibri" w:hAnsi="Times New Roman" w:cs="Times New Roman"/>
                <w:iCs/>
                <w:lang w:val="bg-BG"/>
              </w:rPr>
              <w:t>/</w:t>
            </w:r>
          </w:p>
          <w:p w14:paraId="11AF7A0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53E8DAC9" w14:textId="77777777" w:rsidTr="007C3C44">
        <w:trPr>
          <w:trHeight w:val="635"/>
        </w:trPr>
        <w:tc>
          <w:tcPr>
            <w:tcW w:w="562" w:type="dxa"/>
            <w:vAlign w:val="center"/>
          </w:tcPr>
          <w:p w14:paraId="7CF29F63"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02D9A5D6"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Недопускане на замърсяване на водни тела</w:t>
            </w:r>
          </w:p>
        </w:tc>
        <w:tc>
          <w:tcPr>
            <w:tcW w:w="2694" w:type="dxa"/>
            <w:vAlign w:val="center"/>
          </w:tcPr>
          <w:p w14:paraId="72BBA26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Предвидени превантивни мерки</w:t>
            </w:r>
          </w:p>
        </w:tc>
        <w:tc>
          <w:tcPr>
            <w:tcW w:w="2830" w:type="dxa"/>
            <w:vAlign w:val="center"/>
          </w:tcPr>
          <w:p w14:paraId="2353762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По време на изготвяне на проектното предложение/ Бенефициенти</w:t>
            </w:r>
          </w:p>
        </w:tc>
      </w:tr>
      <w:tr w:rsidR="00CA4C5E" w:rsidRPr="007C3C44" w14:paraId="0E79D298" w14:textId="77777777" w:rsidTr="007C3C44">
        <w:trPr>
          <w:trHeight w:val="767"/>
        </w:trPr>
        <w:tc>
          <w:tcPr>
            <w:tcW w:w="562" w:type="dxa"/>
            <w:vAlign w:val="center"/>
          </w:tcPr>
          <w:p w14:paraId="271E2D55"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4BBDE75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Подобрени условия за устойчиво развитие на секторите в земеделието</w:t>
            </w:r>
          </w:p>
        </w:tc>
        <w:tc>
          <w:tcPr>
            <w:tcW w:w="2694" w:type="dxa"/>
          </w:tcPr>
          <w:p w14:paraId="4F604600"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Внедрени иновации и цифровизация в стопанствата</w:t>
            </w:r>
          </w:p>
        </w:tc>
        <w:tc>
          <w:tcPr>
            <w:tcW w:w="2830" w:type="dxa"/>
          </w:tcPr>
          <w:p w14:paraId="3B6A4897"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776F937B"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3DDE37EE" w14:textId="77777777" w:rsidTr="007C3C44">
        <w:trPr>
          <w:trHeight w:val="767"/>
        </w:trPr>
        <w:tc>
          <w:tcPr>
            <w:tcW w:w="562" w:type="dxa"/>
            <w:vAlign w:val="center"/>
          </w:tcPr>
          <w:p w14:paraId="7290BCE6"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35ABBFC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 xml:space="preserve">Проекти в </w:t>
            </w:r>
            <w:proofErr w:type="spellStart"/>
            <w:r w:rsidRPr="007C3C44">
              <w:rPr>
                <w:rFonts w:ascii="Times New Roman" w:eastAsia="Calibri" w:hAnsi="Times New Roman" w:cs="Times New Roman"/>
                <w:iCs/>
                <w:lang w:val="bg-BG"/>
              </w:rPr>
              <w:t>лозаро</w:t>
            </w:r>
            <w:proofErr w:type="spellEnd"/>
            <w:r w:rsidRPr="007C3C44">
              <w:rPr>
                <w:rFonts w:ascii="Times New Roman" w:eastAsia="Calibri" w:hAnsi="Times New Roman" w:cs="Times New Roman"/>
                <w:iCs/>
                <w:lang w:val="bg-BG"/>
              </w:rPr>
              <w:t>-винарския сектор</w:t>
            </w:r>
            <w:r w:rsidRPr="007C3C44">
              <w:rPr>
                <w:rFonts w:ascii="Times New Roman" w:hAnsi="Times New Roman" w:cs="Times New Roman"/>
                <w:lang w:val="bg-BG"/>
              </w:rPr>
              <w:t xml:space="preserve"> за </w:t>
            </w:r>
            <w:r w:rsidRPr="007C3C44">
              <w:rPr>
                <w:rFonts w:ascii="Times New Roman" w:eastAsia="Calibri" w:hAnsi="Times New Roman" w:cs="Times New Roman"/>
                <w:iCs/>
                <w:lang w:val="bg-BG"/>
              </w:rPr>
              <w:t xml:space="preserve">обновяване на производствения потенциал </w:t>
            </w:r>
          </w:p>
        </w:tc>
        <w:tc>
          <w:tcPr>
            <w:tcW w:w="2694" w:type="dxa"/>
          </w:tcPr>
          <w:p w14:paraId="18E96228"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 xml:space="preserve">Брой  реализирани проекти </w:t>
            </w:r>
          </w:p>
        </w:tc>
        <w:tc>
          <w:tcPr>
            <w:tcW w:w="2830" w:type="dxa"/>
          </w:tcPr>
          <w:p w14:paraId="4C674DBB"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321DD76D"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7E2DE707" w14:textId="77777777" w:rsidTr="007C3C44">
        <w:trPr>
          <w:trHeight w:val="767"/>
        </w:trPr>
        <w:tc>
          <w:tcPr>
            <w:tcW w:w="562" w:type="dxa"/>
            <w:vAlign w:val="center"/>
          </w:tcPr>
          <w:p w14:paraId="11147C4E"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59F183D1"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Производство на енергия от възобновяеми източници от селското стопанство (от водна, вятърна, слънчева, геотермална енергия и остатъчна/отпадъчна биомаса от селското стопанство)</w:t>
            </w:r>
          </w:p>
        </w:tc>
        <w:tc>
          <w:tcPr>
            <w:tcW w:w="2694" w:type="dxa"/>
          </w:tcPr>
          <w:p w14:paraId="215ACDB5"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Брой  реализирани проекти</w:t>
            </w:r>
          </w:p>
        </w:tc>
        <w:tc>
          <w:tcPr>
            <w:tcW w:w="2830" w:type="dxa"/>
          </w:tcPr>
          <w:p w14:paraId="339257F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104690CE"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6A7B4328" w14:textId="77777777" w:rsidTr="007C3C44">
        <w:trPr>
          <w:trHeight w:val="767"/>
        </w:trPr>
        <w:tc>
          <w:tcPr>
            <w:tcW w:w="562" w:type="dxa"/>
            <w:vAlign w:val="center"/>
          </w:tcPr>
          <w:p w14:paraId="42050096"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54F45CD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Използване на култури и сортове, приспособени към климата</w:t>
            </w:r>
          </w:p>
        </w:tc>
        <w:tc>
          <w:tcPr>
            <w:tcW w:w="2694" w:type="dxa"/>
          </w:tcPr>
          <w:p w14:paraId="3D9BC3CF"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Засадени площи/годишно  от реализирани проекти</w:t>
            </w:r>
          </w:p>
        </w:tc>
        <w:tc>
          <w:tcPr>
            <w:tcW w:w="2830" w:type="dxa"/>
          </w:tcPr>
          <w:p w14:paraId="1BB3AC26"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56E00060"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7FC60873" w14:textId="77777777" w:rsidTr="007C3C44">
        <w:trPr>
          <w:trHeight w:val="767"/>
        </w:trPr>
        <w:tc>
          <w:tcPr>
            <w:tcW w:w="562" w:type="dxa"/>
            <w:vAlign w:val="center"/>
          </w:tcPr>
          <w:p w14:paraId="15CC3F08"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579AE627"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Производството на биомаса с животински произход</w:t>
            </w:r>
          </w:p>
        </w:tc>
        <w:tc>
          <w:tcPr>
            <w:tcW w:w="2694" w:type="dxa"/>
          </w:tcPr>
          <w:p w14:paraId="6C7C549C"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Произведена биомаса/годишно от реализирани проекти</w:t>
            </w:r>
          </w:p>
        </w:tc>
        <w:tc>
          <w:tcPr>
            <w:tcW w:w="2830" w:type="dxa"/>
          </w:tcPr>
          <w:p w14:paraId="78C6DAD5" w14:textId="77777777" w:rsidR="00CA4C5E" w:rsidRPr="007C3C44" w:rsidRDefault="00CA4C5E" w:rsidP="00AB2292">
            <w:pPr>
              <w:contextualSpacing/>
              <w:rPr>
                <w:rFonts w:ascii="Times New Roman" w:eastAsia="Calibri" w:hAnsi="Times New Roman" w:cs="Times New Roman"/>
                <w:iCs/>
                <w:lang w:val="bg-BG"/>
              </w:rPr>
            </w:pPr>
          </w:p>
        </w:tc>
      </w:tr>
      <w:tr w:rsidR="00CA4C5E" w:rsidRPr="007C3C44" w14:paraId="4D5581AA" w14:textId="77777777" w:rsidTr="007C3C44">
        <w:trPr>
          <w:trHeight w:val="767"/>
        </w:trPr>
        <w:tc>
          <w:tcPr>
            <w:tcW w:w="562" w:type="dxa"/>
            <w:vAlign w:val="center"/>
          </w:tcPr>
          <w:p w14:paraId="6B3F1358"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6DD602A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Залесяване на земеделски и неземеделски земи</w:t>
            </w:r>
          </w:p>
        </w:tc>
        <w:tc>
          <w:tcPr>
            <w:tcW w:w="2694" w:type="dxa"/>
          </w:tcPr>
          <w:p w14:paraId="4630282B"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Залесени площи/годишно  от реализирани проекти</w:t>
            </w:r>
          </w:p>
        </w:tc>
        <w:tc>
          <w:tcPr>
            <w:tcW w:w="2830" w:type="dxa"/>
          </w:tcPr>
          <w:p w14:paraId="4081C453" w14:textId="77777777" w:rsidR="00CA4C5E" w:rsidRPr="007C3C44" w:rsidRDefault="00CA4C5E" w:rsidP="00AB2292">
            <w:pPr>
              <w:contextualSpacing/>
              <w:rPr>
                <w:rFonts w:ascii="Times New Roman" w:eastAsia="Calibri" w:hAnsi="Times New Roman" w:cs="Times New Roman"/>
                <w:iCs/>
                <w:lang w:val="bg-BG"/>
              </w:rPr>
            </w:pPr>
          </w:p>
        </w:tc>
      </w:tr>
      <w:tr w:rsidR="00CA4C5E" w:rsidRPr="007C3C44" w14:paraId="1B797DB2" w14:textId="77777777" w:rsidTr="007C3C44">
        <w:trPr>
          <w:trHeight w:val="1140"/>
        </w:trPr>
        <w:tc>
          <w:tcPr>
            <w:tcW w:w="562" w:type="dxa"/>
            <w:vAlign w:val="center"/>
          </w:tcPr>
          <w:p w14:paraId="645C249B"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Pr>
          <w:p w14:paraId="3DF543F2"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Спазване на приетите режими на управление на защитените зони, в това число ограничаване на вероятността от отрицателно въздействие върху защитените зони и приоритетите на опазване в тях</w:t>
            </w:r>
          </w:p>
        </w:tc>
        <w:tc>
          <w:tcPr>
            <w:tcW w:w="2694" w:type="dxa"/>
          </w:tcPr>
          <w:p w14:paraId="053C7B80"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Одобрени инвестиционни проекти на територията на защитени зони, заета площ (дка);</w:t>
            </w:r>
          </w:p>
          <w:p w14:paraId="7C5A9624" w14:textId="77777777" w:rsidR="00CA4C5E" w:rsidRPr="007C3C44" w:rsidRDefault="00CA4C5E" w:rsidP="00AB2292">
            <w:pPr>
              <w:tabs>
                <w:tab w:val="left" w:pos="360"/>
                <w:tab w:val="left" w:pos="3010"/>
              </w:tabs>
              <w:ind w:right="182"/>
              <w:rPr>
                <w:rFonts w:ascii="Times New Roman" w:eastAsia="Calibri" w:hAnsi="Times New Roman" w:cs="Times New Roman"/>
                <w:iCs/>
                <w:lang w:val="bg-BG"/>
              </w:rPr>
            </w:pPr>
            <w:r w:rsidRPr="007C3C44">
              <w:rPr>
                <w:rFonts w:ascii="Times New Roman" w:eastAsia="Calibri" w:hAnsi="Times New Roman" w:cs="Times New Roman"/>
                <w:iCs/>
                <w:lang w:val="bg-BG"/>
              </w:rPr>
              <w:t>Начин на съобразяване на режимите на управление.</w:t>
            </w:r>
          </w:p>
        </w:tc>
        <w:tc>
          <w:tcPr>
            <w:tcW w:w="2830" w:type="dxa"/>
            <w:vAlign w:val="center"/>
          </w:tcPr>
          <w:p w14:paraId="3A3EEF92"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Периодично/Бенефициенти</w:t>
            </w:r>
          </w:p>
        </w:tc>
      </w:tr>
      <w:tr w:rsidR="00CA4C5E" w:rsidRPr="007C3C44" w14:paraId="465B91DB" w14:textId="77777777" w:rsidTr="007C3C44">
        <w:trPr>
          <w:trHeight w:val="485"/>
        </w:trPr>
        <w:tc>
          <w:tcPr>
            <w:tcW w:w="562" w:type="dxa"/>
            <w:vAlign w:val="center"/>
          </w:tcPr>
          <w:p w14:paraId="1ED7DE59"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vAlign w:val="center"/>
          </w:tcPr>
          <w:p w14:paraId="5A79B726"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Недопускане на нарушаване/ увреждане/унищожаване на ценни растителни видове, както и животински видове и техни местообитания</w:t>
            </w:r>
          </w:p>
        </w:tc>
        <w:tc>
          <w:tcPr>
            <w:tcW w:w="2694" w:type="dxa"/>
            <w:vAlign w:val="center"/>
          </w:tcPr>
          <w:p w14:paraId="0A741D3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Проведени процедури по ОВОС/ЕО/ОС (когато са приложими)</w:t>
            </w:r>
          </w:p>
          <w:p w14:paraId="2390F2B0"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Изпълнение на мерките от крайните актове по ОВОС/ЕО/ОС (когато са предвидени за биологично разнообразие)</w:t>
            </w:r>
          </w:p>
        </w:tc>
        <w:tc>
          <w:tcPr>
            <w:tcW w:w="2830" w:type="dxa"/>
            <w:vAlign w:val="center"/>
          </w:tcPr>
          <w:p w14:paraId="0ABB1685"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Периодично/Бенефициенти</w:t>
            </w:r>
          </w:p>
        </w:tc>
      </w:tr>
      <w:tr w:rsidR="00CA4C5E" w:rsidRPr="007C3C44" w14:paraId="56355B57" w14:textId="77777777" w:rsidTr="007C3C44">
        <w:trPr>
          <w:trHeight w:val="606"/>
        </w:trPr>
        <w:tc>
          <w:tcPr>
            <w:tcW w:w="562" w:type="dxa"/>
            <w:vAlign w:val="center"/>
          </w:tcPr>
          <w:p w14:paraId="41F75879"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Borders>
              <w:top w:val="nil"/>
              <w:left w:val="nil"/>
              <w:bottom w:val="single" w:sz="4" w:space="0" w:color="auto"/>
              <w:right w:val="single" w:sz="4" w:space="0" w:color="auto"/>
            </w:tcBorders>
            <w:shd w:val="clear" w:color="auto" w:fill="auto"/>
          </w:tcPr>
          <w:p w14:paraId="4909F29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Развитие на традициите и на културно-историческите обекти</w:t>
            </w:r>
          </w:p>
        </w:tc>
        <w:tc>
          <w:tcPr>
            <w:tcW w:w="2694" w:type="dxa"/>
          </w:tcPr>
          <w:p w14:paraId="1DACACDA"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 xml:space="preserve">Наличие на </w:t>
            </w:r>
            <w:proofErr w:type="spellStart"/>
            <w:r w:rsidRPr="007C3C44">
              <w:rPr>
                <w:rFonts w:ascii="Times New Roman" w:eastAsia="Calibri" w:hAnsi="Times New Roman" w:cs="Times New Roman"/>
                <w:iCs/>
                <w:lang w:val="bg-BG"/>
              </w:rPr>
              <w:t>съгласувателно</w:t>
            </w:r>
            <w:proofErr w:type="spellEnd"/>
            <w:r w:rsidRPr="007C3C44">
              <w:rPr>
                <w:rFonts w:ascii="Times New Roman" w:eastAsia="Calibri" w:hAnsi="Times New Roman" w:cs="Times New Roman"/>
                <w:iCs/>
                <w:lang w:val="bg-BG"/>
              </w:rPr>
              <w:t xml:space="preserve"> становище от компетентен орган</w:t>
            </w:r>
          </w:p>
        </w:tc>
        <w:tc>
          <w:tcPr>
            <w:tcW w:w="2830" w:type="dxa"/>
          </w:tcPr>
          <w:p w14:paraId="046FF5CD"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Преди започване на дейностите/ Бенефициент</w:t>
            </w:r>
          </w:p>
        </w:tc>
      </w:tr>
      <w:tr w:rsidR="00CA4C5E" w:rsidRPr="007C3C44" w14:paraId="41C2B7AE" w14:textId="77777777" w:rsidTr="007C3C44">
        <w:trPr>
          <w:trHeight w:val="758"/>
        </w:trPr>
        <w:tc>
          <w:tcPr>
            <w:tcW w:w="562" w:type="dxa"/>
            <w:vAlign w:val="center"/>
          </w:tcPr>
          <w:p w14:paraId="57FDF657"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Borders>
              <w:top w:val="nil"/>
              <w:left w:val="nil"/>
              <w:bottom w:val="single" w:sz="4" w:space="0" w:color="auto"/>
              <w:right w:val="single" w:sz="4" w:space="0" w:color="auto"/>
            </w:tcBorders>
            <w:shd w:val="clear" w:color="auto" w:fill="auto"/>
          </w:tcPr>
          <w:p w14:paraId="44E04A5C"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Нови производства в областта на биоикономиката и кръговата икономика</w:t>
            </w:r>
          </w:p>
        </w:tc>
        <w:tc>
          <w:tcPr>
            <w:tcW w:w="2694" w:type="dxa"/>
          </w:tcPr>
          <w:p w14:paraId="6B9194B2"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Брой  реализирани проекти</w:t>
            </w:r>
          </w:p>
        </w:tc>
        <w:tc>
          <w:tcPr>
            <w:tcW w:w="2830" w:type="dxa"/>
          </w:tcPr>
          <w:p w14:paraId="4B02525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331EDAF5"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0D4BB854" w14:textId="77777777" w:rsidTr="007C3C44">
        <w:trPr>
          <w:trHeight w:val="841"/>
        </w:trPr>
        <w:tc>
          <w:tcPr>
            <w:tcW w:w="562" w:type="dxa"/>
            <w:vAlign w:val="center"/>
          </w:tcPr>
          <w:p w14:paraId="660D5D68"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Borders>
              <w:top w:val="nil"/>
              <w:left w:val="nil"/>
              <w:bottom w:val="single" w:sz="4" w:space="0" w:color="auto"/>
              <w:right w:val="single" w:sz="4" w:space="0" w:color="auto"/>
            </w:tcBorders>
            <w:shd w:val="clear" w:color="auto" w:fill="auto"/>
            <w:vAlign w:val="center"/>
          </w:tcPr>
          <w:p w14:paraId="29C55EC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Развитие на биологичното земеделие</w:t>
            </w:r>
          </w:p>
        </w:tc>
        <w:tc>
          <w:tcPr>
            <w:tcW w:w="2694" w:type="dxa"/>
          </w:tcPr>
          <w:p w14:paraId="13D11B9C"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Земеделски площи/ отглеждани селскостопански животни годишно</w:t>
            </w:r>
          </w:p>
        </w:tc>
        <w:tc>
          <w:tcPr>
            <w:tcW w:w="2830" w:type="dxa"/>
          </w:tcPr>
          <w:p w14:paraId="581CEF0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690C05E9"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6BC66940" w14:textId="77777777" w:rsidTr="007C3C44">
        <w:trPr>
          <w:trHeight w:val="841"/>
        </w:trPr>
        <w:tc>
          <w:tcPr>
            <w:tcW w:w="562" w:type="dxa"/>
            <w:vAlign w:val="center"/>
          </w:tcPr>
          <w:p w14:paraId="2CEB2B95" w14:textId="77777777" w:rsidR="00CA4C5E" w:rsidRPr="007C3C44" w:rsidRDefault="00CA4C5E">
            <w:pPr>
              <w:numPr>
                <w:ilvl w:val="0"/>
                <w:numId w:val="86"/>
              </w:numPr>
              <w:ind w:left="459"/>
              <w:contextualSpacing/>
              <w:rPr>
                <w:rFonts w:ascii="Times New Roman" w:eastAsia="Calibri" w:hAnsi="Times New Roman" w:cs="Times New Roman"/>
                <w:iCs/>
                <w:lang w:val="bg-BG"/>
              </w:rPr>
            </w:pPr>
          </w:p>
        </w:tc>
        <w:tc>
          <w:tcPr>
            <w:tcW w:w="3402" w:type="dxa"/>
            <w:tcBorders>
              <w:top w:val="nil"/>
              <w:left w:val="nil"/>
              <w:bottom w:val="single" w:sz="4" w:space="0" w:color="auto"/>
              <w:right w:val="single" w:sz="4" w:space="0" w:color="auto"/>
            </w:tcBorders>
            <w:shd w:val="clear" w:color="auto" w:fill="auto"/>
            <w:vAlign w:val="center"/>
          </w:tcPr>
          <w:p w14:paraId="54F3CE64"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Подобряване използването на торове и продукти за растителна защита в земеделието</w:t>
            </w:r>
          </w:p>
        </w:tc>
        <w:tc>
          <w:tcPr>
            <w:tcW w:w="2694" w:type="dxa"/>
          </w:tcPr>
          <w:p w14:paraId="2841B54F"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Намаляване използването на ПРЗ и торове на площ/годишно</w:t>
            </w:r>
          </w:p>
        </w:tc>
        <w:tc>
          <w:tcPr>
            <w:tcW w:w="2830" w:type="dxa"/>
          </w:tcPr>
          <w:p w14:paraId="7BD56F83"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Периодично/</w:t>
            </w:r>
          </w:p>
          <w:p w14:paraId="4623F04C"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Бенефициенти</w:t>
            </w:r>
          </w:p>
        </w:tc>
      </w:tr>
      <w:tr w:rsidR="00CA4C5E" w:rsidRPr="007C3C44" w14:paraId="23D3BA1E" w14:textId="77777777" w:rsidTr="007C3C44">
        <w:trPr>
          <w:trHeight w:val="841"/>
        </w:trPr>
        <w:tc>
          <w:tcPr>
            <w:tcW w:w="562" w:type="dxa"/>
            <w:vAlign w:val="center"/>
          </w:tcPr>
          <w:p w14:paraId="35C0ADB1" w14:textId="77777777" w:rsidR="00CA4C5E" w:rsidRPr="007C3C44" w:rsidRDefault="00CA4C5E">
            <w:pPr>
              <w:numPr>
                <w:ilvl w:val="0"/>
                <w:numId w:val="86"/>
              </w:numPr>
              <w:ind w:left="459"/>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8.</w:t>
            </w:r>
          </w:p>
        </w:tc>
        <w:tc>
          <w:tcPr>
            <w:tcW w:w="3402" w:type="dxa"/>
            <w:tcBorders>
              <w:top w:val="nil"/>
              <w:left w:val="nil"/>
              <w:bottom w:val="single" w:sz="4" w:space="0" w:color="auto"/>
              <w:right w:val="single" w:sz="4" w:space="0" w:color="auto"/>
            </w:tcBorders>
            <w:shd w:val="clear" w:color="auto" w:fill="auto"/>
            <w:vAlign w:val="center"/>
          </w:tcPr>
          <w:p w14:paraId="3BD43971"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Повишаване степента на климатична неутралност на местната икономика</w:t>
            </w:r>
          </w:p>
        </w:tc>
        <w:tc>
          <w:tcPr>
            <w:tcW w:w="2694" w:type="dxa"/>
            <w:tcBorders>
              <w:top w:val="nil"/>
              <w:left w:val="nil"/>
              <w:bottom w:val="single" w:sz="4" w:space="0" w:color="auto"/>
              <w:right w:val="single" w:sz="4" w:space="0" w:color="auto"/>
            </w:tcBorders>
            <w:shd w:val="clear" w:color="auto" w:fill="auto"/>
            <w:vAlign w:val="center"/>
          </w:tcPr>
          <w:p w14:paraId="57AC6B3B"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Брой обекти, за които е постигната климатична неутралност</w:t>
            </w:r>
          </w:p>
        </w:tc>
        <w:tc>
          <w:tcPr>
            <w:tcW w:w="2830" w:type="dxa"/>
            <w:tcBorders>
              <w:top w:val="nil"/>
              <w:left w:val="nil"/>
              <w:bottom w:val="single" w:sz="4" w:space="0" w:color="auto"/>
              <w:right w:val="single" w:sz="4" w:space="0" w:color="auto"/>
            </w:tcBorders>
            <w:shd w:val="clear" w:color="auto" w:fill="auto"/>
            <w:vAlign w:val="center"/>
          </w:tcPr>
          <w:p w14:paraId="0C9AA5B5" w14:textId="77777777" w:rsidR="00CA4C5E" w:rsidRPr="007C3C44" w:rsidRDefault="00CA4C5E" w:rsidP="00AB2292">
            <w:pPr>
              <w:contextualSpacing/>
              <w:rPr>
                <w:rFonts w:ascii="Times New Roman" w:eastAsia="Calibri" w:hAnsi="Times New Roman" w:cs="Times New Roman"/>
                <w:iCs/>
                <w:lang w:val="bg-BG"/>
              </w:rPr>
            </w:pPr>
            <w:r w:rsidRPr="007C3C44">
              <w:rPr>
                <w:rFonts w:ascii="Times New Roman" w:eastAsia="Calibri" w:hAnsi="Times New Roman" w:cs="Times New Roman"/>
                <w:iCs/>
                <w:lang w:val="bg-BG"/>
              </w:rPr>
              <w:t>След въвеждане в експлоатация/ Управляващ орган, бенефициенти</w:t>
            </w:r>
          </w:p>
        </w:tc>
      </w:tr>
      <w:bookmarkEnd w:id="638"/>
    </w:tbl>
    <w:p w14:paraId="0C97CE91" w14:textId="77777777" w:rsidR="00607BD4" w:rsidRPr="009F6D1E" w:rsidRDefault="00607BD4" w:rsidP="0084747F">
      <w:pPr>
        <w:spacing w:after="60" w:line="264" w:lineRule="auto"/>
        <w:contextualSpacing/>
        <w:jc w:val="both"/>
        <w:rPr>
          <w:rFonts w:eastAsia="Calibri" w:cs="Times New Roman"/>
          <w:b/>
          <w:bCs/>
          <w:i/>
          <w:iCs/>
          <w:szCs w:val="24"/>
        </w:rPr>
      </w:pPr>
    </w:p>
    <w:p w14:paraId="36DC56F6" w14:textId="77777777" w:rsidR="00471E9F" w:rsidRPr="009F6D1E" w:rsidRDefault="00471E9F">
      <w:pPr>
        <w:pStyle w:val="Heading1"/>
        <w:numPr>
          <w:ilvl w:val="0"/>
          <w:numId w:val="87"/>
        </w:numPr>
        <w:shd w:val="clear" w:color="auto" w:fill="DBDBDB" w:themeFill="accent3" w:themeFillTint="66"/>
        <w:tabs>
          <w:tab w:val="clear" w:pos="742"/>
        </w:tabs>
        <w:spacing w:before="0" w:after="60" w:line="264" w:lineRule="auto"/>
        <w:ind w:left="0" w:firstLine="0"/>
        <w:rPr>
          <w:sz w:val="24"/>
          <w:szCs w:val="24"/>
        </w:rPr>
      </w:pPr>
      <w:bookmarkStart w:id="639" w:name="_Toc97639514"/>
      <w:bookmarkStart w:id="640" w:name="_Toc115255057"/>
      <w:r w:rsidRPr="009F6D1E">
        <w:rPr>
          <w:sz w:val="24"/>
          <w:szCs w:val="24"/>
        </w:rPr>
        <w:lastRenderedPageBreak/>
        <w:t>ЗАКЛЮЧЕНИЕ НА ЕКОЛОГИЧНАТА ОЦЕНКА</w:t>
      </w:r>
      <w:bookmarkEnd w:id="639"/>
      <w:bookmarkEnd w:id="640"/>
    </w:p>
    <w:p w14:paraId="3E00DD61" w14:textId="77777777" w:rsidR="00935674" w:rsidRPr="009F6D1E" w:rsidRDefault="00935674" w:rsidP="0084747F">
      <w:pPr>
        <w:spacing w:after="60" w:line="264" w:lineRule="auto"/>
        <w:contextualSpacing/>
        <w:jc w:val="both"/>
        <w:rPr>
          <w:rFonts w:eastAsia="Calibri" w:cs="Times New Roman"/>
          <w:b/>
          <w:bCs/>
          <w:i/>
          <w:iCs/>
          <w:szCs w:val="24"/>
        </w:rPr>
      </w:pPr>
    </w:p>
    <w:p w14:paraId="4239AD0D" w14:textId="77777777" w:rsidR="00D51145" w:rsidRPr="009F6D1E" w:rsidRDefault="00D51145" w:rsidP="00D51145">
      <w:pPr>
        <w:spacing w:before="240" w:after="0" w:line="276" w:lineRule="auto"/>
        <w:ind w:firstLine="720"/>
        <w:contextualSpacing/>
        <w:jc w:val="both"/>
      </w:pPr>
      <w:r w:rsidRPr="009F6D1E">
        <w:t xml:space="preserve">Въз основа на направените анализи, прогнози и оценки, въздействието от реализирането на </w:t>
      </w:r>
      <w:r w:rsidR="00CD4045" w:rsidRPr="009F6D1E">
        <w:t>СПРЗСР</w:t>
      </w:r>
      <w:r w:rsidRPr="009F6D1E">
        <w:t xml:space="preserve">, при изпълнение на препоръчаните мерки в т.9 на Доклада за ЕО, е: </w:t>
      </w:r>
    </w:p>
    <w:p w14:paraId="39B0AB42" w14:textId="77777777" w:rsidR="00D51145" w:rsidRPr="009F6D1E" w:rsidRDefault="00D51145" w:rsidP="00D51145">
      <w:pPr>
        <w:widowControl w:val="0"/>
        <w:spacing w:after="60" w:line="264" w:lineRule="auto"/>
        <w:ind w:firstLine="720"/>
        <w:jc w:val="both"/>
        <w:rPr>
          <w:rFonts w:cs="Times New Roman"/>
          <w:szCs w:val="24"/>
        </w:rPr>
      </w:pPr>
      <w:r w:rsidRPr="009F6D1E">
        <w:t xml:space="preserve">Като цяло, </w:t>
      </w:r>
      <w:r w:rsidRPr="009F6D1E">
        <w:rPr>
          <w:b/>
          <w:bCs/>
          <w:i/>
          <w:iCs/>
        </w:rPr>
        <w:t xml:space="preserve">по отношение на атмосферния въздух и климата </w:t>
      </w:r>
      <w:r w:rsidRPr="009F6D1E">
        <w:t xml:space="preserve">се </w:t>
      </w:r>
      <w:r w:rsidRPr="009F6D1E">
        <w:rPr>
          <w:rFonts w:cs="Times New Roman"/>
          <w:szCs w:val="24"/>
        </w:rPr>
        <w:t xml:space="preserve">очаква положително въздействие в резултат на реализирането на потребностите по отделните специфични цели на </w:t>
      </w:r>
      <w:r w:rsidR="00CD4045" w:rsidRPr="009F6D1E">
        <w:rPr>
          <w:rFonts w:cs="Times New Roman"/>
          <w:szCs w:val="24"/>
        </w:rPr>
        <w:t>СПРЗСР</w:t>
      </w:r>
      <w:r w:rsidRPr="009F6D1E">
        <w:rPr>
          <w:rFonts w:cs="Times New Roman"/>
          <w:szCs w:val="24"/>
        </w:rPr>
        <w:t xml:space="preserve">. Предвижданията на </w:t>
      </w:r>
      <w:r w:rsidR="00CD4045" w:rsidRPr="009F6D1E">
        <w:rPr>
          <w:rFonts w:cs="Times New Roman"/>
          <w:szCs w:val="24"/>
        </w:rPr>
        <w:t>СПРЗСР</w:t>
      </w:r>
      <w:r w:rsidRPr="009F6D1E">
        <w:rPr>
          <w:rFonts w:cs="Times New Roman"/>
          <w:szCs w:val="24"/>
        </w:rPr>
        <w:t xml:space="preserve"> нямат потенциал за значително отрицателно въздействие, а само за локални въздействия, като цяло обратими и дължащи се основно на етапа на реализация на отделните потребности, свързани с изграждането на нови обекти и/или реконструкция на вече съществуващи.</w:t>
      </w:r>
    </w:p>
    <w:p w14:paraId="49A6CD28"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Както преки, така и индиректни положителни въздействия се очакват във връзка с </w:t>
      </w:r>
      <w:r w:rsidRPr="009F6D1E">
        <w:rPr>
          <w:rFonts w:cs="Times New Roman"/>
          <w:b/>
          <w:bCs/>
          <w:i/>
          <w:iCs/>
          <w:szCs w:val="24"/>
        </w:rPr>
        <w:t>адаптацията към климатичните промени</w:t>
      </w:r>
      <w:r w:rsidRPr="009F6D1E">
        <w:rPr>
          <w:rFonts w:cs="Times New Roman"/>
          <w:szCs w:val="24"/>
        </w:rPr>
        <w:t xml:space="preserve">. Няма предвиждания, които да са свързани с и да водят до генериране на значими емисии на парникови газове или такива, водещи до противоречие/конфликт или намаляване на ефективността на мерки за адаптация. </w:t>
      </w:r>
    </w:p>
    <w:p w14:paraId="1F194AA1" w14:textId="77777777" w:rsidR="00D51145" w:rsidRPr="009F6D1E" w:rsidRDefault="00D51145" w:rsidP="00D51145">
      <w:pPr>
        <w:spacing w:before="240" w:after="0" w:line="276" w:lineRule="auto"/>
        <w:ind w:firstLine="720"/>
        <w:contextualSpacing/>
        <w:jc w:val="both"/>
      </w:pPr>
      <w:r w:rsidRPr="009F6D1E">
        <w:t xml:space="preserve"> Не са предвидени потребности и интервенции, които биха довели до риск за населението, природата или активите на база прогнозите за изменящия се климат и последствията от това.</w:t>
      </w:r>
    </w:p>
    <w:p w14:paraId="2850C6D3" w14:textId="77777777" w:rsidR="00D51145" w:rsidRPr="009F6D1E" w:rsidRDefault="00D51145" w:rsidP="00D51145">
      <w:pPr>
        <w:widowControl w:val="0"/>
        <w:spacing w:after="60" w:line="264" w:lineRule="auto"/>
        <w:ind w:firstLine="720"/>
        <w:jc w:val="both"/>
        <w:rPr>
          <w:rFonts w:cs="Times New Roman"/>
          <w:szCs w:val="24"/>
        </w:rPr>
      </w:pPr>
      <w:bookmarkStart w:id="641" w:name="_Hlk80463023"/>
      <w:r w:rsidRPr="009F6D1E">
        <w:rPr>
          <w:rFonts w:eastAsiaTheme="minorEastAsia" w:cs="Times New Roman"/>
          <w:szCs w:val="24"/>
        </w:rPr>
        <w:t xml:space="preserve">По отношение на </w:t>
      </w:r>
      <w:r w:rsidRPr="009F6D1E">
        <w:rPr>
          <w:rFonts w:eastAsiaTheme="minorEastAsia" w:cs="Times New Roman"/>
          <w:b/>
          <w:bCs/>
          <w:i/>
          <w:iCs/>
          <w:szCs w:val="24"/>
        </w:rPr>
        <w:t xml:space="preserve">водите, в т.ч. зоните за защита </w:t>
      </w:r>
      <w:r w:rsidRPr="009F6D1E">
        <w:rPr>
          <w:rFonts w:eastAsiaTheme="minorEastAsia" w:cs="Times New Roman"/>
          <w:b/>
          <w:bCs/>
          <w:i/>
          <w:iCs/>
          <w:color w:val="000000"/>
          <w:szCs w:val="24"/>
        </w:rPr>
        <w:t>на водите и риска от наводнения</w:t>
      </w:r>
      <w:r w:rsidRPr="009F6D1E">
        <w:rPr>
          <w:rFonts w:eastAsiaTheme="minorEastAsia" w:cs="Times New Roman"/>
          <w:color w:val="000000"/>
          <w:szCs w:val="24"/>
        </w:rPr>
        <w:t xml:space="preserve"> </w:t>
      </w:r>
      <w:r w:rsidR="00CD4045" w:rsidRPr="009F6D1E">
        <w:rPr>
          <w:rFonts w:cs="Times New Roman"/>
          <w:szCs w:val="24"/>
        </w:rPr>
        <w:t>СПРЗСР</w:t>
      </w:r>
      <w:r w:rsidRPr="009F6D1E">
        <w:rPr>
          <w:rFonts w:cs="Times New Roman"/>
          <w:szCs w:val="24"/>
        </w:rPr>
        <w:t xml:space="preserve"> съдържа дейности, които са с положителен ефект върху състоянието на водите, а останалите дейности не предполагат отрицателно въздействие. Стратегическият план  ще окаже положително въздействие върху състоянието на водите в България, главно чрез изпълнението на дейностите по Специфични цели №4, 5 и 6. Останалите специфични цели също съдържат дейности, които могат да доведат до подобрение на състоянието на водите.</w:t>
      </w:r>
    </w:p>
    <w:p w14:paraId="3DE8594E"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Като цяло дейностите предвидени в </w:t>
      </w:r>
      <w:r w:rsidR="00CD4045" w:rsidRPr="009F6D1E">
        <w:rPr>
          <w:rFonts w:cs="Times New Roman"/>
          <w:szCs w:val="24"/>
        </w:rPr>
        <w:t>СПРЗСР</w:t>
      </w:r>
      <w:r w:rsidRPr="009F6D1E">
        <w:rPr>
          <w:rFonts w:cs="Times New Roman"/>
          <w:szCs w:val="24"/>
        </w:rPr>
        <w:t xml:space="preserve"> няма да окажат значителни въздействия</w:t>
      </w:r>
      <w:r w:rsidRPr="009F6D1E">
        <w:rPr>
          <w:rFonts w:eastAsia="Times New Roman" w:cs="Times New Roman"/>
          <w:bCs/>
          <w:iCs/>
          <w:szCs w:val="24"/>
        </w:rPr>
        <w:t xml:space="preserve"> върху </w:t>
      </w:r>
      <w:r w:rsidRPr="009F6D1E">
        <w:rPr>
          <w:rFonts w:eastAsia="Times New Roman" w:cs="Times New Roman"/>
          <w:b/>
          <w:i/>
          <w:szCs w:val="24"/>
        </w:rPr>
        <w:t>земните недра</w:t>
      </w:r>
      <w:r w:rsidRPr="009F6D1E">
        <w:rPr>
          <w:rFonts w:cs="Times New Roman"/>
          <w:szCs w:val="24"/>
        </w:rPr>
        <w:t>. Възможна е появата на незначително отрицателно въздействие при някои от предвидените за подпомагане дейности, свързани с извършването на строителни работи и по-точно, изграждането на фундаменти за съоръжения и сгради. Въздействията са отрицателни, постоянни, но локализирани на малка площ с много ниска степен.</w:t>
      </w:r>
    </w:p>
    <w:bookmarkEnd w:id="641"/>
    <w:p w14:paraId="15B6D836"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Очакваните въздействия върху </w:t>
      </w:r>
      <w:r w:rsidRPr="009F6D1E">
        <w:rPr>
          <w:rFonts w:cs="Times New Roman"/>
          <w:b/>
          <w:bCs/>
          <w:i/>
          <w:iCs/>
          <w:szCs w:val="24"/>
        </w:rPr>
        <w:t xml:space="preserve">почвите и </w:t>
      </w:r>
      <w:proofErr w:type="spellStart"/>
      <w:r w:rsidRPr="009F6D1E">
        <w:rPr>
          <w:rFonts w:cs="Times New Roman"/>
          <w:b/>
          <w:bCs/>
          <w:i/>
          <w:iCs/>
          <w:szCs w:val="24"/>
        </w:rPr>
        <w:t>земеползването</w:t>
      </w:r>
      <w:proofErr w:type="spellEnd"/>
      <w:r w:rsidRPr="009F6D1E">
        <w:rPr>
          <w:rFonts w:cs="Times New Roman"/>
          <w:szCs w:val="24"/>
        </w:rPr>
        <w:t xml:space="preserve"> от прилагане на </w:t>
      </w:r>
      <w:r w:rsidR="00CD4045" w:rsidRPr="009F6D1E">
        <w:rPr>
          <w:rFonts w:cs="Times New Roman"/>
          <w:szCs w:val="24"/>
        </w:rPr>
        <w:t>СПРЗСР</w:t>
      </w:r>
      <w:r w:rsidRPr="009F6D1E">
        <w:rPr>
          <w:rFonts w:cs="Times New Roman"/>
          <w:szCs w:val="24"/>
        </w:rPr>
        <w:t xml:space="preserve"> са основно положителни и са в резултат от интервенциите свързани с модернизация на селското стопанство, намаляване на интензивността на земеделските дейности, въвеждането на биологично земеделие, както и всички мерки свързани с подобряване на качеството на почвите в това число чрез намаляване на използваните торове и пестициди и увеличаване на органичното вещество. Косвени положителни въздействия в дългосрочен план може да се очакват и от всички интервенции целящи предаване на знания, привличане и подкрепа на млади земеделски стопани, устойчивото развитие на стопанска дейност и насърчаването на устойчиво развитие и ефективно управление на природните ресурси.</w:t>
      </w:r>
    </w:p>
    <w:p w14:paraId="22913F0D"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В ограничена степен отрицателни въздействия могат да се очакват при прилагането на интервенции, предвиждащи финансиране на дейности по изграждане на съоръжения и </w:t>
      </w:r>
      <w:r w:rsidRPr="009F6D1E">
        <w:rPr>
          <w:rFonts w:cs="Times New Roman"/>
          <w:szCs w:val="24"/>
        </w:rPr>
        <w:lastRenderedPageBreak/>
        <w:t>инфраструктура. Отрицателните въздействия са резултат от засягането (унищожаване или увреждане) на почвения профил от строителни дейности или запечатването на почви при изграждане на инфраструктура и съоръжения. Отрицателни въздействия може да се породят и от насърчаването на земеделски дейности в райони с природни и други специфични ограничения в резултат от засягането на почви не обработвани до момента. Въздействията са отрицателни, локални, постоянни и обратими и необратими, а спрямо района и типа на почвите степента е от ниска до средна.</w:t>
      </w:r>
      <w:r w:rsidRPr="009F6D1E">
        <w:t xml:space="preserve"> </w:t>
      </w:r>
      <w:bookmarkStart w:id="642" w:name="_Hlk106788105"/>
      <w:r w:rsidRPr="009F6D1E">
        <w:rPr>
          <w:rFonts w:cs="Times New Roman"/>
          <w:szCs w:val="24"/>
        </w:rPr>
        <w:t>Спазването на мерките от т.9 на ДЕО ще ограничи очакваните неблагоприятни последици.</w:t>
      </w:r>
    </w:p>
    <w:p w14:paraId="5CA9376D" w14:textId="6DFBDD55" w:rsidR="006E2534" w:rsidRPr="006E2534" w:rsidRDefault="006E2534" w:rsidP="006E2534">
      <w:pPr>
        <w:spacing w:after="60" w:line="264" w:lineRule="auto"/>
        <w:jc w:val="both"/>
        <w:rPr>
          <w:sz w:val="20"/>
        </w:rPr>
      </w:pPr>
      <w:bookmarkStart w:id="643" w:name="_Hlk87924366"/>
      <w:bookmarkEnd w:id="642"/>
      <w:r w:rsidRPr="005D26D1">
        <w:rPr>
          <w:rFonts w:cs="Times New Roman"/>
          <w:szCs w:val="24"/>
        </w:rPr>
        <w:t xml:space="preserve">По отношение на </w:t>
      </w:r>
      <w:r w:rsidRPr="005D26D1">
        <w:rPr>
          <w:rFonts w:cs="Times New Roman"/>
          <w:b/>
          <w:bCs/>
          <w:i/>
          <w:iCs/>
          <w:szCs w:val="24"/>
        </w:rPr>
        <w:t>биологичното разнообразие, защитените зони, защитените територии и горите</w:t>
      </w:r>
      <w:r w:rsidRPr="005D26D1">
        <w:rPr>
          <w:rFonts w:cs="Times New Roman"/>
          <w:szCs w:val="24"/>
        </w:rPr>
        <w:t xml:space="preserve"> в обхвата на СПРЗСР, при спазване на смекчаващите мерки от т.9 на ДЕО и при провеждане на изискващите се процедури по ОВОС, ЕО и ОС, не се очаква значителна степен на отрицателно въздействие. В резултат от реализирането на предвижданията се очаква пряко и косвено положително въздействие. Повишаването на консултантския капацитет и специализираните обучения ще окажат косвено положително въздействие в дългосрочен аспект, в резултат на повишаване на капацитета и познанията, вкл. за екологосъобразни технологии и опазване на биоразнообразието. Положително въздействие се очаква и от осигуряването на по-добри условия за устойчиво развитие на сектор пчеларство, инвестициите, насочени към опазване на околната среда, прилагането на добри практики за управление на пасища и горски територии, насърчаването и подпомагането на биологично земеделие.</w:t>
      </w:r>
      <w:r w:rsidRPr="006E2534">
        <w:rPr>
          <w:sz w:val="20"/>
        </w:rPr>
        <w:t xml:space="preserve"> </w:t>
      </w:r>
    </w:p>
    <w:p w14:paraId="7C789C9E"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Очакваните въздействия върху </w:t>
      </w:r>
      <w:r w:rsidRPr="009F6D1E">
        <w:rPr>
          <w:rFonts w:cs="Times New Roman"/>
          <w:b/>
          <w:bCs/>
          <w:i/>
          <w:iCs/>
          <w:szCs w:val="24"/>
        </w:rPr>
        <w:t>ландшафтите</w:t>
      </w:r>
      <w:r w:rsidRPr="009F6D1E">
        <w:rPr>
          <w:rFonts w:cs="Times New Roman"/>
          <w:szCs w:val="24"/>
        </w:rPr>
        <w:t xml:space="preserve"> са както положителни, така и отрицателни. Положителни въздействия се очакват от всички дейности свързани с опазването,  съхранението и възстановяването на съществуващите ландшафти и техните компоненти (скали, почва, въздух, вода, флора и фауна). Отрицателни въздействия се очакват от всички строителни дейности свързани с изграждане на съоръжения и инфраструктура, както и от промяната на съществуващите земеделски ландшафти чрез добавяне на нови елементи, водещо до допълнително </w:t>
      </w:r>
      <w:proofErr w:type="spellStart"/>
      <w:r w:rsidRPr="009F6D1E">
        <w:rPr>
          <w:rFonts w:cs="Times New Roman"/>
          <w:szCs w:val="24"/>
        </w:rPr>
        <w:t>антропогенизиране</w:t>
      </w:r>
      <w:proofErr w:type="spellEnd"/>
      <w:r w:rsidRPr="009F6D1E">
        <w:rPr>
          <w:rFonts w:cs="Times New Roman"/>
          <w:szCs w:val="24"/>
        </w:rPr>
        <w:t xml:space="preserve"> на средата. </w:t>
      </w:r>
    </w:p>
    <w:p w14:paraId="3A1D601F"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Положително устойчиво въздействие върху </w:t>
      </w:r>
      <w:r w:rsidRPr="009F6D1E">
        <w:rPr>
          <w:rFonts w:cs="Times New Roman"/>
          <w:b/>
          <w:bCs/>
          <w:i/>
          <w:iCs/>
          <w:szCs w:val="24"/>
        </w:rPr>
        <w:t>културно-историческото наследство</w:t>
      </w:r>
      <w:r w:rsidRPr="009F6D1E">
        <w:rPr>
          <w:rFonts w:cs="Times New Roman"/>
          <w:szCs w:val="24"/>
        </w:rPr>
        <w:t xml:space="preserve"> може да се очаква от предвидените в </w:t>
      </w:r>
      <w:r w:rsidR="00CD4045" w:rsidRPr="009F6D1E">
        <w:rPr>
          <w:rFonts w:cs="Times New Roman"/>
          <w:szCs w:val="24"/>
        </w:rPr>
        <w:t>СПРЗСР</w:t>
      </w:r>
      <w:r w:rsidRPr="009F6D1E">
        <w:rPr>
          <w:rFonts w:cs="Times New Roman"/>
          <w:szCs w:val="24"/>
        </w:rPr>
        <w:t xml:space="preserve"> (2023 - 2027 г.) инвестиции за подобряване на обектите за развитие на традициите и на културно-историческите обекти, което ще доведе до опазване и популяризиране на културното и природно наследство. Потенциални отрицателни въздействия могат да се очакват при всички видове изкопни работи, които могат да засегнат културни напластявания, да разрушат археологически структури или да унищожат артефакти. Спазването на мерките от т.9 на ДЕО ще ограничи очакваните неблагоприятни последици.</w:t>
      </w:r>
    </w:p>
    <w:p w14:paraId="13FD4F85"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Реализирането на </w:t>
      </w:r>
      <w:r w:rsidR="00CD4045" w:rsidRPr="009F6D1E">
        <w:rPr>
          <w:rFonts w:cs="Times New Roman"/>
          <w:szCs w:val="24"/>
        </w:rPr>
        <w:t>СПРЗСР</w:t>
      </w:r>
      <w:r w:rsidRPr="009F6D1E">
        <w:rPr>
          <w:rFonts w:cs="Times New Roman"/>
          <w:szCs w:val="24"/>
        </w:rPr>
        <w:t xml:space="preserve"> в значителна степен ще окаже непряко положително, дългосрочно и постоянно въздействие върху фактор </w:t>
      </w:r>
      <w:r w:rsidRPr="009F6D1E">
        <w:rPr>
          <w:rFonts w:cs="Times New Roman"/>
          <w:b/>
          <w:bCs/>
          <w:i/>
          <w:iCs/>
          <w:szCs w:val="24"/>
        </w:rPr>
        <w:t>шум</w:t>
      </w:r>
      <w:r w:rsidRPr="009F6D1E">
        <w:rPr>
          <w:rFonts w:cs="Times New Roman"/>
          <w:szCs w:val="24"/>
        </w:rPr>
        <w:t xml:space="preserve">. Това ще е резултат основно от предвижданията на Стратегическия план, свързани с модернизация на съществуващи стопанства и развитието на иновативни в съответната област производства. Предвижданията на </w:t>
      </w:r>
      <w:r w:rsidR="00CD4045" w:rsidRPr="009F6D1E">
        <w:rPr>
          <w:rFonts w:cs="Times New Roman"/>
          <w:szCs w:val="24"/>
        </w:rPr>
        <w:t>СПРЗСР</w:t>
      </w:r>
      <w:r w:rsidRPr="009F6D1E">
        <w:rPr>
          <w:rFonts w:cs="Times New Roman"/>
          <w:szCs w:val="24"/>
        </w:rPr>
        <w:t xml:space="preserve"> нямат потенциал за значително отрицателно въздействие, в т.ч. създаване на риск за човешкото здраве, при съобразяване местоположението на зоните и обектите с нормиран шумов режим. По отношение на </w:t>
      </w:r>
      <w:r w:rsidRPr="009F6D1E">
        <w:rPr>
          <w:rFonts w:cs="Times New Roman"/>
          <w:b/>
          <w:bCs/>
          <w:i/>
          <w:iCs/>
          <w:szCs w:val="24"/>
        </w:rPr>
        <w:t>другите вредни физични фактори</w:t>
      </w:r>
      <w:r w:rsidRPr="009F6D1E">
        <w:rPr>
          <w:rFonts w:cs="Times New Roman"/>
          <w:szCs w:val="24"/>
        </w:rPr>
        <w:t>, не се очаква въздействие.</w:t>
      </w:r>
    </w:p>
    <w:p w14:paraId="77E05504" w14:textId="77777777" w:rsidR="00D51145" w:rsidRPr="009F6D1E" w:rsidRDefault="00D51145" w:rsidP="00D51145">
      <w:pPr>
        <w:spacing w:before="240" w:after="0" w:line="276" w:lineRule="auto"/>
        <w:ind w:firstLine="720"/>
        <w:contextualSpacing/>
        <w:jc w:val="both"/>
        <w:rPr>
          <w:rFonts w:eastAsia="Times New Roman" w:cs="Times New Roman"/>
          <w:bCs/>
          <w:iCs/>
          <w:szCs w:val="24"/>
        </w:rPr>
      </w:pPr>
    </w:p>
    <w:p w14:paraId="742A6107"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По отношение на фактор </w:t>
      </w:r>
      <w:r w:rsidRPr="009F6D1E">
        <w:rPr>
          <w:rFonts w:cs="Times New Roman"/>
          <w:b/>
          <w:bCs/>
          <w:i/>
          <w:iCs/>
          <w:szCs w:val="24"/>
        </w:rPr>
        <w:t>отпадъци</w:t>
      </w:r>
      <w:r w:rsidRPr="009F6D1E">
        <w:rPr>
          <w:rFonts w:cs="Times New Roman"/>
          <w:szCs w:val="24"/>
        </w:rPr>
        <w:t xml:space="preserve"> като цяло се очаква положително въздействие, което може да бъде както пряко, в резултат от реализирането на дейностите, подобряващи прилаганите методи за третиране на специфични за сектор земеделие отпадъчни потоци, така и непряко – дължащо се основно на модернизирането на земеделски стопанства, което би довело до намаляване на генерираните емисии и образуваните отпадъци. Не се очакват отрицателни въздействия от останалите предвиждания на </w:t>
      </w:r>
      <w:r w:rsidR="00CD4045" w:rsidRPr="009F6D1E">
        <w:rPr>
          <w:rFonts w:cs="Times New Roman"/>
          <w:szCs w:val="24"/>
        </w:rPr>
        <w:t>СПРЗСР</w:t>
      </w:r>
      <w:r w:rsidRPr="009F6D1E">
        <w:rPr>
          <w:rFonts w:cs="Times New Roman"/>
          <w:szCs w:val="24"/>
        </w:rPr>
        <w:t xml:space="preserve">. </w:t>
      </w:r>
    </w:p>
    <w:p w14:paraId="18D93D03"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По отношение на </w:t>
      </w:r>
      <w:r w:rsidRPr="009F6D1E">
        <w:rPr>
          <w:rFonts w:cs="Times New Roman"/>
          <w:b/>
          <w:bCs/>
          <w:i/>
          <w:iCs/>
          <w:szCs w:val="24"/>
        </w:rPr>
        <w:t>опасните химични вещества и риска от големи аварии</w:t>
      </w:r>
      <w:r w:rsidRPr="009F6D1E">
        <w:rPr>
          <w:rFonts w:cs="Times New Roman"/>
          <w:szCs w:val="24"/>
        </w:rPr>
        <w:t xml:space="preserve"> не се очаква отрицателно въздействие в хода на реализиране на </w:t>
      </w:r>
      <w:r w:rsidR="00CD4045" w:rsidRPr="009F6D1E">
        <w:rPr>
          <w:rFonts w:cs="Times New Roman"/>
          <w:szCs w:val="24"/>
        </w:rPr>
        <w:t>СПРЗСР</w:t>
      </w:r>
      <w:r w:rsidRPr="009F6D1E">
        <w:rPr>
          <w:rFonts w:cs="Times New Roman"/>
          <w:szCs w:val="24"/>
        </w:rPr>
        <w:t xml:space="preserve"> при спазване на приложимото законодателство.</w:t>
      </w:r>
    </w:p>
    <w:p w14:paraId="61064C1E" w14:textId="77777777" w:rsidR="00D51145" w:rsidRPr="009F6D1E" w:rsidRDefault="00D51145" w:rsidP="00D51145">
      <w:pPr>
        <w:spacing w:before="240" w:after="0" w:line="276" w:lineRule="auto"/>
        <w:ind w:firstLine="720"/>
        <w:contextualSpacing/>
        <w:jc w:val="both"/>
        <w:rPr>
          <w:rFonts w:eastAsia="Times New Roman" w:cs="Times New Roman"/>
          <w:b/>
          <w:i/>
          <w:szCs w:val="24"/>
        </w:rPr>
      </w:pPr>
      <w:r w:rsidRPr="009F6D1E">
        <w:rPr>
          <w:rFonts w:cs="Times New Roman"/>
          <w:szCs w:val="24"/>
        </w:rPr>
        <w:t xml:space="preserve">Въздействието върху </w:t>
      </w:r>
      <w:r w:rsidRPr="009F6D1E">
        <w:rPr>
          <w:rFonts w:cs="Times New Roman"/>
          <w:b/>
          <w:bCs/>
          <w:i/>
          <w:iCs/>
          <w:szCs w:val="24"/>
        </w:rPr>
        <w:t>здравно-хигиенните аспекти на средата</w:t>
      </w:r>
      <w:r w:rsidRPr="009F6D1E">
        <w:rPr>
          <w:rFonts w:cs="Times New Roman"/>
          <w:szCs w:val="24"/>
        </w:rPr>
        <w:t xml:space="preserve"> като цяло е положително. Реализирането на </w:t>
      </w:r>
      <w:r w:rsidR="00CD4045" w:rsidRPr="009F6D1E">
        <w:rPr>
          <w:rFonts w:cs="Times New Roman"/>
          <w:szCs w:val="24"/>
        </w:rPr>
        <w:t>СПРЗСР</w:t>
      </w:r>
      <w:r w:rsidRPr="009F6D1E">
        <w:rPr>
          <w:rFonts w:cs="Times New Roman"/>
          <w:szCs w:val="24"/>
        </w:rPr>
        <w:t xml:space="preserve"> от една страна ще окаже пряко положително въздействие върху </w:t>
      </w:r>
      <w:r w:rsidRPr="009F6D1E">
        <w:rPr>
          <w:rFonts w:cs="Times New Roman"/>
          <w:b/>
          <w:bCs/>
          <w:i/>
          <w:iCs/>
          <w:szCs w:val="24"/>
        </w:rPr>
        <w:t>населението и човешкото здраве</w:t>
      </w:r>
      <w:r w:rsidRPr="009F6D1E">
        <w:rPr>
          <w:rFonts w:cs="Times New Roman"/>
          <w:szCs w:val="24"/>
        </w:rPr>
        <w:t>, чрез реализирането на част от предвижданията, а от друга страна ще окаже директно положително въздействие върху социално-икономическите условия на средата и от тук ще повлияе индиректно и населението и човешкото здраве, като резултат от подобрените условия на живот.</w:t>
      </w:r>
    </w:p>
    <w:p w14:paraId="49A3054C" w14:textId="77777777" w:rsidR="00D51145" w:rsidRPr="009F6D1E" w:rsidRDefault="00D51145" w:rsidP="00D51145">
      <w:pPr>
        <w:widowControl w:val="0"/>
        <w:spacing w:after="60" w:line="264" w:lineRule="auto"/>
        <w:ind w:firstLine="720"/>
        <w:jc w:val="both"/>
        <w:rPr>
          <w:rFonts w:cs="Times New Roman"/>
          <w:szCs w:val="24"/>
        </w:rPr>
      </w:pPr>
      <w:r w:rsidRPr="009F6D1E">
        <w:rPr>
          <w:rFonts w:cs="Times New Roman"/>
          <w:szCs w:val="24"/>
        </w:rPr>
        <w:t xml:space="preserve">По отношение на </w:t>
      </w:r>
      <w:r w:rsidRPr="009F6D1E">
        <w:rPr>
          <w:rFonts w:cs="Times New Roman"/>
          <w:b/>
          <w:bCs/>
          <w:i/>
          <w:iCs/>
          <w:szCs w:val="24"/>
        </w:rPr>
        <w:t>материалните активи</w:t>
      </w:r>
      <w:r w:rsidRPr="009F6D1E">
        <w:rPr>
          <w:rFonts w:cs="Times New Roman"/>
          <w:szCs w:val="24"/>
        </w:rPr>
        <w:t xml:space="preserve"> не се очакват каквито и да е отрицателни въздействия. Като  цяло реализирането на отделните потребности по </w:t>
      </w:r>
      <w:r w:rsidR="00CD4045" w:rsidRPr="009F6D1E">
        <w:rPr>
          <w:rFonts w:cs="Times New Roman"/>
          <w:szCs w:val="24"/>
        </w:rPr>
        <w:t>СПРЗСР</w:t>
      </w:r>
      <w:r w:rsidRPr="009F6D1E">
        <w:rPr>
          <w:rFonts w:cs="Times New Roman"/>
          <w:szCs w:val="24"/>
        </w:rPr>
        <w:t xml:space="preserve"> се очаква да окаже положително въздействие, вкл. и кумулативно такова, целящо подобряване състоянието на съществуващите ДМА и/или изграждане на нови екологосъобразни такива, тъй като се предвиждат инвестиции в активи, свързани, както с подобряване състоянието на околната среда в засегнатите от реализирането на програмата райони, така и с такива, подобряващи състоянието на отделните земеделски стопанства. </w:t>
      </w:r>
    </w:p>
    <w:p w14:paraId="0E0F0BC1" w14:textId="77777777" w:rsidR="00D51145" w:rsidRPr="009F6D1E" w:rsidRDefault="00D51145" w:rsidP="00D51145">
      <w:pPr>
        <w:spacing w:before="240" w:after="0" w:line="276" w:lineRule="auto"/>
        <w:ind w:firstLine="720"/>
        <w:contextualSpacing/>
        <w:jc w:val="both"/>
        <w:rPr>
          <w:rFonts w:eastAsia="Times New Roman" w:cs="Times New Roman"/>
          <w:b/>
          <w:i/>
          <w:szCs w:val="24"/>
        </w:rPr>
      </w:pPr>
    </w:p>
    <w:p w14:paraId="7242A81A" w14:textId="77777777" w:rsidR="00D51145" w:rsidRPr="009F6D1E" w:rsidRDefault="00D51145" w:rsidP="00D51145">
      <w:pPr>
        <w:spacing w:before="240" w:after="0" w:line="276" w:lineRule="auto"/>
        <w:ind w:firstLine="720"/>
        <w:contextualSpacing/>
        <w:jc w:val="both"/>
        <w:rPr>
          <w:rFonts w:eastAsia="Times New Roman" w:cs="Times New Roman"/>
          <w:b/>
          <w:i/>
          <w:szCs w:val="24"/>
        </w:rPr>
      </w:pPr>
      <w:r w:rsidRPr="009F6D1E">
        <w:rPr>
          <w:rFonts w:eastAsia="Times New Roman" w:cs="Times New Roman"/>
          <w:b/>
          <w:i/>
          <w:szCs w:val="24"/>
        </w:rPr>
        <w:t xml:space="preserve">Предвид горното, реализирането на </w:t>
      </w:r>
      <w:r w:rsidR="00CD4045" w:rsidRPr="009F6D1E">
        <w:rPr>
          <w:rFonts w:eastAsia="Times New Roman" w:cs="Times New Roman"/>
          <w:b/>
          <w:i/>
          <w:szCs w:val="24"/>
        </w:rPr>
        <w:t>СПРЗСР</w:t>
      </w:r>
      <w:r w:rsidRPr="009F6D1E">
        <w:rPr>
          <w:rFonts w:eastAsia="Times New Roman" w:cs="Times New Roman"/>
          <w:b/>
          <w:i/>
          <w:szCs w:val="24"/>
        </w:rPr>
        <w:t xml:space="preserve"> 2023-2027г. е предпочитано от гледна точка на въздействие върху околната среда и човешкото здраве пред „нулевата“ алтернатива.</w:t>
      </w:r>
    </w:p>
    <w:bookmarkEnd w:id="643"/>
    <w:p w14:paraId="0237E81B" w14:textId="77777777" w:rsidR="00D51145" w:rsidRPr="009F6D1E" w:rsidRDefault="00D51145" w:rsidP="0084747F">
      <w:pPr>
        <w:spacing w:after="60" w:line="264" w:lineRule="auto"/>
        <w:contextualSpacing/>
        <w:jc w:val="both"/>
        <w:rPr>
          <w:rFonts w:eastAsia="Calibri" w:cs="Times New Roman"/>
          <w:b/>
          <w:bCs/>
          <w:i/>
          <w:iCs/>
          <w:szCs w:val="24"/>
        </w:rPr>
      </w:pPr>
    </w:p>
    <w:p w14:paraId="35D0149F" w14:textId="77777777" w:rsidR="00471E9F" w:rsidRPr="009F6D1E" w:rsidRDefault="00471E9F">
      <w:pPr>
        <w:pStyle w:val="Heading1"/>
        <w:numPr>
          <w:ilvl w:val="0"/>
          <w:numId w:val="87"/>
        </w:numPr>
        <w:shd w:val="clear" w:color="auto" w:fill="DBDBDB" w:themeFill="accent3" w:themeFillTint="66"/>
        <w:tabs>
          <w:tab w:val="clear" w:pos="742"/>
        </w:tabs>
        <w:spacing w:before="0" w:after="60" w:line="264" w:lineRule="auto"/>
        <w:ind w:left="0" w:firstLine="0"/>
        <w:rPr>
          <w:sz w:val="24"/>
          <w:szCs w:val="24"/>
        </w:rPr>
      </w:pPr>
      <w:bookmarkStart w:id="644" w:name="_Toc97639515"/>
      <w:bookmarkStart w:id="645" w:name="_Toc115255058"/>
      <w:r w:rsidRPr="009F6D1E">
        <w:rPr>
          <w:sz w:val="24"/>
          <w:szCs w:val="24"/>
        </w:rPr>
        <w:t xml:space="preserve">СПРАВКА ЗА РЕЗУЛТАТИТЕ ОТ ПРОВЕДЕНИТЕ КОНСУЛТАЦИИ В ПРОЦЕСА НА ИЗГОТВЯНЕ НА </w:t>
      </w:r>
      <w:r w:rsidR="00CD4045" w:rsidRPr="009F6D1E">
        <w:rPr>
          <w:sz w:val="24"/>
          <w:szCs w:val="24"/>
        </w:rPr>
        <w:t>СПРЗСР</w:t>
      </w:r>
      <w:r w:rsidRPr="009F6D1E">
        <w:rPr>
          <w:sz w:val="24"/>
          <w:szCs w:val="24"/>
        </w:rPr>
        <w:t xml:space="preserve"> И ИЗВЪРШВАНЕ НА ЕКОЛОГИЧНАТА ОЦЕНКА</w:t>
      </w:r>
      <w:bookmarkEnd w:id="644"/>
      <w:bookmarkEnd w:id="645"/>
    </w:p>
    <w:p w14:paraId="0AB3F62D" w14:textId="77777777" w:rsidR="00935674" w:rsidRPr="009F6D1E" w:rsidRDefault="00935674" w:rsidP="0084747F">
      <w:pPr>
        <w:spacing w:after="60" w:line="264" w:lineRule="auto"/>
        <w:contextualSpacing/>
        <w:jc w:val="both"/>
        <w:rPr>
          <w:rFonts w:eastAsia="Calibri" w:cs="Times New Roman"/>
          <w:b/>
          <w:bCs/>
          <w:i/>
          <w:iCs/>
          <w:szCs w:val="24"/>
        </w:rPr>
      </w:pPr>
    </w:p>
    <w:p w14:paraId="34F7E1BB"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t>Със Заповед №РД09-216/26.02.2020г. на Министъра на земеделието, храните и горите е създадена Тематична работна група за разработване на Стратегически план за развитие на земеделието и селските райони за програмен период 2021-2027 г.</w:t>
      </w:r>
    </w:p>
    <w:p w14:paraId="249BA46B"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t xml:space="preserve">В периода </w:t>
      </w:r>
      <w:r w:rsidR="00FA3614" w:rsidRPr="009F6D1E">
        <w:rPr>
          <w:rFonts w:cs="Times New Roman"/>
          <w:szCs w:val="24"/>
        </w:rPr>
        <w:t>от 24.07.2020г. до моме</w:t>
      </w:r>
      <w:r w:rsidR="0070287B" w:rsidRPr="009F6D1E">
        <w:rPr>
          <w:rFonts w:cs="Times New Roman"/>
          <w:szCs w:val="24"/>
        </w:rPr>
        <w:t>н</w:t>
      </w:r>
      <w:r w:rsidR="00FA3614" w:rsidRPr="009F6D1E">
        <w:rPr>
          <w:rFonts w:cs="Times New Roman"/>
          <w:szCs w:val="24"/>
        </w:rPr>
        <w:t xml:space="preserve">та </w:t>
      </w:r>
      <w:r w:rsidRPr="009F6D1E">
        <w:rPr>
          <w:rFonts w:cs="Times New Roman"/>
          <w:szCs w:val="24"/>
        </w:rPr>
        <w:t xml:space="preserve"> членовете на </w:t>
      </w:r>
      <w:r w:rsidR="00FA3614" w:rsidRPr="009F6D1E">
        <w:rPr>
          <w:rFonts w:cs="Times New Roman"/>
          <w:szCs w:val="24"/>
        </w:rPr>
        <w:t xml:space="preserve">Тематичната </w:t>
      </w:r>
      <w:r w:rsidRPr="009F6D1E">
        <w:rPr>
          <w:rFonts w:cs="Times New Roman"/>
          <w:szCs w:val="24"/>
        </w:rPr>
        <w:t>работн</w:t>
      </w:r>
      <w:r w:rsidR="00FA3614" w:rsidRPr="009F6D1E">
        <w:rPr>
          <w:rFonts w:cs="Times New Roman"/>
          <w:szCs w:val="24"/>
        </w:rPr>
        <w:t>а</w:t>
      </w:r>
      <w:r w:rsidRPr="009F6D1E">
        <w:rPr>
          <w:rFonts w:cs="Times New Roman"/>
          <w:szCs w:val="24"/>
        </w:rPr>
        <w:t xml:space="preserve"> груп</w:t>
      </w:r>
      <w:r w:rsidR="00FA3614" w:rsidRPr="009F6D1E">
        <w:rPr>
          <w:rFonts w:cs="Times New Roman"/>
          <w:szCs w:val="24"/>
        </w:rPr>
        <w:t>а</w:t>
      </w:r>
      <w:r w:rsidRPr="009F6D1E">
        <w:rPr>
          <w:rFonts w:cs="Times New Roman"/>
          <w:szCs w:val="24"/>
        </w:rPr>
        <w:t xml:space="preserve">, в рамките на </w:t>
      </w:r>
      <w:r w:rsidR="00FA3614" w:rsidRPr="009F6D1E">
        <w:rPr>
          <w:rFonts w:cs="Times New Roman"/>
          <w:szCs w:val="24"/>
        </w:rPr>
        <w:t>повече от 20</w:t>
      </w:r>
      <w:r w:rsidRPr="009F6D1E">
        <w:rPr>
          <w:rFonts w:cs="Times New Roman"/>
          <w:szCs w:val="24"/>
        </w:rPr>
        <w:t xml:space="preserve"> </w:t>
      </w:r>
      <w:r w:rsidR="00FA3614" w:rsidRPr="009F6D1E">
        <w:rPr>
          <w:rFonts w:cs="Times New Roman"/>
          <w:szCs w:val="24"/>
        </w:rPr>
        <w:t>заседания</w:t>
      </w:r>
      <w:r w:rsidRPr="009F6D1E">
        <w:rPr>
          <w:rFonts w:cs="Times New Roman"/>
          <w:szCs w:val="24"/>
        </w:rPr>
        <w:t xml:space="preserve"> са дискутирали и обменили информация относно</w:t>
      </w:r>
      <w:r w:rsidR="00CF09AE" w:rsidRPr="009F6D1E">
        <w:rPr>
          <w:rFonts w:cs="Times New Roman"/>
          <w:szCs w:val="24"/>
        </w:rPr>
        <w:t>: изготвения</w:t>
      </w:r>
      <w:r w:rsidR="00FA3614" w:rsidRPr="009F6D1E">
        <w:rPr>
          <w:rFonts w:cs="Times New Roman"/>
          <w:szCs w:val="24"/>
        </w:rPr>
        <w:t xml:space="preserve"> </w:t>
      </w:r>
      <w:r w:rsidR="00CF09AE" w:rsidRPr="009F6D1E">
        <w:rPr>
          <w:rFonts w:cs="Times New Roman"/>
          <w:szCs w:val="24"/>
        </w:rPr>
        <w:t xml:space="preserve">SWOT анализи и идентифицирани потребности; Проект на Анализ на структурата на земеделските стопанства в България;  </w:t>
      </w:r>
      <w:r w:rsidR="00FA3614" w:rsidRPr="009F6D1E">
        <w:rPr>
          <w:rFonts w:cs="Times New Roman"/>
          <w:szCs w:val="24"/>
        </w:rPr>
        <w:t>постъпили коментари и предложения по проект на интервенции</w:t>
      </w:r>
      <w:r w:rsidR="00CF09AE" w:rsidRPr="009F6D1E">
        <w:rPr>
          <w:rFonts w:cs="Times New Roman"/>
          <w:szCs w:val="24"/>
        </w:rPr>
        <w:t xml:space="preserve">; Проект на Стратегически план за развитие на земеделието и селските райони за </w:t>
      </w:r>
      <w:r w:rsidR="00CF09AE" w:rsidRPr="009F6D1E">
        <w:rPr>
          <w:rFonts w:cs="Times New Roman"/>
          <w:szCs w:val="24"/>
        </w:rPr>
        <w:lastRenderedPageBreak/>
        <w:t xml:space="preserve">периода 2023-2027 г., изпратен в ЕК на </w:t>
      </w:r>
      <w:r w:rsidR="0070287B" w:rsidRPr="009F6D1E">
        <w:rPr>
          <w:rFonts w:cs="Times New Roman"/>
          <w:szCs w:val="24"/>
        </w:rPr>
        <w:t xml:space="preserve">25.02.2022г. Проекта на </w:t>
      </w:r>
      <w:r w:rsidR="00CD4045" w:rsidRPr="009F6D1E">
        <w:rPr>
          <w:rFonts w:cs="Times New Roman"/>
          <w:szCs w:val="24"/>
        </w:rPr>
        <w:t>СПРЗСР</w:t>
      </w:r>
      <w:r w:rsidR="0070287B" w:rsidRPr="009F6D1E">
        <w:rPr>
          <w:rFonts w:cs="Times New Roman"/>
          <w:szCs w:val="24"/>
        </w:rPr>
        <w:t xml:space="preserve"> е публикуван на 01.03.2022г. в Портала за обществени консултации </w:t>
      </w:r>
      <w:r w:rsidR="0070287B" w:rsidRPr="009F6D1E">
        <w:rPr>
          <w:rFonts w:cs="Times New Roman"/>
          <w:color w:val="262626" w:themeColor="text1" w:themeTint="D9"/>
          <w:vertAlign w:val="superscript"/>
        </w:rPr>
        <w:footnoteReference w:id="80"/>
      </w:r>
      <w:r w:rsidR="0070287B" w:rsidRPr="009F6D1E">
        <w:rPr>
          <w:rFonts w:cs="Times New Roman"/>
          <w:szCs w:val="24"/>
        </w:rPr>
        <w:t xml:space="preserve"> със срок за становища до 31.03.2022г. </w:t>
      </w:r>
      <w:r w:rsidR="009E2BB8" w:rsidRPr="009F6D1E">
        <w:rPr>
          <w:rFonts w:cs="Times New Roman"/>
          <w:szCs w:val="24"/>
        </w:rPr>
        <w:t xml:space="preserve">Проектът на </w:t>
      </w:r>
      <w:r w:rsidR="00CD4045" w:rsidRPr="009F6D1E">
        <w:rPr>
          <w:rFonts w:cs="Times New Roman"/>
          <w:szCs w:val="24"/>
        </w:rPr>
        <w:t>СПРЗСР</w:t>
      </w:r>
      <w:r w:rsidR="009E2BB8" w:rsidRPr="009F6D1E">
        <w:rPr>
          <w:rFonts w:cs="Times New Roman"/>
          <w:szCs w:val="24"/>
        </w:rPr>
        <w:t xml:space="preserve"> е подложен на детайлна оценка по отноше</w:t>
      </w:r>
      <w:r w:rsidR="00FB68EC" w:rsidRPr="009F6D1E">
        <w:rPr>
          <w:rFonts w:cs="Times New Roman"/>
          <w:szCs w:val="24"/>
        </w:rPr>
        <w:t>ние на възможните въздействия върху околната среда и човешкото здраве в настоящия ДЕО.</w:t>
      </w:r>
      <w:r w:rsidRPr="009F6D1E">
        <w:rPr>
          <w:rFonts w:cs="Times New Roman"/>
          <w:szCs w:val="24"/>
        </w:rPr>
        <w:t xml:space="preserve"> </w:t>
      </w:r>
    </w:p>
    <w:p w14:paraId="01FF5C6A"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t xml:space="preserve">Консултациите в рамките на процедурата по ЕО са проведени по предварително изготвена </w:t>
      </w:r>
      <w:r w:rsidRPr="009F6D1E">
        <w:rPr>
          <w:rFonts w:cs="Times New Roman"/>
          <w:i/>
          <w:iCs/>
          <w:szCs w:val="24"/>
        </w:rPr>
        <w:t xml:space="preserve">Схема за провеждане на консултации с обществеността, заинтересованите органи и трети лица, които могат да бъдат засегнати от </w:t>
      </w:r>
      <w:r w:rsidR="00CD4045" w:rsidRPr="009F6D1E">
        <w:rPr>
          <w:rFonts w:cs="Times New Roman"/>
          <w:i/>
          <w:iCs/>
          <w:szCs w:val="24"/>
        </w:rPr>
        <w:t>СПРЗСР</w:t>
      </w:r>
      <w:r w:rsidRPr="009F6D1E">
        <w:rPr>
          <w:rFonts w:cs="Times New Roman"/>
          <w:szCs w:val="24"/>
        </w:rPr>
        <w:t xml:space="preserve"> (изискваща се съгласно Наредбата за условията и реда за извършване на екологична оценка на планове и програми, Република България и консултирана с компетентния орган – Министерство на околната среда и водите на Република България).</w:t>
      </w:r>
    </w:p>
    <w:p w14:paraId="3C89032F"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t xml:space="preserve">Съгласно Схемата като засегнати и заинтересовани страни, с които задължително се провеждат консултации са определени потенциалните бенефициенти по </w:t>
      </w:r>
      <w:r w:rsidR="00CD4045" w:rsidRPr="009F6D1E">
        <w:rPr>
          <w:rFonts w:cs="Times New Roman"/>
          <w:szCs w:val="24"/>
        </w:rPr>
        <w:t>СПРЗСР</w:t>
      </w:r>
      <w:r w:rsidRPr="009F6D1E">
        <w:rPr>
          <w:rFonts w:cs="Times New Roman"/>
          <w:szCs w:val="24"/>
        </w:rPr>
        <w:t xml:space="preserve">, </w:t>
      </w:r>
      <w:r w:rsidR="00FB68EC" w:rsidRPr="009F6D1E">
        <w:rPr>
          <w:rFonts w:cs="Times New Roman"/>
          <w:szCs w:val="24"/>
        </w:rPr>
        <w:t>населението във всички области на територията на Р България, всички ведомства и органи на изпълнителната власт в тези области</w:t>
      </w:r>
      <w:r w:rsidRPr="009F6D1E">
        <w:rPr>
          <w:rFonts w:cs="Times New Roman"/>
          <w:szCs w:val="24"/>
        </w:rPr>
        <w:t xml:space="preserve">, неправителствени организации (в т.ч. екологични), свързаните с разработване, приемане и прилагане на </w:t>
      </w:r>
      <w:r w:rsidR="00FB68EC" w:rsidRPr="009F6D1E">
        <w:rPr>
          <w:rFonts w:cs="Times New Roman"/>
          <w:szCs w:val="24"/>
        </w:rPr>
        <w:t>Стратегическия план</w:t>
      </w:r>
      <w:r w:rsidRPr="009F6D1E">
        <w:rPr>
          <w:rFonts w:cs="Times New Roman"/>
          <w:szCs w:val="24"/>
        </w:rPr>
        <w:t xml:space="preserve"> ведомства и органи на изпълнителната власт. С оглед обхващане на всички възможни заинтересовани страни в Схемата са включени:</w:t>
      </w:r>
    </w:p>
    <w:p w14:paraId="6F4BF026" w14:textId="77777777" w:rsidR="00FB68EC" w:rsidRPr="009F6D1E" w:rsidRDefault="00FB68EC">
      <w:pPr>
        <w:widowControl w:val="0"/>
        <w:numPr>
          <w:ilvl w:val="0"/>
          <w:numId w:val="82"/>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Компетентният орган по околна среда (МОСВ),</w:t>
      </w:r>
    </w:p>
    <w:p w14:paraId="4F48DCFC" w14:textId="77777777" w:rsidR="00FB68EC" w:rsidRPr="009F6D1E" w:rsidRDefault="00FB68EC">
      <w:pPr>
        <w:widowControl w:val="0"/>
        <w:numPr>
          <w:ilvl w:val="0"/>
          <w:numId w:val="82"/>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Министерство на здравеопазването (МЗ) относно съдържанието и обхвата на оценката на здравно-хигиенните аспекти на околната среда и риска за човешкото здраве;</w:t>
      </w:r>
    </w:p>
    <w:p w14:paraId="3952A110" w14:textId="77777777" w:rsidR="00FB68EC" w:rsidRPr="009F6D1E" w:rsidRDefault="00FB68EC">
      <w:pPr>
        <w:widowControl w:val="0"/>
        <w:numPr>
          <w:ilvl w:val="0"/>
          <w:numId w:val="82"/>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Министерства и изпълнителни агенции</w:t>
      </w:r>
    </w:p>
    <w:p w14:paraId="31F9C3C5" w14:textId="77777777" w:rsidR="00FB68EC" w:rsidRPr="009F6D1E" w:rsidRDefault="00FB68EC">
      <w:pPr>
        <w:widowControl w:val="0"/>
        <w:numPr>
          <w:ilvl w:val="0"/>
          <w:numId w:val="82"/>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Други специализирани ведомства:</w:t>
      </w:r>
    </w:p>
    <w:p w14:paraId="55D8380E"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БД Дунавски район с център гр. Плевен, </w:t>
      </w:r>
    </w:p>
    <w:p w14:paraId="62EB429B"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БД Черноморски район с център гр. Варна, </w:t>
      </w:r>
    </w:p>
    <w:p w14:paraId="7667261F"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БД Източно беломорски район с център Пловдив,</w:t>
      </w:r>
      <w:bookmarkStart w:id="646" w:name="_Hlk58760719"/>
      <w:bookmarkStart w:id="647" w:name="_Hlk58765862"/>
      <w:r w:rsidRPr="009F6D1E">
        <w:rPr>
          <w:rFonts w:eastAsia="Times New Roman" w:cs="Times New Roman"/>
          <w:szCs w:val="24"/>
          <w:lang w:eastAsia="bg-BG"/>
        </w:rPr>
        <w:t xml:space="preserve"> </w:t>
      </w:r>
    </w:p>
    <w:p w14:paraId="6E2E7017"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БД </w:t>
      </w:r>
      <w:proofErr w:type="spellStart"/>
      <w:r w:rsidRPr="009F6D1E">
        <w:rPr>
          <w:rFonts w:eastAsia="Times New Roman" w:cs="Times New Roman"/>
          <w:szCs w:val="24"/>
          <w:lang w:eastAsia="bg-BG"/>
        </w:rPr>
        <w:t>Западнобеломорски</w:t>
      </w:r>
      <w:proofErr w:type="spellEnd"/>
      <w:r w:rsidRPr="009F6D1E">
        <w:rPr>
          <w:rFonts w:eastAsia="Times New Roman" w:cs="Times New Roman"/>
          <w:szCs w:val="24"/>
          <w:lang w:eastAsia="bg-BG"/>
        </w:rPr>
        <w:t xml:space="preserve"> район с център гр. Благоевград</w:t>
      </w:r>
    </w:p>
    <w:p w14:paraId="068F13E0"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15 Регионални инспекции на околната среда и водите на територията на Р  България (София, Враца, Монтана, Русе, Плевен, Шумен, Варна, Бургас, Смолян, Хасково, Стара Загора, Пазарджик, Пловдив, Благоевград и Велико Търново)</w:t>
      </w:r>
      <w:bookmarkStart w:id="648" w:name="_Hlk58766918"/>
      <w:r w:rsidRPr="009F6D1E">
        <w:rPr>
          <w:rFonts w:eastAsia="Times New Roman" w:cs="Times New Roman"/>
          <w:szCs w:val="24"/>
          <w:lang w:eastAsia="bg-BG"/>
        </w:rPr>
        <w:t xml:space="preserve"> </w:t>
      </w:r>
    </w:p>
    <w:bookmarkEnd w:id="648"/>
    <w:p w14:paraId="39FA330B" w14:textId="77777777" w:rsidR="00D278C8" w:rsidRPr="009F6D1E" w:rsidRDefault="00D278C8">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от Областните дирекции „Земеделие“ и техните териториални подразделения - общински служби по земеделие </w:t>
      </w:r>
    </w:p>
    <w:p w14:paraId="4E850F74"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Национална служба за съвети в земеделието, </w:t>
      </w:r>
    </w:p>
    <w:p w14:paraId="61AEA28A"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Държавни предприятия по горите и горски стопанства</w:t>
      </w:r>
    </w:p>
    <w:p w14:paraId="039E7A54"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Селскостопанска академия (ССА), </w:t>
      </w:r>
    </w:p>
    <w:p w14:paraId="71C79518"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Висши учебни заведения (ВУЗ), </w:t>
      </w:r>
    </w:p>
    <w:p w14:paraId="10AFBCD9"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lastRenderedPageBreak/>
        <w:t xml:space="preserve">Професионални гимназии в областта на селското и горско стопанство, </w:t>
      </w:r>
    </w:p>
    <w:p w14:paraId="40EC7F83"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Частни обучаващи организации, </w:t>
      </w:r>
    </w:p>
    <w:p w14:paraId="4BE4A4A6"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Браншови организации, вкл. в областта на дигитализацията, </w:t>
      </w:r>
    </w:p>
    <w:p w14:paraId="1D8D48E7"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Земеделски стопани, в т.ч. групи/организации на производители, преработвателни предприятия в областта на ХВП, </w:t>
      </w:r>
    </w:p>
    <w:p w14:paraId="50327C2A"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Горски стопани, </w:t>
      </w:r>
    </w:p>
    <w:p w14:paraId="3BD24494"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Звено за управление на </w:t>
      </w:r>
      <w:r w:rsidR="00D809BC" w:rsidRPr="009F6D1E">
        <w:rPr>
          <w:rFonts w:eastAsia="Times New Roman" w:cs="Times New Roman"/>
          <w:szCs w:val="24"/>
          <w:lang w:eastAsia="bg-BG"/>
        </w:rPr>
        <w:t>РЗСР</w:t>
      </w:r>
      <w:r w:rsidRPr="009F6D1E">
        <w:rPr>
          <w:rFonts w:eastAsia="Times New Roman" w:cs="Times New Roman"/>
          <w:szCs w:val="24"/>
          <w:lang w:eastAsia="bg-BG"/>
        </w:rPr>
        <w:t xml:space="preserve"> мрежа, </w:t>
      </w:r>
    </w:p>
    <w:p w14:paraId="0C9DBC22"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Оперативни групи в рамките на Европейското партньорство за иновации </w:t>
      </w:r>
    </w:p>
    <w:p w14:paraId="1A471A14" w14:textId="77777777" w:rsidR="00FB68EC" w:rsidRPr="009F6D1E" w:rsidRDefault="00FB68EC">
      <w:pPr>
        <w:widowControl w:val="0"/>
        <w:numPr>
          <w:ilvl w:val="0"/>
          <w:numId w:val="81"/>
        </w:numPr>
        <w:spacing w:after="60" w:line="264" w:lineRule="auto"/>
        <w:jc w:val="both"/>
        <w:rPr>
          <w:rFonts w:eastAsia="Times New Roman" w:cs="Times New Roman"/>
          <w:szCs w:val="24"/>
          <w:lang w:eastAsia="bg-BG"/>
        </w:rPr>
      </w:pPr>
      <w:r w:rsidRPr="009F6D1E">
        <w:rPr>
          <w:rFonts w:eastAsia="Times New Roman" w:cs="Times New Roman"/>
          <w:szCs w:val="24"/>
          <w:lang w:eastAsia="bg-BG"/>
        </w:rPr>
        <w:t>и други</w:t>
      </w:r>
    </w:p>
    <w:bookmarkEnd w:id="646"/>
    <w:p w14:paraId="34C02DCF" w14:textId="77777777" w:rsidR="00FB68EC" w:rsidRPr="009F6D1E" w:rsidRDefault="00FB68EC">
      <w:pPr>
        <w:widowControl w:val="0"/>
        <w:numPr>
          <w:ilvl w:val="1"/>
          <w:numId w:val="80"/>
        </w:numPr>
        <w:spacing w:after="60" w:line="264" w:lineRule="auto"/>
        <w:jc w:val="both"/>
        <w:rPr>
          <w:rFonts w:eastAsia="Times New Roman" w:cs="Times New Roman"/>
          <w:szCs w:val="24"/>
          <w:lang w:eastAsia="bg-BG"/>
        </w:rPr>
      </w:pPr>
      <w:r w:rsidRPr="009F6D1E">
        <w:rPr>
          <w:rFonts w:eastAsia="Times New Roman" w:cs="Times New Roman"/>
          <w:szCs w:val="24"/>
          <w:lang w:eastAsia="bg-BG"/>
        </w:rPr>
        <w:t xml:space="preserve">Обществеността, </w:t>
      </w:r>
      <w:bookmarkEnd w:id="647"/>
      <w:r w:rsidRPr="009F6D1E">
        <w:rPr>
          <w:rFonts w:eastAsia="Times New Roman" w:cs="Times New Roman"/>
          <w:szCs w:val="24"/>
          <w:lang w:eastAsia="bg-BG"/>
        </w:rPr>
        <w:t xml:space="preserve">чрез публикуване на интернет страницата на </w:t>
      </w:r>
      <w:proofErr w:type="spellStart"/>
      <w:r w:rsidRPr="009F6D1E">
        <w:rPr>
          <w:rFonts w:eastAsia="Times New Roman" w:cs="Times New Roman"/>
          <w:szCs w:val="24"/>
          <w:lang w:eastAsia="bg-BG"/>
        </w:rPr>
        <w:t>МЗ</w:t>
      </w:r>
      <w:r w:rsidR="00D0185C" w:rsidRPr="009F6D1E">
        <w:rPr>
          <w:rFonts w:eastAsia="Times New Roman" w:cs="Times New Roman"/>
          <w:szCs w:val="24"/>
          <w:lang w:eastAsia="bg-BG"/>
        </w:rPr>
        <w:t>м</w:t>
      </w:r>
      <w:proofErr w:type="spellEnd"/>
      <w:r w:rsidRPr="009F6D1E">
        <w:rPr>
          <w:rFonts w:eastAsia="Times New Roman" w:cs="Times New Roman"/>
          <w:szCs w:val="24"/>
          <w:lang w:eastAsia="bg-BG"/>
        </w:rPr>
        <w:t xml:space="preserve"> с цел обществен достъп и възможност за изразяване на становища с указан срок и начин за изразяване.</w:t>
      </w:r>
    </w:p>
    <w:p w14:paraId="4BAA2F0C" w14:textId="77777777" w:rsidR="00FB68EC" w:rsidRPr="009F6D1E" w:rsidRDefault="00FB68EC" w:rsidP="0084747F">
      <w:pPr>
        <w:spacing w:after="60" w:line="264" w:lineRule="auto"/>
        <w:ind w:firstLine="709"/>
        <w:contextualSpacing/>
        <w:jc w:val="both"/>
        <w:rPr>
          <w:rFonts w:cs="Times New Roman"/>
          <w:szCs w:val="24"/>
        </w:rPr>
      </w:pPr>
    </w:p>
    <w:p w14:paraId="5ADBB8D3"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t xml:space="preserve">Консултации са проведени на два основни етапа: </w:t>
      </w:r>
    </w:p>
    <w:p w14:paraId="3A4E4BD9" w14:textId="77777777" w:rsidR="00EA26A0" w:rsidRPr="009F6D1E" w:rsidRDefault="00EA26A0">
      <w:pPr>
        <w:numPr>
          <w:ilvl w:val="0"/>
          <w:numId w:val="79"/>
        </w:numPr>
        <w:spacing w:after="60" w:line="264" w:lineRule="auto"/>
        <w:contextualSpacing/>
        <w:jc w:val="both"/>
        <w:rPr>
          <w:rFonts w:cs="Times New Roman"/>
          <w:szCs w:val="24"/>
        </w:rPr>
      </w:pPr>
      <w:r w:rsidRPr="009F6D1E">
        <w:rPr>
          <w:rFonts w:cs="Times New Roman"/>
          <w:szCs w:val="24"/>
        </w:rPr>
        <w:t>Консултации по Заданието за обхват и съдържание на ДЕО (консултации по смисъла на чл.5, параграф 4 от Директива 2001/42/ЕО със заинтересованите органи по чл.6, параграф 3 от Директивата, като обхватът на консултациите е разширен и с всички определени в Схемата за консултации заинтересовани страни);</w:t>
      </w:r>
    </w:p>
    <w:p w14:paraId="68C08B76" w14:textId="77777777" w:rsidR="00EA26A0" w:rsidRPr="009F6D1E" w:rsidRDefault="00EA26A0">
      <w:pPr>
        <w:numPr>
          <w:ilvl w:val="0"/>
          <w:numId w:val="79"/>
        </w:numPr>
        <w:spacing w:after="60" w:line="264" w:lineRule="auto"/>
        <w:contextualSpacing/>
        <w:jc w:val="both"/>
        <w:rPr>
          <w:rFonts w:cs="Times New Roman"/>
          <w:szCs w:val="24"/>
        </w:rPr>
      </w:pPr>
      <w:r w:rsidRPr="009F6D1E">
        <w:rPr>
          <w:rFonts w:cs="Times New Roman"/>
          <w:szCs w:val="24"/>
        </w:rPr>
        <w:t>Консултации по ДЕО (по смисъла на чл. 6, параграф 1 от Директива 2001/42/ЕО).</w:t>
      </w:r>
    </w:p>
    <w:p w14:paraId="3DB32095" w14:textId="77777777" w:rsidR="00B72E39" w:rsidRPr="009F6D1E" w:rsidRDefault="00B72E39" w:rsidP="0084747F">
      <w:pPr>
        <w:spacing w:after="60" w:line="264" w:lineRule="auto"/>
        <w:ind w:firstLine="709"/>
        <w:contextualSpacing/>
        <w:jc w:val="both"/>
        <w:rPr>
          <w:rFonts w:cs="Times New Roman"/>
          <w:szCs w:val="24"/>
        </w:rPr>
      </w:pPr>
      <w:r w:rsidRPr="009F6D1E">
        <w:rPr>
          <w:rFonts w:cs="Times New Roman"/>
          <w:szCs w:val="24"/>
        </w:rPr>
        <w:t xml:space="preserve">Съгласно чл. 19, ал. 3 от Наредбата за условията и реда за извършване на екологична оценка на планове и програми (Наредбата за ЕО) ,, </w:t>
      </w:r>
      <w:r w:rsidRPr="009F6D1E">
        <w:rPr>
          <w:rFonts w:cs="Times New Roman"/>
          <w:i/>
          <w:iCs/>
          <w:szCs w:val="24"/>
        </w:rPr>
        <w:t>Консултациите по ал. 1 и 4 се провеждат по схема, разработена от възложителя, която включва и информация за начина на съвместяване процеса на планиране и основните етапи на ЕО съгласно чл. 3, ал. 1, в т. ч. за взаимодействие на екипите по разработване на проекта за плана/програмата на доклада по оценка на степента на въздействие, когато такъв е изискан от компетентния орган, и на доклада за ЕО/екологичната част.</w:t>
      </w:r>
      <w:r w:rsidRPr="009F6D1E">
        <w:rPr>
          <w:rFonts w:cs="Times New Roman"/>
          <w:szCs w:val="24"/>
        </w:rPr>
        <w:t xml:space="preserve"> “</w:t>
      </w:r>
    </w:p>
    <w:p w14:paraId="1BF5D17E" w14:textId="77777777" w:rsidR="00B72E39" w:rsidRPr="009F6D1E" w:rsidRDefault="00B72E39" w:rsidP="0084747F">
      <w:pPr>
        <w:spacing w:after="60" w:line="264" w:lineRule="auto"/>
        <w:ind w:firstLine="709"/>
        <w:contextualSpacing/>
        <w:jc w:val="both"/>
        <w:rPr>
          <w:rFonts w:cs="Times New Roman"/>
          <w:szCs w:val="24"/>
        </w:rPr>
      </w:pPr>
      <w:r w:rsidRPr="009F6D1E">
        <w:rPr>
          <w:rFonts w:cs="Times New Roman"/>
          <w:szCs w:val="24"/>
        </w:rPr>
        <w:t>Съгласно чл. 20. ал. 5 от Наредбата за ЕО „</w:t>
      </w:r>
      <w:r w:rsidRPr="009F6D1E">
        <w:rPr>
          <w:rFonts w:cs="Times New Roman"/>
          <w:i/>
          <w:iCs/>
          <w:szCs w:val="24"/>
        </w:rPr>
        <w:t>Преди започване на консултациите по ал. 1 и 3 в случаите, когато компетентният орган по чл. 4 е изискал изготвянето и на доклад за оценка на степента на въздействие по реда на чл. 31 от Закона за биологичното разнообразие, възложителят представя на компетентния орган приложението по чл. 34. ал. 1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оценка на качеството му съгласно чл. 24. ал. 3-7</w:t>
      </w:r>
      <w:r w:rsidRPr="009F6D1E">
        <w:rPr>
          <w:rFonts w:cs="Times New Roman"/>
          <w:szCs w:val="24"/>
        </w:rPr>
        <w:t>.“</w:t>
      </w:r>
    </w:p>
    <w:p w14:paraId="40728EB0" w14:textId="77777777" w:rsidR="00B72E39" w:rsidRPr="009F6D1E" w:rsidRDefault="00B72E39" w:rsidP="0084747F">
      <w:pPr>
        <w:spacing w:after="60" w:line="264" w:lineRule="auto"/>
        <w:ind w:firstLine="709"/>
        <w:contextualSpacing/>
        <w:jc w:val="both"/>
        <w:rPr>
          <w:rFonts w:cs="Times New Roman"/>
          <w:szCs w:val="24"/>
        </w:rPr>
      </w:pPr>
      <w:r w:rsidRPr="009F6D1E">
        <w:rPr>
          <w:rFonts w:cs="Times New Roman"/>
          <w:szCs w:val="24"/>
        </w:rPr>
        <w:t>Съгласно чл. 20, ал. 6 от Наредбата за ЕО ,.</w:t>
      </w:r>
      <w:r w:rsidRPr="009F6D1E">
        <w:rPr>
          <w:rFonts w:cs="Times New Roman"/>
          <w:i/>
          <w:iCs/>
          <w:szCs w:val="24"/>
        </w:rPr>
        <w:t>Консултациите по доклада за ЕО по ал. 1 - 3 започват само след произнасяне на компетентния орган с положителна оценка по доклада за оценка на степента на въздействие по ал. 5, за което уведомява писмено възложителя. В 5-дневен срок след писменото уведомяване компетентният орган осигурява обществен достъп до доклада за оценка на степента на въздействие за срок 30 дни чрез публикуване на своята интернет страница независимо от задълженията на възложителя по ал. 1 и 2.</w:t>
      </w:r>
      <w:r w:rsidRPr="009F6D1E">
        <w:rPr>
          <w:rFonts w:cs="Times New Roman"/>
          <w:szCs w:val="24"/>
        </w:rPr>
        <w:t>"</w:t>
      </w:r>
    </w:p>
    <w:p w14:paraId="05D8CD75" w14:textId="77777777" w:rsidR="00EA26A0" w:rsidRPr="009F6D1E" w:rsidRDefault="00EA26A0" w:rsidP="0084747F">
      <w:pPr>
        <w:spacing w:after="60" w:line="264" w:lineRule="auto"/>
        <w:ind w:firstLine="709"/>
        <w:contextualSpacing/>
        <w:jc w:val="both"/>
        <w:rPr>
          <w:rFonts w:cs="Times New Roman"/>
          <w:szCs w:val="24"/>
        </w:rPr>
      </w:pPr>
      <w:r w:rsidRPr="009F6D1E">
        <w:rPr>
          <w:rFonts w:cs="Times New Roman"/>
          <w:szCs w:val="24"/>
        </w:rPr>
        <w:lastRenderedPageBreak/>
        <w:t>Начинът на провеждане на консултациите на посочените два</w:t>
      </w:r>
      <w:r w:rsidR="00B72E39" w:rsidRPr="009F6D1E">
        <w:rPr>
          <w:rFonts w:cs="Times New Roman"/>
          <w:szCs w:val="24"/>
        </w:rPr>
        <w:t xml:space="preserve"> основни</w:t>
      </w:r>
      <w:r w:rsidRPr="009F6D1E">
        <w:rPr>
          <w:rFonts w:cs="Times New Roman"/>
          <w:szCs w:val="24"/>
        </w:rPr>
        <w:t xml:space="preserve"> етапа е описан подробно по-долу в двете подточки на т.1</w:t>
      </w:r>
      <w:r w:rsidR="00E81FB7" w:rsidRPr="009F6D1E">
        <w:rPr>
          <w:rFonts w:cs="Times New Roman"/>
          <w:szCs w:val="24"/>
        </w:rPr>
        <w:t>3</w:t>
      </w:r>
      <w:r w:rsidRPr="009F6D1E">
        <w:rPr>
          <w:rFonts w:cs="Times New Roman"/>
          <w:szCs w:val="24"/>
        </w:rPr>
        <w:t>, както следва:</w:t>
      </w:r>
    </w:p>
    <w:p w14:paraId="694EBAF9" w14:textId="77777777" w:rsidR="00814532" w:rsidRPr="009F6D1E" w:rsidRDefault="00814532" w:rsidP="0084747F">
      <w:pPr>
        <w:spacing w:after="60" w:line="264" w:lineRule="auto"/>
        <w:ind w:firstLine="709"/>
        <w:contextualSpacing/>
        <w:jc w:val="both"/>
        <w:rPr>
          <w:rFonts w:cs="Times New Roman"/>
          <w:szCs w:val="24"/>
        </w:rPr>
      </w:pPr>
    </w:p>
    <w:p w14:paraId="0C67C883" w14:textId="77777777" w:rsidR="00814532" w:rsidRPr="009F6D1E" w:rsidRDefault="00814532">
      <w:pPr>
        <w:pStyle w:val="ListParagraph"/>
        <w:keepNext/>
        <w:keepLines/>
        <w:numPr>
          <w:ilvl w:val="1"/>
          <w:numId w:val="85"/>
        </w:numPr>
        <w:shd w:val="clear" w:color="auto" w:fill="DEEAF6"/>
        <w:spacing w:after="60" w:line="264" w:lineRule="auto"/>
        <w:jc w:val="both"/>
        <w:outlineLvl w:val="2"/>
        <w:rPr>
          <w:rFonts w:eastAsia="Times New Roman"/>
          <w:b/>
          <w:lang w:val="bg-BG"/>
        </w:rPr>
      </w:pPr>
      <w:r w:rsidRPr="009F6D1E">
        <w:rPr>
          <w:rFonts w:eastAsia="Times New Roman"/>
          <w:b/>
          <w:lang w:val="bg-BG"/>
        </w:rPr>
        <w:t xml:space="preserve"> </w:t>
      </w:r>
      <w:bookmarkStart w:id="649" w:name="_Toc115255059"/>
      <w:r w:rsidRPr="009F6D1E">
        <w:rPr>
          <w:rFonts w:eastAsia="Times New Roman"/>
          <w:b/>
          <w:lang w:val="bg-BG"/>
        </w:rPr>
        <w:t>Резултати от консултациите по Заданието за определяне на обхвата и съдържанието на ДЕО</w:t>
      </w:r>
      <w:bookmarkEnd w:id="649"/>
    </w:p>
    <w:p w14:paraId="04840C34" w14:textId="77777777" w:rsidR="00814532" w:rsidRPr="009F6D1E" w:rsidRDefault="00814532" w:rsidP="0084747F">
      <w:pPr>
        <w:spacing w:after="60" w:line="264" w:lineRule="auto"/>
        <w:ind w:firstLine="709"/>
        <w:contextualSpacing/>
        <w:jc w:val="both"/>
        <w:rPr>
          <w:rFonts w:cs="Times New Roman"/>
          <w:szCs w:val="24"/>
        </w:rPr>
      </w:pPr>
    </w:p>
    <w:p w14:paraId="58D4ECB9" w14:textId="77777777" w:rsidR="00814532" w:rsidRPr="009F6D1E" w:rsidRDefault="00814532" w:rsidP="0084747F">
      <w:pPr>
        <w:spacing w:after="60" w:line="264" w:lineRule="auto"/>
        <w:ind w:firstLine="709"/>
        <w:contextualSpacing/>
        <w:jc w:val="both"/>
        <w:rPr>
          <w:rFonts w:cs="Times New Roman"/>
          <w:szCs w:val="24"/>
        </w:rPr>
      </w:pPr>
      <w:r w:rsidRPr="009F6D1E">
        <w:rPr>
          <w:rFonts w:cs="Times New Roman"/>
          <w:szCs w:val="24"/>
        </w:rPr>
        <w:t xml:space="preserve">Консултациите по Заданието за определяне на обхвата и съдържанието на ДЕО са проведени, както следва: </w:t>
      </w:r>
    </w:p>
    <w:p w14:paraId="7B8A5A22" w14:textId="77777777" w:rsidR="00E164C2" w:rsidRPr="009F6D1E" w:rsidRDefault="00814532">
      <w:pPr>
        <w:numPr>
          <w:ilvl w:val="0"/>
          <w:numId w:val="83"/>
        </w:numPr>
        <w:spacing w:after="60" w:line="264" w:lineRule="auto"/>
        <w:contextualSpacing/>
        <w:jc w:val="both"/>
        <w:rPr>
          <w:rFonts w:cs="Times New Roman"/>
          <w:szCs w:val="24"/>
        </w:rPr>
      </w:pPr>
      <w:r w:rsidRPr="009F6D1E">
        <w:rPr>
          <w:rFonts w:cs="Times New Roman"/>
          <w:szCs w:val="24"/>
        </w:rPr>
        <w:t>Заданието е публикувано на 0</w:t>
      </w:r>
      <w:r w:rsidR="009456D9" w:rsidRPr="009F6D1E">
        <w:rPr>
          <w:rFonts w:cs="Times New Roman"/>
          <w:szCs w:val="24"/>
        </w:rPr>
        <w:t>6</w:t>
      </w:r>
      <w:r w:rsidRPr="009F6D1E">
        <w:rPr>
          <w:rFonts w:cs="Times New Roman"/>
          <w:szCs w:val="24"/>
        </w:rPr>
        <w:t>.</w:t>
      </w:r>
      <w:r w:rsidR="009456D9" w:rsidRPr="009F6D1E">
        <w:rPr>
          <w:rFonts w:cs="Times New Roman"/>
          <w:szCs w:val="24"/>
        </w:rPr>
        <w:t>12</w:t>
      </w:r>
      <w:r w:rsidRPr="009F6D1E">
        <w:rPr>
          <w:rFonts w:cs="Times New Roman"/>
          <w:szCs w:val="24"/>
        </w:rPr>
        <w:t>.2021г. на интернет страницата на Министерство на земеделието, горите и храните</w:t>
      </w:r>
      <w:r w:rsidR="009456D9" w:rsidRPr="009F6D1E">
        <w:rPr>
          <w:rFonts w:cs="Times New Roman"/>
          <w:szCs w:val="24"/>
        </w:rPr>
        <w:t xml:space="preserve">, със срок за представяне на бележки и коментари  до 07.01.2022г. </w:t>
      </w:r>
    </w:p>
    <w:p w14:paraId="05B0BDE5" w14:textId="77777777" w:rsidR="00814532" w:rsidRPr="009F6D1E" w:rsidRDefault="00E164C2">
      <w:pPr>
        <w:numPr>
          <w:ilvl w:val="0"/>
          <w:numId w:val="83"/>
        </w:numPr>
        <w:spacing w:after="60" w:line="264" w:lineRule="auto"/>
        <w:contextualSpacing/>
        <w:jc w:val="both"/>
        <w:rPr>
          <w:rFonts w:cs="Times New Roman"/>
          <w:szCs w:val="24"/>
        </w:rPr>
      </w:pPr>
      <w:r w:rsidRPr="009F6D1E">
        <w:rPr>
          <w:rFonts w:cs="Times New Roman"/>
          <w:szCs w:val="24"/>
        </w:rPr>
        <w:t>Заданието е предоставено на всички заинтересовани страни и ведомства, определени в Схемата за провеждане на консултации с официални писма, в които е определен срок за получаване на становища до ……………… г.</w:t>
      </w:r>
    </w:p>
    <w:p w14:paraId="6871B143" w14:textId="77777777" w:rsidR="00E164C2" w:rsidRPr="009F6D1E" w:rsidRDefault="00E164C2" w:rsidP="0084747F">
      <w:pPr>
        <w:spacing w:after="60" w:line="264" w:lineRule="auto"/>
        <w:ind w:firstLine="708"/>
        <w:jc w:val="both"/>
        <w:rPr>
          <w:rFonts w:cs="Times New Roman"/>
          <w:szCs w:val="24"/>
        </w:rPr>
      </w:pPr>
      <w:r w:rsidRPr="009F6D1E">
        <w:rPr>
          <w:rFonts w:cs="Times New Roman"/>
          <w:szCs w:val="24"/>
        </w:rPr>
        <w:t xml:space="preserve">Получените в резултат на консултациите по Заданието и в двете държави становища са съобразени при изготвянето на ДЕО, като начинът на съобразяване и мотивите за това са представени в Таблица </w:t>
      </w:r>
      <w:r w:rsidR="00286FEF" w:rsidRPr="009F6D1E">
        <w:rPr>
          <w:rFonts w:cs="Times New Roman"/>
          <w:szCs w:val="24"/>
        </w:rPr>
        <w:t>43</w:t>
      </w:r>
      <w:r w:rsidRPr="009F6D1E">
        <w:rPr>
          <w:rFonts w:cs="Times New Roman"/>
          <w:szCs w:val="24"/>
        </w:rPr>
        <w:t xml:space="preserve">, а копия на становищата са представени в Приложение № </w:t>
      </w:r>
      <w:r w:rsidR="00286FEF" w:rsidRPr="009F6D1E">
        <w:rPr>
          <w:rFonts w:cs="Times New Roman"/>
          <w:szCs w:val="24"/>
        </w:rPr>
        <w:t>3</w:t>
      </w:r>
      <w:r w:rsidRPr="009F6D1E">
        <w:rPr>
          <w:rFonts w:cs="Times New Roman"/>
          <w:szCs w:val="24"/>
        </w:rPr>
        <w:t xml:space="preserve"> към ДЕО:</w:t>
      </w:r>
    </w:p>
    <w:p w14:paraId="6CAA4495" w14:textId="77777777" w:rsidR="00706B92" w:rsidRPr="009F6D1E" w:rsidRDefault="00706B92" w:rsidP="0084747F">
      <w:pPr>
        <w:spacing w:after="60" w:line="264" w:lineRule="auto"/>
        <w:ind w:firstLine="709"/>
        <w:contextualSpacing/>
        <w:jc w:val="both"/>
        <w:rPr>
          <w:rFonts w:cs="Times New Roman"/>
          <w:szCs w:val="24"/>
        </w:rPr>
        <w:sectPr w:rsidR="00706B92" w:rsidRPr="009F6D1E" w:rsidSect="004A41FF">
          <w:pgSz w:w="11907" w:h="16840" w:code="9"/>
          <w:pgMar w:top="1418" w:right="851" w:bottom="1134" w:left="1418" w:header="709" w:footer="709" w:gutter="0"/>
          <w:cols w:space="720"/>
          <w:docGrid w:linePitch="360"/>
        </w:sectPr>
      </w:pPr>
    </w:p>
    <w:p w14:paraId="5B1601E3" w14:textId="77777777" w:rsidR="00706B92" w:rsidRPr="009F6D1E" w:rsidRDefault="00706B92" w:rsidP="0084747F">
      <w:pPr>
        <w:spacing w:after="60" w:line="264" w:lineRule="auto"/>
        <w:ind w:firstLine="709"/>
        <w:contextualSpacing/>
        <w:jc w:val="both"/>
        <w:rPr>
          <w:rFonts w:cs="Times New Roman"/>
          <w:szCs w:val="24"/>
        </w:rPr>
      </w:pPr>
    </w:p>
    <w:p w14:paraId="765341BF" w14:textId="77777777" w:rsidR="00706B92" w:rsidRPr="009F6D1E" w:rsidRDefault="00706B92" w:rsidP="0084747F">
      <w:pPr>
        <w:spacing w:after="60" w:line="264" w:lineRule="auto"/>
        <w:ind w:firstLine="709"/>
        <w:contextualSpacing/>
        <w:jc w:val="both"/>
        <w:rPr>
          <w:rFonts w:cs="Times New Roman"/>
          <w:szCs w:val="24"/>
        </w:rPr>
      </w:pPr>
    </w:p>
    <w:p w14:paraId="730E25E2" w14:textId="463DA89A" w:rsidR="00706B92" w:rsidRPr="009F6D1E" w:rsidRDefault="00F079AA" w:rsidP="0084747F">
      <w:pPr>
        <w:spacing w:after="60" w:line="264" w:lineRule="auto"/>
        <w:contextualSpacing/>
        <w:jc w:val="center"/>
        <w:rPr>
          <w:rFonts w:cs="Times New Roman"/>
          <w:i/>
          <w:iCs/>
          <w:szCs w:val="24"/>
        </w:rPr>
      </w:pPr>
      <w:bookmarkStart w:id="650" w:name="_Toc115255192"/>
      <w:r w:rsidRPr="009F6D1E">
        <w:rPr>
          <w:rFonts w:cs="Times New Roman"/>
          <w:i/>
          <w:iCs/>
          <w:szCs w:val="24"/>
        </w:rPr>
        <w:t xml:space="preserve">Таблица </w:t>
      </w:r>
      <w:r w:rsidR="003F3D71" w:rsidRPr="009F6D1E">
        <w:rPr>
          <w:rFonts w:cs="Times New Roman"/>
          <w:i/>
          <w:iCs/>
          <w:szCs w:val="24"/>
        </w:rPr>
        <w:fldChar w:fldCharType="begin"/>
      </w:r>
      <w:r w:rsidRPr="009F6D1E">
        <w:rPr>
          <w:rFonts w:cs="Times New Roman"/>
          <w:i/>
          <w:iCs/>
          <w:szCs w:val="24"/>
        </w:rPr>
        <w:instrText xml:space="preserve"> SEQ Таблица \* ARABIC </w:instrText>
      </w:r>
      <w:r w:rsidR="003F3D71" w:rsidRPr="009F6D1E">
        <w:rPr>
          <w:rFonts w:cs="Times New Roman"/>
          <w:i/>
          <w:iCs/>
          <w:szCs w:val="24"/>
        </w:rPr>
        <w:fldChar w:fldCharType="separate"/>
      </w:r>
      <w:r w:rsidR="00A43EF3">
        <w:rPr>
          <w:rFonts w:cs="Times New Roman"/>
          <w:i/>
          <w:iCs/>
          <w:noProof/>
          <w:szCs w:val="24"/>
        </w:rPr>
        <w:t>41</w:t>
      </w:r>
      <w:r w:rsidR="003F3D71" w:rsidRPr="009F6D1E">
        <w:rPr>
          <w:rFonts w:cs="Times New Roman"/>
          <w:i/>
          <w:iCs/>
          <w:szCs w:val="24"/>
        </w:rPr>
        <w:fldChar w:fldCharType="end"/>
      </w:r>
      <w:r w:rsidRPr="009F6D1E">
        <w:rPr>
          <w:rFonts w:cs="Times New Roman"/>
          <w:i/>
          <w:iCs/>
          <w:szCs w:val="24"/>
        </w:rPr>
        <w:t xml:space="preserve"> </w:t>
      </w:r>
      <w:r w:rsidR="00706B92" w:rsidRPr="009F6D1E">
        <w:rPr>
          <w:rFonts w:cs="Times New Roman"/>
          <w:i/>
          <w:iCs/>
          <w:szCs w:val="24"/>
        </w:rPr>
        <w:t>Получени становища в резултат на консултациите по Заданието за обхват и съдържание на ДЕО и начин на отразяването им</w:t>
      </w:r>
      <w:bookmarkEnd w:id="650"/>
    </w:p>
    <w:tbl>
      <w:tblPr>
        <w:tblStyle w:val="TableGrid4"/>
        <w:tblW w:w="14596" w:type="dxa"/>
        <w:tblInd w:w="-113" w:type="dxa"/>
        <w:tblLayout w:type="fixed"/>
        <w:tblLook w:val="04A0" w:firstRow="1" w:lastRow="0" w:firstColumn="1" w:lastColumn="0" w:noHBand="0" w:noVBand="1"/>
      </w:tblPr>
      <w:tblGrid>
        <w:gridCol w:w="2547"/>
        <w:gridCol w:w="1984"/>
        <w:gridCol w:w="5670"/>
        <w:gridCol w:w="4395"/>
      </w:tblGrid>
      <w:tr w:rsidR="00706B92" w:rsidRPr="000B7C06" w14:paraId="12C24506" w14:textId="77777777" w:rsidTr="000B7C06">
        <w:trPr>
          <w:tblHeader/>
        </w:trPr>
        <w:tc>
          <w:tcPr>
            <w:tcW w:w="2547" w:type="dxa"/>
            <w:shd w:val="clear" w:color="auto" w:fill="B4C6E7" w:themeFill="accent1" w:themeFillTint="66"/>
            <w:vAlign w:val="center"/>
          </w:tcPr>
          <w:p w14:paraId="00D045B8" w14:textId="77777777" w:rsidR="00706B92" w:rsidRPr="000B7C06" w:rsidRDefault="00706B92" w:rsidP="000B7C06">
            <w:pPr>
              <w:spacing w:after="60" w:line="264" w:lineRule="auto"/>
              <w:ind w:firstLine="0"/>
              <w:jc w:val="center"/>
              <w:rPr>
                <w:rFonts w:cs="Times New Roman"/>
                <w:b/>
                <w:bCs/>
                <w:sz w:val="20"/>
                <w:szCs w:val="20"/>
                <w:lang w:val="bg-BG"/>
              </w:rPr>
            </w:pPr>
            <w:r w:rsidRPr="000B7C06">
              <w:rPr>
                <w:rFonts w:cs="Times New Roman"/>
                <w:b/>
                <w:bCs/>
                <w:sz w:val="20"/>
                <w:szCs w:val="20"/>
                <w:lang w:val="bg-BG"/>
              </w:rPr>
              <w:t>ВЕДОМСТВО</w:t>
            </w:r>
          </w:p>
        </w:tc>
        <w:tc>
          <w:tcPr>
            <w:tcW w:w="1984" w:type="dxa"/>
            <w:shd w:val="clear" w:color="auto" w:fill="B4C6E7" w:themeFill="accent1" w:themeFillTint="66"/>
            <w:vAlign w:val="center"/>
          </w:tcPr>
          <w:p w14:paraId="659C1386" w14:textId="459674B6" w:rsidR="00706B92" w:rsidRPr="000B7C06" w:rsidRDefault="00706B92" w:rsidP="000B7C06">
            <w:pPr>
              <w:spacing w:after="60" w:line="264" w:lineRule="auto"/>
              <w:ind w:right="-57" w:firstLine="0"/>
              <w:jc w:val="center"/>
              <w:rPr>
                <w:rFonts w:cs="Times New Roman"/>
                <w:b/>
                <w:bCs/>
                <w:sz w:val="20"/>
                <w:szCs w:val="20"/>
                <w:lang w:val="bg-BG"/>
              </w:rPr>
            </w:pPr>
            <w:r w:rsidRPr="000B7C06">
              <w:rPr>
                <w:rFonts w:cs="Times New Roman"/>
                <w:b/>
                <w:bCs/>
                <w:sz w:val="20"/>
                <w:szCs w:val="20"/>
                <w:lang w:val="bg-BG"/>
              </w:rPr>
              <w:t>ДАТА НА</w:t>
            </w:r>
            <w:r w:rsidR="000B7C06">
              <w:rPr>
                <w:rFonts w:cs="Times New Roman"/>
                <w:b/>
                <w:bCs/>
                <w:sz w:val="20"/>
                <w:szCs w:val="20"/>
                <w:lang w:val="bg-BG"/>
              </w:rPr>
              <w:t xml:space="preserve"> </w:t>
            </w:r>
            <w:r w:rsidRPr="000B7C06">
              <w:rPr>
                <w:rFonts w:cs="Times New Roman"/>
                <w:b/>
                <w:bCs/>
                <w:sz w:val="20"/>
                <w:szCs w:val="20"/>
                <w:lang w:val="bg-BG"/>
              </w:rPr>
              <w:t>ПОЛУЧАВАНЕ</w:t>
            </w:r>
            <w:r w:rsidR="000B7C06">
              <w:rPr>
                <w:rFonts w:cs="Times New Roman"/>
                <w:b/>
                <w:bCs/>
                <w:sz w:val="20"/>
                <w:szCs w:val="20"/>
                <w:lang w:val="bg-BG"/>
              </w:rPr>
              <w:t xml:space="preserve"> </w:t>
            </w:r>
            <w:r w:rsidRPr="000B7C06">
              <w:rPr>
                <w:rFonts w:cs="Times New Roman"/>
                <w:b/>
                <w:bCs/>
                <w:sz w:val="20"/>
                <w:szCs w:val="20"/>
                <w:lang w:val="bg-BG"/>
              </w:rPr>
              <w:t>ИЗХ. №</w:t>
            </w:r>
          </w:p>
        </w:tc>
        <w:tc>
          <w:tcPr>
            <w:tcW w:w="5670" w:type="dxa"/>
            <w:shd w:val="clear" w:color="auto" w:fill="B4C6E7" w:themeFill="accent1" w:themeFillTint="66"/>
            <w:vAlign w:val="center"/>
          </w:tcPr>
          <w:p w14:paraId="2FA5DC90" w14:textId="77777777" w:rsidR="00706B92" w:rsidRPr="000B7C06" w:rsidRDefault="00706B92" w:rsidP="000B7C06">
            <w:pPr>
              <w:spacing w:after="60" w:line="264" w:lineRule="auto"/>
              <w:ind w:firstLine="0"/>
              <w:jc w:val="center"/>
              <w:rPr>
                <w:rFonts w:cs="Times New Roman"/>
                <w:b/>
                <w:bCs/>
                <w:sz w:val="20"/>
                <w:szCs w:val="20"/>
                <w:lang w:val="bg-BG"/>
              </w:rPr>
            </w:pPr>
            <w:r w:rsidRPr="000B7C06">
              <w:rPr>
                <w:rFonts w:cs="Times New Roman"/>
                <w:b/>
                <w:bCs/>
                <w:sz w:val="20"/>
                <w:szCs w:val="20"/>
                <w:lang w:val="bg-BG"/>
              </w:rPr>
              <w:t>ОПИСАНИЕ НА СТАНОВИЩЕТО</w:t>
            </w:r>
          </w:p>
        </w:tc>
        <w:tc>
          <w:tcPr>
            <w:tcW w:w="4395" w:type="dxa"/>
            <w:shd w:val="clear" w:color="auto" w:fill="B4C6E7" w:themeFill="accent1" w:themeFillTint="66"/>
            <w:vAlign w:val="center"/>
          </w:tcPr>
          <w:p w14:paraId="090B54D6" w14:textId="77777777" w:rsidR="00706B92" w:rsidRPr="000B7C06" w:rsidRDefault="00706B92" w:rsidP="000B7C06">
            <w:pPr>
              <w:spacing w:after="60" w:line="264" w:lineRule="auto"/>
              <w:ind w:firstLine="0"/>
              <w:jc w:val="center"/>
              <w:rPr>
                <w:rFonts w:cs="Times New Roman"/>
                <w:b/>
                <w:bCs/>
                <w:sz w:val="20"/>
                <w:szCs w:val="20"/>
                <w:lang w:val="bg-BG"/>
              </w:rPr>
            </w:pPr>
            <w:r w:rsidRPr="000B7C06">
              <w:rPr>
                <w:rFonts w:cs="Times New Roman"/>
                <w:b/>
                <w:bCs/>
                <w:sz w:val="20"/>
                <w:szCs w:val="20"/>
                <w:lang w:val="bg-BG"/>
              </w:rPr>
              <w:t>НАЧИН НА ОТРАЗЯВАНЕ И МОТИВИ ЗА НЕПРИЕТИ ЗАБЕЛЕЖКИ</w:t>
            </w:r>
          </w:p>
        </w:tc>
      </w:tr>
      <w:tr w:rsidR="00706B92" w:rsidRPr="000B7C06" w14:paraId="010AA34F" w14:textId="77777777" w:rsidTr="0064445A">
        <w:tc>
          <w:tcPr>
            <w:tcW w:w="2547" w:type="dxa"/>
          </w:tcPr>
          <w:p w14:paraId="41DEC242"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РИОСВ-Стара Загора</w:t>
            </w:r>
          </w:p>
        </w:tc>
        <w:tc>
          <w:tcPr>
            <w:tcW w:w="1984" w:type="dxa"/>
          </w:tcPr>
          <w:p w14:paraId="3DA2DE57" w14:textId="3119E1D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РД-05-6603/1/23.12.2021г.</w:t>
            </w:r>
          </w:p>
        </w:tc>
        <w:tc>
          <w:tcPr>
            <w:tcW w:w="5670" w:type="dxa"/>
          </w:tcPr>
          <w:p w14:paraId="2C3880C1"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Представеното Задание за обхват и съдържание на Доклад за Екологична оценка на „Стратегическа оценка на околната среда на стратегически план на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за периода 2021-2027 г. е изготвено в изпълнение на изискванията на чл. 19а от Наредбата за условията и реда за извършване на екологична оценка на планове и програми и е в рамките на консултациите с компетентния орган. Екологичната оценка ще съдържа информацията по чл. 86, а</w:t>
            </w:r>
            <w:r w:rsidR="0064445A" w:rsidRPr="000B7C06">
              <w:rPr>
                <w:rFonts w:cs="Times New Roman"/>
                <w:color w:val="000000"/>
                <w:sz w:val="20"/>
                <w:szCs w:val="20"/>
                <w:lang w:val="bg-BG"/>
              </w:rPr>
              <w:t>л</w:t>
            </w:r>
            <w:r w:rsidRPr="000B7C06">
              <w:rPr>
                <w:rFonts w:cs="Times New Roman"/>
                <w:color w:val="000000"/>
                <w:sz w:val="20"/>
                <w:szCs w:val="20"/>
                <w:lang w:val="bg-BG"/>
              </w:rPr>
              <w:t>. 3 от ЗООС, в съответствие със степента на детайлност на програмата.</w:t>
            </w:r>
          </w:p>
          <w:p w14:paraId="0EB03B17"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На основание гореизложеното, приемаме представеното Задание за обхват и съдържание на Доклад за Екологична оценка на „Стратегическа оценка на околната среда на стратегически план на </w:t>
            </w:r>
            <w:r w:rsidR="00D809BC" w:rsidRPr="000B7C06">
              <w:rPr>
                <w:rFonts w:cs="Times New Roman"/>
                <w:sz w:val="20"/>
                <w:szCs w:val="20"/>
                <w:lang w:val="bg-BG"/>
              </w:rPr>
              <w:t>РЗСР</w:t>
            </w:r>
            <w:r w:rsidRPr="000B7C06">
              <w:rPr>
                <w:rFonts w:cs="Times New Roman"/>
                <w:sz w:val="20"/>
                <w:szCs w:val="20"/>
                <w:lang w:val="bg-BG"/>
              </w:rPr>
              <w:t xml:space="preserve"> за периода 2021 -2027 г. без забележки.</w:t>
            </w:r>
          </w:p>
        </w:tc>
        <w:tc>
          <w:tcPr>
            <w:tcW w:w="4395" w:type="dxa"/>
          </w:tcPr>
          <w:p w14:paraId="19D7A611" w14:textId="77777777" w:rsidR="00706B92" w:rsidRPr="000B7C06" w:rsidRDefault="0064445A"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предложения.</w:t>
            </w:r>
          </w:p>
        </w:tc>
      </w:tr>
      <w:tr w:rsidR="00706B92" w:rsidRPr="000B7C06" w14:paraId="1D5532BA" w14:textId="77777777" w:rsidTr="0064445A">
        <w:tc>
          <w:tcPr>
            <w:tcW w:w="2547" w:type="dxa"/>
          </w:tcPr>
          <w:p w14:paraId="1027CBF8"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РИОСВ-Благоевград</w:t>
            </w:r>
          </w:p>
        </w:tc>
        <w:tc>
          <w:tcPr>
            <w:tcW w:w="1984" w:type="dxa"/>
          </w:tcPr>
          <w:p w14:paraId="61C89A65"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4139(1)/30.12.2021г.</w:t>
            </w:r>
          </w:p>
        </w:tc>
        <w:tc>
          <w:tcPr>
            <w:tcW w:w="5670" w:type="dxa"/>
          </w:tcPr>
          <w:p w14:paraId="67D80DF6"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Информираме Ви, че РИОСВ - Благоевград, няма препоръки и предложения за изменение и допълване на представеното за разглеждане Задание за определяне на обхват и съдържание по доклада за „Стратегическа оценка на околната среда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за периода 2021 - 2027 г.“</w:t>
            </w:r>
          </w:p>
        </w:tc>
        <w:tc>
          <w:tcPr>
            <w:tcW w:w="4395" w:type="dxa"/>
          </w:tcPr>
          <w:p w14:paraId="669C82DC" w14:textId="77777777" w:rsidR="00706B92" w:rsidRPr="000B7C06" w:rsidRDefault="0064445A"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предложения.</w:t>
            </w:r>
          </w:p>
        </w:tc>
      </w:tr>
      <w:tr w:rsidR="00706B92" w:rsidRPr="000B7C06" w14:paraId="2524EE9C" w14:textId="77777777" w:rsidTr="0064445A">
        <w:tc>
          <w:tcPr>
            <w:tcW w:w="2547" w:type="dxa"/>
          </w:tcPr>
          <w:p w14:paraId="6887C643"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РИОСВ-Бургас</w:t>
            </w:r>
          </w:p>
        </w:tc>
        <w:tc>
          <w:tcPr>
            <w:tcW w:w="1984" w:type="dxa"/>
          </w:tcPr>
          <w:p w14:paraId="62C2B7D8" w14:textId="48F9B71E"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ПД-3307-(1)/13.01.2022г.</w:t>
            </w:r>
          </w:p>
        </w:tc>
        <w:tc>
          <w:tcPr>
            <w:tcW w:w="5670" w:type="dxa"/>
          </w:tcPr>
          <w:p w14:paraId="6313D5C6"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Във връзка със задължителните консултации в процеса на изготвяне на ЕО, в т.ч. за определяне на обхвата на </w:t>
            </w:r>
            <w:r w:rsidRPr="000B7C06">
              <w:rPr>
                <w:rFonts w:cs="Times New Roman"/>
                <w:color w:val="000000"/>
                <w:sz w:val="20"/>
                <w:szCs w:val="20"/>
                <w:lang w:val="bg-BG"/>
              </w:rPr>
              <w:lastRenderedPageBreak/>
              <w:t xml:space="preserve">оценката на основание чл. 19а от Наредба за условията и реда за извършване на екологична оценка на планове и програми (Наредба за ЕО),  компетентният орган по околна среда - РИОСВ Бургас приема представеното от Вас задание за обхват  и съдържание на Доклада за стратегическа оценка на околната среда на Стратегически план по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за периода 2023-2027г. Заданието е изготвено при съобразяване с изискванията към съдържанието и обхвата на Доклада за ЕО съгласно разпоредбите на чл.86, ал.3 от ЗООС.</w:t>
            </w:r>
          </w:p>
        </w:tc>
        <w:tc>
          <w:tcPr>
            <w:tcW w:w="4395" w:type="dxa"/>
          </w:tcPr>
          <w:p w14:paraId="0AFCF3E2" w14:textId="77777777" w:rsidR="00706B92" w:rsidRPr="000B7C06" w:rsidRDefault="00AB7DDB"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lastRenderedPageBreak/>
              <w:t>Становището не съдържа бележки и предложения.</w:t>
            </w:r>
          </w:p>
        </w:tc>
      </w:tr>
      <w:tr w:rsidR="00706B92" w:rsidRPr="000B7C06" w14:paraId="11839CE6" w14:textId="77777777" w:rsidTr="0064445A">
        <w:tc>
          <w:tcPr>
            <w:tcW w:w="2547" w:type="dxa"/>
          </w:tcPr>
          <w:p w14:paraId="14E2916B"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РИОСВ-Варна</w:t>
            </w:r>
          </w:p>
        </w:tc>
        <w:tc>
          <w:tcPr>
            <w:tcW w:w="1984" w:type="dxa"/>
          </w:tcPr>
          <w:p w14:paraId="14B9321B" w14:textId="34D729A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04-00-9891/А1</w:t>
            </w:r>
            <w:r w:rsidR="000B7C06">
              <w:rPr>
                <w:rFonts w:cs="Times New Roman"/>
                <w:sz w:val="20"/>
                <w:szCs w:val="20"/>
                <w:lang w:val="bg-BG"/>
              </w:rPr>
              <w:t xml:space="preserve"> </w:t>
            </w:r>
            <w:r w:rsidRPr="000B7C06">
              <w:rPr>
                <w:rFonts w:cs="Times New Roman"/>
                <w:sz w:val="20"/>
                <w:szCs w:val="20"/>
                <w:lang w:val="bg-BG"/>
              </w:rPr>
              <w:t>21.12.2021г.</w:t>
            </w:r>
          </w:p>
        </w:tc>
        <w:tc>
          <w:tcPr>
            <w:tcW w:w="5670" w:type="dxa"/>
          </w:tcPr>
          <w:p w14:paraId="1FC40203"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Предложеното задание като цяло е съобразено с изискванията на нормативната уредба по ЕО.</w:t>
            </w:r>
          </w:p>
          <w:p w14:paraId="3D8DFC84"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Обхватът на заданието е съобразен с характера, предмета и предвижданията плана и припокрива изискванията на чл. 86, ал. 3 от ЗООС, които касаят съдържанието на Доклада за екологична оценка.</w:t>
            </w:r>
          </w:p>
          <w:p w14:paraId="0B1D1C1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В заданието за обхват и съдържание не са: разгледани всички компоненти и фактори на околната среда, съгласно изискванията на чл. 4 и 5 от ЗООС.</w:t>
            </w:r>
          </w:p>
          <w:p w14:paraId="76CC34F0"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Същото касае и предложената структура на съдържание на доклада за екологична оценка.</w:t>
            </w:r>
          </w:p>
          <w:p w14:paraId="1317C211"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При изработването на доклада за екологична оценка, анализа на екологичната ситуация да бъде съсредоточен с аспектите на околната среда.</w:t>
            </w:r>
          </w:p>
          <w:p w14:paraId="117CC8CA"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lastRenderedPageBreak/>
              <w:t>Заключението в доклада за екологична оценка следва да бъде извършено по компоненти и фактори и да отговаря на изискването на чл. 83, ал. 5 от ЗООС.</w:t>
            </w:r>
          </w:p>
          <w:p w14:paraId="7B2FB336"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Изложеното по-горе има препоръчителен характер за извършване на цялостна и пълна оценка.</w:t>
            </w:r>
          </w:p>
        </w:tc>
        <w:tc>
          <w:tcPr>
            <w:tcW w:w="4395" w:type="dxa"/>
          </w:tcPr>
          <w:p w14:paraId="6FFB29E8" w14:textId="77777777" w:rsidR="00706B92" w:rsidRPr="000B7C06" w:rsidRDefault="006A3437"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lastRenderedPageBreak/>
              <w:t>Становището не съдържа бележки и предложения.</w:t>
            </w:r>
          </w:p>
        </w:tc>
      </w:tr>
      <w:tr w:rsidR="00706B92" w:rsidRPr="000B7C06" w14:paraId="0795002C" w14:textId="77777777" w:rsidTr="0064445A">
        <w:tc>
          <w:tcPr>
            <w:tcW w:w="2547" w:type="dxa"/>
          </w:tcPr>
          <w:p w14:paraId="0126E186"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РИОСВ-Велико Търново</w:t>
            </w:r>
          </w:p>
        </w:tc>
        <w:tc>
          <w:tcPr>
            <w:tcW w:w="1984" w:type="dxa"/>
          </w:tcPr>
          <w:p w14:paraId="4BA68D79"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3979(1)/23.12.2021г.</w:t>
            </w:r>
          </w:p>
        </w:tc>
        <w:tc>
          <w:tcPr>
            <w:tcW w:w="5670" w:type="dxa"/>
          </w:tcPr>
          <w:p w14:paraId="4F8E32D9"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Заданието за обхват и съдържание на Доклада за Стратегическа оценка на околната среда на горецитирания стратегически план покрива минималните изисквания на чл. 86, ал. 3 от Закона за опазване на околната среда.</w:t>
            </w:r>
          </w:p>
          <w:p w14:paraId="1D41969C"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Изготвена е схема за провеждане на консултации по екологичната оценка в обхвата на чл. 19, ал. 3 от Наредбата за условията и реда за извършване на екологична оценка на планове и програми.</w:t>
            </w:r>
          </w:p>
          <w:p w14:paraId="783BA819"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РИОСВ - Велико Търново има следните забележи и препоръки по отношение на Стратегическа оценка на околната среда на Стратегически план по Обща селскостопанска практика за периода 2021 - 2027 г. (</w:t>
            </w:r>
            <w:r w:rsidR="00CD4045" w:rsidRPr="000B7C06">
              <w:rPr>
                <w:rFonts w:cs="Times New Roman"/>
                <w:color w:val="000000"/>
                <w:sz w:val="20"/>
                <w:szCs w:val="20"/>
                <w:lang w:val="bg-BG"/>
              </w:rPr>
              <w:t>СПРЗСР</w:t>
            </w:r>
            <w:r w:rsidRPr="000B7C06">
              <w:rPr>
                <w:rFonts w:cs="Times New Roman"/>
                <w:color w:val="000000"/>
                <w:sz w:val="20"/>
                <w:szCs w:val="20"/>
                <w:lang w:val="bg-BG"/>
              </w:rPr>
              <w:t>):</w:t>
            </w:r>
          </w:p>
          <w:p w14:paraId="23ACC796"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1.</w:t>
            </w:r>
            <w:r w:rsidRPr="000B7C06">
              <w:rPr>
                <w:rFonts w:cs="Times New Roman"/>
                <w:color w:val="000000"/>
                <w:sz w:val="20"/>
                <w:szCs w:val="20"/>
                <w:lang w:val="bg-BG"/>
              </w:rPr>
              <w:tab/>
              <w:t xml:space="preserve">В т. 1, подточка 1.5. „Алтернативи за Стратегически план по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2021 - 2027 г.“ - Като алтернативи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могат да се посочат всеки от вариантите, подложени на </w:t>
            </w:r>
            <w:proofErr w:type="spellStart"/>
            <w:r w:rsidRPr="000B7C06">
              <w:rPr>
                <w:rFonts w:cs="Times New Roman"/>
                <w:color w:val="000000"/>
                <w:sz w:val="20"/>
                <w:szCs w:val="20"/>
                <w:lang w:val="bg-BG"/>
              </w:rPr>
              <w:t>критериален</w:t>
            </w:r>
            <w:proofErr w:type="spellEnd"/>
            <w:r w:rsidRPr="000B7C06">
              <w:rPr>
                <w:rFonts w:cs="Times New Roman"/>
                <w:color w:val="000000"/>
                <w:sz w:val="20"/>
                <w:szCs w:val="20"/>
                <w:lang w:val="bg-BG"/>
              </w:rPr>
              <w:t xml:space="preserve"> анализ, въз основа на който е предпочетената алтернатива, като и вкл. и „нулевата алтернатива“.</w:t>
            </w:r>
          </w:p>
        </w:tc>
        <w:tc>
          <w:tcPr>
            <w:tcW w:w="4395" w:type="dxa"/>
          </w:tcPr>
          <w:p w14:paraId="36718CC0" w14:textId="77777777" w:rsidR="00706B92" w:rsidRPr="000B7C06" w:rsidRDefault="00706B92" w:rsidP="0084747F">
            <w:pPr>
              <w:spacing w:after="60" w:line="264" w:lineRule="auto"/>
              <w:rPr>
                <w:rFonts w:cs="Times New Roman"/>
                <w:sz w:val="20"/>
                <w:szCs w:val="20"/>
                <w:lang w:val="bg-BG"/>
              </w:rPr>
            </w:pPr>
          </w:p>
          <w:p w14:paraId="3D3171A0" w14:textId="77777777" w:rsidR="00FA5670" w:rsidRPr="000B7C06" w:rsidRDefault="00FA5670" w:rsidP="0084747F">
            <w:pPr>
              <w:spacing w:after="60" w:line="264" w:lineRule="auto"/>
              <w:rPr>
                <w:rFonts w:cs="Times New Roman"/>
                <w:sz w:val="20"/>
                <w:szCs w:val="20"/>
                <w:lang w:val="bg-BG"/>
              </w:rPr>
            </w:pPr>
          </w:p>
          <w:p w14:paraId="2CE0D2BB" w14:textId="77777777" w:rsidR="00FA5670" w:rsidRPr="000B7C06" w:rsidRDefault="00FA5670" w:rsidP="0084747F">
            <w:pPr>
              <w:spacing w:after="60" w:line="264" w:lineRule="auto"/>
              <w:rPr>
                <w:rFonts w:cs="Times New Roman"/>
                <w:sz w:val="20"/>
                <w:szCs w:val="20"/>
                <w:lang w:val="bg-BG"/>
              </w:rPr>
            </w:pPr>
          </w:p>
          <w:p w14:paraId="48010DF9" w14:textId="77777777" w:rsidR="00FA5670" w:rsidRPr="000B7C06" w:rsidRDefault="00FA5670" w:rsidP="0084747F">
            <w:pPr>
              <w:spacing w:after="60" w:line="264" w:lineRule="auto"/>
              <w:rPr>
                <w:rFonts w:cs="Times New Roman"/>
                <w:sz w:val="20"/>
                <w:szCs w:val="20"/>
                <w:lang w:val="bg-BG"/>
              </w:rPr>
            </w:pPr>
          </w:p>
          <w:p w14:paraId="6B81F294" w14:textId="77777777" w:rsidR="00FA5670" w:rsidRPr="000B7C06" w:rsidRDefault="00FA5670" w:rsidP="0084747F">
            <w:pPr>
              <w:spacing w:after="60" w:line="264" w:lineRule="auto"/>
              <w:rPr>
                <w:rFonts w:cs="Times New Roman"/>
                <w:sz w:val="20"/>
                <w:szCs w:val="20"/>
                <w:lang w:val="bg-BG"/>
              </w:rPr>
            </w:pPr>
          </w:p>
          <w:p w14:paraId="734411E5" w14:textId="77777777" w:rsidR="00FA5670" w:rsidRPr="000B7C06" w:rsidRDefault="00FA5670" w:rsidP="0084747F">
            <w:pPr>
              <w:spacing w:after="60" w:line="264" w:lineRule="auto"/>
              <w:rPr>
                <w:rFonts w:cs="Times New Roman"/>
                <w:sz w:val="20"/>
                <w:szCs w:val="20"/>
                <w:lang w:val="bg-BG"/>
              </w:rPr>
            </w:pPr>
          </w:p>
          <w:p w14:paraId="156F8165" w14:textId="77777777" w:rsidR="00FA5670" w:rsidRPr="000B7C06" w:rsidRDefault="00FA5670" w:rsidP="0084747F">
            <w:pPr>
              <w:spacing w:after="60" w:line="264" w:lineRule="auto"/>
              <w:rPr>
                <w:rFonts w:cs="Times New Roman"/>
                <w:sz w:val="20"/>
                <w:szCs w:val="20"/>
                <w:lang w:val="bg-BG"/>
              </w:rPr>
            </w:pPr>
          </w:p>
          <w:p w14:paraId="71C3B543" w14:textId="77777777" w:rsidR="00FA5670" w:rsidRPr="000B7C06" w:rsidRDefault="00FA5670" w:rsidP="0084747F">
            <w:pPr>
              <w:spacing w:after="60" w:line="264" w:lineRule="auto"/>
              <w:rPr>
                <w:rFonts w:cs="Times New Roman"/>
                <w:sz w:val="20"/>
                <w:szCs w:val="20"/>
                <w:lang w:val="bg-BG"/>
              </w:rPr>
            </w:pPr>
          </w:p>
          <w:p w14:paraId="7C0DC6AB" w14:textId="77777777" w:rsidR="00FA5670" w:rsidRPr="000B7C06" w:rsidRDefault="00FA5670" w:rsidP="0084747F">
            <w:pPr>
              <w:spacing w:after="60" w:line="264" w:lineRule="auto"/>
              <w:rPr>
                <w:rFonts w:cs="Times New Roman"/>
                <w:sz w:val="20"/>
                <w:szCs w:val="20"/>
                <w:lang w:val="bg-BG"/>
              </w:rPr>
            </w:pPr>
          </w:p>
          <w:p w14:paraId="378B8DBA" w14:textId="77777777" w:rsidR="00FA5670" w:rsidRPr="000B7C06" w:rsidRDefault="00FA5670" w:rsidP="0084747F">
            <w:pPr>
              <w:spacing w:after="60" w:line="264" w:lineRule="auto"/>
              <w:rPr>
                <w:rFonts w:cs="Times New Roman"/>
                <w:sz w:val="20"/>
                <w:szCs w:val="20"/>
                <w:lang w:val="bg-BG"/>
              </w:rPr>
            </w:pPr>
          </w:p>
          <w:p w14:paraId="01FE18EE" w14:textId="77777777" w:rsidR="000B7C06" w:rsidRDefault="000B7C06" w:rsidP="000B7C06">
            <w:pPr>
              <w:spacing w:after="60" w:line="264" w:lineRule="auto"/>
              <w:ind w:firstLine="0"/>
              <w:rPr>
                <w:rFonts w:cs="Times New Roman"/>
                <w:sz w:val="20"/>
                <w:szCs w:val="20"/>
                <w:lang w:val="bg-BG"/>
              </w:rPr>
            </w:pPr>
          </w:p>
          <w:p w14:paraId="35793FE5" w14:textId="3D65B5D9" w:rsidR="00FA5670" w:rsidRPr="000B7C06" w:rsidRDefault="00FA5670" w:rsidP="000B7C06">
            <w:pPr>
              <w:spacing w:after="60" w:line="264" w:lineRule="auto"/>
              <w:ind w:firstLine="0"/>
              <w:rPr>
                <w:rFonts w:cs="Times New Roman"/>
                <w:sz w:val="20"/>
                <w:szCs w:val="20"/>
                <w:lang w:val="bg-BG"/>
              </w:rPr>
            </w:pPr>
            <w:r w:rsidRPr="000B7C06">
              <w:rPr>
                <w:rFonts w:cs="Times New Roman"/>
                <w:sz w:val="20"/>
                <w:szCs w:val="20"/>
                <w:lang w:val="bg-BG"/>
              </w:rPr>
              <w:t xml:space="preserve">Препоръката е съобразена при разработването на </w:t>
            </w:r>
            <w:r w:rsidR="007745FD" w:rsidRPr="000B7C06">
              <w:rPr>
                <w:rFonts w:cs="Times New Roman"/>
                <w:sz w:val="20"/>
                <w:szCs w:val="20"/>
                <w:lang w:val="bg-BG"/>
              </w:rPr>
              <w:t>т.3.3. на ДЕО</w:t>
            </w:r>
            <w:r w:rsidRPr="000B7C06">
              <w:rPr>
                <w:rFonts w:cs="Times New Roman"/>
                <w:sz w:val="20"/>
                <w:szCs w:val="20"/>
                <w:lang w:val="bg-BG"/>
              </w:rPr>
              <w:t xml:space="preserve"> </w:t>
            </w:r>
          </w:p>
        </w:tc>
      </w:tr>
      <w:tr w:rsidR="00706B92" w:rsidRPr="000B7C06" w14:paraId="717892D0" w14:textId="77777777" w:rsidTr="0064445A">
        <w:tc>
          <w:tcPr>
            <w:tcW w:w="2547" w:type="dxa"/>
            <w:tcBorders>
              <w:top w:val="nil"/>
            </w:tcBorders>
          </w:tcPr>
          <w:p w14:paraId="7A345280" w14:textId="77777777" w:rsidR="00706B92" w:rsidRPr="000B7C06" w:rsidRDefault="00706B92" w:rsidP="0084747F">
            <w:pPr>
              <w:spacing w:after="60" w:line="264" w:lineRule="auto"/>
              <w:rPr>
                <w:rFonts w:cs="Times New Roman"/>
                <w:b/>
                <w:bCs/>
                <w:sz w:val="20"/>
                <w:szCs w:val="20"/>
                <w:lang w:val="bg-BG"/>
              </w:rPr>
            </w:pPr>
          </w:p>
        </w:tc>
        <w:tc>
          <w:tcPr>
            <w:tcW w:w="1984" w:type="dxa"/>
            <w:tcBorders>
              <w:top w:val="nil"/>
            </w:tcBorders>
          </w:tcPr>
          <w:p w14:paraId="444DF362" w14:textId="77777777" w:rsidR="00706B92" w:rsidRPr="000B7C06" w:rsidRDefault="00706B92" w:rsidP="0084747F">
            <w:pPr>
              <w:spacing w:after="60" w:line="264" w:lineRule="auto"/>
              <w:rPr>
                <w:rFonts w:cs="Times New Roman"/>
                <w:sz w:val="20"/>
                <w:szCs w:val="20"/>
                <w:lang w:val="bg-BG"/>
              </w:rPr>
            </w:pPr>
          </w:p>
        </w:tc>
        <w:tc>
          <w:tcPr>
            <w:tcW w:w="5670" w:type="dxa"/>
          </w:tcPr>
          <w:p w14:paraId="7D7ECC3E"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2.</w:t>
            </w:r>
            <w:r w:rsidR="007745FD" w:rsidRPr="000B7C06">
              <w:rPr>
                <w:rFonts w:cs="Times New Roman"/>
                <w:color w:val="000000"/>
                <w:sz w:val="20"/>
                <w:szCs w:val="20"/>
                <w:lang w:val="bg-BG"/>
              </w:rPr>
              <w:t xml:space="preserve"> </w:t>
            </w:r>
            <w:r w:rsidRPr="000B7C06">
              <w:rPr>
                <w:rFonts w:cs="Times New Roman"/>
                <w:color w:val="000000"/>
                <w:sz w:val="20"/>
                <w:szCs w:val="20"/>
                <w:lang w:val="bg-BG"/>
              </w:rPr>
              <w:t>По отношение на оценката на въздействията:</w:t>
            </w:r>
          </w:p>
          <w:p w14:paraId="046E57F8"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Подходът за извършване на оценката за кумулативно въздействие в резултат от реализиране предвижданията и </w:t>
            </w:r>
            <w:r w:rsidRPr="000B7C06">
              <w:rPr>
                <w:rFonts w:cs="Times New Roman"/>
                <w:color w:val="000000"/>
                <w:sz w:val="20"/>
                <w:szCs w:val="20"/>
                <w:lang w:val="bg-BG"/>
              </w:rPr>
              <w:lastRenderedPageBreak/>
              <w:t xml:space="preserve">проектите към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следва да се основава на обща методологическа рамка, като бъдат анализирани:</w:t>
            </w:r>
          </w:p>
          <w:p w14:paraId="183178DF"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w:t>
            </w:r>
            <w:r w:rsidRPr="000B7C06">
              <w:rPr>
                <w:rFonts w:cs="Times New Roman"/>
                <w:color w:val="000000"/>
                <w:sz w:val="20"/>
                <w:szCs w:val="20"/>
                <w:lang w:val="bg-BG"/>
              </w:rPr>
              <w:tab/>
              <w:t>Ефектите с натрупване - общият ефект от различни въздействия върху всеки отделен фактор/компонент на околната среда;</w:t>
            </w:r>
          </w:p>
          <w:p w14:paraId="3CF6CA32"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w:t>
            </w:r>
            <w:r w:rsidRPr="000B7C06">
              <w:rPr>
                <w:rFonts w:cs="Times New Roman"/>
                <w:color w:val="000000"/>
                <w:sz w:val="20"/>
                <w:szCs w:val="20"/>
                <w:lang w:val="bg-BG"/>
              </w:rPr>
              <w:tab/>
              <w:t>Ефектите с наслагване:</w:t>
            </w:r>
          </w:p>
          <w:p w14:paraId="62B7A911"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Натрупване на еднакви въздействия, което води до ново значително въздействие;</w:t>
            </w:r>
          </w:p>
          <w:p w14:paraId="3ADDE743"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Натрупване на различни въздействия, което води до ново значително въздействие;</w:t>
            </w:r>
          </w:p>
          <w:p w14:paraId="6DFDD95E"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w:t>
            </w:r>
            <w:r w:rsidRPr="000B7C06">
              <w:rPr>
                <w:rFonts w:cs="Times New Roman"/>
                <w:color w:val="000000"/>
                <w:sz w:val="20"/>
                <w:szCs w:val="20"/>
                <w:lang w:val="bg-BG"/>
              </w:rPr>
              <w:tab/>
              <w:t>Ефектите на времето - оценка на възможни въздействия, които възникват в различните етапи на реализация на проектите/предвижданията и които водят до ново значително въздействие;</w:t>
            </w:r>
          </w:p>
          <w:p w14:paraId="3E88D7CB"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Оценката на кумулативното въздействие и значимостта следва да бъде извършена и при отчитане на степента на въздействие върху компоненти/фактори на околната среда.</w:t>
            </w:r>
          </w:p>
        </w:tc>
        <w:tc>
          <w:tcPr>
            <w:tcW w:w="4395" w:type="dxa"/>
          </w:tcPr>
          <w:p w14:paraId="22CB6F46" w14:textId="77777777" w:rsidR="00706B92" w:rsidRPr="000B7C06" w:rsidRDefault="007745FD" w:rsidP="000B7C06">
            <w:pPr>
              <w:spacing w:after="60" w:line="264" w:lineRule="auto"/>
              <w:ind w:firstLine="0"/>
              <w:rPr>
                <w:rFonts w:cs="Times New Roman"/>
                <w:sz w:val="20"/>
                <w:szCs w:val="20"/>
                <w:lang w:val="bg-BG"/>
              </w:rPr>
            </w:pPr>
            <w:r w:rsidRPr="000B7C06">
              <w:rPr>
                <w:rFonts w:cs="Times New Roman"/>
                <w:sz w:val="20"/>
                <w:szCs w:val="20"/>
                <w:lang w:val="bg-BG"/>
              </w:rPr>
              <w:lastRenderedPageBreak/>
              <w:t>Препоръката е съобразена при разработването на т.8.3. на ДЕО</w:t>
            </w:r>
          </w:p>
        </w:tc>
      </w:tr>
      <w:tr w:rsidR="00706B92" w:rsidRPr="000B7C06" w14:paraId="470EA002" w14:textId="77777777" w:rsidTr="0064445A">
        <w:tc>
          <w:tcPr>
            <w:tcW w:w="2547" w:type="dxa"/>
            <w:tcBorders>
              <w:top w:val="nil"/>
            </w:tcBorders>
          </w:tcPr>
          <w:p w14:paraId="39A53338"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РИОСВ-Враца</w:t>
            </w:r>
          </w:p>
        </w:tc>
        <w:tc>
          <w:tcPr>
            <w:tcW w:w="1984" w:type="dxa"/>
            <w:tcBorders>
              <w:top w:val="nil"/>
            </w:tcBorders>
          </w:tcPr>
          <w:p w14:paraId="5D22475A" w14:textId="0C0F26CD"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ОВОС-ЕО-378(1)/20.12.2021г.</w:t>
            </w:r>
          </w:p>
        </w:tc>
        <w:tc>
          <w:tcPr>
            <w:tcW w:w="5670" w:type="dxa"/>
          </w:tcPr>
          <w:p w14:paraId="07182B6E"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РИОСВ - Враца няма забележки и препоръки към представеното Задание за определяне на обхвата и съдържанието по Доклад за „Стратегическа оценка на околната среда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за периода 2021 - 2027 г.“</w:t>
            </w:r>
          </w:p>
        </w:tc>
        <w:tc>
          <w:tcPr>
            <w:tcW w:w="4395" w:type="dxa"/>
          </w:tcPr>
          <w:p w14:paraId="4546C55F" w14:textId="77777777" w:rsidR="00706B92" w:rsidRPr="000B7C06" w:rsidRDefault="007745FD"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предложения.</w:t>
            </w:r>
          </w:p>
        </w:tc>
      </w:tr>
      <w:tr w:rsidR="00706B92" w:rsidRPr="000B7C06" w14:paraId="4AD95E7E" w14:textId="77777777" w:rsidTr="0064445A">
        <w:tc>
          <w:tcPr>
            <w:tcW w:w="2547" w:type="dxa"/>
            <w:tcBorders>
              <w:top w:val="nil"/>
            </w:tcBorders>
          </w:tcPr>
          <w:p w14:paraId="171D460B"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РИОСВ-Монтана</w:t>
            </w:r>
          </w:p>
        </w:tc>
        <w:tc>
          <w:tcPr>
            <w:tcW w:w="1984" w:type="dxa"/>
            <w:tcBorders>
              <w:top w:val="nil"/>
            </w:tcBorders>
          </w:tcPr>
          <w:p w14:paraId="5914DB40"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4155/23.12.2021г.</w:t>
            </w:r>
          </w:p>
        </w:tc>
        <w:tc>
          <w:tcPr>
            <w:tcW w:w="5670" w:type="dxa"/>
          </w:tcPr>
          <w:p w14:paraId="102C1C7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Заданието с предложената структура на доклада е съобразено с изискванията на </w:t>
            </w:r>
            <w:proofErr w:type="spellStart"/>
            <w:r w:rsidRPr="000B7C06">
              <w:rPr>
                <w:rFonts w:cs="Times New Roman"/>
                <w:color w:val="000000"/>
                <w:sz w:val="20"/>
                <w:szCs w:val="20"/>
                <w:lang w:val="bg-BG"/>
              </w:rPr>
              <w:t>чл</w:t>
            </w:r>
            <w:proofErr w:type="spellEnd"/>
            <w:r w:rsidRPr="000B7C06">
              <w:rPr>
                <w:rFonts w:cs="Times New Roman"/>
                <w:color w:val="000000"/>
                <w:sz w:val="20"/>
                <w:szCs w:val="20"/>
                <w:lang w:val="bg-BG"/>
              </w:rPr>
              <w:t xml:space="preserve">, 86, ал. 3 от ЗООС и чл. 17, ал. 1 на Наредбата за условията и реда за извършване на екологична </w:t>
            </w:r>
            <w:r w:rsidRPr="000B7C06">
              <w:rPr>
                <w:rFonts w:cs="Times New Roman"/>
                <w:color w:val="000000"/>
                <w:sz w:val="20"/>
                <w:szCs w:val="20"/>
                <w:lang w:val="bg-BG"/>
              </w:rPr>
              <w:lastRenderedPageBreak/>
              <w:t xml:space="preserve">оценка на планове и програми (Наредбата за ЕО). При изготвянето на доклада да се вземат предвид заложените </w:t>
            </w:r>
            <w:r w:rsidR="007745FD" w:rsidRPr="000B7C06">
              <w:rPr>
                <w:rFonts w:cs="Times New Roman"/>
                <w:color w:val="000000"/>
                <w:sz w:val="20"/>
                <w:szCs w:val="20"/>
                <w:lang w:val="bg-BG"/>
              </w:rPr>
              <w:t>ц</w:t>
            </w:r>
            <w:r w:rsidRPr="000B7C06">
              <w:rPr>
                <w:rFonts w:cs="Times New Roman"/>
                <w:color w:val="000000"/>
                <w:sz w:val="20"/>
                <w:szCs w:val="20"/>
                <w:lang w:val="bg-BG"/>
              </w:rPr>
              <w:t>ели в Националния план за управление на отпадъците за новия програмен период 2021 - 2028 г.</w:t>
            </w:r>
          </w:p>
        </w:tc>
        <w:tc>
          <w:tcPr>
            <w:tcW w:w="4395" w:type="dxa"/>
          </w:tcPr>
          <w:p w14:paraId="074DB304" w14:textId="77777777" w:rsidR="00706B92" w:rsidRPr="000B7C06" w:rsidRDefault="007745FD" w:rsidP="000B7C06">
            <w:pPr>
              <w:spacing w:after="60" w:line="264" w:lineRule="auto"/>
              <w:ind w:firstLine="0"/>
              <w:rPr>
                <w:rFonts w:cs="Times New Roman"/>
                <w:sz w:val="20"/>
                <w:szCs w:val="20"/>
                <w:lang w:val="bg-BG"/>
              </w:rPr>
            </w:pPr>
            <w:r w:rsidRPr="000B7C06">
              <w:rPr>
                <w:rFonts w:cs="Times New Roman"/>
                <w:sz w:val="20"/>
                <w:szCs w:val="20"/>
                <w:lang w:val="bg-BG"/>
              </w:rPr>
              <w:lastRenderedPageBreak/>
              <w:t>Препоръката е съобразена при разработването на т.6.6. на ДЕО</w:t>
            </w:r>
          </w:p>
        </w:tc>
      </w:tr>
      <w:tr w:rsidR="00706B92" w:rsidRPr="000B7C06" w14:paraId="1C517045" w14:textId="77777777" w:rsidTr="0064445A">
        <w:tc>
          <w:tcPr>
            <w:tcW w:w="2547" w:type="dxa"/>
            <w:tcBorders>
              <w:top w:val="nil"/>
            </w:tcBorders>
          </w:tcPr>
          <w:p w14:paraId="100AF0E7"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РИОСВ-Пазарджик</w:t>
            </w:r>
          </w:p>
        </w:tc>
        <w:tc>
          <w:tcPr>
            <w:tcW w:w="1984" w:type="dxa"/>
            <w:tcBorders>
              <w:top w:val="nil"/>
            </w:tcBorders>
          </w:tcPr>
          <w:p w14:paraId="3C2FFBD7" w14:textId="3C502CC4"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ПД-02-34-(2)/21.12.2021г.</w:t>
            </w:r>
          </w:p>
        </w:tc>
        <w:tc>
          <w:tcPr>
            <w:tcW w:w="5670" w:type="dxa"/>
          </w:tcPr>
          <w:p w14:paraId="17DD3509"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По отношение на представеното Задание за определяне на обхвата и съдържанието па доклада за екологична оценка (ЕО) на „Стратегическа оценка на околната среда на стратегически план на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за периода 2021-2027 г.“ - нямаме бележки и препоръки.</w:t>
            </w:r>
          </w:p>
        </w:tc>
        <w:tc>
          <w:tcPr>
            <w:tcW w:w="4395" w:type="dxa"/>
          </w:tcPr>
          <w:p w14:paraId="1C484A27" w14:textId="77777777" w:rsidR="00706B92" w:rsidRPr="000B7C06" w:rsidRDefault="00CC1CE1"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предложения.</w:t>
            </w:r>
          </w:p>
        </w:tc>
      </w:tr>
      <w:tr w:rsidR="00706B92" w:rsidRPr="000B7C06" w14:paraId="2300DBB0" w14:textId="77777777" w:rsidTr="0064445A">
        <w:tc>
          <w:tcPr>
            <w:tcW w:w="2547" w:type="dxa"/>
            <w:tcBorders>
              <w:top w:val="nil"/>
            </w:tcBorders>
          </w:tcPr>
          <w:p w14:paraId="7B4CC015"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РИОСВ-Плевен</w:t>
            </w:r>
          </w:p>
        </w:tc>
        <w:tc>
          <w:tcPr>
            <w:tcW w:w="1984" w:type="dxa"/>
            <w:tcBorders>
              <w:top w:val="nil"/>
            </w:tcBorders>
          </w:tcPr>
          <w:p w14:paraId="0FDB3EEC" w14:textId="6AD21EB4"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6997 (1)/30.12.2021г.</w:t>
            </w:r>
          </w:p>
        </w:tc>
        <w:tc>
          <w:tcPr>
            <w:tcW w:w="5670" w:type="dxa"/>
          </w:tcPr>
          <w:p w14:paraId="6909A751"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Представеното Задание за определяне на обхвата и съдържанието на доклада за „Стратегическа оценка на околната среда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за периода 2021- 2027г” принципно по структура и съдържание съответства на изискванията на чл. 17, ал. 1 от Наредбата за условията и реда за извършване на ЕО.</w:t>
            </w:r>
          </w:p>
          <w:p w14:paraId="3264C87C"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Приемаме представеното Заданието за обхват и съдържание на доклад за екологична оценка на проект на Задание за определяне на обхвата и съдържанието на доклада за „Стратегическа оценка на околната среда на стратегически, план за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,за периода 2021-2027г", като в частта „Биологично разнообразие“ на стр. 50 от доклада неточно е посочено, че са „намалели до степен на изчезване” „7 безгръбначни”, „2 змии", „3 птици”. Очевидно е пропусната думата „вида”, необходимо е корекция на текста.</w:t>
            </w:r>
          </w:p>
        </w:tc>
        <w:tc>
          <w:tcPr>
            <w:tcW w:w="4395" w:type="dxa"/>
          </w:tcPr>
          <w:p w14:paraId="5F6C12C3" w14:textId="77777777" w:rsidR="00706B92" w:rsidRPr="000B7C06" w:rsidRDefault="003973A6"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Забележката е взета под внимание при разработване на т. 6.9 от настоящия ДЕО.</w:t>
            </w:r>
          </w:p>
          <w:p w14:paraId="5018BB40" w14:textId="77777777" w:rsidR="00CC1CE1" w:rsidRPr="000B7C06" w:rsidRDefault="00CC1CE1" w:rsidP="003973A6">
            <w:pPr>
              <w:spacing w:after="60" w:line="264" w:lineRule="auto"/>
              <w:rPr>
                <w:rFonts w:eastAsia="Times New Roman" w:cs="Times New Roman"/>
                <w:bCs/>
                <w:sz w:val="20"/>
                <w:szCs w:val="20"/>
                <w:lang w:val="bg-BG" w:eastAsia="bg-BG"/>
              </w:rPr>
            </w:pPr>
          </w:p>
          <w:p w14:paraId="5FD45C1E" w14:textId="77777777" w:rsidR="00CC1CE1" w:rsidRPr="000B7C06" w:rsidRDefault="00CC1CE1" w:rsidP="003973A6">
            <w:pPr>
              <w:spacing w:after="60" w:line="264" w:lineRule="auto"/>
              <w:rPr>
                <w:rFonts w:eastAsia="Times New Roman" w:cs="Times New Roman"/>
                <w:bCs/>
                <w:sz w:val="20"/>
                <w:szCs w:val="20"/>
                <w:lang w:val="bg-BG" w:eastAsia="bg-BG"/>
              </w:rPr>
            </w:pPr>
          </w:p>
          <w:p w14:paraId="70DECAE1" w14:textId="77777777" w:rsidR="00CC1CE1" w:rsidRPr="000B7C06" w:rsidRDefault="00CC1CE1" w:rsidP="003973A6">
            <w:pPr>
              <w:spacing w:after="60" w:line="264" w:lineRule="auto"/>
              <w:rPr>
                <w:rFonts w:eastAsia="Times New Roman" w:cs="Times New Roman"/>
                <w:bCs/>
                <w:sz w:val="20"/>
                <w:szCs w:val="20"/>
                <w:lang w:val="bg-BG" w:eastAsia="bg-BG"/>
              </w:rPr>
            </w:pPr>
          </w:p>
          <w:p w14:paraId="2E1A0DBB" w14:textId="77777777" w:rsidR="00CC1CE1" w:rsidRPr="000B7C06" w:rsidRDefault="00CC1CE1" w:rsidP="003973A6">
            <w:pPr>
              <w:spacing w:after="60" w:line="264" w:lineRule="auto"/>
              <w:rPr>
                <w:rFonts w:eastAsia="Times New Roman" w:cs="Times New Roman"/>
                <w:bCs/>
                <w:sz w:val="20"/>
                <w:szCs w:val="20"/>
                <w:lang w:val="bg-BG" w:eastAsia="bg-BG"/>
              </w:rPr>
            </w:pPr>
          </w:p>
          <w:p w14:paraId="388D794E" w14:textId="77777777" w:rsidR="00CC1CE1" w:rsidRPr="000B7C06" w:rsidRDefault="00CC1CE1" w:rsidP="003973A6">
            <w:pPr>
              <w:spacing w:after="60" w:line="264" w:lineRule="auto"/>
              <w:rPr>
                <w:rFonts w:eastAsia="Times New Roman" w:cs="Times New Roman"/>
                <w:bCs/>
                <w:sz w:val="20"/>
                <w:szCs w:val="20"/>
                <w:lang w:val="bg-BG" w:eastAsia="bg-BG"/>
              </w:rPr>
            </w:pPr>
          </w:p>
          <w:p w14:paraId="26736BEC" w14:textId="77777777" w:rsidR="00CC1CE1" w:rsidRPr="000B7C06" w:rsidRDefault="00CC1CE1" w:rsidP="003973A6">
            <w:pPr>
              <w:spacing w:after="60" w:line="264" w:lineRule="auto"/>
              <w:rPr>
                <w:rFonts w:eastAsia="Times New Roman" w:cs="Times New Roman"/>
                <w:bCs/>
                <w:sz w:val="20"/>
                <w:szCs w:val="20"/>
                <w:lang w:val="bg-BG" w:eastAsia="bg-BG"/>
              </w:rPr>
            </w:pPr>
          </w:p>
          <w:p w14:paraId="769A92DB" w14:textId="77777777" w:rsidR="00CC1CE1" w:rsidRPr="000B7C06" w:rsidRDefault="00CC1CE1"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Препоръката е съобразена при разработване на т.6.9</w:t>
            </w:r>
          </w:p>
        </w:tc>
      </w:tr>
      <w:tr w:rsidR="00706B92" w:rsidRPr="000B7C06" w14:paraId="65F280C6" w14:textId="77777777" w:rsidTr="0064445A">
        <w:tc>
          <w:tcPr>
            <w:tcW w:w="2547" w:type="dxa"/>
            <w:tcBorders>
              <w:top w:val="nil"/>
            </w:tcBorders>
          </w:tcPr>
          <w:p w14:paraId="72F8B9CA"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РИОСВ-Пловдив</w:t>
            </w:r>
          </w:p>
        </w:tc>
        <w:tc>
          <w:tcPr>
            <w:tcW w:w="1984" w:type="dxa"/>
            <w:tcBorders>
              <w:top w:val="nil"/>
            </w:tcBorders>
          </w:tcPr>
          <w:p w14:paraId="4FDB6223" w14:textId="66D228F1"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ОВОС-4209-1/22.12.2021г.</w:t>
            </w:r>
          </w:p>
        </w:tc>
        <w:tc>
          <w:tcPr>
            <w:tcW w:w="5670" w:type="dxa"/>
          </w:tcPr>
          <w:p w14:paraId="2E50B6A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По компонент „Атмосферен въздух"</w:t>
            </w:r>
          </w:p>
          <w:p w14:paraId="697CDC25"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Процесите и дейностите в сектор селско стопанство са източници на атмосферни замърсители, като парникови газове - </w:t>
            </w:r>
            <w:r w:rsidRPr="000B7C06">
              <w:rPr>
                <w:rFonts w:cs="Times New Roman"/>
                <w:color w:val="000000"/>
                <w:sz w:val="20"/>
                <w:szCs w:val="20"/>
                <w:lang w:val="bg-BG"/>
              </w:rPr>
              <w:lastRenderedPageBreak/>
              <w:t>метан (CH</w:t>
            </w:r>
            <w:r w:rsidR="00412FF6" w:rsidRPr="000B7C06">
              <w:rPr>
                <w:rFonts w:cs="Times New Roman"/>
                <w:color w:val="000000"/>
                <w:sz w:val="20"/>
                <w:szCs w:val="20"/>
                <w:vertAlign w:val="subscript"/>
                <w:lang w:val="bg-BG"/>
              </w:rPr>
              <w:t>4</w:t>
            </w:r>
            <w:r w:rsidRPr="000B7C06">
              <w:rPr>
                <w:rFonts w:cs="Times New Roman"/>
                <w:color w:val="000000"/>
                <w:sz w:val="20"/>
                <w:szCs w:val="20"/>
                <w:lang w:val="bg-BG"/>
              </w:rPr>
              <w:t xml:space="preserve">, </w:t>
            </w:r>
            <w:proofErr w:type="spellStart"/>
            <w:r w:rsidRPr="000B7C06">
              <w:rPr>
                <w:rFonts w:cs="Times New Roman"/>
                <w:color w:val="000000"/>
                <w:sz w:val="20"/>
                <w:szCs w:val="20"/>
                <w:lang w:val="bg-BG"/>
              </w:rPr>
              <w:t>диазотен</w:t>
            </w:r>
            <w:proofErr w:type="spellEnd"/>
            <w:r w:rsidRPr="000B7C06">
              <w:rPr>
                <w:rFonts w:cs="Times New Roman"/>
                <w:color w:val="000000"/>
                <w:sz w:val="20"/>
                <w:szCs w:val="20"/>
                <w:lang w:val="bg-BG"/>
              </w:rPr>
              <w:t xml:space="preserve"> оксид (N</w:t>
            </w:r>
            <w:r w:rsidRPr="000B7C06">
              <w:rPr>
                <w:rFonts w:cs="Times New Roman"/>
                <w:color w:val="000000"/>
                <w:sz w:val="20"/>
                <w:szCs w:val="20"/>
                <w:vertAlign w:val="subscript"/>
                <w:lang w:val="bg-BG"/>
              </w:rPr>
              <w:t>2</w:t>
            </w:r>
            <w:r w:rsidR="00412FF6" w:rsidRPr="000B7C06">
              <w:rPr>
                <w:rFonts w:cs="Times New Roman"/>
                <w:color w:val="000000"/>
                <w:sz w:val="20"/>
                <w:szCs w:val="20"/>
                <w:lang w:val="bg-BG"/>
              </w:rPr>
              <w:t>О</w:t>
            </w:r>
            <w:r w:rsidRPr="000B7C06">
              <w:rPr>
                <w:rFonts w:cs="Times New Roman"/>
                <w:color w:val="000000"/>
                <w:sz w:val="20"/>
                <w:szCs w:val="20"/>
                <w:lang w:val="bg-BG"/>
              </w:rPr>
              <w:t>), въглероден диоксид (С</w:t>
            </w:r>
            <w:r w:rsidR="00412FF6" w:rsidRPr="000B7C06">
              <w:rPr>
                <w:rFonts w:cs="Times New Roman"/>
                <w:color w:val="000000"/>
                <w:sz w:val="20"/>
                <w:szCs w:val="20"/>
                <w:lang w:val="bg-BG"/>
              </w:rPr>
              <w:t>О</w:t>
            </w:r>
            <w:r w:rsidRPr="000B7C06">
              <w:rPr>
                <w:rFonts w:cs="Times New Roman"/>
                <w:color w:val="000000"/>
                <w:sz w:val="20"/>
                <w:szCs w:val="20"/>
                <w:vertAlign w:val="subscript"/>
                <w:lang w:val="bg-BG"/>
              </w:rPr>
              <w:t>2</w:t>
            </w:r>
            <w:r w:rsidRPr="000B7C06">
              <w:rPr>
                <w:rFonts w:cs="Times New Roman"/>
                <w:color w:val="000000"/>
                <w:sz w:val="20"/>
                <w:szCs w:val="20"/>
                <w:lang w:val="bg-BG"/>
              </w:rPr>
              <w:t>) и др</w:t>
            </w:r>
            <w:r w:rsidR="00412FF6" w:rsidRPr="000B7C06">
              <w:rPr>
                <w:rFonts w:cs="Times New Roman"/>
                <w:color w:val="000000"/>
                <w:sz w:val="20"/>
                <w:szCs w:val="20"/>
                <w:lang w:val="bg-BG"/>
              </w:rPr>
              <w:t>.,</w:t>
            </w:r>
            <w:r w:rsidRPr="000B7C06">
              <w:rPr>
                <w:rFonts w:cs="Times New Roman"/>
                <w:color w:val="000000"/>
                <w:sz w:val="20"/>
                <w:szCs w:val="20"/>
                <w:lang w:val="bg-BG"/>
              </w:rPr>
              <w:t xml:space="preserve"> и на амоняк</w:t>
            </w:r>
            <w:r w:rsidR="00412FF6" w:rsidRPr="000B7C06">
              <w:rPr>
                <w:rFonts w:cs="Times New Roman"/>
                <w:color w:val="000000"/>
                <w:sz w:val="20"/>
                <w:szCs w:val="20"/>
                <w:lang w:val="bg-BG"/>
              </w:rPr>
              <w:t xml:space="preserve"> </w:t>
            </w:r>
            <w:r w:rsidRPr="000B7C06">
              <w:rPr>
                <w:rFonts w:cs="Times New Roman"/>
                <w:color w:val="000000"/>
                <w:sz w:val="20"/>
                <w:szCs w:val="20"/>
                <w:lang w:val="bg-BG"/>
              </w:rPr>
              <w:t>(</w:t>
            </w:r>
            <w:r w:rsidR="00412FF6" w:rsidRPr="000B7C06">
              <w:rPr>
                <w:rFonts w:cs="Times New Roman"/>
                <w:color w:val="000000"/>
                <w:sz w:val="20"/>
                <w:szCs w:val="20"/>
                <w:lang w:val="bg-BG"/>
              </w:rPr>
              <w:t>N</w:t>
            </w:r>
            <w:r w:rsidRPr="000B7C06">
              <w:rPr>
                <w:rFonts w:cs="Times New Roman"/>
                <w:color w:val="000000"/>
                <w:sz w:val="20"/>
                <w:szCs w:val="20"/>
                <w:lang w:val="bg-BG"/>
              </w:rPr>
              <w:t>Н</w:t>
            </w:r>
            <w:r w:rsidRPr="000B7C06">
              <w:rPr>
                <w:rFonts w:cs="Times New Roman"/>
                <w:color w:val="000000"/>
                <w:sz w:val="20"/>
                <w:szCs w:val="20"/>
                <w:vertAlign w:val="subscript"/>
                <w:lang w:val="bg-BG"/>
              </w:rPr>
              <w:t>3</w:t>
            </w:r>
            <w:r w:rsidRPr="000B7C06">
              <w:rPr>
                <w:rFonts w:cs="Times New Roman"/>
                <w:color w:val="000000"/>
                <w:sz w:val="20"/>
                <w:szCs w:val="20"/>
                <w:lang w:val="bg-BG"/>
              </w:rPr>
              <w:t xml:space="preserve">). С цел намаляване на емисиите на парникови газове и на амоняка в атмосферата е необходимо в „Стратегическа оценка на околната среда на стратегически план на </w:t>
            </w:r>
            <w:r w:rsidR="00D809BC" w:rsidRPr="000B7C06">
              <w:rPr>
                <w:rFonts w:cs="Times New Roman"/>
                <w:color w:val="000000"/>
                <w:sz w:val="20"/>
                <w:szCs w:val="20"/>
                <w:lang w:val="bg-BG"/>
              </w:rPr>
              <w:t>РЗСР</w:t>
            </w:r>
            <w:r w:rsidRPr="000B7C06">
              <w:rPr>
                <w:rFonts w:cs="Times New Roman"/>
                <w:color w:val="000000"/>
                <w:sz w:val="20"/>
                <w:szCs w:val="20"/>
                <w:lang w:val="bg-BG"/>
              </w:rPr>
              <w:t xml:space="preserve"> за периода 2021-2027 г." да се предвидят практики и политики, които са благоприятни за климата и околната среда, включително: инвестиции в иновации и технологии, нови фуражни добавки, пасищно отглеждане, интегрирано управление на оборския тор, добри земеделски практики и др.</w:t>
            </w:r>
          </w:p>
          <w:p w14:paraId="76165459"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Експертите в РИОСВ Пловдив нямат други допълнения и забележки по така представеното задание.</w:t>
            </w:r>
          </w:p>
        </w:tc>
        <w:tc>
          <w:tcPr>
            <w:tcW w:w="4395" w:type="dxa"/>
          </w:tcPr>
          <w:p w14:paraId="51AEE386" w14:textId="77777777" w:rsidR="00706B92" w:rsidRPr="000B7C06" w:rsidRDefault="00706B92" w:rsidP="0084747F">
            <w:pPr>
              <w:spacing w:after="60" w:line="264" w:lineRule="auto"/>
              <w:rPr>
                <w:rFonts w:cs="Times New Roman"/>
                <w:sz w:val="20"/>
                <w:szCs w:val="20"/>
                <w:lang w:val="bg-BG"/>
              </w:rPr>
            </w:pPr>
          </w:p>
          <w:p w14:paraId="3D5B7BFF" w14:textId="19F0C333" w:rsidR="00412FF6" w:rsidRDefault="00412FF6" w:rsidP="0084747F">
            <w:pPr>
              <w:spacing w:after="60" w:line="264" w:lineRule="auto"/>
              <w:rPr>
                <w:rFonts w:cs="Times New Roman"/>
                <w:sz w:val="20"/>
                <w:szCs w:val="20"/>
                <w:lang w:val="bg-BG"/>
              </w:rPr>
            </w:pPr>
          </w:p>
          <w:p w14:paraId="55096EF5" w14:textId="0EDD9CB9" w:rsidR="00412FF6" w:rsidRPr="000B7C06" w:rsidRDefault="00412FF6"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lastRenderedPageBreak/>
              <w:t>Становището не съдържа бележки и препоръки към ДЕО.</w:t>
            </w:r>
            <w:r w:rsidR="000B7C06">
              <w:rPr>
                <w:rFonts w:eastAsia="Times New Roman" w:cs="Times New Roman"/>
                <w:bCs/>
                <w:sz w:val="20"/>
                <w:szCs w:val="20"/>
                <w:lang w:val="bg-BG" w:eastAsia="bg-BG"/>
              </w:rPr>
              <w:t xml:space="preserve"> </w:t>
            </w:r>
            <w:r w:rsidR="0023522C" w:rsidRPr="000B7C06">
              <w:rPr>
                <w:rFonts w:eastAsia="Times New Roman" w:cs="Times New Roman"/>
                <w:bCs/>
                <w:sz w:val="20"/>
                <w:szCs w:val="20"/>
                <w:lang w:val="bg-BG" w:eastAsia="bg-BG"/>
              </w:rPr>
              <w:t xml:space="preserve">Направените предложения в становището, касаят обхвата и съдържанието на </w:t>
            </w:r>
            <w:r w:rsidR="00CD4045" w:rsidRPr="000B7C06">
              <w:rPr>
                <w:rFonts w:eastAsia="Times New Roman" w:cs="Times New Roman"/>
                <w:bCs/>
                <w:sz w:val="20"/>
                <w:szCs w:val="20"/>
                <w:lang w:val="bg-BG" w:eastAsia="bg-BG"/>
              </w:rPr>
              <w:t>СПРЗСР</w:t>
            </w:r>
            <w:r w:rsidR="0023522C" w:rsidRPr="000B7C06">
              <w:rPr>
                <w:rFonts w:eastAsia="Times New Roman" w:cs="Times New Roman"/>
                <w:bCs/>
                <w:sz w:val="20"/>
                <w:szCs w:val="20"/>
                <w:lang w:val="bg-BG" w:eastAsia="bg-BG"/>
              </w:rPr>
              <w:t>.</w:t>
            </w:r>
          </w:p>
        </w:tc>
      </w:tr>
      <w:tr w:rsidR="00706B92" w:rsidRPr="000B7C06" w14:paraId="741C77EE" w14:textId="77777777" w:rsidTr="0064445A">
        <w:tc>
          <w:tcPr>
            <w:tcW w:w="2547" w:type="dxa"/>
            <w:tcBorders>
              <w:top w:val="nil"/>
            </w:tcBorders>
          </w:tcPr>
          <w:p w14:paraId="2343089E"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РИОСВ-Русе</w:t>
            </w:r>
          </w:p>
        </w:tc>
        <w:tc>
          <w:tcPr>
            <w:tcW w:w="1984" w:type="dxa"/>
            <w:tcBorders>
              <w:top w:val="nil"/>
            </w:tcBorders>
          </w:tcPr>
          <w:p w14:paraId="06253D66" w14:textId="2779872F"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И-4969/21.12.2021г.</w:t>
            </w:r>
          </w:p>
        </w:tc>
        <w:tc>
          <w:tcPr>
            <w:tcW w:w="5670" w:type="dxa"/>
          </w:tcPr>
          <w:p w14:paraId="5DB12827"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След запознаване със съдържанието на заданието, Ви уведомявам, че:.</w:t>
            </w:r>
          </w:p>
          <w:p w14:paraId="705E3F8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Същото е изготвено, като са следвани изискванията на нормативната уредба по околна среда.</w:t>
            </w:r>
          </w:p>
          <w:p w14:paraId="6AB8E6D3"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 Предложените структура и съдържание на ДЕО са в съответствие с минималното задължително съдържание, разписано в </w:t>
            </w:r>
            <w:proofErr w:type="spellStart"/>
            <w:r w:rsidRPr="000B7C06">
              <w:rPr>
                <w:rFonts w:cs="Times New Roman"/>
                <w:color w:val="000000"/>
                <w:sz w:val="20"/>
                <w:szCs w:val="20"/>
                <w:lang w:val="bg-BG"/>
              </w:rPr>
              <w:t>чл</w:t>
            </w:r>
            <w:proofErr w:type="spellEnd"/>
            <w:r w:rsidRPr="000B7C06">
              <w:rPr>
                <w:rFonts w:cs="Times New Roman"/>
                <w:color w:val="000000"/>
                <w:sz w:val="20"/>
                <w:szCs w:val="20"/>
                <w:lang w:val="bg-BG"/>
              </w:rPr>
              <w:t>, 86, ал. 3 на ЗООС</w:t>
            </w:r>
          </w:p>
          <w:p w14:paraId="527C2E5A"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РИОСВ-Русе няма предложения, бележки и препоръки към представената документация.</w:t>
            </w:r>
          </w:p>
        </w:tc>
        <w:tc>
          <w:tcPr>
            <w:tcW w:w="4395" w:type="dxa"/>
          </w:tcPr>
          <w:p w14:paraId="010B1CA6" w14:textId="77777777" w:rsidR="009D736E" w:rsidRPr="000B7C06" w:rsidRDefault="009D736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Становището не съдържа бележки и препоръки към ДЕО.</w:t>
            </w:r>
          </w:p>
          <w:p w14:paraId="2256B9A3" w14:textId="77777777" w:rsidR="00706B92" w:rsidRPr="000B7C06" w:rsidRDefault="00706B92" w:rsidP="0084747F">
            <w:pPr>
              <w:spacing w:after="60" w:line="264" w:lineRule="auto"/>
              <w:rPr>
                <w:rFonts w:cs="Times New Roman"/>
                <w:sz w:val="20"/>
                <w:szCs w:val="20"/>
                <w:lang w:val="bg-BG"/>
              </w:rPr>
            </w:pPr>
          </w:p>
        </w:tc>
      </w:tr>
      <w:tr w:rsidR="00706B92" w:rsidRPr="000B7C06" w14:paraId="7D3F5019" w14:textId="77777777" w:rsidTr="0064445A">
        <w:tc>
          <w:tcPr>
            <w:tcW w:w="2547" w:type="dxa"/>
            <w:tcBorders>
              <w:top w:val="nil"/>
            </w:tcBorders>
          </w:tcPr>
          <w:p w14:paraId="0331E960"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РИОСВ-Смолян</w:t>
            </w:r>
          </w:p>
        </w:tc>
        <w:tc>
          <w:tcPr>
            <w:tcW w:w="1984" w:type="dxa"/>
            <w:tcBorders>
              <w:top w:val="nil"/>
            </w:tcBorders>
          </w:tcPr>
          <w:p w14:paraId="2D082AC0" w14:textId="5E537431"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КПД-01-363-(1)/23.12.2021г.</w:t>
            </w:r>
          </w:p>
        </w:tc>
        <w:tc>
          <w:tcPr>
            <w:tcW w:w="5670" w:type="dxa"/>
          </w:tcPr>
          <w:p w14:paraId="2D5CBFCC"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Във връзка с получено в РИОСВ - Смолян, Задание за определяне на обхвата и съдържанието на Доклада за екологична оценка (ДЕО)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за периода 2021-2027 г.“, на основание чл.20, ал.3, т.2 от Наредбата за условията и реда за извършване на екологична оценка на планове и програми, Ви </w:t>
            </w:r>
            <w:r w:rsidRPr="000B7C06">
              <w:rPr>
                <w:rFonts w:cs="Times New Roman"/>
                <w:color w:val="000000"/>
                <w:sz w:val="20"/>
                <w:szCs w:val="20"/>
                <w:lang w:val="bg-BG"/>
              </w:rPr>
              <w:lastRenderedPageBreak/>
              <w:t>информирам, че РИОСВ - Смолян няма предложения, препоръки и коментари по така представеното задание.</w:t>
            </w:r>
          </w:p>
        </w:tc>
        <w:tc>
          <w:tcPr>
            <w:tcW w:w="4395" w:type="dxa"/>
          </w:tcPr>
          <w:p w14:paraId="5A36C9DA" w14:textId="77777777" w:rsidR="009D736E" w:rsidRPr="000B7C06" w:rsidRDefault="009D736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Становището не съдържа бележки и препоръки към ДЕО.</w:t>
            </w:r>
          </w:p>
          <w:p w14:paraId="02EA9ABF" w14:textId="77777777" w:rsidR="00706B92" w:rsidRPr="000B7C06" w:rsidRDefault="00706B92" w:rsidP="0084747F">
            <w:pPr>
              <w:spacing w:after="60" w:line="264" w:lineRule="auto"/>
              <w:rPr>
                <w:rFonts w:cs="Times New Roman"/>
                <w:sz w:val="20"/>
                <w:szCs w:val="20"/>
                <w:lang w:val="bg-BG"/>
              </w:rPr>
            </w:pPr>
          </w:p>
        </w:tc>
      </w:tr>
      <w:tr w:rsidR="00706B92" w:rsidRPr="000B7C06" w14:paraId="017E2442" w14:textId="77777777" w:rsidTr="0064445A">
        <w:tc>
          <w:tcPr>
            <w:tcW w:w="2547" w:type="dxa"/>
            <w:tcBorders>
              <w:top w:val="nil"/>
            </w:tcBorders>
          </w:tcPr>
          <w:p w14:paraId="00F0D091"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РИОСВ-София</w:t>
            </w:r>
          </w:p>
        </w:tc>
        <w:tc>
          <w:tcPr>
            <w:tcW w:w="1984" w:type="dxa"/>
            <w:tcBorders>
              <w:top w:val="nil"/>
            </w:tcBorders>
          </w:tcPr>
          <w:p w14:paraId="46899280" w14:textId="429D73FC"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12274/23.12.2021г.</w:t>
            </w:r>
          </w:p>
        </w:tc>
        <w:tc>
          <w:tcPr>
            <w:tcW w:w="5670" w:type="dxa"/>
          </w:tcPr>
          <w:p w14:paraId="26C6154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Заданието е изготвено при съобразяване изискванията към съдържанието и обхвата на доклада за ЕО съгласно разпоредбата на чл. 86, ал, 3 на Закона за опазване на околната среда. По представената в заданието информация РИОСВ-София няма забележки и препоръки.</w:t>
            </w:r>
          </w:p>
        </w:tc>
        <w:tc>
          <w:tcPr>
            <w:tcW w:w="4395" w:type="dxa"/>
          </w:tcPr>
          <w:p w14:paraId="182BF036" w14:textId="77777777" w:rsidR="009D736E" w:rsidRPr="000B7C06" w:rsidRDefault="009D736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Становището не съдържа бележки и препоръки към ДЕО.</w:t>
            </w:r>
          </w:p>
          <w:p w14:paraId="68AAF4CC" w14:textId="77777777" w:rsidR="00706B92" w:rsidRPr="000B7C06" w:rsidRDefault="00706B92" w:rsidP="0084747F">
            <w:pPr>
              <w:spacing w:after="60" w:line="264" w:lineRule="auto"/>
              <w:rPr>
                <w:rFonts w:cs="Times New Roman"/>
                <w:sz w:val="20"/>
                <w:szCs w:val="20"/>
                <w:lang w:val="bg-BG"/>
              </w:rPr>
            </w:pPr>
          </w:p>
        </w:tc>
      </w:tr>
      <w:tr w:rsidR="00706B92" w:rsidRPr="000B7C06" w14:paraId="6EEA5FDB" w14:textId="77777777" w:rsidTr="0064445A">
        <w:tc>
          <w:tcPr>
            <w:tcW w:w="2547" w:type="dxa"/>
            <w:tcBorders>
              <w:top w:val="nil"/>
            </w:tcBorders>
          </w:tcPr>
          <w:p w14:paraId="5F41ABE6"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РИОСВ-Хасково</w:t>
            </w:r>
          </w:p>
        </w:tc>
        <w:tc>
          <w:tcPr>
            <w:tcW w:w="1984" w:type="dxa"/>
            <w:tcBorders>
              <w:top w:val="nil"/>
            </w:tcBorders>
          </w:tcPr>
          <w:p w14:paraId="756C9209"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ПД-1390-(1)/ 21.12.2021 г.</w:t>
            </w:r>
          </w:p>
        </w:tc>
        <w:tc>
          <w:tcPr>
            <w:tcW w:w="5670" w:type="dxa"/>
          </w:tcPr>
          <w:p w14:paraId="612B55C2"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РИОСВ - Хасково няма забележки и препоръки към така представеното задание по отношение на компонентите и факторите на околната среда.</w:t>
            </w:r>
          </w:p>
        </w:tc>
        <w:tc>
          <w:tcPr>
            <w:tcW w:w="4395" w:type="dxa"/>
          </w:tcPr>
          <w:p w14:paraId="5685E24B" w14:textId="77777777" w:rsidR="009D736E" w:rsidRPr="000B7C06" w:rsidRDefault="009D736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Становището не съдържа бележки и препоръки към ДЕО.</w:t>
            </w:r>
          </w:p>
          <w:p w14:paraId="694749E2" w14:textId="77777777" w:rsidR="00706B92" w:rsidRPr="000B7C06" w:rsidRDefault="00706B92" w:rsidP="0084747F">
            <w:pPr>
              <w:spacing w:after="60" w:line="264" w:lineRule="auto"/>
              <w:rPr>
                <w:rFonts w:cs="Times New Roman"/>
                <w:sz w:val="20"/>
                <w:szCs w:val="20"/>
                <w:lang w:val="bg-BG"/>
              </w:rPr>
            </w:pPr>
          </w:p>
        </w:tc>
      </w:tr>
      <w:tr w:rsidR="00706B92" w:rsidRPr="000B7C06" w14:paraId="133193C3" w14:textId="77777777" w:rsidTr="0064445A">
        <w:tc>
          <w:tcPr>
            <w:tcW w:w="2547" w:type="dxa"/>
            <w:tcBorders>
              <w:top w:val="nil"/>
            </w:tcBorders>
          </w:tcPr>
          <w:p w14:paraId="306C3EF5"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РИОСВ-Шумен</w:t>
            </w:r>
          </w:p>
        </w:tc>
        <w:tc>
          <w:tcPr>
            <w:tcW w:w="1984" w:type="dxa"/>
            <w:tcBorders>
              <w:top w:val="nil"/>
            </w:tcBorders>
          </w:tcPr>
          <w:p w14:paraId="43B81425"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ДО-502-(1)/ 22.12.2021г.</w:t>
            </w:r>
          </w:p>
        </w:tc>
        <w:tc>
          <w:tcPr>
            <w:tcW w:w="5670" w:type="dxa"/>
          </w:tcPr>
          <w:p w14:paraId="07E9B2CD" w14:textId="77777777" w:rsidR="00706B92" w:rsidRPr="000B7C06" w:rsidRDefault="00706B92" w:rsidP="0084747F">
            <w:pPr>
              <w:spacing w:after="60" w:line="264" w:lineRule="auto"/>
              <w:rPr>
                <w:rFonts w:cs="Times New Roman"/>
                <w:color w:val="000000"/>
                <w:sz w:val="20"/>
                <w:szCs w:val="20"/>
                <w:lang w:val="bg-BG"/>
              </w:rPr>
            </w:pPr>
            <w:r w:rsidRPr="000B7C06">
              <w:rPr>
                <w:rFonts w:cs="Times New Roman"/>
                <w:color w:val="000000"/>
                <w:sz w:val="20"/>
                <w:szCs w:val="20"/>
                <w:lang w:val="bg-BG"/>
              </w:rPr>
              <w:t xml:space="preserve">След запознаване с предложения вариант на задание за обхват и съдържание на ЕО на </w:t>
            </w:r>
            <w:r w:rsidR="00CD4045" w:rsidRPr="000B7C06">
              <w:rPr>
                <w:rFonts w:cs="Times New Roman"/>
                <w:color w:val="000000"/>
                <w:sz w:val="20"/>
                <w:szCs w:val="20"/>
                <w:lang w:val="bg-BG"/>
              </w:rPr>
              <w:t>СПРЗСР</w:t>
            </w:r>
            <w:r w:rsidRPr="000B7C06">
              <w:rPr>
                <w:rFonts w:cs="Times New Roman"/>
                <w:color w:val="000000"/>
                <w:sz w:val="20"/>
                <w:szCs w:val="20"/>
                <w:lang w:val="bg-BG"/>
              </w:rPr>
              <w:t xml:space="preserve"> за периода 2021-2027г., РИОСВ-Шумен няма бележки, предложения и препоръки.</w:t>
            </w:r>
          </w:p>
        </w:tc>
        <w:tc>
          <w:tcPr>
            <w:tcW w:w="4395" w:type="dxa"/>
          </w:tcPr>
          <w:p w14:paraId="2B7D1068" w14:textId="77777777" w:rsidR="009D736E" w:rsidRPr="000B7C06" w:rsidRDefault="009D736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Становището не съдържа бележки и препоръки към ДЕО.</w:t>
            </w:r>
          </w:p>
          <w:p w14:paraId="77EB2684" w14:textId="77777777" w:rsidR="00706B92" w:rsidRPr="000B7C06" w:rsidRDefault="00706B92" w:rsidP="0084747F">
            <w:pPr>
              <w:spacing w:after="60" w:line="264" w:lineRule="auto"/>
              <w:rPr>
                <w:rFonts w:cs="Times New Roman"/>
                <w:sz w:val="20"/>
                <w:szCs w:val="20"/>
                <w:lang w:val="bg-BG"/>
              </w:rPr>
            </w:pPr>
          </w:p>
        </w:tc>
      </w:tr>
      <w:tr w:rsidR="0023276C" w:rsidRPr="000B7C06" w14:paraId="375B10DB" w14:textId="77777777" w:rsidTr="0064445A">
        <w:tc>
          <w:tcPr>
            <w:tcW w:w="2547" w:type="dxa"/>
          </w:tcPr>
          <w:p w14:paraId="6FFE526A" w14:textId="77777777" w:rsidR="0023276C" w:rsidRPr="000B7C06" w:rsidRDefault="0023276C" w:rsidP="000B7C06">
            <w:pPr>
              <w:spacing w:after="60" w:line="264" w:lineRule="auto"/>
              <w:ind w:firstLine="0"/>
              <w:rPr>
                <w:rFonts w:cs="Times New Roman"/>
                <w:b/>
                <w:bCs/>
                <w:sz w:val="20"/>
                <w:szCs w:val="20"/>
                <w:lang w:val="bg-BG"/>
              </w:rPr>
            </w:pPr>
            <w:r w:rsidRPr="000B7C06">
              <w:rPr>
                <w:rFonts w:cs="Times New Roman"/>
                <w:b/>
                <w:bCs/>
                <w:sz w:val="20"/>
                <w:szCs w:val="20"/>
                <w:lang w:val="bg-BG"/>
              </w:rPr>
              <w:t>БД „Източнобеломорски  район“</w:t>
            </w:r>
          </w:p>
        </w:tc>
        <w:tc>
          <w:tcPr>
            <w:tcW w:w="1984" w:type="dxa"/>
          </w:tcPr>
          <w:p w14:paraId="1B28CDF0" w14:textId="2D7771E0" w:rsidR="0023276C" w:rsidRPr="000B7C06" w:rsidRDefault="0023276C" w:rsidP="000B7C06">
            <w:pPr>
              <w:spacing w:after="60" w:line="264" w:lineRule="auto"/>
              <w:ind w:firstLine="0"/>
              <w:rPr>
                <w:rFonts w:cs="Times New Roman"/>
                <w:sz w:val="20"/>
                <w:szCs w:val="20"/>
                <w:lang w:val="bg-BG"/>
              </w:rPr>
            </w:pPr>
            <w:r w:rsidRPr="000B7C06">
              <w:rPr>
                <w:rFonts w:cs="Times New Roman"/>
                <w:sz w:val="20"/>
                <w:szCs w:val="20"/>
                <w:lang w:val="bg-BG"/>
              </w:rPr>
              <w:t>ПУ-10-244/23.12.2021г.</w:t>
            </w:r>
          </w:p>
        </w:tc>
        <w:tc>
          <w:tcPr>
            <w:tcW w:w="5670" w:type="dxa"/>
            <w:vMerge w:val="restart"/>
          </w:tcPr>
          <w:p w14:paraId="0771217E"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1. Представеното Задание за определяне на обхвата и съдържанието на </w:t>
            </w:r>
            <w:r w:rsidR="00CD4045" w:rsidRPr="000B7C06">
              <w:rPr>
                <w:rFonts w:cs="Times New Roman"/>
                <w:sz w:val="20"/>
                <w:szCs w:val="20"/>
                <w:lang w:val="bg-BG"/>
              </w:rPr>
              <w:t>СПРЗСР</w:t>
            </w:r>
            <w:r w:rsidRPr="000B7C06">
              <w:rPr>
                <w:rFonts w:cs="Times New Roman"/>
                <w:sz w:val="20"/>
                <w:szCs w:val="20"/>
                <w:lang w:val="bg-BG"/>
              </w:rPr>
              <w:t xml:space="preserve"> за периода 2021-2027 г. е съобразено с изискванията на чл. 86, ал. 3 от ЗООС.</w:t>
            </w:r>
          </w:p>
          <w:p w14:paraId="1A1EA62F"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2. В Заданието е представена основна/резюмирана информация за състоянието на околната среда. Текущото състояние на околната среда в обхвата на </w:t>
            </w:r>
            <w:r w:rsidR="00CD4045" w:rsidRPr="000B7C06">
              <w:rPr>
                <w:rFonts w:cs="Times New Roman"/>
                <w:sz w:val="20"/>
                <w:szCs w:val="20"/>
                <w:lang w:val="bg-BG"/>
              </w:rPr>
              <w:t>СПРЗСР</w:t>
            </w:r>
            <w:r w:rsidRPr="000B7C06">
              <w:rPr>
                <w:rFonts w:cs="Times New Roman"/>
                <w:sz w:val="20"/>
                <w:szCs w:val="20"/>
                <w:lang w:val="bg-BG"/>
              </w:rPr>
              <w:t xml:space="preserve"> 2021-2027 г. ще бъде разгледано, анализирано и оценено в Доклада за ЕО по отношение на всеки компонент и фактор на средата, в т.ч. ще бъде представена информация за състоянието на повърхностните и подземните води в национален обхват, </w:t>
            </w:r>
            <w:r w:rsidRPr="000B7C06">
              <w:rPr>
                <w:rFonts w:cs="Times New Roman"/>
                <w:sz w:val="20"/>
                <w:szCs w:val="20"/>
                <w:lang w:val="bg-BG"/>
              </w:rPr>
              <w:lastRenderedPageBreak/>
              <w:t>състоянието на зоните за защита на водите, наличието на райони със значителен потенциален риск от наводнения.</w:t>
            </w:r>
          </w:p>
          <w:p w14:paraId="24DA1086"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При разработване на Доклад за екологична оценка на </w:t>
            </w:r>
            <w:r w:rsidR="00CD4045" w:rsidRPr="000B7C06">
              <w:rPr>
                <w:rFonts w:cs="Times New Roman"/>
                <w:sz w:val="20"/>
                <w:szCs w:val="20"/>
                <w:lang w:val="bg-BG"/>
              </w:rPr>
              <w:t>СПРЗСР</w:t>
            </w:r>
            <w:r w:rsidRPr="000B7C06">
              <w:rPr>
                <w:rFonts w:cs="Times New Roman"/>
                <w:sz w:val="20"/>
                <w:szCs w:val="20"/>
                <w:lang w:val="bg-BG"/>
              </w:rPr>
              <w:t xml:space="preserve"> 2021-2027 г., препоръчваме да се използва наличната информация в публикуваните на страницата на БД ИБР и действащи ПУРБ на ИБР и ПУРН на ИБР за периода 2016-2021 г., съответно в секции „ПУРБ“ и „ПУРН“, както и годишните доклади за оценка на състоянието на водите с актуални данни, налични на страницата на БД ИБР - секция „Бюлетин за състоянието на водите“ - „Доклади за състоянието на водните тела на територията на ИБР“.</w:t>
            </w:r>
          </w:p>
          <w:p w14:paraId="5CB8A80A"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Периода на изпълнение на </w:t>
            </w:r>
            <w:r w:rsidR="00CD4045" w:rsidRPr="000B7C06">
              <w:rPr>
                <w:rFonts w:cs="Times New Roman"/>
                <w:sz w:val="20"/>
                <w:szCs w:val="20"/>
                <w:lang w:val="bg-BG"/>
              </w:rPr>
              <w:t>СПРЗСР</w:t>
            </w:r>
            <w:r w:rsidRPr="000B7C06">
              <w:rPr>
                <w:rFonts w:cs="Times New Roman"/>
                <w:sz w:val="20"/>
                <w:szCs w:val="20"/>
                <w:lang w:val="bg-BG"/>
              </w:rPr>
              <w:t xml:space="preserve"> 2021-2027 г. съвпада с дейностите по актуализиране и прилагане на ПУРБ и ПУРН на ИБР, с период на действие 2022-2027 г., като информацията и</w:t>
            </w:r>
            <w:r w:rsidR="00C6143F" w:rsidRPr="000B7C06">
              <w:rPr>
                <w:rFonts w:cs="Times New Roman"/>
                <w:sz w:val="20"/>
                <w:szCs w:val="20"/>
                <w:lang w:val="bg-BG"/>
              </w:rPr>
              <w:t xml:space="preserve"> </w:t>
            </w:r>
            <w:r w:rsidRPr="000B7C06">
              <w:rPr>
                <w:rFonts w:cs="Times New Roman"/>
                <w:sz w:val="20"/>
                <w:szCs w:val="20"/>
                <w:lang w:val="bg-BG"/>
              </w:rPr>
              <w:t>документите, свързани с отделните етапи на актуализация, се публикуват периодично и са публично достъпни на интернет страницата на БД ИБР, секции „ПУРБ“ и „ПУРН“ 2022-2027 г. Към момента е актуализирана предварителна оценка на риска от наводнения (ПОРН) на ИБР с актуализирани предварителни РЗПРН, в т.ч. и нови РЗПРН.</w:t>
            </w:r>
          </w:p>
          <w:p w14:paraId="33136CCA"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3. Ще бъде направен анализ на евентуално развитие на аспектите на околната среда, в т.ч. по отношение на компонент „Води“, без прилагането </w:t>
            </w:r>
            <w:r w:rsidR="00CD4045" w:rsidRPr="000B7C06">
              <w:rPr>
                <w:rFonts w:cs="Times New Roman"/>
                <w:sz w:val="20"/>
                <w:szCs w:val="20"/>
                <w:lang w:val="bg-BG"/>
              </w:rPr>
              <w:t>СПРЗСР</w:t>
            </w:r>
            <w:r w:rsidRPr="000B7C06">
              <w:rPr>
                <w:rFonts w:cs="Times New Roman"/>
                <w:sz w:val="20"/>
                <w:szCs w:val="20"/>
                <w:lang w:val="bg-BG"/>
              </w:rPr>
              <w:t>.</w:t>
            </w:r>
          </w:p>
          <w:p w14:paraId="0B413D1B"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4. В Доклада за ЕО ще бъде обърнато внимание на онези територии, които ще са най- значително засегнати от програмата и стратегията. Ще бъдат подробно разгледани </w:t>
            </w:r>
            <w:r w:rsidRPr="000B7C06">
              <w:rPr>
                <w:rFonts w:cs="Times New Roman"/>
                <w:sz w:val="20"/>
                <w:szCs w:val="20"/>
                <w:lang w:val="bg-BG"/>
              </w:rPr>
              <w:lastRenderedPageBreak/>
              <w:t>чувствителни територии като защитени зони от екологичната мрежа „Натура 2000”, населени места и други обекти, подлежащи на здравна защита, санитарно-охранителни зони около водоизточници, райони с риск от наводнения и др.</w:t>
            </w:r>
          </w:p>
          <w:p w14:paraId="60D1DF5E"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 xml:space="preserve">5. Ще бъдат описани съществуващите екологични проблеми в страната, установени на различно ниво, имащи отношение към </w:t>
            </w:r>
            <w:r w:rsidR="00CD4045" w:rsidRPr="000B7C06">
              <w:rPr>
                <w:rFonts w:cs="Times New Roman"/>
                <w:sz w:val="20"/>
                <w:szCs w:val="20"/>
                <w:lang w:val="bg-BG"/>
              </w:rPr>
              <w:t>СПРЗСР</w:t>
            </w:r>
            <w:r w:rsidRPr="000B7C06">
              <w:rPr>
                <w:rFonts w:cs="Times New Roman"/>
                <w:sz w:val="20"/>
                <w:szCs w:val="20"/>
                <w:lang w:val="bg-BG"/>
              </w:rPr>
              <w:t xml:space="preserve">. Ще бъде направен анализ на връзката между екологичните проблеми и предвижданията на </w:t>
            </w:r>
            <w:r w:rsidR="00CD4045" w:rsidRPr="000B7C06">
              <w:rPr>
                <w:rFonts w:cs="Times New Roman"/>
                <w:sz w:val="20"/>
                <w:szCs w:val="20"/>
                <w:lang w:val="bg-BG"/>
              </w:rPr>
              <w:t>СПРЗСР</w:t>
            </w:r>
            <w:r w:rsidRPr="000B7C06">
              <w:rPr>
                <w:rFonts w:cs="Times New Roman"/>
                <w:sz w:val="20"/>
                <w:szCs w:val="20"/>
                <w:lang w:val="bg-BG"/>
              </w:rPr>
              <w:t>.</w:t>
            </w:r>
          </w:p>
          <w:p w14:paraId="6E72F994" w14:textId="77777777" w:rsidR="0023276C" w:rsidRPr="000B7C06" w:rsidRDefault="0023276C" w:rsidP="0084747F">
            <w:pPr>
              <w:spacing w:after="60" w:line="264" w:lineRule="auto"/>
              <w:rPr>
                <w:rFonts w:cs="Times New Roman"/>
                <w:sz w:val="20"/>
                <w:szCs w:val="20"/>
                <w:lang w:val="bg-BG"/>
              </w:rPr>
            </w:pPr>
            <w:r w:rsidRPr="000B7C06">
              <w:rPr>
                <w:rFonts w:cs="Times New Roman"/>
                <w:sz w:val="20"/>
                <w:szCs w:val="20"/>
                <w:lang w:val="bg-BG"/>
              </w:rPr>
              <w:t>При разглеждане на съществуващите екологични проблеми в доклада, свързани с подземни и повърхностни води и зони за защита на водите, същите да се обвържат, при възможност, със заложени мерки за подземни и повърхностни водни тела и зони за защита на водите описани в приложенията към Раздел 7 и Програмата от мерки към ПУРБ на ИБР 2016-2021 г. и мерките описани в Приложенията към Раздел 5 на ПУРН на ИБР 2016- 2021 г.</w:t>
            </w:r>
          </w:p>
        </w:tc>
        <w:tc>
          <w:tcPr>
            <w:tcW w:w="4395" w:type="dxa"/>
            <w:vMerge w:val="restart"/>
          </w:tcPr>
          <w:p w14:paraId="4BDD9A33" w14:textId="77777777" w:rsidR="00C6143F" w:rsidRPr="000B7C06" w:rsidRDefault="00C6143F"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По т.1: Становището не съдържа бележки и препоръки към ДЕО.</w:t>
            </w:r>
          </w:p>
          <w:p w14:paraId="0F71850D" w14:textId="77777777" w:rsidR="0023276C" w:rsidRPr="000B7C06" w:rsidRDefault="0023276C" w:rsidP="0084747F">
            <w:pPr>
              <w:spacing w:after="60" w:line="264" w:lineRule="auto"/>
              <w:rPr>
                <w:rFonts w:cs="Times New Roman"/>
                <w:sz w:val="20"/>
                <w:szCs w:val="20"/>
                <w:lang w:val="bg-BG"/>
              </w:rPr>
            </w:pPr>
          </w:p>
          <w:p w14:paraId="1109F421" w14:textId="77777777" w:rsidR="0023276C" w:rsidRPr="000B7C06" w:rsidRDefault="0023276C" w:rsidP="0084747F">
            <w:pPr>
              <w:spacing w:after="60" w:line="264" w:lineRule="auto"/>
              <w:rPr>
                <w:rFonts w:cs="Times New Roman"/>
                <w:sz w:val="20"/>
                <w:szCs w:val="20"/>
                <w:lang w:val="bg-BG"/>
              </w:rPr>
            </w:pPr>
          </w:p>
          <w:p w14:paraId="45E75680" w14:textId="77777777" w:rsidR="0023276C" w:rsidRPr="000B7C06" w:rsidRDefault="0023276C" w:rsidP="0084747F">
            <w:pPr>
              <w:spacing w:after="60" w:line="264" w:lineRule="auto"/>
              <w:rPr>
                <w:rFonts w:cs="Times New Roman"/>
                <w:sz w:val="20"/>
                <w:szCs w:val="20"/>
                <w:lang w:val="bg-BG"/>
              </w:rPr>
            </w:pPr>
          </w:p>
          <w:p w14:paraId="56EE5566" w14:textId="77777777" w:rsidR="0023276C" w:rsidRPr="000B7C06" w:rsidRDefault="0023276C" w:rsidP="0084747F">
            <w:pPr>
              <w:spacing w:after="60" w:line="264" w:lineRule="auto"/>
              <w:rPr>
                <w:rFonts w:cs="Times New Roman"/>
                <w:sz w:val="20"/>
                <w:szCs w:val="20"/>
                <w:lang w:val="bg-BG"/>
              </w:rPr>
            </w:pPr>
          </w:p>
          <w:p w14:paraId="104F0F49" w14:textId="77777777" w:rsidR="0023276C" w:rsidRPr="000B7C06" w:rsidRDefault="0023276C" w:rsidP="0084747F">
            <w:pPr>
              <w:spacing w:after="60" w:line="264" w:lineRule="auto"/>
              <w:rPr>
                <w:rFonts w:cs="Times New Roman"/>
                <w:sz w:val="20"/>
                <w:szCs w:val="20"/>
                <w:lang w:val="bg-BG"/>
              </w:rPr>
            </w:pPr>
          </w:p>
          <w:p w14:paraId="440A2635" w14:textId="77777777" w:rsidR="0023276C" w:rsidRPr="000B7C06" w:rsidRDefault="0023276C" w:rsidP="0084747F">
            <w:pPr>
              <w:spacing w:after="60" w:line="264" w:lineRule="auto"/>
              <w:rPr>
                <w:rFonts w:cs="Times New Roman"/>
                <w:sz w:val="20"/>
                <w:szCs w:val="20"/>
                <w:lang w:val="bg-BG"/>
              </w:rPr>
            </w:pPr>
          </w:p>
          <w:p w14:paraId="54688C0E" w14:textId="77777777" w:rsidR="0023276C" w:rsidRPr="000B7C06" w:rsidRDefault="0023276C" w:rsidP="0084747F">
            <w:pPr>
              <w:spacing w:after="60" w:line="264" w:lineRule="auto"/>
              <w:rPr>
                <w:rFonts w:cs="Times New Roman"/>
                <w:sz w:val="20"/>
                <w:szCs w:val="20"/>
                <w:lang w:val="bg-BG"/>
              </w:rPr>
            </w:pPr>
          </w:p>
          <w:p w14:paraId="49D1D5E5" w14:textId="77777777" w:rsidR="0023276C" w:rsidRPr="000B7C06" w:rsidRDefault="0023276C" w:rsidP="0084747F">
            <w:pPr>
              <w:spacing w:after="60" w:line="264" w:lineRule="auto"/>
              <w:rPr>
                <w:rFonts w:cs="Times New Roman"/>
                <w:sz w:val="20"/>
                <w:szCs w:val="20"/>
                <w:lang w:val="bg-BG"/>
              </w:rPr>
            </w:pPr>
          </w:p>
          <w:p w14:paraId="12077FBF" w14:textId="77777777" w:rsidR="0023276C" w:rsidRPr="000B7C06" w:rsidRDefault="0023276C" w:rsidP="0084747F">
            <w:pPr>
              <w:spacing w:after="60" w:line="264" w:lineRule="auto"/>
              <w:rPr>
                <w:rFonts w:cs="Times New Roman"/>
                <w:sz w:val="20"/>
                <w:szCs w:val="20"/>
                <w:lang w:val="bg-BG"/>
              </w:rPr>
            </w:pPr>
          </w:p>
          <w:p w14:paraId="44BC75CA" w14:textId="77777777" w:rsidR="0023276C" w:rsidRPr="000B7C06" w:rsidRDefault="0023276C" w:rsidP="0084747F">
            <w:pPr>
              <w:spacing w:after="60" w:line="264" w:lineRule="auto"/>
              <w:rPr>
                <w:rFonts w:cs="Times New Roman"/>
                <w:sz w:val="20"/>
                <w:szCs w:val="20"/>
                <w:lang w:val="bg-BG"/>
              </w:rPr>
            </w:pPr>
          </w:p>
          <w:p w14:paraId="0CFF9117" w14:textId="77777777" w:rsidR="0023276C" w:rsidRPr="000B7C06" w:rsidRDefault="0023276C" w:rsidP="0084747F">
            <w:pPr>
              <w:spacing w:after="60" w:line="264" w:lineRule="auto"/>
              <w:rPr>
                <w:rFonts w:cs="Times New Roman"/>
                <w:sz w:val="20"/>
                <w:szCs w:val="20"/>
                <w:lang w:val="bg-BG"/>
              </w:rPr>
            </w:pPr>
          </w:p>
          <w:p w14:paraId="436DD681" w14:textId="77777777" w:rsidR="0023276C" w:rsidRPr="000B7C06" w:rsidRDefault="0023276C" w:rsidP="0084747F">
            <w:pPr>
              <w:spacing w:after="60" w:line="264" w:lineRule="auto"/>
              <w:rPr>
                <w:rFonts w:cs="Times New Roman"/>
                <w:sz w:val="20"/>
                <w:szCs w:val="20"/>
                <w:lang w:val="bg-BG"/>
              </w:rPr>
            </w:pPr>
          </w:p>
          <w:p w14:paraId="67CAE0B6" w14:textId="77777777" w:rsidR="0023276C" w:rsidRPr="000B7C06" w:rsidRDefault="0023276C" w:rsidP="0084747F">
            <w:pPr>
              <w:spacing w:after="60" w:line="264" w:lineRule="auto"/>
              <w:rPr>
                <w:rFonts w:cs="Times New Roman"/>
                <w:sz w:val="20"/>
                <w:szCs w:val="20"/>
                <w:lang w:val="bg-BG"/>
              </w:rPr>
            </w:pPr>
          </w:p>
          <w:p w14:paraId="6D1B9BC1" w14:textId="77777777" w:rsidR="0023276C" w:rsidRPr="000B7C06" w:rsidRDefault="0023276C" w:rsidP="0084747F">
            <w:pPr>
              <w:spacing w:after="60" w:line="264" w:lineRule="auto"/>
              <w:rPr>
                <w:rFonts w:cs="Times New Roman"/>
                <w:sz w:val="20"/>
                <w:szCs w:val="20"/>
                <w:lang w:val="bg-BG"/>
              </w:rPr>
            </w:pPr>
          </w:p>
          <w:p w14:paraId="57331BB2" w14:textId="77777777" w:rsidR="0023276C" w:rsidRPr="000B7C06" w:rsidRDefault="0023276C" w:rsidP="0084747F">
            <w:pPr>
              <w:spacing w:after="60" w:line="264" w:lineRule="auto"/>
              <w:rPr>
                <w:rFonts w:cs="Times New Roman"/>
                <w:sz w:val="20"/>
                <w:szCs w:val="20"/>
                <w:lang w:val="bg-BG"/>
              </w:rPr>
            </w:pPr>
          </w:p>
          <w:p w14:paraId="5EBA5ABF" w14:textId="77777777" w:rsidR="0023276C" w:rsidRPr="000B7C06" w:rsidRDefault="00C6143F" w:rsidP="000B7C06">
            <w:pPr>
              <w:spacing w:after="60" w:line="264" w:lineRule="auto"/>
              <w:ind w:firstLine="0"/>
              <w:rPr>
                <w:rFonts w:cs="Times New Roman"/>
                <w:sz w:val="20"/>
                <w:szCs w:val="20"/>
                <w:lang w:val="bg-BG"/>
              </w:rPr>
            </w:pPr>
            <w:r w:rsidRPr="000B7C06">
              <w:rPr>
                <w:rFonts w:cs="Times New Roman"/>
                <w:sz w:val="20"/>
                <w:szCs w:val="20"/>
                <w:lang w:val="bg-BG"/>
              </w:rPr>
              <w:t xml:space="preserve">По т.2: </w:t>
            </w:r>
            <w:r w:rsidR="0023276C" w:rsidRPr="000B7C06">
              <w:rPr>
                <w:rFonts w:cs="Times New Roman"/>
                <w:sz w:val="20"/>
                <w:szCs w:val="20"/>
                <w:lang w:val="bg-BG"/>
              </w:rPr>
              <w:t>Препоръката е съобразена при разработване на т.6.</w:t>
            </w:r>
            <w:r w:rsidRPr="000B7C06">
              <w:rPr>
                <w:rFonts w:cs="Times New Roman"/>
                <w:sz w:val="20"/>
                <w:szCs w:val="20"/>
                <w:lang w:val="bg-BG"/>
              </w:rPr>
              <w:t>2 на ДЕО</w:t>
            </w:r>
          </w:p>
          <w:p w14:paraId="2E383E7C" w14:textId="77777777" w:rsidR="0023276C" w:rsidRPr="000B7C06" w:rsidRDefault="0023276C" w:rsidP="0084747F">
            <w:pPr>
              <w:spacing w:after="60" w:line="264" w:lineRule="auto"/>
              <w:rPr>
                <w:rFonts w:cs="Times New Roman"/>
                <w:sz w:val="20"/>
                <w:szCs w:val="20"/>
                <w:lang w:val="bg-BG"/>
              </w:rPr>
            </w:pPr>
          </w:p>
          <w:p w14:paraId="3EC1E081" w14:textId="77777777" w:rsidR="0023276C" w:rsidRPr="000B7C06" w:rsidRDefault="0023276C" w:rsidP="0084747F">
            <w:pPr>
              <w:spacing w:after="60" w:line="264" w:lineRule="auto"/>
              <w:rPr>
                <w:rFonts w:cs="Times New Roman"/>
                <w:sz w:val="20"/>
                <w:szCs w:val="20"/>
                <w:lang w:val="bg-BG"/>
              </w:rPr>
            </w:pPr>
          </w:p>
          <w:p w14:paraId="2ECE9D51" w14:textId="77777777" w:rsidR="0023276C" w:rsidRPr="000B7C06" w:rsidRDefault="0023276C" w:rsidP="0084747F">
            <w:pPr>
              <w:spacing w:after="60" w:line="264" w:lineRule="auto"/>
              <w:rPr>
                <w:rFonts w:cs="Times New Roman"/>
                <w:sz w:val="20"/>
                <w:szCs w:val="20"/>
                <w:lang w:val="bg-BG"/>
              </w:rPr>
            </w:pPr>
          </w:p>
          <w:p w14:paraId="4775E7D8" w14:textId="77777777" w:rsidR="0023276C" w:rsidRPr="000B7C06" w:rsidRDefault="0023276C" w:rsidP="0084747F">
            <w:pPr>
              <w:spacing w:after="60" w:line="264" w:lineRule="auto"/>
              <w:rPr>
                <w:rFonts w:cs="Times New Roman"/>
                <w:sz w:val="20"/>
                <w:szCs w:val="20"/>
                <w:lang w:val="bg-BG"/>
              </w:rPr>
            </w:pPr>
          </w:p>
          <w:p w14:paraId="114C24E2" w14:textId="77777777" w:rsidR="0023276C" w:rsidRPr="000B7C06" w:rsidRDefault="0023276C" w:rsidP="0084747F">
            <w:pPr>
              <w:spacing w:after="60" w:line="264" w:lineRule="auto"/>
              <w:rPr>
                <w:rFonts w:cs="Times New Roman"/>
                <w:sz w:val="20"/>
                <w:szCs w:val="20"/>
                <w:lang w:val="bg-BG"/>
              </w:rPr>
            </w:pPr>
          </w:p>
          <w:p w14:paraId="312FBCA8" w14:textId="77777777" w:rsidR="00C6143F" w:rsidRPr="000B7C06" w:rsidRDefault="00C6143F" w:rsidP="0084747F">
            <w:pPr>
              <w:spacing w:after="60" w:line="264" w:lineRule="auto"/>
              <w:rPr>
                <w:rFonts w:cs="Times New Roman"/>
                <w:sz w:val="20"/>
                <w:szCs w:val="20"/>
                <w:lang w:val="bg-BG"/>
              </w:rPr>
            </w:pPr>
          </w:p>
          <w:p w14:paraId="0F65489C" w14:textId="77777777" w:rsidR="00C6143F" w:rsidRPr="000B7C06" w:rsidRDefault="00C6143F" w:rsidP="0084747F">
            <w:pPr>
              <w:spacing w:after="60" w:line="264" w:lineRule="auto"/>
              <w:rPr>
                <w:rFonts w:cs="Times New Roman"/>
                <w:sz w:val="20"/>
                <w:szCs w:val="20"/>
                <w:lang w:val="bg-BG"/>
              </w:rPr>
            </w:pPr>
          </w:p>
          <w:p w14:paraId="664395F1" w14:textId="77777777" w:rsidR="00C6143F" w:rsidRPr="000B7C06" w:rsidRDefault="00C6143F"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т.3: Становището не съдържа бележки и препоръки към ДЕО.</w:t>
            </w:r>
          </w:p>
          <w:p w14:paraId="49DC262D" w14:textId="77777777" w:rsidR="00966B7B" w:rsidRPr="000B7C06" w:rsidRDefault="00966B7B" w:rsidP="0084747F">
            <w:pPr>
              <w:spacing w:after="60" w:line="264" w:lineRule="auto"/>
              <w:rPr>
                <w:rFonts w:eastAsia="Times New Roman" w:cs="Times New Roman"/>
                <w:bCs/>
                <w:sz w:val="20"/>
                <w:szCs w:val="20"/>
                <w:lang w:val="bg-BG" w:eastAsia="bg-BG"/>
              </w:rPr>
            </w:pPr>
          </w:p>
          <w:p w14:paraId="1DB16E35" w14:textId="77777777" w:rsidR="00966B7B" w:rsidRPr="000B7C06" w:rsidRDefault="00966B7B" w:rsidP="0084747F">
            <w:pPr>
              <w:spacing w:after="60" w:line="264" w:lineRule="auto"/>
              <w:rPr>
                <w:rFonts w:eastAsia="Times New Roman" w:cs="Times New Roman"/>
                <w:bCs/>
                <w:sz w:val="20"/>
                <w:szCs w:val="20"/>
                <w:lang w:val="bg-BG" w:eastAsia="bg-BG"/>
              </w:rPr>
            </w:pPr>
          </w:p>
          <w:p w14:paraId="3ADDA346" w14:textId="77777777" w:rsidR="00966B7B" w:rsidRPr="000B7C06" w:rsidRDefault="00966B7B"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По т.4: Становището не съдържа бележки и препоръки към ДЕО.</w:t>
            </w:r>
          </w:p>
          <w:p w14:paraId="63CD7ADC" w14:textId="77777777" w:rsidR="00966B7B" w:rsidRPr="000B7C06" w:rsidRDefault="00966B7B" w:rsidP="0084747F">
            <w:pPr>
              <w:spacing w:after="60" w:line="264" w:lineRule="auto"/>
              <w:rPr>
                <w:rFonts w:eastAsia="Times New Roman" w:cs="Times New Roman"/>
                <w:bCs/>
                <w:sz w:val="20"/>
                <w:szCs w:val="20"/>
                <w:lang w:val="bg-BG" w:eastAsia="bg-BG"/>
              </w:rPr>
            </w:pPr>
          </w:p>
          <w:p w14:paraId="5CEF403B" w14:textId="77777777" w:rsidR="00C6143F" w:rsidRPr="000B7C06" w:rsidRDefault="00C6143F" w:rsidP="0084747F">
            <w:pPr>
              <w:spacing w:after="60" w:line="264" w:lineRule="auto"/>
              <w:rPr>
                <w:rFonts w:cs="Times New Roman"/>
                <w:sz w:val="20"/>
                <w:szCs w:val="20"/>
                <w:lang w:val="bg-BG"/>
              </w:rPr>
            </w:pPr>
          </w:p>
          <w:p w14:paraId="6180105E" w14:textId="77777777" w:rsidR="00966B7B" w:rsidRPr="000B7C06" w:rsidRDefault="00966B7B" w:rsidP="0084747F">
            <w:pPr>
              <w:spacing w:after="60" w:line="264" w:lineRule="auto"/>
              <w:rPr>
                <w:rFonts w:cs="Times New Roman"/>
                <w:sz w:val="20"/>
                <w:szCs w:val="20"/>
                <w:lang w:val="bg-BG"/>
              </w:rPr>
            </w:pPr>
          </w:p>
          <w:p w14:paraId="4E58950E" w14:textId="77777777" w:rsidR="00966B7B" w:rsidRPr="000B7C06" w:rsidRDefault="00966B7B"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 xml:space="preserve">По т.5: </w:t>
            </w:r>
            <w:r w:rsidRPr="000B7C06">
              <w:rPr>
                <w:rFonts w:cs="Times New Roman"/>
                <w:sz w:val="20"/>
                <w:szCs w:val="20"/>
                <w:lang w:val="bg-BG"/>
              </w:rPr>
              <w:t>Препоръката е съобразена при разработване на т.11 на ДЕО</w:t>
            </w:r>
          </w:p>
        </w:tc>
      </w:tr>
      <w:tr w:rsidR="0023276C" w:rsidRPr="000B7C06" w14:paraId="1F04BC41" w14:textId="77777777" w:rsidTr="00AB2292">
        <w:tc>
          <w:tcPr>
            <w:tcW w:w="2547" w:type="dxa"/>
            <w:tcBorders>
              <w:top w:val="nil"/>
            </w:tcBorders>
          </w:tcPr>
          <w:p w14:paraId="3BA26213" w14:textId="77777777" w:rsidR="0023276C" w:rsidRPr="000B7C06" w:rsidRDefault="0023276C" w:rsidP="0084747F">
            <w:pPr>
              <w:spacing w:after="60" w:line="264" w:lineRule="auto"/>
              <w:rPr>
                <w:rFonts w:cs="Times New Roman"/>
                <w:b/>
                <w:bCs/>
                <w:sz w:val="20"/>
                <w:szCs w:val="20"/>
                <w:lang w:val="bg-BG"/>
              </w:rPr>
            </w:pPr>
          </w:p>
        </w:tc>
        <w:tc>
          <w:tcPr>
            <w:tcW w:w="1984" w:type="dxa"/>
            <w:tcBorders>
              <w:top w:val="nil"/>
            </w:tcBorders>
          </w:tcPr>
          <w:p w14:paraId="5F993570" w14:textId="77777777" w:rsidR="0023276C" w:rsidRPr="000B7C06" w:rsidRDefault="0023276C" w:rsidP="0084747F">
            <w:pPr>
              <w:spacing w:after="60" w:line="264" w:lineRule="auto"/>
              <w:rPr>
                <w:rFonts w:cs="Times New Roman"/>
                <w:sz w:val="20"/>
                <w:szCs w:val="20"/>
                <w:lang w:val="bg-BG"/>
              </w:rPr>
            </w:pPr>
          </w:p>
        </w:tc>
        <w:tc>
          <w:tcPr>
            <w:tcW w:w="5670" w:type="dxa"/>
            <w:vMerge/>
          </w:tcPr>
          <w:p w14:paraId="13A3EEEB" w14:textId="77777777" w:rsidR="0023276C" w:rsidRPr="000B7C06" w:rsidRDefault="0023276C" w:rsidP="0084747F">
            <w:pPr>
              <w:spacing w:after="60" w:line="264" w:lineRule="auto"/>
              <w:rPr>
                <w:rFonts w:cs="Times New Roman"/>
                <w:sz w:val="20"/>
                <w:szCs w:val="20"/>
                <w:lang w:val="bg-BG"/>
              </w:rPr>
            </w:pPr>
          </w:p>
        </w:tc>
        <w:tc>
          <w:tcPr>
            <w:tcW w:w="4395" w:type="dxa"/>
            <w:vMerge/>
          </w:tcPr>
          <w:p w14:paraId="1311700F" w14:textId="77777777" w:rsidR="0023276C" w:rsidRPr="000B7C06" w:rsidRDefault="0023276C" w:rsidP="0084747F">
            <w:pPr>
              <w:spacing w:after="60" w:line="264" w:lineRule="auto"/>
              <w:rPr>
                <w:rFonts w:cs="Times New Roman"/>
                <w:sz w:val="20"/>
                <w:szCs w:val="20"/>
                <w:lang w:val="bg-BG"/>
              </w:rPr>
            </w:pPr>
          </w:p>
        </w:tc>
      </w:tr>
      <w:tr w:rsidR="00706B92" w:rsidRPr="000B7C06" w14:paraId="59CAFDEE" w14:textId="77777777" w:rsidTr="0064445A">
        <w:tc>
          <w:tcPr>
            <w:tcW w:w="2547" w:type="dxa"/>
          </w:tcPr>
          <w:p w14:paraId="13B6C40F"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БД „Дунавски район“</w:t>
            </w:r>
          </w:p>
        </w:tc>
        <w:tc>
          <w:tcPr>
            <w:tcW w:w="1984" w:type="dxa"/>
          </w:tcPr>
          <w:p w14:paraId="50A676C3" w14:textId="5A58645B"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ПУ-01-1032 (1)/23.12.2021г.</w:t>
            </w:r>
          </w:p>
          <w:p w14:paraId="1D2707E9" w14:textId="77777777" w:rsidR="00706B92" w:rsidRPr="000B7C06" w:rsidRDefault="00706B92" w:rsidP="0084747F">
            <w:pPr>
              <w:spacing w:after="60" w:line="264" w:lineRule="auto"/>
              <w:rPr>
                <w:rFonts w:cs="Times New Roman"/>
                <w:sz w:val="20"/>
                <w:szCs w:val="20"/>
                <w:lang w:val="bg-BG"/>
              </w:rPr>
            </w:pPr>
          </w:p>
        </w:tc>
        <w:tc>
          <w:tcPr>
            <w:tcW w:w="5670" w:type="dxa"/>
          </w:tcPr>
          <w:p w14:paraId="7D672CCA"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БДДР няма забележки към изготвеното задание за определяне на обхвата и съдържанието по доклада за стратегическа оценка на околната среда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w:t>
            </w:r>
          </w:p>
        </w:tc>
        <w:tc>
          <w:tcPr>
            <w:tcW w:w="4395" w:type="dxa"/>
          </w:tcPr>
          <w:p w14:paraId="7A2E3598" w14:textId="77777777" w:rsidR="00706B92" w:rsidRPr="000B7C06" w:rsidRDefault="00966B7B"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706B92" w:rsidRPr="000B7C06" w14:paraId="50A7C813" w14:textId="77777777" w:rsidTr="0064445A">
        <w:tc>
          <w:tcPr>
            <w:tcW w:w="2547" w:type="dxa"/>
          </w:tcPr>
          <w:p w14:paraId="5B7C7B16"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БД „</w:t>
            </w:r>
            <w:proofErr w:type="spellStart"/>
            <w:r w:rsidRPr="000B7C06">
              <w:rPr>
                <w:rFonts w:cs="Times New Roman"/>
                <w:b/>
                <w:bCs/>
                <w:sz w:val="20"/>
                <w:szCs w:val="20"/>
                <w:lang w:val="bg-BG"/>
              </w:rPr>
              <w:t>Западнобеломорски</w:t>
            </w:r>
            <w:proofErr w:type="spellEnd"/>
            <w:r w:rsidRPr="000B7C06">
              <w:rPr>
                <w:rFonts w:cs="Times New Roman"/>
                <w:b/>
                <w:bCs/>
                <w:sz w:val="20"/>
                <w:szCs w:val="20"/>
                <w:lang w:val="bg-BG"/>
              </w:rPr>
              <w:t xml:space="preserve"> район“</w:t>
            </w:r>
          </w:p>
        </w:tc>
        <w:tc>
          <w:tcPr>
            <w:tcW w:w="1984" w:type="dxa"/>
          </w:tcPr>
          <w:p w14:paraId="57475336" w14:textId="0C0EE9ED"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РД-11-801(1)/30.12.2021г.</w:t>
            </w:r>
          </w:p>
        </w:tc>
        <w:tc>
          <w:tcPr>
            <w:tcW w:w="5670" w:type="dxa"/>
          </w:tcPr>
          <w:p w14:paraId="66502B69"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БДЗБР изразява положително становище по така представеното „Задание за определяне па обхвата и съдържанието по доклада за стратегическа оценка на околната среда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w:t>
            </w:r>
          </w:p>
        </w:tc>
        <w:tc>
          <w:tcPr>
            <w:tcW w:w="4395" w:type="dxa"/>
          </w:tcPr>
          <w:p w14:paraId="2C9E5175" w14:textId="77777777" w:rsidR="00706B92" w:rsidRPr="000B7C06" w:rsidRDefault="00966B7B"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090682" w:rsidRPr="000B7C06" w14:paraId="69F2C381" w14:textId="77777777" w:rsidTr="000B7C06">
        <w:trPr>
          <w:trHeight w:val="534"/>
        </w:trPr>
        <w:tc>
          <w:tcPr>
            <w:tcW w:w="2547" w:type="dxa"/>
            <w:tcBorders>
              <w:bottom w:val="single" w:sz="4" w:space="0" w:color="auto"/>
            </w:tcBorders>
          </w:tcPr>
          <w:p w14:paraId="4FB3612F" w14:textId="3330EE08" w:rsidR="00090682" w:rsidRPr="000B7C06" w:rsidRDefault="00090682" w:rsidP="000B7C06">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БД</w:t>
            </w:r>
            <w:r w:rsidR="000B7C06">
              <w:rPr>
                <w:rFonts w:cs="Times New Roman"/>
                <w:b/>
                <w:bCs/>
                <w:sz w:val="20"/>
                <w:szCs w:val="20"/>
                <w:lang w:val="bg-BG"/>
              </w:rPr>
              <w:t xml:space="preserve"> </w:t>
            </w:r>
            <w:r w:rsidRPr="000B7C06">
              <w:rPr>
                <w:rFonts w:cs="Times New Roman"/>
                <w:b/>
                <w:bCs/>
                <w:sz w:val="20"/>
                <w:szCs w:val="20"/>
                <w:lang w:val="bg-BG"/>
              </w:rPr>
              <w:t>„Черноморски район“</w:t>
            </w:r>
          </w:p>
        </w:tc>
        <w:tc>
          <w:tcPr>
            <w:tcW w:w="1984" w:type="dxa"/>
            <w:tcBorders>
              <w:bottom w:val="single" w:sz="4" w:space="0" w:color="auto"/>
            </w:tcBorders>
          </w:tcPr>
          <w:p w14:paraId="490EA4A6" w14:textId="772886F0" w:rsidR="00090682" w:rsidRPr="000B7C06" w:rsidRDefault="00090682" w:rsidP="000B7C06">
            <w:pPr>
              <w:spacing w:after="60" w:line="264" w:lineRule="auto"/>
              <w:ind w:firstLine="0"/>
              <w:rPr>
                <w:rFonts w:cs="Times New Roman"/>
                <w:sz w:val="20"/>
                <w:szCs w:val="20"/>
                <w:lang w:val="bg-BG"/>
              </w:rPr>
            </w:pPr>
            <w:r w:rsidRPr="000B7C06">
              <w:rPr>
                <w:rFonts w:cs="Times New Roman"/>
                <w:sz w:val="20"/>
                <w:szCs w:val="20"/>
                <w:lang w:val="bg-BG"/>
              </w:rPr>
              <w:t>04-00-107/23.12.2021г.</w:t>
            </w:r>
          </w:p>
        </w:tc>
        <w:tc>
          <w:tcPr>
            <w:tcW w:w="5670" w:type="dxa"/>
            <w:tcBorders>
              <w:bottom w:val="single" w:sz="4" w:space="0" w:color="auto"/>
            </w:tcBorders>
          </w:tcPr>
          <w:p w14:paraId="51CF62C0"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 xml:space="preserve">1.В Доклада за стратегическа оценка на околната среда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w:t>
            </w:r>
            <w:r w:rsidRPr="000B7C06">
              <w:rPr>
                <w:rFonts w:cs="Times New Roman"/>
                <w:sz w:val="20"/>
                <w:szCs w:val="20"/>
                <w:lang w:val="bg-BG"/>
              </w:rPr>
              <w:br/>
              <w:t>2023 -2027 г. да се представи информация за връзката му с действащите ПУРБ 2016-2021г. за Черноморски район, съгласно РДВ 2000/60/ЕС, ПУРН 2016-2021 г., съгласно Директива 2007/60/ЕС и Морската стратегия на Р България и програма от мерки (МС 2016  - 2021 г.) и Програмата от мерки към нея и техните актуализации.</w:t>
            </w:r>
          </w:p>
          <w:p w14:paraId="1C0C2F8D"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 xml:space="preserve">Програмният период на </w:t>
            </w:r>
            <w:r w:rsidR="00CD4045" w:rsidRPr="000B7C06">
              <w:rPr>
                <w:rFonts w:cs="Times New Roman"/>
                <w:sz w:val="20"/>
                <w:szCs w:val="20"/>
                <w:lang w:val="bg-BG"/>
              </w:rPr>
              <w:t>СПРЗСР</w:t>
            </w:r>
            <w:r w:rsidRPr="000B7C06">
              <w:rPr>
                <w:rFonts w:cs="Times New Roman"/>
                <w:sz w:val="20"/>
                <w:szCs w:val="20"/>
                <w:lang w:val="bg-BG"/>
              </w:rPr>
              <w:t xml:space="preserve"> за периода 2023-2027 г. съвпада с периода на актуализирането, изготвянето и прилагането на третите ПУРБ 2022-2027 г., на вторите ПУРН 2022-2027 г. и МС 2022-2027г. Актуализираната Предварителна оценка на риска от наводнения за Черноморски район за басейново управление райони със значителен потенциален риск от наводнения е публикуван в раздел „ПУРН“ /"ПУРН 2022-20277 „Предварителна оценка на риска от наводнения“. Междинния преглед на значимите Проблеми при управлението на водите в Черноморски район. е публикуван в раздел „ПУРБ“ /“ПУРБ 2022-20277 „Междинен преглед на значимите проблеми при управлението на водите в Черноморски район“. Публикуван е Актуализиран доклад по чл. 8, чл. 9 и чл. 10 от Рамковата директива за морска стратегия (РДМС) в раздел Морска околна среда, Морска стратегия .на Р България и </w:t>
            </w:r>
            <w:proofErr w:type="spellStart"/>
            <w:r w:rsidRPr="000B7C06">
              <w:rPr>
                <w:rFonts w:cs="Times New Roman"/>
                <w:sz w:val="20"/>
                <w:szCs w:val="20"/>
                <w:lang w:val="bg-BG"/>
              </w:rPr>
              <w:t>ПоМ</w:t>
            </w:r>
            <w:proofErr w:type="spellEnd"/>
            <w:r w:rsidRPr="000B7C06">
              <w:rPr>
                <w:rFonts w:cs="Times New Roman"/>
                <w:sz w:val="20"/>
                <w:szCs w:val="20"/>
                <w:lang w:val="bg-BG"/>
              </w:rPr>
              <w:t xml:space="preserve"> 2022-2027, „Актуализирана оценка на морската околна среда, дефиниции и цели за ДСМОС 2018“.</w:t>
            </w:r>
          </w:p>
          <w:p w14:paraId="1A88F8DC"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lastRenderedPageBreak/>
              <w:t>2. Описанието и анализът на компонентите на околната среда в част „Води“ да се изготви съобразно информацията за водите и водните тела в Плана за управление на речните басейни в Черноморски район</w:t>
            </w:r>
          </w:p>
          <w:p w14:paraId="13BFD216"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3. Докладът за стратегическа оценка следва да обхваща всички възможни въздействия върху количеството и качеството на повърхностните, подземните води и зоните за защита, на водите (ЗЗВ), определени по чл. 119а от Закона за водите</w:t>
            </w:r>
          </w:p>
          <w:p w14:paraId="40EB5861"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 xml:space="preserve"> 4. По отношение на т. 2.1.3 състояние на водите, зони за защита на водите, риска от наводнения да се допълни съгласно §1, ал. 1, т. 23 от Допълнителните разпоредби на Закона за водите - "повърхностни води" са водите на сушата, с изключение на подземните води, както и преходните води, и крайбрежните морски води, освен по отношение на химичното състояние, в който случай се включват и вътрешните морски води и водите на териториалното море. Да се представи информация за Черно море, в обхвата на ЧРБУ. Управлението на крайбрежните води със цел постигане на добро екологично и химично състояние се извършва в рамките на ПУРБ 2016 - 2021 г. (изискване на РДВ 2000/60/ЕС), а управлението на териториалните води и изключителната икономическа зона (ИИЗ) на </w:t>
            </w:r>
            <w:proofErr w:type="spellStart"/>
            <w:r w:rsidRPr="000B7C06">
              <w:rPr>
                <w:rFonts w:cs="Times New Roman"/>
                <w:sz w:val="20"/>
                <w:szCs w:val="20"/>
                <w:lang w:val="bg-BG"/>
              </w:rPr>
              <w:t>РБългария</w:t>
            </w:r>
            <w:proofErr w:type="spellEnd"/>
            <w:r w:rsidRPr="000B7C06">
              <w:rPr>
                <w:rFonts w:cs="Times New Roman"/>
                <w:sz w:val="20"/>
                <w:szCs w:val="20"/>
                <w:lang w:val="bg-BG"/>
              </w:rPr>
              <w:t xml:space="preserve"> и постигането на добро състояние на морската околна среда по 11 дескриптора (характеристики) се извършва чрез разработената Морска стратегия (изискване на Рамкова директива за морска стратегия 2008/56/EО). В обхвата </w:t>
            </w:r>
            <w:r w:rsidRPr="000B7C06">
              <w:rPr>
                <w:rFonts w:cs="Times New Roman"/>
                <w:sz w:val="20"/>
                <w:szCs w:val="20"/>
                <w:lang w:val="bg-BG"/>
              </w:rPr>
              <w:lastRenderedPageBreak/>
              <w:t xml:space="preserve">на действие на стратегията влизат и крайбрежните води, при наличие на аспекти от тяхното управление, </w:t>
            </w:r>
            <w:proofErr w:type="spellStart"/>
            <w:r w:rsidRPr="000B7C06">
              <w:rPr>
                <w:rFonts w:cs="Times New Roman"/>
                <w:sz w:val="20"/>
                <w:szCs w:val="20"/>
                <w:lang w:val="bg-BG"/>
              </w:rPr>
              <w:t>необхванати</w:t>
            </w:r>
            <w:proofErr w:type="spellEnd"/>
            <w:r w:rsidRPr="000B7C06">
              <w:rPr>
                <w:rFonts w:cs="Times New Roman"/>
                <w:sz w:val="20"/>
                <w:szCs w:val="20"/>
                <w:lang w:val="bg-BG"/>
              </w:rPr>
              <w:t xml:space="preserve"> от ПУРБ. </w:t>
            </w:r>
          </w:p>
          <w:p w14:paraId="1FAA5888"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5. Необходимо е да бъдат оценени вероятните отрицателни въздействия върху водите, произтичащи от реализацията на всички планирани дейности и намерения на територията на страната, както и кумулативния ефект от тях. Заложените дейности и мерки в Доклада за стратегическа оценка на околната среда на СПОПС за периода 2023-2027г. да са съобразени с целите и мерките в Плана за управление на речните басейни за Черноморски район, с цел предотвратяване влошаването на екологичното и химичното състояние на повърхностните води, и количественото и химичното състояние на подземните води.</w:t>
            </w:r>
          </w:p>
          <w:p w14:paraId="65132455"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6. При изготвяне на ДЕО да се вземат предвид заложените в ПУРБ цели за опазване на водните тела,</w:t>
            </w:r>
            <w:r w:rsidR="00811FFE" w:rsidRPr="000B7C06">
              <w:rPr>
                <w:rFonts w:cs="Times New Roman"/>
                <w:sz w:val="20"/>
                <w:szCs w:val="20"/>
                <w:lang w:val="bg-BG"/>
              </w:rPr>
              <w:t xml:space="preserve"> </w:t>
            </w:r>
            <w:r w:rsidRPr="000B7C06">
              <w:rPr>
                <w:rFonts w:cs="Times New Roman"/>
                <w:sz w:val="20"/>
                <w:szCs w:val="20"/>
                <w:lang w:val="bg-BG"/>
              </w:rPr>
              <w:t xml:space="preserve">върху които попада територията на плана, както и програмите от мерки за предотвратяване и намаляване на значителни вредни въздействия върху повърхностните и подземни води. В доклада да се разпишат мерки за изпълнение при прилагане на Програмата с цел недопускане или намаляване на отрицателните въздействия върху повърхностните и подземните, водни тела и ЗЗВ, от гледна точка на постигане на целите на околната среда и мерките за постигане на добро състояние, заложени, в ПУРБ 2016-2021 г. Необходимо е за всяка отделна дейност да се разгледат всички възможни </w:t>
            </w:r>
            <w:r w:rsidRPr="000B7C06">
              <w:rPr>
                <w:rFonts w:cs="Times New Roman"/>
                <w:sz w:val="20"/>
                <w:szCs w:val="20"/>
                <w:lang w:val="bg-BG"/>
              </w:rPr>
              <w:lastRenderedPageBreak/>
              <w:t xml:space="preserve">негативни въздействия върху повърхностните и подземни води в детайли, както и да се посочат конкретните поставени цели и мерки за постигане на добро състояние на водите. </w:t>
            </w:r>
          </w:p>
          <w:p w14:paraId="2A65C34C" w14:textId="77777777" w:rsidR="002F3100"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7. При изготвянето на ДЕО да се вземат предвид определените райони със значителен риск от наводнения (РЗПРН) на територията на програмата, изготвените карти на заплаха и картите на риска от наводненията и Програмата от мерки, част ПУРН 2016-2021 г. Съгласно Становище по ЕО на ПУРН е</w:t>
            </w:r>
            <w:r w:rsidR="00811FFE" w:rsidRPr="000B7C06">
              <w:rPr>
                <w:rFonts w:cs="Times New Roman"/>
                <w:sz w:val="20"/>
                <w:szCs w:val="20"/>
                <w:lang w:val="bg-BG"/>
              </w:rPr>
              <w:t xml:space="preserve"> </w:t>
            </w:r>
            <w:r w:rsidRPr="000B7C06">
              <w:rPr>
                <w:rFonts w:cs="Times New Roman"/>
                <w:sz w:val="20"/>
                <w:szCs w:val="20"/>
                <w:lang w:val="bg-BG"/>
              </w:rPr>
              <w:t xml:space="preserve">необходимо предвижданията да бъдат съобразени с анализирания и моделиран обхват при сценарий на вероятност на 20-годишната вълна и изпълнението на това условие да бъде предоставено в ДЕО. </w:t>
            </w:r>
          </w:p>
          <w:p w14:paraId="1D01FC19" w14:textId="77777777" w:rsidR="0009068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В доклада</w:t>
            </w:r>
            <w:r w:rsidR="002F3100" w:rsidRPr="000B7C06">
              <w:rPr>
                <w:rFonts w:cs="Times New Roman"/>
                <w:sz w:val="20"/>
                <w:szCs w:val="20"/>
                <w:lang w:val="bg-BG"/>
              </w:rPr>
              <w:t xml:space="preserve"> </w:t>
            </w:r>
            <w:r w:rsidRPr="000B7C06">
              <w:rPr>
                <w:rFonts w:cs="Times New Roman"/>
                <w:sz w:val="20"/>
                <w:szCs w:val="20"/>
                <w:lang w:val="bg-BG"/>
              </w:rPr>
              <w:t>да се разпишат мерки за недопускане или намаляване на отрицателните въздействия, от гледна точна на постигане на целите и мерките за защита от вредното въздействие на водите заложени в ПУРН 2016-2021 г.</w:t>
            </w:r>
          </w:p>
          <w:p w14:paraId="70311B7A" w14:textId="4679F961" w:rsidR="00FF5FC2" w:rsidRPr="000B7C06" w:rsidRDefault="00090682" w:rsidP="0084747F">
            <w:pPr>
              <w:spacing w:after="60" w:line="264" w:lineRule="auto"/>
              <w:rPr>
                <w:rFonts w:cs="Times New Roman"/>
                <w:sz w:val="20"/>
                <w:szCs w:val="20"/>
                <w:lang w:val="bg-BG"/>
              </w:rPr>
            </w:pPr>
            <w:r w:rsidRPr="000B7C06">
              <w:rPr>
                <w:rFonts w:cs="Times New Roman"/>
                <w:sz w:val="20"/>
                <w:szCs w:val="20"/>
                <w:lang w:val="bg-BG"/>
              </w:rPr>
              <w:t>8. Следва да бъде отразена и необходимостта от спазване на съответните забрани и ограничения в поясите на СОЗ, регламентирани в Наредба № 3/16.10.2000г.</w:t>
            </w:r>
            <w:r w:rsidR="00FF5FC2" w:rsidRPr="000B7C06">
              <w:rPr>
                <w:rFonts w:cs="Times New Roman"/>
                <w:sz w:val="20"/>
                <w:szCs w:val="20"/>
                <w:lang w:val="bg-BG"/>
              </w:rPr>
              <w:t xml:space="preserve">, </w:t>
            </w:r>
            <w:r w:rsidRPr="000B7C06">
              <w:rPr>
                <w:rFonts w:cs="Times New Roman"/>
                <w:sz w:val="20"/>
                <w:szCs w:val="20"/>
                <w:lang w:val="bg-BG"/>
              </w:rPr>
              <w:t>Действащият План за управление на речните басейни (ПУРБ 2016 -2021 г.) за Черноморски район,</w:t>
            </w:r>
            <w:r w:rsidR="00FF5FC2" w:rsidRPr="000B7C06">
              <w:rPr>
                <w:rFonts w:cs="Times New Roman"/>
                <w:sz w:val="20"/>
                <w:szCs w:val="20"/>
                <w:lang w:val="bg-BG"/>
              </w:rPr>
              <w:t xml:space="preserve"> </w:t>
            </w:r>
            <w:r w:rsidRPr="000B7C06">
              <w:rPr>
                <w:rFonts w:cs="Times New Roman"/>
                <w:sz w:val="20"/>
                <w:szCs w:val="20"/>
                <w:lang w:val="bg-BG"/>
              </w:rPr>
              <w:t xml:space="preserve">съгласно РДВ 2000/60/ЕС, Плана за управление на риска от наводнения (ПУРН 2016 -2021 г.) и Морската стратегия на Р България и програма от мерки 2016 - 2021 г„ с наличните информация и анализи са публикувани на интернет страницата на БДЧР: </w:t>
            </w:r>
            <w:hyperlink r:id="rId126" w:history="1">
              <w:r w:rsidRPr="000B7C06">
                <w:rPr>
                  <w:rFonts w:cs="Times New Roman"/>
                  <w:color w:val="0563C1" w:themeColor="hyperlink"/>
                  <w:sz w:val="20"/>
                  <w:szCs w:val="20"/>
                  <w:u w:val="single"/>
                  <w:lang w:val="bg-BG"/>
                </w:rPr>
                <w:t>www.bsbd.org</w:t>
              </w:r>
            </w:hyperlink>
            <w:r w:rsidRPr="000B7C06">
              <w:rPr>
                <w:rFonts w:cs="Times New Roman"/>
                <w:sz w:val="20"/>
                <w:szCs w:val="20"/>
                <w:lang w:val="bg-BG"/>
              </w:rPr>
              <w:t xml:space="preserve"> и могат да </w:t>
            </w:r>
            <w:r w:rsidRPr="000B7C06">
              <w:rPr>
                <w:rFonts w:cs="Times New Roman"/>
                <w:sz w:val="20"/>
                <w:szCs w:val="20"/>
                <w:lang w:val="bg-BG"/>
              </w:rPr>
              <w:lastRenderedPageBreak/>
              <w:t xml:space="preserve">послужат при изготвяне на Доклада за стратегическа оценка на околната среда на </w:t>
            </w:r>
            <w:r w:rsidR="00CD4045" w:rsidRPr="000B7C06">
              <w:rPr>
                <w:rFonts w:cs="Times New Roman"/>
                <w:sz w:val="20"/>
                <w:szCs w:val="20"/>
                <w:lang w:val="bg-BG"/>
              </w:rPr>
              <w:t>СПРЗСР</w:t>
            </w:r>
            <w:r w:rsidRPr="000B7C06">
              <w:rPr>
                <w:rFonts w:cs="Times New Roman"/>
                <w:sz w:val="20"/>
                <w:szCs w:val="20"/>
                <w:lang w:val="bg-BG"/>
              </w:rPr>
              <w:t xml:space="preserve"> за периода 2023-2027г.</w:t>
            </w:r>
          </w:p>
        </w:tc>
        <w:tc>
          <w:tcPr>
            <w:tcW w:w="4395" w:type="dxa"/>
            <w:tcBorders>
              <w:bottom w:val="single" w:sz="4" w:space="0" w:color="auto"/>
            </w:tcBorders>
          </w:tcPr>
          <w:p w14:paraId="26F813B4" w14:textId="77777777" w:rsidR="00214087" w:rsidRPr="000B7C06" w:rsidRDefault="00214087"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 xml:space="preserve">По т.1: </w:t>
            </w:r>
            <w:r w:rsidR="00E7601E" w:rsidRPr="000B7C06">
              <w:rPr>
                <w:rFonts w:eastAsia="Times New Roman" w:cs="Times New Roman"/>
                <w:bCs/>
                <w:sz w:val="20"/>
                <w:szCs w:val="20"/>
                <w:lang w:val="bg-BG" w:eastAsia="bg-BG"/>
              </w:rPr>
              <w:t>Препоръката е съобразена при разработване на т.6.2 на ДЕО</w:t>
            </w:r>
            <w:r w:rsidRPr="000B7C06">
              <w:rPr>
                <w:rFonts w:eastAsia="Times New Roman" w:cs="Times New Roman"/>
                <w:bCs/>
                <w:sz w:val="20"/>
                <w:szCs w:val="20"/>
                <w:lang w:val="bg-BG" w:eastAsia="bg-BG"/>
              </w:rPr>
              <w:t>.</w:t>
            </w:r>
          </w:p>
          <w:p w14:paraId="1618A7F3" w14:textId="77777777" w:rsidR="00214087" w:rsidRPr="000B7C06" w:rsidRDefault="00214087" w:rsidP="0084747F">
            <w:pPr>
              <w:spacing w:after="60" w:line="264" w:lineRule="auto"/>
              <w:rPr>
                <w:rFonts w:eastAsia="Times New Roman" w:cs="Times New Roman"/>
                <w:bCs/>
                <w:sz w:val="20"/>
                <w:szCs w:val="20"/>
                <w:lang w:val="bg-BG" w:eastAsia="bg-BG"/>
              </w:rPr>
            </w:pPr>
          </w:p>
          <w:p w14:paraId="4AEFDAA9" w14:textId="77777777" w:rsidR="00214087" w:rsidRPr="000B7C06" w:rsidRDefault="00214087" w:rsidP="0084747F">
            <w:pPr>
              <w:spacing w:after="60" w:line="264" w:lineRule="auto"/>
              <w:rPr>
                <w:rFonts w:eastAsia="Times New Roman" w:cs="Times New Roman"/>
                <w:bCs/>
                <w:sz w:val="20"/>
                <w:szCs w:val="20"/>
                <w:lang w:val="bg-BG" w:eastAsia="bg-BG"/>
              </w:rPr>
            </w:pPr>
          </w:p>
          <w:p w14:paraId="6EA466E0" w14:textId="77777777" w:rsidR="00214087" w:rsidRPr="000B7C06" w:rsidRDefault="00214087" w:rsidP="0084747F">
            <w:pPr>
              <w:spacing w:after="60" w:line="264" w:lineRule="auto"/>
              <w:rPr>
                <w:rFonts w:eastAsia="Times New Roman" w:cs="Times New Roman"/>
                <w:bCs/>
                <w:sz w:val="20"/>
                <w:szCs w:val="20"/>
                <w:lang w:val="bg-BG" w:eastAsia="bg-BG"/>
              </w:rPr>
            </w:pPr>
          </w:p>
          <w:p w14:paraId="340B8547" w14:textId="77777777" w:rsidR="00214087" w:rsidRPr="000B7C06" w:rsidRDefault="00214087" w:rsidP="0084747F">
            <w:pPr>
              <w:spacing w:after="60" w:line="264" w:lineRule="auto"/>
              <w:rPr>
                <w:rFonts w:eastAsia="Times New Roman" w:cs="Times New Roman"/>
                <w:bCs/>
                <w:sz w:val="20"/>
                <w:szCs w:val="20"/>
                <w:lang w:val="bg-BG" w:eastAsia="bg-BG"/>
              </w:rPr>
            </w:pPr>
          </w:p>
          <w:p w14:paraId="3904CFD5" w14:textId="77777777" w:rsidR="00E7601E" w:rsidRPr="000B7C06" w:rsidRDefault="00E7601E" w:rsidP="0084747F">
            <w:pPr>
              <w:spacing w:after="60" w:line="264" w:lineRule="auto"/>
              <w:rPr>
                <w:rFonts w:eastAsia="Times New Roman" w:cs="Times New Roman"/>
                <w:bCs/>
                <w:sz w:val="20"/>
                <w:szCs w:val="20"/>
                <w:lang w:val="bg-BG" w:eastAsia="bg-BG"/>
              </w:rPr>
            </w:pPr>
          </w:p>
          <w:p w14:paraId="08A5EC75" w14:textId="77777777" w:rsidR="00E7601E" w:rsidRPr="000B7C06" w:rsidRDefault="00E7601E" w:rsidP="0084747F">
            <w:pPr>
              <w:spacing w:after="60" w:line="264" w:lineRule="auto"/>
              <w:rPr>
                <w:rFonts w:eastAsia="Times New Roman" w:cs="Times New Roman"/>
                <w:bCs/>
                <w:sz w:val="20"/>
                <w:szCs w:val="20"/>
                <w:lang w:val="bg-BG" w:eastAsia="bg-BG"/>
              </w:rPr>
            </w:pPr>
          </w:p>
          <w:p w14:paraId="606D0251" w14:textId="77777777" w:rsidR="00E7601E" w:rsidRPr="000B7C06" w:rsidRDefault="00E7601E" w:rsidP="0084747F">
            <w:pPr>
              <w:spacing w:after="60" w:line="264" w:lineRule="auto"/>
              <w:rPr>
                <w:rFonts w:eastAsia="Times New Roman" w:cs="Times New Roman"/>
                <w:bCs/>
                <w:sz w:val="20"/>
                <w:szCs w:val="20"/>
                <w:lang w:val="bg-BG" w:eastAsia="bg-BG"/>
              </w:rPr>
            </w:pPr>
          </w:p>
          <w:p w14:paraId="50FED802" w14:textId="77777777" w:rsidR="00E7601E" w:rsidRPr="000B7C06" w:rsidRDefault="00E7601E" w:rsidP="0084747F">
            <w:pPr>
              <w:spacing w:after="60" w:line="264" w:lineRule="auto"/>
              <w:rPr>
                <w:rFonts w:eastAsia="Times New Roman" w:cs="Times New Roman"/>
                <w:bCs/>
                <w:sz w:val="20"/>
                <w:szCs w:val="20"/>
                <w:lang w:val="bg-BG" w:eastAsia="bg-BG"/>
              </w:rPr>
            </w:pPr>
          </w:p>
          <w:p w14:paraId="5BB1A4DC" w14:textId="77777777" w:rsidR="00E7601E" w:rsidRPr="000B7C06" w:rsidRDefault="00E7601E" w:rsidP="0084747F">
            <w:pPr>
              <w:spacing w:after="60" w:line="264" w:lineRule="auto"/>
              <w:rPr>
                <w:rFonts w:eastAsia="Times New Roman" w:cs="Times New Roman"/>
                <w:bCs/>
                <w:sz w:val="20"/>
                <w:szCs w:val="20"/>
                <w:lang w:val="bg-BG" w:eastAsia="bg-BG"/>
              </w:rPr>
            </w:pPr>
          </w:p>
          <w:p w14:paraId="490E677C" w14:textId="77777777" w:rsidR="00E7601E" w:rsidRPr="000B7C06" w:rsidRDefault="00E7601E" w:rsidP="0084747F">
            <w:pPr>
              <w:spacing w:after="60" w:line="264" w:lineRule="auto"/>
              <w:rPr>
                <w:rFonts w:eastAsia="Times New Roman" w:cs="Times New Roman"/>
                <w:bCs/>
                <w:sz w:val="20"/>
                <w:szCs w:val="20"/>
                <w:lang w:val="bg-BG" w:eastAsia="bg-BG"/>
              </w:rPr>
            </w:pPr>
          </w:p>
          <w:p w14:paraId="48A4D889" w14:textId="77777777" w:rsidR="00E7601E" w:rsidRPr="000B7C06" w:rsidRDefault="00E7601E" w:rsidP="0084747F">
            <w:pPr>
              <w:spacing w:after="60" w:line="264" w:lineRule="auto"/>
              <w:rPr>
                <w:rFonts w:eastAsia="Times New Roman" w:cs="Times New Roman"/>
                <w:bCs/>
                <w:sz w:val="20"/>
                <w:szCs w:val="20"/>
                <w:lang w:val="bg-BG" w:eastAsia="bg-BG"/>
              </w:rPr>
            </w:pPr>
          </w:p>
          <w:p w14:paraId="7713ED76" w14:textId="77777777" w:rsidR="00E7601E" w:rsidRPr="000B7C06" w:rsidRDefault="00E7601E" w:rsidP="0084747F">
            <w:pPr>
              <w:spacing w:after="60" w:line="264" w:lineRule="auto"/>
              <w:rPr>
                <w:rFonts w:eastAsia="Times New Roman" w:cs="Times New Roman"/>
                <w:bCs/>
                <w:sz w:val="20"/>
                <w:szCs w:val="20"/>
                <w:lang w:val="bg-BG" w:eastAsia="bg-BG"/>
              </w:rPr>
            </w:pPr>
          </w:p>
          <w:p w14:paraId="5289C512" w14:textId="77777777" w:rsidR="00E7601E" w:rsidRPr="000B7C06" w:rsidRDefault="00E7601E" w:rsidP="0084747F">
            <w:pPr>
              <w:spacing w:after="60" w:line="264" w:lineRule="auto"/>
              <w:rPr>
                <w:rFonts w:eastAsia="Times New Roman" w:cs="Times New Roman"/>
                <w:bCs/>
                <w:sz w:val="20"/>
                <w:szCs w:val="20"/>
                <w:lang w:val="bg-BG" w:eastAsia="bg-BG"/>
              </w:rPr>
            </w:pPr>
          </w:p>
          <w:p w14:paraId="0A5A3176" w14:textId="77777777" w:rsidR="00E7601E" w:rsidRPr="000B7C06" w:rsidRDefault="00E7601E" w:rsidP="0084747F">
            <w:pPr>
              <w:spacing w:after="60" w:line="264" w:lineRule="auto"/>
              <w:rPr>
                <w:rFonts w:eastAsia="Times New Roman" w:cs="Times New Roman"/>
                <w:bCs/>
                <w:sz w:val="20"/>
                <w:szCs w:val="20"/>
                <w:lang w:val="bg-BG" w:eastAsia="bg-BG"/>
              </w:rPr>
            </w:pPr>
          </w:p>
          <w:p w14:paraId="41284140" w14:textId="77777777" w:rsidR="00E7601E" w:rsidRPr="000B7C06" w:rsidRDefault="00E7601E" w:rsidP="0084747F">
            <w:pPr>
              <w:spacing w:after="60" w:line="264" w:lineRule="auto"/>
              <w:rPr>
                <w:rFonts w:eastAsia="Times New Roman" w:cs="Times New Roman"/>
                <w:bCs/>
                <w:sz w:val="20"/>
                <w:szCs w:val="20"/>
                <w:lang w:val="bg-BG" w:eastAsia="bg-BG"/>
              </w:rPr>
            </w:pPr>
          </w:p>
          <w:p w14:paraId="405C15BB" w14:textId="77777777" w:rsidR="00E7601E" w:rsidRPr="000B7C06" w:rsidRDefault="00E7601E" w:rsidP="0084747F">
            <w:pPr>
              <w:spacing w:after="60" w:line="264" w:lineRule="auto"/>
              <w:rPr>
                <w:rFonts w:eastAsia="Times New Roman" w:cs="Times New Roman"/>
                <w:bCs/>
                <w:sz w:val="20"/>
                <w:szCs w:val="20"/>
                <w:lang w:val="bg-BG" w:eastAsia="bg-BG"/>
              </w:rPr>
            </w:pPr>
          </w:p>
          <w:p w14:paraId="27BA8CD6" w14:textId="77777777" w:rsidR="00E7601E" w:rsidRPr="000B7C06" w:rsidRDefault="00E7601E" w:rsidP="0084747F">
            <w:pPr>
              <w:spacing w:after="60" w:line="264" w:lineRule="auto"/>
              <w:rPr>
                <w:rFonts w:eastAsia="Times New Roman" w:cs="Times New Roman"/>
                <w:bCs/>
                <w:sz w:val="20"/>
                <w:szCs w:val="20"/>
                <w:lang w:val="bg-BG" w:eastAsia="bg-BG"/>
              </w:rPr>
            </w:pPr>
          </w:p>
          <w:p w14:paraId="3AB9C8C8" w14:textId="77777777" w:rsidR="00E7601E" w:rsidRPr="000B7C06" w:rsidRDefault="00E7601E" w:rsidP="0084747F">
            <w:pPr>
              <w:spacing w:after="60" w:line="264" w:lineRule="auto"/>
              <w:rPr>
                <w:rFonts w:eastAsia="Times New Roman" w:cs="Times New Roman"/>
                <w:bCs/>
                <w:sz w:val="20"/>
                <w:szCs w:val="20"/>
                <w:lang w:val="bg-BG" w:eastAsia="bg-BG"/>
              </w:rPr>
            </w:pPr>
          </w:p>
          <w:p w14:paraId="04586EBC" w14:textId="77777777" w:rsidR="00E7601E" w:rsidRPr="000B7C06" w:rsidRDefault="00E7601E" w:rsidP="0084747F">
            <w:pPr>
              <w:spacing w:after="60" w:line="264" w:lineRule="auto"/>
              <w:rPr>
                <w:rFonts w:eastAsia="Times New Roman" w:cs="Times New Roman"/>
                <w:bCs/>
                <w:sz w:val="20"/>
                <w:szCs w:val="20"/>
                <w:lang w:val="bg-BG" w:eastAsia="bg-BG"/>
              </w:rPr>
            </w:pPr>
          </w:p>
          <w:p w14:paraId="4F9CE01D" w14:textId="77777777" w:rsidR="00E7601E" w:rsidRPr="000B7C06" w:rsidRDefault="00214087"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По т.</w:t>
            </w:r>
            <w:r w:rsidR="00E7601E" w:rsidRPr="000B7C06">
              <w:rPr>
                <w:rFonts w:eastAsia="Times New Roman" w:cs="Times New Roman"/>
                <w:bCs/>
                <w:sz w:val="20"/>
                <w:szCs w:val="20"/>
                <w:lang w:val="bg-BG" w:eastAsia="bg-BG"/>
              </w:rPr>
              <w:t>2</w:t>
            </w:r>
            <w:r w:rsidRPr="000B7C06">
              <w:rPr>
                <w:rFonts w:eastAsia="Times New Roman" w:cs="Times New Roman"/>
                <w:bCs/>
                <w:sz w:val="20"/>
                <w:szCs w:val="20"/>
                <w:lang w:val="bg-BG" w:eastAsia="bg-BG"/>
              </w:rPr>
              <w:t xml:space="preserve">: </w:t>
            </w:r>
            <w:r w:rsidR="00E7601E" w:rsidRPr="000B7C06">
              <w:rPr>
                <w:rFonts w:eastAsia="Times New Roman" w:cs="Times New Roman"/>
                <w:bCs/>
                <w:sz w:val="20"/>
                <w:szCs w:val="20"/>
                <w:lang w:val="bg-BG" w:eastAsia="bg-BG"/>
              </w:rPr>
              <w:t>Препоръката е съобразена при разработване на т.6.2 на ДЕО.</w:t>
            </w:r>
          </w:p>
          <w:p w14:paraId="504E8CC1" w14:textId="77777777" w:rsidR="00E7601E" w:rsidRPr="000B7C06" w:rsidRDefault="00E7601E" w:rsidP="0084747F">
            <w:pPr>
              <w:spacing w:after="60" w:line="264" w:lineRule="auto"/>
              <w:rPr>
                <w:rFonts w:eastAsia="Times New Roman" w:cs="Times New Roman"/>
                <w:bCs/>
                <w:sz w:val="20"/>
                <w:szCs w:val="20"/>
                <w:lang w:val="bg-BG" w:eastAsia="bg-BG"/>
              </w:rPr>
            </w:pPr>
          </w:p>
          <w:p w14:paraId="707AA83E" w14:textId="77777777" w:rsidR="00E7601E" w:rsidRPr="000B7C06" w:rsidRDefault="00E7601E" w:rsidP="0084747F">
            <w:pPr>
              <w:spacing w:after="60" w:line="264" w:lineRule="auto"/>
              <w:rPr>
                <w:rFonts w:eastAsia="Times New Roman" w:cs="Times New Roman"/>
                <w:bCs/>
                <w:sz w:val="20"/>
                <w:szCs w:val="20"/>
                <w:lang w:val="bg-BG" w:eastAsia="bg-BG"/>
              </w:rPr>
            </w:pPr>
          </w:p>
          <w:p w14:paraId="2C955473" w14:textId="77777777" w:rsidR="00E7601E" w:rsidRPr="000B7C06" w:rsidRDefault="00E7601E" w:rsidP="0084747F">
            <w:pPr>
              <w:spacing w:after="60" w:line="264" w:lineRule="auto"/>
              <w:rPr>
                <w:rFonts w:eastAsia="Times New Roman" w:cs="Times New Roman"/>
                <w:bCs/>
                <w:sz w:val="20"/>
                <w:szCs w:val="20"/>
                <w:lang w:val="bg-BG" w:eastAsia="bg-BG"/>
              </w:rPr>
            </w:pPr>
          </w:p>
          <w:p w14:paraId="77D5986A" w14:textId="77777777" w:rsidR="00E7601E" w:rsidRPr="000B7C06" w:rsidRDefault="00E7601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т.3: Препоръката е съобразена при разработване на т.5.4 на ДЕО.</w:t>
            </w:r>
          </w:p>
          <w:p w14:paraId="58451623" w14:textId="77777777" w:rsidR="00090682" w:rsidRPr="000B7C06" w:rsidRDefault="00090682" w:rsidP="0084747F">
            <w:pPr>
              <w:spacing w:after="60" w:line="264" w:lineRule="auto"/>
              <w:rPr>
                <w:rFonts w:cs="Times New Roman"/>
                <w:sz w:val="20"/>
                <w:szCs w:val="20"/>
                <w:lang w:val="bg-BG"/>
              </w:rPr>
            </w:pPr>
          </w:p>
          <w:p w14:paraId="6D6F31D3" w14:textId="77777777" w:rsidR="00E7601E" w:rsidRPr="000B7C06" w:rsidRDefault="00E7601E" w:rsidP="0084747F">
            <w:pPr>
              <w:spacing w:after="60" w:line="264" w:lineRule="auto"/>
              <w:rPr>
                <w:rFonts w:cs="Times New Roman"/>
                <w:sz w:val="20"/>
                <w:szCs w:val="20"/>
                <w:lang w:val="bg-BG"/>
              </w:rPr>
            </w:pPr>
          </w:p>
          <w:p w14:paraId="5DD7682F" w14:textId="77777777" w:rsidR="00E7601E" w:rsidRPr="000B7C06" w:rsidRDefault="00E7601E" w:rsidP="0084747F">
            <w:pPr>
              <w:spacing w:after="60" w:line="264" w:lineRule="auto"/>
              <w:rPr>
                <w:rFonts w:cs="Times New Roman"/>
                <w:sz w:val="20"/>
                <w:szCs w:val="20"/>
                <w:lang w:val="bg-BG"/>
              </w:rPr>
            </w:pPr>
          </w:p>
          <w:p w14:paraId="2BC4A8B8" w14:textId="77777777" w:rsidR="00E7601E" w:rsidRPr="000B7C06" w:rsidRDefault="00E7601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т.4: Препоръката е съобразена при разработване на т.6.2. на ДЕО.</w:t>
            </w:r>
          </w:p>
          <w:p w14:paraId="328965EC" w14:textId="77777777" w:rsidR="00E7601E" w:rsidRPr="000B7C06" w:rsidRDefault="00E7601E" w:rsidP="0084747F">
            <w:pPr>
              <w:spacing w:after="60" w:line="264" w:lineRule="auto"/>
              <w:rPr>
                <w:rFonts w:eastAsia="Times New Roman" w:cs="Times New Roman"/>
                <w:bCs/>
                <w:sz w:val="20"/>
                <w:szCs w:val="20"/>
                <w:lang w:val="bg-BG" w:eastAsia="bg-BG"/>
              </w:rPr>
            </w:pPr>
          </w:p>
          <w:p w14:paraId="5C17E8B9" w14:textId="77777777" w:rsidR="00E7601E" w:rsidRPr="000B7C06" w:rsidRDefault="00E7601E" w:rsidP="0084747F">
            <w:pPr>
              <w:spacing w:after="60" w:line="264" w:lineRule="auto"/>
              <w:rPr>
                <w:rFonts w:eastAsia="Times New Roman" w:cs="Times New Roman"/>
                <w:bCs/>
                <w:sz w:val="20"/>
                <w:szCs w:val="20"/>
                <w:lang w:val="bg-BG" w:eastAsia="bg-BG"/>
              </w:rPr>
            </w:pPr>
          </w:p>
          <w:p w14:paraId="1C47E0D1" w14:textId="77777777" w:rsidR="00E7601E" w:rsidRPr="000B7C06" w:rsidRDefault="00E7601E" w:rsidP="0084747F">
            <w:pPr>
              <w:spacing w:after="60" w:line="264" w:lineRule="auto"/>
              <w:rPr>
                <w:rFonts w:eastAsia="Times New Roman" w:cs="Times New Roman"/>
                <w:bCs/>
                <w:sz w:val="20"/>
                <w:szCs w:val="20"/>
                <w:lang w:val="bg-BG" w:eastAsia="bg-BG"/>
              </w:rPr>
            </w:pPr>
          </w:p>
          <w:p w14:paraId="0C888314" w14:textId="77777777" w:rsidR="00E7601E" w:rsidRPr="000B7C06" w:rsidRDefault="00E7601E" w:rsidP="0084747F">
            <w:pPr>
              <w:spacing w:after="60" w:line="264" w:lineRule="auto"/>
              <w:rPr>
                <w:rFonts w:eastAsia="Times New Roman" w:cs="Times New Roman"/>
                <w:bCs/>
                <w:sz w:val="20"/>
                <w:szCs w:val="20"/>
                <w:lang w:val="bg-BG" w:eastAsia="bg-BG"/>
              </w:rPr>
            </w:pPr>
          </w:p>
          <w:p w14:paraId="6C193EE0" w14:textId="77777777" w:rsidR="00E7601E" w:rsidRPr="000B7C06" w:rsidRDefault="00E7601E" w:rsidP="0084747F">
            <w:pPr>
              <w:spacing w:after="60" w:line="264" w:lineRule="auto"/>
              <w:rPr>
                <w:rFonts w:eastAsia="Times New Roman" w:cs="Times New Roman"/>
                <w:bCs/>
                <w:sz w:val="20"/>
                <w:szCs w:val="20"/>
                <w:lang w:val="bg-BG" w:eastAsia="bg-BG"/>
              </w:rPr>
            </w:pPr>
          </w:p>
          <w:p w14:paraId="1F8E0273" w14:textId="77777777" w:rsidR="00E7601E" w:rsidRPr="000B7C06" w:rsidRDefault="00E7601E" w:rsidP="0084747F">
            <w:pPr>
              <w:spacing w:after="60" w:line="264" w:lineRule="auto"/>
              <w:rPr>
                <w:rFonts w:eastAsia="Times New Roman" w:cs="Times New Roman"/>
                <w:bCs/>
                <w:sz w:val="20"/>
                <w:szCs w:val="20"/>
                <w:lang w:val="bg-BG" w:eastAsia="bg-BG"/>
              </w:rPr>
            </w:pPr>
          </w:p>
          <w:p w14:paraId="2600BEFC" w14:textId="77777777" w:rsidR="00E7601E" w:rsidRPr="000B7C06" w:rsidRDefault="00E7601E" w:rsidP="0084747F">
            <w:pPr>
              <w:spacing w:after="60" w:line="264" w:lineRule="auto"/>
              <w:rPr>
                <w:rFonts w:eastAsia="Times New Roman" w:cs="Times New Roman"/>
                <w:bCs/>
                <w:sz w:val="20"/>
                <w:szCs w:val="20"/>
                <w:lang w:val="bg-BG" w:eastAsia="bg-BG"/>
              </w:rPr>
            </w:pPr>
          </w:p>
          <w:p w14:paraId="05AB8EC9" w14:textId="77777777" w:rsidR="00E7601E" w:rsidRPr="000B7C06" w:rsidRDefault="00E7601E" w:rsidP="0084747F">
            <w:pPr>
              <w:spacing w:after="60" w:line="264" w:lineRule="auto"/>
              <w:rPr>
                <w:rFonts w:eastAsia="Times New Roman" w:cs="Times New Roman"/>
                <w:bCs/>
                <w:sz w:val="20"/>
                <w:szCs w:val="20"/>
                <w:lang w:val="bg-BG" w:eastAsia="bg-BG"/>
              </w:rPr>
            </w:pPr>
          </w:p>
          <w:p w14:paraId="21916234" w14:textId="77777777" w:rsidR="00E7601E" w:rsidRPr="000B7C06" w:rsidRDefault="00E7601E" w:rsidP="0084747F">
            <w:pPr>
              <w:spacing w:after="60" w:line="264" w:lineRule="auto"/>
              <w:rPr>
                <w:rFonts w:eastAsia="Times New Roman" w:cs="Times New Roman"/>
                <w:bCs/>
                <w:sz w:val="20"/>
                <w:szCs w:val="20"/>
                <w:lang w:val="bg-BG" w:eastAsia="bg-BG"/>
              </w:rPr>
            </w:pPr>
          </w:p>
          <w:p w14:paraId="61712CAC" w14:textId="77777777" w:rsidR="00E7601E" w:rsidRPr="000B7C06" w:rsidRDefault="00E7601E" w:rsidP="0084747F">
            <w:pPr>
              <w:spacing w:after="60" w:line="264" w:lineRule="auto"/>
              <w:rPr>
                <w:rFonts w:eastAsia="Times New Roman" w:cs="Times New Roman"/>
                <w:bCs/>
                <w:sz w:val="20"/>
                <w:szCs w:val="20"/>
                <w:lang w:val="bg-BG" w:eastAsia="bg-BG"/>
              </w:rPr>
            </w:pPr>
          </w:p>
          <w:p w14:paraId="4DCB9CC6" w14:textId="77777777" w:rsidR="00E7601E" w:rsidRPr="000B7C06" w:rsidRDefault="00E7601E" w:rsidP="0084747F">
            <w:pPr>
              <w:spacing w:after="60" w:line="264" w:lineRule="auto"/>
              <w:rPr>
                <w:rFonts w:eastAsia="Times New Roman" w:cs="Times New Roman"/>
                <w:bCs/>
                <w:sz w:val="20"/>
                <w:szCs w:val="20"/>
                <w:lang w:val="bg-BG" w:eastAsia="bg-BG"/>
              </w:rPr>
            </w:pPr>
          </w:p>
          <w:p w14:paraId="174A2D0D" w14:textId="77777777" w:rsidR="00E7601E" w:rsidRPr="000B7C06" w:rsidRDefault="00E7601E" w:rsidP="0084747F">
            <w:pPr>
              <w:spacing w:after="60" w:line="264" w:lineRule="auto"/>
              <w:rPr>
                <w:rFonts w:eastAsia="Times New Roman" w:cs="Times New Roman"/>
                <w:bCs/>
                <w:sz w:val="20"/>
                <w:szCs w:val="20"/>
                <w:lang w:val="bg-BG" w:eastAsia="bg-BG"/>
              </w:rPr>
            </w:pPr>
          </w:p>
          <w:p w14:paraId="341261DE" w14:textId="77777777" w:rsidR="000B7C06" w:rsidRDefault="000B7C06" w:rsidP="000B7C06">
            <w:pPr>
              <w:spacing w:after="60" w:line="264" w:lineRule="auto"/>
              <w:ind w:firstLine="0"/>
              <w:rPr>
                <w:rFonts w:eastAsia="Times New Roman" w:cs="Times New Roman"/>
                <w:bCs/>
                <w:sz w:val="20"/>
                <w:szCs w:val="20"/>
                <w:lang w:val="bg-BG" w:eastAsia="bg-BG"/>
              </w:rPr>
            </w:pPr>
          </w:p>
          <w:p w14:paraId="13AF0C64" w14:textId="68CDA3D0" w:rsidR="00E7601E" w:rsidRPr="000B7C06" w:rsidRDefault="00E7601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т.5: Препоръката е съобразена при разработване на т.6.2. и т.8 на ДЕО.</w:t>
            </w:r>
          </w:p>
          <w:p w14:paraId="3D7B0270" w14:textId="77777777" w:rsidR="00E7601E" w:rsidRPr="000B7C06" w:rsidRDefault="00E7601E" w:rsidP="0084747F">
            <w:pPr>
              <w:spacing w:after="60" w:line="264" w:lineRule="auto"/>
              <w:rPr>
                <w:rFonts w:cs="Times New Roman"/>
                <w:sz w:val="20"/>
                <w:szCs w:val="20"/>
                <w:lang w:val="bg-BG"/>
              </w:rPr>
            </w:pPr>
          </w:p>
          <w:p w14:paraId="33195FAD" w14:textId="77777777" w:rsidR="002F3100" w:rsidRPr="000B7C06" w:rsidRDefault="002F3100" w:rsidP="0084747F">
            <w:pPr>
              <w:spacing w:after="60" w:line="264" w:lineRule="auto"/>
              <w:rPr>
                <w:rFonts w:cs="Times New Roman"/>
                <w:sz w:val="20"/>
                <w:szCs w:val="20"/>
                <w:lang w:val="bg-BG"/>
              </w:rPr>
            </w:pPr>
          </w:p>
          <w:p w14:paraId="6F783348" w14:textId="77777777" w:rsidR="002F3100" w:rsidRPr="000B7C06" w:rsidRDefault="002F3100" w:rsidP="0084747F">
            <w:pPr>
              <w:spacing w:after="60" w:line="264" w:lineRule="auto"/>
              <w:rPr>
                <w:rFonts w:cs="Times New Roman"/>
                <w:sz w:val="20"/>
                <w:szCs w:val="20"/>
                <w:lang w:val="bg-BG"/>
              </w:rPr>
            </w:pPr>
          </w:p>
          <w:p w14:paraId="71543D46" w14:textId="77777777" w:rsidR="002F3100" w:rsidRPr="000B7C06" w:rsidRDefault="002F3100" w:rsidP="0084747F">
            <w:pPr>
              <w:spacing w:after="60" w:line="264" w:lineRule="auto"/>
              <w:rPr>
                <w:rFonts w:cs="Times New Roman"/>
                <w:sz w:val="20"/>
                <w:szCs w:val="20"/>
                <w:lang w:val="bg-BG"/>
              </w:rPr>
            </w:pPr>
          </w:p>
          <w:p w14:paraId="47BFAAD4" w14:textId="77777777" w:rsidR="002F3100" w:rsidRPr="000B7C06" w:rsidRDefault="002F3100" w:rsidP="0084747F">
            <w:pPr>
              <w:spacing w:after="60" w:line="264" w:lineRule="auto"/>
              <w:rPr>
                <w:rFonts w:cs="Times New Roman"/>
                <w:sz w:val="20"/>
                <w:szCs w:val="20"/>
                <w:lang w:val="bg-BG"/>
              </w:rPr>
            </w:pPr>
          </w:p>
          <w:p w14:paraId="1F095F5C" w14:textId="77777777" w:rsidR="002F3100" w:rsidRPr="000B7C06" w:rsidRDefault="002F3100" w:rsidP="0084747F">
            <w:pPr>
              <w:spacing w:after="60" w:line="264" w:lineRule="auto"/>
              <w:rPr>
                <w:rFonts w:cs="Times New Roman"/>
                <w:sz w:val="20"/>
                <w:szCs w:val="20"/>
                <w:lang w:val="bg-BG"/>
              </w:rPr>
            </w:pPr>
          </w:p>
          <w:p w14:paraId="459C05D1" w14:textId="77777777" w:rsidR="002F3100" w:rsidRPr="000B7C06" w:rsidRDefault="002F3100" w:rsidP="0084747F">
            <w:pPr>
              <w:spacing w:after="60" w:line="264" w:lineRule="auto"/>
              <w:rPr>
                <w:rFonts w:cs="Times New Roman"/>
                <w:sz w:val="20"/>
                <w:szCs w:val="20"/>
                <w:lang w:val="bg-BG"/>
              </w:rPr>
            </w:pPr>
          </w:p>
          <w:p w14:paraId="0D980203" w14:textId="77777777" w:rsidR="002F3100" w:rsidRPr="000B7C06" w:rsidRDefault="002F3100" w:rsidP="0084747F">
            <w:pPr>
              <w:spacing w:after="60" w:line="264" w:lineRule="auto"/>
              <w:rPr>
                <w:rFonts w:cs="Times New Roman"/>
                <w:sz w:val="20"/>
                <w:szCs w:val="20"/>
                <w:lang w:val="bg-BG"/>
              </w:rPr>
            </w:pPr>
          </w:p>
          <w:p w14:paraId="1B91F3D3" w14:textId="77777777" w:rsidR="002F3100" w:rsidRPr="000B7C06" w:rsidRDefault="002F3100" w:rsidP="0084747F">
            <w:pPr>
              <w:spacing w:after="60" w:line="264" w:lineRule="auto"/>
              <w:rPr>
                <w:rFonts w:cs="Times New Roman"/>
                <w:sz w:val="20"/>
                <w:szCs w:val="20"/>
                <w:lang w:val="bg-BG"/>
              </w:rPr>
            </w:pPr>
          </w:p>
          <w:p w14:paraId="4943AB1C" w14:textId="77777777" w:rsidR="002F3100" w:rsidRPr="000B7C06" w:rsidRDefault="002F3100" w:rsidP="0084747F">
            <w:pPr>
              <w:spacing w:after="60" w:line="264" w:lineRule="auto"/>
              <w:rPr>
                <w:rFonts w:cs="Times New Roman"/>
                <w:sz w:val="20"/>
                <w:szCs w:val="20"/>
                <w:lang w:val="bg-BG"/>
              </w:rPr>
            </w:pPr>
          </w:p>
          <w:p w14:paraId="4408399F" w14:textId="77777777" w:rsidR="002F3100" w:rsidRPr="000B7C06" w:rsidRDefault="002F3100" w:rsidP="0084747F">
            <w:pPr>
              <w:spacing w:after="60" w:line="264" w:lineRule="auto"/>
              <w:rPr>
                <w:rFonts w:cs="Times New Roman"/>
                <w:sz w:val="20"/>
                <w:szCs w:val="20"/>
                <w:lang w:val="bg-BG"/>
              </w:rPr>
            </w:pPr>
          </w:p>
          <w:p w14:paraId="0A976A8C" w14:textId="77777777" w:rsidR="002F3100" w:rsidRPr="000B7C06" w:rsidRDefault="002F3100"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т.6: Препоръката е съобразена при разработване на  т.8 на ДЕО.</w:t>
            </w:r>
          </w:p>
          <w:p w14:paraId="6DDF31E8" w14:textId="77777777" w:rsidR="002F3100" w:rsidRPr="000B7C06" w:rsidRDefault="002F3100" w:rsidP="0084747F">
            <w:pPr>
              <w:spacing w:after="60" w:line="264" w:lineRule="auto"/>
              <w:rPr>
                <w:rFonts w:eastAsia="Times New Roman" w:cs="Times New Roman"/>
                <w:bCs/>
                <w:sz w:val="20"/>
                <w:szCs w:val="20"/>
                <w:lang w:val="bg-BG" w:eastAsia="bg-BG"/>
              </w:rPr>
            </w:pPr>
          </w:p>
          <w:p w14:paraId="268A8233" w14:textId="77777777" w:rsidR="002F3100" w:rsidRPr="000B7C06" w:rsidRDefault="002F3100" w:rsidP="0084747F">
            <w:pPr>
              <w:spacing w:after="60" w:line="264" w:lineRule="auto"/>
              <w:rPr>
                <w:rFonts w:eastAsia="Times New Roman" w:cs="Times New Roman"/>
                <w:bCs/>
                <w:sz w:val="20"/>
                <w:szCs w:val="20"/>
                <w:lang w:val="bg-BG" w:eastAsia="bg-BG"/>
              </w:rPr>
            </w:pPr>
          </w:p>
          <w:p w14:paraId="2AB1AE2E" w14:textId="77777777" w:rsidR="002F3100" w:rsidRPr="000B7C06" w:rsidRDefault="002F3100" w:rsidP="0084747F">
            <w:pPr>
              <w:spacing w:after="60" w:line="264" w:lineRule="auto"/>
              <w:rPr>
                <w:rFonts w:eastAsia="Times New Roman" w:cs="Times New Roman"/>
                <w:bCs/>
                <w:sz w:val="20"/>
                <w:szCs w:val="20"/>
                <w:lang w:val="bg-BG" w:eastAsia="bg-BG"/>
              </w:rPr>
            </w:pPr>
          </w:p>
          <w:p w14:paraId="7D73D168" w14:textId="77777777" w:rsidR="002F3100" w:rsidRPr="000B7C06" w:rsidRDefault="002F3100" w:rsidP="0084747F">
            <w:pPr>
              <w:spacing w:after="60" w:line="264" w:lineRule="auto"/>
              <w:rPr>
                <w:rFonts w:eastAsia="Times New Roman" w:cs="Times New Roman"/>
                <w:bCs/>
                <w:sz w:val="20"/>
                <w:szCs w:val="20"/>
                <w:lang w:val="bg-BG" w:eastAsia="bg-BG"/>
              </w:rPr>
            </w:pPr>
          </w:p>
          <w:p w14:paraId="5F35738C" w14:textId="77777777" w:rsidR="002F3100" w:rsidRPr="000B7C06" w:rsidRDefault="002F3100" w:rsidP="0084747F">
            <w:pPr>
              <w:spacing w:after="60" w:line="264" w:lineRule="auto"/>
              <w:rPr>
                <w:rFonts w:eastAsia="Times New Roman" w:cs="Times New Roman"/>
                <w:bCs/>
                <w:sz w:val="20"/>
                <w:szCs w:val="20"/>
                <w:lang w:val="bg-BG" w:eastAsia="bg-BG"/>
              </w:rPr>
            </w:pPr>
          </w:p>
          <w:p w14:paraId="209EA9F0" w14:textId="77777777" w:rsidR="002F3100" w:rsidRPr="000B7C06" w:rsidRDefault="002F3100" w:rsidP="0084747F">
            <w:pPr>
              <w:spacing w:after="60" w:line="264" w:lineRule="auto"/>
              <w:rPr>
                <w:rFonts w:eastAsia="Times New Roman" w:cs="Times New Roman"/>
                <w:bCs/>
                <w:sz w:val="20"/>
                <w:szCs w:val="20"/>
                <w:lang w:val="bg-BG" w:eastAsia="bg-BG"/>
              </w:rPr>
            </w:pPr>
          </w:p>
          <w:p w14:paraId="241DD614" w14:textId="77777777" w:rsidR="000B7C06" w:rsidRDefault="000B7C06" w:rsidP="0084747F">
            <w:pPr>
              <w:spacing w:after="60" w:line="264" w:lineRule="auto"/>
              <w:rPr>
                <w:rFonts w:eastAsia="Times New Roman" w:cs="Times New Roman"/>
                <w:bCs/>
                <w:sz w:val="20"/>
                <w:szCs w:val="20"/>
                <w:lang w:val="bg-BG" w:eastAsia="bg-BG"/>
              </w:rPr>
            </w:pPr>
          </w:p>
          <w:p w14:paraId="01EA1B22" w14:textId="40414C6D" w:rsidR="002F3100" w:rsidRPr="000B7C06" w:rsidRDefault="00811FFE"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 7: Препоръката е съобразена при разработването на т. 4.1.2, т. 4.2, т. 5.2 и т. 5.3, т. 6 и т. 9, т. 11.</w:t>
            </w:r>
          </w:p>
          <w:p w14:paraId="0D1F8AA5" w14:textId="77777777" w:rsidR="002F3100" w:rsidRPr="000B7C06" w:rsidRDefault="002F3100" w:rsidP="0084747F">
            <w:pPr>
              <w:spacing w:after="60" w:line="264" w:lineRule="auto"/>
              <w:rPr>
                <w:rFonts w:eastAsia="Times New Roman" w:cs="Times New Roman"/>
                <w:bCs/>
                <w:sz w:val="20"/>
                <w:szCs w:val="20"/>
                <w:lang w:val="bg-BG" w:eastAsia="bg-BG"/>
              </w:rPr>
            </w:pPr>
          </w:p>
          <w:p w14:paraId="0E16A4A1" w14:textId="77777777" w:rsidR="002F3100" w:rsidRPr="000B7C06" w:rsidRDefault="002F3100" w:rsidP="0084747F">
            <w:pPr>
              <w:spacing w:after="60" w:line="264" w:lineRule="auto"/>
              <w:rPr>
                <w:rFonts w:eastAsia="Times New Roman" w:cs="Times New Roman"/>
                <w:bCs/>
                <w:sz w:val="20"/>
                <w:szCs w:val="20"/>
                <w:lang w:val="bg-BG" w:eastAsia="bg-BG"/>
              </w:rPr>
            </w:pPr>
          </w:p>
          <w:p w14:paraId="15B65FF1" w14:textId="77777777" w:rsidR="002F3100" w:rsidRPr="000B7C06" w:rsidRDefault="002F3100" w:rsidP="0084747F">
            <w:pPr>
              <w:spacing w:after="60" w:line="264" w:lineRule="auto"/>
              <w:rPr>
                <w:rFonts w:eastAsia="Times New Roman" w:cs="Times New Roman"/>
                <w:bCs/>
                <w:sz w:val="20"/>
                <w:szCs w:val="20"/>
                <w:lang w:val="bg-BG" w:eastAsia="bg-BG"/>
              </w:rPr>
            </w:pPr>
          </w:p>
          <w:p w14:paraId="108B5245" w14:textId="77777777" w:rsidR="002F3100" w:rsidRPr="000B7C06" w:rsidRDefault="002F3100" w:rsidP="0084747F">
            <w:pPr>
              <w:spacing w:after="60" w:line="264" w:lineRule="auto"/>
              <w:rPr>
                <w:rFonts w:eastAsia="Times New Roman" w:cs="Times New Roman"/>
                <w:bCs/>
                <w:sz w:val="20"/>
                <w:szCs w:val="20"/>
                <w:lang w:val="bg-BG" w:eastAsia="bg-BG"/>
              </w:rPr>
            </w:pPr>
          </w:p>
          <w:p w14:paraId="4BDFD541" w14:textId="77777777" w:rsidR="002F3100" w:rsidRPr="000B7C06" w:rsidRDefault="002F3100" w:rsidP="0084747F">
            <w:pPr>
              <w:spacing w:after="60" w:line="264" w:lineRule="auto"/>
              <w:rPr>
                <w:rFonts w:eastAsia="Times New Roman" w:cs="Times New Roman"/>
                <w:bCs/>
                <w:sz w:val="20"/>
                <w:szCs w:val="20"/>
                <w:lang w:val="bg-BG" w:eastAsia="bg-BG"/>
              </w:rPr>
            </w:pPr>
          </w:p>
          <w:p w14:paraId="6504F8F0" w14:textId="77777777" w:rsidR="002F3100" w:rsidRPr="000B7C06" w:rsidRDefault="002F3100" w:rsidP="0084747F">
            <w:pPr>
              <w:spacing w:after="60" w:line="264" w:lineRule="auto"/>
              <w:rPr>
                <w:rFonts w:eastAsia="Times New Roman" w:cs="Times New Roman"/>
                <w:bCs/>
                <w:sz w:val="20"/>
                <w:szCs w:val="20"/>
                <w:lang w:val="bg-BG" w:eastAsia="bg-BG"/>
              </w:rPr>
            </w:pPr>
          </w:p>
          <w:p w14:paraId="0ACEFAF0" w14:textId="77777777" w:rsidR="002F3100" w:rsidRPr="000B7C06" w:rsidRDefault="002F3100" w:rsidP="0084747F">
            <w:pPr>
              <w:spacing w:after="60" w:line="264" w:lineRule="auto"/>
              <w:rPr>
                <w:rFonts w:eastAsia="Times New Roman" w:cs="Times New Roman"/>
                <w:bCs/>
                <w:sz w:val="20"/>
                <w:szCs w:val="20"/>
                <w:lang w:val="bg-BG" w:eastAsia="bg-BG"/>
              </w:rPr>
            </w:pPr>
          </w:p>
          <w:p w14:paraId="417D844E" w14:textId="77777777" w:rsidR="002F3100" w:rsidRPr="000B7C06" w:rsidRDefault="002F3100" w:rsidP="0084747F">
            <w:pPr>
              <w:spacing w:after="60" w:line="264" w:lineRule="auto"/>
              <w:rPr>
                <w:rFonts w:eastAsia="Times New Roman" w:cs="Times New Roman"/>
                <w:bCs/>
                <w:sz w:val="20"/>
                <w:szCs w:val="20"/>
                <w:lang w:val="bg-BG" w:eastAsia="bg-BG"/>
              </w:rPr>
            </w:pPr>
          </w:p>
          <w:p w14:paraId="07498A3E" w14:textId="77777777" w:rsidR="00811FFE" w:rsidRPr="000B7C06" w:rsidRDefault="00811FFE" w:rsidP="0084747F">
            <w:pPr>
              <w:spacing w:after="60" w:line="264" w:lineRule="auto"/>
              <w:rPr>
                <w:rFonts w:eastAsia="Times New Roman" w:cs="Times New Roman"/>
                <w:bCs/>
                <w:sz w:val="20"/>
                <w:szCs w:val="20"/>
                <w:lang w:val="bg-BG" w:eastAsia="bg-BG"/>
              </w:rPr>
            </w:pPr>
          </w:p>
          <w:p w14:paraId="2B492133" w14:textId="77777777" w:rsidR="00811FFE" w:rsidRPr="000B7C06" w:rsidRDefault="00811FFE" w:rsidP="0084747F">
            <w:pPr>
              <w:spacing w:after="60" w:line="264" w:lineRule="auto"/>
              <w:rPr>
                <w:rFonts w:eastAsia="Times New Roman" w:cs="Times New Roman"/>
                <w:bCs/>
                <w:sz w:val="20"/>
                <w:szCs w:val="20"/>
                <w:lang w:val="bg-BG" w:eastAsia="bg-BG"/>
              </w:rPr>
            </w:pPr>
          </w:p>
          <w:p w14:paraId="2F8B6F9B" w14:textId="77777777" w:rsidR="00812368" w:rsidRPr="000B7C06" w:rsidRDefault="00812368" w:rsidP="000B7C06">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По т.8: Препоръката е съобразена при разработване на т.6.2. и т.8 на ДЕО.</w:t>
            </w:r>
          </w:p>
          <w:p w14:paraId="13454B21" w14:textId="77777777" w:rsidR="002F3100" w:rsidRPr="000B7C06" w:rsidRDefault="002F3100" w:rsidP="0084747F">
            <w:pPr>
              <w:spacing w:after="60" w:line="264" w:lineRule="auto"/>
              <w:rPr>
                <w:rFonts w:eastAsia="Times New Roman" w:cs="Times New Roman"/>
                <w:bCs/>
                <w:sz w:val="20"/>
                <w:szCs w:val="20"/>
                <w:lang w:val="bg-BG" w:eastAsia="bg-BG"/>
              </w:rPr>
            </w:pPr>
          </w:p>
          <w:p w14:paraId="645FDED8" w14:textId="77777777" w:rsidR="002F3100" w:rsidRPr="000B7C06" w:rsidRDefault="002F3100" w:rsidP="0084747F">
            <w:pPr>
              <w:spacing w:after="60" w:line="264" w:lineRule="auto"/>
              <w:rPr>
                <w:rFonts w:eastAsia="Times New Roman" w:cs="Times New Roman"/>
                <w:bCs/>
                <w:sz w:val="20"/>
                <w:szCs w:val="20"/>
                <w:lang w:val="bg-BG" w:eastAsia="bg-BG"/>
              </w:rPr>
            </w:pPr>
          </w:p>
          <w:p w14:paraId="4CF4E49A" w14:textId="77777777" w:rsidR="002F3100" w:rsidRPr="000B7C06" w:rsidRDefault="002F3100" w:rsidP="0084747F">
            <w:pPr>
              <w:spacing w:after="60" w:line="264" w:lineRule="auto"/>
              <w:rPr>
                <w:rFonts w:cs="Times New Roman"/>
                <w:sz w:val="20"/>
                <w:szCs w:val="20"/>
                <w:lang w:val="bg-BG"/>
              </w:rPr>
            </w:pPr>
          </w:p>
        </w:tc>
      </w:tr>
      <w:tr w:rsidR="00706B92" w:rsidRPr="000B7C06" w14:paraId="7A36FB15" w14:textId="77777777" w:rsidTr="0064445A">
        <w:tc>
          <w:tcPr>
            <w:tcW w:w="2547" w:type="dxa"/>
          </w:tcPr>
          <w:p w14:paraId="21432AB8"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ОДЗ - Кюстендил</w:t>
            </w:r>
          </w:p>
        </w:tc>
        <w:tc>
          <w:tcPr>
            <w:tcW w:w="1984" w:type="dxa"/>
          </w:tcPr>
          <w:p w14:paraId="28CA9C2D" w14:textId="77777777"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РД-12-01-22-1/ 09.02.2022г.</w:t>
            </w:r>
          </w:p>
        </w:tc>
        <w:tc>
          <w:tcPr>
            <w:tcW w:w="5670" w:type="dxa"/>
          </w:tcPr>
          <w:p w14:paraId="7FD64130"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Анализът в Стратегическия план за развитие на земеделието и селските райони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 е извършен на база взети данни до 2019 година, изнесени в Национален доклад за състоянието и опазването на околната среда в </w:t>
            </w:r>
            <w:proofErr w:type="spellStart"/>
            <w:r w:rsidRPr="000B7C06">
              <w:rPr>
                <w:rFonts w:cs="Times New Roman"/>
                <w:sz w:val="20"/>
                <w:szCs w:val="20"/>
                <w:lang w:val="bg-BG"/>
              </w:rPr>
              <w:t>РБългария</w:t>
            </w:r>
            <w:proofErr w:type="spellEnd"/>
            <w:r w:rsidRPr="000B7C06">
              <w:rPr>
                <w:rFonts w:cs="Times New Roman"/>
                <w:sz w:val="20"/>
                <w:szCs w:val="20"/>
                <w:lang w:val="bg-BG"/>
              </w:rPr>
              <w:t xml:space="preserve"> за 2019 г. (Докладът е приет </w:t>
            </w:r>
            <w:proofErr w:type="spellStart"/>
            <w:r w:rsidRPr="000B7C06">
              <w:rPr>
                <w:rFonts w:cs="Times New Roman"/>
                <w:sz w:val="20"/>
                <w:szCs w:val="20"/>
                <w:lang w:val="bg-BG"/>
              </w:rPr>
              <w:t>иа</w:t>
            </w:r>
            <w:proofErr w:type="spellEnd"/>
            <w:r w:rsidRPr="000B7C06">
              <w:rPr>
                <w:rFonts w:cs="Times New Roman"/>
                <w:sz w:val="20"/>
                <w:szCs w:val="20"/>
                <w:lang w:val="bg-BG"/>
              </w:rPr>
              <w:t xml:space="preserve"> заседание на Министерския съвет на 26.05.2021 г.). Не е застъпен периода от 2020 година до момента, който включва извънредната епидемична обстановка, силно повлияла на климатичните промени и замърсяването на околната среда. ОДЗ-Кюстендил изразява съгласие с така предоставения стратегически план.</w:t>
            </w:r>
          </w:p>
        </w:tc>
        <w:tc>
          <w:tcPr>
            <w:tcW w:w="4395" w:type="dxa"/>
          </w:tcPr>
          <w:p w14:paraId="598FBC48" w14:textId="77777777" w:rsidR="00706B92" w:rsidRPr="000B7C06" w:rsidRDefault="006D62CD"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Препоръката е съобразена, като са използвани актуални налични официални данни по отношение на компоненти и фактори на околната среда към момента на разработването на ДЕО.</w:t>
            </w:r>
          </w:p>
        </w:tc>
      </w:tr>
      <w:tr w:rsidR="00706B92" w:rsidRPr="000B7C06" w14:paraId="56EB6DBF" w14:textId="77777777" w:rsidTr="0064445A">
        <w:tc>
          <w:tcPr>
            <w:tcW w:w="2547" w:type="dxa"/>
          </w:tcPr>
          <w:p w14:paraId="2A4B482C"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 xml:space="preserve">ОДЗ </w:t>
            </w:r>
            <w:r w:rsidR="006D62CD" w:rsidRPr="000B7C06">
              <w:rPr>
                <w:rFonts w:cs="Times New Roman"/>
                <w:b/>
                <w:bCs/>
                <w:sz w:val="20"/>
                <w:szCs w:val="20"/>
                <w:lang w:val="bg-BG"/>
              </w:rPr>
              <w:t>–</w:t>
            </w:r>
            <w:r w:rsidRPr="000B7C06">
              <w:rPr>
                <w:rFonts w:cs="Times New Roman"/>
                <w:b/>
                <w:bCs/>
                <w:sz w:val="20"/>
                <w:szCs w:val="20"/>
                <w:lang w:val="bg-BG"/>
              </w:rPr>
              <w:t xml:space="preserve"> Плевен</w:t>
            </w:r>
          </w:p>
        </w:tc>
        <w:tc>
          <w:tcPr>
            <w:tcW w:w="1984" w:type="dxa"/>
          </w:tcPr>
          <w:p w14:paraId="50104155" w14:textId="55727368" w:rsidR="00706B92" w:rsidRPr="000B7C06" w:rsidRDefault="00706B92" w:rsidP="000B7C06">
            <w:pPr>
              <w:spacing w:after="60" w:line="264" w:lineRule="auto"/>
              <w:ind w:firstLine="0"/>
              <w:rPr>
                <w:rFonts w:cs="Times New Roman"/>
                <w:sz w:val="20"/>
                <w:szCs w:val="20"/>
                <w:lang w:val="bg-BG"/>
              </w:rPr>
            </w:pPr>
            <w:r w:rsidRPr="000B7C06">
              <w:rPr>
                <w:rFonts w:cs="Times New Roman"/>
                <w:sz w:val="20"/>
                <w:szCs w:val="20"/>
                <w:lang w:val="bg-BG"/>
              </w:rPr>
              <w:t>РД-12-01-6-1/21.01.2022г.</w:t>
            </w:r>
          </w:p>
        </w:tc>
        <w:tc>
          <w:tcPr>
            <w:tcW w:w="5670" w:type="dxa"/>
          </w:tcPr>
          <w:p w14:paraId="1AA72D47"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ОД „Земеделие“ - Плевен, няма конкретни възражения и предложения по заданието за определяне на обхвата и съдържанието по доклада за стратегическата оценка, доколкото същия е съобразен, както с националното, така и с европейското законодателство, и обхваща всички аспекти по прилагането на Общата селскостопанска политика.</w:t>
            </w:r>
          </w:p>
        </w:tc>
        <w:tc>
          <w:tcPr>
            <w:tcW w:w="4395" w:type="dxa"/>
          </w:tcPr>
          <w:p w14:paraId="1A80B6A4" w14:textId="77777777" w:rsidR="00706B92" w:rsidRPr="000B7C06" w:rsidRDefault="006D62CD" w:rsidP="000B7C06">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706B92" w:rsidRPr="000B7C06" w14:paraId="753150ED" w14:textId="77777777" w:rsidTr="0064445A">
        <w:tc>
          <w:tcPr>
            <w:tcW w:w="2547" w:type="dxa"/>
          </w:tcPr>
          <w:p w14:paraId="20DE0CC2" w14:textId="77777777" w:rsidR="00706B92" w:rsidRPr="000B7C06" w:rsidRDefault="00706B92" w:rsidP="000B7C06">
            <w:pPr>
              <w:spacing w:after="60" w:line="264" w:lineRule="auto"/>
              <w:ind w:firstLine="0"/>
              <w:rPr>
                <w:rFonts w:cs="Times New Roman"/>
                <w:b/>
                <w:bCs/>
                <w:sz w:val="20"/>
                <w:szCs w:val="20"/>
                <w:lang w:val="bg-BG"/>
              </w:rPr>
            </w:pPr>
            <w:r w:rsidRPr="000B7C06">
              <w:rPr>
                <w:rFonts w:cs="Times New Roman"/>
                <w:b/>
                <w:bCs/>
                <w:sz w:val="20"/>
                <w:szCs w:val="20"/>
                <w:lang w:val="bg-BG"/>
              </w:rPr>
              <w:t>ОДЗ-Пловдив</w:t>
            </w:r>
          </w:p>
        </w:tc>
        <w:tc>
          <w:tcPr>
            <w:tcW w:w="1984" w:type="dxa"/>
          </w:tcPr>
          <w:p w14:paraId="019C3630"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РД-12-01-13-7/</w:t>
            </w:r>
          </w:p>
          <w:p w14:paraId="60D77C65"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11.02.2022г.</w:t>
            </w:r>
          </w:p>
        </w:tc>
        <w:tc>
          <w:tcPr>
            <w:tcW w:w="5670" w:type="dxa"/>
          </w:tcPr>
          <w:p w14:paraId="45CC07EF"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t xml:space="preserve">Нашите </w:t>
            </w:r>
            <w:proofErr w:type="spellStart"/>
            <w:r w:rsidRPr="00A778F2">
              <w:rPr>
                <w:rFonts w:cs="Times New Roman"/>
                <w:sz w:val="20"/>
                <w:szCs w:val="20"/>
                <w:lang w:val="bg-BG"/>
              </w:rPr>
              <w:t>предлажения</w:t>
            </w:r>
            <w:proofErr w:type="spellEnd"/>
            <w:r w:rsidRPr="00A778F2">
              <w:rPr>
                <w:rFonts w:cs="Times New Roman"/>
                <w:sz w:val="20"/>
                <w:szCs w:val="20"/>
                <w:lang w:val="bg-BG"/>
              </w:rPr>
              <w:t xml:space="preserve"> към</w:t>
            </w:r>
            <w:r w:rsidRPr="00A778F2">
              <w:rPr>
                <w:rFonts w:cs="Times New Roman"/>
                <w:sz w:val="20"/>
                <w:szCs w:val="20"/>
                <w:lang w:val="bg-BG"/>
              </w:rPr>
              <w:tab/>
              <w:t>специфичните</w:t>
            </w:r>
            <w:r w:rsidR="009417CF" w:rsidRPr="00A778F2">
              <w:rPr>
                <w:rFonts w:cs="Times New Roman"/>
                <w:sz w:val="20"/>
                <w:szCs w:val="20"/>
                <w:lang w:val="bg-BG"/>
              </w:rPr>
              <w:t xml:space="preserve"> </w:t>
            </w:r>
            <w:r w:rsidRPr="00A778F2">
              <w:rPr>
                <w:rFonts w:cs="Times New Roman"/>
                <w:sz w:val="20"/>
                <w:szCs w:val="20"/>
                <w:lang w:val="bg-BG"/>
              </w:rPr>
              <w:t>цели</w:t>
            </w:r>
            <w:r w:rsidR="009417CF" w:rsidRPr="00A778F2">
              <w:rPr>
                <w:rFonts w:cs="Times New Roman"/>
                <w:sz w:val="20"/>
                <w:szCs w:val="20"/>
                <w:lang w:val="bg-BG"/>
              </w:rPr>
              <w:t xml:space="preserve"> </w:t>
            </w:r>
            <w:r w:rsidRPr="00A778F2">
              <w:rPr>
                <w:rFonts w:cs="Times New Roman"/>
                <w:sz w:val="20"/>
                <w:szCs w:val="20"/>
                <w:lang w:val="bg-BG"/>
              </w:rPr>
              <w:t>в земеделския</w:t>
            </w:r>
            <w:r w:rsidR="009417CF" w:rsidRPr="00A778F2">
              <w:rPr>
                <w:rFonts w:cs="Times New Roman"/>
                <w:sz w:val="20"/>
                <w:szCs w:val="20"/>
                <w:lang w:val="bg-BG"/>
              </w:rPr>
              <w:t xml:space="preserve"> </w:t>
            </w:r>
            <w:r w:rsidRPr="00A778F2">
              <w:rPr>
                <w:rFonts w:cs="Times New Roman"/>
                <w:sz w:val="20"/>
                <w:szCs w:val="20"/>
                <w:lang w:val="bg-BG"/>
              </w:rPr>
              <w:t>сектор</w:t>
            </w:r>
            <w:r w:rsidRPr="00A778F2">
              <w:rPr>
                <w:rFonts w:cs="Times New Roman"/>
                <w:sz w:val="20"/>
                <w:szCs w:val="20"/>
                <w:lang w:val="bg-BG"/>
              </w:rPr>
              <w:tab/>
              <w:t>да</w:t>
            </w:r>
            <w:r w:rsidR="009417CF" w:rsidRPr="00A778F2">
              <w:rPr>
                <w:rFonts w:cs="Times New Roman"/>
                <w:sz w:val="20"/>
                <w:szCs w:val="20"/>
                <w:lang w:val="bg-BG"/>
              </w:rPr>
              <w:t xml:space="preserve"> </w:t>
            </w:r>
            <w:r w:rsidRPr="00A778F2">
              <w:rPr>
                <w:rFonts w:cs="Times New Roman"/>
                <w:sz w:val="20"/>
                <w:szCs w:val="20"/>
                <w:lang w:val="bg-BG"/>
              </w:rPr>
              <w:t>са насочени по-конкретно към:</w:t>
            </w:r>
          </w:p>
          <w:p w14:paraId="3F592794"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t>- Осигуряване на справедливи</w:t>
            </w:r>
            <w:r w:rsidRPr="00A778F2">
              <w:rPr>
                <w:rFonts w:cs="Times New Roman"/>
                <w:sz w:val="20"/>
                <w:szCs w:val="20"/>
                <w:lang w:val="bg-BG"/>
              </w:rPr>
              <w:tab/>
              <w:t>условия, стабилно икономическо</w:t>
            </w:r>
            <w:r w:rsidRPr="00A778F2">
              <w:rPr>
                <w:rFonts w:cs="Times New Roman"/>
                <w:sz w:val="20"/>
                <w:szCs w:val="20"/>
                <w:lang w:val="bg-BG"/>
              </w:rPr>
              <w:tab/>
              <w:t>бъдеще</w:t>
            </w:r>
            <w:r w:rsidRPr="00A778F2">
              <w:rPr>
                <w:rFonts w:cs="Times New Roman"/>
                <w:sz w:val="20"/>
                <w:szCs w:val="20"/>
                <w:lang w:val="bg-BG"/>
              </w:rPr>
              <w:tab/>
              <w:t>за земеделските стопани и гарантиране на продоволствената сигурност чрез облекчени условия при кредитиране, или създаване на фонд обслужващ единствено земеделските стопани.</w:t>
            </w:r>
          </w:p>
          <w:p w14:paraId="5A5024BE"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lastRenderedPageBreak/>
              <w:t>- Грижи за околната среда и действията в областта на климата чрез опазване и създаване на характеристики на ландшафта, като дървета или групи дървета с цел предпазване от бури и други явления, поддържане н засяване на тревни смески.</w:t>
            </w:r>
          </w:p>
          <w:p w14:paraId="4F9E6DE8"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t>- Устойчиво управление на горските земи и залесяването, строг контрол на изсичането.</w:t>
            </w:r>
          </w:p>
          <w:p w14:paraId="0BEB31CE"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t>- Подобряване на хидромелиоративната система, рехабилитация на съществуващата мрежа за напояване – осигуряване на вода за напояване, повторно използване на вода и ефективни напоителни системи.</w:t>
            </w:r>
          </w:p>
          <w:p w14:paraId="58E25B1D" w14:textId="77777777" w:rsidR="00706B92" w:rsidRPr="00A778F2" w:rsidRDefault="00706B92" w:rsidP="0084747F">
            <w:pPr>
              <w:spacing w:after="60" w:line="264" w:lineRule="auto"/>
              <w:rPr>
                <w:rFonts w:cs="Times New Roman"/>
                <w:sz w:val="20"/>
                <w:szCs w:val="20"/>
                <w:lang w:val="bg-BG"/>
              </w:rPr>
            </w:pPr>
            <w:r w:rsidRPr="00A778F2">
              <w:rPr>
                <w:rFonts w:cs="Times New Roman"/>
                <w:sz w:val="20"/>
                <w:szCs w:val="20"/>
                <w:lang w:val="bg-BG"/>
              </w:rPr>
              <w:t>- Запазване на централното място на селското стопанство чрез укрепване на социално-икономическата структура на селските райони, стратегически и дългосрочни инвестиции в инфраструктура – пътища и канализационни системи в селските райони, и услуги свързани с предоставяне на медицински грижи, образование със земеделска насоченост и свободно време.</w:t>
            </w:r>
          </w:p>
          <w:p w14:paraId="7ECE58F9" w14:textId="77777777" w:rsidR="00706B92" w:rsidRPr="00A778F2" w:rsidRDefault="00706B92" w:rsidP="0084747F">
            <w:pPr>
              <w:widowControl w:val="0"/>
              <w:spacing w:after="60" w:line="264" w:lineRule="auto"/>
              <w:ind w:left="20" w:right="20"/>
              <w:rPr>
                <w:rFonts w:cs="Times New Roman"/>
                <w:sz w:val="20"/>
                <w:szCs w:val="20"/>
                <w:lang w:val="bg-BG"/>
              </w:rPr>
            </w:pPr>
            <w:r w:rsidRPr="00A778F2">
              <w:rPr>
                <w:rFonts w:cs="Times New Roman"/>
                <w:sz w:val="20"/>
                <w:szCs w:val="20"/>
                <w:lang w:val="bg-BG"/>
              </w:rPr>
              <w:t>- Прилагане на прецизно земеделие чрез контролирано използване на пестициди,</w:t>
            </w:r>
            <w:r w:rsidRPr="00A778F2">
              <w:rPr>
                <w:rFonts w:cs="Times New Roman"/>
                <w:sz w:val="20"/>
                <w:szCs w:val="20"/>
                <w:lang w:val="bg-BG"/>
              </w:rPr>
              <w:br/>
              <w:t>което би подобрило качеството на здравето и живота.</w:t>
            </w:r>
          </w:p>
          <w:p w14:paraId="4D3848CF" w14:textId="77777777" w:rsidR="00706B92" w:rsidRPr="00A778F2" w:rsidRDefault="00706B92" w:rsidP="0084747F">
            <w:pPr>
              <w:widowControl w:val="0"/>
              <w:spacing w:after="60" w:line="264" w:lineRule="auto"/>
              <w:ind w:left="20" w:right="20"/>
              <w:rPr>
                <w:rFonts w:cs="Times New Roman"/>
                <w:sz w:val="20"/>
                <w:szCs w:val="20"/>
                <w:lang w:val="bg-BG"/>
              </w:rPr>
            </w:pPr>
            <w:r w:rsidRPr="00A778F2">
              <w:rPr>
                <w:rFonts w:cs="Times New Roman"/>
                <w:sz w:val="20"/>
                <w:szCs w:val="20"/>
                <w:lang w:val="bg-BG"/>
              </w:rPr>
              <w:t>- Ограничаване вноса на вносни суровини - животински продукти, храни и растения, стимулиране на местното производство с цел разрастване на хранително-вкусовата промишленост.</w:t>
            </w:r>
          </w:p>
          <w:p w14:paraId="034E0CE3" w14:textId="77777777" w:rsidR="00706B92" w:rsidRPr="00A778F2" w:rsidRDefault="00706B92" w:rsidP="0084747F">
            <w:pPr>
              <w:widowControl w:val="0"/>
              <w:spacing w:after="60" w:line="264" w:lineRule="auto"/>
              <w:ind w:left="20" w:right="20"/>
              <w:rPr>
                <w:rFonts w:cs="Times New Roman"/>
                <w:sz w:val="20"/>
                <w:szCs w:val="20"/>
                <w:lang w:val="bg-BG"/>
              </w:rPr>
            </w:pPr>
            <w:r w:rsidRPr="00A778F2">
              <w:rPr>
                <w:rFonts w:cs="Times New Roman"/>
                <w:sz w:val="20"/>
                <w:szCs w:val="20"/>
                <w:lang w:val="bg-BG"/>
              </w:rPr>
              <w:lastRenderedPageBreak/>
              <w:t>- Привличане на млади фермери чрез подходящо заплащане и подобряване условията на труд - автоматизация, механизация на производствените процеси.</w:t>
            </w:r>
          </w:p>
          <w:p w14:paraId="64511237" w14:textId="77777777" w:rsidR="00706B92" w:rsidRPr="00A778F2" w:rsidRDefault="00706B92" w:rsidP="0084747F">
            <w:pPr>
              <w:widowControl w:val="0"/>
              <w:spacing w:after="60" w:line="264" w:lineRule="auto"/>
              <w:ind w:left="20" w:right="20"/>
              <w:rPr>
                <w:rFonts w:cs="Times New Roman"/>
                <w:sz w:val="20"/>
                <w:szCs w:val="20"/>
                <w:lang w:val="bg-BG"/>
              </w:rPr>
            </w:pPr>
            <w:r w:rsidRPr="00A778F2">
              <w:rPr>
                <w:rFonts w:cs="Times New Roman"/>
                <w:sz w:val="20"/>
                <w:szCs w:val="20"/>
                <w:lang w:val="bg-BG"/>
              </w:rPr>
              <w:t xml:space="preserve">- Промяна в преките плащания на хектар, които земеделският производител получава за поддържане на земята в добро състояние са по-ниски от </w:t>
            </w:r>
            <w:proofErr w:type="spellStart"/>
            <w:r w:rsidRPr="00A778F2">
              <w:rPr>
                <w:rFonts w:cs="Times New Roman"/>
                <w:sz w:val="20"/>
                <w:szCs w:val="20"/>
                <w:lang w:val="bg-BG"/>
              </w:rPr>
              <w:t>наемаза</w:t>
            </w:r>
            <w:proofErr w:type="spellEnd"/>
            <w:r w:rsidR="009417CF" w:rsidRPr="00A778F2">
              <w:rPr>
                <w:rFonts w:cs="Times New Roman"/>
                <w:sz w:val="20"/>
                <w:szCs w:val="20"/>
                <w:lang w:val="bg-BG"/>
              </w:rPr>
              <w:t xml:space="preserve"> </w:t>
            </w:r>
            <w:r w:rsidRPr="00A778F2">
              <w:rPr>
                <w:rFonts w:cs="Times New Roman"/>
                <w:sz w:val="20"/>
                <w:szCs w:val="20"/>
                <w:lang w:val="bg-BG"/>
              </w:rPr>
              <w:t>ползването на площите.</w:t>
            </w:r>
          </w:p>
          <w:p w14:paraId="1534B934" w14:textId="77777777" w:rsidR="00706B92" w:rsidRPr="00A778F2" w:rsidRDefault="00706B92" w:rsidP="0084747F">
            <w:pPr>
              <w:widowControl w:val="0"/>
              <w:spacing w:after="60" w:line="264" w:lineRule="auto"/>
              <w:ind w:left="20" w:right="20"/>
              <w:rPr>
                <w:rFonts w:cs="Times New Roman"/>
                <w:sz w:val="20"/>
                <w:szCs w:val="20"/>
                <w:lang w:val="bg-BG"/>
              </w:rPr>
            </w:pPr>
            <w:r w:rsidRPr="00A778F2">
              <w:rPr>
                <w:rFonts w:cs="Times New Roman"/>
                <w:sz w:val="20"/>
                <w:szCs w:val="20"/>
                <w:lang w:val="bg-BG"/>
              </w:rPr>
              <w:t>- Предлагаме да има директно плащане на пчелно семейство за опрашване, както и да се предоставя обвързана подкрепа на пчелно семейство</w:t>
            </w:r>
          </w:p>
          <w:p w14:paraId="22B1B59E" w14:textId="77777777" w:rsidR="00706B92" w:rsidRPr="000B7C06" w:rsidRDefault="00706B92" w:rsidP="0084747F">
            <w:pPr>
              <w:widowControl w:val="0"/>
              <w:spacing w:after="60" w:line="264" w:lineRule="auto"/>
              <w:ind w:left="20" w:right="20"/>
              <w:rPr>
                <w:rFonts w:cs="Times New Roman"/>
                <w:sz w:val="20"/>
                <w:szCs w:val="20"/>
                <w:highlight w:val="yellow"/>
                <w:lang w:val="bg-BG"/>
              </w:rPr>
            </w:pPr>
            <w:r w:rsidRPr="00A778F2">
              <w:rPr>
                <w:rFonts w:cs="Times New Roman"/>
                <w:sz w:val="20"/>
                <w:szCs w:val="20"/>
                <w:lang w:val="bg-BG"/>
              </w:rPr>
              <w:t>Обхватът на защитените</w:t>
            </w:r>
            <w:r w:rsidRPr="000B7C06">
              <w:rPr>
                <w:rFonts w:cs="Times New Roman"/>
                <w:sz w:val="20"/>
                <w:szCs w:val="20"/>
                <w:lang w:val="bg-BG"/>
              </w:rPr>
              <w:t xml:space="preserve"> зони да бъде прецизиран и се намери баланс между действия в областта на околната среда и осигуряване на финансова стабилност на земеделските стопани.</w:t>
            </w:r>
          </w:p>
        </w:tc>
        <w:tc>
          <w:tcPr>
            <w:tcW w:w="4395" w:type="dxa"/>
          </w:tcPr>
          <w:p w14:paraId="16912AF1" w14:textId="77777777" w:rsidR="009417CF" w:rsidRPr="000B7C06" w:rsidRDefault="009417CF" w:rsidP="0084747F">
            <w:pPr>
              <w:spacing w:after="60" w:line="264" w:lineRule="auto"/>
              <w:rPr>
                <w:rFonts w:eastAsia="Times New Roman" w:cs="Times New Roman"/>
                <w:bCs/>
                <w:sz w:val="20"/>
                <w:szCs w:val="20"/>
                <w:lang w:val="bg-BG" w:eastAsia="bg-BG"/>
              </w:rPr>
            </w:pPr>
          </w:p>
          <w:p w14:paraId="79329284" w14:textId="50FA8B78" w:rsidR="00D278C8" w:rsidRPr="000B7C06" w:rsidRDefault="009417C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Становището не съдържа бележки и препоръки към ДЕО.</w:t>
            </w:r>
            <w:r w:rsidR="004371D4">
              <w:rPr>
                <w:rFonts w:eastAsia="Times New Roman" w:cs="Times New Roman"/>
                <w:bCs/>
                <w:sz w:val="20"/>
                <w:szCs w:val="20"/>
                <w:lang w:val="bg-BG" w:eastAsia="bg-BG"/>
              </w:rPr>
              <w:t xml:space="preserve"> </w:t>
            </w:r>
            <w:r w:rsidRPr="000B7C06">
              <w:rPr>
                <w:rFonts w:eastAsia="Times New Roman" w:cs="Times New Roman"/>
                <w:bCs/>
                <w:sz w:val="20"/>
                <w:szCs w:val="20"/>
                <w:lang w:val="bg-BG" w:eastAsia="bg-BG"/>
              </w:rPr>
              <w:t xml:space="preserve">Направените предложения в становището, касаят обхвата и съдържанието на </w:t>
            </w:r>
            <w:r w:rsidR="00CD4045" w:rsidRPr="000B7C06">
              <w:rPr>
                <w:rFonts w:eastAsia="Times New Roman" w:cs="Times New Roman"/>
                <w:bCs/>
                <w:sz w:val="20"/>
                <w:szCs w:val="20"/>
                <w:lang w:val="bg-BG" w:eastAsia="bg-BG"/>
              </w:rPr>
              <w:t>СПРЗСР</w:t>
            </w:r>
            <w:r w:rsidRPr="000B7C06">
              <w:rPr>
                <w:rFonts w:eastAsia="Times New Roman" w:cs="Times New Roman"/>
                <w:bCs/>
                <w:sz w:val="20"/>
                <w:szCs w:val="20"/>
                <w:lang w:val="bg-BG" w:eastAsia="bg-BG"/>
              </w:rPr>
              <w:t>.</w:t>
            </w:r>
            <w:r w:rsidR="009D712F" w:rsidRPr="000B7C06">
              <w:rPr>
                <w:rFonts w:eastAsia="Times New Roman" w:cs="Times New Roman"/>
                <w:bCs/>
                <w:sz w:val="20"/>
                <w:szCs w:val="20"/>
                <w:lang w:val="bg-BG" w:eastAsia="bg-BG"/>
              </w:rPr>
              <w:t xml:space="preserve"> Относно искането за обхвата на защитените зони, то  същият е съобразно официално приетият нормативно на </w:t>
            </w:r>
            <w:r w:rsidR="004371D4" w:rsidRPr="000B7C06">
              <w:rPr>
                <w:rFonts w:eastAsia="Times New Roman" w:cs="Times New Roman"/>
                <w:bCs/>
                <w:sz w:val="20"/>
                <w:szCs w:val="20"/>
                <w:lang w:val="bg-BG" w:eastAsia="bg-BG"/>
              </w:rPr>
              <w:t>територията</w:t>
            </w:r>
            <w:r w:rsidR="009D712F" w:rsidRPr="000B7C06">
              <w:rPr>
                <w:rFonts w:eastAsia="Times New Roman" w:cs="Times New Roman"/>
                <w:bCs/>
                <w:sz w:val="20"/>
                <w:szCs w:val="20"/>
                <w:lang w:val="bg-BG" w:eastAsia="bg-BG"/>
              </w:rPr>
              <w:t xml:space="preserve"> </w:t>
            </w:r>
            <w:r w:rsidR="009D712F" w:rsidRPr="000B7C06">
              <w:rPr>
                <w:rFonts w:eastAsia="Times New Roman" w:cs="Times New Roman"/>
                <w:bCs/>
                <w:sz w:val="20"/>
                <w:szCs w:val="20"/>
                <w:lang w:val="bg-BG" w:eastAsia="bg-BG"/>
              </w:rPr>
              <w:lastRenderedPageBreak/>
              <w:t xml:space="preserve">на страната.  </w:t>
            </w:r>
            <w:r w:rsidR="00D278C8" w:rsidRPr="000B7C06">
              <w:rPr>
                <w:rFonts w:eastAsia="Times New Roman" w:cs="Times New Roman"/>
                <w:bCs/>
                <w:sz w:val="20"/>
                <w:szCs w:val="20"/>
                <w:lang w:val="bg-BG" w:eastAsia="bg-BG"/>
              </w:rPr>
              <w:t xml:space="preserve">Препоръката е относима към ДОСВ, който е </w:t>
            </w:r>
            <w:r w:rsidR="004371D4" w:rsidRPr="000B7C06">
              <w:rPr>
                <w:rFonts w:eastAsia="Times New Roman" w:cs="Times New Roman"/>
                <w:bCs/>
                <w:sz w:val="20"/>
                <w:szCs w:val="20"/>
                <w:lang w:val="bg-BG" w:eastAsia="bg-BG"/>
              </w:rPr>
              <w:t>неразделно</w:t>
            </w:r>
            <w:r w:rsidR="00D278C8" w:rsidRPr="000B7C06">
              <w:rPr>
                <w:rFonts w:eastAsia="Times New Roman" w:cs="Times New Roman"/>
                <w:bCs/>
                <w:sz w:val="20"/>
                <w:szCs w:val="20"/>
                <w:lang w:val="bg-BG" w:eastAsia="bg-BG"/>
              </w:rPr>
              <w:t xml:space="preserve"> приложение към ДЕО</w:t>
            </w:r>
          </w:p>
          <w:p w14:paraId="242BCD83" w14:textId="77777777" w:rsidR="00D278C8" w:rsidRPr="000B7C06" w:rsidRDefault="00D278C8" w:rsidP="0084747F">
            <w:pPr>
              <w:spacing w:after="60" w:line="264" w:lineRule="auto"/>
              <w:rPr>
                <w:rFonts w:eastAsia="Times New Roman" w:cs="Times New Roman"/>
                <w:bCs/>
                <w:sz w:val="20"/>
                <w:szCs w:val="20"/>
                <w:lang w:val="bg-BG" w:eastAsia="bg-BG"/>
              </w:rPr>
            </w:pPr>
          </w:p>
          <w:p w14:paraId="3F77E24C" w14:textId="77777777" w:rsidR="00D278C8" w:rsidRPr="000B7C06" w:rsidRDefault="00D278C8" w:rsidP="0084747F">
            <w:pPr>
              <w:spacing w:after="60" w:line="264" w:lineRule="auto"/>
              <w:rPr>
                <w:rFonts w:cs="Times New Roman"/>
                <w:sz w:val="20"/>
                <w:szCs w:val="20"/>
                <w:lang w:val="bg-BG"/>
              </w:rPr>
            </w:pPr>
          </w:p>
        </w:tc>
      </w:tr>
      <w:tr w:rsidR="00706B92" w:rsidRPr="000B7C06" w14:paraId="7D50DC9B" w14:textId="77777777" w:rsidTr="0064445A">
        <w:tc>
          <w:tcPr>
            <w:tcW w:w="2547" w:type="dxa"/>
          </w:tcPr>
          <w:p w14:paraId="7FFA93B2"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ОДЗ-Сливен</w:t>
            </w:r>
          </w:p>
        </w:tc>
        <w:tc>
          <w:tcPr>
            <w:tcW w:w="1984" w:type="dxa"/>
          </w:tcPr>
          <w:p w14:paraId="05526728" w14:textId="36C548AB"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РД-12-01-22-1/03.02.2022г.</w:t>
            </w:r>
          </w:p>
        </w:tc>
        <w:tc>
          <w:tcPr>
            <w:tcW w:w="5670" w:type="dxa"/>
          </w:tcPr>
          <w:p w14:paraId="454C113E"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След разглеждане на приложеното задание за определяне на обхвата и съдържанието по доклада за стратегическа оценка на околната среда на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 ОД „Земеделие“ гр. Сливен няма предложения и препоръки.</w:t>
            </w:r>
          </w:p>
        </w:tc>
        <w:tc>
          <w:tcPr>
            <w:tcW w:w="4395" w:type="dxa"/>
          </w:tcPr>
          <w:p w14:paraId="123E5BB5" w14:textId="77777777" w:rsidR="00706B92" w:rsidRPr="000B7C06" w:rsidRDefault="00D278C8" w:rsidP="004371D4">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706B92" w:rsidRPr="000B7C06" w14:paraId="114C9584" w14:textId="77777777" w:rsidTr="0064445A">
        <w:tc>
          <w:tcPr>
            <w:tcW w:w="2547" w:type="dxa"/>
          </w:tcPr>
          <w:p w14:paraId="222C2CCF"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t>ОДЗ София-град</w:t>
            </w:r>
          </w:p>
        </w:tc>
        <w:tc>
          <w:tcPr>
            <w:tcW w:w="1984" w:type="dxa"/>
          </w:tcPr>
          <w:p w14:paraId="3CC81F6B" w14:textId="4981AC4D"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РД-12-01-1581/31.01.2022г.</w:t>
            </w:r>
          </w:p>
        </w:tc>
        <w:tc>
          <w:tcPr>
            <w:tcW w:w="5670" w:type="dxa"/>
          </w:tcPr>
          <w:p w14:paraId="646A0F14"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В заданието за определяне на обхвата и съдържанието по доклада за </w:t>
            </w:r>
            <w:r w:rsidR="00CD4045" w:rsidRPr="000B7C06">
              <w:rPr>
                <w:rFonts w:cs="Times New Roman"/>
                <w:sz w:val="20"/>
                <w:szCs w:val="20"/>
                <w:lang w:val="bg-BG"/>
              </w:rPr>
              <w:t>СПРЗСР</w:t>
            </w:r>
            <w:r w:rsidRPr="000B7C06">
              <w:rPr>
                <w:rFonts w:cs="Times New Roman"/>
                <w:sz w:val="20"/>
                <w:szCs w:val="20"/>
                <w:lang w:val="bg-BG"/>
              </w:rPr>
              <w:t xml:space="preserve"> за периода 2021-2027 г. са заложени всички дейности, изпълнявани от различни подразделения на </w:t>
            </w:r>
            <w:proofErr w:type="spellStart"/>
            <w:r w:rsidRPr="000B7C06">
              <w:rPr>
                <w:rFonts w:cs="Times New Roman"/>
                <w:sz w:val="20"/>
                <w:szCs w:val="20"/>
                <w:lang w:val="bg-BG"/>
              </w:rPr>
              <w:t>МЗм</w:t>
            </w:r>
            <w:proofErr w:type="spellEnd"/>
            <w:r w:rsidRPr="000B7C06">
              <w:rPr>
                <w:rFonts w:cs="Times New Roman"/>
                <w:sz w:val="20"/>
                <w:szCs w:val="20"/>
                <w:lang w:val="bg-BG"/>
              </w:rPr>
              <w:t>.</w:t>
            </w:r>
          </w:p>
          <w:p w14:paraId="53D16FD8"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lastRenderedPageBreak/>
              <w:t xml:space="preserve">Необходимо е да бъдат отстранени допуснатите, вероятно по технически причини, правописни грешки на </w:t>
            </w:r>
            <w:proofErr w:type="spellStart"/>
            <w:r w:rsidRPr="000B7C06">
              <w:rPr>
                <w:rFonts w:cs="Times New Roman"/>
                <w:sz w:val="20"/>
                <w:szCs w:val="20"/>
                <w:lang w:val="bg-BG"/>
              </w:rPr>
              <w:t>стр</w:t>
            </w:r>
            <w:proofErr w:type="spellEnd"/>
            <w:r w:rsidRPr="000B7C06">
              <w:rPr>
                <w:rFonts w:cs="Times New Roman"/>
                <w:sz w:val="20"/>
                <w:szCs w:val="20"/>
                <w:lang w:val="bg-BG"/>
              </w:rPr>
              <w:t>, 9, стр. 10, стр. 11, стр. 12 и стр. 13.</w:t>
            </w:r>
          </w:p>
          <w:p w14:paraId="24BC9BCB"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Предлагам да бъде </w:t>
            </w:r>
            <w:proofErr w:type="spellStart"/>
            <w:r w:rsidRPr="000B7C06">
              <w:rPr>
                <w:rFonts w:cs="Times New Roman"/>
                <w:sz w:val="20"/>
                <w:szCs w:val="20"/>
                <w:lang w:val="bg-BG"/>
              </w:rPr>
              <w:t>корегиран</w:t>
            </w:r>
            <w:proofErr w:type="spellEnd"/>
            <w:r w:rsidRPr="000B7C06">
              <w:rPr>
                <w:rFonts w:cs="Times New Roman"/>
                <w:sz w:val="20"/>
                <w:szCs w:val="20"/>
                <w:lang w:val="bg-BG"/>
              </w:rPr>
              <w:t xml:space="preserve"> текста, отнасящ се за общинските служби по земеделие като вместо „.... от Областните дирекции „Земеделие“ и техните звена на общинско ниво.“ да бъде записано ,,.... </w:t>
            </w:r>
            <w:bookmarkStart w:id="651" w:name="_Hlk106187229"/>
            <w:r w:rsidRPr="000B7C06">
              <w:rPr>
                <w:rFonts w:cs="Times New Roman"/>
                <w:sz w:val="20"/>
                <w:szCs w:val="20"/>
                <w:lang w:val="bg-BG"/>
              </w:rPr>
              <w:t>от Областните дирекции „Земеделие“ и техните териториални подразделения - общински служби по земеделие</w:t>
            </w:r>
            <w:bookmarkEnd w:id="651"/>
            <w:r w:rsidRPr="000B7C06">
              <w:rPr>
                <w:rFonts w:cs="Times New Roman"/>
                <w:sz w:val="20"/>
                <w:szCs w:val="20"/>
                <w:lang w:val="bg-BG"/>
              </w:rPr>
              <w:t>.“</w:t>
            </w:r>
          </w:p>
        </w:tc>
        <w:tc>
          <w:tcPr>
            <w:tcW w:w="4395" w:type="dxa"/>
          </w:tcPr>
          <w:p w14:paraId="72B18AEB" w14:textId="77777777" w:rsidR="00706B92" w:rsidRPr="000B7C06" w:rsidRDefault="00706B92" w:rsidP="0084747F">
            <w:pPr>
              <w:spacing w:after="60" w:line="264" w:lineRule="auto"/>
              <w:rPr>
                <w:rFonts w:cs="Times New Roman"/>
                <w:sz w:val="20"/>
                <w:szCs w:val="20"/>
                <w:lang w:val="bg-BG"/>
              </w:rPr>
            </w:pPr>
          </w:p>
          <w:p w14:paraId="202B40D9" w14:textId="77777777" w:rsidR="00D278C8" w:rsidRPr="000B7C06" w:rsidRDefault="00D278C8" w:rsidP="0084747F">
            <w:pPr>
              <w:spacing w:after="60" w:line="264" w:lineRule="auto"/>
              <w:rPr>
                <w:rFonts w:cs="Times New Roman"/>
                <w:sz w:val="20"/>
                <w:szCs w:val="20"/>
                <w:lang w:val="bg-BG"/>
              </w:rPr>
            </w:pPr>
          </w:p>
          <w:p w14:paraId="366398D4" w14:textId="77777777" w:rsidR="00D278C8" w:rsidRPr="000B7C06" w:rsidRDefault="00D278C8" w:rsidP="0084747F">
            <w:pPr>
              <w:spacing w:after="60" w:line="264" w:lineRule="auto"/>
              <w:rPr>
                <w:rFonts w:cs="Times New Roman"/>
                <w:sz w:val="20"/>
                <w:szCs w:val="20"/>
                <w:lang w:val="bg-BG"/>
              </w:rPr>
            </w:pPr>
          </w:p>
          <w:p w14:paraId="25EAC83F" w14:textId="77777777" w:rsidR="00D278C8" w:rsidRPr="000B7C06" w:rsidRDefault="00D278C8" w:rsidP="0084747F">
            <w:pPr>
              <w:spacing w:after="60" w:line="264" w:lineRule="auto"/>
              <w:rPr>
                <w:rFonts w:cs="Times New Roman"/>
                <w:sz w:val="20"/>
                <w:szCs w:val="20"/>
                <w:lang w:val="bg-BG"/>
              </w:rPr>
            </w:pPr>
          </w:p>
          <w:p w14:paraId="3B10DA73" w14:textId="77777777" w:rsidR="00D278C8" w:rsidRPr="000B7C06" w:rsidRDefault="00D278C8" w:rsidP="0084747F">
            <w:pPr>
              <w:spacing w:after="60" w:line="264" w:lineRule="auto"/>
              <w:rPr>
                <w:rFonts w:cs="Times New Roman"/>
                <w:sz w:val="20"/>
                <w:szCs w:val="20"/>
                <w:lang w:val="bg-BG"/>
              </w:rPr>
            </w:pPr>
          </w:p>
          <w:p w14:paraId="10994526" w14:textId="77777777" w:rsidR="00D278C8" w:rsidRPr="000B7C06" w:rsidRDefault="00D278C8" w:rsidP="0084747F">
            <w:pPr>
              <w:spacing w:after="60" w:line="264" w:lineRule="auto"/>
              <w:rPr>
                <w:rFonts w:cs="Times New Roman"/>
                <w:sz w:val="20"/>
                <w:szCs w:val="20"/>
                <w:lang w:val="bg-BG"/>
              </w:rPr>
            </w:pPr>
          </w:p>
          <w:p w14:paraId="62FE6E56" w14:textId="77777777" w:rsidR="00D278C8" w:rsidRPr="000B7C06" w:rsidRDefault="00D278C8" w:rsidP="0084747F">
            <w:pPr>
              <w:spacing w:after="60" w:line="264" w:lineRule="auto"/>
              <w:rPr>
                <w:rFonts w:cs="Times New Roman"/>
                <w:sz w:val="20"/>
                <w:szCs w:val="20"/>
                <w:lang w:val="bg-BG"/>
              </w:rPr>
            </w:pPr>
          </w:p>
          <w:p w14:paraId="55DBC789" w14:textId="77777777" w:rsidR="00D278C8" w:rsidRPr="000B7C06" w:rsidRDefault="00D278C8" w:rsidP="0084747F">
            <w:pPr>
              <w:spacing w:after="60" w:line="264" w:lineRule="auto"/>
              <w:rPr>
                <w:rFonts w:cs="Times New Roman"/>
                <w:sz w:val="20"/>
                <w:szCs w:val="20"/>
                <w:lang w:val="bg-BG"/>
              </w:rPr>
            </w:pPr>
          </w:p>
          <w:p w14:paraId="6B82BAFE" w14:textId="77777777" w:rsidR="00D278C8" w:rsidRPr="000B7C06" w:rsidRDefault="00D278C8" w:rsidP="004371D4">
            <w:pPr>
              <w:spacing w:after="60" w:line="264" w:lineRule="auto"/>
              <w:ind w:firstLine="0"/>
              <w:rPr>
                <w:rFonts w:cs="Times New Roman"/>
                <w:sz w:val="20"/>
                <w:szCs w:val="20"/>
                <w:lang w:val="bg-BG"/>
              </w:rPr>
            </w:pPr>
            <w:r w:rsidRPr="000B7C06">
              <w:rPr>
                <w:rFonts w:cs="Times New Roman"/>
                <w:sz w:val="20"/>
                <w:szCs w:val="20"/>
                <w:lang w:val="bg-BG"/>
              </w:rPr>
              <w:t xml:space="preserve">Текстът е цитиран в т.13 на ДЕО и е съобразен с </w:t>
            </w:r>
            <w:r w:rsidR="00A3283F" w:rsidRPr="000B7C06">
              <w:rPr>
                <w:rFonts w:cs="Times New Roman"/>
                <w:sz w:val="20"/>
                <w:szCs w:val="20"/>
                <w:lang w:val="bg-BG"/>
              </w:rPr>
              <w:t>направеното предложение за редакция.</w:t>
            </w:r>
          </w:p>
        </w:tc>
      </w:tr>
      <w:tr w:rsidR="00A3283F" w:rsidRPr="000B7C06" w14:paraId="7E91EA0A" w14:textId="77777777" w:rsidTr="009D712F">
        <w:trPr>
          <w:trHeight w:val="4017"/>
        </w:trPr>
        <w:tc>
          <w:tcPr>
            <w:tcW w:w="2547" w:type="dxa"/>
            <w:tcBorders>
              <w:bottom w:val="single" w:sz="4" w:space="0" w:color="auto"/>
            </w:tcBorders>
          </w:tcPr>
          <w:p w14:paraId="4210AA84" w14:textId="77777777" w:rsidR="00A3283F" w:rsidRPr="000B7C06" w:rsidRDefault="00A3283F"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БАБХ</w:t>
            </w:r>
          </w:p>
        </w:tc>
        <w:tc>
          <w:tcPr>
            <w:tcW w:w="1984" w:type="dxa"/>
          </w:tcPr>
          <w:p w14:paraId="502458AF" w14:textId="0EBBDA32" w:rsidR="00A3283F" w:rsidRPr="000B7C06" w:rsidRDefault="00A3283F" w:rsidP="004371D4">
            <w:pPr>
              <w:spacing w:after="60" w:line="264" w:lineRule="auto"/>
              <w:ind w:firstLine="0"/>
              <w:rPr>
                <w:rFonts w:cs="Times New Roman"/>
                <w:sz w:val="20"/>
                <w:szCs w:val="20"/>
                <w:lang w:val="bg-BG"/>
              </w:rPr>
            </w:pPr>
            <w:r w:rsidRPr="000B7C06">
              <w:rPr>
                <w:rFonts w:cs="Times New Roman"/>
                <w:sz w:val="20"/>
                <w:szCs w:val="20"/>
                <w:lang w:val="bg-BG"/>
              </w:rPr>
              <w:t>РР3-121/09.02.2022г.</w:t>
            </w:r>
          </w:p>
        </w:tc>
        <w:tc>
          <w:tcPr>
            <w:tcW w:w="5670" w:type="dxa"/>
          </w:tcPr>
          <w:p w14:paraId="1D6B1FDF"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Предлагам следните корекции и допълнения:</w:t>
            </w:r>
          </w:p>
          <w:p w14:paraId="31B26FE0"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 xml:space="preserve">1. В т. I, т. </w:t>
            </w:r>
            <w:r w:rsidRPr="000B7C06">
              <w:rPr>
                <w:rFonts w:cs="Times New Roman"/>
                <w:i/>
                <w:iCs/>
                <w:sz w:val="20"/>
                <w:szCs w:val="20"/>
                <w:lang w:val="bg-BG"/>
              </w:rPr>
              <w:t>4,</w:t>
            </w:r>
            <w:r w:rsidRPr="000B7C06">
              <w:rPr>
                <w:rFonts w:cs="Times New Roman"/>
                <w:sz w:val="20"/>
                <w:szCs w:val="20"/>
                <w:lang w:val="bg-BG"/>
              </w:rPr>
              <w:t xml:space="preserve"> последен абзац, липсва, номерирано приложение и липсва приложена схема за провеждане на консултации по ЕО, в т.ч. определяне на обхвата и съдържанието на ЕО, с обществеността, заинтересованите органи и специализираните ведомства.</w:t>
            </w:r>
          </w:p>
          <w:p w14:paraId="257AB141"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 xml:space="preserve">2. В т. III, т. 1.6, Б. „Планове, програми и стратегии на територията на Република България, относими към </w:t>
            </w:r>
            <w:r w:rsidR="00CD4045" w:rsidRPr="000B7C06">
              <w:rPr>
                <w:rFonts w:cs="Times New Roman"/>
                <w:sz w:val="20"/>
                <w:szCs w:val="20"/>
                <w:lang w:val="bg-BG"/>
              </w:rPr>
              <w:t>СПРЗСР</w:t>
            </w:r>
            <w:r w:rsidRPr="000B7C06">
              <w:rPr>
                <w:rFonts w:cs="Times New Roman"/>
                <w:sz w:val="20"/>
                <w:szCs w:val="20"/>
                <w:lang w:val="bg-BG"/>
              </w:rPr>
              <w:t xml:space="preserve"> 2021 - 2027 г.“ да бъде добавен Национален план за действие за устойчива употреба на пестициди в Република България</w:t>
            </w:r>
          </w:p>
          <w:p w14:paraId="6EEECC06"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 xml:space="preserve">3. В т. III, т. 2.1.1, Б. „Климатични изменения“, текста на стр. 30 „В </w:t>
            </w:r>
            <w:r w:rsidR="00D809BC" w:rsidRPr="000B7C06">
              <w:rPr>
                <w:rFonts w:cs="Times New Roman"/>
                <w:sz w:val="20"/>
                <w:szCs w:val="20"/>
                <w:lang w:val="bg-BG"/>
              </w:rPr>
              <w:t>РЗСР</w:t>
            </w:r>
            <w:r w:rsidRPr="000B7C06">
              <w:rPr>
                <w:rFonts w:cs="Times New Roman"/>
                <w:sz w:val="20"/>
                <w:szCs w:val="20"/>
                <w:lang w:val="bg-BG"/>
              </w:rPr>
              <w:t xml:space="preserve">, в Директивата по Нитратите (91/676/ЕЕС) и в Директивата за използване </w:t>
            </w:r>
            <w:proofErr w:type="spellStart"/>
            <w:r w:rsidRPr="000B7C06">
              <w:rPr>
                <w:rFonts w:cs="Times New Roman"/>
                <w:sz w:val="20"/>
                <w:szCs w:val="20"/>
                <w:lang w:val="bg-BG"/>
              </w:rPr>
              <w:t>иа</w:t>
            </w:r>
            <w:proofErr w:type="spellEnd"/>
            <w:r w:rsidRPr="000B7C06">
              <w:rPr>
                <w:rFonts w:cs="Times New Roman"/>
                <w:sz w:val="20"/>
                <w:szCs w:val="20"/>
                <w:lang w:val="bg-BG"/>
              </w:rPr>
              <w:t xml:space="preserve"> Пестициди (2009/128/ЕО)“ да бъде заменен с текста „</w:t>
            </w:r>
            <w:bookmarkStart w:id="652" w:name="_Hlk106187928"/>
            <w:r w:rsidRPr="000B7C06">
              <w:rPr>
                <w:rFonts w:cs="Times New Roman"/>
                <w:sz w:val="20"/>
                <w:szCs w:val="20"/>
                <w:lang w:val="bg-BG"/>
              </w:rPr>
              <w:t xml:space="preserve">В </w:t>
            </w:r>
            <w:r w:rsidR="00D809BC" w:rsidRPr="000B7C06">
              <w:rPr>
                <w:rFonts w:cs="Times New Roman"/>
                <w:sz w:val="20"/>
                <w:szCs w:val="20"/>
                <w:lang w:val="bg-BG"/>
              </w:rPr>
              <w:t>РЗСР</w:t>
            </w:r>
            <w:r w:rsidRPr="000B7C06">
              <w:rPr>
                <w:rFonts w:cs="Times New Roman"/>
                <w:sz w:val="20"/>
                <w:szCs w:val="20"/>
                <w:lang w:val="bg-BG"/>
              </w:rPr>
              <w:t xml:space="preserve">, в Директива на Съвета от 12 декември 1991 година за опазване на водите от замърсяване с нитрати от селскостопански източници </w:t>
            </w:r>
            <w:r w:rsidRPr="000B7C06">
              <w:rPr>
                <w:rFonts w:cs="Times New Roman"/>
                <w:i/>
                <w:iCs/>
                <w:sz w:val="20"/>
                <w:szCs w:val="20"/>
                <w:lang w:val="bg-BG"/>
              </w:rPr>
              <w:t>и</w:t>
            </w:r>
            <w:r w:rsidRPr="000B7C06">
              <w:rPr>
                <w:rFonts w:cs="Times New Roman"/>
                <w:sz w:val="20"/>
                <w:szCs w:val="20"/>
                <w:lang w:val="bg-BG"/>
              </w:rPr>
              <w:t xml:space="preserve"> в Директива 2009/128/ЕО на Европейския парламент и на Съвета от 21 </w:t>
            </w:r>
            <w:r w:rsidRPr="000B7C06">
              <w:rPr>
                <w:rFonts w:cs="Times New Roman"/>
                <w:sz w:val="20"/>
                <w:szCs w:val="20"/>
                <w:lang w:val="bg-BG"/>
              </w:rPr>
              <w:lastRenderedPageBreak/>
              <w:t>октомври 2009 година за създаване на рамка за действие на общността за постигане на устойчива употреба на пестициди</w:t>
            </w:r>
            <w:bookmarkEnd w:id="652"/>
            <w:r w:rsidRPr="000B7C06">
              <w:rPr>
                <w:rFonts w:cs="Times New Roman"/>
                <w:sz w:val="20"/>
                <w:szCs w:val="20"/>
                <w:lang w:val="bg-BG"/>
              </w:rPr>
              <w:t>".</w:t>
            </w:r>
          </w:p>
          <w:p w14:paraId="5A15F1F9"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4. В т. III, т. 2.1.3, „По отношение на Плана за управление на речните басейни“ текстът на стр. 37 „съгласно Заповеди № РД 09-264/05.05.2016 г. и  РД-296/31.05.2016 г. на МЗХ и МОСВ“ да бъде заменен със „съгласно Заповеди № РД 09-222/27.02.2020-г. и РД-237/17.03.2020 г. на министъра на земеделието, храните и горите и на министъра на охолната среда и водите“.</w:t>
            </w:r>
          </w:p>
          <w:p w14:paraId="16F0B799" w14:textId="77777777" w:rsidR="00A3283F" w:rsidRPr="000B7C06" w:rsidRDefault="00A3283F" w:rsidP="0084747F">
            <w:pPr>
              <w:spacing w:after="60" w:line="264" w:lineRule="auto"/>
              <w:rPr>
                <w:rFonts w:cs="Times New Roman"/>
                <w:sz w:val="20"/>
                <w:szCs w:val="20"/>
                <w:lang w:val="bg-BG"/>
              </w:rPr>
            </w:pPr>
            <w:r w:rsidRPr="000B7C06">
              <w:rPr>
                <w:rFonts w:cs="Times New Roman"/>
                <w:sz w:val="20"/>
                <w:szCs w:val="20"/>
                <w:lang w:val="bg-BG"/>
              </w:rPr>
              <w:t xml:space="preserve">5. В т, III, т. 1.2, Специфична цел № 9: „Подобряване </w:t>
            </w:r>
            <w:proofErr w:type="spellStart"/>
            <w:r w:rsidRPr="000B7C06">
              <w:rPr>
                <w:rFonts w:cs="Times New Roman"/>
                <w:sz w:val="20"/>
                <w:szCs w:val="20"/>
                <w:lang w:val="bg-BG"/>
              </w:rPr>
              <w:t>иа</w:t>
            </w:r>
            <w:proofErr w:type="spellEnd"/>
            <w:r w:rsidRPr="000B7C06">
              <w:rPr>
                <w:rFonts w:cs="Times New Roman"/>
                <w:sz w:val="20"/>
                <w:szCs w:val="20"/>
                <w:lang w:val="bg-BG"/>
              </w:rPr>
              <w:t xml:space="preserve"> реакцията на селското стопанство в ЕС в отговор на обществените изисквания по отношение на храните, здравето включително за безвредна, питателна и устойчива храна, както и за хуманно отношение към животните“, в частта включваща контрола на храните, към Потребности да бъде включел следния текст:</w:t>
            </w:r>
          </w:p>
          <w:p w14:paraId="2BC02FC4" w14:textId="77777777" w:rsidR="00A3283F" w:rsidRPr="000B7C06" w:rsidRDefault="00A3283F" w:rsidP="0084747F">
            <w:pPr>
              <w:spacing w:after="60" w:line="264" w:lineRule="auto"/>
              <w:rPr>
                <w:rFonts w:cs="Times New Roman"/>
                <w:i/>
                <w:iCs/>
                <w:sz w:val="20"/>
                <w:szCs w:val="20"/>
                <w:lang w:val="bg-BG"/>
              </w:rPr>
            </w:pPr>
            <w:r w:rsidRPr="000B7C06">
              <w:rPr>
                <w:rFonts w:cs="Times New Roman"/>
                <w:sz w:val="20"/>
                <w:szCs w:val="20"/>
                <w:lang w:val="bg-BG"/>
              </w:rPr>
              <w:t xml:space="preserve">„- </w:t>
            </w:r>
            <w:r w:rsidRPr="000B7C06">
              <w:rPr>
                <w:rFonts w:cs="Times New Roman"/>
                <w:i/>
                <w:iCs/>
                <w:sz w:val="20"/>
                <w:szCs w:val="20"/>
                <w:lang w:val="bg-BG"/>
              </w:rPr>
              <w:t>Подобряване на контрола на храните, предлагани на българския пазар с цел намаляване на измамите с храни;</w:t>
            </w:r>
          </w:p>
          <w:p w14:paraId="06F53B1D" w14:textId="77777777" w:rsidR="00A3283F" w:rsidRPr="000B7C06" w:rsidRDefault="00A3283F" w:rsidP="0084747F">
            <w:pPr>
              <w:spacing w:after="60" w:line="264" w:lineRule="auto"/>
              <w:rPr>
                <w:rFonts w:cs="Times New Roman"/>
                <w:sz w:val="20"/>
                <w:szCs w:val="20"/>
                <w:lang w:val="bg-BG"/>
              </w:rPr>
            </w:pPr>
            <w:r w:rsidRPr="000B7C06">
              <w:rPr>
                <w:rFonts w:cs="Times New Roman"/>
                <w:i/>
                <w:iCs/>
                <w:sz w:val="20"/>
                <w:szCs w:val="20"/>
                <w:lang w:val="bg-BG"/>
              </w:rPr>
              <w:t>- Намаляване на негативните последици при възникване на пандемии, чрез извършване на планов и извънпланов контрол на обектите за производство и търговия с храни</w:t>
            </w:r>
            <w:r w:rsidRPr="000B7C06">
              <w:rPr>
                <w:rFonts w:cs="Times New Roman"/>
                <w:sz w:val="20"/>
                <w:szCs w:val="20"/>
                <w:lang w:val="bg-BG"/>
              </w:rPr>
              <w:t>“.</w:t>
            </w:r>
          </w:p>
        </w:tc>
        <w:tc>
          <w:tcPr>
            <w:tcW w:w="4395" w:type="dxa"/>
          </w:tcPr>
          <w:p w14:paraId="08E970E6" w14:textId="77777777" w:rsidR="00A3283F" w:rsidRPr="000B7C06" w:rsidRDefault="00A3283F" w:rsidP="0084747F">
            <w:pPr>
              <w:spacing w:after="60" w:line="264" w:lineRule="auto"/>
              <w:rPr>
                <w:rFonts w:cs="Times New Roman"/>
                <w:sz w:val="20"/>
                <w:szCs w:val="20"/>
                <w:lang w:val="bg-BG"/>
              </w:rPr>
            </w:pPr>
          </w:p>
          <w:p w14:paraId="7E9CE538" w14:textId="77777777" w:rsidR="00F04804" w:rsidRPr="000B7C06" w:rsidRDefault="00F04804" w:rsidP="004371D4">
            <w:pPr>
              <w:spacing w:after="60" w:line="264" w:lineRule="auto"/>
              <w:ind w:firstLine="0"/>
              <w:rPr>
                <w:rFonts w:cs="Times New Roman"/>
                <w:sz w:val="20"/>
                <w:szCs w:val="20"/>
                <w:lang w:val="bg-BG"/>
              </w:rPr>
            </w:pPr>
            <w:r w:rsidRPr="000B7C06">
              <w:rPr>
                <w:rFonts w:cs="Times New Roman"/>
                <w:sz w:val="20"/>
                <w:szCs w:val="20"/>
                <w:lang w:val="bg-BG"/>
              </w:rPr>
              <w:t>По т.1 бележката е съобразена при изготвянето на ДЕО</w:t>
            </w:r>
          </w:p>
          <w:p w14:paraId="641281FD" w14:textId="77777777" w:rsidR="00F04804" w:rsidRPr="000B7C06" w:rsidRDefault="00F04804" w:rsidP="0084747F">
            <w:pPr>
              <w:spacing w:after="60" w:line="264" w:lineRule="auto"/>
              <w:rPr>
                <w:rFonts w:cs="Times New Roman"/>
                <w:sz w:val="20"/>
                <w:szCs w:val="20"/>
                <w:lang w:val="bg-BG"/>
              </w:rPr>
            </w:pPr>
          </w:p>
          <w:p w14:paraId="02841E14" w14:textId="77777777" w:rsidR="00F04804" w:rsidRPr="000B7C06" w:rsidRDefault="00F04804" w:rsidP="004371D4">
            <w:pPr>
              <w:spacing w:after="60" w:line="264" w:lineRule="auto"/>
              <w:ind w:firstLine="0"/>
              <w:rPr>
                <w:rFonts w:cs="Times New Roman"/>
                <w:sz w:val="20"/>
                <w:szCs w:val="20"/>
                <w:lang w:val="bg-BG"/>
              </w:rPr>
            </w:pPr>
          </w:p>
          <w:p w14:paraId="29C8C719" w14:textId="77777777" w:rsidR="00F04804" w:rsidRPr="000B7C06" w:rsidRDefault="00F04804" w:rsidP="004371D4">
            <w:pPr>
              <w:spacing w:after="60" w:line="264" w:lineRule="auto"/>
              <w:ind w:firstLine="0"/>
              <w:rPr>
                <w:rFonts w:cs="Times New Roman"/>
                <w:sz w:val="20"/>
                <w:szCs w:val="20"/>
                <w:lang w:val="bg-BG"/>
              </w:rPr>
            </w:pPr>
            <w:r w:rsidRPr="000B7C06">
              <w:rPr>
                <w:rFonts w:cs="Times New Roman"/>
                <w:sz w:val="20"/>
                <w:szCs w:val="20"/>
                <w:lang w:val="bg-BG"/>
              </w:rPr>
              <w:t>По т.2 в т.3.4.2.22 и т.7.1 на ДЕО е добавен и отчетен Актуализирания Национален план за действие за устойчива употреба на пестициди в Република България (период на прилагане 2022 г.)</w:t>
            </w:r>
          </w:p>
          <w:p w14:paraId="168AC6C7" w14:textId="77777777" w:rsidR="004B6969" w:rsidRPr="000B7C06" w:rsidRDefault="004B6969" w:rsidP="0084747F">
            <w:pPr>
              <w:spacing w:after="60" w:line="264" w:lineRule="auto"/>
              <w:rPr>
                <w:rFonts w:cs="Times New Roman"/>
                <w:sz w:val="20"/>
                <w:szCs w:val="20"/>
                <w:lang w:val="bg-BG"/>
              </w:rPr>
            </w:pPr>
          </w:p>
          <w:p w14:paraId="64F878B6" w14:textId="77777777" w:rsidR="004B6969" w:rsidRPr="000B7C06" w:rsidRDefault="004B6969" w:rsidP="004371D4">
            <w:pPr>
              <w:spacing w:after="60" w:line="264" w:lineRule="auto"/>
              <w:ind w:firstLine="0"/>
              <w:rPr>
                <w:rFonts w:cs="Times New Roman"/>
                <w:sz w:val="20"/>
                <w:szCs w:val="20"/>
                <w:lang w:val="bg-BG"/>
              </w:rPr>
            </w:pPr>
            <w:r w:rsidRPr="000B7C06">
              <w:rPr>
                <w:rFonts w:cs="Times New Roman"/>
                <w:sz w:val="20"/>
                <w:szCs w:val="20"/>
                <w:lang w:val="bg-BG"/>
              </w:rPr>
              <w:t>По т.3 направеното предложение е съобразено при разработването на т.4.1.2. на ДЕО</w:t>
            </w:r>
          </w:p>
          <w:p w14:paraId="2B3BD5B4" w14:textId="77777777" w:rsidR="00770252" w:rsidRPr="000B7C06" w:rsidRDefault="00770252" w:rsidP="0084747F">
            <w:pPr>
              <w:spacing w:after="60" w:line="264" w:lineRule="auto"/>
              <w:rPr>
                <w:rFonts w:cs="Times New Roman"/>
                <w:sz w:val="20"/>
                <w:szCs w:val="20"/>
                <w:lang w:val="bg-BG"/>
              </w:rPr>
            </w:pPr>
          </w:p>
          <w:p w14:paraId="31823056" w14:textId="77777777" w:rsidR="00770252" w:rsidRPr="000B7C06" w:rsidRDefault="00770252" w:rsidP="0084747F">
            <w:pPr>
              <w:spacing w:after="60" w:line="264" w:lineRule="auto"/>
              <w:rPr>
                <w:rFonts w:cs="Times New Roman"/>
                <w:sz w:val="20"/>
                <w:szCs w:val="20"/>
                <w:lang w:val="bg-BG"/>
              </w:rPr>
            </w:pPr>
          </w:p>
          <w:p w14:paraId="6A8513D4" w14:textId="77777777" w:rsidR="00770252" w:rsidRPr="000B7C06" w:rsidRDefault="00770252" w:rsidP="0084747F">
            <w:pPr>
              <w:spacing w:after="60" w:line="264" w:lineRule="auto"/>
              <w:rPr>
                <w:rFonts w:cs="Times New Roman"/>
                <w:sz w:val="20"/>
                <w:szCs w:val="20"/>
                <w:lang w:val="bg-BG"/>
              </w:rPr>
            </w:pPr>
          </w:p>
          <w:p w14:paraId="2FA39ED6" w14:textId="77777777" w:rsidR="004371D4" w:rsidRDefault="004371D4" w:rsidP="004371D4">
            <w:pPr>
              <w:spacing w:after="60" w:line="264" w:lineRule="auto"/>
              <w:ind w:firstLine="0"/>
              <w:rPr>
                <w:rFonts w:cs="Times New Roman"/>
                <w:sz w:val="20"/>
                <w:szCs w:val="20"/>
                <w:lang w:val="bg-BG"/>
              </w:rPr>
            </w:pPr>
          </w:p>
          <w:p w14:paraId="0E569BE3" w14:textId="27C79B75" w:rsidR="00770252" w:rsidRPr="000B7C06" w:rsidRDefault="00770252" w:rsidP="004371D4">
            <w:pPr>
              <w:spacing w:after="60" w:line="264" w:lineRule="auto"/>
              <w:ind w:firstLine="0"/>
              <w:rPr>
                <w:rFonts w:cs="Times New Roman"/>
                <w:sz w:val="20"/>
                <w:szCs w:val="20"/>
                <w:lang w:val="bg-BG"/>
              </w:rPr>
            </w:pPr>
            <w:r w:rsidRPr="000B7C06">
              <w:rPr>
                <w:rFonts w:cs="Times New Roman"/>
                <w:sz w:val="20"/>
                <w:szCs w:val="20"/>
                <w:lang w:val="bg-BG"/>
              </w:rPr>
              <w:t>По т.4 направеното предложение е съобразено при разработването на т.4.1.2. на ДЕО</w:t>
            </w:r>
          </w:p>
          <w:p w14:paraId="2BA70E36" w14:textId="77777777" w:rsidR="00770252" w:rsidRPr="000B7C06" w:rsidRDefault="00770252" w:rsidP="0084747F">
            <w:pPr>
              <w:spacing w:after="60" w:line="264" w:lineRule="auto"/>
              <w:rPr>
                <w:rFonts w:cs="Times New Roman"/>
                <w:sz w:val="20"/>
                <w:szCs w:val="20"/>
                <w:lang w:val="bg-BG"/>
              </w:rPr>
            </w:pPr>
          </w:p>
          <w:p w14:paraId="42D8F0AE" w14:textId="77777777" w:rsidR="00770252" w:rsidRPr="000B7C06" w:rsidRDefault="00770252" w:rsidP="0084747F">
            <w:pPr>
              <w:spacing w:after="60" w:line="264" w:lineRule="auto"/>
              <w:rPr>
                <w:rFonts w:cs="Times New Roman"/>
                <w:sz w:val="20"/>
                <w:szCs w:val="20"/>
                <w:lang w:val="bg-BG"/>
              </w:rPr>
            </w:pPr>
          </w:p>
          <w:p w14:paraId="17960C7E" w14:textId="77777777" w:rsidR="00770252" w:rsidRPr="000B7C06" w:rsidRDefault="00770252" w:rsidP="0084747F">
            <w:pPr>
              <w:spacing w:after="60" w:line="264" w:lineRule="auto"/>
              <w:rPr>
                <w:rFonts w:cs="Times New Roman"/>
                <w:sz w:val="20"/>
                <w:szCs w:val="20"/>
                <w:lang w:val="bg-BG"/>
              </w:rPr>
            </w:pPr>
          </w:p>
          <w:p w14:paraId="726A09F9" w14:textId="77777777" w:rsidR="00770252" w:rsidRPr="000B7C06" w:rsidRDefault="00770252" w:rsidP="0084747F">
            <w:pPr>
              <w:spacing w:after="60" w:line="264" w:lineRule="auto"/>
              <w:rPr>
                <w:rFonts w:cs="Times New Roman"/>
                <w:sz w:val="20"/>
                <w:szCs w:val="20"/>
                <w:lang w:val="bg-BG"/>
              </w:rPr>
            </w:pPr>
          </w:p>
          <w:p w14:paraId="690D8B3E" w14:textId="77777777" w:rsidR="00770252" w:rsidRPr="000B7C06" w:rsidRDefault="00770252" w:rsidP="0084747F">
            <w:pPr>
              <w:spacing w:after="60" w:line="264" w:lineRule="auto"/>
              <w:rPr>
                <w:rFonts w:cs="Times New Roman"/>
                <w:sz w:val="20"/>
                <w:szCs w:val="20"/>
                <w:lang w:val="bg-BG"/>
              </w:rPr>
            </w:pPr>
          </w:p>
          <w:p w14:paraId="6ED854C3" w14:textId="3A0097F9" w:rsidR="00770252" w:rsidRPr="000B7C06" w:rsidRDefault="00770252" w:rsidP="004371D4">
            <w:pPr>
              <w:spacing w:after="60" w:line="264" w:lineRule="auto"/>
              <w:ind w:firstLine="0"/>
              <w:rPr>
                <w:rFonts w:cs="Times New Roman"/>
                <w:sz w:val="20"/>
                <w:szCs w:val="20"/>
                <w:lang w:val="bg-BG"/>
              </w:rPr>
            </w:pPr>
            <w:r w:rsidRPr="000B7C06">
              <w:rPr>
                <w:rFonts w:cs="Times New Roman"/>
                <w:sz w:val="20"/>
                <w:szCs w:val="20"/>
                <w:lang w:val="bg-BG"/>
              </w:rPr>
              <w:t xml:space="preserve">По т.5 </w:t>
            </w:r>
            <w:r w:rsidR="00E76976" w:rsidRPr="000B7C06">
              <w:rPr>
                <w:rFonts w:cs="Times New Roman"/>
                <w:sz w:val="20"/>
                <w:szCs w:val="20"/>
                <w:lang w:val="bg-BG"/>
              </w:rPr>
              <w:t>Становището не съдържа бележки и препоръки към ДЕО.</w:t>
            </w:r>
            <w:r w:rsidR="004371D4">
              <w:rPr>
                <w:rFonts w:cs="Times New Roman"/>
                <w:sz w:val="20"/>
                <w:szCs w:val="20"/>
                <w:lang w:val="bg-BG"/>
              </w:rPr>
              <w:t xml:space="preserve"> </w:t>
            </w:r>
            <w:r w:rsidR="00E76976" w:rsidRPr="000B7C06">
              <w:rPr>
                <w:rFonts w:cs="Times New Roman"/>
                <w:sz w:val="20"/>
                <w:szCs w:val="20"/>
                <w:lang w:val="bg-BG"/>
              </w:rPr>
              <w:t xml:space="preserve">Направените предложения в становището, касаят обхвата и съдържанието на </w:t>
            </w:r>
            <w:r w:rsidR="00CD4045" w:rsidRPr="000B7C06">
              <w:rPr>
                <w:rFonts w:cs="Times New Roman"/>
                <w:sz w:val="20"/>
                <w:szCs w:val="20"/>
                <w:lang w:val="bg-BG"/>
              </w:rPr>
              <w:t>СПРЗСР</w:t>
            </w:r>
            <w:r w:rsidR="00E76976" w:rsidRPr="000B7C06">
              <w:rPr>
                <w:rFonts w:cs="Times New Roman"/>
                <w:sz w:val="20"/>
                <w:szCs w:val="20"/>
                <w:lang w:val="bg-BG"/>
              </w:rPr>
              <w:t>.</w:t>
            </w:r>
          </w:p>
          <w:p w14:paraId="7C38A3B7" w14:textId="77777777" w:rsidR="00770252" w:rsidRPr="000B7C06" w:rsidRDefault="00770252" w:rsidP="0084747F">
            <w:pPr>
              <w:spacing w:after="60" w:line="264" w:lineRule="auto"/>
              <w:rPr>
                <w:rFonts w:cs="Times New Roman"/>
                <w:sz w:val="20"/>
                <w:szCs w:val="20"/>
                <w:lang w:val="bg-BG"/>
              </w:rPr>
            </w:pPr>
          </w:p>
          <w:p w14:paraId="23ED8C75" w14:textId="77777777" w:rsidR="00770252" w:rsidRPr="000B7C06" w:rsidRDefault="00770252" w:rsidP="0084747F">
            <w:pPr>
              <w:spacing w:after="60" w:line="264" w:lineRule="auto"/>
              <w:rPr>
                <w:rFonts w:cs="Times New Roman"/>
                <w:sz w:val="20"/>
                <w:szCs w:val="20"/>
                <w:lang w:val="bg-BG"/>
              </w:rPr>
            </w:pPr>
          </w:p>
          <w:p w14:paraId="6B322A69" w14:textId="77777777" w:rsidR="00770252" w:rsidRPr="000B7C06" w:rsidRDefault="00770252" w:rsidP="0084747F">
            <w:pPr>
              <w:spacing w:after="60" w:line="264" w:lineRule="auto"/>
              <w:rPr>
                <w:rFonts w:cs="Times New Roman"/>
                <w:sz w:val="20"/>
                <w:szCs w:val="20"/>
                <w:lang w:val="bg-BG"/>
              </w:rPr>
            </w:pPr>
          </w:p>
        </w:tc>
      </w:tr>
      <w:tr w:rsidR="00770252" w:rsidRPr="000B7C06" w14:paraId="6DDD95FD" w14:textId="77777777" w:rsidTr="00E76976">
        <w:trPr>
          <w:trHeight w:val="415"/>
        </w:trPr>
        <w:tc>
          <w:tcPr>
            <w:tcW w:w="2547" w:type="dxa"/>
          </w:tcPr>
          <w:p w14:paraId="3ECC710D" w14:textId="77777777" w:rsidR="00770252" w:rsidRPr="000B7C06" w:rsidRDefault="00770252"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ОДЗ-Бургас</w:t>
            </w:r>
          </w:p>
        </w:tc>
        <w:tc>
          <w:tcPr>
            <w:tcW w:w="1984" w:type="dxa"/>
          </w:tcPr>
          <w:p w14:paraId="4419DD75" w14:textId="77777777" w:rsidR="00770252" w:rsidRPr="000B7C06" w:rsidRDefault="00770252" w:rsidP="004371D4">
            <w:pPr>
              <w:spacing w:after="60" w:line="264" w:lineRule="auto"/>
              <w:ind w:firstLine="0"/>
              <w:rPr>
                <w:rFonts w:cs="Times New Roman"/>
                <w:sz w:val="20"/>
                <w:szCs w:val="20"/>
                <w:lang w:val="bg-BG"/>
              </w:rPr>
            </w:pPr>
            <w:r w:rsidRPr="000B7C06">
              <w:rPr>
                <w:rFonts w:cs="Times New Roman"/>
                <w:sz w:val="20"/>
                <w:szCs w:val="20"/>
                <w:lang w:val="bg-BG"/>
              </w:rPr>
              <w:t>РД-12-01-14-1/ 14.02.2022г.</w:t>
            </w:r>
          </w:p>
        </w:tc>
        <w:tc>
          <w:tcPr>
            <w:tcW w:w="5670" w:type="dxa"/>
          </w:tcPr>
          <w:p w14:paraId="2F51B443" w14:textId="77777777" w:rsidR="00770252" w:rsidRPr="000B7C06" w:rsidRDefault="00770252" w:rsidP="0084747F">
            <w:pPr>
              <w:spacing w:after="60" w:line="264" w:lineRule="auto"/>
              <w:rPr>
                <w:rFonts w:cs="Times New Roman"/>
                <w:sz w:val="20"/>
                <w:szCs w:val="20"/>
                <w:lang w:val="bg-BG"/>
              </w:rPr>
            </w:pPr>
            <w:r w:rsidRPr="000B7C06">
              <w:rPr>
                <w:rFonts w:cs="Times New Roman"/>
                <w:sz w:val="20"/>
                <w:szCs w:val="20"/>
                <w:lang w:val="bg-BG"/>
              </w:rPr>
              <w:t xml:space="preserve">От особена важност е да се наблегне на темата с цифровизацията, която в бързото развитие на съвременния свят има все по-голямо влияние и въздействие на световните процеси във всички сектори. От гледна точка на настоящото задание </w:t>
            </w:r>
            <w:r w:rsidRPr="000B7C06">
              <w:rPr>
                <w:rFonts w:cs="Times New Roman"/>
                <w:sz w:val="20"/>
                <w:szCs w:val="20"/>
                <w:lang w:val="bg-BG"/>
              </w:rPr>
              <w:lastRenderedPageBreak/>
              <w:t>цифровизацията е от значение по отношение на работата с актуална информация, достъпна по всяко време от всяко място. Практиката е показала, че при разработването на планове, програми и стратегии се работи с неактуална информация, което създава условия при готов документ с определена времева рамка в бъдеще време, той вече да не е актуален.</w:t>
            </w:r>
          </w:p>
          <w:p w14:paraId="6C7D3140" w14:textId="77777777" w:rsidR="00770252" w:rsidRPr="000B7C06" w:rsidRDefault="00770252" w:rsidP="0084747F">
            <w:pPr>
              <w:spacing w:after="60" w:line="264" w:lineRule="auto"/>
              <w:rPr>
                <w:rFonts w:cs="Times New Roman"/>
                <w:sz w:val="20"/>
                <w:szCs w:val="20"/>
                <w:lang w:val="bg-BG"/>
              </w:rPr>
            </w:pPr>
            <w:r w:rsidRPr="000B7C06">
              <w:rPr>
                <w:rFonts w:cs="Times New Roman"/>
                <w:sz w:val="20"/>
                <w:szCs w:val="20"/>
                <w:lang w:val="bg-BG"/>
              </w:rPr>
              <w:t xml:space="preserve">По отношение на съдържанието на заданието предлагаме в доклада за стратегическа оценка на околната среда на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 да се включи изследване на влиянието върху околната среда на „минали“ антропогенни дейности - преустановена миннодобивна промишленост (закрити рудници), хвостохранилища, </w:t>
            </w:r>
            <w:proofErr w:type="spellStart"/>
            <w:r w:rsidRPr="000B7C06">
              <w:rPr>
                <w:rFonts w:cs="Times New Roman"/>
                <w:sz w:val="20"/>
                <w:szCs w:val="20"/>
                <w:lang w:val="bg-BG"/>
              </w:rPr>
              <w:t>рекултивирани</w:t>
            </w:r>
            <w:proofErr w:type="spellEnd"/>
            <w:r w:rsidRPr="000B7C06">
              <w:rPr>
                <w:rFonts w:cs="Times New Roman"/>
                <w:sz w:val="20"/>
                <w:szCs w:val="20"/>
                <w:lang w:val="bg-BG"/>
              </w:rPr>
              <w:t xml:space="preserve"> територии, които продължават да имат влияние върху околната среда. Някои видове замърсявания, като радиационно излъчване над нормите, могат да не бъдат с видимо влияние на околната среда в краткосрочен план, с което да се възпрепятства навременното предотвратяване на самото замърсяване и/или негативните последици върху околната среда и човешкото здраве. От 01.01.1994 г. е в сила Постановление на Министерски съвет № 140 от 29 юли 1992 г., за преструктуриране на рудодобива и поетапно закриване на неефективни мощности. В Приложение № 1 от ПМС се утвърждава списък на неефективните обекти, подлежащи на закриване и техническа ликвидация или консервация, и за ликвидиране на последствията от добива и преработката на </w:t>
            </w:r>
            <w:r w:rsidRPr="000B7C06">
              <w:rPr>
                <w:rFonts w:cs="Times New Roman"/>
                <w:sz w:val="20"/>
                <w:szCs w:val="20"/>
                <w:lang w:val="bg-BG"/>
              </w:rPr>
              <w:lastRenderedPageBreak/>
              <w:t>руди. Списъкът може да се изменя и допълва с нови обекти по предложение на Министерството на икономиката.</w:t>
            </w:r>
          </w:p>
        </w:tc>
        <w:tc>
          <w:tcPr>
            <w:tcW w:w="4395" w:type="dxa"/>
          </w:tcPr>
          <w:p w14:paraId="19D745F6" w14:textId="77777777" w:rsidR="009B0511" w:rsidRPr="000B7C06" w:rsidRDefault="009B0511" w:rsidP="0084747F">
            <w:pPr>
              <w:spacing w:after="60" w:line="264" w:lineRule="auto"/>
              <w:rPr>
                <w:rFonts w:cs="Times New Roman"/>
                <w:sz w:val="20"/>
                <w:szCs w:val="20"/>
                <w:lang w:val="bg-BG"/>
              </w:rPr>
            </w:pPr>
          </w:p>
          <w:p w14:paraId="72A39C72" w14:textId="77777777" w:rsidR="009B0511" w:rsidRPr="000B7C06" w:rsidRDefault="009B0511" w:rsidP="0084747F">
            <w:pPr>
              <w:spacing w:after="60" w:line="264" w:lineRule="auto"/>
              <w:rPr>
                <w:rFonts w:cs="Times New Roman"/>
                <w:sz w:val="20"/>
                <w:szCs w:val="20"/>
                <w:lang w:val="bg-BG"/>
              </w:rPr>
            </w:pPr>
          </w:p>
          <w:p w14:paraId="09B5B675" w14:textId="77777777" w:rsidR="009B0511" w:rsidRPr="000B7C06" w:rsidRDefault="009B0511" w:rsidP="0084747F">
            <w:pPr>
              <w:spacing w:after="60" w:line="264" w:lineRule="auto"/>
              <w:rPr>
                <w:rFonts w:cs="Times New Roman"/>
                <w:sz w:val="20"/>
                <w:szCs w:val="20"/>
                <w:lang w:val="bg-BG"/>
              </w:rPr>
            </w:pPr>
          </w:p>
          <w:p w14:paraId="1B254F7E" w14:textId="77777777" w:rsidR="009B0511" w:rsidRPr="000B7C06" w:rsidRDefault="009B0511" w:rsidP="0084747F">
            <w:pPr>
              <w:spacing w:after="60" w:line="264" w:lineRule="auto"/>
              <w:rPr>
                <w:rFonts w:cs="Times New Roman"/>
                <w:sz w:val="20"/>
                <w:szCs w:val="20"/>
                <w:lang w:val="bg-BG"/>
              </w:rPr>
            </w:pPr>
          </w:p>
          <w:p w14:paraId="016755F7" w14:textId="77777777" w:rsidR="009B0511" w:rsidRPr="000B7C06" w:rsidRDefault="009B0511" w:rsidP="0084747F">
            <w:pPr>
              <w:spacing w:after="60" w:line="264" w:lineRule="auto"/>
              <w:rPr>
                <w:rFonts w:cs="Times New Roman"/>
                <w:sz w:val="20"/>
                <w:szCs w:val="20"/>
                <w:lang w:val="bg-BG"/>
              </w:rPr>
            </w:pPr>
          </w:p>
          <w:p w14:paraId="74599941" w14:textId="77777777" w:rsidR="009B0511" w:rsidRPr="000B7C06" w:rsidRDefault="009B0511" w:rsidP="0084747F">
            <w:pPr>
              <w:spacing w:after="60" w:line="264" w:lineRule="auto"/>
              <w:rPr>
                <w:rFonts w:cs="Times New Roman"/>
                <w:sz w:val="20"/>
                <w:szCs w:val="20"/>
                <w:lang w:val="bg-BG"/>
              </w:rPr>
            </w:pPr>
          </w:p>
          <w:p w14:paraId="2C59391E" w14:textId="77777777" w:rsidR="009B0511" w:rsidRPr="000B7C06" w:rsidRDefault="009B0511" w:rsidP="0084747F">
            <w:pPr>
              <w:spacing w:after="60" w:line="264" w:lineRule="auto"/>
              <w:rPr>
                <w:rFonts w:cs="Times New Roman"/>
                <w:sz w:val="20"/>
                <w:szCs w:val="20"/>
                <w:lang w:val="bg-BG"/>
              </w:rPr>
            </w:pPr>
          </w:p>
          <w:p w14:paraId="75F1057E" w14:textId="77777777" w:rsidR="009B0511" w:rsidRPr="000B7C06" w:rsidRDefault="009B0511" w:rsidP="0084747F">
            <w:pPr>
              <w:spacing w:after="60" w:line="264" w:lineRule="auto"/>
              <w:rPr>
                <w:rFonts w:cs="Times New Roman"/>
                <w:sz w:val="20"/>
                <w:szCs w:val="20"/>
                <w:lang w:val="bg-BG"/>
              </w:rPr>
            </w:pPr>
          </w:p>
          <w:p w14:paraId="3A6CAB8F" w14:textId="77777777" w:rsidR="009B0511" w:rsidRPr="000B7C06" w:rsidRDefault="009B0511" w:rsidP="0084747F">
            <w:pPr>
              <w:spacing w:after="60" w:line="264" w:lineRule="auto"/>
              <w:rPr>
                <w:rFonts w:cs="Times New Roman"/>
                <w:sz w:val="20"/>
                <w:szCs w:val="20"/>
                <w:lang w:val="bg-BG"/>
              </w:rPr>
            </w:pPr>
          </w:p>
          <w:p w14:paraId="75FE5F4B" w14:textId="77777777" w:rsidR="009B0511" w:rsidRPr="000B7C06" w:rsidRDefault="009B0511" w:rsidP="0084747F">
            <w:pPr>
              <w:spacing w:after="60" w:line="264" w:lineRule="auto"/>
              <w:rPr>
                <w:rFonts w:cs="Times New Roman"/>
                <w:sz w:val="20"/>
                <w:szCs w:val="20"/>
                <w:lang w:val="bg-BG"/>
              </w:rPr>
            </w:pPr>
          </w:p>
          <w:p w14:paraId="3A9AB1FD" w14:textId="77777777" w:rsidR="009B0511" w:rsidRPr="000B7C06" w:rsidRDefault="009B0511" w:rsidP="0084747F">
            <w:pPr>
              <w:spacing w:after="60" w:line="264" w:lineRule="auto"/>
              <w:rPr>
                <w:rFonts w:cs="Times New Roman"/>
                <w:sz w:val="20"/>
                <w:szCs w:val="20"/>
                <w:lang w:val="bg-BG"/>
              </w:rPr>
            </w:pPr>
          </w:p>
          <w:p w14:paraId="5BAB068F" w14:textId="77777777" w:rsidR="009B0511" w:rsidRPr="000B7C06" w:rsidRDefault="009B0511" w:rsidP="0084747F">
            <w:pPr>
              <w:spacing w:after="60" w:line="264" w:lineRule="auto"/>
              <w:rPr>
                <w:rFonts w:cs="Times New Roman"/>
                <w:sz w:val="20"/>
                <w:szCs w:val="20"/>
                <w:lang w:val="bg-BG"/>
              </w:rPr>
            </w:pPr>
          </w:p>
          <w:p w14:paraId="4B277903" w14:textId="77777777" w:rsidR="009B0511" w:rsidRPr="000B7C06" w:rsidRDefault="009B0511" w:rsidP="0084747F">
            <w:pPr>
              <w:spacing w:after="60" w:line="264" w:lineRule="auto"/>
              <w:rPr>
                <w:rFonts w:cs="Times New Roman"/>
                <w:sz w:val="20"/>
                <w:szCs w:val="20"/>
                <w:lang w:val="bg-BG"/>
              </w:rPr>
            </w:pPr>
          </w:p>
          <w:p w14:paraId="445A327E" w14:textId="77777777" w:rsidR="009B0511" w:rsidRPr="000B7C06" w:rsidRDefault="009B0511" w:rsidP="0084747F">
            <w:pPr>
              <w:spacing w:after="60" w:line="264" w:lineRule="auto"/>
              <w:rPr>
                <w:rFonts w:cs="Times New Roman"/>
                <w:sz w:val="20"/>
                <w:szCs w:val="20"/>
                <w:lang w:val="bg-BG"/>
              </w:rPr>
            </w:pPr>
          </w:p>
          <w:p w14:paraId="534FF3C6" w14:textId="77777777" w:rsidR="009B0511" w:rsidRPr="000B7C06" w:rsidRDefault="009B0511" w:rsidP="0084747F">
            <w:pPr>
              <w:spacing w:after="60" w:line="264" w:lineRule="auto"/>
              <w:rPr>
                <w:rFonts w:cs="Times New Roman"/>
                <w:sz w:val="20"/>
                <w:szCs w:val="20"/>
                <w:lang w:val="bg-BG"/>
              </w:rPr>
            </w:pPr>
          </w:p>
          <w:p w14:paraId="3D47D144" w14:textId="77777777" w:rsidR="00FB430A" w:rsidRPr="000B7C06" w:rsidRDefault="009B0511" w:rsidP="004371D4">
            <w:pPr>
              <w:spacing w:after="60" w:line="264" w:lineRule="auto"/>
              <w:ind w:firstLine="0"/>
              <w:rPr>
                <w:rFonts w:cs="Times New Roman"/>
                <w:sz w:val="20"/>
                <w:szCs w:val="20"/>
                <w:lang w:val="bg-BG"/>
              </w:rPr>
            </w:pPr>
            <w:r w:rsidRPr="000B7C06">
              <w:rPr>
                <w:rFonts w:cs="Times New Roman"/>
                <w:sz w:val="20"/>
                <w:szCs w:val="20"/>
                <w:lang w:val="bg-BG"/>
              </w:rPr>
              <w:t>Н</w:t>
            </w:r>
            <w:r w:rsidR="00FB430A" w:rsidRPr="000B7C06">
              <w:rPr>
                <w:rFonts w:cs="Times New Roman"/>
                <w:sz w:val="20"/>
                <w:szCs w:val="20"/>
                <w:lang w:val="bg-BG"/>
              </w:rPr>
              <w:t>аправеното предложение е съобразено при разработването на т.4.1.2. на ДЕО</w:t>
            </w:r>
          </w:p>
          <w:p w14:paraId="0733EB7C" w14:textId="77777777" w:rsidR="00770252" w:rsidRPr="000B7C06" w:rsidRDefault="00770252" w:rsidP="0084747F">
            <w:pPr>
              <w:spacing w:after="60" w:line="264" w:lineRule="auto"/>
              <w:rPr>
                <w:rFonts w:cs="Times New Roman"/>
                <w:sz w:val="20"/>
                <w:szCs w:val="20"/>
                <w:lang w:val="bg-BG"/>
              </w:rPr>
            </w:pPr>
          </w:p>
        </w:tc>
      </w:tr>
      <w:tr w:rsidR="00706B92" w:rsidRPr="000B7C06" w14:paraId="4EC39F48" w14:textId="77777777" w:rsidTr="0064445A">
        <w:tc>
          <w:tcPr>
            <w:tcW w:w="2547" w:type="dxa"/>
          </w:tcPr>
          <w:p w14:paraId="68CFEF9D"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ОДЗ-Враца</w:t>
            </w:r>
          </w:p>
        </w:tc>
        <w:tc>
          <w:tcPr>
            <w:tcW w:w="1984" w:type="dxa"/>
            <w:tcBorders>
              <w:top w:val="nil"/>
            </w:tcBorders>
          </w:tcPr>
          <w:p w14:paraId="7E12E1C4" w14:textId="43D3103C"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РД-12-01-25-1/24.01.2022г.</w:t>
            </w:r>
          </w:p>
        </w:tc>
        <w:tc>
          <w:tcPr>
            <w:tcW w:w="5670" w:type="dxa"/>
          </w:tcPr>
          <w:p w14:paraId="356C20C1"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Представеното задание за определяне на обхвата и съдържанието по доклада за стратегическата оценка на околната среда на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2023- 2027 година е разработено в съответствие с изискванията на Наредбата за условията и реда за извършване на екологична оценка на планове и програми. Заданието е с насоченост да спомогне да се генерират, обсъдят и реализират идеи, обединяващи икономически, социални, екологични и обемно-пространствени решения с цел подобряване стандарта на обитаване. Използваният подход, методи и принципи при разработването на заданието гарантират в значителна степен съответствието с нормативните изисквания в областта на земеделието, както и с определените европейски, национални и регионални цели.</w:t>
            </w:r>
          </w:p>
          <w:p w14:paraId="10314C08"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Предвид горепосоченото ОД „Земеделие" - Враца счита , заданието за определяне на обхвата и съдържанието по доклада за стратегическа оценка на околната среда на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2023-2027 е изчерпателен и обхваща всички цели и стратегии относно качеството на изготвеното задание.</w:t>
            </w:r>
          </w:p>
        </w:tc>
        <w:tc>
          <w:tcPr>
            <w:tcW w:w="4395" w:type="dxa"/>
          </w:tcPr>
          <w:p w14:paraId="4E3E800F" w14:textId="77777777" w:rsidR="00706B92" w:rsidRPr="000B7C06" w:rsidRDefault="00BF5DA5" w:rsidP="004371D4">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706B92" w:rsidRPr="000B7C06" w14:paraId="3AB33F92" w14:textId="77777777" w:rsidTr="0064445A">
        <w:tc>
          <w:tcPr>
            <w:tcW w:w="2547" w:type="dxa"/>
          </w:tcPr>
          <w:p w14:paraId="41C27335"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t>ОДЗ - Добрич</w:t>
            </w:r>
          </w:p>
        </w:tc>
        <w:tc>
          <w:tcPr>
            <w:tcW w:w="1984" w:type="dxa"/>
            <w:tcBorders>
              <w:top w:val="nil"/>
            </w:tcBorders>
          </w:tcPr>
          <w:p w14:paraId="5BCAA13A" w14:textId="77777777"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08.02.2022г.</w:t>
            </w:r>
          </w:p>
        </w:tc>
        <w:tc>
          <w:tcPr>
            <w:tcW w:w="5670" w:type="dxa"/>
          </w:tcPr>
          <w:p w14:paraId="07981A45"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Прякото приложение на заложените цели и извършването на постоянен анализ и мониторинг определено ще окаже влияние върху опазването на природните местообитания, опазване на почвите и водите от замърсяване, запазване на баланса на обработваемите земеделски земи и пасищата, запазване на залесените територии.</w:t>
            </w:r>
          </w:p>
          <w:p w14:paraId="713487A1" w14:textId="35493595"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lastRenderedPageBreak/>
              <w:t xml:space="preserve">Като допълнение за предприемане на </w:t>
            </w:r>
            <w:r w:rsidR="00BF5DA5" w:rsidRPr="000B7C06">
              <w:rPr>
                <w:rFonts w:cs="Times New Roman"/>
                <w:sz w:val="20"/>
                <w:szCs w:val="20"/>
                <w:lang w:val="bg-BG"/>
              </w:rPr>
              <w:t>п</w:t>
            </w:r>
            <w:r w:rsidRPr="000B7C06">
              <w:rPr>
                <w:rFonts w:cs="Times New Roman"/>
                <w:sz w:val="20"/>
                <w:szCs w:val="20"/>
                <w:lang w:val="bg-BG"/>
              </w:rPr>
              <w:t>о-</w:t>
            </w:r>
            <w:proofErr w:type="spellStart"/>
            <w:r w:rsidRPr="000B7C06">
              <w:rPr>
                <w:rFonts w:cs="Times New Roman"/>
                <w:sz w:val="20"/>
                <w:szCs w:val="20"/>
                <w:lang w:val="bg-BG"/>
              </w:rPr>
              <w:t>нататьшни</w:t>
            </w:r>
            <w:proofErr w:type="spellEnd"/>
            <w:r w:rsidRPr="000B7C06">
              <w:rPr>
                <w:rFonts w:cs="Times New Roman"/>
                <w:sz w:val="20"/>
                <w:szCs w:val="20"/>
                <w:lang w:val="bg-BG"/>
              </w:rPr>
              <w:t xml:space="preserve"> действия във връзка с изпълнението на стратегическия план за развитие на земеделието и селските райони от голяма полза в предвид на честите коментари и срещи със земеделски стопани ще бъда промени в нормативната б</w:t>
            </w:r>
            <w:r w:rsidR="00C82469" w:rsidRPr="000B7C06">
              <w:rPr>
                <w:rFonts w:cs="Times New Roman"/>
                <w:sz w:val="20"/>
                <w:szCs w:val="20"/>
                <w:lang w:val="bg-BG"/>
              </w:rPr>
              <w:t>аз</w:t>
            </w:r>
            <w:r w:rsidRPr="000B7C06">
              <w:rPr>
                <w:rFonts w:cs="Times New Roman"/>
                <w:sz w:val="20"/>
                <w:szCs w:val="20"/>
                <w:lang w:val="bg-BG"/>
              </w:rPr>
              <w:t xml:space="preserve">а и синхронизиране на различните процедури свързани с изграждане на обекти в земеделски територии, свързани със стопанисването им и производство на селскостопанска продукция, с минимално засягане на обработваеми площи и при възможност без промяна предназначение на цели имоти, като се разширят заложените цели в стратегическия план и бъдат оценени ефектите от това. Такива обекти са сондажни кладенци и помпени съоръжения към тях, съоръжения от типа на водоеми и поливни системи, съоръжения за осигуряване на автономно електрическо захранване на помпите, както и разширяване на обхвата на обекти допустими по чл.2, ал. 1, т.1 от Наредба №19 от 25 октомври2012 г. за строителство в земеделските земи без промяна </w:t>
            </w:r>
            <w:r w:rsidR="004371D4">
              <w:rPr>
                <w:rFonts w:cs="Times New Roman"/>
                <w:sz w:val="20"/>
                <w:szCs w:val="20"/>
                <w:lang w:val="bg-BG"/>
              </w:rPr>
              <w:t>н</w:t>
            </w:r>
            <w:r w:rsidRPr="000B7C06">
              <w:rPr>
                <w:rFonts w:cs="Times New Roman"/>
                <w:sz w:val="20"/>
                <w:szCs w:val="20"/>
                <w:lang w:val="bg-BG"/>
              </w:rPr>
              <w:t xml:space="preserve">а предназначението им. Разширяването на видовете обекти се иска по отношение на възможността да се изграждат такива, допустими в чл.2, ал.1, т.2 и в по-малки от 10 дка имоти. Желанието на земеделските стопани е й да отпадне разработването на ПУП-ПЗ за по-големите от 10 дка имоти, като за тях също да е допустимо издаването на виза за проектиране, с която също могат да бъдат определяни възможните устройствени показатели и допустимо застрояване. В предвид на сегашните разнородни изисквания и тълкования от отделните Общини във връзка с приложението на ЗУТ и на </w:t>
            </w:r>
            <w:r w:rsidRPr="000B7C06">
              <w:rPr>
                <w:rFonts w:cs="Times New Roman"/>
                <w:sz w:val="20"/>
                <w:szCs w:val="20"/>
                <w:lang w:val="bg-BG"/>
              </w:rPr>
              <w:lastRenderedPageBreak/>
              <w:t>специализираните закони и наредби за земеделските територии са допуснати и изградени различни видове обекти в земеделски земи без да са налице проведени процедури в съответствие със съвременното законодателство и е наложително да се доразвие раздела по отношение на налагане на административни мерки в ЗОЗЗ, ППЗОЗЗ , както и в Наредба №19, които да позволяват след определени глоби или такси обектите да придобият статут на търпимост, като това се допълни и с изрични разпоредби на ЗУТ. Такива: мерки ще повишат контрола и мониторинга върху ползването на земеделски земи По предназначение без да се нанася вреда върху селскостопанския сектор и функционирането му.</w:t>
            </w:r>
          </w:p>
          <w:p w14:paraId="07441F08"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Предложените мерки са обект на интерес именно от малки земеделски стопанства, занимаващи се с отглеждане на плодове и зеленчуци ~ на открито и в оранжерии. Считат че ефектът от такива мерки ще увеличи и достъпността до различните мерки за подпомагане от ДФЗ и европейски фондове, които изискват и своевременна реакция и възможност за бързо окомплектоване на документация та кандидатстване.</w:t>
            </w:r>
          </w:p>
          <w:p w14:paraId="5B672CFA" w14:textId="1DF8099F"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Осигуряването на регламентирани и ясни условия, насърчаването развитието на интелигентен и устойчив сектор на селското стопанство, повишаване </w:t>
            </w:r>
            <w:r w:rsidR="004371D4">
              <w:rPr>
                <w:rFonts w:cs="Times New Roman"/>
                <w:sz w:val="20"/>
                <w:szCs w:val="20"/>
                <w:lang w:val="bg-BG"/>
              </w:rPr>
              <w:t>н</w:t>
            </w:r>
            <w:r w:rsidRPr="000B7C06">
              <w:rPr>
                <w:rFonts w:cs="Times New Roman"/>
                <w:sz w:val="20"/>
                <w:szCs w:val="20"/>
                <w:lang w:val="bg-BG"/>
              </w:rPr>
              <w:t>а ефективността на подкрепата на земеделските стопанства са предпоставка за стабилно икономическо бъдеще за земеделските стопани.</w:t>
            </w:r>
          </w:p>
        </w:tc>
        <w:tc>
          <w:tcPr>
            <w:tcW w:w="4395" w:type="dxa"/>
          </w:tcPr>
          <w:p w14:paraId="20356011" w14:textId="4E92ADD3" w:rsidR="00706B92" w:rsidRPr="000B7C06" w:rsidRDefault="004371D4" w:rsidP="004371D4">
            <w:pPr>
              <w:spacing w:after="60" w:line="264" w:lineRule="auto"/>
              <w:ind w:firstLine="0"/>
              <w:rPr>
                <w:rFonts w:cs="Times New Roman"/>
                <w:sz w:val="20"/>
                <w:szCs w:val="20"/>
                <w:lang w:val="bg-BG"/>
              </w:rPr>
            </w:pPr>
            <w:r>
              <w:rPr>
                <w:rFonts w:cs="Times New Roman"/>
                <w:sz w:val="20"/>
                <w:szCs w:val="20"/>
                <w:lang w:val="bg-BG"/>
              </w:rPr>
              <w:lastRenderedPageBreak/>
              <w:t>Доколкото са приложими коментарите от становището са отразени в ДЕО.</w:t>
            </w:r>
          </w:p>
        </w:tc>
      </w:tr>
      <w:tr w:rsidR="00706B92" w:rsidRPr="000B7C06" w14:paraId="4753915A" w14:textId="77777777" w:rsidTr="0064445A">
        <w:tc>
          <w:tcPr>
            <w:tcW w:w="2547" w:type="dxa"/>
          </w:tcPr>
          <w:p w14:paraId="099AA440"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ОДЗ-Ловеч</w:t>
            </w:r>
          </w:p>
        </w:tc>
        <w:tc>
          <w:tcPr>
            <w:tcW w:w="1984" w:type="dxa"/>
          </w:tcPr>
          <w:p w14:paraId="5409C83D" w14:textId="6C23669E"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РД-12-01-20-1/25.01.2022г.</w:t>
            </w:r>
          </w:p>
        </w:tc>
        <w:tc>
          <w:tcPr>
            <w:tcW w:w="5670" w:type="dxa"/>
          </w:tcPr>
          <w:p w14:paraId="1653BA3C"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Стратегическата оценка на околната среда в Позиция 2 от договор с възложител Министерство на земеделието, </w:t>
            </w:r>
            <w:r w:rsidRPr="000B7C06">
              <w:rPr>
                <w:rFonts w:cs="Times New Roman"/>
                <w:sz w:val="20"/>
                <w:szCs w:val="20"/>
                <w:lang w:val="bg-BG"/>
              </w:rPr>
              <w:lastRenderedPageBreak/>
              <w:t xml:space="preserve">храните и горите с предмет „Предварителна оценка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2021-2027“ е пълна, обективна и достатъчно изчерпателна. Нямаме забележки и допълнения към нея.</w:t>
            </w:r>
          </w:p>
        </w:tc>
        <w:tc>
          <w:tcPr>
            <w:tcW w:w="4395" w:type="dxa"/>
          </w:tcPr>
          <w:p w14:paraId="251C3CC1" w14:textId="77777777" w:rsidR="00706B92" w:rsidRPr="000B7C06" w:rsidRDefault="00BF5DA5" w:rsidP="004371D4">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lastRenderedPageBreak/>
              <w:t>Становището не съдържа бележки и препоръки към ДЕО.</w:t>
            </w:r>
          </w:p>
        </w:tc>
      </w:tr>
      <w:tr w:rsidR="00706B92" w:rsidRPr="000B7C06" w14:paraId="77FCD80A" w14:textId="77777777" w:rsidTr="0064445A">
        <w:tc>
          <w:tcPr>
            <w:tcW w:w="2547" w:type="dxa"/>
          </w:tcPr>
          <w:p w14:paraId="6BFC1058"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t>ОДЗ-Разград</w:t>
            </w:r>
          </w:p>
        </w:tc>
        <w:tc>
          <w:tcPr>
            <w:tcW w:w="1984" w:type="dxa"/>
          </w:tcPr>
          <w:p w14:paraId="268F33D2" w14:textId="2524BBFA"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РД-12-01-16-1/10.02.2022г.</w:t>
            </w:r>
          </w:p>
        </w:tc>
        <w:tc>
          <w:tcPr>
            <w:tcW w:w="5670" w:type="dxa"/>
          </w:tcPr>
          <w:p w14:paraId="5EC3C7D1"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След запознаване с изготвеното Задание за определяне на обхвата и съдържанието по доклада за стратегическа оценка на околната среда на СПРЗСР по </w:t>
            </w:r>
            <w:r w:rsidR="00D809BC" w:rsidRPr="000B7C06">
              <w:rPr>
                <w:rFonts w:cs="Times New Roman"/>
                <w:sz w:val="20"/>
                <w:szCs w:val="20"/>
                <w:lang w:val="bg-BG"/>
              </w:rPr>
              <w:t>РЗСР</w:t>
            </w:r>
            <w:r w:rsidRPr="000B7C06">
              <w:rPr>
                <w:rFonts w:cs="Times New Roman"/>
                <w:sz w:val="20"/>
                <w:szCs w:val="20"/>
                <w:lang w:val="bg-BG"/>
              </w:rPr>
              <w:t xml:space="preserve"> за периода 2023 - 2027 г. съгласуваме същото без забележки.</w:t>
            </w:r>
          </w:p>
        </w:tc>
        <w:tc>
          <w:tcPr>
            <w:tcW w:w="4395" w:type="dxa"/>
          </w:tcPr>
          <w:p w14:paraId="17D5968A" w14:textId="77777777" w:rsidR="00706B92" w:rsidRPr="000B7C06" w:rsidRDefault="00BF5DA5" w:rsidP="004371D4">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Становището не съдържа бележки и препоръки към ДЕО.</w:t>
            </w:r>
          </w:p>
        </w:tc>
      </w:tr>
      <w:tr w:rsidR="00706B92" w:rsidRPr="000B7C06" w14:paraId="4CB0A640" w14:textId="77777777" w:rsidTr="00EE537C">
        <w:tc>
          <w:tcPr>
            <w:tcW w:w="2547" w:type="dxa"/>
            <w:tcBorders>
              <w:bottom w:val="single" w:sz="4" w:space="0" w:color="auto"/>
            </w:tcBorders>
          </w:tcPr>
          <w:p w14:paraId="39F8E268"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t>ОДЗ-Стара Загора</w:t>
            </w:r>
          </w:p>
        </w:tc>
        <w:tc>
          <w:tcPr>
            <w:tcW w:w="1984" w:type="dxa"/>
            <w:tcBorders>
              <w:bottom w:val="single" w:sz="4" w:space="0" w:color="auto"/>
            </w:tcBorders>
          </w:tcPr>
          <w:p w14:paraId="0D4AB50B" w14:textId="0D4C33F9"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РД-12-01-18-1/28.01.2022г.</w:t>
            </w:r>
          </w:p>
        </w:tc>
        <w:tc>
          <w:tcPr>
            <w:tcW w:w="5670" w:type="dxa"/>
            <w:tcBorders>
              <w:bottom w:val="single" w:sz="4" w:space="0" w:color="auto"/>
            </w:tcBorders>
          </w:tcPr>
          <w:p w14:paraId="061012AF" w14:textId="77777777" w:rsidR="00706B92" w:rsidRPr="000B7C06" w:rsidRDefault="00706B92" w:rsidP="0084747F">
            <w:pPr>
              <w:widowControl w:val="0"/>
              <w:spacing w:after="60" w:line="264" w:lineRule="auto"/>
              <w:ind w:left="40" w:right="20"/>
              <w:rPr>
                <w:rFonts w:cs="Times New Roman"/>
                <w:sz w:val="20"/>
                <w:szCs w:val="20"/>
                <w:lang w:val="bg-BG"/>
              </w:rPr>
            </w:pPr>
            <w:r w:rsidRPr="000B7C06">
              <w:rPr>
                <w:rFonts w:eastAsia="Times New Roman" w:cs="Times New Roman"/>
                <w:color w:val="000000"/>
                <w:sz w:val="20"/>
                <w:szCs w:val="20"/>
                <w:lang w:val="bg-BG"/>
              </w:rPr>
              <w:t xml:space="preserve">ОД „Земеделие“- гр. Стара Загора няма коментари по повод задание за определяне на обхвата и съдържанието по доклада  за стратегическа оценка на околната среда, на СПРЗСР по </w:t>
            </w:r>
            <w:r w:rsidR="00D809BC" w:rsidRPr="000B7C06">
              <w:rPr>
                <w:rFonts w:eastAsia="Times New Roman" w:cs="Times New Roman"/>
                <w:color w:val="000000"/>
                <w:sz w:val="20"/>
                <w:szCs w:val="20"/>
                <w:lang w:val="bg-BG"/>
              </w:rPr>
              <w:t>РЗСР</w:t>
            </w:r>
            <w:r w:rsidRPr="000B7C06">
              <w:rPr>
                <w:rFonts w:eastAsia="Times New Roman" w:cs="Times New Roman"/>
                <w:color w:val="000000"/>
                <w:sz w:val="20"/>
                <w:szCs w:val="20"/>
                <w:lang w:val="bg-BG"/>
              </w:rPr>
              <w:t xml:space="preserve"> за периода 2023-2027 г.</w:t>
            </w:r>
          </w:p>
        </w:tc>
        <w:tc>
          <w:tcPr>
            <w:tcW w:w="4395" w:type="dxa"/>
            <w:tcBorders>
              <w:bottom w:val="single" w:sz="4" w:space="0" w:color="auto"/>
            </w:tcBorders>
          </w:tcPr>
          <w:p w14:paraId="31A97314" w14:textId="77777777" w:rsidR="00706B92" w:rsidRPr="000B7C06" w:rsidRDefault="00BF5DA5" w:rsidP="004371D4">
            <w:pPr>
              <w:spacing w:after="60" w:line="264" w:lineRule="auto"/>
              <w:ind w:firstLine="0"/>
              <w:rPr>
                <w:rFonts w:cs="Times New Roman"/>
                <w:sz w:val="20"/>
                <w:szCs w:val="20"/>
                <w:lang w:val="bg-BG"/>
              </w:rPr>
            </w:pPr>
            <w:r w:rsidRPr="000B7C06">
              <w:rPr>
                <w:rFonts w:cs="Times New Roman"/>
                <w:sz w:val="20"/>
                <w:szCs w:val="20"/>
                <w:lang w:val="bg-BG"/>
              </w:rPr>
              <w:t>Становището не съдържа бележки и препоръки към ДЕО.</w:t>
            </w:r>
          </w:p>
        </w:tc>
      </w:tr>
      <w:tr w:rsidR="00F62D7F" w:rsidRPr="000B7C06" w14:paraId="61799C37" w14:textId="77777777" w:rsidTr="00EE537C">
        <w:tc>
          <w:tcPr>
            <w:tcW w:w="2547" w:type="dxa"/>
            <w:tcBorders>
              <w:bottom w:val="single" w:sz="4" w:space="0" w:color="auto"/>
            </w:tcBorders>
          </w:tcPr>
          <w:p w14:paraId="2FE6B2E1" w14:textId="77777777" w:rsidR="00F62D7F" w:rsidRPr="000B7C06" w:rsidRDefault="00F62D7F" w:rsidP="004371D4">
            <w:pPr>
              <w:spacing w:after="60" w:line="264" w:lineRule="auto"/>
              <w:ind w:firstLine="0"/>
              <w:rPr>
                <w:rFonts w:cs="Times New Roman"/>
                <w:b/>
                <w:bCs/>
                <w:sz w:val="20"/>
                <w:szCs w:val="20"/>
                <w:lang w:val="bg-BG"/>
              </w:rPr>
            </w:pPr>
            <w:r w:rsidRPr="000B7C06">
              <w:rPr>
                <w:rFonts w:cs="Times New Roman"/>
                <w:b/>
                <w:bCs/>
                <w:sz w:val="20"/>
                <w:szCs w:val="20"/>
                <w:lang w:val="bg-BG"/>
              </w:rPr>
              <w:t>Изпълнителна агенция по горите</w:t>
            </w:r>
          </w:p>
        </w:tc>
        <w:tc>
          <w:tcPr>
            <w:tcW w:w="1984" w:type="dxa"/>
            <w:tcBorders>
              <w:bottom w:val="single" w:sz="4" w:space="0" w:color="auto"/>
            </w:tcBorders>
          </w:tcPr>
          <w:p w14:paraId="40691C1C" w14:textId="77777777" w:rsidR="00F62D7F" w:rsidRPr="000B7C06" w:rsidRDefault="00F62D7F" w:rsidP="004371D4">
            <w:pPr>
              <w:spacing w:after="60" w:line="264" w:lineRule="auto"/>
              <w:ind w:firstLine="0"/>
              <w:rPr>
                <w:rFonts w:cs="Times New Roman"/>
                <w:sz w:val="20"/>
                <w:szCs w:val="20"/>
                <w:lang w:val="bg-BG"/>
              </w:rPr>
            </w:pPr>
            <w:r w:rsidRPr="000B7C06">
              <w:rPr>
                <w:rFonts w:cs="Times New Roman"/>
                <w:sz w:val="20"/>
                <w:szCs w:val="20"/>
                <w:lang w:val="bg-BG"/>
              </w:rPr>
              <w:t>ИАГ-1753  25.01.2022г.</w:t>
            </w:r>
          </w:p>
        </w:tc>
        <w:tc>
          <w:tcPr>
            <w:tcW w:w="5670" w:type="dxa"/>
            <w:tcBorders>
              <w:bottom w:val="single" w:sz="4" w:space="0" w:color="auto"/>
            </w:tcBorders>
          </w:tcPr>
          <w:p w14:paraId="1B6824C2"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Изпратеният от Вас документ следва, съгласно чл. 19а на Наредбата за условията и реда за извършване на екологична оценка на планове и програми и чл. 86, ал. 3 на ЗООС, да определи обхвата и съдържанието по Доклада за „Стратегическа оценка на околната среда на </w:t>
            </w:r>
            <w:r w:rsidR="00CD4045" w:rsidRPr="000B7C06">
              <w:rPr>
                <w:rFonts w:cs="Times New Roman"/>
                <w:sz w:val="20"/>
                <w:szCs w:val="20"/>
                <w:lang w:val="bg-BG"/>
              </w:rPr>
              <w:t>СПРЗСР</w:t>
            </w:r>
            <w:r w:rsidRPr="000B7C06">
              <w:rPr>
                <w:rFonts w:cs="Times New Roman"/>
                <w:sz w:val="20"/>
                <w:szCs w:val="20"/>
                <w:lang w:val="bg-BG"/>
              </w:rPr>
              <w:t xml:space="preserve"> за периода 2021— 2027 г.“. Видно от предходното, в представеното приложение към Вашето писмо липсва </w:t>
            </w:r>
            <w:proofErr w:type="spellStart"/>
            <w:r w:rsidRPr="000B7C06">
              <w:rPr>
                <w:rFonts w:cs="Times New Roman"/>
                <w:sz w:val="20"/>
                <w:szCs w:val="20"/>
                <w:lang w:val="bg-BG"/>
              </w:rPr>
              <w:t>уеднаквеност</w:t>
            </w:r>
            <w:proofErr w:type="spellEnd"/>
            <w:r w:rsidRPr="000B7C06">
              <w:rPr>
                <w:rFonts w:cs="Times New Roman"/>
                <w:sz w:val="20"/>
                <w:szCs w:val="20"/>
                <w:lang w:val="bg-BG"/>
              </w:rPr>
              <w:t xml:space="preserve"> на периода на действие на този основополагащ за земеделието документ.</w:t>
            </w:r>
          </w:p>
          <w:p w14:paraId="0556DE01" w14:textId="77777777" w:rsidR="00F62D7F" w:rsidRPr="000B7C06" w:rsidRDefault="00F62D7F" w:rsidP="00F62D7F">
            <w:pPr>
              <w:widowControl w:val="0"/>
              <w:spacing w:after="60" w:line="264" w:lineRule="auto"/>
              <w:ind w:left="40" w:right="20"/>
              <w:rPr>
                <w:rFonts w:cs="Times New Roman"/>
                <w:sz w:val="20"/>
                <w:szCs w:val="20"/>
                <w:lang w:val="bg-BG"/>
              </w:rPr>
            </w:pPr>
            <w:r w:rsidRPr="000B7C06">
              <w:rPr>
                <w:rFonts w:cs="Times New Roman"/>
                <w:sz w:val="20"/>
                <w:szCs w:val="20"/>
                <w:lang w:val="bg-BG"/>
              </w:rPr>
              <w:t xml:space="preserve">Впечатление прави липсата на достатъчно информация и известна </w:t>
            </w:r>
            <w:proofErr w:type="spellStart"/>
            <w:r w:rsidRPr="000B7C06">
              <w:rPr>
                <w:rFonts w:cs="Times New Roman"/>
                <w:sz w:val="20"/>
                <w:szCs w:val="20"/>
                <w:lang w:val="bg-BG"/>
              </w:rPr>
              <w:t>приоритетност</w:t>
            </w:r>
            <w:proofErr w:type="spellEnd"/>
            <w:r w:rsidRPr="000B7C06">
              <w:rPr>
                <w:rFonts w:cs="Times New Roman"/>
                <w:sz w:val="20"/>
                <w:szCs w:val="20"/>
                <w:lang w:val="bg-BG"/>
              </w:rPr>
              <w:t xml:space="preserve"> на горите и горското стопанство. Точно обратното, както и на ниво Европейски съюз, устойчивото стопанисване на горите, опазването на богатото им биоразнообразие, приносът им за въглеродната неутралност, значимите им екологични и социални функции и </w:t>
            </w:r>
            <w:r w:rsidRPr="000B7C06">
              <w:rPr>
                <w:rFonts w:cs="Times New Roman"/>
                <w:sz w:val="20"/>
                <w:szCs w:val="20"/>
                <w:lang w:val="bg-BG"/>
              </w:rPr>
              <w:lastRenderedPageBreak/>
              <w:t xml:space="preserve">т.н. отсъстват най-общо казано, като все пак кратка информация е разхвърляна в отделни части на документа, като единствено по-сериозно (ако половин страница отговаря на това определение) са засегнати в частта за ландшафта. Например в т. 2 "Текущо състояние на околната среда и евентуално развитие без прилагането на </w:t>
            </w:r>
            <w:r w:rsidR="00CD4045" w:rsidRPr="000B7C06">
              <w:rPr>
                <w:rFonts w:cs="Times New Roman"/>
                <w:sz w:val="20"/>
                <w:szCs w:val="20"/>
                <w:lang w:val="bg-BG"/>
              </w:rPr>
              <w:t>СПРЗСР</w:t>
            </w:r>
            <w:r w:rsidRPr="000B7C06">
              <w:rPr>
                <w:rFonts w:cs="Times New Roman"/>
                <w:sz w:val="20"/>
                <w:szCs w:val="20"/>
                <w:lang w:val="bg-BG"/>
              </w:rPr>
              <w:t xml:space="preserve"> 2021-2027 г." за водите са отделени над 10 страници, което показва за пореден път липсата на </w:t>
            </w:r>
            <w:proofErr w:type="spellStart"/>
            <w:r w:rsidRPr="000B7C06">
              <w:rPr>
                <w:rFonts w:cs="Times New Roman"/>
                <w:sz w:val="20"/>
                <w:szCs w:val="20"/>
                <w:lang w:val="bg-BG"/>
              </w:rPr>
              <w:t>приоритетност</w:t>
            </w:r>
            <w:proofErr w:type="spellEnd"/>
            <w:r w:rsidRPr="000B7C06">
              <w:rPr>
                <w:rFonts w:cs="Times New Roman"/>
                <w:sz w:val="20"/>
                <w:szCs w:val="20"/>
                <w:lang w:val="bg-BG"/>
              </w:rPr>
              <w:t xml:space="preserve">, в т.ч. в рамките на инструментите, чрез които се прилага </w:t>
            </w:r>
            <w:r w:rsidR="00D809BC" w:rsidRPr="000B7C06">
              <w:rPr>
                <w:rFonts w:cs="Times New Roman"/>
                <w:sz w:val="20"/>
                <w:szCs w:val="20"/>
                <w:lang w:val="bg-BG"/>
              </w:rPr>
              <w:t>РЗСР</w:t>
            </w:r>
            <w:r w:rsidRPr="000B7C06">
              <w:rPr>
                <w:rFonts w:cs="Times New Roman"/>
                <w:sz w:val="20"/>
                <w:szCs w:val="20"/>
                <w:lang w:val="bg-BG"/>
              </w:rPr>
              <w:t xml:space="preserve"> в страната ни след членството в ЕС</w:t>
            </w:r>
          </w:p>
          <w:p w14:paraId="708F7054"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Текстът "Налице е и значителна загуба на земеделски земи с висока природна стойност и традиционни ландшафти, в следствие на промяна в начина на трайно ползване на земята, разораване, залесяване, отводняване и др." (стр. 10, т. 2) може да се счита до известна степен за недостоверен. Изпълнителна агенция по горите не разполага с официални данни за значителна загуба на земеделски земи с висока природна стойност вследствие на промяна в начина на трайно ползване чрез залесяване. Същевременно през последните години се наблюдава един интензивен процес на </w:t>
            </w:r>
            <w:proofErr w:type="spellStart"/>
            <w:r w:rsidRPr="000B7C06">
              <w:rPr>
                <w:rFonts w:cs="Times New Roman"/>
                <w:sz w:val="20"/>
                <w:szCs w:val="20"/>
                <w:lang w:val="bg-BG"/>
              </w:rPr>
              <w:t>самозалесяване</w:t>
            </w:r>
            <w:proofErr w:type="spellEnd"/>
            <w:r w:rsidRPr="000B7C06">
              <w:rPr>
                <w:rFonts w:cs="Times New Roman"/>
                <w:sz w:val="20"/>
                <w:szCs w:val="20"/>
                <w:lang w:val="bg-BG"/>
              </w:rPr>
              <w:t xml:space="preserve"> на предимно изоставени земеделски земи.</w:t>
            </w:r>
          </w:p>
          <w:p w14:paraId="49D5278C"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Текстът „….трансформация на </w:t>
            </w:r>
            <w:proofErr w:type="spellStart"/>
            <w:r w:rsidRPr="000B7C06">
              <w:rPr>
                <w:rFonts w:cs="Times New Roman"/>
                <w:sz w:val="20"/>
                <w:szCs w:val="20"/>
                <w:lang w:val="bg-BG"/>
              </w:rPr>
              <w:t>издънкови</w:t>
            </w:r>
            <w:proofErr w:type="spellEnd"/>
            <w:r w:rsidRPr="000B7C06">
              <w:rPr>
                <w:rFonts w:cs="Times New Roman"/>
                <w:sz w:val="20"/>
                <w:szCs w:val="20"/>
                <w:lang w:val="bg-BG"/>
              </w:rPr>
              <w:t xml:space="preserve"> гори в семенни, залесяване с типични видове и премахване на инвазивни видове, увеличаване на площта на горите във фаза на старост." (стр. 11, т. 4), е подходящо да се промени както следва: „..., </w:t>
            </w:r>
            <w:bookmarkStart w:id="653" w:name="_Hlk106196548"/>
            <w:r w:rsidRPr="000B7C06">
              <w:rPr>
                <w:rFonts w:cs="Times New Roman"/>
                <w:sz w:val="20"/>
                <w:szCs w:val="20"/>
                <w:lang w:val="bg-BG"/>
              </w:rPr>
              <w:t xml:space="preserve">трансформация на </w:t>
            </w:r>
            <w:proofErr w:type="spellStart"/>
            <w:r w:rsidRPr="000B7C06">
              <w:rPr>
                <w:rFonts w:cs="Times New Roman"/>
                <w:sz w:val="20"/>
                <w:szCs w:val="20"/>
                <w:lang w:val="bg-BG"/>
              </w:rPr>
              <w:t>издънкови</w:t>
            </w:r>
            <w:proofErr w:type="spellEnd"/>
            <w:r w:rsidRPr="000B7C06">
              <w:rPr>
                <w:rFonts w:cs="Times New Roman"/>
                <w:sz w:val="20"/>
                <w:szCs w:val="20"/>
                <w:lang w:val="bg-BG"/>
              </w:rPr>
              <w:t xml:space="preserve"> гори в семенни, залесяване с </w:t>
            </w:r>
            <w:r w:rsidRPr="000B7C06">
              <w:rPr>
                <w:rFonts w:cs="Times New Roman"/>
                <w:sz w:val="20"/>
                <w:szCs w:val="20"/>
                <w:lang w:val="bg-BG"/>
              </w:rPr>
              <w:lastRenderedPageBreak/>
              <w:t>местни/автохтонни видове и премахване на инвазивни видове, продължаване на процеса по обявяване на "гори във фаза на старост" като елемент от системата за поддържане на благоприятния природозащитен статус на горските местообитания от Натура 2000, съгласно изискванията на Директива 92/43/ЕИО/21.05.1992 на Съвета за опазване на естествените местообитания и на дивата флора и фауна.</w:t>
            </w:r>
            <w:bookmarkEnd w:id="653"/>
            <w:r w:rsidRPr="000B7C06">
              <w:rPr>
                <w:rFonts w:cs="Times New Roman"/>
                <w:sz w:val="20"/>
                <w:szCs w:val="20"/>
                <w:lang w:val="bg-BG"/>
              </w:rPr>
              <w:t xml:space="preserve">". </w:t>
            </w:r>
          </w:p>
          <w:p w14:paraId="115B0865"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На стр. 14 следва да се допише номерът на Приложението (в последен абзац), както и да се добави самото приложение към документа.</w:t>
            </w:r>
          </w:p>
          <w:p w14:paraId="6C5DB8B2"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Информацията за контакти на възложителя следва да бъде актуализирана.</w:t>
            </w:r>
          </w:p>
          <w:p w14:paraId="628372BB"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На стр. 16, първи абзац следва да се добави Стратегията на ЕС за горите. Документът следва да се добави и на стр. 25, </w:t>
            </w:r>
            <w:proofErr w:type="spellStart"/>
            <w:r w:rsidRPr="000B7C06">
              <w:rPr>
                <w:rFonts w:cs="Times New Roman"/>
                <w:sz w:val="20"/>
                <w:szCs w:val="20"/>
                <w:lang w:val="bg-BG"/>
              </w:rPr>
              <w:t>т.А</w:t>
            </w:r>
            <w:proofErr w:type="spellEnd"/>
            <w:r w:rsidRPr="000B7C06">
              <w:rPr>
                <w:rFonts w:cs="Times New Roman"/>
                <w:sz w:val="20"/>
                <w:szCs w:val="20"/>
                <w:lang w:val="bg-BG"/>
              </w:rPr>
              <w:t>, а в т. Б на същата страница следва да се добави Националната стратегия за развитие на горския сектор в Република България.</w:t>
            </w:r>
          </w:p>
          <w:p w14:paraId="67D569B1"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В т. 2.1.7.2. са използвани различни източници на информация по отношение на Натура 2000 от гледна точка актуалност на данните (напр. на стр. 50 е посочено, че информацията е актуална към 2021 г., а на следващата страница - към юли, 2019 г., като и в двата случая става дума за площ на зоните). Същевременно на стр. 51 е посочена невярна информация за горите в Натура 2000. Съгласно официалната инвентаризация на горските територии в Република България, към 31.12.2020 г. от всички горски територии (които са в размер </w:t>
            </w:r>
            <w:r w:rsidRPr="000B7C06">
              <w:rPr>
                <w:rFonts w:cs="Times New Roman"/>
                <w:sz w:val="20"/>
                <w:szCs w:val="20"/>
                <w:lang w:val="bg-BG"/>
              </w:rPr>
              <w:lastRenderedPageBreak/>
              <w:t xml:space="preserve">на 4 270 995 ха), повече от половината (около 56,7 %) са защитени в екологичната мрежа Натура 2000. Същевременно отчитайки общата площ на мрежата в сухоземната й част, над 63 % са горски територии. </w:t>
            </w:r>
          </w:p>
          <w:p w14:paraId="01448B83"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В т. 2.1.6 е включена информация (а именно текстът "Най-голямо намаление в площите 118 спрямо 2012 г. се наблюдава при "Горите"..."), която противоречи на официалната статистика, ежегодно представяна за горските територии чрез т.нар. Аграрен доклад на Министерството на земеделието (въпреки, че на стр. 76 се заявява използването на доклади от M3). Вероятно това се дължи на използваната оценка на ландшафта </w:t>
            </w:r>
            <w:proofErr w:type="spellStart"/>
            <w:r w:rsidRPr="000B7C06">
              <w:rPr>
                <w:rFonts w:cs="Times New Roman"/>
                <w:sz w:val="20"/>
                <w:szCs w:val="20"/>
                <w:lang w:val="bg-BG"/>
              </w:rPr>
              <w:t>Corine</w:t>
            </w:r>
            <w:proofErr w:type="spellEnd"/>
            <w:r w:rsidRPr="000B7C06">
              <w:rPr>
                <w:rFonts w:cs="Times New Roman"/>
                <w:sz w:val="20"/>
                <w:szCs w:val="20"/>
                <w:lang w:val="bg-BG"/>
              </w:rPr>
              <w:t xml:space="preserve"> </w:t>
            </w:r>
            <w:proofErr w:type="spellStart"/>
            <w:r w:rsidRPr="000B7C06">
              <w:rPr>
                <w:rFonts w:cs="Times New Roman"/>
                <w:sz w:val="20"/>
                <w:szCs w:val="20"/>
                <w:lang w:val="bg-BG"/>
              </w:rPr>
              <w:t>Land</w:t>
            </w:r>
            <w:proofErr w:type="spellEnd"/>
            <w:r w:rsidRPr="000B7C06">
              <w:rPr>
                <w:rFonts w:cs="Times New Roman"/>
                <w:sz w:val="20"/>
                <w:szCs w:val="20"/>
                <w:lang w:val="bg-BG"/>
              </w:rPr>
              <w:t xml:space="preserve"> </w:t>
            </w:r>
            <w:proofErr w:type="spellStart"/>
            <w:r w:rsidRPr="000B7C06">
              <w:rPr>
                <w:rFonts w:cs="Times New Roman"/>
                <w:sz w:val="20"/>
                <w:szCs w:val="20"/>
                <w:lang w:val="bg-BG"/>
              </w:rPr>
              <w:t>Cover</w:t>
            </w:r>
            <w:proofErr w:type="spellEnd"/>
            <w:r w:rsidRPr="000B7C06">
              <w:rPr>
                <w:rFonts w:cs="Times New Roman"/>
                <w:sz w:val="20"/>
                <w:szCs w:val="20"/>
                <w:lang w:val="bg-BG"/>
              </w:rPr>
              <w:t xml:space="preserve"> от 2018 г., направена въз основа на сателитни изображения, която показва известни неточности при оценката на категориите на ландшафта (респ. горите), посочени и в крайния отчет „Обновяване на националната база данни „КОРИНЕ земно покритие 2018“, а също и факта, че продукти от темата "Малки гористи обекти" (</w:t>
            </w:r>
            <w:proofErr w:type="spellStart"/>
            <w:r w:rsidRPr="000B7C06">
              <w:rPr>
                <w:rFonts w:cs="Times New Roman"/>
                <w:sz w:val="20"/>
                <w:szCs w:val="20"/>
                <w:lang w:val="bg-BG"/>
              </w:rPr>
              <w:t>Small</w:t>
            </w:r>
            <w:proofErr w:type="spellEnd"/>
            <w:r w:rsidRPr="000B7C06">
              <w:rPr>
                <w:rFonts w:cs="Times New Roman"/>
                <w:sz w:val="20"/>
                <w:szCs w:val="20"/>
                <w:lang w:val="bg-BG"/>
              </w:rPr>
              <w:t xml:space="preserve"> </w:t>
            </w:r>
            <w:proofErr w:type="spellStart"/>
            <w:r w:rsidRPr="000B7C06">
              <w:rPr>
                <w:rFonts w:cs="Times New Roman"/>
                <w:sz w:val="20"/>
                <w:szCs w:val="20"/>
                <w:lang w:val="bg-BG"/>
              </w:rPr>
              <w:t>Woody</w:t>
            </w:r>
            <w:proofErr w:type="spellEnd"/>
            <w:r w:rsidRPr="000B7C06">
              <w:rPr>
                <w:rFonts w:cs="Times New Roman"/>
                <w:sz w:val="20"/>
                <w:szCs w:val="20"/>
                <w:lang w:val="bg-BG"/>
              </w:rPr>
              <w:t xml:space="preserve"> </w:t>
            </w:r>
            <w:proofErr w:type="spellStart"/>
            <w:r w:rsidRPr="000B7C06">
              <w:rPr>
                <w:rFonts w:cs="Times New Roman"/>
                <w:sz w:val="20"/>
                <w:szCs w:val="20"/>
                <w:lang w:val="bg-BG"/>
              </w:rPr>
              <w:t>Features</w:t>
            </w:r>
            <w:proofErr w:type="spellEnd"/>
            <w:r w:rsidRPr="000B7C06">
              <w:rPr>
                <w:rFonts w:cs="Times New Roman"/>
                <w:sz w:val="20"/>
                <w:szCs w:val="20"/>
                <w:lang w:val="bg-BG"/>
              </w:rPr>
              <w:t xml:space="preserve">) не са включени в оценката. </w:t>
            </w:r>
          </w:p>
          <w:p w14:paraId="3DA8DCC2"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 xml:space="preserve">На стр. 47 във втори абзац ("По данни от проект...) се наблюдава несъответствие в данните за горите. В началото на абзаца се посочва, че 3-те основни класа гори съставляват 31 % от територията на страната или 3 568 758 </w:t>
            </w:r>
            <w:proofErr w:type="spellStart"/>
            <w:r w:rsidRPr="000B7C06">
              <w:rPr>
                <w:rFonts w:cs="Times New Roman"/>
                <w:sz w:val="20"/>
                <w:szCs w:val="20"/>
                <w:lang w:val="bg-BG"/>
              </w:rPr>
              <w:t>ha</w:t>
            </w:r>
            <w:proofErr w:type="spellEnd"/>
            <w:r w:rsidRPr="000B7C06">
              <w:rPr>
                <w:rFonts w:cs="Times New Roman"/>
                <w:sz w:val="20"/>
                <w:szCs w:val="20"/>
                <w:lang w:val="bg-BG"/>
              </w:rPr>
              <w:t xml:space="preserve">. След добавяне към тях на клас "Преходно дървесно-храстова растителност", която съставлява 6,75 % или 777 727 </w:t>
            </w:r>
            <w:proofErr w:type="spellStart"/>
            <w:r w:rsidRPr="000B7C06">
              <w:rPr>
                <w:rFonts w:cs="Times New Roman"/>
                <w:sz w:val="20"/>
                <w:szCs w:val="20"/>
                <w:lang w:val="bg-BG"/>
              </w:rPr>
              <w:t>ha</w:t>
            </w:r>
            <w:proofErr w:type="spellEnd"/>
            <w:r w:rsidRPr="000B7C06">
              <w:rPr>
                <w:rFonts w:cs="Times New Roman"/>
                <w:sz w:val="20"/>
                <w:szCs w:val="20"/>
                <w:lang w:val="bg-BG"/>
              </w:rPr>
              <w:t xml:space="preserve"> общият дял на горските екосистеми е 37,74 % или 4 346 485 ха, а не 2 374 613 </w:t>
            </w:r>
            <w:proofErr w:type="spellStart"/>
            <w:r w:rsidRPr="000B7C06">
              <w:rPr>
                <w:rFonts w:cs="Times New Roman"/>
                <w:sz w:val="20"/>
                <w:szCs w:val="20"/>
                <w:lang w:val="bg-BG"/>
              </w:rPr>
              <w:t>ha</w:t>
            </w:r>
            <w:proofErr w:type="spellEnd"/>
            <w:r w:rsidRPr="000B7C06">
              <w:rPr>
                <w:rFonts w:cs="Times New Roman"/>
                <w:sz w:val="20"/>
                <w:szCs w:val="20"/>
                <w:lang w:val="bg-BG"/>
              </w:rPr>
              <w:t xml:space="preserve"> както е посочено в текста.</w:t>
            </w:r>
          </w:p>
          <w:p w14:paraId="1229D2DA" w14:textId="77777777" w:rsidR="00F62D7F" w:rsidRPr="000B7C06" w:rsidRDefault="00F62D7F" w:rsidP="00F62D7F">
            <w:pPr>
              <w:spacing w:after="60" w:line="264" w:lineRule="auto"/>
              <w:rPr>
                <w:rFonts w:cs="Times New Roman"/>
                <w:sz w:val="20"/>
                <w:szCs w:val="20"/>
                <w:lang w:val="bg-BG"/>
              </w:rPr>
            </w:pPr>
            <w:proofErr w:type="spellStart"/>
            <w:r w:rsidRPr="000B7C06">
              <w:rPr>
                <w:rFonts w:cs="Times New Roman"/>
                <w:sz w:val="20"/>
                <w:szCs w:val="20"/>
                <w:lang w:val="bg-BG"/>
              </w:rPr>
              <w:lastRenderedPageBreak/>
              <w:t>Би</w:t>
            </w:r>
            <w:proofErr w:type="spellEnd"/>
            <w:r w:rsidRPr="000B7C06">
              <w:rPr>
                <w:rFonts w:cs="Times New Roman"/>
                <w:sz w:val="20"/>
                <w:szCs w:val="20"/>
                <w:lang w:val="bg-BG"/>
              </w:rPr>
              <w:t xml:space="preserve"> било целесъобразно да се използват данни от официалната статистика за горските територии, в страната, а не комбиниране на данни от два различни проекта (в случая </w:t>
            </w:r>
            <w:proofErr w:type="spellStart"/>
            <w:r w:rsidRPr="000B7C06">
              <w:rPr>
                <w:rFonts w:cs="Times New Roman"/>
                <w:sz w:val="20"/>
                <w:szCs w:val="20"/>
                <w:lang w:val="bg-BG"/>
              </w:rPr>
              <w:t>Corine</w:t>
            </w:r>
            <w:proofErr w:type="spellEnd"/>
            <w:r w:rsidRPr="000B7C06">
              <w:rPr>
                <w:rFonts w:cs="Times New Roman"/>
                <w:sz w:val="20"/>
                <w:szCs w:val="20"/>
                <w:lang w:val="bg-BG"/>
              </w:rPr>
              <w:t xml:space="preserve"> </w:t>
            </w:r>
            <w:proofErr w:type="spellStart"/>
            <w:r w:rsidRPr="000B7C06">
              <w:rPr>
                <w:rFonts w:cs="Times New Roman"/>
                <w:sz w:val="20"/>
                <w:szCs w:val="20"/>
                <w:lang w:val="bg-BG"/>
              </w:rPr>
              <w:t>land</w:t>
            </w:r>
            <w:proofErr w:type="spellEnd"/>
            <w:r w:rsidRPr="000B7C06">
              <w:rPr>
                <w:rFonts w:cs="Times New Roman"/>
                <w:sz w:val="20"/>
                <w:szCs w:val="20"/>
                <w:lang w:val="bg-BG"/>
              </w:rPr>
              <w:t xml:space="preserve"> </w:t>
            </w:r>
            <w:proofErr w:type="spellStart"/>
            <w:r w:rsidRPr="000B7C06">
              <w:rPr>
                <w:rFonts w:cs="Times New Roman"/>
                <w:sz w:val="20"/>
                <w:szCs w:val="20"/>
                <w:lang w:val="bg-BG"/>
              </w:rPr>
              <w:t>Cover</w:t>
            </w:r>
            <w:proofErr w:type="spellEnd"/>
            <w:r w:rsidRPr="000B7C06">
              <w:rPr>
                <w:rFonts w:cs="Times New Roman"/>
                <w:sz w:val="20"/>
                <w:szCs w:val="20"/>
                <w:lang w:val="bg-BG"/>
              </w:rPr>
              <w:t xml:space="preserve"> и MAES).</w:t>
            </w:r>
          </w:p>
          <w:p w14:paraId="698AA200"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Стр. 69 трети абзац да се замени със следния текст, както следва: "Горските пожари са голям проблем за флората и фауната, тъй като променят условията на околната среда, в т.ч. унищожават растителни и животински видове, много от които са редки и ценни, предизвикват ерозия на почвата и намаляване на постъпването на органични вещества в почвата, влошаване на санитарното състояние на горите</w:t>
            </w:r>
          </w:p>
          <w:p w14:paraId="0675CBAC"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Номерацията на съдържанието на документа следва да се коригира, като в т.ч. се добавят и липсващите точки.</w:t>
            </w:r>
          </w:p>
          <w:p w14:paraId="701327A6" w14:textId="77777777" w:rsidR="00F62D7F" w:rsidRPr="000B7C06" w:rsidRDefault="00440735" w:rsidP="00F62D7F">
            <w:pPr>
              <w:spacing w:after="60" w:line="264" w:lineRule="auto"/>
              <w:rPr>
                <w:rFonts w:cs="Times New Roman"/>
                <w:sz w:val="20"/>
                <w:szCs w:val="20"/>
                <w:lang w:val="bg-BG"/>
              </w:rPr>
            </w:pPr>
            <w:r w:rsidRPr="000B7C06">
              <w:rPr>
                <w:rFonts w:cs="Times New Roman"/>
                <w:sz w:val="20"/>
                <w:szCs w:val="20"/>
                <w:lang w:val="bg-BG"/>
              </w:rPr>
              <w:t>т</w:t>
            </w:r>
            <w:r w:rsidR="00F62D7F" w:rsidRPr="000B7C06">
              <w:rPr>
                <w:rFonts w:cs="Times New Roman"/>
                <w:sz w:val="20"/>
                <w:szCs w:val="20"/>
                <w:lang w:val="bg-BG"/>
              </w:rPr>
              <w:t xml:space="preserve">. 5 на стр. 70 и т. 7 на стр. 73 не са попълнени, а единствено е записано какво следва да съдържат. Подобна е ситуацията и с </w:t>
            </w:r>
            <w:proofErr w:type="spellStart"/>
            <w:r w:rsidR="00F62D7F" w:rsidRPr="000B7C06">
              <w:rPr>
                <w:rFonts w:cs="Times New Roman"/>
                <w:sz w:val="20"/>
                <w:szCs w:val="20"/>
                <w:lang w:val="bg-BG"/>
              </w:rPr>
              <w:t>т.т</w:t>
            </w:r>
            <w:proofErr w:type="spellEnd"/>
            <w:r w:rsidR="00F62D7F" w:rsidRPr="000B7C06">
              <w:rPr>
                <w:rFonts w:cs="Times New Roman"/>
                <w:sz w:val="20"/>
                <w:szCs w:val="20"/>
                <w:lang w:val="bg-BG"/>
              </w:rPr>
              <w:t>. 11, 12, 13 и 14. В допълнение, налице е известно припокриване на номерацията на целия документ с тази, посочена в т. 15 (стр. 78-80), като се предполага, че същата следва да бъде уеднаквена.</w:t>
            </w:r>
          </w:p>
          <w:p w14:paraId="29E504EA" w14:textId="77777777" w:rsidR="00F62D7F" w:rsidRPr="000B7C06" w:rsidRDefault="00F62D7F" w:rsidP="00F62D7F">
            <w:pPr>
              <w:spacing w:after="60" w:line="264" w:lineRule="auto"/>
              <w:rPr>
                <w:rFonts w:cs="Times New Roman"/>
                <w:sz w:val="20"/>
                <w:szCs w:val="20"/>
                <w:lang w:val="bg-BG"/>
              </w:rPr>
            </w:pPr>
            <w:r w:rsidRPr="000B7C06">
              <w:rPr>
                <w:rFonts w:cs="Times New Roman"/>
                <w:sz w:val="20"/>
                <w:szCs w:val="20"/>
                <w:lang w:val="bg-BG"/>
              </w:rPr>
              <w:t>Налице са множество грешки (правописни, граматически и пунктуационни) и неточности (напр. в някои наименования, периоди и др.), които следва да се отстранят.</w:t>
            </w:r>
          </w:p>
          <w:p w14:paraId="51FA575A" w14:textId="77777777" w:rsidR="00F62D7F" w:rsidRPr="000B7C06" w:rsidRDefault="00F62D7F" w:rsidP="00440735">
            <w:pPr>
              <w:widowControl w:val="0"/>
              <w:spacing w:after="60" w:line="264" w:lineRule="auto"/>
              <w:ind w:left="40" w:right="20"/>
              <w:rPr>
                <w:rFonts w:eastAsia="Times New Roman" w:cs="Times New Roman"/>
                <w:color w:val="000000"/>
                <w:sz w:val="20"/>
                <w:szCs w:val="20"/>
                <w:lang w:val="bg-BG"/>
              </w:rPr>
            </w:pPr>
            <w:r w:rsidRPr="000B7C06">
              <w:rPr>
                <w:rFonts w:cs="Times New Roman"/>
                <w:sz w:val="20"/>
                <w:szCs w:val="20"/>
                <w:lang w:val="bg-BG"/>
              </w:rPr>
              <w:t xml:space="preserve">В заключение следва да посочим, че документът е сравнително добре разработен, но е подходящо да бъде цялостно редактиран с цел да бъдат отразени поне част от гореизложените бележки и коментари. Особено внимание </w:t>
            </w:r>
            <w:r w:rsidRPr="000B7C06">
              <w:rPr>
                <w:rFonts w:cs="Times New Roman"/>
                <w:sz w:val="20"/>
                <w:szCs w:val="20"/>
                <w:lang w:val="bg-BG"/>
              </w:rPr>
              <w:lastRenderedPageBreak/>
              <w:t>следва да бъде обърнато на втория от гореизложените, като Изпълнителна агенция по горите при необходимост може да подпомогне разработването на отделна част в документа, която подобаващо да засегне въпроса с горите и горското стопанство на страната.</w:t>
            </w:r>
          </w:p>
        </w:tc>
        <w:tc>
          <w:tcPr>
            <w:tcW w:w="4395" w:type="dxa"/>
            <w:tcBorders>
              <w:bottom w:val="single" w:sz="4" w:space="0" w:color="auto"/>
            </w:tcBorders>
          </w:tcPr>
          <w:p w14:paraId="0BF60971"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Бележката е съобразена при разработването на ДЕО.</w:t>
            </w:r>
          </w:p>
          <w:p w14:paraId="78D4DD2F" w14:textId="77777777" w:rsidR="00F62D7F" w:rsidRPr="000B7C06" w:rsidRDefault="00F62D7F" w:rsidP="00F62D7F">
            <w:pPr>
              <w:spacing w:after="60" w:line="264" w:lineRule="auto"/>
              <w:rPr>
                <w:rFonts w:eastAsia="Times New Roman" w:cs="Times New Roman"/>
                <w:bCs/>
                <w:sz w:val="20"/>
                <w:szCs w:val="20"/>
                <w:lang w:val="bg-BG" w:eastAsia="bg-BG"/>
              </w:rPr>
            </w:pPr>
          </w:p>
          <w:p w14:paraId="19364991" w14:textId="77777777" w:rsidR="00F62D7F" w:rsidRPr="000B7C06" w:rsidRDefault="00F62D7F" w:rsidP="00F62D7F">
            <w:pPr>
              <w:spacing w:after="60" w:line="264" w:lineRule="auto"/>
              <w:rPr>
                <w:rFonts w:eastAsia="Times New Roman" w:cs="Times New Roman"/>
                <w:bCs/>
                <w:sz w:val="20"/>
                <w:szCs w:val="20"/>
                <w:lang w:val="bg-BG" w:eastAsia="bg-BG"/>
              </w:rPr>
            </w:pPr>
          </w:p>
          <w:p w14:paraId="52B0EBF5" w14:textId="77777777" w:rsidR="00F62D7F" w:rsidRPr="000B7C06" w:rsidRDefault="00F62D7F" w:rsidP="00F62D7F">
            <w:pPr>
              <w:spacing w:after="60" w:line="264" w:lineRule="auto"/>
              <w:rPr>
                <w:rFonts w:eastAsia="Times New Roman" w:cs="Times New Roman"/>
                <w:bCs/>
                <w:sz w:val="20"/>
                <w:szCs w:val="20"/>
                <w:lang w:val="bg-BG" w:eastAsia="bg-BG"/>
              </w:rPr>
            </w:pPr>
          </w:p>
          <w:p w14:paraId="6858FD41" w14:textId="77777777" w:rsidR="00F62D7F" w:rsidRPr="000B7C06" w:rsidRDefault="00F62D7F" w:rsidP="00F62D7F">
            <w:pPr>
              <w:spacing w:after="60" w:line="264" w:lineRule="auto"/>
              <w:rPr>
                <w:rFonts w:eastAsia="Times New Roman" w:cs="Times New Roman"/>
                <w:bCs/>
                <w:sz w:val="20"/>
                <w:szCs w:val="20"/>
                <w:lang w:val="bg-BG" w:eastAsia="bg-BG"/>
              </w:rPr>
            </w:pPr>
          </w:p>
          <w:p w14:paraId="38F88BFE" w14:textId="77777777" w:rsidR="00F62D7F" w:rsidRPr="000B7C06" w:rsidRDefault="00F62D7F" w:rsidP="00F62D7F">
            <w:pPr>
              <w:spacing w:after="60" w:line="264" w:lineRule="auto"/>
              <w:rPr>
                <w:rFonts w:eastAsia="Times New Roman" w:cs="Times New Roman"/>
                <w:bCs/>
                <w:sz w:val="20"/>
                <w:szCs w:val="20"/>
                <w:lang w:val="bg-BG" w:eastAsia="bg-BG"/>
              </w:rPr>
            </w:pPr>
          </w:p>
          <w:p w14:paraId="321F5FE6" w14:textId="77777777" w:rsidR="00F62D7F" w:rsidRPr="000B7C06" w:rsidRDefault="00F62D7F" w:rsidP="004371D4">
            <w:pPr>
              <w:spacing w:after="60" w:line="264" w:lineRule="auto"/>
              <w:ind w:firstLine="0"/>
              <w:rPr>
                <w:rFonts w:cs="Times New Roman"/>
                <w:sz w:val="20"/>
                <w:szCs w:val="20"/>
                <w:lang w:val="bg-BG"/>
              </w:rPr>
            </w:pPr>
            <w:r w:rsidRPr="000B7C06">
              <w:rPr>
                <w:rFonts w:eastAsia="Times New Roman" w:cs="Times New Roman"/>
                <w:bCs/>
                <w:sz w:val="20"/>
                <w:szCs w:val="20"/>
                <w:lang w:val="bg-BG" w:eastAsia="bg-BG"/>
              </w:rPr>
              <w:t>Бележката е съобразена при разработването на т.5.2.13 и т. 6.8 на ДЕО</w:t>
            </w:r>
          </w:p>
          <w:p w14:paraId="78AEBF1C" w14:textId="77777777" w:rsidR="00F62D7F" w:rsidRPr="000B7C06" w:rsidRDefault="00F62D7F" w:rsidP="00F62D7F">
            <w:pPr>
              <w:spacing w:after="60" w:line="264" w:lineRule="auto"/>
              <w:rPr>
                <w:rFonts w:eastAsia="Times New Roman" w:cs="Times New Roman"/>
                <w:bCs/>
                <w:sz w:val="20"/>
                <w:szCs w:val="20"/>
                <w:lang w:val="bg-BG" w:eastAsia="bg-BG"/>
              </w:rPr>
            </w:pPr>
          </w:p>
          <w:p w14:paraId="62E69D17" w14:textId="77777777" w:rsidR="00F62D7F" w:rsidRPr="000B7C06" w:rsidRDefault="00F62D7F" w:rsidP="00F62D7F">
            <w:pPr>
              <w:spacing w:after="60" w:line="264" w:lineRule="auto"/>
              <w:rPr>
                <w:rFonts w:eastAsia="Times New Roman" w:cs="Times New Roman"/>
                <w:bCs/>
                <w:sz w:val="20"/>
                <w:szCs w:val="20"/>
                <w:lang w:val="bg-BG" w:eastAsia="bg-BG"/>
              </w:rPr>
            </w:pPr>
          </w:p>
          <w:p w14:paraId="44256860" w14:textId="77777777" w:rsidR="00F62D7F" w:rsidRPr="000B7C06" w:rsidRDefault="00F62D7F" w:rsidP="00F62D7F">
            <w:pPr>
              <w:spacing w:after="60" w:line="264" w:lineRule="auto"/>
              <w:rPr>
                <w:rFonts w:eastAsia="Times New Roman" w:cs="Times New Roman"/>
                <w:bCs/>
                <w:sz w:val="20"/>
                <w:szCs w:val="20"/>
                <w:lang w:val="bg-BG" w:eastAsia="bg-BG"/>
              </w:rPr>
            </w:pPr>
          </w:p>
          <w:p w14:paraId="6A220FBA" w14:textId="77777777" w:rsidR="00F62D7F" w:rsidRPr="000B7C06" w:rsidRDefault="00F62D7F" w:rsidP="00F62D7F">
            <w:pPr>
              <w:spacing w:after="60" w:line="264" w:lineRule="auto"/>
              <w:rPr>
                <w:rFonts w:eastAsia="Times New Roman" w:cs="Times New Roman"/>
                <w:bCs/>
                <w:sz w:val="20"/>
                <w:szCs w:val="20"/>
                <w:lang w:val="bg-BG" w:eastAsia="bg-BG"/>
              </w:rPr>
            </w:pPr>
          </w:p>
          <w:p w14:paraId="37C23F24" w14:textId="77777777" w:rsidR="00F62D7F" w:rsidRPr="000B7C06" w:rsidRDefault="00F62D7F" w:rsidP="00F62D7F">
            <w:pPr>
              <w:spacing w:after="60" w:line="264" w:lineRule="auto"/>
              <w:rPr>
                <w:rFonts w:eastAsia="Times New Roman" w:cs="Times New Roman"/>
                <w:bCs/>
                <w:sz w:val="20"/>
                <w:szCs w:val="20"/>
                <w:lang w:val="bg-BG" w:eastAsia="bg-BG"/>
              </w:rPr>
            </w:pPr>
          </w:p>
          <w:p w14:paraId="31FD297C" w14:textId="77777777" w:rsidR="00F62D7F" w:rsidRPr="000B7C06" w:rsidRDefault="00F62D7F" w:rsidP="00F62D7F">
            <w:pPr>
              <w:spacing w:after="60" w:line="264" w:lineRule="auto"/>
              <w:rPr>
                <w:rFonts w:eastAsia="Times New Roman" w:cs="Times New Roman"/>
                <w:bCs/>
                <w:sz w:val="20"/>
                <w:szCs w:val="20"/>
                <w:lang w:val="bg-BG" w:eastAsia="bg-BG"/>
              </w:rPr>
            </w:pPr>
          </w:p>
          <w:p w14:paraId="582D58FB" w14:textId="77777777" w:rsidR="00F62D7F" w:rsidRPr="000B7C06" w:rsidRDefault="00F62D7F" w:rsidP="00F62D7F">
            <w:pPr>
              <w:spacing w:after="60" w:line="264" w:lineRule="auto"/>
              <w:rPr>
                <w:rFonts w:eastAsia="Times New Roman" w:cs="Times New Roman"/>
                <w:bCs/>
                <w:sz w:val="20"/>
                <w:szCs w:val="20"/>
                <w:lang w:val="bg-BG" w:eastAsia="bg-BG"/>
              </w:rPr>
            </w:pPr>
          </w:p>
          <w:p w14:paraId="5EBB7457" w14:textId="77777777" w:rsidR="00F62D7F" w:rsidRPr="000B7C06" w:rsidRDefault="00F62D7F" w:rsidP="00F62D7F">
            <w:pPr>
              <w:spacing w:after="60" w:line="264" w:lineRule="auto"/>
              <w:rPr>
                <w:rFonts w:eastAsia="Times New Roman" w:cs="Times New Roman"/>
                <w:bCs/>
                <w:sz w:val="20"/>
                <w:szCs w:val="20"/>
                <w:lang w:val="bg-BG" w:eastAsia="bg-BG"/>
              </w:rPr>
            </w:pPr>
          </w:p>
          <w:p w14:paraId="586B21AB" w14:textId="77777777" w:rsidR="00F62D7F" w:rsidRPr="000B7C06" w:rsidRDefault="00F62D7F" w:rsidP="00F62D7F">
            <w:pPr>
              <w:spacing w:after="60" w:line="264" w:lineRule="auto"/>
              <w:rPr>
                <w:rFonts w:eastAsia="Times New Roman" w:cs="Times New Roman"/>
                <w:bCs/>
                <w:sz w:val="20"/>
                <w:szCs w:val="20"/>
                <w:lang w:val="bg-BG" w:eastAsia="bg-BG"/>
              </w:rPr>
            </w:pPr>
          </w:p>
          <w:p w14:paraId="20F784D3" w14:textId="77777777" w:rsidR="00F62D7F" w:rsidRPr="000B7C06" w:rsidRDefault="00F62D7F" w:rsidP="00F62D7F">
            <w:pPr>
              <w:spacing w:after="60" w:line="264" w:lineRule="auto"/>
              <w:rPr>
                <w:rFonts w:eastAsia="Times New Roman" w:cs="Times New Roman"/>
                <w:bCs/>
                <w:sz w:val="20"/>
                <w:szCs w:val="20"/>
                <w:lang w:val="bg-BG" w:eastAsia="bg-BG"/>
              </w:rPr>
            </w:pPr>
          </w:p>
          <w:p w14:paraId="52AF551D" w14:textId="77777777" w:rsidR="00F62D7F" w:rsidRPr="000B7C06" w:rsidRDefault="00F62D7F" w:rsidP="00F62D7F">
            <w:pPr>
              <w:spacing w:after="60" w:line="264" w:lineRule="auto"/>
              <w:rPr>
                <w:rFonts w:eastAsia="Times New Roman" w:cs="Times New Roman"/>
                <w:bCs/>
                <w:sz w:val="20"/>
                <w:szCs w:val="20"/>
                <w:lang w:val="bg-BG" w:eastAsia="bg-BG"/>
              </w:rPr>
            </w:pPr>
          </w:p>
          <w:p w14:paraId="2B6117CC" w14:textId="77777777" w:rsidR="00440735" w:rsidRPr="000B7C06" w:rsidRDefault="00440735" w:rsidP="00F62D7F">
            <w:pPr>
              <w:spacing w:after="60" w:line="264" w:lineRule="auto"/>
              <w:rPr>
                <w:rFonts w:eastAsia="Times New Roman" w:cs="Times New Roman"/>
                <w:bCs/>
                <w:sz w:val="20"/>
                <w:szCs w:val="20"/>
                <w:lang w:val="bg-BG" w:eastAsia="bg-BG"/>
              </w:rPr>
            </w:pPr>
          </w:p>
          <w:p w14:paraId="46DAB3EB"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4F350ACC" w14:textId="77777777" w:rsidR="00F62D7F" w:rsidRPr="000B7C06" w:rsidRDefault="00F62D7F" w:rsidP="00F62D7F">
            <w:pPr>
              <w:spacing w:after="60" w:line="264" w:lineRule="auto"/>
              <w:rPr>
                <w:rFonts w:eastAsia="Times New Roman" w:cs="Times New Roman"/>
                <w:bCs/>
                <w:sz w:val="20"/>
                <w:szCs w:val="20"/>
                <w:lang w:val="bg-BG" w:eastAsia="bg-BG"/>
              </w:rPr>
            </w:pPr>
          </w:p>
          <w:p w14:paraId="40EC1870" w14:textId="77777777" w:rsidR="00F62D7F" w:rsidRPr="000B7C06" w:rsidRDefault="00F62D7F" w:rsidP="00F62D7F">
            <w:pPr>
              <w:spacing w:after="60" w:line="264" w:lineRule="auto"/>
              <w:rPr>
                <w:rFonts w:eastAsia="Times New Roman" w:cs="Times New Roman"/>
                <w:bCs/>
                <w:sz w:val="20"/>
                <w:szCs w:val="20"/>
                <w:lang w:val="bg-BG" w:eastAsia="bg-BG"/>
              </w:rPr>
            </w:pPr>
          </w:p>
          <w:p w14:paraId="3C7262D8" w14:textId="77777777" w:rsidR="00F62D7F" w:rsidRPr="000B7C06" w:rsidRDefault="00F62D7F" w:rsidP="00F62D7F">
            <w:pPr>
              <w:spacing w:after="60" w:line="264" w:lineRule="auto"/>
              <w:rPr>
                <w:rFonts w:eastAsia="Times New Roman" w:cs="Times New Roman"/>
                <w:bCs/>
                <w:sz w:val="20"/>
                <w:szCs w:val="20"/>
                <w:lang w:val="bg-BG" w:eastAsia="bg-BG"/>
              </w:rPr>
            </w:pPr>
          </w:p>
          <w:p w14:paraId="0B46D05D" w14:textId="77777777" w:rsidR="00F62D7F" w:rsidRPr="000B7C06" w:rsidRDefault="00F62D7F" w:rsidP="00F62D7F">
            <w:pPr>
              <w:spacing w:after="60" w:line="264" w:lineRule="auto"/>
              <w:rPr>
                <w:rFonts w:eastAsia="Times New Roman" w:cs="Times New Roman"/>
                <w:bCs/>
                <w:sz w:val="20"/>
                <w:szCs w:val="20"/>
                <w:lang w:val="bg-BG" w:eastAsia="bg-BG"/>
              </w:rPr>
            </w:pPr>
          </w:p>
          <w:p w14:paraId="36B435BC" w14:textId="77777777" w:rsidR="00F62D7F" w:rsidRPr="000B7C06" w:rsidRDefault="00F62D7F" w:rsidP="00F62D7F">
            <w:pPr>
              <w:spacing w:after="60" w:line="264" w:lineRule="auto"/>
              <w:rPr>
                <w:rFonts w:eastAsia="Times New Roman" w:cs="Times New Roman"/>
                <w:bCs/>
                <w:sz w:val="20"/>
                <w:szCs w:val="20"/>
                <w:lang w:val="bg-BG" w:eastAsia="bg-BG"/>
              </w:rPr>
            </w:pPr>
          </w:p>
          <w:p w14:paraId="3A7E3EBF" w14:textId="77777777" w:rsidR="00F62D7F" w:rsidRPr="000B7C06" w:rsidRDefault="00F62D7F" w:rsidP="00F62D7F">
            <w:pPr>
              <w:spacing w:after="60" w:line="264" w:lineRule="auto"/>
              <w:rPr>
                <w:rFonts w:eastAsia="Times New Roman" w:cs="Times New Roman"/>
                <w:bCs/>
                <w:sz w:val="20"/>
                <w:szCs w:val="20"/>
                <w:lang w:val="bg-BG" w:eastAsia="bg-BG"/>
              </w:rPr>
            </w:pPr>
          </w:p>
          <w:p w14:paraId="1839E9E0" w14:textId="77777777" w:rsidR="00F62D7F" w:rsidRPr="000B7C06" w:rsidRDefault="00F62D7F" w:rsidP="00F62D7F">
            <w:pPr>
              <w:spacing w:after="60" w:line="264" w:lineRule="auto"/>
              <w:rPr>
                <w:rFonts w:eastAsia="Times New Roman" w:cs="Times New Roman"/>
                <w:bCs/>
                <w:sz w:val="20"/>
                <w:szCs w:val="20"/>
                <w:lang w:val="bg-BG" w:eastAsia="bg-BG"/>
              </w:rPr>
            </w:pPr>
          </w:p>
          <w:p w14:paraId="00CDEA9B" w14:textId="77777777" w:rsidR="00F62D7F" w:rsidRPr="000B7C06" w:rsidRDefault="00F62D7F"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76ADE092" w14:textId="77777777" w:rsidR="00F62D7F" w:rsidRPr="000B7C06" w:rsidRDefault="00F62D7F" w:rsidP="00F62D7F">
            <w:pPr>
              <w:spacing w:after="60" w:line="264" w:lineRule="auto"/>
              <w:rPr>
                <w:rFonts w:cs="Times New Roman"/>
                <w:sz w:val="20"/>
                <w:szCs w:val="20"/>
                <w:lang w:val="bg-BG"/>
              </w:rPr>
            </w:pPr>
          </w:p>
          <w:p w14:paraId="078D3DF3" w14:textId="77777777" w:rsidR="00F62D7F" w:rsidRPr="000B7C06" w:rsidRDefault="00F62D7F" w:rsidP="00F62D7F">
            <w:pPr>
              <w:spacing w:after="60" w:line="264" w:lineRule="auto"/>
              <w:rPr>
                <w:rFonts w:cs="Times New Roman"/>
                <w:sz w:val="20"/>
                <w:szCs w:val="20"/>
                <w:lang w:val="bg-BG"/>
              </w:rPr>
            </w:pPr>
          </w:p>
          <w:p w14:paraId="508E4A80" w14:textId="77777777" w:rsidR="00F62D7F" w:rsidRPr="000B7C06" w:rsidRDefault="00F62D7F" w:rsidP="00F62D7F">
            <w:pPr>
              <w:spacing w:after="60" w:line="264" w:lineRule="auto"/>
              <w:rPr>
                <w:rFonts w:cs="Times New Roman"/>
                <w:sz w:val="20"/>
                <w:szCs w:val="20"/>
                <w:lang w:val="bg-BG"/>
              </w:rPr>
            </w:pPr>
          </w:p>
          <w:p w14:paraId="7DCCE551" w14:textId="77777777" w:rsidR="00F62D7F" w:rsidRPr="000B7C06" w:rsidRDefault="00F62D7F" w:rsidP="00F62D7F">
            <w:pPr>
              <w:spacing w:after="60" w:line="264" w:lineRule="auto"/>
              <w:rPr>
                <w:rFonts w:cs="Times New Roman"/>
                <w:sz w:val="20"/>
                <w:szCs w:val="20"/>
                <w:lang w:val="bg-BG"/>
              </w:rPr>
            </w:pPr>
          </w:p>
          <w:p w14:paraId="388645F1" w14:textId="77777777" w:rsidR="00F62D7F" w:rsidRPr="000B7C06" w:rsidRDefault="00F62D7F" w:rsidP="00F62D7F">
            <w:pPr>
              <w:spacing w:after="60" w:line="264" w:lineRule="auto"/>
              <w:rPr>
                <w:rFonts w:cs="Times New Roman"/>
                <w:sz w:val="20"/>
                <w:szCs w:val="20"/>
                <w:lang w:val="bg-BG"/>
              </w:rPr>
            </w:pPr>
          </w:p>
          <w:p w14:paraId="12360F96" w14:textId="77777777" w:rsidR="00F62D7F" w:rsidRPr="000B7C06" w:rsidRDefault="00F62D7F" w:rsidP="00F62D7F">
            <w:pPr>
              <w:spacing w:after="60" w:line="264" w:lineRule="auto"/>
              <w:rPr>
                <w:rFonts w:cs="Times New Roman"/>
                <w:sz w:val="20"/>
                <w:szCs w:val="20"/>
                <w:lang w:val="bg-BG"/>
              </w:rPr>
            </w:pPr>
          </w:p>
          <w:p w14:paraId="3F00A996" w14:textId="77777777" w:rsidR="00F62D7F" w:rsidRPr="000B7C06" w:rsidRDefault="00F62D7F" w:rsidP="00F62D7F">
            <w:pPr>
              <w:spacing w:after="60" w:line="264" w:lineRule="auto"/>
              <w:rPr>
                <w:rFonts w:cs="Times New Roman"/>
                <w:sz w:val="20"/>
                <w:szCs w:val="20"/>
                <w:lang w:val="bg-BG"/>
              </w:rPr>
            </w:pPr>
          </w:p>
          <w:p w14:paraId="1776ACE5" w14:textId="77777777" w:rsidR="00F62D7F" w:rsidRPr="000B7C06" w:rsidRDefault="00F62D7F" w:rsidP="00F62D7F">
            <w:pPr>
              <w:spacing w:after="60" w:line="264" w:lineRule="auto"/>
              <w:rPr>
                <w:rFonts w:cs="Times New Roman"/>
                <w:sz w:val="20"/>
                <w:szCs w:val="20"/>
                <w:lang w:val="bg-BG"/>
              </w:rPr>
            </w:pPr>
          </w:p>
          <w:p w14:paraId="3ED39905"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56A227C3" w14:textId="77777777" w:rsidR="00F62D7F" w:rsidRPr="000B7C06" w:rsidRDefault="00F62D7F" w:rsidP="00F62D7F">
            <w:pPr>
              <w:spacing w:after="60" w:line="264" w:lineRule="auto"/>
              <w:rPr>
                <w:rFonts w:eastAsia="Times New Roman" w:cs="Times New Roman"/>
                <w:bCs/>
                <w:sz w:val="20"/>
                <w:szCs w:val="20"/>
                <w:lang w:val="bg-BG" w:eastAsia="bg-BG"/>
              </w:rPr>
            </w:pPr>
          </w:p>
          <w:p w14:paraId="25DC409A" w14:textId="77777777" w:rsidR="00F62D7F" w:rsidRPr="000B7C06" w:rsidRDefault="00F62D7F" w:rsidP="00F62D7F">
            <w:pPr>
              <w:spacing w:after="60" w:line="264" w:lineRule="auto"/>
              <w:rPr>
                <w:rFonts w:eastAsia="Times New Roman" w:cs="Times New Roman"/>
                <w:bCs/>
                <w:sz w:val="20"/>
                <w:szCs w:val="20"/>
                <w:lang w:val="bg-BG" w:eastAsia="bg-BG"/>
              </w:rPr>
            </w:pPr>
          </w:p>
          <w:p w14:paraId="0DA728D8" w14:textId="77777777" w:rsidR="00F62D7F" w:rsidRPr="000B7C06" w:rsidRDefault="00F62D7F" w:rsidP="00F62D7F">
            <w:pPr>
              <w:spacing w:after="60" w:line="264" w:lineRule="auto"/>
              <w:rPr>
                <w:rFonts w:eastAsia="Times New Roman" w:cs="Times New Roman"/>
                <w:bCs/>
                <w:sz w:val="20"/>
                <w:szCs w:val="20"/>
                <w:lang w:val="bg-BG" w:eastAsia="bg-BG"/>
              </w:rPr>
            </w:pPr>
          </w:p>
          <w:p w14:paraId="60D6923A" w14:textId="77777777" w:rsidR="00F62D7F" w:rsidRPr="000B7C06" w:rsidRDefault="00F62D7F"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в т.3.4.1.18, т.3.4.2.19, т.7.1 и т.7.2  на ДЕО</w:t>
            </w:r>
          </w:p>
          <w:p w14:paraId="22B497E9" w14:textId="77777777" w:rsidR="00F62D7F" w:rsidRPr="000B7C06" w:rsidRDefault="00F62D7F" w:rsidP="00F62D7F">
            <w:pPr>
              <w:spacing w:after="60" w:line="264" w:lineRule="auto"/>
              <w:rPr>
                <w:rFonts w:cs="Times New Roman"/>
                <w:sz w:val="20"/>
                <w:szCs w:val="20"/>
                <w:lang w:val="bg-BG"/>
              </w:rPr>
            </w:pPr>
          </w:p>
          <w:p w14:paraId="05347B26" w14:textId="77777777" w:rsidR="00F62D7F" w:rsidRPr="000B7C06" w:rsidRDefault="00F62D7F" w:rsidP="00F62D7F">
            <w:pPr>
              <w:spacing w:after="60" w:line="264" w:lineRule="auto"/>
              <w:rPr>
                <w:rFonts w:cs="Times New Roman"/>
                <w:sz w:val="20"/>
                <w:szCs w:val="20"/>
                <w:lang w:val="bg-BG"/>
              </w:rPr>
            </w:pPr>
          </w:p>
          <w:p w14:paraId="49650871" w14:textId="77777777" w:rsidR="00F62D7F" w:rsidRPr="000B7C06" w:rsidRDefault="00F62D7F" w:rsidP="00F62D7F">
            <w:pPr>
              <w:spacing w:after="60" w:line="264" w:lineRule="auto"/>
              <w:rPr>
                <w:rFonts w:cs="Times New Roman"/>
                <w:sz w:val="20"/>
                <w:szCs w:val="20"/>
                <w:lang w:val="bg-BG"/>
              </w:rPr>
            </w:pPr>
          </w:p>
          <w:p w14:paraId="4401B443" w14:textId="77777777" w:rsidR="00F62D7F" w:rsidRPr="000B7C06" w:rsidRDefault="00F62D7F" w:rsidP="00F62D7F">
            <w:pPr>
              <w:spacing w:after="60" w:line="264" w:lineRule="auto"/>
              <w:rPr>
                <w:rFonts w:cs="Times New Roman"/>
                <w:sz w:val="20"/>
                <w:szCs w:val="20"/>
                <w:lang w:val="bg-BG"/>
              </w:rPr>
            </w:pPr>
          </w:p>
          <w:p w14:paraId="106D46AF"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4B3D60F8" w14:textId="77777777" w:rsidR="00F62D7F" w:rsidRPr="000B7C06" w:rsidRDefault="00F62D7F" w:rsidP="00F62D7F">
            <w:pPr>
              <w:spacing w:after="60" w:line="264" w:lineRule="auto"/>
              <w:rPr>
                <w:rFonts w:cs="Times New Roman"/>
                <w:sz w:val="20"/>
                <w:szCs w:val="20"/>
                <w:lang w:val="bg-BG"/>
              </w:rPr>
            </w:pPr>
          </w:p>
          <w:p w14:paraId="0CBDE92E" w14:textId="77777777" w:rsidR="00F62D7F" w:rsidRPr="000B7C06" w:rsidRDefault="00F62D7F" w:rsidP="00F62D7F">
            <w:pPr>
              <w:spacing w:after="60" w:line="264" w:lineRule="auto"/>
              <w:rPr>
                <w:rFonts w:cs="Times New Roman"/>
                <w:sz w:val="20"/>
                <w:szCs w:val="20"/>
                <w:lang w:val="bg-BG"/>
              </w:rPr>
            </w:pPr>
          </w:p>
          <w:p w14:paraId="6CA75071" w14:textId="77777777" w:rsidR="00F62D7F" w:rsidRPr="000B7C06" w:rsidRDefault="00F62D7F" w:rsidP="00F62D7F">
            <w:pPr>
              <w:spacing w:after="60" w:line="264" w:lineRule="auto"/>
              <w:rPr>
                <w:rFonts w:cs="Times New Roman"/>
                <w:sz w:val="20"/>
                <w:szCs w:val="20"/>
                <w:lang w:val="bg-BG"/>
              </w:rPr>
            </w:pPr>
          </w:p>
          <w:p w14:paraId="69C5EADF" w14:textId="77777777" w:rsidR="00F62D7F" w:rsidRPr="000B7C06" w:rsidRDefault="00F62D7F" w:rsidP="00F62D7F">
            <w:pPr>
              <w:spacing w:after="60" w:line="264" w:lineRule="auto"/>
              <w:rPr>
                <w:rFonts w:cs="Times New Roman"/>
                <w:sz w:val="20"/>
                <w:szCs w:val="20"/>
                <w:lang w:val="bg-BG"/>
              </w:rPr>
            </w:pPr>
          </w:p>
          <w:p w14:paraId="68D05589" w14:textId="77777777" w:rsidR="00F62D7F" w:rsidRPr="000B7C06" w:rsidRDefault="00F62D7F" w:rsidP="00F62D7F">
            <w:pPr>
              <w:spacing w:after="60" w:line="264" w:lineRule="auto"/>
              <w:rPr>
                <w:rFonts w:cs="Times New Roman"/>
                <w:sz w:val="20"/>
                <w:szCs w:val="20"/>
                <w:lang w:val="bg-BG"/>
              </w:rPr>
            </w:pPr>
          </w:p>
          <w:p w14:paraId="1B6E5186" w14:textId="77777777" w:rsidR="00F62D7F" w:rsidRPr="000B7C06" w:rsidRDefault="00F62D7F" w:rsidP="00F62D7F">
            <w:pPr>
              <w:spacing w:after="60" w:line="264" w:lineRule="auto"/>
              <w:rPr>
                <w:rFonts w:cs="Times New Roman"/>
                <w:sz w:val="20"/>
                <w:szCs w:val="20"/>
                <w:lang w:val="bg-BG"/>
              </w:rPr>
            </w:pPr>
          </w:p>
          <w:p w14:paraId="723A329B" w14:textId="77777777" w:rsidR="00F62D7F" w:rsidRPr="000B7C06" w:rsidRDefault="00F62D7F" w:rsidP="00F62D7F">
            <w:pPr>
              <w:spacing w:after="60" w:line="264" w:lineRule="auto"/>
              <w:rPr>
                <w:rFonts w:cs="Times New Roman"/>
                <w:sz w:val="20"/>
                <w:szCs w:val="20"/>
                <w:lang w:val="bg-BG"/>
              </w:rPr>
            </w:pPr>
          </w:p>
          <w:p w14:paraId="3DB4559A" w14:textId="77777777" w:rsidR="00F62D7F" w:rsidRPr="000B7C06" w:rsidRDefault="00F62D7F" w:rsidP="00F62D7F">
            <w:pPr>
              <w:spacing w:after="60" w:line="264" w:lineRule="auto"/>
              <w:rPr>
                <w:rFonts w:cs="Times New Roman"/>
                <w:sz w:val="20"/>
                <w:szCs w:val="20"/>
                <w:lang w:val="bg-BG"/>
              </w:rPr>
            </w:pPr>
          </w:p>
          <w:p w14:paraId="4A44C0FF" w14:textId="77777777" w:rsidR="00F62D7F" w:rsidRPr="000B7C06" w:rsidRDefault="00F62D7F" w:rsidP="00F62D7F">
            <w:pPr>
              <w:spacing w:after="60" w:line="264" w:lineRule="auto"/>
              <w:rPr>
                <w:rFonts w:cs="Times New Roman"/>
                <w:sz w:val="20"/>
                <w:szCs w:val="20"/>
                <w:lang w:val="bg-BG"/>
              </w:rPr>
            </w:pPr>
          </w:p>
          <w:p w14:paraId="4AACDE7D"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64E031CE" w14:textId="77777777" w:rsidR="00F62D7F" w:rsidRPr="000B7C06" w:rsidRDefault="00F62D7F" w:rsidP="00F62D7F">
            <w:pPr>
              <w:spacing w:after="60" w:line="264" w:lineRule="auto"/>
              <w:rPr>
                <w:rFonts w:cs="Times New Roman"/>
                <w:sz w:val="20"/>
                <w:szCs w:val="20"/>
                <w:lang w:val="bg-BG"/>
              </w:rPr>
            </w:pPr>
          </w:p>
          <w:p w14:paraId="07E3A838" w14:textId="77777777" w:rsidR="00F62D7F" w:rsidRPr="000B7C06" w:rsidRDefault="00F62D7F" w:rsidP="00F62D7F">
            <w:pPr>
              <w:spacing w:after="60" w:line="264" w:lineRule="auto"/>
              <w:rPr>
                <w:rFonts w:cs="Times New Roman"/>
                <w:sz w:val="20"/>
                <w:szCs w:val="20"/>
                <w:lang w:val="bg-BG"/>
              </w:rPr>
            </w:pPr>
          </w:p>
          <w:p w14:paraId="43B933E6" w14:textId="77777777" w:rsidR="00F62D7F" w:rsidRPr="000B7C06" w:rsidRDefault="00F62D7F" w:rsidP="00F62D7F">
            <w:pPr>
              <w:spacing w:after="60" w:line="264" w:lineRule="auto"/>
              <w:rPr>
                <w:rFonts w:cs="Times New Roman"/>
                <w:sz w:val="20"/>
                <w:szCs w:val="20"/>
                <w:lang w:val="bg-BG"/>
              </w:rPr>
            </w:pPr>
          </w:p>
          <w:p w14:paraId="3308EA4D" w14:textId="77777777" w:rsidR="00F62D7F" w:rsidRPr="000B7C06" w:rsidRDefault="00F62D7F" w:rsidP="00F62D7F">
            <w:pPr>
              <w:spacing w:after="60" w:line="264" w:lineRule="auto"/>
              <w:rPr>
                <w:rFonts w:cs="Times New Roman"/>
                <w:sz w:val="20"/>
                <w:szCs w:val="20"/>
                <w:lang w:val="bg-BG"/>
              </w:rPr>
            </w:pPr>
          </w:p>
          <w:p w14:paraId="78116D74" w14:textId="77777777" w:rsidR="00F62D7F" w:rsidRPr="000B7C06" w:rsidRDefault="00F62D7F" w:rsidP="00F62D7F">
            <w:pPr>
              <w:spacing w:after="60" w:line="264" w:lineRule="auto"/>
              <w:rPr>
                <w:rFonts w:cs="Times New Roman"/>
                <w:sz w:val="20"/>
                <w:szCs w:val="20"/>
                <w:lang w:val="bg-BG"/>
              </w:rPr>
            </w:pPr>
          </w:p>
          <w:p w14:paraId="4FA0E10B" w14:textId="77777777" w:rsidR="00F62D7F" w:rsidRPr="000B7C06" w:rsidRDefault="00F62D7F" w:rsidP="00F62D7F">
            <w:pPr>
              <w:spacing w:after="60" w:line="264" w:lineRule="auto"/>
              <w:rPr>
                <w:rFonts w:cs="Times New Roman"/>
                <w:sz w:val="20"/>
                <w:szCs w:val="20"/>
                <w:lang w:val="bg-BG"/>
              </w:rPr>
            </w:pPr>
          </w:p>
          <w:p w14:paraId="69E63E08" w14:textId="77777777" w:rsidR="00F62D7F" w:rsidRPr="000B7C06" w:rsidRDefault="00F62D7F" w:rsidP="00F62D7F">
            <w:pPr>
              <w:spacing w:after="60" w:line="264" w:lineRule="auto"/>
              <w:rPr>
                <w:rFonts w:cs="Times New Roman"/>
                <w:sz w:val="20"/>
                <w:szCs w:val="20"/>
                <w:lang w:val="bg-BG"/>
              </w:rPr>
            </w:pPr>
          </w:p>
          <w:p w14:paraId="40E6AD58"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6C94ED25" w14:textId="77777777" w:rsidR="00F62D7F" w:rsidRPr="000B7C06" w:rsidRDefault="00F62D7F" w:rsidP="00F62D7F">
            <w:pPr>
              <w:spacing w:after="60" w:line="264" w:lineRule="auto"/>
              <w:rPr>
                <w:rFonts w:cs="Times New Roman"/>
                <w:sz w:val="20"/>
                <w:szCs w:val="20"/>
                <w:lang w:val="bg-BG"/>
              </w:rPr>
            </w:pPr>
          </w:p>
          <w:p w14:paraId="285A9F07" w14:textId="77777777" w:rsidR="00F62D7F" w:rsidRPr="000B7C06" w:rsidRDefault="00F62D7F" w:rsidP="00F62D7F">
            <w:pPr>
              <w:spacing w:after="60" w:line="264" w:lineRule="auto"/>
              <w:rPr>
                <w:rFonts w:cs="Times New Roman"/>
                <w:sz w:val="20"/>
                <w:szCs w:val="20"/>
                <w:lang w:val="bg-BG"/>
              </w:rPr>
            </w:pPr>
          </w:p>
          <w:p w14:paraId="37938950" w14:textId="77777777" w:rsidR="00F62D7F" w:rsidRPr="000B7C06" w:rsidRDefault="00F62D7F" w:rsidP="00F62D7F">
            <w:pPr>
              <w:spacing w:after="60" w:line="264" w:lineRule="auto"/>
              <w:rPr>
                <w:rFonts w:cs="Times New Roman"/>
                <w:sz w:val="20"/>
                <w:szCs w:val="20"/>
                <w:lang w:val="bg-BG"/>
              </w:rPr>
            </w:pPr>
          </w:p>
          <w:p w14:paraId="32079DA0" w14:textId="77777777" w:rsidR="00F62D7F" w:rsidRPr="000B7C06" w:rsidRDefault="00F62D7F" w:rsidP="00F62D7F">
            <w:pPr>
              <w:spacing w:after="60" w:line="264" w:lineRule="auto"/>
              <w:rPr>
                <w:rFonts w:cs="Times New Roman"/>
                <w:sz w:val="20"/>
                <w:szCs w:val="20"/>
                <w:lang w:val="bg-BG"/>
              </w:rPr>
            </w:pPr>
          </w:p>
          <w:p w14:paraId="6936DB9D" w14:textId="77777777" w:rsidR="00F62D7F" w:rsidRPr="000B7C06" w:rsidRDefault="00F62D7F" w:rsidP="00F62D7F">
            <w:pPr>
              <w:spacing w:after="60" w:line="264" w:lineRule="auto"/>
              <w:rPr>
                <w:rFonts w:cs="Times New Roman"/>
                <w:sz w:val="20"/>
                <w:szCs w:val="20"/>
                <w:lang w:val="bg-BG"/>
              </w:rPr>
            </w:pPr>
          </w:p>
          <w:p w14:paraId="789403BA"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lastRenderedPageBreak/>
              <w:t>Бележката е съобразена при разработването на ДЕО.</w:t>
            </w:r>
          </w:p>
          <w:p w14:paraId="615FF3C6" w14:textId="77777777" w:rsidR="00F62D7F" w:rsidRPr="000B7C06" w:rsidRDefault="00F62D7F" w:rsidP="00F62D7F">
            <w:pPr>
              <w:spacing w:after="60" w:line="264" w:lineRule="auto"/>
              <w:rPr>
                <w:rFonts w:cs="Times New Roman"/>
                <w:sz w:val="20"/>
                <w:szCs w:val="20"/>
                <w:lang w:val="bg-BG"/>
              </w:rPr>
            </w:pPr>
          </w:p>
          <w:p w14:paraId="3917E0DA" w14:textId="77777777" w:rsidR="00F62D7F" w:rsidRPr="000B7C06" w:rsidRDefault="00F62D7F" w:rsidP="00F62D7F">
            <w:pPr>
              <w:spacing w:after="60" w:line="264" w:lineRule="auto"/>
              <w:rPr>
                <w:rFonts w:cs="Times New Roman"/>
                <w:sz w:val="20"/>
                <w:szCs w:val="20"/>
                <w:lang w:val="bg-BG"/>
              </w:rPr>
            </w:pPr>
          </w:p>
          <w:p w14:paraId="6419D094" w14:textId="77777777" w:rsidR="00F62D7F" w:rsidRPr="000B7C06" w:rsidRDefault="00F62D7F" w:rsidP="00F62D7F">
            <w:pPr>
              <w:spacing w:after="60" w:line="264" w:lineRule="auto"/>
              <w:rPr>
                <w:rFonts w:cs="Times New Roman"/>
                <w:sz w:val="20"/>
                <w:szCs w:val="20"/>
                <w:lang w:val="bg-BG"/>
              </w:rPr>
            </w:pPr>
          </w:p>
          <w:p w14:paraId="4D639F3F"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01E119CB" w14:textId="77777777" w:rsidR="00F62D7F" w:rsidRPr="000B7C06" w:rsidRDefault="00F62D7F" w:rsidP="00F62D7F">
            <w:pPr>
              <w:spacing w:after="60" w:line="264" w:lineRule="auto"/>
              <w:rPr>
                <w:rFonts w:cs="Times New Roman"/>
                <w:sz w:val="20"/>
                <w:szCs w:val="20"/>
                <w:lang w:val="bg-BG"/>
              </w:rPr>
            </w:pPr>
          </w:p>
          <w:p w14:paraId="33A7356C" w14:textId="77777777" w:rsidR="00F62D7F" w:rsidRPr="000B7C06" w:rsidRDefault="00F62D7F" w:rsidP="00F62D7F">
            <w:pPr>
              <w:spacing w:after="60" w:line="264" w:lineRule="auto"/>
              <w:rPr>
                <w:rFonts w:cs="Times New Roman"/>
                <w:sz w:val="20"/>
                <w:szCs w:val="20"/>
                <w:lang w:val="bg-BG"/>
              </w:rPr>
            </w:pPr>
          </w:p>
          <w:p w14:paraId="30B93E50"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4D9857E1" w14:textId="77777777" w:rsidR="00F62D7F" w:rsidRPr="000B7C06" w:rsidRDefault="00F62D7F" w:rsidP="00F62D7F">
            <w:pPr>
              <w:spacing w:after="60" w:line="264" w:lineRule="auto"/>
              <w:rPr>
                <w:rFonts w:cs="Times New Roman"/>
                <w:sz w:val="20"/>
                <w:szCs w:val="20"/>
                <w:lang w:val="bg-BG"/>
              </w:rPr>
            </w:pPr>
          </w:p>
          <w:p w14:paraId="68704441" w14:textId="77777777" w:rsidR="00F62D7F" w:rsidRPr="000B7C06" w:rsidRDefault="00F62D7F" w:rsidP="00F62D7F">
            <w:pPr>
              <w:spacing w:after="60" w:line="264" w:lineRule="auto"/>
              <w:rPr>
                <w:rFonts w:cs="Times New Roman"/>
                <w:sz w:val="20"/>
                <w:szCs w:val="20"/>
                <w:lang w:val="bg-BG"/>
              </w:rPr>
            </w:pPr>
          </w:p>
          <w:p w14:paraId="35F75292"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6C278686" w14:textId="77777777" w:rsidR="00F62D7F" w:rsidRPr="000B7C06" w:rsidRDefault="00F62D7F" w:rsidP="00F62D7F">
            <w:pPr>
              <w:spacing w:after="60" w:line="264" w:lineRule="auto"/>
              <w:rPr>
                <w:rFonts w:cs="Times New Roman"/>
                <w:sz w:val="20"/>
                <w:szCs w:val="20"/>
                <w:lang w:val="bg-BG"/>
              </w:rPr>
            </w:pPr>
          </w:p>
          <w:p w14:paraId="4360BA91" w14:textId="77777777" w:rsidR="00F62D7F" w:rsidRPr="000B7C06" w:rsidRDefault="00F62D7F" w:rsidP="00F62D7F">
            <w:pPr>
              <w:spacing w:after="60" w:line="264" w:lineRule="auto"/>
              <w:rPr>
                <w:rFonts w:cs="Times New Roman"/>
                <w:sz w:val="20"/>
                <w:szCs w:val="20"/>
                <w:lang w:val="bg-BG"/>
              </w:rPr>
            </w:pPr>
          </w:p>
          <w:p w14:paraId="70E21820" w14:textId="77777777" w:rsidR="00F62D7F" w:rsidRPr="000B7C06" w:rsidRDefault="00F62D7F"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2CC48075" w14:textId="77777777" w:rsidR="00440735" w:rsidRPr="000B7C06" w:rsidRDefault="00440735" w:rsidP="00F62D7F">
            <w:pPr>
              <w:spacing w:after="60" w:line="264" w:lineRule="auto"/>
              <w:rPr>
                <w:rFonts w:eastAsia="Times New Roman" w:cs="Times New Roman"/>
                <w:bCs/>
                <w:sz w:val="20"/>
                <w:szCs w:val="20"/>
                <w:lang w:val="bg-BG" w:eastAsia="bg-BG"/>
              </w:rPr>
            </w:pPr>
          </w:p>
          <w:p w14:paraId="0980D3A9" w14:textId="77777777" w:rsidR="00440735" w:rsidRPr="000B7C06" w:rsidRDefault="00440735" w:rsidP="00F62D7F">
            <w:pPr>
              <w:spacing w:after="60" w:line="264" w:lineRule="auto"/>
              <w:rPr>
                <w:rFonts w:eastAsia="Times New Roman" w:cs="Times New Roman"/>
                <w:bCs/>
                <w:sz w:val="20"/>
                <w:szCs w:val="20"/>
                <w:lang w:val="bg-BG" w:eastAsia="bg-BG"/>
              </w:rPr>
            </w:pPr>
          </w:p>
          <w:p w14:paraId="2E44B4FD" w14:textId="77777777" w:rsidR="00440735" w:rsidRPr="000B7C06" w:rsidRDefault="00440735" w:rsidP="004371D4">
            <w:pPr>
              <w:spacing w:after="60" w:line="264" w:lineRule="auto"/>
              <w:ind w:firstLine="0"/>
              <w:rPr>
                <w:rFonts w:eastAsia="Times New Roman" w:cs="Times New Roman"/>
                <w:bCs/>
                <w:sz w:val="20"/>
                <w:szCs w:val="20"/>
                <w:lang w:val="bg-BG" w:eastAsia="bg-BG"/>
              </w:rPr>
            </w:pPr>
            <w:r w:rsidRPr="000B7C06">
              <w:rPr>
                <w:rFonts w:eastAsia="Times New Roman" w:cs="Times New Roman"/>
                <w:bCs/>
                <w:sz w:val="20"/>
                <w:szCs w:val="20"/>
                <w:lang w:val="bg-BG" w:eastAsia="bg-BG"/>
              </w:rPr>
              <w:t>Бележката е съобразена при разработването на ДЕО.</w:t>
            </w:r>
          </w:p>
          <w:p w14:paraId="1CE02966" w14:textId="77777777" w:rsidR="00440735" w:rsidRPr="000B7C06" w:rsidRDefault="00440735" w:rsidP="00F62D7F">
            <w:pPr>
              <w:spacing w:after="60" w:line="264" w:lineRule="auto"/>
              <w:rPr>
                <w:rFonts w:eastAsia="Times New Roman" w:cs="Times New Roman"/>
                <w:bCs/>
                <w:sz w:val="20"/>
                <w:szCs w:val="20"/>
                <w:lang w:val="bg-BG" w:eastAsia="bg-BG"/>
              </w:rPr>
            </w:pPr>
          </w:p>
          <w:p w14:paraId="5EA0FF93" w14:textId="77777777" w:rsidR="00F62D7F" w:rsidRPr="000B7C06" w:rsidRDefault="00F62D7F" w:rsidP="00F62D7F">
            <w:pPr>
              <w:spacing w:after="60" w:line="264" w:lineRule="auto"/>
              <w:rPr>
                <w:rFonts w:cs="Times New Roman"/>
                <w:sz w:val="20"/>
                <w:szCs w:val="20"/>
                <w:lang w:val="bg-BG"/>
              </w:rPr>
            </w:pPr>
          </w:p>
        </w:tc>
      </w:tr>
      <w:tr w:rsidR="00706B92" w:rsidRPr="000B7C06" w14:paraId="77F08C76" w14:textId="77777777" w:rsidTr="00EE537C">
        <w:tc>
          <w:tcPr>
            <w:tcW w:w="2547" w:type="dxa"/>
            <w:tcBorders>
              <w:top w:val="single" w:sz="4" w:space="0" w:color="auto"/>
            </w:tcBorders>
          </w:tcPr>
          <w:p w14:paraId="116AE6D0" w14:textId="77777777" w:rsidR="00706B92" w:rsidRPr="000B7C06" w:rsidRDefault="00706B92" w:rsidP="004371D4">
            <w:pPr>
              <w:spacing w:after="60" w:line="264" w:lineRule="auto"/>
              <w:ind w:firstLine="0"/>
              <w:rPr>
                <w:rFonts w:cs="Times New Roman"/>
                <w:b/>
                <w:bCs/>
                <w:sz w:val="20"/>
                <w:szCs w:val="20"/>
                <w:lang w:val="bg-BG"/>
              </w:rPr>
            </w:pPr>
            <w:r w:rsidRPr="000B7C06">
              <w:rPr>
                <w:rFonts w:cs="Times New Roman"/>
                <w:b/>
                <w:bCs/>
                <w:sz w:val="20"/>
                <w:szCs w:val="20"/>
                <w:lang w:val="bg-BG"/>
              </w:rPr>
              <w:lastRenderedPageBreak/>
              <w:t xml:space="preserve">ИА </w:t>
            </w:r>
            <w:proofErr w:type="spellStart"/>
            <w:r w:rsidRPr="000B7C06">
              <w:rPr>
                <w:rFonts w:cs="Times New Roman"/>
                <w:b/>
                <w:bCs/>
                <w:sz w:val="20"/>
                <w:szCs w:val="20"/>
                <w:lang w:val="bg-BG"/>
              </w:rPr>
              <w:t>Сертификациопен</w:t>
            </w:r>
            <w:proofErr w:type="spellEnd"/>
            <w:r w:rsidRPr="000B7C06">
              <w:rPr>
                <w:rFonts w:cs="Times New Roman"/>
                <w:b/>
                <w:bCs/>
                <w:sz w:val="20"/>
                <w:szCs w:val="20"/>
                <w:lang w:val="bg-BG"/>
              </w:rPr>
              <w:t xml:space="preserve"> одит на средствата от европейските земеделски фондове</w:t>
            </w:r>
          </w:p>
        </w:tc>
        <w:tc>
          <w:tcPr>
            <w:tcW w:w="1984" w:type="dxa"/>
            <w:tcBorders>
              <w:top w:val="single" w:sz="4" w:space="0" w:color="auto"/>
            </w:tcBorders>
          </w:tcPr>
          <w:p w14:paraId="4D258491" w14:textId="77777777" w:rsidR="00706B92" w:rsidRPr="000B7C06" w:rsidRDefault="00706B92" w:rsidP="004371D4">
            <w:pPr>
              <w:spacing w:after="60" w:line="264" w:lineRule="auto"/>
              <w:ind w:firstLine="0"/>
              <w:rPr>
                <w:rFonts w:cs="Times New Roman"/>
                <w:sz w:val="20"/>
                <w:szCs w:val="20"/>
                <w:lang w:val="bg-BG"/>
              </w:rPr>
            </w:pPr>
            <w:r w:rsidRPr="000B7C06">
              <w:rPr>
                <w:rFonts w:cs="Times New Roman"/>
                <w:sz w:val="20"/>
                <w:szCs w:val="20"/>
                <w:lang w:val="bg-BG"/>
              </w:rPr>
              <w:t>18/14.01.2022г.</w:t>
            </w:r>
          </w:p>
        </w:tc>
        <w:tc>
          <w:tcPr>
            <w:tcW w:w="5670" w:type="dxa"/>
            <w:tcBorders>
              <w:top w:val="single" w:sz="4" w:space="0" w:color="auto"/>
            </w:tcBorders>
          </w:tcPr>
          <w:p w14:paraId="335B81B3" w14:textId="77777777" w:rsidR="00706B92" w:rsidRPr="000B7C06" w:rsidRDefault="00706B92" w:rsidP="0084747F">
            <w:pPr>
              <w:spacing w:after="60" w:line="264" w:lineRule="auto"/>
              <w:rPr>
                <w:rFonts w:cs="Times New Roman"/>
                <w:sz w:val="20"/>
                <w:szCs w:val="20"/>
                <w:lang w:val="bg-BG"/>
              </w:rPr>
            </w:pPr>
            <w:r w:rsidRPr="000B7C06">
              <w:rPr>
                <w:rFonts w:cs="Times New Roman"/>
                <w:sz w:val="20"/>
                <w:szCs w:val="20"/>
                <w:lang w:val="bg-BG"/>
              </w:rPr>
              <w:t xml:space="preserve">В т. 4 „Консултации по заданието за определяне обхвата на оценката“ от Заданието за определяне на обхвата и съдържанието по доклада за „Стратегическа оценка на околната среда на стратегически план на </w:t>
            </w:r>
            <w:r w:rsidR="00D809BC" w:rsidRPr="000B7C06">
              <w:rPr>
                <w:rFonts w:cs="Times New Roman"/>
                <w:sz w:val="20"/>
                <w:szCs w:val="20"/>
                <w:lang w:val="bg-BG"/>
              </w:rPr>
              <w:t>РЗСР</w:t>
            </w:r>
            <w:r w:rsidRPr="000B7C06">
              <w:rPr>
                <w:rFonts w:cs="Times New Roman"/>
                <w:sz w:val="20"/>
                <w:szCs w:val="20"/>
                <w:lang w:val="bg-BG"/>
              </w:rPr>
              <w:t xml:space="preserve"> за периода 2021 - 2027 г. са посочени органите, с които възложителят провежда консултации. Съгласно нормативните основания от Наредбата за условията и реда за извършване на екологична оценка на планове и програми, посочени в цитираната точка Изпълнителна агенция „</w:t>
            </w:r>
            <w:proofErr w:type="spellStart"/>
            <w:r w:rsidRPr="000B7C06">
              <w:rPr>
                <w:rFonts w:cs="Times New Roman"/>
                <w:sz w:val="20"/>
                <w:szCs w:val="20"/>
                <w:lang w:val="bg-BG"/>
              </w:rPr>
              <w:t>Сертификациопен</w:t>
            </w:r>
            <w:proofErr w:type="spellEnd"/>
            <w:r w:rsidRPr="000B7C06">
              <w:rPr>
                <w:rFonts w:cs="Times New Roman"/>
                <w:sz w:val="20"/>
                <w:szCs w:val="20"/>
                <w:lang w:val="bg-BG"/>
              </w:rPr>
              <w:t xml:space="preserve"> одит на средствата от европейските земеделски фондове“ не е сред органите, които дават становище по Заданието.</w:t>
            </w:r>
          </w:p>
        </w:tc>
        <w:tc>
          <w:tcPr>
            <w:tcW w:w="4395" w:type="dxa"/>
            <w:tcBorders>
              <w:top w:val="single" w:sz="4" w:space="0" w:color="auto"/>
            </w:tcBorders>
          </w:tcPr>
          <w:p w14:paraId="588B6D64" w14:textId="77777777" w:rsidR="00706B92" w:rsidRPr="000B7C06" w:rsidRDefault="0085742D" w:rsidP="0084747F">
            <w:pPr>
              <w:spacing w:after="60" w:line="264" w:lineRule="auto"/>
              <w:rPr>
                <w:rFonts w:cs="Times New Roman"/>
                <w:sz w:val="20"/>
                <w:szCs w:val="20"/>
                <w:lang w:val="bg-BG"/>
              </w:rPr>
            </w:pPr>
            <w:r w:rsidRPr="000B7C06">
              <w:rPr>
                <w:rFonts w:cs="Times New Roman"/>
                <w:sz w:val="20"/>
                <w:szCs w:val="20"/>
                <w:lang w:val="bg-BG"/>
              </w:rPr>
              <w:t>-</w:t>
            </w:r>
          </w:p>
        </w:tc>
      </w:tr>
      <w:tr w:rsidR="00706B92" w:rsidRPr="000B7C06" w14:paraId="0F3F1EFC" w14:textId="77777777" w:rsidTr="0064445A">
        <w:tc>
          <w:tcPr>
            <w:tcW w:w="2547" w:type="dxa"/>
          </w:tcPr>
          <w:p w14:paraId="624983BA" w14:textId="77777777" w:rsidR="00706B92" w:rsidRPr="000B7C06" w:rsidRDefault="00D47CE2" w:rsidP="004371D4">
            <w:pPr>
              <w:spacing w:after="60" w:line="264" w:lineRule="auto"/>
              <w:ind w:firstLine="0"/>
              <w:rPr>
                <w:rFonts w:cs="Times New Roman"/>
                <w:b/>
                <w:bCs/>
                <w:sz w:val="20"/>
                <w:szCs w:val="20"/>
                <w:lang w:val="bg-BG"/>
              </w:rPr>
            </w:pPr>
            <w:r w:rsidRPr="000B7C06">
              <w:rPr>
                <w:rFonts w:cs="Times New Roman"/>
                <w:b/>
                <w:bCs/>
                <w:sz w:val="20"/>
                <w:szCs w:val="20"/>
                <w:lang w:val="bg-BG"/>
              </w:rPr>
              <w:t>МОСВ</w:t>
            </w:r>
          </w:p>
        </w:tc>
        <w:tc>
          <w:tcPr>
            <w:tcW w:w="1984" w:type="dxa"/>
          </w:tcPr>
          <w:p w14:paraId="32BB5E98" w14:textId="3F729C3E" w:rsidR="00706B92" w:rsidRPr="000B7C06" w:rsidRDefault="00D47CE2" w:rsidP="004371D4">
            <w:pPr>
              <w:spacing w:after="60" w:line="264" w:lineRule="auto"/>
              <w:ind w:firstLine="0"/>
              <w:rPr>
                <w:rFonts w:cs="Times New Roman"/>
                <w:sz w:val="20"/>
                <w:szCs w:val="20"/>
                <w:lang w:val="bg-BG"/>
              </w:rPr>
            </w:pPr>
            <w:r w:rsidRPr="000B7C06">
              <w:rPr>
                <w:rFonts w:cs="Times New Roman"/>
                <w:sz w:val="20"/>
                <w:szCs w:val="20"/>
                <w:lang w:val="bg-BG"/>
              </w:rPr>
              <w:t>ЕО-1/11.05.2022г.</w:t>
            </w:r>
          </w:p>
        </w:tc>
        <w:tc>
          <w:tcPr>
            <w:tcW w:w="5670" w:type="dxa"/>
          </w:tcPr>
          <w:p w14:paraId="5928B8F8" w14:textId="77777777" w:rsidR="00706B92" w:rsidRPr="000B7C06" w:rsidRDefault="00B438CC" w:rsidP="0084747F">
            <w:pPr>
              <w:spacing w:after="60" w:line="264" w:lineRule="auto"/>
              <w:rPr>
                <w:rFonts w:cs="Times New Roman"/>
                <w:sz w:val="20"/>
                <w:szCs w:val="20"/>
                <w:lang w:val="bg-BG"/>
              </w:rPr>
            </w:pPr>
            <w:r w:rsidRPr="000B7C06">
              <w:rPr>
                <w:rFonts w:cs="Times New Roman"/>
                <w:sz w:val="20"/>
                <w:szCs w:val="20"/>
                <w:lang w:val="bg-BG"/>
              </w:rPr>
              <w:t xml:space="preserve">1. </w:t>
            </w:r>
            <w:r w:rsidR="00D47CE2" w:rsidRPr="000B7C06">
              <w:rPr>
                <w:rFonts w:cs="Times New Roman"/>
                <w:sz w:val="20"/>
                <w:szCs w:val="20"/>
                <w:lang w:val="bg-BG"/>
              </w:rPr>
              <w:t>Общи препоръки:</w:t>
            </w:r>
          </w:p>
          <w:p w14:paraId="0A4CF470" w14:textId="77777777" w:rsidR="00D47CE2" w:rsidRPr="000B7C06" w:rsidRDefault="00F273FC" w:rsidP="0084747F">
            <w:pPr>
              <w:spacing w:after="60" w:line="264" w:lineRule="auto"/>
              <w:rPr>
                <w:rFonts w:cs="Times New Roman"/>
                <w:sz w:val="20"/>
                <w:szCs w:val="20"/>
                <w:lang w:val="bg-BG"/>
              </w:rPr>
            </w:pPr>
            <w:r w:rsidRPr="000B7C06">
              <w:rPr>
                <w:rFonts w:cs="Times New Roman"/>
                <w:sz w:val="20"/>
                <w:szCs w:val="20"/>
                <w:lang w:val="bg-BG"/>
              </w:rPr>
              <w:t xml:space="preserve">- </w:t>
            </w:r>
            <w:r w:rsidR="00D47CE2" w:rsidRPr="000B7C06">
              <w:rPr>
                <w:rFonts w:cs="Times New Roman"/>
                <w:sz w:val="20"/>
                <w:szCs w:val="20"/>
                <w:lang w:val="bg-BG"/>
              </w:rPr>
              <w:t>В „Съдържание“ (стр.2) липсват т. 2.1.1 до 2.1.7:</w:t>
            </w:r>
          </w:p>
          <w:p w14:paraId="454A2735" w14:textId="77777777" w:rsidR="00D47CE2" w:rsidRPr="000B7C06" w:rsidRDefault="00B438CC" w:rsidP="0084747F">
            <w:pPr>
              <w:spacing w:after="60" w:line="264" w:lineRule="auto"/>
              <w:rPr>
                <w:rFonts w:cs="Times New Roman"/>
                <w:sz w:val="20"/>
                <w:szCs w:val="20"/>
                <w:lang w:val="bg-BG"/>
              </w:rPr>
            </w:pPr>
            <w:r w:rsidRPr="000B7C06">
              <w:rPr>
                <w:rFonts w:cs="Times New Roman"/>
                <w:sz w:val="20"/>
                <w:szCs w:val="20"/>
                <w:lang w:val="bg-BG"/>
              </w:rPr>
              <w:t xml:space="preserve">- </w:t>
            </w:r>
            <w:r w:rsidR="00D47CE2" w:rsidRPr="000B7C06">
              <w:rPr>
                <w:rFonts w:cs="Times New Roman"/>
                <w:sz w:val="20"/>
                <w:szCs w:val="20"/>
                <w:lang w:val="bg-BG"/>
              </w:rPr>
              <w:t>На стр. 4 в Абревиатури", Министерството на околната среда и водите и Министерство на здравеопазването се повтарят:</w:t>
            </w:r>
          </w:p>
          <w:p w14:paraId="48CEF0C6" w14:textId="77777777" w:rsidR="00D47CE2" w:rsidRPr="000B7C06" w:rsidRDefault="00B438CC" w:rsidP="0084747F">
            <w:pPr>
              <w:spacing w:after="60" w:line="264" w:lineRule="auto"/>
              <w:rPr>
                <w:rFonts w:cs="Times New Roman"/>
                <w:sz w:val="20"/>
                <w:szCs w:val="20"/>
                <w:lang w:val="bg-BG"/>
              </w:rPr>
            </w:pPr>
            <w:r w:rsidRPr="000B7C06">
              <w:rPr>
                <w:rFonts w:cs="Times New Roman"/>
                <w:sz w:val="20"/>
                <w:szCs w:val="20"/>
                <w:lang w:val="bg-BG"/>
              </w:rPr>
              <w:t xml:space="preserve">- </w:t>
            </w:r>
            <w:r w:rsidR="00D47CE2" w:rsidRPr="000B7C06">
              <w:rPr>
                <w:rFonts w:cs="Times New Roman"/>
                <w:sz w:val="20"/>
                <w:szCs w:val="20"/>
                <w:lang w:val="bg-BG"/>
              </w:rPr>
              <w:t xml:space="preserve">С писмо Ваш № 0403-24/18.02.2022 г. (вх. № ЕО-1/18.02.2022 г. на МОСВ) информирате, че прилагането на Стратегическия план за </w:t>
            </w:r>
            <w:r w:rsidR="00D809BC" w:rsidRPr="000B7C06">
              <w:rPr>
                <w:rFonts w:cs="Times New Roman"/>
                <w:sz w:val="20"/>
                <w:szCs w:val="20"/>
                <w:lang w:val="bg-BG"/>
              </w:rPr>
              <w:t>РЗСР</w:t>
            </w:r>
            <w:r w:rsidR="00D47CE2" w:rsidRPr="000B7C06">
              <w:rPr>
                <w:rFonts w:cs="Times New Roman"/>
                <w:sz w:val="20"/>
                <w:szCs w:val="20"/>
                <w:lang w:val="bg-BG"/>
              </w:rPr>
              <w:t xml:space="preserve"> обхваща периода 2023-2027 г. В текста на заданието следва да се коригира периода 2021-2027 г.</w:t>
            </w:r>
          </w:p>
          <w:p w14:paraId="45F7B193"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lastRenderedPageBreak/>
              <w:t>2.</w:t>
            </w:r>
            <w:r w:rsidRPr="000B7C06">
              <w:rPr>
                <w:rFonts w:cs="Times New Roman"/>
                <w:sz w:val="20"/>
                <w:szCs w:val="20"/>
                <w:lang w:val="bg-BG"/>
              </w:rPr>
              <w:tab/>
              <w:t xml:space="preserve">В т. 1.6. </w:t>
            </w:r>
            <w:r w:rsidR="00B438CC" w:rsidRPr="000B7C06">
              <w:rPr>
                <w:rFonts w:cs="Times New Roman"/>
                <w:sz w:val="20"/>
                <w:szCs w:val="20"/>
                <w:lang w:val="bg-BG"/>
              </w:rPr>
              <w:t>„</w:t>
            </w:r>
            <w:r w:rsidRPr="000B7C06">
              <w:rPr>
                <w:rFonts w:cs="Times New Roman"/>
                <w:sz w:val="20"/>
                <w:szCs w:val="20"/>
                <w:lang w:val="bg-BG"/>
              </w:rPr>
              <w:t xml:space="preserve">Връзка на </w:t>
            </w:r>
            <w:r w:rsidR="00CD4045" w:rsidRPr="000B7C06">
              <w:rPr>
                <w:rFonts w:cs="Times New Roman"/>
                <w:sz w:val="20"/>
                <w:szCs w:val="20"/>
                <w:lang w:val="bg-BG"/>
              </w:rPr>
              <w:t>СПРЗСР</w:t>
            </w:r>
            <w:r w:rsidRPr="000B7C06">
              <w:rPr>
                <w:rFonts w:cs="Times New Roman"/>
                <w:sz w:val="20"/>
                <w:szCs w:val="20"/>
                <w:lang w:val="bg-BG"/>
              </w:rPr>
              <w:t xml:space="preserve"> 2021-2027 с други </w:t>
            </w:r>
            <w:proofErr w:type="spellStart"/>
            <w:r w:rsidRPr="000B7C06">
              <w:rPr>
                <w:rFonts w:cs="Times New Roman"/>
                <w:sz w:val="20"/>
                <w:szCs w:val="20"/>
                <w:lang w:val="bg-BG"/>
              </w:rPr>
              <w:t>съотносими</w:t>
            </w:r>
            <w:proofErr w:type="spellEnd"/>
            <w:r w:rsidRPr="000B7C06">
              <w:rPr>
                <w:rFonts w:cs="Times New Roman"/>
                <w:sz w:val="20"/>
                <w:szCs w:val="20"/>
                <w:lang w:val="bg-BG"/>
              </w:rPr>
              <w:t xml:space="preserve"> планове, програми и стратегии”, в подточка А. да бъдат разгледани и следните стратегически документи:</w:t>
            </w:r>
          </w:p>
          <w:p w14:paraId="4A641F7B"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Предложение за Решение на Европейския парламент и на Съвета относно Обща програма на Европейския съюз за действие на околната среда до 2030 г. (Осмата програма за действие на ЕС за околната среда до 2030 г.), СОМ(2020) 652</w:t>
            </w:r>
            <w:r w:rsidR="00A03E12" w:rsidRPr="000B7C06">
              <w:rPr>
                <w:rFonts w:cs="Times New Roman"/>
                <w:sz w:val="20"/>
                <w:szCs w:val="20"/>
                <w:lang w:val="bg-BG"/>
              </w:rPr>
              <w:t>;</w:t>
            </w:r>
          </w:p>
          <w:p w14:paraId="7E188BAB" w14:textId="35ABD9C3"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Съобщение на Европейската комисия: „Чиста планета за всички. Европейска стратегическа дългосрочна визия за пр</w:t>
            </w:r>
            <w:r w:rsidR="00371700" w:rsidRPr="000B7C06">
              <w:rPr>
                <w:rFonts w:cs="Times New Roman"/>
                <w:sz w:val="20"/>
                <w:szCs w:val="20"/>
                <w:lang w:val="bg-BG"/>
              </w:rPr>
              <w:t>осп</w:t>
            </w:r>
            <w:r w:rsidRPr="000B7C06">
              <w:rPr>
                <w:rFonts w:cs="Times New Roman"/>
                <w:sz w:val="20"/>
                <w:szCs w:val="20"/>
                <w:lang w:val="bg-BG"/>
              </w:rPr>
              <w:t>ерираща</w:t>
            </w:r>
            <w:r w:rsidR="00A03E12" w:rsidRPr="000B7C06">
              <w:rPr>
                <w:rFonts w:cs="Times New Roman"/>
                <w:sz w:val="20"/>
                <w:szCs w:val="20"/>
                <w:lang w:val="bg-BG"/>
              </w:rPr>
              <w:t>, м</w:t>
            </w:r>
            <w:r w:rsidRPr="000B7C06">
              <w:rPr>
                <w:rFonts w:cs="Times New Roman"/>
                <w:sz w:val="20"/>
                <w:szCs w:val="20"/>
                <w:lang w:val="bg-BG"/>
              </w:rPr>
              <w:t>одерна</w:t>
            </w:r>
            <w:r w:rsidR="00A03E12" w:rsidRPr="000B7C06">
              <w:rPr>
                <w:rFonts w:cs="Times New Roman"/>
                <w:sz w:val="20"/>
                <w:szCs w:val="20"/>
                <w:lang w:val="bg-BG"/>
              </w:rPr>
              <w:t xml:space="preserve">, </w:t>
            </w:r>
            <w:r w:rsidRPr="000B7C06">
              <w:rPr>
                <w:rFonts w:cs="Times New Roman"/>
                <w:sz w:val="20"/>
                <w:szCs w:val="20"/>
                <w:lang w:val="bg-BG"/>
              </w:rPr>
              <w:t>конкурент</w:t>
            </w:r>
            <w:r w:rsidR="00371700" w:rsidRPr="000B7C06">
              <w:rPr>
                <w:rFonts w:cs="Times New Roman"/>
                <w:sz w:val="20"/>
                <w:szCs w:val="20"/>
                <w:lang w:val="bg-BG"/>
              </w:rPr>
              <w:t>осп</w:t>
            </w:r>
            <w:r w:rsidRPr="000B7C06">
              <w:rPr>
                <w:rFonts w:cs="Times New Roman"/>
                <w:sz w:val="20"/>
                <w:szCs w:val="20"/>
                <w:lang w:val="bg-BG"/>
              </w:rPr>
              <w:t>особна и неутрална по отношение на климата икономика". СОМ(2018) 773</w:t>
            </w:r>
            <w:r w:rsidR="00A03E12" w:rsidRPr="000B7C06">
              <w:rPr>
                <w:rFonts w:cs="Times New Roman"/>
                <w:sz w:val="20"/>
                <w:szCs w:val="20"/>
                <w:lang w:val="bg-BG"/>
              </w:rPr>
              <w:t>;</w:t>
            </w:r>
          </w:p>
          <w:p w14:paraId="0EB32519"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Съобщение на Европейската комисия:</w:t>
            </w:r>
            <w:r w:rsidR="00A03E12" w:rsidRPr="000B7C06">
              <w:rPr>
                <w:rFonts w:cs="Times New Roman"/>
                <w:sz w:val="20"/>
                <w:szCs w:val="20"/>
                <w:lang w:val="bg-BG"/>
              </w:rPr>
              <w:t xml:space="preserve"> </w:t>
            </w:r>
            <w:r w:rsidRPr="000B7C06">
              <w:rPr>
                <w:rFonts w:cs="Times New Roman"/>
                <w:sz w:val="20"/>
                <w:szCs w:val="20"/>
                <w:lang w:val="bg-BG"/>
              </w:rPr>
              <w:t>„Изграждане на устойчива на</w:t>
            </w:r>
            <w:r w:rsidR="00A03E12" w:rsidRPr="000B7C06">
              <w:rPr>
                <w:rFonts w:cs="Times New Roman"/>
                <w:sz w:val="20"/>
                <w:szCs w:val="20"/>
                <w:lang w:val="bg-BG"/>
              </w:rPr>
              <w:t xml:space="preserve"> </w:t>
            </w:r>
            <w:r w:rsidRPr="000B7C06">
              <w:rPr>
                <w:rFonts w:cs="Times New Roman"/>
                <w:sz w:val="20"/>
                <w:szCs w:val="20"/>
                <w:lang w:val="bg-BG"/>
              </w:rPr>
              <w:t>климатичните изменения Европа - новата стратегия на ЕС за адаптиране към изменението на климата”, С</w:t>
            </w:r>
            <w:r w:rsidR="00A03E12" w:rsidRPr="000B7C06">
              <w:rPr>
                <w:rFonts w:cs="Times New Roman"/>
                <w:sz w:val="20"/>
                <w:szCs w:val="20"/>
                <w:lang w:val="bg-BG"/>
              </w:rPr>
              <w:t>О</w:t>
            </w:r>
            <w:r w:rsidRPr="000B7C06">
              <w:rPr>
                <w:rFonts w:cs="Times New Roman"/>
                <w:sz w:val="20"/>
                <w:szCs w:val="20"/>
                <w:lang w:val="bg-BG"/>
              </w:rPr>
              <w:t>М(2021)82</w:t>
            </w:r>
            <w:r w:rsidR="00A03E12" w:rsidRPr="000B7C06">
              <w:rPr>
                <w:rFonts w:cs="Times New Roman"/>
                <w:sz w:val="20"/>
                <w:szCs w:val="20"/>
                <w:lang w:val="bg-BG"/>
              </w:rPr>
              <w:t>;</w:t>
            </w:r>
          </w:p>
          <w:p w14:paraId="09A2DADF"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 xml:space="preserve">Съобщение на Европейската комисия: </w:t>
            </w:r>
            <w:r w:rsidR="00A03E12" w:rsidRPr="000B7C06">
              <w:rPr>
                <w:rFonts w:cs="Times New Roman"/>
                <w:sz w:val="20"/>
                <w:szCs w:val="20"/>
                <w:lang w:val="bg-BG"/>
              </w:rPr>
              <w:t>„</w:t>
            </w:r>
            <w:r w:rsidRPr="000B7C06">
              <w:rPr>
                <w:rFonts w:cs="Times New Roman"/>
                <w:sz w:val="20"/>
                <w:szCs w:val="20"/>
                <w:lang w:val="bg-BG"/>
              </w:rPr>
              <w:t xml:space="preserve">Стратегия на ЕС </w:t>
            </w:r>
            <w:r w:rsidR="00A03E12" w:rsidRPr="000B7C06">
              <w:rPr>
                <w:rFonts w:cs="Times New Roman"/>
                <w:sz w:val="20"/>
                <w:szCs w:val="20"/>
                <w:lang w:val="bg-BG"/>
              </w:rPr>
              <w:t>„</w:t>
            </w:r>
            <w:r w:rsidRPr="000B7C06">
              <w:rPr>
                <w:rFonts w:cs="Times New Roman"/>
                <w:sz w:val="20"/>
                <w:szCs w:val="20"/>
                <w:lang w:val="bg-BG"/>
              </w:rPr>
              <w:t>От фермата до трапезата" за справедлива, здравословна и екологосъобразна продоволствена система" СОМ(2020) 381;</w:t>
            </w:r>
          </w:p>
          <w:p w14:paraId="47B3459F" w14:textId="77777777" w:rsidR="00D47CE2" w:rsidRPr="000B7C06" w:rsidRDefault="00D47CE2" w:rsidP="004371D4">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Съобщение на Европейската комисия: ..План за действие за развитие на биологичното производство". С()М(2021) 141;</w:t>
            </w:r>
          </w:p>
          <w:p w14:paraId="4382CFD6" w14:textId="77777777" w:rsidR="00D47CE2" w:rsidRPr="000B7C06" w:rsidRDefault="00D47CE2" w:rsidP="004371D4">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 xml:space="preserve">Съобщение на Европейската комисия; ..Стратегия на ЕС за почвите за 2030 г. Извличане на ползите от </w:t>
            </w:r>
            <w:r w:rsidRPr="000B7C06">
              <w:rPr>
                <w:rFonts w:cs="Times New Roman"/>
                <w:sz w:val="20"/>
                <w:szCs w:val="20"/>
                <w:lang w:val="bg-BG"/>
              </w:rPr>
              <w:lastRenderedPageBreak/>
              <w:t>здравите почви за хората, храните, природата и климата" СС&gt;М(2021) 699:</w:t>
            </w:r>
          </w:p>
          <w:p w14:paraId="0C6C0DE0" w14:textId="77777777" w:rsidR="00D47CE2" w:rsidRPr="000B7C06" w:rsidRDefault="00D47CE2" w:rsidP="004371D4">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 xml:space="preserve">Съобщение на Европейската комисия: „Нова стратегия на ЕС за горите до 2030 </w:t>
            </w:r>
            <w:proofErr w:type="spellStart"/>
            <w:r w:rsidRPr="000B7C06">
              <w:rPr>
                <w:rFonts w:cs="Times New Roman"/>
                <w:sz w:val="20"/>
                <w:szCs w:val="20"/>
                <w:lang w:val="bg-BG"/>
              </w:rPr>
              <w:t>г”СОМ</w:t>
            </w:r>
            <w:proofErr w:type="spellEnd"/>
            <w:r w:rsidRPr="000B7C06">
              <w:rPr>
                <w:rFonts w:cs="Times New Roman"/>
                <w:sz w:val="20"/>
                <w:szCs w:val="20"/>
                <w:lang w:val="bg-BG"/>
              </w:rPr>
              <w:t>(2021) 572;</w:t>
            </w:r>
          </w:p>
          <w:p w14:paraId="285D08A4"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Съобщение на Европейската комисия: ..Път към здравословна планета за всички. План за действие на ЕС: ..Към нулево замърсяване на въздуха, водата и почвата." СОМ(2021) 400. вместо цитираната в заданието: ..Пътна карта за план за действие, целящ нулево замърсяване на водите, въздуха и почвата".</w:t>
            </w:r>
          </w:p>
          <w:p w14:paraId="1421533F" w14:textId="77777777" w:rsidR="00D47CE2" w:rsidRPr="000B7C06" w:rsidRDefault="00D47CE2" w:rsidP="0084747F">
            <w:pPr>
              <w:spacing w:after="60" w:line="264" w:lineRule="auto"/>
              <w:rPr>
                <w:rFonts w:cs="Times New Roman"/>
                <w:sz w:val="20"/>
                <w:szCs w:val="20"/>
                <w:lang w:val="bg-BG"/>
              </w:rPr>
            </w:pPr>
            <w:r w:rsidRPr="000B7C06">
              <w:rPr>
                <w:rFonts w:cs="Times New Roman"/>
                <w:sz w:val="20"/>
                <w:szCs w:val="20"/>
                <w:lang w:val="bg-BG"/>
              </w:rPr>
              <w:t xml:space="preserve">В подточка Б. </w:t>
            </w:r>
            <w:r w:rsidR="00A03E12" w:rsidRPr="000B7C06">
              <w:rPr>
                <w:rFonts w:cs="Times New Roman"/>
                <w:sz w:val="20"/>
                <w:szCs w:val="20"/>
                <w:lang w:val="bg-BG"/>
              </w:rPr>
              <w:t>„</w:t>
            </w:r>
            <w:r w:rsidRPr="000B7C06">
              <w:rPr>
                <w:rFonts w:cs="Times New Roman"/>
                <w:sz w:val="20"/>
                <w:szCs w:val="20"/>
                <w:lang w:val="bg-BG"/>
              </w:rPr>
              <w:t xml:space="preserve">Планове, програми и стратегии на територията на Република България, относими към </w:t>
            </w:r>
            <w:r w:rsidR="00CD4045" w:rsidRPr="000B7C06">
              <w:rPr>
                <w:rFonts w:cs="Times New Roman"/>
                <w:sz w:val="20"/>
                <w:szCs w:val="20"/>
                <w:lang w:val="bg-BG"/>
              </w:rPr>
              <w:t>СПРЗСР</w:t>
            </w:r>
            <w:r w:rsidRPr="000B7C06">
              <w:rPr>
                <w:rFonts w:cs="Times New Roman"/>
                <w:sz w:val="20"/>
                <w:szCs w:val="20"/>
                <w:lang w:val="bg-BG"/>
              </w:rPr>
              <w:t xml:space="preserve"> 2021-2027 г." да бъдат разгледани</w:t>
            </w:r>
            <w:r w:rsidR="00A03E12" w:rsidRPr="000B7C06">
              <w:rPr>
                <w:rFonts w:cs="Times New Roman"/>
                <w:sz w:val="20"/>
                <w:szCs w:val="20"/>
                <w:lang w:val="bg-BG"/>
              </w:rPr>
              <w:t>:</w:t>
            </w:r>
          </w:p>
          <w:p w14:paraId="5D835F4B"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Национална програма за контрол на замърсяването на въздуха (НПКЗВ 2020- 2030 г.). В разработването на доклада за екологична оценка следва да бъдат взети предвид и стратегическите цели, посочени в НПКЗВ;</w:t>
            </w:r>
          </w:p>
          <w:p w14:paraId="13EB9E0F"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Стратегия за развитие и управление на водоснабдяването и канализацията в Република България за периода 2014 - 2030 г.</w:t>
            </w:r>
          </w:p>
          <w:p w14:paraId="511B68CF"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Национален инвестиционен план за водоснабдяване и канализация:</w:t>
            </w:r>
          </w:p>
          <w:p w14:paraId="2390B25B"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Обща стратегия за управление и развитие на хидромелиорациите и защита от вредното въздействие на водите;</w:t>
            </w:r>
          </w:p>
          <w:p w14:paraId="011708C8"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lastRenderedPageBreak/>
              <w:t>•</w:t>
            </w:r>
            <w:r w:rsidRPr="000B7C06">
              <w:rPr>
                <w:rFonts w:cs="Times New Roman"/>
                <w:sz w:val="20"/>
                <w:szCs w:val="20"/>
                <w:lang w:val="bg-BG"/>
              </w:rPr>
              <w:tab/>
              <w:t>Национален план за опазване на най-значимите влажни зони в България;</w:t>
            </w:r>
          </w:p>
          <w:p w14:paraId="6BB88B37"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Национален план за опазване и устойчиво ползване на биологичното разнообразие и генетичните ресурси 2021 - 2025 г. (в случай, че в хода на разработване на доклада за ЕО, проект на такъв стане наличен);</w:t>
            </w:r>
          </w:p>
          <w:p w14:paraId="21C19D6B" w14:textId="77777777" w:rsidR="00D47CE2" w:rsidRPr="000B7C06" w:rsidRDefault="00D47CE2" w:rsidP="0084747F">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Национална програма за предотвратяване на и намаляване на загубата на храни 2021 - 2026 г.:</w:t>
            </w:r>
          </w:p>
          <w:p w14:paraId="1BC0C832" w14:textId="77777777" w:rsidR="00D47CE2" w:rsidRPr="000B7C06" w:rsidRDefault="00D47CE2" w:rsidP="004371D4">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Национален план за действие за устойчива употреба на пестициди в Република България;</w:t>
            </w:r>
          </w:p>
          <w:p w14:paraId="4DCCF417" w14:textId="77777777" w:rsidR="00D47CE2" w:rsidRPr="000B7C06" w:rsidRDefault="00D47CE2" w:rsidP="004371D4">
            <w:pPr>
              <w:spacing w:after="60" w:line="264" w:lineRule="auto"/>
              <w:ind w:firstLine="7"/>
              <w:rPr>
                <w:rFonts w:cs="Times New Roman"/>
                <w:sz w:val="20"/>
                <w:szCs w:val="20"/>
                <w:lang w:val="bg-BG"/>
              </w:rPr>
            </w:pPr>
            <w:r w:rsidRPr="000B7C06">
              <w:rPr>
                <w:rFonts w:cs="Times New Roman"/>
                <w:sz w:val="20"/>
                <w:szCs w:val="20"/>
                <w:lang w:val="bg-BG"/>
              </w:rPr>
              <w:t>•</w:t>
            </w:r>
            <w:r w:rsidRPr="000B7C06">
              <w:rPr>
                <w:rFonts w:cs="Times New Roman"/>
                <w:sz w:val="20"/>
                <w:szCs w:val="20"/>
                <w:lang w:val="bg-BG"/>
              </w:rPr>
              <w:tab/>
              <w:t>Обръщаме внимание, че цитираната Национална програма за развитие: България 2030 вече е приета в нейния завършен вид (не само част</w:t>
            </w:r>
            <w:r w:rsidR="00262A10" w:rsidRPr="000B7C06">
              <w:rPr>
                <w:rFonts w:cs="Times New Roman"/>
                <w:sz w:val="20"/>
                <w:szCs w:val="20"/>
                <w:lang w:val="bg-BG"/>
              </w:rPr>
              <w:t>т</w:t>
            </w:r>
            <w:r w:rsidRPr="000B7C06">
              <w:rPr>
                <w:rFonts w:cs="Times New Roman"/>
                <w:sz w:val="20"/>
                <w:szCs w:val="20"/>
                <w:lang w:val="bg-BG"/>
              </w:rPr>
              <w:t>а</w:t>
            </w:r>
            <w:r w:rsidR="00262A10" w:rsidRPr="000B7C06">
              <w:rPr>
                <w:rFonts w:cs="Times New Roman"/>
                <w:sz w:val="20"/>
                <w:szCs w:val="20"/>
                <w:lang w:val="bg-BG"/>
              </w:rPr>
              <w:t xml:space="preserve"> </w:t>
            </w:r>
            <w:r w:rsidRPr="000B7C06">
              <w:rPr>
                <w:rFonts w:cs="Times New Roman"/>
                <w:sz w:val="20"/>
                <w:szCs w:val="20"/>
                <w:lang w:val="bg-BG"/>
              </w:rPr>
              <w:t>"Визи</w:t>
            </w:r>
            <w:r w:rsidR="00262A10" w:rsidRPr="000B7C06">
              <w:rPr>
                <w:rFonts w:cs="Times New Roman"/>
                <w:sz w:val="20"/>
                <w:szCs w:val="20"/>
                <w:lang w:val="bg-BG"/>
              </w:rPr>
              <w:t>я,</w:t>
            </w:r>
            <w:r w:rsidRPr="000B7C06">
              <w:rPr>
                <w:rFonts w:cs="Times New Roman"/>
                <w:sz w:val="20"/>
                <w:szCs w:val="20"/>
                <w:lang w:val="bg-BG"/>
              </w:rPr>
              <w:t xml:space="preserve"> цели и приоритети", посочена от възложителя) - с протокол на Министерския съвет № 67.25 от 02.12.2020 г. и предвид това, считаме за целесъобразно документът да бъде представен в неговата цялост.</w:t>
            </w:r>
          </w:p>
          <w:p w14:paraId="4ABCEC99"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3. </w:t>
            </w:r>
            <w:r w:rsidR="00D47CE2" w:rsidRPr="000B7C06">
              <w:rPr>
                <w:rFonts w:cs="Times New Roman"/>
                <w:sz w:val="20"/>
                <w:szCs w:val="20"/>
                <w:lang w:val="bg-BG"/>
              </w:rPr>
              <w:t>На стр.</w:t>
            </w:r>
            <w:r w:rsidR="00BB5448" w:rsidRPr="000B7C06">
              <w:rPr>
                <w:rFonts w:cs="Times New Roman"/>
                <w:sz w:val="20"/>
                <w:szCs w:val="20"/>
                <w:lang w:val="bg-BG"/>
              </w:rPr>
              <w:t>33</w:t>
            </w:r>
            <w:r w:rsidR="00D47CE2" w:rsidRPr="000B7C06">
              <w:rPr>
                <w:rFonts w:cs="Times New Roman"/>
                <w:sz w:val="20"/>
                <w:szCs w:val="20"/>
                <w:lang w:val="bg-BG"/>
              </w:rPr>
              <w:t xml:space="preserve"> след абзаца за Бензен</w:t>
            </w:r>
            <w:r w:rsidR="00262A10" w:rsidRPr="000B7C06">
              <w:rPr>
                <w:rFonts w:cs="Times New Roman"/>
                <w:sz w:val="20"/>
                <w:szCs w:val="20"/>
                <w:lang w:val="bg-BG"/>
              </w:rPr>
              <w:t>,</w:t>
            </w:r>
            <w:r w:rsidR="00D47CE2" w:rsidRPr="000B7C06">
              <w:rPr>
                <w:rFonts w:cs="Times New Roman"/>
                <w:sz w:val="20"/>
                <w:szCs w:val="20"/>
                <w:lang w:val="bg-BG"/>
              </w:rPr>
              <w:t xml:space="preserve"> изречението </w:t>
            </w:r>
            <w:r w:rsidR="00262A10" w:rsidRPr="000B7C06">
              <w:rPr>
                <w:rFonts w:cs="Times New Roman"/>
                <w:sz w:val="20"/>
                <w:szCs w:val="20"/>
                <w:lang w:val="bg-BG"/>
              </w:rPr>
              <w:t>„</w:t>
            </w:r>
            <w:r w:rsidR="00D47CE2" w:rsidRPr="000B7C06">
              <w:rPr>
                <w:rFonts w:cs="Times New Roman"/>
                <w:sz w:val="20"/>
                <w:szCs w:val="20"/>
                <w:lang w:val="bg-BG"/>
              </w:rPr>
              <w:t>На база посочените по-горе данни, може да се обобщи следното</w:t>
            </w:r>
            <w:r w:rsidR="00262A10" w:rsidRPr="000B7C06">
              <w:rPr>
                <w:rFonts w:cs="Times New Roman"/>
                <w:sz w:val="20"/>
                <w:szCs w:val="20"/>
                <w:lang w:val="bg-BG"/>
              </w:rPr>
              <w:t>“</w:t>
            </w:r>
            <w:r w:rsidR="00D47CE2" w:rsidRPr="000B7C06">
              <w:rPr>
                <w:rFonts w:cs="Times New Roman"/>
                <w:sz w:val="20"/>
                <w:szCs w:val="20"/>
                <w:lang w:val="bg-BG"/>
              </w:rPr>
              <w:t xml:space="preserve"> да бъде заменено с </w:t>
            </w:r>
            <w:r w:rsidR="00262A10" w:rsidRPr="000B7C06">
              <w:rPr>
                <w:rFonts w:cs="Times New Roman"/>
                <w:sz w:val="20"/>
                <w:szCs w:val="20"/>
                <w:lang w:val="bg-BG"/>
              </w:rPr>
              <w:t>„</w:t>
            </w:r>
            <w:r w:rsidR="00D47CE2" w:rsidRPr="000B7C06">
              <w:rPr>
                <w:rFonts w:cs="Times New Roman"/>
                <w:sz w:val="20"/>
                <w:szCs w:val="20"/>
                <w:lang w:val="bg-BG"/>
              </w:rPr>
              <w:t>Общите нива на емисиите на SO</w:t>
            </w:r>
            <w:r w:rsidR="00262A10" w:rsidRPr="000B7C06">
              <w:rPr>
                <w:rFonts w:cs="Times New Roman"/>
                <w:sz w:val="20"/>
                <w:szCs w:val="20"/>
                <w:vertAlign w:val="subscript"/>
                <w:lang w:val="bg-BG"/>
              </w:rPr>
              <w:t>2</w:t>
            </w:r>
            <w:r w:rsidR="00D47CE2" w:rsidRPr="000B7C06">
              <w:rPr>
                <w:rFonts w:cs="Times New Roman"/>
                <w:sz w:val="20"/>
                <w:szCs w:val="20"/>
                <w:lang w:val="bg-BG"/>
              </w:rPr>
              <w:t xml:space="preserve">, </w:t>
            </w:r>
            <w:proofErr w:type="spellStart"/>
            <w:r w:rsidR="00D47CE2" w:rsidRPr="000B7C06">
              <w:rPr>
                <w:rFonts w:cs="Times New Roman"/>
                <w:sz w:val="20"/>
                <w:szCs w:val="20"/>
                <w:lang w:val="bg-BG"/>
              </w:rPr>
              <w:t>NOx</w:t>
            </w:r>
            <w:proofErr w:type="spellEnd"/>
            <w:r w:rsidR="00262A10" w:rsidRPr="000B7C06">
              <w:rPr>
                <w:rFonts w:cs="Times New Roman"/>
                <w:sz w:val="20"/>
                <w:szCs w:val="20"/>
                <w:lang w:val="bg-BG"/>
              </w:rPr>
              <w:t>,</w:t>
            </w:r>
            <w:r w:rsidR="00D47CE2" w:rsidRPr="000B7C06">
              <w:rPr>
                <w:rFonts w:cs="Times New Roman"/>
                <w:sz w:val="20"/>
                <w:szCs w:val="20"/>
                <w:lang w:val="bg-BG"/>
              </w:rPr>
              <w:t xml:space="preserve"> NH</w:t>
            </w:r>
            <w:r w:rsidR="00262A10" w:rsidRPr="000B7C06">
              <w:rPr>
                <w:rFonts w:cs="Times New Roman"/>
                <w:sz w:val="20"/>
                <w:szCs w:val="20"/>
                <w:vertAlign w:val="subscript"/>
                <w:lang w:val="bg-BG"/>
              </w:rPr>
              <w:t>3</w:t>
            </w:r>
            <w:r w:rsidR="00262A10" w:rsidRPr="000B7C06">
              <w:rPr>
                <w:rFonts w:cs="Times New Roman"/>
                <w:sz w:val="20"/>
                <w:szCs w:val="20"/>
                <w:lang w:val="bg-BG"/>
              </w:rPr>
              <w:t>,</w:t>
            </w:r>
            <w:r w:rsidR="00D47CE2" w:rsidRPr="000B7C06">
              <w:rPr>
                <w:rFonts w:cs="Times New Roman"/>
                <w:sz w:val="20"/>
                <w:szCs w:val="20"/>
                <w:lang w:val="bg-BG"/>
              </w:rPr>
              <w:t xml:space="preserve"> NMVOC са значително по-ниски от ангажиментите на страната, съгласно Директива 2001/81</w:t>
            </w:r>
            <w:r w:rsidR="00262A10" w:rsidRPr="000B7C06">
              <w:rPr>
                <w:rFonts w:cs="Times New Roman"/>
                <w:sz w:val="20"/>
                <w:szCs w:val="20"/>
                <w:lang w:val="bg-BG"/>
              </w:rPr>
              <w:t>/</w:t>
            </w:r>
            <w:r w:rsidR="00D47CE2" w:rsidRPr="000B7C06">
              <w:rPr>
                <w:rFonts w:cs="Times New Roman"/>
                <w:sz w:val="20"/>
                <w:szCs w:val="20"/>
                <w:lang w:val="bg-BG"/>
              </w:rPr>
              <w:t>ЕО</w:t>
            </w:r>
            <w:r w:rsidR="00262A10" w:rsidRPr="000B7C06">
              <w:rPr>
                <w:rFonts w:cs="Times New Roman"/>
                <w:sz w:val="20"/>
                <w:szCs w:val="20"/>
                <w:lang w:val="bg-BG"/>
              </w:rPr>
              <w:t>,</w:t>
            </w:r>
            <w:r w:rsidR="00D47CE2" w:rsidRPr="000B7C06">
              <w:rPr>
                <w:rFonts w:cs="Times New Roman"/>
                <w:sz w:val="20"/>
                <w:szCs w:val="20"/>
                <w:lang w:val="bg-BG"/>
              </w:rPr>
              <w:t xml:space="preserve"> </w:t>
            </w:r>
            <w:proofErr w:type="spellStart"/>
            <w:r w:rsidR="00D47CE2" w:rsidRPr="000B7C06">
              <w:rPr>
                <w:rFonts w:cs="Times New Roman"/>
                <w:sz w:val="20"/>
                <w:szCs w:val="20"/>
                <w:lang w:val="bg-BG"/>
              </w:rPr>
              <w:t>Гьотебюрския</w:t>
            </w:r>
            <w:proofErr w:type="spellEnd"/>
            <w:r w:rsidR="00D47CE2" w:rsidRPr="000B7C06">
              <w:rPr>
                <w:rFonts w:cs="Times New Roman"/>
                <w:sz w:val="20"/>
                <w:szCs w:val="20"/>
                <w:lang w:val="bg-BG"/>
              </w:rPr>
              <w:t xml:space="preserve"> протокол към Конвенцията за трансгранично замърсяване на въздуха на далечни разстояния (КТЗВДР) и целите по Националната програма за намаляване на общите годишни емисии на серен диоксид, азотни оксиди, летливи органични </w:t>
            </w:r>
            <w:r w:rsidR="00D47CE2" w:rsidRPr="000B7C06">
              <w:rPr>
                <w:rFonts w:cs="Times New Roman"/>
                <w:sz w:val="20"/>
                <w:szCs w:val="20"/>
                <w:lang w:val="bg-BG"/>
              </w:rPr>
              <w:lastRenderedPageBreak/>
              <w:t>съединения и амоняк в атмосферния въздух.</w:t>
            </w:r>
          </w:p>
          <w:p w14:paraId="4CCD860B"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4. </w:t>
            </w:r>
            <w:r w:rsidR="00D47CE2" w:rsidRPr="000B7C06">
              <w:rPr>
                <w:rFonts w:cs="Times New Roman"/>
                <w:sz w:val="20"/>
                <w:szCs w:val="20"/>
                <w:lang w:val="bg-BG"/>
              </w:rPr>
              <w:t xml:space="preserve">На стр. 6 изречението </w:t>
            </w:r>
            <w:r w:rsidR="001364AF" w:rsidRPr="000B7C06">
              <w:rPr>
                <w:rFonts w:cs="Times New Roman"/>
                <w:sz w:val="20"/>
                <w:szCs w:val="20"/>
                <w:lang w:val="bg-BG"/>
              </w:rPr>
              <w:t>„</w:t>
            </w:r>
            <w:r w:rsidR="00D47CE2" w:rsidRPr="000B7C06">
              <w:rPr>
                <w:rFonts w:cs="Times New Roman"/>
                <w:sz w:val="20"/>
                <w:szCs w:val="20"/>
                <w:lang w:val="bg-BG"/>
              </w:rPr>
              <w:t>Една от основните причини за негативно въздействие върху качеството на атмосферния въздух и създаване на висока степен на замърсеност са отпадъчните газове на горивните инсталации за индустриални и битови нужди са друг съществен фактор, водещ до влошаване на качеството на атмосферния въздух", да бъде заменено с ,,Основни източници на замърсяване на въздуха са сектори битово отопление, транспорт и селско стопанство. В определени райони на страната основни източници на замърсяване със серен диоксид е производството на електрическа и топлинна енергия</w:t>
            </w:r>
          </w:p>
          <w:p w14:paraId="039C3362"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5.</w:t>
            </w:r>
            <w:r w:rsidR="001364AF" w:rsidRPr="000B7C06">
              <w:rPr>
                <w:rFonts w:cs="Times New Roman"/>
                <w:sz w:val="20"/>
                <w:szCs w:val="20"/>
                <w:lang w:val="bg-BG"/>
              </w:rPr>
              <w:t xml:space="preserve"> </w:t>
            </w:r>
            <w:r w:rsidR="00D47CE2" w:rsidRPr="000B7C06">
              <w:rPr>
                <w:rFonts w:cs="Times New Roman"/>
                <w:sz w:val="20"/>
                <w:szCs w:val="20"/>
                <w:lang w:val="bg-BG"/>
              </w:rPr>
              <w:t xml:space="preserve">На стр. 34-38 </w:t>
            </w:r>
            <w:r w:rsidR="001364AF" w:rsidRPr="000B7C06">
              <w:rPr>
                <w:rFonts w:cs="Times New Roman"/>
                <w:sz w:val="20"/>
                <w:szCs w:val="20"/>
                <w:lang w:val="bg-BG"/>
              </w:rPr>
              <w:t>„</w:t>
            </w:r>
            <w:r w:rsidR="00D47CE2" w:rsidRPr="000B7C06">
              <w:rPr>
                <w:rFonts w:cs="Times New Roman"/>
                <w:sz w:val="20"/>
                <w:szCs w:val="20"/>
                <w:lang w:val="bg-BG"/>
              </w:rPr>
              <w:t xml:space="preserve">По отношение на Плана за управление па речните басейни", са разгледани само ГТУРБ за Дунавски район и ПУРБ за </w:t>
            </w:r>
            <w:proofErr w:type="spellStart"/>
            <w:r w:rsidR="00D47CE2" w:rsidRPr="000B7C06">
              <w:rPr>
                <w:rFonts w:cs="Times New Roman"/>
                <w:sz w:val="20"/>
                <w:szCs w:val="20"/>
                <w:lang w:val="bg-BG"/>
              </w:rPr>
              <w:t>Западно</w:t>
            </w:r>
            <w:r w:rsidR="001364AF" w:rsidRPr="000B7C06">
              <w:rPr>
                <w:rFonts w:cs="Times New Roman"/>
                <w:sz w:val="20"/>
                <w:szCs w:val="20"/>
                <w:lang w:val="bg-BG"/>
              </w:rPr>
              <w:t>б</w:t>
            </w:r>
            <w:r w:rsidR="00D47CE2" w:rsidRPr="000B7C06">
              <w:rPr>
                <w:rFonts w:cs="Times New Roman"/>
                <w:sz w:val="20"/>
                <w:szCs w:val="20"/>
                <w:lang w:val="bg-BG"/>
              </w:rPr>
              <w:t>еломорски</w:t>
            </w:r>
            <w:proofErr w:type="spellEnd"/>
            <w:r w:rsidR="00D47CE2" w:rsidRPr="000B7C06">
              <w:rPr>
                <w:rFonts w:cs="Times New Roman"/>
                <w:sz w:val="20"/>
                <w:szCs w:val="20"/>
                <w:lang w:val="bg-BG"/>
              </w:rPr>
              <w:t xml:space="preserve"> район. Следва да се включи и информация и за ПУРБ за Черноморски район и за Източнобеломорски район.</w:t>
            </w:r>
          </w:p>
          <w:p w14:paraId="1A6BF2D9"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6. </w:t>
            </w:r>
            <w:r w:rsidR="00D47CE2" w:rsidRPr="000B7C06">
              <w:rPr>
                <w:rFonts w:cs="Times New Roman"/>
                <w:sz w:val="20"/>
                <w:szCs w:val="20"/>
                <w:lang w:val="bg-BG"/>
              </w:rPr>
              <w:t xml:space="preserve">На стр. 35, параграф 6, в частта за ПУРБ на </w:t>
            </w:r>
            <w:proofErr w:type="spellStart"/>
            <w:r w:rsidR="00D47CE2" w:rsidRPr="000B7C06">
              <w:rPr>
                <w:rFonts w:cs="Times New Roman"/>
                <w:sz w:val="20"/>
                <w:szCs w:val="20"/>
                <w:lang w:val="bg-BG"/>
              </w:rPr>
              <w:t>Западнобеломорски</w:t>
            </w:r>
            <w:proofErr w:type="spellEnd"/>
            <w:r w:rsidR="00D47CE2" w:rsidRPr="000B7C06">
              <w:rPr>
                <w:rFonts w:cs="Times New Roman"/>
                <w:sz w:val="20"/>
                <w:szCs w:val="20"/>
                <w:lang w:val="bg-BG"/>
              </w:rPr>
              <w:t xml:space="preserve"> район е посочен ПУРБ 2016 - 2021 г. на Дунавски район ", грешката следва да се отстрани.</w:t>
            </w:r>
          </w:p>
          <w:p w14:paraId="3A5023CF"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7.</w:t>
            </w:r>
            <w:r w:rsidR="001364AF" w:rsidRPr="000B7C06">
              <w:rPr>
                <w:rFonts w:cs="Times New Roman"/>
                <w:sz w:val="20"/>
                <w:szCs w:val="20"/>
                <w:lang w:val="bg-BG"/>
              </w:rPr>
              <w:t xml:space="preserve"> </w:t>
            </w:r>
            <w:r w:rsidR="00D47CE2" w:rsidRPr="000B7C06">
              <w:rPr>
                <w:rFonts w:cs="Times New Roman"/>
                <w:sz w:val="20"/>
                <w:szCs w:val="20"/>
                <w:lang w:val="bg-BG"/>
              </w:rPr>
              <w:t xml:space="preserve">На стр. 38 да се актуализират Заповеди № № РД09-264/05.05.2016 г. и РД- 296/31.05.2016 г. на МЗХ и МОСВ не са актуални, като следва да се заменят със Заповеди №№ РД09-222/27.02.2020 г. и РД-237/17.03.2020 г. на </w:t>
            </w:r>
            <w:proofErr w:type="spellStart"/>
            <w:r w:rsidR="00D47CE2" w:rsidRPr="000B7C06">
              <w:rPr>
                <w:rFonts w:cs="Times New Roman"/>
                <w:sz w:val="20"/>
                <w:szCs w:val="20"/>
                <w:lang w:val="bg-BG"/>
              </w:rPr>
              <w:t>МЗ</w:t>
            </w:r>
            <w:r w:rsidR="00D0185C" w:rsidRPr="000B7C06">
              <w:rPr>
                <w:rFonts w:cs="Times New Roman"/>
                <w:sz w:val="20"/>
                <w:szCs w:val="20"/>
                <w:lang w:val="bg-BG"/>
              </w:rPr>
              <w:t>м</w:t>
            </w:r>
            <w:proofErr w:type="spellEnd"/>
            <w:r w:rsidR="00D47CE2" w:rsidRPr="000B7C06">
              <w:rPr>
                <w:rFonts w:cs="Times New Roman"/>
                <w:sz w:val="20"/>
                <w:szCs w:val="20"/>
                <w:lang w:val="bg-BG"/>
              </w:rPr>
              <w:t xml:space="preserve"> и МОСВ.</w:t>
            </w:r>
          </w:p>
          <w:p w14:paraId="2F7A7FC9"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8. </w:t>
            </w:r>
            <w:r w:rsidR="00D47CE2" w:rsidRPr="000B7C06">
              <w:rPr>
                <w:rFonts w:cs="Times New Roman"/>
                <w:sz w:val="20"/>
                <w:szCs w:val="20"/>
                <w:lang w:val="bg-BG"/>
              </w:rPr>
              <w:t xml:space="preserve">В част 2.1.10 </w:t>
            </w:r>
            <w:r w:rsidR="001364AF" w:rsidRPr="000B7C06">
              <w:rPr>
                <w:rFonts w:cs="Times New Roman"/>
                <w:sz w:val="20"/>
                <w:szCs w:val="20"/>
                <w:lang w:val="bg-BG"/>
              </w:rPr>
              <w:t>„</w:t>
            </w:r>
            <w:r w:rsidR="00D47CE2" w:rsidRPr="000B7C06">
              <w:rPr>
                <w:rFonts w:cs="Times New Roman"/>
                <w:sz w:val="20"/>
                <w:szCs w:val="20"/>
                <w:lang w:val="bg-BG"/>
              </w:rPr>
              <w:t xml:space="preserve">Отпадъци " следва да се допълни с преглед на оползотворяването на утайките в земеделието, </w:t>
            </w:r>
            <w:r w:rsidR="00D47CE2" w:rsidRPr="000B7C06">
              <w:rPr>
                <w:rFonts w:cs="Times New Roman"/>
                <w:sz w:val="20"/>
                <w:szCs w:val="20"/>
                <w:lang w:val="bg-BG"/>
              </w:rPr>
              <w:lastRenderedPageBreak/>
              <w:t xml:space="preserve">складове за пестициди, съхраняването на отпадъци от селското стопанство </w:t>
            </w:r>
            <w:r w:rsidR="001364AF" w:rsidRPr="000B7C06">
              <w:rPr>
                <w:rFonts w:cs="Times New Roman"/>
                <w:sz w:val="20"/>
                <w:szCs w:val="20"/>
                <w:lang w:val="bg-BG"/>
              </w:rPr>
              <w:t>„</w:t>
            </w:r>
            <w:r w:rsidR="00D47CE2" w:rsidRPr="000B7C06">
              <w:rPr>
                <w:rFonts w:cs="Times New Roman"/>
                <w:sz w:val="20"/>
                <w:szCs w:val="20"/>
                <w:lang w:val="bg-BG"/>
              </w:rPr>
              <w:t>напр. оборска тор".</w:t>
            </w:r>
          </w:p>
          <w:p w14:paraId="098515B8"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9.</w:t>
            </w:r>
            <w:r w:rsidR="001364AF" w:rsidRPr="000B7C06">
              <w:rPr>
                <w:rFonts w:cs="Times New Roman"/>
                <w:sz w:val="20"/>
                <w:szCs w:val="20"/>
                <w:lang w:val="bg-BG"/>
              </w:rPr>
              <w:t xml:space="preserve"> </w:t>
            </w:r>
            <w:r w:rsidR="00D47CE2" w:rsidRPr="000B7C06">
              <w:rPr>
                <w:rFonts w:cs="Times New Roman"/>
                <w:sz w:val="20"/>
                <w:szCs w:val="20"/>
                <w:lang w:val="bg-BG"/>
              </w:rPr>
              <w:t xml:space="preserve">В т. 3. Характеристика на околната среда за територии, които вероятно ще бъдат значително засегнати с реализацията на </w:t>
            </w:r>
            <w:r w:rsidR="00CD4045" w:rsidRPr="000B7C06">
              <w:rPr>
                <w:rFonts w:cs="Times New Roman"/>
                <w:sz w:val="20"/>
                <w:szCs w:val="20"/>
                <w:lang w:val="bg-BG"/>
              </w:rPr>
              <w:t>СПРЗСР</w:t>
            </w:r>
            <w:r w:rsidR="00D47CE2" w:rsidRPr="000B7C06">
              <w:rPr>
                <w:rFonts w:cs="Times New Roman"/>
                <w:sz w:val="20"/>
                <w:szCs w:val="20"/>
                <w:lang w:val="bg-BG"/>
              </w:rPr>
              <w:t xml:space="preserve">, </w:t>
            </w:r>
            <w:r w:rsidR="001364AF" w:rsidRPr="000B7C06">
              <w:rPr>
                <w:rFonts w:cs="Times New Roman"/>
                <w:sz w:val="20"/>
                <w:szCs w:val="20"/>
                <w:lang w:val="bg-BG"/>
              </w:rPr>
              <w:t>„</w:t>
            </w:r>
            <w:r w:rsidR="00D47CE2" w:rsidRPr="000B7C06">
              <w:rPr>
                <w:rFonts w:cs="Times New Roman"/>
                <w:sz w:val="20"/>
                <w:szCs w:val="20"/>
                <w:lang w:val="bg-BG"/>
              </w:rPr>
              <w:t>Райони със значителен потенциален риск от наводнения " (стр. 65), следва да се включи информация за наличието на места за съхранение на препарати, пестициди и отпадъци от селското стопанство, намиращи се в зони със значителен потенциален риск от наводнение и да се предвидят мерки за намаляване на риска от замърсяване на водите от такива обекти в случай на наводнение.</w:t>
            </w:r>
          </w:p>
          <w:p w14:paraId="519EE333"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10.</w:t>
            </w:r>
            <w:r w:rsidR="00D47CE2" w:rsidRPr="000B7C06">
              <w:rPr>
                <w:rFonts w:cs="Times New Roman"/>
                <w:sz w:val="20"/>
                <w:szCs w:val="20"/>
                <w:lang w:val="bg-BG"/>
              </w:rPr>
              <w:t xml:space="preserve">Обръщаме </w:t>
            </w:r>
            <w:proofErr w:type="spellStart"/>
            <w:r w:rsidR="00D47CE2" w:rsidRPr="000B7C06">
              <w:rPr>
                <w:rFonts w:cs="Times New Roman"/>
                <w:sz w:val="20"/>
                <w:szCs w:val="20"/>
                <w:lang w:val="bg-BG"/>
              </w:rPr>
              <w:t>внимание.че</w:t>
            </w:r>
            <w:proofErr w:type="spellEnd"/>
            <w:r w:rsidR="00D47CE2" w:rsidRPr="000B7C06">
              <w:rPr>
                <w:rFonts w:cs="Times New Roman"/>
                <w:sz w:val="20"/>
                <w:szCs w:val="20"/>
                <w:lang w:val="bg-BG"/>
              </w:rPr>
              <w:t xml:space="preserve"> в </w:t>
            </w:r>
            <w:proofErr w:type="spellStart"/>
            <w:r w:rsidR="00D47CE2" w:rsidRPr="000B7C06">
              <w:rPr>
                <w:rFonts w:cs="Times New Roman"/>
                <w:sz w:val="20"/>
                <w:szCs w:val="20"/>
                <w:lang w:val="bg-BG"/>
              </w:rPr>
              <w:t>проекто</w:t>
            </w:r>
            <w:proofErr w:type="spellEnd"/>
            <w:r w:rsidR="00D47CE2" w:rsidRPr="000B7C06">
              <w:rPr>
                <w:rFonts w:cs="Times New Roman"/>
                <w:sz w:val="20"/>
                <w:szCs w:val="20"/>
                <w:lang w:val="bg-BG"/>
              </w:rPr>
              <w:t>-съдържанието на доклада за ЕО (стр. 79-81) в точки 3.2, 8.1 и 8.2 следва да се коригира наименованието на документа, тъй като вместо Стратегически план по Обща селскостопанска политика се споменава План за възстановяване и устойчивост (ПВУ).</w:t>
            </w:r>
          </w:p>
          <w:p w14:paraId="577EED93" w14:textId="77777777" w:rsidR="00D47CE2"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11.</w:t>
            </w:r>
            <w:r w:rsidR="00D47CE2" w:rsidRPr="000B7C06">
              <w:rPr>
                <w:rFonts w:cs="Times New Roman"/>
                <w:sz w:val="20"/>
                <w:szCs w:val="20"/>
                <w:lang w:val="bg-BG"/>
              </w:rPr>
              <w:t xml:space="preserve">Навсякъде в Заданието за обхват и съдържание на Доклада за "Стратегическа оценка на околната среда на стратегически план по </w:t>
            </w:r>
            <w:r w:rsidR="00D809BC" w:rsidRPr="000B7C06">
              <w:rPr>
                <w:rFonts w:cs="Times New Roman"/>
                <w:sz w:val="20"/>
                <w:szCs w:val="20"/>
                <w:lang w:val="bg-BG"/>
              </w:rPr>
              <w:t>РЗСР</w:t>
            </w:r>
            <w:r w:rsidR="00D47CE2" w:rsidRPr="000B7C06">
              <w:rPr>
                <w:rFonts w:cs="Times New Roman"/>
                <w:sz w:val="20"/>
                <w:szCs w:val="20"/>
                <w:lang w:val="bg-BG"/>
              </w:rPr>
              <w:t xml:space="preserve"> за периода 2021-2027“ периода да бъде уточнен и коригиран.</w:t>
            </w:r>
          </w:p>
          <w:p w14:paraId="3B6CF645" w14:textId="77777777" w:rsidR="009D23E4" w:rsidRPr="000B7C06" w:rsidRDefault="009D131E"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12. </w:t>
            </w:r>
            <w:r w:rsidR="009D23E4" w:rsidRPr="000B7C06">
              <w:rPr>
                <w:rFonts w:cs="Times New Roman"/>
                <w:sz w:val="20"/>
                <w:szCs w:val="20"/>
                <w:lang w:val="bg-BG"/>
              </w:rPr>
              <w:t xml:space="preserve">По отношение на биологично разнообразие, Натура 2000 и защитени територии: Думите </w:t>
            </w:r>
            <w:r w:rsidR="002965D7" w:rsidRPr="000B7C06">
              <w:rPr>
                <w:rFonts w:cs="Times New Roman"/>
                <w:sz w:val="20"/>
                <w:szCs w:val="20"/>
                <w:lang w:val="bg-BG"/>
              </w:rPr>
              <w:t>„</w:t>
            </w:r>
            <w:r w:rsidR="009D23E4" w:rsidRPr="000B7C06">
              <w:rPr>
                <w:rFonts w:cs="Times New Roman"/>
                <w:sz w:val="20"/>
                <w:szCs w:val="20"/>
                <w:lang w:val="bg-BG"/>
              </w:rPr>
              <w:t>Стратегията за биологичното разнообразие</w:t>
            </w:r>
            <w:r w:rsidR="002965D7" w:rsidRPr="000B7C06">
              <w:rPr>
                <w:rFonts w:cs="Times New Roman"/>
                <w:sz w:val="20"/>
                <w:szCs w:val="20"/>
                <w:lang w:val="bg-BG"/>
              </w:rPr>
              <w:t>“</w:t>
            </w:r>
            <w:r w:rsidR="009D23E4" w:rsidRPr="000B7C06">
              <w:rPr>
                <w:rFonts w:cs="Times New Roman"/>
                <w:sz w:val="20"/>
                <w:szCs w:val="20"/>
                <w:lang w:val="bg-BG"/>
              </w:rPr>
              <w:t xml:space="preserve"> да се заменят със</w:t>
            </w:r>
            <w:r w:rsidRPr="000B7C06">
              <w:rPr>
                <w:rFonts w:cs="Times New Roman"/>
                <w:sz w:val="20"/>
                <w:szCs w:val="20"/>
                <w:lang w:val="bg-BG"/>
              </w:rPr>
              <w:t xml:space="preserve"> </w:t>
            </w:r>
            <w:r w:rsidR="002965D7" w:rsidRPr="000B7C06">
              <w:rPr>
                <w:rFonts w:cs="Times New Roman"/>
                <w:sz w:val="20"/>
                <w:szCs w:val="20"/>
                <w:lang w:val="bg-BG"/>
              </w:rPr>
              <w:t>„</w:t>
            </w:r>
            <w:r w:rsidR="009D23E4" w:rsidRPr="000B7C06">
              <w:rPr>
                <w:rFonts w:cs="Times New Roman"/>
                <w:sz w:val="20"/>
                <w:szCs w:val="20"/>
                <w:lang w:val="bg-BG"/>
              </w:rPr>
              <w:t>Стратегия на ЕС за биологичното разнообразие за 2030</w:t>
            </w:r>
            <w:r w:rsidR="002965D7" w:rsidRPr="000B7C06">
              <w:rPr>
                <w:rFonts w:cs="Times New Roman"/>
                <w:sz w:val="20"/>
                <w:szCs w:val="20"/>
                <w:lang w:val="bg-BG"/>
              </w:rPr>
              <w:t>“</w:t>
            </w:r>
            <w:r w:rsidR="009D23E4" w:rsidRPr="000B7C06">
              <w:rPr>
                <w:rFonts w:cs="Times New Roman"/>
                <w:sz w:val="20"/>
                <w:szCs w:val="20"/>
                <w:lang w:val="bg-BG"/>
              </w:rPr>
              <w:t>.</w:t>
            </w:r>
          </w:p>
          <w:p w14:paraId="5E30950C" w14:textId="77777777" w:rsidR="009D23E4" w:rsidRPr="000B7C06" w:rsidRDefault="009D23E4"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Думите </w:t>
            </w:r>
            <w:r w:rsidR="002965D7" w:rsidRPr="000B7C06">
              <w:rPr>
                <w:rFonts w:cs="Times New Roman"/>
                <w:sz w:val="20"/>
                <w:szCs w:val="20"/>
                <w:lang w:val="bg-BG"/>
              </w:rPr>
              <w:t>„</w:t>
            </w:r>
            <w:r w:rsidRPr="000B7C06">
              <w:rPr>
                <w:rFonts w:cs="Times New Roman"/>
                <w:sz w:val="20"/>
                <w:szCs w:val="20"/>
                <w:lang w:val="bg-BG"/>
              </w:rPr>
              <w:t>Стратегията от фермата до трапезата</w:t>
            </w:r>
            <w:r w:rsidR="002965D7" w:rsidRPr="000B7C06">
              <w:rPr>
                <w:rFonts w:cs="Times New Roman"/>
                <w:sz w:val="20"/>
                <w:szCs w:val="20"/>
                <w:lang w:val="bg-BG"/>
              </w:rPr>
              <w:t>“</w:t>
            </w:r>
            <w:r w:rsidRPr="000B7C06">
              <w:rPr>
                <w:rFonts w:cs="Times New Roman"/>
                <w:sz w:val="20"/>
                <w:szCs w:val="20"/>
                <w:lang w:val="bg-BG"/>
              </w:rPr>
              <w:t xml:space="preserve"> да се заменят със стратегия „От фермата до трапезата“ или с цялото </w:t>
            </w:r>
            <w:r w:rsidRPr="000B7C06">
              <w:rPr>
                <w:rFonts w:cs="Times New Roman"/>
                <w:sz w:val="20"/>
                <w:szCs w:val="20"/>
                <w:lang w:val="bg-BG"/>
              </w:rPr>
              <w:lastRenderedPageBreak/>
              <w:t xml:space="preserve">име - стратегия </w:t>
            </w:r>
            <w:r w:rsidR="002965D7" w:rsidRPr="000B7C06">
              <w:rPr>
                <w:rFonts w:cs="Times New Roman"/>
                <w:sz w:val="20"/>
                <w:szCs w:val="20"/>
                <w:lang w:val="bg-BG"/>
              </w:rPr>
              <w:t>„</w:t>
            </w:r>
            <w:r w:rsidRPr="000B7C06">
              <w:rPr>
                <w:rFonts w:cs="Times New Roman"/>
                <w:sz w:val="20"/>
                <w:szCs w:val="20"/>
                <w:lang w:val="bg-BG"/>
              </w:rPr>
              <w:t>От фермата до трапезата" за справедлива, здравословна и екологосъобразна продоволствена система.</w:t>
            </w:r>
          </w:p>
          <w:p w14:paraId="08D2E15A" w14:textId="77777777" w:rsidR="009D23E4" w:rsidRPr="000B7C06" w:rsidRDefault="009D23E4"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В т. 1.4. Обхват и времева рамка на Стратегическия план по </w:t>
            </w:r>
            <w:r w:rsidR="00D809BC" w:rsidRPr="000B7C06">
              <w:rPr>
                <w:rFonts w:cs="Times New Roman"/>
                <w:sz w:val="20"/>
                <w:szCs w:val="20"/>
                <w:lang w:val="bg-BG"/>
              </w:rPr>
              <w:t>РЗСР</w:t>
            </w:r>
            <w:r w:rsidRPr="000B7C06">
              <w:rPr>
                <w:rFonts w:cs="Times New Roman"/>
                <w:sz w:val="20"/>
                <w:szCs w:val="20"/>
                <w:lang w:val="bg-BG"/>
              </w:rPr>
              <w:t xml:space="preserve"> 2021 - 2027 г. е написано следното „Проектът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2021 - 2027 г.. е с национален териториален обхват и действа на територията на цялата страна. Периодът на действие на Стратегическия план е в съответствие с регламента на ЕС</w:t>
            </w:r>
            <w:r w:rsidR="002965D7" w:rsidRPr="000B7C06">
              <w:rPr>
                <w:rFonts w:cs="Times New Roman"/>
                <w:sz w:val="20"/>
                <w:szCs w:val="20"/>
                <w:lang w:val="bg-BG"/>
              </w:rPr>
              <w:t>,</w:t>
            </w:r>
            <w:r w:rsidRPr="000B7C06">
              <w:rPr>
                <w:rFonts w:cs="Times New Roman"/>
                <w:sz w:val="20"/>
                <w:szCs w:val="20"/>
                <w:lang w:val="bg-BG"/>
              </w:rPr>
              <w:t xml:space="preserve"> приет 1 декември 2020 г. за определяне на </w:t>
            </w:r>
            <w:proofErr w:type="spellStart"/>
            <w:r w:rsidRPr="000B7C06">
              <w:rPr>
                <w:rFonts w:cs="Times New Roman"/>
                <w:sz w:val="20"/>
                <w:szCs w:val="20"/>
                <w:lang w:val="bg-BG"/>
              </w:rPr>
              <w:t>многогодишпата</w:t>
            </w:r>
            <w:proofErr w:type="spellEnd"/>
            <w:r w:rsidRPr="000B7C06">
              <w:rPr>
                <w:rFonts w:cs="Times New Roman"/>
                <w:sz w:val="20"/>
                <w:szCs w:val="20"/>
                <w:lang w:val="bg-BG"/>
              </w:rPr>
              <w:t xml:space="preserve"> финансова рамка за периода 2021 - 2027 г. През този период ще се осъществят предвидените по плана мерки и дейности по 40 разходни програми на ЕС в т. ч. и </w:t>
            </w:r>
            <w:r w:rsidR="00D809BC" w:rsidRPr="000B7C06">
              <w:rPr>
                <w:rFonts w:cs="Times New Roman"/>
                <w:sz w:val="20"/>
                <w:szCs w:val="20"/>
                <w:lang w:val="bg-BG"/>
              </w:rPr>
              <w:t>РЗСР</w:t>
            </w:r>
            <w:r w:rsidRPr="000B7C06">
              <w:rPr>
                <w:rFonts w:cs="Times New Roman"/>
                <w:sz w:val="20"/>
                <w:szCs w:val="20"/>
                <w:lang w:val="bg-BG"/>
              </w:rPr>
              <w:t>".</w:t>
            </w:r>
          </w:p>
          <w:p w14:paraId="1D1BF411" w14:textId="77777777" w:rsidR="002965D7" w:rsidRPr="000B7C06" w:rsidRDefault="002965D7" w:rsidP="0084747F">
            <w:pPr>
              <w:widowControl w:val="0"/>
              <w:tabs>
                <w:tab w:val="left" w:pos="1451"/>
              </w:tabs>
              <w:spacing w:after="60" w:line="264" w:lineRule="auto"/>
              <w:ind w:right="40"/>
              <w:rPr>
                <w:rFonts w:cs="Times New Roman"/>
                <w:sz w:val="20"/>
                <w:szCs w:val="20"/>
                <w:lang w:val="bg-BG"/>
              </w:rPr>
            </w:pPr>
          </w:p>
          <w:p w14:paraId="546EF6C2" w14:textId="039DBF79" w:rsidR="000541AA" w:rsidRPr="000B7C06" w:rsidRDefault="009D23E4"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В т. Б. Планове, програми и стратегии на територията на Република България, относими към </w:t>
            </w:r>
            <w:r w:rsidR="00CD4045" w:rsidRPr="000B7C06">
              <w:rPr>
                <w:rFonts w:cs="Times New Roman"/>
                <w:sz w:val="20"/>
                <w:szCs w:val="20"/>
                <w:lang w:val="bg-BG"/>
              </w:rPr>
              <w:t>СПРЗСР</w:t>
            </w:r>
            <w:r w:rsidRPr="000B7C06">
              <w:rPr>
                <w:rFonts w:cs="Times New Roman"/>
                <w:sz w:val="20"/>
                <w:szCs w:val="20"/>
                <w:lang w:val="bg-BG"/>
              </w:rPr>
              <w:t xml:space="preserve"> 2021-2027 г. Национална приоритетна рамка за действие за Натура 2000 за периода 2021-2027 г. да се замени с „Националната рамка за приоритетни действия за „Натура 2000“ 2021-2027 г.“. С официално писмо Европейската комисия чрез Постоянното представителство на България в Брюксел уведоми Министерството на околната среда и водите, че Националната рамка за приоритетни действия за Натура 2000 за програмния период 2021 - 2027 г. на България (НРПД 2021 - 2027 г.) е одобрена и насърчава българските власти да гарантират, че всички идентифицирани програми за финансиране, по- специално Стратегическият план на Общата селскостопанска </w:t>
            </w:r>
            <w:r w:rsidRPr="000B7C06">
              <w:rPr>
                <w:rFonts w:cs="Times New Roman"/>
                <w:sz w:val="20"/>
                <w:szCs w:val="20"/>
                <w:lang w:val="bg-BG"/>
              </w:rPr>
              <w:lastRenderedPageBreak/>
              <w:t>политика, програмите по</w:t>
            </w:r>
            <w:r w:rsidR="000541AA" w:rsidRPr="000B7C06">
              <w:rPr>
                <w:rFonts w:cs="Times New Roman"/>
                <w:sz w:val="20"/>
                <w:szCs w:val="20"/>
                <w:lang w:val="bg-BG"/>
              </w:rPr>
              <w:t xml:space="preserve"> кохезионния фонд и регионалния фонд, и Програмата за морско дело, ри</w:t>
            </w:r>
            <w:r w:rsidR="00CE1F67">
              <w:rPr>
                <w:rFonts w:cs="Times New Roman"/>
                <w:sz w:val="20"/>
                <w:szCs w:val="20"/>
                <w:lang w:val="bg-BG"/>
              </w:rPr>
              <w:t>б</w:t>
            </w:r>
            <w:r w:rsidR="000541AA" w:rsidRPr="000B7C06">
              <w:rPr>
                <w:rFonts w:cs="Times New Roman"/>
                <w:sz w:val="20"/>
                <w:szCs w:val="20"/>
                <w:lang w:val="bg-BG"/>
              </w:rPr>
              <w:t xml:space="preserve">арство и аквакултури отразяват по подходящ начин нуждите и приоритетите, определените в НРПД за Натура 2000. С писмото си Европейската комисия потвърждава, че стратегическият документ за Натура 2000 е цялостен и с необходимото качество, за да изпълни изискванията за предварителните условия на Европейския фонд за регионално развитие. НРПД 2021 — 2027 г. представлява инструмент за стратегическо многогодишно планиране с цел осигуряване на всеобхватен преглед на необходими мерки за управлението на мрежата „Натура 2000 в България и свързаната с нея екологична инфраструктура. Включени са 74 административни и </w:t>
            </w:r>
            <w:proofErr w:type="spellStart"/>
            <w:r w:rsidR="000541AA" w:rsidRPr="000B7C06">
              <w:rPr>
                <w:rFonts w:cs="Times New Roman"/>
                <w:sz w:val="20"/>
                <w:szCs w:val="20"/>
                <w:lang w:val="bg-BG"/>
              </w:rPr>
              <w:t>консервационни</w:t>
            </w:r>
            <w:proofErr w:type="spellEnd"/>
            <w:r w:rsidR="000541AA" w:rsidRPr="000B7C06">
              <w:rPr>
                <w:rFonts w:cs="Times New Roman"/>
                <w:sz w:val="20"/>
                <w:szCs w:val="20"/>
                <w:lang w:val="bg-BG"/>
              </w:rPr>
              <w:t xml:space="preserve"> мерки за запазване и/или възстановяване на благоприятен природозащитен статус на естествените местообитания и видовете от интерес за България и Европейския съюз. като същевременно взема под внимание икономическите, социалните и културните изисквания, както и регионалните и местните особености. Финансирането на мерките се осигурява от Европейския фонд за регионално развитие/Кохезионния фонд. Европейския земеделски фонд за развитие на селските райони. Европейския фонд за гарантиране на земеделието. Европейския фонд за морско дело и рибарство. Механизма за възстановяване и устойчивост и националния бюджет. Стратегическият документ за „Натура 2000" цели да обърне процеса на загуба на биоразнообразието. като дава приоритет на необходимите мерки за опазване на целеви видове и </w:t>
            </w:r>
            <w:r w:rsidR="000541AA" w:rsidRPr="000B7C06">
              <w:rPr>
                <w:rFonts w:cs="Times New Roman"/>
                <w:sz w:val="20"/>
                <w:szCs w:val="20"/>
                <w:lang w:val="bg-BG"/>
              </w:rPr>
              <w:lastRenderedPageBreak/>
              <w:t>природни местообитания по Директивата за птиците и Директивата за местообитанията на територията на мрежата „Натура 2000". Това допринася пряко за прилагането на политиката и законодателството на ЕС не само в областта на двете природозащитни директиви, но и по отношение на Стратегията за биоразнообразие до 2030 г.. Европейския зелен пакт. Парижкото споразумение и Стратегията за горите на ЕС за опазване и адаптация на горите към климатичните промени.</w:t>
            </w:r>
          </w:p>
          <w:p w14:paraId="3FFD4E5D"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На стр. 19, Специфична цел № 6. потребност 1 - да се заличат запетаите: потребност „Насърчаване на практики за справяне с генетична ерозия и неместни видове - Инвазивни и Чужди видове (ИЧВ)" да се изпише „Насърчаване на практики за справяне с генетична ерозия и превенция за спиране навлизането на инвазивни и чужди видове (ИЧВ)": „Подобряване на </w:t>
            </w:r>
            <w:proofErr w:type="spellStart"/>
            <w:r w:rsidRPr="000B7C06">
              <w:rPr>
                <w:rFonts w:cs="Times New Roman"/>
                <w:sz w:val="20"/>
                <w:szCs w:val="20"/>
                <w:lang w:val="bg-BG"/>
              </w:rPr>
              <w:t>опрашителния</w:t>
            </w:r>
            <w:proofErr w:type="spellEnd"/>
            <w:r w:rsidRPr="000B7C06">
              <w:rPr>
                <w:rFonts w:cs="Times New Roman"/>
                <w:sz w:val="20"/>
                <w:szCs w:val="20"/>
                <w:lang w:val="bg-BG"/>
              </w:rPr>
              <w:t xml:space="preserve"> потенциал на екосистемите и наличието на подходящите растения" да се замени с „Поддържане на здрави екосистеми и подходящи растителни видове с цел опазване на </w:t>
            </w:r>
            <w:proofErr w:type="spellStart"/>
            <w:r w:rsidRPr="000B7C06">
              <w:rPr>
                <w:rFonts w:cs="Times New Roman"/>
                <w:sz w:val="20"/>
                <w:szCs w:val="20"/>
                <w:lang w:val="bg-BG"/>
              </w:rPr>
              <w:t>опрашителите</w:t>
            </w:r>
            <w:proofErr w:type="spellEnd"/>
            <w:r w:rsidRPr="000B7C06">
              <w:rPr>
                <w:rFonts w:cs="Times New Roman"/>
                <w:sz w:val="20"/>
                <w:szCs w:val="20"/>
                <w:lang w:val="bg-BG"/>
              </w:rPr>
              <w:t>".</w:t>
            </w:r>
          </w:p>
          <w:p w14:paraId="73B4101C" w14:textId="77777777" w:rsidR="00D7613F" w:rsidRPr="000B7C06" w:rsidRDefault="00D7613F" w:rsidP="0084747F">
            <w:pPr>
              <w:widowControl w:val="0"/>
              <w:tabs>
                <w:tab w:val="left" w:pos="1451"/>
              </w:tabs>
              <w:spacing w:after="60" w:line="264" w:lineRule="auto"/>
              <w:ind w:right="40"/>
              <w:rPr>
                <w:rFonts w:cs="Times New Roman"/>
                <w:sz w:val="20"/>
                <w:szCs w:val="20"/>
                <w:lang w:val="bg-BG"/>
              </w:rPr>
            </w:pPr>
          </w:p>
          <w:p w14:paraId="5DDB0991"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стр. 21. цел 9, да се прецизира потребност „Подобряване отглеждането на животни" (не е ясно защо</w:t>
            </w:r>
            <w:r w:rsidR="00372B27" w:rsidRPr="000B7C06">
              <w:rPr>
                <w:rFonts w:cs="Times New Roman"/>
                <w:sz w:val="20"/>
                <w:szCs w:val="20"/>
                <w:lang w:val="bg-BG"/>
              </w:rPr>
              <w:t>,</w:t>
            </w:r>
            <w:r w:rsidRPr="000B7C06">
              <w:rPr>
                <w:rFonts w:cs="Times New Roman"/>
                <w:sz w:val="20"/>
                <w:szCs w:val="20"/>
                <w:lang w:val="bg-BG"/>
              </w:rPr>
              <w:t xml:space="preserve"> с каква цел, по какъв начин и т.н.).</w:t>
            </w:r>
          </w:p>
          <w:p w14:paraId="370AE235" w14:textId="77777777" w:rsidR="00D7613F" w:rsidRPr="000B7C06" w:rsidRDefault="00D7613F" w:rsidP="0084747F">
            <w:pPr>
              <w:widowControl w:val="0"/>
              <w:tabs>
                <w:tab w:val="left" w:pos="1451"/>
              </w:tabs>
              <w:spacing w:after="60" w:line="264" w:lineRule="auto"/>
              <w:ind w:right="40"/>
              <w:rPr>
                <w:rFonts w:cs="Times New Roman"/>
                <w:sz w:val="20"/>
                <w:szCs w:val="20"/>
                <w:lang w:val="bg-BG"/>
              </w:rPr>
            </w:pPr>
          </w:p>
          <w:p w14:paraId="3794DFA0"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стр. 24 „</w:t>
            </w:r>
            <w:proofErr w:type="spellStart"/>
            <w:r w:rsidRPr="000B7C06">
              <w:rPr>
                <w:rFonts w:cs="Times New Roman"/>
                <w:sz w:val="20"/>
                <w:szCs w:val="20"/>
                <w:lang w:val="bg-BG"/>
              </w:rPr>
              <w:t>критериален</w:t>
            </w:r>
            <w:proofErr w:type="spellEnd"/>
            <w:r w:rsidRPr="000B7C06">
              <w:rPr>
                <w:rFonts w:cs="Times New Roman"/>
                <w:sz w:val="20"/>
                <w:szCs w:val="20"/>
                <w:lang w:val="bg-BG"/>
              </w:rPr>
              <w:t xml:space="preserve"> анализ" да се редактира.</w:t>
            </w:r>
          </w:p>
          <w:p w14:paraId="6553C4D4" w14:textId="77777777" w:rsidR="00D7613F" w:rsidRPr="000B7C06" w:rsidRDefault="00D7613F" w:rsidP="0084747F">
            <w:pPr>
              <w:widowControl w:val="0"/>
              <w:tabs>
                <w:tab w:val="left" w:pos="1451"/>
              </w:tabs>
              <w:spacing w:after="60" w:line="264" w:lineRule="auto"/>
              <w:ind w:right="40"/>
              <w:rPr>
                <w:rFonts w:cs="Times New Roman"/>
                <w:sz w:val="20"/>
                <w:szCs w:val="20"/>
                <w:lang w:val="bg-BG"/>
              </w:rPr>
            </w:pPr>
          </w:p>
          <w:p w14:paraId="59B2F2B3"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lastRenderedPageBreak/>
              <w:t>На стр. 26 - първи ред. след „Стратегия на ЕС за биологичното разнообразие за 2030” преди „др." да се добави „Стратегия „От фермата до трапезата” за справедлива, здравословна и екологосъобразна продоволствена система", тъй като се коментира в плана.</w:t>
            </w:r>
          </w:p>
          <w:p w14:paraId="41159644"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На стр. 49 накрая в карето текста със скобите „(в т.ч. предмет на опазване </w:t>
            </w:r>
            <w:proofErr w:type="spellStart"/>
            <w:r w:rsidRPr="000B7C06">
              <w:rPr>
                <w:rFonts w:cs="Times New Roman"/>
                <w:sz w:val="20"/>
                <w:szCs w:val="20"/>
                <w:lang w:val="bg-BG"/>
              </w:rPr>
              <w:t>сьгласио</w:t>
            </w:r>
            <w:proofErr w:type="spellEnd"/>
            <w:r w:rsidRPr="000B7C06">
              <w:rPr>
                <w:rFonts w:cs="Times New Roman"/>
                <w:sz w:val="20"/>
                <w:szCs w:val="20"/>
                <w:lang w:val="bg-BG"/>
              </w:rPr>
              <w:t xml:space="preserve"> нормативни актове) "да отпадне и след „застрашени видове" да се допълнят думите „защитени видове, включени в Приложение 3 към Закона за биологичното разнообразие", след което изречението продължава до края.</w:t>
            </w:r>
          </w:p>
          <w:p w14:paraId="7432955A"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стр. 62 и 63. заглавията - „ландшафти" да отпаднат.</w:t>
            </w:r>
          </w:p>
          <w:p w14:paraId="5398980D" w14:textId="77777777" w:rsidR="00875257" w:rsidRPr="000B7C06" w:rsidRDefault="00875257" w:rsidP="0084747F">
            <w:pPr>
              <w:widowControl w:val="0"/>
              <w:tabs>
                <w:tab w:val="left" w:pos="1451"/>
              </w:tabs>
              <w:spacing w:after="60" w:line="264" w:lineRule="auto"/>
              <w:ind w:right="40"/>
              <w:rPr>
                <w:rFonts w:cs="Times New Roman"/>
                <w:sz w:val="20"/>
                <w:szCs w:val="20"/>
                <w:lang w:val="bg-BG"/>
              </w:rPr>
            </w:pPr>
          </w:p>
          <w:p w14:paraId="200E1C64"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На стр. 69. Биологично разнообразие - в началото думите „като цяло" се заменят с текста „Влошаването, фрагментацията и загубата на местообитанията са основни заплахи, в резултат на човешката дейност, като преустановяване на косенето на ливадите, преобразуване на пасищата, затревените площи и ливадите в орни земи и многогодишни насаждения," и продължава с текста на абзаца. Добавя се втори нов абзац </w:t>
            </w:r>
            <w:r w:rsidR="00D7613F" w:rsidRPr="000B7C06">
              <w:rPr>
                <w:rFonts w:cs="Times New Roman"/>
                <w:sz w:val="20"/>
                <w:szCs w:val="20"/>
                <w:lang w:val="bg-BG"/>
              </w:rPr>
              <w:t>„</w:t>
            </w:r>
            <w:r w:rsidRPr="000B7C06">
              <w:rPr>
                <w:rFonts w:cs="Times New Roman"/>
                <w:sz w:val="20"/>
                <w:szCs w:val="20"/>
                <w:lang w:val="bg-BG"/>
              </w:rPr>
              <w:t xml:space="preserve">Инвазивните чужди видове са чужди видове, чието въвеждане в природата и/или разпространение застрашава или влияе отрицателно върху местното биологично разнообразие и екосистемните услуги, като може да има и отрицателно въздействие върху здравето на човека и икономиката". „Пожарите" и „климатичните промени" </w:t>
            </w:r>
            <w:r w:rsidRPr="000B7C06">
              <w:rPr>
                <w:rFonts w:cs="Times New Roman"/>
                <w:sz w:val="20"/>
                <w:szCs w:val="20"/>
                <w:lang w:val="bg-BG"/>
              </w:rPr>
              <w:lastRenderedPageBreak/>
              <w:t>остават.</w:t>
            </w:r>
          </w:p>
          <w:p w14:paraId="5863F0DC"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стр. 75 - да се добави Закон за лечебните растения.</w:t>
            </w:r>
          </w:p>
          <w:p w14:paraId="0D1BFB2C" w14:textId="77777777" w:rsidR="00875257" w:rsidRPr="000B7C06" w:rsidRDefault="00875257" w:rsidP="0084747F">
            <w:pPr>
              <w:widowControl w:val="0"/>
              <w:tabs>
                <w:tab w:val="left" w:pos="1451"/>
              </w:tabs>
              <w:spacing w:after="60" w:line="264" w:lineRule="auto"/>
              <w:ind w:right="40"/>
              <w:rPr>
                <w:rFonts w:cs="Times New Roman"/>
                <w:sz w:val="20"/>
                <w:szCs w:val="20"/>
                <w:lang w:val="bg-BG"/>
              </w:rPr>
            </w:pPr>
          </w:p>
          <w:p w14:paraId="057F72E5" w14:textId="77777777" w:rsidR="009D23E4"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стр. 78, т. 3.1.8 Биоразнообразие, т. 5.8 Биоразнообразие - навсякъде в заглавията да се изписват изцяло думите, както е в 7.8. „Биологично разнообразие".</w:t>
            </w:r>
          </w:p>
          <w:p w14:paraId="05677F9B" w14:textId="77777777" w:rsidR="00D47CE2"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На стр. 79 от заданието в т. 14. </w:t>
            </w:r>
            <w:r w:rsidR="007E215E" w:rsidRPr="000B7C06">
              <w:rPr>
                <w:rFonts w:cs="Times New Roman"/>
                <w:sz w:val="20"/>
                <w:szCs w:val="20"/>
                <w:lang w:val="bg-BG"/>
              </w:rPr>
              <w:t>„</w:t>
            </w:r>
            <w:r w:rsidRPr="000B7C06">
              <w:rPr>
                <w:rFonts w:cs="Times New Roman"/>
                <w:sz w:val="20"/>
                <w:szCs w:val="20"/>
                <w:lang w:val="bg-BG"/>
              </w:rPr>
              <w:t>Приложения към доклада за екологична оценка трябва да се допише, че към Доклада за ЕО като отделно приложение следва да се включи Доклад за оценка на степента на въздействие, отговарящ на дадените с писмо изх. № ЕО-1/04.10.2021 г. на министъра на околната среда и водите, изисквания към обхвата, обема и съдържанието на оценката за степента на въздействие върху защитените зони. включително възможни алтернативни решения, наличие на обстоятелството по чл. 33 от ЗБР</w:t>
            </w:r>
            <w:r w:rsidR="007E215E" w:rsidRPr="000B7C06">
              <w:rPr>
                <w:rFonts w:cs="Times New Roman"/>
                <w:sz w:val="20"/>
                <w:szCs w:val="20"/>
                <w:lang w:val="bg-BG"/>
              </w:rPr>
              <w:t>,</w:t>
            </w:r>
            <w:r w:rsidRPr="000B7C06">
              <w:rPr>
                <w:rFonts w:cs="Times New Roman"/>
                <w:sz w:val="20"/>
                <w:szCs w:val="20"/>
                <w:lang w:val="bg-BG"/>
              </w:rPr>
              <w:t xml:space="preserve"> предложения за смекчаващи/компенсиращи мерки.</w:t>
            </w:r>
          </w:p>
          <w:p w14:paraId="6E970A90" w14:textId="77777777" w:rsidR="002965D7" w:rsidRPr="000B7C06" w:rsidRDefault="002965D7" w:rsidP="0084747F">
            <w:pPr>
              <w:widowControl w:val="0"/>
              <w:tabs>
                <w:tab w:val="left" w:pos="1451"/>
              </w:tabs>
              <w:spacing w:after="60" w:line="264" w:lineRule="auto"/>
              <w:ind w:right="40"/>
              <w:rPr>
                <w:rFonts w:cs="Times New Roman"/>
                <w:sz w:val="20"/>
                <w:szCs w:val="20"/>
                <w:lang w:val="bg-BG"/>
              </w:rPr>
            </w:pPr>
          </w:p>
          <w:p w14:paraId="337D2B6D"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II.</w:t>
            </w:r>
            <w:r w:rsidR="007E215E" w:rsidRPr="000B7C06">
              <w:rPr>
                <w:rFonts w:cs="Times New Roman"/>
                <w:sz w:val="20"/>
                <w:szCs w:val="20"/>
                <w:lang w:val="bg-BG"/>
              </w:rPr>
              <w:t xml:space="preserve"> </w:t>
            </w:r>
            <w:r w:rsidRPr="000B7C06">
              <w:rPr>
                <w:rFonts w:cs="Times New Roman"/>
                <w:sz w:val="20"/>
                <w:szCs w:val="20"/>
                <w:lang w:val="bg-BG"/>
              </w:rPr>
              <w:t>По схемата за провеждане на консултации с обществеността</w:t>
            </w:r>
            <w:r w:rsidR="002965D7" w:rsidRPr="000B7C06">
              <w:rPr>
                <w:rFonts w:cs="Times New Roman"/>
                <w:sz w:val="20"/>
                <w:szCs w:val="20"/>
                <w:lang w:val="bg-BG"/>
              </w:rPr>
              <w:t>,</w:t>
            </w:r>
            <w:r w:rsidRPr="000B7C06">
              <w:rPr>
                <w:rFonts w:cs="Times New Roman"/>
                <w:sz w:val="20"/>
                <w:szCs w:val="20"/>
                <w:lang w:val="bg-BG"/>
              </w:rPr>
              <w:t xml:space="preserve"> </w:t>
            </w:r>
            <w:r w:rsidR="002965D7" w:rsidRPr="000B7C06">
              <w:rPr>
                <w:rFonts w:cs="Times New Roman"/>
                <w:sz w:val="20"/>
                <w:szCs w:val="20"/>
                <w:lang w:val="bg-BG"/>
              </w:rPr>
              <w:t>за</w:t>
            </w:r>
            <w:r w:rsidRPr="000B7C06">
              <w:rPr>
                <w:rFonts w:cs="Times New Roman"/>
                <w:sz w:val="20"/>
                <w:szCs w:val="20"/>
                <w:lang w:val="bg-BG"/>
              </w:rPr>
              <w:t xml:space="preserve">интересованите органи и трети лица, които има вероятност да бъдат засегнати от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2023-2027г.:</w:t>
            </w:r>
          </w:p>
          <w:p w14:paraId="63F7CAD7"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На заглавната страница на схемата за провеждане на консултации с обществеността е даден период 2023-2027 г., а в текстовата част на схемата периода е 2021-2027 г., моля същият да бъде уточнен и коригиран.</w:t>
            </w:r>
          </w:p>
          <w:p w14:paraId="342D7691"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lastRenderedPageBreak/>
              <w:t>На стр. 3 в част I Въведение следва да има текст, че Стратегическият план по Обща селскостопанска политика (</w:t>
            </w:r>
            <w:r w:rsidR="00D809BC" w:rsidRPr="000B7C06">
              <w:rPr>
                <w:rFonts w:cs="Times New Roman"/>
                <w:sz w:val="20"/>
                <w:szCs w:val="20"/>
                <w:lang w:val="bg-BG"/>
              </w:rPr>
              <w:t>РЗСР</w:t>
            </w:r>
            <w:r w:rsidRPr="000B7C06">
              <w:rPr>
                <w:rFonts w:cs="Times New Roman"/>
                <w:sz w:val="20"/>
                <w:szCs w:val="20"/>
                <w:lang w:val="bg-BG"/>
              </w:rPr>
              <w:t xml:space="preserve">) за периода 2023-2027 г. подлежи на оценка за съвместимостта му с предмета и целите на опазване на защитените зони съгласно чл. 31. ал. 1 от Закона за </w:t>
            </w:r>
            <w:proofErr w:type="spellStart"/>
            <w:r w:rsidRPr="000B7C06">
              <w:rPr>
                <w:rFonts w:cs="Times New Roman"/>
                <w:sz w:val="20"/>
                <w:szCs w:val="20"/>
                <w:lang w:val="bg-BG"/>
              </w:rPr>
              <w:t>биологичпото</w:t>
            </w:r>
            <w:proofErr w:type="spellEnd"/>
            <w:r w:rsidRPr="000B7C06">
              <w:rPr>
                <w:rFonts w:cs="Times New Roman"/>
                <w:sz w:val="20"/>
                <w:szCs w:val="20"/>
                <w:lang w:val="bg-BG"/>
              </w:rPr>
              <w:t xml:space="preserve"> разнообразие (ЗБР). Условията и редът за извършване на оценката по чл. 31 от ЗБР се определят с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 обн., ДВ. бр. 73/11.09.2007 г., изм. и доп.). Съгласно чл. 31. ал. 4 от ЗБР за планове и програми, попадащи в обхвата на ЗООС. оценката за съвместимост се извършва чрез процедурата по екологична оценка по реда на ЗООС и при спазване на специалните разпоредби на ЗБР и Наредбата за ОС.</w:t>
            </w:r>
          </w:p>
          <w:p w14:paraId="4F2A780F"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В частта на „Нормативна рамка“ следва да се включи следното:</w:t>
            </w:r>
          </w:p>
          <w:p w14:paraId="2B4CBA0E"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bookmarkStart w:id="654" w:name="_Hlk106202580"/>
            <w:r w:rsidRPr="000B7C06">
              <w:rPr>
                <w:rFonts w:cs="Times New Roman"/>
                <w:sz w:val="20"/>
                <w:szCs w:val="20"/>
                <w:lang w:val="bg-BG"/>
              </w:rPr>
              <w:t xml:space="preserve">Съгласно чл. 19, ал. 3 от Наредбата за условията и реда за извършване на екологична оценка на планове и програми (Наредбата за ЕО),, Консултациите по ал. 1 и 4 се провеждат по схема, разработена от възложителя, която включва и информация за начина на съвместяване процеса на планиране и основните етапи на ЕО съгласно чл. 3, ал. 1, в т. ч. за взаимодействие на екипите по разработване на проекта за </w:t>
            </w:r>
            <w:r w:rsidR="00C82469" w:rsidRPr="000B7C06">
              <w:rPr>
                <w:rFonts w:cs="Times New Roman"/>
                <w:sz w:val="20"/>
                <w:szCs w:val="20"/>
                <w:lang w:val="bg-BG"/>
              </w:rPr>
              <w:t>пла</w:t>
            </w:r>
            <w:r w:rsidRPr="000B7C06">
              <w:rPr>
                <w:rFonts w:cs="Times New Roman"/>
                <w:sz w:val="20"/>
                <w:szCs w:val="20"/>
                <w:lang w:val="bg-BG"/>
              </w:rPr>
              <w:t xml:space="preserve">на/програмата на доклада по оценка на степента на </w:t>
            </w:r>
            <w:r w:rsidRPr="000B7C06">
              <w:rPr>
                <w:rFonts w:cs="Times New Roman"/>
                <w:sz w:val="20"/>
                <w:szCs w:val="20"/>
                <w:lang w:val="bg-BG"/>
              </w:rPr>
              <w:lastRenderedPageBreak/>
              <w:t>въздействие, когато такъв е изискан от компетентния орган, и на доклада за ЕО/екологичната част. “</w:t>
            </w:r>
          </w:p>
          <w:p w14:paraId="398A866D"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Съгласно чл. 20. ал. 5 от Наредбата за ЕО „Преди започване на консултациите по ал. 1 и 3 в случаите, когато компетентният орган по чл. 4 е изискал изготвянето и на доклад за оценка на степента на въздействие по реда на чл. 31 от Закона за биологичното разнообразие, възложителят представя на компетентния орган приложението по чл. 34. ал. 1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оценка на качеството му съгласно чл. 24. ал. 3-7.</w:t>
            </w:r>
          </w:p>
          <w:p w14:paraId="1253C730"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Съгласно чл. 20, ал. 6 от Наредбата за ЕО ,.Консултациите по доклада за ЕО по ал. 1 - 3 започват само след произнасяне на компетентния орган с положителна оценка по доклада за оценка на степента на въздействие по ал. 5, за което уведомява писмено възложителя. В 5-дневен срок след писменото уведомяване компетентният орган осигурява обществен достъп до доклада за оценка на степента на въздействие за срок 30 дни чрез публикуване на своята интернет страница независимо от задълженията на възложителя по ал. 1 и 2."</w:t>
            </w:r>
          </w:p>
          <w:bookmarkEnd w:id="654"/>
          <w:p w14:paraId="330D29C5"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Никъде в схемата няма текст, че преди започване на консултациите по реда на чл. 20 от Наредбата за ЕО възложителят представя на компетентния орган Доклада за оценка на степента на въздействие (ДОСВ) върху защитените </w:t>
            </w:r>
            <w:r w:rsidRPr="000B7C06">
              <w:rPr>
                <w:rFonts w:cs="Times New Roman"/>
                <w:sz w:val="20"/>
                <w:szCs w:val="20"/>
                <w:lang w:val="bg-BG"/>
              </w:rPr>
              <w:lastRenderedPageBreak/>
              <w:t>зони за оценка на качеството му съгласно чл. 36. ал. 7 от Наредбата за ОС. Съгласно чл. 36, ат. 7 от Наредбата за ОС възложителят провежда консултации по реда на Наредбата за ЕО по изготвения доклад за ЕО след дадена положителна оценка на ДОСВ и проведени консултации с обществеността съгласно чл. 25 от Наредбата за ОС.</w:t>
            </w:r>
          </w:p>
          <w:p w14:paraId="1B084049"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Схемата за провеждане на консултации с обществеността, заинтересованите органи и трети лица, които има вероятност да бъдат засегнати от Стратегически план по Обща селскостопанска политика (</w:t>
            </w:r>
            <w:r w:rsidR="00D809BC" w:rsidRPr="000B7C06">
              <w:rPr>
                <w:rFonts w:cs="Times New Roman"/>
                <w:sz w:val="20"/>
                <w:szCs w:val="20"/>
                <w:lang w:val="bg-BG"/>
              </w:rPr>
              <w:t>РЗСР</w:t>
            </w:r>
            <w:r w:rsidRPr="000B7C06">
              <w:rPr>
                <w:rFonts w:cs="Times New Roman"/>
                <w:sz w:val="20"/>
                <w:szCs w:val="20"/>
                <w:lang w:val="bg-BG"/>
              </w:rPr>
              <w:t xml:space="preserve">) „Стратегически план за развитие на селските райони за периода 2023-2027 г." трябва да се преработи изцяло като се допълни навсякъде, където текстът е некоректен спрямо казаното по-горе. вкл. Таблица №1 ,, Съвместяване на процеса на консултации на Стратегически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2023-2027 г.</w:t>
            </w:r>
          </w:p>
          <w:p w14:paraId="26970291"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Преценката на компетентният орган е, че Стратегическия план по </w:t>
            </w:r>
            <w:r w:rsidR="00D809BC" w:rsidRPr="000B7C06">
              <w:rPr>
                <w:rFonts w:cs="Times New Roman"/>
                <w:sz w:val="20"/>
                <w:szCs w:val="20"/>
                <w:lang w:val="bg-BG"/>
              </w:rPr>
              <w:t>РЗСР</w:t>
            </w:r>
            <w:r w:rsidRPr="000B7C06">
              <w:rPr>
                <w:rFonts w:cs="Times New Roman"/>
                <w:sz w:val="20"/>
                <w:szCs w:val="20"/>
                <w:lang w:val="bg-BG"/>
              </w:rPr>
              <w:t xml:space="preserve"> за периода 2023-2027 г. има вероятност да окаже значително отрицателно въздействие върху защитените зони, видно от писмо с изх. № ЕО-1/04.10.2021 г. на министъра на околната среда и водите.</w:t>
            </w:r>
          </w:p>
          <w:p w14:paraId="0A4A4A8C" w14:textId="77777777" w:rsidR="002965D7" w:rsidRPr="000B7C06" w:rsidRDefault="002965D7" w:rsidP="0084747F">
            <w:pPr>
              <w:widowControl w:val="0"/>
              <w:tabs>
                <w:tab w:val="left" w:pos="1451"/>
              </w:tabs>
              <w:spacing w:after="60" w:line="264" w:lineRule="auto"/>
              <w:ind w:right="40"/>
              <w:rPr>
                <w:rFonts w:cs="Times New Roman"/>
                <w:sz w:val="20"/>
                <w:szCs w:val="20"/>
                <w:lang w:val="bg-BG"/>
              </w:rPr>
            </w:pPr>
          </w:p>
          <w:p w14:paraId="5F1A967A" w14:textId="77777777" w:rsidR="000541AA"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III</w:t>
            </w:r>
            <w:r w:rsidR="000D7A84" w:rsidRPr="000B7C06">
              <w:rPr>
                <w:rFonts w:cs="Times New Roman"/>
                <w:sz w:val="20"/>
                <w:szCs w:val="20"/>
                <w:lang w:val="bg-BG"/>
              </w:rPr>
              <w:t xml:space="preserve">. </w:t>
            </w:r>
            <w:r w:rsidRPr="000B7C06">
              <w:rPr>
                <w:rFonts w:cs="Times New Roman"/>
                <w:sz w:val="20"/>
                <w:szCs w:val="20"/>
                <w:lang w:val="bg-BG"/>
              </w:rPr>
              <w:t>Указания за последващите действия, които да се предприемат по процедурата по ЕО:</w:t>
            </w:r>
          </w:p>
          <w:p w14:paraId="1A0BBA50" w14:textId="77777777" w:rsidR="00D47CE2" w:rsidRPr="000B7C06" w:rsidRDefault="000541AA" w:rsidP="0084747F">
            <w:pPr>
              <w:widowControl w:val="0"/>
              <w:tabs>
                <w:tab w:val="left" w:pos="1451"/>
              </w:tabs>
              <w:spacing w:after="60" w:line="264" w:lineRule="auto"/>
              <w:ind w:right="40"/>
              <w:rPr>
                <w:rFonts w:cs="Times New Roman"/>
                <w:sz w:val="20"/>
                <w:szCs w:val="20"/>
                <w:lang w:val="bg-BG"/>
              </w:rPr>
            </w:pPr>
            <w:r w:rsidRPr="000B7C06">
              <w:rPr>
                <w:rFonts w:cs="Times New Roman"/>
                <w:sz w:val="20"/>
                <w:szCs w:val="20"/>
                <w:lang w:val="bg-BG"/>
              </w:rPr>
              <w:t xml:space="preserve">След отразяване на горните бележки и съобразяване на дадените препоръки, следва да внесете в Министерство на околната среда и водите ДОСВ на проекта на Стратегически </w:t>
            </w:r>
            <w:r w:rsidRPr="000B7C06">
              <w:rPr>
                <w:rFonts w:cs="Times New Roman"/>
                <w:sz w:val="20"/>
                <w:szCs w:val="20"/>
                <w:lang w:val="bg-BG"/>
              </w:rPr>
              <w:lastRenderedPageBreak/>
              <w:t xml:space="preserve">план по </w:t>
            </w:r>
            <w:r w:rsidR="00D809BC" w:rsidRPr="000B7C06">
              <w:rPr>
                <w:rFonts w:cs="Times New Roman"/>
                <w:sz w:val="20"/>
                <w:szCs w:val="20"/>
                <w:lang w:val="bg-BG"/>
              </w:rPr>
              <w:t>РЗСР</w:t>
            </w:r>
            <w:r w:rsidRPr="000B7C06">
              <w:rPr>
                <w:rFonts w:cs="Times New Roman"/>
                <w:sz w:val="20"/>
                <w:szCs w:val="20"/>
                <w:lang w:val="bg-BG"/>
              </w:rPr>
              <w:t xml:space="preserve"> </w:t>
            </w:r>
            <w:r w:rsidR="000D7A84" w:rsidRPr="000B7C06">
              <w:rPr>
                <w:rFonts w:cs="Times New Roman"/>
                <w:sz w:val="20"/>
                <w:szCs w:val="20"/>
                <w:lang w:val="bg-BG"/>
              </w:rPr>
              <w:t>„</w:t>
            </w:r>
            <w:r w:rsidRPr="000B7C06">
              <w:rPr>
                <w:rFonts w:cs="Times New Roman"/>
                <w:sz w:val="20"/>
                <w:szCs w:val="20"/>
                <w:lang w:val="bg-BG"/>
              </w:rPr>
              <w:t>Стратегически план за развитие земеделието и развитие на селските райони за периода 2023-2027 г." върху предмета и целите на защитените зони, изготвен съобразно препоръките, дадени в писмо с изх. № ЕО-1/04.10.2021 г. на МОСВ. Необходимо е да представите ДОСВ в един екземпляр на хартиен и два екземпляра на електронен носител за оценка на качеството му по смисъла на чл. 24. ал. 1 от Наредбата за ОС и чл. 20, ал. 5 от Наредбата за ЕО.</w:t>
            </w:r>
          </w:p>
        </w:tc>
        <w:tc>
          <w:tcPr>
            <w:tcW w:w="4395" w:type="dxa"/>
          </w:tcPr>
          <w:p w14:paraId="4EF7496E" w14:textId="77777777" w:rsidR="00706B92" w:rsidRPr="000B7C06" w:rsidRDefault="00706B92" w:rsidP="0084747F">
            <w:pPr>
              <w:spacing w:after="60" w:line="264" w:lineRule="auto"/>
              <w:rPr>
                <w:rFonts w:cs="Times New Roman"/>
                <w:sz w:val="20"/>
                <w:szCs w:val="20"/>
                <w:lang w:val="bg-BG"/>
              </w:rPr>
            </w:pPr>
          </w:p>
          <w:p w14:paraId="7FC8EDE7" w14:textId="77777777" w:rsidR="0085742D" w:rsidRPr="000B7C06" w:rsidRDefault="0085742D"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в ДЕО</w:t>
            </w:r>
          </w:p>
          <w:p w14:paraId="5A5BBB2A" w14:textId="77777777" w:rsidR="00BB5448" w:rsidRPr="000B7C06" w:rsidRDefault="00BB5448" w:rsidP="0084747F">
            <w:pPr>
              <w:spacing w:after="60" w:line="264" w:lineRule="auto"/>
              <w:rPr>
                <w:rFonts w:cs="Times New Roman"/>
                <w:sz w:val="20"/>
                <w:szCs w:val="20"/>
                <w:lang w:val="bg-BG"/>
              </w:rPr>
            </w:pPr>
          </w:p>
          <w:p w14:paraId="0C282B07" w14:textId="77777777" w:rsidR="00BB5448" w:rsidRPr="000B7C06" w:rsidRDefault="00BB5448" w:rsidP="0084747F">
            <w:pPr>
              <w:spacing w:after="60" w:line="264" w:lineRule="auto"/>
              <w:rPr>
                <w:rFonts w:cs="Times New Roman"/>
                <w:sz w:val="20"/>
                <w:szCs w:val="20"/>
                <w:lang w:val="bg-BG"/>
              </w:rPr>
            </w:pPr>
          </w:p>
          <w:p w14:paraId="7C076D2D" w14:textId="77777777" w:rsidR="00BB5448" w:rsidRPr="000B7C06" w:rsidRDefault="00BB5448" w:rsidP="0084747F">
            <w:pPr>
              <w:spacing w:after="60" w:line="264" w:lineRule="auto"/>
              <w:rPr>
                <w:rFonts w:cs="Times New Roman"/>
                <w:sz w:val="20"/>
                <w:szCs w:val="20"/>
                <w:lang w:val="bg-BG"/>
              </w:rPr>
            </w:pPr>
          </w:p>
          <w:p w14:paraId="43F45C0C" w14:textId="77777777" w:rsidR="00BB5448" w:rsidRPr="000B7C06" w:rsidRDefault="00BB5448"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в ДЕО</w:t>
            </w:r>
          </w:p>
          <w:p w14:paraId="107C0637" w14:textId="77777777" w:rsidR="00BB5448" w:rsidRPr="000B7C06" w:rsidRDefault="00BB5448" w:rsidP="0084747F">
            <w:pPr>
              <w:spacing w:after="60" w:line="264" w:lineRule="auto"/>
              <w:rPr>
                <w:rFonts w:cs="Times New Roman"/>
                <w:sz w:val="20"/>
                <w:szCs w:val="20"/>
                <w:lang w:val="bg-BG"/>
              </w:rPr>
            </w:pPr>
          </w:p>
          <w:p w14:paraId="010714E5" w14:textId="77777777" w:rsidR="00BB5448" w:rsidRPr="000B7C06" w:rsidRDefault="00BB5448" w:rsidP="0084747F">
            <w:pPr>
              <w:spacing w:after="60" w:line="264" w:lineRule="auto"/>
              <w:rPr>
                <w:rFonts w:cs="Times New Roman"/>
                <w:sz w:val="20"/>
                <w:szCs w:val="20"/>
                <w:lang w:val="bg-BG"/>
              </w:rPr>
            </w:pPr>
          </w:p>
          <w:p w14:paraId="07B94F6A" w14:textId="77777777" w:rsidR="00BB5448" w:rsidRPr="000B7C06" w:rsidRDefault="00BB5448" w:rsidP="0084747F">
            <w:pPr>
              <w:spacing w:after="60" w:line="264" w:lineRule="auto"/>
              <w:rPr>
                <w:rFonts w:cs="Times New Roman"/>
                <w:sz w:val="20"/>
                <w:szCs w:val="20"/>
                <w:lang w:val="bg-BG"/>
              </w:rPr>
            </w:pPr>
          </w:p>
          <w:p w14:paraId="6B284E27" w14:textId="77777777" w:rsidR="00BB5448" w:rsidRPr="000B7C06" w:rsidRDefault="00BB5448" w:rsidP="0084747F">
            <w:pPr>
              <w:spacing w:after="60" w:line="264" w:lineRule="auto"/>
              <w:rPr>
                <w:rFonts w:cs="Times New Roman"/>
                <w:sz w:val="20"/>
                <w:szCs w:val="20"/>
                <w:lang w:val="bg-BG"/>
              </w:rPr>
            </w:pPr>
          </w:p>
          <w:p w14:paraId="044B1FCD" w14:textId="77777777" w:rsidR="00BB5448" w:rsidRPr="000B7C06" w:rsidRDefault="00BB5448" w:rsidP="0084747F">
            <w:pPr>
              <w:spacing w:after="60" w:line="264" w:lineRule="auto"/>
              <w:rPr>
                <w:rFonts w:cs="Times New Roman"/>
                <w:sz w:val="20"/>
                <w:szCs w:val="20"/>
                <w:lang w:val="bg-BG"/>
              </w:rPr>
            </w:pPr>
          </w:p>
          <w:p w14:paraId="510FAD73" w14:textId="77777777" w:rsidR="00BB5448" w:rsidRPr="000B7C06" w:rsidRDefault="00BB5448" w:rsidP="0084747F">
            <w:pPr>
              <w:spacing w:after="60" w:line="264" w:lineRule="auto"/>
              <w:rPr>
                <w:rFonts w:cs="Times New Roman"/>
                <w:sz w:val="20"/>
                <w:szCs w:val="20"/>
                <w:lang w:val="bg-BG"/>
              </w:rPr>
            </w:pPr>
          </w:p>
          <w:p w14:paraId="617DF489" w14:textId="77777777" w:rsidR="00BB5448" w:rsidRPr="000B7C06" w:rsidRDefault="00BB5448" w:rsidP="004371D4">
            <w:pPr>
              <w:spacing w:after="60" w:line="264" w:lineRule="auto"/>
              <w:ind w:firstLine="0"/>
              <w:rPr>
                <w:rFonts w:cs="Times New Roman"/>
                <w:sz w:val="20"/>
                <w:szCs w:val="20"/>
                <w:lang w:val="bg-BG"/>
              </w:rPr>
            </w:pPr>
            <w:r w:rsidRPr="000B7C06">
              <w:rPr>
                <w:rFonts w:cs="Times New Roman"/>
                <w:sz w:val="20"/>
                <w:szCs w:val="20"/>
                <w:lang w:val="bg-BG"/>
              </w:rPr>
              <w:t>Посочените стратегически документи са разгледани в т.3 и т.7 на ДЕО</w:t>
            </w:r>
          </w:p>
          <w:p w14:paraId="381B0ADB" w14:textId="77777777" w:rsidR="00BB5448" w:rsidRPr="000B7C06" w:rsidRDefault="00BB5448" w:rsidP="0084747F">
            <w:pPr>
              <w:spacing w:after="60" w:line="264" w:lineRule="auto"/>
              <w:rPr>
                <w:rFonts w:cs="Times New Roman"/>
                <w:sz w:val="20"/>
                <w:szCs w:val="20"/>
                <w:lang w:val="bg-BG"/>
              </w:rPr>
            </w:pPr>
          </w:p>
          <w:p w14:paraId="007C3A4C" w14:textId="77777777" w:rsidR="00BB5448" w:rsidRPr="000B7C06" w:rsidRDefault="00BB5448" w:rsidP="0084747F">
            <w:pPr>
              <w:spacing w:after="60" w:line="264" w:lineRule="auto"/>
              <w:rPr>
                <w:rFonts w:cs="Times New Roman"/>
                <w:sz w:val="20"/>
                <w:szCs w:val="20"/>
                <w:lang w:val="bg-BG"/>
              </w:rPr>
            </w:pPr>
          </w:p>
          <w:p w14:paraId="38D514B5" w14:textId="77777777" w:rsidR="00BB5448" w:rsidRPr="000B7C06" w:rsidRDefault="00BB5448" w:rsidP="0084747F">
            <w:pPr>
              <w:spacing w:after="60" w:line="264" w:lineRule="auto"/>
              <w:rPr>
                <w:rFonts w:cs="Times New Roman"/>
                <w:sz w:val="20"/>
                <w:szCs w:val="20"/>
                <w:lang w:val="bg-BG"/>
              </w:rPr>
            </w:pPr>
          </w:p>
          <w:p w14:paraId="618825D7" w14:textId="77777777" w:rsidR="00BB5448" w:rsidRPr="000B7C06" w:rsidRDefault="00BB5448" w:rsidP="0084747F">
            <w:pPr>
              <w:spacing w:after="60" w:line="264" w:lineRule="auto"/>
              <w:rPr>
                <w:rFonts w:cs="Times New Roman"/>
                <w:sz w:val="20"/>
                <w:szCs w:val="20"/>
                <w:lang w:val="bg-BG"/>
              </w:rPr>
            </w:pPr>
          </w:p>
          <w:p w14:paraId="3F20965A" w14:textId="77777777" w:rsidR="00BB5448" w:rsidRPr="000B7C06" w:rsidRDefault="00BB5448" w:rsidP="0084747F">
            <w:pPr>
              <w:spacing w:after="60" w:line="264" w:lineRule="auto"/>
              <w:rPr>
                <w:rFonts w:cs="Times New Roman"/>
                <w:sz w:val="20"/>
                <w:szCs w:val="20"/>
                <w:lang w:val="bg-BG"/>
              </w:rPr>
            </w:pPr>
          </w:p>
          <w:p w14:paraId="6034CE17" w14:textId="77777777" w:rsidR="00BB5448" w:rsidRPr="000B7C06" w:rsidRDefault="00BB5448" w:rsidP="0084747F">
            <w:pPr>
              <w:spacing w:after="60" w:line="264" w:lineRule="auto"/>
              <w:rPr>
                <w:rFonts w:cs="Times New Roman"/>
                <w:sz w:val="20"/>
                <w:szCs w:val="20"/>
                <w:lang w:val="bg-BG"/>
              </w:rPr>
            </w:pPr>
          </w:p>
          <w:p w14:paraId="64D32890" w14:textId="77777777" w:rsidR="00BB5448" w:rsidRPr="000B7C06" w:rsidRDefault="00BB5448" w:rsidP="0084747F">
            <w:pPr>
              <w:spacing w:after="60" w:line="264" w:lineRule="auto"/>
              <w:rPr>
                <w:rFonts w:cs="Times New Roman"/>
                <w:sz w:val="20"/>
                <w:szCs w:val="20"/>
                <w:lang w:val="bg-BG"/>
              </w:rPr>
            </w:pPr>
          </w:p>
          <w:p w14:paraId="13C7FED9" w14:textId="77777777" w:rsidR="00BB5448" w:rsidRPr="000B7C06" w:rsidRDefault="00BB5448" w:rsidP="0084747F">
            <w:pPr>
              <w:spacing w:after="60" w:line="264" w:lineRule="auto"/>
              <w:rPr>
                <w:rFonts w:cs="Times New Roman"/>
                <w:sz w:val="20"/>
                <w:szCs w:val="20"/>
                <w:lang w:val="bg-BG"/>
              </w:rPr>
            </w:pPr>
          </w:p>
          <w:p w14:paraId="7A8878D6" w14:textId="77777777" w:rsidR="00BB5448" w:rsidRPr="000B7C06" w:rsidRDefault="00BB5448" w:rsidP="0084747F">
            <w:pPr>
              <w:spacing w:after="60" w:line="264" w:lineRule="auto"/>
              <w:rPr>
                <w:rFonts w:cs="Times New Roman"/>
                <w:sz w:val="20"/>
                <w:szCs w:val="20"/>
                <w:lang w:val="bg-BG"/>
              </w:rPr>
            </w:pPr>
          </w:p>
          <w:p w14:paraId="609097CF" w14:textId="77777777" w:rsidR="00BB5448" w:rsidRPr="000B7C06" w:rsidRDefault="00BB5448" w:rsidP="0084747F">
            <w:pPr>
              <w:spacing w:after="60" w:line="264" w:lineRule="auto"/>
              <w:rPr>
                <w:rFonts w:cs="Times New Roman"/>
                <w:sz w:val="20"/>
                <w:szCs w:val="20"/>
                <w:lang w:val="bg-BG"/>
              </w:rPr>
            </w:pPr>
          </w:p>
          <w:p w14:paraId="261CD9F6" w14:textId="77777777" w:rsidR="00BB5448" w:rsidRPr="000B7C06" w:rsidRDefault="00BB5448" w:rsidP="0084747F">
            <w:pPr>
              <w:spacing w:after="60" w:line="264" w:lineRule="auto"/>
              <w:rPr>
                <w:rFonts w:cs="Times New Roman"/>
                <w:sz w:val="20"/>
                <w:szCs w:val="20"/>
                <w:lang w:val="bg-BG"/>
              </w:rPr>
            </w:pPr>
          </w:p>
          <w:p w14:paraId="3BE26C36" w14:textId="77777777" w:rsidR="00BB5448" w:rsidRPr="000B7C06" w:rsidRDefault="00BB5448" w:rsidP="0084747F">
            <w:pPr>
              <w:spacing w:after="60" w:line="264" w:lineRule="auto"/>
              <w:rPr>
                <w:rFonts w:cs="Times New Roman"/>
                <w:sz w:val="20"/>
                <w:szCs w:val="20"/>
                <w:lang w:val="bg-BG"/>
              </w:rPr>
            </w:pPr>
          </w:p>
          <w:p w14:paraId="785E3625" w14:textId="77777777" w:rsidR="00BB5448" w:rsidRPr="000B7C06" w:rsidRDefault="00BB5448" w:rsidP="0084747F">
            <w:pPr>
              <w:spacing w:after="60" w:line="264" w:lineRule="auto"/>
              <w:rPr>
                <w:rFonts w:cs="Times New Roman"/>
                <w:sz w:val="20"/>
                <w:szCs w:val="20"/>
                <w:lang w:val="bg-BG"/>
              </w:rPr>
            </w:pPr>
          </w:p>
          <w:p w14:paraId="5150242C" w14:textId="77777777" w:rsidR="00BB5448" w:rsidRPr="000B7C06" w:rsidRDefault="00BB5448" w:rsidP="0084747F">
            <w:pPr>
              <w:spacing w:after="60" w:line="264" w:lineRule="auto"/>
              <w:rPr>
                <w:rFonts w:cs="Times New Roman"/>
                <w:sz w:val="20"/>
                <w:szCs w:val="20"/>
                <w:lang w:val="bg-BG"/>
              </w:rPr>
            </w:pPr>
          </w:p>
          <w:p w14:paraId="0A889A35" w14:textId="77777777" w:rsidR="00BB5448" w:rsidRPr="000B7C06" w:rsidRDefault="00BB5448" w:rsidP="0084747F">
            <w:pPr>
              <w:spacing w:after="60" w:line="264" w:lineRule="auto"/>
              <w:rPr>
                <w:rFonts w:cs="Times New Roman"/>
                <w:sz w:val="20"/>
                <w:szCs w:val="20"/>
                <w:lang w:val="bg-BG"/>
              </w:rPr>
            </w:pPr>
          </w:p>
          <w:p w14:paraId="35909E26" w14:textId="77777777" w:rsidR="00BB5448" w:rsidRPr="000B7C06" w:rsidRDefault="00BB5448" w:rsidP="0084747F">
            <w:pPr>
              <w:spacing w:after="60" w:line="264" w:lineRule="auto"/>
              <w:rPr>
                <w:rFonts w:cs="Times New Roman"/>
                <w:sz w:val="20"/>
                <w:szCs w:val="20"/>
                <w:lang w:val="bg-BG"/>
              </w:rPr>
            </w:pPr>
          </w:p>
          <w:p w14:paraId="080FE8CE" w14:textId="77777777" w:rsidR="00BB5448" w:rsidRPr="000B7C06" w:rsidRDefault="00BB5448" w:rsidP="0084747F">
            <w:pPr>
              <w:spacing w:after="60" w:line="264" w:lineRule="auto"/>
              <w:rPr>
                <w:rFonts w:cs="Times New Roman"/>
                <w:sz w:val="20"/>
                <w:szCs w:val="20"/>
                <w:lang w:val="bg-BG"/>
              </w:rPr>
            </w:pPr>
          </w:p>
          <w:p w14:paraId="6562E7DF" w14:textId="77777777" w:rsidR="00BB5448" w:rsidRPr="000B7C06" w:rsidRDefault="00BB5448" w:rsidP="0084747F">
            <w:pPr>
              <w:spacing w:after="60" w:line="264" w:lineRule="auto"/>
              <w:rPr>
                <w:rFonts w:cs="Times New Roman"/>
                <w:sz w:val="20"/>
                <w:szCs w:val="20"/>
                <w:lang w:val="bg-BG"/>
              </w:rPr>
            </w:pPr>
          </w:p>
          <w:p w14:paraId="1E664954" w14:textId="77777777" w:rsidR="00BB5448" w:rsidRPr="000B7C06" w:rsidRDefault="00BB5448" w:rsidP="0084747F">
            <w:pPr>
              <w:spacing w:after="60" w:line="264" w:lineRule="auto"/>
              <w:rPr>
                <w:rFonts w:cs="Times New Roman"/>
                <w:sz w:val="20"/>
                <w:szCs w:val="20"/>
                <w:lang w:val="bg-BG"/>
              </w:rPr>
            </w:pPr>
          </w:p>
          <w:p w14:paraId="5517E3E5" w14:textId="77777777" w:rsidR="00BB5448" w:rsidRPr="000B7C06" w:rsidRDefault="00BB5448" w:rsidP="0084747F">
            <w:pPr>
              <w:spacing w:after="60" w:line="264" w:lineRule="auto"/>
              <w:rPr>
                <w:rFonts w:cs="Times New Roman"/>
                <w:sz w:val="20"/>
                <w:szCs w:val="20"/>
                <w:lang w:val="bg-BG"/>
              </w:rPr>
            </w:pPr>
          </w:p>
          <w:p w14:paraId="108EB3DE" w14:textId="77777777" w:rsidR="00BB5448" w:rsidRPr="000B7C06" w:rsidRDefault="00BB5448" w:rsidP="0084747F">
            <w:pPr>
              <w:spacing w:after="60" w:line="264" w:lineRule="auto"/>
              <w:rPr>
                <w:rFonts w:cs="Times New Roman"/>
                <w:sz w:val="20"/>
                <w:szCs w:val="20"/>
                <w:lang w:val="bg-BG"/>
              </w:rPr>
            </w:pPr>
          </w:p>
          <w:p w14:paraId="4D96FFCC" w14:textId="77777777" w:rsidR="00BB5448" w:rsidRPr="000B7C06" w:rsidRDefault="00BB5448" w:rsidP="0084747F">
            <w:pPr>
              <w:spacing w:after="60" w:line="264" w:lineRule="auto"/>
              <w:rPr>
                <w:rFonts w:cs="Times New Roman"/>
                <w:sz w:val="20"/>
                <w:szCs w:val="20"/>
                <w:lang w:val="bg-BG"/>
              </w:rPr>
            </w:pPr>
          </w:p>
          <w:p w14:paraId="34E01F22" w14:textId="77777777" w:rsidR="00BB5448" w:rsidRPr="000B7C06" w:rsidRDefault="00BB5448" w:rsidP="0084747F">
            <w:pPr>
              <w:spacing w:after="60" w:line="264" w:lineRule="auto"/>
              <w:rPr>
                <w:rFonts w:cs="Times New Roman"/>
                <w:sz w:val="20"/>
                <w:szCs w:val="20"/>
                <w:lang w:val="bg-BG"/>
              </w:rPr>
            </w:pPr>
          </w:p>
          <w:p w14:paraId="15173605" w14:textId="77777777" w:rsidR="00BB5448" w:rsidRPr="000B7C06" w:rsidRDefault="00BB5448" w:rsidP="0084747F">
            <w:pPr>
              <w:spacing w:after="60" w:line="264" w:lineRule="auto"/>
              <w:rPr>
                <w:rFonts w:cs="Times New Roman"/>
                <w:sz w:val="20"/>
                <w:szCs w:val="20"/>
                <w:lang w:val="bg-BG"/>
              </w:rPr>
            </w:pPr>
          </w:p>
          <w:p w14:paraId="3680090D" w14:textId="77777777" w:rsidR="00BB5448" w:rsidRPr="000B7C06" w:rsidRDefault="00BB5448" w:rsidP="0084747F">
            <w:pPr>
              <w:spacing w:after="60" w:line="264" w:lineRule="auto"/>
              <w:rPr>
                <w:rFonts w:cs="Times New Roman"/>
                <w:sz w:val="20"/>
                <w:szCs w:val="20"/>
                <w:lang w:val="bg-BG"/>
              </w:rPr>
            </w:pPr>
          </w:p>
          <w:p w14:paraId="68E80A24" w14:textId="77777777" w:rsidR="00BB5448" w:rsidRPr="000B7C06" w:rsidRDefault="00BB5448" w:rsidP="0084747F">
            <w:pPr>
              <w:spacing w:after="60" w:line="264" w:lineRule="auto"/>
              <w:rPr>
                <w:rFonts w:cs="Times New Roman"/>
                <w:sz w:val="20"/>
                <w:szCs w:val="20"/>
                <w:lang w:val="bg-BG"/>
              </w:rPr>
            </w:pPr>
          </w:p>
          <w:p w14:paraId="28D9FFCA" w14:textId="77777777" w:rsidR="00BB5448" w:rsidRPr="000B7C06" w:rsidRDefault="00BB5448" w:rsidP="0084747F">
            <w:pPr>
              <w:spacing w:after="60" w:line="264" w:lineRule="auto"/>
              <w:rPr>
                <w:rFonts w:cs="Times New Roman"/>
                <w:sz w:val="20"/>
                <w:szCs w:val="20"/>
                <w:lang w:val="bg-BG"/>
              </w:rPr>
            </w:pPr>
          </w:p>
          <w:p w14:paraId="4E36B3C3" w14:textId="77777777" w:rsidR="00BB5448" w:rsidRPr="000B7C06" w:rsidRDefault="00BB5448" w:rsidP="0084747F">
            <w:pPr>
              <w:spacing w:after="60" w:line="264" w:lineRule="auto"/>
              <w:rPr>
                <w:rFonts w:cs="Times New Roman"/>
                <w:sz w:val="20"/>
                <w:szCs w:val="20"/>
                <w:lang w:val="bg-BG"/>
              </w:rPr>
            </w:pPr>
          </w:p>
          <w:p w14:paraId="239B0F57" w14:textId="77777777" w:rsidR="00BB5448" w:rsidRPr="000B7C06" w:rsidRDefault="00BB5448" w:rsidP="0084747F">
            <w:pPr>
              <w:spacing w:after="60" w:line="264" w:lineRule="auto"/>
              <w:rPr>
                <w:rFonts w:cs="Times New Roman"/>
                <w:sz w:val="20"/>
                <w:szCs w:val="20"/>
                <w:lang w:val="bg-BG"/>
              </w:rPr>
            </w:pPr>
          </w:p>
          <w:p w14:paraId="0EA84BBC" w14:textId="77777777" w:rsidR="00BB5448" w:rsidRPr="000B7C06" w:rsidRDefault="00BB5448" w:rsidP="0084747F">
            <w:pPr>
              <w:spacing w:after="60" w:line="264" w:lineRule="auto"/>
              <w:rPr>
                <w:rFonts w:cs="Times New Roman"/>
                <w:sz w:val="20"/>
                <w:szCs w:val="20"/>
                <w:lang w:val="bg-BG"/>
              </w:rPr>
            </w:pPr>
          </w:p>
          <w:p w14:paraId="696E1794" w14:textId="77777777" w:rsidR="00BB5448" w:rsidRPr="000B7C06" w:rsidRDefault="00BB5448" w:rsidP="0084747F">
            <w:pPr>
              <w:spacing w:after="60" w:line="264" w:lineRule="auto"/>
              <w:rPr>
                <w:rFonts w:cs="Times New Roman"/>
                <w:sz w:val="20"/>
                <w:szCs w:val="20"/>
                <w:lang w:val="bg-BG"/>
              </w:rPr>
            </w:pPr>
          </w:p>
          <w:p w14:paraId="3F8B7004" w14:textId="77777777" w:rsidR="00BB5448" w:rsidRPr="000B7C06" w:rsidRDefault="00BB5448" w:rsidP="0084747F">
            <w:pPr>
              <w:spacing w:after="60" w:line="264" w:lineRule="auto"/>
              <w:rPr>
                <w:rFonts w:cs="Times New Roman"/>
                <w:sz w:val="20"/>
                <w:szCs w:val="20"/>
                <w:lang w:val="bg-BG"/>
              </w:rPr>
            </w:pPr>
          </w:p>
          <w:p w14:paraId="63552ED4" w14:textId="77777777" w:rsidR="00BB5448" w:rsidRPr="000B7C06" w:rsidRDefault="00BB5448" w:rsidP="0084747F">
            <w:pPr>
              <w:spacing w:after="60" w:line="264" w:lineRule="auto"/>
              <w:rPr>
                <w:rFonts w:cs="Times New Roman"/>
                <w:sz w:val="20"/>
                <w:szCs w:val="20"/>
                <w:lang w:val="bg-BG"/>
              </w:rPr>
            </w:pPr>
          </w:p>
          <w:p w14:paraId="55F27200" w14:textId="77777777" w:rsidR="00BB5448" w:rsidRPr="000B7C06" w:rsidRDefault="00BB5448" w:rsidP="0084747F">
            <w:pPr>
              <w:spacing w:after="60" w:line="264" w:lineRule="auto"/>
              <w:rPr>
                <w:rFonts w:cs="Times New Roman"/>
                <w:sz w:val="20"/>
                <w:szCs w:val="20"/>
                <w:lang w:val="bg-BG"/>
              </w:rPr>
            </w:pPr>
          </w:p>
          <w:p w14:paraId="510C54EC" w14:textId="77777777" w:rsidR="00BB5448" w:rsidRPr="000B7C06" w:rsidRDefault="00BB5448" w:rsidP="0084747F">
            <w:pPr>
              <w:spacing w:after="60" w:line="264" w:lineRule="auto"/>
              <w:rPr>
                <w:rFonts w:cs="Times New Roman"/>
                <w:sz w:val="20"/>
                <w:szCs w:val="20"/>
                <w:lang w:val="bg-BG"/>
              </w:rPr>
            </w:pPr>
          </w:p>
          <w:p w14:paraId="6122C34A" w14:textId="77777777" w:rsidR="00BB5448" w:rsidRPr="000B7C06" w:rsidRDefault="00BB5448" w:rsidP="0084747F">
            <w:pPr>
              <w:spacing w:after="60" w:line="264" w:lineRule="auto"/>
              <w:rPr>
                <w:rFonts w:cs="Times New Roman"/>
                <w:sz w:val="20"/>
                <w:szCs w:val="20"/>
                <w:lang w:val="bg-BG"/>
              </w:rPr>
            </w:pPr>
          </w:p>
          <w:p w14:paraId="0DAADAC2" w14:textId="77777777" w:rsidR="00BB5448" w:rsidRPr="000B7C06" w:rsidRDefault="00BB5448" w:rsidP="0084747F">
            <w:pPr>
              <w:spacing w:after="60" w:line="264" w:lineRule="auto"/>
              <w:rPr>
                <w:rFonts w:cs="Times New Roman"/>
                <w:sz w:val="20"/>
                <w:szCs w:val="20"/>
                <w:lang w:val="bg-BG"/>
              </w:rPr>
            </w:pPr>
          </w:p>
          <w:p w14:paraId="6E96F507" w14:textId="77777777" w:rsidR="00BB5448" w:rsidRPr="000B7C06" w:rsidRDefault="00BB5448" w:rsidP="0084747F">
            <w:pPr>
              <w:spacing w:after="60" w:line="264" w:lineRule="auto"/>
              <w:rPr>
                <w:rFonts w:cs="Times New Roman"/>
                <w:sz w:val="20"/>
                <w:szCs w:val="20"/>
                <w:lang w:val="bg-BG"/>
              </w:rPr>
            </w:pPr>
          </w:p>
          <w:p w14:paraId="3043025C" w14:textId="77777777" w:rsidR="00BB5448" w:rsidRPr="000B7C06" w:rsidRDefault="00BB5448" w:rsidP="0084747F">
            <w:pPr>
              <w:spacing w:after="60" w:line="264" w:lineRule="auto"/>
              <w:rPr>
                <w:rFonts w:cs="Times New Roman"/>
                <w:sz w:val="20"/>
                <w:szCs w:val="20"/>
                <w:lang w:val="bg-BG"/>
              </w:rPr>
            </w:pPr>
          </w:p>
          <w:p w14:paraId="15BE3DCB" w14:textId="77777777" w:rsidR="00BB5448" w:rsidRPr="000B7C06" w:rsidRDefault="00BB5448" w:rsidP="0084747F">
            <w:pPr>
              <w:spacing w:after="60" w:line="264" w:lineRule="auto"/>
              <w:rPr>
                <w:rFonts w:cs="Times New Roman"/>
                <w:sz w:val="20"/>
                <w:szCs w:val="20"/>
                <w:lang w:val="bg-BG"/>
              </w:rPr>
            </w:pPr>
          </w:p>
          <w:p w14:paraId="3E555B54" w14:textId="77777777" w:rsidR="00BB5448" w:rsidRPr="000B7C06" w:rsidRDefault="00BB5448" w:rsidP="0084747F">
            <w:pPr>
              <w:spacing w:after="60" w:line="264" w:lineRule="auto"/>
              <w:rPr>
                <w:rFonts w:cs="Times New Roman"/>
                <w:sz w:val="20"/>
                <w:szCs w:val="20"/>
                <w:lang w:val="bg-BG"/>
              </w:rPr>
            </w:pPr>
          </w:p>
          <w:p w14:paraId="6B9D8366" w14:textId="77777777" w:rsidR="00BB5448" w:rsidRPr="000B7C06" w:rsidRDefault="00BB5448" w:rsidP="0084747F">
            <w:pPr>
              <w:spacing w:after="60" w:line="264" w:lineRule="auto"/>
              <w:rPr>
                <w:rFonts w:cs="Times New Roman"/>
                <w:sz w:val="20"/>
                <w:szCs w:val="20"/>
                <w:lang w:val="bg-BG"/>
              </w:rPr>
            </w:pPr>
          </w:p>
          <w:p w14:paraId="14C6D0C0" w14:textId="77777777" w:rsidR="00BB5448" w:rsidRPr="000B7C06" w:rsidRDefault="00BB5448" w:rsidP="0084747F">
            <w:pPr>
              <w:spacing w:after="60" w:line="264" w:lineRule="auto"/>
              <w:rPr>
                <w:rFonts w:cs="Times New Roman"/>
                <w:sz w:val="20"/>
                <w:szCs w:val="20"/>
                <w:lang w:val="bg-BG"/>
              </w:rPr>
            </w:pPr>
          </w:p>
          <w:p w14:paraId="2A43106C" w14:textId="77777777" w:rsidR="00BB5448" w:rsidRPr="000B7C06" w:rsidRDefault="00BB5448" w:rsidP="0084747F">
            <w:pPr>
              <w:spacing w:after="60" w:line="264" w:lineRule="auto"/>
              <w:rPr>
                <w:rFonts w:cs="Times New Roman"/>
                <w:sz w:val="20"/>
                <w:szCs w:val="20"/>
                <w:lang w:val="bg-BG"/>
              </w:rPr>
            </w:pPr>
          </w:p>
          <w:p w14:paraId="69D9BB53" w14:textId="77777777" w:rsidR="00BB5448" w:rsidRPr="000B7C06" w:rsidRDefault="00BB5448" w:rsidP="0084747F">
            <w:pPr>
              <w:spacing w:after="60" w:line="264" w:lineRule="auto"/>
              <w:rPr>
                <w:rFonts w:cs="Times New Roman"/>
                <w:sz w:val="20"/>
                <w:szCs w:val="20"/>
                <w:lang w:val="bg-BG"/>
              </w:rPr>
            </w:pPr>
          </w:p>
          <w:p w14:paraId="60F452EA" w14:textId="77777777" w:rsidR="00BB5448" w:rsidRPr="000B7C06" w:rsidRDefault="00BB5448" w:rsidP="0084747F">
            <w:pPr>
              <w:spacing w:after="60" w:line="264" w:lineRule="auto"/>
              <w:rPr>
                <w:rFonts w:cs="Times New Roman"/>
                <w:sz w:val="20"/>
                <w:szCs w:val="20"/>
                <w:lang w:val="bg-BG"/>
              </w:rPr>
            </w:pPr>
          </w:p>
          <w:p w14:paraId="181DCD34" w14:textId="77777777" w:rsidR="00BB5448" w:rsidRPr="000B7C06" w:rsidRDefault="00BB5448" w:rsidP="0084747F">
            <w:pPr>
              <w:spacing w:after="60" w:line="264" w:lineRule="auto"/>
              <w:rPr>
                <w:rFonts w:cs="Times New Roman"/>
                <w:sz w:val="20"/>
                <w:szCs w:val="20"/>
                <w:lang w:val="bg-BG"/>
              </w:rPr>
            </w:pPr>
          </w:p>
          <w:p w14:paraId="4A55F079" w14:textId="77777777" w:rsidR="00BB5448" w:rsidRPr="000B7C06" w:rsidRDefault="00BB5448" w:rsidP="0084747F">
            <w:pPr>
              <w:spacing w:after="60" w:line="264" w:lineRule="auto"/>
              <w:rPr>
                <w:rFonts w:cs="Times New Roman"/>
                <w:sz w:val="20"/>
                <w:szCs w:val="20"/>
                <w:lang w:val="bg-BG"/>
              </w:rPr>
            </w:pPr>
          </w:p>
          <w:p w14:paraId="5DF72EB7" w14:textId="77777777" w:rsidR="00BB5448" w:rsidRPr="000B7C06" w:rsidRDefault="00BB5448" w:rsidP="0084747F">
            <w:pPr>
              <w:spacing w:after="60" w:line="264" w:lineRule="auto"/>
              <w:rPr>
                <w:rFonts w:cs="Times New Roman"/>
                <w:sz w:val="20"/>
                <w:szCs w:val="20"/>
                <w:lang w:val="bg-BG"/>
              </w:rPr>
            </w:pPr>
          </w:p>
          <w:p w14:paraId="6EC81DBC" w14:textId="77777777" w:rsidR="00BB5448" w:rsidRPr="000B7C06" w:rsidRDefault="00BB5448" w:rsidP="0084747F">
            <w:pPr>
              <w:spacing w:after="60" w:line="264" w:lineRule="auto"/>
              <w:rPr>
                <w:rFonts w:cs="Times New Roman"/>
                <w:sz w:val="20"/>
                <w:szCs w:val="20"/>
                <w:lang w:val="bg-BG"/>
              </w:rPr>
            </w:pPr>
          </w:p>
          <w:p w14:paraId="0E29ADC9" w14:textId="77777777" w:rsidR="00BB5448" w:rsidRPr="000B7C06" w:rsidRDefault="00BB5448" w:rsidP="0084747F">
            <w:pPr>
              <w:spacing w:after="60" w:line="264" w:lineRule="auto"/>
              <w:rPr>
                <w:rFonts w:cs="Times New Roman"/>
                <w:sz w:val="20"/>
                <w:szCs w:val="20"/>
                <w:lang w:val="bg-BG"/>
              </w:rPr>
            </w:pPr>
          </w:p>
          <w:p w14:paraId="5B66DB4B" w14:textId="77777777" w:rsidR="004371D4" w:rsidRDefault="004371D4" w:rsidP="004371D4">
            <w:pPr>
              <w:spacing w:after="60" w:line="264" w:lineRule="auto"/>
              <w:ind w:firstLine="0"/>
              <w:rPr>
                <w:rFonts w:cs="Times New Roman"/>
                <w:sz w:val="20"/>
                <w:szCs w:val="20"/>
                <w:lang w:val="bg-BG"/>
              </w:rPr>
            </w:pPr>
          </w:p>
          <w:p w14:paraId="2040D06F" w14:textId="77777777" w:rsidR="004371D4" w:rsidRDefault="004371D4" w:rsidP="004371D4">
            <w:pPr>
              <w:spacing w:after="60" w:line="264" w:lineRule="auto"/>
              <w:ind w:firstLine="0"/>
              <w:rPr>
                <w:rFonts w:cs="Times New Roman"/>
                <w:sz w:val="20"/>
                <w:szCs w:val="20"/>
                <w:lang w:val="bg-BG"/>
              </w:rPr>
            </w:pPr>
          </w:p>
          <w:p w14:paraId="6FFCAE7D" w14:textId="13F7B0A8" w:rsidR="00266549" w:rsidRPr="000B7C06" w:rsidRDefault="00266549"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в ДЕО</w:t>
            </w:r>
            <w:r w:rsidR="00EE1C1B" w:rsidRPr="000B7C06">
              <w:rPr>
                <w:rFonts w:cs="Times New Roman"/>
                <w:sz w:val="20"/>
                <w:szCs w:val="20"/>
                <w:lang w:val="bg-BG"/>
              </w:rPr>
              <w:t xml:space="preserve"> – т. 4.1.1 </w:t>
            </w:r>
          </w:p>
          <w:p w14:paraId="4BBEF3A3" w14:textId="77777777" w:rsidR="00BB5448" w:rsidRPr="000B7C06" w:rsidRDefault="00BB5448" w:rsidP="0084747F">
            <w:pPr>
              <w:spacing w:after="60" w:line="264" w:lineRule="auto"/>
              <w:rPr>
                <w:rFonts w:cs="Times New Roman"/>
                <w:sz w:val="20"/>
                <w:szCs w:val="20"/>
                <w:lang w:val="bg-BG"/>
              </w:rPr>
            </w:pPr>
          </w:p>
          <w:p w14:paraId="7795825D" w14:textId="77777777" w:rsidR="00BB5448" w:rsidRPr="000B7C06" w:rsidRDefault="00BB5448" w:rsidP="0084747F">
            <w:pPr>
              <w:spacing w:after="60" w:line="264" w:lineRule="auto"/>
              <w:rPr>
                <w:rFonts w:cs="Times New Roman"/>
                <w:sz w:val="20"/>
                <w:szCs w:val="20"/>
                <w:lang w:val="bg-BG"/>
              </w:rPr>
            </w:pPr>
          </w:p>
          <w:p w14:paraId="3DB714EF" w14:textId="77777777" w:rsidR="00BB5448" w:rsidRPr="000B7C06" w:rsidRDefault="00BB5448" w:rsidP="0084747F">
            <w:pPr>
              <w:spacing w:after="60" w:line="264" w:lineRule="auto"/>
              <w:rPr>
                <w:rFonts w:cs="Times New Roman"/>
                <w:sz w:val="20"/>
                <w:szCs w:val="20"/>
                <w:lang w:val="bg-BG"/>
              </w:rPr>
            </w:pPr>
          </w:p>
          <w:p w14:paraId="33AAE513" w14:textId="77777777" w:rsidR="00BB5448" w:rsidRPr="000B7C06" w:rsidRDefault="00BB5448" w:rsidP="0084747F">
            <w:pPr>
              <w:spacing w:after="60" w:line="264" w:lineRule="auto"/>
              <w:rPr>
                <w:rFonts w:cs="Times New Roman"/>
                <w:sz w:val="20"/>
                <w:szCs w:val="20"/>
                <w:lang w:val="bg-BG"/>
              </w:rPr>
            </w:pPr>
          </w:p>
          <w:p w14:paraId="3E22D1FC" w14:textId="77777777" w:rsidR="00BB5448" w:rsidRPr="000B7C06" w:rsidRDefault="00BB5448" w:rsidP="0084747F">
            <w:pPr>
              <w:spacing w:after="60" w:line="264" w:lineRule="auto"/>
              <w:rPr>
                <w:rFonts w:cs="Times New Roman"/>
                <w:sz w:val="20"/>
                <w:szCs w:val="20"/>
                <w:lang w:val="bg-BG"/>
              </w:rPr>
            </w:pPr>
          </w:p>
          <w:p w14:paraId="58DE8058" w14:textId="77777777" w:rsidR="00BB5448" w:rsidRPr="000B7C06" w:rsidRDefault="00BB5448" w:rsidP="0084747F">
            <w:pPr>
              <w:spacing w:after="60" w:line="264" w:lineRule="auto"/>
              <w:rPr>
                <w:rFonts w:cs="Times New Roman"/>
                <w:sz w:val="20"/>
                <w:szCs w:val="20"/>
                <w:lang w:val="bg-BG"/>
              </w:rPr>
            </w:pPr>
          </w:p>
          <w:p w14:paraId="6AEE9AF7" w14:textId="77777777" w:rsidR="00BB5448" w:rsidRPr="000B7C06" w:rsidRDefault="00BB5448" w:rsidP="0084747F">
            <w:pPr>
              <w:spacing w:after="60" w:line="264" w:lineRule="auto"/>
              <w:rPr>
                <w:rFonts w:cs="Times New Roman"/>
                <w:sz w:val="20"/>
                <w:szCs w:val="20"/>
                <w:lang w:val="bg-BG"/>
              </w:rPr>
            </w:pPr>
          </w:p>
          <w:p w14:paraId="5EBBDE41" w14:textId="77777777" w:rsidR="00BB5448" w:rsidRPr="000B7C06" w:rsidRDefault="00BB5448" w:rsidP="0084747F">
            <w:pPr>
              <w:spacing w:after="60" w:line="264" w:lineRule="auto"/>
              <w:rPr>
                <w:rFonts w:cs="Times New Roman"/>
                <w:sz w:val="20"/>
                <w:szCs w:val="20"/>
                <w:lang w:val="bg-BG"/>
              </w:rPr>
            </w:pPr>
          </w:p>
          <w:p w14:paraId="684A4C70" w14:textId="77777777" w:rsidR="00266549" w:rsidRPr="000B7C06" w:rsidRDefault="00266549" w:rsidP="004371D4">
            <w:pPr>
              <w:spacing w:after="60" w:line="264" w:lineRule="auto"/>
              <w:ind w:firstLine="0"/>
              <w:rPr>
                <w:rFonts w:cs="Times New Roman"/>
                <w:sz w:val="20"/>
                <w:szCs w:val="20"/>
                <w:lang w:val="bg-BG"/>
              </w:rPr>
            </w:pPr>
            <w:r w:rsidRPr="000B7C06">
              <w:rPr>
                <w:rFonts w:cs="Times New Roman"/>
                <w:sz w:val="20"/>
                <w:szCs w:val="20"/>
                <w:lang w:val="bg-BG"/>
              </w:rPr>
              <w:t>Бележката е</w:t>
            </w:r>
            <w:r w:rsidR="00F273FC" w:rsidRPr="000B7C06">
              <w:rPr>
                <w:rFonts w:cs="Times New Roman"/>
                <w:sz w:val="20"/>
                <w:szCs w:val="20"/>
                <w:lang w:val="bg-BG"/>
              </w:rPr>
              <w:t xml:space="preserve"> взета под внимание при изготвяне на</w:t>
            </w:r>
            <w:r w:rsidRPr="000B7C06">
              <w:rPr>
                <w:rFonts w:cs="Times New Roman"/>
                <w:sz w:val="20"/>
                <w:szCs w:val="20"/>
                <w:lang w:val="bg-BG"/>
              </w:rPr>
              <w:t xml:space="preserve"> ДЕО</w:t>
            </w:r>
          </w:p>
          <w:p w14:paraId="056342F4" w14:textId="77777777" w:rsidR="00BB5448" w:rsidRPr="000B7C06" w:rsidRDefault="00BB5448" w:rsidP="0084747F">
            <w:pPr>
              <w:spacing w:after="60" w:line="264" w:lineRule="auto"/>
              <w:rPr>
                <w:rFonts w:cs="Times New Roman"/>
                <w:sz w:val="20"/>
                <w:szCs w:val="20"/>
                <w:lang w:val="bg-BG"/>
              </w:rPr>
            </w:pPr>
          </w:p>
          <w:p w14:paraId="4C0C2B16" w14:textId="77777777" w:rsidR="00BB5448" w:rsidRPr="000B7C06" w:rsidRDefault="00BB5448" w:rsidP="0084747F">
            <w:pPr>
              <w:spacing w:after="60" w:line="264" w:lineRule="auto"/>
              <w:rPr>
                <w:rFonts w:cs="Times New Roman"/>
                <w:sz w:val="20"/>
                <w:szCs w:val="20"/>
                <w:lang w:val="bg-BG"/>
              </w:rPr>
            </w:pPr>
          </w:p>
          <w:p w14:paraId="09DDB76C" w14:textId="77777777" w:rsidR="00BB5448" w:rsidRPr="000B7C06" w:rsidRDefault="00BB5448" w:rsidP="0084747F">
            <w:pPr>
              <w:spacing w:after="60" w:line="264" w:lineRule="auto"/>
              <w:rPr>
                <w:rFonts w:cs="Times New Roman"/>
                <w:sz w:val="20"/>
                <w:szCs w:val="20"/>
                <w:lang w:val="bg-BG"/>
              </w:rPr>
            </w:pPr>
          </w:p>
          <w:p w14:paraId="19D26834" w14:textId="77777777" w:rsidR="00BB5448" w:rsidRPr="000B7C06" w:rsidRDefault="00BB5448" w:rsidP="0084747F">
            <w:pPr>
              <w:spacing w:after="60" w:line="264" w:lineRule="auto"/>
              <w:rPr>
                <w:rFonts w:cs="Times New Roman"/>
                <w:sz w:val="20"/>
                <w:szCs w:val="20"/>
                <w:lang w:val="bg-BG"/>
              </w:rPr>
            </w:pPr>
          </w:p>
          <w:p w14:paraId="37F44EAF" w14:textId="77777777" w:rsidR="00BB5448" w:rsidRPr="000B7C06" w:rsidRDefault="00BB5448" w:rsidP="0084747F">
            <w:pPr>
              <w:spacing w:after="60" w:line="264" w:lineRule="auto"/>
              <w:rPr>
                <w:rFonts w:cs="Times New Roman"/>
                <w:sz w:val="20"/>
                <w:szCs w:val="20"/>
                <w:lang w:val="bg-BG"/>
              </w:rPr>
            </w:pPr>
          </w:p>
          <w:p w14:paraId="327B6777" w14:textId="77777777" w:rsidR="00BB5448" w:rsidRPr="000B7C06" w:rsidRDefault="00BB5448" w:rsidP="0084747F">
            <w:pPr>
              <w:spacing w:after="60" w:line="264" w:lineRule="auto"/>
              <w:rPr>
                <w:rFonts w:cs="Times New Roman"/>
                <w:sz w:val="20"/>
                <w:szCs w:val="20"/>
                <w:lang w:val="bg-BG"/>
              </w:rPr>
            </w:pPr>
          </w:p>
          <w:p w14:paraId="433D1C8B" w14:textId="77777777" w:rsidR="00BB5448" w:rsidRPr="000B7C06" w:rsidRDefault="00BB5448" w:rsidP="0084747F">
            <w:pPr>
              <w:spacing w:after="60" w:line="264" w:lineRule="auto"/>
              <w:rPr>
                <w:rFonts w:cs="Times New Roman"/>
                <w:sz w:val="20"/>
                <w:szCs w:val="20"/>
                <w:lang w:val="bg-BG"/>
              </w:rPr>
            </w:pPr>
          </w:p>
          <w:p w14:paraId="1A7CD1F2" w14:textId="77777777" w:rsidR="00266549" w:rsidRPr="000B7C06" w:rsidRDefault="00266549"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в ДЕО</w:t>
            </w:r>
            <w:r w:rsidR="00A17C93" w:rsidRPr="000B7C06">
              <w:rPr>
                <w:rFonts w:cs="Times New Roman"/>
                <w:sz w:val="20"/>
                <w:szCs w:val="20"/>
                <w:lang w:val="bg-BG"/>
              </w:rPr>
              <w:t>, т. 4.1.2.</w:t>
            </w:r>
          </w:p>
          <w:p w14:paraId="418EF566" w14:textId="77777777" w:rsidR="00BB5448" w:rsidRPr="000B7C06" w:rsidRDefault="00BB5448" w:rsidP="0084747F">
            <w:pPr>
              <w:spacing w:after="60" w:line="264" w:lineRule="auto"/>
              <w:rPr>
                <w:rFonts w:cs="Times New Roman"/>
                <w:sz w:val="20"/>
                <w:szCs w:val="20"/>
                <w:lang w:val="bg-BG"/>
              </w:rPr>
            </w:pPr>
          </w:p>
          <w:p w14:paraId="2F5FD30E" w14:textId="77777777" w:rsidR="004371D4" w:rsidRDefault="004371D4" w:rsidP="00266549">
            <w:pPr>
              <w:spacing w:after="60" w:line="264" w:lineRule="auto"/>
              <w:rPr>
                <w:rFonts w:cs="Times New Roman"/>
                <w:sz w:val="20"/>
                <w:szCs w:val="20"/>
                <w:lang w:val="bg-BG"/>
              </w:rPr>
            </w:pPr>
          </w:p>
          <w:p w14:paraId="03C1FF77" w14:textId="77777777" w:rsidR="004371D4" w:rsidRDefault="004371D4" w:rsidP="004371D4">
            <w:pPr>
              <w:spacing w:after="60" w:line="264" w:lineRule="auto"/>
              <w:ind w:firstLine="0"/>
              <w:rPr>
                <w:rFonts w:cs="Times New Roman"/>
                <w:sz w:val="20"/>
                <w:szCs w:val="20"/>
                <w:lang w:val="bg-BG"/>
              </w:rPr>
            </w:pPr>
          </w:p>
          <w:p w14:paraId="246924A5" w14:textId="0A308DF1" w:rsidR="00266549" w:rsidRPr="000B7C06" w:rsidRDefault="00A17C93" w:rsidP="004371D4">
            <w:pPr>
              <w:spacing w:after="60" w:line="264" w:lineRule="auto"/>
              <w:ind w:firstLine="0"/>
              <w:rPr>
                <w:rFonts w:cs="Times New Roman"/>
                <w:sz w:val="20"/>
                <w:szCs w:val="20"/>
                <w:lang w:val="bg-BG"/>
              </w:rPr>
            </w:pPr>
            <w:r w:rsidRPr="000B7C06">
              <w:rPr>
                <w:rFonts w:cs="Times New Roman"/>
                <w:sz w:val="20"/>
                <w:szCs w:val="20"/>
                <w:lang w:val="bg-BG"/>
              </w:rPr>
              <w:t>Б</w:t>
            </w:r>
            <w:r w:rsidR="00266549" w:rsidRPr="000B7C06">
              <w:rPr>
                <w:rFonts w:cs="Times New Roman"/>
                <w:sz w:val="20"/>
                <w:szCs w:val="20"/>
                <w:lang w:val="bg-BG"/>
              </w:rPr>
              <w:t xml:space="preserve">ележката е </w:t>
            </w:r>
            <w:r w:rsidRPr="000B7C06">
              <w:rPr>
                <w:rFonts w:cs="Times New Roman"/>
                <w:sz w:val="20"/>
                <w:szCs w:val="20"/>
                <w:lang w:val="bg-BG"/>
              </w:rPr>
              <w:t xml:space="preserve">взета </w:t>
            </w:r>
            <w:proofErr w:type="spellStart"/>
            <w:r w:rsidRPr="000B7C06">
              <w:rPr>
                <w:rFonts w:cs="Times New Roman"/>
                <w:sz w:val="20"/>
                <w:szCs w:val="20"/>
                <w:lang w:val="bg-BG"/>
              </w:rPr>
              <w:t>поз</w:t>
            </w:r>
            <w:proofErr w:type="spellEnd"/>
            <w:r w:rsidRPr="000B7C06">
              <w:rPr>
                <w:rFonts w:cs="Times New Roman"/>
                <w:sz w:val="20"/>
                <w:szCs w:val="20"/>
                <w:lang w:val="bg-BG"/>
              </w:rPr>
              <w:t xml:space="preserve"> внимание при изготвяне на </w:t>
            </w:r>
            <w:r w:rsidR="00266549" w:rsidRPr="000B7C06">
              <w:rPr>
                <w:rFonts w:cs="Times New Roman"/>
                <w:sz w:val="20"/>
                <w:szCs w:val="20"/>
                <w:lang w:val="bg-BG"/>
              </w:rPr>
              <w:t>ДЕО</w:t>
            </w:r>
          </w:p>
          <w:p w14:paraId="70AF9891" w14:textId="77777777" w:rsidR="00BB5448" w:rsidRPr="000B7C06" w:rsidRDefault="00BB5448" w:rsidP="0084747F">
            <w:pPr>
              <w:spacing w:after="60" w:line="264" w:lineRule="auto"/>
              <w:rPr>
                <w:rFonts w:cs="Times New Roman"/>
                <w:sz w:val="20"/>
                <w:szCs w:val="20"/>
                <w:lang w:val="bg-BG"/>
              </w:rPr>
            </w:pPr>
          </w:p>
          <w:p w14:paraId="1B7CEF95" w14:textId="77777777" w:rsidR="00BB5448" w:rsidRPr="000B7C06" w:rsidRDefault="00BB5448" w:rsidP="0084747F">
            <w:pPr>
              <w:spacing w:after="60" w:line="264" w:lineRule="auto"/>
              <w:rPr>
                <w:rFonts w:cs="Times New Roman"/>
                <w:sz w:val="20"/>
                <w:szCs w:val="20"/>
                <w:lang w:val="bg-BG"/>
              </w:rPr>
            </w:pPr>
          </w:p>
          <w:p w14:paraId="22FFF92D" w14:textId="77777777" w:rsidR="00BB5448" w:rsidRPr="000B7C06" w:rsidRDefault="00BB5448" w:rsidP="004371D4">
            <w:pPr>
              <w:spacing w:after="60" w:line="264" w:lineRule="auto"/>
              <w:ind w:firstLine="0"/>
              <w:rPr>
                <w:rFonts w:cs="Times New Roman"/>
                <w:sz w:val="20"/>
                <w:szCs w:val="20"/>
                <w:lang w:val="bg-BG"/>
              </w:rPr>
            </w:pPr>
            <w:r w:rsidRPr="000B7C06">
              <w:rPr>
                <w:rFonts w:cs="Times New Roman"/>
                <w:sz w:val="20"/>
                <w:szCs w:val="20"/>
                <w:lang w:val="bg-BG"/>
              </w:rPr>
              <w:t xml:space="preserve">Текстът е съобразен </w:t>
            </w:r>
            <w:r w:rsidR="00A17C93" w:rsidRPr="000B7C06">
              <w:rPr>
                <w:rFonts w:cs="Times New Roman"/>
                <w:sz w:val="20"/>
                <w:szCs w:val="20"/>
                <w:lang w:val="bg-BG"/>
              </w:rPr>
              <w:t>при изготвяне</w:t>
            </w:r>
            <w:r w:rsidRPr="000B7C06">
              <w:rPr>
                <w:rFonts w:cs="Times New Roman"/>
                <w:sz w:val="20"/>
                <w:szCs w:val="20"/>
                <w:lang w:val="bg-BG"/>
              </w:rPr>
              <w:t xml:space="preserve"> на ДЕО</w:t>
            </w:r>
          </w:p>
          <w:p w14:paraId="51070937" w14:textId="77777777" w:rsidR="00BB5448" w:rsidRPr="000B7C06" w:rsidRDefault="00BB5448" w:rsidP="0084747F">
            <w:pPr>
              <w:spacing w:after="60" w:line="264" w:lineRule="auto"/>
              <w:rPr>
                <w:rFonts w:cs="Times New Roman"/>
                <w:sz w:val="20"/>
                <w:szCs w:val="20"/>
                <w:lang w:val="bg-BG"/>
              </w:rPr>
            </w:pPr>
          </w:p>
          <w:p w14:paraId="15F962F7" w14:textId="77777777" w:rsidR="00BB5448" w:rsidRPr="000B7C06" w:rsidRDefault="00BB5448" w:rsidP="0084747F">
            <w:pPr>
              <w:spacing w:after="60" w:line="264" w:lineRule="auto"/>
              <w:rPr>
                <w:rFonts w:cs="Times New Roman"/>
                <w:sz w:val="20"/>
                <w:szCs w:val="20"/>
                <w:lang w:val="bg-BG"/>
              </w:rPr>
            </w:pPr>
          </w:p>
          <w:p w14:paraId="5D6162CA" w14:textId="77777777" w:rsidR="00BB5448" w:rsidRPr="000B7C06" w:rsidRDefault="00440735" w:rsidP="004371D4">
            <w:pPr>
              <w:spacing w:after="60" w:line="264" w:lineRule="auto"/>
              <w:ind w:firstLine="0"/>
              <w:rPr>
                <w:rFonts w:cs="Times New Roman"/>
                <w:sz w:val="20"/>
                <w:szCs w:val="20"/>
                <w:lang w:val="bg-BG"/>
              </w:rPr>
            </w:pPr>
            <w:r w:rsidRPr="000B7C06">
              <w:rPr>
                <w:rFonts w:cs="Times New Roman"/>
                <w:sz w:val="20"/>
                <w:szCs w:val="20"/>
                <w:lang w:val="bg-BG"/>
              </w:rPr>
              <w:lastRenderedPageBreak/>
              <w:t>Препоръката е отразена в т. 4.1.6.</w:t>
            </w:r>
          </w:p>
          <w:p w14:paraId="7C17CC53" w14:textId="77777777" w:rsidR="00BB5448" w:rsidRPr="000B7C06" w:rsidRDefault="00BB5448" w:rsidP="0084747F">
            <w:pPr>
              <w:spacing w:after="60" w:line="264" w:lineRule="auto"/>
              <w:rPr>
                <w:rFonts w:cs="Times New Roman"/>
                <w:sz w:val="20"/>
                <w:szCs w:val="20"/>
                <w:lang w:val="bg-BG"/>
              </w:rPr>
            </w:pPr>
          </w:p>
          <w:p w14:paraId="38069067" w14:textId="77777777" w:rsidR="00BB5448" w:rsidRPr="000B7C06" w:rsidRDefault="00BB5448" w:rsidP="0084747F">
            <w:pPr>
              <w:spacing w:after="60" w:line="264" w:lineRule="auto"/>
              <w:rPr>
                <w:rFonts w:cs="Times New Roman"/>
                <w:sz w:val="20"/>
                <w:szCs w:val="20"/>
                <w:lang w:val="bg-BG"/>
              </w:rPr>
            </w:pPr>
          </w:p>
          <w:p w14:paraId="6EDE89D2" w14:textId="77777777" w:rsidR="00BB5448" w:rsidRPr="000B7C06" w:rsidRDefault="00BB5448" w:rsidP="0084747F">
            <w:pPr>
              <w:spacing w:after="60" w:line="264" w:lineRule="auto"/>
              <w:rPr>
                <w:rFonts w:cs="Times New Roman"/>
                <w:sz w:val="20"/>
                <w:szCs w:val="20"/>
                <w:lang w:val="bg-BG"/>
              </w:rPr>
            </w:pPr>
          </w:p>
          <w:p w14:paraId="1F556638" w14:textId="77777777" w:rsidR="00BB5448" w:rsidRPr="000B7C06" w:rsidRDefault="00BB5448" w:rsidP="004371D4">
            <w:pPr>
              <w:spacing w:after="60" w:line="264" w:lineRule="auto"/>
              <w:ind w:firstLine="0"/>
              <w:rPr>
                <w:rFonts w:cs="Times New Roman"/>
                <w:sz w:val="20"/>
                <w:szCs w:val="20"/>
                <w:lang w:val="bg-BG"/>
              </w:rPr>
            </w:pPr>
            <w:r w:rsidRPr="000B7C06">
              <w:rPr>
                <w:rFonts w:cs="Times New Roman"/>
                <w:sz w:val="20"/>
                <w:szCs w:val="20"/>
                <w:lang w:val="bg-BG"/>
              </w:rPr>
              <w:t xml:space="preserve">Бележката е съобразена при </w:t>
            </w:r>
            <w:proofErr w:type="spellStart"/>
            <w:r w:rsidRPr="000B7C06">
              <w:rPr>
                <w:rFonts w:cs="Times New Roman"/>
                <w:sz w:val="20"/>
                <w:szCs w:val="20"/>
                <w:lang w:val="bg-BG"/>
              </w:rPr>
              <w:t>разраотването</w:t>
            </w:r>
            <w:proofErr w:type="spellEnd"/>
            <w:r w:rsidRPr="000B7C06">
              <w:rPr>
                <w:rFonts w:cs="Times New Roman"/>
                <w:sz w:val="20"/>
                <w:szCs w:val="20"/>
                <w:lang w:val="bg-BG"/>
              </w:rPr>
              <w:t xml:space="preserve"> на </w:t>
            </w:r>
            <w:r w:rsidR="00C169C1" w:rsidRPr="000B7C06">
              <w:rPr>
                <w:rFonts w:cs="Times New Roman"/>
                <w:sz w:val="20"/>
                <w:szCs w:val="20"/>
                <w:lang w:val="bg-BG"/>
              </w:rPr>
              <w:t>т.</w:t>
            </w:r>
            <w:r w:rsidR="00440735" w:rsidRPr="000B7C06">
              <w:rPr>
                <w:rFonts w:cs="Times New Roman"/>
                <w:sz w:val="20"/>
                <w:szCs w:val="20"/>
                <w:lang w:val="bg-BG"/>
              </w:rPr>
              <w:t xml:space="preserve"> </w:t>
            </w:r>
            <w:r w:rsidR="00C169C1" w:rsidRPr="000B7C06">
              <w:rPr>
                <w:rFonts w:cs="Times New Roman"/>
                <w:sz w:val="20"/>
                <w:szCs w:val="20"/>
                <w:lang w:val="bg-BG"/>
              </w:rPr>
              <w:t xml:space="preserve">4.1 на </w:t>
            </w:r>
            <w:r w:rsidRPr="000B7C06">
              <w:rPr>
                <w:rFonts w:cs="Times New Roman"/>
                <w:sz w:val="20"/>
                <w:szCs w:val="20"/>
                <w:lang w:val="bg-BG"/>
              </w:rPr>
              <w:t>ДЕО</w:t>
            </w:r>
            <w:r w:rsidR="00440735" w:rsidRPr="000B7C06">
              <w:rPr>
                <w:rFonts w:cs="Times New Roman"/>
                <w:sz w:val="20"/>
                <w:szCs w:val="20"/>
                <w:lang w:val="bg-BG"/>
              </w:rPr>
              <w:t xml:space="preserve"> доколкото е относима към програмата и позволява обществено достъпната информация към момента</w:t>
            </w:r>
          </w:p>
          <w:p w14:paraId="2A3F401F" w14:textId="77777777" w:rsidR="00C169C1" w:rsidRPr="000B7C06" w:rsidRDefault="00C169C1" w:rsidP="0084747F">
            <w:pPr>
              <w:spacing w:after="60" w:line="264" w:lineRule="auto"/>
              <w:rPr>
                <w:rFonts w:cs="Times New Roman"/>
                <w:sz w:val="20"/>
                <w:szCs w:val="20"/>
                <w:lang w:val="bg-BG"/>
              </w:rPr>
            </w:pPr>
          </w:p>
          <w:p w14:paraId="578BAD91" w14:textId="77777777" w:rsidR="00C169C1" w:rsidRPr="000B7C06" w:rsidRDefault="00C169C1" w:rsidP="0084747F">
            <w:pPr>
              <w:spacing w:after="60" w:line="264" w:lineRule="auto"/>
              <w:rPr>
                <w:rFonts w:cs="Times New Roman"/>
                <w:sz w:val="20"/>
                <w:szCs w:val="20"/>
                <w:lang w:val="bg-BG"/>
              </w:rPr>
            </w:pPr>
          </w:p>
          <w:p w14:paraId="248E7862" w14:textId="77777777" w:rsidR="00C169C1" w:rsidRPr="000B7C06" w:rsidRDefault="00C169C1" w:rsidP="0084747F">
            <w:pPr>
              <w:spacing w:after="60" w:line="264" w:lineRule="auto"/>
              <w:rPr>
                <w:rFonts w:cs="Times New Roman"/>
                <w:sz w:val="20"/>
                <w:szCs w:val="20"/>
                <w:lang w:val="bg-BG"/>
              </w:rPr>
            </w:pPr>
          </w:p>
          <w:p w14:paraId="08ACFFE0" w14:textId="77777777" w:rsidR="00C169C1" w:rsidRPr="000B7C06" w:rsidRDefault="00C169C1"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отразена при разработването на ДЕО</w:t>
            </w:r>
            <w:r w:rsidR="00875257" w:rsidRPr="000B7C06">
              <w:rPr>
                <w:rFonts w:cs="Times New Roman"/>
                <w:sz w:val="20"/>
                <w:szCs w:val="20"/>
                <w:lang w:val="bg-BG"/>
              </w:rPr>
              <w:t>. Допусната е техническа грешка.</w:t>
            </w:r>
          </w:p>
          <w:p w14:paraId="6FE0F7A8" w14:textId="77777777" w:rsidR="00C169C1" w:rsidRPr="000B7C06" w:rsidRDefault="00C169C1" w:rsidP="0084747F">
            <w:pPr>
              <w:spacing w:after="60" w:line="264" w:lineRule="auto"/>
              <w:rPr>
                <w:rFonts w:cs="Times New Roman"/>
                <w:sz w:val="20"/>
                <w:szCs w:val="20"/>
                <w:lang w:val="bg-BG"/>
              </w:rPr>
            </w:pPr>
          </w:p>
          <w:p w14:paraId="2489EC95" w14:textId="77777777" w:rsidR="00C169C1" w:rsidRPr="000B7C06" w:rsidRDefault="00C169C1" w:rsidP="0084747F">
            <w:pPr>
              <w:spacing w:after="60" w:line="264" w:lineRule="auto"/>
              <w:rPr>
                <w:rFonts w:cs="Times New Roman"/>
                <w:sz w:val="20"/>
                <w:szCs w:val="20"/>
                <w:lang w:val="bg-BG"/>
              </w:rPr>
            </w:pPr>
          </w:p>
          <w:p w14:paraId="434B0D83" w14:textId="77777777" w:rsidR="00C169C1" w:rsidRPr="000B7C06" w:rsidRDefault="00C169C1"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31523A6D" w14:textId="77777777" w:rsidR="00C169C1" w:rsidRPr="000B7C06" w:rsidRDefault="00C169C1" w:rsidP="0084747F">
            <w:pPr>
              <w:spacing w:after="60" w:line="264" w:lineRule="auto"/>
              <w:rPr>
                <w:rFonts w:cs="Times New Roman"/>
                <w:sz w:val="20"/>
                <w:szCs w:val="20"/>
                <w:lang w:val="bg-BG"/>
              </w:rPr>
            </w:pPr>
          </w:p>
          <w:p w14:paraId="3A98274A" w14:textId="77777777" w:rsidR="00C169C1" w:rsidRPr="000B7C06" w:rsidRDefault="00C169C1" w:rsidP="004371D4">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7A28047E" w14:textId="77777777" w:rsidR="00C169C1" w:rsidRPr="000B7C06" w:rsidRDefault="00C169C1" w:rsidP="0084747F">
            <w:pPr>
              <w:spacing w:after="60" w:line="264" w:lineRule="auto"/>
              <w:rPr>
                <w:rFonts w:cs="Times New Roman"/>
                <w:sz w:val="20"/>
                <w:szCs w:val="20"/>
                <w:lang w:val="bg-BG"/>
              </w:rPr>
            </w:pPr>
          </w:p>
          <w:p w14:paraId="746E40B3" w14:textId="77777777" w:rsidR="00CE1F67" w:rsidRDefault="00CE1F67" w:rsidP="004371D4">
            <w:pPr>
              <w:spacing w:after="60" w:line="264" w:lineRule="auto"/>
              <w:ind w:firstLine="0"/>
              <w:rPr>
                <w:rFonts w:cs="Times New Roman"/>
                <w:sz w:val="20"/>
                <w:szCs w:val="20"/>
                <w:lang w:val="bg-BG"/>
              </w:rPr>
            </w:pPr>
          </w:p>
          <w:p w14:paraId="6C4141F8" w14:textId="581D3B06" w:rsidR="00C169C1" w:rsidRPr="000B7C06" w:rsidRDefault="00C169C1" w:rsidP="004371D4">
            <w:pPr>
              <w:spacing w:after="60" w:line="264" w:lineRule="auto"/>
              <w:ind w:firstLine="0"/>
              <w:rPr>
                <w:rFonts w:cs="Times New Roman"/>
                <w:sz w:val="20"/>
                <w:szCs w:val="20"/>
                <w:lang w:val="bg-BG"/>
              </w:rPr>
            </w:pPr>
            <w:r w:rsidRPr="000B7C06">
              <w:rPr>
                <w:rFonts w:cs="Times New Roman"/>
                <w:sz w:val="20"/>
                <w:szCs w:val="20"/>
                <w:lang w:val="bg-BG"/>
              </w:rPr>
              <w:lastRenderedPageBreak/>
              <w:t>Бележката е съобразена при разработването на  ДЕО</w:t>
            </w:r>
          </w:p>
          <w:p w14:paraId="1E8CAC06" w14:textId="77777777" w:rsidR="00C169C1" w:rsidRPr="000B7C06" w:rsidRDefault="00C169C1" w:rsidP="0084747F">
            <w:pPr>
              <w:spacing w:after="60" w:line="264" w:lineRule="auto"/>
              <w:rPr>
                <w:rFonts w:cs="Times New Roman"/>
                <w:sz w:val="20"/>
                <w:szCs w:val="20"/>
                <w:lang w:val="bg-BG"/>
              </w:rPr>
            </w:pPr>
          </w:p>
          <w:p w14:paraId="15B02F6F" w14:textId="77777777" w:rsidR="00C169C1" w:rsidRPr="000B7C06" w:rsidRDefault="00C169C1" w:rsidP="0084747F">
            <w:pPr>
              <w:spacing w:after="60" w:line="264" w:lineRule="auto"/>
              <w:rPr>
                <w:rFonts w:cs="Times New Roman"/>
                <w:sz w:val="20"/>
                <w:szCs w:val="20"/>
                <w:lang w:val="bg-BG"/>
              </w:rPr>
            </w:pPr>
          </w:p>
          <w:p w14:paraId="23187338" w14:textId="77777777" w:rsidR="00C169C1" w:rsidRPr="000B7C06" w:rsidRDefault="00C169C1" w:rsidP="0084747F">
            <w:pPr>
              <w:spacing w:after="60" w:line="264" w:lineRule="auto"/>
              <w:rPr>
                <w:rFonts w:cs="Times New Roman"/>
                <w:sz w:val="20"/>
                <w:szCs w:val="20"/>
                <w:lang w:val="bg-BG"/>
              </w:rPr>
            </w:pPr>
          </w:p>
          <w:p w14:paraId="7C08E02A" w14:textId="77777777" w:rsidR="00C169C1" w:rsidRPr="000B7C06" w:rsidRDefault="00C169C1" w:rsidP="0084747F">
            <w:pPr>
              <w:spacing w:after="60" w:line="264" w:lineRule="auto"/>
              <w:rPr>
                <w:rFonts w:cs="Times New Roman"/>
                <w:sz w:val="20"/>
                <w:szCs w:val="20"/>
                <w:lang w:val="bg-BG"/>
              </w:rPr>
            </w:pPr>
          </w:p>
          <w:p w14:paraId="7B8CADA1" w14:textId="77777777" w:rsidR="00C169C1" w:rsidRPr="000B7C06" w:rsidRDefault="00C169C1"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5EEDFBC9" w14:textId="77777777" w:rsidR="00C169C1" w:rsidRPr="000B7C06" w:rsidRDefault="00C169C1" w:rsidP="0084747F">
            <w:pPr>
              <w:spacing w:after="60" w:line="264" w:lineRule="auto"/>
              <w:rPr>
                <w:rFonts w:cs="Times New Roman"/>
                <w:sz w:val="20"/>
                <w:szCs w:val="20"/>
                <w:lang w:val="bg-BG"/>
              </w:rPr>
            </w:pPr>
          </w:p>
          <w:p w14:paraId="6AE1496D" w14:textId="77777777" w:rsidR="00C169C1" w:rsidRPr="000B7C06" w:rsidRDefault="00C169C1" w:rsidP="0084747F">
            <w:pPr>
              <w:spacing w:after="60" w:line="264" w:lineRule="auto"/>
              <w:rPr>
                <w:rFonts w:cs="Times New Roman"/>
                <w:sz w:val="20"/>
                <w:szCs w:val="20"/>
                <w:lang w:val="bg-BG"/>
              </w:rPr>
            </w:pPr>
          </w:p>
          <w:p w14:paraId="5FCABAA7" w14:textId="77777777" w:rsidR="00875257" w:rsidRPr="000B7C06" w:rsidRDefault="00875257" w:rsidP="0084747F">
            <w:pPr>
              <w:spacing w:after="60" w:line="264" w:lineRule="auto"/>
              <w:rPr>
                <w:rFonts w:cs="Times New Roman"/>
                <w:sz w:val="20"/>
                <w:szCs w:val="20"/>
                <w:lang w:val="bg-BG"/>
              </w:rPr>
            </w:pPr>
          </w:p>
          <w:p w14:paraId="7F6793C6" w14:textId="77777777" w:rsidR="00875257" w:rsidRPr="000B7C06" w:rsidRDefault="00875257" w:rsidP="0084747F">
            <w:pPr>
              <w:spacing w:after="60" w:line="264" w:lineRule="auto"/>
              <w:rPr>
                <w:rFonts w:cs="Times New Roman"/>
                <w:sz w:val="20"/>
                <w:szCs w:val="20"/>
                <w:lang w:val="bg-BG"/>
              </w:rPr>
            </w:pPr>
          </w:p>
          <w:p w14:paraId="439CFD7A" w14:textId="77777777" w:rsidR="00875257" w:rsidRPr="000B7C06" w:rsidRDefault="00875257" w:rsidP="0084747F">
            <w:pPr>
              <w:spacing w:after="60" w:line="264" w:lineRule="auto"/>
              <w:rPr>
                <w:rFonts w:cs="Times New Roman"/>
                <w:sz w:val="20"/>
                <w:szCs w:val="20"/>
                <w:lang w:val="bg-BG"/>
              </w:rPr>
            </w:pPr>
          </w:p>
          <w:p w14:paraId="78B5168C" w14:textId="77777777" w:rsidR="00C169C1" w:rsidRPr="000B7C06" w:rsidRDefault="00C169C1"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562EE1E8" w14:textId="77777777" w:rsidR="00C169C1" w:rsidRPr="000B7C06" w:rsidRDefault="00C169C1" w:rsidP="0084747F">
            <w:pPr>
              <w:spacing w:after="60" w:line="264" w:lineRule="auto"/>
              <w:rPr>
                <w:rFonts w:cs="Times New Roman"/>
                <w:sz w:val="20"/>
                <w:szCs w:val="20"/>
                <w:lang w:val="bg-BG"/>
              </w:rPr>
            </w:pPr>
          </w:p>
          <w:p w14:paraId="5F9D7498" w14:textId="77777777" w:rsidR="00C169C1" w:rsidRPr="000B7C06" w:rsidRDefault="00C169C1" w:rsidP="0084747F">
            <w:pPr>
              <w:spacing w:after="60" w:line="264" w:lineRule="auto"/>
              <w:rPr>
                <w:rFonts w:cs="Times New Roman"/>
                <w:sz w:val="20"/>
                <w:szCs w:val="20"/>
                <w:lang w:val="bg-BG"/>
              </w:rPr>
            </w:pPr>
          </w:p>
          <w:p w14:paraId="368ED9F7" w14:textId="77777777" w:rsidR="00C169C1" w:rsidRPr="000B7C06" w:rsidRDefault="00C169C1" w:rsidP="0084747F">
            <w:pPr>
              <w:spacing w:after="60" w:line="264" w:lineRule="auto"/>
              <w:rPr>
                <w:rFonts w:cs="Times New Roman"/>
                <w:sz w:val="20"/>
                <w:szCs w:val="20"/>
                <w:lang w:val="bg-BG"/>
              </w:rPr>
            </w:pPr>
          </w:p>
          <w:p w14:paraId="214C9E0B" w14:textId="77777777" w:rsidR="007044B1" w:rsidRPr="000B7C06" w:rsidRDefault="00C169C1" w:rsidP="00CE1F67">
            <w:pPr>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r w:rsidR="007044B1" w:rsidRPr="000B7C06">
              <w:rPr>
                <w:rFonts w:cs="Times New Roman"/>
                <w:sz w:val="20"/>
                <w:szCs w:val="20"/>
                <w:lang w:val="bg-BG"/>
              </w:rPr>
              <w:t xml:space="preserve"> доколкото е възможно. Бележката касае преформулиране на Специфични цели, което е от компетенциите на Възложителя</w:t>
            </w:r>
          </w:p>
          <w:p w14:paraId="1357C026" w14:textId="77777777" w:rsidR="00C169C1" w:rsidRPr="000B7C06" w:rsidRDefault="00C169C1" w:rsidP="0084747F">
            <w:pPr>
              <w:spacing w:after="60" w:line="264" w:lineRule="auto"/>
              <w:rPr>
                <w:rFonts w:cs="Times New Roman"/>
                <w:sz w:val="20"/>
                <w:szCs w:val="20"/>
                <w:lang w:val="bg-BG"/>
              </w:rPr>
            </w:pPr>
          </w:p>
          <w:p w14:paraId="28733577" w14:textId="77777777" w:rsidR="00DC33F5" w:rsidRPr="000B7C06" w:rsidRDefault="00DC33F5" w:rsidP="0084747F">
            <w:pPr>
              <w:spacing w:after="60" w:line="264" w:lineRule="auto"/>
              <w:rPr>
                <w:rFonts w:cs="Times New Roman"/>
                <w:sz w:val="20"/>
                <w:szCs w:val="20"/>
                <w:lang w:val="bg-BG"/>
              </w:rPr>
            </w:pPr>
          </w:p>
          <w:p w14:paraId="66D6F0E4" w14:textId="77777777" w:rsidR="00DC33F5" w:rsidRPr="000B7C06" w:rsidRDefault="00DC33F5" w:rsidP="0084747F">
            <w:pPr>
              <w:spacing w:after="60" w:line="264" w:lineRule="auto"/>
              <w:rPr>
                <w:rFonts w:cs="Times New Roman"/>
                <w:sz w:val="20"/>
                <w:szCs w:val="20"/>
                <w:lang w:val="bg-BG"/>
              </w:rPr>
            </w:pPr>
          </w:p>
          <w:p w14:paraId="5EE452C9" w14:textId="77777777" w:rsidR="00DC33F5" w:rsidRPr="000B7C06" w:rsidRDefault="00DC33F5" w:rsidP="0084747F">
            <w:pPr>
              <w:spacing w:after="60" w:line="264" w:lineRule="auto"/>
              <w:rPr>
                <w:rFonts w:cs="Times New Roman"/>
                <w:sz w:val="20"/>
                <w:szCs w:val="20"/>
                <w:lang w:val="bg-BG"/>
              </w:rPr>
            </w:pPr>
          </w:p>
          <w:p w14:paraId="7848E1CD" w14:textId="77777777" w:rsidR="00875257" w:rsidRPr="000B7C06" w:rsidRDefault="00875257" w:rsidP="0084747F">
            <w:pPr>
              <w:spacing w:after="60" w:line="264" w:lineRule="auto"/>
              <w:rPr>
                <w:rFonts w:cs="Times New Roman"/>
                <w:sz w:val="20"/>
                <w:szCs w:val="20"/>
                <w:lang w:val="bg-BG"/>
              </w:rPr>
            </w:pPr>
          </w:p>
          <w:p w14:paraId="1F0B6E2F" w14:textId="77777777" w:rsidR="00875257" w:rsidRPr="000B7C06" w:rsidRDefault="00875257" w:rsidP="0084747F">
            <w:pPr>
              <w:spacing w:after="60" w:line="264" w:lineRule="auto"/>
              <w:rPr>
                <w:rFonts w:cs="Times New Roman"/>
                <w:sz w:val="20"/>
                <w:szCs w:val="20"/>
                <w:lang w:val="bg-BG"/>
              </w:rPr>
            </w:pPr>
          </w:p>
          <w:p w14:paraId="148ECC88" w14:textId="77777777" w:rsidR="00875257" w:rsidRPr="000B7C06" w:rsidRDefault="00875257" w:rsidP="0084747F">
            <w:pPr>
              <w:spacing w:after="60" w:line="264" w:lineRule="auto"/>
              <w:rPr>
                <w:rFonts w:cs="Times New Roman"/>
                <w:sz w:val="20"/>
                <w:szCs w:val="20"/>
                <w:lang w:val="bg-BG"/>
              </w:rPr>
            </w:pPr>
          </w:p>
          <w:p w14:paraId="45492D83" w14:textId="77777777" w:rsidR="00875257" w:rsidRPr="000B7C06" w:rsidRDefault="00875257" w:rsidP="0084747F">
            <w:pPr>
              <w:spacing w:after="60" w:line="264" w:lineRule="auto"/>
              <w:rPr>
                <w:rFonts w:cs="Times New Roman"/>
                <w:sz w:val="20"/>
                <w:szCs w:val="20"/>
                <w:lang w:val="bg-BG"/>
              </w:rPr>
            </w:pPr>
          </w:p>
          <w:p w14:paraId="2363C598" w14:textId="77777777" w:rsidR="00875257" w:rsidRPr="000B7C06" w:rsidRDefault="00875257" w:rsidP="0084747F">
            <w:pPr>
              <w:spacing w:after="60" w:line="264" w:lineRule="auto"/>
              <w:rPr>
                <w:rFonts w:cs="Times New Roman"/>
                <w:sz w:val="20"/>
                <w:szCs w:val="20"/>
                <w:lang w:val="bg-BG"/>
              </w:rPr>
            </w:pPr>
          </w:p>
          <w:p w14:paraId="45A02B3D" w14:textId="77777777" w:rsidR="00875257" w:rsidRPr="000B7C06" w:rsidRDefault="00875257" w:rsidP="0084747F">
            <w:pPr>
              <w:spacing w:after="60" w:line="264" w:lineRule="auto"/>
              <w:rPr>
                <w:rFonts w:cs="Times New Roman"/>
                <w:sz w:val="20"/>
                <w:szCs w:val="20"/>
                <w:lang w:val="bg-BG"/>
              </w:rPr>
            </w:pPr>
          </w:p>
          <w:p w14:paraId="2CA7A6E4" w14:textId="77777777" w:rsidR="00875257" w:rsidRPr="000B7C06" w:rsidRDefault="00875257" w:rsidP="0084747F">
            <w:pPr>
              <w:spacing w:after="60" w:line="264" w:lineRule="auto"/>
              <w:rPr>
                <w:rFonts w:cs="Times New Roman"/>
                <w:sz w:val="20"/>
                <w:szCs w:val="20"/>
                <w:lang w:val="bg-BG"/>
              </w:rPr>
            </w:pPr>
          </w:p>
          <w:p w14:paraId="36BA499A" w14:textId="77777777" w:rsidR="00875257" w:rsidRPr="000B7C06" w:rsidRDefault="00875257" w:rsidP="0084747F">
            <w:pPr>
              <w:spacing w:after="60" w:line="264" w:lineRule="auto"/>
              <w:rPr>
                <w:rFonts w:cs="Times New Roman"/>
                <w:sz w:val="20"/>
                <w:szCs w:val="20"/>
                <w:lang w:val="bg-BG"/>
              </w:rPr>
            </w:pPr>
          </w:p>
          <w:p w14:paraId="23A66B72" w14:textId="77777777" w:rsidR="00875257" w:rsidRPr="000B7C06" w:rsidRDefault="00875257" w:rsidP="0084747F">
            <w:pPr>
              <w:spacing w:after="60" w:line="264" w:lineRule="auto"/>
              <w:rPr>
                <w:rFonts w:cs="Times New Roman"/>
                <w:sz w:val="20"/>
                <w:szCs w:val="20"/>
                <w:lang w:val="bg-BG"/>
              </w:rPr>
            </w:pPr>
          </w:p>
          <w:p w14:paraId="4274A75E" w14:textId="77777777" w:rsidR="00875257" w:rsidRPr="000B7C06" w:rsidRDefault="00875257" w:rsidP="0084747F">
            <w:pPr>
              <w:spacing w:after="60" w:line="264" w:lineRule="auto"/>
              <w:rPr>
                <w:rFonts w:cs="Times New Roman"/>
                <w:sz w:val="20"/>
                <w:szCs w:val="20"/>
                <w:lang w:val="bg-BG"/>
              </w:rPr>
            </w:pPr>
          </w:p>
          <w:p w14:paraId="10458869" w14:textId="77777777" w:rsidR="00875257" w:rsidRPr="000B7C06" w:rsidRDefault="00875257" w:rsidP="0084747F">
            <w:pPr>
              <w:spacing w:after="60" w:line="264" w:lineRule="auto"/>
              <w:rPr>
                <w:rFonts w:cs="Times New Roman"/>
                <w:sz w:val="20"/>
                <w:szCs w:val="20"/>
                <w:lang w:val="bg-BG"/>
              </w:rPr>
            </w:pPr>
          </w:p>
          <w:p w14:paraId="568ECDA7" w14:textId="77777777" w:rsidR="00875257" w:rsidRPr="000B7C06" w:rsidRDefault="00875257" w:rsidP="0084747F">
            <w:pPr>
              <w:spacing w:after="60" w:line="264" w:lineRule="auto"/>
              <w:rPr>
                <w:rFonts w:cs="Times New Roman"/>
                <w:sz w:val="20"/>
                <w:szCs w:val="20"/>
                <w:lang w:val="bg-BG"/>
              </w:rPr>
            </w:pPr>
          </w:p>
          <w:p w14:paraId="3F7471A2" w14:textId="77777777" w:rsidR="00875257" w:rsidRPr="000B7C06" w:rsidRDefault="00875257" w:rsidP="0084747F">
            <w:pPr>
              <w:spacing w:after="60" w:line="264" w:lineRule="auto"/>
              <w:rPr>
                <w:rFonts w:cs="Times New Roman"/>
                <w:sz w:val="20"/>
                <w:szCs w:val="20"/>
                <w:lang w:val="bg-BG"/>
              </w:rPr>
            </w:pPr>
          </w:p>
          <w:p w14:paraId="71383841" w14:textId="77777777" w:rsidR="00875257" w:rsidRPr="000B7C06" w:rsidRDefault="00875257" w:rsidP="0084747F">
            <w:pPr>
              <w:spacing w:after="60" w:line="264" w:lineRule="auto"/>
              <w:rPr>
                <w:rFonts w:cs="Times New Roman"/>
                <w:sz w:val="20"/>
                <w:szCs w:val="20"/>
                <w:lang w:val="bg-BG"/>
              </w:rPr>
            </w:pPr>
          </w:p>
          <w:p w14:paraId="14D2FEBE" w14:textId="77777777" w:rsidR="00875257" w:rsidRPr="000B7C06" w:rsidRDefault="00875257" w:rsidP="0084747F">
            <w:pPr>
              <w:spacing w:after="60" w:line="264" w:lineRule="auto"/>
              <w:rPr>
                <w:rFonts w:cs="Times New Roman"/>
                <w:sz w:val="20"/>
                <w:szCs w:val="20"/>
                <w:lang w:val="bg-BG"/>
              </w:rPr>
            </w:pPr>
          </w:p>
          <w:p w14:paraId="7D836C80" w14:textId="77777777" w:rsidR="00875257" w:rsidRPr="000B7C06" w:rsidRDefault="00875257" w:rsidP="0084747F">
            <w:pPr>
              <w:spacing w:after="60" w:line="264" w:lineRule="auto"/>
              <w:rPr>
                <w:rFonts w:cs="Times New Roman"/>
                <w:sz w:val="20"/>
                <w:szCs w:val="20"/>
                <w:lang w:val="bg-BG"/>
              </w:rPr>
            </w:pPr>
          </w:p>
          <w:p w14:paraId="35E67485" w14:textId="77777777" w:rsidR="00875257" w:rsidRPr="000B7C06" w:rsidRDefault="00875257" w:rsidP="0084747F">
            <w:pPr>
              <w:spacing w:after="60" w:line="264" w:lineRule="auto"/>
              <w:rPr>
                <w:rFonts w:cs="Times New Roman"/>
                <w:sz w:val="20"/>
                <w:szCs w:val="20"/>
                <w:lang w:val="bg-BG"/>
              </w:rPr>
            </w:pPr>
          </w:p>
          <w:p w14:paraId="6510DC45" w14:textId="77777777" w:rsidR="00875257" w:rsidRPr="000B7C06" w:rsidRDefault="00875257" w:rsidP="0084747F">
            <w:pPr>
              <w:spacing w:after="60" w:line="264" w:lineRule="auto"/>
              <w:rPr>
                <w:rFonts w:cs="Times New Roman"/>
                <w:sz w:val="20"/>
                <w:szCs w:val="20"/>
                <w:lang w:val="bg-BG"/>
              </w:rPr>
            </w:pPr>
          </w:p>
          <w:p w14:paraId="52DF279F" w14:textId="77777777" w:rsidR="00875257" w:rsidRPr="000B7C06" w:rsidRDefault="00875257" w:rsidP="0084747F">
            <w:pPr>
              <w:spacing w:after="60" w:line="264" w:lineRule="auto"/>
              <w:rPr>
                <w:rFonts w:cs="Times New Roman"/>
                <w:sz w:val="20"/>
                <w:szCs w:val="20"/>
                <w:lang w:val="bg-BG"/>
              </w:rPr>
            </w:pPr>
          </w:p>
          <w:p w14:paraId="55FFCF75" w14:textId="77777777" w:rsidR="00875257" w:rsidRPr="000B7C06" w:rsidRDefault="00875257" w:rsidP="0084747F">
            <w:pPr>
              <w:spacing w:after="60" w:line="264" w:lineRule="auto"/>
              <w:rPr>
                <w:rFonts w:cs="Times New Roman"/>
                <w:sz w:val="20"/>
                <w:szCs w:val="20"/>
                <w:lang w:val="bg-BG"/>
              </w:rPr>
            </w:pPr>
          </w:p>
          <w:p w14:paraId="51C6AD65" w14:textId="77777777" w:rsidR="00875257" w:rsidRPr="000B7C06" w:rsidRDefault="00875257" w:rsidP="0084747F">
            <w:pPr>
              <w:spacing w:after="60" w:line="264" w:lineRule="auto"/>
              <w:rPr>
                <w:rFonts w:cs="Times New Roman"/>
                <w:sz w:val="20"/>
                <w:szCs w:val="20"/>
                <w:lang w:val="bg-BG"/>
              </w:rPr>
            </w:pPr>
          </w:p>
          <w:p w14:paraId="4DF6D920" w14:textId="77777777" w:rsidR="00875257" w:rsidRPr="000B7C06" w:rsidRDefault="00875257" w:rsidP="0084747F">
            <w:pPr>
              <w:spacing w:after="60" w:line="264" w:lineRule="auto"/>
              <w:rPr>
                <w:rFonts w:cs="Times New Roman"/>
                <w:sz w:val="20"/>
                <w:szCs w:val="20"/>
                <w:lang w:val="bg-BG"/>
              </w:rPr>
            </w:pPr>
          </w:p>
          <w:p w14:paraId="11F48DE0" w14:textId="77777777" w:rsidR="00875257" w:rsidRPr="000B7C06" w:rsidRDefault="00875257" w:rsidP="0084747F">
            <w:pPr>
              <w:spacing w:after="60" w:line="264" w:lineRule="auto"/>
              <w:rPr>
                <w:rFonts w:cs="Times New Roman"/>
                <w:sz w:val="20"/>
                <w:szCs w:val="20"/>
                <w:lang w:val="bg-BG"/>
              </w:rPr>
            </w:pPr>
          </w:p>
          <w:p w14:paraId="6DF37768" w14:textId="77777777" w:rsidR="00875257" w:rsidRPr="000B7C06" w:rsidRDefault="00875257" w:rsidP="0084747F">
            <w:pPr>
              <w:spacing w:after="60" w:line="264" w:lineRule="auto"/>
              <w:rPr>
                <w:rFonts w:cs="Times New Roman"/>
                <w:sz w:val="20"/>
                <w:szCs w:val="20"/>
                <w:lang w:val="bg-BG"/>
              </w:rPr>
            </w:pPr>
          </w:p>
          <w:p w14:paraId="3038B0FE" w14:textId="77777777" w:rsidR="00875257" w:rsidRPr="000B7C06" w:rsidRDefault="00875257" w:rsidP="0084747F">
            <w:pPr>
              <w:spacing w:after="60" w:line="264" w:lineRule="auto"/>
              <w:rPr>
                <w:rFonts w:cs="Times New Roman"/>
                <w:sz w:val="20"/>
                <w:szCs w:val="20"/>
                <w:lang w:val="bg-BG"/>
              </w:rPr>
            </w:pPr>
          </w:p>
          <w:p w14:paraId="09EABC72" w14:textId="77777777" w:rsidR="00875257" w:rsidRPr="000B7C06" w:rsidRDefault="00875257" w:rsidP="0084747F">
            <w:pPr>
              <w:spacing w:after="60" w:line="264" w:lineRule="auto"/>
              <w:rPr>
                <w:rFonts w:cs="Times New Roman"/>
                <w:sz w:val="20"/>
                <w:szCs w:val="20"/>
                <w:lang w:val="bg-BG"/>
              </w:rPr>
            </w:pPr>
          </w:p>
          <w:p w14:paraId="0D4C0F6C" w14:textId="77777777" w:rsidR="00875257" w:rsidRPr="000B7C06" w:rsidRDefault="00875257" w:rsidP="0084747F">
            <w:pPr>
              <w:spacing w:after="60" w:line="264" w:lineRule="auto"/>
              <w:rPr>
                <w:rFonts w:cs="Times New Roman"/>
                <w:sz w:val="20"/>
                <w:szCs w:val="20"/>
                <w:lang w:val="bg-BG"/>
              </w:rPr>
            </w:pPr>
          </w:p>
          <w:p w14:paraId="39F869F1" w14:textId="77777777" w:rsidR="00875257" w:rsidRPr="000B7C06" w:rsidRDefault="00875257" w:rsidP="0084747F">
            <w:pPr>
              <w:spacing w:after="60" w:line="264" w:lineRule="auto"/>
              <w:rPr>
                <w:rFonts w:cs="Times New Roman"/>
                <w:sz w:val="20"/>
                <w:szCs w:val="20"/>
                <w:lang w:val="bg-BG"/>
              </w:rPr>
            </w:pPr>
          </w:p>
          <w:p w14:paraId="0A0515E0" w14:textId="77777777" w:rsidR="00875257" w:rsidRPr="000B7C06" w:rsidRDefault="00875257" w:rsidP="0084747F">
            <w:pPr>
              <w:spacing w:after="60" w:line="264" w:lineRule="auto"/>
              <w:rPr>
                <w:rFonts w:cs="Times New Roman"/>
                <w:sz w:val="20"/>
                <w:szCs w:val="20"/>
                <w:lang w:val="bg-BG"/>
              </w:rPr>
            </w:pPr>
          </w:p>
          <w:p w14:paraId="0024E541" w14:textId="77777777" w:rsidR="00DC33F5" w:rsidRPr="000B7C06" w:rsidRDefault="00DC33F5"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227BAEE7" w14:textId="77777777" w:rsidR="00DC33F5" w:rsidRPr="000B7C06" w:rsidRDefault="00DC33F5" w:rsidP="0084747F">
            <w:pPr>
              <w:spacing w:after="60" w:line="264" w:lineRule="auto"/>
              <w:rPr>
                <w:rFonts w:cs="Times New Roman"/>
                <w:sz w:val="20"/>
                <w:szCs w:val="20"/>
                <w:lang w:val="bg-BG"/>
              </w:rPr>
            </w:pPr>
          </w:p>
          <w:p w14:paraId="7DF1A7E9" w14:textId="77777777" w:rsidR="00DC33F5" w:rsidRPr="000B7C06" w:rsidRDefault="00DC33F5" w:rsidP="0084747F">
            <w:pPr>
              <w:spacing w:after="60" w:line="264" w:lineRule="auto"/>
              <w:rPr>
                <w:rFonts w:cs="Times New Roman"/>
                <w:sz w:val="20"/>
                <w:szCs w:val="20"/>
                <w:lang w:val="bg-BG"/>
              </w:rPr>
            </w:pPr>
          </w:p>
          <w:p w14:paraId="3AC3959F" w14:textId="77777777" w:rsidR="00DC33F5" w:rsidRPr="000B7C06" w:rsidRDefault="00DC33F5" w:rsidP="0084747F">
            <w:pPr>
              <w:spacing w:after="60" w:line="264" w:lineRule="auto"/>
              <w:rPr>
                <w:rFonts w:cs="Times New Roman"/>
                <w:sz w:val="20"/>
                <w:szCs w:val="20"/>
                <w:lang w:val="bg-BG"/>
              </w:rPr>
            </w:pPr>
          </w:p>
          <w:p w14:paraId="7C4FD7E3" w14:textId="77777777" w:rsidR="00DC33F5" w:rsidRPr="000B7C06" w:rsidRDefault="00DC33F5" w:rsidP="0084747F">
            <w:pPr>
              <w:spacing w:after="60" w:line="264" w:lineRule="auto"/>
              <w:rPr>
                <w:rFonts w:cs="Times New Roman"/>
                <w:sz w:val="20"/>
                <w:szCs w:val="20"/>
                <w:lang w:val="bg-BG"/>
              </w:rPr>
            </w:pPr>
          </w:p>
          <w:p w14:paraId="370F2D7E" w14:textId="77777777" w:rsidR="00DC33F5" w:rsidRPr="000B7C06" w:rsidRDefault="00DC33F5"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5C51161C" w14:textId="77777777" w:rsidR="00372B27" w:rsidRPr="000B7C06" w:rsidRDefault="00372B27" w:rsidP="0084747F">
            <w:pPr>
              <w:spacing w:after="60" w:line="264" w:lineRule="auto"/>
              <w:rPr>
                <w:rFonts w:cs="Times New Roman"/>
                <w:sz w:val="20"/>
                <w:szCs w:val="20"/>
                <w:lang w:val="bg-BG"/>
              </w:rPr>
            </w:pPr>
          </w:p>
          <w:p w14:paraId="2DCA1A1F" w14:textId="77777777" w:rsidR="00372B27" w:rsidRPr="000B7C06" w:rsidRDefault="00372B27" w:rsidP="0084747F">
            <w:pPr>
              <w:spacing w:after="60" w:line="264" w:lineRule="auto"/>
              <w:rPr>
                <w:rFonts w:cs="Times New Roman"/>
                <w:sz w:val="20"/>
                <w:szCs w:val="20"/>
                <w:lang w:val="bg-BG"/>
              </w:rPr>
            </w:pPr>
          </w:p>
          <w:p w14:paraId="3D58EAF5"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173A8EBA" w14:textId="77777777" w:rsidR="00372B27" w:rsidRPr="000B7C06" w:rsidRDefault="00372B27" w:rsidP="0084747F">
            <w:pPr>
              <w:spacing w:after="60" w:line="264" w:lineRule="auto"/>
              <w:rPr>
                <w:rFonts w:cs="Times New Roman"/>
                <w:sz w:val="20"/>
                <w:szCs w:val="20"/>
                <w:lang w:val="bg-BG"/>
              </w:rPr>
            </w:pPr>
          </w:p>
          <w:p w14:paraId="6742907B"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7FAD9EAA" w14:textId="77777777" w:rsidR="00372B27" w:rsidRPr="000B7C06" w:rsidRDefault="00372B27" w:rsidP="0084747F">
            <w:pPr>
              <w:spacing w:after="60" w:line="264" w:lineRule="auto"/>
              <w:rPr>
                <w:rFonts w:cs="Times New Roman"/>
                <w:sz w:val="20"/>
                <w:szCs w:val="20"/>
                <w:lang w:val="bg-BG"/>
              </w:rPr>
            </w:pPr>
          </w:p>
          <w:p w14:paraId="42ACD3BF" w14:textId="77777777" w:rsidR="00875257" w:rsidRPr="000B7C06" w:rsidRDefault="00875257" w:rsidP="0084747F">
            <w:pPr>
              <w:spacing w:after="60" w:line="264" w:lineRule="auto"/>
              <w:rPr>
                <w:rFonts w:cs="Times New Roman"/>
                <w:sz w:val="20"/>
                <w:szCs w:val="20"/>
                <w:lang w:val="bg-BG"/>
              </w:rPr>
            </w:pPr>
          </w:p>
          <w:p w14:paraId="7B44271E"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009D96D9" w14:textId="77777777" w:rsidR="00875257" w:rsidRPr="000B7C06" w:rsidRDefault="00875257" w:rsidP="0084747F">
            <w:pPr>
              <w:spacing w:after="60" w:line="264" w:lineRule="auto"/>
              <w:rPr>
                <w:rFonts w:cs="Times New Roman"/>
                <w:sz w:val="20"/>
                <w:szCs w:val="20"/>
                <w:lang w:val="bg-BG"/>
              </w:rPr>
            </w:pPr>
          </w:p>
          <w:p w14:paraId="6FB2C725" w14:textId="77777777" w:rsidR="00CE1F67" w:rsidRDefault="00CE1F67" w:rsidP="00CE1F67">
            <w:pPr>
              <w:spacing w:after="60" w:line="264" w:lineRule="auto"/>
              <w:ind w:firstLine="0"/>
              <w:rPr>
                <w:rFonts w:cs="Times New Roman"/>
                <w:sz w:val="20"/>
                <w:szCs w:val="20"/>
                <w:lang w:val="bg-BG"/>
              </w:rPr>
            </w:pPr>
          </w:p>
          <w:p w14:paraId="38B0BA81" w14:textId="44B505F8"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6EEFBF21" w14:textId="77777777" w:rsidR="00372B27" w:rsidRPr="000B7C06" w:rsidRDefault="00372B27" w:rsidP="0084747F">
            <w:pPr>
              <w:spacing w:after="60" w:line="264" w:lineRule="auto"/>
              <w:rPr>
                <w:rFonts w:cs="Times New Roman"/>
                <w:b/>
                <w:bCs/>
                <w:sz w:val="20"/>
                <w:szCs w:val="20"/>
                <w:lang w:val="bg-BG"/>
              </w:rPr>
            </w:pPr>
          </w:p>
          <w:p w14:paraId="7E84393D"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3194DADD" w14:textId="77777777" w:rsidR="00372B27" w:rsidRPr="000B7C06" w:rsidRDefault="00372B27" w:rsidP="0084747F">
            <w:pPr>
              <w:spacing w:after="60" w:line="264" w:lineRule="auto"/>
              <w:rPr>
                <w:rFonts w:cs="Times New Roman"/>
                <w:sz w:val="20"/>
                <w:szCs w:val="20"/>
                <w:lang w:val="bg-BG"/>
              </w:rPr>
            </w:pPr>
          </w:p>
          <w:p w14:paraId="369D13F2" w14:textId="77777777" w:rsidR="00372B27" w:rsidRPr="000B7C06" w:rsidRDefault="00372B27" w:rsidP="0084747F">
            <w:pPr>
              <w:spacing w:after="60" w:line="264" w:lineRule="auto"/>
              <w:rPr>
                <w:rFonts w:cs="Times New Roman"/>
                <w:sz w:val="20"/>
                <w:szCs w:val="20"/>
                <w:lang w:val="bg-BG"/>
              </w:rPr>
            </w:pPr>
          </w:p>
          <w:p w14:paraId="43130594" w14:textId="77777777" w:rsidR="00372B27" w:rsidRPr="000B7C06" w:rsidRDefault="00372B27" w:rsidP="0084747F">
            <w:pPr>
              <w:spacing w:after="60" w:line="264" w:lineRule="auto"/>
              <w:rPr>
                <w:rFonts w:cs="Times New Roman"/>
                <w:sz w:val="20"/>
                <w:szCs w:val="20"/>
                <w:lang w:val="bg-BG"/>
              </w:rPr>
            </w:pPr>
          </w:p>
          <w:p w14:paraId="4BC9D05D" w14:textId="77777777" w:rsidR="00372B27" w:rsidRPr="000B7C06" w:rsidRDefault="00372B27" w:rsidP="0084747F">
            <w:pPr>
              <w:spacing w:after="60" w:line="264" w:lineRule="auto"/>
              <w:rPr>
                <w:rFonts w:cs="Times New Roman"/>
                <w:sz w:val="20"/>
                <w:szCs w:val="20"/>
                <w:lang w:val="bg-BG"/>
              </w:rPr>
            </w:pPr>
          </w:p>
          <w:p w14:paraId="184B5236" w14:textId="77777777" w:rsidR="00372B27" w:rsidRPr="000B7C06" w:rsidRDefault="00372B27" w:rsidP="0084747F">
            <w:pPr>
              <w:spacing w:after="60" w:line="264" w:lineRule="auto"/>
              <w:rPr>
                <w:rFonts w:cs="Times New Roman"/>
                <w:sz w:val="20"/>
                <w:szCs w:val="20"/>
                <w:lang w:val="bg-BG"/>
              </w:rPr>
            </w:pPr>
          </w:p>
          <w:p w14:paraId="1C9D8D9A" w14:textId="77777777" w:rsidR="00372B27" w:rsidRPr="000B7C06" w:rsidRDefault="00372B27" w:rsidP="0084747F">
            <w:pPr>
              <w:spacing w:after="60" w:line="264" w:lineRule="auto"/>
              <w:rPr>
                <w:rFonts w:cs="Times New Roman"/>
                <w:sz w:val="20"/>
                <w:szCs w:val="20"/>
                <w:lang w:val="bg-BG"/>
              </w:rPr>
            </w:pPr>
          </w:p>
          <w:p w14:paraId="634E1852" w14:textId="77777777" w:rsidR="00372B27" w:rsidRPr="000B7C06" w:rsidRDefault="00372B27" w:rsidP="0084747F">
            <w:pPr>
              <w:spacing w:after="60" w:line="264" w:lineRule="auto"/>
              <w:rPr>
                <w:rFonts w:cs="Times New Roman"/>
                <w:sz w:val="20"/>
                <w:szCs w:val="20"/>
                <w:lang w:val="bg-BG"/>
              </w:rPr>
            </w:pPr>
          </w:p>
          <w:p w14:paraId="572713CB" w14:textId="77777777" w:rsidR="00CE1F67" w:rsidRDefault="00CE1F67" w:rsidP="00CE1F67">
            <w:pPr>
              <w:spacing w:after="60" w:line="264" w:lineRule="auto"/>
              <w:ind w:firstLine="0"/>
              <w:rPr>
                <w:rFonts w:cs="Times New Roman"/>
                <w:sz w:val="20"/>
                <w:szCs w:val="20"/>
                <w:lang w:val="bg-BG"/>
              </w:rPr>
            </w:pPr>
          </w:p>
          <w:p w14:paraId="5B5256B4" w14:textId="77777777" w:rsidR="00CE1F67" w:rsidRDefault="00CE1F67" w:rsidP="00CE1F67">
            <w:pPr>
              <w:spacing w:after="60" w:line="264" w:lineRule="auto"/>
              <w:ind w:firstLine="0"/>
              <w:rPr>
                <w:rFonts w:cs="Times New Roman"/>
                <w:sz w:val="20"/>
                <w:szCs w:val="20"/>
                <w:lang w:val="bg-BG"/>
              </w:rPr>
            </w:pPr>
          </w:p>
          <w:p w14:paraId="4607F7A7" w14:textId="112F36B4"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3C238E64"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3B1A7994" w14:textId="77777777" w:rsidR="00875257" w:rsidRPr="000B7C06" w:rsidRDefault="00875257" w:rsidP="0084747F">
            <w:pPr>
              <w:spacing w:after="60" w:line="264" w:lineRule="auto"/>
              <w:rPr>
                <w:rFonts w:cs="Times New Roman"/>
                <w:sz w:val="20"/>
                <w:szCs w:val="20"/>
                <w:lang w:val="bg-BG"/>
              </w:rPr>
            </w:pPr>
          </w:p>
          <w:p w14:paraId="01B70826" w14:textId="77777777" w:rsidR="00875257" w:rsidRPr="000B7C06" w:rsidRDefault="0087525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65C04410" w14:textId="77777777" w:rsidR="00372B27" w:rsidRPr="000B7C06" w:rsidRDefault="00372B27" w:rsidP="0084747F">
            <w:pPr>
              <w:spacing w:after="60" w:line="264" w:lineRule="auto"/>
              <w:rPr>
                <w:rFonts w:cs="Times New Roman"/>
                <w:sz w:val="20"/>
                <w:szCs w:val="20"/>
                <w:lang w:val="bg-BG"/>
              </w:rPr>
            </w:pPr>
          </w:p>
          <w:p w14:paraId="1C0004BD" w14:textId="77777777" w:rsidR="00372B27" w:rsidRPr="000B7C06" w:rsidRDefault="00372B27" w:rsidP="0084747F">
            <w:pPr>
              <w:spacing w:after="60" w:line="264" w:lineRule="auto"/>
              <w:rPr>
                <w:rFonts w:cs="Times New Roman"/>
                <w:sz w:val="20"/>
                <w:szCs w:val="20"/>
                <w:lang w:val="bg-BG"/>
              </w:rPr>
            </w:pPr>
          </w:p>
          <w:p w14:paraId="47C298DB" w14:textId="77777777" w:rsidR="00372B27" w:rsidRPr="000B7C06" w:rsidRDefault="00372B27" w:rsidP="0084747F">
            <w:pPr>
              <w:spacing w:after="60" w:line="264" w:lineRule="auto"/>
              <w:rPr>
                <w:rFonts w:cs="Times New Roman"/>
                <w:sz w:val="20"/>
                <w:szCs w:val="20"/>
                <w:lang w:val="bg-BG"/>
              </w:rPr>
            </w:pPr>
          </w:p>
          <w:p w14:paraId="0F6EED5E" w14:textId="77777777" w:rsidR="00372B27" w:rsidRPr="000B7C06" w:rsidRDefault="00372B27" w:rsidP="0084747F">
            <w:pPr>
              <w:spacing w:after="60" w:line="264" w:lineRule="auto"/>
              <w:rPr>
                <w:rFonts w:cs="Times New Roman"/>
                <w:sz w:val="20"/>
                <w:szCs w:val="20"/>
                <w:lang w:val="bg-BG"/>
              </w:rPr>
            </w:pPr>
          </w:p>
          <w:p w14:paraId="2D94E087" w14:textId="77777777" w:rsidR="00372B27" w:rsidRPr="000B7C06" w:rsidRDefault="00372B27" w:rsidP="0084747F">
            <w:pPr>
              <w:spacing w:after="60" w:line="264" w:lineRule="auto"/>
              <w:rPr>
                <w:rFonts w:cs="Times New Roman"/>
                <w:sz w:val="20"/>
                <w:szCs w:val="20"/>
                <w:lang w:val="bg-BG"/>
              </w:rPr>
            </w:pPr>
          </w:p>
          <w:p w14:paraId="4376696B" w14:textId="77777777" w:rsidR="00372B27" w:rsidRPr="000B7C06" w:rsidRDefault="00372B27" w:rsidP="0084747F">
            <w:pPr>
              <w:spacing w:after="60" w:line="264" w:lineRule="auto"/>
              <w:rPr>
                <w:rFonts w:cs="Times New Roman"/>
                <w:sz w:val="20"/>
                <w:szCs w:val="20"/>
                <w:lang w:val="bg-BG"/>
              </w:rPr>
            </w:pPr>
          </w:p>
          <w:p w14:paraId="30B70790" w14:textId="77777777" w:rsidR="00372B27" w:rsidRPr="000B7C06" w:rsidRDefault="00372B27" w:rsidP="0084747F">
            <w:pPr>
              <w:spacing w:after="60" w:line="264" w:lineRule="auto"/>
              <w:rPr>
                <w:rFonts w:cs="Times New Roman"/>
                <w:sz w:val="20"/>
                <w:szCs w:val="20"/>
                <w:lang w:val="bg-BG"/>
              </w:rPr>
            </w:pPr>
          </w:p>
          <w:p w14:paraId="78A9E30B" w14:textId="77777777" w:rsidR="00372B27" w:rsidRPr="000B7C06" w:rsidRDefault="00372B27" w:rsidP="0084747F">
            <w:pPr>
              <w:spacing w:after="60" w:line="264" w:lineRule="auto"/>
              <w:rPr>
                <w:rFonts w:cs="Times New Roman"/>
                <w:sz w:val="20"/>
                <w:szCs w:val="20"/>
                <w:lang w:val="bg-BG"/>
              </w:rPr>
            </w:pPr>
          </w:p>
          <w:p w14:paraId="5509804D" w14:textId="77777777" w:rsidR="00CE1F67" w:rsidRDefault="00CE1F67" w:rsidP="00CE1F67">
            <w:pPr>
              <w:spacing w:after="60" w:line="264" w:lineRule="auto"/>
              <w:ind w:firstLine="0"/>
              <w:rPr>
                <w:rFonts w:cs="Times New Roman"/>
                <w:sz w:val="20"/>
                <w:szCs w:val="20"/>
                <w:lang w:val="bg-BG"/>
              </w:rPr>
            </w:pPr>
          </w:p>
          <w:p w14:paraId="58D7DDEF" w14:textId="77777777" w:rsidR="00CE1F67" w:rsidRDefault="00CE1F67" w:rsidP="00CE1F67">
            <w:pPr>
              <w:spacing w:after="60" w:line="264" w:lineRule="auto"/>
              <w:ind w:firstLine="0"/>
              <w:rPr>
                <w:rFonts w:cs="Times New Roman"/>
                <w:sz w:val="20"/>
                <w:szCs w:val="20"/>
                <w:lang w:val="bg-BG"/>
              </w:rPr>
            </w:pPr>
          </w:p>
          <w:p w14:paraId="37F7AF75" w14:textId="77777777" w:rsidR="00CE1F67" w:rsidRDefault="00CE1F67" w:rsidP="00CE1F67">
            <w:pPr>
              <w:spacing w:after="60" w:line="264" w:lineRule="auto"/>
              <w:ind w:firstLine="0"/>
              <w:rPr>
                <w:rFonts w:cs="Times New Roman"/>
                <w:sz w:val="20"/>
                <w:szCs w:val="20"/>
                <w:lang w:val="bg-BG"/>
              </w:rPr>
            </w:pPr>
          </w:p>
          <w:p w14:paraId="31A5A493" w14:textId="6C69F562"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3AA778EA" w14:textId="77777777" w:rsidR="00372B27" w:rsidRPr="000B7C06" w:rsidRDefault="00372B27" w:rsidP="0084747F">
            <w:pPr>
              <w:spacing w:after="60" w:line="264" w:lineRule="auto"/>
              <w:rPr>
                <w:rFonts w:cs="Times New Roman"/>
                <w:sz w:val="20"/>
                <w:szCs w:val="20"/>
                <w:lang w:val="bg-BG"/>
              </w:rPr>
            </w:pPr>
          </w:p>
          <w:p w14:paraId="7AC04FBE" w14:textId="77777777"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lastRenderedPageBreak/>
              <w:t>Бележката е съобразена при разработването на  ДЕО</w:t>
            </w:r>
          </w:p>
          <w:p w14:paraId="3EC03165" w14:textId="77777777" w:rsidR="00372B27" w:rsidRPr="000B7C06" w:rsidRDefault="00372B27" w:rsidP="0084747F">
            <w:pPr>
              <w:spacing w:after="60" w:line="264" w:lineRule="auto"/>
              <w:rPr>
                <w:rFonts w:cs="Times New Roman"/>
                <w:sz w:val="20"/>
                <w:szCs w:val="20"/>
                <w:lang w:val="bg-BG"/>
              </w:rPr>
            </w:pPr>
          </w:p>
          <w:p w14:paraId="6E33D5D1" w14:textId="77777777" w:rsidR="00372B27" w:rsidRPr="000B7C06" w:rsidRDefault="00372B27" w:rsidP="0084747F">
            <w:pPr>
              <w:spacing w:after="60" w:line="264" w:lineRule="auto"/>
              <w:rPr>
                <w:rFonts w:cs="Times New Roman"/>
                <w:sz w:val="20"/>
                <w:szCs w:val="20"/>
                <w:lang w:val="bg-BG"/>
              </w:rPr>
            </w:pPr>
          </w:p>
          <w:p w14:paraId="559EA2DE" w14:textId="77777777" w:rsidR="00372B27" w:rsidRPr="000B7C06" w:rsidRDefault="00372B27" w:rsidP="0084747F">
            <w:pPr>
              <w:spacing w:after="60" w:line="264" w:lineRule="auto"/>
              <w:rPr>
                <w:rFonts w:cs="Times New Roman"/>
                <w:sz w:val="20"/>
                <w:szCs w:val="20"/>
                <w:lang w:val="bg-BG"/>
              </w:rPr>
            </w:pPr>
          </w:p>
          <w:p w14:paraId="41DB06E0" w14:textId="77777777" w:rsidR="00372B27" w:rsidRPr="000B7C06" w:rsidRDefault="00372B27" w:rsidP="0084747F">
            <w:pPr>
              <w:spacing w:after="60" w:line="264" w:lineRule="auto"/>
              <w:rPr>
                <w:rFonts w:cs="Times New Roman"/>
                <w:sz w:val="20"/>
                <w:szCs w:val="20"/>
                <w:lang w:val="bg-BG"/>
              </w:rPr>
            </w:pPr>
          </w:p>
          <w:p w14:paraId="0AA38C41" w14:textId="77777777" w:rsidR="00372B27" w:rsidRPr="000B7C06" w:rsidRDefault="00372B27" w:rsidP="0084747F">
            <w:pPr>
              <w:spacing w:after="60" w:line="264" w:lineRule="auto"/>
              <w:rPr>
                <w:rFonts w:cs="Times New Roman"/>
                <w:sz w:val="20"/>
                <w:szCs w:val="20"/>
                <w:lang w:val="bg-BG"/>
              </w:rPr>
            </w:pPr>
          </w:p>
          <w:p w14:paraId="5397E274" w14:textId="77777777" w:rsidR="00CE1F67" w:rsidRDefault="00CE1F67" w:rsidP="00CE1F67">
            <w:pPr>
              <w:spacing w:after="60" w:line="264" w:lineRule="auto"/>
              <w:ind w:firstLine="0"/>
              <w:rPr>
                <w:rFonts w:cs="Times New Roman"/>
                <w:sz w:val="20"/>
                <w:szCs w:val="20"/>
                <w:lang w:val="bg-BG"/>
              </w:rPr>
            </w:pPr>
          </w:p>
          <w:p w14:paraId="566BB470" w14:textId="77777777" w:rsidR="00CE1F67" w:rsidRDefault="00CE1F67" w:rsidP="00CE1F67">
            <w:pPr>
              <w:spacing w:after="60" w:line="264" w:lineRule="auto"/>
              <w:ind w:firstLine="0"/>
              <w:rPr>
                <w:rFonts w:cs="Times New Roman"/>
                <w:sz w:val="20"/>
                <w:szCs w:val="20"/>
                <w:lang w:val="bg-BG"/>
              </w:rPr>
            </w:pPr>
          </w:p>
          <w:p w14:paraId="06A16C7E" w14:textId="77777777" w:rsidR="00CE1F67" w:rsidRDefault="00CE1F67" w:rsidP="00CE1F67">
            <w:pPr>
              <w:spacing w:after="60" w:line="264" w:lineRule="auto"/>
              <w:ind w:firstLine="0"/>
              <w:rPr>
                <w:rFonts w:cs="Times New Roman"/>
                <w:sz w:val="20"/>
                <w:szCs w:val="20"/>
                <w:lang w:val="bg-BG"/>
              </w:rPr>
            </w:pPr>
          </w:p>
          <w:p w14:paraId="1C244A8B" w14:textId="77777777" w:rsidR="00CE1F67" w:rsidRDefault="00CE1F67" w:rsidP="00CE1F67">
            <w:pPr>
              <w:spacing w:after="60" w:line="264" w:lineRule="auto"/>
              <w:ind w:firstLine="0"/>
              <w:rPr>
                <w:rFonts w:cs="Times New Roman"/>
                <w:sz w:val="20"/>
                <w:szCs w:val="20"/>
                <w:lang w:val="bg-BG"/>
              </w:rPr>
            </w:pPr>
          </w:p>
          <w:p w14:paraId="0CA3A370" w14:textId="77777777" w:rsidR="00CE1F67" w:rsidRDefault="00CE1F67" w:rsidP="00CE1F67">
            <w:pPr>
              <w:spacing w:after="60" w:line="264" w:lineRule="auto"/>
              <w:ind w:firstLine="0"/>
              <w:rPr>
                <w:rFonts w:cs="Times New Roman"/>
                <w:sz w:val="20"/>
                <w:szCs w:val="20"/>
                <w:lang w:val="bg-BG"/>
              </w:rPr>
            </w:pPr>
          </w:p>
          <w:p w14:paraId="2FF74D6E" w14:textId="77777777" w:rsidR="00CE1F67" w:rsidRDefault="00CE1F67" w:rsidP="00CE1F67">
            <w:pPr>
              <w:spacing w:after="60" w:line="264" w:lineRule="auto"/>
              <w:ind w:firstLine="0"/>
              <w:rPr>
                <w:rFonts w:cs="Times New Roman"/>
                <w:sz w:val="20"/>
                <w:szCs w:val="20"/>
                <w:lang w:val="bg-BG"/>
              </w:rPr>
            </w:pPr>
          </w:p>
          <w:p w14:paraId="7B6B0EB3" w14:textId="77777777" w:rsidR="00CE1F67" w:rsidRDefault="00CE1F67" w:rsidP="00CE1F67">
            <w:pPr>
              <w:spacing w:after="60" w:line="264" w:lineRule="auto"/>
              <w:ind w:firstLine="0"/>
              <w:rPr>
                <w:rFonts w:cs="Times New Roman"/>
                <w:sz w:val="20"/>
                <w:szCs w:val="20"/>
                <w:lang w:val="bg-BG"/>
              </w:rPr>
            </w:pPr>
          </w:p>
          <w:p w14:paraId="424F24AF" w14:textId="77777777" w:rsidR="00CE1F67" w:rsidRDefault="00CE1F67" w:rsidP="00CE1F67">
            <w:pPr>
              <w:spacing w:after="60" w:line="264" w:lineRule="auto"/>
              <w:ind w:firstLine="0"/>
              <w:rPr>
                <w:rFonts w:cs="Times New Roman"/>
                <w:sz w:val="20"/>
                <w:szCs w:val="20"/>
                <w:lang w:val="bg-BG"/>
              </w:rPr>
            </w:pPr>
          </w:p>
          <w:p w14:paraId="4318B001" w14:textId="551FDC31"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2524DD66" w14:textId="77777777" w:rsidR="004E167A" w:rsidRPr="000B7C06" w:rsidRDefault="004E167A" w:rsidP="0084747F">
            <w:pPr>
              <w:spacing w:after="60" w:line="264" w:lineRule="auto"/>
              <w:rPr>
                <w:rFonts w:cs="Times New Roman"/>
                <w:sz w:val="20"/>
                <w:szCs w:val="20"/>
                <w:lang w:val="bg-BG"/>
              </w:rPr>
            </w:pPr>
          </w:p>
          <w:p w14:paraId="124E4D07" w14:textId="77777777" w:rsidR="00372B27" w:rsidRPr="000B7C06" w:rsidRDefault="00372B27" w:rsidP="0084747F">
            <w:pPr>
              <w:spacing w:after="60" w:line="264" w:lineRule="auto"/>
              <w:rPr>
                <w:rFonts w:cs="Times New Roman"/>
                <w:sz w:val="20"/>
                <w:szCs w:val="20"/>
                <w:lang w:val="bg-BG"/>
              </w:rPr>
            </w:pPr>
          </w:p>
          <w:p w14:paraId="60EDB725" w14:textId="77777777" w:rsidR="00372B27" w:rsidRPr="000B7C06" w:rsidRDefault="00372B27" w:rsidP="0084747F">
            <w:pPr>
              <w:spacing w:after="60" w:line="264" w:lineRule="auto"/>
              <w:rPr>
                <w:rFonts w:cs="Times New Roman"/>
                <w:sz w:val="20"/>
                <w:szCs w:val="20"/>
                <w:lang w:val="bg-BG"/>
              </w:rPr>
            </w:pPr>
          </w:p>
          <w:p w14:paraId="1A97E9B9" w14:textId="77777777" w:rsidR="00372B27" w:rsidRPr="000B7C06" w:rsidRDefault="00372B27" w:rsidP="0084747F">
            <w:pPr>
              <w:spacing w:after="60" w:line="264" w:lineRule="auto"/>
              <w:rPr>
                <w:rFonts w:cs="Times New Roman"/>
                <w:sz w:val="20"/>
                <w:szCs w:val="20"/>
                <w:lang w:val="bg-BG"/>
              </w:rPr>
            </w:pPr>
          </w:p>
          <w:p w14:paraId="50EE2B88" w14:textId="77777777" w:rsidR="00372B27" w:rsidRPr="000B7C06" w:rsidRDefault="00372B27" w:rsidP="0084747F">
            <w:pPr>
              <w:spacing w:after="60" w:line="264" w:lineRule="auto"/>
              <w:rPr>
                <w:rFonts w:cs="Times New Roman"/>
                <w:sz w:val="20"/>
                <w:szCs w:val="20"/>
                <w:lang w:val="bg-BG"/>
              </w:rPr>
            </w:pPr>
          </w:p>
          <w:p w14:paraId="5C08EBA1" w14:textId="77777777" w:rsidR="00372B27" w:rsidRPr="000B7C06" w:rsidRDefault="00372B27" w:rsidP="0084747F">
            <w:pPr>
              <w:spacing w:after="60" w:line="264" w:lineRule="auto"/>
              <w:rPr>
                <w:rFonts w:cs="Times New Roman"/>
                <w:sz w:val="20"/>
                <w:szCs w:val="20"/>
                <w:lang w:val="bg-BG"/>
              </w:rPr>
            </w:pPr>
          </w:p>
          <w:p w14:paraId="5D44568E" w14:textId="77777777" w:rsidR="00372B27" w:rsidRPr="000B7C06" w:rsidRDefault="00372B27" w:rsidP="0084747F">
            <w:pPr>
              <w:spacing w:after="60" w:line="264" w:lineRule="auto"/>
              <w:rPr>
                <w:rFonts w:cs="Times New Roman"/>
                <w:sz w:val="20"/>
                <w:szCs w:val="20"/>
                <w:lang w:val="bg-BG"/>
              </w:rPr>
            </w:pPr>
          </w:p>
          <w:p w14:paraId="0BCE95E8" w14:textId="77777777" w:rsidR="00CE1F67" w:rsidRDefault="00CE1F67" w:rsidP="004E167A">
            <w:pPr>
              <w:spacing w:after="60" w:line="264" w:lineRule="auto"/>
              <w:rPr>
                <w:rFonts w:cs="Times New Roman"/>
                <w:sz w:val="20"/>
                <w:szCs w:val="20"/>
                <w:lang w:val="bg-BG"/>
              </w:rPr>
            </w:pPr>
          </w:p>
          <w:p w14:paraId="7CA7B7BD" w14:textId="77777777" w:rsidR="00CE1F67" w:rsidRDefault="00CE1F67" w:rsidP="004E167A">
            <w:pPr>
              <w:spacing w:after="60" w:line="264" w:lineRule="auto"/>
              <w:rPr>
                <w:rFonts w:cs="Times New Roman"/>
                <w:sz w:val="20"/>
                <w:szCs w:val="20"/>
                <w:lang w:val="bg-BG"/>
              </w:rPr>
            </w:pPr>
          </w:p>
          <w:p w14:paraId="570DCE95" w14:textId="77777777" w:rsidR="00CE1F67" w:rsidRDefault="00CE1F67" w:rsidP="004E167A">
            <w:pPr>
              <w:spacing w:after="60" w:line="264" w:lineRule="auto"/>
              <w:rPr>
                <w:rFonts w:cs="Times New Roman"/>
                <w:sz w:val="20"/>
                <w:szCs w:val="20"/>
                <w:lang w:val="bg-BG"/>
              </w:rPr>
            </w:pPr>
          </w:p>
          <w:p w14:paraId="21B961FA" w14:textId="47BB1487"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5FF065DF" w14:textId="77777777" w:rsidR="00372B27" w:rsidRPr="000B7C06" w:rsidRDefault="00372B27" w:rsidP="0084747F">
            <w:pPr>
              <w:spacing w:after="60" w:line="264" w:lineRule="auto"/>
              <w:rPr>
                <w:rFonts w:cs="Times New Roman"/>
                <w:sz w:val="20"/>
                <w:szCs w:val="20"/>
                <w:lang w:val="bg-BG"/>
              </w:rPr>
            </w:pPr>
          </w:p>
          <w:p w14:paraId="248102BE" w14:textId="77777777" w:rsidR="00372B27" w:rsidRPr="000B7C06" w:rsidRDefault="00372B27" w:rsidP="0084747F">
            <w:pPr>
              <w:spacing w:after="60" w:line="264" w:lineRule="auto"/>
              <w:rPr>
                <w:rFonts w:cs="Times New Roman"/>
                <w:sz w:val="20"/>
                <w:szCs w:val="20"/>
                <w:lang w:val="bg-BG"/>
              </w:rPr>
            </w:pPr>
          </w:p>
          <w:p w14:paraId="0452E7A1" w14:textId="77777777" w:rsidR="00372B27" w:rsidRPr="000B7C06" w:rsidRDefault="00372B27" w:rsidP="0084747F">
            <w:pPr>
              <w:spacing w:after="60" w:line="264" w:lineRule="auto"/>
              <w:rPr>
                <w:rFonts w:cs="Times New Roman"/>
                <w:sz w:val="20"/>
                <w:szCs w:val="20"/>
                <w:lang w:val="bg-BG"/>
              </w:rPr>
            </w:pPr>
          </w:p>
          <w:p w14:paraId="7B8CAC3B" w14:textId="77777777" w:rsidR="00372B27" w:rsidRPr="000B7C06" w:rsidRDefault="00372B27" w:rsidP="0084747F">
            <w:pPr>
              <w:spacing w:after="60" w:line="264" w:lineRule="auto"/>
              <w:rPr>
                <w:rFonts w:cs="Times New Roman"/>
                <w:sz w:val="20"/>
                <w:szCs w:val="20"/>
                <w:lang w:val="bg-BG"/>
              </w:rPr>
            </w:pPr>
          </w:p>
          <w:p w14:paraId="5EB83BBB" w14:textId="77777777" w:rsidR="00372B27" w:rsidRPr="000B7C06" w:rsidRDefault="00372B27" w:rsidP="0084747F">
            <w:pPr>
              <w:spacing w:after="60" w:line="264" w:lineRule="auto"/>
              <w:rPr>
                <w:rFonts w:cs="Times New Roman"/>
                <w:sz w:val="20"/>
                <w:szCs w:val="20"/>
                <w:lang w:val="bg-BG"/>
              </w:rPr>
            </w:pPr>
          </w:p>
          <w:p w14:paraId="5CD86F24" w14:textId="77777777" w:rsidR="00372B27" w:rsidRPr="000B7C06" w:rsidRDefault="00372B27" w:rsidP="0084747F">
            <w:pPr>
              <w:spacing w:after="60" w:line="264" w:lineRule="auto"/>
              <w:rPr>
                <w:rFonts w:cs="Times New Roman"/>
                <w:sz w:val="20"/>
                <w:szCs w:val="20"/>
                <w:lang w:val="bg-BG"/>
              </w:rPr>
            </w:pPr>
          </w:p>
          <w:p w14:paraId="762C9BBB" w14:textId="77777777" w:rsidR="00372B27" w:rsidRPr="000B7C06" w:rsidRDefault="00372B27" w:rsidP="0084747F">
            <w:pPr>
              <w:spacing w:after="60" w:line="264" w:lineRule="auto"/>
              <w:rPr>
                <w:rFonts w:cs="Times New Roman"/>
                <w:sz w:val="20"/>
                <w:szCs w:val="20"/>
                <w:lang w:val="bg-BG"/>
              </w:rPr>
            </w:pPr>
          </w:p>
          <w:p w14:paraId="285F451A" w14:textId="77777777"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69EACD23" w14:textId="77777777" w:rsidR="00372B27" w:rsidRPr="000B7C06" w:rsidRDefault="00372B27" w:rsidP="0084747F">
            <w:pPr>
              <w:spacing w:after="60" w:line="264" w:lineRule="auto"/>
              <w:rPr>
                <w:rFonts w:cs="Times New Roman"/>
                <w:sz w:val="20"/>
                <w:szCs w:val="20"/>
                <w:lang w:val="bg-BG"/>
              </w:rPr>
            </w:pPr>
          </w:p>
          <w:p w14:paraId="6FCC979F" w14:textId="77777777" w:rsidR="00372B27" w:rsidRPr="000B7C06" w:rsidRDefault="00372B27" w:rsidP="0084747F">
            <w:pPr>
              <w:spacing w:after="60" w:line="264" w:lineRule="auto"/>
              <w:rPr>
                <w:rFonts w:cs="Times New Roman"/>
                <w:sz w:val="20"/>
                <w:szCs w:val="20"/>
                <w:lang w:val="bg-BG"/>
              </w:rPr>
            </w:pPr>
          </w:p>
          <w:p w14:paraId="16E19BC9" w14:textId="77777777" w:rsidR="00372B27" w:rsidRPr="000B7C06" w:rsidRDefault="00372B27" w:rsidP="0084747F">
            <w:pPr>
              <w:spacing w:after="60" w:line="264" w:lineRule="auto"/>
              <w:rPr>
                <w:rFonts w:cs="Times New Roman"/>
                <w:sz w:val="20"/>
                <w:szCs w:val="20"/>
                <w:lang w:val="bg-BG"/>
              </w:rPr>
            </w:pPr>
          </w:p>
          <w:p w14:paraId="68222C95" w14:textId="77777777" w:rsidR="00372B27" w:rsidRPr="000B7C06" w:rsidRDefault="00372B27" w:rsidP="0084747F">
            <w:pPr>
              <w:spacing w:after="60" w:line="264" w:lineRule="auto"/>
              <w:rPr>
                <w:rFonts w:cs="Times New Roman"/>
                <w:sz w:val="20"/>
                <w:szCs w:val="20"/>
                <w:lang w:val="bg-BG"/>
              </w:rPr>
            </w:pPr>
          </w:p>
          <w:p w14:paraId="021543AC" w14:textId="77777777" w:rsidR="00372B27" w:rsidRPr="000B7C06" w:rsidRDefault="00372B27" w:rsidP="0084747F">
            <w:pPr>
              <w:spacing w:after="60" w:line="264" w:lineRule="auto"/>
              <w:rPr>
                <w:rFonts w:cs="Times New Roman"/>
                <w:sz w:val="20"/>
                <w:szCs w:val="20"/>
                <w:lang w:val="bg-BG"/>
              </w:rPr>
            </w:pPr>
          </w:p>
          <w:p w14:paraId="04D1D469" w14:textId="77777777" w:rsidR="00372B27" w:rsidRPr="000B7C06" w:rsidRDefault="00372B27" w:rsidP="0084747F">
            <w:pPr>
              <w:spacing w:after="60" w:line="264" w:lineRule="auto"/>
              <w:rPr>
                <w:rFonts w:cs="Times New Roman"/>
                <w:sz w:val="20"/>
                <w:szCs w:val="20"/>
                <w:lang w:val="bg-BG"/>
              </w:rPr>
            </w:pPr>
          </w:p>
          <w:p w14:paraId="00CE7919" w14:textId="77777777" w:rsidR="004E167A" w:rsidRPr="000B7C06" w:rsidRDefault="004E167A" w:rsidP="00CE1F67">
            <w:pPr>
              <w:spacing w:after="60" w:line="264" w:lineRule="auto"/>
              <w:ind w:firstLine="0"/>
              <w:rPr>
                <w:rFonts w:cs="Times New Roman"/>
                <w:sz w:val="20"/>
                <w:szCs w:val="20"/>
                <w:lang w:val="bg-BG"/>
              </w:rPr>
            </w:pPr>
            <w:r w:rsidRPr="000B7C06">
              <w:rPr>
                <w:rFonts w:cs="Times New Roman"/>
                <w:sz w:val="20"/>
                <w:szCs w:val="20"/>
                <w:lang w:val="bg-BG"/>
              </w:rPr>
              <w:lastRenderedPageBreak/>
              <w:t>Бележката е съобразена при разработването на  ДЕО</w:t>
            </w:r>
          </w:p>
          <w:p w14:paraId="0C0859FD" w14:textId="77777777" w:rsidR="00372B27" w:rsidRPr="000B7C06" w:rsidRDefault="00372B27" w:rsidP="0084747F">
            <w:pPr>
              <w:spacing w:after="60" w:line="264" w:lineRule="auto"/>
              <w:rPr>
                <w:rFonts w:cs="Times New Roman"/>
                <w:sz w:val="20"/>
                <w:szCs w:val="20"/>
                <w:lang w:val="bg-BG"/>
              </w:rPr>
            </w:pPr>
          </w:p>
          <w:p w14:paraId="3771060C" w14:textId="77777777" w:rsidR="00372B27" w:rsidRPr="000B7C06" w:rsidRDefault="00372B27" w:rsidP="0084747F">
            <w:pPr>
              <w:spacing w:after="60" w:line="264" w:lineRule="auto"/>
              <w:rPr>
                <w:rFonts w:cs="Times New Roman"/>
                <w:sz w:val="20"/>
                <w:szCs w:val="20"/>
                <w:lang w:val="bg-BG"/>
              </w:rPr>
            </w:pPr>
          </w:p>
          <w:p w14:paraId="0601CF36" w14:textId="77777777" w:rsidR="00372B27" w:rsidRPr="000B7C06" w:rsidRDefault="00372B27" w:rsidP="0084747F">
            <w:pPr>
              <w:spacing w:after="60" w:line="264" w:lineRule="auto"/>
              <w:rPr>
                <w:rFonts w:cs="Times New Roman"/>
                <w:sz w:val="20"/>
                <w:szCs w:val="20"/>
                <w:lang w:val="bg-BG"/>
              </w:rPr>
            </w:pPr>
          </w:p>
          <w:p w14:paraId="0E76F6D4" w14:textId="77777777" w:rsidR="00372B27" w:rsidRPr="000B7C06" w:rsidRDefault="00372B27" w:rsidP="0084747F">
            <w:pPr>
              <w:spacing w:after="60" w:line="264" w:lineRule="auto"/>
              <w:rPr>
                <w:rFonts w:cs="Times New Roman"/>
                <w:sz w:val="20"/>
                <w:szCs w:val="20"/>
                <w:lang w:val="bg-BG"/>
              </w:rPr>
            </w:pPr>
          </w:p>
          <w:p w14:paraId="01AF774E" w14:textId="77777777" w:rsidR="00372B27" w:rsidRPr="000B7C06" w:rsidRDefault="00372B27"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4380899B" w14:textId="77777777" w:rsidR="00D7613F" w:rsidRPr="000B7C06" w:rsidRDefault="00D7613F" w:rsidP="0084747F">
            <w:pPr>
              <w:spacing w:after="60" w:line="264" w:lineRule="auto"/>
              <w:rPr>
                <w:rFonts w:cs="Times New Roman"/>
                <w:sz w:val="20"/>
                <w:szCs w:val="20"/>
                <w:lang w:val="bg-BG"/>
              </w:rPr>
            </w:pPr>
          </w:p>
          <w:p w14:paraId="352BE7D6" w14:textId="77777777" w:rsidR="004E167A" w:rsidRPr="000B7C06" w:rsidRDefault="004E167A" w:rsidP="0084747F">
            <w:pPr>
              <w:spacing w:after="60" w:line="264" w:lineRule="auto"/>
              <w:rPr>
                <w:rFonts w:cs="Times New Roman"/>
                <w:sz w:val="20"/>
                <w:szCs w:val="20"/>
                <w:lang w:val="bg-BG"/>
              </w:rPr>
            </w:pPr>
          </w:p>
          <w:p w14:paraId="7069D621" w14:textId="77777777" w:rsidR="004E167A" w:rsidRPr="000B7C06" w:rsidRDefault="004E167A" w:rsidP="0084747F">
            <w:pPr>
              <w:spacing w:after="60" w:line="264" w:lineRule="auto"/>
              <w:rPr>
                <w:rFonts w:cs="Times New Roman"/>
                <w:sz w:val="20"/>
                <w:szCs w:val="20"/>
                <w:lang w:val="bg-BG"/>
              </w:rPr>
            </w:pPr>
          </w:p>
          <w:p w14:paraId="004AFF7F" w14:textId="77777777" w:rsidR="00CE1F67" w:rsidRDefault="00CE1F67" w:rsidP="0084747F">
            <w:pPr>
              <w:spacing w:after="60" w:line="264" w:lineRule="auto"/>
              <w:rPr>
                <w:rFonts w:cs="Times New Roman"/>
                <w:sz w:val="20"/>
                <w:szCs w:val="20"/>
                <w:lang w:val="bg-BG"/>
              </w:rPr>
            </w:pPr>
          </w:p>
          <w:p w14:paraId="075B8A26" w14:textId="77777777" w:rsidR="00CE1F67" w:rsidRDefault="00CE1F67" w:rsidP="0084747F">
            <w:pPr>
              <w:spacing w:after="60" w:line="264" w:lineRule="auto"/>
              <w:rPr>
                <w:rFonts w:cs="Times New Roman"/>
                <w:sz w:val="20"/>
                <w:szCs w:val="20"/>
                <w:lang w:val="bg-BG"/>
              </w:rPr>
            </w:pPr>
          </w:p>
          <w:p w14:paraId="7F267413" w14:textId="77777777" w:rsidR="00CE1F67" w:rsidRDefault="00CE1F67" w:rsidP="0084747F">
            <w:pPr>
              <w:spacing w:after="60" w:line="264" w:lineRule="auto"/>
              <w:rPr>
                <w:rFonts w:cs="Times New Roman"/>
                <w:sz w:val="20"/>
                <w:szCs w:val="20"/>
                <w:lang w:val="bg-BG"/>
              </w:rPr>
            </w:pPr>
          </w:p>
          <w:p w14:paraId="2748A494" w14:textId="5DCF9225" w:rsidR="00D7613F" w:rsidRPr="000B7C06" w:rsidRDefault="00D7613F" w:rsidP="00CE1F67">
            <w:pPr>
              <w:spacing w:after="60" w:line="264" w:lineRule="auto"/>
              <w:ind w:firstLine="0"/>
              <w:rPr>
                <w:rFonts w:cs="Times New Roman"/>
                <w:sz w:val="20"/>
                <w:szCs w:val="20"/>
                <w:lang w:val="bg-BG"/>
              </w:rPr>
            </w:pPr>
            <w:r w:rsidRPr="000B7C06">
              <w:rPr>
                <w:rFonts w:cs="Times New Roman"/>
                <w:sz w:val="20"/>
                <w:szCs w:val="20"/>
                <w:lang w:val="bg-BG"/>
              </w:rPr>
              <w:t>Бележката е съобразена при разработването на  ДЕО</w:t>
            </w:r>
          </w:p>
          <w:p w14:paraId="28DE8D85" w14:textId="77777777" w:rsidR="00D7613F" w:rsidRPr="000B7C06" w:rsidRDefault="00D7613F" w:rsidP="0084747F">
            <w:pPr>
              <w:spacing w:after="60" w:line="264" w:lineRule="auto"/>
              <w:rPr>
                <w:rFonts w:cs="Times New Roman"/>
                <w:sz w:val="20"/>
                <w:szCs w:val="20"/>
                <w:lang w:val="bg-BG"/>
              </w:rPr>
            </w:pPr>
          </w:p>
          <w:p w14:paraId="7CE7F34A" w14:textId="77777777" w:rsidR="00D7613F" w:rsidRPr="000B7C06" w:rsidRDefault="00D7613F" w:rsidP="0084747F">
            <w:pPr>
              <w:spacing w:after="60" w:line="264" w:lineRule="auto"/>
              <w:rPr>
                <w:rFonts w:cs="Times New Roman"/>
                <w:sz w:val="20"/>
                <w:szCs w:val="20"/>
                <w:lang w:val="bg-BG"/>
              </w:rPr>
            </w:pPr>
          </w:p>
          <w:p w14:paraId="696D6520" w14:textId="77777777" w:rsidR="00D7613F" w:rsidRPr="000B7C06" w:rsidRDefault="00D7613F" w:rsidP="0084747F">
            <w:pPr>
              <w:spacing w:after="60" w:line="264" w:lineRule="auto"/>
              <w:rPr>
                <w:rFonts w:cs="Times New Roman"/>
                <w:sz w:val="20"/>
                <w:szCs w:val="20"/>
                <w:lang w:val="bg-BG"/>
              </w:rPr>
            </w:pPr>
          </w:p>
          <w:p w14:paraId="24CD7796" w14:textId="77777777" w:rsidR="00D7613F" w:rsidRPr="000B7C06" w:rsidRDefault="00D7613F" w:rsidP="0084747F">
            <w:pPr>
              <w:spacing w:after="60" w:line="264" w:lineRule="auto"/>
              <w:rPr>
                <w:rFonts w:cs="Times New Roman"/>
                <w:sz w:val="20"/>
                <w:szCs w:val="20"/>
                <w:lang w:val="bg-BG"/>
              </w:rPr>
            </w:pPr>
          </w:p>
          <w:p w14:paraId="0B7C8D90" w14:textId="77777777" w:rsidR="00CE1F67" w:rsidRDefault="00CE1F67" w:rsidP="004E167A">
            <w:pPr>
              <w:spacing w:after="60" w:line="264" w:lineRule="auto"/>
              <w:rPr>
                <w:rFonts w:cs="Times New Roman"/>
                <w:sz w:val="20"/>
                <w:szCs w:val="20"/>
                <w:lang w:val="bg-BG"/>
              </w:rPr>
            </w:pPr>
          </w:p>
          <w:p w14:paraId="79716BBD" w14:textId="013FE68E" w:rsidR="003718F0" w:rsidRPr="000B7C06" w:rsidRDefault="00D7613F" w:rsidP="00CE1F67">
            <w:pPr>
              <w:spacing w:after="60" w:line="264" w:lineRule="auto"/>
              <w:ind w:firstLine="0"/>
              <w:rPr>
                <w:rFonts w:cs="Times New Roman"/>
                <w:sz w:val="20"/>
                <w:szCs w:val="20"/>
                <w:lang w:val="bg-BG"/>
              </w:rPr>
            </w:pPr>
            <w:r w:rsidRPr="000B7C06">
              <w:rPr>
                <w:rFonts w:cs="Times New Roman"/>
                <w:sz w:val="20"/>
                <w:szCs w:val="20"/>
                <w:lang w:val="bg-BG"/>
              </w:rPr>
              <w:lastRenderedPageBreak/>
              <w:t>Бележката е съобразена при разработването на  ДЕО</w:t>
            </w:r>
          </w:p>
        </w:tc>
      </w:tr>
    </w:tbl>
    <w:p w14:paraId="03945DA0" w14:textId="77777777" w:rsidR="00706B92" w:rsidRPr="009F6D1E" w:rsidRDefault="00706B92" w:rsidP="0084747F">
      <w:pPr>
        <w:spacing w:after="60" w:line="264" w:lineRule="auto"/>
        <w:ind w:firstLine="709"/>
        <w:contextualSpacing/>
        <w:jc w:val="both"/>
        <w:rPr>
          <w:rFonts w:cs="Times New Roman"/>
          <w:szCs w:val="24"/>
        </w:rPr>
        <w:sectPr w:rsidR="00706B92" w:rsidRPr="009F6D1E" w:rsidSect="00706B92">
          <w:pgSz w:w="16840" w:h="11907" w:orient="landscape" w:code="9"/>
          <w:pgMar w:top="1418" w:right="1418" w:bottom="851" w:left="1134" w:header="709" w:footer="709" w:gutter="0"/>
          <w:cols w:space="720"/>
          <w:docGrid w:linePitch="360"/>
        </w:sectPr>
      </w:pPr>
    </w:p>
    <w:p w14:paraId="5F143E6A" w14:textId="77777777" w:rsidR="00D54FD7" w:rsidRPr="009F6D1E" w:rsidRDefault="00D54FD7" w:rsidP="0084747F">
      <w:pPr>
        <w:spacing w:after="60" w:line="264" w:lineRule="auto"/>
        <w:contextualSpacing/>
        <w:jc w:val="both"/>
        <w:rPr>
          <w:rFonts w:eastAsia="Calibri" w:cs="Times New Roman"/>
          <w:b/>
          <w:bCs/>
          <w:i/>
          <w:iCs/>
          <w:szCs w:val="24"/>
        </w:rPr>
      </w:pPr>
    </w:p>
    <w:p w14:paraId="26AB456C" w14:textId="77777777" w:rsidR="00471E9F" w:rsidRPr="009F6D1E" w:rsidRDefault="00471E9F">
      <w:pPr>
        <w:pStyle w:val="Heading1"/>
        <w:numPr>
          <w:ilvl w:val="0"/>
          <w:numId w:val="84"/>
        </w:numPr>
        <w:shd w:val="clear" w:color="auto" w:fill="DBDBDB" w:themeFill="accent3" w:themeFillTint="66"/>
        <w:tabs>
          <w:tab w:val="clear" w:pos="742"/>
        </w:tabs>
        <w:spacing w:before="0" w:after="60" w:line="264" w:lineRule="auto"/>
        <w:ind w:left="0" w:firstLine="0"/>
        <w:rPr>
          <w:sz w:val="24"/>
          <w:szCs w:val="24"/>
        </w:rPr>
      </w:pPr>
      <w:bookmarkStart w:id="655" w:name="_Toc97639516"/>
      <w:bookmarkStart w:id="656" w:name="_Toc115255060"/>
      <w:r w:rsidRPr="009F6D1E">
        <w:rPr>
          <w:sz w:val="24"/>
          <w:szCs w:val="24"/>
        </w:rPr>
        <w:t>ПРИЛОЖЕНИЯ</w:t>
      </w:r>
      <w:bookmarkEnd w:id="655"/>
      <w:bookmarkEnd w:id="656"/>
    </w:p>
    <w:p w14:paraId="1392FCB4" w14:textId="46642B06" w:rsidR="00935674" w:rsidRPr="002E17EB" w:rsidRDefault="002E17EB" w:rsidP="002E17EB">
      <w:pPr>
        <w:spacing w:after="60" w:line="264" w:lineRule="auto"/>
        <w:jc w:val="both"/>
        <w:rPr>
          <w:rFonts w:eastAsia="Calibri"/>
          <w:b/>
          <w:bCs/>
          <w:i/>
          <w:iCs/>
        </w:rPr>
      </w:pPr>
      <w:r>
        <w:rPr>
          <w:rFonts w:eastAsia="Calibri"/>
          <w:b/>
          <w:bCs/>
          <w:i/>
          <w:iCs/>
        </w:rPr>
        <w:t>Приложение 1 -</w:t>
      </w:r>
      <w:r w:rsidR="00CD6D4E" w:rsidRPr="002E17EB">
        <w:rPr>
          <w:rFonts w:eastAsia="Calibri"/>
          <w:b/>
          <w:bCs/>
          <w:i/>
          <w:iCs/>
        </w:rPr>
        <w:t xml:space="preserve"> Предприятия с висок и нисък рисков потенциал на територията на Р България</w:t>
      </w:r>
    </w:p>
    <w:p w14:paraId="08F54F46" w14:textId="204E8447" w:rsidR="00CD6D4E" w:rsidRPr="002E17EB" w:rsidRDefault="002E17EB" w:rsidP="002E17EB">
      <w:pPr>
        <w:spacing w:after="60" w:line="264" w:lineRule="auto"/>
        <w:jc w:val="both"/>
        <w:rPr>
          <w:rFonts w:eastAsia="Calibri"/>
          <w:b/>
          <w:bCs/>
          <w:i/>
          <w:iCs/>
        </w:rPr>
      </w:pPr>
      <w:r>
        <w:rPr>
          <w:rFonts w:eastAsia="Calibri"/>
          <w:b/>
          <w:bCs/>
          <w:i/>
          <w:iCs/>
        </w:rPr>
        <w:t xml:space="preserve">Приложение 2 - </w:t>
      </w:r>
      <w:r w:rsidR="00CD6D4E" w:rsidRPr="002E17EB">
        <w:rPr>
          <w:rFonts w:eastAsia="Calibri"/>
          <w:b/>
          <w:bCs/>
          <w:i/>
          <w:iCs/>
        </w:rPr>
        <w:t>Социално-икономически анализ на селските райони</w:t>
      </w:r>
    </w:p>
    <w:p w14:paraId="45EEE7A7" w14:textId="6993A80F" w:rsidR="00286FEF" w:rsidRPr="002E17EB" w:rsidRDefault="002E17EB" w:rsidP="002E17EB">
      <w:pPr>
        <w:spacing w:after="60" w:line="264" w:lineRule="auto"/>
        <w:jc w:val="both"/>
        <w:rPr>
          <w:rFonts w:eastAsia="Calibri"/>
          <w:b/>
          <w:bCs/>
          <w:i/>
          <w:iCs/>
        </w:rPr>
      </w:pPr>
      <w:r>
        <w:rPr>
          <w:rFonts w:eastAsia="Calibri"/>
          <w:b/>
          <w:bCs/>
          <w:i/>
          <w:iCs/>
        </w:rPr>
        <w:t xml:space="preserve">Приложение 3 - </w:t>
      </w:r>
      <w:r w:rsidR="00286FEF" w:rsidRPr="002E17EB">
        <w:rPr>
          <w:rFonts w:eastAsia="Calibri"/>
          <w:b/>
          <w:bCs/>
          <w:i/>
          <w:iCs/>
        </w:rPr>
        <w:t>Становища по Заданието за обхват на ЕО</w:t>
      </w:r>
    </w:p>
    <w:p w14:paraId="7939C67C" w14:textId="53E87B55" w:rsidR="00D51145" w:rsidRPr="002E17EB" w:rsidRDefault="002E17EB" w:rsidP="002E17EB">
      <w:pPr>
        <w:spacing w:after="60" w:line="264" w:lineRule="auto"/>
        <w:jc w:val="both"/>
        <w:rPr>
          <w:rFonts w:eastAsia="Calibri"/>
          <w:b/>
          <w:bCs/>
          <w:i/>
          <w:iCs/>
        </w:rPr>
      </w:pPr>
      <w:r>
        <w:rPr>
          <w:rFonts w:eastAsia="Calibri"/>
          <w:b/>
          <w:bCs/>
          <w:i/>
          <w:iCs/>
        </w:rPr>
        <w:t xml:space="preserve">Приложение 4 - </w:t>
      </w:r>
      <w:r w:rsidR="00D51145" w:rsidRPr="002E17EB">
        <w:rPr>
          <w:rFonts w:eastAsia="Calibri"/>
          <w:b/>
          <w:bCs/>
          <w:i/>
          <w:iCs/>
        </w:rPr>
        <w:t>Списък и декларации на експертите, изготвили ДЕО</w:t>
      </w:r>
    </w:p>
    <w:p w14:paraId="54E024CE" w14:textId="6CC6F973" w:rsidR="002E17EB" w:rsidRDefault="002E17EB" w:rsidP="002E17EB">
      <w:pPr>
        <w:spacing w:after="60" w:line="264" w:lineRule="auto"/>
        <w:jc w:val="both"/>
        <w:rPr>
          <w:rFonts w:eastAsia="Calibri"/>
          <w:b/>
          <w:bCs/>
          <w:i/>
          <w:iCs/>
        </w:rPr>
      </w:pPr>
      <w:r>
        <w:rPr>
          <w:rFonts w:eastAsia="Calibri"/>
          <w:b/>
          <w:bCs/>
          <w:i/>
          <w:iCs/>
        </w:rPr>
        <w:t xml:space="preserve">Приложение 5 - </w:t>
      </w:r>
      <w:r w:rsidRPr="002E17EB">
        <w:rPr>
          <w:rFonts w:eastAsia="Calibri"/>
          <w:b/>
          <w:bCs/>
          <w:i/>
          <w:iCs/>
        </w:rPr>
        <w:t xml:space="preserve"> Нетехническо резюме</w:t>
      </w:r>
    </w:p>
    <w:p w14:paraId="4F6028F0" w14:textId="22F0B895" w:rsidR="002E17EB" w:rsidRDefault="002E17EB" w:rsidP="002E17EB">
      <w:pPr>
        <w:spacing w:after="60" w:line="264" w:lineRule="auto"/>
        <w:jc w:val="both"/>
        <w:rPr>
          <w:rFonts w:eastAsia="Calibri"/>
          <w:b/>
          <w:bCs/>
          <w:i/>
          <w:iCs/>
        </w:rPr>
      </w:pPr>
      <w:r>
        <w:rPr>
          <w:rFonts w:eastAsia="Calibri"/>
          <w:b/>
          <w:bCs/>
          <w:i/>
          <w:iCs/>
        </w:rPr>
        <w:t>Приложение 6 – ДОСВ</w:t>
      </w:r>
    </w:p>
    <w:p w14:paraId="07E600E0" w14:textId="63A83F99" w:rsidR="002E17EB" w:rsidRDefault="002E17EB" w:rsidP="002E17EB">
      <w:pPr>
        <w:spacing w:after="60" w:line="264" w:lineRule="auto"/>
        <w:jc w:val="both"/>
        <w:rPr>
          <w:b/>
          <w:bCs/>
          <w:i/>
          <w:iCs/>
          <w:szCs w:val="24"/>
          <w:lang w:bidi="bg-BG"/>
        </w:rPr>
      </w:pPr>
      <w:r>
        <w:rPr>
          <w:rFonts w:eastAsia="Calibri"/>
          <w:b/>
          <w:bCs/>
          <w:i/>
          <w:iCs/>
        </w:rPr>
        <w:t>Приложение 7 - Проект</w:t>
      </w:r>
      <w:r w:rsidR="00525BB6" w:rsidRPr="00525BB6">
        <w:rPr>
          <w:i/>
          <w:iCs/>
          <w:szCs w:val="24"/>
        </w:rPr>
        <w:t xml:space="preserve"> </w:t>
      </w:r>
      <w:r w:rsidR="00525BB6" w:rsidRPr="00525BB6">
        <w:rPr>
          <w:b/>
          <w:bCs/>
          <w:i/>
          <w:iCs/>
          <w:szCs w:val="24"/>
        </w:rPr>
        <w:t xml:space="preserve">на </w:t>
      </w:r>
      <w:r w:rsidR="00525BB6" w:rsidRPr="00525BB6">
        <w:rPr>
          <w:b/>
          <w:bCs/>
          <w:i/>
          <w:iCs/>
          <w:szCs w:val="24"/>
          <w:lang w:bidi="bg-BG"/>
        </w:rPr>
        <w:t>Стратегически план за развитие на земеделието и селските райони за периода 2023 - 2027 г.</w:t>
      </w:r>
    </w:p>
    <w:p w14:paraId="489CC937" w14:textId="592A35C8" w:rsidR="00525BB6" w:rsidRPr="002E17EB" w:rsidRDefault="00525BB6" w:rsidP="002E17EB">
      <w:pPr>
        <w:spacing w:after="60" w:line="264" w:lineRule="auto"/>
        <w:jc w:val="both"/>
        <w:rPr>
          <w:rFonts w:eastAsia="Calibri"/>
          <w:b/>
          <w:bCs/>
          <w:i/>
          <w:iCs/>
        </w:rPr>
      </w:pPr>
      <w:r>
        <w:rPr>
          <w:b/>
          <w:bCs/>
          <w:i/>
          <w:iCs/>
          <w:szCs w:val="24"/>
          <w:lang w:bidi="bg-BG"/>
        </w:rPr>
        <w:t>Приложение 8 – Задание ЕО</w:t>
      </w:r>
    </w:p>
    <w:p w14:paraId="6CD2CDFF" w14:textId="77777777" w:rsidR="00471E9F" w:rsidRPr="009F6D1E" w:rsidRDefault="00471E9F" w:rsidP="0084747F">
      <w:pPr>
        <w:spacing w:after="60" w:line="264" w:lineRule="auto"/>
        <w:contextualSpacing/>
        <w:jc w:val="both"/>
        <w:rPr>
          <w:rFonts w:eastAsia="Calibri" w:cs="Times New Roman"/>
          <w:i/>
          <w:iCs/>
          <w:szCs w:val="24"/>
        </w:rPr>
      </w:pPr>
    </w:p>
    <w:p w14:paraId="6E35A1D3" w14:textId="77777777" w:rsidR="000F3DB6" w:rsidRPr="009F6D1E" w:rsidRDefault="000F3DB6" w:rsidP="0084747F">
      <w:pPr>
        <w:spacing w:after="60" w:line="264" w:lineRule="auto"/>
        <w:contextualSpacing/>
        <w:jc w:val="both"/>
        <w:rPr>
          <w:rFonts w:eastAsia="Calibri" w:cs="Times New Roman"/>
          <w:b/>
          <w:bCs/>
          <w:i/>
          <w:iCs/>
          <w:szCs w:val="24"/>
        </w:rPr>
      </w:pPr>
    </w:p>
    <w:p w14:paraId="1A8E14F7" w14:textId="77777777" w:rsidR="000F3DB6" w:rsidRPr="009F6D1E" w:rsidRDefault="000F3DB6" w:rsidP="0084747F">
      <w:pPr>
        <w:spacing w:after="60" w:line="264" w:lineRule="auto"/>
        <w:contextualSpacing/>
        <w:jc w:val="both"/>
        <w:rPr>
          <w:rFonts w:eastAsia="Calibri" w:cs="Times New Roman"/>
          <w:b/>
          <w:bCs/>
          <w:i/>
          <w:iCs/>
          <w:szCs w:val="24"/>
        </w:rPr>
      </w:pPr>
    </w:p>
    <w:p w14:paraId="57C6FE34" w14:textId="77777777" w:rsidR="000F3DB6" w:rsidRPr="009F6D1E" w:rsidRDefault="000F3DB6" w:rsidP="0084747F">
      <w:pPr>
        <w:spacing w:after="60" w:line="264" w:lineRule="auto"/>
        <w:contextualSpacing/>
        <w:jc w:val="both"/>
        <w:rPr>
          <w:rFonts w:eastAsia="Calibri" w:cs="Times New Roman"/>
          <w:b/>
          <w:bCs/>
          <w:i/>
          <w:iCs/>
          <w:szCs w:val="24"/>
        </w:rPr>
      </w:pPr>
    </w:p>
    <w:p w14:paraId="0812ECC2" w14:textId="77777777" w:rsidR="000F3DB6" w:rsidRPr="009F6D1E" w:rsidRDefault="000F3DB6" w:rsidP="0084747F">
      <w:pPr>
        <w:spacing w:after="60" w:line="264" w:lineRule="auto"/>
        <w:contextualSpacing/>
        <w:jc w:val="both"/>
        <w:rPr>
          <w:rFonts w:eastAsia="Calibri" w:cs="Times New Roman"/>
          <w:b/>
          <w:bCs/>
          <w:i/>
          <w:iCs/>
          <w:szCs w:val="24"/>
        </w:rPr>
      </w:pPr>
    </w:p>
    <w:p w14:paraId="5911761D" w14:textId="77777777" w:rsidR="000F3DB6" w:rsidRPr="009F6D1E" w:rsidRDefault="000F3DB6" w:rsidP="0084747F">
      <w:pPr>
        <w:spacing w:after="60" w:line="264" w:lineRule="auto"/>
        <w:contextualSpacing/>
        <w:jc w:val="both"/>
        <w:rPr>
          <w:rFonts w:eastAsia="Calibri" w:cs="Times New Roman"/>
          <w:b/>
          <w:bCs/>
          <w:i/>
          <w:iCs/>
          <w:szCs w:val="24"/>
        </w:rPr>
      </w:pPr>
    </w:p>
    <w:p w14:paraId="0DED13C0" w14:textId="77777777" w:rsidR="000F3DB6" w:rsidRPr="009F6D1E" w:rsidRDefault="000F3DB6" w:rsidP="0084747F">
      <w:pPr>
        <w:spacing w:after="60" w:line="264" w:lineRule="auto"/>
        <w:contextualSpacing/>
        <w:jc w:val="both"/>
        <w:rPr>
          <w:rFonts w:eastAsia="Calibri" w:cs="Times New Roman"/>
          <w:b/>
          <w:bCs/>
          <w:i/>
          <w:iCs/>
          <w:szCs w:val="24"/>
        </w:rPr>
      </w:pPr>
    </w:p>
    <w:sectPr w:rsidR="000F3DB6" w:rsidRPr="009F6D1E" w:rsidSect="00706B92">
      <w:pgSz w:w="11907" w:h="16840" w:code="9"/>
      <w:pgMar w:top="1418" w:right="851" w:bottom="1134"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25D1F" w14:textId="77777777" w:rsidR="000D4BAE" w:rsidRDefault="000D4BAE" w:rsidP="001529ED">
      <w:pPr>
        <w:spacing w:after="0" w:line="240" w:lineRule="auto"/>
      </w:pPr>
      <w:r>
        <w:separator/>
      </w:r>
    </w:p>
  </w:endnote>
  <w:endnote w:type="continuationSeparator" w:id="0">
    <w:p w14:paraId="0E83E351" w14:textId="77777777" w:rsidR="000D4BAE" w:rsidRDefault="000D4BAE" w:rsidP="001529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ヒラギノ角ゴ Pro W3">
    <w:altName w:val="Times New Roman"/>
    <w:charset w:val="00"/>
    <w:family w:val="roman"/>
    <w:pitch w:val="default"/>
  </w:font>
  <w:font w:name="Helvetica">
    <w:panose1 w:val="020B0604020202020204"/>
    <w:charset w:val="00"/>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Franklin Gothic Heavy">
    <w:altName w:val="Franklin Gothic Heavy"/>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0"/>
    <w:family w:val="roman"/>
    <w:pitch w:val="variable"/>
  </w:font>
  <w:font w:name="DejaVu Sans">
    <w:altName w:val="Times New Roman"/>
    <w:charset w:val="00"/>
    <w:family w:val="swiss"/>
    <w:pitch w:val="variable"/>
    <w:sig w:usb0="00000000" w:usb1="D200FDFF" w:usb2="0A246029" w:usb3="00000000" w:csb0="000001FF" w:csb1="00000000"/>
  </w:font>
  <w:font w:name="MS Reference Sans Serif">
    <w:panose1 w:val="020B0604030504040204"/>
    <w:charset w:val="CC"/>
    <w:family w:val="swiss"/>
    <w:pitch w:val="variable"/>
    <w:sig w:usb0="20000287" w:usb1="00000000" w:usb2="00000000" w:usb3="00000000" w:csb0="0000019F" w:csb1="00000000"/>
  </w:font>
  <w:font w:name="Franklin Gothic Book">
    <w:charset w:val="00"/>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5653240"/>
      <w:docPartObj>
        <w:docPartGallery w:val="Page Numbers (Bottom of Page)"/>
        <w:docPartUnique/>
      </w:docPartObj>
    </w:sdtPr>
    <w:sdtEndPr>
      <w:rPr>
        <w:noProof/>
      </w:rPr>
    </w:sdtEndPr>
    <w:sdtContent>
      <w:p w14:paraId="40E26607" w14:textId="459B1AE7" w:rsidR="007576EF" w:rsidRDefault="0071714F" w:rsidP="00ED6F1D">
        <w:pPr>
          <w:pStyle w:val="Footer"/>
          <w:pBdr>
            <w:top w:val="single" w:sz="4" w:space="1" w:color="auto"/>
          </w:pBdr>
          <w:jc w:val="right"/>
        </w:pPr>
        <w:r>
          <w:fldChar w:fldCharType="begin"/>
        </w:r>
        <w:r>
          <w:instrText xml:space="preserve"> PAGE   \* MERGEFORMAT </w:instrText>
        </w:r>
        <w:r>
          <w:fldChar w:fldCharType="separate"/>
        </w:r>
        <w:r w:rsidR="008360AC">
          <w:rPr>
            <w:noProof/>
          </w:rPr>
          <w:t>1</w:t>
        </w:r>
        <w:r>
          <w:rPr>
            <w:noProof/>
          </w:rPr>
          <w:fldChar w:fldCharType="end"/>
        </w:r>
      </w:p>
    </w:sdtContent>
  </w:sdt>
  <w:p w14:paraId="4870EB3E" w14:textId="77777777" w:rsidR="007576EF" w:rsidRDefault="007576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16539" w14:textId="77777777" w:rsidR="000D4BAE" w:rsidRDefault="000D4BAE" w:rsidP="001529ED">
      <w:pPr>
        <w:spacing w:after="0" w:line="240" w:lineRule="auto"/>
      </w:pPr>
      <w:r>
        <w:separator/>
      </w:r>
    </w:p>
  </w:footnote>
  <w:footnote w:type="continuationSeparator" w:id="0">
    <w:p w14:paraId="761005BA" w14:textId="77777777" w:rsidR="000D4BAE" w:rsidRDefault="000D4BAE" w:rsidP="001529ED">
      <w:pPr>
        <w:spacing w:after="0" w:line="240" w:lineRule="auto"/>
      </w:pPr>
      <w:r>
        <w:continuationSeparator/>
      </w:r>
    </w:p>
  </w:footnote>
  <w:footnote w:id="1">
    <w:p w14:paraId="16E7D7C7" w14:textId="77777777" w:rsidR="007576EF" w:rsidRPr="00F7786C" w:rsidRDefault="007576EF" w:rsidP="001931F5">
      <w:pPr>
        <w:pStyle w:val="RRPfootnote"/>
      </w:pPr>
      <w:r w:rsidRPr="003133C5">
        <w:rPr>
          <w:rStyle w:val="FootnoteReference"/>
        </w:rPr>
        <w:footnoteRef/>
      </w:r>
      <w:r w:rsidRPr="00F7786C">
        <w:tab/>
      </w:r>
      <w:hyperlink r:id="rId1" w:history="1">
        <w:r w:rsidRPr="00F7786C">
          <w:rPr>
            <w:rStyle w:val="Hyperlink"/>
          </w:rPr>
          <w:t>Long term EU budget 2021-2027 and Next Generation EU - Consilium (europa.eu)</w:t>
        </w:r>
      </w:hyperlink>
    </w:p>
  </w:footnote>
  <w:footnote w:id="2">
    <w:p w14:paraId="574DB5D3" w14:textId="77777777" w:rsidR="007576EF" w:rsidRPr="00F7786C" w:rsidRDefault="007576EF" w:rsidP="001931F5">
      <w:pPr>
        <w:pStyle w:val="RRPfootnote"/>
      </w:pPr>
      <w:r w:rsidRPr="003133C5">
        <w:rPr>
          <w:rStyle w:val="FootnoteReference"/>
        </w:rPr>
        <w:footnoteRef/>
      </w:r>
      <w:r w:rsidRPr="00F7786C">
        <w:tab/>
      </w:r>
      <w:hyperlink r:id="rId2" w:history="1">
        <w:r w:rsidRPr="00F7786C">
          <w:rPr>
            <w:rStyle w:val="Hyperlink"/>
          </w:rPr>
          <w:t>https://www.europarl.europa.eu/doceo/document/TA-9-2020-0357_BG.html</w:t>
        </w:r>
      </w:hyperlink>
    </w:p>
  </w:footnote>
  <w:footnote w:id="3">
    <w:p w14:paraId="5B4532E5" w14:textId="77777777" w:rsidR="007576EF" w:rsidRPr="00F7786C" w:rsidRDefault="007576EF" w:rsidP="001931F5">
      <w:pPr>
        <w:pStyle w:val="RRPfootnote"/>
      </w:pPr>
      <w:r w:rsidRPr="003133C5">
        <w:rPr>
          <w:rStyle w:val="FootnoteReference"/>
        </w:rPr>
        <w:footnoteRef/>
      </w:r>
      <w:r w:rsidRPr="00F7786C">
        <w:tab/>
      </w:r>
      <w:hyperlink r:id="rId3" w:history="1">
        <w:r w:rsidRPr="00F7786C">
          <w:rPr>
            <w:rStyle w:val="Hyperlink"/>
          </w:rPr>
          <w:t>EUR-Lex - 52018PC0322 - EN - EUR-Lex (europa.eu)</w:t>
        </w:r>
      </w:hyperlink>
    </w:p>
  </w:footnote>
  <w:footnote w:id="4">
    <w:p w14:paraId="08BE73D4" w14:textId="77777777" w:rsidR="007576EF" w:rsidRDefault="007576EF" w:rsidP="00573C31">
      <w:pPr>
        <w:pStyle w:val="FootnoteText"/>
        <w:tabs>
          <w:tab w:val="left" w:pos="284"/>
        </w:tabs>
        <w:ind w:left="284" w:hanging="284"/>
        <w:jc w:val="both"/>
        <w:rPr>
          <w:rFonts w:cs="Times New Roman"/>
        </w:rPr>
      </w:pPr>
      <w:r>
        <w:rPr>
          <w:rStyle w:val="FootnoteReference"/>
          <w:rFonts w:cs="Times New Roman"/>
        </w:rPr>
        <w:footnoteRef/>
      </w:r>
      <w:r>
        <w:t xml:space="preserve"> </w:t>
      </w:r>
      <w:r>
        <w:tab/>
        <w:t>Това се отнася до целите, свързани с използването на пестициди, както и рисковете, свързани с тях, продажбите на антимикробни средства, загубите на хранителни вещества, площите за биологично земеделие, площите, характеризиращи се с високо разнообразие на ландшафта, и достъпа до високоскоростен широколентов интернет.</w:t>
      </w:r>
    </w:p>
  </w:footnote>
  <w:footnote w:id="5">
    <w:p w14:paraId="0D6E506E" w14:textId="77777777" w:rsidR="007576EF" w:rsidRDefault="007576EF" w:rsidP="00B25F93">
      <w:pPr>
        <w:pStyle w:val="FootnoteText"/>
      </w:pPr>
      <w:r>
        <w:rPr>
          <w:rStyle w:val="FootnoteReference"/>
        </w:rPr>
        <w:footnoteRef/>
      </w:r>
      <w:r>
        <w:t xml:space="preserve"> </w:t>
      </w:r>
      <w:r w:rsidRPr="00F74A4B">
        <w:rPr>
          <w:i/>
          <w:iCs/>
          <w:sz w:val="18"/>
          <w:szCs w:val="18"/>
        </w:rPr>
        <w:t>https://eur-lex.europa.eu/legal-content/BG/TXT/?qid=1576150542719&amp;uri=COM%3A2019%3A640%3AFIN</w:t>
      </w:r>
    </w:p>
  </w:footnote>
  <w:footnote w:id="6">
    <w:p w14:paraId="5C103937" w14:textId="77777777" w:rsidR="007576EF" w:rsidRDefault="007576EF" w:rsidP="00B25F93">
      <w:pPr>
        <w:pStyle w:val="FootnoteText"/>
      </w:pPr>
      <w:r>
        <w:rPr>
          <w:rStyle w:val="FootnoteReference"/>
        </w:rPr>
        <w:footnoteRef/>
      </w:r>
      <w:r>
        <w:t xml:space="preserve"> </w:t>
      </w:r>
      <w:r w:rsidRPr="00AA407A">
        <w:rPr>
          <w:rFonts w:eastAsia="Calibri"/>
          <w:i/>
          <w:iCs/>
        </w:rPr>
        <w:t>https://eur-lex.europa.eu/legal-content/BG/TXT/HTML/?uri=CELEX:52020DC0381&amp;from=BG</w:t>
      </w:r>
    </w:p>
  </w:footnote>
  <w:footnote w:id="7">
    <w:p w14:paraId="756FE817" w14:textId="77777777" w:rsidR="007576EF" w:rsidRDefault="007576EF" w:rsidP="00B25F93">
      <w:pPr>
        <w:pStyle w:val="FootnoteText"/>
      </w:pPr>
      <w:r>
        <w:rPr>
          <w:rStyle w:val="FootnoteReference"/>
        </w:rPr>
        <w:footnoteRef/>
      </w:r>
      <w:r>
        <w:t xml:space="preserve"> </w:t>
      </w:r>
      <w:r w:rsidRPr="00F74A4B">
        <w:rPr>
          <w:rFonts w:eastAsia="Calibri"/>
          <w:i/>
          <w:iCs/>
        </w:rPr>
        <w:t>https://eur-lex.europa.eu/legal-content/BG/TXT/HTML/?uri=CELEX:52020DC0380&amp;from=EN</w:t>
      </w:r>
    </w:p>
  </w:footnote>
  <w:footnote w:id="8">
    <w:p w14:paraId="6127B6E2" w14:textId="77777777" w:rsidR="007576EF" w:rsidRDefault="007576EF" w:rsidP="001931F5">
      <w:pPr>
        <w:pStyle w:val="FootnoteText"/>
      </w:pPr>
      <w:r>
        <w:rPr>
          <w:rStyle w:val="FootnoteReference"/>
        </w:rPr>
        <w:footnoteRef/>
      </w:r>
      <w:r>
        <w:t xml:space="preserve"> </w:t>
      </w:r>
      <w:r w:rsidRPr="00F74A4B">
        <w:rPr>
          <w:rFonts w:eastAsia="Calibri"/>
          <w:i/>
          <w:iCs/>
        </w:rPr>
        <w:t>https://eur-lex.europa.eu/legal-content/BG/TXT/?uri=CELEX%3A52020DC0098</w:t>
      </w:r>
    </w:p>
  </w:footnote>
  <w:footnote w:id="9">
    <w:p w14:paraId="4B9FF81C" w14:textId="77777777" w:rsidR="007576EF" w:rsidRDefault="007576EF" w:rsidP="001931F5">
      <w:pPr>
        <w:pStyle w:val="FootnoteText"/>
      </w:pPr>
      <w:r>
        <w:rPr>
          <w:rStyle w:val="FootnoteReference"/>
        </w:rPr>
        <w:footnoteRef/>
      </w:r>
      <w:r>
        <w:t xml:space="preserve"> </w:t>
      </w:r>
      <w:r w:rsidRPr="00BA5782">
        <w:rPr>
          <w:i/>
          <w:iCs/>
        </w:rPr>
        <w:t>https://ec.europa.eu/regional_policy/sources/docgener/brochure/territorial_agenda_2030_en.pdf</w:t>
      </w:r>
    </w:p>
  </w:footnote>
  <w:footnote w:id="10">
    <w:p w14:paraId="52FE1540" w14:textId="77777777" w:rsidR="007576EF" w:rsidRDefault="007576EF" w:rsidP="001931F5">
      <w:pPr>
        <w:pStyle w:val="FootnoteText"/>
      </w:pPr>
      <w:r>
        <w:rPr>
          <w:rStyle w:val="FootnoteReference"/>
        </w:rPr>
        <w:footnoteRef/>
      </w:r>
      <w:r>
        <w:t xml:space="preserve"> </w:t>
      </w:r>
      <w:r w:rsidRPr="00710144">
        <w:rPr>
          <w:i/>
          <w:iCs/>
        </w:rPr>
        <w:t>https://www.un.org/ga/search/view_doc.asp?symbol=A/RES/70/1&amp;Lang=E</w:t>
      </w:r>
    </w:p>
  </w:footnote>
  <w:footnote w:id="11">
    <w:p w14:paraId="7882123C" w14:textId="77777777" w:rsidR="007576EF" w:rsidRDefault="007576EF" w:rsidP="001931F5">
      <w:pPr>
        <w:pStyle w:val="FootnoteText"/>
      </w:pPr>
      <w:r>
        <w:rPr>
          <w:rStyle w:val="FootnoteReference"/>
        </w:rPr>
        <w:footnoteRef/>
      </w:r>
      <w:r>
        <w:t xml:space="preserve"> </w:t>
      </w:r>
      <w:r w:rsidRPr="00467C0C">
        <w:rPr>
          <w:i/>
          <w:iCs/>
        </w:rPr>
        <w:t>https://eur-lex.europa.eu/legal-content/BG/TXT/?uri=CELEX%3A52020PC0652</w:t>
      </w:r>
    </w:p>
  </w:footnote>
  <w:footnote w:id="12">
    <w:p w14:paraId="31028DC5" w14:textId="77777777" w:rsidR="007576EF" w:rsidRDefault="007576EF" w:rsidP="001931F5">
      <w:pPr>
        <w:pStyle w:val="FootnoteText"/>
      </w:pPr>
      <w:r>
        <w:rPr>
          <w:rStyle w:val="FootnoteReference"/>
        </w:rPr>
        <w:footnoteRef/>
      </w:r>
      <w:r>
        <w:t xml:space="preserve"> </w:t>
      </w:r>
      <w:r w:rsidRPr="00467C0C">
        <w:rPr>
          <w:rFonts w:eastAsia="Calibri"/>
          <w:i/>
          <w:iCs/>
        </w:rPr>
        <w:t>https://eur-lex.europa.eu/legal-content/BG/TXT/?uri=CELEX:52018DC0773</w:t>
      </w:r>
    </w:p>
  </w:footnote>
  <w:footnote w:id="13">
    <w:p w14:paraId="4A058FB7" w14:textId="77777777" w:rsidR="007576EF" w:rsidRDefault="007576EF" w:rsidP="001931F5">
      <w:pPr>
        <w:pStyle w:val="FootnoteText"/>
      </w:pPr>
      <w:r>
        <w:rPr>
          <w:rStyle w:val="FootnoteReference"/>
        </w:rPr>
        <w:footnoteRef/>
      </w:r>
      <w:r>
        <w:t xml:space="preserve"> </w:t>
      </w:r>
      <w:r w:rsidRPr="00467C0C">
        <w:rPr>
          <w:rFonts w:eastAsia="Calibri"/>
          <w:i/>
          <w:iCs/>
        </w:rPr>
        <w:t>https://eur-lex.europa.eu/legal-content/BG/ALL/?uri=CELEX:52021DC0082</w:t>
      </w:r>
    </w:p>
  </w:footnote>
  <w:footnote w:id="14">
    <w:p w14:paraId="52672E74" w14:textId="77777777" w:rsidR="007576EF" w:rsidRDefault="007576EF" w:rsidP="001931F5">
      <w:pPr>
        <w:pStyle w:val="FootnoteText"/>
      </w:pPr>
      <w:r>
        <w:rPr>
          <w:rStyle w:val="FootnoteReference"/>
        </w:rPr>
        <w:footnoteRef/>
      </w:r>
      <w:r>
        <w:t xml:space="preserve"> </w:t>
      </w:r>
      <w:r w:rsidRPr="00BD3886">
        <w:rPr>
          <w:rFonts w:eastAsia="Calibri"/>
          <w:i/>
          <w:iCs/>
        </w:rPr>
        <w:t>https://eur-lex.europa.eu/legal-content/EN/ALL/?uri=CELEX:52021DC0350</w:t>
      </w:r>
    </w:p>
  </w:footnote>
  <w:footnote w:id="15">
    <w:p w14:paraId="5B6E0336" w14:textId="77777777" w:rsidR="007576EF" w:rsidRDefault="007576EF" w:rsidP="001931F5">
      <w:pPr>
        <w:pStyle w:val="FootnoteText"/>
      </w:pPr>
      <w:r>
        <w:rPr>
          <w:rStyle w:val="FootnoteReference"/>
        </w:rPr>
        <w:footnoteRef/>
      </w:r>
      <w:r>
        <w:t xml:space="preserve"> </w:t>
      </w:r>
      <w:r w:rsidRPr="00BD3886">
        <w:rPr>
          <w:rFonts w:eastAsia="Calibri"/>
          <w:i/>
          <w:iCs/>
        </w:rPr>
        <w:t>https://eur-lex.europa.eu/legal-content/EN/ALL/?uri=COM%3A2021%3A400%3AFIN</w:t>
      </w:r>
    </w:p>
  </w:footnote>
  <w:footnote w:id="16">
    <w:p w14:paraId="267E1E1D" w14:textId="77777777" w:rsidR="007576EF" w:rsidRDefault="007576EF" w:rsidP="001931F5">
      <w:pPr>
        <w:pStyle w:val="FootnoteText"/>
      </w:pPr>
      <w:r>
        <w:rPr>
          <w:rStyle w:val="FootnoteReference"/>
        </w:rPr>
        <w:footnoteRef/>
      </w:r>
      <w:r>
        <w:t xml:space="preserve"> </w:t>
      </w:r>
      <w:r w:rsidRPr="008D1E9E">
        <w:rPr>
          <w:rFonts w:eastAsia="Calibri"/>
          <w:i/>
          <w:iCs/>
        </w:rPr>
        <w:t>https://eur-lex.europa.eu/legal-content/BG/TXT/HTML/?uri=CELEX:52021DC0572&amp;from=EN</w:t>
      </w:r>
    </w:p>
  </w:footnote>
  <w:footnote w:id="17">
    <w:p w14:paraId="4F55FCCD" w14:textId="77777777" w:rsidR="007576EF" w:rsidRPr="00D6038D" w:rsidRDefault="007576EF" w:rsidP="001931F5">
      <w:pPr>
        <w:pStyle w:val="FootnoteText"/>
        <w:rPr>
          <w:i/>
          <w:iCs/>
        </w:rPr>
      </w:pPr>
      <w:r>
        <w:rPr>
          <w:rStyle w:val="FootnoteReference"/>
        </w:rPr>
        <w:footnoteRef/>
      </w:r>
      <w:r>
        <w:t xml:space="preserve"> </w:t>
      </w:r>
      <w:r w:rsidRPr="00D6038D">
        <w:rPr>
          <w:i/>
          <w:iCs/>
        </w:rPr>
        <w:t>https://eur-lex.europa.eu/legal-content/BG/TXT/?uri=CELEX:32021R0694</w:t>
      </w:r>
    </w:p>
  </w:footnote>
  <w:footnote w:id="18">
    <w:p w14:paraId="30D01C24" w14:textId="77777777" w:rsidR="007576EF" w:rsidRPr="00FF48F6" w:rsidRDefault="007576EF">
      <w:pPr>
        <w:pStyle w:val="FootnoteText"/>
        <w:rPr>
          <w:rFonts w:cs="Times New Roman"/>
        </w:rPr>
      </w:pPr>
      <w:r w:rsidRPr="00FF48F6">
        <w:rPr>
          <w:rStyle w:val="FootnoteReference"/>
          <w:rFonts w:cs="Times New Roman"/>
        </w:rPr>
        <w:footnoteRef/>
      </w:r>
      <w:r w:rsidRPr="00FF48F6">
        <w:rPr>
          <w:rFonts w:cs="Times New Roman"/>
        </w:rPr>
        <w:t xml:space="preserve"> https://eur-lex.europa.eu/legal-content/BG/TXT/HTML/?uri=CELEX:52021DC0141&amp;from=EN</w:t>
      </w:r>
    </w:p>
  </w:footnote>
  <w:footnote w:id="19">
    <w:p w14:paraId="3AD4587C" w14:textId="77777777" w:rsidR="007576EF" w:rsidRPr="00FF48F6" w:rsidRDefault="007576EF" w:rsidP="00111FAC">
      <w:pPr>
        <w:pStyle w:val="FootnoteText"/>
        <w:rPr>
          <w:rFonts w:cs="Times New Roman"/>
        </w:rPr>
      </w:pPr>
      <w:r w:rsidRPr="00FF48F6">
        <w:rPr>
          <w:rStyle w:val="FootnoteReference"/>
          <w:rFonts w:cs="Times New Roman"/>
        </w:rPr>
        <w:footnoteRef/>
      </w:r>
      <w:r w:rsidRPr="00FF48F6">
        <w:rPr>
          <w:rFonts w:cs="Times New Roman"/>
        </w:rPr>
        <w:t xml:space="preserve"> </w:t>
      </w:r>
      <w:r w:rsidRPr="00111FAC">
        <w:rPr>
          <w:sz w:val="16"/>
          <w:szCs w:val="16"/>
        </w:rPr>
        <w:t>https://eur-lex.europa.eu/legal-content/EN/ALL/?uri=COM%3A2021%3A699%3AFIN</w:t>
      </w:r>
    </w:p>
  </w:footnote>
  <w:footnote w:id="20">
    <w:p w14:paraId="7F536ADB" w14:textId="77777777" w:rsidR="007576EF" w:rsidRPr="00540049" w:rsidRDefault="007576EF" w:rsidP="00111FAC">
      <w:pPr>
        <w:pStyle w:val="FootnoteText"/>
        <w:rPr>
          <w:rFonts w:cs="Times New Roman"/>
          <w:sz w:val="16"/>
          <w:szCs w:val="16"/>
        </w:rPr>
      </w:pPr>
      <w:r>
        <w:rPr>
          <w:rStyle w:val="FootnoteReference"/>
          <w:rFonts w:cs="Times New Roman"/>
          <w:sz w:val="16"/>
          <w:szCs w:val="16"/>
        </w:rPr>
        <w:footnoteRef/>
      </w:r>
      <w:r>
        <w:rPr>
          <w:sz w:val="16"/>
          <w:szCs w:val="16"/>
        </w:rPr>
        <w:t xml:space="preserve"> Стратегия на ЕС за биологичното разнообразие за 2030 г., COM(2020) 380.</w:t>
      </w:r>
    </w:p>
  </w:footnote>
  <w:footnote w:id="21">
    <w:p w14:paraId="3E373D48" w14:textId="77777777" w:rsidR="007576EF" w:rsidRPr="00AD69B5" w:rsidRDefault="007576EF" w:rsidP="00111FAC">
      <w:pPr>
        <w:pStyle w:val="FootnoteText"/>
        <w:rPr>
          <w:rFonts w:cs="Times New Roman"/>
          <w:sz w:val="16"/>
          <w:szCs w:val="16"/>
        </w:rPr>
      </w:pPr>
      <w:r>
        <w:rPr>
          <w:rStyle w:val="FootnoteReference"/>
          <w:rFonts w:cs="Times New Roman"/>
          <w:sz w:val="16"/>
          <w:szCs w:val="16"/>
        </w:rPr>
        <w:footnoteRef/>
      </w:r>
      <w:r>
        <w:rPr>
          <w:sz w:val="16"/>
          <w:szCs w:val="16"/>
        </w:rPr>
        <w:t xml:space="preserve"> Стратегия на ЕС за адаптиране към изменението на климата, COM(2021) 82.</w:t>
      </w:r>
    </w:p>
  </w:footnote>
  <w:footnote w:id="22">
    <w:p w14:paraId="6836D862"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Организация на обединените нации (2015 г.), „Да преобразим света: програма до 2030 г. за устойчиво развитие“.</w:t>
      </w:r>
    </w:p>
  </w:footnote>
  <w:footnote w:id="23">
    <w:p w14:paraId="1B1810A7"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Стратегия на ЕС за биологичното разнообразие за 2030 г., COM(2020) 380.</w:t>
      </w:r>
    </w:p>
  </w:footnote>
  <w:footnote w:id="24">
    <w:p w14:paraId="0543A379"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Предложение за преразглеждане на Регламента относно ЗПЗГС, COM(2021) 554.</w:t>
      </w:r>
    </w:p>
  </w:footnote>
  <w:footnote w:id="25">
    <w:p w14:paraId="0EE31368"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w:t>
      </w:r>
      <w:hyperlink r:id="rId4" w:history="1">
        <w:r w:rsidRPr="00111FAC">
          <w:rPr>
            <w:sz w:val="16"/>
            <w:szCs w:val="16"/>
          </w:rPr>
          <w:t xml:space="preserve"> Рамковата директива за водите 2000/60/ЕО</w:t>
        </w:r>
      </w:hyperlink>
      <w:r w:rsidRPr="00111FAC">
        <w:rPr>
          <w:sz w:val="16"/>
          <w:szCs w:val="16"/>
        </w:rPr>
        <w:t>.</w:t>
      </w:r>
    </w:p>
  </w:footnote>
  <w:footnote w:id="26">
    <w:p w14:paraId="386C23F8"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Стратегия на ЕС „От фермата до трапезата“, COM(2020) 381.</w:t>
      </w:r>
    </w:p>
  </w:footnote>
  <w:footnote w:id="27">
    <w:p w14:paraId="27ACBADC"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Стратегия на ЕС за биологичното разнообразие за 2030 г., COM(2020) 380.</w:t>
      </w:r>
    </w:p>
  </w:footnote>
  <w:footnote w:id="28">
    <w:p w14:paraId="288954A1"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Пътна карта за ефективно използване на ресурсите в Европа, COM(2011) 571. </w:t>
      </w:r>
    </w:p>
  </w:footnote>
  <w:footnote w:id="29">
    <w:p w14:paraId="37805BA3" w14:textId="77777777" w:rsidR="007576EF" w:rsidRPr="00AD69B5"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Седма програма на Европейския съюз за действие за околната среда, Решение № 1386/2013/ЕС.</w:t>
      </w:r>
    </w:p>
  </w:footnote>
  <w:footnote w:id="30">
    <w:p w14:paraId="52484A11" w14:textId="77777777" w:rsidR="007576EF" w:rsidRPr="001D68C4" w:rsidRDefault="007576EF" w:rsidP="00111FAC">
      <w:pPr>
        <w:pStyle w:val="FootnoteText"/>
        <w:rPr>
          <w:rFonts w:cs="Times New Roman"/>
          <w:sz w:val="16"/>
          <w:szCs w:val="16"/>
          <w:highlight w:val="yellow"/>
        </w:rPr>
      </w:pPr>
      <w:r>
        <w:rPr>
          <w:rStyle w:val="FootnoteReference"/>
          <w:rFonts w:cs="Times New Roman"/>
          <w:sz w:val="16"/>
          <w:szCs w:val="16"/>
          <w:lang w:val="en-IE"/>
        </w:rPr>
        <w:footnoteRef/>
      </w:r>
      <w:r>
        <w:rPr>
          <w:sz w:val="16"/>
          <w:szCs w:val="16"/>
        </w:rPr>
        <w:t xml:space="preserve"> Път към здравословна планета за всички, План за действие на ЕС: „Към нулево замърсяване на въздуха, водата и почвата“, COM(2021) 400.</w:t>
      </w:r>
    </w:p>
  </w:footnote>
  <w:footnote w:id="31">
    <w:p w14:paraId="3A4E3D73"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Регламент (ЕС) 2021/1119 за създаване на рамката за постигане на неутралност по отношение на климата.</w:t>
      </w:r>
    </w:p>
  </w:footnote>
  <w:footnote w:id="32">
    <w:p w14:paraId="6698455C" w14:textId="77777777" w:rsidR="007576EF" w:rsidRPr="001D68C4"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Предложение за преразглеждане на Регламента относно ЗПЗГС, COM(2021) 554.</w:t>
      </w:r>
    </w:p>
  </w:footnote>
  <w:footnote w:id="33">
    <w:p w14:paraId="7AA9B96D" w14:textId="77777777" w:rsidR="007576EF" w:rsidRPr="00AD69B5" w:rsidDel="00C20423" w:rsidRDefault="007576EF" w:rsidP="00111FAC">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Стратегия на ЕС за адаптиране към изменението на климата, COM(2021) 82.</w:t>
      </w:r>
    </w:p>
  </w:footnote>
  <w:footnote w:id="34">
    <w:p w14:paraId="5C3B9716" w14:textId="77777777" w:rsidR="007576EF" w:rsidRDefault="007576EF" w:rsidP="001931F5">
      <w:pPr>
        <w:pStyle w:val="myfootnote0"/>
      </w:pPr>
      <w:r>
        <w:rPr>
          <w:rStyle w:val="FootnoteReference"/>
        </w:rPr>
        <w:footnoteRef/>
      </w:r>
      <w:r>
        <w:t xml:space="preserve"> </w:t>
      </w:r>
      <w:r>
        <w:tab/>
        <w:t xml:space="preserve">Моделът </w:t>
      </w:r>
      <w:r>
        <w:rPr>
          <w:b/>
          <w:bCs/>
        </w:rPr>
        <w:t>PRIMES</w:t>
      </w:r>
      <w:r>
        <w:t xml:space="preserve"> е модел на енергийната система на ЕС, който симулира потреблението на енергия и системата на енергийни доставки, т.е моделира както равновесието на енергийния пазар в Европейския съюз, така и за всяка от неговите държави-членки. Включва и последователни траектории на цените на въглерода в ЕС.</w:t>
      </w:r>
    </w:p>
  </w:footnote>
  <w:footnote w:id="35">
    <w:p w14:paraId="75201702" w14:textId="77777777" w:rsidR="007576EF" w:rsidRPr="00275B86" w:rsidRDefault="007576EF" w:rsidP="001931F5">
      <w:pPr>
        <w:pStyle w:val="FootnoteText"/>
        <w:rPr>
          <w:i/>
          <w:iCs/>
          <w:sz w:val="16"/>
          <w:szCs w:val="16"/>
        </w:rPr>
      </w:pPr>
      <w:r>
        <w:rPr>
          <w:rStyle w:val="FootnoteReference"/>
        </w:rPr>
        <w:footnoteRef/>
      </w:r>
      <w:r>
        <w:t xml:space="preserve"> </w:t>
      </w:r>
      <w:r w:rsidRPr="00BD5E02">
        <w:rPr>
          <w:i/>
          <w:iCs/>
          <w:sz w:val="16"/>
          <w:szCs w:val="16"/>
        </w:rPr>
        <w:t>http://mspbg.ncrdhp.bg/pic/documents/20/MSPRB_ZAPISKA_final_09_2021.pdf</w:t>
      </w:r>
    </w:p>
  </w:footnote>
  <w:footnote w:id="36">
    <w:p w14:paraId="6B1F96C5" w14:textId="77777777" w:rsidR="007576EF" w:rsidRPr="009B5F37" w:rsidRDefault="007576EF" w:rsidP="001931F5">
      <w:pPr>
        <w:pStyle w:val="FootnoteText"/>
        <w:rPr>
          <w:sz w:val="16"/>
          <w:szCs w:val="16"/>
        </w:rPr>
      </w:pPr>
      <w:r w:rsidRPr="009B5F37">
        <w:rPr>
          <w:rStyle w:val="FootnoteReference"/>
          <w:sz w:val="16"/>
          <w:szCs w:val="16"/>
        </w:rPr>
        <w:footnoteRef/>
      </w:r>
      <w:r w:rsidRPr="009B5F37">
        <w:rPr>
          <w:sz w:val="16"/>
          <w:szCs w:val="16"/>
        </w:rPr>
        <w:t xml:space="preserve"> </w:t>
      </w:r>
      <w:r w:rsidRPr="00804927">
        <w:rPr>
          <w:rFonts w:eastAsia="Calibri"/>
          <w:i/>
          <w:iCs/>
          <w:sz w:val="16"/>
          <w:szCs w:val="16"/>
        </w:rPr>
        <w:t>https://www.moew.government.bg/bg/evropejskata-komisiya-odobri-nacionalnata-ramka-za-prioritetni-dejstviya-za-natura-2000-za-perioda-2021-2027-g-na-bulgariya/</w:t>
      </w:r>
    </w:p>
  </w:footnote>
  <w:footnote w:id="37">
    <w:p w14:paraId="35E7E4E6" w14:textId="77777777" w:rsidR="007576EF" w:rsidRPr="00490F9B" w:rsidRDefault="007576EF" w:rsidP="001931F5">
      <w:pPr>
        <w:pStyle w:val="FootnoteText"/>
        <w:rPr>
          <w:i/>
          <w:iCs/>
        </w:rPr>
      </w:pPr>
      <w:r>
        <w:rPr>
          <w:rStyle w:val="FootnoteReference"/>
        </w:rPr>
        <w:footnoteRef/>
      </w:r>
      <w:r>
        <w:t xml:space="preserve"> </w:t>
      </w:r>
      <w:r w:rsidRPr="00490F9B">
        <w:rPr>
          <w:i/>
          <w:iCs/>
        </w:rPr>
        <w:t>https://earbd.bg/indexdetails.php?menu_id=609</w:t>
      </w:r>
    </w:p>
  </w:footnote>
  <w:footnote w:id="38">
    <w:p w14:paraId="1C452399" w14:textId="77777777" w:rsidR="007576EF" w:rsidRPr="00343A66" w:rsidRDefault="007576EF" w:rsidP="001931F5">
      <w:pPr>
        <w:pStyle w:val="FootnoteText"/>
        <w:rPr>
          <w:i/>
          <w:iCs/>
        </w:rPr>
      </w:pPr>
      <w:r>
        <w:rPr>
          <w:rStyle w:val="FootnoteReference"/>
        </w:rPr>
        <w:footnoteRef/>
      </w:r>
      <w:r>
        <w:t xml:space="preserve"> </w:t>
      </w:r>
      <w:r w:rsidRPr="00343A66">
        <w:rPr>
          <w:i/>
          <w:iCs/>
        </w:rPr>
        <w:t>https://www.bsbd.org/bg/index_bg_5493788.html</w:t>
      </w:r>
    </w:p>
  </w:footnote>
  <w:footnote w:id="39">
    <w:p w14:paraId="23736878" w14:textId="77777777" w:rsidR="007576EF" w:rsidRPr="001D3FDF" w:rsidRDefault="007576EF" w:rsidP="001931F5">
      <w:pPr>
        <w:pStyle w:val="FootnoteText"/>
      </w:pPr>
      <w:r>
        <w:rPr>
          <w:rStyle w:val="FootnoteReference"/>
        </w:rPr>
        <w:footnoteRef/>
      </w:r>
      <w:r w:rsidRPr="00804256">
        <w:t xml:space="preserve"> </w:t>
      </w:r>
      <w:r w:rsidRPr="00DD410B">
        <w:rPr>
          <w:rFonts w:eastAsia="Calibri"/>
          <w:i/>
          <w:iCs/>
        </w:rPr>
        <w:t>https://wabd.bg/content/%d0%bf%d1%83%d1%80%d0%b1/%d0%bf%d1%83%d1%80%d0%b1-2016-2021/</w:t>
      </w:r>
    </w:p>
  </w:footnote>
  <w:footnote w:id="40">
    <w:p w14:paraId="1D7B8CCD" w14:textId="77777777" w:rsidR="007576EF" w:rsidRPr="00343A66" w:rsidRDefault="007576EF" w:rsidP="001931F5">
      <w:pPr>
        <w:pStyle w:val="FootnoteText"/>
        <w:rPr>
          <w:i/>
          <w:iCs/>
        </w:rPr>
      </w:pPr>
      <w:r>
        <w:rPr>
          <w:rStyle w:val="FootnoteReference"/>
        </w:rPr>
        <w:footnoteRef/>
      </w:r>
      <w:r w:rsidRPr="000C7C3F">
        <w:rPr>
          <w:i/>
          <w:iCs/>
        </w:rPr>
        <w:t>http://www.bd-dunav.org/content/upravlenie-na-vodite/plan-za-upravlenie-na-rechniia-baseyn/aktualizaciia-na-purb/</w:t>
      </w:r>
    </w:p>
  </w:footnote>
  <w:footnote w:id="41">
    <w:p w14:paraId="27D559B5" w14:textId="77777777" w:rsidR="007576EF" w:rsidRPr="00343A66" w:rsidRDefault="007576EF" w:rsidP="001931F5">
      <w:pPr>
        <w:pStyle w:val="FootnoteText"/>
        <w:rPr>
          <w:i/>
          <w:iCs/>
        </w:rPr>
      </w:pPr>
      <w:r w:rsidRPr="00343A66">
        <w:rPr>
          <w:rStyle w:val="FootnoteReference"/>
          <w:i/>
          <w:iCs/>
        </w:rPr>
        <w:footnoteRef/>
      </w:r>
      <w:r w:rsidRPr="00343A66">
        <w:rPr>
          <w:i/>
          <w:iCs/>
        </w:rPr>
        <w:t xml:space="preserve"> https://earbd.bg/indexdetails.php?menu_id=723</w:t>
      </w:r>
    </w:p>
  </w:footnote>
  <w:footnote w:id="42">
    <w:p w14:paraId="3EDF484D" w14:textId="77777777" w:rsidR="007576EF" w:rsidRPr="00214047" w:rsidRDefault="007576EF" w:rsidP="001931F5">
      <w:pPr>
        <w:pStyle w:val="FootnoteText"/>
        <w:rPr>
          <w:i/>
          <w:iCs/>
        </w:rPr>
      </w:pPr>
      <w:r>
        <w:rPr>
          <w:rStyle w:val="FootnoteReference"/>
        </w:rPr>
        <w:footnoteRef/>
      </w:r>
      <w:r>
        <w:t xml:space="preserve"> </w:t>
      </w:r>
      <w:r w:rsidRPr="00214047">
        <w:rPr>
          <w:i/>
          <w:iCs/>
        </w:rPr>
        <w:t>https://www.bsbd.org/bg/index_bg_294768.html</w:t>
      </w:r>
    </w:p>
  </w:footnote>
  <w:footnote w:id="43">
    <w:p w14:paraId="16E579C2" w14:textId="77777777" w:rsidR="007576EF" w:rsidRPr="001D3FDF" w:rsidRDefault="007576EF" w:rsidP="001931F5">
      <w:pPr>
        <w:pStyle w:val="FootnoteText"/>
        <w:rPr>
          <w:i/>
          <w:iCs/>
        </w:rPr>
      </w:pPr>
      <w:r>
        <w:rPr>
          <w:rStyle w:val="FootnoteReference"/>
        </w:rPr>
        <w:footnoteRef/>
      </w:r>
      <w:r w:rsidRPr="00804256">
        <w:t xml:space="preserve"> </w:t>
      </w:r>
      <w:r w:rsidRPr="001D3FDF">
        <w:rPr>
          <w:i/>
          <w:iCs/>
        </w:rPr>
        <w:t>https</w:t>
      </w:r>
      <w:r w:rsidRPr="00804256">
        <w:rPr>
          <w:i/>
          <w:iCs/>
        </w:rPr>
        <w:t>://</w:t>
      </w:r>
      <w:r w:rsidRPr="001D3FDF">
        <w:rPr>
          <w:i/>
          <w:iCs/>
        </w:rPr>
        <w:t>wabd</w:t>
      </w:r>
      <w:r w:rsidRPr="00804256">
        <w:rPr>
          <w:i/>
          <w:iCs/>
        </w:rPr>
        <w:t>.</w:t>
      </w:r>
      <w:r w:rsidRPr="001D3FDF">
        <w:rPr>
          <w:i/>
          <w:iCs/>
        </w:rPr>
        <w:t>bg</w:t>
      </w:r>
      <w:r w:rsidRPr="00804256">
        <w:rPr>
          <w:i/>
          <w:iCs/>
        </w:rPr>
        <w:t>/</w:t>
      </w:r>
      <w:r w:rsidRPr="001D3FDF">
        <w:rPr>
          <w:i/>
          <w:iCs/>
        </w:rPr>
        <w:t>content</w:t>
      </w:r>
      <w:r w:rsidRPr="00804256">
        <w:rPr>
          <w:i/>
          <w:iCs/>
        </w:rPr>
        <w:t>/%</w:t>
      </w:r>
      <w:r w:rsidRPr="001D3FDF">
        <w:rPr>
          <w:i/>
          <w:iCs/>
        </w:rPr>
        <w:t>d</w:t>
      </w:r>
      <w:r w:rsidRPr="00804256">
        <w:rPr>
          <w:i/>
          <w:iCs/>
        </w:rPr>
        <w:t>0%</w:t>
      </w:r>
      <w:r w:rsidRPr="001D3FDF">
        <w:rPr>
          <w:i/>
          <w:iCs/>
        </w:rPr>
        <w:t>bf</w:t>
      </w:r>
      <w:r w:rsidRPr="00804256">
        <w:rPr>
          <w:i/>
          <w:iCs/>
        </w:rPr>
        <w:t>%</w:t>
      </w:r>
      <w:r w:rsidRPr="001D3FDF">
        <w:rPr>
          <w:i/>
          <w:iCs/>
        </w:rPr>
        <w:t>d</w:t>
      </w:r>
      <w:r w:rsidRPr="00804256">
        <w:rPr>
          <w:i/>
          <w:iCs/>
        </w:rPr>
        <w:t>1%83%</w:t>
      </w:r>
      <w:r w:rsidRPr="001D3FDF">
        <w:rPr>
          <w:i/>
          <w:iCs/>
        </w:rPr>
        <w:t>d</w:t>
      </w:r>
      <w:r w:rsidRPr="00804256">
        <w:rPr>
          <w:i/>
          <w:iCs/>
        </w:rPr>
        <w:t>1%80%</w:t>
      </w:r>
      <w:r w:rsidRPr="001D3FDF">
        <w:rPr>
          <w:i/>
          <w:iCs/>
        </w:rPr>
        <w:t>d</w:t>
      </w:r>
      <w:r w:rsidRPr="00804256">
        <w:rPr>
          <w:i/>
          <w:iCs/>
        </w:rPr>
        <w:t>0%</w:t>
      </w:r>
      <w:r w:rsidRPr="001D3FDF">
        <w:rPr>
          <w:i/>
          <w:iCs/>
        </w:rPr>
        <w:t>b</w:t>
      </w:r>
      <w:r w:rsidRPr="00804256">
        <w:rPr>
          <w:i/>
          <w:iCs/>
        </w:rPr>
        <w:t>1/%</w:t>
      </w:r>
      <w:r w:rsidRPr="001D3FDF">
        <w:rPr>
          <w:i/>
          <w:iCs/>
        </w:rPr>
        <w:t>d</w:t>
      </w:r>
      <w:r w:rsidRPr="00804256">
        <w:rPr>
          <w:i/>
          <w:iCs/>
        </w:rPr>
        <w:t>0%</w:t>
      </w:r>
      <w:r w:rsidRPr="001D3FDF">
        <w:rPr>
          <w:i/>
          <w:iCs/>
        </w:rPr>
        <w:t>bf</w:t>
      </w:r>
      <w:r w:rsidRPr="00804256">
        <w:rPr>
          <w:i/>
          <w:iCs/>
        </w:rPr>
        <w:t>%</w:t>
      </w:r>
      <w:r w:rsidRPr="001D3FDF">
        <w:rPr>
          <w:i/>
          <w:iCs/>
        </w:rPr>
        <w:t>d</w:t>
      </w:r>
      <w:r w:rsidRPr="00804256">
        <w:rPr>
          <w:i/>
          <w:iCs/>
        </w:rPr>
        <w:t>1%83%</w:t>
      </w:r>
      <w:r w:rsidRPr="001D3FDF">
        <w:rPr>
          <w:i/>
          <w:iCs/>
        </w:rPr>
        <w:t>d</w:t>
      </w:r>
      <w:r w:rsidRPr="00804256">
        <w:rPr>
          <w:i/>
          <w:iCs/>
        </w:rPr>
        <w:t>1%80%</w:t>
      </w:r>
      <w:r w:rsidRPr="001D3FDF">
        <w:rPr>
          <w:i/>
          <w:iCs/>
        </w:rPr>
        <w:t>d</w:t>
      </w:r>
      <w:r w:rsidRPr="00804256">
        <w:rPr>
          <w:i/>
          <w:iCs/>
        </w:rPr>
        <w:t>0%</w:t>
      </w:r>
      <w:r w:rsidRPr="001D3FDF">
        <w:rPr>
          <w:i/>
          <w:iCs/>
        </w:rPr>
        <w:t>b</w:t>
      </w:r>
      <w:r w:rsidRPr="00804256">
        <w:rPr>
          <w:i/>
          <w:iCs/>
        </w:rPr>
        <w:t>1-2022-2027/</w:t>
      </w:r>
    </w:p>
  </w:footnote>
  <w:footnote w:id="44">
    <w:p w14:paraId="7C7CBB66" w14:textId="77777777" w:rsidR="007576EF" w:rsidRPr="00343A66" w:rsidRDefault="007576EF" w:rsidP="001931F5">
      <w:pPr>
        <w:pStyle w:val="FootnoteText"/>
        <w:rPr>
          <w:i/>
          <w:iCs/>
        </w:rPr>
      </w:pPr>
      <w:r w:rsidRPr="00343A66">
        <w:rPr>
          <w:rStyle w:val="FootnoteReference"/>
          <w:i/>
          <w:iCs/>
        </w:rPr>
        <w:footnoteRef/>
      </w:r>
      <w:r w:rsidRPr="000C7C3F">
        <w:rPr>
          <w:i/>
          <w:iCs/>
        </w:rPr>
        <w:t>http://www.bd-dunav.org/content/upravlenie-na-vodite/plan-za-upravlenie-na-rechniia-baseyn/purb-2022-2027-v-dunavski-rayon/</w:t>
      </w:r>
    </w:p>
  </w:footnote>
  <w:footnote w:id="45">
    <w:p w14:paraId="582E3389" w14:textId="2EE5EA51" w:rsidR="007576EF" w:rsidRDefault="007576EF" w:rsidP="001931F5">
      <w:pPr>
        <w:widowControl w:val="0"/>
        <w:jc w:val="both"/>
      </w:pPr>
      <w:r>
        <w:rPr>
          <w:rStyle w:val="FootnoteReference"/>
        </w:rPr>
        <w:footnoteRef/>
      </w:r>
      <w:r>
        <w:t xml:space="preserve"> </w:t>
      </w:r>
      <w:r w:rsidRPr="000C7C3F">
        <w:rPr>
          <w:i/>
          <w:sz w:val="20"/>
        </w:rPr>
        <w:t xml:space="preserve">Програмният период на разглеждания </w:t>
      </w:r>
      <w:r w:rsidR="009767EF" w:rsidRPr="009767EF">
        <w:rPr>
          <w:i/>
          <w:sz w:val="20"/>
        </w:rPr>
        <w:t>СПРЗСР</w:t>
      </w:r>
      <w:r w:rsidRPr="000C7C3F">
        <w:rPr>
          <w:i/>
          <w:sz w:val="20"/>
        </w:rPr>
        <w:t xml:space="preserve"> съвпада с периода на</w:t>
      </w:r>
      <w:r w:rsidRPr="000C7C3F">
        <w:rPr>
          <w:rFonts w:cs="Arial"/>
          <w:i/>
        </w:rPr>
        <w:t xml:space="preserve"> </w:t>
      </w:r>
      <w:r w:rsidRPr="000C7C3F">
        <w:rPr>
          <w:i/>
          <w:sz w:val="20"/>
        </w:rPr>
        <w:t>актуализирането, изготвянето и прилагането на третите Планове за управление на речните басейни (ПУРБ 2022-2027).</w:t>
      </w:r>
      <w:r>
        <w:rPr>
          <w:rFonts w:cs="Arial"/>
        </w:rPr>
        <w:t xml:space="preserve"> </w:t>
      </w:r>
    </w:p>
    <w:p w14:paraId="7F7BF5CB" w14:textId="77777777" w:rsidR="007576EF" w:rsidRDefault="007576EF" w:rsidP="001931F5">
      <w:pPr>
        <w:pStyle w:val="FootnoteText"/>
      </w:pPr>
    </w:p>
  </w:footnote>
  <w:footnote w:id="46">
    <w:p w14:paraId="51916395" w14:textId="77777777" w:rsidR="007576EF" w:rsidRPr="00E47905" w:rsidRDefault="007576EF" w:rsidP="001931F5">
      <w:pPr>
        <w:pStyle w:val="FootnoteText"/>
        <w:rPr>
          <w:i/>
          <w:iCs/>
        </w:rPr>
      </w:pPr>
      <w:r w:rsidRPr="00E47905">
        <w:rPr>
          <w:rStyle w:val="FootnoteReference"/>
          <w:i/>
          <w:iCs/>
        </w:rPr>
        <w:footnoteRef/>
      </w:r>
      <w:r w:rsidRPr="00E47905">
        <w:rPr>
          <w:i/>
          <w:iCs/>
        </w:rPr>
        <w:t xml:space="preserve"> https://earbd.bg/indexdetails.php?menu_id=611</w:t>
      </w:r>
    </w:p>
  </w:footnote>
  <w:footnote w:id="47">
    <w:p w14:paraId="51A62844" w14:textId="77777777" w:rsidR="007576EF" w:rsidRPr="00214047" w:rsidRDefault="007576EF" w:rsidP="001931F5">
      <w:pPr>
        <w:pStyle w:val="FootnoteText"/>
        <w:rPr>
          <w:i/>
          <w:iCs/>
        </w:rPr>
      </w:pPr>
      <w:r>
        <w:rPr>
          <w:rStyle w:val="FootnoteReference"/>
        </w:rPr>
        <w:footnoteRef/>
      </w:r>
      <w:r>
        <w:t xml:space="preserve"> </w:t>
      </w:r>
      <w:r w:rsidRPr="00214047">
        <w:rPr>
          <w:i/>
          <w:iCs/>
        </w:rPr>
        <w:t>https://www.bsbd.org/bg/purn_2016-2021.html</w:t>
      </w:r>
    </w:p>
  </w:footnote>
  <w:footnote w:id="48">
    <w:p w14:paraId="6E638A13" w14:textId="77777777" w:rsidR="007576EF" w:rsidRPr="00804256" w:rsidRDefault="007576EF" w:rsidP="001931F5">
      <w:pPr>
        <w:pStyle w:val="FootnoteText"/>
        <w:rPr>
          <w:sz w:val="16"/>
          <w:szCs w:val="16"/>
        </w:rPr>
      </w:pPr>
      <w:r>
        <w:rPr>
          <w:rStyle w:val="FootnoteReference"/>
        </w:rPr>
        <w:footnoteRef/>
      </w:r>
      <w:r w:rsidRPr="00804256">
        <w:t xml:space="preserve"> </w:t>
      </w:r>
      <w:hyperlink r:id="rId5" w:history="1">
        <w:r w:rsidRPr="009B5F37">
          <w:rPr>
            <w:rStyle w:val="Hyperlink"/>
            <w:rFonts w:eastAsia="Calibri"/>
            <w:i/>
            <w:iCs/>
            <w:sz w:val="16"/>
            <w:szCs w:val="16"/>
          </w:rPr>
          <w:t>https://wabd.bg/content/%D0%BF%D1%83%D1%80%D0%BD/%D0%BF%D1%83%D1%80%D0%BD-2016-2021%D0%B3/</w:t>
        </w:r>
      </w:hyperlink>
    </w:p>
  </w:footnote>
  <w:footnote w:id="49">
    <w:p w14:paraId="7BB4DEC7" w14:textId="77777777" w:rsidR="007576EF" w:rsidRPr="00A74002" w:rsidRDefault="007576EF" w:rsidP="001931F5">
      <w:pPr>
        <w:pStyle w:val="FootnoteText"/>
        <w:rPr>
          <w:i/>
          <w:iCs/>
          <w:sz w:val="18"/>
          <w:szCs w:val="18"/>
        </w:rPr>
      </w:pPr>
      <w:r>
        <w:rPr>
          <w:rStyle w:val="FootnoteReference"/>
        </w:rPr>
        <w:footnoteRef/>
      </w:r>
      <w:hyperlink r:id="rId6" w:history="1">
        <w:r w:rsidRPr="00A74002">
          <w:rPr>
            <w:rStyle w:val="Hyperlink"/>
            <w:i/>
            <w:iCs/>
            <w:sz w:val="18"/>
            <w:szCs w:val="18"/>
          </w:rPr>
          <w:t>http://www.bd-dunav.org/uploads/content/files/konsultacii-s-obshtestvenostta/PURN/2_PURN_BDDR_KOns_Fin_SF.pdf</w:t>
        </w:r>
      </w:hyperlink>
    </w:p>
  </w:footnote>
  <w:footnote w:id="50">
    <w:p w14:paraId="64D37D70" w14:textId="77777777" w:rsidR="007576EF" w:rsidRPr="00A74002" w:rsidRDefault="007576EF" w:rsidP="001931F5">
      <w:pPr>
        <w:widowControl w:val="0"/>
        <w:jc w:val="both"/>
        <w:rPr>
          <w:i/>
          <w:iCs/>
          <w:sz w:val="20"/>
        </w:rPr>
      </w:pPr>
      <w:r w:rsidRPr="00A74002">
        <w:rPr>
          <w:rStyle w:val="FootnoteReference"/>
          <w:i/>
          <w:iCs/>
          <w:sz w:val="20"/>
        </w:rPr>
        <w:footnoteRef/>
      </w:r>
      <w:r w:rsidRPr="00A74002">
        <w:rPr>
          <w:i/>
          <w:iCs/>
          <w:sz w:val="20"/>
        </w:rPr>
        <w:t xml:space="preserve"> Програмният период на разглежданата ПКИП 2021-2027 съвпада с периода на актуализирането, изготвянето и прилагането на вторите Планове за управление на риска от наводнения (ПУРН) за периода 2022-2027 г. </w:t>
      </w:r>
    </w:p>
    <w:p w14:paraId="2080295A" w14:textId="77777777" w:rsidR="007576EF" w:rsidRDefault="007576EF" w:rsidP="001931F5">
      <w:pPr>
        <w:pStyle w:val="FootnoteText"/>
      </w:pPr>
    </w:p>
  </w:footnote>
  <w:footnote w:id="51">
    <w:p w14:paraId="6FBF183E" w14:textId="77777777" w:rsidR="007576EF" w:rsidRPr="00E47905" w:rsidRDefault="007576EF" w:rsidP="001931F5">
      <w:pPr>
        <w:pStyle w:val="FootnoteText"/>
        <w:rPr>
          <w:i/>
          <w:iCs/>
        </w:rPr>
      </w:pPr>
      <w:r>
        <w:rPr>
          <w:rStyle w:val="FootnoteReference"/>
        </w:rPr>
        <w:footnoteRef/>
      </w:r>
      <w:r>
        <w:t xml:space="preserve"> </w:t>
      </w:r>
      <w:r w:rsidRPr="00E47905">
        <w:rPr>
          <w:i/>
          <w:iCs/>
        </w:rPr>
        <w:t>https://earbd.bg/indexdetails.php?menu_id=809</w:t>
      </w:r>
    </w:p>
  </w:footnote>
  <w:footnote w:id="52">
    <w:p w14:paraId="1111E55B" w14:textId="77777777" w:rsidR="007576EF" w:rsidRPr="00214047" w:rsidRDefault="007576EF" w:rsidP="001931F5">
      <w:pPr>
        <w:pStyle w:val="FootnoteText"/>
        <w:rPr>
          <w:i/>
          <w:iCs/>
        </w:rPr>
      </w:pPr>
      <w:r>
        <w:rPr>
          <w:rStyle w:val="FootnoteReference"/>
        </w:rPr>
        <w:footnoteRef/>
      </w:r>
      <w:r>
        <w:t xml:space="preserve"> </w:t>
      </w:r>
      <w:r w:rsidRPr="00214047">
        <w:rPr>
          <w:i/>
          <w:iCs/>
        </w:rPr>
        <w:t>https://www.bsbd.org/bg/index_bg_965885.html</w:t>
      </w:r>
    </w:p>
  </w:footnote>
  <w:footnote w:id="53">
    <w:p w14:paraId="76989E03" w14:textId="77777777" w:rsidR="007576EF" w:rsidRPr="00804256" w:rsidRDefault="007576EF" w:rsidP="001931F5">
      <w:pPr>
        <w:pStyle w:val="FootnoteText"/>
        <w:rPr>
          <w:sz w:val="16"/>
          <w:szCs w:val="16"/>
        </w:rPr>
      </w:pPr>
      <w:r w:rsidRPr="009B5F37">
        <w:rPr>
          <w:rStyle w:val="FootnoteReference"/>
          <w:sz w:val="16"/>
          <w:szCs w:val="16"/>
        </w:rPr>
        <w:footnoteRef/>
      </w:r>
      <w:r w:rsidRPr="00804256">
        <w:rPr>
          <w:sz w:val="16"/>
          <w:szCs w:val="16"/>
        </w:rPr>
        <w:t xml:space="preserve"> </w:t>
      </w:r>
      <w:r w:rsidRPr="009B5F37">
        <w:rPr>
          <w:rFonts w:eastAsia="Calibri"/>
          <w:i/>
          <w:iCs/>
          <w:sz w:val="16"/>
          <w:szCs w:val="16"/>
        </w:rPr>
        <w:t>https</w:t>
      </w:r>
      <w:r w:rsidRPr="00804256">
        <w:rPr>
          <w:rFonts w:eastAsia="Calibri"/>
          <w:i/>
          <w:iCs/>
          <w:sz w:val="16"/>
          <w:szCs w:val="16"/>
        </w:rPr>
        <w:t>://</w:t>
      </w:r>
      <w:r w:rsidRPr="009B5F37">
        <w:rPr>
          <w:rFonts w:eastAsia="Calibri"/>
          <w:i/>
          <w:iCs/>
          <w:sz w:val="16"/>
          <w:szCs w:val="16"/>
        </w:rPr>
        <w:t>wabd</w:t>
      </w:r>
      <w:r w:rsidRPr="00804256">
        <w:rPr>
          <w:rFonts w:eastAsia="Calibri"/>
          <w:i/>
          <w:iCs/>
          <w:sz w:val="16"/>
          <w:szCs w:val="16"/>
        </w:rPr>
        <w:t>.</w:t>
      </w:r>
      <w:r w:rsidRPr="009B5F37">
        <w:rPr>
          <w:rFonts w:eastAsia="Calibri"/>
          <w:i/>
          <w:iCs/>
          <w:sz w:val="16"/>
          <w:szCs w:val="16"/>
        </w:rPr>
        <w:t>bg</w:t>
      </w:r>
      <w:r w:rsidRPr="00804256">
        <w:rPr>
          <w:rFonts w:eastAsia="Calibri"/>
          <w:i/>
          <w:iCs/>
          <w:sz w:val="16"/>
          <w:szCs w:val="16"/>
        </w:rPr>
        <w:t>/</w:t>
      </w:r>
      <w:r w:rsidRPr="009B5F37">
        <w:rPr>
          <w:rFonts w:eastAsia="Calibri"/>
          <w:i/>
          <w:iCs/>
          <w:sz w:val="16"/>
          <w:szCs w:val="16"/>
        </w:rPr>
        <w:t>content</w:t>
      </w:r>
      <w:r w:rsidRPr="00804256">
        <w:rPr>
          <w:rFonts w:eastAsia="Calibri"/>
          <w:i/>
          <w:iCs/>
          <w:sz w:val="16"/>
          <w:szCs w:val="16"/>
        </w:rPr>
        <w:t>/%</w:t>
      </w:r>
      <w:r w:rsidRPr="009B5F37">
        <w:rPr>
          <w:rFonts w:eastAsia="Calibri"/>
          <w:i/>
          <w:iCs/>
          <w:sz w:val="16"/>
          <w:szCs w:val="16"/>
        </w:rPr>
        <w:t>d</w:t>
      </w:r>
      <w:r w:rsidRPr="00804256">
        <w:rPr>
          <w:rFonts w:eastAsia="Calibri"/>
          <w:i/>
          <w:iCs/>
          <w:sz w:val="16"/>
          <w:szCs w:val="16"/>
        </w:rPr>
        <w:t>0%</w:t>
      </w:r>
      <w:r w:rsidRPr="009B5F37">
        <w:rPr>
          <w:rFonts w:eastAsia="Calibri"/>
          <w:i/>
          <w:iCs/>
          <w:sz w:val="16"/>
          <w:szCs w:val="16"/>
        </w:rPr>
        <w:t>bf</w:t>
      </w:r>
      <w:r w:rsidRPr="00804256">
        <w:rPr>
          <w:rFonts w:eastAsia="Calibri"/>
          <w:i/>
          <w:iCs/>
          <w:sz w:val="16"/>
          <w:szCs w:val="16"/>
        </w:rPr>
        <w:t>%</w:t>
      </w:r>
      <w:r w:rsidRPr="009B5F37">
        <w:rPr>
          <w:rFonts w:eastAsia="Calibri"/>
          <w:i/>
          <w:iCs/>
          <w:sz w:val="16"/>
          <w:szCs w:val="16"/>
        </w:rPr>
        <w:t>d</w:t>
      </w:r>
      <w:r w:rsidRPr="00804256">
        <w:rPr>
          <w:rFonts w:eastAsia="Calibri"/>
          <w:i/>
          <w:iCs/>
          <w:sz w:val="16"/>
          <w:szCs w:val="16"/>
        </w:rPr>
        <w:t>1%83%</w:t>
      </w:r>
      <w:r w:rsidRPr="009B5F37">
        <w:rPr>
          <w:rFonts w:eastAsia="Calibri"/>
          <w:i/>
          <w:iCs/>
          <w:sz w:val="16"/>
          <w:szCs w:val="16"/>
        </w:rPr>
        <w:t>d</w:t>
      </w:r>
      <w:r w:rsidRPr="00804256">
        <w:rPr>
          <w:rFonts w:eastAsia="Calibri"/>
          <w:i/>
          <w:iCs/>
          <w:sz w:val="16"/>
          <w:szCs w:val="16"/>
        </w:rPr>
        <w:t>1%80%</w:t>
      </w:r>
      <w:r w:rsidRPr="009B5F37">
        <w:rPr>
          <w:rFonts w:eastAsia="Calibri"/>
          <w:i/>
          <w:iCs/>
          <w:sz w:val="16"/>
          <w:szCs w:val="16"/>
        </w:rPr>
        <w:t>d</w:t>
      </w:r>
      <w:r w:rsidRPr="00804256">
        <w:rPr>
          <w:rFonts w:eastAsia="Calibri"/>
          <w:i/>
          <w:iCs/>
          <w:sz w:val="16"/>
          <w:szCs w:val="16"/>
        </w:rPr>
        <w:t>0%</w:t>
      </w:r>
      <w:r w:rsidRPr="009B5F37">
        <w:rPr>
          <w:rFonts w:eastAsia="Calibri"/>
          <w:i/>
          <w:iCs/>
          <w:sz w:val="16"/>
          <w:szCs w:val="16"/>
        </w:rPr>
        <w:t>bd</w:t>
      </w:r>
      <w:r w:rsidRPr="00804256">
        <w:rPr>
          <w:rFonts w:eastAsia="Calibri"/>
          <w:i/>
          <w:iCs/>
          <w:sz w:val="16"/>
          <w:szCs w:val="16"/>
        </w:rPr>
        <w:t>/%</w:t>
      </w:r>
      <w:r w:rsidRPr="009B5F37">
        <w:rPr>
          <w:rFonts w:eastAsia="Calibri"/>
          <w:i/>
          <w:iCs/>
          <w:sz w:val="16"/>
          <w:szCs w:val="16"/>
        </w:rPr>
        <w:t>d</w:t>
      </w:r>
      <w:r w:rsidRPr="00804256">
        <w:rPr>
          <w:rFonts w:eastAsia="Calibri"/>
          <w:i/>
          <w:iCs/>
          <w:sz w:val="16"/>
          <w:szCs w:val="16"/>
        </w:rPr>
        <w:t>0%</w:t>
      </w:r>
      <w:r w:rsidRPr="009B5F37">
        <w:rPr>
          <w:rFonts w:eastAsia="Calibri"/>
          <w:i/>
          <w:iCs/>
          <w:sz w:val="16"/>
          <w:szCs w:val="16"/>
        </w:rPr>
        <w:t>bf</w:t>
      </w:r>
      <w:r w:rsidRPr="00804256">
        <w:rPr>
          <w:rFonts w:eastAsia="Calibri"/>
          <w:i/>
          <w:iCs/>
          <w:sz w:val="16"/>
          <w:szCs w:val="16"/>
        </w:rPr>
        <w:t>%</w:t>
      </w:r>
      <w:r w:rsidRPr="009B5F37">
        <w:rPr>
          <w:rFonts w:eastAsia="Calibri"/>
          <w:i/>
          <w:iCs/>
          <w:sz w:val="16"/>
          <w:szCs w:val="16"/>
        </w:rPr>
        <w:t>d</w:t>
      </w:r>
      <w:r w:rsidRPr="00804256">
        <w:rPr>
          <w:rFonts w:eastAsia="Calibri"/>
          <w:i/>
          <w:iCs/>
          <w:sz w:val="16"/>
          <w:szCs w:val="16"/>
        </w:rPr>
        <w:t>1%83%</w:t>
      </w:r>
      <w:r w:rsidRPr="009B5F37">
        <w:rPr>
          <w:rFonts w:eastAsia="Calibri"/>
          <w:i/>
          <w:iCs/>
          <w:sz w:val="16"/>
          <w:szCs w:val="16"/>
        </w:rPr>
        <w:t>d</w:t>
      </w:r>
      <w:r w:rsidRPr="00804256">
        <w:rPr>
          <w:rFonts w:eastAsia="Calibri"/>
          <w:i/>
          <w:iCs/>
          <w:sz w:val="16"/>
          <w:szCs w:val="16"/>
        </w:rPr>
        <w:t>1%80%</w:t>
      </w:r>
      <w:r w:rsidRPr="009B5F37">
        <w:rPr>
          <w:rFonts w:eastAsia="Calibri"/>
          <w:i/>
          <w:iCs/>
          <w:sz w:val="16"/>
          <w:szCs w:val="16"/>
        </w:rPr>
        <w:t>d</w:t>
      </w:r>
      <w:r w:rsidRPr="00804256">
        <w:rPr>
          <w:rFonts w:eastAsia="Calibri"/>
          <w:i/>
          <w:iCs/>
          <w:sz w:val="16"/>
          <w:szCs w:val="16"/>
        </w:rPr>
        <w:t>0%</w:t>
      </w:r>
      <w:r w:rsidRPr="009B5F37">
        <w:rPr>
          <w:rFonts w:eastAsia="Calibri"/>
          <w:i/>
          <w:iCs/>
          <w:sz w:val="16"/>
          <w:szCs w:val="16"/>
        </w:rPr>
        <w:t>bd</w:t>
      </w:r>
      <w:r w:rsidRPr="00804256">
        <w:rPr>
          <w:rFonts w:eastAsia="Calibri"/>
          <w:i/>
          <w:iCs/>
          <w:sz w:val="16"/>
          <w:szCs w:val="16"/>
        </w:rPr>
        <w:t>-2022-2027/</w:t>
      </w:r>
    </w:p>
  </w:footnote>
  <w:footnote w:id="54">
    <w:p w14:paraId="57F2BDA4" w14:textId="77777777" w:rsidR="007576EF" w:rsidRPr="00804256" w:rsidRDefault="007576EF" w:rsidP="001931F5">
      <w:pPr>
        <w:pStyle w:val="FootnoteText"/>
        <w:rPr>
          <w:sz w:val="16"/>
          <w:szCs w:val="16"/>
        </w:rPr>
      </w:pPr>
      <w:r w:rsidRPr="009B5F37">
        <w:rPr>
          <w:rStyle w:val="FootnoteReference"/>
          <w:sz w:val="16"/>
          <w:szCs w:val="16"/>
        </w:rPr>
        <w:footnoteRef/>
      </w:r>
      <w:r w:rsidRPr="003C57E7">
        <w:rPr>
          <w:rFonts w:eastAsia="Calibri"/>
          <w:i/>
          <w:iCs/>
          <w:sz w:val="16"/>
          <w:szCs w:val="16"/>
        </w:rPr>
        <w:t>http://www.bd-dunav.org/uploads/content/files/upravlenie-na-vodite/PURN-2022-2027/aktualizacia_PORN/2_PFRA_BG1_MainReport_BDDR_17032021.pdf</w:t>
      </w:r>
    </w:p>
  </w:footnote>
  <w:footnote w:id="55">
    <w:p w14:paraId="166233CB" w14:textId="77777777" w:rsidR="007576EF" w:rsidRPr="00D6205E" w:rsidRDefault="007576EF" w:rsidP="001931F5">
      <w:pPr>
        <w:pStyle w:val="FootnoteText"/>
        <w:rPr>
          <w:i/>
          <w:iCs/>
        </w:rPr>
      </w:pPr>
      <w:r w:rsidRPr="00D6205E">
        <w:rPr>
          <w:rStyle w:val="FootnoteReference"/>
          <w:i/>
          <w:iCs/>
        </w:rPr>
        <w:footnoteRef/>
      </w:r>
      <w:r w:rsidRPr="0042305C">
        <w:rPr>
          <w:i/>
          <w:iCs/>
        </w:rPr>
        <w:t>http://www.iag.bg/data/docs/strategicheski_plan_za_razvitie_na_gsektor.pdf</w:t>
      </w:r>
    </w:p>
  </w:footnote>
  <w:footnote w:id="56">
    <w:p w14:paraId="5069A5D9" w14:textId="77777777" w:rsidR="007576EF" w:rsidRDefault="007576EF">
      <w:pPr>
        <w:pStyle w:val="FootnoteText"/>
      </w:pPr>
      <w:r>
        <w:rPr>
          <w:rStyle w:val="FootnoteReference"/>
        </w:rPr>
        <w:footnoteRef/>
      </w:r>
      <w:r>
        <w:t xml:space="preserve"> </w:t>
      </w:r>
      <w:r w:rsidRPr="00984131">
        <w:rPr>
          <w:rFonts w:cs="Times New Roman"/>
          <w:sz w:val="16"/>
          <w:szCs w:val="16"/>
        </w:rPr>
        <w:t>https://www.mrrb.bg/static/media/ups/articles/attachments/b9603ed612b5911606816d30f897dd80.pdf</w:t>
      </w:r>
    </w:p>
  </w:footnote>
  <w:footnote w:id="57">
    <w:p w14:paraId="000C4B08" w14:textId="77777777" w:rsidR="007576EF" w:rsidRDefault="007576EF">
      <w:pPr>
        <w:pStyle w:val="FootnoteText"/>
      </w:pPr>
      <w:r>
        <w:rPr>
          <w:rStyle w:val="FootnoteReference"/>
        </w:rPr>
        <w:footnoteRef/>
      </w:r>
      <w:r>
        <w:t xml:space="preserve"> </w:t>
      </w:r>
      <w:r w:rsidRPr="00E1278E">
        <w:rPr>
          <w:rFonts w:cs="Times New Roman"/>
          <w:sz w:val="16"/>
          <w:szCs w:val="16"/>
        </w:rPr>
        <w:t>https://www.eufunds.bg/bg/node/8239</w:t>
      </w:r>
    </w:p>
  </w:footnote>
  <w:footnote w:id="58">
    <w:p w14:paraId="72A7132C" w14:textId="77777777" w:rsidR="007576EF" w:rsidRDefault="007576EF">
      <w:pPr>
        <w:pStyle w:val="FootnoteText"/>
      </w:pPr>
      <w:r>
        <w:rPr>
          <w:rStyle w:val="FootnoteReference"/>
        </w:rPr>
        <w:footnoteRef/>
      </w:r>
      <w:r>
        <w:t xml:space="preserve"> </w:t>
      </w:r>
      <w:r w:rsidRPr="00E1278E">
        <w:rPr>
          <w:rFonts w:cs="Times New Roman"/>
          <w:sz w:val="16"/>
          <w:szCs w:val="16"/>
        </w:rPr>
        <w:t>https://www.strategy.bg/StrategicDocuments/View.aspx?lang=bg-BG&amp;Id=1138</w:t>
      </w:r>
    </w:p>
  </w:footnote>
  <w:footnote w:id="59">
    <w:p w14:paraId="0E9771B4" w14:textId="77777777" w:rsidR="007576EF" w:rsidRDefault="007576EF" w:rsidP="001E17A1">
      <w:pPr>
        <w:pStyle w:val="FootnoteText"/>
      </w:pPr>
      <w:r>
        <w:rPr>
          <w:rStyle w:val="FootnoteReference"/>
        </w:rPr>
        <w:footnoteRef/>
      </w:r>
      <w:r>
        <w:t xml:space="preserve"> </w:t>
      </w:r>
      <w:r w:rsidRPr="001E17A1">
        <w:rPr>
          <w:rFonts w:cs="Times New Roman"/>
          <w:sz w:val="16"/>
          <w:szCs w:val="16"/>
        </w:rPr>
        <w:t>http://www.iag.bg/data/docs/nationalen_plan.pdf</w:t>
      </w:r>
    </w:p>
  </w:footnote>
  <w:footnote w:id="60">
    <w:p w14:paraId="62F1CB19" w14:textId="77777777" w:rsidR="007576EF" w:rsidRDefault="007576EF" w:rsidP="00D8574A">
      <w:pPr>
        <w:pStyle w:val="FootnoteText"/>
      </w:pPr>
      <w:r>
        <w:rPr>
          <w:rStyle w:val="FootnoteReference"/>
        </w:rPr>
        <w:footnoteRef/>
      </w:r>
      <w:r>
        <w:t xml:space="preserve"> </w:t>
      </w:r>
      <w:r w:rsidRPr="00D8574A">
        <w:rPr>
          <w:rFonts w:cs="Times New Roman"/>
          <w:sz w:val="16"/>
          <w:szCs w:val="16"/>
        </w:rPr>
        <w:t>https://www.mzh.government.bg/media/filer_public/2019/05/10/strategia_za_cifrovizacia_na_zemedelieto.pdf</w:t>
      </w:r>
    </w:p>
  </w:footnote>
  <w:footnote w:id="61">
    <w:p w14:paraId="71096D93" w14:textId="77777777" w:rsidR="007576EF" w:rsidRDefault="007576EF" w:rsidP="00D8574A">
      <w:pPr>
        <w:pStyle w:val="FootnoteText"/>
      </w:pPr>
      <w:r>
        <w:rPr>
          <w:rStyle w:val="FootnoteReference"/>
        </w:rPr>
        <w:footnoteRef/>
      </w:r>
      <w:r>
        <w:t xml:space="preserve"> </w:t>
      </w:r>
      <w:r w:rsidRPr="000B4838">
        <w:rPr>
          <w:rFonts w:cs="Times New Roman"/>
          <w:sz w:val="16"/>
          <w:szCs w:val="16"/>
        </w:rPr>
        <w:t>https://www.mtc.government.bg/sites/default/files/svurzana_bulgariya.pdf</w:t>
      </w:r>
    </w:p>
  </w:footnote>
  <w:footnote w:id="62">
    <w:p w14:paraId="11BD8509" w14:textId="77777777" w:rsidR="007576EF" w:rsidRDefault="007576EF" w:rsidP="000B4838">
      <w:pPr>
        <w:pStyle w:val="FootnoteText"/>
      </w:pPr>
      <w:r>
        <w:rPr>
          <w:rStyle w:val="FootnoteReference"/>
        </w:rPr>
        <w:footnoteRef/>
      </w:r>
      <w:r>
        <w:t xml:space="preserve"> </w:t>
      </w:r>
      <w:r w:rsidRPr="000B4838">
        <w:rPr>
          <w:rFonts w:cs="Times New Roman"/>
          <w:sz w:val="16"/>
          <w:szCs w:val="16"/>
        </w:rPr>
        <w:t>https://www.mtc.government.bg/sites/default/files/uploads/it/cifrova_bulgariya_2025.pdf</w:t>
      </w:r>
    </w:p>
  </w:footnote>
  <w:footnote w:id="63">
    <w:p w14:paraId="2EA55BA6" w14:textId="77777777" w:rsidR="007576EF" w:rsidRDefault="007576EF" w:rsidP="0079781C">
      <w:pPr>
        <w:pStyle w:val="FootnoteText"/>
      </w:pPr>
      <w:r>
        <w:rPr>
          <w:rStyle w:val="FootnoteReference"/>
        </w:rPr>
        <w:footnoteRef/>
      </w:r>
      <w:r>
        <w:t xml:space="preserve"> </w:t>
      </w:r>
      <w:r w:rsidRPr="000B4838">
        <w:rPr>
          <w:rFonts w:cs="Times New Roman"/>
          <w:sz w:val="16"/>
          <w:szCs w:val="16"/>
        </w:rPr>
        <w:t>https://www.mtc.government.bg/sites/default/files/uploads/it/cifrova_bulgariya_2025.pdf</w:t>
      </w:r>
    </w:p>
  </w:footnote>
  <w:footnote w:id="64">
    <w:p w14:paraId="14590DD0" w14:textId="77777777" w:rsidR="00FE7C6F" w:rsidRPr="0085577B" w:rsidRDefault="00FE7C6F" w:rsidP="00FE7C6F">
      <w:pPr>
        <w:pStyle w:val="RRPfootnote"/>
        <w:rPr>
          <w:lang w:val="en-US"/>
        </w:rPr>
      </w:pPr>
      <w:r>
        <w:rPr>
          <w:rStyle w:val="FootnoteReference"/>
        </w:rPr>
        <w:footnoteRef/>
      </w:r>
      <w:r>
        <w:tab/>
      </w:r>
      <w:hyperlink r:id="rId7" w:history="1">
        <w:r w:rsidRPr="00B52ABB">
          <w:rPr>
            <w:rStyle w:val="Hyperlink"/>
          </w:rPr>
          <w:t>https://eea.government.bg/bg/nsmos/waste/dokumenti/dokumentiNEW/Dokladi_opakovki_2020.pdf</w:t>
        </w:r>
      </w:hyperlink>
    </w:p>
  </w:footnote>
  <w:footnote w:id="65">
    <w:p w14:paraId="76793EE4" w14:textId="77777777" w:rsidR="00622D1D" w:rsidRDefault="00622D1D" w:rsidP="00622D1D">
      <w:pPr>
        <w:pStyle w:val="RRPfootnote"/>
      </w:pPr>
      <w:r>
        <w:rPr>
          <w:rStyle w:val="FootnoteReference"/>
        </w:rPr>
        <w:footnoteRef/>
      </w:r>
      <w:r>
        <w:t xml:space="preserve"> </w:t>
      </w:r>
      <w:r>
        <w:tab/>
      </w:r>
      <w:r w:rsidRPr="00431C49">
        <w:t>Официалното откриване на АЕЦ “Козлодуй” е на 4 септември 1974 г.</w:t>
      </w:r>
    </w:p>
  </w:footnote>
  <w:footnote w:id="66">
    <w:p w14:paraId="246EBAD9" w14:textId="77777777" w:rsidR="00622D1D" w:rsidRDefault="00622D1D" w:rsidP="00622D1D">
      <w:pPr>
        <w:pStyle w:val="myfootnote0"/>
      </w:pPr>
      <w:r>
        <w:rPr>
          <w:rStyle w:val="FootnoteReference"/>
        </w:rPr>
        <w:footnoteRef/>
      </w:r>
      <w:r>
        <w:tab/>
      </w:r>
      <w:r w:rsidRPr="00AB51CC">
        <w:rPr>
          <w:rStyle w:val="RRPfootnoteChar"/>
          <w:rFonts w:eastAsia="Calibri"/>
        </w:rPr>
        <w:t xml:space="preserve">твърда матрица (ТМ) </w:t>
      </w:r>
      <w:r>
        <w:rPr>
          <w:rStyle w:val="RRPfootnoteChar"/>
          <w:rFonts w:eastAsia="Calibri"/>
        </w:rPr>
        <w:t>–</w:t>
      </w:r>
      <w:r w:rsidRPr="00AB51CC">
        <w:rPr>
          <w:rStyle w:val="RRPfootnoteChar"/>
          <w:rFonts w:eastAsia="Calibri"/>
        </w:rPr>
        <w:t xml:space="preserve"> </w:t>
      </w:r>
      <w:r>
        <w:rPr>
          <w:rStyle w:val="RRPfootnoteChar"/>
          <w:rFonts w:eastAsia="Calibri"/>
        </w:rPr>
        <w:t xml:space="preserve">за </w:t>
      </w:r>
      <w:r w:rsidRPr="00AB51CC">
        <w:rPr>
          <w:rStyle w:val="RRPfootnoteChar"/>
          <w:rFonts w:eastAsia="Calibri"/>
        </w:rPr>
        <w:t xml:space="preserve">безопасност формата за кондициониране на радиоактивен отпадък </w:t>
      </w:r>
      <w:r>
        <w:rPr>
          <w:rStyle w:val="RRPfootnoteChar"/>
          <w:rFonts w:eastAsia="Calibri"/>
        </w:rPr>
        <w:t xml:space="preserve">е </w:t>
      </w:r>
      <w:r w:rsidRPr="00AB51CC">
        <w:rPr>
          <w:rStyle w:val="RRPfootnoteChar"/>
          <w:rFonts w:eastAsia="Calibri"/>
        </w:rPr>
        <w:t>циментова матрица, в която са включени отпадъците. Свързана е със включването на радионуклидите в твърдата фаза на матрицата, както и задържането им чрез адсорбция и утаяване в силно алкалната среда на цимента. Циментовата матрица се разглежда като химическа бариера, която не губи функциите си по безопасност в продължение на хиляди години.</w:t>
      </w:r>
    </w:p>
  </w:footnote>
  <w:footnote w:id="67">
    <w:p w14:paraId="65029460" w14:textId="77777777" w:rsidR="0028791B" w:rsidRPr="00B6740D" w:rsidRDefault="0028791B" w:rsidP="0028791B">
      <w:pPr>
        <w:pStyle w:val="RRPfootnote"/>
      </w:pPr>
      <w:r>
        <w:rPr>
          <w:rStyle w:val="FootnoteReference"/>
        </w:rPr>
        <w:footnoteRef/>
      </w:r>
      <w:r>
        <w:t xml:space="preserve"> </w:t>
      </w:r>
      <w:hyperlink r:id="rId8" w:history="1">
        <w:r>
          <w:rPr>
            <w:rStyle w:val="Hyperlink"/>
          </w:rPr>
          <w:t>https://public-seveso.moew.government.bg/enterprises</w:t>
        </w:r>
      </w:hyperlink>
    </w:p>
  </w:footnote>
  <w:footnote w:id="68">
    <w:p w14:paraId="28AE95E7" w14:textId="77777777" w:rsidR="007576EF" w:rsidRDefault="007576EF" w:rsidP="00E30856">
      <w:pPr>
        <w:pStyle w:val="FootnoteText"/>
      </w:pPr>
      <w:r>
        <w:rPr>
          <w:rStyle w:val="FootnoteReference"/>
        </w:rPr>
        <w:footnoteRef/>
      </w:r>
      <w:r>
        <w:t xml:space="preserve"> https://www.eea.europa.eu/bg/highlights</w:t>
      </w:r>
    </w:p>
  </w:footnote>
  <w:footnote w:id="69">
    <w:p w14:paraId="4CB982A7" w14:textId="77777777" w:rsidR="007576EF" w:rsidRDefault="007576EF" w:rsidP="007D4C6A">
      <w:pPr>
        <w:pStyle w:val="RRPfootnote"/>
      </w:pPr>
      <w:r>
        <w:rPr>
          <w:rStyle w:val="FootnoteReference"/>
          <w:rFonts w:eastAsia="ヒラギノ角ゴ Pro W3"/>
        </w:rPr>
        <w:footnoteRef/>
      </w:r>
      <w:r>
        <w:t xml:space="preserve"> Няма по-нови данни за динамиката на предприятията</w:t>
      </w:r>
    </w:p>
  </w:footnote>
  <w:footnote w:id="70">
    <w:p w14:paraId="03D6224E" w14:textId="77777777" w:rsidR="007576EF" w:rsidRDefault="007576EF" w:rsidP="007D4C6A">
      <w:pPr>
        <w:pStyle w:val="myfootnote0"/>
      </w:pPr>
      <w:r>
        <w:rPr>
          <w:rStyle w:val="FootnoteReference"/>
        </w:rPr>
        <w:footnoteRef/>
      </w:r>
      <w:r>
        <w:t xml:space="preserve"> </w:t>
      </w:r>
      <w:r>
        <w:tab/>
      </w:r>
      <w:hyperlink r:id="rId9" w:history="1">
        <w:r>
          <w:rPr>
            <w:rStyle w:val="Hyperlink"/>
          </w:rPr>
          <w:t>http://www.nsi.bg/sites/default/files/files/data/timeseries/SBS_HDC_BD.xls</w:t>
        </w:r>
      </w:hyperlink>
    </w:p>
  </w:footnote>
  <w:footnote w:id="71">
    <w:p w14:paraId="48EEB173" w14:textId="77777777" w:rsidR="007576EF" w:rsidRDefault="007576EF" w:rsidP="007D4C6A">
      <w:pPr>
        <w:pStyle w:val="RRPfootnote"/>
      </w:pPr>
      <w:r>
        <w:rPr>
          <w:rStyle w:val="FootnoteReference"/>
          <w:rFonts w:eastAsia="ヒラギノ角ゴ Pro W3"/>
        </w:rPr>
        <w:footnoteRef/>
      </w:r>
      <w:r>
        <w:tab/>
      </w:r>
      <w:hyperlink r:id="rId10" w:history="1">
        <w:r>
          <w:rPr>
            <w:rStyle w:val="Hyperlink"/>
            <w:rFonts w:eastAsiaTheme="majorEastAsia"/>
          </w:rPr>
          <w:t>https://nsi.bg/sites/default/files/files/data/timeseries/Ecology_7.1.xls</w:t>
        </w:r>
      </w:hyperlink>
    </w:p>
  </w:footnote>
  <w:footnote w:id="72">
    <w:p w14:paraId="081A5B94" w14:textId="77777777" w:rsidR="007576EF" w:rsidRDefault="007576EF" w:rsidP="007D4C6A">
      <w:pPr>
        <w:pStyle w:val="RRPfootnote"/>
      </w:pPr>
      <w:r>
        <w:rPr>
          <w:rStyle w:val="FootnoteReference"/>
          <w:rFonts w:eastAsia="ヒラギノ角ゴ Pro W3"/>
        </w:rPr>
        <w:footnoteRef/>
      </w:r>
      <w:r>
        <w:tab/>
      </w:r>
      <w:hyperlink r:id="rId11" w:history="1">
        <w:r>
          <w:rPr>
            <w:rStyle w:val="Hyperlink"/>
            <w:rFonts w:eastAsiaTheme="majorEastAsia"/>
          </w:rPr>
          <w:t>https://nsi.bg/sites/default/files/files/data/timeseries/Ecology_8.3.xls</w:t>
        </w:r>
      </w:hyperlink>
      <w:r>
        <w:t>.</w:t>
      </w:r>
    </w:p>
  </w:footnote>
  <w:footnote w:id="73">
    <w:p w14:paraId="7637E539" w14:textId="77777777" w:rsidR="007576EF" w:rsidRDefault="007576EF" w:rsidP="007D4C6A">
      <w:pPr>
        <w:pStyle w:val="RRPfootnote"/>
      </w:pPr>
      <w:r>
        <w:rPr>
          <w:rStyle w:val="FootnoteReference"/>
          <w:rFonts w:eastAsia="ヒラギノ角ゴ Pro W3"/>
        </w:rPr>
        <w:footnoteRef/>
      </w:r>
      <w:r>
        <w:t xml:space="preserve"> </w:t>
      </w:r>
      <w:hyperlink r:id="rId12" w:history="1">
        <w:r>
          <w:rPr>
            <w:rStyle w:val="Hyperlink"/>
            <w:rFonts w:eastAsiaTheme="majorEastAsia"/>
          </w:rPr>
          <w:t>https://nsi.bg/sites/default/files/files/data/timeseries/Ecology_8.1.xls</w:t>
        </w:r>
      </w:hyperlink>
    </w:p>
  </w:footnote>
  <w:footnote w:id="74">
    <w:p w14:paraId="5961BF34" w14:textId="77777777" w:rsidR="007576EF" w:rsidRPr="001D68C4" w:rsidRDefault="007576EF" w:rsidP="00C41F0E">
      <w:pPr>
        <w:pStyle w:val="FootnoteText"/>
        <w:rPr>
          <w:rFonts w:cs="Times New Roman"/>
          <w:sz w:val="16"/>
          <w:szCs w:val="16"/>
        </w:rPr>
      </w:pPr>
      <w:r>
        <w:rPr>
          <w:rStyle w:val="FootnoteReference"/>
          <w:rFonts w:cs="Times New Roman"/>
          <w:sz w:val="16"/>
          <w:szCs w:val="16"/>
          <w:lang w:val="en-IE"/>
        </w:rPr>
        <w:footnoteRef/>
      </w:r>
      <w:r>
        <w:rPr>
          <w:sz w:val="16"/>
          <w:szCs w:val="16"/>
        </w:rPr>
        <w:t xml:space="preserve"> Регламент (ЕС) 2021/1119 за създаване на рамката за постигане на неутралност по отношение на климата.</w:t>
      </w:r>
    </w:p>
  </w:footnote>
  <w:footnote w:id="75">
    <w:p w14:paraId="15F125B4" w14:textId="77777777" w:rsidR="007576EF" w:rsidRPr="00BF7A28" w:rsidRDefault="007576EF" w:rsidP="0091039F">
      <w:pPr>
        <w:pStyle w:val="FootnoteText"/>
        <w:rPr>
          <w:rFonts w:cs="Times New Roman"/>
          <w:i/>
          <w:iCs/>
        </w:rPr>
      </w:pPr>
      <w:r>
        <w:rPr>
          <w:rStyle w:val="FootnoteReference"/>
        </w:rPr>
        <w:footnoteRef/>
      </w:r>
      <w:r>
        <w:t xml:space="preserve"> </w:t>
      </w:r>
      <w:r w:rsidRPr="00BF7A28">
        <w:rPr>
          <w:rFonts w:cs="Times New Roman"/>
          <w:i/>
          <w:iCs/>
        </w:rPr>
        <w:t>https://ec.europa.eu/environment/archives/eia/pdf/030923_sea_guidance.pdf</w:t>
      </w:r>
    </w:p>
  </w:footnote>
  <w:footnote w:id="76">
    <w:p w14:paraId="5F402EE0" w14:textId="77777777" w:rsidR="007576EF" w:rsidRPr="00BF7A28" w:rsidRDefault="007576EF" w:rsidP="0091039F">
      <w:pPr>
        <w:pStyle w:val="FootnoteText"/>
        <w:rPr>
          <w:rFonts w:cs="Times New Roman"/>
          <w:i/>
          <w:iCs/>
        </w:rPr>
      </w:pPr>
      <w:r>
        <w:rPr>
          <w:rStyle w:val="FootnoteReference"/>
        </w:rPr>
        <w:footnoteRef/>
      </w:r>
      <w:r>
        <w:t xml:space="preserve"> </w:t>
      </w:r>
      <w:r w:rsidRPr="00BF7A28">
        <w:rPr>
          <w:rFonts w:cs="Times New Roman"/>
          <w:i/>
          <w:iCs/>
        </w:rPr>
        <w:t>https://ec.europa.eu/environment/eia/pdf/SEA%20Guidance.pdf</w:t>
      </w:r>
    </w:p>
  </w:footnote>
  <w:footnote w:id="77">
    <w:p w14:paraId="3C5321F7" w14:textId="77777777" w:rsidR="007576EF" w:rsidRPr="00BF7A28" w:rsidRDefault="007576EF" w:rsidP="0091039F">
      <w:pPr>
        <w:pStyle w:val="FootnoteText"/>
        <w:rPr>
          <w:rFonts w:cs="Times New Roman"/>
          <w:i/>
          <w:iCs/>
        </w:rPr>
      </w:pPr>
      <w:r>
        <w:rPr>
          <w:rStyle w:val="FootnoteReference"/>
        </w:rPr>
        <w:footnoteRef/>
      </w:r>
      <w:r>
        <w:t xml:space="preserve"> </w:t>
      </w:r>
      <w:r w:rsidRPr="00BF7A28">
        <w:rPr>
          <w:rFonts w:cs="Times New Roman"/>
          <w:i/>
          <w:iCs/>
        </w:rPr>
        <w:t>https://publications.jrc.ec.europa.eu/repository/handle/JRC58006</w:t>
      </w:r>
    </w:p>
  </w:footnote>
  <w:footnote w:id="78">
    <w:p w14:paraId="5C4ACB5C" w14:textId="77777777" w:rsidR="007576EF" w:rsidRPr="00BF7A28" w:rsidRDefault="007576EF" w:rsidP="0091039F">
      <w:pPr>
        <w:pStyle w:val="FootnoteText"/>
        <w:rPr>
          <w:rFonts w:cs="Times New Roman"/>
          <w:i/>
          <w:iCs/>
        </w:rPr>
      </w:pPr>
      <w:r w:rsidRPr="00BF7A28">
        <w:rPr>
          <w:rStyle w:val="FootnoteReference"/>
        </w:rPr>
        <w:footnoteRef/>
      </w:r>
      <w:r w:rsidRPr="00BF7A28">
        <w:rPr>
          <w:rFonts w:cs="Times New Roman"/>
          <w:i/>
          <w:iCs/>
        </w:rPr>
        <w:t xml:space="preserve"> https://unece.org/DAM/env/documents/2011/eia/ece.mp.eia.17.e.pdf</w:t>
      </w:r>
    </w:p>
  </w:footnote>
  <w:footnote w:id="79">
    <w:p w14:paraId="3C685EF7" w14:textId="77777777" w:rsidR="007576EF" w:rsidRPr="00BF7A28" w:rsidRDefault="007576EF" w:rsidP="0091039F">
      <w:pPr>
        <w:pStyle w:val="FootnoteText"/>
        <w:rPr>
          <w:rFonts w:cs="Times New Roman"/>
          <w:i/>
          <w:iCs/>
        </w:rPr>
      </w:pPr>
      <w:r w:rsidRPr="00BF7A28">
        <w:rPr>
          <w:rStyle w:val="FootnoteReference"/>
        </w:rPr>
        <w:footnoteRef/>
      </w:r>
      <w:r w:rsidRPr="00BF7A28">
        <w:rPr>
          <w:rFonts w:cs="Times New Roman"/>
          <w:i/>
          <w:iCs/>
        </w:rPr>
        <w:t xml:space="preserve"> https://unece.org/sites/default/files/2020-12/1514364_E_Espoo_web.pdf</w:t>
      </w:r>
    </w:p>
  </w:footnote>
  <w:footnote w:id="80">
    <w:p w14:paraId="0B0FFBB5" w14:textId="77777777" w:rsidR="007576EF" w:rsidRDefault="007576EF" w:rsidP="0070287B">
      <w:pPr>
        <w:pStyle w:val="FootnoteText"/>
      </w:pPr>
      <w:r>
        <w:rPr>
          <w:rStyle w:val="FootnoteReference"/>
        </w:rPr>
        <w:footnoteRef/>
      </w:r>
      <w:r>
        <w:t xml:space="preserve"> </w:t>
      </w:r>
      <w:r w:rsidRPr="009E2BB8">
        <w:rPr>
          <w:i/>
          <w:iCs/>
          <w:sz w:val="18"/>
          <w:szCs w:val="18"/>
        </w:rPr>
        <w:t>https://strategy.bg/PublicConsultations/View.aspx?lang=bg-BG&amp;Id=6649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2"/>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7576EF" w14:paraId="6D75F6B8" w14:textId="77777777" w:rsidTr="00ED6F1D">
      <w:tc>
        <w:tcPr>
          <w:tcW w:w="3070" w:type="dxa"/>
        </w:tcPr>
        <w:p w14:paraId="7E746E79" w14:textId="77777777" w:rsidR="007576EF" w:rsidRDefault="007576EF" w:rsidP="001529ED">
          <w:pPr>
            <w:pStyle w:val="Header"/>
            <w:jc w:val="center"/>
          </w:pPr>
          <w:r>
            <w:object w:dxaOrig="1620" w:dyaOrig="1188" w14:anchorId="2D438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4pt;height:59.5pt">
                <v:imagedata r:id="rId1" o:title=""/>
              </v:shape>
              <o:OLEObject Type="Embed" ProgID="PBrush" ShapeID="_x0000_i1025" DrawAspect="Content" ObjectID="_1725883514" r:id="rId2"/>
            </w:object>
          </w:r>
        </w:p>
      </w:tc>
      <w:tc>
        <w:tcPr>
          <w:tcW w:w="3071" w:type="dxa"/>
        </w:tcPr>
        <w:p w14:paraId="53BF1D1B" w14:textId="77777777" w:rsidR="007576EF" w:rsidRDefault="007576EF" w:rsidP="001529ED">
          <w:pPr>
            <w:pStyle w:val="Header"/>
          </w:pPr>
        </w:p>
      </w:tc>
      <w:tc>
        <w:tcPr>
          <w:tcW w:w="3071" w:type="dxa"/>
        </w:tcPr>
        <w:p w14:paraId="65CC661B" w14:textId="77777777" w:rsidR="007576EF" w:rsidRDefault="007576EF" w:rsidP="001529ED">
          <w:pPr>
            <w:pStyle w:val="Header"/>
            <w:jc w:val="center"/>
          </w:pPr>
          <w:r>
            <w:rPr>
              <w:noProof/>
              <w:lang w:val="en-US"/>
            </w:rPr>
            <w:drawing>
              <wp:inline distT="0" distB="0" distL="0" distR="0" wp14:anchorId="13AF3CB6" wp14:editId="44B8CD9C">
                <wp:extent cx="1285875" cy="1166839"/>
                <wp:effectExtent l="0" t="0" r="0" b="0"/>
                <wp:docPr id="477"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лски райони.jpg"/>
                        <pic:cNvPicPr/>
                      </pic:nvPicPr>
                      <pic:blipFill>
                        <a:blip r:embed="rId3">
                          <a:extLst>
                            <a:ext uri="{28A0092B-C50C-407E-A947-70E740481C1C}">
                              <a14:useLocalDpi xmlns:a14="http://schemas.microsoft.com/office/drawing/2010/main" val="0"/>
                            </a:ext>
                          </a:extLst>
                        </a:blip>
                        <a:stretch>
                          <a:fillRect/>
                        </a:stretch>
                      </pic:blipFill>
                      <pic:spPr>
                        <a:xfrm>
                          <a:off x="0" y="0"/>
                          <a:ext cx="1294667" cy="1174817"/>
                        </a:xfrm>
                        <a:prstGeom prst="rect">
                          <a:avLst/>
                        </a:prstGeom>
                      </pic:spPr>
                    </pic:pic>
                  </a:graphicData>
                </a:graphic>
              </wp:inline>
            </w:drawing>
          </w:r>
        </w:p>
      </w:tc>
    </w:tr>
  </w:tbl>
  <w:p w14:paraId="6186D3AC" w14:textId="77777777" w:rsidR="007576EF" w:rsidRDefault="007576EF" w:rsidP="00981F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7576EF" w14:paraId="5D464938" w14:textId="77777777" w:rsidTr="007E18C8">
      <w:tc>
        <w:tcPr>
          <w:tcW w:w="3070" w:type="dxa"/>
        </w:tcPr>
        <w:p w14:paraId="4C805128" w14:textId="77777777" w:rsidR="007576EF" w:rsidRDefault="007576EF" w:rsidP="001529ED">
          <w:pPr>
            <w:pStyle w:val="Header"/>
            <w:jc w:val="center"/>
          </w:pPr>
          <w:r>
            <w:object w:dxaOrig="1620" w:dyaOrig="1188" w14:anchorId="00B4BC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0.75pt;height:59.5pt">
                <v:imagedata r:id="rId1" o:title=""/>
              </v:shape>
              <o:OLEObject Type="Embed" ProgID="PBrush" ShapeID="_x0000_i1026" DrawAspect="Content" ObjectID="_1725883515" r:id="rId2"/>
            </w:object>
          </w:r>
        </w:p>
      </w:tc>
      <w:tc>
        <w:tcPr>
          <w:tcW w:w="3071" w:type="dxa"/>
        </w:tcPr>
        <w:p w14:paraId="71B658C6" w14:textId="77777777" w:rsidR="007576EF" w:rsidRDefault="007576EF" w:rsidP="001529ED">
          <w:pPr>
            <w:pStyle w:val="Header"/>
          </w:pPr>
        </w:p>
      </w:tc>
      <w:tc>
        <w:tcPr>
          <w:tcW w:w="3071" w:type="dxa"/>
        </w:tcPr>
        <w:p w14:paraId="7B789DAF" w14:textId="77777777" w:rsidR="007576EF" w:rsidRDefault="007576EF" w:rsidP="001529ED">
          <w:pPr>
            <w:pStyle w:val="Header"/>
            <w:jc w:val="center"/>
          </w:pPr>
          <w:r>
            <w:rPr>
              <w:noProof/>
              <w:lang w:val="en-US"/>
            </w:rPr>
            <w:drawing>
              <wp:inline distT="0" distB="0" distL="0" distR="0" wp14:anchorId="309F2B85" wp14:editId="65555D44">
                <wp:extent cx="1285875" cy="1166839"/>
                <wp:effectExtent l="0" t="0" r="0" b="0"/>
                <wp:docPr id="20"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лски райони.jpg"/>
                        <pic:cNvPicPr/>
                      </pic:nvPicPr>
                      <pic:blipFill>
                        <a:blip r:embed="rId3">
                          <a:extLst>
                            <a:ext uri="{28A0092B-C50C-407E-A947-70E740481C1C}">
                              <a14:useLocalDpi xmlns:a14="http://schemas.microsoft.com/office/drawing/2010/main" val="0"/>
                            </a:ext>
                          </a:extLst>
                        </a:blip>
                        <a:stretch>
                          <a:fillRect/>
                        </a:stretch>
                      </pic:blipFill>
                      <pic:spPr>
                        <a:xfrm>
                          <a:off x="0" y="0"/>
                          <a:ext cx="1294667" cy="1174817"/>
                        </a:xfrm>
                        <a:prstGeom prst="rect">
                          <a:avLst/>
                        </a:prstGeom>
                      </pic:spPr>
                    </pic:pic>
                  </a:graphicData>
                </a:graphic>
              </wp:inline>
            </w:drawing>
          </w:r>
        </w:p>
      </w:tc>
    </w:tr>
  </w:tbl>
  <w:p w14:paraId="6C73D2EA" w14:textId="77777777" w:rsidR="007576EF" w:rsidRDefault="007576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005E0"/>
    <w:multiLevelType w:val="hybridMultilevel"/>
    <w:tmpl w:val="C15207E2"/>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D5E47"/>
    <w:multiLevelType w:val="hybridMultilevel"/>
    <w:tmpl w:val="4D68E2BC"/>
    <w:lvl w:ilvl="0" w:tplc="F9107CB8">
      <w:start w:val="1"/>
      <w:numFmt w:val="upperRoman"/>
      <w:lvlText w:val="%1."/>
      <w:lvlJc w:val="left"/>
      <w:pPr>
        <w:ind w:left="136" w:hanging="155"/>
      </w:pPr>
      <w:rPr>
        <w:rFonts w:ascii="Times New Roman" w:eastAsia="Times New Roman" w:hAnsi="Times New Roman" w:cs="Times New Roman" w:hint="default"/>
        <w:b/>
        <w:bCs/>
        <w:spacing w:val="-1"/>
        <w:w w:val="100"/>
        <w:sz w:val="22"/>
        <w:szCs w:val="22"/>
        <w:lang w:val="bg-BG" w:eastAsia="en-US" w:bidi="ar-SA"/>
      </w:rPr>
    </w:lvl>
    <w:lvl w:ilvl="1" w:tplc="335CBE82">
      <w:numFmt w:val="bullet"/>
      <w:lvlText w:val="•"/>
      <w:lvlJc w:val="left"/>
      <w:pPr>
        <w:ind w:left="1094" w:hanging="155"/>
      </w:pPr>
      <w:rPr>
        <w:lang w:val="bg-BG" w:eastAsia="en-US" w:bidi="ar-SA"/>
      </w:rPr>
    </w:lvl>
    <w:lvl w:ilvl="2" w:tplc="2690E55C">
      <w:numFmt w:val="bullet"/>
      <w:lvlText w:val="•"/>
      <w:lvlJc w:val="left"/>
      <w:pPr>
        <w:ind w:left="2049" w:hanging="155"/>
      </w:pPr>
      <w:rPr>
        <w:lang w:val="bg-BG" w:eastAsia="en-US" w:bidi="ar-SA"/>
      </w:rPr>
    </w:lvl>
    <w:lvl w:ilvl="3" w:tplc="AFE803DC">
      <w:numFmt w:val="bullet"/>
      <w:lvlText w:val="•"/>
      <w:lvlJc w:val="left"/>
      <w:pPr>
        <w:ind w:left="3003" w:hanging="155"/>
      </w:pPr>
      <w:rPr>
        <w:lang w:val="bg-BG" w:eastAsia="en-US" w:bidi="ar-SA"/>
      </w:rPr>
    </w:lvl>
    <w:lvl w:ilvl="4" w:tplc="85CA278A">
      <w:numFmt w:val="bullet"/>
      <w:lvlText w:val="•"/>
      <w:lvlJc w:val="left"/>
      <w:pPr>
        <w:ind w:left="3958" w:hanging="155"/>
      </w:pPr>
      <w:rPr>
        <w:lang w:val="bg-BG" w:eastAsia="en-US" w:bidi="ar-SA"/>
      </w:rPr>
    </w:lvl>
    <w:lvl w:ilvl="5" w:tplc="30DCE880">
      <w:numFmt w:val="bullet"/>
      <w:lvlText w:val="•"/>
      <w:lvlJc w:val="left"/>
      <w:pPr>
        <w:ind w:left="4913" w:hanging="155"/>
      </w:pPr>
      <w:rPr>
        <w:lang w:val="bg-BG" w:eastAsia="en-US" w:bidi="ar-SA"/>
      </w:rPr>
    </w:lvl>
    <w:lvl w:ilvl="6" w:tplc="F9968C98">
      <w:numFmt w:val="bullet"/>
      <w:lvlText w:val="•"/>
      <w:lvlJc w:val="left"/>
      <w:pPr>
        <w:ind w:left="5867" w:hanging="155"/>
      </w:pPr>
      <w:rPr>
        <w:lang w:val="bg-BG" w:eastAsia="en-US" w:bidi="ar-SA"/>
      </w:rPr>
    </w:lvl>
    <w:lvl w:ilvl="7" w:tplc="19A076A6">
      <w:numFmt w:val="bullet"/>
      <w:lvlText w:val="•"/>
      <w:lvlJc w:val="left"/>
      <w:pPr>
        <w:ind w:left="6822" w:hanging="155"/>
      </w:pPr>
      <w:rPr>
        <w:lang w:val="bg-BG" w:eastAsia="en-US" w:bidi="ar-SA"/>
      </w:rPr>
    </w:lvl>
    <w:lvl w:ilvl="8" w:tplc="5AB66AD4">
      <w:numFmt w:val="bullet"/>
      <w:lvlText w:val="•"/>
      <w:lvlJc w:val="left"/>
      <w:pPr>
        <w:ind w:left="7777" w:hanging="155"/>
      </w:pPr>
      <w:rPr>
        <w:lang w:val="bg-BG" w:eastAsia="en-US" w:bidi="ar-SA"/>
      </w:rPr>
    </w:lvl>
  </w:abstractNum>
  <w:abstractNum w:abstractNumId="2" w15:restartNumberingAfterBreak="0">
    <w:nsid w:val="02B33C7F"/>
    <w:multiLevelType w:val="hybridMultilevel"/>
    <w:tmpl w:val="7FC8AD22"/>
    <w:lvl w:ilvl="0" w:tplc="6E2E3B2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B87E41"/>
    <w:multiLevelType w:val="hybridMultilevel"/>
    <w:tmpl w:val="ABBA70AC"/>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 w15:restartNumberingAfterBreak="0">
    <w:nsid w:val="091A64DB"/>
    <w:multiLevelType w:val="hybridMultilevel"/>
    <w:tmpl w:val="432EBE20"/>
    <w:lvl w:ilvl="0" w:tplc="04020001">
      <w:start w:val="1"/>
      <w:numFmt w:val="bullet"/>
      <w:lvlText w:val=""/>
      <w:lvlJc w:val="left"/>
      <w:pPr>
        <w:ind w:left="720" w:hanging="360"/>
      </w:pPr>
      <w:rPr>
        <w:rFonts w:ascii="Symbol" w:hAnsi="Symbol" w:hint="default"/>
      </w:rPr>
    </w:lvl>
    <w:lvl w:ilvl="1" w:tplc="7E309152">
      <w:numFmt w:val="bullet"/>
      <w:lvlText w:val="-"/>
      <w:lvlJc w:val="left"/>
      <w:pPr>
        <w:ind w:left="1440" w:hanging="360"/>
      </w:pPr>
      <w:rPr>
        <w:rFonts w:ascii="Times New Roman" w:eastAsiaTheme="minorHAnsi" w:hAnsi="Times New Roman" w:cs="Times New Roman"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B944C35"/>
    <w:multiLevelType w:val="hybridMultilevel"/>
    <w:tmpl w:val="849CD1AE"/>
    <w:lvl w:ilvl="0" w:tplc="6E2E3B2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DB91CE7"/>
    <w:multiLevelType w:val="hybridMultilevel"/>
    <w:tmpl w:val="039CD09E"/>
    <w:lvl w:ilvl="0" w:tplc="04020001">
      <w:start w:val="1"/>
      <w:numFmt w:val="bullet"/>
      <w:lvlText w:val=""/>
      <w:lvlJc w:val="left"/>
      <w:pPr>
        <w:ind w:left="1211" w:hanging="360"/>
      </w:pPr>
      <w:rPr>
        <w:rFonts w:ascii="Symbol" w:hAnsi="Symbol" w:hint="default"/>
      </w:rPr>
    </w:lvl>
    <w:lvl w:ilvl="1" w:tplc="04020003">
      <w:start w:val="1"/>
      <w:numFmt w:val="bullet"/>
      <w:lvlText w:val="o"/>
      <w:lvlJc w:val="left"/>
      <w:pPr>
        <w:ind w:left="1931" w:hanging="360"/>
      </w:pPr>
      <w:rPr>
        <w:rFonts w:ascii="Courier New" w:hAnsi="Courier New" w:cs="Courier New" w:hint="default"/>
      </w:rPr>
    </w:lvl>
    <w:lvl w:ilvl="2" w:tplc="04020005">
      <w:start w:val="1"/>
      <w:numFmt w:val="bullet"/>
      <w:lvlText w:val=""/>
      <w:lvlJc w:val="left"/>
      <w:pPr>
        <w:ind w:left="2651" w:hanging="360"/>
      </w:pPr>
      <w:rPr>
        <w:rFonts w:ascii="Wingdings" w:hAnsi="Wingdings" w:hint="default"/>
      </w:rPr>
    </w:lvl>
    <w:lvl w:ilvl="3" w:tplc="04020001">
      <w:start w:val="1"/>
      <w:numFmt w:val="bullet"/>
      <w:lvlText w:val=""/>
      <w:lvlJc w:val="left"/>
      <w:pPr>
        <w:ind w:left="3371" w:hanging="360"/>
      </w:pPr>
      <w:rPr>
        <w:rFonts w:ascii="Symbol" w:hAnsi="Symbol" w:hint="default"/>
      </w:rPr>
    </w:lvl>
    <w:lvl w:ilvl="4" w:tplc="04020003">
      <w:start w:val="1"/>
      <w:numFmt w:val="bullet"/>
      <w:lvlText w:val="o"/>
      <w:lvlJc w:val="left"/>
      <w:pPr>
        <w:ind w:left="4091" w:hanging="360"/>
      </w:pPr>
      <w:rPr>
        <w:rFonts w:ascii="Courier New" w:hAnsi="Courier New" w:cs="Courier New" w:hint="default"/>
      </w:rPr>
    </w:lvl>
    <w:lvl w:ilvl="5" w:tplc="04020005">
      <w:start w:val="1"/>
      <w:numFmt w:val="bullet"/>
      <w:lvlText w:val=""/>
      <w:lvlJc w:val="left"/>
      <w:pPr>
        <w:ind w:left="4811" w:hanging="360"/>
      </w:pPr>
      <w:rPr>
        <w:rFonts w:ascii="Wingdings" w:hAnsi="Wingdings" w:hint="default"/>
      </w:rPr>
    </w:lvl>
    <w:lvl w:ilvl="6" w:tplc="04020001">
      <w:start w:val="1"/>
      <w:numFmt w:val="bullet"/>
      <w:lvlText w:val=""/>
      <w:lvlJc w:val="left"/>
      <w:pPr>
        <w:ind w:left="5531" w:hanging="360"/>
      </w:pPr>
      <w:rPr>
        <w:rFonts w:ascii="Symbol" w:hAnsi="Symbol" w:hint="default"/>
      </w:rPr>
    </w:lvl>
    <w:lvl w:ilvl="7" w:tplc="04020003">
      <w:start w:val="1"/>
      <w:numFmt w:val="bullet"/>
      <w:lvlText w:val="o"/>
      <w:lvlJc w:val="left"/>
      <w:pPr>
        <w:ind w:left="6251" w:hanging="360"/>
      </w:pPr>
      <w:rPr>
        <w:rFonts w:ascii="Courier New" w:hAnsi="Courier New" w:cs="Courier New" w:hint="default"/>
      </w:rPr>
    </w:lvl>
    <w:lvl w:ilvl="8" w:tplc="04020005">
      <w:start w:val="1"/>
      <w:numFmt w:val="bullet"/>
      <w:lvlText w:val=""/>
      <w:lvlJc w:val="left"/>
      <w:pPr>
        <w:ind w:left="6971" w:hanging="360"/>
      </w:pPr>
      <w:rPr>
        <w:rFonts w:ascii="Wingdings" w:hAnsi="Wingdings" w:hint="default"/>
      </w:rPr>
    </w:lvl>
  </w:abstractNum>
  <w:abstractNum w:abstractNumId="7" w15:restartNumberingAfterBreak="0">
    <w:nsid w:val="0F3C261A"/>
    <w:multiLevelType w:val="multilevel"/>
    <w:tmpl w:val="EE967BF6"/>
    <w:lvl w:ilvl="0">
      <w:start w:val="13"/>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147D30F3"/>
    <w:multiLevelType w:val="hybridMultilevel"/>
    <w:tmpl w:val="94D4FD04"/>
    <w:lvl w:ilvl="0" w:tplc="0402000F">
      <w:start w:val="1"/>
      <w:numFmt w:val="decimal"/>
      <w:lvlText w:val="%1."/>
      <w:lvlJc w:val="left"/>
      <w:pPr>
        <w:ind w:left="450" w:hanging="360"/>
      </w:pPr>
    </w:lvl>
    <w:lvl w:ilvl="1" w:tplc="04020019" w:tentative="1">
      <w:start w:val="1"/>
      <w:numFmt w:val="lowerLetter"/>
      <w:lvlText w:val="%2."/>
      <w:lvlJc w:val="left"/>
      <w:pPr>
        <w:ind w:left="1170" w:hanging="360"/>
      </w:pPr>
    </w:lvl>
    <w:lvl w:ilvl="2" w:tplc="0402001B" w:tentative="1">
      <w:start w:val="1"/>
      <w:numFmt w:val="lowerRoman"/>
      <w:lvlText w:val="%3."/>
      <w:lvlJc w:val="right"/>
      <w:pPr>
        <w:ind w:left="1890" w:hanging="180"/>
      </w:pPr>
    </w:lvl>
    <w:lvl w:ilvl="3" w:tplc="0402000F" w:tentative="1">
      <w:start w:val="1"/>
      <w:numFmt w:val="decimal"/>
      <w:lvlText w:val="%4."/>
      <w:lvlJc w:val="left"/>
      <w:pPr>
        <w:ind w:left="2610" w:hanging="360"/>
      </w:pPr>
    </w:lvl>
    <w:lvl w:ilvl="4" w:tplc="04020019" w:tentative="1">
      <w:start w:val="1"/>
      <w:numFmt w:val="lowerLetter"/>
      <w:lvlText w:val="%5."/>
      <w:lvlJc w:val="left"/>
      <w:pPr>
        <w:ind w:left="3330" w:hanging="360"/>
      </w:pPr>
    </w:lvl>
    <w:lvl w:ilvl="5" w:tplc="0402001B" w:tentative="1">
      <w:start w:val="1"/>
      <w:numFmt w:val="lowerRoman"/>
      <w:lvlText w:val="%6."/>
      <w:lvlJc w:val="right"/>
      <w:pPr>
        <w:ind w:left="4050" w:hanging="180"/>
      </w:pPr>
    </w:lvl>
    <w:lvl w:ilvl="6" w:tplc="0402000F" w:tentative="1">
      <w:start w:val="1"/>
      <w:numFmt w:val="decimal"/>
      <w:lvlText w:val="%7."/>
      <w:lvlJc w:val="left"/>
      <w:pPr>
        <w:ind w:left="4770" w:hanging="360"/>
      </w:pPr>
    </w:lvl>
    <w:lvl w:ilvl="7" w:tplc="04020019" w:tentative="1">
      <w:start w:val="1"/>
      <w:numFmt w:val="lowerLetter"/>
      <w:lvlText w:val="%8."/>
      <w:lvlJc w:val="left"/>
      <w:pPr>
        <w:ind w:left="5490" w:hanging="360"/>
      </w:pPr>
    </w:lvl>
    <w:lvl w:ilvl="8" w:tplc="0402001B" w:tentative="1">
      <w:start w:val="1"/>
      <w:numFmt w:val="lowerRoman"/>
      <w:lvlText w:val="%9."/>
      <w:lvlJc w:val="right"/>
      <w:pPr>
        <w:ind w:left="6210" w:hanging="180"/>
      </w:pPr>
    </w:lvl>
  </w:abstractNum>
  <w:abstractNum w:abstractNumId="9" w15:restartNumberingAfterBreak="0">
    <w:nsid w:val="148F6F19"/>
    <w:multiLevelType w:val="hybridMultilevel"/>
    <w:tmpl w:val="B8CCF8F6"/>
    <w:lvl w:ilvl="0" w:tplc="0809000F">
      <w:start w:val="1"/>
      <w:numFmt w:val="decimal"/>
      <w:lvlText w:val="%1."/>
      <w:lvlJc w:val="left"/>
      <w:pPr>
        <w:ind w:left="928"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4DA3179"/>
    <w:multiLevelType w:val="hybridMultilevel"/>
    <w:tmpl w:val="709EF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353B70"/>
    <w:multiLevelType w:val="multilevel"/>
    <w:tmpl w:val="E444C4D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84E0E8A"/>
    <w:multiLevelType w:val="hybridMultilevel"/>
    <w:tmpl w:val="F54850B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18CA3FDF"/>
    <w:multiLevelType w:val="hybridMultilevel"/>
    <w:tmpl w:val="875C7298"/>
    <w:lvl w:ilvl="0" w:tplc="2D28AA22">
      <w:start w:val="1"/>
      <w:numFmt w:val="bullet"/>
      <w:lvlText w:val=""/>
      <w:lvlJc w:val="left"/>
      <w:pPr>
        <w:ind w:left="1069" w:hanging="360"/>
      </w:pPr>
      <w:rPr>
        <w:rFonts w:ascii="Symbol" w:hAnsi="Symbol" w:hint="default"/>
      </w:rPr>
    </w:lvl>
    <w:lvl w:ilvl="1" w:tplc="04020003">
      <w:start w:val="1"/>
      <w:numFmt w:val="bullet"/>
      <w:lvlText w:val="o"/>
      <w:lvlJc w:val="left"/>
      <w:pPr>
        <w:ind w:left="4897" w:hanging="360"/>
      </w:pPr>
      <w:rPr>
        <w:rFonts w:ascii="Courier New" w:hAnsi="Courier New" w:cs="Courier New" w:hint="default"/>
      </w:rPr>
    </w:lvl>
    <w:lvl w:ilvl="2" w:tplc="09346F64">
      <w:start w:val="5"/>
      <w:numFmt w:val="bullet"/>
      <w:lvlText w:val="-"/>
      <w:lvlJc w:val="left"/>
      <w:pPr>
        <w:ind w:left="2509" w:hanging="360"/>
      </w:pPr>
      <w:rPr>
        <w:rFonts w:ascii="Times New Roman" w:eastAsia="ヒラギノ角ゴ Pro W3" w:hAnsi="Times New Roman" w:cs="Times New Roman"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4" w15:restartNumberingAfterBreak="0">
    <w:nsid w:val="192377A1"/>
    <w:multiLevelType w:val="hybridMultilevel"/>
    <w:tmpl w:val="3EC21118"/>
    <w:lvl w:ilvl="0" w:tplc="15944A9E">
      <w:start w:val="1"/>
      <w:numFmt w:val="decimal"/>
      <w:lvlText w:val="%1."/>
      <w:lvlJc w:val="left"/>
      <w:pPr>
        <w:ind w:left="317" w:hanging="181"/>
      </w:pPr>
      <w:rPr>
        <w:rFonts w:ascii="Times New Roman" w:eastAsia="Times New Roman" w:hAnsi="Times New Roman" w:cs="Times New Roman" w:hint="default"/>
        <w:w w:val="100"/>
        <w:sz w:val="22"/>
        <w:szCs w:val="22"/>
        <w:lang w:val="bg-BG" w:eastAsia="en-US" w:bidi="ar-SA"/>
      </w:rPr>
    </w:lvl>
    <w:lvl w:ilvl="1" w:tplc="16FC385E">
      <w:numFmt w:val="bullet"/>
      <w:lvlText w:val="•"/>
      <w:lvlJc w:val="left"/>
      <w:pPr>
        <w:ind w:left="1256" w:hanging="181"/>
      </w:pPr>
      <w:rPr>
        <w:lang w:val="bg-BG" w:eastAsia="en-US" w:bidi="ar-SA"/>
      </w:rPr>
    </w:lvl>
    <w:lvl w:ilvl="2" w:tplc="C2FE2244">
      <w:numFmt w:val="bullet"/>
      <w:lvlText w:val="•"/>
      <w:lvlJc w:val="left"/>
      <w:pPr>
        <w:ind w:left="2193" w:hanging="181"/>
      </w:pPr>
      <w:rPr>
        <w:lang w:val="bg-BG" w:eastAsia="en-US" w:bidi="ar-SA"/>
      </w:rPr>
    </w:lvl>
    <w:lvl w:ilvl="3" w:tplc="F9E217B4">
      <w:numFmt w:val="bullet"/>
      <w:lvlText w:val="•"/>
      <w:lvlJc w:val="left"/>
      <w:pPr>
        <w:ind w:left="3129" w:hanging="181"/>
      </w:pPr>
      <w:rPr>
        <w:lang w:val="bg-BG" w:eastAsia="en-US" w:bidi="ar-SA"/>
      </w:rPr>
    </w:lvl>
    <w:lvl w:ilvl="4" w:tplc="96CCA0DE">
      <w:numFmt w:val="bullet"/>
      <w:lvlText w:val="•"/>
      <w:lvlJc w:val="left"/>
      <w:pPr>
        <w:ind w:left="4066" w:hanging="181"/>
      </w:pPr>
      <w:rPr>
        <w:lang w:val="bg-BG" w:eastAsia="en-US" w:bidi="ar-SA"/>
      </w:rPr>
    </w:lvl>
    <w:lvl w:ilvl="5" w:tplc="CB24B634">
      <w:numFmt w:val="bullet"/>
      <w:lvlText w:val="•"/>
      <w:lvlJc w:val="left"/>
      <w:pPr>
        <w:ind w:left="5003" w:hanging="181"/>
      </w:pPr>
      <w:rPr>
        <w:lang w:val="bg-BG" w:eastAsia="en-US" w:bidi="ar-SA"/>
      </w:rPr>
    </w:lvl>
    <w:lvl w:ilvl="6" w:tplc="69FECF3E">
      <w:numFmt w:val="bullet"/>
      <w:lvlText w:val="•"/>
      <w:lvlJc w:val="left"/>
      <w:pPr>
        <w:ind w:left="5939" w:hanging="181"/>
      </w:pPr>
      <w:rPr>
        <w:lang w:val="bg-BG" w:eastAsia="en-US" w:bidi="ar-SA"/>
      </w:rPr>
    </w:lvl>
    <w:lvl w:ilvl="7" w:tplc="F1DADCC0">
      <w:numFmt w:val="bullet"/>
      <w:lvlText w:val="•"/>
      <w:lvlJc w:val="left"/>
      <w:pPr>
        <w:ind w:left="6876" w:hanging="181"/>
      </w:pPr>
      <w:rPr>
        <w:lang w:val="bg-BG" w:eastAsia="en-US" w:bidi="ar-SA"/>
      </w:rPr>
    </w:lvl>
    <w:lvl w:ilvl="8" w:tplc="4D88BCE6">
      <w:numFmt w:val="bullet"/>
      <w:lvlText w:val="•"/>
      <w:lvlJc w:val="left"/>
      <w:pPr>
        <w:ind w:left="7813" w:hanging="181"/>
      </w:pPr>
      <w:rPr>
        <w:lang w:val="bg-BG" w:eastAsia="en-US" w:bidi="ar-SA"/>
      </w:rPr>
    </w:lvl>
  </w:abstractNum>
  <w:abstractNum w:abstractNumId="15" w15:restartNumberingAfterBreak="0">
    <w:nsid w:val="1B165520"/>
    <w:multiLevelType w:val="multilevel"/>
    <w:tmpl w:val="E0E09394"/>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6" w15:restartNumberingAfterBreak="0">
    <w:nsid w:val="1DDF3C77"/>
    <w:multiLevelType w:val="hybridMultilevel"/>
    <w:tmpl w:val="F53CC65E"/>
    <w:lvl w:ilvl="0" w:tplc="08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E5A2392"/>
    <w:multiLevelType w:val="hybridMultilevel"/>
    <w:tmpl w:val="F6A81608"/>
    <w:lvl w:ilvl="0" w:tplc="6E2E3B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78596A"/>
    <w:multiLevelType w:val="multilevel"/>
    <w:tmpl w:val="3A8A4CF8"/>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bullet"/>
      <w:lvlText w:val=""/>
      <w:lvlJc w:val="left"/>
      <w:pPr>
        <w:ind w:left="1428" w:hanging="720"/>
      </w:pPr>
      <w:rPr>
        <w:rFonts w:ascii="Symbol" w:hAnsi="Symbol"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9" w15:restartNumberingAfterBreak="0">
    <w:nsid w:val="246F7D85"/>
    <w:multiLevelType w:val="hybridMultilevel"/>
    <w:tmpl w:val="C140265A"/>
    <w:lvl w:ilvl="0" w:tplc="C6BA6B96">
      <w:start w:val="3"/>
      <w:numFmt w:val="bullet"/>
      <w:lvlText w:val="-"/>
      <w:lvlJc w:val="left"/>
      <w:pPr>
        <w:ind w:left="500" w:hanging="360"/>
      </w:pPr>
      <w:rPr>
        <w:rFonts w:ascii="Calibri" w:eastAsia="Times New Roman" w:hAnsi="Calibri" w:cs="Calibri"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 w15:restartNumberingAfterBreak="0">
    <w:nsid w:val="269D1484"/>
    <w:multiLevelType w:val="hybridMultilevel"/>
    <w:tmpl w:val="88FEEA1A"/>
    <w:lvl w:ilvl="0" w:tplc="04090013">
      <w:start w:val="1"/>
      <w:numFmt w:val="upperRoman"/>
      <w:lvlText w:val="%1."/>
      <w:lvlJc w:val="righ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1" w15:restartNumberingAfterBreak="0">
    <w:nsid w:val="2A776456"/>
    <w:multiLevelType w:val="multilevel"/>
    <w:tmpl w:val="E522FCA2"/>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2" w15:restartNumberingAfterBreak="0">
    <w:nsid w:val="2E221ADA"/>
    <w:multiLevelType w:val="multilevel"/>
    <w:tmpl w:val="DC149E76"/>
    <w:lvl w:ilvl="0">
      <w:start w:val="9"/>
      <w:numFmt w:val="decimal"/>
      <w:lvlText w:val="%1"/>
      <w:lvlJc w:val="left"/>
      <w:pPr>
        <w:ind w:left="136" w:hanging="485"/>
      </w:pPr>
      <w:rPr>
        <w:lang w:val="bg-BG" w:eastAsia="en-US" w:bidi="ar-SA"/>
      </w:rPr>
    </w:lvl>
    <w:lvl w:ilvl="1">
      <w:start w:val="1"/>
      <w:numFmt w:val="decimal"/>
      <w:lvlText w:val="%1.%2."/>
      <w:lvlJc w:val="left"/>
      <w:pPr>
        <w:ind w:left="136" w:hanging="485"/>
      </w:pPr>
      <w:rPr>
        <w:rFonts w:ascii="Times New Roman" w:eastAsia="Times New Roman" w:hAnsi="Times New Roman" w:cs="Times New Roman" w:hint="default"/>
        <w:w w:val="100"/>
        <w:sz w:val="24"/>
        <w:szCs w:val="24"/>
        <w:lang w:val="bg-BG" w:eastAsia="en-US" w:bidi="ar-SA"/>
      </w:rPr>
    </w:lvl>
    <w:lvl w:ilvl="2">
      <w:numFmt w:val="bullet"/>
      <w:lvlText w:val="•"/>
      <w:lvlJc w:val="left"/>
      <w:pPr>
        <w:ind w:left="2049" w:hanging="485"/>
      </w:pPr>
      <w:rPr>
        <w:lang w:val="bg-BG" w:eastAsia="en-US" w:bidi="ar-SA"/>
      </w:rPr>
    </w:lvl>
    <w:lvl w:ilvl="3">
      <w:numFmt w:val="bullet"/>
      <w:lvlText w:val="•"/>
      <w:lvlJc w:val="left"/>
      <w:pPr>
        <w:ind w:left="3003" w:hanging="485"/>
      </w:pPr>
      <w:rPr>
        <w:lang w:val="bg-BG" w:eastAsia="en-US" w:bidi="ar-SA"/>
      </w:rPr>
    </w:lvl>
    <w:lvl w:ilvl="4">
      <w:numFmt w:val="bullet"/>
      <w:lvlText w:val="•"/>
      <w:lvlJc w:val="left"/>
      <w:pPr>
        <w:ind w:left="3958" w:hanging="485"/>
      </w:pPr>
      <w:rPr>
        <w:lang w:val="bg-BG" w:eastAsia="en-US" w:bidi="ar-SA"/>
      </w:rPr>
    </w:lvl>
    <w:lvl w:ilvl="5">
      <w:numFmt w:val="bullet"/>
      <w:lvlText w:val="•"/>
      <w:lvlJc w:val="left"/>
      <w:pPr>
        <w:ind w:left="4913" w:hanging="485"/>
      </w:pPr>
      <w:rPr>
        <w:lang w:val="bg-BG" w:eastAsia="en-US" w:bidi="ar-SA"/>
      </w:rPr>
    </w:lvl>
    <w:lvl w:ilvl="6">
      <w:numFmt w:val="bullet"/>
      <w:lvlText w:val="•"/>
      <w:lvlJc w:val="left"/>
      <w:pPr>
        <w:ind w:left="5867" w:hanging="485"/>
      </w:pPr>
      <w:rPr>
        <w:lang w:val="bg-BG" w:eastAsia="en-US" w:bidi="ar-SA"/>
      </w:rPr>
    </w:lvl>
    <w:lvl w:ilvl="7">
      <w:numFmt w:val="bullet"/>
      <w:lvlText w:val="•"/>
      <w:lvlJc w:val="left"/>
      <w:pPr>
        <w:ind w:left="6822" w:hanging="485"/>
      </w:pPr>
      <w:rPr>
        <w:lang w:val="bg-BG" w:eastAsia="en-US" w:bidi="ar-SA"/>
      </w:rPr>
    </w:lvl>
    <w:lvl w:ilvl="8">
      <w:numFmt w:val="bullet"/>
      <w:lvlText w:val="•"/>
      <w:lvlJc w:val="left"/>
      <w:pPr>
        <w:ind w:left="7777" w:hanging="485"/>
      </w:pPr>
      <w:rPr>
        <w:lang w:val="bg-BG" w:eastAsia="en-US" w:bidi="ar-SA"/>
      </w:rPr>
    </w:lvl>
  </w:abstractNum>
  <w:abstractNum w:abstractNumId="23" w15:restartNumberingAfterBreak="0">
    <w:nsid w:val="2FE46879"/>
    <w:multiLevelType w:val="hybridMultilevel"/>
    <w:tmpl w:val="5E1CE83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31460692"/>
    <w:multiLevelType w:val="multilevel"/>
    <w:tmpl w:val="976442B6"/>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2616472"/>
    <w:multiLevelType w:val="hybridMultilevel"/>
    <w:tmpl w:val="80A01F7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2A47B20"/>
    <w:multiLevelType w:val="multilevel"/>
    <w:tmpl w:val="CA2C7AAA"/>
    <w:lvl w:ilvl="0">
      <w:start w:val="1"/>
      <w:numFmt w:val="decimal"/>
      <w:pStyle w:val="Heading1"/>
      <w:lvlText w:val="%1"/>
      <w:lvlJc w:val="left"/>
      <w:pPr>
        <w:ind w:left="432" w:hanging="432"/>
      </w:pPr>
    </w:lvl>
    <w:lvl w:ilvl="1">
      <w:start w:val="1"/>
      <w:numFmt w:val="decimal"/>
      <w:pStyle w:val="Heading2"/>
      <w:lvlText w:val="%1.%2"/>
      <w:lvlJc w:val="left"/>
      <w:pPr>
        <w:ind w:left="1144" w:hanging="576"/>
      </w:pPr>
    </w:lvl>
    <w:lvl w:ilvl="2">
      <w:start w:val="1"/>
      <w:numFmt w:val="decimal"/>
      <w:lvlText w:val="%1.%2.%3"/>
      <w:lvlJc w:val="left"/>
      <w:pPr>
        <w:ind w:left="1288" w:hanging="720"/>
      </w:pPr>
    </w:lvl>
    <w:lvl w:ilvl="3">
      <w:start w:val="1"/>
      <w:numFmt w:val="decimal"/>
      <w:lvlText w:val="%1.%2.%3.%4"/>
      <w:lvlJc w:val="left"/>
      <w:pPr>
        <w:ind w:left="864" w:hanging="864"/>
      </w:pPr>
    </w:lvl>
    <w:lvl w:ilvl="4">
      <w:start w:val="1"/>
      <w:numFmt w:val="decimal"/>
      <w:pStyle w:val="Heading5"/>
      <w:lvlText w:val="%1.%2.%3.%4.%5"/>
      <w:lvlJc w:val="left"/>
      <w:pPr>
        <w:ind w:left="7671"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3466609D"/>
    <w:multiLevelType w:val="hybridMultilevel"/>
    <w:tmpl w:val="680E61B2"/>
    <w:lvl w:ilvl="0" w:tplc="08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4C95137"/>
    <w:multiLevelType w:val="hybridMultilevel"/>
    <w:tmpl w:val="CF00D5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35553D9B"/>
    <w:multiLevelType w:val="hybridMultilevel"/>
    <w:tmpl w:val="83EC80D2"/>
    <w:lvl w:ilvl="0" w:tplc="6E2E3B22">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0" w15:restartNumberingAfterBreak="0">
    <w:nsid w:val="36855063"/>
    <w:multiLevelType w:val="hybridMultilevel"/>
    <w:tmpl w:val="DDB87D90"/>
    <w:lvl w:ilvl="0" w:tplc="0409000B">
      <w:start w:val="1"/>
      <w:numFmt w:val="bullet"/>
      <w:lvlText w:val=""/>
      <w:lvlJc w:val="left"/>
      <w:pPr>
        <w:ind w:left="360" w:hanging="360"/>
      </w:pPr>
      <w:rPr>
        <w:rFonts w:ascii="Wingdings" w:hAnsi="Wingdings" w:hint="default"/>
      </w:rPr>
    </w:lvl>
    <w:lvl w:ilvl="1" w:tplc="04090009">
      <w:start w:val="1"/>
      <w:numFmt w:val="bullet"/>
      <w:lvlText w:val=""/>
      <w:lvlJc w:val="left"/>
      <w:pPr>
        <w:ind w:left="1080" w:hanging="360"/>
      </w:pPr>
      <w:rPr>
        <w:rFonts w:ascii="Wingdings" w:hAnsi="Wingdings" w:hint="default"/>
      </w:rPr>
    </w:lvl>
    <w:lvl w:ilvl="2" w:tplc="C0D4F684">
      <w:start w:val="1"/>
      <w:numFmt w:val="decimal"/>
      <w:lvlText w:val="%3."/>
      <w:lvlJc w:val="left"/>
      <w:pPr>
        <w:ind w:left="2328" w:hanging="708"/>
      </w:pPr>
      <w:rPr>
        <w:rFonts w:hint="default"/>
      </w:r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36D7209C"/>
    <w:multiLevelType w:val="hybridMultilevel"/>
    <w:tmpl w:val="FAF6635C"/>
    <w:lvl w:ilvl="0" w:tplc="48DC951C">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397E677F"/>
    <w:multiLevelType w:val="hybridMultilevel"/>
    <w:tmpl w:val="99A2417A"/>
    <w:lvl w:ilvl="0" w:tplc="B074FDF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3B335093"/>
    <w:multiLevelType w:val="hybridMultilevel"/>
    <w:tmpl w:val="52FE448A"/>
    <w:lvl w:ilvl="0" w:tplc="B074FDF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3C315AC0"/>
    <w:multiLevelType w:val="hybridMultilevel"/>
    <w:tmpl w:val="F45E8552"/>
    <w:lvl w:ilvl="0" w:tplc="22C086F0">
      <w:start w:val="1"/>
      <w:numFmt w:val="bullet"/>
      <w:lvlText w:val=""/>
      <w:lvlJc w:val="left"/>
      <w:pPr>
        <w:ind w:left="1440" w:hanging="360"/>
      </w:pPr>
      <w:rPr>
        <w:rFonts w:ascii="Wingdings" w:hAnsi="Wingdings" w:hint="default"/>
        <w:b/>
        <w:i w:val="0"/>
        <w:color w:val="0070C0"/>
        <w:sz w:val="24"/>
      </w:rPr>
    </w:lvl>
    <w:lvl w:ilvl="1" w:tplc="C8969F9A">
      <w:numFmt w:val="bullet"/>
      <w:lvlText w:val="-"/>
      <w:lvlJc w:val="left"/>
      <w:pPr>
        <w:ind w:left="1440" w:hanging="360"/>
      </w:pPr>
      <w:rPr>
        <w:rFonts w:ascii="Times New Roman" w:eastAsia="Helvetica"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446971"/>
    <w:multiLevelType w:val="hybridMultilevel"/>
    <w:tmpl w:val="E3749388"/>
    <w:lvl w:ilvl="0" w:tplc="9C5AB9AE">
      <w:start w:val="9"/>
      <w:numFmt w:val="bullet"/>
      <w:lvlText w:val="–"/>
      <w:lvlJc w:val="left"/>
      <w:pPr>
        <w:ind w:left="1440" w:hanging="360"/>
      </w:pPr>
      <w:rPr>
        <w:rFonts w:ascii="Times New Roman" w:eastAsia="Calibri" w:hAnsi="Times New Roman" w:cs="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6" w15:restartNumberingAfterBreak="0">
    <w:nsid w:val="3E672A8C"/>
    <w:multiLevelType w:val="hybridMultilevel"/>
    <w:tmpl w:val="D9B21078"/>
    <w:lvl w:ilvl="0" w:tplc="6E2E3B22">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7" w15:restartNumberingAfterBreak="0">
    <w:nsid w:val="4011129A"/>
    <w:multiLevelType w:val="hybridMultilevel"/>
    <w:tmpl w:val="2BDE5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0315C49"/>
    <w:multiLevelType w:val="hybridMultilevel"/>
    <w:tmpl w:val="D9726498"/>
    <w:lvl w:ilvl="0" w:tplc="ECBC90DA">
      <w:start w:val="1"/>
      <w:numFmt w:val="decimal"/>
      <w:pStyle w:val="a"/>
      <w:lvlText w:val="(%1)"/>
      <w:lvlJc w:val="left"/>
      <w:pPr>
        <w:ind w:left="1353" w:hanging="360"/>
      </w:pPr>
      <w:rPr>
        <w:rFonts w:hint="default"/>
        <w:b w:val="0"/>
        <w:bCs/>
        <w:sz w:val="20"/>
      </w:rPr>
    </w:lvl>
    <w:lvl w:ilvl="1" w:tplc="A5B476C6">
      <w:start w:val="1"/>
      <w:numFmt w:val="decimal"/>
      <w:lvlText w:val="%2."/>
      <w:lvlJc w:val="left"/>
      <w:pPr>
        <w:ind w:left="1080" w:hanging="360"/>
      </w:pPr>
      <w:rPr>
        <w:rFonts w:hint="default"/>
      </w:r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9" w15:restartNumberingAfterBreak="0">
    <w:nsid w:val="418E3187"/>
    <w:multiLevelType w:val="hybridMultilevel"/>
    <w:tmpl w:val="C15C8914"/>
    <w:lvl w:ilvl="0" w:tplc="8C0ABBCC">
      <w:start w:val="1"/>
      <w:numFmt w:val="bullet"/>
      <w:lvlText w:val=""/>
      <w:lvlJc w:val="left"/>
      <w:rPr>
        <w:rFonts w:ascii="Wingdings" w:hAnsi="Wingdings" w:hint="default"/>
        <w:sz w:val="32"/>
        <w:szCs w:val="32"/>
      </w:rPr>
    </w:lvl>
    <w:lvl w:ilvl="1" w:tplc="8E10A228">
      <w:start w:val="1"/>
      <w:numFmt w:val="bullet"/>
      <w:lvlText w:val=""/>
      <w:lvlJc w:val="left"/>
      <w:pPr>
        <w:ind w:left="360" w:hanging="360"/>
      </w:pPr>
      <w:rPr>
        <w:rFonts w:ascii="Wingdings" w:hAnsi="Wingdings" w:hint="default"/>
        <w:sz w:val="32"/>
        <w:szCs w:val="32"/>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40" w15:restartNumberingAfterBreak="0">
    <w:nsid w:val="419E155D"/>
    <w:multiLevelType w:val="hybridMultilevel"/>
    <w:tmpl w:val="7C6003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31E18EB"/>
    <w:multiLevelType w:val="hybridMultilevel"/>
    <w:tmpl w:val="388498FE"/>
    <w:lvl w:ilvl="0" w:tplc="08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2" w15:restartNumberingAfterBreak="0">
    <w:nsid w:val="441D5EAA"/>
    <w:multiLevelType w:val="hybridMultilevel"/>
    <w:tmpl w:val="33DC0A12"/>
    <w:lvl w:ilvl="0" w:tplc="CCC2ACC8">
      <w:start w:val="8"/>
      <w:numFmt w:val="bullet"/>
      <w:lvlText w:val="-"/>
      <w:lvlJc w:val="left"/>
      <w:pPr>
        <w:ind w:left="2160" w:hanging="360"/>
      </w:pPr>
      <w:rPr>
        <w:rFonts w:ascii="Verdana" w:eastAsia="Times New Roman" w:hAnsi="Verdana" w:cs="Times New Roman" w:hint="default"/>
      </w:rPr>
    </w:lvl>
    <w:lvl w:ilvl="1" w:tplc="AA5E7E90">
      <w:start w:val="1"/>
      <w:numFmt w:val="bullet"/>
      <w:lvlText w:val="–"/>
      <w:lvlJc w:val="left"/>
      <w:pPr>
        <w:ind w:left="2880" w:hanging="360"/>
      </w:pPr>
      <w:rPr>
        <w:rFonts w:ascii="Times New Roman" w:eastAsia="ヒラギノ角ゴ Pro W3" w:hAnsi="Times New Roman" w:cs="Times New Roman" w:hint="default"/>
      </w:rPr>
    </w:lvl>
    <w:lvl w:ilvl="2" w:tplc="04020005">
      <w:start w:val="1"/>
      <w:numFmt w:val="bullet"/>
      <w:lvlText w:val=""/>
      <w:lvlJc w:val="left"/>
      <w:pPr>
        <w:ind w:left="3600" w:hanging="360"/>
      </w:pPr>
      <w:rPr>
        <w:rFonts w:ascii="Wingdings" w:hAnsi="Wingdings" w:hint="default"/>
      </w:rPr>
    </w:lvl>
    <w:lvl w:ilvl="3" w:tplc="04020001">
      <w:start w:val="1"/>
      <w:numFmt w:val="bullet"/>
      <w:lvlText w:val=""/>
      <w:lvlJc w:val="left"/>
      <w:pPr>
        <w:ind w:left="4320" w:hanging="360"/>
      </w:pPr>
      <w:rPr>
        <w:rFonts w:ascii="Symbol" w:hAnsi="Symbol" w:hint="default"/>
      </w:rPr>
    </w:lvl>
    <w:lvl w:ilvl="4" w:tplc="04020003">
      <w:start w:val="1"/>
      <w:numFmt w:val="bullet"/>
      <w:lvlText w:val="o"/>
      <w:lvlJc w:val="left"/>
      <w:pPr>
        <w:ind w:left="5040" w:hanging="360"/>
      </w:pPr>
      <w:rPr>
        <w:rFonts w:ascii="Courier New" w:hAnsi="Courier New" w:cs="Courier New" w:hint="default"/>
      </w:rPr>
    </w:lvl>
    <w:lvl w:ilvl="5" w:tplc="04020005">
      <w:start w:val="1"/>
      <w:numFmt w:val="bullet"/>
      <w:lvlText w:val=""/>
      <w:lvlJc w:val="left"/>
      <w:pPr>
        <w:ind w:left="5760" w:hanging="360"/>
      </w:pPr>
      <w:rPr>
        <w:rFonts w:ascii="Wingdings" w:hAnsi="Wingdings" w:hint="default"/>
      </w:rPr>
    </w:lvl>
    <w:lvl w:ilvl="6" w:tplc="04020001">
      <w:start w:val="1"/>
      <w:numFmt w:val="bullet"/>
      <w:lvlText w:val=""/>
      <w:lvlJc w:val="left"/>
      <w:pPr>
        <w:ind w:left="6480" w:hanging="360"/>
      </w:pPr>
      <w:rPr>
        <w:rFonts w:ascii="Symbol" w:hAnsi="Symbol" w:hint="default"/>
      </w:rPr>
    </w:lvl>
    <w:lvl w:ilvl="7" w:tplc="04020003">
      <w:start w:val="1"/>
      <w:numFmt w:val="bullet"/>
      <w:lvlText w:val="o"/>
      <w:lvlJc w:val="left"/>
      <w:pPr>
        <w:ind w:left="7200" w:hanging="360"/>
      </w:pPr>
      <w:rPr>
        <w:rFonts w:ascii="Courier New" w:hAnsi="Courier New" w:cs="Courier New" w:hint="default"/>
      </w:rPr>
    </w:lvl>
    <w:lvl w:ilvl="8" w:tplc="04020005">
      <w:start w:val="1"/>
      <w:numFmt w:val="bullet"/>
      <w:lvlText w:val=""/>
      <w:lvlJc w:val="left"/>
      <w:pPr>
        <w:ind w:left="7920" w:hanging="360"/>
      </w:pPr>
      <w:rPr>
        <w:rFonts w:ascii="Wingdings" w:hAnsi="Wingdings" w:hint="default"/>
      </w:rPr>
    </w:lvl>
  </w:abstractNum>
  <w:abstractNum w:abstractNumId="43" w15:restartNumberingAfterBreak="0">
    <w:nsid w:val="44646C4C"/>
    <w:multiLevelType w:val="hybridMultilevel"/>
    <w:tmpl w:val="C3A2981E"/>
    <w:lvl w:ilvl="0" w:tplc="04020001">
      <w:start w:val="1"/>
      <w:numFmt w:val="bullet"/>
      <w:lvlText w:val=""/>
      <w:lvlJc w:val="left"/>
      <w:pPr>
        <w:ind w:left="774" w:hanging="360"/>
      </w:pPr>
      <w:rPr>
        <w:rFonts w:ascii="Symbol" w:hAnsi="Symbol" w:hint="default"/>
      </w:rPr>
    </w:lvl>
    <w:lvl w:ilvl="1" w:tplc="04020003" w:tentative="1">
      <w:start w:val="1"/>
      <w:numFmt w:val="bullet"/>
      <w:lvlText w:val="o"/>
      <w:lvlJc w:val="left"/>
      <w:pPr>
        <w:ind w:left="1494" w:hanging="360"/>
      </w:pPr>
      <w:rPr>
        <w:rFonts w:ascii="Courier New" w:hAnsi="Courier New" w:cs="Courier New" w:hint="default"/>
      </w:rPr>
    </w:lvl>
    <w:lvl w:ilvl="2" w:tplc="04020005" w:tentative="1">
      <w:start w:val="1"/>
      <w:numFmt w:val="bullet"/>
      <w:lvlText w:val=""/>
      <w:lvlJc w:val="left"/>
      <w:pPr>
        <w:ind w:left="2214" w:hanging="360"/>
      </w:pPr>
      <w:rPr>
        <w:rFonts w:ascii="Wingdings" w:hAnsi="Wingdings" w:hint="default"/>
      </w:rPr>
    </w:lvl>
    <w:lvl w:ilvl="3" w:tplc="04020001" w:tentative="1">
      <w:start w:val="1"/>
      <w:numFmt w:val="bullet"/>
      <w:lvlText w:val=""/>
      <w:lvlJc w:val="left"/>
      <w:pPr>
        <w:ind w:left="2934" w:hanging="360"/>
      </w:pPr>
      <w:rPr>
        <w:rFonts w:ascii="Symbol" w:hAnsi="Symbol" w:hint="default"/>
      </w:rPr>
    </w:lvl>
    <w:lvl w:ilvl="4" w:tplc="04020003" w:tentative="1">
      <w:start w:val="1"/>
      <w:numFmt w:val="bullet"/>
      <w:lvlText w:val="o"/>
      <w:lvlJc w:val="left"/>
      <w:pPr>
        <w:ind w:left="3654" w:hanging="360"/>
      </w:pPr>
      <w:rPr>
        <w:rFonts w:ascii="Courier New" w:hAnsi="Courier New" w:cs="Courier New" w:hint="default"/>
      </w:rPr>
    </w:lvl>
    <w:lvl w:ilvl="5" w:tplc="04020005" w:tentative="1">
      <w:start w:val="1"/>
      <w:numFmt w:val="bullet"/>
      <w:lvlText w:val=""/>
      <w:lvlJc w:val="left"/>
      <w:pPr>
        <w:ind w:left="4374" w:hanging="360"/>
      </w:pPr>
      <w:rPr>
        <w:rFonts w:ascii="Wingdings" w:hAnsi="Wingdings" w:hint="default"/>
      </w:rPr>
    </w:lvl>
    <w:lvl w:ilvl="6" w:tplc="04020001" w:tentative="1">
      <w:start w:val="1"/>
      <w:numFmt w:val="bullet"/>
      <w:lvlText w:val=""/>
      <w:lvlJc w:val="left"/>
      <w:pPr>
        <w:ind w:left="5094" w:hanging="360"/>
      </w:pPr>
      <w:rPr>
        <w:rFonts w:ascii="Symbol" w:hAnsi="Symbol" w:hint="default"/>
      </w:rPr>
    </w:lvl>
    <w:lvl w:ilvl="7" w:tplc="04020003" w:tentative="1">
      <w:start w:val="1"/>
      <w:numFmt w:val="bullet"/>
      <w:lvlText w:val="o"/>
      <w:lvlJc w:val="left"/>
      <w:pPr>
        <w:ind w:left="5814" w:hanging="360"/>
      </w:pPr>
      <w:rPr>
        <w:rFonts w:ascii="Courier New" w:hAnsi="Courier New" w:cs="Courier New" w:hint="default"/>
      </w:rPr>
    </w:lvl>
    <w:lvl w:ilvl="8" w:tplc="04020005" w:tentative="1">
      <w:start w:val="1"/>
      <w:numFmt w:val="bullet"/>
      <w:lvlText w:val=""/>
      <w:lvlJc w:val="left"/>
      <w:pPr>
        <w:ind w:left="6534" w:hanging="360"/>
      </w:pPr>
      <w:rPr>
        <w:rFonts w:ascii="Wingdings" w:hAnsi="Wingdings" w:hint="default"/>
      </w:rPr>
    </w:lvl>
  </w:abstractNum>
  <w:abstractNum w:abstractNumId="44" w15:restartNumberingAfterBreak="0">
    <w:nsid w:val="44FD62AF"/>
    <w:multiLevelType w:val="hybridMultilevel"/>
    <w:tmpl w:val="27D0A5F0"/>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45" w15:restartNumberingAfterBreak="0">
    <w:nsid w:val="4577354B"/>
    <w:multiLevelType w:val="multilevel"/>
    <w:tmpl w:val="94200442"/>
    <w:lvl w:ilvl="0">
      <w:start w:val="1"/>
      <w:numFmt w:val="bullet"/>
      <w:suff w:val="space"/>
      <w:lvlText w:val=""/>
      <w:lvlJc w:val="left"/>
      <w:pPr>
        <w:ind w:left="1068" w:hanging="360"/>
      </w:pPr>
      <w:rPr>
        <w:rFonts w:ascii="Symbol" w:hAnsi="Symbol" w:hint="default"/>
      </w:rPr>
    </w:lvl>
    <w:lvl w:ilvl="1">
      <w:numFmt w:val="bullet"/>
      <w:lvlText w:val="-"/>
      <w:lvlJc w:val="left"/>
      <w:pPr>
        <w:ind w:left="1788" w:hanging="360"/>
      </w:pPr>
      <w:rPr>
        <w:rFonts w:ascii="Times New Roman" w:eastAsia="Times New Roman" w:hAnsi="Times New Roman"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hint="default"/>
      </w:rPr>
    </w:lvl>
    <w:lvl w:ilvl="8">
      <w:start w:val="1"/>
      <w:numFmt w:val="bullet"/>
      <w:lvlText w:val=""/>
      <w:lvlJc w:val="left"/>
      <w:pPr>
        <w:ind w:left="6828" w:hanging="360"/>
      </w:pPr>
      <w:rPr>
        <w:rFonts w:ascii="Wingdings" w:hAnsi="Wingdings" w:hint="default"/>
      </w:rPr>
    </w:lvl>
  </w:abstractNum>
  <w:abstractNum w:abstractNumId="46" w15:restartNumberingAfterBreak="0">
    <w:nsid w:val="46C07A99"/>
    <w:multiLevelType w:val="multilevel"/>
    <w:tmpl w:val="47ACEADC"/>
    <w:lvl w:ilvl="0">
      <w:start w:val="1"/>
      <w:numFmt w:val="decimal"/>
      <w:lvlText w:val="%1."/>
      <w:lvlJc w:val="left"/>
      <w:rPr>
        <w:rFonts w:hint="default"/>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86D5379"/>
    <w:multiLevelType w:val="hybridMultilevel"/>
    <w:tmpl w:val="0608AC64"/>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E5E20D0"/>
    <w:multiLevelType w:val="hybridMultilevel"/>
    <w:tmpl w:val="99EC6E08"/>
    <w:lvl w:ilvl="0" w:tplc="E2682ABA">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4ECD6059"/>
    <w:multiLevelType w:val="hybridMultilevel"/>
    <w:tmpl w:val="DDF23ADE"/>
    <w:lvl w:ilvl="0" w:tplc="6E2E3B2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4F605F99"/>
    <w:multiLevelType w:val="multilevel"/>
    <w:tmpl w:val="7DCA39FA"/>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0337B20"/>
    <w:multiLevelType w:val="hybridMultilevel"/>
    <w:tmpl w:val="9C587F6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19D3CB9"/>
    <w:multiLevelType w:val="multilevel"/>
    <w:tmpl w:val="C7105F36"/>
    <w:lvl w:ilvl="0">
      <w:start w:val="1"/>
      <w:numFmt w:val="decimal"/>
      <w:lvlText w:val="%1."/>
      <w:lvlJc w:val="left"/>
      <w:pPr>
        <w:ind w:left="720" w:hanging="360"/>
      </w:p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54156B06"/>
    <w:multiLevelType w:val="hybridMultilevel"/>
    <w:tmpl w:val="2C18F748"/>
    <w:lvl w:ilvl="0" w:tplc="6E2E3B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3B2D33"/>
    <w:multiLevelType w:val="multilevel"/>
    <w:tmpl w:val="7EEEFAB4"/>
    <w:styleLink w:val="WW8Num1801"/>
    <w:lvl w:ilvl="0">
      <w:start w:val="1"/>
      <w:numFmt w:val="bullet"/>
      <w:lvlText w:val=""/>
      <w:lvlJc w:val="left"/>
      <w:rPr>
        <w:rFonts w:ascii="Wingdings" w:hAnsi="Wingdings" w:hint="default"/>
        <w:b/>
        <w:bCs w:val="0"/>
        <w:i w:val="0"/>
        <w:iCs w:val="0"/>
        <w:smallCaps w:val="0"/>
        <w:strike w:val="0"/>
        <w:color w:val="365F91"/>
        <w:spacing w:val="0"/>
        <w:w w:val="100"/>
        <w:position w:val="0"/>
        <w:sz w:val="24"/>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4545964"/>
    <w:multiLevelType w:val="hybridMultilevel"/>
    <w:tmpl w:val="3EFA4CA6"/>
    <w:lvl w:ilvl="0" w:tplc="FFFFFFFF">
      <w:start w:val="1"/>
      <w:numFmt w:val="bullet"/>
      <w:lvlText w:val=""/>
      <w:lvlJc w:val="left"/>
      <w:pPr>
        <w:ind w:left="1911" w:hanging="360"/>
      </w:pPr>
      <w:rPr>
        <w:rFonts w:ascii="Symbol" w:hAnsi="Symbol" w:hint="default"/>
      </w:rPr>
    </w:lvl>
    <w:lvl w:ilvl="1" w:tplc="1C80C2D4">
      <w:start w:val="2"/>
      <w:numFmt w:val="bullet"/>
      <w:lvlText w:val="-"/>
      <w:lvlJc w:val="left"/>
      <w:rPr>
        <w:rFonts w:ascii="Verdana" w:eastAsia="Calibri" w:hAnsi="Verdana" w:cs="Verdana" w:hint="default"/>
      </w:rPr>
    </w:lvl>
    <w:lvl w:ilvl="2" w:tplc="FFFFFFFF">
      <w:start w:val="1"/>
      <w:numFmt w:val="bullet"/>
      <w:lvlText w:val=""/>
      <w:lvlJc w:val="left"/>
      <w:pPr>
        <w:ind w:left="3351" w:hanging="360"/>
      </w:pPr>
      <w:rPr>
        <w:rFonts w:ascii="Wingdings" w:hAnsi="Wingdings" w:hint="default"/>
      </w:rPr>
    </w:lvl>
    <w:lvl w:ilvl="3" w:tplc="FFFFFFFF" w:tentative="1">
      <w:start w:val="1"/>
      <w:numFmt w:val="bullet"/>
      <w:lvlText w:val=""/>
      <w:lvlJc w:val="left"/>
      <w:pPr>
        <w:ind w:left="4071" w:hanging="360"/>
      </w:pPr>
      <w:rPr>
        <w:rFonts w:ascii="Symbol" w:hAnsi="Symbol" w:hint="default"/>
      </w:rPr>
    </w:lvl>
    <w:lvl w:ilvl="4" w:tplc="FFFFFFFF" w:tentative="1">
      <w:start w:val="1"/>
      <w:numFmt w:val="bullet"/>
      <w:lvlText w:val="o"/>
      <w:lvlJc w:val="left"/>
      <w:pPr>
        <w:ind w:left="4791" w:hanging="360"/>
      </w:pPr>
      <w:rPr>
        <w:rFonts w:ascii="Courier New" w:hAnsi="Courier New" w:cs="Courier New" w:hint="default"/>
      </w:rPr>
    </w:lvl>
    <w:lvl w:ilvl="5" w:tplc="FFFFFFFF" w:tentative="1">
      <w:start w:val="1"/>
      <w:numFmt w:val="bullet"/>
      <w:lvlText w:val=""/>
      <w:lvlJc w:val="left"/>
      <w:pPr>
        <w:ind w:left="5511" w:hanging="360"/>
      </w:pPr>
      <w:rPr>
        <w:rFonts w:ascii="Wingdings" w:hAnsi="Wingdings" w:hint="default"/>
      </w:rPr>
    </w:lvl>
    <w:lvl w:ilvl="6" w:tplc="FFFFFFFF" w:tentative="1">
      <w:start w:val="1"/>
      <w:numFmt w:val="bullet"/>
      <w:lvlText w:val=""/>
      <w:lvlJc w:val="left"/>
      <w:pPr>
        <w:ind w:left="6231" w:hanging="360"/>
      </w:pPr>
      <w:rPr>
        <w:rFonts w:ascii="Symbol" w:hAnsi="Symbol" w:hint="default"/>
      </w:rPr>
    </w:lvl>
    <w:lvl w:ilvl="7" w:tplc="FFFFFFFF" w:tentative="1">
      <w:start w:val="1"/>
      <w:numFmt w:val="bullet"/>
      <w:lvlText w:val="o"/>
      <w:lvlJc w:val="left"/>
      <w:pPr>
        <w:ind w:left="6951" w:hanging="360"/>
      </w:pPr>
      <w:rPr>
        <w:rFonts w:ascii="Courier New" w:hAnsi="Courier New" w:cs="Courier New" w:hint="default"/>
      </w:rPr>
    </w:lvl>
    <w:lvl w:ilvl="8" w:tplc="FFFFFFFF" w:tentative="1">
      <w:start w:val="1"/>
      <w:numFmt w:val="bullet"/>
      <w:lvlText w:val=""/>
      <w:lvlJc w:val="left"/>
      <w:pPr>
        <w:ind w:left="7671" w:hanging="360"/>
      </w:pPr>
      <w:rPr>
        <w:rFonts w:ascii="Wingdings" w:hAnsi="Wingdings" w:hint="default"/>
      </w:rPr>
    </w:lvl>
  </w:abstractNum>
  <w:abstractNum w:abstractNumId="56" w15:restartNumberingAfterBreak="0">
    <w:nsid w:val="553767EF"/>
    <w:multiLevelType w:val="multilevel"/>
    <w:tmpl w:val="7D0A5FEC"/>
    <w:lvl w:ilvl="0">
      <w:start w:val="1"/>
      <w:numFmt w:val="upperRoman"/>
      <w:lvlText w:val="%1"/>
      <w:lvlJc w:val="left"/>
      <w:pPr>
        <w:ind w:left="136" w:hanging="680"/>
      </w:pPr>
      <w:rPr>
        <w:lang w:val="bg-BG" w:eastAsia="en-US" w:bidi="ar-SA"/>
      </w:rPr>
    </w:lvl>
    <w:lvl w:ilvl="1">
      <w:start w:val="2"/>
      <w:numFmt w:val="upperLetter"/>
      <w:lvlText w:val="%1.%2"/>
      <w:lvlJc w:val="left"/>
      <w:pPr>
        <w:ind w:left="136" w:hanging="680"/>
      </w:pPr>
      <w:rPr>
        <w:lang w:val="bg-BG" w:eastAsia="en-US" w:bidi="ar-SA"/>
      </w:rPr>
    </w:lvl>
    <w:lvl w:ilvl="2">
      <w:start w:val="7"/>
      <w:numFmt w:val="decimal"/>
      <w:lvlText w:val="%1.%2.%3."/>
      <w:lvlJc w:val="left"/>
      <w:pPr>
        <w:ind w:left="136" w:hanging="680"/>
      </w:pPr>
      <w:rPr>
        <w:rFonts w:ascii="Times New Roman" w:eastAsia="Times New Roman" w:hAnsi="Times New Roman" w:cs="Times New Roman" w:hint="default"/>
        <w:b/>
        <w:bCs/>
        <w:spacing w:val="-1"/>
        <w:w w:val="100"/>
        <w:sz w:val="24"/>
        <w:szCs w:val="24"/>
        <w:lang w:val="bg-BG" w:eastAsia="en-US" w:bidi="ar-SA"/>
      </w:rPr>
    </w:lvl>
    <w:lvl w:ilvl="3">
      <w:numFmt w:val="bullet"/>
      <w:lvlText w:val="•"/>
      <w:lvlJc w:val="left"/>
      <w:pPr>
        <w:ind w:left="3003" w:hanging="680"/>
      </w:pPr>
      <w:rPr>
        <w:lang w:val="bg-BG" w:eastAsia="en-US" w:bidi="ar-SA"/>
      </w:rPr>
    </w:lvl>
    <w:lvl w:ilvl="4">
      <w:numFmt w:val="bullet"/>
      <w:lvlText w:val="•"/>
      <w:lvlJc w:val="left"/>
      <w:pPr>
        <w:ind w:left="3958" w:hanging="680"/>
      </w:pPr>
      <w:rPr>
        <w:lang w:val="bg-BG" w:eastAsia="en-US" w:bidi="ar-SA"/>
      </w:rPr>
    </w:lvl>
    <w:lvl w:ilvl="5">
      <w:numFmt w:val="bullet"/>
      <w:lvlText w:val="•"/>
      <w:lvlJc w:val="left"/>
      <w:pPr>
        <w:ind w:left="4913" w:hanging="680"/>
      </w:pPr>
      <w:rPr>
        <w:lang w:val="bg-BG" w:eastAsia="en-US" w:bidi="ar-SA"/>
      </w:rPr>
    </w:lvl>
    <w:lvl w:ilvl="6">
      <w:numFmt w:val="bullet"/>
      <w:lvlText w:val="•"/>
      <w:lvlJc w:val="left"/>
      <w:pPr>
        <w:ind w:left="5867" w:hanging="680"/>
      </w:pPr>
      <w:rPr>
        <w:lang w:val="bg-BG" w:eastAsia="en-US" w:bidi="ar-SA"/>
      </w:rPr>
    </w:lvl>
    <w:lvl w:ilvl="7">
      <w:numFmt w:val="bullet"/>
      <w:lvlText w:val="•"/>
      <w:lvlJc w:val="left"/>
      <w:pPr>
        <w:ind w:left="6822" w:hanging="680"/>
      </w:pPr>
      <w:rPr>
        <w:lang w:val="bg-BG" w:eastAsia="en-US" w:bidi="ar-SA"/>
      </w:rPr>
    </w:lvl>
    <w:lvl w:ilvl="8">
      <w:numFmt w:val="bullet"/>
      <w:lvlText w:val="•"/>
      <w:lvlJc w:val="left"/>
      <w:pPr>
        <w:ind w:left="7777" w:hanging="680"/>
      </w:pPr>
      <w:rPr>
        <w:lang w:val="bg-BG" w:eastAsia="en-US" w:bidi="ar-SA"/>
      </w:rPr>
    </w:lvl>
  </w:abstractNum>
  <w:abstractNum w:abstractNumId="57" w15:restartNumberingAfterBreak="0">
    <w:nsid w:val="557D5B9C"/>
    <w:multiLevelType w:val="multilevel"/>
    <w:tmpl w:val="9662D4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6356939"/>
    <w:multiLevelType w:val="multilevel"/>
    <w:tmpl w:val="0A441E28"/>
    <w:styleLink w:val="WW8Num180"/>
    <w:lvl w:ilvl="0">
      <w:numFmt w:val="bullet"/>
      <w:lvlText w:val="o"/>
      <w:lvlJc w:val="left"/>
      <w:pPr>
        <w:ind w:left="1800" w:hanging="360"/>
      </w:pPr>
      <w:rPr>
        <w:rFonts w:ascii="Courier New" w:hAnsi="Courier New" w:cs="Courier New"/>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cs="Wingdings"/>
      </w:rPr>
    </w:lvl>
    <w:lvl w:ilvl="3">
      <w:numFmt w:val="bullet"/>
      <w:lvlText w:val=""/>
      <w:lvlJc w:val="left"/>
      <w:pPr>
        <w:ind w:left="3960" w:hanging="360"/>
      </w:pPr>
      <w:rPr>
        <w:rFonts w:ascii="Symbol" w:hAnsi="Symbol" w:cs="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cs="Wingdings"/>
      </w:rPr>
    </w:lvl>
    <w:lvl w:ilvl="6">
      <w:numFmt w:val="bullet"/>
      <w:lvlText w:val=""/>
      <w:lvlJc w:val="left"/>
      <w:pPr>
        <w:ind w:left="6120" w:hanging="360"/>
      </w:pPr>
      <w:rPr>
        <w:rFonts w:ascii="Symbol" w:hAnsi="Symbol" w:cs="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cs="Wingdings"/>
      </w:rPr>
    </w:lvl>
  </w:abstractNum>
  <w:abstractNum w:abstractNumId="59" w15:restartNumberingAfterBreak="0">
    <w:nsid w:val="58AA417E"/>
    <w:multiLevelType w:val="hybridMultilevel"/>
    <w:tmpl w:val="9B2A0C9C"/>
    <w:lvl w:ilvl="0" w:tplc="B074FDF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0" w15:restartNumberingAfterBreak="0">
    <w:nsid w:val="58FA2BB7"/>
    <w:multiLevelType w:val="hybridMultilevel"/>
    <w:tmpl w:val="46A0EE18"/>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15:restartNumberingAfterBreak="0">
    <w:nsid w:val="5A7A4477"/>
    <w:multiLevelType w:val="multilevel"/>
    <w:tmpl w:val="B064865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B5E7B2C"/>
    <w:multiLevelType w:val="hybridMultilevel"/>
    <w:tmpl w:val="14AC4FCE"/>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CD802DD"/>
    <w:multiLevelType w:val="hybridMultilevel"/>
    <w:tmpl w:val="02B097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15:restartNumberingAfterBreak="0">
    <w:nsid w:val="5CF01DDD"/>
    <w:multiLevelType w:val="hybridMultilevel"/>
    <w:tmpl w:val="D6CABE62"/>
    <w:lvl w:ilvl="0" w:tplc="3EF0D0F4">
      <w:start w:val="65535"/>
      <w:numFmt w:val="bullet"/>
      <w:lvlText w:val="-"/>
      <w:lvlJc w:val="left"/>
      <w:pPr>
        <w:ind w:left="1068" w:hanging="360"/>
      </w:pPr>
      <w:rPr>
        <w:rFonts w:ascii="Times New Roman" w:hAnsi="Times New Roman"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65" w15:restartNumberingAfterBreak="0">
    <w:nsid w:val="5F7E3F87"/>
    <w:multiLevelType w:val="hybridMultilevel"/>
    <w:tmpl w:val="F20655EA"/>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098675B"/>
    <w:multiLevelType w:val="hybridMultilevel"/>
    <w:tmpl w:val="7F0462DE"/>
    <w:lvl w:ilvl="0" w:tplc="1F7AEB7C">
      <w:start w:val="1"/>
      <w:numFmt w:val="bullet"/>
      <w:lvlText w:val=""/>
      <w:lvlJc w:val="left"/>
      <w:pPr>
        <w:ind w:left="360" w:hanging="360"/>
      </w:pPr>
      <w:rPr>
        <w:rFonts w:ascii="Wingdings" w:hAnsi="Wingdings" w:hint="default"/>
        <w:b/>
        <w:i w:val="0"/>
        <w:color w:val="365F91"/>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154249C"/>
    <w:multiLevelType w:val="hybridMultilevel"/>
    <w:tmpl w:val="61D217C6"/>
    <w:lvl w:ilvl="0" w:tplc="0402000F">
      <w:start w:val="1"/>
      <w:numFmt w:val="decimal"/>
      <w:lvlText w:val="%1."/>
      <w:lvlJc w:val="left"/>
      <w:pPr>
        <w:ind w:left="81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8" w15:restartNumberingAfterBreak="0">
    <w:nsid w:val="63C95364"/>
    <w:multiLevelType w:val="multilevel"/>
    <w:tmpl w:val="E9982452"/>
    <w:lvl w:ilvl="0">
      <w:start w:val="4"/>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1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64253A01"/>
    <w:multiLevelType w:val="hybridMultilevel"/>
    <w:tmpl w:val="F694171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661A4B03"/>
    <w:multiLevelType w:val="hybridMultilevel"/>
    <w:tmpl w:val="DA766178"/>
    <w:lvl w:ilvl="0" w:tplc="04020001">
      <w:start w:val="1"/>
      <w:numFmt w:val="bullet"/>
      <w:lvlText w:val=""/>
      <w:lvlJc w:val="left"/>
      <w:pPr>
        <w:ind w:left="1911" w:hanging="360"/>
      </w:pPr>
      <w:rPr>
        <w:rFonts w:ascii="Symbol" w:hAnsi="Symbol" w:hint="default"/>
      </w:rPr>
    </w:lvl>
    <w:lvl w:ilvl="1" w:tplc="0409000B">
      <w:start w:val="1"/>
      <w:numFmt w:val="bullet"/>
      <w:lvlText w:val=""/>
      <w:lvlJc w:val="left"/>
      <w:rPr>
        <w:rFonts w:ascii="Wingdings" w:hAnsi="Wingdings" w:hint="default"/>
      </w:rPr>
    </w:lvl>
    <w:lvl w:ilvl="2" w:tplc="04020005">
      <w:start w:val="1"/>
      <w:numFmt w:val="bullet"/>
      <w:lvlText w:val=""/>
      <w:lvlJc w:val="left"/>
      <w:pPr>
        <w:ind w:left="3351" w:hanging="360"/>
      </w:pPr>
      <w:rPr>
        <w:rFonts w:ascii="Wingdings" w:hAnsi="Wingdings" w:hint="default"/>
      </w:rPr>
    </w:lvl>
    <w:lvl w:ilvl="3" w:tplc="04020001" w:tentative="1">
      <w:start w:val="1"/>
      <w:numFmt w:val="bullet"/>
      <w:lvlText w:val=""/>
      <w:lvlJc w:val="left"/>
      <w:pPr>
        <w:ind w:left="4071" w:hanging="360"/>
      </w:pPr>
      <w:rPr>
        <w:rFonts w:ascii="Symbol" w:hAnsi="Symbol" w:hint="default"/>
      </w:rPr>
    </w:lvl>
    <w:lvl w:ilvl="4" w:tplc="04020003" w:tentative="1">
      <w:start w:val="1"/>
      <w:numFmt w:val="bullet"/>
      <w:lvlText w:val="o"/>
      <w:lvlJc w:val="left"/>
      <w:pPr>
        <w:ind w:left="4791" w:hanging="360"/>
      </w:pPr>
      <w:rPr>
        <w:rFonts w:ascii="Courier New" w:hAnsi="Courier New" w:cs="Courier New" w:hint="default"/>
      </w:rPr>
    </w:lvl>
    <w:lvl w:ilvl="5" w:tplc="04020005" w:tentative="1">
      <w:start w:val="1"/>
      <w:numFmt w:val="bullet"/>
      <w:lvlText w:val=""/>
      <w:lvlJc w:val="left"/>
      <w:pPr>
        <w:ind w:left="5511" w:hanging="360"/>
      </w:pPr>
      <w:rPr>
        <w:rFonts w:ascii="Wingdings" w:hAnsi="Wingdings" w:hint="default"/>
      </w:rPr>
    </w:lvl>
    <w:lvl w:ilvl="6" w:tplc="04020001" w:tentative="1">
      <w:start w:val="1"/>
      <w:numFmt w:val="bullet"/>
      <w:lvlText w:val=""/>
      <w:lvlJc w:val="left"/>
      <w:pPr>
        <w:ind w:left="6231" w:hanging="360"/>
      </w:pPr>
      <w:rPr>
        <w:rFonts w:ascii="Symbol" w:hAnsi="Symbol" w:hint="default"/>
      </w:rPr>
    </w:lvl>
    <w:lvl w:ilvl="7" w:tplc="04020003" w:tentative="1">
      <w:start w:val="1"/>
      <w:numFmt w:val="bullet"/>
      <w:lvlText w:val="o"/>
      <w:lvlJc w:val="left"/>
      <w:pPr>
        <w:ind w:left="6951" w:hanging="360"/>
      </w:pPr>
      <w:rPr>
        <w:rFonts w:ascii="Courier New" w:hAnsi="Courier New" w:cs="Courier New" w:hint="default"/>
      </w:rPr>
    </w:lvl>
    <w:lvl w:ilvl="8" w:tplc="04020005" w:tentative="1">
      <w:start w:val="1"/>
      <w:numFmt w:val="bullet"/>
      <w:lvlText w:val=""/>
      <w:lvlJc w:val="left"/>
      <w:pPr>
        <w:ind w:left="7671" w:hanging="360"/>
      </w:pPr>
      <w:rPr>
        <w:rFonts w:ascii="Wingdings" w:hAnsi="Wingdings" w:hint="default"/>
      </w:rPr>
    </w:lvl>
  </w:abstractNum>
  <w:abstractNum w:abstractNumId="71" w15:restartNumberingAfterBreak="0">
    <w:nsid w:val="663F447C"/>
    <w:multiLevelType w:val="hybridMultilevel"/>
    <w:tmpl w:val="253E3CB4"/>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7CA7A79"/>
    <w:multiLevelType w:val="singleLevel"/>
    <w:tmpl w:val="AE80FE7A"/>
    <w:lvl w:ilvl="0">
      <w:start w:val="1"/>
      <w:numFmt w:val="lowerRoman"/>
      <w:pStyle w:val="ListiIndenta"/>
      <w:lvlText w:val="%1)"/>
      <w:legacy w:legacy="1" w:legacySpace="0" w:legacyIndent="720"/>
      <w:lvlJc w:val="left"/>
      <w:pPr>
        <w:ind w:left="2491" w:hanging="720"/>
      </w:pPr>
    </w:lvl>
  </w:abstractNum>
  <w:abstractNum w:abstractNumId="73" w15:restartNumberingAfterBreak="0">
    <w:nsid w:val="6A1E4C33"/>
    <w:multiLevelType w:val="hybridMultilevel"/>
    <w:tmpl w:val="FBDE18D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6C3D2024"/>
    <w:multiLevelType w:val="hybridMultilevel"/>
    <w:tmpl w:val="A024099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5" w15:restartNumberingAfterBreak="0">
    <w:nsid w:val="6CFF40A6"/>
    <w:multiLevelType w:val="hybridMultilevel"/>
    <w:tmpl w:val="F34080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D1A55D7"/>
    <w:multiLevelType w:val="hybridMultilevel"/>
    <w:tmpl w:val="9C026106"/>
    <w:lvl w:ilvl="0" w:tplc="B074FDF8">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7" w15:restartNumberingAfterBreak="0">
    <w:nsid w:val="6E7F515C"/>
    <w:multiLevelType w:val="hybridMultilevel"/>
    <w:tmpl w:val="AFE693D6"/>
    <w:lvl w:ilvl="0" w:tplc="3796D2FC">
      <w:start w:val="1"/>
      <w:numFmt w:val="decimal"/>
      <w:lvlText w:val="%1."/>
      <w:lvlJc w:val="left"/>
      <w:pPr>
        <w:ind w:left="496" w:hanging="360"/>
      </w:pPr>
      <w:rPr>
        <w:rFonts w:hint="default"/>
      </w:rPr>
    </w:lvl>
    <w:lvl w:ilvl="1" w:tplc="04020019" w:tentative="1">
      <w:start w:val="1"/>
      <w:numFmt w:val="lowerLetter"/>
      <w:lvlText w:val="%2."/>
      <w:lvlJc w:val="left"/>
      <w:pPr>
        <w:ind w:left="1216" w:hanging="360"/>
      </w:pPr>
    </w:lvl>
    <w:lvl w:ilvl="2" w:tplc="0402001B" w:tentative="1">
      <w:start w:val="1"/>
      <w:numFmt w:val="lowerRoman"/>
      <w:lvlText w:val="%3."/>
      <w:lvlJc w:val="right"/>
      <w:pPr>
        <w:ind w:left="1936" w:hanging="180"/>
      </w:pPr>
    </w:lvl>
    <w:lvl w:ilvl="3" w:tplc="0402000F" w:tentative="1">
      <w:start w:val="1"/>
      <w:numFmt w:val="decimal"/>
      <w:lvlText w:val="%4."/>
      <w:lvlJc w:val="left"/>
      <w:pPr>
        <w:ind w:left="2656" w:hanging="360"/>
      </w:pPr>
    </w:lvl>
    <w:lvl w:ilvl="4" w:tplc="04020019" w:tentative="1">
      <w:start w:val="1"/>
      <w:numFmt w:val="lowerLetter"/>
      <w:lvlText w:val="%5."/>
      <w:lvlJc w:val="left"/>
      <w:pPr>
        <w:ind w:left="3376" w:hanging="360"/>
      </w:pPr>
    </w:lvl>
    <w:lvl w:ilvl="5" w:tplc="0402001B" w:tentative="1">
      <w:start w:val="1"/>
      <w:numFmt w:val="lowerRoman"/>
      <w:lvlText w:val="%6."/>
      <w:lvlJc w:val="right"/>
      <w:pPr>
        <w:ind w:left="4096" w:hanging="180"/>
      </w:pPr>
    </w:lvl>
    <w:lvl w:ilvl="6" w:tplc="0402000F" w:tentative="1">
      <w:start w:val="1"/>
      <w:numFmt w:val="decimal"/>
      <w:lvlText w:val="%7."/>
      <w:lvlJc w:val="left"/>
      <w:pPr>
        <w:ind w:left="4816" w:hanging="360"/>
      </w:pPr>
    </w:lvl>
    <w:lvl w:ilvl="7" w:tplc="04020019" w:tentative="1">
      <w:start w:val="1"/>
      <w:numFmt w:val="lowerLetter"/>
      <w:lvlText w:val="%8."/>
      <w:lvlJc w:val="left"/>
      <w:pPr>
        <w:ind w:left="5536" w:hanging="360"/>
      </w:pPr>
    </w:lvl>
    <w:lvl w:ilvl="8" w:tplc="0402001B" w:tentative="1">
      <w:start w:val="1"/>
      <w:numFmt w:val="lowerRoman"/>
      <w:lvlText w:val="%9."/>
      <w:lvlJc w:val="right"/>
      <w:pPr>
        <w:ind w:left="6256" w:hanging="180"/>
      </w:pPr>
    </w:lvl>
  </w:abstractNum>
  <w:abstractNum w:abstractNumId="78" w15:restartNumberingAfterBreak="0">
    <w:nsid w:val="6EBE33DB"/>
    <w:multiLevelType w:val="hybridMultilevel"/>
    <w:tmpl w:val="DCBC924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79" w15:restartNumberingAfterBreak="0">
    <w:nsid w:val="70926BE9"/>
    <w:multiLevelType w:val="hybridMultilevel"/>
    <w:tmpl w:val="2FBA589A"/>
    <w:lvl w:ilvl="0" w:tplc="9FCE4CBA">
      <w:start w:val="1"/>
      <w:numFmt w:val="decimal"/>
      <w:lvlText w:val="%1."/>
      <w:lvlJc w:val="left"/>
      <w:pPr>
        <w:ind w:left="317" w:hanging="181"/>
      </w:pPr>
      <w:rPr>
        <w:rFonts w:ascii="Times New Roman" w:eastAsia="Times New Roman" w:hAnsi="Times New Roman" w:cs="Times New Roman" w:hint="default"/>
        <w:w w:val="100"/>
        <w:sz w:val="22"/>
        <w:szCs w:val="22"/>
        <w:lang w:val="bg-BG" w:eastAsia="en-US" w:bidi="ar-SA"/>
      </w:rPr>
    </w:lvl>
    <w:lvl w:ilvl="1" w:tplc="F9D649A6">
      <w:numFmt w:val="bullet"/>
      <w:lvlText w:val="•"/>
      <w:lvlJc w:val="left"/>
      <w:pPr>
        <w:ind w:left="1256" w:hanging="181"/>
      </w:pPr>
      <w:rPr>
        <w:lang w:val="bg-BG" w:eastAsia="en-US" w:bidi="ar-SA"/>
      </w:rPr>
    </w:lvl>
    <w:lvl w:ilvl="2" w:tplc="D8E67B48">
      <w:numFmt w:val="bullet"/>
      <w:lvlText w:val="•"/>
      <w:lvlJc w:val="left"/>
      <w:pPr>
        <w:ind w:left="2193" w:hanging="181"/>
      </w:pPr>
      <w:rPr>
        <w:lang w:val="bg-BG" w:eastAsia="en-US" w:bidi="ar-SA"/>
      </w:rPr>
    </w:lvl>
    <w:lvl w:ilvl="3" w:tplc="18EEE1A2">
      <w:numFmt w:val="bullet"/>
      <w:lvlText w:val="•"/>
      <w:lvlJc w:val="left"/>
      <w:pPr>
        <w:ind w:left="3129" w:hanging="181"/>
      </w:pPr>
      <w:rPr>
        <w:lang w:val="bg-BG" w:eastAsia="en-US" w:bidi="ar-SA"/>
      </w:rPr>
    </w:lvl>
    <w:lvl w:ilvl="4" w:tplc="B90482C4">
      <w:numFmt w:val="bullet"/>
      <w:lvlText w:val="•"/>
      <w:lvlJc w:val="left"/>
      <w:pPr>
        <w:ind w:left="4066" w:hanging="181"/>
      </w:pPr>
      <w:rPr>
        <w:lang w:val="bg-BG" w:eastAsia="en-US" w:bidi="ar-SA"/>
      </w:rPr>
    </w:lvl>
    <w:lvl w:ilvl="5" w:tplc="3D7AC86A">
      <w:numFmt w:val="bullet"/>
      <w:lvlText w:val="•"/>
      <w:lvlJc w:val="left"/>
      <w:pPr>
        <w:ind w:left="5003" w:hanging="181"/>
      </w:pPr>
      <w:rPr>
        <w:lang w:val="bg-BG" w:eastAsia="en-US" w:bidi="ar-SA"/>
      </w:rPr>
    </w:lvl>
    <w:lvl w:ilvl="6" w:tplc="213ECF00">
      <w:numFmt w:val="bullet"/>
      <w:lvlText w:val="•"/>
      <w:lvlJc w:val="left"/>
      <w:pPr>
        <w:ind w:left="5939" w:hanging="181"/>
      </w:pPr>
      <w:rPr>
        <w:lang w:val="bg-BG" w:eastAsia="en-US" w:bidi="ar-SA"/>
      </w:rPr>
    </w:lvl>
    <w:lvl w:ilvl="7" w:tplc="BB46F2DA">
      <w:numFmt w:val="bullet"/>
      <w:lvlText w:val="•"/>
      <w:lvlJc w:val="left"/>
      <w:pPr>
        <w:ind w:left="6876" w:hanging="181"/>
      </w:pPr>
      <w:rPr>
        <w:lang w:val="bg-BG" w:eastAsia="en-US" w:bidi="ar-SA"/>
      </w:rPr>
    </w:lvl>
    <w:lvl w:ilvl="8" w:tplc="4AD07FFE">
      <w:numFmt w:val="bullet"/>
      <w:lvlText w:val="•"/>
      <w:lvlJc w:val="left"/>
      <w:pPr>
        <w:ind w:left="7813" w:hanging="181"/>
      </w:pPr>
      <w:rPr>
        <w:lang w:val="bg-BG" w:eastAsia="en-US" w:bidi="ar-SA"/>
      </w:rPr>
    </w:lvl>
  </w:abstractNum>
  <w:abstractNum w:abstractNumId="80" w15:restartNumberingAfterBreak="0">
    <w:nsid w:val="710C3185"/>
    <w:multiLevelType w:val="hybridMultilevel"/>
    <w:tmpl w:val="D2D4BAE8"/>
    <w:lvl w:ilvl="0" w:tplc="08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1411F44"/>
    <w:multiLevelType w:val="hybridMultilevel"/>
    <w:tmpl w:val="7B5E5934"/>
    <w:lvl w:ilvl="0" w:tplc="6E2E3B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2337156"/>
    <w:multiLevelType w:val="hybridMultilevel"/>
    <w:tmpl w:val="88C2EA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15:restartNumberingAfterBreak="0">
    <w:nsid w:val="72AB4E74"/>
    <w:multiLevelType w:val="hybridMultilevel"/>
    <w:tmpl w:val="6FDE266E"/>
    <w:lvl w:ilvl="0" w:tplc="04090001">
      <w:start w:val="1"/>
      <w:numFmt w:val="bullet"/>
      <w:lvlText w:val=""/>
      <w:lvlJc w:val="left"/>
      <w:pPr>
        <w:ind w:left="1353" w:hanging="360"/>
      </w:pPr>
      <w:rPr>
        <w:rFonts w:ascii="Symbol" w:hAnsi="Symbol" w:hint="default"/>
      </w:rPr>
    </w:lvl>
    <w:lvl w:ilvl="1" w:tplc="2D28AA22">
      <w:start w:val="1"/>
      <w:numFmt w:val="bullet"/>
      <w:lvlText w:val=""/>
      <w:lvlJc w:val="left"/>
      <w:pPr>
        <w:ind w:left="1789" w:hanging="360"/>
      </w:pPr>
      <w:rPr>
        <w:rFonts w:ascii="Symbol" w:hAnsi="Symbol"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84" w15:restartNumberingAfterBreak="0">
    <w:nsid w:val="72CE1F83"/>
    <w:multiLevelType w:val="hybridMultilevel"/>
    <w:tmpl w:val="332A5286"/>
    <w:lvl w:ilvl="0" w:tplc="B074FD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76270AD8"/>
    <w:multiLevelType w:val="hybridMultilevel"/>
    <w:tmpl w:val="350EE570"/>
    <w:lvl w:ilvl="0" w:tplc="6E2E3B22">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6" w15:restartNumberingAfterBreak="0">
    <w:nsid w:val="778A40CF"/>
    <w:multiLevelType w:val="multilevel"/>
    <w:tmpl w:val="150827E4"/>
    <w:lvl w:ilvl="0">
      <w:start w:val="13"/>
      <w:numFmt w:val="decimal"/>
      <w:lvlText w:val="%1."/>
      <w:lvlJc w:val="left"/>
      <w:pPr>
        <w:ind w:left="480" w:hanging="480"/>
      </w:pPr>
      <w:rPr>
        <w:rFonts w:hint="default"/>
      </w:rPr>
    </w:lvl>
    <w:lvl w:ilvl="1">
      <w:start w:val="1"/>
      <w:numFmt w:val="decimal"/>
      <w:lvlText w:val="%1.%2."/>
      <w:lvlJc w:val="left"/>
      <w:pPr>
        <w:ind w:left="960" w:hanging="48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87" w15:restartNumberingAfterBreak="0">
    <w:nsid w:val="7854050D"/>
    <w:multiLevelType w:val="hybridMultilevel"/>
    <w:tmpl w:val="1F30F728"/>
    <w:lvl w:ilvl="0" w:tplc="04090001">
      <w:start w:val="1"/>
      <w:numFmt w:val="bullet"/>
      <w:lvlText w:val=""/>
      <w:lvlJc w:val="left"/>
      <w:pPr>
        <w:ind w:left="1069" w:hanging="360"/>
      </w:pPr>
      <w:rPr>
        <w:rFonts w:ascii="Symbol" w:hAnsi="Symbol" w:hint="default"/>
      </w:rPr>
    </w:lvl>
    <w:lvl w:ilvl="1" w:tplc="04090017">
      <w:start w:val="1"/>
      <w:numFmt w:val="lowerLetter"/>
      <w:lvlText w:val="%2)"/>
      <w:lvlJc w:val="left"/>
      <w:pPr>
        <w:ind w:left="1789" w:hanging="360"/>
      </w:p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88" w15:restartNumberingAfterBreak="0">
    <w:nsid w:val="7860439D"/>
    <w:multiLevelType w:val="hybridMultilevel"/>
    <w:tmpl w:val="24F29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5317D7"/>
    <w:multiLevelType w:val="hybridMultilevel"/>
    <w:tmpl w:val="8BDE3382"/>
    <w:lvl w:ilvl="0" w:tplc="B074F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7A7127"/>
    <w:multiLevelType w:val="multilevel"/>
    <w:tmpl w:val="6BC60938"/>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7A974D45"/>
    <w:multiLevelType w:val="hybridMultilevel"/>
    <w:tmpl w:val="217E4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C895AD8"/>
    <w:multiLevelType w:val="multilevel"/>
    <w:tmpl w:val="D0B2D540"/>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7D05733E"/>
    <w:multiLevelType w:val="hybridMultilevel"/>
    <w:tmpl w:val="B232BD4A"/>
    <w:lvl w:ilvl="0" w:tplc="08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D4E6ADA"/>
    <w:multiLevelType w:val="hybridMultilevel"/>
    <w:tmpl w:val="EDE280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15:restartNumberingAfterBreak="0">
    <w:nsid w:val="7EA0078E"/>
    <w:multiLevelType w:val="multilevel"/>
    <w:tmpl w:val="F6826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FBC2F61"/>
    <w:multiLevelType w:val="hybridMultilevel"/>
    <w:tmpl w:val="8D187240"/>
    <w:lvl w:ilvl="0" w:tplc="B9FA3B48">
      <w:start w:val="1"/>
      <w:numFmt w:val="bullet"/>
      <w:lvlText w:val=""/>
      <w:lvlJc w:val="left"/>
      <w:pPr>
        <w:ind w:left="1211" w:hanging="360"/>
      </w:pPr>
      <w:rPr>
        <w:rFonts w:ascii="Wingdings" w:hAnsi="Wingdings" w:hint="default"/>
      </w:rPr>
    </w:lvl>
    <w:lvl w:ilvl="1" w:tplc="04020003" w:tentative="1">
      <w:start w:val="1"/>
      <w:numFmt w:val="bullet"/>
      <w:lvlText w:val="o"/>
      <w:lvlJc w:val="left"/>
      <w:pPr>
        <w:ind w:left="1931" w:hanging="360"/>
      </w:pPr>
      <w:rPr>
        <w:rFonts w:ascii="Courier New" w:hAnsi="Courier New" w:cs="Courier New" w:hint="default"/>
      </w:rPr>
    </w:lvl>
    <w:lvl w:ilvl="2" w:tplc="04020005" w:tentative="1">
      <w:start w:val="1"/>
      <w:numFmt w:val="bullet"/>
      <w:lvlText w:val=""/>
      <w:lvlJc w:val="left"/>
      <w:pPr>
        <w:ind w:left="2651" w:hanging="360"/>
      </w:pPr>
      <w:rPr>
        <w:rFonts w:ascii="Wingdings" w:hAnsi="Wingdings" w:hint="default"/>
      </w:rPr>
    </w:lvl>
    <w:lvl w:ilvl="3" w:tplc="04020001" w:tentative="1">
      <w:start w:val="1"/>
      <w:numFmt w:val="bullet"/>
      <w:lvlText w:val=""/>
      <w:lvlJc w:val="left"/>
      <w:pPr>
        <w:ind w:left="3371" w:hanging="360"/>
      </w:pPr>
      <w:rPr>
        <w:rFonts w:ascii="Symbol" w:hAnsi="Symbol" w:hint="default"/>
      </w:rPr>
    </w:lvl>
    <w:lvl w:ilvl="4" w:tplc="04020003" w:tentative="1">
      <w:start w:val="1"/>
      <w:numFmt w:val="bullet"/>
      <w:lvlText w:val="o"/>
      <w:lvlJc w:val="left"/>
      <w:pPr>
        <w:ind w:left="4091" w:hanging="360"/>
      </w:pPr>
      <w:rPr>
        <w:rFonts w:ascii="Courier New" w:hAnsi="Courier New" w:cs="Courier New" w:hint="default"/>
      </w:rPr>
    </w:lvl>
    <w:lvl w:ilvl="5" w:tplc="04020005" w:tentative="1">
      <w:start w:val="1"/>
      <w:numFmt w:val="bullet"/>
      <w:lvlText w:val=""/>
      <w:lvlJc w:val="left"/>
      <w:pPr>
        <w:ind w:left="4811" w:hanging="360"/>
      </w:pPr>
      <w:rPr>
        <w:rFonts w:ascii="Wingdings" w:hAnsi="Wingdings" w:hint="default"/>
      </w:rPr>
    </w:lvl>
    <w:lvl w:ilvl="6" w:tplc="04020001" w:tentative="1">
      <w:start w:val="1"/>
      <w:numFmt w:val="bullet"/>
      <w:lvlText w:val=""/>
      <w:lvlJc w:val="left"/>
      <w:pPr>
        <w:ind w:left="5531" w:hanging="360"/>
      </w:pPr>
      <w:rPr>
        <w:rFonts w:ascii="Symbol" w:hAnsi="Symbol" w:hint="default"/>
      </w:rPr>
    </w:lvl>
    <w:lvl w:ilvl="7" w:tplc="04020003" w:tentative="1">
      <w:start w:val="1"/>
      <w:numFmt w:val="bullet"/>
      <w:lvlText w:val="o"/>
      <w:lvlJc w:val="left"/>
      <w:pPr>
        <w:ind w:left="6251" w:hanging="360"/>
      </w:pPr>
      <w:rPr>
        <w:rFonts w:ascii="Courier New" w:hAnsi="Courier New" w:cs="Courier New" w:hint="default"/>
      </w:rPr>
    </w:lvl>
    <w:lvl w:ilvl="8" w:tplc="04020005" w:tentative="1">
      <w:start w:val="1"/>
      <w:numFmt w:val="bullet"/>
      <w:lvlText w:val=""/>
      <w:lvlJc w:val="left"/>
      <w:pPr>
        <w:ind w:left="6971" w:hanging="360"/>
      </w:pPr>
      <w:rPr>
        <w:rFonts w:ascii="Wingdings" w:hAnsi="Wingdings" w:hint="default"/>
      </w:rPr>
    </w:lvl>
  </w:abstractNum>
  <w:num w:numId="1" w16cid:durableId="1567303299">
    <w:abstractNumId w:val="72"/>
  </w:num>
  <w:num w:numId="2" w16cid:durableId="816263109">
    <w:abstractNumId w:val="58"/>
  </w:num>
  <w:num w:numId="3" w16cid:durableId="770049602">
    <w:abstractNumId w:val="26"/>
  </w:num>
  <w:num w:numId="4" w16cid:durableId="1381784520">
    <w:abstractNumId w:val="64"/>
  </w:num>
  <w:num w:numId="5" w16cid:durableId="102891989">
    <w:abstractNumId w:val="61"/>
  </w:num>
  <w:num w:numId="6" w16cid:durableId="567301967">
    <w:abstractNumId w:val="54"/>
  </w:num>
  <w:num w:numId="7" w16cid:durableId="430511793">
    <w:abstractNumId w:val="19"/>
  </w:num>
  <w:num w:numId="8" w16cid:durableId="1053430324">
    <w:abstractNumId w:val="66"/>
  </w:num>
  <w:num w:numId="9" w16cid:durableId="1480270424">
    <w:abstractNumId w:val="38"/>
  </w:num>
  <w:num w:numId="10" w16cid:durableId="487746115">
    <w:abstractNumId w:val="70"/>
  </w:num>
  <w:num w:numId="11" w16cid:durableId="1564103425">
    <w:abstractNumId w:val="55"/>
  </w:num>
  <w:num w:numId="12" w16cid:durableId="1557161649">
    <w:abstractNumId w:val="48"/>
  </w:num>
  <w:num w:numId="13" w16cid:durableId="1255555537">
    <w:abstractNumId w:val="95"/>
  </w:num>
  <w:num w:numId="14" w16cid:durableId="238370655">
    <w:abstractNumId w:val="91"/>
  </w:num>
  <w:num w:numId="15" w16cid:durableId="264504885">
    <w:abstractNumId w:val="78"/>
  </w:num>
  <w:num w:numId="16" w16cid:durableId="746610204">
    <w:abstractNumId w:val="43"/>
  </w:num>
  <w:num w:numId="17" w16cid:durableId="89009078">
    <w:abstractNumId w:val="69"/>
  </w:num>
  <w:num w:numId="18" w16cid:durableId="871768084">
    <w:abstractNumId w:val="40"/>
  </w:num>
  <w:num w:numId="19" w16cid:durableId="851840153">
    <w:abstractNumId w:val="8"/>
  </w:num>
  <w:num w:numId="20" w16cid:durableId="1009797666">
    <w:abstractNumId w:val="52"/>
  </w:num>
  <w:num w:numId="21" w16cid:durableId="1492524180">
    <w:abstractNumId w:val="60"/>
  </w:num>
  <w:num w:numId="22" w16cid:durableId="429543863">
    <w:abstractNumId w:val="67"/>
  </w:num>
  <w:num w:numId="23" w16cid:durableId="927806779">
    <w:abstractNumId w:val="18"/>
  </w:num>
  <w:num w:numId="24" w16cid:durableId="1681159869">
    <w:abstractNumId w:val="46"/>
  </w:num>
  <w:num w:numId="25" w16cid:durableId="1731809145">
    <w:abstractNumId w:val="29"/>
  </w:num>
  <w:num w:numId="26" w16cid:durableId="475073119">
    <w:abstractNumId w:val="68"/>
  </w:num>
  <w:num w:numId="27" w16cid:durableId="1573663149">
    <w:abstractNumId w:val="82"/>
  </w:num>
  <w:num w:numId="28" w16cid:durableId="1526211160">
    <w:abstractNumId w:val="94"/>
  </w:num>
  <w:num w:numId="29" w16cid:durableId="1895655758">
    <w:abstractNumId w:val="35"/>
  </w:num>
  <w:num w:numId="30" w16cid:durableId="225646246">
    <w:abstractNumId w:val="65"/>
  </w:num>
  <w:num w:numId="31" w16cid:durableId="1122531442">
    <w:abstractNumId w:val="50"/>
  </w:num>
  <w:num w:numId="32" w16cid:durableId="1296524906">
    <w:abstractNumId w:val="74"/>
  </w:num>
  <w:num w:numId="33" w16cid:durableId="747314568">
    <w:abstractNumId w:val="17"/>
  </w:num>
  <w:num w:numId="34" w16cid:durableId="1656911040">
    <w:abstractNumId w:val="5"/>
  </w:num>
  <w:num w:numId="35" w16cid:durableId="1071925933">
    <w:abstractNumId w:val="12"/>
  </w:num>
  <w:num w:numId="36" w16cid:durableId="1253514915">
    <w:abstractNumId w:val="23"/>
  </w:num>
  <w:num w:numId="37" w16cid:durableId="1086611294">
    <w:abstractNumId w:val="4"/>
  </w:num>
  <w:num w:numId="38" w16cid:durableId="1516262830">
    <w:abstractNumId w:val="63"/>
  </w:num>
  <w:num w:numId="39" w16cid:durableId="1595698991">
    <w:abstractNumId w:val="90"/>
  </w:num>
  <w:num w:numId="40" w16cid:durableId="1025407396">
    <w:abstractNumId w:val="53"/>
  </w:num>
  <w:num w:numId="41" w16cid:durableId="1837837869">
    <w:abstractNumId w:val="84"/>
  </w:num>
  <w:num w:numId="42" w16cid:durableId="641543107">
    <w:abstractNumId w:val="47"/>
  </w:num>
  <w:num w:numId="43" w16cid:durableId="2011758943">
    <w:abstractNumId w:val="71"/>
  </w:num>
  <w:num w:numId="44" w16cid:durableId="1824350326">
    <w:abstractNumId w:val="89"/>
  </w:num>
  <w:num w:numId="45" w16cid:durableId="1954365918">
    <w:abstractNumId w:val="32"/>
  </w:num>
  <w:num w:numId="46" w16cid:durableId="1302274818">
    <w:abstractNumId w:val="59"/>
  </w:num>
  <w:num w:numId="47" w16cid:durableId="1106535008">
    <w:abstractNumId w:val="0"/>
  </w:num>
  <w:num w:numId="48" w16cid:durableId="953949482">
    <w:abstractNumId w:val="33"/>
  </w:num>
  <w:num w:numId="49" w16cid:durableId="1791389505">
    <w:abstractNumId w:val="62"/>
  </w:num>
  <w:num w:numId="50" w16cid:durableId="1182209629">
    <w:abstractNumId w:val="49"/>
  </w:num>
  <w:num w:numId="51" w16cid:durableId="1945723745">
    <w:abstractNumId w:val="42"/>
  </w:num>
  <w:num w:numId="52" w16cid:durableId="338898703">
    <w:abstractNumId w:val="6"/>
  </w:num>
  <w:num w:numId="53" w16cid:durableId="1851986597">
    <w:abstractNumId w:val="3"/>
  </w:num>
  <w:num w:numId="54" w16cid:durableId="115178631">
    <w:abstractNumId w:val="45"/>
  </w:num>
  <w:num w:numId="55" w16cid:durableId="1042707348">
    <w:abstractNumId w:val="44"/>
  </w:num>
  <w:num w:numId="56" w16cid:durableId="536702481">
    <w:abstractNumId w:val="57"/>
  </w:num>
  <w:num w:numId="57" w16cid:durableId="1835298267">
    <w:abstractNumId w:val="76"/>
  </w:num>
  <w:num w:numId="58" w16cid:durableId="1299607356">
    <w:abstractNumId w:val="37"/>
  </w:num>
  <w:num w:numId="59" w16cid:durableId="1732539352">
    <w:abstractNumId w:val="75"/>
  </w:num>
  <w:num w:numId="60" w16cid:durableId="313609576">
    <w:abstractNumId w:val="31"/>
  </w:num>
  <w:num w:numId="61" w16cid:durableId="1631396308">
    <w:abstractNumId w:val="2"/>
  </w:num>
  <w:num w:numId="62" w16cid:durableId="235282170">
    <w:abstractNumId w:val="36"/>
  </w:num>
  <w:num w:numId="63" w16cid:durableId="273945466">
    <w:abstractNumId w:val="85"/>
  </w:num>
  <w:num w:numId="64" w16cid:durableId="1053966980">
    <w:abstractNumId w:val="10"/>
  </w:num>
  <w:num w:numId="65" w16cid:durableId="50740241">
    <w:abstractNumId w:val="88"/>
  </w:num>
  <w:num w:numId="66" w16cid:durableId="1487936882">
    <w:abstractNumId w:val="15"/>
  </w:num>
  <w:num w:numId="67" w16cid:durableId="644240544">
    <w:abstractNumId w:val="21"/>
  </w:num>
  <w:num w:numId="68" w16cid:durableId="1811826478">
    <w:abstractNumId w:val="92"/>
  </w:num>
  <w:num w:numId="69" w16cid:durableId="1962884089">
    <w:abstractNumId w:val="41"/>
  </w:num>
  <w:num w:numId="70" w16cid:durableId="1998344684">
    <w:abstractNumId w:val="80"/>
  </w:num>
  <w:num w:numId="71" w16cid:durableId="1460801790">
    <w:abstractNumId w:val="16"/>
  </w:num>
  <w:num w:numId="72" w16cid:durableId="1364094201">
    <w:abstractNumId w:val="93"/>
  </w:num>
  <w:num w:numId="73" w16cid:durableId="1853448800">
    <w:abstractNumId w:val="27"/>
  </w:num>
  <w:num w:numId="74" w16cid:durableId="125397396">
    <w:abstractNumId w:val="28"/>
  </w:num>
  <w:num w:numId="75" w16cid:durableId="926575215">
    <w:abstractNumId w:val="51"/>
  </w:num>
  <w:num w:numId="76" w16cid:durableId="2065520386">
    <w:abstractNumId w:val="24"/>
  </w:num>
  <w:num w:numId="77" w16cid:durableId="690423141">
    <w:abstractNumId w:val="34"/>
  </w:num>
  <w:num w:numId="78" w16cid:durableId="776876856">
    <w:abstractNumId w:val="81"/>
  </w:num>
  <w:num w:numId="79" w16cid:durableId="111099700">
    <w:abstractNumId w:val="20"/>
  </w:num>
  <w:num w:numId="80" w16cid:durableId="606740459">
    <w:abstractNumId w:val="30"/>
  </w:num>
  <w:num w:numId="81" w16cid:durableId="240406289">
    <w:abstractNumId w:val="73"/>
  </w:num>
  <w:num w:numId="82" w16cid:durableId="1583950008">
    <w:abstractNumId w:val="25"/>
  </w:num>
  <w:num w:numId="83" w16cid:durableId="1750300739">
    <w:abstractNumId w:val="87"/>
  </w:num>
  <w:num w:numId="84" w16cid:durableId="1567758586">
    <w:abstractNumId w:val="7"/>
  </w:num>
  <w:num w:numId="85" w16cid:durableId="945311721">
    <w:abstractNumId w:val="86"/>
  </w:num>
  <w:num w:numId="86" w16cid:durableId="669522061">
    <w:abstractNumId w:val="9"/>
  </w:num>
  <w:num w:numId="87" w16cid:durableId="1988699354">
    <w:abstractNumId w:val="11"/>
  </w:num>
  <w:num w:numId="88" w16cid:durableId="414592426">
    <w:abstractNumId w:val="79"/>
    <w:lvlOverride w:ilvl="0">
      <w:startOverride w:val="1"/>
    </w:lvlOverride>
    <w:lvlOverride w:ilvl="1"/>
    <w:lvlOverride w:ilvl="2"/>
    <w:lvlOverride w:ilvl="3"/>
    <w:lvlOverride w:ilvl="4"/>
    <w:lvlOverride w:ilvl="5"/>
    <w:lvlOverride w:ilvl="6"/>
    <w:lvlOverride w:ilvl="7"/>
    <w:lvlOverride w:ilvl="8"/>
  </w:num>
  <w:num w:numId="89" w16cid:durableId="2084863445">
    <w:abstractNumId w:val="22"/>
    <w:lvlOverride w:ilvl="0">
      <w:startOverride w:val="9"/>
    </w:lvlOverride>
    <w:lvlOverride w:ilvl="1">
      <w:startOverride w:val="1"/>
    </w:lvlOverride>
    <w:lvlOverride w:ilvl="2"/>
    <w:lvlOverride w:ilvl="3"/>
    <w:lvlOverride w:ilvl="4"/>
    <w:lvlOverride w:ilvl="5"/>
    <w:lvlOverride w:ilvl="6"/>
    <w:lvlOverride w:ilvl="7"/>
    <w:lvlOverride w:ilvl="8"/>
  </w:num>
  <w:num w:numId="90" w16cid:durableId="1336031475">
    <w:abstractNumId w:val="14"/>
    <w:lvlOverride w:ilvl="0">
      <w:startOverride w:val="1"/>
    </w:lvlOverride>
    <w:lvlOverride w:ilvl="1"/>
    <w:lvlOverride w:ilvl="2"/>
    <w:lvlOverride w:ilvl="3"/>
    <w:lvlOverride w:ilvl="4"/>
    <w:lvlOverride w:ilvl="5"/>
    <w:lvlOverride w:ilvl="6"/>
    <w:lvlOverride w:ilvl="7"/>
    <w:lvlOverride w:ilvl="8"/>
  </w:num>
  <w:num w:numId="91" w16cid:durableId="590816119">
    <w:abstractNumId w:val="56"/>
    <w:lvlOverride w:ilvl="0">
      <w:startOverride w:val="1"/>
    </w:lvlOverride>
    <w:lvlOverride w:ilvl="1">
      <w:startOverride w:val="2"/>
    </w:lvlOverride>
    <w:lvlOverride w:ilvl="2">
      <w:startOverride w:val="7"/>
    </w:lvlOverride>
    <w:lvlOverride w:ilvl="3"/>
    <w:lvlOverride w:ilvl="4"/>
    <w:lvlOverride w:ilvl="5"/>
    <w:lvlOverride w:ilvl="6"/>
    <w:lvlOverride w:ilvl="7"/>
    <w:lvlOverride w:ilvl="8"/>
  </w:num>
  <w:num w:numId="92" w16cid:durableId="595790868">
    <w:abstractNumId w:val="1"/>
    <w:lvlOverride w:ilvl="0">
      <w:startOverride w:val="1"/>
    </w:lvlOverride>
    <w:lvlOverride w:ilvl="1"/>
    <w:lvlOverride w:ilvl="2"/>
    <w:lvlOverride w:ilvl="3"/>
    <w:lvlOverride w:ilvl="4"/>
    <w:lvlOverride w:ilvl="5"/>
    <w:lvlOverride w:ilvl="6"/>
    <w:lvlOverride w:ilvl="7"/>
    <w:lvlOverride w:ilvl="8"/>
  </w:num>
  <w:num w:numId="93" w16cid:durableId="453522298">
    <w:abstractNumId w:val="77"/>
  </w:num>
  <w:num w:numId="94" w16cid:durableId="812141005">
    <w:abstractNumId w:val="83"/>
  </w:num>
  <w:num w:numId="95" w16cid:durableId="115295062">
    <w:abstractNumId w:val="13"/>
  </w:num>
  <w:num w:numId="96" w16cid:durableId="1424573582">
    <w:abstractNumId w:val="39"/>
  </w:num>
  <w:num w:numId="97" w16cid:durableId="1720745441">
    <w:abstractNumId w:val="9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511"/>
    <w:rsid w:val="00000070"/>
    <w:rsid w:val="000024C7"/>
    <w:rsid w:val="0000376F"/>
    <w:rsid w:val="00006825"/>
    <w:rsid w:val="00006DE3"/>
    <w:rsid w:val="000138DB"/>
    <w:rsid w:val="00014329"/>
    <w:rsid w:val="00014C03"/>
    <w:rsid w:val="00016A7C"/>
    <w:rsid w:val="00023BA1"/>
    <w:rsid w:val="00023DBA"/>
    <w:rsid w:val="00023E30"/>
    <w:rsid w:val="00024700"/>
    <w:rsid w:val="000260DA"/>
    <w:rsid w:val="00026129"/>
    <w:rsid w:val="00026243"/>
    <w:rsid w:val="0002669B"/>
    <w:rsid w:val="00026ECE"/>
    <w:rsid w:val="00026ED0"/>
    <w:rsid w:val="0002778B"/>
    <w:rsid w:val="00032931"/>
    <w:rsid w:val="00033B5C"/>
    <w:rsid w:val="000358D2"/>
    <w:rsid w:val="000365EA"/>
    <w:rsid w:val="000417A6"/>
    <w:rsid w:val="00043ED3"/>
    <w:rsid w:val="00045E99"/>
    <w:rsid w:val="0004740E"/>
    <w:rsid w:val="00053453"/>
    <w:rsid w:val="000538D5"/>
    <w:rsid w:val="000541AA"/>
    <w:rsid w:val="00055187"/>
    <w:rsid w:val="000631F4"/>
    <w:rsid w:val="00063960"/>
    <w:rsid w:val="0006621A"/>
    <w:rsid w:val="00067FD6"/>
    <w:rsid w:val="0007009A"/>
    <w:rsid w:val="00074ACE"/>
    <w:rsid w:val="00074DD8"/>
    <w:rsid w:val="00076B8C"/>
    <w:rsid w:val="000821E8"/>
    <w:rsid w:val="0008284B"/>
    <w:rsid w:val="00083EB8"/>
    <w:rsid w:val="000853BF"/>
    <w:rsid w:val="00087EE0"/>
    <w:rsid w:val="000901D3"/>
    <w:rsid w:val="00090682"/>
    <w:rsid w:val="0009323A"/>
    <w:rsid w:val="000945FA"/>
    <w:rsid w:val="00097560"/>
    <w:rsid w:val="000A13AC"/>
    <w:rsid w:val="000A18BB"/>
    <w:rsid w:val="000A3491"/>
    <w:rsid w:val="000A433C"/>
    <w:rsid w:val="000A5E04"/>
    <w:rsid w:val="000A6042"/>
    <w:rsid w:val="000A6622"/>
    <w:rsid w:val="000A791D"/>
    <w:rsid w:val="000B15B6"/>
    <w:rsid w:val="000B17F1"/>
    <w:rsid w:val="000B1858"/>
    <w:rsid w:val="000B1BAD"/>
    <w:rsid w:val="000B4838"/>
    <w:rsid w:val="000B49C9"/>
    <w:rsid w:val="000B51E8"/>
    <w:rsid w:val="000B75CB"/>
    <w:rsid w:val="000B7C06"/>
    <w:rsid w:val="000C05DF"/>
    <w:rsid w:val="000C2AE9"/>
    <w:rsid w:val="000C2B12"/>
    <w:rsid w:val="000C7FEA"/>
    <w:rsid w:val="000D1FA5"/>
    <w:rsid w:val="000D3685"/>
    <w:rsid w:val="000D4BAE"/>
    <w:rsid w:val="000D6E83"/>
    <w:rsid w:val="000D76C9"/>
    <w:rsid w:val="000D7709"/>
    <w:rsid w:val="000D7A84"/>
    <w:rsid w:val="000D7C85"/>
    <w:rsid w:val="000D7CB8"/>
    <w:rsid w:val="000E160C"/>
    <w:rsid w:val="000E2CF1"/>
    <w:rsid w:val="000E74A6"/>
    <w:rsid w:val="000E74AA"/>
    <w:rsid w:val="000F14AE"/>
    <w:rsid w:val="000F239A"/>
    <w:rsid w:val="000F318E"/>
    <w:rsid w:val="000F3D40"/>
    <w:rsid w:val="000F3DB6"/>
    <w:rsid w:val="000F4A50"/>
    <w:rsid w:val="001010F3"/>
    <w:rsid w:val="001018F0"/>
    <w:rsid w:val="00106A0B"/>
    <w:rsid w:val="00111FAC"/>
    <w:rsid w:val="00112EAF"/>
    <w:rsid w:val="0011368A"/>
    <w:rsid w:val="001147E4"/>
    <w:rsid w:val="0011488F"/>
    <w:rsid w:val="00115091"/>
    <w:rsid w:val="001300C1"/>
    <w:rsid w:val="00130314"/>
    <w:rsid w:val="001333C4"/>
    <w:rsid w:val="00134DD1"/>
    <w:rsid w:val="001364AF"/>
    <w:rsid w:val="00136AAD"/>
    <w:rsid w:val="001411D3"/>
    <w:rsid w:val="00145AD4"/>
    <w:rsid w:val="001462A2"/>
    <w:rsid w:val="001469A0"/>
    <w:rsid w:val="001471A8"/>
    <w:rsid w:val="001529ED"/>
    <w:rsid w:val="001606CD"/>
    <w:rsid w:val="00160830"/>
    <w:rsid w:val="00162740"/>
    <w:rsid w:val="00163435"/>
    <w:rsid w:val="00163844"/>
    <w:rsid w:val="001645ED"/>
    <w:rsid w:val="00170DE2"/>
    <w:rsid w:val="00173DDE"/>
    <w:rsid w:val="00174A3A"/>
    <w:rsid w:val="00174D56"/>
    <w:rsid w:val="00175BBC"/>
    <w:rsid w:val="00176606"/>
    <w:rsid w:val="001767F3"/>
    <w:rsid w:val="0017696E"/>
    <w:rsid w:val="0018038E"/>
    <w:rsid w:val="00181964"/>
    <w:rsid w:val="00182731"/>
    <w:rsid w:val="00186D8E"/>
    <w:rsid w:val="001909F5"/>
    <w:rsid w:val="00190D07"/>
    <w:rsid w:val="001931F5"/>
    <w:rsid w:val="001932EA"/>
    <w:rsid w:val="001A18CC"/>
    <w:rsid w:val="001A1B8C"/>
    <w:rsid w:val="001A2195"/>
    <w:rsid w:val="001B1CB4"/>
    <w:rsid w:val="001B2150"/>
    <w:rsid w:val="001B29CB"/>
    <w:rsid w:val="001B3624"/>
    <w:rsid w:val="001B36C7"/>
    <w:rsid w:val="001B3C53"/>
    <w:rsid w:val="001B3FAC"/>
    <w:rsid w:val="001B59FE"/>
    <w:rsid w:val="001B5D24"/>
    <w:rsid w:val="001B698A"/>
    <w:rsid w:val="001B76FC"/>
    <w:rsid w:val="001C5549"/>
    <w:rsid w:val="001D0082"/>
    <w:rsid w:val="001D0A49"/>
    <w:rsid w:val="001D52F1"/>
    <w:rsid w:val="001D6650"/>
    <w:rsid w:val="001D7139"/>
    <w:rsid w:val="001E17A1"/>
    <w:rsid w:val="001E18A3"/>
    <w:rsid w:val="001E28E2"/>
    <w:rsid w:val="001E2FD8"/>
    <w:rsid w:val="001E44D1"/>
    <w:rsid w:val="001E600F"/>
    <w:rsid w:val="001E7225"/>
    <w:rsid w:val="001E737D"/>
    <w:rsid w:val="001F1D83"/>
    <w:rsid w:val="001F5489"/>
    <w:rsid w:val="001F7667"/>
    <w:rsid w:val="00205A44"/>
    <w:rsid w:val="002063D6"/>
    <w:rsid w:val="00206B18"/>
    <w:rsid w:val="0021277B"/>
    <w:rsid w:val="00212BE7"/>
    <w:rsid w:val="00213472"/>
    <w:rsid w:val="00213E3F"/>
    <w:rsid w:val="00214087"/>
    <w:rsid w:val="00220832"/>
    <w:rsid w:val="00220F9E"/>
    <w:rsid w:val="00224411"/>
    <w:rsid w:val="002300EB"/>
    <w:rsid w:val="002324EE"/>
    <w:rsid w:val="0023276C"/>
    <w:rsid w:val="0023324A"/>
    <w:rsid w:val="00234784"/>
    <w:rsid w:val="002347CD"/>
    <w:rsid w:val="0023522C"/>
    <w:rsid w:val="002352B3"/>
    <w:rsid w:val="00240F6F"/>
    <w:rsid w:val="002417A9"/>
    <w:rsid w:val="00243CDC"/>
    <w:rsid w:val="00246604"/>
    <w:rsid w:val="00246A6C"/>
    <w:rsid w:val="00247C8D"/>
    <w:rsid w:val="0025183B"/>
    <w:rsid w:val="00251F7F"/>
    <w:rsid w:val="00252A54"/>
    <w:rsid w:val="00254FE4"/>
    <w:rsid w:val="002559D4"/>
    <w:rsid w:val="002566E1"/>
    <w:rsid w:val="00257079"/>
    <w:rsid w:val="00262223"/>
    <w:rsid w:val="0026258B"/>
    <w:rsid w:val="00262A10"/>
    <w:rsid w:val="002660AF"/>
    <w:rsid w:val="00266549"/>
    <w:rsid w:val="00266F69"/>
    <w:rsid w:val="00270CF4"/>
    <w:rsid w:val="00271BED"/>
    <w:rsid w:val="00273096"/>
    <w:rsid w:val="00282677"/>
    <w:rsid w:val="002828BF"/>
    <w:rsid w:val="00282A77"/>
    <w:rsid w:val="002831ED"/>
    <w:rsid w:val="002845D5"/>
    <w:rsid w:val="00284D46"/>
    <w:rsid w:val="0028598C"/>
    <w:rsid w:val="00286FEF"/>
    <w:rsid w:val="0028791B"/>
    <w:rsid w:val="00287955"/>
    <w:rsid w:val="00290706"/>
    <w:rsid w:val="00290E96"/>
    <w:rsid w:val="00293A82"/>
    <w:rsid w:val="0029414C"/>
    <w:rsid w:val="00294F4C"/>
    <w:rsid w:val="0029516D"/>
    <w:rsid w:val="002965D7"/>
    <w:rsid w:val="002974E8"/>
    <w:rsid w:val="002A6C1A"/>
    <w:rsid w:val="002B2278"/>
    <w:rsid w:val="002B6588"/>
    <w:rsid w:val="002C2D64"/>
    <w:rsid w:val="002C603B"/>
    <w:rsid w:val="002D055E"/>
    <w:rsid w:val="002D46D6"/>
    <w:rsid w:val="002D519A"/>
    <w:rsid w:val="002E1033"/>
    <w:rsid w:val="002E17EB"/>
    <w:rsid w:val="002E2C81"/>
    <w:rsid w:val="002E3829"/>
    <w:rsid w:val="002E59A7"/>
    <w:rsid w:val="002E6770"/>
    <w:rsid w:val="002E6A63"/>
    <w:rsid w:val="002F0BB1"/>
    <w:rsid w:val="002F117D"/>
    <w:rsid w:val="002F1E83"/>
    <w:rsid w:val="002F2A00"/>
    <w:rsid w:val="002F2F63"/>
    <w:rsid w:val="002F3100"/>
    <w:rsid w:val="002F3F4E"/>
    <w:rsid w:val="002F53C2"/>
    <w:rsid w:val="002F56A1"/>
    <w:rsid w:val="002F5D74"/>
    <w:rsid w:val="002F7510"/>
    <w:rsid w:val="00301589"/>
    <w:rsid w:val="00301AE1"/>
    <w:rsid w:val="00302F7A"/>
    <w:rsid w:val="00303DA3"/>
    <w:rsid w:val="0030569F"/>
    <w:rsid w:val="00310B7B"/>
    <w:rsid w:val="0031134E"/>
    <w:rsid w:val="00315464"/>
    <w:rsid w:val="003157E9"/>
    <w:rsid w:val="00316732"/>
    <w:rsid w:val="0031722B"/>
    <w:rsid w:val="0032032E"/>
    <w:rsid w:val="00321B3F"/>
    <w:rsid w:val="00321C8F"/>
    <w:rsid w:val="00321E48"/>
    <w:rsid w:val="003222B0"/>
    <w:rsid w:val="00322564"/>
    <w:rsid w:val="00323BEC"/>
    <w:rsid w:val="00324CC0"/>
    <w:rsid w:val="00332659"/>
    <w:rsid w:val="00333357"/>
    <w:rsid w:val="0033399D"/>
    <w:rsid w:val="00336D92"/>
    <w:rsid w:val="00337F06"/>
    <w:rsid w:val="00340AE1"/>
    <w:rsid w:val="00341C37"/>
    <w:rsid w:val="00342849"/>
    <w:rsid w:val="00343BEA"/>
    <w:rsid w:val="003446CF"/>
    <w:rsid w:val="0034599C"/>
    <w:rsid w:val="00345ED6"/>
    <w:rsid w:val="00346DA4"/>
    <w:rsid w:val="00350819"/>
    <w:rsid w:val="00350C89"/>
    <w:rsid w:val="00350CE1"/>
    <w:rsid w:val="00350FD4"/>
    <w:rsid w:val="00354FC3"/>
    <w:rsid w:val="0036194C"/>
    <w:rsid w:val="00361E51"/>
    <w:rsid w:val="00362D8E"/>
    <w:rsid w:val="00362E19"/>
    <w:rsid w:val="003663F2"/>
    <w:rsid w:val="00367DD9"/>
    <w:rsid w:val="003708A0"/>
    <w:rsid w:val="00370C30"/>
    <w:rsid w:val="00371700"/>
    <w:rsid w:val="003718F0"/>
    <w:rsid w:val="00371D42"/>
    <w:rsid w:val="00372B27"/>
    <w:rsid w:val="00373B45"/>
    <w:rsid w:val="003762C6"/>
    <w:rsid w:val="00376AAE"/>
    <w:rsid w:val="00377283"/>
    <w:rsid w:val="003772C7"/>
    <w:rsid w:val="00382F2C"/>
    <w:rsid w:val="00383E85"/>
    <w:rsid w:val="0038543B"/>
    <w:rsid w:val="00385B42"/>
    <w:rsid w:val="0038743A"/>
    <w:rsid w:val="00391BCD"/>
    <w:rsid w:val="00391F70"/>
    <w:rsid w:val="00392283"/>
    <w:rsid w:val="003929C7"/>
    <w:rsid w:val="00393E4D"/>
    <w:rsid w:val="003961B5"/>
    <w:rsid w:val="0039682E"/>
    <w:rsid w:val="00396BB5"/>
    <w:rsid w:val="003973A6"/>
    <w:rsid w:val="00397F33"/>
    <w:rsid w:val="003A1CB7"/>
    <w:rsid w:val="003A20C4"/>
    <w:rsid w:val="003A4E64"/>
    <w:rsid w:val="003B17E9"/>
    <w:rsid w:val="003B2D84"/>
    <w:rsid w:val="003B3022"/>
    <w:rsid w:val="003B433B"/>
    <w:rsid w:val="003B4B5F"/>
    <w:rsid w:val="003B560D"/>
    <w:rsid w:val="003B7CE5"/>
    <w:rsid w:val="003C2683"/>
    <w:rsid w:val="003C7B13"/>
    <w:rsid w:val="003D1693"/>
    <w:rsid w:val="003D1BFF"/>
    <w:rsid w:val="003D278F"/>
    <w:rsid w:val="003E174A"/>
    <w:rsid w:val="003E1BE1"/>
    <w:rsid w:val="003E36B6"/>
    <w:rsid w:val="003E5425"/>
    <w:rsid w:val="003E5959"/>
    <w:rsid w:val="003E6798"/>
    <w:rsid w:val="003F3D71"/>
    <w:rsid w:val="003F416C"/>
    <w:rsid w:val="003F7BCE"/>
    <w:rsid w:val="004019B9"/>
    <w:rsid w:val="004075A3"/>
    <w:rsid w:val="0041286F"/>
    <w:rsid w:val="00412FF6"/>
    <w:rsid w:val="004131B4"/>
    <w:rsid w:val="004147AC"/>
    <w:rsid w:val="00415091"/>
    <w:rsid w:val="004157C4"/>
    <w:rsid w:val="00415FD8"/>
    <w:rsid w:val="00421104"/>
    <w:rsid w:val="00423094"/>
    <w:rsid w:val="0042396C"/>
    <w:rsid w:val="00423C4F"/>
    <w:rsid w:val="00426D11"/>
    <w:rsid w:val="004326D4"/>
    <w:rsid w:val="00435F0A"/>
    <w:rsid w:val="004371D4"/>
    <w:rsid w:val="004406AE"/>
    <w:rsid w:val="00440735"/>
    <w:rsid w:val="00441F0D"/>
    <w:rsid w:val="00444070"/>
    <w:rsid w:val="00445619"/>
    <w:rsid w:val="00446A9C"/>
    <w:rsid w:val="0045016D"/>
    <w:rsid w:val="00453DF6"/>
    <w:rsid w:val="00454CC7"/>
    <w:rsid w:val="00462EEE"/>
    <w:rsid w:val="00464F68"/>
    <w:rsid w:val="004656F6"/>
    <w:rsid w:val="00471980"/>
    <w:rsid w:val="00471E9F"/>
    <w:rsid w:val="00473948"/>
    <w:rsid w:val="004743DA"/>
    <w:rsid w:val="0048089A"/>
    <w:rsid w:val="004823A5"/>
    <w:rsid w:val="004842CD"/>
    <w:rsid w:val="0048478B"/>
    <w:rsid w:val="00484FD3"/>
    <w:rsid w:val="00486A07"/>
    <w:rsid w:val="00486A84"/>
    <w:rsid w:val="0048747D"/>
    <w:rsid w:val="00490352"/>
    <w:rsid w:val="00492FEB"/>
    <w:rsid w:val="00493863"/>
    <w:rsid w:val="00493E4C"/>
    <w:rsid w:val="00494E18"/>
    <w:rsid w:val="00494F7E"/>
    <w:rsid w:val="004A41FF"/>
    <w:rsid w:val="004A43BA"/>
    <w:rsid w:val="004A5402"/>
    <w:rsid w:val="004B1DBD"/>
    <w:rsid w:val="004B2442"/>
    <w:rsid w:val="004B3088"/>
    <w:rsid w:val="004B3207"/>
    <w:rsid w:val="004B5067"/>
    <w:rsid w:val="004B570C"/>
    <w:rsid w:val="004B5EC9"/>
    <w:rsid w:val="004B632D"/>
    <w:rsid w:val="004B6969"/>
    <w:rsid w:val="004B7A95"/>
    <w:rsid w:val="004C0599"/>
    <w:rsid w:val="004C27CB"/>
    <w:rsid w:val="004C4004"/>
    <w:rsid w:val="004C6BAB"/>
    <w:rsid w:val="004D1D49"/>
    <w:rsid w:val="004D2C41"/>
    <w:rsid w:val="004D537A"/>
    <w:rsid w:val="004E0B16"/>
    <w:rsid w:val="004E0D45"/>
    <w:rsid w:val="004E167A"/>
    <w:rsid w:val="004E1A12"/>
    <w:rsid w:val="004E242D"/>
    <w:rsid w:val="004E27C2"/>
    <w:rsid w:val="004E519B"/>
    <w:rsid w:val="004E5408"/>
    <w:rsid w:val="004E7727"/>
    <w:rsid w:val="004F11B9"/>
    <w:rsid w:val="004F408E"/>
    <w:rsid w:val="004F4ADA"/>
    <w:rsid w:val="0050041F"/>
    <w:rsid w:val="00500AA6"/>
    <w:rsid w:val="005012AF"/>
    <w:rsid w:val="0050251C"/>
    <w:rsid w:val="005045D5"/>
    <w:rsid w:val="005046C7"/>
    <w:rsid w:val="005060A3"/>
    <w:rsid w:val="00506BC6"/>
    <w:rsid w:val="00506C87"/>
    <w:rsid w:val="00507E5E"/>
    <w:rsid w:val="00510C21"/>
    <w:rsid w:val="00511BA7"/>
    <w:rsid w:val="005167BE"/>
    <w:rsid w:val="005171C1"/>
    <w:rsid w:val="005174D9"/>
    <w:rsid w:val="00520007"/>
    <w:rsid w:val="005244ED"/>
    <w:rsid w:val="00525BB6"/>
    <w:rsid w:val="00526508"/>
    <w:rsid w:val="005300C9"/>
    <w:rsid w:val="00530554"/>
    <w:rsid w:val="00530FAF"/>
    <w:rsid w:val="00532623"/>
    <w:rsid w:val="00534CD3"/>
    <w:rsid w:val="0053557A"/>
    <w:rsid w:val="00535892"/>
    <w:rsid w:val="00536EBE"/>
    <w:rsid w:val="00536F47"/>
    <w:rsid w:val="00537087"/>
    <w:rsid w:val="00542FB7"/>
    <w:rsid w:val="00543BA0"/>
    <w:rsid w:val="00543FC3"/>
    <w:rsid w:val="005449C0"/>
    <w:rsid w:val="005468B4"/>
    <w:rsid w:val="00551EE1"/>
    <w:rsid w:val="00552400"/>
    <w:rsid w:val="0055253D"/>
    <w:rsid w:val="00552ACE"/>
    <w:rsid w:val="0055793D"/>
    <w:rsid w:val="00562833"/>
    <w:rsid w:val="00565160"/>
    <w:rsid w:val="0056518D"/>
    <w:rsid w:val="005660CA"/>
    <w:rsid w:val="00571820"/>
    <w:rsid w:val="005723A9"/>
    <w:rsid w:val="00573111"/>
    <w:rsid w:val="00573C31"/>
    <w:rsid w:val="00574231"/>
    <w:rsid w:val="00574BA3"/>
    <w:rsid w:val="0057677C"/>
    <w:rsid w:val="00580895"/>
    <w:rsid w:val="00582EAA"/>
    <w:rsid w:val="00583753"/>
    <w:rsid w:val="005875C4"/>
    <w:rsid w:val="005912EE"/>
    <w:rsid w:val="0059249D"/>
    <w:rsid w:val="005943DD"/>
    <w:rsid w:val="00594C2C"/>
    <w:rsid w:val="00597562"/>
    <w:rsid w:val="005A3DC3"/>
    <w:rsid w:val="005A67A3"/>
    <w:rsid w:val="005B08D7"/>
    <w:rsid w:val="005B1381"/>
    <w:rsid w:val="005B1C6B"/>
    <w:rsid w:val="005B27EB"/>
    <w:rsid w:val="005B2CAE"/>
    <w:rsid w:val="005B314E"/>
    <w:rsid w:val="005B781E"/>
    <w:rsid w:val="005C356C"/>
    <w:rsid w:val="005C3A10"/>
    <w:rsid w:val="005C3D5A"/>
    <w:rsid w:val="005C66FD"/>
    <w:rsid w:val="005C76C9"/>
    <w:rsid w:val="005C7723"/>
    <w:rsid w:val="005D3BA4"/>
    <w:rsid w:val="005D412C"/>
    <w:rsid w:val="005D4908"/>
    <w:rsid w:val="005D5C19"/>
    <w:rsid w:val="005D651E"/>
    <w:rsid w:val="005D6704"/>
    <w:rsid w:val="005D711E"/>
    <w:rsid w:val="005E23D1"/>
    <w:rsid w:val="005E2EB8"/>
    <w:rsid w:val="005E6ACF"/>
    <w:rsid w:val="005F14CF"/>
    <w:rsid w:val="005F2898"/>
    <w:rsid w:val="005F3BF3"/>
    <w:rsid w:val="005F60C6"/>
    <w:rsid w:val="005F67AC"/>
    <w:rsid w:val="005F7290"/>
    <w:rsid w:val="006014F8"/>
    <w:rsid w:val="00601E02"/>
    <w:rsid w:val="0060299F"/>
    <w:rsid w:val="00602ACA"/>
    <w:rsid w:val="00605815"/>
    <w:rsid w:val="00605A5C"/>
    <w:rsid w:val="00606B99"/>
    <w:rsid w:val="00606CA6"/>
    <w:rsid w:val="00606F87"/>
    <w:rsid w:val="006071B4"/>
    <w:rsid w:val="00607BD4"/>
    <w:rsid w:val="00607D81"/>
    <w:rsid w:val="00611273"/>
    <w:rsid w:val="00611BFA"/>
    <w:rsid w:val="00612B78"/>
    <w:rsid w:val="00612CF7"/>
    <w:rsid w:val="00614686"/>
    <w:rsid w:val="00616CBC"/>
    <w:rsid w:val="006204D5"/>
    <w:rsid w:val="00621283"/>
    <w:rsid w:val="00622D1D"/>
    <w:rsid w:val="00623E69"/>
    <w:rsid w:val="00625272"/>
    <w:rsid w:val="00626BB8"/>
    <w:rsid w:val="006323EE"/>
    <w:rsid w:val="0064445A"/>
    <w:rsid w:val="00646BCC"/>
    <w:rsid w:val="00651AD9"/>
    <w:rsid w:val="00652EB6"/>
    <w:rsid w:val="006541CF"/>
    <w:rsid w:val="006554E3"/>
    <w:rsid w:val="00656805"/>
    <w:rsid w:val="00656F5D"/>
    <w:rsid w:val="00657FB1"/>
    <w:rsid w:val="00663A1D"/>
    <w:rsid w:val="00663C19"/>
    <w:rsid w:val="006665AA"/>
    <w:rsid w:val="0066726A"/>
    <w:rsid w:val="0067070B"/>
    <w:rsid w:val="0067383A"/>
    <w:rsid w:val="00675A36"/>
    <w:rsid w:val="006767FD"/>
    <w:rsid w:val="00677770"/>
    <w:rsid w:val="00682A7B"/>
    <w:rsid w:val="00682AE5"/>
    <w:rsid w:val="00690D0F"/>
    <w:rsid w:val="00691307"/>
    <w:rsid w:val="00697236"/>
    <w:rsid w:val="006A0C91"/>
    <w:rsid w:val="006A0F31"/>
    <w:rsid w:val="006A3437"/>
    <w:rsid w:val="006A71F4"/>
    <w:rsid w:val="006B0D22"/>
    <w:rsid w:val="006B3196"/>
    <w:rsid w:val="006B395C"/>
    <w:rsid w:val="006C3C72"/>
    <w:rsid w:val="006C3FC9"/>
    <w:rsid w:val="006C478E"/>
    <w:rsid w:val="006C532E"/>
    <w:rsid w:val="006C5ACF"/>
    <w:rsid w:val="006C5B23"/>
    <w:rsid w:val="006C5C18"/>
    <w:rsid w:val="006C67DE"/>
    <w:rsid w:val="006C7307"/>
    <w:rsid w:val="006D0681"/>
    <w:rsid w:val="006D1EE9"/>
    <w:rsid w:val="006D5CC6"/>
    <w:rsid w:val="006D62CD"/>
    <w:rsid w:val="006D67E9"/>
    <w:rsid w:val="006D6BC5"/>
    <w:rsid w:val="006E0AED"/>
    <w:rsid w:val="006E0FF0"/>
    <w:rsid w:val="006E1F13"/>
    <w:rsid w:val="006E2534"/>
    <w:rsid w:val="006E2902"/>
    <w:rsid w:val="006E33B5"/>
    <w:rsid w:val="006E6067"/>
    <w:rsid w:val="006E6FE8"/>
    <w:rsid w:val="006F0532"/>
    <w:rsid w:val="006F4F7F"/>
    <w:rsid w:val="006F54F9"/>
    <w:rsid w:val="006F630A"/>
    <w:rsid w:val="007009E1"/>
    <w:rsid w:val="0070171D"/>
    <w:rsid w:val="0070287B"/>
    <w:rsid w:val="00702F7D"/>
    <w:rsid w:val="007036AD"/>
    <w:rsid w:val="007044B1"/>
    <w:rsid w:val="007047DC"/>
    <w:rsid w:val="00706B92"/>
    <w:rsid w:val="00712025"/>
    <w:rsid w:val="007134E6"/>
    <w:rsid w:val="00714626"/>
    <w:rsid w:val="007147B5"/>
    <w:rsid w:val="0071714F"/>
    <w:rsid w:val="00720021"/>
    <w:rsid w:val="0072051A"/>
    <w:rsid w:val="00720D56"/>
    <w:rsid w:val="00721DAB"/>
    <w:rsid w:val="00722141"/>
    <w:rsid w:val="007240CA"/>
    <w:rsid w:val="00724FA5"/>
    <w:rsid w:val="007276B9"/>
    <w:rsid w:val="00736E30"/>
    <w:rsid w:val="00740602"/>
    <w:rsid w:val="00741701"/>
    <w:rsid w:val="00742AD1"/>
    <w:rsid w:val="00746A88"/>
    <w:rsid w:val="007479B3"/>
    <w:rsid w:val="007561F5"/>
    <w:rsid w:val="007576EF"/>
    <w:rsid w:val="00757874"/>
    <w:rsid w:val="007614AA"/>
    <w:rsid w:val="00761A0B"/>
    <w:rsid w:val="00761C93"/>
    <w:rsid w:val="00761F9C"/>
    <w:rsid w:val="00763370"/>
    <w:rsid w:val="00763E9C"/>
    <w:rsid w:val="00765B26"/>
    <w:rsid w:val="007663AC"/>
    <w:rsid w:val="00766731"/>
    <w:rsid w:val="00770252"/>
    <w:rsid w:val="00772BE0"/>
    <w:rsid w:val="007745FD"/>
    <w:rsid w:val="0078017C"/>
    <w:rsid w:val="0078445C"/>
    <w:rsid w:val="00784A27"/>
    <w:rsid w:val="00784D4B"/>
    <w:rsid w:val="007850D1"/>
    <w:rsid w:val="0078731A"/>
    <w:rsid w:val="0079296A"/>
    <w:rsid w:val="00793663"/>
    <w:rsid w:val="0079781C"/>
    <w:rsid w:val="00797B19"/>
    <w:rsid w:val="007A13E1"/>
    <w:rsid w:val="007A1E47"/>
    <w:rsid w:val="007A4E2A"/>
    <w:rsid w:val="007A4F13"/>
    <w:rsid w:val="007A5455"/>
    <w:rsid w:val="007A55D5"/>
    <w:rsid w:val="007A5BC8"/>
    <w:rsid w:val="007B41D6"/>
    <w:rsid w:val="007B782D"/>
    <w:rsid w:val="007C2D05"/>
    <w:rsid w:val="007C3517"/>
    <w:rsid w:val="007C3C44"/>
    <w:rsid w:val="007C4483"/>
    <w:rsid w:val="007C7132"/>
    <w:rsid w:val="007D1377"/>
    <w:rsid w:val="007D2879"/>
    <w:rsid w:val="007D4C6A"/>
    <w:rsid w:val="007D52DC"/>
    <w:rsid w:val="007E18C8"/>
    <w:rsid w:val="007E215E"/>
    <w:rsid w:val="007E3682"/>
    <w:rsid w:val="007E41F7"/>
    <w:rsid w:val="007E5122"/>
    <w:rsid w:val="007E7396"/>
    <w:rsid w:val="007E7C75"/>
    <w:rsid w:val="007F08EF"/>
    <w:rsid w:val="007F0E20"/>
    <w:rsid w:val="007F11D7"/>
    <w:rsid w:val="007F128A"/>
    <w:rsid w:val="007F2C79"/>
    <w:rsid w:val="007F39DD"/>
    <w:rsid w:val="007F4FC8"/>
    <w:rsid w:val="007F5BE3"/>
    <w:rsid w:val="007F668E"/>
    <w:rsid w:val="007F76AE"/>
    <w:rsid w:val="00800102"/>
    <w:rsid w:val="0080102F"/>
    <w:rsid w:val="00801A6D"/>
    <w:rsid w:val="00804F70"/>
    <w:rsid w:val="00805795"/>
    <w:rsid w:val="008107B2"/>
    <w:rsid w:val="00811FFE"/>
    <w:rsid w:val="00812368"/>
    <w:rsid w:val="0081290D"/>
    <w:rsid w:val="00813FE6"/>
    <w:rsid w:val="00814532"/>
    <w:rsid w:val="00815311"/>
    <w:rsid w:val="00816A9A"/>
    <w:rsid w:val="00817D24"/>
    <w:rsid w:val="00817DC9"/>
    <w:rsid w:val="00820AD8"/>
    <w:rsid w:val="00820EDA"/>
    <w:rsid w:val="008212B6"/>
    <w:rsid w:val="00821329"/>
    <w:rsid w:val="00821657"/>
    <w:rsid w:val="00823225"/>
    <w:rsid w:val="00827FA3"/>
    <w:rsid w:val="00830DD2"/>
    <w:rsid w:val="008360AC"/>
    <w:rsid w:val="0083643B"/>
    <w:rsid w:val="00841BA5"/>
    <w:rsid w:val="0084203D"/>
    <w:rsid w:val="008426F3"/>
    <w:rsid w:val="008441E8"/>
    <w:rsid w:val="0084747F"/>
    <w:rsid w:val="008476EA"/>
    <w:rsid w:val="00850248"/>
    <w:rsid w:val="008517BF"/>
    <w:rsid w:val="00854816"/>
    <w:rsid w:val="008549E4"/>
    <w:rsid w:val="00855E4A"/>
    <w:rsid w:val="0085742D"/>
    <w:rsid w:val="00857C7F"/>
    <w:rsid w:val="00857D60"/>
    <w:rsid w:val="00861013"/>
    <w:rsid w:val="00861842"/>
    <w:rsid w:val="00862F2F"/>
    <w:rsid w:val="00864CF0"/>
    <w:rsid w:val="00870948"/>
    <w:rsid w:val="008723D9"/>
    <w:rsid w:val="00873ADD"/>
    <w:rsid w:val="00873C54"/>
    <w:rsid w:val="008746A5"/>
    <w:rsid w:val="008748EF"/>
    <w:rsid w:val="00874C81"/>
    <w:rsid w:val="00875257"/>
    <w:rsid w:val="00876DB6"/>
    <w:rsid w:val="00876EEE"/>
    <w:rsid w:val="00877BED"/>
    <w:rsid w:val="00877EE7"/>
    <w:rsid w:val="0088052A"/>
    <w:rsid w:val="00881572"/>
    <w:rsid w:val="00887B6B"/>
    <w:rsid w:val="00890AF6"/>
    <w:rsid w:val="00890C5E"/>
    <w:rsid w:val="00893585"/>
    <w:rsid w:val="00895974"/>
    <w:rsid w:val="008961A4"/>
    <w:rsid w:val="00897511"/>
    <w:rsid w:val="008A076B"/>
    <w:rsid w:val="008A0A6D"/>
    <w:rsid w:val="008A0D0A"/>
    <w:rsid w:val="008A0F76"/>
    <w:rsid w:val="008A40E3"/>
    <w:rsid w:val="008A5636"/>
    <w:rsid w:val="008A7E6F"/>
    <w:rsid w:val="008B0873"/>
    <w:rsid w:val="008B6D53"/>
    <w:rsid w:val="008C2D46"/>
    <w:rsid w:val="008C3547"/>
    <w:rsid w:val="008C39A2"/>
    <w:rsid w:val="008C3F83"/>
    <w:rsid w:val="008C406F"/>
    <w:rsid w:val="008C436C"/>
    <w:rsid w:val="008C47F8"/>
    <w:rsid w:val="008C4D0E"/>
    <w:rsid w:val="008C6B0E"/>
    <w:rsid w:val="008D39A9"/>
    <w:rsid w:val="008D3C77"/>
    <w:rsid w:val="008D7F2B"/>
    <w:rsid w:val="008E512A"/>
    <w:rsid w:val="008E59EF"/>
    <w:rsid w:val="008E71F4"/>
    <w:rsid w:val="008E7785"/>
    <w:rsid w:val="008E7C13"/>
    <w:rsid w:val="008F344A"/>
    <w:rsid w:val="008F53B4"/>
    <w:rsid w:val="008F7661"/>
    <w:rsid w:val="008F78D1"/>
    <w:rsid w:val="00900120"/>
    <w:rsid w:val="00905C4C"/>
    <w:rsid w:val="0091039F"/>
    <w:rsid w:val="009107BC"/>
    <w:rsid w:val="00913F46"/>
    <w:rsid w:val="00915757"/>
    <w:rsid w:val="00916121"/>
    <w:rsid w:val="009175C1"/>
    <w:rsid w:val="00917D00"/>
    <w:rsid w:val="00917F7E"/>
    <w:rsid w:val="0093189B"/>
    <w:rsid w:val="009322EA"/>
    <w:rsid w:val="00933BD0"/>
    <w:rsid w:val="00933EB9"/>
    <w:rsid w:val="00934715"/>
    <w:rsid w:val="00935674"/>
    <w:rsid w:val="00936942"/>
    <w:rsid w:val="00936A78"/>
    <w:rsid w:val="00940FC6"/>
    <w:rsid w:val="009417CF"/>
    <w:rsid w:val="00941F21"/>
    <w:rsid w:val="00942873"/>
    <w:rsid w:val="009456D9"/>
    <w:rsid w:val="00946EC7"/>
    <w:rsid w:val="0094794D"/>
    <w:rsid w:val="009500E6"/>
    <w:rsid w:val="00950F95"/>
    <w:rsid w:val="009513F7"/>
    <w:rsid w:val="00951C03"/>
    <w:rsid w:val="009529B3"/>
    <w:rsid w:val="009561B9"/>
    <w:rsid w:val="00962120"/>
    <w:rsid w:val="0096318E"/>
    <w:rsid w:val="00965062"/>
    <w:rsid w:val="009652DB"/>
    <w:rsid w:val="00966B7B"/>
    <w:rsid w:val="0096787A"/>
    <w:rsid w:val="009717D8"/>
    <w:rsid w:val="0097209F"/>
    <w:rsid w:val="009754DC"/>
    <w:rsid w:val="0097679A"/>
    <w:rsid w:val="009767EF"/>
    <w:rsid w:val="00977C8B"/>
    <w:rsid w:val="009819DF"/>
    <w:rsid w:val="00981C61"/>
    <w:rsid w:val="00981F7B"/>
    <w:rsid w:val="0098203F"/>
    <w:rsid w:val="00982D50"/>
    <w:rsid w:val="00983DDE"/>
    <w:rsid w:val="00983EC6"/>
    <w:rsid w:val="00984131"/>
    <w:rsid w:val="00987217"/>
    <w:rsid w:val="00991130"/>
    <w:rsid w:val="0099467C"/>
    <w:rsid w:val="009955CF"/>
    <w:rsid w:val="009A19A3"/>
    <w:rsid w:val="009A504A"/>
    <w:rsid w:val="009A57A3"/>
    <w:rsid w:val="009B0511"/>
    <w:rsid w:val="009B0811"/>
    <w:rsid w:val="009B2EE8"/>
    <w:rsid w:val="009B3488"/>
    <w:rsid w:val="009B3DA8"/>
    <w:rsid w:val="009B44B7"/>
    <w:rsid w:val="009B73CC"/>
    <w:rsid w:val="009C1C3F"/>
    <w:rsid w:val="009C2146"/>
    <w:rsid w:val="009C5119"/>
    <w:rsid w:val="009C625C"/>
    <w:rsid w:val="009C68CE"/>
    <w:rsid w:val="009D09B5"/>
    <w:rsid w:val="009D0AF7"/>
    <w:rsid w:val="009D131E"/>
    <w:rsid w:val="009D1429"/>
    <w:rsid w:val="009D23E4"/>
    <w:rsid w:val="009D37F4"/>
    <w:rsid w:val="009D424E"/>
    <w:rsid w:val="009D5D1B"/>
    <w:rsid w:val="009D66C7"/>
    <w:rsid w:val="009D712F"/>
    <w:rsid w:val="009D736E"/>
    <w:rsid w:val="009E2BB8"/>
    <w:rsid w:val="009E4B7E"/>
    <w:rsid w:val="009E630B"/>
    <w:rsid w:val="009E67F8"/>
    <w:rsid w:val="009E6DC3"/>
    <w:rsid w:val="009E7CA6"/>
    <w:rsid w:val="009F1EA0"/>
    <w:rsid w:val="009F463C"/>
    <w:rsid w:val="009F6D1E"/>
    <w:rsid w:val="009F7593"/>
    <w:rsid w:val="00A00DF7"/>
    <w:rsid w:val="00A01DE8"/>
    <w:rsid w:val="00A03C36"/>
    <w:rsid w:val="00A03E12"/>
    <w:rsid w:val="00A05339"/>
    <w:rsid w:val="00A05E81"/>
    <w:rsid w:val="00A111A7"/>
    <w:rsid w:val="00A13251"/>
    <w:rsid w:val="00A15976"/>
    <w:rsid w:val="00A17C93"/>
    <w:rsid w:val="00A20AD9"/>
    <w:rsid w:val="00A3283F"/>
    <w:rsid w:val="00A34057"/>
    <w:rsid w:val="00A37C7D"/>
    <w:rsid w:val="00A4013E"/>
    <w:rsid w:val="00A42AF6"/>
    <w:rsid w:val="00A43EF3"/>
    <w:rsid w:val="00A446EA"/>
    <w:rsid w:val="00A46C51"/>
    <w:rsid w:val="00A47D80"/>
    <w:rsid w:val="00A50031"/>
    <w:rsid w:val="00A52818"/>
    <w:rsid w:val="00A533C8"/>
    <w:rsid w:val="00A53CC9"/>
    <w:rsid w:val="00A54C5B"/>
    <w:rsid w:val="00A57093"/>
    <w:rsid w:val="00A606F5"/>
    <w:rsid w:val="00A62591"/>
    <w:rsid w:val="00A67558"/>
    <w:rsid w:val="00A67800"/>
    <w:rsid w:val="00A71654"/>
    <w:rsid w:val="00A7218A"/>
    <w:rsid w:val="00A7351B"/>
    <w:rsid w:val="00A74D6F"/>
    <w:rsid w:val="00A7632D"/>
    <w:rsid w:val="00A778F2"/>
    <w:rsid w:val="00A80D9C"/>
    <w:rsid w:val="00A831BA"/>
    <w:rsid w:val="00A8379B"/>
    <w:rsid w:val="00A83AB0"/>
    <w:rsid w:val="00A85621"/>
    <w:rsid w:val="00A9084D"/>
    <w:rsid w:val="00A916C2"/>
    <w:rsid w:val="00A9458F"/>
    <w:rsid w:val="00A961A7"/>
    <w:rsid w:val="00AA1E51"/>
    <w:rsid w:val="00AA7293"/>
    <w:rsid w:val="00AB12E2"/>
    <w:rsid w:val="00AB2292"/>
    <w:rsid w:val="00AB2E0F"/>
    <w:rsid w:val="00AB2FB2"/>
    <w:rsid w:val="00AB4A2F"/>
    <w:rsid w:val="00AB66F3"/>
    <w:rsid w:val="00AB76E6"/>
    <w:rsid w:val="00AB7DA0"/>
    <w:rsid w:val="00AB7DDB"/>
    <w:rsid w:val="00AC0886"/>
    <w:rsid w:val="00AC1BDD"/>
    <w:rsid w:val="00AC5388"/>
    <w:rsid w:val="00AC5BB1"/>
    <w:rsid w:val="00AC6FF4"/>
    <w:rsid w:val="00AC7515"/>
    <w:rsid w:val="00AD2111"/>
    <w:rsid w:val="00AD32C9"/>
    <w:rsid w:val="00AD475C"/>
    <w:rsid w:val="00AD646E"/>
    <w:rsid w:val="00AE18F8"/>
    <w:rsid w:val="00AE2D98"/>
    <w:rsid w:val="00AE3079"/>
    <w:rsid w:val="00AE5313"/>
    <w:rsid w:val="00AE5785"/>
    <w:rsid w:val="00AE604C"/>
    <w:rsid w:val="00AE6677"/>
    <w:rsid w:val="00AF0128"/>
    <w:rsid w:val="00AF1909"/>
    <w:rsid w:val="00AF3E74"/>
    <w:rsid w:val="00AF5FEC"/>
    <w:rsid w:val="00AF750E"/>
    <w:rsid w:val="00B00333"/>
    <w:rsid w:val="00B01C84"/>
    <w:rsid w:val="00B03DF8"/>
    <w:rsid w:val="00B06782"/>
    <w:rsid w:val="00B07551"/>
    <w:rsid w:val="00B11B2D"/>
    <w:rsid w:val="00B12F91"/>
    <w:rsid w:val="00B139F7"/>
    <w:rsid w:val="00B1468B"/>
    <w:rsid w:val="00B14824"/>
    <w:rsid w:val="00B16422"/>
    <w:rsid w:val="00B20D0A"/>
    <w:rsid w:val="00B20E7C"/>
    <w:rsid w:val="00B23231"/>
    <w:rsid w:val="00B24B81"/>
    <w:rsid w:val="00B2533E"/>
    <w:rsid w:val="00B25F93"/>
    <w:rsid w:val="00B26212"/>
    <w:rsid w:val="00B26BC8"/>
    <w:rsid w:val="00B2747D"/>
    <w:rsid w:val="00B276CE"/>
    <w:rsid w:val="00B31938"/>
    <w:rsid w:val="00B327AE"/>
    <w:rsid w:val="00B32CC2"/>
    <w:rsid w:val="00B35923"/>
    <w:rsid w:val="00B41CA7"/>
    <w:rsid w:val="00B436FA"/>
    <w:rsid w:val="00B438CC"/>
    <w:rsid w:val="00B43E5C"/>
    <w:rsid w:val="00B43F96"/>
    <w:rsid w:val="00B44E17"/>
    <w:rsid w:val="00B46426"/>
    <w:rsid w:val="00B4713E"/>
    <w:rsid w:val="00B50268"/>
    <w:rsid w:val="00B52E6D"/>
    <w:rsid w:val="00B54C6F"/>
    <w:rsid w:val="00B55D53"/>
    <w:rsid w:val="00B565D9"/>
    <w:rsid w:val="00B60B1C"/>
    <w:rsid w:val="00B61933"/>
    <w:rsid w:val="00B63EF5"/>
    <w:rsid w:val="00B67503"/>
    <w:rsid w:val="00B675F3"/>
    <w:rsid w:val="00B704F5"/>
    <w:rsid w:val="00B711C6"/>
    <w:rsid w:val="00B71C72"/>
    <w:rsid w:val="00B72E39"/>
    <w:rsid w:val="00B73DB6"/>
    <w:rsid w:val="00B744AC"/>
    <w:rsid w:val="00B76410"/>
    <w:rsid w:val="00B7645A"/>
    <w:rsid w:val="00B76ACB"/>
    <w:rsid w:val="00B77042"/>
    <w:rsid w:val="00B774FC"/>
    <w:rsid w:val="00B839F0"/>
    <w:rsid w:val="00B83EED"/>
    <w:rsid w:val="00B841E6"/>
    <w:rsid w:val="00B86175"/>
    <w:rsid w:val="00B86516"/>
    <w:rsid w:val="00B87DA2"/>
    <w:rsid w:val="00B94F6C"/>
    <w:rsid w:val="00B95741"/>
    <w:rsid w:val="00B95EE7"/>
    <w:rsid w:val="00BA0945"/>
    <w:rsid w:val="00BA12F4"/>
    <w:rsid w:val="00BA3430"/>
    <w:rsid w:val="00BA3843"/>
    <w:rsid w:val="00BA51BD"/>
    <w:rsid w:val="00BA5776"/>
    <w:rsid w:val="00BA5B39"/>
    <w:rsid w:val="00BA6F27"/>
    <w:rsid w:val="00BA75F3"/>
    <w:rsid w:val="00BB005C"/>
    <w:rsid w:val="00BB0C08"/>
    <w:rsid w:val="00BB0ED7"/>
    <w:rsid w:val="00BB3AC1"/>
    <w:rsid w:val="00BB3F2A"/>
    <w:rsid w:val="00BB4B48"/>
    <w:rsid w:val="00BB5448"/>
    <w:rsid w:val="00BB6160"/>
    <w:rsid w:val="00BB6626"/>
    <w:rsid w:val="00BB753A"/>
    <w:rsid w:val="00BC10BD"/>
    <w:rsid w:val="00BC142F"/>
    <w:rsid w:val="00BC2BFC"/>
    <w:rsid w:val="00BC3BFF"/>
    <w:rsid w:val="00BC4204"/>
    <w:rsid w:val="00BC5238"/>
    <w:rsid w:val="00BC60AB"/>
    <w:rsid w:val="00BC63FC"/>
    <w:rsid w:val="00BC7096"/>
    <w:rsid w:val="00BC72E8"/>
    <w:rsid w:val="00BD1757"/>
    <w:rsid w:val="00BD21F6"/>
    <w:rsid w:val="00BD278E"/>
    <w:rsid w:val="00BD3B8A"/>
    <w:rsid w:val="00BD50BD"/>
    <w:rsid w:val="00BD550E"/>
    <w:rsid w:val="00BD5842"/>
    <w:rsid w:val="00BD59D2"/>
    <w:rsid w:val="00BD77EA"/>
    <w:rsid w:val="00BE1B7E"/>
    <w:rsid w:val="00BE5FF4"/>
    <w:rsid w:val="00BF06A3"/>
    <w:rsid w:val="00BF1CF0"/>
    <w:rsid w:val="00BF5DA5"/>
    <w:rsid w:val="00BF6FA6"/>
    <w:rsid w:val="00BF7C83"/>
    <w:rsid w:val="00C00ADC"/>
    <w:rsid w:val="00C00EA1"/>
    <w:rsid w:val="00C02019"/>
    <w:rsid w:val="00C03224"/>
    <w:rsid w:val="00C03C84"/>
    <w:rsid w:val="00C04690"/>
    <w:rsid w:val="00C1059D"/>
    <w:rsid w:val="00C1590E"/>
    <w:rsid w:val="00C15EDD"/>
    <w:rsid w:val="00C169C1"/>
    <w:rsid w:val="00C16BC1"/>
    <w:rsid w:val="00C24C51"/>
    <w:rsid w:val="00C25383"/>
    <w:rsid w:val="00C25D90"/>
    <w:rsid w:val="00C301B6"/>
    <w:rsid w:val="00C3120D"/>
    <w:rsid w:val="00C32CE1"/>
    <w:rsid w:val="00C33778"/>
    <w:rsid w:val="00C36646"/>
    <w:rsid w:val="00C3666F"/>
    <w:rsid w:val="00C41F0E"/>
    <w:rsid w:val="00C42930"/>
    <w:rsid w:val="00C4365A"/>
    <w:rsid w:val="00C443EC"/>
    <w:rsid w:val="00C51286"/>
    <w:rsid w:val="00C51581"/>
    <w:rsid w:val="00C524A4"/>
    <w:rsid w:val="00C55B08"/>
    <w:rsid w:val="00C56870"/>
    <w:rsid w:val="00C6143F"/>
    <w:rsid w:val="00C65397"/>
    <w:rsid w:val="00C66201"/>
    <w:rsid w:val="00C671AA"/>
    <w:rsid w:val="00C72723"/>
    <w:rsid w:val="00C735AA"/>
    <w:rsid w:val="00C74563"/>
    <w:rsid w:val="00C7482F"/>
    <w:rsid w:val="00C75BB0"/>
    <w:rsid w:val="00C7615F"/>
    <w:rsid w:val="00C80F64"/>
    <w:rsid w:val="00C81058"/>
    <w:rsid w:val="00C8107F"/>
    <w:rsid w:val="00C8235E"/>
    <w:rsid w:val="00C82469"/>
    <w:rsid w:val="00C8294F"/>
    <w:rsid w:val="00C83571"/>
    <w:rsid w:val="00C87824"/>
    <w:rsid w:val="00C91A84"/>
    <w:rsid w:val="00C93A61"/>
    <w:rsid w:val="00C958FA"/>
    <w:rsid w:val="00C96197"/>
    <w:rsid w:val="00C964CA"/>
    <w:rsid w:val="00CA1188"/>
    <w:rsid w:val="00CA2678"/>
    <w:rsid w:val="00CA3789"/>
    <w:rsid w:val="00CA4C5E"/>
    <w:rsid w:val="00CA7BDC"/>
    <w:rsid w:val="00CB0A85"/>
    <w:rsid w:val="00CB1B08"/>
    <w:rsid w:val="00CB58C8"/>
    <w:rsid w:val="00CB59D2"/>
    <w:rsid w:val="00CB6F87"/>
    <w:rsid w:val="00CC1B03"/>
    <w:rsid w:val="00CC1CE1"/>
    <w:rsid w:val="00CC5690"/>
    <w:rsid w:val="00CC59ED"/>
    <w:rsid w:val="00CC69A1"/>
    <w:rsid w:val="00CD1D38"/>
    <w:rsid w:val="00CD25E9"/>
    <w:rsid w:val="00CD2BA4"/>
    <w:rsid w:val="00CD4045"/>
    <w:rsid w:val="00CD526D"/>
    <w:rsid w:val="00CD5345"/>
    <w:rsid w:val="00CD6D4E"/>
    <w:rsid w:val="00CD75AB"/>
    <w:rsid w:val="00CE0604"/>
    <w:rsid w:val="00CE1F67"/>
    <w:rsid w:val="00CE1FB8"/>
    <w:rsid w:val="00CE4F17"/>
    <w:rsid w:val="00CE63FB"/>
    <w:rsid w:val="00CF09AE"/>
    <w:rsid w:val="00CF0F2A"/>
    <w:rsid w:val="00CF13F7"/>
    <w:rsid w:val="00CF44B4"/>
    <w:rsid w:val="00CF5555"/>
    <w:rsid w:val="00CF669B"/>
    <w:rsid w:val="00D015B2"/>
    <w:rsid w:val="00D0185C"/>
    <w:rsid w:val="00D02E9D"/>
    <w:rsid w:val="00D03F78"/>
    <w:rsid w:val="00D05F65"/>
    <w:rsid w:val="00D05F80"/>
    <w:rsid w:val="00D06059"/>
    <w:rsid w:val="00D11943"/>
    <w:rsid w:val="00D121EB"/>
    <w:rsid w:val="00D121EC"/>
    <w:rsid w:val="00D129B4"/>
    <w:rsid w:val="00D1458E"/>
    <w:rsid w:val="00D14980"/>
    <w:rsid w:val="00D14FFB"/>
    <w:rsid w:val="00D16272"/>
    <w:rsid w:val="00D20892"/>
    <w:rsid w:val="00D21881"/>
    <w:rsid w:val="00D2240F"/>
    <w:rsid w:val="00D25543"/>
    <w:rsid w:val="00D25BBF"/>
    <w:rsid w:val="00D26385"/>
    <w:rsid w:val="00D278C8"/>
    <w:rsid w:val="00D30DD7"/>
    <w:rsid w:val="00D31755"/>
    <w:rsid w:val="00D33717"/>
    <w:rsid w:val="00D33F23"/>
    <w:rsid w:val="00D37F61"/>
    <w:rsid w:val="00D42BED"/>
    <w:rsid w:val="00D44258"/>
    <w:rsid w:val="00D44282"/>
    <w:rsid w:val="00D45010"/>
    <w:rsid w:val="00D460FF"/>
    <w:rsid w:val="00D46F4E"/>
    <w:rsid w:val="00D47444"/>
    <w:rsid w:val="00D47534"/>
    <w:rsid w:val="00D47CE2"/>
    <w:rsid w:val="00D50A43"/>
    <w:rsid w:val="00D51145"/>
    <w:rsid w:val="00D5130D"/>
    <w:rsid w:val="00D53DB5"/>
    <w:rsid w:val="00D54FD7"/>
    <w:rsid w:val="00D56272"/>
    <w:rsid w:val="00D6187E"/>
    <w:rsid w:val="00D618CA"/>
    <w:rsid w:val="00D61D0C"/>
    <w:rsid w:val="00D6463C"/>
    <w:rsid w:val="00D667A2"/>
    <w:rsid w:val="00D70AE6"/>
    <w:rsid w:val="00D71F1C"/>
    <w:rsid w:val="00D72000"/>
    <w:rsid w:val="00D72C35"/>
    <w:rsid w:val="00D73AA0"/>
    <w:rsid w:val="00D73BEE"/>
    <w:rsid w:val="00D75093"/>
    <w:rsid w:val="00D7613F"/>
    <w:rsid w:val="00D7621E"/>
    <w:rsid w:val="00D8035F"/>
    <w:rsid w:val="00D809BC"/>
    <w:rsid w:val="00D82135"/>
    <w:rsid w:val="00D8307E"/>
    <w:rsid w:val="00D83575"/>
    <w:rsid w:val="00D84DF7"/>
    <w:rsid w:val="00D8574A"/>
    <w:rsid w:val="00D865C3"/>
    <w:rsid w:val="00D91758"/>
    <w:rsid w:val="00DA01CE"/>
    <w:rsid w:val="00DA1DF0"/>
    <w:rsid w:val="00DA2D41"/>
    <w:rsid w:val="00DA71FA"/>
    <w:rsid w:val="00DA7644"/>
    <w:rsid w:val="00DB0E67"/>
    <w:rsid w:val="00DB1656"/>
    <w:rsid w:val="00DB27D1"/>
    <w:rsid w:val="00DB2AD5"/>
    <w:rsid w:val="00DB30ED"/>
    <w:rsid w:val="00DB37E0"/>
    <w:rsid w:val="00DB4C0F"/>
    <w:rsid w:val="00DB7943"/>
    <w:rsid w:val="00DC0401"/>
    <w:rsid w:val="00DC0D0E"/>
    <w:rsid w:val="00DC33F5"/>
    <w:rsid w:val="00DC48FD"/>
    <w:rsid w:val="00DC65C5"/>
    <w:rsid w:val="00DD209B"/>
    <w:rsid w:val="00DD2893"/>
    <w:rsid w:val="00DD5757"/>
    <w:rsid w:val="00DE0565"/>
    <w:rsid w:val="00DE214A"/>
    <w:rsid w:val="00DE239E"/>
    <w:rsid w:val="00DE3E4B"/>
    <w:rsid w:val="00DE57CE"/>
    <w:rsid w:val="00DE6CFB"/>
    <w:rsid w:val="00DE754E"/>
    <w:rsid w:val="00DE76EC"/>
    <w:rsid w:val="00DF5619"/>
    <w:rsid w:val="00DF6E5B"/>
    <w:rsid w:val="00E01833"/>
    <w:rsid w:val="00E02755"/>
    <w:rsid w:val="00E05DEE"/>
    <w:rsid w:val="00E1096A"/>
    <w:rsid w:val="00E1278E"/>
    <w:rsid w:val="00E12797"/>
    <w:rsid w:val="00E12FB8"/>
    <w:rsid w:val="00E131C8"/>
    <w:rsid w:val="00E13733"/>
    <w:rsid w:val="00E13D60"/>
    <w:rsid w:val="00E1629C"/>
    <w:rsid w:val="00E164C2"/>
    <w:rsid w:val="00E16D4C"/>
    <w:rsid w:val="00E20E0A"/>
    <w:rsid w:val="00E21057"/>
    <w:rsid w:val="00E214FC"/>
    <w:rsid w:val="00E22716"/>
    <w:rsid w:val="00E243CA"/>
    <w:rsid w:val="00E25BEA"/>
    <w:rsid w:val="00E2748F"/>
    <w:rsid w:val="00E27F28"/>
    <w:rsid w:val="00E30856"/>
    <w:rsid w:val="00E318C8"/>
    <w:rsid w:val="00E326C8"/>
    <w:rsid w:val="00E33CE5"/>
    <w:rsid w:val="00E34D8B"/>
    <w:rsid w:val="00E357AE"/>
    <w:rsid w:val="00E40C8C"/>
    <w:rsid w:val="00E4164E"/>
    <w:rsid w:val="00E43ACF"/>
    <w:rsid w:val="00E46A5A"/>
    <w:rsid w:val="00E5235D"/>
    <w:rsid w:val="00E52671"/>
    <w:rsid w:val="00E55A9E"/>
    <w:rsid w:val="00E56172"/>
    <w:rsid w:val="00E56B8A"/>
    <w:rsid w:val="00E56BA8"/>
    <w:rsid w:val="00E608F7"/>
    <w:rsid w:val="00E60E31"/>
    <w:rsid w:val="00E62FC3"/>
    <w:rsid w:val="00E67B35"/>
    <w:rsid w:val="00E7280A"/>
    <w:rsid w:val="00E72855"/>
    <w:rsid w:val="00E74D0C"/>
    <w:rsid w:val="00E7601E"/>
    <w:rsid w:val="00E7690B"/>
    <w:rsid w:val="00E76976"/>
    <w:rsid w:val="00E80119"/>
    <w:rsid w:val="00E8106A"/>
    <w:rsid w:val="00E813C8"/>
    <w:rsid w:val="00E81FB7"/>
    <w:rsid w:val="00E828D6"/>
    <w:rsid w:val="00E82EB2"/>
    <w:rsid w:val="00E86667"/>
    <w:rsid w:val="00E879F5"/>
    <w:rsid w:val="00E87CE2"/>
    <w:rsid w:val="00E90BBB"/>
    <w:rsid w:val="00E91968"/>
    <w:rsid w:val="00E93BC3"/>
    <w:rsid w:val="00E9533C"/>
    <w:rsid w:val="00EA16C9"/>
    <w:rsid w:val="00EA26A0"/>
    <w:rsid w:val="00EA5E95"/>
    <w:rsid w:val="00EB0995"/>
    <w:rsid w:val="00EB1A9F"/>
    <w:rsid w:val="00EB328B"/>
    <w:rsid w:val="00EB476D"/>
    <w:rsid w:val="00EB48C4"/>
    <w:rsid w:val="00EB576C"/>
    <w:rsid w:val="00EC0E5C"/>
    <w:rsid w:val="00EC33AD"/>
    <w:rsid w:val="00EC4B14"/>
    <w:rsid w:val="00EC5231"/>
    <w:rsid w:val="00EC5F88"/>
    <w:rsid w:val="00EC61EF"/>
    <w:rsid w:val="00EC6C2C"/>
    <w:rsid w:val="00ED1CA9"/>
    <w:rsid w:val="00ED5385"/>
    <w:rsid w:val="00ED6F1D"/>
    <w:rsid w:val="00ED71A3"/>
    <w:rsid w:val="00EE045E"/>
    <w:rsid w:val="00EE1C1B"/>
    <w:rsid w:val="00EE38DB"/>
    <w:rsid w:val="00EE42A9"/>
    <w:rsid w:val="00EE44B0"/>
    <w:rsid w:val="00EE537C"/>
    <w:rsid w:val="00EE5396"/>
    <w:rsid w:val="00EE56DB"/>
    <w:rsid w:val="00EE63F0"/>
    <w:rsid w:val="00EE6D2B"/>
    <w:rsid w:val="00EE6F8B"/>
    <w:rsid w:val="00EE71AE"/>
    <w:rsid w:val="00EE7E52"/>
    <w:rsid w:val="00EF2038"/>
    <w:rsid w:val="00EF5DDD"/>
    <w:rsid w:val="00F0020A"/>
    <w:rsid w:val="00F0023D"/>
    <w:rsid w:val="00F01620"/>
    <w:rsid w:val="00F03EDF"/>
    <w:rsid w:val="00F04804"/>
    <w:rsid w:val="00F062F0"/>
    <w:rsid w:val="00F06948"/>
    <w:rsid w:val="00F079AA"/>
    <w:rsid w:val="00F11199"/>
    <w:rsid w:val="00F14455"/>
    <w:rsid w:val="00F15724"/>
    <w:rsid w:val="00F16E3A"/>
    <w:rsid w:val="00F21FE8"/>
    <w:rsid w:val="00F220D5"/>
    <w:rsid w:val="00F25C34"/>
    <w:rsid w:val="00F273FC"/>
    <w:rsid w:val="00F27CB8"/>
    <w:rsid w:val="00F31AED"/>
    <w:rsid w:val="00F320CE"/>
    <w:rsid w:val="00F35B60"/>
    <w:rsid w:val="00F36E29"/>
    <w:rsid w:val="00F370CD"/>
    <w:rsid w:val="00F37FC7"/>
    <w:rsid w:val="00F445ED"/>
    <w:rsid w:val="00F45390"/>
    <w:rsid w:val="00F45AB2"/>
    <w:rsid w:val="00F54523"/>
    <w:rsid w:val="00F55214"/>
    <w:rsid w:val="00F621B5"/>
    <w:rsid w:val="00F62526"/>
    <w:rsid w:val="00F62D7F"/>
    <w:rsid w:val="00F637D5"/>
    <w:rsid w:val="00F6384E"/>
    <w:rsid w:val="00F663D2"/>
    <w:rsid w:val="00F702F7"/>
    <w:rsid w:val="00F74274"/>
    <w:rsid w:val="00F74E6F"/>
    <w:rsid w:val="00F76DFF"/>
    <w:rsid w:val="00F77014"/>
    <w:rsid w:val="00F81732"/>
    <w:rsid w:val="00F8220B"/>
    <w:rsid w:val="00F83AB5"/>
    <w:rsid w:val="00F83DAE"/>
    <w:rsid w:val="00F85514"/>
    <w:rsid w:val="00F92FD2"/>
    <w:rsid w:val="00F93745"/>
    <w:rsid w:val="00FA1E96"/>
    <w:rsid w:val="00FA20F3"/>
    <w:rsid w:val="00FA332E"/>
    <w:rsid w:val="00FA3614"/>
    <w:rsid w:val="00FA4236"/>
    <w:rsid w:val="00FA5670"/>
    <w:rsid w:val="00FA77F9"/>
    <w:rsid w:val="00FA79AC"/>
    <w:rsid w:val="00FB04AB"/>
    <w:rsid w:val="00FB0881"/>
    <w:rsid w:val="00FB1106"/>
    <w:rsid w:val="00FB2A48"/>
    <w:rsid w:val="00FB33FE"/>
    <w:rsid w:val="00FB3AF8"/>
    <w:rsid w:val="00FB430A"/>
    <w:rsid w:val="00FB4B20"/>
    <w:rsid w:val="00FB68EC"/>
    <w:rsid w:val="00FC08A0"/>
    <w:rsid w:val="00FC1717"/>
    <w:rsid w:val="00FC1FB9"/>
    <w:rsid w:val="00FC32CF"/>
    <w:rsid w:val="00FC6287"/>
    <w:rsid w:val="00FC6914"/>
    <w:rsid w:val="00FD0FAA"/>
    <w:rsid w:val="00FD4848"/>
    <w:rsid w:val="00FE2465"/>
    <w:rsid w:val="00FE37D0"/>
    <w:rsid w:val="00FE3E28"/>
    <w:rsid w:val="00FE4847"/>
    <w:rsid w:val="00FE67B8"/>
    <w:rsid w:val="00FE7C6F"/>
    <w:rsid w:val="00FE7DAD"/>
    <w:rsid w:val="00FF374F"/>
    <w:rsid w:val="00FF48F6"/>
    <w:rsid w:val="00FF5E32"/>
    <w:rsid w:val="00FF5FC2"/>
    <w:rsid w:val="00FF69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A68238"/>
  <w15:docId w15:val="{8258FAC4-AC04-4A9F-B445-D6185A003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color w:val="000000" w:themeColor="text1"/>
        <w:sz w:val="24"/>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406F"/>
  </w:style>
  <w:style w:type="paragraph" w:styleId="Heading1">
    <w:name w:val="heading 1"/>
    <w:basedOn w:val="Normal"/>
    <w:next w:val="Normal"/>
    <w:link w:val="Heading1Char"/>
    <w:uiPriority w:val="1"/>
    <w:qFormat/>
    <w:rsid w:val="00897511"/>
    <w:pPr>
      <w:keepNext/>
      <w:keepLines/>
      <w:numPr>
        <w:numId w:val="3"/>
      </w:numPr>
      <w:tabs>
        <w:tab w:val="left" w:pos="742"/>
      </w:tabs>
      <w:spacing w:before="240" w:after="240" w:line="240" w:lineRule="auto"/>
      <w:jc w:val="both"/>
      <w:outlineLvl w:val="0"/>
    </w:pPr>
    <w:rPr>
      <w:rFonts w:eastAsiaTheme="majorEastAsia" w:cs="Times New Roman"/>
      <w:b/>
      <w:bCs/>
      <w:smallCaps/>
      <w:sz w:val="26"/>
      <w:szCs w:val="28"/>
      <w:lang w:bidi="bg-BG"/>
    </w:rPr>
  </w:style>
  <w:style w:type="paragraph" w:styleId="Heading2">
    <w:name w:val="heading 2"/>
    <w:aliases w:val="Major Heading"/>
    <w:next w:val="Body"/>
    <w:link w:val="Heading2Char"/>
    <w:qFormat/>
    <w:rsid w:val="00897511"/>
    <w:pPr>
      <w:keepNext/>
      <w:numPr>
        <w:ilvl w:val="1"/>
        <w:numId w:val="3"/>
      </w:numPr>
      <w:tabs>
        <w:tab w:val="left" w:pos="1418"/>
      </w:tabs>
      <w:spacing w:before="240" w:after="240" w:line="240" w:lineRule="auto"/>
      <w:ind w:left="1429" w:hanging="709"/>
      <w:jc w:val="both"/>
      <w:outlineLvl w:val="1"/>
    </w:pPr>
    <w:rPr>
      <w:rFonts w:eastAsia="ヒラギノ角ゴ Pro W3" w:cs="Times New Roman"/>
      <w:b/>
      <w:smallCaps/>
      <w:color w:val="000000"/>
      <w:sz w:val="26"/>
      <w:szCs w:val="26"/>
      <w:lang w:eastAsia="bg-BG"/>
    </w:rPr>
  </w:style>
  <w:style w:type="paragraph" w:styleId="Heading3">
    <w:name w:val="heading 3"/>
    <w:aliases w:val="Sub-heading,L3 Char,Titlu 1"/>
    <w:basedOn w:val="Normal"/>
    <w:next w:val="Normal"/>
    <w:link w:val="Heading3Char"/>
    <w:uiPriority w:val="9"/>
    <w:unhideWhenUsed/>
    <w:qFormat/>
    <w:rsid w:val="00897511"/>
    <w:pPr>
      <w:keepNext/>
      <w:keepLines/>
      <w:tabs>
        <w:tab w:val="left" w:pos="1701"/>
      </w:tabs>
      <w:spacing w:before="240" w:after="240" w:line="240" w:lineRule="auto"/>
      <w:jc w:val="both"/>
      <w:outlineLvl w:val="2"/>
    </w:pPr>
    <w:rPr>
      <w:rFonts w:eastAsiaTheme="majorEastAsia" w:cs="Times New Roman"/>
      <w:b/>
      <w:bCs/>
      <w:i/>
      <w:iCs/>
      <w:smallCaps/>
      <w:szCs w:val="24"/>
      <w:lang w:bidi="bg-BG"/>
    </w:rPr>
  </w:style>
  <w:style w:type="paragraph" w:styleId="Heading4">
    <w:name w:val="heading 4"/>
    <w:aliases w:val="Minor Heading"/>
    <w:basedOn w:val="Normal"/>
    <w:next w:val="Normal"/>
    <w:link w:val="Heading4Char"/>
    <w:uiPriority w:val="9"/>
    <w:unhideWhenUsed/>
    <w:qFormat/>
    <w:rsid w:val="00897511"/>
    <w:pPr>
      <w:keepNext/>
      <w:keepLines/>
      <w:spacing w:before="240" w:after="240" w:line="240" w:lineRule="auto"/>
      <w:jc w:val="both"/>
      <w:outlineLvl w:val="3"/>
    </w:pPr>
    <w:rPr>
      <w:rFonts w:eastAsiaTheme="majorEastAsia" w:cs="Times New Roman"/>
      <w:i/>
      <w:iCs/>
      <w:smallCaps/>
      <w:szCs w:val="24"/>
      <w:lang w:eastAsia="zh-TW" w:bidi="bg-BG"/>
    </w:rPr>
  </w:style>
  <w:style w:type="paragraph" w:styleId="Heading5">
    <w:name w:val="heading 5"/>
    <w:aliases w:val="Further Points"/>
    <w:basedOn w:val="Normal"/>
    <w:next w:val="Normal"/>
    <w:link w:val="Heading5Char"/>
    <w:uiPriority w:val="9"/>
    <w:unhideWhenUsed/>
    <w:qFormat/>
    <w:rsid w:val="00897511"/>
    <w:pPr>
      <w:keepNext/>
      <w:keepLines/>
      <w:numPr>
        <w:ilvl w:val="4"/>
        <w:numId w:val="3"/>
      </w:numPr>
      <w:spacing w:before="240" w:after="240" w:line="240" w:lineRule="auto"/>
      <w:ind w:left="1695" w:hanging="975"/>
      <w:jc w:val="both"/>
      <w:outlineLvl w:val="4"/>
    </w:pPr>
    <w:rPr>
      <w:rFonts w:eastAsia="Times New Roman" w:cs="Times New Roman"/>
      <w:i/>
      <w:iCs/>
      <w:szCs w:val="24"/>
      <w:u w:val="single"/>
      <w:lang w:eastAsia="bg-BG" w:bidi="hi-IN"/>
    </w:rPr>
  </w:style>
  <w:style w:type="paragraph" w:styleId="Heading6">
    <w:name w:val="heading 6"/>
    <w:aliases w:val="Points in Text,Heading H6 SSTT,Булет-2"/>
    <w:basedOn w:val="Normal"/>
    <w:next w:val="Normal"/>
    <w:link w:val="Heading6Char"/>
    <w:uiPriority w:val="9"/>
    <w:unhideWhenUsed/>
    <w:qFormat/>
    <w:rsid w:val="00897511"/>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897511"/>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aliases w:val="Appendix Level 2"/>
    <w:basedOn w:val="Normal"/>
    <w:next w:val="Normal"/>
    <w:link w:val="Heading8Char"/>
    <w:uiPriority w:val="9"/>
    <w:unhideWhenUsed/>
    <w:qFormat/>
    <w:rsid w:val="00897511"/>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Appendix Level 3"/>
    <w:basedOn w:val="Normal"/>
    <w:next w:val="Normal"/>
    <w:link w:val="Heading9Char"/>
    <w:uiPriority w:val="9"/>
    <w:unhideWhenUsed/>
    <w:qFormat/>
    <w:rsid w:val="00897511"/>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qFormat/>
    <w:rsid w:val="00B00333"/>
    <w:pPr>
      <w:spacing w:before="60" w:after="60" w:line="240" w:lineRule="auto"/>
    </w:pPr>
    <w:rPr>
      <w:b/>
    </w:rPr>
  </w:style>
  <w:style w:type="character" w:customStyle="1" w:styleId="Heading1Char">
    <w:name w:val="Heading 1 Char"/>
    <w:basedOn w:val="DefaultParagraphFont"/>
    <w:link w:val="Heading1"/>
    <w:uiPriority w:val="1"/>
    <w:rsid w:val="00897511"/>
    <w:rPr>
      <w:rFonts w:eastAsiaTheme="majorEastAsia" w:cs="Times New Roman"/>
      <w:b/>
      <w:bCs/>
      <w:smallCaps/>
      <w:sz w:val="26"/>
      <w:szCs w:val="28"/>
      <w:lang w:bidi="bg-BG"/>
    </w:rPr>
  </w:style>
  <w:style w:type="character" w:customStyle="1" w:styleId="Heading2Char">
    <w:name w:val="Heading 2 Char"/>
    <w:aliases w:val="Major Heading Char"/>
    <w:basedOn w:val="DefaultParagraphFont"/>
    <w:link w:val="Heading2"/>
    <w:rsid w:val="00897511"/>
    <w:rPr>
      <w:rFonts w:eastAsia="ヒラギノ角ゴ Pro W3" w:cs="Times New Roman"/>
      <w:b/>
      <w:smallCaps/>
      <w:color w:val="000000"/>
      <w:sz w:val="26"/>
      <w:szCs w:val="26"/>
      <w:lang w:eastAsia="bg-BG"/>
    </w:rPr>
  </w:style>
  <w:style w:type="character" w:customStyle="1" w:styleId="Heading3Char">
    <w:name w:val="Heading 3 Char"/>
    <w:aliases w:val="Sub-heading Char,L3 Char Char,Titlu 1 Char"/>
    <w:basedOn w:val="DefaultParagraphFont"/>
    <w:link w:val="Heading3"/>
    <w:uiPriority w:val="9"/>
    <w:rsid w:val="00897511"/>
    <w:rPr>
      <w:rFonts w:ascii="Times New Roman" w:eastAsiaTheme="majorEastAsia" w:hAnsi="Times New Roman" w:cs="Times New Roman"/>
      <w:b/>
      <w:bCs/>
      <w:i/>
      <w:iCs/>
      <w:smallCaps/>
      <w:sz w:val="24"/>
      <w:szCs w:val="24"/>
      <w:lang w:bidi="bg-BG"/>
    </w:rPr>
  </w:style>
  <w:style w:type="character" w:customStyle="1" w:styleId="Heading4Char">
    <w:name w:val="Heading 4 Char"/>
    <w:aliases w:val="Minor Heading Char"/>
    <w:basedOn w:val="DefaultParagraphFont"/>
    <w:link w:val="Heading4"/>
    <w:uiPriority w:val="9"/>
    <w:rsid w:val="00897511"/>
    <w:rPr>
      <w:rFonts w:ascii="Times New Roman" w:eastAsiaTheme="majorEastAsia" w:hAnsi="Times New Roman" w:cs="Times New Roman"/>
      <w:i/>
      <w:iCs/>
      <w:smallCaps/>
      <w:sz w:val="24"/>
      <w:szCs w:val="24"/>
      <w:lang w:eastAsia="zh-TW" w:bidi="bg-BG"/>
    </w:rPr>
  </w:style>
  <w:style w:type="character" w:customStyle="1" w:styleId="Heading5Char">
    <w:name w:val="Heading 5 Char"/>
    <w:aliases w:val="Further Points Char"/>
    <w:basedOn w:val="DefaultParagraphFont"/>
    <w:link w:val="Heading5"/>
    <w:uiPriority w:val="9"/>
    <w:rsid w:val="00897511"/>
    <w:rPr>
      <w:rFonts w:eastAsia="Times New Roman" w:cs="Times New Roman"/>
      <w:i/>
      <w:iCs/>
      <w:szCs w:val="24"/>
      <w:u w:val="single"/>
      <w:lang w:eastAsia="bg-BG" w:bidi="hi-IN"/>
    </w:rPr>
  </w:style>
  <w:style w:type="character" w:customStyle="1" w:styleId="Heading6Char">
    <w:name w:val="Heading 6 Char"/>
    <w:aliases w:val="Points in Text Char,Heading H6 SSTT Char,Булет-2 Char"/>
    <w:basedOn w:val="DefaultParagraphFont"/>
    <w:link w:val="Heading6"/>
    <w:uiPriority w:val="9"/>
    <w:rsid w:val="0089751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897511"/>
    <w:rPr>
      <w:rFonts w:asciiTheme="majorHAnsi" w:eastAsiaTheme="majorEastAsia" w:hAnsiTheme="majorHAnsi" w:cstheme="majorBidi"/>
      <w:i/>
      <w:iCs/>
      <w:color w:val="1F3763" w:themeColor="accent1" w:themeShade="7F"/>
    </w:rPr>
  </w:style>
  <w:style w:type="character" w:customStyle="1" w:styleId="Heading8Char">
    <w:name w:val="Heading 8 Char"/>
    <w:aliases w:val="Appendix Level 2 Char"/>
    <w:basedOn w:val="DefaultParagraphFont"/>
    <w:link w:val="Heading8"/>
    <w:uiPriority w:val="9"/>
    <w:rsid w:val="00897511"/>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Appendix Level 3 Char"/>
    <w:basedOn w:val="DefaultParagraphFont"/>
    <w:link w:val="Heading9"/>
    <w:uiPriority w:val="9"/>
    <w:rsid w:val="00897511"/>
    <w:rPr>
      <w:rFonts w:asciiTheme="majorHAnsi" w:eastAsiaTheme="majorEastAsia" w:hAnsiTheme="majorHAnsi" w:cstheme="majorBidi"/>
      <w:i/>
      <w:iCs/>
      <w:color w:val="272727" w:themeColor="text1" w:themeTint="D8"/>
      <w:sz w:val="21"/>
      <w:szCs w:val="21"/>
    </w:rPr>
  </w:style>
  <w:style w:type="paragraph" w:customStyle="1" w:styleId="HeaderFooterA">
    <w:name w:val="Header &amp; Footer A"/>
    <w:autoRedefine/>
    <w:uiPriority w:val="99"/>
    <w:qFormat/>
    <w:rsid w:val="00897511"/>
    <w:pPr>
      <w:tabs>
        <w:tab w:val="right" w:pos="9340"/>
      </w:tabs>
      <w:spacing w:after="0" w:line="240" w:lineRule="auto"/>
      <w:ind w:right="360"/>
      <w:jc w:val="right"/>
    </w:pPr>
    <w:rPr>
      <w:rFonts w:ascii="Helvetica" w:eastAsia="ヒラギノ角ゴ Pro W3" w:hAnsi="Helvetica" w:cs="Times New Roman"/>
      <w:color w:val="000000"/>
      <w:sz w:val="20"/>
      <w:szCs w:val="20"/>
      <w:lang w:val="en-US" w:eastAsia="bg-BG"/>
    </w:rPr>
  </w:style>
  <w:style w:type="paragraph" w:styleId="Footer">
    <w:name w:val="footer"/>
    <w:basedOn w:val="Normal"/>
    <w:link w:val="FooterChar"/>
    <w:uiPriority w:val="99"/>
    <w:rsid w:val="00897511"/>
    <w:pPr>
      <w:tabs>
        <w:tab w:val="center" w:pos="4536"/>
        <w:tab w:val="right" w:pos="9072"/>
      </w:tabs>
      <w:spacing w:after="0" w:line="240" w:lineRule="auto"/>
    </w:pPr>
    <w:rPr>
      <w:rFonts w:eastAsia="ヒラギノ角ゴ Pro W3" w:cs="Times New Roman"/>
      <w:color w:val="000000"/>
      <w:szCs w:val="24"/>
      <w:lang w:val="en-GB"/>
    </w:rPr>
  </w:style>
  <w:style w:type="character" w:customStyle="1" w:styleId="FooterChar">
    <w:name w:val="Footer Char"/>
    <w:basedOn w:val="DefaultParagraphFont"/>
    <w:link w:val="Footer"/>
    <w:uiPriority w:val="99"/>
    <w:rsid w:val="00897511"/>
    <w:rPr>
      <w:rFonts w:ascii="Times New Roman" w:eastAsia="ヒラギノ角ゴ Pro W3" w:hAnsi="Times New Roman" w:cs="Times New Roman"/>
      <w:color w:val="000000"/>
      <w:sz w:val="24"/>
      <w:szCs w:val="24"/>
      <w:lang w:val="en-GB"/>
    </w:rPr>
  </w:style>
  <w:style w:type="paragraph" w:styleId="Header">
    <w:name w:val="header"/>
    <w:basedOn w:val="Normal"/>
    <w:link w:val="HeaderChar"/>
    <w:uiPriority w:val="99"/>
    <w:rsid w:val="00897511"/>
    <w:pPr>
      <w:tabs>
        <w:tab w:val="center" w:pos="4536"/>
        <w:tab w:val="right" w:pos="9072"/>
      </w:tabs>
      <w:spacing w:after="0" w:line="240" w:lineRule="auto"/>
    </w:pPr>
    <w:rPr>
      <w:rFonts w:eastAsia="Times New Roman" w:cs="Times New Roman"/>
      <w:szCs w:val="24"/>
      <w:lang w:val="en-GB"/>
    </w:rPr>
  </w:style>
  <w:style w:type="character" w:customStyle="1" w:styleId="HeaderChar">
    <w:name w:val="Header Char"/>
    <w:basedOn w:val="DefaultParagraphFont"/>
    <w:link w:val="Header"/>
    <w:uiPriority w:val="99"/>
    <w:rsid w:val="00897511"/>
    <w:rPr>
      <w:rFonts w:ascii="Times New Roman" w:eastAsia="Times New Roman" w:hAnsi="Times New Roman" w:cs="Times New Roman"/>
      <w:sz w:val="24"/>
      <w:szCs w:val="24"/>
      <w:lang w:val="en-GB"/>
    </w:rPr>
  </w:style>
  <w:style w:type="character" w:styleId="Hyperlink">
    <w:name w:val="Hyperlink"/>
    <w:uiPriority w:val="99"/>
    <w:rsid w:val="00897511"/>
    <w:rPr>
      <w:color w:val="0000FF"/>
      <w:u w:val="single"/>
    </w:rPr>
  </w:style>
  <w:style w:type="paragraph" w:styleId="TOC2">
    <w:name w:val="toc 2"/>
    <w:basedOn w:val="Normal"/>
    <w:next w:val="Normal"/>
    <w:autoRedefine/>
    <w:uiPriority w:val="39"/>
    <w:unhideWhenUsed/>
    <w:rsid w:val="00897511"/>
    <w:pPr>
      <w:tabs>
        <w:tab w:val="left" w:pos="709"/>
        <w:tab w:val="right" w:leader="dot" w:pos="9628"/>
      </w:tabs>
      <w:spacing w:after="0" w:line="240" w:lineRule="auto"/>
      <w:ind w:left="709" w:hanging="482"/>
      <w:jc w:val="both"/>
    </w:pPr>
    <w:rPr>
      <w:rFonts w:eastAsia="ヒラギノ角ゴ Pro W3" w:cs="Times New Roman"/>
      <w:smallCaps/>
      <w:color w:val="000000"/>
      <w:sz w:val="20"/>
      <w:szCs w:val="24"/>
      <w:lang w:val="en-GB"/>
    </w:rPr>
  </w:style>
  <w:style w:type="paragraph" w:styleId="TOC3">
    <w:name w:val="toc 3"/>
    <w:basedOn w:val="Normal"/>
    <w:next w:val="Normal"/>
    <w:autoRedefine/>
    <w:uiPriority w:val="39"/>
    <w:unhideWhenUsed/>
    <w:rsid w:val="00897511"/>
    <w:pPr>
      <w:tabs>
        <w:tab w:val="left" w:pos="1134"/>
        <w:tab w:val="right" w:leader="dot" w:pos="9628"/>
      </w:tabs>
      <w:spacing w:after="0" w:line="240" w:lineRule="auto"/>
      <w:ind w:left="1134" w:hanging="567"/>
    </w:pPr>
    <w:rPr>
      <w:rFonts w:eastAsia="ヒラギノ角ゴ Pro W3" w:cs="Times New Roman"/>
      <w:i/>
      <w:smallCaps/>
      <w:color w:val="000000"/>
      <w:sz w:val="20"/>
      <w:szCs w:val="24"/>
      <w:lang w:val="en-GB"/>
    </w:rPr>
  </w:style>
  <w:style w:type="paragraph" w:customStyle="1" w:styleId="Body">
    <w:name w:val="Body"/>
    <w:autoRedefine/>
    <w:uiPriority w:val="99"/>
    <w:qFormat/>
    <w:rsid w:val="00897511"/>
    <w:pPr>
      <w:tabs>
        <w:tab w:val="left" w:pos="851"/>
      </w:tabs>
      <w:spacing w:before="120" w:after="120" w:line="312" w:lineRule="auto"/>
      <w:ind w:left="879" w:hanging="454"/>
      <w:jc w:val="both"/>
    </w:pPr>
    <w:rPr>
      <w:rFonts w:eastAsia="ヒラギノ角ゴ Pro W3" w:cs="Times New Roman"/>
      <w:b/>
      <w:caps/>
      <w:szCs w:val="24"/>
      <w:lang w:val="en-GB" w:eastAsia="bg-BG"/>
    </w:rPr>
  </w:style>
  <w:style w:type="paragraph" w:customStyle="1" w:styleId="Heading8A">
    <w:name w:val="Heading 8 A"/>
    <w:next w:val="Normal"/>
    <w:autoRedefine/>
    <w:uiPriority w:val="99"/>
    <w:qFormat/>
    <w:rsid w:val="00897511"/>
    <w:pPr>
      <w:keepNext/>
      <w:spacing w:after="0" w:line="240" w:lineRule="auto"/>
      <w:outlineLvl w:val="7"/>
    </w:pPr>
    <w:rPr>
      <w:rFonts w:ascii="Helvetica" w:eastAsia="ヒラギノ角ゴ Pro W3" w:hAnsi="Helvetica" w:cs="Times New Roman"/>
      <w:b/>
      <w:color w:val="000000"/>
      <w:szCs w:val="20"/>
      <w:lang w:val="en-US" w:eastAsia="bg-BG"/>
    </w:rPr>
  </w:style>
  <w:style w:type="paragraph" w:styleId="BodyTextIndent">
    <w:name w:val="Body Text Indent"/>
    <w:basedOn w:val="Normal"/>
    <w:link w:val="BodyTextIndentChar"/>
    <w:rsid w:val="00897511"/>
    <w:pPr>
      <w:spacing w:after="120" w:line="240" w:lineRule="auto"/>
      <w:ind w:left="283"/>
    </w:pPr>
    <w:rPr>
      <w:rFonts w:eastAsia="Times New Roman" w:cs="Times New Roman"/>
      <w:szCs w:val="24"/>
      <w:lang w:eastAsia="bg-BG"/>
    </w:rPr>
  </w:style>
  <w:style w:type="character" w:customStyle="1" w:styleId="BodyTextIndentChar">
    <w:name w:val="Body Text Indent Char"/>
    <w:basedOn w:val="DefaultParagraphFont"/>
    <w:link w:val="BodyTextIndent"/>
    <w:rsid w:val="00897511"/>
    <w:rPr>
      <w:rFonts w:ascii="Times New Roman" w:eastAsia="Times New Roman" w:hAnsi="Times New Roman" w:cs="Times New Roman"/>
      <w:sz w:val="24"/>
      <w:szCs w:val="24"/>
      <w:lang w:eastAsia="bg-BG"/>
    </w:rPr>
  </w:style>
  <w:style w:type="paragraph" w:customStyle="1" w:styleId="ListParagraph1">
    <w:name w:val="List Paragraph1"/>
    <w:aliases w:val="Heading 2_sj,Listenabsatz1,Гл точки,текст Върбица,1st level - Bullet List Paragraph,Resume Title,Citation List,List Paragraph_Table bullets,Lettre d'introduction,Paragrafo elenco,heading 4,body 2,List Paragraph11,AFW Body,Heading x1"/>
    <w:basedOn w:val="Normal"/>
    <w:link w:val="ListParagraphChar"/>
    <w:uiPriority w:val="34"/>
    <w:qFormat/>
    <w:rsid w:val="00897511"/>
    <w:pPr>
      <w:spacing w:before="120" w:after="0" w:line="240" w:lineRule="auto"/>
      <w:ind w:left="720"/>
    </w:pPr>
    <w:rPr>
      <w:rFonts w:eastAsia="ヒラギノ角ゴ Pro W3" w:cs="Times New Roman"/>
      <w:color w:val="000000"/>
      <w:szCs w:val="24"/>
      <w:lang w:val="de-AT" w:eastAsia="de-AT"/>
    </w:rPr>
  </w:style>
  <w:style w:type="character" w:customStyle="1" w:styleId="ListParagraphChar">
    <w:name w:val="List Paragraph Char"/>
    <w:aliases w:val="Heading 2_sj Char,List Paragraph1 Char,Listenabsatz1 Char,Гл точки Char,текст Върбица Char,Body Char,Resume Title Char,Citation List Char,Ha Char,List Paragraph_Table bullets Char,Lettre d'introduction Char,Paragrafo elenco Char,Ha"/>
    <w:link w:val="ListParagraph1"/>
    <w:uiPriority w:val="34"/>
    <w:qFormat/>
    <w:rsid w:val="00897511"/>
    <w:rPr>
      <w:rFonts w:ascii="Times New Roman" w:eastAsia="ヒラギノ角ゴ Pro W3" w:hAnsi="Times New Roman" w:cs="Times New Roman"/>
      <w:color w:val="000000"/>
      <w:sz w:val="24"/>
      <w:szCs w:val="24"/>
      <w:lang w:val="de-AT" w:eastAsia="de-AT"/>
    </w:rPr>
  </w:style>
  <w:style w:type="paragraph" w:customStyle="1" w:styleId="BodyIndent1">
    <w:name w:val="Body Indent 1"/>
    <w:link w:val="BodyIndent1Char"/>
    <w:qFormat/>
    <w:rsid w:val="00897511"/>
    <w:pPr>
      <w:tabs>
        <w:tab w:val="left" w:pos="1134"/>
      </w:tabs>
      <w:spacing w:after="120" w:line="300" w:lineRule="atLeast"/>
      <w:ind w:left="1134" w:hanging="567"/>
      <w:jc w:val="both"/>
    </w:pPr>
    <w:rPr>
      <w:rFonts w:ascii="Arial" w:eastAsia="Times New Roman" w:hAnsi="Arial" w:cs="Times New Roman"/>
      <w:szCs w:val="24"/>
      <w:lang w:val="en-US"/>
    </w:rPr>
  </w:style>
  <w:style w:type="character" w:customStyle="1" w:styleId="BodyIndent1Char">
    <w:name w:val="Body Indent 1 Char"/>
    <w:link w:val="BodyIndent1"/>
    <w:rsid w:val="00897511"/>
    <w:rPr>
      <w:rFonts w:ascii="Arial" w:eastAsia="Times New Roman" w:hAnsi="Arial" w:cs="Times New Roman"/>
      <w:sz w:val="24"/>
      <w:szCs w:val="24"/>
      <w:lang w:val="en-US"/>
    </w:rPr>
  </w:style>
  <w:style w:type="paragraph" w:customStyle="1" w:styleId="BodyIndent2">
    <w:name w:val="Body Indent 2"/>
    <w:basedOn w:val="BodyIndent1"/>
    <w:uiPriority w:val="99"/>
    <w:qFormat/>
    <w:rsid w:val="00897511"/>
    <w:pPr>
      <w:tabs>
        <w:tab w:val="clear" w:pos="1134"/>
        <w:tab w:val="left" w:pos="1701"/>
      </w:tabs>
      <w:ind w:left="1701"/>
    </w:pPr>
  </w:style>
  <w:style w:type="paragraph" w:customStyle="1" w:styleId="BodyInd1">
    <w:name w:val="Body Ind1"/>
    <w:basedOn w:val="BodyIndent1"/>
    <w:link w:val="BodyInd1Char"/>
    <w:qFormat/>
    <w:rsid w:val="00897511"/>
    <w:pPr>
      <w:tabs>
        <w:tab w:val="clear" w:pos="1134"/>
        <w:tab w:val="left" w:pos="851"/>
      </w:tabs>
      <w:ind w:left="851" w:hanging="284"/>
    </w:pPr>
  </w:style>
  <w:style w:type="paragraph" w:customStyle="1" w:styleId="BodyInd2">
    <w:name w:val="Body Ind2"/>
    <w:basedOn w:val="BodyIndent2"/>
    <w:uiPriority w:val="99"/>
    <w:qFormat/>
    <w:rsid w:val="00897511"/>
    <w:pPr>
      <w:tabs>
        <w:tab w:val="clear" w:pos="1701"/>
        <w:tab w:val="left" w:pos="1134"/>
      </w:tabs>
      <w:ind w:left="1135" w:hanging="284"/>
    </w:pPr>
  </w:style>
  <w:style w:type="character" w:customStyle="1" w:styleId="BodyInd1Char">
    <w:name w:val="Body Ind1 Char"/>
    <w:basedOn w:val="BodyIndent1Char"/>
    <w:link w:val="BodyInd1"/>
    <w:rsid w:val="00897511"/>
    <w:rPr>
      <w:rFonts w:ascii="Arial" w:eastAsia="Times New Roman" w:hAnsi="Arial" w:cs="Times New Roman"/>
      <w:sz w:val="24"/>
      <w:szCs w:val="24"/>
      <w:lang w:val="en-US"/>
    </w:rPr>
  </w:style>
  <w:style w:type="character" w:customStyle="1" w:styleId="Bodytext6">
    <w:name w:val="Body text (6)"/>
    <w:basedOn w:val="DefaultParagraphFont"/>
    <w:rsid w:val="00897511"/>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rsid w:val="00897511"/>
    <w:rPr>
      <w:rFonts w:ascii="Times New Roman" w:eastAsia="Times New Roman" w:hAnsi="Times New Roman" w:cs="Times New Roman"/>
      <w:b/>
      <w:bCs/>
      <w:i w:val="0"/>
      <w:iCs w:val="0"/>
      <w:smallCaps w:val="0"/>
      <w:strike w:val="0"/>
      <w:sz w:val="36"/>
      <w:szCs w:val="36"/>
      <w:u w:val="none"/>
    </w:rPr>
  </w:style>
  <w:style w:type="character" w:customStyle="1" w:styleId="Bodytext30">
    <w:name w:val="Body text (3)"/>
    <w:basedOn w:val="Bodytext3"/>
    <w:rsid w:val="00897511"/>
    <w:rPr>
      <w:rFonts w:ascii="Times New Roman" w:eastAsia="Times New Roman" w:hAnsi="Times New Roman" w:cs="Times New Roman"/>
      <w:b/>
      <w:bCs/>
      <w:i w:val="0"/>
      <w:iCs w:val="0"/>
      <w:smallCaps w:val="0"/>
      <w:strike w:val="0"/>
      <w:color w:val="000000"/>
      <w:spacing w:val="0"/>
      <w:w w:val="100"/>
      <w:position w:val="0"/>
      <w:sz w:val="36"/>
      <w:szCs w:val="36"/>
      <w:u w:val="single"/>
      <w:lang w:val="bg-BG" w:eastAsia="bg-BG" w:bidi="bg-BG"/>
    </w:rPr>
  </w:style>
  <w:style w:type="character" w:customStyle="1" w:styleId="Bodytext314pt">
    <w:name w:val="Body text (3) + 14 pt"/>
    <w:basedOn w:val="Bodytext3"/>
    <w:rsid w:val="00897511"/>
    <w:rPr>
      <w:rFonts w:ascii="Times New Roman" w:eastAsia="Times New Roman" w:hAnsi="Times New Roman" w:cs="Times New Roman"/>
      <w:b/>
      <w:bCs/>
      <w:i w:val="0"/>
      <w:iCs w:val="0"/>
      <w:smallCaps w:val="0"/>
      <w:strike w:val="0"/>
      <w:color w:val="000000"/>
      <w:spacing w:val="0"/>
      <w:w w:val="100"/>
      <w:position w:val="0"/>
      <w:sz w:val="28"/>
      <w:szCs w:val="28"/>
      <w:u w:val="none"/>
      <w:lang w:val="bg-BG" w:eastAsia="bg-BG" w:bidi="bg-BG"/>
    </w:rPr>
  </w:style>
  <w:style w:type="character" w:customStyle="1" w:styleId="Bodytext4">
    <w:name w:val="Body text (4)_"/>
    <w:basedOn w:val="DefaultParagraphFont"/>
    <w:rsid w:val="00897511"/>
    <w:rPr>
      <w:rFonts w:ascii="Times New Roman" w:eastAsia="Times New Roman" w:hAnsi="Times New Roman" w:cs="Times New Roman"/>
      <w:b/>
      <w:bCs/>
      <w:i w:val="0"/>
      <w:iCs w:val="0"/>
      <w:smallCaps w:val="0"/>
      <w:strike w:val="0"/>
      <w:u w:val="none"/>
    </w:rPr>
  </w:style>
  <w:style w:type="character" w:customStyle="1" w:styleId="Bodytext40">
    <w:name w:val="Body text (4)"/>
    <w:basedOn w:val="Bodytext4"/>
    <w:rsid w:val="0089751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Bodytext5">
    <w:name w:val="Body text (5)_"/>
    <w:basedOn w:val="DefaultParagraphFont"/>
    <w:link w:val="Bodytext50"/>
    <w:rsid w:val="00897511"/>
    <w:rPr>
      <w:rFonts w:ascii="Times New Roman" w:eastAsia="Times New Roman" w:hAnsi="Times New Roman" w:cs="Times New Roman"/>
      <w:b/>
      <w:bCs/>
      <w:sz w:val="32"/>
      <w:szCs w:val="32"/>
      <w:shd w:val="clear" w:color="auto" w:fill="FFFFFF"/>
    </w:rPr>
  </w:style>
  <w:style w:type="paragraph" w:customStyle="1" w:styleId="Bodytext50">
    <w:name w:val="Body text (5)"/>
    <w:basedOn w:val="Normal"/>
    <w:link w:val="Bodytext5"/>
    <w:qFormat/>
    <w:rsid w:val="00897511"/>
    <w:pPr>
      <w:widowControl w:val="0"/>
      <w:shd w:val="clear" w:color="auto" w:fill="FFFFFF"/>
      <w:spacing w:after="0" w:line="0" w:lineRule="atLeast"/>
      <w:jc w:val="both"/>
    </w:pPr>
    <w:rPr>
      <w:rFonts w:eastAsia="Times New Roman" w:cs="Times New Roman"/>
      <w:b/>
      <w:bCs/>
      <w:sz w:val="32"/>
      <w:szCs w:val="32"/>
    </w:rPr>
  </w:style>
  <w:style w:type="character" w:customStyle="1" w:styleId="Bodytext5Garamond24ptNotBoldItalicSpacing-3pt">
    <w:name w:val="Body text (5) + Garamond;24 pt;Not Bold;Italic;Spacing -3 pt"/>
    <w:basedOn w:val="Bodytext5"/>
    <w:rsid w:val="00897511"/>
    <w:rPr>
      <w:rFonts w:ascii="Garamond" w:eastAsia="Garamond" w:hAnsi="Garamond" w:cs="Garamond"/>
      <w:b/>
      <w:bCs/>
      <w:i/>
      <w:iCs/>
      <w:color w:val="000000"/>
      <w:spacing w:val="-70"/>
      <w:w w:val="100"/>
      <w:position w:val="0"/>
      <w:sz w:val="48"/>
      <w:szCs w:val="48"/>
      <w:shd w:val="clear" w:color="auto" w:fill="FFFFFF"/>
      <w:lang w:val="bg-BG" w:eastAsia="bg-BG" w:bidi="bg-BG"/>
    </w:rPr>
  </w:style>
  <w:style w:type="character" w:customStyle="1" w:styleId="Bodytext60">
    <w:name w:val="Body text (6)_"/>
    <w:basedOn w:val="DefaultParagraphFont"/>
    <w:rsid w:val="00897511"/>
    <w:rPr>
      <w:rFonts w:ascii="Times New Roman" w:eastAsia="Times New Roman" w:hAnsi="Times New Roman" w:cs="Times New Roman"/>
      <w:b w:val="0"/>
      <w:bCs w:val="0"/>
      <w:i w:val="0"/>
      <w:iCs w:val="0"/>
      <w:smallCaps w:val="0"/>
      <w:strike w:val="0"/>
      <w:sz w:val="22"/>
      <w:szCs w:val="22"/>
      <w:u w:val="none"/>
    </w:rPr>
  </w:style>
  <w:style w:type="character" w:customStyle="1" w:styleId="Heading40">
    <w:name w:val="Heading #4_"/>
    <w:basedOn w:val="DefaultParagraphFont"/>
    <w:link w:val="Heading41"/>
    <w:rsid w:val="00897511"/>
    <w:rPr>
      <w:rFonts w:ascii="Times New Roman" w:eastAsia="Times New Roman" w:hAnsi="Times New Roman" w:cs="Times New Roman"/>
      <w:b/>
      <w:bCs/>
      <w:sz w:val="28"/>
      <w:szCs w:val="28"/>
      <w:shd w:val="clear" w:color="auto" w:fill="FFFFFF"/>
    </w:rPr>
  </w:style>
  <w:style w:type="paragraph" w:customStyle="1" w:styleId="Heading41">
    <w:name w:val="Heading #4"/>
    <w:basedOn w:val="Normal"/>
    <w:link w:val="Heading40"/>
    <w:qFormat/>
    <w:rsid w:val="00897511"/>
    <w:pPr>
      <w:widowControl w:val="0"/>
      <w:shd w:val="clear" w:color="auto" w:fill="FFFFFF"/>
      <w:spacing w:after="0" w:line="274" w:lineRule="exact"/>
      <w:jc w:val="both"/>
      <w:outlineLvl w:val="3"/>
    </w:pPr>
    <w:rPr>
      <w:rFonts w:eastAsia="Times New Roman" w:cs="Times New Roman"/>
      <w:b/>
      <w:bCs/>
      <w:sz w:val="28"/>
      <w:szCs w:val="28"/>
    </w:rPr>
  </w:style>
  <w:style w:type="character" w:customStyle="1" w:styleId="Headerorfooter">
    <w:name w:val="Header or footer_"/>
    <w:basedOn w:val="DefaultParagraphFont"/>
    <w:rsid w:val="00897511"/>
    <w:rPr>
      <w:rFonts w:ascii="Times New Roman" w:eastAsia="Times New Roman" w:hAnsi="Times New Roman" w:cs="Times New Roman"/>
      <w:b w:val="0"/>
      <w:bCs w:val="0"/>
      <w:i/>
      <w:iCs/>
      <w:smallCaps w:val="0"/>
      <w:strike w:val="0"/>
      <w:sz w:val="20"/>
      <w:szCs w:val="20"/>
      <w:u w:val="none"/>
    </w:rPr>
  </w:style>
  <w:style w:type="character" w:customStyle="1" w:styleId="Headerorfooter0">
    <w:name w:val="Header or footer"/>
    <w:basedOn w:val="Headerorfooter"/>
    <w:rsid w:val="00897511"/>
    <w:rPr>
      <w:rFonts w:ascii="Times New Roman" w:eastAsia="Times New Roman" w:hAnsi="Times New Roman" w:cs="Times New Roman"/>
      <w:b w:val="0"/>
      <w:bCs w:val="0"/>
      <w:i/>
      <w:iCs/>
      <w:smallCaps w:val="0"/>
      <w:strike w:val="0"/>
      <w:color w:val="000000"/>
      <w:spacing w:val="0"/>
      <w:w w:val="100"/>
      <w:position w:val="0"/>
      <w:sz w:val="20"/>
      <w:szCs w:val="20"/>
      <w:u w:val="none"/>
      <w:lang w:val="bg-BG" w:eastAsia="bg-BG" w:bidi="bg-BG"/>
    </w:rPr>
  </w:style>
  <w:style w:type="character" w:customStyle="1" w:styleId="Headerorfooter9ptBoldNotItalic">
    <w:name w:val="Header or footer + 9 pt;Bold;Not Italic"/>
    <w:basedOn w:val="Headerorfooter"/>
    <w:rsid w:val="00897511"/>
    <w:rPr>
      <w:rFonts w:ascii="Times New Roman" w:eastAsia="Times New Roman" w:hAnsi="Times New Roman" w:cs="Times New Roman"/>
      <w:b/>
      <w:bCs/>
      <w:i/>
      <w:iCs/>
      <w:smallCaps w:val="0"/>
      <w:strike w:val="0"/>
      <w:color w:val="000000"/>
      <w:spacing w:val="0"/>
      <w:w w:val="100"/>
      <w:position w:val="0"/>
      <w:sz w:val="18"/>
      <w:szCs w:val="18"/>
      <w:u w:val="none"/>
      <w:lang w:val="bg-BG" w:eastAsia="bg-BG" w:bidi="bg-BG"/>
    </w:rPr>
  </w:style>
  <w:style w:type="character" w:customStyle="1" w:styleId="Headerorfooter11ptNotItalic">
    <w:name w:val="Header or footer + 11 pt;Not Italic"/>
    <w:basedOn w:val="Headerorfooter"/>
    <w:rsid w:val="00897511"/>
    <w:rPr>
      <w:rFonts w:ascii="Times New Roman" w:eastAsia="Times New Roman" w:hAnsi="Times New Roman" w:cs="Times New Roman"/>
      <w:b w:val="0"/>
      <w:bCs w:val="0"/>
      <w:i/>
      <w:iCs/>
      <w:smallCaps w:val="0"/>
      <w:strike w:val="0"/>
      <w:color w:val="000000"/>
      <w:spacing w:val="0"/>
      <w:w w:val="100"/>
      <w:position w:val="0"/>
      <w:sz w:val="22"/>
      <w:szCs w:val="22"/>
      <w:u w:val="none"/>
      <w:lang w:val="bg-BG" w:eastAsia="bg-BG" w:bidi="bg-BG"/>
    </w:rPr>
  </w:style>
  <w:style w:type="character" w:customStyle="1" w:styleId="TOC6Char">
    <w:name w:val="TOC 6 Char"/>
    <w:basedOn w:val="DefaultParagraphFont"/>
    <w:link w:val="TOC6"/>
    <w:rsid w:val="00897511"/>
    <w:rPr>
      <w:rFonts w:ascii="Times New Roman" w:eastAsia="Times New Roman" w:hAnsi="Times New Roman" w:cs="Times New Roman"/>
      <w:shd w:val="clear" w:color="auto" w:fill="FFFFFF"/>
    </w:rPr>
  </w:style>
  <w:style w:type="paragraph" w:styleId="TOC6">
    <w:name w:val="toc 6"/>
    <w:basedOn w:val="Normal"/>
    <w:link w:val="TOC6Char"/>
    <w:autoRedefine/>
    <w:uiPriority w:val="39"/>
    <w:rsid w:val="00897511"/>
    <w:pPr>
      <w:widowControl w:val="0"/>
      <w:shd w:val="clear" w:color="auto" w:fill="FFFFFF"/>
      <w:spacing w:after="0" w:line="274" w:lineRule="exact"/>
      <w:jc w:val="both"/>
    </w:pPr>
    <w:rPr>
      <w:rFonts w:eastAsia="Times New Roman" w:cs="Times New Roman"/>
    </w:rPr>
  </w:style>
  <w:style w:type="character" w:customStyle="1" w:styleId="TableofcontentsSpacing-1pt">
    <w:name w:val="Table of contents + Spacing -1 pt"/>
    <w:basedOn w:val="TOC6Char"/>
    <w:rsid w:val="00897511"/>
    <w:rPr>
      <w:rFonts w:ascii="Times New Roman" w:eastAsia="Times New Roman" w:hAnsi="Times New Roman" w:cs="Times New Roman"/>
      <w:color w:val="000000"/>
      <w:spacing w:val="-20"/>
      <w:w w:val="100"/>
      <w:position w:val="0"/>
      <w:sz w:val="24"/>
      <w:szCs w:val="24"/>
      <w:shd w:val="clear" w:color="auto" w:fill="FFFFFF"/>
      <w:lang w:val="bg-BG" w:eastAsia="bg-BG" w:bidi="bg-BG"/>
    </w:rPr>
  </w:style>
  <w:style w:type="character" w:customStyle="1" w:styleId="Heading60">
    <w:name w:val="Heading #6_"/>
    <w:basedOn w:val="DefaultParagraphFont"/>
    <w:rsid w:val="00897511"/>
    <w:rPr>
      <w:rFonts w:ascii="Times New Roman" w:eastAsia="Times New Roman" w:hAnsi="Times New Roman" w:cs="Times New Roman"/>
      <w:b/>
      <w:bCs/>
      <w:i w:val="0"/>
      <w:iCs w:val="0"/>
      <w:smallCaps w:val="0"/>
      <w:strike w:val="0"/>
      <w:u w:val="none"/>
    </w:rPr>
  </w:style>
  <w:style w:type="character" w:customStyle="1" w:styleId="Heading61">
    <w:name w:val="Heading #6"/>
    <w:basedOn w:val="Heading60"/>
    <w:rsid w:val="0089751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Bodytext2">
    <w:name w:val="Body text (2)_"/>
    <w:basedOn w:val="DefaultParagraphFont"/>
    <w:rsid w:val="00897511"/>
    <w:rPr>
      <w:rFonts w:ascii="Times New Roman" w:eastAsia="Times New Roman" w:hAnsi="Times New Roman" w:cs="Times New Roman"/>
      <w:b w:val="0"/>
      <w:bCs w:val="0"/>
      <w:i w:val="0"/>
      <w:iCs w:val="0"/>
      <w:smallCaps w:val="0"/>
      <w:strike w:val="0"/>
      <w:u w:val="none"/>
    </w:rPr>
  </w:style>
  <w:style w:type="character" w:customStyle="1" w:styleId="Bodytext2Italic">
    <w:name w:val="Body text (2) + Italic"/>
    <w:basedOn w:val="Bodytext2"/>
    <w:rsid w:val="0089751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Bodytext7">
    <w:name w:val="Body text (7)_"/>
    <w:basedOn w:val="DefaultParagraphFont"/>
    <w:rsid w:val="00897511"/>
    <w:rPr>
      <w:rFonts w:ascii="Times New Roman" w:eastAsia="Times New Roman" w:hAnsi="Times New Roman" w:cs="Times New Roman"/>
      <w:b w:val="0"/>
      <w:bCs w:val="0"/>
      <w:i/>
      <w:iCs/>
      <w:smallCaps w:val="0"/>
      <w:strike w:val="0"/>
      <w:u w:val="none"/>
    </w:rPr>
  </w:style>
  <w:style w:type="character" w:customStyle="1" w:styleId="Bodytext2Bold">
    <w:name w:val="Body text (2) + Bold"/>
    <w:aliases w:val="Italic"/>
    <w:basedOn w:val="Bodytext2"/>
    <w:rsid w:val="0089751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Bodytext20">
    <w:name w:val="Body text (2)"/>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bg-BG" w:eastAsia="bg-BG" w:bidi="bg-BG"/>
    </w:rPr>
  </w:style>
  <w:style w:type="character" w:customStyle="1" w:styleId="Tablecaption">
    <w:name w:val="Table caption_"/>
    <w:basedOn w:val="DefaultParagraphFont"/>
    <w:rsid w:val="00897511"/>
    <w:rPr>
      <w:rFonts w:ascii="Times New Roman" w:eastAsia="Times New Roman" w:hAnsi="Times New Roman" w:cs="Times New Roman"/>
      <w:b w:val="0"/>
      <w:bCs w:val="0"/>
      <w:i/>
      <w:iCs/>
      <w:smallCaps w:val="0"/>
      <w:strike w:val="0"/>
      <w:u w:val="none"/>
    </w:rPr>
  </w:style>
  <w:style w:type="character" w:customStyle="1" w:styleId="Tablecaption0">
    <w:name w:val="Table caption"/>
    <w:basedOn w:val="Tablecaption"/>
    <w:rsid w:val="00897511"/>
    <w:rPr>
      <w:rFonts w:ascii="Times New Roman" w:eastAsia="Times New Roman" w:hAnsi="Times New Roman" w:cs="Times New Roman"/>
      <w:b w:val="0"/>
      <w:bCs w:val="0"/>
      <w:i/>
      <w:iCs/>
      <w:smallCaps w:val="0"/>
      <w:strike w:val="0"/>
      <w:color w:val="000000"/>
      <w:spacing w:val="0"/>
      <w:w w:val="100"/>
      <w:position w:val="0"/>
      <w:sz w:val="24"/>
      <w:szCs w:val="24"/>
      <w:u w:val="single"/>
      <w:lang w:val="bg-BG" w:eastAsia="bg-BG" w:bidi="bg-BG"/>
    </w:rPr>
  </w:style>
  <w:style w:type="character" w:customStyle="1" w:styleId="Tablecaption2">
    <w:name w:val="Table caption (2)_"/>
    <w:basedOn w:val="DefaultParagraphFont"/>
    <w:link w:val="Tablecaption20"/>
    <w:rsid w:val="00897511"/>
    <w:rPr>
      <w:rFonts w:ascii="Times New Roman" w:eastAsia="Times New Roman" w:hAnsi="Times New Roman" w:cs="Times New Roman"/>
      <w:i/>
      <w:iCs/>
      <w:sz w:val="20"/>
      <w:szCs w:val="20"/>
      <w:shd w:val="clear" w:color="auto" w:fill="FFFFFF"/>
    </w:rPr>
  </w:style>
  <w:style w:type="paragraph" w:customStyle="1" w:styleId="Tablecaption20">
    <w:name w:val="Table caption (2)"/>
    <w:basedOn w:val="Normal"/>
    <w:link w:val="Tablecaption2"/>
    <w:qFormat/>
    <w:rsid w:val="00897511"/>
    <w:pPr>
      <w:widowControl w:val="0"/>
      <w:shd w:val="clear" w:color="auto" w:fill="FFFFFF"/>
      <w:spacing w:after="0" w:line="0" w:lineRule="atLeast"/>
    </w:pPr>
    <w:rPr>
      <w:rFonts w:eastAsia="Times New Roman" w:cs="Times New Roman"/>
      <w:i/>
      <w:iCs/>
      <w:sz w:val="20"/>
      <w:szCs w:val="20"/>
    </w:rPr>
  </w:style>
  <w:style w:type="character" w:customStyle="1" w:styleId="Tablecaption26ptNotItalic">
    <w:name w:val="Table caption (2) + 6 pt;Not Italic"/>
    <w:basedOn w:val="Tablecaption2"/>
    <w:rsid w:val="00897511"/>
    <w:rPr>
      <w:rFonts w:ascii="Times New Roman" w:eastAsia="Times New Roman" w:hAnsi="Times New Roman" w:cs="Times New Roman"/>
      <w:i/>
      <w:iCs/>
      <w:color w:val="000000"/>
      <w:spacing w:val="0"/>
      <w:w w:val="100"/>
      <w:position w:val="0"/>
      <w:sz w:val="12"/>
      <w:szCs w:val="12"/>
      <w:shd w:val="clear" w:color="auto" w:fill="FFFFFF"/>
      <w:lang w:val="bg-BG" w:eastAsia="bg-BG" w:bidi="bg-BG"/>
    </w:rPr>
  </w:style>
  <w:style w:type="character" w:customStyle="1" w:styleId="Bodytext295pt">
    <w:name w:val="Body text (2) + 9.5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bg-BG" w:eastAsia="bg-BG" w:bidi="bg-BG"/>
    </w:rPr>
  </w:style>
  <w:style w:type="character" w:customStyle="1" w:styleId="Bodytext295ptBold">
    <w:name w:val="Body text (2) + 9.5 pt;Bold"/>
    <w:basedOn w:val="Bodytext2"/>
    <w:rsid w:val="00897511"/>
    <w:rPr>
      <w:rFonts w:ascii="Times New Roman" w:eastAsia="Times New Roman" w:hAnsi="Times New Roman" w:cs="Times New Roman"/>
      <w:b/>
      <w:bCs/>
      <w:i w:val="0"/>
      <w:iCs w:val="0"/>
      <w:smallCaps w:val="0"/>
      <w:strike w:val="0"/>
      <w:color w:val="000000"/>
      <w:spacing w:val="0"/>
      <w:w w:val="100"/>
      <w:position w:val="0"/>
      <w:sz w:val="19"/>
      <w:szCs w:val="19"/>
      <w:u w:val="none"/>
      <w:lang w:val="bg-BG" w:eastAsia="bg-BG" w:bidi="bg-BG"/>
    </w:rPr>
  </w:style>
  <w:style w:type="character" w:customStyle="1" w:styleId="TablecaptionNotItalic">
    <w:name w:val="Table caption + Not Italic"/>
    <w:basedOn w:val="Tablecaption"/>
    <w:rsid w:val="0089751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Bodytext7NotItalic">
    <w:name w:val="Body text (7) + Not Italic"/>
    <w:basedOn w:val="Bodytext7"/>
    <w:rsid w:val="0089751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Heading6NotBold">
    <w:name w:val="Heading #6 + Not Bold"/>
    <w:basedOn w:val="Heading60"/>
    <w:rsid w:val="00897511"/>
    <w:rPr>
      <w:rFonts w:ascii="Times New Roman" w:eastAsia="Times New Roman" w:hAnsi="Times New Roman" w:cs="Times New Roman"/>
      <w:b/>
      <w:bCs/>
      <w:i w:val="0"/>
      <w:iCs w:val="0"/>
      <w:smallCaps w:val="0"/>
      <w:strike w:val="0"/>
      <w:color w:val="000000"/>
      <w:spacing w:val="0"/>
      <w:w w:val="100"/>
      <w:position w:val="0"/>
      <w:sz w:val="24"/>
      <w:szCs w:val="24"/>
      <w:u w:val="none"/>
      <w:lang w:val="bg-BG" w:eastAsia="bg-BG" w:bidi="bg-BG"/>
    </w:rPr>
  </w:style>
  <w:style w:type="character" w:customStyle="1" w:styleId="Picturecaption">
    <w:name w:val="Picture caption"/>
    <w:basedOn w:val="DefaultParagraphFont"/>
    <w:rsid w:val="00897511"/>
    <w:rPr>
      <w:rFonts w:ascii="Times New Roman" w:eastAsia="Times New Roman" w:hAnsi="Times New Roman" w:cs="Times New Roman"/>
      <w:b w:val="0"/>
      <w:bCs w:val="0"/>
      <w:i/>
      <w:iCs/>
      <w:smallCaps w:val="0"/>
      <w:strike w:val="0"/>
      <w:u w:val="none"/>
    </w:rPr>
  </w:style>
  <w:style w:type="character" w:customStyle="1" w:styleId="PicturecaptionNotItalic">
    <w:name w:val="Picture caption + Not Italic"/>
    <w:basedOn w:val="Picturecaption0"/>
    <w:rsid w:val="00897511"/>
    <w:rPr>
      <w:rFonts w:ascii="Times New Roman" w:eastAsia="Times New Roman" w:hAnsi="Times New Roman" w:cs="Times New Roman"/>
      <w:b w:val="0"/>
      <w:bCs w:val="0"/>
      <w:i/>
      <w:iCs/>
      <w:smallCaps w:val="0"/>
      <w:strike w:val="0"/>
      <w:u w:val="none"/>
    </w:rPr>
  </w:style>
  <w:style w:type="character" w:customStyle="1" w:styleId="Picturecaption0">
    <w:name w:val="Picture caption_"/>
    <w:basedOn w:val="DefaultParagraphFont"/>
    <w:rsid w:val="00897511"/>
    <w:rPr>
      <w:rFonts w:ascii="Times New Roman" w:eastAsia="Times New Roman" w:hAnsi="Times New Roman" w:cs="Times New Roman"/>
      <w:b w:val="0"/>
      <w:bCs w:val="0"/>
      <w:i/>
      <w:iCs/>
      <w:smallCaps w:val="0"/>
      <w:strike w:val="0"/>
      <w:u w:val="none"/>
    </w:rPr>
  </w:style>
  <w:style w:type="character" w:customStyle="1" w:styleId="Picturecaption2">
    <w:name w:val="Picture caption (2)_"/>
    <w:basedOn w:val="DefaultParagraphFont"/>
    <w:rsid w:val="00897511"/>
    <w:rPr>
      <w:rFonts w:ascii="Times New Roman" w:eastAsia="Times New Roman" w:hAnsi="Times New Roman" w:cs="Times New Roman"/>
      <w:b/>
      <w:bCs/>
      <w:i/>
      <w:iCs/>
      <w:smallCaps w:val="0"/>
      <w:strike w:val="0"/>
      <w:sz w:val="20"/>
      <w:szCs w:val="20"/>
      <w:u w:val="none"/>
    </w:rPr>
  </w:style>
  <w:style w:type="character" w:customStyle="1" w:styleId="Picturecaption20">
    <w:name w:val="Picture caption (2)"/>
    <w:basedOn w:val="Picturecaption2"/>
    <w:rsid w:val="00897511"/>
    <w:rPr>
      <w:rFonts w:ascii="Times New Roman" w:eastAsia="Times New Roman" w:hAnsi="Times New Roman" w:cs="Times New Roman"/>
      <w:b/>
      <w:bCs/>
      <w:i/>
      <w:iCs/>
      <w:smallCaps w:val="0"/>
      <w:strike w:val="0"/>
      <w:color w:val="000000"/>
      <w:spacing w:val="0"/>
      <w:w w:val="100"/>
      <w:position w:val="0"/>
      <w:sz w:val="20"/>
      <w:szCs w:val="20"/>
      <w:u w:val="single"/>
      <w:lang w:val="bg-BG" w:eastAsia="bg-BG" w:bidi="bg-BG"/>
    </w:rPr>
  </w:style>
  <w:style w:type="character" w:customStyle="1" w:styleId="Picturecaption3">
    <w:name w:val="Picture caption (3)_"/>
    <w:basedOn w:val="DefaultParagraphFont"/>
    <w:rsid w:val="00897511"/>
    <w:rPr>
      <w:rFonts w:ascii="Times New Roman" w:eastAsia="Times New Roman" w:hAnsi="Times New Roman" w:cs="Times New Roman"/>
      <w:b w:val="0"/>
      <w:bCs w:val="0"/>
      <w:i/>
      <w:iCs/>
      <w:smallCaps w:val="0"/>
      <w:strike w:val="0"/>
      <w:sz w:val="20"/>
      <w:szCs w:val="20"/>
      <w:u w:val="none"/>
    </w:rPr>
  </w:style>
  <w:style w:type="character" w:customStyle="1" w:styleId="Picturecaption30">
    <w:name w:val="Picture caption (3)"/>
    <w:basedOn w:val="Picturecaption3"/>
    <w:rsid w:val="00897511"/>
    <w:rPr>
      <w:rFonts w:ascii="Times New Roman" w:eastAsia="Times New Roman" w:hAnsi="Times New Roman" w:cs="Times New Roman"/>
      <w:b w:val="0"/>
      <w:bCs w:val="0"/>
      <w:i/>
      <w:iCs/>
      <w:smallCaps w:val="0"/>
      <w:strike w:val="0"/>
      <w:color w:val="000000"/>
      <w:spacing w:val="0"/>
      <w:w w:val="100"/>
      <w:position w:val="0"/>
      <w:sz w:val="20"/>
      <w:szCs w:val="20"/>
      <w:u w:val="single"/>
      <w:lang w:val="bg-BG" w:eastAsia="bg-BG" w:bidi="bg-BG"/>
    </w:rPr>
  </w:style>
  <w:style w:type="character" w:customStyle="1" w:styleId="Bodytext24pt">
    <w:name w:val="Body text (2) + 4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8"/>
      <w:szCs w:val="8"/>
      <w:u w:val="none"/>
      <w:lang w:val="bg-BG" w:eastAsia="bg-BG" w:bidi="bg-BG"/>
    </w:rPr>
  </w:style>
  <w:style w:type="character" w:customStyle="1" w:styleId="Bodytext2BoldItalic">
    <w:name w:val="Body text (2) + Bold;Italic"/>
    <w:basedOn w:val="Bodytext2"/>
    <w:rsid w:val="00897511"/>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Bodytext8">
    <w:name w:val="Body text (8)_"/>
    <w:basedOn w:val="DefaultParagraphFont"/>
    <w:rsid w:val="00897511"/>
    <w:rPr>
      <w:rFonts w:ascii="Times New Roman" w:eastAsia="Times New Roman" w:hAnsi="Times New Roman" w:cs="Times New Roman"/>
      <w:b w:val="0"/>
      <w:bCs w:val="0"/>
      <w:i/>
      <w:iCs/>
      <w:smallCaps w:val="0"/>
      <w:strike w:val="0"/>
      <w:sz w:val="20"/>
      <w:szCs w:val="20"/>
      <w:u w:val="none"/>
    </w:rPr>
  </w:style>
  <w:style w:type="character" w:customStyle="1" w:styleId="Bodytext80">
    <w:name w:val="Body text (8)"/>
    <w:basedOn w:val="Bodytext8"/>
    <w:rsid w:val="00897511"/>
    <w:rPr>
      <w:rFonts w:ascii="Times New Roman" w:eastAsia="Times New Roman" w:hAnsi="Times New Roman" w:cs="Times New Roman"/>
      <w:b w:val="0"/>
      <w:bCs w:val="0"/>
      <w:i/>
      <w:iCs/>
      <w:smallCaps w:val="0"/>
      <w:strike w:val="0"/>
      <w:color w:val="000000"/>
      <w:spacing w:val="0"/>
      <w:w w:val="100"/>
      <w:position w:val="0"/>
      <w:sz w:val="20"/>
      <w:szCs w:val="20"/>
      <w:u w:val="none"/>
      <w:lang w:val="bg-BG" w:eastAsia="bg-BG" w:bidi="bg-BG"/>
    </w:rPr>
  </w:style>
  <w:style w:type="character" w:customStyle="1" w:styleId="Bodytext9">
    <w:name w:val="Body text (9)_"/>
    <w:basedOn w:val="DefaultParagraphFont"/>
    <w:link w:val="Bodytext90"/>
    <w:rsid w:val="00897511"/>
    <w:rPr>
      <w:rFonts w:ascii="Times New Roman" w:eastAsia="Times New Roman" w:hAnsi="Times New Roman" w:cs="Times New Roman"/>
      <w:i/>
      <w:iCs/>
      <w:sz w:val="20"/>
      <w:szCs w:val="20"/>
      <w:shd w:val="clear" w:color="auto" w:fill="FFFFFF"/>
    </w:rPr>
  </w:style>
  <w:style w:type="paragraph" w:customStyle="1" w:styleId="Bodytext90">
    <w:name w:val="Body text (9)"/>
    <w:basedOn w:val="Normal"/>
    <w:link w:val="Bodytext9"/>
    <w:qFormat/>
    <w:rsid w:val="00897511"/>
    <w:pPr>
      <w:widowControl w:val="0"/>
      <w:shd w:val="clear" w:color="auto" w:fill="FFFFFF"/>
      <w:spacing w:after="0" w:line="264" w:lineRule="exact"/>
    </w:pPr>
    <w:rPr>
      <w:rFonts w:eastAsia="Times New Roman" w:cs="Times New Roman"/>
      <w:i/>
      <w:iCs/>
      <w:sz w:val="20"/>
      <w:szCs w:val="20"/>
    </w:rPr>
  </w:style>
  <w:style w:type="character" w:customStyle="1" w:styleId="Picturecaption4">
    <w:name w:val="Picture caption (4)_"/>
    <w:basedOn w:val="DefaultParagraphFont"/>
    <w:link w:val="Picturecaption40"/>
    <w:rsid w:val="00897511"/>
    <w:rPr>
      <w:rFonts w:ascii="Times New Roman" w:eastAsia="Times New Roman" w:hAnsi="Times New Roman" w:cs="Times New Roman"/>
      <w:shd w:val="clear" w:color="auto" w:fill="FFFFFF"/>
    </w:rPr>
  </w:style>
  <w:style w:type="paragraph" w:customStyle="1" w:styleId="Picturecaption40">
    <w:name w:val="Picture caption (4)"/>
    <w:basedOn w:val="Normal"/>
    <w:link w:val="Picturecaption4"/>
    <w:qFormat/>
    <w:rsid w:val="00897511"/>
    <w:pPr>
      <w:widowControl w:val="0"/>
      <w:shd w:val="clear" w:color="auto" w:fill="FFFFFF"/>
      <w:spacing w:after="0" w:line="0" w:lineRule="atLeast"/>
      <w:jc w:val="center"/>
    </w:pPr>
    <w:rPr>
      <w:rFonts w:eastAsia="Times New Roman" w:cs="Times New Roman"/>
    </w:rPr>
  </w:style>
  <w:style w:type="character" w:customStyle="1" w:styleId="Bodytext29ptBold">
    <w:name w:val="Body text (2) + 9 pt;Bold"/>
    <w:basedOn w:val="Bodytext2"/>
    <w:rsid w:val="00897511"/>
    <w:rPr>
      <w:rFonts w:ascii="Times New Roman" w:eastAsia="Times New Roman" w:hAnsi="Times New Roman" w:cs="Times New Roman"/>
      <w:b/>
      <w:bCs/>
      <w:i w:val="0"/>
      <w:iCs w:val="0"/>
      <w:smallCaps w:val="0"/>
      <w:strike w:val="0"/>
      <w:color w:val="000000"/>
      <w:spacing w:val="0"/>
      <w:w w:val="100"/>
      <w:position w:val="0"/>
      <w:sz w:val="18"/>
      <w:szCs w:val="18"/>
      <w:u w:val="none"/>
      <w:lang w:val="bg-BG" w:eastAsia="bg-BG" w:bidi="bg-BG"/>
    </w:rPr>
  </w:style>
  <w:style w:type="character" w:customStyle="1" w:styleId="Bodytext10">
    <w:name w:val="Body text (10)_"/>
    <w:basedOn w:val="DefaultParagraphFont"/>
    <w:link w:val="Bodytext100"/>
    <w:rsid w:val="00897511"/>
    <w:rPr>
      <w:rFonts w:ascii="Times New Roman" w:eastAsia="Times New Roman" w:hAnsi="Times New Roman" w:cs="Times New Roman"/>
      <w:i/>
      <w:iCs/>
      <w:sz w:val="21"/>
      <w:szCs w:val="21"/>
      <w:shd w:val="clear" w:color="auto" w:fill="FFFFFF"/>
    </w:rPr>
  </w:style>
  <w:style w:type="paragraph" w:customStyle="1" w:styleId="Bodytext100">
    <w:name w:val="Body text (10)"/>
    <w:basedOn w:val="Normal"/>
    <w:link w:val="Bodytext10"/>
    <w:qFormat/>
    <w:rsid w:val="00897511"/>
    <w:pPr>
      <w:widowControl w:val="0"/>
      <w:shd w:val="clear" w:color="auto" w:fill="FFFFFF"/>
      <w:spacing w:after="0" w:line="288" w:lineRule="exact"/>
    </w:pPr>
    <w:rPr>
      <w:rFonts w:eastAsia="Times New Roman" w:cs="Times New Roman"/>
      <w:i/>
      <w:iCs/>
      <w:sz w:val="21"/>
      <w:szCs w:val="21"/>
    </w:rPr>
  </w:style>
  <w:style w:type="character" w:customStyle="1" w:styleId="Bodytext211pt">
    <w:name w:val="Body text (2) + 11 pt"/>
    <w:basedOn w:val="Bodytext2"/>
    <w:rsid w:val="00897511"/>
    <w:rPr>
      <w:rFonts w:ascii="Times New Roman" w:eastAsia="Times New Roman" w:hAnsi="Times New Roman" w:cs="Times New Roman"/>
      <w:b/>
      <w:bCs/>
      <w:i w:val="0"/>
      <w:iCs w:val="0"/>
      <w:smallCaps w:val="0"/>
      <w:strike w:val="0"/>
      <w:color w:val="000000"/>
      <w:spacing w:val="0"/>
      <w:w w:val="100"/>
      <w:position w:val="0"/>
      <w:sz w:val="22"/>
      <w:szCs w:val="22"/>
      <w:u w:val="none"/>
      <w:lang w:val="bg-BG" w:eastAsia="bg-BG" w:bidi="bg-BG"/>
    </w:rPr>
  </w:style>
  <w:style w:type="character" w:customStyle="1" w:styleId="Tablecaption3">
    <w:name w:val="Table caption (3)_"/>
    <w:basedOn w:val="DefaultParagraphFont"/>
    <w:link w:val="Tablecaption30"/>
    <w:rsid w:val="00897511"/>
    <w:rPr>
      <w:rFonts w:ascii="Times New Roman" w:eastAsia="Times New Roman" w:hAnsi="Times New Roman" w:cs="Times New Roman"/>
      <w:shd w:val="clear" w:color="auto" w:fill="FFFFFF"/>
    </w:rPr>
  </w:style>
  <w:style w:type="paragraph" w:customStyle="1" w:styleId="Tablecaption30">
    <w:name w:val="Table caption (3)"/>
    <w:basedOn w:val="Normal"/>
    <w:link w:val="Tablecaption3"/>
    <w:qFormat/>
    <w:rsid w:val="00897511"/>
    <w:pPr>
      <w:widowControl w:val="0"/>
      <w:shd w:val="clear" w:color="auto" w:fill="FFFFFF"/>
      <w:spacing w:after="0" w:line="0" w:lineRule="atLeast"/>
    </w:pPr>
    <w:rPr>
      <w:rFonts w:eastAsia="Times New Roman" w:cs="Times New Roman"/>
    </w:rPr>
  </w:style>
  <w:style w:type="character" w:customStyle="1" w:styleId="Bodytext70">
    <w:name w:val="Body text (7)"/>
    <w:basedOn w:val="Bodytext7"/>
    <w:rsid w:val="00897511"/>
    <w:rPr>
      <w:rFonts w:ascii="Times New Roman" w:eastAsia="Times New Roman" w:hAnsi="Times New Roman" w:cs="Times New Roman"/>
      <w:b w:val="0"/>
      <w:bCs w:val="0"/>
      <w:i/>
      <w:iCs/>
      <w:smallCaps w:val="0"/>
      <w:strike w:val="0"/>
      <w:color w:val="000000"/>
      <w:spacing w:val="0"/>
      <w:w w:val="100"/>
      <w:position w:val="0"/>
      <w:sz w:val="24"/>
      <w:szCs w:val="24"/>
      <w:u w:val="single"/>
      <w:lang w:val="bg-BG" w:eastAsia="bg-BG" w:bidi="bg-BG"/>
    </w:rPr>
  </w:style>
  <w:style w:type="character" w:customStyle="1" w:styleId="Bodytext245pt">
    <w:name w:val="Body text (2) + 4.5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9"/>
      <w:szCs w:val="9"/>
      <w:u w:val="none"/>
      <w:lang w:val="en-US" w:eastAsia="en-US" w:bidi="en-US"/>
    </w:rPr>
  </w:style>
  <w:style w:type="character" w:customStyle="1" w:styleId="Picturecaption11ptNotItalic">
    <w:name w:val="Picture caption + 11 pt;Not Italic"/>
    <w:basedOn w:val="Picturecaption0"/>
    <w:rsid w:val="00897511"/>
    <w:rPr>
      <w:rFonts w:ascii="Times New Roman" w:eastAsia="Times New Roman" w:hAnsi="Times New Roman" w:cs="Times New Roman"/>
      <w:b/>
      <w:bCs/>
      <w:i/>
      <w:iCs/>
      <w:smallCaps w:val="0"/>
      <w:strike w:val="0"/>
      <w:color w:val="000000"/>
      <w:spacing w:val="0"/>
      <w:w w:val="100"/>
      <w:position w:val="0"/>
      <w:sz w:val="22"/>
      <w:szCs w:val="22"/>
      <w:u w:val="single"/>
      <w:lang w:val="bg-BG" w:eastAsia="bg-BG" w:bidi="bg-BG"/>
    </w:rPr>
  </w:style>
  <w:style w:type="character" w:customStyle="1" w:styleId="Tablecaption4">
    <w:name w:val="Table caption (4)_"/>
    <w:basedOn w:val="DefaultParagraphFont"/>
    <w:link w:val="Tablecaption40"/>
    <w:rsid w:val="00897511"/>
    <w:rPr>
      <w:rFonts w:ascii="Times New Roman" w:eastAsia="Times New Roman" w:hAnsi="Times New Roman" w:cs="Times New Roman"/>
      <w:sz w:val="15"/>
      <w:szCs w:val="15"/>
      <w:shd w:val="clear" w:color="auto" w:fill="FFFFFF"/>
    </w:rPr>
  </w:style>
  <w:style w:type="paragraph" w:customStyle="1" w:styleId="Tablecaption40">
    <w:name w:val="Table caption (4)"/>
    <w:basedOn w:val="Normal"/>
    <w:link w:val="Tablecaption4"/>
    <w:qFormat/>
    <w:rsid w:val="00897511"/>
    <w:pPr>
      <w:widowControl w:val="0"/>
      <w:shd w:val="clear" w:color="auto" w:fill="FFFFFF"/>
      <w:spacing w:after="0" w:line="0" w:lineRule="atLeast"/>
    </w:pPr>
    <w:rPr>
      <w:rFonts w:eastAsia="Times New Roman" w:cs="Times New Roman"/>
      <w:sz w:val="15"/>
      <w:szCs w:val="15"/>
    </w:rPr>
  </w:style>
  <w:style w:type="character" w:customStyle="1" w:styleId="Bodytext28pt">
    <w:name w:val="Body text (2) + 8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Bodytext275pt">
    <w:name w:val="Body text (2) + 7.5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15"/>
      <w:szCs w:val="15"/>
      <w:u w:val="none"/>
      <w:lang w:val="bg-BG" w:eastAsia="bg-BG" w:bidi="bg-BG"/>
    </w:rPr>
  </w:style>
  <w:style w:type="character" w:customStyle="1" w:styleId="Bodytext711ptNotItalic">
    <w:name w:val="Body text (7) + 11 pt;Not Italic"/>
    <w:basedOn w:val="Bodytext7"/>
    <w:rsid w:val="00897511"/>
    <w:rPr>
      <w:rFonts w:ascii="Times New Roman" w:eastAsia="Times New Roman" w:hAnsi="Times New Roman" w:cs="Times New Roman"/>
      <w:b/>
      <w:bCs/>
      <w:i/>
      <w:iCs/>
      <w:smallCaps w:val="0"/>
      <w:strike w:val="0"/>
      <w:color w:val="000000"/>
      <w:spacing w:val="0"/>
      <w:w w:val="100"/>
      <w:position w:val="0"/>
      <w:sz w:val="22"/>
      <w:szCs w:val="22"/>
      <w:u w:val="none"/>
      <w:lang w:val="bg-BG" w:eastAsia="bg-BG" w:bidi="bg-BG"/>
    </w:rPr>
  </w:style>
  <w:style w:type="character" w:customStyle="1" w:styleId="Bodytext29ptBoldItalic">
    <w:name w:val="Body text (2) + 9 pt;Bold;Italic"/>
    <w:basedOn w:val="Bodytext2"/>
    <w:rsid w:val="00897511"/>
    <w:rPr>
      <w:rFonts w:ascii="Times New Roman" w:eastAsia="Times New Roman" w:hAnsi="Times New Roman" w:cs="Times New Roman"/>
      <w:b/>
      <w:bCs/>
      <w:i/>
      <w:iCs/>
      <w:smallCaps w:val="0"/>
      <w:strike w:val="0"/>
      <w:color w:val="000000"/>
      <w:spacing w:val="0"/>
      <w:w w:val="100"/>
      <w:position w:val="0"/>
      <w:sz w:val="18"/>
      <w:szCs w:val="18"/>
      <w:u w:val="none"/>
      <w:lang w:val="bg-BG" w:eastAsia="bg-BG" w:bidi="bg-BG"/>
    </w:rPr>
  </w:style>
  <w:style w:type="character" w:customStyle="1" w:styleId="Heading20">
    <w:name w:val="Heading #2_"/>
    <w:basedOn w:val="DefaultParagraphFont"/>
    <w:link w:val="Heading21"/>
    <w:rsid w:val="00897511"/>
    <w:rPr>
      <w:rFonts w:ascii="Times New Roman" w:eastAsia="Times New Roman" w:hAnsi="Times New Roman" w:cs="Times New Roman"/>
      <w:b/>
      <w:bCs/>
      <w:sz w:val="28"/>
      <w:szCs w:val="28"/>
      <w:shd w:val="clear" w:color="auto" w:fill="FFFFFF"/>
    </w:rPr>
  </w:style>
  <w:style w:type="paragraph" w:customStyle="1" w:styleId="Heading21">
    <w:name w:val="Heading #2"/>
    <w:basedOn w:val="Normal"/>
    <w:link w:val="Heading20"/>
    <w:qFormat/>
    <w:rsid w:val="00897511"/>
    <w:pPr>
      <w:widowControl w:val="0"/>
      <w:shd w:val="clear" w:color="auto" w:fill="FFFFFF"/>
      <w:spacing w:after="0" w:line="0" w:lineRule="atLeast"/>
      <w:outlineLvl w:val="1"/>
    </w:pPr>
    <w:rPr>
      <w:rFonts w:eastAsia="Times New Roman" w:cs="Times New Roman"/>
      <w:b/>
      <w:bCs/>
      <w:sz w:val="28"/>
      <w:szCs w:val="28"/>
    </w:rPr>
  </w:style>
  <w:style w:type="character" w:customStyle="1" w:styleId="Bodytext11">
    <w:name w:val="Body text (11)"/>
    <w:basedOn w:val="DefaultParagraphFont"/>
    <w:rsid w:val="00897511"/>
    <w:rPr>
      <w:rFonts w:ascii="Times New Roman" w:eastAsia="Times New Roman" w:hAnsi="Times New Roman" w:cs="Times New Roman"/>
      <w:b/>
      <w:bCs/>
      <w:i w:val="0"/>
      <w:iCs w:val="0"/>
      <w:smallCaps w:val="0"/>
      <w:strike w:val="0"/>
      <w:sz w:val="18"/>
      <w:szCs w:val="18"/>
      <w:u w:val="none"/>
    </w:rPr>
  </w:style>
  <w:style w:type="character" w:customStyle="1" w:styleId="Heading42">
    <w:name w:val="Heading #4 (2)_"/>
    <w:basedOn w:val="DefaultParagraphFont"/>
    <w:rsid w:val="00897511"/>
    <w:rPr>
      <w:rFonts w:ascii="Arial" w:eastAsia="Arial" w:hAnsi="Arial" w:cs="Arial"/>
      <w:b/>
      <w:bCs/>
      <w:i w:val="0"/>
      <w:iCs w:val="0"/>
      <w:smallCaps w:val="0"/>
      <w:strike w:val="0"/>
      <w:spacing w:val="20"/>
      <w:u w:val="none"/>
    </w:rPr>
  </w:style>
  <w:style w:type="character" w:customStyle="1" w:styleId="Heading420">
    <w:name w:val="Heading #4 (2)"/>
    <w:basedOn w:val="Heading42"/>
    <w:rsid w:val="00897511"/>
    <w:rPr>
      <w:rFonts w:ascii="Arial" w:eastAsia="Arial" w:hAnsi="Arial" w:cs="Arial"/>
      <w:b/>
      <w:bCs/>
      <w:i w:val="0"/>
      <w:iCs w:val="0"/>
      <w:smallCaps w:val="0"/>
      <w:strike w:val="0"/>
      <w:color w:val="000000"/>
      <w:spacing w:val="20"/>
      <w:w w:val="100"/>
      <w:position w:val="0"/>
      <w:sz w:val="24"/>
      <w:szCs w:val="24"/>
      <w:u w:val="none"/>
      <w:lang w:val="bg-BG" w:eastAsia="bg-BG" w:bidi="bg-BG"/>
    </w:rPr>
  </w:style>
  <w:style w:type="character" w:customStyle="1" w:styleId="Heading30">
    <w:name w:val="Heading #3_"/>
    <w:basedOn w:val="DefaultParagraphFont"/>
    <w:rsid w:val="00897511"/>
    <w:rPr>
      <w:rFonts w:ascii="Times New Roman" w:eastAsia="Times New Roman" w:hAnsi="Times New Roman" w:cs="Times New Roman"/>
      <w:b w:val="0"/>
      <w:bCs w:val="0"/>
      <w:i w:val="0"/>
      <w:iCs w:val="0"/>
      <w:smallCaps w:val="0"/>
      <w:strike w:val="0"/>
      <w:u w:val="none"/>
    </w:rPr>
  </w:style>
  <w:style w:type="character" w:customStyle="1" w:styleId="Heading31">
    <w:name w:val="Heading #3"/>
    <w:basedOn w:val="Heading30"/>
    <w:rsid w:val="0089751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bg-BG" w:eastAsia="bg-BG" w:bidi="bg-BG"/>
    </w:rPr>
  </w:style>
  <w:style w:type="character" w:customStyle="1" w:styleId="Bodytext12">
    <w:name w:val="Body text (12)_"/>
    <w:basedOn w:val="DefaultParagraphFont"/>
    <w:rsid w:val="00897511"/>
    <w:rPr>
      <w:rFonts w:ascii="Times New Roman" w:eastAsia="Times New Roman" w:hAnsi="Times New Roman" w:cs="Times New Roman"/>
      <w:b w:val="0"/>
      <w:bCs w:val="0"/>
      <w:i w:val="0"/>
      <w:iCs w:val="0"/>
      <w:smallCaps w:val="0"/>
      <w:strike w:val="0"/>
      <w:spacing w:val="0"/>
      <w:sz w:val="9"/>
      <w:szCs w:val="9"/>
      <w:u w:val="none"/>
    </w:rPr>
  </w:style>
  <w:style w:type="character" w:customStyle="1" w:styleId="Bodytext120">
    <w:name w:val="Body text (12)"/>
    <w:basedOn w:val="Bodytext12"/>
    <w:rsid w:val="00897511"/>
    <w:rPr>
      <w:rFonts w:ascii="Times New Roman" w:eastAsia="Times New Roman" w:hAnsi="Times New Roman" w:cs="Times New Roman"/>
      <w:b w:val="0"/>
      <w:bCs w:val="0"/>
      <w:i w:val="0"/>
      <w:iCs w:val="0"/>
      <w:smallCaps w:val="0"/>
      <w:strike w:val="0"/>
      <w:color w:val="000000"/>
      <w:spacing w:val="0"/>
      <w:w w:val="100"/>
      <w:position w:val="0"/>
      <w:sz w:val="9"/>
      <w:szCs w:val="9"/>
      <w:u w:val="none"/>
      <w:lang w:val="bg-BG" w:eastAsia="bg-BG" w:bidi="bg-BG"/>
    </w:rPr>
  </w:style>
  <w:style w:type="character" w:customStyle="1" w:styleId="Bodytext12Italic">
    <w:name w:val="Body text (12) + Italic"/>
    <w:basedOn w:val="Bodytext12"/>
    <w:rsid w:val="00897511"/>
    <w:rPr>
      <w:rFonts w:ascii="Times New Roman" w:eastAsia="Times New Roman" w:hAnsi="Times New Roman" w:cs="Times New Roman"/>
      <w:b w:val="0"/>
      <w:bCs w:val="0"/>
      <w:i/>
      <w:iCs/>
      <w:smallCaps w:val="0"/>
      <w:strike w:val="0"/>
      <w:color w:val="000000"/>
      <w:spacing w:val="0"/>
      <w:w w:val="100"/>
      <w:position w:val="0"/>
      <w:sz w:val="9"/>
      <w:szCs w:val="9"/>
      <w:u w:val="none"/>
      <w:lang w:val="bg-BG" w:eastAsia="bg-BG" w:bidi="bg-BG"/>
    </w:rPr>
  </w:style>
  <w:style w:type="character" w:customStyle="1" w:styleId="Bodytext13">
    <w:name w:val="Body text (13)_"/>
    <w:basedOn w:val="DefaultParagraphFont"/>
    <w:rsid w:val="00897511"/>
    <w:rPr>
      <w:rFonts w:ascii="Calibri" w:eastAsia="Calibri" w:hAnsi="Calibri" w:cs="Calibri"/>
      <w:b w:val="0"/>
      <w:bCs w:val="0"/>
      <w:i w:val="0"/>
      <w:iCs w:val="0"/>
      <w:smallCaps w:val="0"/>
      <w:strike w:val="0"/>
      <w:sz w:val="12"/>
      <w:szCs w:val="12"/>
      <w:u w:val="none"/>
    </w:rPr>
  </w:style>
  <w:style w:type="character" w:customStyle="1" w:styleId="Bodytext130">
    <w:name w:val="Body text (13)"/>
    <w:basedOn w:val="Bodytext13"/>
    <w:rsid w:val="00897511"/>
    <w:rPr>
      <w:rFonts w:ascii="Calibri" w:eastAsia="Calibri" w:hAnsi="Calibri" w:cs="Calibri"/>
      <w:b w:val="0"/>
      <w:bCs w:val="0"/>
      <w:i w:val="0"/>
      <w:iCs w:val="0"/>
      <w:smallCaps w:val="0"/>
      <w:strike w:val="0"/>
      <w:color w:val="000000"/>
      <w:spacing w:val="0"/>
      <w:w w:val="100"/>
      <w:position w:val="0"/>
      <w:sz w:val="12"/>
      <w:szCs w:val="12"/>
      <w:u w:val="none"/>
      <w:lang w:val="bg-BG" w:eastAsia="bg-BG" w:bidi="bg-BG"/>
    </w:rPr>
  </w:style>
  <w:style w:type="character" w:customStyle="1" w:styleId="Heading3Spacing1pt">
    <w:name w:val="Heading #3 + Spacing 1 pt"/>
    <w:basedOn w:val="Heading30"/>
    <w:rsid w:val="00897511"/>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bg-BG" w:eastAsia="bg-BG" w:bidi="bg-BG"/>
    </w:rPr>
  </w:style>
  <w:style w:type="character" w:customStyle="1" w:styleId="Bodytext14">
    <w:name w:val="Body text (14)"/>
    <w:basedOn w:val="DefaultParagraphFont"/>
    <w:rsid w:val="00897511"/>
    <w:rPr>
      <w:rFonts w:ascii="Calibri" w:eastAsia="Calibri" w:hAnsi="Calibri" w:cs="Calibri"/>
      <w:b w:val="0"/>
      <w:bCs w:val="0"/>
      <w:i w:val="0"/>
      <w:iCs w:val="0"/>
      <w:smallCaps w:val="0"/>
      <w:strike w:val="0"/>
      <w:sz w:val="12"/>
      <w:szCs w:val="12"/>
      <w:u w:val="none"/>
    </w:rPr>
  </w:style>
  <w:style w:type="character" w:customStyle="1" w:styleId="Bodytext15">
    <w:name w:val="Body text (15)"/>
    <w:basedOn w:val="DefaultParagraphFont"/>
    <w:rsid w:val="00897511"/>
    <w:rPr>
      <w:rFonts w:ascii="Times New Roman" w:eastAsia="Times New Roman" w:hAnsi="Times New Roman" w:cs="Times New Roman"/>
      <w:b w:val="0"/>
      <w:bCs w:val="0"/>
      <w:i w:val="0"/>
      <w:iCs w:val="0"/>
      <w:smallCaps w:val="0"/>
      <w:strike w:val="0"/>
      <w:sz w:val="19"/>
      <w:szCs w:val="19"/>
      <w:u w:val="none"/>
    </w:rPr>
  </w:style>
  <w:style w:type="character" w:customStyle="1" w:styleId="Bodytext19">
    <w:name w:val="Body text (19)_"/>
    <w:basedOn w:val="DefaultParagraphFont"/>
    <w:rsid w:val="00897511"/>
    <w:rPr>
      <w:rFonts w:ascii="Calibri" w:eastAsia="Calibri" w:hAnsi="Calibri" w:cs="Calibri"/>
      <w:b w:val="0"/>
      <w:bCs w:val="0"/>
      <w:i w:val="0"/>
      <w:iCs w:val="0"/>
      <w:smallCaps w:val="0"/>
      <w:strike w:val="0"/>
      <w:sz w:val="11"/>
      <w:szCs w:val="11"/>
      <w:u w:val="none"/>
    </w:rPr>
  </w:style>
  <w:style w:type="character" w:customStyle="1" w:styleId="Bodytext190">
    <w:name w:val="Body text (19)"/>
    <w:basedOn w:val="Bodytext19"/>
    <w:rsid w:val="00897511"/>
    <w:rPr>
      <w:rFonts w:ascii="Calibri" w:eastAsia="Calibri" w:hAnsi="Calibri" w:cs="Calibri"/>
      <w:b w:val="0"/>
      <w:bCs w:val="0"/>
      <w:i w:val="0"/>
      <w:iCs w:val="0"/>
      <w:smallCaps w:val="0"/>
      <w:strike w:val="0"/>
      <w:color w:val="000000"/>
      <w:spacing w:val="0"/>
      <w:w w:val="100"/>
      <w:position w:val="0"/>
      <w:sz w:val="11"/>
      <w:szCs w:val="11"/>
      <w:u w:val="none"/>
      <w:lang w:val="bg-BG" w:eastAsia="bg-BG" w:bidi="bg-BG"/>
    </w:rPr>
  </w:style>
  <w:style w:type="character" w:customStyle="1" w:styleId="Bodytext200">
    <w:name w:val="Body text (20)"/>
    <w:basedOn w:val="DefaultParagraphFont"/>
    <w:rsid w:val="00897511"/>
    <w:rPr>
      <w:rFonts w:ascii="Times New Roman" w:eastAsia="Times New Roman" w:hAnsi="Times New Roman" w:cs="Times New Roman"/>
      <w:b w:val="0"/>
      <w:bCs w:val="0"/>
      <w:i w:val="0"/>
      <w:iCs w:val="0"/>
      <w:smallCaps w:val="0"/>
      <w:strike w:val="0"/>
      <w:sz w:val="15"/>
      <w:szCs w:val="15"/>
      <w:u w:val="none"/>
    </w:rPr>
  </w:style>
  <w:style w:type="character" w:customStyle="1" w:styleId="Bodytext21">
    <w:name w:val="Body text (21)_"/>
    <w:basedOn w:val="DefaultParagraphFont"/>
    <w:rsid w:val="00897511"/>
    <w:rPr>
      <w:rFonts w:ascii="Times New Roman" w:eastAsia="Times New Roman" w:hAnsi="Times New Roman" w:cs="Times New Roman"/>
      <w:b/>
      <w:bCs/>
      <w:i w:val="0"/>
      <w:iCs w:val="0"/>
      <w:smallCaps w:val="0"/>
      <w:strike w:val="0"/>
      <w:sz w:val="15"/>
      <w:szCs w:val="15"/>
      <w:u w:val="none"/>
    </w:rPr>
  </w:style>
  <w:style w:type="character" w:customStyle="1" w:styleId="Bodytext210">
    <w:name w:val="Body text (21)"/>
    <w:basedOn w:val="Bodytext21"/>
    <w:rsid w:val="00897511"/>
    <w:rPr>
      <w:rFonts w:ascii="Times New Roman" w:eastAsia="Times New Roman" w:hAnsi="Times New Roman" w:cs="Times New Roman"/>
      <w:b/>
      <w:bCs/>
      <w:i w:val="0"/>
      <w:iCs w:val="0"/>
      <w:smallCaps w:val="0"/>
      <w:strike w:val="0"/>
      <w:color w:val="000000"/>
      <w:spacing w:val="0"/>
      <w:w w:val="100"/>
      <w:position w:val="0"/>
      <w:sz w:val="15"/>
      <w:szCs w:val="15"/>
      <w:u w:val="none"/>
      <w:lang w:val="bg-BG" w:eastAsia="bg-BG" w:bidi="bg-BG"/>
    </w:rPr>
  </w:style>
  <w:style w:type="character" w:customStyle="1" w:styleId="Bodytext16">
    <w:name w:val="Body text (16)_"/>
    <w:basedOn w:val="DefaultParagraphFont"/>
    <w:rsid w:val="00897511"/>
    <w:rPr>
      <w:rFonts w:ascii="Times New Roman" w:eastAsia="Times New Roman" w:hAnsi="Times New Roman" w:cs="Times New Roman"/>
      <w:b/>
      <w:bCs/>
      <w:i/>
      <w:iCs/>
      <w:smallCaps w:val="0"/>
      <w:strike w:val="0"/>
      <w:u w:val="none"/>
    </w:rPr>
  </w:style>
  <w:style w:type="character" w:customStyle="1" w:styleId="Bodytext2115ptBoldItalic">
    <w:name w:val="Body text (2) + 11.5 pt;Bold;Italic"/>
    <w:basedOn w:val="Bodytext2"/>
    <w:rsid w:val="00897511"/>
    <w:rPr>
      <w:rFonts w:ascii="Times New Roman" w:eastAsia="Times New Roman" w:hAnsi="Times New Roman" w:cs="Times New Roman"/>
      <w:b/>
      <w:bCs/>
      <w:i/>
      <w:iCs/>
      <w:smallCaps w:val="0"/>
      <w:strike w:val="0"/>
      <w:color w:val="000000"/>
      <w:spacing w:val="0"/>
      <w:w w:val="100"/>
      <w:position w:val="0"/>
      <w:sz w:val="23"/>
      <w:szCs w:val="23"/>
      <w:u w:val="none"/>
      <w:lang w:val="bg-BG" w:eastAsia="bg-BG" w:bidi="bg-BG"/>
    </w:rPr>
  </w:style>
  <w:style w:type="character" w:customStyle="1" w:styleId="Bodytext17">
    <w:name w:val="Body text (17)_"/>
    <w:basedOn w:val="DefaultParagraphFont"/>
    <w:rsid w:val="00897511"/>
    <w:rPr>
      <w:rFonts w:ascii="Calibri" w:eastAsia="Calibri" w:hAnsi="Calibri" w:cs="Calibri"/>
      <w:b/>
      <w:bCs/>
      <w:i w:val="0"/>
      <w:iCs w:val="0"/>
      <w:smallCaps w:val="0"/>
      <w:strike w:val="0"/>
      <w:sz w:val="21"/>
      <w:szCs w:val="21"/>
      <w:u w:val="none"/>
    </w:rPr>
  </w:style>
  <w:style w:type="character" w:customStyle="1" w:styleId="Bodytext170">
    <w:name w:val="Body text (17)"/>
    <w:basedOn w:val="Bodytext17"/>
    <w:rsid w:val="00897511"/>
    <w:rPr>
      <w:rFonts w:ascii="Calibri" w:eastAsia="Calibri" w:hAnsi="Calibri" w:cs="Calibri"/>
      <w:b/>
      <w:bCs/>
      <w:i w:val="0"/>
      <w:iCs w:val="0"/>
      <w:smallCaps w:val="0"/>
      <w:strike w:val="0"/>
      <w:color w:val="000000"/>
      <w:spacing w:val="0"/>
      <w:w w:val="100"/>
      <w:position w:val="0"/>
      <w:sz w:val="21"/>
      <w:szCs w:val="21"/>
      <w:u w:val="none"/>
      <w:lang w:val="bg-BG" w:eastAsia="bg-BG" w:bidi="bg-BG"/>
    </w:rPr>
  </w:style>
  <w:style w:type="character" w:customStyle="1" w:styleId="Bodytext140">
    <w:name w:val="Body text (14)_"/>
    <w:basedOn w:val="DefaultParagraphFont"/>
    <w:rsid w:val="00897511"/>
    <w:rPr>
      <w:rFonts w:ascii="Calibri" w:eastAsia="Calibri" w:hAnsi="Calibri" w:cs="Calibri"/>
      <w:b w:val="0"/>
      <w:bCs w:val="0"/>
      <w:i w:val="0"/>
      <w:iCs w:val="0"/>
      <w:smallCaps w:val="0"/>
      <w:strike w:val="0"/>
      <w:sz w:val="12"/>
      <w:szCs w:val="12"/>
      <w:u w:val="none"/>
    </w:rPr>
  </w:style>
  <w:style w:type="character" w:customStyle="1" w:styleId="Bodytext18">
    <w:name w:val="Body text (18)_"/>
    <w:basedOn w:val="DefaultParagraphFont"/>
    <w:rsid w:val="00897511"/>
    <w:rPr>
      <w:rFonts w:ascii="Times New Roman" w:eastAsia="Times New Roman" w:hAnsi="Times New Roman" w:cs="Times New Roman"/>
      <w:b w:val="0"/>
      <w:bCs w:val="0"/>
      <w:i w:val="0"/>
      <w:iCs w:val="0"/>
      <w:smallCaps w:val="0"/>
      <w:strike w:val="0"/>
      <w:sz w:val="12"/>
      <w:szCs w:val="12"/>
      <w:u w:val="none"/>
    </w:rPr>
  </w:style>
  <w:style w:type="character" w:customStyle="1" w:styleId="Bodytext18Calibri">
    <w:name w:val="Body text (18) + Calibri"/>
    <w:basedOn w:val="Bodytext18"/>
    <w:rsid w:val="00897511"/>
    <w:rPr>
      <w:rFonts w:ascii="Calibri" w:eastAsia="Calibri" w:hAnsi="Calibri" w:cs="Calibri"/>
      <w:b w:val="0"/>
      <w:bCs w:val="0"/>
      <w:i w:val="0"/>
      <w:iCs w:val="0"/>
      <w:smallCaps w:val="0"/>
      <w:strike w:val="0"/>
      <w:color w:val="000000"/>
      <w:spacing w:val="0"/>
      <w:w w:val="100"/>
      <w:position w:val="0"/>
      <w:sz w:val="12"/>
      <w:szCs w:val="12"/>
      <w:u w:val="none"/>
      <w:lang w:val="bg-BG" w:eastAsia="bg-BG" w:bidi="bg-BG"/>
    </w:rPr>
  </w:style>
  <w:style w:type="character" w:customStyle="1" w:styleId="Bodytext180">
    <w:name w:val="Body text (18)"/>
    <w:basedOn w:val="Bodytext18"/>
    <w:rsid w:val="0089751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bg-BG" w:eastAsia="bg-BG" w:bidi="bg-BG"/>
    </w:rPr>
  </w:style>
  <w:style w:type="character" w:customStyle="1" w:styleId="Bodytext150">
    <w:name w:val="Body text (15)_"/>
    <w:basedOn w:val="DefaultParagraphFont"/>
    <w:rsid w:val="00897511"/>
    <w:rPr>
      <w:rFonts w:ascii="Times New Roman" w:eastAsia="Times New Roman" w:hAnsi="Times New Roman" w:cs="Times New Roman"/>
      <w:b w:val="0"/>
      <w:bCs w:val="0"/>
      <w:i w:val="0"/>
      <w:iCs w:val="0"/>
      <w:smallCaps w:val="0"/>
      <w:strike w:val="0"/>
      <w:sz w:val="19"/>
      <w:szCs w:val="19"/>
      <w:u w:val="none"/>
    </w:rPr>
  </w:style>
  <w:style w:type="character" w:customStyle="1" w:styleId="Bodytext160">
    <w:name w:val="Body text (16)"/>
    <w:basedOn w:val="Bodytext16"/>
    <w:rsid w:val="00897511"/>
    <w:rPr>
      <w:rFonts w:ascii="Times New Roman" w:eastAsia="Times New Roman" w:hAnsi="Times New Roman" w:cs="Times New Roman"/>
      <w:b/>
      <w:bCs/>
      <w:i/>
      <w:iCs/>
      <w:smallCaps w:val="0"/>
      <w:strike w:val="0"/>
      <w:color w:val="000000"/>
      <w:spacing w:val="0"/>
      <w:w w:val="100"/>
      <w:position w:val="0"/>
      <w:sz w:val="24"/>
      <w:szCs w:val="24"/>
      <w:u w:val="single"/>
      <w:lang w:val="bg-BG" w:eastAsia="bg-BG" w:bidi="bg-BG"/>
    </w:rPr>
  </w:style>
  <w:style w:type="character" w:customStyle="1" w:styleId="Bodytext4115ptItalic">
    <w:name w:val="Body text (4) + 11.5 pt;Italic"/>
    <w:basedOn w:val="Bodytext4"/>
    <w:rsid w:val="00897511"/>
    <w:rPr>
      <w:rFonts w:ascii="Times New Roman" w:eastAsia="Times New Roman" w:hAnsi="Times New Roman" w:cs="Times New Roman"/>
      <w:b/>
      <w:bCs/>
      <w:i/>
      <w:iCs/>
      <w:smallCaps w:val="0"/>
      <w:strike w:val="0"/>
      <w:color w:val="000000"/>
      <w:spacing w:val="0"/>
      <w:w w:val="100"/>
      <w:position w:val="0"/>
      <w:sz w:val="23"/>
      <w:szCs w:val="23"/>
      <w:u w:val="none"/>
      <w:lang w:val="bg-BG" w:eastAsia="bg-BG" w:bidi="bg-BG"/>
    </w:rPr>
  </w:style>
  <w:style w:type="character" w:customStyle="1" w:styleId="Bodytext2Sylfaen75pt">
    <w:name w:val="Body text (2) + Sylfaen;7.5 pt"/>
    <w:basedOn w:val="Bodytext2"/>
    <w:rsid w:val="00897511"/>
    <w:rPr>
      <w:rFonts w:ascii="Sylfaen" w:eastAsia="Sylfaen" w:hAnsi="Sylfaen" w:cs="Sylfaen"/>
      <w:b w:val="0"/>
      <w:bCs w:val="0"/>
      <w:i w:val="0"/>
      <w:iCs w:val="0"/>
      <w:smallCaps w:val="0"/>
      <w:strike w:val="0"/>
      <w:color w:val="000000"/>
      <w:spacing w:val="0"/>
      <w:w w:val="100"/>
      <w:position w:val="0"/>
      <w:sz w:val="15"/>
      <w:szCs w:val="15"/>
      <w:u w:val="none"/>
      <w:lang w:val="bg-BG" w:eastAsia="bg-BG" w:bidi="bg-BG"/>
    </w:rPr>
  </w:style>
  <w:style w:type="character" w:customStyle="1" w:styleId="Bodytext201">
    <w:name w:val="Body text (20)_"/>
    <w:basedOn w:val="DefaultParagraphFont"/>
    <w:rsid w:val="00897511"/>
    <w:rPr>
      <w:rFonts w:ascii="Times New Roman" w:eastAsia="Times New Roman" w:hAnsi="Times New Roman" w:cs="Times New Roman"/>
      <w:b w:val="0"/>
      <w:bCs w:val="0"/>
      <w:i w:val="0"/>
      <w:iCs w:val="0"/>
      <w:smallCaps w:val="0"/>
      <w:strike w:val="0"/>
      <w:sz w:val="15"/>
      <w:szCs w:val="15"/>
      <w:u w:val="none"/>
    </w:rPr>
  </w:style>
  <w:style w:type="character" w:customStyle="1" w:styleId="Bodytext20Bold">
    <w:name w:val="Body text (20) + Bold"/>
    <w:basedOn w:val="Bodytext201"/>
    <w:rsid w:val="00897511"/>
    <w:rPr>
      <w:rFonts w:ascii="Times New Roman" w:eastAsia="Times New Roman" w:hAnsi="Times New Roman" w:cs="Times New Roman"/>
      <w:b/>
      <w:bCs/>
      <w:i w:val="0"/>
      <w:iCs w:val="0"/>
      <w:smallCaps w:val="0"/>
      <w:strike w:val="0"/>
      <w:color w:val="000000"/>
      <w:spacing w:val="0"/>
      <w:w w:val="100"/>
      <w:position w:val="0"/>
      <w:sz w:val="15"/>
      <w:szCs w:val="15"/>
      <w:u w:val="none"/>
      <w:lang w:val="bg-BG" w:eastAsia="bg-BG" w:bidi="bg-BG"/>
    </w:rPr>
  </w:style>
  <w:style w:type="character" w:customStyle="1" w:styleId="Bodytext2105ptItalic">
    <w:name w:val="Body text (2) + 10.5 pt;Italic"/>
    <w:basedOn w:val="Bodytext2"/>
    <w:rsid w:val="00897511"/>
    <w:rPr>
      <w:rFonts w:ascii="Times New Roman" w:eastAsia="Times New Roman" w:hAnsi="Times New Roman" w:cs="Times New Roman"/>
      <w:b w:val="0"/>
      <w:bCs w:val="0"/>
      <w:i/>
      <w:iCs/>
      <w:smallCaps w:val="0"/>
      <w:strike w:val="0"/>
      <w:color w:val="000000"/>
      <w:spacing w:val="0"/>
      <w:w w:val="100"/>
      <w:position w:val="0"/>
      <w:sz w:val="21"/>
      <w:szCs w:val="21"/>
      <w:u w:val="none"/>
      <w:lang w:val="bg-BG" w:eastAsia="bg-BG" w:bidi="bg-BG"/>
    </w:rPr>
  </w:style>
  <w:style w:type="character" w:customStyle="1" w:styleId="Bodytext22">
    <w:name w:val="Body text (22)_"/>
    <w:basedOn w:val="DefaultParagraphFont"/>
    <w:link w:val="Bodytext220"/>
    <w:rsid w:val="00897511"/>
    <w:rPr>
      <w:rFonts w:ascii="Times New Roman" w:eastAsia="Times New Roman" w:hAnsi="Times New Roman" w:cs="Times New Roman"/>
      <w:sz w:val="23"/>
      <w:szCs w:val="23"/>
      <w:shd w:val="clear" w:color="auto" w:fill="FFFFFF"/>
    </w:rPr>
  </w:style>
  <w:style w:type="paragraph" w:customStyle="1" w:styleId="Bodytext220">
    <w:name w:val="Body text (22)"/>
    <w:basedOn w:val="Normal"/>
    <w:link w:val="Bodytext22"/>
    <w:qFormat/>
    <w:rsid w:val="00897511"/>
    <w:pPr>
      <w:widowControl w:val="0"/>
      <w:shd w:val="clear" w:color="auto" w:fill="FFFFFF"/>
      <w:spacing w:after="0" w:line="317" w:lineRule="exact"/>
      <w:ind w:hanging="560"/>
      <w:jc w:val="both"/>
    </w:pPr>
    <w:rPr>
      <w:rFonts w:eastAsia="Times New Roman" w:cs="Times New Roman"/>
      <w:sz w:val="23"/>
      <w:szCs w:val="23"/>
    </w:rPr>
  </w:style>
  <w:style w:type="character" w:customStyle="1" w:styleId="Bodytext2212ptBoldItalic">
    <w:name w:val="Body text (22) + 12 pt;Bold;Italic"/>
    <w:basedOn w:val="Bodytext22"/>
    <w:rsid w:val="00897511"/>
    <w:rPr>
      <w:rFonts w:ascii="Times New Roman" w:eastAsia="Times New Roman" w:hAnsi="Times New Roman" w:cs="Times New Roman"/>
      <w:b/>
      <w:bCs/>
      <w:i/>
      <w:iCs/>
      <w:color w:val="000000"/>
      <w:spacing w:val="0"/>
      <w:w w:val="100"/>
      <w:position w:val="0"/>
      <w:sz w:val="24"/>
      <w:szCs w:val="24"/>
      <w:shd w:val="clear" w:color="auto" w:fill="FFFFFF"/>
      <w:lang w:val="bg-BG" w:eastAsia="bg-BG" w:bidi="bg-BG"/>
    </w:rPr>
  </w:style>
  <w:style w:type="character" w:customStyle="1" w:styleId="Bodytext29pt">
    <w:name w:val="Body text (2) + 9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bg-BG" w:eastAsia="bg-BG" w:bidi="bg-BG"/>
    </w:rPr>
  </w:style>
  <w:style w:type="character" w:customStyle="1" w:styleId="Bodytext29ptSmallCaps">
    <w:name w:val="Body text (2) + 9 pt;Small Caps"/>
    <w:basedOn w:val="Bodytext2"/>
    <w:rsid w:val="00897511"/>
    <w:rPr>
      <w:rFonts w:ascii="Times New Roman" w:eastAsia="Times New Roman" w:hAnsi="Times New Roman" w:cs="Times New Roman"/>
      <w:b w:val="0"/>
      <w:bCs w:val="0"/>
      <w:i w:val="0"/>
      <w:iCs w:val="0"/>
      <w:smallCaps/>
      <w:strike w:val="0"/>
      <w:color w:val="000000"/>
      <w:spacing w:val="0"/>
      <w:w w:val="100"/>
      <w:position w:val="0"/>
      <w:sz w:val="18"/>
      <w:szCs w:val="18"/>
      <w:u w:val="none"/>
      <w:lang w:val="en-US" w:eastAsia="en-US" w:bidi="en-US"/>
    </w:rPr>
  </w:style>
  <w:style w:type="character" w:customStyle="1" w:styleId="Bodytext210ptBold">
    <w:name w:val="Body text (2) + 10 pt;Bold"/>
    <w:basedOn w:val="Bodytext2"/>
    <w:rsid w:val="00897511"/>
    <w:rPr>
      <w:rFonts w:ascii="Times New Roman" w:eastAsia="Times New Roman" w:hAnsi="Times New Roman" w:cs="Times New Roman"/>
      <w:b/>
      <w:bCs/>
      <w:i w:val="0"/>
      <w:iCs w:val="0"/>
      <w:smallCaps w:val="0"/>
      <w:strike w:val="0"/>
      <w:color w:val="000000"/>
      <w:spacing w:val="0"/>
      <w:w w:val="100"/>
      <w:position w:val="0"/>
      <w:sz w:val="20"/>
      <w:szCs w:val="20"/>
      <w:u w:val="none"/>
      <w:lang w:val="bg-BG" w:eastAsia="bg-BG" w:bidi="bg-BG"/>
    </w:rPr>
  </w:style>
  <w:style w:type="character" w:customStyle="1" w:styleId="Bodytext23">
    <w:name w:val="Body text (23)_"/>
    <w:basedOn w:val="DefaultParagraphFont"/>
    <w:rsid w:val="00897511"/>
    <w:rPr>
      <w:rFonts w:ascii="Arial" w:eastAsia="Arial" w:hAnsi="Arial" w:cs="Arial"/>
      <w:b/>
      <w:bCs/>
      <w:i w:val="0"/>
      <w:iCs w:val="0"/>
      <w:smallCaps w:val="0"/>
      <w:strike w:val="0"/>
      <w:spacing w:val="0"/>
      <w:sz w:val="15"/>
      <w:szCs w:val="15"/>
      <w:u w:val="none"/>
    </w:rPr>
  </w:style>
  <w:style w:type="character" w:customStyle="1" w:styleId="Bodytext230">
    <w:name w:val="Body text (23)"/>
    <w:basedOn w:val="Bodytext23"/>
    <w:rsid w:val="00897511"/>
    <w:rPr>
      <w:rFonts w:ascii="Arial" w:eastAsia="Arial" w:hAnsi="Arial" w:cs="Arial"/>
      <w:b/>
      <w:bCs/>
      <w:i w:val="0"/>
      <w:iCs w:val="0"/>
      <w:smallCaps w:val="0"/>
      <w:strike w:val="0"/>
      <w:color w:val="000000"/>
      <w:spacing w:val="0"/>
      <w:w w:val="100"/>
      <w:position w:val="0"/>
      <w:sz w:val="15"/>
      <w:szCs w:val="15"/>
      <w:u w:val="single"/>
      <w:lang w:val="bg-BG" w:eastAsia="bg-BG" w:bidi="bg-BG"/>
    </w:rPr>
  </w:style>
  <w:style w:type="character" w:customStyle="1" w:styleId="Bodytext24">
    <w:name w:val="Body text (24)_"/>
    <w:basedOn w:val="DefaultParagraphFont"/>
    <w:rsid w:val="00897511"/>
    <w:rPr>
      <w:rFonts w:ascii="Calibri" w:eastAsia="Calibri" w:hAnsi="Calibri" w:cs="Calibri"/>
      <w:b w:val="0"/>
      <w:bCs w:val="0"/>
      <w:i w:val="0"/>
      <w:iCs w:val="0"/>
      <w:smallCaps w:val="0"/>
      <w:strike w:val="0"/>
      <w:spacing w:val="0"/>
      <w:sz w:val="16"/>
      <w:szCs w:val="16"/>
      <w:u w:val="none"/>
    </w:rPr>
  </w:style>
  <w:style w:type="character" w:customStyle="1" w:styleId="Bodytext240">
    <w:name w:val="Body text (24)"/>
    <w:basedOn w:val="Bodytext24"/>
    <w:rsid w:val="00897511"/>
    <w:rPr>
      <w:rFonts w:ascii="Calibri" w:eastAsia="Calibri" w:hAnsi="Calibri" w:cs="Calibri"/>
      <w:b w:val="0"/>
      <w:bCs w:val="0"/>
      <w:i w:val="0"/>
      <w:iCs w:val="0"/>
      <w:smallCaps w:val="0"/>
      <w:strike w:val="0"/>
      <w:color w:val="000000"/>
      <w:spacing w:val="0"/>
      <w:w w:val="100"/>
      <w:position w:val="0"/>
      <w:sz w:val="16"/>
      <w:szCs w:val="16"/>
      <w:u w:val="single"/>
      <w:lang w:val="en-US" w:eastAsia="en-US" w:bidi="en-US"/>
    </w:rPr>
  </w:style>
  <w:style w:type="character" w:customStyle="1" w:styleId="Bodytext25">
    <w:name w:val="Body text (25)_"/>
    <w:basedOn w:val="DefaultParagraphFont"/>
    <w:rsid w:val="00897511"/>
    <w:rPr>
      <w:rFonts w:ascii="Calibri" w:eastAsia="Calibri" w:hAnsi="Calibri" w:cs="Calibri"/>
      <w:b w:val="0"/>
      <w:bCs w:val="0"/>
      <w:i w:val="0"/>
      <w:iCs w:val="0"/>
      <w:smallCaps w:val="0"/>
      <w:strike w:val="0"/>
      <w:sz w:val="16"/>
      <w:szCs w:val="16"/>
      <w:u w:val="none"/>
    </w:rPr>
  </w:style>
  <w:style w:type="character" w:customStyle="1" w:styleId="Bodytext250">
    <w:name w:val="Body text (25)"/>
    <w:basedOn w:val="Bodytext25"/>
    <w:rsid w:val="00897511"/>
    <w:rPr>
      <w:rFonts w:ascii="Calibri" w:eastAsia="Calibri" w:hAnsi="Calibri" w:cs="Calibri"/>
      <w:b w:val="0"/>
      <w:bCs w:val="0"/>
      <w:i w:val="0"/>
      <w:iCs w:val="0"/>
      <w:smallCaps w:val="0"/>
      <w:strike w:val="0"/>
      <w:color w:val="000000"/>
      <w:spacing w:val="0"/>
      <w:w w:val="100"/>
      <w:position w:val="0"/>
      <w:sz w:val="16"/>
      <w:szCs w:val="16"/>
      <w:u w:val="single"/>
      <w:lang w:val="bg-BG" w:eastAsia="bg-BG" w:bidi="bg-BG"/>
    </w:rPr>
  </w:style>
  <w:style w:type="character" w:customStyle="1" w:styleId="Bodytext26">
    <w:name w:val="Body text (26)_"/>
    <w:basedOn w:val="DefaultParagraphFont"/>
    <w:rsid w:val="00897511"/>
    <w:rPr>
      <w:rFonts w:ascii="Times New Roman" w:eastAsia="Times New Roman" w:hAnsi="Times New Roman" w:cs="Times New Roman"/>
      <w:b w:val="0"/>
      <w:bCs w:val="0"/>
      <w:i w:val="0"/>
      <w:iCs w:val="0"/>
      <w:smallCaps w:val="0"/>
      <w:strike w:val="0"/>
      <w:sz w:val="16"/>
      <w:szCs w:val="16"/>
      <w:u w:val="none"/>
    </w:rPr>
  </w:style>
  <w:style w:type="character" w:customStyle="1" w:styleId="Bodytext260">
    <w:name w:val="Body text (26)"/>
    <w:basedOn w:val="Bodytext26"/>
    <w:rsid w:val="0089751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bg-BG" w:eastAsia="bg-BG" w:bidi="bg-BG"/>
    </w:rPr>
  </w:style>
  <w:style w:type="character" w:customStyle="1" w:styleId="Bodytext27">
    <w:name w:val="Body text (27)_"/>
    <w:basedOn w:val="DefaultParagraphFont"/>
    <w:rsid w:val="00897511"/>
    <w:rPr>
      <w:rFonts w:ascii="Times New Roman" w:eastAsia="Times New Roman" w:hAnsi="Times New Roman" w:cs="Times New Roman"/>
      <w:b w:val="0"/>
      <w:bCs w:val="0"/>
      <w:i w:val="0"/>
      <w:iCs w:val="0"/>
      <w:smallCaps w:val="0"/>
      <w:strike w:val="0"/>
      <w:sz w:val="16"/>
      <w:szCs w:val="16"/>
      <w:u w:val="none"/>
    </w:rPr>
  </w:style>
  <w:style w:type="character" w:customStyle="1" w:styleId="Bodytext270">
    <w:name w:val="Body text (27)"/>
    <w:basedOn w:val="Bodytext27"/>
    <w:rsid w:val="0089751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bg-BG" w:eastAsia="bg-BG" w:bidi="bg-BG"/>
    </w:rPr>
  </w:style>
  <w:style w:type="character" w:customStyle="1" w:styleId="Bodytext2212ptItalic">
    <w:name w:val="Body text (22) + 12 pt;Italic"/>
    <w:basedOn w:val="Bodytext22"/>
    <w:rsid w:val="00897511"/>
    <w:rPr>
      <w:rFonts w:ascii="Times New Roman" w:eastAsia="Times New Roman" w:hAnsi="Times New Roman" w:cs="Times New Roman"/>
      <w:i/>
      <w:iCs/>
      <w:color w:val="000000"/>
      <w:spacing w:val="0"/>
      <w:w w:val="100"/>
      <w:position w:val="0"/>
      <w:sz w:val="24"/>
      <w:szCs w:val="24"/>
      <w:shd w:val="clear" w:color="auto" w:fill="FFFFFF"/>
      <w:lang w:val="bg-BG" w:eastAsia="bg-BG" w:bidi="bg-BG"/>
    </w:rPr>
  </w:style>
  <w:style w:type="character" w:customStyle="1" w:styleId="Bodytext2212pt">
    <w:name w:val="Body text (22) + 12 pt"/>
    <w:basedOn w:val="Bodytext22"/>
    <w:rsid w:val="00897511"/>
    <w:rPr>
      <w:rFonts w:ascii="Times New Roman" w:eastAsia="Times New Roman" w:hAnsi="Times New Roman" w:cs="Times New Roman"/>
      <w:color w:val="000000"/>
      <w:spacing w:val="0"/>
      <w:w w:val="100"/>
      <w:position w:val="0"/>
      <w:sz w:val="24"/>
      <w:szCs w:val="24"/>
      <w:shd w:val="clear" w:color="auto" w:fill="FFFFFF"/>
      <w:lang w:val="bg-BG" w:eastAsia="bg-BG" w:bidi="bg-BG"/>
    </w:rPr>
  </w:style>
  <w:style w:type="character" w:customStyle="1" w:styleId="Bodytext7115ptNotItalic">
    <w:name w:val="Body text (7) + 11.5 pt;Not Italic"/>
    <w:basedOn w:val="Bodytext7"/>
    <w:rsid w:val="00897511"/>
    <w:rPr>
      <w:rFonts w:ascii="Times New Roman" w:eastAsia="Times New Roman" w:hAnsi="Times New Roman" w:cs="Times New Roman"/>
      <w:b w:val="0"/>
      <w:bCs w:val="0"/>
      <w:i/>
      <w:iCs/>
      <w:smallCaps w:val="0"/>
      <w:strike w:val="0"/>
      <w:color w:val="000000"/>
      <w:spacing w:val="0"/>
      <w:w w:val="100"/>
      <w:position w:val="0"/>
      <w:sz w:val="23"/>
      <w:szCs w:val="23"/>
      <w:u w:val="none"/>
      <w:lang w:val="bg-BG" w:eastAsia="bg-BG" w:bidi="bg-BG"/>
    </w:rPr>
  </w:style>
  <w:style w:type="character" w:customStyle="1" w:styleId="Picturecaption5">
    <w:name w:val="Picture caption (5)_"/>
    <w:basedOn w:val="DefaultParagraphFont"/>
    <w:rsid w:val="00897511"/>
    <w:rPr>
      <w:rFonts w:ascii="Times New Roman" w:eastAsia="Times New Roman" w:hAnsi="Times New Roman" w:cs="Times New Roman"/>
      <w:b w:val="0"/>
      <w:bCs w:val="0"/>
      <w:i w:val="0"/>
      <w:iCs w:val="0"/>
      <w:smallCaps w:val="0"/>
      <w:strike w:val="0"/>
      <w:sz w:val="19"/>
      <w:szCs w:val="19"/>
      <w:u w:val="none"/>
    </w:rPr>
  </w:style>
  <w:style w:type="character" w:customStyle="1" w:styleId="Picturecaption50">
    <w:name w:val="Picture caption (5)"/>
    <w:basedOn w:val="Picturecaption5"/>
    <w:rsid w:val="00897511"/>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bg-BG" w:eastAsia="bg-BG" w:bidi="bg-BG"/>
    </w:rPr>
  </w:style>
  <w:style w:type="character" w:customStyle="1" w:styleId="Picturecaption5Sylfaen20ptItalic">
    <w:name w:val="Picture caption (5) + Sylfaen;20 pt;Italic"/>
    <w:basedOn w:val="Picturecaption5"/>
    <w:rsid w:val="00897511"/>
    <w:rPr>
      <w:rFonts w:ascii="Sylfaen" w:eastAsia="Sylfaen" w:hAnsi="Sylfaen" w:cs="Sylfaen"/>
      <w:b w:val="0"/>
      <w:bCs w:val="0"/>
      <w:i/>
      <w:iCs/>
      <w:smallCaps w:val="0"/>
      <w:strike w:val="0"/>
      <w:color w:val="000000"/>
      <w:spacing w:val="0"/>
      <w:w w:val="100"/>
      <w:position w:val="0"/>
      <w:sz w:val="40"/>
      <w:szCs w:val="40"/>
      <w:u w:val="none"/>
      <w:lang w:val="bg-BG" w:eastAsia="bg-BG" w:bidi="bg-BG"/>
    </w:rPr>
  </w:style>
  <w:style w:type="character" w:customStyle="1" w:styleId="Picturecaption510pt">
    <w:name w:val="Picture caption (5) + 10 pt"/>
    <w:basedOn w:val="Picturecaption5"/>
    <w:rsid w:val="0089751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bg-BG" w:eastAsia="bg-BG" w:bidi="bg-BG"/>
    </w:rPr>
  </w:style>
  <w:style w:type="character" w:customStyle="1" w:styleId="Bodytext210ptItalic">
    <w:name w:val="Body text (2) + 10 pt;Italic"/>
    <w:basedOn w:val="Bodytext2"/>
    <w:rsid w:val="00897511"/>
    <w:rPr>
      <w:rFonts w:ascii="Times New Roman" w:eastAsia="Times New Roman" w:hAnsi="Times New Roman" w:cs="Times New Roman"/>
      <w:b w:val="0"/>
      <w:bCs w:val="0"/>
      <w:i/>
      <w:iCs/>
      <w:smallCaps w:val="0"/>
      <w:strike w:val="0"/>
      <w:color w:val="000000"/>
      <w:spacing w:val="0"/>
      <w:w w:val="100"/>
      <w:position w:val="0"/>
      <w:sz w:val="20"/>
      <w:szCs w:val="20"/>
      <w:u w:val="none"/>
      <w:lang w:val="bg-BG" w:eastAsia="bg-BG" w:bidi="bg-BG"/>
    </w:rPr>
  </w:style>
  <w:style w:type="character" w:customStyle="1" w:styleId="Bodytext210ptSpacing-1pt">
    <w:name w:val="Body text (2) + 10 pt;Spacing -1 pt"/>
    <w:basedOn w:val="Bodytext2"/>
    <w:rsid w:val="00897511"/>
    <w:rPr>
      <w:rFonts w:ascii="Times New Roman" w:eastAsia="Times New Roman" w:hAnsi="Times New Roman" w:cs="Times New Roman"/>
      <w:b w:val="0"/>
      <w:bCs w:val="0"/>
      <w:i w:val="0"/>
      <w:iCs w:val="0"/>
      <w:smallCaps w:val="0"/>
      <w:strike w:val="0"/>
      <w:color w:val="000000"/>
      <w:spacing w:val="-20"/>
      <w:w w:val="100"/>
      <w:position w:val="0"/>
      <w:sz w:val="20"/>
      <w:szCs w:val="20"/>
      <w:u w:val="none"/>
      <w:lang w:val="bg-BG" w:eastAsia="bg-BG" w:bidi="bg-BG"/>
    </w:rPr>
  </w:style>
  <w:style w:type="character" w:customStyle="1" w:styleId="Bodytext4NotBoldItalic">
    <w:name w:val="Body text (4) + Not Bold;Italic"/>
    <w:basedOn w:val="Bodytext4"/>
    <w:rsid w:val="00897511"/>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Bodytext4NotBold">
    <w:name w:val="Body text (4) + Not Bold"/>
    <w:basedOn w:val="Bodytext4"/>
    <w:rsid w:val="00897511"/>
    <w:rPr>
      <w:rFonts w:ascii="Times New Roman" w:eastAsia="Times New Roman" w:hAnsi="Times New Roman" w:cs="Times New Roman"/>
      <w:b/>
      <w:bCs/>
      <w:i w:val="0"/>
      <w:iCs w:val="0"/>
      <w:smallCaps w:val="0"/>
      <w:strike w:val="0"/>
      <w:color w:val="000000"/>
      <w:spacing w:val="0"/>
      <w:w w:val="100"/>
      <w:position w:val="0"/>
      <w:sz w:val="24"/>
      <w:szCs w:val="24"/>
      <w:u w:val="none"/>
      <w:lang w:val="bg-BG" w:eastAsia="bg-BG" w:bidi="bg-BG"/>
    </w:rPr>
  </w:style>
  <w:style w:type="character" w:customStyle="1" w:styleId="Heading6NotBoldItalic">
    <w:name w:val="Heading #6 + Not Bold;Italic"/>
    <w:basedOn w:val="Heading60"/>
    <w:rsid w:val="00897511"/>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Bodytext210ptBoldItalic">
    <w:name w:val="Body text (2) + 10 pt;Bold;Italic"/>
    <w:basedOn w:val="Bodytext2"/>
    <w:rsid w:val="00897511"/>
    <w:rPr>
      <w:rFonts w:ascii="Times New Roman" w:eastAsia="Times New Roman" w:hAnsi="Times New Roman" w:cs="Times New Roman"/>
      <w:b/>
      <w:bCs/>
      <w:i/>
      <w:iCs/>
      <w:smallCaps w:val="0"/>
      <w:strike w:val="0"/>
      <w:color w:val="000000"/>
      <w:spacing w:val="0"/>
      <w:w w:val="100"/>
      <w:position w:val="0"/>
      <w:sz w:val="20"/>
      <w:szCs w:val="20"/>
      <w:u w:val="none"/>
      <w:lang w:val="bg-BG" w:eastAsia="bg-BG" w:bidi="bg-BG"/>
    </w:rPr>
  </w:style>
  <w:style w:type="character" w:customStyle="1" w:styleId="Bodytext28">
    <w:name w:val="Body text (28)_"/>
    <w:basedOn w:val="DefaultParagraphFont"/>
    <w:rsid w:val="00897511"/>
    <w:rPr>
      <w:rFonts w:ascii="Times New Roman" w:eastAsia="Times New Roman" w:hAnsi="Times New Roman" w:cs="Times New Roman"/>
      <w:b/>
      <w:bCs/>
      <w:i w:val="0"/>
      <w:iCs w:val="0"/>
      <w:smallCaps w:val="0"/>
      <w:strike w:val="0"/>
      <w:sz w:val="19"/>
      <w:szCs w:val="19"/>
      <w:u w:val="none"/>
    </w:rPr>
  </w:style>
  <w:style w:type="character" w:customStyle="1" w:styleId="Bodytext280">
    <w:name w:val="Body text (28)"/>
    <w:basedOn w:val="Bodytext28"/>
    <w:rsid w:val="00897511"/>
    <w:rPr>
      <w:rFonts w:ascii="Times New Roman" w:eastAsia="Times New Roman" w:hAnsi="Times New Roman" w:cs="Times New Roman"/>
      <w:b/>
      <w:bCs/>
      <w:i w:val="0"/>
      <w:iCs w:val="0"/>
      <w:smallCaps w:val="0"/>
      <w:strike w:val="0"/>
      <w:color w:val="000000"/>
      <w:spacing w:val="0"/>
      <w:w w:val="100"/>
      <w:position w:val="0"/>
      <w:sz w:val="19"/>
      <w:szCs w:val="19"/>
      <w:u w:val="none"/>
      <w:lang w:val="bg-BG" w:eastAsia="bg-BG" w:bidi="bg-BG"/>
    </w:rPr>
  </w:style>
  <w:style w:type="character" w:customStyle="1" w:styleId="Bodytext2113ptScale20">
    <w:name w:val="Body text (21) + 13 pt;Scale 20%"/>
    <w:basedOn w:val="Bodytext21"/>
    <w:rsid w:val="00897511"/>
    <w:rPr>
      <w:rFonts w:ascii="Times New Roman" w:eastAsia="Times New Roman" w:hAnsi="Times New Roman" w:cs="Times New Roman"/>
      <w:b/>
      <w:bCs/>
      <w:i w:val="0"/>
      <w:iCs w:val="0"/>
      <w:smallCaps w:val="0"/>
      <w:strike w:val="0"/>
      <w:color w:val="000000"/>
      <w:spacing w:val="0"/>
      <w:w w:val="20"/>
      <w:position w:val="0"/>
      <w:sz w:val="26"/>
      <w:szCs w:val="26"/>
      <w:u w:val="none"/>
      <w:lang w:val="bg-BG" w:eastAsia="bg-BG" w:bidi="bg-BG"/>
    </w:rPr>
  </w:style>
  <w:style w:type="character" w:customStyle="1" w:styleId="Heading10">
    <w:name w:val="Heading #1_"/>
    <w:basedOn w:val="DefaultParagraphFont"/>
    <w:rsid w:val="00897511"/>
    <w:rPr>
      <w:rFonts w:ascii="Times New Roman" w:eastAsia="Times New Roman" w:hAnsi="Times New Roman" w:cs="Times New Roman"/>
      <w:b w:val="0"/>
      <w:bCs w:val="0"/>
      <w:i w:val="0"/>
      <w:iCs w:val="0"/>
      <w:smallCaps w:val="0"/>
      <w:strike w:val="0"/>
      <w:sz w:val="50"/>
      <w:szCs w:val="50"/>
      <w:u w:val="none"/>
    </w:rPr>
  </w:style>
  <w:style w:type="character" w:customStyle="1" w:styleId="Heading11">
    <w:name w:val="Heading #1"/>
    <w:basedOn w:val="Heading10"/>
    <w:rsid w:val="00897511"/>
    <w:rPr>
      <w:rFonts w:ascii="Times New Roman" w:eastAsia="Times New Roman" w:hAnsi="Times New Roman" w:cs="Times New Roman"/>
      <w:b w:val="0"/>
      <w:bCs w:val="0"/>
      <w:i w:val="0"/>
      <w:iCs w:val="0"/>
      <w:smallCaps w:val="0"/>
      <w:strike w:val="0"/>
      <w:color w:val="000000"/>
      <w:spacing w:val="0"/>
      <w:w w:val="100"/>
      <w:position w:val="0"/>
      <w:sz w:val="50"/>
      <w:szCs w:val="50"/>
      <w:u w:val="none"/>
      <w:lang w:val="bg-BG" w:eastAsia="bg-BG" w:bidi="bg-BG"/>
    </w:rPr>
  </w:style>
  <w:style w:type="character" w:customStyle="1" w:styleId="Bodytext2165ptNotBoldItalicScale66">
    <w:name w:val="Body text (21) + 6.5 pt;Not Bold;Italic;Scale 66%"/>
    <w:basedOn w:val="Bodytext21"/>
    <w:rsid w:val="00897511"/>
    <w:rPr>
      <w:rFonts w:ascii="Times New Roman" w:eastAsia="Times New Roman" w:hAnsi="Times New Roman" w:cs="Times New Roman"/>
      <w:b/>
      <w:bCs/>
      <w:i/>
      <w:iCs/>
      <w:smallCaps w:val="0"/>
      <w:strike w:val="0"/>
      <w:color w:val="000000"/>
      <w:spacing w:val="0"/>
      <w:w w:val="66"/>
      <w:position w:val="0"/>
      <w:sz w:val="13"/>
      <w:szCs w:val="13"/>
      <w:u w:val="none"/>
      <w:lang w:val="bg-BG" w:eastAsia="bg-BG" w:bidi="bg-BG"/>
    </w:rPr>
  </w:style>
  <w:style w:type="character" w:customStyle="1" w:styleId="Heading12">
    <w:name w:val="Heading #1 (2)_"/>
    <w:basedOn w:val="DefaultParagraphFont"/>
    <w:rsid w:val="00897511"/>
    <w:rPr>
      <w:rFonts w:ascii="Times New Roman" w:eastAsia="Times New Roman" w:hAnsi="Times New Roman" w:cs="Times New Roman"/>
      <w:b w:val="0"/>
      <w:bCs w:val="0"/>
      <w:i w:val="0"/>
      <w:iCs w:val="0"/>
      <w:smallCaps w:val="0"/>
      <w:strike w:val="0"/>
      <w:sz w:val="50"/>
      <w:szCs w:val="50"/>
      <w:u w:val="none"/>
    </w:rPr>
  </w:style>
  <w:style w:type="character" w:customStyle="1" w:styleId="Heading120">
    <w:name w:val="Heading #1 (2)"/>
    <w:basedOn w:val="Heading12"/>
    <w:rsid w:val="00897511"/>
    <w:rPr>
      <w:rFonts w:ascii="Times New Roman" w:eastAsia="Times New Roman" w:hAnsi="Times New Roman" w:cs="Times New Roman"/>
      <w:b w:val="0"/>
      <w:bCs w:val="0"/>
      <w:i w:val="0"/>
      <w:iCs w:val="0"/>
      <w:smallCaps w:val="0"/>
      <w:strike w:val="0"/>
      <w:color w:val="000000"/>
      <w:spacing w:val="0"/>
      <w:w w:val="100"/>
      <w:position w:val="0"/>
      <w:sz w:val="50"/>
      <w:szCs w:val="50"/>
      <w:u w:val="none"/>
      <w:lang w:val="bg-BG" w:eastAsia="bg-BG" w:bidi="bg-BG"/>
    </w:rPr>
  </w:style>
  <w:style w:type="character" w:customStyle="1" w:styleId="Heading6115ptItalic">
    <w:name w:val="Heading #6 + 11.5 pt;Italic"/>
    <w:basedOn w:val="Heading60"/>
    <w:rsid w:val="00897511"/>
    <w:rPr>
      <w:rFonts w:ascii="Times New Roman" w:eastAsia="Times New Roman" w:hAnsi="Times New Roman" w:cs="Times New Roman"/>
      <w:b/>
      <w:bCs/>
      <w:i/>
      <w:iCs/>
      <w:smallCaps w:val="0"/>
      <w:strike w:val="0"/>
      <w:color w:val="000000"/>
      <w:spacing w:val="0"/>
      <w:w w:val="100"/>
      <w:position w:val="0"/>
      <w:sz w:val="23"/>
      <w:szCs w:val="23"/>
      <w:u w:val="none"/>
      <w:lang w:val="bg-BG" w:eastAsia="bg-BG" w:bidi="bg-BG"/>
    </w:rPr>
  </w:style>
  <w:style w:type="character" w:customStyle="1" w:styleId="Bodytext29">
    <w:name w:val="Body text (29)_"/>
    <w:basedOn w:val="DefaultParagraphFont"/>
    <w:link w:val="Bodytext290"/>
    <w:rsid w:val="00897511"/>
    <w:rPr>
      <w:rFonts w:ascii="Times New Roman" w:eastAsia="Times New Roman" w:hAnsi="Times New Roman" w:cs="Times New Roman"/>
      <w:b/>
      <w:bCs/>
      <w:i/>
      <w:iCs/>
      <w:sz w:val="18"/>
      <w:szCs w:val="18"/>
      <w:shd w:val="clear" w:color="auto" w:fill="FFFFFF"/>
    </w:rPr>
  </w:style>
  <w:style w:type="paragraph" w:customStyle="1" w:styleId="Bodytext290">
    <w:name w:val="Body text (29)"/>
    <w:basedOn w:val="Normal"/>
    <w:link w:val="Bodytext29"/>
    <w:qFormat/>
    <w:rsid w:val="00897511"/>
    <w:pPr>
      <w:widowControl w:val="0"/>
      <w:shd w:val="clear" w:color="auto" w:fill="FFFFFF"/>
      <w:spacing w:after="0" w:line="0" w:lineRule="atLeast"/>
    </w:pPr>
    <w:rPr>
      <w:rFonts w:eastAsia="Times New Roman" w:cs="Times New Roman"/>
      <w:b/>
      <w:bCs/>
      <w:i/>
      <w:iCs/>
      <w:sz w:val="18"/>
      <w:szCs w:val="18"/>
    </w:rPr>
  </w:style>
  <w:style w:type="character" w:customStyle="1" w:styleId="Bodytext2912ptNotBold">
    <w:name w:val="Body text (29) + 12 pt;Not Bold"/>
    <w:basedOn w:val="Bodytext29"/>
    <w:rsid w:val="00897511"/>
    <w:rPr>
      <w:rFonts w:ascii="Times New Roman" w:eastAsia="Times New Roman" w:hAnsi="Times New Roman" w:cs="Times New Roman"/>
      <w:b/>
      <w:bCs/>
      <w:i/>
      <w:iCs/>
      <w:color w:val="000000"/>
      <w:spacing w:val="0"/>
      <w:w w:val="100"/>
      <w:position w:val="0"/>
      <w:sz w:val="24"/>
      <w:szCs w:val="24"/>
      <w:shd w:val="clear" w:color="auto" w:fill="FFFFFF"/>
      <w:lang w:val="bg-BG" w:eastAsia="bg-BG" w:bidi="bg-BG"/>
    </w:rPr>
  </w:style>
  <w:style w:type="character" w:customStyle="1" w:styleId="Bodytext1112ptNotBoldItalic">
    <w:name w:val="Body text (11) + 12 pt;Not Bold;Italic"/>
    <w:basedOn w:val="Bodytext110"/>
    <w:rsid w:val="00897511"/>
    <w:rPr>
      <w:rFonts w:ascii="Times New Roman" w:eastAsia="Times New Roman" w:hAnsi="Times New Roman" w:cs="Times New Roman"/>
      <w:b/>
      <w:bCs/>
      <w:i/>
      <w:iCs/>
      <w:smallCaps w:val="0"/>
      <w:strike w:val="0"/>
      <w:sz w:val="24"/>
      <w:szCs w:val="24"/>
      <w:u w:val="none"/>
    </w:rPr>
  </w:style>
  <w:style w:type="character" w:customStyle="1" w:styleId="Bodytext110">
    <w:name w:val="Body text (11)_"/>
    <w:basedOn w:val="DefaultParagraphFont"/>
    <w:rsid w:val="00897511"/>
    <w:rPr>
      <w:rFonts w:ascii="Times New Roman" w:eastAsia="Times New Roman" w:hAnsi="Times New Roman" w:cs="Times New Roman"/>
      <w:b/>
      <w:bCs/>
      <w:i w:val="0"/>
      <w:iCs w:val="0"/>
      <w:smallCaps w:val="0"/>
      <w:strike w:val="0"/>
      <w:sz w:val="18"/>
      <w:szCs w:val="18"/>
      <w:u w:val="none"/>
    </w:rPr>
  </w:style>
  <w:style w:type="character" w:customStyle="1" w:styleId="Bodytext1112ptNotBold">
    <w:name w:val="Body text (11) + 12 pt;Not Bold"/>
    <w:basedOn w:val="Bodytext110"/>
    <w:rsid w:val="00897511"/>
    <w:rPr>
      <w:rFonts w:ascii="Times New Roman" w:eastAsia="Times New Roman" w:hAnsi="Times New Roman" w:cs="Times New Roman"/>
      <w:b/>
      <w:bCs/>
      <w:i w:val="0"/>
      <w:iCs w:val="0"/>
      <w:smallCaps w:val="0"/>
      <w:strike w:val="0"/>
      <w:sz w:val="24"/>
      <w:szCs w:val="24"/>
      <w:u w:val="none"/>
    </w:rPr>
  </w:style>
  <w:style w:type="character" w:customStyle="1" w:styleId="Picturecaption6">
    <w:name w:val="Picture caption (6)_"/>
    <w:basedOn w:val="DefaultParagraphFont"/>
    <w:rsid w:val="00897511"/>
    <w:rPr>
      <w:rFonts w:ascii="Times New Roman" w:eastAsia="Times New Roman" w:hAnsi="Times New Roman" w:cs="Times New Roman"/>
      <w:b w:val="0"/>
      <w:bCs w:val="0"/>
      <w:i w:val="0"/>
      <w:iCs w:val="0"/>
      <w:smallCaps w:val="0"/>
      <w:strike w:val="0"/>
      <w:sz w:val="15"/>
      <w:szCs w:val="15"/>
      <w:u w:val="none"/>
    </w:rPr>
  </w:style>
  <w:style w:type="character" w:customStyle="1" w:styleId="Picturecaption60">
    <w:name w:val="Picture caption (6)"/>
    <w:basedOn w:val="Picturecaption6"/>
    <w:rsid w:val="00897511"/>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bg-BG" w:eastAsia="bg-BG" w:bidi="bg-BG"/>
    </w:rPr>
  </w:style>
  <w:style w:type="character" w:customStyle="1" w:styleId="Bodytext79ptBoldNotItalic">
    <w:name w:val="Body text (7) + 9 pt;Bold;Not Italic"/>
    <w:basedOn w:val="Bodytext7"/>
    <w:rsid w:val="00897511"/>
    <w:rPr>
      <w:rFonts w:ascii="Times New Roman" w:eastAsia="Times New Roman" w:hAnsi="Times New Roman" w:cs="Times New Roman"/>
      <w:b/>
      <w:bCs/>
      <w:i/>
      <w:iCs/>
      <w:smallCaps w:val="0"/>
      <w:strike w:val="0"/>
      <w:color w:val="000000"/>
      <w:spacing w:val="0"/>
      <w:w w:val="100"/>
      <w:position w:val="0"/>
      <w:sz w:val="18"/>
      <w:szCs w:val="18"/>
      <w:u w:val="single"/>
      <w:lang w:val="bg-BG" w:eastAsia="bg-BG" w:bidi="bg-BG"/>
    </w:rPr>
  </w:style>
  <w:style w:type="character" w:customStyle="1" w:styleId="Bodytext2Tahoma4pt">
    <w:name w:val="Body text (2) + Tahoma;4 pt"/>
    <w:basedOn w:val="Bodytext2"/>
    <w:rsid w:val="00897511"/>
    <w:rPr>
      <w:rFonts w:ascii="Tahoma" w:eastAsia="Tahoma" w:hAnsi="Tahoma" w:cs="Tahoma"/>
      <w:b w:val="0"/>
      <w:bCs w:val="0"/>
      <w:i w:val="0"/>
      <w:iCs w:val="0"/>
      <w:smallCaps w:val="0"/>
      <w:strike w:val="0"/>
      <w:color w:val="000000"/>
      <w:spacing w:val="0"/>
      <w:w w:val="100"/>
      <w:position w:val="0"/>
      <w:sz w:val="8"/>
      <w:szCs w:val="8"/>
      <w:u w:val="none"/>
      <w:lang w:val="en-US" w:eastAsia="en-US" w:bidi="en-US"/>
    </w:rPr>
  </w:style>
  <w:style w:type="character" w:customStyle="1" w:styleId="Bodytext2PalatinoLinotype6ptSpacing0pt">
    <w:name w:val="Body text (2) + Palatino Linotype;6 pt;Spacing 0 pt"/>
    <w:basedOn w:val="Bodytext2"/>
    <w:rsid w:val="00897511"/>
    <w:rPr>
      <w:rFonts w:ascii="Palatino Linotype" w:eastAsia="Palatino Linotype" w:hAnsi="Palatino Linotype" w:cs="Palatino Linotype"/>
      <w:b w:val="0"/>
      <w:bCs w:val="0"/>
      <w:i w:val="0"/>
      <w:iCs w:val="0"/>
      <w:smallCaps w:val="0"/>
      <w:strike w:val="0"/>
      <w:color w:val="000000"/>
      <w:spacing w:val="-10"/>
      <w:w w:val="100"/>
      <w:position w:val="0"/>
      <w:sz w:val="12"/>
      <w:szCs w:val="12"/>
      <w:u w:val="none"/>
      <w:lang w:val="bg-BG" w:eastAsia="bg-BG" w:bidi="bg-BG"/>
    </w:rPr>
  </w:style>
  <w:style w:type="character" w:customStyle="1" w:styleId="Bodytext2PalatinoLinotype75ptItalicSpacing0pt">
    <w:name w:val="Body text (2) + Palatino Linotype;7.5 pt;Italic;Spacing 0 pt"/>
    <w:basedOn w:val="Bodytext2"/>
    <w:rsid w:val="00897511"/>
    <w:rPr>
      <w:rFonts w:ascii="Palatino Linotype" w:eastAsia="Palatino Linotype" w:hAnsi="Palatino Linotype" w:cs="Palatino Linotype"/>
      <w:b w:val="0"/>
      <w:bCs w:val="0"/>
      <w:i/>
      <w:iCs/>
      <w:smallCaps w:val="0"/>
      <w:strike w:val="0"/>
      <w:color w:val="000000"/>
      <w:spacing w:val="-10"/>
      <w:w w:val="100"/>
      <w:position w:val="0"/>
      <w:sz w:val="15"/>
      <w:szCs w:val="15"/>
      <w:u w:val="none"/>
      <w:lang w:val="bg-BG" w:eastAsia="bg-BG" w:bidi="bg-BG"/>
    </w:rPr>
  </w:style>
  <w:style w:type="character" w:customStyle="1" w:styleId="Bodytext2Calibri6pt">
    <w:name w:val="Body text (2) + Calibri;6 pt"/>
    <w:basedOn w:val="Bodytext2"/>
    <w:rsid w:val="00897511"/>
    <w:rPr>
      <w:rFonts w:ascii="Calibri" w:eastAsia="Calibri" w:hAnsi="Calibri" w:cs="Calibri"/>
      <w:b w:val="0"/>
      <w:bCs w:val="0"/>
      <w:i w:val="0"/>
      <w:iCs w:val="0"/>
      <w:smallCaps w:val="0"/>
      <w:strike w:val="0"/>
      <w:color w:val="000000"/>
      <w:spacing w:val="0"/>
      <w:w w:val="100"/>
      <w:position w:val="0"/>
      <w:sz w:val="12"/>
      <w:szCs w:val="12"/>
      <w:u w:val="none"/>
      <w:lang w:val="bg-BG" w:eastAsia="bg-BG" w:bidi="bg-BG"/>
    </w:rPr>
  </w:style>
  <w:style w:type="character" w:customStyle="1" w:styleId="Bodytext211ptBoldItalicScale70">
    <w:name w:val="Body text (2) + 11 pt;Bold;Italic;Scale 70%"/>
    <w:basedOn w:val="Bodytext2"/>
    <w:rsid w:val="00897511"/>
    <w:rPr>
      <w:rFonts w:ascii="Times New Roman" w:eastAsia="Times New Roman" w:hAnsi="Times New Roman" w:cs="Times New Roman"/>
      <w:b/>
      <w:bCs/>
      <w:i/>
      <w:iCs/>
      <w:smallCaps w:val="0"/>
      <w:strike w:val="0"/>
      <w:color w:val="000000"/>
      <w:spacing w:val="0"/>
      <w:w w:val="70"/>
      <w:position w:val="0"/>
      <w:sz w:val="22"/>
      <w:szCs w:val="22"/>
      <w:u w:val="none"/>
      <w:lang w:val="bg-BG" w:eastAsia="bg-BG" w:bidi="bg-BG"/>
    </w:rPr>
  </w:style>
  <w:style w:type="character" w:customStyle="1" w:styleId="Tablecaption5">
    <w:name w:val="Table caption (5)_"/>
    <w:basedOn w:val="DefaultParagraphFont"/>
    <w:rsid w:val="00897511"/>
    <w:rPr>
      <w:rFonts w:ascii="Times New Roman" w:eastAsia="Times New Roman" w:hAnsi="Times New Roman" w:cs="Times New Roman"/>
      <w:b/>
      <w:bCs/>
      <w:i w:val="0"/>
      <w:iCs w:val="0"/>
      <w:smallCaps w:val="0"/>
      <w:strike w:val="0"/>
      <w:sz w:val="18"/>
      <w:szCs w:val="18"/>
      <w:u w:val="none"/>
    </w:rPr>
  </w:style>
  <w:style w:type="character" w:customStyle="1" w:styleId="Tablecaption512ptNotBoldItalic">
    <w:name w:val="Table caption (5) + 12 pt;Not Bold;Italic"/>
    <w:basedOn w:val="Tablecaption5"/>
    <w:rsid w:val="00897511"/>
    <w:rPr>
      <w:rFonts w:ascii="Times New Roman" w:eastAsia="Times New Roman" w:hAnsi="Times New Roman" w:cs="Times New Roman"/>
      <w:b/>
      <w:bCs/>
      <w:i/>
      <w:iCs/>
      <w:smallCaps w:val="0"/>
      <w:strike w:val="0"/>
      <w:color w:val="000000"/>
      <w:spacing w:val="0"/>
      <w:w w:val="100"/>
      <w:position w:val="0"/>
      <w:sz w:val="24"/>
      <w:szCs w:val="24"/>
      <w:u w:val="single"/>
      <w:lang w:val="bg-BG" w:eastAsia="bg-BG" w:bidi="bg-BG"/>
    </w:rPr>
  </w:style>
  <w:style w:type="character" w:customStyle="1" w:styleId="Tablecaption512ptNotBold">
    <w:name w:val="Table caption (5) + 12 pt;Not Bold"/>
    <w:basedOn w:val="Tablecaption5"/>
    <w:rsid w:val="0089751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Tablecaption50">
    <w:name w:val="Table caption (5)"/>
    <w:basedOn w:val="Tablecaption5"/>
    <w:rsid w:val="00897511"/>
    <w:rPr>
      <w:rFonts w:ascii="Times New Roman" w:eastAsia="Times New Roman" w:hAnsi="Times New Roman" w:cs="Times New Roman"/>
      <w:b/>
      <w:bCs/>
      <w:i w:val="0"/>
      <w:iCs w:val="0"/>
      <w:smallCaps w:val="0"/>
      <w:strike w:val="0"/>
      <w:color w:val="000000"/>
      <w:spacing w:val="0"/>
      <w:w w:val="100"/>
      <w:position w:val="0"/>
      <w:sz w:val="18"/>
      <w:szCs w:val="18"/>
      <w:u w:val="single"/>
      <w:lang w:val="bg-BG" w:eastAsia="bg-BG" w:bidi="bg-BG"/>
    </w:rPr>
  </w:style>
  <w:style w:type="character" w:customStyle="1" w:styleId="Bodytext278ptBoldSpacing-4pt">
    <w:name w:val="Body text (2) + 78 pt;Bold;Spacing -4 pt"/>
    <w:basedOn w:val="Bodytext2"/>
    <w:rsid w:val="00897511"/>
    <w:rPr>
      <w:rFonts w:ascii="Times New Roman" w:eastAsia="Times New Roman" w:hAnsi="Times New Roman" w:cs="Times New Roman"/>
      <w:b/>
      <w:bCs/>
      <w:i w:val="0"/>
      <w:iCs w:val="0"/>
      <w:smallCaps w:val="0"/>
      <w:strike w:val="0"/>
      <w:color w:val="000000"/>
      <w:spacing w:val="-90"/>
      <w:w w:val="100"/>
      <w:position w:val="0"/>
      <w:sz w:val="156"/>
      <w:szCs w:val="156"/>
      <w:u w:val="none"/>
      <w:lang w:val="en-US" w:eastAsia="en-US" w:bidi="en-US"/>
    </w:rPr>
  </w:style>
  <w:style w:type="character" w:customStyle="1" w:styleId="Bodytext265ptBoldItalic">
    <w:name w:val="Body text (2) + 6.5 pt;Bold;Italic"/>
    <w:basedOn w:val="Bodytext2"/>
    <w:rsid w:val="00897511"/>
    <w:rPr>
      <w:rFonts w:ascii="Times New Roman" w:eastAsia="Times New Roman" w:hAnsi="Times New Roman" w:cs="Times New Roman"/>
      <w:b/>
      <w:bCs/>
      <w:i/>
      <w:iCs/>
      <w:smallCaps w:val="0"/>
      <w:strike w:val="0"/>
      <w:color w:val="000000"/>
      <w:spacing w:val="0"/>
      <w:w w:val="100"/>
      <w:position w:val="0"/>
      <w:sz w:val="13"/>
      <w:szCs w:val="13"/>
      <w:u w:val="none"/>
      <w:lang w:val="en-US" w:eastAsia="en-US" w:bidi="en-US"/>
    </w:rPr>
  </w:style>
  <w:style w:type="character" w:customStyle="1" w:styleId="Bodytext2FranklinGothicHeavy7ptItalic">
    <w:name w:val="Body text (2) + Franklin Gothic Heavy;7 pt;Italic"/>
    <w:basedOn w:val="Bodytext2"/>
    <w:rsid w:val="00897511"/>
    <w:rPr>
      <w:rFonts w:ascii="Franklin Gothic Heavy" w:eastAsia="Franklin Gothic Heavy" w:hAnsi="Franklin Gothic Heavy" w:cs="Franklin Gothic Heavy"/>
      <w:b/>
      <w:bCs/>
      <w:i/>
      <w:iCs/>
      <w:smallCaps w:val="0"/>
      <w:strike w:val="0"/>
      <w:color w:val="000000"/>
      <w:spacing w:val="0"/>
      <w:w w:val="100"/>
      <w:position w:val="0"/>
      <w:sz w:val="14"/>
      <w:szCs w:val="14"/>
      <w:u w:val="none"/>
      <w:lang w:val="en-US" w:eastAsia="en-US" w:bidi="en-US"/>
    </w:rPr>
  </w:style>
  <w:style w:type="character" w:customStyle="1" w:styleId="Bodytext278pt">
    <w:name w:val="Body text (2) + 78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156"/>
      <w:szCs w:val="156"/>
      <w:u w:val="none"/>
      <w:lang w:val="en-US" w:eastAsia="en-US" w:bidi="en-US"/>
    </w:rPr>
  </w:style>
  <w:style w:type="character" w:customStyle="1" w:styleId="Headerorfooter12pt">
    <w:name w:val="Header or footer + 12 pt"/>
    <w:basedOn w:val="Headerorfooter"/>
    <w:rsid w:val="0089751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Headerorfooter12ptNotItalic">
    <w:name w:val="Header or footer + 12 pt;Not Italic"/>
    <w:basedOn w:val="Headerorfooter"/>
    <w:rsid w:val="00897511"/>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character" w:customStyle="1" w:styleId="Headerorfooter9pt">
    <w:name w:val="Header or footer + 9 pt"/>
    <w:basedOn w:val="Headerorfooter"/>
    <w:rsid w:val="00897511"/>
    <w:rPr>
      <w:rFonts w:ascii="Times New Roman" w:eastAsia="Times New Roman" w:hAnsi="Times New Roman" w:cs="Times New Roman"/>
      <w:b w:val="0"/>
      <w:bCs w:val="0"/>
      <w:i/>
      <w:iCs/>
      <w:smallCaps w:val="0"/>
      <w:strike w:val="0"/>
      <w:color w:val="000000"/>
      <w:spacing w:val="0"/>
      <w:w w:val="100"/>
      <w:position w:val="0"/>
      <w:sz w:val="18"/>
      <w:szCs w:val="18"/>
      <w:u w:val="none"/>
      <w:lang w:val="bg-BG" w:eastAsia="bg-BG" w:bidi="bg-BG"/>
    </w:rPr>
  </w:style>
  <w:style w:type="character" w:customStyle="1" w:styleId="Headerorfooter9ptNotItalic">
    <w:name w:val="Header or footer + 9 pt;Not Italic"/>
    <w:basedOn w:val="Headerorfooter"/>
    <w:rsid w:val="00897511"/>
    <w:rPr>
      <w:rFonts w:ascii="Times New Roman" w:eastAsia="Times New Roman" w:hAnsi="Times New Roman" w:cs="Times New Roman"/>
      <w:b w:val="0"/>
      <w:bCs w:val="0"/>
      <w:i/>
      <w:iCs/>
      <w:smallCaps w:val="0"/>
      <w:strike w:val="0"/>
      <w:color w:val="000000"/>
      <w:spacing w:val="0"/>
      <w:w w:val="100"/>
      <w:position w:val="0"/>
      <w:sz w:val="18"/>
      <w:szCs w:val="18"/>
      <w:u w:val="none"/>
      <w:lang w:val="bg-BG" w:eastAsia="bg-BG" w:bidi="bg-BG"/>
    </w:rPr>
  </w:style>
  <w:style w:type="character" w:customStyle="1" w:styleId="Picturecaption7">
    <w:name w:val="Picture caption (7)"/>
    <w:basedOn w:val="DefaultParagraphFont"/>
    <w:rsid w:val="00897511"/>
    <w:rPr>
      <w:rFonts w:ascii="Times New Roman" w:eastAsia="Times New Roman" w:hAnsi="Times New Roman" w:cs="Times New Roman"/>
      <w:b w:val="0"/>
      <w:bCs w:val="0"/>
      <w:i w:val="0"/>
      <w:iCs w:val="0"/>
      <w:smallCaps w:val="0"/>
      <w:strike w:val="0"/>
      <w:sz w:val="19"/>
      <w:szCs w:val="19"/>
      <w:u w:val="none"/>
    </w:rPr>
  </w:style>
  <w:style w:type="character" w:customStyle="1" w:styleId="Headerorfooter85ptBold">
    <w:name w:val="Header or footer + 8.5 pt;Bold"/>
    <w:basedOn w:val="Headerorfooter"/>
    <w:rsid w:val="00897511"/>
    <w:rPr>
      <w:rFonts w:ascii="Times New Roman" w:eastAsia="Times New Roman" w:hAnsi="Times New Roman" w:cs="Times New Roman"/>
      <w:b/>
      <w:bCs/>
      <w:i/>
      <w:iCs/>
      <w:smallCaps w:val="0"/>
      <w:strike w:val="0"/>
      <w:color w:val="000000"/>
      <w:spacing w:val="0"/>
      <w:w w:val="100"/>
      <w:position w:val="0"/>
      <w:sz w:val="17"/>
      <w:szCs w:val="17"/>
      <w:u w:val="none"/>
      <w:lang w:val="bg-BG" w:eastAsia="bg-BG" w:bidi="bg-BG"/>
    </w:rPr>
  </w:style>
  <w:style w:type="character" w:customStyle="1" w:styleId="Bodytext2BoldSpacing0pt">
    <w:name w:val="Body text (2) + Bold;Spacing 0 pt"/>
    <w:basedOn w:val="Bodytext2"/>
    <w:rsid w:val="00897511"/>
    <w:rPr>
      <w:rFonts w:ascii="Times New Roman" w:eastAsia="Times New Roman" w:hAnsi="Times New Roman" w:cs="Times New Roman"/>
      <w:b/>
      <w:bCs/>
      <w:i w:val="0"/>
      <w:iCs w:val="0"/>
      <w:smallCaps w:val="0"/>
      <w:strike w:val="0"/>
      <w:color w:val="000000"/>
      <w:spacing w:val="-10"/>
      <w:w w:val="100"/>
      <w:position w:val="0"/>
      <w:sz w:val="24"/>
      <w:szCs w:val="24"/>
      <w:u w:val="none"/>
      <w:lang w:val="bg-BG" w:eastAsia="bg-BG" w:bidi="bg-BG"/>
    </w:rPr>
  </w:style>
  <w:style w:type="character" w:customStyle="1" w:styleId="Bodytext215ptItalic">
    <w:name w:val="Body text (2) + 15 pt;Italic"/>
    <w:basedOn w:val="Bodytext2"/>
    <w:rsid w:val="0089751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Bodytext221ptSpacing0pt">
    <w:name w:val="Body text (2) + 21 pt;Spacing 0 pt"/>
    <w:basedOn w:val="Bodytext2"/>
    <w:rsid w:val="00897511"/>
    <w:rPr>
      <w:rFonts w:ascii="Times New Roman" w:eastAsia="Times New Roman" w:hAnsi="Times New Roman" w:cs="Times New Roman"/>
      <w:b w:val="0"/>
      <w:bCs w:val="0"/>
      <w:i w:val="0"/>
      <w:iCs w:val="0"/>
      <w:smallCaps w:val="0"/>
      <w:strike w:val="0"/>
      <w:color w:val="000000"/>
      <w:spacing w:val="-10"/>
      <w:w w:val="100"/>
      <w:position w:val="0"/>
      <w:sz w:val="42"/>
      <w:szCs w:val="42"/>
      <w:u w:val="none"/>
      <w:lang w:val="bg-BG" w:eastAsia="bg-BG" w:bidi="bg-BG"/>
    </w:rPr>
  </w:style>
  <w:style w:type="character" w:customStyle="1" w:styleId="Picturecaption8">
    <w:name w:val="Picture caption (8)_"/>
    <w:basedOn w:val="DefaultParagraphFont"/>
    <w:link w:val="Picturecaption80"/>
    <w:rsid w:val="00897511"/>
    <w:rPr>
      <w:rFonts w:ascii="Times New Roman" w:eastAsia="Times New Roman" w:hAnsi="Times New Roman" w:cs="Times New Roman"/>
      <w:i/>
      <w:iCs/>
      <w:sz w:val="21"/>
      <w:szCs w:val="21"/>
      <w:shd w:val="clear" w:color="auto" w:fill="FFFFFF"/>
    </w:rPr>
  </w:style>
  <w:style w:type="paragraph" w:customStyle="1" w:styleId="Picturecaption80">
    <w:name w:val="Picture caption (8)"/>
    <w:basedOn w:val="Normal"/>
    <w:link w:val="Picturecaption8"/>
    <w:qFormat/>
    <w:rsid w:val="00897511"/>
    <w:pPr>
      <w:widowControl w:val="0"/>
      <w:shd w:val="clear" w:color="auto" w:fill="FFFFFF"/>
      <w:spacing w:after="0" w:line="0" w:lineRule="atLeast"/>
    </w:pPr>
    <w:rPr>
      <w:rFonts w:eastAsia="Times New Roman" w:cs="Times New Roman"/>
      <w:i/>
      <w:iCs/>
      <w:sz w:val="21"/>
      <w:szCs w:val="21"/>
    </w:rPr>
  </w:style>
  <w:style w:type="character" w:customStyle="1" w:styleId="Picturecaption70">
    <w:name w:val="Picture caption (7)_"/>
    <w:basedOn w:val="DefaultParagraphFont"/>
    <w:rsid w:val="00897511"/>
    <w:rPr>
      <w:rFonts w:ascii="Times New Roman" w:eastAsia="Times New Roman" w:hAnsi="Times New Roman" w:cs="Times New Roman"/>
      <w:b w:val="0"/>
      <w:bCs w:val="0"/>
      <w:i w:val="0"/>
      <w:iCs w:val="0"/>
      <w:smallCaps w:val="0"/>
      <w:strike w:val="0"/>
      <w:sz w:val="19"/>
      <w:szCs w:val="19"/>
      <w:u w:val="none"/>
    </w:rPr>
  </w:style>
  <w:style w:type="character" w:customStyle="1" w:styleId="Bodytext12Spacing0pt">
    <w:name w:val="Body text (12) + Spacing 0 pt"/>
    <w:basedOn w:val="Bodytext12"/>
    <w:rsid w:val="00897511"/>
    <w:rPr>
      <w:rFonts w:ascii="Times New Roman" w:eastAsia="Times New Roman" w:hAnsi="Times New Roman" w:cs="Times New Roman"/>
      <w:b w:val="0"/>
      <w:bCs w:val="0"/>
      <w:i w:val="0"/>
      <w:iCs w:val="0"/>
      <w:smallCaps w:val="0"/>
      <w:strike w:val="0"/>
      <w:color w:val="000000"/>
      <w:spacing w:val="10"/>
      <w:w w:val="100"/>
      <w:position w:val="0"/>
      <w:sz w:val="9"/>
      <w:szCs w:val="9"/>
      <w:u w:val="none"/>
      <w:lang w:val="bg-BG" w:eastAsia="bg-BG" w:bidi="bg-BG"/>
    </w:rPr>
  </w:style>
  <w:style w:type="character" w:customStyle="1" w:styleId="Bodytext300">
    <w:name w:val="Body text (30)_"/>
    <w:basedOn w:val="DefaultParagraphFont"/>
    <w:rsid w:val="00897511"/>
    <w:rPr>
      <w:rFonts w:ascii="Arial Narrow" w:eastAsia="Arial Narrow" w:hAnsi="Arial Narrow" w:cs="Arial Narrow"/>
      <w:b w:val="0"/>
      <w:bCs w:val="0"/>
      <w:i w:val="0"/>
      <w:iCs w:val="0"/>
      <w:smallCaps w:val="0"/>
      <w:strike w:val="0"/>
      <w:sz w:val="10"/>
      <w:szCs w:val="10"/>
      <w:u w:val="none"/>
    </w:rPr>
  </w:style>
  <w:style w:type="character" w:customStyle="1" w:styleId="Bodytext301">
    <w:name w:val="Body text (30)"/>
    <w:basedOn w:val="Bodytext300"/>
    <w:rsid w:val="00897511"/>
    <w:rPr>
      <w:rFonts w:ascii="Arial Narrow" w:eastAsia="Arial Narrow" w:hAnsi="Arial Narrow" w:cs="Arial Narrow"/>
      <w:b w:val="0"/>
      <w:bCs w:val="0"/>
      <w:i w:val="0"/>
      <w:iCs w:val="0"/>
      <w:smallCaps w:val="0"/>
      <w:strike w:val="0"/>
      <w:color w:val="000000"/>
      <w:spacing w:val="0"/>
      <w:w w:val="100"/>
      <w:position w:val="0"/>
      <w:sz w:val="10"/>
      <w:szCs w:val="10"/>
      <w:u w:val="none"/>
      <w:lang w:val="en-US" w:eastAsia="en-US" w:bidi="en-US"/>
    </w:rPr>
  </w:style>
  <w:style w:type="character" w:customStyle="1" w:styleId="Bodytext31">
    <w:name w:val="Body text (31)_"/>
    <w:basedOn w:val="DefaultParagraphFont"/>
    <w:link w:val="Bodytext310"/>
    <w:rsid w:val="00897511"/>
    <w:rPr>
      <w:sz w:val="13"/>
      <w:szCs w:val="13"/>
      <w:shd w:val="clear" w:color="auto" w:fill="FFFFFF"/>
    </w:rPr>
  </w:style>
  <w:style w:type="paragraph" w:customStyle="1" w:styleId="Bodytext310">
    <w:name w:val="Body text (31)"/>
    <w:basedOn w:val="Normal"/>
    <w:link w:val="Bodytext31"/>
    <w:qFormat/>
    <w:rsid w:val="00897511"/>
    <w:pPr>
      <w:widowControl w:val="0"/>
      <w:shd w:val="clear" w:color="auto" w:fill="FFFFFF"/>
      <w:spacing w:after="0" w:line="0" w:lineRule="atLeast"/>
    </w:pPr>
    <w:rPr>
      <w:sz w:val="13"/>
      <w:szCs w:val="13"/>
    </w:rPr>
  </w:style>
  <w:style w:type="character" w:customStyle="1" w:styleId="Bodytext31SmallCaps">
    <w:name w:val="Body text (31) + Small Caps"/>
    <w:basedOn w:val="Bodytext31"/>
    <w:rsid w:val="00897511"/>
    <w:rPr>
      <w:rFonts w:ascii="Microsoft Sans Serif" w:eastAsia="Microsoft Sans Serif" w:hAnsi="Microsoft Sans Serif" w:cs="Microsoft Sans Serif"/>
      <w:smallCaps/>
      <w:color w:val="000000"/>
      <w:spacing w:val="0"/>
      <w:w w:val="100"/>
      <w:position w:val="0"/>
      <w:sz w:val="13"/>
      <w:szCs w:val="13"/>
      <w:shd w:val="clear" w:color="auto" w:fill="FFFFFF"/>
      <w:lang w:val="bg-BG" w:eastAsia="bg-BG" w:bidi="bg-BG"/>
    </w:rPr>
  </w:style>
  <w:style w:type="character" w:customStyle="1" w:styleId="Bodytext32">
    <w:name w:val="Body text (32)_"/>
    <w:basedOn w:val="DefaultParagraphFont"/>
    <w:rsid w:val="00897511"/>
    <w:rPr>
      <w:rFonts w:ascii="Arial Narrow" w:eastAsia="Arial Narrow" w:hAnsi="Arial Narrow" w:cs="Arial Narrow"/>
      <w:b w:val="0"/>
      <w:bCs w:val="0"/>
      <w:i w:val="0"/>
      <w:iCs w:val="0"/>
      <w:smallCaps w:val="0"/>
      <w:strike w:val="0"/>
      <w:sz w:val="11"/>
      <w:szCs w:val="11"/>
      <w:u w:val="none"/>
    </w:rPr>
  </w:style>
  <w:style w:type="character" w:customStyle="1" w:styleId="Bodytext32TimesNewRoman12pt">
    <w:name w:val="Body text (32) + Times New Roman;12 pt"/>
    <w:basedOn w:val="Bodytext32"/>
    <w:rsid w:val="0089751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bg-BG" w:eastAsia="bg-BG" w:bidi="bg-BG"/>
    </w:rPr>
  </w:style>
  <w:style w:type="character" w:customStyle="1" w:styleId="Bodytext320">
    <w:name w:val="Body text (32)"/>
    <w:basedOn w:val="Bodytext32"/>
    <w:rsid w:val="00897511"/>
    <w:rPr>
      <w:rFonts w:ascii="Arial Narrow" w:eastAsia="Arial Narrow" w:hAnsi="Arial Narrow" w:cs="Arial Narrow"/>
      <w:b w:val="0"/>
      <w:bCs w:val="0"/>
      <w:i w:val="0"/>
      <w:iCs w:val="0"/>
      <w:smallCaps w:val="0"/>
      <w:strike w:val="0"/>
      <w:color w:val="000000"/>
      <w:spacing w:val="0"/>
      <w:w w:val="100"/>
      <w:position w:val="0"/>
      <w:sz w:val="11"/>
      <w:szCs w:val="11"/>
      <w:u w:val="none"/>
      <w:lang w:val="bg-BG" w:eastAsia="bg-BG" w:bidi="bg-BG"/>
    </w:rPr>
  </w:style>
  <w:style w:type="character" w:customStyle="1" w:styleId="Bodytext2ArialNarrow115ptBoldSpacing13pt">
    <w:name w:val="Body text (2) + Arial Narrow;11.5 pt;Bold;Spacing 13 pt"/>
    <w:basedOn w:val="Bodytext2"/>
    <w:rsid w:val="00897511"/>
    <w:rPr>
      <w:rFonts w:ascii="Arial Narrow" w:eastAsia="Arial Narrow" w:hAnsi="Arial Narrow" w:cs="Arial Narrow"/>
      <w:b/>
      <w:bCs/>
      <w:i w:val="0"/>
      <w:iCs w:val="0"/>
      <w:smallCaps w:val="0"/>
      <w:strike w:val="0"/>
      <w:color w:val="000000"/>
      <w:spacing w:val="270"/>
      <w:w w:val="100"/>
      <w:position w:val="0"/>
      <w:sz w:val="23"/>
      <w:szCs w:val="23"/>
      <w:u w:val="none"/>
      <w:lang w:val="bg-BG" w:eastAsia="bg-BG" w:bidi="bg-BG"/>
    </w:rPr>
  </w:style>
  <w:style w:type="character" w:customStyle="1" w:styleId="Bodytext2ArialNarrow95ptBold">
    <w:name w:val="Body text (2) + Arial Narrow;9.5 pt;Bold"/>
    <w:basedOn w:val="Bodytext2"/>
    <w:rsid w:val="00897511"/>
    <w:rPr>
      <w:rFonts w:ascii="Arial Narrow" w:eastAsia="Arial Narrow" w:hAnsi="Arial Narrow" w:cs="Arial Narrow"/>
      <w:b/>
      <w:bCs/>
      <w:i w:val="0"/>
      <w:iCs w:val="0"/>
      <w:smallCaps w:val="0"/>
      <w:strike w:val="0"/>
      <w:color w:val="000000"/>
      <w:spacing w:val="0"/>
      <w:w w:val="100"/>
      <w:position w:val="0"/>
      <w:sz w:val="19"/>
      <w:szCs w:val="19"/>
      <w:u w:val="none"/>
      <w:lang w:val="bg-BG" w:eastAsia="bg-BG" w:bidi="bg-BG"/>
    </w:rPr>
  </w:style>
  <w:style w:type="character" w:customStyle="1" w:styleId="Bodytext2ArialNarrow115ptBold">
    <w:name w:val="Body text (2) + Arial Narrow;11.5 pt;Bold"/>
    <w:basedOn w:val="Bodytext2"/>
    <w:rsid w:val="00897511"/>
    <w:rPr>
      <w:rFonts w:ascii="Arial Narrow" w:eastAsia="Arial Narrow" w:hAnsi="Arial Narrow" w:cs="Arial Narrow"/>
      <w:b/>
      <w:bCs/>
      <w:i w:val="0"/>
      <w:iCs w:val="0"/>
      <w:smallCaps w:val="0"/>
      <w:strike w:val="0"/>
      <w:color w:val="000000"/>
      <w:spacing w:val="0"/>
      <w:w w:val="100"/>
      <w:position w:val="0"/>
      <w:sz w:val="23"/>
      <w:szCs w:val="23"/>
      <w:u w:val="none"/>
      <w:lang w:val="bg-BG" w:eastAsia="bg-BG" w:bidi="bg-BG"/>
    </w:rPr>
  </w:style>
  <w:style w:type="character" w:customStyle="1" w:styleId="Bodytext2ArialNarrow95ptBoldSpacing2pt">
    <w:name w:val="Body text (2) + Arial Narrow;9.5 pt;Bold;Spacing 2 pt"/>
    <w:basedOn w:val="Bodytext2"/>
    <w:rsid w:val="00897511"/>
    <w:rPr>
      <w:rFonts w:ascii="Arial Narrow" w:eastAsia="Arial Narrow" w:hAnsi="Arial Narrow" w:cs="Arial Narrow"/>
      <w:b/>
      <w:bCs/>
      <w:i w:val="0"/>
      <w:iCs w:val="0"/>
      <w:smallCaps w:val="0"/>
      <w:strike w:val="0"/>
      <w:color w:val="000000"/>
      <w:spacing w:val="40"/>
      <w:w w:val="100"/>
      <w:position w:val="0"/>
      <w:sz w:val="19"/>
      <w:szCs w:val="19"/>
      <w:u w:val="none"/>
      <w:lang w:val="en-US" w:eastAsia="en-US" w:bidi="en-US"/>
    </w:rPr>
  </w:style>
  <w:style w:type="character" w:customStyle="1" w:styleId="Bodytext210pt">
    <w:name w:val="Body text (2) + 10 pt"/>
    <w:aliases w:val="Bold,Body text (2) + Verdana,8 pt,Body text (2) + Times New Roman,10 pt"/>
    <w:basedOn w:val="Bodytext2"/>
    <w:rsid w:val="0089751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bg-BG" w:eastAsia="bg-BG" w:bidi="bg-BG"/>
    </w:rPr>
  </w:style>
  <w:style w:type="character" w:customStyle="1" w:styleId="Bodytext33">
    <w:name w:val="Body text (33)_"/>
    <w:basedOn w:val="DefaultParagraphFont"/>
    <w:rsid w:val="00897511"/>
    <w:rPr>
      <w:b w:val="0"/>
      <w:bCs w:val="0"/>
      <w:i w:val="0"/>
      <w:iCs w:val="0"/>
      <w:smallCaps w:val="0"/>
      <w:strike w:val="0"/>
      <w:u w:val="none"/>
    </w:rPr>
  </w:style>
  <w:style w:type="character" w:customStyle="1" w:styleId="Bodytext3320pt">
    <w:name w:val="Body text (33) + 20 pt"/>
    <w:basedOn w:val="Bodytext33"/>
    <w:rsid w:val="00897511"/>
    <w:rPr>
      <w:rFonts w:ascii="Microsoft Sans Serif" w:eastAsia="Microsoft Sans Serif" w:hAnsi="Microsoft Sans Serif" w:cs="Microsoft Sans Serif"/>
      <w:b w:val="0"/>
      <w:bCs w:val="0"/>
      <w:i w:val="0"/>
      <w:iCs w:val="0"/>
      <w:smallCaps w:val="0"/>
      <w:strike w:val="0"/>
      <w:color w:val="000000"/>
      <w:spacing w:val="0"/>
      <w:w w:val="100"/>
      <w:position w:val="0"/>
      <w:sz w:val="40"/>
      <w:szCs w:val="40"/>
      <w:u w:val="none"/>
      <w:lang w:val="bg-BG" w:eastAsia="bg-BG" w:bidi="bg-BG"/>
    </w:rPr>
  </w:style>
  <w:style w:type="character" w:customStyle="1" w:styleId="Bodytext330">
    <w:name w:val="Body text (33)"/>
    <w:basedOn w:val="Bodytext33"/>
    <w:rsid w:val="00897511"/>
    <w:rPr>
      <w:rFonts w:ascii="Microsoft Sans Serif" w:eastAsia="Microsoft Sans Serif" w:hAnsi="Microsoft Sans Serif" w:cs="Microsoft Sans Serif"/>
      <w:b w:val="0"/>
      <w:bCs w:val="0"/>
      <w:i w:val="0"/>
      <w:iCs w:val="0"/>
      <w:smallCaps w:val="0"/>
      <w:strike w:val="0"/>
      <w:color w:val="000000"/>
      <w:spacing w:val="0"/>
      <w:w w:val="100"/>
      <w:position w:val="0"/>
      <w:sz w:val="24"/>
      <w:szCs w:val="24"/>
      <w:u w:val="none"/>
      <w:lang w:val="bg-BG" w:eastAsia="bg-BG" w:bidi="bg-BG"/>
    </w:rPr>
  </w:style>
  <w:style w:type="character" w:customStyle="1" w:styleId="Heading43">
    <w:name w:val="Heading #4 (3)_"/>
    <w:basedOn w:val="DefaultParagraphFont"/>
    <w:rsid w:val="00897511"/>
    <w:rPr>
      <w:b w:val="0"/>
      <w:bCs w:val="0"/>
      <w:i w:val="0"/>
      <w:iCs w:val="0"/>
      <w:smallCaps w:val="0"/>
      <w:strike w:val="0"/>
      <w:u w:val="none"/>
    </w:rPr>
  </w:style>
  <w:style w:type="character" w:customStyle="1" w:styleId="Heading4320pt">
    <w:name w:val="Heading #4 (3) + 20 pt"/>
    <w:basedOn w:val="Heading43"/>
    <w:rsid w:val="00897511"/>
    <w:rPr>
      <w:rFonts w:ascii="Microsoft Sans Serif" w:eastAsia="Microsoft Sans Serif" w:hAnsi="Microsoft Sans Serif" w:cs="Microsoft Sans Serif"/>
      <w:b w:val="0"/>
      <w:bCs w:val="0"/>
      <w:i w:val="0"/>
      <w:iCs w:val="0"/>
      <w:smallCaps w:val="0"/>
      <w:strike w:val="0"/>
      <w:color w:val="000000"/>
      <w:spacing w:val="0"/>
      <w:w w:val="100"/>
      <w:position w:val="0"/>
      <w:sz w:val="40"/>
      <w:szCs w:val="40"/>
      <w:u w:val="none"/>
      <w:lang w:val="bg-BG" w:eastAsia="bg-BG" w:bidi="bg-BG"/>
    </w:rPr>
  </w:style>
  <w:style w:type="character" w:customStyle="1" w:styleId="Heading430">
    <w:name w:val="Heading #4 (3)"/>
    <w:basedOn w:val="Heading43"/>
    <w:rsid w:val="00897511"/>
    <w:rPr>
      <w:rFonts w:ascii="Microsoft Sans Serif" w:eastAsia="Microsoft Sans Serif" w:hAnsi="Microsoft Sans Serif" w:cs="Microsoft Sans Serif"/>
      <w:b w:val="0"/>
      <w:bCs w:val="0"/>
      <w:i w:val="0"/>
      <w:iCs w:val="0"/>
      <w:smallCaps w:val="0"/>
      <w:strike w:val="0"/>
      <w:color w:val="000000"/>
      <w:spacing w:val="0"/>
      <w:w w:val="100"/>
      <w:position w:val="0"/>
      <w:sz w:val="24"/>
      <w:szCs w:val="24"/>
      <w:u w:val="none"/>
      <w:lang w:val="bg-BG" w:eastAsia="bg-BG" w:bidi="bg-BG"/>
    </w:rPr>
  </w:style>
  <w:style w:type="character" w:customStyle="1" w:styleId="Bodytext34">
    <w:name w:val="Body text (34)_"/>
    <w:basedOn w:val="DefaultParagraphFont"/>
    <w:rsid w:val="00897511"/>
    <w:rPr>
      <w:rFonts w:ascii="Arial Narrow" w:eastAsia="Arial Narrow" w:hAnsi="Arial Narrow" w:cs="Arial Narrow"/>
      <w:b/>
      <w:bCs/>
      <w:i w:val="0"/>
      <w:iCs w:val="0"/>
      <w:smallCaps w:val="0"/>
      <w:strike w:val="0"/>
      <w:sz w:val="21"/>
      <w:szCs w:val="21"/>
      <w:u w:val="none"/>
    </w:rPr>
  </w:style>
  <w:style w:type="character" w:customStyle="1" w:styleId="Bodytext340">
    <w:name w:val="Body text (34)"/>
    <w:basedOn w:val="Bodytext34"/>
    <w:rsid w:val="00897511"/>
    <w:rPr>
      <w:rFonts w:ascii="Arial Narrow" w:eastAsia="Arial Narrow" w:hAnsi="Arial Narrow" w:cs="Arial Narrow"/>
      <w:b/>
      <w:bCs/>
      <w:i w:val="0"/>
      <w:iCs w:val="0"/>
      <w:smallCaps w:val="0"/>
      <w:strike w:val="0"/>
      <w:color w:val="000000"/>
      <w:spacing w:val="0"/>
      <w:w w:val="100"/>
      <w:position w:val="0"/>
      <w:sz w:val="21"/>
      <w:szCs w:val="21"/>
      <w:u w:val="none"/>
      <w:lang w:val="bg-BG" w:eastAsia="bg-BG" w:bidi="bg-BG"/>
    </w:rPr>
  </w:style>
  <w:style w:type="character" w:customStyle="1" w:styleId="Bodytext34MicrosoftSansSerif65ptNotBold">
    <w:name w:val="Body text (34) + Microsoft Sans Serif;6.5 pt;Not Bold"/>
    <w:basedOn w:val="Bodytext34"/>
    <w:rsid w:val="00897511"/>
    <w:rPr>
      <w:rFonts w:ascii="Microsoft Sans Serif" w:eastAsia="Microsoft Sans Serif" w:hAnsi="Microsoft Sans Serif" w:cs="Microsoft Sans Serif"/>
      <w:b/>
      <w:bCs/>
      <w:i w:val="0"/>
      <w:iCs w:val="0"/>
      <w:smallCaps w:val="0"/>
      <w:strike w:val="0"/>
      <w:color w:val="000000"/>
      <w:spacing w:val="0"/>
      <w:w w:val="100"/>
      <w:position w:val="0"/>
      <w:sz w:val="13"/>
      <w:szCs w:val="13"/>
      <w:u w:val="none"/>
      <w:lang w:val="bg-BG" w:eastAsia="bg-BG" w:bidi="bg-BG"/>
    </w:rPr>
  </w:style>
  <w:style w:type="character" w:customStyle="1" w:styleId="Bodytext35">
    <w:name w:val="Body text (35)_"/>
    <w:basedOn w:val="DefaultParagraphFont"/>
    <w:rsid w:val="00897511"/>
    <w:rPr>
      <w:rFonts w:ascii="Times New Roman" w:eastAsia="Times New Roman" w:hAnsi="Times New Roman" w:cs="Times New Roman"/>
      <w:b/>
      <w:bCs/>
      <w:i w:val="0"/>
      <w:iCs w:val="0"/>
      <w:smallCaps w:val="0"/>
      <w:strike w:val="0"/>
      <w:spacing w:val="40"/>
      <w:sz w:val="28"/>
      <w:szCs w:val="28"/>
      <w:u w:val="none"/>
    </w:rPr>
  </w:style>
  <w:style w:type="character" w:customStyle="1" w:styleId="Bodytext350">
    <w:name w:val="Body text (35)"/>
    <w:basedOn w:val="Bodytext35"/>
    <w:rsid w:val="00897511"/>
    <w:rPr>
      <w:rFonts w:ascii="Times New Roman" w:eastAsia="Times New Roman" w:hAnsi="Times New Roman" w:cs="Times New Roman"/>
      <w:b/>
      <w:bCs/>
      <w:i w:val="0"/>
      <w:iCs w:val="0"/>
      <w:smallCaps w:val="0"/>
      <w:strike w:val="0"/>
      <w:color w:val="000000"/>
      <w:spacing w:val="40"/>
      <w:w w:val="100"/>
      <w:position w:val="0"/>
      <w:sz w:val="28"/>
      <w:szCs w:val="28"/>
      <w:u w:val="none"/>
      <w:lang w:val="bg-BG" w:eastAsia="bg-BG" w:bidi="bg-BG"/>
    </w:rPr>
  </w:style>
  <w:style w:type="character" w:customStyle="1" w:styleId="Heading50">
    <w:name w:val="Heading #5_"/>
    <w:basedOn w:val="DefaultParagraphFont"/>
    <w:link w:val="Heading51"/>
    <w:rsid w:val="00897511"/>
    <w:rPr>
      <w:shd w:val="clear" w:color="auto" w:fill="FFFFFF"/>
    </w:rPr>
  </w:style>
  <w:style w:type="paragraph" w:customStyle="1" w:styleId="Heading51">
    <w:name w:val="Heading #5"/>
    <w:basedOn w:val="Normal"/>
    <w:link w:val="Heading50"/>
    <w:qFormat/>
    <w:rsid w:val="00897511"/>
    <w:pPr>
      <w:widowControl w:val="0"/>
      <w:shd w:val="clear" w:color="auto" w:fill="FFFFFF"/>
      <w:spacing w:after="0" w:line="461" w:lineRule="exact"/>
      <w:outlineLvl w:val="4"/>
    </w:pPr>
  </w:style>
  <w:style w:type="character" w:customStyle="1" w:styleId="Bodytext34MicrosoftSansSerif11ptNotBold">
    <w:name w:val="Body text (34) + Microsoft Sans Serif;11 pt;Not Bold"/>
    <w:basedOn w:val="Bodytext34"/>
    <w:rsid w:val="00897511"/>
    <w:rPr>
      <w:rFonts w:ascii="Microsoft Sans Serif" w:eastAsia="Microsoft Sans Serif" w:hAnsi="Microsoft Sans Serif" w:cs="Microsoft Sans Serif"/>
      <w:b/>
      <w:bCs/>
      <w:i w:val="0"/>
      <w:iCs w:val="0"/>
      <w:smallCaps w:val="0"/>
      <w:strike w:val="0"/>
      <w:color w:val="000000"/>
      <w:spacing w:val="0"/>
      <w:w w:val="100"/>
      <w:position w:val="0"/>
      <w:sz w:val="22"/>
      <w:szCs w:val="22"/>
      <w:u w:val="none"/>
      <w:lang w:val="bg-BG" w:eastAsia="bg-BG" w:bidi="bg-BG"/>
    </w:rPr>
  </w:style>
  <w:style w:type="character" w:customStyle="1" w:styleId="Bodytext36">
    <w:name w:val="Body text (36)_"/>
    <w:basedOn w:val="DefaultParagraphFont"/>
    <w:link w:val="Bodytext360"/>
    <w:rsid w:val="00897511"/>
    <w:rPr>
      <w:rFonts w:ascii="Times New Roman" w:eastAsia="Times New Roman" w:hAnsi="Times New Roman" w:cs="Times New Roman"/>
      <w:b/>
      <w:bCs/>
      <w:i/>
      <w:iCs/>
      <w:sz w:val="23"/>
      <w:szCs w:val="23"/>
      <w:shd w:val="clear" w:color="auto" w:fill="FFFFFF"/>
    </w:rPr>
  </w:style>
  <w:style w:type="paragraph" w:customStyle="1" w:styleId="Bodytext360">
    <w:name w:val="Body text (36)"/>
    <w:basedOn w:val="Normal"/>
    <w:link w:val="Bodytext36"/>
    <w:qFormat/>
    <w:rsid w:val="00897511"/>
    <w:pPr>
      <w:widowControl w:val="0"/>
      <w:shd w:val="clear" w:color="auto" w:fill="FFFFFF"/>
      <w:spacing w:after="0" w:line="317" w:lineRule="exact"/>
      <w:jc w:val="both"/>
    </w:pPr>
    <w:rPr>
      <w:rFonts w:eastAsia="Times New Roman" w:cs="Times New Roman"/>
      <w:b/>
      <w:bCs/>
      <w:i/>
      <w:iCs/>
      <w:sz w:val="23"/>
      <w:szCs w:val="23"/>
    </w:rPr>
  </w:style>
  <w:style w:type="character" w:customStyle="1" w:styleId="Bodytext3612ptNotBold">
    <w:name w:val="Body text (36) + 12 pt;Not Bold"/>
    <w:basedOn w:val="Bodytext36"/>
    <w:rsid w:val="00897511"/>
    <w:rPr>
      <w:rFonts w:ascii="Times New Roman" w:eastAsia="Times New Roman" w:hAnsi="Times New Roman" w:cs="Times New Roman"/>
      <w:b/>
      <w:bCs/>
      <w:i/>
      <w:iCs/>
      <w:color w:val="000000"/>
      <w:spacing w:val="0"/>
      <w:w w:val="100"/>
      <w:position w:val="0"/>
      <w:sz w:val="24"/>
      <w:szCs w:val="24"/>
      <w:shd w:val="clear" w:color="auto" w:fill="FFFFFF"/>
      <w:lang w:val="bg-BG" w:eastAsia="bg-BG" w:bidi="bg-BG"/>
    </w:rPr>
  </w:style>
  <w:style w:type="character" w:customStyle="1" w:styleId="Bodytext7BoldNotItalic">
    <w:name w:val="Body text (7) + Bold;Not Italic"/>
    <w:basedOn w:val="Bodytext7"/>
    <w:rsid w:val="00897511"/>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Tablecaption6">
    <w:name w:val="Table caption (6)_"/>
    <w:basedOn w:val="DefaultParagraphFont"/>
    <w:rsid w:val="00897511"/>
    <w:rPr>
      <w:rFonts w:ascii="Times New Roman" w:eastAsia="Times New Roman" w:hAnsi="Times New Roman" w:cs="Times New Roman"/>
      <w:b/>
      <w:bCs/>
      <w:i/>
      <w:iCs/>
      <w:smallCaps w:val="0"/>
      <w:strike w:val="0"/>
      <w:sz w:val="23"/>
      <w:szCs w:val="23"/>
      <w:u w:val="none"/>
    </w:rPr>
  </w:style>
  <w:style w:type="character" w:customStyle="1" w:styleId="Tablecaption60">
    <w:name w:val="Table caption (6)"/>
    <w:basedOn w:val="Tablecaption6"/>
    <w:rsid w:val="00897511"/>
    <w:rPr>
      <w:rFonts w:ascii="Times New Roman" w:eastAsia="Times New Roman" w:hAnsi="Times New Roman" w:cs="Times New Roman"/>
      <w:b/>
      <w:bCs/>
      <w:i/>
      <w:iCs/>
      <w:smallCaps w:val="0"/>
      <w:strike w:val="0"/>
      <w:color w:val="000000"/>
      <w:spacing w:val="0"/>
      <w:w w:val="100"/>
      <w:position w:val="0"/>
      <w:sz w:val="23"/>
      <w:szCs w:val="23"/>
      <w:u w:val="single"/>
      <w:lang w:val="bg-BG" w:eastAsia="bg-BG" w:bidi="bg-BG"/>
    </w:rPr>
  </w:style>
  <w:style w:type="character" w:customStyle="1" w:styleId="Bodytext37">
    <w:name w:val="Body text (37)_"/>
    <w:basedOn w:val="DefaultParagraphFont"/>
    <w:rsid w:val="00897511"/>
    <w:rPr>
      <w:rFonts w:ascii="Arial Narrow" w:eastAsia="Arial Narrow" w:hAnsi="Arial Narrow" w:cs="Arial Narrow"/>
      <w:b w:val="0"/>
      <w:bCs w:val="0"/>
      <w:i w:val="0"/>
      <w:iCs w:val="0"/>
      <w:smallCaps w:val="0"/>
      <w:strike w:val="0"/>
      <w:sz w:val="9"/>
      <w:szCs w:val="9"/>
      <w:u w:val="none"/>
    </w:rPr>
  </w:style>
  <w:style w:type="character" w:customStyle="1" w:styleId="Bodytext370">
    <w:name w:val="Body text (37)"/>
    <w:basedOn w:val="Bodytext37"/>
    <w:rsid w:val="00897511"/>
    <w:rPr>
      <w:rFonts w:ascii="Arial Narrow" w:eastAsia="Arial Narrow" w:hAnsi="Arial Narrow" w:cs="Arial Narrow"/>
      <w:b w:val="0"/>
      <w:bCs w:val="0"/>
      <w:i w:val="0"/>
      <w:iCs w:val="0"/>
      <w:smallCaps w:val="0"/>
      <w:strike w:val="0"/>
      <w:color w:val="000000"/>
      <w:spacing w:val="0"/>
      <w:w w:val="100"/>
      <w:position w:val="0"/>
      <w:sz w:val="9"/>
      <w:szCs w:val="9"/>
      <w:u w:val="none"/>
      <w:lang w:val="bg-BG" w:eastAsia="bg-BG" w:bidi="bg-BG"/>
    </w:rPr>
  </w:style>
  <w:style w:type="character" w:customStyle="1" w:styleId="Bodytext38">
    <w:name w:val="Body text (38)_"/>
    <w:basedOn w:val="DefaultParagraphFont"/>
    <w:rsid w:val="00897511"/>
    <w:rPr>
      <w:rFonts w:ascii="Tahoma" w:eastAsia="Tahoma" w:hAnsi="Tahoma" w:cs="Tahoma"/>
      <w:b w:val="0"/>
      <w:bCs w:val="0"/>
      <w:i w:val="0"/>
      <w:iCs w:val="0"/>
      <w:smallCaps w:val="0"/>
      <w:strike w:val="0"/>
      <w:sz w:val="11"/>
      <w:szCs w:val="11"/>
      <w:u w:val="none"/>
    </w:rPr>
  </w:style>
  <w:style w:type="character" w:customStyle="1" w:styleId="Bodytext380">
    <w:name w:val="Body text (38)"/>
    <w:basedOn w:val="Bodytext38"/>
    <w:rsid w:val="00897511"/>
    <w:rPr>
      <w:rFonts w:ascii="Tahoma" w:eastAsia="Tahoma" w:hAnsi="Tahoma" w:cs="Tahoma"/>
      <w:b w:val="0"/>
      <w:bCs w:val="0"/>
      <w:i w:val="0"/>
      <w:iCs w:val="0"/>
      <w:smallCaps w:val="0"/>
      <w:strike w:val="0"/>
      <w:color w:val="000000"/>
      <w:spacing w:val="0"/>
      <w:w w:val="100"/>
      <w:position w:val="0"/>
      <w:sz w:val="11"/>
      <w:szCs w:val="11"/>
      <w:u w:val="none"/>
      <w:lang w:val="bg-BG" w:eastAsia="bg-BG" w:bidi="bg-BG"/>
    </w:rPr>
  </w:style>
  <w:style w:type="character" w:customStyle="1" w:styleId="Bodytext30SmallCaps">
    <w:name w:val="Body text (30) + Small Caps"/>
    <w:basedOn w:val="Bodytext300"/>
    <w:rsid w:val="00897511"/>
    <w:rPr>
      <w:rFonts w:ascii="Arial Narrow" w:eastAsia="Arial Narrow" w:hAnsi="Arial Narrow" w:cs="Arial Narrow"/>
      <w:b w:val="0"/>
      <w:bCs w:val="0"/>
      <w:i w:val="0"/>
      <w:iCs w:val="0"/>
      <w:smallCaps/>
      <w:strike w:val="0"/>
      <w:color w:val="000000"/>
      <w:spacing w:val="0"/>
      <w:w w:val="100"/>
      <w:position w:val="0"/>
      <w:sz w:val="10"/>
      <w:szCs w:val="10"/>
      <w:u w:val="none"/>
      <w:lang w:val="bg-BG" w:eastAsia="bg-BG" w:bidi="bg-BG"/>
    </w:rPr>
  </w:style>
  <w:style w:type="character" w:customStyle="1" w:styleId="Bodytext20SmallCaps">
    <w:name w:val="Body text (20) + Small Caps"/>
    <w:basedOn w:val="Bodytext201"/>
    <w:rsid w:val="00897511"/>
    <w:rPr>
      <w:rFonts w:ascii="Times New Roman" w:eastAsia="Times New Roman" w:hAnsi="Times New Roman" w:cs="Times New Roman"/>
      <w:b w:val="0"/>
      <w:bCs w:val="0"/>
      <w:i w:val="0"/>
      <w:iCs w:val="0"/>
      <w:smallCaps/>
      <w:strike w:val="0"/>
      <w:color w:val="000000"/>
      <w:spacing w:val="0"/>
      <w:w w:val="100"/>
      <w:position w:val="0"/>
      <w:sz w:val="15"/>
      <w:szCs w:val="15"/>
      <w:u w:val="none"/>
      <w:lang w:val="bg-BG" w:eastAsia="bg-BG" w:bidi="bg-BG"/>
    </w:rPr>
  </w:style>
  <w:style w:type="character" w:customStyle="1" w:styleId="Bodytext207ptBoldItalicSpacing0pt">
    <w:name w:val="Body text (20) + 7 pt;Bold;Italic;Spacing 0 pt"/>
    <w:basedOn w:val="Bodytext201"/>
    <w:rsid w:val="00897511"/>
    <w:rPr>
      <w:rFonts w:ascii="Times New Roman" w:eastAsia="Times New Roman" w:hAnsi="Times New Roman" w:cs="Times New Roman"/>
      <w:b/>
      <w:bCs/>
      <w:i/>
      <w:iCs/>
      <w:smallCaps w:val="0"/>
      <w:strike w:val="0"/>
      <w:color w:val="000000"/>
      <w:spacing w:val="10"/>
      <w:w w:val="100"/>
      <w:position w:val="0"/>
      <w:sz w:val="14"/>
      <w:szCs w:val="14"/>
      <w:u w:val="none"/>
      <w:lang w:val="bg-BG" w:eastAsia="bg-BG" w:bidi="bg-BG"/>
    </w:rPr>
  </w:style>
  <w:style w:type="character" w:customStyle="1" w:styleId="Bodytext400">
    <w:name w:val="Body text (40)_"/>
    <w:basedOn w:val="DefaultParagraphFont"/>
    <w:rsid w:val="00897511"/>
    <w:rPr>
      <w:rFonts w:ascii="Arial Narrow" w:eastAsia="Arial Narrow" w:hAnsi="Arial Narrow" w:cs="Arial Narrow"/>
      <w:b/>
      <w:bCs/>
      <w:i w:val="0"/>
      <w:iCs w:val="0"/>
      <w:smallCaps w:val="0"/>
      <w:strike w:val="0"/>
      <w:sz w:val="12"/>
      <w:szCs w:val="12"/>
      <w:u w:val="none"/>
    </w:rPr>
  </w:style>
  <w:style w:type="character" w:customStyle="1" w:styleId="Bodytext40TimesNewRoman4ptNotBoldItalic">
    <w:name w:val="Body text (40) + Times New Roman;4 pt;Not Bold;Italic"/>
    <w:basedOn w:val="Bodytext400"/>
    <w:rsid w:val="00897511"/>
    <w:rPr>
      <w:rFonts w:ascii="Times New Roman" w:eastAsia="Times New Roman" w:hAnsi="Times New Roman" w:cs="Times New Roman"/>
      <w:b/>
      <w:bCs/>
      <w:i/>
      <w:iCs/>
      <w:smallCaps w:val="0"/>
      <w:strike w:val="0"/>
      <w:color w:val="000000"/>
      <w:spacing w:val="0"/>
      <w:w w:val="100"/>
      <w:position w:val="0"/>
      <w:sz w:val="8"/>
      <w:szCs w:val="8"/>
      <w:u w:val="none"/>
      <w:lang w:val="bg-BG" w:eastAsia="bg-BG" w:bidi="bg-BG"/>
    </w:rPr>
  </w:style>
  <w:style w:type="character" w:customStyle="1" w:styleId="Bodytext401">
    <w:name w:val="Body text (40)"/>
    <w:basedOn w:val="Bodytext400"/>
    <w:rsid w:val="00897511"/>
    <w:rPr>
      <w:rFonts w:ascii="Arial Narrow" w:eastAsia="Arial Narrow" w:hAnsi="Arial Narrow" w:cs="Arial Narrow"/>
      <w:b/>
      <w:bCs/>
      <w:i w:val="0"/>
      <w:iCs w:val="0"/>
      <w:smallCaps w:val="0"/>
      <w:strike w:val="0"/>
      <w:color w:val="000000"/>
      <w:spacing w:val="0"/>
      <w:w w:val="100"/>
      <w:position w:val="0"/>
      <w:sz w:val="12"/>
      <w:szCs w:val="12"/>
      <w:u w:val="none"/>
      <w:lang w:val="bg-BG" w:eastAsia="bg-BG" w:bidi="bg-BG"/>
    </w:rPr>
  </w:style>
  <w:style w:type="character" w:customStyle="1" w:styleId="Bodytext40TimesNewRoman65ptNotBoldItalic">
    <w:name w:val="Body text (40) + Times New Roman;6.5 pt;Not Bold;Italic"/>
    <w:basedOn w:val="Bodytext400"/>
    <w:rsid w:val="00897511"/>
    <w:rPr>
      <w:rFonts w:ascii="Times New Roman" w:eastAsia="Times New Roman" w:hAnsi="Times New Roman" w:cs="Times New Roman"/>
      <w:b/>
      <w:bCs/>
      <w:i/>
      <w:iCs/>
      <w:smallCaps w:val="0"/>
      <w:strike w:val="0"/>
      <w:color w:val="000000"/>
      <w:spacing w:val="0"/>
      <w:w w:val="100"/>
      <w:position w:val="0"/>
      <w:sz w:val="13"/>
      <w:szCs w:val="13"/>
      <w:u w:val="none"/>
      <w:lang w:val="bg-BG" w:eastAsia="bg-BG" w:bidi="bg-BG"/>
    </w:rPr>
  </w:style>
  <w:style w:type="character" w:customStyle="1" w:styleId="Picturecaption9">
    <w:name w:val="Picture caption (9)_"/>
    <w:basedOn w:val="DefaultParagraphFont"/>
    <w:rsid w:val="00897511"/>
    <w:rPr>
      <w:b w:val="0"/>
      <w:bCs w:val="0"/>
      <w:i w:val="0"/>
      <w:iCs w:val="0"/>
      <w:smallCaps w:val="0"/>
      <w:strike w:val="0"/>
      <w:sz w:val="17"/>
      <w:szCs w:val="17"/>
      <w:u w:val="none"/>
    </w:rPr>
  </w:style>
  <w:style w:type="character" w:customStyle="1" w:styleId="Picturecaption90">
    <w:name w:val="Picture caption (9)"/>
    <w:basedOn w:val="Picturecaption9"/>
    <w:rsid w:val="00897511"/>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bg-BG" w:eastAsia="bg-BG" w:bidi="bg-BG"/>
    </w:rPr>
  </w:style>
  <w:style w:type="character" w:customStyle="1" w:styleId="Picturecaption975ptItalicSpacing0pt">
    <w:name w:val="Picture caption (9) + 7.5 pt;Italic;Spacing 0 pt"/>
    <w:basedOn w:val="Picturecaption9"/>
    <w:rsid w:val="00897511"/>
    <w:rPr>
      <w:rFonts w:ascii="Microsoft Sans Serif" w:eastAsia="Microsoft Sans Serif" w:hAnsi="Microsoft Sans Serif" w:cs="Microsoft Sans Serif"/>
      <w:b/>
      <w:bCs/>
      <w:i/>
      <w:iCs/>
      <w:smallCaps w:val="0"/>
      <w:strike w:val="0"/>
      <w:color w:val="000000"/>
      <w:spacing w:val="-10"/>
      <w:w w:val="100"/>
      <w:position w:val="0"/>
      <w:sz w:val="15"/>
      <w:szCs w:val="15"/>
      <w:u w:val="none"/>
      <w:lang w:val="bg-BG" w:eastAsia="bg-BG" w:bidi="bg-BG"/>
    </w:rPr>
  </w:style>
  <w:style w:type="character" w:customStyle="1" w:styleId="Picturecaption10">
    <w:name w:val="Picture caption (10)_"/>
    <w:basedOn w:val="DefaultParagraphFont"/>
    <w:rsid w:val="00897511"/>
    <w:rPr>
      <w:rFonts w:ascii="Arial Narrow" w:eastAsia="Arial Narrow" w:hAnsi="Arial Narrow" w:cs="Arial Narrow"/>
      <w:b w:val="0"/>
      <w:bCs w:val="0"/>
      <w:i w:val="0"/>
      <w:iCs w:val="0"/>
      <w:smallCaps w:val="0"/>
      <w:strike w:val="0"/>
      <w:sz w:val="14"/>
      <w:szCs w:val="14"/>
      <w:u w:val="none"/>
    </w:rPr>
  </w:style>
  <w:style w:type="character" w:customStyle="1" w:styleId="Picturecaption10TimesNewRoman10ptItalic">
    <w:name w:val="Picture caption (10) + Times New Roman;10 pt;Italic"/>
    <w:basedOn w:val="Picturecaption10"/>
    <w:rsid w:val="00897511"/>
    <w:rPr>
      <w:rFonts w:ascii="Times New Roman" w:eastAsia="Times New Roman" w:hAnsi="Times New Roman" w:cs="Times New Roman"/>
      <w:b w:val="0"/>
      <w:bCs w:val="0"/>
      <w:i/>
      <w:iCs/>
      <w:smallCaps w:val="0"/>
      <w:strike w:val="0"/>
      <w:color w:val="000000"/>
      <w:spacing w:val="0"/>
      <w:w w:val="100"/>
      <w:position w:val="0"/>
      <w:sz w:val="20"/>
      <w:szCs w:val="20"/>
      <w:u w:val="none"/>
      <w:lang w:val="bg-BG" w:eastAsia="bg-BG" w:bidi="bg-BG"/>
    </w:rPr>
  </w:style>
  <w:style w:type="character" w:customStyle="1" w:styleId="Picturecaption100">
    <w:name w:val="Picture caption (10)"/>
    <w:basedOn w:val="Picturecaption10"/>
    <w:rsid w:val="00897511"/>
    <w:rPr>
      <w:rFonts w:ascii="Arial Narrow" w:eastAsia="Arial Narrow" w:hAnsi="Arial Narrow" w:cs="Arial Narrow"/>
      <w:b w:val="0"/>
      <w:bCs w:val="0"/>
      <w:i w:val="0"/>
      <w:iCs w:val="0"/>
      <w:smallCaps w:val="0"/>
      <w:strike w:val="0"/>
      <w:color w:val="000000"/>
      <w:spacing w:val="0"/>
      <w:w w:val="100"/>
      <w:position w:val="0"/>
      <w:sz w:val="14"/>
      <w:szCs w:val="14"/>
      <w:u w:val="none"/>
      <w:lang w:val="bg-BG" w:eastAsia="bg-BG" w:bidi="bg-BG"/>
    </w:rPr>
  </w:style>
  <w:style w:type="character" w:customStyle="1" w:styleId="Bodytext39">
    <w:name w:val="Body text (39)_"/>
    <w:basedOn w:val="DefaultParagraphFont"/>
    <w:rsid w:val="00897511"/>
    <w:rPr>
      <w:rFonts w:ascii="Arial Narrow" w:eastAsia="Arial Narrow" w:hAnsi="Arial Narrow" w:cs="Arial Narrow"/>
      <w:b w:val="0"/>
      <w:bCs w:val="0"/>
      <w:i w:val="0"/>
      <w:iCs w:val="0"/>
      <w:smallCaps w:val="0"/>
      <w:strike w:val="0"/>
      <w:sz w:val="13"/>
      <w:szCs w:val="13"/>
      <w:u w:val="none"/>
    </w:rPr>
  </w:style>
  <w:style w:type="character" w:customStyle="1" w:styleId="Bodytext390">
    <w:name w:val="Body text (39)"/>
    <w:basedOn w:val="Bodytext39"/>
    <w:rsid w:val="00897511"/>
    <w:rPr>
      <w:rFonts w:ascii="Arial Narrow" w:eastAsia="Arial Narrow" w:hAnsi="Arial Narrow" w:cs="Arial Narrow"/>
      <w:b w:val="0"/>
      <w:bCs w:val="0"/>
      <w:i w:val="0"/>
      <w:iCs w:val="0"/>
      <w:smallCaps w:val="0"/>
      <w:strike w:val="0"/>
      <w:color w:val="000000"/>
      <w:spacing w:val="0"/>
      <w:w w:val="100"/>
      <w:position w:val="0"/>
      <w:sz w:val="13"/>
      <w:szCs w:val="13"/>
      <w:u w:val="none"/>
      <w:lang w:val="bg-BG" w:eastAsia="bg-BG" w:bidi="bg-BG"/>
    </w:rPr>
  </w:style>
  <w:style w:type="character" w:customStyle="1" w:styleId="Bodytext396ptItalic">
    <w:name w:val="Body text (39) + 6 pt;Italic"/>
    <w:basedOn w:val="Bodytext39"/>
    <w:rsid w:val="00897511"/>
    <w:rPr>
      <w:rFonts w:ascii="Arial Narrow" w:eastAsia="Arial Narrow" w:hAnsi="Arial Narrow" w:cs="Arial Narrow"/>
      <w:b w:val="0"/>
      <w:bCs w:val="0"/>
      <w:i/>
      <w:iCs/>
      <w:smallCaps w:val="0"/>
      <w:strike w:val="0"/>
      <w:color w:val="000000"/>
      <w:spacing w:val="0"/>
      <w:w w:val="100"/>
      <w:position w:val="0"/>
      <w:sz w:val="12"/>
      <w:szCs w:val="12"/>
      <w:u w:val="none"/>
      <w:lang w:val="bg-BG" w:eastAsia="bg-BG" w:bidi="bg-BG"/>
    </w:rPr>
  </w:style>
  <w:style w:type="character" w:customStyle="1" w:styleId="Picturecaption11">
    <w:name w:val="Picture caption (11)_"/>
    <w:basedOn w:val="DefaultParagraphFont"/>
    <w:link w:val="Picturecaption110"/>
    <w:rsid w:val="00897511"/>
    <w:rPr>
      <w:rFonts w:ascii="Times New Roman" w:eastAsia="Times New Roman" w:hAnsi="Times New Roman" w:cs="Times New Roman"/>
      <w:b/>
      <w:bCs/>
      <w:sz w:val="19"/>
      <w:szCs w:val="19"/>
      <w:shd w:val="clear" w:color="auto" w:fill="FFFFFF"/>
    </w:rPr>
  </w:style>
  <w:style w:type="paragraph" w:customStyle="1" w:styleId="Picturecaption110">
    <w:name w:val="Picture caption (11)"/>
    <w:basedOn w:val="Normal"/>
    <w:link w:val="Picturecaption11"/>
    <w:qFormat/>
    <w:rsid w:val="00897511"/>
    <w:pPr>
      <w:widowControl w:val="0"/>
      <w:shd w:val="clear" w:color="auto" w:fill="FFFFFF"/>
      <w:spacing w:after="0" w:line="227" w:lineRule="exact"/>
      <w:ind w:firstLine="780"/>
      <w:jc w:val="both"/>
    </w:pPr>
    <w:rPr>
      <w:rFonts w:eastAsia="Times New Roman" w:cs="Times New Roman"/>
      <w:b/>
      <w:bCs/>
      <w:sz w:val="19"/>
      <w:szCs w:val="19"/>
    </w:rPr>
  </w:style>
  <w:style w:type="character" w:customStyle="1" w:styleId="Picturecaption1110ptItalic">
    <w:name w:val="Picture caption (11) + 10 pt;Italic"/>
    <w:basedOn w:val="Picturecaption11"/>
    <w:rsid w:val="00897511"/>
    <w:rPr>
      <w:rFonts w:ascii="Times New Roman" w:eastAsia="Times New Roman" w:hAnsi="Times New Roman" w:cs="Times New Roman"/>
      <w:b/>
      <w:bCs/>
      <w:i/>
      <w:iCs/>
      <w:color w:val="000000"/>
      <w:spacing w:val="0"/>
      <w:w w:val="100"/>
      <w:position w:val="0"/>
      <w:sz w:val="20"/>
      <w:szCs w:val="20"/>
      <w:shd w:val="clear" w:color="auto" w:fill="FFFFFF"/>
      <w:lang w:val="bg-BG" w:eastAsia="bg-BG" w:bidi="bg-BG"/>
    </w:rPr>
  </w:style>
  <w:style w:type="character" w:customStyle="1" w:styleId="Bodytext2ArialNarrow7pt">
    <w:name w:val="Body text (2) + Arial Narrow;7 pt"/>
    <w:basedOn w:val="Bodytext2"/>
    <w:rsid w:val="00897511"/>
    <w:rPr>
      <w:rFonts w:ascii="Arial Narrow" w:eastAsia="Arial Narrow" w:hAnsi="Arial Narrow" w:cs="Arial Narrow"/>
      <w:b w:val="0"/>
      <w:bCs w:val="0"/>
      <w:i w:val="0"/>
      <w:iCs w:val="0"/>
      <w:smallCaps w:val="0"/>
      <w:strike w:val="0"/>
      <w:color w:val="000000"/>
      <w:spacing w:val="0"/>
      <w:w w:val="100"/>
      <w:position w:val="0"/>
      <w:sz w:val="14"/>
      <w:szCs w:val="14"/>
      <w:u w:val="none"/>
      <w:lang w:val="bg-BG" w:eastAsia="bg-BG" w:bidi="bg-BG"/>
    </w:rPr>
  </w:style>
  <w:style w:type="character" w:customStyle="1" w:styleId="Heading62">
    <w:name w:val="Heading #6 (2)_"/>
    <w:basedOn w:val="DefaultParagraphFont"/>
    <w:link w:val="Heading620"/>
    <w:rsid w:val="00897511"/>
    <w:rPr>
      <w:rFonts w:ascii="Times New Roman" w:eastAsia="Times New Roman" w:hAnsi="Times New Roman" w:cs="Times New Roman"/>
      <w:b/>
      <w:bCs/>
      <w:i/>
      <w:iCs/>
      <w:sz w:val="23"/>
      <w:szCs w:val="23"/>
      <w:shd w:val="clear" w:color="auto" w:fill="FFFFFF"/>
    </w:rPr>
  </w:style>
  <w:style w:type="paragraph" w:customStyle="1" w:styleId="Heading620">
    <w:name w:val="Heading #6 (2)"/>
    <w:basedOn w:val="Normal"/>
    <w:link w:val="Heading62"/>
    <w:qFormat/>
    <w:rsid w:val="00897511"/>
    <w:pPr>
      <w:widowControl w:val="0"/>
      <w:shd w:val="clear" w:color="auto" w:fill="FFFFFF"/>
      <w:spacing w:after="0" w:line="317" w:lineRule="exact"/>
      <w:ind w:firstLine="760"/>
      <w:jc w:val="both"/>
      <w:outlineLvl w:val="5"/>
    </w:pPr>
    <w:rPr>
      <w:rFonts w:eastAsia="Times New Roman" w:cs="Times New Roman"/>
      <w:b/>
      <w:bCs/>
      <w:i/>
      <w:iCs/>
      <w:sz w:val="23"/>
      <w:szCs w:val="23"/>
    </w:rPr>
  </w:style>
  <w:style w:type="character" w:customStyle="1" w:styleId="Heading6212ptNotItalic">
    <w:name w:val="Heading #6 (2) + 12 pt;Not Italic"/>
    <w:basedOn w:val="Heading62"/>
    <w:rsid w:val="00897511"/>
    <w:rPr>
      <w:rFonts w:ascii="Times New Roman" w:eastAsia="Times New Roman" w:hAnsi="Times New Roman" w:cs="Times New Roman"/>
      <w:b/>
      <w:bCs/>
      <w:i/>
      <w:iCs/>
      <w:color w:val="000000"/>
      <w:spacing w:val="0"/>
      <w:w w:val="100"/>
      <w:position w:val="0"/>
      <w:sz w:val="24"/>
      <w:szCs w:val="24"/>
      <w:shd w:val="clear" w:color="auto" w:fill="FFFFFF"/>
      <w:lang w:val="bg-BG" w:eastAsia="bg-BG" w:bidi="bg-BG"/>
    </w:rPr>
  </w:style>
  <w:style w:type="character" w:customStyle="1" w:styleId="Bodytext3612ptNotItalic">
    <w:name w:val="Body text (36) + 12 pt;Not Italic"/>
    <w:basedOn w:val="Bodytext36"/>
    <w:rsid w:val="00897511"/>
    <w:rPr>
      <w:rFonts w:ascii="Times New Roman" w:eastAsia="Times New Roman" w:hAnsi="Times New Roman" w:cs="Times New Roman"/>
      <w:b/>
      <w:bCs/>
      <w:i/>
      <w:iCs/>
      <w:color w:val="000000"/>
      <w:spacing w:val="0"/>
      <w:w w:val="100"/>
      <w:position w:val="0"/>
      <w:sz w:val="24"/>
      <w:szCs w:val="24"/>
      <w:shd w:val="clear" w:color="auto" w:fill="FFFFFF"/>
      <w:lang w:val="bg-BG" w:eastAsia="bg-BG" w:bidi="bg-BG"/>
    </w:rPr>
  </w:style>
  <w:style w:type="character" w:customStyle="1" w:styleId="Picturecaption12">
    <w:name w:val="Picture caption (12)_"/>
    <w:basedOn w:val="DefaultParagraphFont"/>
    <w:rsid w:val="00897511"/>
    <w:rPr>
      <w:rFonts w:ascii="Arial Narrow" w:eastAsia="Arial Narrow" w:hAnsi="Arial Narrow" w:cs="Arial Narrow"/>
      <w:b w:val="0"/>
      <w:bCs w:val="0"/>
      <w:i w:val="0"/>
      <w:iCs w:val="0"/>
      <w:smallCaps w:val="0"/>
      <w:strike w:val="0"/>
      <w:sz w:val="10"/>
      <w:szCs w:val="10"/>
      <w:u w:val="none"/>
    </w:rPr>
  </w:style>
  <w:style w:type="character" w:customStyle="1" w:styleId="Picturecaption120">
    <w:name w:val="Picture caption (12)"/>
    <w:basedOn w:val="Picturecaption12"/>
    <w:rsid w:val="00897511"/>
    <w:rPr>
      <w:rFonts w:ascii="Arial Narrow" w:eastAsia="Arial Narrow" w:hAnsi="Arial Narrow" w:cs="Arial Narrow"/>
      <w:b w:val="0"/>
      <w:bCs w:val="0"/>
      <w:i w:val="0"/>
      <w:iCs w:val="0"/>
      <w:smallCaps w:val="0"/>
      <w:strike w:val="0"/>
      <w:color w:val="000000"/>
      <w:spacing w:val="0"/>
      <w:w w:val="100"/>
      <w:position w:val="0"/>
      <w:sz w:val="10"/>
      <w:szCs w:val="10"/>
      <w:u w:val="none"/>
      <w:lang w:val="bg-BG" w:eastAsia="bg-BG" w:bidi="bg-BG"/>
    </w:rPr>
  </w:style>
  <w:style w:type="character" w:customStyle="1" w:styleId="Picturecaption12TimesNewRoman65ptItalic">
    <w:name w:val="Picture caption (12) + Times New Roman;6.5 pt;Italic"/>
    <w:basedOn w:val="Picturecaption12"/>
    <w:rsid w:val="00897511"/>
    <w:rPr>
      <w:rFonts w:ascii="Times New Roman" w:eastAsia="Times New Roman" w:hAnsi="Times New Roman" w:cs="Times New Roman"/>
      <w:b w:val="0"/>
      <w:bCs w:val="0"/>
      <w:i/>
      <w:iCs/>
      <w:smallCaps w:val="0"/>
      <w:strike w:val="0"/>
      <w:color w:val="000000"/>
      <w:spacing w:val="0"/>
      <w:w w:val="100"/>
      <w:position w:val="0"/>
      <w:sz w:val="13"/>
      <w:szCs w:val="13"/>
      <w:u w:val="none"/>
      <w:lang w:val="bg-BG" w:eastAsia="bg-BG" w:bidi="bg-BG"/>
    </w:rPr>
  </w:style>
  <w:style w:type="character" w:customStyle="1" w:styleId="Picturecaption13">
    <w:name w:val="Picture caption (13)_"/>
    <w:basedOn w:val="DefaultParagraphFont"/>
    <w:rsid w:val="00897511"/>
    <w:rPr>
      <w:rFonts w:ascii="Arial Narrow" w:eastAsia="Arial Narrow" w:hAnsi="Arial Narrow" w:cs="Arial Narrow"/>
      <w:b/>
      <w:bCs/>
      <w:i w:val="0"/>
      <w:iCs w:val="0"/>
      <w:smallCaps w:val="0"/>
      <w:strike w:val="0"/>
      <w:spacing w:val="0"/>
      <w:sz w:val="12"/>
      <w:szCs w:val="12"/>
      <w:u w:val="none"/>
    </w:rPr>
  </w:style>
  <w:style w:type="character" w:customStyle="1" w:styleId="Picturecaption13TimesNewRoman65ptNotBoldItalic">
    <w:name w:val="Picture caption (13) + Times New Roman;6.5 pt;Not Bold;Italic"/>
    <w:basedOn w:val="Picturecaption13"/>
    <w:rsid w:val="00897511"/>
    <w:rPr>
      <w:rFonts w:ascii="Times New Roman" w:eastAsia="Times New Roman" w:hAnsi="Times New Roman" w:cs="Times New Roman"/>
      <w:b/>
      <w:bCs/>
      <w:i/>
      <w:iCs/>
      <w:smallCaps w:val="0"/>
      <w:strike w:val="0"/>
      <w:color w:val="000000"/>
      <w:spacing w:val="0"/>
      <w:w w:val="100"/>
      <w:position w:val="0"/>
      <w:sz w:val="13"/>
      <w:szCs w:val="13"/>
      <w:u w:val="none"/>
      <w:lang w:val="bg-BG" w:eastAsia="bg-BG" w:bidi="bg-BG"/>
    </w:rPr>
  </w:style>
  <w:style w:type="character" w:customStyle="1" w:styleId="Picturecaption13TimesNewRoman4ptNotBoldItalic">
    <w:name w:val="Picture caption (13) + Times New Roman;4 pt;Not Bold;Italic"/>
    <w:basedOn w:val="Picturecaption13"/>
    <w:rsid w:val="00897511"/>
    <w:rPr>
      <w:rFonts w:ascii="Times New Roman" w:eastAsia="Times New Roman" w:hAnsi="Times New Roman" w:cs="Times New Roman"/>
      <w:b/>
      <w:bCs/>
      <w:i/>
      <w:iCs/>
      <w:smallCaps w:val="0"/>
      <w:strike w:val="0"/>
      <w:color w:val="000000"/>
      <w:spacing w:val="0"/>
      <w:w w:val="100"/>
      <w:position w:val="0"/>
      <w:sz w:val="8"/>
      <w:szCs w:val="8"/>
      <w:u w:val="none"/>
      <w:lang w:val="bg-BG" w:eastAsia="bg-BG" w:bidi="bg-BG"/>
    </w:rPr>
  </w:style>
  <w:style w:type="character" w:customStyle="1" w:styleId="Picturecaption130">
    <w:name w:val="Picture caption (13)"/>
    <w:basedOn w:val="Picturecaption13"/>
    <w:rsid w:val="00897511"/>
    <w:rPr>
      <w:rFonts w:ascii="Arial Narrow" w:eastAsia="Arial Narrow" w:hAnsi="Arial Narrow" w:cs="Arial Narrow"/>
      <w:b/>
      <w:bCs/>
      <w:i w:val="0"/>
      <w:iCs w:val="0"/>
      <w:smallCaps w:val="0"/>
      <w:strike w:val="0"/>
      <w:color w:val="000000"/>
      <w:spacing w:val="0"/>
      <w:w w:val="100"/>
      <w:position w:val="0"/>
      <w:sz w:val="12"/>
      <w:szCs w:val="12"/>
      <w:u w:val="none"/>
      <w:lang w:val="bg-BG" w:eastAsia="bg-BG" w:bidi="bg-BG"/>
    </w:rPr>
  </w:style>
  <w:style w:type="character" w:customStyle="1" w:styleId="Picturecaption135ptNotBold">
    <w:name w:val="Picture caption (13) + 5 pt;Not Bold"/>
    <w:basedOn w:val="Picturecaption13"/>
    <w:rsid w:val="00897511"/>
    <w:rPr>
      <w:rFonts w:ascii="Arial Narrow" w:eastAsia="Arial Narrow" w:hAnsi="Arial Narrow" w:cs="Arial Narrow"/>
      <w:b/>
      <w:bCs/>
      <w:i w:val="0"/>
      <w:iCs w:val="0"/>
      <w:smallCaps w:val="0"/>
      <w:strike w:val="0"/>
      <w:color w:val="000000"/>
      <w:spacing w:val="0"/>
      <w:w w:val="100"/>
      <w:position w:val="0"/>
      <w:sz w:val="10"/>
      <w:szCs w:val="10"/>
      <w:u w:val="none"/>
      <w:lang w:val="bg-BG" w:eastAsia="bg-BG" w:bidi="bg-BG"/>
    </w:rPr>
  </w:style>
  <w:style w:type="character" w:customStyle="1" w:styleId="Bodytext255ptSpacing0pt">
    <w:name w:val="Body text (2) + 5.5 pt;Spacing 0 pt"/>
    <w:basedOn w:val="Bodytext2"/>
    <w:rsid w:val="00897511"/>
    <w:rPr>
      <w:rFonts w:ascii="Times New Roman" w:eastAsia="Times New Roman" w:hAnsi="Times New Roman" w:cs="Times New Roman"/>
      <w:b w:val="0"/>
      <w:bCs w:val="0"/>
      <w:i w:val="0"/>
      <w:iCs w:val="0"/>
      <w:smallCaps w:val="0"/>
      <w:strike w:val="0"/>
      <w:color w:val="000000"/>
      <w:spacing w:val="10"/>
      <w:w w:val="100"/>
      <w:position w:val="0"/>
      <w:sz w:val="11"/>
      <w:szCs w:val="11"/>
      <w:u w:val="none"/>
      <w:lang w:val="bg-BG" w:eastAsia="bg-BG" w:bidi="bg-BG"/>
    </w:rPr>
  </w:style>
  <w:style w:type="character" w:customStyle="1" w:styleId="Tablecaption2ArialNarrow7ptNotItalicSpacing1pt">
    <w:name w:val="Table caption (2) + Arial Narrow;7 pt;Not Italic;Spacing 1 pt"/>
    <w:basedOn w:val="Tablecaption2"/>
    <w:rsid w:val="00897511"/>
    <w:rPr>
      <w:rFonts w:ascii="Arial Narrow" w:eastAsia="Arial Narrow" w:hAnsi="Arial Narrow" w:cs="Arial Narrow"/>
      <w:i/>
      <w:iCs/>
      <w:color w:val="000000"/>
      <w:spacing w:val="20"/>
      <w:w w:val="100"/>
      <w:position w:val="0"/>
      <w:sz w:val="14"/>
      <w:szCs w:val="14"/>
      <w:shd w:val="clear" w:color="auto" w:fill="FFFFFF"/>
      <w:lang w:val="bg-BG" w:eastAsia="bg-BG" w:bidi="bg-BG"/>
    </w:rPr>
  </w:style>
  <w:style w:type="character" w:customStyle="1" w:styleId="Tablecaption212pt">
    <w:name w:val="Table caption (2) + 12 pt"/>
    <w:basedOn w:val="Tablecaption2"/>
    <w:rsid w:val="00897511"/>
    <w:rPr>
      <w:rFonts w:ascii="Times New Roman" w:eastAsia="Times New Roman" w:hAnsi="Times New Roman" w:cs="Times New Roman"/>
      <w:i/>
      <w:iCs/>
      <w:color w:val="000000"/>
      <w:spacing w:val="0"/>
      <w:w w:val="100"/>
      <w:position w:val="0"/>
      <w:sz w:val="24"/>
      <w:szCs w:val="24"/>
      <w:shd w:val="clear" w:color="auto" w:fill="FFFFFF"/>
      <w:lang w:val="bg-BG" w:eastAsia="bg-BG" w:bidi="bg-BG"/>
    </w:rPr>
  </w:style>
  <w:style w:type="character" w:customStyle="1" w:styleId="Bodytext42">
    <w:name w:val="Body text (42)_"/>
    <w:basedOn w:val="DefaultParagraphFont"/>
    <w:rsid w:val="00897511"/>
    <w:rPr>
      <w:rFonts w:ascii="Times New Roman" w:eastAsia="Times New Roman" w:hAnsi="Times New Roman" w:cs="Times New Roman"/>
      <w:b w:val="0"/>
      <w:bCs w:val="0"/>
      <w:i w:val="0"/>
      <w:iCs w:val="0"/>
      <w:smallCaps w:val="0"/>
      <w:strike w:val="0"/>
      <w:sz w:val="13"/>
      <w:szCs w:val="13"/>
      <w:u w:val="none"/>
    </w:rPr>
  </w:style>
  <w:style w:type="character" w:customStyle="1" w:styleId="Bodytext426pt">
    <w:name w:val="Body text (42) + 6 pt"/>
    <w:basedOn w:val="Bodytext42"/>
    <w:rsid w:val="00897511"/>
    <w:rPr>
      <w:rFonts w:ascii="Times New Roman" w:eastAsia="Times New Roman" w:hAnsi="Times New Roman" w:cs="Times New Roman"/>
      <w:b w:val="0"/>
      <w:bCs w:val="0"/>
      <w:i w:val="0"/>
      <w:iCs w:val="0"/>
      <w:smallCaps w:val="0"/>
      <w:strike w:val="0"/>
      <w:color w:val="000000"/>
      <w:spacing w:val="0"/>
      <w:w w:val="100"/>
      <w:position w:val="0"/>
      <w:sz w:val="12"/>
      <w:szCs w:val="12"/>
      <w:u w:val="none"/>
      <w:lang w:val="bg-BG" w:eastAsia="bg-BG" w:bidi="bg-BG"/>
    </w:rPr>
  </w:style>
  <w:style w:type="character" w:customStyle="1" w:styleId="Bodytext420">
    <w:name w:val="Body text (42)"/>
    <w:basedOn w:val="Bodytext42"/>
    <w:rsid w:val="00897511"/>
    <w:rPr>
      <w:rFonts w:ascii="Times New Roman" w:eastAsia="Times New Roman" w:hAnsi="Times New Roman" w:cs="Times New Roman"/>
      <w:b w:val="0"/>
      <w:bCs w:val="0"/>
      <w:i w:val="0"/>
      <w:iCs w:val="0"/>
      <w:smallCaps w:val="0"/>
      <w:strike w:val="0"/>
      <w:color w:val="000000"/>
      <w:spacing w:val="0"/>
      <w:w w:val="100"/>
      <w:position w:val="0"/>
      <w:sz w:val="13"/>
      <w:szCs w:val="13"/>
      <w:u w:val="none"/>
      <w:lang w:val="bg-BG" w:eastAsia="bg-BG" w:bidi="bg-BG"/>
    </w:rPr>
  </w:style>
  <w:style w:type="character" w:customStyle="1" w:styleId="Bodytext42Calibri">
    <w:name w:val="Body text (42) + Calibri"/>
    <w:basedOn w:val="Bodytext42"/>
    <w:rsid w:val="00897511"/>
    <w:rPr>
      <w:rFonts w:ascii="Calibri" w:eastAsia="Calibri" w:hAnsi="Calibri" w:cs="Calibri"/>
      <w:b w:val="0"/>
      <w:bCs w:val="0"/>
      <w:i w:val="0"/>
      <w:iCs w:val="0"/>
      <w:smallCaps w:val="0"/>
      <w:strike w:val="0"/>
      <w:color w:val="000000"/>
      <w:spacing w:val="0"/>
      <w:w w:val="100"/>
      <w:position w:val="0"/>
      <w:sz w:val="13"/>
      <w:szCs w:val="13"/>
      <w:u w:val="none"/>
      <w:lang w:val="bg-BG" w:eastAsia="bg-BG" w:bidi="bg-BG"/>
    </w:rPr>
  </w:style>
  <w:style w:type="character" w:customStyle="1" w:styleId="Picturecaption14">
    <w:name w:val="Picture caption (14)_"/>
    <w:basedOn w:val="DefaultParagraphFont"/>
    <w:rsid w:val="00897511"/>
    <w:rPr>
      <w:rFonts w:ascii="Times New Roman" w:eastAsia="Times New Roman" w:hAnsi="Times New Roman" w:cs="Times New Roman"/>
      <w:b w:val="0"/>
      <w:bCs w:val="0"/>
      <w:i w:val="0"/>
      <w:iCs w:val="0"/>
      <w:smallCaps w:val="0"/>
      <w:strike w:val="0"/>
      <w:sz w:val="13"/>
      <w:szCs w:val="13"/>
      <w:u w:val="none"/>
    </w:rPr>
  </w:style>
  <w:style w:type="character" w:customStyle="1" w:styleId="Picturecaption140">
    <w:name w:val="Picture caption (14)"/>
    <w:basedOn w:val="Picturecaption14"/>
    <w:rsid w:val="00897511"/>
    <w:rPr>
      <w:rFonts w:ascii="Times New Roman" w:eastAsia="Times New Roman" w:hAnsi="Times New Roman" w:cs="Times New Roman"/>
      <w:b w:val="0"/>
      <w:bCs w:val="0"/>
      <w:i w:val="0"/>
      <w:iCs w:val="0"/>
      <w:smallCaps w:val="0"/>
      <w:strike w:val="0"/>
      <w:color w:val="000000"/>
      <w:spacing w:val="0"/>
      <w:w w:val="100"/>
      <w:position w:val="0"/>
      <w:sz w:val="13"/>
      <w:szCs w:val="13"/>
      <w:u w:val="none"/>
      <w:lang w:val="bg-BG" w:eastAsia="bg-BG" w:bidi="bg-BG"/>
    </w:rPr>
  </w:style>
  <w:style w:type="character" w:customStyle="1" w:styleId="Bodytext41">
    <w:name w:val="Body text (41)_"/>
    <w:basedOn w:val="DefaultParagraphFont"/>
    <w:rsid w:val="00897511"/>
    <w:rPr>
      <w:rFonts w:ascii="Times New Roman" w:eastAsia="Times New Roman" w:hAnsi="Times New Roman" w:cs="Times New Roman"/>
      <w:b/>
      <w:bCs/>
      <w:i/>
      <w:iCs/>
      <w:smallCaps w:val="0"/>
      <w:strike w:val="0"/>
      <w:spacing w:val="0"/>
      <w:sz w:val="14"/>
      <w:szCs w:val="14"/>
      <w:u w:val="none"/>
    </w:rPr>
  </w:style>
  <w:style w:type="character" w:customStyle="1" w:styleId="Bodytext410">
    <w:name w:val="Body text (41)"/>
    <w:basedOn w:val="Bodytext41"/>
    <w:rsid w:val="00897511"/>
    <w:rPr>
      <w:rFonts w:ascii="Times New Roman" w:eastAsia="Times New Roman" w:hAnsi="Times New Roman" w:cs="Times New Roman"/>
      <w:b/>
      <w:bCs/>
      <w:i/>
      <w:iCs/>
      <w:smallCaps w:val="0"/>
      <w:strike w:val="0"/>
      <w:color w:val="000000"/>
      <w:spacing w:val="0"/>
      <w:w w:val="100"/>
      <w:position w:val="0"/>
      <w:sz w:val="14"/>
      <w:szCs w:val="14"/>
      <w:u w:val="none"/>
      <w:lang w:val="bg-BG" w:eastAsia="bg-BG" w:bidi="bg-BG"/>
    </w:rPr>
  </w:style>
  <w:style w:type="character" w:customStyle="1" w:styleId="Bodytext7Spacing-1pt">
    <w:name w:val="Body text (7) + Spacing -1 pt"/>
    <w:basedOn w:val="Bodytext7"/>
    <w:rsid w:val="00897511"/>
    <w:rPr>
      <w:rFonts w:ascii="Times New Roman" w:eastAsia="Times New Roman" w:hAnsi="Times New Roman" w:cs="Times New Roman"/>
      <w:b w:val="0"/>
      <w:bCs w:val="0"/>
      <w:i/>
      <w:iCs/>
      <w:smallCaps w:val="0"/>
      <w:strike w:val="0"/>
      <w:color w:val="000000"/>
      <w:spacing w:val="-30"/>
      <w:w w:val="100"/>
      <w:position w:val="0"/>
      <w:sz w:val="24"/>
      <w:szCs w:val="24"/>
      <w:u w:val="none"/>
      <w:lang w:val="bg-BG" w:eastAsia="bg-BG" w:bidi="bg-BG"/>
    </w:rPr>
  </w:style>
  <w:style w:type="character" w:customStyle="1" w:styleId="Bodytext43">
    <w:name w:val="Body text (43)_"/>
    <w:basedOn w:val="DefaultParagraphFont"/>
    <w:link w:val="Bodytext430"/>
    <w:rsid w:val="00897511"/>
    <w:rPr>
      <w:rFonts w:ascii="Franklin Gothic Heavy" w:eastAsia="Franklin Gothic Heavy" w:hAnsi="Franklin Gothic Heavy" w:cs="Franklin Gothic Heavy"/>
      <w:sz w:val="15"/>
      <w:szCs w:val="15"/>
      <w:shd w:val="clear" w:color="auto" w:fill="FFFFFF"/>
      <w:lang w:bidi="en-US"/>
    </w:rPr>
  </w:style>
  <w:style w:type="paragraph" w:customStyle="1" w:styleId="Bodytext430">
    <w:name w:val="Body text (43)"/>
    <w:basedOn w:val="Normal"/>
    <w:link w:val="Bodytext43"/>
    <w:qFormat/>
    <w:rsid w:val="00897511"/>
    <w:pPr>
      <w:widowControl w:val="0"/>
      <w:shd w:val="clear" w:color="auto" w:fill="FFFFFF"/>
      <w:spacing w:after="0" w:line="0" w:lineRule="atLeast"/>
    </w:pPr>
    <w:rPr>
      <w:rFonts w:ascii="Franklin Gothic Heavy" w:eastAsia="Franklin Gothic Heavy" w:hAnsi="Franklin Gothic Heavy" w:cs="Franklin Gothic Heavy"/>
      <w:sz w:val="15"/>
      <w:szCs w:val="15"/>
      <w:lang w:bidi="en-US"/>
    </w:rPr>
  </w:style>
  <w:style w:type="character" w:customStyle="1" w:styleId="Bodytext27Spacing0pt">
    <w:name w:val="Body text (27) + Spacing 0 pt"/>
    <w:basedOn w:val="Bodytext27"/>
    <w:rsid w:val="00897511"/>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bg-BG" w:eastAsia="bg-BG" w:bidi="bg-BG"/>
    </w:rPr>
  </w:style>
  <w:style w:type="character" w:customStyle="1" w:styleId="Bodytext13Spacing0pt">
    <w:name w:val="Body text (13) + Spacing 0 pt"/>
    <w:basedOn w:val="Bodytext13"/>
    <w:rsid w:val="00897511"/>
    <w:rPr>
      <w:rFonts w:ascii="Calibri" w:eastAsia="Calibri" w:hAnsi="Calibri" w:cs="Calibri"/>
      <w:b w:val="0"/>
      <w:bCs w:val="0"/>
      <w:i w:val="0"/>
      <w:iCs w:val="0"/>
      <w:smallCaps w:val="0"/>
      <w:strike w:val="0"/>
      <w:color w:val="000000"/>
      <w:spacing w:val="-10"/>
      <w:w w:val="100"/>
      <w:position w:val="0"/>
      <w:sz w:val="12"/>
      <w:szCs w:val="12"/>
      <w:u w:val="none"/>
      <w:lang w:val="en-US" w:eastAsia="en-US" w:bidi="en-US"/>
    </w:rPr>
  </w:style>
  <w:style w:type="character" w:customStyle="1" w:styleId="Bodytext44">
    <w:name w:val="Body text (44)_"/>
    <w:basedOn w:val="DefaultParagraphFont"/>
    <w:link w:val="Bodytext440"/>
    <w:rsid w:val="00897511"/>
    <w:rPr>
      <w:rFonts w:ascii="Palatino Linotype" w:eastAsia="Palatino Linotype" w:hAnsi="Palatino Linotype" w:cs="Palatino Linotype"/>
      <w:spacing w:val="-20"/>
      <w:w w:val="120"/>
      <w:sz w:val="11"/>
      <w:szCs w:val="11"/>
      <w:shd w:val="clear" w:color="auto" w:fill="FFFFFF"/>
      <w:lang w:bidi="en-US"/>
    </w:rPr>
  </w:style>
  <w:style w:type="paragraph" w:customStyle="1" w:styleId="Bodytext440">
    <w:name w:val="Body text (44)"/>
    <w:basedOn w:val="Normal"/>
    <w:link w:val="Bodytext44"/>
    <w:qFormat/>
    <w:rsid w:val="00897511"/>
    <w:pPr>
      <w:widowControl w:val="0"/>
      <w:shd w:val="clear" w:color="auto" w:fill="FFFFFF"/>
      <w:spacing w:after="0" w:line="106" w:lineRule="exact"/>
    </w:pPr>
    <w:rPr>
      <w:rFonts w:ascii="Palatino Linotype" w:eastAsia="Palatino Linotype" w:hAnsi="Palatino Linotype" w:cs="Palatino Linotype"/>
      <w:spacing w:val="-20"/>
      <w:w w:val="120"/>
      <w:sz w:val="11"/>
      <w:szCs w:val="11"/>
      <w:lang w:bidi="en-US"/>
    </w:rPr>
  </w:style>
  <w:style w:type="character" w:customStyle="1" w:styleId="Bodytext45">
    <w:name w:val="Body text (45)_"/>
    <w:basedOn w:val="DefaultParagraphFont"/>
    <w:link w:val="Bodytext450"/>
    <w:rsid w:val="00897511"/>
    <w:rPr>
      <w:rFonts w:ascii="Palatino Linotype" w:eastAsia="Palatino Linotype" w:hAnsi="Palatino Linotype" w:cs="Palatino Linotype"/>
      <w:b/>
      <w:bCs/>
      <w:sz w:val="17"/>
      <w:szCs w:val="17"/>
      <w:shd w:val="clear" w:color="auto" w:fill="FFFFFF"/>
    </w:rPr>
  </w:style>
  <w:style w:type="paragraph" w:customStyle="1" w:styleId="Bodytext450">
    <w:name w:val="Body text (45)"/>
    <w:basedOn w:val="Normal"/>
    <w:link w:val="Bodytext45"/>
    <w:qFormat/>
    <w:rsid w:val="00897511"/>
    <w:pPr>
      <w:widowControl w:val="0"/>
      <w:shd w:val="clear" w:color="auto" w:fill="FFFFFF"/>
      <w:spacing w:after="0" w:line="115" w:lineRule="exact"/>
    </w:pPr>
    <w:rPr>
      <w:rFonts w:ascii="Palatino Linotype" w:eastAsia="Palatino Linotype" w:hAnsi="Palatino Linotype" w:cs="Palatino Linotype"/>
      <w:b/>
      <w:bCs/>
      <w:sz w:val="17"/>
      <w:szCs w:val="17"/>
    </w:rPr>
  </w:style>
  <w:style w:type="character" w:customStyle="1" w:styleId="Bodytext46">
    <w:name w:val="Body text (46)_"/>
    <w:basedOn w:val="DefaultParagraphFont"/>
    <w:link w:val="Bodytext460"/>
    <w:rsid w:val="00897511"/>
    <w:rPr>
      <w:rFonts w:ascii="Calibri" w:eastAsia="Calibri" w:hAnsi="Calibri" w:cs="Calibri"/>
      <w:b/>
      <w:bCs/>
      <w:spacing w:val="-10"/>
      <w:sz w:val="16"/>
      <w:szCs w:val="16"/>
      <w:shd w:val="clear" w:color="auto" w:fill="FFFFFF"/>
    </w:rPr>
  </w:style>
  <w:style w:type="paragraph" w:customStyle="1" w:styleId="Bodytext460">
    <w:name w:val="Body text (46)"/>
    <w:basedOn w:val="Normal"/>
    <w:link w:val="Bodytext46"/>
    <w:qFormat/>
    <w:rsid w:val="00897511"/>
    <w:pPr>
      <w:widowControl w:val="0"/>
      <w:shd w:val="clear" w:color="auto" w:fill="FFFFFF"/>
      <w:spacing w:after="0" w:line="0" w:lineRule="atLeast"/>
    </w:pPr>
    <w:rPr>
      <w:rFonts w:ascii="Calibri" w:eastAsia="Calibri" w:hAnsi="Calibri" w:cs="Calibri"/>
      <w:b/>
      <w:bCs/>
      <w:spacing w:val="-10"/>
      <w:sz w:val="16"/>
      <w:szCs w:val="16"/>
    </w:rPr>
  </w:style>
  <w:style w:type="character" w:customStyle="1" w:styleId="Bodytext47">
    <w:name w:val="Body text (47)_"/>
    <w:basedOn w:val="DefaultParagraphFont"/>
    <w:link w:val="Bodytext470"/>
    <w:rsid w:val="00897511"/>
    <w:rPr>
      <w:rFonts w:ascii="Calibri" w:eastAsia="Calibri" w:hAnsi="Calibri" w:cs="Calibri"/>
      <w:i/>
      <w:iCs/>
      <w:spacing w:val="-10"/>
      <w:sz w:val="13"/>
      <w:szCs w:val="13"/>
      <w:shd w:val="clear" w:color="auto" w:fill="FFFFFF"/>
    </w:rPr>
  </w:style>
  <w:style w:type="paragraph" w:customStyle="1" w:styleId="Bodytext470">
    <w:name w:val="Body text (47)"/>
    <w:basedOn w:val="Normal"/>
    <w:link w:val="Bodytext47"/>
    <w:qFormat/>
    <w:rsid w:val="00897511"/>
    <w:pPr>
      <w:widowControl w:val="0"/>
      <w:shd w:val="clear" w:color="auto" w:fill="FFFFFF"/>
      <w:spacing w:after="0" w:line="0" w:lineRule="atLeast"/>
    </w:pPr>
    <w:rPr>
      <w:rFonts w:ascii="Calibri" w:eastAsia="Calibri" w:hAnsi="Calibri" w:cs="Calibri"/>
      <w:i/>
      <w:iCs/>
      <w:spacing w:val="-10"/>
      <w:sz w:val="13"/>
      <w:szCs w:val="13"/>
    </w:rPr>
  </w:style>
  <w:style w:type="character" w:customStyle="1" w:styleId="Bodytext48">
    <w:name w:val="Body text (48)_"/>
    <w:basedOn w:val="DefaultParagraphFont"/>
    <w:link w:val="Bodytext480"/>
    <w:rsid w:val="00897511"/>
    <w:rPr>
      <w:rFonts w:ascii="Times New Roman" w:eastAsia="Times New Roman" w:hAnsi="Times New Roman" w:cs="Times New Roman"/>
      <w:i/>
      <w:iCs/>
      <w:sz w:val="12"/>
      <w:szCs w:val="12"/>
      <w:shd w:val="clear" w:color="auto" w:fill="FFFFFF"/>
    </w:rPr>
  </w:style>
  <w:style w:type="paragraph" w:customStyle="1" w:styleId="Bodytext480">
    <w:name w:val="Body text (48)"/>
    <w:basedOn w:val="Normal"/>
    <w:link w:val="Bodytext48"/>
    <w:qFormat/>
    <w:rsid w:val="00897511"/>
    <w:pPr>
      <w:widowControl w:val="0"/>
      <w:shd w:val="clear" w:color="auto" w:fill="FFFFFF"/>
      <w:spacing w:after="0" w:line="0" w:lineRule="atLeast"/>
    </w:pPr>
    <w:rPr>
      <w:rFonts w:eastAsia="Times New Roman" w:cs="Times New Roman"/>
      <w:i/>
      <w:iCs/>
      <w:sz w:val="12"/>
      <w:szCs w:val="12"/>
    </w:rPr>
  </w:style>
  <w:style w:type="character" w:customStyle="1" w:styleId="Bodytext49">
    <w:name w:val="Body text (49)_"/>
    <w:basedOn w:val="DefaultParagraphFont"/>
    <w:link w:val="Bodytext490"/>
    <w:rsid w:val="00897511"/>
    <w:rPr>
      <w:rFonts w:ascii="Franklin Gothic Heavy" w:eastAsia="Franklin Gothic Heavy" w:hAnsi="Franklin Gothic Heavy" w:cs="Franklin Gothic Heavy"/>
      <w:i/>
      <w:iCs/>
      <w:sz w:val="17"/>
      <w:szCs w:val="17"/>
      <w:shd w:val="clear" w:color="auto" w:fill="FFFFFF"/>
    </w:rPr>
  </w:style>
  <w:style w:type="paragraph" w:customStyle="1" w:styleId="Bodytext490">
    <w:name w:val="Body text (49)"/>
    <w:basedOn w:val="Normal"/>
    <w:link w:val="Bodytext49"/>
    <w:qFormat/>
    <w:rsid w:val="00897511"/>
    <w:pPr>
      <w:widowControl w:val="0"/>
      <w:shd w:val="clear" w:color="auto" w:fill="FFFFFF"/>
      <w:spacing w:after="0" w:line="0" w:lineRule="atLeast"/>
    </w:pPr>
    <w:rPr>
      <w:rFonts w:ascii="Franklin Gothic Heavy" w:eastAsia="Franklin Gothic Heavy" w:hAnsi="Franklin Gothic Heavy" w:cs="Franklin Gothic Heavy"/>
      <w:i/>
      <w:iCs/>
      <w:sz w:val="17"/>
      <w:szCs w:val="17"/>
    </w:rPr>
  </w:style>
  <w:style w:type="character" w:customStyle="1" w:styleId="Bodytext500">
    <w:name w:val="Body text (50)_"/>
    <w:basedOn w:val="DefaultParagraphFont"/>
    <w:link w:val="Bodytext501"/>
    <w:rsid w:val="00897511"/>
    <w:rPr>
      <w:rFonts w:ascii="Arial Narrow" w:eastAsia="Arial Narrow" w:hAnsi="Arial Narrow" w:cs="Arial Narrow"/>
      <w:b/>
      <w:bCs/>
      <w:sz w:val="21"/>
      <w:szCs w:val="21"/>
      <w:shd w:val="clear" w:color="auto" w:fill="FFFFFF"/>
    </w:rPr>
  </w:style>
  <w:style w:type="paragraph" w:customStyle="1" w:styleId="Bodytext501">
    <w:name w:val="Body text (50)"/>
    <w:basedOn w:val="Normal"/>
    <w:link w:val="Bodytext500"/>
    <w:qFormat/>
    <w:rsid w:val="00897511"/>
    <w:pPr>
      <w:widowControl w:val="0"/>
      <w:shd w:val="clear" w:color="auto" w:fill="FFFFFF"/>
      <w:spacing w:after="0" w:line="0" w:lineRule="atLeast"/>
    </w:pPr>
    <w:rPr>
      <w:rFonts w:ascii="Arial Narrow" w:eastAsia="Arial Narrow" w:hAnsi="Arial Narrow" w:cs="Arial Narrow"/>
      <w:b/>
      <w:bCs/>
      <w:sz w:val="21"/>
      <w:szCs w:val="21"/>
    </w:rPr>
  </w:style>
  <w:style w:type="character" w:customStyle="1" w:styleId="Bodytext29ptBoldItalicSpacing0pt">
    <w:name w:val="Body text (2) + 9 pt;Bold;Italic;Spacing 0 pt"/>
    <w:basedOn w:val="Bodytext2"/>
    <w:rsid w:val="00897511"/>
    <w:rPr>
      <w:rFonts w:ascii="Times New Roman" w:eastAsia="Times New Roman" w:hAnsi="Times New Roman" w:cs="Times New Roman"/>
      <w:b/>
      <w:bCs/>
      <w:i/>
      <w:iCs/>
      <w:smallCaps w:val="0"/>
      <w:strike w:val="0"/>
      <w:color w:val="000000"/>
      <w:spacing w:val="10"/>
      <w:w w:val="100"/>
      <w:position w:val="0"/>
      <w:sz w:val="18"/>
      <w:szCs w:val="18"/>
      <w:u w:val="none"/>
      <w:lang w:val="bg-BG" w:eastAsia="bg-BG" w:bidi="bg-BG"/>
    </w:rPr>
  </w:style>
  <w:style w:type="character" w:customStyle="1" w:styleId="Tablecaption3Italic">
    <w:name w:val="Table caption (3) + Italic"/>
    <w:basedOn w:val="Tablecaption3"/>
    <w:rsid w:val="00897511"/>
    <w:rPr>
      <w:rFonts w:ascii="Times New Roman" w:eastAsia="Times New Roman" w:hAnsi="Times New Roman" w:cs="Times New Roman"/>
      <w:i/>
      <w:iCs/>
      <w:color w:val="000000"/>
      <w:spacing w:val="0"/>
      <w:w w:val="100"/>
      <w:position w:val="0"/>
      <w:sz w:val="24"/>
      <w:szCs w:val="24"/>
      <w:shd w:val="clear" w:color="auto" w:fill="FFFFFF"/>
      <w:lang w:val="bg-BG" w:eastAsia="bg-BG" w:bidi="bg-BG"/>
    </w:rPr>
  </w:style>
  <w:style w:type="character" w:customStyle="1" w:styleId="Tablecaption7">
    <w:name w:val="Table caption (7)_"/>
    <w:basedOn w:val="DefaultParagraphFont"/>
    <w:link w:val="Tablecaption70"/>
    <w:rsid w:val="00897511"/>
    <w:rPr>
      <w:rFonts w:ascii="Times New Roman" w:eastAsia="Times New Roman" w:hAnsi="Times New Roman" w:cs="Times New Roman"/>
      <w:b/>
      <w:bCs/>
      <w:shd w:val="clear" w:color="auto" w:fill="FFFFFF"/>
    </w:rPr>
  </w:style>
  <w:style w:type="paragraph" w:customStyle="1" w:styleId="Tablecaption70">
    <w:name w:val="Table caption (7)"/>
    <w:basedOn w:val="Normal"/>
    <w:link w:val="Tablecaption7"/>
    <w:qFormat/>
    <w:rsid w:val="00897511"/>
    <w:pPr>
      <w:widowControl w:val="0"/>
      <w:shd w:val="clear" w:color="auto" w:fill="FFFFFF"/>
      <w:spacing w:after="0" w:line="0" w:lineRule="atLeast"/>
      <w:jc w:val="both"/>
    </w:pPr>
    <w:rPr>
      <w:rFonts w:eastAsia="Times New Roman" w:cs="Times New Roman"/>
      <w:b/>
      <w:bCs/>
    </w:rPr>
  </w:style>
  <w:style w:type="character" w:customStyle="1" w:styleId="Bodytext6105ptItalic">
    <w:name w:val="Body text (6) + 10.5 pt;Italic"/>
    <w:basedOn w:val="Bodytext60"/>
    <w:rsid w:val="00897511"/>
    <w:rPr>
      <w:rFonts w:ascii="Times New Roman" w:eastAsia="Times New Roman" w:hAnsi="Times New Roman" w:cs="Times New Roman"/>
      <w:b w:val="0"/>
      <w:bCs w:val="0"/>
      <w:i/>
      <w:iCs/>
      <w:smallCaps w:val="0"/>
      <w:strike w:val="0"/>
      <w:color w:val="000000"/>
      <w:spacing w:val="0"/>
      <w:w w:val="100"/>
      <w:position w:val="0"/>
      <w:sz w:val="21"/>
      <w:szCs w:val="21"/>
      <w:u w:val="none"/>
      <w:lang w:val="bg-BG" w:eastAsia="bg-BG" w:bidi="bg-BG"/>
    </w:rPr>
  </w:style>
  <w:style w:type="character" w:customStyle="1" w:styleId="Bodytext29ptBoldSmallCaps">
    <w:name w:val="Body text (2) + 9 pt;Bold;Small Caps"/>
    <w:basedOn w:val="Bodytext2"/>
    <w:rsid w:val="00897511"/>
    <w:rPr>
      <w:rFonts w:ascii="Times New Roman" w:eastAsia="Times New Roman" w:hAnsi="Times New Roman" w:cs="Times New Roman"/>
      <w:b/>
      <w:bCs/>
      <w:i w:val="0"/>
      <w:iCs w:val="0"/>
      <w:smallCaps/>
      <w:strike w:val="0"/>
      <w:color w:val="000000"/>
      <w:spacing w:val="0"/>
      <w:w w:val="100"/>
      <w:position w:val="0"/>
      <w:sz w:val="18"/>
      <w:szCs w:val="18"/>
      <w:u w:val="none"/>
      <w:lang w:val="bg-BG" w:eastAsia="bg-BG" w:bidi="bg-BG"/>
    </w:rPr>
  </w:style>
  <w:style w:type="character" w:customStyle="1" w:styleId="Bodytext2Spacing-1pt">
    <w:name w:val="Body text (2) + Spacing -1 pt"/>
    <w:basedOn w:val="Bodytext2"/>
    <w:rsid w:val="00897511"/>
    <w:rPr>
      <w:rFonts w:ascii="Times New Roman" w:eastAsia="Times New Roman" w:hAnsi="Times New Roman" w:cs="Times New Roman"/>
      <w:b w:val="0"/>
      <w:bCs w:val="0"/>
      <w:i w:val="0"/>
      <w:iCs w:val="0"/>
      <w:smallCaps w:val="0"/>
      <w:strike w:val="0"/>
      <w:color w:val="000000"/>
      <w:spacing w:val="-20"/>
      <w:w w:val="100"/>
      <w:position w:val="0"/>
      <w:sz w:val="24"/>
      <w:szCs w:val="24"/>
      <w:u w:val="none"/>
      <w:lang w:val="bg-BG" w:eastAsia="bg-BG" w:bidi="bg-BG"/>
    </w:rPr>
  </w:style>
  <w:style w:type="paragraph" w:styleId="TOC4">
    <w:name w:val="toc 4"/>
    <w:basedOn w:val="Normal"/>
    <w:next w:val="Normal"/>
    <w:autoRedefine/>
    <w:uiPriority w:val="39"/>
    <w:unhideWhenUsed/>
    <w:rsid w:val="00897511"/>
    <w:pPr>
      <w:widowControl w:val="0"/>
      <w:spacing w:after="0" w:line="240" w:lineRule="auto"/>
      <w:ind w:left="720"/>
    </w:pPr>
    <w:rPr>
      <w:rFonts w:eastAsia="Microsoft Sans Serif" w:cs="Microsoft Sans Serif"/>
      <w:smallCaps/>
      <w:color w:val="000000"/>
      <w:sz w:val="18"/>
      <w:szCs w:val="24"/>
      <w:lang w:eastAsia="bg-BG" w:bidi="bg-BG"/>
    </w:rPr>
  </w:style>
  <w:style w:type="paragraph" w:styleId="TOC5">
    <w:name w:val="toc 5"/>
    <w:basedOn w:val="Normal"/>
    <w:next w:val="Normal"/>
    <w:autoRedefine/>
    <w:uiPriority w:val="39"/>
    <w:unhideWhenUsed/>
    <w:rsid w:val="00897511"/>
    <w:pPr>
      <w:widowControl w:val="0"/>
      <w:spacing w:after="100" w:line="240" w:lineRule="auto"/>
      <w:ind w:left="960"/>
    </w:pPr>
    <w:rPr>
      <w:rFonts w:ascii="Microsoft Sans Serif" w:eastAsia="Microsoft Sans Serif" w:hAnsi="Microsoft Sans Serif" w:cs="Microsoft Sans Serif"/>
      <w:color w:val="000000"/>
      <w:szCs w:val="24"/>
      <w:lang w:eastAsia="bg-BG" w:bidi="bg-BG"/>
    </w:rPr>
  </w:style>
  <w:style w:type="paragraph" w:styleId="Caption">
    <w:name w:val="caption"/>
    <w:aliases w:val="Caption Char2,Caption Char Char1,Caption Char1 Char Char,Caption Char Char Char Char,Caption Char1 Char1,Caption Char Char Char1,таблица Char,Caption Char2 Char,Caption Char1 Char Char Char Char Char,Caption Char1 Char,Caption Char Char Char"/>
    <w:basedOn w:val="Normal"/>
    <w:next w:val="Normal"/>
    <w:link w:val="CaptionChar"/>
    <w:uiPriority w:val="35"/>
    <w:unhideWhenUsed/>
    <w:qFormat/>
    <w:rsid w:val="00897511"/>
    <w:pPr>
      <w:spacing w:after="120" w:line="240" w:lineRule="auto"/>
      <w:jc w:val="center"/>
    </w:pPr>
    <w:rPr>
      <w:rFonts w:cs="Times New Roman"/>
      <w:i/>
      <w:iCs/>
      <w:szCs w:val="24"/>
    </w:rPr>
  </w:style>
  <w:style w:type="table" w:styleId="TableGrid">
    <w:name w:val="Table Grid"/>
    <w:basedOn w:val="TableNormal"/>
    <w:uiPriority w:val="59"/>
    <w:rsid w:val="008975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975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7511"/>
    <w:rPr>
      <w:rFonts w:ascii="Segoe UI" w:hAnsi="Segoe UI" w:cs="Segoe UI"/>
      <w:sz w:val="18"/>
      <w:szCs w:val="18"/>
    </w:rPr>
  </w:style>
  <w:style w:type="character" w:styleId="FootnoteReference">
    <w:name w:val="footnote reference"/>
    <w:aliases w:val="Footnote symbol,SUPERS,ftref,Footnotes refss,Fussnota,Footnote reference number,Times 10 Point,Exposant 3 Point,EN Footnote Reference,note TESI,Footnote Reference Superscript, Zchn Zchn,Footnote number,Nota,Ref,BVI fnr,R"/>
    <w:basedOn w:val="DefaultParagraphFont"/>
    <w:link w:val="SUPERSChar"/>
    <w:unhideWhenUsed/>
    <w:qFormat/>
    <w:rsid w:val="00897511"/>
    <w:rPr>
      <w:vertAlign w:val="superscript"/>
    </w:rPr>
  </w:style>
  <w:style w:type="paragraph" w:customStyle="1" w:styleId="myfootnotes">
    <w:name w:val="my footnotes"/>
    <w:basedOn w:val="FootnoteText"/>
    <w:link w:val="myfootnotesChar"/>
    <w:qFormat/>
    <w:rsid w:val="00897511"/>
    <w:pPr>
      <w:ind w:left="284" w:hanging="284"/>
      <w:jc w:val="both"/>
    </w:pPr>
    <w:rPr>
      <w:rFonts w:ascii="Arial" w:hAnsi="Arial" w:cs="Arial"/>
    </w:rPr>
  </w:style>
  <w:style w:type="paragraph" w:styleId="FootnoteText">
    <w:name w:val="footnote text"/>
    <w:aliases w:val="Footnote Text Char Char Char Char Char Char,fn,single space,FOOTNOTES,Footnote Text Char Char,ft,Texto nota pie Car,Fußnotentext Char,Fußnotentext arial,ALTS FOOTNOTE,ADB,pod carou,Footnote text,Fußnotentextf,Char,Fußnote,Carattere"/>
    <w:basedOn w:val="Normal"/>
    <w:link w:val="FootnoteTextChar"/>
    <w:uiPriority w:val="99"/>
    <w:unhideWhenUsed/>
    <w:qFormat/>
    <w:rsid w:val="00897511"/>
    <w:pPr>
      <w:spacing w:after="0" w:line="240" w:lineRule="auto"/>
    </w:pPr>
    <w:rPr>
      <w:sz w:val="20"/>
      <w:szCs w:val="20"/>
    </w:rPr>
  </w:style>
  <w:style w:type="character" w:customStyle="1" w:styleId="FootnoteTextChar">
    <w:name w:val="Footnote Text Char"/>
    <w:aliases w:val="Footnote Text Char Char Char Char Char Char Char,fn Char,single space Char,FOOTNOTES Char,Footnote Text Char Char Char,ft Char,Texto nota pie Car Char,Fußnotentext Char Char,Fußnotentext arial Char,ALTS FOOTNOTE Char,ADB Char"/>
    <w:basedOn w:val="DefaultParagraphFont"/>
    <w:link w:val="FootnoteText"/>
    <w:uiPriority w:val="99"/>
    <w:qFormat/>
    <w:rsid w:val="00897511"/>
    <w:rPr>
      <w:sz w:val="20"/>
      <w:szCs w:val="20"/>
    </w:rPr>
  </w:style>
  <w:style w:type="character" w:customStyle="1" w:styleId="UnresolvedMention1">
    <w:name w:val="Unresolved Mention1"/>
    <w:basedOn w:val="DefaultParagraphFont"/>
    <w:uiPriority w:val="99"/>
    <w:semiHidden/>
    <w:unhideWhenUsed/>
    <w:rsid w:val="00897511"/>
    <w:rPr>
      <w:color w:val="605E5C"/>
      <w:shd w:val="clear" w:color="auto" w:fill="E1DFDD"/>
    </w:rPr>
  </w:style>
  <w:style w:type="character" w:styleId="CommentReference">
    <w:name w:val="annotation reference"/>
    <w:basedOn w:val="DefaultParagraphFont"/>
    <w:uiPriority w:val="99"/>
    <w:unhideWhenUsed/>
    <w:rsid w:val="00897511"/>
    <w:rPr>
      <w:sz w:val="16"/>
      <w:szCs w:val="16"/>
    </w:rPr>
  </w:style>
  <w:style w:type="paragraph" w:styleId="CommentText">
    <w:name w:val="annotation text"/>
    <w:basedOn w:val="Normal"/>
    <w:link w:val="CommentTextChar"/>
    <w:uiPriority w:val="99"/>
    <w:unhideWhenUsed/>
    <w:rsid w:val="00897511"/>
    <w:pPr>
      <w:spacing w:line="240" w:lineRule="auto"/>
    </w:pPr>
    <w:rPr>
      <w:sz w:val="20"/>
      <w:szCs w:val="20"/>
    </w:rPr>
  </w:style>
  <w:style w:type="character" w:customStyle="1" w:styleId="CommentTextChar">
    <w:name w:val="Comment Text Char"/>
    <w:basedOn w:val="DefaultParagraphFont"/>
    <w:link w:val="CommentText"/>
    <w:uiPriority w:val="99"/>
    <w:rsid w:val="00897511"/>
    <w:rPr>
      <w:sz w:val="20"/>
      <w:szCs w:val="20"/>
    </w:rPr>
  </w:style>
  <w:style w:type="paragraph" w:styleId="CommentSubject">
    <w:name w:val="annotation subject"/>
    <w:basedOn w:val="CommentText"/>
    <w:next w:val="CommentText"/>
    <w:link w:val="CommentSubjectChar"/>
    <w:uiPriority w:val="99"/>
    <w:semiHidden/>
    <w:unhideWhenUsed/>
    <w:rsid w:val="00897511"/>
    <w:rPr>
      <w:b/>
      <w:bCs/>
    </w:rPr>
  </w:style>
  <w:style w:type="character" w:customStyle="1" w:styleId="CommentSubjectChar">
    <w:name w:val="Comment Subject Char"/>
    <w:basedOn w:val="CommentTextChar"/>
    <w:link w:val="CommentSubject"/>
    <w:uiPriority w:val="99"/>
    <w:semiHidden/>
    <w:rsid w:val="00897511"/>
    <w:rPr>
      <w:b/>
      <w:bCs/>
      <w:sz w:val="20"/>
      <w:szCs w:val="20"/>
    </w:rPr>
  </w:style>
  <w:style w:type="table" w:customStyle="1" w:styleId="Style2">
    <w:name w:val="Style2"/>
    <w:basedOn w:val="TableContemporary"/>
    <w:uiPriority w:val="99"/>
    <w:rsid w:val="00897511"/>
    <w:pPr>
      <w:spacing w:after="0" w:line="240" w:lineRule="auto"/>
    </w:pPr>
    <w:rPr>
      <w:rFonts w:ascii="Courier New" w:eastAsia="Courier New" w:hAnsi="Courier New" w:cs="Courier New"/>
      <w:color w:val="auto"/>
      <w:sz w:val="20"/>
      <w:szCs w:val="24"/>
      <w:lang w:val="en-US" w:eastAsia="bg-BG"/>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Contemporary">
    <w:name w:val="Table Contemporary"/>
    <w:basedOn w:val="TableNormal"/>
    <w:uiPriority w:val="99"/>
    <w:semiHidden/>
    <w:unhideWhenUsed/>
    <w:rsid w:val="0089751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1">
    <w:name w:val="Style1"/>
    <w:basedOn w:val="TableNormal"/>
    <w:rsid w:val="00897511"/>
    <w:pPr>
      <w:spacing w:after="0" w:line="240" w:lineRule="auto"/>
    </w:pPr>
    <w:tblPr/>
  </w:style>
  <w:style w:type="table" w:customStyle="1" w:styleId="Style3">
    <w:name w:val="Style3"/>
    <w:basedOn w:val="TableContemporary"/>
    <w:uiPriority w:val="99"/>
    <w:rsid w:val="00897511"/>
    <w:pPr>
      <w:spacing w:after="0" w:line="240" w:lineRule="auto"/>
    </w:pPr>
    <w:rPr>
      <w:rFonts w:ascii="Arial" w:hAnsi="Arial"/>
      <w:sz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Contemporary"/>
    <w:uiPriority w:val="40"/>
    <w:rsid w:val="008975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4">
    <w:name w:val="Style4"/>
    <w:basedOn w:val="TableContemporary"/>
    <w:uiPriority w:val="99"/>
    <w:rsid w:val="00897511"/>
    <w:pPr>
      <w:spacing w:after="0" w:line="240" w:lineRule="auto"/>
    </w:pPr>
    <w:rPr>
      <w:rFonts w:ascii="Arial" w:hAnsi="Arial"/>
      <w:sz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5">
    <w:name w:val="Style5"/>
    <w:basedOn w:val="TableContemporary"/>
    <w:uiPriority w:val="99"/>
    <w:rsid w:val="00897511"/>
    <w:pPr>
      <w:spacing w:after="0" w:line="240" w:lineRule="auto"/>
    </w:p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
    <w:name w:val="Table Contemporary1"/>
    <w:basedOn w:val="TableNormal"/>
    <w:next w:val="TableContemporary"/>
    <w:rsid w:val="00897511"/>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ListiIndenta">
    <w:name w:val="List i) Indent a)"/>
    <w:basedOn w:val="Normal"/>
    <w:uiPriority w:val="99"/>
    <w:qFormat/>
    <w:rsid w:val="00897511"/>
    <w:pPr>
      <w:numPr>
        <w:numId w:val="1"/>
      </w:numPr>
      <w:tabs>
        <w:tab w:val="left" w:pos="1771"/>
        <w:tab w:val="left" w:pos="2491"/>
      </w:tabs>
      <w:suppressAutoHyphens/>
      <w:spacing w:after="240" w:line="240" w:lineRule="auto"/>
      <w:ind w:left="3960"/>
      <w:jc w:val="both"/>
    </w:pPr>
    <w:rPr>
      <w:rFonts w:ascii="Arial" w:eastAsia="Times New Roman" w:hAnsi="Arial" w:cs="Times New Roman"/>
      <w:szCs w:val="20"/>
    </w:rPr>
  </w:style>
  <w:style w:type="paragraph" w:customStyle="1" w:styleId="GMbodytext">
    <w:name w:val="GM body text"/>
    <w:basedOn w:val="Normal"/>
    <w:link w:val="GMbodytextCharChar"/>
    <w:qFormat/>
    <w:rsid w:val="00897511"/>
    <w:pPr>
      <w:tabs>
        <w:tab w:val="left" w:pos="851"/>
      </w:tabs>
      <w:suppressAutoHyphens/>
      <w:spacing w:before="120" w:after="120" w:line="320" w:lineRule="atLeast"/>
      <w:ind w:firstLine="851"/>
      <w:jc w:val="both"/>
    </w:pPr>
    <w:rPr>
      <w:rFonts w:ascii="Arial" w:eastAsia="Times New Roman" w:hAnsi="Arial" w:cs="Times New Roman"/>
      <w:szCs w:val="20"/>
    </w:rPr>
  </w:style>
  <w:style w:type="character" w:customStyle="1" w:styleId="GMbodytextCharChar">
    <w:name w:val="GM body text Char Char"/>
    <w:link w:val="GMbodytext"/>
    <w:rsid w:val="00897511"/>
    <w:rPr>
      <w:rFonts w:ascii="Arial" w:eastAsia="Times New Roman" w:hAnsi="Arial" w:cs="Times New Roman"/>
      <w:szCs w:val="20"/>
    </w:rPr>
  </w:style>
  <w:style w:type="paragraph" w:styleId="TableofFigures">
    <w:name w:val="table of figures"/>
    <w:basedOn w:val="Normal"/>
    <w:next w:val="Normal"/>
    <w:uiPriority w:val="99"/>
    <w:unhideWhenUsed/>
    <w:rsid w:val="00897511"/>
    <w:pPr>
      <w:spacing w:after="0" w:line="240" w:lineRule="auto"/>
      <w:ind w:left="709" w:hanging="709"/>
    </w:pPr>
    <w:rPr>
      <w:smallCaps/>
      <w:sz w:val="20"/>
    </w:rPr>
  </w:style>
  <w:style w:type="paragraph" w:customStyle="1" w:styleId="moifootnote">
    <w:name w:val="moi footnote"/>
    <w:basedOn w:val="FootnoteText"/>
    <w:link w:val="moifootnoteChar"/>
    <w:qFormat/>
    <w:rsid w:val="00897511"/>
    <w:pPr>
      <w:spacing w:after="40"/>
      <w:ind w:left="210" w:hanging="210"/>
      <w:jc w:val="both"/>
    </w:pPr>
    <w:rPr>
      <w:rFonts w:eastAsia="Calibri" w:cs="Times New Roman"/>
      <w:szCs w:val="22"/>
    </w:rPr>
  </w:style>
  <w:style w:type="character" w:customStyle="1" w:styleId="moifootnoteChar">
    <w:name w:val="moi footnote Char"/>
    <w:link w:val="moifootnote"/>
    <w:locked/>
    <w:rsid w:val="00897511"/>
    <w:rPr>
      <w:rFonts w:ascii="Times New Roman" w:eastAsia="Calibri" w:hAnsi="Times New Roman" w:cs="Times New Roman"/>
      <w:sz w:val="20"/>
    </w:rPr>
  </w:style>
  <w:style w:type="paragraph" w:customStyle="1" w:styleId="7-2">
    <w:name w:val="7 - Тирее 2ро ниво"/>
    <w:basedOn w:val="Normal"/>
    <w:link w:val="7-2Char"/>
    <w:qFormat/>
    <w:rsid w:val="00897511"/>
    <w:pPr>
      <w:tabs>
        <w:tab w:val="left" w:pos="1276"/>
      </w:tabs>
      <w:spacing w:after="60" w:line="240" w:lineRule="auto"/>
      <w:ind w:firstLine="992"/>
      <w:jc w:val="both"/>
    </w:pPr>
    <w:rPr>
      <w:rFonts w:ascii="Calibri" w:eastAsia="Calibri" w:hAnsi="Calibri" w:cs="Times New Roman"/>
      <w:noProof/>
      <w:lang w:eastAsia="bg-BG"/>
    </w:rPr>
  </w:style>
  <w:style w:type="character" w:customStyle="1" w:styleId="7-2Char">
    <w:name w:val="7 - Тирее 2ро ниво Char"/>
    <w:link w:val="7-2"/>
    <w:rsid w:val="00897511"/>
    <w:rPr>
      <w:rFonts w:ascii="Calibri" w:eastAsia="Calibri" w:hAnsi="Calibri" w:cs="Times New Roman"/>
      <w:noProof/>
      <w:sz w:val="24"/>
      <w:lang w:eastAsia="bg-BG"/>
    </w:rPr>
  </w:style>
  <w:style w:type="table" w:customStyle="1" w:styleId="TableContemporary11">
    <w:name w:val="Table Contemporary11"/>
    <w:basedOn w:val="TableNormal"/>
    <w:next w:val="TableContemporary"/>
    <w:rsid w:val="00897511"/>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FollowedHyperlink">
    <w:name w:val="FollowedHyperlink"/>
    <w:basedOn w:val="DefaultParagraphFont"/>
    <w:uiPriority w:val="99"/>
    <w:semiHidden/>
    <w:unhideWhenUsed/>
    <w:rsid w:val="00897511"/>
    <w:rPr>
      <w:color w:val="954F72" w:themeColor="followedHyperlink"/>
      <w:u w:val="single"/>
    </w:rPr>
  </w:style>
  <w:style w:type="paragraph" w:customStyle="1" w:styleId="msonormal0">
    <w:name w:val="msonormal"/>
    <w:basedOn w:val="Normal"/>
    <w:uiPriority w:val="99"/>
    <w:qFormat/>
    <w:rsid w:val="00897511"/>
    <w:pPr>
      <w:spacing w:before="100" w:beforeAutospacing="1" w:after="100" w:afterAutospacing="1" w:line="240" w:lineRule="auto"/>
    </w:pPr>
    <w:rPr>
      <w:rFonts w:eastAsia="Times New Roman" w:cs="Times New Roman"/>
      <w:szCs w:val="24"/>
      <w:lang w:eastAsia="bg-BG"/>
    </w:rPr>
  </w:style>
  <w:style w:type="paragraph" w:customStyle="1" w:styleId="western">
    <w:name w:val="western"/>
    <w:basedOn w:val="Normal"/>
    <w:uiPriority w:val="99"/>
    <w:qFormat/>
    <w:rsid w:val="00897511"/>
    <w:pPr>
      <w:spacing w:before="100" w:beforeAutospacing="1" w:after="100" w:afterAutospacing="1" w:line="240" w:lineRule="auto"/>
    </w:pPr>
    <w:rPr>
      <w:rFonts w:eastAsia="Times New Roman" w:cs="Times New Roman"/>
      <w:szCs w:val="24"/>
      <w:lang w:eastAsia="bg-BG"/>
    </w:rPr>
  </w:style>
  <w:style w:type="paragraph" w:customStyle="1" w:styleId="soerkeyblue">
    <w:name w:val="soerkeyblue"/>
    <w:basedOn w:val="Normal"/>
    <w:qFormat/>
    <w:rsid w:val="00897511"/>
    <w:pPr>
      <w:spacing w:before="100" w:beforeAutospacing="1" w:after="100" w:afterAutospacing="1" w:line="240" w:lineRule="auto"/>
    </w:pPr>
    <w:rPr>
      <w:rFonts w:eastAsia="Times New Roman" w:cs="Times New Roman"/>
      <w:szCs w:val="24"/>
      <w:lang w:eastAsia="bg-BG"/>
    </w:rPr>
  </w:style>
  <w:style w:type="paragraph" w:styleId="NormalWeb">
    <w:name w:val="Normal (Web)"/>
    <w:aliases w:val="webb, webb, Знак, Char Char Char,Char Char Char,Знак"/>
    <w:basedOn w:val="Normal"/>
    <w:link w:val="NormalWebChar"/>
    <w:uiPriority w:val="99"/>
    <w:unhideWhenUsed/>
    <w:qFormat/>
    <w:rsid w:val="00897511"/>
    <w:pPr>
      <w:spacing w:before="100" w:beforeAutospacing="1" w:after="100" w:afterAutospacing="1" w:line="240" w:lineRule="auto"/>
    </w:pPr>
    <w:rPr>
      <w:rFonts w:eastAsia="Times New Roman" w:cs="Times New Roman"/>
      <w:szCs w:val="24"/>
      <w:lang w:eastAsia="bg-BG"/>
    </w:rPr>
  </w:style>
  <w:style w:type="character" w:styleId="Strong">
    <w:name w:val="Strong"/>
    <w:basedOn w:val="DefaultParagraphFont"/>
    <w:uiPriority w:val="22"/>
    <w:qFormat/>
    <w:rsid w:val="00897511"/>
    <w:rPr>
      <w:b/>
      <w:bCs/>
    </w:rPr>
  </w:style>
  <w:style w:type="paragraph" w:customStyle="1" w:styleId="nik">
    <w:name w:val="nik"/>
    <w:basedOn w:val="Normal"/>
    <w:uiPriority w:val="99"/>
    <w:qFormat/>
    <w:rsid w:val="00897511"/>
    <w:pPr>
      <w:spacing w:before="100" w:beforeAutospacing="1" w:after="100" w:afterAutospacing="1" w:line="240" w:lineRule="auto"/>
    </w:pPr>
    <w:rPr>
      <w:rFonts w:eastAsia="Times New Roman" w:cs="Times New Roman"/>
      <w:szCs w:val="24"/>
      <w:lang w:eastAsia="bg-BG"/>
    </w:rPr>
  </w:style>
  <w:style w:type="character" w:styleId="Emphasis">
    <w:name w:val="Emphasis"/>
    <w:basedOn w:val="DefaultParagraphFont"/>
    <w:uiPriority w:val="20"/>
    <w:qFormat/>
    <w:rsid w:val="00897511"/>
    <w:rPr>
      <w:i/>
      <w:iCs/>
    </w:rPr>
  </w:style>
  <w:style w:type="paragraph" w:customStyle="1" w:styleId="TableFigure">
    <w:name w:val="Table/Figure"/>
    <w:basedOn w:val="Caption"/>
    <w:link w:val="TableFigureChar"/>
    <w:qFormat/>
    <w:rsid w:val="00897511"/>
    <w:rPr>
      <w:rFonts w:asciiTheme="majorHAnsi" w:hAnsiTheme="majorHAnsi" w:cstheme="minorHAnsi"/>
      <w:b/>
      <w:bCs/>
      <w:i w:val="0"/>
      <w:iCs w:val="0"/>
      <w:smallCaps/>
      <w:color w:val="323E4F" w:themeColor="text2" w:themeShade="BF"/>
      <w:sz w:val="21"/>
      <w:szCs w:val="21"/>
    </w:rPr>
  </w:style>
  <w:style w:type="character" w:customStyle="1" w:styleId="TableFigureChar">
    <w:name w:val="Table/Figure Char"/>
    <w:basedOn w:val="DefaultParagraphFont"/>
    <w:link w:val="TableFigure"/>
    <w:rsid w:val="00897511"/>
    <w:rPr>
      <w:rFonts w:asciiTheme="majorHAnsi" w:hAnsiTheme="majorHAnsi" w:cstheme="minorHAnsi"/>
      <w:b/>
      <w:bCs/>
      <w:smallCaps/>
      <w:color w:val="323E4F" w:themeColor="text2" w:themeShade="BF"/>
      <w:sz w:val="21"/>
      <w:szCs w:val="21"/>
    </w:rPr>
  </w:style>
  <w:style w:type="paragraph" w:customStyle="1" w:styleId="myfootnote">
    <w:name w:val="my footnote"/>
    <w:basedOn w:val="FootnoteText"/>
    <w:link w:val="myfootnoteChar"/>
    <w:qFormat/>
    <w:rsid w:val="00897511"/>
    <w:pPr>
      <w:tabs>
        <w:tab w:val="left" w:pos="182"/>
      </w:tabs>
      <w:spacing w:line="200" w:lineRule="exact"/>
      <w:ind w:left="198" w:hanging="198"/>
      <w:jc w:val="both"/>
    </w:pPr>
    <w:rPr>
      <w:rFonts w:asciiTheme="majorHAnsi" w:hAnsiTheme="majorHAnsi"/>
    </w:rPr>
  </w:style>
  <w:style w:type="character" w:customStyle="1" w:styleId="myfootnoteChar">
    <w:name w:val="my footnote Char"/>
    <w:basedOn w:val="DefaultParagraphFont"/>
    <w:link w:val="myfootnote"/>
    <w:rsid w:val="00897511"/>
    <w:rPr>
      <w:rFonts w:asciiTheme="majorHAnsi" w:hAnsiTheme="majorHAnsi"/>
      <w:color w:val="000000" w:themeColor="text1"/>
      <w:sz w:val="20"/>
      <w:szCs w:val="20"/>
    </w:rPr>
  </w:style>
  <w:style w:type="character" w:customStyle="1" w:styleId="Bodytext">
    <w:name w:val="Body text_"/>
    <w:link w:val="BodyText2a"/>
    <w:rsid w:val="00897511"/>
    <w:rPr>
      <w:rFonts w:ascii="Times New Roman" w:eastAsia="Times New Roman" w:hAnsi="Times New Roman" w:cs="Times New Roman"/>
      <w:sz w:val="27"/>
      <w:szCs w:val="27"/>
      <w:shd w:val="clear" w:color="auto" w:fill="FFFFFF"/>
    </w:rPr>
  </w:style>
  <w:style w:type="paragraph" w:customStyle="1" w:styleId="BodyText2a">
    <w:name w:val="Body Text2"/>
    <w:basedOn w:val="Normal"/>
    <w:link w:val="Bodytext"/>
    <w:qFormat/>
    <w:rsid w:val="00897511"/>
    <w:pPr>
      <w:shd w:val="clear" w:color="auto" w:fill="FFFFFF"/>
      <w:spacing w:before="420" w:after="0" w:line="322" w:lineRule="exact"/>
      <w:jc w:val="center"/>
    </w:pPr>
    <w:rPr>
      <w:rFonts w:eastAsia="Times New Roman" w:cs="Times New Roman"/>
      <w:sz w:val="27"/>
      <w:szCs w:val="27"/>
    </w:rPr>
  </w:style>
  <w:style w:type="character" w:customStyle="1" w:styleId="BodyText1">
    <w:name w:val="Body Text1"/>
    <w:rsid w:val="00897511"/>
    <w:rPr>
      <w:rFonts w:ascii="Times New Roman" w:eastAsia="Times New Roman" w:hAnsi="Times New Roman" w:cs="Times New Roman"/>
      <w:sz w:val="27"/>
      <w:szCs w:val="27"/>
      <w:shd w:val="clear" w:color="auto" w:fill="FFFFFF"/>
    </w:rPr>
  </w:style>
  <w:style w:type="character" w:customStyle="1" w:styleId="Bodytext2Sylfaen65pt">
    <w:name w:val="Body text (2) + Sylfaen;6.5 pt"/>
    <w:basedOn w:val="Bodytext2"/>
    <w:rsid w:val="00897511"/>
    <w:rPr>
      <w:rFonts w:ascii="Sylfaen" w:eastAsia="Sylfaen" w:hAnsi="Sylfaen" w:cs="Sylfaen"/>
      <w:b w:val="0"/>
      <w:bCs w:val="0"/>
      <w:i w:val="0"/>
      <w:iCs w:val="0"/>
      <w:smallCaps w:val="0"/>
      <w:strike w:val="0"/>
      <w:color w:val="000000"/>
      <w:spacing w:val="0"/>
      <w:w w:val="100"/>
      <w:position w:val="0"/>
      <w:sz w:val="13"/>
      <w:szCs w:val="13"/>
      <w:u w:val="none"/>
      <w:shd w:val="clear" w:color="auto" w:fill="FFFFFF"/>
      <w:lang w:val="bg-BG" w:eastAsia="bg-BG" w:bidi="bg-BG"/>
    </w:rPr>
  </w:style>
  <w:style w:type="paragraph" w:styleId="BodyText0">
    <w:name w:val="Body Text"/>
    <w:basedOn w:val="Normal"/>
    <w:link w:val="BodyTextChar"/>
    <w:uiPriority w:val="1"/>
    <w:unhideWhenUsed/>
    <w:qFormat/>
    <w:rsid w:val="00897511"/>
    <w:pPr>
      <w:spacing w:after="120"/>
    </w:pPr>
  </w:style>
  <w:style w:type="character" w:customStyle="1" w:styleId="BodyTextChar">
    <w:name w:val="Body Text Char"/>
    <w:basedOn w:val="DefaultParagraphFont"/>
    <w:link w:val="BodyText0"/>
    <w:uiPriority w:val="1"/>
    <w:rsid w:val="00897511"/>
  </w:style>
  <w:style w:type="paragraph" w:styleId="NormalIndent">
    <w:name w:val="Normal Indent"/>
    <w:aliases w:val="Normal Indent Char1 Char,Normal Indent Char Char Char,Normal Indent Char1 Char1,Normal Indent Char1 Char2,Normal Indent Char Char Char2,Normal Indent Char Char,Normal Indent Char1,Normal Indent Char Char Char1,Normal Indent Char2"/>
    <w:basedOn w:val="Normal"/>
    <w:link w:val="NormalIndentChar"/>
    <w:qFormat/>
    <w:rsid w:val="00897511"/>
    <w:pPr>
      <w:widowControl w:val="0"/>
      <w:suppressAutoHyphens/>
      <w:spacing w:after="0" w:line="240" w:lineRule="auto"/>
      <w:ind w:left="720"/>
    </w:pPr>
    <w:rPr>
      <w:rFonts w:ascii="Liberation Serif" w:eastAsia="DejaVu Sans" w:hAnsi="Liberation Serif" w:cs="Times New Roman"/>
      <w:color w:val="000000"/>
      <w:szCs w:val="24"/>
    </w:rPr>
  </w:style>
  <w:style w:type="paragraph" w:customStyle="1" w:styleId="TableContents">
    <w:name w:val="Table Contents"/>
    <w:basedOn w:val="Normal"/>
    <w:uiPriority w:val="99"/>
    <w:qFormat/>
    <w:rsid w:val="00897511"/>
    <w:pPr>
      <w:widowControl w:val="0"/>
      <w:suppressLineNumbers/>
      <w:suppressAutoHyphens/>
      <w:spacing w:after="0" w:line="240" w:lineRule="auto"/>
    </w:pPr>
    <w:rPr>
      <w:rFonts w:ascii="Liberation Serif" w:eastAsia="DejaVu Sans" w:hAnsi="Liberation Serif" w:cs="Times New Roman"/>
      <w:color w:val="000000"/>
      <w:szCs w:val="24"/>
    </w:rPr>
  </w:style>
  <w:style w:type="paragraph" w:customStyle="1" w:styleId="SectionTitle">
    <w:name w:val="Section Title"/>
    <w:basedOn w:val="Normal"/>
    <w:uiPriority w:val="99"/>
    <w:qFormat/>
    <w:rsid w:val="00897511"/>
    <w:pPr>
      <w:widowControl w:val="0"/>
      <w:suppressAutoHyphens/>
      <w:snapToGrid w:val="0"/>
      <w:spacing w:before="360" w:after="240" w:line="240" w:lineRule="auto"/>
    </w:pPr>
    <w:rPr>
      <w:rFonts w:ascii="Liberation Serif" w:eastAsia="DejaVu Sans" w:hAnsi="Liberation Serif" w:cs="Times New Roman"/>
      <w:color w:val="000000"/>
      <w:sz w:val="26"/>
      <w:szCs w:val="26"/>
    </w:rPr>
  </w:style>
  <w:style w:type="character" w:customStyle="1" w:styleId="UnresolvedMention2">
    <w:name w:val="Unresolved Mention2"/>
    <w:basedOn w:val="DefaultParagraphFont"/>
    <w:uiPriority w:val="99"/>
    <w:semiHidden/>
    <w:unhideWhenUsed/>
    <w:rsid w:val="00897511"/>
    <w:rPr>
      <w:color w:val="605E5C"/>
      <w:shd w:val="clear" w:color="auto" w:fill="E1DFDD"/>
    </w:rPr>
  </w:style>
  <w:style w:type="paragraph" w:customStyle="1" w:styleId="Reference">
    <w:name w:val="Reference"/>
    <w:basedOn w:val="Normal"/>
    <w:uiPriority w:val="99"/>
    <w:qFormat/>
    <w:rsid w:val="00897511"/>
    <w:pPr>
      <w:spacing w:after="0" w:line="240" w:lineRule="auto"/>
      <w:ind w:left="274" w:hanging="274"/>
      <w:jc w:val="both"/>
    </w:pPr>
    <w:rPr>
      <w:rFonts w:eastAsia="Times New Roman" w:cs="Times New Roman"/>
      <w:sz w:val="18"/>
      <w:szCs w:val="20"/>
      <w:lang w:val="en-US"/>
    </w:rPr>
  </w:style>
  <w:style w:type="character" w:customStyle="1" w:styleId="st">
    <w:name w:val="st"/>
    <w:basedOn w:val="DefaultParagraphFont"/>
    <w:rsid w:val="00897511"/>
  </w:style>
  <w:style w:type="character" w:customStyle="1" w:styleId="tlid-translation">
    <w:name w:val="tlid-translation"/>
    <w:basedOn w:val="DefaultParagraphFont"/>
    <w:rsid w:val="00897511"/>
  </w:style>
  <w:style w:type="paragraph" w:customStyle="1" w:styleId="Style11ReferencesAfter0ptLinespacingExactly11pt">
    <w:name w:val="Style 11References + After:  0 pt Line spacing:  Exactly 11 pt"/>
    <w:basedOn w:val="Normal"/>
    <w:uiPriority w:val="99"/>
    <w:qFormat/>
    <w:rsid w:val="00897511"/>
    <w:pPr>
      <w:overflowPunct w:val="0"/>
      <w:autoSpaceDE w:val="0"/>
      <w:autoSpaceDN w:val="0"/>
      <w:adjustRightInd w:val="0"/>
      <w:spacing w:after="0" w:line="220" w:lineRule="exact"/>
      <w:ind w:left="720" w:hanging="720"/>
      <w:jc w:val="both"/>
      <w:textAlignment w:val="baseline"/>
    </w:pPr>
    <w:rPr>
      <w:rFonts w:eastAsia="Times New Roman" w:cs="Times New Roman"/>
      <w:sz w:val="18"/>
      <w:szCs w:val="18"/>
      <w:lang w:val="en-US"/>
    </w:rPr>
  </w:style>
  <w:style w:type="paragraph" w:customStyle="1" w:styleId="Default">
    <w:name w:val="Default"/>
    <w:uiPriority w:val="99"/>
    <w:qFormat/>
    <w:rsid w:val="00897511"/>
    <w:pPr>
      <w:autoSpaceDE w:val="0"/>
      <w:autoSpaceDN w:val="0"/>
      <w:adjustRightInd w:val="0"/>
      <w:spacing w:after="0" w:line="240" w:lineRule="auto"/>
    </w:pPr>
    <w:rPr>
      <w:rFonts w:ascii="Verdana" w:hAnsi="Verdana" w:cs="Verdana"/>
      <w:color w:val="000000"/>
      <w:szCs w:val="24"/>
    </w:rPr>
  </w:style>
  <w:style w:type="character" w:customStyle="1" w:styleId="CaptionChar">
    <w:name w:val="Caption Char"/>
    <w:aliases w:val="Caption Char2 Char1,Caption Char Char1 Char,Caption Char1 Char Char Char,Caption Char Char Char Char Char,Caption Char1 Char1 Char,Caption Char Char Char1 Char,таблица Char Char,Caption Char2 Char Char,Caption Char1 Char Char1"/>
    <w:link w:val="Caption"/>
    <w:uiPriority w:val="35"/>
    <w:locked/>
    <w:rsid w:val="00897511"/>
    <w:rPr>
      <w:rFonts w:ascii="Times New Roman" w:hAnsi="Times New Roman" w:cs="Times New Roman"/>
      <w:i/>
      <w:iCs/>
      <w:sz w:val="24"/>
      <w:szCs w:val="24"/>
    </w:rPr>
  </w:style>
  <w:style w:type="paragraph" w:customStyle="1" w:styleId="Source">
    <w:name w:val="Source"/>
    <w:basedOn w:val="Normal"/>
    <w:uiPriority w:val="99"/>
    <w:qFormat/>
    <w:rsid w:val="00897511"/>
    <w:pPr>
      <w:spacing w:before="60" w:after="200" w:line="240" w:lineRule="auto"/>
      <w:jc w:val="center"/>
    </w:pPr>
    <w:rPr>
      <w:rFonts w:ascii="Calibri" w:eastAsia="Times New Roman" w:hAnsi="Calibri" w:cs="Calibri"/>
      <w:i/>
      <w:sz w:val="20"/>
      <w:szCs w:val="20"/>
    </w:rPr>
  </w:style>
  <w:style w:type="character" w:customStyle="1" w:styleId="Bodytext2Spacing1pt">
    <w:name w:val="Body text (2) + Spacing 1 pt"/>
    <w:basedOn w:val="Bodytext2"/>
    <w:rsid w:val="00897511"/>
    <w:rPr>
      <w:rFonts w:ascii="Times New Roman" w:eastAsia="Times New Roman" w:hAnsi="Times New Roman" w:cs="Times New Roman"/>
      <w:b w:val="0"/>
      <w:bCs w:val="0"/>
      <w:i w:val="0"/>
      <w:iCs w:val="0"/>
      <w:smallCaps w:val="0"/>
      <w:strike w:val="0"/>
      <w:color w:val="000000"/>
      <w:spacing w:val="30"/>
      <w:w w:val="100"/>
      <w:position w:val="0"/>
      <w:sz w:val="18"/>
      <w:szCs w:val="18"/>
      <w:u w:val="none"/>
      <w:lang w:val="bg-BG" w:eastAsia="bg-BG" w:bidi="bg-BG"/>
    </w:rPr>
  </w:style>
  <w:style w:type="paragraph" w:styleId="ListParagraph">
    <w:name w:val="List Paragraph"/>
    <w:aliases w:val="Question,lp1,Lista 1,lp11,List Paragraph compact,Normal bullet 2,Paragraphe de liste 2,Reference list,Bullet list,Numbered List,Paragraph,Bullet EY,Normal bullet 21,List L1,ПАРАГРАФ,List1,Numbered list,Normal List,Endnote,Indent,_Bullet"/>
    <w:basedOn w:val="Normal"/>
    <w:link w:val="ListParagraphChar1"/>
    <w:qFormat/>
    <w:rsid w:val="00897511"/>
    <w:pPr>
      <w:spacing w:after="0" w:line="240" w:lineRule="auto"/>
      <w:ind w:left="720"/>
      <w:contextualSpacing/>
    </w:pPr>
    <w:rPr>
      <w:rFonts w:eastAsia="ヒラギノ角ゴ Pro W3" w:cs="Times New Roman"/>
      <w:color w:val="000000"/>
      <w:szCs w:val="24"/>
      <w:lang w:val="en-GB"/>
    </w:rPr>
  </w:style>
  <w:style w:type="paragraph" w:styleId="BodyText2b">
    <w:name w:val="Body Text 2"/>
    <w:basedOn w:val="Normal"/>
    <w:link w:val="BodyText2Char"/>
    <w:rsid w:val="00897511"/>
    <w:pPr>
      <w:spacing w:before="120" w:after="0" w:line="360" w:lineRule="auto"/>
      <w:ind w:firstLine="720"/>
      <w:jc w:val="both"/>
    </w:pPr>
    <w:rPr>
      <w:rFonts w:eastAsia="Times New Roman" w:cs="Times New Roman"/>
      <w:szCs w:val="20"/>
      <w:lang w:eastAsia="bg-BG"/>
    </w:rPr>
  </w:style>
  <w:style w:type="character" w:customStyle="1" w:styleId="BodyText2Char">
    <w:name w:val="Body Text 2 Char"/>
    <w:basedOn w:val="DefaultParagraphFont"/>
    <w:link w:val="BodyText2b"/>
    <w:rsid w:val="00897511"/>
    <w:rPr>
      <w:rFonts w:ascii="Times New Roman" w:eastAsia="Times New Roman" w:hAnsi="Times New Roman" w:cs="Times New Roman"/>
      <w:sz w:val="24"/>
      <w:szCs w:val="20"/>
      <w:lang w:eastAsia="bg-BG"/>
    </w:rPr>
  </w:style>
  <w:style w:type="character" w:styleId="PageNumber">
    <w:name w:val="page number"/>
    <w:basedOn w:val="DefaultParagraphFont"/>
    <w:rsid w:val="00897511"/>
  </w:style>
  <w:style w:type="paragraph" w:styleId="BodyTextIndent2">
    <w:name w:val="Body Text Indent 2"/>
    <w:basedOn w:val="Normal"/>
    <w:link w:val="BodyTextIndent2Char"/>
    <w:unhideWhenUsed/>
    <w:rsid w:val="00897511"/>
    <w:pPr>
      <w:spacing w:after="120" w:line="480" w:lineRule="auto"/>
      <w:ind w:left="283"/>
    </w:pPr>
  </w:style>
  <w:style w:type="character" w:customStyle="1" w:styleId="BodyTextIndent2Char">
    <w:name w:val="Body Text Indent 2 Char"/>
    <w:basedOn w:val="DefaultParagraphFont"/>
    <w:link w:val="BodyTextIndent2"/>
    <w:rsid w:val="00897511"/>
  </w:style>
  <w:style w:type="character" w:customStyle="1" w:styleId="NormalIndentChar">
    <w:name w:val="Normal Indent Char"/>
    <w:aliases w:val="Normal Indent Char1 Char Char,Normal Indent Char Char Char Char,Normal Indent Char1 Char1 Char,Normal Indent Char1 Char2 Char,Normal Indent Char Char Char2 Char,Normal Indent Char Char Char3,Normal Indent Char1 Char3"/>
    <w:link w:val="NormalIndent"/>
    <w:rsid w:val="00897511"/>
    <w:rPr>
      <w:rFonts w:ascii="Liberation Serif" w:eastAsia="DejaVu Sans" w:hAnsi="Liberation Serif" w:cs="Times New Roman"/>
      <w:color w:val="000000"/>
      <w:sz w:val="24"/>
      <w:szCs w:val="24"/>
    </w:rPr>
  </w:style>
  <w:style w:type="table" w:customStyle="1" w:styleId="PlainTable21">
    <w:name w:val="Plain Table 21"/>
    <w:basedOn w:val="TableNormal"/>
    <w:uiPriority w:val="42"/>
    <w:rsid w:val="00897511"/>
    <w:pPr>
      <w:spacing w:after="0" w:line="240" w:lineRule="auto"/>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3a">
    <w:name w:val="Body Text 3"/>
    <w:basedOn w:val="Normal"/>
    <w:link w:val="BodyText3Char"/>
    <w:rsid w:val="00897511"/>
    <w:pPr>
      <w:spacing w:after="120" w:line="240" w:lineRule="auto"/>
    </w:pPr>
    <w:rPr>
      <w:rFonts w:eastAsia="Times New Roman" w:cs="Times New Roman"/>
      <w:sz w:val="16"/>
      <w:szCs w:val="16"/>
      <w:lang w:eastAsia="bg-BG"/>
    </w:rPr>
  </w:style>
  <w:style w:type="character" w:customStyle="1" w:styleId="BodyText3Char">
    <w:name w:val="Body Text 3 Char"/>
    <w:basedOn w:val="DefaultParagraphFont"/>
    <w:link w:val="BodyText3a"/>
    <w:rsid w:val="00897511"/>
    <w:rPr>
      <w:rFonts w:ascii="Times New Roman" w:eastAsia="Times New Roman" w:hAnsi="Times New Roman" w:cs="Times New Roman"/>
      <w:sz w:val="16"/>
      <w:szCs w:val="16"/>
      <w:lang w:eastAsia="bg-BG"/>
    </w:rPr>
  </w:style>
  <w:style w:type="paragraph" w:customStyle="1" w:styleId="myfootnote0">
    <w:name w:val="myfootnote"/>
    <w:basedOn w:val="myfootnotes"/>
    <w:link w:val="myfootnoteChar0"/>
    <w:qFormat/>
    <w:rsid w:val="00897511"/>
    <w:pPr>
      <w:spacing w:after="20"/>
    </w:pPr>
    <w:rPr>
      <w:rFonts w:ascii="Times New Roman" w:hAnsi="Times New Roman" w:cs="Times New Roman"/>
    </w:rPr>
  </w:style>
  <w:style w:type="character" w:customStyle="1" w:styleId="UnresolvedMention3">
    <w:name w:val="Unresolved Mention3"/>
    <w:basedOn w:val="DefaultParagraphFont"/>
    <w:uiPriority w:val="99"/>
    <w:semiHidden/>
    <w:unhideWhenUsed/>
    <w:rsid w:val="00897511"/>
    <w:rPr>
      <w:color w:val="605E5C"/>
      <w:shd w:val="clear" w:color="auto" w:fill="E1DFDD"/>
    </w:rPr>
  </w:style>
  <w:style w:type="character" w:customStyle="1" w:styleId="myfootnotesChar">
    <w:name w:val="my footnotes Char"/>
    <w:basedOn w:val="FootnoteTextChar"/>
    <w:link w:val="myfootnotes"/>
    <w:rsid w:val="00897511"/>
    <w:rPr>
      <w:rFonts w:ascii="Arial" w:hAnsi="Arial" w:cs="Arial"/>
      <w:sz w:val="20"/>
      <w:szCs w:val="20"/>
    </w:rPr>
  </w:style>
  <w:style w:type="character" w:customStyle="1" w:styleId="myfootnoteChar0">
    <w:name w:val="myfootnote Char"/>
    <w:basedOn w:val="myfootnotesChar"/>
    <w:link w:val="myfootnote0"/>
    <w:rsid w:val="00897511"/>
    <w:rPr>
      <w:rFonts w:ascii="Times New Roman" w:hAnsi="Times New Roman" w:cs="Times New Roman"/>
      <w:sz w:val="20"/>
      <w:szCs w:val="20"/>
    </w:rPr>
  </w:style>
  <w:style w:type="paragraph" w:styleId="TOC8">
    <w:name w:val="toc 8"/>
    <w:basedOn w:val="Normal"/>
    <w:next w:val="Normal"/>
    <w:autoRedefine/>
    <w:uiPriority w:val="39"/>
    <w:unhideWhenUsed/>
    <w:rsid w:val="00897511"/>
    <w:pPr>
      <w:spacing w:after="100" w:line="240" w:lineRule="auto"/>
      <w:ind w:left="1680"/>
    </w:pPr>
    <w:rPr>
      <w:rFonts w:eastAsia="ヒラギノ角ゴ Pro W3" w:cs="Times New Roman"/>
      <w:color w:val="000000"/>
      <w:szCs w:val="24"/>
      <w:lang w:val="en-GB"/>
    </w:rPr>
  </w:style>
  <w:style w:type="paragraph" w:styleId="TOC7">
    <w:name w:val="toc 7"/>
    <w:basedOn w:val="Normal"/>
    <w:next w:val="Normal"/>
    <w:autoRedefine/>
    <w:uiPriority w:val="39"/>
    <w:unhideWhenUsed/>
    <w:rsid w:val="00897511"/>
    <w:pPr>
      <w:spacing w:after="100"/>
      <w:ind w:left="1320"/>
    </w:pPr>
    <w:rPr>
      <w:rFonts w:eastAsiaTheme="minorEastAsia"/>
      <w:lang w:eastAsia="bg-BG"/>
    </w:rPr>
  </w:style>
  <w:style w:type="paragraph" w:styleId="TOC9">
    <w:name w:val="toc 9"/>
    <w:basedOn w:val="Normal"/>
    <w:next w:val="Normal"/>
    <w:autoRedefine/>
    <w:uiPriority w:val="39"/>
    <w:unhideWhenUsed/>
    <w:rsid w:val="00897511"/>
    <w:pPr>
      <w:spacing w:after="100"/>
      <w:ind w:left="1760"/>
    </w:pPr>
    <w:rPr>
      <w:rFonts w:eastAsiaTheme="minorEastAsia"/>
      <w:lang w:eastAsia="bg-BG"/>
    </w:rPr>
  </w:style>
  <w:style w:type="table" w:customStyle="1" w:styleId="TableContemporary12">
    <w:name w:val="Table Contemporary12"/>
    <w:basedOn w:val="TableNormal"/>
    <w:next w:val="TableContemporary"/>
    <w:rsid w:val="00897511"/>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Spacing">
    <w:name w:val="No Spacing"/>
    <w:link w:val="NoSpacingChar"/>
    <w:uiPriority w:val="1"/>
    <w:qFormat/>
    <w:rsid w:val="00897511"/>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97511"/>
    <w:rPr>
      <w:rFonts w:eastAsiaTheme="minorEastAsia"/>
      <w:lang w:val="en-US"/>
    </w:rPr>
  </w:style>
  <w:style w:type="character" w:customStyle="1" w:styleId="Footnote">
    <w:name w:val="Footnote_"/>
    <w:basedOn w:val="DefaultParagraphFont"/>
    <w:link w:val="Footnote0"/>
    <w:rsid w:val="00897511"/>
    <w:rPr>
      <w:rFonts w:ascii="MS Reference Sans Serif" w:eastAsia="MS Reference Sans Serif" w:hAnsi="MS Reference Sans Serif" w:cs="MS Reference Sans Serif"/>
      <w:sz w:val="16"/>
      <w:szCs w:val="16"/>
      <w:shd w:val="clear" w:color="auto" w:fill="FFFFFF"/>
    </w:rPr>
  </w:style>
  <w:style w:type="character" w:customStyle="1" w:styleId="TablecaptionBold">
    <w:name w:val="Table caption + Bold"/>
    <w:basedOn w:val="Tablecaption"/>
    <w:rsid w:val="00897511"/>
    <w:rPr>
      <w:rFonts w:ascii="Verdana" w:eastAsia="Verdana" w:hAnsi="Verdana" w:cs="Verdana"/>
      <w:b/>
      <w:bCs/>
      <w:i/>
      <w:iCs/>
      <w:smallCaps w:val="0"/>
      <w:strike w:val="0"/>
      <w:color w:val="000000"/>
      <w:spacing w:val="0"/>
      <w:w w:val="100"/>
      <w:position w:val="0"/>
      <w:sz w:val="18"/>
      <w:szCs w:val="18"/>
      <w:u w:val="none"/>
      <w:lang w:val="bg-BG" w:eastAsia="bg-BG" w:bidi="bg-BG"/>
    </w:rPr>
  </w:style>
  <w:style w:type="paragraph" w:customStyle="1" w:styleId="Footnote0">
    <w:name w:val="Footnote"/>
    <w:basedOn w:val="Normal"/>
    <w:link w:val="Footnote"/>
    <w:qFormat/>
    <w:rsid w:val="00897511"/>
    <w:pPr>
      <w:widowControl w:val="0"/>
      <w:shd w:val="clear" w:color="auto" w:fill="FFFFFF"/>
      <w:spacing w:after="0" w:line="0" w:lineRule="atLeast"/>
      <w:jc w:val="both"/>
    </w:pPr>
    <w:rPr>
      <w:rFonts w:ascii="MS Reference Sans Serif" w:eastAsia="MS Reference Sans Serif" w:hAnsi="MS Reference Sans Serif" w:cs="MS Reference Sans Serif"/>
      <w:sz w:val="16"/>
      <w:szCs w:val="16"/>
    </w:rPr>
  </w:style>
  <w:style w:type="numbering" w:customStyle="1" w:styleId="WW8Num180">
    <w:name w:val="WW8Num180"/>
    <w:rsid w:val="00897511"/>
    <w:pPr>
      <w:numPr>
        <w:numId w:val="2"/>
      </w:numPr>
    </w:pPr>
  </w:style>
  <w:style w:type="paragraph" w:customStyle="1" w:styleId="KHTtabla">
    <w:name w:val="KHTtabla"/>
    <w:basedOn w:val="Normal"/>
    <w:link w:val="KHTtablaChar"/>
    <w:qFormat/>
    <w:rsid w:val="00897511"/>
    <w:pPr>
      <w:spacing w:after="120" w:line="276" w:lineRule="auto"/>
      <w:ind w:firstLine="851"/>
    </w:pPr>
    <w:rPr>
      <w:rFonts w:ascii="Arial" w:eastAsia="Times New Roman" w:hAnsi="Arial" w:cs="Times New Roman"/>
      <w:color w:val="000000"/>
      <w:szCs w:val="20"/>
      <w:lang w:val="hu-HU" w:eastAsia="hu-HU"/>
    </w:rPr>
  </w:style>
  <w:style w:type="character" w:customStyle="1" w:styleId="KHTtablaChar">
    <w:name w:val="KHTtabla Char"/>
    <w:link w:val="KHTtabla"/>
    <w:rsid w:val="00897511"/>
    <w:rPr>
      <w:rFonts w:ascii="Arial" w:eastAsia="Times New Roman" w:hAnsi="Arial" w:cs="Times New Roman"/>
      <w:color w:val="000000"/>
      <w:szCs w:val="20"/>
      <w:lang w:val="hu-HU" w:eastAsia="hu-HU"/>
    </w:rPr>
  </w:style>
  <w:style w:type="paragraph" w:customStyle="1" w:styleId="moinadpisi">
    <w:name w:val="moi nadpisi"/>
    <w:basedOn w:val="Normal"/>
    <w:link w:val="moinadpisiChar"/>
    <w:qFormat/>
    <w:rsid w:val="00897511"/>
    <w:pPr>
      <w:widowControl w:val="0"/>
      <w:spacing w:before="120" w:after="120" w:line="240" w:lineRule="auto"/>
      <w:jc w:val="center"/>
    </w:pPr>
    <w:rPr>
      <w:rFonts w:ascii="Arial" w:eastAsia="Calibri" w:hAnsi="Arial" w:cs="Arial"/>
      <w:bCs/>
      <w:i/>
    </w:rPr>
  </w:style>
  <w:style w:type="character" w:customStyle="1" w:styleId="moinadpisiChar">
    <w:name w:val="moi nadpisi Char"/>
    <w:link w:val="moinadpisi"/>
    <w:rsid w:val="00897511"/>
    <w:rPr>
      <w:rFonts w:ascii="Arial" w:eastAsia="Calibri" w:hAnsi="Arial" w:cs="Arial"/>
      <w:bCs/>
      <w:i/>
    </w:rPr>
  </w:style>
  <w:style w:type="character" w:customStyle="1" w:styleId="TablecaptionVerdana14ptBoldSpacing0pt">
    <w:name w:val="Table caption + Verdana;14 pt;Bold;Spacing 0 pt"/>
    <w:basedOn w:val="Tablecaption"/>
    <w:rsid w:val="00897511"/>
    <w:rPr>
      <w:rFonts w:ascii="Verdana" w:eastAsia="Verdana" w:hAnsi="Verdana" w:cs="Verdana"/>
      <w:b/>
      <w:bCs/>
      <w:i/>
      <w:iCs/>
      <w:smallCaps w:val="0"/>
      <w:strike w:val="0"/>
      <w:color w:val="000000"/>
      <w:spacing w:val="0"/>
      <w:w w:val="100"/>
      <w:position w:val="0"/>
      <w:sz w:val="28"/>
      <w:szCs w:val="28"/>
      <w:u w:val="none"/>
      <w:lang w:val="bg-BG" w:eastAsia="bg-BG" w:bidi="bg-BG"/>
    </w:rPr>
  </w:style>
  <w:style w:type="character" w:customStyle="1" w:styleId="Bodytext2115pt">
    <w:name w:val="Body text (2) + 11.5 pt"/>
    <w:basedOn w:val="Bodytext2"/>
    <w:rsid w:val="00897511"/>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lang w:val="bg-BG" w:eastAsia="bg-BG" w:bidi="bg-BG"/>
    </w:rPr>
  </w:style>
  <w:style w:type="character" w:customStyle="1" w:styleId="Bodytext212ptItalicSpacing0pt">
    <w:name w:val="Body text (2) + 12 pt;Italic;Spacing 0 pt"/>
    <w:basedOn w:val="Bodytext2"/>
    <w:rsid w:val="00897511"/>
    <w:rPr>
      <w:rFonts w:ascii="Franklin Gothic Book" w:eastAsia="Franklin Gothic Book" w:hAnsi="Franklin Gothic Book" w:cs="Franklin Gothic Book"/>
      <w:b w:val="0"/>
      <w:bCs w:val="0"/>
      <w:i/>
      <w:iCs/>
      <w:smallCaps w:val="0"/>
      <w:strike w:val="0"/>
      <w:color w:val="000000"/>
      <w:spacing w:val="-10"/>
      <w:w w:val="100"/>
      <w:position w:val="0"/>
      <w:sz w:val="24"/>
      <w:szCs w:val="24"/>
      <w:u w:val="none"/>
      <w:lang w:val="bg-BG" w:eastAsia="bg-BG" w:bidi="bg-BG"/>
    </w:rPr>
  </w:style>
  <w:style w:type="character" w:customStyle="1" w:styleId="Bodytext212ptItalicSpacing-2pt">
    <w:name w:val="Body text (2) + 12 pt;Italic;Spacing -2 pt"/>
    <w:basedOn w:val="Bodytext2"/>
    <w:rsid w:val="00897511"/>
    <w:rPr>
      <w:rFonts w:ascii="Franklin Gothic Book" w:eastAsia="Franklin Gothic Book" w:hAnsi="Franklin Gothic Book" w:cs="Franklin Gothic Book"/>
      <w:b w:val="0"/>
      <w:bCs w:val="0"/>
      <w:i/>
      <w:iCs/>
      <w:smallCaps w:val="0"/>
      <w:strike w:val="0"/>
      <w:color w:val="000000"/>
      <w:spacing w:val="-50"/>
      <w:w w:val="100"/>
      <w:position w:val="0"/>
      <w:sz w:val="24"/>
      <w:szCs w:val="24"/>
      <w:u w:val="none"/>
      <w:lang w:val="bg-BG" w:eastAsia="bg-BG" w:bidi="bg-BG"/>
    </w:rPr>
  </w:style>
  <w:style w:type="character" w:customStyle="1" w:styleId="Bodytext2Impact115pt">
    <w:name w:val="Body text (2) + Impact;11.5 pt"/>
    <w:basedOn w:val="Bodytext2"/>
    <w:rsid w:val="00897511"/>
    <w:rPr>
      <w:rFonts w:ascii="Impact" w:eastAsia="Impact" w:hAnsi="Impact" w:cs="Impact"/>
      <w:b w:val="0"/>
      <w:bCs w:val="0"/>
      <w:i w:val="0"/>
      <w:iCs w:val="0"/>
      <w:smallCaps w:val="0"/>
      <w:strike w:val="0"/>
      <w:color w:val="000000"/>
      <w:spacing w:val="0"/>
      <w:w w:val="100"/>
      <w:position w:val="0"/>
      <w:sz w:val="23"/>
      <w:szCs w:val="23"/>
      <w:u w:val="none"/>
      <w:lang w:val="bg-BG" w:eastAsia="bg-BG" w:bidi="bg-BG"/>
    </w:rPr>
  </w:style>
  <w:style w:type="paragraph" w:styleId="Revision">
    <w:name w:val="Revision"/>
    <w:hidden/>
    <w:uiPriority w:val="99"/>
    <w:semiHidden/>
    <w:rsid w:val="00897511"/>
    <w:pPr>
      <w:spacing w:after="0" w:line="240" w:lineRule="auto"/>
    </w:pPr>
    <w:rPr>
      <w:rFonts w:eastAsia="ヒラギノ角ゴ Pro W3" w:cs="Times New Roman"/>
      <w:color w:val="000000"/>
      <w:szCs w:val="24"/>
      <w:lang w:val="en-GB"/>
    </w:rPr>
  </w:style>
  <w:style w:type="table" w:customStyle="1" w:styleId="GridTable1Light1">
    <w:name w:val="Grid Table 1 Light1"/>
    <w:basedOn w:val="TableNormal"/>
    <w:uiPriority w:val="46"/>
    <w:rsid w:val="00897511"/>
    <w:pPr>
      <w:spacing w:after="0" w:line="240" w:lineRule="auto"/>
    </w:pPr>
    <w:rPr>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Contemporary111">
    <w:name w:val="Table Contemporary111"/>
    <w:basedOn w:val="TableNormal"/>
    <w:next w:val="TableContemporary"/>
    <w:rsid w:val="00897511"/>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odyTextIndent3">
    <w:name w:val="Body Text Indent 3"/>
    <w:basedOn w:val="Normal"/>
    <w:link w:val="BodyTextIndent3Char"/>
    <w:uiPriority w:val="99"/>
    <w:semiHidden/>
    <w:unhideWhenUsed/>
    <w:rsid w:val="00897511"/>
    <w:pPr>
      <w:spacing w:after="120" w:line="240" w:lineRule="auto"/>
      <w:ind w:left="283"/>
    </w:pPr>
    <w:rPr>
      <w:rFonts w:eastAsia="ヒラギノ角ゴ Pro W3" w:cs="Times New Roman"/>
      <w:color w:val="000000"/>
      <w:sz w:val="16"/>
      <w:szCs w:val="16"/>
      <w:lang w:val="en-GB"/>
    </w:rPr>
  </w:style>
  <w:style w:type="character" w:customStyle="1" w:styleId="BodyTextIndent3Char">
    <w:name w:val="Body Text Indent 3 Char"/>
    <w:basedOn w:val="DefaultParagraphFont"/>
    <w:link w:val="BodyTextIndent3"/>
    <w:uiPriority w:val="99"/>
    <w:semiHidden/>
    <w:rsid w:val="00897511"/>
    <w:rPr>
      <w:rFonts w:ascii="Times New Roman" w:eastAsia="ヒラギノ角ゴ Pro W3" w:hAnsi="Times New Roman" w:cs="Times New Roman"/>
      <w:color w:val="000000"/>
      <w:sz w:val="16"/>
      <w:szCs w:val="16"/>
      <w:lang w:val="en-GB"/>
    </w:rPr>
  </w:style>
  <w:style w:type="paragraph" w:customStyle="1" w:styleId="Style6">
    <w:name w:val="Style6"/>
    <w:basedOn w:val="ListParagraph"/>
    <w:link w:val="Style6Char"/>
    <w:qFormat/>
    <w:rsid w:val="00897511"/>
    <w:pPr>
      <w:autoSpaceDE w:val="0"/>
      <w:autoSpaceDN w:val="0"/>
      <w:adjustRightInd w:val="0"/>
      <w:spacing w:before="240" w:after="240"/>
      <w:ind w:left="0"/>
      <w:jc w:val="both"/>
      <w:outlineLvl w:val="4"/>
    </w:pPr>
    <w:rPr>
      <w:rFonts w:eastAsia="Times New Roman"/>
      <w:b/>
      <w:i/>
      <w:iCs/>
      <w:lang w:eastAsia="bg-BG"/>
    </w:rPr>
  </w:style>
  <w:style w:type="character" w:customStyle="1" w:styleId="ListParagraphChar1">
    <w:name w:val="List Paragraph Char1"/>
    <w:aliases w:val="Question Char,lp1 Char,Lista 1 Char,lp11 Char,List Paragraph compact Char,Normal bullet 2 Char,Paragraphe de liste 2 Char,Reference list Char,Bullet list Char,Numbered List Char,Paragraph Char,Bullet EY Char,Normal bullet 21 Char"/>
    <w:basedOn w:val="DefaultParagraphFont"/>
    <w:link w:val="ListParagraph"/>
    <w:qFormat/>
    <w:rsid w:val="00897511"/>
    <w:rPr>
      <w:rFonts w:ascii="Times New Roman" w:eastAsia="ヒラギノ角ゴ Pro W3" w:hAnsi="Times New Roman" w:cs="Times New Roman"/>
      <w:color w:val="000000"/>
      <w:sz w:val="24"/>
      <w:szCs w:val="24"/>
      <w:lang w:val="en-GB"/>
    </w:rPr>
  </w:style>
  <w:style w:type="character" w:customStyle="1" w:styleId="Style6Char">
    <w:name w:val="Style6 Char"/>
    <w:basedOn w:val="ListParagraphChar1"/>
    <w:link w:val="Style6"/>
    <w:rsid w:val="00897511"/>
    <w:rPr>
      <w:rFonts w:ascii="Times New Roman" w:eastAsia="Times New Roman" w:hAnsi="Times New Roman" w:cs="Times New Roman"/>
      <w:b/>
      <w:i/>
      <w:iCs/>
      <w:color w:val="000000"/>
      <w:sz w:val="24"/>
      <w:szCs w:val="24"/>
      <w:lang w:val="en-GB" w:eastAsia="bg-BG"/>
    </w:rPr>
  </w:style>
  <w:style w:type="table" w:customStyle="1" w:styleId="ListTable6Colorful-Accent11">
    <w:name w:val="List Table 6 Colorful - Accent 11"/>
    <w:uiPriority w:val="99"/>
    <w:rsid w:val="00897511"/>
    <w:pPr>
      <w:spacing w:after="0" w:line="240" w:lineRule="auto"/>
    </w:pPr>
    <w:rPr>
      <w:rFonts w:ascii="Calibri" w:eastAsia="Calibri" w:hAnsi="Calibri" w:cs="Calibri"/>
      <w:color w:val="2E74B5"/>
      <w:sz w:val="20"/>
      <w:szCs w:val="20"/>
      <w:lang w:val="en-GB" w:eastAsia="bg-BG"/>
    </w:rPr>
    <w:tblPr>
      <w:tblStyleRowBandSize w:val="1"/>
      <w:tblStyleColBandSize w:val="1"/>
      <w:tblBorders>
        <w:top w:val="single" w:sz="4" w:space="0" w:color="5B9BD5"/>
        <w:bottom w:val="single" w:sz="4" w:space="0" w:color="5B9BD5"/>
      </w:tblBorders>
      <w:tblCellMar>
        <w:top w:w="0" w:type="dxa"/>
        <w:left w:w="108" w:type="dxa"/>
        <w:bottom w:w="0" w:type="dxa"/>
        <w:right w:w="108" w:type="dxa"/>
      </w:tblCellMar>
    </w:tblPr>
  </w:style>
  <w:style w:type="paragraph" w:customStyle="1" w:styleId="2">
    <w:name w:val="Булет 2"/>
    <w:basedOn w:val="ListParagraph"/>
    <w:link w:val="20"/>
    <w:qFormat/>
    <w:rsid w:val="00897511"/>
    <w:pPr>
      <w:widowControl w:val="0"/>
      <w:spacing w:after="120"/>
      <w:ind w:left="0"/>
      <w:contextualSpacing w:val="0"/>
      <w:jc w:val="both"/>
    </w:pPr>
    <w:rPr>
      <w:rFonts w:eastAsia="Times New Roman"/>
      <w:lang w:eastAsia="de-AT"/>
    </w:rPr>
  </w:style>
  <w:style w:type="character" w:customStyle="1" w:styleId="20">
    <w:name w:val="Булет 2 Знак"/>
    <w:basedOn w:val="DefaultParagraphFont"/>
    <w:link w:val="2"/>
    <w:rsid w:val="00897511"/>
    <w:rPr>
      <w:rFonts w:ascii="Times New Roman" w:eastAsia="Times New Roman" w:hAnsi="Times New Roman" w:cs="Times New Roman"/>
      <w:color w:val="000000"/>
      <w:sz w:val="24"/>
      <w:szCs w:val="24"/>
      <w:lang w:val="en-GB" w:eastAsia="de-AT"/>
    </w:rPr>
  </w:style>
  <w:style w:type="character" w:customStyle="1" w:styleId="Other">
    <w:name w:val="Other_"/>
    <w:basedOn w:val="DefaultParagraphFont"/>
    <w:link w:val="Other0"/>
    <w:rsid w:val="00897511"/>
    <w:rPr>
      <w:rFonts w:ascii="Times New Roman" w:eastAsia="Times New Roman" w:hAnsi="Times New Roman" w:cs="Times New Roman"/>
    </w:rPr>
  </w:style>
  <w:style w:type="paragraph" w:customStyle="1" w:styleId="Other0">
    <w:name w:val="Other"/>
    <w:basedOn w:val="Normal"/>
    <w:link w:val="Other"/>
    <w:qFormat/>
    <w:rsid w:val="00897511"/>
    <w:pPr>
      <w:widowControl w:val="0"/>
      <w:spacing w:after="0" w:line="276" w:lineRule="auto"/>
    </w:pPr>
    <w:rPr>
      <w:rFonts w:eastAsia="Times New Roman" w:cs="Times New Roman"/>
    </w:rPr>
  </w:style>
  <w:style w:type="paragraph" w:styleId="IntenseQuote">
    <w:name w:val="Intense Quote"/>
    <w:basedOn w:val="Normal"/>
    <w:next w:val="Normal"/>
    <w:link w:val="IntenseQuoteChar"/>
    <w:uiPriority w:val="30"/>
    <w:qFormat/>
    <w:rsid w:val="00897511"/>
    <w:pPr>
      <w:pBdr>
        <w:top w:val="single" w:sz="4" w:space="10" w:color="4472C4" w:themeColor="accent1"/>
        <w:bottom w:val="single" w:sz="4" w:space="10" w:color="4472C4" w:themeColor="accent1"/>
      </w:pBdr>
      <w:spacing w:before="360" w:after="360" w:line="276" w:lineRule="auto"/>
      <w:ind w:left="864" w:right="864"/>
      <w:jc w:val="center"/>
    </w:pPr>
    <w:rPr>
      <w:rFonts w:ascii="Calibri" w:eastAsia="Times New Roman" w:hAnsi="Calibri" w:cs="Times New Roman"/>
      <w:i/>
      <w:iCs/>
      <w:color w:val="4472C4" w:themeColor="accent1"/>
    </w:rPr>
  </w:style>
  <w:style w:type="character" w:customStyle="1" w:styleId="IntenseQuoteChar">
    <w:name w:val="Intense Quote Char"/>
    <w:basedOn w:val="DefaultParagraphFont"/>
    <w:link w:val="IntenseQuote"/>
    <w:uiPriority w:val="30"/>
    <w:rsid w:val="00897511"/>
    <w:rPr>
      <w:rFonts w:ascii="Calibri" w:eastAsia="Times New Roman" w:hAnsi="Calibri" w:cs="Times New Roman"/>
      <w:i/>
      <w:iCs/>
      <w:color w:val="4472C4" w:themeColor="accent1"/>
      <w:sz w:val="24"/>
    </w:rPr>
  </w:style>
  <w:style w:type="character" w:customStyle="1" w:styleId="italic">
    <w:name w:val="italic"/>
    <w:basedOn w:val="DefaultParagraphFont"/>
    <w:rsid w:val="00897511"/>
  </w:style>
  <w:style w:type="paragraph" w:customStyle="1" w:styleId="doc-ti">
    <w:name w:val="doc-ti"/>
    <w:basedOn w:val="Normal"/>
    <w:uiPriority w:val="99"/>
    <w:qFormat/>
    <w:rsid w:val="00897511"/>
    <w:pPr>
      <w:spacing w:before="100" w:beforeAutospacing="1" w:after="100" w:afterAutospacing="1" w:line="240" w:lineRule="auto"/>
    </w:pPr>
    <w:rPr>
      <w:rFonts w:eastAsia="Times New Roman" w:cs="Times New Roman"/>
      <w:szCs w:val="24"/>
      <w:lang w:eastAsia="bg-BG"/>
    </w:rPr>
  </w:style>
  <w:style w:type="paragraph" w:customStyle="1" w:styleId="CharCharCharCharCharCharCharCharCharChar2CharCharCharCharCharCharCharChar">
    <w:name w:val="Знак Char Char Знак Знак Char Char Знак Знак Знак Char Char Знак Знак Char Char Знак Знак Char Char Знак Знак2 Char Char Знак Знак Char Char Знак Знак Char Char Знак Знак Char Char Знак Знак"/>
    <w:basedOn w:val="Normal"/>
    <w:uiPriority w:val="99"/>
    <w:qFormat/>
    <w:rsid w:val="00897511"/>
    <w:pPr>
      <w:tabs>
        <w:tab w:val="left" w:pos="709"/>
      </w:tabs>
      <w:spacing w:after="0" w:line="240" w:lineRule="auto"/>
    </w:pPr>
    <w:rPr>
      <w:rFonts w:ascii="Tahoma" w:eastAsia="Times New Roman" w:hAnsi="Tahoma" w:cs="Times New Roman"/>
      <w:szCs w:val="24"/>
      <w:lang w:val="pl-PL" w:eastAsia="pl-PL"/>
    </w:rPr>
  </w:style>
  <w:style w:type="character" w:customStyle="1" w:styleId="tlid-translationtranslation">
    <w:name w:val="tlid-translation translation"/>
    <w:basedOn w:val="DefaultParagraphFont"/>
    <w:rsid w:val="00897511"/>
  </w:style>
  <w:style w:type="character" w:customStyle="1" w:styleId="2105pt">
    <w:name w:val="Основен текст (2) + 10;5 pt;Курсив"/>
    <w:basedOn w:val="DefaultParagraphFont"/>
    <w:rsid w:val="00315464"/>
    <w:rPr>
      <w:rFonts w:ascii="Arial" w:eastAsia="Arial" w:hAnsi="Arial" w:cs="Arial"/>
      <w:b w:val="0"/>
      <w:bCs w:val="0"/>
      <w:i/>
      <w:iCs/>
      <w:smallCaps w:val="0"/>
      <w:strike w:val="0"/>
      <w:color w:val="000000"/>
      <w:spacing w:val="0"/>
      <w:w w:val="100"/>
      <w:position w:val="0"/>
      <w:sz w:val="21"/>
      <w:szCs w:val="21"/>
      <w:u w:val="none"/>
      <w:shd w:val="clear" w:color="auto" w:fill="FFFFFF"/>
      <w:lang w:val="bg-BG" w:eastAsia="bg-BG" w:bidi="bg-BG"/>
    </w:rPr>
  </w:style>
  <w:style w:type="character" w:customStyle="1" w:styleId="21">
    <w:name w:val="Основен текст (2)_"/>
    <w:basedOn w:val="DefaultParagraphFont"/>
    <w:link w:val="22"/>
    <w:rsid w:val="005660CA"/>
    <w:rPr>
      <w:rFonts w:ascii="Times New Roman" w:eastAsia="Times New Roman" w:hAnsi="Times New Roman" w:cs="Times New Roman"/>
      <w:shd w:val="clear" w:color="auto" w:fill="FFFFFF"/>
    </w:rPr>
  </w:style>
  <w:style w:type="paragraph" w:customStyle="1" w:styleId="22">
    <w:name w:val="Основен текст (2)"/>
    <w:basedOn w:val="Normal"/>
    <w:link w:val="21"/>
    <w:qFormat/>
    <w:rsid w:val="005660CA"/>
    <w:pPr>
      <w:widowControl w:val="0"/>
      <w:shd w:val="clear" w:color="auto" w:fill="FFFFFF"/>
      <w:spacing w:before="60" w:after="360" w:line="0" w:lineRule="atLeast"/>
      <w:ind w:hanging="460"/>
      <w:jc w:val="both"/>
    </w:pPr>
    <w:rPr>
      <w:rFonts w:eastAsia="Times New Roman" w:cs="Times New Roman"/>
    </w:rPr>
  </w:style>
  <w:style w:type="character" w:customStyle="1" w:styleId="3">
    <w:name w:val="Основен текст (3)_"/>
    <w:basedOn w:val="DefaultParagraphFont"/>
    <w:link w:val="30"/>
    <w:rsid w:val="005660CA"/>
    <w:rPr>
      <w:rFonts w:ascii="Times New Roman" w:eastAsia="Times New Roman" w:hAnsi="Times New Roman" w:cs="Times New Roman"/>
      <w:b/>
      <w:bCs/>
      <w:shd w:val="clear" w:color="auto" w:fill="FFFFFF"/>
    </w:rPr>
  </w:style>
  <w:style w:type="paragraph" w:customStyle="1" w:styleId="30">
    <w:name w:val="Основен текст (3)"/>
    <w:basedOn w:val="Normal"/>
    <w:link w:val="3"/>
    <w:qFormat/>
    <w:rsid w:val="005660CA"/>
    <w:pPr>
      <w:widowControl w:val="0"/>
      <w:shd w:val="clear" w:color="auto" w:fill="FFFFFF"/>
      <w:spacing w:after="0" w:line="252" w:lineRule="exact"/>
      <w:ind w:hanging="340"/>
    </w:pPr>
    <w:rPr>
      <w:rFonts w:eastAsia="Times New Roman" w:cs="Times New Roman"/>
      <w:b/>
      <w:bCs/>
    </w:rPr>
  </w:style>
  <w:style w:type="character" w:customStyle="1" w:styleId="4">
    <w:name w:val="Основен текст (4) + Не е курсив"/>
    <w:basedOn w:val="DefaultParagraphFont"/>
    <w:rsid w:val="005660CA"/>
    <w:rPr>
      <w:rFonts w:ascii="Times New Roman" w:eastAsia="Times New Roman" w:hAnsi="Times New Roman" w:cs="Times New Roman"/>
      <w:i/>
      <w:iCs/>
      <w:color w:val="000000"/>
      <w:spacing w:val="0"/>
      <w:w w:val="100"/>
      <w:position w:val="0"/>
      <w:sz w:val="24"/>
      <w:szCs w:val="24"/>
      <w:shd w:val="clear" w:color="auto" w:fill="FFFFFF"/>
      <w:lang w:val="bg-BG" w:eastAsia="bg-BG" w:bidi="bg-BG"/>
    </w:rPr>
  </w:style>
  <w:style w:type="paragraph" w:customStyle="1" w:styleId="CoverFWCreference">
    <w:name w:val="Cover FWC reference"/>
    <w:basedOn w:val="Normal"/>
    <w:uiPriority w:val="99"/>
    <w:qFormat/>
    <w:rsid w:val="001931F5"/>
    <w:pPr>
      <w:spacing w:after="0" w:line="240" w:lineRule="auto"/>
    </w:pPr>
    <w:rPr>
      <w:rFonts w:ascii="Arial" w:eastAsia="Times New Roman" w:hAnsi="Arial" w:cs="Times New Roman"/>
      <w:b/>
      <w:color w:val="000080"/>
      <w:lang w:val="en-GB"/>
    </w:rPr>
  </w:style>
  <w:style w:type="table" w:customStyle="1" w:styleId="TableContemporary2">
    <w:name w:val="Table Contemporary2"/>
    <w:basedOn w:val="TableNormal"/>
    <w:next w:val="TableContemporary"/>
    <w:uiPriority w:val="99"/>
    <w:rsid w:val="001931F5"/>
    <w:pPr>
      <w:tabs>
        <w:tab w:val="left" w:pos="1771"/>
      </w:tabs>
      <w:suppressAutoHyphens/>
      <w:spacing w:after="0" w:line="240" w:lineRule="auto"/>
      <w:jc w:val="both"/>
    </w:pPr>
    <w:rPr>
      <w:rFonts w:eastAsia="Times New Roman" w:cs="Times New Roman"/>
      <w:sz w:val="20"/>
      <w:szCs w:val="20"/>
      <w:lang w:eastAsia="bg-BG"/>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0">
    <w:name w:val="Style 2"/>
    <w:basedOn w:val="TableContemporary"/>
    <w:uiPriority w:val="99"/>
    <w:rsid w:val="001931F5"/>
    <w:pPr>
      <w:tabs>
        <w:tab w:val="left" w:pos="1771"/>
      </w:tabs>
      <w:suppressAutoHyphens/>
      <w:spacing w:after="0" w:line="240" w:lineRule="auto"/>
      <w:jc w:val="center"/>
    </w:pPr>
    <w:rPr>
      <w:rFonts w:ascii="Cambria" w:eastAsia="Times New Roman" w:hAnsi="Cambria" w:cs="Times New Roman"/>
      <w:sz w:val="20"/>
      <w:szCs w:val="20"/>
      <w:lang w:eastAsia="bg-BG"/>
    </w:rPr>
    <w:tblPr/>
    <w:tcPr>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11">
    <w:name w:val="Таблица с мрежа 5 тъмна – акцентиране 11"/>
    <w:basedOn w:val="TableNormal"/>
    <w:uiPriority w:val="50"/>
    <w:rsid w:val="001931F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411">
    <w:name w:val="Таблица със списък 4 – акцентиране 11"/>
    <w:basedOn w:val="TableNormal"/>
    <w:uiPriority w:val="49"/>
    <w:rsid w:val="001931F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RRPfootnote">
    <w:name w:val="RRP footnote"/>
    <w:basedOn w:val="FootnoteText"/>
    <w:link w:val="RRPfootnoteChar"/>
    <w:qFormat/>
    <w:rsid w:val="001931F5"/>
    <w:pPr>
      <w:spacing w:after="40"/>
      <w:ind w:left="284" w:hanging="284"/>
      <w:jc w:val="both"/>
    </w:pPr>
    <w:rPr>
      <w:rFonts w:ascii="Cambria" w:eastAsia="Times New Roman" w:hAnsi="Cambria" w:cs="Times New Roman"/>
      <w:lang w:val="en-GB"/>
    </w:rPr>
  </w:style>
  <w:style w:type="character" w:customStyle="1" w:styleId="RRPfootnoteChar">
    <w:name w:val="RRP footnote Char"/>
    <w:basedOn w:val="FootnoteTextChar"/>
    <w:link w:val="RRPfootnote"/>
    <w:rsid w:val="001931F5"/>
    <w:rPr>
      <w:rFonts w:ascii="Cambria" w:eastAsia="Times New Roman" w:hAnsi="Cambria" w:cs="Times New Roman"/>
      <w:sz w:val="20"/>
      <w:szCs w:val="20"/>
      <w:lang w:val="en-GB"/>
    </w:rPr>
  </w:style>
  <w:style w:type="table" w:customStyle="1" w:styleId="4110">
    <w:name w:val="Таблица с мрежа 4 – акцентиране 11"/>
    <w:basedOn w:val="TableNormal"/>
    <w:uiPriority w:val="49"/>
    <w:rsid w:val="001931F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a">
    <w:name w:val="тире Знак"/>
    <w:basedOn w:val="Normal"/>
    <w:uiPriority w:val="99"/>
    <w:qFormat/>
    <w:rsid w:val="001931F5"/>
    <w:pPr>
      <w:numPr>
        <w:numId w:val="9"/>
      </w:numPr>
      <w:spacing w:before="160" w:after="0" w:line="288" w:lineRule="auto"/>
      <w:jc w:val="both"/>
    </w:pPr>
    <w:rPr>
      <w:rFonts w:ascii="Arial" w:eastAsia="Times New Roman" w:hAnsi="Arial" w:cs="Times New Roman"/>
      <w:sz w:val="21"/>
      <w:szCs w:val="20"/>
      <w:lang w:val="en-GB"/>
    </w:rPr>
  </w:style>
  <w:style w:type="table" w:customStyle="1" w:styleId="TableGrid1">
    <w:name w:val="Table Grid1"/>
    <w:basedOn w:val="TableNormal"/>
    <w:next w:val="TableGrid"/>
    <w:uiPriority w:val="59"/>
    <w:rsid w:val="001931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Normal"/>
    <w:next w:val="BalloonText"/>
    <w:uiPriority w:val="99"/>
    <w:semiHidden/>
    <w:unhideWhenUsed/>
    <w:qFormat/>
    <w:rsid w:val="001931F5"/>
    <w:pPr>
      <w:spacing w:after="0" w:line="240" w:lineRule="auto"/>
    </w:pPr>
    <w:rPr>
      <w:rFonts w:ascii="Segoe UI" w:hAnsi="Segoe UI" w:cs="Segoe UI"/>
      <w:sz w:val="18"/>
      <w:szCs w:val="18"/>
    </w:rPr>
  </w:style>
  <w:style w:type="paragraph" w:customStyle="1" w:styleId="CommentText1">
    <w:name w:val="Comment Text1"/>
    <w:basedOn w:val="Normal"/>
    <w:next w:val="CommentText"/>
    <w:uiPriority w:val="99"/>
    <w:unhideWhenUsed/>
    <w:qFormat/>
    <w:rsid w:val="001931F5"/>
    <w:pPr>
      <w:spacing w:line="240" w:lineRule="auto"/>
    </w:pPr>
    <w:rPr>
      <w:sz w:val="20"/>
      <w:szCs w:val="20"/>
    </w:rPr>
  </w:style>
  <w:style w:type="paragraph" w:customStyle="1" w:styleId="CommentSubject1">
    <w:name w:val="Comment Subject1"/>
    <w:basedOn w:val="CommentText"/>
    <w:next w:val="CommentText"/>
    <w:uiPriority w:val="99"/>
    <w:semiHidden/>
    <w:unhideWhenUsed/>
    <w:qFormat/>
    <w:rsid w:val="001931F5"/>
    <w:rPr>
      <w:rFonts w:ascii="Calibri" w:eastAsia="Calibri" w:hAnsi="Calibri" w:cs="Times New Roman"/>
      <w:b/>
      <w:bCs/>
    </w:rPr>
  </w:style>
  <w:style w:type="table" w:customStyle="1" w:styleId="TableContemporary13">
    <w:name w:val="Table Contemporary13"/>
    <w:basedOn w:val="TableNormal"/>
    <w:next w:val="TableContemporary"/>
    <w:unhideWhenUsed/>
    <w:rsid w:val="001931F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31">
    <w:name w:val="Style31"/>
    <w:basedOn w:val="TableContemporary"/>
    <w:uiPriority w:val="99"/>
    <w:rsid w:val="001931F5"/>
    <w:pPr>
      <w:spacing w:after="0" w:line="240" w:lineRule="auto"/>
    </w:pPr>
    <w:rPr>
      <w:rFonts w:ascii="Arial" w:eastAsia="Calibri" w:hAnsi="Arial" w:cs="Times New Roman"/>
      <w:sz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1">
    <w:name w:val="Table Grid Light11"/>
    <w:basedOn w:val="TableContemporary"/>
    <w:uiPriority w:val="40"/>
    <w:rsid w:val="001931F5"/>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41">
    <w:name w:val="Style41"/>
    <w:basedOn w:val="TableContemporary"/>
    <w:uiPriority w:val="99"/>
    <w:rsid w:val="001931F5"/>
    <w:pPr>
      <w:spacing w:after="0" w:line="240" w:lineRule="auto"/>
    </w:pPr>
    <w:rPr>
      <w:rFonts w:ascii="Arial" w:eastAsia="Calibri" w:hAnsi="Arial" w:cs="Times New Roman"/>
      <w:sz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51">
    <w:name w:val="Style51"/>
    <w:basedOn w:val="TableContemporary"/>
    <w:uiPriority w:val="99"/>
    <w:rsid w:val="001931F5"/>
    <w:pPr>
      <w:spacing w:after="0" w:line="240" w:lineRule="auto"/>
    </w:pPr>
    <w:rPr>
      <w:rFonts w:ascii="Calibri" w:eastAsia="Calibri" w:hAnsi="Calibri" w:cs="Times New Roma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odyText3b">
    <w:name w:val="Body Text3"/>
    <w:basedOn w:val="Normal"/>
    <w:next w:val="BodyText0"/>
    <w:uiPriority w:val="99"/>
    <w:unhideWhenUsed/>
    <w:qFormat/>
    <w:rsid w:val="001931F5"/>
    <w:pPr>
      <w:spacing w:after="120"/>
    </w:pPr>
  </w:style>
  <w:style w:type="paragraph" w:customStyle="1" w:styleId="BodyTextIndent21">
    <w:name w:val="Body Text Indent 21"/>
    <w:basedOn w:val="Normal"/>
    <w:next w:val="BodyTextIndent2"/>
    <w:uiPriority w:val="99"/>
    <w:unhideWhenUsed/>
    <w:qFormat/>
    <w:rsid w:val="001931F5"/>
    <w:pPr>
      <w:spacing w:after="120" w:line="480" w:lineRule="auto"/>
      <w:ind w:left="283"/>
    </w:pPr>
  </w:style>
  <w:style w:type="table" w:customStyle="1" w:styleId="PlainTable211">
    <w:name w:val="Plain Table 211"/>
    <w:basedOn w:val="TableNormal"/>
    <w:uiPriority w:val="42"/>
    <w:rsid w:val="001931F5"/>
    <w:pPr>
      <w:spacing w:after="0" w:line="240" w:lineRule="auto"/>
    </w:pPr>
    <w:rPr>
      <w:lang w:val="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OC71">
    <w:name w:val="TOC 71"/>
    <w:basedOn w:val="Normal"/>
    <w:next w:val="Normal"/>
    <w:autoRedefine/>
    <w:uiPriority w:val="39"/>
    <w:unhideWhenUsed/>
    <w:qFormat/>
    <w:rsid w:val="001931F5"/>
    <w:pPr>
      <w:spacing w:after="100"/>
      <w:ind w:left="1320"/>
    </w:pPr>
    <w:rPr>
      <w:rFonts w:ascii="Calibri" w:eastAsia="Times New Roman" w:hAnsi="Calibri" w:cs="Times New Roman"/>
      <w:lang w:eastAsia="bg-BG"/>
    </w:rPr>
  </w:style>
  <w:style w:type="paragraph" w:customStyle="1" w:styleId="TOC91">
    <w:name w:val="TOC 91"/>
    <w:basedOn w:val="Normal"/>
    <w:next w:val="Normal"/>
    <w:autoRedefine/>
    <w:uiPriority w:val="39"/>
    <w:unhideWhenUsed/>
    <w:qFormat/>
    <w:rsid w:val="001931F5"/>
    <w:pPr>
      <w:spacing w:after="100"/>
      <w:ind w:left="1760"/>
    </w:pPr>
    <w:rPr>
      <w:rFonts w:ascii="Calibri" w:eastAsia="Times New Roman" w:hAnsi="Calibri" w:cs="Times New Roman"/>
      <w:lang w:eastAsia="bg-BG"/>
    </w:rPr>
  </w:style>
  <w:style w:type="table" w:customStyle="1" w:styleId="TableContemporary121">
    <w:name w:val="Table Contemporary121"/>
    <w:basedOn w:val="TableNormal"/>
    <w:next w:val="TableContemporary"/>
    <w:rsid w:val="001931F5"/>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Spacing1">
    <w:name w:val="No Spacing1"/>
    <w:next w:val="NoSpacing"/>
    <w:uiPriority w:val="1"/>
    <w:qFormat/>
    <w:rsid w:val="001931F5"/>
    <w:pPr>
      <w:spacing w:after="0" w:line="240" w:lineRule="auto"/>
    </w:pPr>
    <w:rPr>
      <w:rFonts w:eastAsia="Times New Roman"/>
      <w:lang w:val="en-US"/>
    </w:rPr>
  </w:style>
  <w:style w:type="numbering" w:customStyle="1" w:styleId="WW8Num1801">
    <w:name w:val="WW8Num1801"/>
    <w:rsid w:val="001931F5"/>
    <w:pPr>
      <w:numPr>
        <w:numId w:val="6"/>
      </w:numPr>
    </w:pPr>
  </w:style>
  <w:style w:type="table" w:customStyle="1" w:styleId="GridTable1Light11">
    <w:name w:val="Grid Table 1 Light11"/>
    <w:basedOn w:val="TableNormal"/>
    <w:uiPriority w:val="46"/>
    <w:rsid w:val="001931F5"/>
    <w:pPr>
      <w:spacing w:after="0" w:line="240" w:lineRule="auto"/>
    </w:pPr>
    <w:rPr>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IntenseQuote1">
    <w:name w:val="Intense Quote1"/>
    <w:basedOn w:val="Normal"/>
    <w:next w:val="Normal"/>
    <w:uiPriority w:val="30"/>
    <w:qFormat/>
    <w:rsid w:val="001931F5"/>
    <w:pPr>
      <w:pBdr>
        <w:top w:val="single" w:sz="4" w:space="10" w:color="4F81BD"/>
        <w:bottom w:val="single" w:sz="4" w:space="10" w:color="4F81BD"/>
      </w:pBdr>
      <w:spacing w:before="360" w:after="360" w:line="276" w:lineRule="auto"/>
      <w:ind w:left="864" w:right="864"/>
      <w:jc w:val="center"/>
    </w:pPr>
    <w:rPr>
      <w:rFonts w:ascii="Calibri" w:eastAsia="Times New Roman" w:hAnsi="Calibri" w:cs="Times New Roman"/>
      <w:i/>
      <w:iCs/>
      <w:color w:val="4F81BD"/>
    </w:rPr>
  </w:style>
  <w:style w:type="character" w:customStyle="1" w:styleId="BalloonTextChar1">
    <w:name w:val="Balloon Text Char1"/>
    <w:basedOn w:val="DefaultParagraphFont"/>
    <w:uiPriority w:val="99"/>
    <w:semiHidden/>
    <w:rsid w:val="001931F5"/>
    <w:rPr>
      <w:rFonts w:ascii="Segoe UI" w:eastAsia="Times New Roman" w:hAnsi="Segoe UI" w:cs="Segoe UI"/>
      <w:sz w:val="18"/>
      <w:szCs w:val="18"/>
      <w:lang w:val="en-GB"/>
    </w:rPr>
  </w:style>
  <w:style w:type="character" w:customStyle="1" w:styleId="CommentTextChar1">
    <w:name w:val="Comment Text Char1"/>
    <w:basedOn w:val="DefaultParagraphFont"/>
    <w:uiPriority w:val="99"/>
    <w:rsid w:val="001931F5"/>
    <w:rPr>
      <w:rFonts w:ascii="Arial" w:eastAsia="Times New Roman" w:hAnsi="Arial" w:cs="Times New Roman"/>
      <w:sz w:val="20"/>
      <w:szCs w:val="20"/>
      <w:lang w:val="en-GB"/>
    </w:rPr>
  </w:style>
  <w:style w:type="character" w:customStyle="1" w:styleId="CommentSubjectChar1">
    <w:name w:val="Comment Subject Char1"/>
    <w:basedOn w:val="CommentTextChar1"/>
    <w:uiPriority w:val="99"/>
    <w:semiHidden/>
    <w:rsid w:val="001931F5"/>
    <w:rPr>
      <w:rFonts w:ascii="Arial" w:eastAsia="Times New Roman" w:hAnsi="Arial" w:cs="Times New Roman"/>
      <w:b/>
      <w:bCs/>
      <w:sz w:val="20"/>
      <w:szCs w:val="20"/>
      <w:lang w:val="en-GB"/>
    </w:rPr>
  </w:style>
  <w:style w:type="character" w:customStyle="1" w:styleId="BodyTextChar1">
    <w:name w:val="Body Text Char1"/>
    <w:basedOn w:val="DefaultParagraphFont"/>
    <w:uiPriority w:val="99"/>
    <w:rsid w:val="001931F5"/>
    <w:rPr>
      <w:rFonts w:ascii="Arial" w:eastAsia="Times New Roman" w:hAnsi="Arial" w:cs="Times New Roman"/>
      <w:sz w:val="21"/>
      <w:szCs w:val="20"/>
      <w:lang w:val="en-GB"/>
    </w:rPr>
  </w:style>
  <w:style w:type="character" w:customStyle="1" w:styleId="BodyTextIndent2Char1">
    <w:name w:val="Body Text Indent 2 Char1"/>
    <w:basedOn w:val="DefaultParagraphFont"/>
    <w:rsid w:val="001931F5"/>
    <w:rPr>
      <w:rFonts w:ascii="Arial" w:eastAsia="Times New Roman" w:hAnsi="Arial" w:cs="Times New Roman"/>
      <w:sz w:val="21"/>
      <w:szCs w:val="20"/>
      <w:lang w:val="en-GB"/>
    </w:rPr>
  </w:style>
  <w:style w:type="character" w:customStyle="1" w:styleId="IntenseQuoteChar1">
    <w:name w:val="Intense Quote Char1"/>
    <w:basedOn w:val="DefaultParagraphFont"/>
    <w:uiPriority w:val="30"/>
    <w:rsid w:val="001931F5"/>
    <w:rPr>
      <w:i/>
      <w:iCs/>
      <w:color w:val="4472C4" w:themeColor="accent1"/>
    </w:rPr>
  </w:style>
  <w:style w:type="paragraph" w:styleId="HTMLPreformatted">
    <w:name w:val="HTML Preformatted"/>
    <w:basedOn w:val="Normal"/>
    <w:link w:val="HTMLPreformattedChar"/>
    <w:uiPriority w:val="99"/>
    <w:semiHidden/>
    <w:unhideWhenUsed/>
    <w:rsid w:val="001931F5"/>
    <w:pPr>
      <w:spacing w:after="0" w:line="240" w:lineRule="auto"/>
      <w:jc w:val="both"/>
    </w:pPr>
    <w:rPr>
      <w:rFonts w:ascii="Consolas" w:eastAsia="Times New Roman" w:hAnsi="Consolas" w:cs="Times New Roman"/>
      <w:sz w:val="20"/>
      <w:szCs w:val="20"/>
      <w:lang w:val="en-GB"/>
    </w:rPr>
  </w:style>
  <w:style w:type="character" w:customStyle="1" w:styleId="HTMLPreformattedChar">
    <w:name w:val="HTML Preformatted Char"/>
    <w:basedOn w:val="DefaultParagraphFont"/>
    <w:link w:val="HTMLPreformatted"/>
    <w:uiPriority w:val="99"/>
    <w:semiHidden/>
    <w:rsid w:val="001931F5"/>
    <w:rPr>
      <w:rFonts w:ascii="Consolas" w:eastAsia="Times New Roman" w:hAnsi="Consolas" w:cs="Times New Roman"/>
      <w:sz w:val="20"/>
      <w:szCs w:val="20"/>
      <w:lang w:val="en-GB"/>
    </w:rPr>
  </w:style>
  <w:style w:type="character" w:customStyle="1" w:styleId="UnresolvedMention31">
    <w:name w:val="Unresolved Mention31"/>
    <w:basedOn w:val="DefaultParagraphFont"/>
    <w:uiPriority w:val="99"/>
    <w:semiHidden/>
    <w:unhideWhenUsed/>
    <w:rsid w:val="001931F5"/>
    <w:rPr>
      <w:color w:val="605E5C"/>
      <w:shd w:val="clear" w:color="auto" w:fill="E1DFDD"/>
    </w:rPr>
  </w:style>
  <w:style w:type="table" w:customStyle="1" w:styleId="Style11">
    <w:name w:val="Style11"/>
    <w:basedOn w:val="TableContemporary"/>
    <w:uiPriority w:val="99"/>
    <w:rsid w:val="001931F5"/>
    <w:pPr>
      <w:spacing w:after="0" w:line="240" w:lineRule="auto"/>
    </w:pPr>
    <w:rPr>
      <w:rFonts w:ascii="Microsoft Sans Serif" w:eastAsia="Microsoft Sans Serif" w:hAnsi="Microsoft Sans Serif" w:cs="Microsoft Sans Serif"/>
      <w:szCs w:val="24"/>
      <w:lang w:eastAsia="bg-BG" w:bidi="bg-BG"/>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NormalWebChar">
    <w:name w:val="Normal (Web) Char"/>
    <w:aliases w:val="webb Char, webb Char, Знак Char, Char Char Char Char,Char Char Char Char,Знак Char"/>
    <w:link w:val="NormalWeb"/>
    <w:uiPriority w:val="99"/>
    <w:rsid w:val="001931F5"/>
    <w:rPr>
      <w:rFonts w:ascii="Times New Roman" w:eastAsia="Times New Roman" w:hAnsi="Times New Roman" w:cs="Times New Roman"/>
      <w:sz w:val="24"/>
      <w:szCs w:val="24"/>
      <w:lang w:eastAsia="bg-BG"/>
    </w:rPr>
  </w:style>
  <w:style w:type="paragraph" w:customStyle="1" w:styleId="listingitem">
    <w:name w:val="listing__item"/>
    <w:basedOn w:val="Normal"/>
    <w:uiPriority w:val="99"/>
    <w:qFormat/>
    <w:rsid w:val="001931F5"/>
    <w:pPr>
      <w:spacing w:before="100" w:beforeAutospacing="1" w:after="100" w:afterAutospacing="1" w:line="240" w:lineRule="auto"/>
    </w:pPr>
    <w:rPr>
      <w:rFonts w:eastAsia="Times New Roman" w:cs="Times New Roman"/>
      <w:szCs w:val="24"/>
      <w:lang w:val="en-US"/>
    </w:rPr>
  </w:style>
  <w:style w:type="paragraph" w:customStyle="1" w:styleId="SUPERSChar">
    <w:name w:val="SUPERS Char"/>
    <w:aliases w:val="EN Footnote Reference Char"/>
    <w:basedOn w:val="Normal"/>
    <w:link w:val="FootnoteReference"/>
    <w:qFormat/>
    <w:rsid w:val="008C2D46"/>
    <w:pPr>
      <w:widowControl w:val="0"/>
      <w:adjustRightInd w:val="0"/>
      <w:spacing w:line="240" w:lineRule="exact"/>
      <w:jc w:val="both"/>
      <w:textAlignment w:val="baseline"/>
    </w:pPr>
    <w:rPr>
      <w:vertAlign w:val="superscript"/>
    </w:rPr>
  </w:style>
  <w:style w:type="table" w:customStyle="1" w:styleId="TableContemporary14">
    <w:name w:val="Table Contemporary14"/>
    <w:basedOn w:val="TableNormal"/>
    <w:next w:val="TableContemporary"/>
    <w:rsid w:val="00A606F5"/>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
    <w:name w:val="Style21"/>
    <w:basedOn w:val="TableContemporary"/>
    <w:uiPriority w:val="99"/>
    <w:rsid w:val="00A606F5"/>
    <w:pPr>
      <w:spacing w:after="0" w:line="240" w:lineRule="auto"/>
    </w:pPr>
    <w:rPr>
      <w:rFonts w:ascii="Courier New" w:eastAsia="Courier New" w:hAnsi="Courier New" w:cs="Courier New"/>
      <w:szCs w:val="24"/>
      <w:lang w:val="en-GB" w:eastAsia="bg-BG"/>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1">
    <w:name w:val="Table Grid11"/>
    <w:basedOn w:val="TableNormal"/>
    <w:next w:val="TableGrid"/>
    <w:uiPriority w:val="39"/>
    <w:rsid w:val="00453DF6"/>
    <w:pPr>
      <w:spacing w:after="0" w:line="240" w:lineRule="auto"/>
      <w:jc w:val="both"/>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6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Стил"/>
    <w:uiPriority w:val="99"/>
    <w:qFormat/>
    <w:rsid w:val="00EB48C4"/>
    <w:pPr>
      <w:widowControl w:val="0"/>
      <w:spacing w:after="0" w:line="240" w:lineRule="auto"/>
      <w:ind w:left="140" w:right="140" w:firstLine="840"/>
      <w:jc w:val="both"/>
    </w:pPr>
    <w:rPr>
      <w:rFonts w:eastAsia="Times New Roman" w:cs="Times New Roman"/>
      <w:szCs w:val="24"/>
    </w:rPr>
  </w:style>
  <w:style w:type="character" w:customStyle="1" w:styleId="Bodytext12Exact">
    <w:name w:val="Body text (12) Exact"/>
    <w:basedOn w:val="Bodytext12"/>
    <w:rsid w:val="00AE5785"/>
    <w:rPr>
      <w:rFonts w:ascii="Times New Roman" w:eastAsia="Times New Roman" w:hAnsi="Times New Roman" w:cs="Times New Roman"/>
      <w:b w:val="0"/>
      <w:bCs w:val="0"/>
      <w:i/>
      <w:iCs/>
      <w:smallCaps w:val="0"/>
      <w:strike w:val="0"/>
      <w:color w:val="000000"/>
      <w:spacing w:val="0"/>
      <w:w w:val="100"/>
      <w:position w:val="0"/>
      <w:sz w:val="20"/>
      <w:szCs w:val="20"/>
      <w:u w:val="none"/>
      <w:lang w:val="bg-BG" w:eastAsia="bg-BG" w:bidi="bg-BG"/>
    </w:rPr>
  </w:style>
  <w:style w:type="character" w:customStyle="1" w:styleId="hps">
    <w:name w:val="hps"/>
    <w:basedOn w:val="DefaultParagraphFont"/>
    <w:uiPriority w:val="99"/>
    <w:rsid w:val="005B1C6B"/>
  </w:style>
  <w:style w:type="character" w:customStyle="1" w:styleId="Picturecaption9Exact">
    <w:name w:val="Picture caption (9) Exact"/>
    <w:basedOn w:val="Picturecaption9"/>
    <w:rsid w:val="005B1C6B"/>
    <w:rPr>
      <w:rFonts w:ascii="Verdana" w:eastAsia="Verdana" w:hAnsi="Verdana" w:cs="Verdana"/>
      <w:b/>
      <w:bCs/>
      <w:i/>
      <w:iCs/>
      <w:smallCaps w:val="0"/>
      <w:strike w:val="0"/>
      <w:sz w:val="16"/>
      <w:szCs w:val="16"/>
      <w:u w:val="none"/>
    </w:rPr>
  </w:style>
  <w:style w:type="character" w:customStyle="1" w:styleId="Picturecaption6Exact">
    <w:name w:val="Picture caption (6) Exact"/>
    <w:basedOn w:val="DefaultParagraphFont"/>
    <w:rsid w:val="005B1C6B"/>
    <w:rPr>
      <w:rFonts w:ascii="Times New Roman" w:eastAsia="Times New Roman" w:hAnsi="Times New Roman" w:cs="Times New Roman"/>
      <w:b w:val="0"/>
      <w:bCs w:val="0"/>
      <w:i/>
      <w:iCs/>
      <w:smallCaps w:val="0"/>
      <w:strike w:val="0"/>
      <w:sz w:val="20"/>
      <w:szCs w:val="20"/>
      <w:u w:val="none"/>
    </w:rPr>
  </w:style>
  <w:style w:type="character" w:customStyle="1" w:styleId="Picturecaption12Exact">
    <w:name w:val="Picture caption (12) Exact"/>
    <w:basedOn w:val="DefaultParagraphFont"/>
    <w:rsid w:val="005B1C6B"/>
    <w:rPr>
      <w:rFonts w:ascii="Verdana" w:eastAsia="Verdana" w:hAnsi="Verdana" w:cs="Verdana"/>
      <w:b/>
      <w:bCs/>
      <w:i w:val="0"/>
      <w:iCs w:val="0"/>
      <w:smallCaps w:val="0"/>
      <w:strike w:val="0"/>
      <w:sz w:val="14"/>
      <w:szCs w:val="14"/>
      <w:u w:val="none"/>
    </w:rPr>
  </w:style>
  <w:style w:type="character" w:customStyle="1" w:styleId="Picturecaption13Exact">
    <w:name w:val="Picture caption (13) Exact"/>
    <w:basedOn w:val="DefaultParagraphFont"/>
    <w:rsid w:val="005B1C6B"/>
    <w:rPr>
      <w:rFonts w:ascii="Verdana" w:eastAsia="Verdana" w:hAnsi="Verdana" w:cs="Verdana"/>
      <w:b w:val="0"/>
      <w:bCs w:val="0"/>
      <w:i/>
      <w:iCs/>
      <w:smallCaps w:val="0"/>
      <w:strike w:val="0"/>
      <w:sz w:val="12"/>
      <w:szCs w:val="12"/>
      <w:u w:val="none"/>
    </w:rPr>
  </w:style>
  <w:style w:type="character" w:customStyle="1" w:styleId="Picturecaption13MicrosoftSansSerif">
    <w:name w:val="Picture caption (13) + Microsoft Sans Serif"/>
    <w:aliases w:val="7 pt,Not Italic Exact"/>
    <w:basedOn w:val="Picturecaption13Exact"/>
    <w:rsid w:val="005B1C6B"/>
    <w:rPr>
      <w:rFonts w:ascii="Microsoft Sans Serif" w:eastAsia="Microsoft Sans Serif" w:hAnsi="Microsoft Sans Serif" w:cs="Microsoft Sans Serif"/>
      <w:b w:val="0"/>
      <w:bCs w:val="0"/>
      <w:i/>
      <w:iCs/>
      <w:smallCaps w:val="0"/>
      <w:strike w:val="0"/>
      <w:color w:val="000000"/>
      <w:spacing w:val="0"/>
      <w:w w:val="100"/>
      <w:position w:val="0"/>
      <w:sz w:val="14"/>
      <w:szCs w:val="14"/>
      <w:u w:val="none"/>
      <w:lang w:val="bg-BG" w:eastAsia="bg-BG" w:bidi="bg-BG"/>
    </w:rPr>
  </w:style>
  <w:style w:type="character" w:customStyle="1" w:styleId="Heading80">
    <w:name w:val="Heading #8_"/>
    <w:basedOn w:val="DefaultParagraphFont"/>
    <w:link w:val="Heading81"/>
    <w:rsid w:val="005B1C6B"/>
    <w:rPr>
      <w:rFonts w:ascii="Times New Roman" w:eastAsia="Times New Roman" w:hAnsi="Times New Roman" w:cs="Times New Roman"/>
      <w:b/>
      <w:bCs/>
      <w:i/>
      <w:iCs/>
      <w:shd w:val="clear" w:color="auto" w:fill="FFFFFF"/>
    </w:rPr>
  </w:style>
  <w:style w:type="paragraph" w:customStyle="1" w:styleId="Heading81">
    <w:name w:val="Heading #8"/>
    <w:basedOn w:val="Normal"/>
    <w:link w:val="Heading80"/>
    <w:qFormat/>
    <w:rsid w:val="005B1C6B"/>
    <w:pPr>
      <w:widowControl w:val="0"/>
      <w:shd w:val="clear" w:color="auto" w:fill="FFFFFF"/>
      <w:spacing w:before="840" w:after="660" w:line="0" w:lineRule="atLeast"/>
      <w:jc w:val="center"/>
      <w:outlineLvl w:val="7"/>
    </w:pPr>
    <w:rPr>
      <w:rFonts w:eastAsia="Times New Roman" w:cs="Times New Roman"/>
      <w:b/>
      <w:bCs/>
      <w:i/>
      <w:iCs/>
    </w:rPr>
  </w:style>
  <w:style w:type="character" w:customStyle="1" w:styleId="Picturecaption7Exact">
    <w:name w:val="Picture caption (7) Exact"/>
    <w:basedOn w:val="DefaultParagraphFont"/>
    <w:rsid w:val="005B1C6B"/>
    <w:rPr>
      <w:rFonts w:ascii="Times New Roman" w:eastAsia="Times New Roman" w:hAnsi="Times New Roman" w:cs="Times New Roman"/>
      <w:b w:val="0"/>
      <w:bCs w:val="0"/>
      <w:i/>
      <w:iCs/>
      <w:smallCaps w:val="0"/>
      <w:strike w:val="0"/>
      <w:sz w:val="20"/>
      <w:szCs w:val="20"/>
      <w:u w:val="none"/>
    </w:rPr>
  </w:style>
  <w:style w:type="character" w:customStyle="1" w:styleId="Tablecaption4Spacing-1pt">
    <w:name w:val="Table caption (4) + Spacing -1 pt"/>
    <w:basedOn w:val="Tablecaption4"/>
    <w:rsid w:val="005B1C6B"/>
    <w:rPr>
      <w:rFonts w:ascii="Verdana" w:eastAsia="Verdana" w:hAnsi="Verdana" w:cs="Verdana"/>
      <w:b/>
      <w:bCs/>
      <w:i/>
      <w:iCs/>
      <w:smallCaps w:val="0"/>
      <w:strike w:val="0"/>
      <w:color w:val="000000"/>
      <w:spacing w:val="-20"/>
      <w:w w:val="100"/>
      <w:position w:val="0"/>
      <w:sz w:val="16"/>
      <w:szCs w:val="16"/>
      <w:u w:val="none"/>
      <w:shd w:val="clear" w:color="auto" w:fill="FFFFFF"/>
      <w:lang w:val="bg-BG" w:eastAsia="bg-BG" w:bidi="bg-BG"/>
    </w:rPr>
  </w:style>
  <w:style w:type="character" w:customStyle="1" w:styleId="Picturecaption15Exact">
    <w:name w:val="Picture caption (15) Exact"/>
    <w:basedOn w:val="DefaultParagraphFont"/>
    <w:link w:val="Picturecaption15"/>
    <w:rsid w:val="005B1C6B"/>
    <w:rPr>
      <w:rFonts w:ascii="Arial Narrow" w:eastAsia="Arial Narrow" w:hAnsi="Arial Narrow" w:cs="Arial Narrow"/>
      <w:b/>
      <w:bCs/>
      <w:sz w:val="14"/>
      <w:szCs w:val="14"/>
      <w:shd w:val="clear" w:color="auto" w:fill="FFFFFF"/>
    </w:rPr>
  </w:style>
  <w:style w:type="paragraph" w:customStyle="1" w:styleId="Picturecaption15">
    <w:name w:val="Picture caption (15)"/>
    <w:basedOn w:val="Normal"/>
    <w:link w:val="Picturecaption15Exact"/>
    <w:qFormat/>
    <w:rsid w:val="005B1C6B"/>
    <w:pPr>
      <w:widowControl w:val="0"/>
      <w:shd w:val="clear" w:color="auto" w:fill="FFFFFF"/>
      <w:spacing w:after="0" w:line="0" w:lineRule="atLeast"/>
    </w:pPr>
    <w:rPr>
      <w:rFonts w:ascii="Arial Narrow" w:eastAsia="Arial Narrow" w:hAnsi="Arial Narrow" w:cs="Arial Narrow"/>
      <w:b/>
      <w:bCs/>
      <w:sz w:val="14"/>
      <w:szCs w:val="14"/>
    </w:rPr>
  </w:style>
  <w:style w:type="character" w:customStyle="1" w:styleId="Picturecaption16Exact">
    <w:name w:val="Picture caption (16) Exact"/>
    <w:basedOn w:val="DefaultParagraphFont"/>
    <w:link w:val="Picturecaption16"/>
    <w:rsid w:val="005B1C6B"/>
    <w:rPr>
      <w:rFonts w:ascii="Trebuchet MS" w:eastAsia="Trebuchet MS" w:hAnsi="Trebuchet MS" w:cs="Trebuchet MS"/>
      <w:i/>
      <w:iCs/>
      <w:sz w:val="12"/>
      <w:szCs w:val="12"/>
      <w:shd w:val="clear" w:color="auto" w:fill="FFFFFF"/>
    </w:rPr>
  </w:style>
  <w:style w:type="paragraph" w:customStyle="1" w:styleId="Picturecaption16">
    <w:name w:val="Picture caption (16)"/>
    <w:basedOn w:val="Normal"/>
    <w:link w:val="Picturecaption16Exact"/>
    <w:qFormat/>
    <w:rsid w:val="005B1C6B"/>
    <w:pPr>
      <w:widowControl w:val="0"/>
      <w:shd w:val="clear" w:color="auto" w:fill="FFFFFF"/>
      <w:spacing w:after="0" w:line="0" w:lineRule="atLeast"/>
    </w:pPr>
    <w:rPr>
      <w:rFonts w:ascii="Trebuchet MS" w:eastAsia="Trebuchet MS" w:hAnsi="Trebuchet MS" w:cs="Trebuchet MS"/>
      <w:i/>
      <w:iCs/>
      <w:sz w:val="12"/>
      <w:szCs w:val="12"/>
    </w:rPr>
  </w:style>
  <w:style w:type="character" w:customStyle="1" w:styleId="Picturecaption5Exact">
    <w:name w:val="Picture caption (5) Exact"/>
    <w:basedOn w:val="DefaultParagraphFont"/>
    <w:rsid w:val="005B1C6B"/>
    <w:rPr>
      <w:rFonts w:ascii="Times New Roman" w:eastAsia="Times New Roman" w:hAnsi="Times New Roman" w:cs="Times New Roman"/>
      <w:b w:val="0"/>
      <w:bCs w:val="0"/>
      <w:i w:val="0"/>
      <w:iCs w:val="0"/>
      <w:smallCaps w:val="0"/>
      <w:strike w:val="0"/>
      <w:sz w:val="22"/>
      <w:szCs w:val="22"/>
      <w:u w:val="none"/>
      <w:lang w:val="en-US" w:eastAsia="en-US" w:bidi="en-US"/>
    </w:rPr>
  </w:style>
  <w:style w:type="character" w:customStyle="1" w:styleId="Bodytext2Exact">
    <w:name w:val="Body text (2) Exact"/>
    <w:basedOn w:val="DefaultParagraphFont"/>
    <w:rsid w:val="005B1C6B"/>
    <w:rPr>
      <w:rFonts w:ascii="Times New Roman" w:eastAsia="Times New Roman" w:hAnsi="Times New Roman" w:cs="Times New Roman"/>
      <w:b w:val="0"/>
      <w:bCs w:val="0"/>
      <w:i w:val="0"/>
      <w:iCs w:val="0"/>
      <w:smallCaps w:val="0"/>
      <w:strike w:val="0"/>
      <w:sz w:val="22"/>
      <w:szCs w:val="22"/>
      <w:u w:val="none"/>
    </w:rPr>
  </w:style>
  <w:style w:type="character" w:customStyle="1" w:styleId="Bodytext27ptExact">
    <w:name w:val="Body text (2) + 7 pt Exact"/>
    <w:basedOn w:val="Bodytext2"/>
    <w:rsid w:val="005B1C6B"/>
    <w:rPr>
      <w:rFonts w:ascii="Times New Roman" w:eastAsia="Times New Roman" w:hAnsi="Times New Roman" w:cs="Times New Roman"/>
      <w:b w:val="0"/>
      <w:bCs w:val="0"/>
      <w:i w:val="0"/>
      <w:iCs w:val="0"/>
      <w:smallCaps w:val="0"/>
      <w:strike w:val="0"/>
      <w:color w:val="000000"/>
      <w:spacing w:val="0"/>
      <w:w w:val="100"/>
      <w:position w:val="0"/>
      <w:sz w:val="14"/>
      <w:szCs w:val="14"/>
      <w:u w:val="none"/>
      <w:lang w:val="bg-BG" w:eastAsia="bg-BG" w:bidi="bg-BG"/>
    </w:rPr>
  </w:style>
  <w:style w:type="character" w:customStyle="1" w:styleId="Picturecaption17Exact">
    <w:name w:val="Picture caption (17) Exact"/>
    <w:basedOn w:val="DefaultParagraphFont"/>
    <w:link w:val="Picturecaption17"/>
    <w:rsid w:val="005B1C6B"/>
    <w:rPr>
      <w:rFonts w:ascii="Microsoft Sans Serif" w:eastAsia="Microsoft Sans Serif" w:hAnsi="Microsoft Sans Serif" w:cs="Microsoft Sans Serif"/>
      <w:sz w:val="14"/>
      <w:szCs w:val="14"/>
      <w:shd w:val="clear" w:color="auto" w:fill="FFFFFF"/>
    </w:rPr>
  </w:style>
  <w:style w:type="character" w:customStyle="1" w:styleId="Bodytext24Exact">
    <w:name w:val="Body text (24) Exact"/>
    <w:basedOn w:val="Bodytext24"/>
    <w:rsid w:val="005B1C6B"/>
    <w:rPr>
      <w:rFonts w:ascii="Microsoft Sans Serif" w:eastAsia="Microsoft Sans Serif" w:hAnsi="Microsoft Sans Serif" w:cs="Microsoft Sans Serif"/>
      <w:b w:val="0"/>
      <w:bCs w:val="0"/>
      <w:i w:val="0"/>
      <w:iCs w:val="0"/>
      <w:smallCaps w:val="0"/>
      <w:strike w:val="0"/>
      <w:spacing w:val="0"/>
      <w:sz w:val="14"/>
      <w:szCs w:val="14"/>
      <w:u w:val="none"/>
    </w:rPr>
  </w:style>
  <w:style w:type="character" w:customStyle="1" w:styleId="Bodytext38Exact">
    <w:name w:val="Body text (38) Exact"/>
    <w:basedOn w:val="DefaultParagraphFont"/>
    <w:rsid w:val="005B1C6B"/>
    <w:rPr>
      <w:rFonts w:ascii="Arial Narrow" w:eastAsia="Arial Narrow" w:hAnsi="Arial Narrow" w:cs="Arial Narrow"/>
      <w:b w:val="0"/>
      <w:bCs w:val="0"/>
      <w:i/>
      <w:iCs/>
      <w:smallCaps w:val="0"/>
      <w:strike w:val="0"/>
      <w:w w:val="200"/>
      <w:sz w:val="9"/>
      <w:szCs w:val="9"/>
      <w:u w:val="none"/>
    </w:rPr>
  </w:style>
  <w:style w:type="character" w:customStyle="1" w:styleId="Picturecaption19Exact">
    <w:name w:val="Picture caption (19) Exact"/>
    <w:basedOn w:val="DefaultParagraphFont"/>
    <w:link w:val="Picturecaption19"/>
    <w:rsid w:val="005B1C6B"/>
    <w:rPr>
      <w:rFonts w:ascii="Verdana" w:eastAsia="Verdana" w:hAnsi="Verdana" w:cs="Verdana"/>
      <w:spacing w:val="-10"/>
      <w:sz w:val="8"/>
      <w:szCs w:val="8"/>
      <w:shd w:val="clear" w:color="auto" w:fill="FFFFFF"/>
    </w:rPr>
  </w:style>
  <w:style w:type="character" w:customStyle="1" w:styleId="Picturecaption19Italic">
    <w:name w:val="Picture caption (19) + Italic"/>
    <w:aliases w:val="Spacing 0 pt Exact"/>
    <w:basedOn w:val="Picturecaption19Exact"/>
    <w:rsid w:val="005B1C6B"/>
    <w:rPr>
      <w:rFonts w:ascii="Verdana" w:eastAsia="Verdana" w:hAnsi="Verdana" w:cs="Verdana"/>
      <w:i/>
      <w:iCs/>
      <w:color w:val="000000"/>
      <w:spacing w:val="0"/>
      <w:w w:val="100"/>
      <w:position w:val="0"/>
      <w:sz w:val="8"/>
      <w:szCs w:val="8"/>
      <w:shd w:val="clear" w:color="auto" w:fill="FFFFFF"/>
      <w:lang w:val="bg-BG" w:eastAsia="bg-BG" w:bidi="bg-BG"/>
    </w:rPr>
  </w:style>
  <w:style w:type="character" w:customStyle="1" w:styleId="Bodytext39Exact">
    <w:name w:val="Body text (39) Exact"/>
    <w:basedOn w:val="DefaultParagraphFont"/>
    <w:rsid w:val="005B1C6B"/>
    <w:rPr>
      <w:rFonts w:ascii="Century Gothic" w:eastAsia="Century Gothic" w:hAnsi="Century Gothic" w:cs="Century Gothic"/>
      <w:b w:val="0"/>
      <w:bCs w:val="0"/>
      <w:i w:val="0"/>
      <w:iCs w:val="0"/>
      <w:smallCaps w:val="0"/>
      <w:strike w:val="0"/>
      <w:sz w:val="10"/>
      <w:szCs w:val="10"/>
      <w:u w:val="none"/>
    </w:rPr>
  </w:style>
  <w:style w:type="character" w:customStyle="1" w:styleId="Bodytext40Exact">
    <w:name w:val="Body text (40) Exact"/>
    <w:basedOn w:val="DefaultParagraphFont"/>
    <w:rsid w:val="005B1C6B"/>
    <w:rPr>
      <w:rFonts w:ascii="Arial Narrow" w:eastAsia="Arial Narrow" w:hAnsi="Arial Narrow" w:cs="Arial Narrow"/>
      <w:b w:val="0"/>
      <w:bCs w:val="0"/>
      <w:i w:val="0"/>
      <w:iCs w:val="0"/>
      <w:smallCaps w:val="0"/>
      <w:strike w:val="0"/>
      <w:spacing w:val="0"/>
      <w:w w:val="200"/>
      <w:sz w:val="10"/>
      <w:szCs w:val="10"/>
      <w:u w:val="none"/>
    </w:rPr>
  </w:style>
  <w:style w:type="character" w:customStyle="1" w:styleId="Bodytext40TrebuchetMS">
    <w:name w:val="Body text (40) + Trebuchet MS"/>
    <w:aliases w:val="6 pt,Scale 100% Exact,Picture caption (21) + Not Italic"/>
    <w:basedOn w:val="Bodytext40Exact"/>
    <w:rsid w:val="005B1C6B"/>
    <w:rPr>
      <w:rFonts w:ascii="Trebuchet MS" w:eastAsia="Trebuchet MS" w:hAnsi="Trebuchet MS" w:cs="Trebuchet MS"/>
      <w:b/>
      <w:bCs/>
      <w:i w:val="0"/>
      <w:iCs w:val="0"/>
      <w:smallCaps w:val="0"/>
      <w:strike w:val="0"/>
      <w:color w:val="000000"/>
      <w:spacing w:val="0"/>
      <w:w w:val="100"/>
      <w:position w:val="0"/>
      <w:sz w:val="12"/>
      <w:szCs w:val="12"/>
      <w:u w:val="none"/>
      <w:lang w:val="bg-BG" w:eastAsia="bg-BG" w:bidi="bg-BG"/>
    </w:rPr>
  </w:style>
  <w:style w:type="paragraph" w:customStyle="1" w:styleId="Picturecaption17">
    <w:name w:val="Picture caption (17)"/>
    <w:basedOn w:val="Normal"/>
    <w:link w:val="Picturecaption17Exact"/>
    <w:qFormat/>
    <w:rsid w:val="005B1C6B"/>
    <w:pPr>
      <w:widowControl w:val="0"/>
      <w:shd w:val="clear" w:color="auto" w:fill="FFFFFF"/>
      <w:spacing w:after="0" w:line="0" w:lineRule="atLeast"/>
    </w:pPr>
    <w:rPr>
      <w:rFonts w:ascii="Microsoft Sans Serif" w:eastAsia="Microsoft Sans Serif" w:hAnsi="Microsoft Sans Serif" w:cs="Microsoft Sans Serif"/>
      <w:sz w:val="14"/>
      <w:szCs w:val="14"/>
    </w:rPr>
  </w:style>
  <w:style w:type="paragraph" w:customStyle="1" w:styleId="Picturecaption19">
    <w:name w:val="Picture caption (19)"/>
    <w:basedOn w:val="Normal"/>
    <w:link w:val="Picturecaption19Exact"/>
    <w:qFormat/>
    <w:rsid w:val="005B1C6B"/>
    <w:pPr>
      <w:widowControl w:val="0"/>
      <w:shd w:val="clear" w:color="auto" w:fill="FFFFFF"/>
      <w:spacing w:after="0" w:line="0" w:lineRule="atLeast"/>
    </w:pPr>
    <w:rPr>
      <w:rFonts w:ascii="Verdana" w:eastAsia="Verdana" w:hAnsi="Verdana" w:cs="Verdana"/>
      <w:spacing w:val="-10"/>
      <w:sz w:val="8"/>
      <w:szCs w:val="8"/>
    </w:rPr>
  </w:style>
  <w:style w:type="character" w:customStyle="1" w:styleId="Tablecaption10">
    <w:name w:val="Table caption (10)_"/>
    <w:basedOn w:val="DefaultParagraphFont"/>
    <w:rsid w:val="005B1C6B"/>
    <w:rPr>
      <w:rFonts w:ascii="Times New Roman" w:eastAsia="Times New Roman" w:hAnsi="Times New Roman" w:cs="Times New Roman"/>
      <w:b/>
      <w:bCs/>
      <w:i/>
      <w:iCs/>
      <w:smallCaps w:val="0"/>
      <w:strike w:val="0"/>
      <w:sz w:val="22"/>
      <w:szCs w:val="22"/>
      <w:u w:val="none"/>
    </w:rPr>
  </w:style>
  <w:style w:type="character" w:customStyle="1" w:styleId="Tablecaption100">
    <w:name w:val="Table caption (10)"/>
    <w:basedOn w:val="Tablecaption10"/>
    <w:rsid w:val="005B1C6B"/>
    <w:rPr>
      <w:rFonts w:ascii="Times New Roman" w:eastAsia="Times New Roman" w:hAnsi="Times New Roman" w:cs="Times New Roman"/>
      <w:b/>
      <w:bCs/>
      <w:i/>
      <w:iCs/>
      <w:smallCaps w:val="0"/>
      <w:strike w:val="0"/>
      <w:color w:val="000000"/>
      <w:spacing w:val="0"/>
      <w:w w:val="100"/>
      <w:position w:val="0"/>
      <w:sz w:val="22"/>
      <w:szCs w:val="22"/>
      <w:u w:val="none"/>
      <w:lang w:val="bg-BG" w:eastAsia="bg-BG" w:bidi="bg-BG"/>
    </w:rPr>
  </w:style>
  <w:style w:type="character" w:customStyle="1" w:styleId="Picturecaption3Exact">
    <w:name w:val="Picture caption (3) Exact"/>
    <w:basedOn w:val="DefaultParagraphFont"/>
    <w:rsid w:val="005B1C6B"/>
    <w:rPr>
      <w:rFonts w:ascii="Arial Narrow" w:eastAsia="Arial Narrow" w:hAnsi="Arial Narrow" w:cs="Arial Narrow"/>
      <w:b w:val="0"/>
      <w:bCs w:val="0"/>
      <w:i w:val="0"/>
      <w:iCs w:val="0"/>
      <w:smallCaps w:val="0"/>
      <w:strike w:val="0"/>
      <w:sz w:val="18"/>
      <w:szCs w:val="18"/>
      <w:u w:val="none"/>
    </w:rPr>
  </w:style>
  <w:style w:type="character" w:customStyle="1" w:styleId="Picturecaption4Exact">
    <w:name w:val="Picture caption (4) Exact"/>
    <w:basedOn w:val="DefaultParagraphFont"/>
    <w:rsid w:val="005B1C6B"/>
    <w:rPr>
      <w:rFonts w:ascii="Arial Narrow" w:eastAsia="Arial Narrow" w:hAnsi="Arial Narrow" w:cs="Arial Narrow"/>
      <w:b w:val="0"/>
      <w:bCs w:val="0"/>
      <w:i w:val="0"/>
      <w:iCs w:val="0"/>
      <w:smallCaps w:val="0"/>
      <w:strike w:val="0"/>
      <w:sz w:val="13"/>
      <w:szCs w:val="13"/>
      <w:u w:val="none"/>
    </w:rPr>
  </w:style>
  <w:style w:type="character" w:customStyle="1" w:styleId="Bodytext16Exact">
    <w:name w:val="Body text (16) Exact"/>
    <w:basedOn w:val="DefaultParagraphFont"/>
    <w:rsid w:val="005B1C6B"/>
    <w:rPr>
      <w:rFonts w:ascii="Verdana" w:eastAsia="Verdana" w:hAnsi="Verdana" w:cs="Verdana"/>
      <w:b/>
      <w:bCs/>
      <w:i w:val="0"/>
      <w:iCs w:val="0"/>
      <w:smallCaps w:val="0"/>
      <w:strike w:val="0"/>
      <w:sz w:val="14"/>
      <w:szCs w:val="14"/>
      <w:u w:val="none"/>
    </w:rPr>
  </w:style>
  <w:style w:type="character" w:customStyle="1" w:styleId="Bodytext14Verdana">
    <w:name w:val="Body text (14) + Verdana"/>
    <w:aliases w:val="Not Italic,Body text (17) + Not Bold,Body text (14) + 11 pt,Heading #8 + Not Bold,Heading #8 (2) + 11 pt"/>
    <w:basedOn w:val="Bodytext140"/>
    <w:rsid w:val="005B1C6B"/>
    <w:rPr>
      <w:rFonts w:ascii="Verdana" w:eastAsia="Verdana" w:hAnsi="Verdana" w:cs="Verdana"/>
      <w:b w:val="0"/>
      <w:bCs w:val="0"/>
      <w:i/>
      <w:iCs/>
      <w:smallCaps w:val="0"/>
      <w:strike w:val="0"/>
      <w:color w:val="000000"/>
      <w:spacing w:val="0"/>
      <w:w w:val="100"/>
      <w:position w:val="0"/>
      <w:sz w:val="23"/>
      <w:szCs w:val="23"/>
      <w:u w:val="none"/>
      <w:lang w:val="bg-BG" w:eastAsia="bg-BG" w:bidi="bg-BG"/>
    </w:rPr>
  </w:style>
  <w:style w:type="character" w:customStyle="1" w:styleId="Bodytext3Exact">
    <w:name w:val="Body text (3) Exact"/>
    <w:basedOn w:val="Bodytext3"/>
    <w:rsid w:val="005B1C6B"/>
    <w:rPr>
      <w:rFonts w:ascii="Arial Narrow" w:eastAsia="Arial Narrow" w:hAnsi="Arial Narrow" w:cs="Arial Narrow"/>
      <w:b w:val="0"/>
      <w:bCs w:val="0"/>
      <w:i w:val="0"/>
      <w:iCs w:val="0"/>
      <w:smallCaps w:val="0"/>
      <w:strike w:val="0"/>
      <w:color w:val="000000"/>
      <w:spacing w:val="0"/>
      <w:w w:val="100"/>
      <w:position w:val="0"/>
      <w:sz w:val="18"/>
      <w:szCs w:val="18"/>
      <w:u w:val="none"/>
      <w:lang w:val="bg-BG" w:eastAsia="bg-BG" w:bidi="bg-BG"/>
    </w:rPr>
  </w:style>
  <w:style w:type="character" w:customStyle="1" w:styleId="Headerorfooter2">
    <w:name w:val="Header or footer (2)_"/>
    <w:basedOn w:val="DefaultParagraphFont"/>
    <w:link w:val="Headerorfooter20"/>
    <w:rsid w:val="005B1C6B"/>
    <w:rPr>
      <w:rFonts w:ascii="Times New Roman" w:eastAsia="Times New Roman" w:hAnsi="Times New Roman" w:cs="Times New Roman"/>
      <w:sz w:val="18"/>
      <w:szCs w:val="18"/>
      <w:shd w:val="clear" w:color="auto" w:fill="FFFFFF"/>
    </w:rPr>
  </w:style>
  <w:style w:type="character" w:customStyle="1" w:styleId="Headerorfooter2105pt">
    <w:name w:val="Header or footer (2) + 10.5 pt"/>
    <w:basedOn w:val="Headerorfooter2"/>
    <w:rsid w:val="005B1C6B"/>
    <w:rPr>
      <w:rFonts w:ascii="Times New Roman" w:eastAsia="Times New Roman" w:hAnsi="Times New Roman" w:cs="Times New Roman"/>
      <w:color w:val="000000"/>
      <w:spacing w:val="0"/>
      <w:w w:val="100"/>
      <w:position w:val="0"/>
      <w:sz w:val="21"/>
      <w:szCs w:val="21"/>
      <w:u w:val="single"/>
      <w:shd w:val="clear" w:color="auto" w:fill="FFFFFF"/>
      <w:lang w:val="en-US" w:eastAsia="en-US" w:bidi="en-US"/>
    </w:rPr>
  </w:style>
  <w:style w:type="paragraph" w:customStyle="1" w:styleId="Headerorfooter20">
    <w:name w:val="Header or footer (2)"/>
    <w:basedOn w:val="Normal"/>
    <w:link w:val="Headerorfooter2"/>
    <w:qFormat/>
    <w:rsid w:val="005B1C6B"/>
    <w:pPr>
      <w:widowControl w:val="0"/>
      <w:shd w:val="clear" w:color="auto" w:fill="FFFFFF"/>
      <w:spacing w:after="0" w:line="206" w:lineRule="exact"/>
    </w:pPr>
    <w:rPr>
      <w:rFonts w:eastAsia="Times New Roman" w:cs="Times New Roman"/>
      <w:sz w:val="18"/>
      <w:szCs w:val="18"/>
    </w:rPr>
  </w:style>
  <w:style w:type="character" w:customStyle="1" w:styleId="Picturecaption8Exact">
    <w:name w:val="Picture caption (8) Exact"/>
    <w:basedOn w:val="DefaultParagraphFont"/>
    <w:rsid w:val="005B1C6B"/>
    <w:rPr>
      <w:rFonts w:ascii="Times New Roman" w:eastAsia="Times New Roman" w:hAnsi="Times New Roman" w:cs="Times New Roman"/>
      <w:b/>
      <w:bCs/>
      <w:i/>
      <w:iCs/>
      <w:smallCaps w:val="0"/>
      <w:strike w:val="0"/>
      <w:sz w:val="22"/>
      <w:szCs w:val="22"/>
      <w:u w:val="none"/>
    </w:rPr>
  </w:style>
  <w:style w:type="character" w:customStyle="1" w:styleId="Picturecaption20Exact">
    <w:name w:val="Picture caption (20) Exact"/>
    <w:basedOn w:val="DefaultParagraphFont"/>
    <w:link w:val="Picturecaption200"/>
    <w:rsid w:val="005B1C6B"/>
    <w:rPr>
      <w:rFonts w:ascii="Times New Roman" w:eastAsia="Times New Roman" w:hAnsi="Times New Roman" w:cs="Times New Roman"/>
      <w:i/>
      <w:iCs/>
      <w:sz w:val="23"/>
      <w:szCs w:val="23"/>
      <w:shd w:val="clear" w:color="auto" w:fill="FFFFFF"/>
    </w:rPr>
  </w:style>
  <w:style w:type="character" w:customStyle="1" w:styleId="Picturecaption21Exact">
    <w:name w:val="Picture caption (21) Exact"/>
    <w:basedOn w:val="DefaultParagraphFont"/>
    <w:link w:val="Picturecaption21"/>
    <w:rsid w:val="005B1C6B"/>
    <w:rPr>
      <w:rFonts w:ascii="Arial Narrow" w:eastAsia="Arial Narrow" w:hAnsi="Arial Narrow" w:cs="Arial Narrow"/>
      <w:i/>
      <w:iCs/>
      <w:w w:val="150"/>
      <w:sz w:val="11"/>
      <w:szCs w:val="11"/>
      <w:shd w:val="clear" w:color="auto" w:fill="FFFFFF"/>
    </w:rPr>
  </w:style>
  <w:style w:type="character" w:customStyle="1" w:styleId="Heading82">
    <w:name w:val="Heading #8 (2)_"/>
    <w:basedOn w:val="DefaultParagraphFont"/>
    <w:link w:val="Heading820"/>
    <w:rsid w:val="005B1C6B"/>
    <w:rPr>
      <w:rFonts w:ascii="Times New Roman" w:eastAsia="Times New Roman" w:hAnsi="Times New Roman" w:cs="Times New Roman"/>
      <w:i/>
      <w:iCs/>
      <w:sz w:val="20"/>
      <w:szCs w:val="20"/>
      <w:shd w:val="clear" w:color="auto" w:fill="FFFFFF"/>
    </w:rPr>
  </w:style>
  <w:style w:type="character" w:customStyle="1" w:styleId="Heading82NotItalic">
    <w:name w:val="Heading #8 (2) + Not Italic"/>
    <w:basedOn w:val="Heading82"/>
    <w:rsid w:val="005B1C6B"/>
    <w:rPr>
      <w:rFonts w:ascii="Times New Roman" w:eastAsia="Times New Roman" w:hAnsi="Times New Roman" w:cs="Times New Roman"/>
      <w:i/>
      <w:iCs/>
      <w:color w:val="000000"/>
      <w:spacing w:val="0"/>
      <w:w w:val="100"/>
      <w:position w:val="0"/>
      <w:sz w:val="20"/>
      <w:szCs w:val="20"/>
      <w:shd w:val="clear" w:color="auto" w:fill="FFFFFF"/>
      <w:lang w:val="bg-BG" w:eastAsia="bg-BG" w:bidi="bg-BG"/>
    </w:rPr>
  </w:style>
  <w:style w:type="character" w:customStyle="1" w:styleId="Picturecaption9Spacing-1pt">
    <w:name w:val="Picture caption (9) + Spacing -1 pt"/>
    <w:basedOn w:val="Picturecaption9"/>
    <w:rsid w:val="005B1C6B"/>
    <w:rPr>
      <w:rFonts w:ascii="Verdana" w:eastAsia="Verdana" w:hAnsi="Verdana" w:cs="Verdana"/>
      <w:b/>
      <w:bCs/>
      <w:i/>
      <w:iCs/>
      <w:smallCaps w:val="0"/>
      <w:strike w:val="0"/>
      <w:color w:val="000000"/>
      <w:spacing w:val="-20"/>
      <w:w w:val="100"/>
      <w:position w:val="0"/>
      <w:sz w:val="16"/>
      <w:szCs w:val="16"/>
      <w:u w:val="none"/>
      <w:lang w:val="bg-BG" w:eastAsia="bg-BG" w:bidi="bg-BG"/>
    </w:rPr>
  </w:style>
  <w:style w:type="character" w:customStyle="1" w:styleId="Picturecaption22">
    <w:name w:val="Picture caption (22)_"/>
    <w:basedOn w:val="DefaultParagraphFont"/>
    <w:rsid w:val="005B1C6B"/>
    <w:rPr>
      <w:rFonts w:ascii="Microsoft Sans Serif" w:eastAsia="Microsoft Sans Serif" w:hAnsi="Microsoft Sans Serif" w:cs="Microsoft Sans Serif"/>
      <w:b w:val="0"/>
      <w:bCs w:val="0"/>
      <w:i w:val="0"/>
      <w:iCs w:val="0"/>
      <w:smallCaps w:val="0"/>
      <w:strike w:val="0"/>
      <w:sz w:val="8"/>
      <w:szCs w:val="8"/>
      <w:u w:val="none"/>
    </w:rPr>
  </w:style>
  <w:style w:type="character" w:customStyle="1" w:styleId="Picturecaption220">
    <w:name w:val="Picture caption (22)"/>
    <w:basedOn w:val="Picturecaption22"/>
    <w:rsid w:val="005B1C6B"/>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bg-BG" w:eastAsia="bg-BG" w:bidi="bg-BG"/>
    </w:rPr>
  </w:style>
  <w:style w:type="character" w:customStyle="1" w:styleId="Picturecaption23">
    <w:name w:val="Picture caption (23)_"/>
    <w:basedOn w:val="DefaultParagraphFont"/>
    <w:rsid w:val="005B1C6B"/>
    <w:rPr>
      <w:rFonts w:ascii="Arial Narrow" w:eastAsia="Arial Narrow" w:hAnsi="Arial Narrow" w:cs="Arial Narrow"/>
      <w:b w:val="0"/>
      <w:bCs w:val="0"/>
      <w:i w:val="0"/>
      <w:iCs w:val="0"/>
      <w:smallCaps w:val="0"/>
      <w:strike w:val="0"/>
      <w:sz w:val="11"/>
      <w:szCs w:val="11"/>
      <w:u w:val="none"/>
    </w:rPr>
  </w:style>
  <w:style w:type="character" w:customStyle="1" w:styleId="Picturecaption230">
    <w:name w:val="Picture caption (23)"/>
    <w:basedOn w:val="Picturecaption23"/>
    <w:rsid w:val="005B1C6B"/>
    <w:rPr>
      <w:rFonts w:ascii="Arial Narrow" w:eastAsia="Arial Narrow" w:hAnsi="Arial Narrow" w:cs="Arial Narrow"/>
      <w:b w:val="0"/>
      <w:bCs w:val="0"/>
      <w:i w:val="0"/>
      <w:iCs w:val="0"/>
      <w:smallCaps w:val="0"/>
      <w:strike w:val="0"/>
      <w:color w:val="000000"/>
      <w:spacing w:val="0"/>
      <w:w w:val="100"/>
      <w:position w:val="0"/>
      <w:sz w:val="11"/>
      <w:szCs w:val="11"/>
      <w:u w:val="none"/>
      <w:lang w:val="bg-BG" w:eastAsia="bg-BG" w:bidi="bg-BG"/>
    </w:rPr>
  </w:style>
  <w:style w:type="character" w:customStyle="1" w:styleId="Picturecaption24">
    <w:name w:val="Picture caption (24)_"/>
    <w:basedOn w:val="DefaultParagraphFont"/>
    <w:rsid w:val="005B1C6B"/>
    <w:rPr>
      <w:rFonts w:ascii="Candara" w:eastAsia="Candara" w:hAnsi="Candara" w:cs="Candara"/>
      <w:b w:val="0"/>
      <w:bCs w:val="0"/>
      <w:i w:val="0"/>
      <w:iCs w:val="0"/>
      <w:smallCaps w:val="0"/>
      <w:strike w:val="0"/>
      <w:sz w:val="9"/>
      <w:szCs w:val="9"/>
      <w:u w:val="none"/>
    </w:rPr>
  </w:style>
  <w:style w:type="character" w:customStyle="1" w:styleId="Picturecaption240">
    <w:name w:val="Picture caption (24)"/>
    <w:basedOn w:val="Picturecaption24"/>
    <w:rsid w:val="005B1C6B"/>
    <w:rPr>
      <w:rFonts w:ascii="Candara" w:eastAsia="Candara" w:hAnsi="Candara" w:cs="Candara"/>
      <w:b w:val="0"/>
      <w:bCs w:val="0"/>
      <w:i w:val="0"/>
      <w:iCs w:val="0"/>
      <w:smallCaps w:val="0"/>
      <w:strike w:val="0"/>
      <w:color w:val="000000"/>
      <w:spacing w:val="0"/>
      <w:w w:val="100"/>
      <w:position w:val="0"/>
      <w:sz w:val="9"/>
      <w:szCs w:val="9"/>
      <w:u w:val="none"/>
      <w:lang w:val="bg-BG" w:eastAsia="bg-BG" w:bidi="bg-BG"/>
    </w:rPr>
  </w:style>
  <w:style w:type="character" w:customStyle="1" w:styleId="Picturecaption25">
    <w:name w:val="Picture caption (25)_"/>
    <w:basedOn w:val="DefaultParagraphFont"/>
    <w:rsid w:val="005B1C6B"/>
    <w:rPr>
      <w:rFonts w:ascii="Century Gothic" w:eastAsia="Century Gothic" w:hAnsi="Century Gothic" w:cs="Century Gothic"/>
      <w:b w:val="0"/>
      <w:bCs w:val="0"/>
      <w:i w:val="0"/>
      <w:iCs w:val="0"/>
      <w:smallCaps w:val="0"/>
      <w:strike w:val="0"/>
      <w:sz w:val="11"/>
      <w:szCs w:val="11"/>
      <w:u w:val="none"/>
    </w:rPr>
  </w:style>
  <w:style w:type="character" w:customStyle="1" w:styleId="Picturecaption250">
    <w:name w:val="Picture caption (25)"/>
    <w:basedOn w:val="Picturecaption25"/>
    <w:rsid w:val="005B1C6B"/>
    <w:rPr>
      <w:rFonts w:ascii="Century Gothic" w:eastAsia="Century Gothic" w:hAnsi="Century Gothic" w:cs="Century Gothic"/>
      <w:b w:val="0"/>
      <w:bCs w:val="0"/>
      <w:i w:val="0"/>
      <w:iCs w:val="0"/>
      <w:smallCaps w:val="0"/>
      <w:strike w:val="0"/>
      <w:color w:val="000000"/>
      <w:spacing w:val="0"/>
      <w:w w:val="100"/>
      <w:position w:val="0"/>
      <w:sz w:val="11"/>
      <w:szCs w:val="11"/>
      <w:u w:val="none"/>
      <w:lang w:val="bg-BG" w:eastAsia="bg-BG" w:bidi="bg-BG"/>
    </w:rPr>
  </w:style>
  <w:style w:type="character" w:customStyle="1" w:styleId="Picturecaption25ArialNarrow">
    <w:name w:val="Picture caption (25) + Arial Narrow"/>
    <w:basedOn w:val="Picturecaption25"/>
    <w:rsid w:val="005B1C6B"/>
    <w:rPr>
      <w:rFonts w:ascii="Arial Narrow" w:eastAsia="Arial Narrow" w:hAnsi="Arial Narrow" w:cs="Arial Narrow"/>
      <w:b w:val="0"/>
      <w:bCs w:val="0"/>
      <w:i w:val="0"/>
      <w:iCs w:val="0"/>
      <w:smallCaps w:val="0"/>
      <w:strike w:val="0"/>
      <w:color w:val="000000"/>
      <w:spacing w:val="0"/>
      <w:w w:val="100"/>
      <w:position w:val="0"/>
      <w:sz w:val="11"/>
      <w:szCs w:val="11"/>
      <w:u w:val="none"/>
      <w:lang w:val="bg-BG" w:eastAsia="bg-BG" w:bidi="bg-BG"/>
    </w:rPr>
  </w:style>
  <w:style w:type="paragraph" w:customStyle="1" w:styleId="Picturecaption200">
    <w:name w:val="Picture caption (20)"/>
    <w:basedOn w:val="Normal"/>
    <w:link w:val="Picturecaption20Exact"/>
    <w:qFormat/>
    <w:rsid w:val="005B1C6B"/>
    <w:pPr>
      <w:widowControl w:val="0"/>
      <w:shd w:val="clear" w:color="auto" w:fill="FFFFFF"/>
      <w:spacing w:after="0" w:line="0" w:lineRule="atLeast"/>
    </w:pPr>
    <w:rPr>
      <w:rFonts w:eastAsia="Times New Roman" w:cs="Times New Roman"/>
      <w:i/>
      <w:iCs/>
      <w:sz w:val="23"/>
      <w:szCs w:val="23"/>
    </w:rPr>
  </w:style>
  <w:style w:type="paragraph" w:customStyle="1" w:styleId="Picturecaption21">
    <w:name w:val="Picture caption (21)"/>
    <w:basedOn w:val="Normal"/>
    <w:link w:val="Picturecaption21Exact"/>
    <w:qFormat/>
    <w:rsid w:val="005B1C6B"/>
    <w:pPr>
      <w:widowControl w:val="0"/>
      <w:shd w:val="clear" w:color="auto" w:fill="FFFFFF"/>
      <w:spacing w:before="60" w:after="0" w:line="0" w:lineRule="atLeast"/>
      <w:jc w:val="both"/>
    </w:pPr>
    <w:rPr>
      <w:rFonts w:ascii="Arial Narrow" w:eastAsia="Arial Narrow" w:hAnsi="Arial Narrow" w:cs="Arial Narrow"/>
      <w:i/>
      <w:iCs/>
      <w:w w:val="150"/>
      <w:sz w:val="11"/>
      <w:szCs w:val="11"/>
    </w:rPr>
  </w:style>
  <w:style w:type="paragraph" w:customStyle="1" w:styleId="Heading820">
    <w:name w:val="Heading #8 (2)"/>
    <w:basedOn w:val="Normal"/>
    <w:link w:val="Heading82"/>
    <w:qFormat/>
    <w:rsid w:val="005B1C6B"/>
    <w:pPr>
      <w:widowControl w:val="0"/>
      <w:shd w:val="clear" w:color="auto" w:fill="FFFFFF"/>
      <w:spacing w:before="360" w:after="0" w:line="317" w:lineRule="exact"/>
      <w:ind w:hanging="380"/>
      <w:outlineLvl w:val="7"/>
    </w:pPr>
    <w:rPr>
      <w:rFonts w:eastAsia="Times New Roman" w:cs="Times New Roman"/>
      <w:i/>
      <w:iCs/>
      <w:sz w:val="20"/>
      <w:szCs w:val="20"/>
    </w:rPr>
  </w:style>
  <w:style w:type="character" w:customStyle="1" w:styleId="Bodytext97pt">
    <w:name w:val="Body text (9) + 7 pt"/>
    <w:aliases w:val="Not Bold,Body text (9) + 11.5 pt"/>
    <w:basedOn w:val="Bodytext9"/>
    <w:rsid w:val="005B1C6B"/>
    <w:rPr>
      <w:rFonts w:ascii="Times New Roman" w:eastAsia="Times New Roman" w:hAnsi="Times New Roman" w:cs="Times New Roman"/>
      <w:b/>
      <w:bCs/>
      <w:i w:val="0"/>
      <w:iCs w:val="0"/>
      <w:smallCaps w:val="0"/>
      <w:strike w:val="0"/>
      <w:color w:val="000000"/>
      <w:spacing w:val="0"/>
      <w:w w:val="100"/>
      <w:position w:val="0"/>
      <w:sz w:val="14"/>
      <w:szCs w:val="14"/>
      <w:u w:val="none"/>
      <w:shd w:val="clear" w:color="auto" w:fill="FFFFFF"/>
      <w:lang w:val="bg-BG" w:eastAsia="bg-BG" w:bidi="bg-BG"/>
    </w:rPr>
  </w:style>
  <w:style w:type="character" w:customStyle="1" w:styleId="Bodytext4Exact">
    <w:name w:val="Body text (4) Exact"/>
    <w:basedOn w:val="DefaultParagraphFont"/>
    <w:rsid w:val="005B1C6B"/>
    <w:rPr>
      <w:rFonts w:ascii="Times New Roman" w:eastAsia="Times New Roman" w:hAnsi="Times New Roman" w:cs="Times New Roman"/>
      <w:b/>
      <w:bCs/>
      <w:i w:val="0"/>
      <w:iCs w:val="0"/>
      <w:smallCaps w:val="0"/>
      <w:strike w:val="0"/>
      <w:sz w:val="18"/>
      <w:szCs w:val="18"/>
      <w:u w:val="none"/>
      <w:lang w:val="en-US" w:eastAsia="en-US" w:bidi="en-US"/>
    </w:rPr>
  </w:style>
  <w:style w:type="character" w:customStyle="1" w:styleId="Headingnumber1">
    <w:name w:val="Heading number #1_"/>
    <w:basedOn w:val="DefaultParagraphFont"/>
    <w:link w:val="Headingnumber10"/>
    <w:rsid w:val="005B1C6B"/>
    <w:rPr>
      <w:rFonts w:ascii="Times New Roman" w:eastAsia="Times New Roman" w:hAnsi="Times New Roman" w:cs="Times New Roman"/>
      <w:b/>
      <w:bCs/>
      <w:sz w:val="19"/>
      <w:szCs w:val="19"/>
      <w:shd w:val="clear" w:color="auto" w:fill="FFFFFF"/>
    </w:rPr>
  </w:style>
  <w:style w:type="paragraph" w:customStyle="1" w:styleId="Headingnumber10">
    <w:name w:val="Heading number #1"/>
    <w:basedOn w:val="Normal"/>
    <w:link w:val="Headingnumber1"/>
    <w:qFormat/>
    <w:rsid w:val="005B1C6B"/>
    <w:pPr>
      <w:widowControl w:val="0"/>
      <w:shd w:val="clear" w:color="auto" w:fill="FFFFFF"/>
      <w:spacing w:before="300" w:after="300" w:line="0" w:lineRule="atLeast"/>
      <w:jc w:val="center"/>
    </w:pPr>
    <w:rPr>
      <w:rFonts w:eastAsia="Times New Roman" w:cs="Times New Roman"/>
      <w:b/>
      <w:bCs/>
      <w:sz w:val="19"/>
      <w:szCs w:val="19"/>
    </w:rPr>
  </w:style>
  <w:style w:type="character" w:customStyle="1" w:styleId="search0">
    <w:name w:val="search0"/>
    <w:basedOn w:val="DefaultParagraphFont"/>
    <w:rsid w:val="005B1C6B"/>
  </w:style>
  <w:style w:type="character" w:customStyle="1" w:styleId="search1">
    <w:name w:val="search1"/>
    <w:basedOn w:val="DefaultParagraphFont"/>
    <w:rsid w:val="005B1C6B"/>
  </w:style>
  <w:style w:type="character" w:customStyle="1" w:styleId="search2">
    <w:name w:val="search2"/>
    <w:basedOn w:val="DefaultParagraphFont"/>
    <w:rsid w:val="005B1C6B"/>
  </w:style>
  <w:style w:type="character" w:customStyle="1" w:styleId="search3">
    <w:name w:val="search3"/>
    <w:basedOn w:val="DefaultParagraphFont"/>
    <w:rsid w:val="005B1C6B"/>
  </w:style>
  <w:style w:type="character" w:customStyle="1" w:styleId="search4">
    <w:name w:val="search4"/>
    <w:basedOn w:val="DefaultParagraphFont"/>
    <w:rsid w:val="005B1C6B"/>
  </w:style>
  <w:style w:type="character" w:customStyle="1" w:styleId="search5">
    <w:name w:val="search5"/>
    <w:basedOn w:val="DefaultParagraphFont"/>
    <w:rsid w:val="005B1C6B"/>
  </w:style>
  <w:style w:type="character" w:customStyle="1" w:styleId="search6">
    <w:name w:val="search6"/>
    <w:basedOn w:val="DefaultParagraphFont"/>
    <w:rsid w:val="005B1C6B"/>
  </w:style>
  <w:style w:type="character" w:customStyle="1" w:styleId="search7">
    <w:name w:val="search7"/>
    <w:basedOn w:val="DefaultParagraphFont"/>
    <w:rsid w:val="005B1C6B"/>
  </w:style>
  <w:style w:type="character" w:customStyle="1" w:styleId="search8">
    <w:name w:val="search8"/>
    <w:basedOn w:val="DefaultParagraphFont"/>
    <w:rsid w:val="005B1C6B"/>
  </w:style>
  <w:style w:type="character" w:customStyle="1" w:styleId="search9">
    <w:name w:val="search9"/>
    <w:basedOn w:val="DefaultParagraphFont"/>
    <w:rsid w:val="005B1C6B"/>
  </w:style>
  <w:style w:type="character" w:customStyle="1" w:styleId="search10">
    <w:name w:val="search10"/>
    <w:basedOn w:val="DefaultParagraphFont"/>
    <w:rsid w:val="005B1C6B"/>
  </w:style>
  <w:style w:type="character" w:customStyle="1" w:styleId="markedcontent">
    <w:name w:val="markedcontent"/>
    <w:basedOn w:val="DefaultParagraphFont"/>
    <w:rsid w:val="005B1C6B"/>
  </w:style>
  <w:style w:type="paragraph" w:styleId="TOCHeading">
    <w:name w:val="TOC Heading"/>
    <w:basedOn w:val="Heading1"/>
    <w:next w:val="Normal"/>
    <w:uiPriority w:val="39"/>
    <w:unhideWhenUsed/>
    <w:qFormat/>
    <w:rsid w:val="0097209F"/>
    <w:pPr>
      <w:numPr>
        <w:numId w:val="0"/>
      </w:numPr>
      <w:tabs>
        <w:tab w:val="clear" w:pos="742"/>
      </w:tabs>
      <w:spacing w:after="0" w:line="259" w:lineRule="auto"/>
      <w:jc w:val="left"/>
      <w:outlineLvl w:val="9"/>
    </w:pPr>
    <w:rPr>
      <w:rFonts w:asciiTheme="majorHAnsi" w:hAnsiTheme="majorHAnsi" w:cstheme="majorBidi"/>
      <w:b w:val="0"/>
      <w:bCs w:val="0"/>
      <w:smallCaps w:val="0"/>
      <w:color w:val="2F5496" w:themeColor="accent1" w:themeShade="BF"/>
      <w:sz w:val="32"/>
      <w:szCs w:val="32"/>
      <w:lang w:val="en-US" w:bidi="ar-SA"/>
    </w:rPr>
  </w:style>
  <w:style w:type="table" w:customStyle="1" w:styleId="Style210">
    <w:name w:val="Style 21"/>
    <w:basedOn w:val="TableContemporary"/>
    <w:uiPriority w:val="99"/>
    <w:rsid w:val="007D4C6A"/>
    <w:pPr>
      <w:tabs>
        <w:tab w:val="left" w:pos="1771"/>
      </w:tabs>
      <w:suppressAutoHyphens/>
      <w:spacing w:after="0" w:line="240" w:lineRule="auto"/>
      <w:jc w:val="center"/>
    </w:pPr>
    <w:rPr>
      <w:rFonts w:ascii="Cambria" w:eastAsia="Times New Roman" w:hAnsi="Cambria" w:cs="Times New Roman"/>
      <w:sz w:val="20"/>
      <w:szCs w:val="20"/>
      <w:lang w:val="en-US"/>
    </w:rPr>
    <w:tblPr/>
    <w:tcPr>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2">
    <w:name w:val="Table Contemporary112"/>
    <w:basedOn w:val="TableNormal"/>
    <w:rsid w:val="007D4C6A"/>
    <w:pPr>
      <w:tabs>
        <w:tab w:val="left" w:pos="1771"/>
      </w:tabs>
      <w:suppressAutoHyphens/>
      <w:spacing w:after="0" w:line="240" w:lineRule="auto"/>
      <w:jc w:val="both"/>
    </w:pPr>
    <w:rPr>
      <w:rFonts w:eastAsia="Times New Roman"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3">
    <w:name w:val="Table Grid3"/>
    <w:basedOn w:val="TableNormal"/>
    <w:next w:val="TableGrid"/>
    <w:uiPriority w:val="59"/>
    <w:rsid w:val="00510C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D6187E"/>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li">
    <w:name w:val="li"/>
    <w:basedOn w:val="Normal"/>
    <w:uiPriority w:val="99"/>
    <w:qFormat/>
    <w:rsid w:val="003F7BCE"/>
    <w:pPr>
      <w:spacing w:before="100" w:beforeAutospacing="1" w:after="100" w:afterAutospacing="1" w:line="240" w:lineRule="auto"/>
    </w:pPr>
    <w:rPr>
      <w:rFonts w:eastAsia="Times New Roman" w:cs="Times New Roman"/>
      <w:szCs w:val="24"/>
      <w:lang w:val="en-US"/>
    </w:rPr>
  </w:style>
  <w:style w:type="character" w:customStyle="1" w:styleId="num">
    <w:name w:val="num"/>
    <w:basedOn w:val="DefaultParagraphFont"/>
    <w:rsid w:val="003F7BCE"/>
  </w:style>
  <w:style w:type="paragraph" w:customStyle="1" w:styleId="commenttext0">
    <w:name w:val="commenttext"/>
    <w:basedOn w:val="Normal"/>
    <w:uiPriority w:val="99"/>
    <w:qFormat/>
    <w:rsid w:val="003F7BCE"/>
    <w:pPr>
      <w:spacing w:before="100" w:beforeAutospacing="1" w:after="100" w:afterAutospacing="1" w:line="240" w:lineRule="auto"/>
    </w:pPr>
    <w:rPr>
      <w:rFonts w:eastAsia="Times New Roman" w:cs="Times New Roman"/>
      <w:szCs w:val="24"/>
      <w:lang w:val="en-US"/>
    </w:rPr>
  </w:style>
  <w:style w:type="paragraph" w:customStyle="1" w:styleId="Normal1">
    <w:name w:val="Normal1"/>
    <w:basedOn w:val="Normal"/>
    <w:uiPriority w:val="99"/>
    <w:qFormat/>
    <w:rsid w:val="003F7BCE"/>
    <w:pPr>
      <w:spacing w:before="100" w:beforeAutospacing="1" w:after="100" w:afterAutospacing="1" w:line="240" w:lineRule="auto"/>
    </w:pPr>
    <w:rPr>
      <w:rFonts w:eastAsia="Times New Roman" w:cs="Times New Roman"/>
      <w:szCs w:val="24"/>
      <w:lang w:val="en-US"/>
    </w:rPr>
  </w:style>
  <w:style w:type="paragraph" w:customStyle="1" w:styleId="listbullet2">
    <w:name w:val="listbullet2"/>
    <w:basedOn w:val="Normal"/>
    <w:uiPriority w:val="99"/>
    <w:qFormat/>
    <w:rsid w:val="00BE5FF4"/>
    <w:pPr>
      <w:spacing w:before="100" w:beforeAutospacing="1" w:after="100" w:afterAutospacing="1" w:line="240" w:lineRule="auto"/>
    </w:pPr>
    <w:rPr>
      <w:rFonts w:eastAsia="Times New Roman" w:cs="Times New Roman"/>
      <w:szCs w:val="24"/>
      <w:lang w:val="en-US"/>
    </w:rPr>
  </w:style>
  <w:style w:type="paragraph" w:customStyle="1" w:styleId="Pagedecouverture">
    <w:name w:val="Page de couverture"/>
    <w:basedOn w:val="Normal"/>
    <w:next w:val="Normal"/>
    <w:uiPriority w:val="99"/>
    <w:qFormat/>
    <w:rsid w:val="00111FAC"/>
    <w:pPr>
      <w:spacing w:after="0"/>
    </w:pPr>
    <w:rPr>
      <w:lang w:val="en-US"/>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uiPriority w:val="99"/>
    <w:qFormat/>
    <w:rsid w:val="00111FAC"/>
    <w:pPr>
      <w:spacing w:line="240" w:lineRule="exact"/>
    </w:pPr>
    <w:rPr>
      <w:vertAlign w:val="superscript"/>
    </w:rPr>
  </w:style>
  <w:style w:type="character" w:customStyle="1" w:styleId="UnresolvedMention4">
    <w:name w:val="Unresolved Mention4"/>
    <w:basedOn w:val="DefaultParagraphFont"/>
    <w:uiPriority w:val="99"/>
    <w:semiHidden/>
    <w:unhideWhenUsed/>
    <w:rsid w:val="00396BB5"/>
    <w:rPr>
      <w:color w:val="605E5C"/>
      <w:shd w:val="clear" w:color="auto" w:fill="E1DFDD"/>
    </w:rPr>
  </w:style>
  <w:style w:type="paragraph" w:styleId="EndnoteText">
    <w:name w:val="endnote text"/>
    <w:basedOn w:val="Normal"/>
    <w:link w:val="EndnoteTextChar"/>
    <w:uiPriority w:val="99"/>
    <w:semiHidden/>
    <w:unhideWhenUsed/>
    <w:rsid w:val="001E17A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E17A1"/>
    <w:rPr>
      <w:sz w:val="20"/>
      <w:szCs w:val="20"/>
    </w:rPr>
  </w:style>
  <w:style w:type="character" w:styleId="EndnoteReference">
    <w:name w:val="endnote reference"/>
    <w:basedOn w:val="DefaultParagraphFont"/>
    <w:uiPriority w:val="99"/>
    <w:semiHidden/>
    <w:unhideWhenUsed/>
    <w:rsid w:val="001E17A1"/>
    <w:rPr>
      <w:vertAlign w:val="superscript"/>
    </w:rPr>
  </w:style>
  <w:style w:type="table" w:customStyle="1" w:styleId="TableGrid4">
    <w:name w:val="Table Grid4"/>
    <w:basedOn w:val="TableNormal"/>
    <w:next w:val="TableGrid"/>
    <w:uiPriority w:val="39"/>
    <w:rsid w:val="00706B92"/>
    <w:pPr>
      <w:spacing w:after="0" w:line="240" w:lineRule="auto"/>
      <w:ind w:firstLine="851"/>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2831ED"/>
    <w:pPr>
      <w:widowControl w:val="0"/>
      <w:autoSpaceDE w:val="0"/>
      <w:autoSpaceDN w:val="0"/>
      <w:spacing w:after="0" w:line="240" w:lineRule="auto"/>
      <w:ind w:left="107"/>
    </w:pPr>
    <w:rPr>
      <w:rFonts w:eastAsia="Times New Roman" w:cs="Times New Roman"/>
    </w:rPr>
  </w:style>
  <w:style w:type="character" w:customStyle="1" w:styleId="1">
    <w:name w:val="Неразрешено споменаване1"/>
    <w:basedOn w:val="DefaultParagraphFont"/>
    <w:uiPriority w:val="99"/>
    <w:semiHidden/>
    <w:unhideWhenUsed/>
    <w:rsid w:val="00CB58C8"/>
    <w:rPr>
      <w:color w:val="605E5C"/>
      <w:shd w:val="clear" w:color="auto" w:fill="E1DFDD"/>
    </w:rPr>
  </w:style>
  <w:style w:type="table" w:customStyle="1" w:styleId="TableGrid19">
    <w:name w:val="Table Grid19"/>
    <w:basedOn w:val="TableNormal"/>
    <w:next w:val="TableGrid"/>
    <w:uiPriority w:val="39"/>
    <w:rsid w:val="00CA4C5E"/>
    <w:pPr>
      <w:spacing w:after="0" w:line="240" w:lineRule="auto"/>
      <w:jc w:val="both"/>
    </w:pPr>
    <w:rPr>
      <w:rFonts w:asciiTheme="minorHAnsi" w:eastAsiaTheme="minorEastAsia" w:hAnsiTheme="minorHAnsi"/>
      <w:color w:val="auto"/>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aliases w:val="Major Heading Char1"/>
    <w:basedOn w:val="DefaultParagraphFont"/>
    <w:semiHidden/>
    <w:rsid w:val="009F6D1E"/>
    <w:rPr>
      <w:rFonts w:asciiTheme="majorHAnsi" w:eastAsiaTheme="majorEastAsia" w:hAnsiTheme="majorHAnsi" w:cstheme="majorBidi"/>
      <w:color w:val="2F5496" w:themeColor="accent1" w:themeShade="BF"/>
      <w:sz w:val="26"/>
      <w:szCs w:val="26"/>
    </w:rPr>
  </w:style>
  <w:style w:type="character" w:customStyle="1" w:styleId="Heading3Char1">
    <w:name w:val="Heading 3 Char1"/>
    <w:aliases w:val="Sub-heading Char1,L3 Char Char1,Titlu 1 Char1"/>
    <w:basedOn w:val="DefaultParagraphFont"/>
    <w:uiPriority w:val="9"/>
    <w:semiHidden/>
    <w:rsid w:val="009F6D1E"/>
    <w:rPr>
      <w:rFonts w:asciiTheme="majorHAnsi" w:eastAsiaTheme="majorEastAsia" w:hAnsiTheme="majorHAnsi" w:cstheme="majorBidi"/>
      <w:color w:val="1F3763" w:themeColor="accent1" w:themeShade="7F"/>
    </w:rPr>
  </w:style>
  <w:style w:type="character" w:customStyle="1" w:styleId="Heading4Char1">
    <w:name w:val="Heading 4 Char1"/>
    <w:aliases w:val="Minor Heading Char1"/>
    <w:basedOn w:val="DefaultParagraphFont"/>
    <w:uiPriority w:val="9"/>
    <w:semiHidden/>
    <w:rsid w:val="009F6D1E"/>
    <w:rPr>
      <w:rFonts w:asciiTheme="majorHAnsi" w:eastAsiaTheme="majorEastAsia" w:hAnsiTheme="majorHAnsi" w:cstheme="majorBidi"/>
      <w:i/>
      <w:iCs/>
      <w:color w:val="2F5496" w:themeColor="accent1" w:themeShade="BF"/>
      <w:szCs w:val="22"/>
    </w:rPr>
  </w:style>
  <w:style w:type="character" w:customStyle="1" w:styleId="Heading5Char1">
    <w:name w:val="Heading 5 Char1"/>
    <w:aliases w:val="Further Points Char1"/>
    <w:basedOn w:val="DefaultParagraphFont"/>
    <w:uiPriority w:val="9"/>
    <w:semiHidden/>
    <w:rsid w:val="009F6D1E"/>
    <w:rPr>
      <w:rFonts w:asciiTheme="majorHAnsi" w:eastAsiaTheme="majorEastAsia" w:hAnsiTheme="majorHAnsi" w:cstheme="majorBidi"/>
      <w:color w:val="2F5496" w:themeColor="accent1" w:themeShade="BF"/>
      <w:szCs w:val="22"/>
    </w:rPr>
  </w:style>
  <w:style w:type="character" w:customStyle="1" w:styleId="Heading6Char1">
    <w:name w:val="Heading 6 Char1"/>
    <w:aliases w:val="Points in Text Char1,Heading H6 SSTT Char1,Булет-2 Char1"/>
    <w:basedOn w:val="DefaultParagraphFont"/>
    <w:uiPriority w:val="9"/>
    <w:semiHidden/>
    <w:rsid w:val="009F6D1E"/>
    <w:rPr>
      <w:rFonts w:asciiTheme="majorHAnsi" w:eastAsiaTheme="majorEastAsia" w:hAnsiTheme="majorHAnsi" w:cstheme="majorBidi"/>
      <w:color w:val="1F3763" w:themeColor="accent1" w:themeShade="7F"/>
      <w:szCs w:val="22"/>
    </w:rPr>
  </w:style>
  <w:style w:type="character" w:customStyle="1" w:styleId="Heading8Char1">
    <w:name w:val="Heading 8 Char1"/>
    <w:aliases w:val="Appendix Level 2 Char1"/>
    <w:basedOn w:val="DefaultParagraphFont"/>
    <w:uiPriority w:val="9"/>
    <w:semiHidden/>
    <w:rsid w:val="009F6D1E"/>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Appendix Level 3 Char1"/>
    <w:basedOn w:val="DefaultParagraphFont"/>
    <w:uiPriority w:val="9"/>
    <w:semiHidden/>
    <w:rsid w:val="009F6D1E"/>
    <w:rPr>
      <w:rFonts w:asciiTheme="majorHAnsi" w:eastAsiaTheme="majorEastAsia" w:hAnsiTheme="majorHAnsi" w:cstheme="majorBidi"/>
      <w:i/>
      <w:iCs/>
      <w:color w:val="272727" w:themeColor="text1" w:themeTint="D8"/>
      <w:sz w:val="21"/>
      <w:szCs w:val="21"/>
    </w:rPr>
  </w:style>
  <w:style w:type="character" w:customStyle="1" w:styleId="FootnoteTextChar1">
    <w:name w:val="Footnote Text Char1"/>
    <w:aliases w:val="Footnote Text Char Char Char Char Char Char Char1,fn Char1,single space Char1,FOOTNOTES Char1,Footnote Text Char Char Char1,ft Char1,Texto nota pie Car Char1,Fußnotentext Char Char1,Fußnotentext arial Char1,ALTS FOOTNOTE Char1"/>
    <w:basedOn w:val="DefaultParagraphFont"/>
    <w:uiPriority w:val="99"/>
    <w:semiHidden/>
    <w:rsid w:val="009F6D1E"/>
    <w:rPr>
      <w:sz w:val="20"/>
      <w:szCs w:val="20"/>
    </w:rPr>
  </w:style>
  <w:style w:type="character" w:customStyle="1" w:styleId="Heading7Char1">
    <w:name w:val="Heading 7 Char1"/>
    <w:basedOn w:val="DefaultParagraphFont"/>
    <w:uiPriority w:val="9"/>
    <w:semiHidden/>
    <w:rsid w:val="009F6D1E"/>
    <w:rPr>
      <w:rFonts w:asciiTheme="majorHAnsi" w:eastAsiaTheme="majorEastAsia" w:hAnsiTheme="majorHAnsi" w:cstheme="majorBidi"/>
      <w:i/>
      <w:iCs/>
      <w:color w:val="1F3763" w:themeColor="accent1" w:themeShade="7F"/>
      <w:szCs w:val="22"/>
    </w:rPr>
  </w:style>
  <w:style w:type="character" w:customStyle="1" w:styleId="FooterChar1">
    <w:name w:val="Footer Char1"/>
    <w:basedOn w:val="DefaultParagraphFont"/>
    <w:uiPriority w:val="99"/>
    <w:semiHidden/>
    <w:rsid w:val="009F6D1E"/>
  </w:style>
  <w:style w:type="character" w:customStyle="1" w:styleId="HeaderChar1">
    <w:name w:val="Header Char1"/>
    <w:basedOn w:val="DefaultParagraphFont"/>
    <w:uiPriority w:val="99"/>
    <w:semiHidden/>
    <w:rsid w:val="009F6D1E"/>
  </w:style>
  <w:style w:type="character" w:customStyle="1" w:styleId="BodyTextIndentChar1">
    <w:name w:val="Body Text Indent Char1"/>
    <w:basedOn w:val="DefaultParagraphFont"/>
    <w:semiHidden/>
    <w:rsid w:val="009F6D1E"/>
  </w:style>
  <w:style w:type="character" w:customStyle="1" w:styleId="BodyText2Char1">
    <w:name w:val="Body Text 2 Char1"/>
    <w:basedOn w:val="DefaultParagraphFont"/>
    <w:semiHidden/>
    <w:rsid w:val="009F6D1E"/>
  </w:style>
  <w:style w:type="character" w:customStyle="1" w:styleId="BodyText3Char1">
    <w:name w:val="Body Text 3 Char1"/>
    <w:basedOn w:val="DefaultParagraphFont"/>
    <w:semiHidden/>
    <w:rsid w:val="009F6D1E"/>
    <w:rPr>
      <w:sz w:val="16"/>
      <w:szCs w:val="16"/>
    </w:rPr>
  </w:style>
  <w:style w:type="character" w:customStyle="1" w:styleId="BodyTextIndent3Char1">
    <w:name w:val="Body Text Indent 3 Char1"/>
    <w:basedOn w:val="DefaultParagraphFont"/>
    <w:uiPriority w:val="99"/>
    <w:semiHidden/>
    <w:rsid w:val="009F6D1E"/>
    <w:rPr>
      <w:sz w:val="16"/>
      <w:szCs w:val="16"/>
    </w:rPr>
  </w:style>
  <w:style w:type="character" w:customStyle="1" w:styleId="EndnoteTextChar1">
    <w:name w:val="Endnote Text Char1"/>
    <w:basedOn w:val="DefaultParagraphFont"/>
    <w:uiPriority w:val="99"/>
    <w:semiHidden/>
    <w:rsid w:val="009F6D1E"/>
    <w:rPr>
      <w:sz w:val="20"/>
      <w:szCs w:val="20"/>
    </w:rPr>
  </w:style>
  <w:style w:type="character" w:customStyle="1" w:styleId="UnresolvedMention5">
    <w:name w:val="Unresolved Mention5"/>
    <w:basedOn w:val="DefaultParagraphFont"/>
    <w:uiPriority w:val="99"/>
    <w:semiHidden/>
    <w:rsid w:val="009F6D1E"/>
    <w:rPr>
      <w:color w:val="605E5C"/>
      <w:shd w:val="clear" w:color="auto" w:fill="E1DFDD"/>
    </w:rPr>
  </w:style>
  <w:style w:type="table" w:customStyle="1" w:styleId="GridTable5Dark-Accent11">
    <w:name w:val="Grid Table 5 Dark - Accent 11"/>
    <w:basedOn w:val="TableNormal"/>
    <w:uiPriority w:val="50"/>
    <w:rsid w:val="009F6D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ListTable4-Accent11">
    <w:name w:val="List Table 4 - Accent 11"/>
    <w:basedOn w:val="TableNormal"/>
    <w:uiPriority w:val="49"/>
    <w:rsid w:val="009F6D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11">
    <w:name w:val="Grid Table 4 - Accent 11"/>
    <w:basedOn w:val="TableNormal"/>
    <w:uiPriority w:val="49"/>
    <w:rsid w:val="009F6D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6">
    <w:name w:val="Unresolved Mention6"/>
    <w:basedOn w:val="DefaultParagraphFont"/>
    <w:uiPriority w:val="99"/>
    <w:semiHidden/>
    <w:unhideWhenUsed/>
    <w:rsid w:val="00622D1D"/>
    <w:rPr>
      <w:color w:val="605E5C"/>
      <w:shd w:val="clear" w:color="auto" w:fill="E1DFDD"/>
    </w:rPr>
  </w:style>
  <w:style w:type="character" w:styleId="UnresolvedMention">
    <w:name w:val="Unresolved Mention"/>
    <w:basedOn w:val="DefaultParagraphFont"/>
    <w:uiPriority w:val="99"/>
    <w:semiHidden/>
    <w:unhideWhenUsed/>
    <w:rsid w:val="00A43E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347076">
      <w:bodyDiv w:val="1"/>
      <w:marLeft w:val="0"/>
      <w:marRight w:val="0"/>
      <w:marTop w:val="0"/>
      <w:marBottom w:val="0"/>
      <w:divBdr>
        <w:top w:val="none" w:sz="0" w:space="0" w:color="auto"/>
        <w:left w:val="none" w:sz="0" w:space="0" w:color="auto"/>
        <w:bottom w:val="none" w:sz="0" w:space="0" w:color="auto"/>
        <w:right w:val="none" w:sz="0" w:space="0" w:color="auto"/>
      </w:divBdr>
    </w:div>
    <w:div w:id="123544579">
      <w:bodyDiv w:val="1"/>
      <w:marLeft w:val="0"/>
      <w:marRight w:val="0"/>
      <w:marTop w:val="0"/>
      <w:marBottom w:val="0"/>
      <w:divBdr>
        <w:top w:val="none" w:sz="0" w:space="0" w:color="auto"/>
        <w:left w:val="none" w:sz="0" w:space="0" w:color="auto"/>
        <w:bottom w:val="none" w:sz="0" w:space="0" w:color="auto"/>
        <w:right w:val="none" w:sz="0" w:space="0" w:color="auto"/>
      </w:divBdr>
    </w:div>
    <w:div w:id="132870002">
      <w:bodyDiv w:val="1"/>
      <w:marLeft w:val="0"/>
      <w:marRight w:val="0"/>
      <w:marTop w:val="0"/>
      <w:marBottom w:val="0"/>
      <w:divBdr>
        <w:top w:val="none" w:sz="0" w:space="0" w:color="auto"/>
        <w:left w:val="none" w:sz="0" w:space="0" w:color="auto"/>
        <w:bottom w:val="none" w:sz="0" w:space="0" w:color="auto"/>
        <w:right w:val="none" w:sz="0" w:space="0" w:color="auto"/>
      </w:divBdr>
    </w:div>
    <w:div w:id="153300953">
      <w:bodyDiv w:val="1"/>
      <w:marLeft w:val="0"/>
      <w:marRight w:val="0"/>
      <w:marTop w:val="0"/>
      <w:marBottom w:val="0"/>
      <w:divBdr>
        <w:top w:val="none" w:sz="0" w:space="0" w:color="auto"/>
        <w:left w:val="none" w:sz="0" w:space="0" w:color="auto"/>
        <w:bottom w:val="none" w:sz="0" w:space="0" w:color="auto"/>
        <w:right w:val="none" w:sz="0" w:space="0" w:color="auto"/>
      </w:divBdr>
    </w:div>
    <w:div w:id="165482541">
      <w:bodyDiv w:val="1"/>
      <w:marLeft w:val="0"/>
      <w:marRight w:val="0"/>
      <w:marTop w:val="0"/>
      <w:marBottom w:val="0"/>
      <w:divBdr>
        <w:top w:val="none" w:sz="0" w:space="0" w:color="auto"/>
        <w:left w:val="none" w:sz="0" w:space="0" w:color="auto"/>
        <w:bottom w:val="none" w:sz="0" w:space="0" w:color="auto"/>
        <w:right w:val="none" w:sz="0" w:space="0" w:color="auto"/>
      </w:divBdr>
    </w:div>
    <w:div w:id="181168987">
      <w:bodyDiv w:val="1"/>
      <w:marLeft w:val="0"/>
      <w:marRight w:val="0"/>
      <w:marTop w:val="0"/>
      <w:marBottom w:val="0"/>
      <w:divBdr>
        <w:top w:val="none" w:sz="0" w:space="0" w:color="auto"/>
        <w:left w:val="none" w:sz="0" w:space="0" w:color="auto"/>
        <w:bottom w:val="none" w:sz="0" w:space="0" w:color="auto"/>
        <w:right w:val="none" w:sz="0" w:space="0" w:color="auto"/>
      </w:divBdr>
    </w:div>
    <w:div w:id="220943110">
      <w:bodyDiv w:val="1"/>
      <w:marLeft w:val="0"/>
      <w:marRight w:val="0"/>
      <w:marTop w:val="0"/>
      <w:marBottom w:val="0"/>
      <w:divBdr>
        <w:top w:val="none" w:sz="0" w:space="0" w:color="auto"/>
        <w:left w:val="none" w:sz="0" w:space="0" w:color="auto"/>
        <w:bottom w:val="none" w:sz="0" w:space="0" w:color="auto"/>
        <w:right w:val="none" w:sz="0" w:space="0" w:color="auto"/>
      </w:divBdr>
    </w:div>
    <w:div w:id="268120748">
      <w:bodyDiv w:val="1"/>
      <w:marLeft w:val="0"/>
      <w:marRight w:val="0"/>
      <w:marTop w:val="0"/>
      <w:marBottom w:val="0"/>
      <w:divBdr>
        <w:top w:val="none" w:sz="0" w:space="0" w:color="auto"/>
        <w:left w:val="none" w:sz="0" w:space="0" w:color="auto"/>
        <w:bottom w:val="none" w:sz="0" w:space="0" w:color="auto"/>
        <w:right w:val="none" w:sz="0" w:space="0" w:color="auto"/>
      </w:divBdr>
    </w:div>
    <w:div w:id="285239522">
      <w:bodyDiv w:val="1"/>
      <w:marLeft w:val="0"/>
      <w:marRight w:val="0"/>
      <w:marTop w:val="0"/>
      <w:marBottom w:val="0"/>
      <w:divBdr>
        <w:top w:val="none" w:sz="0" w:space="0" w:color="auto"/>
        <w:left w:val="none" w:sz="0" w:space="0" w:color="auto"/>
        <w:bottom w:val="none" w:sz="0" w:space="0" w:color="auto"/>
        <w:right w:val="none" w:sz="0" w:space="0" w:color="auto"/>
      </w:divBdr>
    </w:div>
    <w:div w:id="316957518">
      <w:bodyDiv w:val="1"/>
      <w:marLeft w:val="0"/>
      <w:marRight w:val="0"/>
      <w:marTop w:val="0"/>
      <w:marBottom w:val="0"/>
      <w:divBdr>
        <w:top w:val="none" w:sz="0" w:space="0" w:color="auto"/>
        <w:left w:val="none" w:sz="0" w:space="0" w:color="auto"/>
        <w:bottom w:val="none" w:sz="0" w:space="0" w:color="auto"/>
        <w:right w:val="none" w:sz="0" w:space="0" w:color="auto"/>
      </w:divBdr>
    </w:div>
    <w:div w:id="333649831">
      <w:bodyDiv w:val="1"/>
      <w:marLeft w:val="0"/>
      <w:marRight w:val="0"/>
      <w:marTop w:val="0"/>
      <w:marBottom w:val="0"/>
      <w:divBdr>
        <w:top w:val="none" w:sz="0" w:space="0" w:color="auto"/>
        <w:left w:val="none" w:sz="0" w:space="0" w:color="auto"/>
        <w:bottom w:val="none" w:sz="0" w:space="0" w:color="auto"/>
        <w:right w:val="none" w:sz="0" w:space="0" w:color="auto"/>
      </w:divBdr>
    </w:div>
    <w:div w:id="334500554">
      <w:bodyDiv w:val="1"/>
      <w:marLeft w:val="0"/>
      <w:marRight w:val="0"/>
      <w:marTop w:val="0"/>
      <w:marBottom w:val="0"/>
      <w:divBdr>
        <w:top w:val="none" w:sz="0" w:space="0" w:color="auto"/>
        <w:left w:val="none" w:sz="0" w:space="0" w:color="auto"/>
        <w:bottom w:val="none" w:sz="0" w:space="0" w:color="auto"/>
        <w:right w:val="none" w:sz="0" w:space="0" w:color="auto"/>
      </w:divBdr>
    </w:div>
    <w:div w:id="359546955">
      <w:bodyDiv w:val="1"/>
      <w:marLeft w:val="0"/>
      <w:marRight w:val="0"/>
      <w:marTop w:val="0"/>
      <w:marBottom w:val="0"/>
      <w:divBdr>
        <w:top w:val="none" w:sz="0" w:space="0" w:color="auto"/>
        <w:left w:val="none" w:sz="0" w:space="0" w:color="auto"/>
        <w:bottom w:val="none" w:sz="0" w:space="0" w:color="auto"/>
        <w:right w:val="none" w:sz="0" w:space="0" w:color="auto"/>
      </w:divBdr>
    </w:div>
    <w:div w:id="372116203">
      <w:bodyDiv w:val="1"/>
      <w:marLeft w:val="0"/>
      <w:marRight w:val="0"/>
      <w:marTop w:val="0"/>
      <w:marBottom w:val="0"/>
      <w:divBdr>
        <w:top w:val="none" w:sz="0" w:space="0" w:color="auto"/>
        <w:left w:val="none" w:sz="0" w:space="0" w:color="auto"/>
        <w:bottom w:val="none" w:sz="0" w:space="0" w:color="auto"/>
        <w:right w:val="none" w:sz="0" w:space="0" w:color="auto"/>
      </w:divBdr>
    </w:div>
    <w:div w:id="391543467">
      <w:bodyDiv w:val="1"/>
      <w:marLeft w:val="0"/>
      <w:marRight w:val="0"/>
      <w:marTop w:val="0"/>
      <w:marBottom w:val="0"/>
      <w:divBdr>
        <w:top w:val="none" w:sz="0" w:space="0" w:color="auto"/>
        <w:left w:val="none" w:sz="0" w:space="0" w:color="auto"/>
        <w:bottom w:val="none" w:sz="0" w:space="0" w:color="auto"/>
        <w:right w:val="none" w:sz="0" w:space="0" w:color="auto"/>
      </w:divBdr>
    </w:div>
    <w:div w:id="401568099">
      <w:bodyDiv w:val="1"/>
      <w:marLeft w:val="0"/>
      <w:marRight w:val="0"/>
      <w:marTop w:val="0"/>
      <w:marBottom w:val="0"/>
      <w:divBdr>
        <w:top w:val="none" w:sz="0" w:space="0" w:color="auto"/>
        <w:left w:val="none" w:sz="0" w:space="0" w:color="auto"/>
        <w:bottom w:val="none" w:sz="0" w:space="0" w:color="auto"/>
        <w:right w:val="none" w:sz="0" w:space="0" w:color="auto"/>
      </w:divBdr>
    </w:div>
    <w:div w:id="414399380">
      <w:bodyDiv w:val="1"/>
      <w:marLeft w:val="0"/>
      <w:marRight w:val="0"/>
      <w:marTop w:val="0"/>
      <w:marBottom w:val="0"/>
      <w:divBdr>
        <w:top w:val="none" w:sz="0" w:space="0" w:color="auto"/>
        <w:left w:val="none" w:sz="0" w:space="0" w:color="auto"/>
        <w:bottom w:val="none" w:sz="0" w:space="0" w:color="auto"/>
        <w:right w:val="none" w:sz="0" w:space="0" w:color="auto"/>
      </w:divBdr>
    </w:div>
    <w:div w:id="436096265">
      <w:bodyDiv w:val="1"/>
      <w:marLeft w:val="0"/>
      <w:marRight w:val="0"/>
      <w:marTop w:val="0"/>
      <w:marBottom w:val="0"/>
      <w:divBdr>
        <w:top w:val="none" w:sz="0" w:space="0" w:color="auto"/>
        <w:left w:val="none" w:sz="0" w:space="0" w:color="auto"/>
        <w:bottom w:val="none" w:sz="0" w:space="0" w:color="auto"/>
        <w:right w:val="none" w:sz="0" w:space="0" w:color="auto"/>
      </w:divBdr>
    </w:div>
    <w:div w:id="478959932">
      <w:bodyDiv w:val="1"/>
      <w:marLeft w:val="0"/>
      <w:marRight w:val="0"/>
      <w:marTop w:val="0"/>
      <w:marBottom w:val="0"/>
      <w:divBdr>
        <w:top w:val="none" w:sz="0" w:space="0" w:color="auto"/>
        <w:left w:val="none" w:sz="0" w:space="0" w:color="auto"/>
        <w:bottom w:val="none" w:sz="0" w:space="0" w:color="auto"/>
        <w:right w:val="none" w:sz="0" w:space="0" w:color="auto"/>
      </w:divBdr>
    </w:div>
    <w:div w:id="520317773">
      <w:bodyDiv w:val="1"/>
      <w:marLeft w:val="0"/>
      <w:marRight w:val="0"/>
      <w:marTop w:val="0"/>
      <w:marBottom w:val="0"/>
      <w:divBdr>
        <w:top w:val="none" w:sz="0" w:space="0" w:color="auto"/>
        <w:left w:val="none" w:sz="0" w:space="0" w:color="auto"/>
        <w:bottom w:val="none" w:sz="0" w:space="0" w:color="auto"/>
        <w:right w:val="none" w:sz="0" w:space="0" w:color="auto"/>
      </w:divBdr>
    </w:div>
    <w:div w:id="547229245">
      <w:bodyDiv w:val="1"/>
      <w:marLeft w:val="0"/>
      <w:marRight w:val="0"/>
      <w:marTop w:val="0"/>
      <w:marBottom w:val="0"/>
      <w:divBdr>
        <w:top w:val="none" w:sz="0" w:space="0" w:color="auto"/>
        <w:left w:val="none" w:sz="0" w:space="0" w:color="auto"/>
        <w:bottom w:val="none" w:sz="0" w:space="0" w:color="auto"/>
        <w:right w:val="none" w:sz="0" w:space="0" w:color="auto"/>
      </w:divBdr>
    </w:div>
    <w:div w:id="551237905">
      <w:bodyDiv w:val="1"/>
      <w:marLeft w:val="0"/>
      <w:marRight w:val="0"/>
      <w:marTop w:val="0"/>
      <w:marBottom w:val="0"/>
      <w:divBdr>
        <w:top w:val="none" w:sz="0" w:space="0" w:color="auto"/>
        <w:left w:val="none" w:sz="0" w:space="0" w:color="auto"/>
        <w:bottom w:val="none" w:sz="0" w:space="0" w:color="auto"/>
        <w:right w:val="none" w:sz="0" w:space="0" w:color="auto"/>
      </w:divBdr>
    </w:div>
    <w:div w:id="560403120">
      <w:bodyDiv w:val="1"/>
      <w:marLeft w:val="0"/>
      <w:marRight w:val="0"/>
      <w:marTop w:val="0"/>
      <w:marBottom w:val="0"/>
      <w:divBdr>
        <w:top w:val="none" w:sz="0" w:space="0" w:color="auto"/>
        <w:left w:val="none" w:sz="0" w:space="0" w:color="auto"/>
        <w:bottom w:val="none" w:sz="0" w:space="0" w:color="auto"/>
        <w:right w:val="none" w:sz="0" w:space="0" w:color="auto"/>
      </w:divBdr>
    </w:div>
    <w:div w:id="566644931">
      <w:bodyDiv w:val="1"/>
      <w:marLeft w:val="0"/>
      <w:marRight w:val="0"/>
      <w:marTop w:val="0"/>
      <w:marBottom w:val="0"/>
      <w:divBdr>
        <w:top w:val="none" w:sz="0" w:space="0" w:color="auto"/>
        <w:left w:val="none" w:sz="0" w:space="0" w:color="auto"/>
        <w:bottom w:val="none" w:sz="0" w:space="0" w:color="auto"/>
        <w:right w:val="none" w:sz="0" w:space="0" w:color="auto"/>
      </w:divBdr>
    </w:div>
    <w:div w:id="584725757">
      <w:bodyDiv w:val="1"/>
      <w:marLeft w:val="0"/>
      <w:marRight w:val="0"/>
      <w:marTop w:val="0"/>
      <w:marBottom w:val="0"/>
      <w:divBdr>
        <w:top w:val="none" w:sz="0" w:space="0" w:color="auto"/>
        <w:left w:val="none" w:sz="0" w:space="0" w:color="auto"/>
        <w:bottom w:val="none" w:sz="0" w:space="0" w:color="auto"/>
        <w:right w:val="none" w:sz="0" w:space="0" w:color="auto"/>
      </w:divBdr>
    </w:div>
    <w:div w:id="600651465">
      <w:bodyDiv w:val="1"/>
      <w:marLeft w:val="0"/>
      <w:marRight w:val="0"/>
      <w:marTop w:val="0"/>
      <w:marBottom w:val="0"/>
      <w:divBdr>
        <w:top w:val="none" w:sz="0" w:space="0" w:color="auto"/>
        <w:left w:val="none" w:sz="0" w:space="0" w:color="auto"/>
        <w:bottom w:val="none" w:sz="0" w:space="0" w:color="auto"/>
        <w:right w:val="none" w:sz="0" w:space="0" w:color="auto"/>
      </w:divBdr>
    </w:div>
    <w:div w:id="613901250">
      <w:bodyDiv w:val="1"/>
      <w:marLeft w:val="0"/>
      <w:marRight w:val="0"/>
      <w:marTop w:val="0"/>
      <w:marBottom w:val="0"/>
      <w:divBdr>
        <w:top w:val="none" w:sz="0" w:space="0" w:color="auto"/>
        <w:left w:val="none" w:sz="0" w:space="0" w:color="auto"/>
        <w:bottom w:val="none" w:sz="0" w:space="0" w:color="auto"/>
        <w:right w:val="none" w:sz="0" w:space="0" w:color="auto"/>
      </w:divBdr>
    </w:div>
    <w:div w:id="623343585">
      <w:bodyDiv w:val="1"/>
      <w:marLeft w:val="0"/>
      <w:marRight w:val="0"/>
      <w:marTop w:val="0"/>
      <w:marBottom w:val="0"/>
      <w:divBdr>
        <w:top w:val="none" w:sz="0" w:space="0" w:color="auto"/>
        <w:left w:val="none" w:sz="0" w:space="0" w:color="auto"/>
        <w:bottom w:val="none" w:sz="0" w:space="0" w:color="auto"/>
        <w:right w:val="none" w:sz="0" w:space="0" w:color="auto"/>
      </w:divBdr>
    </w:div>
    <w:div w:id="668020555">
      <w:bodyDiv w:val="1"/>
      <w:marLeft w:val="0"/>
      <w:marRight w:val="0"/>
      <w:marTop w:val="0"/>
      <w:marBottom w:val="0"/>
      <w:divBdr>
        <w:top w:val="none" w:sz="0" w:space="0" w:color="auto"/>
        <w:left w:val="none" w:sz="0" w:space="0" w:color="auto"/>
        <w:bottom w:val="none" w:sz="0" w:space="0" w:color="auto"/>
        <w:right w:val="none" w:sz="0" w:space="0" w:color="auto"/>
      </w:divBdr>
    </w:div>
    <w:div w:id="696732749">
      <w:bodyDiv w:val="1"/>
      <w:marLeft w:val="0"/>
      <w:marRight w:val="0"/>
      <w:marTop w:val="0"/>
      <w:marBottom w:val="0"/>
      <w:divBdr>
        <w:top w:val="none" w:sz="0" w:space="0" w:color="auto"/>
        <w:left w:val="none" w:sz="0" w:space="0" w:color="auto"/>
        <w:bottom w:val="none" w:sz="0" w:space="0" w:color="auto"/>
        <w:right w:val="none" w:sz="0" w:space="0" w:color="auto"/>
      </w:divBdr>
    </w:div>
    <w:div w:id="718941775">
      <w:bodyDiv w:val="1"/>
      <w:marLeft w:val="0"/>
      <w:marRight w:val="0"/>
      <w:marTop w:val="0"/>
      <w:marBottom w:val="0"/>
      <w:divBdr>
        <w:top w:val="none" w:sz="0" w:space="0" w:color="auto"/>
        <w:left w:val="none" w:sz="0" w:space="0" w:color="auto"/>
        <w:bottom w:val="none" w:sz="0" w:space="0" w:color="auto"/>
        <w:right w:val="none" w:sz="0" w:space="0" w:color="auto"/>
      </w:divBdr>
    </w:div>
    <w:div w:id="739864946">
      <w:bodyDiv w:val="1"/>
      <w:marLeft w:val="0"/>
      <w:marRight w:val="0"/>
      <w:marTop w:val="0"/>
      <w:marBottom w:val="0"/>
      <w:divBdr>
        <w:top w:val="none" w:sz="0" w:space="0" w:color="auto"/>
        <w:left w:val="none" w:sz="0" w:space="0" w:color="auto"/>
        <w:bottom w:val="none" w:sz="0" w:space="0" w:color="auto"/>
        <w:right w:val="none" w:sz="0" w:space="0" w:color="auto"/>
      </w:divBdr>
    </w:div>
    <w:div w:id="778063777">
      <w:bodyDiv w:val="1"/>
      <w:marLeft w:val="0"/>
      <w:marRight w:val="0"/>
      <w:marTop w:val="0"/>
      <w:marBottom w:val="0"/>
      <w:divBdr>
        <w:top w:val="none" w:sz="0" w:space="0" w:color="auto"/>
        <w:left w:val="none" w:sz="0" w:space="0" w:color="auto"/>
        <w:bottom w:val="none" w:sz="0" w:space="0" w:color="auto"/>
        <w:right w:val="none" w:sz="0" w:space="0" w:color="auto"/>
      </w:divBdr>
    </w:div>
    <w:div w:id="804471587">
      <w:bodyDiv w:val="1"/>
      <w:marLeft w:val="0"/>
      <w:marRight w:val="0"/>
      <w:marTop w:val="0"/>
      <w:marBottom w:val="0"/>
      <w:divBdr>
        <w:top w:val="none" w:sz="0" w:space="0" w:color="auto"/>
        <w:left w:val="none" w:sz="0" w:space="0" w:color="auto"/>
        <w:bottom w:val="none" w:sz="0" w:space="0" w:color="auto"/>
        <w:right w:val="none" w:sz="0" w:space="0" w:color="auto"/>
      </w:divBdr>
    </w:div>
    <w:div w:id="809591605">
      <w:bodyDiv w:val="1"/>
      <w:marLeft w:val="0"/>
      <w:marRight w:val="0"/>
      <w:marTop w:val="0"/>
      <w:marBottom w:val="0"/>
      <w:divBdr>
        <w:top w:val="none" w:sz="0" w:space="0" w:color="auto"/>
        <w:left w:val="none" w:sz="0" w:space="0" w:color="auto"/>
        <w:bottom w:val="none" w:sz="0" w:space="0" w:color="auto"/>
        <w:right w:val="none" w:sz="0" w:space="0" w:color="auto"/>
      </w:divBdr>
    </w:div>
    <w:div w:id="814875767">
      <w:bodyDiv w:val="1"/>
      <w:marLeft w:val="0"/>
      <w:marRight w:val="0"/>
      <w:marTop w:val="0"/>
      <w:marBottom w:val="0"/>
      <w:divBdr>
        <w:top w:val="none" w:sz="0" w:space="0" w:color="auto"/>
        <w:left w:val="none" w:sz="0" w:space="0" w:color="auto"/>
        <w:bottom w:val="none" w:sz="0" w:space="0" w:color="auto"/>
        <w:right w:val="none" w:sz="0" w:space="0" w:color="auto"/>
      </w:divBdr>
    </w:div>
    <w:div w:id="896403833">
      <w:bodyDiv w:val="1"/>
      <w:marLeft w:val="0"/>
      <w:marRight w:val="0"/>
      <w:marTop w:val="0"/>
      <w:marBottom w:val="0"/>
      <w:divBdr>
        <w:top w:val="none" w:sz="0" w:space="0" w:color="auto"/>
        <w:left w:val="none" w:sz="0" w:space="0" w:color="auto"/>
        <w:bottom w:val="none" w:sz="0" w:space="0" w:color="auto"/>
        <w:right w:val="none" w:sz="0" w:space="0" w:color="auto"/>
      </w:divBdr>
    </w:div>
    <w:div w:id="917978794">
      <w:bodyDiv w:val="1"/>
      <w:marLeft w:val="0"/>
      <w:marRight w:val="0"/>
      <w:marTop w:val="0"/>
      <w:marBottom w:val="0"/>
      <w:divBdr>
        <w:top w:val="none" w:sz="0" w:space="0" w:color="auto"/>
        <w:left w:val="none" w:sz="0" w:space="0" w:color="auto"/>
        <w:bottom w:val="none" w:sz="0" w:space="0" w:color="auto"/>
        <w:right w:val="none" w:sz="0" w:space="0" w:color="auto"/>
      </w:divBdr>
    </w:div>
    <w:div w:id="1030640824">
      <w:bodyDiv w:val="1"/>
      <w:marLeft w:val="0"/>
      <w:marRight w:val="0"/>
      <w:marTop w:val="0"/>
      <w:marBottom w:val="0"/>
      <w:divBdr>
        <w:top w:val="none" w:sz="0" w:space="0" w:color="auto"/>
        <w:left w:val="none" w:sz="0" w:space="0" w:color="auto"/>
        <w:bottom w:val="none" w:sz="0" w:space="0" w:color="auto"/>
        <w:right w:val="none" w:sz="0" w:space="0" w:color="auto"/>
      </w:divBdr>
      <w:divsChild>
        <w:div w:id="1884440960">
          <w:marLeft w:val="0"/>
          <w:marRight w:val="0"/>
          <w:marTop w:val="0"/>
          <w:marBottom w:val="0"/>
          <w:divBdr>
            <w:top w:val="none" w:sz="0" w:space="0" w:color="auto"/>
            <w:left w:val="none" w:sz="0" w:space="0" w:color="auto"/>
            <w:bottom w:val="none" w:sz="0" w:space="0" w:color="auto"/>
            <w:right w:val="none" w:sz="0" w:space="0" w:color="auto"/>
          </w:divBdr>
        </w:div>
        <w:div w:id="1195265850">
          <w:marLeft w:val="0"/>
          <w:marRight w:val="0"/>
          <w:marTop w:val="0"/>
          <w:marBottom w:val="0"/>
          <w:divBdr>
            <w:top w:val="none" w:sz="0" w:space="0" w:color="auto"/>
            <w:left w:val="none" w:sz="0" w:space="0" w:color="auto"/>
            <w:bottom w:val="none" w:sz="0" w:space="0" w:color="auto"/>
            <w:right w:val="none" w:sz="0" w:space="0" w:color="auto"/>
          </w:divBdr>
        </w:div>
        <w:div w:id="30962310">
          <w:marLeft w:val="0"/>
          <w:marRight w:val="0"/>
          <w:marTop w:val="0"/>
          <w:marBottom w:val="0"/>
          <w:divBdr>
            <w:top w:val="none" w:sz="0" w:space="0" w:color="auto"/>
            <w:left w:val="none" w:sz="0" w:space="0" w:color="auto"/>
            <w:bottom w:val="none" w:sz="0" w:space="0" w:color="auto"/>
            <w:right w:val="none" w:sz="0" w:space="0" w:color="auto"/>
          </w:divBdr>
        </w:div>
        <w:div w:id="807627058">
          <w:marLeft w:val="0"/>
          <w:marRight w:val="0"/>
          <w:marTop w:val="0"/>
          <w:marBottom w:val="0"/>
          <w:divBdr>
            <w:top w:val="none" w:sz="0" w:space="0" w:color="auto"/>
            <w:left w:val="none" w:sz="0" w:space="0" w:color="auto"/>
            <w:bottom w:val="none" w:sz="0" w:space="0" w:color="auto"/>
            <w:right w:val="none" w:sz="0" w:space="0" w:color="auto"/>
          </w:divBdr>
        </w:div>
      </w:divsChild>
    </w:div>
    <w:div w:id="1030842691">
      <w:bodyDiv w:val="1"/>
      <w:marLeft w:val="0"/>
      <w:marRight w:val="0"/>
      <w:marTop w:val="0"/>
      <w:marBottom w:val="0"/>
      <w:divBdr>
        <w:top w:val="none" w:sz="0" w:space="0" w:color="auto"/>
        <w:left w:val="none" w:sz="0" w:space="0" w:color="auto"/>
        <w:bottom w:val="none" w:sz="0" w:space="0" w:color="auto"/>
        <w:right w:val="none" w:sz="0" w:space="0" w:color="auto"/>
      </w:divBdr>
    </w:div>
    <w:div w:id="1030881282">
      <w:bodyDiv w:val="1"/>
      <w:marLeft w:val="0"/>
      <w:marRight w:val="0"/>
      <w:marTop w:val="0"/>
      <w:marBottom w:val="0"/>
      <w:divBdr>
        <w:top w:val="none" w:sz="0" w:space="0" w:color="auto"/>
        <w:left w:val="none" w:sz="0" w:space="0" w:color="auto"/>
        <w:bottom w:val="none" w:sz="0" w:space="0" w:color="auto"/>
        <w:right w:val="none" w:sz="0" w:space="0" w:color="auto"/>
      </w:divBdr>
    </w:div>
    <w:div w:id="1089043342">
      <w:bodyDiv w:val="1"/>
      <w:marLeft w:val="0"/>
      <w:marRight w:val="0"/>
      <w:marTop w:val="0"/>
      <w:marBottom w:val="0"/>
      <w:divBdr>
        <w:top w:val="none" w:sz="0" w:space="0" w:color="auto"/>
        <w:left w:val="none" w:sz="0" w:space="0" w:color="auto"/>
        <w:bottom w:val="none" w:sz="0" w:space="0" w:color="auto"/>
        <w:right w:val="none" w:sz="0" w:space="0" w:color="auto"/>
      </w:divBdr>
    </w:div>
    <w:div w:id="1107238071">
      <w:bodyDiv w:val="1"/>
      <w:marLeft w:val="0"/>
      <w:marRight w:val="0"/>
      <w:marTop w:val="0"/>
      <w:marBottom w:val="0"/>
      <w:divBdr>
        <w:top w:val="none" w:sz="0" w:space="0" w:color="auto"/>
        <w:left w:val="none" w:sz="0" w:space="0" w:color="auto"/>
        <w:bottom w:val="none" w:sz="0" w:space="0" w:color="auto"/>
        <w:right w:val="none" w:sz="0" w:space="0" w:color="auto"/>
      </w:divBdr>
    </w:div>
    <w:div w:id="1111163499">
      <w:bodyDiv w:val="1"/>
      <w:marLeft w:val="0"/>
      <w:marRight w:val="0"/>
      <w:marTop w:val="0"/>
      <w:marBottom w:val="0"/>
      <w:divBdr>
        <w:top w:val="none" w:sz="0" w:space="0" w:color="auto"/>
        <w:left w:val="none" w:sz="0" w:space="0" w:color="auto"/>
        <w:bottom w:val="none" w:sz="0" w:space="0" w:color="auto"/>
        <w:right w:val="none" w:sz="0" w:space="0" w:color="auto"/>
      </w:divBdr>
    </w:div>
    <w:div w:id="1118720775">
      <w:bodyDiv w:val="1"/>
      <w:marLeft w:val="0"/>
      <w:marRight w:val="0"/>
      <w:marTop w:val="0"/>
      <w:marBottom w:val="0"/>
      <w:divBdr>
        <w:top w:val="none" w:sz="0" w:space="0" w:color="auto"/>
        <w:left w:val="none" w:sz="0" w:space="0" w:color="auto"/>
        <w:bottom w:val="none" w:sz="0" w:space="0" w:color="auto"/>
        <w:right w:val="none" w:sz="0" w:space="0" w:color="auto"/>
      </w:divBdr>
      <w:divsChild>
        <w:div w:id="1886258256">
          <w:marLeft w:val="0"/>
          <w:marRight w:val="0"/>
          <w:marTop w:val="0"/>
          <w:marBottom w:val="0"/>
          <w:divBdr>
            <w:top w:val="none" w:sz="0" w:space="0" w:color="auto"/>
            <w:left w:val="none" w:sz="0" w:space="0" w:color="auto"/>
            <w:bottom w:val="none" w:sz="0" w:space="0" w:color="auto"/>
            <w:right w:val="none" w:sz="0" w:space="0" w:color="auto"/>
          </w:divBdr>
        </w:div>
        <w:div w:id="1749385065">
          <w:marLeft w:val="0"/>
          <w:marRight w:val="0"/>
          <w:marTop w:val="0"/>
          <w:marBottom w:val="0"/>
          <w:divBdr>
            <w:top w:val="none" w:sz="0" w:space="0" w:color="auto"/>
            <w:left w:val="none" w:sz="0" w:space="0" w:color="auto"/>
            <w:bottom w:val="none" w:sz="0" w:space="0" w:color="auto"/>
            <w:right w:val="none" w:sz="0" w:space="0" w:color="auto"/>
          </w:divBdr>
        </w:div>
        <w:div w:id="371274579">
          <w:marLeft w:val="0"/>
          <w:marRight w:val="0"/>
          <w:marTop w:val="0"/>
          <w:marBottom w:val="0"/>
          <w:divBdr>
            <w:top w:val="none" w:sz="0" w:space="0" w:color="auto"/>
            <w:left w:val="none" w:sz="0" w:space="0" w:color="auto"/>
            <w:bottom w:val="none" w:sz="0" w:space="0" w:color="auto"/>
            <w:right w:val="none" w:sz="0" w:space="0" w:color="auto"/>
          </w:divBdr>
        </w:div>
        <w:div w:id="2104178543">
          <w:marLeft w:val="0"/>
          <w:marRight w:val="0"/>
          <w:marTop w:val="0"/>
          <w:marBottom w:val="0"/>
          <w:divBdr>
            <w:top w:val="none" w:sz="0" w:space="0" w:color="auto"/>
            <w:left w:val="none" w:sz="0" w:space="0" w:color="auto"/>
            <w:bottom w:val="none" w:sz="0" w:space="0" w:color="auto"/>
            <w:right w:val="none" w:sz="0" w:space="0" w:color="auto"/>
          </w:divBdr>
        </w:div>
        <w:div w:id="1007753033">
          <w:marLeft w:val="0"/>
          <w:marRight w:val="0"/>
          <w:marTop w:val="0"/>
          <w:marBottom w:val="0"/>
          <w:divBdr>
            <w:top w:val="none" w:sz="0" w:space="0" w:color="auto"/>
            <w:left w:val="none" w:sz="0" w:space="0" w:color="auto"/>
            <w:bottom w:val="none" w:sz="0" w:space="0" w:color="auto"/>
            <w:right w:val="none" w:sz="0" w:space="0" w:color="auto"/>
          </w:divBdr>
        </w:div>
        <w:div w:id="1672491873">
          <w:marLeft w:val="0"/>
          <w:marRight w:val="0"/>
          <w:marTop w:val="0"/>
          <w:marBottom w:val="0"/>
          <w:divBdr>
            <w:top w:val="none" w:sz="0" w:space="0" w:color="auto"/>
            <w:left w:val="none" w:sz="0" w:space="0" w:color="auto"/>
            <w:bottom w:val="none" w:sz="0" w:space="0" w:color="auto"/>
            <w:right w:val="none" w:sz="0" w:space="0" w:color="auto"/>
          </w:divBdr>
        </w:div>
        <w:div w:id="858465733">
          <w:marLeft w:val="0"/>
          <w:marRight w:val="0"/>
          <w:marTop w:val="0"/>
          <w:marBottom w:val="0"/>
          <w:divBdr>
            <w:top w:val="none" w:sz="0" w:space="0" w:color="auto"/>
            <w:left w:val="none" w:sz="0" w:space="0" w:color="auto"/>
            <w:bottom w:val="none" w:sz="0" w:space="0" w:color="auto"/>
            <w:right w:val="none" w:sz="0" w:space="0" w:color="auto"/>
          </w:divBdr>
        </w:div>
        <w:div w:id="273750132">
          <w:marLeft w:val="0"/>
          <w:marRight w:val="0"/>
          <w:marTop w:val="0"/>
          <w:marBottom w:val="0"/>
          <w:divBdr>
            <w:top w:val="none" w:sz="0" w:space="0" w:color="auto"/>
            <w:left w:val="none" w:sz="0" w:space="0" w:color="auto"/>
            <w:bottom w:val="none" w:sz="0" w:space="0" w:color="auto"/>
            <w:right w:val="none" w:sz="0" w:space="0" w:color="auto"/>
          </w:divBdr>
        </w:div>
        <w:div w:id="1002049549">
          <w:marLeft w:val="0"/>
          <w:marRight w:val="0"/>
          <w:marTop w:val="0"/>
          <w:marBottom w:val="0"/>
          <w:divBdr>
            <w:top w:val="none" w:sz="0" w:space="0" w:color="auto"/>
            <w:left w:val="none" w:sz="0" w:space="0" w:color="auto"/>
            <w:bottom w:val="none" w:sz="0" w:space="0" w:color="auto"/>
            <w:right w:val="none" w:sz="0" w:space="0" w:color="auto"/>
          </w:divBdr>
        </w:div>
      </w:divsChild>
    </w:div>
    <w:div w:id="1121343479">
      <w:bodyDiv w:val="1"/>
      <w:marLeft w:val="0"/>
      <w:marRight w:val="0"/>
      <w:marTop w:val="0"/>
      <w:marBottom w:val="0"/>
      <w:divBdr>
        <w:top w:val="none" w:sz="0" w:space="0" w:color="auto"/>
        <w:left w:val="none" w:sz="0" w:space="0" w:color="auto"/>
        <w:bottom w:val="none" w:sz="0" w:space="0" w:color="auto"/>
        <w:right w:val="none" w:sz="0" w:space="0" w:color="auto"/>
      </w:divBdr>
    </w:div>
    <w:div w:id="1134756464">
      <w:bodyDiv w:val="1"/>
      <w:marLeft w:val="0"/>
      <w:marRight w:val="0"/>
      <w:marTop w:val="0"/>
      <w:marBottom w:val="0"/>
      <w:divBdr>
        <w:top w:val="none" w:sz="0" w:space="0" w:color="auto"/>
        <w:left w:val="none" w:sz="0" w:space="0" w:color="auto"/>
        <w:bottom w:val="none" w:sz="0" w:space="0" w:color="auto"/>
        <w:right w:val="none" w:sz="0" w:space="0" w:color="auto"/>
      </w:divBdr>
    </w:div>
    <w:div w:id="1140226844">
      <w:bodyDiv w:val="1"/>
      <w:marLeft w:val="0"/>
      <w:marRight w:val="0"/>
      <w:marTop w:val="0"/>
      <w:marBottom w:val="0"/>
      <w:divBdr>
        <w:top w:val="none" w:sz="0" w:space="0" w:color="auto"/>
        <w:left w:val="none" w:sz="0" w:space="0" w:color="auto"/>
        <w:bottom w:val="none" w:sz="0" w:space="0" w:color="auto"/>
        <w:right w:val="none" w:sz="0" w:space="0" w:color="auto"/>
      </w:divBdr>
    </w:div>
    <w:div w:id="1151141896">
      <w:bodyDiv w:val="1"/>
      <w:marLeft w:val="0"/>
      <w:marRight w:val="0"/>
      <w:marTop w:val="0"/>
      <w:marBottom w:val="0"/>
      <w:divBdr>
        <w:top w:val="none" w:sz="0" w:space="0" w:color="auto"/>
        <w:left w:val="none" w:sz="0" w:space="0" w:color="auto"/>
        <w:bottom w:val="none" w:sz="0" w:space="0" w:color="auto"/>
        <w:right w:val="none" w:sz="0" w:space="0" w:color="auto"/>
      </w:divBdr>
    </w:div>
    <w:div w:id="1154024785">
      <w:bodyDiv w:val="1"/>
      <w:marLeft w:val="0"/>
      <w:marRight w:val="0"/>
      <w:marTop w:val="0"/>
      <w:marBottom w:val="0"/>
      <w:divBdr>
        <w:top w:val="none" w:sz="0" w:space="0" w:color="auto"/>
        <w:left w:val="none" w:sz="0" w:space="0" w:color="auto"/>
        <w:bottom w:val="none" w:sz="0" w:space="0" w:color="auto"/>
        <w:right w:val="none" w:sz="0" w:space="0" w:color="auto"/>
      </w:divBdr>
    </w:div>
    <w:div w:id="1187448314">
      <w:bodyDiv w:val="1"/>
      <w:marLeft w:val="0"/>
      <w:marRight w:val="0"/>
      <w:marTop w:val="0"/>
      <w:marBottom w:val="0"/>
      <w:divBdr>
        <w:top w:val="none" w:sz="0" w:space="0" w:color="auto"/>
        <w:left w:val="none" w:sz="0" w:space="0" w:color="auto"/>
        <w:bottom w:val="none" w:sz="0" w:space="0" w:color="auto"/>
        <w:right w:val="none" w:sz="0" w:space="0" w:color="auto"/>
      </w:divBdr>
    </w:div>
    <w:div w:id="1192766676">
      <w:bodyDiv w:val="1"/>
      <w:marLeft w:val="0"/>
      <w:marRight w:val="0"/>
      <w:marTop w:val="0"/>
      <w:marBottom w:val="0"/>
      <w:divBdr>
        <w:top w:val="none" w:sz="0" w:space="0" w:color="auto"/>
        <w:left w:val="none" w:sz="0" w:space="0" w:color="auto"/>
        <w:bottom w:val="none" w:sz="0" w:space="0" w:color="auto"/>
        <w:right w:val="none" w:sz="0" w:space="0" w:color="auto"/>
      </w:divBdr>
    </w:div>
    <w:div w:id="1240601681">
      <w:bodyDiv w:val="1"/>
      <w:marLeft w:val="0"/>
      <w:marRight w:val="0"/>
      <w:marTop w:val="0"/>
      <w:marBottom w:val="0"/>
      <w:divBdr>
        <w:top w:val="none" w:sz="0" w:space="0" w:color="auto"/>
        <w:left w:val="none" w:sz="0" w:space="0" w:color="auto"/>
        <w:bottom w:val="none" w:sz="0" w:space="0" w:color="auto"/>
        <w:right w:val="none" w:sz="0" w:space="0" w:color="auto"/>
      </w:divBdr>
    </w:div>
    <w:div w:id="1243642325">
      <w:bodyDiv w:val="1"/>
      <w:marLeft w:val="0"/>
      <w:marRight w:val="0"/>
      <w:marTop w:val="0"/>
      <w:marBottom w:val="0"/>
      <w:divBdr>
        <w:top w:val="none" w:sz="0" w:space="0" w:color="auto"/>
        <w:left w:val="none" w:sz="0" w:space="0" w:color="auto"/>
        <w:bottom w:val="none" w:sz="0" w:space="0" w:color="auto"/>
        <w:right w:val="none" w:sz="0" w:space="0" w:color="auto"/>
      </w:divBdr>
    </w:div>
    <w:div w:id="1262834820">
      <w:bodyDiv w:val="1"/>
      <w:marLeft w:val="0"/>
      <w:marRight w:val="0"/>
      <w:marTop w:val="0"/>
      <w:marBottom w:val="0"/>
      <w:divBdr>
        <w:top w:val="none" w:sz="0" w:space="0" w:color="auto"/>
        <w:left w:val="none" w:sz="0" w:space="0" w:color="auto"/>
        <w:bottom w:val="none" w:sz="0" w:space="0" w:color="auto"/>
        <w:right w:val="none" w:sz="0" w:space="0" w:color="auto"/>
      </w:divBdr>
    </w:div>
    <w:div w:id="1284733390">
      <w:bodyDiv w:val="1"/>
      <w:marLeft w:val="0"/>
      <w:marRight w:val="0"/>
      <w:marTop w:val="0"/>
      <w:marBottom w:val="0"/>
      <w:divBdr>
        <w:top w:val="none" w:sz="0" w:space="0" w:color="auto"/>
        <w:left w:val="none" w:sz="0" w:space="0" w:color="auto"/>
        <w:bottom w:val="none" w:sz="0" w:space="0" w:color="auto"/>
        <w:right w:val="none" w:sz="0" w:space="0" w:color="auto"/>
      </w:divBdr>
    </w:div>
    <w:div w:id="1312561425">
      <w:bodyDiv w:val="1"/>
      <w:marLeft w:val="0"/>
      <w:marRight w:val="0"/>
      <w:marTop w:val="0"/>
      <w:marBottom w:val="0"/>
      <w:divBdr>
        <w:top w:val="none" w:sz="0" w:space="0" w:color="auto"/>
        <w:left w:val="none" w:sz="0" w:space="0" w:color="auto"/>
        <w:bottom w:val="none" w:sz="0" w:space="0" w:color="auto"/>
        <w:right w:val="none" w:sz="0" w:space="0" w:color="auto"/>
      </w:divBdr>
    </w:div>
    <w:div w:id="1340884116">
      <w:bodyDiv w:val="1"/>
      <w:marLeft w:val="0"/>
      <w:marRight w:val="0"/>
      <w:marTop w:val="0"/>
      <w:marBottom w:val="0"/>
      <w:divBdr>
        <w:top w:val="none" w:sz="0" w:space="0" w:color="auto"/>
        <w:left w:val="none" w:sz="0" w:space="0" w:color="auto"/>
        <w:bottom w:val="none" w:sz="0" w:space="0" w:color="auto"/>
        <w:right w:val="none" w:sz="0" w:space="0" w:color="auto"/>
      </w:divBdr>
    </w:div>
    <w:div w:id="1378385690">
      <w:bodyDiv w:val="1"/>
      <w:marLeft w:val="0"/>
      <w:marRight w:val="0"/>
      <w:marTop w:val="0"/>
      <w:marBottom w:val="0"/>
      <w:divBdr>
        <w:top w:val="none" w:sz="0" w:space="0" w:color="auto"/>
        <w:left w:val="none" w:sz="0" w:space="0" w:color="auto"/>
        <w:bottom w:val="none" w:sz="0" w:space="0" w:color="auto"/>
        <w:right w:val="none" w:sz="0" w:space="0" w:color="auto"/>
      </w:divBdr>
    </w:div>
    <w:div w:id="1399285296">
      <w:bodyDiv w:val="1"/>
      <w:marLeft w:val="0"/>
      <w:marRight w:val="0"/>
      <w:marTop w:val="0"/>
      <w:marBottom w:val="0"/>
      <w:divBdr>
        <w:top w:val="none" w:sz="0" w:space="0" w:color="auto"/>
        <w:left w:val="none" w:sz="0" w:space="0" w:color="auto"/>
        <w:bottom w:val="none" w:sz="0" w:space="0" w:color="auto"/>
        <w:right w:val="none" w:sz="0" w:space="0" w:color="auto"/>
      </w:divBdr>
    </w:div>
    <w:div w:id="1435251183">
      <w:bodyDiv w:val="1"/>
      <w:marLeft w:val="0"/>
      <w:marRight w:val="0"/>
      <w:marTop w:val="0"/>
      <w:marBottom w:val="0"/>
      <w:divBdr>
        <w:top w:val="none" w:sz="0" w:space="0" w:color="auto"/>
        <w:left w:val="none" w:sz="0" w:space="0" w:color="auto"/>
        <w:bottom w:val="none" w:sz="0" w:space="0" w:color="auto"/>
        <w:right w:val="none" w:sz="0" w:space="0" w:color="auto"/>
      </w:divBdr>
    </w:div>
    <w:div w:id="1439183635">
      <w:bodyDiv w:val="1"/>
      <w:marLeft w:val="0"/>
      <w:marRight w:val="0"/>
      <w:marTop w:val="0"/>
      <w:marBottom w:val="0"/>
      <w:divBdr>
        <w:top w:val="none" w:sz="0" w:space="0" w:color="auto"/>
        <w:left w:val="none" w:sz="0" w:space="0" w:color="auto"/>
        <w:bottom w:val="none" w:sz="0" w:space="0" w:color="auto"/>
        <w:right w:val="none" w:sz="0" w:space="0" w:color="auto"/>
      </w:divBdr>
    </w:div>
    <w:div w:id="1446655777">
      <w:bodyDiv w:val="1"/>
      <w:marLeft w:val="0"/>
      <w:marRight w:val="0"/>
      <w:marTop w:val="0"/>
      <w:marBottom w:val="0"/>
      <w:divBdr>
        <w:top w:val="none" w:sz="0" w:space="0" w:color="auto"/>
        <w:left w:val="none" w:sz="0" w:space="0" w:color="auto"/>
        <w:bottom w:val="none" w:sz="0" w:space="0" w:color="auto"/>
        <w:right w:val="none" w:sz="0" w:space="0" w:color="auto"/>
      </w:divBdr>
    </w:div>
    <w:div w:id="1454712180">
      <w:bodyDiv w:val="1"/>
      <w:marLeft w:val="0"/>
      <w:marRight w:val="0"/>
      <w:marTop w:val="0"/>
      <w:marBottom w:val="0"/>
      <w:divBdr>
        <w:top w:val="none" w:sz="0" w:space="0" w:color="auto"/>
        <w:left w:val="none" w:sz="0" w:space="0" w:color="auto"/>
        <w:bottom w:val="none" w:sz="0" w:space="0" w:color="auto"/>
        <w:right w:val="none" w:sz="0" w:space="0" w:color="auto"/>
      </w:divBdr>
    </w:div>
    <w:div w:id="1461613798">
      <w:bodyDiv w:val="1"/>
      <w:marLeft w:val="0"/>
      <w:marRight w:val="0"/>
      <w:marTop w:val="0"/>
      <w:marBottom w:val="0"/>
      <w:divBdr>
        <w:top w:val="none" w:sz="0" w:space="0" w:color="auto"/>
        <w:left w:val="none" w:sz="0" w:space="0" w:color="auto"/>
        <w:bottom w:val="none" w:sz="0" w:space="0" w:color="auto"/>
        <w:right w:val="none" w:sz="0" w:space="0" w:color="auto"/>
      </w:divBdr>
      <w:divsChild>
        <w:div w:id="1030881833">
          <w:marLeft w:val="0"/>
          <w:marRight w:val="0"/>
          <w:marTop w:val="0"/>
          <w:marBottom w:val="0"/>
          <w:divBdr>
            <w:top w:val="none" w:sz="0" w:space="0" w:color="auto"/>
            <w:left w:val="none" w:sz="0" w:space="0" w:color="auto"/>
            <w:bottom w:val="none" w:sz="0" w:space="0" w:color="auto"/>
            <w:right w:val="none" w:sz="0" w:space="0" w:color="auto"/>
          </w:divBdr>
        </w:div>
        <w:div w:id="1948081618">
          <w:marLeft w:val="0"/>
          <w:marRight w:val="0"/>
          <w:marTop w:val="0"/>
          <w:marBottom w:val="0"/>
          <w:divBdr>
            <w:top w:val="none" w:sz="0" w:space="0" w:color="auto"/>
            <w:left w:val="none" w:sz="0" w:space="0" w:color="auto"/>
            <w:bottom w:val="none" w:sz="0" w:space="0" w:color="auto"/>
            <w:right w:val="none" w:sz="0" w:space="0" w:color="auto"/>
          </w:divBdr>
        </w:div>
      </w:divsChild>
    </w:div>
    <w:div w:id="1469862196">
      <w:bodyDiv w:val="1"/>
      <w:marLeft w:val="0"/>
      <w:marRight w:val="0"/>
      <w:marTop w:val="0"/>
      <w:marBottom w:val="0"/>
      <w:divBdr>
        <w:top w:val="none" w:sz="0" w:space="0" w:color="auto"/>
        <w:left w:val="none" w:sz="0" w:space="0" w:color="auto"/>
        <w:bottom w:val="none" w:sz="0" w:space="0" w:color="auto"/>
        <w:right w:val="none" w:sz="0" w:space="0" w:color="auto"/>
      </w:divBdr>
    </w:div>
    <w:div w:id="1586920816">
      <w:bodyDiv w:val="1"/>
      <w:marLeft w:val="0"/>
      <w:marRight w:val="0"/>
      <w:marTop w:val="0"/>
      <w:marBottom w:val="0"/>
      <w:divBdr>
        <w:top w:val="none" w:sz="0" w:space="0" w:color="auto"/>
        <w:left w:val="none" w:sz="0" w:space="0" w:color="auto"/>
        <w:bottom w:val="none" w:sz="0" w:space="0" w:color="auto"/>
        <w:right w:val="none" w:sz="0" w:space="0" w:color="auto"/>
      </w:divBdr>
    </w:div>
    <w:div w:id="1626035612">
      <w:bodyDiv w:val="1"/>
      <w:marLeft w:val="0"/>
      <w:marRight w:val="0"/>
      <w:marTop w:val="0"/>
      <w:marBottom w:val="0"/>
      <w:divBdr>
        <w:top w:val="none" w:sz="0" w:space="0" w:color="auto"/>
        <w:left w:val="none" w:sz="0" w:space="0" w:color="auto"/>
        <w:bottom w:val="none" w:sz="0" w:space="0" w:color="auto"/>
        <w:right w:val="none" w:sz="0" w:space="0" w:color="auto"/>
      </w:divBdr>
    </w:div>
    <w:div w:id="1647080557">
      <w:bodyDiv w:val="1"/>
      <w:marLeft w:val="0"/>
      <w:marRight w:val="0"/>
      <w:marTop w:val="0"/>
      <w:marBottom w:val="0"/>
      <w:divBdr>
        <w:top w:val="none" w:sz="0" w:space="0" w:color="auto"/>
        <w:left w:val="none" w:sz="0" w:space="0" w:color="auto"/>
        <w:bottom w:val="none" w:sz="0" w:space="0" w:color="auto"/>
        <w:right w:val="none" w:sz="0" w:space="0" w:color="auto"/>
      </w:divBdr>
    </w:div>
    <w:div w:id="1691567765">
      <w:bodyDiv w:val="1"/>
      <w:marLeft w:val="0"/>
      <w:marRight w:val="0"/>
      <w:marTop w:val="0"/>
      <w:marBottom w:val="0"/>
      <w:divBdr>
        <w:top w:val="none" w:sz="0" w:space="0" w:color="auto"/>
        <w:left w:val="none" w:sz="0" w:space="0" w:color="auto"/>
        <w:bottom w:val="none" w:sz="0" w:space="0" w:color="auto"/>
        <w:right w:val="none" w:sz="0" w:space="0" w:color="auto"/>
      </w:divBdr>
    </w:div>
    <w:div w:id="1692562274">
      <w:bodyDiv w:val="1"/>
      <w:marLeft w:val="0"/>
      <w:marRight w:val="0"/>
      <w:marTop w:val="0"/>
      <w:marBottom w:val="0"/>
      <w:divBdr>
        <w:top w:val="none" w:sz="0" w:space="0" w:color="auto"/>
        <w:left w:val="none" w:sz="0" w:space="0" w:color="auto"/>
        <w:bottom w:val="none" w:sz="0" w:space="0" w:color="auto"/>
        <w:right w:val="none" w:sz="0" w:space="0" w:color="auto"/>
      </w:divBdr>
    </w:div>
    <w:div w:id="1726296297">
      <w:bodyDiv w:val="1"/>
      <w:marLeft w:val="0"/>
      <w:marRight w:val="0"/>
      <w:marTop w:val="0"/>
      <w:marBottom w:val="0"/>
      <w:divBdr>
        <w:top w:val="none" w:sz="0" w:space="0" w:color="auto"/>
        <w:left w:val="none" w:sz="0" w:space="0" w:color="auto"/>
        <w:bottom w:val="none" w:sz="0" w:space="0" w:color="auto"/>
        <w:right w:val="none" w:sz="0" w:space="0" w:color="auto"/>
      </w:divBdr>
    </w:div>
    <w:div w:id="1747342327">
      <w:bodyDiv w:val="1"/>
      <w:marLeft w:val="0"/>
      <w:marRight w:val="0"/>
      <w:marTop w:val="0"/>
      <w:marBottom w:val="0"/>
      <w:divBdr>
        <w:top w:val="none" w:sz="0" w:space="0" w:color="auto"/>
        <w:left w:val="none" w:sz="0" w:space="0" w:color="auto"/>
        <w:bottom w:val="none" w:sz="0" w:space="0" w:color="auto"/>
        <w:right w:val="none" w:sz="0" w:space="0" w:color="auto"/>
      </w:divBdr>
    </w:div>
    <w:div w:id="1817447995">
      <w:bodyDiv w:val="1"/>
      <w:marLeft w:val="0"/>
      <w:marRight w:val="0"/>
      <w:marTop w:val="0"/>
      <w:marBottom w:val="0"/>
      <w:divBdr>
        <w:top w:val="none" w:sz="0" w:space="0" w:color="auto"/>
        <w:left w:val="none" w:sz="0" w:space="0" w:color="auto"/>
        <w:bottom w:val="none" w:sz="0" w:space="0" w:color="auto"/>
        <w:right w:val="none" w:sz="0" w:space="0" w:color="auto"/>
      </w:divBdr>
    </w:div>
    <w:div w:id="1827161108">
      <w:bodyDiv w:val="1"/>
      <w:marLeft w:val="0"/>
      <w:marRight w:val="0"/>
      <w:marTop w:val="0"/>
      <w:marBottom w:val="0"/>
      <w:divBdr>
        <w:top w:val="none" w:sz="0" w:space="0" w:color="auto"/>
        <w:left w:val="none" w:sz="0" w:space="0" w:color="auto"/>
        <w:bottom w:val="none" w:sz="0" w:space="0" w:color="auto"/>
        <w:right w:val="none" w:sz="0" w:space="0" w:color="auto"/>
      </w:divBdr>
    </w:div>
    <w:div w:id="1900827514">
      <w:bodyDiv w:val="1"/>
      <w:marLeft w:val="0"/>
      <w:marRight w:val="0"/>
      <w:marTop w:val="0"/>
      <w:marBottom w:val="0"/>
      <w:divBdr>
        <w:top w:val="none" w:sz="0" w:space="0" w:color="auto"/>
        <w:left w:val="none" w:sz="0" w:space="0" w:color="auto"/>
        <w:bottom w:val="none" w:sz="0" w:space="0" w:color="auto"/>
        <w:right w:val="none" w:sz="0" w:space="0" w:color="auto"/>
      </w:divBdr>
    </w:div>
    <w:div w:id="1950507050">
      <w:bodyDiv w:val="1"/>
      <w:marLeft w:val="0"/>
      <w:marRight w:val="0"/>
      <w:marTop w:val="0"/>
      <w:marBottom w:val="0"/>
      <w:divBdr>
        <w:top w:val="none" w:sz="0" w:space="0" w:color="auto"/>
        <w:left w:val="none" w:sz="0" w:space="0" w:color="auto"/>
        <w:bottom w:val="none" w:sz="0" w:space="0" w:color="auto"/>
        <w:right w:val="none" w:sz="0" w:space="0" w:color="auto"/>
      </w:divBdr>
    </w:div>
    <w:div w:id="1958825938">
      <w:bodyDiv w:val="1"/>
      <w:marLeft w:val="0"/>
      <w:marRight w:val="0"/>
      <w:marTop w:val="0"/>
      <w:marBottom w:val="0"/>
      <w:divBdr>
        <w:top w:val="none" w:sz="0" w:space="0" w:color="auto"/>
        <w:left w:val="none" w:sz="0" w:space="0" w:color="auto"/>
        <w:bottom w:val="none" w:sz="0" w:space="0" w:color="auto"/>
        <w:right w:val="none" w:sz="0" w:space="0" w:color="auto"/>
      </w:divBdr>
    </w:div>
    <w:div w:id="1961497791">
      <w:bodyDiv w:val="1"/>
      <w:marLeft w:val="0"/>
      <w:marRight w:val="0"/>
      <w:marTop w:val="0"/>
      <w:marBottom w:val="0"/>
      <w:divBdr>
        <w:top w:val="none" w:sz="0" w:space="0" w:color="auto"/>
        <w:left w:val="none" w:sz="0" w:space="0" w:color="auto"/>
        <w:bottom w:val="none" w:sz="0" w:space="0" w:color="auto"/>
        <w:right w:val="none" w:sz="0" w:space="0" w:color="auto"/>
      </w:divBdr>
    </w:div>
    <w:div w:id="1963681346">
      <w:bodyDiv w:val="1"/>
      <w:marLeft w:val="0"/>
      <w:marRight w:val="0"/>
      <w:marTop w:val="0"/>
      <w:marBottom w:val="0"/>
      <w:divBdr>
        <w:top w:val="none" w:sz="0" w:space="0" w:color="auto"/>
        <w:left w:val="none" w:sz="0" w:space="0" w:color="auto"/>
        <w:bottom w:val="none" w:sz="0" w:space="0" w:color="auto"/>
        <w:right w:val="none" w:sz="0" w:space="0" w:color="auto"/>
      </w:divBdr>
    </w:div>
    <w:div w:id="1984037154">
      <w:bodyDiv w:val="1"/>
      <w:marLeft w:val="0"/>
      <w:marRight w:val="0"/>
      <w:marTop w:val="0"/>
      <w:marBottom w:val="0"/>
      <w:divBdr>
        <w:top w:val="none" w:sz="0" w:space="0" w:color="auto"/>
        <w:left w:val="none" w:sz="0" w:space="0" w:color="auto"/>
        <w:bottom w:val="none" w:sz="0" w:space="0" w:color="auto"/>
        <w:right w:val="none" w:sz="0" w:space="0" w:color="auto"/>
      </w:divBdr>
    </w:div>
    <w:div w:id="1987738943">
      <w:bodyDiv w:val="1"/>
      <w:marLeft w:val="0"/>
      <w:marRight w:val="0"/>
      <w:marTop w:val="0"/>
      <w:marBottom w:val="0"/>
      <w:divBdr>
        <w:top w:val="none" w:sz="0" w:space="0" w:color="auto"/>
        <w:left w:val="none" w:sz="0" w:space="0" w:color="auto"/>
        <w:bottom w:val="none" w:sz="0" w:space="0" w:color="auto"/>
        <w:right w:val="none" w:sz="0" w:space="0" w:color="auto"/>
      </w:divBdr>
    </w:div>
    <w:div w:id="2034072782">
      <w:bodyDiv w:val="1"/>
      <w:marLeft w:val="0"/>
      <w:marRight w:val="0"/>
      <w:marTop w:val="0"/>
      <w:marBottom w:val="0"/>
      <w:divBdr>
        <w:top w:val="none" w:sz="0" w:space="0" w:color="auto"/>
        <w:left w:val="none" w:sz="0" w:space="0" w:color="auto"/>
        <w:bottom w:val="none" w:sz="0" w:space="0" w:color="auto"/>
        <w:right w:val="none" w:sz="0" w:space="0" w:color="auto"/>
      </w:divBdr>
    </w:div>
    <w:div w:id="2043284534">
      <w:bodyDiv w:val="1"/>
      <w:marLeft w:val="0"/>
      <w:marRight w:val="0"/>
      <w:marTop w:val="0"/>
      <w:marBottom w:val="0"/>
      <w:divBdr>
        <w:top w:val="none" w:sz="0" w:space="0" w:color="auto"/>
        <w:left w:val="none" w:sz="0" w:space="0" w:color="auto"/>
        <w:bottom w:val="none" w:sz="0" w:space="0" w:color="auto"/>
        <w:right w:val="none" w:sz="0" w:space="0" w:color="auto"/>
      </w:divBdr>
    </w:div>
    <w:div w:id="2091534882">
      <w:bodyDiv w:val="1"/>
      <w:marLeft w:val="0"/>
      <w:marRight w:val="0"/>
      <w:marTop w:val="0"/>
      <w:marBottom w:val="0"/>
      <w:divBdr>
        <w:top w:val="none" w:sz="0" w:space="0" w:color="auto"/>
        <w:left w:val="none" w:sz="0" w:space="0" w:color="auto"/>
        <w:bottom w:val="none" w:sz="0" w:space="0" w:color="auto"/>
        <w:right w:val="none" w:sz="0" w:space="0" w:color="auto"/>
      </w:divBdr>
    </w:div>
    <w:div w:id="2093119446">
      <w:bodyDiv w:val="1"/>
      <w:marLeft w:val="0"/>
      <w:marRight w:val="0"/>
      <w:marTop w:val="0"/>
      <w:marBottom w:val="0"/>
      <w:divBdr>
        <w:top w:val="none" w:sz="0" w:space="0" w:color="auto"/>
        <w:left w:val="none" w:sz="0" w:space="0" w:color="auto"/>
        <w:bottom w:val="none" w:sz="0" w:space="0" w:color="auto"/>
        <w:right w:val="none" w:sz="0" w:space="0" w:color="auto"/>
      </w:divBdr>
    </w:div>
    <w:div w:id="2115442878">
      <w:bodyDiv w:val="1"/>
      <w:marLeft w:val="0"/>
      <w:marRight w:val="0"/>
      <w:marTop w:val="0"/>
      <w:marBottom w:val="0"/>
      <w:divBdr>
        <w:top w:val="none" w:sz="0" w:space="0" w:color="auto"/>
        <w:left w:val="none" w:sz="0" w:space="0" w:color="auto"/>
        <w:bottom w:val="none" w:sz="0" w:space="0" w:color="auto"/>
        <w:right w:val="none" w:sz="0" w:space="0" w:color="auto"/>
      </w:divBdr>
      <w:divsChild>
        <w:div w:id="777679513">
          <w:marLeft w:val="0"/>
          <w:marRight w:val="0"/>
          <w:marTop w:val="0"/>
          <w:marBottom w:val="0"/>
          <w:divBdr>
            <w:top w:val="none" w:sz="0" w:space="0" w:color="auto"/>
            <w:left w:val="none" w:sz="0" w:space="0" w:color="auto"/>
            <w:bottom w:val="none" w:sz="0" w:space="0" w:color="auto"/>
            <w:right w:val="none" w:sz="0" w:space="0" w:color="auto"/>
          </w:divBdr>
        </w:div>
        <w:div w:id="1531799524">
          <w:marLeft w:val="0"/>
          <w:marRight w:val="0"/>
          <w:marTop w:val="0"/>
          <w:marBottom w:val="0"/>
          <w:divBdr>
            <w:top w:val="none" w:sz="0" w:space="0" w:color="auto"/>
            <w:left w:val="none" w:sz="0" w:space="0" w:color="auto"/>
            <w:bottom w:val="none" w:sz="0" w:space="0" w:color="auto"/>
            <w:right w:val="none" w:sz="0" w:space="0" w:color="auto"/>
          </w:divBdr>
        </w:div>
      </w:divsChild>
    </w:div>
    <w:div w:id="2124879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86.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yperlink" Target="https://web6.ciela.net:443/Document?documentId=2135841270&amp;dbId=0&amp;edition=0" TargetMode="External"/><Relationship Id="rId68" Type="http://schemas.openxmlformats.org/officeDocument/2006/relationships/hyperlink" Target="https://web6.ciela.net:443/Document?documentId=2135569070&amp;dbId=0&amp;edition=0" TargetMode="External"/><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81.png"/><Relationship Id="rId16" Type="http://schemas.openxmlformats.org/officeDocument/2006/relationships/hyperlink" Target="https://ec.europa.eu/info/strategy/priorities-2019-2024/european-green-deal_bg" TargetMode="External"/><Relationship Id="rId107" Type="http://schemas.openxmlformats.org/officeDocument/2006/relationships/image" Target="media/image76.png"/><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49.emf"/><Relationship Id="rId79" Type="http://schemas.openxmlformats.org/officeDocument/2006/relationships/image" Target="media/image54.png"/><Relationship Id="rId102" Type="http://schemas.openxmlformats.org/officeDocument/2006/relationships/image" Target="media/image74.png"/><Relationship Id="rId123" Type="http://schemas.openxmlformats.org/officeDocument/2006/relationships/hyperlink" Target="http://www.bd-dunav.org/uploads/content/files/upravlenie-na-vodite/PURN-2022-2027/PORN_Final/00_PFRA_BG1_MainReport.pdf"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hyperlink" Target="https://web6.ciela.net:443/Document?documentId=2135841270&amp;dbId=0&amp;edition=1" TargetMode="External"/><Relationship Id="rId69" Type="http://schemas.openxmlformats.org/officeDocument/2006/relationships/hyperlink" Target="https://web6.ciela.net:443/Document?documentId=2135569070&amp;dbId=0&amp;edition=1" TargetMode="External"/><Relationship Id="rId113" Type="http://schemas.openxmlformats.org/officeDocument/2006/relationships/image" Target="media/image82.png"/><Relationship Id="rId118" Type="http://schemas.openxmlformats.org/officeDocument/2006/relationships/image" Target="media/image87.png"/><Relationship Id="rId80" Type="http://schemas.openxmlformats.org/officeDocument/2006/relationships/image" Target="media/image55.png"/><Relationship Id="rId85" Type="http://schemas.openxmlformats.org/officeDocument/2006/relationships/image" Target="media/image60.png"/><Relationship Id="rId12" Type="http://schemas.openxmlformats.org/officeDocument/2006/relationships/header" Target="header1.xml"/><Relationship Id="rId17" Type="http://schemas.openxmlformats.org/officeDocument/2006/relationships/hyperlink" Target="https://ec.europa.eu/commission/presscorner/detail/bg/ip_20_884" TargetMode="Externa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75.png"/><Relationship Id="rId108" Type="http://schemas.openxmlformats.org/officeDocument/2006/relationships/image" Target="media/image77.png"/><Relationship Id="rId124" Type="http://schemas.openxmlformats.org/officeDocument/2006/relationships/hyperlink" Target="http://www.bd-dunav.org/uploads/content/files/upravlenie-na-vodite/PURN-2022-2027/PORN_Final/00_PFRA_BG1_MainReport.pdf" TargetMode="External"/><Relationship Id="rId54" Type="http://schemas.openxmlformats.org/officeDocument/2006/relationships/image" Target="media/image39.png"/><Relationship Id="rId70" Type="http://schemas.openxmlformats.org/officeDocument/2006/relationships/hyperlink" Target="https://web6.ciela.net:443/Document?documentId=2135569070&amp;dbId=0&amp;edition=2" TargetMode="External"/><Relationship Id="rId75" Type="http://schemas.openxmlformats.org/officeDocument/2006/relationships/image" Target="media/image50.emf"/><Relationship Id="rId91" Type="http://schemas.openxmlformats.org/officeDocument/2006/relationships/image" Target="media/image66.emf"/><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83.png"/><Relationship Id="rId119" Type="http://schemas.openxmlformats.org/officeDocument/2006/relationships/hyperlink" Target="https://wabd.bg/content/wp-content/uploads/2021/08/12_PFRA_BG4_APP12_ASPFR_passports.docx" TargetMode="External"/><Relationship Id="rId44" Type="http://schemas.openxmlformats.org/officeDocument/2006/relationships/image" Target="media/image29.png"/><Relationship Id="rId60" Type="http://schemas.openxmlformats.org/officeDocument/2006/relationships/image" Target="media/image45.png"/><Relationship Id="rId65" Type="http://schemas.openxmlformats.org/officeDocument/2006/relationships/hyperlink" Target="https://web6.ciela.net:443/Document?documentId=2135841270&amp;dbId=0&amp;edition=2" TargetMode="External"/><Relationship Id="rId81" Type="http://schemas.openxmlformats.org/officeDocument/2006/relationships/image" Target="media/image56.png"/><Relationship Id="rId86" Type="http://schemas.openxmlformats.org/officeDocument/2006/relationships/image" Target="media/image61.png"/><Relationship Id="rId13" Type="http://schemas.openxmlformats.org/officeDocument/2006/relationships/footer" Target="footer1.xml"/><Relationship Id="rId18" Type="http://schemas.openxmlformats.org/officeDocument/2006/relationships/hyperlink" Target="https://www.eufunds.bg/sites/default/files/uploads/eip/docs/2021-09/%D0%9D%D0%B0%D1%86%D0%B8%D0%BE%D0%BD%D0%B0%D0%BB%D0%B5%D0%BD%20%D0%B8%D0%BD%D0%B2%D0%B5%D1%81%D1%82%D0%B8%D1%86%D0%B8%D0%BE%D0%BD%D0%B5%D0%BD%20%D0%BF%D0%BB%D0%B0%D0%BD%20%D0%B7%D0%B0%20%D0%B2%D0%BE%D0%B4%D0%BE%D1%81%D0%BD%D0%B0%D0%B1%D0%B4%D1%8F%D0%B2%D0%B0%D0%BD%D0%B5%20%D0%B8%20%D0%BA%D0%B0%D0%BD%D0%B0%D0%BB%D0%B8%D0%B7%D0%B0%D1%86%D0%B8%D1%8F.pdf" TargetMode="External"/><Relationship Id="rId39" Type="http://schemas.openxmlformats.org/officeDocument/2006/relationships/image" Target="media/image24.png"/><Relationship Id="rId109" Type="http://schemas.openxmlformats.org/officeDocument/2006/relationships/image" Target="media/image78.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1.emf"/><Relationship Id="rId97" Type="http://schemas.microsoft.com/office/2007/relationships/hdphoto" Target="media/hdphoto1.wdp"/><Relationship Id="rId104" Type="http://schemas.openxmlformats.org/officeDocument/2006/relationships/chart" Target="charts/chart3.xml"/><Relationship Id="rId120" Type="http://schemas.openxmlformats.org/officeDocument/2006/relationships/hyperlink" Target="https://www.eufunds.bg/sites/default/files/uploads/eip/docs/2021-09/%D0%9D%D0%B0%D1%86%D0%B8%D0%BE%D0%BD%D0%B0%D0%BB%D0%B5%D0%BD%20%D0%B8%D0%BD%D0%B2%D0%B5%D1%81%D1%82%D0%B8%D1%86%D0%B8%D0%BE%D0%BD%D0%B5%D0%BD%20%D0%BF%D0%BB%D0%B0%D0%BD%20%D0%B7%D0%B0%20%D0%B2%D0%BE%D0%B4%D0%BE%D1%81%D0%BD%D0%B0%D0%B1%D0%B4%D1%8F%D0%B2%D0%B0%D0%BD%D0%B5%20%D0%B8%20%D0%BA%D0%B0%D0%BD%D0%B0%D0%BB%D0%B8%D0%B7%D0%B0%D1%86%D0%B8%D1%8F.pdf" TargetMode="External"/><Relationship Id="rId125" Type="http://schemas.openxmlformats.org/officeDocument/2006/relationships/hyperlink" Target="http://www.bd-dunav.org/uploads/content/files/upravlenie-na-vodite/PURN-2022-2027/PORN_Final/00_PFRA_BG1_MainReport.pdf" TargetMode="External"/><Relationship Id="rId7" Type="http://schemas.openxmlformats.org/officeDocument/2006/relationships/endnotes" Target="endnotes.xml"/><Relationship Id="rId71" Type="http://schemas.openxmlformats.org/officeDocument/2006/relationships/hyperlink" Target="https://web6.ciela.net:443/Document?documentId=2135569070&amp;dbId=0&amp;edition=3" TargetMode="External"/><Relationship Id="rId92" Type="http://schemas.openxmlformats.org/officeDocument/2006/relationships/image" Target="media/image67.emf"/><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eader" Target="header2.xml"/><Relationship Id="rId87" Type="http://schemas.openxmlformats.org/officeDocument/2006/relationships/image" Target="media/image62.png"/><Relationship Id="rId110" Type="http://schemas.openxmlformats.org/officeDocument/2006/relationships/image" Target="media/image79.png"/><Relationship Id="rId115" Type="http://schemas.openxmlformats.org/officeDocument/2006/relationships/image" Target="media/image84.png"/><Relationship Id="rId61" Type="http://schemas.openxmlformats.org/officeDocument/2006/relationships/image" Target="media/image46.jpeg"/><Relationship Id="rId82" Type="http://schemas.openxmlformats.org/officeDocument/2006/relationships/image" Target="media/image57.png"/><Relationship Id="rId19" Type="http://schemas.openxmlformats.org/officeDocument/2006/relationships/image" Target="media/image4.jpeg"/><Relationship Id="rId14" Type="http://schemas.openxmlformats.org/officeDocument/2006/relationships/hyperlink" Target="https://eur-lex.europa.eu/legal-content/BG/TXT/?qid=1590404602495&amp;uri=CELEX%3A52020DC0381"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52.png"/><Relationship Id="rId100" Type="http://schemas.openxmlformats.org/officeDocument/2006/relationships/chart" Target="charts/chart1.xml"/><Relationship Id="rId105" Type="http://schemas.openxmlformats.org/officeDocument/2006/relationships/chart" Target="charts/chart4.xml"/><Relationship Id="rId126" Type="http://schemas.openxmlformats.org/officeDocument/2006/relationships/hyperlink" Target="http://www.bsbd.org" TargetMode="External"/><Relationship Id="rId8" Type="http://schemas.openxmlformats.org/officeDocument/2006/relationships/hyperlink" Target="https://www.google.com/search?q=%D0%90%D0%91%D0%A0%D0%95%D0%90%D0%92%D0%98%D0%90%D0%A2%D0%A3%D0%A0%D0%98&amp;spell=1&amp;sa=X&amp;ved=2ahUKEwiVwuXZvLb2AhVTSvEDHYGHCYgQkeECKAB6BAgBEDY" TargetMode="External"/><Relationship Id="rId51" Type="http://schemas.openxmlformats.org/officeDocument/2006/relationships/image" Target="media/image36.png"/><Relationship Id="rId72" Type="http://schemas.openxmlformats.org/officeDocument/2006/relationships/hyperlink" Target="https://web6.ciela.net:443/Document?documentId=2135569070&amp;dbId=0&amp;edition=4" TargetMode="External"/><Relationship Id="rId93" Type="http://schemas.openxmlformats.org/officeDocument/2006/relationships/image" Target="media/image68.emf"/><Relationship Id="rId98" Type="http://schemas.openxmlformats.org/officeDocument/2006/relationships/image" Target="media/image72.emf"/><Relationship Id="rId121" Type="http://schemas.openxmlformats.org/officeDocument/2006/relationships/hyperlink" Target="https://www.moew.government.bg/bg/priroda/biologichno-raznoobrazie/nemestni-i-invazivni-chujdi-vidove/invazivni-chujdi-vidove/" TargetMode="Externa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47.jpeg"/><Relationship Id="rId116" Type="http://schemas.openxmlformats.org/officeDocument/2006/relationships/image" Target="media/image85.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hyperlink" Target="https://web6.ciela.net:443/Document?documentId=2135841270&amp;dbId=0&amp;edition=0" TargetMode="External"/><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0.png"/><Relationship Id="rId15" Type="http://schemas.openxmlformats.org/officeDocument/2006/relationships/hyperlink" Target="https://ec.europa.eu/info/files/communication-new-eu-forest-strategy-2030" TargetMode="Externa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chart" Target="charts/chart5.xml"/><Relationship Id="rId127" Type="http://schemas.openxmlformats.org/officeDocument/2006/relationships/fontTable" Target="fontTable.xml"/><Relationship Id="rId10" Type="http://schemas.openxmlformats.org/officeDocument/2006/relationships/hyperlink" Target="mailto:TPPetrova@mzh.government.bg" TargetMode="Externa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48.emf"/><Relationship Id="rId78" Type="http://schemas.openxmlformats.org/officeDocument/2006/relationships/image" Target="media/image53.png"/><Relationship Id="rId94" Type="http://schemas.openxmlformats.org/officeDocument/2006/relationships/image" Target="media/image69.png"/><Relationship Id="rId99" Type="http://schemas.openxmlformats.org/officeDocument/2006/relationships/image" Target="media/image73.png"/><Relationship Id="rId101" Type="http://schemas.openxmlformats.org/officeDocument/2006/relationships/chart" Target="charts/chart2.xml"/><Relationship Id="rId122" Type="http://schemas.openxmlformats.org/officeDocument/2006/relationships/hyperlink" Target="http://www.bd-dunav.org/uploads/content/files/upravlenie-na-vodite/PURN-2022-2027/PORN_Final/00_PFRA_BG1_MainReport.pdf" TargetMode="External"/><Relationship Id="rId4" Type="http://schemas.openxmlformats.org/officeDocument/2006/relationships/settings" Target="settings.xml"/><Relationship Id="rId9" Type="http://schemas.openxmlformats.org/officeDocument/2006/relationships/hyperlink" Target="mailto:minister@mzhg.government.b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public-seveso.moew.government.bg/enterprises" TargetMode="External"/><Relationship Id="rId3" Type="http://schemas.openxmlformats.org/officeDocument/2006/relationships/hyperlink" Target="https://eur-lex.europa.eu/legal-content/EN/TXT/?qid=1527241903201&amp;uri=CELEX%3A52018PC0322" TargetMode="External"/><Relationship Id="rId7" Type="http://schemas.openxmlformats.org/officeDocument/2006/relationships/hyperlink" Target="https://eea.government.bg/bg/nsmos/waste/dokumenti/dokumentiNEW/Dokladi_opakovki_2020.pdf" TargetMode="External"/><Relationship Id="rId12" Type="http://schemas.openxmlformats.org/officeDocument/2006/relationships/hyperlink" Target="https://nsi.bg/sites/default/files/files/data/timeseries/Ecology_8.1.xls" TargetMode="External"/><Relationship Id="rId2" Type="http://schemas.openxmlformats.org/officeDocument/2006/relationships/hyperlink" Target="https://www.europarl.europa.eu/doceo/document/TA-9-2020-0357_BG.html" TargetMode="External"/><Relationship Id="rId1" Type="http://schemas.openxmlformats.org/officeDocument/2006/relationships/hyperlink" Target="https://www.consilium.europa.eu/en/infographics/mff2021-2027-ngeu-final/" TargetMode="External"/><Relationship Id="rId6" Type="http://schemas.openxmlformats.org/officeDocument/2006/relationships/hyperlink" Target="http://www.bd-dunav.org/uploads/content/files/konsultacii-s-obshtestvenostta/PURN/2_PURN_BDDR_KOns_Fin_SF.pdf" TargetMode="External"/><Relationship Id="rId11" Type="http://schemas.openxmlformats.org/officeDocument/2006/relationships/hyperlink" Target="https://nsi.bg/sites/default/files/files/data/timeseries/Ecology_8.3.xls" TargetMode="External"/><Relationship Id="rId5" Type="http://schemas.openxmlformats.org/officeDocument/2006/relationships/hyperlink" Target="https://wabd.bg/content/%D0%BF%D1%83%D1%80%D0%BD/%D0%BF%D1%83%D1%80%D0%BD-2016-2021%D0%B3/" TargetMode="External"/><Relationship Id="rId10" Type="http://schemas.openxmlformats.org/officeDocument/2006/relationships/hyperlink" Target="https://nsi.bg/sites/default/files/files/data/timeseries/Ecology_7.1.xls" TargetMode="External"/><Relationship Id="rId4" Type="http://schemas.openxmlformats.org/officeDocument/2006/relationships/hyperlink" Target="https://eur-lex.europa.eu/legal-content/BG/TXT/?uri=CELEX:32000L0060" TargetMode="External"/><Relationship Id="rId9" Type="http://schemas.openxmlformats.org/officeDocument/2006/relationships/hyperlink" Target="http://www.nsi.bg/sites/default/files/files/data/timeseries/SBS_HDC_BD.xl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oleObject" Target="embeddings/oleObject2.bin"/><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Mani\Desktop\EO%20Selska\&#1080;&#1072;&#1075;\2_Obsta_i_zalesena_plos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Mani\Desktop\EO%20Selska\&#1080;&#1072;&#1075;\7lesistost.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Mani\Desktop\EO%20Selska\&#1080;&#1072;&#1075;\8sredna_vazrast.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Mani\Desktop\EO%20Selska\&#1080;&#1072;&#1075;\4obst_zapas.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Mani\Desktop\EO%20Selska\&#1080;&#1072;&#1075;\9_deistvitelno_polzvane-zapas.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sz="1100">
                <a:solidFill>
                  <a:sysClr val="windowText" lastClr="000000"/>
                </a:solidFill>
                <a:latin typeface="Times New Roman" pitchFamily="18" charset="0"/>
                <a:cs typeface="Times New Roman" pitchFamily="18" charset="0"/>
              </a:rPr>
              <a:t>Обща и залесена площ (</a:t>
            </a:r>
            <a:r>
              <a:rPr lang="en-US" sz="1100">
                <a:solidFill>
                  <a:sysClr val="windowText" lastClr="000000"/>
                </a:solidFill>
                <a:latin typeface="Times New Roman" pitchFamily="18" charset="0"/>
                <a:cs typeface="Times New Roman" pitchFamily="18" charset="0"/>
              </a:rPr>
              <a:t>ha)</a:t>
            </a:r>
            <a:endParaRPr lang="bg-BG" sz="1100">
              <a:solidFill>
                <a:sysClr val="windowText" lastClr="000000"/>
              </a:solidFill>
              <a:latin typeface="Times New Roman" pitchFamily="18" charset="0"/>
              <a:cs typeface="Times New Roman" pitchFamily="18" charset="0"/>
            </a:endParaRPr>
          </a:p>
        </c:rich>
      </c:tx>
      <c:overlay val="0"/>
      <c:spPr>
        <a:noFill/>
        <a:ln>
          <a:noFill/>
        </a:ln>
        <a:effectLst/>
      </c:spPr>
    </c:title>
    <c:autoTitleDeleted val="0"/>
    <c:plotArea>
      <c:layout/>
      <c:lineChart>
        <c:grouping val="standard"/>
        <c:varyColors val="0"/>
        <c:ser>
          <c:idx val="0"/>
          <c:order val="0"/>
          <c:tx>
            <c:strRef>
              <c:f>'C:\Users\Mani\Desktop\EO Selska\иаг\[Графики ГФ2020.xlsx]основни характер'!$A$3:$B$3</c:f>
              <c:strCache>
                <c:ptCount val="1"/>
                <c:pt idx="0">
                  <c:v>обща площ ха</c:v>
                </c:pt>
              </c:strCache>
            </c:strRef>
          </c:tx>
          <c:spPr>
            <a:ln w="28575" cap="rnd">
              <a:solidFill>
                <a:srgbClr val="FFC000"/>
              </a:solidFill>
              <a:round/>
            </a:ln>
            <a:effectLst/>
          </c:spPr>
          <c:marker>
            <c:symbol val="none"/>
          </c:marker>
          <c:dLbls>
            <c:spPr>
              <a:noFill/>
              <a:ln>
                <a:noFill/>
              </a:ln>
              <a:effectLst/>
            </c:spPr>
            <c:txPr>
              <a:bodyPr rot="-5400000" spcFirstLastPara="1" vertOverflow="clip" horzOverflow="clip" vert="horz" wrap="square" lIns="38100" tIns="19050" rIns="38100" bIns="19050" anchor="t" anchorCtr="0">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'C:\Users\Mani\Desktop\EO Selska\иаг\[Графики ГФ2020.xlsx]основни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'C:\Users\Mani\Desktop\EO Selska\иаг\[Графики ГФ2020.xlsx]основни характер'!$C$3:$O$3</c:f>
              <c:numCache>
                <c:formatCode>General</c:formatCode>
                <c:ptCount val="13"/>
                <c:pt idx="0">
                  <c:v>3635093</c:v>
                </c:pt>
                <c:pt idx="1">
                  <c:v>3510856</c:v>
                </c:pt>
                <c:pt idx="2">
                  <c:v>3603933</c:v>
                </c:pt>
                <c:pt idx="3">
                  <c:v>3694315</c:v>
                </c:pt>
                <c:pt idx="4">
                  <c:v>3743123</c:v>
                </c:pt>
                <c:pt idx="5">
                  <c:v>3768255</c:v>
                </c:pt>
                <c:pt idx="6">
                  <c:v>3772493</c:v>
                </c:pt>
                <c:pt idx="7">
                  <c:v>3876272</c:v>
                </c:pt>
                <c:pt idx="8">
                  <c:v>3914355</c:v>
                </c:pt>
                <c:pt idx="9">
                  <c:v>4076464</c:v>
                </c:pt>
                <c:pt idx="10">
                  <c:v>4138147</c:v>
                </c:pt>
                <c:pt idx="11">
                  <c:v>4222874</c:v>
                </c:pt>
                <c:pt idx="12">
                  <c:v>4270995</c:v>
                </c:pt>
              </c:numCache>
            </c:numRef>
          </c:val>
          <c:smooth val="0"/>
          <c:extLst>
            <c:ext xmlns:c16="http://schemas.microsoft.com/office/drawing/2014/chart" uri="{C3380CC4-5D6E-409C-BE32-E72D297353CC}">
              <c16:uniqueId val="{00000000-73BE-416E-86CB-894600188B4D}"/>
            </c:ext>
          </c:extLst>
        </c:ser>
        <c:ser>
          <c:idx val="1"/>
          <c:order val="1"/>
          <c:tx>
            <c:strRef>
              <c:f>'C:\Users\Mani\Desktop\EO Selska\иаг\[Графики ГФ2020.xlsx]основни характер'!$A$4:$B$4</c:f>
              <c:strCache>
                <c:ptCount val="1"/>
                <c:pt idx="0">
                  <c:v>залесена площ ха</c:v>
                </c:pt>
              </c:strCache>
            </c:strRef>
          </c:tx>
          <c:spPr>
            <a:ln w="28575" cap="rnd">
              <a:solidFill>
                <a:srgbClr val="70AD47">
                  <a:lumMod val="75000"/>
                </a:srgbClr>
              </a:solidFill>
              <a:round/>
            </a:ln>
            <a:effectLst/>
          </c:spPr>
          <c:marker>
            <c:symbol val="none"/>
          </c:marker>
          <c:dLbls>
            <c:spPr>
              <a:noFill/>
              <a:ln>
                <a:noFill/>
              </a:ln>
              <a:effectLst/>
            </c:spPr>
            <c:txPr>
              <a:bodyPr rot="-5400000" spcFirstLastPara="1" vertOverflow="overflow" horzOverflow="overflow" wrap="square" lIns="38100" tIns="19050" rIns="38100" bIns="19050" anchor="t"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'C:\Users\Mani\Desktop\EO Selska\иаг\[Графики ГФ2020.xlsx]основни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'C:\Users\Mani\Desktop\EO Selska\иаг\[Графики ГФ2020.xlsx]основни характер'!$C$4:$O$4</c:f>
              <c:numCache>
                <c:formatCode>General</c:formatCode>
                <c:ptCount val="13"/>
                <c:pt idx="0">
                  <c:v>3189741</c:v>
                </c:pt>
                <c:pt idx="1">
                  <c:v>3049397</c:v>
                </c:pt>
                <c:pt idx="2">
                  <c:v>3066594</c:v>
                </c:pt>
                <c:pt idx="3">
                  <c:v>3134258</c:v>
                </c:pt>
                <c:pt idx="4">
                  <c:v>3199936</c:v>
                </c:pt>
                <c:pt idx="5">
                  <c:v>3229369</c:v>
                </c:pt>
                <c:pt idx="6">
                  <c:v>3236758</c:v>
                </c:pt>
                <c:pt idx="7">
                  <c:v>3334256</c:v>
                </c:pt>
                <c:pt idx="8">
                  <c:v>3375117</c:v>
                </c:pt>
                <c:pt idx="9">
                  <c:v>3615243</c:v>
                </c:pt>
                <c:pt idx="10">
                  <c:v>3737542</c:v>
                </c:pt>
                <c:pt idx="11">
                  <c:v>3833640</c:v>
                </c:pt>
                <c:pt idx="12">
                  <c:v>3896009</c:v>
                </c:pt>
              </c:numCache>
            </c:numRef>
          </c:val>
          <c:smooth val="0"/>
          <c:extLst>
            <c:ext xmlns:c16="http://schemas.microsoft.com/office/drawing/2014/chart" uri="{C3380CC4-5D6E-409C-BE32-E72D297353CC}">
              <c16:uniqueId val="{00000001-73BE-416E-86CB-894600188B4D}"/>
            </c:ext>
          </c:extLst>
        </c:ser>
        <c:dLbls>
          <c:showLegendKey val="0"/>
          <c:showVal val="1"/>
          <c:showCatName val="0"/>
          <c:showSerName val="0"/>
          <c:showPercent val="0"/>
          <c:showBubbleSize val="0"/>
        </c:dLbls>
        <c:smooth val="0"/>
        <c:axId val="162745344"/>
        <c:axId val="162747136"/>
      </c:lineChart>
      <c:catAx>
        <c:axId val="162745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747136"/>
        <c:crosses val="autoZero"/>
        <c:auto val="1"/>
        <c:lblAlgn val="ctr"/>
        <c:lblOffset val="100"/>
        <c:noMultiLvlLbl val="0"/>
      </c:catAx>
      <c:valAx>
        <c:axId val="162747136"/>
        <c:scaling>
          <c:orientation val="minMax"/>
          <c:min val="3000000"/>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crossAx val="162745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bg-BG" sz="1100" b="0">
                <a:latin typeface="Times New Roman" pitchFamily="18" charset="0"/>
                <a:cs typeface="Times New Roman" pitchFamily="18" charset="0"/>
              </a:rPr>
              <a:t>Лесистост</a:t>
            </a:r>
            <a:r>
              <a:rPr lang="bg-BG"/>
              <a:t>, %</a:t>
            </a:r>
          </a:p>
        </c:rich>
      </c:tx>
      <c:layout>
        <c:manualLayout>
          <c:xMode val="edge"/>
          <c:yMode val="edge"/>
          <c:x val="0.43291663284357601"/>
          <c:y val="9.1991341991342401E-2"/>
        </c:manualLayout>
      </c:layout>
      <c:overlay val="0"/>
      <c:spPr>
        <a:noFill/>
        <a:ln>
          <a:noFill/>
        </a:ln>
        <a:effectLst/>
      </c:spPr>
    </c:title>
    <c:autoTitleDeleted val="0"/>
    <c:plotArea>
      <c:layout/>
      <c:barChart>
        <c:barDir val="col"/>
        <c:grouping val="clustered"/>
        <c:varyColors val="0"/>
        <c:ser>
          <c:idx val="14"/>
          <c:order val="0"/>
          <c:tx>
            <c:strRef>
              <c:f>'C:\Users\Mani\Desktop\EO Selska\иаг\[Графики ГФ2020.xlsx]основни характер'!$C$17:$O$17</c:f>
              <c:strCache>
                <c:ptCount val="1"/>
                <c:pt idx="0">
                  <c:v>28,9 27,6 27,7 28,4 28,9 29,2 29,3 30,2 30,5 32,7 33,6 34,5 35,31621529</c:v>
                </c:pt>
              </c:strCache>
            </c:strRef>
          </c:tx>
          <c:spPr>
            <a:solidFill>
              <a:schemeClr val="accent6">
                <a:lumMod val="60000"/>
                <a:lumOff val="40000"/>
              </a:schemeClr>
            </a:solidFill>
            <a:ln>
              <a:noFill/>
            </a:ln>
            <a:effectLst/>
          </c:spPr>
          <c:invertIfNegative val="0"/>
          <c:dLbls>
            <c:dLbl>
              <c:idx val="12"/>
              <c:tx>
                <c:rich>
                  <a:bodyPr/>
                  <a:lstStyle/>
                  <a:p>
                    <a:r>
                      <a:rPr lang="en-US"/>
                      <a:t>35,32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CD4-4792-8564-6CC8BBC6B8CB}"/>
                </c:ext>
              </c:extLst>
            </c:dLbl>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'C:\Users\Mani\Desktop\EO Selska\иаг\[Графики ГФ2020.xlsx]основни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'D:\OGF-instal\[Основни характеристики формули 1960-2020.xls]основни характер'!$C$17:$O$17</c:f>
              <c:numCache>
                <c:formatCode>General</c:formatCode>
                <c:ptCount val="13"/>
                <c:pt idx="0">
                  <c:v>28.9</c:v>
                </c:pt>
                <c:pt idx="1">
                  <c:v>27.6</c:v>
                </c:pt>
                <c:pt idx="2">
                  <c:v>27.7</c:v>
                </c:pt>
                <c:pt idx="3">
                  <c:v>28.4</c:v>
                </c:pt>
                <c:pt idx="4">
                  <c:v>28.9</c:v>
                </c:pt>
                <c:pt idx="5">
                  <c:v>29.2</c:v>
                </c:pt>
                <c:pt idx="6">
                  <c:v>29.3</c:v>
                </c:pt>
                <c:pt idx="7">
                  <c:v>30.2</c:v>
                </c:pt>
                <c:pt idx="8">
                  <c:v>30.5</c:v>
                </c:pt>
                <c:pt idx="9">
                  <c:v>32.700000000000003</c:v>
                </c:pt>
                <c:pt idx="10">
                  <c:v>33.6</c:v>
                </c:pt>
                <c:pt idx="11">
                  <c:v>34.5</c:v>
                </c:pt>
                <c:pt idx="12">
                  <c:v>35.316215290916624</c:v>
                </c:pt>
              </c:numCache>
            </c:numRef>
          </c:val>
          <c:extLst>
            <c:ext xmlns:c16="http://schemas.microsoft.com/office/drawing/2014/chart" uri="{C3380CC4-5D6E-409C-BE32-E72D297353CC}">
              <c16:uniqueId val="{00000001-9CD4-4792-8564-6CC8BBC6B8CB}"/>
            </c:ext>
          </c:extLst>
        </c:ser>
        <c:dLbls>
          <c:showLegendKey val="0"/>
          <c:showVal val="1"/>
          <c:showCatName val="0"/>
          <c:showSerName val="0"/>
          <c:showPercent val="0"/>
          <c:showBubbleSize val="0"/>
        </c:dLbls>
        <c:gapWidth val="150"/>
        <c:axId val="162846976"/>
        <c:axId val="500703232"/>
      </c:barChart>
      <c:catAx>
        <c:axId val="16284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500703232"/>
        <c:crosses val="autoZero"/>
        <c:auto val="1"/>
        <c:lblAlgn val="ctr"/>
        <c:lblOffset val="100"/>
        <c:noMultiLvlLbl val="0"/>
      </c:catAx>
      <c:valAx>
        <c:axId val="500703232"/>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162846976"/>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r>
              <a:rPr lang="bg-BG" sz="1100" b="1">
                <a:solidFill>
                  <a:sysClr val="windowText" lastClr="000000"/>
                </a:solidFill>
                <a:latin typeface="Times New Roman" pitchFamily="18" charset="0"/>
                <a:cs typeface="Times New Roman" pitchFamily="18" charset="0"/>
              </a:rPr>
              <a:t>Средна възраст (години)</a:t>
            </a:r>
          </a:p>
        </c:rich>
      </c:tx>
      <c:overlay val="0"/>
      <c:spPr>
        <a:noFill/>
        <a:ln>
          <a:noFill/>
        </a:ln>
        <a:effectLst/>
      </c:spPr>
    </c:title>
    <c:autoTitleDeleted val="0"/>
    <c:plotArea>
      <c:layout/>
      <c:barChart>
        <c:barDir val="col"/>
        <c:grouping val="clustered"/>
        <c:varyColors val="0"/>
        <c:ser>
          <c:idx val="6"/>
          <c:order val="0"/>
          <c:tx>
            <c:strRef>
              <c:f>'C:\Users\Mani\Desktop\EO Selska\иаг\[Графики ГФ2020.xlsx]основни характер'!$A$9:$B$9</c:f>
              <c:strCache>
                <c:ptCount val="1"/>
                <c:pt idx="0">
                  <c:v>средна възраст год.</c:v>
                </c:pt>
              </c:strCache>
            </c:strRef>
          </c:tx>
          <c:spPr>
            <a:solidFill>
              <a:schemeClr val="accent6">
                <a:lumMod val="60000"/>
                <a:lumOff val="40000"/>
              </a:schemeClr>
            </a:solidFill>
            <a:ln>
              <a:noFill/>
            </a:ln>
            <a:effectLst/>
          </c:spPr>
          <c:invertIfNegative val="0"/>
          <c:dLbls>
            <c:dLbl>
              <c:idx val="12"/>
              <c:tx>
                <c:rich>
                  <a:bodyPr/>
                  <a:lstStyle/>
                  <a:p>
                    <a:r>
                      <a:rPr lang="en-US" sz="1000" b="0"/>
                      <a:t>6</a:t>
                    </a:r>
                    <a:r>
                      <a:rPr lang="en-US"/>
                      <a:t>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55A-4533-9E98-BC75DFA7CEB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'C:\Users\Mani\Desktop\EO Selska\иаг\[Графики ГФ2020.xlsx]основни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'C:\Users\Mani\Desktop\EO Selska\иаг\[Графики ГФ2020.xlsx]основни характер'!$C$9:$O$9</c:f>
              <c:numCache>
                <c:formatCode>General</c:formatCode>
                <c:ptCount val="13"/>
                <c:pt idx="0">
                  <c:v>37</c:v>
                </c:pt>
                <c:pt idx="1">
                  <c:v>37</c:v>
                </c:pt>
                <c:pt idx="2">
                  <c:v>37</c:v>
                </c:pt>
                <c:pt idx="3">
                  <c:v>38</c:v>
                </c:pt>
                <c:pt idx="4">
                  <c:v>38</c:v>
                </c:pt>
                <c:pt idx="5">
                  <c:v>40</c:v>
                </c:pt>
                <c:pt idx="6">
                  <c:v>42</c:v>
                </c:pt>
                <c:pt idx="7">
                  <c:v>44</c:v>
                </c:pt>
                <c:pt idx="8">
                  <c:v>49</c:v>
                </c:pt>
                <c:pt idx="9">
                  <c:v>51</c:v>
                </c:pt>
                <c:pt idx="10">
                  <c:v>53</c:v>
                </c:pt>
                <c:pt idx="11">
                  <c:v>57</c:v>
                </c:pt>
                <c:pt idx="12">
                  <c:v>60.314175352264215</c:v>
                </c:pt>
              </c:numCache>
            </c:numRef>
          </c:val>
          <c:extLst>
            <c:ext xmlns:c16="http://schemas.microsoft.com/office/drawing/2014/chart" uri="{C3380CC4-5D6E-409C-BE32-E72D297353CC}">
              <c16:uniqueId val="{00000001-655A-4533-9E98-BC75DFA7CEB3}"/>
            </c:ext>
          </c:extLst>
        </c:ser>
        <c:dLbls>
          <c:showLegendKey val="0"/>
          <c:showVal val="1"/>
          <c:showCatName val="0"/>
          <c:showSerName val="0"/>
          <c:showPercent val="0"/>
          <c:showBubbleSize val="0"/>
        </c:dLbls>
        <c:gapWidth val="150"/>
        <c:axId val="162853248"/>
        <c:axId val="162854784"/>
      </c:barChart>
      <c:catAx>
        <c:axId val="1628532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162854784"/>
        <c:crosses val="autoZero"/>
        <c:auto val="1"/>
        <c:lblAlgn val="ctr"/>
        <c:lblOffset val="100"/>
        <c:noMultiLvlLbl val="0"/>
      </c:catAx>
      <c:valAx>
        <c:axId val="16285478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crossAx val="162853248"/>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bg-BG" sz="1100">
                <a:solidFill>
                  <a:sysClr val="windowText" lastClr="000000"/>
                </a:solidFill>
                <a:latin typeface="Times New Roman" pitchFamily="18" charset="0"/>
                <a:cs typeface="Times New Roman" pitchFamily="18" charset="0"/>
              </a:rPr>
              <a:t>Общ запас (хил.</a:t>
            </a:r>
            <a:r>
              <a:rPr lang="en-US" sz="1100">
                <a:solidFill>
                  <a:sysClr val="windowText" lastClr="000000"/>
                </a:solidFill>
                <a:latin typeface="Times New Roman" pitchFamily="18" charset="0"/>
                <a:cs typeface="Times New Roman" pitchFamily="18" charset="0"/>
              </a:rPr>
              <a:t>m</a:t>
            </a:r>
            <a:r>
              <a:rPr lang="bg-BG" sz="1100" baseline="30000">
                <a:solidFill>
                  <a:sysClr val="windowText" lastClr="000000"/>
                </a:solidFill>
                <a:latin typeface="Times New Roman" pitchFamily="18" charset="0"/>
                <a:cs typeface="Times New Roman" pitchFamily="18" charset="0"/>
              </a:rPr>
              <a:t>3</a:t>
            </a:r>
            <a:r>
              <a:rPr lang="bg-BG" sz="1100">
                <a:solidFill>
                  <a:sysClr val="windowText" lastClr="000000"/>
                </a:solidFill>
                <a:latin typeface="Times New Roman" pitchFamily="18" charset="0"/>
                <a:cs typeface="Times New Roman" pitchFamily="18" charset="0"/>
              </a:rPr>
              <a:t>) </a:t>
            </a:r>
          </a:p>
        </c:rich>
      </c:tx>
      <c:overlay val="0"/>
      <c:spPr>
        <a:noFill/>
        <a:ln>
          <a:noFill/>
        </a:ln>
        <a:effectLst/>
      </c:spPr>
    </c:title>
    <c:autoTitleDeleted val="0"/>
    <c:plotArea>
      <c:layout/>
      <c:barChart>
        <c:barDir val="col"/>
        <c:grouping val="clustered"/>
        <c:varyColors val="0"/>
        <c:ser>
          <c:idx val="2"/>
          <c:order val="0"/>
          <c:tx>
            <c:strRef>
              <c:f>'C:\Users\Mani\Desktop\EO Selska\иаг\[Графики ГФ2020.xlsx]основни характер'!$A$5:$B$5</c:f>
              <c:strCache>
                <c:ptCount val="1"/>
                <c:pt idx="0">
                  <c:v>общ запас хил.м3 х.м3</c:v>
                </c:pt>
              </c:strCache>
            </c:strRef>
          </c:tx>
          <c:spPr>
            <a:solidFill>
              <a:schemeClr val="accent6">
                <a:lumMod val="60000"/>
                <a:lumOff val="40000"/>
              </a:schemeClr>
            </a:solidFill>
            <a:ln>
              <a:noFill/>
            </a:ln>
            <a:effectLst/>
          </c:spPr>
          <c:invertIfNegative val="0"/>
          <c:dLbls>
            <c:dLbl>
              <c:idx val="0"/>
              <c:tx>
                <c:rich>
                  <a:bodyPr/>
                  <a:lstStyle/>
                  <a:p>
                    <a:r>
                      <a:rPr lang="en-US" sz="800" b="0"/>
                      <a:t>2</a:t>
                    </a:r>
                    <a:r>
                      <a:rPr lang="en-US"/>
                      <a:t>43 478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866-42C9-821A-E8C9F27BB1D8}"/>
                </c:ext>
              </c:extLst>
            </c:dLbl>
            <c:dLbl>
              <c:idx val="1"/>
              <c:tx>
                <c:rich>
                  <a:bodyPr/>
                  <a:lstStyle/>
                  <a:p>
                    <a:r>
                      <a:rPr lang="en-US" sz="800" b="0"/>
                      <a:t>2</a:t>
                    </a:r>
                    <a:r>
                      <a:rPr lang="en-US"/>
                      <a:t>47 472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866-42C9-821A-E8C9F27BB1D8}"/>
                </c:ext>
              </c:extLst>
            </c:dLbl>
            <c:dLbl>
              <c:idx val="2"/>
              <c:tx>
                <c:rich>
                  <a:bodyPr/>
                  <a:lstStyle/>
                  <a:p>
                    <a:r>
                      <a:rPr lang="en-US" sz="800" b="0"/>
                      <a:t>2</a:t>
                    </a:r>
                    <a:r>
                      <a:rPr lang="en-US"/>
                      <a:t>56 852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866-42C9-821A-E8C9F27BB1D8}"/>
                </c:ext>
              </c:extLst>
            </c:dLbl>
            <c:dLbl>
              <c:idx val="3"/>
              <c:tx>
                <c:rich>
                  <a:bodyPr/>
                  <a:lstStyle/>
                  <a:p>
                    <a:r>
                      <a:rPr lang="en-US" sz="800" b="0"/>
                      <a:t>2</a:t>
                    </a:r>
                    <a:r>
                      <a:rPr lang="en-US"/>
                      <a:t>67 781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866-42C9-821A-E8C9F27BB1D8}"/>
                </c:ext>
              </c:extLst>
            </c:dLbl>
            <c:dLbl>
              <c:idx val="4"/>
              <c:tx>
                <c:rich>
                  <a:bodyPr/>
                  <a:lstStyle/>
                  <a:p>
                    <a:r>
                      <a:rPr lang="en-US" sz="800" b="0"/>
                      <a:t>2</a:t>
                    </a:r>
                    <a:r>
                      <a:rPr lang="en-US"/>
                      <a:t>96 379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866-42C9-821A-E8C9F27BB1D8}"/>
                </c:ext>
              </c:extLst>
            </c:dLbl>
            <c:dLbl>
              <c:idx val="5"/>
              <c:tx>
                <c:rich>
                  <a:bodyPr/>
                  <a:lstStyle/>
                  <a:p>
                    <a:r>
                      <a:rPr lang="en-US" sz="800" b="0"/>
                      <a:t>3</a:t>
                    </a:r>
                    <a:r>
                      <a:rPr lang="en-US"/>
                      <a:t>36 200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866-42C9-821A-E8C9F27BB1D8}"/>
                </c:ext>
              </c:extLst>
            </c:dLbl>
            <c:dLbl>
              <c:idx val="6"/>
              <c:tx>
                <c:rich>
                  <a:bodyPr/>
                  <a:lstStyle/>
                  <a:p>
                    <a:r>
                      <a:rPr lang="en-US" sz="800" b="0"/>
                      <a:t>3</a:t>
                    </a:r>
                    <a:r>
                      <a:rPr lang="en-US"/>
                      <a:t>95 628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866-42C9-821A-E8C9F27BB1D8}"/>
                </c:ext>
              </c:extLst>
            </c:dLbl>
            <c:dLbl>
              <c:idx val="7"/>
              <c:tx>
                <c:rich>
                  <a:bodyPr/>
                  <a:lstStyle/>
                  <a:p>
                    <a:r>
                      <a:rPr lang="en-US" sz="800" b="0"/>
                      <a:t>4</a:t>
                    </a:r>
                    <a:r>
                      <a:rPr lang="en-US"/>
                      <a:t>67 315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7866-42C9-821A-E8C9F27BB1D8}"/>
                </c:ext>
              </c:extLst>
            </c:dLbl>
            <c:dLbl>
              <c:idx val="8"/>
              <c:tx>
                <c:rich>
                  <a:bodyPr/>
                  <a:lstStyle/>
                  <a:p>
                    <a:r>
                      <a:rPr lang="en-US" sz="800" b="0"/>
                      <a:t>5</a:t>
                    </a:r>
                    <a:r>
                      <a:rPr lang="en-US"/>
                      <a:t>26 063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866-42C9-821A-E8C9F27BB1D8}"/>
                </c:ext>
              </c:extLst>
            </c:dLbl>
            <c:dLbl>
              <c:idx val="9"/>
              <c:tx>
                <c:rich>
                  <a:bodyPr/>
                  <a:lstStyle/>
                  <a:p>
                    <a:r>
                      <a:rPr lang="en-US" sz="800" b="0"/>
                      <a:t>5</a:t>
                    </a:r>
                    <a:r>
                      <a:rPr lang="en-US"/>
                      <a:t>90 780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866-42C9-821A-E8C9F27BB1D8}"/>
                </c:ext>
              </c:extLst>
            </c:dLbl>
            <c:dLbl>
              <c:idx val="10"/>
              <c:tx>
                <c:rich>
                  <a:bodyPr/>
                  <a:lstStyle/>
                  <a:p>
                    <a:r>
                      <a:rPr lang="en-US" sz="800" b="0"/>
                      <a:t>6</a:t>
                    </a:r>
                    <a:r>
                      <a:rPr lang="en-US"/>
                      <a:t>44 840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7866-42C9-821A-E8C9F27BB1D8}"/>
                </c:ext>
              </c:extLst>
            </c:dLbl>
            <c:dLbl>
              <c:idx val="11"/>
              <c:tx>
                <c:rich>
                  <a:bodyPr/>
                  <a:lstStyle/>
                  <a:p>
                    <a:r>
                      <a:rPr lang="en-US" sz="800" b="0"/>
                      <a:t>6</a:t>
                    </a:r>
                    <a:r>
                      <a:rPr lang="en-US"/>
                      <a:t>80 522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7866-42C9-821A-E8C9F27BB1D8}"/>
                </c:ext>
              </c:extLst>
            </c:dLbl>
            <c:dLbl>
              <c:idx val="12"/>
              <c:tx>
                <c:rich>
                  <a:bodyPr/>
                  <a:lstStyle/>
                  <a:p>
                    <a:r>
                      <a:rPr lang="en-US" sz="800" b="0"/>
                      <a:t>7</a:t>
                    </a:r>
                    <a:r>
                      <a:rPr lang="en-US"/>
                      <a:t>18</a:t>
                    </a:r>
                    <a:r>
                      <a:rPr lang="en-US" baseline="0"/>
                      <a:t> 411</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7866-42C9-821A-E8C9F27BB1D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'C:\Users\Mani\Desktop\EO Selska\иаг\[Графики ГФ2020.xlsx]основни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'C:\Users\Mani\Desktop\EO Selska\иаг\[Графики ГФ2020.xlsx]основни характер'!$C$5:$O$5</c:f>
              <c:numCache>
                <c:formatCode>General</c:formatCode>
                <c:ptCount val="13"/>
                <c:pt idx="0">
                  <c:v>243478</c:v>
                </c:pt>
                <c:pt idx="1">
                  <c:v>247472</c:v>
                </c:pt>
                <c:pt idx="2">
                  <c:v>256852</c:v>
                </c:pt>
                <c:pt idx="3">
                  <c:v>267781</c:v>
                </c:pt>
                <c:pt idx="4">
                  <c:v>296379</c:v>
                </c:pt>
                <c:pt idx="5">
                  <c:v>336200</c:v>
                </c:pt>
                <c:pt idx="6">
                  <c:v>395628</c:v>
                </c:pt>
                <c:pt idx="7">
                  <c:v>467315</c:v>
                </c:pt>
                <c:pt idx="8">
                  <c:v>526063</c:v>
                </c:pt>
                <c:pt idx="9">
                  <c:v>590780</c:v>
                </c:pt>
                <c:pt idx="10">
                  <c:v>644840</c:v>
                </c:pt>
                <c:pt idx="11">
                  <c:v>680522</c:v>
                </c:pt>
                <c:pt idx="12">
                  <c:v>718410.63699999999</c:v>
                </c:pt>
              </c:numCache>
            </c:numRef>
          </c:val>
          <c:extLst>
            <c:ext xmlns:c16="http://schemas.microsoft.com/office/drawing/2014/chart" uri="{C3380CC4-5D6E-409C-BE32-E72D297353CC}">
              <c16:uniqueId val="{0000000D-7866-42C9-821A-E8C9F27BB1D8}"/>
            </c:ext>
          </c:extLst>
        </c:ser>
        <c:dLbls>
          <c:showLegendKey val="0"/>
          <c:showVal val="0"/>
          <c:showCatName val="0"/>
          <c:showSerName val="0"/>
          <c:showPercent val="0"/>
          <c:showBubbleSize val="0"/>
        </c:dLbls>
        <c:gapWidth val="150"/>
        <c:axId val="162705408"/>
        <c:axId val="162706944"/>
      </c:barChart>
      <c:catAx>
        <c:axId val="16270540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162706944"/>
        <c:crosses val="autoZero"/>
        <c:auto val="1"/>
        <c:lblAlgn val="ctr"/>
        <c:lblOffset val="100"/>
        <c:noMultiLvlLbl val="0"/>
      </c:catAx>
      <c:valAx>
        <c:axId val="16270694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crossAx val="162705408"/>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sz="1200">
                <a:solidFill>
                  <a:sysClr val="windowText" lastClr="000000"/>
                </a:solidFill>
                <a:latin typeface="Times New Roman" pitchFamily="18" charset="0"/>
                <a:cs typeface="Times New Roman" pitchFamily="18" charset="0"/>
              </a:rPr>
              <a:t>Действително ползване/запас (%)</a:t>
            </a:r>
          </a:p>
        </c:rich>
      </c:tx>
      <c:overlay val="0"/>
      <c:spPr>
        <a:noFill/>
        <a:ln>
          <a:noFill/>
        </a:ln>
        <a:effectLst/>
      </c:spPr>
    </c:title>
    <c:autoTitleDeleted val="0"/>
    <c:plotArea>
      <c:layout/>
      <c:barChart>
        <c:barDir val="col"/>
        <c:grouping val="clustered"/>
        <c:varyColors val="0"/>
        <c:ser>
          <c:idx val="13"/>
          <c:order val="0"/>
          <c:tx>
            <c:strRef>
              <c:f>'D:\Taneva 2015_Inventarizacia\OGF\2020 Publikuvane\[Графики ГФ2020 - 1.xlsx]основни характер'!$A$16:$B$16</c:f>
              <c:strCache>
                <c:ptCount val="1"/>
                <c:pt idx="0">
                  <c:v>действ. ползв./запас %</c:v>
                </c:pt>
              </c:strCache>
            </c:strRef>
          </c:tx>
          <c:spPr>
            <a:solidFill>
              <a:schemeClr val="accent6">
                <a:lumMod val="60000"/>
                <a:lumOff val="40000"/>
              </a:schemeClr>
            </a:solidFill>
            <a:ln>
              <a:solidFill>
                <a:schemeClr val="accent6">
                  <a:lumMod val="75000"/>
                </a:schemeClr>
              </a:solid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'D:\Taneva 2015_Inventarizacia\OGF\2020 Publikuvane\[Графики ГФ2020 - 1.xlsx]основни характер'!$C$2:$O$2</c:f>
              <c:numCache>
                <c:formatCode>General</c:formatCode>
                <c:ptCount val="13"/>
                <c:pt idx="0">
                  <c:v>1960</c:v>
                </c:pt>
                <c:pt idx="1">
                  <c:v>1965</c:v>
                </c:pt>
                <c:pt idx="2">
                  <c:v>1970</c:v>
                </c:pt>
                <c:pt idx="3">
                  <c:v>1975</c:v>
                </c:pt>
                <c:pt idx="4">
                  <c:v>1980</c:v>
                </c:pt>
                <c:pt idx="5">
                  <c:v>1985</c:v>
                </c:pt>
                <c:pt idx="6">
                  <c:v>1990</c:v>
                </c:pt>
                <c:pt idx="7">
                  <c:v>1995</c:v>
                </c:pt>
                <c:pt idx="8">
                  <c:v>2000</c:v>
                </c:pt>
                <c:pt idx="9">
                  <c:v>2005</c:v>
                </c:pt>
                <c:pt idx="10">
                  <c:v>2010</c:v>
                </c:pt>
                <c:pt idx="11">
                  <c:v>2015</c:v>
                </c:pt>
                <c:pt idx="12">
                  <c:v>2020</c:v>
                </c:pt>
              </c:numCache>
            </c:numRef>
          </c:cat>
          <c:val>
            <c:numRef>
              <c:f>'D:\Taneva 2015_Inventarizacia\OGF\2020 Publikuvane\[Графики ГФ2020 - 1.xlsx]основни характер'!$C$16:$O$16</c:f>
              <c:numCache>
                <c:formatCode>General</c:formatCode>
                <c:ptCount val="13"/>
                <c:pt idx="0">
                  <c:v>3.52</c:v>
                </c:pt>
                <c:pt idx="1">
                  <c:v>3.3</c:v>
                </c:pt>
                <c:pt idx="2">
                  <c:v>2.7800000000000002</c:v>
                </c:pt>
                <c:pt idx="3">
                  <c:v>2.36</c:v>
                </c:pt>
                <c:pt idx="4">
                  <c:v>1.9900000000000038</c:v>
                </c:pt>
                <c:pt idx="5">
                  <c:v>1.6400000000000001</c:v>
                </c:pt>
                <c:pt idx="6">
                  <c:v>1.1800000000000035</c:v>
                </c:pt>
                <c:pt idx="7">
                  <c:v>1.04</c:v>
                </c:pt>
                <c:pt idx="8">
                  <c:v>0.88</c:v>
                </c:pt>
                <c:pt idx="9">
                  <c:v>1.1900000000000035</c:v>
                </c:pt>
                <c:pt idx="10">
                  <c:v>1.04</c:v>
                </c:pt>
                <c:pt idx="11">
                  <c:v>1.23</c:v>
                </c:pt>
                <c:pt idx="12">
                  <c:v>0.97053337477239865</c:v>
                </c:pt>
              </c:numCache>
            </c:numRef>
          </c:val>
          <c:extLst>
            <c:ext xmlns:c16="http://schemas.microsoft.com/office/drawing/2014/chart" uri="{C3380CC4-5D6E-409C-BE32-E72D297353CC}">
              <c16:uniqueId val="{00000000-1F3E-4F93-9692-8C06ABA941CC}"/>
            </c:ext>
          </c:extLst>
        </c:ser>
        <c:dLbls>
          <c:showLegendKey val="0"/>
          <c:showVal val="1"/>
          <c:showCatName val="0"/>
          <c:showSerName val="0"/>
          <c:showPercent val="0"/>
          <c:showBubbleSize val="0"/>
        </c:dLbls>
        <c:gapWidth val="219"/>
        <c:overlap val="-27"/>
        <c:axId val="350681344"/>
        <c:axId val="500797440"/>
      </c:barChart>
      <c:catAx>
        <c:axId val="350681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797440"/>
        <c:crosses val="autoZero"/>
        <c:auto val="1"/>
        <c:lblAlgn val="ctr"/>
        <c:lblOffset val="100"/>
        <c:noMultiLvlLbl val="0"/>
      </c:catAx>
      <c:valAx>
        <c:axId val="50079744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crossAx val="3506813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6">
          <a:lumMod val="60000"/>
          <a:lumOff val="40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2E977-B94B-4E8F-87D1-EE5472EF1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754</Pages>
  <Words>194520</Words>
  <Characters>1108767</Characters>
  <Application>Microsoft Office Word</Application>
  <DocSecurity>0</DocSecurity>
  <Lines>9239</Lines>
  <Paragraphs>2601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1300686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Katya Naydenova</dc:creator>
  <cp:lastModifiedBy>KNaydenova</cp:lastModifiedBy>
  <cp:revision>3</cp:revision>
  <dcterms:created xsi:type="dcterms:W3CDTF">2022-09-28T10:54:00Z</dcterms:created>
  <dcterms:modified xsi:type="dcterms:W3CDTF">2022-09-28T12:19:00Z</dcterms:modified>
</cp:coreProperties>
</file>